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6A9E" w14:textId="77777777" w:rsidR="00F26A80" w:rsidRPr="00E70587" w:rsidRDefault="00F26A80" w:rsidP="003C7D37">
      <w:pPr>
        <w:pStyle w:val="VBTitle1"/>
        <w:tabs>
          <w:tab w:val="left" w:pos="8530"/>
        </w:tabs>
        <w:rPr>
          <w:rFonts w:ascii="Arial" w:hAnsi="Arial"/>
        </w:rPr>
      </w:pPr>
      <w:bookmarkStart w:id="0" w:name="_Toc143500495"/>
      <w:r w:rsidRPr="00E70587">
        <w:rPr>
          <w:rFonts w:ascii="Arial" w:hAnsi="Arial"/>
        </w:rPr>
        <w:t>Illustration (India) Limited</w:t>
      </w:r>
      <w:r w:rsidR="003C7D37" w:rsidRPr="00E70587">
        <w:rPr>
          <w:rFonts w:ascii="Arial" w:hAnsi="Arial"/>
        </w:rPr>
        <w:tab/>
      </w:r>
    </w:p>
    <w:p w14:paraId="7198F3A8" w14:textId="159CEC15" w:rsidR="00F26A80" w:rsidRPr="00E70587" w:rsidRDefault="00F26A80" w:rsidP="0060778E">
      <w:pPr>
        <w:pStyle w:val="VBTitle2"/>
        <w:rPr>
          <w:rFonts w:ascii="Arial" w:hAnsi="Arial"/>
        </w:rPr>
      </w:pPr>
      <w:r w:rsidRPr="00E70587">
        <w:rPr>
          <w:rFonts w:ascii="Arial" w:hAnsi="Arial"/>
        </w:rPr>
        <w:t>Ind AS</w:t>
      </w:r>
      <w:r w:rsidR="00A75C59" w:rsidRPr="00E70587">
        <w:rPr>
          <w:rFonts w:ascii="Arial" w:hAnsi="Arial"/>
        </w:rPr>
        <w:t xml:space="preserve"> </w:t>
      </w:r>
      <w:r w:rsidRPr="00E70587">
        <w:rPr>
          <w:rFonts w:ascii="Arial" w:hAnsi="Arial"/>
        </w:rPr>
        <w:t xml:space="preserve">Illustrative financial statements for the year ended 31 </w:t>
      </w:r>
      <w:r w:rsidR="00E1202D" w:rsidRPr="00E70587">
        <w:rPr>
          <w:rFonts w:ascii="Arial" w:hAnsi="Arial"/>
        </w:rPr>
        <w:t>March 20</w:t>
      </w:r>
      <w:r w:rsidR="00CB6816">
        <w:rPr>
          <w:rFonts w:ascii="Arial" w:hAnsi="Arial"/>
        </w:rPr>
        <w:t>21</w:t>
      </w:r>
    </w:p>
    <w:p w14:paraId="35F283EA" w14:textId="78BB5F83" w:rsidR="00752F5B" w:rsidRDefault="00752F5B" w:rsidP="00752F5B">
      <w:pPr>
        <w:pStyle w:val="VBTiltle3"/>
        <w:tabs>
          <w:tab w:val="left" w:pos="9900"/>
        </w:tabs>
        <w:ind w:right="11"/>
        <w:rPr>
          <w:lang w:val="en-US"/>
        </w:rPr>
      </w:pPr>
      <w:r>
        <w:rPr>
          <w:lang w:val="en-US"/>
        </w:rPr>
        <w:t xml:space="preserve">Based on Indian Accounting Standards </w:t>
      </w:r>
      <w:r w:rsidRPr="00014A72">
        <w:t xml:space="preserve">notified under </w:t>
      </w:r>
      <w:r>
        <w:t>t</w:t>
      </w:r>
      <w:r w:rsidRPr="00014A72">
        <w:t xml:space="preserve">he </w:t>
      </w:r>
      <w:r w:rsidRPr="002E39EC">
        <w:rPr>
          <w:i/>
        </w:rPr>
        <w:t>Companies (Indian Accounting Standards) Rules, 2015 (as amended</w:t>
      </w:r>
      <w:r>
        <w:rPr>
          <w:i/>
        </w:rPr>
        <w:t>)</w:t>
      </w:r>
      <w:r>
        <w:t xml:space="preserve"> </w:t>
      </w:r>
      <w:r>
        <w:rPr>
          <w:lang w:val="en-US"/>
        </w:rPr>
        <w:t>and Division II of the Schedule III to the Companies Act 2013 applicable for the financial year ending 31 March 2021</w:t>
      </w:r>
    </w:p>
    <w:p w14:paraId="0C8D2EA2" w14:textId="77777777" w:rsidR="007D1445" w:rsidRPr="00E70587" w:rsidRDefault="007D1445" w:rsidP="0060778E">
      <w:pPr>
        <w:overflowPunct/>
        <w:autoSpaceDE/>
        <w:autoSpaceDN/>
        <w:adjustRightInd/>
        <w:spacing w:line="240" w:lineRule="auto"/>
        <w:textAlignment w:val="auto"/>
        <w:rPr>
          <w:rFonts w:ascii="Arial" w:hAnsi="Arial" w:cs="Arial"/>
          <w:b/>
          <w:sz w:val="22"/>
          <w:szCs w:val="22"/>
        </w:rPr>
      </w:pPr>
    </w:p>
    <w:p w14:paraId="1F42B3B4" w14:textId="77777777" w:rsidR="007D1445" w:rsidRPr="00E70587" w:rsidRDefault="007D1445" w:rsidP="0060778E">
      <w:pPr>
        <w:overflowPunct/>
        <w:autoSpaceDE/>
        <w:autoSpaceDN/>
        <w:adjustRightInd/>
        <w:spacing w:line="240" w:lineRule="auto"/>
        <w:textAlignment w:val="auto"/>
        <w:rPr>
          <w:rFonts w:ascii="Arial" w:hAnsi="Arial" w:cs="Arial"/>
          <w:b/>
          <w:sz w:val="22"/>
          <w:szCs w:val="22"/>
        </w:rPr>
      </w:pPr>
    </w:p>
    <w:p w14:paraId="5CF4B25E" w14:textId="77777777" w:rsidR="007D1445" w:rsidRPr="00E70587" w:rsidRDefault="007D1445" w:rsidP="0060778E">
      <w:pPr>
        <w:overflowPunct/>
        <w:autoSpaceDE/>
        <w:autoSpaceDN/>
        <w:adjustRightInd/>
        <w:spacing w:line="240" w:lineRule="auto"/>
        <w:textAlignment w:val="auto"/>
        <w:rPr>
          <w:rFonts w:ascii="Arial" w:hAnsi="Arial" w:cs="Arial"/>
          <w:b/>
          <w:sz w:val="22"/>
          <w:szCs w:val="22"/>
        </w:rPr>
      </w:pPr>
    </w:p>
    <w:p w14:paraId="326B9FE8" w14:textId="77777777" w:rsidR="007D1445" w:rsidRPr="00E70587" w:rsidRDefault="007D1445" w:rsidP="0060778E">
      <w:pPr>
        <w:overflowPunct/>
        <w:autoSpaceDE/>
        <w:autoSpaceDN/>
        <w:adjustRightInd/>
        <w:spacing w:line="240" w:lineRule="auto"/>
        <w:textAlignment w:val="auto"/>
        <w:rPr>
          <w:rFonts w:ascii="Arial" w:hAnsi="Arial" w:cs="Arial"/>
          <w:b/>
          <w:sz w:val="22"/>
          <w:szCs w:val="22"/>
        </w:rPr>
      </w:pPr>
    </w:p>
    <w:p w14:paraId="65E2665D" w14:textId="77777777" w:rsidR="007D1445" w:rsidRPr="00E70587" w:rsidRDefault="007D1445" w:rsidP="0060778E">
      <w:pPr>
        <w:overflowPunct/>
        <w:autoSpaceDE/>
        <w:autoSpaceDN/>
        <w:adjustRightInd/>
        <w:spacing w:line="240" w:lineRule="auto"/>
        <w:textAlignment w:val="auto"/>
        <w:rPr>
          <w:rFonts w:ascii="Arial" w:hAnsi="Arial" w:cs="Arial"/>
          <w:b/>
          <w:sz w:val="22"/>
          <w:szCs w:val="22"/>
        </w:rPr>
      </w:pPr>
    </w:p>
    <w:p w14:paraId="397DEAE2" w14:textId="77777777" w:rsidR="007D1445" w:rsidRPr="00E70587" w:rsidRDefault="007D1445" w:rsidP="0060778E">
      <w:pPr>
        <w:overflowPunct/>
        <w:autoSpaceDE/>
        <w:autoSpaceDN/>
        <w:adjustRightInd/>
        <w:spacing w:line="240" w:lineRule="auto"/>
        <w:textAlignment w:val="auto"/>
        <w:rPr>
          <w:rFonts w:ascii="Arial" w:hAnsi="Arial" w:cs="Arial"/>
          <w:b/>
          <w:sz w:val="22"/>
          <w:szCs w:val="22"/>
        </w:rPr>
      </w:pPr>
    </w:p>
    <w:p w14:paraId="2EA8A590" w14:textId="77777777" w:rsidR="007D1445" w:rsidRPr="00E70587" w:rsidRDefault="007D1445" w:rsidP="0060778E">
      <w:pPr>
        <w:overflowPunct/>
        <w:autoSpaceDE/>
        <w:autoSpaceDN/>
        <w:adjustRightInd/>
        <w:spacing w:line="240" w:lineRule="auto"/>
        <w:textAlignment w:val="auto"/>
        <w:rPr>
          <w:rFonts w:ascii="Arial" w:hAnsi="Arial" w:cs="Arial"/>
          <w:b/>
          <w:sz w:val="22"/>
          <w:szCs w:val="22"/>
        </w:rPr>
      </w:pPr>
    </w:p>
    <w:p w14:paraId="16E44767" w14:textId="77777777" w:rsidR="00E26736" w:rsidRPr="00E70587" w:rsidRDefault="00E26736" w:rsidP="0060778E">
      <w:pPr>
        <w:overflowPunct/>
        <w:autoSpaceDE/>
        <w:autoSpaceDN/>
        <w:adjustRightInd/>
        <w:spacing w:line="280" w:lineRule="exact"/>
        <w:textAlignment w:val="auto"/>
        <w:rPr>
          <w:rFonts w:ascii="Arial" w:hAnsi="Arial" w:cs="Arial"/>
          <w:sz w:val="28"/>
          <w:szCs w:val="28"/>
        </w:rPr>
      </w:pPr>
    </w:p>
    <w:p w14:paraId="4E93F5D6" w14:textId="77777777" w:rsidR="00E26736" w:rsidRPr="00E70587" w:rsidRDefault="00E26736">
      <w:pPr>
        <w:overflowPunct/>
        <w:autoSpaceDE/>
        <w:autoSpaceDN/>
        <w:adjustRightInd/>
        <w:spacing w:line="240" w:lineRule="auto"/>
        <w:textAlignment w:val="auto"/>
        <w:rPr>
          <w:rFonts w:ascii="Arial" w:hAnsi="Arial" w:cs="Arial"/>
          <w:sz w:val="28"/>
          <w:szCs w:val="28"/>
        </w:rPr>
      </w:pPr>
      <w:r w:rsidRPr="00E70587">
        <w:rPr>
          <w:rFonts w:ascii="Arial" w:hAnsi="Arial" w:cs="Arial"/>
          <w:sz w:val="28"/>
          <w:szCs w:val="28"/>
        </w:rPr>
        <w:br w:type="page"/>
      </w:r>
    </w:p>
    <w:p w14:paraId="1D4AEE28" w14:textId="77777777" w:rsidR="00E26736" w:rsidRPr="00E70587" w:rsidRDefault="00E26736" w:rsidP="0060778E">
      <w:pPr>
        <w:overflowPunct/>
        <w:autoSpaceDE/>
        <w:autoSpaceDN/>
        <w:adjustRightInd/>
        <w:spacing w:line="280" w:lineRule="exact"/>
        <w:textAlignment w:val="auto"/>
        <w:rPr>
          <w:rFonts w:ascii="Arial" w:hAnsi="Arial" w:cs="Arial"/>
          <w:b/>
          <w:sz w:val="22"/>
          <w:szCs w:val="22"/>
        </w:rPr>
      </w:pPr>
    </w:p>
    <w:p w14:paraId="5E9F3F15" w14:textId="77777777" w:rsidR="00172C4B" w:rsidRPr="00E70587" w:rsidRDefault="00172C4B" w:rsidP="0060778E">
      <w:pPr>
        <w:overflowPunct/>
        <w:autoSpaceDE/>
        <w:autoSpaceDN/>
        <w:adjustRightInd/>
        <w:spacing w:line="280" w:lineRule="exact"/>
        <w:textAlignment w:val="auto"/>
        <w:rPr>
          <w:rFonts w:ascii="Arial" w:hAnsi="Arial" w:cs="Arial"/>
          <w:b/>
          <w:sz w:val="22"/>
          <w:szCs w:val="22"/>
        </w:rPr>
      </w:pPr>
      <w:r w:rsidRPr="00E70587">
        <w:rPr>
          <w:rFonts w:ascii="Arial" w:hAnsi="Arial" w:cs="Arial"/>
          <w:b/>
          <w:sz w:val="22"/>
          <w:szCs w:val="22"/>
        </w:rPr>
        <w:t>Background</w:t>
      </w:r>
    </w:p>
    <w:p w14:paraId="1E43FE92" w14:textId="77777777" w:rsidR="00172C4B" w:rsidRPr="00E70587" w:rsidRDefault="00172C4B" w:rsidP="0060778E">
      <w:pPr>
        <w:overflowPunct/>
        <w:autoSpaceDE/>
        <w:autoSpaceDN/>
        <w:adjustRightInd/>
        <w:spacing w:line="280" w:lineRule="exact"/>
        <w:jc w:val="both"/>
        <w:textAlignment w:val="auto"/>
        <w:rPr>
          <w:rFonts w:ascii="Arial" w:hAnsi="Arial" w:cs="Arial"/>
          <w:sz w:val="22"/>
          <w:szCs w:val="22"/>
        </w:rPr>
      </w:pPr>
    </w:p>
    <w:p w14:paraId="3189D6C5" w14:textId="7CC62C12" w:rsidR="00172C4B" w:rsidRPr="00E70587" w:rsidRDefault="00172C4B" w:rsidP="0060778E">
      <w:pPr>
        <w:overflowPunct/>
        <w:autoSpaceDE/>
        <w:autoSpaceDN/>
        <w:adjustRightInd/>
        <w:spacing w:line="280" w:lineRule="exact"/>
        <w:jc w:val="both"/>
        <w:textAlignment w:val="auto"/>
        <w:rPr>
          <w:rFonts w:ascii="Arial" w:hAnsi="Arial" w:cs="Arial"/>
          <w:sz w:val="22"/>
          <w:szCs w:val="22"/>
        </w:rPr>
      </w:pPr>
      <w:r w:rsidRPr="00E70587">
        <w:rPr>
          <w:rFonts w:ascii="Arial" w:hAnsi="Arial" w:cs="Arial"/>
          <w:sz w:val="22"/>
          <w:szCs w:val="22"/>
        </w:rPr>
        <w:t xml:space="preserve">This chapter contains an illustrative set of consolidated financial statements for Illustration (India) Limited (the company) and its subsidiaries (collectively, the Group) as of and for the year ended 31 </w:t>
      </w:r>
      <w:r w:rsidR="00E1202D" w:rsidRPr="00E70587">
        <w:rPr>
          <w:rFonts w:ascii="Arial" w:hAnsi="Arial" w:cs="Arial"/>
          <w:sz w:val="22"/>
          <w:szCs w:val="22"/>
        </w:rPr>
        <w:t>March 20</w:t>
      </w:r>
      <w:r w:rsidR="00CB6816">
        <w:rPr>
          <w:rFonts w:ascii="Arial" w:hAnsi="Arial" w:cs="Arial"/>
          <w:sz w:val="22"/>
          <w:szCs w:val="22"/>
        </w:rPr>
        <w:t>21</w:t>
      </w:r>
      <w:r w:rsidRPr="00E70587">
        <w:rPr>
          <w:rFonts w:ascii="Arial" w:hAnsi="Arial" w:cs="Arial"/>
          <w:sz w:val="22"/>
          <w:szCs w:val="22"/>
        </w:rPr>
        <w:t xml:space="preserve"> prepared in accordance with Indian Accounting Standards (Ind-AS) notified under </w:t>
      </w:r>
      <w:r w:rsidR="006E732E" w:rsidRPr="00E70587">
        <w:rPr>
          <w:rFonts w:ascii="Arial" w:hAnsi="Arial" w:cs="Arial"/>
          <w:i/>
          <w:sz w:val="22"/>
          <w:szCs w:val="22"/>
        </w:rPr>
        <w:t xml:space="preserve">the </w:t>
      </w:r>
      <w:r w:rsidR="0003211D" w:rsidRPr="00E70587">
        <w:rPr>
          <w:rFonts w:ascii="Arial" w:hAnsi="Arial" w:cs="Arial"/>
          <w:i/>
          <w:sz w:val="22"/>
          <w:szCs w:val="22"/>
        </w:rPr>
        <w:t>Companies (Indian Accounting Standards) Rules, 2015</w:t>
      </w:r>
      <w:r w:rsidR="00E26736" w:rsidRPr="00E70587">
        <w:rPr>
          <w:rFonts w:ascii="Arial" w:hAnsi="Arial" w:cs="Arial"/>
          <w:i/>
          <w:sz w:val="22"/>
          <w:szCs w:val="22"/>
        </w:rPr>
        <w:t xml:space="preserve"> </w:t>
      </w:r>
      <w:r w:rsidR="006E732E" w:rsidRPr="00E70587">
        <w:rPr>
          <w:rFonts w:ascii="Arial" w:hAnsi="Arial" w:cs="Arial"/>
          <w:i/>
          <w:sz w:val="22"/>
          <w:szCs w:val="22"/>
        </w:rPr>
        <w:t>(</w:t>
      </w:r>
      <w:r w:rsidR="00E26736" w:rsidRPr="00E70587">
        <w:rPr>
          <w:rFonts w:ascii="Arial" w:hAnsi="Arial" w:cs="Arial"/>
          <w:i/>
          <w:sz w:val="22"/>
          <w:szCs w:val="22"/>
        </w:rPr>
        <w:t>as amended</w:t>
      </w:r>
      <w:r w:rsidR="006E732E" w:rsidRPr="00E70587">
        <w:rPr>
          <w:rFonts w:ascii="Arial" w:hAnsi="Arial" w:cs="Arial"/>
          <w:i/>
          <w:sz w:val="22"/>
          <w:szCs w:val="22"/>
        </w:rPr>
        <w:t>)</w:t>
      </w:r>
      <w:r w:rsidR="00163A0C" w:rsidRPr="00E70587">
        <w:rPr>
          <w:rFonts w:ascii="Arial" w:hAnsi="Arial" w:cs="Arial"/>
          <w:i/>
          <w:sz w:val="22"/>
          <w:szCs w:val="22"/>
        </w:rPr>
        <w:t>.</w:t>
      </w:r>
      <w:r w:rsidR="0074747A" w:rsidRPr="00E70587">
        <w:rPr>
          <w:rFonts w:ascii="Arial" w:hAnsi="Arial" w:cs="Arial"/>
          <w:sz w:val="22"/>
          <w:szCs w:val="22"/>
        </w:rPr>
        <w:t xml:space="preserve"> </w:t>
      </w:r>
      <w:r w:rsidRPr="00E70587">
        <w:rPr>
          <w:rFonts w:ascii="Arial" w:hAnsi="Arial" w:cs="Arial"/>
          <w:sz w:val="22"/>
          <w:szCs w:val="22"/>
        </w:rPr>
        <w:t xml:space="preserve">In addition to Ind-AS, </w:t>
      </w:r>
      <w:r w:rsidR="006E732E" w:rsidRPr="00E70587">
        <w:rPr>
          <w:rFonts w:ascii="Arial" w:hAnsi="Arial" w:cs="Arial"/>
          <w:sz w:val="22"/>
          <w:szCs w:val="22"/>
        </w:rPr>
        <w:t xml:space="preserve">Division II of </w:t>
      </w:r>
      <w:r w:rsidRPr="00E70587">
        <w:rPr>
          <w:rFonts w:ascii="Arial" w:hAnsi="Arial" w:cs="Arial"/>
          <w:sz w:val="22"/>
          <w:szCs w:val="22"/>
        </w:rPr>
        <w:t xml:space="preserve">Schedule III to the Companies Act, 2013 </w:t>
      </w:r>
      <w:r w:rsidR="001F5669" w:rsidRPr="00E70587">
        <w:rPr>
          <w:rFonts w:ascii="Arial" w:hAnsi="Arial" w:cs="Arial"/>
          <w:i/>
          <w:sz w:val="22"/>
          <w:szCs w:val="22"/>
        </w:rPr>
        <w:t>(as amended)</w:t>
      </w:r>
      <w:r w:rsidR="001F5669" w:rsidRPr="00E70587">
        <w:rPr>
          <w:rFonts w:ascii="Arial" w:hAnsi="Arial" w:cs="Arial"/>
          <w:sz w:val="22"/>
          <w:szCs w:val="22"/>
        </w:rPr>
        <w:t xml:space="preserve"> </w:t>
      </w:r>
      <w:r w:rsidR="006E732E" w:rsidRPr="00E70587">
        <w:rPr>
          <w:rFonts w:ascii="Arial" w:hAnsi="Arial" w:cs="Arial"/>
          <w:sz w:val="22"/>
          <w:szCs w:val="22"/>
        </w:rPr>
        <w:t xml:space="preserve">(hereinafter referred to as ‘Ind AS compliant Schedule III’ or ‘Schedule III’) </w:t>
      </w:r>
      <w:r w:rsidRPr="00E70587">
        <w:rPr>
          <w:rFonts w:ascii="Arial" w:hAnsi="Arial" w:cs="Arial"/>
          <w:sz w:val="22"/>
          <w:szCs w:val="22"/>
        </w:rPr>
        <w:t xml:space="preserve">also deals with the format for presentation of </w:t>
      </w:r>
      <w:r w:rsidR="006E732E" w:rsidRPr="00E70587">
        <w:rPr>
          <w:rFonts w:ascii="Arial" w:hAnsi="Arial" w:cs="Arial"/>
          <w:sz w:val="22"/>
          <w:szCs w:val="22"/>
        </w:rPr>
        <w:t xml:space="preserve">Ind AS </w:t>
      </w:r>
      <w:r w:rsidRPr="00E70587">
        <w:rPr>
          <w:rFonts w:ascii="Arial" w:hAnsi="Arial" w:cs="Arial"/>
          <w:sz w:val="22"/>
          <w:szCs w:val="22"/>
        </w:rPr>
        <w:t xml:space="preserve">financial statements. </w:t>
      </w:r>
      <w:r w:rsidR="00E26736" w:rsidRPr="00E70587">
        <w:rPr>
          <w:rFonts w:ascii="Arial" w:hAnsi="Arial" w:cs="Arial"/>
          <w:sz w:val="22"/>
          <w:szCs w:val="22"/>
        </w:rPr>
        <w:t>Key requirements of the Ind AS compliant Schedule III as applicable to CFS have also been considered in preparing these illustrative financial statements.</w:t>
      </w:r>
    </w:p>
    <w:p w14:paraId="10011218" w14:textId="77777777" w:rsidR="00172C4B" w:rsidRPr="00E70587" w:rsidRDefault="00172C4B" w:rsidP="0060778E">
      <w:pPr>
        <w:overflowPunct/>
        <w:autoSpaceDE/>
        <w:autoSpaceDN/>
        <w:adjustRightInd/>
        <w:spacing w:line="280" w:lineRule="exact"/>
        <w:jc w:val="both"/>
        <w:textAlignment w:val="auto"/>
        <w:rPr>
          <w:rFonts w:ascii="Arial" w:hAnsi="Arial" w:cs="Arial"/>
          <w:sz w:val="22"/>
          <w:szCs w:val="22"/>
        </w:rPr>
      </w:pPr>
    </w:p>
    <w:p w14:paraId="141FE3FC" w14:textId="77777777" w:rsidR="00172C4B" w:rsidRPr="00E70587" w:rsidRDefault="00172C4B" w:rsidP="0060778E">
      <w:pPr>
        <w:overflowPunct/>
        <w:autoSpaceDE/>
        <w:autoSpaceDN/>
        <w:adjustRightInd/>
        <w:spacing w:line="280" w:lineRule="exact"/>
        <w:jc w:val="both"/>
        <w:textAlignment w:val="auto"/>
        <w:rPr>
          <w:rFonts w:ascii="Arial" w:hAnsi="Arial" w:cs="Arial"/>
          <w:sz w:val="22"/>
          <w:szCs w:val="22"/>
        </w:rPr>
      </w:pPr>
      <w:r w:rsidRPr="00E70587">
        <w:rPr>
          <w:rFonts w:ascii="Arial" w:hAnsi="Arial" w:cs="Arial"/>
          <w:sz w:val="22"/>
          <w:szCs w:val="22"/>
        </w:rPr>
        <w:t>The Group is principally engaged in the provision of fire prevention and electronics equipment and services and the management of investment property.</w:t>
      </w:r>
    </w:p>
    <w:p w14:paraId="2679F60B" w14:textId="77777777" w:rsidR="00172C4B" w:rsidRPr="00E70587" w:rsidRDefault="00172C4B" w:rsidP="0060778E">
      <w:pPr>
        <w:overflowPunct/>
        <w:autoSpaceDE/>
        <w:autoSpaceDN/>
        <w:adjustRightInd/>
        <w:spacing w:line="280" w:lineRule="exact"/>
        <w:jc w:val="both"/>
        <w:textAlignment w:val="auto"/>
        <w:rPr>
          <w:rFonts w:ascii="Arial" w:hAnsi="Arial" w:cs="Arial"/>
          <w:sz w:val="22"/>
          <w:szCs w:val="22"/>
        </w:rPr>
      </w:pPr>
    </w:p>
    <w:p w14:paraId="2FE0C004" w14:textId="77777777" w:rsidR="00172C4B" w:rsidRPr="00E70587" w:rsidRDefault="00172C4B" w:rsidP="0060778E">
      <w:pPr>
        <w:overflowPunct/>
        <w:autoSpaceDE/>
        <w:autoSpaceDN/>
        <w:adjustRightInd/>
        <w:spacing w:line="280" w:lineRule="exact"/>
        <w:jc w:val="both"/>
        <w:textAlignment w:val="auto"/>
        <w:rPr>
          <w:rFonts w:ascii="Arial" w:hAnsi="Arial" w:cs="Arial"/>
          <w:sz w:val="22"/>
          <w:szCs w:val="22"/>
        </w:rPr>
      </w:pPr>
      <w:r w:rsidRPr="00E70587">
        <w:rPr>
          <w:rFonts w:ascii="Arial" w:hAnsi="Arial" w:cs="Arial"/>
          <w:sz w:val="22"/>
          <w:szCs w:val="22"/>
        </w:rPr>
        <w:t>The accompanying set of financial statements is meant only for illustrative purposes and based on a fictitious group. When applied to another group, some disclosures may not be relevant and additional disclosures may be required. This illustration should not be relied upon as a substitute for either detailed professional advice concerning specific individual situations or for reference to the relevant standards.</w:t>
      </w:r>
    </w:p>
    <w:p w14:paraId="5C331FE2" w14:textId="77777777" w:rsidR="00172C4B" w:rsidRPr="00E70587" w:rsidRDefault="00172C4B" w:rsidP="0060778E">
      <w:pPr>
        <w:overflowPunct/>
        <w:autoSpaceDE/>
        <w:autoSpaceDN/>
        <w:adjustRightInd/>
        <w:spacing w:line="280" w:lineRule="exact"/>
        <w:jc w:val="both"/>
        <w:textAlignment w:val="auto"/>
        <w:rPr>
          <w:rFonts w:ascii="Arial" w:hAnsi="Arial" w:cs="Arial"/>
          <w:sz w:val="22"/>
          <w:szCs w:val="22"/>
        </w:rPr>
      </w:pPr>
    </w:p>
    <w:p w14:paraId="305B176A" w14:textId="09B05FDF" w:rsidR="00172C4B" w:rsidRPr="00E70587" w:rsidRDefault="00163A0C" w:rsidP="0060778E">
      <w:pPr>
        <w:overflowPunct/>
        <w:autoSpaceDE/>
        <w:autoSpaceDN/>
        <w:adjustRightInd/>
        <w:spacing w:line="280" w:lineRule="exact"/>
        <w:jc w:val="both"/>
        <w:textAlignment w:val="auto"/>
        <w:rPr>
          <w:rFonts w:ascii="Arial" w:hAnsi="Arial" w:cs="Arial"/>
          <w:sz w:val="22"/>
          <w:szCs w:val="22"/>
        </w:rPr>
      </w:pPr>
      <w:r w:rsidRPr="00E70587">
        <w:rPr>
          <w:rFonts w:ascii="Arial" w:hAnsi="Arial" w:cs="Arial"/>
          <w:sz w:val="22"/>
          <w:szCs w:val="22"/>
        </w:rPr>
        <w:t>This set of illustrative financial statements is updated for key Ind AS pronouncements till</w:t>
      </w:r>
      <w:r w:rsidR="00537DFF">
        <w:rPr>
          <w:rFonts w:ascii="Arial" w:hAnsi="Arial" w:cs="Arial"/>
          <w:sz w:val="22"/>
          <w:szCs w:val="22"/>
        </w:rPr>
        <w:t xml:space="preserve"> </w:t>
      </w:r>
      <w:r w:rsidR="00537DFF" w:rsidRPr="003B0800">
        <w:rPr>
          <w:rFonts w:ascii="Arial" w:hAnsi="Arial" w:cs="Arial"/>
          <w:sz w:val="22"/>
          <w:szCs w:val="22"/>
        </w:rPr>
        <w:t>3</w:t>
      </w:r>
      <w:r w:rsidR="00BA4070" w:rsidRPr="003B0800">
        <w:rPr>
          <w:rFonts w:ascii="Arial" w:hAnsi="Arial" w:cs="Arial"/>
          <w:sz w:val="22"/>
          <w:szCs w:val="22"/>
        </w:rPr>
        <w:t>1</w:t>
      </w:r>
      <w:r w:rsidR="00537DFF" w:rsidRPr="003B0800">
        <w:rPr>
          <w:rFonts w:ascii="Arial" w:hAnsi="Arial" w:cs="Arial"/>
          <w:sz w:val="22"/>
          <w:szCs w:val="22"/>
        </w:rPr>
        <w:t xml:space="preserve"> </w:t>
      </w:r>
      <w:r w:rsidR="00BA4070" w:rsidRPr="003B0800">
        <w:rPr>
          <w:rFonts w:ascii="Arial" w:hAnsi="Arial" w:cs="Arial"/>
          <w:sz w:val="22"/>
          <w:szCs w:val="22"/>
        </w:rPr>
        <w:t>October</w:t>
      </w:r>
      <w:r w:rsidR="00537DFF" w:rsidRPr="003B0800">
        <w:rPr>
          <w:rFonts w:ascii="Arial" w:hAnsi="Arial" w:cs="Arial"/>
          <w:sz w:val="22"/>
          <w:szCs w:val="22"/>
        </w:rPr>
        <w:t xml:space="preserve"> 20</w:t>
      </w:r>
      <w:r w:rsidR="00CB6816" w:rsidRPr="003B0800">
        <w:rPr>
          <w:rFonts w:ascii="Arial" w:hAnsi="Arial" w:cs="Arial"/>
          <w:sz w:val="22"/>
          <w:szCs w:val="22"/>
        </w:rPr>
        <w:t>20</w:t>
      </w:r>
      <w:r w:rsidRPr="003B0800">
        <w:rPr>
          <w:rFonts w:ascii="Arial" w:hAnsi="Arial" w:cs="Arial"/>
          <w:sz w:val="22"/>
          <w:szCs w:val="22"/>
        </w:rPr>
        <w:t xml:space="preserve"> </w:t>
      </w:r>
      <w:r w:rsidR="00873D88" w:rsidRPr="003B0800">
        <w:rPr>
          <w:rFonts w:ascii="Arial" w:hAnsi="Arial" w:cs="Arial"/>
          <w:sz w:val="22"/>
          <w:szCs w:val="22"/>
        </w:rPr>
        <w:t>(including</w:t>
      </w:r>
      <w:r w:rsidR="001F5669" w:rsidRPr="003B0800">
        <w:rPr>
          <w:rFonts w:ascii="Arial" w:hAnsi="Arial" w:cs="Arial"/>
          <w:sz w:val="22"/>
          <w:szCs w:val="22"/>
        </w:rPr>
        <w:t xml:space="preserve"> </w:t>
      </w:r>
      <w:r w:rsidR="00873D88" w:rsidRPr="003B0800">
        <w:rPr>
          <w:rFonts w:ascii="Arial" w:hAnsi="Arial" w:cs="Arial"/>
          <w:sz w:val="22"/>
          <w:szCs w:val="22"/>
        </w:rPr>
        <w:t xml:space="preserve">Ind AS 115 </w:t>
      </w:r>
      <w:r w:rsidR="00873D88" w:rsidRPr="003B0800">
        <w:rPr>
          <w:rFonts w:ascii="Arial" w:hAnsi="Arial" w:cs="Arial"/>
          <w:i/>
          <w:sz w:val="22"/>
          <w:szCs w:val="22"/>
        </w:rPr>
        <w:t>Revenue from contracts with customers</w:t>
      </w:r>
      <w:r w:rsidR="00537DFF" w:rsidRPr="003B0800">
        <w:rPr>
          <w:rFonts w:ascii="Arial" w:hAnsi="Arial" w:cs="Arial"/>
          <w:i/>
          <w:sz w:val="22"/>
          <w:szCs w:val="22"/>
        </w:rPr>
        <w:t>,</w:t>
      </w:r>
      <w:r w:rsidR="008D163B" w:rsidRPr="003B0800">
        <w:rPr>
          <w:rFonts w:ascii="Arial" w:hAnsi="Arial" w:cs="Arial"/>
          <w:i/>
          <w:sz w:val="22"/>
          <w:szCs w:val="22"/>
        </w:rPr>
        <w:t xml:space="preserve"> </w:t>
      </w:r>
      <w:r w:rsidR="008D163B" w:rsidRPr="003B0800">
        <w:rPr>
          <w:rFonts w:ascii="Arial" w:hAnsi="Arial" w:cs="Arial"/>
          <w:sz w:val="22"/>
          <w:szCs w:val="22"/>
        </w:rPr>
        <w:t>Ind AS 116</w:t>
      </w:r>
      <w:r w:rsidR="008D163B" w:rsidRPr="003B0800">
        <w:rPr>
          <w:rFonts w:ascii="Arial" w:hAnsi="Arial" w:cs="Arial"/>
          <w:i/>
          <w:sz w:val="22"/>
          <w:szCs w:val="22"/>
        </w:rPr>
        <w:t xml:space="preserve"> Leases</w:t>
      </w:r>
      <w:r w:rsidR="001F5669" w:rsidRPr="003B0800">
        <w:rPr>
          <w:rFonts w:ascii="Arial" w:hAnsi="Arial" w:cs="Arial"/>
          <w:i/>
          <w:sz w:val="22"/>
          <w:szCs w:val="22"/>
        </w:rPr>
        <w:t xml:space="preserve"> </w:t>
      </w:r>
      <w:r w:rsidR="001F5669" w:rsidRPr="003B0800">
        <w:rPr>
          <w:rFonts w:ascii="Arial" w:hAnsi="Arial" w:cs="Arial"/>
          <w:sz w:val="22"/>
          <w:szCs w:val="22"/>
        </w:rPr>
        <w:t>and</w:t>
      </w:r>
      <w:r w:rsidR="001F5669" w:rsidRPr="003B0800">
        <w:rPr>
          <w:rFonts w:ascii="Arial" w:hAnsi="Arial" w:cs="Arial"/>
          <w:i/>
          <w:sz w:val="22"/>
          <w:szCs w:val="22"/>
        </w:rPr>
        <w:t xml:space="preserve"> </w:t>
      </w:r>
      <w:r w:rsidR="001F5669" w:rsidRPr="003B0800">
        <w:rPr>
          <w:rFonts w:ascii="Arial" w:hAnsi="Arial" w:cs="Arial"/>
          <w:sz w:val="22"/>
          <w:szCs w:val="22"/>
        </w:rPr>
        <w:t>amendment to Ind AS compliant Schedule III</w:t>
      </w:r>
      <w:r w:rsidR="00F31E6B" w:rsidRPr="003B0800">
        <w:rPr>
          <w:rFonts w:ascii="Arial" w:hAnsi="Arial" w:cs="Arial"/>
          <w:sz w:val="22"/>
          <w:szCs w:val="22"/>
        </w:rPr>
        <w:t>,</w:t>
      </w:r>
      <w:r w:rsidR="00CB6816" w:rsidRPr="003B0800">
        <w:rPr>
          <w:rFonts w:ascii="Arial" w:hAnsi="Arial" w:cs="Arial"/>
          <w:sz w:val="22"/>
          <w:szCs w:val="22"/>
        </w:rPr>
        <w:t xml:space="preserve"> amendment to Companies Act &amp; Rules</w:t>
      </w:r>
      <w:r w:rsidR="00873D88" w:rsidRPr="003B0800">
        <w:rPr>
          <w:rFonts w:ascii="Arial" w:hAnsi="Arial" w:cs="Arial"/>
          <w:sz w:val="22"/>
          <w:szCs w:val="22"/>
        </w:rPr>
        <w:t>)</w:t>
      </w:r>
      <w:r w:rsidRPr="003B0800">
        <w:rPr>
          <w:rFonts w:ascii="Arial" w:hAnsi="Arial" w:cs="Arial"/>
          <w:sz w:val="22"/>
          <w:szCs w:val="22"/>
        </w:rPr>
        <w:t>.</w:t>
      </w:r>
      <w:r w:rsidRPr="00E70587">
        <w:rPr>
          <w:rFonts w:ascii="Arial" w:hAnsi="Arial" w:cs="Arial"/>
          <w:sz w:val="22"/>
          <w:szCs w:val="22"/>
        </w:rPr>
        <w:t xml:space="preserve"> </w:t>
      </w:r>
      <w:r w:rsidR="00172C4B" w:rsidRPr="00E70587">
        <w:rPr>
          <w:rFonts w:ascii="Arial" w:hAnsi="Arial" w:cs="Arial"/>
          <w:sz w:val="22"/>
          <w:szCs w:val="22"/>
        </w:rPr>
        <w:t>The following key assumptions are used in the preparation of illustrative financial statements:</w:t>
      </w:r>
    </w:p>
    <w:p w14:paraId="319E1014" w14:textId="4E5A91FA" w:rsidR="00172C4B" w:rsidRPr="00E70587" w:rsidRDefault="00435A50" w:rsidP="00F53123">
      <w:pPr>
        <w:pStyle w:val="ListParagraph"/>
        <w:numPr>
          <w:ilvl w:val="0"/>
          <w:numId w:val="12"/>
        </w:numPr>
        <w:overflowPunct/>
        <w:autoSpaceDE/>
        <w:autoSpaceDN/>
        <w:adjustRightInd/>
        <w:spacing w:before="120" w:line="280" w:lineRule="exact"/>
        <w:ind w:left="720" w:hanging="720"/>
        <w:contextualSpacing w:val="0"/>
        <w:jc w:val="both"/>
        <w:textAlignment w:val="auto"/>
        <w:rPr>
          <w:rFonts w:ascii="Arial" w:hAnsi="Arial" w:cs="Arial"/>
          <w:sz w:val="22"/>
          <w:szCs w:val="22"/>
        </w:rPr>
      </w:pPr>
      <w:r w:rsidRPr="00E70587">
        <w:rPr>
          <w:rFonts w:ascii="Arial" w:hAnsi="Arial" w:cs="Arial"/>
          <w:sz w:val="22"/>
          <w:szCs w:val="22"/>
        </w:rPr>
        <w:t>The group had</w:t>
      </w:r>
      <w:r w:rsidR="00172C4B" w:rsidRPr="00E70587">
        <w:rPr>
          <w:rFonts w:ascii="Arial" w:hAnsi="Arial" w:cs="Arial"/>
          <w:sz w:val="22"/>
          <w:szCs w:val="22"/>
        </w:rPr>
        <w:t xml:space="preserve"> adopt</w:t>
      </w:r>
      <w:r w:rsidR="00BE3490" w:rsidRPr="00E70587">
        <w:rPr>
          <w:rFonts w:ascii="Arial" w:hAnsi="Arial" w:cs="Arial"/>
          <w:sz w:val="22"/>
          <w:szCs w:val="22"/>
        </w:rPr>
        <w:t>ed</w:t>
      </w:r>
      <w:r w:rsidR="00172C4B" w:rsidRPr="00E70587">
        <w:rPr>
          <w:rFonts w:ascii="Arial" w:hAnsi="Arial" w:cs="Arial"/>
          <w:sz w:val="22"/>
          <w:szCs w:val="22"/>
        </w:rPr>
        <w:t xml:space="preserve"> Ind</w:t>
      </w:r>
      <w:r w:rsidR="006E732E" w:rsidRPr="00E70587">
        <w:rPr>
          <w:rFonts w:ascii="Arial" w:hAnsi="Arial" w:cs="Arial"/>
          <w:sz w:val="22"/>
          <w:szCs w:val="22"/>
        </w:rPr>
        <w:t xml:space="preserve"> </w:t>
      </w:r>
      <w:r w:rsidR="00172C4B" w:rsidRPr="00E70587">
        <w:rPr>
          <w:rFonts w:ascii="Arial" w:hAnsi="Arial" w:cs="Arial"/>
          <w:sz w:val="22"/>
          <w:szCs w:val="22"/>
        </w:rPr>
        <w:t xml:space="preserve">AS from the financial years beginning 1 April </w:t>
      </w:r>
      <w:r w:rsidR="00BE3490" w:rsidRPr="00E70587">
        <w:rPr>
          <w:rFonts w:ascii="Arial" w:hAnsi="Arial" w:cs="Arial"/>
          <w:sz w:val="22"/>
          <w:szCs w:val="22"/>
        </w:rPr>
        <w:t>2016 (transition date 1 April 2015)</w:t>
      </w:r>
      <w:r w:rsidR="00172C4B" w:rsidRPr="00E70587">
        <w:rPr>
          <w:rFonts w:ascii="Arial" w:hAnsi="Arial" w:cs="Arial"/>
          <w:sz w:val="22"/>
          <w:szCs w:val="22"/>
        </w:rPr>
        <w:t>.</w:t>
      </w:r>
      <w:r w:rsidR="00564581" w:rsidRPr="00E70587">
        <w:rPr>
          <w:rFonts w:ascii="Arial" w:hAnsi="Arial" w:cs="Arial"/>
          <w:sz w:val="22"/>
          <w:szCs w:val="22"/>
        </w:rPr>
        <w:t xml:space="preserve"> The group is not the </w:t>
      </w:r>
      <w:r w:rsidR="00FC6420" w:rsidRPr="00E70587">
        <w:rPr>
          <w:rFonts w:ascii="Arial" w:hAnsi="Arial" w:cs="Arial"/>
          <w:sz w:val="22"/>
          <w:szCs w:val="22"/>
        </w:rPr>
        <w:t>first-time</w:t>
      </w:r>
      <w:r w:rsidR="00564581" w:rsidRPr="00E70587">
        <w:rPr>
          <w:rFonts w:ascii="Arial" w:hAnsi="Arial" w:cs="Arial"/>
          <w:sz w:val="22"/>
          <w:szCs w:val="22"/>
        </w:rPr>
        <w:t xml:space="preserve"> adopter of Ind AS.</w:t>
      </w:r>
    </w:p>
    <w:p w14:paraId="17DBAF8D" w14:textId="77777777" w:rsidR="004C47AB" w:rsidRPr="00E70587" w:rsidRDefault="004C47AB" w:rsidP="00860ED4">
      <w:pPr>
        <w:pStyle w:val="ListParagraph"/>
        <w:numPr>
          <w:ilvl w:val="0"/>
          <w:numId w:val="12"/>
        </w:numPr>
        <w:overflowPunct/>
        <w:autoSpaceDE/>
        <w:autoSpaceDN/>
        <w:adjustRightInd/>
        <w:spacing w:before="120" w:line="280" w:lineRule="exact"/>
        <w:ind w:left="720" w:hanging="720"/>
        <w:contextualSpacing w:val="0"/>
        <w:jc w:val="both"/>
        <w:textAlignment w:val="auto"/>
        <w:rPr>
          <w:rFonts w:ascii="Arial" w:hAnsi="Arial" w:cs="Arial"/>
          <w:sz w:val="22"/>
          <w:szCs w:val="22"/>
        </w:rPr>
      </w:pPr>
      <w:r w:rsidRPr="00E70587">
        <w:rPr>
          <w:rFonts w:ascii="Arial" w:hAnsi="Arial" w:cs="Arial"/>
          <w:sz w:val="22"/>
          <w:szCs w:val="22"/>
        </w:rPr>
        <w:t xml:space="preserve">The illustrative financial statements contain only those disclosures that are considered relevant from consolidated financial statements (CFS) perspective. Specific attention is drawn to the </w:t>
      </w:r>
      <w:r w:rsidR="00860ED4" w:rsidRPr="00E70587">
        <w:rPr>
          <w:rFonts w:ascii="Arial" w:hAnsi="Arial" w:cs="Arial"/>
          <w:sz w:val="22"/>
          <w:szCs w:val="22"/>
        </w:rPr>
        <w:t xml:space="preserve">General instructions for preparation of financial statements contained in the Ind AS compliant Schedule III. </w:t>
      </w:r>
      <w:r w:rsidRPr="00E70587">
        <w:rPr>
          <w:rFonts w:ascii="Arial" w:hAnsi="Arial" w:cs="Arial"/>
          <w:sz w:val="22"/>
          <w:szCs w:val="22"/>
        </w:rPr>
        <w:t xml:space="preserve">The </w:t>
      </w:r>
      <w:r w:rsidR="00860ED4" w:rsidRPr="00E70587">
        <w:rPr>
          <w:rFonts w:ascii="Arial" w:hAnsi="Arial" w:cs="Arial"/>
          <w:sz w:val="22"/>
          <w:szCs w:val="22"/>
        </w:rPr>
        <w:t xml:space="preserve">General Instructions </w:t>
      </w:r>
      <w:r w:rsidRPr="00E70587">
        <w:rPr>
          <w:rFonts w:ascii="Arial" w:hAnsi="Arial" w:cs="Arial"/>
          <w:sz w:val="22"/>
          <w:szCs w:val="22"/>
        </w:rPr>
        <w:t xml:space="preserve">state </w:t>
      </w:r>
      <w:r w:rsidR="00860ED4" w:rsidRPr="00E70587">
        <w:rPr>
          <w:rFonts w:ascii="Arial" w:hAnsi="Arial" w:cs="Arial"/>
          <w:sz w:val="22"/>
          <w:szCs w:val="22"/>
        </w:rPr>
        <w:t>that “where any Act or Regulation requires specific disclosures to be made in the standalone financial statements of a company, the said disclosures will be made in addition to those required under the Schedule.”</w:t>
      </w:r>
    </w:p>
    <w:p w14:paraId="61EA775B" w14:textId="77777777" w:rsidR="00172C4B" w:rsidRPr="00E70587" w:rsidRDefault="004C47AB" w:rsidP="00860ED4">
      <w:pPr>
        <w:overflowPunct/>
        <w:autoSpaceDE/>
        <w:autoSpaceDN/>
        <w:adjustRightInd/>
        <w:spacing w:before="120" w:line="280" w:lineRule="exact"/>
        <w:ind w:left="720"/>
        <w:jc w:val="both"/>
        <w:textAlignment w:val="auto"/>
        <w:rPr>
          <w:rFonts w:ascii="Arial" w:hAnsi="Arial" w:cs="Arial"/>
          <w:sz w:val="22"/>
          <w:szCs w:val="22"/>
        </w:rPr>
      </w:pPr>
      <w:r w:rsidRPr="00E70587">
        <w:rPr>
          <w:rFonts w:ascii="Arial" w:hAnsi="Arial" w:cs="Arial"/>
          <w:sz w:val="22"/>
          <w:szCs w:val="22"/>
        </w:rPr>
        <w:t xml:space="preserve">The language used </w:t>
      </w:r>
      <w:r w:rsidR="00860ED4" w:rsidRPr="00E70587">
        <w:rPr>
          <w:rFonts w:ascii="Arial" w:hAnsi="Arial" w:cs="Arial"/>
          <w:sz w:val="22"/>
          <w:szCs w:val="22"/>
        </w:rPr>
        <w:t xml:space="preserve">suggests </w:t>
      </w:r>
      <w:r w:rsidRPr="00E70587">
        <w:rPr>
          <w:rFonts w:ascii="Arial" w:hAnsi="Arial" w:cs="Arial"/>
          <w:sz w:val="22"/>
          <w:szCs w:val="22"/>
        </w:rPr>
        <w:t xml:space="preserve">that companies </w:t>
      </w:r>
      <w:r w:rsidR="00860ED4" w:rsidRPr="00E70587">
        <w:rPr>
          <w:rFonts w:ascii="Arial" w:hAnsi="Arial" w:cs="Arial"/>
          <w:sz w:val="22"/>
          <w:szCs w:val="22"/>
        </w:rPr>
        <w:t xml:space="preserve">have </w:t>
      </w:r>
      <w:r w:rsidRPr="00E70587">
        <w:rPr>
          <w:rFonts w:ascii="Arial" w:hAnsi="Arial" w:cs="Arial"/>
          <w:sz w:val="22"/>
          <w:szCs w:val="22"/>
        </w:rPr>
        <w:t xml:space="preserve">an option of not giving </w:t>
      </w:r>
      <w:r w:rsidR="006E732E" w:rsidRPr="00E70587">
        <w:rPr>
          <w:rFonts w:ascii="Arial" w:hAnsi="Arial" w:cs="Arial"/>
          <w:sz w:val="22"/>
          <w:szCs w:val="22"/>
        </w:rPr>
        <w:t xml:space="preserve">legal/ regulatory </w:t>
      </w:r>
      <w:r w:rsidRPr="00E70587">
        <w:rPr>
          <w:rFonts w:ascii="Arial" w:hAnsi="Arial" w:cs="Arial"/>
          <w:sz w:val="22"/>
          <w:szCs w:val="22"/>
        </w:rPr>
        <w:t xml:space="preserve">disclosures in CFS, if they are not relevant to present true and fair view of CFS. </w:t>
      </w:r>
      <w:r w:rsidR="00B45EF0" w:rsidRPr="00E70587">
        <w:rPr>
          <w:rFonts w:ascii="Arial" w:hAnsi="Arial" w:cs="Arial"/>
          <w:sz w:val="22"/>
          <w:szCs w:val="22"/>
        </w:rPr>
        <w:t xml:space="preserve">Based on this argument, </w:t>
      </w:r>
      <w:r w:rsidR="00860ED4" w:rsidRPr="00E70587">
        <w:rPr>
          <w:rFonts w:ascii="Arial" w:hAnsi="Arial" w:cs="Arial"/>
          <w:sz w:val="22"/>
          <w:szCs w:val="22"/>
        </w:rPr>
        <w:t xml:space="preserve">illustrative financial statements </w:t>
      </w:r>
      <w:r w:rsidR="00B45EF0" w:rsidRPr="00E70587">
        <w:rPr>
          <w:rFonts w:ascii="Arial" w:hAnsi="Arial" w:cs="Arial"/>
          <w:sz w:val="22"/>
          <w:szCs w:val="22"/>
        </w:rPr>
        <w:t>do not include statutory disclosures such as disclosures required under the MSMED Act.</w:t>
      </w:r>
    </w:p>
    <w:p w14:paraId="7AF1D4AB" w14:textId="77777777" w:rsidR="00172C4B" w:rsidRPr="00E70587" w:rsidRDefault="00172C4B" w:rsidP="00F53123">
      <w:pPr>
        <w:pStyle w:val="ListParagraph"/>
        <w:numPr>
          <w:ilvl w:val="0"/>
          <w:numId w:val="12"/>
        </w:numPr>
        <w:overflowPunct/>
        <w:autoSpaceDE/>
        <w:autoSpaceDN/>
        <w:adjustRightInd/>
        <w:spacing w:before="120" w:line="280" w:lineRule="exact"/>
        <w:ind w:left="720" w:hanging="720"/>
        <w:contextualSpacing w:val="0"/>
        <w:jc w:val="both"/>
        <w:textAlignment w:val="auto"/>
        <w:rPr>
          <w:rFonts w:ascii="Arial" w:hAnsi="Arial" w:cs="Arial"/>
          <w:sz w:val="22"/>
          <w:szCs w:val="22"/>
        </w:rPr>
      </w:pPr>
      <w:r w:rsidRPr="00E70587">
        <w:rPr>
          <w:rFonts w:ascii="Arial" w:hAnsi="Arial" w:cs="Arial"/>
          <w:sz w:val="22"/>
          <w:szCs w:val="22"/>
        </w:rPr>
        <w:t>The CFS are prepared for a group principally engaged in the provision of fire prevention and electronics equipment and services and the management of investment property. Hence, the same may not be entirely suitable for a group engaged in construction or oil exploratory activities, etc.</w:t>
      </w:r>
    </w:p>
    <w:p w14:paraId="2A789291" w14:textId="3E494292" w:rsidR="00172C4B" w:rsidRPr="00E70587" w:rsidRDefault="00172C4B" w:rsidP="00F53123">
      <w:pPr>
        <w:pStyle w:val="ListParagraph"/>
        <w:numPr>
          <w:ilvl w:val="0"/>
          <w:numId w:val="12"/>
        </w:numPr>
        <w:overflowPunct/>
        <w:autoSpaceDE/>
        <w:autoSpaceDN/>
        <w:adjustRightInd/>
        <w:spacing w:before="120" w:line="280" w:lineRule="exact"/>
        <w:ind w:left="720" w:hanging="720"/>
        <w:contextualSpacing w:val="0"/>
        <w:jc w:val="both"/>
        <w:textAlignment w:val="auto"/>
        <w:rPr>
          <w:rFonts w:ascii="Arial" w:hAnsi="Arial" w:cs="Arial"/>
          <w:sz w:val="22"/>
          <w:szCs w:val="22"/>
        </w:rPr>
      </w:pPr>
      <w:r w:rsidRPr="00E70587">
        <w:rPr>
          <w:rFonts w:ascii="Arial" w:hAnsi="Arial" w:cs="Arial"/>
          <w:sz w:val="22"/>
          <w:szCs w:val="22"/>
        </w:rPr>
        <w:t>The group has opted to round off its financial information to the nearest lakhs in accordance with Ind</w:t>
      </w:r>
      <w:r w:rsidR="006E732E" w:rsidRPr="00E70587">
        <w:rPr>
          <w:rFonts w:ascii="Arial" w:hAnsi="Arial" w:cs="Arial"/>
          <w:sz w:val="22"/>
          <w:szCs w:val="22"/>
        </w:rPr>
        <w:t xml:space="preserve"> </w:t>
      </w:r>
      <w:r w:rsidRPr="00E70587">
        <w:rPr>
          <w:rFonts w:ascii="Arial" w:hAnsi="Arial" w:cs="Arial"/>
          <w:sz w:val="22"/>
          <w:szCs w:val="22"/>
        </w:rPr>
        <w:t>AS compliant Schedule III.</w:t>
      </w:r>
    </w:p>
    <w:p w14:paraId="6E9B949F" w14:textId="77777777" w:rsidR="004C47AB" w:rsidRDefault="004C47AB" w:rsidP="004C47AB">
      <w:pPr>
        <w:overflowPunct/>
        <w:autoSpaceDE/>
        <w:autoSpaceDN/>
        <w:adjustRightInd/>
        <w:spacing w:before="120" w:line="280" w:lineRule="exact"/>
        <w:jc w:val="both"/>
        <w:textAlignment w:val="auto"/>
        <w:rPr>
          <w:rFonts w:ascii="Arial" w:hAnsi="Arial" w:cs="Arial"/>
          <w:sz w:val="22"/>
          <w:szCs w:val="22"/>
        </w:rPr>
      </w:pPr>
    </w:p>
    <w:p w14:paraId="5A9F31BF" w14:textId="77777777" w:rsidR="00DA3211" w:rsidRDefault="00DA3211" w:rsidP="004C47AB">
      <w:pPr>
        <w:overflowPunct/>
        <w:autoSpaceDE/>
        <w:autoSpaceDN/>
        <w:adjustRightInd/>
        <w:spacing w:before="120" w:line="280" w:lineRule="exact"/>
        <w:jc w:val="both"/>
        <w:textAlignment w:val="auto"/>
        <w:rPr>
          <w:rFonts w:ascii="Arial" w:hAnsi="Arial" w:cs="Arial"/>
          <w:sz w:val="22"/>
          <w:szCs w:val="22"/>
        </w:rPr>
      </w:pPr>
    </w:p>
    <w:p w14:paraId="2844640D" w14:textId="77777777" w:rsidR="00DA3211" w:rsidRDefault="00DA3211" w:rsidP="004C47AB">
      <w:pPr>
        <w:overflowPunct/>
        <w:autoSpaceDE/>
        <w:autoSpaceDN/>
        <w:adjustRightInd/>
        <w:spacing w:before="120" w:line="280" w:lineRule="exact"/>
        <w:jc w:val="both"/>
        <w:textAlignment w:val="auto"/>
        <w:rPr>
          <w:rFonts w:ascii="Arial" w:hAnsi="Arial" w:cs="Arial"/>
          <w:sz w:val="22"/>
          <w:szCs w:val="22"/>
        </w:rPr>
      </w:pPr>
    </w:p>
    <w:p w14:paraId="62BEFD45" w14:textId="77777777" w:rsidR="00DA3211" w:rsidRPr="00E70587" w:rsidRDefault="00DA3211" w:rsidP="004C47AB">
      <w:pPr>
        <w:overflowPunct/>
        <w:autoSpaceDE/>
        <w:autoSpaceDN/>
        <w:adjustRightInd/>
        <w:spacing w:before="120" w:line="280" w:lineRule="exact"/>
        <w:jc w:val="both"/>
        <w:textAlignment w:val="auto"/>
        <w:rPr>
          <w:rFonts w:ascii="Arial" w:hAnsi="Arial" w:cs="Arial"/>
          <w:sz w:val="22"/>
          <w:szCs w:val="22"/>
        </w:rPr>
      </w:pPr>
    </w:p>
    <w:p w14:paraId="61A190B2" w14:textId="77777777" w:rsidR="00E26736" w:rsidRPr="00E70587" w:rsidRDefault="00E26736" w:rsidP="006E732E">
      <w:pPr>
        <w:overflowPunct/>
        <w:autoSpaceDE/>
        <w:autoSpaceDN/>
        <w:adjustRightInd/>
        <w:spacing w:line="280" w:lineRule="exact"/>
        <w:jc w:val="both"/>
        <w:textAlignment w:val="auto"/>
        <w:rPr>
          <w:rFonts w:ascii="Arial" w:hAnsi="Arial" w:cs="Arial"/>
          <w:b/>
          <w:sz w:val="22"/>
          <w:szCs w:val="22"/>
        </w:rPr>
      </w:pPr>
      <w:r w:rsidRPr="00E70587">
        <w:rPr>
          <w:rFonts w:ascii="Arial" w:hAnsi="Arial" w:cs="Arial"/>
          <w:b/>
          <w:sz w:val="22"/>
          <w:szCs w:val="22"/>
        </w:rPr>
        <w:lastRenderedPageBreak/>
        <w:t>General instructions for preparation of financial statements contained in the Ind AS compliant Schedule III require the following:</w:t>
      </w:r>
    </w:p>
    <w:p w14:paraId="0E38DD1A" w14:textId="77777777" w:rsidR="00E26736" w:rsidRPr="00E70587" w:rsidRDefault="00E26736" w:rsidP="00E466DD">
      <w:pPr>
        <w:pStyle w:val="ListParagraph"/>
        <w:numPr>
          <w:ilvl w:val="0"/>
          <w:numId w:val="28"/>
        </w:numPr>
        <w:overflowPunct/>
        <w:autoSpaceDE/>
        <w:autoSpaceDN/>
        <w:adjustRightInd/>
        <w:spacing w:before="120" w:line="280" w:lineRule="exact"/>
        <w:ind w:hanging="720"/>
        <w:contextualSpacing w:val="0"/>
        <w:jc w:val="both"/>
        <w:textAlignment w:val="auto"/>
        <w:rPr>
          <w:rFonts w:ascii="Arial" w:hAnsi="Arial" w:cs="Arial"/>
          <w:sz w:val="22"/>
          <w:szCs w:val="22"/>
        </w:rPr>
      </w:pPr>
      <w:r w:rsidRPr="00E70587">
        <w:rPr>
          <w:rFonts w:ascii="Arial" w:hAnsi="Arial" w:cs="Arial"/>
          <w:sz w:val="22"/>
          <w:szCs w:val="22"/>
        </w:rPr>
        <w:t xml:space="preserve">Every company to which Ind AS apply will prepare its financial statements in accordance with </w:t>
      </w:r>
      <w:r w:rsidR="005979BD" w:rsidRPr="00E70587">
        <w:rPr>
          <w:rFonts w:ascii="Arial" w:hAnsi="Arial" w:cs="Arial"/>
          <w:sz w:val="22"/>
          <w:szCs w:val="22"/>
        </w:rPr>
        <w:t>Ind AS compliant</w:t>
      </w:r>
      <w:r w:rsidRPr="00E70587">
        <w:rPr>
          <w:rFonts w:ascii="Arial" w:hAnsi="Arial" w:cs="Arial"/>
          <w:sz w:val="22"/>
          <w:szCs w:val="22"/>
        </w:rPr>
        <w:t xml:space="preserve"> Schedule </w:t>
      </w:r>
      <w:r w:rsidR="005979BD" w:rsidRPr="00E70587">
        <w:rPr>
          <w:rFonts w:ascii="Arial" w:hAnsi="Arial" w:cs="Arial"/>
          <w:sz w:val="22"/>
          <w:szCs w:val="22"/>
        </w:rPr>
        <w:t xml:space="preserve">III </w:t>
      </w:r>
      <w:r w:rsidRPr="00E70587">
        <w:rPr>
          <w:rFonts w:ascii="Arial" w:hAnsi="Arial" w:cs="Arial"/>
          <w:sz w:val="22"/>
          <w:szCs w:val="22"/>
        </w:rPr>
        <w:t>or with such modification as may be requir</w:t>
      </w:r>
      <w:r w:rsidR="005979BD" w:rsidRPr="00E70587">
        <w:rPr>
          <w:rFonts w:ascii="Arial" w:hAnsi="Arial" w:cs="Arial"/>
          <w:sz w:val="22"/>
          <w:szCs w:val="22"/>
        </w:rPr>
        <w:t>ed under certain circumstances.</w:t>
      </w:r>
      <w:r w:rsidRPr="00E70587">
        <w:rPr>
          <w:rFonts w:ascii="Arial" w:hAnsi="Arial" w:cs="Arial"/>
          <w:sz w:val="22"/>
          <w:szCs w:val="22"/>
        </w:rPr>
        <w:t xml:space="preserve"> </w:t>
      </w:r>
    </w:p>
    <w:p w14:paraId="3686D928" w14:textId="77777777" w:rsidR="00E26736" w:rsidRPr="00E70587" w:rsidRDefault="00E26736" w:rsidP="00E466DD">
      <w:pPr>
        <w:pStyle w:val="ListParagraph"/>
        <w:numPr>
          <w:ilvl w:val="0"/>
          <w:numId w:val="28"/>
        </w:numPr>
        <w:overflowPunct/>
        <w:autoSpaceDE/>
        <w:autoSpaceDN/>
        <w:adjustRightInd/>
        <w:spacing w:before="120" w:line="280" w:lineRule="exact"/>
        <w:ind w:hanging="720"/>
        <w:contextualSpacing w:val="0"/>
        <w:jc w:val="both"/>
        <w:textAlignment w:val="auto"/>
        <w:rPr>
          <w:rFonts w:ascii="Arial" w:hAnsi="Arial" w:cs="Arial"/>
          <w:sz w:val="22"/>
          <w:szCs w:val="22"/>
        </w:rPr>
      </w:pPr>
      <w:r w:rsidRPr="00E70587">
        <w:rPr>
          <w:rFonts w:ascii="Arial" w:hAnsi="Arial" w:cs="Arial"/>
          <w:sz w:val="22"/>
          <w:szCs w:val="22"/>
        </w:rPr>
        <w:t xml:space="preserve">Where compliance with the requirements of the </w:t>
      </w:r>
      <w:r w:rsidR="005979BD" w:rsidRPr="00E70587">
        <w:rPr>
          <w:rFonts w:ascii="Arial" w:hAnsi="Arial" w:cs="Arial"/>
          <w:sz w:val="22"/>
          <w:szCs w:val="22"/>
        </w:rPr>
        <w:t xml:space="preserve">Companies </w:t>
      </w:r>
      <w:r w:rsidRPr="00E70587">
        <w:rPr>
          <w:rFonts w:ascii="Arial" w:hAnsi="Arial" w:cs="Arial"/>
          <w:sz w:val="22"/>
          <w:szCs w:val="22"/>
        </w:rPr>
        <w:t>Act</w:t>
      </w:r>
      <w:r w:rsidR="005979BD" w:rsidRPr="00E70587">
        <w:rPr>
          <w:rFonts w:ascii="Arial" w:hAnsi="Arial" w:cs="Arial"/>
          <w:sz w:val="22"/>
          <w:szCs w:val="22"/>
        </w:rPr>
        <w:t>, 2013</w:t>
      </w:r>
      <w:r w:rsidRPr="00E70587">
        <w:rPr>
          <w:rFonts w:ascii="Arial" w:hAnsi="Arial" w:cs="Arial"/>
          <w:sz w:val="22"/>
          <w:szCs w:val="22"/>
        </w:rPr>
        <w:t xml:space="preserve"> including Ind AS </w:t>
      </w:r>
      <w:proofErr w:type="spellStart"/>
      <w:r w:rsidRPr="00E70587">
        <w:rPr>
          <w:rFonts w:ascii="Arial" w:hAnsi="Arial" w:cs="Arial"/>
          <w:sz w:val="22"/>
          <w:szCs w:val="22"/>
        </w:rPr>
        <w:t>as</w:t>
      </w:r>
      <w:proofErr w:type="spellEnd"/>
      <w:r w:rsidRPr="00E70587">
        <w:rPr>
          <w:rFonts w:ascii="Arial" w:hAnsi="Arial" w:cs="Arial"/>
          <w:sz w:val="22"/>
          <w:szCs w:val="22"/>
        </w:rPr>
        <w:t xml:space="preserve"> applicable to the companies require</w:t>
      </w:r>
      <w:r w:rsidR="005954C8" w:rsidRPr="00E70587">
        <w:rPr>
          <w:rFonts w:ascii="Arial" w:hAnsi="Arial" w:cs="Arial"/>
          <w:sz w:val="22"/>
          <w:szCs w:val="22"/>
        </w:rPr>
        <w:t>s</w:t>
      </w:r>
      <w:r w:rsidRPr="00E70587">
        <w:rPr>
          <w:rFonts w:ascii="Arial" w:hAnsi="Arial" w:cs="Arial"/>
          <w:sz w:val="22"/>
          <w:szCs w:val="22"/>
        </w:rPr>
        <w:t xml:space="preserve"> any change in treatment or disclosure including addition, amendment, substitution or deletion in the head/</w:t>
      </w:r>
      <w:r w:rsidR="006E732E" w:rsidRPr="00E70587">
        <w:rPr>
          <w:rFonts w:ascii="Arial" w:hAnsi="Arial" w:cs="Arial"/>
          <w:sz w:val="22"/>
          <w:szCs w:val="22"/>
        </w:rPr>
        <w:t xml:space="preserve"> </w:t>
      </w:r>
      <w:r w:rsidRPr="00E70587">
        <w:rPr>
          <w:rFonts w:ascii="Arial" w:hAnsi="Arial" w:cs="Arial"/>
          <w:sz w:val="22"/>
          <w:szCs w:val="22"/>
        </w:rPr>
        <w:t xml:space="preserve">sub-head or any changes </w:t>
      </w:r>
      <w:r w:rsidRPr="00E70587">
        <w:rPr>
          <w:rFonts w:ascii="Arial" w:hAnsi="Arial" w:cs="Arial"/>
          <w:i/>
          <w:sz w:val="22"/>
          <w:szCs w:val="22"/>
        </w:rPr>
        <w:t>inter se</w:t>
      </w:r>
      <w:r w:rsidRPr="00E70587">
        <w:rPr>
          <w:rFonts w:ascii="Arial" w:hAnsi="Arial" w:cs="Arial"/>
          <w:sz w:val="22"/>
          <w:szCs w:val="22"/>
        </w:rPr>
        <w:t xml:space="preserve">, in the financial statements or statements forming part thereof, the same will be made and the requirements of </w:t>
      </w:r>
      <w:r w:rsidR="005954C8" w:rsidRPr="00E70587">
        <w:rPr>
          <w:rFonts w:ascii="Arial" w:hAnsi="Arial" w:cs="Arial"/>
          <w:sz w:val="22"/>
          <w:szCs w:val="22"/>
        </w:rPr>
        <w:t>the</w:t>
      </w:r>
      <w:r w:rsidRPr="00E70587">
        <w:rPr>
          <w:rFonts w:ascii="Arial" w:hAnsi="Arial" w:cs="Arial"/>
          <w:sz w:val="22"/>
          <w:szCs w:val="22"/>
        </w:rPr>
        <w:t xml:space="preserve"> Schedule will stand modified accordingly.</w:t>
      </w:r>
    </w:p>
    <w:p w14:paraId="6E459B89" w14:textId="77777777" w:rsidR="00E26736" w:rsidRPr="00E70587" w:rsidRDefault="00E26736" w:rsidP="00E466DD">
      <w:pPr>
        <w:pStyle w:val="ListParagraph"/>
        <w:numPr>
          <w:ilvl w:val="0"/>
          <w:numId w:val="28"/>
        </w:numPr>
        <w:overflowPunct/>
        <w:autoSpaceDE/>
        <w:autoSpaceDN/>
        <w:adjustRightInd/>
        <w:spacing w:before="120" w:line="280" w:lineRule="exact"/>
        <w:ind w:hanging="720"/>
        <w:contextualSpacing w:val="0"/>
        <w:jc w:val="both"/>
        <w:textAlignment w:val="auto"/>
        <w:rPr>
          <w:rFonts w:ascii="Arial" w:hAnsi="Arial" w:cs="Arial"/>
          <w:sz w:val="22"/>
          <w:szCs w:val="22"/>
        </w:rPr>
      </w:pPr>
      <w:r w:rsidRPr="00E70587">
        <w:rPr>
          <w:rFonts w:ascii="Arial" w:hAnsi="Arial" w:cs="Arial"/>
          <w:sz w:val="22"/>
          <w:szCs w:val="22"/>
        </w:rPr>
        <w:t xml:space="preserve">The disclosure requirements specified in the Schedule are in addition to and not in substitution of the disclosure requirements specified in the Ind AS. Additional disclosures specified in the Ind AS will be made in the </w:t>
      </w:r>
      <w:r w:rsidR="006E732E" w:rsidRPr="00E70587">
        <w:rPr>
          <w:rFonts w:ascii="Arial" w:hAnsi="Arial" w:cs="Arial"/>
          <w:sz w:val="22"/>
          <w:szCs w:val="22"/>
        </w:rPr>
        <w:t>n</w:t>
      </w:r>
      <w:r w:rsidRPr="00E70587">
        <w:rPr>
          <w:rFonts w:ascii="Arial" w:hAnsi="Arial" w:cs="Arial"/>
          <w:sz w:val="22"/>
          <w:szCs w:val="22"/>
        </w:rPr>
        <w:t xml:space="preserve">otes or by way of additional statement(s) unless required to be disclosed on the face of the financial statements. Similarly, all other disclosures as required by the Companies Act, 2013 will be made in the </w:t>
      </w:r>
      <w:r w:rsidR="005954C8" w:rsidRPr="00E70587">
        <w:rPr>
          <w:rFonts w:ascii="Arial" w:hAnsi="Arial" w:cs="Arial"/>
          <w:sz w:val="22"/>
          <w:szCs w:val="22"/>
        </w:rPr>
        <w:t>n</w:t>
      </w:r>
      <w:r w:rsidRPr="00E70587">
        <w:rPr>
          <w:rFonts w:ascii="Arial" w:hAnsi="Arial" w:cs="Arial"/>
          <w:sz w:val="22"/>
          <w:szCs w:val="22"/>
        </w:rPr>
        <w:t xml:space="preserve">otes in addition to the requirements set out in </w:t>
      </w:r>
      <w:r w:rsidR="005954C8" w:rsidRPr="00E70587">
        <w:rPr>
          <w:rFonts w:ascii="Arial" w:hAnsi="Arial" w:cs="Arial"/>
          <w:sz w:val="22"/>
          <w:szCs w:val="22"/>
        </w:rPr>
        <w:t>the</w:t>
      </w:r>
      <w:r w:rsidRPr="00E70587">
        <w:rPr>
          <w:rFonts w:ascii="Arial" w:hAnsi="Arial" w:cs="Arial"/>
          <w:sz w:val="22"/>
          <w:szCs w:val="22"/>
        </w:rPr>
        <w:t xml:space="preserve"> Schedule.</w:t>
      </w:r>
    </w:p>
    <w:p w14:paraId="7F6CC5F6" w14:textId="77777777" w:rsidR="00E26736" w:rsidRPr="00E70587" w:rsidRDefault="00E26736" w:rsidP="00E466DD">
      <w:pPr>
        <w:pStyle w:val="ListParagraph"/>
        <w:numPr>
          <w:ilvl w:val="0"/>
          <w:numId w:val="28"/>
        </w:numPr>
        <w:overflowPunct/>
        <w:autoSpaceDE/>
        <w:autoSpaceDN/>
        <w:adjustRightInd/>
        <w:spacing w:before="120" w:line="280" w:lineRule="exact"/>
        <w:ind w:hanging="720"/>
        <w:contextualSpacing w:val="0"/>
        <w:jc w:val="both"/>
        <w:textAlignment w:val="auto"/>
        <w:rPr>
          <w:rFonts w:ascii="Arial" w:hAnsi="Arial" w:cs="Arial"/>
          <w:sz w:val="22"/>
          <w:szCs w:val="22"/>
        </w:rPr>
      </w:pPr>
      <w:r w:rsidRPr="00E70587">
        <w:rPr>
          <w:rFonts w:ascii="Arial" w:hAnsi="Arial" w:cs="Arial"/>
          <w:sz w:val="22"/>
          <w:szCs w:val="22"/>
        </w:rPr>
        <w:t>Notes will contain information in addition to that presented in the financial statements and will provide where required (a) narrative descriptions or disaggregation of items recognized in those statements</w:t>
      </w:r>
      <w:r w:rsidR="00DD30D9" w:rsidRPr="00E70587">
        <w:rPr>
          <w:rFonts w:ascii="Arial" w:hAnsi="Arial" w:cs="Arial"/>
          <w:sz w:val="22"/>
          <w:szCs w:val="22"/>
        </w:rPr>
        <w:t>,</w:t>
      </w:r>
      <w:r w:rsidRPr="00E70587">
        <w:rPr>
          <w:rFonts w:ascii="Arial" w:hAnsi="Arial" w:cs="Arial"/>
          <w:sz w:val="22"/>
          <w:szCs w:val="22"/>
        </w:rPr>
        <w:t xml:space="preserve"> and (b) information about items that do not qualify for recognition in those statements.</w:t>
      </w:r>
    </w:p>
    <w:p w14:paraId="0AF35D7D" w14:textId="77777777" w:rsidR="00E26736" w:rsidRPr="00E70587" w:rsidRDefault="00E26736" w:rsidP="00E466DD">
      <w:pPr>
        <w:pStyle w:val="ListParagraph"/>
        <w:numPr>
          <w:ilvl w:val="0"/>
          <w:numId w:val="28"/>
        </w:numPr>
        <w:overflowPunct/>
        <w:autoSpaceDE/>
        <w:autoSpaceDN/>
        <w:adjustRightInd/>
        <w:spacing w:before="120" w:line="280" w:lineRule="exact"/>
        <w:ind w:hanging="720"/>
        <w:contextualSpacing w:val="0"/>
        <w:jc w:val="both"/>
        <w:textAlignment w:val="auto"/>
        <w:rPr>
          <w:rFonts w:ascii="Arial" w:hAnsi="Arial" w:cs="Arial"/>
          <w:sz w:val="22"/>
          <w:szCs w:val="22"/>
        </w:rPr>
      </w:pPr>
      <w:r w:rsidRPr="00E70587">
        <w:rPr>
          <w:rFonts w:ascii="Arial" w:hAnsi="Arial" w:cs="Arial"/>
          <w:sz w:val="22"/>
          <w:szCs w:val="22"/>
        </w:rPr>
        <w:t xml:space="preserve">Each item on the face of the Balance Sheet, Statement of Changes in Equity and Statement of Profit and Loss will be cross-referenced to any related information in the notes. In preparing the financial statements including the notes, a balance </w:t>
      </w:r>
      <w:r w:rsidR="00DD30D9" w:rsidRPr="00E70587">
        <w:rPr>
          <w:rFonts w:ascii="Arial" w:hAnsi="Arial" w:cs="Arial"/>
          <w:sz w:val="22"/>
          <w:szCs w:val="22"/>
        </w:rPr>
        <w:t xml:space="preserve">will </w:t>
      </w:r>
      <w:r w:rsidRPr="00E70587">
        <w:rPr>
          <w:rFonts w:ascii="Arial" w:hAnsi="Arial" w:cs="Arial"/>
          <w:sz w:val="22"/>
          <w:szCs w:val="22"/>
        </w:rPr>
        <w:t>be maintained between providing excessive detail that may not assist users of Financial Statements and not providing important information as a result of too much aggregation.</w:t>
      </w:r>
    </w:p>
    <w:p w14:paraId="49D2B84E" w14:textId="77777777" w:rsidR="00E26736" w:rsidRPr="00E70587" w:rsidRDefault="00E26736" w:rsidP="00E466DD">
      <w:pPr>
        <w:pStyle w:val="ListParagraph"/>
        <w:numPr>
          <w:ilvl w:val="0"/>
          <w:numId w:val="28"/>
        </w:numPr>
        <w:overflowPunct/>
        <w:autoSpaceDE/>
        <w:autoSpaceDN/>
        <w:adjustRightInd/>
        <w:spacing w:before="120" w:line="280" w:lineRule="exact"/>
        <w:ind w:hanging="720"/>
        <w:contextualSpacing w:val="0"/>
        <w:jc w:val="both"/>
        <w:textAlignment w:val="auto"/>
        <w:rPr>
          <w:rFonts w:ascii="Arial" w:hAnsi="Arial" w:cs="Arial"/>
          <w:sz w:val="22"/>
          <w:szCs w:val="22"/>
        </w:rPr>
      </w:pPr>
      <w:r w:rsidRPr="00E70587">
        <w:rPr>
          <w:rFonts w:ascii="Arial" w:hAnsi="Arial" w:cs="Arial"/>
          <w:sz w:val="22"/>
          <w:szCs w:val="22"/>
        </w:rPr>
        <w:t xml:space="preserve">Depending upon the turnover of the company, the figures appearing in the financial statements </w:t>
      </w:r>
      <w:r w:rsidR="00EB2D7A" w:rsidRPr="00E70587">
        <w:rPr>
          <w:rFonts w:ascii="Arial" w:hAnsi="Arial" w:cs="Arial"/>
          <w:sz w:val="22"/>
          <w:szCs w:val="22"/>
        </w:rPr>
        <w:t xml:space="preserve">shall </w:t>
      </w:r>
      <w:r w:rsidRPr="00E70587">
        <w:rPr>
          <w:rFonts w:ascii="Arial" w:hAnsi="Arial" w:cs="Arial"/>
          <w:sz w:val="22"/>
          <w:szCs w:val="22"/>
        </w:rPr>
        <w:t>be rounded off as below:</w:t>
      </w:r>
    </w:p>
    <w:p w14:paraId="33F5701D" w14:textId="77777777" w:rsidR="00E26736" w:rsidRPr="00E70587" w:rsidRDefault="00E26736" w:rsidP="00E26736">
      <w:pPr>
        <w:pStyle w:val="ListParagraph"/>
        <w:overflowPunct/>
        <w:autoSpaceDE/>
        <w:autoSpaceDN/>
        <w:adjustRightInd/>
        <w:spacing w:before="120" w:line="280" w:lineRule="exact"/>
        <w:jc w:val="both"/>
        <w:textAlignment w:val="auto"/>
        <w:rPr>
          <w:rFonts w:ascii="Arial" w:hAnsi="Arial" w:cs="Arial"/>
          <w:sz w:val="22"/>
          <w:szCs w:val="22"/>
        </w:rPr>
      </w:pPr>
    </w:p>
    <w:tbl>
      <w:tblPr>
        <w:tblW w:w="8856" w:type="dxa"/>
        <w:jc w:val="right"/>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77"/>
        <w:gridCol w:w="5379"/>
      </w:tblGrid>
      <w:tr w:rsidR="00E26736" w:rsidRPr="00E70587" w14:paraId="7B349431" w14:textId="77777777" w:rsidTr="006E732E">
        <w:trPr>
          <w:trHeight w:val="109"/>
          <w:jc w:val="right"/>
        </w:trPr>
        <w:tc>
          <w:tcPr>
            <w:tcW w:w="3770" w:type="dxa"/>
            <w:shd w:val="clear" w:color="auto" w:fill="C1C1C1" w:themeFill="background1" w:themeFillTint="66"/>
          </w:tcPr>
          <w:p w14:paraId="69DAD1F6" w14:textId="77777777" w:rsidR="00E26736" w:rsidRPr="00E70587" w:rsidRDefault="00E26736" w:rsidP="006E732E">
            <w:pPr>
              <w:pStyle w:val="Default"/>
              <w:spacing w:before="60" w:after="60"/>
              <w:jc w:val="center"/>
              <w:rPr>
                <w:rFonts w:ascii="Arial" w:hAnsi="Arial" w:cs="Arial"/>
                <w:sz w:val="22"/>
                <w:szCs w:val="22"/>
                <w:lang w:val="en-US"/>
              </w:rPr>
            </w:pPr>
            <w:r w:rsidRPr="00E70587">
              <w:rPr>
                <w:rFonts w:ascii="Arial" w:hAnsi="Arial" w:cs="Arial"/>
                <w:b/>
                <w:bCs/>
                <w:sz w:val="22"/>
                <w:szCs w:val="22"/>
              </w:rPr>
              <w:t>Turnover</w:t>
            </w:r>
          </w:p>
        </w:tc>
        <w:tc>
          <w:tcPr>
            <w:tcW w:w="5845" w:type="dxa"/>
            <w:shd w:val="clear" w:color="auto" w:fill="C1C1C1" w:themeFill="background1" w:themeFillTint="66"/>
          </w:tcPr>
          <w:p w14:paraId="0AB5CADF" w14:textId="77777777" w:rsidR="00E26736" w:rsidRPr="00E70587" w:rsidRDefault="00E26736" w:rsidP="006E732E">
            <w:pPr>
              <w:pStyle w:val="Default"/>
              <w:spacing w:before="60" w:after="60"/>
              <w:jc w:val="center"/>
              <w:rPr>
                <w:rFonts w:ascii="Arial" w:hAnsi="Arial" w:cs="Arial"/>
                <w:sz w:val="22"/>
                <w:szCs w:val="22"/>
                <w:lang w:val="en-US"/>
              </w:rPr>
            </w:pPr>
            <w:r w:rsidRPr="00E70587">
              <w:rPr>
                <w:rFonts w:ascii="Arial" w:hAnsi="Arial" w:cs="Arial"/>
                <w:b/>
                <w:bCs/>
                <w:sz w:val="22"/>
                <w:szCs w:val="22"/>
              </w:rPr>
              <w:t>Rounding off</w:t>
            </w:r>
          </w:p>
        </w:tc>
      </w:tr>
      <w:tr w:rsidR="00E26736" w:rsidRPr="00E70587" w14:paraId="6905AB3D" w14:textId="77777777" w:rsidTr="006E732E">
        <w:trPr>
          <w:trHeight w:val="240"/>
          <w:jc w:val="right"/>
        </w:trPr>
        <w:tc>
          <w:tcPr>
            <w:tcW w:w="3770" w:type="dxa"/>
          </w:tcPr>
          <w:p w14:paraId="2B260B12" w14:textId="77777777" w:rsidR="00E26736" w:rsidRPr="00E70587" w:rsidRDefault="006E732E" w:rsidP="006E732E">
            <w:pPr>
              <w:pStyle w:val="Default"/>
              <w:spacing w:before="60" w:after="60"/>
              <w:rPr>
                <w:rFonts w:ascii="Arial" w:hAnsi="Arial" w:cs="Arial"/>
                <w:sz w:val="22"/>
                <w:szCs w:val="22"/>
                <w:lang w:val="en-US"/>
              </w:rPr>
            </w:pPr>
            <w:r w:rsidRPr="00E70587">
              <w:rPr>
                <w:rFonts w:ascii="Arial" w:hAnsi="Arial" w:cs="Arial"/>
                <w:sz w:val="22"/>
                <w:szCs w:val="22"/>
                <w:lang w:val="en-US"/>
              </w:rPr>
              <w:t>L</w:t>
            </w:r>
            <w:r w:rsidR="00E26736" w:rsidRPr="00E70587">
              <w:rPr>
                <w:rFonts w:ascii="Arial" w:hAnsi="Arial" w:cs="Arial"/>
                <w:sz w:val="22"/>
                <w:szCs w:val="22"/>
              </w:rPr>
              <w:t>ess than one hundred crore rupees</w:t>
            </w:r>
          </w:p>
        </w:tc>
        <w:tc>
          <w:tcPr>
            <w:tcW w:w="5845" w:type="dxa"/>
          </w:tcPr>
          <w:p w14:paraId="6D838156" w14:textId="77777777" w:rsidR="00E26736" w:rsidRPr="00E70587" w:rsidRDefault="00E26736" w:rsidP="00E26736">
            <w:pPr>
              <w:pStyle w:val="Default"/>
              <w:spacing w:before="60" w:after="60"/>
              <w:rPr>
                <w:rFonts w:ascii="Arial" w:hAnsi="Arial" w:cs="Arial"/>
                <w:sz w:val="22"/>
                <w:szCs w:val="22"/>
                <w:lang w:val="en-US"/>
              </w:rPr>
            </w:pPr>
            <w:r w:rsidRPr="00E70587">
              <w:rPr>
                <w:rFonts w:ascii="Arial" w:hAnsi="Arial" w:cs="Arial"/>
                <w:sz w:val="22"/>
                <w:szCs w:val="22"/>
              </w:rPr>
              <w:t>To the nearest hundreds, thousands, lakhs or millions, or decimals thereof.</w:t>
            </w:r>
          </w:p>
        </w:tc>
      </w:tr>
      <w:tr w:rsidR="00E26736" w:rsidRPr="00E70587" w14:paraId="323C6472" w14:textId="77777777" w:rsidTr="006E732E">
        <w:trPr>
          <w:trHeight w:val="240"/>
          <w:jc w:val="right"/>
        </w:trPr>
        <w:tc>
          <w:tcPr>
            <w:tcW w:w="3770" w:type="dxa"/>
          </w:tcPr>
          <w:p w14:paraId="19872BB0" w14:textId="77777777" w:rsidR="00E26736" w:rsidRPr="00E70587" w:rsidRDefault="006E732E" w:rsidP="006E732E">
            <w:pPr>
              <w:pStyle w:val="Default"/>
              <w:spacing w:before="60" w:after="60"/>
              <w:rPr>
                <w:rFonts w:ascii="Arial" w:hAnsi="Arial" w:cs="Arial"/>
                <w:sz w:val="22"/>
                <w:szCs w:val="22"/>
                <w:lang w:val="en-US"/>
              </w:rPr>
            </w:pPr>
            <w:r w:rsidRPr="00E70587">
              <w:rPr>
                <w:rFonts w:ascii="Arial" w:hAnsi="Arial" w:cs="Arial"/>
                <w:sz w:val="22"/>
                <w:szCs w:val="22"/>
                <w:lang w:val="en-US"/>
              </w:rPr>
              <w:t>O</w:t>
            </w:r>
            <w:r w:rsidR="00E26736" w:rsidRPr="00E70587">
              <w:rPr>
                <w:rFonts w:ascii="Arial" w:hAnsi="Arial" w:cs="Arial"/>
                <w:sz w:val="22"/>
                <w:szCs w:val="22"/>
              </w:rPr>
              <w:t>ne hundred crore rupees or more</w:t>
            </w:r>
          </w:p>
        </w:tc>
        <w:tc>
          <w:tcPr>
            <w:tcW w:w="5845" w:type="dxa"/>
          </w:tcPr>
          <w:p w14:paraId="71A3C152" w14:textId="77777777" w:rsidR="00E26736" w:rsidRPr="00E70587" w:rsidRDefault="00E26736" w:rsidP="00E26736">
            <w:pPr>
              <w:pStyle w:val="Default"/>
              <w:spacing w:before="60" w:after="60"/>
              <w:rPr>
                <w:rFonts w:ascii="Arial" w:hAnsi="Arial" w:cs="Arial"/>
                <w:sz w:val="22"/>
                <w:szCs w:val="22"/>
                <w:lang w:val="en-US"/>
              </w:rPr>
            </w:pPr>
            <w:r w:rsidRPr="00E70587">
              <w:rPr>
                <w:rFonts w:ascii="Arial" w:hAnsi="Arial" w:cs="Arial"/>
                <w:sz w:val="22"/>
                <w:szCs w:val="22"/>
              </w:rPr>
              <w:t>To the nearest, lakhs, millions or crores, or decimals thereof.</w:t>
            </w:r>
          </w:p>
        </w:tc>
      </w:tr>
    </w:tbl>
    <w:p w14:paraId="51E6346B" w14:textId="21EFDE81" w:rsidR="00E26736" w:rsidRPr="00E70587" w:rsidRDefault="00E26736" w:rsidP="00E26736">
      <w:pPr>
        <w:overflowPunct/>
        <w:autoSpaceDE/>
        <w:autoSpaceDN/>
        <w:adjustRightInd/>
        <w:spacing w:before="120" w:line="280" w:lineRule="exact"/>
        <w:ind w:left="720"/>
        <w:jc w:val="both"/>
        <w:textAlignment w:val="auto"/>
        <w:rPr>
          <w:rFonts w:ascii="Arial" w:hAnsi="Arial" w:cs="Arial"/>
          <w:sz w:val="22"/>
          <w:szCs w:val="22"/>
        </w:rPr>
      </w:pPr>
      <w:r w:rsidRPr="00E70587">
        <w:rPr>
          <w:rFonts w:ascii="Arial" w:hAnsi="Arial" w:cs="Arial"/>
          <w:sz w:val="22"/>
          <w:szCs w:val="22"/>
        </w:rPr>
        <w:t xml:space="preserve">Once a unit of measurement is used, it should be used uniformly in the </w:t>
      </w:r>
      <w:r w:rsidR="006E732E" w:rsidRPr="00E70587">
        <w:rPr>
          <w:rFonts w:ascii="Arial" w:hAnsi="Arial" w:cs="Arial"/>
          <w:sz w:val="22"/>
          <w:szCs w:val="22"/>
        </w:rPr>
        <w:t>f</w:t>
      </w:r>
      <w:r w:rsidRPr="00E70587">
        <w:rPr>
          <w:rFonts w:ascii="Arial" w:hAnsi="Arial" w:cs="Arial"/>
          <w:sz w:val="22"/>
          <w:szCs w:val="22"/>
        </w:rPr>
        <w:t xml:space="preserve">inancial </w:t>
      </w:r>
      <w:r w:rsidR="006E732E" w:rsidRPr="00E70587">
        <w:rPr>
          <w:rFonts w:ascii="Arial" w:hAnsi="Arial" w:cs="Arial"/>
          <w:sz w:val="22"/>
          <w:szCs w:val="22"/>
        </w:rPr>
        <w:t>s</w:t>
      </w:r>
      <w:r w:rsidRPr="00E70587">
        <w:rPr>
          <w:rFonts w:ascii="Arial" w:hAnsi="Arial" w:cs="Arial"/>
          <w:sz w:val="22"/>
          <w:szCs w:val="22"/>
        </w:rPr>
        <w:t>tatements.</w:t>
      </w:r>
      <w:r w:rsidR="00017EAE">
        <w:rPr>
          <w:rFonts w:ascii="Arial" w:hAnsi="Arial" w:cs="Arial"/>
          <w:sz w:val="22"/>
          <w:szCs w:val="22"/>
        </w:rPr>
        <w:t xml:space="preserve"> </w:t>
      </w:r>
      <w:r w:rsidR="00017EAE" w:rsidRPr="00017EAE">
        <w:rPr>
          <w:rFonts w:ascii="Arial" w:hAnsi="Arial" w:cs="Arial"/>
          <w:sz w:val="22"/>
          <w:szCs w:val="22"/>
        </w:rPr>
        <w:t>Rounding off is mandatory under Ind AS compliant schedule III financial statements</w:t>
      </w:r>
    </w:p>
    <w:p w14:paraId="0775BFE5" w14:textId="77777777" w:rsidR="00E26736" w:rsidRPr="00E70587" w:rsidRDefault="00E26736" w:rsidP="00E466DD">
      <w:pPr>
        <w:pStyle w:val="ListParagraph"/>
        <w:numPr>
          <w:ilvl w:val="0"/>
          <w:numId w:val="28"/>
        </w:numPr>
        <w:overflowPunct/>
        <w:autoSpaceDE/>
        <w:autoSpaceDN/>
        <w:adjustRightInd/>
        <w:spacing w:before="120" w:line="280" w:lineRule="exact"/>
        <w:ind w:hanging="720"/>
        <w:contextualSpacing w:val="0"/>
        <w:jc w:val="both"/>
        <w:textAlignment w:val="auto"/>
        <w:rPr>
          <w:rFonts w:ascii="Arial" w:hAnsi="Arial" w:cs="Arial"/>
          <w:sz w:val="22"/>
          <w:szCs w:val="22"/>
        </w:rPr>
      </w:pPr>
      <w:r w:rsidRPr="00E70587">
        <w:rPr>
          <w:rFonts w:ascii="Arial" w:hAnsi="Arial" w:cs="Arial"/>
          <w:sz w:val="22"/>
          <w:szCs w:val="22"/>
        </w:rPr>
        <w:t>Financials statements will contain the corresponding amounts (comparatives) for the immediately preceding reporting period for all items shown in the financial statements including notes except in the case of first financial statements laid before the company after incorporation.</w:t>
      </w:r>
    </w:p>
    <w:p w14:paraId="4B4F718F" w14:textId="77777777" w:rsidR="00E26736" w:rsidRPr="00E70587" w:rsidRDefault="00E26736" w:rsidP="00E466DD">
      <w:pPr>
        <w:pStyle w:val="ListParagraph"/>
        <w:numPr>
          <w:ilvl w:val="0"/>
          <w:numId w:val="28"/>
        </w:numPr>
        <w:overflowPunct/>
        <w:autoSpaceDE/>
        <w:autoSpaceDN/>
        <w:adjustRightInd/>
        <w:spacing w:before="120" w:line="280" w:lineRule="exact"/>
        <w:ind w:hanging="720"/>
        <w:contextualSpacing w:val="0"/>
        <w:jc w:val="both"/>
        <w:textAlignment w:val="auto"/>
        <w:rPr>
          <w:rFonts w:ascii="Arial" w:hAnsi="Arial" w:cs="Arial"/>
          <w:sz w:val="22"/>
          <w:szCs w:val="22"/>
        </w:rPr>
      </w:pPr>
      <w:r w:rsidRPr="00E70587">
        <w:rPr>
          <w:rFonts w:ascii="Arial" w:hAnsi="Arial" w:cs="Arial"/>
          <w:sz w:val="22"/>
          <w:szCs w:val="22"/>
        </w:rPr>
        <w:t>Financial statements will disclose all ‘material’ items, i.e., the items if they could, individually or collectively, influence the economic decisions that users make on the basis of the financial statements. Materiality depends on the size and nature of the item judged in the particular circumstances.</w:t>
      </w:r>
    </w:p>
    <w:p w14:paraId="41C44BB9" w14:textId="77777777" w:rsidR="00E26736" w:rsidRPr="00E70587" w:rsidRDefault="00E26736" w:rsidP="00E466DD">
      <w:pPr>
        <w:pStyle w:val="ListParagraph"/>
        <w:numPr>
          <w:ilvl w:val="0"/>
          <w:numId w:val="28"/>
        </w:numPr>
        <w:overflowPunct/>
        <w:autoSpaceDE/>
        <w:autoSpaceDN/>
        <w:adjustRightInd/>
        <w:spacing w:before="120" w:line="280" w:lineRule="exact"/>
        <w:ind w:hanging="720"/>
        <w:contextualSpacing w:val="0"/>
        <w:jc w:val="both"/>
        <w:textAlignment w:val="auto"/>
        <w:rPr>
          <w:rFonts w:ascii="Arial" w:hAnsi="Arial" w:cs="Arial"/>
          <w:sz w:val="22"/>
          <w:szCs w:val="22"/>
        </w:rPr>
      </w:pPr>
      <w:r w:rsidRPr="00E70587">
        <w:rPr>
          <w:rFonts w:ascii="Arial" w:hAnsi="Arial" w:cs="Arial"/>
          <w:sz w:val="22"/>
          <w:szCs w:val="22"/>
        </w:rPr>
        <w:t>For the purpose of the Schedule, the terms used herein will have same meanings assigned to them in Ind AS.</w:t>
      </w:r>
    </w:p>
    <w:p w14:paraId="2299CAB5" w14:textId="77777777" w:rsidR="00E26736" w:rsidRPr="00E70587" w:rsidRDefault="00E26736" w:rsidP="00E466DD">
      <w:pPr>
        <w:pStyle w:val="ListParagraph"/>
        <w:numPr>
          <w:ilvl w:val="0"/>
          <w:numId w:val="28"/>
        </w:numPr>
        <w:overflowPunct/>
        <w:autoSpaceDE/>
        <w:autoSpaceDN/>
        <w:adjustRightInd/>
        <w:spacing w:before="120" w:line="280" w:lineRule="exact"/>
        <w:ind w:hanging="720"/>
        <w:contextualSpacing w:val="0"/>
        <w:jc w:val="both"/>
        <w:textAlignment w:val="auto"/>
        <w:rPr>
          <w:rFonts w:ascii="Arial" w:hAnsi="Arial" w:cs="Arial"/>
          <w:sz w:val="22"/>
          <w:szCs w:val="22"/>
        </w:rPr>
      </w:pPr>
      <w:r w:rsidRPr="00E70587">
        <w:rPr>
          <w:rFonts w:ascii="Arial" w:hAnsi="Arial" w:cs="Arial"/>
          <w:sz w:val="22"/>
          <w:szCs w:val="22"/>
        </w:rPr>
        <w:lastRenderedPageBreak/>
        <w:t>Where any Act or Regulation requires specific disclosures to be made in the standalone financial statements of a company, the said disclosures will be made in addition to those required under the Schedule.</w:t>
      </w:r>
    </w:p>
    <w:p w14:paraId="010234B6" w14:textId="77777777" w:rsidR="00E26736" w:rsidRDefault="00E26736" w:rsidP="006E732E">
      <w:pPr>
        <w:overflowPunct/>
        <w:autoSpaceDE/>
        <w:autoSpaceDN/>
        <w:adjustRightInd/>
        <w:spacing w:line="280" w:lineRule="exact"/>
        <w:jc w:val="both"/>
        <w:textAlignment w:val="auto"/>
        <w:rPr>
          <w:rFonts w:ascii="Arial" w:hAnsi="Arial" w:cs="Arial"/>
          <w:sz w:val="22"/>
          <w:szCs w:val="22"/>
        </w:rPr>
      </w:pPr>
    </w:p>
    <w:p w14:paraId="28A7DCBA" w14:textId="23A02E74" w:rsidR="00017EAE" w:rsidRDefault="00017EAE" w:rsidP="00017EAE">
      <w:pPr>
        <w:overflowPunct/>
        <w:autoSpaceDE/>
        <w:autoSpaceDN/>
        <w:adjustRightInd/>
        <w:spacing w:line="280" w:lineRule="exact"/>
        <w:jc w:val="both"/>
        <w:textAlignment w:val="auto"/>
        <w:rPr>
          <w:rFonts w:ascii="Arial" w:hAnsi="Arial" w:cs="Arial"/>
          <w:sz w:val="22"/>
          <w:szCs w:val="22"/>
        </w:rPr>
      </w:pPr>
      <w:r w:rsidRPr="00017EAE">
        <w:rPr>
          <w:rFonts w:ascii="Arial" w:hAnsi="Arial" w:cs="Arial"/>
          <w:sz w:val="22"/>
          <w:szCs w:val="22"/>
        </w:rPr>
        <w:t>Note: The Schedule sets out the minimum requirements for disclosure on the face of the financial statements, i.e., Balance Sheet, Statement of Changes in Equity for the period, the Statement of Profit and Loss for the period and notes. Cash flow statement shall be prepared, where applicable, in accordance with the requirements of the relevant Ind AS.</w:t>
      </w:r>
    </w:p>
    <w:p w14:paraId="5322CCAA" w14:textId="77777777" w:rsidR="00017EAE" w:rsidRPr="00017EAE" w:rsidRDefault="00017EAE" w:rsidP="00017EAE">
      <w:pPr>
        <w:overflowPunct/>
        <w:autoSpaceDE/>
        <w:autoSpaceDN/>
        <w:adjustRightInd/>
        <w:spacing w:line="280" w:lineRule="exact"/>
        <w:jc w:val="both"/>
        <w:textAlignment w:val="auto"/>
        <w:rPr>
          <w:rFonts w:ascii="Arial" w:hAnsi="Arial" w:cs="Arial"/>
          <w:sz w:val="22"/>
          <w:szCs w:val="22"/>
        </w:rPr>
      </w:pPr>
    </w:p>
    <w:p w14:paraId="215937CD" w14:textId="01929EF3" w:rsidR="00BB6300" w:rsidRDefault="00017EAE" w:rsidP="00017EAE">
      <w:pPr>
        <w:overflowPunct/>
        <w:autoSpaceDE/>
        <w:autoSpaceDN/>
        <w:adjustRightInd/>
        <w:spacing w:line="280" w:lineRule="exact"/>
        <w:jc w:val="both"/>
        <w:textAlignment w:val="auto"/>
        <w:rPr>
          <w:rFonts w:ascii="Arial" w:hAnsi="Arial" w:cs="Arial"/>
          <w:sz w:val="22"/>
          <w:szCs w:val="22"/>
        </w:rPr>
      </w:pPr>
      <w:r w:rsidRPr="00017EAE">
        <w:rPr>
          <w:rFonts w:ascii="Arial" w:hAnsi="Arial" w:cs="Arial"/>
          <w:sz w:val="22"/>
          <w:szCs w:val="22"/>
        </w:rPr>
        <w:t>Line items, sub-line items and sub-totals will be presented as an addition or substitution on the face of the financial statements when such presentation is relevant to an understanding of the company’s financial position or performance or to cater to industry/sector-specific disclosure requirements or when required for compliance with the amendments to the Companies Act, 2013 or under the Ind AS.</w:t>
      </w:r>
    </w:p>
    <w:p w14:paraId="70E8876C" w14:textId="77777777" w:rsidR="00017EAE" w:rsidRPr="00E70587" w:rsidRDefault="00017EAE" w:rsidP="00017EAE">
      <w:pPr>
        <w:overflowPunct/>
        <w:autoSpaceDE/>
        <w:autoSpaceDN/>
        <w:adjustRightInd/>
        <w:spacing w:line="280" w:lineRule="exact"/>
        <w:jc w:val="both"/>
        <w:textAlignment w:val="auto"/>
        <w:rPr>
          <w:rFonts w:ascii="Arial" w:hAnsi="Arial" w:cs="Arial"/>
          <w:sz w:val="22"/>
          <w:szCs w:val="22"/>
        </w:rPr>
      </w:pPr>
    </w:p>
    <w:p w14:paraId="76BE697E" w14:textId="77777777" w:rsidR="00E26736" w:rsidRPr="00E70587" w:rsidRDefault="00E26736" w:rsidP="006E732E">
      <w:pPr>
        <w:overflowPunct/>
        <w:autoSpaceDE/>
        <w:autoSpaceDN/>
        <w:adjustRightInd/>
        <w:spacing w:line="280" w:lineRule="exact"/>
        <w:jc w:val="both"/>
        <w:textAlignment w:val="auto"/>
        <w:rPr>
          <w:rFonts w:ascii="Arial" w:hAnsi="Arial" w:cs="Arial"/>
          <w:b/>
          <w:sz w:val="22"/>
          <w:szCs w:val="22"/>
        </w:rPr>
      </w:pPr>
      <w:r w:rsidRPr="00E70587">
        <w:rPr>
          <w:rFonts w:ascii="Arial" w:hAnsi="Arial" w:cs="Arial"/>
          <w:b/>
          <w:sz w:val="22"/>
          <w:szCs w:val="22"/>
        </w:rPr>
        <w:t>General instructions for the preparation of Consolidated Financial Statements</w:t>
      </w:r>
    </w:p>
    <w:p w14:paraId="01E2058E" w14:textId="77777777" w:rsidR="00E26736" w:rsidRPr="00E70587" w:rsidRDefault="00E26736" w:rsidP="00E466DD">
      <w:pPr>
        <w:pStyle w:val="ListParagraph"/>
        <w:numPr>
          <w:ilvl w:val="0"/>
          <w:numId w:val="28"/>
        </w:numPr>
        <w:overflowPunct/>
        <w:autoSpaceDE/>
        <w:autoSpaceDN/>
        <w:adjustRightInd/>
        <w:spacing w:before="120" w:line="280" w:lineRule="exact"/>
        <w:ind w:hanging="720"/>
        <w:contextualSpacing w:val="0"/>
        <w:jc w:val="both"/>
        <w:textAlignment w:val="auto"/>
        <w:rPr>
          <w:rFonts w:ascii="Arial" w:hAnsi="Arial" w:cs="Arial"/>
          <w:sz w:val="22"/>
          <w:szCs w:val="22"/>
        </w:rPr>
      </w:pPr>
      <w:r w:rsidRPr="00E70587">
        <w:rPr>
          <w:rFonts w:ascii="Arial" w:hAnsi="Arial" w:cs="Arial"/>
          <w:sz w:val="22"/>
          <w:szCs w:val="22"/>
        </w:rPr>
        <w:t>Where a company is required to prepare Consolidated Financial Statements</w:t>
      </w:r>
      <w:r w:rsidR="00860ED4" w:rsidRPr="00E70587">
        <w:rPr>
          <w:rFonts w:ascii="Arial" w:hAnsi="Arial" w:cs="Arial"/>
          <w:sz w:val="22"/>
          <w:szCs w:val="22"/>
        </w:rPr>
        <w:t xml:space="preserve"> (CFS)</w:t>
      </w:r>
      <w:r w:rsidRPr="00E70587">
        <w:rPr>
          <w:rFonts w:ascii="Arial" w:hAnsi="Arial" w:cs="Arial"/>
          <w:sz w:val="22"/>
          <w:szCs w:val="22"/>
        </w:rPr>
        <w:t xml:space="preserve">, i.e., consolidated balance sheet, consolidated statement of changes in equity and consolidated statement of profit and loss, the company will </w:t>
      </w:r>
      <w:r w:rsidRPr="00E70587">
        <w:rPr>
          <w:rFonts w:ascii="Arial" w:hAnsi="Arial" w:cs="Arial"/>
          <w:i/>
          <w:sz w:val="22"/>
          <w:szCs w:val="22"/>
        </w:rPr>
        <w:t>mutatis mutandis</w:t>
      </w:r>
      <w:r w:rsidRPr="00E70587">
        <w:rPr>
          <w:rFonts w:ascii="Arial" w:hAnsi="Arial" w:cs="Arial"/>
          <w:sz w:val="22"/>
          <w:szCs w:val="22"/>
        </w:rPr>
        <w:t xml:space="preserve"> follow the requirements of the Schedule as applicable to a company in the preparation of balance sheet, statement of changes in equity and statement of profit and loss. In addition, the consolidated financial statements will disclose the information as per the requirements specified in the applicable Ind AS, including the following:</w:t>
      </w:r>
    </w:p>
    <w:p w14:paraId="56FBD8F3" w14:textId="77777777" w:rsidR="00E26736" w:rsidRPr="00E70587" w:rsidRDefault="00E26736" w:rsidP="00E466DD">
      <w:pPr>
        <w:pStyle w:val="ListParagraph"/>
        <w:numPr>
          <w:ilvl w:val="0"/>
          <w:numId w:val="34"/>
        </w:numPr>
        <w:overflowPunct/>
        <w:autoSpaceDE/>
        <w:autoSpaceDN/>
        <w:adjustRightInd/>
        <w:spacing w:before="120" w:line="280" w:lineRule="exact"/>
        <w:ind w:left="1440" w:hanging="720"/>
        <w:contextualSpacing w:val="0"/>
        <w:jc w:val="both"/>
        <w:textAlignment w:val="auto"/>
        <w:rPr>
          <w:rFonts w:ascii="Arial" w:hAnsi="Arial" w:cs="Arial"/>
          <w:sz w:val="22"/>
          <w:szCs w:val="22"/>
        </w:rPr>
      </w:pPr>
      <w:r w:rsidRPr="00E70587">
        <w:rPr>
          <w:rFonts w:ascii="Arial" w:hAnsi="Arial" w:cs="Arial"/>
          <w:sz w:val="22"/>
          <w:szCs w:val="22"/>
        </w:rPr>
        <w:t xml:space="preserve">Profit or loss attributable to ‘non-controlling interest’ and to ‘owners of the parent’ in the statement of profit and loss will be presented as allocation for the period. Further, ‘total comprehensive income’ for the period attributable to ‘non-controlling interest’ and to ‘owners of the parent’ will be presented in the statement of profit and loss as allocation for the period. The aforesaid disclosures for ‘total comprehensive income’ </w:t>
      </w:r>
      <w:r w:rsidR="005954C8" w:rsidRPr="00E70587">
        <w:rPr>
          <w:rFonts w:ascii="Arial" w:hAnsi="Arial" w:cs="Arial"/>
          <w:sz w:val="22"/>
          <w:szCs w:val="22"/>
        </w:rPr>
        <w:t>will</w:t>
      </w:r>
      <w:r w:rsidRPr="00E70587">
        <w:rPr>
          <w:rFonts w:ascii="Arial" w:hAnsi="Arial" w:cs="Arial"/>
          <w:sz w:val="22"/>
          <w:szCs w:val="22"/>
        </w:rPr>
        <w:t xml:space="preserve"> also be made in the statement of changes in equity. In addition to the disclosure requirements in the Ind AS, the aforesaid disclosures </w:t>
      </w:r>
      <w:r w:rsidR="005954C8" w:rsidRPr="00E70587">
        <w:rPr>
          <w:rFonts w:ascii="Arial" w:hAnsi="Arial" w:cs="Arial"/>
          <w:sz w:val="22"/>
          <w:szCs w:val="22"/>
        </w:rPr>
        <w:t>will</w:t>
      </w:r>
      <w:r w:rsidRPr="00E70587">
        <w:rPr>
          <w:rFonts w:ascii="Arial" w:hAnsi="Arial" w:cs="Arial"/>
          <w:sz w:val="22"/>
          <w:szCs w:val="22"/>
        </w:rPr>
        <w:t xml:space="preserve"> also be made in respect of ‘other comprehensive income’.</w:t>
      </w:r>
    </w:p>
    <w:p w14:paraId="16BEBD3F" w14:textId="77777777" w:rsidR="00E26736" w:rsidRPr="00E70587" w:rsidRDefault="00DD30D9" w:rsidP="00E466DD">
      <w:pPr>
        <w:pStyle w:val="ListParagraph"/>
        <w:numPr>
          <w:ilvl w:val="0"/>
          <w:numId w:val="34"/>
        </w:numPr>
        <w:overflowPunct/>
        <w:autoSpaceDE/>
        <w:autoSpaceDN/>
        <w:adjustRightInd/>
        <w:spacing w:before="120" w:line="280" w:lineRule="exact"/>
        <w:ind w:left="1440" w:hanging="720"/>
        <w:contextualSpacing w:val="0"/>
        <w:jc w:val="both"/>
        <w:textAlignment w:val="auto"/>
        <w:rPr>
          <w:rFonts w:ascii="Arial" w:hAnsi="Arial" w:cs="Arial"/>
          <w:sz w:val="22"/>
          <w:szCs w:val="22"/>
        </w:rPr>
      </w:pPr>
      <w:r w:rsidRPr="00E70587">
        <w:rPr>
          <w:rFonts w:ascii="Arial" w:hAnsi="Arial" w:cs="Arial"/>
          <w:sz w:val="22"/>
          <w:szCs w:val="22"/>
        </w:rPr>
        <w:t xml:space="preserve">In the Balance Sheet and the Statement of Changes in Equity, </w:t>
      </w:r>
      <w:r w:rsidR="00E26736" w:rsidRPr="00E70587">
        <w:rPr>
          <w:rFonts w:ascii="Arial" w:hAnsi="Arial" w:cs="Arial"/>
          <w:sz w:val="22"/>
          <w:szCs w:val="22"/>
        </w:rPr>
        <w:t xml:space="preserve">‘Non-controlling interests’ </w:t>
      </w:r>
      <w:r w:rsidR="005954C8" w:rsidRPr="00E70587">
        <w:rPr>
          <w:rFonts w:ascii="Arial" w:hAnsi="Arial" w:cs="Arial"/>
          <w:sz w:val="22"/>
          <w:szCs w:val="22"/>
        </w:rPr>
        <w:t>will</w:t>
      </w:r>
      <w:r w:rsidR="00E26736" w:rsidRPr="00E70587">
        <w:rPr>
          <w:rFonts w:ascii="Arial" w:hAnsi="Arial" w:cs="Arial"/>
          <w:sz w:val="22"/>
          <w:szCs w:val="22"/>
        </w:rPr>
        <w:t xml:space="preserve"> be presented </w:t>
      </w:r>
      <w:r w:rsidRPr="00E70587">
        <w:rPr>
          <w:rFonts w:ascii="Arial" w:hAnsi="Arial" w:cs="Arial"/>
          <w:sz w:val="22"/>
          <w:szCs w:val="22"/>
        </w:rPr>
        <w:t xml:space="preserve">within equity and </w:t>
      </w:r>
      <w:r w:rsidR="00E26736" w:rsidRPr="00E70587">
        <w:rPr>
          <w:rFonts w:ascii="Arial" w:hAnsi="Arial" w:cs="Arial"/>
          <w:sz w:val="22"/>
          <w:szCs w:val="22"/>
        </w:rPr>
        <w:t>separately from the equity of the ‘owners of the parent’.</w:t>
      </w:r>
    </w:p>
    <w:p w14:paraId="2E6ED1A3" w14:textId="77777777" w:rsidR="00E26736" w:rsidRPr="00E70587" w:rsidRDefault="00E26736" w:rsidP="00E466DD">
      <w:pPr>
        <w:pStyle w:val="ListParagraph"/>
        <w:numPr>
          <w:ilvl w:val="0"/>
          <w:numId w:val="34"/>
        </w:numPr>
        <w:overflowPunct/>
        <w:autoSpaceDE/>
        <w:autoSpaceDN/>
        <w:adjustRightInd/>
        <w:spacing w:before="120" w:line="280" w:lineRule="exact"/>
        <w:ind w:left="1440" w:hanging="720"/>
        <w:contextualSpacing w:val="0"/>
        <w:jc w:val="both"/>
        <w:textAlignment w:val="auto"/>
        <w:rPr>
          <w:rFonts w:ascii="Arial" w:hAnsi="Arial" w:cs="Arial"/>
          <w:sz w:val="22"/>
          <w:szCs w:val="22"/>
        </w:rPr>
      </w:pPr>
      <w:r w:rsidRPr="00E70587">
        <w:rPr>
          <w:rFonts w:ascii="Arial" w:hAnsi="Arial" w:cs="Arial"/>
          <w:sz w:val="22"/>
          <w:szCs w:val="22"/>
        </w:rPr>
        <w:t>Investments accounted for using the equity method.</w:t>
      </w:r>
    </w:p>
    <w:p w14:paraId="6C6D1315" w14:textId="039F04DB" w:rsidR="00E26736" w:rsidRPr="00E70587" w:rsidRDefault="00E26736" w:rsidP="00E466DD">
      <w:pPr>
        <w:pStyle w:val="ListParagraph"/>
        <w:numPr>
          <w:ilvl w:val="0"/>
          <w:numId w:val="28"/>
        </w:numPr>
        <w:overflowPunct/>
        <w:autoSpaceDE/>
        <w:autoSpaceDN/>
        <w:adjustRightInd/>
        <w:spacing w:before="120" w:line="280" w:lineRule="exact"/>
        <w:ind w:hanging="720"/>
        <w:contextualSpacing w:val="0"/>
        <w:jc w:val="both"/>
        <w:textAlignment w:val="auto"/>
        <w:rPr>
          <w:rFonts w:ascii="Arial" w:hAnsi="Arial" w:cs="Arial"/>
          <w:sz w:val="22"/>
          <w:szCs w:val="22"/>
        </w:rPr>
      </w:pPr>
      <w:r w:rsidRPr="00E70587">
        <w:rPr>
          <w:rFonts w:ascii="Arial" w:hAnsi="Arial" w:cs="Arial"/>
          <w:sz w:val="22"/>
          <w:szCs w:val="22"/>
        </w:rPr>
        <w:t xml:space="preserve">In the consolidated financial statements, a company will disclose additional information such as net assets, share in profit or loss, share in other comprehensive income and share in total comprehensive income, separately for the parent, each subsidiary, associate and joint venture, etc. Disclosures to comply with this </w:t>
      </w:r>
      <w:r w:rsidR="00DD30D9" w:rsidRPr="00E70587">
        <w:rPr>
          <w:rFonts w:ascii="Arial" w:hAnsi="Arial" w:cs="Arial"/>
          <w:sz w:val="22"/>
          <w:szCs w:val="22"/>
        </w:rPr>
        <w:t xml:space="preserve">requirement </w:t>
      </w:r>
      <w:r w:rsidRPr="00E70587">
        <w:rPr>
          <w:rFonts w:ascii="Arial" w:hAnsi="Arial" w:cs="Arial"/>
          <w:sz w:val="22"/>
          <w:szCs w:val="22"/>
        </w:rPr>
        <w:t xml:space="preserve">are given in note </w:t>
      </w:r>
      <w:r w:rsidR="009842E9" w:rsidRPr="00E70587">
        <w:rPr>
          <w:rFonts w:ascii="Arial" w:hAnsi="Arial" w:cs="Arial"/>
          <w:sz w:val="22"/>
          <w:szCs w:val="22"/>
        </w:rPr>
        <w:t>5</w:t>
      </w:r>
      <w:r w:rsidR="009842E9">
        <w:rPr>
          <w:rFonts w:ascii="Arial" w:hAnsi="Arial" w:cs="Arial"/>
          <w:sz w:val="22"/>
          <w:szCs w:val="22"/>
        </w:rPr>
        <w:t>3</w:t>
      </w:r>
      <w:r w:rsidRPr="00E70587">
        <w:rPr>
          <w:rFonts w:ascii="Arial" w:hAnsi="Arial" w:cs="Arial"/>
          <w:sz w:val="22"/>
          <w:szCs w:val="22"/>
        </w:rPr>
        <w:t>.</w:t>
      </w:r>
    </w:p>
    <w:p w14:paraId="2F8207AA" w14:textId="77777777" w:rsidR="00E26736" w:rsidRPr="00E70587" w:rsidRDefault="00E26736" w:rsidP="00E466DD">
      <w:pPr>
        <w:pStyle w:val="ListParagraph"/>
        <w:numPr>
          <w:ilvl w:val="0"/>
          <w:numId w:val="28"/>
        </w:numPr>
        <w:overflowPunct/>
        <w:autoSpaceDE/>
        <w:autoSpaceDN/>
        <w:adjustRightInd/>
        <w:spacing w:before="120" w:line="280" w:lineRule="exact"/>
        <w:ind w:hanging="720"/>
        <w:contextualSpacing w:val="0"/>
        <w:jc w:val="both"/>
        <w:textAlignment w:val="auto"/>
        <w:rPr>
          <w:rFonts w:ascii="Arial" w:hAnsi="Arial" w:cs="Arial"/>
          <w:sz w:val="22"/>
          <w:szCs w:val="22"/>
        </w:rPr>
      </w:pPr>
      <w:r w:rsidRPr="00E70587">
        <w:rPr>
          <w:rFonts w:ascii="Arial" w:hAnsi="Arial" w:cs="Arial"/>
          <w:sz w:val="22"/>
          <w:szCs w:val="22"/>
        </w:rPr>
        <w:t>All subsidiaries, associates and joint ventures (whether Indian or foreign) will be covered under consolidated financial statements.</w:t>
      </w:r>
    </w:p>
    <w:p w14:paraId="2A6CC220" w14:textId="77777777" w:rsidR="00E26736" w:rsidRPr="00E70587" w:rsidRDefault="00E26736" w:rsidP="00E466DD">
      <w:pPr>
        <w:pStyle w:val="ListParagraph"/>
        <w:numPr>
          <w:ilvl w:val="0"/>
          <w:numId w:val="28"/>
        </w:numPr>
        <w:overflowPunct/>
        <w:autoSpaceDE/>
        <w:autoSpaceDN/>
        <w:adjustRightInd/>
        <w:spacing w:before="120" w:line="280" w:lineRule="exact"/>
        <w:ind w:hanging="720"/>
        <w:contextualSpacing w:val="0"/>
        <w:jc w:val="both"/>
        <w:textAlignment w:val="auto"/>
        <w:rPr>
          <w:rFonts w:ascii="Arial" w:hAnsi="Arial" w:cs="Arial"/>
          <w:sz w:val="22"/>
          <w:szCs w:val="22"/>
        </w:rPr>
      </w:pPr>
      <w:r w:rsidRPr="00E70587">
        <w:rPr>
          <w:rFonts w:ascii="Arial" w:hAnsi="Arial" w:cs="Arial"/>
          <w:sz w:val="22"/>
          <w:szCs w:val="22"/>
        </w:rPr>
        <w:t>An entity will disclose a list of subsidiaries or associates or joint ventures which have not been consolidated in the consolidated financial statements along with the reasons of not consolidating.</w:t>
      </w:r>
    </w:p>
    <w:p w14:paraId="7C6F8C6B" w14:textId="77777777" w:rsidR="006E732E" w:rsidRDefault="006E732E" w:rsidP="00DE5D23">
      <w:pPr>
        <w:overflowPunct/>
        <w:autoSpaceDE/>
        <w:autoSpaceDN/>
        <w:adjustRightInd/>
        <w:spacing w:before="120" w:line="280" w:lineRule="exact"/>
        <w:jc w:val="both"/>
        <w:textAlignment w:val="auto"/>
        <w:rPr>
          <w:rFonts w:ascii="Arial" w:hAnsi="Arial" w:cs="Arial"/>
          <w:sz w:val="22"/>
          <w:szCs w:val="22"/>
        </w:rPr>
      </w:pPr>
    </w:p>
    <w:p w14:paraId="7E4AE531" w14:textId="77777777" w:rsidR="00F759CA" w:rsidRDefault="00F759CA">
      <w:pPr>
        <w:overflowPunct/>
        <w:autoSpaceDE/>
        <w:autoSpaceDN/>
        <w:adjustRightInd/>
        <w:spacing w:line="240" w:lineRule="auto"/>
        <w:textAlignment w:val="auto"/>
        <w:rPr>
          <w:rFonts w:ascii="Arial" w:hAnsi="Arial" w:cs="Arial"/>
          <w:b/>
          <w:color w:val="000000"/>
          <w:sz w:val="22"/>
          <w:szCs w:val="22"/>
          <w:lang w:val="en-US"/>
        </w:rPr>
      </w:pPr>
      <w:r>
        <w:rPr>
          <w:rFonts w:ascii="Arial" w:hAnsi="Arial" w:cs="Arial"/>
          <w:b/>
          <w:sz w:val="22"/>
          <w:szCs w:val="22"/>
        </w:rPr>
        <w:br w:type="page"/>
      </w:r>
    </w:p>
    <w:p w14:paraId="4728C89F" w14:textId="77777777" w:rsidR="00F759CA" w:rsidRDefault="00F759CA" w:rsidP="00DE5D23">
      <w:pPr>
        <w:pStyle w:val="Level1Bullets"/>
        <w:numPr>
          <w:ilvl w:val="0"/>
          <w:numId w:val="0"/>
        </w:numPr>
        <w:rPr>
          <w:rFonts w:ascii="Arial" w:hAnsi="Arial" w:cs="Arial"/>
          <w:b/>
          <w:sz w:val="22"/>
          <w:szCs w:val="22"/>
        </w:rPr>
      </w:pPr>
    </w:p>
    <w:p w14:paraId="3273AF5F" w14:textId="1A4794EB" w:rsidR="00DE5D23" w:rsidRPr="00DE5D23" w:rsidRDefault="00DE5D23" w:rsidP="00DE5D23">
      <w:pPr>
        <w:pStyle w:val="Level1Bullets"/>
        <w:numPr>
          <w:ilvl w:val="0"/>
          <w:numId w:val="0"/>
        </w:numPr>
        <w:rPr>
          <w:rFonts w:ascii="Arial" w:hAnsi="Arial" w:cs="Arial"/>
          <w:b/>
          <w:sz w:val="22"/>
          <w:szCs w:val="22"/>
        </w:rPr>
      </w:pPr>
      <w:r w:rsidRPr="00DE5D23">
        <w:rPr>
          <w:rFonts w:ascii="Arial" w:hAnsi="Arial" w:cs="Arial"/>
          <w:b/>
          <w:sz w:val="22"/>
          <w:szCs w:val="22"/>
        </w:rPr>
        <w:t>Accounting policy choices</w:t>
      </w:r>
    </w:p>
    <w:p w14:paraId="1B1BA156" w14:textId="77777777" w:rsidR="00DE5D23" w:rsidRPr="00DE5D23" w:rsidRDefault="00DE5D23" w:rsidP="00DE5D23">
      <w:pPr>
        <w:pStyle w:val="Level1Bullets"/>
        <w:numPr>
          <w:ilvl w:val="0"/>
          <w:numId w:val="0"/>
        </w:numPr>
        <w:ind w:left="425" w:hanging="425"/>
        <w:rPr>
          <w:rFonts w:ascii="Arial" w:hAnsi="Arial" w:cs="Arial"/>
          <w:sz w:val="22"/>
          <w:szCs w:val="22"/>
        </w:rPr>
      </w:pPr>
    </w:p>
    <w:p w14:paraId="0F4BB43D" w14:textId="50E6D485" w:rsidR="00DE5D23" w:rsidRPr="00DE5D23" w:rsidRDefault="00DE5D23" w:rsidP="00DE5D23">
      <w:pPr>
        <w:pStyle w:val="Level1Bullets"/>
        <w:numPr>
          <w:ilvl w:val="0"/>
          <w:numId w:val="0"/>
        </w:numPr>
        <w:rPr>
          <w:rFonts w:ascii="Arial" w:hAnsi="Arial" w:cs="Arial"/>
          <w:sz w:val="22"/>
          <w:szCs w:val="22"/>
        </w:rPr>
      </w:pPr>
      <w:r w:rsidRPr="00DE5D23">
        <w:rPr>
          <w:rFonts w:ascii="Arial" w:hAnsi="Arial" w:cs="Arial"/>
          <w:sz w:val="22"/>
          <w:szCs w:val="22"/>
        </w:rPr>
        <w:t>Accounting policies are broadly defined in Ind AS 8 and include not just the explicit elections provided for in some standards, but also other conventions and practices that are adopted in applying principle-based standards.</w:t>
      </w:r>
    </w:p>
    <w:p w14:paraId="664E54A9" w14:textId="77777777" w:rsidR="00DE5D23" w:rsidRPr="00DE5D23" w:rsidRDefault="00DE5D23" w:rsidP="00DE5D23">
      <w:pPr>
        <w:pStyle w:val="Level1Bullets"/>
        <w:numPr>
          <w:ilvl w:val="0"/>
          <w:numId w:val="0"/>
        </w:numPr>
        <w:ind w:left="425" w:hanging="425"/>
        <w:rPr>
          <w:rFonts w:ascii="Arial" w:hAnsi="Arial" w:cs="Arial"/>
          <w:sz w:val="22"/>
          <w:szCs w:val="22"/>
        </w:rPr>
      </w:pPr>
    </w:p>
    <w:p w14:paraId="78C3DE55" w14:textId="624F38FB" w:rsidR="00DE5D23" w:rsidRPr="00DE5D23" w:rsidRDefault="00DE5D23" w:rsidP="00DE5D23">
      <w:pPr>
        <w:pStyle w:val="Level1Bullets"/>
        <w:numPr>
          <w:ilvl w:val="0"/>
          <w:numId w:val="0"/>
        </w:numPr>
        <w:spacing w:after="120"/>
        <w:rPr>
          <w:rFonts w:ascii="Arial" w:hAnsi="Arial" w:cs="Arial"/>
          <w:sz w:val="22"/>
          <w:szCs w:val="22"/>
        </w:rPr>
      </w:pPr>
      <w:r w:rsidRPr="00DE5D23">
        <w:rPr>
          <w:rFonts w:ascii="Arial" w:hAnsi="Arial" w:cs="Arial"/>
          <w:sz w:val="22"/>
          <w:szCs w:val="22"/>
        </w:rPr>
        <w:t>In some cases, Ind AS permit more than one accounting treatment for a transaction or event. Preparers of financial statements should select the treatment that is most relevant to their business and circumstances as their accounting policy.</w:t>
      </w:r>
    </w:p>
    <w:p w14:paraId="0D356183" w14:textId="77777777" w:rsidR="00DE5D23" w:rsidRPr="00DE5D23" w:rsidRDefault="00DE5D23" w:rsidP="00DE5D23">
      <w:pPr>
        <w:spacing w:line="240" w:lineRule="auto"/>
        <w:rPr>
          <w:rFonts w:ascii="Arial" w:hAnsi="Arial" w:cs="Arial"/>
          <w:sz w:val="22"/>
          <w:szCs w:val="22"/>
        </w:rPr>
      </w:pPr>
    </w:p>
    <w:p w14:paraId="7775B4A1" w14:textId="77777777" w:rsidR="00DE5D23" w:rsidRDefault="00DE5D23" w:rsidP="003D4E35">
      <w:pPr>
        <w:spacing w:line="240" w:lineRule="auto"/>
        <w:rPr>
          <w:rFonts w:ascii="Arial" w:hAnsi="Arial" w:cs="Arial"/>
          <w:sz w:val="22"/>
          <w:szCs w:val="22"/>
        </w:rPr>
      </w:pPr>
      <w:r w:rsidRPr="00DE5D23">
        <w:rPr>
          <w:rFonts w:ascii="Arial" w:hAnsi="Arial" w:cs="Arial"/>
          <w:sz w:val="22"/>
          <w:szCs w:val="22"/>
        </w:rPr>
        <w:t>Ind AS 8 requires an entity to select and apply its accounting policies consistently for similar transactions, events and/or conditions, unless an Ind AS specifically requires or permits categorisation of items for which different policies may be appropriate. Where an Ind AS requires or permits such categorisation, an appropriate accounting policy is selected and</w:t>
      </w:r>
      <w:r w:rsidR="007501FC">
        <w:rPr>
          <w:rFonts w:ascii="Arial" w:hAnsi="Arial" w:cs="Arial"/>
          <w:sz w:val="22"/>
          <w:szCs w:val="22"/>
        </w:rPr>
        <w:t xml:space="preserve"> </w:t>
      </w:r>
      <w:r w:rsidRPr="00DE5D23">
        <w:rPr>
          <w:rFonts w:ascii="Arial" w:hAnsi="Arial" w:cs="Arial"/>
          <w:sz w:val="22"/>
          <w:szCs w:val="22"/>
        </w:rPr>
        <w:t xml:space="preserve">applied consistently to each category. Therefore, once a choice of one of the alternative treatments has been made, it becomes an accounting policy and must be applied consistently. Changes in accounting policies should only be made if required by a standard or </w:t>
      </w:r>
      <w:r w:rsidR="00744D33">
        <w:rPr>
          <w:rFonts w:ascii="Arial" w:hAnsi="Arial" w:cs="Arial"/>
          <w:sz w:val="22"/>
          <w:szCs w:val="22"/>
        </w:rPr>
        <w:t>appendices</w:t>
      </w:r>
      <w:r w:rsidRPr="00DE5D23">
        <w:rPr>
          <w:rFonts w:ascii="Arial" w:hAnsi="Arial" w:cs="Arial"/>
          <w:sz w:val="22"/>
          <w:szCs w:val="22"/>
        </w:rPr>
        <w:t>, or if the change results in the financial statements providing reliable and more relevant information.</w:t>
      </w:r>
    </w:p>
    <w:p w14:paraId="1DBDB2C3" w14:textId="77777777" w:rsidR="00F95493" w:rsidRDefault="00F95493" w:rsidP="003D4E35">
      <w:pPr>
        <w:spacing w:line="240" w:lineRule="auto"/>
        <w:rPr>
          <w:rFonts w:ascii="Arial" w:hAnsi="Arial" w:cs="Arial"/>
          <w:sz w:val="22"/>
          <w:szCs w:val="22"/>
        </w:rPr>
      </w:pPr>
    </w:p>
    <w:p w14:paraId="17C0716C" w14:textId="77777777" w:rsidR="00F95493" w:rsidRDefault="00F95493" w:rsidP="003D4E35">
      <w:pPr>
        <w:spacing w:line="240" w:lineRule="auto"/>
        <w:rPr>
          <w:rFonts w:ascii="Arial" w:hAnsi="Arial" w:cs="Arial"/>
          <w:sz w:val="22"/>
          <w:szCs w:val="22"/>
        </w:rPr>
      </w:pPr>
    </w:p>
    <w:p w14:paraId="7AA66CF8" w14:textId="77777777" w:rsidR="00F95493" w:rsidRPr="00F95493" w:rsidRDefault="00F95493" w:rsidP="00F95493">
      <w:pPr>
        <w:spacing w:line="280" w:lineRule="exact"/>
        <w:rPr>
          <w:rFonts w:ascii="Arial" w:hAnsi="Arial" w:cs="Arial"/>
          <w:b/>
          <w:bCs/>
          <w:sz w:val="20"/>
          <w:lang w:eastAsia="en-IN"/>
        </w:rPr>
      </w:pPr>
      <w:r w:rsidRPr="00F95493">
        <w:rPr>
          <w:rFonts w:ascii="Arial" w:hAnsi="Arial" w:cs="Arial"/>
          <w:b/>
          <w:bCs/>
          <w:sz w:val="20"/>
          <w:szCs w:val="22"/>
        </w:rPr>
        <w:t>CARO 2020</w:t>
      </w:r>
    </w:p>
    <w:p w14:paraId="11B38FF0" w14:textId="068A01A8" w:rsidR="00F95493" w:rsidRDefault="00F95493" w:rsidP="00F26864">
      <w:pPr>
        <w:spacing w:line="280" w:lineRule="exact"/>
      </w:pPr>
      <w:r w:rsidRPr="00F95493">
        <w:rPr>
          <w:rFonts w:ascii="Arial" w:hAnsi="Arial" w:cs="Arial"/>
          <w:sz w:val="20"/>
          <w:szCs w:val="22"/>
        </w:rPr>
        <w:t xml:space="preserve">The Companies (Auditor’s Report) Order, 2020 (CARO 2020) [applicable for the financial years commencing on or after April 1, </w:t>
      </w:r>
      <w:r w:rsidR="0099745D">
        <w:rPr>
          <w:rFonts w:ascii="Arial" w:hAnsi="Arial" w:cs="Arial"/>
          <w:sz w:val="20"/>
          <w:szCs w:val="22"/>
        </w:rPr>
        <w:t>2020</w:t>
      </w:r>
      <w:r w:rsidRPr="00F95493">
        <w:rPr>
          <w:rFonts w:ascii="Arial" w:hAnsi="Arial" w:cs="Arial"/>
          <w:sz w:val="20"/>
          <w:szCs w:val="22"/>
        </w:rPr>
        <w:t xml:space="preserve">] has been notified by the Ministry of Corporate Affairs (MCA) on 25 February 2020 in supersession of CARO 2016 which significantly enhanced disclosures by the auditors in their statutory audit report which in turn resulted </w:t>
      </w:r>
      <w:proofErr w:type="gramStart"/>
      <w:r w:rsidRPr="00F95493">
        <w:rPr>
          <w:rFonts w:ascii="Arial" w:hAnsi="Arial" w:cs="Arial"/>
          <w:sz w:val="20"/>
          <w:szCs w:val="22"/>
        </w:rPr>
        <w:t>in  enhanced</w:t>
      </w:r>
      <w:proofErr w:type="gramEnd"/>
      <w:r w:rsidRPr="00F95493">
        <w:rPr>
          <w:rFonts w:ascii="Arial" w:hAnsi="Arial" w:cs="Arial"/>
          <w:sz w:val="20"/>
          <w:szCs w:val="22"/>
        </w:rPr>
        <w:t xml:space="preserve"> reporting in financial statements. Some of the new requirements are related to the disclosures related </w:t>
      </w:r>
      <w:proofErr w:type="gramStart"/>
      <w:r w:rsidRPr="00F95493">
        <w:rPr>
          <w:rFonts w:ascii="Arial" w:hAnsi="Arial" w:cs="Arial"/>
          <w:sz w:val="20"/>
          <w:szCs w:val="22"/>
        </w:rPr>
        <w:t>to  undisclosed</w:t>
      </w:r>
      <w:proofErr w:type="gramEnd"/>
      <w:r w:rsidRPr="00F95493">
        <w:rPr>
          <w:rFonts w:ascii="Arial" w:hAnsi="Arial" w:cs="Arial"/>
          <w:sz w:val="20"/>
          <w:szCs w:val="22"/>
        </w:rPr>
        <w:t xml:space="preserve"> income, i.e., details of any transactions not recorded in the books of account but  surrendered/ disclosed as income during the year in the tax assessments under the Income Tax Act, 1961, and if such unrecorded income has been recorded in the books of account during the year; details of benami property where the proceedings initiated or pending against the company for holding any benami property etc. The entity should ensure that the requisite information is appropriately included in its financial statements, if applicable</w:t>
      </w:r>
      <w:r w:rsidR="00F26864">
        <w:t>.</w:t>
      </w:r>
    </w:p>
    <w:p w14:paraId="61361885" w14:textId="496452AE" w:rsidR="00F26864" w:rsidRDefault="00F26864" w:rsidP="00F26864">
      <w:pPr>
        <w:spacing w:line="280" w:lineRule="exact"/>
      </w:pPr>
    </w:p>
    <w:p w14:paraId="28C4BF72" w14:textId="3B0E1FEC" w:rsidR="00F26864" w:rsidRPr="00F26864" w:rsidRDefault="00F26864" w:rsidP="00F26864">
      <w:pPr>
        <w:spacing w:line="280" w:lineRule="exact"/>
        <w:rPr>
          <w:rFonts w:ascii="Arial" w:hAnsi="Arial" w:cs="Arial"/>
          <w:sz w:val="20"/>
          <w:szCs w:val="22"/>
        </w:rPr>
      </w:pPr>
      <w:r w:rsidRPr="00D37FE2">
        <w:rPr>
          <w:rFonts w:ascii="Arial" w:hAnsi="Arial" w:cs="Arial"/>
          <w:b/>
          <w:bCs/>
          <w:sz w:val="20"/>
          <w:szCs w:val="22"/>
        </w:rPr>
        <w:t xml:space="preserve">The Code </w:t>
      </w:r>
      <w:r w:rsidR="00D37FE2" w:rsidRPr="00D37FE2">
        <w:rPr>
          <w:rFonts w:ascii="Arial" w:hAnsi="Arial" w:cs="Arial"/>
          <w:b/>
          <w:bCs/>
          <w:sz w:val="20"/>
          <w:szCs w:val="22"/>
        </w:rPr>
        <w:t>on</w:t>
      </w:r>
      <w:r w:rsidRPr="00D37FE2">
        <w:rPr>
          <w:rFonts w:ascii="Arial" w:hAnsi="Arial" w:cs="Arial"/>
          <w:b/>
          <w:bCs/>
          <w:sz w:val="20"/>
          <w:szCs w:val="22"/>
        </w:rPr>
        <w:t xml:space="preserve"> Social Security, 2020</w:t>
      </w:r>
      <w:r w:rsidRPr="00F26864">
        <w:rPr>
          <w:rFonts w:ascii="Arial" w:hAnsi="Arial" w:cs="Arial"/>
          <w:sz w:val="20"/>
          <w:szCs w:val="22"/>
        </w:rPr>
        <w:t xml:space="preserve"> </w:t>
      </w:r>
      <w:r>
        <w:rPr>
          <w:rFonts w:ascii="Arial" w:hAnsi="Arial" w:cs="Arial"/>
          <w:sz w:val="20"/>
          <w:szCs w:val="22"/>
        </w:rPr>
        <w:t>aims</w:t>
      </w:r>
      <w:r w:rsidRPr="00F26864">
        <w:rPr>
          <w:rFonts w:ascii="Arial" w:hAnsi="Arial" w:cs="Arial"/>
          <w:sz w:val="20"/>
          <w:szCs w:val="22"/>
        </w:rPr>
        <w:t xml:space="preserve"> to amend and consolidate the laws relating to social security with the goal to extend social security to all employees and workers either in the organised or unorganised or any other sectors</w:t>
      </w:r>
      <w:r>
        <w:rPr>
          <w:rFonts w:ascii="Arial" w:hAnsi="Arial" w:cs="Arial"/>
          <w:sz w:val="20"/>
          <w:szCs w:val="22"/>
        </w:rPr>
        <w:t>.</w:t>
      </w:r>
      <w:r w:rsidR="007533BD">
        <w:rPr>
          <w:rFonts w:ascii="Arial" w:hAnsi="Arial" w:cs="Arial"/>
          <w:sz w:val="20"/>
          <w:szCs w:val="22"/>
        </w:rPr>
        <w:t xml:space="preserve"> </w:t>
      </w:r>
      <w:r w:rsidR="007533BD" w:rsidRPr="00F95493">
        <w:rPr>
          <w:rFonts w:ascii="Arial" w:hAnsi="Arial" w:cs="Arial"/>
          <w:sz w:val="20"/>
          <w:szCs w:val="22"/>
        </w:rPr>
        <w:t xml:space="preserve">The entity should ensure the </w:t>
      </w:r>
      <w:r w:rsidR="007533BD">
        <w:rPr>
          <w:rFonts w:ascii="Arial" w:hAnsi="Arial" w:cs="Arial"/>
          <w:sz w:val="20"/>
          <w:szCs w:val="22"/>
        </w:rPr>
        <w:t xml:space="preserve">impact is </w:t>
      </w:r>
      <w:r w:rsidR="007533BD" w:rsidRPr="00F95493">
        <w:rPr>
          <w:rFonts w:ascii="Arial" w:hAnsi="Arial" w:cs="Arial"/>
          <w:sz w:val="20"/>
          <w:szCs w:val="22"/>
        </w:rPr>
        <w:t>appropriately included in its financial statements, if applicable</w:t>
      </w:r>
      <w:r w:rsidR="007533BD">
        <w:rPr>
          <w:rFonts w:ascii="Arial" w:hAnsi="Arial" w:cs="Arial"/>
          <w:sz w:val="20"/>
          <w:szCs w:val="22"/>
        </w:rPr>
        <w:t>.</w:t>
      </w:r>
    </w:p>
    <w:p w14:paraId="3C6EE092" w14:textId="77777777" w:rsidR="00F26864" w:rsidRDefault="00F26864" w:rsidP="00F26864">
      <w:pPr>
        <w:spacing w:line="280" w:lineRule="exact"/>
      </w:pPr>
    </w:p>
    <w:p w14:paraId="0A189AF8" w14:textId="77777777" w:rsidR="00F26864" w:rsidRDefault="00F26864" w:rsidP="00F26864">
      <w:pPr>
        <w:spacing w:line="280" w:lineRule="exact"/>
      </w:pPr>
    </w:p>
    <w:p w14:paraId="29601666" w14:textId="04AA0899" w:rsidR="00F26864" w:rsidRPr="00F26864" w:rsidRDefault="00F26864" w:rsidP="00F26864">
      <w:pPr>
        <w:spacing w:line="280" w:lineRule="exact"/>
        <w:rPr>
          <w:rFonts w:ascii="Calibri" w:hAnsi="Calibri"/>
          <w:sz w:val="22"/>
          <w:szCs w:val="22"/>
        </w:rPr>
        <w:sectPr w:rsidR="00F26864" w:rsidRPr="00F26864" w:rsidSect="004C47AB">
          <w:headerReference w:type="even" r:id="rId9"/>
          <w:headerReference w:type="default" r:id="rId10"/>
          <w:footerReference w:type="even" r:id="rId11"/>
          <w:footerReference w:type="default" r:id="rId12"/>
          <w:pgSz w:w="11909" w:h="16834" w:code="9"/>
          <w:pgMar w:top="864" w:right="1253" w:bottom="864" w:left="1296" w:header="432" w:footer="432" w:gutter="0"/>
          <w:pgNumType w:start="1"/>
          <w:cols w:space="720"/>
          <w:titlePg/>
          <w:docGrid w:linePitch="245"/>
        </w:sectPr>
      </w:pPr>
    </w:p>
    <w:bookmarkEnd w:id="0"/>
    <w:p w14:paraId="6648198C" w14:textId="77777777" w:rsidR="0075217D" w:rsidRPr="00E70587" w:rsidRDefault="0075217D" w:rsidP="0075217D">
      <w:pPr>
        <w:overflowPunct/>
        <w:autoSpaceDE/>
        <w:autoSpaceDN/>
        <w:adjustRightInd/>
        <w:spacing w:line="280" w:lineRule="exact"/>
        <w:jc w:val="both"/>
        <w:textAlignment w:val="auto"/>
        <w:rPr>
          <w:rFonts w:ascii="Arial" w:hAnsi="Arial" w:cs="Arial"/>
          <w:sz w:val="22"/>
          <w:szCs w:val="22"/>
        </w:rPr>
      </w:pPr>
    </w:p>
    <w:p w14:paraId="77090F89" w14:textId="77777777" w:rsidR="00A75C59" w:rsidRPr="00E70587" w:rsidRDefault="00A75C59" w:rsidP="00860ED4">
      <w:pPr>
        <w:spacing w:line="360" w:lineRule="exact"/>
        <w:rPr>
          <w:rFonts w:ascii="Arial" w:hAnsi="Arial" w:cs="Arial"/>
          <w:b/>
          <w:sz w:val="28"/>
          <w:szCs w:val="28"/>
        </w:rPr>
      </w:pPr>
      <w:r w:rsidRPr="00E70587">
        <w:rPr>
          <w:rFonts w:ascii="Arial" w:hAnsi="Arial" w:cs="Arial"/>
          <w:b/>
          <w:sz w:val="28"/>
          <w:szCs w:val="28"/>
        </w:rPr>
        <w:t>Contents</w:t>
      </w:r>
    </w:p>
    <w:p w14:paraId="31A5E864" w14:textId="77777777" w:rsidR="00A75C59" w:rsidRPr="00E70587" w:rsidRDefault="00A75C59" w:rsidP="0060778E">
      <w:pPr>
        <w:rPr>
          <w:rFonts w:ascii="Arial" w:hAnsi="Arial" w:cs="Arial"/>
          <w:sz w:val="20"/>
        </w:rPr>
      </w:pPr>
    </w:p>
    <w:p w14:paraId="44D11447"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 xml:space="preserve">Consolidated </w:t>
      </w:r>
      <w:r w:rsidR="000D6D35" w:rsidRPr="00E70587">
        <w:rPr>
          <w:rFonts w:ascii="Arial" w:hAnsi="Arial"/>
          <w:color w:val="auto"/>
          <w:sz w:val="20"/>
        </w:rPr>
        <w:t>B</w:t>
      </w:r>
      <w:r w:rsidRPr="00E70587">
        <w:rPr>
          <w:rFonts w:ascii="Arial" w:hAnsi="Arial"/>
          <w:color w:val="auto"/>
          <w:sz w:val="20"/>
        </w:rPr>
        <w:t xml:space="preserve">alance </w:t>
      </w:r>
      <w:r w:rsidR="000D6D35" w:rsidRPr="00E70587">
        <w:rPr>
          <w:rFonts w:ascii="Arial" w:hAnsi="Arial"/>
          <w:color w:val="auto"/>
          <w:sz w:val="20"/>
        </w:rPr>
        <w:t>S</w:t>
      </w:r>
      <w:r w:rsidRPr="00E70587">
        <w:rPr>
          <w:rFonts w:ascii="Arial" w:hAnsi="Arial"/>
          <w:color w:val="auto"/>
          <w:sz w:val="20"/>
        </w:rPr>
        <w:t>heet</w:t>
      </w:r>
    </w:p>
    <w:p w14:paraId="2403BA5E"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 xml:space="preserve">Consolidated </w:t>
      </w:r>
      <w:r w:rsidR="000D6D35" w:rsidRPr="00E70587">
        <w:rPr>
          <w:rFonts w:ascii="Arial" w:hAnsi="Arial"/>
          <w:color w:val="auto"/>
          <w:sz w:val="20"/>
        </w:rPr>
        <w:t>S</w:t>
      </w:r>
      <w:r w:rsidRPr="00E70587">
        <w:rPr>
          <w:rFonts w:ascii="Arial" w:hAnsi="Arial"/>
          <w:color w:val="auto"/>
          <w:sz w:val="20"/>
        </w:rPr>
        <w:t xml:space="preserve">tatement of </w:t>
      </w:r>
      <w:r w:rsidR="000D6D35" w:rsidRPr="00E70587">
        <w:rPr>
          <w:rFonts w:ascii="Arial" w:hAnsi="Arial"/>
          <w:color w:val="auto"/>
          <w:sz w:val="20"/>
        </w:rPr>
        <w:t>P</w:t>
      </w:r>
      <w:r w:rsidRPr="00E70587">
        <w:rPr>
          <w:rFonts w:ascii="Arial" w:hAnsi="Arial"/>
          <w:color w:val="auto"/>
          <w:sz w:val="20"/>
        </w:rPr>
        <w:t xml:space="preserve">rofit </w:t>
      </w:r>
      <w:r w:rsidR="000D6D35" w:rsidRPr="00E70587">
        <w:rPr>
          <w:rFonts w:ascii="Arial" w:hAnsi="Arial"/>
          <w:color w:val="auto"/>
          <w:sz w:val="20"/>
        </w:rPr>
        <w:t>and</w:t>
      </w:r>
      <w:r w:rsidRPr="00E70587">
        <w:rPr>
          <w:rFonts w:ascii="Arial" w:hAnsi="Arial"/>
          <w:color w:val="auto"/>
          <w:sz w:val="20"/>
        </w:rPr>
        <w:t xml:space="preserve"> </w:t>
      </w:r>
      <w:r w:rsidR="000D6D35" w:rsidRPr="00E70587">
        <w:rPr>
          <w:rFonts w:ascii="Arial" w:hAnsi="Arial"/>
          <w:color w:val="auto"/>
          <w:sz w:val="20"/>
        </w:rPr>
        <w:t>L</w:t>
      </w:r>
      <w:r w:rsidRPr="00E70587">
        <w:rPr>
          <w:rFonts w:ascii="Arial" w:hAnsi="Arial"/>
          <w:color w:val="auto"/>
          <w:sz w:val="20"/>
        </w:rPr>
        <w:t xml:space="preserve">oss </w:t>
      </w:r>
    </w:p>
    <w:p w14:paraId="3E116212"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 xml:space="preserve">Consolidated </w:t>
      </w:r>
      <w:r w:rsidR="000D6D35" w:rsidRPr="00E70587">
        <w:rPr>
          <w:rFonts w:ascii="Arial" w:hAnsi="Arial"/>
          <w:color w:val="auto"/>
          <w:sz w:val="20"/>
        </w:rPr>
        <w:t>S</w:t>
      </w:r>
      <w:r w:rsidRPr="00E70587">
        <w:rPr>
          <w:rFonts w:ascii="Arial" w:hAnsi="Arial"/>
          <w:color w:val="auto"/>
          <w:sz w:val="20"/>
        </w:rPr>
        <w:t xml:space="preserve">tatement of </w:t>
      </w:r>
      <w:r w:rsidR="000D6D35" w:rsidRPr="00E70587">
        <w:rPr>
          <w:rFonts w:ascii="Arial" w:hAnsi="Arial"/>
          <w:color w:val="auto"/>
          <w:sz w:val="20"/>
        </w:rPr>
        <w:t>C</w:t>
      </w:r>
      <w:r w:rsidRPr="00E70587">
        <w:rPr>
          <w:rFonts w:ascii="Arial" w:hAnsi="Arial"/>
          <w:color w:val="auto"/>
          <w:sz w:val="20"/>
        </w:rPr>
        <w:t xml:space="preserve">hanges in </w:t>
      </w:r>
      <w:r w:rsidR="000D6D35" w:rsidRPr="00E70587">
        <w:rPr>
          <w:rFonts w:ascii="Arial" w:hAnsi="Arial"/>
          <w:color w:val="auto"/>
          <w:sz w:val="20"/>
        </w:rPr>
        <w:t>E</w:t>
      </w:r>
      <w:r w:rsidRPr="00E70587">
        <w:rPr>
          <w:rFonts w:ascii="Arial" w:hAnsi="Arial"/>
          <w:color w:val="auto"/>
          <w:sz w:val="20"/>
        </w:rPr>
        <w:t>quity</w:t>
      </w:r>
    </w:p>
    <w:p w14:paraId="3BEC0FAD"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Consolidated Statement of Cash Flows</w:t>
      </w:r>
    </w:p>
    <w:p w14:paraId="6A223018" w14:textId="77777777" w:rsidR="000D6D35" w:rsidRPr="00E70587" w:rsidRDefault="000D6D35" w:rsidP="0060778E">
      <w:pPr>
        <w:pStyle w:val="BodyText1"/>
        <w:tabs>
          <w:tab w:val="right" w:leader="dot" w:pos="10121"/>
        </w:tabs>
        <w:ind w:left="406" w:hanging="425"/>
        <w:rPr>
          <w:rFonts w:ascii="Arial" w:hAnsi="Arial"/>
          <w:color w:val="auto"/>
          <w:sz w:val="20"/>
        </w:rPr>
      </w:pPr>
      <w:r w:rsidRPr="00E70587">
        <w:rPr>
          <w:rFonts w:ascii="Arial" w:hAnsi="Arial"/>
          <w:color w:val="auto"/>
          <w:sz w:val="20"/>
        </w:rPr>
        <w:t>Notes to Consolidated Financial Statements</w:t>
      </w:r>
    </w:p>
    <w:p w14:paraId="3C9BF72A" w14:textId="77777777" w:rsidR="00A75C59" w:rsidRPr="00E70587" w:rsidRDefault="000D6D35" w:rsidP="0060778E">
      <w:pPr>
        <w:pStyle w:val="BodyText1"/>
        <w:tabs>
          <w:tab w:val="right" w:leader="dot" w:pos="9360"/>
        </w:tabs>
        <w:ind w:left="432" w:hanging="432"/>
        <w:rPr>
          <w:rFonts w:ascii="Arial" w:hAnsi="Arial"/>
          <w:color w:val="auto"/>
          <w:sz w:val="20"/>
        </w:rPr>
      </w:pPr>
      <w:bookmarkStart w:id="1" w:name="_Hlk54865799"/>
      <w:r w:rsidRPr="00E70587">
        <w:rPr>
          <w:rFonts w:ascii="Arial" w:hAnsi="Arial"/>
          <w:color w:val="auto"/>
          <w:sz w:val="20"/>
        </w:rPr>
        <w:t>1</w:t>
      </w:r>
      <w:r w:rsidR="00215C2C" w:rsidRPr="00E70587">
        <w:rPr>
          <w:rFonts w:ascii="Arial" w:hAnsi="Arial"/>
          <w:color w:val="auto"/>
          <w:sz w:val="20"/>
        </w:rPr>
        <w:t>.</w:t>
      </w:r>
      <w:r w:rsidR="00215C2C" w:rsidRPr="00E70587">
        <w:rPr>
          <w:rFonts w:ascii="Arial" w:hAnsi="Arial"/>
          <w:color w:val="auto"/>
          <w:sz w:val="20"/>
        </w:rPr>
        <w:tab/>
        <w:t>Corporate information</w:t>
      </w:r>
    </w:p>
    <w:p w14:paraId="4665D60E"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2</w:t>
      </w:r>
      <w:r w:rsidR="00A75C59" w:rsidRPr="00E70587">
        <w:rPr>
          <w:rFonts w:ascii="Arial" w:hAnsi="Arial"/>
          <w:color w:val="auto"/>
          <w:sz w:val="20"/>
        </w:rPr>
        <w:t>.</w:t>
      </w:r>
      <w:r w:rsidR="00A75C59" w:rsidRPr="00E70587">
        <w:rPr>
          <w:rFonts w:ascii="Arial" w:hAnsi="Arial"/>
          <w:color w:val="auto"/>
          <w:sz w:val="20"/>
        </w:rPr>
        <w:tab/>
        <w:t xml:space="preserve">Significant </w:t>
      </w:r>
      <w:r w:rsidR="00452DFB" w:rsidRPr="00E70587">
        <w:rPr>
          <w:rFonts w:ascii="Arial" w:hAnsi="Arial"/>
          <w:color w:val="auto"/>
          <w:sz w:val="20"/>
        </w:rPr>
        <w:t>accounting</w:t>
      </w:r>
      <w:r w:rsidR="00215C2C" w:rsidRPr="00E70587">
        <w:rPr>
          <w:rFonts w:ascii="Arial" w:hAnsi="Arial"/>
          <w:color w:val="auto"/>
          <w:sz w:val="20"/>
        </w:rPr>
        <w:t xml:space="preserve"> policies</w:t>
      </w:r>
    </w:p>
    <w:p w14:paraId="4BD1C215"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2</w:t>
      </w:r>
      <w:r w:rsidR="00A75C59" w:rsidRPr="00E70587">
        <w:rPr>
          <w:rFonts w:ascii="Arial" w:hAnsi="Arial"/>
          <w:color w:val="auto"/>
          <w:sz w:val="20"/>
        </w:rPr>
        <w:t xml:space="preserve">.1 </w:t>
      </w:r>
      <w:r w:rsidR="00A75C59" w:rsidRPr="00E70587">
        <w:rPr>
          <w:rFonts w:ascii="Arial" w:hAnsi="Arial"/>
          <w:color w:val="auto"/>
          <w:sz w:val="20"/>
        </w:rPr>
        <w:tab/>
        <w:t>Basis of preparation</w:t>
      </w:r>
    </w:p>
    <w:p w14:paraId="490F8827"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2</w:t>
      </w:r>
      <w:r w:rsidR="00215C2C" w:rsidRPr="00E70587">
        <w:rPr>
          <w:rFonts w:ascii="Arial" w:hAnsi="Arial"/>
          <w:color w:val="auto"/>
          <w:sz w:val="20"/>
        </w:rPr>
        <w:t>.2</w:t>
      </w:r>
      <w:r w:rsidR="00215C2C" w:rsidRPr="00E70587">
        <w:rPr>
          <w:rFonts w:ascii="Arial" w:hAnsi="Arial"/>
          <w:color w:val="auto"/>
          <w:sz w:val="20"/>
        </w:rPr>
        <w:tab/>
        <w:t>Basis of consolidation</w:t>
      </w:r>
    </w:p>
    <w:p w14:paraId="73E728EA" w14:textId="3B7E9BA6" w:rsidR="00BB6300"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2</w:t>
      </w:r>
      <w:r w:rsidR="00A75C59" w:rsidRPr="00E70587">
        <w:rPr>
          <w:rFonts w:ascii="Arial" w:hAnsi="Arial"/>
          <w:color w:val="auto"/>
          <w:sz w:val="20"/>
        </w:rPr>
        <w:t>.3</w:t>
      </w:r>
      <w:r w:rsidR="00A75C59" w:rsidRPr="00E70587">
        <w:rPr>
          <w:rFonts w:ascii="Arial" w:hAnsi="Arial"/>
          <w:color w:val="auto"/>
          <w:sz w:val="20"/>
        </w:rPr>
        <w:tab/>
        <w:t>Summary of si</w:t>
      </w:r>
      <w:r w:rsidR="00215C2C" w:rsidRPr="00E70587">
        <w:rPr>
          <w:rFonts w:ascii="Arial" w:hAnsi="Arial"/>
          <w:color w:val="auto"/>
          <w:sz w:val="20"/>
        </w:rPr>
        <w:t>gnificant accounting policies</w:t>
      </w:r>
    </w:p>
    <w:p w14:paraId="03C9EFA1" w14:textId="12A44A87" w:rsidR="00625234" w:rsidRPr="00625234" w:rsidRDefault="00625234" w:rsidP="008B53CD">
      <w:pPr>
        <w:pStyle w:val="ViralheadingL2"/>
        <w:keepNext w:val="0"/>
        <w:spacing w:before="0" w:after="0" w:line="360" w:lineRule="auto"/>
        <w:outlineLvl w:val="9"/>
        <w:rPr>
          <w:rFonts w:ascii="Arial" w:hAnsi="Arial" w:cs="Arial"/>
          <w:b w:val="0"/>
          <w:bCs w:val="0"/>
          <w:sz w:val="20"/>
          <w:szCs w:val="20"/>
        </w:rPr>
      </w:pPr>
      <w:r w:rsidRPr="00625234">
        <w:rPr>
          <w:rFonts w:ascii="Arial" w:hAnsi="Arial" w:cs="Arial"/>
          <w:b w:val="0"/>
          <w:bCs w:val="0"/>
          <w:sz w:val="20"/>
          <w:szCs w:val="20"/>
        </w:rPr>
        <w:t xml:space="preserve">2.4 </w:t>
      </w:r>
      <w:r w:rsidR="008B53CD">
        <w:rPr>
          <w:rFonts w:ascii="Arial" w:hAnsi="Arial" w:cs="Arial"/>
          <w:b w:val="0"/>
          <w:bCs w:val="0"/>
          <w:sz w:val="20"/>
          <w:szCs w:val="20"/>
        </w:rPr>
        <w:t xml:space="preserve">  </w:t>
      </w:r>
      <w:r w:rsidRPr="00625234">
        <w:rPr>
          <w:rFonts w:ascii="Arial" w:hAnsi="Arial" w:cs="Arial"/>
          <w:b w:val="0"/>
          <w:bCs w:val="0"/>
          <w:sz w:val="20"/>
          <w:szCs w:val="20"/>
        </w:rPr>
        <w:t>Changes in accounting policies and disclosures</w:t>
      </w:r>
    </w:p>
    <w:p w14:paraId="061996AB" w14:textId="77777777" w:rsidR="00A75C59" w:rsidRPr="00E70587" w:rsidRDefault="000D6D35" w:rsidP="008B53CD">
      <w:pPr>
        <w:pStyle w:val="BodyText1"/>
        <w:tabs>
          <w:tab w:val="right" w:leader="dot" w:pos="9360"/>
        </w:tabs>
        <w:spacing w:line="360" w:lineRule="auto"/>
        <w:ind w:left="432" w:hanging="432"/>
        <w:rPr>
          <w:rFonts w:ascii="Arial" w:hAnsi="Arial"/>
          <w:color w:val="auto"/>
          <w:sz w:val="20"/>
        </w:rPr>
      </w:pPr>
      <w:r w:rsidRPr="00E70587">
        <w:rPr>
          <w:rFonts w:ascii="Arial" w:hAnsi="Arial"/>
          <w:color w:val="auto"/>
          <w:sz w:val="20"/>
        </w:rPr>
        <w:t>3</w:t>
      </w:r>
      <w:r w:rsidR="00A75C59" w:rsidRPr="00E70587">
        <w:rPr>
          <w:rFonts w:ascii="Arial" w:hAnsi="Arial"/>
          <w:color w:val="auto"/>
          <w:sz w:val="20"/>
        </w:rPr>
        <w:t>.</w:t>
      </w:r>
      <w:r w:rsidR="00A75C59" w:rsidRPr="00E70587">
        <w:rPr>
          <w:rFonts w:ascii="Arial" w:hAnsi="Arial"/>
          <w:color w:val="auto"/>
          <w:sz w:val="20"/>
        </w:rPr>
        <w:tab/>
      </w:r>
      <w:r w:rsidR="00D32DD8" w:rsidRPr="00E70587">
        <w:rPr>
          <w:rFonts w:ascii="Arial" w:hAnsi="Arial"/>
          <w:color w:val="auto"/>
          <w:sz w:val="20"/>
        </w:rPr>
        <w:t>Property, plant and equipment</w:t>
      </w:r>
    </w:p>
    <w:p w14:paraId="1EB5C2C3" w14:textId="06AB4022"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4</w:t>
      </w:r>
      <w:r w:rsidR="00215C2C" w:rsidRPr="00E70587">
        <w:rPr>
          <w:rFonts w:ascii="Arial" w:hAnsi="Arial"/>
          <w:color w:val="auto"/>
          <w:sz w:val="20"/>
        </w:rPr>
        <w:t>.</w:t>
      </w:r>
      <w:r w:rsidR="00215C2C" w:rsidRPr="00E70587">
        <w:rPr>
          <w:rFonts w:ascii="Arial" w:hAnsi="Arial"/>
          <w:color w:val="auto"/>
          <w:sz w:val="20"/>
        </w:rPr>
        <w:tab/>
      </w:r>
      <w:r w:rsidR="00D32DD8" w:rsidRPr="00E70587">
        <w:rPr>
          <w:rFonts w:ascii="Arial" w:hAnsi="Arial"/>
          <w:color w:val="auto"/>
          <w:sz w:val="20"/>
        </w:rPr>
        <w:t>Investment propert</w:t>
      </w:r>
      <w:r w:rsidR="00AF7537">
        <w:rPr>
          <w:rFonts w:ascii="Arial" w:hAnsi="Arial"/>
          <w:color w:val="auto"/>
          <w:sz w:val="20"/>
        </w:rPr>
        <w:t>ies</w:t>
      </w:r>
    </w:p>
    <w:p w14:paraId="3DFD85DC"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5</w:t>
      </w:r>
      <w:r w:rsidR="00A75C59" w:rsidRPr="00E70587">
        <w:rPr>
          <w:rFonts w:ascii="Arial" w:hAnsi="Arial"/>
          <w:color w:val="auto"/>
          <w:sz w:val="20"/>
        </w:rPr>
        <w:t>.</w:t>
      </w:r>
      <w:r w:rsidR="00A75C59" w:rsidRPr="00E70587">
        <w:rPr>
          <w:rFonts w:ascii="Arial" w:hAnsi="Arial"/>
          <w:color w:val="auto"/>
          <w:sz w:val="20"/>
        </w:rPr>
        <w:tab/>
      </w:r>
      <w:r w:rsidR="00D32DD8" w:rsidRPr="00E70587">
        <w:rPr>
          <w:rFonts w:ascii="Arial" w:hAnsi="Arial"/>
          <w:color w:val="auto"/>
          <w:sz w:val="20"/>
        </w:rPr>
        <w:t>Intangible assets</w:t>
      </w:r>
      <w:r w:rsidR="00D32DD8" w:rsidRPr="00E70587" w:rsidDel="00D32DD8">
        <w:rPr>
          <w:rFonts w:ascii="Arial" w:hAnsi="Arial"/>
          <w:color w:val="auto"/>
          <w:sz w:val="20"/>
        </w:rPr>
        <w:t xml:space="preserve"> </w:t>
      </w:r>
    </w:p>
    <w:p w14:paraId="42052CA7"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6</w:t>
      </w:r>
      <w:r w:rsidR="00A75C59" w:rsidRPr="00E70587">
        <w:rPr>
          <w:rFonts w:ascii="Arial" w:hAnsi="Arial"/>
          <w:color w:val="auto"/>
          <w:sz w:val="20"/>
        </w:rPr>
        <w:t>.</w:t>
      </w:r>
      <w:r w:rsidR="00A75C59" w:rsidRPr="00E70587">
        <w:rPr>
          <w:rFonts w:ascii="Arial" w:hAnsi="Arial"/>
          <w:color w:val="auto"/>
          <w:sz w:val="20"/>
        </w:rPr>
        <w:tab/>
      </w:r>
      <w:r w:rsidR="00D32DD8" w:rsidRPr="00E70587">
        <w:rPr>
          <w:rFonts w:ascii="Arial" w:hAnsi="Arial"/>
          <w:color w:val="auto"/>
          <w:sz w:val="20"/>
        </w:rPr>
        <w:t>Impairment testing of goodwill and intangible assets with indefinite lives</w:t>
      </w:r>
    </w:p>
    <w:p w14:paraId="5B8ED370"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7</w:t>
      </w:r>
      <w:r w:rsidR="00A75C59" w:rsidRPr="00E70587">
        <w:rPr>
          <w:rFonts w:ascii="Arial" w:hAnsi="Arial"/>
          <w:color w:val="auto"/>
          <w:sz w:val="20"/>
        </w:rPr>
        <w:t>.</w:t>
      </w:r>
      <w:r w:rsidR="00A75C59" w:rsidRPr="00E70587">
        <w:rPr>
          <w:rFonts w:ascii="Arial" w:hAnsi="Arial"/>
          <w:color w:val="auto"/>
          <w:sz w:val="20"/>
        </w:rPr>
        <w:tab/>
      </w:r>
      <w:r w:rsidR="00D32DD8" w:rsidRPr="00E70587">
        <w:rPr>
          <w:rFonts w:ascii="Arial" w:hAnsi="Arial"/>
          <w:color w:val="auto"/>
          <w:sz w:val="20"/>
        </w:rPr>
        <w:t>Financial assets</w:t>
      </w:r>
      <w:r w:rsidR="00D32DD8" w:rsidRPr="00E70587" w:rsidDel="00D32DD8">
        <w:rPr>
          <w:rFonts w:ascii="Arial" w:hAnsi="Arial"/>
          <w:color w:val="auto"/>
          <w:sz w:val="20"/>
        </w:rPr>
        <w:t xml:space="preserve"> </w:t>
      </w:r>
    </w:p>
    <w:p w14:paraId="1152688D"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8</w:t>
      </w:r>
      <w:r w:rsidR="00215C2C" w:rsidRPr="00E70587">
        <w:rPr>
          <w:rFonts w:ascii="Arial" w:hAnsi="Arial"/>
          <w:color w:val="auto"/>
          <w:sz w:val="20"/>
        </w:rPr>
        <w:t>.</w:t>
      </w:r>
      <w:r w:rsidR="00215C2C" w:rsidRPr="00E70587">
        <w:rPr>
          <w:rFonts w:ascii="Arial" w:hAnsi="Arial"/>
          <w:color w:val="auto"/>
          <w:sz w:val="20"/>
        </w:rPr>
        <w:tab/>
      </w:r>
      <w:r w:rsidR="00D32DD8" w:rsidRPr="00E70587">
        <w:rPr>
          <w:rFonts w:ascii="Arial" w:hAnsi="Arial"/>
          <w:color w:val="auto"/>
          <w:sz w:val="20"/>
        </w:rPr>
        <w:t>Inventories</w:t>
      </w:r>
      <w:r w:rsidR="00D32DD8" w:rsidRPr="00E70587" w:rsidDel="00D32DD8">
        <w:rPr>
          <w:rFonts w:ascii="Arial" w:hAnsi="Arial"/>
          <w:color w:val="auto"/>
          <w:sz w:val="20"/>
        </w:rPr>
        <w:t xml:space="preserve"> </w:t>
      </w:r>
    </w:p>
    <w:p w14:paraId="21819C2D"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9</w:t>
      </w:r>
      <w:r w:rsidR="00A75C59" w:rsidRPr="00E70587">
        <w:rPr>
          <w:rFonts w:ascii="Arial" w:hAnsi="Arial"/>
          <w:color w:val="auto"/>
          <w:sz w:val="20"/>
        </w:rPr>
        <w:t>.</w:t>
      </w:r>
      <w:r w:rsidR="00A75C59" w:rsidRPr="00E70587">
        <w:rPr>
          <w:rFonts w:ascii="Arial" w:hAnsi="Arial"/>
          <w:color w:val="auto"/>
          <w:sz w:val="20"/>
        </w:rPr>
        <w:tab/>
      </w:r>
      <w:r w:rsidR="00D32DD8" w:rsidRPr="00E70587">
        <w:rPr>
          <w:rFonts w:ascii="Arial" w:hAnsi="Arial"/>
          <w:color w:val="auto"/>
          <w:sz w:val="20"/>
        </w:rPr>
        <w:t>Trade receivables</w:t>
      </w:r>
      <w:r w:rsidR="00D32DD8" w:rsidRPr="00E70587" w:rsidDel="00D32DD8">
        <w:rPr>
          <w:rFonts w:ascii="Arial" w:hAnsi="Arial"/>
          <w:color w:val="auto"/>
          <w:sz w:val="20"/>
        </w:rPr>
        <w:t xml:space="preserve"> </w:t>
      </w:r>
    </w:p>
    <w:p w14:paraId="0451319C"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1</w:t>
      </w:r>
      <w:r w:rsidR="000D6D35" w:rsidRPr="00E70587">
        <w:rPr>
          <w:rFonts w:ascii="Arial" w:hAnsi="Arial"/>
          <w:color w:val="auto"/>
          <w:sz w:val="20"/>
        </w:rPr>
        <w:t>0</w:t>
      </w:r>
      <w:r w:rsidRPr="00E70587">
        <w:rPr>
          <w:rFonts w:ascii="Arial" w:hAnsi="Arial"/>
          <w:color w:val="auto"/>
          <w:sz w:val="20"/>
        </w:rPr>
        <w:t>.</w:t>
      </w:r>
      <w:r w:rsidRPr="00E70587">
        <w:rPr>
          <w:rFonts w:ascii="Arial" w:hAnsi="Arial"/>
          <w:color w:val="auto"/>
          <w:sz w:val="20"/>
        </w:rPr>
        <w:tab/>
      </w:r>
      <w:r w:rsidR="00D32DD8" w:rsidRPr="00E70587">
        <w:rPr>
          <w:rFonts w:ascii="Arial" w:hAnsi="Arial"/>
          <w:color w:val="auto"/>
          <w:sz w:val="20"/>
        </w:rPr>
        <w:t>Cash and cash equivalents</w:t>
      </w:r>
    </w:p>
    <w:p w14:paraId="39E8D72F"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1</w:t>
      </w:r>
      <w:r w:rsidR="000D6D35" w:rsidRPr="00E70587">
        <w:rPr>
          <w:rFonts w:ascii="Arial" w:hAnsi="Arial"/>
          <w:color w:val="auto"/>
          <w:sz w:val="20"/>
        </w:rPr>
        <w:t>1</w:t>
      </w:r>
      <w:r w:rsidR="00215C2C" w:rsidRPr="00E70587">
        <w:rPr>
          <w:rFonts w:ascii="Arial" w:hAnsi="Arial"/>
          <w:color w:val="auto"/>
          <w:sz w:val="20"/>
        </w:rPr>
        <w:t>.</w:t>
      </w:r>
      <w:r w:rsidR="00215C2C" w:rsidRPr="00E70587">
        <w:rPr>
          <w:rFonts w:ascii="Arial" w:hAnsi="Arial"/>
          <w:color w:val="auto"/>
          <w:sz w:val="20"/>
        </w:rPr>
        <w:tab/>
      </w:r>
      <w:r w:rsidR="00D32DD8" w:rsidRPr="00E70587">
        <w:rPr>
          <w:rFonts w:ascii="Arial" w:hAnsi="Arial"/>
          <w:color w:val="auto"/>
          <w:sz w:val="20"/>
        </w:rPr>
        <w:t>Share Capital</w:t>
      </w:r>
    </w:p>
    <w:p w14:paraId="3493F1AE"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1</w:t>
      </w:r>
      <w:r w:rsidR="000D6D35" w:rsidRPr="00E70587">
        <w:rPr>
          <w:rFonts w:ascii="Arial" w:hAnsi="Arial"/>
          <w:color w:val="auto"/>
          <w:sz w:val="20"/>
        </w:rPr>
        <w:t>2</w:t>
      </w:r>
      <w:r w:rsidRPr="00E70587">
        <w:rPr>
          <w:rFonts w:ascii="Arial" w:hAnsi="Arial"/>
          <w:color w:val="auto"/>
          <w:sz w:val="20"/>
        </w:rPr>
        <w:t>.</w:t>
      </w:r>
      <w:r w:rsidRPr="00E70587">
        <w:rPr>
          <w:rFonts w:ascii="Arial" w:hAnsi="Arial"/>
          <w:color w:val="auto"/>
          <w:sz w:val="20"/>
        </w:rPr>
        <w:tab/>
      </w:r>
      <w:r w:rsidR="00D32DD8" w:rsidRPr="00E70587">
        <w:rPr>
          <w:rFonts w:ascii="Arial" w:hAnsi="Arial"/>
          <w:color w:val="auto"/>
          <w:sz w:val="20"/>
        </w:rPr>
        <w:t>Other equity</w:t>
      </w:r>
    </w:p>
    <w:p w14:paraId="2AAB5E41"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1</w:t>
      </w:r>
      <w:r w:rsidR="000D6D35" w:rsidRPr="00E70587">
        <w:rPr>
          <w:rFonts w:ascii="Arial" w:hAnsi="Arial"/>
          <w:color w:val="auto"/>
          <w:sz w:val="20"/>
        </w:rPr>
        <w:t>3</w:t>
      </w:r>
      <w:r w:rsidR="00215C2C" w:rsidRPr="00E70587">
        <w:rPr>
          <w:rFonts w:ascii="Arial" w:hAnsi="Arial"/>
          <w:color w:val="auto"/>
          <w:sz w:val="20"/>
        </w:rPr>
        <w:t>.</w:t>
      </w:r>
      <w:r w:rsidR="00215C2C" w:rsidRPr="00E70587">
        <w:rPr>
          <w:rFonts w:ascii="Arial" w:hAnsi="Arial"/>
          <w:color w:val="auto"/>
          <w:sz w:val="20"/>
        </w:rPr>
        <w:tab/>
      </w:r>
      <w:r w:rsidR="00D32DD8" w:rsidRPr="00E70587">
        <w:rPr>
          <w:rFonts w:ascii="Arial" w:hAnsi="Arial"/>
          <w:color w:val="auto"/>
          <w:sz w:val="20"/>
        </w:rPr>
        <w:t>Distributions made and proposed</w:t>
      </w:r>
    </w:p>
    <w:p w14:paraId="0B4BA661"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1</w:t>
      </w:r>
      <w:r w:rsidR="000D6D35" w:rsidRPr="00E70587">
        <w:rPr>
          <w:rFonts w:ascii="Arial" w:hAnsi="Arial"/>
          <w:color w:val="auto"/>
          <w:sz w:val="20"/>
        </w:rPr>
        <w:t>4</w:t>
      </w:r>
      <w:r w:rsidRPr="00E70587">
        <w:rPr>
          <w:rFonts w:ascii="Arial" w:hAnsi="Arial"/>
          <w:color w:val="auto"/>
          <w:sz w:val="20"/>
        </w:rPr>
        <w:t>.</w:t>
      </w:r>
      <w:r w:rsidRPr="00E70587">
        <w:rPr>
          <w:rFonts w:ascii="Arial" w:hAnsi="Arial"/>
          <w:color w:val="auto"/>
          <w:sz w:val="20"/>
        </w:rPr>
        <w:tab/>
      </w:r>
      <w:r w:rsidR="00D32DD8" w:rsidRPr="00E70587">
        <w:rPr>
          <w:rFonts w:ascii="Arial" w:hAnsi="Arial"/>
          <w:color w:val="auto"/>
          <w:sz w:val="20"/>
        </w:rPr>
        <w:t>Borrowings</w:t>
      </w:r>
    </w:p>
    <w:p w14:paraId="703A84A4" w14:textId="72C81FAF"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1</w:t>
      </w:r>
      <w:r w:rsidR="000D6D35" w:rsidRPr="00E70587">
        <w:rPr>
          <w:rFonts w:ascii="Arial" w:hAnsi="Arial"/>
          <w:color w:val="auto"/>
          <w:sz w:val="20"/>
        </w:rPr>
        <w:t>5</w:t>
      </w:r>
      <w:r w:rsidR="00215C2C" w:rsidRPr="00E70587">
        <w:rPr>
          <w:rFonts w:ascii="Arial" w:hAnsi="Arial"/>
          <w:color w:val="auto"/>
          <w:sz w:val="20"/>
        </w:rPr>
        <w:t>.</w:t>
      </w:r>
      <w:r w:rsidR="00215C2C" w:rsidRPr="00E70587">
        <w:rPr>
          <w:rFonts w:ascii="Arial" w:hAnsi="Arial"/>
          <w:color w:val="auto"/>
          <w:sz w:val="20"/>
        </w:rPr>
        <w:tab/>
      </w:r>
      <w:r w:rsidR="00D32DD8" w:rsidRPr="00E70587">
        <w:rPr>
          <w:rFonts w:ascii="Arial" w:hAnsi="Arial"/>
          <w:color w:val="auto"/>
          <w:sz w:val="20"/>
        </w:rPr>
        <w:t xml:space="preserve">Other </w:t>
      </w:r>
      <w:r w:rsidR="00AF7537">
        <w:rPr>
          <w:rFonts w:ascii="Arial" w:hAnsi="Arial"/>
          <w:color w:val="auto"/>
          <w:sz w:val="20"/>
        </w:rPr>
        <w:t>f</w:t>
      </w:r>
      <w:r w:rsidR="00D32DD8" w:rsidRPr="00E70587">
        <w:rPr>
          <w:rFonts w:ascii="Arial" w:hAnsi="Arial"/>
          <w:color w:val="auto"/>
          <w:sz w:val="20"/>
        </w:rPr>
        <w:t>inancial liabilities</w:t>
      </w:r>
    </w:p>
    <w:p w14:paraId="0FFF8AA2"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16</w:t>
      </w:r>
      <w:r w:rsidR="00215C2C" w:rsidRPr="00E70587">
        <w:rPr>
          <w:rFonts w:ascii="Arial" w:hAnsi="Arial"/>
          <w:color w:val="auto"/>
          <w:sz w:val="20"/>
        </w:rPr>
        <w:t>.</w:t>
      </w:r>
      <w:r w:rsidR="00215C2C" w:rsidRPr="00E70587">
        <w:rPr>
          <w:rFonts w:ascii="Arial" w:hAnsi="Arial"/>
          <w:color w:val="auto"/>
          <w:sz w:val="20"/>
        </w:rPr>
        <w:tab/>
      </w:r>
      <w:r w:rsidR="00D32DD8" w:rsidRPr="00E70587">
        <w:rPr>
          <w:rFonts w:ascii="Arial" w:hAnsi="Arial"/>
          <w:color w:val="auto"/>
          <w:sz w:val="20"/>
        </w:rPr>
        <w:t>Provisions</w:t>
      </w:r>
    </w:p>
    <w:p w14:paraId="5976107D"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17</w:t>
      </w:r>
      <w:r w:rsidR="00A75C59" w:rsidRPr="00E70587">
        <w:rPr>
          <w:rFonts w:ascii="Arial" w:hAnsi="Arial"/>
          <w:color w:val="auto"/>
          <w:sz w:val="20"/>
        </w:rPr>
        <w:t>.</w:t>
      </w:r>
      <w:r w:rsidR="00A75C59" w:rsidRPr="00E70587">
        <w:rPr>
          <w:rFonts w:ascii="Arial" w:hAnsi="Arial"/>
          <w:color w:val="auto"/>
          <w:sz w:val="20"/>
        </w:rPr>
        <w:tab/>
      </w:r>
      <w:r w:rsidR="00D32DD8" w:rsidRPr="00E70587">
        <w:rPr>
          <w:rFonts w:ascii="Arial" w:hAnsi="Arial"/>
          <w:color w:val="auto"/>
          <w:sz w:val="20"/>
        </w:rPr>
        <w:t>Government grants</w:t>
      </w:r>
      <w:r w:rsidR="00A75C59" w:rsidRPr="00E70587">
        <w:rPr>
          <w:rFonts w:ascii="Arial" w:hAnsi="Arial"/>
          <w:color w:val="auto"/>
          <w:sz w:val="20"/>
        </w:rPr>
        <w:t xml:space="preserve"> </w:t>
      </w:r>
    </w:p>
    <w:p w14:paraId="216368A0"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18</w:t>
      </w:r>
      <w:r w:rsidR="00215C2C" w:rsidRPr="00E70587">
        <w:rPr>
          <w:rFonts w:ascii="Arial" w:hAnsi="Arial"/>
          <w:color w:val="auto"/>
          <w:sz w:val="20"/>
        </w:rPr>
        <w:t>.</w:t>
      </w:r>
      <w:r w:rsidR="00215C2C" w:rsidRPr="00E70587">
        <w:rPr>
          <w:rFonts w:ascii="Arial" w:hAnsi="Arial"/>
          <w:color w:val="auto"/>
          <w:sz w:val="20"/>
        </w:rPr>
        <w:tab/>
      </w:r>
      <w:r w:rsidR="00BD0EA8" w:rsidRPr="00E70587">
        <w:rPr>
          <w:rFonts w:ascii="Arial" w:hAnsi="Arial"/>
          <w:color w:val="auto"/>
          <w:sz w:val="20"/>
        </w:rPr>
        <w:t>Contract liability</w:t>
      </w:r>
    </w:p>
    <w:p w14:paraId="7DB17419"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19</w:t>
      </w:r>
      <w:r w:rsidR="00215C2C" w:rsidRPr="00E70587">
        <w:rPr>
          <w:rFonts w:ascii="Arial" w:hAnsi="Arial"/>
          <w:color w:val="auto"/>
          <w:sz w:val="20"/>
        </w:rPr>
        <w:t>.</w:t>
      </w:r>
      <w:r w:rsidR="00215C2C" w:rsidRPr="00E70587">
        <w:rPr>
          <w:rFonts w:ascii="Arial" w:hAnsi="Arial"/>
          <w:color w:val="auto"/>
          <w:sz w:val="20"/>
        </w:rPr>
        <w:tab/>
      </w:r>
      <w:r w:rsidR="00D32DD8" w:rsidRPr="00E70587">
        <w:rPr>
          <w:rFonts w:ascii="Arial" w:hAnsi="Arial"/>
          <w:color w:val="auto"/>
          <w:sz w:val="20"/>
        </w:rPr>
        <w:t>Income tax</w:t>
      </w:r>
    </w:p>
    <w:p w14:paraId="1BBFE935"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20</w:t>
      </w:r>
      <w:r w:rsidR="00A75C59" w:rsidRPr="00E70587">
        <w:rPr>
          <w:rFonts w:ascii="Arial" w:hAnsi="Arial"/>
          <w:color w:val="auto"/>
          <w:sz w:val="20"/>
        </w:rPr>
        <w:t>.</w:t>
      </w:r>
      <w:r w:rsidR="00A75C59" w:rsidRPr="00E70587">
        <w:rPr>
          <w:rFonts w:ascii="Arial" w:hAnsi="Arial"/>
          <w:color w:val="auto"/>
          <w:sz w:val="20"/>
        </w:rPr>
        <w:tab/>
      </w:r>
      <w:r w:rsidR="00D32DD8" w:rsidRPr="00E70587">
        <w:rPr>
          <w:rFonts w:ascii="Arial" w:hAnsi="Arial"/>
          <w:color w:val="auto"/>
          <w:sz w:val="20"/>
        </w:rPr>
        <w:t>A. Trade payable</w:t>
      </w:r>
    </w:p>
    <w:p w14:paraId="2C624F20" w14:textId="77777777" w:rsidR="003C64BC" w:rsidRPr="00E70587" w:rsidRDefault="00D32DD8"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20.</w:t>
      </w:r>
      <w:r w:rsidRPr="00E70587">
        <w:rPr>
          <w:rFonts w:ascii="Arial" w:hAnsi="Arial"/>
          <w:color w:val="auto"/>
          <w:sz w:val="20"/>
        </w:rPr>
        <w:tab/>
        <w:t>B. Other payable</w:t>
      </w:r>
    </w:p>
    <w:p w14:paraId="5282534B"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2</w:t>
      </w:r>
      <w:r w:rsidR="000D6D35" w:rsidRPr="00E70587">
        <w:rPr>
          <w:rFonts w:ascii="Arial" w:hAnsi="Arial"/>
          <w:color w:val="auto"/>
          <w:sz w:val="20"/>
        </w:rPr>
        <w:t>1</w:t>
      </w:r>
      <w:r w:rsidRPr="00E70587">
        <w:rPr>
          <w:rFonts w:ascii="Arial" w:hAnsi="Arial"/>
          <w:color w:val="auto"/>
          <w:sz w:val="20"/>
        </w:rPr>
        <w:t>.</w:t>
      </w:r>
      <w:r w:rsidR="00215C2C" w:rsidRPr="00E70587">
        <w:rPr>
          <w:rFonts w:ascii="Arial" w:hAnsi="Arial"/>
          <w:color w:val="auto"/>
          <w:sz w:val="20"/>
        </w:rPr>
        <w:tab/>
      </w:r>
      <w:r w:rsidR="00D32DD8" w:rsidRPr="00E70587">
        <w:rPr>
          <w:rFonts w:ascii="Arial" w:hAnsi="Arial"/>
          <w:color w:val="auto"/>
          <w:sz w:val="20"/>
        </w:rPr>
        <w:t>Discontinued operations</w:t>
      </w:r>
      <w:r w:rsidR="00D32DD8" w:rsidRPr="00E70587" w:rsidDel="00D32DD8">
        <w:rPr>
          <w:rFonts w:ascii="Arial" w:hAnsi="Arial"/>
          <w:color w:val="auto"/>
          <w:sz w:val="20"/>
        </w:rPr>
        <w:t xml:space="preserve"> </w:t>
      </w:r>
    </w:p>
    <w:p w14:paraId="6CC247D3" w14:textId="02745EEB"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2</w:t>
      </w:r>
      <w:r w:rsidR="000D6D35" w:rsidRPr="00E70587">
        <w:rPr>
          <w:rFonts w:ascii="Arial" w:hAnsi="Arial"/>
          <w:color w:val="auto"/>
          <w:sz w:val="20"/>
        </w:rPr>
        <w:t>2</w:t>
      </w:r>
      <w:r w:rsidR="00215C2C" w:rsidRPr="00E70587">
        <w:rPr>
          <w:rFonts w:ascii="Arial" w:hAnsi="Arial"/>
          <w:color w:val="auto"/>
          <w:sz w:val="20"/>
        </w:rPr>
        <w:t>.</w:t>
      </w:r>
      <w:r w:rsidR="00215C2C" w:rsidRPr="00E70587">
        <w:rPr>
          <w:rFonts w:ascii="Arial" w:hAnsi="Arial"/>
          <w:color w:val="auto"/>
          <w:sz w:val="20"/>
        </w:rPr>
        <w:tab/>
      </w:r>
      <w:r w:rsidR="0057725D" w:rsidRPr="00E70587">
        <w:rPr>
          <w:rFonts w:ascii="Arial" w:hAnsi="Arial"/>
          <w:color w:val="auto"/>
          <w:sz w:val="20"/>
        </w:rPr>
        <w:t xml:space="preserve">Revenue from </w:t>
      </w:r>
      <w:r w:rsidR="00AF7537">
        <w:rPr>
          <w:rFonts w:ascii="Arial" w:hAnsi="Arial"/>
          <w:color w:val="auto"/>
          <w:sz w:val="20"/>
        </w:rPr>
        <w:t>contract with customers</w:t>
      </w:r>
    </w:p>
    <w:p w14:paraId="744A52D9"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2</w:t>
      </w:r>
      <w:r w:rsidR="000D6D35" w:rsidRPr="00E70587">
        <w:rPr>
          <w:rFonts w:ascii="Arial" w:hAnsi="Arial"/>
          <w:color w:val="auto"/>
          <w:sz w:val="20"/>
        </w:rPr>
        <w:t>3</w:t>
      </w:r>
      <w:r w:rsidR="00215C2C" w:rsidRPr="00E70587">
        <w:rPr>
          <w:rFonts w:ascii="Arial" w:hAnsi="Arial"/>
          <w:color w:val="auto"/>
          <w:sz w:val="20"/>
        </w:rPr>
        <w:t>.</w:t>
      </w:r>
      <w:r w:rsidR="00215C2C" w:rsidRPr="00E70587">
        <w:rPr>
          <w:rFonts w:ascii="Arial" w:hAnsi="Arial"/>
          <w:color w:val="auto"/>
          <w:sz w:val="20"/>
        </w:rPr>
        <w:tab/>
        <w:t>Other income</w:t>
      </w:r>
    </w:p>
    <w:p w14:paraId="62594FEF"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2</w:t>
      </w:r>
      <w:r w:rsidR="000D6D35" w:rsidRPr="00E70587">
        <w:rPr>
          <w:rFonts w:ascii="Arial" w:hAnsi="Arial"/>
          <w:color w:val="auto"/>
          <w:sz w:val="20"/>
        </w:rPr>
        <w:t>4</w:t>
      </w:r>
      <w:r w:rsidRPr="00E70587">
        <w:rPr>
          <w:rFonts w:ascii="Arial" w:hAnsi="Arial"/>
          <w:color w:val="auto"/>
          <w:sz w:val="20"/>
        </w:rPr>
        <w:t>.</w:t>
      </w:r>
      <w:r w:rsidRPr="00E70587">
        <w:rPr>
          <w:rFonts w:ascii="Arial" w:hAnsi="Arial"/>
          <w:color w:val="auto"/>
          <w:sz w:val="20"/>
        </w:rPr>
        <w:tab/>
        <w:t>Finance</w:t>
      </w:r>
      <w:r w:rsidR="00215C2C" w:rsidRPr="00E70587">
        <w:rPr>
          <w:rFonts w:ascii="Arial" w:hAnsi="Arial"/>
          <w:color w:val="auto"/>
          <w:sz w:val="20"/>
        </w:rPr>
        <w:t xml:space="preserve"> income</w:t>
      </w:r>
    </w:p>
    <w:p w14:paraId="175C5C78"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2</w:t>
      </w:r>
      <w:r w:rsidR="000D6D35" w:rsidRPr="00E70587">
        <w:rPr>
          <w:rFonts w:ascii="Arial" w:hAnsi="Arial"/>
          <w:color w:val="auto"/>
          <w:sz w:val="20"/>
        </w:rPr>
        <w:t>5</w:t>
      </w:r>
      <w:r w:rsidRPr="00E70587">
        <w:rPr>
          <w:rFonts w:ascii="Arial" w:hAnsi="Arial"/>
          <w:color w:val="auto"/>
          <w:sz w:val="20"/>
        </w:rPr>
        <w:t>.</w:t>
      </w:r>
      <w:r w:rsidRPr="00E70587">
        <w:rPr>
          <w:rFonts w:ascii="Arial" w:hAnsi="Arial"/>
          <w:color w:val="auto"/>
          <w:sz w:val="20"/>
        </w:rPr>
        <w:tab/>
        <w:t>Cost of raw mat</w:t>
      </w:r>
      <w:r w:rsidR="00215C2C" w:rsidRPr="00E70587">
        <w:rPr>
          <w:rFonts w:ascii="Arial" w:hAnsi="Arial"/>
          <w:color w:val="auto"/>
          <w:sz w:val="20"/>
        </w:rPr>
        <w:t>erial and components consumed</w:t>
      </w:r>
    </w:p>
    <w:p w14:paraId="4D541680"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26</w:t>
      </w:r>
      <w:r w:rsidR="00215C2C" w:rsidRPr="00E70587">
        <w:rPr>
          <w:rFonts w:ascii="Arial" w:hAnsi="Arial"/>
          <w:color w:val="auto"/>
          <w:sz w:val="20"/>
        </w:rPr>
        <w:t xml:space="preserve"> </w:t>
      </w:r>
      <w:r w:rsidR="00215C2C" w:rsidRPr="00E70587">
        <w:rPr>
          <w:rFonts w:ascii="Arial" w:hAnsi="Arial"/>
          <w:color w:val="auto"/>
          <w:sz w:val="20"/>
        </w:rPr>
        <w:tab/>
        <w:t>Employee benefits expense</w:t>
      </w:r>
    </w:p>
    <w:p w14:paraId="2DEFFB1A"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27</w:t>
      </w:r>
      <w:r w:rsidR="00A75C59" w:rsidRPr="00E70587">
        <w:rPr>
          <w:rFonts w:ascii="Arial" w:hAnsi="Arial"/>
          <w:color w:val="auto"/>
          <w:sz w:val="20"/>
        </w:rPr>
        <w:t>.</w:t>
      </w:r>
      <w:r w:rsidR="00A75C59" w:rsidRPr="00E70587">
        <w:rPr>
          <w:rFonts w:ascii="Arial" w:hAnsi="Arial"/>
          <w:color w:val="auto"/>
          <w:sz w:val="20"/>
        </w:rPr>
        <w:tab/>
        <w:t>Deprecia</w:t>
      </w:r>
      <w:r w:rsidR="00215C2C" w:rsidRPr="00E70587">
        <w:rPr>
          <w:rFonts w:ascii="Arial" w:hAnsi="Arial"/>
          <w:color w:val="auto"/>
          <w:sz w:val="20"/>
        </w:rPr>
        <w:t>tion and amortization expense</w:t>
      </w:r>
    </w:p>
    <w:p w14:paraId="6A80DCAD"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28</w:t>
      </w:r>
      <w:r w:rsidR="00215C2C" w:rsidRPr="00E70587">
        <w:rPr>
          <w:rFonts w:ascii="Arial" w:hAnsi="Arial"/>
          <w:color w:val="auto"/>
          <w:sz w:val="20"/>
        </w:rPr>
        <w:t>.</w:t>
      </w:r>
      <w:r w:rsidR="00215C2C" w:rsidRPr="00E70587">
        <w:rPr>
          <w:rFonts w:ascii="Arial" w:hAnsi="Arial"/>
          <w:color w:val="auto"/>
          <w:sz w:val="20"/>
        </w:rPr>
        <w:tab/>
        <w:t>Other expenses</w:t>
      </w:r>
    </w:p>
    <w:p w14:paraId="6C9EB695" w14:textId="77777777" w:rsidR="00A75C59" w:rsidRPr="00E70587" w:rsidDel="00C1391F"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lastRenderedPageBreak/>
        <w:t>29</w:t>
      </w:r>
      <w:r w:rsidR="00A75C59" w:rsidRPr="00E70587">
        <w:rPr>
          <w:rFonts w:ascii="Arial" w:hAnsi="Arial"/>
          <w:color w:val="auto"/>
          <w:sz w:val="20"/>
        </w:rPr>
        <w:t>.</w:t>
      </w:r>
      <w:r w:rsidR="00A75C59" w:rsidRPr="00E70587">
        <w:rPr>
          <w:rFonts w:ascii="Arial" w:hAnsi="Arial"/>
          <w:color w:val="auto"/>
          <w:sz w:val="20"/>
        </w:rPr>
        <w:tab/>
        <w:t>Finance costs</w:t>
      </w:r>
    </w:p>
    <w:p w14:paraId="1FCF54E3"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30</w:t>
      </w:r>
      <w:r w:rsidR="00A75C59" w:rsidRPr="00E70587">
        <w:rPr>
          <w:rFonts w:ascii="Arial" w:hAnsi="Arial"/>
          <w:color w:val="auto"/>
          <w:sz w:val="20"/>
        </w:rPr>
        <w:t>.</w:t>
      </w:r>
      <w:r w:rsidR="00A75C59" w:rsidRPr="00E70587">
        <w:rPr>
          <w:rFonts w:ascii="Arial" w:hAnsi="Arial"/>
          <w:color w:val="auto"/>
          <w:sz w:val="20"/>
        </w:rPr>
        <w:tab/>
        <w:t xml:space="preserve">Exceptional items </w:t>
      </w:r>
    </w:p>
    <w:p w14:paraId="6FF84B86"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3</w:t>
      </w:r>
      <w:r w:rsidR="000D6D35" w:rsidRPr="00E70587">
        <w:rPr>
          <w:rFonts w:ascii="Arial" w:hAnsi="Arial"/>
          <w:color w:val="auto"/>
          <w:sz w:val="20"/>
        </w:rPr>
        <w:t>1</w:t>
      </w:r>
      <w:r w:rsidRPr="00E70587">
        <w:rPr>
          <w:rFonts w:ascii="Arial" w:hAnsi="Arial"/>
          <w:color w:val="auto"/>
          <w:sz w:val="20"/>
        </w:rPr>
        <w:t>.</w:t>
      </w:r>
      <w:r w:rsidRPr="00E70587">
        <w:rPr>
          <w:rFonts w:ascii="Arial" w:hAnsi="Arial"/>
          <w:color w:val="auto"/>
          <w:sz w:val="20"/>
        </w:rPr>
        <w:tab/>
        <w:t>Re</w:t>
      </w:r>
      <w:r w:rsidR="00215C2C" w:rsidRPr="00E70587">
        <w:rPr>
          <w:rFonts w:ascii="Arial" w:hAnsi="Arial"/>
          <w:color w:val="auto"/>
          <w:sz w:val="20"/>
        </w:rPr>
        <w:t>search and development costs</w:t>
      </w:r>
    </w:p>
    <w:p w14:paraId="23764353"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3</w:t>
      </w:r>
      <w:r w:rsidR="000D6D35" w:rsidRPr="00E70587">
        <w:rPr>
          <w:rFonts w:ascii="Arial" w:hAnsi="Arial"/>
          <w:color w:val="auto"/>
          <w:sz w:val="20"/>
        </w:rPr>
        <w:t>2</w:t>
      </w:r>
      <w:r w:rsidRPr="00E70587">
        <w:rPr>
          <w:rFonts w:ascii="Arial" w:hAnsi="Arial"/>
          <w:color w:val="auto"/>
          <w:sz w:val="20"/>
        </w:rPr>
        <w:t>.</w:t>
      </w:r>
      <w:r w:rsidRPr="00E70587">
        <w:rPr>
          <w:rFonts w:ascii="Arial" w:hAnsi="Arial"/>
          <w:color w:val="auto"/>
          <w:sz w:val="20"/>
        </w:rPr>
        <w:tab/>
        <w:t>Components of othe</w:t>
      </w:r>
      <w:r w:rsidR="00215C2C" w:rsidRPr="00E70587">
        <w:rPr>
          <w:rFonts w:ascii="Arial" w:hAnsi="Arial"/>
          <w:color w:val="auto"/>
          <w:sz w:val="20"/>
        </w:rPr>
        <w:t>r comprehensive income (OCI)</w:t>
      </w:r>
    </w:p>
    <w:p w14:paraId="0B019382"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3</w:t>
      </w:r>
      <w:r w:rsidR="000D6D35" w:rsidRPr="00E70587">
        <w:rPr>
          <w:rFonts w:ascii="Arial" w:hAnsi="Arial"/>
          <w:color w:val="auto"/>
          <w:sz w:val="20"/>
        </w:rPr>
        <w:t>3</w:t>
      </w:r>
      <w:r w:rsidR="00BB6300">
        <w:rPr>
          <w:rFonts w:ascii="Arial" w:hAnsi="Arial"/>
          <w:color w:val="auto"/>
          <w:sz w:val="20"/>
        </w:rPr>
        <w:t>.</w:t>
      </w:r>
      <w:r w:rsidR="00BB6300">
        <w:rPr>
          <w:rFonts w:ascii="Arial" w:hAnsi="Arial"/>
          <w:color w:val="auto"/>
          <w:sz w:val="20"/>
        </w:rPr>
        <w:tab/>
        <w:t>Earnings per share (EPS)</w:t>
      </w:r>
    </w:p>
    <w:p w14:paraId="56849939"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3</w:t>
      </w:r>
      <w:r w:rsidR="000D6D35" w:rsidRPr="00E70587">
        <w:rPr>
          <w:rFonts w:ascii="Arial" w:hAnsi="Arial"/>
          <w:color w:val="auto"/>
          <w:sz w:val="20"/>
        </w:rPr>
        <w:t>4</w:t>
      </w:r>
      <w:r w:rsidRPr="00E70587">
        <w:rPr>
          <w:rFonts w:ascii="Arial" w:hAnsi="Arial"/>
          <w:color w:val="auto"/>
          <w:sz w:val="20"/>
        </w:rPr>
        <w:t>.</w:t>
      </w:r>
      <w:r w:rsidRPr="00E70587">
        <w:rPr>
          <w:rFonts w:ascii="Arial" w:hAnsi="Arial"/>
          <w:color w:val="auto"/>
          <w:sz w:val="20"/>
        </w:rPr>
        <w:tab/>
        <w:t>Significant accounting judgement</w:t>
      </w:r>
      <w:r w:rsidR="00215C2C" w:rsidRPr="00E70587">
        <w:rPr>
          <w:rFonts w:ascii="Arial" w:hAnsi="Arial"/>
          <w:color w:val="auto"/>
          <w:sz w:val="20"/>
        </w:rPr>
        <w:t>s, estimates and assumptions</w:t>
      </w:r>
    </w:p>
    <w:p w14:paraId="37F705FC"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3</w:t>
      </w:r>
      <w:r w:rsidR="000D6D35" w:rsidRPr="00E70587">
        <w:rPr>
          <w:rFonts w:ascii="Arial" w:hAnsi="Arial"/>
          <w:color w:val="auto"/>
          <w:sz w:val="20"/>
        </w:rPr>
        <w:t>5</w:t>
      </w:r>
      <w:r w:rsidR="00215C2C" w:rsidRPr="00E70587">
        <w:rPr>
          <w:rFonts w:ascii="Arial" w:hAnsi="Arial"/>
          <w:color w:val="auto"/>
          <w:sz w:val="20"/>
        </w:rPr>
        <w:t>.</w:t>
      </w:r>
      <w:r w:rsidR="00215C2C" w:rsidRPr="00E70587">
        <w:rPr>
          <w:rFonts w:ascii="Arial" w:hAnsi="Arial"/>
          <w:color w:val="auto"/>
          <w:sz w:val="20"/>
        </w:rPr>
        <w:tab/>
        <w:t>Group information</w:t>
      </w:r>
    </w:p>
    <w:p w14:paraId="1AAD6C11" w14:textId="77777777" w:rsidR="00A75C59" w:rsidRPr="00E70587" w:rsidRDefault="000D6D35"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36</w:t>
      </w:r>
      <w:r w:rsidR="00A75C59" w:rsidRPr="00E70587">
        <w:rPr>
          <w:rFonts w:ascii="Arial" w:hAnsi="Arial"/>
          <w:color w:val="auto"/>
          <w:sz w:val="20"/>
        </w:rPr>
        <w:t>.</w:t>
      </w:r>
      <w:r w:rsidR="00A75C59" w:rsidRPr="00E70587">
        <w:rPr>
          <w:rFonts w:ascii="Arial" w:hAnsi="Arial"/>
          <w:color w:val="auto"/>
          <w:sz w:val="20"/>
        </w:rPr>
        <w:tab/>
        <w:t xml:space="preserve">Business combinations and acquisition </w:t>
      </w:r>
      <w:r w:rsidR="00215C2C" w:rsidRPr="00E70587">
        <w:rPr>
          <w:rFonts w:ascii="Arial" w:hAnsi="Arial"/>
          <w:color w:val="auto"/>
          <w:sz w:val="20"/>
        </w:rPr>
        <w:t>of non-controlling interests</w:t>
      </w:r>
    </w:p>
    <w:p w14:paraId="0A1781A6" w14:textId="456A059C" w:rsidR="00A75C59" w:rsidRPr="00E70587" w:rsidRDefault="00686DF1"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37</w:t>
      </w:r>
      <w:r w:rsidR="00A75C59" w:rsidRPr="00E70587">
        <w:rPr>
          <w:rFonts w:ascii="Arial" w:hAnsi="Arial"/>
          <w:color w:val="auto"/>
          <w:sz w:val="20"/>
        </w:rPr>
        <w:t>.</w:t>
      </w:r>
      <w:r w:rsidR="00A75C59" w:rsidRPr="00E70587">
        <w:rPr>
          <w:rFonts w:ascii="Arial" w:hAnsi="Arial"/>
          <w:color w:val="auto"/>
          <w:sz w:val="20"/>
        </w:rPr>
        <w:tab/>
        <w:t>Materi</w:t>
      </w:r>
      <w:r w:rsidR="00215C2C" w:rsidRPr="00E70587">
        <w:rPr>
          <w:rFonts w:ascii="Arial" w:hAnsi="Arial"/>
          <w:color w:val="auto"/>
          <w:sz w:val="20"/>
        </w:rPr>
        <w:t xml:space="preserve">al </w:t>
      </w:r>
      <w:r w:rsidR="00FD3D51" w:rsidRPr="00E70587">
        <w:rPr>
          <w:rFonts w:ascii="Arial" w:hAnsi="Arial"/>
          <w:color w:val="auto"/>
          <w:sz w:val="20"/>
        </w:rPr>
        <w:t>partly owned</w:t>
      </w:r>
      <w:r w:rsidR="00215C2C" w:rsidRPr="00E70587">
        <w:rPr>
          <w:rFonts w:ascii="Arial" w:hAnsi="Arial"/>
          <w:color w:val="auto"/>
          <w:sz w:val="20"/>
        </w:rPr>
        <w:t xml:space="preserve"> subsidiaries</w:t>
      </w:r>
    </w:p>
    <w:p w14:paraId="42D57CFE" w14:textId="77777777" w:rsidR="00A75C59" w:rsidRPr="00E70587" w:rsidRDefault="00686DF1"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38</w:t>
      </w:r>
      <w:r w:rsidR="00A75C59" w:rsidRPr="00E70587">
        <w:rPr>
          <w:rFonts w:ascii="Arial" w:hAnsi="Arial"/>
          <w:color w:val="auto"/>
          <w:sz w:val="20"/>
        </w:rPr>
        <w:t>.</w:t>
      </w:r>
      <w:r w:rsidR="00A75C59" w:rsidRPr="00E70587">
        <w:rPr>
          <w:rFonts w:ascii="Arial" w:hAnsi="Arial"/>
          <w:color w:val="auto"/>
          <w:sz w:val="20"/>
        </w:rPr>
        <w:tab/>
      </w:r>
      <w:r w:rsidR="00FB6E8C" w:rsidRPr="00E70587">
        <w:rPr>
          <w:rFonts w:ascii="Arial" w:hAnsi="Arial"/>
          <w:color w:val="auto"/>
          <w:sz w:val="20"/>
        </w:rPr>
        <w:t>Interest</w:t>
      </w:r>
      <w:r w:rsidR="00215C2C" w:rsidRPr="00E70587">
        <w:rPr>
          <w:rFonts w:ascii="Arial" w:hAnsi="Arial"/>
          <w:color w:val="auto"/>
          <w:sz w:val="20"/>
        </w:rPr>
        <w:t xml:space="preserve"> in joint venture</w:t>
      </w:r>
    </w:p>
    <w:p w14:paraId="13290540" w14:textId="77777777" w:rsidR="00686DF1" w:rsidRPr="00E70587" w:rsidRDefault="00215C2C"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39.</w:t>
      </w:r>
      <w:r w:rsidRPr="00E70587">
        <w:rPr>
          <w:rFonts w:ascii="Arial" w:hAnsi="Arial"/>
          <w:color w:val="auto"/>
          <w:sz w:val="20"/>
        </w:rPr>
        <w:tab/>
        <w:t>Investment in associate</w:t>
      </w:r>
    </w:p>
    <w:p w14:paraId="27BB2E16"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4</w:t>
      </w:r>
      <w:r w:rsidR="00686DF1" w:rsidRPr="00E70587">
        <w:rPr>
          <w:rFonts w:ascii="Arial" w:hAnsi="Arial"/>
          <w:color w:val="auto"/>
          <w:sz w:val="20"/>
        </w:rPr>
        <w:t>0</w:t>
      </w:r>
      <w:r w:rsidRPr="00E70587">
        <w:rPr>
          <w:rFonts w:ascii="Arial" w:hAnsi="Arial"/>
          <w:color w:val="auto"/>
          <w:sz w:val="20"/>
        </w:rPr>
        <w:t>.</w:t>
      </w:r>
      <w:r w:rsidRPr="00E70587">
        <w:rPr>
          <w:rFonts w:ascii="Arial" w:hAnsi="Arial"/>
          <w:color w:val="auto"/>
          <w:sz w:val="20"/>
        </w:rPr>
        <w:tab/>
        <w:t>Gratuity and other p</w:t>
      </w:r>
      <w:r w:rsidR="00215C2C" w:rsidRPr="00E70587">
        <w:rPr>
          <w:rFonts w:ascii="Arial" w:hAnsi="Arial"/>
          <w:color w:val="auto"/>
          <w:sz w:val="20"/>
        </w:rPr>
        <w:t>ost-employment benefit plans</w:t>
      </w:r>
    </w:p>
    <w:p w14:paraId="52E3C08E" w14:textId="77777777"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4</w:t>
      </w:r>
      <w:r w:rsidR="00686DF1" w:rsidRPr="00E70587">
        <w:rPr>
          <w:rFonts w:ascii="Arial" w:hAnsi="Arial"/>
          <w:color w:val="auto"/>
          <w:sz w:val="20"/>
        </w:rPr>
        <w:t>1</w:t>
      </w:r>
      <w:r w:rsidR="00215C2C" w:rsidRPr="00E70587">
        <w:rPr>
          <w:rFonts w:ascii="Arial" w:hAnsi="Arial"/>
          <w:color w:val="auto"/>
          <w:sz w:val="20"/>
        </w:rPr>
        <w:t>.</w:t>
      </w:r>
      <w:r w:rsidR="00215C2C" w:rsidRPr="00E70587">
        <w:rPr>
          <w:rFonts w:ascii="Arial" w:hAnsi="Arial"/>
          <w:color w:val="auto"/>
          <w:sz w:val="20"/>
        </w:rPr>
        <w:tab/>
        <w:t>Share-based payments</w:t>
      </w:r>
    </w:p>
    <w:p w14:paraId="03DB6E3B" w14:textId="27CB9283" w:rsidR="006D16EF"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4</w:t>
      </w:r>
      <w:r w:rsidR="00686DF1" w:rsidRPr="00E70587">
        <w:rPr>
          <w:rFonts w:ascii="Arial" w:hAnsi="Arial"/>
          <w:color w:val="auto"/>
          <w:sz w:val="20"/>
        </w:rPr>
        <w:t>2</w:t>
      </w:r>
      <w:r w:rsidRPr="00E70587">
        <w:rPr>
          <w:rFonts w:ascii="Arial" w:hAnsi="Arial"/>
          <w:color w:val="auto"/>
          <w:sz w:val="20"/>
        </w:rPr>
        <w:t>.</w:t>
      </w:r>
      <w:r w:rsidRPr="00E70587">
        <w:rPr>
          <w:rFonts w:ascii="Arial" w:hAnsi="Arial"/>
          <w:color w:val="auto"/>
          <w:sz w:val="20"/>
        </w:rPr>
        <w:tab/>
      </w:r>
      <w:r w:rsidR="006D16EF">
        <w:rPr>
          <w:rFonts w:ascii="Arial" w:hAnsi="Arial"/>
          <w:color w:val="auto"/>
          <w:sz w:val="20"/>
        </w:rPr>
        <w:t>Leases</w:t>
      </w:r>
    </w:p>
    <w:p w14:paraId="065EFB21" w14:textId="2D96F33D" w:rsidR="00A75C59" w:rsidRPr="00E70587" w:rsidRDefault="006D16EF" w:rsidP="0060778E">
      <w:pPr>
        <w:pStyle w:val="BodyText1"/>
        <w:tabs>
          <w:tab w:val="right" w:leader="dot" w:pos="9360"/>
        </w:tabs>
        <w:ind w:left="432" w:hanging="432"/>
        <w:rPr>
          <w:rFonts w:ascii="Arial" w:hAnsi="Arial"/>
          <w:color w:val="auto"/>
          <w:sz w:val="20"/>
        </w:rPr>
      </w:pPr>
      <w:r>
        <w:rPr>
          <w:rFonts w:ascii="Arial" w:hAnsi="Arial"/>
          <w:color w:val="auto"/>
          <w:sz w:val="20"/>
        </w:rPr>
        <w:t xml:space="preserve">43.   </w:t>
      </w:r>
      <w:r w:rsidR="00A75C59" w:rsidRPr="00E70587">
        <w:rPr>
          <w:rFonts w:ascii="Arial" w:hAnsi="Arial"/>
          <w:color w:val="auto"/>
          <w:sz w:val="20"/>
        </w:rPr>
        <w:t>C</w:t>
      </w:r>
      <w:r w:rsidR="00215C2C" w:rsidRPr="00E70587">
        <w:rPr>
          <w:rFonts w:ascii="Arial" w:hAnsi="Arial"/>
          <w:color w:val="auto"/>
          <w:sz w:val="20"/>
        </w:rPr>
        <w:t>ommitments and contingencies</w:t>
      </w:r>
    </w:p>
    <w:p w14:paraId="04D4D7EA" w14:textId="563107A8" w:rsidR="00A75C59" w:rsidRPr="00E70587" w:rsidRDefault="004B1910"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4</w:t>
      </w:r>
      <w:r>
        <w:rPr>
          <w:rFonts w:ascii="Arial" w:hAnsi="Arial"/>
          <w:color w:val="auto"/>
          <w:sz w:val="20"/>
        </w:rPr>
        <w:t>4</w:t>
      </w:r>
      <w:r w:rsidR="00A75C59" w:rsidRPr="00E70587">
        <w:rPr>
          <w:rFonts w:ascii="Arial" w:hAnsi="Arial"/>
          <w:color w:val="auto"/>
          <w:sz w:val="20"/>
        </w:rPr>
        <w:t>.</w:t>
      </w:r>
      <w:r w:rsidR="00A75C59" w:rsidRPr="00E70587">
        <w:rPr>
          <w:rFonts w:ascii="Arial" w:hAnsi="Arial"/>
          <w:color w:val="auto"/>
          <w:sz w:val="20"/>
        </w:rPr>
        <w:tab/>
        <w:t>Related party transaction</w:t>
      </w:r>
      <w:r w:rsidR="00215C2C" w:rsidRPr="00E70587">
        <w:rPr>
          <w:rFonts w:ascii="Arial" w:hAnsi="Arial"/>
          <w:color w:val="auto"/>
          <w:sz w:val="20"/>
        </w:rPr>
        <w:t>s</w:t>
      </w:r>
    </w:p>
    <w:p w14:paraId="746BE4F3" w14:textId="31FF91B9" w:rsidR="00A75C59" w:rsidRPr="00E70587" w:rsidRDefault="004B1910"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4</w:t>
      </w:r>
      <w:r>
        <w:rPr>
          <w:rFonts w:ascii="Arial" w:hAnsi="Arial"/>
          <w:color w:val="auto"/>
          <w:sz w:val="20"/>
        </w:rPr>
        <w:t>5</w:t>
      </w:r>
      <w:r w:rsidR="00215C2C" w:rsidRPr="00E70587">
        <w:rPr>
          <w:rFonts w:ascii="Arial" w:hAnsi="Arial"/>
          <w:color w:val="auto"/>
          <w:sz w:val="20"/>
        </w:rPr>
        <w:t>.</w:t>
      </w:r>
      <w:r w:rsidR="00215C2C" w:rsidRPr="00E70587">
        <w:rPr>
          <w:rFonts w:ascii="Arial" w:hAnsi="Arial"/>
          <w:color w:val="auto"/>
          <w:sz w:val="20"/>
        </w:rPr>
        <w:tab/>
        <w:t>Segment information</w:t>
      </w:r>
    </w:p>
    <w:p w14:paraId="6A3B4047" w14:textId="1A03E42F" w:rsidR="00A75C59" w:rsidRPr="00E70587" w:rsidRDefault="004B1910"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4</w:t>
      </w:r>
      <w:r>
        <w:rPr>
          <w:rFonts w:ascii="Arial" w:hAnsi="Arial"/>
          <w:color w:val="auto"/>
          <w:sz w:val="20"/>
        </w:rPr>
        <w:t>6</w:t>
      </w:r>
      <w:r w:rsidR="00A75C59" w:rsidRPr="00E70587">
        <w:rPr>
          <w:rFonts w:ascii="Arial" w:hAnsi="Arial"/>
          <w:color w:val="auto"/>
          <w:sz w:val="20"/>
        </w:rPr>
        <w:t>.</w:t>
      </w:r>
      <w:r w:rsidR="00A75C59" w:rsidRPr="00E70587">
        <w:rPr>
          <w:rFonts w:ascii="Arial" w:hAnsi="Arial"/>
          <w:color w:val="auto"/>
          <w:sz w:val="20"/>
        </w:rPr>
        <w:tab/>
        <w:t>Hedgin</w:t>
      </w:r>
      <w:r w:rsidR="00215C2C" w:rsidRPr="00E70587">
        <w:rPr>
          <w:rFonts w:ascii="Arial" w:hAnsi="Arial"/>
          <w:color w:val="auto"/>
          <w:sz w:val="20"/>
        </w:rPr>
        <w:t>g activities and derivatives</w:t>
      </w:r>
    </w:p>
    <w:p w14:paraId="7E1DC353" w14:textId="4BC97005" w:rsidR="00A75C59" w:rsidRPr="00E70587" w:rsidRDefault="004B1910"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4</w:t>
      </w:r>
      <w:r>
        <w:rPr>
          <w:rFonts w:ascii="Arial" w:hAnsi="Arial"/>
          <w:color w:val="auto"/>
          <w:sz w:val="20"/>
        </w:rPr>
        <w:t>7</w:t>
      </w:r>
      <w:r w:rsidR="00215C2C" w:rsidRPr="00E70587">
        <w:rPr>
          <w:rFonts w:ascii="Arial" w:hAnsi="Arial"/>
          <w:color w:val="auto"/>
          <w:sz w:val="20"/>
        </w:rPr>
        <w:t>.</w:t>
      </w:r>
      <w:r w:rsidR="00215C2C" w:rsidRPr="00E70587">
        <w:rPr>
          <w:rFonts w:ascii="Arial" w:hAnsi="Arial"/>
          <w:color w:val="auto"/>
          <w:sz w:val="20"/>
        </w:rPr>
        <w:tab/>
        <w:t>Fair values</w:t>
      </w:r>
    </w:p>
    <w:p w14:paraId="56DB37B2" w14:textId="09DB3EA5" w:rsidR="00A75C59" w:rsidRPr="00E70587" w:rsidRDefault="004B1910"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4</w:t>
      </w:r>
      <w:r>
        <w:rPr>
          <w:rFonts w:ascii="Arial" w:hAnsi="Arial"/>
          <w:color w:val="auto"/>
          <w:sz w:val="20"/>
        </w:rPr>
        <w:t>8</w:t>
      </w:r>
      <w:r w:rsidR="00A75C59" w:rsidRPr="00E70587">
        <w:rPr>
          <w:rFonts w:ascii="Arial" w:hAnsi="Arial"/>
          <w:color w:val="auto"/>
          <w:sz w:val="20"/>
        </w:rPr>
        <w:t>.</w:t>
      </w:r>
      <w:r w:rsidR="00A75C59" w:rsidRPr="00E70587">
        <w:rPr>
          <w:rFonts w:ascii="Arial" w:hAnsi="Arial"/>
          <w:color w:val="auto"/>
          <w:sz w:val="20"/>
        </w:rPr>
        <w:tab/>
        <w:t xml:space="preserve">Fair value </w:t>
      </w:r>
      <w:r w:rsidR="004D6730" w:rsidRPr="00E70587">
        <w:rPr>
          <w:rFonts w:ascii="Arial" w:hAnsi="Arial"/>
          <w:color w:val="auto"/>
          <w:sz w:val="20"/>
        </w:rPr>
        <w:t>hierarchy</w:t>
      </w:r>
    </w:p>
    <w:p w14:paraId="32F47AE9" w14:textId="3AFEF6B7" w:rsidR="00A75C59" w:rsidRPr="00E70587" w:rsidRDefault="004B1910"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4</w:t>
      </w:r>
      <w:r>
        <w:rPr>
          <w:rFonts w:ascii="Arial" w:hAnsi="Arial"/>
          <w:color w:val="auto"/>
          <w:sz w:val="20"/>
        </w:rPr>
        <w:t>9</w:t>
      </w:r>
      <w:r w:rsidR="00A75C59" w:rsidRPr="00E70587">
        <w:rPr>
          <w:rFonts w:ascii="Arial" w:hAnsi="Arial"/>
          <w:color w:val="auto"/>
          <w:sz w:val="20"/>
        </w:rPr>
        <w:t>.</w:t>
      </w:r>
      <w:r w:rsidR="00A75C59" w:rsidRPr="00E70587">
        <w:rPr>
          <w:rFonts w:ascii="Arial" w:hAnsi="Arial"/>
          <w:color w:val="auto"/>
          <w:sz w:val="20"/>
        </w:rPr>
        <w:tab/>
        <w:t>Financial risk manage</w:t>
      </w:r>
      <w:r w:rsidR="00215C2C" w:rsidRPr="00E70587">
        <w:rPr>
          <w:rFonts w:ascii="Arial" w:hAnsi="Arial"/>
          <w:color w:val="auto"/>
          <w:sz w:val="20"/>
        </w:rPr>
        <w:t>ment objectives and policies</w:t>
      </w:r>
    </w:p>
    <w:p w14:paraId="681C0EEA" w14:textId="624B9BDA" w:rsidR="00A75C59" w:rsidRPr="00E70587" w:rsidRDefault="004B1910" w:rsidP="0060778E">
      <w:pPr>
        <w:pStyle w:val="BodyText1"/>
        <w:tabs>
          <w:tab w:val="right" w:leader="dot" w:pos="9360"/>
        </w:tabs>
        <w:ind w:left="432" w:hanging="432"/>
        <w:rPr>
          <w:rFonts w:ascii="Arial" w:hAnsi="Arial"/>
          <w:color w:val="auto"/>
          <w:sz w:val="20"/>
        </w:rPr>
      </w:pPr>
      <w:r>
        <w:rPr>
          <w:rFonts w:ascii="Arial" w:hAnsi="Arial"/>
          <w:color w:val="auto"/>
          <w:sz w:val="20"/>
        </w:rPr>
        <w:t>50</w:t>
      </w:r>
      <w:r w:rsidR="00215C2C" w:rsidRPr="00E70587">
        <w:rPr>
          <w:rFonts w:ascii="Arial" w:hAnsi="Arial"/>
          <w:color w:val="auto"/>
          <w:sz w:val="20"/>
        </w:rPr>
        <w:t>.</w:t>
      </w:r>
      <w:r w:rsidR="00215C2C" w:rsidRPr="00E70587">
        <w:rPr>
          <w:rFonts w:ascii="Arial" w:hAnsi="Arial"/>
          <w:color w:val="auto"/>
          <w:sz w:val="20"/>
        </w:rPr>
        <w:tab/>
        <w:t>Capital management</w:t>
      </w:r>
    </w:p>
    <w:p w14:paraId="0137F948" w14:textId="1D29E2CD" w:rsidR="00A75C59" w:rsidRPr="00E70587" w:rsidRDefault="00A75C59"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5</w:t>
      </w:r>
      <w:r w:rsidR="004B1910">
        <w:rPr>
          <w:rFonts w:ascii="Arial" w:hAnsi="Arial"/>
          <w:color w:val="auto"/>
          <w:sz w:val="20"/>
        </w:rPr>
        <w:t>1</w:t>
      </w:r>
      <w:r w:rsidRPr="00E70587">
        <w:rPr>
          <w:rFonts w:ascii="Arial" w:hAnsi="Arial"/>
          <w:color w:val="auto"/>
          <w:sz w:val="20"/>
        </w:rPr>
        <w:t>.</w:t>
      </w:r>
      <w:r w:rsidRPr="00E70587">
        <w:rPr>
          <w:rFonts w:ascii="Arial" w:hAnsi="Arial"/>
          <w:color w:val="auto"/>
          <w:sz w:val="20"/>
        </w:rPr>
        <w:tab/>
        <w:t>Event</w:t>
      </w:r>
      <w:r w:rsidR="00215C2C" w:rsidRPr="00E70587">
        <w:rPr>
          <w:rFonts w:ascii="Arial" w:hAnsi="Arial"/>
          <w:color w:val="auto"/>
          <w:sz w:val="20"/>
        </w:rPr>
        <w:t>s after the reporting period</w:t>
      </w:r>
    </w:p>
    <w:p w14:paraId="5B62E78B" w14:textId="6AEEA1D2" w:rsidR="00A42E06" w:rsidRPr="00E70587" w:rsidRDefault="00083ED3"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5</w:t>
      </w:r>
      <w:r w:rsidR="004B1910">
        <w:rPr>
          <w:rFonts w:ascii="Arial" w:hAnsi="Arial"/>
          <w:color w:val="auto"/>
          <w:sz w:val="20"/>
        </w:rPr>
        <w:t>2</w:t>
      </w:r>
      <w:r w:rsidR="00A42E06" w:rsidRPr="00E70587">
        <w:rPr>
          <w:rFonts w:ascii="Arial" w:hAnsi="Arial"/>
          <w:color w:val="auto"/>
          <w:sz w:val="20"/>
        </w:rPr>
        <w:t>.</w:t>
      </w:r>
      <w:r w:rsidR="00A42E06" w:rsidRPr="00E70587">
        <w:rPr>
          <w:rFonts w:ascii="Arial" w:hAnsi="Arial"/>
          <w:color w:val="auto"/>
          <w:sz w:val="20"/>
        </w:rPr>
        <w:tab/>
      </w:r>
      <w:r w:rsidR="009C66F7" w:rsidRPr="00E70587">
        <w:rPr>
          <w:rFonts w:ascii="Arial" w:hAnsi="Arial"/>
          <w:color w:val="auto"/>
          <w:sz w:val="20"/>
        </w:rPr>
        <w:t>Standards issued but not yet effective</w:t>
      </w:r>
    </w:p>
    <w:p w14:paraId="7C5995A9" w14:textId="5FC2DCD7" w:rsidR="00A75C59" w:rsidRPr="00E70587" w:rsidRDefault="00083ED3" w:rsidP="0060778E">
      <w:pPr>
        <w:pStyle w:val="BodyText1"/>
        <w:tabs>
          <w:tab w:val="right" w:leader="dot" w:pos="9360"/>
        </w:tabs>
        <w:ind w:left="432" w:hanging="432"/>
        <w:rPr>
          <w:rFonts w:ascii="Arial" w:hAnsi="Arial"/>
          <w:color w:val="auto"/>
          <w:sz w:val="20"/>
        </w:rPr>
      </w:pPr>
      <w:r w:rsidRPr="00E70587">
        <w:rPr>
          <w:rFonts w:ascii="Arial" w:hAnsi="Arial"/>
          <w:color w:val="auto"/>
          <w:sz w:val="20"/>
        </w:rPr>
        <w:t>5</w:t>
      </w:r>
      <w:r w:rsidR="004B1910">
        <w:rPr>
          <w:rFonts w:ascii="Arial" w:hAnsi="Arial"/>
          <w:color w:val="auto"/>
          <w:sz w:val="20"/>
        </w:rPr>
        <w:t>3</w:t>
      </w:r>
      <w:r w:rsidR="00A75C59" w:rsidRPr="00E70587">
        <w:rPr>
          <w:rFonts w:ascii="Arial" w:hAnsi="Arial"/>
          <w:color w:val="auto"/>
          <w:sz w:val="20"/>
        </w:rPr>
        <w:t>.</w:t>
      </w:r>
      <w:r w:rsidR="00A75C59" w:rsidRPr="00E70587">
        <w:rPr>
          <w:rFonts w:ascii="Arial" w:hAnsi="Arial"/>
          <w:color w:val="auto"/>
          <w:sz w:val="20"/>
        </w:rPr>
        <w:tab/>
        <w:t xml:space="preserve">Statutory </w:t>
      </w:r>
      <w:r w:rsidR="00686DF1" w:rsidRPr="00E70587">
        <w:rPr>
          <w:rFonts w:ascii="Arial" w:hAnsi="Arial"/>
          <w:color w:val="auto"/>
          <w:sz w:val="20"/>
        </w:rPr>
        <w:t xml:space="preserve">Group </w:t>
      </w:r>
      <w:r w:rsidR="00BB6300">
        <w:rPr>
          <w:rFonts w:ascii="Arial" w:hAnsi="Arial"/>
          <w:color w:val="auto"/>
          <w:sz w:val="20"/>
        </w:rPr>
        <w:t>Information</w:t>
      </w:r>
    </w:p>
    <w:p w14:paraId="13CF7BB8" w14:textId="77777777" w:rsidR="0026681D" w:rsidRPr="00E70587" w:rsidRDefault="0026681D" w:rsidP="0060778E">
      <w:pPr>
        <w:pStyle w:val="BodyText1"/>
        <w:spacing w:before="180"/>
        <w:rPr>
          <w:rFonts w:ascii="Arial" w:hAnsi="Arial"/>
          <w:color w:val="auto"/>
          <w:sz w:val="20"/>
        </w:rPr>
      </w:pPr>
    </w:p>
    <w:bookmarkEnd w:id="1"/>
    <w:p w14:paraId="19C9F71F" w14:textId="77777777" w:rsidR="00477FD2" w:rsidRPr="00E70587" w:rsidRDefault="00477FD2" w:rsidP="0060778E">
      <w:pPr>
        <w:pStyle w:val="Heading3"/>
        <w:spacing w:before="180" w:after="0"/>
        <w:rPr>
          <w:rFonts w:ascii="Arial" w:hAnsi="Arial"/>
        </w:rPr>
        <w:sectPr w:rsidR="00477FD2" w:rsidRPr="00E70587" w:rsidSect="004C47AB">
          <w:footerReference w:type="default" r:id="rId13"/>
          <w:headerReference w:type="first" r:id="rId14"/>
          <w:pgSz w:w="11909" w:h="16834" w:code="9"/>
          <w:pgMar w:top="864" w:right="1253" w:bottom="864" w:left="1296" w:header="432" w:footer="432" w:gutter="0"/>
          <w:cols w:space="766"/>
          <w:titlePg/>
          <w:docGrid w:linePitch="245"/>
        </w:sectPr>
      </w:pPr>
    </w:p>
    <w:tbl>
      <w:tblPr>
        <w:tblW w:w="5000" w:type="pct"/>
        <w:tblBorders>
          <w:bottom w:val="single" w:sz="8" w:space="0" w:color="auto"/>
        </w:tblBorders>
        <w:tblLook w:val="01E0" w:firstRow="1" w:lastRow="1" w:firstColumn="1" w:lastColumn="1" w:noHBand="0" w:noVBand="0"/>
      </w:tblPr>
      <w:tblGrid>
        <w:gridCol w:w="4045"/>
        <w:gridCol w:w="772"/>
        <w:gridCol w:w="1432"/>
        <w:gridCol w:w="1606"/>
        <w:gridCol w:w="1505"/>
      </w:tblGrid>
      <w:tr w:rsidR="009E7FDA" w:rsidRPr="00E70587" w14:paraId="55A90B0C" w14:textId="77777777" w:rsidTr="001C5B9C">
        <w:trPr>
          <w:tblHeader/>
        </w:trPr>
        <w:tc>
          <w:tcPr>
            <w:tcW w:w="2160" w:type="pct"/>
            <w:shd w:val="clear" w:color="auto" w:fill="auto"/>
            <w:vAlign w:val="bottom"/>
          </w:tcPr>
          <w:p w14:paraId="741A195B" w14:textId="77777777" w:rsidR="009E7FDA" w:rsidRPr="00E70587" w:rsidRDefault="009E7FDA" w:rsidP="009E7FDA">
            <w:pPr>
              <w:pStyle w:val="000Normal"/>
              <w:spacing w:before="0" w:after="0" w:line="280" w:lineRule="exact"/>
              <w:rPr>
                <w:rFonts w:ascii="Arial" w:hAnsi="Arial" w:cs="Arial"/>
                <w:sz w:val="20"/>
              </w:rPr>
            </w:pPr>
          </w:p>
        </w:tc>
        <w:tc>
          <w:tcPr>
            <w:tcW w:w="412" w:type="pct"/>
            <w:shd w:val="clear" w:color="auto" w:fill="auto"/>
            <w:vAlign w:val="bottom"/>
          </w:tcPr>
          <w:p w14:paraId="284BA1A2" w14:textId="77777777" w:rsidR="009E7FDA" w:rsidRPr="00E70587" w:rsidRDefault="009E7FDA" w:rsidP="009E7FDA">
            <w:pPr>
              <w:pStyle w:val="000Normal"/>
              <w:spacing w:before="0" w:after="0" w:line="280" w:lineRule="exact"/>
              <w:jc w:val="center"/>
              <w:rPr>
                <w:rFonts w:ascii="Arial" w:hAnsi="Arial" w:cs="Arial"/>
                <w:sz w:val="20"/>
              </w:rPr>
            </w:pPr>
          </w:p>
        </w:tc>
        <w:tc>
          <w:tcPr>
            <w:tcW w:w="765" w:type="pct"/>
            <w:tcBorders>
              <w:bottom w:val="nil"/>
            </w:tcBorders>
            <w:shd w:val="clear" w:color="auto" w:fill="auto"/>
            <w:vAlign w:val="bottom"/>
          </w:tcPr>
          <w:p w14:paraId="1240A55F" w14:textId="42EAF49F" w:rsidR="009E7FDA" w:rsidRPr="00E70587" w:rsidRDefault="009E7FDA" w:rsidP="009E7FDA">
            <w:pPr>
              <w:pStyle w:val="Tablecolumnheading"/>
              <w:spacing w:line="280" w:lineRule="exact"/>
              <w:rPr>
                <w:rFonts w:ascii="Arial" w:hAnsi="Arial"/>
                <w:color w:val="auto"/>
                <w:sz w:val="20"/>
                <w:szCs w:val="20"/>
                <w:lang w:val="en-IN"/>
              </w:rPr>
            </w:pPr>
          </w:p>
        </w:tc>
        <w:tc>
          <w:tcPr>
            <w:tcW w:w="858" w:type="pct"/>
            <w:tcBorders>
              <w:bottom w:val="single" w:sz="4" w:space="0" w:color="auto"/>
            </w:tcBorders>
            <w:shd w:val="clear" w:color="auto" w:fill="auto"/>
            <w:vAlign w:val="bottom"/>
          </w:tcPr>
          <w:p w14:paraId="3EB0BE2C" w14:textId="77777777" w:rsidR="009E7FDA" w:rsidRPr="00E70587" w:rsidRDefault="009E7FDA" w:rsidP="009E7FDA">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As at </w:t>
            </w:r>
          </w:p>
          <w:p w14:paraId="6C0090B3" w14:textId="77777777" w:rsidR="009E7FDA" w:rsidRDefault="009E7FDA" w:rsidP="009E7FDA">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31 March</w:t>
            </w:r>
          </w:p>
          <w:p w14:paraId="20B6F12A" w14:textId="09895697" w:rsidR="009E7FDA" w:rsidRPr="00E70587" w:rsidRDefault="009E7FDA" w:rsidP="009E7FDA">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20</w:t>
            </w:r>
            <w:r>
              <w:rPr>
                <w:rFonts w:ascii="Arial" w:hAnsi="Arial"/>
                <w:color w:val="auto"/>
                <w:sz w:val="20"/>
                <w:szCs w:val="20"/>
                <w:lang w:val="en-IN"/>
              </w:rPr>
              <w:t xml:space="preserve">21 </w:t>
            </w:r>
          </w:p>
        </w:tc>
        <w:tc>
          <w:tcPr>
            <w:tcW w:w="804" w:type="pct"/>
            <w:tcBorders>
              <w:bottom w:val="single" w:sz="4" w:space="0" w:color="auto"/>
              <w:right w:val="nil"/>
            </w:tcBorders>
            <w:tcMar>
              <w:left w:w="0" w:type="dxa"/>
            </w:tcMar>
            <w:vAlign w:val="bottom"/>
          </w:tcPr>
          <w:p w14:paraId="62171BA5" w14:textId="77777777" w:rsidR="009E7FDA" w:rsidRPr="00E70587" w:rsidRDefault="009E7FDA" w:rsidP="009E7FDA">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As at </w:t>
            </w:r>
          </w:p>
          <w:p w14:paraId="2308F00D" w14:textId="77777777" w:rsidR="00915735" w:rsidRDefault="009E7FDA" w:rsidP="009E7FDA">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31 March</w:t>
            </w:r>
          </w:p>
          <w:p w14:paraId="254EA8A8" w14:textId="4331FC19" w:rsidR="009E7FDA" w:rsidRPr="00E70587" w:rsidRDefault="009E7FDA" w:rsidP="009E7FDA">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20</w:t>
            </w:r>
            <w:r>
              <w:rPr>
                <w:rFonts w:ascii="Arial" w:hAnsi="Arial"/>
                <w:color w:val="auto"/>
                <w:sz w:val="20"/>
                <w:szCs w:val="20"/>
                <w:lang w:val="en-IN"/>
              </w:rPr>
              <w:t>20</w:t>
            </w:r>
            <w:r w:rsidRPr="00E70587">
              <w:rPr>
                <w:rFonts w:ascii="Arial" w:hAnsi="Arial"/>
                <w:color w:val="auto"/>
                <w:sz w:val="20"/>
                <w:szCs w:val="20"/>
                <w:lang w:val="en-IN"/>
              </w:rPr>
              <w:t xml:space="preserve"> </w:t>
            </w:r>
          </w:p>
        </w:tc>
      </w:tr>
      <w:tr w:rsidR="009E7FDA" w:rsidRPr="00E70587" w14:paraId="4E236438" w14:textId="77777777" w:rsidTr="001C5B9C">
        <w:trPr>
          <w:tblHeader/>
        </w:trPr>
        <w:tc>
          <w:tcPr>
            <w:tcW w:w="2160" w:type="pct"/>
            <w:tcBorders>
              <w:bottom w:val="nil"/>
            </w:tcBorders>
            <w:vAlign w:val="bottom"/>
          </w:tcPr>
          <w:p w14:paraId="5119B947" w14:textId="77777777" w:rsidR="009E7FDA" w:rsidRPr="00E70587" w:rsidRDefault="009E7FDA" w:rsidP="009E7FDA">
            <w:pPr>
              <w:pStyle w:val="000Normal"/>
              <w:spacing w:before="0" w:after="0" w:line="280" w:lineRule="exact"/>
              <w:rPr>
                <w:rFonts w:ascii="Arial" w:hAnsi="Arial" w:cs="Arial"/>
                <w:sz w:val="20"/>
              </w:rPr>
            </w:pPr>
          </w:p>
        </w:tc>
        <w:tc>
          <w:tcPr>
            <w:tcW w:w="412" w:type="pct"/>
            <w:tcBorders>
              <w:bottom w:val="nil"/>
            </w:tcBorders>
            <w:vAlign w:val="bottom"/>
          </w:tcPr>
          <w:p w14:paraId="62E5C48A" w14:textId="77777777" w:rsidR="009E7FDA" w:rsidRPr="00E70587" w:rsidRDefault="009E7FDA" w:rsidP="009E7FDA">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Notes</w:t>
            </w:r>
          </w:p>
        </w:tc>
        <w:tc>
          <w:tcPr>
            <w:tcW w:w="765" w:type="pct"/>
            <w:tcBorders>
              <w:top w:val="nil"/>
              <w:bottom w:val="nil"/>
            </w:tcBorders>
            <w:vAlign w:val="bottom"/>
          </w:tcPr>
          <w:p w14:paraId="23B1C39E" w14:textId="6FA132B5" w:rsidR="009E7FDA" w:rsidRPr="00E70587" w:rsidRDefault="009E7FDA" w:rsidP="009E7FDA">
            <w:pPr>
              <w:pStyle w:val="Tablecolumnheading"/>
              <w:spacing w:line="280" w:lineRule="exact"/>
              <w:rPr>
                <w:rFonts w:ascii="Arial" w:hAnsi="Arial"/>
                <w:color w:val="auto"/>
                <w:sz w:val="20"/>
                <w:szCs w:val="20"/>
                <w:lang w:val="en-IN"/>
              </w:rPr>
            </w:pPr>
          </w:p>
        </w:tc>
        <w:tc>
          <w:tcPr>
            <w:tcW w:w="858" w:type="pct"/>
            <w:tcBorders>
              <w:top w:val="single" w:sz="4" w:space="0" w:color="auto"/>
              <w:bottom w:val="nil"/>
            </w:tcBorders>
            <w:vAlign w:val="bottom"/>
          </w:tcPr>
          <w:p w14:paraId="75AA43EF" w14:textId="16232B9D" w:rsidR="009E7FDA" w:rsidRPr="00E70587" w:rsidRDefault="009E7FDA" w:rsidP="009E7FDA">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w:t>
            </w:r>
            <w:r w:rsidR="008B3529">
              <w:rPr>
                <w:rFonts w:ascii="Arial" w:hAnsi="Arial"/>
                <w:color w:val="auto"/>
                <w:sz w:val="20"/>
                <w:szCs w:val="20"/>
                <w:lang w:val="en-IN"/>
              </w:rPr>
              <w:t>c</w:t>
            </w:r>
            <w:r w:rsidRPr="00E70587">
              <w:rPr>
                <w:rFonts w:ascii="Arial" w:hAnsi="Arial"/>
                <w:color w:val="auto"/>
                <w:sz w:val="20"/>
                <w:szCs w:val="20"/>
                <w:lang w:val="en-IN"/>
              </w:rPr>
              <w:t>s</w:t>
            </w:r>
          </w:p>
        </w:tc>
        <w:tc>
          <w:tcPr>
            <w:tcW w:w="804" w:type="pct"/>
            <w:tcBorders>
              <w:top w:val="single" w:sz="4" w:space="0" w:color="auto"/>
              <w:bottom w:val="nil"/>
              <w:right w:val="nil"/>
            </w:tcBorders>
            <w:vAlign w:val="bottom"/>
          </w:tcPr>
          <w:p w14:paraId="1FFD293A" w14:textId="5E4CE233" w:rsidR="009E7FDA" w:rsidRPr="00E70587" w:rsidRDefault="009E7FDA" w:rsidP="00915735">
            <w:pPr>
              <w:pStyle w:val="Tablecolumnheading"/>
              <w:spacing w:line="280" w:lineRule="exact"/>
              <w:ind w:left="367" w:right="-106"/>
              <w:rPr>
                <w:rFonts w:ascii="Arial" w:hAnsi="Arial"/>
                <w:color w:val="auto"/>
                <w:sz w:val="20"/>
                <w:szCs w:val="20"/>
                <w:lang w:val="en-IN"/>
              </w:rPr>
            </w:pPr>
            <w:r w:rsidRPr="00E70587">
              <w:rPr>
                <w:rFonts w:ascii="Arial" w:hAnsi="Arial"/>
                <w:color w:val="auto"/>
                <w:sz w:val="20"/>
                <w:szCs w:val="20"/>
                <w:lang w:val="en-IN"/>
              </w:rPr>
              <w:t>INR La</w:t>
            </w:r>
            <w:r w:rsidR="008B3529">
              <w:rPr>
                <w:rFonts w:ascii="Arial" w:hAnsi="Arial"/>
                <w:color w:val="auto"/>
                <w:sz w:val="20"/>
                <w:szCs w:val="20"/>
                <w:lang w:val="en-IN"/>
              </w:rPr>
              <w:t>c</w:t>
            </w:r>
            <w:r w:rsidRPr="00E70587">
              <w:rPr>
                <w:rFonts w:ascii="Arial" w:hAnsi="Arial"/>
                <w:color w:val="auto"/>
                <w:sz w:val="20"/>
                <w:szCs w:val="20"/>
                <w:lang w:val="en-IN"/>
              </w:rPr>
              <w:t>s</w:t>
            </w:r>
          </w:p>
        </w:tc>
      </w:tr>
      <w:tr w:rsidR="009E7FDA" w:rsidRPr="00E70587" w14:paraId="679E2E0D" w14:textId="77777777" w:rsidTr="001C5B9C">
        <w:tc>
          <w:tcPr>
            <w:tcW w:w="2160" w:type="pct"/>
            <w:tcBorders>
              <w:bottom w:val="nil"/>
            </w:tcBorders>
            <w:shd w:val="clear" w:color="auto" w:fill="auto"/>
            <w:vAlign w:val="center"/>
          </w:tcPr>
          <w:p w14:paraId="3EC8A37E" w14:textId="7777777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b/>
                <w:sz w:val="20"/>
                <w:lang w:val="en-IN"/>
              </w:rPr>
            </w:pPr>
          </w:p>
        </w:tc>
        <w:tc>
          <w:tcPr>
            <w:tcW w:w="412" w:type="pct"/>
            <w:tcBorders>
              <w:bottom w:val="nil"/>
            </w:tcBorders>
            <w:shd w:val="clear" w:color="auto" w:fill="auto"/>
            <w:vAlign w:val="center"/>
          </w:tcPr>
          <w:p w14:paraId="3234E8DF" w14:textId="77777777" w:rsidR="009E7FDA" w:rsidRPr="00E70587" w:rsidRDefault="009E7FDA" w:rsidP="009E7FDA">
            <w:pPr>
              <w:pStyle w:val="000Normal"/>
              <w:spacing w:before="0" w:after="0" w:line="280" w:lineRule="exact"/>
              <w:jc w:val="center"/>
              <w:rPr>
                <w:rFonts w:ascii="Arial" w:hAnsi="Arial" w:cs="Arial"/>
                <w:sz w:val="20"/>
              </w:rPr>
            </w:pPr>
          </w:p>
        </w:tc>
        <w:tc>
          <w:tcPr>
            <w:tcW w:w="765" w:type="pct"/>
            <w:tcBorders>
              <w:top w:val="nil"/>
              <w:bottom w:val="nil"/>
            </w:tcBorders>
            <w:shd w:val="clear" w:color="auto" w:fill="auto"/>
            <w:vAlign w:val="bottom"/>
          </w:tcPr>
          <w:p w14:paraId="32D69385" w14:textId="77777777" w:rsidR="009E7FDA" w:rsidRPr="00E70587" w:rsidRDefault="009E7FDA" w:rsidP="009E7FDA">
            <w:pPr>
              <w:pStyle w:val="000Normal"/>
              <w:tabs>
                <w:tab w:val="right" w:pos="1026"/>
              </w:tabs>
              <w:spacing w:before="0" w:after="0" w:line="280" w:lineRule="exact"/>
              <w:jc w:val="right"/>
              <w:rPr>
                <w:rFonts w:ascii="Arial" w:hAnsi="Arial" w:cs="Arial"/>
                <w:sz w:val="20"/>
              </w:rPr>
            </w:pPr>
          </w:p>
        </w:tc>
        <w:tc>
          <w:tcPr>
            <w:tcW w:w="858" w:type="pct"/>
            <w:tcBorders>
              <w:top w:val="nil"/>
              <w:bottom w:val="nil"/>
            </w:tcBorders>
            <w:shd w:val="clear" w:color="auto" w:fill="auto"/>
            <w:vAlign w:val="bottom"/>
          </w:tcPr>
          <w:p w14:paraId="6CE62D5B" w14:textId="77777777" w:rsidR="009E7FDA" w:rsidRPr="00E70587" w:rsidRDefault="009E7FDA" w:rsidP="009E7FDA">
            <w:pPr>
              <w:pStyle w:val="000Normal"/>
              <w:spacing w:before="0" w:after="0" w:line="280" w:lineRule="exact"/>
              <w:jc w:val="right"/>
              <w:rPr>
                <w:rFonts w:ascii="Arial" w:hAnsi="Arial" w:cs="Arial"/>
                <w:sz w:val="20"/>
              </w:rPr>
            </w:pPr>
          </w:p>
        </w:tc>
        <w:tc>
          <w:tcPr>
            <w:tcW w:w="804" w:type="pct"/>
            <w:tcBorders>
              <w:top w:val="nil"/>
              <w:bottom w:val="nil"/>
              <w:right w:val="nil"/>
            </w:tcBorders>
            <w:shd w:val="clear" w:color="auto" w:fill="auto"/>
            <w:vAlign w:val="bottom"/>
          </w:tcPr>
          <w:p w14:paraId="5566E64E" w14:textId="77777777" w:rsidR="009E7FDA" w:rsidRPr="00E70587" w:rsidRDefault="009E7FDA" w:rsidP="009E7FDA">
            <w:pPr>
              <w:pStyle w:val="tabletext"/>
              <w:spacing w:line="280" w:lineRule="exact"/>
              <w:ind w:left="367"/>
              <w:jc w:val="right"/>
              <w:rPr>
                <w:rFonts w:ascii="Arial" w:hAnsi="Arial" w:cs="Arial"/>
                <w:sz w:val="20"/>
                <w:lang w:val="en-IN"/>
              </w:rPr>
            </w:pPr>
          </w:p>
        </w:tc>
      </w:tr>
      <w:tr w:rsidR="009E7FDA" w:rsidRPr="00E70587" w14:paraId="0CF421BF" w14:textId="77777777" w:rsidTr="001C5B9C">
        <w:tc>
          <w:tcPr>
            <w:tcW w:w="2160" w:type="pct"/>
            <w:tcBorders>
              <w:bottom w:val="nil"/>
            </w:tcBorders>
            <w:shd w:val="clear" w:color="auto" w:fill="auto"/>
            <w:vAlign w:val="center"/>
          </w:tcPr>
          <w:p w14:paraId="3A59A242" w14:textId="7777777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ASSETS</w:t>
            </w:r>
          </w:p>
        </w:tc>
        <w:tc>
          <w:tcPr>
            <w:tcW w:w="412" w:type="pct"/>
            <w:tcBorders>
              <w:bottom w:val="nil"/>
            </w:tcBorders>
            <w:shd w:val="clear" w:color="auto" w:fill="auto"/>
            <w:vAlign w:val="center"/>
          </w:tcPr>
          <w:p w14:paraId="1BB28948" w14:textId="77777777" w:rsidR="009E7FDA" w:rsidRPr="00E70587" w:rsidRDefault="009E7FDA" w:rsidP="009E7FDA">
            <w:pPr>
              <w:pStyle w:val="000Normal"/>
              <w:spacing w:before="0" w:after="0" w:line="280" w:lineRule="exact"/>
              <w:jc w:val="center"/>
              <w:rPr>
                <w:rFonts w:ascii="Arial" w:hAnsi="Arial" w:cs="Arial"/>
                <w:sz w:val="20"/>
              </w:rPr>
            </w:pPr>
          </w:p>
        </w:tc>
        <w:tc>
          <w:tcPr>
            <w:tcW w:w="765" w:type="pct"/>
            <w:tcBorders>
              <w:top w:val="nil"/>
              <w:bottom w:val="nil"/>
            </w:tcBorders>
            <w:shd w:val="clear" w:color="auto" w:fill="auto"/>
            <w:vAlign w:val="bottom"/>
          </w:tcPr>
          <w:p w14:paraId="2B4957B0" w14:textId="77777777" w:rsidR="009E7FDA" w:rsidRPr="00E70587" w:rsidRDefault="009E7FDA" w:rsidP="009E7FDA">
            <w:pPr>
              <w:pStyle w:val="000Normal"/>
              <w:tabs>
                <w:tab w:val="right" w:pos="1026"/>
              </w:tabs>
              <w:spacing w:before="0" w:after="0" w:line="280" w:lineRule="exact"/>
              <w:jc w:val="right"/>
              <w:rPr>
                <w:rFonts w:ascii="Arial" w:hAnsi="Arial" w:cs="Arial"/>
                <w:sz w:val="20"/>
              </w:rPr>
            </w:pPr>
          </w:p>
        </w:tc>
        <w:tc>
          <w:tcPr>
            <w:tcW w:w="858" w:type="pct"/>
            <w:tcBorders>
              <w:top w:val="nil"/>
              <w:bottom w:val="nil"/>
            </w:tcBorders>
            <w:shd w:val="clear" w:color="auto" w:fill="auto"/>
            <w:vAlign w:val="bottom"/>
          </w:tcPr>
          <w:p w14:paraId="37B5CE2F" w14:textId="77777777" w:rsidR="009E7FDA" w:rsidRPr="00E70587" w:rsidRDefault="009E7FDA" w:rsidP="009E7FDA">
            <w:pPr>
              <w:pStyle w:val="000Normal"/>
              <w:spacing w:before="0" w:after="0" w:line="280" w:lineRule="exact"/>
              <w:jc w:val="right"/>
              <w:rPr>
                <w:rFonts w:ascii="Arial" w:hAnsi="Arial" w:cs="Arial"/>
                <w:sz w:val="20"/>
              </w:rPr>
            </w:pPr>
          </w:p>
        </w:tc>
        <w:tc>
          <w:tcPr>
            <w:tcW w:w="804" w:type="pct"/>
            <w:tcBorders>
              <w:top w:val="nil"/>
              <w:bottom w:val="nil"/>
              <w:right w:val="nil"/>
            </w:tcBorders>
            <w:shd w:val="clear" w:color="auto" w:fill="auto"/>
            <w:vAlign w:val="bottom"/>
          </w:tcPr>
          <w:p w14:paraId="54B3B358" w14:textId="77777777" w:rsidR="009E7FDA" w:rsidRPr="00E70587" w:rsidRDefault="009E7FDA" w:rsidP="009E7FDA">
            <w:pPr>
              <w:pStyle w:val="tabletext"/>
              <w:spacing w:line="280" w:lineRule="exact"/>
              <w:ind w:left="367"/>
              <w:jc w:val="right"/>
              <w:rPr>
                <w:rFonts w:ascii="Arial" w:hAnsi="Arial" w:cs="Arial"/>
                <w:sz w:val="20"/>
                <w:lang w:val="en-IN"/>
              </w:rPr>
            </w:pPr>
          </w:p>
        </w:tc>
      </w:tr>
      <w:tr w:rsidR="009E7FDA" w:rsidRPr="00E70587" w14:paraId="152D7F5F" w14:textId="77777777" w:rsidTr="001C5B9C">
        <w:tc>
          <w:tcPr>
            <w:tcW w:w="2160" w:type="pct"/>
            <w:tcBorders>
              <w:top w:val="nil"/>
            </w:tcBorders>
            <w:vAlign w:val="bottom"/>
          </w:tcPr>
          <w:p w14:paraId="0CBF49A6" w14:textId="77777777" w:rsidR="009E7FDA" w:rsidRPr="00E70587" w:rsidRDefault="009E7FDA" w:rsidP="009E7FDA">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Non-current assets</w:t>
            </w:r>
          </w:p>
        </w:tc>
        <w:tc>
          <w:tcPr>
            <w:tcW w:w="412" w:type="pct"/>
            <w:tcBorders>
              <w:top w:val="nil"/>
            </w:tcBorders>
            <w:vAlign w:val="center"/>
          </w:tcPr>
          <w:p w14:paraId="21790DB1" w14:textId="77777777" w:rsidR="009E7FDA" w:rsidRPr="00E70587" w:rsidRDefault="009E7FDA" w:rsidP="009E7FDA">
            <w:pPr>
              <w:pStyle w:val="000Normal"/>
              <w:tabs>
                <w:tab w:val="right" w:pos="567"/>
              </w:tabs>
              <w:spacing w:before="0" w:after="0" w:line="280" w:lineRule="exact"/>
              <w:jc w:val="center"/>
              <w:rPr>
                <w:rFonts w:ascii="Arial" w:hAnsi="Arial" w:cs="Arial"/>
                <w:sz w:val="20"/>
              </w:rPr>
            </w:pPr>
          </w:p>
        </w:tc>
        <w:tc>
          <w:tcPr>
            <w:tcW w:w="765" w:type="pct"/>
            <w:tcBorders>
              <w:top w:val="nil"/>
            </w:tcBorders>
            <w:vAlign w:val="bottom"/>
          </w:tcPr>
          <w:p w14:paraId="3C0F1578" w14:textId="77777777" w:rsidR="009E7FDA" w:rsidRPr="00E70587" w:rsidRDefault="009E7FDA" w:rsidP="009E7FDA">
            <w:pPr>
              <w:pStyle w:val="tabletxts"/>
              <w:tabs>
                <w:tab w:val="clear" w:pos="778"/>
              </w:tabs>
              <w:spacing w:before="0" w:line="280" w:lineRule="exact"/>
              <w:jc w:val="right"/>
              <w:rPr>
                <w:rFonts w:ascii="Arial" w:hAnsi="Arial" w:cs="Arial"/>
                <w:noProof w:val="0"/>
                <w:color w:val="auto"/>
                <w:sz w:val="20"/>
              </w:rPr>
            </w:pPr>
          </w:p>
        </w:tc>
        <w:tc>
          <w:tcPr>
            <w:tcW w:w="858" w:type="pct"/>
            <w:tcBorders>
              <w:top w:val="nil"/>
            </w:tcBorders>
            <w:vAlign w:val="bottom"/>
          </w:tcPr>
          <w:p w14:paraId="29B77217" w14:textId="77777777" w:rsidR="009E7FDA" w:rsidRPr="00E70587" w:rsidRDefault="009E7FDA" w:rsidP="009E7FDA">
            <w:pPr>
              <w:pStyle w:val="tabletxts"/>
              <w:tabs>
                <w:tab w:val="clear" w:pos="778"/>
              </w:tabs>
              <w:spacing w:before="0" w:line="280" w:lineRule="exact"/>
              <w:jc w:val="right"/>
              <w:rPr>
                <w:rFonts w:ascii="Arial" w:hAnsi="Arial" w:cs="Arial"/>
                <w:noProof w:val="0"/>
                <w:color w:val="auto"/>
                <w:sz w:val="20"/>
              </w:rPr>
            </w:pPr>
          </w:p>
        </w:tc>
        <w:tc>
          <w:tcPr>
            <w:tcW w:w="804" w:type="pct"/>
            <w:tcBorders>
              <w:top w:val="nil"/>
              <w:right w:val="nil"/>
            </w:tcBorders>
            <w:vAlign w:val="bottom"/>
          </w:tcPr>
          <w:p w14:paraId="7DA0997E" w14:textId="77777777" w:rsidR="009E7FDA" w:rsidRPr="00E70587" w:rsidRDefault="009E7FDA" w:rsidP="009E7FDA">
            <w:pPr>
              <w:pStyle w:val="tabletext"/>
              <w:spacing w:line="280" w:lineRule="exact"/>
              <w:ind w:left="367"/>
              <w:jc w:val="right"/>
              <w:rPr>
                <w:rFonts w:ascii="Arial" w:hAnsi="Arial" w:cs="Arial"/>
                <w:sz w:val="20"/>
                <w:lang w:val="en-IN"/>
              </w:rPr>
            </w:pPr>
          </w:p>
        </w:tc>
      </w:tr>
      <w:tr w:rsidR="009E7FDA" w:rsidRPr="00E70587" w14:paraId="459464B4" w14:textId="77777777" w:rsidTr="001C5B9C">
        <w:tc>
          <w:tcPr>
            <w:tcW w:w="2160" w:type="pct"/>
            <w:vAlign w:val="bottom"/>
          </w:tcPr>
          <w:p w14:paraId="0D7C1816" w14:textId="7777777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Property, plant and equipment</w:t>
            </w:r>
          </w:p>
        </w:tc>
        <w:tc>
          <w:tcPr>
            <w:tcW w:w="412" w:type="pct"/>
          </w:tcPr>
          <w:p w14:paraId="6CB4BCC9"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3</w:t>
            </w:r>
          </w:p>
        </w:tc>
        <w:tc>
          <w:tcPr>
            <w:tcW w:w="765" w:type="pct"/>
            <w:vAlign w:val="bottom"/>
          </w:tcPr>
          <w:p w14:paraId="6CBB5F15" w14:textId="468EB943"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vAlign w:val="bottom"/>
          </w:tcPr>
          <w:p w14:paraId="6B3B9067" w14:textId="6C66070B"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51,262</w:t>
            </w:r>
          </w:p>
        </w:tc>
        <w:tc>
          <w:tcPr>
            <w:tcW w:w="804" w:type="pct"/>
            <w:tcBorders>
              <w:right w:val="nil"/>
            </w:tcBorders>
            <w:vAlign w:val="bottom"/>
          </w:tcPr>
          <w:p w14:paraId="671FAF49" w14:textId="21292AAF"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43,792</w:t>
            </w:r>
          </w:p>
        </w:tc>
      </w:tr>
      <w:tr w:rsidR="009E7FDA" w:rsidRPr="00E70587" w14:paraId="71E8755D" w14:textId="77777777" w:rsidTr="001C5B9C">
        <w:tc>
          <w:tcPr>
            <w:tcW w:w="2160" w:type="pct"/>
            <w:vAlign w:val="bottom"/>
          </w:tcPr>
          <w:p w14:paraId="68E8176B" w14:textId="7777777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Capital work in progress</w:t>
            </w:r>
          </w:p>
        </w:tc>
        <w:tc>
          <w:tcPr>
            <w:tcW w:w="412" w:type="pct"/>
          </w:tcPr>
          <w:p w14:paraId="2AD74F65"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3</w:t>
            </w:r>
          </w:p>
        </w:tc>
        <w:tc>
          <w:tcPr>
            <w:tcW w:w="765" w:type="pct"/>
            <w:vAlign w:val="bottom"/>
          </w:tcPr>
          <w:p w14:paraId="210DA245" w14:textId="43572E73"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vAlign w:val="bottom"/>
          </w:tcPr>
          <w:p w14:paraId="2316FCF9" w14:textId="029DD86F"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8,100</w:t>
            </w:r>
          </w:p>
        </w:tc>
        <w:tc>
          <w:tcPr>
            <w:tcW w:w="804" w:type="pct"/>
            <w:tcBorders>
              <w:right w:val="nil"/>
            </w:tcBorders>
            <w:vAlign w:val="bottom"/>
          </w:tcPr>
          <w:p w14:paraId="43F39002" w14:textId="7C84C7F4"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w:t>
            </w:r>
          </w:p>
        </w:tc>
      </w:tr>
      <w:tr w:rsidR="009E7FDA" w:rsidRPr="00E70587" w14:paraId="3079289E" w14:textId="77777777" w:rsidTr="001C5B9C">
        <w:tc>
          <w:tcPr>
            <w:tcW w:w="2160" w:type="pct"/>
            <w:vAlign w:val="bottom"/>
          </w:tcPr>
          <w:p w14:paraId="7DEB6C6A" w14:textId="7777777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Investment properties</w:t>
            </w:r>
          </w:p>
        </w:tc>
        <w:tc>
          <w:tcPr>
            <w:tcW w:w="412" w:type="pct"/>
          </w:tcPr>
          <w:p w14:paraId="4BAB139F"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4</w:t>
            </w:r>
          </w:p>
        </w:tc>
        <w:tc>
          <w:tcPr>
            <w:tcW w:w="765" w:type="pct"/>
            <w:vAlign w:val="bottom"/>
          </w:tcPr>
          <w:p w14:paraId="7D1C9100" w14:textId="0CF7CD3D"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vAlign w:val="bottom"/>
          </w:tcPr>
          <w:p w14:paraId="4BF3AFD3" w14:textId="19894F71"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16,007</w:t>
            </w:r>
          </w:p>
        </w:tc>
        <w:tc>
          <w:tcPr>
            <w:tcW w:w="804" w:type="pct"/>
            <w:tcBorders>
              <w:right w:val="nil"/>
            </w:tcBorders>
            <w:vAlign w:val="bottom"/>
          </w:tcPr>
          <w:p w14:paraId="5EAD112F" w14:textId="43B950F5"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14,369</w:t>
            </w:r>
          </w:p>
        </w:tc>
      </w:tr>
      <w:tr w:rsidR="009E7FDA" w:rsidRPr="00E70587" w14:paraId="3A556DE7" w14:textId="77777777" w:rsidTr="001C5B9C">
        <w:tc>
          <w:tcPr>
            <w:tcW w:w="2160" w:type="pct"/>
            <w:vAlign w:val="bottom"/>
          </w:tcPr>
          <w:p w14:paraId="3318087F" w14:textId="7777777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Goodwill</w:t>
            </w:r>
          </w:p>
        </w:tc>
        <w:tc>
          <w:tcPr>
            <w:tcW w:w="412" w:type="pct"/>
          </w:tcPr>
          <w:p w14:paraId="3C0AB479"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5</w:t>
            </w:r>
          </w:p>
        </w:tc>
        <w:tc>
          <w:tcPr>
            <w:tcW w:w="765" w:type="pct"/>
            <w:vAlign w:val="bottom"/>
          </w:tcPr>
          <w:p w14:paraId="01BA529D" w14:textId="3763959B"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vAlign w:val="bottom"/>
          </w:tcPr>
          <w:p w14:paraId="63FFFD8A" w14:textId="026F238B"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4,106</w:t>
            </w:r>
          </w:p>
        </w:tc>
        <w:tc>
          <w:tcPr>
            <w:tcW w:w="804" w:type="pct"/>
            <w:tcBorders>
              <w:right w:val="nil"/>
            </w:tcBorders>
            <w:vAlign w:val="bottom"/>
          </w:tcPr>
          <w:p w14:paraId="6EAE934A" w14:textId="7CB342DD"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450</w:t>
            </w:r>
          </w:p>
        </w:tc>
      </w:tr>
      <w:tr w:rsidR="009E7FDA" w:rsidRPr="00E70587" w14:paraId="5388FA6B" w14:textId="77777777" w:rsidTr="001C5B9C">
        <w:tc>
          <w:tcPr>
            <w:tcW w:w="2160" w:type="pct"/>
            <w:vAlign w:val="bottom"/>
          </w:tcPr>
          <w:p w14:paraId="7A65FFAC" w14:textId="7777777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Other Intangible assets</w:t>
            </w:r>
          </w:p>
        </w:tc>
        <w:tc>
          <w:tcPr>
            <w:tcW w:w="412" w:type="pct"/>
          </w:tcPr>
          <w:p w14:paraId="360E51A3"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5</w:t>
            </w:r>
          </w:p>
        </w:tc>
        <w:tc>
          <w:tcPr>
            <w:tcW w:w="765" w:type="pct"/>
          </w:tcPr>
          <w:p w14:paraId="5E5EA045" w14:textId="04192169"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tcPr>
          <w:p w14:paraId="6F3770E6" w14:textId="53236CC5"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4,970</w:t>
            </w:r>
          </w:p>
        </w:tc>
        <w:tc>
          <w:tcPr>
            <w:tcW w:w="804" w:type="pct"/>
            <w:tcBorders>
              <w:right w:val="nil"/>
            </w:tcBorders>
          </w:tcPr>
          <w:p w14:paraId="3CF30EBB" w14:textId="1110A12E"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3,278</w:t>
            </w:r>
          </w:p>
        </w:tc>
      </w:tr>
      <w:tr w:rsidR="006B5D2C" w:rsidRPr="00E70587" w14:paraId="55FC59D6" w14:textId="77777777" w:rsidTr="001C5B9C">
        <w:tc>
          <w:tcPr>
            <w:tcW w:w="2160" w:type="pct"/>
            <w:shd w:val="clear" w:color="auto" w:fill="auto"/>
            <w:vAlign w:val="bottom"/>
          </w:tcPr>
          <w:p w14:paraId="208B0128" w14:textId="1A3B29DA" w:rsidR="006B5D2C" w:rsidRPr="00E70587" w:rsidRDefault="006B5D2C" w:rsidP="009E7FDA">
            <w:pPr>
              <w:pStyle w:val="tabletext"/>
              <w:overflowPunct w:val="0"/>
              <w:autoSpaceDE w:val="0"/>
              <w:autoSpaceDN w:val="0"/>
              <w:adjustRightInd w:val="0"/>
              <w:spacing w:line="280" w:lineRule="exact"/>
              <w:textAlignment w:val="baseline"/>
              <w:rPr>
                <w:rFonts w:ascii="Arial" w:hAnsi="Arial" w:cs="Arial"/>
                <w:sz w:val="20"/>
                <w:lang w:val="en-IN"/>
              </w:rPr>
            </w:pPr>
            <w:r>
              <w:rPr>
                <w:rFonts w:ascii="Arial" w:hAnsi="Arial" w:cs="Arial"/>
                <w:sz w:val="20"/>
                <w:lang w:val="en-IN"/>
              </w:rPr>
              <w:t>Right-of-use assets</w:t>
            </w:r>
          </w:p>
        </w:tc>
        <w:tc>
          <w:tcPr>
            <w:tcW w:w="412" w:type="pct"/>
            <w:shd w:val="clear" w:color="auto" w:fill="auto"/>
          </w:tcPr>
          <w:p w14:paraId="0FB819E0" w14:textId="6EDB3451" w:rsidR="006B5D2C" w:rsidRPr="00E70587" w:rsidRDefault="006A131F" w:rsidP="009E7FDA">
            <w:pPr>
              <w:pStyle w:val="tabletext"/>
              <w:overflowPunct w:val="0"/>
              <w:autoSpaceDE w:val="0"/>
              <w:autoSpaceDN w:val="0"/>
              <w:adjustRightInd w:val="0"/>
              <w:spacing w:line="280" w:lineRule="exact"/>
              <w:jc w:val="center"/>
              <w:textAlignment w:val="baseline"/>
              <w:rPr>
                <w:rFonts w:ascii="Arial" w:hAnsi="Arial" w:cs="Arial"/>
                <w:sz w:val="20"/>
              </w:rPr>
            </w:pPr>
            <w:r>
              <w:rPr>
                <w:rFonts w:ascii="Arial" w:hAnsi="Arial" w:cs="Arial"/>
                <w:sz w:val="20"/>
              </w:rPr>
              <w:t>42</w:t>
            </w:r>
          </w:p>
        </w:tc>
        <w:tc>
          <w:tcPr>
            <w:tcW w:w="765" w:type="pct"/>
            <w:shd w:val="clear" w:color="auto" w:fill="auto"/>
            <w:vAlign w:val="bottom"/>
          </w:tcPr>
          <w:p w14:paraId="24C55EA6" w14:textId="77777777" w:rsidR="006B5D2C" w:rsidRPr="00E70587" w:rsidDel="00D4752C" w:rsidRDefault="006B5D2C" w:rsidP="009E7FDA">
            <w:pPr>
              <w:overflowPunct/>
              <w:spacing w:line="280" w:lineRule="exact"/>
              <w:jc w:val="right"/>
              <w:textAlignment w:val="auto"/>
              <w:rPr>
                <w:rFonts w:ascii="Arial" w:hAnsi="Arial" w:cs="Arial"/>
                <w:color w:val="000000"/>
                <w:sz w:val="20"/>
              </w:rPr>
            </w:pPr>
          </w:p>
        </w:tc>
        <w:tc>
          <w:tcPr>
            <w:tcW w:w="858" w:type="pct"/>
            <w:shd w:val="clear" w:color="auto" w:fill="auto"/>
            <w:vAlign w:val="bottom"/>
          </w:tcPr>
          <w:p w14:paraId="42CCC997" w14:textId="42D9A346" w:rsidR="006B5D2C" w:rsidRPr="00E70587" w:rsidRDefault="006A131F" w:rsidP="009E7FDA">
            <w:pPr>
              <w:overflowPunct/>
              <w:spacing w:line="280" w:lineRule="exact"/>
              <w:jc w:val="right"/>
              <w:textAlignment w:val="auto"/>
              <w:rPr>
                <w:rFonts w:ascii="Arial" w:hAnsi="Arial" w:cs="Arial"/>
                <w:color w:val="000000"/>
                <w:sz w:val="20"/>
              </w:rPr>
            </w:pPr>
            <w:r>
              <w:rPr>
                <w:rFonts w:ascii="Arial" w:hAnsi="Arial" w:cs="Arial"/>
                <w:color w:val="000000"/>
                <w:sz w:val="20"/>
              </w:rPr>
              <w:t>5,234</w:t>
            </w:r>
          </w:p>
        </w:tc>
        <w:tc>
          <w:tcPr>
            <w:tcW w:w="804" w:type="pct"/>
            <w:tcBorders>
              <w:right w:val="nil"/>
            </w:tcBorders>
            <w:shd w:val="clear" w:color="auto" w:fill="auto"/>
            <w:vAlign w:val="bottom"/>
          </w:tcPr>
          <w:p w14:paraId="455E840A" w14:textId="299CDDCE" w:rsidR="006B5D2C" w:rsidRPr="00E70587" w:rsidRDefault="006A131F" w:rsidP="009E7FDA">
            <w:pPr>
              <w:overflowPunct/>
              <w:spacing w:line="280" w:lineRule="exact"/>
              <w:jc w:val="right"/>
              <w:textAlignment w:val="auto"/>
              <w:rPr>
                <w:rFonts w:ascii="Arial" w:hAnsi="Arial" w:cs="Arial"/>
                <w:color w:val="000000"/>
                <w:sz w:val="20"/>
              </w:rPr>
            </w:pPr>
            <w:r>
              <w:rPr>
                <w:rFonts w:ascii="Arial" w:hAnsi="Arial" w:cs="Arial"/>
                <w:color w:val="000000"/>
                <w:sz w:val="20"/>
              </w:rPr>
              <w:t>4,918</w:t>
            </w:r>
          </w:p>
        </w:tc>
      </w:tr>
      <w:tr w:rsidR="009E7FDA" w:rsidRPr="00E70587" w14:paraId="3F5545F1" w14:textId="77777777" w:rsidTr="001C5B9C">
        <w:tc>
          <w:tcPr>
            <w:tcW w:w="2160" w:type="pct"/>
            <w:shd w:val="clear" w:color="auto" w:fill="auto"/>
            <w:vAlign w:val="bottom"/>
          </w:tcPr>
          <w:p w14:paraId="48FBB695" w14:textId="7777777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Intangible assets under development</w:t>
            </w:r>
          </w:p>
        </w:tc>
        <w:tc>
          <w:tcPr>
            <w:tcW w:w="412" w:type="pct"/>
            <w:shd w:val="clear" w:color="auto" w:fill="auto"/>
          </w:tcPr>
          <w:p w14:paraId="7B98588D"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5</w:t>
            </w:r>
          </w:p>
        </w:tc>
        <w:tc>
          <w:tcPr>
            <w:tcW w:w="765" w:type="pct"/>
            <w:shd w:val="clear" w:color="auto" w:fill="auto"/>
            <w:vAlign w:val="bottom"/>
          </w:tcPr>
          <w:p w14:paraId="1E8A250B" w14:textId="46040C7F"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shd w:val="clear" w:color="auto" w:fill="auto"/>
            <w:vAlign w:val="bottom"/>
          </w:tcPr>
          <w:p w14:paraId="34BBC860" w14:textId="2460331D"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1,759</w:t>
            </w:r>
          </w:p>
        </w:tc>
        <w:tc>
          <w:tcPr>
            <w:tcW w:w="804" w:type="pct"/>
            <w:tcBorders>
              <w:right w:val="nil"/>
            </w:tcBorders>
            <w:shd w:val="clear" w:color="auto" w:fill="auto"/>
            <w:vAlign w:val="bottom"/>
          </w:tcPr>
          <w:p w14:paraId="2302D941" w14:textId="1995A43F"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702</w:t>
            </w:r>
          </w:p>
        </w:tc>
      </w:tr>
      <w:tr w:rsidR="009E7FDA" w:rsidRPr="00E70587" w14:paraId="6BE3102E" w14:textId="77777777" w:rsidTr="001C5B9C">
        <w:tc>
          <w:tcPr>
            <w:tcW w:w="2160" w:type="pct"/>
            <w:vAlign w:val="bottom"/>
          </w:tcPr>
          <w:p w14:paraId="4568F249" w14:textId="7777777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Equity accounted investments (Investments in associates and joint ventures)</w:t>
            </w:r>
          </w:p>
        </w:tc>
        <w:tc>
          <w:tcPr>
            <w:tcW w:w="412" w:type="pct"/>
          </w:tcPr>
          <w:p w14:paraId="6623BC26"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38,39</w:t>
            </w:r>
          </w:p>
        </w:tc>
        <w:tc>
          <w:tcPr>
            <w:tcW w:w="765" w:type="pct"/>
            <w:vAlign w:val="bottom"/>
          </w:tcPr>
          <w:p w14:paraId="03F5F1A6" w14:textId="1CCACE05"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vAlign w:val="bottom"/>
          </w:tcPr>
          <w:p w14:paraId="0D4419BE" w14:textId="2B4E5415"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5,737</w:t>
            </w:r>
          </w:p>
        </w:tc>
        <w:tc>
          <w:tcPr>
            <w:tcW w:w="804" w:type="pct"/>
            <w:tcBorders>
              <w:right w:val="nil"/>
            </w:tcBorders>
            <w:vAlign w:val="bottom"/>
          </w:tcPr>
          <w:p w14:paraId="089C367D" w14:textId="76FC814B"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4,529</w:t>
            </w:r>
          </w:p>
        </w:tc>
      </w:tr>
      <w:tr w:rsidR="009E7FDA" w:rsidRPr="00E70587" w14:paraId="1971EE21" w14:textId="77777777" w:rsidTr="001C5B9C">
        <w:tc>
          <w:tcPr>
            <w:tcW w:w="2160" w:type="pct"/>
            <w:vAlign w:val="bottom"/>
          </w:tcPr>
          <w:p w14:paraId="00F0AC73" w14:textId="7777777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Financial assets</w:t>
            </w:r>
          </w:p>
        </w:tc>
        <w:tc>
          <w:tcPr>
            <w:tcW w:w="412" w:type="pct"/>
          </w:tcPr>
          <w:p w14:paraId="2C147572"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7</w:t>
            </w:r>
          </w:p>
        </w:tc>
        <w:tc>
          <w:tcPr>
            <w:tcW w:w="765" w:type="pct"/>
            <w:vAlign w:val="bottom"/>
          </w:tcPr>
          <w:p w14:paraId="27EA5CB3" w14:textId="77777777"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vAlign w:val="bottom"/>
          </w:tcPr>
          <w:p w14:paraId="64F30C8A" w14:textId="77777777" w:rsidR="009E7FDA" w:rsidRPr="00E70587" w:rsidRDefault="009E7FDA" w:rsidP="009E7FDA">
            <w:pPr>
              <w:overflowPunct/>
              <w:spacing w:line="280" w:lineRule="exact"/>
              <w:jc w:val="right"/>
              <w:textAlignment w:val="auto"/>
              <w:rPr>
                <w:rFonts w:ascii="Arial" w:hAnsi="Arial" w:cs="Arial"/>
                <w:color w:val="000000"/>
                <w:sz w:val="20"/>
              </w:rPr>
            </w:pPr>
          </w:p>
        </w:tc>
        <w:tc>
          <w:tcPr>
            <w:tcW w:w="804" w:type="pct"/>
            <w:tcBorders>
              <w:right w:val="nil"/>
            </w:tcBorders>
            <w:vAlign w:val="bottom"/>
          </w:tcPr>
          <w:p w14:paraId="5B34F398" w14:textId="77777777" w:rsidR="009E7FDA" w:rsidRPr="00E70587" w:rsidRDefault="009E7FDA" w:rsidP="009E7FDA">
            <w:pPr>
              <w:overflowPunct/>
              <w:spacing w:line="280" w:lineRule="exact"/>
              <w:jc w:val="right"/>
              <w:textAlignment w:val="auto"/>
              <w:rPr>
                <w:rFonts w:ascii="Arial" w:hAnsi="Arial" w:cs="Arial"/>
                <w:color w:val="000000"/>
                <w:sz w:val="20"/>
              </w:rPr>
            </w:pPr>
          </w:p>
        </w:tc>
      </w:tr>
      <w:tr w:rsidR="009E7FDA" w:rsidRPr="00E70587" w14:paraId="29DAAE39" w14:textId="77777777" w:rsidTr="001C5B9C">
        <w:tc>
          <w:tcPr>
            <w:tcW w:w="2160" w:type="pct"/>
            <w:vAlign w:val="bottom"/>
          </w:tcPr>
          <w:p w14:paraId="42C92EA5" w14:textId="77777777" w:rsidR="009E7FDA" w:rsidRPr="00E70587" w:rsidRDefault="009E7FDA" w:rsidP="009E7FDA">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Investments</w:t>
            </w:r>
          </w:p>
        </w:tc>
        <w:tc>
          <w:tcPr>
            <w:tcW w:w="412" w:type="pct"/>
          </w:tcPr>
          <w:p w14:paraId="3B0F54CC"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765" w:type="pct"/>
            <w:vAlign w:val="bottom"/>
          </w:tcPr>
          <w:p w14:paraId="5634DC51" w14:textId="4FF90804"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vAlign w:val="bottom"/>
          </w:tcPr>
          <w:p w14:paraId="44F4F0D5" w14:textId="1FB55F57"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3,577</w:t>
            </w:r>
          </w:p>
        </w:tc>
        <w:tc>
          <w:tcPr>
            <w:tcW w:w="804" w:type="pct"/>
            <w:tcBorders>
              <w:right w:val="nil"/>
            </w:tcBorders>
            <w:vAlign w:val="bottom"/>
          </w:tcPr>
          <w:p w14:paraId="03C7FA51" w14:textId="0C1756F0"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3,236</w:t>
            </w:r>
          </w:p>
        </w:tc>
      </w:tr>
      <w:tr w:rsidR="009E7FDA" w:rsidRPr="00E70587" w14:paraId="62334183" w14:textId="77777777" w:rsidTr="001C5B9C">
        <w:tc>
          <w:tcPr>
            <w:tcW w:w="2160" w:type="pct"/>
            <w:vAlign w:val="bottom"/>
          </w:tcPr>
          <w:p w14:paraId="455A8E68" w14:textId="77777777" w:rsidR="009E7FDA" w:rsidRPr="00E70587" w:rsidRDefault="009E7FDA" w:rsidP="009E7FDA">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 xml:space="preserve">Loans </w:t>
            </w:r>
          </w:p>
        </w:tc>
        <w:tc>
          <w:tcPr>
            <w:tcW w:w="412" w:type="pct"/>
          </w:tcPr>
          <w:p w14:paraId="3E16137C"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765" w:type="pct"/>
          </w:tcPr>
          <w:p w14:paraId="6FF63E81" w14:textId="766EEFDA"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tcPr>
          <w:p w14:paraId="54C8DF7C" w14:textId="18F48704"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4,198</w:t>
            </w:r>
          </w:p>
        </w:tc>
        <w:tc>
          <w:tcPr>
            <w:tcW w:w="804" w:type="pct"/>
            <w:tcBorders>
              <w:right w:val="nil"/>
            </w:tcBorders>
          </w:tcPr>
          <w:p w14:paraId="3932855E" w14:textId="77EC7200"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1,828</w:t>
            </w:r>
          </w:p>
        </w:tc>
      </w:tr>
      <w:tr w:rsidR="009E7FDA" w:rsidRPr="00E70587" w14:paraId="24A4321C" w14:textId="77777777" w:rsidTr="001C5B9C">
        <w:tc>
          <w:tcPr>
            <w:tcW w:w="2160" w:type="pct"/>
            <w:vAlign w:val="bottom"/>
          </w:tcPr>
          <w:p w14:paraId="63651AAD" w14:textId="77777777" w:rsidR="009E7FDA" w:rsidRPr="00E70587" w:rsidRDefault="009E7FDA" w:rsidP="009E7FDA">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Other financial assets (derivative instruments)</w:t>
            </w:r>
          </w:p>
        </w:tc>
        <w:tc>
          <w:tcPr>
            <w:tcW w:w="412" w:type="pct"/>
          </w:tcPr>
          <w:p w14:paraId="38BD41C1"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765" w:type="pct"/>
            <w:tcBorders>
              <w:bottom w:val="nil"/>
            </w:tcBorders>
            <w:vAlign w:val="bottom"/>
          </w:tcPr>
          <w:p w14:paraId="4F9059F6" w14:textId="44DE6A21"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vAlign w:val="bottom"/>
          </w:tcPr>
          <w:p w14:paraId="6FD80BD4" w14:textId="239A3ED8"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992</w:t>
            </w:r>
          </w:p>
        </w:tc>
        <w:tc>
          <w:tcPr>
            <w:tcW w:w="804" w:type="pct"/>
            <w:tcBorders>
              <w:right w:val="nil"/>
            </w:tcBorders>
            <w:vAlign w:val="bottom"/>
          </w:tcPr>
          <w:p w14:paraId="4E4ABF92" w14:textId="6F69A98D"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w:t>
            </w:r>
          </w:p>
        </w:tc>
      </w:tr>
      <w:tr w:rsidR="009E7FDA" w:rsidRPr="00E70587" w14:paraId="39EB4CCB" w14:textId="77777777" w:rsidTr="001C5B9C">
        <w:tc>
          <w:tcPr>
            <w:tcW w:w="2160" w:type="pct"/>
            <w:vAlign w:val="center"/>
          </w:tcPr>
          <w:p w14:paraId="4A232F7E" w14:textId="7777777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Deferred tax assets (net)</w:t>
            </w:r>
          </w:p>
        </w:tc>
        <w:tc>
          <w:tcPr>
            <w:tcW w:w="412" w:type="pct"/>
          </w:tcPr>
          <w:p w14:paraId="42E1CE03"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19</w:t>
            </w:r>
          </w:p>
        </w:tc>
        <w:tc>
          <w:tcPr>
            <w:tcW w:w="765" w:type="pct"/>
            <w:tcBorders>
              <w:bottom w:val="nil"/>
            </w:tcBorders>
            <w:vAlign w:val="bottom"/>
          </w:tcPr>
          <w:p w14:paraId="6BA92FBD" w14:textId="439A7232" w:rsidR="009E7FDA" w:rsidRPr="00C22D47" w:rsidRDefault="009E7FDA" w:rsidP="009E7FDA">
            <w:pPr>
              <w:overflowPunct/>
              <w:spacing w:line="280" w:lineRule="exact"/>
              <w:jc w:val="right"/>
              <w:textAlignment w:val="auto"/>
              <w:rPr>
                <w:rFonts w:ascii="Arial" w:hAnsi="Arial" w:cs="Arial"/>
                <w:sz w:val="20"/>
                <w:u w:val="single"/>
                <w:lang w:eastAsia="en-GB"/>
              </w:rPr>
            </w:pPr>
          </w:p>
        </w:tc>
        <w:tc>
          <w:tcPr>
            <w:tcW w:w="858" w:type="pct"/>
            <w:tcBorders>
              <w:bottom w:val="single" w:sz="2" w:space="0" w:color="auto"/>
            </w:tcBorders>
            <w:vAlign w:val="bottom"/>
          </w:tcPr>
          <w:p w14:paraId="54996004" w14:textId="171BB844" w:rsidR="009E7FDA" w:rsidRPr="00E70587" w:rsidRDefault="009E7FDA" w:rsidP="009E7FDA">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689</w:t>
            </w:r>
          </w:p>
        </w:tc>
        <w:tc>
          <w:tcPr>
            <w:tcW w:w="804" w:type="pct"/>
            <w:tcBorders>
              <w:bottom w:val="single" w:sz="2" w:space="0" w:color="auto"/>
              <w:right w:val="nil"/>
            </w:tcBorders>
            <w:vAlign w:val="bottom"/>
          </w:tcPr>
          <w:p w14:paraId="1B056B1F" w14:textId="1D78C2DA" w:rsidR="009E7FDA" w:rsidRPr="00E70587" w:rsidRDefault="009E7FDA" w:rsidP="009E7FDA">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657</w:t>
            </w:r>
          </w:p>
        </w:tc>
      </w:tr>
      <w:tr w:rsidR="009E7FDA" w:rsidRPr="00E70587" w14:paraId="1C0CF51C" w14:textId="77777777" w:rsidTr="001C5B9C">
        <w:tc>
          <w:tcPr>
            <w:tcW w:w="2160" w:type="pct"/>
            <w:vAlign w:val="bottom"/>
          </w:tcPr>
          <w:p w14:paraId="12EDDAFF" w14:textId="77777777" w:rsidR="009E7FDA" w:rsidRPr="00E70587" w:rsidRDefault="009E7FDA" w:rsidP="009E7FDA">
            <w:pPr>
              <w:pStyle w:val="tabletxtns"/>
              <w:spacing w:before="0" w:line="280" w:lineRule="exact"/>
              <w:rPr>
                <w:rFonts w:ascii="Arial" w:hAnsi="Arial" w:cs="Arial"/>
                <w:color w:val="auto"/>
                <w:sz w:val="20"/>
              </w:rPr>
            </w:pPr>
          </w:p>
        </w:tc>
        <w:tc>
          <w:tcPr>
            <w:tcW w:w="412" w:type="pct"/>
            <w:vAlign w:val="center"/>
          </w:tcPr>
          <w:p w14:paraId="49F7148B" w14:textId="77777777" w:rsidR="009E7FDA" w:rsidRPr="00E70587" w:rsidRDefault="009E7FDA" w:rsidP="009E7FDA">
            <w:pPr>
              <w:pStyle w:val="tablenotes"/>
              <w:spacing w:before="0" w:line="280" w:lineRule="exact"/>
              <w:jc w:val="center"/>
              <w:rPr>
                <w:rFonts w:ascii="Arial" w:hAnsi="Arial" w:cs="Arial"/>
                <w:color w:val="auto"/>
                <w:sz w:val="20"/>
              </w:rPr>
            </w:pPr>
          </w:p>
        </w:tc>
        <w:tc>
          <w:tcPr>
            <w:tcW w:w="765" w:type="pct"/>
            <w:tcBorders>
              <w:top w:val="nil"/>
              <w:bottom w:val="nil"/>
            </w:tcBorders>
            <w:vAlign w:val="bottom"/>
          </w:tcPr>
          <w:p w14:paraId="26DC0345" w14:textId="3CD7D6E0" w:rsidR="009E7FDA" w:rsidRPr="00C22D47" w:rsidRDefault="009E7FDA" w:rsidP="009E7FDA">
            <w:pPr>
              <w:overflowPunct/>
              <w:spacing w:line="280" w:lineRule="exact"/>
              <w:jc w:val="right"/>
              <w:textAlignment w:val="auto"/>
              <w:rPr>
                <w:rFonts w:ascii="Arial" w:hAnsi="Arial" w:cs="Arial"/>
                <w:b/>
                <w:sz w:val="20"/>
                <w:u w:val="single"/>
                <w:lang w:eastAsia="en-GB"/>
              </w:rPr>
            </w:pPr>
          </w:p>
        </w:tc>
        <w:tc>
          <w:tcPr>
            <w:tcW w:w="858" w:type="pct"/>
            <w:tcBorders>
              <w:top w:val="single" w:sz="2" w:space="0" w:color="auto"/>
              <w:bottom w:val="nil"/>
            </w:tcBorders>
            <w:vAlign w:val="bottom"/>
          </w:tcPr>
          <w:p w14:paraId="617641AF" w14:textId="3F5B1343" w:rsidR="009E7FDA" w:rsidRPr="00E70587" w:rsidRDefault="009E7FDA" w:rsidP="009E7FDA">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1,0</w:t>
            </w:r>
            <w:r w:rsidR="00383E27">
              <w:rPr>
                <w:rFonts w:ascii="Arial" w:hAnsi="Arial" w:cs="Arial"/>
                <w:b/>
                <w:sz w:val="20"/>
                <w:lang w:eastAsia="en-GB"/>
              </w:rPr>
              <w:t>6</w:t>
            </w:r>
            <w:r w:rsidRPr="00E70587">
              <w:rPr>
                <w:rFonts w:ascii="Arial" w:hAnsi="Arial" w:cs="Arial"/>
                <w:b/>
                <w:sz w:val="20"/>
                <w:lang w:eastAsia="en-GB"/>
              </w:rPr>
              <w:t>,</w:t>
            </w:r>
            <w:r w:rsidR="00383E27">
              <w:rPr>
                <w:rFonts w:ascii="Arial" w:hAnsi="Arial" w:cs="Arial"/>
                <w:b/>
                <w:sz w:val="20"/>
                <w:lang w:eastAsia="en-GB"/>
              </w:rPr>
              <w:t>631</w:t>
            </w:r>
          </w:p>
        </w:tc>
        <w:tc>
          <w:tcPr>
            <w:tcW w:w="804" w:type="pct"/>
            <w:tcBorders>
              <w:top w:val="single" w:sz="2" w:space="0" w:color="auto"/>
              <w:bottom w:val="nil"/>
            </w:tcBorders>
            <w:vAlign w:val="bottom"/>
          </w:tcPr>
          <w:p w14:paraId="10C2CBB1" w14:textId="23FEBA8C" w:rsidR="009E7FDA" w:rsidRPr="00E70587" w:rsidRDefault="009E7FDA" w:rsidP="009E7FDA">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7</w:t>
            </w:r>
            <w:r w:rsidR="00383E27">
              <w:rPr>
                <w:rFonts w:ascii="Arial" w:hAnsi="Arial" w:cs="Arial"/>
                <w:b/>
                <w:sz w:val="20"/>
                <w:lang w:eastAsia="en-GB"/>
              </w:rPr>
              <w:t>7</w:t>
            </w:r>
            <w:r w:rsidRPr="00E70587">
              <w:rPr>
                <w:rFonts w:ascii="Arial" w:hAnsi="Arial" w:cs="Arial"/>
                <w:b/>
                <w:sz w:val="20"/>
                <w:lang w:eastAsia="en-GB"/>
              </w:rPr>
              <w:t>,</w:t>
            </w:r>
            <w:r w:rsidR="00383E27">
              <w:rPr>
                <w:rFonts w:ascii="Arial" w:hAnsi="Arial" w:cs="Arial"/>
                <w:b/>
                <w:sz w:val="20"/>
                <w:lang w:eastAsia="en-GB"/>
              </w:rPr>
              <w:t>759</w:t>
            </w:r>
          </w:p>
        </w:tc>
      </w:tr>
      <w:tr w:rsidR="009E7FDA" w:rsidRPr="00E70587" w14:paraId="37A33C1D" w14:textId="77777777" w:rsidTr="001C5B9C">
        <w:tc>
          <w:tcPr>
            <w:tcW w:w="2160" w:type="pct"/>
            <w:vAlign w:val="bottom"/>
          </w:tcPr>
          <w:p w14:paraId="3823E24D" w14:textId="77777777" w:rsidR="009E7FDA" w:rsidRPr="00E70587" w:rsidRDefault="009E7FDA" w:rsidP="009E7FDA">
            <w:pPr>
              <w:pStyle w:val="tabletxtns"/>
              <w:spacing w:before="0" w:line="280" w:lineRule="exact"/>
              <w:rPr>
                <w:rFonts w:ascii="Arial" w:hAnsi="Arial" w:cs="Arial"/>
                <w:b/>
                <w:color w:val="auto"/>
                <w:sz w:val="20"/>
              </w:rPr>
            </w:pPr>
            <w:r w:rsidRPr="00E70587">
              <w:rPr>
                <w:rFonts w:ascii="Arial" w:hAnsi="Arial" w:cs="Arial"/>
                <w:b/>
                <w:color w:val="auto"/>
                <w:sz w:val="20"/>
              </w:rPr>
              <w:t>Current assets</w:t>
            </w:r>
          </w:p>
        </w:tc>
        <w:tc>
          <w:tcPr>
            <w:tcW w:w="412" w:type="pct"/>
            <w:vAlign w:val="center"/>
          </w:tcPr>
          <w:p w14:paraId="53AD877A" w14:textId="77777777" w:rsidR="009E7FDA" w:rsidRPr="00E70587" w:rsidRDefault="009E7FDA" w:rsidP="009E7FDA">
            <w:pPr>
              <w:pStyle w:val="tablenotes"/>
              <w:spacing w:before="0" w:line="280" w:lineRule="exact"/>
              <w:jc w:val="center"/>
              <w:rPr>
                <w:rFonts w:ascii="Arial" w:hAnsi="Arial" w:cs="Arial"/>
                <w:color w:val="auto"/>
                <w:sz w:val="20"/>
              </w:rPr>
            </w:pPr>
          </w:p>
        </w:tc>
        <w:tc>
          <w:tcPr>
            <w:tcW w:w="765" w:type="pct"/>
            <w:tcBorders>
              <w:bottom w:val="nil"/>
            </w:tcBorders>
            <w:vAlign w:val="bottom"/>
          </w:tcPr>
          <w:p w14:paraId="4333358D" w14:textId="77777777" w:rsidR="009E7FDA" w:rsidRPr="00E70587" w:rsidRDefault="009E7FDA" w:rsidP="009E7FDA">
            <w:pPr>
              <w:spacing w:line="280" w:lineRule="exact"/>
              <w:jc w:val="right"/>
              <w:rPr>
                <w:rFonts w:ascii="Arial" w:hAnsi="Arial" w:cs="Arial"/>
                <w:sz w:val="20"/>
              </w:rPr>
            </w:pPr>
          </w:p>
        </w:tc>
        <w:tc>
          <w:tcPr>
            <w:tcW w:w="858" w:type="pct"/>
            <w:tcBorders>
              <w:bottom w:val="nil"/>
            </w:tcBorders>
            <w:vAlign w:val="bottom"/>
          </w:tcPr>
          <w:p w14:paraId="1E9A4116" w14:textId="77777777" w:rsidR="009E7FDA" w:rsidRPr="00E70587" w:rsidRDefault="009E7FDA" w:rsidP="009E7FDA">
            <w:pPr>
              <w:spacing w:line="280" w:lineRule="exact"/>
              <w:jc w:val="right"/>
              <w:rPr>
                <w:rFonts w:ascii="Arial" w:hAnsi="Arial" w:cs="Arial"/>
                <w:sz w:val="20"/>
              </w:rPr>
            </w:pPr>
          </w:p>
        </w:tc>
        <w:tc>
          <w:tcPr>
            <w:tcW w:w="804" w:type="pct"/>
            <w:tcBorders>
              <w:bottom w:val="nil"/>
            </w:tcBorders>
            <w:vAlign w:val="bottom"/>
          </w:tcPr>
          <w:p w14:paraId="1EBF9AD2" w14:textId="77777777" w:rsidR="009E7FDA" w:rsidRPr="00E70587" w:rsidRDefault="009E7FDA" w:rsidP="009E7FDA">
            <w:pPr>
              <w:spacing w:line="280" w:lineRule="exact"/>
              <w:ind w:firstLineChars="200" w:firstLine="400"/>
              <w:jc w:val="right"/>
              <w:rPr>
                <w:rFonts w:ascii="Arial" w:hAnsi="Arial" w:cs="Arial"/>
                <w:sz w:val="20"/>
              </w:rPr>
            </w:pPr>
          </w:p>
        </w:tc>
      </w:tr>
      <w:tr w:rsidR="009E7FDA" w:rsidRPr="00E70587" w14:paraId="6FDE98D4" w14:textId="77777777" w:rsidTr="001C5B9C">
        <w:tc>
          <w:tcPr>
            <w:tcW w:w="2160" w:type="pct"/>
            <w:vAlign w:val="bottom"/>
          </w:tcPr>
          <w:p w14:paraId="0C45E580" w14:textId="7777777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Inventories</w:t>
            </w:r>
          </w:p>
        </w:tc>
        <w:tc>
          <w:tcPr>
            <w:tcW w:w="412" w:type="pct"/>
            <w:vAlign w:val="center"/>
          </w:tcPr>
          <w:p w14:paraId="7082257B"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8</w:t>
            </w:r>
          </w:p>
        </w:tc>
        <w:tc>
          <w:tcPr>
            <w:tcW w:w="765" w:type="pct"/>
            <w:tcBorders>
              <w:top w:val="nil"/>
            </w:tcBorders>
            <w:vAlign w:val="center"/>
          </w:tcPr>
          <w:p w14:paraId="4BE4D28C" w14:textId="7E475217"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tcBorders>
              <w:top w:val="nil"/>
            </w:tcBorders>
            <w:vAlign w:val="center"/>
          </w:tcPr>
          <w:p w14:paraId="246E303C" w14:textId="11253644"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3</w:t>
            </w:r>
            <w:r w:rsidR="008711A3">
              <w:rPr>
                <w:rFonts w:ascii="Arial" w:hAnsi="Arial" w:cs="Arial"/>
                <w:color w:val="000000"/>
                <w:sz w:val="20"/>
              </w:rPr>
              <w:t>8</w:t>
            </w:r>
            <w:r w:rsidRPr="00E70587">
              <w:rPr>
                <w:rFonts w:ascii="Arial" w:hAnsi="Arial" w:cs="Arial"/>
                <w:color w:val="000000"/>
                <w:sz w:val="20"/>
              </w:rPr>
              <w:t>,</w:t>
            </w:r>
            <w:r w:rsidR="008711A3">
              <w:rPr>
                <w:rFonts w:ascii="Arial" w:hAnsi="Arial" w:cs="Arial"/>
                <w:color w:val="000000"/>
                <w:sz w:val="20"/>
              </w:rPr>
              <w:t>497</w:t>
            </w:r>
            <w:r w:rsidRPr="00E70587">
              <w:rPr>
                <w:rFonts w:ascii="Arial" w:hAnsi="Arial" w:cs="Arial"/>
                <w:color w:val="000000"/>
                <w:sz w:val="20"/>
              </w:rPr>
              <w:t xml:space="preserve"> </w:t>
            </w:r>
          </w:p>
        </w:tc>
        <w:tc>
          <w:tcPr>
            <w:tcW w:w="804" w:type="pct"/>
            <w:tcBorders>
              <w:top w:val="nil"/>
            </w:tcBorders>
            <w:vAlign w:val="center"/>
          </w:tcPr>
          <w:p w14:paraId="323D2C70" w14:textId="5B9F968F" w:rsidR="009E7FDA" w:rsidRPr="00E70587" w:rsidRDefault="008711A3" w:rsidP="009E7FDA">
            <w:pPr>
              <w:overflowPunct/>
              <w:spacing w:line="280" w:lineRule="exact"/>
              <w:jc w:val="right"/>
              <w:textAlignment w:val="auto"/>
              <w:rPr>
                <w:rFonts w:ascii="Arial" w:hAnsi="Arial" w:cs="Arial"/>
                <w:color w:val="000000"/>
                <w:sz w:val="20"/>
              </w:rPr>
            </w:pPr>
            <w:r>
              <w:rPr>
                <w:rFonts w:ascii="Arial" w:hAnsi="Arial" w:cs="Arial"/>
                <w:color w:val="000000"/>
                <w:sz w:val="20"/>
              </w:rPr>
              <w:t>39,834</w:t>
            </w:r>
          </w:p>
        </w:tc>
      </w:tr>
      <w:tr w:rsidR="009E7FDA" w:rsidRPr="00E70587" w14:paraId="6C9CB64C" w14:textId="77777777" w:rsidTr="001C5B9C">
        <w:tc>
          <w:tcPr>
            <w:tcW w:w="2160" w:type="pct"/>
            <w:vAlign w:val="bottom"/>
          </w:tcPr>
          <w:p w14:paraId="4999FC8B" w14:textId="7777777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Right of return assets</w:t>
            </w:r>
          </w:p>
        </w:tc>
        <w:tc>
          <w:tcPr>
            <w:tcW w:w="412" w:type="pct"/>
            <w:vAlign w:val="center"/>
          </w:tcPr>
          <w:p w14:paraId="337A4055"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rPr>
            </w:pPr>
            <w:r>
              <w:rPr>
                <w:rFonts w:ascii="Arial" w:hAnsi="Arial" w:cs="Arial"/>
                <w:sz w:val="20"/>
              </w:rPr>
              <w:t>50</w:t>
            </w:r>
          </w:p>
        </w:tc>
        <w:tc>
          <w:tcPr>
            <w:tcW w:w="765" w:type="pct"/>
            <w:tcBorders>
              <w:top w:val="nil"/>
            </w:tcBorders>
            <w:vAlign w:val="center"/>
          </w:tcPr>
          <w:p w14:paraId="7402BC91" w14:textId="145FCD36"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tcBorders>
              <w:top w:val="nil"/>
            </w:tcBorders>
            <w:vAlign w:val="center"/>
          </w:tcPr>
          <w:p w14:paraId="2808EFA7" w14:textId="3A503B41"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 xml:space="preserve">2,052 </w:t>
            </w:r>
          </w:p>
        </w:tc>
        <w:tc>
          <w:tcPr>
            <w:tcW w:w="804" w:type="pct"/>
            <w:tcBorders>
              <w:top w:val="nil"/>
            </w:tcBorders>
            <w:vAlign w:val="center"/>
          </w:tcPr>
          <w:p w14:paraId="79DE9F93" w14:textId="32FDEDA7"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 xml:space="preserve">2,160 </w:t>
            </w:r>
          </w:p>
        </w:tc>
      </w:tr>
      <w:tr w:rsidR="009E7FDA" w:rsidRPr="00E70587" w14:paraId="2DF12EE5" w14:textId="77777777" w:rsidTr="001C5B9C">
        <w:tc>
          <w:tcPr>
            <w:tcW w:w="2160" w:type="pct"/>
            <w:vAlign w:val="bottom"/>
          </w:tcPr>
          <w:p w14:paraId="530A7107" w14:textId="7777777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Contract Assets</w:t>
            </w:r>
          </w:p>
        </w:tc>
        <w:tc>
          <w:tcPr>
            <w:tcW w:w="412" w:type="pct"/>
            <w:vAlign w:val="center"/>
          </w:tcPr>
          <w:p w14:paraId="529EF747"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rPr>
            </w:pPr>
            <w:r>
              <w:rPr>
                <w:rFonts w:ascii="Arial" w:hAnsi="Arial" w:cs="Arial"/>
                <w:sz w:val="20"/>
              </w:rPr>
              <w:t>50</w:t>
            </w:r>
          </w:p>
        </w:tc>
        <w:tc>
          <w:tcPr>
            <w:tcW w:w="765" w:type="pct"/>
            <w:tcBorders>
              <w:top w:val="nil"/>
            </w:tcBorders>
            <w:vAlign w:val="center"/>
          </w:tcPr>
          <w:p w14:paraId="3781418D" w14:textId="5292EC9E"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tcBorders>
              <w:top w:val="nil"/>
            </w:tcBorders>
            <w:vAlign w:val="center"/>
          </w:tcPr>
          <w:p w14:paraId="74BC8121" w14:textId="698C5824"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 xml:space="preserve">2,646 </w:t>
            </w:r>
          </w:p>
        </w:tc>
        <w:tc>
          <w:tcPr>
            <w:tcW w:w="804" w:type="pct"/>
            <w:tcBorders>
              <w:top w:val="nil"/>
            </w:tcBorders>
            <w:vAlign w:val="center"/>
          </w:tcPr>
          <w:p w14:paraId="7EB2D70E" w14:textId="481E48C0"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 xml:space="preserve">2,785 </w:t>
            </w:r>
          </w:p>
        </w:tc>
      </w:tr>
      <w:tr w:rsidR="009E7FDA" w:rsidRPr="00E70587" w14:paraId="5E25E526" w14:textId="77777777" w:rsidTr="001C5B9C">
        <w:tc>
          <w:tcPr>
            <w:tcW w:w="2160" w:type="pct"/>
            <w:vAlign w:val="bottom"/>
          </w:tcPr>
          <w:p w14:paraId="18A0D5F2" w14:textId="7777777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Financial assets</w:t>
            </w:r>
          </w:p>
        </w:tc>
        <w:tc>
          <w:tcPr>
            <w:tcW w:w="412" w:type="pct"/>
            <w:vAlign w:val="center"/>
          </w:tcPr>
          <w:p w14:paraId="6D3C54B7"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765" w:type="pct"/>
            <w:vAlign w:val="bottom"/>
          </w:tcPr>
          <w:p w14:paraId="3E8AEC56" w14:textId="77777777"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vAlign w:val="bottom"/>
          </w:tcPr>
          <w:p w14:paraId="729982D2" w14:textId="77777777" w:rsidR="009E7FDA" w:rsidRPr="00E70587" w:rsidRDefault="009E7FDA" w:rsidP="009E7FDA">
            <w:pPr>
              <w:overflowPunct/>
              <w:spacing w:line="280" w:lineRule="exact"/>
              <w:jc w:val="right"/>
              <w:textAlignment w:val="auto"/>
              <w:rPr>
                <w:rFonts w:ascii="Arial" w:hAnsi="Arial" w:cs="Arial"/>
                <w:color w:val="000000"/>
                <w:sz w:val="20"/>
              </w:rPr>
            </w:pPr>
          </w:p>
        </w:tc>
        <w:tc>
          <w:tcPr>
            <w:tcW w:w="804" w:type="pct"/>
            <w:vAlign w:val="bottom"/>
          </w:tcPr>
          <w:p w14:paraId="063C9B7E" w14:textId="77777777" w:rsidR="009E7FDA" w:rsidRPr="00E70587" w:rsidRDefault="009E7FDA" w:rsidP="009E7FDA">
            <w:pPr>
              <w:overflowPunct/>
              <w:spacing w:line="280" w:lineRule="exact"/>
              <w:jc w:val="right"/>
              <w:textAlignment w:val="auto"/>
              <w:rPr>
                <w:rFonts w:ascii="Arial" w:hAnsi="Arial" w:cs="Arial"/>
                <w:color w:val="000000"/>
                <w:sz w:val="20"/>
              </w:rPr>
            </w:pPr>
          </w:p>
        </w:tc>
      </w:tr>
      <w:tr w:rsidR="009E7FDA" w:rsidRPr="00E70587" w14:paraId="09EDC0D2" w14:textId="77777777" w:rsidTr="00FF32A7">
        <w:tc>
          <w:tcPr>
            <w:tcW w:w="2160" w:type="pct"/>
            <w:vAlign w:val="bottom"/>
          </w:tcPr>
          <w:p w14:paraId="3324E94E" w14:textId="77777777" w:rsidR="009E7FDA" w:rsidRPr="00E70587" w:rsidRDefault="009E7FDA" w:rsidP="009E7FDA">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Trade receivables</w:t>
            </w:r>
          </w:p>
        </w:tc>
        <w:tc>
          <w:tcPr>
            <w:tcW w:w="412" w:type="pct"/>
            <w:vAlign w:val="center"/>
          </w:tcPr>
          <w:p w14:paraId="2A1730AD"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lang w:val="en-IN"/>
              </w:rPr>
              <w:t>9</w:t>
            </w:r>
          </w:p>
        </w:tc>
        <w:tc>
          <w:tcPr>
            <w:tcW w:w="765" w:type="pct"/>
            <w:vAlign w:val="bottom"/>
          </w:tcPr>
          <w:p w14:paraId="56B3206F" w14:textId="4CD9C843"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vAlign w:val="bottom"/>
          </w:tcPr>
          <w:p w14:paraId="30F01605" w14:textId="324F7673"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44,464</w:t>
            </w:r>
          </w:p>
        </w:tc>
        <w:tc>
          <w:tcPr>
            <w:tcW w:w="804" w:type="pct"/>
            <w:vAlign w:val="center"/>
          </w:tcPr>
          <w:p w14:paraId="0589938A" w14:textId="1F75944C" w:rsidR="009E7FDA" w:rsidRPr="00E70587" w:rsidRDefault="009E7FDA" w:rsidP="009E7FDA">
            <w:pPr>
              <w:spacing w:line="280" w:lineRule="exact"/>
              <w:jc w:val="right"/>
              <w:rPr>
                <w:rFonts w:ascii="Arial" w:hAnsi="Arial" w:cs="Arial"/>
                <w:color w:val="000000"/>
                <w:sz w:val="20"/>
              </w:rPr>
            </w:pPr>
            <w:r w:rsidRPr="00E70587">
              <w:rPr>
                <w:rFonts w:ascii="Arial" w:hAnsi="Arial" w:cs="Arial"/>
                <w:color w:val="000000"/>
                <w:sz w:val="20"/>
              </w:rPr>
              <w:t>38,23</w:t>
            </w:r>
            <w:r>
              <w:rPr>
                <w:rFonts w:ascii="Arial" w:hAnsi="Arial" w:cs="Arial"/>
                <w:color w:val="000000"/>
                <w:sz w:val="20"/>
              </w:rPr>
              <w:t>5</w:t>
            </w:r>
          </w:p>
        </w:tc>
      </w:tr>
      <w:tr w:rsidR="009E7FDA" w:rsidRPr="00E70587" w14:paraId="78055E1E" w14:textId="77777777" w:rsidTr="001C5B9C">
        <w:tc>
          <w:tcPr>
            <w:tcW w:w="2160" w:type="pct"/>
            <w:vAlign w:val="bottom"/>
          </w:tcPr>
          <w:p w14:paraId="113C2D64" w14:textId="77777777" w:rsidR="009E7FDA" w:rsidRPr="00E70587" w:rsidRDefault="009E7FDA" w:rsidP="009E7FDA">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Cash and cash equivalents</w:t>
            </w:r>
          </w:p>
        </w:tc>
        <w:tc>
          <w:tcPr>
            <w:tcW w:w="412" w:type="pct"/>
            <w:vAlign w:val="center"/>
          </w:tcPr>
          <w:p w14:paraId="4CA621D4"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lang w:val="en-IN"/>
              </w:rPr>
              <w:t>10</w:t>
            </w:r>
          </w:p>
        </w:tc>
        <w:tc>
          <w:tcPr>
            <w:tcW w:w="765" w:type="pct"/>
          </w:tcPr>
          <w:p w14:paraId="1C6CAD51" w14:textId="7CC6F9F4"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tcPr>
          <w:p w14:paraId="1041B41A" w14:textId="786FF761"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29,590</w:t>
            </w:r>
          </w:p>
        </w:tc>
        <w:tc>
          <w:tcPr>
            <w:tcW w:w="804" w:type="pct"/>
          </w:tcPr>
          <w:p w14:paraId="43A6FB59" w14:textId="7A723A3F" w:rsidR="009E7FDA" w:rsidRPr="00E70587" w:rsidRDefault="009E7FDA" w:rsidP="009E7FDA">
            <w:pPr>
              <w:overflowPunct/>
              <w:spacing w:line="280" w:lineRule="exact"/>
              <w:jc w:val="right"/>
              <w:textAlignment w:val="auto"/>
              <w:rPr>
                <w:rFonts w:ascii="Arial" w:hAnsi="Arial" w:cs="Arial"/>
                <w:color w:val="000000"/>
                <w:sz w:val="20"/>
              </w:rPr>
            </w:pPr>
            <w:r w:rsidRPr="00E70587">
              <w:rPr>
                <w:rFonts w:ascii="Arial" w:hAnsi="Arial" w:cs="Arial"/>
                <w:color w:val="000000"/>
                <w:sz w:val="20"/>
              </w:rPr>
              <w:t>26,414</w:t>
            </w:r>
          </w:p>
        </w:tc>
      </w:tr>
      <w:tr w:rsidR="0075160C" w:rsidRPr="00E70587" w14:paraId="4D11DE8F" w14:textId="77777777" w:rsidTr="008B3529">
        <w:tc>
          <w:tcPr>
            <w:tcW w:w="2160" w:type="pct"/>
            <w:vAlign w:val="bottom"/>
          </w:tcPr>
          <w:p w14:paraId="0C8F52BD" w14:textId="77777777" w:rsidR="0075160C" w:rsidRPr="00E70587" w:rsidRDefault="0075160C" w:rsidP="008B3529">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 xml:space="preserve">Loans </w:t>
            </w:r>
          </w:p>
        </w:tc>
        <w:tc>
          <w:tcPr>
            <w:tcW w:w="412" w:type="pct"/>
            <w:vAlign w:val="center"/>
          </w:tcPr>
          <w:p w14:paraId="7165CCC3" w14:textId="77777777" w:rsidR="0075160C" w:rsidRPr="00E70587" w:rsidRDefault="0075160C" w:rsidP="008B3529">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lang w:val="en-IN"/>
              </w:rPr>
              <w:t>7</w:t>
            </w:r>
          </w:p>
        </w:tc>
        <w:tc>
          <w:tcPr>
            <w:tcW w:w="765" w:type="pct"/>
          </w:tcPr>
          <w:p w14:paraId="696D4634" w14:textId="77777777" w:rsidR="0075160C" w:rsidRPr="00E70587" w:rsidRDefault="0075160C" w:rsidP="008B3529">
            <w:pPr>
              <w:overflowPunct/>
              <w:spacing w:line="280" w:lineRule="exact"/>
              <w:jc w:val="right"/>
              <w:textAlignment w:val="auto"/>
              <w:rPr>
                <w:rFonts w:ascii="Arial" w:hAnsi="Arial" w:cs="Arial"/>
                <w:color w:val="000000"/>
                <w:sz w:val="20"/>
              </w:rPr>
            </w:pPr>
          </w:p>
        </w:tc>
        <w:tc>
          <w:tcPr>
            <w:tcW w:w="858" w:type="pct"/>
          </w:tcPr>
          <w:p w14:paraId="202B325A" w14:textId="77777777" w:rsidR="0075160C" w:rsidRPr="00E70587" w:rsidRDefault="0075160C" w:rsidP="008B3529">
            <w:pPr>
              <w:overflowPunct/>
              <w:spacing w:line="280" w:lineRule="exact"/>
              <w:jc w:val="right"/>
              <w:textAlignment w:val="auto"/>
              <w:rPr>
                <w:rFonts w:ascii="Arial" w:hAnsi="Arial" w:cs="Arial"/>
                <w:color w:val="000000"/>
                <w:sz w:val="20"/>
              </w:rPr>
            </w:pPr>
            <w:r w:rsidRPr="00E70587">
              <w:rPr>
                <w:rFonts w:ascii="Arial" w:hAnsi="Arial" w:cs="Arial"/>
                <w:color w:val="000000"/>
                <w:sz w:val="20"/>
              </w:rPr>
              <w:t>2,799</w:t>
            </w:r>
          </w:p>
        </w:tc>
        <w:tc>
          <w:tcPr>
            <w:tcW w:w="804" w:type="pct"/>
          </w:tcPr>
          <w:p w14:paraId="34376B08" w14:textId="77777777" w:rsidR="0075160C" w:rsidRPr="00E70587" w:rsidRDefault="0075160C" w:rsidP="008B3529">
            <w:pPr>
              <w:spacing w:line="280" w:lineRule="exact"/>
              <w:jc w:val="right"/>
              <w:rPr>
                <w:rFonts w:ascii="Arial" w:hAnsi="Arial" w:cs="Arial"/>
                <w:color w:val="000000"/>
                <w:sz w:val="20"/>
              </w:rPr>
            </w:pPr>
            <w:r w:rsidRPr="00E70587">
              <w:rPr>
                <w:rFonts w:ascii="Arial" w:hAnsi="Arial" w:cs="Arial"/>
                <w:color w:val="000000"/>
                <w:sz w:val="20"/>
              </w:rPr>
              <w:t>1,219</w:t>
            </w:r>
          </w:p>
        </w:tc>
      </w:tr>
      <w:tr w:rsidR="001C5B9C" w:rsidRPr="00E70587" w14:paraId="371D16A5" w14:textId="77777777" w:rsidTr="001C5B9C">
        <w:tc>
          <w:tcPr>
            <w:tcW w:w="2160" w:type="pct"/>
            <w:vAlign w:val="bottom"/>
          </w:tcPr>
          <w:p w14:paraId="5D97375E" w14:textId="77777777" w:rsidR="001C5B9C" w:rsidRPr="00E70587" w:rsidRDefault="001C5B9C" w:rsidP="008B3529">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Other financial assets (derivative instruments)</w:t>
            </w:r>
          </w:p>
        </w:tc>
        <w:tc>
          <w:tcPr>
            <w:tcW w:w="412" w:type="pct"/>
            <w:vAlign w:val="center"/>
          </w:tcPr>
          <w:p w14:paraId="0D33E79E" w14:textId="77777777" w:rsidR="001C5B9C" w:rsidRPr="00E70587" w:rsidRDefault="001C5B9C" w:rsidP="008B3529">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lang w:val="en-IN"/>
              </w:rPr>
              <w:t>7</w:t>
            </w:r>
          </w:p>
        </w:tc>
        <w:tc>
          <w:tcPr>
            <w:tcW w:w="765" w:type="pct"/>
          </w:tcPr>
          <w:p w14:paraId="1B496367" w14:textId="77777777" w:rsidR="001C5B9C" w:rsidRPr="00E70587" w:rsidRDefault="001C5B9C" w:rsidP="008B3529">
            <w:pPr>
              <w:overflowPunct/>
              <w:spacing w:line="280" w:lineRule="exact"/>
              <w:jc w:val="right"/>
              <w:textAlignment w:val="auto"/>
              <w:rPr>
                <w:rFonts w:ascii="Arial" w:hAnsi="Arial" w:cs="Arial"/>
                <w:color w:val="000000"/>
                <w:sz w:val="20"/>
              </w:rPr>
            </w:pPr>
          </w:p>
        </w:tc>
        <w:tc>
          <w:tcPr>
            <w:tcW w:w="858" w:type="pct"/>
          </w:tcPr>
          <w:p w14:paraId="69773970" w14:textId="77777777" w:rsidR="001C5B9C" w:rsidRPr="00E70587" w:rsidRDefault="001C5B9C" w:rsidP="008B3529">
            <w:pPr>
              <w:overflowPunct/>
              <w:spacing w:line="280" w:lineRule="exact"/>
              <w:jc w:val="right"/>
              <w:textAlignment w:val="auto"/>
              <w:rPr>
                <w:rFonts w:ascii="Arial" w:hAnsi="Arial" w:cs="Arial"/>
                <w:color w:val="000000"/>
                <w:sz w:val="20"/>
              </w:rPr>
            </w:pPr>
            <w:r w:rsidRPr="00E70587">
              <w:rPr>
                <w:rFonts w:ascii="Arial" w:hAnsi="Arial" w:cs="Arial"/>
                <w:color w:val="000000"/>
                <w:sz w:val="20"/>
              </w:rPr>
              <w:t>992</w:t>
            </w:r>
          </w:p>
        </w:tc>
        <w:tc>
          <w:tcPr>
            <w:tcW w:w="804" w:type="pct"/>
            <w:tcBorders>
              <w:right w:val="nil"/>
            </w:tcBorders>
          </w:tcPr>
          <w:p w14:paraId="1DE3616B" w14:textId="77777777" w:rsidR="001C5B9C" w:rsidRPr="00E70587" w:rsidRDefault="001C5B9C" w:rsidP="008B3529">
            <w:pPr>
              <w:overflowPunct/>
              <w:spacing w:line="280" w:lineRule="exact"/>
              <w:jc w:val="right"/>
              <w:textAlignment w:val="auto"/>
              <w:rPr>
                <w:rFonts w:ascii="Arial" w:hAnsi="Arial" w:cs="Arial"/>
                <w:color w:val="000000"/>
                <w:sz w:val="20"/>
              </w:rPr>
            </w:pPr>
            <w:r w:rsidRPr="00E70587">
              <w:rPr>
                <w:rFonts w:ascii="Arial" w:hAnsi="Arial" w:cs="Arial"/>
                <w:color w:val="000000"/>
                <w:sz w:val="20"/>
              </w:rPr>
              <w:t>275</w:t>
            </w:r>
          </w:p>
        </w:tc>
      </w:tr>
      <w:tr w:rsidR="009E7FDA" w:rsidRPr="00E70587" w14:paraId="01B5763C" w14:textId="77777777" w:rsidTr="00FF32A7">
        <w:tc>
          <w:tcPr>
            <w:tcW w:w="2160" w:type="pct"/>
            <w:vAlign w:val="bottom"/>
          </w:tcPr>
          <w:p w14:paraId="4CEAA3D0" w14:textId="527B71F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sz w:val="20"/>
                <w:lang w:val="en-IN"/>
              </w:rPr>
            </w:pPr>
            <w:r>
              <w:rPr>
                <w:rFonts w:ascii="Arial" w:hAnsi="Arial" w:cs="Arial"/>
                <w:sz w:val="20"/>
                <w:lang w:val="en-IN"/>
              </w:rPr>
              <w:t>Current tax asset</w:t>
            </w:r>
            <w:r w:rsidR="0022617E">
              <w:rPr>
                <w:rFonts w:ascii="Arial" w:hAnsi="Arial" w:cs="Arial"/>
                <w:sz w:val="20"/>
                <w:lang w:val="en-IN"/>
              </w:rPr>
              <w:t xml:space="preserve"> (net)</w:t>
            </w:r>
          </w:p>
        </w:tc>
        <w:tc>
          <w:tcPr>
            <w:tcW w:w="412" w:type="pct"/>
            <w:vAlign w:val="center"/>
          </w:tcPr>
          <w:p w14:paraId="609B4CBC"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765" w:type="pct"/>
            <w:tcBorders>
              <w:bottom w:val="nil"/>
            </w:tcBorders>
          </w:tcPr>
          <w:p w14:paraId="40DBB0E6" w14:textId="0B318664"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tcPr>
          <w:p w14:paraId="471E30E9" w14:textId="05FD556A" w:rsidR="009E7FDA" w:rsidRPr="00E70587" w:rsidRDefault="009E7FDA" w:rsidP="009E7FDA">
            <w:pPr>
              <w:overflowPunct/>
              <w:spacing w:line="280" w:lineRule="exact"/>
              <w:jc w:val="right"/>
              <w:textAlignment w:val="auto"/>
              <w:rPr>
                <w:rFonts w:ascii="Arial" w:hAnsi="Arial" w:cs="Arial"/>
                <w:color w:val="000000"/>
                <w:sz w:val="20"/>
              </w:rPr>
            </w:pPr>
            <w:r>
              <w:rPr>
                <w:rFonts w:ascii="Arial" w:hAnsi="Arial" w:cs="Arial"/>
                <w:color w:val="000000"/>
                <w:sz w:val="20"/>
              </w:rPr>
              <w:t>120</w:t>
            </w:r>
          </w:p>
        </w:tc>
        <w:tc>
          <w:tcPr>
            <w:tcW w:w="804" w:type="pct"/>
            <w:vAlign w:val="center"/>
          </w:tcPr>
          <w:p w14:paraId="6C472DD0" w14:textId="62C287FE" w:rsidR="009E7FDA" w:rsidRPr="00E70587" w:rsidRDefault="009E7FDA" w:rsidP="009E7FDA">
            <w:pPr>
              <w:overflowPunct/>
              <w:spacing w:line="280" w:lineRule="exact"/>
              <w:jc w:val="right"/>
              <w:textAlignment w:val="auto"/>
              <w:rPr>
                <w:rFonts w:ascii="Arial" w:hAnsi="Arial" w:cs="Arial"/>
                <w:color w:val="000000"/>
                <w:sz w:val="20"/>
              </w:rPr>
            </w:pPr>
            <w:r>
              <w:rPr>
                <w:rFonts w:ascii="Arial" w:hAnsi="Arial" w:cs="Arial"/>
                <w:color w:val="000000"/>
                <w:sz w:val="20"/>
              </w:rPr>
              <w:t>110</w:t>
            </w:r>
          </w:p>
        </w:tc>
      </w:tr>
      <w:tr w:rsidR="009E7FDA" w:rsidRPr="00E70587" w14:paraId="707BDAA6" w14:textId="77777777" w:rsidTr="00FF32A7">
        <w:tc>
          <w:tcPr>
            <w:tcW w:w="2160" w:type="pct"/>
            <w:vAlign w:val="bottom"/>
          </w:tcPr>
          <w:p w14:paraId="00F8AE79" w14:textId="77777777"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Other current assets (prepayments)</w:t>
            </w:r>
          </w:p>
        </w:tc>
        <w:tc>
          <w:tcPr>
            <w:tcW w:w="412" w:type="pct"/>
            <w:vAlign w:val="center"/>
          </w:tcPr>
          <w:p w14:paraId="5F49F7F3"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765" w:type="pct"/>
            <w:tcBorders>
              <w:bottom w:val="nil"/>
            </w:tcBorders>
          </w:tcPr>
          <w:p w14:paraId="33BA149F" w14:textId="6CCFE9E9" w:rsidR="009E7FDA" w:rsidRPr="00E70587" w:rsidRDefault="009E7FDA" w:rsidP="009E7FDA">
            <w:pPr>
              <w:overflowPunct/>
              <w:spacing w:line="280" w:lineRule="exact"/>
              <w:jc w:val="right"/>
              <w:textAlignment w:val="auto"/>
              <w:rPr>
                <w:rFonts w:ascii="Arial" w:hAnsi="Arial" w:cs="Arial"/>
                <w:color w:val="000000"/>
                <w:sz w:val="20"/>
              </w:rPr>
            </w:pPr>
          </w:p>
        </w:tc>
        <w:tc>
          <w:tcPr>
            <w:tcW w:w="858" w:type="pct"/>
          </w:tcPr>
          <w:p w14:paraId="04B5F9EC" w14:textId="041913AF" w:rsidR="009E7FDA" w:rsidRPr="00E70587" w:rsidRDefault="009E7FDA" w:rsidP="009E7FDA">
            <w:pPr>
              <w:overflowPunct/>
              <w:spacing w:line="280" w:lineRule="exact"/>
              <w:jc w:val="right"/>
              <w:textAlignment w:val="auto"/>
              <w:rPr>
                <w:rFonts w:ascii="Arial" w:hAnsi="Arial" w:cs="Arial"/>
                <w:color w:val="000000"/>
                <w:sz w:val="20"/>
              </w:rPr>
            </w:pPr>
            <w:r>
              <w:rPr>
                <w:rFonts w:ascii="Arial" w:hAnsi="Arial" w:cs="Arial"/>
                <w:color w:val="000000"/>
                <w:sz w:val="20"/>
              </w:rPr>
              <w:t>34</w:t>
            </w:r>
            <w:r w:rsidRPr="00E70587">
              <w:rPr>
                <w:rFonts w:ascii="Arial" w:hAnsi="Arial" w:cs="Arial"/>
                <w:color w:val="000000"/>
                <w:sz w:val="20"/>
              </w:rPr>
              <w:t>2</w:t>
            </w:r>
          </w:p>
        </w:tc>
        <w:tc>
          <w:tcPr>
            <w:tcW w:w="804" w:type="pct"/>
            <w:vAlign w:val="center"/>
          </w:tcPr>
          <w:p w14:paraId="54418443" w14:textId="6E7977EA" w:rsidR="009E7FDA" w:rsidRPr="00E70587" w:rsidRDefault="009E7FDA" w:rsidP="009E7FDA">
            <w:pPr>
              <w:overflowPunct/>
              <w:spacing w:line="280" w:lineRule="exact"/>
              <w:jc w:val="right"/>
              <w:textAlignment w:val="auto"/>
              <w:rPr>
                <w:rFonts w:ascii="Arial" w:hAnsi="Arial" w:cs="Arial"/>
                <w:color w:val="000000"/>
                <w:sz w:val="20"/>
              </w:rPr>
            </w:pPr>
            <w:r>
              <w:rPr>
                <w:rFonts w:ascii="Arial" w:hAnsi="Arial" w:cs="Arial"/>
                <w:color w:val="000000"/>
                <w:sz w:val="20"/>
              </w:rPr>
              <w:t>204</w:t>
            </w:r>
            <w:r w:rsidRPr="00E70587">
              <w:rPr>
                <w:rFonts w:ascii="Arial" w:hAnsi="Arial" w:cs="Arial"/>
                <w:color w:val="000000"/>
                <w:sz w:val="20"/>
              </w:rPr>
              <w:t xml:space="preserve"> </w:t>
            </w:r>
          </w:p>
        </w:tc>
      </w:tr>
      <w:tr w:rsidR="009E7FDA" w:rsidRPr="00E70587" w14:paraId="0050F524" w14:textId="77777777" w:rsidTr="00FF32A7">
        <w:tc>
          <w:tcPr>
            <w:tcW w:w="2160" w:type="pct"/>
            <w:vAlign w:val="bottom"/>
          </w:tcPr>
          <w:p w14:paraId="5A800A1D" w14:textId="77777777" w:rsidR="009E7FDA" w:rsidRPr="00E70587" w:rsidRDefault="009E7FDA" w:rsidP="009E7FDA">
            <w:pPr>
              <w:pStyle w:val="tabletxtns"/>
              <w:spacing w:before="0" w:line="280" w:lineRule="exact"/>
              <w:rPr>
                <w:rFonts w:ascii="Arial" w:hAnsi="Arial" w:cs="Arial"/>
                <w:color w:val="auto"/>
                <w:sz w:val="20"/>
              </w:rPr>
            </w:pPr>
          </w:p>
        </w:tc>
        <w:tc>
          <w:tcPr>
            <w:tcW w:w="412" w:type="pct"/>
            <w:vAlign w:val="center"/>
          </w:tcPr>
          <w:p w14:paraId="7D10E574"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765" w:type="pct"/>
            <w:tcBorders>
              <w:top w:val="nil"/>
              <w:bottom w:val="nil"/>
            </w:tcBorders>
          </w:tcPr>
          <w:p w14:paraId="0C3F9B10" w14:textId="44FA3BA7" w:rsidR="009E7FDA" w:rsidRPr="00E70587" w:rsidRDefault="009E7FDA" w:rsidP="009E7FDA">
            <w:pPr>
              <w:overflowPunct/>
              <w:spacing w:line="280" w:lineRule="exact"/>
              <w:jc w:val="right"/>
              <w:textAlignment w:val="auto"/>
              <w:rPr>
                <w:rFonts w:ascii="Arial" w:hAnsi="Arial" w:cs="Arial"/>
                <w:b/>
                <w:sz w:val="20"/>
                <w:lang w:eastAsia="en-GB"/>
              </w:rPr>
            </w:pPr>
            <w:r w:rsidRPr="00E70587">
              <w:rPr>
                <w:rFonts w:ascii="Arial" w:hAnsi="Arial" w:cs="Arial"/>
                <w:b/>
                <w:bCs/>
                <w:color w:val="000000"/>
                <w:sz w:val="20"/>
              </w:rPr>
              <w:t xml:space="preserve"> </w:t>
            </w:r>
          </w:p>
        </w:tc>
        <w:tc>
          <w:tcPr>
            <w:tcW w:w="858" w:type="pct"/>
            <w:tcBorders>
              <w:top w:val="single" w:sz="2" w:space="0" w:color="auto"/>
              <w:bottom w:val="nil"/>
            </w:tcBorders>
          </w:tcPr>
          <w:p w14:paraId="7F2C7B77" w14:textId="4ECF4205" w:rsidR="009E7FDA" w:rsidRPr="00E70587" w:rsidRDefault="009E7FDA" w:rsidP="009E7FDA">
            <w:pPr>
              <w:overflowPunct/>
              <w:spacing w:line="280" w:lineRule="exact"/>
              <w:jc w:val="right"/>
              <w:textAlignment w:val="auto"/>
              <w:rPr>
                <w:rFonts w:ascii="Arial" w:hAnsi="Arial" w:cs="Arial"/>
                <w:b/>
                <w:sz w:val="20"/>
                <w:lang w:eastAsia="en-GB"/>
              </w:rPr>
            </w:pPr>
            <w:r w:rsidRPr="00E70587">
              <w:rPr>
                <w:rFonts w:ascii="Arial" w:hAnsi="Arial" w:cs="Arial"/>
                <w:b/>
                <w:bCs/>
                <w:color w:val="000000"/>
                <w:sz w:val="20"/>
              </w:rPr>
              <w:t xml:space="preserve"> 1,2</w:t>
            </w:r>
            <w:r w:rsidR="008711A3">
              <w:rPr>
                <w:rFonts w:ascii="Arial" w:hAnsi="Arial" w:cs="Arial"/>
                <w:b/>
                <w:bCs/>
                <w:color w:val="000000"/>
                <w:sz w:val="20"/>
              </w:rPr>
              <w:t>1</w:t>
            </w:r>
            <w:r w:rsidRPr="00E70587">
              <w:rPr>
                <w:rFonts w:ascii="Arial" w:hAnsi="Arial" w:cs="Arial"/>
                <w:b/>
                <w:bCs/>
                <w:color w:val="000000"/>
                <w:sz w:val="20"/>
              </w:rPr>
              <w:t>,</w:t>
            </w:r>
            <w:r w:rsidR="008711A3">
              <w:rPr>
                <w:rFonts w:ascii="Arial" w:hAnsi="Arial" w:cs="Arial"/>
                <w:b/>
                <w:bCs/>
                <w:color w:val="000000"/>
                <w:sz w:val="20"/>
              </w:rPr>
              <w:t>502</w:t>
            </w:r>
            <w:r w:rsidRPr="00E70587">
              <w:rPr>
                <w:rFonts w:ascii="Arial" w:hAnsi="Arial" w:cs="Arial"/>
                <w:b/>
                <w:bCs/>
                <w:color w:val="000000"/>
                <w:sz w:val="20"/>
              </w:rPr>
              <w:t xml:space="preserve"> </w:t>
            </w:r>
          </w:p>
        </w:tc>
        <w:tc>
          <w:tcPr>
            <w:tcW w:w="804" w:type="pct"/>
            <w:tcBorders>
              <w:top w:val="single" w:sz="2" w:space="0" w:color="auto"/>
              <w:bottom w:val="nil"/>
            </w:tcBorders>
            <w:vAlign w:val="center"/>
          </w:tcPr>
          <w:p w14:paraId="68898F72" w14:textId="0024972E" w:rsidR="009E7FDA" w:rsidRPr="00E70587" w:rsidRDefault="009E7FDA" w:rsidP="009E7FDA">
            <w:pPr>
              <w:overflowPunct/>
              <w:spacing w:line="280" w:lineRule="exact"/>
              <w:jc w:val="right"/>
              <w:textAlignment w:val="auto"/>
              <w:rPr>
                <w:rFonts w:ascii="Arial" w:hAnsi="Arial" w:cs="Arial"/>
                <w:b/>
                <w:sz w:val="20"/>
                <w:lang w:eastAsia="en-GB"/>
              </w:rPr>
            </w:pPr>
            <w:r w:rsidRPr="00E70587">
              <w:rPr>
                <w:rFonts w:ascii="Arial" w:hAnsi="Arial" w:cs="Arial"/>
                <w:b/>
                <w:bCs/>
                <w:color w:val="000000"/>
                <w:sz w:val="20"/>
              </w:rPr>
              <w:t>1,1</w:t>
            </w:r>
            <w:r w:rsidR="008C6CAC">
              <w:rPr>
                <w:rFonts w:ascii="Arial" w:hAnsi="Arial" w:cs="Arial"/>
                <w:b/>
                <w:bCs/>
                <w:color w:val="000000"/>
                <w:sz w:val="20"/>
              </w:rPr>
              <w:t>1</w:t>
            </w:r>
            <w:r w:rsidRPr="00E70587">
              <w:rPr>
                <w:rFonts w:ascii="Arial" w:hAnsi="Arial" w:cs="Arial"/>
                <w:b/>
                <w:bCs/>
                <w:color w:val="000000"/>
                <w:sz w:val="20"/>
              </w:rPr>
              <w:t>,</w:t>
            </w:r>
            <w:r w:rsidR="008C6CAC">
              <w:rPr>
                <w:rFonts w:ascii="Arial" w:hAnsi="Arial" w:cs="Arial"/>
                <w:b/>
                <w:bCs/>
                <w:color w:val="000000"/>
                <w:sz w:val="20"/>
              </w:rPr>
              <w:t>236</w:t>
            </w:r>
          </w:p>
        </w:tc>
      </w:tr>
      <w:tr w:rsidR="009E7FDA" w:rsidRPr="00E70587" w14:paraId="64FC3E98" w14:textId="77777777" w:rsidTr="00FF32A7">
        <w:tc>
          <w:tcPr>
            <w:tcW w:w="2160" w:type="pct"/>
            <w:vAlign w:val="center"/>
          </w:tcPr>
          <w:p w14:paraId="3CD908B2" w14:textId="24D4F4A5" w:rsidR="009E7FDA" w:rsidRPr="00E70587" w:rsidRDefault="009E7FDA" w:rsidP="009E7FD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Assets held for </w:t>
            </w:r>
            <w:r w:rsidR="00CD4973">
              <w:rPr>
                <w:rFonts w:ascii="Arial" w:hAnsi="Arial" w:cs="Arial"/>
                <w:sz w:val="20"/>
                <w:lang w:val="en-IN"/>
              </w:rPr>
              <w:t>sale</w:t>
            </w:r>
          </w:p>
        </w:tc>
        <w:tc>
          <w:tcPr>
            <w:tcW w:w="412" w:type="pct"/>
            <w:vAlign w:val="center"/>
          </w:tcPr>
          <w:p w14:paraId="6D2F6B5B" w14:textId="77777777" w:rsidR="009E7FDA" w:rsidRPr="00E70587" w:rsidRDefault="009E7FDA" w:rsidP="009E7FD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lang w:val="en-IN"/>
              </w:rPr>
              <w:t>21</w:t>
            </w:r>
          </w:p>
        </w:tc>
        <w:tc>
          <w:tcPr>
            <w:tcW w:w="765" w:type="pct"/>
            <w:tcBorders>
              <w:top w:val="nil"/>
              <w:bottom w:val="nil"/>
            </w:tcBorders>
            <w:vAlign w:val="bottom"/>
          </w:tcPr>
          <w:p w14:paraId="4F36705A" w14:textId="18BA25C8" w:rsidR="009E7FDA" w:rsidRPr="00E70587" w:rsidRDefault="009E7FDA" w:rsidP="009E7FDA">
            <w:pPr>
              <w:overflowPunct/>
              <w:spacing w:line="280" w:lineRule="exact"/>
              <w:jc w:val="right"/>
              <w:textAlignment w:val="auto"/>
              <w:rPr>
                <w:rFonts w:ascii="Arial" w:hAnsi="Arial" w:cs="Arial"/>
                <w:sz w:val="20"/>
                <w:lang w:eastAsia="en-GB"/>
              </w:rPr>
            </w:pPr>
            <w:r w:rsidRPr="00E70587">
              <w:rPr>
                <w:rFonts w:ascii="Arial" w:hAnsi="Arial" w:cs="Arial"/>
                <w:color w:val="000000"/>
                <w:sz w:val="20"/>
              </w:rPr>
              <w:t xml:space="preserve"> </w:t>
            </w:r>
          </w:p>
        </w:tc>
        <w:tc>
          <w:tcPr>
            <w:tcW w:w="858" w:type="pct"/>
            <w:tcBorders>
              <w:top w:val="nil"/>
              <w:bottom w:val="single" w:sz="2" w:space="0" w:color="auto"/>
            </w:tcBorders>
            <w:vAlign w:val="bottom"/>
          </w:tcPr>
          <w:p w14:paraId="768114EB" w14:textId="43663272" w:rsidR="009E7FDA" w:rsidRPr="00E70587" w:rsidRDefault="009E7FDA" w:rsidP="009E7FDA">
            <w:pPr>
              <w:overflowPunct/>
              <w:spacing w:line="280" w:lineRule="exact"/>
              <w:jc w:val="right"/>
              <w:textAlignment w:val="auto"/>
              <w:rPr>
                <w:rFonts w:ascii="Arial" w:hAnsi="Arial" w:cs="Arial"/>
                <w:sz w:val="20"/>
                <w:lang w:eastAsia="en-GB"/>
              </w:rPr>
            </w:pPr>
            <w:r w:rsidRPr="00E70587">
              <w:rPr>
                <w:rFonts w:ascii="Arial" w:hAnsi="Arial" w:cs="Arial"/>
                <w:color w:val="000000"/>
                <w:sz w:val="20"/>
              </w:rPr>
              <w:t xml:space="preserve"> 24,397 </w:t>
            </w:r>
          </w:p>
        </w:tc>
        <w:tc>
          <w:tcPr>
            <w:tcW w:w="804" w:type="pct"/>
            <w:tcBorders>
              <w:top w:val="nil"/>
              <w:bottom w:val="single" w:sz="2" w:space="0" w:color="auto"/>
            </w:tcBorders>
            <w:vAlign w:val="bottom"/>
          </w:tcPr>
          <w:p w14:paraId="510C6E9C" w14:textId="44C35F32" w:rsidR="009E7FDA" w:rsidRPr="00E70587" w:rsidRDefault="008C6CAC" w:rsidP="009E7FDA">
            <w:pPr>
              <w:overflowPunct/>
              <w:spacing w:line="280" w:lineRule="exact"/>
              <w:jc w:val="right"/>
              <w:textAlignment w:val="auto"/>
              <w:rPr>
                <w:rFonts w:ascii="Arial" w:hAnsi="Arial" w:cs="Arial"/>
                <w:sz w:val="20"/>
                <w:lang w:eastAsia="en-GB"/>
              </w:rPr>
            </w:pPr>
            <w:r>
              <w:rPr>
                <w:rFonts w:ascii="Arial" w:hAnsi="Arial" w:cs="Arial"/>
                <w:sz w:val="20"/>
                <w:lang w:eastAsia="en-GB"/>
              </w:rPr>
              <w:t>-</w:t>
            </w:r>
          </w:p>
        </w:tc>
      </w:tr>
      <w:tr w:rsidR="009E7FDA" w:rsidRPr="00E70587" w14:paraId="6B2A5214" w14:textId="77777777" w:rsidTr="00FF32A7">
        <w:tc>
          <w:tcPr>
            <w:tcW w:w="2160" w:type="pct"/>
            <w:tcBorders>
              <w:bottom w:val="nil"/>
            </w:tcBorders>
            <w:vAlign w:val="bottom"/>
          </w:tcPr>
          <w:p w14:paraId="3BFA4AF3" w14:textId="77777777" w:rsidR="009E7FDA" w:rsidRPr="00E70587" w:rsidRDefault="009E7FDA" w:rsidP="009E7FDA">
            <w:pPr>
              <w:pStyle w:val="tabletxthd"/>
              <w:spacing w:before="0" w:line="280" w:lineRule="exact"/>
              <w:rPr>
                <w:rFonts w:ascii="Arial" w:hAnsi="Arial" w:cs="Arial"/>
                <w:b w:val="0"/>
                <w:noProof w:val="0"/>
                <w:color w:val="auto"/>
                <w:sz w:val="20"/>
              </w:rPr>
            </w:pPr>
          </w:p>
        </w:tc>
        <w:tc>
          <w:tcPr>
            <w:tcW w:w="412" w:type="pct"/>
            <w:tcBorders>
              <w:bottom w:val="nil"/>
            </w:tcBorders>
            <w:vAlign w:val="center"/>
          </w:tcPr>
          <w:p w14:paraId="0C1A1E2D" w14:textId="77777777" w:rsidR="009E7FDA" w:rsidRPr="00E70587" w:rsidRDefault="009E7FDA" w:rsidP="009E7FDA">
            <w:pPr>
              <w:pStyle w:val="tablenotes"/>
              <w:spacing w:before="0" w:line="280" w:lineRule="exact"/>
              <w:jc w:val="center"/>
              <w:rPr>
                <w:rFonts w:ascii="Arial" w:hAnsi="Arial" w:cs="Arial"/>
                <w:color w:val="auto"/>
                <w:sz w:val="20"/>
              </w:rPr>
            </w:pPr>
          </w:p>
        </w:tc>
        <w:tc>
          <w:tcPr>
            <w:tcW w:w="765" w:type="pct"/>
            <w:tcBorders>
              <w:top w:val="nil"/>
              <w:bottom w:val="nil"/>
            </w:tcBorders>
            <w:tcMar>
              <w:left w:w="108" w:type="dxa"/>
            </w:tcMar>
          </w:tcPr>
          <w:p w14:paraId="61046C47" w14:textId="38482C6B" w:rsidR="009E7FDA" w:rsidRPr="00E70587" w:rsidRDefault="009E7FDA" w:rsidP="009E7FDA">
            <w:pPr>
              <w:overflowPunct/>
              <w:spacing w:line="280" w:lineRule="exact"/>
              <w:jc w:val="right"/>
              <w:textAlignment w:val="auto"/>
              <w:rPr>
                <w:rFonts w:ascii="Arial" w:hAnsi="Arial" w:cs="Arial"/>
                <w:b/>
                <w:sz w:val="20"/>
                <w:lang w:eastAsia="en-GB"/>
              </w:rPr>
            </w:pPr>
            <w:r w:rsidRPr="00E70587">
              <w:rPr>
                <w:rFonts w:ascii="Arial" w:hAnsi="Arial" w:cs="Arial"/>
                <w:color w:val="000000"/>
                <w:sz w:val="20"/>
              </w:rPr>
              <w:t xml:space="preserve">  </w:t>
            </w:r>
          </w:p>
        </w:tc>
        <w:tc>
          <w:tcPr>
            <w:tcW w:w="858" w:type="pct"/>
            <w:tcBorders>
              <w:top w:val="single" w:sz="2" w:space="0" w:color="auto"/>
              <w:bottom w:val="single" w:sz="2" w:space="0" w:color="auto"/>
            </w:tcBorders>
            <w:tcMar>
              <w:left w:w="108" w:type="dxa"/>
            </w:tcMar>
          </w:tcPr>
          <w:p w14:paraId="01BAC806" w14:textId="43DCD8A4" w:rsidR="009E7FDA" w:rsidRPr="00E70587" w:rsidRDefault="009E7FDA" w:rsidP="009E7FDA">
            <w:pPr>
              <w:overflowPunct/>
              <w:spacing w:line="280" w:lineRule="exact"/>
              <w:jc w:val="right"/>
              <w:textAlignment w:val="auto"/>
              <w:rPr>
                <w:rFonts w:ascii="Arial" w:hAnsi="Arial" w:cs="Arial"/>
                <w:b/>
                <w:sz w:val="20"/>
                <w:lang w:eastAsia="en-GB"/>
              </w:rPr>
            </w:pPr>
            <w:r w:rsidRPr="00E70587">
              <w:rPr>
                <w:rFonts w:ascii="Arial" w:hAnsi="Arial" w:cs="Arial"/>
                <w:color w:val="000000"/>
                <w:sz w:val="20"/>
              </w:rPr>
              <w:t xml:space="preserve"> 1,4</w:t>
            </w:r>
            <w:r w:rsidR="008711A3">
              <w:rPr>
                <w:rFonts w:ascii="Arial" w:hAnsi="Arial" w:cs="Arial"/>
                <w:color w:val="000000"/>
                <w:sz w:val="20"/>
              </w:rPr>
              <w:t>5</w:t>
            </w:r>
            <w:r w:rsidRPr="00E70587">
              <w:rPr>
                <w:rFonts w:ascii="Arial" w:hAnsi="Arial" w:cs="Arial"/>
                <w:color w:val="000000"/>
                <w:sz w:val="20"/>
              </w:rPr>
              <w:t>,</w:t>
            </w:r>
            <w:r w:rsidR="008711A3">
              <w:rPr>
                <w:rFonts w:ascii="Arial" w:hAnsi="Arial" w:cs="Arial"/>
                <w:color w:val="000000"/>
                <w:sz w:val="20"/>
              </w:rPr>
              <w:t>899</w:t>
            </w:r>
            <w:r w:rsidRPr="00E70587">
              <w:rPr>
                <w:rFonts w:ascii="Arial" w:hAnsi="Arial" w:cs="Arial"/>
                <w:color w:val="000000"/>
                <w:sz w:val="20"/>
              </w:rPr>
              <w:t xml:space="preserve"> </w:t>
            </w:r>
          </w:p>
        </w:tc>
        <w:tc>
          <w:tcPr>
            <w:tcW w:w="804" w:type="pct"/>
            <w:tcBorders>
              <w:top w:val="single" w:sz="2" w:space="0" w:color="auto"/>
              <w:bottom w:val="single" w:sz="2" w:space="0" w:color="auto"/>
            </w:tcBorders>
            <w:vAlign w:val="center"/>
          </w:tcPr>
          <w:p w14:paraId="759834B1" w14:textId="0A6FE845" w:rsidR="009E7FDA" w:rsidRPr="00E70587" w:rsidRDefault="009E7FDA" w:rsidP="009E7FDA">
            <w:pPr>
              <w:overflowPunct/>
              <w:spacing w:line="280" w:lineRule="exact"/>
              <w:jc w:val="right"/>
              <w:textAlignment w:val="auto"/>
              <w:rPr>
                <w:rFonts w:ascii="Arial" w:hAnsi="Arial" w:cs="Arial"/>
                <w:b/>
                <w:sz w:val="20"/>
                <w:lang w:eastAsia="en-GB"/>
              </w:rPr>
            </w:pPr>
            <w:r w:rsidRPr="00E70587">
              <w:rPr>
                <w:rFonts w:ascii="Arial" w:hAnsi="Arial" w:cs="Arial"/>
                <w:b/>
                <w:color w:val="000000"/>
                <w:sz w:val="20"/>
              </w:rPr>
              <w:t>1,1</w:t>
            </w:r>
            <w:r w:rsidR="008C6CAC">
              <w:rPr>
                <w:rFonts w:ascii="Arial" w:hAnsi="Arial" w:cs="Arial"/>
                <w:b/>
                <w:color w:val="000000"/>
                <w:sz w:val="20"/>
              </w:rPr>
              <w:t>1</w:t>
            </w:r>
            <w:r w:rsidRPr="00E70587">
              <w:rPr>
                <w:rFonts w:ascii="Arial" w:hAnsi="Arial" w:cs="Arial"/>
                <w:b/>
                <w:color w:val="000000"/>
                <w:sz w:val="20"/>
              </w:rPr>
              <w:t>,</w:t>
            </w:r>
            <w:r w:rsidR="008C6CAC">
              <w:rPr>
                <w:rFonts w:ascii="Arial" w:hAnsi="Arial" w:cs="Arial"/>
                <w:b/>
                <w:color w:val="000000"/>
                <w:sz w:val="20"/>
              </w:rPr>
              <w:t>236</w:t>
            </w:r>
          </w:p>
        </w:tc>
      </w:tr>
      <w:tr w:rsidR="009E7FDA" w:rsidRPr="00E70587" w14:paraId="575E8002" w14:textId="77777777" w:rsidTr="00FF32A7">
        <w:tc>
          <w:tcPr>
            <w:tcW w:w="2160" w:type="pct"/>
            <w:tcBorders>
              <w:bottom w:val="nil"/>
            </w:tcBorders>
            <w:shd w:val="clear" w:color="auto" w:fill="auto"/>
            <w:vAlign w:val="center"/>
          </w:tcPr>
          <w:p w14:paraId="519BA9B3" w14:textId="77777777" w:rsidR="009E7FDA" w:rsidRPr="00E70587" w:rsidRDefault="009E7FDA" w:rsidP="009E7FDA">
            <w:pPr>
              <w:pStyle w:val="tabletext"/>
              <w:spacing w:line="280" w:lineRule="exact"/>
              <w:rPr>
                <w:rFonts w:ascii="Arial" w:hAnsi="Arial" w:cs="Arial"/>
                <w:b/>
                <w:sz w:val="20"/>
                <w:lang w:val="en-IN"/>
              </w:rPr>
            </w:pPr>
            <w:r w:rsidRPr="00E70587">
              <w:rPr>
                <w:rFonts w:ascii="Arial" w:hAnsi="Arial" w:cs="Arial"/>
                <w:b/>
                <w:sz w:val="20"/>
                <w:lang w:val="en-IN"/>
              </w:rPr>
              <w:t>TOTAL ASSETS</w:t>
            </w:r>
          </w:p>
        </w:tc>
        <w:tc>
          <w:tcPr>
            <w:tcW w:w="412" w:type="pct"/>
            <w:tcBorders>
              <w:bottom w:val="nil"/>
            </w:tcBorders>
            <w:shd w:val="clear" w:color="auto" w:fill="auto"/>
            <w:vAlign w:val="center"/>
          </w:tcPr>
          <w:p w14:paraId="5BCA092C" w14:textId="77777777" w:rsidR="009E7FDA" w:rsidRPr="00E70587" w:rsidRDefault="009E7FDA" w:rsidP="009E7FDA">
            <w:pPr>
              <w:pStyle w:val="tabletext"/>
              <w:spacing w:line="280" w:lineRule="exact"/>
              <w:jc w:val="center"/>
              <w:rPr>
                <w:rFonts w:ascii="Arial" w:hAnsi="Arial" w:cs="Arial"/>
                <w:sz w:val="20"/>
                <w:lang w:val="en-IN"/>
              </w:rPr>
            </w:pPr>
          </w:p>
        </w:tc>
        <w:tc>
          <w:tcPr>
            <w:tcW w:w="765" w:type="pct"/>
            <w:tcBorders>
              <w:top w:val="nil"/>
              <w:bottom w:val="nil"/>
            </w:tcBorders>
            <w:shd w:val="clear" w:color="auto" w:fill="auto"/>
            <w:tcMar>
              <w:left w:w="108" w:type="dxa"/>
            </w:tcMar>
          </w:tcPr>
          <w:p w14:paraId="70CED252" w14:textId="022E46A2" w:rsidR="009E7FDA" w:rsidRPr="00E70587" w:rsidRDefault="009E7FDA" w:rsidP="009E7FDA">
            <w:pPr>
              <w:overflowPunct/>
              <w:spacing w:line="280" w:lineRule="exact"/>
              <w:jc w:val="right"/>
              <w:textAlignment w:val="auto"/>
              <w:rPr>
                <w:rFonts w:ascii="Arial" w:hAnsi="Arial" w:cs="Arial"/>
                <w:b/>
                <w:bCs/>
                <w:sz w:val="20"/>
                <w:lang w:eastAsia="en-GB"/>
              </w:rPr>
            </w:pPr>
            <w:r w:rsidRPr="00E70587">
              <w:rPr>
                <w:rFonts w:ascii="Arial" w:hAnsi="Arial" w:cs="Arial"/>
                <w:b/>
                <w:bCs/>
                <w:color w:val="000000"/>
                <w:sz w:val="20"/>
              </w:rPr>
              <w:t xml:space="preserve">  </w:t>
            </w:r>
          </w:p>
        </w:tc>
        <w:tc>
          <w:tcPr>
            <w:tcW w:w="858" w:type="pct"/>
            <w:tcBorders>
              <w:top w:val="single" w:sz="2" w:space="0" w:color="auto"/>
              <w:bottom w:val="double" w:sz="4" w:space="0" w:color="auto"/>
            </w:tcBorders>
            <w:shd w:val="clear" w:color="auto" w:fill="auto"/>
            <w:tcMar>
              <w:left w:w="108" w:type="dxa"/>
            </w:tcMar>
          </w:tcPr>
          <w:p w14:paraId="49677EDD" w14:textId="445864BB" w:rsidR="009E7FDA" w:rsidRPr="00E70587" w:rsidRDefault="009E7FDA" w:rsidP="009E7FDA">
            <w:pPr>
              <w:overflowPunct/>
              <w:spacing w:line="280" w:lineRule="exact"/>
              <w:jc w:val="right"/>
              <w:textAlignment w:val="auto"/>
              <w:rPr>
                <w:rFonts w:ascii="Arial" w:hAnsi="Arial" w:cs="Arial"/>
                <w:b/>
                <w:bCs/>
                <w:sz w:val="20"/>
                <w:lang w:eastAsia="en-GB"/>
              </w:rPr>
            </w:pPr>
            <w:r w:rsidRPr="00E70587">
              <w:rPr>
                <w:rFonts w:ascii="Arial" w:hAnsi="Arial" w:cs="Arial"/>
                <w:b/>
                <w:bCs/>
                <w:color w:val="000000"/>
                <w:sz w:val="20"/>
              </w:rPr>
              <w:t xml:space="preserve"> 2,</w:t>
            </w:r>
            <w:r w:rsidR="008711A3">
              <w:rPr>
                <w:rFonts w:ascii="Arial" w:hAnsi="Arial" w:cs="Arial"/>
                <w:b/>
                <w:bCs/>
                <w:color w:val="000000"/>
                <w:sz w:val="20"/>
              </w:rPr>
              <w:t>52</w:t>
            </w:r>
            <w:r w:rsidRPr="00E70587">
              <w:rPr>
                <w:rFonts w:ascii="Arial" w:hAnsi="Arial" w:cs="Arial"/>
                <w:b/>
                <w:bCs/>
                <w:color w:val="000000"/>
                <w:sz w:val="20"/>
              </w:rPr>
              <w:t>,</w:t>
            </w:r>
            <w:r w:rsidR="008711A3">
              <w:rPr>
                <w:rFonts w:ascii="Arial" w:hAnsi="Arial" w:cs="Arial"/>
                <w:b/>
                <w:bCs/>
                <w:color w:val="000000"/>
                <w:sz w:val="20"/>
              </w:rPr>
              <w:t>530</w:t>
            </w:r>
            <w:r w:rsidRPr="00E70587">
              <w:rPr>
                <w:rFonts w:ascii="Arial" w:hAnsi="Arial" w:cs="Arial"/>
                <w:b/>
                <w:bCs/>
                <w:color w:val="000000"/>
                <w:sz w:val="20"/>
              </w:rPr>
              <w:t xml:space="preserve"> </w:t>
            </w:r>
          </w:p>
        </w:tc>
        <w:tc>
          <w:tcPr>
            <w:tcW w:w="804" w:type="pct"/>
            <w:tcBorders>
              <w:top w:val="single" w:sz="2" w:space="0" w:color="auto"/>
              <w:bottom w:val="double" w:sz="4" w:space="0" w:color="auto"/>
            </w:tcBorders>
            <w:shd w:val="clear" w:color="auto" w:fill="auto"/>
            <w:vAlign w:val="center"/>
          </w:tcPr>
          <w:p w14:paraId="227AAD7E" w14:textId="0E1D3667" w:rsidR="009E7FDA" w:rsidRPr="00E70587" w:rsidRDefault="009E7FDA" w:rsidP="009E7FDA">
            <w:pPr>
              <w:overflowPunct/>
              <w:spacing w:line="280" w:lineRule="exact"/>
              <w:jc w:val="right"/>
              <w:textAlignment w:val="auto"/>
              <w:rPr>
                <w:rFonts w:ascii="Arial" w:hAnsi="Arial" w:cs="Arial"/>
                <w:b/>
                <w:bCs/>
                <w:sz w:val="20"/>
                <w:lang w:eastAsia="en-GB"/>
              </w:rPr>
            </w:pPr>
            <w:r w:rsidRPr="00E70587">
              <w:rPr>
                <w:rFonts w:ascii="Arial" w:hAnsi="Arial" w:cs="Arial"/>
                <w:b/>
                <w:bCs/>
                <w:color w:val="000000"/>
                <w:sz w:val="20"/>
              </w:rPr>
              <w:t>1,8</w:t>
            </w:r>
            <w:r w:rsidR="00C9579B">
              <w:rPr>
                <w:rFonts w:ascii="Arial" w:hAnsi="Arial" w:cs="Arial"/>
                <w:b/>
                <w:bCs/>
                <w:color w:val="000000"/>
                <w:sz w:val="20"/>
              </w:rPr>
              <w:t>8</w:t>
            </w:r>
            <w:r w:rsidRPr="00E70587">
              <w:rPr>
                <w:rFonts w:ascii="Arial" w:hAnsi="Arial" w:cs="Arial"/>
                <w:b/>
                <w:bCs/>
                <w:color w:val="000000"/>
                <w:sz w:val="20"/>
              </w:rPr>
              <w:t>,</w:t>
            </w:r>
            <w:r w:rsidR="00C9579B">
              <w:rPr>
                <w:rFonts w:ascii="Arial" w:hAnsi="Arial" w:cs="Arial"/>
                <w:b/>
                <w:bCs/>
                <w:color w:val="000000"/>
                <w:sz w:val="20"/>
              </w:rPr>
              <w:t>995</w:t>
            </w:r>
          </w:p>
        </w:tc>
      </w:tr>
    </w:tbl>
    <w:p w14:paraId="5F61A045" w14:textId="77777777" w:rsidR="008331A7" w:rsidRPr="00E70587" w:rsidRDefault="008331A7">
      <w:pPr>
        <w:rPr>
          <w:rFonts w:ascii="Arial" w:hAnsi="Arial" w:cs="Arial"/>
          <w:sz w:val="20"/>
        </w:rPr>
      </w:pPr>
    </w:p>
    <w:tbl>
      <w:tblPr>
        <w:tblW w:w="5000" w:type="pct"/>
        <w:tblBorders>
          <w:bottom w:val="single" w:sz="8" w:space="0" w:color="auto"/>
        </w:tblBorders>
        <w:tblLook w:val="01E0" w:firstRow="1" w:lastRow="1" w:firstColumn="1" w:lastColumn="1" w:noHBand="0" w:noVBand="0"/>
      </w:tblPr>
      <w:tblGrid>
        <w:gridCol w:w="3910"/>
        <w:gridCol w:w="772"/>
        <w:gridCol w:w="1297"/>
        <w:gridCol w:w="1606"/>
        <w:gridCol w:w="1775"/>
      </w:tblGrid>
      <w:tr w:rsidR="007F5328" w:rsidRPr="00E70587" w14:paraId="4B38C6CD" w14:textId="77777777" w:rsidTr="00EE4FD0">
        <w:tc>
          <w:tcPr>
            <w:tcW w:w="2088" w:type="pct"/>
            <w:tcBorders>
              <w:bottom w:val="nil"/>
            </w:tcBorders>
            <w:shd w:val="clear" w:color="auto" w:fill="auto"/>
            <w:vAlign w:val="bottom"/>
          </w:tcPr>
          <w:p w14:paraId="3F4E6536" w14:textId="77777777" w:rsidR="007F5328" w:rsidRPr="00E70587" w:rsidRDefault="007F5328" w:rsidP="007F5328">
            <w:pPr>
              <w:pStyle w:val="tabletxthd"/>
              <w:rPr>
                <w:rFonts w:ascii="Arial" w:hAnsi="Arial" w:cs="Arial"/>
                <w:noProof w:val="0"/>
                <w:color w:val="auto"/>
                <w:sz w:val="20"/>
              </w:rPr>
            </w:pPr>
          </w:p>
        </w:tc>
        <w:tc>
          <w:tcPr>
            <w:tcW w:w="412" w:type="pct"/>
            <w:tcBorders>
              <w:bottom w:val="nil"/>
            </w:tcBorders>
            <w:shd w:val="clear" w:color="auto" w:fill="auto"/>
            <w:vAlign w:val="center"/>
          </w:tcPr>
          <w:p w14:paraId="3D8DA2E8" w14:textId="77777777" w:rsidR="007F5328" w:rsidRPr="00E70587" w:rsidRDefault="007F5328" w:rsidP="007F5328">
            <w:pPr>
              <w:pStyle w:val="tablenotes"/>
              <w:jc w:val="center"/>
              <w:rPr>
                <w:rFonts w:ascii="Arial" w:hAnsi="Arial" w:cs="Arial"/>
                <w:color w:val="auto"/>
                <w:sz w:val="20"/>
              </w:rPr>
            </w:pPr>
          </w:p>
        </w:tc>
        <w:tc>
          <w:tcPr>
            <w:tcW w:w="693" w:type="pct"/>
            <w:tcBorders>
              <w:bottom w:val="nil"/>
            </w:tcBorders>
            <w:shd w:val="clear" w:color="auto" w:fill="auto"/>
            <w:vAlign w:val="center"/>
          </w:tcPr>
          <w:p w14:paraId="4EEAF715" w14:textId="0FC853CF" w:rsidR="007F5328" w:rsidRPr="00E70587" w:rsidRDefault="007F5328" w:rsidP="007F5328">
            <w:pPr>
              <w:pStyle w:val="Tablecolumnheading"/>
              <w:spacing w:line="280" w:lineRule="exact"/>
              <w:rPr>
                <w:rFonts w:ascii="Arial" w:hAnsi="Arial"/>
                <w:color w:val="auto"/>
                <w:sz w:val="20"/>
                <w:szCs w:val="20"/>
                <w:lang w:val="en-IN"/>
              </w:rPr>
            </w:pPr>
          </w:p>
        </w:tc>
        <w:tc>
          <w:tcPr>
            <w:tcW w:w="858" w:type="pct"/>
            <w:tcBorders>
              <w:bottom w:val="single" w:sz="4" w:space="0" w:color="auto"/>
            </w:tcBorders>
            <w:shd w:val="clear" w:color="auto" w:fill="auto"/>
            <w:vAlign w:val="center"/>
          </w:tcPr>
          <w:p w14:paraId="1BB2E23B" w14:textId="77777777" w:rsidR="007F5328" w:rsidRPr="00E70587" w:rsidRDefault="007F5328" w:rsidP="007F532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As at </w:t>
            </w:r>
          </w:p>
          <w:p w14:paraId="4A25A62D" w14:textId="77777777" w:rsidR="00261AF4" w:rsidRDefault="007F5328" w:rsidP="007F532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p>
          <w:p w14:paraId="063AEF4E" w14:textId="1B147844" w:rsidR="007F5328" w:rsidRPr="00E70587" w:rsidRDefault="007F5328" w:rsidP="007F532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20</w:t>
            </w:r>
            <w:r w:rsidR="00261AF4">
              <w:rPr>
                <w:rFonts w:ascii="Arial" w:hAnsi="Arial"/>
                <w:color w:val="auto"/>
                <w:sz w:val="20"/>
                <w:szCs w:val="20"/>
                <w:lang w:val="en-IN"/>
              </w:rPr>
              <w:t>21</w:t>
            </w:r>
          </w:p>
        </w:tc>
        <w:tc>
          <w:tcPr>
            <w:tcW w:w="948" w:type="pct"/>
            <w:tcBorders>
              <w:bottom w:val="single" w:sz="4" w:space="0" w:color="auto"/>
              <w:right w:val="nil"/>
            </w:tcBorders>
            <w:shd w:val="clear" w:color="auto" w:fill="auto"/>
            <w:vAlign w:val="center"/>
          </w:tcPr>
          <w:p w14:paraId="59FAB524" w14:textId="77777777" w:rsidR="007F5328" w:rsidRPr="00E70587" w:rsidRDefault="007F5328" w:rsidP="007F532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As at </w:t>
            </w:r>
          </w:p>
          <w:p w14:paraId="2AF9C17E" w14:textId="77777777" w:rsidR="00261AF4" w:rsidRDefault="007F5328" w:rsidP="007F532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p>
          <w:p w14:paraId="1DFB42A7" w14:textId="7B569A5F" w:rsidR="007F5328" w:rsidRPr="00E70587" w:rsidRDefault="007F5328" w:rsidP="007F532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20</w:t>
            </w:r>
            <w:r w:rsidR="00261AF4">
              <w:rPr>
                <w:rFonts w:ascii="Arial" w:hAnsi="Arial"/>
                <w:color w:val="auto"/>
                <w:sz w:val="20"/>
                <w:szCs w:val="20"/>
                <w:lang w:val="en-IN"/>
              </w:rPr>
              <w:t>20</w:t>
            </w:r>
            <w:r w:rsidRPr="00E70587">
              <w:rPr>
                <w:rFonts w:ascii="Arial" w:hAnsi="Arial"/>
                <w:color w:val="auto"/>
                <w:sz w:val="20"/>
                <w:szCs w:val="20"/>
                <w:lang w:val="en-IN"/>
              </w:rPr>
              <w:t xml:space="preserve"> </w:t>
            </w:r>
          </w:p>
        </w:tc>
      </w:tr>
      <w:tr w:rsidR="007F5328" w:rsidRPr="00E70587" w14:paraId="61229651" w14:textId="77777777" w:rsidTr="00EE4FD0">
        <w:tc>
          <w:tcPr>
            <w:tcW w:w="2088" w:type="pct"/>
            <w:tcBorders>
              <w:bottom w:val="nil"/>
            </w:tcBorders>
            <w:shd w:val="clear" w:color="auto" w:fill="auto"/>
            <w:vAlign w:val="bottom"/>
          </w:tcPr>
          <w:p w14:paraId="5C2F80E9" w14:textId="77777777" w:rsidR="007F5328" w:rsidRPr="00E70587" w:rsidRDefault="007F5328" w:rsidP="007F5328">
            <w:pPr>
              <w:pStyle w:val="tabletxthd"/>
              <w:rPr>
                <w:rFonts w:ascii="Arial" w:hAnsi="Arial" w:cs="Arial"/>
                <w:noProof w:val="0"/>
                <w:color w:val="auto"/>
                <w:sz w:val="20"/>
              </w:rPr>
            </w:pPr>
          </w:p>
        </w:tc>
        <w:tc>
          <w:tcPr>
            <w:tcW w:w="412" w:type="pct"/>
            <w:tcBorders>
              <w:bottom w:val="nil"/>
            </w:tcBorders>
            <w:shd w:val="clear" w:color="auto" w:fill="auto"/>
            <w:vAlign w:val="center"/>
          </w:tcPr>
          <w:p w14:paraId="25714DB4" w14:textId="77777777" w:rsidR="007F5328" w:rsidRPr="00E70587" w:rsidRDefault="007F5328" w:rsidP="007F5328">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Notes</w:t>
            </w:r>
          </w:p>
        </w:tc>
        <w:tc>
          <w:tcPr>
            <w:tcW w:w="693" w:type="pct"/>
            <w:tcBorders>
              <w:top w:val="nil"/>
              <w:bottom w:val="nil"/>
            </w:tcBorders>
            <w:shd w:val="clear" w:color="auto" w:fill="auto"/>
            <w:vAlign w:val="center"/>
          </w:tcPr>
          <w:p w14:paraId="06BEAAD1" w14:textId="446D2E44" w:rsidR="007F5328" w:rsidRPr="00E70587" w:rsidRDefault="007F5328" w:rsidP="007F5328">
            <w:pPr>
              <w:pStyle w:val="Tablecolumnheading"/>
              <w:spacing w:line="280" w:lineRule="exact"/>
              <w:rPr>
                <w:rFonts w:ascii="Arial" w:hAnsi="Arial"/>
                <w:color w:val="auto"/>
                <w:sz w:val="20"/>
                <w:szCs w:val="20"/>
                <w:lang w:val="en-IN"/>
              </w:rPr>
            </w:pPr>
          </w:p>
        </w:tc>
        <w:tc>
          <w:tcPr>
            <w:tcW w:w="858" w:type="pct"/>
            <w:tcBorders>
              <w:top w:val="single" w:sz="4" w:space="0" w:color="auto"/>
              <w:bottom w:val="nil"/>
            </w:tcBorders>
            <w:shd w:val="clear" w:color="auto" w:fill="auto"/>
            <w:vAlign w:val="center"/>
          </w:tcPr>
          <w:p w14:paraId="5BABBEC9" w14:textId="2B94B501" w:rsidR="007F5328" w:rsidRPr="00E70587" w:rsidRDefault="007F5328" w:rsidP="007F532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w:t>
            </w:r>
            <w:r w:rsidR="008B3529">
              <w:rPr>
                <w:rFonts w:ascii="Arial" w:hAnsi="Arial"/>
                <w:color w:val="auto"/>
                <w:sz w:val="20"/>
                <w:szCs w:val="20"/>
                <w:lang w:val="en-IN"/>
              </w:rPr>
              <w:t>c</w:t>
            </w:r>
            <w:r w:rsidRPr="00E70587">
              <w:rPr>
                <w:rFonts w:ascii="Arial" w:hAnsi="Arial"/>
                <w:color w:val="auto"/>
                <w:sz w:val="20"/>
                <w:szCs w:val="20"/>
                <w:lang w:val="en-IN"/>
              </w:rPr>
              <w:t>s</w:t>
            </w:r>
          </w:p>
        </w:tc>
        <w:tc>
          <w:tcPr>
            <w:tcW w:w="948" w:type="pct"/>
            <w:tcBorders>
              <w:top w:val="single" w:sz="4" w:space="0" w:color="auto"/>
              <w:bottom w:val="nil"/>
              <w:right w:val="nil"/>
            </w:tcBorders>
            <w:shd w:val="clear" w:color="auto" w:fill="auto"/>
            <w:vAlign w:val="center"/>
          </w:tcPr>
          <w:p w14:paraId="66C2FAF6" w14:textId="02F0BA17" w:rsidR="007F5328" w:rsidRPr="00E70587" w:rsidRDefault="007F5328" w:rsidP="007F532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w:t>
            </w:r>
            <w:r w:rsidR="008B3529">
              <w:rPr>
                <w:rFonts w:ascii="Arial" w:hAnsi="Arial"/>
                <w:color w:val="auto"/>
                <w:sz w:val="20"/>
                <w:szCs w:val="20"/>
                <w:lang w:val="en-IN"/>
              </w:rPr>
              <w:t>c</w:t>
            </w:r>
            <w:r w:rsidRPr="00E70587">
              <w:rPr>
                <w:rFonts w:ascii="Arial" w:hAnsi="Arial"/>
                <w:color w:val="auto"/>
                <w:sz w:val="20"/>
                <w:szCs w:val="20"/>
                <w:lang w:val="en-IN"/>
              </w:rPr>
              <w:t>s</w:t>
            </w:r>
          </w:p>
        </w:tc>
      </w:tr>
      <w:tr w:rsidR="007F5328" w:rsidRPr="00E70587" w14:paraId="5F65D973" w14:textId="77777777" w:rsidTr="00EE4FD0">
        <w:tc>
          <w:tcPr>
            <w:tcW w:w="2088" w:type="pct"/>
            <w:tcBorders>
              <w:bottom w:val="nil"/>
            </w:tcBorders>
            <w:shd w:val="clear" w:color="auto" w:fill="auto"/>
            <w:vAlign w:val="bottom"/>
          </w:tcPr>
          <w:p w14:paraId="06ED914C" w14:textId="77777777" w:rsidR="007F5328" w:rsidRPr="00E70587" w:rsidRDefault="007F5328" w:rsidP="007F5328">
            <w:pPr>
              <w:pStyle w:val="tabletxthd"/>
              <w:spacing w:before="0" w:line="280" w:lineRule="exact"/>
              <w:rPr>
                <w:rFonts w:ascii="Arial" w:hAnsi="Arial" w:cs="Arial"/>
                <w:noProof w:val="0"/>
                <w:color w:val="auto"/>
                <w:sz w:val="20"/>
              </w:rPr>
            </w:pPr>
            <w:r w:rsidRPr="00E70587">
              <w:rPr>
                <w:rFonts w:ascii="Arial" w:hAnsi="Arial" w:cs="Arial"/>
                <w:noProof w:val="0"/>
                <w:color w:val="auto"/>
                <w:sz w:val="20"/>
              </w:rPr>
              <w:t>EQUITY AND LIABILITIES</w:t>
            </w:r>
          </w:p>
        </w:tc>
        <w:tc>
          <w:tcPr>
            <w:tcW w:w="412" w:type="pct"/>
            <w:tcBorders>
              <w:bottom w:val="nil"/>
            </w:tcBorders>
            <w:shd w:val="clear" w:color="auto" w:fill="auto"/>
            <w:vAlign w:val="center"/>
          </w:tcPr>
          <w:p w14:paraId="62EBCB5A" w14:textId="77777777" w:rsidR="007F5328" w:rsidRPr="00E70587" w:rsidRDefault="007F5328" w:rsidP="007F5328">
            <w:pPr>
              <w:pStyle w:val="tablenotes"/>
              <w:spacing w:before="0" w:line="280" w:lineRule="exact"/>
              <w:jc w:val="center"/>
              <w:rPr>
                <w:rFonts w:ascii="Arial" w:hAnsi="Arial" w:cs="Arial"/>
                <w:color w:val="auto"/>
                <w:sz w:val="20"/>
              </w:rPr>
            </w:pPr>
          </w:p>
        </w:tc>
        <w:tc>
          <w:tcPr>
            <w:tcW w:w="693" w:type="pct"/>
            <w:tcBorders>
              <w:bottom w:val="nil"/>
            </w:tcBorders>
            <w:shd w:val="clear" w:color="auto" w:fill="auto"/>
            <w:vAlign w:val="center"/>
          </w:tcPr>
          <w:p w14:paraId="0AE5251F" w14:textId="77777777" w:rsidR="007F5328" w:rsidRPr="00E70587" w:rsidRDefault="007F5328" w:rsidP="007F5328">
            <w:pPr>
              <w:pStyle w:val="tabletxts"/>
              <w:tabs>
                <w:tab w:val="clear" w:pos="778"/>
              </w:tabs>
              <w:spacing w:before="0" w:line="280" w:lineRule="exact"/>
              <w:jc w:val="right"/>
              <w:rPr>
                <w:rFonts w:ascii="Arial" w:hAnsi="Arial" w:cs="Arial"/>
                <w:noProof w:val="0"/>
                <w:color w:val="auto"/>
                <w:sz w:val="20"/>
              </w:rPr>
            </w:pPr>
          </w:p>
        </w:tc>
        <w:tc>
          <w:tcPr>
            <w:tcW w:w="858" w:type="pct"/>
            <w:tcBorders>
              <w:bottom w:val="nil"/>
            </w:tcBorders>
            <w:shd w:val="clear" w:color="auto" w:fill="auto"/>
            <w:vAlign w:val="center"/>
          </w:tcPr>
          <w:p w14:paraId="13CDDF8B" w14:textId="77777777" w:rsidR="007F5328" w:rsidRPr="00E70587" w:rsidRDefault="007F5328" w:rsidP="007F5328">
            <w:pPr>
              <w:pStyle w:val="tabletxts"/>
              <w:tabs>
                <w:tab w:val="clear" w:pos="778"/>
              </w:tabs>
              <w:spacing w:before="0" w:line="280" w:lineRule="exact"/>
              <w:jc w:val="right"/>
              <w:rPr>
                <w:rFonts w:ascii="Arial" w:hAnsi="Arial" w:cs="Arial"/>
                <w:noProof w:val="0"/>
                <w:color w:val="auto"/>
                <w:sz w:val="20"/>
              </w:rPr>
            </w:pPr>
          </w:p>
        </w:tc>
        <w:tc>
          <w:tcPr>
            <w:tcW w:w="948" w:type="pct"/>
            <w:tcBorders>
              <w:bottom w:val="nil"/>
              <w:right w:val="nil"/>
            </w:tcBorders>
            <w:shd w:val="clear" w:color="auto" w:fill="auto"/>
            <w:vAlign w:val="center"/>
          </w:tcPr>
          <w:p w14:paraId="5C05A3B2" w14:textId="77777777" w:rsidR="007F5328" w:rsidRPr="00E70587" w:rsidRDefault="007F5328" w:rsidP="007F5328">
            <w:pPr>
              <w:pStyle w:val="tabletext"/>
              <w:spacing w:line="280" w:lineRule="exact"/>
              <w:ind w:left="367"/>
              <w:jc w:val="right"/>
              <w:rPr>
                <w:rFonts w:ascii="Arial" w:hAnsi="Arial" w:cs="Arial"/>
                <w:sz w:val="20"/>
                <w:lang w:val="en-IN"/>
              </w:rPr>
            </w:pPr>
          </w:p>
        </w:tc>
      </w:tr>
      <w:tr w:rsidR="007F5328" w:rsidRPr="00E70587" w14:paraId="2A42BD59" w14:textId="77777777" w:rsidTr="00EE4FD0">
        <w:tc>
          <w:tcPr>
            <w:tcW w:w="2088" w:type="pct"/>
            <w:tcBorders>
              <w:top w:val="nil"/>
            </w:tcBorders>
            <w:vAlign w:val="bottom"/>
          </w:tcPr>
          <w:p w14:paraId="6153FF4B" w14:textId="77777777" w:rsidR="007F5328" w:rsidRPr="00E70587" w:rsidRDefault="007F5328" w:rsidP="007F5328">
            <w:pPr>
              <w:pStyle w:val="tabletxtns"/>
              <w:spacing w:before="0" w:line="280" w:lineRule="exact"/>
              <w:rPr>
                <w:rFonts w:ascii="Arial" w:hAnsi="Arial" w:cs="Arial"/>
                <w:b/>
                <w:color w:val="auto"/>
                <w:sz w:val="20"/>
              </w:rPr>
            </w:pPr>
            <w:r w:rsidRPr="00E70587">
              <w:rPr>
                <w:rFonts w:ascii="Arial" w:hAnsi="Arial" w:cs="Arial"/>
                <w:b/>
                <w:color w:val="auto"/>
                <w:sz w:val="20"/>
              </w:rPr>
              <w:t>Equity</w:t>
            </w:r>
          </w:p>
        </w:tc>
        <w:tc>
          <w:tcPr>
            <w:tcW w:w="412" w:type="pct"/>
            <w:tcBorders>
              <w:top w:val="nil"/>
            </w:tcBorders>
            <w:vAlign w:val="center"/>
          </w:tcPr>
          <w:p w14:paraId="6E75DD60" w14:textId="77777777" w:rsidR="007F5328" w:rsidRPr="00E70587" w:rsidRDefault="007F5328" w:rsidP="007F5328">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693" w:type="pct"/>
            <w:tcBorders>
              <w:top w:val="nil"/>
            </w:tcBorders>
            <w:vAlign w:val="center"/>
          </w:tcPr>
          <w:p w14:paraId="3ABA92C1" w14:textId="77777777" w:rsidR="007F5328" w:rsidRPr="00E70587" w:rsidRDefault="007F5328" w:rsidP="007F5328">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858" w:type="pct"/>
            <w:tcBorders>
              <w:top w:val="nil"/>
            </w:tcBorders>
            <w:vAlign w:val="center"/>
          </w:tcPr>
          <w:p w14:paraId="229CB8BA" w14:textId="77777777" w:rsidR="007F5328" w:rsidRPr="00E70587" w:rsidRDefault="007F5328" w:rsidP="007F5328">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948" w:type="pct"/>
            <w:tcBorders>
              <w:top w:val="nil"/>
              <w:right w:val="nil"/>
            </w:tcBorders>
            <w:vAlign w:val="center"/>
          </w:tcPr>
          <w:p w14:paraId="71677D67" w14:textId="77777777" w:rsidR="007F5328" w:rsidRPr="00E70587" w:rsidRDefault="007F5328" w:rsidP="007F5328">
            <w:pPr>
              <w:pStyle w:val="tabletext"/>
              <w:spacing w:line="280" w:lineRule="exact"/>
              <w:ind w:left="367"/>
              <w:jc w:val="right"/>
              <w:rPr>
                <w:rFonts w:ascii="Arial" w:hAnsi="Arial" w:cs="Arial"/>
                <w:sz w:val="20"/>
                <w:lang w:val="en-IN"/>
              </w:rPr>
            </w:pPr>
          </w:p>
        </w:tc>
      </w:tr>
      <w:tr w:rsidR="007F5328" w:rsidRPr="00E70587" w14:paraId="21DB6A76" w14:textId="77777777" w:rsidTr="00EE4FD0">
        <w:tc>
          <w:tcPr>
            <w:tcW w:w="2088" w:type="pct"/>
            <w:vAlign w:val="bottom"/>
          </w:tcPr>
          <w:p w14:paraId="5D66CC95" w14:textId="77777777" w:rsidR="007F5328" w:rsidRPr="00E70587" w:rsidRDefault="007F5328" w:rsidP="007F5328">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Equity share capital</w:t>
            </w:r>
          </w:p>
        </w:tc>
        <w:tc>
          <w:tcPr>
            <w:tcW w:w="412" w:type="pct"/>
            <w:vAlign w:val="center"/>
          </w:tcPr>
          <w:p w14:paraId="4BC35462" w14:textId="77777777" w:rsidR="007F5328" w:rsidRPr="00E70587" w:rsidRDefault="007F5328" w:rsidP="007F5328">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11</w:t>
            </w:r>
          </w:p>
        </w:tc>
        <w:tc>
          <w:tcPr>
            <w:tcW w:w="693" w:type="pct"/>
            <w:tcMar>
              <w:right w:w="108" w:type="dxa"/>
            </w:tcMar>
            <w:vAlign w:val="bottom"/>
          </w:tcPr>
          <w:p w14:paraId="1F890ECB" w14:textId="681FA5D9" w:rsidR="007F5328" w:rsidRPr="00E70587" w:rsidRDefault="007F5328" w:rsidP="007F5328">
            <w:pPr>
              <w:spacing w:line="280" w:lineRule="exact"/>
              <w:jc w:val="right"/>
              <w:rPr>
                <w:rFonts w:ascii="Arial" w:hAnsi="Arial" w:cs="Arial"/>
                <w:sz w:val="20"/>
              </w:rPr>
            </w:pPr>
          </w:p>
        </w:tc>
        <w:tc>
          <w:tcPr>
            <w:tcW w:w="858" w:type="pct"/>
            <w:tcMar>
              <w:right w:w="108" w:type="dxa"/>
            </w:tcMar>
            <w:vAlign w:val="bottom"/>
          </w:tcPr>
          <w:p w14:paraId="68093765" w14:textId="212A5718" w:rsidR="007F5328" w:rsidRPr="00E70587" w:rsidRDefault="007F5328" w:rsidP="007F5328">
            <w:pPr>
              <w:spacing w:line="280" w:lineRule="exact"/>
              <w:jc w:val="right"/>
              <w:rPr>
                <w:rFonts w:ascii="Arial" w:hAnsi="Arial" w:cs="Arial"/>
                <w:sz w:val="20"/>
              </w:rPr>
            </w:pPr>
            <w:r w:rsidRPr="00E70587">
              <w:rPr>
                <w:rFonts w:ascii="Arial" w:hAnsi="Arial" w:cs="Arial"/>
                <w:sz w:val="20"/>
              </w:rPr>
              <w:t>39,398</w:t>
            </w:r>
          </w:p>
        </w:tc>
        <w:tc>
          <w:tcPr>
            <w:tcW w:w="948" w:type="pct"/>
            <w:tcBorders>
              <w:right w:val="nil"/>
            </w:tcBorders>
            <w:vAlign w:val="bottom"/>
          </w:tcPr>
          <w:p w14:paraId="449EF9A1" w14:textId="705BF55A" w:rsidR="007F5328" w:rsidRPr="00E70587" w:rsidRDefault="007F5328" w:rsidP="007F5328">
            <w:pPr>
              <w:spacing w:line="280" w:lineRule="exact"/>
              <w:jc w:val="right"/>
              <w:rPr>
                <w:rFonts w:ascii="Arial" w:hAnsi="Arial" w:cs="Arial"/>
                <w:sz w:val="20"/>
              </w:rPr>
            </w:pPr>
            <w:r w:rsidRPr="00E70587">
              <w:rPr>
                <w:rFonts w:ascii="Arial" w:hAnsi="Arial" w:cs="Arial"/>
                <w:sz w:val="20"/>
              </w:rPr>
              <w:t>34,898</w:t>
            </w:r>
          </w:p>
        </w:tc>
      </w:tr>
      <w:tr w:rsidR="007F5328" w:rsidRPr="00E70587" w14:paraId="4B145D69" w14:textId="77777777" w:rsidTr="00EE4FD0">
        <w:tc>
          <w:tcPr>
            <w:tcW w:w="2088" w:type="pct"/>
            <w:vAlign w:val="bottom"/>
          </w:tcPr>
          <w:p w14:paraId="798FE397" w14:textId="77777777" w:rsidR="007F5328" w:rsidRPr="00E70587" w:rsidRDefault="007F5328" w:rsidP="007F5328">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Other equity</w:t>
            </w:r>
          </w:p>
        </w:tc>
        <w:tc>
          <w:tcPr>
            <w:tcW w:w="412" w:type="pct"/>
            <w:vAlign w:val="center"/>
          </w:tcPr>
          <w:p w14:paraId="201B16F0" w14:textId="77777777" w:rsidR="007F5328" w:rsidRPr="00E70587" w:rsidRDefault="007F5328" w:rsidP="007F5328">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693" w:type="pct"/>
            <w:tcMar>
              <w:right w:w="108" w:type="dxa"/>
            </w:tcMar>
            <w:vAlign w:val="bottom"/>
          </w:tcPr>
          <w:p w14:paraId="4A4BAB10" w14:textId="77777777" w:rsidR="007F5328" w:rsidRPr="00E70587" w:rsidRDefault="007F5328" w:rsidP="007F5328">
            <w:pPr>
              <w:spacing w:line="280" w:lineRule="exact"/>
              <w:jc w:val="right"/>
              <w:rPr>
                <w:rFonts w:ascii="Arial" w:hAnsi="Arial" w:cs="Arial"/>
                <w:sz w:val="20"/>
              </w:rPr>
            </w:pPr>
          </w:p>
        </w:tc>
        <w:tc>
          <w:tcPr>
            <w:tcW w:w="858" w:type="pct"/>
            <w:tcMar>
              <w:right w:w="108" w:type="dxa"/>
            </w:tcMar>
            <w:vAlign w:val="bottom"/>
          </w:tcPr>
          <w:p w14:paraId="53EE4F4A" w14:textId="77777777" w:rsidR="007F5328" w:rsidRPr="00E70587" w:rsidRDefault="007F5328" w:rsidP="007F5328">
            <w:pPr>
              <w:spacing w:line="280" w:lineRule="exact"/>
              <w:jc w:val="right"/>
              <w:rPr>
                <w:rFonts w:ascii="Arial" w:hAnsi="Arial" w:cs="Arial"/>
                <w:sz w:val="20"/>
              </w:rPr>
            </w:pPr>
          </w:p>
        </w:tc>
        <w:tc>
          <w:tcPr>
            <w:tcW w:w="948" w:type="pct"/>
            <w:tcBorders>
              <w:right w:val="nil"/>
            </w:tcBorders>
            <w:vAlign w:val="bottom"/>
          </w:tcPr>
          <w:p w14:paraId="7864B8D9" w14:textId="77777777" w:rsidR="007F5328" w:rsidRPr="00E70587" w:rsidRDefault="007F5328" w:rsidP="007F5328">
            <w:pPr>
              <w:spacing w:line="280" w:lineRule="exact"/>
              <w:jc w:val="right"/>
              <w:rPr>
                <w:rFonts w:ascii="Arial" w:hAnsi="Arial" w:cs="Arial"/>
                <w:sz w:val="20"/>
              </w:rPr>
            </w:pPr>
          </w:p>
        </w:tc>
      </w:tr>
      <w:tr w:rsidR="007F5328" w:rsidRPr="00E70587" w14:paraId="757C2EE5" w14:textId="77777777" w:rsidTr="00EE4FD0">
        <w:tc>
          <w:tcPr>
            <w:tcW w:w="2088" w:type="pct"/>
            <w:vAlign w:val="bottom"/>
          </w:tcPr>
          <w:p w14:paraId="6750534B" w14:textId="77777777" w:rsidR="007F5328" w:rsidRPr="00E70587" w:rsidRDefault="007F5328" w:rsidP="007F5328">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Equity component of convertible preference shares</w:t>
            </w:r>
          </w:p>
        </w:tc>
        <w:tc>
          <w:tcPr>
            <w:tcW w:w="412" w:type="pct"/>
            <w:vAlign w:val="center"/>
          </w:tcPr>
          <w:p w14:paraId="0F984F66" w14:textId="77777777" w:rsidR="007F5328" w:rsidRPr="00E70587" w:rsidRDefault="007F5328" w:rsidP="007F5328">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11</w:t>
            </w:r>
          </w:p>
        </w:tc>
        <w:tc>
          <w:tcPr>
            <w:tcW w:w="693" w:type="pct"/>
            <w:tcMar>
              <w:right w:w="108" w:type="dxa"/>
            </w:tcMar>
            <w:vAlign w:val="bottom"/>
          </w:tcPr>
          <w:p w14:paraId="612AA5CA" w14:textId="12E08265" w:rsidR="007F5328" w:rsidRPr="00E70587" w:rsidRDefault="007F5328" w:rsidP="007F5328">
            <w:pPr>
              <w:spacing w:line="280" w:lineRule="exact"/>
              <w:jc w:val="right"/>
              <w:rPr>
                <w:rFonts w:ascii="Arial" w:hAnsi="Arial" w:cs="Arial"/>
                <w:sz w:val="20"/>
              </w:rPr>
            </w:pPr>
          </w:p>
        </w:tc>
        <w:tc>
          <w:tcPr>
            <w:tcW w:w="858" w:type="pct"/>
            <w:tcMar>
              <w:right w:w="108" w:type="dxa"/>
            </w:tcMar>
            <w:vAlign w:val="bottom"/>
          </w:tcPr>
          <w:p w14:paraId="3C2716E4" w14:textId="49F72A8B" w:rsidR="007F5328" w:rsidRPr="00E70587" w:rsidRDefault="007F5328" w:rsidP="007F5328">
            <w:pPr>
              <w:spacing w:line="280" w:lineRule="exact"/>
              <w:jc w:val="right"/>
              <w:rPr>
                <w:rFonts w:ascii="Arial" w:hAnsi="Arial" w:cs="Arial"/>
                <w:sz w:val="20"/>
              </w:rPr>
            </w:pPr>
            <w:r w:rsidRPr="00E70587">
              <w:rPr>
                <w:rFonts w:ascii="Arial" w:hAnsi="Arial" w:cs="Arial"/>
                <w:sz w:val="20"/>
              </w:rPr>
              <w:t>410</w:t>
            </w:r>
          </w:p>
        </w:tc>
        <w:tc>
          <w:tcPr>
            <w:tcW w:w="948" w:type="pct"/>
            <w:tcBorders>
              <w:right w:val="nil"/>
            </w:tcBorders>
            <w:vAlign w:val="bottom"/>
          </w:tcPr>
          <w:p w14:paraId="42A600DE" w14:textId="2A27E5C6" w:rsidR="007F5328" w:rsidRPr="00E70587" w:rsidRDefault="007F5328" w:rsidP="007F5328">
            <w:pPr>
              <w:spacing w:line="280" w:lineRule="exact"/>
              <w:jc w:val="right"/>
              <w:rPr>
                <w:rFonts w:ascii="Arial" w:hAnsi="Arial" w:cs="Arial"/>
                <w:sz w:val="20"/>
              </w:rPr>
            </w:pPr>
            <w:r w:rsidRPr="00E70587">
              <w:rPr>
                <w:rFonts w:ascii="Arial" w:hAnsi="Arial" w:cs="Arial"/>
                <w:sz w:val="20"/>
              </w:rPr>
              <w:t>410</w:t>
            </w:r>
          </w:p>
        </w:tc>
      </w:tr>
      <w:tr w:rsidR="007F5328" w:rsidRPr="00E70587" w14:paraId="4209CBA6" w14:textId="77777777" w:rsidTr="00EE4FD0">
        <w:tc>
          <w:tcPr>
            <w:tcW w:w="2088" w:type="pct"/>
            <w:vAlign w:val="bottom"/>
          </w:tcPr>
          <w:p w14:paraId="381FF6C3" w14:textId="742DF566" w:rsidR="007F5328" w:rsidRPr="00E70587" w:rsidRDefault="007F5328" w:rsidP="007F5328">
            <w:pPr>
              <w:pStyle w:val="tabletext"/>
              <w:overflowPunct w:val="0"/>
              <w:autoSpaceDE w:val="0"/>
              <w:autoSpaceDN w:val="0"/>
              <w:adjustRightInd w:val="0"/>
              <w:spacing w:line="280" w:lineRule="exact"/>
              <w:ind w:left="360"/>
              <w:textAlignment w:val="baseline"/>
              <w:rPr>
                <w:rFonts w:ascii="Arial" w:hAnsi="Arial" w:cs="Arial"/>
                <w:sz w:val="20"/>
                <w:lang w:val="en-IN"/>
              </w:rPr>
            </w:pPr>
            <w:r w:rsidRPr="0049095E">
              <w:rPr>
                <w:rFonts w:ascii="Arial" w:hAnsi="Arial" w:cs="Arial"/>
                <w:sz w:val="20"/>
                <w:lang w:val="en-IN"/>
              </w:rPr>
              <w:t xml:space="preserve">Securities </w:t>
            </w:r>
            <w:r w:rsidRPr="00E70587">
              <w:rPr>
                <w:rFonts w:ascii="Arial" w:hAnsi="Arial" w:cs="Arial"/>
                <w:sz w:val="20"/>
                <w:lang w:val="en-IN"/>
              </w:rPr>
              <w:t>premium</w:t>
            </w:r>
          </w:p>
        </w:tc>
        <w:tc>
          <w:tcPr>
            <w:tcW w:w="412" w:type="pct"/>
            <w:vAlign w:val="center"/>
          </w:tcPr>
          <w:p w14:paraId="3D4A5C26" w14:textId="77777777" w:rsidR="007F5328" w:rsidRPr="00E70587" w:rsidRDefault="007F5328" w:rsidP="007F5328">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12</w:t>
            </w:r>
          </w:p>
        </w:tc>
        <w:tc>
          <w:tcPr>
            <w:tcW w:w="693" w:type="pct"/>
            <w:tcMar>
              <w:right w:w="108" w:type="dxa"/>
            </w:tcMar>
            <w:vAlign w:val="bottom"/>
          </w:tcPr>
          <w:p w14:paraId="68BDF851" w14:textId="57A69726" w:rsidR="007F5328" w:rsidRPr="00E70587" w:rsidRDefault="007F5328" w:rsidP="007F5328">
            <w:pPr>
              <w:spacing w:line="280" w:lineRule="exact"/>
              <w:jc w:val="right"/>
              <w:rPr>
                <w:rFonts w:ascii="Arial" w:hAnsi="Arial" w:cs="Arial"/>
                <w:sz w:val="20"/>
              </w:rPr>
            </w:pPr>
          </w:p>
        </w:tc>
        <w:tc>
          <w:tcPr>
            <w:tcW w:w="858" w:type="pct"/>
            <w:tcMar>
              <w:right w:w="108" w:type="dxa"/>
            </w:tcMar>
            <w:vAlign w:val="bottom"/>
          </w:tcPr>
          <w:p w14:paraId="5AEC2573" w14:textId="2D016BD1" w:rsidR="007F5328" w:rsidRPr="00E70587" w:rsidRDefault="007F5328" w:rsidP="007F5328">
            <w:pPr>
              <w:spacing w:line="280" w:lineRule="exact"/>
              <w:jc w:val="right"/>
              <w:rPr>
                <w:rFonts w:ascii="Arial" w:hAnsi="Arial" w:cs="Arial"/>
                <w:sz w:val="20"/>
              </w:rPr>
            </w:pPr>
            <w:r w:rsidRPr="00E70587">
              <w:rPr>
                <w:rFonts w:ascii="Arial" w:hAnsi="Arial" w:cs="Arial"/>
                <w:sz w:val="20"/>
              </w:rPr>
              <w:t>8,408</w:t>
            </w:r>
          </w:p>
        </w:tc>
        <w:tc>
          <w:tcPr>
            <w:tcW w:w="948" w:type="pct"/>
            <w:tcBorders>
              <w:right w:val="nil"/>
            </w:tcBorders>
            <w:vAlign w:val="bottom"/>
          </w:tcPr>
          <w:p w14:paraId="30658771" w14:textId="2A91F0B1" w:rsidR="007F5328" w:rsidRPr="00E70587" w:rsidRDefault="007F5328" w:rsidP="007F5328">
            <w:pPr>
              <w:spacing w:line="280" w:lineRule="exact"/>
              <w:jc w:val="right"/>
              <w:rPr>
                <w:rFonts w:ascii="Arial" w:hAnsi="Arial" w:cs="Arial"/>
                <w:sz w:val="20"/>
              </w:rPr>
            </w:pPr>
            <w:r w:rsidRPr="00E70587">
              <w:rPr>
                <w:rFonts w:ascii="Arial" w:hAnsi="Arial" w:cs="Arial"/>
                <w:sz w:val="20"/>
              </w:rPr>
              <w:t>-</w:t>
            </w:r>
          </w:p>
        </w:tc>
      </w:tr>
      <w:tr w:rsidR="007F5328" w:rsidRPr="00E70587" w14:paraId="7D7B6884" w14:textId="77777777" w:rsidTr="00EE4FD0">
        <w:tc>
          <w:tcPr>
            <w:tcW w:w="2088" w:type="pct"/>
            <w:vAlign w:val="bottom"/>
          </w:tcPr>
          <w:p w14:paraId="0CD671BB" w14:textId="77777777" w:rsidR="007F5328" w:rsidRPr="00E70587" w:rsidRDefault="007F5328" w:rsidP="007F5328">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lastRenderedPageBreak/>
              <w:t>Treasury shares</w:t>
            </w:r>
          </w:p>
        </w:tc>
        <w:tc>
          <w:tcPr>
            <w:tcW w:w="412" w:type="pct"/>
            <w:vAlign w:val="center"/>
          </w:tcPr>
          <w:p w14:paraId="19D5BEEB" w14:textId="77777777" w:rsidR="007F5328" w:rsidRPr="00E70587" w:rsidRDefault="007F5328" w:rsidP="007F5328">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12</w:t>
            </w:r>
          </w:p>
        </w:tc>
        <w:tc>
          <w:tcPr>
            <w:tcW w:w="693" w:type="pct"/>
            <w:tcMar>
              <w:right w:w="57" w:type="dxa"/>
            </w:tcMar>
            <w:vAlign w:val="bottom"/>
          </w:tcPr>
          <w:p w14:paraId="380A08C0" w14:textId="3BCB7FE2" w:rsidR="007F5328" w:rsidRPr="00E70587" w:rsidRDefault="007F5328" w:rsidP="007F5328">
            <w:pPr>
              <w:spacing w:line="280" w:lineRule="exact"/>
              <w:jc w:val="right"/>
              <w:rPr>
                <w:rFonts w:ascii="Arial" w:hAnsi="Arial" w:cs="Arial"/>
                <w:sz w:val="20"/>
              </w:rPr>
            </w:pPr>
          </w:p>
        </w:tc>
        <w:tc>
          <w:tcPr>
            <w:tcW w:w="858" w:type="pct"/>
            <w:tcMar>
              <w:right w:w="57" w:type="dxa"/>
            </w:tcMar>
            <w:vAlign w:val="bottom"/>
          </w:tcPr>
          <w:p w14:paraId="73FE7D3F" w14:textId="08F5C2D1" w:rsidR="007F5328" w:rsidRPr="00E70587" w:rsidRDefault="007F5328" w:rsidP="007F5328">
            <w:pPr>
              <w:spacing w:line="280" w:lineRule="exact"/>
              <w:jc w:val="right"/>
              <w:rPr>
                <w:rFonts w:ascii="Arial" w:hAnsi="Arial" w:cs="Arial"/>
                <w:sz w:val="20"/>
              </w:rPr>
            </w:pPr>
            <w:r w:rsidRPr="00E70587">
              <w:rPr>
                <w:rFonts w:ascii="Arial" w:hAnsi="Arial" w:cs="Arial"/>
                <w:sz w:val="20"/>
              </w:rPr>
              <w:t>(914)</w:t>
            </w:r>
          </w:p>
        </w:tc>
        <w:tc>
          <w:tcPr>
            <w:tcW w:w="948" w:type="pct"/>
            <w:tcBorders>
              <w:right w:val="nil"/>
            </w:tcBorders>
            <w:tcMar>
              <w:right w:w="57" w:type="dxa"/>
            </w:tcMar>
            <w:vAlign w:val="bottom"/>
          </w:tcPr>
          <w:p w14:paraId="0517CF61" w14:textId="573F8ADD" w:rsidR="007F5328" w:rsidRPr="00E70587" w:rsidRDefault="007F5328" w:rsidP="007F5328">
            <w:pPr>
              <w:spacing w:line="280" w:lineRule="exact"/>
              <w:jc w:val="right"/>
              <w:rPr>
                <w:rFonts w:ascii="Arial" w:hAnsi="Arial" w:cs="Arial"/>
                <w:sz w:val="20"/>
              </w:rPr>
            </w:pPr>
            <w:r w:rsidRPr="00E70587">
              <w:rPr>
                <w:rFonts w:ascii="Arial" w:hAnsi="Arial" w:cs="Arial"/>
                <w:sz w:val="20"/>
              </w:rPr>
              <w:t>(1,177)</w:t>
            </w:r>
          </w:p>
        </w:tc>
      </w:tr>
      <w:tr w:rsidR="007F5328" w:rsidRPr="00E70587" w14:paraId="4679AC03" w14:textId="77777777" w:rsidTr="00EE4FD0">
        <w:tc>
          <w:tcPr>
            <w:tcW w:w="2088" w:type="pct"/>
            <w:vAlign w:val="bottom"/>
          </w:tcPr>
          <w:p w14:paraId="02659D92" w14:textId="77777777" w:rsidR="007F5328" w:rsidRPr="00E70587" w:rsidRDefault="007F5328" w:rsidP="007F5328">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Retained earnings</w:t>
            </w:r>
          </w:p>
        </w:tc>
        <w:tc>
          <w:tcPr>
            <w:tcW w:w="412" w:type="pct"/>
            <w:vAlign w:val="center"/>
          </w:tcPr>
          <w:p w14:paraId="0F5AA935" w14:textId="77777777" w:rsidR="007F5328" w:rsidRPr="00E70587" w:rsidRDefault="007F5328" w:rsidP="007F5328">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693" w:type="pct"/>
            <w:tcMar>
              <w:right w:w="57" w:type="dxa"/>
            </w:tcMar>
          </w:tcPr>
          <w:p w14:paraId="241A0E74" w14:textId="3BBF304E" w:rsidR="007F5328" w:rsidRPr="00E70587" w:rsidRDefault="007F5328" w:rsidP="007F5328">
            <w:pPr>
              <w:spacing w:line="280" w:lineRule="exact"/>
              <w:jc w:val="right"/>
              <w:rPr>
                <w:rFonts w:ascii="Arial" w:hAnsi="Arial" w:cs="Arial"/>
                <w:sz w:val="20"/>
              </w:rPr>
            </w:pPr>
            <w:r w:rsidRPr="00E70587">
              <w:rPr>
                <w:rFonts w:ascii="Arial" w:hAnsi="Arial" w:cs="Arial"/>
                <w:sz w:val="20"/>
              </w:rPr>
              <w:t xml:space="preserve"> </w:t>
            </w:r>
          </w:p>
        </w:tc>
        <w:tc>
          <w:tcPr>
            <w:tcW w:w="858" w:type="pct"/>
            <w:tcMar>
              <w:right w:w="57" w:type="dxa"/>
            </w:tcMar>
          </w:tcPr>
          <w:p w14:paraId="16A94B77" w14:textId="30ACE905" w:rsidR="007F5328" w:rsidRPr="00E70587" w:rsidRDefault="007F5328" w:rsidP="007F5328">
            <w:pPr>
              <w:spacing w:line="280" w:lineRule="exact"/>
              <w:jc w:val="right"/>
              <w:rPr>
                <w:rFonts w:ascii="Arial" w:hAnsi="Arial" w:cs="Arial"/>
                <w:sz w:val="20"/>
              </w:rPr>
            </w:pPr>
            <w:r w:rsidRPr="00E70587">
              <w:rPr>
                <w:rFonts w:ascii="Arial" w:hAnsi="Arial" w:cs="Arial"/>
                <w:sz w:val="20"/>
              </w:rPr>
              <w:t xml:space="preserve"> 5</w:t>
            </w:r>
            <w:r w:rsidR="00AB75EB">
              <w:rPr>
                <w:rFonts w:ascii="Arial" w:hAnsi="Arial" w:cs="Arial"/>
                <w:sz w:val="20"/>
              </w:rPr>
              <w:t>8</w:t>
            </w:r>
            <w:r w:rsidRPr="00E70587">
              <w:rPr>
                <w:rFonts w:ascii="Arial" w:hAnsi="Arial" w:cs="Arial"/>
                <w:sz w:val="20"/>
              </w:rPr>
              <w:t>,</w:t>
            </w:r>
            <w:r w:rsidR="00481559">
              <w:rPr>
                <w:rFonts w:ascii="Arial" w:hAnsi="Arial" w:cs="Arial"/>
                <w:sz w:val="20"/>
              </w:rPr>
              <w:t>148</w:t>
            </w:r>
            <w:r w:rsidRPr="00E70587">
              <w:rPr>
                <w:rFonts w:ascii="Arial" w:hAnsi="Arial" w:cs="Arial"/>
                <w:sz w:val="20"/>
              </w:rPr>
              <w:t xml:space="preserve"> </w:t>
            </w:r>
          </w:p>
        </w:tc>
        <w:tc>
          <w:tcPr>
            <w:tcW w:w="948" w:type="pct"/>
            <w:tcBorders>
              <w:right w:val="nil"/>
            </w:tcBorders>
            <w:tcMar>
              <w:right w:w="57" w:type="dxa"/>
            </w:tcMar>
          </w:tcPr>
          <w:p w14:paraId="39A33D76" w14:textId="25EE7A3F" w:rsidR="007F5328" w:rsidRPr="00E70587" w:rsidRDefault="007F5328" w:rsidP="007F5328">
            <w:pPr>
              <w:spacing w:line="280" w:lineRule="exact"/>
              <w:jc w:val="right"/>
              <w:rPr>
                <w:rFonts w:ascii="Arial" w:hAnsi="Arial" w:cs="Arial"/>
                <w:sz w:val="20"/>
              </w:rPr>
            </w:pPr>
            <w:r w:rsidRPr="00E70587">
              <w:rPr>
                <w:rFonts w:ascii="Arial" w:hAnsi="Arial" w:cs="Arial"/>
                <w:sz w:val="20"/>
              </w:rPr>
              <w:t xml:space="preserve"> </w:t>
            </w:r>
            <w:r w:rsidR="00E83705">
              <w:rPr>
                <w:rFonts w:ascii="Arial" w:hAnsi="Arial" w:cs="Arial"/>
                <w:sz w:val="20"/>
              </w:rPr>
              <w:t>46,897</w:t>
            </w:r>
            <w:r w:rsidRPr="00E70587">
              <w:rPr>
                <w:rFonts w:ascii="Arial" w:hAnsi="Arial" w:cs="Arial"/>
                <w:sz w:val="20"/>
              </w:rPr>
              <w:t xml:space="preserve"> </w:t>
            </w:r>
          </w:p>
        </w:tc>
      </w:tr>
      <w:tr w:rsidR="007F5328" w:rsidRPr="00E70587" w14:paraId="72F8672E" w14:textId="77777777" w:rsidTr="00EE4FD0">
        <w:tc>
          <w:tcPr>
            <w:tcW w:w="2088" w:type="pct"/>
            <w:shd w:val="clear" w:color="auto" w:fill="auto"/>
            <w:vAlign w:val="bottom"/>
          </w:tcPr>
          <w:p w14:paraId="44C8C841" w14:textId="77777777" w:rsidR="007F5328" w:rsidRPr="00E70587" w:rsidRDefault="007F5328" w:rsidP="007F5328">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Other reserves</w:t>
            </w:r>
          </w:p>
        </w:tc>
        <w:tc>
          <w:tcPr>
            <w:tcW w:w="412" w:type="pct"/>
            <w:shd w:val="clear" w:color="auto" w:fill="auto"/>
            <w:vAlign w:val="center"/>
          </w:tcPr>
          <w:p w14:paraId="65B7454B" w14:textId="77777777" w:rsidR="007F5328" w:rsidRPr="00E70587" w:rsidRDefault="007F5328" w:rsidP="007F5328">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12</w:t>
            </w:r>
          </w:p>
        </w:tc>
        <w:tc>
          <w:tcPr>
            <w:tcW w:w="693" w:type="pct"/>
            <w:tcBorders>
              <w:bottom w:val="nil"/>
            </w:tcBorders>
            <w:shd w:val="clear" w:color="auto" w:fill="auto"/>
            <w:tcMar>
              <w:right w:w="108" w:type="dxa"/>
            </w:tcMar>
          </w:tcPr>
          <w:p w14:paraId="42EA4CBA" w14:textId="48D4880C" w:rsidR="007F5328" w:rsidRPr="00E70587" w:rsidRDefault="007F5328" w:rsidP="007F5328">
            <w:pPr>
              <w:spacing w:line="280" w:lineRule="exact"/>
              <w:jc w:val="right"/>
              <w:rPr>
                <w:rFonts w:ascii="Arial" w:hAnsi="Arial" w:cs="Arial"/>
                <w:bCs/>
                <w:sz w:val="20"/>
              </w:rPr>
            </w:pPr>
          </w:p>
        </w:tc>
        <w:tc>
          <w:tcPr>
            <w:tcW w:w="858" w:type="pct"/>
            <w:shd w:val="clear" w:color="auto" w:fill="auto"/>
            <w:tcMar>
              <w:right w:w="108" w:type="dxa"/>
            </w:tcMar>
          </w:tcPr>
          <w:p w14:paraId="318E466D" w14:textId="1C7400F0" w:rsidR="007F5328" w:rsidRPr="00E70587" w:rsidRDefault="007F5328" w:rsidP="007F5328">
            <w:pPr>
              <w:spacing w:line="280" w:lineRule="exact"/>
              <w:jc w:val="right"/>
              <w:rPr>
                <w:rFonts w:ascii="Arial" w:hAnsi="Arial" w:cs="Arial"/>
                <w:bCs/>
                <w:sz w:val="20"/>
              </w:rPr>
            </w:pPr>
            <w:r w:rsidRPr="00E70587">
              <w:rPr>
                <w:rFonts w:ascii="Arial" w:hAnsi="Arial" w:cs="Arial"/>
                <w:sz w:val="20"/>
              </w:rPr>
              <w:t>2,493</w:t>
            </w:r>
          </w:p>
        </w:tc>
        <w:tc>
          <w:tcPr>
            <w:tcW w:w="948" w:type="pct"/>
            <w:tcBorders>
              <w:right w:val="nil"/>
            </w:tcBorders>
          </w:tcPr>
          <w:p w14:paraId="3A3088AF" w14:textId="2954C317" w:rsidR="007F5328" w:rsidRPr="00E70587" w:rsidRDefault="007F5328" w:rsidP="007F5328">
            <w:pPr>
              <w:spacing w:line="280" w:lineRule="exact"/>
              <w:jc w:val="right"/>
              <w:rPr>
                <w:rFonts w:ascii="Arial" w:hAnsi="Arial" w:cs="Arial"/>
                <w:bCs/>
                <w:sz w:val="20"/>
              </w:rPr>
            </w:pPr>
            <w:r w:rsidRPr="00E70587">
              <w:rPr>
                <w:rFonts w:ascii="Arial" w:hAnsi="Arial" w:cs="Arial"/>
                <w:sz w:val="20"/>
              </w:rPr>
              <w:t>2,476</w:t>
            </w:r>
          </w:p>
        </w:tc>
      </w:tr>
      <w:tr w:rsidR="007F5328" w:rsidRPr="00E70587" w14:paraId="108F6BC5" w14:textId="77777777" w:rsidTr="00EE4FD0">
        <w:trPr>
          <w:trHeight w:val="287"/>
        </w:trPr>
        <w:tc>
          <w:tcPr>
            <w:tcW w:w="2088" w:type="pct"/>
            <w:tcMar>
              <w:right w:w="28" w:type="dxa"/>
            </w:tcMar>
            <w:vAlign w:val="center"/>
          </w:tcPr>
          <w:p w14:paraId="3E9B4619" w14:textId="33CD2345" w:rsidR="007F5328" w:rsidRPr="00E70587" w:rsidRDefault="007F5328" w:rsidP="007F5328">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Reserves of a disposal group classified as held for </w:t>
            </w:r>
            <w:r w:rsidR="00B86837">
              <w:rPr>
                <w:rFonts w:ascii="Arial" w:hAnsi="Arial" w:cs="Arial"/>
                <w:sz w:val="20"/>
                <w:lang w:val="en-IN"/>
              </w:rPr>
              <w:t>sale</w:t>
            </w:r>
          </w:p>
        </w:tc>
        <w:tc>
          <w:tcPr>
            <w:tcW w:w="412" w:type="pct"/>
            <w:tcMar>
              <w:right w:w="108" w:type="dxa"/>
            </w:tcMar>
            <w:vAlign w:val="center"/>
          </w:tcPr>
          <w:p w14:paraId="65DD069F" w14:textId="77777777" w:rsidR="007F5328" w:rsidRPr="00E70587" w:rsidRDefault="007F5328" w:rsidP="007F5328">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21</w:t>
            </w:r>
          </w:p>
        </w:tc>
        <w:tc>
          <w:tcPr>
            <w:tcW w:w="693" w:type="pct"/>
            <w:tcBorders>
              <w:bottom w:val="nil"/>
            </w:tcBorders>
            <w:vAlign w:val="bottom"/>
          </w:tcPr>
          <w:p w14:paraId="6B53DDEC" w14:textId="5FCEE6B4" w:rsidR="007F5328" w:rsidRPr="00E70587" w:rsidRDefault="007F5328" w:rsidP="007F5328">
            <w:pPr>
              <w:overflowPunct/>
              <w:spacing w:line="280" w:lineRule="exact"/>
              <w:jc w:val="right"/>
              <w:textAlignment w:val="auto"/>
              <w:rPr>
                <w:rFonts w:ascii="Arial" w:hAnsi="Arial" w:cs="Arial"/>
                <w:sz w:val="20"/>
                <w:lang w:eastAsia="en-GB"/>
              </w:rPr>
            </w:pPr>
          </w:p>
        </w:tc>
        <w:tc>
          <w:tcPr>
            <w:tcW w:w="858" w:type="pct"/>
            <w:tcBorders>
              <w:bottom w:val="single" w:sz="2" w:space="0" w:color="auto"/>
            </w:tcBorders>
            <w:vAlign w:val="bottom"/>
          </w:tcPr>
          <w:p w14:paraId="0B75909D" w14:textId="1F758306" w:rsidR="007F5328" w:rsidRPr="00E70587" w:rsidRDefault="007F5328" w:rsidP="007F5328">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83</w:t>
            </w:r>
          </w:p>
        </w:tc>
        <w:tc>
          <w:tcPr>
            <w:tcW w:w="948" w:type="pct"/>
            <w:tcBorders>
              <w:bottom w:val="single" w:sz="2" w:space="0" w:color="auto"/>
              <w:right w:val="nil"/>
            </w:tcBorders>
            <w:vAlign w:val="bottom"/>
          </w:tcPr>
          <w:p w14:paraId="38397D79" w14:textId="7A304BC7" w:rsidR="007F5328" w:rsidRPr="00E70587" w:rsidRDefault="007F5328" w:rsidP="007F5328">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7F5328" w:rsidRPr="00E70587" w14:paraId="5E85D86C" w14:textId="77777777" w:rsidTr="00EE4FD0">
        <w:trPr>
          <w:trHeight w:val="66"/>
        </w:trPr>
        <w:tc>
          <w:tcPr>
            <w:tcW w:w="2088" w:type="pct"/>
            <w:vAlign w:val="bottom"/>
          </w:tcPr>
          <w:p w14:paraId="69260BC0" w14:textId="77777777" w:rsidR="007F5328" w:rsidRPr="00E70587" w:rsidRDefault="007F5328" w:rsidP="007F5328">
            <w:pPr>
              <w:pStyle w:val="tabletxtns"/>
              <w:spacing w:before="0" w:line="280" w:lineRule="exact"/>
              <w:rPr>
                <w:rFonts w:ascii="Arial" w:hAnsi="Arial" w:cs="Arial"/>
                <w:color w:val="auto"/>
                <w:sz w:val="20"/>
              </w:rPr>
            </w:pPr>
            <w:r w:rsidRPr="00E70587">
              <w:rPr>
                <w:rFonts w:ascii="Arial" w:hAnsi="Arial" w:cs="Arial"/>
                <w:b/>
                <w:color w:val="auto"/>
                <w:sz w:val="20"/>
              </w:rPr>
              <w:t>Equity attributable to equity holders of the parent</w:t>
            </w:r>
          </w:p>
        </w:tc>
        <w:tc>
          <w:tcPr>
            <w:tcW w:w="412" w:type="pct"/>
            <w:vAlign w:val="center"/>
          </w:tcPr>
          <w:p w14:paraId="739DC4E0" w14:textId="77777777" w:rsidR="007F5328" w:rsidRPr="00E70587" w:rsidRDefault="007F5328" w:rsidP="007F5328">
            <w:pPr>
              <w:pStyle w:val="tablenotes"/>
              <w:tabs>
                <w:tab w:val="clear" w:pos="439"/>
              </w:tabs>
              <w:spacing w:before="0" w:line="280" w:lineRule="exact"/>
              <w:jc w:val="center"/>
              <w:rPr>
                <w:rFonts w:ascii="Arial" w:hAnsi="Arial" w:cs="Arial"/>
                <w:color w:val="auto"/>
                <w:sz w:val="20"/>
              </w:rPr>
            </w:pPr>
          </w:p>
        </w:tc>
        <w:tc>
          <w:tcPr>
            <w:tcW w:w="693" w:type="pct"/>
            <w:tcBorders>
              <w:top w:val="nil"/>
              <w:bottom w:val="nil"/>
            </w:tcBorders>
            <w:tcMar>
              <w:right w:w="108" w:type="dxa"/>
            </w:tcMar>
          </w:tcPr>
          <w:p w14:paraId="0696B672" w14:textId="29D7FFE4" w:rsidR="007F5328" w:rsidRPr="00E70587" w:rsidRDefault="007F5328" w:rsidP="007F5328">
            <w:pPr>
              <w:overflowPunct/>
              <w:spacing w:line="280" w:lineRule="exact"/>
              <w:jc w:val="right"/>
              <w:textAlignment w:val="auto"/>
              <w:rPr>
                <w:rFonts w:ascii="Arial" w:hAnsi="Arial" w:cs="Arial"/>
                <w:b/>
                <w:bCs/>
                <w:sz w:val="20"/>
                <w:lang w:eastAsia="en-GB"/>
              </w:rPr>
            </w:pPr>
            <w:r w:rsidRPr="00E70587">
              <w:rPr>
                <w:rFonts w:ascii="Arial" w:hAnsi="Arial" w:cs="Arial"/>
                <w:b/>
                <w:sz w:val="20"/>
              </w:rPr>
              <w:t xml:space="preserve"> </w:t>
            </w:r>
          </w:p>
        </w:tc>
        <w:tc>
          <w:tcPr>
            <w:tcW w:w="858" w:type="pct"/>
            <w:tcBorders>
              <w:top w:val="single" w:sz="2" w:space="0" w:color="auto"/>
              <w:bottom w:val="nil"/>
            </w:tcBorders>
            <w:tcMar>
              <w:right w:w="108" w:type="dxa"/>
            </w:tcMar>
          </w:tcPr>
          <w:p w14:paraId="5EE1EAA2" w14:textId="5E808533" w:rsidR="007F5328" w:rsidRPr="00E70587" w:rsidRDefault="007F5328" w:rsidP="007F5328">
            <w:pPr>
              <w:overflowPunct/>
              <w:spacing w:line="280" w:lineRule="exact"/>
              <w:jc w:val="right"/>
              <w:textAlignment w:val="auto"/>
              <w:rPr>
                <w:rFonts w:ascii="Arial" w:hAnsi="Arial" w:cs="Arial"/>
                <w:b/>
                <w:bCs/>
                <w:sz w:val="20"/>
                <w:lang w:eastAsia="en-GB"/>
              </w:rPr>
            </w:pPr>
            <w:r w:rsidRPr="00E70587">
              <w:rPr>
                <w:rFonts w:ascii="Arial" w:hAnsi="Arial" w:cs="Arial"/>
                <w:b/>
                <w:sz w:val="20"/>
              </w:rPr>
              <w:t xml:space="preserve"> 1,0</w:t>
            </w:r>
            <w:r w:rsidR="0060143F">
              <w:rPr>
                <w:rFonts w:ascii="Arial" w:hAnsi="Arial" w:cs="Arial"/>
                <w:b/>
                <w:sz w:val="20"/>
              </w:rPr>
              <w:t>8</w:t>
            </w:r>
            <w:r w:rsidRPr="00E70587">
              <w:rPr>
                <w:rFonts w:ascii="Arial" w:hAnsi="Arial" w:cs="Arial"/>
                <w:b/>
                <w:sz w:val="20"/>
              </w:rPr>
              <w:t>,</w:t>
            </w:r>
            <w:r w:rsidR="00481559">
              <w:rPr>
                <w:rFonts w:ascii="Arial" w:hAnsi="Arial" w:cs="Arial"/>
                <w:b/>
                <w:sz w:val="20"/>
              </w:rPr>
              <w:t>026</w:t>
            </w:r>
            <w:r w:rsidRPr="00E70587">
              <w:rPr>
                <w:rFonts w:ascii="Arial" w:hAnsi="Arial" w:cs="Arial"/>
                <w:b/>
                <w:sz w:val="20"/>
              </w:rPr>
              <w:t xml:space="preserve"> </w:t>
            </w:r>
          </w:p>
        </w:tc>
        <w:tc>
          <w:tcPr>
            <w:tcW w:w="948" w:type="pct"/>
            <w:tcBorders>
              <w:top w:val="single" w:sz="2" w:space="0" w:color="auto"/>
              <w:bottom w:val="nil"/>
              <w:right w:val="nil"/>
            </w:tcBorders>
          </w:tcPr>
          <w:p w14:paraId="1BF34409" w14:textId="0382D849" w:rsidR="007F5328" w:rsidRPr="00E70587" w:rsidRDefault="007F5328" w:rsidP="007F5328">
            <w:pPr>
              <w:overflowPunct/>
              <w:spacing w:line="280" w:lineRule="exact"/>
              <w:jc w:val="right"/>
              <w:textAlignment w:val="auto"/>
              <w:rPr>
                <w:rFonts w:ascii="Arial" w:hAnsi="Arial" w:cs="Arial"/>
                <w:b/>
                <w:bCs/>
                <w:sz w:val="20"/>
                <w:lang w:eastAsia="en-GB"/>
              </w:rPr>
            </w:pPr>
            <w:r w:rsidRPr="00E70587">
              <w:rPr>
                <w:rFonts w:ascii="Arial" w:hAnsi="Arial" w:cs="Arial"/>
                <w:b/>
                <w:sz w:val="20"/>
              </w:rPr>
              <w:t xml:space="preserve"> </w:t>
            </w:r>
            <w:r w:rsidR="009E0908">
              <w:rPr>
                <w:rFonts w:ascii="Arial" w:hAnsi="Arial" w:cs="Arial"/>
                <w:b/>
                <w:sz w:val="20"/>
              </w:rPr>
              <w:t>83,504</w:t>
            </w:r>
            <w:r w:rsidRPr="00E70587">
              <w:rPr>
                <w:rFonts w:ascii="Arial" w:hAnsi="Arial" w:cs="Arial"/>
                <w:b/>
                <w:sz w:val="20"/>
              </w:rPr>
              <w:t xml:space="preserve"> </w:t>
            </w:r>
          </w:p>
        </w:tc>
      </w:tr>
      <w:tr w:rsidR="007F5328" w:rsidRPr="00E70587" w14:paraId="58563BB5" w14:textId="77777777" w:rsidTr="00EE4FD0">
        <w:tc>
          <w:tcPr>
            <w:tcW w:w="2088" w:type="pct"/>
            <w:vAlign w:val="bottom"/>
          </w:tcPr>
          <w:p w14:paraId="4FCC8831" w14:textId="77777777" w:rsidR="007F5328" w:rsidRPr="00E70587" w:rsidRDefault="007F5328" w:rsidP="007F5328">
            <w:pPr>
              <w:pStyle w:val="tabletext"/>
              <w:spacing w:line="280" w:lineRule="exact"/>
              <w:rPr>
                <w:rFonts w:ascii="Arial" w:hAnsi="Arial" w:cs="Arial"/>
                <w:sz w:val="20"/>
                <w:lang w:val="en-IN"/>
              </w:rPr>
            </w:pPr>
            <w:r w:rsidRPr="00E70587">
              <w:rPr>
                <w:rFonts w:ascii="Arial" w:hAnsi="Arial" w:cs="Arial"/>
                <w:sz w:val="20"/>
                <w:lang w:val="en-IN"/>
              </w:rPr>
              <w:t>Non-controlling interests</w:t>
            </w:r>
          </w:p>
        </w:tc>
        <w:tc>
          <w:tcPr>
            <w:tcW w:w="412" w:type="pct"/>
            <w:vAlign w:val="center"/>
          </w:tcPr>
          <w:p w14:paraId="74919B49" w14:textId="77777777" w:rsidR="007F5328" w:rsidRPr="00E70587" w:rsidRDefault="007F5328" w:rsidP="007F5328">
            <w:pPr>
              <w:pStyle w:val="tablenotes"/>
              <w:tabs>
                <w:tab w:val="clear" w:pos="439"/>
              </w:tabs>
              <w:spacing w:before="0" w:line="280" w:lineRule="exact"/>
              <w:jc w:val="center"/>
              <w:rPr>
                <w:rFonts w:ascii="Arial" w:hAnsi="Arial" w:cs="Arial"/>
                <w:color w:val="auto"/>
                <w:sz w:val="20"/>
              </w:rPr>
            </w:pPr>
          </w:p>
        </w:tc>
        <w:tc>
          <w:tcPr>
            <w:tcW w:w="693" w:type="pct"/>
            <w:tcBorders>
              <w:top w:val="nil"/>
              <w:bottom w:val="nil"/>
            </w:tcBorders>
            <w:tcMar>
              <w:right w:w="108" w:type="dxa"/>
            </w:tcMar>
            <w:vAlign w:val="bottom"/>
          </w:tcPr>
          <w:p w14:paraId="10FF3768" w14:textId="4DB02B6E" w:rsidR="007F5328" w:rsidRPr="00E70587" w:rsidRDefault="007F5328" w:rsidP="007F5328">
            <w:pPr>
              <w:overflowPunct/>
              <w:spacing w:line="280" w:lineRule="exact"/>
              <w:jc w:val="right"/>
              <w:textAlignment w:val="auto"/>
              <w:rPr>
                <w:rFonts w:ascii="Arial" w:hAnsi="Arial" w:cs="Arial"/>
                <w:sz w:val="20"/>
                <w:lang w:eastAsia="en-GB"/>
              </w:rPr>
            </w:pPr>
          </w:p>
        </w:tc>
        <w:tc>
          <w:tcPr>
            <w:tcW w:w="858" w:type="pct"/>
            <w:tcBorders>
              <w:top w:val="nil"/>
              <w:bottom w:val="single" w:sz="2" w:space="0" w:color="auto"/>
            </w:tcBorders>
            <w:tcMar>
              <w:right w:w="108" w:type="dxa"/>
            </w:tcMar>
            <w:vAlign w:val="bottom"/>
          </w:tcPr>
          <w:p w14:paraId="29FD5C3C" w14:textId="7A7EFCAA" w:rsidR="007F5328" w:rsidRPr="00E70587" w:rsidRDefault="007F5328" w:rsidP="007F5328">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4,338</w:t>
            </w:r>
          </w:p>
        </w:tc>
        <w:tc>
          <w:tcPr>
            <w:tcW w:w="948" w:type="pct"/>
            <w:tcBorders>
              <w:top w:val="nil"/>
              <w:bottom w:val="single" w:sz="2" w:space="0" w:color="auto"/>
              <w:right w:val="nil"/>
            </w:tcBorders>
            <w:vAlign w:val="bottom"/>
          </w:tcPr>
          <w:p w14:paraId="77C84043" w14:textId="74B00090" w:rsidR="007F5328" w:rsidRPr="00E70587" w:rsidRDefault="007F5328" w:rsidP="007F5328">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1,3</w:t>
            </w:r>
            <w:r w:rsidR="00E83705">
              <w:rPr>
                <w:rFonts w:ascii="Arial" w:hAnsi="Arial" w:cs="Arial"/>
                <w:sz w:val="20"/>
                <w:lang w:eastAsia="en-GB"/>
              </w:rPr>
              <w:t>29</w:t>
            </w:r>
          </w:p>
        </w:tc>
      </w:tr>
      <w:tr w:rsidR="007F5328" w:rsidRPr="00E70587" w14:paraId="6BA84E2F" w14:textId="77777777" w:rsidTr="00EE4FD0">
        <w:tc>
          <w:tcPr>
            <w:tcW w:w="2088" w:type="pct"/>
            <w:vAlign w:val="center"/>
          </w:tcPr>
          <w:p w14:paraId="7F3D61D9" w14:textId="77777777" w:rsidR="007F5328" w:rsidRPr="00E70587" w:rsidRDefault="007F5328" w:rsidP="007F5328">
            <w:pPr>
              <w:pStyle w:val="tablebullet"/>
              <w:numPr>
                <w:ilvl w:val="0"/>
                <w:numId w:val="0"/>
              </w:numPr>
              <w:spacing w:before="0" w:line="280" w:lineRule="exact"/>
              <w:ind w:right="953"/>
              <w:rPr>
                <w:rFonts w:ascii="Arial" w:hAnsi="Arial" w:cs="Arial"/>
                <w:b/>
                <w:sz w:val="20"/>
              </w:rPr>
            </w:pPr>
            <w:r w:rsidRPr="00E70587">
              <w:rPr>
                <w:rFonts w:ascii="Arial" w:hAnsi="Arial" w:cs="Arial"/>
                <w:b/>
                <w:sz w:val="20"/>
              </w:rPr>
              <w:t>Total equity</w:t>
            </w:r>
          </w:p>
        </w:tc>
        <w:tc>
          <w:tcPr>
            <w:tcW w:w="412" w:type="pct"/>
            <w:vAlign w:val="center"/>
          </w:tcPr>
          <w:p w14:paraId="70DFAC87" w14:textId="77777777" w:rsidR="007F5328" w:rsidRPr="00E70587" w:rsidRDefault="007F5328" w:rsidP="007F5328">
            <w:pPr>
              <w:pStyle w:val="tablenotes"/>
              <w:tabs>
                <w:tab w:val="clear" w:pos="439"/>
              </w:tabs>
              <w:spacing w:before="0" w:line="280" w:lineRule="exact"/>
              <w:jc w:val="center"/>
              <w:rPr>
                <w:rFonts w:ascii="Arial" w:hAnsi="Arial" w:cs="Arial"/>
                <w:color w:val="auto"/>
                <w:sz w:val="20"/>
              </w:rPr>
            </w:pPr>
          </w:p>
        </w:tc>
        <w:tc>
          <w:tcPr>
            <w:tcW w:w="693" w:type="pct"/>
            <w:tcBorders>
              <w:top w:val="nil"/>
              <w:bottom w:val="nil"/>
            </w:tcBorders>
            <w:tcMar>
              <w:right w:w="108" w:type="dxa"/>
            </w:tcMar>
          </w:tcPr>
          <w:p w14:paraId="4FEAAA0F" w14:textId="1F12896E" w:rsidR="007F5328" w:rsidRPr="00E70587" w:rsidRDefault="007F5328" w:rsidP="007F5328">
            <w:pPr>
              <w:overflowPunct/>
              <w:spacing w:line="280" w:lineRule="exact"/>
              <w:jc w:val="right"/>
              <w:textAlignment w:val="auto"/>
              <w:rPr>
                <w:rFonts w:ascii="Arial" w:hAnsi="Arial" w:cs="Arial"/>
                <w:b/>
                <w:sz w:val="20"/>
              </w:rPr>
            </w:pPr>
            <w:r w:rsidRPr="00E70587">
              <w:rPr>
                <w:rFonts w:ascii="Arial" w:hAnsi="Arial" w:cs="Arial"/>
                <w:b/>
                <w:sz w:val="20"/>
              </w:rPr>
              <w:t xml:space="preserve"> </w:t>
            </w:r>
          </w:p>
        </w:tc>
        <w:tc>
          <w:tcPr>
            <w:tcW w:w="858" w:type="pct"/>
            <w:tcBorders>
              <w:top w:val="single" w:sz="2" w:space="0" w:color="auto"/>
              <w:bottom w:val="single" w:sz="2" w:space="0" w:color="auto"/>
            </w:tcBorders>
            <w:tcMar>
              <w:right w:w="108" w:type="dxa"/>
            </w:tcMar>
          </w:tcPr>
          <w:p w14:paraId="788AD464" w14:textId="252EF0D8" w:rsidR="007F5328" w:rsidRPr="00E70587" w:rsidRDefault="007F5328" w:rsidP="007F5328">
            <w:pPr>
              <w:overflowPunct/>
              <w:spacing w:line="280" w:lineRule="exact"/>
              <w:jc w:val="right"/>
              <w:textAlignment w:val="auto"/>
              <w:rPr>
                <w:rFonts w:ascii="Arial" w:hAnsi="Arial" w:cs="Arial"/>
                <w:b/>
                <w:sz w:val="20"/>
              </w:rPr>
            </w:pPr>
            <w:r w:rsidRPr="00E70587">
              <w:rPr>
                <w:rFonts w:ascii="Arial" w:hAnsi="Arial" w:cs="Arial"/>
                <w:b/>
                <w:sz w:val="20"/>
              </w:rPr>
              <w:t xml:space="preserve"> 1,1</w:t>
            </w:r>
            <w:r w:rsidR="0060143F">
              <w:rPr>
                <w:rFonts w:ascii="Arial" w:hAnsi="Arial" w:cs="Arial"/>
                <w:b/>
                <w:sz w:val="20"/>
              </w:rPr>
              <w:t>2</w:t>
            </w:r>
            <w:r w:rsidRPr="00E70587">
              <w:rPr>
                <w:rFonts w:ascii="Arial" w:hAnsi="Arial" w:cs="Arial"/>
                <w:b/>
                <w:sz w:val="20"/>
              </w:rPr>
              <w:t>,</w:t>
            </w:r>
            <w:r w:rsidR="00481559">
              <w:rPr>
                <w:rFonts w:ascii="Arial" w:hAnsi="Arial" w:cs="Arial"/>
                <w:b/>
                <w:sz w:val="20"/>
              </w:rPr>
              <w:t>364</w:t>
            </w:r>
            <w:r w:rsidRPr="00E70587">
              <w:rPr>
                <w:rFonts w:ascii="Arial" w:hAnsi="Arial" w:cs="Arial"/>
                <w:b/>
                <w:sz w:val="20"/>
              </w:rPr>
              <w:t xml:space="preserve"> </w:t>
            </w:r>
          </w:p>
        </w:tc>
        <w:tc>
          <w:tcPr>
            <w:tcW w:w="948" w:type="pct"/>
            <w:tcBorders>
              <w:top w:val="single" w:sz="2" w:space="0" w:color="auto"/>
              <w:bottom w:val="single" w:sz="2" w:space="0" w:color="auto"/>
              <w:right w:val="nil"/>
            </w:tcBorders>
          </w:tcPr>
          <w:p w14:paraId="01030375" w14:textId="14DA4492" w:rsidR="007F5328" w:rsidRPr="00E70587" w:rsidRDefault="007F5328" w:rsidP="007F5328">
            <w:pPr>
              <w:overflowPunct/>
              <w:spacing w:line="280" w:lineRule="exact"/>
              <w:jc w:val="right"/>
              <w:textAlignment w:val="auto"/>
              <w:rPr>
                <w:rFonts w:ascii="Arial" w:hAnsi="Arial" w:cs="Arial"/>
                <w:b/>
                <w:bCs/>
                <w:sz w:val="20"/>
                <w:lang w:eastAsia="en-GB"/>
              </w:rPr>
            </w:pPr>
            <w:r w:rsidRPr="00E70587">
              <w:rPr>
                <w:rFonts w:ascii="Arial" w:hAnsi="Arial" w:cs="Arial"/>
                <w:b/>
                <w:sz w:val="20"/>
              </w:rPr>
              <w:t xml:space="preserve"> </w:t>
            </w:r>
            <w:r w:rsidR="009E0908">
              <w:rPr>
                <w:rFonts w:ascii="Arial" w:hAnsi="Arial" w:cs="Arial"/>
                <w:b/>
                <w:sz w:val="20"/>
              </w:rPr>
              <w:t>84,833</w:t>
            </w:r>
            <w:r w:rsidRPr="00E70587">
              <w:rPr>
                <w:rFonts w:ascii="Arial" w:hAnsi="Arial" w:cs="Arial"/>
                <w:b/>
                <w:sz w:val="20"/>
              </w:rPr>
              <w:t xml:space="preserve"> </w:t>
            </w:r>
          </w:p>
        </w:tc>
      </w:tr>
      <w:tr w:rsidR="007F5328" w:rsidRPr="00E70587" w14:paraId="4AA797B2" w14:textId="77777777" w:rsidTr="00EE4FD0">
        <w:tc>
          <w:tcPr>
            <w:tcW w:w="2088" w:type="pct"/>
            <w:vAlign w:val="bottom"/>
          </w:tcPr>
          <w:p w14:paraId="32CC4122" w14:textId="77777777" w:rsidR="007F5328" w:rsidRPr="00E70587" w:rsidRDefault="007F5328" w:rsidP="007F5328">
            <w:pPr>
              <w:tabs>
                <w:tab w:val="left" w:pos="4439"/>
              </w:tabs>
              <w:spacing w:line="280" w:lineRule="exact"/>
              <w:ind w:right="391"/>
              <w:rPr>
                <w:rFonts w:ascii="Arial" w:hAnsi="Arial" w:cs="Arial"/>
                <w:b/>
                <w:sz w:val="20"/>
              </w:rPr>
            </w:pPr>
            <w:r w:rsidRPr="00E70587">
              <w:rPr>
                <w:rFonts w:ascii="Arial" w:hAnsi="Arial" w:cs="Arial"/>
                <w:b/>
                <w:sz w:val="20"/>
              </w:rPr>
              <w:t>Non-current liabilities</w:t>
            </w:r>
          </w:p>
        </w:tc>
        <w:tc>
          <w:tcPr>
            <w:tcW w:w="412" w:type="pct"/>
            <w:vAlign w:val="center"/>
          </w:tcPr>
          <w:p w14:paraId="60EB957C" w14:textId="77777777" w:rsidR="007F5328" w:rsidRPr="00E70587" w:rsidRDefault="007F5328" w:rsidP="007F5328">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693" w:type="pct"/>
            <w:tcBorders>
              <w:top w:val="nil"/>
              <w:bottom w:val="nil"/>
            </w:tcBorders>
            <w:tcMar>
              <w:right w:w="108" w:type="dxa"/>
            </w:tcMar>
            <w:vAlign w:val="bottom"/>
          </w:tcPr>
          <w:p w14:paraId="48D2919C" w14:textId="77777777" w:rsidR="007F5328" w:rsidRPr="00E70587" w:rsidRDefault="007F5328" w:rsidP="007F5328">
            <w:pPr>
              <w:spacing w:line="280" w:lineRule="exact"/>
              <w:jc w:val="right"/>
              <w:rPr>
                <w:rFonts w:ascii="Arial" w:hAnsi="Arial" w:cs="Arial"/>
                <w:sz w:val="20"/>
              </w:rPr>
            </w:pPr>
          </w:p>
        </w:tc>
        <w:tc>
          <w:tcPr>
            <w:tcW w:w="858" w:type="pct"/>
            <w:tcBorders>
              <w:top w:val="single" w:sz="2" w:space="0" w:color="auto"/>
              <w:bottom w:val="nil"/>
            </w:tcBorders>
            <w:tcMar>
              <w:right w:w="108" w:type="dxa"/>
            </w:tcMar>
            <w:vAlign w:val="bottom"/>
          </w:tcPr>
          <w:p w14:paraId="5128E629" w14:textId="77777777" w:rsidR="007F5328" w:rsidRPr="00E70587" w:rsidRDefault="007F5328" w:rsidP="007F5328">
            <w:pPr>
              <w:spacing w:line="280" w:lineRule="exact"/>
              <w:jc w:val="right"/>
              <w:rPr>
                <w:rFonts w:ascii="Arial" w:hAnsi="Arial" w:cs="Arial"/>
                <w:sz w:val="20"/>
              </w:rPr>
            </w:pPr>
          </w:p>
        </w:tc>
        <w:tc>
          <w:tcPr>
            <w:tcW w:w="948" w:type="pct"/>
            <w:tcBorders>
              <w:top w:val="single" w:sz="2" w:space="0" w:color="auto"/>
              <w:bottom w:val="nil"/>
              <w:right w:val="nil"/>
            </w:tcBorders>
            <w:vAlign w:val="bottom"/>
          </w:tcPr>
          <w:p w14:paraId="2912A097" w14:textId="77777777" w:rsidR="007F5328" w:rsidRPr="00E70587" w:rsidRDefault="007F5328" w:rsidP="007F5328">
            <w:pPr>
              <w:spacing w:line="280" w:lineRule="exact"/>
              <w:ind w:firstLineChars="200" w:firstLine="400"/>
              <w:jc w:val="right"/>
              <w:rPr>
                <w:rFonts w:ascii="Arial" w:hAnsi="Arial" w:cs="Arial"/>
                <w:sz w:val="20"/>
              </w:rPr>
            </w:pPr>
          </w:p>
        </w:tc>
      </w:tr>
      <w:tr w:rsidR="007F5328" w:rsidRPr="00E70587" w14:paraId="1F1DBD74" w14:textId="77777777" w:rsidTr="00EE4FD0">
        <w:tc>
          <w:tcPr>
            <w:tcW w:w="2088" w:type="pct"/>
            <w:vAlign w:val="bottom"/>
          </w:tcPr>
          <w:p w14:paraId="1A737583" w14:textId="77777777" w:rsidR="007F5328" w:rsidRPr="00E70587" w:rsidRDefault="007F5328" w:rsidP="007F5328">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Financial liabilities</w:t>
            </w:r>
          </w:p>
        </w:tc>
        <w:tc>
          <w:tcPr>
            <w:tcW w:w="412" w:type="pct"/>
            <w:vAlign w:val="center"/>
          </w:tcPr>
          <w:p w14:paraId="5A6FE101" w14:textId="77777777" w:rsidR="007F5328" w:rsidRPr="00E70587" w:rsidRDefault="007F5328" w:rsidP="007F5328">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693" w:type="pct"/>
            <w:tcBorders>
              <w:top w:val="nil"/>
            </w:tcBorders>
            <w:tcMar>
              <w:right w:w="108" w:type="dxa"/>
            </w:tcMar>
            <w:vAlign w:val="bottom"/>
          </w:tcPr>
          <w:p w14:paraId="1117C8F8" w14:textId="77777777" w:rsidR="007F5328" w:rsidRPr="00E70587" w:rsidRDefault="007F5328" w:rsidP="007F5328">
            <w:pPr>
              <w:overflowPunct/>
              <w:spacing w:line="280" w:lineRule="exact"/>
              <w:jc w:val="right"/>
              <w:textAlignment w:val="auto"/>
              <w:rPr>
                <w:rFonts w:ascii="Arial" w:hAnsi="Arial" w:cs="Arial"/>
                <w:sz w:val="20"/>
                <w:lang w:eastAsia="en-GB"/>
              </w:rPr>
            </w:pPr>
          </w:p>
        </w:tc>
        <w:tc>
          <w:tcPr>
            <w:tcW w:w="858" w:type="pct"/>
            <w:tcBorders>
              <w:top w:val="nil"/>
            </w:tcBorders>
            <w:tcMar>
              <w:right w:w="108" w:type="dxa"/>
            </w:tcMar>
            <w:vAlign w:val="bottom"/>
          </w:tcPr>
          <w:p w14:paraId="58859142" w14:textId="77777777" w:rsidR="007F5328" w:rsidRPr="00E70587" w:rsidRDefault="007F5328" w:rsidP="007F5328">
            <w:pPr>
              <w:overflowPunct/>
              <w:spacing w:line="280" w:lineRule="exact"/>
              <w:jc w:val="right"/>
              <w:textAlignment w:val="auto"/>
              <w:rPr>
                <w:rFonts w:ascii="Arial" w:hAnsi="Arial" w:cs="Arial"/>
                <w:sz w:val="20"/>
                <w:lang w:eastAsia="en-GB"/>
              </w:rPr>
            </w:pPr>
          </w:p>
        </w:tc>
        <w:tc>
          <w:tcPr>
            <w:tcW w:w="948" w:type="pct"/>
            <w:tcBorders>
              <w:top w:val="nil"/>
              <w:right w:val="nil"/>
            </w:tcBorders>
            <w:vAlign w:val="bottom"/>
          </w:tcPr>
          <w:p w14:paraId="17226F8A" w14:textId="77777777" w:rsidR="007F5328" w:rsidRPr="00E70587" w:rsidRDefault="007F5328" w:rsidP="007F5328">
            <w:pPr>
              <w:overflowPunct/>
              <w:spacing w:line="280" w:lineRule="exact"/>
              <w:jc w:val="right"/>
              <w:textAlignment w:val="auto"/>
              <w:rPr>
                <w:rFonts w:ascii="Arial" w:hAnsi="Arial" w:cs="Arial"/>
                <w:sz w:val="20"/>
                <w:lang w:eastAsia="en-GB"/>
              </w:rPr>
            </w:pPr>
          </w:p>
        </w:tc>
      </w:tr>
      <w:tr w:rsidR="007F5328" w:rsidRPr="00E70587" w14:paraId="3914FDB5" w14:textId="77777777" w:rsidTr="00EE4FD0">
        <w:tc>
          <w:tcPr>
            <w:tcW w:w="2088" w:type="pct"/>
            <w:vAlign w:val="bottom"/>
          </w:tcPr>
          <w:p w14:paraId="52F9C715" w14:textId="77777777" w:rsidR="007F5328" w:rsidRPr="00E70587" w:rsidRDefault="007F5328" w:rsidP="007F5328">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Borrowings</w:t>
            </w:r>
          </w:p>
        </w:tc>
        <w:tc>
          <w:tcPr>
            <w:tcW w:w="412" w:type="pct"/>
            <w:vAlign w:val="center"/>
          </w:tcPr>
          <w:p w14:paraId="53575675" w14:textId="77777777" w:rsidR="007F5328" w:rsidRPr="00E70587" w:rsidRDefault="007F5328" w:rsidP="007F5328">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14</w:t>
            </w:r>
          </w:p>
        </w:tc>
        <w:tc>
          <w:tcPr>
            <w:tcW w:w="693" w:type="pct"/>
            <w:tcBorders>
              <w:top w:val="nil"/>
            </w:tcBorders>
            <w:tcMar>
              <w:right w:w="108" w:type="dxa"/>
            </w:tcMar>
            <w:vAlign w:val="bottom"/>
          </w:tcPr>
          <w:p w14:paraId="589C9A93" w14:textId="14854E10" w:rsidR="007F5328" w:rsidRPr="00E70587" w:rsidRDefault="007F5328" w:rsidP="007F5328">
            <w:pPr>
              <w:overflowPunct/>
              <w:spacing w:line="280" w:lineRule="exact"/>
              <w:jc w:val="right"/>
              <w:textAlignment w:val="auto"/>
              <w:rPr>
                <w:rFonts w:ascii="Arial" w:hAnsi="Arial" w:cs="Arial"/>
                <w:sz w:val="20"/>
                <w:lang w:eastAsia="en-GB"/>
              </w:rPr>
            </w:pPr>
          </w:p>
        </w:tc>
        <w:tc>
          <w:tcPr>
            <w:tcW w:w="858" w:type="pct"/>
            <w:tcBorders>
              <w:top w:val="nil"/>
            </w:tcBorders>
            <w:tcMar>
              <w:right w:w="108" w:type="dxa"/>
            </w:tcMar>
            <w:vAlign w:val="bottom"/>
          </w:tcPr>
          <w:p w14:paraId="0AE2CB9A" w14:textId="5910780E" w:rsidR="007F5328" w:rsidRPr="00E70587" w:rsidRDefault="007F5328" w:rsidP="007F5328">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w:t>
            </w:r>
            <w:r w:rsidR="002D2929">
              <w:rPr>
                <w:rFonts w:ascii="Arial" w:hAnsi="Arial" w:cs="Arial"/>
                <w:sz w:val="20"/>
                <w:lang w:eastAsia="en-GB"/>
              </w:rPr>
              <w:t>4,994</w:t>
            </w:r>
          </w:p>
        </w:tc>
        <w:tc>
          <w:tcPr>
            <w:tcW w:w="948" w:type="pct"/>
            <w:tcBorders>
              <w:top w:val="nil"/>
              <w:right w:val="nil"/>
            </w:tcBorders>
            <w:vAlign w:val="bottom"/>
          </w:tcPr>
          <w:p w14:paraId="39A99063" w14:textId="67DA8C6C" w:rsidR="007F5328" w:rsidRPr="00E70587" w:rsidRDefault="002D2929" w:rsidP="007F5328">
            <w:pPr>
              <w:overflowPunct/>
              <w:spacing w:line="280" w:lineRule="exact"/>
              <w:jc w:val="right"/>
              <w:textAlignment w:val="auto"/>
              <w:rPr>
                <w:rFonts w:ascii="Arial" w:hAnsi="Arial" w:cs="Arial"/>
                <w:sz w:val="20"/>
                <w:lang w:eastAsia="en-GB"/>
              </w:rPr>
            </w:pPr>
            <w:r>
              <w:rPr>
                <w:rFonts w:ascii="Arial" w:hAnsi="Arial" w:cs="Arial"/>
                <w:sz w:val="20"/>
                <w:lang w:eastAsia="en-GB"/>
              </w:rPr>
              <w:t>37,368</w:t>
            </w:r>
          </w:p>
        </w:tc>
      </w:tr>
      <w:tr w:rsidR="00B6201C" w:rsidRPr="00E70587" w14:paraId="2DFE8EC6" w14:textId="77777777" w:rsidTr="00FF32A7">
        <w:tc>
          <w:tcPr>
            <w:tcW w:w="2088" w:type="pct"/>
            <w:vAlign w:val="bottom"/>
          </w:tcPr>
          <w:p w14:paraId="196F846A" w14:textId="1E34B0FB" w:rsidR="00B6201C" w:rsidRPr="00E70587" w:rsidRDefault="00B6201C" w:rsidP="00B6201C">
            <w:pPr>
              <w:pStyle w:val="tabletext"/>
              <w:overflowPunct w:val="0"/>
              <w:autoSpaceDE w:val="0"/>
              <w:autoSpaceDN w:val="0"/>
              <w:adjustRightInd w:val="0"/>
              <w:spacing w:line="280" w:lineRule="exact"/>
              <w:ind w:left="360"/>
              <w:textAlignment w:val="baseline"/>
              <w:rPr>
                <w:rFonts w:ascii="Arial" w:hAnsi="Arial" w:cs="Arial"/>
                <w:sz w:val="20"/>
                <w:lang w:val="en-IN"/>
              </w:rPr>
            </w:pPr>
            <w:r>
              <w:rPr>
                <w:rFonts w:ascii="Arial" w:hAnsi="Arial" w:cs="Arial"/>
                <w:sz w:val="20"/>
                <w:lang w:val="en-IN"/>
              </w:rPr>
              <w:t>Lease liabilities</w:t>
            </w:r>
          </w:p>
        </w:tc>
        <w:tc>
          <w:tcPr>
            <w:tcW w:w="412" w:type="pct"/>
            <w:vAlign w:val="center"/>
          </w:tcPr>
          <w:p w14:paraId="663793CC" w14:textId="62871A76" w:rsidR="00B6201C" w:rsidRPr="00E70587" w:rsidRDefault="00B6201C" w:rsidP="00B6201C">
            <w:pPr>
              <w:pStyle w:val="tabletext"/>
              <w:overflowPunct w:val="0"/>
              <w:autoSpaceDE w:val="0"/>
              <w:autoSpaceDN w:val="0"/>
              <w:adjustRightInd w:val="0"/>
              <w:spacing w:line="280" w:lineRule="exact"/>
              <w:jc w:val="center"/>
              <w:textAlignment w:val="baseline"/>
              <w:rPr>
                <w:rFonts w:ascii="Arial" w:hAnsi="Arial" w:cs="Arial"/>
                <w:sz w:val="20"/>
              </w:rPr>
            </w:pPr>
            <w:r>
              <w:rPr>
                <w:rFonts w:ascii="Arial" w:hAnsi="Arial" w:cs="Arial"/>
                <w:sz w:val="20"/>
              </w:rPr>
              <w:t>42</w:t>
            </w:r>
          </w:p>
        </w:tc>
        <w:tc>
          <w:tcPr>
            <w:tcW w:w="693" w:type="pct"/>
            <w:tcMar>
              <w:right w:w="108" w:type="dxa"/>
            </w:tcMar>
            <w:vAlign w:val="bottom"/>
          </w:tcPr>
          <w:p w14:paraId="7D2DE946" w14:textId="77777777" w:rsidR="00B6201C" w:rsidRPr="00E70587" w:rsidDel="00261AF4" w:rsidRDefault="00B6201C" w:rsidP="00B6201C">
            <w:pPr>
              <w:overflowPunct/>
              <w:spacing w:line="280" w:lineRule="exact"/>
              <w:jc w:val="right"/>
              <w:textAlignment w:val="auto"/>
              <w:rPr>
                <w:rFonts w:ascii="Arial" w:hAnsi="Arial" w:cs="Arial"/>
                <w:sz w:val="20"/>
                <w:lang w:eastAsia="en-GB"/>
              </w:rPr>
            </w:pPr>
          </w:p>
        </w:tc>
        <w:tc>
          <w:tcPr>
            <w:tcW w:w="858" w:type="pct"/>
            <w:tcMar>
              <w:right w:w="108" w:type="dxa"/>
            </w:tcMar>
            <w:vAlign w:val="center"/>
          </w:tcPr>
          <w:p w14:paraId="655B1F68" w14:textId="257036A7" w:rsidR="00B6201C" w:rsidRPr="00E70587" w:rsidRDefault="00B6201C" w:rsidP="00B6201C">
            <w:pPr>
              <w:overflowPunct/>
              <w:spacing w:line="280" w:lineRule="exact"/>
              <w:jc w:val="right"/>
              <w:textAlignment w:val="auto"/>
              <w:rPr>
                <w:rFonts w:ascii="Arial" w:hAnsi="Arial" w:cs="Arial"/>
                <w:sz w:val="20"/>
                <w:lang w:eastAsia="en-GB"/>
              </w:rPr>
            </w:pPr>
            <w:r>
              <w:rPr>
                <w:rFonts w:ascii="Arial" w:hAnsi="Arial"/>
                <w:sz w:val="20"/>
              </w:rPr>
              <w:t>4</w:t>
            </w:r>
            <w:r w:rsidRPr="00E70587">
              <w:rPr>
                <w:rFonts w:ascii="Arial" w:hAnsi="Arial"/>
                <w:sz w:val="20"/>
              </w:rPr>
              <w:t>,</w:t>
            </w:r>
            <w:r>
              <w:rPr>
                <w:rFonts w:ascii="Arial" w:hAnsi="Arial"/>
                <w:sz w:val="20"/>
              </w:rPr>
              <w:t>871</w:t>
            </w:r>
            <w:r w:rsidRPr="00E70587">
              <w:rPr>
                <w:rFonts w:ascii="Arial" w:hAnsi="Arial"/>
                <w:sz w:val="20"/>
              </w:rPr>
              <w:t xml:space="preserve"> </w:t>
            </w:r>
          </w:p>
        </w:tc>
        <w:tc>
          <w:tcPr>
            <w:tcW w:w="948" w:type="pct"/>
            <w:tcBorders>
              <w:right w:val="nil"/>
            </w:tcBorders>
            <w:vAlign w:val="center"/>
          </w:tcPr>
          <w:p w14:paraId="73D0D815" w14:textId="5CED70B8" w:rsidR="00B6201C" w:rsidRPr="00E70587" w:rsidRDefault="00B6201C" w:rsidP="00B6201C">
            <w:pPr>
              <w:overflowPunct/>
              <w:spacing w:line="280" w:lineRule="exact"/>
              <w:jc w:val="right"/>
              <w:textAlignment w:val="auto"/>
              <w:rPr>
                <w:rFonts w:ascii="Arial" w:hAnsi="Arial" w:cs="Arial"/>
                <w:sz w:val="20"/>
                <w:lang w:eastAsia="en-GB"/>
              </w:rPr>
            </w:pPr>
            <w:r>
              <w:rPr>
                <w:rFonts w:ascii="Arial" w:hAnsi="Arial"/>
                <w:sz w:val="20"/>
              </w:rPr>
              <w:t>4,595</w:t>
            </w:r>
          </w:p>
        </w:tc>
      </w:tr>
      <w:tr w:rsidR="00B6201C" w:rsidRPr="00E70587" w14:paraId="580DF900" w14:textId="77777777" w:rsidTr="00EE4FD0">
        <w:tc>
          <w:tcPr>
            <w:tcW w:w="2088" w:type="pct"/>
            <w:vAlign w:val="bottom"/>
          </w:tcPr>
          <w:p w14:paraId="7555D720" w14:textId="77777777" w:rsidR="00B6201C" w:rsidRPr="00E70587" w:rsidRDefault="00B6201C" w:rsidP="00B6201C">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Other financial liabilities</w:t>
            </w:r>
          </w:p>
        </w:tc>
        <w:tc>
          <w:tcPr>
            <w:tcW w:w="412" w:type="pct"/>
            <w:vAlign w:val="center"/>
          </w:tcPr>
          <w:p w14:paraId="792AE6AD" w14:textId="77777777" w:rsidR="00B6201C" w:rsidRPr="00E70587" w:rsidRDefault="00B6201C" w:rsidP="00B6201C">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15</w:t>
            </w:r>
          </w:p>
        </w:tc>
        <w:tc>
          <w:tcPr>
            <w:tcW w:w="693" w:type="pct"/>
            <w:tcMar>
              <w:right w:w="108" w:type="dxa"/>
            </w:tcMar>
            <w:vAlign w:val="bottom"/>
          </w:tcPr>
          <w:p w14:paraId="7DE06505" w14:textId="4649F52F" w:rsidR="00B6201C" w:rsidRPr="00E70587" w:rsidRDefault="00B6201C" w:rsidP="00B6201C">
            <w:pPr>
              <w:overflowPunct/>
              <w:spacing w:line="280" w:lineRule="exact"/>
              <w:jc w:val="right"/>
              <w:textAlignment w:val="auto"/>
              <w:rPr>
                <w:rFonts w:ascii="Arial" w:hAnsi="Arial" w:cs="Arial"/>
                <w:sz w:val="20"/>
                <w:lang w:eastAsia="en-GB"/>
              </w:rPr>
            </w:pPr>
          </w:p>
        </w:tc>
        <w:tc>
          <w:tcPr>
            <w:tcW w:w="858" w:type="pct"/>
            <w:tcMar>
              <w:right w:w="108" w:type="dxa"/>
            </w:tcMar>
            <w:vAlign w:val="bottom"/>
          </w:tcPr>
          <w:p w14:paraId="2490597E" w14:textId="1E4FDFC6"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1,451</w:t>
            </w:r>
          </w:p>
        </w:tc>
        <w:tc>
          <w:tcPr>
            <w:tcW w:w="948" w:type="pct"/>
            <w:tcBorders>
              <w:right w:val="nil"/>
            </w:tcBorders>
            <w:vAlign w:val="bottom"/>
          </w:tcPr>
          <w:p w14:paraId="50C6072C" w14:textId="79485E48"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B6201C" w:rsidRPr="00E70587" w14:paraId="3012DE74" w14:textId="77777777" w:rsidTr="00EE4FD0">
        <w:tc>
          <w:tcPr>
            <w:tcW w:w="2088" w:type="pct"/>
            <w:vAlign w:val="bottom"/>
          </w:tcPr>
          <w:p w14:paraId="247B94A3" w14:textId="77777777" w:rsidR="00B6201C" w:rsidRPr="00E70587" w:rsidRDefault="00B6201C" w:rsidP="00B620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Provisions</w:t>
            </w:r>
          </w:p>
        </w:tc>
        <w:tc>
          <w:tcPr>
            <w:tcW w:w="412" w:type="pct"/>
            <w:vAlign w:val="center"/>
          </w:tcPr>
          <w:p w14:paraId="3402056F" w14:textId="77777777" w:rsidR="00B6201C" w:rsidRPr="00E70587" w:rsidRDefault="00B6201C" w:rsidP="00B6201C">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16</w:t>
            </w:r>
          </w:p>
        </w:tc>
        <w:tc>
          <w:tcPr>
            <w:tcW w:w="693" w:type="pct"/>
            <w:tcMar>
              <w:right w:w="108" w:type="dxa"/>
            </w:tcMar>
            <w:vAlign w:val="bottom"/>
          </w:tcPr>
          <w:p w14:paraId="4C975375" w14:textId="6855E890" w:rsidR="00B6201C" w:rsidRPr="00E70587" w:rsidRDefault="00B6201C" w:rsidP="00B6201C">
            <w:pPr>
              <w:overflowPunct/>
              <w:spacing w:line="280" w:lineRule="exact"/>
              <w:jc w:val="right"/>
              <w:textAlignment w:val="auto"/>
              <w:rPr>
                <w:rFonts w:ascii="Arial" w:hAnsi="Arial" w:cs="Arial"/>
                <w:sz w:val="20"/>
                <w:lang w:eastAsia="en-GB"/>
              </w:rPr>
            </w:pPr>
          </w:p>
        </w:tc>
        <w:tc>
          <w:tcPr>
            <w:tcW w:w="858" w:type="pct"/>
            <w:tcMar>
              <w:right w:w="108" w:type="dxa"/>
            </w:tcMar>
            <w:vAlign w:val="bottom"/>
          </w:tcPr>
          <w:p w14:paraId="64698B10" w14:textId="42C7D89E"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3,510</w:t>
            </w:r>
          </w:p>
        </w:tc>
        <w:tc>
          <w:tcPr>
            <w:tcW w:w="948" w:type="pct"/>
            <w:tcBorders>
              <w:right w:val="nil"/>
            </w:tcBorders>
            <w:vAlign w:val="bottom"/>
          </w:tcPr>
          <w:p w14:paraId="4008E3AB" w14:textId="07CE0C5B"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139</w:t>
            </w:r>
          </w:p>
        </w:tc>
      </w:tr>
      <w:tr w:rsidR="00B6201C" w:rsidRPr="00E70587" w14:paraId="383D0A1E" w14:textId="77777777" w:rsidTr="00EE4FD0">
        <w:tc>
          <w:tcPr>
            <w:tcW w:w="2088" w:type="pct"/>
            <w:vAlign w:val="bottom"/>
          </w:tcPr>
          <w:p w14:paraId="5EECDEFB" w14:textId="77777777" w:rsidR="00B6201C" w:rsidRPr="00E70587" w:rsidRDefault="00B6201C" w:rsidP="00B620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Government grants </w:t>
            </w:r>
          </w:p>
        </w:tc>
        <w:tc>
          <w:tcPr>
            <w:tcW w:w="412" w:type="pct"/>
            <w:vAlign w:val="center"/>
          </w:tcPr>
          <w:p w14:paraId="40333107" w14:textId="77777777" w:rsidR="00B6201C" w:rsidRPr="00E70587" w:rsidRDefault="00B6201C" w:rsidP="00B6201C">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17</w:t>
            </w:r>
          </w:p>
        </w:tc>
        <w:tc>
          <w:tcPr>
            <w:tcW w:w="693" w:type="pct"/>
            <w:tcMar>
              <w:right w:w="108" w:type="dxa"/>
            </w:tcMar>
            <w:vAlign w:val="bottom"/>
          </w:tcPr>
          <w:p w14:paraId="06ECBE53" w14:textId="06BCA234" w:rsidR="00B6201C" w:rsidRPr="00E70587" w:rsidRDefault="00B6201C" w:rsidP="00B6201C">
            <w:pPr>
              <w:overflowPunct/>
              <w:spacing w:line="280" w:lineRule="exact"/>
              <w:jc w:val="right"/>
              <w:textAlignment w:val="auto"/>
              <w:rPr>
                <w:rFonts w:ascii="Arial" w:hAnsi="Arial" w:cs="Arial"/>
                <w:sz w:val="20"/>
                <w:lang w:eastAsia="en-GB"/>
              </w:rPr>
            </w:pPr>
          </w:p>
        </w:tc>
        <w:tc>
          <w:tcPr>
            <w:tcW w:w="858" w:type="pct"/>
            <w:tcMar>
              <w:right w:w="108" w:type="dxa"/>
            </w:tcMar>
            <w:vAlign w:val="bottom"/>
          </w:tcPr>
          <w:p w14:paraId="434E3564" w14:textId="0DA75FA3"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5,940</w:t>
            </w:r>
          </w:p>
        </w:tc>
        <w:tc>
          <w:tcPr>
            <w:tcW w:w="948" w:type="pct"/>
            <w:tcBorders>
              <w:right w:val="nil"/>
            </w:tcBorders>
            <w:vAlign w:val="bottom"/>
          </w:tcPr>
          <w:p w14:paraId="2A6322DC" w14:textId="690CB346"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2,520</w:t>
            </w:r>
          </w:p>
        </w:tc>
      </w:tr>
      <w:tr w:rsidR="00B6201C" w:rsidRPr="00E70587" w14:paraId="1E44B8F1" w14:textId="77777777" w:rsidTr="00EE4FD0">
        <w:tc>
          <w:tcPr>
            <w:tcW w:w="2088" w:type="pct"/>
            <w:vAlign w:val="bottom"/>
          </w:tcPr>
          <w:p w14:paraId="18BA0395" w14:textId="77777777" w:rsidR="00B6201C" w:rsidRPr="00E70587" w:rsidRDefault="00B6201C" w:rsidP="00B620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Contract liability</w:t>
            </w:r>
          </w:p>
        </w:tc>
        <w:tc>
          <w:tcPr>
            <w:tcW w:w="412" w:type="pct"/>
            <w:vAlign w:val="center"/>
          </w:tcPr>
          <w:p w14:paraId="33282713" w14:textId="77777777" w:rsidR="00B6201C" w:rsidRPr="00E70587" w:rsidRDefault="00B6201C" w:rsidP="00B6201C">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18</w:t>
            </w:r>
          </w:p>
        </w:tc>
        <w:tc>
          <w:tcPr>
            <w:tcW w:w="693" w:type="pct"/>
            <w:tcMar>
              <w:right w:w="108" w:type="dxa"/>
            </w:tcMar>
          </w:tcPr>
          <w:p w14:paraId="266FC35E" w14:textId="27467413"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858" w:type="pct"/>
            <w:tcMar>
              <w:right w:w="108" w:type="dxa"/>
            </w:tcMar>
          </w:tcPr>
          <w:p w14:paraId="28A6C138" w14:textId="54DFC91A"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1,888</w:t>
            </w:r>
          </w:p>
        </w:tc>
        <w:tc>
          <w:tcPr>
            <w:tcW w:w="948" w:type="pct"/>
            <w:tcBorders>
              <w:right w:val="nil"/>
            </w:tcBorders>
          </w:tcPr>
          <w:p w14:paraId="204F538B" w14:textId="2832E03C"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1,839</w:t>
            </w:r>
          </w:p>
        </w:tc>
      </w:tr>
      <w:tr w:rsidR="00B6201C" w:rsidRPr="00E70587" w14:paraId="3749BB67" w14:textId="77777777" w:rsidTr="00EE4FD0">
        <w:tc>
          <w:tcPr>
            <w:tcW w:w="2088" w:type="pct"/>
            <w:vAlign w:val="bottom"/>
          </w:tcPr>
          <w:p w14:paraId="4D77A6EE" w14:textId="77777777" w:rsidR="00B6201C" w:rsidRPr="00E70587" w:rsidRDefault="00B6201C" w:rsidP="00B620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Net employee defined benefit liabilities</w:t>
            </w:r>
          </w:p>
        </w:tc>
        <w:tc>
          <w:tcPr>
            <w:tcW w:w="412" w:type="pct"/>
            <w:vAlign w:val="center"/>
          </w:tcPr>
          <w:p w14:paraId="024BC6D7" w14:textId="77777777" w:rsidR="00B6201C" w:rsidRPr="00E70587" w:rsidRDefault="00B6201C" w:rsidP="00B6201C">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40</w:t>
            </w:r>
          </w:p>
        </w:tc>
        <w:tc>
          <w:tcPr>
            <w:tcW w:w="693" w:type="pct"/>
            <w:tcMar>
              <w:right w:w="108" w:type="dxa"/>
            </w:tcMar>
            <w:vAlign w:val="bottom"/>
          </w:tcPr>
          <w:p w14:paraId="3017D96F" w14:textId="42D125F4" w:rsidR="00B6201C" w:rsidRPr="00E70587" w:rsidRDefault="00B6201C" w:rsidP="00B6201C">
            <w:pPr>
              <w:overflowPunct/>
              <w:spacing w:line="280" w:lineRule="exact"/>
              <w:jc w:val="right"/>
              <w:textAlignment w:val="auto"/>
              <w:rPr>
                <w:rFonts w:ascii="Arial" w:hAnsi="Arial" w:cs="Arial"/>
                <w:sz w:val="20"/>
                <w:lang w:eastAsia="en-GB"/>
              </w:rPr>
            </w:pPr>
          </w:p>
        </w:tc>
        <w:tc>
          <w:tcPr>
            <w:tcW w:w="858" w:type="pct"/>
            <w:tcMar>
              <w:right w:w="108" w:type="dxa"/>
            </w:tcMar>
            <w:vAlign w:val="bottom"/>
          </w:tcPr>
          <w:p w14:paraId="1DFD3B10" w14:textId="6CA9D868"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5,490</w:t>
            </w:r>
          </w:p>
        </w:tc>
        <w:tc>
          <w:tcPr>
            <w:tcW w:w="948" w:type="pct"/>
            <w:tcBorders>
              <w:right w:val="nil"/>
            </w:tcBorders>
            <w:vAlign w:val="bottom"/>
          </w:tcPr>
          <w:p w14:paraId="16CFA716" w14:textId="4ADFF4A8"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5,359</w:t>
            </w:r>
          </w:p>
        </w:tc>
      </w:tr>
      <w:tr w:rsidR="00B6201C" w:rsidRPr="00E70587" w14:paraId="48A21B2E" w14:textId="77777777" w:rsidTr="00EE4FD0">
        <w:tc>
          <w:tcPr>
            <w:tcW w:w="2088" w:type="pct"/>
            <w:vAlign w:val="bottom"/>
          </w:tcPr>
          <w:p w14:paraId="22A7320A" w14:textId="77777777" w:rsidR="00B6201C" w:rsidRPr="00E70587" w:rsidRDefault="00B6201C" w:rsidP="00B620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Deferred tax liabilities (net)</w:t>
            </w:r>
          </w:p>
        </w:tc>
        <w:tc>
          <w:tcPr>
            <w:tcW w:w="412" w:type="pct"/>
            <w:vAlign w:val="center"/>
          </w:tcPr>
          <w:p w14:paraId="03377863" w14:textId="77777777" w:rsidR="00B6201C" w:rsidRPr="00E70587" w:rsidRDefault="00B6201C" w:rsidP="00B6201C">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19</w:t>
            </w:r>
          </w:p>
        </w:tc>
        <w:tc>
          <w:tcPr>
            <w:tcW w:w="693" w:type="pct"/>
            <w:tcBorders>
              <w:bottom w:val="nil"/>
            </w:tcBorders>
            <w:tcMar>
              <w:right w:w="108" w:type="dxa"/>
            </w:tcMar>
            <w:vAlign w:val="bottom"/>
          </w:tcPr>
          <w:p w14:paraId="02121DC6" w14:textId="0CB9BA02" w:rsidR="00B6201C" w:rsidRPr="00E70587" w:rsidRDefault="00B6201C" w:rsidP="00B6201C">
            <w:pPr>
              <w:overflowPunct/>
              <w:spacing w:line="280" w:lineRule="exact"/>
              <w:jc w:val="right"/>
              <w:textAlignment w:val="auto"/>
              <w:rPr>
                <w:rFonts w:ascii="Arial" w:hAnsi="Arial" w:cs="Arial"/>
                <w:sz w:val="20"/>
                <w:lang w:eastAsia="en-GB"/>
              </w:rPr>
            </w:pPr>
          </w:p>
        </w:tc>
        <w:tc>
          <w:tcPr>
            <w:tcW w:w="858" w:type="pct"/>
            <w:tcBorders>
              <w:bottom w:val="nil"/>
            </w:tcBorders>
            <w:tcMar>
              <w:right w:w="108" w:type="dxa"/>
            </w:tcMar>
            <w:vAlign w:val="bottom"/>
          </w:tcPr>
          <w:p w14:paraId="0C0CE411" w14:textId="4C21A48F"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5,276</w:t>
            </w:r>
          </w:p>
        </w:tc>
        <w:tc>
          <w:tcPr>
            <w:tcW w:w="948" w:type="pct"/>
            <w:tcBorders>
              <w:bottom w:val="nil"/>
              <w:right w:val="nil"/>
            </w:tcBorders>
            <w:vAlign w:val="bottom"/>
          </w:tcPr>
          <w:p w14:paraId="65960DF3" w14:textId="41B2E6E1"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1,960</w:t>
            </w:r>
          </w:p>
        </w:tc>
      </w:tr>
      <w:tr w:rsidR="00B6201C" w:rsidRPr="00E70587" w14:paraId="620FBD6C" w14:textId="77777777" w:rsidTr="00FF32A7">
        <w:tc>
          <w:tcPr>
            <w:tcW w:w="2088" w:type="pct"/>
            <w:vAlign w:val="bottom"/>
          </w:tcPr>
          <w:p w14:paraId="0DF99DAA" w14:textId="77777777" w:rsidR="00B6201C" w:rsidRPr="00E70587" w:rsidRDefault="00B6201C" w:rsidP="00B620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Other non-current liabilities</w:t>
            </w:r>
          </w:p>
        </w:tc>
        <w:tc>
          <w:tcPr>
            <w:tcW w:w="412" w:type="pct"/>
            <w:vAlign w:val="center"/>
          </w:tcPr>
          <w:p w14:paraId="3C223017" w14:textId="77777777" w:rsidR="00B6201C" w:rsidRPr="00E70587" w:rsidRDefault="00B6201C" w:rsidP="00B6201C">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693" w:type="pct"/>
            <w:tcBorders>
              <w:bottom w:val="nil"/>
            </w:tcBorders>
            <w:tcMar>
              <w:right w:w="108" w:type="dxa"/>
            </w:tcMar>
          </w:tcPr>
          <w:p w14:paraId="069BB814" w14:textId="075012EB"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858" w:type="pct"/>
            <w:tcBorders>
              <w:bottom w:val="single" w:sz="4" w:space="0" w:color="auto"/>
            </w:tcBorders>
            <w:tcMar>
              <w:right w:w="108" w:type="dxa"/>
            </w:tcMar>
          </w:tcPr>
          <w:p w14:paraId="1EF182F3" w14:textId="25F2784C"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514 </w:t>
            </w:r>
          </w:p>
        </w:tc>
        <w:tc>
          <w:tcPr>
            <w:tcW w:w="948" w:type="pct"/>
            <w:tcBorders>
              <w:bottom w:val="single" w:sz="4" w:space="0" w:color="auto"/>
              <w:right w:val="nil"/>
            </w:tcBorders>
          </w:tcPr>
          <w:p w14:paraId="32397A25" w14:textId="61FDB48E"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r w:rsidR="00BE623D">
              <w:rPr>
                <w:rFonts w:ascii="Arial" w:hAnsi="Arial" w:cs="Arial"/>
                <w:sz w:val="20"/>
                <w:lang w:eastAsia="en-GB"/>
              </w:rPr>
              <w:t>1,326</w:t>
            </w:r>
            <w:r w:rsidRPr="00E70587">
              <w:rPr>
                <w:rFonts w:ascii="Arial" w:hAnsi="Arial" w:cs="Arial"/>
                <w:sz w:val="20"/>
                <w:lang w:eastAsia="en-GB"/>
              </w:rPr>
              <w:t xml:space="preserve"> </w:t>
            </w:r>
          </w:p>
        </w:tc>
      </w:tr>
      <w:tr w:rsidR="00B6201C" w:rsidRPr="00394212" w14:paraId="0953FAF2" w14:textId="77777777" w:rsidTr="00FF32A7">
        <w:trPr>
          <w:trHeight w:val="147"/>
        </w:trPr>
        <w:tc>
          <w:tcPr>
            <w:tcW w:w="2088" w:type="pct"/>
            <w:vAlign w:val="bottom"/>
          </w:tcPr>
          <w:p w14:paraId="10E2CC3A" w14:textId="77777777" w:rsidR="00B6201C" w:rsidRPr="00394212" w:rsidRDefault="00B6201C" w:rsidP="00B6201C">
            <w:pPr>
              <w:pStyle w:val="tablebullet"/>
              <w:numPr>
                <w:ilvl w:val="0"/>
                <w:numId w:val="0"/>
              </w:numPr>
              <w:spacing w:before="0" w:line="280" w:lineRule="exact"/>
              <w:ind w:right="675"/>
              <w:rPr>
                <w:rFonts w:ascii="Arial" w:hAnsi="Arial" w:cs="Arial"/>
                <w:b/>
                <w:sz w:val="20"/>
              </w:rPr>
            </w:pPr>
          </w:p>
        </w:tc>
        <w:tc>
          <w:tcPr>
            <w:tcW w:w="412" w:type="pct"/>
            <w:vAlign w:val="center"/>
          </w:tcPr>
          <w:p w14:paraId="67C18770" w14:textId="77777777" w:rsidR="00B6201C" w:rsidRPr="00394212" w:rsidRDefault="00B6201C" w:rsidP="00B6201C">
            <w:pPr>
              <w:pStyle w:val="tablenotes"/>
              <w:tabs>
                <w:tab w:val="clear" w:pos="439"/>
              </w:tabs>
              <w:spacing w:before="0" w:line="280" w:lineRule="exact"/>
              <w:jc w:val="center"/>
              <w:rPr>
                <w:rFonts w:ascii="Arial" w:hAnsi="Arial" w:cs="Arial"/>
                <w:b/>
                <w:color w:val="auto"/>
                <w:sz w:val="20"/>
              </w:rPr>
            </w:pPr>
          </w:p>
        </w:tc>
        <w:tc>
          <w:tcPr>
            <w:tcW w:w="693" w:type="pct"/>
            <w:tcBorders>
              <w:top w:val="nil"/>
              <w:bottom w:val="nil"/>
            </w:tcBorders>
            <w:tcMar>
              <w:right w:w="108" w:type="dxa"/>
            </w:tcMar>
          </w:tcPr>
          <w:p w14:paraId="0675C0A3" w14:textId="5D048739" w:rsidR="00B6201C" w:rsidRPr="00394212" w:rsidRDefault="00B6201C" w:rsidP="00B6201C">
            <w:pPr>
              <w:overflowPunct/>
              <w:spacing w:line="280" w:lineRule="exact"/>
              <w:jc w:val="right"/>
              <w:textAlignment w:val="auto"/>
              <w:rPr>
                <w:rFonts w:ascii="Arial" w:hAnsi="Arial" w:cs="Arial"/>
                <w:b/>
                <w:sz w:val="20"/>
                <w:lang w:eastAsia="en-GB"/>
              </w:rPr>
            </w:pPr>
            <w:r w:rsidRPr="00394212">
              <w:rPr>
                <w:rFonts w:ascii="Arial" w:hAnsi="Arial" w:cs="Arial"/>
                <w:b/>
                <w:sz w:val="20"/>
              </w:rPr>
              <w:t xml:space="preserve"> </w:t>
            </w:r>
          </w:p>
        </w:tc>
        <w:tc>
          <w:tcPr>
            <w:tcW w:w="858" w:type="pct"/>
            <w:tcBorders>
              <w:top w:val="single" w:sz="4" w:space="0" w:color="auto"/>
            </w:tcBorders>
            <w:tcMar>
              <w:right w:w="108" w:type="dxa"/>
            </w:tcMar>
          </w:tcPr>
          <w:p w14:paraId="6E6BE4BC" w14:textId="11C4752B" w:rsidR="00B6201C" w:rsidRPr="00394212" w:rsidRDefault="00B6201C" w:rsidP="00B6201C">
            <w:pPr>
              <w:overflowPunct/>
              <w:spacing w:line="280" w:lineRule="exact"/>
              <w:jc w:val="right"/>
              <w:textAlignment w:val="auto"/>
              <w:rPr>
                <w:rFonts w:ascii="Arial" w:hAnsi="Arial" w:cs="Arial"/>
                <w:b/>
                <w:sz w:val="20"/>
                <w:lang w:eastAsia="en-GB"/>
              </w:rPr>
            </w:pPr>
            <w:r w:rsidRPr="00394212">
              <w:rPr>
                <w:rFonts w:ascii="Arial" w:hAnsi="Arial" w:cs="Arial"/>
                <w:b/>
                <w:sz w:val="20"/>
              </w:rPr>
              <w:t xml:space="preserve"> 6</w:t>
            </w:r>
            <w:r>
              <w:rPr>
                <w:rFonts w:ascii="Arial" w:hAnsi="Arial" w:cs="Arial"/>
                <w:b/>
                <w:sz w:val="20"/>
              </w:rPr>
              <w:t>3</w:t>
            </w:r>
            <w:r w:rsidRPr="00394212">
              <w:rPr>
                <w:rFonts w:ascii="Arial" w:hAnsi="Arial" w:cs="Arial"/>
                <w:b/>
                <w:sz w:val="20"/>
              </w:rPr>
              <w:t>,</w:t>
            </w:r>
            <w:r>
              <w:rPr>
                <w:rFonts w:ascii="Arial" w:hAnsi="Arial" w:cs="Arial"/>
                <w:b/>
                <w:sz w:val="20"/>
              </w:rPr>
              <w:t>934</w:t>
            </w:r>
          </w:p>
        </w:tc>
        <w:tc>
          <w:tcPr>
            <w:tcW w:w="948" w:type="pct"/>
            <w:tcBorders>
              <w:top w:val="single" w:sz="4" w:space="0" w:color="auto"/>
            </w:tcBorders>
          </w:tcPr>
          <w:p w14:paraId="3C32F0FD" w14:textId="38CFB5D5" w:rsidR="00B6201C" w:rsidRPr="00394212" w:rsidRDefault="00B6201C" w:rsidP="00B6201C">
            <w:pPr>
              <w:overflowPunct/>
              <w:spacing w:line="280" w:lineRule="exact"/>
              <w:jc w:val="right"/>
              <w:textAlignment w:val="auto"/>
              <w:rPr>
                <w:rFonts w:ascii="Arial" w:hAnsi="Arial" w:cs="Arial"/>
                <w:b/>
                <w:sz w:val="20"/>
                <w:lang w:eastAsia="en-GB"/>
              </w:rPr>
            </w:pPr>
            <w:r w:rsidRPr="00394212">
              <w:rPr>
                <w:rFonts w:ascii="Arial" w:hAnsi="Arial" w:cs="Arial"/>
                <w:b/>
                <w:sz w:val="20"/>
              </w:rPr>
              <w:t xml:space="preserve"> </w:t>
            </w:r>
            <w:r w:rsidR="000D77F9">
              <w:rPr>
                <w:rFonts w:ascii="Arial" w:hAnsi="Arial" w:cs="Arial"/>
                <w:b/>
                <w:sz w:val="20"/>
              </w:rPr>
              <w:t>55,106</w:t>
            </w:r>
          </w:p>
        </w:tc>
      </w:tr>
      <w:tr w:rsidR="00B6201C" w:rsidRPr="00E70587" w14:paraId="18E63507" w14:textId="77777777" w:rsidTr="00EE4FD0">
        <w:tc>
          <w:tcPr>
            <w:tcW w:w="2088" w:type="pct"/>
            <w:vAlign w:val="bottom"/>
          </w:tcPr>
          <w:p w14:paraId="75CED201" w14:textId="77777777" w:rsidR="00B6201C" w:rsidRPr="00E70587" w:rsidRDefault="00B6201C" w:rsidP="00B6201C">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Current liabilities</w:t>
            </w:r>
          </w:p>
        </w:tc>
        <w:tc>
          <w:tcPr>
            <w:tcW w:w="412" w:type="pct"/>
            <w:vAlign w:val="center"/>
          </w:tcPr>
          <w:p w14:paraId="1A5B6421" w14:textId="77777777" w:rsidR="00B6201C" w:rsidRPr="00E70587" w:rsidRDefault="00B6201C" w:rsidP="00B6201C">
            <w:pPr>
              <w:pStyle w:val="tablenotes"/>
              <w:tabs>
                <w:tab w:val="clear" w:pos="439"/>
              </w:tabs>
              <w:spacing w:before="0" w:line="280" w:lineRule="exact"/>
              <w:jc w:val="center"/>
              <w:rPr>
                <w:rFonts w:ascii="Arial" w:hAnsi="Arial" w:cs="Arial"/>
                <w:color w:val="auto"/>
                <w:sz w:val="20"/>
              </w:rPr>
            </w:pPr>
          </w:p>
        </w:tc>
        <w:tc>
          <w:tcPr>
            <w:tcW w:w="693" w:type="pct"/>
            <w:tcBorders>
              <w:top w:val="nil"/>
            </w:tcBorders>
            <w:tcMar>
              <w:right w:w="108" w:type="dxa"/>
            </w:tcMar>
            <w:vAlign w:val="bottom"/>
          </w:tcPr>
          <w:p w14:paraId="3F1D11E4" w14:textId="77777777" w:rsidR="00B6201C" w:rsidRPr="00E70587" w:rsidRDefault="00B6201C" w:rsidP="00B6201C">
            <w:pPr>
              <w:spacing w:line="280" w:lineRule="exact"/>
              <w:jc w:val="right"/>
              <w:rPr>
                <w:rFonts w:ascii="Arial" w:hAnsi="Arial" w:cs="Arial"/>
                <w:sz w:val="20"/>
              </w:rPr>
            </w:pPr>
          </w:p>
        </w:tc>
        <w:tc>
          <w:tcPr>
            <w:tcW w:w="858" w:type="pct"/>
            <w:tcMar>
              <w:right w:w="108" w:type="dxa"/>
            </w:tcMar>
            <w:vAlign w:val="bottom"/>
          </w:tcPr>
          <w:p w14:paraId="594431BE" w14:textId="77777777" w:rsidR="00B6201C" w:rsidRPr="00E70587" w:rsidRDefault="00B6201C" w:rsidP="00B6201C">
            <w:pPr>
              <w:spacing w:line="280" w:lineRule="exact"/>
              <w:jc w:val="right"/>
              <w:rPr>
                <w:rFonts w:ascii="Arial" w:hAnsi="Arial" w:cs="Arial"/>
                <w:sz w:val="20"/>
              </w:rPr>
            </w:pPr>
          </w:p>
        </w:tc>
        <w:tc>
          <w:tcPr>
            <w:tcW w:w="948" w:type="pct"/>
            <w:tcBorders>
              <w:right w:val="nil"/>
            </w:tcBorders>
            <w:vAlign w:val="bottom"/>
          </w:tcPr>
          <w:p w14:paraId="28351EAA" w14:textId="77777777" w:rsidR="00B6201C" w:rsidRPr="00E70587" w:rsidRDefault="00B6201C" w:rsidP="00B6201C">
            <w:pPr>
              <w:spacing w:line="280" w:lineRule="exact"/>
              <w:ind w:firstLineChars="200" w:firstLine="400"/>
              <w:jc w:val="right"/>
              <w:rPr>
                <w:rFonts w:ascii="Arial" w:hAnsi="Arial" w:cs="Arial"/>
                <w:sz w:val="20"/>
              </w:rPr>
            </w:pPr>
          </w:p>
        </w:tc>
      </w:tr>
      <w:tr w:rsidR="00B6201C" w:rsidRPr="00E70587" w14:paraId="2DA62EC4" w14:textId="77777777" w:rsidTr="00EE4FD0">
        <w:tblPrEx>
          <w:tblBorders>
            <w:bottom w:val="none" w:sz="0" w:space="0" w:color="auto"/>
          </w:tblBorders>
        </w:tblPrEx>
        <w:tc>
          <w:tcPr>
            <w:tcW w:w="2088" w:type="pct"/>
            <w:vAlign w:val="bottom"/>
          </w:tcPr>
          <w:p w14:paraId="528D1C24" w14:textId="77777777" w:rsidR="00B6201C" w:rsidRPr="00E70587" w:rsidRDefault="00B6201C" w:rsidP="00B620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Financial liabilities</w:t>
            </w:r>
          </w:p>
        </w:tc>
        <w:tc>
          <w:tcPr>
            <w:tcW w:w="412" w:type="pct"/>
            <w:vAlign w:val="center"/>
          </w:tcPr>
          <w:p w14:paraId="0A7D7FAD" w14:textId="77777777" w:rsidR="00B6201C" w:rsidRPr="00E70587" w:rsidRDefault="00B6201C" w:rsidP="00B6201C">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693" w:type="pct"/>
            <w:vAlign w:val="bottom"/>
          </w:tcPr>
          <w:p w14:paraId="0B97C739" w14:textId="77777777" w:rsidR="00B6201C" w:rsidRPr="00E70587" w:rsidRDefault="00B6201C" w:rsidP="00B6201C">
            <w:pPr>
              <w:overflowPunct/>
              <w:spacing w:line="280" w:lineRule="exact"/>
              <w:jc w:val="right"/>
              <w:textAlignment w:val="auto"/>
              <w:rPr>
                <w:rFonts w:ascii="Arial" w:hAnsi="Arial" w:cs="Arial"/>
                <w:sz w:val="20"/>
                <w:lang w:eastAsia="en-GB"/>
              </w:rPr>
            </w:pPr>
          </w:p>
        </w:tc>
        <w:tc>
          <w:tcPr>
            <w:tcW w:w="858" w:type="pct"/>
            <w:vAlign w:val="bottom"/>
          </w:tcPr>
          <w:p w14:paraId="58C29219" w14:textId="77777777" w:rsidR="00B6201C" w:rsidRPr="00E70587" w:rsidRDefault="00B6201C" w:rsidP="00B6201C">
            <w:pPr>
              <w:overflowPunct/>
              <w:spacing w:line="280" w:lineRule="exact"/>
              <w:jc w:val="right"/>
              <w:textAlignment w:val="auto"/>
              <w:rPr>
                <w:rFonts w:ascii="Arial" w:hAnsi="Arial" w:cs="Arial"/>
                <w:sz w:val="20"/>
                <w:lang w:eastAsia="en-GB"/>
              </w:rPr>
            </w:pPr>
          </w:p>
        </w:tc>
        <w:tc>
          <w:tcPr>
            <w:tcW w:w="948" w:type="pct"/>
            <w:vAlign w:val="bottom"/>
          </w:tcPr>
          <w:p w14:paraId="3B6BB25B" w14:textId="77777777" w:rsidR="00B6201C" w:rsidRPr="00E70587" w:rsidRDefault="00B6201C" w:rsidP="00B6201C">
            <w:pPr>
              <w:overflowPunct/>
              <w:spacing w:line="280" w:lineRule="exact"/>
              <w:jc w:val="right"/>
              <w:textAlignment w:val="auto"/>
              <w:rPr>
                <w:rFonts w:ascii="Arial" w:hAnsi="Arial" w:cs="Arial"/>
                <w:sz w:val="20"/>
                <w:lang w:eastAsia="en-GB"/>
              </w:rPr>
            </w:pPr>
          </w:p>
        </w:tc>
      </w:tr>
      <w:tr w:rsidR="00B6201C" w:rsidRPr="00E70587" w14:paraId="19A884ED" w14:textId="77777777" w:rsidTr="00EE4FD0">
        <w:tc>
          <w:tcPr>
            <w:tcW w:w="2088" w:type="pct"/>
            <w:vAlign w:val="bottom"/>
          </w:tcPr>
          <w:p w14:paraId="5B5CE9A5" w14:textId="77777777" w:rsidR="00B6201C" w:rsidRPr="00E70587" w:rsidRDefault="00B6201C" w:rsidP="00B6201C">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Borrowings</w:t>
            </w:r>
          </w:p>
        </w:tc>
        <w:tc>
          <w:tcPr>
            <w:tcW w:w="412" w:type="pct"/>
            <w:vAlign w:val="center"/>
          </w:tcPr>
          <w:p w14:paraId="167C53FB" w14:textId="77777777" w:rsidR="00B6201C" w:rsidRPr="00E70587" w:rsidRDefault="00B6201C" w:rsidP="00B6201C">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14</w:t>
            </w:r>
          </w:p>
        </w:tc>
        <w:tc>
          <w:tcPr>
            <w:tcW w:w="693" w:type="pct"/>
            <w:vAlign w:val="center"/>
          </w:tcPr>
          <w:p w14:paraId="3AAE9362" w14:textId="137F8399" w:rsidR="00B6201C" w:rsidRPr="00E70587" w:rsidRDefault="00B6201C" w:rsidP="00B6201C">
            <w:pPr>
              <w:overflowPunct/>
              <w:spacing w:line="280" w:lineRule="exact"/>
              <w:jc w:val="right"/>
              <w:textAlignment w:val="auto"/>
              <w:rPr>
                <w:rFonts w:ascii="Arial" w:hAnsi="Arial" w:cs="Arial"/>
                <w:sz w:val="20"/>
                <w:lang w:eastAsia="en-GB"/>
              </w:rPr>
            </w:pPr>
          </w:p>
        </w:tc>
        <w:tc>
          <w:tcPr>
            <w:tcW w:w="858" w:type="pct"/>
            <w:vAlign w:val="center"/>
          </w:tcPr>
          <w:p w14:paraId="5658F037" w14:textId="1DE8488B"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1,739</w:t>
            </w:r>
          </w:p>
        </w:tc>
        <w:tc>
          <w:tcPr>
            <w:tcW w:w="948" w:type="pct"/>
            <w:vAlign w:val="center"/>
          </w:tcPr>
          <w:p w14:paraId="2D04511D" w14:textId="7333CCAB" w:rsidR="00B6201C" w:rsidRPr="00E70587" w:rsidRDefault="00B6201C" w:rsidP="00B6201C">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4,770</w:t>
            </w:r>
          </w:p>
        </w:tc>
      </w:tr>
      <w:tr w:rsidR="005A1A7A" w:rsidRPr="00E70587" w14:paraId="4CDFC730" w14:textId="77777777" w:rsidTr="00FF32A7">
        <w:tc>
          <w:tcPr>
            <w:tcW w:w="2088" w:type="pct"/>
            <w:vAlign w:val="bottom"/>
          </w:tcPr>
          <w:p w14:paraId="78405847" w14:textId="3981D059" w:rsidR="005A1A7A" w:rsidRPr="00E70587" w:rsidRDefault="005A1A7A" w:rsidP="005A1A7A">
            <w:pPr>
              <w:pStyle w:val="tabletext"/>
              <w:overflowPunct w:val="0"/>
              <w:autoSpaceDE w:val="0"/>
              <w:autoSpaceDN w:val="0"/>
              <w:adjustRightInd w:val="0"/>
              <w:spacing w:line="280" w:lineRule="exact"/>
              <w:ind w:left="360"/>
              <w:textAlignment w:val="baseline"/>
              <w:rPr>
                <w:rFonts w:ascii="Arial" w:hAnsi="Arial" w:cs="Arial"/>
                <w:sz w:val="20"/>
                <w:lang w:val="en-IN"/>
              </w:rPr>
            </w:pPr>
            <w:r>
              <w:rPr>
                <w:rFonts w:ascii="Arial" w:hAnsi="Arial" w:cs="Arial"/>
                <w:sz w:val="20"/>
                <w:lang w:val="en-IN"/>
              </w:rPr>
              <w:t>Lease liabilities</w:t>
            </w:r>
          </w:p>
        </w:tc>
        <w:tc>
          <w:tcPr>
            <w:tcW w:w="412" w:type="pct"/>
            <w:vAlign w:val="center"/>
          </w:tcPr>
          <w:p w14:paraId="57878E35" w14:textId="043049CA" w:rsidR="005A1A7A" w:rsidRPr="00E70587" w:rsidRDefault="005A1A7A" w:rsidP="005A1A7A">
            <w:pPr>
              <w:pStyle w:val="tabletext"/>
              <w:overflowPunct w:val="0"/>
              <w:autoSpaceDE w:val="0"/>
              <w:autoSpaceDN w:val="0"/>
              <w:adjustRightInd w:val="0"/>
              <w:spacing w:line="280" w:lineRule="exact"/>
              <w:jc w:val="center"/>
              <w:textAlignment w:val="baseline"/>
              <w:rPr>
                <w:rFonts w:ascii="Arial" w:hAnsi="Arial" w:cs="Arial"/>
                <w:sz w:val="20"/>
              </w:rPr>
            </w:pPr>
            <w:r>
              <w:rPr>
                <w:rFonts w:ascii="Arial" w:hAnsi="Arial" w:cs="Arial"/>
                <w:sz w:val="20"/>
              </w:rPr>
              <w:t>42</w:t>
            </w:r>
          </w:p>
        </w:tc>
        <w:tc>
          <w:tcPr>
            <w:tcW w:w="693" w:type="pct"/>
          </w:tcPr>
          <w:p w14:paraId="06676F2F" w14:textId="77777777" w:rsidR="005A1A7A" w:rsidRPr="00E70587" w:rsidRDefault="005A1A7A" w:rsidP="005A1A7A">
            <w:pPr>
              <w:overflowPunct/>
              <w:spacing w:line="280" w:lineRule="exact"/>
              <w:jc w:val="right"/>
              <w:textAlignment w:val="auto"/>
              <w:rPr>
                <w:rFonts w:ascii="Arial" w:hAnsi="Arial" w:cs="Arial"/>
                <w:sz w:val="20"/>
              </w:rPr>
            </w:pPr>
          </w:p>
        </w:tc>
        <w:tc>
          <w:tcPr>
            <w:tcW w:w="858" w:type="pct"/>
            <w:vAlign w:val="center"/>
          </w:tcPr>
          <w:p w14:paraId="49210F14" w14:textId="7B22CC76" w:rsidR="005A1A7A" w:rsidRPr="00E70587" w:rsidRDefault="005A1A7A" w:rsidP="005A1A7A">
            <w:pPr>
              <w:overflowPunct/>
              <w:spacing w:line="280" w:lineRule="exact"/>
              <w:jc w:val="right"/>
              <w:textAlignment w:val="auto"/>
              <w:rPr>
                <w:rFonts w:ascii="Arial" w:hAnsi="Arial" w:cs="Arial"/>
                <w:sz w:val="20"/>
              </w:rPr>
            </w:pPr>
            <w:r>
              <w:rPr>
                <w:rFonts w:ascii="Arial" w:hAnsi="Arial" w:cs="Arial"/>
                <w:sz w:val="20"/>
                <w:lang w:eastAsia="en-GB"/>
              </w:rPr>
              <w:t>819</w:t>
            </w:r>
            <w:r w:rsidRPr="00E70587">
              <w:rPr>
                <w:rFonts w:ascii="Arial" w:hAnsi="Arial" w:cs="Arial"/>
                <w:sz w:val="20"/>
                <w:lang w:eastAsia="en-GB"/>
              </w:rPr>
              <w:t xml:space="preserve"> </w:t>
            </w:r>
          </w:p>
        </w:tc>
        <w:tc>
          <w:tcPr>
            <w:tcW w:w="948" w:type="pct"/>
            <w:vAlign w:val="center"/>
          </w:tcPr>
          <w:p w14:paraId="144C442A" w14:textId="010AB80B" w:rsidR="005A1A7A" w:rsidRPr="00E70587" w:rsidDel="00D557BB" w:rsidRDefault="005A1A7A" w:rsidP="005A1A7A">
            <w:pPr>
              <w:overflowPunct/>
              <w:spacing w:line="280" w:lineRule="exact"/>
              <w:jc w:val="right"/>
              <w:textAlignment w:val="auto"/>
              <w:rPr>
                <w:rFonts w:ascii="Arial" w:hAnsi="Arial" w:cs="Arial"/>
                <w:sz w:val="20"/>
              </w:rPr>
            </w:pPr>
            <w:r w:rsidRPr="00E70587">
              <w:rPr>
                <w:rFonts w:ascii="Arial" w:hAnsi="Arial" w:cs="Arial"/>
                <w:sz w:val="20"/>
                <w:lang w:eastAsia="en-GB"/>
              </w:rPr>
              <w:t xml:space="preserve"> </w:t>
            </w:r>
            <w:r>
              <w:rPr>
                <w:rFonts w:ascii="Arial" w:hAnsi="Arial" w:cs="Arial"/>
                <w:sz w:val="20"/>
                <w:lang w:eastAsia="en-GB"/>
              </w:rPr>
              <w:t>753</w:t>
            </w:r>
            <w:r w:rsidRPr="00E70587">
              <w:rPr>
                <w:rFonts w:ascii="Arial" w:hAnsi="Arial" w:cs="Arial"/>
                <w:sz w:val="20"/>
                <w:lang w:eastAsia="en-GB"/>
              </w:rPr>
              <w:t xml:space="preserve"> </w:t>
            </w:r>
          </w:p>
        </w:tc>
      </w:tr>
      <w:tr w:rsidR="005A1A7A" w:rsidRPr="00E70587" w14:paraId="440BA219" w14:textId="77777777" w:rsidTr="00EE4FD0">
        <w:tc>
          <w:tcPr>
            <w:tcW w:w="2088" w:type="pct"/>
            <w:vAlign w:val="bottom"/>
          </w:tcPr>
          <w:p w14:paraId="71004532" w14:textId="77777777" w:rsidR="005A1A7A" w:rsidRPr="00E70587" w:rsidRDefault="005A1A7A" w:rsidP="005A1A7A">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Trade payables</w:t>
            </w:r>
          </w:p>
        </w:tc>
        <w:tc>
          <w:tcPr>
            <w:tcW w:w="412" w:type="pct"/>
            <w:vAlign w:val="center"/>
          </w:tcPr>
          <w:p w14:paraId="326B8BD9" w14:textId="77777777" w:rsidR="005A1A7A" w:rsidRPr="00E70587" w:rsidRDefault="005A1A7A" w:rsidP="005A1A7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20A</w:t>
            </w:r>
          </w:p>
        </w:tc>
        <w:tc>
          <w:tcPr>
            <w:tcW w:w="693" w:type="pct"/>
          </w:tcPr>
          <w:p w14:paraId="62E0C0E6" w14:textId="253FA399"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w:t>
            </w:r>
          </w:p>
        </w:tc>
        <w:tc>
          <w:tcPr>
            <w:tcW w:w="858" w:type="pct"/>
          </w:tcPr>
          <w:p w14:paraId="635512D1" w14:textId="1573F894"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w:t>
            </w:r>
          </w:p>
        </w:tc>
        <w:tc>
          <w:tcPr>
            <w:tcW w:w="948" w:type="pct"/>
          </w:tcPr>
          <w:p w14:paraId="51BFBEE8" w14:textId="1D1410FF" w:rsidR="005A1A7A" w:rsidRPr="00E70587" w:rsidRDefault="005A1A7A" w:rsidP="005A1A7A">
            <w:pPr>
              <w:overflowPunct/>
              <w:spacing w:line="280" w:lineRule="exact"/>
              <w:jc w:val="right"/>
              <w:textAlignment w:val="auto"/>
              <w:rPr>
                <w:rFonts w:ascii="Arial" w:hAnsi="Arial" w:cs="Arial"/>
                <w:sz w:val="20"/>
                <w:lang w:eastAsia="en-GB"/>
              </w:rPr>
            </w:pPr>
          </w:p>
        </w:tc>
      </w:tr>
      <w:tr w:rsidR="005A1A7A" w:rsidRPr="00E70587" w14:paraId="1FAF81B0" w14:textId="77777777" w:rsidTr="00EE4FD0">
        <w:tc>
          <w:tcPr>
            <w:tcW w:w="2088" w:type="pct"/>
            <w:vAlign w:val="bottom"/>
          </w:tcPr>
          <w:p w14:paraId="03434D7B" w14:textId="2E6632FE" w:rsidR="005A1A7A" w:rsidRPr="00E70587" w:rsidRDefault="005A1A7A" w:rsidP="005A1A7A">
            <w:pPr>
              <w:pStyle w:val="tabletext"/>
              <w:overflowPunct w:val="0"/>
              <w:autoSpaceDE w:val="0"/>
              <w:autoSpaceDN w:val="0"/>
              <w:adjustRightInd w:val="0"/>
              <w:spacing w:line="280" w:lineRule="exact"/>
              <w:ind w:left="720"/>
              <w:textAlignment w:val="baseline"/>
              <w:rPr>
                <w:rFonts w:ascii="Arial" w:hAnsi="Arial" w:cs="Arial"/>
                <w:sz w:val="20"/>
                <w:lang w:val="en-IN"/>
              </w:rPr>
            </w:pPr>
            <w:r>
              <w:rPr>
                <w:rFonts w:ascii="Arial" w:hAnsi="Arial" w:cs="Arial"/>
                <w:sz w:val="20"/>
                <w:lang w:val="en-IN"/>
              </w:rPr>
              <w:t>Total outstanding dues of micro enterprises and small enterprises</w:t>
            </w:r>
          </w:p>
        </w:tc>
        <w:tc>
          <w:tcPr>
            <w:tcW w:w="412" w:type="pct"/>
            <w:vAlign w:val="center"/>
          </w:tcPr>
          <w:p w14:paraId="48002CD8" w14:textId="77777777" w:rsidR="005A1A7A" w:rsidRPr="00E70587" w:rsidRDefault="005A1A7A" w:rsidP="005A1A7A">
            <w:pPr>
              <w:pStyle w:val="tabletext"/>
              <w:overflowPunct w:val="0"/>
              <w:autoSpaceDE w:val="0"/>
              <w:autoSpaceDN w:val="0"/>
              <w:adjustRightInd w:val="0"/>
              <w:spacing w:line="280" w:lineRule="exact"/>
              <w:jc w:val="center"/>
              <w:textAlignment w:val="baseline"/>
              <w:rPr>
                <w:rFonts w:ascii="Arial" w:hAnsi="Arial" w:cs="Arial"/>
                <w:sz w:val="20"/>
              </w:rPr>
            </w:pPr>
          </w:p>
        </w:tc>
        <w:tc>
          <w:tcPr>
            <w:tcW w:w="693" w:type="pct"/>
          </w:tcPr>
          <w:p w14:paraId="49C5270C" w14:textId="77777777" w:rsidR="005A1A7A" w:rsidRPr="00E70587" w:rsidDel="00261AF4" w:rsidRDefault="005A1A7A" w:rsidP="005A1A7A">
            <w:pPr>
              <w:overflowPunct/>
              <w:spacing w:line="280" w:lineRule="exact"/>
              <w:jc w:val="right"/>
              <w:textAlignment w:val="auto"/>
              <w:rPr>
                <w:rFonts w:ascii="Arial" w:hAnsi="Arial" w:cs="Arial"/>
                <w:sz w:val="20"/>
                <w:lang w:eastAsia="en-GB"/>
              </w:rPr>
            </w:pPr>
          </w:p>
        </w:tc>
        <w:tc>
          <w:tcPr>
            <w:tcW w:w="858" w:type="pct"/>
          </w:tcPr>
          <w:p w14:paraId="2B77DA44" w14:textId="4B972DE8" w:rsidR="005A1A7A" w:rsidRPr="00E70587" w:rsidRDefault="005A1A7A" w:rsidP="005A1A7A">
            <w:pPr>
              <w:overflowPunct/>
              <w:spacing w:line="280" w:lineRule="exact"/>
              <w:jc w:val="right"/>
              <w:textAlignment w:val="auto"/>
              <w:rPr>
                <w:rFonts w:ascii="Arial" w:hAnsi="Arial" w:cs="Arial"/>
                <w:sz w:val="20"/>
                <w:lang w:eastAsia="en-GB"/>
              </w:rPr>
            </w:pPr>
            <w:r>
              <w:rPr>
                <w:rFonts w:ascii="Arial" w:hAnsi="Arial" w:cs="Arial"/>
                <w:sz w:val="20"/>
                <w:lang w:eastAsia="en-GB"/>
              </w:rPr>
              <w:t>42</w:t>
            </w:r>
          </w:p>
        </w:tc>
        <w:tc>
          <w:tcPr>
            <w:tcW w:w="948" w:type="pct"/>
          </w:tcPr>
          <w:p w14:paraId="2FFD338D" w14:textId="7408A652" w:rsidR="005A1A7A" w:rsidRPr="00E70587" w:rsidRDefault="005A1A7A" w:rsidP="005A1A7A">
            <w:pPr>
              <w:overflowPunct/>
              <w:spacing w:line="280" w:lineRule="exact"/>
              <w:jc w:val="right"/>
              <w:textAlignment w:val="auto"/>
              <w:rPr>
                <w:rFonts w:ascii="Arial" w:hAnsi="Arial" w:cs="Arial"/>
                <w:sz w:val="20"/>
                <w:lang w:eastAsia="en-GB"/>
              </w:rPr>
            </w:pPr>
            <w:r>
              <w:rPr>
                <w:rFonts w:ascii="Arial" w:hAnsi="Arial" w:cs="Arial"/>
                <w:sz w:val="20"/>
                <w:lang w:eastAsia="en-GB"/>
              </w:rPr>
              <w:t>12</w:t>
            </w:r>
          </w:p>
        </w:tc>
      </w:tr>
      <w:tr w:rsidR="005A1A7A" w:rsidRPr="00E70587" w14:paraId="6CD5A2D4" w14:textId="77777777" w:rsidTr="00EE4FD0">
        <w:tc>
          <w:tcPr>
            <w:tcW w:w="2088" w:type="pct"/>
            <w:vAlign w:val="bottom"/>
          </w:tcPr>
          <w:p w14:paraId="166FCBC7" w14:textId="331A268E" w:rsidR="005A1A7A" w:rsidRPr="00E70587" w:rsidRDefault="005A1A7A" w:rsidP="005A1A7A">
            <w:pPr>
              <w:pStyle w:val="tabletext"/>
              <w:overflowPunct w:val="0"/>
              <w:autoSpaceDE w:val="0"/>
              <w:autoSpaceDN w:val="0"/>
              <w:adjustRightInd w:val="0"/>
              <w:spacing w:line="280" w:lineRule="exact"/>
              <w:ind w:left="720"/>
              <w:textAlignment w:val="baseline"/>
              <w:rPr>
                <w:rFonts w:ascii="Arial" w:hAnsi="Arial" w:cs="Arial"/>
                <w:sz w:val="20"/>
                <w:lang w:val="en-IN"/>
              </w:rPr>
            </w:pPr>
            <w:r>
              <w:rPr>
                <w:rFonts w:ascii="Arial" w:hAnsi="Arial" w:cs="Arial"/>
                <w:sz w:val="20"/>
                <w:lang w:val="en-IN"/>
              </w:rPr>
              <w:t>Total outstanding dues of creditors other than micro enterprises and small enterprises</w:t>
            </w:r>
          </w:p>
        </w:tc>
        <w:tc>
          <w:tcPr>
            <w:tcW w:w="412" w:type="pct"/>
            <w:vAlign w:val="center"/>
          </w:tcPr>
          <w:p w14:paraId="59E9509B" w14:textId="77777777" w:rsidR="005A1A7A" w:rsidRPr="00E70587" w:rsidRDefault="005A1A7A" w:rsidP="005A1A7A">
            <w:pPr>
              <w:pStyle w:val="tabletext"/>
              <w:overflowPunct w:val="0"/>
              <w:autoSpaceDE w:val="0"/>
              <w:autoSpaceDN w:val="0"/>
              <w:adjustRightInd w:val="0"/>
              <w:spacing w:line="280" w:lineRule="exact"/>
              <w:jc w:val="center"/>
              <w:textAlignment w:val="baseline"/>
              <w:rPr>
                <w:rFonts w:ascii="Arial" w:hAnsi="Arial" w:cs="Arial"/>
                <w:sz w:val="20"/>
              </w:rPr>
            </w:pPr>
          </w:p>
        </w:tc>
        <w:tc>
          <w:tcPr>
            <w:tcW w:w="693" w:type="pct"/>
          </w:tcPr>
          <w:p w14:paraId="66C636CD" w14:textId="77777777" w:rsidR="005A1A7A" w:rsidRPr="00E70587" w:rsidDel="00261AF4" w:rsidRDefault="005A1A7A" w:rsidP="005A1A7A">
            <w:pPr>
              <w:overflowPunct/>
              <w:spacing w:line="280" w:lineRule="exact"/>
              <w:jc w:val="right"/>
              <w:textAlignment w:val="auto"/>
              <w:rPr>
                <w:rFonts w:ascii="Arial" w:hAnsi="Arial" w:cs="Arial"/>
                <w:sz w:val="20"/>
                <w:lang w:eastAsia="en-GB"/>
              </w:rPr>
            </w:pPr>
          </w:p>
        </w:tc>
        <w:tc>
          <w:tcPr>
            <w:tcW w:w="858" w:type="pct"/>
          </w:tcPr>
          <w:p w14:paraId="5D315746" w14:textId="3982CE6C"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27,8</w:t>
            </w:r>
            <w:r>
              <w:rPr>
                <w:rFonts w:ascii="Arial" w:hAnsi="Arial" w:cs="Arial"/>
                <w:sz w:val="20"/>
              </w:rPr>
              <w:t>24</w:t>
            </w:r>
          </w:p>
        </w:tc>
        <w:tc>
          <w:tcPr>
            <w:tcW w:w="948" w:type="pct"/>
          </w:tcPr>
          <w:p w14:paraId="48EDFB7C" w14:textId="4F3AB87B"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30,1</w:t>
            </w:r>
            <w:r>
              <w:rPr>
                <w:rFonts w:ascii="Arial" w:hAnsi="Arial" w:cs="Arial"/>
                <w:sz w:val="20"/>
              </w:rPr>
              <w:t>56</w:t>
            </w:r>
          </w:p>
        </w:tc>
      </w:tr>
      <w:tr w:rsidR="005A1A7A" w:rsidRPr="00E70587" w14:paraId="4339FB1A" w14:textId="77777777" w:rsidTr="00EE4FD0">
        <w:tc>
          <w:tcPr>
            <w:tcW w:w="2088" w:type="pct"/>
            <w:vAlign w:val="bottom"/>
          </w:tcPr>
          <w:p w14:paraId="0D566E6E" w14:textId="77777777" w:rsidR="005A1A7A" w:rsidRPr="00E70587" w:rsidRDefault="005A1A7A" w:rsidP="005A1A7A">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Other payables</w:t>
            </w:r>
          </w:p>
        </w:tc>
        <w:tc>
          <w:tcPr>
            <w:tcW w:w="412" w:type="pct"/>
            <w:vAlign w:val="center"/>
          </w:tcPr>
          <w:p w14:paraId="47D7212A" w14:textId="77777777" w:rsidR="005A1A7A" w:rsidRPr="00E70587" w:rsidRDefault="005A1A7A" w:rsidP="005A1A7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20B</w:t>
            </w:r>
          </w:p>
        </w:tc>
        <w:tc>
          <w:tcPr>
            <w:tcW w:w="693" w:type="pct"/>
          </w:tcPr>
          <w:p w14:paraId="232032BC" w14:textId="25DCC833" w:rsidR="005A1A7A" w:rsidRPr="00E70587" w:rsidRDefault="005A1A7A" w:rsidP="005A1A7A">
            <w:pPr>
              <w:overflowPunct/>
              <w:spacing w:line="280" w:lineRule="exact"/>
              <w:jc w:val="right"/>
              <w:textAlignment w:val="auto"/>
              <w:rPr>
                <w:rFonts w:ascii="Arial" w:hAnsi="Arial" w:cs="Arial"/>
                <w:sz w:val="20"/>
                <w:lang w:eastAsia="en-GB"/>
              </w:rPr>
            </w:pPr>
          </w:p>
        </w:tc>
        <w:tc>
          <w:tcPr>
            <w:tcW w:w="858" w:type="pct"/>
          </w:tcPr>
          <w:p w14:paraId="25470E0C" w14:textId="21F923E5"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3,377</w:t>
            </w:r>
          </w:p>
        </w:tc>
        <w:tc>
          <w:tcPr>
            <w:tcW w:w="948" w:type="pct"/>
          </w:tcPr>
          <w:p w14:paraId="31F29B3B" w14:textId="6DE2DA16"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3,173</w:t>
            </w:r>
          </w:p>
        </w:tc>
      </w:tr>
      <w:tr w:rsidR="00593DC5" w:rsidRPr="00E70587" w14:paraId="1C7C246D" w14:textId="77777777" w:rsidTr="00FF32A7">
        <w:tc>
          <w:tcPr>
            <w:tcW w:w="2088" w:type="pct"/>
            <w:vAlign w:val="bottom"/>
          </w:tcPr>
          <w:p w14:paraId="2262F807" w14:textId="77777777" w:rsidR="00593DC5" w:rsidRPr="00E70587" w:rsidRDefault="00593DC5" w:rsidP="00593DC5">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Other financial liabilities</w:t>
            </w:r>
          </w:p>
        </w:tc>
        <w:tc>
          <w:tcPr>
            <w:tcW w:w="412" w:type="pct"/>
            <w:vAlign w:val="center"/>
          </w:tcPr>
          <w:p w14:paraId="49D1E761" w14:textId="77777777" w:rsidR="00593DC5" w:rsidRPr="00E70587" w:rsidRDefault="00593DC5" w:rsidP="00593DC5">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15</w:t>
            </w:r>
          </w:p>
        </w:tc>
        <w:tc>
          <w:tcPr>
            <w:tcW w:w="693" w:type="pct"/>
            <w:vAlign w:val="center"/>
          </w:tcPr>
          <w:p w14:paraId="14A64EFB" w14:textId="32D56C4A" w:rsidR="00593DC5" w:rsidRPr="00E70587" w:rsidRDefault="00593DC5" w:rsidP="00593DC5">
            <w:pPr>
              <w:overflowPunct/>
              <w:spacing w:line="280" w:lineRule="exact"/>
              <w:jc w:val="right"/>
              <w:textAlignment w:val="auto"/>
              <w:rPr>
                <w:rFonts w:ascii="Arial" w:hAnsi="Arial" w:cs="Arial"/>
                <w:sz w:val="20"/>
                <w:lang w:eastAsia="en-GB"/>
              </w:rPr>
            </w:pPr>
          </w:p>
        </w:tc>
        <w:tc>
          <w:tcPr>
            <w:tcW w:w="858" w:type="pct"/>
          </w:tcPr>
          <w:p w14:paraId="4B30A563" w14:textId="40A814BF" w:rsidR="00593DC5" w:rsidRPr="00593DC5" w:rsidRDefault="00593DC5" w:rsidP="00593DC5">
            <w:pPr>
              <w:overflowPunct/>
              <w:spacing w:line="280" w:lineRule="exact"/>
              <w:jc w:val="right"/>
              <w:textAlignment w:val="auto"/>
              <w:rPr>
                <w:rFonts w:ascii="Arial" w:hAnsi="Arial" w:cs="Arial"/>
                <w:sz w:val="20"/>
                <w:lang w:eastAsia="en-GB"/>
              </w:rPr>
            </w:pPr>
            <w:r w:rsidRPr="00593DC5">
              <w:rPr>
                <w:rFonts w:ascii="Arial" w:hAnsi="Arial" w:cs="Arial"/>
                <w:sz w:val="20"/>
                <w:lang w:eastAsia="en-GB"/>
              </w:rPr>
              <w:t>8,012</w:t>
            </w:r>
          </w:p>
        </w:tc>
        <w:tc>
          <w:tcPr>
            <w:tcW w:w="948" w:type="pct"/>
            <w:tcBorders>
              <w:right w:val="nil"/>
            </w:tcBorders>
          </w:tcPr>
          <w:p w14:paraId="24459544" w14:textId="0B30B044" w:rsidR="00593DC5" w:rsidRPr="00593DC5" w:rsidRDefault="00593DC5" w:rsidP="00593DC5">
            <w:pPr>
              <w:overflowPunct/>
              <w:spacing w:line="280" w:lineRule="exact"/>
              <w:jc w:val="right"/>
              <w:textAlignment w:val="auto"/>
              <w:rPr>
                <w:rFonts w:ascii="Arial" w:hAnsi="Arial" w:cs="Arial"/>
                <w:sz w:val="20"/>
                <w:lang w:eastAsia="en-GB"/>
              </w:rPr>
            </w:pPr>
            <w:r w:rsidRPr="00593DC5">
              <w:rPr>
                <w:rFonts w:ascii="Arial" w:hAnsi="Arial" w:cs="Arial"/>
                <w:sz w:val="20"/>
                <w:lang w:eastAsia="en-GB"/>
              </w:rPr>
              <w:t>678</w:t>
            </w:r>
          </w:p>
        </w:tc>
      </w:tr>
      <w:tr w:rsidR="005A1A7A" w:rsidRPr="00E70587" w14:paraId="0DD7EA26" w14:textId="77777777" w:rsidTr="00EE4FD0">
        <w:tc>
          <w:tcPr>
            <w:tcW w:w="2088" w:type="pct"/>
            <w:vAlign w:val="bottom"/>
          </w:tcPr>
          <w:p w14:paraId="618E3174" w14:textId="77777777" w:rsidR="005A1A7A" w:rsidRPr="00E70587" w:rsidRDefault="005A1A7A" w:rsidP="005A1A7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Refund liability</w:t>
            </w:r>
          </w:p>
        </w:tc>
        <w:tc>
          <w:tcPr>
            <w:tcW w:w="412" w:type="pct"/>
            <w:vAlign w:val="center"/>
          </w:tcPr>
          <w:p w14:paraId="270C1066" w14:textId="77777777" w:rsidR="005A1A7A" w:rsidRPr="00E70587" w:rsidRDefault="005A1A7A" w:rsidP="005A1A7A">
            <w:pPr>
              <w:pStyle w:val="tabletext"/>
              <w:overflowPunct w:val="0"/>
              <w:autoSpaceDE w:val="0"/>
              <w:autoSpaceDN w:val="0"/>
              <w:adjustRightInd w:val="0"/>
              <w:spacing w:line="280" w:lineRule="exact"/>
              <w:jc w:val="center"/>
              <w:textAlignment w:val="baseline"/>
              <w:rPr>
                <w:rFonts w:ascii="Arial" w:hAnsi="Arial" w:cs="Arial"/>
                <w:sz w:val="20"/>
              </w:rPr>
            </w:pPr>
            <w:r>
              <w:rPr>
                <w:rFonts w:ascii="Arial" w:hAnsi="Arial" w:cs="Arial"/>
                <w:sz w:val="20"/>
              </w:rPr>
              <w:t>50</w:t>
            </w:r>
          </w:p>
        </w:tc>
        <w:tc>
          <w:tcPr>
            <w:tcW w:w="693" w:type="pct"/>
          </w:tcPr>
          <w:p w14:paraId="14DDEA0E" w14:textId="65E6E21D"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w:t>
            </w:r>
          </w:p>
        </w:tc>
        <w:tc>
          <w:tcPr>
            <w:tcW w:w="858" w:type="pct"/>
          </w:tcPr>
          <w:p w14:paraId="2068DC20" w14:textId="657D6254"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2,304</w:t>
            </w:r>
          </w:p>
        </w:tc>
        <w:tc>
          <w:tcPr>
            <w:tcW w:w="948" w:type="pct"/>
            <w:tcBorders>
              <w:right w:val="nil"/>
            </w:tcBorders>
          </w:tcPr>
          <w:p w14:paraId="71D18493" w14:textId="16320AA8"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2,425</w:t>
            </w:r>
          </w:p>
        </w:tc>
      </w:tr>
      <w:tr w:rsidR="005A1A7A" w:rsidRPr="00E70587" w14:paraId="48C92C35" w14:textId="77777777" w:rsidTr="00EE4FD0">
        <w:tc>
          <w:tcPr>
            <w:tcW w:w="2088" w:type="pct"/>
            <w:vAlign w:val="bottom"/>
          </w:tcPr>
          <w:p w14:paraId="2F3E7944" w14:textId="77777777" w:rsidR="005A1A7A" w:rsidRPr="00E70587" w:rsidRDefault="005A1A7A" w:rsidP="005A1A7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Contract liability</w:t>
            </w:r>
          </w:p>
        </w:tc>
        <w:tc>
          <w:tcPr>
            <w:tcW w:w="412" w:type="pct"/>
            <w:vAlign w:val="center"/>
          </w:tcPr>
          <w:p w14:paraId="0ABEE7CB" w14:textId="77777777" w:rsidR="005A1A7A" w:rsidRPr="00E70587" w:rsidRDefault="005A1A7A" w:rsidP="005A1A7A">
            <w:pPr>
              <w:pStyle w:val="tabletext"/>
              <w:overflowPunct w:val="0"/>
              <w:autoSpaceDE w:val="0"/>
              <w:autoSpaceDN w:val="0"/>
              <w:adjustRightInd w:val="0"/>
              <w:spacing w:line="280" w:lineRule="exact"/>
              <w:jc w:val="center"/>
              <w:textAlignment w:val="baseline"/>
              <w:rPr>
                <w:rFonts w:ascii="Arial" w:hAnsi="Arial" w:cs="Arial"/>
                <w:sz w:val="20"/>
              </w:rPr>
            </w:pPr>
            <w:r w:rsidRPr="00E70587">
              <w:rPr>
                <w:rFonts w:ascii="Arial" w:hAnsi="Arial" w:cs="Arial"/>
                <w:sz w:val="20"/>
              </w:rPr>
              <w:t>18</w:t>
            </w:r>
          </w:p>
        </w:tc>
        <w:tc>
          <w:tcPr>
            <w:tcW w:w="693" w:type="pct"/>
          </w:tcPr>
          <w:p w14:paraId="58CF122A" w14:textId="18CF9637"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w:t>
            </w:r>
          </w:p>
        </w:tc>
        <w:tc>
          <w:tcPr>
            <w:tcW w:w="858" w:type="pct"/>
          </w:tcPr>
          <w:p w14:paraId="1AF8B0AC" w14:textId="6EC284E2"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272</w:t>
            </w:r>
          </w:p>
        </w:tc>
        <w:tc>
          <w:tcPr>
            <w:tcW w:w="948" w:type="pct"/>
            <w:tcBorders>
              <w:right w:val="nil"/>
            </w:tcBorders>
          </w:tcPr>
          <w:p w14:paraId="519E810A" w14:textId="3770C830"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229</w:t>
            </w:r>
          </w:p>
        </w:tc>
      </w:tr>
      <w:tr w:rsidR="005A1A7A" w:rsidRPr="00E70587" w14:paraId="1E7DD4E7" w14:textId="77777777" w:rsidTr="00EE4FD0">
        <w:tc>
          <w:tcPr>
            <w:tcW w:w="2088" w:type="pct"/>
            <w:vAlign w:val="bottom"/>
          </w:tcPr>
          <w:p w14:paraId="68B1C358" w14:textId="77777777" w:rsidR="005A1A7A" w:rsidRPr="00E70587" w:rsidRDefault="005A1A7A" w:rsidP="005A1A7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Government grants </w:t>
            </w:r>
          </w:p>
        </w:tc>
        <w:tc>
          <w:tcPr>
            <w:tcW w:w="412" w:type="pct"/>
            <w:vAlign w:val="center"/>
          </w:tcPr>
          <w:p w14:paraId="069FFBDC" w14:textId="77777777" w:rsidR="005A1A7A" w:rsidRPr="00E70587" w:rsidRDefault="005A1A7A" w:rsidP="005A1A7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17</w:t>
            </w:r>
          </w:p>
        </w:tc>
        <w:tc>
          <w:tcPr>
            <w:tcW w:w="693" w:type="pct"/>
          </w:tcPr>
          <w:p w14:paraId="428DE82F" w14:textId="7CBCBD77" w:rsidR="005A1A7A" w:rsidRPr="00E70587" w:rsidRDefault="005A1A7A" w:rsidP="005A1A7A">
            <w:pPr>
              <w:overflowPunct/>
              <w:spacing w:line="280" w:lineRule="exact"/>
              <w:jc w:val="right"/>
              <w:textAlignment w:val="auto"/>
              <w:rPr>
                <w:rFonts w:ascii="Arial" w:hAnsi="Arial" w:cs="Arial"/>
                <w:sz w:val="20"/>
                <w:lang w:eastAsia="en-GB"/>
              </w:rPr>
            </w:pPr>
          </w:p>
        </w:tc>
        <w:tc>
          <w:tcPr>
            <w:tcW w:w="858" w:type="pct"/>
          </w:tcPr>
          <w:p w14:paraId="591134EE" w14:textId="6FBD6AE0"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268</w:t>
            </w:r>
          </w:p>
        </w:tc>
        <w:tc>
          <w:tcPr>
            <w:tcW w:w="948" w:type="pct"/>
            <w:tcBorders>
              <w:right w:val="nil"/>
            </w:tcBorders>
          </w:tcPr>
          <w:p w14:paraId="042870D9" w14:textId="50B9FBE6"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272</w:t>
            </w:r>
          </w:p>
        </w:tc>
      </w:tr>
      <w:tr w:rsidR="005A1A7A" w:rsidRPr="00E70587" w14:paraId="68160E82" w14:textId="77777777" w:rsidTr="00FF32A7">
        <w:tc>
          <w:tcPr>
            <w:tcW w:w="2088" w:type="pct"/>
            <w:vAlign w:val="bottom"/>
          </w:tcPr>
          <w:p w14:paraId="1298A9CE" w14:textId="77777777" w:rsidR="005A1A7A" w:rsidRPr="00E70587" w:rsidRDefault="005A1A7A" w:rsidP="005A1A7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Provisions</w:t>
            </w:r>
          </w:p>
        </w:tc>
        <w:tc>
          <w:tcPr>
            <w:tcW w:w="412" w:type="pct"/>
            <w:vAlign w:val="center"/>
          </w:tcPr>
          <w:p w14:paraId="05B70879" w14:textId="77777777" w:rsidR="005A1A7A" w:rsidRPr="00E70587" w:rsidRDefault="005A1A7A" w:rsidP="005A1A7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16</w:t>
            </w:r>
          </w:p>
        </w:tc>
        <w:tc>
          <w:tcPr>
            <w:tcW w:w="693" w:type="pct"/>
            <w:tcBorders>
              <w:bottom w:val="nil"/>
            </w:tcBorders>
          </w:tcPr>
          <w:p w14:paraId="59CCCC1E" w14:textId="0A018F62" w:rsidR="005A1A7A" w:rsidRPr="00E70587" w:rsidRDefault="005A1A7A" w:rsidP="005A1A7A">
            <w:pPr>
              <w:overflowPunct/>
              <w:spacing w:line="280" w:lineRule="exact"/>
              <w:jc w:val="right"/>
              <w:textAlignment w:val="auto"/>
              <w:rPr>
                <w:rFonts w:ascii="Arial" w:hAnsi="Arial" w:cs="Arial"/>
                <w:sz w:val="20"/>
                <w:lang w:eastAsia="en-GB"/>
              </w:rPr>
            </w:pPr>
          </w:p>
        </w:tc>
        <w:tc>
          <w:tcPr>
            <w:tcW w:w="858" w:type="pct"/>
          </w:tcPr>
          <w:p w14:paraId="20BF83A7" w14:textId="78E65A7F"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1,530</w:t>
            </w:r>
          </w:p>
        </w:tc>
        <w:tc>
          <w:tcPr>
            <w:tcW w:w="948" w:type="pct"/>
            <w:tcBorders>
              <w:right w:val="nil"/>
            </w:tcBorders>
            <w:vAlign w:val="center"/>
          </w:tcPr>
          <w:p w14:paraId="6E2A4E98" w14:textId="382AA74F" w:rsidR="005A1A7A" w:rsidRPr="00E70587" w:rsidRDefault="005A1A7A" w:rsidP="005A1A7A">
            <w:pPr>
              <w:overflowPunct/>
              <w:spacing w:line="280" w:lineRule="exact"/>
              <w:jc w:val="right"/>
              <w:textAlignment w:val="auto"/>
              <w:rPr>
                <w:rFonts w:ascii="Arial" w:hAnsi="Arial" w:cs="Arial"/>
                <w:sz w:val="20"/>
                <w:lang w:eastAsia="en-GB"/>
              </w:rPr>
            </w:pPr>
            <w:r>
              <w:rPr>
                <w:rFonts w:ascii="Arial" w:hAnsi="Arial" w:cs="Arial"/>
                <w:color w:val="000000"/>
                <w:sz w:val="20"/>
                <w:lang w:eastAsia="en-GB"/>
              </w:rPr>
              <w:t>175</w:t>
            </w:r>
          </w:p>
        </w:tc>
      </w:tr>
      <w:tr w:rsidR="005A1A7A" w:rsidRPr="00E70587" w14:paraId="5AC25A99" w14:textId="77777777" w:rsidTr="008B3529">
        <w:tc>
          <w:tcPr>
            <w:tcW w:w="2088" w:type="pct"/>
            <w:vAlign w:val="bottom"/>
          </w:tcPr>
          <w:p w14:paraId="0EF3C550" w14:textId="77777777" w:rsidR="005A1A7A" w:rsidRPr="00E70587" w:rsidRDefault="005A1A7A" w:rsidP="005A1A7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Liabilities for current taxes (net)</w:t>
            </w:r>
          </w:p>
        </w:tc>
        <w:tc>
          <w:tcPr>
            <w:tcW w:w="412" w:type="pct"/>
            <w:vAlign w:val="center"/>
          </w:tcPr>
          <w:p w14:paraId="38E544D6" w14:textId="77777777" w:rsidR="005A1A7A" w:rsidRPr="00E70587" w:rsidRDefault="005A1A7A" w:rsidP="005A1A7A">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693" w:type="pct"/>
          </w:tcPr>
          <w:p w14:paraId="4E8E971D" w14:textId="77777777" w:rsidR="005A1A7A" w:rsidRPr="00E70587" w:rsidRDefault="005A1A7A" w:rsidP="005A1A7A">
            <w:pPr>
              <w:overflowPunct/>
              <w:spacing w:line="280" w:lineRule="exact"/>
              <w:jc w:val="right"/>
              <w:textAlignment w:val="auto"/>
              <w:rPr>
                <w:rFonts w:ascii="Arial" w:hAnsi="Arial" w:cs="Arial"/>
                <w:sz w:val="20"/>
                <w:lang w:eastAsia="en-GB"/>
              </w:rPr>
            </w:pPr>
          </w:p>
        </w:tc>
        <w:tc>
          <w:tcPr>
            <w:tcW w:w="858" w:type="pct"/>
          </w:tcPr>
          <w:p w14:paraId="4F48176A" w14:textId="278177E2"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w:t>
            </w:r>
            <w:r w:rsidR="00481559">
              <w:rPr>
                <w:rFonts w:ascii="Arial" w:hAnsi="Arial" w:cs="Arial"/>
                <w:sz w:val="20"/>
                <w:lang w:eastAsia="en-GB"/>
              </w:rPr>
              <w:t>4</w:t>
            </w:r>
            <w:r w:rsidRPr="00E70587">
              <w:rPr>
                <w:rFonts w:ascii="Arial" w:hAnsi="Arial" w:cs="Arial"/>
                <w:sz w:val="20"/>
                <w:lang w:eastAsia="en-GB"/>
              </w:rPr>
              <w:t>20</w:t>
            </w:r>
          </w:p>
        </w:tc>
        <w:tc>
          <w:tcPr>
            <w:tcW w:w="948" w:type="pct"/>
            <w:tcBorders>
              <w:right w:val="nil"/>
            </w:tcBorders>
          </w:tcPr>
          <w:p w14:paraId="1BB71C38" w14:textId="77777777"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6,413</w:t>
            </w:r>
          </w:p>
        </w:tc>
      </w:tr>
      <w:tr w:rsidR="005A1A7A" w:rsidRPr="00394212" w14:paraId="7D13873D" w14:textId="77777777" w:rsidTr="00FF32A7">
        <w:tc>
          <w:tcPr>
            <w:tcW w:w="2088" w:type="pct"/>
            <w:vAlign w:val="bottom"/>
          </w:tcPr>
          <w:p w14:paraId="5FA57F91" w14:textId="77777777" w:rsidR="005A1A7A" w:rsidRPr="00394212" w:rsidRDefault="005A1A7A" w:rsidP="005A1A7A">
            <w:pPr>
              <w:pStyle w:val="tabletext"/>
              <w:overflowPunct w:val="0"/>
              <w:autoSpaceDE w:val="0"/>
              <w:autoSpaceDN w:val="0"/>
              <w:adjustRightInd w:val="0"/>
              <w:spacing w:line="280" w:lineRule="exact"/>
              <w:textAlignment w:val="baseline"/>
              <w:rPr>
                <w:rFonts w:ascii="Arial" w:hAnsi="Arial" w:cs="Arial"/>
                <w:b/>
                <w:sz w:val="20"/>
                <w:lang w:val="en-IN"/>
              </w:rPr>
            </w:pPr>
          </w:p>
        </w:tc>
        <w:tc>
          <w:tcPr>
            <w:tcW w:w="412" w:type="pct"/>
            <w:vAlign w:val="center"/>
          </w:tcPr>
          <w:p w14:paraId="6B1BC3A7" w14:textId="77777777" w:rsidR="005A1A7A" w:rsidRPr="00394212" w:rsidRDefault="005A1A7A" w:rsidP="005A1A7A">
            <w:pPr>
              <w:pStyle w:val="tabletext"/>
              <w:overflowPunct w:val="0"/>
              <w:autoSpaceDE w:val="0"/>
              <w:autoSpaceDN w:val="0"/>
              <w:adjustRightInd w:val="0"/>
              <w:spacing w:line="280" w:lineRule="exact"/>
              <w:jc w:val="center"/>
              <w:textAlignment w:val="baseline"/>
              <w:rPr>
                <w:rFonts w:ascii="Arial" w:hAnsi="Arial" w:cs="Arial"/>
                <w:b/>
                <w:sz w:val="20"/>
                <w:lang w:val="en-IN"/>
              </w:rPr>
            </w:pPr>
          </w:p>
        </w:tc>
        <w:tc>
          <w:tcPr>
            <w:tcW w:w="693" w:type="pct"/>
            <w:tcBorders>
              <w:top w:val="nil"/>
              <w:bottom w:val="nil"/>
            </w:tcBorders>
            <w:vAlign w:val="center"/>
          </w:tcPr>
          <w:p w14:paraId="232DBFAD" w14:textId="57614E33" w:rsidR="005A1A7A" w:rsidRPr="00394212" w:rsidRDefault="005A1A7A" w:rsidP="005A1A7A">
            <w:pPr>
              <w:overflowPunct/>
              <w:spacing w:line="280" w:lineRule="exact"/>
              <w:jc w:val="right"/>
              <w:textAlignment w:val="auto"/>
              <w:rPr>
                <w:rFonts w:ascii="Arial" w:hAnsi="Arial" w:cs="Arial"/>
                <w:b/>
                <w:sz w:val="20"/>
                <w:lang w:eastAsia="en-GB"/>
              </w:rPr>
            </w:pPr>
            <w:r w:rsidRPr="00394212">
              <w:rPr>
                <w:rFonts w:ascii="Arial" w:hAnsi="Arial" w:cs="Arial"/>
                <w:b/>
                <w:color w:val="000000"/>
                <w:sz w:val="20"/>
              </w:rPr>
              <w:t xml:space="preserve"> </w:t>
            </w:r>
          </w:p>
        </w:tc>
        <w:tc>
          <w:tcPr>
            <w:tcW w:w="858" w:type="pct"/>
            <w:tcBorders>
              <w:top w:val="single" w:sz="4" w:space="0" w:color="auto"/>
            </w:tcBorders>
            <w:vAlign w:val="center"/>
          </w:tcPr>
          <w:p w14:paraId="2D1F19CE" w14:textId="4B01E5D3" w:rsidR="005A1A7A" w:rsidRPr="0096417F" w:rsidRDefault="005A1A7A" w:rsidP="005A1A7A">
            <w:pPr>
              <w:overflowPunct/>
              <w:spacing w:line="280" w:lineRule="exact"/>
              <w:jc w:val="right"/>
              <w:textAlignment w:val="auto"/>
              <w:rPr>
                <w:rFonts w:ascii="Arial" w:hAnsi="Arial" w:cs="Arial"/>
                <w:b/>
                <w:color w:val="000000"/>
                <w:sz w:val="20"/>
              </w:rPr>
            </w:pPr>
            <w:r w:rsidRPr="00394212">
              <w:rPr>
                <w:rFonts w:ascii="Arial" w:hAnsi="Arial" w:cs="Arial"/>
                <w:b/>
                <w:color w:val="000000"/>
                <w:sz w:val="20"/>
              </w:rPr>
              <w:t xml:space="preserve"> 5</w:t>
            </w:r>
            <w:r w:rsidR="00D8509F">
              <w:rPr>
                <w:rFonts w:ascii="Arial" w:hAnsi="Arial" w:cs="Arial"/>
                <w:b/>
                <w:color w:val="000000"/>
                <w:sz w:val="20"/>
              </w:rPr>
              <w:t>2</w:t>
            </w:r>
            <w:r w:rsidRPr="00394212">
              <w:rPr>
                <w:rFonts w:ascii="Arial" w:hAnsi="Arial" w:cs="Arial"/>
                <w:b/>
                <w:color w:val="000000"/>
                <w:sz w:val="20"/>
              </w:rPr>
              <w:t>,</w:t>
            </w:r>
            <w:r w:rsidR="00F42893">
              <w:rPr>
                <w:rFonts w:ascii="Arial" w:hAnsi="Arial" w:cs="Arial"/>
                <w:b/>
                <w:color w:val="000000"/>
                <w:sz w:val="20"/>
              </w:rPr>
              <w:t>6</w:t>
            </w:r>
            <w:r w:rsidR="00D8509F">
              <w:rPr>
                <w:rFonts w:ascii="Arial" w:hAnsi="Arial" w:cs="Arial"/>
                <w:b/>
                <w:color w:val="000000"/>
                <w:sz w:val="20"/>
              </w:rPr>
              <w:t>07</w:t>
            </w:r>
          </w:p>
        </w:tc>
        <w:tc>
          <w:tcPr>
            <w:tcW w:w="948" w:type="pct"/>
            <w:tcBorders>
              <w:top w:val="single" w:sz="4" w:space="0" w:color="auto"/>
            </w:tcBorders>
          </w:tcPr>
          <w:p w14:paraId="1D2DB207" w14:textId="22DAADB1" w:rsidR="005A1A7A" w:rsidRPr="0096417F" w:rsidRDefault="005A1A7A" w:rsidP="005A1A7A">
            <w:pPr>
              <w:overflowPunct/>
              <w:spacing w:line="280" w:lineRule="exact"/>
              <w:jc w:val="right"/>
              <w:textAlignment w:val="auto"/>
              <w:rPr>
                <w:rFonts w:ascii="Arial" w:hAnsi="Arial" w:cs="Arial"/>
                <w:b/>
                <w:color w:val="000000"/>
                <w:sz w:val="20"/>
              </w:rPr>
            </w:pPr>
            <w:r w:rsidRPr="0096417F">
              <w:rPr>
                <w:rFonts w:ascii="Arial" w:hAnsi="Arial" w:cs="Arial"/>
                <w:b/>
                <w:color w:val="000000"/>
                <w:sz w:val="20"/>
              </w:rPr>
              <w:t>4</w:t>
            </w:r>
            <w:r>
              <w:rPr>
                <w:rFonts w:ascii="Arial" w:hAnsi="Arial" w:cs="Arial"/>
                <w:b/>
                <w:color w:val="000000"/>
                <w:sz w:val="20"/>
              </w:rPr>
              <w:t>9</w:t>
            </w:r>
            <w:r w:rsidRPr="0096417F">
              <w:rPr>
                <w:rFonts w:ascii="Arial" w:hAnsi="Arial" w:cs="Arial"/>
                <w:b/>
                <w:color w:val="000000"/>
                <w:sz w:val="20"/>
              </w:rPr>
              <w:t>,</w:t>
            </w:r>
            <w:r>
              <w:rPr>
                <w:rFonts w:ascii="Arial" w:hAnsi="Arial" w:cs="Arial"/>
                <w:b/>
                <w:color w:val="000000"/>
                <w:sz w:val="20"/>
              </w:rPr>
              <w:t>056</w:t>
            </w:r>
          </w:p>
        </w:tc>
      </w:tr>
      <w:tr w:rsidR="005A1A7A" w:rsidRPr="00E70587" w14:paraId="3E5E7F2D" w14:textId="77777777" w:rsidTr="00FF32A7">
        <w:trPr>
          <w:trHeight w:val="369"/>
        </w:trPr>
        <w:tc>
          <w:tcPr>
            <w:tcW w:w="2088" w:type="pct"/>
            <w:vAlign w:val="bottom"/>
          </w:tcPr>
          <w:p w14:paraId="7138210C" w14:textId="2D0ED0AF" w:rsidR="005A1A7A" w:rsidRPr="00E70587" w:rsidRDefault="005A1A7A" w:rsidP="005A1A7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Liabilities directly associated with the assets held for </w:t>
            </w:r>
            <w:r w:rsidR="007320D2">
              <w:rPr>
                <w:rFonts w:ascii="Arial" w:hAnsi="Arial" w:cs="Arial"/>
                <w:sz w:val="20"/>
                <w:lang w:val="en-IN"/>
              </w:rPr>
              <w:t>sale</w:t>
            </w:r>
          </w:p>
        </w:tc>
        <w:tc>
          <w:tcPr>
            <w:tcW w:w="412" w:type="pct"/>
            <w:vAlign w:val="center"/>
          </w:tcPr>
          <w:p w14:paraId="1158CD29" w14:textId="77777777" w:rsidR="005A1A7A" w:rsidRPr="00E70587" w:rsidRDefault="005A1A7A" w:rsidP="005A1A7A">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rPr>
              <w:t>21</w:t>
            </w:r>
          </w:p>
        </w:tc>
        <w:tc>
          <w:tcPr>
            <w:tcW w:w="693" w:type="pct"/>
            <w:tcBorders>
              <w:bottom w:val="nil"/>
            </w:tcBorders>
            <w:tcMar>
              <w:right w:w="108" w:type="dxa"/>
            </w:tcMar>
            <w:vAlign w:val="bottom"/>
          </w:tcPr>
          <w:p w14:paraId="16C364DB" w14:textId="2C68866B" w:rsidR="005A1A7A" w:rsidRPr="00E70587" w:rsidRDefault="005A1A7A" w:rsidP="005A1A7A">
            <w:pPr>
              <w:overflowPunct/>
              <w:spacing w:line="280" w:lineRule="exact"/>
              <w:jc w:val="right"/>
              <w:textAlignment w:val="auto"/>
              <w:rPr>
                <w:rFonts w:ascii="Arial" w:hAnsi="Arial" w:cs="Arial"/>
                <w:sz w:val="20"/>
                <w:lang w:eastAsia="en-GB"/>
              </w:rPr>
            </w:pPr>
          </w:p>
        </w:tc>
        <w:tc>
          <w:tcPr>
            <w:tcW w:w="858" w:type="pct"/>
            <w:tcBorders>
              <w:bottom w:val="single" w:sz="4" w:space="0" w:color="auto"/>
            </w:tcBorders>
            <w:tcMar>
              <w:right w:w="108" w:type="dxa"/>
            </w:tcMar>
            <w:vAlign w:val="bottom"/>
          </w:tcPr>
          <w:p w14:paraId="6100D98F" w14:textId="246ED832" w:rsidR="005A1A7A" w:rsidRPr="00E70587" w:rsidRDefault="005A1A7A" w:rsidP="005A1A7A">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23,625</w:t>
            </w:r>
          </w:p>
        </w:tc>
        <w:tc>
          <w:tcPr>
            <w:tcW w:w="948" w:type="pct"/>
            <w:tcBorders>
              <w:bottom w:val="single" w:sz="4" w:space="0" w:color="auto"/>
              <w:right w:val="nil"/>
            </w:tcBorders>
          </w:tcPr>
          <w:p w14:paraId="09A9DC6C" w14:textId="77777777" w:rsidR="005A1A7A" w:rsidRDefault="005A1A7A" w:rsidP="005A1A7A">
            <w:pPr>
              <w:overflowPunct/>
              <w:spacing w:line="280" w:lineRule="exact"/>
              <w:jc w:val="right"/>
              <w:textAlignment w:val="auto"/>
              <w:rPr>
                <w:rFonts w:ascii="Arial" w:hAnsi="Arial" w:cs="Arial"/>
                <w:sz w:val="20"/>
                <w:lang w:eastAsia="en-GB"/>
              </w:rPr>
            </w:pPr>
          </w:p>
          <w:p w14:paraId="78A71F08" w14:textId="2BB99585" w:rsidR="005A1A7A" w:rsidRPr="00E70587" w:rsidRDefault="005A1A7A" w:rsidP="005A1A7A">
            <w:pPr>
              <w:overflowPunct/>
              <w:spacing w:line="280" w:lineRule="exact"/>
              <w:jc w:val="right"/>
              <w:textAlignment w:val="auto"/>
              <w:rPr>
                <w:rFonts w:ascii="Arial" w:hAnsi="Arial" w:cs="Arial"/>
                <w:sz w:val="20"/>
                <w:lang w:eastAsia="en-GB"/>
              </w:rPr>
            </w:pPr>
            <w:r>
              <w:rPr>
                <w:rFonts w:ascii="Arial" w:hAnsi="Arial" w:cs="Arial"/>
                <w:sz w:val="20"/>
                <w:lang w:eastAsia="en-GB"/>
              </w:rPr>
              <w:t>-</w:t>
            </w:r>
          </w:p>
        </w:tc>
      </w:tr>
      <w:tr w:rsidR="005A1A7A" w:rsidRPr="00E70587" w14:paraId="5C5E23AB" w14:textId="77777777" w:rsidTr="00FF32A7">
        <w:tc>
          <w:tcPr>
            <w:tcW w:w="2088" w:type="pct"/>
            <w:vAlign w:val="bottom"/>
          </w:tcPr>
          <w:p w14:paraId="4A41B232" w14:textId="77777777" w:rsidR="005A1A7A" w:rsidRPr="00E70587" w:rsidRDefault="005A1A7A" w:rsidP="005A1A7A">
            <w:pPr>
              <w:pStyle w:val="tabletext"/>
              <w:overflowPunct w:val="0"/>
              <w:autoSpaceDE w:val="0"/>
              <w:autoSpaceDN w:val="0"/>
              <w:adjustRightInd w:val="0"/>
              <w:spacing w:line="280" w:lineRule="exact"/>
              <w:textAlignment w:val="baseline"/>
              <w:rPr>
                <w:rFonts w:ascii="Arial" w:hAnsi="Arial" w:cs="Arial"/>
                <w:sz w:val="20"/>
                <w:lang w:val="en-IN"/>
              </w:rPr>
            </w:pPr>
          </w:p>
        </w:tc>
        <w:tc>
          <w:tcPr>
            <w:tcW w:w="412" w:type="pct"/>
            <w:vAlign w:val="center"/>
          </w:tcPr>
          <w:p w14:paraId="555E01A1" w14:textId="77777777" w:rsidR="005A1A7A" w:rsidRPr="00E70587" w:rsidRDefault="005A1A7A" w:rsidP="005A1A7A">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693" w:type="pct"/>
            <w:tcBorders>
              <w:top w:val="nil"/>
              <w:bottom w:val="nil"/>
            </w:tcBorders>
            <w:tcMar>
              <w:right w:w="108" w:type="dxa"/>
            </w:tcMar>
            <w:vAlign w:val="center"/>
          </w:tcPr>
          <w:p w14:paraId="127152AF" w14:textId="40F97D3B" w:rsidR="005A1A7A" w:rsidRPr="0096417F" w:rsidRDefault="005A1A7A" w:rsidP="005A1A7A">
            <w:pPr>
              <w:overflowPunct/>
              <w:spacing w:line="280" w:lineRule="exact"/>
              <w:jc w:val="right"/>
              <w:textAlignment w:val="auto"/>
              <w:rPr>
                <w:rFonts w:ascii="Arial" w:hAnsi="Arial" w:cs="Arial"/>
                <w:b/>
                <w:sz w:val="20"/>
                <w:lang w:eastAsia="en-GB"/>
              </w:rPr>
            </w:pPr>
            <w:r w:rsidRPr="0096417F">
              <w:rPr>
                <w:rFonts w:ascii="Arial" w:hAnsi="Arial" w:cs="Arial"/>
                <w:b/>
                <w:color w:val="000000"/>
                <w:sz w:val="20"/>
              </w:rPr>
              <w:t xml:space="preserve"> </w:t>
            </w:r>
          </w:p>
        </w:tc>
        <w:tc>
          <w:tcPr>
            <w:tcW w:w="858" w:type="pct"/>
            <w:tcBorders>
              <w:top w:val="single" w:sz="4" w:space="0" w:color="auto"/>
              <w:bottom w:val="single" w:sz="2" w:space="0" w:color="auto"/>
            </w:tcBorders>
            <w:tcMar>
              <w:right w:w="108" w:type="dxa"/>
            </w:tcMar>
            <w:vAlign w:val="center"/>
          </w:tcPr>
          <w:p w14:paraId="207DCB35" w14:textId="3E46096A" w:rsidR="005A1A7A" w:rsidRPr="0096417F" w:rsidRDefault="005A1A7A" w:rsidP="005A1A7A">
            <w:pPr>
              <w:overflowPunct/>
              <w:spacing w:line="280" w:lineRule="exact"/>
              <w:jc w:val="right"/>
              <w:textAlignment w:val="auto"/>
              <w:rPr>
                <w:rFonts w:ascii="Arial" w:hAnsi="Arial" w:cs="Arial"/>
                <w:b/>
                <w:color w:val="000000"/>
                <w:sz w:val="20"/>
              </w:rPr>
            </w:pPr>
            <w:r w:rsidRPr="0096417F">
              <w:rPr>
                <w:rFonts w:ascii="Arial" w:hAnsi="Arial" w:cs="Arial"/>
                <w:b/>
                <w:color w:val="000000"/>
                <w:sz w:val="20"/>
              </w:rPr>
              <w:t xml:space="preserve"> 76,</w:t>
            </w:r>
            <w:r w:rsidR="00F42893">
              <w:rPr>
                <w:rFonts w:ascii="Arial" w:hAnsi="Arial" w:cs="Arial"/>
                <w:b/>
                <w:color w:val="000000"/>
                <w:sz w:val="20"/>
              </w:rPr>
              <w:t>2</w:t>
            </w:r>
            <w:r w:rsidR="00D8509F">
              <w:rPr>
                <w:rFonts w:ascii="Arial" w:hAnsi="Arial" w:cs="Arial"/>
                <w:b/>
                <w:color w:val="000000"/>
                <w:sz w:val="20"/>
              </w:rPr>
              <w:t>32</w:t>
            </w:r>
          </w:p>
        </w:tc>
        <w:tc>
          <w:tcPr>
            <w:tcW w:w="948" w:type="pct"/>
            <w:tcBorders>
              <w:top w:val="single" w:sz="4" w:space="0" w:color="auto"/>
              <w:bottom w:val="single" w:sz="2" w:space="0" w:color="auto"/>
            </w:tcBorders>
            <w:vAlign w:val="bottom"/>
          </w:tcPr>
          <w:p w14:paraId="14E97C9C" w14:textId="1FE3FE34" w:rsidR="005A1A7A" w:rsidRPr="0096417F" w:rsidRDefault="005A1A7A" w:rsidP="005A1A7A">
            <w:pPr>
              <w:overflowPunct/>
              <w:spacing w:line="280" w:lineRule="exact"/>
              <w:jc w:val="right"/>
              <w:textAlignment w:val="auto"/>
              <w:rPr>
                <w:rFonts w:ascii="Arial" w:hAnsi="Arial" w:cs="Arial"/>
                <w:b/>
                <w:color w:val="000000"/>
                <w:sz w:val="20"/>
              </w:rPr>
            </w:pPr>
            <w:r w:rsidRPr="0096417F">
              <w:rPr>
                <w:rFonts w:ascii="Arial" w:hAnsi="Arial" w:cs="Arial"/>
                <w:b/>
                <w:color w:val="000000"/>
                <w:sz w:val="20"/>
              </w:rPr>
              <w:t>4</w:t>
            </w:r>
            <w:r>
              <w:rPr>
                <w:rFonts w:ascii="Arial" w:hAnsi="Arial" w:cs="Arial"/>
                <w:b/>
                <w:color w:val="000000"/>
                <w:sz w:val="20"/>
              </w:rPr>
              <w:t>9</w:t>
            </w:r>
            <w:r w:rsidRPr="0096417F">
              <w:rPr>
                <w:rFonts w:ascii="Arial" w:hAnsi="Arial" w:cs="Arial"/>
                <w:b/>
                <w:color w:val="000000"/>
                <w:sz w:val="20"/>
              </w:rPr>
              <w:t>,</w:t>
            </w:r>
            <w:r>
              <w:rPr>
                <w:rFonts w:ascii="Arial" w:hAnsi="Arial" w:cs="Arial"/>
                <w:b/>
                <w:color w:val="000000"/>
                <w:sz w:val="20"/>
              </w:rPr>
              <w:t>056</w:t>
            </w:r>
          </w:p>
        </w:tc>
      </w:tr>
      <w:tr w:rsidR="005A1A7A" w:rsidRPr="00E70587" w14:paraId="3FB05337" w14:textId="77777777" w:rsidTr="00FF32A7">
        <w:tc>
          <w:tcPr>
            <w:tcW w:w="2088" w:type="pct"/>
            <w:tcBorders>
              <w:bottom w:val="nil"/>
            </w:tcBorders>
            <w:vAlign w:val="center"/>
          </w:tcPr>
          <w:p w14:paraId="228B3D66" w14:textId="77777777" w:rsidR="005A1A7A" w:rsidRPr="00E70587" w:rsidRDefault="005A1A7A" w:rsidP="005A1A7A">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liabilities</w:t>
            </w:r>
          </w:p>
        </w:tc>
        <w:tc>
          <w:tcPr>
            <w:tcW w:w="412" w:type="pct"/>
            <w:tcBorders>
              <w:bottom w:val="nil"/>
            </w:tcBorders>
            <w:vAlign w:val="center"/>
          </w:tcPr>
          <w:p w14:paraId="52BF4992" w14:textId="77777777" w:rsidR="005A1A7A" w:rsidRPr="00E70587" w:rsidRDefault="005A1A7A" w:rsidP="005A1A7A">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693" w:type="pct"/>
            <w:tcBorders>
              <w:top w:val="nil"/>
              <w:bottom w:val="nil"/>
            </w:tcBorders>
            <w:tcMar>
              <w:right w:w="108" w:type="dxa"/>
            </w:tcMar>
            <w:vAlign w:val="center"/>
          </w:tcPr>
          <w:p w14:paraId="0F7645E0" w14:textId="089BCA70" w:rsidR="005A1A7A" w:rsidRPr="00E70587" w:rsidRDefault="005A1A7A" w:rsidP="005A1A7A">
            <w:pPr>
              <w:overflowPunct/>
              <w:spacing w:line="280" w:lineRule="exact"/>
              <w:jc w:val="right"/>
              <w:textAlignment w:val="auto"/>
              <w:rPr>
                <w:rFonts w:ascii="Arial" w:hAnsi="Arial" w:cs="Arial"/>
                <w:b/>
                <w:bCs/>
                <w:sz w:val="20"/>
                <w:lang w:eastAsia="en-GB"/>
              </w:rPr>
            </w:pPr>
            <w:r w:rsidRPr="00E70587">
              <w:rPr>
                <w:rFonts w:ascii="Arial" w:hAnsi="Arial" w:cs="Arial"/>
                <w:b/>
                <w:bCs/>
                <w:color w:val="000000"/>
                <w:sz w:val="20"/>
              </w:rPr>
              <w:t xml:space="preserve"> </w:t>
            </w:r>
          </w:p>
        </w:tc>
        <w:tc>
          <w:tcPr>
            <w:tcW w:w="858" w:type="pct"/>
            <w:tcBorders>
              <w:top w:val="single" w:sz="2" w:space="0" w:color="auto"/>
              <w:bottom w:val="single" w:sz="2" w:space="0" w:color="auto"/>
            </w:tcBorders>
            <w:tcMar>
              <w:right w:w="108" w:type="dxa"/>
            </w:tcMar>
            <w:vAlign w:val="center"/>
          </w:tcPr>
          <w:p w14:paraId="47636210" w14:textId="5BB1F158" w:rsidR="005A1A7A" w:rsidRPr="0096417F" w:rsidRDefault="005A1A7A" w:rsidP="005A1A7A">
            <w:pPr>
              <w:overflowPunct/>
              <w:spacing w:line="280" w:lineRule="exact"/>
              <w:jc w:val="right"/>
              <w:textAlignment w:val="auto"/>
              <w:rPr>
                <w:rFonts w:ascii="Arial" w:hAnsi="Arial" w:cs="Arial"/>
                <w:b/>
                <w:color w:val="000000"/>
                <w:sz w:val="20"/>
              </w:rPr>
            </w:pPr>
            <w:r w:rsidRPr="00E70587">
              <w:rPr>
                <w:rFonts w:ascii="Arial" w:hAnsi="Arial" w:cs="Arial"/>
                <w:b/>
                <w:bCs/>
                <w:color w:val="000000"/>
                <w:sz w:val="20"/>
              </w:rPr>
              <w:t xml:space="preserve"> 1,</w:t>
            </w:r>
            <w:r>
              <w:rPr>
                <w:rFonts w:ascii="Arial" w:hAnsi="Arial" w:cs="Arial"/>
                <w:b/>
                <w:bCs/>
                <w:color w:val="000000"/>
                <w:sz w:val="20"/>
              </w:rPr>
              <w:t>40</w:t>
            </w:r>
            <w:r w:rsidRPr="00E70587">
              <w:rPr>
                <w:rFonts w:ascii="Arial" w:hAnsi="Arial" w:cs="Arial"/>
                <w:b/>
                <w:bCs/>
                <w:color w:val="000000"/>
                <w:sz w:val="20"/>
              </w:rPr>
              <w:t>,</w:t>
            </w:r>
            <w:r w:rsidR="00F42893">
              <w:rPr>
                <w:rFonts w:ascii="Arial" w:hAnsi="Arial" w:cs="Arial"/>
                <w:b/>
                <w:bCs/>
                <w:color w:val="000000"/>
                <w:sz w:val="20"/>
              </w:rPr>
              <w:t>1</w:t>
            </w:r>
            <w:r w:rsidR="00D8509F">
              <w:rPr>
                <w:rFonts w:ascii="Arial" w:hAnsi="Arial" w:cs="Arial"/>
                <w:b/>
                <w:bCs/>
                <w:color w:val="000000"/>
                <w:sz w:val="20"/>
              </w:rPr>
              <w:t>66</w:t>
            </w:r>
          </w:p>
        </w:tc>
        <w:tc>
          <w:tcPr>
            <w:tcW w:w="948" w:type="pct"/>
            <w:tcBorders>
              <w:top w:val="single" w:sz="2" w:space="0" w:color="auto"/>
              <w:bottom w:val="single" w:sz="2" w:space="0" w:color="auto"/>
              <w:right w:val="nil"/>
            </w:tcBorders>
            <w:vAlign w:val="bottom"/>
          </w:tcPr>
          <w:p w14:paraId="4AB5E8C9" w14:textId="5484A1D2" w:rsidR="005A1A7A" w:rsidRPr="0096417F" w:rsidRDefault="005A1A7A" w:rsidP="005A1A7A">
            <w:pPr>
              <w:overflowPunct/>
              <w:spacing w:line="280" w:lineRule="exact"/>
              <w:jc w:val="right"/>
              <w:textAlignment w:val="auto"/>
              <w:rPr>
                <w:rFonts w:ascii="Arial" w:hAnsi="Arial" w:cs="Arial"/>
                <w:b/>
                <w:color w:val="000000"/>
                <w:sz w:val="20"/>
              </w:rPr>
            </w:pPr>
            <w:r>
              <w:rPr>
                <w:rFonts w:ascii="Arial" w:hAnsi="Arial" w:cs="Arial"/>
                <w:b/>
                <w:color w:val="000000"/>
                <w:sz w:val="20"/>
              </w:rPr>
              <w:t>1,</w:t>
            </w:r>
            <w:r w:rsidR="00C07212">
              <w:rPr>
                <w:rFonts w:ascii="Arial" w:hAnsi="Arial" w:cs="Arial"/>
                <w:b/>
                <w:color w:val="000000"/>
                <w:sz w:val="20"/>
              </w:rPr>
              <w:t>04,162</w:t>
            </w:r>
          </w:p>
        </w:tc>
      </w:tr>
      <w:tr w:rsidR="005A1A7A" w:rsidRPr="00E70587" w14:paraId="65E40392" w14:textId="77777777" w:rsidTr="00FF32A7">
        <w:trPr>
          <w:trHeight w:val="495"/>
        </w:trPr>
        <w:tc>
          <w:tcPr>
            <w:tcW w:w="2088" w:type="pct"/>
            <w:shd w:val="clear" w:color="auto" w:fill="auto"/>
            <w:vAlign w:val="center"/>
          </w:tcPr>
          <w:p w14:paraId="6A7549E8" w14:textId="42BA0931" w:rsidR="005A1A7A" w:rsidRPr="00E70587" w:rsidRDefault="005A1A7A" w:rsidP="005A1A7A">
            <w:pPr>
              <w:pStyle w:val="tablebullet"/>
              <w:numPr>
                <w:ilvl w:val="0"/>
                <w:numId w:val="0"/>
              </w:numPr>
              <w:spacing w:before="0" w:line="280" w:lineRule="exact"/>
              <w:ind w:right="675"/>
              <w:rPr>
                <w:rFonts w:ascii="Arial" w:hAnsi="Arial" w:cs="Arial"/>
                <w:b/>
                <w:sz w:val="20"/>
              </w:rPr>
            </w:pPr>
            <w:r w:rsidRPr="00E70587">
              <w:rPr>
                <w:rFonts w:ascii="Arial" w:hAnsi="Arial" w:cs="Arial"/>
                <w:b/>
                <w:sz w:val="20"/>
              </w:rPr>
              <w:t xml:space="preserve">TOTAL EQUITY AND </w:t>
            </w:r>
            <w:r>
              <w:rPr>
                <w:rFonts w:ascii="Arial" w:hAnsi="Arial" w:cs="Arial"/>
                <w:b/>
                <w:sz w:val="20"/>
              </w:rPr>
              <w:t>L</w:t>
            </w:r>
            <w:r w:rsidRPr="00E70587">
              <w:rPr>
                <w:rFonts w:ascii="Arial" w:hAnsi="Arial" w:cs="Arial"/>
                <w:b/>
                <w:sz w:val="20"/>
              </w:rPr>
              <w:t>IABILITIES</w:t>
            </w:r>
          </w:p>
        </w:tc>
        <w:tc>
          <w:tcPr>
            <w:tcW w:w="412" w:type="pct"/>
            <w:shd w:val="clear" w:color="auto" w:fill="auto"/>
            <w:vAlign w:val="center"/>
          </w:tcPr>
          <w:p w14:paraId="30A13CD2" w14:textId="77777777" w:rsidR="005A1A7A" w:rsidRPr="00E70587" w:rsidRDefault="005A1A7A" w:rsidP="005A1A7A">
            <w:pPr>
              <w:pStyle w:val="tablenotes"/>
              <w:tabs>
                <w:tab w:val="clear" w:pos="439"/>
              </w:tabs>
              <w:spacing w:before="0" w:line="280" w:lineRule="exact"/>
              <w:jc w:val="center"/>
              <w:rPr>
                <w:rFonts w:ascii="Arial" w:hAnsi="Arial" w:cs="Arial"/>
                <w:b/>
                <w:color w:val="auto"/>
                <w:sz w:val="20"/>
              </w:rPr>
            </w:pPr>
          </w:p>
        </w:tc>
        <w:tc>
          <w:tcPr>
            <w:tcW w:w="693" w:type="pct"/>
            <w:tcBorders>
              <w:top w:val="nil"/>
              <w:bottom w:val="double" w:sz="4" w:space="0" w:color="auto"/>
            </w:tcBorders>
            <w:shd w:val="clear" w:color="auto" w:fill="auto"/>
            <w:tcMar>
              <w:right w:w="108" w:type="dxa"/>
            </w:tcMar>
            <w:vAlign w:val="center"/>
          </w:tcPr>
          <w:p w14:paraId="34A72193" w14:textId="7F40E1DB" w:rsidR="005A1A7A" w:rsidRPr="00E70587" w:rsidRDefault="005A1A7A" w:rsidP="005A1A7A">
            <w:pPr>
              <w:overflowPunct/>
              <w:spacing w:line="280" w:lineRule="exact"/>
              <w:jc w:val="right"/>
              <w:textAlignment w:val="auto"/>
              <w:rPr>
                <w:rFonts w:ascii="Arial" w:hAnsi="Arial" w:cs="Arial"/>
                <w:b/>
                <w:bCs/>
                <w:sz w:val="20"/>
                <w:lang w:eastAsia="en-GB"/>
              </w:rPr>
            </w:pPr>
            <w:r w:rsidRPr="00E70587">
              <w:rPr>
                <w:rFonts w:ascii="Arial" w:hAnsi="Arial" w:cs="Arial"/>
                <w:b/>
                <w:bCs/>
                <w:color w:val="000000"/>
                <w:sz w:val="20"/>
              </w:rPr>
              <w:t xml:space="preserve"> </w:t>
            </w:r>
          </w:p>
        </w:tc>
        <w:tc>
          <w:tcPr>
            <w:tcW w:w="858" w:type="pct"/>
            <w:tcBorders>
              <w:top w:val="single" w:sz="2" w:space="0" w:color="auto"/>
              <w:bottom w:val="double" w:sz="4" w:space="0" w:color="auto"/>
            </w:tcBorders>
            <w:shd w:val="clear" w:color="auto" w:fill="auto"/>
            <w:tcMar>
              <w:right w:w="108" w:type="dxa"/>
            </w:tcMar>
            <w:vAlign w:val="center"/>
          </w:tcPr>
          <w:p w14:paraId="6B3A52A8" w14:textId="77777777" w:rsidR="005A1A7A" w:rsidRDefault="005A1A7A" w:rsidP="005A1A7A">
            <w:pPr>
              <w:overflowPunct/>
              <w:spacing w:line="280" w:lineRule="exact"/>
              <w:jc w:val="right"/>
              <w:textAlignment w:val="auto"/>
              <w:rPr>
                <w:rFonts w:ascii="Arial" w:hAnsi="Arial" w:cs="Arial"/>
                <w:b/>
                <w:bCs/>
                <w:color w:val="000000"/>
                <w:sz w:val="20"/>
              </w:rPr>
            </w:pPr>
            <w:r w:rsidRPr="00E70587">
              <w:rPr>
                <w:rFonts w:ascii="Arial" w:hAnsi="Arial" w:cs="Arial"/>
                <w:b/>
                <w:bCs/>
                <w:color w:val="000000"/>
                <w:sz w:val="20"/>
              </w:rPr>
              <w:t xml:space="preserve"> </w:t>
            </w:r>
          </w:p>
          <w:p w14:paraId="0ABFE3B7" w14:textId="77259653" w:rsidR="005A1A7A" w:rsidRPr="0096417F" w:rsidRDefault="005A1A7A" w:rsidP="005A1A7A">
            <w:pPr>
              <w:overflowPunct/>
              <w:spacing w:line="280" w:lineRule="exact"/>
              <w:jc w:val="right"/>
              <w:textAlignment w:val="auto"/>
              <w:rPr>
                <w:rFonts w:ascii="Arial" w:hAnsi="Arial" w:cs="Arial"/>
                <w:b/>
                <w:bCs/>
                <w:color w:val="000000"/>
                <w:sz w:val="20"/>
              </w:rPr>
            </w:pPr>
            <w:r w:rsidRPr="00E70587">
              <w:rPr>
                <w:rFonts w:ascii="Arial" w:hAnsi="Arial" w:cs="Arial"/>
                <w:b/>
                <w:bCs/>
                <w:color w:val="000000"/>
                <w:sz w:val="20"/>
              </w:rPr>
              <w:t>2,</w:t>
            </w:r>
            <w:r>
              <w:rPr>
                <w:rFonts w:ascii="Arial" w:hAnsi="Arial" w:cs="Arial"/>
                <w:b/>
                <w:bCs/>
                <w:color w:val="000000"/>
                <w:sz w:val="20"/>
              </w:rPr>
              <w:t>52</w:t>
            </w:r>
            <w:r w:rsidRPr="00E70587">
              <w:rPr>
                <w:rFonts w:ascii="Arial" w:hAnsi="Arial" w:cs="Arial"/>
                <w:b/>
                <w:bCs/>
                <w:color w:val="000000"/>
                <w:sz w:val="20"/>
              </w:rPr>
              <w:t>,</w:t>
            </w:r>
            <w:r>
              <w:rPr>
                <w:rFonts w:ascii="Arial" w:hAnsi="Arial" w:cs="Arial"/>
                <w:b/>
                <w:bCs/>
                <w:color w:val="000000"/>
                <w:sz w:val="20"/>
              </w:rPr>
              <w:t>530</w:t>
            </w:r>
            <w:r w:rsidRPr="00E70587">
              <w:rPr>
                <w:rFonts w:ascii="Arial" w:hAnsi="Arial" w:cs="Arial"/>
                <w:b/>
                <w:bCs/>
                <w:color w:val="000000"/>
                <w:sz w:val="20"/>
              </w:rPr>
              <w:t xml:space="preserve"> </w:t>
            </w:r>
          </w:p>
        </w:tc>
        <w:tc>
          <w:tcPr>
            <w:tcW w:w="948" w:type="pct"/>
            <w:tcBorders>
              <w:top w:val="single" w:sz="2" w:space="0" w:color="auto"/>
              <w:bottom w:val="double" w:sz="4" w:space="0" w:color="auto"/>
              <w:right w:val="nil"/>
            </w:tcBorders>
            <w:shd w:val="clear" w:color="auto" w:fill="auto"/>
            <w:vAlign w:val="bottom"/>
          </w:tcPr>
          <w:p w14:paraId="7E8F98C0" w14:textId="7804F372" w:rsidR="005A1A7A" w:rsidRPr="0096417F" w:rsidRDefault="005A1A7A" w:rsidP="005A1A7A">
            <w:pPr>
              <w:overflowPunct/>
              <w:spacing w:line="280" w:lineRule="exact"/>
              <w:jc w:val="right"/>
              <w:textAlignment w:val="auto"/>
              <w:rPr>
                <w:rFonts w:ascii="Arial" w:hAnsi="Arial" w:cs="Arial"/>
                <w:b/>
                <w:bCs/>
                <w:color w:val="000000"/>
                <w:sz w:val="20"/>
              </w:rPr>
            </w:pPr>
            <w:r w:rsidRPr="0096417F">
              <w:rPr>
                <w:rFonts w:ascii="Arial" w:hAnsi="Arial" w:cs="Arial"/>
                <w:b/>
                <w:bCs/>
                <w:color w:val="000000"/>
                <w:sz w:val="20"/>
              </w:rPr>
              <w:t>1,8</w:t>
            </w:r>
            <w:r>
              <w:rPr>
                <w:rFonts w:ascii="Arial" w:hAnsi="Arial" w:cs="Arial"/>
                <w:b/>
                <w:bCs/>
                <w:color w:val="000000"/>
                <w:sz w:val="20"/>
              </w:rPr>
              <w:t>8</w:t>
            </w:r>
            <w:r w:rsidRPr="0096417F">
              <w:rPr>
                <w:rFonts w:ascii="Arial" w:hAnsi="Arial" w:cs="Arial"/>
                <w:b/>
                <w:bCs/>
                <w:color w:val="000000"/>
                <w:sz w:val="20"/>
              </w:rPr>
              <w:t>,</w:t>
            </w:r>
            <w:r>
              <w:rPr>
                <w:rFonts w:ascii="Arial" w:hAnsi="Arial" w:cs="Arial"/>
                <w:b/>
                <w:bCs/>
                <w:color w:val="000000"/>
                <w:sz w:val="20"/>
              </w:rPr>
              <w:t>995</w:t>
            </w:r>
          </w:p>
        </w:tc>
      </w:tr>
    </w:tbl>
    <w:p w14:paraId="7769E1C3" w14:textId="77777777" w:rsidR="008331A7" w:rsidRPr="00E70587" w:rsidRDefault="008331A7">
      <w:pPr>
        <w:rPr>
          <w:rFonts w:ascii="Arial" w:hAnsi="Arial"/>
        </w:rPr>
      </w:pPr>
    </w:p>
    <w:p w14:paraId="3406DAFE" w14:textId="77777777" w:rsidR="00E87D98" w:rsidRPr="00E70587" w:rsidRDefault="00E87D98" w:rsidP="004C47AB">
      <w:pPr>
        <w:spacing w:line="280" w:lineRule="exact"/>
        <w:rPr>
          <w:rFonts w:ascii="Arial" w:hAnsi="Arial" w:cs="Arial"/>
          <w:sz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C47AB" w:rsidRPr="00E70587" w14:paraId="71E18E81" w14:textId="77777777" w:rsidTr="00F14D9F">
        <w:trPr>
          <w:trHeight w:val="1590"/>
        </w:trPr>
        <w:tc>
          <w:tcPr>
            <w:tcW w:w="9355" w:type="dxa"/>
            <w:tcBorders>
              <w:right w:val="nil"/>
            </w:tcBorders>
          </w:tcPr>
          <w:p w14:paraId="060C2482" w14:textId="77777777" w:rsidR="004C47AB" w:rsidRPr="00E70587" w:rsidRDefault="004C47AB" w:rsidP="004C47AB">
            <w:pPr>
              <w:pStyle w:val="Greybox"/>
              <w:shd w:val="clear" w:color="auto" w:fill="A2A2A2" w:themeFill="background1" w:themeFillTint="99"/>
              <w:spacing w:line="280" w:lineRule="exact"/>
              <w:rPr>
                <w:rFonts w:ascii="Arial" w:hAnsi="Arial"/>
                <w:b/>
                <w:color w:val="auto"/>
                <w:sz w:val="20"/>
              </w:rPr>
            </w:pPr>
            <w:r w:rsidRPr="00E70587">
              <w:rPr>
                <w:rFonts w:ascii="Arial" w:hAnsi="Arial"/>
                <w:b/>
                <w:color w:val="auto"/>
                <w:sz w:val="20"/>
              </w:rPr>
              <w:lastRenderedPageBreak/>
              <w:t>Authors’ Note</w:t>
            </w:r>
          </w:p>
          <w:p w14:paraId="1AE147BA" w14:textId="77777777" w:rsidR="004C47AB" w:rsidRPr="00E70587" w:rsidRDefault="004C47AB" w:rsidP="004C47AB">
            <w:pPr>
              <w:pStyle w:val="Greybox"/>
              <w:shd w:val="clear" w:color="auto" w:fill="A2A2A2" w:themeFill="background1" w:themeFillTint="99"/>
              <w:spacing w:line="280" w:lineRule="exact"/>
              <w:rPr>
                <w:rFonts w:ascii="Arial" w:hAnsi="Arial"/>
                <w:color w:val="auto"/>
                <w:sz w:val="20"/>
              </w:rPr>
            </w:pPr>
          </w:p>
          <w:p w14:paraId="4F895C66" w14:textId="1D48E1D6" w:rsidR="00AC4C1D" w:rsidRPr="00E70587" w:rsidRDefault="00AC4C1D" w:rsidP="00F14D9F">
            <w:pPr>
              <w:pStyle w:val="Greybox"/>
              <w:shd w:val="clear" w:color="auto" w:fill="A2A2A2" w:themeFill="background1" w:themeFillTint="99"/>
              <w:spacing w:line="280" w:lineRule="exact"/>
              <w:jc w:val="both"/>
              <w:rPr>
                <w:rFonts w:ascii="Arial" w:hAnsi="Arial"/>
                <w:color w:val="auto"/>
                <w:sz w:val="20"/>
              </w:rPr>
            </w:pPr>
            <w:r w:rsidRPr="00E70587">
              <w:rPr>
                <w:rFonts w:ascii="Arial" w:hAnsi="Arial"/>
                <w:color w:val="auto"/>
                <w:sz w:val="20"/>
              </w:rPr>
              <w:t xml:space="preserve">Section 134(1) of the Companies Act, 2013 requires </w:t>
            </w:r>
            <w:r w:rsidR="004244DC" w:rsidRPr="00E70587">
              <w:rPr>
                <w:rFonts w:ascii="Arial" w:hAnsi="Arial"/>
                <w:color w:val="auto"/>
                <w:sz w:val="20"/>
              </w:rPr>
              <w:t xml:space="preserve">that </w:t>
            </w:r>
            <w:r w:rsidRPr="00E70587">
              <w:rPr>
                <w:rFonts w:ascii="Arial" w:hAnsi="Arial"/>
                <w:color w:val="auto"/>
                <w:sz w:val="20"/>
              </w:rPr>
              <w:t>the financial statement</w:t>
            </w:r>
            <w:r w:rsidR="004244DC" w:rsidRPr="00E70587">
              <w:rPr>
                <w:rFonts w:ascii="Arial" w:hAnsi="Arial"/>
                <w:color w:val="auto"/>
                <w:sz w:val="20"/>
              </w:rPr>
              <w:t>s</w:t>
            </w:r>
            <w:r w:rsidRPr="00E70587">
              <w:rPr>
                <w:rFonts w:ascii="Arial" w:hAnsi="Arial"/>
                <w:color w:val="auto"/>
                <w:sz w:val="20"/>
              </w:rPr>
              <w:t>, including consolidated financial statement</w:t>
            </w:r>
            <w:r w:rsidR="004244DC" w:rsidRPr="00E70587">
              <w:rPr>
                <w:rFonts w:ascii="Arial" w:hAnsi="Arial"/>
                <w:color w:val="auto"/>
                <w:sz w:val="20"/>
              </w:rPr>
              <w:t>s</w:t>
            </w:r>
            <w:r w:rsidRPr="00E70587">
              <w:rPr>
                <w:rFonts w:ascii="Arial" w:hAnsi="Arial"/>
                <w:color w:val="auto"/>
                <w:sz w:val="20"/>
              </w:rPr>
              <w:t xml:space="preserve">, if any, should be approved by the Board of Directors before they are signed on behalf of the Board at least by the chairperson of the company where he is authorised by the Board or by two directors out of which one </w:t>
            </w:r>
            <w:r w:rsidR="004244DC" w:rsidRPr="00E70587">
              <w:rPr>
                <w:rFonts w:ascii="Arial" w:hAnsi="Arial"/>
                <w:color w:val="auto"/>
                <w:sz w:val="20"/>
              </w:rPr>
              <w:t xml:space="preserve">should </w:t>
            </w:r>
            <w:r w:rsidRPr="00E70587">
              <w:rPr>
                <w:rFonts w:ascii="Arial" w:hAnsi="Arial"/>
                <w:color w:val="auto"/>
                <w:sz w:val="20"/>
              </w:rPr>
              <w:t xml:space="preserve">be managing director and the Chief Executive Officer, the Chief Financial Officer and the </w:t>
            </w:r>
            <w:r w:rsidR="0054416A">
              <w:rPr>
                <w:rFonts w:ascii="Arial" w:hAnsi="Arial"/>
                <w:color w:val="auto"/>
                <w:sz w:val="20"/>
              </w:rPr>
              <w:t>C</w:t>
            </w:r>
            <w:r w:rsidR="0054416A" w:rsidRPr="00E70587">
              <w:rPr>
                <w:rFonts w:ascii="Arial" w:hAnsi="Arial"/>
                <w:color w:val="auto"/>
                <w:sz w:val="20"/>
              </w:rPr>
              <w:t xml:space="preserve">ompany </w:t>
            </w:r>
            <w:r w:rsidR="0054416A">
              <w:rPr>
                <w:rFonts w:ascii="Arial" w:hAnsi="Arial"/>
                <w:color w:val="auto"/>
                <w:sz w:val="20"/>
              </w:rPr>
              <w:t>S</w:t>
            </w:r>
            <w:r w:rsidR="0054416A" w:rsidRPr="00E70587">
              <w:rPr>
                <w:rFonts w:ascii="Arial" w:hAnsi="Arial"/>
                <w:color w:val="auto"/>
                <w:sz w:val="20"/>
              </w:rPr>
              <w:t xml:space="preserve">ecretary </w:t>
            </w:r>
            <w:r w:rsidRPr="00E70587">
              <w:rPr>
                <w:rFonts w:ascii="Arial" w:hAnsi="Arial"/>
                <w:color w:val="auto"/>
                <w:sz w:val="20"/>
              </w:rPr>
              <w:t>of the company, wherever they are appointed.</w:t>
            </w:r>
          </w:p>
          <w:p w14:paraId="63AA86E0" w14:textId="77777777" w:rsidR="00AC4C1D" w:rsidRPr="00E70587" w:rsidRDefault="00AC4C1D" w:rsidP="009506F9">
            <w:pPr>
              <w:pStyle w:val="Greybox"/>
              <w:shd w:val="clear" w:color="auto" w:fill="A2A2A2" w:themeFill="background1" w:themeFillTint="99"/>
              <w:spacing w:line="280" w:lineRule="exact"/>
              <w:rPr>
                <w:rFonts w:ascii="Arial" w:hAnsi="Arial"/>
                <w:color w:val="auto"/>
                <w:sz w:val="20"/>
              </w:rPr>
            </w:pPr>
          </w:p>
          <w:p w14:paraId="200526B4" w14:textId="4D70530C" w:rsidR="004C47AB" w:rsidRPr="00E70587" w:rsidRDefault="009506F9" w:rsidP="00F14D9F">
            <w:pPr>
              <w:pStyle w:val="Greybox"/>
              <w:shd w:val="clear" w:color="auto" w:fill="A2A2A2" w:themeFill="background1" w:themeFillTint="99"/>
              <w:spacing w:line="280" w:lineRule="exact"/>
              <w:jc w:val="both"/>
              <w:rPr>
                <w:rFonts w:ascii="Arial" w:hAnsi="Arial"/>
                <w:color w:val="auto"/>
                <w:sz w:val="20"/>
              </w:rPr>
            </w:pPr>
            <w:r w:rsidRPr="00E70587">
              <w:rPr>
                <w:rFonts w:ascii="Arial" w:hAnsi="Arial"/>
                <w:color w:val="auto"/>
                <w:sz w:val="20"/>
              </w:rPr>
              <w:t xml:space="preserve">Ind AS compliant Schedule III requires other equity (including retained earnings) to be disclosed separately on the face of </w:t>
            </w:r>
            <w:r w:rsidR="00063746">
              <w:rPr>
                <w:rFonts w:ascii="Arial" w:hAnsi="Arial"/>
                <w:color w:val="auto"/>
                <w:sz w:val="20"/>
              </w:rPr>
              <w:t>B</w:t>
            </w:r>
            <w:r w:rsidR="00063746" w:rsidRPr="00E70587">
              <w:rPr>
                <w:rFonts w:ascii="Arial" w:hAnsi="Arial"/>
                <w:color w:val="auto"/>
                <w:sz w:val="20"/>
              </w:rPr>
              <w:t xml:space="preserve">alance </w:t>
            </w:r>
            <w:r w:rsidR="00063746">
              <w:rPr>
                <w:rFonts w:ascii="Arial" w:hAnsi="Arial"/>
                <w:color w:val="auto"/>
                <w:sz w:val="20"/>
              </w:rPr>
              <w:t>S</w:t>
            </w:r>
            <w:r w:rsidR="00063746" w:rsidRPr="00E70587">
              <w:rPr>
                <w:rFonts w:ascii="Arial" w:hAnsi="Arial"/>
                <w:color w:val="auto"/>
                <w:sz w:val="20"/>
              </w:rPr>
              <w:t>heet</w:t>
            </w:r>
            <w:r w:rsidRPr="00E70587">
              <w:rPr>
                <w:rFonts w:ascii="Arial" w:hAnsi="Arial"/>
                <w:color w:val="auto"/>
                <w:sz w:val="20"/>
              </w:rPr>
              <w:t>, without further split into realized and unrealized gains and losses. A company will identify distributable portion of retained earnings in accordance with the requirements of the Companies Act, 2013.</w:t>
            </w:r>
          </w:p>
          <w:p w14:paraId="00AA8D61" w14:textId="77777777" w:rsidR="009506F9" w:rsidRPr="00E70587" w:rsidRDefault="009506F9" w:rsidP="009506F9">
            <w:pPr>
              <w:pStyle w:val="Greybox"/>
              <w:shd w:val="clear" w:color="auto" w:fill="A2A2A2" w:themeFill="background1" w:themeFillTint="99"/>
              <w:spacing w:line="280" w:lineRule="exact"/>
              <w:rPr>
                <w:rFonts w:ascii="Arial" w:hAnsi="Arial"/>
                <w:color w:val="auto"/>
                <w:sz w:val="20"/>
              </w:rPr>
            </w:pPr>
          </w:p>
          <w:p w14:paraId="29FE6861" w14:textId="36B13D34" w:rsidR="009506F9" w:rsidRPr="00E70587" w:rsidRDefault="009506F9" w:rsidP="00F14D9F">
            <w:pPr>
              <w:pStyle w:val="Greybox"/>
              <w:shd w:val="clear" w:color="auto" w:fill="A2A2A2" w:themeFill="background1" w:themeFillTint="99"/>
              <w:spacing w:line="280" w:lineRule="exact"/>
              <w:jc w:val="both"/>
              <w:rPr>
                <w:rFonts w:ascii="Arial" w:hAnsi="Arial"/>
                <w:color w:val="auto"/>
                <w:sz w:val="20"/>
              </w:rPr>
            </w:pPr>
            <w:r w:rsidRPr="00E70587">
              <w:rPr>
                <w:rFonts w:ascii="Arial" w:hAnsi="Arial"/>
                <w:color w:val="auto"/>
                <w:sz w:val="20"/>
              </w:rPr>
              <w:t>Ind AS compliant Schedule III allows line items, sub-line items and sub-totals to be presented as an addition or substitution on the face of the financial statements when such presentation is relevant to an understanding of the company’s financial position or performance or to cater to industry/sector-specific disclosure requirements. Accordingly, the group has elected to present various components of other equity</w:t>
            </w:r>
            <w:r w:rsidR="000F2EE5" w:rsidRPr="00E70587">
              <w:rPr>
                <w:rFonts w:ascii="Arial" w:hAnsi="Arial"/>
                <w:color w:val="auto"/>
                <w:sz w:val="20"/>
              </w:rPr>
              <w:t>,</w:t>
            </w:r>
            <w:r w:rsidRPr="00E70587">
              <w:rPr>
                <w:rFonts w:ascii="Arial" w:hAnsi="Arial"/>
                <w:color w:val="auto"/>
                <w:sz w:val="20"/>
              </w:rPr>
              <w:t xml:space="preserve"> prepayments</w:t>
            </w:r>
            <w:r w:rsidR="000F2EE5" w:rsidRPr="00E70587">
              <w:rPr>
                <w:rFonts w:ascii="Arial" w:hAnsi="Arial"/>
                <w:color w:val="auto"/>
                <w:sz w:val="20"/>
              </w:rPr>
              <w:t>, con</w:t>
            </w:r>
            <w:r w:rsidR="00CA6658" w:rsidRPr="00E70587">
              <w:rPr>
                <w:rFonts w:ascii="Arial" w:hAnsi="Arial"/>
                <w:color w:val="auto"/>
                <w:sz w:val="20"/>
              </w:rPr>
              <w:t xml:space="preserve">tract asset, contract liability, </w:t>
            </w:r>
            <w:r w:rsidR="000F2EE5" w:rsidRPr="00E70587">
              <w:rPr>
                <w:rFonts w:ascii="Arial" w:hAnsi="Arial"/>
                <w:color w:val="auto"/>
                <w:sz w:val="20"/>
              </w:rPr>
              <w:t>refund</w:t>
            </w:r>
            <w:r w:rsidR="001C6529">
              <w:rPr>
                <w:rFonts w:ascii="Arial" w:hAnsi="Arial"/>
                <w:color w:val="auto"/>
                <w:sz w:val="20"/>
              </w:rPr>
              <w:t xml:space="preserve"> </w:t>
            </w:r>
            <w:r w:rsidR="000F2EE5" w:rsidRPr="00E70587">
              <w:rPr>
                <w:rFonts w:ascii="Arial" w:hAnsi="Arial"/>
                <w:color w:val="auto"/>
                <w:sz w:val="20"/>
              </w:rPr>
              <w:t>liability</w:t>
            </w:r>
            <w:r w:rsidR="00B8389B" w:rsidRPr="00E70587">
              <w:rPr>
                <w:rFonts w:ascii="Arial" w:hAnsi="Arial"/>
                <w:color w:val="auto"/>
                <w:sz w:val="20"/>
              </w:rPr>
              <w:t xml:space="preserve"> and </w:t>
            </w:r>
            <w:r w:rsidR="00B8389B" w:rsidRPr="00E70587">
              <w:rPr>
                <w:rFonts w:ascii="Arial" w:hAnsi="Arial"/>
                <w:sz w:val="20"/>
              </w:rPr>
              <w:t>right of return assets</w:t>
            </w:r>
            <w:r w:rsidR="000F2EE5" w:rsidRPr="00E70587">
              <w:rPr>
                <w:rFonts w:ascii="Arial" w:hAnsi="Arial"/>
                <w:color w:val="auto"/>
                <w:sz w:val="20"/>
              </w:rPr>
              <w:t xml:space="preserve"> separately</w:t>
            </w:r>
            <w:r w:rsidRPr="00E70587">
              <w:rPr>
                <w:rFonts w:ascii="Arial" w:hAnsi="Arial"/>
                <w:color w:val="auto"/>
                <w:sz w:val="20"/>
              </w:rPr>
              <w:t xml:space="preserve"> on the face of the balance sheet.</w:t>
            </w:r>
          </w:p>
          <w:p w14:paraId="1FF7162D" w14:textId="77777777" w:rsidR="00AC4C1D" w:rsidRPr="00E70587" w:rsidRDefault="00AC4C1D" w:rsidP="00F14D9F">
            <w:pPr>
              <w:pStyle w:val="Greybox"/>
              <w:shd w:val="clear" w:color="auto" w:fill="A2A2A2" w:themeFill="background1" w:themeFillTint="99"/>
              <w:spacing w:line="280" w:lineRule="exact"/>
              <w:jc w:val="both"/>
              <w:rPr>
                <w:rFonts w:ascii="Arial" w:hAnsi="Arial"/>
                <w:color w:val="auto"/>
                <w:sz w:val="20"/>
              </w:rPr>
            </w:pPr>
          </w:p>
          <w:p w14:paraId="651A7F85" w14:textId="48DD72D9" w:rsidR="00AC4C1D" w:rsidRPr="00E70587" w:rsidRDefault="00AC4C1D" w:rsidP="00F14D9F">
            <w:pPr>
              <w:pStyle w:val="Greybox"/>
              <w:shd w:val="clear" w:color="auto" w:fill="A2A2A2" w:themeFill="background1" w:themeFillTint="99"/>
              <w:spacing w:line="280" w:lineRule="exact"/>
              <w:jc w:val="both"/>
              <w:rPr>
                <w:rFonts w:ascii="Arial" w:hAnsi="Arial"/>
                <w:color w:val="auto"/>
                <w:sz w:val="20"/>
              </w:rPr>
            </w:pPr>
            <w:r w:rsidRPr="00E70587">
              <w:rPr>
                <w:rFonts w:ascii="Arial" w:hAnsi="Arial"/>
                <w:color w:val="auto"/>
                <w:sz w:val="20"/>
              </w:rPr>
              <w:t xml:space="preserve">Ind AS 105.38 requires an entity to present a non-current asset classified as held for sale and the assets of a disposal group classified as held for sale separately from other assets in the balance sheet. It also requires that the liabilities of a disposal group classified as held for sale should be presented separately from other liabilities in the balance sheet. Those assets and liabilities will not be offset and presented as a single amount. The major classes of assets and liabilities classified as held for sale will be separately disclosed either in the balance sheet or in the notes. Paragraph 54 of Ind AS 1 also requires these assets and liabilities to be presented separately on the face of the balance sheet. The group has accordingly presented assets and liabilities held for </w:t>
            </w:r>
            <w:r w:rsidR="00CE5521">
              <w:rPr>
                <w:rFonts w:ascii="Arial" w:hAnsi="Arial"/>
                <w:color w:val="auto"/>
                <w:sz w:val="20"/>
              </w:rPr>
              <w:t>sale</w:t>
            </w:r>
            <w:r w:rsidR="00CE5521" w:rsidRPr="00E70587">
              <w:rPr>
                <w:rFonts w:ascii="Arial" w:hAnsi="Arial"/>
                <w:color w:val="auto"/>
                <w:sz w:val="20"/>
              </w:rPr>
              <w:t xml:space="preserve"> </w:t>
            </w:r>
            <w:r w:rsidRPr="00E70587">
              <w:rPr>
                <w:rFonts w:ascii="Arial" w:hAnsi="Arial"/>
                <w:color w:val="auto"/>
                <w:sz w:val="20"/>
              </w:rPr>
              <w:t>separately on the face of balance sheet. Major classes of those assets and liabilities are disclosed in note 21.</w:t>
            </w:r>
          </w:p>
          <w:p w14:paraId="449AF83B" w14:textId="77777777" w:rsidR="000F2EE5" w:rsidRPr="00E70587" w:rsidRDefault="000F2EE5" w:rsidP="00F14D9F">
            <w:pPr>
              <w:pStyle w:val="Greybox"/>
              <w:shd w:val="clear" w:color="auto" w:fill="A2A2A2" w:themeFill="background1" w:themeFillTint="99"/>
              <w:spacing w:line="280" w:lineRule="exact"/>
              <w:jc w:val="both"/>
              <w:rPr>
                <w:rFonts w:ascii="Arial" w:hAnsi="Arial"/>
                <w:color w:val="auto"/>
                <w:sz w:val="20"/>
              </w:rPr>
            </w:pPr>
          </w:p>
          <w:p w14:paraId="78E97543" w14:textId="728BDC39" w:rsidR="00EA1ADC" w:rsidRPr="00E70587" w:rsidRDefault="00EA1ADC" w:rsidP="00F14D9F">
            <w:pPr>
              <w:pStyle w:val="Greybox"/>
              <w:shd w:val="clear" w:color="auto" w:fill="A2A2A2" w:themeFill="background1" w:themeFillTint="99"/>
              <w:spacing w:line="280" w:lineRule="exact"/>
              <w:jc w:val="both"/>
              <w:rPr>
                <w:rFonts w:ascii="Arial" w:hAnsi="Arial"/>
                <w:color w:val="auto"/>
                <w:sz w:val="20"/>
              </w:rPr>
            </w:pPr>
            <w:r w:rsidRPr="00E70587">
              <w:rPr>
                <w:rFonts w:ascii="Arial" w:hAnsi="Arial"/>
                <w:color w:val="auto"/>
                <w:sz w:val="20"/>
              </w:rPr>
              <w:t xml:space="preserve">Ind AS 1 requires an entity to present a </w:t>
            </w:r>
            <w:r w:rsidR="00563AB6" w:rsidRPr="00E70587">
              <w:rPr>
                <w:rFonts w:ascii="Arial" w:hAnsi="Arial"/>
                <w:color w:val="auto"/>
                <w:sz w:val="20"/>
              </w:rPr>
              <w:t>balance sheet</w:t>
            </w:r>
            <w:r w:rsidRPr="00E70587">
              <w:rPr>
                <w:rFonts w:ascii="Arial" w:hAnsi="Arial"/>
                <w:color w:val="auto"/>
                <w:sz w:val="20"/>
              </w:rPr>
              <w:t xml:space="preserve"> at the beginning of the earliest comparative period when: it applies an accounting policy retrospectively; it makes a retrospective restatement of items in its financial statements; or when it reclassifies items in its financial statements (Ind AS 1.10(f)), and the change has a material effect on the </w:t>
            </w:r>
            <w:r w:rsidR="00563AB6" w:rsidRPr="00E70587">
              <w:rPr>
                <w:rFonts w:ascii="Arial" w:hAnsi="Arial"/>
                <w:color w:val="auto"/>
                <w:sz w:val="20"/>
              </w:rPr>
              <w:t>balance sheet</w:t>
            </w:r>
            <w:r w:rsidRPr="00E70587">
              <w:rPr>
                <w:rFonts w:ascii="Arial" w:hAnsi="Arial"/>
                <w:color w:val="auto"/>
                <w:sz w:val="20"/>
              </w:rPr>
              <w:t xml:space="preserve">. In these situations, Ind AS 1.40A states that an entity must present, at a minimum, three </w:t>
            </w:r>
            <w:r w:rsidR="00563AB6" w:rsidRPr="00E70587">
              <w:rPr>
                <w:rFonts w:ascii="Arial" w:hAnsi="Arial"/>
                <w:color w:val="auto"/>
                <w:sz w:val="20"/>
              </w:rPr>
              <w:t>balance sheets</w:t>
            </w:r>
            <w:r w:rsidRPr="00E70587">
              <w:rPr>
                <w:rFonts w:ascii="Arial" w:hAnsi="Arial"/>
                <w:color w:val="auto"/>
                <w:sz w:val="20"/>
              </w:rPr>
              <w:t xml:space="preserve">, two of each of the other statements and the related notes. The three </w:t>
            </w:r>
            <w:r w:rsidR="00563AB6" w:rsidRPr="00E70587">
              <w:rPr>
                <w:rFonts w:ascii="Arial" w:hAnsi="Arial"/>
                <w:color w:val="auto"/>
                <w:sz w:val="20"/>
              </w:rPr>
              <w:t>balance sheets</w:t>
            </w:r>
            <w:r w:rsidRPr="00E70587">
              <w:rPr>
                <w:rFonts w:ascii="Arial" w:hAnsi="Arial"/>
                <w:color w:val="auto"/>
                <w:sz w:val="20"/>
              </w:rPr>
              <w:t xml:space="preserve"> include the </w:t>
            </w:r>
            <w:r w:rsidR="00563AB6" w:rsidRPr="00E70587">
              <w:rPr>
                <w:rFonts w:ascii="Arial" w:hAnsi="Arial"/>
                <w:color w:val="auto"/>
                <w:sz w:val="20"/>
              </w:rPr>
              <w:t>balance sheet</w:t>
            </w:r>
            <w:r w:rsidRPr="00E70587">
              <w:rPr>
                <w:rFonts w:ascii="Arial" w:hAnsi="Arial"/>
                <w:color w:val="auto"/>
                <w:sz w:val="20"/>
              </w:rPr>
              <w:t xml:space="preserve"> as at the current annual period year end, the </w:t>
            </w:r>
            <w:r w:rsidR="00563AB6" w:rsidRPr="00E70587">
              <w:rPr>
                <w:rFonts w:ascii="Arial" w:hAnsi="Arial"/>
                <w:color w:val="auto"/>
                <w:sz w:val="20"/>
              </w:rPr>
              <w:t>balance sheet</w:t>
            </w:r>
            <w:r w:rsidRPr="00E70587">
              <w:rPr>
                <w:rFonts w:ascii="Arial" w:hAnsi="Arial"/>
                <w:color w:val="auto"/>
                <w:sz w:val="20"/>
              </w:rPr>
              <w:t xml:space="preserve"> as at the previous annual period year end, and the </w:t>
            </w:r>
            <w:r w:rsidR="00563AB6" w:rsidRPr="00E70587">
              <w:rPr>
                <w:rFonts w:ascii="Arial" w:hAnsi="Arial"/>
                <w:color w:val="auto"/>
                <w:sz w:val="20"/>
              </w:rPr>
              <w:t>balance sheet</w:t>
            </w:r>
            <w:r w:rsidRPr="00E70587">
              <w:rPr>
                <w:rFonts w:ascii="Arial" w:hAnsi="Arial"/>
                <w:color w:val="auto"/>
                <w:sz w:val="20"/>
              </w:rPr>
              <w:t xml:space="preserve"> as at the beginning of the previous annual period (’the opening balance sheet’, often referred to</w:t>
            </w:r>
            <w:r w:rsidR="002F4EFE">
              <w:rPr>
                <w:rFonts w:ascii="Arial" w:hAnsi="Arial"/>
                <w:color w:val="auto"/>
                <w:sz w:val="20"/>
              </w:rPr>
              <w:t xml:space="preserve"> </w:t>
            </w:r>
            <w:r w:rsidRPr="00E70587">
              <w:rPr>
                <w:rFonts w:ascii="Arial" w:hAnsi="Arial"/>
                <w:color w:val="auto"/>
                <w:sz w:val="20"/>
              </w:rPr>
              <w:t xml:space="preserve">as the ‘third balance sheet’). </w:t>
            </w:r>
          </w:p>
          <w:p w14:paraId="2F4489D2" w14:textId="77777777" w:rsidR="00EA1ADC" w:rsidRPr="00E70587" w:rsidRDefault="00EA1ADC" w:rsidP="00F14D9F">
            <w:pPr>
              <w:pStyle w:val="Greybox"/>
              <w:shd w:val="clear" w:color="auto" w:fill="A2A2A2" w:themeFill="background1" w:themeFillTint="99"/>
              <w:spacing w:line="280" w:lineRule="exact"/>
              <w:jc w:val="both"/>
              <w:rPr>
                <w:rFonts w:ascii="Arial" w:hAnsi="Arial"/>
                <w:color w:val="auto"/>
                <w:sz w:val="20"/>
              </w:rPr>
            </w:pPr>
          </w:p>
          <w:p w14:paraId="77762A0A" w14:textId="44D0693D" w:rsidR="002F4EFE" w:rsidRDefault="002F4EFE" w:rsidP="002F4EFE">
            <w:pPr>
              <w:pStyle w:val="Greybox"/>
              <w:shd w:val="clear" w:color="auto" w:fill="A2A2A2" w:themeFill="background1" w:themeFillTint="99"/>
              <w:spacing w:line="280" w:lineRule="exact"/>
              <w:jc w:val="both"/>
              <w:rPr>
                <w:rFonts w:ascii="Arial" w:hAnsi="Arial"/>
                <w:color w:val="auto"/>
                <w:sz w:val="20"/>
              </w:rPr>
            </w:pPr>
            <w:r w:rsidRPr="002F4EFE">
              <w:rPr>
                <w:rFonts w:ascii="Arial" w:hAnsi="Arial"/>
                <w:color w:val="auto"/>
                <w:sz w:val="20"/>
              </w:rPr>
              <w:t xml:space="preserve">The Group presented ‘contract assets’ and ‘contract liabilities’ in the balance sheet using the terminology from Ind AS 115. Ind AS 115.109 allows an entity to use alternative descriptions. However, it must disclose sufficient information so that users of the financial statements can clearly distinguish between unconditional rights to receive consideration (receivables) and conditional rights to receive consideration (contract assets). </w:t>
            </w:r>
          </w:p>
          <w:p w14:paraId="0A621A50" w14:textId="77777777" w:rsidR="00CD6F72" w:rsidRPr="002F4EFE" w:rsidRDefault="00CD6F72" w:rsidP="002F4EFE">
            <w:pPr>
              <w:pStyle w:val="Greybox"/>
              <w:shd w:val="clear" w:color="auto" w:fill="A2A2A2" w:themeFill="background1" w:themeFillTint="99"/>
              <w:spacing w:line="280" w:lineRule="exact"/>
              <w:jc w:val="both"/>
              <w:rPr>
                <w:rFonts w:ascii="Arial" w:hAnsi="Arial"/>
                <w:color w:val="auto"/>
                <w:sz w:val="20"/>
              </w:rPr>
            </w:pPr>
          </w:p>
          <w:p w14:paraId="0B37AB96" w14:textId="709817AC" w:rsidR="002F4EFE" w:rsidRDefault="002F4EFE" w:rsidP="002F4EFE">
            <w:pPr>
              <w:pStyle w:val="Greybox"/>
              <w:shd w:val="clear" w:color="auto" w:fill="A2A2A2" w:themeFill="background1" w:themeFillTint="99"/>
              <w:spacing w:line="280" w:lineRule="exact"/>
              <w:jc w:val="both"/>
              <w:rPr>
                <w:rFonts w:ascii="Arial" w:hAnsi="Arial"/>
                <w:color w:val="auto"/>
                <w:sz w:val="20"/>
              </w:rPr>
            </w:pPr>
            <w:r w:rsidRPr="002F4EFE">
              <w:rPr>
                <w:rFonts w:ascii="Arial" w:hAnsi="Arial"/>
                <w:color w:val="auto"/>
                <w:sz w:val="20"/>
              </w:rPr>
              <w:t>Ind AS 115.B25 requires an entity to present the refund liabilities separately from the corresponding asset (on a gross basis, rather than a net basis). The Group presented ‘right of return assets’ and ‘refund liabilities’ separately in the balance sheet.</w:t>
            </w:r>
          </w:p>
          <w:p w14:paraId="15D10C8F" w14:textId="77777777" w:rsidR="00CD6F72" w:rsidRPr="002F4EFE" w:rsidRDefault="00CD6F72" w:rsidP="002F4EFE">
            <w:pPr>
              <w:pStyle w:val="Greybox"/>
              <w:shd w:val="clear" w:color="auto" w:fill="A2A2A2" w:themeFill="background1" w:themeFillTint="99"/>
              <w:spacing w:line="280" w:lineRule="exact"/>
              <w:jc w:val="both"/>
              <w:rPr>
                <w:rFonts w:ascii="Arial" w:hAnsi="Arial"/>
                <w:color w:val="auto"/>
                <w:sz w:val="20"/>
              </w:rPr>
            </w:pPr>
          </w:p>
          <w:p w14:paraId="71BE46F9" w14:textId="7BC3358D" w:rsidR="002F4EFE" w:rsidRPr="002F4EFE" w:rsidRDefault="002F4EFE" w:rsidP="002F4EFE">
            <w:pPr>
              <w:pStyle w:val="Greybox"/>
              <w:shd w:val="clear" w:color="auto" w:fill="A2A2A2" w:themeFill="background1" w:themeFillTint="99"/>
              <w:spacing w:line="280" w:lineRule="exact"/>
              <w:jc w:val="both"/>
              <w:rPr>
                <w:rFonts w:ascii="Arial" w:hAnsi="Arial"/>
                <w:color w:val="auto"/>
                <w:sz w:val="20"/>
              </w:rPr>
            </w:pPr>
            <w:r w:rsidRPr="002F4EFE">
              <w:rPr>
                <w:rFonts w:ascii="Arial" w:hAnsi="Arial"/>
                <w:color w:val="auto"/>
                <w:sz w:val="20"/>
              </w:rPr>
              <w:t xml:space="preserve">Ind AS 116.47 requires a lessee to either present in the balance sheet, or disclose in the notes, the right-of-use assets separately from other assets and lease liabilities separately from other liabilities. If a lessee does not present right-of-use assets separately in the balance sheet, the lessee is required to include </w:t>
            </w:r>
            <w:r w:rsidRPr="002F4EFE">
              <w:rPr>
                <w:rFonts w:ascii="Arial" w:hAnsi="Arial"/>
                <w:color w:val="auto"/>
                <w:sz w:val="20"/>
              </w:rPr>
              <w:lastRenderedPageBreak/>
              <w:t>right-of-use assets within the same line item that the corresponding underlying assets would be presented if they were owned (e.g., under property, plant and equipment) and it is required to disclose which line items in the balance sheet include those right-of-use assets. Similarly, if the lessee does not present lease liabilities separately in the balance sheet, the lessee is required to disclose the line items in the balance sheet which include those liabilities. The Group presented its ‘Right-of-use assets’ and related ‘lease liabilities’ separately in the balance sheet.</w:t>
            </w:r>
          </w:p>
          <w:p w14:paraId="75A92AC3" w14:textId="77777777" w:rsidR="00CD6F72" w:rsidRDefault="00CD6F72" w:rsidP="002F4EFE">
            <w:pPr>
              <w:pStyle w:val="Greybox"/>
              <w:shd w:val="clear" w:color="auto" w:fill="A2A2A2" w:themeFill="background1" w:themeFillTint="99"/>
              <w:spacing w:line="280" w:lineRule="exact"/>
              <w:jc w:val="both"/>
              <w:rPr>
                <w:rFonts w:ascii="Arial" w:hAnsi="Arial"/>
                <w:color w:val="auto"/>
                <w:sz w:val="20"/>
              </w:rPr>
            </w:pPr>
          </w:p>
          <w:p w14:paraId="1A48CE3C" w14:textId="0FDB9328" w:rsidR="002F4EFE" w:rsidRDefault="002F4EFE" w:rsidP="002F4EFE">
            <w:pPr>
              <w:pStyle w:val="Greybox"/>
              <w:shd w:val="clear" w:color="auto" w:fill="A2A2A2" w:themeFill="background1" w:themeFillTint="99"/>
              <w:spacing w:line="280" w:lineRule="exact"/>
              <w:jc w:val="both"/>
              <w:rPr>
                <w:rFonts w:ascii="Arial" w:hAnsi="Arial"/>
                <w:color w:val="auto"/>
                <w:sz w:val="20"/>
              </w:rPr>
            </w:pPr>
            <w:r w:rsidRPr="002F4EFE">
              <w:rPr>
                <w:rFonts w:ascii="Arial" w:hAnsi="Arial"/>
                <w:color w:val="auto"/>
                <w:sz w:val="20"/>
              </w:rPr>
              <w:t>Under Ind AS 116.48, right-of-use assets that meet the definition of investment property must be presented in the balance sheet as investment property. The Group does not have right-of-use assets that meet the definition of investment property.</w:t>
            </w:r>
          </w:p>
          <w:p w14:paraId="0B3E58CE" w14:textId="77777777" w:rsidR="000F2EE5" w:rsidRPr="00E70587" w:rsidRDefault="000F2EE5" w:rsidP="002F4EFE">
            <w:pPr>
              <w:pStyle w:val="Greybox"/>
              <w:shd w:val="clear" w:color="auto" w:fill="A2A2A2" w:themeFill="background1" w:themeFillTint="99"/>
              <w:spacing w:line="280" w:lineRule="exact"/>
              <w:jc w:val="both"/>
              <w:rPr>
                <w:rFonts w:ascii="Arial" w:hAnsi="Arial"/>
                <w:color w:val="auto"/>
                <w:sz w:val="20"/>
              </w:rPr>
            </w:pPr>
          </w:p>
        </w:tc>
      </w:tr>
    </w:tbl>
    <w:p w14:paraId="7524E97D" w14:textId="77777777" w:rsidR="00215C2C" w:rsidRPr="00E70587" w:rsidRDefault="00215C2C" w:rsidP="004C47AB">
      <w:pPr>
        <w:pStyle w:val="tabletext"/>
        <w:overflowPunct w:val="0"/>
        <w:autoSpaceDE w:val="0"/>
        <w:autoSpaceDN w:val="0"/>
        <w:adjustRightInd w:val="0"/>
        <w:spacing w:line="280" w:lineRule="exact"/>
        <w:textAlignment w:val="baseline"/>
        <w:rPr>
          <w:rFonts w:ascii="Times New Roman" w:hAnsi="Times New Roman"/>
          <w:sz w:val="20"/>
          <w:lang w:val="en-IN"/>
        </w:rPr>
      </w:pPr>
    </w:p>
    <w:p w14:paraId="241E5FB7" w14:textId="77777777" w:rsidR="00215C2C" w:rsidRPr="00E70587" w:rsidRDefault="00215C2C" w:rsidP="004C47AB">
      <w:pPr>
        <w:pStyle w:val="Greybox"/>
        <w:shd w:val="clear" w:color="auto" w:fill="A2A2A2" w:themeFill="background1" w:themeFillTint="99"/>
        <w:spacing w:line="280" w:lineRule="exact"/>
        <w:rPr>
          <w:rFonts w:ascii="Times New Roman" w:hAnsi="Times New Roman" w:cs="Times New Roman"/>
          <w:color w:val="auto"/>
          <w:sz w:val="20"/>
        </w:rPr>
        <w:sectPr w:rsidR="00215C2C" w:rsidRPr="00E70587" w:rsidSect="00C41CC3">
          <w:headerReference w:type="even" r:id="rId15"/>
          <w:headerReference w:type="default" r:id="rId16"/>
          <w:pgSz w:w="11909" w:h="16834" w:code="9"/>
          <w:pgMar w:top="864" w:right="1253" w:bottom="864" w:left="1296" w:header="432" w:footer="432" w:gutter="0"/>
          <w:cols w:space="766"/>
          <w:docGrid w:linePitch="245"/>
        </w:sectPr>
      </w:pPr>
    </w:p>
    <w:tbl>
      <w:tblPr>
        <w:tblpPr w:leftFromText="180" w:rightFromText="180" w:vertAnchor="text" w:tblpY="1"/>
        <w:tblOverlap w:val="never"/>
        <w:tblW w:w="11556" w:type="dxa"/>
        <w:tblLayout w:type="fixed"/>
        <w:tblLook w:val="01E0" w:firstRow="1" w:lastRow="1" w:firstColumn="1" w:lastColumn="1" w:noHBand="0" w:noVBand="0"/>
      </w:tblPr>
      <w:tblGrid>
        <w:gridCol w:w="5479"/>
        <w:gridCol w:w="1039"/>
        <w:gridCol w:w="10"/>
        <w:gridCol w:w="1514"/>
        <w:gridCol w:w="10"/>
        <w:gridCol w:w="1514"/>
        <w:gridCol w:w="10"/>
        <w:gridCol w:w="990"/>
        <w:gridCol w:w="990"/>
      </w:tblGrid>
      <w:tr w:rsidR="00FC56D0" w:rsidRPr="00E70587" w14:paraId="45FA66D8" w14:textId="77777777" w:rsidTr="00F27305">
        <w:trPr>
          <w:gridAfter w:val="2"/>
          <w:wAfter w:w="1980" w:type="dxa"/>
          <w:tblHeader/>
        </w:trPr>
        <w:tc>
          <w:tcPr>
            <w:tcW w:w="5479" w:type="dxa"/>
            <w:shd w:val="clear" w:color="auto" w:fill="auto"/>
          </w:tcPr>
          <w:p w14:paraId="3C4ABA56" w14:textId="77777777" w:rsidR="00FC56D0" w:rsidRPr="00E70587" w:rsidRDefault="00FC56D0" w:rsidP="00F27305">
            <w:pPr>
              <w:pStyle w:val="000Normal"/>
              <w:spacing w:before="0" w:after="0" w:line="280" w:lineRule="exact"/>
              <w:rPr>
                <w:rFonts w:ascii="Arial" w:hAnsi="Arial" w:cs="Arial"/>
                <w:sz w:val="20"/>
              </w:rPr>
            </w:pPr>
          </w:p>
        </w:tc>
        <w:tc>
          <w:tcPr>
            <w:tcW w:w="1049" w:type="dxa"/>
            <w:gridSpan w:val="2"/>
            <w:shd w:val="clear" w:color="auto" w:fill="auto"/>
          </w:tcPr>
          <w:p w14:paraId="19DB3A54" w14:textId="77777777" w:rsidR="00FC56D0" w:rsidRPr="00E70587" w:rsidRDefault="00FC56D0" w:rsidP="00F27305">
            <w:pPr>
              <w:pStyle w:val="000Normal"/>
              <w:spacing w:before="0" w:after="0" w:line="280" w:lineRule="exact"/>
              <w:rPr>
                <w:rFonts w:ascii="Arial" w:hAnsi="Arial" w:cs="Arial"/>
                <w:sz w:val="20"/>
              </w:rPr>
            </w:pPr>
          </w:p>
        </w:tc>
        <w:tc>
          <w:tcPr>
            <w:tcW w:w="1524" w:type="dxa"/>
            <w:gridSpan w:val="2"/>
            <w:tcBorders>
              <w:bottom w:val="single" w:sz="4" w:space="0" w:color="auto"/>
            </w:tcBorders>
            <w:shd w:val="clear" w:color="auto" w:fill="auto"/>
            <w:tcMar>
              <w:right w:w="108" w:type="dxa"/>
            </w:tcMar>
            <w:vAlign w:val="bottom"/>
          </w:tcPr>
          <w:p w14:paraId="0A596E21" w14:textId="343CDAD2" w:rsidR="00FC56D0" w:rsidRPr="00E70587" w:rsidRDefault="00FC56D0" w:rsidP="00F27305">
            <w:pPr>
              <w:pStyle w:val="Tablecolumnheading"/>
              <w:spacing w:line="280" w:lineRule="exact"/>
              <w:ind w:right="50"/>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4D0966" w:rsidRPr="00E70587">
              <w:rPr>
                <w:rFonts w:ascii="Arial" w:hAnsi="Arial"/>
                <w:color w:val="auto"/>
                <w:sz w:val="20"/>
                <w:szCs w:val="20"/>
                <w:lang w:val="en-IN"/>
              </w:rPr>
              <w:t>20</w:t>
            </w:r>
            <w:r w:rsidR="004D0966">
              <w:rPr>
                <w:rFonts w:ascii="Arial" w:hAnsi="Arial"/>
                <w:color w:val="auto"/>
                <w:sz w:val="20"/>
                <w:szCs w:val="20"/>
                <w:lang w:val="en-IN"/>
              </w:rPr>
              <w:t>21</w:t>
            </w:r>
          </w:p>
        </w:tc>
        <w:tc>
          <w:tcPr>
            <w:tcW w:w="1524" w:type="dxa"/>
            <w:gridSpan w:val="2"/>
            <w:tcBorders>
              <w:bottom w:val="single" w:sz="4" w:space="0" w:color="auto"/>
            </w:tcBorders>
            <w:shd w:val="clear" w:color="auto" w:fill="auto"/>
            <w:tcMar>
              <w:right w:w="108" w:type="dxa"/>
            </w:tcMar>
            <w:vAlign w:val="bottom"/>
          </w:tcPr>
          <w:p w14:paraId="23E291A7" w14:textId="258B98BA" w:rsidR="00FC56D0" w:rsidRPr="00E70587" w:rsidRDefault="00FC56D0" w:rsidP="00F27305">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4D0966" w:rsidRPr="00E70587">
              <w:rPr>
                <w:rFonts w:ascii="Arial" w:hAnsi="Arial"/>
                <w:color w:val="auto"/>
                <w:sz w:val="20"/>
                <w:szCs w:val="20"/>
                <w:lang w:val="en-IN"/>
              </w:rPr>
              <w:t>20</w:t>
            </w:r>
            <w:r w:rsidR="004D0966">
              <w:rPr>
                <w:rFonts w:ascii="Arial" w:hAnsi="Arial"/>
                <w:color w:val="auto"/>
                <w:sz w:val="20"/>
                <w:szCs w:val="20"/>
                <w:lang w:val="en-IN"/>
              </w:rPr>
              <w:t>20</w:t>
            </w:r>
            <w:r w:rsidR="004D0966" w:rsidRPr="00E70587">
              <w:rPr>
                <w:rFonts w:ascii="Arial" w:hAnsi="Arial"/>
                <w:color w:val="auto"/>
                <w:sz w:val="20"/>
                <w:szCs w:val="20"/>
                <w:lang w:val="en-IN"/>
              </w:rPr>
              <w:t xml:space="preserve"> </w:t>
            </w:r>
          </w:p>
        </w:tc>
      </w:tr>
      <w:tr w:rsidR="00FC56D0" w:rsidRPr="00E70587" w14:paraId="687992A1" w14:textId="77777777" w:rsidTr="00F27305">
        <w:trPr>
          <w:gridAfter w:val="2"/>
          <w:wAfter w:w="1980" w:type="dxa"/>
          <w:tblHeader/>
        </w:trPr>
        <w:tc>
          <w:tcPr>
            <w:tcW w:w="5479" w:type="dxa"/>
          </w:tcPr>
          <w:p w14:paraId="324848A2" w14:textId="77777777" w:rsidR="00FC56D0" w:rsidRPr="00E70587" w:rsidRDefault="00FC56D0" w:rsidP="00F27305">
            <w:pPr>
              <w:pStyle w:val="000Normal"/>
              <w:spacing w:before="0" w:after="0" w:line="280" w:lineRule="exact"/>
              <w:rPr>
                <w:rFonts w:ascii="Arial" w:hAnsi="Arial" w:cs="Arial"/>
                <w:sz w:val="20"/>
              </w:rPr>
            </w:pPr>
          </w:p>
        </w:tc>
        <w:tc>
          <w:tcPr>
            <w:tcW w:w="1049" w:type="dxa"/>
            <w:gridSpan w:val="2"/>
          </w:tcPr>
          <w:p w14:paraId="1A17325D" w14:textId="77777777" w:rsidR="00FC56D0" w:rsidRPr="00E70587" w:rsidRDefault="00FC56D0" w:rsidP="00F27305">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Notes</w:t>
            </w:r>
          </w:p>
        </w:tc>
        <w:tc>
          <w:tcPr>
            <w:tcW w:w="1524" w:type="dxa"/>
            <w:gridSpan w:val="2"/>
            <w:tcBorders>
              <w:top w:val="single" w:sz="4" w:space="0" w:color="auto"/>
            </w:tcBorders>
            <w:tcMar>
              <w:right w:w="108" w:type="dxa"/>
            </w:tcMar>
            <w:vAlign w:val="bottom"/>
          </w:tcPr>
          <w:p w14:paraId="06F3E684" w14:textId="776EEEDC" w:rsidR="00FC56D0" w:rsidRPr="00E70587" w:rsidRDefault="00FC56D0" w:rsidP="00F27305">
            <w:pPr>
              <w:pStyle w:val="Tablecolumnheading"/>
              <w:tabs>
                <w:tab w:val="decimal" w:pos="1104"/>
              </w:tabs>
              <w:spacing w:line="280" w:lineRule="exact"/>
              <w:rPr>
                <w:rFonts w:ascii="Arial" w:hAnsi="Arial"/>
                <w:color w:val="auto"/>
                <w:sz w:val="20"/>
                <w:szCs w:val="20"/>
                <w:lang w:val="en-IN"/>
              </w:rPr>
            </w:pPr>
            <w:r w:rsidRPr="00E70587">
              <w:rPr>
                <w:rFonts w:ascii="Arial" w:hAnsi="Arial"/>
                <w:color w:val="auto"/>
                <w:sz w:val="20"/>
                <w:szCs w:val="20"/>
                <w:lang w:val="en-IN"/>
              </w:rPr>
              <w:t xml:space="preserve">INR </w:t>
            </w:r>
            <w:r w:rsidR="00915735" w:rsidRPr="00E70587">
              <w:rPr>
                <w:rFonts w:ascii="Arial" w:hAnsi="Arial"/>
                <w:color w:val="auto"/>
                <w:sz w:val="20"/>
                <w:szCs w:val="20"/>
                <w:lang w:val="en-IN"/>
              </w:rPr>
              <w:t>La</w:t>
            </w:r>
            <w:r w:rsidR="008B3529">
              <w:rPr>
                <w:rFonts w:ascii="Arial" w:hAnsi="Arial"/>
                <w:color w:val="auto"/>
                <w:sz w:val="20"/>
                <w:szCs w:val="20"/>
                <w:lang w:val="en-IN"/>
              </w:rPr>
              <w:t>c</w:t>
            </w:r>
            <w:r w:rsidR="00915735" w:rsidRPr="00E70587">
              <w:rPr>
                <w:rFonts w:ascii="Arial" w:hAnsi="Arial"/>
                <w:color w:val="auto"/>
                <w:sz w:val="20"/>
                <w:szCs w:val="20"/>
                <w:lang w:val="en-IN"/>
              </w:rPr>
              <w:t>s</w:t>
            </w:r>
          </w:p>
        </w:tc>
        <w:tc>
          <w:tcPr>
            <w:tcW w:w="1524" w:type="dxa"/>
            <w:gridSpan w:val="2"/>
            <w:tcBorders>
              <w:top w:val="single" w:sz="4" w:space="0" w:color="auto"/>
            </w:tcBorders>
            <w:tcMar>
              <w:right w:w="108" w:type="dxa"/>
            </w:tcMar>
            <w:vAlign w:val="bottom"/>
          </w:tcPr>
          <w:p w14:paraId="55DF096E" w14:textId="75CE5F36" w:rsidR="00FC56D0" w:rsidRPr="00E70587" w:rsidRDefault="00FC56D0" w:rsidP="00F27305">
            <w:pPr>
              <w:pStyle w:val="Tablecolumnheading"/>
              <w:tabs>
                <w:tab w:val="decimal" w:pos="1128"/>
              </w:tabs>
              <w:spacing w:line="280" w:lineRule="exact"/>
              <w:rPr>
                <w:rFonts w:ascii="Arial" w:hAnsi="Arial"/>
                <w:color w:val="auto"/>
                <w:sz w:val="20"/>
                <w:szCs w:val="20"/>
                <w:lang w:val="en-IN"/>
              </w:rPr>
            </w:pPr>
            <w:r w:rsidRPr="00E70587">
              <w:rPr>
                <w:rFonts w:ascii="Arial" w:hAnsi="Arial"/>
                <w:color w:val="auto"/>
                <w:sz w:val="20"/>
                <w:szCs w:val="20"/>
                <w:lang w:val="en-IN"/>
              </w:rPr>
              <w:t xml:space="preserve">INR </w:t>
            </w:r>
            <w:r w:rsidR="00915735" w:rsidRPr="00E70587">
              <w:rPr>
                <w:rFonts w:ascii="Arial" w:hAnsi="Arial"/>
                <w:color w:val="auto"/>
                <w:sz w:val="20"/>
                <w:szCs w:val="20"/>
                <w:lang w:val="en-IN"/>
              </w:rPr>
              <w:t>La</w:t>
            </w:r>
            <w:r w:rsidR="008B3529">
              <w:rPr>
                <w:rFonts w:ascii="Arial" w:hAnsi="Arial"/>
                <w:color w:val="auto"/>
                <w:sz w:val="20"/>
                <w:szCs w:val="20"/>
                <w:lang w:val="en-IN"/>
              </w:rPr>
              <w:t>c</w:t>
            </w:r>
            <w:r w:rsidR="00915735" w:rsidRPr="00E70587">
              <w:rPr>
                <w:rFonts w:ascii="Arial" w:hAnsi="Arial"/>
                <w:color w:val="auto"/>
                <w:sz w:val="20"/>
                <w:szCs w:val="20"/>
                <w:lang w:val="en-IN"/>
              </w:rPr>
              <w:t>s</w:t>
            </w:r>
          </w:p>
        </w:tc>
      </w:tr>
      <w:tr w:rsidR="00FC56D0" w:rsidRPr="00E70587" w14:paraId="546A53FD" w14:textId="77777777" w:rsidTr="00F27305">
        <w:trPr>
          <w:gridAfter w:val="2"/>
          <w:wAfter w:w="1980" w:type="dxa"/>
        </w:trPr>
        <w:tc>
          <w:tcPr>
            <w:tcW w:w="5479" w:type="dxa"/>
            <w:shd w:val="clear" w:color="auto" w:fill="auto"/>
          </w:tcPr>
          <w:p w14:paraId="1AFB2A3E" w14:textId="77777777" w:rsidR="00FC56D0" w:rsidRPr="00E70587" w:rsidRDefault="00FC56D0" w:rsidP="00F27305">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CONTINUING OPERATIONS</w:t>
            </w:r>
          </w:p>
        </w:tc>
        <w:tc>
          <w:tcPr>
            <w:tcW w:w="1049" w:type="dxa"/>
            <w:gridSpan w:val="2"/>
            <w:shd w:val="clear" w:color="auto" w:fill="auto"/>
          </w:tcPr>
          <w:p w14:paraId="30905AC0" w14:textId="77777777" w:rsidR="00FC56D0" w:rsidRPr="00E70587" w:rsidRDefault="00FC56D0" w:rsidP="00F27305">
            <w:pPr>
              <w:pStyle w:val="000Normal"/>
              <w:spacing w:before="0" w:after="0" w:line="280" w:lineRule="exact"/>
              <w:jc w:val="center"/>
              <w:rPr>
                <w:rFonts w:ascii="Arial" w:hAnsi="Arial" w:cs="Arial"/>
                <w:sz w:val="20"/>
              </w:rPr>
            </w:pPr>
          </w:p>
        </w:tc>
        <w:tc>
          <w:tcPr>
            <w:tcW w:w="1524" w:type="dxa"/>
            <w:gridSpan w:val="2"/>
            <w:shd w:val="clear" w:color="auto" w:fill="auto"/>
            <w:tcMar>
              <w:right w:w="108" w:type="dxa"/>
            </w:tcMar>
            <w:vAlign w:val="bottom"/>
          </w:tcPr>
          <w:p w14:paraId="2CF64381" w14:textId="77777777" w:rsidR="00FC56D0" w:rsidRPr="00E70587" w:rsidRDefault="00FC56D0" w:rsidP="00F27305">
            <w:pPr>
              <w:pStyle w:val="000Normal"/>
              <w:spacing w:before="0" w:after="0" w:line="280" w:lineRule="exact"/>
              <w:jc w:val="right"/>
              <w:rPr>
                <w:rFonts w:ascii="Arial" w:hAnsi="Arial" w:cs="Arial"/>
                <w:sz w:val="20"/>
              </w:rPr>
            </w:pPr>
          </w:p>
        </w:tc>
        <w:tc>
          <w:tcPr>
            <w:tcW w:w="1524" w:type="dxa"/>
            <w:gridSpan w:val="2"/>
            <w:shd w:val="clear" w:color="auto" w:fill="auto"/>
            <w:tcMar>
              <w:right w:w="108" w:type="dxa"/>
            </w:tcMar>
            <w:vAlign w:val="bottom"/>
          </w:tcPr>
          <w:p w14:paraId="7E8877D6" w14:textId="77777777" w:rsidR="00FC56D0" w:rsidRPr="00E70587" w:rsidRDefault="00FC56D0" w:rsidP="00F27305">
            <w:pPr>
              <w:pStyle w:val="000Normal"/>
              <w:spacing w:before="0" w:after="0" w:line="280" w:lineRule="exact"/>
              <w:jc w:val="right"/>
              <w:rPr>
                <w:rFonts w:ascii="Arial" w:hAnsi="Arial" w:cs="Arial"/>
                <w:sz w:val="20"/>
              </w:rPr>
            </w:pPr>
          </w:p>
        </w:tc>
      </w:tr>
      <w:tr w:rsidR="00B744FD" w:rsidRPr="00E70587" w14:paraId="6EF051C4" w14:textId="77777777" w:rsidTr="00F27305">
        <w:trPr>
          <w:gridAfter w:val="2"/>
          <w:wAfter w:w="1980" w:type="dxa"/>
        </w:trPr>
        <w:tc>
          <w:tcPr>
            <w:tcW w:w="5479" w:type="dxa"/>
          </w:tcPr>
          <w:p w14:paraId="0E24E582" w14:textId="77777777" w:rsidR="00B744FD" w:rsidRPr="00E70587" w:rsidRDefault="00B744FD" w:rsidP="00F2730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Revenue from contract with customers</w:t>
            </w:r>
          </w:p>
        </w:tc>
        <w:tc>
          <w:tcPr>
            <w:tcW w:w="1049" w:type="dxa"/>
            <w:gridSpan w:val="2"/>
          </w:tcPr>
          <w:p w14:paraId="3885627A" w14:textId="77777777" w:rsidR="00B744FD" w:rsidRPr="00E70587" w:rsidRDefault="00B744FD" w:rsidP="00F27305">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lang w:val="en-IN"/>
              </w:rPr>
              <w:t>22</w:t>
            </w:r>
          </w:p>
        </w:tc>
        <w:tc>
          <w:tcPr>
            <w:tcW w:w="1524" w:type="dxa"/>
            <w:gridSpan w:val="2"/>
            <w:tcMar>
              <w:right w:w="108" w:type="dxa"/>
            </w:tcMar>
            <w:vAlign w:val="bottom"/>
          </w:tcPr>
          <w:p w14:paraId="701FA946" w14:textId="77777777" w:rsidR="00B744FD" w:rsidRPr="00E70587" w:rsidRDefault="00B744FD" w:rsidP="00F27305">
            <w:pPr>
              <w:spacing w:line="280" w:lineRule="exact"/>
              <w:jc w:val="right"/>
              <w:rPr>
                <w:rFonts w:ascii="Arial" w:hAnsi="Arial" w:cs="Arial"/>
                <w:sz w:val="20"/>
              </w:rPr>
            </w:pPr>
            <w:r w:rsidRPr="00E70587">
              <w:rPr>
                <w:rFonts w:ascii="Arial" w:hAnsi="Arial" w:cs="Arial"/>
                <w:sz w:val="20"/>
              </w:rPr>
              <w:t xml:space="preserve"> 3,22,304 </w:t>
            </w:r>
          </w:p>
        </w:tc>
        <w:tc>
          <w:tcPr>
            <w:tcW w:w="1524" w:type="dxa"/>
            <w:gridSpan w:val="2"/>
            <w:tcMar>
              <w:right w:w="108" w:type="dxa"/>
            </w:tcMar>
            <w:vAlign w:val="bottom"/>
          </w:tcPr>
          <w:p w14:paraId="09ADE329" w14:textId="77777777" w:rsidR="00B744FD" w:rsidRPr="00E70587" w:rsidRDefault="00B744FD" w:rsidP="00F27305">
            <w:pPr>
              <w:spacing w:line="280" w:lineRule="exact"/>
              <w:jc w:val="right"/>
              <w:rPr>
                <w:rFonts w:ascii="Arial" w:hAnsi="Arial" w:cs="Arial"/>
                <w:sz w:val="20"/>
              </w:rPr>
            </w:pPr>
            <w:r w:rsidRPr="00E70587">
              <w:rPr>
                <w:rFonts w:ascii="Arial" w:hAnsi="Arial" w:cs="Arial"/>
                <w:sz w:val="20"/>
              </w:rPr>
              <w:t xml:space="preserve"> 2,85,92</w:t>
            </w:r>
            <w:r w:rsidR="00F14D9F" w:rsidRPr="00E70587">
              <w:rPr>
                <w:rFonts w:ascii="Arial" w:hAnsi="Arial" w:cs="Arial"/>
                <w:sz w:val="20"/>
              </w:rPr>
              <w:t>5</w:t>
            </w:r>
            <w:r w:rsidRPr="00E70587">
              <w:rPr>
                <w:rFonts w:ascii="Arial" w:hAnsi="Arial" w:cs="Arial"/>
                <w:sz w:val="20"/>
              </w:rPr>
              <w:t xml:space="preserve"> </w:t>
            </w:r>
          </w:p>
        </w:tc>
      </w:tr>
      <w:tr w:rsidR="00FC56D0" w:rsidRPr="00E70587" w14:paraId="3112315E" w14:textId="77777777" w:rsidTr="00F27305">
        <w:trPr>
          <w:gridAfter w:val="2"/>
          <w:wAfter w:w="1980" w:type="dxa"/>
        </w:trPr>
        <w:tc>
          <w:tcPr>
            <w:tcW w:w="5479" w:type="dxa"/>
          </w:tcPr>
          <w:p w14:paraId="147DBD0C" w14:textId="77777777" w:rsidR="00FC56D0" w:rsidRPr="00E70587" w:rsidRDefault="00FC56D0" w:rsidP="00F2730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Rental income</w:t>
            </w:r>
          </w:p>
        </w:tc>
        <w:tc>
          <w:tcPr>
            <w:tcW w:w="1049" w:type="dxa"/>
            <w:gridSpan w:val="2"/>
          </w:tcPr>
          <w:p w14:paraId="36CA3E1E" w14:textId="29B5A7DA" w:rsidR="00FC56D0" w:rsidRPr="00E70587" w:rsidRDefault="00A7563D" w:rsidP="00F27305">
            <w:pPr>
              <w:pStyle w:val="tabletext"/>
              <w:overflowPunct w:val="0"/>
              <w:autoSpaceDE w:val="0"/>
              <w:autoSpaceDN w:val="0"/>
              <w:adjustRightInd w:val="0"/>
              <w:spacing w:line="280" w:lineRule="exact"/>
              <w:jc w:val="center"/>
              <w:textAlignment w:val="baseline"/>
              <w:rPr>
                <w:rFonts w:ascii="Arial" w:hAnsi="Arial" w:cs="Arial"/>
                <w:sz w:val="20"/>
                <w:lang w:val="en-IN"/>
              </w:rPr>
            </w:pPr>
            <w:r>
              <w:rPr>
                <w:rFonts w:ascii="Arial" w:hAnsi="Arial" w:cs="Arial"/>
                <w:sz w:val="20"/>
                <w:lang w:val="en-IN"/>
              </w:rPr>
              <w:t>4</w:t>
            </w:r>
          </w:p>
        </w:tc>
        <w:tc>
          <w:tcPr>
            <w:tcW w:w="1524" w:type="dxa"/>
            <w:gridSpan w:val="2"/>
            <w:tcMar>
              <w:right w:w="108" w:type="dxa"/>
            </w:tcMar>
            <w:vAlign w:val="bottom"/>
          </w:tcPr>
          <w:p w14:paraId="07BDC6B0"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2,527</w:t>
            </w:r>
          </w:p>
        </w:tc>
        <w:tc>
          <w:tcPr>
            <w:tcW w:w="1524" w:type="dxa"/>
            <w:gridSpan w:val="2"/>
            <w:tcMar>
              <w:right w:w="108" w:type="dxa"/>
            </w:tcMar>
            <w:vAlign w:val="bottom"/>
          </w:tcPr>
          <w:p w14:paraId="167C13D9"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2,</w:t>
            </w:r>
            <w:r w:rsidR="00A84444" w:rsidRPr="00E70587">
              <w:rPr>
                <w:rFonts w:ascii="Arial" w:hAnsi="Arial" w:cs="Arial"/>
                <w:sz w:val="20"/>
              </w:rPr>
              <w:t>47</w:t>
            </w:r>
            <w:r w:rsidR="00A84444">
              <w:rPr>
                <w:rFonts w:ascii="Arial" w:hAnsi="Arial" w:cs="Arial"/>
                <w:sz w:val="20"/>
              </w:rPr>
              <w:t>8</w:t>
            </w:r>
          </w:p>
        </w:tc>
      </w:tr>
      <w:tr w:rsidR="00FC56D0" w:rsidRPr="00E70587" w14:paraId="191AD178" w14:textId="77777777" w:rsidTr="00F27305">
        <w:trPr>
          <w:gridAfter w:val="2"/>
          <w:wAfter w:w="1980" w:type="dxa"/>
        </w:trPr>
        <w:tc>
          <w:tcPr>
            <w:tcW w:w="5479" w:type="dxa"/>
          </w:tcPr>
          <w:p w14:paraId="21FCAC35" w14:textId="77777777" w:rsidR="00FC56D0" w:rsidRPr="00E70587" w:rsidRDefault="00FC56D0" w:rsidP="00F27305">
            <w:pPr>
              <w:spacing w:line="280" w:lineRule="exact"/>
              <w:rPr>
                <w:rFonts w:ascii="Arial" w:hAnsi="Arial" w:cs="Arial"/>
                <w:b/>
                <w:sz w:val="20"/>
              </w:rPr>
            </w:pPr>
            <w:r w:rsidRPr="00E70587">
              <w:rPr>
                <w:rFonts w:ascii="Arial" w:hAnsi="Arial" w:cs="Arial"/>
                <w:b/>
                <w:sz w:val="20"/>
              </w:rPr>
              <w:t>Revenue from operations</w:t>
            </w:r>
          </w:p>
        </w:tc>
        <w:tc>
          <w:tcPr>
            <w:tcW w:w="1049" w:type="dxa"/>
            <w:gridSpan w:val="2"/>
          </w:tcPr>
          <w:p w14:paraId="7567248C" w14:textId="77777777" w:rsidR="00FC56D0" w:rsidRPr="00E70587" w:rsidRDefault="00FC56D0" w:rsidP="00F27305">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524" w:type="dxa"/>
            <w:gridSpan w:val="2"/>
            <w:tcMar>
              <w:right w:w="108" w:type="dxa"/>
            </w:tcMar>
            <w:vAlign w:val="bottom"/>
          </w:tcPr>
          <w:p w14:paraId="10F21103" w14:textId="77777777" w:rsidR="00FC56D0" w:rsidRPr="00E70587" w:rsidRDefault="00FC56D0" w:rsidP="00F27305">
            <w:pPr>
              <w:spacing w:line="280" w:lineRule="exact"/>
              <w:jc w:val="right"/>
              <w:rPr>
                <w:rFonts w:ascii="Arial" w:hAnsi="Arial" w:cs="Arial"/>
                <w:b/>
                <w:bCs/>
                <w:sz w:val="20"/>
              </w:rPr>
            </w:pPr>
            <w:r w:rsidRPr="00E70587">
              <w:rPr>
                <w:rFonts w:ascii="Arial" w:hAnsi="Arial" w:cs="Arial"/>
                <w:b/>
                <w:bCs/>
                <w:sz w:val="20"/>
              </w:rPr>
              <w:t>3,24,831</w:t>
            </w:r>
          </w:p>
        </w:tc>
        <w:tc>
          <w:tcPr>
            <w:tcW w:w="1524" w:type="dxa"/>
            <w:gridSpan w:val="2"/>
            <w:tcMar>
              <w:right w:w="108" w:type="dxa"/>
            </w:tcMar>
            <w:vAlign w:val="bottom"/>
          </w:tcPr>
          <w:p w14:paraId="31836733" w14:textId="77777777" w:rsidR="00FC56D0" w:rsidRPr="00E70587" w:rsidRDefault="00A8389F" w:rsidP="00F27305">
            <w:pPr>
              <w:spacing w:line="280" w:lineRule="exact"/>
              <w:jc w:val="right"/>
              <w:rPr>
                <w:rFonts w:ascii="Arial" w:hAnsi="Arial" w:cs="Arial"/>
                <w:b/>
                <w:bCs/>
                <w:sz w:val="20"/>
              </w:rPr>
            </w:pPr>
            <w:r w:rsidRPr="00E70587">
              <w:rPr>
                <w:rFonts w:ascii="Arial" w:hAnsi="Arial" w:cs="Arial"/>
                <w:b/>
                <w:bCs/>
                <w:sz w:val="20"/>
              </w:rPr>
              <w:t>2,88,403</w:t>
            </w:r>
          </w:p>
        </w:tc>
      </w:tr>
      <w:tr w:rsidR="00FC56D0" w:rsidRPr="00E70587" w14:paraId="232089D2" w14:textId="77777777" w:rsidTr="00F27305">
        <w:trPr>
          <w:gridAfter w:val="2"/>
          <w:wAfter w:w="1980" w:type="dxa"/>
        </w:trPr>
        <w:tc>
          <w:tcPr>
            <w:tcW w:w="5479" w:type="dxa"/>
            <w:vAlign w:val="center"/>
          </w:tcPr>
          <w:p w14:paraId="34E29614" w14:textId="77777777" w:rsidR="00FC56D0" w:rsidRPr="00E70587" w:rsidRDefault="00FC56D0" w:rsidP="00F27305">
            <w:pPr>
              <w:spacing w:line="280" w:lineRule="exact"/>
              <w:rPr>
                <w:rFonts w:ascii="Arial" w:hAnsi="Arial" w:cs="Arial"/>
                <w:sz w:val="20"/>
              </w:rPr>
            </w:pPr>
            <w:r w:rsidRPr="00E70587">
              <w:rPr>
                <w:rFonts w:ascii="Arial" w:hAnsi="Arial" w:cs="Arial"/>
                <w:sz w:val="20"/>
              </w:rPr>
              <w:t>Other income</w:t>
            </w:r>
          </w:p>
        </w:tc>
        <w:tc>
          <w:tcPr>
            <w:tcW w:w="1049" w:type="dxa"/>
            <w:gridSpan w:val="2"/>
          </w:tcPr>
          <w:p w14:paraId="73A43A8E" w14:textId="77777777" w:rsidR="00FC56D0" w:rsidRPr="00E70587" w:rsidRDefault="00FC56D0" w:rsidP="00F27305">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lang w:val="en-IN"/>
              </w:rPr>
              <w:t>23</w:t>
            </w:r>
          </w:p>
        </w:tc>
        <w:tc>
          <w:tcPr>
            <w:tcW w:w="1524" w:type="dxa"/>
            <w:gridSpan w:val="2"/>
            <w:tcMar>
              <w:right w:w="108" w:type="dxa"/>
            </w:tcMar>
            <w:vAlign w:val="bottom"/>
          </w:tcPr>
          <w:p w14:paraId="7E6749C0"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4,383</w:t>
            </w:r>
          </w:p>
        </w:tc>
        <w:tc>
          <w:tcPr>
            <w:tcW w:w="1524" w:type="dxa"/>
            <w:gridSpan w:val="2"/>
            <w:tcMar>
              <w:right w:w="108" w:type="dxa"/>
            </w:tcMar>
            <w:vAlign w:val="bottom"/>
          </w:tcPr>
          <w:p w14:paraId="5B8547CE"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4,586</w:t>
            </w:r>
          </w:p>
        </w:tc>
      </w:tr>
      <w:tr w:rsidR="00FC56D0" w:rsidRPr="00E70587" w14:paraId="6080567E" w14:textId="77777777" w:rsidTr="00F27305">
        <w:trPr>
          <w:gridAfter w:val="2"/>
          <w:wAfter w:w="1980" w:type="dxa"/>
        </w:trPr>
        <w:tc>
          <w:tcPr>
            <w:tcW w:w="5479" w:type="dxa"/>
            <w:vAlign w:val="center"/>
          </w:tcPr>
          <w:p w14:paraId="32540AEA" w14:textId="77777777" w:rsidR="00FC56D0" w:rsidRPr="00E70587" w:rsidRDefault="00FC56D0" w:rsidP="00F27305">
            <w:pPr>
              <w:spacing w:line="280" w:lineRule="exact"/>
              <w:rPr>
                <w:rFonts w:ascii="Arial" w:hAnsi="Arial" w:cs="Arial"/>
                <w:sz w:val="20"/>
              </w:rPr>
            </w:pPr>
            <w:r w:rsidRPr="00E70587">
              <w:rPr>
                <w:rFonts w:ascii="Arial" w:hAnsi="Arial" w:cs="Arial"/>
                <w:sz w:val="20"/>
              </w:rPr>
              <w:t>Finance income</w:t>
            </w:r>
          </w:p>
        </w:tc>
        <w:tc>
          <w:tcPr>
            <w:tcW w:w="1049" w:type="dxa"/>
            <w:gridSpan w:val="2"/>
          </w:tcPr>
          <w:p w14:paraId="5D3393BD" w14:textId="77777777" w:rsidR="00FC56D0" w:rsidRPr="00E70587" w:rsidRDefault="00FC56D0" w:rsidP="00F27305">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lang w:val="en-IN"/>
              </w:rPr>
              <w:t>24</w:t>
            </w:r>
          </w:p>
        </w:tc>
        <w:tc>
          <w:tcPr>
            <w:tcW w:w="1524" w:type="dxa"/>
            <w:gridSpan w:val="2"/>
            <w:tcBorders>
              <w:bottom w:val="single" w:sz="4" w:space="0" w:color="auto"/>
            </w:tcBorders>
            <w:tcMar>
              <w:right w:w="108" w:type="dxa"/>
            </w:tcMar>
            <w:vAlign w:val="bottom"/>
          </w:tcPr>
          <w:p w14:paraId="1EB7A69C"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605</w:t>
            </w:r>
          </w:p>
        </w:tc>
        <w:tc>
          <w:tcPr>
            <w:tcW w:w="1524" w:type="dxa"/>
            <w:gridSpan w:val="2"/>
            <w:tcBorders>
              <w:bottom w:val="single" w:sz="4" w:space="0" w:color="auto"/>
            </w:tcBorders>
            <w:tcMar>
              <w:right w:w="108" w:type="dxa"/>
            </w:tcMar>
            <w:vAlign w:val="bottom"/>
          </w:tcPr>
          <w:p w14:paraId="067F6633"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380</w:t>
            </w:r>
          </w:p>
        </w:tc>
      </w:tr>
      <w:tr w:rsidR="00FC56D0" w:rsidRPr="00E70587" w14:paraId="0A21064D" w14:textId="77777777" w:rsidTr="00F27305">
        <w:trPr>
          <w:gridAfter w:val="2"/>
          <w:wAfter w:w="1980" w:type="dxa"/>
        </w:trPr>
        <w:tc>
          <w:tcPr>
            <w:tcW w:w="5479" w:type="dxa"/>
          </w:tcPr>
          <w:p w14:paraId="368300CE" w14:textId="77777777" w:rsidR="00FC56D0" w:rsidRPr="00E70587" w:rsidRDefault="00FC56D0" w:rsidP="00F27305">
            <w:pPr>
              <w:pStyle w:val="tabletext"/>
              <w:spacing w:line="280" w:lineRule="exact"/>
              <w:jc w:val="right"/>
              <w:rPr>
                <w:rFonts w:ascii="Arial" w:hAnsi="Arial" w:cs="Arial"/>
                <w:b/>
                <w:sz w:val="20"/>
                <w:lang w:val="en-IN"/>
              </w:rPr>
            </w:pPr>
            <w:r w:rsidRPr="00E70587">
              <w:rPr>
                <w:rFonts w:ascii="Arial" w:hAnsi="Arial" w:cs="Arial"/>
                <w:b/>
                <w:sz w:val="20"/>
                <w:lang w:val="en-IN"/>
              </w:rPr>
              <w:t xml:space="preserve">Total </w:t>
            </w:r>
            <w:r w:rsidR="00AC4C1D" w:rsidRPr="00E70587">
              <w:rPr>
                <w:rFonts w:ascii="Arial" w:hAnsi="Arial" w:cs="Arial"/>
                <w:b/>
                <w:sz w:val="20"/>
                <w:lang w:val="en-IN"/>
              </w:rPr>
              <w:t>Income</w:t>
            </w:r>
          </w:p>
        </w:tc>
        <w:tc>
          <w:tcPr>
            <w:tcW w:w="1049" w:type="dxa"/>
            <w:gridSpan w:val="2"/>
          </w:tcPr>
          <w:p w14:paraId="5AC2C14A" w14:textId="77777777" w:rsidR="00FC56D0" w:rsidRPr="00E70587" w:rsidRDefault="00FC56D0" w:rsidP="00F27305">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524" w:type="dxa"/>
            <w:gridSpan w:val="2"/>
            <w:tcBorders>
              <w:top w:val="single" w:sz="4" w:space="0" w:color="auto"/>
              <w:bottom w:val="single" w:sz="4" w:space="0" w:color="auto"/>
            </w:tcBorders>
            <w:tcMar>
              <w:right w:w="108" w:type="dxa"/>
            </w:tcMar>
            <w:vAlign w:val="bottom"/>
          </w:tcPr>
          <w:p w14:paraId="7C7E27A5" w14:textId="77777777" w:rsidR="00FC56D0" w:rsidRPr="00E70587" w:rsidRDefault="00FC56D0" w:rsidP="00F27305">
            <w:pPr>
              <w:spacing w:line="280" w:lineRule="exact"/>
              <w:jc w:val="right"/>
              <w:rPr>
                <w:rFonts w:ascii="Arial" w:hAnsi="Arial" w:cs="Arial"/>
                <w:b/>
                <w:bCs/>
                <w:sz w:val="20"/>
              </w:rPr>
            </w:pPr>
            <w:r w:rsidRPr="00E70587">
              <w:rPr>
                <w:rFonts w:ascii="Arial" w:hAnsi="Arial" w:cs="Arial"/>
                <w:b/>
                <w:bCs/>
                <w:sz w:val="20"/>
              </w:rPr>
              <w:t>3,29,819</w:t>
            </w:r>
          </w:p>
        </w:tc>
        <w:tc>
          <w:tcPr>
            <w:tcW w:w="1524" w:type="dxa"/>
            <w:gridSpan w:val="2"/>
            <w:tcBorders>
              <w:top w:val="single" w:sz="4" w:space="0" w:color="auto"/>
              <w:bottom w:val="single" w:sz="4" w:space="0" w:color="auto"/>
            </w:tcBorders>
            <w:tcMar>
              <w:right w:w="108" w:type="dxa"/>
            </w:tcMar>
            <w:vAlign w:val="bottom"/>
          </w:tcPr>
          <w:p w14:paraId="0EC3D723" w14:textId="77777777" w:rsidR="00FC56D0" w:rsidRPr="00E70587" w:rsidRDefault="00A8389F" w:rsidP="00F27305">
            <w:pPr>
              <w:spacing w:line="280" w:lineRule="exact"/>
              <w:jc w:val="right"/>
              <w:rPr>
                <w:rFonts w:ascii="Arial" w:hAnsi="Arial" w:cs="Arial"/>
                <w:b/>
                <w:bCs/>
                <w:sz w:val="20"/>
              </w:rPr>
            </w:pPr>
            <w:r w:rsidRPr="00E70587">
              <w:rPr>
                <w:rFonts w:ascii="Arial" w:hAnsi="Arial" w:cs="Arial"/>
                <w:b/>
                <w:bCs/>
                <w:sz w:val="20"/>
              </w:rPr>
              <w:t>2,93,369</w:t>
            </w:r>
          </w:p>
        </w:tc>
      </w:tr>
      <w:tr w:rsidR="00FC56D0" w:rsidRPr="00E70587" w14:paraId="67331BF9" w14:textId="77777777" w:rsidTr="00F27305">
        <w:trPr>
          <w:gridAfter w:val="2"/>
          <w:wAfter w:w="1980" w:type="dxa"/>
        </w:trPr>
        <w:tc>
          <w:tcPr>
            <w:tcW w:w="5479" w:type="dxa"/>
          </w:tcPr>
          <w:p w14:paraId="2FFB6E5F" w14:textId="77777777" w:rsidR="00FC56D0" w:rsidRPr="00E70587" w:rsidRDefault="00FC56D0" w:rsidP="00F27305">
            <w:pPr>
              <w:pStyle w:val="tabletxtns"/>
              <w:spacing w:before="0" w:line="280" w:lineRule="exact"/>
              <w:rPr>
                <w:rFonts w:ascii="Arial" w:hAnsi="Arial" w:cs="Arial"/>
                <w:color w:val="auto"/>
                <w:sz w:val="20"/>
              </w:rPr>
            </w:pPr>
          </w:p>
        </w:tc>
        <w:tc>
          <w:tcPr>
            <w:tcW w:w="1049" w:type="dxa"/>
            <w:gridSpan w:val="2"/>
          </w:tcPr>
          <w:p w14:paraId="5BC60767" w14:textId="77777777" w:rsidR="00FC56D0" w:rsidRPr="00E70587" w:rsidRDefault="00FC56D0" w:rsidP="00F27305">
            <w:pPr>
              <w:pStyle w:val="tabletxtns"/>
              <w:spacing w:before="0" w:line="280" w:lineRule="exact"/>
              <w:jc w:val="center"/>
              <w:rPr>
                <w:rFonts w:ascii="Arial" w:hAnsi="Arial" w:cs="Arial"/>
                <w:color w:val="auto"/>
                <w:sz w:val="20"/>
              </w:rPr>
            </w:pPr>
          </w:p>
        </w:tc>
        <w:tc>
          <w:tcPr>
            <w:tcW w:w="1524" w:type="dxa"/>
            <w:gridSpan w:val="2"/>
            <w:tcMar>
              <w:right w:w="108" w:type="dxa"/>
            </w:tcMar>
            <w:vAlign w:val="bottom"/>
          </w:tcPr>
          <w:p w14:paraId="5716F2E7" w14:textId="77777777" w:rsidR="00FC56D0" w:rsidRPr="00E70587" w:rsidRDefault="00FC56D0" w:rsidP="00F27305">
            <w:pPr>
              <w:pStyle w:val="tabletxtns"/>
              <w:spacing w:before="0" w:line="280" w:lineRule="exact"/>
              <w:rPr>
                <w:rFonts w:ascii="Arial" w:hAnsi="Arial" w:cs="Arial"/>
                <w:color w:val="auto"/>
                <w:sz w:val="20"/>
              </w:rPr>
            </w:pPr>
          </w:p>
        </w:tc>
        <w:tc>
          <w:tcPr>
            <w:tcW w:w="1524" w:type="dxa"/>
            <w:gridSpan w:val="2"/>
            <w:tcMar>
              <w:right w:w="108" w:type="dxa"/>
            </w:tcMar>
            <w:vAlign w:val="bottom"/>
          </w:tcPr>
          <w:p w14:paraId="267164C2" w14:textId="77777777" w:rsidR="00FC56D0" w:rsidRPr="00E70587" w:rsidRDefault="00FC56D0" w:rsidP="00F27305">
            <w:pPr>
              <w:pStyle w:val="tabletxtns"/>
              <w:spacing w:before="0" w:line="280" w:lineRule="exact"/>
              <w:rPr>
                <w:rFonts w:ascii="Arial" w:hAnsi="Arial" w:cs="Arial"/>
                <w:color w:val="auto"/>
                <w:sz w:val="20"/>
              </w:rPr>
            </w:pPr>
          </w:p>
        </w:tc>
      </w:tr>
      <w:tr w:rsidR="00FC56D0" w:rsidRPr="00E70587" w14:paraId="295B3A85" w14:textId="77777777" w:rsidTr="00F27305">
        <w:trPr>
          <w:gridAfter w:val="2"/>
          <w:wAfter w:w="1980" w:type="dxa"/>
        </w:trPr>
        <w:tc>
          <w:tcPr>
            <w:tcW w:w="5479" w:type="dxa"/>
          </w:tcPr>
          <w:p w14:paraId="2EC513D2" w14:textId="77777777" w:rsidR="00FC56D0" w:rsidRPr="00E70587" w:rsidRDefault="00FC56D0" w:rsidP="00F27305">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EXPENSES</w:t>
            </w:r>
          </w:p>
        </w:tc>
        <w:tc>
          <w:tcPr>
            <w:tcW w:w="1049" w:type="dxa"/>
            <w:gridSpan w:val="2"/>
          </w:tcPr>
          <w:p w14:paraId="59963C80" w14:textId="77777777" w:rsidR="00FC56D0" w:rsidRPr="00E70587" w:rsidRDefault="00FC56D0" w:rsidP="00F27305">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524" w:type="dxa"/>
            <w:gridSpan w:val="2"/>
            <w:tcMar>
              <w:right w:w="108" w:type="dxa"/>
            </w:tcMar>
            <w:vAlign w:val="bottom"/>
          </w:tcPr>
          <w:p w14:paraId="739BD2D6" w14:textId="77777777" w:rsidR="00FC56D0" w:rsidRPr="00E70587" w:rsidRDefault="00FC56D0" w:rsidP="00F27305">
            <w:pPr>
              <w:spacing w:line="280" w:lineRule="exact"/>
              <w:jc w:val="right"/>
              <w:rPr>
                <w:rFonts w:ascii="Arial" w:hAnsi="Arial" w:cs="Arial"/>
                <w:sz w:val="20"/>
              </w:rPr>
            </w:pPr>
          </w:p>
        </w:tc>
        <w:tc>
          <w:tcPr>
            <w:tcW w:w="1524" w:type="dxa"/>
            <w:gridSpan w:val="2"/>
            <w:tcMar>
              <w:right w:w="108" w:type="dxa"/>
            </w:tcMar>
            <w:vAlign w:val="bottom"/>
          </w:tcPr>
          <w:p w14:paraId="3BF461DD" w14:textId="77777777" w:rsidR="00FC56D0" w:rsidRPr="00E70587" w:rsidRDefault="00FC56D0" w:rsidP="00F27305">
            <w:pPr>
              <w:spacing w:line="280" w:lineRule="exact"/>
              <w:jc w:val="right"/>
              <w:rPr>
                <w:rFonts w:ascii="Arial" w:hAnsi="Arial" w:cs="Arial"/>
                <w:sz w:val="20"/>
              </w:rPr>
            </w:pPr>
          </w:p>
        </w:tc>
      </w:tr>
      <w:tr w:rsidR="00200091" w:rsidRPr="00E70587" w14:paraId="3A5274E5" w14:textId="77777777" w:rsidTr="00F27305">
        <w:trPr>
          <w:gridAfter w:val="2"/>
          <w:wAfter w:w="1980" w:type="dxa"/>
        </w:trPr>
        <w:tc>
          <w:tcPr>
            <w:tcW w:w="5479" w:type="dxa"/>
          </w:tcPr>
          <w:p w14:paraId="2BE0D4FD" w14:textId="77777777" w:rsidR="00200091" w:rsidRPr="00E70587" w:rsidRDefault="00200091" w:rsidP="00F2730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Cost of raw material consumed</w:t>
            </w:r>
          </w:p>
        </w:tc>
        <w:tc>
          <w:tcPr>
            <w:tcW w:w="1049" w:type="dxa"/>
            <w:gridSpan w:val="2"/>
          </w:tcPr>
          <w:p w14:paraId="6B57AB20" w14:textId="77777777" w:rsidR="00200091" w:rsidRPr="00E70587" w:rsidRDefault="00200091" w:rsidP="00F27305">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lang w:val="en-IN"/>
              </w:rPr>
              <w:t>25</w:t>
            </w:r>
          </w:p>
        </w:tc>
        <w:tc>
          <w:tcPr>
            <w:tcW w:w="1524" w:type="dxa"/>
            <w:gridSpan w:val="2"/>
            <w:tcMar>
              <w:right w:w="108" w:type="dxa"/>
            </w:tcMar>
            <w:vAlign w:val="center"/>
          </w:tcPr>
          <w:p w14:paraId="1D4CD3D4" w14:textId="09278D09" w:rsidR="00200091" w:rsidRPr="00E70587" w:rsidRDefault="00200091" w:rsidP="00F27305">
            <w:pPr>
              <w:spacing w:line="280" w:lineRule="exact"/>
              <w:jc w:val="right"/>
              <w:rPr>
                <w:rFonts w:ascii="Arial" w:hAnsi="Arial" w:cs="Arial"/>
                <w:sz w:val="20"/>
              </w:rPr>
            </w:pPr>
            <w:r w:rsidRPr="00E70587">
              <w:rPr>
                <w:rFonts w:ascii="Arial" w:hAnsi="Arial" w:cs="Arial"/>
                <w:color w:val="000000"/>
                <w:sz w:val="20"/>
              </w:rPr>
              <w:t>1,51,</w:t>
            </w:r>
            <w:r w:rsidR="00617AD0" w:rsidRPr="00E70587">
              <w:rPr>
                <w:rFonts w:ascii="Arial" w:hAnsi="Arial" w:cs="Arial"/>
                <w:color w:val="000000"/>
                <w:sz w:val="20"/>
              </w:rPr>
              <w:t>1</w:t>
            </w:r>
            <w:r w:rsidR="00617AD0">
              <w:rPr>
                <w:rFonts w:ascii="Arial" w:hAnsi="Arial" w:cs="Arial"/>
                <w:color w:val="000000"/>
                <w:sz w:val="20"/>
              </w:rPr>
              <w:t>91</w:t>
            </w:r>
          </w:p>
        </w:tc>
        <w:tc>
          <w:tcPr>
            <w:tcW w:w="1524" w:type="dxa"/>
            <w:gridSpan w:val="2"/>
            <w:tcMar>
              <w:right w:w="108" w:type="dxa"/>
            </w:tcMar>
            <w:vAlign w:val="center"/>
          </w:tcPr>
          <w:p w14:paraId="27672064" w14:textId="4D5A53D5" w:rsidR="00200091" w:rsidRPr="00E70587" w:rsidRDefault="00200091" w:rsidP="00F27305">
            <w:pPr>
              <w:spacing w:line="280" w:lineRule="exact"/>
              <w:jc w:val="right"/>
              <w:rPr>
                <w:rFonts w:ascii="Arial" w:hAnsi="Arial" w:cs="Arial"/>
                <w:sz w:val="20"/>
              </w:rPr>
            </w:pPr>
            <w:r w:rsidRPr="00E70587">
              <w:rPr>
                <w:rFonts w:ascii="Arial" w:hAnsi="Arial" w:cs="Arial"/>
                <w:color w:val="000000"/>
                <w:sz w:val="20"/>
              </w:rPr>
              <w:t>1,47,</w:t>
            </w:r>
            <w:r w:rsidR="00617AD0">
              <w:rPr>
                <w:rFonts w:ascii="Arial" w:hAnsi="Arial" w:cs="Arial"/>
                <w:color w:val="000000"/>
                <w:sz w:val="20"/>
              </w:rPr>
              <w:t>280</w:t>
            </w:r>
          </w:p>
        </w:tc>
      </w:tr>
      <w:tr w:rsidR="00200091" w:rsidRPr="00E70587" w:rsidDel="00EF53ED" w14:paraId="57EA7D67" w14:textId="77777777" w:rsidTr="00F27305">
        <w:trPr>
          <w:gridAfter w:val="2"/>
          <w:wAfter w:w="1980" w:type="dxa"/>
        </w:trPr>
        <w:tc>
          <w:tcPr>
            <w:tcW w:w="5479" w:type="dxa"/>
          </w:tcPr>
          <w:p w14:paraId="085B437F" w14:textId="77777777" w:rsidR="00200091" w:rsidRPr="00E70587" w:rsidDel="00EF53ED" w:rsidRDefault="00200091" w:rsidP="00F2730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Purchase of traded goods</w:t>
            </w:r>
          </w:p>
        </w:tc>
        <w:tc>
          <w:tcPr>
            <w:tcW w:w="1049" w:type="dxa"/>
            <w:gridSpan w:val="2"/>
          </w:tcPr>
          <w:p w14:paraId="30390B7F" w14:textId="77777777" w:rsidR="00200091" w:rsidRPr="00E70587" w:rsidDel="00EF53ED" w:rsidRDefault="00200091" w:rsidP="00F27305">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lang w:val="en-IN"/>
              </w:rPr>
              <w:t>25</w:t>
            </w:r>
          </w:p>
        </w:tc>
        <w:tc>
          <w:tcPr>
            <w:tcW w:w="1524" w:type="dxa"/>
            <w:gridSpan w:val="2"/>
            <w:tcMar>
              <w:right w:w="108" w:type="dxa"/>
            </w:tcMar>
            <w:vAlign w:val="center"/>
          </w:tcPr>
          <w:p w14:paraId="177ACEFF" w14:textId="77777777" w:rsidR="00200091" w:rsidRPr="00E70587" w:rsidRDefault="00200091" w:rsidP="00F27305">
            <w:pPr>
              <w:spacing w:line="280" w:lineRule="exact"/>
              <w:jc w:val="right"/>
              <w:rPr>
                <w:rFonts w:ascii="Arial" w:hAnsi="Arial" w:cs="Arial"/>
                <w:sz w:val="20"/>
              </w:rPr>
            </w:pPr>
            <w:r w:rsidRPr="00E70587">
              <w:rPr>
                <w:rFonts w:ascii="Arial" w:hAnsi="Arial" w:cs="Arial"/>
                <w:color w:val="000000"/>
                <w:sz w:val="20"/>
              </w:rPr>
              <w:t>73,215</w:t>
            </w:r>
          </w:p>
        </w:tc>
        <w:tc>
          <w:tcPr>
            <w:tcW w:w="1524" w:type="dxa"/>
            <w:gridSpan w:val="2"/>
            <w:tcMar>
              <w:right w:w="108" w:type="dxa"/>
            </w:tcMar>
            <w:vAlign w:val="bottom"/>
          </w:tcPr>
          <w:p w14:paraId="5D63C787" w14:textId="77777777" w:rsidR="00200091" w:rsidRPr="00E70587" w:rsidRDefault="00200091" w:rsidP="00F27305">
            <w:pPr>
              <w:spacing w:line="280" w:lineRule="exact"/>
              <w:jc w:val="right"/>
              <w:rPr>
                <w:rFonts w:ascii="Arial" w:hAnsi="Arial" w:cs="Arial"/>
                <w:sz w:val="20"/>
              </w:rPr>
            </w:pPr>
            <w:r w:rsidRPr="00E70587">
              <w:rPr>
                <w:rFonts w:ascii="Arial" w:hAnsi="Arial" w:cs="Arial"/>
                <w:sz w:val="20"/>
              </w:rPr>
              <w:t>38,758</w:t>
            </w:r>
          </w:p>
        </w:tc>
      </w:tr>
      <w:tr w:rsidR="00FC56D0" w:rsidRPr="00E70587" w:rsidDel="00EF53ED" w14:paraId="5ABFAA5E" w14:textId="77777777" w:rsidTr="00F27305">
        <w:trPr>
          <w:gridAfter w:val="2"/>
          <w:wAfter w:w="1980" w:type="dxa"/>
        </w:trPr>
        <w:tc>
          <w:tcPr>
            <w:tcW w:w="5479" w:type="dxa"/>
          </w:tcPr>
          <w:p w14:paraId="59D9BFD1" w14:textId="77777777" w:rsidR="00FC56D0" w:rsidRPr="00E70587" w:rsidDel="00EF53ED" w:rsidRDefault="00FC56D0" w:rsidP="00F2730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(Increase)/ decrease in inventories of finished goods, work-in-progress and traded goods</w:t>
            </w:r>
          </w:p>
        </w:tc>
        <w:tc>
          <w:tcPr>
            <w:tcW w:w="1049" w:type="dxa"/>
            <w:gridSpan w:val="2"/>
          </w:tcPr>
          <w:p w14:paraId="11A0A83E" w14:textId="77777777" w:rsidR="00FC56D0" w:rsidRPr="00E70587" w:rsidDel="00EF53ED" w:rsidRDefault="00FC56D0" w:rsidP="00F27305">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524" w:type="dxa"/>
            <w:gridSpan w:val="2"/>
            <w:tcMar>
              <w:right w:w="108" w:type="dxa"/>
            </w:tcMar>
            <w:vAlign w:val="bottom"/>
          </w:tcPr>
          <w:p w14:paraId="5B631AE7" w14:textId="77777777" w:rsidR="00FC56D0" w:rsidRPr="00E70587" w:rsidRDefault="00EF0AE4" w:rsidP="00F27305">
            <w:pPr>
              <w:spacing w:line="280" w:lineRule="exact"/>
              <w:jc w:val="right"/>
              <w:rPr>
                <w:rFonts w:ascii="Arial" w:hAnsi="Arial" w:cs="Arial"/>
                <w:sz w:val="20"/>
              </w:rPr>
            </w:pPr>
            <w:r w:rsidRPr="00E70587">
              <w:rPr>
                <w:rFonts w:ascii="Arial" w:hAnsi="Arial" w:cs="Arial"/>
                <w:sz w:val="20"/>
              </w:rPr>
              <w:t>2,037</w:t>
            </w:r>
          </w:p>
        </w:tc>
        <w:tc>
          <w:tcPr>
            <w:tcW w:w="1524" w:type="dxa"/>
            <w:gridSpan w:val="2"/>
            <w:tcMar>
              <w:right w:w="108" w:type="dxa"/>
            </w:tcMar>
            <w:vAlign w:val="bottom"/>
          </w:tcPr>
          <w:p w14:paraId="040BFB98" w14:textId="77777777" w:rsidR="00FC56D0" w:rsidRPr="00E70587" w:rsidRDefault="00841E38" w:rsidP="00F27305">
            <w:pPr>
              <w:spacing w:line="280" w:lineRule="exact"/>
              <w:jc w:val="right"/>
              <w:rPr>
                <w:rFonts w:ascii="Arial" w:hAnsi="Arial" w:cs="Arial"/>
                <w:sz w:val="20"/>
              </w:rPr>
            </w:pPr>
            <w:r w:rsidRPr="00E70587">
              <w:rPr>
                <w:rFonts w:ascii="Arial" w:hAnsi="Arial" w:cs="Arial"/>
                <w:sz w:val="20"/>
              </w:rPr>
              <w:t>(1,940)</w:t>
            </w:r>
          </w:p>
        </w:tc>
      </w:tr>
      <w:tr w:rsidR="00186662" w:rsidRPr="00E70587" w:rsidDel="00EF53ED" w14:paraId="35FF20F4" w14:textId="77777777" w:rsidTr="00F27305">
        <w:trPr>
          <w:gridAfter w:val="2"/>
          <w:wAfter w:w="1980" w:type="dxa"/>
        </w:trPr>
        <w:tc>
          <w:tcPr>
            <w:tcW w:w="5479" w:type="dxa"/>
          </w:tcPr>
          <w:p w14:paraId="05F7C22D" w14:textId="77777777" w:rsidR="00186662" w:rsidRPr="00E70587" w:rsidDel="00EF53ED" w:rsidRDefault="00186662" w:rsidP="00F2730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Employee benefits expense</w:t>
            </w:r>
          </w:p>
        </w:tc>
        <w:tc>
          <w:tcPr>
            <w:tcW w:w="1049" w:type="dxa"/>
            <w:gridSpan w:val="2"/>
          </w:tcPr>
          <w:p w14:paraId="0CE0ECA7" w14:textId="77777777" w:rsidR="00186662" w:rsidRPr="00E70587" w:rsidDel="00EF53ED" w:rsidRDefault="00186662" w:rsidP="00F27305">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lang w:val="en-IN"/>
              </w:rPr>
              <w:t>26</w:t>
            </w:r>
          </w:p>
        </w:tc>
        <w:tc>
          <w:tcPr>
            <w:tcW w:w="1524" w:type="dxa"/>
            <w:gridSpan w:val="2"/>
            <w:tcMar>
              <w:right w:w="108" w:type="dxa"/>
            </w:tcMar>
            <w:vAlign w:val="bottom"/>
          </w:tcPr>
          <w:p w14:paraId="2BE36DE7" w14:textId="776A1648" w:rsidR="00186662" w:rsidRPr="00E70587" w:rsidRDefault="00544A97" w:rsidP="00F27305">
            <w:pPr>
              <w:spacing w:line="280" w:lineRule="exact"/>
              <w:jc w:val="right"/>
              <w:rPr>
                <w:rFonts w:ascii="Arial" w:hAnsi="Arial" w:cs="Arial"/>
                <w:sz w:val="20"/>
              </w:rPr>
            </w:pPr>
            <w:r>
              <w:rPr>
                <w:rFonts w:ascii="Arial" w:hAnsi="Arial" w:cs="Arial"/>
                <w:sz w:val="20"/>
              </w:rPr>
              <w:t>59</w:t>
            </w:r>
            <w:r w:rsidR="00186662" w:rsidRPr="00E70587">
              <w:rPr>
                <w:rFonts w:ascii="Arial" w:hAnsi="Arial" w:cs="Arial"/>
                <w:sz w:val="20"/>
              </w:rPr>
              <w:t>,</w:t>
            </w:r>
            <w:r>
              <w:rPr>
                <w:rFonts w:ascii="Arial" w:hAnsi="Arial" w:cs="Arial"/>
                <w:sz w:val="20"/>
              </w:rPr>
              <w:t>879</w:t>
            </w:r>
          </w:p>
        </w:tc>
        <w:tc>
          <w:tcPr>
            <w:tcW w:w="1524" w:type="dxa"/>
            <w:gridSpan w:val="2"/>
            <w:tcMar>
              <w:right w:w="108" w:type="dxa"/>
            </w:tcMar>
            <w:vAlign w:val="bottom"/>
          </w:tcPr>
          <w:p w14:paraId="4EFC0957" w14:textId="76954200" w:rsidR="00186662" w:rsidRPr="00E70587" w:rsidRDefault="00E512C8" w:rsidP="00F27305">
            <w:pPr>
              <w:spacing w:line="280" w:lineRule="exact"/>
              <w:jc w:val="right"/>
              <w:rPr>
                <w:rFonts w:ascii="Arial" w:hAnsi="Arial" w:cs="Arial"/>
                <w:sz w:val="20"/>
              </w:rPr>
            </w:pPr>
            <w:r>
              <w:rPr>
                <w:rFonts w:ascii="Arial" w:hAnsi="Arial" w:cs="Arial"/>
                <w:sz w:val="20"/>
              </w:rPr>
              <w:t>79</w:t>
            </w:r>
            <w:r w:rsidR="00186662" w:rsidRPr="00E70587">
              <w:rPr>
                <w:rFonts w:ascii="Arial" w:hAnsi="Arial" w:cs="Arial"/>
                <w:sz w:val="20"/>
              </w:rPr>
              <w:t>,</w:t>
            </w:r>
            <w:r>
              <w:rPr>
                <w:rFonts w:ascii="Arial" w:hAnsi="Arial" w:cs="Arial"/>
                <w:sz w:val="20"/>
              </w:rPr>
              <w:t>026</w:t>
            </w:r>
          </w:p>
        </w:tc>
      </w:tr>
      <w:tr w:rsidR="00186662" w:rsidRPr="00E70587" w:rsidDel="00EF53ED" w14:paraId="63D1FBE6" w14:textId="77777777" w:rsidTr="00F27305">
        <w:trPr>
          <w:gridAfter w:val="2"/>
          <w:wAfter w:w="1980" w:type="dxa"/>
        </w:trPr>
        <w:tc>
          <w:tcPr>
            <w:tcW w:w="5479" w:type="dxa"/>
          </w:tcPr>
          <w:p w14:paraId="179FFC05" w14:textId="77777777" w:rsidR="00186662" w:rsidRPr="00E70587" w:rsidDel="00EF53ED" w:rsidRDefault="00186662" w:rsidP="00F2730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Depreciation and amortization expense</w:t>
            </w:r>
          </w:p>
        </w:tc>
        <w:tc>
          <w:tcPr>
            <w:tcW w:w="1049" w:type="dxa"/>
            <w:gridSpan w:val="2"/>
          </w:tcPr>
          <w:p w14:paraId="6F941B50" w14:textId="77777777" w:rsidR="00186662" w:rsidRPr="00E70587" w:rsidDel="00EF53ED" w:rsidRDefault="00186662" w:rsidP="00F27305">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lang w:val="en-IN"/>
              </w:rPr>
              <w:t>27</w:t>
            </w:r>
          </w:p>
        </w:tc>
        <w:tc>
          <w:tcPr>
            <w:tcW w:w="1524" w:type="dxa"/>
            <w:gridSpan w:val="2"/>
            <w:tcMar>
              <w:right w:w="108" w:type="dxa"/>
            </w:tcMar>
            <w:vAlign w:val="bottom"/>
          </w:tcPr>
          <w:p w14:paraId="1FE8C18D" w14:textId="65C72515" w:rsidR="00186662" w:rsidRPr="00E70587" w:rsidRDefault="005920F2" w:rsidP="00F27305">
            <w:pPr>
              <w:spacing w:line="280" w:lineRule="exact"/>
              <w:jc w:val="right"/>
              <w:rPr>
                <w:rFonts w:ascii="Arial" w:hAnsi="Arial" w:cs="Arial"/>
                <w:sz w:val="20"/>
              </w:rPr>
            </w:pPr>
            <w:r>
              <w:rPr>
                <w:rFonts w:ascii="Arial" w:hAnsi="Arial" w:cs="Arial"/>
                <w:sz w:val="20"/>
              </w:rPr>
              <w:t>8,392</w:t>
            </w:r>
          </w:p>
        </w:tc>
        <w:tc>
          <w:tcPr>
            <w:tcW w:w="1524" w:type="dxa"/>
            <w:gridSpan w:val="2"/>
            <w:tcMar>
              <w:right w:w="108" w:type="dxa"/>
            </w:tcMar>
            <w:vAlign w:val="bottom"/>
          </w:tcPr>
          <w:p w14:paraId="3F5610DE" w14:textId="23E6945C" w:rsidR="00186662" w:rsidRPr="00E70587" w:rsidRDefault="005920F2" w:rsidP="00F27305">
            <w:pPr>
              <w:spacing w:line="280" w:lineRule="exact"/>
              <w:jc w:val="right"/>
              <w:rPr>
                <w:rFonts w:ascii="Arial" w:hAnsi="Arial" w:cs="Arial"/>
                <w:sz w:val="20"/>
              </w:rPr>
            </w:pPr>
            <w:r>
              <w:rPr>
                <w:rFonts w:ascii="Arial" w:hAnsi="Arial" w:cs="Arial"/>
                <w:sz w:val="20"/>
              </w:rPr>
              <w:t>7,141</w:t>
            </w:r>
          </w:p>
        </w:tc>
      </w:tr>
      <w:tr w:rsidR="00186662" w:rsidRPr="00E70587" w:rsidDel="00EF53ED" w14:paraId="675052FA" w14:textId="77777777" w:rsidTr="00F27305">
        <w:trPr>
          <w:gridAfter w:val="2"/>
          <w:wAfter w:w="1980" w:type="dxa"/>
        </w:trPr>
        <w:tc>
          <w:tcPr>
            <w:tcW w:w="5479" w:type="dxa"/>
          </w:tcPr>
          <w:p w14:paraId="09B98BF0" w14:textId="77777777" w:rsidR="00186662" w:rsidRPr="00E70587" w:rsidDel="00EF53ED" w:rsidRDefault="00186662" w:rsidP="00F2730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Impairment of non-current assets</w:t>
            </w:r>
          </w:p>
        </w:tc>
        <w:tc>
          <w:tcPr>
            <w:tcW w:w="1049" w:type="dxa"/>
            <w:gridSpan w:val="2"/>
          </w:tcPr>
          <w:p w14:paraId="2E3A2073" w14:textId="77777777" w:rsidR="00186662" w:rsidRPr="00E70587" w:rsidDel="00EF53ED" w:rsidRDefault="00186662" w:rsidP="00F27305">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3, 5</w:t>
            </w:r>
          </w:p>
        </w:tc>
        <w:tc>
          <w:tcPr>
            <w:tcW w:w="1524" w:type="dxa"/>
            <w:gridSpan w:val="2"/>
            <w:tcMar>
              <w:right w:w="108" w:type="dxa"/>
            </w:tcMar>
            <w:vAlign w:val="bottom"/>
          </w:tcPr>
          <w:p w14:paraId="06FBA057" w14:textId="77777777" w:rsidR="00186662" w:rsidRPr="00E70587" w:rsidRDefault="00186662" w:rsidP="00F27305">
            <w:pPr>
              <w:spacing w:line="280" w:lineRule="exact"/>
              <w:jc w:val="right"/>
              <w:rPr>
                <w:rFonts w:ascii="Arial" w:hAnsi="Arial" w:cs="Arial"/>
                <w:sz w:val="20"/>
              </w:rPr>
            </w:pPr>
            <w:r w:rsidRPr="00E70587">
              <w:rPr>
                <w:rFonts w:ascii="Arial" w:hAnsi="Arial" w:cs="Arial"/>
                <w:sz w:val="20"/>
              </w:rPr>
              <w:t>360</w:t>
            </w:r>
          </w:p>
        </w:tc>
        <w:tc>
          <w:tcPr>
            <w:tcW w:w="1524" w:type="dxa"/>
            <w:gridSpan w:val="2"/>
            <w:tcMar>
              <w:right w:w="108" w:type="dxa"/>
            </w:tcMar>
            <w:vAlign w:val="bottom"/>
          </w:tcPr>
          <w:p w14:paraId="7E42E4CC" w14:textId="77777777" w:rsidR="00186662" w:rsidRPr="00E70587" w:rsidRDefault="00186662" w:rsidP="00F27305">
            <w:pPr>
              <w:spacing w:line="280" w:lineRule="exact"/>
              <w:jc w:val="right"/>
              <w:rPr>
                <w:rFonts w:ascii="Arial" w:hAnsi="Arial" w:cs="Arial"/>
                <w:sz w:val="20"/>
              </w:rPr>
            </w:pPr>
            <w:r w:rsidRPr="00E70587">
              <w:rPr>
                <w:rFonts w:ascii="Arial" w:hAnsi="Arial" w:cs="Arial"/>
                <w:sz w:val="20"/>
              </w:rPr>
              <w:t>542</w:t>
            </w:r>
          </w:p>
        </w:tc>
      </w:tr>
      <w:tr w:rsidR="00186662" w:rsidRPr="00E70587" w:rsidDel="00EF53ED" w14:paraId="77DED692" w14:textId="77777777" w:rsidTr="00F27305">
        <w:trPr>
          <w:gridAfter w:val="2"/>
          <w:wAfter w:w="1980" w:type="dxa"/>
        </w:trPr>
        <w:tc>
          <w:tcPr>
            <w:tcW w:w="5479" w:type="dxa"/>
          </w:tcPr>
          <w:p w14:paraId="0F8C3E2E" w14:textId="77777777" w:rsidR="00186662" w:rsidRPr="00E70587" w:rsidDel="00EF53ED" w:rsidRDefault="00186662" w:rsidP="00F2730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Finance costs</w:t>
            </w:r>
          </w:p>
        </w:tc>
        <w:tc>
          <w:tcPr>
            <w:tcW w:w="1049" w:type="dxa"/>
            <w:gridSpan w:val="2"/>
          </w:tcPr>
          <w:p w14:paraId="123A19C5" w14:textId="77777777" w:rsidR="00186662" w:rsidRPr="00E70587" w:rsidDel="00EF53ED" w:rsidRDefault="00186662" w:rsidP="00F27305">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29</w:t>
            </w:r>
          </w:p>
        </w:tc>
        <w:tc>
          <w:tcPr>
            <w:tcW w:w="1524" w:type="dxa"/>
            <w:gridSpan w:val="2"/>
            <w:tcMar>
              <w:right w:w="108" w:type="dxa"/>
            </w:tcMar>
            <w:vAlign w:val="bottom"/>
          </w:tcPr>
          <w:p w14:paraId="59FB50BD" w14:textId="5FD65F51" w:rsidR="00186662" w:rsidRPr="00E70587" w:rsidRDefault="00186662" w:rsidP="00F27305">
            <w:pPr>
              <w:spacing w:line="280" w:lineRule="exact"/>
              <w:jc w:val="right"/>
              <w:rPr>
                <w:rFonts w:ascii="Arial" w:hAnsi="Arial" w:cs="Arial"/>
                <w:sz w:val="20"/>
              </w:rPr>
            </w:pPr>
            <w:r w:rsidRPr="00E70587">
              <w:rPr>
                <w:rFonts w:ascii="Arial" w:hAnsi="Arial" w:cs="Arial"/>
                <w:sz w:val="20"/>
              </w:rPr>
              <w:t>2,</w:t>
            </w:r>
            <w:r w:rsidR="005920F2">
              <w:rPr>
                <w:rFonts w:ascii="Arial" w:hAnsi="Arial" w:cs="Arial"/>
                <w:sz w:val="20"/>
              </w:rPr>
              <w:t>523</w:t>
            </w:r>
          </w:p>
        </w:tc>
        <w:tc>
          <w:tcPr>
            <w:tcW w:w="1524" w:type="dxa"/>
            <w:gridSpan w:val="2"/>
            <w:tcMar>
              <w:right w:w="108" w:type="dxa"/>
            </w:tcMar>
            <w:vAlign w:val="bottom"/>
          </w:tcPr>
          <w:p w14:paraId="19554904" w14:textId="103D3F12" w:rsidR="00186662" w:rsidRPr="00E70587" w:rsidRDefault="00186662" w:rsidP="00F27305">
            <w:pPr>
              <w:spacing w:line="280" w:lineRule="exact"/>
              <w:jc w:val="right"/>
              <w:rPr>
                <w:rFonts w:ascii="Arial" w:hAnsi="Arial" w:cs="Arial"/>
                <w:sz w:val="20"/>
              </w:rPr>
            </w:pPr>
            <w:r w:rsidRPr="00E70587">
              <w:rPr>
                <w:rFonts w:ascii="Arial" w:hAnsi="Arial" w:cs="Arial"/>
                <w:sz w:val="20"/>
              </w:rPr>
              <w:t>2,2</w:t>
            </w:r>
            <w:r w:rsidR="005920F2">
              <w:rPr>
                <w:rFonts w:ascii="Arial" w:hAnsi="Arial" w:cs="Arial"/>
                <w:sz w:val="20"/>
              </w:rPr>
              <w:t>81</w:t>
            </w:r>
          </w:p>
        </w:tc>
      </w:tr>
      <w:tr w:rsidR="00186662" w:rsidRPr="00E70587" w:rsidDel="00EF53ED" w14:paraId="1F5D0A49" w14:textId="77777777" w:rsidTr="00F27305">
        <w:trPr>
          <w:gridAfter w:val="2"/>
          <w:wAfter w:w="1980" w:type="dxa"/>
        </w:trPr>
        <w:tc>
          <w:tcPr>
            <w:tcW w:w="5479" w:type="dxa"/>
          </w:tcPr>
          <w:p w14:paraId="3ADAA11D" w14:textId="77777777" w:rsidR="00186662" w:rsidRPr="00E70587" w:rsidDel="00EF53ED" w:rsidRDefault="00186662" w:rsidP="00F2730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Other expenses</w:t>
            </w:r>
          </w:p>
        </w:tc>
        <w:tc>
          <w:tcPr>
            <w:tcW w:w="1049" w:type="dxa"/>
            <w:gridSpan w:val="2"/>
          </w:tcPr>
          <w:p w14:paraId="7063BBF6" w14:textId="77777777" w:rsidR="00186662" w:rsidRPr="00E70587" w:rsidDel="00EF53ED" w:rsidRDefault="00186662" w:rsidP="00F27305">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28</w:t>
            </w:r>
          </w:p>
        </w:tc>
        <w:tc>
          <w:tcPr>
            <w:tcW w:w="1524" w:type="dxa"/>
            <w:gridSpan w:val="2"/>
            <w:tcBorders>
              <w:bottom w:val="single" w:sz="4" w:space="0" w:color="auto"/>
            </w:tcBorders>
            <w:vAlign w:val="center"/>
          </w:tcPr>
          <w:p w14:paraId="3D2EB1D2" w14:textId="18A9626B" w:rsidR="00186662" w:rsidRPr="00E70587" w:rsidRDefault="00186662" w:rsidP="00F27305">
            <w:pPr>
              <w:spacing w:line="280" w:lineRule="exact"/>
              <w:jc w:val="right"/>
              <w:rPr>
                <w:rFonts w:ascii="Arial" w:hAnsi="Arial" w:cs="Arial"/>
                <w:sz w:val="20"/>
              </w:rPr>
            </w:pPr>
            <w:r w:rsidRPr="00E70587">
              <w:rPr>
                <w:rFonts w:ascii="Arial" w:hAnsi="Arial" w:cs="Arial"/>
                <w:sz w:val="20"/>
              </w:rPr>
              <w:t>11,</w:t>
            </w:r>
            <w:r w:rsidR="005E233F">
              <w:rPr>
                <w:rFonts w:ascii="Arial" w:hAnsi="Arial" w:cs="Arial"/>
                <w:sz w:val="20"/>
              </w:rPr>
              <w:t>292</w:t>
            </w:r>
          </w:p>
        </w:tc>
        <w:tc>
          <w:tcPr>
            <w:tcW w:w="1524" w:type="dxa"/>
            <w:gridSpan w:val="2"/>
            <w:tcBorders>
              <w:bottom w:val="single" w:sz="4" w:space="0" w:color="auto"/>
            </w:tcBorders>
            <w:vAlign w:val="center"/>
          </w:tcPr>
          <w:p w14:paraId="43689D08" w14:textId="35316449" w:rsidR="00186662" w:rsidRPr="00E70587" w:rsidRDefault="005E233F" w:rsidP="00F27305">
            <w:pPr>
              <w:spacing w:line="280" w:lineRule="exact"/>
              <w:jc w:val="right"/>
              <w:rPr>
                <w:rFonts w:ascii="Arial" w:hAnsi="Arial" w:cs="Arial"/>
                <w:sz w:val="20"/>
              </w:rPr>
            </w:pPr>
            <w:r>
              <w:rPr>
                <w:rFonts w:ascii="Arial" w:hAnsi="Arial" w:cs="Arial"/>
                <w:color w:val="000000"/>
                <w:sz w:val="20"/>
              </w:rPr>
              <w:t>6,780</w:t>
            </w:r>
          </w:p>
        </w:tc>
      </w:tr>
      <w:tr w:rsidR="00D92BE8" w:rsidRPr="00E70587" w14:paraId="44355E25" w14:textId="77777777" w:rsidTr="00F27305">
        <w:trPr>
          <w:gridAfter w:val="2"/>
          <w:wAfter w:w="1980" w:type="dxa"/>
        </w:trPr>
        <w:tc>
          <w:tcPr>
            <w:tcW w:w="5479" w:type="dxa"/>
            <w:vAlign w:val="center"/>
          </w:tcPr>
          <w:p w14:paraId="4F6045D8" w14:textId="77777777" w:rsidR="00D92BE8" w:rsidRPr="00E70587" w:rsidRDefault="00D92BE8" w:rsidP="00F27305">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expense</w:t>
            </w:r>
          </w:p>
        </w:tc>
        <w:tc>
          <w:tcPr>
            <w:tcW w:w="1049" w:type="dxa"/>
            <w:gridSpan w:val="2"/>
            <w:vAlign w:val="center"/>
          </w:tcPr>
          <w:p w14:paraId="3B645991" w14:textId="77777777" w:rsidR="00D92BE8" w:rsidRPr="00E70587" w:rsidRDefault="00D92BE8" w:rsidP="00F27305">
            <w:pPr>
              <w:pStyle w:val="tabletext"/>
              <w:overflowPunct w:val="0"/>
              <w:autoSpaceDE w:val="0"/>
              <w:autoSpaceDN w:val="0"/>
              <w:adjustRightInd w:val="0"/>
              <w:spacing w:line="280" w:lineRule="exact"/>
              <w:jc w:val="center"/>
              <w:textAlignment w:val="baseline"/>
              <w:rPr>
                <w:rFonts w:ascii="Arial" w:hAnsi="Arial" w:cs="Arial"/>
                <w:b/>
                <w:sz w:val="20"/>
                <w:lang w:val="en-IN"/>
              </w:rPr>
            </w:pPr>
          </w:p>
        </w:tc>
        <w:tc>
          <w:tcPr>
            <w:tcW w:w="1524" w:type="dxa"/>
            <w:gridSpan w:val="2"/>
            <w:tcBorders>
              <w:top w:val="single" w:sz="4" w:space="0" w:color="auto"/>
              <w:bottom w:val="single" w:sz="4" w:space="0" w:color="auto"/>
            </w:tcBorders>
            <w:tcMar>
              <w:right w:w="108" w:type="dxa"/>
            </w:tcMar>
            <w:vAlign w:val="bottom"/>
          </w:tcPr>
          <w:p w14:paraId="13CCF14F" w14:textId="77777777" w:rsidR="00D92BE8" w:rsidRPr="00E70587" w:rsidRDefault="00D92BE8" w:rsidP="00F27305">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3,08,</w:t>
            </w:r>
            <w:r w:rsidR="00EF0AE4" w:rsidRPr="00E70587">
              <w:rPr>
                <w:rFonts w:ascii="Arial" w:hAnsi="Arial" w:cs="Arial"/>
                <w:b/>
                <w:sz w:val="20"/>
                <w:lang w:eastAsia="en-GB"/>
              </w:rPr>
              <w:t>889</w:t>
            </w:r>
          </w:p>
        </w:tc>
        <w:tc>
          <w:tcPr>
            <w:tcW w:w="1524" w:type="dxa"/>
            <w:gridSpan w:val="2"/>
            <w:tcBorders>
              <w:top w:val="single" w:sz="4" w:space="0" w:color="auto"/>
              <w:bottom w:val="single" w:sz="4" w:space="0" w:color="auto"/>
            </w:tcBorders>
            <w:tcMar>
              <w:right w:w="108" w:type="dxa"/>
            </w:tcMar>
            <w:vAlign w:val="bottom"/>
          </w:tcPr>
          <w:p w14:paraId="3852312D" w14:textId="77777777" w:rsidR="00D92BE8" w:rsidRPr="00E70587" w:rsidRDefault="00D92BE8" w:rsidP="00F27305">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2,79,</w:t>
            </w:r>
            <w:r w:rsidR="00F14D9F" w:rsidRPr="00E70587">
              <w:rPr>
                <w:rFonts w:ascii="Arial" w:hAnsi="Arial" w:cs="Arial"/>
                <w:b/>
                <w:sz w:val="20"/>
                <w:lang w:eastAsia="en-GB"/>
              </w:rPr>
              <w:t>868</w:t>
            </w:r>
          </w:p>
        </w:tc>
      </w:tr>
      <w:tr w:rsidR="00D92BE8" w:rsidRPr="00E70587" w:rsidDel="00EF53ED" w14:paraId="1A2D513D" w14:textId="77777777" w:rsidTr="00F27305">
        <w:trPr>
          <w:gridAfter w:val="2"/>
          <w:wAfter w:w="1980" w:type="dxa"/>
        </w:trPr>
        <w:tc>
          <w:tcPr>
            <w:tcW w:w="5479" w:type="dxa"/>
          </w:tcPr>
          <w:p w14:paraId="4E698044" w14:textId="77777777" w:rsidR="00D92BE8" w:rsidRPr="00E70587" w:rsidRDefault="00D92BE8" w:rsidP="00F27305">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049" w:type="dxa"/>
            <w:gridSpan w:val="2"/>
          </w:tcPr>
          <w:p w14:paraId="406A8DD7" w14:textId="77777777" w:rsidR="00D92BE8" w:rsidRPr="00E70587" w:rsidRDefault="00D92BE8" w:rsidP="00F27305">
            <w:pPr>
              <w:pStyle w:val="tabletext"/>
              <w:overflowPunct w:val="0"/>
              <w:autoSpaceDE w:val="0"/>
              <w:autoSpaceDN w:val="0"/>
              <w:adjustRightInd w:val="0"/>
              <w:spacing w:line="280" w:lineRule="exact"/>
              <w:jc w:val="center"/>
              <w:textAlignment w:val="baseline"/>
              <w:rPr>
                <w:rFonts w:ascii="Arial" w:hAnsi="Arial" w:cs="Arial"/>
                <w:color w:val="000000"/>
                <w:sz w:val="20"/>
                <w:lang w:val="en-IN"/>
              </w:rPr>
            </w:pPr>
          </w:p>
        </w:tc>
        <w:tc>
          <w:tcPr>
            <w:tcW w:w="1524" w:type="dxa"/>
            <w:gridSpan w:val="2"/>
            <w:tcBorders>
              <w:top w:val="single" w:sz="4" w:space="0" w:color="auto"/>
            </w:tcBorders>
            <w:vAlign w:val="center"/>
          </w:tcPr>
          <w:p w14:paraId="52D0427A" w14:textId="77777777" w:rsidR="00D92BE8" w:rsidRPr="00E70587" w:rsidRDefault="00D92BE8" w:rsidP="00F27305">
            <w:pPr>
              <w:spacing w:line="280" w:lineRule="exact"/>
              <w:jc w:val="right"/>
              <w:rPr>
                <w:rFonts w:ascii="Arial" w:hAnsi="Arial" w:cs="Arial"/>
                <w:color w:val="000000"/>
                <w:sz w:val="20"/>
              </w:rPr>
            </w:pPr>
          </w:p>
        </w:tc>
        <w:tc>
          <w:tcPr>
            <w:tcW w:w="1524" w:type="dxa"/>
            <w:gridSpan w:val="2"/>
            <w:tcBorders>
              <w:top w:val="single" w:sz="4" w:space="0" w:color="auto"/>
            </w:tcBorders>
            <w:vAlign w:val="center"/>
          </w:tcPr>
          <w:p w14:paraId="1A932634" w14:textId="77777777" w:rsidR="00D92BE8" w:rsidRPr="00E70587" w:rsidRDefault="00D92BE8" w:rsidP="00F27305">
            <w:pPr>
              <w:spacing w:line="280" w:lineRule="exact"/>
              <w:jc w:val="right"/>
              <w:rPr>
                <w:rFonts w:ascii="Arial" w:hAnsi="Arial" w:cs="Arial"/>
                <w:color w:val="000000"/>
                <w:sz w:val="20"/>
              </w:rPr>
            </w:pPr>
          </w:p>
        </w:tc>
      </w:tr>
      <w:tr w:rsidR="00286F7B" w:rsidRPr="00E70587" w:rsidDel="00EF53ED" w14:paraId="053BACF3" w14:textId="77777777" w:rsidTr="00F27305">
        <w:trPr>
          <w:gridAfter w:val="2"/>
          <w:wAfter w:w="1980" w:type="dxa"/>
        </w:trPr>
        <w:tc>
          <w:tcPr>
            <w:tcW w:w="5479" w:type="dxa"/>
          </w:tcPr>
          <w:p w14:paraId="57925B6A" w14:textId="77777777" w:rsidR="00286F7B" w:rsidRPr="00E70587" w:rsidRDefault="00286F7B" w:rsidP="00F2730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Profit/(loss) before share of (profit)/loss from investment in associate and a joint venture, exceptional items and tax from continuing operations</w:t>
            </w:r>
          </w:p>
        </w:tc>
        <w:tc>
          <w:tcPr>
            <w:tcW w:w="1049" w:type="dxa"/>
            <w:gridSpan w:val="2"/>
          </w:tcPr>
          <w:p w14:paraId="24C9CB93" w14:textId="77777777" w:rsidR="00286F7B" w:rsidRPr="00E70587" w:rsidRDefault="00286F7B" w:rsidP="00F27305">
            <w:pPr>
              <w:pStyle w:val="tabletext"/>
              <w:overflowPunct w:val="0"/>
              <w:autoSpaceDE w:val="0"/>
              <w:autoSpaceDN w:val="0"/>
              <w:adjustRightInd w:val="0"/>
              <w:spacing w:line="280" w:lineRule="exact"/>
              <w:jc w:val="center"/>
              <w:textAlignment w:val="baseline"/>
              <w:rPr>
                <w:rFonts w:ascii="Arial" w:hAnsi="Arial" w:cs="Arial"/>
                <w:color w:val="000000"/>
                <w:sz w:val="20"/>
                <w:lang w:val="en-IN"/>
              </w:rPr>
            </w:pPr>
          </w:p>
        </w:tc>
        <w:tc>
          <w:tcPr>
            <w:tcW w:w="1524" w:type="dxa"/>
            <w:gridSpan w:val="2"/>
          </w:tcPr>
          <w:p w14:paraId="6C93869D" w14:textId="77777777" w:rsidR="00286F7B" w:rsidRPr="00E70587" w:rsidRDefault="00286F7B" w:rsidP="00F27305">
            <w:pPr>
              <w:spacing w:line="280" w:lineRule="exact"/>
              <w:jc w:val="right"/>
              <w:rPr>
                <w:rFonts w:ascii="Arial" w:hAnsi="Arial" w:cs="Arial"/>
                <w:color w:val="000000"/>
                <w:sz w:val="20"/>
              </w:rPr>
            </w:pPr>
            <w:r w:rsidRPr="00E70587">
              <w:rPr>
                <w:rFonts w:ascii="Arial" w:hAnsi="Arial" w:cs="Arial"/>
                <w:sz w:val="20"/>
              </w:rPr>
              <w:t xml:space="preserve"> 20,</w:t>
            </w:r>
            <w:r w:rsidR="00F14D9F" w:rsidRPr="00E70587">
              <w:rPr>
                <w:rFonts w:ascii="Arial" w:hAnsi="Arial" w:cs="Arial"/>
                <w:sz w:val="20"/>
              </w:rPr>
              <w:t xml:space="preserve">930 </w:t>
            </w:r>
          </w:p>
        </w:tc>
        <w:tc>
          <w:tcPr>
            <w:tcW w:w="1524" w:type="dxa"/>
            <w:gridSpan w:val="2"/>
          </w:tcPr>
          <w:p w14:paraId="72A0286C" w14:textId="77777777" w:rsidR="00286F7B" w:rsidRPr="00E70587" w:rsidRDefault="00186662" w:rsidP="00F27305">
            <w:pPr>
              <w:spacing w:line="280" w:lineRule="exact"/>
              <w:jc w:val="right"/>
              <w:rPr>
                <w:rFonts w:ascii="Arial" w:hAnsi="Arial" w:cs="Arial"/>
                <w:sz w:val="20"/>
              </w:rPr>
            </w:pPr>
            <w:r w:rsidRPr="00E70587">
              <w:rPr>
                <w:rFonts w:ascii="Arial" w:hAnsi="Arial" w:cs="Arial"/>
                <w:sz w:val="20"/>
              </w:rPr>
              <w:t>13,50</w:t>
            </w:r>
            <w:r w:rsidR="00F14D9F" w:rsidRPr="00E70587">
              <w:rPr>
                <w:rFonts w:ascii="Arial" w:hAnsi="Arial" w:cs="Arial"/>
                <w:sz w:val="20"/>
              </w:rPr>
              <w:t>1</w:t>
            </w:r>
          </w:p>
        </w:tc>
      </w:tr>
      <w:tr w:rsidR="00316BDD" w:rsidRPr="00E70587" w:rsidDel="00EF53ED" w14:paraId="1D2F4829" w14:textId="77777777" w:rsidTr="00F27305">
        <w:trPr>
          <w:gridAfter w:val="2"/>
          <w:wAfter w:w="1980" w:type="dxa"/>
        </w:trPr>
        <w:tc>
          <w:tcPr>
            <w:tcW w:w="5479" w:type="dxa"/>
            <w:vAlign w:val="center"/>
          </w:tcPr>
          <w:p w14:paraId="5D66A78A" w14:textId="77777777" w:rsidR="00316BDD" w:rsidRPr="00E70587" w:rsidRDefault="00316BDD" w:rsidP="00F2730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Share of (profit)/loss of an associate and a joint venture</w:t>
            </w:r>
          </w:p>
        </w:tc>
        <w:tc>
          <w:tcPr>
            <w:tcW w:w="1049" w:type="dxa"/>
            <w:gridSpan w:val="2"/>
            <w:vAlign w:val="center"/>
          </w:tcPr>
          <w:p w14:paraId="46363AFD" w14:textId="77777777" w:rsidR="00316BDD" w:rsidRPr="00E70587" w:rsidRDefault="00316BDD" w:rsidP="00F27305">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38, 39</w:t>
            </w:r>
          </w:p>
        </w:tc>
        <w:tc>
          <w:tcPr>
            <w:tcW w:w="1524" w:type="dxa"/>
            <w:gridSpan w:val="2"/>
            <w:tcBorders>
              <w:bottom w:val="single" w:sz="4" w:space="0" w:color="auto"/>
            </w:tcBorders>
            <w:tcMar>
              <w:right w:w="108" w:type="dxa"/>
            </w:tcMar>
            <w:vAlign w:val="bottom"/>
          </w:tcPr>
          <w:p w14:paraId="2981DE4B" w14:textId="77777777" w:rsidR="00316BDD" w:rsidRPr="00E70587" w:rsidRDefault="00316BDD" w:rsidP="00F27305">
            <w:pPr>
              <w:spacing w:line="280" w:lineRule="exact"/>
              <w:jc w:val="right"/>
              <w:rPr>
                <w:rFonts w:ascii="Arial" w:hAnsi="Arial" w:cs="Arial"/>
                <w:sz w:val="20"/>
              </w:rPr>
            </w:pPr>
            <w:r w:rsidRPr="00E70587">
              <w:rPr>
                <w:rFonts w:ascii="Arial" w:hAnsi="Arial" w:cs="Arial"/>
                <w:sz w:val="20"/>
              </w:rPr>
              <w:t>(1,</w:t>
            </w:r>
            <w:r w:rsidR="00F14D9F" w:rsidRPr="00E70587">
              <w:rPr>
                <w:rFonts w:ascii="Arial" w:hAnsi="Arial" w:cs="Arial"/>
                <w:sz w:val="20"/>
              </w:rPr>
              <w:t>20</w:t>
            </w:r>
            <w:r w:rsidR="002D39D2" w:rsidRPr="00E70587">
              <w:rPr>
                <w:rFonts w:ascii="Arial" w:hAnsi="Arial" w:cs="Arial"/>
                <w:sz w:val="20"/>
              </w:rPr>
              <w:t>8</w:t>
            </w:r>
            <w:r w:rsidRPr="00E70587">
              <w:rPr>
                <w:rFonts w:ascii="Arial" w:hAnsi="Arial" w:cs="Arial"/>
                <w:sz w:val="20"/>
              </w:rPr>
              <w:t>)</w:t>
            </w:r>
          </w:p>
        </w:tc>
        <w:tc>
          <w:tcPr>
            <w:tcW w:w="1524" w:type="dxa"/>
            <w:gridSpan w:val="2"/>
            <w:tcBorders>
              <w:bottom w:val="single" w:sz="4" w:space="0" w:color="auto"/>
            </w:tcBorders>
            <w:tcMar>
              <w:right w:w="108" w:type="dxa"/>
            </w:tcMar>
            <w:vAlign w:val="bottom"/>
          </w:tcPr>
          <w:p w14:paraId="7639A9AD" w14:textId="77777777" w:rsidR="00316BDD" w:rsidRPr="00E70587" w:rsidRDefault="00316BDD" w:rsidP="00F27305">
            <w:pPr>
              <w:spacing w:line="280" w:lineRule="exact"/>
              <w:jc w:val="right"/>
              <w:rPr>
                <w:rFonts w:ascii="Arial" w:hAnsi="Arial" w:cs="Arial"/>
                <w:sz w:val="20"/>
              </w:rPr>
            </w:pPr>
            <w:r w:rsidRPr="00E70587">
              <w:rPr>
                <w:rFonts w:ascii="Arial" w:hAnsi="Arial" w:cs="Arial"/>
                <w:sz w:val="20"/>
              </w:rPr>
              <w:t>(1,</w:t>
            </w:r>
            <w:r w:rsidR="00F14D9F" w:rsidRPr="00E70587">
              <w:rPr>
                <w:rFonts w:ascii="Arial" w:hAnsi="Arial" w:cs="Arial"/>
                <w:sz w:val="20"/>
              </w:rPr>
              <w:t>1</w:t>
            </w:r>
            <w:r w:rsidR="002D39D2" w:rsidRPr="00E70587">
              <w:rPr>
                <w:rFonts w:ascii="Arial" w:hAnsi="Arial" w:cs="Arial"/>
                <w:sz w:val="20"/>
              </w:rPr>
              <w:t>48</w:t>
            </w:r>
            <w:r w:rsidRPr="00E70587">
              <w:rPr>
                <w:rFonts w:ascii="Arial" w:hAnsi="Arial" w:cs="Arial"/>
                <w:sz w:val="20"/>
              </w:rPr>
              <w:t>)</w:t>
            </w:r>
          </w:p>
        </w:tc>
      </w:tr>
      <w:tr w:rsidR="00FC56D0" w:rsidRPr="00E70587" w14:paraId="6628CEC2" w14:textId="77777777" w:rsidTr="00F27305">
        <w:trPr>
          <w:gridAfter w:val="2"/>
          <w:wAfter w:w="1980" w:type="dxa"/>
        </w:trPr>
        <w:tc>
          <w:tcPr>
            <w:tcW w:w="5479" w:type="dxa"/>
            <w:vAlign w:val="center"/>
          </w:tcPr>
          <w:p w14:paraId="39F01F8B" w14:textId="77777777" w:rsidR="00FC56D0" w:rsidRPr="00E70587" w:rsidRDefault="00FC56D0" w:rsidP="00F27305">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Profit/(loss)</w:t>
            </w:r>
            <w:r w:rsidRPr="00E70587">
              <w:rPr>
                <w:rFonts w:ascii="Arial" w:hAnsi="Arial" w:cs="Arial"/>
                <w:sz w:val="20"/>
                <w:lang w:val="en-IN"/>
              </w:rPr>
              <w:t xml:space="preserve"> </w:t>
            </w:r>
            <w:r w:rsidRPr="00E70587">
              <w:rPr>
                <w:rFonts w:ascii="Arial" w:hAnsi="Arial" w:cs="Arial"/>
                <w:b/>
                <w:sz w:val="20"/>
                <w:lang w:val="en-IN"/>
              </w:rPr>
              <w:t>before exceptional items and tax from continuing operations</w:t>
            </w:r>
          </w:p>
        </w:tc>
        <w:tc>
          <w:tcPr>
            <w:tcW w:w="1049" w:type="dxa"/>
            <w:gridSpan w:val="2"/>
            <w:vAlign w:val="center"/>
          </w:tcPr>
          <w:p w14:paraId="4BF6D862" w14:textId="77777777" w:rsidR="00FC56D0" w:rsidRPr="00E70587" w:rsidRDefault="00FC56D0" w:rsidP="00F27305">
            <w:pPr>
              <w:pStyle w:val="tabletext"/>
              <w:overflowPunct w:val="0"/>
              <w:autoSpaceDE w:val="0"/>
              <w:autoSpaceDN w:val="0"/>
              <w:adjustRightInd w:val="0"/>
              <w:spacing w:line="280" w:lineRule="exact"/>
              <w:jc w:val="center"/>
              <w:textAlignment w:val="baseline"/>
              <w:rPr>
                <w:rFonts w:ascii="Arial" w:hAnsi="Arial" w:cs="Arial"/>
                <w:b/>
                <w:sz w:val="20"/>
                <w:lang w:val="en-IN"/>
              </w:rPr>
            </w:pPr>
          </w:p>
        </w:tc>
        <w:tc>
          <w:tcPr>
            <w:tcW w:w="1524" w:type="dxa"/>
            <w:gridSpan w:val="2"/>
            <w:tcBorders>
              <w:top w:val="single" w:sz="4" w:space="0" w:color="auto"/>
            </w:tcBorders>
            <w:tcMar>
              <w:right w:w="108" w:type="dxa"/>
            </w:tcMar>
            <w:vAlign w:val="bottom"/>
          </w:tcPr>
          <w:p w14:paraId="57D80CFA" w14:textId="77777777" w:rsidR="00FC56D0" w:rsidRPr="00E70587" w:rsidRDefault="00FC56D0" w:rsidP="00F27305">
            <w:pPr>
              <w:overflowPunct/>
              <w:spacing w:line="280" w:lineRule="exact"/>
              <w:jc w:val="right"/>
              <w:textAlignment w:val="auto"/>
              <w:rPr>
                <w:rFonts w:ascii="Arial" w:hAnsi="Arial" w:cs="Arial"/>
                <w:b/>
                <w:sz w:val="20"/>
              </w:rPr>
            </w:pPr>
            <w:r w:rsidRPr="00E70587">
              <w:rPr>
                <w:rFonts w:ascii="Arial" w:hAnsi="Arial" w:cs="Arial"/>
                <w:b/>
                <w:sz w:val="20"/>
              </w:rPr>
              <w:t>22,</w:t>
            </w:r>
            <w:r w:rsidR="00F14D9F" w:rsidRPr="00E70587">
              <w:rPr>
                <w:rFonts w:ascii="Arial" w:hAnsi="Arial" w:cs="Arial"/>
                <w:b/>
                <w:sz w:val="20"/>
              </w:rPr>
              <w:t>138</w:t>
            </w:r>
          </w:p>
        </w:tc>
        <w:tc>
          <w:tcPr>
            <w:tcW w:w="1524" w:type="dxa"/>
            <w:gridSpan w:val="2"/>
            <w:tcBorders>
              <w:top w:val="single" w:sz="4" w:space="0" w:color="auto"/>
            </w:tcBorders>
            <w:tcMar>
              <w:right w:w="108" w:type="dxa"/>
            </w:tcMar>
            <w:vAlign w:val="bottom"/>
          </w:tcPr>
          <w:p w14:paraId="1676C9CF" w14:textId="77777777" w:rsidR="00FC56D0" w:rsidRPr="00E70587" w:rsidRDefault="00186662" w:rsidP="00F27305">
            <w:pPr>
              <w:overflowPunct/>
              <w:autoSpaceDE/>
              <w:autoSpaceDN/>
              <w:adjustRightInd/>
              <w:spacing w:line="240" w:lineRule="auto"/>
              <w:jc w:val="right"/>
              <w:textAlignment w:val="auto"/>
              <w:rPr>
                <w:rFonts w:ascii="Arial" w:hAnsi="Arial" w:cs="Arial"/>
                <w:b/>
                <w:color w:val="000000"/>
                <w:sz w:val="20"/>
                <w:lang w:eastAsia="en-IN"/>
              </w:rPr>
            </w:pPr>
            <w:r w:rsidRPr="00E70587">
              <w:rPr>
                <w:rFonts w:ascii="Arial" w:hAnsi="Arial" w:cs="Arial"/>
                <w:b/>
                <w:color w:val="000000"/>
                <w:sz w:val="20"/>
              </w:rPr>
              <w:t xml:space="preserve"> 14,6</w:t>
            </w:r>
            <w:r w:rsidR="00F14D9F" w:rsidRPr="00E70587">
              <w:rPr>
                <w:rFonts w:ascii="Arial" w:hAnsi="Arial" w:cs="Arial"/>
                <w:b/>
                <w:color w:val="000000"/>
                <w:sz w:val="20"/>
              </w:rPr>
              <w:t>49</w:t>
            </w:r>
          </w:p>
        </w:tc>
      </w:tr>
      <w:tr w:rsidR="00FC56D0" w:rsidRPr="00E70587" w14:paraId="300830D6" w14:textId="77777777" w:rsidTr="00F27305">
        <w:trPr>
          <w:gridAfter w:val="2"/>
          <w:wAfter w:w="1980" w:type="dxa"/>
        </w:trPr>
        <w:tc>
          <w:tcPr>
            <w:tcW w:w="5479" w:type="dxa"/>
            <w:vAlign w:val="center"/>
          </w:tcPr>
          <w:p w14:paraId="4690CA08" w14:textId="77777777" w:rsidR="00FC56D0" w:rsidRPr="00E70587" w:rsidRDefault="00FC56D0" w:rsidP="00F27305">
            <w:pPr>
              <w:spacing w:line="280" w:lineRule="exact"/>
              <w:rPr>
                <w:rFonts w:ascii="Arial" w:hAnsi="Arial" w:cs="Arial"/>
                <w:sz w:val="20"/>
              </w:rPr>
            </w:pPr>
            <w:r w:rsidRPr="00E70587">
              <w:rPr>
                <w:rFonts w:ascii="Arial" w:hAnsi="Arial" w:cs="Arial"/>
                <w:sz w:val="20"/>
              </w:rPr>
              <w:t>Exceptional items</w:t>
            </w:r>
          </w:p>
        </w:tc>
        <w:tc>
          <w:tcPr>
            <w:tcW w:w="1049" w:type="dxa"/>
            <w:gridSpan w:val="2"/>
            <w:vAlign w:val="center"/>
          </w:tcPr>
          <w:p w14:paraId="3BA381C7" w14:textId="77777777" w:rsidR="00FC56D0" w:rsidRPr="00E70587" w:rsidRDefault="00FC56D0" w:rsidP="00F27305">
            <w:pPr>
              <w:spacing w:line="280" w:lineRule="exact"/>
              <w:jc w:val="center"/>
              <w:rPr>
                <w:rFonts w:ascii="Arial" w:hAnsi="Arial" w:cs="Arial"/>
                <w:b/>
                <w:bCs/>
                <w:sz w:val="20"/>
              </w:rPr>
            </w:pPr>
            <w:r w:rsidRPr="00E70587">
              <w:rPr>
                <w:rFonts w:ascii="Arial" w:hAnsi="Arial" w:cs="Arial"/>
                <w:b/>
                <w:bCs/>
                <w:sz w:val="20"/>
              </w:rPr>
              <w:t>30</w:t>
            </w:r>
          </w:p>
        </w:tc>
        <w:tc>
          <w:tcPr>
            <w:tcW w:w="1524" w:type="dxa"/>
            <w:gridSpan w:val="2"/>
            <w:tcBorders>
              <w:bottom w:val="single" w:sz="4" w:space="0" w:color="auto"/>
            </w:tcBorders>
            <w:tcMar>
              <w:right w:w="108" w:type="dxa"/>
            </w:tcMar>
            <w:vAlign w:val="bottom"/>
          </w:tcPr>
          <w:p w14:paraId="0AB68637" w14:textId="77777777" w:rsidR="00FC56D0" w:rsidRPr="00E70587" w:rsidRDefault="00FC56D0" w:rsidP="00F27305">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2,142</w:t>
            </w:r>
          </w:p>
        </w:tc>
        <w:tc>
          <w:tcPr>
            <w:tcW w:w="1524" w:type="dxa"/>
            <w:gridSpan w:val="2"/>
            <w:tcBorders>
              <w:bottom w:val="single" w:sz="4" w:space="0" w:color="auto"/>
            </w:tcBorders>
            <w:tcMar>
              <w:right w:w="108" w:type="dxa"/>
            </w:tcMar>
            <w:vAlign w:val="bottom"/>
          </w:tcPr>
          <w:p w14:paraId="17479412" w14:textId="77777777" w:rsidR="00FC56D0" w:rsidRPr="00E70587" w:rsidRDefault="00FC56D0" w:rsidP="00F27305">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w:t>
            </w:r>
          </w:p>
        </w:tc>
      </w:tr>
      <w:tr w:rsidR="00FC56D0" w:rsidRPr="00E70587" w14:paraId="22D79332" w14:textId="77777777" w:rsidTr="00F27305">
        <w:trPr>
          <w:gridAfter w:val="2"/>
          <w:wAfter w:w="1980" w:type="dxa"/>
        </w:trPr>
        <w:tc>
          <w:tcPr>
            <w:tcW w:w="5479" w:type="dxa"/>
            <w:vAlign w:val="center"/>
          </w:tcPr>
          <w:p w14:paraId="4546415B" w14:textId="77777777" w:rsidR="00FC56D0" w:rsidRPr="00E70587" w:rsidRDefault="00FC56D0" w:rsidP="00F27305">
            <w:pPr>
              <w:spacing w:line="280" w:lineRule="exact"/>
              <w:rPr>
                <w:rFonts w:ascii="Arial" w:hAnsi="Arial" w:cs="Arial"/>
                <w:sz w:val="20"/>
              </w:rPr>
            </w:pPr>
            <w:r w:rsidRPr="00E70587">
              <w:rPr>
                <w:rFonts w:ascii="Arial" w:hAnsi="Arial" w:cs="Arial"/>
                <w:b/>
                <w:sz w:val="20"/>
              </w:rPr>
              <w:t>Profit/(loss)</w:t>
            </w:r>
            <w:r w:rsidRPr="00E70587">
              <w:rPr>
                <w:rFonts w:ascii="Arial" w:hAnsi="Arial" w:cs="Arial"/>
                <w:sz w:val="20"/>
              </w:rPr>
              <w:t xml:space="preserve"> </w:t>
            </w:r>
            <w:r w:rsidRPr="00E70587">
              <w:rPr>
                <w:rFonts w:ascii="Arial" w:hAnsi="Arial" w:cs="Arial"/>
                <w:b/>
                <w:sz w:val="20"/>
              </w:rPr>
              <w:t>before tax from continuing operations</w:t>
            </w:r>
          </w:p>
        </w:tc>
        <w:tc>
          <w:tcPr>
            <w:tcW w:w="1049" w:type="dxa"/>
            <w:gridSpan w:val="2"/>
            <w:vAlign w:val="center"/>
          </w:tcPr>
          <w:p w14:paraId="33462211" w14:textId="77777777" w:rsidR="00FC56D0" w:rsidRPr="00E70587" w:rsidRDefault="00FC56D0" w:rsidP="00F27305">
            <w:pPr>
              <w:spacing w:line="280" w:lineRule="exact"/>
              <w:jc w:val="center"/>
              <w:rPr>
                <w:rFonts w:ascii="Arial" w:hAnsi="Arial" w:cs="Arial"/>
                <w:b/>
                <w:bCs/>
                <w:sz w:val="20"/>
              </w:rPr>
            </w:pPr>
          </w:p>
        </w:tc>
        <w:tc>
          <w:tcPr>
            <w:tcW w:w="1524" w:type="dxa"/>
            <w:gridSpan w:val="2"/>
            <w:tcBorders>
              <w:top w:val="single" w:sz="4" w:space="0" w:color="auto"/>
            </w:tcBorders>
            <w:tcMar>
              <w:right w:w="108" w:type="dxa"/>
            </w:tcMar>
            <w:vAlign w:val="bottom"/>
          </w:tcPr>
          <w:p w14:paraId="2495B022" w14:textId="77777777" w:rsidR="00FC56D0" w:rsidRPr="00E70587" w:rsidRDefault="00FC56D0" w:rsidP="00F27305">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19,</w:t>
            </w:r>
            <w:r w:rsidR="00F14D9F" w:rsidRPr="00E70587">
              <w:rPr>
                <w:rFonts w:ascii="Arial" w:hAnsi="Arial" w:cs="Arial"/>
                <w:b/>
                <w:sz w:val="20"/>
                <w:lang w:eastAsia="en-GB"/>
              </w:rPr>
              <w:t>996</w:t>
            </w:r>
          </w:p>
        </w:tc>
        <w:tc>
          <w:tcPr>
            <w:tcW w:w="1524" w:type="dxa"/>
            <w:gridSpan w:val="2"/>
            <w:tcBorders>
              <w:top w:val="single" w:sz="4" w:space="0" w:color="auto"/>
            </w:tcBorders>
            <w:tcMar>
              <w:right w:w="108" w:type="dxa"/>
            </w:tcMar>
            <w:vAlign w:val="bottom"/>
          </w:tcPr>
          <w:p w14:paraId="1D92C68B" w14:textId="77777777" w:rsidR="00FC56D0" w:rsidRPr="00E70587" w:rsidRDefault="002A6900" w:rsidP="00F27305">
            <w:pPr>
              <w:overflowPunct/>
              <w:autoSpaceDE/>
              <w:autoSpaceDN/>
              <w:adjustRightInd/>
              <w:spacing w:line="240" w:lineRule="auto"/>
              <w:jc w:val="right"/>
              <w:textAlignment w:val="auto"/>
              <w:rPr>
                <w:rFonts w:ascii="Arial" w:hAnsi="Arial" w:cs="Arial"/>
                <w:b/>
                <w:color w:val="000000"/>
                <w:sz w:val="20"/>
                <w:lang w:eastAsia="en-IN"/>
              </w:rPr>
            </w:pPr>
            <w:r w:rsidRPr="00E70587">
              <w:rPr>
                <w:rFonts w:ascii="Arial" w:hAnsi="Arial" w:cs="Arial"/>
                <w:b/>
                <w:color w:val="000000"/>
                <w:sz w:val="20"/>
              </w:rPr>
              <w:t>14,6</w:t>
            </w:r>
            <w:r w:rsidR="00F14D9F" w:rsidRPr="00E70587">
              <w:rPr>
                <w:rFonts w:ascii="Arial" w:hAnsi="Arial" w:cs="Arial"/>
                <w:b/>
                <w:color w:val="000000"/>
                <w:sz w:val="20"/>
              </w:rPr>
              <w:t>49</w:t>
            </w:r>
          </w:p>
        </w:tc>
      </w:tr>
      <w:tr w:rsidR="00316BDD" w:rsidRPr="00E70587" w14:paraId="0D7EF60A" w14:textId="77777777" w:rsidTr="00F27305">
        <w:trPr>
          <w:gridAfter w:val="2"/>
          <w:wAfter w:w="1980" w:type="dxa"/>
        </w:trPr>
        <w:tc>
          <w:tcPr>
            <w:tcW w:w="5479" w:type="dxa"/>
            <w:vAlign w:val="center"/>
          </w:tcPr>
          <w:p w14:paraId="4336B0B1" w14:textId="77777777" w:rsidR="00316BDD" w:rsidRPr="00E70587" w:rsidRDefault="00316BDD" w:rsidP="00F27305">
            <w:pPr>
              <w:spacing w:line="280" w:lineRule="exact"/>
              <w:rPr>
                <w:rFonts w:ascii="Arial" w:hAnsi="Arial" w:cs="Arial"/>
                <w:sz w:val="20"/>
              </w:rPr>
            </w:pPr>
            <w:r w:rsidRPr="00E70587">
              <w:rPr>
                <w:rFonts w:ascii="Arial" w:hAnsi="Arial" w:cs="Arial"/>
                <w:sz w:val="20"/>
              </w:rPr>
              <w:t>(1) Current tax</w:t>
            </w:r>
          </w:p>
        </w:tc>
        <w:tc>
          <w:tcPr>
            <w:tcW w:w="1049" w:type="dxa"/>
            <w:gridSpan w:val="2"/>
            <w:vAlign w:val="center"/>
          </w:tcPr>
          <w:p w14:paraId="242553BD" w14:textId="77777777" w:rsidR="00316BDD" w:rsidRPr="00E70587" w:rsidRDefault="00316BDD" w:rsidP="00F27305">
            <w:pPr>
              <w:spacing w:line="280" w:lineRule="exact"/>
              <w:jc w:val="center"/>
              <w:rPr>
                <w:rFonts w:ascii="Arial" w:hAnsi="Arial" w:cs="Arial"/>
                <w:b/>
                <w:bCs/>
                <w:sz w:val="20"/>
              </w:rPr>
            </w:pPr>
            <w:r w:rsidRPr="00E70587">
              <w:rPr>
                <w:rFonts w:ascii="Arial" w:hAnsi="Arial" w:cs="Arial"/>
                <w:bCs/>
                <w:sz w:val="20"/>
              </w:rPr>
              <w:t>19</w:t>
            </w:r>
          </w:p>
        </w:tc>
        <w:tc>
          <w:tcPr>
            <w:tcW w:w="1524" w:type="dxa"/>
            <w:gridSpan w:val="2"/>
            <w:tcMar>
              <w:right w:w="108" w:type="dxa"/>
            </w:tcMar>
            <w:vAlign w:val="bottom"/>
          </w:tcPr>
          <w:p w14:paraId="470A408B" w14:textId="77777777" w:rsidR="00316BDD" w:rsidRPr="00E70587" w:rsidRDefault="00316BDD" w:rsidP="00F27305">
            <w:pPr>
              <w:spacing w:line="280" w:lineRule="exact"/>
              <w:jc w:val="right"/>
              <w:rPr>
                <w:rFonts w:ascii="Arial" w:hAnsi="Arial" w:cs="Arial"/>
                <w:sz w:val="20"/>
              </w:rPr>
            </w:pPr>
            <w:r w:rsidRPr="00E70587">
              <w:rPr>
                <w:rFonts w:ascii="Arial" w:hAnsi="Arial" w:cs="Arial"/>
                <w:sz w:val="20"/>
              </w:rPr>
              <w:t>5,288</w:t>
            </w:r>
          </w:p>
        </w:tc>
        <w:tc>
          <w:tcPr>
            <w:tcW w:w="1524" w:type="dxa"/>
            <w:gridSpan w:val="2"/>
            <w:tcMar>
              <w:right w:w="108" w:type="dxa"/>
            </w:tcMar>
            <w:vAlign w:val="bottom"/>
          </w:tcPr>
          <w:p w14:paraId="6F5AE7E4" w14:textId="77777777" w:rsidR="00316BDD" w:rsidRPr="00E70587" w:rsidRDefault="00316BDD" w:rsidP="00F27305">
            <w:pPr>
              <w:spacing w:line="280" w:lineRule="exact"/>
              <w:jc w:val="right"/>
              <w:rPr>
                <w:rFonts w:ascii="Arial" w:hAnsi="Arial" w:cs="Arial"/>
                <w:sz w:val="20"/>
              </w:rPr>
            </w:pPr>
            <w:r w:rsidRPr="00E70587">
              <w:rPr>
                <w:rFonts w:ascii="Arial" w:hAnsi="Arial" w:cs="Arial"/>
                <w:sz w:val="20"/>
              </w:rPr>
              <w:t>4,658</w:t>
            </w:r>
          </w:p>
        </w:tc>
      </w:tr>
      <w:tr w:rsidR="00316BDD" w:rsidRPr="00E70587" w14:paraId="6F0FA15C" w14:textId="77777777" w:rsidTr="00F27305">
        <w:trPr>
          <w:gridAfter w:val="2"/>
          <w:wAfter w:w="1980" w:type="dxa"/>
        </w:trPr>
        <w:tc>
          <w:tcPr>
            <w:tcW w:w="5479" w:type="dxa"/>
            <w:vAlign w:val="center"/>
          </w:tcPr>
          <w:p w14:paraId="5AB199CD" w14:textId="77777777" w:rsidR="00316BDD" w:rsidRPr="00E70587" w:rsidRDefault="00316BDD" w:rsidP="00F27305">
            <w:pPr>
              <w:spacing w:line="280" w:lineRule="exact"/>
              <w:rPr>
                <w:rFonts w:ascii="Arial" w:hAnsi="Arial" w:cs="Arial"/>
                <w:sz w:val="20"/>
              </w:rPr>
            </w:pPr>
            <w:r w:rsidRPr="00E70587">
              <w:rPr>
                <w:rFonts w:ascii="Arial" w:hAnsi="Arial" w:cs="Arial"/>
                <w:sz w:val="20"/>
              </w:rPr>
              <w:t>(2) Adjustment of tax relating to earlier periods</w:t>
            </w:r>
          </w:p>
        </w:tc>
        <w:tc>
          <w:tcPr>
            <w:tcW w:w="1049" w:type="dxa"/>
            <w:gridSpan w:val="2"/>
            <w:vAlign w:val="center"/>
          </w:tcPr>
          <w:p w14:paraId="6A6621D7" w14:textId="77777777" w:rsidR="00316BDD" w:rsidRPr="00E70587" w:rsidRDefault="00316BDD" w:rsidP="00F27305">
            <w:pPr>
              <w:spacing w:line="280" w:lineRule="exact"/>
              <w:jc w:val="center"/>
              <w:rPr>
                <w:rFonts w:ascii="Arial" w:hAnsi="Arial" w:cs="Arial"/>
                <w:b/>
                <w:bCs/>
                <w:sz w:val="20"/>
              </w:rPr>
            </w:pPr>
            <w:r w:rsidRPr="00E70587">
              <w:rPr>
                <w:rFonts w:ascii="Arial" w:hAnsi="Arial" w:cs="Arial"/>
                <w:bCs/>
                <w:sz w:val="20"/>
              </w:rPr>
              <w:t>19</w:t>
            </w:r>
          </w:p>
        </w:tc>
        <w:tc>
          <w:tcPr>
            <w:tcW w:w="1524" w:type="dxa"/>
            <w:gridSpan w:val="2"/>
            <w:tcMar>
              <w:right w:w="0" w:type="dxa"/>
            </w:tcMar>
            <w:vAlign w:val="bottom"/>
          </w:tcPr>
          <w:p w14:paraId="6B2D232C" w14:textId="77777777" w:rsidR="00316BDD" w:rsidRPr="00E70587" w:rsidRDefault="00316BDD" w:rsidP="00F27305">
            <w:pPr>
              <w:spacing w:line="280" w:lineRule="exact"/>
              <w:ind w:right="90"/>
              <w:jc w:val="right"/>
              <w:rPr>
                <w:rFonts w:ascii="Arial" w:hAnsi="Arial" w:cs="Arial"/>
                <w:sz w:val="20"/>
              </w:rPr>
            </w:pPr>
            <w:r w:rsidRPr="00E70587">
              <w:rPr>
                <w:rFonts w:ascii="Arial" w:hAnsi="Arial" w:cs="Arial"/>
                <w:sz w:val="20"/>
              </w:rPr>
              <w:t>(32)</w:t>
            </w:r>
          </w:p>
        </w:tc>
        <w:tc>
          <w:tcPr>
            <w:tcW w:w="1524" w:type="dxa"/>
            <w:gridSpan w:val="2"/>
            <w:tcMar>
              <w:right w:w="0" w:type="dxa"/>
            </w:tcMar>
            <w:vAlign w:val="bottom"/>
          </w:tcPr>
          <w:p w14:paraId="3DAB48AB" w14:textId="77777777" w:rsidR="00316BDD" w:rsidRPr="00E70587" w:rsidRDefault="00316BDD" w:rsidP="00F27305">
            <w:pPr>
              <w:spacing w:line="280" w:lineRule="exact"/>
              <w:ind w:right="69"/>
              <w:jc w:val="right"/>
              <w:rPr>
                <w:rFonts w:ascii="Arial" w:hAnsi="Arial" w:cs="Arial"/>
                <w:sz w:val="20"/>
              </w:rPr>
            </w:pPr>
            <w:r w:rsidRPr="00E70587">
              <w:rPr>
                <w:rFonts w:ascii="Arial" w:hAnsi="Arial" w:cs="Arial"/>
                <w:sz w:val="20"/>
              </w:rPr>
              <w:t>(79)</w:t>
            </w:r>
          </w:p>
        </w:tc>
      </w:tr>
      <w:tr w:rsidR="00316BDD" w:rsidRPr="00E70587" w14:paraId="786016E6" w14:textId="77777777" w:rsidTr="00F27305">
        <w:trPr>
          <w:gridAfter w:val="2"/>
          <w:wAfter w:w="1980" w:type="dxa"/>
        </w:trPr>
        <w:tc>
          <w:tcPr>
            <w:tcW w:w="5479" w:type="dxa"/>
            <w:vAlign w:val="center"/>
          </w:tcPr>
          <w:p w14:paraId="45AE2D13" w14:textId="77777777" w:rsidR="00316BDD" w:rsidRPr="00E70587" w:rsidRDefault="00316BDD" w:rsidP="00F27305">
            <w:pPr>
              <w:spacing w:line="280" w:lineRule="exact"/>
              <w:rPr>
                <w:rFonts w:ascii="Arial" w:hAnsi="Arial" w:cs="Arial"/>
                <w:sz w:val="20"/>
              </w:rPr>
            </w:pPr>
            <w:r w:rsidRPr="00E70587">
              <w:rPr>
                <w:rFonts w:ascii="Arial" w:hAnsi="Arial" w:cs="Arial"/>
                <w:sz w:val="20"/>
              </w:rPr>
              <w:t>(3) Deferred tax</w:t>
            </w:r>
          </w:p>
        </w:tc>
        <w:tc>
          <w:tcPr>
            <w:tcW w:w="1049" w:type="dxa"/>
            <w:gridSpan w:val="2"/>
            <w:vAlign w:val="center"/>
          </w:tcPr>
          <w:p w14:paraId="4604060C" w14:textId="77777777" w:rsidR="00316BDD" w:rsidRPr="00E70587" w:rsidRDefault="00316BDD" w:rsidP="00F27305">
            <w:pPr>
              <w:spacing w:line="280" w:lineRule="exact"/>
              <w:jc w:val="center"/>
              <w:rPr>
                <w:rFonts w:ascii="Arial" w:hAnsi="Arial" w:cs="Arial"/>
                <w:b/>
                <w:bCs/>
                <w:sz w:val="20"/>
              </w:rPr>
            </w:pPr>
            <w:r w:rsidRPr="00E70587">
              <w:rPr>
                <w:rFonts w:ascii="Arial" w:hAnsi="Arial" w:cs="Arial"/>
                <w:bCs/>
                <w:sz w:val="20"/>
              </w:rPr>
              <w:t>19</w:t>
            </w:r>
          </w:p>
        </w:tc>
        <w:tc>
          <w:tcPr>
            <w:tcW w:w="1524" w:type="dxa"/>
            <w:gridSpan w:val="2"/>
            <w:tcBorders>
              <w:bottom w:val="single" w:sz="4" w:space="0" w:color="auto"/>
            </w:tcBorders>
            <w:tcMar>
              <w:right w:w="0" w:type="dxa"/>
            </w:tcMar>
            <w:vAlign w:val="bottom"/>
          </w:tcPr>
          <w:p w14:paraId="2368D387" w14:textId="42E10DF3" w:rsidR="00316BDD" w:rsidRPr="00E70587" w:rsidRDefault="00D01F15" w:rsidP="00F27305">
            <w:pPr>
              <w:spacing w:line="280" w:lineRule="exact"/>
              <w:ind w:right="90"/>
              <w:jc w:val="right"/>
              <w:rPr>
                <w:rFonts w:ascii="Arial" w:hAnsi="Arial" w:cs="Arial"/>
                <w:bCs/>
                <w:sz w:val="20"/>
              </w:rPr>
            </w:pPr>
            <w:r>
              <w:rPr>
                <w:rFonts w:ascii="Arial" w:hAnsi="Arial" w:cs="Arial"/>
                <w:bCs/>
                <w:sz w:val="20"/>
              </w:rPr>
              <w:t>4</w:t>
            </w:r>
            <w:r w:rsidRPr="00E70587">
              <w:rPr>
                <w:rFonts w:ascii="Arial" w:hAnsi="Arial" w:cs="Arial"/>
                <w:bCs/>
                <w:sz w:val="20"/>
              </w:rPr>
              <w:t>2</w:t>
            </w:r>
            <w:r>
              <w:rPr>
                <w:rFonts w:ascii="Arial" w:hAnsi="Arial" w:cs="Arial"/>
                <w:bCs/>
                <w:sz w:val="20"/>
              </w:rPr>
              <w:t>1</w:t>
            </w:r>
          </w:p>
        </w:tc>
        <w:tc>
          <w:tcPr>
            <w:tcW w:w="1524" w:type="dxa"/>
            <w:gridSpan w:val="2"/>
            <w:tcBorders>
              <w:bottom w:val="single" w:sz="4" w:space="0" w:color="auto"/>
            </w:tcBorders>
            <w:tcMar>
              <w:right w:w="0" w:type="dxa"/>
            </w:tcMar>
            <w:vAlign w:val="bottom"/>
          </w:tcPr>
          <w:p w14:paraId="07879B5E" w14:textId="77777777" w:rsidR="00316BDD" w:rsidRPr="00E70587" w:rsidRDefault="00316BDD" w:rsidP="00F27305">
            <w:pPr>
              <w:spacing w:line="280" w:lineRule="exact"/>
              <w:ind w:right="69"/>
              <w:jc w:val="right"/>
              <w:rPr>
                <w:rFonts w:ascii="Arial" w:hAnsi="Arial" w:cs="Arial"/>
                <w:sz w:val="20"/>
              </w:rPr>
            </w:pPr>
            <w:r w:rsidRPr="00E70587">
              <w:rPr>
                <w:rFonts w:ascii="Arial" w:hAnsi="Arial" w:cs="Arial"/>
                <w:sz w:val="20"/>
              </w:rPr>
              <w:t>(560)</w:t>
            </w:r>
          </w:p>
        </w:tc>
      </w:tr>
      <w:tr w:rsidR="00316BDD" w:rsidRPr="00E70587" w14:paraId="3F448E7C" w14:textId="77777777" w:rsidTr="00F27305">
        <w:trPr>
          <w:gridAfter w:val="2"/>
          <w:wAfter w:w="1980" w:type="dxa"/>
        </w:trPr>
        <w:tc>
          <w:tcPr>
            <w:tcW w:w="5479" w:type="dxa"/>
            <w:vAlign w:val="center"/>
          </w:tcPr>
          <w:p w14:paraId="195B66C6" w14:textId="77777777" w:rsidR="00316BDD" w:rsidRPr="00E70587" w:rsidRDefault="00316BDD" w:rsidP="00F2730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Income tax expense</w:t>
            </w:r>
          </w:p>
        </w:tc>
        <w:tc>
          <w:tcPr>
            <w:tcW w:w="1049" w:type="dxa"/>
            <w:gridSpan w:val="2"/>
            <w:vAlign w:val="center"/>
          </w:tcPr>
          <w:p w14:paraId="62827F16" w14:textId="77777777" w:rsidR="00316BDD" w:rsidRPr="00E70587" w:rsidRDefault="00316BDD" w:rsidP="00F27305">
            <w:pPr>
              <w:pStyle w:val="tablenotes"/>
              <w:tabs>
                <w:tab w:val="clear" w:pos="439"/>
              </w:tabs>
              <w:spacing w:before="0" w:line="280" w:lineRule="exact"/>
              <w:jc w:val="center"/>
              <w:rPr>
                <w:rFonts w:ascii="Arial" w:hAnsi="Arial" w:cs="Arial"/>
                <w:color w:val="auto"/>
                <w:sz w:val="20"/>
              </w:rPr>
            </w:pPr>
            <w:r w:rsidRPr="00E70587">
              <w:rPr>
                <w:rFonts w:ascii="Arial" w:hAnsi="Arial" w:cs="Arial"/>
                <w:sz w:val="20"/>
              </w:rPr>
              <w:t>19</w:t>
            </w:r>
          </w:p>
        </w:tc>
        <w:tc>
          <w:tcPr>
            <w:tcW w:w="1524" w:type="dxa"/>
            <w:gridSpan w:val="2"/>
            <w:tcBorders>
              <w:bottom w:val="single" w:sz="2" w:space="0" w:color="auto"/>
            </w:tcBorders>
            <w:tcMar>
              <w:right w:w="0" w:type="dxa"/>
            </w:tcMar>
            <w:vAlign w:val="bottom"/>
          </w:tcPr>
          <w:p w14:paraId="435261EF" w14:textId="4EE0FD6A" w:rsidR="00316BDD" w:rsidRPr="00E70587" w:rsidRDefault="00316BDD" w:rsidP="00F27305">
            <w:pPr>
              <w:spacing w:line="280" w:lineRule="exact"/>
              <w:ind w:right="105"/>
              <w:jc w:val="right"/>
              <w:rPr>
                <w:rFonts w:ascii="Arial" w:hAnsi="Arial" w:cs="Arial"/>
                <w:sz w:val="20"/>
              </w:rPr>
            </w:pPr>
            <w:r w:rsidRPr="00E70587">
              <w:rPr>
                <w:rFonts w:ascii="Arial" w:hAnsi="Arial" w:cs="Arial"/>
                <w:sz w:val="20"/>
              </w:rPr>
              <w:t>5,</w:t>
            </w:r>
            <w:r w:rsidR="00081346">
              <w:rPr>
                <w:rFonts w:ascii="Arial" w:hAnsi="Arial" w:cs="Arial"/>
                <w:sz w:val="20"/>
              </w:rPr>
              <w:t>677</w:t>
            </w:r>
          </w:p>
        </w:tc>
        <w:tc>
          <w:tcPr>
            <w:tcW w:w="1524" w:type="dxa"/>
            <w:gridSpan w:val="2"/>
            <w:tcBorders>
              <w:bottom w:val="single" w:sz="2" w:space="0" w:color="auto"/>
            </w:tcBorders>
            <w:tcMar>
              <w:right w:w="0" w:type="dxa"/>
            </w:tcMar>
            <w:vAlign w:val="bottom"/>
          </w:tcPr>
          <w:p w14:paraId="4A83D9BA" w14:textId="77777777" w:rsidR="00316BDD" w:rsidRPr="00E70587" w:rsidRDefault="00316BDD" w:rsidP="00F27305">
            <w:pPr>
              <w:spacing w:line="280" w:lineRule="exact"/>
              <w:ind w:right="84"/>
              <w:jc w:val="right"/>
              <w:rPr>
                <w:rFonts w:ascii="Arial" w:hAnsi="Arial" w:cs="Arial"/>
                <w:sz w:val="20"/>
              </w:rPr>
            </w:pPr>
            <w:r w:rsidRPr="00E70587">
              <w:rPr>
                <w:rFonts w:ascii="Arial" w:hAnsi="Arial" w:cs="Arial"/>
                <w:sz w:val="20"/>
              </w:rPr>
              <w:t>4,019</w:t>
            </w:r>
          </w:p>
        </w:tc>
      </w:tr>
      <w:tr w:rsidR="00FC56D0" w:rsidRPr="00E70587" w14:paraId="052D2B1F" w14:textId="77777777" w:rsidTr="00F27305">
        <w:trPr>
          <w:gridAfter w:val="2"/>
          <w:wAfter w:w="1980" w:type="dxa"/>
        </w:trPr>
        <w:tc>
          <w:tcPr>
            <w:tcW w:w="5479" w:type="dxa"/>
            <w:vAlign w:val="center"/>
          </w:tcPr>
          <w:p w14:paraId="441B03B0" w14:textId="77777777" w:rsidR="00FC56D0" w:rsidRPr="00E70587" w:rsidRDefault="00FC56D0" w:rsidP="00F27305">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Profit for the year from continuing operations</w:t>
            </w:r>
          </w:p>
        </w:tc>
        <w:tc>
          <w:tcPr>
            <w:tcW w:w="1049" w:type="dxa"/>
            <w:gridSpan w:val="2"/>
            <w:vAlign w:val="center"/>
          </w:tcPr>
          <w:p w14:paraId="5B694C34" w14:textId="77777777" w:rsidR="00FC56D0" w:rsidRPr="00E70587" w:rsidRDefault="00FC56D0" w:rsidP="00F27305">
            <w:pPr>
              <w:pStyle w:val="tablenotes"/>
              <w:spacing w:before="0" w:line="280" w:lineRule="exact"/>
              <w:jc w:val="center"/>
              <w:rPr>
                <w:rFonts w:ascii="Arial" w:hAnsi="Arial" w:cs="Arial"/>
                <w:b/>
                <w:color w:val="auto"/>
                <w:sz w:val="20"/>
              </w:rPr>
            </w:pPr>
          </w:p>
        </w:tc>
        <w:tc>
          <w:tcPr>
            <w:tcW w:w="1524" w:type="dxa"/>
            <w:gridSpan w:val="2"/>
            <w:tcBorders>
              <w:top w:val="single" w:sz="2" w:space="0" w:color="auto"/>
            </w:tcBorders>
            <w:tcMar>
              <w:right w:w="108" w:type="dxa"/>
            </w:tcMar>
            <w:vAlign w:val="bottom"/>
          </w:tcPr>
          <w:p w14:paraId="719D5BDA" w14:textId="2866B90E" w:rsidR="00FC56D0" w:rsidRPr="00E70587" w:rsidRDefault="00FC56D0" w:rsidP="00F27305">
            <w:pPr>
              <w:spacing w:line="280" w:lineRule="exact"/>
              <w:jc w:val="right"/>
              <w:rPr>
                <w:rFonts w:ascii="Arial" w:hAnsi="Arial" w:cs="Arial"/>
                <w:b/>
                <w:sz w:val="20"/>
              </w:rPr>
            </w:pPr>
            <w:r w:rsidRPr="00E70587">
              <w:rPr>
                <w:rFonts w:ascii="Arial" w:hAnsi="Arial" w:cs="Arial"/>
                <w:b/>
                <w:sz w:val="20"/>
              </w:rPr>
              <w:t>14,</w:t>
            </w:r>
            <w:r w:rsidR="00081346">
              <w:rPr>
                <w:rFonts w:ascii="Arial" w:hAnsi="Arial" w:cs="Arial"/>
                <w:b/>
                <w:sz w:val="20"/>
              </w:rPr>
              <w:t>319</w:t>
            </w:r>
          </w:p>
        </w:tc>
        <w:tc>
          <w:tcPr>
            <w:tcW w:w="1524" w:type="dxa"/>
            <w:gridSpan w:val="2"/>
            <w:tcBorders>
              <w:top w:val="single" w:sz="2" w:space="0" w:color="auto"/>
            </w:tcBorders>
            <w:tcMar>
              <w:right w:w="108" w:type="dxa"/>
            </w:tcMar>
            <w:vAlign w:val="bottom"/>
          </w:tcPr>
          <w:p w14:paraId="3CD9A8CA" w14:textId="77777777" w:rsidR="00FC56D0" w:rsidRPr="00E70587" w:rsidRDefault="00186662" w:rsidP="00F27305">
            <w:pPr>
              <w:overflowPunct/>
              <w:autoSpaceDE/>
              <w:autoSpaceDN/>
              <w:adjustRightInd/>
              <w:spacing w:line="240" w:lineRule="auto"/>
              <w:jc w:val="right"/>
              <w:textAlignment w:val="auto"/>
              <w:rPr>
                <w:rFonts w:ascii="Arial" w:hAnsi="Arial" w:cs="Arial"/>
                <w:b/>
                <w:color w:val="000000"/>
                <w:sz w:val="20"/>
                <w:lang w:eastAsia="en-IN"/>
              </w:rPr>
            </w:pPr>
            <w:r w:rsidRPr="00E70587">
              <w:rPr>
                <w:rFonts w:ascii="Arial" w:hAnsi="Arial" w:cs="Arial"/>
                <w:b/>
                <w:color w:val="000000"/>
                <w:sz w:val="20"/>
              </w:rPr>
              <w:t xml:space="preserve"> 10,63</w:t>
            </w:r>
            <w:r w:rsidR="00F14D9F" w:rsidRPr="00E70587">
              <w:rPr>
                <w:rFonts w:ascii="Arial" w:hAnsi="Arial" w:cs="Arial"/>
                <w:b/>
                <w:color w:val="000000"/>
                <w:sz w:val="20"/>
              </w:rPr>
              <w:t>0</w:t>
            </w:r>
          </w:p>
        </w:tc>
      </w:tr>
      <w:tr w:rsidR="00FC56D0" w:rsidRPr="00E70587" w14:paraId="277ACEEA" w14:textId="77777777" w:rsidTr="00F27305">
        <w:trPr>
          <w:gridAfter w:val="2"/>
          <w:wAfter w:w="1980" w:type="dxa"/>
        </w:trPr>
        <w:tc>
          <w:tcPr>
            <w:tcW w:w="5479" w:type="dxa"/>
          </w:tcPr>
          <w:p w14:paraId="30DC00A8" w14:textId="77777777" w:rsidR="00FC56D0" w:rsidRPr="00E70587" w:rsidRDefault="00FC56D0" w:rsidP="00F27305">
            <w:pPr>
              <w:pStyle w:val="tabletxtns"/>
              <w:spacing w:before="0" w:line="280" w:lineRule="exact"/>
              <w:rPr>
                <w:rFonts w:ascii="Arial" w:hAnsi="Arial" w:cs="Arial"/>
                <w:color w:val="auto"/>
                <w:sz w:val="20"/>
              </w:rPr>
            </w:pPr>
          </w:p>
        </w:tc>
        <w:tc>
          <w:tcPr>
            <w:tcW w:w="1049" w:type="dxa"/>
            <w:gridSpan w:val="2"/>
          </w:tcPr>
          <w:p w14:paraId="0311EFF2" w14:textId="77777777" w:rsidR="00FC56D0" w:rsidRPr="00E70587" w:rsidRDefault="00FC56D0" w:rsidP="00F27305">
            <w:pPr>
              <w:pStyle w:val="tabletxtns"/>
              <w:spacing w:before="0" w:line="280" w:lineRule="exact"/>
              <w:jc w:val="center"/>
              <w:rPr>
                <w:rFonts w:ascii="Arial" w:hAnsi="Arial" w:cs="Arial"/>
                <w:color w:val="auto"/>
                <w:sz w:val="20"/>
              </w:rPr>
            </w:pPr>
          </w:p>
        </w:tc>
        <w:tc>
          <w:tcPr>
            <w:tcW w:w="1524" w:type="dxa"/>
            <w:gridSpan w:val="2"/>
            <w:tcMar>
              <w:right w:w="108" w:type="dxa"/>
            </w:tcMar>
            <w:vAlign w:val="bottom"/>
          </w:tcPr>
          <w:p w14:paraId="622ED241" w14:textId="77777777" w:rsidR="00FC56D0" w:rsidRPr="00E70587" w:rsidRDefault="00FC56D0" w:rsidP="00F27305">
            <w:pPr>
              <w:pStyle w:val="tabletxtns"/>
              <w:spacing w:before="0" w:line="280" w:lineRule="exact"/>
              <w:rPr>
                <w:rFonts w:ascii="Arial" w:hAnsi="Arial" w:cs="Arial"/>
                <w:color w:val="auto"/>
                <w:sz w:val="20"/>
              </w:rPr>
            </w:pPr>
          </w:p>
        </w:tc>
        <w:tc>
          <w:tcPr>
            <w:tcW w:w="1524" w:type="dxa"/>
            <w:gridSpan w:val="2"/>
            <w:tcMar>
              <w:right w:w="108" w:type="dxa"/>
            </w:tcMar>
            <w:vAlign w:val="bottom"/>
          </w:tcPr>
          <w:p w14:paraId="3945026C" w14:textId="77777777" w:rsidR="00FC56D0" w:rsidRPr="00E70587" w:rsidRDefault="00FC56D0" w:rsidP="00F27305">
            <w:pPr>
              <w:pStyle w:val="tabletxtns"/>
              <w:spacing w:before="0" w:line="280" w:lineRule="exact"/>
              <w:rPr>
                <w:rFonts w:ascii="Arial" w:hAnsi="Arial" w:cs="Arial"/>
                <w:color w:val="auto"/>
                <w:sz w:val="20"/>
              </w:rPr>
            </w:pPr>
          </w:p>
        </w:tc>
      </w:tr>
      <w:tr w:rsidR="00FC56D0" w:rsidRPr="00E70587" w14:paraId="2A518C8E" w14:textId="77777777" w:rsidTr="00F27305">
        <w:trPr>
          <w:gridAfter w:val="2"/>
          <w:wAfter w:w="1980" w:type="dxa"/>
        </w:trPr>
        <w:tc>
          <w:tcPr>
            <w:tcW w:w="5479" w:type="dxa"/>
            <w:shd w:val="clear" w:color="auto" w:fill="auto"/>
            <w:vAlign w:val="center"/>
          </w:tcPr>
          <w:p w14:paraId="2D60AD24" w14:textId="77777777" w:rsidR="00FC56D0" w:rsidRPr="00E70587" w:rsidRDefault="00FC56D0" w:rsidP="00F27305">
            <w:pPr>
              <w:pStyle w:val="tabletxthd"/>
              <w:spacing w:before="0" w:line="280" w:lineRule="exact"/>
              <w:rPr>
                <w:rFonts w:ascii="Arial" w:hAnsi="Arial" w:cs="Arial"/>
                <w:noProof w:val="0"/>
                <w:color w:val="auto"/>
                <w:sz w:val="20"/>
              </w:rPr>
            </w:pPr>
            <w:r w:rsidRPr="00E70587">
              <w:rPr>
                <w:rFonts w:ascii="Arial" w:hAnsi="Arial" w:cs="Arial"/>
                <w:noProof w:val="0"/>
                <w:color w:val="auto"/>
                <w:sz w:val="20"/>
              </w:rPr>
              <w:t>DISCONTINUED OPERATIONS</w:t>
            </w:r>
          </w:p>
        </w:tc>
        <w:tc>
          <w:tcPr>
            <w:tcW w:w="1049" w:type="dxa"/>
            <w:gridSpan w:val="2"/>
            <w:shd w:val="clear" w:color="auto" w:fill="auto"/>
            <w:vAlign w:val="center"/>
          </w:tcPr>
          <w:p w14:paraId="70DF1884" w14:textId="77777777" w:rsidR="00FC56D0" w:rsidRPr="00E70587" w:rsidRDefault="00FC56D0" w:rsidP="00F27305">
            <w:pPr>
              <w:pStyle w:val="index"/>
              <w:spacing w:before="0" w:line="280" w:lineRule="exact"/>
              <w:jc w:val="center"/>
              <w:rPr>
                <w:rFonts w:ascii="Arial" w:hAnsi="Arial" w:cs="Arial"/>
                <w:color w:val="auto"/>
                <w:sz w:val="20"/>
                <w:szCs w:val="20"/>
                <w:lang w:val="en-IN"/>
              </w:rPr>
            </w:pPr>
          </w:p>
        </w:tc>
        <w:tc>
          <w:tcPr>
            <w:tcW w:w="1524" w:type="dxa"/>
            <w:gridSpan w:val="2"/>
            <w:shd w:val="clear" w:color="auto" w:fill="auto"/>
            <w:tcMar>
              <w:right w:w="108" w:type="dxa"/>
            </w:tcMar>
            <w:vAlign w:val="bottom"/>
          </w:tcPr>
          <w:p w14:paraId="39BC6302" w14:textId="77777777" w:rsidR="00FC56D0" w:rsidRPr="00E70587" w:rsidRDefault="00FC56D0" w:rsidP="00F27305">
            <w:pPr>
              <w:pStyle w:val="tabletxts"/>
              <w:tabs>
                <w:tab w:val="decimal" w:pos="1062"/>
              </w:tabs>
              <w:spacing w:before="0" w:line="280" w:lineRule="exact"/>
              <w:jc w:val="right"/>
              <w:rPr>
                <w:rFonts w:ascii="Arial" w:hAnsi="Arial" w:cs="Arial"/>
                <w:noProof w:val="0"/>
                <w:color w:val="auto"/>
                <w:sz w:val="20"/>
              </w:rPr>
            </w:pPr>
          </w:p>
        </w:tc>
        <w:tc>
          <w:tcPr>
            <w:tcW w:w="1524" w:type="dxa"/>
            <w:gridSpan w:val="2"/>
            <w:shd w:val="clear" w:color="auto" w:fill="auto"/>
            <w:tcMar>
              <w:right w:w="108" w:type="dxa"/>
            </w:tcMar>
            <w:vAlign w:val="bottom"/>
          </w:tcPr>
          <w:p w14:paraId="0B2F22AA" w14:textId="77777777" w:rsidR="00FC56D0" w:rsidRPr="00E70587" w:rsidRDefault="00FC56D0" w:rsidP="00F27305">
            <w:pPr>
              <w:pStyle w:val="tabletxts"/>
              <w:tabs>
                <w:tab w:val="clear" w:pos="778"/>
                <w:tab w:val="decimal" w:pos="1118"/>
              </w:tabs>
              <w:spacing w:before="0" w:line="280" w:lineRule="exact"/>
              <w:jc w:val="right"/>
              <w:rPr>
                <w:rFonts w:ascii="Arial" w:hAnsi="Arial" w:cs="Arial"/>
                <w:noProof w:val="0"/>
                <w:color w:val="auto"/>
                <w:sz w:val="20"/>
              </w:rPr>
            </w:pPr>
          </w:p>
        </w:tc>
      </w:tr>
      <w:tr w:rsidR="00FC56D0" w:rsidRPr="00E70587" w14:paraId="254AC5E9" w14:textId="77777777" w:rsidTr="00F27305">
        <w:trPr>
          <w:gridAfter w:val="2"/>
          <w:wAfter w:w="1980" w:type="dxa"/>
        </w:trPr>
        <w:tc>
          <w:tcPr>
            <w:tcW w:w="5479" w:type="dxa"/>
          </w:tcPr>
          <w:p w14:paraId="1589F14A" w14:textId="77777777" w:rsidR="00FC56D0" w:rsidRPr="00E70587" w:rsidRDefault="00FC56D0" w:rsidP="00F27305">
            <w:pPr>
              <w:pStyle w:val="tabletxtns"/>
              <w:spacing w:before="0" w:line="280" w:lineRule="exact"/>
              <w:rPr>
                <w:rFonts w:ascii="Arial" w:hAnsi="Arial" w:cs="Arial"/>
                <w:color w:val="auto"/>
                <w:sz w:val="20"/>
              </w:rPr>
            </w:pPr>
          </w:p>
        </w:tc>
        <w:tc>
          <w:tcPr>
            <w:tcW w:w="1049" w:type="dxa"/>
            <w:gridSpan w:val="2"/>
          </w:tcPr>
          <w:p w14:paraId="67FA6538" w14:textId="77777777" w:rsidR="00FC56D0" w:rsidRPr="00E70587" w:rsidRDefault="00FC56D0" w:rsidP="00F27305">
            <w:pPr>
              <w:pStyle w:val="tablenotes"/>
              <w:spacing w:before="0" w:line="280" w:lineRule="exact"/>
              <w:jc w:val="center"/>
              <w:rPr>
                <w:rFonts w:ascii="Arial" w:hAnsi="Arial" w:cs="Arial"/>
                <w:color w:val="auto"/>
                <w:sz w:val="20"/>
              </w:rPr>
            </w:pPr>
          </w:p>
        </w:tc>
        <w:tc>
          <w:tcPr>
            <w:tcW w:w="1524" w:type="dxa"/>
            <w:gridSpan w:val="2"/>
            <w:tcMar>
              <w:right w:w="108" w:type="dxa"/>
            </w:tcMar>
            <w:vAlign w:val="bottom"/>
          </w:tcPr>
          <w:p w14:paraId="0C09FE2C" w14:textId="77777777" w:rsidR="00FC56D0" w:rsidRPr="00E70587" w:rsidRDefault="00FC56D0" w:rsidP="00F27305">
            <w:pPr>
              <w:pStyle w:val="tabletxts"/>
              <w:tabs>
                <w:tab w:val="decimal" w:pos="1062"/>
              </w:tabs>
              <w:spacing w:before="0" w:line="280" w:lineRule="exact"/>
              <w:jc w:val="right"/>
              <w:rPr>
                <w:rFonts w:ascii="Arial" w:hAnsi="Arial" w:cs="Arial"/>
                <w:noProof w:val="0"/>
                <w:color w:val="auto"/>
                <w:sz w:val="20"/>
              </w:rPr>
            </w:pPr>
          </w:p>
        </w:tc>
        <w:tc>
          <w:tcPr>
            <w:tcW w:w="1524" w:type="dxa"/>
            <w:gridSpan w:val="2"/>
            <w:tcMar>
              <w:right w:w="108" w:type="dxa"/>
            </w:tcMar>
            <w:vAlign w:val="bottom"/>
          </w:tcPr>
          <w:p w14:paraId="766895E1" w14:textId="77777777" w:rsidR="00FC56D0" w:rsidRPr="00E70587" w:rsidRDefault="00FC56D0" w:rsidP="00F27305">
            <w:pPr>
              <w:pStyle w:val="tabletxts"/>
              <w:tabs>
                <w:tab w:val="clear" w:pos="778"/>
                <w:tab w:val="decimal" w:pos="1118"/>
              </w:tabs>
              <w:spacing w:before="0" w:line="280" w:lineRule="exact"/>
              <w:jc w:val="right"/>
              <w:rPr>
                <w:rFonts w:ascii="Arial" w:hAnsi="Arial" w:cs="Arial"/>
                <w:noProof w:val="0"/>
                <w:color w:val="auto"/>
                <w:sz w:val="20"/>
              </w:rPr>
            </w:pPr>
          </w:p>
        </w:tc>
      </w:tr>
      <w:tr w:rsidR="00316BDD" w:rsidRPr="00E70587" w14:paraId="30F03D41" w14:textId="77777777" w:rsidTr="00F27305">
        <w:trPr>
          <w:gridAfter w:val="2"/>
          <w:wAfter w:w="1980" w:type="dxa"/>
        </w:trPr>
        <w:tc>
          <w:tcPr>
            <w:tcW w:w="5479" w:type="dxa"/>
            <w:vAlign w:val="center"/>
          </w:tcPr>
          <w:p w14:paraId="40974826" w14:textId="77777777" w:rsidR="00316BDD" w:rsidRPr="00E70587" w:rsidRDefault="00316BDD" w:rsidP="00F2730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Profit/(loss) before tax for the year from discontinued operations</w:t>
            </w:r>
          </w:p>
        </w:tc>
        <w:tc>
          <w:tcPr>
            <w:tcW w:w="1049" w:type="dxa"/>
            <w:gridSpan w:val="2"/>
            <w:vAlign w:val="bottom"/>
          </w:tcPr>
          <w:p w14:paraId="06B79EBE" w14:textId="77777777" w:rsidR="00316BDD" w:rsidRPr="00E70587" w:rsidRDefault="00316BDD" w:rsidP="00F27305">
            <w:pPr>
              <w:pStyle w:val="tablenotes"/>
              <w:tabs>
                <w:tab w:val="clear" w:pos="439"/>
              </w:tabs>
              <w:spacing w:before="0" w:line="280" w:lineRule="exact"/>
              <w:jc w:val="center"/>
              <w:rPr>
                <w:rFonts w:ascii="Arial" w:hAnsi="Arial" w:cs="Arial"/>
                <w:color w:val="auto"/>
                <w:sz w:val="20"/>
              </w:rPr>
            </w:pPr>
            <w:r w:rsidRPr="00E70587">
              <w:rPr>
                <w:rFonts w:ascii="Arial" w:hAnsi="Arial" w:cs="Arial"/>
                <w:sz w:val="20"/>
              </w:rPr>
              <w:t>21</w:t>
            </w:r>
          </w:p>
        </w:tc>
        <w:tc>
          <w:tcPr>
            <w:tcW w:w="1524" w:type="dxa"/>
            <w:gridSpan w:val="2"/>
            <w:tcMar>
              <w:right w:w="108" w:type="dxa"/>
            </w:tcMar>
            <w:vAlign w:val="bottom"/>
          </w:tcPr>
          <w:p w14:paraId="4D5196B2" w14:textId="77777777" w:rsidR="00316BDD" w:rsidRPr="00E70587" w:rsidRDefault="00316BDD" w:rsidP="00F27305">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383</w:t>
            </w:r>
          </w:p>
        </w:tc>
        <w:tc>
          <w:tcPr>
            <w:tcW w:w="1524" w:type="dxa"/>
            <w:gridSpan w:val="2"/>
            <w:tcMar>
              <w:right w:w="0" w:type="dxa"/>
            </w:tcMar>
            <w:vAlign w:val="bottom"/>
          </w:tcPr>
          <w:p w14:paraId="4E0F02EE" w14:textId="77777777" w:rsidR="00316BDD" w:rsidRPr="00E70587" w:rsidRDefault="00316BDD" w:rsidP="00F27305">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(347)</w:t>
            </w:r>
          </w:p>
        </w:tc>
      </w:tr>
      <w:tr w:rsidR="00FC56D0" w:rsidRPr="00E70587" w14:paraId="0944859A" w14:textId="77777777" w:rsidTr="00F27305">
        <w:trPr>
          <w:gridAfter w:val="2"/>
          <w:wAfter w:w="1980" w:type="dxa"/>
        </w:trPr>
        <w:tc>
          <w:tcPr>
            <w:tcW w:w="5479" w:type="dxa"/>
            <w:vAlign w:val="center"/>
          </w:tcPr>
          <w:p w14:paraId="0B6AA375" w14:textId="77777777" w:rsidR="00FC56D0" w:rsidRPr="00E70587" w:rsidRDefault="00FC56D0" w:rsidP="00F27305">
            <w:pPr>
              <w:pStyle w:val="tabletext"/>
              <w:spacing w:line="280" w:lineRule="exact"/>
              <w:rPr>
                <w:rFonts w:ascii="Arial" w:hAnsi="Arial" w:cs="Arial"/>
                <w:sz w:val="20"/>
                <w:lang w:val="en-IN"/>
              </w:rPr>
            </w:pPr>
            <w:r w:rsidRPr="00E70587">
              <w:rPr>
                <w:rFonts w:ascii="Arial" w:hAnsi="Arial" w:cs="Arial"/>
                <w:sz w:val="20"/>
                <w:lang w:val="en-IN"/>
              </w:rPr>
              <w:t>Tax Income/ (expense) of discontinued operations</w:t>
            </w:r>
          </w:p>
        </w:tc>
        <w:tc>
          <w:tcPr>
            <w:tcW w:w="1049" w:type="dxa"/>
            <w:gridSpan w:val="2"/>
            <w:vAlign w:val="bottom"/>
          </w:tcPr>
          <w:p w14:paraId="150D85DD" w14:textId="77777777" w:rsidR="00FC56D0" w:rsidRPr="00E70587" w:rsidRDefault="00FC56D0" w:rsidP="00F27305">
            <w:pPr>
              <w:pStyle w:val="tablenotes"/>
              <w:tabs>
                <w:tab w:val="clear" w:pos="439"/>
              </w:tabs>
              <w:spacing w:before="0" w:line="280" w:lineRule="exact"/>
              <w:jc w:val="center"/>
              <w:rPr>
                <w:rFonts w:ascii="Arial" w:hAnsi="Arial" w:cs="Arial"/>
                <w:color w:val="auto"/>
                <w:sz w:val="20"/>
              </w:rPr>
            </w:pPr>
          </w:p>
        </w:tc>
        <w:tc>
          <w:tcPr>
            <w:tcW w:w="1524" w:type="dxa"/>
            <w:gridSpan w:val="2"/>
            <w:tcBorders>
              <w:bottom w:val="single" w:sz="2" w:space="0" w:color="auto"/>
            </w:tcBorders>
            <w:tcMar>
              <w:right w:w="108" w:type="dxa"/>
            </w:tcMar>
            <w:vAlign w:val="bottom"/>
          </w:tcPr>
          <w:p w14:paraId="42D53844" w14:textId="77777777" w:rsidR="00FC56D0" w:rsidRPr="00E70587" w:rsidRDefault="00FC56D0" w:rsidP="00F27305">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13</w:t>
            </w:r>
          </w:p>
        </w:tc>
        <w:tc>
          <w:tcPr>
            <w:tcW w:w="1524" w:type="dxa"/>
            <w:gridSpan w:val="2"/>
            <w:tcBorders>
              <w:bottom w:val="single" w:sz="2" w:space="0" w:color="auto"/>
            </w:tcBorders>
            <w:tcMar>
              <w:right w:w="0" w:type="dxa"/>
            </w:tcMar>
            <w:vAlign w:val="bottom"/>
          </w:tcPr>
          <w:p w14:paraId="08DC5F66" w14:textId="77777777" w:rsidR="00FC56D0" w:rsidRPr="00E70587" w:rsidRDefault="00FC56D0" w:rsidP="00F27305">
            <w:pPr>
              <w:overflowPunct/>
              <w:spacing w:line="280" w:lineRule="exact"/>
              <w:ind w:right="90"/>
              <w:jc w:val="right"/>
              <w:textAlignment w:val="auto"/>
              <w:rPr>
                <w:rFonts w:ascii="Arial" w:hAnsi="Arial" w:cs="Arial"/>
                <w:sz w:val="20"/>
                <w:lang w:eastAsia="en-GB"/>
              </w:rPr>
            </w:pPr>
            <w:r w:rsidRPr="00E70587">
              <w:rPr>
                <w:rFonts w:ascii="Arial" w:hAnsi="Arial" w:cs="Arial"/>
                <w:sz w:val="20"/>
                <w:lang w:eastAsia="en-GB"/>
              </w:rPr>
              <w:t>9</w:t>
            </w:r>
          </w:p>
        </w:tc>
      </w:tr>
      <w:tr w:rsidR="00650D92" w:rsidRPr="00E70587" w14:paraId="5E391155" w14:textId="77777777" w:rsidTr="00F27305">
        <w:trPr>
          <w:gridAfter w:val="2"/>
          <w:wAfter w:w="1980" w:type="dxa"/>
        </w:trPr>
        <w:tc>
          <w:tcPr>
            <w:tcW w:w="5479" w:type="dxa"/>
            <w:vAlign w:val="center"/>
          </w:tcPr>
          <w:p w14:paraId="24C62B9B" w14:textId="77777777" w:rsidR="00650D92" w:rsidRPr="00E70587" w:rsidRDefault="00650D92" w:rsidP="00F27305">
            <w:pPr>
              <w:pStyle w:val="tabletext"/>
              <w:spacing w:line="280" w:lineRule="exact"/>
              <w:rPr>
                <w:rFonts w:ascii="Arial" w:hAnsi="Arial" w:cs="Arial"/>
                <w:b/>
                <w:sz w:val="20"/>
                <w:lang w:val="en-IN"/>
              </w:rPr>
            </w:pPr>
            <w:r w:rsidRPr="00E70587">
              <w:rPr>
                <w:rFonts w:ascii="Arial" w:hAnsi="Arial" w:cs="Arial"/>
                <w:b/>
                <w:sz w:val="20"/>
              </w:rPr>
              <w:t>Profit/(loss) from discontinued operations</w:t>
            </w:r>
          </w:p>
        </w:tc>
        <w:tc>
          <w:tcPr>
            <w:tcW w:w="1049" w:type="dxa"/>
            <w:gridSpan w:val="2"/>
            <w:vAlign w:val="bottom"/>
          </w:tcPr>
          <w:p w14:paraId="618397CC" w14:textId="77777777" w:rsidR="00650D92" w:rsidRPr="00E70587" w:rsidRDefault="00650D92" w:rsidP="00F27305">
            <w:pPr>
              <w:pStyle w:val="tablenotes"/>
              <w:tabs>
                <w:tab w:val="clear" w:pos="439"/>
              </w:tabs>
              <w:spacing w:before="0" w:line="280" w:lineRule="exact"/>
              <w:jc w:val="center"/>
              <w:rPr>
                <w:rFonts w:ascii="Arial" w:hAnsi="Arial" w:cs="Arial"/>
                <w:b/>
                <w:color w:val="auto"/>
                <w:sz w:val="20"/>
              </w:rPr>
            </w:pPr>
          </w:p>
        </w:tc>
        <w:tc>
          <w:tcPr>
            <w:tcW w:w="1524" w:type="dxa"/>
            <w:gridSpan w:val="2"/>
            <w:tcBorders>
              <w:bottom w:val="single" w:sz="2" w:space="0" w:color="auto"/>
            </w:tcBorders>
            <w:tcMar>
              <w:right w:w="108" w:type="dxa"/>
            </w:tcMar>
            <w:vAlign w:val="bottom"/>
          </w:tcPr>
          <w:p w14:paraId="106359AF" w14:textId="77777777" w:rsidR="00650D92" w:rsidRPr="00E70587" w:rsidRDefault="00650D92" w:rsidP="00F27305">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396</w:t>
            </w:r>
          </w:p>
        </w:tc>
        <w:tc>
          <w:tcPr>
            <w:tcW w:w="1524" w:type="dxa"/>
            <w:gridSpan w:val="2"/>
            <w:tcBorders>
              <w:bottom w:val="single" w:sz="2" w:space="0" w:color="auto"/>
            </w:tcBorders>
            <w:tcMar>
              <w:right w:w="0" w:type="dxa"/>
            </w:tcMar>
            <w:vAlign w:val="bottom"/>
          </w:tcPr>
          <w:p w14:paraId="4E74499E" w14:textId="77777777" w:rsidR="00650D92" w:rsidRPr="00E70587" w:rsidRDefault="00650D92" w:rsidP="00F27305">
            <w:pPr>
              <w:overflowPunct/>
              <w:spacing w:line="280" w:lineRule="exact"/>
              <w:ind w:right="90"/>
              <w:jc w:val="right"/>
              <w:textAlignment w:val="auto"/>
              <w:rPr>
                <w:rFonts w:ascii="Arial" w:hAnsi="Arial" w:cs="Arial"/>
                <w:b/>
                <w:sz w:val="20"/>
                <w:lang w:eastAsia="en-GB"/>
              </w:rPr>
            </w:pPr>
            <w:r w:rsidRPr="00E70587">
              <w:rPr>
                <w:rFonts w:ascii="Arial" w:hAnsi="Arial" w:cs="Arial"/>
                <w:b/>
                <w:sz w:val="20"/>
                <w:lang w:eastAsia="en-GB"/>
              </w:rPr>
              <w:t>(338)</w:t>
            </w:r>
          </w:p>
        </w:tc>
      </w:tr>
      <w:tr w:rsidR="00650D92" w:rsidRPr="00E70587" w14:paraId="06C8DB1E" w14:textId="77777777" w:rsidTr="00F27305">
        <w:trPr>
          <w:gridAfter w:val="2"/>
          <w:wAfter w:w="1980" w:type="dxa"/>
        </w:trPr>
        <w:tc>
          <w:tcPr>
            <w:tcW w:w="5479" w:type="dxa"/>
            <w:vAlign w:val="center"/>
          </w:tcPr>
          <w:p w14:paraId="4E5AC90A" w14:textId="77777777" w:rsidR="00650D92" w:rsidRPr="00E70587" w:rsidRDefault="00650D92" w:rsidP="00F27305">
            <w:pPr>
              <w:pStyle w:val="tabletext"/>
              <w:spacing w:line="280" w:lineRule="exact"/>
              <w:rPr>
                <w:rFonts w:ascii="Arial" w:hAnsi="Arial" w:cs="Arial"/>
                <w:sz w:val="20"/>
                <w:lang w:val="en-IN"/>
              </w:rPr>
            </w:pPr>
          </w:p>
        </w:tc>
        <w:tc>
          <w:tcPr>
            <w:tcW w:w="1049" w:type="dxa"/>
            <w:gridSpan w:val="2"/>
            <w:vAlign w:val="bottom"/>
          </w:tcPr>
          <w:p w14:paraId="0BDF5256" w14:textId="77777777" w:rsidR="00650D92" w:rsidRPr="00E70587" w:rsidRDefault="00650D92" w:rsidP="00F27305">
            <w:pPr>
              <w:pStyle w:val="tablenotes"/>
              <w:tabs>
                <w:tab w:val="clear" w:pos="439"/>
              </w:tabs>
              <w:spacing w:before="0" w:line="280" w:lineRule="exact"/>
              <w:jc w:val="center"/>
              <w:rPr>
                <w:rFonts w:ascii="Arial" w:hAnsi="Arial" w:cs="Arial"/>
                <w:color w:val="auto"/>
                <w:sz w:val="20"/>
              </w:rPr>
            </w:pPr>
          </w:p>
        </w:tc>
        <w:tc>
          <w:tcPr>
            <w:tcW w:w="1524" w:type="dxa"/>
            <w:gridSpan w:val="2"/>
            <w:tcBorders>
              <w:bottom w:val="single" w:sz="2" w:space="0" w:color="auto"/>
            </w:tcBorders>
            <w:tcMar>
              <w:right w:w="108" w:type="dxa"/>
            </w:tcMar>
            <w:vAlign w:val="bottom"/>
          </w:tcPr>
          <w:p w14:paraId="11666E95" w14:textId="77777777" w:rsidR="00650D92" w:rsidRPr="00E70587" w:rsidRDefault="00650D92" w:rsidP="00F27305">
            <w:pPr>
              <w:overflowPunct/>
              <w:spacing w:line="280" w:lineRule="exact"/>
              <w:jc w:val="right"/>
              <w:textAlignment w:val="auto"/>
              <w:rPr>
                <w:rFonts w:ascii="Arial" w:hAnsi="Arial" w:cs="Arial"/>
                <w:sz w:val="20"/>
                <w:lang w:eastAsia="en-GB"/>
              </w:rPr>
            </w:pPr>
          </w:p>
        </w:tc>
        <w:tc>
          <w:tcPr>
            <w:tcW w:w="1524" w:type="dxa"/>
            <w:gridSpan w:val="2"/>
            <w:tcBorders>
              <w:bottom w:val="single" w:sz="2" w:space="0" w:color="auto"/>
            </w:tcBorders>
            <w:tcMar>
              <w:right w:w="0" w:type="dxa"/>
            </w:tcMar>
            <w:vAlign w:val="bottom"/>
          </w:tcPr>
          <w:p w14:paraId="21AD0C98" w14:textId="77777777" w:rsidR="00650D92" w:rsidRPr="00E70587" w:rsidRDefault="00650D92" w:rsidP="00F27305">
            <w:pPr>
              <w:overflowPunct/>
              <w:spacing w:line="280" w:lineRule="exact"/>
              <w:ind w:right="90"/>
              <w:jc w:val="right"/>
              <w:textAlignment w:val="auto"/>
              <w:rPr>
                <w:rFonts w:ascii="Arial" w:hAnsi="Arial" w:cs="Arial"/>
                <w:sz w:val="20"/>
                <w:lang w:eastAsia="en-GB"/>
              </w:rPr>
            </w:pPr>
          </w:p>
        </w:tc>
      </w:tr>
      <w:tr w:rsidR="00FC56D0" w:rsidRPr="00E70587" w14:paraId="7182F259" w14:textId="77777777" w:rsidTr="00F27305">
        <w:trPr>
          <w:gridAfter w:val="2"/>
          <w:wAfter w:w="1980" w:type="dxa"/>
        </w:trPr>
        <w:tc>
          <w:tcPr>
            <w:tcW w:w="5479" w:type="dxa"/>
            <w:shd w:val="clear" w:color="auto" w:fill="auto"/>
            <w:vAlign w:val="center"/>
          </w:tcPr>
          <w:p w14:paraId="628AD4B4" w14:textId="77777777" w:rsidR="00FC56D0" w:rsidRPr="00E70587" w:rsidRDefault="00FC56D0" w:rsidP="00F27305">
            <w:pPr>
              <w:pStyle w:val="tabletxtblue"/>
              <w:spacing w:before="0" w:after="0" w:line="280" w:lineRule="exact"/>
              <w:rPr>
                <w:rFonts w:ascii="Arial" w:hAnsi="Arial" w:cs="Arial"/>
                <w:color w:val="auto"/>
                <w:sz w:val="20"/>
              </w:rPr>
            </w:pPr>
            <w:r w:rsidRPr="00E70587">
              <w:rPr>
                <w:rFonts w:ascii="Arial" w:hAnsi="Arial" w:cs="Arial"/>
                <w:color w:val="auto"/>
                <w:sz w:val="20"/>
              </w:rPr>
              <w:t>Profit/(loss) for the year</w:t>
            </w:r>
          </w:p>
        </w:tc>
        <w:tc>
          <w:tcPr>
            <w:tcW w:w="1049" w:type="dxa"/>
            <w:gridSpan w:val="2"/>
            <w:shd w:val="clear" w:color="auto" w:fill="auto"/>
            <w:vAlign w:val="center"/>
          </w:tcPr>
          <w:p w14:paraId="030EF02F" w14:textId="77777777" w:rsidR="00FC56D0" w:rsidRPr="00E70587" w:rsidRDefault="00FC56D0" w:rsidP="00F27305">
            <w:pPr>
              <w:pStyle w:val="tablenotes"/>
              <w:spacing w:before="0" w:line="280" w:lineRule="exact"/>
              <w:jc w:val="center"/>
              <w:rPr>
                <w:rFonts w:ascii="Arial" w:hAnsi="Arial" w:cs="Arial"/>
                <w:b/>
                <w:color w:val="auto"/>
                <w:sz w:val="20"/>
              </w:rPr>
            </w:pPr>
          </w:p>
        </w:tc>
        <w:tc>
          <w:tcPr>
            <w:tcW w:w="1524" w:type="dxa"/>
            <w:gridSpan w:val="2"/>
            <w:tcBorders>
              <w:top w:val="single" w:sz="2" w:space="0" w:color="auto"/>
              <w:bottom w:val="double" w:sz="4" w:space="0" w:color="auto"/>
            </w:tcBorders>
            <w:shd w:val="clear" w:color="auto" w:fill="auto"/>
            <w:tcMar>
              <w:right w:w="108" w:type="dxa"/>
            </w:tcMar>
            <w:vAlign w:val="bottom"/>
          </w:tcPr>
          <w:p w14:paraId="6F20F90A" w14:textId="07D616FF" w:rsidR="00FC56D0" w:rsidRPr="00E70587" w:rsidRDefault="00FC56D0" w:rsidP="00F27305">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14,</w:t>
            </w:r>
            <w:r w:rsidR="00081346">
              <w:rPr>
                <w:rFonts w:ascii="Arial" w:hAnsi="Arial" w:cs="Arial"/>
                <w:b/>
                <w:sz w:val="20"/>
                <w:lang w:eastAsia="en-GB"/>
              </w:rPr>
              <w:t>715</w:t>
            </w:r>
          </w:p>
        </w:tc>
        <w:tc>
          <w:tcPr>
            <w:tcW w:w="1524" w:type="dxa"/>
            <w:gridSpan w:val="2"/>
            <w:tcBorders>
              <w:top w:val="single" w:sz="2" w:space="0" w:color="auto"/>
              <w:bottom w:val="double" w:sz="4" w:space="0" w:color="auto"/>
            </w:tcBorders>
            <w:shd w:val="clear" w:color="auto" w:fill="auto"/>
            <w:tcMar>
              <w:right w:w="108" w:type="dxa"/>
            </w:tcMar>
            <w:vAlign w:val="bottom"/>
          </w:tcPr>
          <w:p w14:paraId="5EFED6CA" w14:textId="77777777" w:rsidR="00FC56D0" w:rsidRPr="00E70587" w:rsidRDefault="00186662" w:rsidP="00F27305">
            <w:pPr>
              <w:overflowPunct/>
              <w:autoSpaceDE/>
              <w:autoSpaceDN/>
              <w:adjustRightInd/>
              <w:spacing w:line="240" w:lineRule="auto"/>
              <w:jc w:val="right"/>
              <w:textAlignment w:val="auto"/>
              <w:rPr>
                <w:rFonts w:ascii="Arial" w:hAnsi="Arial" w:cs="Arial"/>
                <w:b/>
                <w:color w:val="000000"/>
                <w:sz w:val="20"/>
                <w:lang w:eastAsia="en-IN"/>
              </w:rPr>
            </w:pPr>
            <w:r w:rsidRPr="00E70587">
              <w:rPr>
                <w:rFonts w:ascii="Arial" w:hAnsi="Arial" w:cs="Arial"/>
                <w:b/>
                <w:color w:val="000000"/>
                <w:sz w:val="20"/>
              </w:rPr>
              <w:t>10,29</w:t>
            </w:r>
            <w:r w:rsidR="00F14D9F" w:rsidRPr="00E70587">
              <w:rPr>
                <w:rFonts w:ascii="Arial" w:hAnsi="Arial" w:cs="Arial"/>
                <w:b/>
                <w:color w:val="000000"/>
                <w:sz w:val="20"/>
              </w:rPr>
              <w:t>2</w:t>
            </w:r>
          </w:p>
        </w:tc>
      </w:tr>
      <w:tr w:rsidR="00FC56D0" w:rsidRPr="00E70587" w14:paraId="245C5278" w14:textId="77777777" w:rsidTr="00F27305">
        <w:trPr>
          <w:gridAfter w:val="2"/>
          <w:wAfter w:w="1980" w:type="dxa"/>
        </w:trPr>
        <w:tc>
          <w:tcPr>
            <w:tcW w:w="5479" w:type="dxa"/>
          </w:tcPr>
          <w:p w14:paraId="479840E9" w14:textId="77777777" w:rsidR="00FC56D0" w:rsidRPr="00E70587" w:rsidRDefault="00FC56D0" w:rsidP="00F27305">
            <w:pPr>
              <w:pStyle w:val="tabletxtns"/>
              <w:spacing w:before="0" w:line="280" w:lineRule="exact"/>
              <w:rPr>
                <w:rFonts w:ascii="Arial" w:hAnsi="Arial" w:cs="Arial"/>
                <w:color w:val="auto"/>
                <w:sz w:val="20"/>
              </w:rPr>
            </w:pPr>
          </w:p>
        </w:tc>
        <w:tc>
          <w:tcPr>
            <w:tcW w:w="1049" w:type="dxa"/>
            <w:gridSpan w:val="2"/>
          </w:tcPr>
          <w:p w14:paraId="36FEF8CC" w14:textId="77777777" w:rsidR="00FC56D0" w:rsidRPr="00E70587" w:rsidRDefault="00FC56D0" w:rsidP="00F27305">
            <w:pPr>
              <w:pStyle w:val="tabletxtns"/>
              <w:spacing w:before="0" w:line="280" w:lineRule="exact"/>
              <w:jc w:val="center"/>
              <w:rPr>
                <w:rFonts w:ascii="Arial" w:hAnsi="Arial" w:cs="Arial"/>
                <w:color w:val="auto"/>
                <w:sz w:val="20"/>
              </w:rPr>
            </w:pPr>
          </w:p>
        </w:tc>
        <w:tc>
          <w:tcPr>
            <w:tcW w:w="1524" w:type="dxa"/>
            <w:gridSpan w:val="2"/>
            <w:tcBorders>
              <w:top w:val="double" w:sz="4" w:space="0" w:color="auto"/>
            </w:tcBorders>
            <w:tcMar>
              <w:right w:w="108" w:type="dxa"/>
            </w:tcMar>
            <w:vAlign w:val="bottom"/>
          </w:tcPr>
          <w:p w14:paraId="6E9B6EE4" w14:textId="77777777" w:rsidR="00FC56D0" w:rsidRPr="00E70587" w:rsidRDefault="00FC56D0" w:rsidP="00F27305">
            <w:pPr>
              <w:pStyle w:val="tabletxtns"/>
              <w:spacing w:before="0" w:line="280" w:lineRule="exact"/>
              <w:rPr>
                <w:rFonts w:ascii="Arial" w:hAnsi="Arial" w:cs="Arial"/>
                <w:color w:val="auto"/>
                <w:sz w:val="20"/>
              </w:rPr>
            </w:pPr>
          </w:p>
        </w:tc>
        <w:tc>
          <w:tcPr>
            <w:tcW w:w="1524" w:type="dxa"/>
            <w:gridSpan w:val="2"/>
            <w:tcBorders>
              <w:top w:val="double" w:sz="4" w:space="0" w:color="auto"/>
            </w:tcBorders>
            <w:tcMar>
              <w:right w:w="108" w:type="dxa"/>
            </w:tcMar>
            <w:vAlign w:val="bottom"/>
          </w:tcPr>
          <w:p w14:paraId="5BFA174A" w14:textId="77777777" w:rsidR="00FC56D0" w:rsidRPr="00E70587" w:rsidRDefault="00FC56D0" w:rsidP="00F27305">
            <w:pPr>
              <w:pStyle w:val="tabletxtns"/>
              <w:spacing w:before="0" w:line="280" w:lineRule="exact"/>
              <w:rPr>
                <w:rFonts w:ascii="Arial" w:hAnsi="Arial" w:cs="Arial"/>
                <w:color w:val="auto"/>
                <w:sz w:val="20"/>
              </w:rPr>
            </w:pPr>
          </w:p>
        </w:tc>
      </w:tr>
      <w:tr w:rsidR="00FC56D0" w:rsidRPr="00E70587" w14:paraId="331B70DB" w14:textId="77777777" w:rsidTr="00F27305">
        <w:trPr>
          <w:gridAfter w:val="2"/>
          <w:wAfter w:w="1980" w:type="dxa"/>
        </w:trPr>
        <w:tc>
          <w:tcPr>
            <w:tcW w:w="5479" w:type="dxa"/>
            <w:vAlign w:val="center"/>
          </w:tcPr>
          <w:p w14:paraId="04D47E3E" w14:textId="77777777" w:rsidR="00FC56D0" w:rsidRPr="00E70587" w:rsidRDefault="00FC56D0" w:rsidP="00F27305">
            <w:pPr>
              <w:pStyle w:val="tabletext"/>
              <w:spacing w:line="280" w:lineRule="exact"/>
              <w:rPr>
                <w:rFonts w:ascii="Arial" w:hAnsi="Arial" w:cs="Arial"/>
                <w:b/>
                <w:sz w:val="20"/>
                <w:lang w:val="en-IN"/>
              </w:rPr>
            </w:pPr>
            <w:r w:rsidRPr="00E70587">
              <w:rPr>
                <w:rFonts w:ascii="Arial" w:hAnsi="Arial" w:cs="Arial"/>
                <w:b/>
                <w:sz w:val="20"/>
                <w:lang w:val="en-IN"/>
              </w:rPr>
              <w:t>OTHER COMPREHENSIVE INCOME</w:t>
            </w:r>
          </w:p>
        </w:tc>
        <w:tc>
          <w:tcPr>
            <w:tcW w:w="1049" w:type="dxa"/>
            <w:gridSpan w:val="2"/>
            <w:vAlign w:val="center"/>
          </w:tcPr>
          <w:p w14:paraId="66FBD049" w14:textId="77777777" w:rsidR="00FC56D0" w:rsidRPr="00E70587" w:rsidRDefault="00FC56D0" w:rsidP="00F27305">
            <w:pPr>
              <w:pStyle w:val="tabletext"/>
              <w:spacing w:line="280" w:lineRule="exact"/>
              <w:jc w:val="center"/>
              <w:rPr>
                <w:rFonts w:ascii="Arial" w:hAnsi="Arial" w:cs="Arial"/>
                <w:sz w:val="20"/>
                <w:lang w:val="en-IN"/>
              </w:rPr>
            </w:pPr>
          </w:p>
        </w:tc>
        <w:tc>
          <w:tcPr>
            <w:tcW w:w="1524" w:type="dxa"/>
            <w:gridSpan w:val="2"/>
            <w:vAlign w:val="bottom"/>
          </w:tcPr>
          <w:p w14:paraId="65727076" w14:textId="77777777" w:rsidR="00FC56D0" w:rsidRPr="00E70587" w:rsidRDefault="00FC56D0" w:rsidP="00F27305">
            <w:pPr>
              <w:pStyle w:val="tabletext"/>
              <w:tabs>
                <w:tab w:val="decimal" w:pos="974"/>
              </w:tabs>
              <w:spacing w:line="280" w:lineRule="exact"/>
              <w:jc w:val="right"/>
              <w:rPr>
                <w:rFonts w:ascii="Arial" w:hAnsi="Arial" w:cs="Arial"/>
                <w:sz w:val="20"/>
                <w:lang w:val="en-IN"/>
              </w:rPr>
            </w:pPr>
          </w:p>
        </w:tc>
        <w:tc>
          <w:tcPr>
            <w:tcW w:w="1524" w:type="dxa"/>
            <w:gridSpan w:val="2"/>
            <w:vAlign w:val="bottom"/>
          </w:tcPr>
          <w:p w14:paraId="725146F1" w14:textId="77777777" w:rsidR="00FC56D0" w:rsidRPr="00E70587" w:rsidRDefault="00FC56D0" w:rsidP="00F27305">
            <w:pPr>
              <w:pStyle w:val="tabletext"/>
              <w:tabs>
                <w:tab w:val="decimal" w:pos="1022"/>
              </w:tabs>
              <w:spacing w:line="280" w:lineRule="exact"/>
              <w:jc w:val="right"/>
              <w:rPr>
                <w:rFonts w:ascii="Arial" w:hAnsi="Arial" w:cs="Arial"/>
                <w:sz w:val="20"/>
                <w:lang w:val="en-IN"/>
              </w:rPr>
            </w:pPr>
          </w:p>
        </w:tc>
      </w:tr>
      <w:tr w:rsidR="00FC56D0" w:rsidRPr="00E70587" w14:paraId="5F443F44" w14:textId="77777777" w:rsidTr="00F27305">
        <w:trPr>
          <w:gridAfter w:val="2"/>
          <w:wAfter w:w="1980" w:type="dxa"/>
        </w:trPr>
        <w:tc>
          <w:tcPr>
            <w:tcW w:w="5479" w:type="dxa"/>
            <w:vAlign w:val="bottom"/>
          </w:tcPr>
          <w:p w14:paraId="3EC54B37" w14:textId="3B3CDDFF" w:rsidR="00FC56D0" w:rsidRPr="00E70587" w:rsidRDefault="00FC56D0" w:rsidP="00F27305">
            <w:pPr>
              <w:pStyle w:val="Notesbodytext"/>
              <w:spacing w:after="0" w:line="280" w:lineRule="exact"/>
              <w:rPr>
                <w:rFonts w:ascii="Arial" w:hAnsi="Arial"/>
                <w:b/>
                <w:color w:val="auto"/>
                <w:sz w:val="20"/>
              </w:rPr>
            </w:pPr>
            <w:r w:rsidRPr="00E70587">
              <w:rPr>
                <w:rFonts w:ascii="Arial" w:hAnsi="Arial"/>
                <w:b/>
                <w:color w:val="auto"/>
                <w:sz w:val="20"/>
              </w:rPr>
              <w:t xml:space="preserve">Other comprehensive income to be reclassified to profit </w:t>
            </w:r>
            <w:r w:rsidR="00D64908">
              <w:rPr>
                <w:rFonts w:ascii="Arial" w:hAnsi="Arial"/>
                <w:b/>
                <w:color w:val="auto"/>
                <w:sz w:val="20"/>
              </w:rPr>
              <w:t>or</w:t>
            </w:r>
            <w:r w:rsidR="00065060" w:rsidRPr="00E70587">
              <w:rPr>
                <w:rFonts w:ascii="Arial" w:hAnsi="Arial"/>
                <w:b/>
                <w:color w:val="auto"/>
                <w:sz w:val="20"/>
              </w:rPr>
              <w:t xml:space="preserve"> </w:t>
            </w:r>
            <w:r w:rsidRPr="00E70587">
              <w:rPr>
                <w:rFonts w:ascii="Arial" w:hAnsi="Arial"/>
                <w:b/>
                <w:color w:val="auto"/>
                <w:sz w:val="20"/>
              </w:rPr>
              <w:t>loss in subsequent periods:</w:t>
            </w:r>
          </w:p>
        </w:tc>
        <w:tc>
          <w:tcPr>
            <w:tcW w:w="1049" w:type="dxa"/>
            <w:gridSpan w:val="2"/>
          </w:tcPr>
          <w:p w14:paraId="31E345A9" w14:textId="77777777" w:rsidR="00FC56D0" w:rsidRPr="00E70587" w:rsidRDefault="00FC56D0" w:rsidP="00F27305">
            <w:pPr>
              <w:spacing w:line="280" w:lineRule="exact"/>
              <w:jc w:val="center"/>
              <w:rPr>
                <w:rFonts w:ascii="Arial" w:hAnsi="Arial" w:cs="Arial"/>
                <w:sz w:val="20"/>
              </w:rPr>
            </w:pPr>
          </w:p>
        </w:tc>
        <w:tc>
          <w:tcPr>
            <w:tcW w:w="1524" w:type="dxa"/>
            <w:gridSpan w:val="2"/>
            <w:vAlign w:val="bottom"/>
          </w:tcPr>
          <w:p w14:paraId="76F44593" w14:textId="77777777" w:rsidR="00FC56D0" w:rsidRPr="00E70587" w:rsidRDefault="00FC56D0" w:rsidP="00F27305">
            <w:pPr>
              <w:tabs>
                <w:tab w:val="decimal" w:pos="974"/>
              </w:tabs>
              <w:spacing w:line="280" w:lineRule="exact"/>
              <w:jc w:val="right"/>
              <w:rPr>
                <w:rFonts w:ascii="Arial" w:hAnsi="Arial" w:cs="Arial"/>
                <w:sz w:val="20"/>
              </w:rPr>
            </w:pPr>
          </w:p>
        </w:tc>
        <w:tc>
          <w:tcPr>
            <w:tcW w:w="1524" w:type="dxa"/>
            <w:gridSpan w:val="2"/>
            <w:vAlign w:val="bottom"/>
          </w:tcPr>
          <w:p w14:paraId="141E08CC" w14:textId="77777777" w:rsidR="00FC56D0" w:rsidRPr="00E70587" w:rsidRDefault="00FC56D0" w:rsidP="00F27305">
            <w:pPr>
              <w:tabs>
                <w:tab w:val="decimal" w:pos="1022"/>
              </w:tabs>
              <w:spacing w:line="280" w:lineRule="exact"/>
              <w:jc w:val="right"/>
              <w:rPr>
                <w:rFonts w:ascii="Arial" w:hAnsi="Arial" w:cs="Arial"/>
                <w:sz w:val="20"/>
              </w:rPr>
            </w:pPr>
          </w:p>
        </w:tc>
      </w:tr>
      <w:tr w:rsidR="00FC56D0" w:rsidRPr="00E70587" w14:paraId="712DFECA" w14:textId="77777777" w:rsidTr="00F27305">
        <w:trPr>
          <w:gridAfter w:val="2"/>
          <w:wAfter w:w="1980" w:type="dxa"/>
        </w:trPr>
        <w:tc>
          <w:tcPr>
            <w:tcW w:w="5479" w:type="dxa"/>
            <w:vAlign w:val="bottom"/>
          </w:tcPr>
          <w:p w14:paraId="583C06A4" w14:textId="77777777" w:rsidR="00FC56D0" w:rsidRPr="00E70587" w:rsidRDefault="00FC56D0" w:rsidP="00F27305">
            <w:pPr>
              <w:pStyle w:val="tabletext"/>
              <w:spacing w:line="280" w:lineRule="exact"/>
              <w:rPr>
                <w:rFonts w:ascii="Arial" w:hAnsi="Arial" w:cs="Arial"/>
                <w:sz w:val="20"/>
                <w:lang w:val="en-IN"/>
              </w:rPr>
            </w:pPr>
            <w:r w:rsidRPr="00E70587">
              <w:rPr>
                <w:rFonts w:ascii="Arial" w:hAnsi="Arial" w:cs="Arial"/>
                <w:sz w:val="20"/>
                <w:lang w:val="en-IN"/>
              </w:rPr>
              <w:t>Net gain on hedge of a net investment</w:t>
            </w:r>
          </w:p>
        </w:tc>
        <w:tc>
          <w:tcPr>
            <w:tcW w:w="1049" w:type="dxa"/>
            <w:gridSpan w:val="2"/>
          </w:tcPr>
          <w:p w14:paraId="11D7B3D9" w14:textId="77777777" w:rsidR="00FC56D0" w:rsidRPr="00E70587" w:rsidRDefault="00FC56D0" w:rsidP="00F27305">
            <w:pPr>
              <w:pStyle w:val="tabletext"/>
              <w:spacing w:line="280" w:lineRule="exact"/>
              <w:jc w:val="center"/>
              <w:rPr>
                <w:rFonts w:ascii="Arial" w:hAnsi="Arial" w:cs="Arial"/>
                <w:sz w:val="20"/>
                <w:lang w:val="en-IN"/>
              </w:rPr>
            </w:pPr>
            <w:r w:rsidRPr="00E70587">
              <w:rPr>
                <w:rFonts w:ascii="Arial" w:hAnsi="Arial" w:cs="Arial"/>
                <w:sz w:val="20"/>
                <w:lang w:val="en-IN"/>
              </w:rPr>
              <w:t>32</w:t>
            </w:r>
          </w:p>
        </w:tc>
        <w:tc>
          <w:tcPr>
            <w:tcW w:w="1524" w:type="dxa"/>
            <w:gridSpan w:val="2"/>
            <w:vAlign w:val="bottom"/>
          </w:tcPr>
          <w:p w14:paraId="1B1B3F63"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500</w:t>
            </w:r>
          </w:p>
        </w:tc>
        <w:tc>
          <w:tcPr>
            <w:tcW w:w="1524" w:type="dxa"/>
            <w:gridSpan w:val="2"/>
            <w:vAlign w:val="bottom"/>
          </w:tcPr>
          <w:p w14:paraId="7F5B6B3D"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w:t>
            </w:r>
          </w:p>
        </w:tc>
      </w:tr>
      <w:tr w:rsidR="00FC56D0" w:rsidRPr="00E70587" w14:paraId="25D36BC1" w14:textId="77777777" w:rsidTr="00F27305">
        <w:trPr>
          <w:gridAfter w:val="2"/>
          <w:wAfter w:w="1980" w:type="dxa"/>
        </w:trPr>
        <w:tc>
          <w:tcPr>
            <w:tcW w:w="5479" w:type="dxa"/>
            <w:vAlign w:val="bottom"/>
          </w:tcPr>
          <w:p w14:paraId="0C948080" w14:textId="77777777" w:rsidR="00FC56D0" w:rsidRPr="00E70587" w:rsidRDefault="00FC56D0" w:rsidP="00F27305">
            <w:pPr>
              <w:pStyle w:val="tabletext"/>
              <w:spacing w:line="280" w:lineRule="exact"/>
              <w:rPr>
                <w:rFonts w:ascii="Arial" w:hAnsi="Arial" w:cs="Arial"/>
                <w:sz w:val="20"/>
                <w:lang w:val="en-IN"/>
              </w:rPr>
            </w:pPr>
            <w:r w:rsidRPr="00E70587">
              <w:rPr>
                <w:rFonts w:ascii="Arial" w:hAnsi="Arial" w:cs="Arial"/>
                <w:sz w:val="20"/>
                <w:lang w:val="en-IN"/>
              </w:rPr>
              <w:t>Income tax effect</w:t>
            </w:r>
          </w:p>
        </w:tc>
        <w:tc>
          <w:tcPr>
            <w:tcW w:w="1049" w:type="dxa"/>
            <w:gridSpan w:val="2"/>
          </w:tcPr>
          <w:p w14:paraId="38125E61" w14:textId="77777777" w:rsidR="00FC56D0" w:rsidRPr="00E70587" w:rsidRDefault="00FC56D0" w:rsidP="00F27305">
            <w:pPr>
              <w:pStyle w:val="tabletext"/>
              <w:spacing w:line="280" w:lineRule="exact"/>
              <w:jc w:val="center"/>
              <w:rPr>
                <w:rFonts w:ascii="Arial" w:hAnsi="Arial" w:cs="Arial"/>
                <w:sz w:val="20"/>
                <w:lang w:val="en-IN"/>
              </w:rPr>
            </w:pPr>
          </w:p>
        </w:tc>
        <w:tc>
          <w:tcPr>
            <w:tcW w:w="1524" w:type="dxa"/>
            <w:gridSpan w:val="2"/>
            <w:tcBorders>
              <w:bottom w:val="single" w:sz="4" w:space="0" w:color="auto"/>
            </w:tcBorders>
            <w:vAlign w:val="bottom"/>
          </w:tcPr>
          <w:p w14:paraId="33BB8BB3"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(149)</w:t>
            </w:r>
          </w:p>
        </w:tc>
        <w:tc>
          <w:tcPr>
            <w:tcW w:w="1524" w:type="dxa"/>
            <w:gridSpan w:val="2"/>
            <w:tcBorders>
              <w:bottom w:val="single" w:sz="4" w:space="0" w:color="auto"/>
            </w:tcBorders>
            <w:vAlign w:val="bottom"/>
          </w:tcPr>
          <w:p w14:paraId="3CEB3169"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w:t>
            </w:r>
          </w:p>
        </w:tc>
      </w:tr>
      <w:tr w:rsidR="00FC56D0" w:rsidRPr="00E70587" w14:paraId="78C43C5A" w14:textId="77777777" w:rsidTr="00F27305">
        <w:trPr>
          <w:gridAfter w:val="2"/>
          <w:wAfter w:w="1980" w:type="dxa"/>
        </w:trPr>
        <w:tc>
          <w:tcPr>
            <w:tcW w:w="5479" w:type="dxa"/>
            <w:vAlign w:val="bottom"/>
          </w:tcPr>
          <w:p w14:paraId="3AD98017" w14:textId="77777777" w:rsidR="00FC56D0" w:rsidRPr="00E70587" w:rsidRDefault="00FC56D0" w:rsidP="00F27305">
            <w:pPr>
              <w:pStyle w:val="tabletext"/>
              <w:spacing w:line="280" w:lineRule="exact"/>
              <w:rPr>
                <w:rFonts w:ascii="Arial" w:hAnsi="Arial" w:cs="Arial"/>
                <w:sz w:val="20"/>
                <w:lang w:val="en-IN"/>
              </w:rPr>
            </w:pPr>
          </w:p>
        </w:tc>
        <w:tc>
          <w:tcPr>
            <w:tcW w:w="1049" w:type="dxa"/>
            <w:gridSpan w:val="2"/>
          </w:tcPr>
          <w:p w14:paraId="4513B5F1" w14:textId="77777777" w:rsidR="00FC56D0" w:rsidRPr="00E70587" w:rsidRDefault="00FC56D0" w:rsidP="00F27305">
            <w:pPr>
              <w:pStyle w:val="tabletext"/>
              <w:spacing w:line="280" w:lineRule="exact"/>
              <w:jc w:val="center"/>
              <w:rPr>
                <w:rFonts w:ascii="Arial" w:hAnsi="Arial" w:cs="Arial"/>
                <w:sz w:val="20"/>
                <w:lang w:val="en-IN"/>
              </w:rPr>
            </w:pPr>
          </w:p>
        </w:tc>
        <w:tc>
          <w:tcPr>
            <w:tcW w:w="1524" w:type="dxa"/>
            <w:gridSpan w:val="2"/>
            <w:tcBorders>
              <w:top w:val="single" w:sz="4" w:space="0" w:color="auto"/>
            </w:tcBorders>
            <w:vAlign w:val="bottom"/>
          </w:tcPr>
          <w:p w14:paraId="2037B23F"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351</w:t>
            </w:r>
          </w:p>
        </w:tc>
        <w:tc>
          <w:tcPr>
            <w:tcW w:w="1524" w:type="dxa"/>
            <w:gridSpan w:val="2"/>
            <w:tcBorders>
              <w:top w:val="single" w:sz="4" w:space="0" w:color="auto"/>
            </w:tcBorders>
            <w:vAlign w:val="bottom"/>
          </w:tcPr>
          <w:p w14:paraId="13BDF09C"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w:t>
            </w:r>
          </w:p>
        </w:tc>
      </w:tr>
      <w:tr w:rsidR="00FC56D0" w:rsidRPr="00E70587" w14:paraId="61FC6651" w14:textId="77777777" w:rsidTr="00F27305">
        <w:trPr>
          <w:gridAfter w:val="2"/>
          <w:wAfter w:w="1980" w:type="dxa"/>
        </w:trPr>
        <w:tc>
          <w:tcPr>
            <w:tcW w:w="5479" w:type="dxa"/>
            <w:vAlign w:val="bottom"/>
          </w:tcPr>
          <w:p w14:paraId="1B4C44EE" w14:textId="77777777" w:rsidR="00FC56D0" w:rsidRPr="00E70587" w:rsidRDefault="00FC56D0" w:rsidP="00F27305">
            <w:pPr>
              <w:pStyle w:val="tabletxtns"/>
              <w:spacing w:before="0" w:line="280" w:lineRule="exact"/>
              <w:rPr>
                <w:rFonts w:ascii="Arial" w:hAnsi="Arial" w:cs="Arial"/>
                <w:color w:val="auto"/>
                <w:sz w:val="20"/>
              </w:rPr>
            </w:pPr>
          </w:p>
        </w:tc>
        <w:tc>
          <w:tcPr>
            <w:tcW w:w="1049" w:type="dxa"/>
            <w:gridSpan w:val="2"/>
          </w:tcPr>
          <w:p w14:paraId="57FD183B" w14:textId="77777777" w:rsidR="00FC56D0" w:rsidRPr="00E70587" w:rsidRDefault="00FC56D0" w:rsidP="00F27305">
            <w:pPr>
              <w:pStyle w:val="tabletxtns"/>
              <w:spacing w:before="0" w:line="280" w:lineRule="exact"/>
              <w:jc w:val="center"/>
              <w:rPr>
                <w:rFonts w:ascii="Arial" w:hAnsi="Arial" w:cs="Arial"/>
                <w:color w:val="auto"/>
                <w:sz w:val="20"/>
              </w:rPr>
            </w:pPr>
          </w:p>
        </w:tc>
        <w:tc>
          <w:tcPr>
            <w:tcW w:w="1524" w:type="dxa"/>
            <w:gridSpan w:val="2"/>
            <w:vAlign w:val="bottom"/>
          </w:tcPr>
          <w:p w14:paraId="23976AFF" w14:textId="77777777" w:rsidR="00FC56D0" w:rsidRPr="00E70587" w:rsidRDefault="00FC56D0" w:rsidP="00F27305">
            <w:pPr>
              <w:pStyle w:val="tabletxtns"/>
              <w:spacing w:before="0" w:line="280" w:lineRule="exact"/>
              <w:rPr>
                <w:rFonts w:ascii="Arial" w:hAnsi="Arial" w:cs="Arial"/>
                <w:color w:val="auto"/>
                <w:sz w:val="20"/>
              </w:rPr>
            </w:pPr>
          </w:p>
        </w:tc>
        <w:tc>
          <w:tcPr>
            <w:tcW w:w="1524" w:type="dxa"/>
            <w:gridSpan w:val="2"/>
            <w:vAlign w:val="bottom"/>
          </w:tcPr>
          <w:p w14:paraId="02F09122" w14:textId="77777777" w:rsidR="00FC56D0" w:rsidRPr="00E70587" w:rsidRDefault="00FC56D0" w:rsidP="00F27305">
            <w:pPr>
              <w:pStyle w:val="tabletxtns"/>
              <w:spacing w:before="0" w:line="280" w:lineRule="exact"/>
              <w:rPr>
                <w:rFonts w:ascii="Arial" w:hAnsi="Arial" w:cs="Arial"/>
                <w:color w:val="auto"/>
                <w:sz w:val="20"/>
              </w:rPr>
            </w:pPr>
          </w:p>
        </w:tc>
      </w:tr>
      <w:tr w:rsidR="00FC56D0" w:rsidRPr="00E70587" w14:paraId="0AC521A2" w14:textId="77777777" w:rsidTr="00F27305">
        <w:trPr>
          <w:gridAfter w:val="2"/>
          <w:wAfter w:w="1980" w:type="dxa"/>
        </w:trPr>
        <w:tc>
          <w:tcPr>
            <w:tcW w:w="5479" w:type="dxa"/>
            <w:vAlign w:val="bottom"/>
          </w:tcPr>
          <w:p w14:paraId="2AEE2EA3" w14:textId="77777777" w:rsidR="00FC56D0" w:rsidRPr="00E70587" w:rsidRDefault="00FC56D0" w:rsidP="00F27305">
            <w:pPr>
              <w:pStyle w:val="tabletext"/>
              <w:spacing w:line="280" w:lineRule="exact"/>
              <w:rPr>
                <w:rFonts w:ascii="Arial" w:hAnsi="Arial" w:cs="Arial"/>
                <w:sz w:val="20"/>
                <w:lang w:val="en-IN"/>
              </w:rPr>
            </w:pPr>
            <w:r w:rsidRPr="00E70587">
              <w:rPr>
                <w:rFonts w:ascii="Arial" w:hAnsi="Arial" w:cs="Arial"/>
                <w:sz w:val="20"/>
                <w:lang w:val="en-IN"/>
              </w:rPr>
              <w:t xml:space="preserve">Exchange differences on translation of foreign operations </w:t>
            </w:r>
          </w:p>
        </w:tc>
        <w:tc>
          <w:tcPr>
            <w:tcW w:w="1049" w:type="dxa"/>
            <w:gridSpan w:val="2"/>
          </w:tcPr>
          <w:p w14:paraId="0E7FDB57" w14:textId="77777777" w:rsidR="00FC56D0" w:rsidRPr="00E70587" w:rsidRDefault="00FC56D0" w:rsidP="00F27305">
            <w:pPr>
              <w:pStyle w:val="tabletext"/>
              <w:spacing w:line="280" w:lineRule="exact"/>
              <w:jc w:val="center"/>
              <w:rPr>
                <w:rFonts w:ascii="Arial" w:hAnsi="Arial" w:cs="Arial"/>
                <w:sz w:val="20"/>
                <w:lang w:val="en-IN"/>
              </w:rPr>
            </w:pPr>
            <w:r w:rsidRPr="00E70587">
              <w:rPr>
                <w:rFonts w:ascii="Arial" w:hAnsi="Arial" w:cs="Arial"/>
                <w:sz w:val="20"/>
                <w:lang w:val="en-IN"/>
              </w:rPr>
              <w:t>32</w:t>
            </w:r>
          </w:p>
        </w:tc>
        <w:tc>
          <w:tcPr>
            <w:tcW w:w="1524" w:type="dxa"/>
            <w:gridSpan w:val="2"/>
            <w:vAlign w:val="bottom"/>
          </w:tcPr>
          <w:p w14:paraId="5A0E4DF4"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(443)</w:t>
            </w:r>
          </w:p>
        </w:tc>
        <w:tc>
          <w:tcPr>
            <w:tcW w:w="1524" w:type="dxa"/>
            <w:gridSpan w:val="2"/>
            <w:vAlign w:val="bottom"/>
          </w:tcPr>
          <w:p w14:paraId="71D17011"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(211)</w:t>
            </w:r>
          </w:p>
        </w:tc>
      </w:tr>
      <w:tr w:rsidR="00FC56D0" w:rsidRPr="00E70587" w14:paraId="6FE077F1" w14:textId="77777777" w:rsidTr="00F27305">
        <w:trPr>
          <w:gridAfter w:val="2"/>
          <w:wAfter w:w="1980" w:type="dxa"/>
        </w:trPr>
        <w:tc>
          <w:tcPr>
            <w:tcW w:w="5479" w:type="dxa"/>
            <w:vAlign w:val="bottom"/>
          </w:tcPr>
          <w:p w14:paraId="47A7F53B" w14:textId="77777777" w:rsidR="00FC56D0" w:rsidRPr="00E70587" w:rsidRDefault="00FC56D0" w:rsidP="00F27305">
            <w:pPr>
              <w:pStyle w:val="tabletext"/>
              <w:spacing w:line="280" w:lineRule="exact"/>
              <w:rPr>
                <w:rFonts w:ascii="Arial" w:hAnsi="Arial" w:cs="Arial"/>
                <w:sz w:val="20"/>
                <w:lang w:val="en-IN"/>
              </w:rPr>
            </w:pPr>
            <w:r w:rsidRPr="00E70587">
              <w:rPr>
                <w:rFonts w:ascii="Arial" w:hAnsi="Arial" w:cs="Arial"/>
                <w:sz w:val="20"/>
                <w:lang w:val="en-IN"/>
              </w:rPr>
              <w:t>Income tax effect</w:t>
            </w:r>
          </w:p>
        </w:tc>
        <w:tc>
          <w:tcPr>
            <w:tcW w:w="1049" w:type="dxa"/>
            <w:gridSpan w:val="2"/>
          </w:tcPr>
          <w:p w14:paraId="1177A6D0" w14:textId="77777777" w:rsidR="00FC56D0" w:rsidRPr="00E70587" w:rsidRDefault="00FC56D0" w:rsidP="00F27305">
            <w:pPr>
              <w:pStyle w:val="tabletext"/>
              <w:spacing w:line="280" w:lineRule="exact"/>
              <w:jc w:val="center"/>
              <w:rPr>
                <w:rFonts w:ascii="Arial" w:hAnsi="Arial" w:cs="Arial"/>
                <w:sz w:val="20"/>
                <w:lang w:val="en-IN"/>
              </w:rPr>
            </w:pPr>
          </w:p>
        </w:tc>
        <w:tc>
          <w:tcPr>
            <w:tcW w:w="1524" w:type="dxa"/>
            <w:gridSpan w:val="2"/>
            <w:tcBorders>
              <w:bottom w:val="single" w:sz="4" w:space="0" w:color="auto"/>
            </w:tcBorders>
            <w:vAlign w:val="bottom"/>
          </w:tcPr>
          <w:p w14:paraId="36472CE4"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w:t>
            </w:r>
          </w:p>
        </w:tc>
        <w:tc>
          <w:tcPr>
            <w:tcW w:w="1524" w:type="dxa"/>
            <w:gridSpan w:val="2"/>
            <w:tcBorders>
              <w:bottom w:val="single" w:sz="4" w:space="0" w:color="auto"/>
            </w:tcBorders>
            <w:vAlign w:val="center"/>
          </w:tcPr>
          <w:p w14:paraId="6391EA90"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w:t>
            </w:r>
          </w:p>
        </w:tc>
      </w:tr>
      <w:tr w:rsidR="00FC56D0" w:rsidRPr="00E70587" w14:paraId="54263BDC" w14:textId="77777777" w:rsidTr="00F27305">
        <w:trPr>
          <w:gridAfter w:val="2"/>
          <w:wAfter w:w="1980" w:type="dxa"/>
        </w:trPr>
        <w:tc>
          <w:tcPr>
            <w:tcW w:w="5479" w:type="dxa"/>
            <w:vAlign w:val="bottom"/>
          </w:tcPr>
          <w:p w14:paraId="11664C65" w14:textId="77777777" w:rsidR="00FC56D0" w:rsidRPr="00E70587" w:rsidRDefault="00FC56D0" w:rsidP="00F27305">
            <w:pPr>
              <w:pStyle w:val="tabletext"/>
              <w:spacing w:line="280" w:lineRule="exact"/>
              <w:rPr>
                <w:rFonts w:ascii="Arial" w:hAnsi="Arial" w:cs="Arial"/>
                <w:b/>
                <w:sz w:val="20"/>
                <w:lang w:val="en-IN"/>
              </w:rPr>
            </w:pPr>
          </w:p>
        </w:tc>
        <w:tc>
          <w:tcPr>
            <w:tcW w:w="1049" w:type="dxa"/>
            <w:gridSpan w:val="2"/>
          </w:tcPr>
          <w:p w14:paraId="1C8D6B47" w14:textId="77777777" w:rsidR="00FC56D0" w:rsidRPr="00E70587" w:rsidRDefault="00FC56D0" w:rsidP="00F27305">
            <w:pPr>
              <w:pStyle w:val="tabletext"/>
              <w:spacing w:line="280" w:lineRule="exact"/>
              <w:jc w:val="center"/>
              <w:rPr>
                <w:rFonts w:ascii="Arial" w:hAnsi="Arial" w:cs="Arial"/>
                <w:b/>
                <w:sz w:val="20"/>
                <w:lang w:val="en-IN"/>
              </w:rPr>
            </w:pPr>
          </w:p>
        </w:tc>
        <w:tc>
          <w:tcPr>
            <w:tcW w:w="1524" w:type="dxa"/>
            <w:gridSpan w:val="2"/>
            <w:tcBorders>
              <w:top w:val="single" w:sz="4" w:space="0" w:color="auto"/>
            </w:tcBorders>
            <w:vAlign w:val="bottom"/>
          </w:tcPr>
          <w:p w14:paraId="78593930" w14:textId="77777777" w:rsidR="00FC56D0" w:rsidRPr="00E70587" w:rsidRDefault="00FC56D0" w:rsidP="00F27305">
            <w:pPr>
              <w:spacing w:line="280" w:lineRule="exact"/>
              <w:jc w:val="right"/>
              <w:rPr>
                <w:rFonts w:ascii="Arial" w:hAnsi="Arial" w:cs="Arial"/>
                <w:b/>
                <w:sz w:val="20"/>
              </w:rPr>
            </w:pPr>
            <w:r w:rsidRPr="00E70587">
              <w:rPr>
                <w:rFonts w:ascii="Arial" w:hAnsi="Arial" w:cs="Arial"/>
                <w:b/>
                <w:sz w:val="20"/>
              </w:rPr>
              <w:t>(443)</w:t>
            </w:r>
          </w:p>
        </w:tc>
        <w:tc>
          <w:tcPr>
            <w:tcW w:w="1524" w:type="dxa"/>
            <w:gridSpan w:val="2"/>
            <w:tcBorders>
              <w:top w:val="single" w:sz="4" w:space="0" w:color="auto"/>
            </w:tcBorders>
            <w:vAlign w:val="center"/>
          </w:tcPr>
          <w:p w14:paraId="11F3E1B3" w14:textId="77777777" w:rsidR="00FC56D0" w:rsidRPr="00E70587" w:rsidRDefault="00FC56D0" w:rsidP="00F27305">
            <w:pPr>
              <w:spacing w:line="280" w:lineRule="exact"/>
              <w:jc w:val="right"/>
              <w:rPr>
                <w:rFonts w:ascii="Arial" w:hAnsi="Arial" w:cs="Arial"/>
                <w:b/>
                <w:sz w:val="20"/>
              </w:rPr>
            </w:pPr>
            <w:r w:rsidRPr="00E70587">
              <w:rPr>
                <w:rFonts w:ascii="Arial" w:hAnsi="Arial" w:cs="Arial"/>
                <w:b/>
                <w:sz w:val="20"/>
              </w:rPr>
              <w:t>(211)</w:t>
            </w:r>
          </w:p>
        </w:tc>
      </w:tr>
      <w:tr w:rsidR="00FC56D0" w:rsidRPr="00E70587" w14:paraId="284A86FA" w14:textId="77777777" w:rsidTr="00F27305">
        <w:trPr>
          <w:gridAfter w:val="2"/>
          <w:wAfter w:w="1980" w:type="dxa"/>
        </w:trPr>
        <w:tc>
          <w:tcPr>
            <w:tcW w:w="5479" w:type="dxa"/>
            <w:vAlign w:val="bottom"/>
          </w:tcPr>
          <w:p w14:paraId="59D34ABA" w14:textId="77777777" w:rsidR="00FC56D0" w:rsidRPr="00E70587" w:rsidRDefault="00FC56D0" w:rsidP="00F27305">
            <w:pPr>
              <w:pStyle w:val="tabletxtns"/>
              <w:spacing w:before="0" w:line="280" w:lineRule="exact"/>
              <w:rPr>
                <w:rFonts w:ascii="Arial" w:hAnsi="Arial" w:cs="Arial"/>
                <w:color w:val="auto"/>
                <w:sz w:val="20"/>
              </w:rPr>
            </w:pPr>
          </w:p>
        </w:tc>
        <w:tc>
          <w:tcPr>
            <w:tcW w:w="1049" w:type="dxa"/>
            <w:gridSpan w:val="2"/>
          </w:tcPr>
          <w:p w14:paraId="19E69950" w14:textId="77777777" w:rsidR="00FC56D0" w:rsidRPr="00E70587" w:rsidRDefault="00FC56D0" w:rsidP="00F27305">
            <w:pPr>
              <w:pStyle w:val="tabletxtns"/>
              <w:spacing w:before="0" w:line="280" w:lineRule="exact"/>
              <w:jc w:val="center"/>
              <w:rPr>
                <w:rFonts w:ascii="Arial" w:hAnsi="Arial" w:cs="Arial"/>
                <w:color w:val="auto"/>
                <w:sz w:val="20"/>
              </w:rPr>
            </w:pPr>
          </w:p>
        </w:tc>
        <w:tc>
          <w:tcPr>
            <w:tcW w:w="1524" w:type="dxa"/>
            <w:gridSpan w:val="2"/>
            <w:vAlign w:val="bottom"/>
          </w:tcPr>
          <w:p w14:paraId="3E946070" w14:textId="77777777" w:rsidR="00FC56D0" w:rsidRPr="00E70587" w:rsidRDefault="00FC56D0" w:rsidP="00F27305">
            <w:pPr>
              <w:pStyle w:val="tabletxtns"/>
              <w:spacing w:before="0" w:line="280" w:lineRule="exact"/>
              <w:rPr>
                <w:rFonts w:ascii="Arial" w:hAnsi="Arial" w:cs="Arial"/>
                <w:color w:val="auto"/>
                <w:sz w:val="20"/>
              </w:rPr>
            </w:pPr>
          </w:p>
        </w:tc>
        <w:tc>
          <w:tcPr>
            <w:tcW w:w="1524" w:type="dxa"/>
            <w:gridSpan w:val="2"/>
            <w:vAlign w:val="bottom"/>
          </w:tcPr>
          <w:p w14:paraId="5D448260" w14:textId="77777777" w:rsidR="00FC56D0" w:rsidRPr="00E70587" w:rsidRDefault="00FC56D0" w:rsidP="00F27305">
            <w:pPr>
              <w:pStyle w:val="tabletxtns"/>
              <w:spacing w:before="0" w:line="280" w:lineRule="exact"/>
              <w:rPr>
                <w:rFonts w:ascii="Arial" w:hAnsi="Arial" w:cs="Arial"/>
                <w:color w:val="auto"/>
                <w:sz w:val="20"/>
              </w:rPr>
            </w:pPr>
          </w:p>
        </w:tc>
      </w:tr>
      <w:tr w:rsidR="00FC56D0" w:rsidRPr="00E70587" w14:paraId="5F8AF71E" w14:textId="77777777" w:rsidTr="00F27305">
        <w:trPr>
          <w:gridAfter w:val="2"/>
          <w:wAfter w:w="1980" w:type="dxa"/>
        </w:trPr>
        <w:tc>
          <w:tcPr>
            <w:tcW w:w="5479" w:type="dxa"/>
            <w:vAlign w:val="bottom"/>
          </w:tcPr>
          <w:p w14:paraId="4E28E017" w14:textId="291D63AB" w:rsidR="00FC56D0" w:rsidRPr="00E70587" w:rsidRDefault="00FC56D0" w:rsidP="00F27305">
            <w:pPr>
              <w:pStyle w:val="tabletext"/>
              <w:spacing w:line="280" w:lineRule="exact"/>
              <w:rPr>
                <w:rFonts w:ascii="Arial" w:hAnsi="Arial" w:cs="Arial"/>
                <w:sz w:val="20"/>
                <w:lang w:val="en-IN"/>
              </w:rPr>
            </w:pPr>
            <w:r w:rsidRPr="00E70587">
              <w:rPr>
                <w:rFonts w:ascii="Arial" w:hAnsi="Arial" w:cs="Arial"/>
                <w:sz w:val="20"/>
                <w:lang w:val="en-IN"/>
              </w:rPr>
              <w:t xml:space="preserve">Net movement on </w:t>
            </w:r>
            <w:r w:rsidR="00320183" w:rsidRPr="00320183">
              <w:rPr>
                <w:rFonts w:ascii="Arial" w:hAnsi="Arial" w:cs="Arial"/>
                <w:sz w:val="20"/>
                <w:lang w:val="en-IN"/>
              </w:rPr>
              <w:t>Effective portion of cash flow hedges</w:t>
            </w:r>
          </w:p>
        </w:tc>
        <w:tc>
          <w:tcPr>
            <w:tcW w:w="1049" w:type="dxa"/>
            <w:gridSpan w:val="2"/>
          </w:tcPr>
          <w:p w14:paraId="11299FD6" w14:textId="77777777" w:rsidR="00FC56D0" w:rsidRPr="00E70587" w:rsidRDefault="00FC56D0" w:rsidP="00F27305">
            <w:pPr>
              <w:pStyle w:val="tabletext"/>
              <w:spacing w:line="280" w:lineRule="exact"/>
              <w:jc w:val="center"/>
              <w:rPr>
                <w:rFonts w:ascii="Arial" w:hAnsi="Arial" w:cs="Arial"/>
                <w:sz w:val="20"/>
                <w:lang w:val="en-IN"/>
              </w:rPr>
            </w:pPr>
            <w:r w:rsidRPr="00E70587">
              <w:rPr>
                <w:rFonts w:ascii="Arial" w:hAnsi="Arial" w:cs="Arial"/>
                <w:sz w:val="20"/>
                <w:lang w:val="en-IN"/>
              </w:rPr>
              <w:t>32</w:t>
            </w:r>
          </w:p>
        </w:tc>
        <w:tc>
          <w:tcPr>
            <w:tcW w:w="1524" w:type="dxa"/>
            <w:gridSpan w:val="2"/>
            <w:vAlign w:val="bottom"/>
          </w:tcPr>
          <w:p w14:paraId="04E5812E" w14:textId="67855D67" w:rsidR="00FC56D0" w:rsidRPr="00E70587" w:rsidRDefault="00FC56D0" w:rsidP="00F27305">
            <w:pPr>
              <w:spacing w:line="280" w:lineRule="exact"/>
              <w:jc w:val="right"/>
              <w:rPr>
                <w:rFonts w:ascii="Arial" w:hAnsi="Arial" w:cs="Arial"/>
                <w:sz w:val="20"/>
              </w:rPr>
            </w:pPr>
            <w:r w:rsidRPr="00E70587">
              <w:rPr>
                <w:rFonts w:ascii="Arial" w:hAnsi="Arial" w:cs="Arial"/>
                <w:sz w:val="20"/>
              </w:rPr>
              <w:t>(1,</w:t>
            </w:r>
            <w:r w:rsidR="00E766E2">
              <w:rPr>
                <w:rFonts w:ascii="Arial" w:hAnsi="Arial" w:cs="Arial"/>
                <w:sz w:val="20"/>
              </w:rPr>
              <w:t>589</w:t>
            </w:r>
            <w:r w:rsidRPr="00E70587">
              <w:rPr>
                <w:rFonts w:ascii="Arial" w:hAnsi="Arial" w:cs="Arial"/>
                <w:sz w:val="20"/>
              </w:rPr>
              <w:t>)</w:t>
            </w:r>
          </w:p>
        </w:tc>
        <w:tc>
          <w:tcPr>
            <w:tcW w:w="1524" w:type="dxa"/>
            <w:gridSpan w:val="2"/>
            <w:vAlign w:val="bottom"/>
          </w:tcPr>
          <w:p w14:paraId="73996A2B"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59</w:t>
            </w:r>
          </w:p>
        </w:tc>
      </w:tr>
      <w:tr w:rsidR="00FC56D0" w:rsidRPr="00E70587" w14:paraId="7D3CAE3F" w14:textId="77777777" w:rsidTr="00F27305">
        <w:trPr>
          <w:gridAfter w:val="2"/>
          <w:wAfter w:w="1980" w:type="dxa"/>
        </w:trPr>
        <w:tc>
          <w:tcPr>
            <w:tcW w:w="5479" w:type="dxa"/>
            <w:vAlign w:val="bottom"/>
          </w:tcPr>
          <w:p w14:paraId="713731B5" w14:textId="77777777" w:rsidR="00FC56D0" w:rsidRPr="00E70587" w:rsidRDefault="00FC56D0" w:rsidP="00F27305">
            <w:pPr>
              <w:pStyle w:val="tabletext"/>
              <w:spacing w:line="280" w:lineRule="exact"/>
              <w:rPr>
                <w:rFonts w:ascii="Arial" w:hAnsi="Arial" w:cs="Arial"/>
                <w:sz w:val="20"/>
                <w:lang w:val="en-IN"/>
              </w:rPr>
            </w:pPr>
            <w:r w:rsidRPr="00E70587">
              <w:rPr>
                <w:rFonts w:ascii="Arial" w:hAnsi="Arial" w:cs="Arial"/>
                <w:sz w:val="20"/>
                <w:lang w:val="en-IN"/>
              </w:rPr>
              <w:t>Income tax effect</w:t>
            </w:r>
          </w:p>
        </w:tc>
        <w:tc>
          <w:tcPr>
            <w:tcW w:w="1049" w:type="dxa"/>
            <w:gridSpan w:val="2"/>
          </w:tcPr>
          <w:p w14:paraId="6D7AD799" w14:textId="77777777" w:rsidR="00FC56D0" w:rsidRPr="00E70587" w:rsidRDefault="00FC56D0" w:rsidP="00F27305">
            <w:pPr>
              <w:pStyle w:val="tabletext"/>
              <w:spacing w:line="280" w:lineRule="exact"/>
              <w:jc w:val="center"/>
              <w:rPr>
                <w:rFonts w:ascii="Arial" w:hAnsi="Arial" w:cs="Arial"/>
                <w:sz w:val="20"/>
                <w:lang w:val="en-IN"/>
              </w:rPr>
            </w:pPr>
          </w:p>
        </w:tc>
        <w:tc>
          <w:tcPr>
            <w:tcW w:w="1524" w:type="dxa"/>
            <w:gridSpan w:val="2"/>
            <w:tcBorders>
              <w:bottom w:val="single" w:sz="2" w:space="0" w:color="auto"/>
            </w:tcBorders>
            <w:vAlign w:val="bottom"/>
          </w:tcPr>
          <w:p w14:paraId="1CAE09B0" w14:textId="025D20CC" w:rsidR="00FC56D0" w:rsidRPr="00E70587" w:rsidRDefault="00E766E2" w:rsidP="00F27305">
            <w:pPr>
              <w:spacing w:line="280" w:lineRule="exact"/>
              <w:jc w:val="right"/>
              <w:rPr>
                <w:rFonts w:ascii="Arial" w:hAnsi="Arial" w:cs="Arial"/>
                <w:sz w:val="20"/>
              </w:rPr>
            </w:pPr>
            <w:r>
              <w:rPr>
                <w:rFonts w:ascii="Arial" w:hAnsi="Arial" w:cs="Arial"/>
                <w:sz w:val="20"/>
              </w:rPr>
              <w:t>477</w:t>
            </w:r>
          </w:p>
        </w:tc>
        <w:tc>
          <w:tcPr>
            <w:tcW w:w="1524" w:type="dxa"/>
            <w:gridSpan w:val="2"/>
            <w:tcBorders>
              <w:bottom w:val="single" w:sz="2" w:space="0" w:color="auto"/>
            </w:tcBorders>
            <w:vAlign w:val="bottom"/>
          </w:tcPr>
          <w:p w14:paraId="5BB65737" w14:textId="77777777" w:rsidR="00FC56D0" w:rsidRPr="00E70587" w:rsidRDefault="00FC56D0" w:rsidP="00F27305">
            <w:pPr>
              <w:spacing w:line="280" w:lineRule="exact"/>
              <w:jc w:val="right"/>
              <w:rPr>
                <w:rFonts w:ascii="Arial" w:hAnsi="Arial" w:cs="Arial"/>
                <w:sz w:val="20"/>
              </w:rPr>
            </w:pPr>
            <w:r w:rsidRPr="00E70587">
              <w:rPr>
                <w:rFonts w:ascii="Arial" w:hAnsi="Arial" w:cs="Arial"/>
                <w:sz w:val="20"/>
              </w:rPr>
              <w:t>(16)</w:t>
            </w:r>
          </w:p>
        </w:tc>
      </w:tr>
      <w:tr w:rsidR="00FC56D0" w:rsidRPr="00E70587" w14:paraId="018A1855" w14:textId="77777777" w:rsidTr="00F27305">
        <w:trPr>
          <w:gridAfter w:val="2"/>
          <w:wAfter w:w="1980" w:type="dxa"/>
        </w:trPr>
        <w:tc>
          <w:tcPr>
            <w:tcW w:w="5479" w:type="dxa"/>
            <w:vAlign w:val="bottom"/>
          </w:tcPr>
          <w:p w14:paraId="1BF59BDA" w14:textId="77777777" w:rsidR="00FC56D0" w:rsidRPr="00E70587" w:rsidRDefault="00FC56D0" w:rsidP="00F27305">
            <w:pPr>
              <w:pStyle w:val="tabletext"/>
              <w:spacing w:line="280" w:lineRule="exact"/>
              <w:rPr>
                <w:rFonts w:ascii="Arial" w:hAnsi="Arial" w:cs="Arial"/>
                <w:b/>
                <w:sz w:val="20"/>
                <w:lang w:val="en-IN"/>
              </w:rPr>
            </w:pPr>
          </w:p>
        </w:tc>
        <w:tc>
          <w:tcPr>
            <w:tcW w:w="1049" w:type="dxa"/>
            <w:gridSpan w:val="2"/>
          </w:tcPr>
          <w:p w14:paraId="3868C280" w14:textId="77777777" w:rsidR="00FC56D0" w:rsidRPr="00E70587" w:rsidRDefault="00FC56D0" w:rsidP="00F27305">
            <w:pPr>
              <w:pStyle w:val="tabletext"/>
              <w:spacing w:line="280" w:lineRule="exact"/>
              <w:jc w:val="center"/>
              <w:rPr>
                <w:rFonts w:ascii="Arial" w:hAnsi="Arial" w:cs="Arial"/>
                <w:b/>
                <w:sz w:val="20"/>
                <w:lang w:val="en-IN"/>
              </w:rPr>
            </w:pPr>
          </w:p>
        </w:tc>
        <w:tc>
          <w:tcPr>
            <w:tcW w:w="1524" w:type="dxa"/>
            <w:gridSpan w:val="2"/>
            <w:tcBorders>
              <w:top w:val="single" w:sz="2" w:space="0" w:color="auto"/>
            </w:tcBorders>
            <w:vAlign w:val="bottom"/>
          </w:tcPr>
          <w:p w14:paraId="25FA8D35" w14:textId="49BFE68F" w:rsidR="00FC56D0" w:rsidRPr="00E70587" w:rsidRDefault="00FC56D0" w:rsidP="00F27305">
            <w:pPr>
              <w:spacing w:line="280" w:lineRule="exact"/>
              <w:jc w:val="right"/>
              <w:rPr>
                <w:rFonts w:ascii="Arial" w:hAnsi="Arial" w:cs="Arial"/>
                <w:b/>
                <w:sz w:val="20"/>
              </w:rPr>
            </w:pPr>
            <w:r w:rsidRPr="00E70587">
              <w:rPr>
                <w:rFonts w:ascii="Arial" w:hAnsi="Arial" w:cs="Arial"/>
                <w:b/>
                <w:sz w:val="20"/>
              </w:rPr>
              <w:t>(</w:t>
            </w:r>
            <w:r w:rsidR="00F360F9">
              <w:rPr>
                <w:rFonts w:ascii="Arial" w:hAnsi="Arial" w:cs="Arial"/>
                <w:b/>
                <w:sz w:val="20"/>
              </w:rPr>
              <w:t>1,112</w:t>
            </w:r>
            <w:r w:rsidRPr="00E70587">
              <w:rPr>
                <w:rFonts w:ascii="Arial" w:hAnsi="Arial" w:cs="Arial"/>
                <w:b/>
                <w:sz w:val="20"/>
              </w:rPr>
              <w:t>)</w:t>
            </w:r>
          </w:p>
        </w:tc>
        <w:tc>
          <w:tcPr>
            <w:tcW w:w="1524" w:type="dxa"/>
            <w:gridSpan w:val="2"/>
            <w:tcBorders>
              <w:top w:val="single" w:sz="2" w:space="0" w:color="auto"/>
            </w:tcBorders>
            <w:vAlign w:val="bottom"/>
          </w:tcPr>
          <w:p w14:paraId="1807E287" w14:textId="77777777" w:rsidR="00FC56D0" w:rsidRPr="00E70587" w:rsidRDefault="00FC56D0" w:rsidP="00F27305">
            <w:pPr>
              <w:spacing w:line="280" w:lineRule="exact"/>
              <w:jc w:val="right"/>
              <w:rPr>
                <w:rFonts w:ascii="Arial" w:hAnsi="Arial" w:cs="Arial"/>
                <w:b/>
                <w:sz w:val="20"/>
              </w:rPr>
            </w:pPr>
            <w:r w:rsidRPr="00E70587">
              <w:rPr>
                <w:rFonts w:ascii="Arial" w:hAnsi="Arial" w:cs="Arial"/>
                <w:b/>
                <w:sz w:val="20"/>
              </w:rPr>
              <w:t>43</w:t>
            </w:r>
          </w:p>
        </w:tc>
      </w:tr>
      <w:tr w:rsidR="006535F4" w:rsidRPr="00E70587" w14:paraId="3703E0EC" w14:textId="77777777" w:rsidTr="00F27305">
        <w:tc>
          <w:tcPr>
            <w:tcW w:w="5479" w:type="dxa"/>
            <w:vAlign w:val="bottom"/>
          </w:tcPr>
          <w:p w14:paraId="2B0E3C83" w14:textId="77777777" w:rsidR="006535F4" w:rsidRPr="002D461E" w:rsidRDefault="006535F4" w:rsidP="00F27305">
            <w:pPr>
              <w:pStyle w:val="tabletxtns"/>
              <w:spacing w:before="0" w:line="280" w:lineRule="exact"/>
              <w:rPr>
                <w:szCs w:val="18"/>
              </w:rPr>
            </w:pPr>
          </w:p>
        </w:tc>
        <w:tc>
          <w:tcPr>
            <w:tcW w:w="1049" w:type="dxa"/>
            <w:gridSpan w:val="2"/>
          </w:tcPr>
          <w:p w14:paraId="5C34428F" w14:textId="77777777" w:rsidR="006535F4" w:rsidRDefault="006535F4" w:rsidP="00F27305">
            <w:pPr>
              <w:pStyle w:val="tabletxtns"/>
              <w:spacing w:before="0" w:line="280" w:lineRule="exact"/>
              <w:jc w:val="center"/>
              <w:rPr>
                <w:szCs w:val="18"/>
              </w:rPr>
            </w:pPr>
          </w:p>
        </w:tc>
        <w:tc>
          <w:tcPr>
            <w:tcW w:w="1524" w:type="dxa"/>
            <w:gridSpan w:val="2"/>
          </w:tcPr>
          <w:p w14:paraId="5BEA410A" w14:textId="77777777" w:rsidR="006535F4" w:rsidRPr="001C2782" w:rsidRDefault="006535F4" w:rsidP="00F27305">
            <w:pPr>
              <w:pStyle w:val="tabletxtns"/>
              <w:spacing w:before="0" w:line="280" w:lineRule="exact"/>
              <w:jc w:val="right"/>
              <w:rPr>
                <w:rFonts w:cs="Calibri"/>
                <w:szCs w:val="18"/>
              </w:rPr>
            </w:pPr>
          </w:p>
        </w:tc>
        <w:tc>
          <w:tcPr>
            <w:tcW w:w="1524" w:type="dxa"/>
            <w:gridSpan w:val="2"/>
          </w:tcPr>
          <w:p w14:paraId="44CDF559" w14:textId="77777777" w:rsidR="006535F4" w:rsidRPr="00E70587" w:rsidRDefault="006535F4" w:rsidP="00F27305">
            <w:pPr>
              <w:pStyle w:val="tabletxtns"/>
              <w:spacing w:before="0" w:line="280" w:lineRule="exact"/>
              <w:rPr>
                <w:rFonts w:ascii="Arial" w:hAnsi="Arial" w:cs="Arial"/>
                <w:color w:val="auto"/>
                <w:sz w:val="20"/>
              </w:rPr>
            </w:pPr>
          </w:p>
        </w:tc>
        <w:tc>
          <w:tcPr>
            <w:tcW w:w="990" w:type="dxa"/>
          </w:tcPr>
          <w:p w14:paraId="2C4A3392" w14:textId="77777777" w:rsidR="006535F4" w:rsidRPr="00E70587" w:rsidRDefault="006535F4" w:rsidP="00F27305">
            <w:pPr>
              <w:overflowPunct/>
              <w:autoSpaceDE/>
              <w:autoSpaceDN/>
              <w:adjustRightInd/>
              <w:spacing w:line="240" w:lineRule="auto"/>
              <w:textAlignment w:val="auto"/>
            </w:pPr>
          </w:p>
        </w:tc>
        <w:tc>
          <w:tcPr>
            <w:tcW w:w="990" w:type="dxa"/>
          </w:tcPr>
          <w:p w14:paraId="35A93285" w14:textId="77777777" w:rsidR="006535F4" w:rsidRPr="00E70587" w:rsidRDefault="006535F4" w:rsidP="00F27305">
            <w:pPr>
              <w:overflowPunct/>
              <w:autoSpaceDE/>
              <w:autoSpaceDN/>
              <w:adjustRightInd/>
              <w:spacing w:line="240" w:lineRule="auto"/>
              <w:textAlignment w:val="auto"/>
            </w:pPr>
          </w:p>
        </w:tc>
      </w:tr>
      <w:tr w:rsidR="0038413A" w:rsidRPr="00E70587" w14:paraId="07613FA0" w14:textId="77777777" w:rsidTr="002E7B6F">
        <w:trPr>
          <w:gridAfter w:val="2"/>
          <w:wAfter w:w="1980" w:type="dxa"/>
        </w:trPr>
        <w:tc>
          <w:tcPr>
            <w:tcW w:w="5479" w:type="dxa"/>
            <w:vAlign w:val="bottom"/>
          </w:tcPr>
          <w:p w14:paraId="045985F7" w14:textId="2A65D2A0" w:rsidR="0038413A" w:rsidRPr="00E70587" w:rsidRDefault="0038413A" w:rsidP="0038413A">
            <w:pPr>
              <w:pStyle w:val="tabletext"/>
              <w:spacing w:line="280" w:lineRule="exact"/>
              <w:rPr>
                <w:rFonts w:ascii="Arial" w:hAnsi="Arial" w:cs="Arial"/>
                <w:sz w:val="20"/>
                <w:lang w:val="en-IN"/>
              </w:rPr>
            </w:pPr>
            <w:r w:rsidRPr="00E70587">
              <w:rPr>
                <w:rFonts w:ascii="Arial" w:hAnsi="Arial" w:cs="Arial"/>
                <w:sz w:val="20"/>
                <w:lang w:val="en-IN"/>
              </w:rPr>
              <w:t xml:space="preserve">Net movement on </w:t>
            </w:r>
            <w:r w:rsidRPr="0038413A">
              <w:rPr>
                <w:rFonts w:ascii="Arial" w:hAnsi="Arial" w:cs="Arial"/>
                <w:sz w:val="20"/>
                <w:lang w:val="en-IN"/>
              </w:rPr>
              <w:t>cost of cash flow hedges</w:t>
            </w:r>
          </w:p>
        </w:tc>
        <w:tc>
          <w:tcPr>
            <w:tcW w:w="1049" w:type="dxa"/>
            <w:gridSpan w:val="2"/>
          </w:tcPr>
          <w:p w14:paraId="7974F792" w14:textId="77777777" w:rsidR="0038413A" w:rsidRPr="00E70587" w:rsidRDefault="0038413A" w:rsidP="0038413A">
            <w:pPr>
              <w:pStyle w:val="tabletext"/>
              <w:spacing w:line="280" w:lineRule="exact"/>
              <w:jc w:val="center"/>
              <w:rPr>
                <w:rFonts w:ascii="Arial" w:hAnsi="Arial" w:cs="Arial"/>
                <w:sz w:val="20"/>
                <w:lang w:val="en-IN"/>
              </w:rPr>
            </w:pPr>
            <w:r w:rsidRPr="00E70587">
              <w:rPr>
                <w:rFonts w:ascii="Arial" w:hAnsi="Arial" w:cs="Arial"/>
                <w:sz w:val="20"/>
                <w:lang w:val="en-IN"/>
              </w:rPr>
              <w:t>32</w:t>
            </w:r>
          </w:p>
        </w:tc>
        <w:tc>
          <w:tcPr>
            <w:tcW w:w="1524" w:type="dxa"/>
            <w:gridSpan w:val="2"/>
            <w:vAlign w:val="bottom"/>
          </w:tcPr>
          <w:p w14:paraId="174A87A4" w14:textId="03A20ECA" w:rsidR="0038413A" w:rsidRPr="00E70587" w:rsidRDefault="00B819D3" w:rsidP="0038413A">
            <w:pPr>
              <w:spacing w:line="280" w:lineRule="exact"/>
              <w:jc w:val="right"/>
              <w:rPr>
                <w:rFonts w:ascii="Arial" w:hAnsi="Arial" w:cs="Arial"/>
                <w:sz w:val="20"/>
              </w:rPr>
            </w:pPr>
            <w:r>
              <w:rPr>
                <w:rFonts w:ascii="Arial" w:hAnsi="Arial" w:cs="Arial"/>
                <w:sz w:val="20"/>
              </w:rPr>
              <w:t>(5</w:t>
            </w:r>
            <w:r w:rsidR="00E766E2">
              <w:rPr>
                <w:rFonts w:ascii="Arial" w:hAnsi="Arial" w:cs="Arial"/>
                <w:sz w:val="20"/>
              </w:rPr>
              <w:t>7</w:t>
            </w:r>
            <w:r>
              <w:rPr>
                <w:rFonts w:ascii="Arial" w:hAnsi="Arial" w:cs="Arial"/>
                <w:sz w:val="20"/>
              </w:rPr>
              <w:t>)</w:t>
            </w:r>
          </w:p>
        </w:tc>
        <w:tc>
          <w:tcPr>
            <w:tcW w:w="1524" w:type="dxa"/>
            <w:gridSpan w:val="2"/>
            <w:vAlign w:val="bottom"/>
          </w:tcPr>
          <w:p w14:paraId="21424BC3" w14:textId="25986186" w:rsidR="0038413A" w:rsidRPr="00E70587" w:rsidRDefault="0038413A" w:rsidP="0038413A">
            <w:pPr>
              <w:spacing w:line="280" w:lineRule="exact"/>
              <w:jc w:val="right"/>
              <w:rPr>
                <w:rFonts w:ascii="Arial" w:hAnsi="Arial" w:cs="Arial"/>
                <w:sz w:val="20"/>
              </w:rPr>
            </w:pPr>
            <w:r>
              <w:rPr>
                <w:rFonts w:ascii="Arial" w:hAnsi="Arial" w:cs="Arial"/>
                <w:sz w:val="20"/>
              </w:rPr>
              <w:t>-</w:t>
            </w:r>
          </w:p>
        </w:tc>
      </w:tr>
      <w:tr w:rsidR="0038413A" w:rsidRPr="00E70587" w14:paraId="346F6A1A" w14:textId="77777777" w:rsidTr="002E7B6F">
        <w:trPr>
          <w:gridAfter w:val="2"/>
          <w:wAfter w:w="1980" w:type="dxa"/>
        </w:trPr>
        <w:tc>
          <w:tcPr>
            <w:tcW w:w="5479" w:type="dxa"/>
            <w:vAlign w:val="bottom"/>
          </w:tcPr>
          <w:p w14:paraId="38D2910D" w14:textId="77777777" w:rsidR="0038413A" w:rsidRPr="00E70587" w:rsidRDefault="0038413A" w:rsidP="0038413A">
            <w:pPr>
              <w:pStyle w:val="tabletext"/>
              <w:spacing w:line="280" w:lineRule="exact"/>
              <w:rPr>
                <w:rFonts w:ascii="Arial" w:hAnsi="Arial" w:cs="Arial"/>
                <w:sz w:val="20"/>
                <w:lang w:val="en-IN"/>
              </w:rPr>
            </w:pPr>
            <w:r w:rsidRPr="00E70587">
              <w:rPr>
                <w:rFonts w:ascii="Arial" w:hAnsi="Arial" w:cs="Arial"/>
                <w:sz w:val="20"/>
                <w:lang w:val="en-IN"/>
              </w:rPr>
              <w:t>Income tax effect</w:t>
            </w:r>
          </w:p>
        </w:tc>
        <w:tc>
          <w:tcPr>
            <w:tcW w:w="1049" w:type="dxa"/>
            <w:gridSpan w:val="2"/>
          </w:tcPr>
          <w:p w14:paraId="011374D8" w14:textId="77777777" w:rsidR="0038413A" w:rsidRPr="00E70587" w:rsidRDefault="0038413A" w:rsidP="0038413A">
            <w:pPr>
              <w:pStyle w:val="tabletext"/>
              <w:spacing w:line="280" w:lineRule="exact"/>
              <w:jc w:val="center"/>
              <w:rPr>
                <w:rFonts w:ascii="Arial" w:hAnsi="Arial" w:cs="Arial"/>
                <w:sz w:val="20"/>
                <w:lang w:val="en-IN"/>
              </w:rPr>
            </w:pPr>
          </w:p>
        </w:tc>
        <w:tc>
          <w:tcPr>
            <w:tcW w:w="1524" w:type="dxa"/>
            <w:gridSpan w:val="2"/>
            <w:tcBorders>
              <w:bottom w:val="single" w:sz="2" w:space="0" w:color="auto"/>
            </w:tcBorders>
            <w:vAlign w:val="bottom"/>
          </w:tcPr>
          <w:p w14:paraId="62764321" w14:textId="4B7A7C1A" w:rsidR="0038413A" w:rsidRPr="00E70587" w:rsidRDefault="00B819D3" w:rsidP="0038413A">
            <w:pPr>
              <w:spacing w:line="280" w:lineRule="exact"/>
              <w:jc w:val="right"/>
              <w:rPr>
                <w:rFonts w:ascii="Arial" w:hAnsi="Arial" w:cs="Arial"/>
                <w:sz w:val="20"/>
              </w:rPr>
            </w:pPr>
            <w:r>
              <w:rPr>
                <w:rFonts w:ascii="Arial" w:hAnsi="Arial" w:cs="Arial"/>
                <w:sz w:val="20"/>
              </w:rPr>
              <w:t>1</w:t>
            </w:r>
            <w:r w:rsidR="00E766E2">
              <w:rPr>
                <w:rFonts w:ascii="Arial" w:hAnsi="Arial" w:cs="Arial"/>
                <w:sz w:val="20"/>
              </w:rPr>
              <w:t>7</w:t>
            </w:r>
          </w:p>
        </w:tc>
        <w:tc>
          <w:tcPr>
            <w:tcW w:w="1524" w:type="dxa"/>
            <w:gridSpan w:val="2"/>
            <w:tcBorders>
              <w:bottom w:val="single" w:sz="2" w:space="0" w:color="auto"/>
            </w:tcBorders>
            <w:vAlign w:val="bottom"/>
          </w:tcPr>
          <w:p w14:paraId="6DFA3FD3" w14:textId="685FB014" w:rsidR="0038413A" w:rsidRPr="00E70587" w:rsidRDefault="0038413A" w:rsidP="0038413A">
            <w:pPr>
              <w:spacing w:line="280" w:lineRule="exact"/>
              <w:jc w:val="right"/>
              <w:rPr>
                <w:rFonts w:ascii="Arial" w:hAnsi="Arial" w:cs="Arial"/>
                <w:sz w:val="20"/>
              </w:rPr>
            </w:pPr>
            <w:r>
              <w:rPr>
                <w:rFonts w:ascii="Arial" w:hAnsi="Arial" w:cs="Arial"/>
                <w:sz w:val="20"/>
              </w:rPr>
              <w:t>-</w:t>
            </w:r>
          </w:p>
        </w:tc>
      </w:tr>
      <w:tr w:rsidR="0038413A" w:rsidRPr="00E70587" w14:paraId="1071B605" w14:textId="77777777" w:rsidTr="002E7B6F">
        <w:trPr>
          <w:gridAfter w:val="2"/>
          <w:wAfter w:w="1980" w:type="dxa"/>
        </w:trPr>
        <w:tc>
          <w:tcPr>
            <w:tcW w:w="5479" w:type="dxa"/>
            <w:vAlign w:val="bottom"/>
          </w:tcPr>
          <w:p w14:paraId="31464961" w14:textId="77777777" w:rsidR="0038413A" w:rsidRPr="00E70587" w:rsidRDefault="0038413A" w:rsidP="0038413A">
            <w:pPr>
              <w:pStyle w:val="tabletext"/>
              <w:spacing w:line="280" w:lineRule="exact"/>
              <w:rPr>
                <w:rFonts w:ascii="Arial" w:hAnsi="Arial" w:cs="Arial"/>
                <w:b/>
                <w:sz w:val="20"/>
                <w:lang w:val="en-IN"/>
              </w:rPr>
            </w:pPr>
          </w:p>
        </w:tc>
        <w:tc>
          <w:tcPr>
            <w:tcW w:w="1049" w:type="dxa"/>
            <w:gridSpan w:val="2"/>
          </w:tcPr>
          <w:p w14:paraId="7079D139" w14:textId="77777777" w:rsidR="0038413A" w:rsidRPr="00E70587" w:rsidRDefault="0038413A" w:rsidP="0038413A">
            <w:pPr>
              <w:pStyle w:val="tabletext"/>
              <w:spacing w:line="280" w:lineRule="exact"/>
              <w:jc w:val="center"/>
              <w:rPr>
                <w:rFonts w:ascii="Arial" w:hAnsi="Arial" w:cs="Arial"/>
                <w:b/>
                <w:sz w:val="20"/>
                <w:lang w:val="en-IN"/>
              </w:rPr>
            </w:pPr>
          </w:p>
        </w:tc>
        <w:tc>
          <w:tcPr>
            <w:tcW w:w="1524" w:type="dxa"/>
            <w:gridSpan w:val="2"/>
            <w:tcBorders>
              <w:top w:val="single" w:sz="2" w:space="0" w:color="auto"/>
            </w:tcBorders>
            <w:vAlign w:val="bottom"/>
          </w:tcPr>
          <w:p w14:paraId="0C5C6063" w14:textId="46961529" w:rsidR="0038413A" w:rsidRPr="00E70587" w:rsidRDefault="00B819D3" w:rsidP="0038413A">
            <w:pPr>
              <w:spacing w:line="280" w:lineRule="exact"/>
              <w:jc w:val="right"/>
              <w:rPr>
                <w:rFonts w:ascii="Arial" w:hAnsi="Arial" w:cs="Arial"/>
                <w:b/>
                <w:sz w:val="20"/>
              </w:rPr>
            </w:pPr>
            <w:r>
              <w:rPr>
                <w:rFonts w:ascii="Arial" w:hAnsi="Arial" w:cs="Arial"/>
                <w:b/>
                <w:sz w:val="20"/>
              </w:rPr>
              <w:t>(</w:t>
            </w:r>
            <w:r w:rsidR="00E766E2">
              <w:rPr>
                <w:rFonts w:ascii="Arial" w:hAnsi="Arial" w:cs="Arial"/>
                <w:b/>
                <w:sz w:val="20"/>
              </w:rPr>
              <w:t>40</w:t>
            </w:r>
            <w:r>
              <w:rPr>
                <w:rFonts w:ascii="Arial" w:hAnsi="Arial" w:cs="Arial"/>
                <w:b/>
                <w:sz w:val="20"/>
              </w:rPr>
              <w:t>)</w:t>
            </w:r>
          </w:p>
        </w:tc>
        <w:tc>
          <w:tcPr>
            <w:tcW w:w="1524" w:type="dxa"/>
            <w:gridSpan w:val="2"/>
            <w:tcBorders>
              <w:top w:val="single" w:sz="2" w:space="0" w:color="auto"/>
            </w:tcBorders>
            <w:vAlign w:val="bottom"/>
          </w:tcPr>
          <w:p w14:paraId="4EEA6000" w14:textId="243D0BA6" w:rsidR="0038413A" w:rsidRPr="00E70587" w:rsidRDefault="0038413A" w:rsidP="0038413A">
            <w:pPr>
              <w:spacing w:line="280" w:lineRule="exact"/>
              <w:jc w:val="right"/>
              <w:rPr>
                <w:rFonts w:ascii="Arial" w:hAnsi="Arial" w:cs="Arial"/>
                <w:b/>
                <w:sz w:val="20"/>
              </w:rPr>
            </w:pPr>
            <w:r>
              <w:rPr>
                <w:rFonts w:ascii="Arial" w:hAnsi="Arial" w:cs="Arial"/>
                <w:b/>
                <w:sz w:val="20"/>
              </w:rPr>
              <w:t>-</w:t>
            </w:r>
          </w:p>
        </w:tc>
      </w:tr>
      <w:tr w:rsidR="00281D78" w:rsidRPr="004E7CB3" w14:paraId="744AB1ED" w14:textId="77777777" w:rsidTr="00F27305">
        <w:tc>
          <w:tcPr>
            <w:tcW w:w="5479" w:type="dxa"/>
            <w:vAlign w:val="bottom"/>
          </w:tcPr>
          <w:p w14:paraId="0C2EDC23" w14:textId="77777777" w:rsidR="00281D78" w:rsidRPr="004E7CB3" w:rsidRDefault="00281D78" w:rsidP="00F27305">
            <w:pPr>
              <w:pStyle w:val="tabletxtns"/>
              <w:spacing w:before="0" w:line="280" w:lineRule="exact"/>
              <w:rPr>
                <w:rFonts w:ascii="Arial" w:hAnsi="Arial" w:cs="Arial"/>
                <w:sz w:val="20"/>
              </w:rPr>
            </w:pPr>
          </w:p>
        </w:tc>
        <w:tc>
          <w:tcPr>
            <w:tcW w:w="1049" w:type="dxa"/>
            <w:gridSpan w:val="2"/>
          </w:tcPr>
          <w:p w14:paraId="7CBFCF47" w14:textId="77777777" w:rsidR="00281D78" w:rsidRPr="004E7CB3" w:rsidRDefault="00281D78" w:rsidP="00F27305">
            <w:pPr>
              <w:pStyle w:val="tabletxtns"/>
              <w:spacing w:before="0" w:line="280" w:lineRule="exact"/>
              <w:jc w:val="center"/>
              <w:rPr>
                <w:rFonts w:ascii="Arial" w:hAnsi="Arial" w:cs="Arial"/>
                <w:sz w:val="20"/>
              </w:rPr>
            </w:pPr>
          </w:p>
        </w:tc>
        <w:tc>
          <w:tcPr>
            <w:tcW w:w="1524" w:type="dxa"/>
            <w:gridSpan w:val="2"/>
          </w:tcPr>
          <w:p w14:paraId="657FC935" w14:textId="77777777" w:rsidR="00281D78" w:rsidRPr="004E7CB3" w:rsidRDefault="00281D78" w:rsidP="00F27305">
            <w:pPr>
              <w:pStyle w:val="tabletxtns"/>
              <w:spacing w:before="0" w:line="280" w:lineRule="exact"/>
              <w:jc w:val="right"/>
              <w:rPr>
                <w:rFonts w:ascii="Arial" w:hAnsi="Arial" w:cs="Arial"/>
                <w:sz w:val="20"/>
              </w:rPr>
            </w:pPr>
          </w:p>
        </w:tc>
        <w:tc>
          <w:tcPr>
            <w:tcW w:w="1524" w:type="dxa"/>
            <w:gridSpan w:val="2"/>
          </w:tcPr>
          <w:p w14:paraId="7256DE2D" w14:textId="77777777" w:rsidR="00281D78" w:rsidRPr="004E7CB3" w:rsidRDefault="00281D78" w:rsidP="00F27305">
            <w:pPr>
              <w:pStyle w:val="tabletxtns"/>
              <w:spacing w:before="0" w:line="280" w:lineRule="exact"/>
              <w:rPr>
                <w:rFonts w:ascii="Arial" w:hAnsi="Arial" w:cs="Arial"/>
                <w:color w:val="auto"/>
                <w:sz w:val="20"/>
              </w:rPr>
            </w:pPr>
          </w:p>
        </w:tc>
        <w:tc>
          <w:tcPr>
            <w:tcW w:w="990" w:type="dxa"/>
          </w:tcPr>
          <w:p w14:paraId="09966215" w14:textId="77777777" w:rsidR="00281D78" w:rsidRPr="004E7CB3" w:rsidRDefault="00281D78" w:rsidP="00F27305">
            <w:pPr>
              <w:overflowPunct/>
              <w:autoSpaceDE/>
              <w:autoSpaceDN/>
              <w:adjustRightInd/>
              <w:spacing w:line="240" w:lineRule="auto"/>
              <w:textAlignment w:val="auto"/>
              <w:rPr>
                <w:rFonts w:ascii="Arial" w:hAnsi="Arial" w:cs="Arial"/>
                <w:sz w:val="20"/>
              </w:rPr>
            </w:pPr>
          </w:p>
        </w:tc>
        <w:tc>
          <w:tcPr>
            <w:tcW w:w="990" w:type="dxa"/>
          </w:tcPr>
          <w:p w14:paraId="693D6B4F" w14:textId="77777777" w:rsidR="00281D78" w:rsidRPr="004E7CB3" w:rsidRDefault="00281D78" w:rsidP="00F27305">
            <w:pPr>
              <w:overflowPunct/>
              <w:autoSpaceDE/>
              <w:autoSpaceDN/>
              <w:adjustRightInd/>
              <w:spacing w:line="240" w:lineRule="auto"/>
              <w:textAlignment w:val="auto"/>
              <w:rPr>
                <w:rFonts w:ascii="Arial" w:hAnsi="Arial" w:cs="Arial"/>
                <w:sz w:val="20"/>
              </w:rPr>
            </w:pPr>
          </w:p>
        </w:tc>
      </w:tr>
      <w:tr w:rsidR="00055AE6" w:rsidRPr="004E7CB3" w14:paraId="0827A624" w14:textId="72E167B5" w:rsidTr="00FF32A7">
        <w:tc>
          <w:tcPr>
            <w:tcW w:w="5479" w:type="dxa"/>
            <w:vAlign w:val="bottom"/>
          </w:tcPr>
          <w:p w14:paraId="01967DFD" w14:textId="66B916D1" w:rsidR="00055AE6" w:rsidRPr="004E7CB3" w:rsidRDefault="00055AE6" w:rsidP="00055AE6">
            <w:pPr>
              <w:pStyle w:val="tabletxtns"/>
              <w:spacing w:before="0" w:line="280" w:lineRule="exact"/>
              <w:rPr>
                <w:rFonts w:ascii="Arial" w:hAnsi="Arial" w:cs="Arial"/>
                <w:color w:val="auto"/>
                <w:sz w:val="20"/>
              </w:rPr>
            </w:pPr>
            <w:r w:rsidRPr="004E7CB3">
              <w:rPr>
                <w:rFonts w:ascii="Arial" w:hAnsi="Arial" w:cs="Arial"/>
                <w:sz w:val="20"/>
              </w:rPr>
              <w:t>Share of other comprehensive loss of an associate</w:t>
            </w:r>
          </w:p>
        </w:tc>
        <w:tc>
          <w:tcPr>
            <w:tcW w:w="1049" w:type="dxa"/>
            <w:gridSpan w:val="2"/>
          </w:tcPr>
          <w:p w14:paraId="056C080A" w14:textId="55EA8137" w:rsidR="00055AE6" w:rsidRPr="004E7CB3" w:rsidRDefault="00055AE6" w:rsidP="00055AE6">
            <w:pPr>
              <w:pStyle w:val="tabletxtns"/>
              <w:spacing w:before="0" w:line="280" w:lineRule="exact"/>
              <w:jc w:val="center"/>
              <w:rPr>
                <w:rFonts w:ascii="Arial" w:hAnsi="Arial" w:cs="Arial"/>
                <w:color w:val="auto"/>
                <w:sz w:val="20"/>
              </w:rPr>
            </w:pPr>
            <w:r w:rsidRPr="004E7CB3">
              <w:rPr>
                <w:rFonts w:ascii="Arial" w:hAnsi="Arial" w:cs="Arial"/>
                <w:sz w:val="20"/>
              </w:rPr>
              <w:t>32</w:t>
            </w:r>
          </w:p>
        </w:tc>
        <w:tc>
          <w:tcPr>
            <w:tcW w:w="1524" w:type="dxa"/>
            <w:gridSpan w:val="2"/>
          </w:tcPr>
          <w:p w14:paraId="1C7D12CC" w14:textId="45130A03" w:rsidR="00055AE6" w:rsidRPr="004E7CB3" w:rsidRDefault="00055AE6" w:rsidP="00055AE6">
            <w:pPr>
              <w:pStyle w:val="tabletxtns"/>
              <w:spacing w:before="0" w:line="280" w:lineRule="exact"/>
              <w:jc w:val="right"/>
              <w:rPr>
                <w:rFonts w:ascii="Arial" w:hAnsi="Arial" w:cs="Arial"/>
                <w:color w:val="auto"/>
                <w:sz w:val="20"/>
              </w:rPr>
            </w:pPr>
            <w:r w:rsidRPr="004E7CB3">
              <w:rPr>
                <w:rFonts w:ascii="Arial" w:hAnsi="Arial" w:cs="Arial"/>
                <w:sz w:val="20"/>
              </w:rPr>
              <w:t>(308)</w:t>
            </w:r>
          </w:p>
        </w:tc>
        <w:tc>
          <w:tcPr>
            <w:tcW w:w="1524" w:type="dxa"/>
            <w:gridSpan w:val="2"/>
            <w:vAlign w:val="bottom"/>
          </w:tcPr>
          <w:p w14:paraId="0546CCB3" w14:textId="266AEB9E" w:rsidR="00055AE6" w:rsidRPr="004E7CB3" w:rsidRDefault="00055AE6" w:rsidP="00055AE6">
            <w:pPr>
              <w:pStyle w:val="tabletxtns"/>
              <w:spacing w:before="0" w:line="280" w:lineRule="exact"/>
              <w:jc w:val="right"/>
              <w:rPr>
                <w:rFonts w:ascii="Arial" w:hAnsi="Arial" w:cs="Arial"/>
                <w:color w:val="auto"/>
                <w:sz w:val="20"/>
              </w:rPr>
            </w:pPr>
            <w:r>
              <w:rPr>
                <w:rFonts w:ascii="Arial" w:hAnsi="Arial" w:cs="Arial"/>
                <w:sz w:val="20"/>
              </w:rPr>
              <w:t>-</w:t>
            </w:r>
          </w:p>
        </w:tc>
        <w:tc>
          <w:tcPr>
            <w:tcW w:w="990" w:type="dxa"/>
          </w:tcPr>
          <w:p w14:paraId="4C546E55" w14:textId="68B2FF9A" w:rsidR="00055AE6" w:rsidRPr="004E7CB3" w:rsidRDefault="00055AE6" w:rsidP="00055AE6">
            <w:pPr>
              <w:overflowPunct/>
              <w:autoSpaceDE/>
              <w:autoSpaceDN/>
              <w:adjustRightInd/>
              <w:spacing w:line="240" w:lineRule="auto"/>
              <w:textAlignment w:val="auto"/>
              <w:rPr>
                <w:rFonts w:ascii="Arial" w:hAnsi="Arial" w:cs="Arial"/>
                <w:sz w:val="20"/>
              </w:rPr>
            </w:pPr>
          </w:p>
        </w:tc>
        <w:tc>
          <w:tcPr>
            <w:tcW w:w="990" w:type="dxa"/>
          </w:tcPr>
          <w:p w14:paraId="5E199C27" w14:textId="77777777" w:rsidR="00055AE6" w:rsidRPr="004E7CB3" w:rsidRDefault="00055AE6" w:rsidP="00055AE6">
            <w:pPr>
              <w:overflowPunct/>
              <w:autoSpaceDE/>
              <w:autoSpaceDN/>
              <w:adjustRightInd/>
              <w:spacing w:line="240" w:lineRule="auto"/>
              <w:textAlignment w:val="auto"/>
              <w:rPr>
                <w:rFonts w:ascii="Arial" w:hAnsi="Arial" w:cs="Arial"/>
                <w:sz w:val="20"/>
              </w:rPr>
            </w:pPr>
          </w:p>
        </w:tc>
      </w:tr>
      <w:tr w:rsidR="00055AE6" w:rsidRPr="004E7CB3" w14:paraId="18D79467" w14:textId="2F12A6A9" w:rsidTr="00FF32A7">
        <w:tc>
          <w:tcPr>
            <w:tcW w:w="5479" w:type="dxa"/>
            <w:vAlign w:val="bottom"/>
          </w:tcPr>
          <w:p w14:paraId="413C1D03" w14:textId="56424992" w:rsidR="00055AE6" w:rsidRPr="004E7CB3" w:rsidRDefault="00055AE6" w:rsidP="00055AE6">
            <w:pPr>
              <w:pStyle w:val="tabletxtns"/>
              <w:spacing w:before="0" w:line="280" w:lineRule="exact"/>
              <w:rPr>
                <w:rFonts w:ascii="Arial" w:hAnsi="Arial" w:cs="Arial"/>
                <w:color w:val="auto"/>
                <w:sz w:val="20"/>
              </w:rPr>
            </w:pPr>
            <w:r w:rsidRPr="004E7CB3">
              <w:rPr>
                <w:rFonts w:ascii="Arial" w:hAnsi="Arial" w:cs="Arial"/>
                <w:sz w:val="20"/>
              </w:rPr>
              <w:t>Income tax effect</w:t>
            </w:r>
          </w:p>
        </w:tc>
        <w:tc>
          <w:tcPr>
            <w:tcW w:w="1049" w:type="dxa"/>
            <w:gridSpan w:val="2"/>
          </w:tcPr>
          <w:p w14:paraId="3A31DA0D" w14:textId="77777777" w:rsidR="00055AE6" w:rsidRPr="004E7CB3" w:rsidRDefault="00055AE6" w:rsidP="00055AE6">
            <w:pPr>
              <w:pStyle w:val="tabletxtns"/>
              <w:spacing w:before="0" w:line="280" w:lineRule="exact"/>
              <w:jc w:val="center"/>
              <w:rPr>
                <w:rFonts w:ascii="Arial" w:hAnsi="Arial" w:cs="Arial"/>
                <w:color w:val="auto"/>
                <w:sz w:val="20"/>
              </w:rPr>
            </w:pPr>
          </w:p>
        </w:tc>
        <w:tc>
          <w:tcPr>
            <w:tcW w:w="1524" w:type="dxa"/>
            <w:gridSpan w:val="2"/>
            <w:tcBorders>
              <w:bottom w:val="single" w:sz="4" w:space="0" w:color="auto"/>
            </w:tcBorders>
          </w:tcPr>
          <w:p w14:paraId="2586F606" w14:textId="0673F8E6" w:rsidR="00055AE6" w:rsidRPr="004E7CB3" w:rsidRDefault="00055AE6" w:rsidP="00055AE6">
            <w:pPr>
              <w:pStyle w:val="tabletxtns"/>
              <w:spacing w:before="0" w:line="280" w:lineRule="exact"/>
              <w:jc w:val="right"/>
              <w:rPr>
                <w:rFonts w:ascii="Arial" w:hAnsi="Arial" w:cs="Arial"/>
                <w:color w:val="auto"/>
                <w:sz w:val="20"/>
              </w:rPr>
            </w:pPr>
            <w:r w:rsidRPr="004E7CB3">
              <w:rPr>
                <w:rFonts w:ascii="Arial" w:hAnsi="Arial" w:cs="Arial"/>
                <w:sz w:val="20"/>
              </w:rPr>
              <w:t>92</w:t>
            </w:r>
          </w:p>
        </w:tc>
        <w:tc>
          <w:tcPr>
            <w:tcW w:w="1524" w:type="dxa"/>
            <w:gridSpan w:val="2"/>
            <w:tcBorders>
              <w:bottom w:val="single" w:sz="4" w:space="0" w:color="auto"/>
            </w:tcBorders>
            <w:vAlign w:val="bottom"/>
          </w:tcPr>
          <w:p w14:paraId="4598FABA" w14:textId="6EDDC50B" w:rsidR="00055AE6" w:rsidRPr="004E7CB3" w:rsidRDefault="00055AE6" w:rsidP="00055AE6">
            <w:pPr>
              <w:pStyle w:val="tabletxtns"/>
              <w:spacing w:before="0" w:line="280" w:lineRule="exact"/>
              <w:jc w:val="right"/>
              <w:rPr>
                <w:rFonts w:ascii="Arial" w:hAnsi="Arial" w:cs="Arial"/>
                <w:color w:val="auto"/>
                <w:sz w:val="20"/>
              </w:rPr>
            </w:pPr>
            <w:r>
              <w:rPr>
                <w:rFonts w:ascii="Arial" w:hAnsi="Arial" w:cs="Arial"/>
                <w:sz w:val="20"/>
              </w:rPr>
              <w:t>-</w:t>
            </w:r>
          </w:p>
        </w:tc>
        <w:tc>
          <w:tcPr>
            <w:tcW w:w="990" w:type="dxa"/>
          </w:tcPr>
          <w:p w14:paraId="79906E7E" w14:textId="3604AE75" w:rsidR="00055AE6" w:rsidRPr="004E7CB3" w:rsidRDefault="00055AE6" w:rsidP="00055AE6">
            <w:pPr>
              <w:overflowPunct/>
              <w:autoSpaceDE/>
              <w:autoSpaceDN/>
              <w:adjustRightInd/>
              <w:spacing w:line="240" w:lineRule="auto"/>
              <w:textAlignment w:val="auto"/>
              <w:rPr>
                <w:rFonts w:ascii="Arial" w:hAnsi="Arial" w:cs="Arial"/>
                <w:sz w:val="20"/>
              </w:rPr>
            </w:pPr>
          </w:p>
        </w:tc>
        <w:tc>
          <w:tcPr>
            <w:tcW w:w="990" w:type="dxa"/>
          </w:tcPr>
          <w:p w14:paraId="34EBD475" w14:textId="77777777" w:rsidR="00055AE6" w:rsidRPr="004E7CB3" w:rsidRDefault="00055AE6" w:rsidP="00055AE6">
            <w:pPr>
              <w:overflowPunct/>
              <w:autoSpaceDE/>
              <w:autoSpaceDN/>
              <w:adjustRightInd/>
              <w:spacing w:line="240" w:lineRule="auto"/>
              <w:textAlignment w:val="auto"/>
              <w:rPr>
                <w:rFonts w:ascii="Arial" w:hAnsi="Arial" w:cs="Arial"/>
                <w:sz w:val="20"/>
              </w:rPr>
            </w:pPr>
          </w:p>
        </w:tc>
      </w:tr>
      <w:tr w:rsidR="00055AE6" w:rsidRPr="00E70587" w14:paraId="0B215039" w14:textId="6D7DAD74" w:rsidTr="00FF32A7">
        <w:tc>
          <w:tcPr>
            <w:tcW w:w="5479" w:type="dxa"/>
            <w:vAlign w:val="bottom"/>
          </w:tcPr>
          <w:p w14:paraId="597E3634" w14:textId="77777777" w:rsidR="00055AE6" w:rsidRPr="00E70587" w:rsidRDefault="00055AE6" w:rsidP="00055AE6">
            <w:pPr>
              <w:pStyle w:val="tabletxtns"/>
              <w:spacing w:before="0" w:line="280" w:lineRule="exact"/>
              <w:rPr>
                <w:rFonts w:ascii="Arial" w:hAnsi="Arial" w:cs="Arial"/>
                <w:color w:val="auto"/>
                <w:sz w:val="20"/>
              </w:rPr>
            </w:pPr>
          </w:p>
        </w:tc>
        <w:tc>
          <w:tcPr>
            <w:tcW w:w="1049" w:type="dxa"/>
            <w:gridSpan w:val="2"/>
          </w:tcPr>
          <w:p w14:paraId="59F23C6F" w14:textId="77777777" w:rsidR="00055AE6" w:rsidRPr="00E70587" w:rsidRDefault="00055AE6" w:rsidP="00055AE6">
            <w:pPr>
              <w:pStyle w:val="tabletxtns"/>
              <w:spacing w:before="0" w:line="280" w:lineRule="exact"/>
              <w:jc w:val="center"/>
              <w:rPr>
                <w:rFonts w:ascii="Arial" w:hAnsi="Arial" w:cs="Arial"/>
                <w:color w:val="auto"/>
                <w:sz w:val="20"/>
              </w:rPr>
            </w:pPr>
          </w:p>
        </w:tc>
        <w:tc>
          <w:tcPr>
            <w:tcW w:w="1524" w:type="dxa"/>
            <w:gridSpan w:val="2"/>
            <w:tcBorders>
              <w:top w:val="single" w:sz="4" w:space="0" w:color="auto"/>
            </w:tcBorders>
          </w:tcPr>
          <w:p w14:paraId="3D055C78" w14:textId="2A2040EF" w:rsidR="00055AE6" w:rsidRPr="00E70587" w:rsidRDefault="00055AE6" w:rsidP="00055AE6">
            <w:pPr>
              <w:pStyle w:val="tabletxtns"/>
              <w:spacing w:before="0" w:line="280" w:lineRule="exact"/>
              <w:jc w:val="right"/>
              <w:rPr>
                <w:rFonts w:ascii="Arial" w:hAnsi="Arial" w:cs="Arial"/>
                <w:color w:val="auto"/>
                <w:sz w:val="20"/>
              </w:rPr>
            </w:pPr>
            <w:r>
              <w:rPr>
                <w:rFonts w:cs="Calibri"/>
                <w:b/>
                <w:szCs w:val="18"/>
              </w:rPr>
              <w:t>(216)</w:t>
            </w:r>
          </w:p>
        </w:tc>
        <w:tc>
          <w:tcPr>
            <w:tcW w:w="1524" w:type="dxa"/>
            <w:gridSpan w:val="2"/>
            <w:tcBorders>
              <w:top w:val="single" w:sz="4" w:space="0" w:color="auto"/>
            </w:tcBorders>
            <w:vAlign w:val="bottom"/>
          </w:tcPr>
          <w:p w14:paraId="11B941E3" w14:textId="4CDD1D1F" w:rsidR="00055AE6" w:rsidRPr="00E70587" w:rsidRDefault="00055AE6" w:rsidP="00055AE6">
            <w:pPr>
              <w:pStyle w:val="tabletxtns"/>
              <w:spacing w:before="0" w:line="280" w:lineRule="exact"/>
              <w:jc w:val="right"/>
              <w:rPr>
                <w:rFonts w:ascii="Arial" w:hAnsi="Arial" w:cs="Arial"/>
                <w:color w:val="auto"/>
                <w:sz w:val="20"/>
              </w:rPr>
            </w:pPr>
            <w:r>
              <w:rPr>
                <w:rFonts w:ascii="Arial" w:hAnsi="Arial" w:cs="Arial"/>
                <w:b/>
                <w:sz w:val="20"/>
              </w:rPr>
              <w:t>-</w:t>
            </w:r>
          </w:p>
        </w:tc>
        <w:tc>
          <w:tcPr>
            <w:tcW w:w="990" w:type="dxa"/>
          </w:tcPr>
          <w:p w14:paraId="097436DA" w14:textId="6CA58D7A" w:rsidR="00055AE6" w:rsidRPr="00E70587" w:rsidRDefault="00055AE6" w:rsidP="00055AE6">
            <w:pPr>
              <w:overflowPunct/>
              <w:autoSpaceDE/>
              <w:autoSpaceDN/>
              <w:adjustRightInd/>
              <w:spacing w:line="240" w:lineRule="auto"/>
              <w:textAlignment w:val="auto"/>
            </w:pPr>
          </w:p>
        </w:tc>
        <w:tc>
          <w:tcPr>
            <w:tcW w:w="990" w:type="dxa"/>
          </w:tcPr>
          <w:p w14:paraId="4A68F87A" w14:textId="77777777" w:rsidR="00055AE6" w:rsidRPr="00E70587" w:rsidRDefault="00055AE6" w:rsidP="00055AE6">
            <w:pPr>
              <w:overflowPunct/>
              <w:autoSpaceDE/>
              <w:autoSpaceDN/>
              <w:adjustRightInd/>
              <w:spacing w:line="240" w:lineRule="auto"/>
              <w:textAlignment w:val="auto"/>
            </w:pPr>
          </w:p>
        </w:tc>
      </w:tr>
      <w:tr w:rsidR="00055AE6" w:rsidRPr="00E70587" w14:paraId="1C81C550" w14:textId="77777777" w:rsidTr="00F27305">
        <w:trPr>
          <w:gridAfter w:val="2"/>
          <w:wAfter w:w="1980" w:type="dxa"/>
        </w:trPr>
        <w:tc>
          <w:tcPr>
            <w:tcW w:w="5479" w:type="dxa"/>
            <w:vAlign w:val="bottom"/>
          </w:tcPr>
          <w:p w14:paraId="4899D64F" w14:textId="77777777" w:rsidR="00055AE6" w:rsidRPr="00E70587" w:rsidRDefault="00055AE6" w:rsidP="00055AE6">
            <w:pPr>
              <w:pStyle w:val="tabletxtns"/>
              <w:spacing w:before="0" w:line="280" w:lineRule="exact"/>
              <w:rPr>
                <w:rFonts w:ascii="Arial" w:hAnsi="Arial" w:cs="Arial"/>
                <w:color w:val="auto"/>
                <w:sz w:val="20"/>
              </w:rPr>
            </w:pPr>
          </w:p>
        </w:tc>
        <w:tc>
          <w:tcPr>
            <w:tcW w:w="1049" w:type="dxa"/>
            <w:gridSpan w:val="2"/>
          </w:tcPr>
          <w:p w14:paraId="50BF6EEA" w14:textId="77777777" w:rsidR="00055AE6" w:rsidRPr="00E70587" w:rsidRDefault="00055AE6" w:rsidP="00055AE6">
            <w:pPr>
              <w:pStyle w:val="tabletxtns"/>
              <w:spacing w:before="0" w:line="280" w:lineRule="exact"/>
              <w:jc w:val="center"/>
              <w:rPr>
                <w:rFonts w:ascii="Arial" w:hAnsi="Arial" w:cs="Arial"/>
                <w:color w:val="auto"/>
                <w:sz w:val="20"/>
              </w:rPr>
            </w:pPr>
          </w:p>
        </w:tc>
        <w:tc>
          <w:tcPr>
            <w:tcW w:w="1524" w:type="dxa"/>
            <w:gridSpan w:val="2"/>
            <w:vAlign w:val="bottom"/>
          </w:tcPr>
          <w:p w14:paraId="5B0ED528" w14:textId="77777777" w:rsidR="00055AE6" w:rsidRPr="00E70587" w:rsidRDefault="00055AE6" w:rsidP="00055AE6">
            <w:pPr>
              <w:pStyle w:val="tabletxtns"/>
              <w:spacing w:before="0" w:line="280" w:lineRule="exact"/>
              <w:rPr>
                <w:rFonts w:ascii="Arial" w:hAnsi="Arial" w:cs="Arial"/>
                <w:color w:val="auto"/>
                <w:sz w:val="20"/>
              </w:rPr>
            </w:pPr>
          </w:p>
        </w:tc>
        <w:tc>
          <w:tcPr>
            <w:tcW w:w="1524" w:type="dxa"/>
            <w:gridSpan w:val="2"/>
            <w:vAlign w:val="bottom"/>
          </w:tcPr>
          <w:p w14:paraId="63144AAD" w14:textId="77777777" w:rsidR="00055AE6" w:rsidRPr="00E70587" w:rsidRDefault="00055AE6" w:rsidP="00055AE6">
            <w:pPr>
              <w:pStyle w:val="tabletxtns"/>
              <w:spacing w:before="0" w:line="280" w:lineRule="exact"/>
              <w:rPr>
                <w:rFonts w:ascii="Arial" w:hAnsi="Arial" w:cs="Arial"/>
                <w:color w:val="auto"/>
                <w:sz w:val="20"/>
              </w:rPr>
            </w:pPr>
          </w:p>
        </w:tc>
      </w:tr>
      <w:tr w:rsidR="00055AE6" w:rsidRPr="00E70587" w14:paraId="0350978C" w14:textId="77777777" w:rsidTr="00F27305">
        <w:trPr>
          <w:gridAfter w:val="2"/>
          <w:wAfter w:w="1980" w:type="dxa"/>
        </w:trPr>
        <w:tc>
          <w:tcPr>
            <w:tcW w:w="5479" w:type="dxa"/>
            <w:vAlign w:val="bottom"/>
          </w:tcPr>
          <w:p w14:paraId="29D42CB4" w14:textId="77777777" w:rsidR="00055AE6" w:rsidRPr="00E70587" w:rsidRDefault="00055AE6" w:rsidP="00055AE6">
            <w:pPr>
              <w:pStyle w:val="tabletxtns"/>
              <w:spacing w:before="0" w:line="280" w:lineRule="exact"/>
              <w:rPr>
                <w:rFonts w:ascii="Arial" w:hAnsi="Arial" w:cs="Arial"/>
                <w:color w:val="auto"/>
                <w:sz w:val="20"/>
              </w:rPr>
            </w:pPr>
          </w:p>
        </w:tc>
        <w:tc>
          <w:tcPr>
            <w:tcW w:w="1049" w:type="dxa"/>
            <w:gridSpan w:val="2"/>
          </w:tcPr>
          <w:p w14:paraId="4BC3B53B" w14:textId="77777777" w:rsidR="00055AE6" w:rsidRPr="00E70587" w:rsidRDefault="00055AE6" w:rsidP="00055AE6">
            <w:pPr>
              <w:pStyle w:val="tabletxtns"/>
              <w:spacing w:before="0" w:line="280" w:lineRule="exact"/>
              <w:jc w:val="center"/>
              <w:rPr>
                <w:rFonts w:ascii="Arial" w:hAnsi="Arial" w:cs="Arial"/>
                <w:color w:val="auto"/>
                <w:sz w:val="20"/>
              </w:rPr>
            </w:pPr>
          </w:p>
        </w:tc>
        <w:tc>
          <w:tcPr>
            <w:tcW w:w="1524" w:type="dxa"/>
            <w:gridSpan w:val="2"/>
            <w:vAlign w:val="bottom"/>
          </w:tcPr>
          <w:p w14:paraId="2E0C747C" w14:textId="77777777" w:rsidR="00055AE6" w:rsidRPr="00E70587" w:rsidRDefault="00055AE6" w:rsidP="00055AE6">
            <w:pPr>
              <w:pStyle w:val="tabletxtns"/>
              <w:spacing w:before="0" w:line="280" w:lineRule="exact"/>
              <w:rPr>
                <w:rFonts w:ascii="Arial" w:hAnsi="Arial" w:cs="Arial"/>
                <w:color w:val="auto"/>
                <w:sz w:val="20"/>
              </w:rPr>
            </w:pPr>
          </w:p>
        </w:tc>
        <w:tc>
          <w:tcPr>
            <w:tcW w:w="1524" w:type="dxa"/>
            <w:gridSpan w:val="2"/>
            <w:vAlign w:val="bottom"/>
          </w:tcPr>
          <w:p w14:paraId="2EDD8553" w14:textId="77777777" w:rsidR="00055AE6" w:rsidRPr="00E70587" w:rsidRDefault="00055AE6" w:rsidP="00055AE6">
            <w:pPr>
              <w:pStyle w:val="tabletxtns"/>
              <w:spacing w:before="0" w:line="280" w:lineRule="exact"/>
              <w:rPr>
                <w:rFonts w:ascii="Arial" w:hAnsi="Arial" w:cs="Arial"/>
                <w:color w:val="auto"/>
                <w:sz w:val="20"/>
              </w:rPr>
            </w:pPr>
          </w:p>
        </w:tc>
      </w:tr>
      <w:tr w:rsidR="00055AE6" w:rsidRPr="00E70587" w14:paraId="3382F0E4" w14:textId="77777777" w:rsidTr="00F27305">
        <w:trPr>
          <w:gridAfter w:val="2"/>
          <w:wAfter w:w="1980" w:type="dxa"/>
        </w:trPr>
        <w:tc>
          <w:tcPr>
            <w:tcW w:w="5479" w:type="dxa"/>
            <w:vAlign w:val="bottom"/>
          </w:tcPr>
          <w:p w14:paraId="45D299E5" w14:textId="77777777" w:rsidR="00055AE6" w:rsidRPr="00E70587" w:rsidRDefault="00055AE6" w:rsidP="00055AE6">
            <w:pPr>
              <w:pStyle w:val="tabletext"/>
              <w:spacing w:line="280" w:lineRule="exact"/>
              <w:rPr>
                <w:rFonts w:ascii="Arial" w:hAnsi="Arial" w:cs="Arial"/>
                <w:sz w:val="20"/>
                <w:lang w:val="en-IN"/>
              </w:rPr>
            </w:pPr>
            <w:r w:rsidRPr="00E70587">
              <w:rPr>
                <w:rFonts w:ascii="Arial" w:hAnsi="Arial" w:cs="Arial"/>
                <w:sz w:val="20"/>
                <w:lang w:val="en-IN"/>
              </w:rPr>
              <w:t>Net (loss)/gain on FVTOCI debt securities</w:t>
            </w:r>
          </w:p>
        </w:tc>
        <w:tc>
          <w:tcPr>
            <w:tcW w:w="1049" w:type="dxa"/>
            <w:gridSpan w:val="2"/>
          </w:tcPr>
          <w:p w14:paraId="3B66BD56" w14:textId="77777777" w:rsidR="00055AE6" w:rsidRPr="00E70587" w:rsidRDefault="00055AE6" w:rsidP="00055AE6">
            <w:pPr>
              <w:pStyle w:val="tabletext"/>
              <w:spacing w:line="280" w:lineRule="exact"/>
              <w:jc w:val="center"/>
              <w:rPr>
                <w:rFonts w:ascii="Arial" w:hAnsi="Arial" w:cs="Arial"/>
                <w:sz w:val="20"/>
                <w:lang w:val="en-IN"/>
              </w:rPr>
            </w:pPr>
            <w:r w:rsidRPr="00E70587">
              <w:rPr>
                <w:rFonts w:ascii="Arial" w:hAnsi="Arial" w:cs="Arial"/>
                <w:sz w:val="20"/>
                <w:lang w:val="en-IN"/>
              </w:rPr>
              <w:t>32</w:t>
            </w:r>
          </w:p>
        </w:tc>
        <w:tc>
          <w:tcPr>
            <w:tcW w:w="1524" w:type="dxa"/>
            <w:gridSpan w:val="2"/>
            <w:vAlign w:val="center"/>
          </w:tcPr>
          <w:p w14:paraId="6F7A603C"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(86)</w:t>
            </w:r>
          </w:p>
        </w:tc>
        <w:tc>
          <w:tcPr>
            <w:tcW w:w="1524" w:type="dxa"/>
            <w:gridSpan w:val="2"/>
            <w:vAlign w:val="bottom"/>
          </w:tcPr>
          <w:p w14:paraId="44CACF63"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5</w:t>
            </w:r>
          </w:p>
        </w:tc>
      </w:tr>
      <w:tr w:rsidR="00055AE6" w:rsidRPr="00E70587" w14:paraId="4D345820" w14:textId="77777777" w:rsidTr="00F27305">
        <w:trPr>
          <w:gridAfter w:val="2"/>
          <w:wAfter w:w="1980" w:type="dxa"/>
        </w:trPr>
        <w:tc>
          <w:tcPr>
            <w:tcW w:w="5479" w:type="dxa"/>
            <w:vAlign w:val="bottom"/>
          </w:tcPr>
          <w:p w14:paraId="41603232" w14:textId="77777777" w:rsidR="00055AE6" w:rsidRPr="00E70587" w:rsidRDefault="00055AE6" w:rsidP="00055AE6">
            <w:pPr>
              <w:pStyle w:val="tabletext"/>
              <w:spacing w:line="280" w:lineRule="exact"/>
              <w:rPr>
                <w:rFonts w:ascii="Arial" w:hAnsi="Arial" w:cs="Arial"/>
                <w:sz w:val="20"/>
                <w:lang w:val="en-IN"/>
              </w:rPr>
            </w:pPr>
            <w:r w:rsidRPr="00E70587">
              <w:rPr>
                <w:rFonts w:ascii="Arial" w:hAnsi="Arial" w:cs="Arial"/>
                <w:sz w:val="20"/>
                <w:lang w:val="en-IN"/>
              </w:rPr>
              <w:t>Income tax effect</w:t>
            </w:r>
          </w:p>
        </w:tc>
        <w:tc>
          <w:tcPr>
            <w:tcW w:w="1049" w:type="dxa"/>
            <w:gridSpan w:val="2"/>
          </w:tcPr>
          <w:p w14:paraId="22727A10" w14:textId="77777777" w:rsidR="00055AE6" w:rsidRPr="00E70587" w:rsidRDefault="00055AE6" w:rsidP="00055AE6">
            <w:pPr>
              <w:pStyle w:val="tabletext"/>
              <w:spacing w:line="280" w:lineRule="exact"/>
              <w:jc w:val="center"/>
              <w:rPr>
                <w:rFonts w:ascii="Arial" w:hAnsi="Arial" w:cs="Arial"/>
                <w:sz w:val="20"/>
                <w:lang w:val="en-IN"/>
              </w:rPr>
            </w:pPr>
          </w:p>
        </w:tc>
        <w:tc>
          <w:tcPr>
            <w:tcW w:w="1524" w:type="dxa"/>
            <w:gridSpan w:val="2"/>
            <w:tcBorders>
              <w:bottom w:val="single" w:sz="4" w:space="0" w:color="auto"/>
            </w:tcBorders>
            <w:vAlign w:val="center"/>
          </w:tcPr>
          <w:p w14:paraId="1CC17FBF"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27</w:t>
            </w:r>
          </w:p>
        </w:tc>
        <w:tc>
          <w:tcPr>
            <w:tcW w:w="1524" w:type="dxa"/>
            <w:gridSpan w:val="2"/>
            <w:tcBorders>
              <w:bottom w:val="single" w:sz="4" w:space="0" w:color="auto"/>
            </w:tcBorders>
            <w:vAlign w:val="bottom"/>
          </w:tcPr>
          <w:p w14:paraId="464E8440"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(2)</w:t>
            </w:r>
          </w:p>
        </w:tc>
      </w:tr>
      <w:tr w:rsidR="00055AE6" w:rsidRPr="00E70587" w14:paraId="70A4186D" w14:textId="77777777" w:rsidTr="00F27305">
        <w:trPr>
          <w:gridAfter w:val="2"/>
          <w:wAfter w:w="1980" w:type="dxa"/>
        </w:trPr>
        <w:tc>
          <w:tcPr>
            <w:tcW w:w="5479" w:type="dxa"/>
            <w:vAlign w:val="bottom"/>
          </w:tcPr>
          <w:p w14:paraId="6C25AB66" w14:textId="77777777" w:rsidR="00055AE6" w:rsidRPr="00E70587" w:rsidRDefault="00055AE6" w:rsidP="00055AE6">
            <w:pPr>
              <w:pStyle w:val="tabletext"/>
              <w:spacing w:line="280" w:lineRule="exact"/>
              <w:rPr>
                <w:rFonts w:ascii="Arial" w:hAnsi="Arial" w:cs="Arial"/>
                <w:b/>
                <w:sz w:val="20"/>
                <w:lang w:val="en-IN"/>
              </w:rPr>
            </w:pPr>
          </w:p>
        </w:tc>
        <w:tc>
          <w:tcPr>
            <w:tcW w:w="1049" w:type="dxa"/>
            <w:gridSpan w:val="2"/>
          </w:tcPr>
          <w:p w14:paraId="7C2D57D8" w14:textId="77777777" w:rsidR="00055AE6" w:rsidRPr="00E70587" w:rsidRDefault="00055AE6" w:rsidP="00055AE6">
            <w:pPr>
              <w:pStyle w:val="tabletext"/>
              <w:spacing w:line="280" w:lineRule="exact"/>
              <w:jc w:val="center"/>
              <w:rPr>
                <w:rFonts w:ascii="Arial" w:hAnsi="Arial" w:cs="Arial"/>
                <w:b/>
                <w:sz w:val="20"/>
                <w:lang w:val="en-IN"/>
              </w:rPr>
            </w:pPr>
          </w:p>
        </w:tc>
        <w:tc>
          <w:tcPr>
            <w:tcW w:w="1524" w:type="dxa"/>
            <w:gridSpan w:val="2"/>
            <w:tcBorders>
              <w:top w:val="single" w:sz="4" w:space="0" w:color="auto"/>
              <w:bottom w:val="single" w:sz="2" w:space="0" w:color="auto"/>
            </w:tcBorders>
            <w:vAlign w:val="center"/>
          </w:tcPr>
          <w:p w14:paraId="728FF9F8" w14:textId="77777777" w:rsidR="00055AE6" w:rsidRPr="00E70587" w:rsidRDefault="00055AE6" w:rsidP="00055AE6">
            <w:pPr>
              <w:spacing w:line="280" w:lineRule="exact"/>
              <w:jc w:val="right"/>
              <w:rPr>
                <w:rFonts w:ascii="Arial" w:hAnsi="Arial" w:cs="Arial"/>
                <w:b/>
                <w:sz w:val="20"/>
              </w:rPr>
            </w:pPr>
            <w:r w:rsidRPr="00E70587">
              <w:rPr>
                <w:rFonts w:ascii="Arial" w:hAnsi="Arial" w:cs="Arial"/>
                <w:b/>
                <w:sz w:val="20"/>
              </w:rPr>
              <w:t>(59)</w:t>
            </w:r>
          </w:p>
        </w:tc>
        <w:tc>
          <w:tcPr>
            <w:tcW w:w="1524" w:type="dxa"/>
            <w:gridSpan w:val="2"/>
            <w:tcBorders>
              <w:top w:val="single" w:sz="4" w:space="0" w:color="auto"/>
              <w:bottom w:val="single" w:sz="2" w:space="0" w:color="auto"/>
            </w:tcBorders>
            <w:vAlign w:val="bottom"/>
          </w:tcPr>
          <w:p w14:paraId="18758CB7" w14:textId="77777777" w:rsidR="00055AE6" w:rsidRPr="00E70587" w:rsidRDefault="00055AE6" w:rsidP="00055AE6">
            <w:pPr>
              <w:spacing w:line="280" w:lineRule="exact"/>
              <w:jc w:val="right"/>
              <w:rPr>
                <w:rFonts w:ascii="Arial" w:hAnsi="Arial" w:cs="Arial"/>
                <w:b/>
                <w:sz w:val="20"/>
              </w:rPr>
            </w:pPr>
            <w:r w:rsidRPr="00E70587">
              <w:rPr>
                <w:rFonts w:ascii="Arial" w:hAnsi="Arial" w:cs="Arial"/>
                <w:b/>
                <w:sz w:val="20"/>
              </w:rPr>
              <w:t>3</w:t>
            </w:r>
          </w:p>
        </w:tc>
      </w:tr>
      <w:tr w:rsidR="00055AE6" w:rsidRPr="00E70587" w14:paraId="061E13AE" w14:textId="77777777" w:rsidTr="00F27305">
        <w:trPr>
          <w:gridAfter w:val="2"/>
          <w:wAfter w:w="1980" w:type="dxa"/>
        </w:trPr>
        <w:tc>
          <w:tcPr>
            <w:tcW w:w="5479" w:type="dxa"/>
            <w:vAlign w:val="bottom"/>
          </w:tcPr>
          <w:p w14:paraId="624A0688" w14:textId="61FCDB7C" w:rsidR="00055AE6" w:rsidRPr="00E70587" w:rsidRDefault="00055AE6" w:rsidP="00055AE6">
            <w:pPr>
              <w:pStyle w:val="tabletext"/>
              <w:spacing w:line="280" w:lineRule="exact"/>
              <w:rPr>
                <w:rFonts w:ascii="Arial" w:hAnsi="Arial" w:cs="Arial"/>
                <w:sz w:val="20"/>
                <w:lang w:val="en-IN"/>
              </w:rPr>
            </w:pPr>
            <w:r w:rsidRPr="00E70587">
              <w:rPr>
                <w:rFonts w:ascii="Arial" w:hAnsi="Arial" w:cs="Arial"/>
                <w:b/>
                <w:sz w:val="20"/>
                <w:lang w:val="en-IN"/>
              </w:rPr>
              <w:t xml:space="preserve">Net other comprehensive income to be reclassified to profit </w:t>
            </w:r>
            <w:r>
              <w:rPr>
                <w:rFonts w:ascii="Arial" w:hAnsi="Arial" w:cs="Arial"/>
                <w:b/>
                <w:sz w:val="20"/>
                <w:lang w:val="en-IN"/>
              </w:rPr>
              <w:t>or</w:t>
            </w:r>
            <w:r w:rsidRPr="00E70587">
              <w:rPr>
                <w:rFonts w:ascii="Arial" w:hAnsi="Arial" w:cs="Arial"/>
                <w:b/>
                <w:sz w:val="20"/>
                <w:lang w:val="en-IN"/>
              </w:rPr>
              <w:t xml:space="preserve"> loss in subsequent periods</w:t>
            </w:r>
          </w:p>
        </w:tc>
        <w:tc>
          <w:tcPr>
            <w:tcW w:w="1049" w:type="dxa"/>
            <w:gridSpan w:val="2"/>
          </w:tcPr>
          <w:p w14:paraId="4CE96FD7" w14:textId="77777777" w:rsidR="00055AE6" w:rsidRPr="00E70587" w:rsidRDefault="00055AE6" w:rsidP="00055AE6">
            <w:pPr>
              <w:pStyle w:val="tabletext"/>
              <w:spacing w:line="280" w:lineRule="exact"/>
              <w:jc w:val="center"/>
              <w:rPr>
                <w:rFonts w:ascii="Arial" w:hAnsi="Arial" w:cs="Arial"/>
                <w:sz w:val="20"/>
                <w:lang w:val="en-IN"/>
              </w:rPr>
            </w:pPr>
          </w:p>
        </w:tc>
        <w:tc>
          <w:tcPr>
            <w:tcW w:w="1524" w:type="dxa"/>
            <w:gridSpan w:val="2"/>
            <w:tcBorders>
              <w:top w:val="single" w:sz="2" w:space="0" w:color="auto"/>
            </w:tcBorders>
            <w:vAlign w:val="bottom"/>
          </w:tcPr>
          <w:p w14:paraId="32745C2E" w14:textId="233E7277" w:rsidR="00055AE6" w:rsidRPr="00E70587" w:rsidRDefault="00055AE6" w:rsidP="00055AE6">
            <w:pPr>
              <w:spacing w:line="280" w:lineRule="exact"/>
              <w:jc w:val="right"/>
              <w:rPr>
                <w:rFonts w:ascii="Arial" w:hAnsi="Arial" w:cs="Arial"/>
                <w:b/>
                <w:sz w:val="20"/>
              </w:rPr>
            </w:pPr>
            <w:r w:rsidRPr="00E70587">
              <w:rPr>
                <w:rFonts w:ascii="Arial" w:hAnsi="Arial" w:cs="Arial"/>
                <w:b/>
                <w:bCs/>
                <w:sz w:val="20"/>
              </w:rPr>
              <w:t>(1,</w:t>
            </w:r>
            <w:r>
              <w:rPr>
                <w:rFonts w:ascii="Arial" w:hAnsi="Arial" w:cs="Arial"/>
                <w:b/>
                <w:bCs/>
                <w:sz w:val="20"/>
              </w:rPr>
              <w:t>519</w:t>
            </w:r>
            <w:r w:rsidRPr="00E70587">
              <w:rPr>
                <w:rFonts w:ascii="Arial" w:hAnsi="Arial" w:cs="Arial"/>
                <w:b/>
                <w:bCs/>
                <w:sz w:val="20"/>
              </w:rPr>
              <w:t>)</w:t>
            </w:r>
          </w:p>
        </w:tc>
        <w:tc>
          <w:tcPr>
            <w:tcW w:w="1524" w:type="dxa"/>
            <w:gridSpan w:val="2"/>
            <w:tcBorders>
              <w:top w:val="single" w:sz="2" w:space="0" w:color="auto"/>
            </w:tcBorders>
            <w:vAlign w:val="bottom"/>
          </w:tcPr>
          <w:p w14:paraId="350118B8" w14:textId="77777777" w:rsidR="00055AE6" w:rsidRPr="00E70587" w:rsidRDefault="00055AE6" w:rsidP="00055AE6">
            <w:pPr>
              <w:spacing w:line="280" w:lineRule="exact"/>
              <w:jc w:val="right"/>
              <w:rPr>
                <w:rFonts w:ascii="Arial" w:hAnsi="Arial" w:cs="Arial"/>
                <w:b/>
                <w:sz w:val="20"/>
              </w:rPr>
            </w:pPr>
            <w:r w:rsidRPr="00E70587">
              <w:rPr>
                <w:rFonts w:ascii="Arial" w:hAnsi="Arial" w:cs="Arial"/>
                <w:b/>
                <w:sz w:val="20"/>
              </w:rPr>
              <w:t>(165)</w:t>
            </w:r>
          </w:p>
        </w:tc>
      </w:tr>
      <w:tr w:rsidR="00055AE6" w:rsidRPr="00E70587" w14:paraId="55791B41" w14:textId="77777777" w:rsidTr="00F27305">
        <w:trPr>
          <w:gridAfter w:val="2"/>
          <w:wAfter w:w="1980" w:type="dxa"/>
        </w:trPr>
        <w:tc>
          <w:tcPr>
            <w:tcW w:w="5479" w:type="dxa"/>
            <w:vAlign w:val="bottom"/>
          </w:tcPr>
          <w:p w14:paraId="4AE59C9A" w14:textId="77777777" w:rsidR="00055AE6" w:rsidRPr="00E70587" w:rsidRDefault="00055AE6" w:rsidP="00055AE6">
            <w:pPr>
              <w:pStyle w:val="tabletext"/>
              <w:spacing w:line="280" w:lineRule="exact"/>
              <w:rPr>
                <w:rFonts w:ascii="Arial" w:hAnsi="Arial" w:cs="Arial"/>
                <w:b/>
                <w:sz w:val="20"/>
                <w:lang w:val="en-IN"/>
              </w:rPr>
            </w:pPr>
          </w:p>
        </w:tc>
        <w:tc>
          <w:tcPr>
            <w:tcW w:w="1049" w:type="dxa"/>
            <w:gridSpan w:val="2"/>
          </w:tcPr>
          <w:p w14:paraId="65B5A818" w14:textId="77777777" w:rsidR="00055AE6" w:rsidRPr="00E70587" w:rsidRDefault="00055AE6" w:rsidP="00055AE6">
            <w:pPr>
              <w:pStyle w:val="tabletext"/>
              <w:spacing w:line="280" w:lineRule="exact"/>
              <w:jc w:val="center"/>
              <w:rPr>
                <w:rFonts w:ascii="Arial" w:hAnsi="Arial" w:cs="Arial"/>
                <w:sz w:val="20"/>
                <w:lang w:val="en-IN"/>
              </w:rPr>
            </w:pPr>
          </w:p>
        </w:tc>
        <w:tc>
          <w:tcPr>
            <w:tcW w:w="1524" w:type="dxa"/>
            <w:gridSpan w:val="2"/>
            <w:tcBorders>
              <w:top w:val="single" w:sz="2" w:space="0" w:color="auto"/>
            </w:tcBorders>
            <w:vAlign w:val="bottom"/>
          </w:tcPr>
          <w:p w14:paraId="04FE8CFE" w14:textId="77777777" w:rsidR="00055AE6" w:rsidRPr="00E70587" w:rsidRDefault="00055AE6" w:rsidP="00055AE6">
            <w:pPr>
              <w:spacing w:line="280" w:lineRule="exact"/>
              <w:jc w:val="right"/>
              <w:rPr>
                <w:rFonts w:ascii="Arial" w:hAnsi="Arial" w:cs="Arial"/>
                <w:b/>
                <w:bCs/>
                <w:sz w:val="20"/>
              </w:rPr>
            </w:pPr>
          </w:p>
        </w:tc>
        <w:tc>
          <w:tcPr>
            <w:tcW w:w="1524" w:type="dxa"/>
            <w:gridSpan w:val="2"/>
            <w:tcBorders>
              <w:top w:val="single" w:sz="2" w:space="0" w:color="auto"/>
            </w:tcBorders>
            <w:vAlign w:val="bottom"/>
          </w:tcPr>
          <w:p w14:paraId="3473B1CF" w14:textId="77777777" w:rsidR="00055AE6" w:rsidRPr="00E70587" w:rsidRDefault="00055AE6" w:rsidP="00055AE6">
            <w:pPr>
              <w:spacing w:line="280" w:lineRule="exact"/>
              <w:jc w:val="right"/>
              <w:rPr>
                <w:rFonts w:ascii="Arial" w:hAnsi="Arial" w:cs="Arial"/>
                <w:b/>
                <w:sz w:val="20"/>
              </w:rPr>
            </w:pPr>
          </w:p>
        </w:tc>
      </w:tr>
      <w:tr w:rsidR="00055AE6" w:rsidRPr="00E70587" w14:paraId="1A328739" w14:textId="77777777" w:rsidTr="00F27305">
        <w:trPr>
          <w:gridAfter w:val="2"/>
          <w:wAfter w:w="1980" w:type="dxa"/>
        </w:trPr>
        <w:tc>
          <w:tcPr>
            <w:tcW w:w="5479" w:type="dxa"/>
            <w:vAlign w:val="bottom"/>
          </w:tcPr>
          <w:p w14:paraId="22176A47" w14:textId="2DBA0464" w:rsidR="00055AE6" w:rsidRPr="00E70587" w:rsidRDefault="00055AE6" w:rsidP="00055AE6">
            <w:pPr>
              <w:pStyle w:val="tabletext"/>
              <w:spacing w:line="280" w:lineRule="exact"/>
              <w:rPr>
                <w:rFonts w:ascii="Arial" w:hAnsi="Arial" w:cs="Arial"/>
                <w:b/>
                <w:sz w:val="20"/>
                <w:lang w:val="en-IN"/>
              </w:rPr>
            </w:pPr>
            <w:r w:rsidRPr="00E70587">
              <w:rPr>
                <w:rFonts w:ascii="Arial" w:hAnsi="Arial" w:cs="Arial"/>
                <w:b/>
                <w:sz w:val="20"/>
                <w:lang w:val="en-IN"/>
              </w:rPr>
              <w:t xml:space="preserve">Other comprehensive income not to be reclassified to profit </w:t>
            </w:r>
            <w:r>
              <w:rPr>
                <w:rFonts w:ascii="Arial" w:hAnsi="Arial" w:cs="Arial"/>
                <w:b/>
                <w:sz w:val="20"/>
                <w:lang w:val="en-IN"/>
              </w:rPr>
              <w:t>or</w:t>
            </w:r>
            <w:r w:rsidRPr="00E70587">
              <w:rPr>
                <w:rFonts w:ascii="Arial" w:hAnsi="Arial" w:cs="Arial"/>
                <w:b/>
                <w:sz w:val="20"/>
                <w:lang w:val="en-IN"/>
              </w:rPr>
              <w:t xml:space="preserve"> loss in subsequent periods:</w:t>
            </w:r>
          </w:p>
        </w:tc>
        <w:tc>
          <w:tcPr>
            <w:tcW w:w="1049" w:type="dxa"/>
            <w:gridSpan w:val="2"/>
          </w:tcPr>
          <w:p w14:paraId="7754DB37" w14:textId="77777777" w:rsidR="00055AE6" w:rsidRPr="00E70587" w:rsidRDefault="00055AE6" w:rsidP="00055AE6">
            <w:pPr>
              <w:pStyle w:val="tabletext"/>
              <w:spacing w:line="280" w:lineRule="exact"/>
              <w:jc w:val="center"/>
              <w:rPr>
                <w:rFonts w:ascii="Arial" w:hAnsi="Arial" w:cs="Arial"/>
                <w:sz w:val="20"/>
                <w:lang w:val="en-IN"/>
              </w:rPr>
            </w:pPr>
          </w:p>
        </w:tc>
        <w:tc>
          <w:tcPr>
            <w:tcW w:w="1524" w:type="dxa"/>
            <w:gridSpan w:val="2"/>
            <w:vAlign w:val="bottom"/>
          </w:tcPr>
          <w:p w14:paraId="0D6ABA61" w14:textId="77777777" w:rsidR="00055AE6" w:rsidRPr="00E70587" w:rsidRDefault="00055AE6" w:rsidP="00055AE6">
            <w:pPr>
              <w:pStyle w:val="tabletext"/>
              <w:tabs>
                <w:tab w:val="decimal" w:pos="974"/>
              </w:tabs>
              <w:spacing w:line="280" w:lineRule="exact"/>
              <w:jc w:val="right"/>
              <w:rPr>
                <w:rFonts w:ascii="Arial" w:hAnsi="Arial" w:cs="Arial"/>
                <w:b/>
                <w:sz w:val="20"/>
                <w:lang w:val="en-IN"/>
              </w:rPr>
            </w:pPr>
          </w:p>
        </w:tc>
        <w:tc>
          <w:tcPr>
            <w:tcW w:w="1524" w:type="dxa"/>
            <w:gridSpan w:val="2"/>
            <w:vAlign w:val="bottom"/>
          </w:tcPr>
          <w:p w14:paraId="527CD635" w14:textId="77777777" w:rsidR="00055AE6" w:rsidRPr="00E70587" w:rsidRDefault="00055AE6" w:rsidP="00055AE6">
            <w:pPr>
              <w:pStyle w:val="tabletext"/>
              <w:spacing w:line="280" w:lineRule="exact"/>
              <w:jc w:val="right"/>
              <w:rPr>
                <w:rFonts w:ascii="Arial" w:hAnsi="Arial" w:cs="Arial"/>
                <w:b/>
                <w:sz w:val="20"/>
                <w:lang w:val="en-IN"/>
              </w:rPr>
            </w:pPr>
          </w:p>
        </w:tc>
      </w:tr>
      <w:tr w:rsidR="00055AE6" w:rsidRPr="00E70587" w14:paraId="6F25F78F" w14:textId="77777777" w:rsidTr="00F27305">
        <w:trPr>
          <w:gridAfter w:val="2"/>
          <w:wAfter w:w="1980" w:type="dxa"/>
        </w:trPr>
        <w:tc>
          <w:tcPr>
            <w:tcW w:w="5479" w:type="dxa"/>
            <w:vAlign w:val="bottom"/>
          </w:tcPr>
          <w:p w14:paraId="1F7A52A0" w14:textId="77777777" w:rsidR="00055AE6" w:rsidRPr="00E70587" w:rsidRDefault="00055AE6" w:rsidP="00055AE6">
            <w:pPr>
              <w:pStyle w:val="tabletxtns"/>
              <w:spacing w:before="0" w:line="280" w:lineRule="exact"/>
              <w:rPr>
                <w:rFonts w:ascii="Arial" w:hAnsi="Arial" w:cs="Arial"/>
                <w:color w:val="auto"/>
                <w:sz w:val="20"/>
              </w:rPr>
            </w:pPr>
          </w:p>
        </w:tc>
        <w:tc>
          <w:tcPr>
            <w:tcW w:w="1049" w:type="dxa"/>
            <w:gridSpan w:val="2"/>
          </w:tcPr>
          <w:p w14:paraId="32C09174" w14:textId="77777777" w:rsidR="00055AE6" w:rsidRPr="00E70587" w:rsidRDefault="00055AE6" w:rsidP="00055AE6">
            <w:pPr>
              <w:pStyle w:val="tabletxtns"/>
              <w:spacing w:before="0" w:line="280" w:lineRule="exact"/>
              <w:jc w:val="center"/>
              <w:rPr>
                <w:rFonts w:ascii="Arial" w:hAnsi="Arial" w:cs="Arial"/>
                <w:color w:val="auto"/>
                <w:sz w:val="20"/>
              </w:rPr>
            </w:pPr>
          </w:p>
        </w:tc>
        <w:tc>
          <w:tcPr>
            <w:tcW w:w="1524" w:type="dxa"/>
            <w:gridSpan w:val="2"/>
            <w:vAlign w:val="bottom"/>
          </w:tcPr>
          <w:p w14:paraId="2098D401" w14:textId="77777777" w:rsidR="00055AE6" w:rsidRPr="00E70587" w:rsidRDefault="00055AE6" w:rsidP="00055AE6">
            <w:pPr>
              <w:pStyle w:val="tabletxtns"/>
              <w:spacing w:before="0" w:line="280" w:lineRule="exact"/>
              <w:rPr>
                <w:rFonts w:ascii="Arial" w:hAnsi="Arial" w:cs="Arial"/>
                <w:color w:val="auto"/>
                <w:sz w:val="20"/>
              </w:rPr>
            </w:pPr>
          </w:p>
        </w:tc>
        <w:tc>
          <w:tcPr>
            <w:tcW w:w="1524" w:type="dxa"/>
            <w:gridSpan w:val="2"/>
            <w:vAlign w:val="bottom"/>
          </w:tcPr>
          <w:p w14:paraId="2209DB12" w14:textId="77777777" w:rsidR="00055AE6" w:rsidRPr="00E70587" w:rsidRDefault="00055AE6" w:rsidP="00055AE6">
            <w:pPr>
              <w:pStyle w:val="tabletxtns"/>
              <w:spacing w:before="0" w:line="280" w:lineRule="exact"/>
              <w:rPr>
                <w:rFonts w:ascii="Arial" w:hAnsi="Arial" w:cs="Arial"/>
                <w:color w:val="auto"/>
                <w:sz w:val="20"/>
              </w:rPr>
            </w:pPr>
          </w:p>
        </w:tc>
      </w:tr>
      <w:tr w:rsidR="00055AE6" w:rsidRPr="00E70587" w14:paraId="4DBB9C87" w14:textId="77777777" w:rsidTr="00F27305">
        <w:trPr>
          <w:gridAfter w:val="2"/>
          <w:wAfter w:w="1980" w:type="dxa"/>
        </w:trPr>
        <w:tc>
          <w:tcPr>
            <w:tcW w:w="5479" w:type="dxa"/>
            <w:vAlign w:val="bottom"/>
          </w:tcPr>
          <w:p w14:paraId="1E9727BB" w14:textId="77777777" w:rsidR="00055AE6" w:rsidRPr="00E70587" w:rsidRDefault="00055AE6" w:rsidP="00055AE6">
            <w:pPr>
              <w:pStyle w:val="tabletext"/>
              <w:spacing w:line="280" w:lineRule="exact"/>
              <w:rPr>
                <w:rFonts w:ascii="Arial" w:hAnsi="Arial" w:cs="Arial"/>
                <w:sz w:val="20"/>
                <w:lang w:val="en-IN"/>
              </w:rPr>
            </w:pPr>
            <w:r w:rsidRPr="00E70587">
              <w:rPr>
                <w:rFonts w:ascii="Arial" w:hAnsi="Arial" w:cs="Arial"/>
                <w:sz w:val="20"/>
                <w:lang w:val="en-IN"/>
              </w:rPr>
              <w:t>Re-measurement gains (losses) on defined benefit plans</w:t>
            </w:r>
          </w:p>
        </w:tc>
        <w:tc>
          <w:tcPr>
            <w:tcW w:w="1049" w:type="dxa"/>
            <w:gridSpan w:val="2"/>
            <w:vAlign w:val="bottom"/>
          </w:tcPr>
          <w:p w14:paraId="27DBF14C" w14:textId="77777777" w:rsidR="00055AE6" w:rsidRPr="00E70587" w:rsidRDefault="00055AE6" w:rsidP="00055AE6">
            <w:pPr>
              <w:pStyle w:val="tabletext"/>
              <w:spacing w:line="280" w:lineRule="exact"/>
              <w:jc w:val="center"/>
              <w:rPr>
                <w:rFonts w:ascii="Arial" w:hAnsi="Arial" w:cs="Arial"/>
                <w:sz w:val="20"/>
                <w:lang w:val="en-IN"/>
              </w:rPr>
            </w:pPr>
            <w:r w:rsidRPr="00E70587">
              <w:rPr>
                <w:rFonts w:ascii="Arial" w:hAnsi="Arial" w:cs="Arial"/>
                <w:sz w:val="20"/>
                <w:lang w:val="en-IN"/>
              </w:rPr>
              <w:t>40</w:t>
            </w:r>
          </w:p>
        </w:tc>
        <w:tc>
          <w:tcPr>
            <w:tcW w:w="1524" w:type="dxa"/>
            <w:gridSpan w:val="2"/>
            <w:vAlign w:val="bottom"/>
          </w:tcPr>
          <w:p w14:paraId="3BC4CB93"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664</w:t>
            </w:r>
          </w:p>
        </w:tc>
        <w:tc>
          <w:tcPr>
            <w:tcW w:w="1524" w:type="dxa"/>
            <w:gridSpan w:val="2"/>
            <w:vAlign w:val="bottom"/>
          </w:tcPr>
          <w:p w14:paraId="07C28D83"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(700)</w:t>
            </w:r>
          </w:p>
        </w:tc>
      </w:tr>
      <w:tr w:rsidR="00055AE6" w:rsidRPr="00E70587" w14:paraId="05F967B1" w14:textId="77777777" w:rsidTr="00F27305">
        <w:trPr>
          <w:gridAfter w:val="2"/>
          <w:wAfter w:w="1980" w:type="dxa"/>
        </w:trPr>
        <w:tc>
          <w:tcPr>
            <w:tcW w:w="5479" w:type="dxa"/>
            <w:vAlign w:val="bottom"/>
          </w:tcPr>
          <w:p w14:paraId="3170BAE4" w14:textId="77777777" w:rsidR="00055AE6" w:rsidRPr="00E70587" w:rsidRDefault="00055AE6" w:rsidP="00055AE6">
            <w:pPr>
              <w:pStyle w:val="tabletext"/>
              <w:spacing w:line="280" w:lineRule="exact"/>
              <w:rPr>
                <w:rFonts w:ascii="Arial" w:hAnsi="Arial" w:cs="Arial"/>
                <w:sz w:val="20"/>
                <w:lang w:val="en-IN"/>
              </w:rPr>
            </w:pPr>
            <w:r w:rsidRPr="00E70587">
              <w:rPr>
                <w:rFonts w:ascii="Arial" w:hAnsi="Arial" w:cs="Arial"/>
                <w:sz w:val="20"/>
                <w:lang w:val="en-IN"/>
              </w:rPr>
              <w:t>Income tax effect</w:t>
            </w:r>
          </w:p>
        </w:tc>
        <w:tc>
          <w:tcPr>
            <w:tcW w:w="1049" w:type="dxa"/>
            <w:gridSpan w:val="2"/>
          </w:tcPr>
          <w:p w14:paraId="4CBE7A1E" w14:textId="77777777" w:rsidR="00055AE6" w:rsidRPr="00E70587" w:rsidRDefault="00055AE6" w:rsidP="00055AE6">
            <w:pPr>
              <w:pStyle w:val="tabletext"/>
              <w:spacing w:line="280" w:lineRule="exact"/>
              <w:jc w:val="center"/>
              <w:rPr>
                <w:rFonts w:ascii="Arial" w:hAnsi="Arial" w:cs="Arial"/>
                <w:sz w:val="20"/>
                <w:lang w:val="en-IN"/>
              </w:rPr>
            </w:pPr>
          </w:p>
        </w:tc>
        <w:tc>
          <w:tcPr>
            <w:tcW w:w="1524" w:type="dxa"/>
            <w:gridSpan w:val="2"/>
            <w:tcBorders>
              <w:bottom w:val="single" w:sz="2" w:space="0" w:color="auto"/>
            </w:tcBorders>
            <w:vAlign w:val="bottom"/>
          </w:tcPr>
          <w:p w14:paraId="425FC111"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(202)</w:t>
            </w:r>
          </w:p>
        </w:tc>
        <w:tc>
          <w:tcPr>
            <w:tcW w:w="1524" w:type="dxa"/>
            <w:gridSpan w:val="2"/>
            <w:tcBorders>
              <w:bottom w:val="single" w:sz="2" w:space="0" w:color="auto"/>
            </w:tcBorders>
            <w:vAlign w:val="bottom"/>
          </w:tcPr>
          <w:p w14:paraId="6E7E7FCA"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209</w:t>
            </w:r>
          </w:p>
        </w:tc>
      </w:tr>
      <w:tr w:rsidR="00055AE6" w:rsidRPr="00E70587" w14:paraId="5BDC843C" w14:textId="77777777" w:rsidTr="00F27305">
        <w:trPr>
          <w:gridAfter w:val="2"/>
          <w:wAfter w:w="1980" w:type="dxa"/>
        </w:trPr>
        <w:tc>
          <w:tcPr>
            <w:tcW w:w="5479" w:type="dxa"/>
            <w:vAlign w:val="bottom"/>
          </w:tcPr>
          <w:p w14:paraId="4C0B95CA" w14:textId="77777777" w:rsidR="00055AE6" w:rsidRPr="00E70587" w:rsidRDefault="00055AE6" w:rsidP="00055AE6">
            <w:pPr>
              <w:pStyle w:val="tabletext"/>
              <w:spacing w:line="280" w:lineRule="exact"/>
              <w:rPr>
                <w:rFonts w:ascii="Arial" w:hAnsi="Arial" w:cs="Arial"/>
                <w:b/>
                <w:sz w:val="20"/>
                <w:lang w:val="en-IN"/>
              </w:rPr>
            </w:pPr>
          </w:p>
        </w:tc>
        <w:tc>
          <w:tcPr>
            <w:tcW w:w="1049" w:type="dxa"/>
            <w:gridSpan w:val="2"/>
          </w:tcPr>
          <w:p w14:paraId="737E51D4" w14:textId="77777777" w:rsidR="00055AE6" w:rsidRPr="00E70587" w:rsidRDefault="00055AE6" w:rsidP="00055AE6">
            <w:pPr>
              <w:pStyle w:val="tabletext"/>
              <w:spacing w:line="280" w:lineRule="exact"/>
              <w:jc w:val="center"/>
              <w:rPr>
                <w:rFonts w:ascii="Arial" w:hAnsi="Arial" w:cs="Arial"/>
                <w:b/>
                <w:sz w:val="20"/>
                <w:lang w:val="en-IN"/>
              </w:rPr>
            </w:pPr>
          </w:p>
        </w:tc>
        <w:tc>
          <w:tcPr>
            <w:tcW w:w="1524" w:type="dxa"/>
            <w:gridSpan w:val="2"/>
            <w:tcBorders>
              <w:top w:val="single" w:sz="2" w:space="0" w:color="auto"/>
            </w:tcBorders>
            <w:vAlign w:val="bottom"/>
          </w:tcPr>
          <w:p w14:paraId="50161DFD" w14:textId="77777777" w:rsidR="00055AE6" w:rsidRPr="00E70587" w:rsidRDefault="00055AE6" w:rsidP="00055AE6">
            <w:pPr>
              <w:spacing w:line="280" w:lineRule="exact"/>
              <w:jc w:val="right"/>
              <w:rPr>
                <w:rFonts w:ascii="Arial" w:hAnsi="Arial" w:cs="Arial"/>
                <w:b/>
                <w:sz w:val="20"/>
              </w:rPr>
            </w:pPr>
            <w:r w:rsidRPr="00E70587">
              <w:rPr>
                <w:rFonts w:ascii="Arial" w:hAnsi="Arial" w:cs="Arial"/>
                <w:b/>
                <w:sz w:val="20"/>
              </w:rPr>
              <w:t>462</w:t>
            </w:r>
          </w:p>
        </w:tc>
        <w:tc>
          <w:tcPr>
            <w:tcW w:w="1524" w:type="dxa"/>
            <w:gridSpan w:val="2"/>
            <w:tcBorders>
              <w:top w:val="single" w:sz="2" w:space="0" w:color="auto"/>
            </w:tcBorders>
            <w:vAlign w:val="bottom"/>
          </w:tcPr>
          <w:p w14:paraId="7B894301" w14:textId="77777777" w:rsidR="00055AE6" w:rsidRPr="00E70587" w:rsidRDefault="00055AE6" w:rsidP="00055AE6">
            <w:pPr>
              <w:spacing w:line="280" w:lineRule="exact"/>
              <w:jc w:val="right"/>
              <w:rPr>
                <w:rFonts w:ascii="Arial" w:hAnsi="Arial" w:cs="Arial"/>
                <w:b/>
                <w:sz w:val="20"/>
              </w:rPr>
            </w:pPr>
            <w:r w:rsidRPr="00E70587">
              <w:rPr>
                <w:rFonts w:ascii="Arial" w:hAnsi="Arial" w:cs="Arial"/>
                <w:b/>
                <w:sz w:val="20"/>
              </w:rPr>
              <w:t>(491)</w:t>
            </w:r>
          </w:p>
        </w:tc>
      </w:tr>
      <w:tr w:rsidR="00055AE6" w:rsidRPr="00E70587" w14:paraId="29CDF2EB" w14:textId="77777777" w:rsidTr="00F27305">
        <w:trPr>
          <w:gridAfter w:val="2"/>
          <w:wAfter w:w="1980" w:type="dxa"/>
        </w:trPr>
        <w:tc>
          <w:tcPr>
            <w:tcW w:w="5479" w:type="dxa"/>
            <w:vAlign w:val="bottom"/>
          </w:tcPr>
          <w:p w14:paraId="35C9C9D7" w14:textId="77777777" w:rsidR="00055AE6" w:rsidRPr="00E70587" w:rsidRDefault="00055AE6" w:rsidP="00055AE6">
            <w:pPr>
              <w:pStyle w:val="tabletxtns"/>
              <w:spacing w:before="0" w:line="280" w:lineRule="exact"/>
              <w:rPr>
                <w:rFonts w:ascii="Arial" w:hAnsi="Arial" w:cs="Arial"/>
                <w:color w:val="auto"/>
                <w:sz w:val="20"/>
              </w:rPr>
            </w:pPr>
          </w:p>
        </w:tc>
        <w:tc>
          <w:tcPr>
            <w:tcW w:w="1049" w:type="dxa"/>
            <w:gridSpan w:val="2"/>
          </w:tcPr>
          <w:p w14:paraId="195100FE" w14:textId="77777777" w:rsidR="00055AE6" w:rsidRPr="00E70587" w:rsidRDefault="00055AE6" w:rsidP="00055AE6">
            <w:pPr>
              <w:pStyle w:val="tabletxtns"/>
              <w:spacing w:before="0" w:line="280" w:lineRule="exact"/>
              <w:jc w:val="center"/>
              <w:rPr>
                <w:rFonts w:ascii="Arial" w:hAnsi="Arial" w:cs="Arial"/>
                <w:color w:val="auto"/>
                <w:sz w:val="20"/>
              </w:rPr>
            </w:pPr>
          </w:p>
        </w:tc>
        <w:tc>
          <w:tcPr>
            <w:tcW w:w="1524" w:type="dxa"/>
            <w:gridSpan w:val="2"/>
            <w:vAlign w:val="bottom"/>
          </w:tcPr>
          <w:p w14:paraId="539FD97A" w14:textId="77777777" w:rsidR="00055AE6" w:rsidRPr="00E70587" w:rsidRDefault="00055AE6" w:rsidP="00055AE6">
            <w:pPr>
              <w:pStyle w:val="tabletxtns"/>
              <w:spacing w:before="0" w:line="280" w:lineRule="exact"/>
              <w:rPr>
                <w:rFonts w:ascii="Arial" w:hAnsi="Arial" w:cs="Arial"/>
                <w:color w:val="auto"/>
                <w:sz w:val="20"/>
              </w:rPr>
            </w:pPr>
          </w:p>
        </w:tc>
        <w:tc>
          <w:tcPr>
            <w:tcW w:w="1524" w:type="dxa"/>
            <w:gridSpan w:val="2"/>
            <w:vAlign w:val="bottom"/>
          </w:tcPr>
          <w:p w14:paraId="366708EB" w14:textId="77777777" w:rsidR="00055AE6" w:rsidRPr="00E70587" w:rsidRDefault="00055AE6" w:rsidP="00055AE6">
            <w:pPr>
              <w:pStyle w:val="tabletxtns"/>
              <w:spacing w:before="0" w:line="280" w:lineRule="exact"/>
              <w:rPr>
                <w:rFonts w:ascii="Arial" w:hAnsi="Arial" w:cs="Arial"/>
                <w:color w:val="auto"/>
                <w:sz w:val="20"/>
              </w:rPr>
            </w:pPr>
          </w:p>
        </w:tc>
      </w:tr>
      <w:tr w:rsidR="00055AE6" w:rsidRPr="00E70587" w14:paraId="2B355FEF" w14:textId="77777777" w:rsidTr="00F27305">
        <w:trPr>
          <w:gridAfter w:val="2"/>
          <w:wAfter w:w="1980" w:type="dxa"/>
        </w:trPr>
        <w:tc>
          <w:tcPr>
            <w:tcW w:w="5479" w:type="dxa"/>
            <w:vAlign w:val="bottom"/>
          </w:tcPr>
          <w:p w14:paraId="5CECE927" w14:textId="77777777" w:rsidR="00055AE6" w:rsidRPr="00E70587" w:rsidRDefault="00055AE6" w:rsidP="00055AE6">
            <w:pPr>
              <w:pStyle w:val="tabletext"/>
              <w:spacing w:line="280" w:lineRule="exact"/>
              <w:rPr>
                <w:rFonts w:ascii="Arial" w:hAnsi="Arial" w:cs="Arial"/>
                <w:sz w:val="20"/>
                <w:lang w:val="en-IN"/>
              </w:rPr>
            </w:pPr>
            <w:r w:rsidRPr="00E70587">
              <w:rPr>
                <w:rFonts w:ascii="Arial" w:hAnsi="Arial" w:cs="Arial"/>
                <w:sz w:val="20"/>
                <w:lang w:val="en-IN"/>
              </w:rPr>
              <w:t>Revaluation of land and buildings</w:t>
            </w:r>
          </w:p>
        </w:tc>
        <w:tc>
          <w:tcPr>
            <w:tcW w:w="1049" w:type="dxa"/>
            <w:gridSpan w:val="2"/>
          </w:tcPr>
          <w:p w14:paraId="07B95776" w14:textId="77777777" w:rsidR="00055AE6" w:rsidRPr="00E70587" w:rsidRDefault="00055AE6" w:rsidP="00055AE6">
            <w:pPr>
              <w:pStyle w:val="tabletext"/>
              <w:spacing w:line="280" w:lineRule="exact"/>
              <w:jc w:val="center"/>
              <w:rPr>
                <w:rFonts w:ascii="Arial" w:hAnsi="Arial" w:cs="Arial"/>
                <w:sz w:val="20"/>
                <w:lang w:val="en-IN"/>
              </w:rPr>
            </w:pPr>
            <w:r w:rsidRPr="00E70587">
              <w:rPr>
                <w:rFonts w:ascii="Arial" w:hAnsi="Arial" w:cs="Arial"/>
                <w:sz w:val="20"/>
                <w:lang w:val="en-IN"/>
              </w:rPr>
              <w:t>3</w:t>
            </w:r>
          </w:p>
        </w:tc>
        <w:tc>
          <w:tcPr>
            <w:tcW w:w="1524" w:type="dxa"/>
            <w:gridSpan w:val="2"/>
            <w:vAlign w:val="bottom"/>
          </w:tcPr>
          <w:p w14:paraId="6C5CF89F"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1,523</w:t>
            </w:r>
          </w:p>
        </w:tc>
        <w:tc>
          <w:tcPr>
            <w:tcW w:w="1524" w:type="dxa"/>
            <w:gridSpan w:val="2"/>
            <w:vAlign w:val="bottom"/>
          </w:tcPr>
          <w:p w14:paraId="45BAD2CA"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w:t>
            </w:r>
          </w:p>
        </w:tc>
      </w:tr>
      <w:tr w:rsidR="00055AE6" w:rsidRPr="00E70587" w14:paraId="0349D261" w14:textId="77777777" w:rsidTr="00F27305">
        <w:trPr>
          <w:gridAfter w:val="2"/>
          <w:wAfter w:w="1980" w:type="dxa"/>
        </w:trPr>
        <w:tc>
          <w:tcPr>
            <w:tcW w:w="5479" w:type="dxa"/>
          </w:tcPr>
          <w:p w14:paraId="39AE116A" w14:textId="77777777" w:rsidR="00055AE6" w:rsidRPr="00E70587" w:rsidRDefault="00055AE6" w:rsidP="00055AE6">
            <w:pPr>
              <w:pStyle w:val="tabletext"/>
              <w:spacing w:line="280" w:lineRule="exact"/>
              <w:rPr>
                <w:rFonts w:ascii="Arial" w:hAnsi="Arial" w:cs="Arial"/>
                <w:sz w:val="20"/>
                <w:lang w:val="en-IN"/>
              </w:rPr>
            </w:pPr>
            <w:r w:rsidRPr="00E70587">
              <w:rPr>
                <w:rFonts w:ascii="Arial" w:hAnsi="Arial" w:cs="Arial"/>
                <w:sz w:val="20"/>
                <w:lang w:val="en-IN"/>
              </w:rPr>
              <w:t xml:space="preserve">Income tax effect </w:t>
            </w:r>
          </w:p>
        </w:tc>
        <w:tc>
          <w:tcPr>
            <w:tcW w:w="1049" w:type="dxa"/>
            <w:gridSpan w:val="2"/>
          </w:tcPr>
          <w:p w14:paraId="65DEF52F" w14:textId="77777777" w:rsidR="00055AE6" w:rsidRPr="00E70587" w:rsidRDefault="00055AE6" w:rsidP="00055AE6">
            <w:pPr>
              <w:pStyle w:val="tabletext"/>
              <w:spacing w:line="280" w:lineRule="exact"/>
              <w:jc w:val="center"/>
              <w:rPr>
                <w:rFonts w:ascii="Arial" w:hAnsi="Arial" w:cs="Arial"/>
                <w:sz w:val="20"/>
                <w:lang w:val="en-IN"/>
              </w:rPr>
            </w:pPr>
          </w:p>
        </w:tc>
        <w:tc>
          <w:tcPr>
            <w:tcW w:w="1524" w:type="dxa"/>
            <w:gridSpan w:val="2"/>
            <w:tcBorders>
              <w:bottom w:val="single" w:sz="2" w:space="0" w:color="auto"/>
            </w:tcBorders>
            <w:vAlign w:val="bottom"/>
          </w:tcPr>
          <w:p w14:paraId="3570F892"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(457)</w:t>
            </w:r>
          </w:p>
        </w:tc>
        <w:tc>
          <w:tcPr>
            <w:tcW w:w="1524" w:type="dxa"/>
            <w:gridSpan w:val="2"/>
            <w:tcBorders>
              <w:bottom w:val="single" w:sz="2" w:space="0" w:color="auto"/>
            </w:tcBorders>
            <w:vAlign w:val="bottom"/>
          </w:tcPr>
          <w:p w14:paraId="49FCD37A"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w:t>
            </w:r>
          </w:p>
        </w:tc>
      </w:tr>
      <w:tr w:rsidR="00055AE6" w:rsidRPr="00E70587" w14:paraId="42D66DE3" w14:textId="77777777" w:rsidTr="00F27305">
        <w:trPr>
          <w:gridAfter w:val="2"/>
          <w:wAfter w:w="1980" w:type="dxa"/>
        </w:trPr>
        <w:tc>
          <w:tcPr>
            <w:tcW w:w="5479" w:type="dxa"/>
          </w:tcPr>
          <w:p w14:paraId="42188BA9" w14:textId="77777777" w:rsidR="00055AE6" w:rsidRPr="00E70587" w:rsidRDefault="00055AE6" w:rsidP="00055AE6">
            <w:pPr>
              <w:pStyle w:val="tabletext"/>
              <w:spacing w:line="280" w:lineRule="exact"/>
              <w:rPr>
                <w:rFonts w:ascii="Arial" w:hAnsi="Arial" w:cs="Arial"/>
                <w:b/>
                <w:sz w:val="20"/>
                <w:lang w:val="en-IN"/>
              </w:rPr>
            </w:pPr>
          </w:p>
        </w:tc>
        <w:tc>
          <w:tcPr>
            <w:tcW w:w="1049" w:type="dxa"/>
            <w:gridSpan w:val="2"/>
          </w:tcPr>
          <w:p w14:paraId="42B2A39F" w14:textId="77777777" w:rsidR="00055AE6" w:rsidRPr="00E70587" w:rsidRDefault="00055AE6" w:rsidP="00055AE6">
            <w:pPr>
              <w:pStyle w:val="tabletext"/>
              <w:spacing w:line="280" w:lineRule="exact"/>
              <w:jc w:val="center"/>
              <w:rPr>
                <w:rFonts w:ascii="Arial" w:hAnsi="Arial" w:cs="Arial"/>
                <w:b/>
                <w:sz w:val="20"/>
                <w:lang w:val="en-IN"/>
              </w:rPr>
            </w:pPr>
          </w:p>
        </w:tc>
        <w:tc>
          <w:tcPr>
            <w:tcW w:w="1524" w:type="dxa"/>
            <w:gridSpan w:val="2"/>
            <w:tcBorders>
              <w:top w:val="single" w:sz="2" w:space="0" w:color="auto"/>
            </w:tcBorders>
            <w:vAlign w:val="bottom"/>
          </w:tcPr>
          <w:p w14:paraId="5A3BD158" w14:textId="77777777" w:rsidR="00055AE6" w:rsidRPr="00E70587" w:rsidRDefault="00055AE6" w:rsidP="00055AE6">
            <w:pPr>
              <w:spacing w:line="280" w:lineRule="exact"/>
              <w:jc w:val="right"/>
              <w:rPr>
                <w:rFonts w:ascii="Arial" w:hAnsi="Arial" w:cs="Arial"/>
                <w:b/>
                <w:sz w:val="20"/>
              </w:rPr>
            </w:pPr>
            <w:r w:rsidRPr="00E70587">
              <w:rPr>
                <w:rFonts w:ascii="Arial" w:hAnsi="Arial" w:cs="Arial"/>
                <w:b/>
                <w:sz w:val="20"/>
              </w:rPr>
              <w:t>1,066</w:t>
            </w:r>
          </w:p>
        </w:tc>
        <w:tc>
          <w:tcPr>
            <w:tcW w:w="1524" w:type="dxa"/>
            <w:gridSpan w:val="2"/>
            <w:tcBorders>
              <w:top w:val="single" w:sz="2" w:space="0" w:color="auto"/>
            </w:tcBorders>
            <w:vAlign w:val="bottom"/>
          </w:tcPr>
          <w:p w14:paraId="43DAFADB" w14:textId="77777777" w:rsidR="00055AE6" w:rsidRPr="00E70587" w:rsidRDefault="00055AE6" w:rsidP="00055AE6">
            <w:pPr>
              <w:spacing w:line="280" w:lineRule="exact"/>
              <w:jc w:val="right"/>
              <w:rPr>
                <w:rFonts w:ascii="Arial" w:hAnsi="Arial" w:cs="Arial"/>
                <w:b/>
                <w:sz w:val="20"/>
              </w:rPr>
            </w:pPr>
            <w:r w:rsidRPr="00E70587">
              <w:rPr>
                <w:rFonts w:ascii="Arial" w:hAnsi="Arial" w:cs="Arial"/>
                <w:b/>
                <w:sz w:val="20"/>
              </w:rPr>
              <w:t>-</w:t>
            </w:r>
          </w:p>
        </w:tc>
      </w:tr>
      <w:tr w:rsidR="00055AE6" w:rsidRPr="00E70587" w14:paraId="37507013" w14:textId="77777777" w:rsidTr="00F27305">
        <w:trPr>
          <w:gridAfter w:val="2"/>
          <w:wAfter w:w="1980" w:type="dxa"/>
        </w:trPr>
        <w:tc>
          <w:tcPr>
            <w:tcW w:w="5479" w:type="dxa"/>
          </w:tcPr>
          <w:p w14:paraId="21D1A3C6" w14:textId="77777777" w:rsidR="00055AE6" w:rsidRPr="00E70587" w:rsidRDefault="00055AE6" w:rsidP="00055AE6">
            <w:pPr>
              <w:pStyle w:val="tabletxtns"/>
              <w:spacing w:before="0" w:line="280" w:lineRule="exact"/>
              <w:rPr>
                <w:rFonts w:ascii="Arial" w:hAnsi="Arial" w:cs="Arial"/>
                <w:color w:val="auto"/>
                <w:sz w:val="20"/>
              </w:rPr>
            </w:pPr>
          </w:p>
        </w:tc>
        <w:tc>
          <w:tcPr>
            <w:tcW w:w="1049" w:type="dxa"/>
            <w:gridSpan w:val="2"/>
          </w:tcPr>
          <w:p w14:paraId="0284AD1D" w14:textId="77777777" w:rsidR="00055AE6" w:rsidRPr="00E70587" w:rsidRDefault="00055AE6" w:rsidP="00055AE6">
            <w:pPr>
              <w:pStyle w:val="tabletxtns"/>
              <w:spacing w:before="0" w:line="280" w:lineRule="exact"/>
              <w:jc w:val="center"/>
              <w:rPr>
                <w:rFonts w:ascii="Arial" w:hAnsi="Arial" w:cs="Arial"/>
                <w:color w:val="auto"/>
                <w:sz w:val="20"/>
              </w:rPr>
            </w:pPr>
          </w:p>
        </w:tc>
        <w:tc>
          <w:tcPr>
            <w:tcW w:w="1524" w:type="dxa"/>
            <w:gridSpan w:val="2"/>
            <w:vAlign w:val="bottom"/>
          </w:tcPr>
          <w:p w14:paraId="36F1DE45" w14:textId="77777777" w:rsidR="00055AE6" w:rsidRPr="00E70587" w:rsidRDefault="00055AE6" w:rsidP="00055AE6">
            <w:pPr>
              <w:pStyle w:val="tabletxtns"/>
              <w:spacing w:before="0" w:line="280" w:lineRule="exact"/>
              <w:rPr>
                <w:rFonts w:ascii="Arial" w:hAnsi="Arial" w:cs="Arial"/>
                <w:color w:val="auto"/>
                <w:sz w:val="20"/>
              </w:rPr>
            </w:pPr>
          </w:p>
        </w:tc>
        <w:tc>
          <w:tcPr>
            <w:tcW w:w="1524" w:type="dxa"/>
            <w:gridSpan w:val="2"/>
            <w:vAlign w:val="bottom"/>
          </w:tcPr>
          <w:p w14:paraId="77E8C166" w14:textId="77777777" w:rsidR="00055AE6" w:rsidRPr="00E70587" w:rsidRDefault="00055AE6" w:rsidP="00055AE6">
            <w:pPr>
              <w:pStyle w:val="tabletxtns"/>
              <w:spacing w:before="0" w:line="280" w:lineRule="exact"/>
              <w:rPr>
                <w:rFonts w:ascii="Arial" w:hAnsi="Arial" w:cs="Arial"/>
                <w:color w:val="auto"/>
                <w:sz w:val="20"/>
              </w:rPr>
            </w:pPr>
          </w:p>
        </w:tc>
      </w:tr>
      <w:tr w:rsidR="00055AE6" w:rsidRPr="004E7CB3" w14:paraId="442504E0" w14:textId="77777777" w:rsidTr="00FF32A7">
        <w:trPr>
          <w:gridAfter w:val="2"/>
          <w:wAfter w:w="1980" w:type="dxa"/>
        </w:trPr>
        <w:tc>
          <w:tcPr>
            <w:tcW w:w="5479" w:type="dxa"/>
            <w:vAlign w:val="bottom"/>
          </w:tcPr>
          <w:p w14:paraId="380F0D7A" w14:textId="2BF40ED0" w:rsidR="00055AE6" w:rsidRPr="004E7CB3" w:rsidRDefault="00055AE6" w:rsidP="00055AE6">
            <w:pPr>
              <w:pStyle w:val="tabletxtns"/>
              <w:spacing w:before="0" w:line="280" w:lineRule="exact"/>
              <w:rPr>
                <w:rFonts w:ascii="Arial" w:hAnsi="Arial" w:cs="Arial"/>
                <w:color w:val="auto"/>
                <w:sz w:val="20"/>
              </w:rPr>
            </w:pPr>
            <w:r w:rsidRPr="004E7CB3">
              <w:rPr>
                <w:rFonts w:ascii="Arial" w:hAnsi="Arial" w:cs="Arial"/>
                <w:sz w:val="20"/>
              </w:rPr>
              <w:t>Share of other comprehensive income of an associate</w:t>
            </w:r>
          </w:p>
        </w:tc>
        <w:tc>
          <w:tcPr>
            <w:tcW w:w="1049" w:type="dxa"/>
            <w:gridSpan w:val="2"/>
            <w:vAlign w:val="center"/>
          </w:tcPr>
          <w:p w14:paraId="3484CCED" w14:textId="79444C96" w:rsidR="00055AE6" w:rsidRPr="004E7CB3" w:rsidRDefault="00055AE6" w:rsidP="00055AE6">
            <w:pPr>
              <w:pStyle w:val="tabletxtns"/>
              <w:spacing w:before="0" w:line="280" w:lineRule="exact"/>
              <w:jc w:val="center"/>
              <w:rPr>
                <w:rFonts w:ascii="Arial" w:hAnsi="Arial" w:cs="Arial"/>
                <w:color w:val="auto"/>
                <w:sz w:val="20"/>
              </w:rPr>
            </w:pPr>
            <w:r w:rsidRPr="004E7CB3">
              <w:rPr>
                <w:rFonts w:ascii="Arial" w:hAnsi="Arial" w:cs="Arial"/>
                <w:sz w:val="20"/>
              </w:rPr>
              <w:t>32</w:t>
            </w:r>
          </w:p>
        </w:tc>
        <w:tc>
          <w:tcPr>
            <w:tcW w:w="1524" w:type="dxa"/>
            <w:gridSpan w:val="2"/>
          </w:tcPr>
          <w:p w14:paraId="65B65E23" w14:textId="1CE1FE18" w:rsidR="00055AE6" w:rsidRPr="004E7CB3" w:rsidRDefault="00055AE6" w:rsidP="00055AE6">
            <w:pPr>
              <w:pStyle w:val="tabletxtns"/>
              <w:spacing w:before="0" w:line="280" w:lineRule="exact"/>
              <w:jc w:val="right"/>
              <w:rPr>
                <w:rFonts w:ascii="Arial" w:hAnsi="Arial" w:cs="Arial"/>
                <w:color w:val="auto"/>
                <w:sz w:val="20"/>
              </w:rPr>
            </w:pPr>
            <w:r w:rsidRPr="004E7CB3">
              <w:rPr>
                <w:rFonts w:ascii="Arial" w:hAnsi="Arial" w:cs="Arial"/>
                <w:b/>
                <w:sz w:val="20"/>
              </w:rPr>
              <w:t>308</w:t>
            </w:r>
          </w:p>
        </w:tc>
        <w:tc>
          <w:tcPr>
            <w:tcW w:w="1524" w:type="dxa"/>
            <w:gridSpan w:val="2"/>
            <w:vAlign w:val="bottom"/>
          </w:tcPr>
          <w:p w14:paraId="20464DD7" w14:textId="656A6E52" w:rsidR="00055AE6" w:rsidRPr="004E7CB3" w:rsidRDefault="00055AE6" w:rsidP="00055AE6">
            <w:pPr>
              <w:pStyle w:val="tabletxtns"/>
              <w:spacing w:before="0" w:line="280" w:lineRule="exact"/>
              <w:jc w:val="right"/>
              <w:rPr>
                <w:rFonts w:ascii="Arial" w:hAnsi="Arial" w:cs="Arial"/>
                <w:color w:val="auto"/>
                <w:sz w:val="20"/>
              </w:rPr>
            </w:pPr>
            <w:r>
              <w:rPr>
                <w:rFonts w:ascii="Arial" w:hAnsi="Arial" w:cs="Arial"/>
                <w:color w:val="auto"/>
                <w:sz w:val="20"/>
              </w:rPr>
              <w:t>-</w:t>
            </w:r>
          </w:p>
        </w:tc>
      </w:tr>
      <w:tr w:rsidR="00055AE6" w:rsidRPr="004E7CB3" w14:paraId="244D3FFB" w14:textId="77777777" w:rsidTr="00FF32A7">
        <w:trPr>
          <w:gridAfter w:val="2"/>
          <w:wAfter w:w="1980" w:type="dxa"/>
        </w:trPr>
        <w:tc>
          <w:tcPr>
            <w:tcW w:w="5479" w:type="dxa"/>
            <w:vAlign w:val="bottom"/>
          </w:tcPr>
          <w:p w14:paraId="7399F886" w14:textId="7422F67E" w:rsidR="00055AE6" w:rsidRPr="004E7CB3" w:rsidRDefault="00055AE6" w:rsidP="00055AE6">
            <w:pPr>
              <w:pStyle w:val="tabletxtns"/>
              <w:spacing w:before="0" w:line="280" w:lineRule="exact"/>
              <w:rPr>
                <w:rFonts w:ascii="Arial" w:hAnsi="Arial" w:cs="Arial"/>
                <w:color w:val="auto"/>
                <w:sz w:val="20"/>
              </w:rPr>
            </w:pPr>
            <w:r w:rsidRPr="004E7CB3">
              <w:rPr>
                <w:rFonts w:ascii="Arial" w:hAnsi="Arial" w:cs="Arial"/>
                <w:sz w:val="20"/>
              </w:rPr>
              <w:t>Income tax effect</w:t>
            </w:r>
          </w:p>
        </w:tc>
        <w:tc>
          <w:tcPr>
            <w:tcW w:w="1049" w:type="dxa"/>
            <w:gridSpan w:val="2"/>
            <w:vAlign w:val="center"/>
          </w:tcPr>
          <w:p w14:paraId="74E00F6F" w14:textId="77777777" w:rsidR="00055AE6" w:rsidRPr="004E7CB3" w:rsidRDefault="00055AE6" w:rsidP="00055AE6">
            <w:pPr>
              <w:pStyle w:val="tabletxtns"/>
              <w:spacing w:before="0" w:line="280" w:lineRule="exact"/>
              <w:jc w:val="center"/>
              <w:rPr>
                <w:rFonts w:ascii="Arial" w:hAnsi="Arial" w:cs="Arial"/>
                <w:color w:val="auto"/>
                <w:sz w:val="20"/>
              </w:rPr>
            </w:pPr>
          </w:p>
        </w:tc>
        <w:tc>
          <w:tcPr>
            <w:tcW w:w="1524" w:type="dxa"/>
            <w:gridSpan w:val="2"/>
            <w:tcBorders>
              <w:bottom w:val="single" w:sz="4" w:space="0" w:color="auto"/>
            </w:tcBorders>
          </w:tcPr>
          <w:p w14:paraId="52BCFEBF" w14:textId="24DDA993" w:rsidR="00055AE6" w:rsidRPr="004E7CB3" w:rsidRDefault="00055AE6" w:rsidP="00055AE6">
            <w:pPr>
              <w:pStyle w:val="tabletxtns"/>
              <w:spacing w:before="0" w:line="280" w:lineRule="exact"/>
              <w:jc w:val="right"/>
              <w:rPr>
                <w:rFonts w:ascii="Arial" w:hAnsi="Arial" w:cs="Arial"/>
                <w:color w:val="auto"/>
                <w:sz w:val="20"/>
              </w:rPr>
            </w:pPr>
            <w:r w:rsidRPr="004E7CB3">
              <w:rPr>
                <w:rFonts w:ascii="Arial" w:hAnsi="Arial" w:cs="Arial"/>
                <w:b/>
                <w:sz w:val="20"/>
              </w:rPr>
              <w:t>(92)</w:t>
            </w:r>
          </w:p>
        </w:tc>
        <w:tc>
          <w:tcPr>
            <w:tcW w:w="1524" w:type="dxa"/>
            <w:gridSpan w:val="2"/>
            <w:tcBorders>
              <w:bottom w:val="single" w:sz="4" w:space="0" w:color="auto"/>
            </w:tcBorders>
            <w:vAlign w:val="bottom"/>
          </w:tcPr>
          <w:p w14:paraId="3785D51B" w14:textId="3F173C05" w:rsidR="00055AE6" w:rsidRPr="004E7CB3" w:rsidRDefault="00055AE6" w:rsidP="00055AE6">
            <w:pPr>
              <w:pStyle w:val="tabletxtns"/>
              <w:spacing w:before="0" w:line="280" w:lineRule="exact"/>
              <w:jc w:val="right"/>
              <w:rPr>
                <w:rFonts w:ascii="Arial" w:hAnsi="Arial" w:cs="Arial"/>
                <w:color w:val="auto"/>
                <w:sz w:val="20"/>
              </w:rPr>
            </w:pPr>
            <w:r>
              <w:rPr>
                <w:rFonts w:ascii="Arial" w:hAnsi="Arial" w:cs="Arial"/>
                <w:color w:val="auto"/>
                <w:sz w:val="20"/>
              </w:rPr>
              <w:t>-</w:t>
            </w:r>
          </w:p>
        </w:tc>
      </w:tr>
      <w:tr w:rsidR="00055AE6" w:rsidRPr="00E70587" w14:paraId="5A204C84" w14:textId="77777777" w:rsidTr="00FF32A7">
        <w:trPr>
          <w:gridAfter w:val="2"/>
          <w:wAfter w:w="1980" w:type="dxa"/>
        </w:trPr>
        <w:tc>
          <w:tcPr>
            <w:tcW w:w="5479" w:type="dxa"/>
            <w:vAlign w:val="center"/>
          </w:tcPr>
          <w:p w14:paraId="06A34E4E" w14:textId="77777777" w:rsidR="00055AE6" w:rsidRPr="00E70587" w:rsidRDefault="00055AE6" w:rsidP="00055AE6">
            <w:pPr>
              <w:pStyle w:val="tabletxtns"/>
              <w:spacing w:before="0" w:line="280" w:lineRule="exact"/>
              <w:rPr>
                <w:rFonts w:ascii="Arial" w:hAnsi="Arial" w:cs="Arial"/>
                <w:color w:val="auto"/>
                <w:sz w:val="20"/>
              </w:rPr>
            </w:pPr>
          </w:p>
        </w:tc>
        <w:tc>
          <w:tcPr>
            <w:tcW w:w="1049" w:type="dxa"/>
            <w:gridSpan w:val="2"/>
            <w:vAlign w:val="center"/>
          </w:tcPr>
          <w:p w14:paraId="41FFCB7F" w14:textId="77777777" w:rsidR="00055AE6" w:rsidRPr="00E70587" w:rsidRDefault="00055AE6" w:rsidP="00055AE6">
            <w:pPr>
              <w:pStyle w:val="tabletxtns"/>
              <w:spacing w:before="0" w:line="280" w:lineRule="exact"/>
              <w:jc w:val="center"/>
              <w:rPr>
                <w:rFonts w:ascii="Arial" w:hAnsi="Arial" w:cs="Arial"/>
                <w:color w:val="auto"/>
                <w:sz w:val="20"/>
              </w:rPr>
            </w:pPr>
          </w:p>
        </w:tc>
        <w:tc>
          <w:tcPr>
            <w:tcW w:w="1524" w:type="dxa"/>
            <w:gridSpan w:val="2"/>
            <w:tcBorders>
              <w:top w:val="single" w:sz="4" w:space="0" w:color="auto"/>
            </w:tcBorders>
          </w:tcPr>
          <w:p w14:paraId="0D2E93B8" w14:textId="66BF317C" w:rsidR="00055AE6" w:rsidRPr="00E70587" w:rsidRDefault="00055AE6" w:rsidP="00055AE6">
            <w:pPr>
              <w:pStyle w:val="tabletxtns"/>
              <w:spacing w:before="0" w:line="280" w:lineRule="exact"/>
              <w:jc w:val="right"/>
              <w:rPr>
                <w:rFonts w:ascii="Arial" w:hAnsi="Arial" w:cs="Arial"/>
                <w:color w:val="auto"/>
                <w:sz w:val="20"/>
              </w:rPr>
            </w:pPr>
            <w:r>
              <w:rPr>
                <w:rFonts w:cs="Calibri"/>
                <w:b/>
                <w:szCs w:val="18"/>
              </w:rPr>
              <w:t>216</w:t>
            </w:r>
          </w:p>
        </w:tc>
        <w:tc>
          <w:tcPr>
            <w:tcW w:w="1524" w:type="dxa"/>
            <w:gridSpan w:val="2"/>
            <w:tcBorders>
              <w:top w:val="single" w:sz="4" w:space="0" w:color="auto"/>
            </w:tcBorders>
            <w:vAlign w:val="bottom"/>
          </w:tcPr>
          <w:p w14:paraId="4EE59F62" w14:textId="79666BCC" w:rsidR="00055AE6" w:rsidRPr="00E70587" w:rsidRDefault="00055AE6" w:rsidP="00055AE6">
            <w:pPr>
              <w:pStyle w:val="tabletxtns"/>
              <w:spacing w:before="0" w:line="280" w:lineRule="exact"/>
              <w:jc w:val="right"/>
              <w:rPr>
                <w:rFonts w:ascii="Arial" w:hAnsi="Arial" w:cs="Arial"/>
                <w:color w:val="auto"/>
                <w:sz w:val="20"/>
              </w:rPr>
            </w:pPr>
            <w:r>
              <w:rPr>
                <w:rFonts w:ascii="Arial" w:hAnsi="Arial" w:cs="Arial"/>
                <w:color w:val="auto"/>
                <w:sz w:val="20"/>
              </w:rPr>
              <w:t>-</w:t>
            </w:r>
          </w:p>
        </w:tc>
      </w:tr>
      <w:tr w:rsidR="00055AE6" w:rsidRPr="00E70587" w14:paraId="1FB2743C" w14:textId="77777777" w:rsidTr="00F27305">
        <w:trPr>
          <w:gridAfter w:val="2"/>
          <w:wAfter w:w="1980" w:type="dxa"/>
        </w:trPr>
        <w:tc>
          <w:tcPr>
            <w:tcW w:w="5479" w:type="dxa"/>
          </w:tcPr>
          <w:p w14:paraId="652867A1" w14:textId="77777777" w:rsidR="00055AE6" w:rsidRPr="00E70587" w:rsidRDefault="00055AE6" w:rsidP="00055AE6">
            <w:pPr>
              <w:pStyle w:val="tabletxtns"/>
              <w:spacing w:before="0" w:line="280" w:lineRule="exact"/>
              <w:rPr>
                <w:rFonts w:ascii="Arial" w:hAnsi="Arial" w:cs="Arial"/>
                <w:color w:val="auto"/>
                <w:sz w:val="20"/>
              </w:rPr>
            </w:pPr>
          </w:p>
        </w:tc>
        <w:tc>
          <w:tcPr>
            <w:tcW w:w="1049" w:type="dxa"/>
            <w:gridSpan w:val="2"/>
          </w:tcPr>
          <w:p w14:paraId="5A1C6A7F" w14:textId="77777777" w:rsidR="00055AE6" w:rsidRPr="00E70587" w:rsidRDefault="00055AE6" w:rsidP="00055AE6">
            <w:pPr>
              <w:pStyle w:val="tabletxtns"/>
              <w:spacing w:before="0" w:line="280" w:lineRule="exact"/>
              <w:jc w:val="center"/>
              <w:rPr>
                <w:rFonts w:ascii="Arial" w:hAnsi="Arial" w:cs="Arial"/>
                <w:color w:val="auto"/>
                <w:sz w:val="20"/>
              </w:rPr>
            </w:pPr>
          </w:p>
        </w:tc>
        <w:tc>
          <w:tcPr>
            <w:tcW w:w="1524" w:type="dxa"/>
            <w:gridSpan w:val="2"/>
            <w:vAlign w:val="bottom"/>
          </w:tcPr>
          <w:p w14:paraId="0F2E7044" w14:textId="77777777" w:rsidR="00055AE6" w:rsidRPr="00E70587" w:rsidRDefault="00055AE6" w:rsidP="00055AE6">
            <w:pPr>
              <w:pStyle w:val="tabletxtns"/>
              <w:spacing w:before="0" w:line="280" w:lineRule="exact"/>
              <w:rPr>
                <w:rFonts w:ascii="Arial" w:hAnsi="Arial" w:cs="Arial"/>
                <w:color w:val="auto"/>
                <w:sz w:val="20"/>
              </w:rPr>
            </w:pPr>
          </w:p>
        </w:tc>
        <w:tc>
          <w:tcPr>
            <w:tcW w:w="1524" w:type="dxa"/>
            <w:gridSpan w:val="2"/>
            <w:vAlign w:val="bottom"/>
          </w:tcPr>
          <w:p w14:paraId="0395AA49" w14:textId="77777777" w:rsidR="00055AE6" w:rsidRPr="00E70587" w:rsidRDefault="00055AE6" w:rsidP="00055AE6">
            <w:pPr>
              <w:pStyle w:val="tabletxtns"/>
              <w:spacing w:before="0" w:line="280" w:lineRule="exact"/>
              <w:rPr>
                <w:rFonts w:ascii="Arial" w:hAnsi="Arial" w:cs="Arial"/>
                <w:color w:val="auto"/>
                <w:sz w:val="20"/>
              </w:rPr>
            </w:pPr>
          </w:p>
        </w:tc>
      </w:tr>
      <w:tr w:rsidR="00055AE6" w:rsidRPr="00E70587" w14:paraId="58A8DACD" w14:textId="77777777" w:rsidTr="00F27305">
        <w:trPr>
          <w:gridAfter w:val="2"/>
          <w:wAfter w:w="1980" w:type="dxa"/>
        </w:trPr>
        <w:tc>
          <w:tcPr>
            <w:tcW w:w="5479" w:type="dxa"/>
          </w:tcPr>
          <w:p w14:paraId="37427E7F" w14:textId="77777777" w:rsidR="00055AE6" w:rsidRPr="00E70587" w:rsidRDefault="00055AE6" w:rsidP="00055AE6">
            <w:pPr>
              <w:pStyle w:val="tabletxtns"/>
              <w:spacing w:before="0" w:line="280" w:lineRule="exact"/>
              <w:rPr>
                <w:rFonts w:ascii="Arial" w:hAnsi="Arial" w:cs="Arial"/>
                <w:color w:val="auto"/>
                <w:sz w:val="20"/>
              </w:rPr>
            </w:pPr>
          </w:p>
        </w:tc>
        <w:tc>
          <w:tcPr>
            <w:tcW w:w="1049" w:type="dxa"/>
            <w:gridSpan w:val="2"/>
          </w:tcPr>
          <w:p w14:paraId="0CFBB099" w14:textId="77777777" w:rsidR="00055AE6" w:rsidRPr="00E70587" w:rsidRDefault="00055AE6" w:rsidP="00055AE6">
            <w:pPr>
              <w:pStyle w:val="tabletxtns"/>
              <w:spacing w:before="0" w:line="280" w:lineRule="exact"/>
              <w:jc w:val="center"/>
              <w:rPr>
                <w:rFonts w:ascii="Arial" w:hAnsi="Arial" w:cs="Arial"/>
                <w:color w:val="auto"/>
                <w:sz w:val="20"/>
              </w:rPr>
            </w:pPr>
          </w:p>
        </w:tc>
        <w:tc>
          <w:tcPr>
            <w:tcW w:w="1524" w:type="dxa"/>
            <w:gridSpan w:val="2"/>
            <w:vAlign w:val="bottom"/>
          </w:tcPr>
          <w:p w14:paraId="2EB2849F" w14:textId="77777777" w:rsidR="00055AE6" w:rsidRPr="00E70587" w:rsidRDefault="00055AE6" w:rsidP="00055AE6">
            <w:pPr>
              <w:pStyle w:val="tabletxtns"/>
              <w:spacing w:before="0" w:line="280" w:lineRule="exact"/>
              <w:rPr>
                <w:rFonts w:ascii="Arial" w:hAnsi="Arial" w:cs="Arial"/>
                <w:color w:val="auto"/>
                <w:sz w:val="20"/>
              </w:rPr>
            </w:pPr>
          </w:p>
        </w:tc>
        <w:tc>
          <w:tcPr>
            <w:tcW w:w="1524" w:type="dxa"/>
            <w:gridSpan w:val="2"/>
            <w:vAlign w:val="bottom"/>
          </w:tcPr>
          <w:p w14:paraId="11969398" w14:textId="77777777" w:rsidR="00055AE6" w:rsidRPr="00E70587" w:rsidRDefault="00055AE6" w:rsidP="00055AE6">
            <w:pPr>
              <w:pStyle w:val="tabletxtns"/>
              <w:spacing w:before="0" w:line="280" w:lineRule="exact"/>
              <w:rPr>
                <w:rFonts w:ascii="Arial" w:hAnsi="Arial" w:cs="Arial"/>
                <w:color w:val="auto"/>
                <w:sz w:val="20"/>
              </w:rPr>
            </w:pPr>
          </w:p>
        </w:tc>
      </w:tr>
      <w:tr w:rsidR="00055AE6" w:rsidRPr="00E70587" w14:paraId="0BAF9368" w14:textId="77777777" w:rsidTr="00F27305">
        <w:trPr>
          <w:gridAfter w:val="2"/>
          <w:wAfter w:w="1980" w:type="dxa"/>
        </w:trPr>
        <w:tc>
          <w:tcPr>
            <w:tcW w:w="5479" w:type="dxa"/>
            <w:vAlign w:val="center"/>
          </w:tcPr>
          <w:p w14:paraId="60DEC73B" w14:textId="77777777" w:rsidR="00055AE6" w:rsidRPr="00E70587" w:rsidRDefault="00055AE6" w:rsidP="00055AE6">
            <w:pPr>
              <w:spacing w:line="280" w:lineRule="exact"/>
              <w:rPr>
                <w:rFonts w:ascii="Arial" w:hAnsi="Arial" w:cs="Arial"/>
                <w:sz w:val="20"/>
              </w:rPr>
            </w:pPr>
            <w:r w:rsidRPr="00E70587">
              <w:rPr>
                <w:rFonts w:ascii="Arial" w:hAnsi="Arial" w:cs="Arial"/>
                <w:sz w:val="20"/>
              </w:rPr>
              <w:t xml:space="preserve">Net (loss)/gain on FVTOCI equity Securities </w:t>
            </w:r>
          </w:p>
        </w:tc>
        <w:tc>
          <w:tcPr>
            <w:tcW w:w="1049" w:type="dxa"/>
            <w:gridSpan w:val="2"/>
            <w:vAlign w:val="center"/>
          </w:tcPr>
          <w:p w14:paraId="5D8E1DB0" w14:textId="77777777" w:rsidR="00055AE6" w:rsidRPr="00E70587" w:rsidRDefault="00055AE6" w:rsidP="00055AE6">
            <w:pPr>
              <w:spacing w:line="280" w:lineRule="exact"/>
              <w:jc w:val="center"/>
              <w:rPr>
                <w:rFonts w:ascii="Arial" w:hAnsi="Arial" w:cs="Arial"/>
                <w:sz w:val="20"/>
              </w:rPr>
            </w:pPr>
            <w:r w:rsidRPr="00E70587">
              <w:rPr>
                <w:rFonts w:ascii="Arial" w:hAnsi="Arial" w:cs="Arial"/>
                <w:sz w:val="20"/>
              </w:rPr>
              <w:t>32</w:t>
            </w:r>
          </w:p>
        </w:tc>
        <w:tc>
          <w:tcPr>
            <w:tcW w:w="1524" w:type="dxa"/>
            <w:gridSpan w:val="2"/>
            <w:vAlign w:val="bottom"/>
          </w:tcPr>
          <w:p w14:paraId="3015E16C"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(18)</w:t>
            </w:r>
          </w:p>
        </w:tc>
        <w:tc>
          <w:tcPr>
            <w:tcW w:w="1524" w:type="dxa"/>
            <w:gridSpan w:val="2"/>
            <w:vAlign w:val="bottom"/>
          </w:tcPr>
          <w:p w14:paraId="5275C912"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w:t>
            </w:r>
          </w:p>
        </w:tc>
      </w:tr>
      <w:tr w:rsidR="00055AE6" w:rsidRPr="00E70587" w14:paraId="315FD66E" w14:textId="77777777" w:rsidTr="00F27305">
        <w:trPr>
          <w:gridAfter w:val="2"/>
          <w:wAfter w:w="1980" w:type="dxa"/>
        </w:trPr>
        <w:tc>
          <w:tcPr>
            <w:tcW w:w="5479" w:type="dxa"/>
            <w:vAlign w:val="center"/>
          </w:tcPr>
          <w:p w14:paraId="69B6A46B" w14:textId="77777777" w:rsidR="00055AE6" w:rsidRPr="00E70587" w:rsidRDefault="00055AE6" w:rsidP="00055AE6">
            <w:pPr>
              <w:spacing w:line="280" w:lineRule="exact"/>
              <w:rPr>
                <w:rFonts w:ascii="Arial" w:hAnsi="Arial" w:cs="Arial"/>
                <w:sz w:val="20"/>
              </w:rPr>
            </w:pPr>
            <w:r w:rsidRPr="00E70587">
              <w:rPr>
                <w:rFonts w:ascii="Arial" w:hAnsi="Arial" w:cs="Arial"/>
                <w:sz w:val="20"/>
              </w:rPr>
              <w:t xml:space="preserve">Income tax effect </w:t>
            </w:r>
          </w:p>
        </w:tc>
        <w:tc>
          <w:tcPr>
            <w:tcW w:w="1049" w:type="dxa"/>
            <w:gridSpan w:val="2"/>
            <w:vAlign w:val="center"/>
          </w:tcPr>
          <w:p w14:paraId="1ECE7A16" w14:textId="77777777" w:rsidR="00055AE6" w:rsidRPr="00E70587" w:rsidRDefault="00055AE6" w:rsidP="00055AE6">
            <w:pPr>
              <w:spacing w:line="280" w:lineRule="exact"/>
              <w:jc w:val="center"/>
              <w:rPr>
                <w:rFonts w:ascii="Arial" w:hAnsi="Arial" w:cs="Arial"/>
                <w:sz w:val="20"/>
              </w:rPr>
            </w:pPr>
          </w:p>
        </w:tc>
        <w:tc>
          <w:tcPr>
            <w:tcW w:w="1524" w:type="dxa"/>
            <w:gridSpan w:val="2"/>
            <w:tcBorders>
              <w:bottom w:val="single" w:sz="4" w:space="0" w:color="auto"/>
            </w:tcBorders>
            <w:vAlign w:val="bottom"/>
          </w:tcPr>
          <w:p w14:paraId="722E4FF7"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5</w:t>
            </w:r>
          </w:p>
        </w:tc>
        <w:tc>
          <w:tcPr>
            <w:tcW w:w="1524" w:type="dxa"/>
            <w:gridSpan w:val="2"/>
            <w:tcBorders>
              <w:bottom w:val="single" w:sz="4" w:space="0" w:color="auto"/>
            </w:tcBorders>
            <w:vAlign w:val="bottom"/>
          </w:tcPr>
          <w:p w14:paraId="75BEBCD9"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w:t>
            </w:r>
          </w:p>
        </w:tc>
      </w:tr>
      <w:tr w:rsidR="00055AE6" w:rsidRPr="00E70587" w14:paraId="31179ED7" w14:textId="77777777" w:rsidTr="00F27305">
        <w:trPr>
          <w:gridAfter w:val="2"/>
          <w:wAfter w:w="1980" w:type="dxa"/>
        </w:trPr>
        <w:tc>
          <w:tcPr>
            <w:tcW w:w="5479" w:type="dxa"/>
            <w:vAlign w:val="center"/>
          </w:tcPr>
          <w:p w14:paraId="44B20EB4" w14:textId="77777777" w:rsidR="00055AE6" w:rsidRPr="00E70587" w:rsidRDefault="00055AE6" w:rsidP="00055AE6">
            <w:pPr>
              <w:spacing w:line="280" w:lineRule="exact"/>
              <w:rPr>
                <w:rFonts w:ascii="Arial" w:hAnsi="Arial" w:cs="Arial"/>
                <w:sz w:val="20"/>
              </w:rPr>
            </w:pPr>
          </w:p>
        </w:tc>
        <w:tc>
          <w:tcPr>
            <w:tcW w:w="1049" w:type="dxa"/>
            <w:gridSpan w:val="2"/>
            <w:vAlign w:val="center"/>
          </w:tcPr>
          <w:p w14:paraId="7DEAF9EF" w14:textId="77777777" w:rsidR="00055AE6" w:rsidRPr="00E70587" w:rsidRDefault="00055AE6" w:rsidP="00055AE6">
            <w:pPr>
              <w:spacing w:line="280" w:lineRule="exact"/>
              <w:jc w:val="center"/>
              <w:rPr>
                <w:rFonts w:ascii="Arial" w:hAnsi="Arial" w:cs="Arial"/>
                <w:sz w:val="20"/>
              </w:rPr>
            </w:pPr>
          </w:p>
        </w:tc>
        <w:tc>
          <w:tcPr>
            <w:tcW w:w="1524" w:type="dxa"/>
            <w:gridSpan w:val="2"/>
            <w:tcBorders>
              <w:top w:val="single" w:sz="4" w:space="0" w:color="auto"/>
              <w:bottom w:val="single" w:sz="4" w:space="0" w:color="auto"/>
            </w:tcBorders>
            <w:vAlign w:val="bottom"/>
          </w:tcPr>
          <w:p w14:paraId="3A835144" w14:textId="77777777" w:rsidR="00055AE6" w:rsidRPr="00E70587" w:rsidRDefault="00055AE6" w:rsidP="00055AE6">
            <w:pPr>
              <w:spacing w:line="280" w:lineRule="exact"/>
              <w:jc w:val="right"/>
              <w:rPr>
                <w:rFonts w:ascii="Arial" w:hAnsi="Arial" w:cs="Arial"/>
                <w:b/>
                <w:sz w:val="20"/>
              </w:rPr>
            </w:pPr>
            <w:r w:rsidRPr="00E70587">
              <w:rPr>
                <w:rFonts w:ascii="Arial" w:hAnsi="Arial" w:cs="Arial"/>
                <w:b/>
                <w:sz w:val="20"/>
              </w:rPr>
              <w:t>(13)</w:t>
            </w:r>
          </w:p>
        </w:tc>
        <w:tc>
          <w:tcPr>
            <w:tcW w:w="1524" w:type="dxa"/>
            <w:gridSpan w:val="2"/>
            <w:tcBorders>
              <w:top w:val="single" w:sz="4" w:space="0" w:color="auto"/>
              <w:bottom w:val="single" w:sz="4" w:space="0" w:color="auto"/>
            </w:tcBorders>
            <w:vAlign w:val="bottom"/>
          </w:tcPr>
          <w:p w14:paraId="5AD178E4" w14:textId="77777777" w:rsidR="00055AE6" w:rsidRPr="00E70587" w:rsidRDefault="00055AE6" w:rsidP="00055AE6">
            <w:pPr>
              <w:spacing w:line="280" w:lineRule="exact"/>
              <w:jc w:val="right"/>
              <w:rPr>
                <w:rFonts w:ascii="Arial" w:hAnsi="Arial" w:cs="Arial"/>
                <w:b/>
                <w:sz w:val="20"/>
              </w:rPr>
            </w:pPr>
            <w:r w:rsidRPr="00E70587">
              <w:rPr>
                <w:rFonts w:ascii="Arial" w:hAnsi="Arial" w:cs="Arial"/>
                <w:b/>
                <w:sz w:val="20"/>
              </w:rPr>
              <w:t>-</w:t>
            </w:r>
          </w:p>
        </w:tc>
      </w:tr>
      <w:tr w:rsidR="00055AE6" w:rsidRPr="00E70587" w14:paraId="1EA1FB62" w14:textId="77777777" w:rsidTr="00F27305">
        <w:trPr>
          <w:gridAfter w:val="2"/>
          <w:wAfter w:w="1980" w:type="dxa"/>
        </w:trPr>
        <w:tc>
          <w:tcPr>
            <w:tcW w:w="5479" w:type="dxa"/>
          </w:tcPr>
          <w:p w14:paraId="72357A0A" w14:textId="77777777" w:rsidR="00055AE6" w:rsidRPr="00E70587" w:rsidRDefault="00055AE6" w:rsidP="00055AE6">
            <w:pPr>
              <w:pStyle w:val="tabletxtns"/>
              <w:spacing w:before="0" w:line="280" w:lineRule="exact"/>
              <w:rPr>
                <w:rFonts w:ascii="Arial" w:hAnsi="Arial" w:cs="Arial"/>
                <w:color w:val="auto"/>
                <w:sz w:val="20"/>
              </w:rPr>
            </w:pPr>
          </w:p>
        </w:tc>
        <w:tc>
          <w:tcPr>
            <w:tcW w:w="1049" w:type="dxa"/>
            <w:gridSpan w:val="2"/>
          </w:tcPr>
          <w:p w14:paraId="0897CCF8" w14:textId="77777777" w:rsidR="00055AE6" w:rsidRPr="00E70587" w:rsidRDefault="00055AE6" w:rsidP="00055AE6">
            <w:pPr>
              <w:pStyle w:val="tabletxtns"/>
              <w:spacing w:before="0" w:line="280" w:lineRule="exact"/>
              <w:jc w:val="center"/>
              <w:rPr>
                <w:rFonts w:ascii="Arial" w:hAnsi="Arial" w:cs="Arial"/>
                <w:color w:val="auto"/>
                <w:sz w:val="20"/>
              </w:rPr>
            </w:pPr>
          </w:p>
        </w:tc>
        <w:tc>
          <w:tcPr>
            <w:tcW w:w="1524" w:type="dxa"/>
            <w:gridSpan w:val="2"/>
            <w:vAlign w:val="bottom"/>
          </w:tcPr>
          <w:p w14:paraId="429EF8F8" w14:textId="77777777" w:rsidR="00055AE6" w:rsidRPr="00E70587" w:rsidRDefault="00055AE6" w:rsidP="00055AE6">
            <w:pPr>
              <w:pStyle w:val="tabletxtns"/>
              <w:spacing w:before="0" w:line="280" w:lineRule="exact"/>
              <w:rPr>
                <w:rFonts w:ascii="Arial" w:hAnsi="Arial" w:cs="Arial"/>
                <w:color w:val="auto"/>
                <w:sz w:val="20"/>
              </w:rPr>
            </w:pPr>
          </w:p>
        </w:tc>
        <w:tc>
          <w:tcPr>
            <w:tcW w:w="1524" w:type="dxa"/>
            <w:gridSpan w:val="2"/>
            <w:vAlign w:val="bottom"/>
          </w:tcPr>
          <w:p w14:paraId="67C228BE" w14:textId="77777777" w:rsidR="00055AE6" w:rsidRPr="00E70587" w:rsidRDefault="00055AE6" w:rsidP="00055AE6">
            <w:pPr>
              <w:pStyle w:val="tabletxtns"/>
              <w:spacing w:before="0" w:line="280" w:lineRule="exact"/>
              <w:rPr>
                <w:rFonts w:ascii="Arial" w:hAnsi="Arial" w:cs="Arial"/>
                <w:color w:val="auto"/>
                <w:sz w:val="20"/>
              </w:rPr>
            </w:pPr>
          </w:p>
        </w:tc>
      </w:tr>
      <w:tr w:rsidR="00055AE6" w:rsidRPr="00E70587" w14:paraId="0054066C" w14:textId="77777777" w:rsidTr="00F27305">
        <w:trPr>
          <w:gridAfter w:val="3"/>
          <w:wAfter w:w="1990" w:type="dxa"/>
        </w:trPr>
        <w:tc>
          <w:tcPr>
            <w:tcW w:w="6518" w:type="dxa"/>
            <w:gridSpan w:val="2"/>
          </w:tcPr>
          <w:p w14:paraId="4735A9D4" w14:textId="54473CE7" w:rsidR="00055AE6" w:rsidRPr="00E70587" w:rsidRDefault="00055AE6" w:rsidP="00055AE6">
            <w:pPr>
              <w:pStyle w:val="tabletext"/>
              <w:spacing w:line="280" w:lineRule="exact"/>
              <w:rPr>
                <w:rFonts w:ascii="Arial" w:hAnsi="Arial" w:cs="Arial"/>
                <w:sz w:val="20"/>
                <w:lang w:val="en-IN"/>
              </w:rPr>
            </w:pPr>
            <w:r w:rsidRPr="00E70587">
              <w:rPr>
                <w:rFonts w:ascii="Arial" w:hAnsi="Arial" w:cs="Arial"/>
                <w:b/>
                <w:sz w:val="20"/>
                <w:lang w:val="en-IN"/>
              </w:rPr>
              <w:t xml:space="preserve">Net other comprehensive income not to be reclassified to profit </w:t>
            </w:r>
            <w:r>
              <w:rPr>
                <w:rFonts w:ascii="Arial" w:hAnsi="Arial" w:cs="Arial"/>
                <w:b/>
                <w:sz w:val="20"/>
                <w:lang w:val="en-IN"/>
              </w:rPr>
              <w:t>or</w:t>
            </w:r>
            <w:r w:rsidRPr="00E70587">
              <w:rPr>
                <w:rFonts w:ascii="Arial" w:hAnsi="Arial" w:cs="Arial"/>
                <w:b/>
                <w:sz w:val="20"/>
                <w:lang w:val="en-IN"/>
              </w:rPr>
              <w:t xml:space="preserve"> loss in subsequent periods</w:t>
            </w:r>
          </w:p>
        </w:tc>
        <w:tc>
          <w:tcPr>
            <w:tcW w:w="1524" w:type="dxa"/>
            <w:gridSpan w:val="2"/>
            <w:vAlign w:val="bottom"/>
          </w:tcPr>
          <w:p w14:paraId="70C111F0" w14:textId="4BF85C2F" w:rsidR="00055AE6" w:rsidRPr="00E70587" w:rsidRDefault="00055AE6" w:rsidP="00055AE6">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w:t>
            </w:r>
            <w:r>
              <w:rPr>
                <w:rFonts w:ascii="Arial" w:hAnsi="Arial" w:cs="Arial"/>
                <w:b/>
                <w:bCs/>
                <w:sz w:val="20"/>
                <w:lang w:eastAsia="en-GB"/>
              </w:rPr>
              <w:t>731</w:t>
            </w:r>
          </w:p>
        </w:tc>
        <w:tc>
          <w:tcPr>
            <w:tcW w:w="1524" w:type="dxa"/>
            <w:gridSpan w:val="2"/>
            <w:vAlign w:val="bottom"/>
          </w:tcPr>
          <w:p w14:paraId="39DA21EB" w14:textId="77777777" w:rsidR="00055AE6" w:rsidRPr="00E70587" w:rsidRDefault="00055AE6" w:rsidP="00055AE6">
            <w:pPr>
              <w:spacing w:line="280" w:lineRule="exact"/>
              <w:jc w:val="right"/>
              <w:rPr>
                <w:rFonts w:ascii="Arial" w:hAnsi="Arial" w:cs="Arial"/>
                <w:b/>
                <w:bCs/>
                <w:sz w:val="20"/>
              </w:rPr>
            </w:pPr>
            <w:r w:rsidRPr="00E70587">
              <w:rPr>
                <w:rFonts w:ascii="Arial" w:hAnsi="Arial" w:cs="Arial"/>
                <w:b/>
                <w:bCs/>
                <w:sz w:val="20"/>
              </w:rPr>
              <w:t>(491)</w:t>
            </w:r>
          </w:p>
        </w:tc>
      </w:tr>
      <w:tr w:rsidR="00055AE6" w:rsidRPr="00E70587" w14:paraId="793C0B94" w14:textId="77777777" w:rsidTr="00F27305">
        <w:trPr>
          <w:gridAfter w:val="3"/>
          <w:wAfter w:w="1990" w:type="dxa"/>
        </w:trPr>
        <w:tc>
          <w:tcPr>
            <w:tcW w:w="6518" w:type="dxa"/>
            <w:gridSpan w:val="2"/>
          </w:tcPr>
          <w:p w14:paraId="32870CBD" w14:textId="77777777" w:rsidR="00055AE6" w:rsidRPr="00E70587" w:rsidRDefault="00055AE6" w:rsidP="00055AE6">
            <w:pPr>
              <w:pStyle w:val="tabletext"/>
              <w:spacing w:line="280" w:lineRule="exact"/>
              <w:rPr>
                <w:rFonts w:ascii="Arial" w:hAnsi="Arial" w:cs="Arial"/>
                <w:b/>
                <w:sz w:val="20"/>
                <w:lang w:val="en-IN"/>
              </w:rPr>
            </w:pPr>
          </w:p>
        </w:tc>
        <w:tc>
          <w:tcPr>
            <w:tcW w:w="1524" w:type="dxa"/>
            <w:gridSpan w:val="2"/>
            <w:tcBorders>
              <w:bottom w:val="single" w:sz="2" w:space="0" w:color="auto"/>
            </w:tcBorders>
            <w:vAlign w:val="bottom"/>
          </w:tcPr>
          <w:p w14:paraId="02008EA6" w14:textId="77777777" w:rsidR="00055AE6" w:rsidRPr="00E70587" w:rsidRDefault="00055AE6" w:rsidP="00055AE6">
            <w:pPr>
              <w:overflowPunct/>
              <w:spacing w:line="280" w:lineRule="exact"/>
              <w:jc w:val="right"/>
              <w:textAlignment w:val="auto"/>
              <w:rPr>
                <w:rFonts w:ascii="Arial" w:hAnsi="Arial" w:cs="Arial"/>
                <w:b/>
                <w:bCs/>
                <w:sz w:val="20"/>
                <w:lang w:eastAsia="en-GB"/>
              </w:rPr>
            </w:pPr>
          </w:p>
        </w:tc>
        <w:tc>
          <w:tcPr>
            <w:tcW w:w="1524" w:type="dxa"/>
            <w:gridSpan w:val="2"/>
            <w:tcBorders>
              <w:bottom w:val="single" w:sz="2" w:space="0" w:color="auto"/>
            </w:tcBorders>
            <w:vAlign w:val="bottom"/>
          </w:tcPr>
          <w:p w14:paraId="6A6D2BF3" w14:textId="77777777" w:rsidR="00055AE6" w:rsidRPr="00E70587" w:rsidRDefault="00055AE6" w:rsidP="00055AE6">
            <w:pPr>
              <w:spacing w:line="280" w:lineRule="exact"/>
              <w:jc w:val="right"/>
              <w:rPr>
                <w:rFonts w:ascii="Arial" w:hAnsi="Arial" w:cs="Arial"/>
                <w:b/>
                <w:bCs/>
                <w:sz w:val="20"/>
              </w:rPr>
            </w:pPr>
          </w:p>
        </w:tc>
      </w:tr>
      <w:tr w:rsidR="00055AE6" w:rsidRPr="00E70587" w14:paraId="536AAF96" w14:textId="77777777" w:rsidTr="00F27305">
        <w:trPr>
          <w:gridAfter w:val="3"/>
          <w:wAfter w:w="1990" w:type="dxa"/>
        </w:trPr>
        <w:tc>
          <w:tcPr>
            <w:tcW w:w="6518" w:type="dxa"/>
            <w:gridSpan w:val="2"/>
          </w:tcPr>
          <w:p w14:paraId="0F9518BE" w14:textId="77777777" w:rsidR="00055AE6" w:rsidRPr="00E70587" w:rsidRDefault="00055AE6" w:rsidP="00055AE6">
            <w:pPr>
              <w:pStyle w:val="tabletext"/>
              <w:spacing w:line="280" w:lineRule="exact"/>
              <w:rPr>
                <w:rFonts w:ascii="Arial" w:hAnsi="Arial" w:cs="Arial"/>
                <w:b/>
                <w:sz w:val="20"/>
                <w:lang w:val="en-IN"/>
              </w:rPr>
            </w:pPr>
            <w:r w:rsidRPr="00E70587">
              <w:rPr>
                <w:rFonts w:ascii="Arial" w:hAnsi="Arial" w:cs="Arial"/>
                <w:b/>
                <w:sz w:val="20"/>
                <w:lang w:val="en-IN"/>
              </w:rPr>
              <w:t>Other comprehensive income for the year, net of tax</w:t>
            </w:r>
          </w:p>
        </w:tc>
        <w:tc>
          <w:tcPr>
            <w:tcW w:w="1524" w:type="dxa"/>
            <w:gridSpan w:val="2"/>
            <w:tcBorders>
              <w:bottom w:val="single" w:sz="2" w:space="0" w:color="auto"/>
            </w:tcBorders>
            <w:vAlign w:val="center"/>
          </w:tcPr>
          <w:p w14:paraId="65E2DAC2" w14:textId="11F550FE" w:rsidR="00055AE6" w:rsidRPr="00E70587" w:rsidRDefault="00055AE6" w:rsidP="00055AE6">
            <w:pPr>
              <w:overflowPunct/>
              <w:spacing w:line="280" w:lineRule="exact"/>
              <w:jc w:val="right"/>
              <w:textAlignment w:val="auto"/>
              <w:rPr>
                <w:rFonts w:ascii="Arial" w:hAnsi="Arial" w:cs="Arial"/>
                <w:b/>
                <w:bCs/>
                <w:sz w:val="20"/>
                <w:lang w:eastAsia="en-GB"/>
              </w:rPr>
            </w:pPr>
            <w:r>
              <w:rPr>
                <w:rFonts w:ascii="Arial" w:hAnsi="Arial" w:cs="Arial"/>
                <w:b/>
                <w:bCs/>
                <w:sz w:val="20"/>
              </w:rPr>
              <w:t>21</w:t>
            </w:r>
            <w:r w:rsidRPr="00E70587">
              <w:rPr>
                <w:rFonts w:ascii="Arial" w:hAnsi="Arial" w:cs="Arial"/>
                <w:b/>
                <w:bCs/>
                <w:sz w:val="20"/>
              </w:rPr>
              <w:t>2</w:t>
            </w:r>
          </w:p>
        </w:tc>
        <w:tc>
          <w:tcPr>
            <w:tcW w:w="1524" w:type="dxa"/>
            <w:gridSpan w:val="2"/>
            <w:tcBorders>
              <w:bottom w:val="single" w:sz="2" w:space="0" w:color="auto"/>
            </w:tcBorders>
            <w:vAlign w:val="center"/>
          </w:tcPr>
          <w:p w14:paraId="4AEF24FC" w14:textId="77777777" w:rsidR="00055AE6" w:rsidRPr="00E70587" w:rsidRDefault="00055AE6" w:rsidP="00055AE6">
            <w:pPr>
              <w:spacing w:line="280" w:lineRule="exact"/>
              <w:jc w:val="right"/>
              <w:rPr>
                <w:rFonts w:ascii="Arial" w:hAnsi="Arial" w:cs="Arial"/>
                <w:b/>
                <w:bCs/>
                <w:sz w:val="20"/>
              </w:rPr>
            </w:pPr>
            <w:r w:rsidRPr="00E70587">
              <w:rPr>
                <w:rFonts w:ascii="Arial" w:hAnsi="Arial" w:cs="Arial"/>
                <w:b/>
                <w:bCs/>
                <w:sz w:val="20"/>
              </w:rPr>
              <w:t>(656)</w:t>
            </w:r>
          </w:p>
        </w:tc>
      </w:tr>
      <w:tr w:rsidR="00055AE6" w:rsidRPr="00E70587" w14:paraId="2E99C4AB" w14:textId="77777777" w:rsidTr="00F27305">
        <w:trPr>
          <w:gridAfter w:val="3"/>
          <w:wAfter w:w="1990" w:type="dxa"/>
        </w:trPr>
        <w:tc>
          <w:tcPr>
            <w:tcW w:w="6518" w:type="dxa"/>
            <w:gridSpan w:val="2"/>
          </w:tcPr>
          <w:p w14:paraId="3EDEF7BE" w14:textId="77777777" w:rsidR="00055AE6" w:rsidRPr="00E70587" w:rsidRDefault="00055AE6" w:rsidP="00055AE6">
            <w:pPr>
              <w:pStyle w:val="tabletext"/>
              <w:spacing w:line="280" w:lineRule="exact"/>
              <w:rPr>
                <w:rFonts w:ascii="Arial" w:hAnsi="Arial" w:cs="Arial"/>
                <w:b/>
                <w:sz w:val="20"/>
                <w:lang w:val="en-IN"/>
              </w:rPr>
            </w:pPr>
            <w:r w:rsidRPr="00E70587">
              <w:rPr>
                <w:rFonts w:ascii="Arial" w:hAnsi="Arial" w:cs="Arial"/>
                <w:b/>
                <w:sz w:val="20"/>
                <w:lang w:val="en-IN"/>
              </w:rPr>
              <w:t>TOTAL COMPREHENSIVE INCOME FOR THE YEAR, NET OF TAX</w:t>
            </w:r>
          </w:p>
        </w:tc>
        <w:tc>
          <w:tcPr>
            <w:tcW w:w="1524" w:type="dxa"/>
            <w:gridSpan w:val="2"/>
            <w:tcBorders>
              <w:top w:val="single" w:sz="2" w:space="0" w:color="auto"/>
              <w:bottom w:val="double" w:sz="4" w:space="0" w:color="auto"/>
            </w:tcBorders>
            <w:vAlign w:val="center"/>
          </w:tcPr>
          <w:p w14:paraId="0AD2FD3B" w14:textId="0358F061" w:rsidR="00055AE6" w:rsidRPr="00E70587" w:rsidRDefault="009D5869" w:rsidP="00055AE6">
            <w:pPr>
              <w:overflowPunct/>
              <w:spacing w:line="280" w:lineRule="exact"/>
              <w:jc w:val="right"/>
              <w:textAlignment w:val="auto"/>
              <w:rPr>
                <w:rFonts w:ascii="Arial" w:hAnsi="Arial" w:cs="Arial"/>
                <w:b/>
                <w:bCs/>
                <w:sz w:val="20"/>
                <w:lang w:eastAsia="en-GB"/>
              </w:rPr>
            </w:pPr>
            <w:r w:rsidRPr="00E70587">
              <w:rPr>
                <w:rFonts w:ascii="Arial" w:hAnsi="Arial" w:cs="Arial"/>
                <w:b/>
                <w:bCs/>
                <w:sz w:val="20"/>
              </w:rPr>
              <w:t>1</w:t>
            </w:r>
            <w:r>
              <w:rPr>
                <w:rFonts w:ascii="Arial" w:hAnsi="Arial" w:cs="Arial"/>
                <w:b/>
                <w:bCs/>
                <w:sz w:val="20"/>
              </w:rPr>
              <w:t>4</w:t>
            </w:r>
            <w:r w:rsidR="00055AE6" w:rsidRPr="00E70587">
              <w:rPr>
                <w:rFonts w:ascii="Arial" w:hAnsi="Arial" w:cs="Arial"/>
                <w:b/>
                <w:bCs/>
                <w:sz w:val="20"/>
              </w:rPr>
              <w:t>,</w:t>
            </w:r>
            <w:r>
              <w:rPr>
                <w:rFonts w:ascii="Arial" w:hAnsi="Arial" w:cs="Arial"/>
                <w:b/>
                <w:bCs/>
                <w:sz w:val="20"/>
              </w:rPr>
              <w:t>927</w:t>
            </w:r>
          </w:p>
        </w:tc>
        <w:tc>
          <w:tcPr>
            <w:tcW w:w="1524" w:type="dxa"/>
            <w:gridSpan w:val="2"/>
            <w:tcBorders>
              <w:top w:val="single" w:sz="2" w:space="0" w:color="auto"/>
              <w:bottom w:val="double" w:sz="4" w:space="0" w:color="auto"/>
            </w:tcBorders>
            <w:vAlign w:val="center"/>
          </w:tcPr>
          <w:p w14:paraId="5B4985AA" w14:textId="77777777" w:rsidR="00055AE6" w:rsidRPr="00E70587" w:rsidRDefault="00055AE6" w:rsidP="00055AE6">
            <w:pPr>
              <w:spacing w:line="280" w:lineRule="exact"/>
              <w:jc w:val="right"/>
              <w:rPr>
                <w:rFonts w:ascii="Arial" w:hAnsi="Arial" w:cs="Arial"/>
                <w:b/>
                <w:bCs/>
                <w:sz w:val="20"/>
              </w:rPr>
            </w:pPr>
            <w:r w:rsidRPr="00E70587">
              <w:rPr>
                <w:rFonts w:ascii="Arial" w:hAnsi="Arial" w:cs="Arial"/>
                <w:b/>
                <w:bCs/>
                <w:sz w:val="20"/>
              </w:rPr>
              <w:t>9,636</w:t>
            </w:r>
          </w:p>
        </w:tc>
      </w:tr>
      <w:tr w:rsidR="00055AE6" w:rsidRPr="00E70587" w14:paraId="1A6F8E9C" w14:textId="77777777" w:rsidTr="00F27305">
        <w:trPr>
          <w:gridAfter w:val="3"/>
          <w:wAfter w:w="1990" w:type="dxa"/>
        </w:trPr>
        <w:tc>
          <w:tcPr>
            <w:tcW w:w="5479" w:type="dxa"/>
          </w:tcPr>
          <w:p w14:paraId="5C1A9BE7" w14:textId="77777777" w:rsidR="00055AE6" w:rsidRPr="00E70587" w:rsidRDefault="00055AE6" w:rsidP="00055AE6">
            <w:pPr>
              <w:pStyle w:val="tabletext"/>
              <w:spacing w:line="280" w:lineRule="exact"/>
              <w:rPr>
                <w:rFonts w:ascii="Arial" w:hAnsi="Arial" w:cs="Arial"/>
                <w:b/>
                <w:sz w:val="20"/>
                <w:lang w:val="en-IN"/>
              </w:rPr>
            </w:pPr>
          </w:p>
        </w:tc>
        <w:tc>
          <w:tcPr>
            <w:tcW w:w="1039" w:type="dxa"/>
          </w:tcPr>
          <w:p w14:paraId="03DBC736" w14:textId="77777777" w:rsidR="00055AE6" w:rsidRPr="00E70587" w:rsidRDefault="00055AE6" w:rsidP="00055AE6">
            <w:pPr>
              <w:pStyle w:val="tabletext"/>
              <w:spacing w:line="280" w:lineRule="exact"/>
              <w:rPr>
                <w:rFonts w:ascii="Arial" w:hAnsi="Arial" w:cs="Arial"/>
                <w:sz w:val="20"/>
                <w:lang w:val="en-IN"/>
              </w:rPr>
            </w:pPr>
          </w:p>
        </w:tc>
        <w:tc>
          <w:tcPr>
            <w:tcW w:w="1524" w:type="dxa"/>
            <w:gridSpan w:val="2"/>
            <w:vAlign w:val="bottom"/>
          </w:tcPr>
          <w:p w14:paraId="21761160" w14:textId="77777777" w:rsidR="00055AE6" w:rsidRPr="00E70587" w:rsidRDefault="00055AE6" w:rsidP="00055AE6">
            <w:pPr>
              <w:pStyle w:val="tabletext"/>
              <w:tabs>
                <w:tab w:val="decimal" w:pos="974"/>
              </w:tabs>
              <w:spacing w:line="280" w:lineRule="exact"/>
              <w:jc w:val="right"/>
              <w:rPr>
                <w:rFonts w:ascii="Arial" w:hAnsi="Arial" w:cs="Arial"/>
                <w:sz w:val="20"/>
                <w:lang w:val="en-IN"/>
              </w:rPr>
            </w:pPr>
          </w:p>
        </w:tc>
        <w:tc>
          <w:tcPr>
            <w:tcW w:w="1524" w:type="dxa"/>
            <w:gridSpan w:val="2"/>
            <w:vAlign w:val="bottom"/>
          </w:tcPr>
          <w:p w14:paraId="4985508A" w14:textId="77777777" w:rsidR="00055AE6" w:rsidRPr="00E70587" w:rsidRDefault="00055AE6" w:rsidP="00055AE6">
            <w:pPr>
              <w:pStyle w:val="tabletext"/>
              <w:tabs>
                <w:tab w:val="decimal" w:pos="1036"/>
              </w:tabs>
              <w:spacing w:line="280" w:lineRule="exact"/>
              <w:jc w:val="right"/>
              <w:rPr>
                <w:rFonts w:ascii="Arial" w:hAnsi="Arial" w:cs="Arial"/>
                <w:sz w:val="20"/>
                <w:lang w:val="en-IN"/>
              </w:rPr>
            </w:pPr>
          </w:p>
        </w:tc>
      </w:tr>
      <w:tr w:rsidR="00055AE6" w:rsidRPr="00E70587" w14:paraId="7495D737" w14:textId="77777777" w:rsidTr="00F27305">
        <w:trPr>
          <w:gridAfter w:val="3"/>
          <w:wAfter w:w="1990" w:type="dxa"/>
        </w:trPr>
        <w:tc>
          <w:tcPr>
            <w:tcW w:w="5479" w:type="dxa"/>
            <w:vAlign w:val="center"/>
          </w:tcPr>
          <w:p w14:paraId="44BEAD4B" w14:textId="77777777" w:rsidR="00055AE6" w:rsidRPr="00E70587" w:rsidRDefault="00055AE6" w:rsidP="00055AE6">
            <w:pPr>
              <w:pStyle w:val="tabletext"/>
              <w:spacing w:line="280" w:lineRule="exact"/>
              <w:rPr>
                <w:rFonts w:ascii="Arial" w:hAnsi="Arial" w:cs="Arial"/>
                <w:b/>
                <w:sz w:val="20"/>
                <w:lang w:val="en-IN"/>
              </w:rPr>
            </w:pPr>
            <w:r w:rsidRPr="00E70587">
              <w:rPr>
                <w:rFonts w:ascii="Arial" w:hAnsi="Arial" w:cs="Arial"/>
                <w:b/>
                <w:sz w:val="20"/>
                <w:lang w:val="en-IN"/>
              </w:rPr>
              <w:lastRenderedPageBreak/>
              <w:t>Profit/(loss) for the year</w:t>
            </w:r>
          </w:p>
        </w:tc>
        <w:tc>
          <w:tcPr>
            <w:tcW w:w="1039" w:type="dxa"/>
            <w:vAlign w:val="center"/>
          </w:tcPr>
          <w:p w14:paraId="620B000B" w14:textId="77777777" w:rsidR="00055AE6" w:rsidRPr="00E70587" w:rsidRDefault="00055AE6" w:rsidP="00055AE6">
            <w:pPr>
              <w:pStyle w:val="tabletext"/>
              <w:spacing w:line="280" w:lineRule="exact"/>
              <w:rPr>
                <w:rFonts w:ascii="Arial" w:hAnsi="Arial" w:cs="Arial"/>
                <w:sz w:val="20"/>
                <w:lang w:val="en-IN"/>
              </w:rPr>
            </w:pPr>
          </w:p>
        </w:tc>
        <w:tc>
          <w:tcPr>
            <w:tcW w:w="1524" w:type="dxa"/>
            <w:gridSpan w:val="2"/>
            <w:vAlign w:val="bottom"/>
          </w:tcPr>
          <w:p w14:paraId="5B0D921E" w14:textId="060A5B2F" w:rsidR="00055AE6" w:rsidRPr="00E70587" w:rsidRDefault="00055AE6" w:rsidP="00055AE6">
            <w:pPr>
              <w:pStyle w:val="tabletext"/>
              <w:tabs>
                <w:tab w:val="decimal" w:pos="974"/>
              </w:tabs>
              <w:spacing w:line="280" w:lineRule="exact"/>
              <w:jc w:val="right"/>
              <w:rPr>
                <w:rFonts w:ascii="Arial" w:hAnsi="Arial" w:cs="Arial"/>
                <w:sz w:val="20"/>
                <w:lang w:val="en-IN"/>
              </w:rPr>
            </w:pPr>
            <w:r w:rsidRPr="00E70587">
              <w:rPr>
                <w:rFonts w:ascii="Arial" w:hAnsi="Arial" w:cs="Arial"/>
                <w:b/>
                <w:sz w:val="20"/>
                <w:lang w:eastAsia="en-GB"/>
              </w:rPr>
              <w:t>14,</w:t>
            </w:r>
            <w:r w:rsidR="00DE55AE">
              <w:rPr>
                <w:rFonts w:ascii="Arial" w:hAnsi="Arial" w:cs="Arial"/>
                <w:b/>
                <w:sz w:val="20"/>
                <w:lang w:eastAsia="en-GB"/>
              </w:rPr>
              <w:t>715</w:t>
            </w:r>
          </w:p>
        </w:tc>
        <w:tc>
          <w:tcPr>
            <w:tcW w:w="1524" w:type="dxa"/>
            <w:gridSpan w:val="2"/>
            <w:vAlign w:val="bottom"/>
          </w:tcPr>
          <w:p w14:paraId="32AB66DC" w14:textId="77777777" w:rsidR="00055AE6" w:rsidRPr="00E70587" w:rsidRDefault="00055AE6" w:rsidP="00055AE6">
            <w:pPr>
              <w:pStyle w:val="tabletext"/>
              <w:tabs>
                <w:tab w:val="decimal" w:pos="1036"/>
              </w:tabs>
              <w:spacing w:line="280" w:lineRule="exact"/>
              <w:jc w:val="right"/>
              <w:rPr>
                <w:rFonts w:ascii="Arial" w:hAnsi="Arial" w:cs="Arial"/>
                <w:sz w:val="20"/>
                <w:lang w:val="en-IN"/>
              </w:rPr>
            </w:pPr>
            <w:r w:rsidRPr="00E70587">
              <w:rPr>
                <w:rFonts w:ascii="Arial" w:hAnsi="Arial" w:cs="Arial"/>
                <w:b/>
                <w:sz w:val="20"/>
                <w:lang w:eastAsia="en-GB"/>
              </w:rPr>
              <w:t>10,292</w:t>
            </w:r>
          </w:p>
        </w:tc>
      </w:tr>
      <w:tr w:rsidR="00055AE6" w:rsidRPr="00E70587" w14:paraId="386F8533" w14:textId="77777777" w:rsidTr="00F27305">
        <w:trPr>
          <w:gridAfter w:val="3"/>
          <w:wAfter w:w="1990" w:type="dxa"/>
        </w:trPr>
        <w:tc>
          <w:tcPr>
            <w:tcW w:w="5479" w:type="dxa"/>
          </w:tcPr>
          <w:p w14:paraId="336E5C42" w14:textId="77777777" w:rsidR="00055AE6" w:rsidRPr="00E70587" w:rsidRDefault="00055AE6" w:rsidP="00055AE6">
            <w:pPr>
              <w:pStyle w:val="tabletext"/>
              <w:spacing w:line="280" w:lineRule="exact"/>
              <w:rPr>
                <w:rFonts w:ascii="Arial" w:hAnsi="Arial" w:cs="Arial"/>
                <w:b/>
                <w:sz w:val="20"/>
                <w:lang w:val="en-IN"/>
              </w:rPr>
            </w:pPr>
            <w:r w:rsidRPr="00E70587">
              <w:rPr>
                <w:rFonts w:ascii="Arial" w:hAnsi="Arial" w:cs="Arial"/>
                <w:b/>
                <w:sz w:val="20"/>
                <w:lang w:val="en-IN"/>
              </w:rPr>
              <w:t>Attributable to:</w:t>
            </w:r>
          </w:p>
        </w:tc>
        <w:tc>
          <w:tcPr>
            <w:tcW w:w="1039" w:type="dxa"/>
          </w:tcPr>
          <w:p w14:paraId="2BD60C72" w14:textId="77777777" w:rsidR="00055AE6" w:rsidRPr="00E70587" w:rsidRDefault="00055AE6" w:rsidP="00055AE6">
            <w:pPr>
              <w:pStyle w:val="tabletext"/>
              <w:spacing w:line="280" w:lineRule="exact"/>
              <w:rPr>
                <w:rFonts w:ascii="Arial" w:hAnsi="Arial" w:cs="Arial"/>
                <w:sz w:val="20"/>
                <w:lang w:val="en-IN"/>
              </w:rPr>
            </w:pPr>
          </w:p>
        </w:tc>
        <w:tc>
          <w:tcPr>
            <w:tcW w:w="1524" w:type="dxa"/>
            <w:gridSpan w:val="2"/>
            <w:vAlign w:val="bottom"/>
          </w:tcPr>
          <w:p w14:paraId="4DA83B4B" w14:textId="77777777" w:rsidR="00055AE6" w:rsidRPr="00E70587" w:rsidRDefault="00055AE6" w:rsidP="00055AE6">
            <w:pPr>
              <w:pStyle w:val="tabletext"/>
              <w:tabs>
                <w:tab w:val="decimal" w:pos="974"/>
              </w:tabs>
              <w:spacing w:line="280" w:lineRule="exact"/>
              <w:jc w:val="right"/>
              <w:rPr>
                <w:rFonts w:ascii="Arial" w:hAnsi="Arial" w:cs="Arial"/>
                <w:sz w:val="20"/>
                <w:lang w:val="en-IN"/>
              </w:rPr>
            </w:pPr>
          </w:p>
        </w:tc>
        <w:tc>
          <w:tcPr>
            <w:tcW w:w="1524" w:type="dxa"/>
            <w:gridSpan w:val="2"/>
            <w:vAlign w:val="bottom"/>
          </w:tcPr>
          <w:p w14:paraId="49F789D5" w14:textId="77777777" w:rsidR="00055AE6" w:rsidRPr="00E70587" w:rsidRDefault="00055AE6" w:rsidP="00055AE6">
            <w:pPr>
              <w:pStyle w:val="tabletext"/>
              <w:tabs>
                <w:tab w:val="decimal" w:pos="1036"/>
              </w:tabs>
              <w:spacing w:line="280" w:lineRule="exact"/>
              <w:jc w:val="right"/>
              <w:rPr>
                <w:rFonts w:ascii="Arial" w:hAnsi="Arial" w:cs="Arial"/>
                <w:sz w:val="20"/>
                <w:lang w:val="en-IN"/>
              </w:rPr>
            </w:pPr>
          </w:p>
        </w:tc>
      </w:tr>
      <w:tr w:rsidR="00055AE6" w:rsidRPr="00E70587" w14:paraId="3D6C881E" w14:textId="77777777" w:rsidTr="00F27305">
        <w:trPr>
          <w:gridAfter w:val="3"/>
          <w:wAfter w:w="1990" w:type="dxa"/>
        </w:trPr>
        <w:tc>
          <w:tcPr>
            <w:tcW w:w="5479" w:type="dxa"/>
          </w:tcPr>
          <w:p w14:paraId="2955C0AF" w14:textId="77777777" w:rsidR="00055AE6" w:rsidRPr="00E70587" w:rsidRDefault="00055AE6" w:rsidP="00055AE6">
            <w:pPr>
              <w:pStyle w:val="tabletext"/>
              <w:spacing w:line="280" w:lineRule="exact"/>
              <w:rPr>
                <w:rFonts w:ascii="Arial" w:hAnsi="Arial" w:cs="Arial"/>
                <w:b/>
                <w:sz w:val="20"/>
                <w:lang w:val="en-IN"/>
              </w:rPr>
            </w:pPr>
            <w:bookmarkStart w:id="2" w:name="_Hlk54721203"/>
            <w:r w:rsidRPr="00E70587">
              <w:rPr>
                <w:rFonts w:ascii="Arial" w:hAnsi="Arial" w:cs="Arial"/>
                <w:sz w:val="20"/>
                <w:lang w:val="en-IN"/>
              </w:rPr>
              <w:t>Equity holders of the parent</w:t>
            </w:r>
          </w:p>
        </w:tc>
        <w:tc>
          <w:tcPr>
            <w:tcW w:w="1039" w:type="dxa"/>
          </w:tcPr>
          <w:p w14:paraId="59CDB42B" w14:textId="77777777" w:rsidR="00055AE6" w:rsidRPr="00E70587" w:rsidRDefault="00055AE6" w:rsidP="00055AE6">
            <w:pPr>
              <w:pStyle w:val="tabletext"/>
              <w:spacing w:line="280" w:lineRule="exact"/>
              <w:rPr>
                <w:rFonts w:ascii="Arial" w:hAnsi="Arial" w:cs="Arial"/>
                <w:sz w:val="20"/>
                <w:lang w:val="en-IN"/>
              </w:rPr>
            </w:pPr>
          </w:p>
        </w:tc>
        <w:tc>
          <w:tcPr>
            <w:tcW w:w="1524" w:type="dxa"/>
            <w:gridSpan w:val="2"/>
            <w:vAlign w:val="bottom"/>
          </w:tcPr>
          <w:p w14:paraId="4385B11C" w14:textId="5658D86A" w:rsidR="00055AE6" w:rsidRPr="00E70587" w:rsidRDefault="00055AE6" w:rsidP="00055AE6">
            <w:pPr>
              <w:pStyle w:val="tabletext"/>
              <w:tabs>
                <w:tab w:val="decimal" w:pos="974"/>
              </w:tabs>
              <w:spacing w:line="280" w:lineRule="exact"/>
              <w:jc w:val="right"/>
              <w:rPr>
                <w:rFonts w:ascii="Arial" w:hAnsi="Arial" w:cs="Arial"/>
                <w:sz w:val="20"/>
                <w:lang w:val="en-IN"/>
              </w:rPr>
            </w:pPr>
            <w:r w:rsidRPr="00E70587">
              <w:rPr>
                <w:rFonts w:ascii="Arial" w:hAnsi="Arial" w:cs="Arial"/>
                <w:sz w:val="20"/>
                <w:lang w:eastAsia="en-GB"/>
              </w:rPr>
              <w:t>14,</w:t>
            </w:r>
            <w:r w:rsidR="00BC0D5D">
              <w:rPr>
                <w:rFonts w:ascii="Arial" w:hAnsi="Arial" w:cs="Arial"/>
                <w:sz w:val="20"/>
                <w:lang w:eastAsia="en-GB"/>
              </w:rPr>
              <w:t>195</w:t>
            </w:r>
          </w:p>
        </w:tc>
        <w:tc>
          <w:tcPr>
            <w:tcW w:w="1524" w:type="dxa"/>
            <w:gridSpan w:val="2"/>
            <w:vAlign w:val="bottom"/>
          </w:tcPr>
          <w:p w14:paraId="7AE850B1" w14:textId="77777777" w:rsidR="00055AE6" w:rsidRPr="00E70587" w:rsidRDefault="00055AE6" w:rsidP="00055AE6">
            <w:pPr>
              <w:overflowPunct/>
              <w:autoSpaceDE/>
              <w:autoSpaceDN/>
              <w:adjustRightInd/>
              <w:spacing w:line="240" w:lineRule="auto"/>
              <w:jc w:val="right"/>
              <w:textAlignment w:val="auto"/>
              <w:rPr>
                <w:rFonts w:ascii="Arial" w:hAnsi="Arial" w:cs="Arial"/>
                <w:sz w:val="20"/>
                <w:lang w:eastAsia="en-IN"/>
              </w:rPr>
            </w:pPr>
            <w:r w:rsidRPr="00E70587">
              <w:rPr>
                <w:rFonts w:ascii="Arial" w:hAnsi="Arial" w:cs="Arial"/>
                <w:sz w:val="20"/>
              </w:rPr>
              <w:t>9,862</w:t>
            </w:r>
          </w:p>
        </w:tc>
      </w:tr>
      <w:bookmarkEnd w:id="2"/>
      <w:tr w:rsidR="00055AE6" w:rsidRPr="00E70587" w14:paraId="4006AFC3" w14:textId="77777777" w:rsidTr="00F27305">
        <w:trPr>
          <w:gridAfter w:val="3"/>
          <w:wAfter w:w="1990" w:type="dxa"/>
        </w:trPr>
        <w:tc>
          <w:tcPr>
            <w:tcW w:w="5479" w:type="dxa"/>
          </w:tcPr>
          <w:p w14:paraId="07AEBD72" w14:textId="77777777" w:rsidR="00055AE6" w:rsidRPr="00E70587" w:rsidRDefault="00055AE6" w:rsidP="00055AE6">
            <w:pPr>
              <w:pStyle w:val="tabletext"/>
              <w:spacing w:line="280" w:lineRule="exact"/>
              <w:rPr>
                <w:rFonts w:ascii="Arial" w:hAnsi="Arial" w:cs="Arial"/>
                <w:b/>
                <w:sz w:val="20"/>
                <w:lang w:val="en-IN"/>
              </w:rPr>
            </w:pPr>
            <w:r w:rsidRPr="00E70587">
              <w:rPr>
                <w:rFonts w:ascii="Arial" w:hAnsi="Arial" w:cs="Arial"/>
                <w:sz w:val="20"/>
                <w:lang w:val="en-IN"/>
              </w:rPr>
              <w:t>Non-controlling interests</w:t>
            </w:r>
          </w:p>
        </w:tc>
        <w:tc>
          <w:tcPr>
            <w:tcW w:w="1039" w:type="dxa"/>
          </w:tcPr>
          <w:p w14:paraId="55A66A05" w14:textId="77777777" w:rsidR="00055AE6" w:rsidRPr="00E70587" w:rsidRDefault="00055AE6" w:rsidP="00055AE6">
            <w:pPr>
              <w:pStyle w:val="tabletext"/>
              <w:spacing w:line="280" w:lineRule="exact"/>
              <w:rPr>
                <w:rFonts w:ascii="Arial" w:hAnsi="Arial" w:cs="Arial"/>
                <w:sz w:val="20"/>
                <w:lang w:val="en-IN"/>
              </w:rPr>
            </w:pPr>
          </w:p>
        </w:tc>
        <w:tc>
          <w:tcPr>
            <w:tcW w:w="1524" w:type="dxa"/>
            <w:gridSpan w:val="2"/>
            <w:vAlign w:val="bottom"/>
          </w:tcPr>
          <w:p w14:paraId="6C3E3714" w14:textId="77777777" w:rsidR="00055AE6" w:rsidRPr="00E70587" w:rsidRDefault="00055AE6" w:rsidP="00055AE6">
            <w:pPr>
              <w:pStyle w:val="tabletext"/>
              <w:tabs>
                <w:tab w:val="decimal" w:pos="974"/>
              </w:tabs>
              <w:spacing w:line="280" w:lineRule="exact"/>
              <w:jc w:val="right"/>
              <w:rPr>
                <w:rFonts w:ascii="Arial" w:hAnsi="Arial" w:cs="Arial"/>
                <w:sz w:val="20"/>
                <w:lang w:val="en-IN"/>
              </w:rPr>
            </w:pPr>
            <w:r w:rsidRPr="00E70587">
              <w:rPr>
                <w:rFonts w:ascii="Arial" w:hAnsi="Arial" w:cs="Arial"/>
                <w:sz w:val="20"/>
                <w:lang w:eastAsia="en-GB"/>
              </w:rPr>
              <w:t>520</w:t>
            </w:r>
          </w:p>
        </w:tc>
        <w:tc>
          <w:tcPr>
            <w:tcW w:w="1524" w:type="dxa"/>
            <w:gridSpan w:val="2"/>
            <w:vAlign w:val="bottom"/>
          </w:tcPr>
          <w:p w14:paraId="29D3DE5F" w14:textId="77777777" w:rsidR="00055AE6" w:rsidRPr="00E70587" w:rsidRDefault="00055AE6" w:rsidP="00055AE6">
            <w:pPr>
              <w:pStyle w:val="tabletext"/>
              <w:tabs>
                <w:tab w:val="decimal" w:pos="1036"/>
              </w:tabs>
              <w:spacing w:line="280" w:lineRule="exact"/>
              <w:jc w:val="right"/>
              <w:rPr>
                <w:rFonts w:ascii="Arial" w:hAnsi="Arial" w:cs="Arial"/>
                <w:sz w:val="20"/>
                <w:lang w:val="en-IN"/>
              </w:rPr>
            </w:pPr>
            <w:r w:rsidRPr="00E70587">
              <w:rPr>
                <w:rFonts w:ascii="Arial" w:hAnsi="Arial" w:cs="Arial"/>
                <w:sz w:val="20"/>
                <w:lang w:eastAsia="en-GB"/>
              </w:rPr>
              <w:t>430</w:t>
            </w:r>
          </w:p>
        </w:tc>
      </w:tr>
      <w:tr w:rsidR="00055AE6" w:rsidRPr="00E70587" w14:paraId="71FA840A" w14:textId="77777777" w:rsidTr="00F27305">
        <w:trPr>
          <w:gridAfter w:val="3"/>
          <w:wAfter w:w="1990" w:type="dxa"/>
        </w:trPr>
        <w:tc>
          <w:tcPr>
            <w:tcW w:w="5479" w:type="dxa"/>
          </w:tcPr>
          <w:p w14:paraId="5B91B018" w14:textId="77777777" w:rsidR="00055AE6" w:rsidRPr="00E70587" w:rsidRDefault="00055AE6" w:rsidP="00055AE6">
            <w:pPr>
              <w:pStyle w:val="tabletext"/>
              <w:spacing w:line="280" w:lineRule="exact"/>
              <w:rPr>
                <w:rFonts w:ascii="Arial" w:hAnsi="Arial" w:cs="Arial"/>
                <w:b/>
                <w:sz w:val="20"/>
                <w:lang w:val="en-IN"/>
              </w:rPr>
            </w:pPr>
          </w:p>
        </w:tc>
        <w:tc>
          <w:tcPr>
            <w:tcW w:w="1039" w:type="dxa"/>
          </w:tcPr>
          <w:p w14:paraId="7F1D63E7" w14:textId="77777777" w:rsidR="00055AE6" w:rsidRPr="00E70587" w:rsidRDefault="00055AE6" w:rsidP="00055AE6">
            <w:pPr>
              <w:pStyle w:val="tabletext"/>
              <w:spacing w:line="280" w:lineRule="exact"/>
              <w:rPr>
                <w:rFonts w:ascii="Arial" w:hAnsi="Arial" w:cs="Arial"/>
                <w:sz w:val="20"/>
                <w:lang w:val="en-IN"/>
              </w:rPr>
            </w:pPr>
          </w:p>
        </w:tc>
        <w:tc>
          <w:tcPr>
            <w:tcW w:w="1524" w:type="dxa"/>
            <w:gridSpan w:val="2"/>
            <w:vAlign w:val="bottom"/>
          </w:tcPr>
          <w:p w14:paraId="258E974C" w14:textId="0947B1FA" w:rsidR="00055AE6" w:rsidRPr="00E70587" w:rsidRDefault="00055AE6" w:rsidP="00055AE6">
            <w:pPr>
              <w:pStyle w:val="tabletext"/>
              <w:tabs>
                <w:tab w:val="decimal" w:pos="974"/>
              </w:tabs>
              <w:spacing w:line="280" w:lineRule="exact"/>
              <w:jc w:val="right"/>
              <w:rPr>
                <w:rFonts w:ascii="Arial" w:hAnsi="Arial" w:cs="Arial"/>
                <w:sz w:val="20"/>
                <w:lang w:val="en-IN"/>
              </w:rPr>
            </w:pPr>
            <w:r w:rsidRPr="00E70587">
              <w:rPr>
                <w:rFonts w:ascii="Arial" w:hAnsi="Arial" w:cs="Arial"/>
                <w:b/>
                <w:bCs/>
                <w:sz w:val="20"/>
                <w:lang w:eastAsia="en-GB"/>
              </w:rPr>
              <w:t>14,</w:t>
            </w:r>
            <w:r w:rsidR="00BC0D5D">
              <w:rPr>
                <w:rFonts w:ascii="Arial" w:hAnsi="Arial" w:cs="Arial"/>
                <w:b/>
                <w:bCs/>
                <w:sz w:val="20"/>
                <w:lang w:eastAsia="en-GB"/>
              </w:rPr>
              <w:t>715</w:t>
            </w:r>
          </w:p>
        </w:tc>
        <w:tc>
          <w:tcPr>
            <w:tcW w:w="1524" w:type="dxa"/>
            <w:gridSpan w:val="2"/>
            <w:vAlign w:val="bottom"/>
          </w:tcPr>
          <w:p w14:paraId="6A4EF42E" w14:textId="77777777" w:rsidR="00055AE6" w:rsidRPr="00E70587" w:rsidRDefault="00055AE6" w:rsidP="00055AE6">
            <w:pPr>
              <w:overflowPunct/>
              <w:autoSpaceDE/>
              <w:autoSpaceDN/>
              <w:adjustRightInd/>
              <w:spacing w:line="240" w:lineRule="auto"/>
              <w:jc w:val="right"/>
              <w:textAlignment w:val="auto"/>
              <w:rPr>
                <w:rFonts w:ascii="Arial" w:hAnsi="Arial" w:cs="Arial"/>
                <w:b/>
                <w:bCs/>
                <w:sz w:val="20"/>
                <w:lang w:eastAsia="en-IN"/>
              </w:rPr>
            </w:pPr>
            <w:r w:rsidRPr="00E70587">
              <w:rPr>
                <w:rFonts w:ascii="Arial" w:hAnsi="Arial" w:cs="Arial"/>
                <w:b/>
                <w:bCs/>
                <w:sz w:val="20"/>
              </w:rPr>
              <w:t>10,292</w:t>
            </w:r>
          </w:p>
        </w:tc>
      </w:tr>
      <w:tr w:rsidR="00055AE6" w:rsidRPr="00E70587" w14:paraId="7939F7EC" w14:textId="77777777" w:rsidTr="00F27305">
        <w:trPr>
          <w:gridAfter w:val="3"/>
          <w:wAfter w:w="1990" w:type="dxa"/>
        </w:trPr>
        <w:tc>
          <w:tcPr>
            <w:tcW w:w="5479" w:type="dxa"/>
          </w:tcPr>
          <w:p w14:paraId="32A87316" w14:textId="77777777" w:rsidR="00055AE6" w:rsidRPr="00E70587" w:rsidRDefault="00055AE6" w:rsidP="00055AE6">
            <w:pPr>
              <w:pStyle w:val="tabletext"/>
              <w:spacing w:line="280" w:lineRule="exact"/>
              <w:rPr>
                <w:rFonts w:ascii="Arial" w:hAnsi="Arial" w:cs="Arial"/>
                <w:b/>
                <w:sz w:val="20"/>
                <w:lang w:val="en-IN"/>
              </w:rPr>
            </w:pPr>
          </w:p>
        </w:tc>
        <w:tc>
          <w:tcPr>
            <w:tcW w:w="1039" w:type="dxa"/>
          </w:tcPr>
          <w:p w14:paraId="0353EBC9" w14:textId="77777777" w:rsidR="00055AE6" w:rsidRPr="00E70587" w:rsidRDefault="00055AE6" w:rsidP="00055AE6">
            <w:pPr>
              <w:pStyle w:val="tabletext"/>
              <w:spacing w:line="280" w:lineRule="exact"/>
              <w:rPr>
                <w:rFonts w:ascii="Arial" w:hAnsi="Arial" w:cs="Arial"/>
                <w:sz w:val="20"/>
                <w:lang w:val="en-IN"/>
              </w:rPr>
            </w:pPr>
          </w:p>
        </w:tc>
        <w:tc>
          <w:tcPr>
            <w:tcW w:w="1524" w:type="dxa"/>
            <w:gridSpan w:val="2"/>
            <w:vAlign w:val="bottom"/>
          </w:tcPr>
          <w:p w14:paraId="45893ADC" w14:textId="77777777" w:rsidR="00055AE6" w:rsidRPr="00E70587" w:rsidRDefault="00055AE6" w:rsidP="00055AE6">
            <w:pPr>
              <w:pStyle w:val="tabletext"/>
              <w:tabs>
                <w:tab w:val="decimal" w:pos="974"/>
              </w:tabs>
              <w:spacing w:line="280" w:lineRule="exact"/>
              <w:jc w:val="right"/>
              <w:rPr>
                <w:rFonts w:ascii="Arial" w:hAnsi="Arial" w:cs="Arial"/>
                <w:sz w:val="20"/>
                <w:lang w:val="en-IN"/>
              </w:rPr>
            </w:pPr>
          </w:p>
        </w:tc>
        <w:tc>
          <w:tcPr>
            <w:tcW w:w="1524" w:type="dxa"/>
            <w:gridSpan w:val="2"/>
            <w:vAlign w:val="bottom"/>
          </w:tcPr>
          <w:p w14:paraId="3CA3F6A5" w14:textId="77777777" w:rsidR="00055AE6" w:rsidRPr="00E70587" w:rsidRDefault="00055AE6" w:rsidP="00055AE6">
            <w:pPr>
              <w:pStyle w:val="tabletext"/>
              <w:tabs>
                <w:tab w:val="decimal" w:pos="1036"/>
              </w:tabs>
              <w:spacing w:line="280" w:lineRule="exact"/>
              <w:jc w:val="right"/>
              <w:rPr>
                <w:rFonts w:ascii="Arial" w:hAnsi="Arial" w:cs="Arial"/>
                <w:sz w:val="20"/>
                <w:lang w:val="en-IN"/>
              </w:rPr>
            </w:pPr>
          </w:p>
        </w:tc>
      </w:tr>
      <w:tr w:rsidR="00055AE6" w:rsidRPr="00E70587" w14:paraId="7441197C" w14:textId="77777777" w:rsidTr="00F27305">
        <w:trPr>
          <w:gridAfter w:val="3"/>
          <w:wAfter w:w="1990" w:type="dxa"/>
        </w:trPr>
        <w:tc>
          <w:tcPr>
            <w:tcW w:w="5479" w:type="dxa"/>
          </w:tcPr>
          <w:p w14:paraId="3FE90CB9" w14:textId="77777777" w:rsidR="00055AE6" w:rsidRPr="00E70587" w:rsidRDefault="00055AE6" w:rsidP="00055AE6">
            <w:pPr>
              <w:pStyle w:val="tabletext"/>
              <w:spacing w:line="280" w:lineRule="exact"/>
              <w:rPr>
                <w:rFonts w:ascii="Arial" w:hAnsi="Arial" w:cs="Arial"/>
                <w:sz w:val="20"/>
                <w:lang w:val="en-IN"/>
              </w:rPr>
            </w:pPr>
            <w:r w:rsidRPr="00E70587">
              <w:rPr>
                <w:rFonts w:ascii="Arial" w:hAnsi="Arial" w:cs="Arial"/>
                <w:b/>
                <w:sz w:val="20"/>
                <w:lang w:val="en-IN"/>
              </w:rPr>
              <w:t>Total comprehensive income for the year</w:t>
            </w:r>
          </w:p>
        </w:tc>
        <w:tc>
          <w:tcPr>
            <w:tcW w:w="1039" w:type="dxa"/>
            <w:vAlign w:val="center"/>
          </w:tcPr>
          <w:p w14:paraId="6A99F5F0" w14:textId="77777777" w:rsidR="00055AE6" w:rsidRPr="00E70587" w:rsidRDefault="00055AE6" w:rsidP="00055AE6">
            <w:pPr>
              <w:pStyle w:val="tabletext"/>
              <w:spacing w:line="280" w:lineRule="exact"/>
              <w:rPr>
                <w:rFonts w:ascii="Arial" w:hAnsi="Arial" w:cs="Arial"/>
                <w:sz w:val="20"/>
                <w:lang w:val="en-IN"/>
              </w:rPr>
            </w:pPr>
          </w:p>
        </w:tc>
        <w:tc>
          <w:tcPr>
            <w:tcW w:w="1524" w:type="dxa"/>
            <w:gridSpan w:val="2"/>
            <w:vAlign w:val="center"/>
          </w:tcPr>
          <w:p w14:paraId="2F7CE522" w14:textId="36087ED3" w:rsidR="00055AE6" w:rsidRPr="00E70587" w:rsidRDefault="005842C2" w:rsidP="00055AE6">
            <w:pPr>
              <w:pStyle w:val="tabletext"/>
              <w:tabs>
                <w:tab w:val="decimal" w:pos="974"/>
              </w:tabs>
              <w:spacing w:line="280" w:lineRule="exact"/>
              <w:jc w:val="right"/>
              <w:rPr>
                <w:rFonts w:ascii="Arial" w:hAnsi="Arial" w:cs="Arial"/>
                <w:sz w:val="20"/>
                <w:lang w:val="en-IN"/>
              </w:rPr>
            </w:pPr>
            <w:r w:rsidRPr="00E70587">
              <w:rPr>
                <w:rFonts w:ascii="Arial" w:hAnsi="Arial" w:cs="Arial"/>
                <w:b/>
                <w:bCs/>
                <w:sz w:val="20"/>
              </w:rPr>
              <w:t>1</w:t>
            </w:r>
            <w:r>
              <w:rPr>
                <w:rFonts w:ascii="Arial" w:hAnsi="Arial" w:cs="Arial"/>
                <w:b/>
                <w:bCs/>
                <w:sz w:val="20"/>
              </w:rPr>
              <w:t>4</w:t>
            </w:r>
            <w:r w:rsidR="00055AE6" w:rsidRPr="00E70587">
              <w:rPr>
                <w:rFonts w:ascii="Arial" w:hAnsi="Arial" w:cs="Arial"/>
                <w:b/>
                <w:bCs/>
                <w:sz w:val="20"/>
              </w:rPr>
              <w:t>,</w:t>
            </w:r>
            <w:r>
              <w:rPr>
                <w:rFonts w:ascii="Arial" w:hAnsi="Arial" w:cs="Arial"/>
                <w:b/>
                <w:bCs/>
                <w:sz w:val="20"/>
              </w:rPr>
              <w:t>927</w:t>
            </w:r>
          </w:p>
        </w:tc>
        <w:tc>
          <w:tcPr>
            <w:tcW w:w="1524" w:type="dxa"/>
            <w:gridSpan w:val="2"/>
            <w:vAlign w:val="center"/>
          </w:tcPr>
          <w:p w14:paraId="656F273C" w14:textId="77777777" w:rsidR="00055AE6" w:rsidRPr="00E70587" w:rsidRDefault="00055AE6" w:rsidP="00055AE6">
            <w:pPr>
              <w:overflowPunct/>
              <w:autoSpaceDE/>
              <w:autoSpaceDN/>
              <w:adjustRightInd/>
              <w:spacing w:line="240" w:lineRule="auto"/>
              <w:jc w:val="right"/>
              <w:textAlignment w:val="auto"/>
              <w:rPr>
                <w:rFonts w:ascii="Arial" w:hAnsi="Arial" w:cs="Arial"/>
                <w:b/>
                <w:bCs/>
                <w:color w:val="000000"/>
                <w:sz w:val="20"/>
                <w:lang w:eastAsia="en-IN"/>
              </w:rPr>
            </w:pPr>
            <w:r w:rsidRPr="00E70587">
              <w:rPr>
                <w:rFonts w:ascii="Arial" w:hAnsi="Arial" w:cs="Arial"/>
                <w:b/>
                <w:bCs/>
                <w:color w:val="000000"/>
                <w:sz w:val="20"/>
              </w:rPr>
              <w:t>9,636</w:t>
            </w:r>
          </w:p>
        </w:tc>
      </w:tr>
      <w:tr w:rsidR="00055AE6" w:rsidRPr="00E70587" w14:paraId="30205CB9" w14:textId="77777777" w:rsidTr="00F27305">
        <w:trPr>
          <w:gridAfter w:val="3"/>
          <w:wAfter w:w="1990" w:type="dxa"/>
        </w:trPr>
        <w:tc>
          <w:tcPr>
            <w:tcW w:w="5479" w:type="dxa"/>
          </w:tcPr>
          <w:p w14:paraId="007BB172" w14:textId="77777777" w:rsidR="00055AE6" w:rsidRPr="00E70587" w:rsidRDefault="00055AE6" w:rsidP="00055AE6">
            <w:pPr>
              <w:pStyle w:val="tabletext"/>
              <w:spacing w:line="280" w:lineRule="exact"/>
              <w:rPr>
                <w:rFonts w:ascii="Arial" w:hAnsi="Arial" w:cs="Arial"/>
                <w:b/>
                <w:sz w:val="20"/>
                <w:lang w:val="en-IN"/>
              </w:rPr>
            </w:pPr>
            <w:r w:rsidRPr="00E70587">
              <w:rPr>
                <w:rFonts w:ascii="Arial" w:hAnsi="Arial" w:cs="Arial"/>
                <w:b/>
                <w:sz w:val="20"/>
                <w:lang w:val="en-IN"/>
              </w:rPr>
              <w:t>Attributable to:</w:t>
            </w:r>
          </w:p>
        </w:tc>
        <w:tc>
          <w:tcPr>
            <w:tcW w:w="1039" w:type="dxa"/>
          </w:tcPr>
          <w:p w14:paraId="24531E95" w14:textId="77777777" w:rsidR="00055AE6" w:rsidRPr="00E70587" w:rsidRDefault="00055AE6" w:rsidP="00055AE6">
            <w:pPr>
              <w:pStyle w:val="tabletext"/>
              <w:spacing w:line="280" w:lineRule="exact"/>
              <w:rPr>
                <w:rFonts w:ascii="Arial" w:hAnsi="Arial" w:cs="Arial"/>
                <w:sz w:val="20"/>
                <w:lang w:val="en-IN"/>
              </w:rPr>
            </w:pPr>
          </w:p>
        </w:tc>
        <w:tc>
          <w:tcPr>
            <w:tcW w:w="1524" w:type="dxa"/>
            <w:gridSpan w:val="2"/>
            <w:vAlign w:val="bottom"/>
          </w:tcPr>
          <w:p w14:paraId="23C90E80" w14:textId="77777777" w:rsidR="00055AE6" w:rsidRPr="00E70587" w:rsidRDefault="00055AE6" w:rsidP="00055AE6">
            <w:pPr>
              <w:pStyle w:val="tabletext"/>
              <w:tabs>
                <w:tab w:val="decimal" w:pos="974"/>
              </w:tabs>
              <w:spacing w:line="280" w:lineRule="exact"/>
              <w:jc w:val="right"/>
              <w:rPr>
                <w:rFonts w:ascii="Arial" w:hAnsi="Arial" w:cs="Arial"/>
                <w:sz w:val="20"/>
                <w:lang w:val="en-IN"/>
              </w:rPr>
            </w:pPr>
          </w:p>
        </w:tc>
        <w:tc>
          <w:tcPr>
            <w:tcW w:w="1524" w:type="dxa"/>
            <w:gridSpan w:val="2"/>
            <w:vAlign w:val="bottom"/>
          </w:tcPr>
          <w:p w14:paraId="733E17B4" w14:textId="77777777" w:rsidR="00055AE6" w:rsidRPr="00E70587" w:rsidRDefault="00055AE6" w:rsidP="00055AE6">
            <w:pPr>
              <w:pStyle w:val="tabletext"/>
              <w:tabs>
                <w:tab w:val="decimal" w:pos="1036"/>
              </w:tabs>
              <w:spacing w:line="280" w:lineRule="exact"/>
              <w:jc w:val="right"/>
              <w:rPr>
                <w:rFonts w:ascii="Arial" w:hAnsi="Arial" w:cs="Arial"/>
                <w:sz w:val="20"/>
                <w:lang w:val="en-IN"/>
              </w:rPr>
            </w:pPr>
          </w:p>
        </w:tc>
      </w:tr>
      <w:tr w:rsidR="00055AE6" w:rsidRPr="00E70587" w14:paraId="052D5D4E" w14:textId="77777777" w:rsidTr="00F27305">
        <w:trPr>
          <w:gridAfter w:val="3"/>
          <w:wAfter w:w="1990" w:type="dxa"/>
        </w:trPr>
        <w:tc>
          <w:tcPr>
            <w:tcW w:w="5479" w:type="dxa"/>
            <w:vAlign w:val="bottom"/>
          </w:tcPr>
          <w:p w14:paraId="6491FEE5" w14:textId="77777777" w:rsidR="00055AE6" w:rsidRPr="00E70587" w:rsidRDefault="00055AE6" w:rsidP="00055AE6">
            <w:pPr>
              <w:pStyle w:val="tabletext"/>
              <w:spacing w:line="280" w:lineRule="exact"/>
              <w:rPr>
                <w:rFonts w:ascii="Arial" w:hAnsi="Arial" w:cs="Arial"/>
                <w:sz w:val="20"/>
                <w:lang w:val="en-IN"/>
              </w:rPr>
            </w:pPr>
            <w:r w:rsidRPr="00E70587">
              <w:rPr>
                <w:rFonts w:ascii="Arial" w:hAnsi="Arial" w:cs="Arial"/>
                <w:sz w:val="20"/>
                <w:lang w:val="en-IN"/>
              </w:rPr>
              <w:t xml:space="preserve"> Equity holders of the parent</w:t>
            </w:r>
          </w:p>
        </w:tc>
        <w:tc>
          <w:tcPr>
            <w:tcW w:w="1039" w:type="dxa"/>
            <w:vAlign w:val="bottom"/>
          </w:tcPr>
          <w:p w14:paraId="4FEC814A" w14:textId="77777777" w:rsidR="00055AE6" w:rsidRPr="00E70587" w:rsidRDefault="00055AE6" w:rsidP="00055AE6">
            <w:pPr>
              <w:pStyle w:val="tabletext"/>
              <w:spacing w:line="280" w:lineRule="exact"/>
              <w:rPr>
                <w:rFonts w:ascii="Arial" w:hAnsi="Arial" w:cs="Arial"/>
                <w:sz w:val="20"/>
                <w:lang w:val="en-IN"/>
              </w:rPr>
            </w:pPr>
          </w:p>
        </w:tc>
        <w:tc>
          <w:tcPr>
            <w:tcW w:w="1524" w:type="dxa"/>
            <w:gridSpan w:val="2"/>
            <w:vAlign w:val="bottom"/>
          </w:tcPr>
          <w:p w14:paraId="3F28D584" w14:textId="7EF62AC8" w:rsidR="00055AE6" w:rsidRPr="00E70587" w:rsidRDefault="00055AE6" w:rsidP="00055AE6">
            <w:pPr>
              <w:spacing w:line="280" w:lineRule="exact"/>
              <w:jc w:val="right"/>
              <w:rPr>
                <w:rFonts w:ascii="Arial" w:hAnsi="Arial" w:cs="Arial"/>
                <w:sz w:val="20"/>
              </w:rPr>
            </w:pPr>
            <w:r w:rsidRPr="00E70587">
              <w:rPr>
                <w:rFonts w:ascii="Arial" w:hAnsi="Arial" w:cs="Arial"/>
                <w:sz w:val="20"/>
              </w:rPr>
              <w:t>14,</w:t>
            </w:r>
            <w:r w:rsidR="005842C2">
              <w:rPr>
                <w:rFonts w:ascii="Arial" w:hAnsi="Arial" w:cs="Arial"/>
                <w:sz w:val="20"/>
              </w:rPr>
              <w:t>407</w:t>
            </w:r>
          </w:p>
        </w:tc>
        <w:tc>
          <w:tcPr>
            <w:tcW w:w="1524" w:type="dxa"/>
            <w:gridSpan w:val="2"/>
            <w:vAlign w:val="bottom"/>
          </w:tcPr>
          <w:p w14:paraId="1C93F66E" w14:textId="44D43B75" w:rsidR="00055AE6" w:rsidRPr="00E70587" w:rsidRDefault="00055AE6" w:rsidP="00055AE6">
            <w:pPr>
              <w:overflowPunct/>
              <w:autoSpaceDE/>
              <w:autoSpaceDN/>
              <w:adjustRightInd/>
              <w:spacing w:line="240" w:lineRule="auto"/>
              <w:jc w:val="right"/>
              <w:textAlignment w:val="auto"/>
              <w:rPr>
                <w:rFonts w:ascii="Arial" w:hAnsi="Arial" w:cs="Arial"/>
                <w:color w:val="000000"/>
                <w:sz w:val="20"/>
                <w:lang w:eastAsia="en-IN"/>
              </w:rPr>
            </w:pPr>
          </w:p>
          <w:p w14:paraId="7361ACC1" w14:textId="426F9B32" w:rsidR="00055AE6" w:rsidRPr="00E70587" w:rsidRDefault="00055AE6" w:rsidP="00055AE6">
            <w:pPr>
              <w:spacing w:line="280" w:lineRule="exact"/>
              <w:jc w:val="right"/>
              <w:rPr>
                <w:rFonts w:ascii="Arial" w:hAnsi="Arial" w:cs="Arial"/>
                <w:sz w:val="20"/>
              </w:rPr>
            </w:pPr>
            <w:r w:rsidRPr="00E70587">
              <w:rPr>
                <w:rFonts w:ascii="Arial" w:hAnsi="Arial" w:cs="Arial"/>
                <w:color w:val="000000"/>
                <w:sz w:val="20"/>
              </w:rPr>
              <w:t>9,206</w:t>
            </w:r>
          </w:p>
        </w:tc>
      </w:tr>
      <w:tr w:rsidR="00055AE6" w:rsidRPr="00E70587" w14:paraId="665698BE" w14:textId="77777777" w:rsidTr="00F27305">
        <w:trPr>
          <w:gridAfter w:val="3"/>
          <w:wAfter w:w="1990" w:type="dxa"/>
        </w:trPr>
        <w:tc>
          <w:tcPr>
            <w:tcW w:w="5479" w:type="dxa"/>
            <w:vAlign w:val="bottom"/>
          </w:tcPr>
          <w:p w14:paraId="3861301C" w14:textId="77777777" w:rsidR="00055AE6" w:rsidRPr="00E70587" w:rsidRDefault="00055AE6" w:rsidP="00055AE6">
            <w:pPr>
              <w:pStyle w:val="tabletext"/>
              <w:spacing w:line="280" w:lineRule="exact"/>
              <w:rPr>
                <w:rFonts w:ascii="Arial" w:hAnsi="Arial" w:cs="Arial"/>
                <w:sz w:val="20"/>
                <w:lang w:val="en-IN"/>
              </w:rPr>
            </w:pPr>
            <w:r w:rsidRPr="00E70587">
              <w:rPr>
                <w:rFonts w:ascii="Arial" w:hAnsi="Arial" w:cs="Arial"/>
                <w:sz w:val="20"/>
                <w:lang w:val="en-IN"/>
              </w:rPr>
              <w:t xml:space="preserve"> Non-controlling interests</w:t>
            </w:r>
          </w:p>
        </w:tc>
        <w:tc>
          <w:tcPr>
            <w:tcW w:w="1039" w:type="dxa"/>
            <w:vAlign w:val="bottom"/>
          </w:tcPr>
          <w:p w14:paraId="037F738C" w14:textId="77777777" w:rsidR="00055AE6" w:rsidRPr="00E70587" w:rsidRDefault="00055AE6" w:rsidP="00055AE6">
            <w:pPr>
              <w:pStyle w:val="tabletext"/>
              <w:spacing w:line="280" w:lineRule="exact"/>
              <w:rPr>
                <w:rFonts w:ascii="Arial" w:hAnsi="Arial" w:cs="Arial"/>
                <w:sz w:val="20"/>
                <w:lang w:val="en-IN"/>
              </w:rPr>
            </w:pPr>
          </w:p>
        </w:tc>
        <w:tc>
          <w:tcPr>
            <w:tcW w:w="1524" w:type="dxa"/>
            <w:gridSpan w:val="2"/>
            <w:tcBorders>
              <w:bottom w:val="single" w:sz="4" w:space="0" w:color="auto"/>
            </w:tcBorders>
            <w:vAlign w:val="bottom"/>
          </w:tcPr>
          <w:p w14:paraId="4B807F60"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520</w:t>
            </w:r>
          </w:p>
        </w:tc>
        <w:tc>
          <w:tcPr>
            <w:tcW w:w="1524" w:type="dxa"/>
            <w:gridSpan w:val="2"/>
            <w:tcBorders>
              <w:bottom w:val="single" w:sz="4" w:space="0" w:color="auto"/>
            </w:tcBorders>
            <w:vAlign w:val="bottom"/>
          </w:tcPr>
          <w:p w14:paraId="1BA36496" w14:textId="77777777" w:rsidR="00055AE6" w:rsidRPr="00E70587" w:rsidRDefault="00055AE6" w:rsidP="00055AE6">
            <w:pPr>
              <w:spacing w:line="280" w:lineRule="exact"/>
              <w:jc w:val="right"/>
              <w:rPr>
                <w:rFonts w:ascii="Arial" w:hAnsi="Arial" w:cs="Arial"/>
                <w:sz w:val="20"/>
              </w:rPr>
            </w:pPr>
            <w:r w:rsidRPr="00E70587">
              <w:rPr>
                <w:rFonts w:ascii="Arial" w:hAnsi="Arial" w:cs="Arial"/>
                <w:sz w:val="20"/>
              </w:rPr>
              <w:t>430</w:t>
            </w:r>
          </w:p>
        </w:tc>
      </w:tr>
      <w:tr w:rsidR="00055AE6" w:rsidRPr="00E70587" w14:paraId="6AE3DB27" w14:textId="77777777" w:rsidTr="00F27305">
        <w:trPr>
          <w:gridAfter w:val="3"/>
          <w:wAfter w:w="1990" w:type="dxa"/>
        </w:trPr>
        <w:tc>
          <w:tcPr>
            <w:tcW w:w="5479" w:type="dxa"/>
          </w:tcPr>
          <w:p w14:paraId="232EB174" w14:textId="77777777" w:rsidR="00055AE6" w:rsidRPr="00E70587" w:rsidRDefault="00055AE6" w:rsidP="00055AE6">
            <w:pPr>
              <w:pStyle w:val="tabletext"/>
              <w:spacing w:line="280" w:lineRule="exact"/>
              <w:rPr>
                <w:rFonts w:ascii="Arial" w:hAnsi="Arial" w:cs="Arial"/>
                <w:sz w:val="20"/>
                <w:lang w:val="en-IN"/>
              </w:rPr>
            </w:pPr>
          </w:p>
        </w:tc>
        <w:tc>
          <w:tcPr>
            <w:tcW w:w="1039" w:type="dxa"/>
          </w:tcPr>
          <w:p w14:paraId="515A6F5A" w14:textId="77777777" w:rsidR="00055AE6" w:rsidRPr="00E70587" w:rsidRDefault="00055AE6" w:rsidP="00055AE6">
            <w:pPr>
              <w:pStyle w:val="tabletext"/>
              <w:spacing w:line="280" w:lineRule="exact"/>
              <w:rPr>
                <w:rFonts w:ascii="Arial" w:hAnsi="Arial" w:cs="Arial"/>
                <w:sz w:val="20"/>
                <w:lang w:val="en-IN"/>
              </w:rPr>
            </w:pPr>
          </w:p>
        </w:tc>
        <w:tc>
          <w:tcPr>
            <w:tcW w:w="1524" w:type="dxa"/>
            <w:gridSpan w:val="2"/>
            <w:tcBorders>
              <w:top w:val="single" w:sz="4" w:space="0" w:color="auto"/>
              <w:bottom w:val="double" w:sz="4" w:space="0" w:color="auto"/>
            </w:tcBorders>
            <w:vAlign w:val="bottom"/>
          </w:tcPr>
          <w:p w14:paraId="156EC316" w14:textId="584B2D69" w:rsidR="00055AE6" w:rsidRPr="00E70587" w:rsidRDefault="00D74381" w:rsidP="00055AE6">
            <w:pPr>
              <w:spacing w:line="280" w:lineRule="exact"/>
              <w:jc w:val="right"/>
              <w:rPr>
                <w:rFonts w:ascii="Arial" w:hAnsi="Arial" w:cs="Arial"/>
                <w:b/>
                <w:bCs/>
                <w:sz w:val="20"/>
              </w:rPr>
            </w:pPr>
            <w:r w:rsidRPr="00E70587">
              <w:rPr>
                <w:rFonts w:ascii="Arial" w:hAnsi="Arial" w:cs="Arial"/>
                <w:b/>
                <w:bCs/>
                <w:sz w:val="20"/>
              </w:rPr>
              <w:t>1</w:t>
            </w:r>
            <w:r>
              <w:rPr>
                <w:rFonts w:ascii="Arial" w:hAnsi="Arial" w:cs="Arial"/>
                <w:b/>
                <w:bCs/>
                <w:sz w:val="20"/>
              </w:rPr>
              <w:t>4</w:t>
            </w:r>
            <w:r w:rsidR="00055AE6" w:rsidRPr="00E70587">
              <w:rPr>
                <w:rFonts w:ascii="Arial" w:hAnsi="Arial" w:cs="Arial"/>
                <w:b/>
                <w:bCs/>
                <w:sz w:val="20"/>
              </w:rPr>
              <w:t>,</w:t>
            </w:r>
            <w:r>
              <w:rPr>
                <w:rFonts w:ascii="Arial" w:hAnsi="Arial" w:cs="Arial"/>
                <w:b/>
                <w:bCs/>
                <w:sz w:val="20"/>
              </w:rPr>
              <w:t>927</w:t>
            </w:r>
          </w:p>
        </w:tc>
        <w:tc>
          <w:tcPr>
            <w:tcW w:w="1524" w:type="dxa"/>
            <w:gridSpan w:val="2"/>
            <w:tcBorders>
              <w:top w:val="single" w:sz="4" w:space="0" w:color="auto"/>
              <w:bottom w:val="double" w:sz="4" w:space="0" w:color="auto"/>
            </w:tcBorders>
            <w:vAlign w:val="bottom"/>
          </w:tcPr>
          <w:p w14:paraId="553EF257" w14:textId="77777777" w:rsidR="00055AE6" w:rsidRPr="00E70587" w:rsidRDefault="00055AE6" w:rsidP="00055AE6">
            <w:pPr>
              <w:overflowPunct/>
              <w:autoSpaceDE/>
              <w:autoSpaceDN/>
              <w:adjustRightInd/>
              <w:spacing w:line="240" w:lineRule="auto"/>
              <w:jc w:val="right"/>
              <w:textAlignment w:val="auto"/>
              <w:rPr>
                <w:rFonts w:ascii="Arial" w:hAnsi="Arial" w:cs="Arial"/>
                <w:b/>
                <w:bCs/>
                <w:color w:val="000000"/>
                <w:sz w:val="20"/>
                <w:lang w:eastAsia="en-IN"/>
              </w:rPr>
            </w:pPr>
            <w:r w:rsidRPr="00E70587">
              <w:rPr>
                <w:rFonts w:ascii="Arial" w:hAnsi="Arial" w:cs="Arial"/>
                <w:b/>
                <w:bCs/>
                <w:color w:val="000000"/>
                <w:sz w:val="20"/>
              </w:rPr>
              <w:t>9,636</w:t>
            </w:r>
          </w:p>
        </w:tc>
      </w:tr>
      <w:tr w:rsidR="00055AE6" w:rsidRPr="00E70587" w14:paraId="49B1CBE2" w14:textId="77777777" w:rsidTr="00F27305">
        <w:trPr>
          <w:gridAfter w:val="3"/>
          <w:wAfter w:w="1990" w:type="dxa"/>
          <w:trHeight w:val="222"/>
        </w:trPr>
        <w:tc>
          <w:tcPr>
            <w:tcW w:w="5479" w:type="dxa"/>
          </w:tcPr>
          <w:p w14:paraId="425B686B" w14:textId="77777777" w:rsidR="00055AE6" w:rsidRPr="00E70587" w:rsidRDefault="00055AE6" w:rsidP="00055AE6">
            <w:pPr>
              <w:pStyle w:val="tabletext"/>
              <w:spacing w:line="280" w:lineRule="exact"/>
              <w:rPr>
                <w:rFonts w:ascii="Arial" w:hAnsi="Arial" w:cs="Arial"/>
                <w:sz w:val="20"/>
                <w:lang w:val="en-IN"/>
              </w:rPr>
            </w:pPr>
          </w:p>
          <w:p w14:paraId="47C1B773" w14:textId="77777777" w:rsidR="00055AE6" w:rsidRPr="00E70587" w:rsidRDefault="00055AE6" w:rsidP="00055AE6">
            <w:pPr>
              <w:pStyle w:val="tabletext"/>
              <w:spacing w:line="280" w:lineRule="exact"/>
              <w:rPr>
                <w:rFonts w:ascii="Arial" w:hAnsi="Arial" w:cs="Arial"/>
                <w:sz w:val="20"/>
                <w:lang w:val="en-IN"/>
              </w:rPr>
            </w:pPr>
          </w:p>
        </w:tc>
        <w:tc>
          <w:tcPr>
            <w:tcW w:w="1039" w:type="dxa"/>
          </w:tcPr>
          <w:p w14:paraId="6DA783CD" w14:textId="77777777" w:rsidR="00055AE6" w:rsidRPr="00E70587" w:rsidRDefault="00055AE6" w:rsidP="00055AE6">
            <w:pPr>
              <w:pStyle w:val="tabletext"/>
              <w:spacing w:line="280" w:lineRule="exact"/>
              <w:rPr>
                <w:rFonts w:ascii="Arial" w:hAnsi="Arial" w:cs="Arial"/>
                <w:sz w:val="20"/>
                <w:lang w:val="en-IN"/>
              </w:rPr>
            </w:pPr>
          </w:p>
        </w:tc>
        <w:tc>
          <w:tcPr>
            <w:tcW w:w="1524" w:type="dxa"/>
            <w:gridSpan w:val="2"/>
            <w:tcBorders>
              <w:top w:val="double" w:sz="4" w:space="0" w:color="auto"/>
            </w:tcBorders>
            <w:vAlign w:val="bottom"/>
          </w:tcPr>
          <w:p w14:paraId="4E78452F" w14:textId="77777777" w:rsidR="00055AE6" w:rsidRPr="00E70587" w:rsidRDefault="00055AE6" w:rsidP="00055AE6">
            <w:pPr>
              <w:spacing w:line="280" w:lineRule="exact"/>
              <w:jc w:val="right"/>
              <w:rPr>
                <w:rFonts w:ascii="Arial" w:hAnsi="Arial" w:cs="Arial"/>
                <w:b/>
                <w:bCs/>
                <w:sz w:val="20"/>
              </w:rPr>
            </w:pPr>
          </w:p>
        </w:tc>
        <w:tc>
          <w:tcPr>
            <w:tcW w:w="1524" w:type="dxa"/>
            <w:gridSpan w:val="2"/>
            <w:tcBorders>
              <w:top w:val="double" w:sz="4" w:space="0" w:color="auto"/>
            </w:tcBorders>
            <w:vAlign w:val="bottom"/>
          </w:tcPr>
          <w:p w14:paraId="770303B2" w14:textId="77777777" w:rsidR="00055AE6" w:rsidRPr="00E70587" w:rsidRDefault="00055AE6" w:rsidP="00055AE6">
            <w:pPr>
              <w:spacing w:line="280" w:lineRule="exact"/>
              <w:jc w:val="right"/>
              <w:rPr>
                <w:rFonts w:ascii="Arial" w:hAnsi="Arial" w:cs="Arial"/>
                <w:b/>
                <w:bCs/>
                <w:sz w:val="20"/>
              </w:rPr>
            </w:pPr>
          </w:p>
        </w:tc>
      </w:tr>
      <w:tr w:rsidR="00055AE6" w:rsidRPr="00E70587" w14:paraId="71A904E4" w14:textId="77777777" w:rsidTr="00F27305">
        <w:trPr>
          <w:gridAfter w:val="3"/>
          <w:wAfter w:w="1990" w:type="dxa"/>
          <w:trHeight w:val="98"/>
        </w:trPr>
        <w:tc>
          <w:tcPr>
            <w:tcW w:w="5479" w:type="dxa"/>
            <w:vAlign w:val="bottom"/>
          </w:tcPr>
          <w:p w14:paraId="44E77FA2" w14:textId="77777777" w:rsidR="00055AE6" w:rsidRPr="00E70587" w:rsidRDefault="00055AE6" w:rsidP="00055AE6">
            <w:pPr>
              <w:pStyle w:val="tabletext"/>
              <w:spacing w:line="280" w:lineRule="exact"/>
              <w:ind w:left="284" w:hanging="284"/>
              <w:rPr>
                <w:rFonts w:ascii="Arial" w:hAnsi="Arial" w:cs="Arial"/>
                <w:sz w:val="20"/>
                <w:lang w:val="en-IN"/>
              </w:rPr>
            </w:pPr>
            <w:r w:rsidRPr="00E70587">
              <w:rPr>
                <w:rFonts w:ascii="Arial" w:hAnsi="Arial" w:cs="Arial"/>
                <w:sz w:val="20"/>
                <w:lang w:val="en-IN"/>
              </w:rPr>
              <w:t>Earnings per share for continuing operations</w:t>
            </w:r>
          </w:p>
        </w:tc>
        <w:tc>
          <w:tcPr>
            <w:tcW w:w="1039" w:type="dxa"/>
            <w:vAlign w:val="bottom"/>
          </w:tcPr>
          <w:p w14:paraId="00183E3A" w14:textId="77777777" w:rsidR="00055AE6" w:rsidRPr="00E70587" w:rsidRDefault="00055AE6" w:rsidP="00055AE6">
            <w:pPr>
              <w:pStyle w:val="tablenotes"/>
              <w:tabs>
                <w:tab w:val="clear" w:pos="439"/>
              </w:tabs>
              <w:spacing w:before="0" w:line="280" w:lineRule="exact"/>
              <w:jc w:val="center"/>
              <w:rPr>
                <w:rFonts w:ascii="Arial" w:hAnsi="Arial" w:cs="Arial"/>
                <w:color w:val="auto"/>
                <w:sz w:val="20"/>
              </w:rPr>
            </w:pPr>
            <w:r w:rsidRPr="00E70587">
              <w:rPr>
                <w:rFonts w:ascii="Arial" w:hAnsi="Arial" w:cs="Arial"/>
                <w:color w:val="auto"/>
                <w:sz w:val="20"/>
              </w:rPr>
              <w:t>33</w:t>
            </w:r>
          </w:p>
        </w:tc>
        <w:tc>
          <w:tcPr>
            <w:tcW w:w="1524" w:type="dxa"/>
            <w:gridSpan w:val="2"/>
            <w:vAlign w:val="bottom"/>
          </w:tcPr>
          <w:p w14:paraId="3D17D86A" w14:textId="77777777" w:rsidR="00055AE6" w:rsidRPr="00E70587" w:rsidRDefault="00055AE6" w:rsidP="00055AE6">
            <w:pPr>
              <w:pStyle w:val="tabletext"/>
              <w:spacing w:line="280" w:lineRule="exact"/>
              <w:jc w:val="right"/>
              <w:rPr>
                <w:rFonts w:ascii="Arial" w:hAnsi="Arial" w:cs="Arial"/>
                <w:sz w:val="20"/>
                <w:lang w:val="en-IN"/>
              </w:rPr>
            </w:pPr>
          </w:p>
        </w:tc>
        <w:tc>
          <w:tcPr>
            <w:tcW w:w="1524" w:type="dxa"/>
            <w:gridSpan w:val="2"/>
            <w:vAlign w:val="bottom"/>
          </w:tcPr>
          <w:p w14:paraId="56D62DD4" w14:textId="77777777" w:rsidR="00055AE6" w:rsidRPr="00E70587" w:rsidRDefault="00055AE6" w:rsidP="00055AE6">
            <w:pPr>
              <w:pStyle w:val="tabletext"/>
              <w:spacing w:line="280" w:lineRule="exact"/>
              <w:jc w:val="right"/>
              <w:rPr>
                <w:rFonts w:ascii="Arial" w:hAnsi="Arial" w:cs="Arial"/>
                <w:sz w:val="20"/>
                <w:lang w:val="en-IN"/>
              </w:rPr>
            </w:pPr>
          </w:p>
        </w:tc>
      </w:tr>
      <w:tr w:rsidR="00055AE6" w:rsidRPr="00E70587" w14:paraId="6273023B" w14:textId="77777777" w:rsidTr="00F27305">
        <w:trPr>
          <w:gridAfter w:val="3"/>
          <w:wAfter w:w="1990" w:type="dxa"/>
        </w:trPr>
        <w:tc>
          <w:tcPr>
            <w:tcW w:w="5479" w:type="dxa"/>
            <w:vAlign w:val="bottom"/>
          </w:tcPr>
          <w:p w14:paraId="7C2D87B9" w14:textId="77777777" w:rsidR="00055AE6" w:rsidRPr="00E70587" w:rsidRDefault="00055AE6" w:rsidP="00055AE6">
            <w:pPr>
              <w:pStyle w:val="tabletext"/>
              <w:numPr>
                <w:ilvl w:val="0"/>
                <w:numId w:val="2"/>
              </w:numPr>
              <w:tabs>
                <w:tab w:val="clear" w:pos="425"/>
              </w:tabs>
              <w:overflowPunct w:val="0"/>
              <w:autoSpaceDE w:val="0"/>
              <w:autoSpaceDN w:val="0"/>
              <w:adjustRightInd w:val="0"/>
              <w:spacing w:line="280" w:lineRule="exact"/>
              <w:ind w:left="284" w:hanging="284"/>
              <w:textAlignment w:val="baseline"/>
              <w:rPr>
                <w:rFonts w:ascii="Arial" w:hAnsi="Arial" w:cs="Arial"/>
                <w:sz w:val="20"/>
                <w:lang w:val="en-IN"/>
              </w:rPr>
            </w:pPr>
            <w:r w:rsidRPr="00E70587">
              <w:rPr>
                <w:rFonts w:ascii="Arial" w:hAnsi="Arial" w:cs="Arial"/>
                <w:sz w:val="20"/>
                <w:lang w:val="en-IN"/>
              </w:rPr>
              <w:t>Basic, profit from continuing operations attributable to equity holders of the parent</w:t>
            </w:r>
          </w:p>
        </w:tc>
        <w:tc>
          <w:tcPr>
            <w:tcW w:w="1039" w:type="dxa"/>
            <w:vAlign w:val="bottom"/>
          </w:tcPr>
          <w:p w14:paraId="79BCCFCC" w14:textId="77777777" w:rsidR="00055AE6" w:rsidRPr="00E70587" w:rsidRDefault="00055AE6" w:rsidP="00055AE6">
            <w:pPr>
              <w:pStyle w:val="tablenotes"/>
              <w:spacing w:before="0" w:line="280" w:lineRule="exact"/>
              <w:jc w:val="center"/>
              <w:rPr>
                <w:rFonts w:ascii="Arial" w:hAnsi="Arial" w:cs="Arial"/>
                <w:color w:val="auto"/>
                <w:sz w:val="20"/>
              </w:rPr>
            </w:pPr>
          </w:p>
        </w:tc>
        <w:tc>
          <w:tcPr>
            <w:tcW w:w="1524" w:type="dxa"/>
            <w:gridSpan w:val="2"/>
            <w:shd w:val="clear" w:color="auto" w:fill="auto"/>
            <w:vAlign w:val="bottom"/>
          </w:tcPr>
          <w:p w14:paraId="5B7CAE3C" w14:textId="5719EB76" w:rsidR="00055AE6" w:rsidRPr="00BB6300"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r w:rsidRPr="00BB6300">
              <w:rPr>
                <w:rFonts w:ascii="Arial" w:hAnsi="Arial" w:cs="Arial"/>
                <w:sz w:val="20"/>
                <w:lang w:val="en-IN"/>
              </w:rPr>
              <w:t>INR 0.3</w:t>
            </w:r>
            <w:r>
              <w:rPr>
                <w:rFonts w:ascii="Arial" w:hAnsi="Arial" w:cs="Arial"/>
                <w:sz w:val="20"/>
                <w:lang w:val="en-IN"/>
              </w:rPr>
              <w:t>7</w:t>
            </w:r>
          </w:p>
        </w:tc>
        <w:tc>
          <w:tcPr>
            <w:tcW w:w="1524" w:type="dxa"/>
            <w:gridSpan w:val="2"/>
            <w:shd w:val="clear" w:color="auto" w:fill="auto"/>
            <w:vAlign w:val="bottom"/>
          </w:tcPr>
          <w:p w14:paraId="593507A4" w14:textId="186AF14D" w:rsidR="00055AE6" w:rsidRPr="00BB6300"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r w:rsidRPr="00BB6300">
              <w:rPr>
                <w:rFonts w:ascii="Arial" w:hAnsi="Arial" w:cs="Arial"/>
                <w:sz w:val="20"/>
                <w:lang w:val="en-IN"/>
              </w:rPr>
              <w:t>INR 0.</w:t>
            </w:r>
            <w:r>
              <w:rPr>
                <w:rFonts w:ascii="Arial" w:hAnsi="Arial" w:cs="Arial"/>
                <w:sz w:val="20"/>
                <w:lang w:val="en-IN"/>
              </w:rPr>
              <w:t>28</w:t>
            </w:r>
          </w:p>
        </w:tc>
      </w:tr>
      <w:tr w:rsidR="00055AE6" w:rsidRPr="00E70587" w14:paraId="0048C0D0" w14:textId="77777777" w:rsidTr="00F27305">
        <w:trPr>
          <w:gridAfter w:val="3"/>
          <w:wAfter w:w="1990" w:type="dxa"/>
        </w:trPr>
        <w:tc>
          <w:tcPr>
            <w:tcW w:w="5479" w:type="dxa"/>
            <w:vAlign w:val="bottom"/>
          </w:tcPr>
          <w:p w14:paraId="71298199" w14:textId="77777777" w:rsidR="00055AE6" w:rsidRPr="00E70587" w:rsidRDefault="00055AE6" w:rsidP="00055AE6">
            <w:pPr>
              <w:pStyle w:val="tabletext"/>
              <w:numPr>
                <w:ilvl w:val="0"/>
                <w:numId w:val="2"/>
              </w:numPr>
              <w:tabs>
                <w:tab w:val="clear" w:pos="425"/>
              </w:tabs>
              <w:overflowPunct w:val="0"/>
              <w:autoSpaceDE w:val="0"/>
              <w:autoSpaceDN w:val="0"/>
              <w:adjustRightInd w:val="0"/>
              <w:spacing w:line="280" w:lineRule="exact"/>
              <w:ind w:left="284" w:hanging="284"/>
              <w:textAlignment w:val="baseline"/>
              <w:rPr>
                <w:rFonts w:ascii="Arial" w:hAnsi="Arial" w:cs="Arial"/>
                <w:sz w:val="20"/>
                <w:lang w:val="en-IN"/>
              </w:rPr>
            </w:pPr>
            <w:r w:rsidRPr="00E70587">
              <w:rPr>
                <w:rFonts w:ascii="Arial" w:hAnsi="Arial" w:cs="Arial"/>
                <w:sz w:val="20"/>
                <w:lang w:val="en-IN"/>
              </w:rPr>
              <w:t>Diluted, profit from continuing operations attributable to equity holders of the parent</w:t>
            </w:r>
          </w:p>
        </w:tc>
        <w:tc>
          <w:tcPr>
            <w:tcW w:w="1039" w:type="dxa"/>
            <w:vAlign w:val="bottom"/>
          </w:tcPr>
          <w:p w14:paraId="605DC790" w14:textId="77777777" w:rsidR="00055AE6" w:rsidRPr="00E70587" w:rsidRDefault="00055AE6" w:rsidP="00055AE6">
            <w:pPr>
              <w:pStyle w:val="tablenotes"/>
              <w:spacing w:before="0" w:line="280" w:lineRule="exact"/>
              <w:jc w:val="center"/>
              <w:rPr>
                <w:rFonts w:ascii="Arial" w:hAnsi="Arial" w:cs="Arial"/>
                <w:color w:val="auto"/>
                <w:sz w:val="20"/>
              </w:rPr>
            </w:pPr>
          </w:p>
        </w:tc>
        <w:tc>
          <w:tcPr>
            <w:tcW w:w="1524" w:type="dxa"/>
            <w:gridSpan w:val="2"/>
            <w:shd w:val="clear" w:color="auto" w:fill="auto"/>
            <w:vAlign w:val="bottom"/>
          </w:tcPr>
          <w:p w14:paraId="08BDB842" w14:textId="59B7CBDF" w:rsidR="00055AE6" w:rsidRPr="00BB6300"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r w:rsidRPr="00BB6300">
              <w:rPr>
                <w:rFonts w:ascii="Arial" w:hAnsi="Arial" w:cs="Arial"/>
                <w:sz w:val="20"/>
                <w:lang w:val="en-IN"/>
              </w:rPr>
              <w:t>INR 0.3</w:t>
            </w:r>
            <w:r w:rsidR="004B76CA">
              <w:rPr>
                <w:rFonts w:ascii="Arial" w:hAnsi="Arial" w:cs="Arial"/>
                <w:sz w:val="20"/>
                <w:lang w:val="en-IN"/>
              </w:rPr>
              <w:t>8</w:t>
            </w:r>
          </w:p>
        </w:tc>
        <w:tc>
          <w:tcPr>
            <w:tcW w:w="1524" w:type="dxa"/>
            <w:gridSpan w:val="2"/>
            <w:shd w:val="clear" w:color="auto" w:fill="auto"/>
            <w:vAlign w:val="bottom"/>
          </w:tcPr>
          <w:p w14:paraId="71526064" w14:textId="7B150CFD" w:rsidR="00055AE6" w:rsidRPr="00BB6300"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r w:rsidRPr="00BB6300">
              <w:rPr>
                <w:rFonts w:ascii="Arial" w:hAnsi="Arial" w:cs="Arial"/>
                <w:sz w:val="20"/>
                <w:lang w:val="en-IN"/>
              </w:rPr>
              <w:t>INR 0.</w:t>
            </w:r>
            <w:r>
              <w:rPr>
                <w:rFonts w:ascii="Arial" w:hAnsi="Arial" w:cs="Arial"/>
                <w:sz w:val="20"/>
                <w:lang w:val="en-IN"/>
              </w:rPr>
              <w:t>2</w:t>
            </w:r>
            <w:r w:rsidR="004B76CA">
              <w:rPr>
                <w:rFonts w:ascii="Arial" w:hAnsi="Arial" w:cs="Arial"/>
                <w:sz w:val="20"/>
                <w:lang w:val="en-IN"/>
              </w:rPr>
              <w:t>9</w:t>
            </w:r>
          </w:p>
        </w:tc>
      </w:tr>
      <w:tr w:rsidR="00055AE6" w:rsidRPr="00E70587" w14:paraId="159CA45C" w14:textId="77777777" w:rsidTr="00F27305">
        <w:trPr>
          <w:gridAfter w:val="3"/>
          <w:wAfter w:w="1990" w:type="dxa"/>
        </w:trPr>
        <w:tc>
          <w:tcPr>
            <w:tcW w:w="5479" w:type="dxa"/>
            <w:vAlign w:val="bottom"/>
          </w:tcPr>
          <w:p w14:paraId="02198F02" w14:textId="77777777" w:rsidR="00055AE6" w:rsidRPr="00E70587" w:rsidRDefault="00055AE6" w:rsidP="00055AE6">
            <w:pPr>
              <w:pStyle w:val="tabletext"/>
              <w:overflowPunct w:val="0"/>
              <w:autoSpaceDE w:val="0"/>
              <w:autoSpaceDN w:val="0"/>
              <w:adjustRightInd w:val="0"/>
              <w:spacing w:line="280" w:lineRule="exact"/>
              <w:ind w:left="284"/>
              <w:textAlignment w:val="baseline"/>
              <w:rPr>
                <w:rFonts w:ascii="Arial" w:hAnsi="Arial" w:cs="Arial"/>
                <w:sz w:val="20"/>
                <w:lang w:val="en-IN"/>
              </w:rPr>
            </w:pPr>
          </w:p>
        </w:tc>
        <w:tc>
          <w:tcPr>
            <w:tcW w:w="1039" w:type="dxa"/>
            <w:vAlign w:val="bottom"/>
          </w:tcPr>
          <w:p w14:paraId="298FEFFC" w14:textId="77777777" w:rsidR="00055AE6" w:rsidRPr="00E70587" w:rsidRDefault="00055AE6" w:rsidP="00055AE6">
            <w:pPr>
              <w:pStyle w:val="tablenotes"/>
              <w:spacing w:before="0" w:line="280" w:lineRule="exact"/>
              <w:jc w:val="center"/>
              <w:rPr>
                <w:rFonts w:ascii="Arial" w:hAnsi="Arial" w:cs="Arial"/>
                <w:color w:val="auto"/>
                <w:sz w:val="20"/>
              </w:rPr>
            </w:pPr>
          </w:p>
        </w:tc>
        <w:tc>
          <w:tcPr>
            <w:tcW w:w="1524" w:type="dxa"/>
            <w:gridSpan w:val="2"/>
            <w:shd w:val="clear" w:color="auto" w:fill="auto"/>
            <w:vAlign w:val="bottom"/>
          </w:tcPr>
          <w:p w14:paraId="11F65780" w14:textId="77777777" w:rsidR="00055AE6" w:rsidRPr="00BB6300"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524" w:type="dxa"/>
            <w:gridSpan w:val="2"/>
            <w:shd w:val="clear" w:color="auto" w:fill="auto"/>
            <w:vAlign w:val="bottom"/>
          </w:tcPr>
          <w:p w14:paraId="32878F99" w14:textId="77777777" w:rsidR="00055AE6" w:rsidRPr="00BB6300"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055AE6" w:rsidRPr="00E70587" w14:paraId="501E731B" w14:textId="77777777" w:rsidTr="00F27305">
        <w:trPr>
          <w:gridAfter w:val="3"/>
          <w:wAfter w:w="1990" w:type="dxa"/>
        </w:trPr>
        <w:tc>
          <w:tcPr>
            <w:tcW w:w="5479" w:type="dxa"/>
            <w:vAlign w:val="bottom"/>
          </w:tcPr>
          <w:p w14:paraId="355A08FE" w14:textId="77777777" w:rsidR="00055AE6" w:rsidRPr="00E70587" w:rsidRDefault="00055AE6" w:rsidP="00055AE6">
            <w:pPr>
              <w:pStyle w:val="tabletxtns"/>
              <w:spacing w:before="0" w:line="280" w:lineRule="exact"/>
              <w:rPr>
                <w:rFonts w:ascii="Arial" w:hAnsi="Arial" w:cs="Arial"/>
                <w:color w:val="auto"/>
                <w:sz w:val="20"/>
              </w:rPr>
            </w:pPr>
            <w:r w:rsidRPr="00E70587">
              <w:rPr>
                <w:rFonts w:ascii="Arial" w:hAnsi="Arial" w:cs="Arial"/>
                <w:color w:val="auto"/>
                <w:sz w:val="20"/>
              </w:rPr>
              <w:t>Earnings per share for discontinued operations</w:t>
            </w:r>
          </w:p>
        </w:tc>
        <w:tc>
          <w:tcPr>
            <w:tcW w:w="1039" w:type="dxa"/>
            <w:vAlign w:val="bottom"/>
          </w:tcPr>
          <w:p w14:paraId="5A17D6DE" w14:textId="77777777" w:rsidR="00055AE6" w:rsidRPr="00E70587" w:rsidRDefault="00055AE6" w:rsidP="00055AE6">
            <w:pPr>
              <w:pStyle w:val="tablenotes"/>
              <w:spacing w:before="0" w:line="280" w:lineRule="exact"/>
              <w:jc w:val="center"/>
              <w:rPr>
                <w:rFonts w:ascii="Arial" w:hAnsi="Arial" w:cs="Arial"/>
                <w:color w:val="auto"/>
                <w:sz w:val="20"/>
              </w:rPr>
            </w:pPr>
            <w:r w:rsidRPr="00E70587">
              <w:rPr>
                <w:rFonts w:ascii="Arial" w:hAnsi="Arial" w:cs="Arial"/>
                <w:color w:val="auto"/>
                <w:sz w:val="20"/>
              </w:rPr>
              <w:t>33</w:t>
            </w:r>
          </w:p>
        </w:tc>
        <w:tc>
          <w:tcPr>
            <w:tcW w:w="1524" w:type="dxa"/>
            <w:gridSpan w:val="2"/>
            <w:shd w:val="clear" w:color="auto" w:fill="auto"/>
            <w:vAlign w:val="bottom"/>
          </w:tcPr>
          <w:p w14:paraId="5F9AFBFE" w14:textId="77777777" w:rsidR="00055AE6" w:rsidRPr="00BB6300" w:rsidRDefault="00055AE6" w:rsidP="00055AE6">
            <w:pPr>
              <w:pStyle w:val="tabletxts"/>
              <w:tabs>
                <w:tab w:val="clear" w:pos="778"/>
              </w:tabs>
              <w:spacing w:before="0" w:line="280" w:lineRule="exact"/>
              <w:jc w:val="right"/>
              <w:rPr>
                <w:rFonts w:ascii="Arial" w:hAnsi="Arial" w:cs="Arial"/>
                <w:noProof w:val="0"/>
                <w:color w:val="auto"/>
                <w:sz w:val="20"/>
              </w:rPr>
            </w:pPr>
          </w:p>
        </w:tc>
        <w:tc>
          <w:tcPr>
            <w:tcW w:w="1524" w:type="dxa"/>
            <w:gridSpan w:val="2"/>
            <w:shd w:val="clear" w:color="auto" w:fill="auto"/>
            <w:vAlign w:val="bottom"/>
          </w:tcPr>
          <w:p w14:paraId="57C232A9" w14:textId="77777777" w:rsidR="00055AE6" w:rsidRPr="00BB6300" w:rsidRDefault="00055AE6" w:rsidP="00055AE6">
            <w:pPr>
              <w:pStyle w:val="tabletxts"/>
              <w:tabs>
                <w:tab w:val="clear" w:pos="778"/>
              </w:tabs>
              <w:spacing w:before="0" w:line="280" w:lineRule="exact"/>
              <w:jc w:val="right"/>
              <w:rPr>
                <w:rFonts w:ascii="Arial" w:hAnsi="Arial" w:cs="Arial"/>
                <w:noProof w:val="0"/>
                <w:color w:val="auto"/>
                <w:sz w:val="20"/>
              </w:rPr>
            </w:pPr>
          </w:p>
        </w:tc>
      </w:tr>
      <w:tr w:rsidR="00055AE6" w:rsidRPr="00E70587" w14:paraId="0CE400C0" w14:textId="77777777" w:rsidTr="00F27305">
        <w:trPr>
          <w:gridAfter w:val="3"/>
          <w:wAfter w:w="1990" w:type="dxa"/>
        </w:trPr>
        <w:tc>
          <w:tcPr>
            <w:tcW w:w="5479" w:type="dxa"/>
            <w:vAlign w:val="bottom"/>
          </w:tcPr>
          <w:p w14:paraId="3B32BA5C" w14:textId="77777777" w:rsidR="00055AE6" w:rsidRPr="00E70587" w:rsidRDefault="00055AE6" w:rsidP="00055AE6">
            <w:pPr>
              <w:pStyle w:val="tabletext"/>
              <w:numPr>
                <w:ilvl w:val="0"/>
                <w:numId w:val="2"/>
              </w:numPr>
              <w:tabs>
                <w:tab w:val="clear" w:pos="425"/>
              </w:tabs>
              <w:overflowPunct w:val="0"/>
              <w:autoSpaceDE w:val="0"/>
              <w:autoSpaceDN w:val="0"/>
              <w:adjustRightInd w:val="0"/>
              <w:spacing w:line="280" w:lineRule="exact"/>
              <w:ind w:left="284" w:hanging="284"/>
              <w:textAlignment w:val="baseline"/>
              <w:rPr>
                <w:rFonts w:ascii="Arial" w:hAnsi="Arial" w:cs="Arial"/>
                <w:sz w:val="20"/>
                <w:lang w:val="en-IN"/>
              </w:rPr>
            </w:pPr>
            <w:r w:rsidRPr="00E70587">
              <w:rPr>
                <w:rFonts w:ascii="Arial" w:hAnsi="Arial" w:cs="Arial"/>
                <w:sz w:val="20"/>
                <w:lang w:val="en-IN"/>
              </w:rPr>
              <w:t>Basic, profit from discontinuing operations attributable to equity holders of the parent</w:t>
            </w:r>
          </w:p>
        </w:tc>
        <w:tc>
          <w:tcPr>
            <w:tcW w:w="1039" w:type="dxa"/>
            <w:vAlign w:val="bottom"/>
          </w:tcPr>
          <w:p w14:paraId="24243650" w14:textId="77777777" w:rsidR="00055AE6" w:rsidRPr="00E70587" w:rsidRDefault="00055AE6" w:rsidP="00055AE6">
            <w:pPr>
              <w:pStyle w:val="tablenotes"/>
              <w:spacing w:before="0" w:line="280" w:lineRule="exact"/>
              <w:jc w:val="center"/>
              <w:rPr>
                <w:rFonts w:ascii="Arial" w:hAnsi="Arial" w:cs="Arial"/>
                <w:color w:val="auto"/>
                <w:sz w:val="20"/>
              </w:rPr>
            </w:pPr>
          </w:p>
        </w:tc>
        <w:tc>
          <w:tcPr>
            <w:tcW w:w="1524" w:type="dxa"/>
            <w:gridSpan w:val="2"/>
            <w:shd w:val="clear" w:color="auto" w:fill="auto"/>
            <w:vAlign w:val="bottom"/>
          </w:tcPr>
          <w:p w14:paraId="1C445B34" w14:textId="77777777" w:rsidR="00055AE6" w:rsidRPr="00BB6300"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r w:rsidRPr="00BB6300">
              <w:rPr>
                <w:rFonts w:ascii="Arial" w:hAnsi="Arial" w:cs="Arial"/>
                <w:sz w:val="20"/>
                <w:lang w:val="en-IN"/>
              </w:rPr>
              <w:t>INR0.01</w:t>
            </w:r>
          </w:p>
        </w:tc>
        <w:tc>
          <w:tcPr>
            <w:tcW w:w="1524" w:type="dxa"/>
            <w:gridSpan w:val="2"/>
            <w:shd w:val="clear" w:color="auto" w:fill="auto"/>
            <w:vAlign w:val="bottom"/>
          </w:tcPr>
          <w:p w14:paraId="056B9FF4" w14:textId="77777777" w:rsidR="00055AE6" w:rsidRPr="00BB6300"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r w:rsidRPr="00BB6300">
              <w:rPr>
                <w:rFonts w:ascii="Arial" w:hAnsi="Arial" w:cs="Arial"/>
                <w:sz w:val="20"/>
                <w:lang w:val="en-IN"/>
              </w:rPr>
              <w:t>(INR0.01)</w:t>
            </w:r>
          </w:p>
        </w:tc>
      </w:tr>
      <w:tr w:rsidR="00055AE6" w:rsidRPr="00E70587" w14:paraId="2C205CBB" w14:textId="77777777" w:rsidTr="00F27305">
        <w:trPr>
          <w:gridAfter w:val="3"/>
          <w:wAfter w:w="1990" w:type="dxa"/>
          <w:trHeight w:val="270"/>
        </w:trPr>
        <w:tc>
          <w:tcPr>
            <w:tcW w:w="5479" w:type="dxa"/>
            <w:vAlign w:val="bottom"/>
          </w:tcPr>
          <w:p w14:paraId="21FD8691" w14:textId="77777777" w:rsidR="00055AE6" w:rsidRPr="00E70587" w:rsidRDefault="00055AE6" w:rsidP="00055AE6">
            <w:pPr>
              <w:pStyle w:val="tabletext"/>
              <w:numPr>
                <w:ilvl w:val="0"/>
                <w:numId w:val="2"/>
              </w:numPr>
              <w:tabs>
                <w:tab w:val="clear" w:pos="425"/>
              </w:tabs>
              <w:overflowPunct w:val="0"/>
              <w:autoSpaceDE w:val="0"/>
              <w:autoSpaceDN w:val="0"/>
              <w:adjustRightInd w:val="0"/>
              <w:spacing w:line="280" w:lineRule="exact"/>
              <w:ind w:left="284" w:hanging="284"/>
              <w:textAlignment w:val="baseline"/>
              <w:rPr>
                <w:rFonts w:ascii="Arial" w:hAnsi="Arial" w:cs="Arial"/>
                <w:sz w:val="20"/>
                <w:lang w:val="en-IN"/>
              </w:rPr>
            </w:pPr>
            <w:r w:rsidRPr="00E70587">
              <w:rPr>
                <w:rFonts w:ascii="Arial" w:hAnsi="Arial" w:cs="Arial"/>
                <w:sz w:val="20"/>
                <w:lang w:val="en-IN"/>
              </w:rPr>
              <w:t>Diluted, profit from discontinuing operations attributable to equity holders of the parent</w:t>
            </w:r>
          </w:p>
        </w:tc>
        <w:tc>
          <w:tcPr>
            <w:tcW w:w="1039" w:type="dxa"/>
            <w:vAlign w:val="bottom"/>
          </w:tcPr>
          <w:p w14:paraId="162020BA" w14:textId="77777777" w:rsidR="00055AE6" w:rsidRPr="00E70587" w:rsidRDefault="00055AE6" w:rsidP="00055AE6">
            <w:pPr>
              <w:pStyle w:val="tablenotes"/>
              <w:spacing w:before="0" w:line="280" w:lineRule="exact"/>
              <w:jc w:val="center"/>
              <w:rPr>
                <w:rFonts w:ascii="Arial" w:hAnsi="Arial" w:cs="Arial"/>
                <w:color w:val="auto"/>
                <w:sz w:val="20"/>
              </w:rPr>
            </w:pPr>
          </w:p>
        </w:tc>
        <w:tc>
          <w:tcPr>
            <w:tcW w:w="1524" w:type="dxa"/>
            <w:gridSpan w:val="2"/>
            <w:shd w:val="clear" w:color="auto" w:fill="auto"/>
            <w:vAlign w:val="bottom"/>
          </w:tcPr>
          <w:p w14:paraId="69942DF3" w14:textId="77777777" w:rsidR="00055AE6" w:rsidRPr="00BB6300"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r w:rsidRPr="00BB6300">
              <w:rPr>
                <w:rFonts w:ascii="Arial" w:hAnsi="Arial" w:cs="Arial"/>
                <w:sz w:val="20"/>
                <w:lang w:val="en-IN"/>
              </w:rPr>
              <w:t>INR0.01</w:t>
            </w:r>
          </w:p>
        </w:tc>
        <w:tc>
          <w:tcPr>
            <w:tcW w:w="1524" w:type="dxa"/>
            <w:gridSpan w:val="2"/>
            <w:shd w:val="clear" w:color="auto" w:fill="auto"/>
            <w:vAlign w:val="bottom"/>
          </w:tcPr>
          <w:p w14:paraId="74B3ADD3" w14:textId="77777777" w:rsidR="00055AE6" w:rsidRPr="00BB6300"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r w:rsidRPr="00BB6300">
              <w:rPr>
                <w:rFonts w:ascii="Arial" w:hAnsi="Arial" w:cs="Arial"/>
                <w:sz w:val="20"/>
                <w:lang w:val="en-IN"/>
              </w:rPr>
              <w:t>(INR0.01)</w:t>
            </w:r>
          </w:p>
        </w:tc>
      </w:tr>
      <w:tr w:rsidR="00055AE6" w:rsidRPr="00E70587" w14:paraId="474FF9FD" w14:textId="77777777" w:rsidTr="00F27305">
        <w:trPr>
          <w:gridAfter w:val="3"/>
          <w:wAfter w:w="1990" w:type="dxa"/>
          <w:trHeight w:val="270"/>
        </w:trPr>
        <w:tc>
          <w:tcPr>
            <w:tcW w:w="5479" w:type="dxa"/>
            <w:vAlign w:val="bottom"/>
          </w:tcPr>
          <w:p w14:paraId="70924D1E" w14:textId="77777777" w:rsidR="00055AE6" w:rsidRPr="00E70587" w:rsidRDefault="00055AE6" w:rsidP="00055AE6">
            <w:pPr>
              <w:pStyle w:val="tabletext"/>
              <w:overflowPunct w:val="0"/>
              <w:autoSpaceDE w:val="0"/>
              <w:autoSpaceDN w:val="0"/>
              <w:adjustRightInd w:val="0"/>
              <w:spacing w:line="280" w:lineRule="exact"/>
              <w:ind w:left="284"/>
              <w:textAlignment w:val="baseline"/>
              <w:rPr>
                <w:rFonts w:ascii="Arial" w:hAnsi="Arial" w:cs="Arial"/>
                <w:sz w:val="20"/>
                <w:lang w:val="en-IN"/>
              </w:rPr>
            </w:pPr>
          </w:p>
        </w:tc>
        <w:tc>
          <w:tcPr>
            <w:tcW w:w="1039" w:type="dxa"/>
            <w:vAlign w:val="bottom"/>
          </w:tcPr>
          <w:p w14:paraId="37A57A46" w14:textId="77777777" w:rsidR="00055AE6" w:rsidRPr="00E70587" w:rsidRDefault="00055AE6" w:rsidP="00055AE6">
            <w:pPr>
              <w:pStyle w:val="tablenotes"/>
              <w:spacing w:before="0" w:line="280" w:lineRule="exact"/>
              <w:jc w:val="center"/>
              <w:rPr>
                <w:rFonts w:ascii="Arial" w:hAnsi="Arial" w:cs="Arial"/>
                <w:color w:val="auto"/>
                <w:sz w:val="20"/>
              </w:rPr>
            </w:pPr>
          </w:p>
        </w:tc>
        <w:tc>
          <w:tcPr>
            <w:tcW w:w="1524" w:type="dxa"/>
            <w:gridSpan w:val="2"/>
            <w:shd w:val="clear" w:color="auto" w:fill="auto"/>
            <w:vAlign w:val="bottom"/>
          </w:tcPr>
          <w:p w14:paraId="6250AB5D" w14:textId="77777777" w:rsidR="00055AE6" w:rsidRPr="00BB6300"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524" w:type="dxa"/>
            <w:gridSpan w:val="2"/>
            <w:shd w:val="clear" w:color="auto" w:fill="auto"/>
            <w:vAlign w:val="bottom"/>
          </w:tcPr>
          <w:p w14:paraId="4BCB0A1E" w14:textId="77777777" w:rsidR="00055AE6" w:rsidRPr="00BB6300"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055AE6" w:rsidRPr="00E70587" w14:paraId="340144EA" w14:textId="77777777" w:rsidTr="00F27305">
        <w:trPr>
          <w:gridAfter w:val="3"/>
          <w:wAfter w:w="1990" w:type="dxa"/>
          <w:trHeight w:val="724"/>
        </w:trPr>
        <w:tc>
          <w:tcPr>
            <w:tcW w:w="5479" w:type="dxa"/>
            <w:vAlign w:val="bottom"/>
          </w:tcPr>
          <w:p w14:paraId="623637A0" w14:textId="77777777" w:rsidR="00055AE6" w:rsidRPr="00E70587" w:rsidRDefault="00055AE6" w:rsidP="00055AE6">
            <w:pPr>
              <w:pStyle w:val="tabletxtns"/>
              <w:spacing w:before="0" w:line="280" w:lineRule="exact"/>
              <w:rPr>
                <w:rFonts w:ascii="Arial" w:hAnsi="Arial" w:cs="Arial"/>
                <w:color w:val="auto"/>
                <w:sz w:val="20"/>
              </w:rPr>
            </w:pPr>
            <w:r w:rsidRPr="00E70587">
              <w:rPr>
                <w:rFonts w:ascii="Arial" w:hAnsi="Arial" w:cs="Arial"/>
                <w:color w:val="auto"/>
                <w:sz w:val="20"/>
              </w:rPr>
              <w:t>Earnings per share from continuing and discontinued operations</w:t>
            </w:r>
          </w:p>
        </w:tc>
        <w:tc>
          <w:tcPr>
            <w:tcW w:w="1039" w:type="dxa"/>
            <w:vAlign w:val="bottom"/>
          </w:tcPr>
          <w:p w14:paraId="5500D15C" w14:textId="77777777" w:rsidR="00055AE6" w:rsidRPr="00E70587" w:rsidRDefault="00055AE6" w:rsidP="00055AE6">
            <w:pPr>
              <w:pStyle w:val="tablenotes"/>
              <w:tabs>
                <w:tab w:val="clear" w:pos="439"/>
              </w:tabs>
              <w:spacing w:before="0" w:line="280" w:lineRule="exact"/>
              <w:jc w:val="center"/>
              <w:rPr>
                <w:rFonts w:ascii="Arial" w:hAnsi="Arial" w:cs="Arial"/>
                <w:color w:val="auto"/>
                <w:sz w:val="20"/>
              </w:rPr>
            </w:pPr>
            <w:r w:rsidRPr="00E70587">
              <w:rPr>
                <w:rFonts w:ascii="Arial" w:hAnsi="Arial" w:cs="Arial"/>
                <w:color w:val="auto"/>
                <w:sz w:val="20"/>
              </w:rPr>
              <w:t>33</w:t>
            </w:r>
          </w:p>
        </w:tc>
        <w:tc>
          <w:tcPr>
            <w:tcW w:w="1524" w:type="dxa"/>
            <w:gridSpan w:val="2"/>
            <w:shd w:val="clear" w:color="auto" w:fill="auto"/>
            <w:vAlign w:val="bottom"/>
          </w:tcPr>
          <w:p w14:paraId="1B6CA744" w14:textId="77777777" w:rsidR="00055AE6" w:rsidRPr="00BB6300" w:rsidRDefault="00055AE6" w:rsidP="00055AE6">
            <w:pPr>
              <w:pStyle w:val="tabletxts"/>
              <w:spacing w:before="0" w:line="280" w:lineRule="exact"/>
              <w:jc w:val="right"/>
              <w:rPr>
                <w:rFonts w:ascii="Arial" w:hAnsi="Arial" w:cs="Arial"/>
                <w:noProof w:val="0"/>
                <w:color w:val="auto"/>
                <w:sz w:val="20"/>
              </w:rPr>
            </w:pPr>
          </w:p>
        </w:tc>
        <w:tc>
          <w:tcPr>
            <w:tcW w:w="1524" w:type="dxa"/>
            <w:gridSpan w:val="2"/>
            <w:shd w:val="clear" w:color="auto" w:fill="auto"/>
            <w:vAlign w:val="bottom"/>
          </w:tcPr>
          <w:p w14:paraId="3259A44F" w14:textId="77777777" w:rsidR="00055AE6" w:rsidRPr="00BB6300" w:rsidRDefault="00055AE6" w:rsidP="00055AE6">
            <w:pPr>
              <w:pStyle w:val="tabletxts"/>
              <w:tabs>
                <w:tab w:val="clear" w:pos="778"/>
              </w:tabs>
              <w:spacing w:before="0" w:line="280" w:lineRule="exact"/>
              <w:jc w:val="right"/>
              <w:rPr>
                <w:rFonts w:ascii="Arial" w:hAnsi="Arial" w:cs="Arial"/>
                <w:noProof w:val="0"/>
                <w:color w:val="auto"/>
                <w:sz w:val="20"/>
              </w:rPr>
            </w:pPr>
          </w:p>
        </w:tc>
      </w:tr>
      <w:tr w:rsidR="00055AE6" w:rsidRPr="00E70587" w14:paraId="7AA90F4B" w14:textId="77777777" w:rsidTr="00F27305">
        <w:trPr>
          <w:gridAfter w:val="3"/>
          <w:wAfter w:w="1990" w:type="dxa"/>
          <w:trHeight w:val="423"/>
        </w:trPr>
        <w:tc>
          <w:tcPr>
            <w:tcW w:w="5479" w:type="dxa"/>
            <w:vAlign w:val="bottom"/>
          </w:tcPr>
          <w:p w14:paraId="2FBD9329" w14:textId="77777777" w:rsidR="00055AE6" w:rsidRPr="00E70587" w:rsidRDefault="00055AE6" w:rsidP="00055AE6">
            <w:pPr>
              <w:pStyle w:val="tabletext"/>
              <w:numPr>
                <w:ilvl w:val="0"/>
                <w:numId w:val="3"/>
              </w:numPr>
              <w:overflowPunct w:val="0"/>
              <w:autoSpaceDE w:val="0"/>
              <w:autoSpaceDN w:val="0"/>
              <w:adjustRightInd w:val="0"/>
              <w:spacing w:line="280" w:lineRule="exact"/>
              <w:ind w:left="284" w:hanging="284"/>
              <w:textAlignment w:val="baseline"/>
              <w:rPr>
                <w:rFonts w:ascii="Arial" w:hAnsi="Arial" w:cs="Arial"/>
                <w:sz w:val="20"/>
                <w:lang w:val="en-IN"/>
              </w:rPr>
            </w:pPr>
            <w:r w:rsidRPr="00E70587">
              <w:rPr>
                <w:rFonts w:ascii="Arial" w:hAnsi="Arial" w:cs="Arial"/>
                <w:sz w:val="20"/>
                <w:lang w:val="en-IN"/>
              </w:rPr>
              <w:t>Basic, profit for the year attributable to equity holders of the parent</w:t>
            </w:r>
          </w:p>
        </w:tc>
        <w:tc>
          <w:tcPr>
            <w:tcW w:w="1039" w:type="dxa"/>
            <w:vAlign w:val="bottom"/>
          </w:tcPr>
          <w:p w14:paraId="16C350AE" w14:textId="77777777" w:rsidR="00055AE6" w:rsidRPr="00E70587" w:rsidRDefault="00055AE6" w:rsidP="00055AE6">
            <w:pPr>
              <w:pStyle w:val="tablenotes"/>
              <w:spacing w:before="0" w:line="280" w:lineRule="exact"/>
              <w:jc w:val="right"/>
              <w:rPr>
                <w:rFonts w:ascii="Arial" w:hAnsi="Arial" w:cs="Arial"/>
                <w:color w:val="auto"/>
                <w:sz w:val="20"/>
              </w:rPr>
            </w:pPr>
          </w:p>
        </w:tc>
        <w:tc>
          <w:tcPr>
            <w:tcW w:w="1524" w:type="dxa"/>
            <w:gridSpan w:val="2"/>
            <w:shd w:val="clear" w:color="auto" w:fill="auto"/>
            <w:vAlign w:val="bottom"/>
          </w:tcPr>
          <w:p w14:paraId="5DFAF34F" w14:textId="71A04416" w:rsidR="00055AE6" w:rsidRPr="00BB6300"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r w:rsidRPr="00BB6300">
              <w:rPr>
                <w:rFonts w:ascii="Arial" w:hAnsi="Arial" w:cs="Arial"/>
                <w:sz w:val="20"/>
                <w:lang w:val="en-IN"/>
              </w:rPr>
              <w:t>INR 0.3</w:t>
            </w:r>
            <w:r>
              <w:rPr>
                <w:rFonts w:ascii="Arial" w:hAnsi="Arial" w:cs="Arial"/>
                <w:sz w:val="20"/>
                <w:lang w:val="en-IN"/>
              </w:rPr>
              <w:t>8</w:t>
            </w:r>
          </w:p>
        </w:tc>
        <w:tc>
          <w:tcPr>
            <w:tcW w:w="1524" w:type="dxa"/>
            <w:gridSpan w:val="2"/>
            <w:shd w:val="clear" w:color="auto" w:fill="auto"/>
            <w:vAlign w:val="bottom"/>
          </w:tcPr>
          <w:p w14:paraId="7F54FE34" w14:textId="2C60FBB3" w:rsidR="00055AE6" w:rsidRPr="00BB6300"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r w:rsidRPr="00BB6300">
              <w:rPr>
                <w:rFonts w:ascii="Arial" w:hAnsi="Arial" w:cs="Arial"/>
                <w:sz w:val="20"/>
                <w:lang w:val="en-IN"/>
              </w:rPr>
              <w:t>INR 0.2</w:t>
            </w:r>
            <w:r>
              <w:rPr>
                <w:rFonts w:ascii="Arial" w:hAnsi="Arial" w:cs="Arial"/>
                <w:sz w:val="20"/>
                <w:lang w:val="en-IN"/>
              </w:rPr>
              <w:t>7</w:t>
            </w:r>
          </w:p>
        </w:tc>
      </w:tr>
      <w:tr w:rsidR="00055AE6" w:rsidRPr="00E70587" w14:paraId="0B154A0B" w14:textId="77777777" w:rsidTr="00F27305">
        <w:trPr>
          <w:gridAfter w:val="3"/>
          <w:wAfter w:w="1990" w:type="dxa"/>
          <w:trHeight w:val="243"/>
        </w:trPr>
        <w:tc>
          <w:tcPr>
            <w:tcW w:w="5479" w:type="dxa"/>
            <w:vAlign w:val="bottom"/>
          </w:tcPr>
          <w:p w14:paraId="42BC9A92" w14:textId="77777777" w:rsidR="00055AE6" w:rsidRPr="00E70587" w:rsidRDefault="00055AE6" w:rsidP="00055AE6">
            <w:pPr>
              <w:pStyle w:val="tabletext"/>
              <w:numPr>
                <w:ilvl w:val="0"/>
                <w:numId w:val="3"/>
              </w:numPr>
              <w:overflowPunct w:val="0"/>
              <w:autoSpaceDE w:val="0"/>
              <w:autoSpaceDN w:val="0"/>
              <w:adjustRightInd w:val="0"/>
              <w:spacing w:line="280" w:lineRule="exact"/>
              <w:ind w:left="284" w:hanging="284"/>
              <w:textAlignment w:val="baseline"/>
              <w:rPr>
                <w:rFonts w:ascii="Arial" w:hAnsi="Arial" w:cs="Arial"/>
                <w:sz w:val="20"/>
                <w:lang w:val="en-IN"/>
              </w:rPr>
            </w:pPr>
            <w:r w:rsidRPr="00E70587">
              <w:rPr>
                <w:rFonts w:ascii="Arial" w:hAnsi="Arial" w:cs="Arial"/>
                <w:sz w:val="20"/>
                <w:lang w:val="en-IN"/>
              </w:rPr>
              <w:t>Diluted, profit for the year attributable to equity holders of the parent</w:t>
            </w:r>
          </w:p>
        </w:tc>
        <w:tc>
          <w:tcPr>
            <w:tcW w:w="1039" w:type="dxa"/>
            <w:vAlign w:val="bottom"/>
          </w:tcPr>
          <w:p w14:paraId="5882A349" w14:textId="77777777" w:rsidR="00055AE6" w:rsidRPr="00E70587" w:rsidRDefault="00055AE6" w:rsidP="00055AE6">
            <w:pPr>
              <w:pStyle w:val="tablenotes"/>
              <w:spacing w:before="0" w:line="280" w:lineRule="exact"/>
              <w:jc w:val="right"/>
              <w:rPr>
                <w:rFonts w:ascii="Arial" w:hAnsi="Arial" w:cs="Arial"/>
                <w:color w:val="auto"/>
                <w:sz w:val="20"/>
              </w:rPr>
            </w:pPr>
          </w:p>
        </w:tc>
        <w:tc>
          <w:tcPr>
            <w:tcW w:w="1524" w:type="dxa"/>
            <w:gridSpan w:val="2"/>
            <w:shd w:val="clear" w:color="auto" w:fill="auto"/>
            <w:vAlign w:val="bottom"/>
          </w:tcPr>
          <w:p w14:paraId="26BF15F7" w14:textId="1FA4D7AC" w:rsidR="00055AE6" w:rsidRPr="00BB6300"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r w:rsidRPr="00BB6300">
              <w:rPr>
                <w:rFonts w:ascii="Arial" w:hAnsi="Arial" w:cs="Arial"/>
                <w:sz w:val="20"/>
                <w:lang w:val="en-IN"/>
              </w:rPr>
              <w:t>INR 0.3</w:t>
            </w:r>
            <w:r w:rsidR="004B76CA">
              <w:rPr>
                <w:rFonts w:ascii="Arial" w:hAnsi="Arial" w:cs="Arial"/>
                <w:sz w:val="20"/>
                <w:lang w:val="en-IN"/>
              </w:rPr>
              <w:t>9</w:t>
            </w:r>
          </w:p>
        </w:tc>
        <w:tc>
          <w:tcPr>
            <w:tcW w:w="1524" w:type="dxa"/>
            <w:gridSpan w:val="2"/>
            <w:shd w:val="clear" w:color="auto" w:fill="auto"/>
            <w:vAlign w:val="bottom"/>
          </w:tcPr>
          <w:p w14:paraId="0BBA7488" w14:textId="11F2AC91" w:rsidR="00055AE6" w:rsidRPr="00BB6300"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r w:rsidRPr="00BB6300">
              <w:rPr>
                <w:rFonts w:ascii="Arial" w:hAnsi="Arial" w:cs="Arial"/>
                <w:sz w:val="20"/>
                <w:lang w:val="en-IN"/>
              </w:rPr>
              <w:t>INR 0.2</w:t>
            </w:r>
            <w:r w:rsidR="004B76CA">
              <w:rPr>
                <w:rFonts w:ascii="Arial" w:hAnsi="Arial" w:cs="Arial"/>
                <w:sz w:val="20"/>
                <w:lang w:val="en-IN"/>
              </w:rPr>
              <w:t>8</w:t>
            </w:r>
          </w:p>
        </w:tc>
      </w:tr>
      <w:tr w:rsidR="00055AE6" w:rsidRPr="00E70587" w14:paraId="04DD6FCF" w14:textId="77777777" w:rsidTr="00F27305">
        <w:trPr>
          <w:gridAfter w:val="3"/>
          <w:wAfter w:w="1990" w:type="dxa"/>
          <w:trHeight w:val="243"/>
        </w:trPr>
        <w:tc>
          <w:tcPr>
            <w:tcW w:w="5479" w:type="dxa"/>
            <w:tcBorders>
              <w:bottom w:val="single" w:sz="4" w:space="0" w:color="auto"/>
            </w:tcBorders>
            <w:vAlign w:val="bottom"/>
          </w:tcPr>
          <w:p w14:paraId="4AC64A28" w14:textId="77777777" w:rsidR="00055AE6" w:rsidRPr="00E70587" w:rsidRDefault="00055AE6" w:rsidP="00055AE6">
            <w:pPr>
              <w:pStyle w:val="tabletext"/>
              <w:overflowPunct w:val="0"/>
              <w:autoSpaceDE w:val="0"/>
              <w:autoSpaceDN w:val="0"/>
              <w:adjustRightInd w:val="0"/>
              <w:spacing w:line="280" w:lineRule="exact"/>
              <w:ind w:left="284"/>
              <w:textAlignment w:val="baseline"/>
              <w:rPr>
                <w:rFonts w:ascii="Arial" w:hAnsi="Arial" w:cs="Arial"/>
                <w:sz w:val="20"/>
                <w:lang w:val="en-IN"/>
              </w:rPr>
            </w:pPr>
          </w:p>
        </w:tc>
        <w:tc>
          <w:tcPr>
            <w:tcW w:w="1039" w:type="dxa"/>
            <w:tcBorders>
              <w:bottom w:val="single" w:sz="4" w:space="0" w:color="auto"/>
            </w:tcBorders>
            <w:vAlign w:val="bottom"/>
          </w:tcPr>
          <w:p w14:paraId="3417C948" w14:textId="77777777" w:rsidR="00055AE6" w:rsidRPr="00E70587" w:rsidRDefault="00055AE6" w:rsidP="00055AE6">
            <w:pPr>
              <w:pStyle w:val="tablenotes"/>
              <w:spacing w:before="0" w:line="280" w:lineRule="exact"/>
              <w:jc w:val="right"/>
              <w:rPr>
                <w:rFonts w:ascii="Arial" w:hAnsi="Arial" w:cs="Arial"/>
                <w:color w:val="auto"/>
                <w:sz w:val="20"/>
              </w:rPr>
            </w:pPr>
          </w:p>
        </w:tc>
        <w:tc>
          <w:tcPr>
            <w:tcW w:w="1524" w:type="dxa"/>
            <w:gridSpan w:val="2"/>
            <w:tcBorders>
              <w:bottom w:val="single" w:sz="4" w:space="0" w:color="auto"/>
            </w:tcBorders>
            <w:vAlign w:val="bottom"/>
          </w:tcPr>
          <w:p w14:paraId="0F91A673" w14:textId="77777777" w:rsidR="00055AE6" w:rsidRPr="00E70587"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524" w:type="dxa"/>
            <w:gridSpan w:val="2"/>
            <w:tcBorders>
              <w:bottom w:val="single" w:sz="4" w:space="0" w:color="auto"/>
            </w:tcBorders>
            <w:vAlign w:val="bottom"/>
          </w:tcPr>
          <w:p w14:paraId="61AB54B4" w14:textId="77777777" w:rsidR="00055AE6" w:rsidRPr="00E70587" w:rsidRDefault="00055AE6" w:rsidP="00055AE6">
            <w:pPr>
              <w:pStyle w:val="tabletext"/>
              <w:overflowPunct w:val="0"/>
              <w:autoSpaceDE w:val="0"/>
              <w:autoSpaceDN w:val="0"/>
              <w:adjustRightInd w:val="0"/>
              <w:spacing w:line="280" w:lineRule="exact"/>
              <w:jc w:val="right"/>
              <w:textAlignment w:val="baseline"/>
              <w:rPr>
                <w:rFonts w:ascii="Arial" w:hAnsi="Arial" w:cs="Arial"/>
                <w:sz w:val="20"/>
                <w:lang w:val="en-IN"/>
              </w:rPr>
            </w:pPr>
          </w:p>
        </w:tc>
      </w:tr>
    </w:tbl>
    <w:p w14:paraId="3E1719B0" w14:textId="3E49A1E9" w:rsidR="00CB1B8E" w:rsidRPr="00E70587" w:rsidRDefault="00F27305" w:rsidP="0060778E">
      <w:pPr>
        <w:pStyle w:val="tabletxtns"/>
        <w:spacing w:before="0" w:line="280" w:lineRule="exact"/>
        <w:rPr>
          <w:rFonts w:ascii="Arial" w:hAnsi="Arial" w:cs="Arial"/>
          <w:color w:val="auto"/>
          <w:sz w:val="20"/>
        </w:rPr>
      </w:pPr>
      <w:r>
        <w:rPr>
          <w:rFonts w:ascii="Arial" w:hAnsi="Arial" w:cs="Arial"/>
          <w:color w:val="auto"/>
          <w:sz w:val="20"/>
        </w:rPr>
        <w:br w:type="textWrapping" w:clear="all"/>
      </w:r>
    </w:p>
    <w:tbl>
      <w:tblPr>
        <w:tblW w:w="9576" w:type="dxa"/>
        <w:jc w:val="center"/>
        <w:shd w:val="clear" w:color="auto" w:fill="A2A2A2" w:themeFill="background1" w:themeFillTint="99"/>
        <w:tblLook w:val="0000" w:firstRow="0" w:lastRow="0" w:firstColumn="0" w:lastColumn="0" w:noHBand="0" w:noVBand="0"/>
      </w:tblPr>
      <w:tblGrid>
        <w:gridCol w:w="9576"/>
      </w:tblGrid>
      <w:tr w:rsidR="00FC56D0" w:rsidRPr="00E70587" w14:paraId="417126AC" w14:textId="77777777" w:rsidTr="00B218DF">
        <w:trPr>
          <w:trHeight w:val="792"/>
          <w:jc w:val="center"/>
        </w:trPr>
        <w:tc>
          <w:tcPr>
            <w:tcW w:w="9450" w:type="dxa"/>
            <w:shd w:val="clear" w:color="auto" w:fill="A2A2A2" w:themeFill="background1" w:themeFillTint="99"/>
          </w:tcPr>
          <w:p w14:paraId="17414557" w14:textId="77777777" w:rsidR="00FC56D0" w:rsidRPr="00E70587" w:rsidRDefault="00FC56D0" w:rsidP="00915156">
            <w:pPr>
              <w:pStyle w:val="tabletxtns"/>
              <w:spacing w:before="0" w:line="280" w:lineRule="exact"/>
              <w:jc w:val="both"/>
              <w:rPr>
                <w:rFonts w:ascii="Arial" w:hAnsi="Arial" w:cs="Arial"/>
                <w:color w:val="auto"/>
                <w:sz w:val="20"/>
              </w:rPr>
            </w:pPr>
            <w:r w:rsidRPr="00E70587">
              <w:rPr>
                <w:rFonts w:ascii="Arial" w:hAnsi="Arial" w:cs="Arial"/>
                <w:color w:val="auto"/>
                <w:sz w:val="20"/>
              </w:rPr>
              <w:t>Authors’ note</w:t>
            </w:r>
          </w:p>
          <w:p w14:paraId="3E0DCA43" w14:textId="77777777" w:rsidR="00915156" w:rsidRPr="00E70587" w:rsidRDefault="00915156" w:rsidP="00915156">
            <w:pPr>
              <w:pStyle w:val="tabletxtns"/>
              <w:spacing w:before="0" w:line="280" w:lineRule="exact"/>
              <w:jc w:val="both"/>
              <w:rPr>
                <w:rFonts w:ascii="Arial" w:hAnsi="Arial" w:cs="Arial"/>
                <w:color w:val="auto"/>
                <w:sz w:val="20"/>
              </w:rPr>
            </w:pPr>
          </w:p>
          <w:p w14:paraId="321533E6" w14:textId="77777777" w:rsidR="00FC56D0" w:rsidRPr="00E70587" w:rsidRDefault="00FC56D0" w:rsidP="00915156">
            <w:pPr>
              <w:pStyle w:val="tabletxtns"/>
              <w:spacing w:before="0" w:line="280" w:lineRule="exact"/>
              <w:jc w:val="both"/>
              <w:rPr>
                <w:rFonts w:ascii="Arial" w:hAnsi="Arial" w:cs="Arial"/>
                <w:color w:val="auto"/>
                <w:sz w:val="20"/>
              </w:rPr>
            </w:pPr>
            <w:r w:rsidRPr="00E70587">
              <w:rPr>
                <w:rFonts w:ascii="Arial" w:hAnsi="Arial" w:cs="Arial"/>
                <w:color w:val="auto"/>
                <w:sz w:val="20"/>
              </w:rPr>
              <w:t xml:space="preserve">Ind-AS 1 requires disclosure of total revenue as a </w:t>
            </w:r>
            <w:r w:rsidR="00CA59D5" w:rsidRPr="00E70587">
              <w:rPr>
                <w:rFonts w:ascii="Arial" w:hAnsi="Arial" w:cs="Arial"/>
                <w:color w:val="auto"/>
                <w:sz w:val="20"/>
              </w:rPr>
              <w:t xml:space="preserve">separate </w:t>
            </w:r>
            <w:r w:rsidRPr="00E70587">
              <w:rPr>
                <w:rFonts w:ascii="Arial" w:hAnsi="Arial" w:cs="Arial"/>
                <w:color w:val="auto"/>
                <w:sz w:val="20"/>
              </w:rPr>
              <w:t>line item on the face of the statement of profit and loss</w:t>
            </w:r>
            <w:r w:rsidR="00CA59D5" w:rsidRPr="00E70587">
              <w:rPr>
                <w:rFonts w:ascii="Arial" w:hAnsi="Arial" w:cs="Arial"/>
                <w:color w:val="auto"/>
                <w:sz w:val="20"/>
              </w:rPr>
              <w:t xml:space="preserve"> (P&amp;L)</w:t>
            </w:r>
            <w:r w:rsidRPr="00E70587">
              <w:rPr>
                <w:rFonts w:ascii="Arial" w:hAnsi="Arial" w:cs="Arial"/>
                <w:color w:val="auto"/>
                <w:sz w:val="20"/>
              </w:rPr>
              <w:t xml:space="preserve">. The Group also presents </w:t>
            </w:r>
            <w:r w:rsidR="00EA1ADC" w:rsidRPr="00E70587">
              <w:rPr>
                <w:rFonts w:ascii="Arial" w:hAnsi="Arial" w:cs="Arial"/>
                <w:color w:val="auto"/>
                <w:sz w:val="20"/>
              </w:rPr>
              <w:t xml:space="preserve">revenue from contract with customers separately </w:t>
            </w:r>
            <w:r w:rsidRPr="00E70587">
              <w:rPr>
                <w:rFonts w:ascii="Arial" w:hAnsi="Arial" w:cs="Arial"/>
                <w:color w:val="auto"/>
                <w:sz w:val="20"/>
              </w:rPr>
              <w:t xml:space="preserve">on the face of </w:t>
            </w:r>
            <w:r w:rsidR="00CA59D5" w:rsidRPr="00E70587">
              <w:rPr>
                <w:rFonts w:ascii="Arial" w:hAnsi="Arial" w:cs="Arial"/>
                <w:color w:val="auto"/>
                <w:sz w:val="20"/>
              </w:rPr>
              <w:t>P&amp;L</w:t>
            </w:r>
            <w:r w:rsidR="00EA1ADC" w:rsidRPr="00E70587">
              <w:rPr>
                <w:rFonts w:ascii="Arial" w:hAnsi="Arial" w:cs="Arial"/>
                <w:color w:val="auto"/>
                <w:sz w:val="20"/>
              </w:rPr>
              <w:t xml:space="preserve"> as per para 113 of Ind AS 115</w:t>
            </w:r>
            <w:r w:rsidR="00CA59D5" w:rsidRPr="00E70587">
              <w:rPr>
                <w:rFonts w:ascii="Arial" w:hAnsi="Arial" w:cs="Arial"/>
                <w:color w:val="auto"/>
                <w:sz w:val="20"/>
              </w:rPr>
              <w:t>.</w:t>
            </w:r>
          </w:p>
          <w:p w14:paraId="7274C3EF" w14:textId="77777777" w:rsidR="0037200E" w:rsidRPr="00E70587" w:rsidRDefault="0037200E" w:rsidP="00915156">
            <w:pPr>
              <w:pStyle w:val="tabletxtns"/>
              <w:spacing w:before="0" w:line="280" w:lineRule="exact"/>
              <w:jc w:val="both"/>
              <w:rPr>
                <w:rFonts w:ascii="Arial" w:hAnsi="Arial" w:cs="Arial"/>
                <w:color w:val="auto"/>
                <w:sz w:val="20"/>
              </w:rPr>
            </w:pPr>
          </w:p>
          <w:p w14:paraId="048DAFAC" w14:textId="27736B95" w:rsidR="0037200E" w:rsidRPr="00E70587" w:rsidRDefault="0037200E" w:rsidP="00E277F7">
            <w:pPr>
              <w:spacing w:after="80" w:line="240" w:lineRule="auto"/>
              <w:rPr>
                <w:rFonts w:ascii="Arial" w:hAnsi="Arial" w:cs="Arial"/>
                <w:sz w:val="20"/>
              </w:rPr>
            </w:pPr>
            <w:r w:rsidRPr="00E70587">
              <w:rPr>
                <w:rFonts w:ascii="Arial" w:hAnsi="Arial" w:cs="Arial"/>
                <w:sz w:val="20"/>
              </w:rPr>
              <w:t xml:space="preserve">Ind AS 1.82A requires that items of OCI which will be reclassified subsequently to profit </w:t>
            </w:r>
            <w:r w:rsidR="00F96A1C">
              <w:rPr>
                <w:rFonts w:ascii="Arial" w:hAnsi="Arial" w:cs="Arial"/>
                <w:sz w:val="20"/>
              </w:rPr>
              <w:t>or</w:t>
            </w:r>
            <w:r w:rsidR="00065060" w:rsidRPr="00E70587">
              <w:rPr>
                <w:rFonts w:ascii="Arial" w:hAnsi="Arial" w:cs="Arial"/>
                <w:sz w:val="20"/>
              </w:rPr>
              <w:t xml:space="preserve"> </w:t>
            </w:r>
            <w:r w:rsidRPr="00E70587">
              <w:rPr>
                <w:rFonts w:ascii="Arial" w:hAnsi="Arial" w:cs="Arial"/>
                <w:sz w:val="20"/>
              </w:rPr>
              <w:t xml:space="preserve">loss, when specific conditions are met, must be grouped separately on the face of the statement of profit and loss under other comprehensive income. Similarly, items that will not be reclassified must also be grouped together. In order to make these disclosures, an entity must analyse whether its OCI items are eligible to be subsequently reclassified to profit </w:t>
            </w:r>
            <w:r w:rsidR="00F96A1C">
              <w:rPr>
                <w:rFonts w:ascii="Arial" w:hAnsi="Arial" w:cs="Arial"/>
                <w:sz w:val="20"/>
              </w:rPr>
              <w:t>or</w:t>
            </w:r>
            <w:r w:rsidR="00F34C31" w:rsidRPr="00E70587">
              <w:rPr>
                <w:rFonts w:ascii="Arial" w:hAnsi="Arial" w:cs="Arial"/>
                <w:sz w:val="20"/>
              </w:rPr>
              <w:t xml:space="preserve"> </w:t>
            </w:r>
            <w:r w:rsidRPr="00E70587">
              <w:rPr>
                <w:rFonts w:ascii="Arial" w:hAnsi="Arial" w:cs="Arial"/>
                <w:sz w:val="20"/>
              </w:rPr>
              <w:t>loss under Ind AS.</w:t>
            </w:r>
          </w:p>
          <w:p w14:paraId="4A991919" w14:textId="77777777" w:rsidR="0037200E" w:rsidRPr="00E70587" w:rsidRDefault="0037200E" w:rsidP="0037200E">
            <w:pPr>
              <w:pStyle w:val="tabletxtns"/>
              <w:spacing w:before="0" w:line="280" w:lineRule="exact"/>
              <w:jc w:val="both"/>
              <w:rPr>
                <w:rFonts w:ascii="Arial" w:hAnsi="Arial" w:cs="Arial"/>
                <w:color w:val="auto"/>
                <w:sz w:val="20"/>
              </w:rPr>
            </w:pPr>
            <w:r w:rsidRPr="00E70587">
              <w:rPr>
                <w:rFonts w:ascii="Arial" w:hAnsi="Arial" w:cs="Arial"/>
                <w:color w:val="auto"/>
                <w:sz w:val="20"/>
              </w:rPr>
              <w:t>Under the requirement in Ind AS 1.82A, entities must present the share of the OCI items of equity method investees (</w:t>
            </w:r>
            <w:proofErr w:type="gramStart"/>
            <w:r w:rsidRPr="00E70587">
              <w:rPr>
                <w:rFonts w:ascii="Arial" w:hAnsi="Arial" w:cs="Arial"/>
                <w:color w:val="auto"/>
                <w:sz w:val="20"/>
              </w:rPr>
              <w:t>i.e.</w:t>
            </w:r>
            <w:proofErr w:type="gramEnd"/>
            <w:r w:rsidRPr="00E70587">
              <w:rPr>
                <w:rFonts w:ascii="Arial" w:hAnsi="Arial" w:cs="Arial"/>
                <w:color w:val="auto"/>
                <w:sz w:val="20"/>
              </w:rPr>
              <w:t xml:space="preserve"> associates and joint ventures), in aggregate as single line items within the ’to be reclassified’ and the ‘not to be reclassified’ groups. The Group’s associate and joint venture do not have OCI items and as such, these disclosures do not apply.</w:t>
            </w:r>
          </w:p>
          <w:p w14:paraId="6E64B616" w14:textId="77777777" w:rsidR="00CA59D5" w:rsidRPr="00E70587" w:rsidRDefault="00CA59D5" w:rsidP="00915156">
            <w:pPr>
              <w:pStyle w:val="tabletxtns"/>
              <w:spacing w:before="0" w:line="280" w:lineRule="exact"/>
              <w:jc w:val="both"/>
              <w:rPr>
                <w:rFonts w:ascii="Arial" w:hAnsi="Arial" w:cs="Arial"/>
                <w:color w:val="auto"/>
                <w:sz w:val="20"/>
              </w:rPr>
            </w:pPr>
          </w:p>
          <w:p w14:paraId="28AA5A50" w14:textId="77777777" w:rsidR="00FC56D0" w:rsidRPr="00E70587" w:rsidRDefault="0060592F" w:rsidP="00915156">
            <w:pPr>
              <w:pStyle w:val="tabletxtns"/>
              <w:spacing w:before="0" w:line="280" w:lineRule="exact"/>
              <w:jc w:val="both"/>
              <w:rPr>
                <w:rFonts w:ascii="Arial" w:hAnsi="Arial" w:cs="Arial"/>
                <w:color w:val="auto"/>
                <w:sz w:val="20"/>
              </w:rPr>
            </w:pPr>
            <w:r w:rsidRPr="00E70587">
              <w:rPr>
                <w:rFonts w:ascii="Arial" w:hAnsi="Arial" w:cs="Arial"/>
                <w:color w:val="auto"/>
                <w:sz w:val="20"/>
              </w:rPr>
              <w:lastRenderedPageBreak/>
              <w:t>D</w:t>
            </w:r>
            <w:r w:rsidR="00FC56D0" w:rsidRPr="00E70587">
              <w:rPr>
                <w:rFonts w:ascii="Arial" w:hAnsi="Arial" w:cs="Arial"/>
                <w:color w:val="auto"/>
                <w:sz w:val="20"/>
              </w:rPr>
              <w:t>ifferent components of other comprehensive income (OCI) are presented on a net basis in the statement above. Therefore, an additional note is required to present the amount of reclassification adjustments and current year gains or losses. Alternatively, the individual components could have been presented within the above statement.</w:t>
            </w:r>
          </w:p>
          <w:p w14:paraId="2A576D54" w14:textId="77777777" w:rsidR="00CA59D5" w:rsidRPr="00E70587" w:rsidRDefault="00CA59D5" w:rsidP="00915156">
            <w:pPr>
              <w:pStyle w:val="tabletxtns"/>
              <w:spacing w:before="0" w:line="280" w:lineRule="exact"/>
              <w:jc w:val="both"/>
              <w:rPr>
                <w:rFonts w:ascii="Arial" w:hAnsi="Arial" w:cs="Arial"/>
                <w:color w:val="auto"/>
                <w:sz w:val="20"/>
              </w:rPr>
            </w:pPr>
          </w:p>
          <w:p w14:paraId="770A072E" w14:textId="77777777" w:rsidR="00FC56D0" w:rsidRPr="00E70587" w:rsidRDefault="00FC56D0" w:rsidP="00915156">
            <w:pPr>
              <w:pStyle w:val="tabletxtns"/>
              <w:spacing w:before="0" w:line="280" w:lineRule="exact"/>
              <w:jc w:val="both"/>
              <w:rPr>
                <w:rFonts w:ascii="Arial" w:hAnsi="Arial" w:cs="Arial"/>
                <w:color w:val="auto"/>
                <w:sz w:val="20"/>
              </w:rPr>
            </w:pPr>
            <w:r w:rsidRPr="00E70587">
              <w:rPr>
                <w:rFonts w:ascii="Arial" w:hAnsi="Arial" w:cs="Arial"/>
                <w:color w:val="auto"/>
                <w:sz w:val="20"/>
              </w:rPr>
              <w:t>In the case of OCI, the Group has elected to present the income tax effects gross on an individual basis and, therefore, no additional note disclosure is required.</w:t>
            </w:r>
          </w:p>
          <w:p w14:paraId="56C25D7B" w14:textId="77777777" w:rsidR="00CA59D5" w:rsidRPr="00E70587" w:rsidRDefault="00CA59D5" w:rsidP="00915156">
            <w:pPr>
              <w:pStyle w:val="tabletxtns"/>
              <w:spacing w:before="0" w:line="280" w:lineRule="exact"/>
              <w:jc w:val="both"/>
              <w:rPr>
                <w:rFonts w:ascii="Arial" w:hAnsi="Arial" w:cs="Arial"/>
                <w:color w:val="auto"/>
                <w:sz w:val="20"/>
              </w:rPr>
            </w:pPr>
          </w:p>
          <w:p w14:paraId="79891591" w14:textId="77777777" w:rsidR="0060592F" w:rsidRPr="00E70587" w:rsidRDefault="00EE29F0" w:rsidP="00915156">
            <w:pPr>
              <w:pStyle w:val="tabletxtns"/>
              <w:spacing w:before="0" w:line="280" w:lineRule="exact"/>
              <w:jc w:val="both"/>
              <w:rPr>
                <w:rFonts w:ascii="Arial" w:hAnsi="Arial" w:cs="Arial"/>
                <w:color w:val="auto"/>
                <w:sz w:val="20"/>
              </w:rPr>
            </w:pPr>
            <w:r w:rsidRPr="00E70587">
              <w:rPr>
                <w:rFonts w:ascii="Arial" w:hAnsi="Arial" w:cs="Arial"/>
                <w:color w:val="auto"/>
                <w:sz w:val="20"/>
              </w:rPr>
              <w:t xml:space="preserve">In accordance with the requirement of </w:t>
            </w:r>
            <w:r w:rsidR="00D75F0F" w:rsidRPr="00E70587">
              <w:rPr>
                <w:rFonts w:ascii="Arial" w:hAnsi="Arial" w:cs="Arial"/>
                <w:color w:val="auto"/>
                <w:sz w:val="20"/>
              </w:rPr>
              <w:t xml:space="preserve">Ind AS compliant Schedule III, </w:t>
            </w:r>
            <w:r w:rsidRPr="00E70587">
              <w:rPr>
                <w:rFonts w:ascii="Arial" w:hAnsi="Arial" w:cs="Arial"/>
                <w:color w:val="auto"/>
                <w:sz w:val="20"/>
              </w:rPr>
              <w:t>re</w:t>
            </w:r>
            <w:r w:rsidR="00FC56D0" w:rsidRPr="00E70587">
              <w:rPr>
                <w:rFonts w:ascii="Arial" w:hAnsi="Arial" w:cs="Arial"/>
                <w:color w:val="auto"/>
                <w:sz w:val="20"/>
              </w:rPr>
              <w:t>-measurement gains and losses on defined benefit plans are recognised in OCI and transferred immediately to retained earnings.</w:t>
            </w:r>
          </w:p>
          <w:p w14:paraId="1B0D4C5F" w14:textId="77777777" w:rsidR="0060592F" w:rsidRPr="00E70587" w:rsidRDefault="0060592F" w:rsidP="00915156">
            <w:pPr>
              <w:pStyle w:val="tabletxtns"/>
              <w:spacing w:before="0" w:line="280" w:lineRule="exact"/>
              <w:jc w:val="both"/>
              <w:rPr>
                <w:rFonts w:ascii="Arial" w:hAnsi="Arial" w:cs="Arial"/>
                <w:color w:val="auto"/>
                <w:sz w:val="20"/>
              </w:rPr>
            </w:pPr>
          </w:p>
          <w:p w14:paraId="6837932E" w14:textId="32F7E6C5" w:rsidR="00FC56D0" w:rsidRPr="00E70587" w:rsidRDefault="0060592F" w:rsidP="00915156">
            <w:pPr>
              <w:pStyle w:val="tabletxtns"/>
              <w:spacing w:before="0" w:line="280" w:lineRule="exact"/>
              <w:jc w:val="both"/>
              <w:rPr>
                <w:rFonts w:ascii="Arial" w:hAnsi="Arial" w:cs="Arial"/>
                <w:color w:val="auto"/>
                <w:sz w:val="20"/>
              </w:rPr>
            </w:pPr>
            <w:r w:rsidRPr="00E70587">
              <w:rPr>
                <w:rFonts w:ascii="Arial" w:hAnsi="Arial" w:cs="Arial"/>
                <w:color w:val="auto"/>
                <w:sz w:val="20"/>
              </w:rPr>
              <w:t xml:space="preserve">Ind AS 33.68 requires presentation of basic and diluted earnings per share for discontinued operations either on the face of the statement of profit </w:t>
            </w:r>
            <w:r w:rsidR="00F34C31">
              <w:rPr>
                <w:rFonts w:ascii="Arial" w:hAnsi="Arial" w:cs="Arial"/>
                <w:color w:val="auto"/>
                <w:sz w:val="20"/>
              </w:rPr>
              <w:t>and</w:t>
            </w:r>
            <w:r w:rsidR="00F34C31" w:rsidRPr="00E70587">
              <w:rPr>
                <w:rFonts w:ascii="Arial" w:hAnsi="Arial" w:cs="Arial"/>
                <w:color w:val="auto"/>
                <w:sz w:val="20"/>
              </w:rPr>
              <w:t xml:space="preserve"> </w:t>
            </w:r>
            <w:r w:rsidRPr="00E70587">
              <w:rPr>
                <w:rFonts w:ascii="Arial" w:hAnsi="Arial" w:cs="Arial"/>
                <w:color w:val="auto"/>
                <w:sz w:val="20"/>
              </w:rPr>
              <w:t xml:space="preserve">loss or in the notes to the financial statements. The Group has elected to show this information on the face of the statement of profit </w:t>
            </w:r>
            <w:r w:rsidR="00F34C31">
              <w:rPr>
                <w:rFonts w:ascii="Arial" w:hAnsi="Arial" w:cs="Arial"/>
                <w:color w:val="auto"/>
                <w:sz w:val="20"/>
              </w:rPr>
              <w:t>and</w:t>
            </w:r>
            <w:r w:rsidR="00F34C31" w:rsidRPr="00E70587">
              <w:rPr>
                <w:rFonts w:ascii="Arial" w:hAnsi="Arial" w:cs="Arial"/>
                <w:color w:val="auto"/>
                <w:sz w:val="20"/>
              </w:rPr>
              <w:t xml:space="preserve"> </w:t>
            </w:r>
            <w:r w:rsidRPr="00E70587">
              <w:rPr>
                <w:rFonts w:ascii="Arial" w:hAnsi="Arial" w:cs="Arial"/>
                <w:color w:val="auto"/>
                <w:sz w:val="20"/>
              </w:rPr>
              <w:t>loss.</w:t>
            </w:r>
            <w:r w:rsidR="00FC56D0" w:rsidRPr="00E70587">
              <w:rPr>
                <w:rFonts w:ascii="Arial" w:hAnsi="Arial" w:cs="Arial"/>
                <w:color w:val="auto"/>
                <w:sz w:val="20"/>
              </w:rPr>
              <w:t xml:space="preserve"> </w:t>
            </w:r>
          </w:p>
          <w:p w14:paraId="37162E2B" w14:textId="77777777" w:rsidR="0037200E" w:rsidRPr="00E70587" w:rsidRDefault="0037200E" w:rsidP="00915156">
            <w:pPr>
              <w:pStyle w:val="tabletxtns"/>
              <w:spacing w:before="0" w:line="280" w:lineRule="exact"/>
              <w:jc w:val="both"/>
              <w:rPr>
                <w:rFonts w:ascii="Arial" w:hAnsi="Arial" w:cs="Arial"/>
                <w:color w:val="auto"/>
                <w:sz w:val="20"/>
              </w:rPr>
            </w:pPr>
          </w:p>
          <w:p w14:paraId="68F5F505" w14:textId="70C068D8" w:rsidR="0037200E" w:rsidRDefault="0037200E" w:rsidP="0037200E">
            <w:pPr>
              <w:spacing w:after="80"/>
              <w:rPr>
                <w:rFonts w:ascii="Arial" w:hAnsi="Arial" w:cs="Arial"/>
                <w:sz w:val="20"/>
              </w:rPr>
            </w:pPr>
            <w:r w:rsidRPr="00E70587">
              <w:rPr>
                <w:rFonts w:ascii="Arial" w:hAnsi="Arial" w:cs="Arial"/>
                <w:sz w:val="20"/>
              </w:rPr>
              <w:t xml:space="preserve">Ind AS compliant Schedule III allows line items, sub-line items and sub-totals to be presented as an addition or substitution on the face of the financial statements when such presentation is relevant to an understanding of the company’s financial position or performance or to cater to industry/sector-specific disclosure requirements. Considering this, the Guidance note of Ind AS Schedule III allows presentation of EBITDA as a separate line item on the face of the statement of profit and loss. If an entity elects to present EBIDTA as separate line item, the company should for better understanding disclose policy for measurement. Also, the method of computation adopted by the entity should be followed consistently. The group has not elected to present EBITDA as separately line item on the face of statement of profit and loss. </w:t>
            </w:r>
          </w:p>
          <w:p w14:paraId="20831B49" w14:textId="77777777" w:rsidR="00302445" w:rsidRPr="00E70587" w:rsidRDefault="00302445" w:rsidP="0037200E">
            <w:pPr>
              <w:spacing w:after="80"/>
              <w:rPr>
                <w:rFonts w:ascii="Arial" w:hAnsi="Arial" w:cs="Arial"/>
                <w:sz w:val="20"/>
              </w:rPr>
            </w:pPr>
          </w:p>
          <w:p w14:paraId="64761E6E" w14:textId="76031EC5" w:rsidR="0037200E" w:rsidRDefault="00302445" w:rsidP="00915156">
            <w:pPr>
              <w:pStyle w:val="tabletxtns"/>
              <w:spacing w:before="0" w:line="280" w:lineRule="exact"/>
              <w:jc w:val="both"/>
              <w:rPr>
                <w:rFonts w:ascii="Arial" w:hAnsi="Arial" w:cs="Arial"/>
                <w:color w:val="auto"/>
                <w:sz w:val="20"/>
              </w:rPr>
            </w:pPr>
            <w:r w:rsidRPr="00302445">
              <w:rPr>
                <w:rFonts w:ascii="Arial" w:hAnsi="Arial" w:cs="Arial"/>
                <w:color w:val="auto"/>
                <w:sz w:val="20"/>
              </w:rPr>
              <w:t>Ind AS 116.49 requires a lessee to present in the statement of profit and loss, the interest expense on lease liabilities separately from the depreciation charge for the right-of-use asset. The interest expense on the lease liabilities is a component of finance costs, which Ind AS 1.82(b) requires to be presented separately in the statement of profit and loss. Consistent with this requirement, the Group presented interest expense on lease liabilities under ‘finance costs’ and the depreciation charge on the right-of-use asset under ‘depreciation and amortisation expenses’</w:t>
            </w:r>
          </w:p>
          <w:p w14:paraId="3EC5B302" w14:textId="25D12B48" w:rsidR="00302445" w:rsidRPr="00E70587" w:rsidRDefault="00302445" w:rsidP="00915156">
            <w:pPr>
              <w:pStyle w:val="tabletxtns"/>
              <w:spacing w:before="0" w:line="280" w:lineRule="exact"/>
              <w:jc w:val="both"/>
              <w:rPr>
                <w:rFonts w:ascii="Arial" w:hAnsi="Arial" w:cs="Arial"/>
                <w:color w:val="auto"/>
                <w:sz w:val="20"/>
              </w:rPr>
            </w:pPr>
          </w:p>
        </w:tc>
      </w:tr>
    </w:tbl>
    <w:p w14:paraId="2CE5713F" w14:textId="77777777" w:rsidR="00860ED4" w:rsidRPr="00E70587" w:rsidRDefault="00860ED4" w:rsidP="00CA59D5">
      <w:pPr>
        <w:pStyle w:val="tabletxtns"/>
        <w:spacing w:before="0" w:line="280" w:lineRule="exact"/>
        <w:rPr>
          <w:rFonts w:ascii="Arial" w:hAnsi="Arial" w:cs="Arial"/>
          <w:color w:val="auto"/>
          <w:sz w:val="20"/>
        </w:rPr>
        <w:sectPr w:rsidR="00860ED4" w:rsidRPr="00E70587" w:rsidSect="00C41CC3">
          <w:headerReference w:type="even" r:id="rId17"/>
          <w:headerReference w:type="default" r:id="rId18"/>
          <w:headerReference w:type="first" r:id="rId19"/>
          <w:pgSz w:w="11909" w:h="16834" w:code="9"/>
          <w:pgMar w:top="864" w:right="1253" w:bottom="864" w:left="1296" w:header="432" w:footer="432" w:gutter="0"/>
          <w:cols w:space="766"/>
          <w:titlePg/>
          <w:docGrid w:linePitch="245"/>
        </w:sectPr>
      </w:pPr>
      <w:bookmarkStart w:id="3" w:name="_Toc143500503"/>
      <w:bookmarkStart w:id="4" w:name="_Toc155071882"/>
    </w:p>
    <w:bookmarkEnd w:id="3"/>
    <w:bookmarkEnd w:id="4"/>
    <w:p w14:paraId="793652C7" w14:textId="77777777" w:rsidR="00C820CA" w:rsidRPr="00E70587" w:rsidRDefault="00C820CA" w:rsidP="0060778E">
      <w:pPr>
        <w:rPr>
          <w:rFonts w:ascii="Arial" w:hAnsi="Arial" w:cs="Arial"/>
        </w:rPr>
      </w:pPr>
    </w:p>
    <w:p w14:paraId="341294C7" w14:textId="77777777" w:rsidR="00D32DD8" w:rsidRPr="00E70587" w:rsidRDefault="00D32DD8" w:rsidP="00E466DD">
      <w:pPr>
        <w:pStyle w:val="ListParagraph"/>
        <w:numPr>
          <w:ilvl w:val="0"/>
          <w:numId w:val="29"/>
        </w:numPr>
        <w:spacing w:after="120" w:line="240" w:lineRule="atLeast"/>
        <w:ind w:left="425" w:hanging="357"/>
        <w:contextualSpacing w:val="0"/>
        <w:rPr>
          <w:rFonts w:ascii="Arial" w:hAnsi="Arial" w:cs="Arial"/>
          <w:b/>
          <w:sz w:val="22"/>
          <w:szCs w:val="22"/>
        </w:rPr>
      </w:pPr>
      <w:r w:rsidRPr="00E70587">
        <w:rPr>
          <w:rFonts w:ascii="Arial" w:hAnsi="Arial" w:cs="Arial"/>
          <w:b/>
          <w:sz w:val="22"/>
          <w:szCs w:val="22"/>
        </w:rPr>
        <w:t>Equity Share Capital:</w:t>
      </w:r>
    </w:p>
    <w:p w14:paraId="47E27321" w14:textId="77777777" w:rsidR="00D32DD8" w:rsidRPr="00E70587" w:rsidRDefault="00D32DD8" w:rsidP="00D32DD8">
      <w:pPr>
        <w:overflowPunct/>
        <w:autoSpaceDE/>
        <w:autoSpaceDN/>
        <w:adjustRightInd/>
        <w:spacing w:line="240" w:lineRule="auto"/>
        <w:textAlignment w:val="auto"/>
        <w:rPr>
          <w:rFonts w:ascii="Arial" w:hAnsi="Arial" w:cs="Arial"/>
        </w:rPr>
      </w:pPr>
    </w:p>
    <w:tbl>
      <w:tblPr>
        <w:tblW w:w="9576" w:type="dxa"/>
        <w:jc w:val="center"/>
        <w:tblLayout w:type="fixed"/>
        <w:tblCellMar>
          <w:left w:w="57" w:type="dxa"/>
          <w:right w:w="57" w:type="dxa"/>
        </w:tblCellMar>
        <w:tblLook w:val="0000" w:firstRow="0" w:lastRow="0" w:firstColumn="0" w:lastColumn="0" w:noHBand="0" w:noVBand="0"/>
      </w:tblPr>
      <w:tblGrid>
        <w:gridCol w:w="6207"/>
        <w:gridCol w:w="1768"/>
        <w:gridCol w:w="1601"/>
      </w:tblGrid>
      <w:tr w:rsidR="00D32DD8" w:rsidRPr="00E70587" w14:paraId="5D6D47BE" w14:textId="77777777" w:rsidTr="00BB4BC9">
        <w:trPr>
          <w:jc w:val="center"/>
        </w:trPr>
        <w:tc>
          <w:tcPr>
            <w:tcW w:w="6660" w:type="dxa"/>
            <w:shd w:val="clear" w:color="auto" w:fill="auto"/>
            <w:vAlign w:val="center"/>
          </w:tcPr>
          <w:p w14:paraId="556794D9" w14:textId="77777777" w:rsidR="00D32DD8" w:rsidRPr="00E70587" w:rsidRDefault="00D32DD8" w:rsidP="00BB4BC9">
            <w:pPr>
              <w:pStyle w:val="Notesitalicheading"/>
              <w:spacing w:before="40" w:after="40" w:line="240" w:lineRule="auto"/>
              <w:rPr>
                <w:rFonts w:ascii="Arial" w:hAnsi="Arial"/>
                <w:i w:val="0"/>
                <w:sz w:val="22"/>
                <w:szCs w:val="22"/>
              </w:rPr>
            </w:pPr>
            <w:r w:rsidRPr="00E70587">
              <w:rPr>
                <w:rFonts w:ascii="Arial" w:hAnsi="Arial"/>
                <w:i w:val="0"/>
                <w:sz w:val="22"/>
                <w:szCs w:val="22"/>
              </w:rPr>
              <w:t>Equity shares of INR 1 each</w:t>
            </w:r>
            <w:r w:rsidRPr="00E70587">
              <w:rPr>
                <w:rFonts w:ascii="Arial" w:hAnsi="Arial"/>
                <w:sz w:val="22"/>
                <w:szCs w:val="22"/>
              </w:rPr>
              <w:t xml:space="preserve"> </w:t>
            </w:r>
            <w:r w:rsidRPr="00E70587">
              <w:rPr>
                <w:rFonts w:ascii="Arial" w:hAnsi="Arial"/>
                <w:i w:val="0"/>
                <w:sz w:val="22"/>
                <w:szCs w:val="22"/>
              </w:rPr>
              <w:t>issued, subscribed and fully paid</w:t>
            </w:r>
          </w:p>
          <w:p w14:paraId="01C63D33" w14:textId="77777777" w:rsidR="00D32DD8" w:rsidRPr="00E70587" w:rsidRDefault="00D32DD8" w:rsidP="00BB4BC9">
            <w:pPr>
              <w:pStyle w:val="Notesitalicheading"/>
              <w:spacing w:before="40" w:after="40" w:line="240" w:lineRule="auto"/>
              <w:rPr>
                <w:rFonts w:ascii="Arial" w:hAnsi="Arial"/>
                <w:i w:val="0"/>
                <w:sz w:val="22"/>
                <w:szCs w:val="22"/>
              </w:rPr>
            </w:pPr>
          </w:p>
        </w:tc>
        <w:tc>
          <w:tcPr>
            <w:tcW w:w="1890" w:type="dxa"/>
            <w:tcBorders>
              <w:top w:val="single" w:sz="2" w:space="0" w:color="000000" w:themeColor="text1"/>
              <w:bottom w:val="single" w:sz="2" w:space="0" w:color="000000" w:themeColor="text1"/>
            </w:tcBorders>
          </w:tcPr>
          <w:p w14:paraId="2D268460" w14:textId="6B5CD846" w:rsidR="00D32DD8" w:rsidRPr="00E70587" w:rsidRDefault="00D32DD8" w:rsidP="00BB4BC9">
            <w:pPr>
              <w:spacing w:before="40" w:after="40"/>
              <w:jc w:val="center"/>
              <w:rPr>
                <w:rFonts w:ascii="Arial" w:hAnsi="Arial" w:cs="Arial"/>
                <w:sz w:val="22"/>
                <w:szCs w:val="22"/>
              </w:rPr>
            </w:pPr>
            <w:r w:rsidRPr="00E70587">
              <w:rPr>
                <w:rFonts w:ascii="Arial" w:hAnsi="Arial" w:cs="Arial"/>
                <w:sz w:val="22"/>
                <w:szCs w:val="22"/>
              </w:rPr>
              <w:t xml:space="preserve">No. in </w:t>
            </w:r>
            <w:r w:rsidR="007C74AF">
              <w:rPr>
                <w:rFonts w:ascii="Arial" w:hAnsi="Arial" w:cs="Arial"/>
                <w:sz w:val="22"/>
                <w:szCs w:val="22"/>
              </w:rPr>
              <w:t>lacs</w:t>
            </w:r>
          </w:p>
        </w:tc>
        <w:tc>
          <w:tcPr>
            <w:tcW w:w="1710" w:type="dxa"/>
            <w:tcBorders>
              <w:top w:val="single" w:sz="2" w:space="0" w:color="000000" w:themeColor="text1"/>
              <w:bottom w:val="single" w:sz="2" w:space="0" w:color="000000" w:themeColor="text1"/>
            </w:tcBorders>
            <w:shd w:val="clear" w:color="auto" w:fill="auto"/>
          </w:tcPr>
          <w:p w14:paraId="39B12F38" w14:textId="63E1E4EC" w:rsidR="00D32DD8" w:rsidRPr="00E70587" w:rsidRDefault="00D32DD8" w:rsidP="00BB4BC9">
            <w:pPr>
              <w:spacing w:before="40" w:after="40"/>
              <w:jc w:val="center"/>
              <w:rPr>
                <w:rFonts w:ascii="Arial" w:hAnsi="Arial" w:cs="Arial"/>
                <w:sz w:val="22"/>
                <w:szCs w:val="22"/>
              </w:rPr>
            </w:pPr>
            <w:r w:rsidRPr="00E70587">
              <w:rPr>
                <w:rFonts w:ascii="Arial" w:hAnsi="Arial" w:cs="Arial"/>
                <w:sz w:val="22"/>
                <w:szCs w:val="22"/>
              </w:rPr>
              <w:t xml:space="preserve">INR </w:t>
            </w:r>
            <w:r w:rsidR="007C74AF">
              <w:rPr>
                <w:rFonts w:ascii="Arial" w:hAnsi="Arial" w:cs="Arial"/>
                <w:sz w:val="22"/>
                <w:szCs w:val="22"/>
              </w:rPr>
              <w:t>lacs</w:t>
            </w:r>
          </w:p>
        </w:tc>
      </w:tr>
      <w:tr w:rsidR="00D32DD8" w:rsidRPr="00E70587" w14:paraId="44737E93" w14:textId="77777777" w:rsidTr="00BB4BC9">
        <w:trPr>
          <w:jc w:val="center"/>
        </w:trPr>
        <w:tc>
          <w:tcPr>
            <w:tcW w:w="6660" w:type="dxa"/>
            <w:shd w:val="clear" w:color="auto" w:fill="auto"/>
            <w:vAlign w:val="center"/>
          </w:tcPr>
          <w:p w14:paraId="44661A0B" w14:textId="6C18165C" w:rsidR="00D32DD8" w:rsidRPr="00E70587" w:rsidRDefault="00D32DD8" w:rsidP="00BB4BC9">
            <w:pPr>
              <w:pStyle w:val="tabletext"/>
              <w:overflowPunct w:val="0"/>
              <w:autoSpaceDE w:val="0"/>
              <w:autoSpaceDN w:val="0"/>
              <w:adjustRightInd w:val="0"/>
              <w:spacing w:before="40" w:after="40" w:line="240" w:lineRule="auto"/>
              <w:textAlignment w:val="baseline"/>
              <w:rPr>
                <w:rFonts w:ascii="Arial" w:hAnsi="Arial" w:cs="Arial"/>
                <w:b/>
                <w:sz w:val="22"/>
                <w:szCs w:val="22"/>
                <w:lang w:val="en-IN"/>
              </w:rPr>
            </w:pPr>
            <w:r w:rsidRPr="00E70587">
              <w:rPr>
                <w:rFonts w:ascii="Arial" w:hAnsi="Arial" w:cs="Arial"/>
                <w:b/>
                <w:sz w:val="22"/>
                <w:szCs w:val="22"/>
                <w:lang w:val="en-IN"/>
              </w:rPr>
              <w:t xml:space="preserve">At 1 April </w:t>
            </w:r>
            <w:r w:rsidR="00871247" w:rsidRPr="00E70587">
              <w:rPr>
                <w:rFonts w:ascii="Arial" w:hAnsi="Arial" w:cs="Arial"/>
                <w:b/>
                <w:sz w:val="22"/>
                <w:szCs w:val="22"/>
                <w:lang w:val="en-IN"/>
              </w:rPr>
              <w:t>201</w:t>
            </w:r>
            <w:r w:rsidR="00871247">
              <w:rPr>
                <w:rFonts w:ascii="Arial" w:hAnsi="Arial" w:cs="Arial"/>
                <w:b/>
                <w:sz w:val="22"/>
                <w:szCs w:val="22"/>
                <w:lang w:val="en-IN"/>
              </w:rPr>
              <w:t>9</w:t>
            </w:r>
          </w:p>
        </w:tc>
        <w:tc>
          <w:tcPr>
            <w:tcW w:w="1890" w:type="dxa"/>
            <w:tcBorders>
              <w:top w:val="single" w:sz="2" w:space="0" w:color="000000" w:themeColor="text1"/>
            </w:tcBorders>
          </w:tcPr>
          <w:p w14:paraId="1C01DF8E" w14:textId="77777777" w:rsidR="00D32DD8" w:rsidRPr="00E70587" w:rsidRDefault="00D32DD8" w:rsidP="00BB4BC9">
            <w:pPr>
              <w:pStyle w:val="tabletext"/>
              <w:overflowPunct w:val="0"/>
              <w:autoSpaceDE w:val="0"/>
              <w:autoSpaceDN w:val="0"/>
              <w:adjustRightInd w:val="0"/>
              <w:spacing w:before="40" w:after="40" w:line="240" w:lineRule="auto"/>
              <w:jc w:val="right"/>
              <w:textAlignment w:val="baseline"/>
              <w:rPr>
                <w:rFonts w:ascii="Arial" w:hAnsi="Arial" w:cs="Arial"/>
                <w:b/>
                <w:sz w:val="22"/>
                <w:szCs w:val="22"/>
                <w:lang w:val="en-IN"/>
              </w:rPr>
            </w:pPr>
            <w:r w:rsidRPr="00E70587">
              <w:rPr>
                <w:rFonts w:ascii="Arial" w:hAnsi="Arial" w:cs="Arial"/>
                <w:b/>
                <w:bCs/>
                <w:sz w:val="22"/>
                <w:szCs w:val="22"/>
                <w:lang w:eastAsia="en-GB"/>
              </w:rPr>
              <w:t>34,898</w:t>
            </w:r>
          </w:p>
        </w:tc>
        <w:tc>
          <w:tcPr>
            <w:tcW w:w="1710" w:type="dxa"/>
            <w:tcBorders>
              <w:top w:val="single" w:sz="2" w:space="0" w:color="000000" w:themeColor="text1"/>
            </w:tcBorders>
            <w:shd w:val="clear" w:color="auto" w:fill="auto"/>
          </w:tcPr>
          <w:p w14:paraId="0EEA0FF9" w14:textId="77777777" w:rsidR="00D32DD8" w:rsidRPr="00E70587" w:rsidRDefault="00D32DD8" w:rsidP="00BB4BC9">
            <w:pPr>
              <w:spacing w:before="40" w:after="40"/>
              <w:jc w:val="right"/>
              <w:rPr>
                <w:rFonts w:ascii="Arial" w:hAnsi="Arial" w:cs="Arial"/>
                <w:b/>
                <w:bCs/>
                <w:sz w:val="22"/>
                <w:szCs w:val="22"/>
                <w:lang w:eastAsia="en-GB"/>
              </w:rPr>
            </w:pPr>
            <w:r w:rsidRPr="00E70587">
              <w:rPr>
                <w:rFonts w:ascii="Arial" w:hAnsi="Arial" w:cs="Arial"/>
                <w:b/>
                <w:bCs/>
                <w:sz w:val="22"/>
                <w:szCs w:val="22"/>
                <w:lang w:eastAsia="en-GB"/>
              </w:rPr>
              <w:t>34,898</w:t>
            </w:r>
          </w:p>
        </w:tc>
      </w:tr>
      <w:tr w:rsidR="00D32DD8" w:rsidRPr="00E70587" w14:paraId="58E86075" w14:textId="77777777" w:rsidTr="00BB4BC9">
        <w:trPr>
          <w:jc w:val="center"/>
        </w:trPr>
        <w:tc>
          <w:tcPr>
            <w:tcW w:w="6660" w:type="dxa"/>
            <w:shd w:val="clear" w:color="auto" w:fill="auto"/>
            <w:vAlign w:val="center"/>
          </w:tcPr>
          <w:p w14:paraId="1DCBB34F" w14:textId="731EC573" w:rsidR="00D32DD8" w:rsidRPr="00E70587" w:rsidRDefault="00D32DD8" w:rsidP="00BB4BC9">
            <w:pPr>
              <w:pStyle w:val="tabletext"/>
              <w:overflowPunct w:val="0"/>
              <w:autoSpaceDE w:val="0"/>
              <w:autoSpaceDN w:val="0"/>
              <w:adjustRightInd w:val="0"/>
              <w:spacing w:before="40" w:after="40" w:line="240" w:lineRule="auto"/>
              <w:textAlignment w:val="baseline"/>
              <w:rPr>
                <w:rFonts w:ascii="Arial" w:hAnsi="Arial" w:cs="Arial"/>
                <w:b/>
                <w:sz w:val="22"/>
                <w:szCs w:val="22"/>
                <w:lang w:val="en-IN"/>
              </w:rPr>
            </w:pPr>
            <w:r w:rsidRPr="00E70587">
              <w:rPr>
                <w:rFonts w:ascii="Arial" w:hAnsi="Arial" w:cs="Arial"/>
                <w:b/>
                <w:sz w:val="22"/>
                <w:szCs w:val="22"/>
                <w:lang w:val="en-IN"/>
              </w:rPr>
              <w:t xml:space="preserve">At 31 </w:t>
            </w:r>
            <w:r w:rsidR="008B730E" w:rsidRPr="00E70587">
              <w:rPr>
                <w:rFonts w:ascii="Arial" w:hAnsi="Arial" w:cs="Arial"/>
                <w:b/>
                <w:sz w:val="22"/>
                <w:szCs w:val="22"/>
                <w:lang w:val="en-IN"/>
              </w:rPr>
              <w:t xml:space="preserve">March </w:t>
            </w:r>
            <w:r w:rsidR="00871247" w:rsidRPr="00E70587">
              <w:rPr>
                <w:rFonts w:ascii="Arial" w:hAnsi="Arial" w:cs="Arial"/>
                <w:b/>
                <w:sz w:val="22"/>
                <w:szCs w:val="22"/>
                <w:lang w:val="en-IN"/>
              </w:rPr>
              <w:t>20</w:t>
            </w:r>
            <w:r w:rsidR="00871247">
              <w:rPr>
                <w:rFonts w:ascii="Arial" w:hAnsi="Arial" w:cs="Arial"/>
                <w:b/>
                <w:sz w:val="22"/>
                <w:szCs w:val="22"/>
                <w:lang w:val="en-IN"/>
              </w:rPr>
              <w:t>20</w:t>
            </w:r>
          </w:p>
        </w:tc>
        <w:tc>
          <w:tcPr>
            <w:tcW w:w="1890" w:type="dxa"/>
          </w:tcPr>
          <w:p w14:paraId="2AAA9260" w14:textId="77777777" w:rsidR="00D32DD8" w:rsidRPr="00E70587" w:rsidRDefault="00D32DD8" w:rsidP="00BB4BC9">
            <w:pPr>
              <w:pStyle w:val="tabletext"/>
              <w:overflowPunct w:val="0"/>
              <w:autoSpaceDE w:val="0"/>
              <w:autoSpaceDN w:val="0"/>
              <w:adjustRightInd w:val="0"/>
              <w:spacing w:before="40" w:after="40" w:line="240" w:lineRule="auto"/>
              <w:jc w:val="right"/>
              <w:textAlignment w:val="baseline"/>
              <w:rPr>
                <w:rFonts w:ascii="Arial" w:hAnsi="Arial" w:cs="Arial"/>
                <w:b/>
                <w:sz w:val="22"/>
                <w:szCs w:val="22"/>
                <w:lang w:val="en-IN"/>
              </w:rPr>
            </w:pPr>
            <w:r w:rsidRPr="00E70587">
              <w:rPr>
                <w:rFonts w:ascii="Arial" w:hAnsi="Arial" w:cs="Arial"/>
                <w:b/>
                <w:bCs/>
                <w:sz w:val="22"/>
                <w:szCs w:val="22"/>
                <w:lang w:eastAsia="en-GB"/>
              </w:rPr>
              <w:t>34,898</w:t>
            </w:r>
          </w:p>
        </w:tc>
        <w:tc>
          <w:tcPr>
            <w:tcW w:w="1710" w:type="dxa"/>
            <w:shd w:val="clear" w:color="auto" w:fill="auto"/>
          </w:tcPr>
          <w:p w14:paraId="6CBE3AF3" w14:textId="77777777" w:rsidR="00D32DD8" w:rsidRPr="00E70587" w:rsidRDefault="00D32DD8" w:rsidP="00BB4BC9">
            <w:pPr>
              <w:spacing w:before="40" w:after="40"/>
              <w:jc w:val="right"/>
              <w:rPr>
                <w:rFonts w:ascii="Arial" w:hAnsi="Arial" w:cs="Arial"/>
                <w:b/>
                <w:bCs/>
                <w:sz w:val="22"/>
                <w:szCs w:val="22"/>
                <w:lang w:eastAsia="en-GB"/>
              </w:rPr>
            </w:pPr>
            <w:r w:rsidRPr="00E70587">
              <w:rPr>
                <w:rFonts w:ascii="Arial" w:hAnsi="Arial" w:cs="Arial"/>
                <w:b/>
                <w:bCs/>
                <w:sz w:val="22"/>
                <w:szCs w:val="22"/>
                <w:lang w:eastAsia="en-GB"/>
              </w:rPr>
              <w:t>34,898</w:t>
            </w:r>
          </w:p>
        </w:tc>
      </w:tr>
      <w:tr w:rsidR="00D32DD8" w:rsidRPr="00E70587" w14:paraId="69691863" w14:textId="77777777" w:rsidTr="00BB4BC9">
        <w:trPr>
          <w:jc w:val="center"/>
        </w:trPr>
        <w:tc>
          <w:tcPr>
            <w:tcW w:w="6660" w:type="dxa"/>
            <w:shd w:val="clear" w:color="auto" w:fill="auto"/>
          </w:tcPr>
          <w:p w14:paraId="65C93CCC" w14:textId="77777777" w:rsidR="00D32DD8" w:rsidRPr="00E70587" w:rsidRDefault="00D32DD8" w:rsidP="00BB4BC9">
            <w:pPr>
              <w:pStyle w:val="tabletext"/>
              <w:overflowPunct w:val="0"/>
              <w:autoSpaceDE w:val="0"/>
              <w:autoSpaceDN w:val="0"/>
              <w:adjustRightInd w:val="0"/>
              <w:spacing w:before="40" w:after="40" w:line="240" w:lineRule="auto"/>
              <w:textAlignment w:val="baseline"/>
              <w:rPr>
                <w:rFonts w:ascii="Arial" w:hAnsi="Arial" w:cs="Arial"/>
                <w:sz w:val="22"/>
                <w:szCs w:val="22"/>
                <w:lang w:val="en-IN"/>
              </w:rPr>
            </w:pPr>
            <w:r w:rsidRPr="00E70587">
              <w:rPr>
                <w:rFonts w:ascii="Arial" w:hAnsi="Arial" w:cs="Arial"/>
                <w:sz w:val="22"/>
                <w:szCs w:val="22"/>
              </w:rPr>
              <w:t>Issue of share capital (Note 11)</w:t>
            </w:r>
          </w:p>
        </w:tc>
        <w:tc>
          <w:tcPr>
            <w:tcW w:w="1890" w:type="dxa"/>
            <w:tcBorders>
              <w:bottom w:val="single" w:sz="2" w:space="0" w:color="000000" w:themeColor="text1"/>
            </w:tcBorders>
          </w:tcPr>
          <w:p w14:paraId="742E4535" w14:textId="77777777" w:rsidR="00D32DD8" w:rsidRPr="00E70587" w:rsidRDefault="00D32DD8" w:rsidP="00BB4BC9">
            <w:pPr>
              <w:spacing w:before="40" w:after="40"/>
              <w:jc w:val="right"/>
              <w:rPr>
                <w:rFonts w:ascii="Arial" w:hAnsi="Arial" w:cs="Arial"/>
                <w:sz w:val="22"/>
                <w:szCs w:val="22"/>
              </w:rPr>
            </w:pPr>
            <w:r w:rsidRPr="00E70587">
              <w:rPr>
                <w:rFonts w:ascii="Arial" w:hAnsi="Arial" w:cs="Arial"/>
                <w:sz w:val="22"/>
                <w:szCs w:val="22"/>
              </w:rPr>
              <w:t>4,500</w:t>
            </w:r>
          </w:p>
        </w:tc>
        <w:tc>
          <w:tcPr>
            <w:tcW w:w="1710" w:type="dxa"/>
            <w:tcBorders>
              <w:bottom w:val="single" w:sz="2" w:space="0" w:color="000000" w:themeColor="text1"/>
            </w:tcBorders>
            <w:shd w:val="clear" w:color="auto" w:fill="auto"/>
          </w:tcPr>
          <w:p w14:paraId="2E22000F" w14:textId="77777777" w:rsidR="00D32DD8" w:rsidRPr="00E70587" w:rsidRDefault="00D32DD8" w:rsidP="00BB4BC9">
            <w:pPr>
              <w:spacing w:before="40" w:after="40"/>
              <w:jc w:val="right"/>
              <w:rPr>
                <w:rFonts w:ascii="Arial" w:hAnsi="Arial" w:cs="Arial"/>
                <w:sz w:val="22"/>
                <w:szCs w:val="22"/>
              </w:rPr>
            </w:pPr>
            <w:r w:rsidRPr="00E70587">
              <w:rPr>
                <w:rFonts w:ascii="Arial" w:hAnsi="Arial" w:cs="Arial"/>
                <w:sz w:val="22"/>
                <w:szCs w:val="22"/>
              </w:rPr>
              <w:t>4,500</w:t>
            </w:r>
          </w:p>
        </w:tc>
      </w:tr>
      <w:tr w:rsidR="00D32DD8" w:rsidRPr="00E70587" w14:paraId="6707818D" w14:textId="77777777" w:rsidTr="00BB4BC9">
        <w:trPr>
          <w:jc w:val="center"/>
        </w:trPr>
        <w:tc>
          <w:tcPr>
            <w:tcW w:w="6660" w:type="dxa"/>
            <w:shd w:val="clear" w:color="auto" w:fill="auto"/>
            <w:vAlign w:val="center"/>
          </w:tcPr>
          <w:p w14:paraId="7FD97F1A" w14:textId="7E89BAB2" w:rsidR="00D32DD8" w:rsidRPr="00E70587" w:rsidRDefault="00D32DD8" w:rsidP="00BB4BC9">
            <w:pPr>
              <w:pStyle w:val="Notesitalicheading"/>
              <w:spacing w:before="40" w:after="40" w:line="240" w:lineRule="auto"/>
              <w:rPr>
                <w:rFonts w:ascii="Arial" w:hAnsi="Arial"/>
                <w:i w:val="0"/>
                <w:sz w:val="22"/>
                <w:szCs w:val="22"/>
              </w:rPr>
            </w:pPr>
            <w:r w:rsidRPr="00E70587">
              <w:rPr>
                <w:rFonts w:ascii="Arial" w:hAnsi="Arial"/>
                <w:i w:val="0"/>
                <w:sz w:val="22"/>
                <w:szCs w:val="22"/>
              </w:rPr>
              <w:t xml:space="preserve">At 31 </w:t>
            </w:r>
            <w:r w:rsidR="00E1202D" w:rsidRPr="00E70587">
              <w:rPr>
                <w:rFonts w:ascii="Arial" w:hAnsi="Arial"/>
                <w:i w:val="0"/>
                <w:sz w:val="22"/>
                <w:szCs w:val="22"/>
              </w:rPr>
              <w:t xml:space="preserve">March </w:t>
            </w:r>
            <w:r w:rsidR="00871247" w:rsidRPr="00E70587">
              <w:rPr>
                <w:rFonts w:ascii="Arial" w:hAnsi="Arial"/>
                <w:i w:val="0"/>
                <w:sz w:val="22"/>
                <w:szCs w:val="22"/>
              </w:rPr>
              <w:t>20</w:t>
            </w:r>
            <w:r w:rsidR="00871247">
              <w:rPr>
                <w:rFonts w:ascii="Arial" w:hAnsi="Arial"/>
                <w:i w:val="0"/>
                <w:sz w:val="22"/>
                <w:szCs w:val="22"/>
              </w:rPr>
              <w:t>21</w:t>
            </w:r>
          </w:p>
        </w:tc>
        <w:tc>
          <w:tcPr>
            <w:tcW w:w="1890" w:type="dxa"/>
            <w:tcBorders>
              <w:top w:val="single" w:sz="2" w:space="0" w:color="000000" w:themeColor="text1"/>
              <w:bottom w:val="double" w:sz="4" w:space="0" w:color="auto"/>
            </w:tcBorders>
          </w:tcPr>
          <w:p w14:paraId="55EE1349" w14:textId="77777777" w:rsidR="00D32DD8" w:rsidRPr="00E70587" w:rsidRDefault="00D32DD8" w:rsidP="00BB4BC9">
            <w:pPr>
              <w:spacing w:before="40" w:after="40"/>
              <w:jc w:val="right"/>
              <w:rPr>
                <w:rFonts w:ascii="Arial" w:hAnsi="Arial" w:cs="Arial"/>
                <w:b/>
                <w:bCs/>
                <w:sz w:val="22"/>
                <w:szCs w:val="22"/>
                <w:lang w:eastAsia="en-GB"/>
              </w:rPr>
            </w:pPr>
            <w:r w:rsidRPr="00E70587">
              <w:rPr>
                <w:rFonts w:ascii="Arial" w:hAnsi="Arial" w:cs="Arial"/>
                <w:b/>
                <w:bCs/>
                <w:sz w:val="22"/>
                <w:szCs w:val="22"/>
                <w:lang w:eastAsia="en-GB"/>
              </w:rPr>
              <w:t>39,398</w:t>
            </w:r>
          </w:p>
        </w:tc>
        <w:tc>
          <w:tcPr>
            <w:tcW w:w="1710" w:type="dxa"/>
            <w:tcBorders>
              <w:top w:val="single" w:sz="2" w:space="0" w:color="000000" w:themeColor="text1"/>
              <w:bottom w:val="double" w:sz="4" w:space="0" w:color="auto"/>
            </w:tcBorders>
            <w:shd w:val="clear" w:color="auto" w:fill="auto"/>
          </w:tcPr>
          <w:p w14:paraId="2966C7B0" w14:textId="77777777" w:rsidR="00D32DD8" w:rsidRPr="00E70587" w:rsidRDefault="00D32DD8" w:rsidP="00BB4BC9">
            <w:pPr>
              <w:spacing w:before="40" w:after="40"/>
              <w:jc w:val="right"/>
              <w:rPr>
                <w:rFonts w:ascii="Arial" w:hAnsi="Arial" w:cs="Arial"/>
                <w:b/>
                <w:bCs/>
                <w:sz w:val="22"/>
                <w:szCs w:val="22"/>
                <w:lang w:eastAsia="en-GB"/>
              </w:rPr>
            </w:pPr>
            <w:r w:rsidRPr="00E70587">
              <w:rPr>
                <w:rFonts w:ascii="Arial" w:hAnsi="Arial" w:cs="Arial"/>
                <w:b/>
                <w:bCs/>
                <w:sz w:val="22"/>
                <w:szCs w:val="22"/>
                <w:lang w:eastAsia="en-GB"/>
              </w:rPr>
              <w:t>39,398</w:t>
            </w:r>
          </w:p>
        </w:tc>
      </w:tr>
    </w:tbl>
    <w:p w14:paraId="2601FD87" w14:textId="77777777" w:rsidR="00D32DD8" w:rsidRPr="00E70587" w:rsidRDefault="00D32DD8" w:rsidP="0060778E">
      <w:pPr>
        <w:rPr>
          <w:rFonts w:ascii="Arial" w:hAnsi="Arial" w:cs="Arial"/>
        </w:rPr>
      </w:pPr>
    </w:p>
    <w:p w14:paraId="3567EED3" w14:textId="77777777" w:rsidR="00DA72DB" w:rsidRPr="00E70587" w:rsidRDefault="00DA72DB" w:rsidP="00E466DD">
      <w:pPr>
        <w:pStyle w:val="ListParagraph"/>
        <w:numPr>
          <w:ilvl w:val="0"/>
          <w:numId w:val="29"/>
        </w:numPr>
        <w:spacing w:after="120" w:line="240" w:lineRule="atLeast"/>
        <w:ind w:left="425" w:hanging="357"/>
        <w:contextualSpacing w:val="0"/>
        <w:rPr>
          <w:rFonts w:ascii="Arial" w:hAnsi="Arial" w:cs="Arial"/>
          <w:b/>
          <w:sz w:val="22"/>
          <w:szCs w:val="22"/>
        </w:rPr>
      </w:pPr>
      <w:r w:rsidRPr="00E70587">
        <w:rPr>
          <w:rFonts w:ascii="Arial" w:hAnsi="Arial" w:cs="Arial"/>
          <w:b/>
          <w:sz w:val="22"/>
          <w:szCs w:val="22"/>
        </w:rPr>
        <w:t>Other Equity</w:t>
      </w:r>
    </w:p>
    <w:p w14:paraId="6F41D2C4" w14:textId="77777777" w:rsidR="00DA72DB" w:rsidRPr="00E70587" w:rsidRDefault="00DA72DB" w:rsidP="0025750D">
      <w:pPr>
        <w:spacing w:before="60" w:after="60"/>
        <w:rPr>
          <w:rFonts w:ascii="Arial" w:hAnsi="Arial" w:cs="Arial"/>
          <w:sz w:val="20"/>
          <w:lang w:eastAsia="en-IN"/>
        </w:rPr>
      </w:pPr>
    </w:p>
    <w:p w14:paraId="4B3F994C" w14:textId="04CC2A7D" w:rsidR="00DA72DB" w:rsidRPr="00E70587" w:rsidRDefault="00DA72DB" w:rsidP="0025750D">
      <w:pPr>
        <w:spacing w:before="40" w:after="40"/>
        <w:rPr>
          <w:rFonts w:ascii="Arial" w:hAnsi="Arial" w:cs="Arial"/>
          <w:b/>
          <w:bCs/>
          <w:sz w:val="20"/>
          <w:lang w:eastAsia="en-IN"/>
        </w:rPr>
      </w:pPr>
      <w:r w:rsidRPr="00E70587">
        <w:rPr>
          <w:rFonts w:ascii="Arial" w:hAnsi="Arial" w:cs="Arial"/>
          <w:b/>
          <w:bCs/>
          <w:sz w:val="20"/>
          <w:lang w:eastAsia="en-IN"/>
        </w:rPr>
        <w:t xml:space="preserve">For the year ended 31 March </w:t>
      </w:r>
      <w:r w:rsidR="00AB10C2" w:rsidRPr="00E70587">
        <w:rPr>
          <w:rFonts w:ascii="Arial" w:hAnsi="Arial" w:cs="Arial"/>
          <w:b/>
          <w:bCs/>
          <w:sz w:val="20"/>
          <w:lang w:eastAsia="en-IN"/>
        </w:rPr>
        <w:t>20</w:t>
      </w:r>
      <w:r w:rsidR="00AB10C2">
        <w:rPr>
          <w:rFonts w:ascii="Arial" w:hAnsi="Arial" w:cs="Arial"/>
          <w:b/>
          <w:bCs/>
          <w:sz w:val="20"/>
          <w:lang w:eastAsia="en-IN"/>
        </w:rPr>
        <w:t>21</w:t>
      </w:r>
    </w:p>
    <w:p w14:paraId="61E8C842" w14:textId="77777777" w:rsidR="00DA72DB" w:rsidRPr="00E70587" w:rsidRDefault="00DA72DB" w:rsidP="0025750D">
      <w:pPr>
        <w:spacing w:before="60" w:after="60"/>
        <w:rPr>
          <w:rFonts w:ascii="Arial" w:hAnsi="Arial" w:cs="Arial"/>
          <w:sz w:val="20"/>
          <w:lang w:eastAsia="en-IN"/>
        </w:rPr>
      </w:pPr>
    </w:p>
    <w:tbl>
      <w:tblPr>
        <w:tblW w:w="4975" w:type="pct"/>
        <w:tblInd w:w="108" w:type="dxa"/>
        <w:tblLayout w:type="fixed"/>
        <w:tblCellMar>
          <w:left w:w="57" w:type="dxa"/>
          <w:right w:w="57" w:type="dxa"/>
        </w:tblCellMar>
        <w:tblLook w:val="04A0" w:firstRow="1" w:lastRow="0" w:firstColumn="1" w:lastColumn="0" w:noHBand="0" w:noVBand="1"/>
      </w:tblPr>
      <w:tblGrid>
        <w:gridCol w:w="2400"/>
        <w:gridCol w:w="1274"/>
        <w:gridCol w:w="1062"/>
        <w:gridCol w:w="1062"/>
        <w:gridCol w:w="1062"/>
        <w:gridCol w:w="1240"/>
        <w:gridCol w:w="1062"/>
        <w:gridCol w:w="922"/>
        <w:gridCol w:w="1210"/>
        <w:gridCol w:w="948"/>
        <w:gridCol w:w="948"/>
        <w:gridCol w:w="948"/>
        <w:gridCol w:w="1202"/>
        <w:gridCol w:w="1151"/>
        <w:gridCol w:w="1333"/>
        <w:gridCol w:w="986"/>
        <w:gridCol w:w="1193"/>
        <w:gridCol w:w="1155"/>
      </w:tblGrid>
      <w:tr w:rsidR="00130F3C" w:rsidRPr="00E70587" w14:paraId="4349B232" w14:textId="77777777" w:rsidTr="00130F3C">
        <w:trPr>
          <w:trHeight w:val="346"/>
          <w:tblHeader/>
        </w:trPr>
        <w:tc>
          <w:tcPr>
            <w:tcW w:w="567" w:type="pct"/>
            <w:tcBorders>
              <w:left w:val="nil"/>
              <w:bottom w:val="nil"/>
              <w:right w:val="single" w:sz="4" w:space="0" w:color="auto"/>
            </w:tcBorders>
            <w:shd w:val="clear" w:color="auto" w:fill="auto"/>
          </w:tcPr>
          <w:p w14:paraId="3A57690A" w14:textId="77777777" w:rsidR="00130F3C" w:rsidRPr="00E70587" w:rsidRDefault="00130F3C" w:rsidP="00DA72DB">
            <w:pPr>
              <w:spacing w:before="40" w:after="40"/>
              <w:jc w:val="center"/>
              <w:rPr>
                <w:rFonts w:ascii="Arial" w:hAnsi="Arial" w:cs="Arial"/>
                <w:b/>
                <w:bCs/>
                <w:sz w:val="20"/>
                <w:lang w:eastAsia="en-IN"/>
              </w:rPr>
            </w:pPr>
          </w:p>
        </w:tc>
        <w:tc>
          <w:tcPr>
            <w:tcW w:w="3878"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46656F09" w14:textId="422842FE" w:rsidR="00130F3C" w:rsidRPr="00E70587" w:rsidRDefault="00130F3C" w:rsidP="00DA72DB">
            <w:pPr>
              <w:spacing w:before="40" w:after="40"/>
              <w:jc w:val="center"/>
              <w:rPr>
                <w:rFonts w:ascii="Arial" w:hAnsi="Arial" w:cs="Arial"/>
                <w:b/>
                <w:bCs/>
                <w:sz w:val="20"/>
                <w:lang w:eastAsia="en-IN"/>
              </w:rPr>
            </w:pPr>
            <w:r w:rsidRPr="00E70587">
              <w:rPr>
                <w:rFonts w:ascii="Arial" w:hAnsi="Arial" w:cs="Arial"/>
                <w:b/>
                <w:bCs/>
                <w:sz w:val="20"/>
                <w:lang w:eastAsia="en-IN"/>
              </w:rPr>
              <w:t>Attributable to the equity holders of the parent</w:t>
            </w:r>
          </w:p>
        </w:tc>
        <w:tc>
          <w:tcPr>
            <w:tcW w:w="282" w:type="pct"/>
            <w:vMerge w:val="restart"/>
            <w:tcBorders>
              <w:top w:val="single" w:sz="4" w:space="0" w:color="auto"/>
              <w:left w:val="single" w:sz="4" w:space="0" w:color="auto"/>
              <w:right w:val="single" w:sz="4" w:space="0" w:color="auto"/>
            </w:tcBorders>
            <w:shd w:val="clear" w:color="auto" w:fill="auto"/>
            <w:noWrap/>
          </w:tcPr>
          <w:p w14:paraId="3C619445" w14:textId="77777777" w:rsidR="00130F3C" w:rsidRPr="00E70587" w:rsidRDefault="00130F3C" w:rsidP="0068612D">
            <w:pPr>
              <w:spacing w:before="40" w:after="40"/>
              <w:jc w:val="center"/>
              <w:rPr>
                <w:rFonts w:ascii="Arial" w:hAnsi="Arial" w:cs="Arial"/>
                <w:b/>
                <w:bCs/>
                <w:sz w:val="20"/>
                <w:lang w:eastAsia="en-IN"/>
              </w:rPr>
            </w:pPr>
            <w:r w:rsidRPr="00E70587">
              <w:rPr>
                <w:rFonts w:ascii="Arial" w:hAnsi="Arial" w:cs="Arial"/>
                <w:b/>
                <w:bCs/>
                <w:sz w:val="20"/>
                <w:lang w:eastAsia="en-IN"/>
              </w:rPr>
              <w:t>Non-controlling interests</w:t>
            </w:r>
          </w:p>
        </w:tc>
        <w:tc>
          <w:tcPr>
            <w:tcW w:w="273" w:type="pct"/>
            <w:vMerge w:val="restart"/>
            <w:tcBorders>
              <w:top w:val="single" w:sz="4" w:space="0" w:color="auto"/>
              <w:left w:val="single" w:sz="4" w:space="0" w:color="auto"/>
              <w:right w:val="single" w:sz="4" w:space="0" w:color="auto"/>
            </w:tcBorders>
          </w:tcPr>
          <w:p w14:paraId="0681F968" w14:textId="77777777" w:rsidR="00130F3C" w:rsidRPr="00E70587" w:rsidRDefault="00130F3C" w:rsidP="0068612D">
            <w:pPr>
              <w:spacing w:before="40" w:after="40"/>
              <w:jc w:val="center"/>
              <w:rPr>
                <w:rFonts w:ascii="Arial" w:hAnsi="Arial" w:cs="Arial"/>
                <w:b/>
                <w:bCs/>
                <w:sz w:val="20"/>
                <w:lang w:eastAsia="en-IN"/>
              </w:rPr>
            </w:pPr>
            <w:r w:rsidRPr="00E70587">
              <w:rPr>
                <w:rFonts w:ascii="Arial" w:hAnsi="Arial" w:cs="Arial"/>
                <w:b/>
                <w:bCs/>
                <w:sz w:val="20"/>
                <w:lang w:eastAsia="en-IN"/>
              </w:rPr>
              <w:t>Total equity</w:t>
            </w:r>
          </w:p>
        </w:tc>
      </w:tr>
      <w:tr w:rsidR="00130F3C" w:rsidRPr="00E70587" w14:paraId="5809AF30" w14:textId="77777777" w:rsidTr="00130F3C">
        <w:trPr>
          <w:trHeight w:val="223"/>
          <w:tblHeader/>
        </w:trPr>
        <w:tc>
          <w:tcPr>
            <w:tcW w:w="567" w:type="pct"/>
            <w:tcBorders>
              <w:top w:val="nil"/>
              <w:left w:val="nil"/>
              <w:bottom w:val="nil"/>
              <w:right w:val="single" w:sz="4" w:space="0" w:color="auto"/>
            </w:tcBorders>
            <w:shd w:val="clear" w:color="auto" w:fill="auto"/>
            <w:noWrap/>
            <w:vAlign w:val="center"/>
          </w:tcPr>
          <w:p w14:paraId="7D45F077" w14:textId="77777777" w:rsidR="00130F3C" w:rsidRPr="00E70587" w:rsidRDefault="00130F3C" w:rsidP="00DA72DB">
            <w:pPr>
              <w:spacing w:before="40" w:after="40"/>
              <w:jc w:val="center"/>
              <w:rPr>
                <w:rFonts w:ascii="Arial" w:hAnsi="Arial" w:cs="Arial"/>
                <w:b/>
                <w:bCs/>
                <w:sz w:val="20"/>
                <w:lang w:eastAsia="en-IN"/>
              </w:rPr>
            </w:pPr>
          </w:p>
        </w:tc>
        <w:tc>
          <w:tcPr>
            <w:tcW w:w="301" w:type="pct"/>
            <w:tcBorders>
              <w:left w:val="single" w:sz="4" w:space="0" w:color="auto"/>
              <w:bottom w:val="single" w:sz="4" w:space="0" w:color="auto"/>
              <w:right w:val="single" w:sz="4" w:space="0" w:color="auto"/>
            </w:tcBorders>
            <w:shd w:val="clear" w:color="auto" w:fill="auto"/>
            <w:noWrap/>
            <w:vAlign w:val="center"/>
          </w:tcPr>
          <w:p w14:paraId="7F27104B" w14:textId="77777777" w:rsidR="00130F3C" w:rsidRPr="00E70587" w:rsidRDefault="00130F3C" w:rsidP="0068612D">
            <w:pPr>
              <w:pBdr>
                <w:right w:val="single" w:sz="4" w:space="4" w:color="auto"/>
              </w:pBdr>
              <w:spacing w:before="20" w:after="20"/>
              <w:jc w:val="center"/>
              <w:rPr>
                <w:rFonts w:ascii="Arial" w:hAnsi="Arial" w:cs="Arial"/>
                <w:b/>
                <w:bCs/>
                <w:sz w:val="20"/>
                <w:lang w:eastAsia="en-IN"/>
              </w:rPr>
            </w:pPr>
            <w:r w:rsidRPr="00E70587">
              <w:rPr>
                <w:rFonts w:ascii="Arial" w:hAnsi="Arial" w:cs="Arial"/>
                <w:b/>
                <w:bCs/>
                <w:sz w:val="20"/>
                <w:lang w:eastAsia="en-IN"/>
              </w:rPr>
              <w:t>Equity Component of convertible preference shares</w:t>
            </w:r>
          </w:p>
          <w:p w14:paraId="18A9123F" w14:textId="77777777" w:rsidR="00130F3C" w:rsidRPr="00E70587" w:rsidRDefault="00130F3C" w:rsidP="0068612D">
            <w:pPr>
              <w:spacing w:before="20" w:after="20"/>
              <w:jc w:val="center"/>
              <w:rPr>
                <w:rFonts w:ascii="Arial" w:hAnsi="Arial" w:cs="Arial"/>
                <w:b/>
                <w:bCs/>
                <w:sz w:val="20"/>
                <w:lang w:eastAsia="en-IN"/>
              </w:rPr>
            </w:pPr>
            <w:r w:rsidRPr="00E70587">
              <w:rPr>
                <w:rFonts w:ascii="Arial" w:hAnsi="Arial" w:cs="Arial"/>
                <w:b/>
                <w:bCs/>
                <w:sz w:val="20"/>
                <w:lang w:eastAsia="en-IN"/>
              </w:rPr>
              <w:t>(Note 11)</w:t>
            </w:r>
          </w:p>
        </w:tc>
        <w:tc>
          <w:tcPr>
            <w:tcW w:w="251" w:type="pct"/>
            <w:tcBorders>
              <w:top w:val="single" w:sz="4" w:space="0" w:color="auto"/>
              <w:left w:val="single" w:sz="4" w:space="0" w:color="auto"/>
              <w:bottom w:val="single" w:sz="4" w:space="0" w:color="auto"/>
            </w:tcBorders>
            <w:shd w:val="clear" w:color="auto" w:fill="auto"/>
            <w:noWrap/>
            <w:vAlign w:val="center"/>
          </w:tcPr>
          <w:p w14:paraId="292DBE40" w14:textId="0B8359FE" w:rsidR="00130F3C" w:rsidRPr="00E70587" w:rsidRDefault="00130F3C" w:rsidP="00DA72DB">
            <w:pPr>
              <w:spacing w:before="20" w:after="20"/>
              <w:jc w:val="center"/>
              <w:rPr>
                <w:rFonts w:ascii="Arial" w:hAnsi="Arial" w:cs="Arial"/>
                <w:b/>
                <w:bCs/>
                <w:sz w:val="20"/>
                <w:lang w:eastAsia="en-IN"/>
              </w:rPr>
            </w:pPr>
            <w:r>
              <w:rPr>
                <w:rFonts w:ascii="Arial" w:hAnsi="Arial" w:cs="Arial"/>
                <w:b/>
                <w:bCs/>
                <w:sz w:val="20"/>
                <w:lang w:eastAsia="en-IN"/>
              </w:rPr>
              <w:t>Securities</w:t>
            </w:r>
            <w:r w:rsidRPr="00E70587">
              <w:rPr>
                <w:rFonts w:ascii="Arial" w:hAnsi="Arial" w:cs="Arial"/>
                <w:b/>
                <w:bCs/>
                <w:sz w:val="20"/>
                <w:lang w:eastAsia="en-IN"/>
              </w:rPr>
              <w:t xml:space="preserve"> premium (Note 12)</w:t>
            </w:r>
          </w:p>
        </w:tc>
        <w:tc>
          <w:tcPr>
            <w:tcW w:w="251" w:type="pct"/>
            <w:tcBorders>
              <w:top w:val="single" w:sz="4" w:space="0" w:color="auto"/>
              <w:bottom w:val="single" w:sz="4" w:space="0" w:color="auto"/>
            </w:tcBorders>
            <w:shd w:val="clear" w:color="auto" w:fill="auto"/>
            <w:noWrap/>
            <w:vAlign w:val="center"/>
          </w:tcPr>
          <w:p w14:paraId="5AE85C0A" w14:textId="77777777" w:rsidR="00130F3C" w:rsidRPr="00E70587" w:rsidRDefault="00130F3C" w:rsidP="00DA72DB">
            <w:pPr>
              <w:spacing w:before="20" w:after="20"/>
              <w:jc w:val="center"/>
              <w:rPr>
                <w:rFonts w:ascii="Arial" w:hAnsi="Arial" w:cs="Arial"/>
                <w:b/>
                <w:bCs/>
                <w:sz w:val="20"/>
                <w:lang w:eastAsia="en-IN"/>
              </w:rPr>
            </w:pPr>
            <w:r w:rsidRPr="00E70587">
              <w:rPr>
                <w:rFonts w:ascii="Arial" w:hAnsi="Arial" w:cs="Arial"/>
                <w:b/>
                <w:bCs/>
                <w:sz w:val="20"/>
                <w:lang w:eastAsia="en-IN"/>
              </w:rPr>
              <w:t>Treasury shares (Note 12)</w:t>
            </w:r>
          </w:p>
        </w:tc>
        <w:tc>
          <w:tcPr>
            <w:tcW w:w="251" w:type="pct"/>
            <w:tcBorders>
              <w:top w:val="single" w:sz="4" w:space="0" w:color="auto"/>
              <w:bottom w:val="single" w:sz="4" w:space="0" w:color="auto"/>
            </w:tcBorders>
            <w:shd w:val="clear" w:color="auto" w:fill="auto"/>
            <w:noWrap/>
            <w:vAlign w:val="center"/>
          </w:tcPr>
          <w:p w14:paraId="1F1FCDB7" w14:textId="77777777" w:rsidR="00130F3C" w:rsidRPr="00E70587" w:rsidRDefault="00130F3C" w:rsidP="00DA72DB">
            <w:pPr>
              <w:spacing w:before="20" w:after="20"/>
              <w:jc w:val="center"/>
              <w:rPr>
                <w:rFonts w:ascii="Arial" w:hAnsi="Arial" w:cs="Arial"/>
                <w:b/>
                <w:bCs/>
                <w:sz w:val="20"/>
                <w:lang w:eastAsia="en-IN"/>
              </w:rPr>
            </w:pPr>
            <w:r w:rsidRPr="00E70587">
              <w:rPr>
                <w:rFonts w:ascii="Arial" w:hAnsi="Arial" w:cs="Arial"/>
                <w:b/>
                <w:bCs/>
                <w:sz w:val="20"/>
                <w:lang w:eastAsia="en-IN"/>
              </w:rPr>
              <w:t>SBP reserves (Note 12)</w:t>
            </w:r>
          </w:p>
        </w:tc>
        <w:tc>
          <w:tcPr>
            <w:tcW w:w="293" w:type="pct"/>
            <w:tcBorders>
              <w:top w:val="single" w:sz="4" w:space="0" w:color="auto"/>
              <w:bottom w:val="single" w:sz="4" w:space="0" w:color="auto"/>
            </w:tcBorders>
            <w:vAlign w:val="center"/>
          </w:tcPr>
          <w:p w14:paraId="2223B668" w14:textId="77777777" w:rsidR="00130F3C" w:rsidRPr="00E70587" w:rsidRDefault="00130F3C" w:rsidP="00DA72DB">
            <w:pPr>
              <w:spacing w:before="20" w:after="20"/>
              <w:jc w:val="center"/>
              <w:rPr>
                <w:rFonts w:ascii="Arial" w:hAnsi="Arial" w:cs="Arial"/>
                <w:b/>
                <w:bCs/>
                <w:sz w:val="20"/>
                <w:lang w:eastAsia="en-IN"/>
              </w:rPr>
            </w:pPr>
            <w:r w:rsidRPr="00E70587">
              <w:rPr>
                <w:rFonts w:ascii="Arial" w:hAnsi="Arial" w:cs="Arial"/>
                <w:b/>
                <w:bCs/>
                <w:sz w:val="20"/>
                <w:lang w:eastAsia="en-IN"/>
              </w:rPr>
              <w:t>Debenture redemption reserve</w:t>
            </w:r>
          </w:p>
          <w:p w14:paraId="4F196DDA" w14:textId="77777777" w:rsidR="00130F3C" w:rsidRPr="00E70587" w:rsidRDefault="00130F3C" w:rsidP="00DA72DB">
            <w:pPr>
              <w:spacing w:before="20" w:after="20"/>
              <w:jc w:val="center"/>
              <w:rPr>
                <w:rFonts w:ascii="Arial" w:hAnsi="Arial" w:cs="Arial"/>
                <w:b/>
                <w:bCs/>
                <w:sz w:val="20"/>
                <w:lang w:eastAsia="en-IN"/>
              </w:rPr>
            </w:pPr>
            <w:r w:rsidRPr="00E70587">
              <w:rPr>
                <w:rFonts w:ascii="Arial" w:hAnsi="Arial" w:cs="Arial"/>
                <w:b/>
                <w:bCs/>
                <w:sz w:val="20"/>
                <w:lang w:eastAsia="en-IN"/>
              </w:rPr>
              <w:t>(Note 12)</w:t>
            </w:r>
          </w:p>
        </w:tc>
        <w:tc>
          <w:tcPr>
            <w:tcW w:w="251" w:type="pct"/>
            <w:tcBorders>
              <w:top w:val="single" w:sz="4" w:space="0" w:color="auto"/>
              <w:bottom w:val="single" w:sz="4" w:space="0" w:color="auto"/>
            </w:tcBorders>
          </w:tcPr>
          <w:p w14:paraId="2D05CE93" w14:textId="77777777" w:rsidR="00130F3C" w:rsidRDefault="00130F3C" w:rsidP="00DA72DB">
            <w:pPr>
              <w:spacing w:before="20" w:after="20"/>
              <w:jc w:val="center"/>
              <w:rPr>
                <w:rFonts w:ascii="Arial" w:hAnsi="Arial" w:cs="Arial"/>
                <w:b/>
                <w:bCs/>
                <w:sz w:val="20"/>
                <w:lang w:eastAsia="en-IN"/>
              </w:rPr>
            </w:pPr>
          </w:p>
          <w:p w14:paraId="256DC6CC" w14:textId="77777777" w:rsidR="00130F3C" w:rsidRDefault="00130F3C" w:rsidP="00DA72DB">
            <w:pPr>
              <w:spacing w:before="20" w:after="20"/>
              <w:jc w:val="center"/>
              <w:rPr>
                <w:rFonts w:ascii="Arial" w:hAnsi="Arial" w:cs="Arial"/>
                <w:b/>
                <w:bCs/>
                <w:sz w:val="20"/>
                <w:lang w:eastAsia="en-IN"/>
              </w:rPr>
            </w:pPr>
          </w:p>
          <w:p w14:paraId="0B1E25D4" w14:textId="77777777" w:rsidR="00130F3C" w:rsidRDefault="00130F3C" w:rsidP="00DA72DB">
            <w:pPr>
              <w:spacing w:before="20" w:after="20"/>
              <w:jc w:val="center"/>
              <w:rPr>
                <w:rFonts w:ascii="Arial" w:hAnsi="Arial" w:cs="Arial"/>
                <w:b/>
                <w:bCs/>
                <w:sz w:val="20"/>
                <w:lang w:eastAsia="en-IN"/>
              </w:rPr>
            </w:pPr>
          </w:p>
          <w:p w14:paraId="1D981545" w14:textId="7CE57DF5" w:rsidR="00130F3C" w:rsidRPr="00E70587" w:rsidRDefault="00130F3C" w:rsidP="00DA72DB">
            <w:pPr>
              <w:spacing w:before="20" w:after="20"/>
              <w:jc w:val="center"/>
              <w:rPr>
                <w:rFonts w:ascii="Arial" w:hAnsi="Arial" w:cs="Arial"/>
                <w:b/>
                <w:bCs/>
                <w:sz w:val="20"/>
                <w:lang w:eastAsia="en-IN"/>
              </w:rPr>
            </w:pPr>
            <w:r w:rsidRPr="00E70587">
              <w:rPr>
                <w:rFonts w:ascii="Arial" w:hAnsi="Arial" w:cs="Arial"/>
                <w:b/>
                <w:bCs/>
                <w:sz w:val="20"/>
                <w:lang w:eastAsia="en-IN"/>
              </w:rPr>
              <w:t>Capital reserve</w:t>
            </w:r>
          </w:p>
          <w:p w14:paraId="6E74C012" w14:textId="77777777" w:rsidR="00130F3C" w:rsidRPr="00E70587" w:rsidRDefault="00130F3C" w:rsidP="00DA72DB">
            <w:pPr>
              <w:spacing w:before="20" w:after="20"/>
              <w:jc w:val="center"/>
              <w:rPr>
                <w:rFonts w:ascii="Arial" w:hAnsi="Arial" w:cs="Arial"/>
                <w:b/>
                <w:bCs/>
                <w:sz w:val="20"/>
                <w:lang w:eastAsia="en-IN"/>
              </w:rPr>
            </w:pPr>
            <w:r w:rsidRPr="00E70587">
              <w:rPr>
                <w:rFonts w:ascii="Arial" w:hAnsi="Arial" w:cs="Arial"/>
                <w:b/>
                <w:bCs/>
                <w:sz w:val="20"/>
                <w:lang w:eastAsia="en-IN"/>
              </w:rPr>
              <w:t>(Note 12)</w:t>
            </w:r>
          </w:p>
        </w:tc>
        <w:tc>
          <w:tcPr>
            <w:tcW w:w="218" w:type="pct"/>
            <w:tcBorders>
              <w:top w:val="single" w:sz="4" w:space="0" w:color="auto"/>
              <w:bottom w:val="single" w:sz="4" w:space="0" w:color="auto"/>
              <w:right w:val="single" w:sz="4" w:space="0" w:color="auto"/>
            </w:tcBorders>
            <w:shd w:val="clear" w:color="auto" w:fill="auto"/>
            <w:noWrap/>
            <w:vAlign w:val="center"/>
          </w:tcPr>
          <w:p w14:paraId="0FF961BC" w14:textId="2786BF93" w:rsidR="00130F3C" w:rsidRPr="00E70587" w:rsidRDefault="00130F3C" w:rsidP="00DA72DB">
            <w:pPr>
              <w:spacing w:before="20" w:after="20"/>
              <w:jc w:val="center"/>
              <w:rPr>
                <w:rFonts w:ascii="Arial" w:hAnsi="Arial" w:cs="Arial"/>
                <w:b/>
                <w:bCs/>
                <w:sz w:val="20"/>
                <w:lang w:eastAsia="en-IN"/>
              </w:rPr>
            </w:pPr>
            <w:r w:rsidRPr="00E70587">
              <w:rPr>
                <w:rFonts w:ascii="Arial" w:hAnsi="Arial" w:cs="Arial"/>
                <w:b/>
                <w:bCs/>
                <w:sz w:val="20"/>
                <w:lang w:eastAsia="en-IN"/>
              </w:rPr>
              <w:t xml:space="preserve">Retained </w:t>
            </w:r>
            <w:r w:rsidR="00EF7D0C">
              <w:rPr>
                <w:rFonts w:ascii="Arial" w:hAnsi="Arial" w:cs="Arial"/>
                <w:b/>
                <w:bCs/>
                <w:sz w:val="20"/>
                <w:lang w:eastAsia="en-IN"/>
              </w:rPr>
              <w:t>earning</w:t>
            </w:r>
          </w:p>
        </w:tc>
        <w:tc>
          <w:tcPr>
            <w:tcW w:w="286" w:type="pct"/>
            <w:tcBorders>
              <w:top w:val="single" w:sz="4" w:space="0" w:color="auto"/>
              <w:left w:val="single" w:sz="4" w:space="0" w:color="auto"/>
              <w:bottom w:val="single" w:sz="4" w:space="0" w:color="auto"/>
            </w:tcBorders>
            <w:shd w:val="clear" w:color="auto" w:fill="auto"/>
            <w:noWrap/>
            <w:vAlign w:val="center"/>
          </w:tcPr>
          <w:p w14:paraId="6D27320D" w14:textId="257318AD" w:rsidR="00130F3C" w:rsidRPr="00E70587" w:rsidRDefault="00130F3C" w:rsidP="00DA72DB">
            <w:pPr>
              <w:spacing w:before="20" w:after="20"/>
              <w:jc w:val="center"/>
              <w:rPr>
                <w:rFonts w:ascii="Arial" w:hAnsi="Arial" w:cs="Arial"/>
                <w:b/>
                <w:bCs/>
                <w:sz w:val="20"/>
                <w:lang w:eastAsia="en-IN"/>
              </w:rPr>
            </w:pPr>
            <w:r>
              <w:rPr>
                <w:rFonts w:ascii="Arial" w:hAnsi="Arial" w:cs="Arial"/>
                <w:b/>
                <w:bCs/>
                <w:sz w:val="20"/>
                <w:lang w:eastAsia="en-IN"/>
              </w:rPr>
              <w:t>Effective portion of c</w:t>
            </w:r>
            <w:r w:rsidRPr="00E70587">
              <w:rPr>
                <w:rFonts w:ascii="Arial" w:hAnsi="Arial" w:cs="Arial"/>
                <w:b/>
                <w:bCs/>
                <w:sz w:val="20"/>
                <w:lang w:eastAsia="en-IN"/>
              </w:rPr>
              <w:t xml:space="preserve">ash flow hedge </w:t>
            </w:r>
          </w:p>
          <w:p w14:paraId="13B804E0" w14:textId="77777777" w:rsidR="00130F3C" w:rsidRPr="00E70587" w:rsidRDefault="00130F3C" w:rsidP="00DA72DB">
            <w:pPr>
              <w:spacing w:before="20" w:after="20"/>
              <w:jc w:val="center"/>
              <w:rPr>
                <w:rFonts w:ascii="Arial" w:hAnsi="Arial" w:cs="Arial"/>
                <w:b/>
                <w:bCs/>
                <w:sz w:val="20"/>
                <w:lang w:eastAsia="en-IN"/>
              </w:rPr>
            </w:pPr>
            <w:r w:rsidRPr="00E70587">
              <w:rPr>
                <w:rFonts w:ascii="Arial" w:hAnsi="Arial" w:cs="Arial"/>
                <w:b/>
                <w:bCs/>
                <w:sz w:val="20"/>
                <w:lang w:eastAsia="en-IN"/>
              </w:rPr>
              <w:t>(Note 12)</w:t>
            </w:r>
          </w:p>
        </w:tc>
        <w:tc>
          <w:tcPr>
            <w:tcW w:w="224" w:type="pct"/>
            <w:tcBorders>
              <w:top w:val="single" w:sz="4" w:space="0" w:color="auto"/>
              <w:bottom w:val="single" w:sz="4" w:space="0" w:color="auto"/>
            </w:tcBorders>
          </w:tcPr>
          <w:p w14:paraId="2BA4C180" w14:textId="77777777" w:rsidR="00130F3C" w:rsidRDefault="00130F3C" w:rsidP="008D64D5">
            <w:pPr>
              <w:spacing w:before="20" w:after="20"/>
              <w:jc w:val="center"/>
              <w:rPr>
                <w:rFonts w:ascii="Arial" w:hAnsi="Arial" w:cs="Arial"/>
                <w:b/>
                <w:bCs/>
                <w:sz w:val="20"/>
                <w:lang w:eastAsia="en-IN"/>
              </w:rPr>
            </w:pPr>
          </w:p>
          <w:p w14:paraId="65EF9C6B" w14:textId="77777777" w:rsidR="00130F3C" w:rsidRDefault="00130F3C" w:rsidP="008D64D5">
            <w:pPr>
              <w:spacing w:before="20" w:after="20"/>
              <w:jc w:val="center"/>
              <w:rPr>
                <w:rFonts w:ascii="Arial" w:hAnsi="Arial" w:cs="Arial"/>
                <w:b/>
                <w:bCs/>
                <w:sz w:val="20"/>
                <w:lang w:eastAsia="en-IN"/>
              </w:rPr>
            </w:pPr>
          </w:p>
          <w:p w14:paraId="023343DC" w14:textId="77777777" w:rsidR="00130F3C" w:rsidRDefault="00130F3C" w:rsidP="008D64D5">
            <w:pPr>
              <w:spacing w:before="20" w:after="20"/>
              <w:jc w:val="center"/>
              <w:rPr>
                <w:rFonts w:ascii="Arial" w:hAnsi="Arial" w:cs="Arial"/>
                <w:b/>
                <w:bCs/>
                <w:sz w:val="20"/>
                <w:lang w:eastAsia="en-IN"/>
              </w:rPr>
            </w:pPr>
          </w:p>
          <w:p w14:paraId="5537875C" w14:textId="77777777" w:rsidR="00130F3C" w:rsidRDefault="00130F3C" w:rsidP="008D64D5">
            <w:pPr>
              <w:spacing w:before="20" w:after="20"/>
              <w:jc w:val="center"/>
              <w:rPr>
                <w:rFonts w:ascii="Arial" w:hAnsi="Arial" w:cs="Arial"/>
                <w:b/>
                <w:bCs/>
                <w:sz w:val="20"/>
                <w:lang w:eastAsia="en-IN"/>
              </w:rPr>
            </w:pPr>
            <w:r w:rsidRPr="00130F3C">
              <w:rPr>
                <w:rFonts w:ascii="Arial" w:hAnsi="Arial" w:cs="Arial"/>
                <w:b/>
                <w:bCs/>
                <w:sz w:val="20"/>
                <w:lang w:eastAsia="en-IN"/>
              </w:rPr>
              <w:t>Cost of cash flow hedges</w:t>
            </w:r>
          </w:p>
          <w:p w14:paraId="3D6C474A" w14:textId="4E50B621" w:rsidR="00145BEB" w:rsidRPr="008D64D5" w:rsidRDefault="00145BEB" w:rsidP="008D64D5">
            <w:pPr>
              <w:spacing w:before="20" w:after="20"/>
              <w:jc w:val="center"/>
              <w:rPr>
                <w:rFonts w:ascii="Arial" w:hAnsi="Arial" w:cs="Arial"/>
                <w:b/>
                <w:bCs/>
                <w:sz w:val="20"/>
                <w:lang w:eastAsia="en-IN"/>
              </w:rPr>
            </w:pPr>
            <w:r w:rsidRPr="00E70587">
              <w:rPr>
                <w:rFonts w:ascii="Arial" w:hAnsi="Arial" w:cs="Arial"/>
                <w:b/>
                <w:bCs/>
                <w:sz w:val="20"/>
                <w:lang w:eastAsia="en-IN"/>
              </w:rPr>
              <w:t>(Note 12)</w:t>
            </w:r>
          </w:p>
        </w:tc>
        <w:tc>
          <w:tcPr>
            <w:tcW w:w="224" w:type="pct"/>
            <w:tcBorders>
              <w:top w:val="single" w:sz="4" w:space="0" w:color="auto"/>
              <w:bottom w:val="single" w:sz="4" w:space="0" w:color="auto"/>
            </w:tcBorders>
          </w:tcPr>
          <w:p w14:paraId="704ABFA0" w14:textId="2E458E2E" w:rsidR="00130F3C" w:rsidRPr="008D64D5" w:rsidRDefault="00130F3C" w:rsidP="008D64D5">
            <w:pPr>
              <w:spacing w:before="20" w:after="20"/>
              <w:jc w:val="center"/>
              <w:rPr>
                <w:rFonts w:ascii="Arial" w:hAnsi="Arial" w:cs="Arial"/>
                <w:b/>
                <w:bCs/>
                <w:sz w:val="20"/>
                <w:lang w:eastAsia="en-IN"/>
              </w:rPr>
            </w:pPr>
            <w:r w:rsidRPr="008D64D5">
              <w:rPr>
                <w:rFonts w:ascii="Arial" w:hAnsi="Arial" w:cs="Arial"/>
                <w:b/>
                <w:bCs/>
                <w:sz w:val="20"/>
                <w:lang w:eastAsia="en-IN"/>
              </w:rPr>
              <w:t xml:space="preserve">Equity </w:t>
            </w:r>
          </w:p>
          <w:p w14:paraId="7EA64AF7" w14:textId="77777777" w:rsidR="00130F3C" w:rsidRPr="008D64D5" w:rsidRDefault="00130F3C" w:rsidP="008D64D5">
            <w:pPr>
              <w:spacing w:before="20" w:after="20"/>
              <w:jc w:val="center"/>
              <w:rPr>
                <w:rFonts w:ascii="Arial" w:hAnsi="Arial" w:cs="Arial"/>
                <w:b/>
                <w:bCs/>
                <w:sz w:val="20"/>
                <w:lang w:eastAsia="en-IN"/>
              </w:rPr>
            </w:pPr>
            <w:r w:rsidRPr="008D64D5">
              <w:rPr>
                <w:rFonts w:ascii="Arial" w:hAnsi="Arial" w:cs="Arial"/>
                <w:b/>
                <w:bCs/>
                <w:sz w:val="20"/>
                <w:lang w:eastAsia="en-IN"/>
              </w:rPr>
              <w:t xml:space="preserve">instruments </w:t>
            </w:r>
          </w:p>
          <w:p w14:paraId="4C96F106" w14:textId="77777777" w:rsidR="00130F3C" w:rsidRPr="008D64D5" w:rsidRDefault="00130F3C" w:rsidP="008D64D5">
            <w:pPr>
              <w:spacing w:before="20" w:after="20"/>
              <w:jc w:val="center"/>
              <w:rPr>
                <w:rFonts w:ascii="Arial" w:hAnsi="Arial" w:cs="Arial"/>
                <w:b/>
                <w:bCs/>
                <w:sz w:val="20"/>
                <w:lang w:eastAsia="en-IN"/>
              </w:rPr>
            </w:pPr>
            <w:r w:rsidRPr="008D64D5">
              <w:rPr>
                <w:rFonts w:ascii="Arial" w:hAnsi="Arial" w:cs="Arial"/>
                <w:b/>
                <w:bCs/>
                <w:sz w:val="20"/>
                <w:lang w:eastAsia="en-IN"/>
              </w:rPr>
              <w:t xml:space="preserve">through </w:t>
            </w:r>
          </w:p>
          <w:p w14:paraId="55A9406E" w14:textId="77777777" w:rsidR="00130F3C" w:rsidRPr="008D64D5" w:rsidRDefault="00130F3C" w:rsidP="008D64D5">
            <w:pPr>
              <w:spacing w:before="20" w:after="20"/>
              <w:jc w:val="center"/>
              <w:rPr>
                <w:rFonts w:ascii="Arial" w:hAnsi="Arial" w:cs="Arial"/>
                <w:b/>
                <w:bCs/>
                <w:sz w:val="20"/>
                <w:lang w:eastAsia="en-IN"/>
              </w:rPr>
            </w:pPr>
            <w:r w:rsidRPr="008D64D5">
              <w:rPr>
                <w:rFonts w:ascii="Arial" w:hAnsi="Arial" w:cs="Arial"/>
                <w:b/>
                <w:bCs/>
                <w:sz w:val="20"/>
                <w:lang w:eastAsia="en-IN"/>
              </w:rPr>
              <w:t xml:space="preserve">Other </w:t>
            </w:r>
          </w:p>
          <w:p w14:paraId="3F1CE999" w14:textId="77777777" w:rsidR="00130F3C" w:rsidRDefault="00130F3C" w:rsidP="008D64D5">
            <w:pPr>
              <w:spacing w:before="20" w:after="20"/>
              <w:jc w:val="center"/>
              <w:rPr>
                <w:rFonts w:ascii="Arial" w:hAnsi="Arial" w:cs="Arial"/>
                <w:b/>
                <w:bCs/>
                <w:sz w:val="20"/>
                <w:lang w:eastAsia="en-IN"/>
              </w:rPr>
            </w:pPr>
            <w:r w:rsidRPr="008D64D5">
              <w:rPr>
                <w:rFonts w:ascii="Arial" w:hAnsi="Arial" w:cs="Arial"/>
                <w:b/>
                <w:bCs/>
                <w:sz w:val="20"/>
                <w:lang w:eastAsia="en-IN"/>
              </w:rPr>
              <w:t>Comprehensive Income</w:t>
            </w:r>
          </w:p>
          <w:p w14:paraId="18BB8117" w14:textId="49357088" w:rsidR="00130F3C" w:rsidRPr="00E70587" w:rsidRDefault="00130F3C" w:rsidP="008D64D5">
            <w:pPr>
              <w:spacing w:before="20" w:after="20"/>
              <w:jc w:val="center"/>
              <w:rPr>
                <w:rFonts w:ascii="Arial" w:hAnsi="Arial" w:cs="Arial"/>
                <w:b/>
                <w:bCs/>
                <w:sz w:val="20"/>
                <w:lang w:eastAsia="en-IN"/>
              </w:rPr>
            </w:pPr>
            <w:r w:rsidRPr="00E70587">
              <w:rPr>
                <w:rFonts w:ascii="Arial" w:hAnsi="Arial" w:cs="Arial"/>
                <w:b/>
                <w:bCs/>
                <w:sz w:val="20"/>
                <w:lang w:eastAsia="en-IN"/>
              </w:rPr>
              <w:t>(Note 12)</w:t>
            </w:r>
          </w:p>
        </w:tc>
        <w:tc>
          <w:tcPr>
            <w:tcW w:w="224" w:type="pct"/>
            <w:tcBorders>
              <w:top w:val="single" w:sz="4" w:space="0" w:color="auto"/>
              <w:bottom w:val="single" w:sz="4" w:space="0" w:color="auto"/>
            </w:tcBorders>
            <w:shd w:val="clear" w:color="auto" w:fill="auto"/>
            <w:noWrap/>
            <w:vAlign w:val="center"/>
          </w:tcPr>
          <w:p w14:paraId="28749610" w14:textId="77777777" w:rsidR="00130F3C" w:rsidRPr="00706934" w:rsidRDefault="00130F3C" w:rsidP="004B5CAA">
            <w:pPr>
              <w:spacing w:before="40" w:after="40"/>
              <w:jc w:val="center"/>
              <w:rPr>
                <w:rFonts w:ascii="Arial" w:hAnsi="Arial" w:cs="Arial"/>
                <w:b/>
                <w:bCs/>
                <w:sz w:val="20"/>
                <w:lang w:eastAsia="en-IN"/>
              </w:rPr>
            </w:pPr>
            <w:r w:rsidRPr="00706934">
              <w:rPr>
                <w:rFonts w:ascii="Arial" w:hAnsi="Arial" w:cs="Arial"/>
                <w:b/>
                <w:bCs/>
                <w:sz w:val="20"/>
                <w:lang w:eastAsia="en-IN"/>
              </w:rPr>
              <w:t xml:space="preserve">Debt </w:t>
            </w:r>
          </w:p>
          <w:p w14:paraId="1BADA048" w14:textId="77777777" w:rsidR="00130F3C" w:rsidRPr="00706934" w:rsidRDefault="00130F3C" w:rsidP="004B5CAA">
            <w:pPr>
              <w:spacing w:before="40" w:after="40"/>
              <w:jc w:val="center"/>
              <w:rPr>
                <w:rFonts w:ascii="Arial" w:hAnsi="Arial" w:cs="Arial"/>
                <w:b/>
                <w:bCs/>
                <w:sz w:val="20"/>
                <w:lang w:eastAsia="en-IN"/>
              </w:rPr>
            </w:pPr>
            <w:r w:rsidRPr="00706934">
              <w:rPr>
                <w:rFonts w:ascii="Arial" w:hAnsi="Arial" w:cs="Arial"/>
                <w:b/>
                <w:bCs/>
                <w:sz w:val="20"/>
                <w:lang w:eastAsia="en-IN"/>
              </w:rPr>
              <w:t xml:space="preserve">instruments </w:t>
            </w:r>
          </w:p>
          <w:p w14:paraId="6EEAB408" w14:textId="77777777" w:rsidR="00130F3C" w:rsidRPr="00706934" w:rsidRDefault="00130F3C" w:rsidP="004B5CAA">
            <w:pPr>
              <w:spacing w:before="40" w:after="40"/>
              <w:jc w:val="center"/>
              <w:rPr>
                <w:rFonts w:ascii="Arial" w:hAnsi="Arial" w:cs="Arial"/>
                <w:b/>
                <w:bCs/>
                <w:sz w:val="20"/>
                <w:lang w:eastAsia="en-IN"/>
              </w:rPr>
            </w:pPr>
            <w:r w:rsidRPr="00706934">
              <w:rPr>
                <w:rFonts w:ascii="Arial" w:hAnsi="Arial" w:cs="Arial"/>
                <w:b/>
                <w:bCs/>
                <w:sz w:val="20"/>
                <w:lang w:eastAsia="en-IN"/>
              </w:rPr>
              <w:t xml:space="preserve">through </w:t>
            </w:r>
          </w:p>
          <w:p w14:paraId="3D099ADB" w14:textId="77777777" w:rsidR="00130F3C" w:rsidRPr="00706934" w:rsidRDefault="00130F3C" w:rsidP="004B5CAA">
            <w:pPr>
              <w:spacing w:before="40" w:after="40"/>
              <w:jc w:val="center"/>
              <w:rPr>
                <w:rFonts w:ascii="Arial" w:hAnsi="Arial" w:cs="Arial"/>
                <w:b/>
                <w:bCs/>
                <w:sz w:val="20"/>
                <w:lang w:eastAsia="en-IN"/>
              </w:rPr>
            </w:pPr>
            <w:r w:rsidRPr="00706934">
              <w:rPr>
                <w:rFonts w:ascii="Arial" w:hAnsi="Arial" w:cs="Arial"/>
                <w:b/>
                <w:bCs/>
                <w:sz w:val="20"/>
                <w:lang w:eastAsia="en-IN"/>
              </w:rPr>
              <w:t xml:space="preserve">Other </w:t>
            </w:r>
          </w:p>
          <w:p w14:paraId="2E4C34CC" w14:textId="18D00EB6" w:rsidR="00130F3C" w:rsidRPr="00E70587" w:rsidRDefault="00130F3C" w:rsidP="00DA72DB">
            <w:pPr>
              <w:spacing w:before="20" w:after="20"/>
              <w:jc w:val="center"/>
              <w:rPr>
                <w:rFonts w:ascii="Arial" w:hAnsi="Arial" w:cs="Arial"/>
                <w:b/>
                <w:bCs/>
                <w:sz w:val="20"/>
                <w:lang w:eastAsia="en-IN"/>
              </w:rPr>
            </w:pPr>
            <w:r w:rsidRPr="00706934">
              <w:rPr>
                <w:rFonts w:ascii="Arial" w:hAnsi="Arial" w:cs="Arial"/>
                <w:b/>
                <w:bCs/>
                <w:sz w:val="20"/>
                <w:lang w:eastAsia="en-IN"/>
              </w:rPr>
              <w:t>Comprehensive Income</w:t>
            </w:r>
            <w:r w:rsidRPr="00706934" w:rsidDel="00706934">
              <w:rPr>
                <w:rFonts w:ascii="Arial" w:hAnsi="Arial" w:cs="Arial"/>
                <w:b/>
                <w:bCs/>
                <w:sz w:val="20"/>
                <w:lang w:eastAsia="en-IN"/>
              </w:rPr>
              <w:t xml:space="preserve"> </w:t>
            </w:r>
            <w:r w:rsidRPr="00E70587">
              <w:rPr>
                <w:rFonts w:ascii="Arial" w:hAnsi="Arial" w:cs="Arial"/>
                <w:b/>
                <w:bCs/>
                <w:sz w:val="20"/>
                <w:lang w:eastAsia="en-IN"/>
              </w:rPr>
              <w:t>(Note 12)</w:t>
            </w:r>
          </w:p>
        </w:tc>
        <w:tc>
          <w:tcPr>
            <w:tcW w:w="284" w:type="pct"/>
            <w:tcBorders>
              <w:top w:val="single" w:sz="4" w:space="0" w:color="auto"/>
              <w:bottom w:val="single" w:sz="4" w:space="0" w:color="auto"/>
            </w:tcBorders>
            <w:shd w:val="clear" w:color="auto" w:fill="auto"/>
            <w:noWrap/>
            <w:vAlign w:val="center"/>
          </w:tcPr>
          <w:p w14:paraId="3C9236EC" w14:textId="48B7285C" w:rsidR="00130F3C" w:rsidRPr="00E70587" w:rsidRDefault="00130F3C" w:rsidP="00DA72DB">
            <w:pPr>
              <w:spacing w:before="20" w:after="20"/>
              <w:jc w:val="center"/>
              <w:rPr>
                <w:rFonts w:ascii="Arial" w:hAnsi="Arial" w:cs="Arial"/>
                <w:b/>
                <w:bCs/>
                <w:sz w:val="20"/>
                <w:lang w:eastAsia="en-IN"/>
              </w:rPr>
            </w:pPr>
            <w:r>
              <w:rPr>
                <w:rFonts w:ascii="Arial" w:hAnsi="Arial" w:cs="Arial"/>
                <w:b/>
                <w:bCs/>
                <w:sz w:val="20"/>
                <w:lang w:eastAsia="en-IN"/>
              </w:rPr>
              <w:t>Exchange differences on translating the financial statements of a f</w:t>
            </w:r>
            <w:r w:rsidRPr="00E70587">
              <w:rPr>
                <w:rFonts w:ascii="Arial" w:hAnsi="Arial" w:cs="Arial"/>
                <w:b/>
                <w:bCs/>
                <w:sz w:val="20"/>
                <w:lang w:eastAsia="en-IN"/>
              </w:rPr>
              <w:t xml:space="preserve">oreign </w:t>
            </w:r>
            <w:r>
              <w:rPr>
                <w:rFonts w:ascii="Arial" w:hAnsi="Arial" w:cs="Arial"/>
                <w:b/>
                <w:bCs/>
                <w:sz w:val="20"/>
                <w:lang w:eastAsia="en-IN"/>
              </w:rPr>
              <w:t>operation</w:t>
            </w:r>
          </w:p>
          <w:p w14:paraId="5051DA25" w14:textId="77777777" w:rsidR="00130F3C" w:rsidRPr="00E70587" w:rsidRDefault="00130F3C" w:rsidP="00DA72DB">
            <w:pPr>
              <w:spacing w:before="20" w:after="20"/>
              <w:jc w:val="center"/>
              <w:rPr>
                <w:rFonts w:ascii="Arial" w:hAnsi="Arial" w:cs="Arial"/>
                <w:b/>
                <w:bCs/>
                <w:sz w:val="20"/>
                <w:lang w:eastAsia="en-IN"/>
              </w:rPr>
            </w:pPr>
            <w:r w:rsidRPr="00E70587">
              <w:rPr>
                <w:rFonts w:ascii="Arial" w:hAnsi="Arial" w:cs="Arial"/>
                <w:b/>
                <w:bCs/>
                <w:sz w:val="20"/>
                <w:lang w:eastAsia="en-IN"/>
              </w:rPr>
              <w:t>(Note 12)</w:t>
            </w:r>
          </w:p>
        </w:tc>
        <w:tc>
          <w:tcPr>
            <w:tcW w:w="272" w:type="pct"/>
            <w:tcBorders>
              <w:top w:val="single" w:sz="4" w:space="0" w:color="auto"/>
              <w:bottom w:val="single" w:sz="4" w:space="0" w:color="auto"/>
              <w:right w:val="single" w:sz="4" w:space="0" w:color="auto"/>
            </w:tcBorders>
            <w:shd w:val="clear" w:color="auto" w:fill="auto"/>
            <w:noWrap/>
            <w:vAlign w:val="center"/>
          </w:tcPr>
          <w:p w14:paraId="6F2A922F" w14:textId="359424AB" w:rsidR="00130F3C" w:rsidRPr="00E70587" w:rsidRDefault="00130F3C" w:rsidP="00DA72DB">
            <w:pPr>
              <w:spacing w:before="20" w:after="20"/>
              <w:jc w:val="center"/>
              <w:rPr>
                <w:rFonts w:ascii="Arial" w:hAnsi="Arial" w:cs="Arial"/>
                <w:b/>
                <w:bCs/>
                <w:sz w:val="20"/>
                <w:lang w:eastAsia="en-IN"/>
              </w:rPr>
            </w:pPr>
            <w:r>
              <w:rPr>
                <w:rFonts w:ascii="Arial" w:hAnsi="Arial" w:cs="Arial"/>
                <w:b/>
                <w:bCs/>
                <w:sz w:val="20"/>
                <w:lang w:eastAsia="en-IN"/>
              </w:rPr>
              <w:t>R</w:t>
            </w:r>
            <w:r w:rsidRPr="00E70587">
              <w:rPr>
                <w:rFonts w:ascii="Arial" w:hAnsi="Arial" w:cs="Arial"/>
                <w:b/>
                <w:bCs/>
                <w:sz w:val="20"/>
                <w:lang w:eastAsia="en-IN"/>
              </w:rPr>
              <w:t>evaluation reserve</w:t>
            </w:r>
          </w:p>
          <w:p w14:paraId="4F36FF9F" w14:textId="77777777" w:rsidR="00130F3C" w:rsidRPr="00E70587" w:rsidRDefault="00130F3C" w:rsidP="00DA72DB">
            <w:pPr>
              <w:spacing w:before="20" w:after="20"/>
              <w:jc w:val="center"/>
              <w:rPr>
                <w:rFonts w:ascii="Arial" w:hAnsi="Arial" w:cs="Arial"/>
                <w:b/>
                <w:bCs/>
                <w:sz w:val="20"/>
                <w:lang w:eastAsia="en-IN"/>
              </w:rPr>
            </w:pPr>
            <w:r w:rsidRPr="00E70587">
              <w:rPr>
                <w:rFonts w:ascii="Arial" w:hAnsi="Arial" w:cs="Arial"/>
                <w:b/>
                <w:bCs/>
                <w:sz w:val="20"/>
                <w:lang w:eastAsia="en-IN"/>
              </w:rPr>
              <w:t>(Note 12)</w:t>
            </w:r>
          </w:p>
        </w:tc>
        <w:tc>
          <w:tcPr>
            <w:tcW w:w="315" w:type="pct"/>
            <w:tcBorders>
              <w:left w:val="single" w:sz="4" w:space="0" w:color="auto"/>
              <w:bottom w:val="single" w:sz="4" w:space="0" w:color="auto"/>
              <w:right w:val="single" w:sz="4" w:space="0" w:color="auto"/>
            </w:tcBorders>
            <w:shd w:val="clear" w:color="auto" w:fill="auto"/>
            <w:vAlign w:val="center"/>
          </w:tcPr>
          <w:p w14:paraId="0BF95BFE" w14:textId="77777777" w:rsidR="00130F3C" w:rsidRPr="00E70587" w:rsidRDefault="00130F3C" w:rsidP="0068612D">
            <w:pPr>
              <w:spacing w:before="40" w:after="40"/>
              <w:jc w:val="center"/>
              <w:rPr>
                <w:rFonts w:ascii="Arial" w:hAnsi="Arial" w:cs="Arial"/>
                <w:b/>
                <w:bCs/>
                <w:sz w:val="20"/>
                <w:lang w:eastAsia="en-IN"/>
              </w:rPr>
            </w:pPr>
            <w:r w:rsidRPr="00E70587">
              <w:rPr>
                <w:rFonts w:ascii="Arial" w:hAnsi="Arial" w:cs="Arial"/>
                <w:b/>
                <w:bCs/>
                <w:sz w:val="20"/>
                <w:lang w:eastAsia="en-IN"/>
              </w:rPr>
              <w:t>Discontinued operations</w:t>
            </w:r>
          </w:p>
          <w:p w14:paraId="784AE1F5" w14:textId="77777777" w:rsidR="00130F3C" w:rsidRPr="00E70587" w:rsidRDefault="00130F3C" w:rsidP="0068612D">
            <w:pPr>
              <w:spacing w:before="40" w:after="40"/>
              <w:jc w:val="center"/>
              <w:rPr>
                <w:rFonts w:ascii="Arial" w:hAnsi="Arial" w:cs="Arial"/>
                <w:b/>
                <w:bCs/>
                <w:sz w:val="20"/>
                <w:lang w:eastAsia="en-IN"/>
              </w:rPr>
            </w:pPr>
            <w:r w:rsidRPr="00E70587">
              <w:rPr>
                <w:rFonts w:ascii="Arial" w:hAnsi="Arial" w:cs="Arial"/>
                <w:b/>
                <w:bCs/>
                <w:sz w:val="20"/>
                <w:lang w:eastAsia="en-IN"/>
              </w:rPr>
              <w:t>(Note 21)</w:t>
            </w:r>
          </w:p>
        </w:tc>
        <w:tc>
          <w:tcPr>
            <w:tcW w:w="233" w:type="pct"/>
            <w:tcBorders>
              <w:left w:val="single" w:sz="4" w:space="0" w:color="auto"/>
              <w:bottom w:val="single" w:sz="4" w:space="0" w:color="auto"/>
              <w:right w:val="single" w:sz="4" w:space="0" w:color="auto"/>
            </w:tcBorders>
            <w:shd w:val="clear" w:color="auto" w:fill="auto"/>
            <w:noWrap/>
            <w:vAlign w:val="center"/>
          </w:tcPr>
          <w:p w14:paraId="6BCB672B" w14:textId="77777777" w:rsidR="00130F3C" w:rsidRPr="00E70587" w:rsidRDefault="00130F3C" w:rsidP="00DA72DB">
            <w:pPr>
              <w:spacing w:before="40" w:after="40"/>
              <w:jc w:val="center"/>
              <w:rPr>
                <w:rFonts w:ascii="Arial" w:hAnsi="Arial" w:cs="Arial"/>
                <w:b/>
                <w:bCs/>
                <w:sz w:val="20"/>
                <w:lang w:eastAsia="en-IN"/>
              </w:rPr>
            </w:pPr>
            <w:r w:rsidRPr="00E70587">
              <w:rPr>
                <w:rFonts w:ascii="Arial" w:hAnsi="Arial" w:cs="Arial"/>
                <w:b/>
                <w:bCs/>
                <w:sz w:val="20"/>
                <w:lang w:eastAsia="en-IN"/>
              </w:rPr>
              <w:t>Total</w:t>
            </w:r>
          </w:p>
        </w:tc>
        <w:tc>
          <w:tcPr>
            <w:tcW w:w="282" w:type="pct"/>
            <w:vMerge/>
            <w:tcBorders>
              <w:left w:val="single" w:sz="4" w:space="0" w:color="auto"/>
              <w:bottom w:val="single" w:sz="4" w:space="0" w:color="auto"/>
              <w:right w:val="single" w:sz="4" w:space="0" w:color="auto"/>
            </w:tcBorders>
            <w:shd w:val="clear" w:color="auto" w:fill="auto"/>
            <w:noWrap/>
            <w:vAlign w:val="center"/>
          </w:tcPr>
          <w:p w14:paraId="7541BD80" w14:textId="77777777" w:rsidR="00130F3C" w:rsidRPr="00E70587" w:rsidRDefault="00130F3C" w:rsidP="00DA72DB">
            <w:pPr>
              <w:spacing w:before="40" w:after="40"/>
              <w:jc w:val="center"/>
              <w:rPr>
                <w:rFonts w:ascii="Arial" w:hAnsi="Arial" w:cs="Arial"/>
                <w:b/>
                <w:bCs/>
                <w:sz w:val="20"/>
                <w:lang w:eastAsia="en-IN"/>
              </w:rPr>
            </w:pPr>
          </w:p>
        </w:tc>
        <w:tc>
          <w:tcPr>
            <w:tcW w:w="273" w:type="pct"/>
            <w:vMerge/>
            <w:tcBorders>
              <w:left w:val="single" w:sz="4" w:space="0" w:color="auto"/>
              <w:bottom w:val="single" w:sz="4" w:space="0" w:color="auto"/>
              <w:right w:val="single" w:sz="4" w:space="0" w:color="auto"/>
            </w:tcBorders>
          </w:tcPr>
          <w:p w14:paraId="760FD274" w14:textId="77777777" w:rsidR="00130F3C" w:rsidRPr="00E70587" w:rsidRDefault="00130F3C" w:rsidP="00DA72DB">
            <w:pPr>
              <w:spacing w:before="40" w:after="40"/>
              <w:jc w:val="center"/>
              <w:rPr>
                <w:rFonts w:ascii="Arial" w:hAnsi="Arial" w:cs="Arial"/>
                <w:b/>
                <w:bCs/>
                <w:sz w:val="20"/>
                <w:lang w:eastAsia="en-IN"/>
              </w:rPr>
            </w:pPr>
          </w:p>
        </w:tc>
      </w:tr>
      <w:tr w:rsidR="00130F3C" w:rsidRPr="00E70587" w14:paraId="56BFE9B4" w14:textId="77777777" w:rsidTr="00130F3C">
        <w:trPr>
          <w:trHeight w:val="223"/>
          <w:tblHeader/>
        </w:trPr>
        <w:tc>
          <w:tcPr>
            <w:tcW w:w="567" w:type="pct"/>
            <w:tcBorders>
              <w:top w:val="nil"/>
              <w:left w:val="nil"/>
              <w:bottom w:val="nil"/>
              <w:right w:val="nil"/>
            </w:tcBorders>
            <w:shd w:val="clear" w:color="auto" w:fill="auto"/>
            <w:noWrap/>
            <w:hideMark/>
          </w:tcPr>
          <w:p w14:paraId="0692B8CE" w14:textId="77777777" w:rsidR="00130F3C" w:rsidRPr="00E70587" w:rsidRDefault="00130F3C" w:rsidP="00DA72DB">
            <w:pPr>
              <w:spacing w:before="40" w:after="40"/>
              <w:rPr>
                <w:rFonts w:ascii="Arial" w:hAnsi="Arial" w:cs="Arial"/>
                <w:b/>
                <w:bCs/>
                <w:sz w:val="20"/>
                <w:lang w:eastAsia="en-IN"/>
              </w:rPr>
            </w:pPr>
            <w:r w:rsidRPr="00E70587">
              <w:rPr>
                <w:rFonts w:ascii="Arial" w:hAnsi="Arial" w:cs="Arial"/>
                <w:b/>
                <w:bCs/>
                <w:sz w:val="20"/>
                <w:lang w:eastAsia="en-IN"/>
              </w:rPr>
              <w:t xml:space="preserve"> </w:t>
            </w:r>
          </w:p>
        </w:tc>
        <w:tc>
          <w:tcPr>
            <w:tcW w:w="301" w:type="pct"/>
            <w:tcBorders>
              <w:top w:val="single" w:sz="4" w:space="0" w:color="auto"/>
              <w:left w:val="nil"/>
              <w:bottom w:val="single" w:sz="4" w:space="0" w:color="auto"/>
              <w:right w:val="nil"/>
            </w:tcBorders>
            <w:shd w:val="clear" w:color="auto" w:fill="auto"/>
            <w:noWrap/>
            <w:hideMark/>
          </w:tcPr>
          <w:p w14:paraId="45C86DAF" w14:textId="0F4F8665" w:rsidR="00130F3C" w:rsidRPr="00E70587" w:rsidRDefault="00130F3C" w:rsidP="00DA72DB">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251" w:type="pct"/>
            <w:tcBorders>
              <w:top w:val="single" w:sz="4" w:space="0" w:color="auto"/>
              <w:left w:val="nil"/>
              <w:bottom w:val="single" w:sz="4" w:space="0" w:color="auto"/>
              <w:right w:val="nil"/>
            </w:tcBorders>
            <w:shd w:val="clear" w:color="auto" w:fill="auto"/>
            <w:noWrap/>
            <w:hideMark/>
          </w:tcPr>
          <w:p w14:paraId="3524AAEA" w14:textId="78E39519" w:rsidR="00130F3C" w:rsidRPr="00E70587" w:rsidRDefault="00130F3C" w:rsidP="00DA72DB">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251" w:type="pct"/>
            <w:tcBorders>
              <w:top w:val="single" w:sz="4" w:space="0" w:color="auto"/>
              <w:left w:val="nil"/>
              <w:bottom w:val="single" w:sz="4" w:space="0" w:color="auto"/>
              <w:right w:val="nil"/>
            </w:tcBorders>
            <w:shd w:val="clear" w:color="auto" w:fill="auto"/>
            <w:noWrap/>
            <w:hideMark/>
          </w:tcPr>
          <w:p w14:paraId="5ABDB2C4" w14:textId="4DDBDA11" w:rsidR="00130F3C" w:rsidRPr="00E70587" w:rsidRDefault="00130F3C" w:rsidP="00DA72DB">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251" w:type="pct"/>
            <w:tcBorders>
              <w:top w:val="single" w:sz="4" w:space="0" w:color="auto"/>
              <w:left w:val="nil"/>
              <w:bottom w:val="single" w:sz="4" w:space="0" w:color="auto"/>
              <w:right w:val="nil"/>
            </w:tcBorders>
            <w:shd w:val="clear" w:color="auto" w:fill="auto"/>
            <w:noWrap/>
            <w:hideMark/>
          </w:tcPr>
          <w:p w14:paraId="3A7FE84A" w14:textId="06498CEE" w:rsidR="00130F3C" w:rsidRPr="00E70587" w:rsidRDefault="00130F3C" w:rsidP="00DA72DB">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293" w:type="pct"/>
            <w:tcBorders>
              <w:top w:val="single" w:sz="4" w:space="0" w:color="auto"/>
              <w:left w:val="nil"/>
              <w:bottom w:val="single" w:sz="4" w:space="0" w:color="auto"/>
              <w:right w:val="nil"/>
            </w:tcBorders>
          </w:tcPr>
          <w:p w14:paraId="57FF259D" w14:textId="4EB03644" w:rsidR="00130F3C" w:rsidRPr="00E70587" w:rsidRDefault="00130F3C" w:rsidP="00DA72DB">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251" w:type="pct"/>
            <w:tcBorders>
              <w:top w:val="single" w:sz="4" w:space="0" w:color="auto"/>
              <w:left w:val="nil"/>
              <w:bottom w:val="single" w:sz="4" w:space="0" w:color="auto"/>
              <w:right w:val="nil"/>
            </w:tcBorders>
            <w:shd w:val="clear" w:color="auto" w:fill="auto"/>
          </w:tcPr>
          <w:p w14:paraId="7252E3DB" w14:textId="591EA432" w:rsidR="00130F3C" w:rsidRPr="00E70587" w:rsidRDefault="00130F3C" w:rsidP="00DA72DB">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218" w:type="pct"/>
            <w:tcBorders>
              <w:top w:val="single" w:sz="4" w:space="0" w:color="auto"/>
              <w:left w:val="nil"/>
              <w:bottom w:val="single" w:sz="4" w:space="0" w:color="auto"/>
              <w:right w:val="nil"/>
            </w:tcBorders>
            <w:shd w:val="clear" w:color="auto" w:fill="auto"/>
            <w:noWrap/>
            <w:hideMark/>
          </w:tcPr>
          <w:p w14:paraId="70FC3102" w14:textId="078DF5AC" w:rsidR="00130F3C" w:rsidRPr="00E70587" w:rsidRDefault="00130F3C" w:rsidP="00DA72DB">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286" w:type="pct"/>
            <w:tcBorders>
              <w:top w:val="single" w:sz="4" w:space="0" w:color="auto"/>
              <w:left w:val="nil"/>
              <w:bottom w:val="single" w:sz="4" w:space="0" w:color="auto"/>
              <w:right w:val="nil"/>
            </w:tcBorders>
            <w:shd w:val="clear" w:color="auto" w:fill="auto"/>
            <w:noWrap/>
            <w:hideMark/>
          </w:tcPr>
          <w:p w14:paraId="15F0FBA9" w14:textId="6C16835A" w:rsidR="00130F3C" w:rsidRPr="00E70587" w:rsidRDefault="00130F3C" w:rsidP="00DA72DB">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224" w:type="pct"/>
            <w:tcBorders>
              <w:top w:val="single" w:sz="4" w:space="0" w:color="auto"/>
              <w:left w:val="nil"/>
              <w:bottom w:val="single" w:sz="4" w:space="0" w:color="auto"/>
              <w:right w:val="nil"/>
            </w:tcBorders>
          </w:tcPr>
          <w:p w14:paraId="21D2D1F0" w14:textId="6068EFFE" w:rsidR="00130F3C" w:rsidRPr="00E70587" w:rsidRDefault="00130F3C" w:rsidP="00130ADF">
            <w:pPr>
              <w:spacing w:before="40" w:after="40"/>
              <w:ind w:right="-9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224" w:type="pct"/>
            <w:tcBorders>
              <w:top w:val="single" w:sz="4" w:space="0" w:color="auto"/>
              <w:left w:val="nil"/>
              <w:bottom w:val="single" w:sz="4" w:space="0" w:color="auto"/>
              <w:right w:val="nil"/>
            </w:tcBorders>
          </w:tcPr>
          <w:p w14:paraId="6DFA972D" w14:textId="7DF7ADC8" w:rsidR="00130F3C" w:rsidRPr="00E70587" w:rsidRDefault="00130F3C" w:rsidP="00130ADF">
            <w:pPr>
              <w:spacing w:before="40" w:after="40"/>
              <w:ind w:right="-9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224" w:type="pct"/>
            <w:tcBorders>
              <w:top w:val="single" w:sz="4" w:space="0" w:color="auto"/>
              <w:left w:val="nil"/>
              <w:bottom w:val="single" w:sz="4" w:space="0" w:color="auto"/>
              <w:right w:val="nil"/>
            </w:tcBorders>
            <w:shd w:val="clear" w:color="auto" w:fill="auto"/>
            <w:noWrap/>
            <w:hideMark/>
          </w:tcPr>
          <w:p w14:paraId="58F34574" w14:textId="36B9F28E" w:rsidR="00130F3C" w:rsidRPr="00E70587" w:rsidRDefault="00130F3C" w:rsidP="00130ADF">
            <w:pPr>
              <w:spacing w:before="40" w:after="40"/>
              <w:ind w:right="-9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284" w:type="pct"/>
            <w:tcBorders>
              <w:top w:val="single" w:sz="4" w:space="0" w:color="auto"/>
              <w:left w:val="nil"/>
              <w:bottom w:val="single" w:sz="4" w:space="0" w:color="auto"/>
              <w:right w:val="nil"/>
            </w:tcBorders>
            <w:shd w:val="clear" w:color="auto" w:fill="auto"/>
            <w:noWrap/>
            <w:hideMark/>
          </w:tcPr>
          <w:p w14:paraId="07BC62CA" w14:textId="169B09EE" w:rsidR="00130F3C" w:rsidRPr="00E70587" w:rsidRDefault="00130F3C" w:rsidP="00DA72DB">
            <w:pPr>
              <w:spacing w:before="40" w:after="40"/>
              <w:jc w:val="center"/>
              <w:rPr>
                <w:rFonts w:ascii="Arial" w:hAnsi="Arial" w:cs="Arial"/>
                <w:b/>
                <w:bCs/>
                <w:sz w:val="20"/>
                <w:lang w:eastAsia="en-IN"/>
              </w:rPr>
            </w:pPr>
            <w:r w:rsidRPr="00E70587">
              <w:rPr>
                <w:rFonts w:ascii="Arial" w:hAnsi="Arial" w:cs="Arial"/>
                <w:b/>
                <w:bCs/>
                <w:sz w:val="20"/>
                <w:lang w:eastAsia="en-IN"/>
              </w:rPr>
              <w:t xml:space="preserve">INR </w:t>
            </w:r>
            <w:r>
              <w:rPr>
                <w:rFonts w:ascii="Arial" w:hAnsi="Arial" w:cs="Arial"/>
                <w:b/>
                <w:bCs/>
                <w:sz w:val="20"/>
                <w:lang w:eastAsia="en-IN"/>
              </w:rPr>
              <w:t>lacs</w:t>
            </w:r>
          </w:p>
        </w:tc>
        <w:tc>
          <w:tcPr>
            <w:tcW w:w="272" w:type="pct"/>
            <w:tcBorders>
              <w:top w:val="single" w:sz="4" w:space="0" w:color="auto"/>
              <w:left w:val="nil"/>
              <w:bottom w:val="single" w:sz="4" w:space="0" w:color="auto"/>
              <w:right w:val="nil"/>
            </w:tcBorders>
            <w:shd w:val="clear" w:color="auto" w:fill="auto"/>
            <w:noWrap/>
            <w:hideMark/>
          </w:tcPr>
          <w:p w14:paraId="61268538" w14:textId="54D8A8DB" w:rsidR="00130F3C" w:rsidRPr="00E70587" w:rsidRDefault="00130F3C" w:rsidP="00DA72DB">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315" w:type="pct"/>
            <w:tcBorders>
              <w:top w:val="single" w:sz="4" w:space="0" w:color="auto"/>
              <w:left w:val="nil"/>
              <w:bottom w:val="single" w:sz="4" w:space="0" w:color="auto"/>
              <w:right w:val="nil"/>
            </w:tcBorders>
            <w:shd w:val="clear" w:color="auto" w:fill="auto"/>
            <w:noWrap/>
            <w:hideMark/>
          </w:tcPr>
          <w:p w14:paraId="1DD1AB22" w14:textId="16D2B8A5" w:rsidR="00130F3C" w:rsidRPr="00E70587" w:rsidRDefault="00130F3C" w:rsidP="00DA72DB">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233" w:type="pct"/>
            <w:tcBorders>
              <w:top w:val="single" w:sz="4" w:space="0" w:color="auto"/>
              <w:left w:val="nil"/>
              <w:bottom w:val="single" w:sz="4" w:space="0" w:color="auto"/>
              <w:right w:val="nil"/>
            </w:tcBorders>
            <w:shd w:val="clear" w:color="auto" w:fill="auto"/>
            <w:noWrap/>
            <w:hideMark/>
          </w:tcPr>
          <w:p w14:paraId="0F9EFF83" w14:textId="2D0258AD" w:rsidR="00130F3C" w:rsidRPr="00E70587" w:rsidRDefault="00130F3C" w:rsidP="00130ADF">
            <w:pPr>
              <w:spacing w:before="40" w:after="40"/>
              <w:ind w:right="-59"/>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282" w:type="pct"/>
            <w:tcBorders>
              <w:top w:val="single" w:sz="4" w:space="0" w:color="auto"/>
              <w:left w:val="nil"/>
              <w:bottom w:val="single" w:sz="4" w:space="0" w:color="auto"/>
              <w:right w:val="nil"/>
            </w:tcBorders>
            <w:shd w:val="clear" w:color="auto" w:fill="auto"/>
            <w:noWrap/>
            <w:hideMark/>
          </w:tcPr>
          <w:p w14:paraId="61BCF4FE" w14:textId="4E10AA4E" w:rsidR="00130F3C" w:rsidRPr="00E70587" w:rsidRDefault="00130F3C" w:rsidP="00DA72DB">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273" w:type="pct"/>
            <w:tcBorders>
              <w:top w:val="single" w:sz="4" w:space="0" w:color="auto"/>
              <w:left w:val="nil"/>
              <w:bottom w:val="single" w:sz="4" w:space="0" w:color="auto"/>
              <w:right w:val="nil"/>
            </w:tcBorders>
          </w:tcPr>
          <w:p w14:paraId="290F9B27" w14:textId="70625AC9" w:rsidR="00130F3C" w:rsidRPr="00E70587" w:rsidRDefault="00130F3C" w:rsidP="00DA72DB">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r>
      <w:tr w:rsidR="00130F3C" w:rsidRPr="00E70587" w14:paraId="0EC77AF4" w14:textId="77777777" w:rsidTr="00130F3C">
        <w:trPr>
          <w:trHeight w:val="223"/>
        </w:trPr>
        <w:tc>
          <w:tcPr>
            <w:tcW w:w="567" w:type="pct"/>
            <w:tcBorders>
              <w:top w:val="nil"/>
              <w:left w:val="nil"/>
              <w:bottom w:val="nil"/>
              <w:right w:val="nil"/>
            </w:tcBorders>
            <w:shd w:val="clear" w:color="auto" w:fill="auto"/>
            <w:noWrap/>
            <w:hideMark/>
          </w:tcPr>
          <w:p w14:paraId="1B75839F" w14:textId="0841B2CE" w:rsidR="00130F3C" w:rsidRPr="00E70587" w:rsidRDefault="00130F3C" w:rsidP="00911B52">
            <w:pPr>
              <w:spacing w:before="40" w:after="40"/>
              <w:rPr>
                <w:rFonts w:ascii="Arial" w:hAnsi="Arial" w:cs="Arial"/>
                <w:b/>
                <w:bCs/>
                <w:sz w:val="20"/>
                <w:lang w:eastAsia="en-IN"/>
              </w:rPr>
            </w:pPr>
            <w:r w:rsidRPr="00E70587">
              <w:rPr>
                <w:rFonts w:ascii="Arial" w:hAnsi="Arial" w:cs="Arial"/>
                <w:b/>
                <w:bCs/>
                <w:sz w:val="20"/>
                <w:lang w:eastAsia="en-IN"/>
              </w:rPr>
              <w:t>As at 1 April 20</w:t>
            </w:r>
            <w:r>
              <w:rPr>
                <w:rFonts w:ascii="Arial" w:hAnsi="Arial" w:cs="Arial"/>
                <w:b/>
                <w:bCs/>
                <w:sz w:val="20"/>
                <w:lang w:eastAsia="en-IN"/>
              </w:rPr>
              <w:t>20</w:t>
            </w:r>
          </w:p>
        </w:tc>
        <w:tc>
          <w:tcPr>
            <w:tcW w:w="301" w:type="pct"/>
            <w:tcBorders>
              <w:top w:val="single" w:sz="4" w:space="0" w:color="auto"/>
              <w:left w:val="nil"/>
              <w:bottom w:val="nil"/>
              <w:right w:val="nil"/>
            </w:tcBorders>
            <w:shd w:val="clear" w:color="auto" w:fill="auto"/>
            <w:noWrap/>
            <w:hideMark/>
          </w:tcPr>
          <w:p w14:paraId="06472D74" w14:textId="77777777" w:rsidR="00130F3C" w:rsidRPr="00E70587" w:rsidRDefault="00130F3C" w:rsidP="004244DC">
            <w:pPr>
              <w:spacing w:before="40" w:after="40"/>
              <w:jc w:val="right"/>
              <w:rPr>
                <w:rFonts w:ascii="Arial" w:hAnsi="Arial" w:cs="Arial"/>
                <w:b/>
                <w:bCs/>
                <w:sz w:val="20"/>
                <w:lang w:eastAsia="en-IN"/>
              </w:rPr>
            </w:pPr>
            <w:r w:rsidRPr="00E70587">
              <w:rPr>
                <w:rFonts w:ascii="Arial" w:hAnsi="Arial" w:cs="Arial"/>
                <w:sz w:val="20"/>
              </w:rPr>
              <w:t>410</w:t>
            </w:r>
          </w:p>
        </w:tc>
        <w:tc>
          <w:tcPr>
            <w:tcW w:w="251" w:type="pct"/>
            <w:tcBorders>
              <w:top w:val="single" w:sz="4" w:space="0" w:color="auto"/>
              <w:left w:val="nil"/>
              <w:bottom w:val="nil"/>
              <w:right w:val="nil"/>
            </w:tcBorders>
            <w:shd w:val="clear" w:color="auto" w:fill="auto"/>
            <w:noWrap/>
            <w:hideMark/>
          </w:tcPr>
          <w:p w14:paraId="73A76193" w14:textId="77777777" w:rsidR="00130F3C" w:rsidRPr="00E70587" w:rsidRDefault="00130F3C" w:rsidP="004244DC">
            <w:pPr>
              <w:spacing w:before="40" w:after="40"/>
              <w:jc w:val="right"/>
              <w:rPr>
                <w:rFonts w:ascii="Arial" w:hAnsi="Arial" w:cs="Arial"/>
                <w:b/>
                <w:bCs/>
                <w:sz w:val="20"/>
                <w:lang w:eastAsia="en-IN"/>
              </w:rPr>
            </w:pPr>
            <w:r w:rsidRPr="00E70587">
              <w:rPr>
                <w:rFonts w:ascii="Arial" w:hAnsi="Arial" w:cs="Arial"/>
                <w:sz w:val="20"/>
              </w:rPr>
              <w:t>-</w:t>
            </w:r>
          </w:p>
        </w:tc>
        <w:tc>
          <w:tcPr>
            <w:tcW w:w="251" w:type="pct"/>
            <w:tcBorders>
              <w:top w:val="single" w:sz="4" w:space="0" w:color="auto"/>
              <w:left w:val="nil"/>
              <w:bottom w:val="nil"/>
              <w:right w:val="nil"/>
            </w:tcBorders>
            <w:shd w:val="clear" w:color="auto" w:fill="auto"/>
            <w:noWrap/>
            <w:hideMark/>
          </w:tcPr>
          <w:p w14:paraId="77574B92" w14:textId="77777777" w:rsidR="00130F3C" w:rsidRPr="00E70587" w:rsidRDefault="00130F3C" w:rsidP="004244DC">
            <w:pPr>
              <w:spacing w:before="40" w:after="40"/>
              <w:jc w:val="right"/>
              <w:rPr>
                <w:rFonts w:ascii="Arial" w:hAnsi="Arial" w:cs="Arial"/>
                <w:b/>
                <w:bCs/>
                <w:sz w:val="20"/>
                <w:lang w:eastAsia="en-IN"/>
              </w:rPr>
            </w:pPr>
            <w:r w:rsidRPr="00E70587">
              <w:rPr>
                <w:rFonts w:ascii="Arial" w:hAnsi="Arial" w:cs="Arial"/>
                <w:sz w:val="20"/>
              </w:rPr>
              <w:t>(1,177)</w:t>
            </w:r>
          </w:p>
        </w:tc>
        <w:tc>
          <w:tcPr>
            <w:tcW w:w="251" w:type="pct"/>
            <w:tcBorders>
              <w:top w:val="single" w:sz="4" w:space="0" w:color="auto"/>
              <w:left w:val="nil"/>
              <w:bottom w:val="nil"/>
              <w:right w:val="nil"/>
            </w:tcBorders>
            <w:shd w:val="clear" w:color="auto" w:fill="auto"/>
            <w:noWrap/>
            <w:hideMark/>
          </w:tcPr>
          <w:p w14:paraId="6AFB13F3" w14:textId="77777777" w:rsidR="00130F3C" w:rsidRPr="00E70587" w:rsidRDefault="00130F3C" w:rsidP="004244DC">
            <w:pPr>
              <w:spacing w:before="40" w:after="40"/>
              <w:jc w:val="right"/>
              <w:rPr>
                <w:rFonts w:ascii="Arial" w:hAnsi="Arial" w:cs="Arial"/>
                <w:b/>
                <w:bCs/>
                <w:sz w:val="20"/>
                <w:lang w:eastAsia="en-IN"/>
              </w:rPr>
            </w:pPr>
            <w:r w:rsidRPr="00E70587">
              <w:rPr>
                <w:rFonts w:ascii="Arial" w:hAnsi="Arial" w:cs="Arial"/>
                <w:sz w:val="20"/>
              </w:rPr>
              <w:t>1,051</w:t>
            </w:r>
          </w:p>
        </w:tc>
        <w:tc>
          <w:tcPr>
            <w:tcW w:w="293" w:type="pct"/>
            <w:tcBorders>
              <w:top w:val="single" w:sz="4" w:space="0" w:color="auto"/>
              <w:left w:val="nil"/>
              <w:bottom w:val="nil"/>
              <w:right w:val="nil"/>
            </w:tcBorders>
          </w:tcPr>
          <w:p w14:paraId="3D39517B" w14:textId="77777777" w:rsidR="00130F3C" w:rsidRPr="00E70587" w:rsidRDefault="00130F3C" w:rsidP="004244DC">
            <w:pPr>
              <w:spacing w:before="40" w:after="40"/>
              <w:jc w:val="right"/>
              <w:rPr>
                <w:rFonts w:ascii="Arial" w:hAnsi="Arial" w:cs="Arial"/>
                <w:b/>
                <w:bCs/>
                <w:sz w:val="20"/>
                <w:lang w:eastAsia="en-IN"/>
              </w:rPr>
            </w:pPr>
            <w:r w:rsidRPr="00E70587">
              <w:rPr>
                <w:rFonts w:ascii="Arial" w:hAnsi="Arial" w:cs="Arial"/>
                <w:sz w:val="20"/>
              </w:rPr>
              <w:t>1,520</w:t>
            </w:r>
          </w:p>
        </w:tc>
        <w:tc>
          <w:tcPr>
            <w:tcW w:w="251" w:type="pct"/>
            <w:tcBorders>
              <w:top w:val="single" w:sz="4" w:space="0" w:color="auto"/>
              <w:left w:val="nil"/>
              <w:bottom w:val="nil"/>
              <w:right w:val="nil"/>
            </w:tcBorders>
            <w:shd w:val="clear" w:color="auto" w:fill="auto"/>
          </w:tcPr>
          <w:p w14:paraId="5AF7AD6E" w14:textId="77777777" w:rsidR="00130F3C" w:rsidRPr="00E70587" w:rsidRDefault="00130F3C" w:rsidP="004244DC">
            <w:pPr>
              <w:spacing w:before="40" w:after="40"/>
              <w:jc w:val="right"/>
              <w:rPr>
                <w:rFonts w:ascii="Arial" w:hAnsi="Arial" w:cs="Arial"/>
                <w:b/>
                <w:bCs/>
                <w:sz w:val="20"/>
              </w:rPr>
            </w:pPr>
            <w:r w:rsidRPr="00E70587">
              <w:rPr>
                <w:rFonts w:ascii="Arial" w:hAnsi="Arial" w:cs="Arial"/>
                <w:sz w:val="20"/>
              </w:rPr>
              <w:t>238</w:t>
            </w:r>
          </w:p>
        </w:tc>
        <w:tc>
          <w:tcPr>
            <w:tcW w:w="218" w:type="pct"/>
            <w:tcBorders>
              <w:top w:val="single" w:sz="4" w:space="0" w:color="auto"/>
              <w:left w:val="nil"/>
              <w:bottom w:val="nil"/>
              <w:right w:val="nil"/>
            </w:tcBorders>
            <w:shd w:val="clear" w:color="auto" w:fill="auto"/>
            <w:noWrap/>
            <w:hideMark/>
          </w:tcPr>
          <w:p w14:paraId="6AC53551" w14:textId="5B753DF5" w:rsidR="00130F3C" w:rsidRPr="00CD3859" w:rsidRDefault="00130F3C" w:rsidP="004244DC">
            <w:pPr>
              <w:spacing w:before="40" w:after="40"/>
              <w:jc w:val="right"/>
              <w:rPr>
                <w:rFonts w:ascii="Arial" w:hAnsi="Arial" w:cs="Arial"/>
                <w:bCs/>
                <w:sz w:val="20"/>
              </w:rPr>
            </w:pPr>
            <w:r w:rsidRPr="00CD3859">
              <w:rPr>
                <w:rFonts w:ascii="Arial" w:hAnsi="Arial" w:cs="Arial"/>
                <w:bCs/>
                <w:sz w:val="20"/>
              </w:rPr>
              <w:t>46,897</w:t>
            </w:r>
          </w:p>
        </w:tc>
        <w:tc>
          <w:tcPr>
            <w:tcW w:w="286" w:type="pct"/>
            <w:tcBorders>
              <w:top w:val="single" w:sz="4" w:space="0" w:color="auto"/>
              <w:left w:val="nil"/>
              <w:bottom w:val="nil"/>
              <w:right w:val="nil"/>
            </w:tcBorders>
            <w:shd w:val="clear" w:color="auto" w:fill="auto"/>
            <w:noWrap/>
            <w:hideMark/>
          </w:tcPr>
          <w:p w14:paraId="2A9B54E5" w14:textId="77777777" w:rsidR="00130F3C" w:rsidRPr="00E70587" w:rsidRDefault="00130F3C" w:rsidP="004244DC">
            <w:pPr>
              <w:spacing w:before="40" w:after="40"/>
              <w:jc w:val="right"/>
              <w:rPr>
                <w:rFonts w:ascii="Arial" w:hAnsi="Arial" w:cs="Arial"/>
                <w:b/>
                <w:bCs/>
                <w:sz w:val="20"/>
                <w:lang w:eastAsia="en-IN"/>
              </w:rPr>
            </w:pPr>
            <w:r w:rsidRPr="00E70587">
              <w:rPr>
                <w:rFonts w:ascii="Arial" w:hAnsi="Arial" w:cs="Arial"/>
                <w:sz w:val="20"/>
              </w:rPr>
              <w:t>(126)</w:t>
            </w:r>
          </w:p>
        </w:tc>
        <w:tc>
          <w:tcPr>
            <w:tcW w:w="224" w:type="pct"/>
            <w:tcBorders>
              <w:top w:val="single" w:sz="4" w:space="0" w:color="auto"/>
              <w:left w:val="nil"/>
              <w:bottom w:val="nil"/>
              <w:right w:val="nil"/>
            </w:tcBorders>
          </w:tcPr>
          <w:p w14:paraId="56B5287F" w14:textId="30B47109" w:rsidR="00130F3C" w:rsidRDefault="00EF7D0C" w:rsidP="004244DC">
            <w:pPr>
              <w:spacing w:before="40" w:after="40"/>
              <w:jc w:val="right"/>
              <w:rPr>
                <w:rFonts w:ascii="Arial" w:hAnsi="Arial" w:cs="Arial"/>
                <w:sz w:val="20"/>
              </w:rPr>
            </w:pPr>
            <w:r>
              <w:rPr>
                <w:rFonts w:ascii="Arial" w:hAnsi="Arial" w:cs="Arial"/>
                <w:sz w:val="20"/>
              </w:rPr>
              <w:t>-</w:t>
            </w:r>
          </w:p>
        </w:tc>
        <w:tc>
          <w:tcPr>
            <w:tcW w:w="224" w:type="pct"/>
            <w:tcBorders>
              <w:top w:val="single" w:sz="4" w:space="0" w:color="auto"/>
              <w:left w:val="nil"/>
              <w:bottom w:val="nil"/>
              <w:right w:val="nil"/>
            </w:tcBorders>
          </w:tcPr>
          <w:p w14:paraId="644D4180" w14:textId="2FCC9677" w:rsidR="00130F3C" w:rsidRPr="00E70587" w:rsidRDefault="00130F3C" w:rsidP="004244DC">
            <w:pPr>
              <w:spacing w:before="40" w:after="40"/>
              <w:jc w:val="right"/>
              <w:rPr>
                <w:rFonts w:ascii="Arial" w:hAnsi="Arial" w:cs="Arial"/>
                <w:sz w:val="20"/>
              </w:rPr>
            </w:pPr>
            <w:r>
              <w:rPr>
                <w:rFonts w:ascii="Arial" w:hAnsi="Arial" w:cs="Arial"/>
                <w:sz w:val="20"/>
              </w:rPr>
              <w:t>-</w:t>
            </w:r>
          </w:p>
        </w:tc>
        <w:tc>
          <w:tcPr>
            <w:tcW w:w="224" w:type="pct"/>
            <w:tcBorders>
              <w:top w:val="single" w:sz="4" w:space="0" w:color="auto"/>
              <w:left w:val="nil"/>
              <w:bottom w:val="nil"/>
              <w:right w:val="nil"/>
            </w:tcBorders>
            <w:shd w:val="clear" w:color="auto" w:fill="auto"/>
            <w:noWrap/>
            <w:hideMark/>
          </w:tcPr>
          <w:p w14:paraId="2414A165" w14:textId="41869D4C" w:rsidR="00130F3C" w:rsidRPr="00E70587" w:rsidRDefault="00130F3C" w:rsidP="004244DC">
            <w:pPr>
              <w:spacing w:before="40" w:after="40"/>
              <w:jc w:val="right"/>
              <w:rPr>
                <w:rFonts w:ascii="Arial" w:hAnsi="Arial" w:cs="Arial"/>
                <w:b/>
                <w:bCs/>
                <w:sz w:val="20"/>
                <w:lang w:eastAsia="en-IN"/>
              </w:rPr>
            </w:pPr>
            <w:r w:rsidRPr="00E70587">
              <w:rPr>
                <w:rFonts w:ascii="Arial" w:hAnsi="Arial" w:cs="Arial"/>
                <w:sz w:val="20"/>
              </w:rPr>
              <w:t>4</w:t>
            </w:r>
          </w:p>
        </w:tc>
        <w:tc>
          <w:tcPr>
            <w:tcW w:w="284" w:type="pct"/>
            <w:tcBorders>
              <w:top w:val="single" w:sz="4" w:space="0" w:color="auto"/>
              <w:left w:val="nil"/>
              <w:bottom w:val="nil"/>
              <w:right w:val="nil"/>
            </w:tcBorders>
            <w:shd w:val="clear" w:color="auto" w:fill="auto"/>
            <w:noWrap/>
            <w:hideMark/>
          </w:tcPr>
          <w:p w14:paraId="46806F1E" w14:textId="77777777" w:rsidR="00130F3C" w:rsidRPr="00E70587" w:rsidRDefault="00130F3C" w:rsidP="004244DC">
            <w:pPr>
              <w:spacing w:before="40" w:after="40"/>
              <w:jc w:val="right"/>
              <w:rPr>
                <w:rFonts w:ascii="Arial" w:hAnsi="Arial" w:cs="Arial"/>
                <w:b/>
                <w:bCs/>
                <w:sz w:val="20"/>
                <w:lang w:eastAsia="en-IN"/>
              </w:rPr>
            </w:pPr>
            <w:r w:rsidRPr="00E70587">
              <w:rPr>
                <w:rFonts w:ascii="Arial" w:hAnsi="Arial" w:cs="Arial"/>
                <w:sz w:val="20"/>
              </w:rPr>
              <w:t>(211)</w:t>
            </w:r>
          </w:p>
        </w:tc>
        <w:tc>
          <w:tcPr>
            <w:tcW w:w="272" w:type="pct"/>
            <w:tcBorders>
              <w:top w:val="single" w:sz="4" w:space="0" w:color="auto"/>
              <w:left w:val="nil"/>
              <w:bottom w:val="nil"/>
              <w:right w:val="nil"/>
            </w:tcBorders>
            <w:shd w:val="clear" w:color="auto" w:fill="auto"/>
            <w:noWrap/>
            <w:hideMark/>
          </w:tcPr>
          <w:p w14:paraId="48339A0E" w14:textId="112C08A3" w:rsidR="00130F3C" w:rsidRPr="00E70587" w:rsidRDefault="00130F3C" w:rsidP="004244DC">
            <w:pPr>
              <w:spacing w:before="40" w:after="40"/>
              <w:jc w:val="right"/>
              <w:rPr>
                <w:rFonts w:ascii="Arial" w:hAnsi="Arial" w:cs="Arial"/>
                <w:b/>
                <w:bCs/>
                <w:sz w:val="20"/>
                <w:lang w:eastAsia="en-IN"/>
              </w:rPr>
            </w:pPr>
            <w:r>
              <w:rPr>
                <w:rFonts w:ascii="Arial" w:hAnsi="Arial" w:cs="Arial"/>
                <w:b/>
                <w:bCs/>
                <w:sz w:val="20"/>
                <w:lang w:eastAsia="en-IN"/>
              </w:rPr>
              <w:t>-</w:t>
            </w:r>
          </w:p>
        </w:tc>
        <w:tc>
          <w:tcPr>
            <w:tcW w:w="315" w:type="pct"/>
            <w:tcBorders>
              <w:top w:val="single" w:sz="4" w:space="0" w:color="auto"/>
              <w:left w:val="nil"/>
              <w:bottom w:val="nil"/>
              <w:right w:val="nil"/>
            </w:tcBorders>
            <w:shd w:val="clear" w:color="auto" w:fill="auto"/>
            <w:noWrap/>
            <w:hideMark/>
          </w:tcPr>
          <w:p w14:paraId="7EA9E1D9" w14:textId="61541C65" w:rsidR="00130F3C" w:rsidRPr="00E70587" w:rsidRDefault="00130F3C" w:rsidP="004244DC">
            <w:pPr>
              <w:spacing w:before="40" w:after="40"/>
              <w:jc w:val="right"/>
              <w:rPr>
                <w:rFonts w:ascii="Arial" w:hAnsi="Arial" w:cs="Arial"/>
                <w:b/>
                <w:bCs/>
                <w:sz w:val="20"/>
                <w:lang w:eastAsia="en-IN"/>
              </w:rPr>
            </w:pPr>
            <w:r>
              <w:rPr>
                <w:rFonts w:ascii="Arial" w:hAnsi="Arial" w:cs="Arial"/>
                <w:b/>
                <w:bCs/>
                <w:sz w:val="20"/>
                <w:lang w:eastAsia="en-IN"/>
              </w:rPr>
              <w:t>-</w:t>
            </w:r>
          </w:p>
        </w:tc>
        <w:tc>
          <w:tcPr>
            <w:tcW w:w="233" w:type="pct"/>
            <w:tcBorders>
              <w:top w:val="single" w:sz="4" w:space="0" w:color="auto"/>
              <w:left w:val="nil"/>
              <w:bottom w:val="nil"/>
              <w:right w:val="nil"/>
            </w:tcBorders>
            <w:shd w:val="clear" w:color="auto" w:fill="auto"/>
            <w:noWrap/>
            <w:hideMark/>
          </w:tcPr>
          <w:p w14:paraId="564A4F12" w14:textId="3BD6D7E4" w:rsidR="00130F3C" w:rsidRPr="00E70587" w:rsidRDefault="00130F3C" w:rsidP="004244DC">
            <w:pPr>
              <w:spacing w:before="40" w:after="40"/>
              <w:jc w:val="right"/>
              <w:rPr>
                <w:rFonts w:ascii="Arial" w:hAnsi="Arial" w:cs="Arial"/>
                <w:b/>
                <w:bCs/>
                <w:sz w:val="20"/>
                <w:lang w:eastAsia="en-IN"/>
              </w:rPr>
            </w:pPr>
            <w:r>
              <w:rPr>
                <w:rFonts w:ascii="Arial" w:hAnsi="Arial" w:cs="Arial"/>
                <w:sz w:val="20"/>
              </w:rPr>
              <w:t>48,606</w:t>
            </w:r>
          </w:p>
        </w:tc>
        <w:tc>
          <w:tcPr>
            <w:tcW w:w="282" w:type="pct"/>
            <w:tcBorders>
              <w:top w:val="single" w:sz="4" w:space="0" w:color="auto"/>
              <w:left w:val="nil"/>
              <w:bottom w:val="nil"/>
              <w:right w:val="nil"/>
            </w:tcBorders>
            <w:shd w:val="clear" w:color="auto" w:fill="auto"/>
            <w:noWrap/>
            <w:hideMark/>
          </w:tcPr>
          <w:p w14:paraId="7BC84E83" w14:textId="3C251148" w:rsidR="00130F3C" w:rsidRPr="00E70587" w:rsidRDefault="00130F3C" w:rsidP="004244DC">
            <w:pPr>
              <w:spacing w:before="40" w:after="40"/>
              <w:jc w:val="right"/>
              <w:rPr>
                <w:rFonts w:ascii="Arial" w:hAnsi="Arial" w:cs="Arial"/>
                <w:b/>
                <w:bCs/>
                <w:sz w:val="20"/>
                <w:lang w:eastAsia="en-IN"/>
              </w:rPr>
            </w:pPr>
            <w:r w:rsidRPr="00E70587">
              <w:rPr>
                <w:rFonts w:ascii="Arial" w:hAnsi="Arial" w:cs="Arial"/>
                <w:sz w:val="20"/>
              </w:rPr>
              <w:t>1,3</w:t>
            </w:r>
            <w:r>
              <w:rPr>
                <w:rFonts w:ascii="Arial" w:hAnsi="Arial" w:cs="Arial"/>
                <w:sz w:val="20"/>
              </w:rPr>
              <w:t>29</w:t>
            </w:r>
          </w:p>
        </w:tc>
        <w:tc>
          <w:tcPr>
            <w:tcW w:w="273" w:type="pct"/>
            <w:tcBorders>
              <w:top w:val="single" w:sz="4" w:space="0" w:color="auto"/>
              <w:left w:val="nil"/>
              <w:bottom w:val="nil"/>
              <w:right w:val="nil"/>
            </w:tcBorders>
          </w:tcPr>
          <w:p w14:paraId="4E78E3C9" w14:textId="3A213E21" w:rsidR="00130F3C" w:rsidRPr="00E70587" w:rsidRDefault="00130F3C" w:rsidP="004244DC">
            <w:pPr>
              <w:spacing w:before="40" w:after="40"/>
              <w:jc w:val="right"/>
              <w:rPr>
                <w:rFonts w:ascii="Arial" w:hAnsi="Arial" w:cs="Arial"/>
                <w:b/>
                <w:bCs/>
                <w:sz w:val="20"/>
                <w:lang w:eastAsia="en-IN"/>
              </w:rPr>
            </w:pPr>
            <w:r>
              <w:rPr>
                <w:rFonts w:ascii="Arial" w:hAnsi="Arial" w:cs="Arial"/>
                <w:sz w:val="20"/>
              </w:rPr>
              <w:t>49,934</w:t>
            </w:r>
          </w:p>
        </w:tc>
      </w:tr>
      <w:tr w:rsidR="00130F3C" w:rsidRPr="00E70587" w14:paraId="67111FC6" w14:textId="77777777" w:rsidTr="00130F3C">
        <w:trPr>
          <w:trHeight w:val="285"/>
        </w:trPr>
        <w:tc>
          <w:tcPr>
            <w:tcW w:w="567" w:type="pct"/>
            <w:tcBorders>
              <w:top w:val="nil"/>
              <w:left w:val="nil"/>
              <w:bottom w:val="nil"/>
              <w:right w:val="nil"/>
            </w:tcBorders>
            <w:shd w:val="clear" w:color="auto" w:fill="auto"/>
            <w:noWrap/>
            <w:hideMark/>
          </w:tcPr>
          <w:p w14:paraId="15C48975" w14:textId="77777777" w:rsidR="00130F3C" w:rsidRPr="00E70587" w:rsidRDefault="00130F3C" w:rsidP="00DA72DB">
            <w:pPr>
              <w:spacing w:before="20" w:after="20"/>
              <w:rPr>
                <w:rFonts w:ascii="Arial" w:hAnsi="Arial" w:cs="Arial"/>
                <w:sz w:val="20"/>
                <w:lang w:eastAsia="en-IN"/>
              </w:rPr>
            </w:pPr>
            <w:r w:rsidRPr="00E70587">
              <w:rPr>
                <w:rFonts w:ascii="Arial" w:hAnsi="Arial" w:cs="Arial"/>
                <w:sz w:val="20"/>
                <w:lang w:eastAsia="en-IN"/>
              </w:rPr>
              <w:t>Profit for the period</w:t>
            </w:r>
          </w:p>
        </w:tc>
        <w:tc>
          <w:tcPr>
            <w:tcW w:w="301" w:type="pct"/>
            <w:tcBorders>
              <w:top w:val="nil"/>
              <w:left w:val="nil"/>
              <w:bottom w:val="nil"/>
              <w:right w:val="nil"/>
            </w:tcBorders>
            <w:shd w:val="clear" w:color="auto" w:fill="auto"/>
            <w:noWrap/>
            <w:hideMark/>
          </w:tcPr>
          <w:p w14:paraId="2FDA046D" w14:textId="77777777" w:rsidR="00130F3C" w:rsidRPr="00E70587" w:rsidRDefault="00130F3C" w:rsidP="004244DC">
            <w:pPr>
              <w:spacing w:before="20" w:after="20"/>
              <w:jc w:val="right"/>
              <w:rPr>
                <w:rFonts w:ascii="Arial" w:hAnsi="Arial" w:cs="Arial"/>
                <w:sz w:val="20"/>
                <w:lang w:eastAsia="en-IN"/>
              </w:rPr>
            </w:pPr>
          </w:p>
        </w:tc>
        <w:tc>
          <w:tcPr>
            <w:tcW w:w="251" w:type="pct"/>
            <w:tcBorders>
              <w:top w:val="nil"/>
              <w:left w:val="nil"/>
              <w:bottom w:val="nil"/>
              <w:right w:val="nil"/>
            </w:tcBorders>
            <w:shd w:val="clear" w:color="auto" w:fill="auto"/>
            <w:noWrap/>
            <w:hideMark/>
          </w:tcPr>
          <w:p w14:paraId="59E8A8E8"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noWrap/>
            <w:hideMark/>
          </w:tcPr>
          <w:p w14:paraId="4DA4A7EB"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noWrap/>
            <w:hideMark/>
          </w:tcPr>
          <w:p w14:paraId="40CAC1D4"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293" w:type="pct"/>
            <w:tcBorders>
              <w:top w:val="nil"/>
              <w:left w:val="nil"/>
              <w:bottom w:val="nil"/>
              <w:right w:val="nil"/>
            </w:tcBorders>
          </w:tcPr>
          <w:p w14:paraId="3D7ACB97"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tcPr>
          <w:p w14:paraId="2AE13713"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218" w:type="pct"/>
            <w:tcBorders>
              <w:top w:val="nil"/>
              <w:left w:val="nil"/>
              <w:bottom w:val="nil"/>
              <w:right w:val="nil"/>
            </w:tcBorders>
            <w:shd w:val="clear" w:color="auto" w:fill="auto"/>
            <w:noWrap/>
            <w:hideMark/>
          </w:tcPr>
          <w:p w14:paraId="1D0A97DD" w14:textId="28594B16"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14,</w:t>
            </w:r>
            <w:r w:rsidR="00F57F58">
              <w:rPr>
                <w:rFonts w:ascii="Arial" w:hAnsi="Arial" w:cs="Arial"/>
                <w:sz w:val="20"/>
              </w:rPr>
              <w:t>195</w:t>
            </w:r>
          </w:p>
        </w:tc>
        <w:tc>
          <w:tcPr>
            <w:tcW w:w="286" w:type="pct"/>
            <w:tcBorders>
              <w:top w:val="nil"/>
              <w:left w:val="nil"/>
              <w:bottom w:val="nil"/>
              <w:right w:val="nil"/>
            </w:tcBorders>
            <w:shd w:val="clear" w:color="auto" w:fill="auto"/>
            <w:noWrap/>
            <w:hideMark/>
          </w:tcPr>
          <w:p w14:paraId="3A70C976"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224" w:type="pct"/>
            <w:tcBorders>
              <w:top w:val="nil"/>
              <w:left w:val="nil"/>
              <w:bottom w:val="nil"/>
              <w:right w:val="nil"/>
            </w:tcBorders>
          </w:tcPr>
          <w:p w14:paraId="6001FEAD" w14:textId="5F52FC1C" w:rsidR="00130F3C" w:rsidRDefault="00EF7D0C" w:rsidP="004244DC">
            <w:pPr>
              <w:spacing w:before="20" w:after="20"/>
              <w:jc w:val="right"/>
              <w:rPr>
                <w:rFonts w:ascii="Arial" w:hAnsi="Arial" w:cs="Arial"/>
                <w:sz w:val="20"/>
              </w:rPr>
            </w:pPr>
            <w:r>
              <w:rPr>
                <w:rFonts w:ascii="Arial" w:hAnsi="Arial" w:cs="Arial"/>
                <w:sz w:val="20"/>
              </w:rPr>
              <w:t>-</w:t>
            </w:r>
          </w:p>
        </w:tc>
        <w:tc>
          <w:tcPr>
            <w:tcW w:w="224" w:type="pct"/>
            <w:tcBorders>
              <w:top w:val="nil"/>
              <w:left w:val="nil"/>
              <w:bottom w:val="nil"/>
              <w:right w:val="nil"/>
            </w:tcBorders>
          </w:tcPr>
          <w:p w14:paraId="04297763" w14:textId="7EDF8519" w:rsidR="00130F3C" w:rsidRPr="00E70587" w:rsidRDefault="00130F3C" w:rsidP="004244DC">
            <w:pPr>
              <w:spacing w:before="20" w:after="20"/>
              <w:jc w:val="right"/>
              <w:rPr>
                <w:rFonts w:ascii="Arial" w:hAnsi="Arial" w:cs="Arial"/>
                <w:sz w:val="20"/>
              </w:rPr>
            </w:pPr>
            <w:r>
              <w:rPr>
                <w:rFonts w:ascii="Arial" w:hAnsi="Arial" w:cs="Arial"/>
                <w:sz w:val="20"/>
              </w:rPr>
              <w:t>-</w:t>
            </w:r>
          </w:p>
        </w:tc>
        <w:tc>
          <w:tcPr>
            <w:tcW w:w="224" w:type="pct"/>
            <w:tcBorders>
              <w:top w:val="nil"/>
              <w:left w:val="nil"/>
              <w:bottom w:val="nil"/>
              <w:right w:val="nil"/>
            </w:tcBorders>
            <w:shd w:val="clear" w:color="auto" w:fill="auto"/>
            <w:noWrap/>
            <w:hideMark/>
          </w:tcPr>
          <w:p w14:paraId="13ED74FC" w14:textId="02D6C3FD"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284" w:type="pct"/>
            <w:tcBorders>
              <w:top w:val="nil"/>
              <w:left w:val="nil"/>
              <w:bottom w:val="nil"/>
              <w:right w:val="nil"/>
            </w:tcBorders>
            <w:shd w:val="clear" w:color="auto" w:fill="auto"/>
            <w:noWrap/>
            <w:hideMark/>
          </w:tcPr>
          <w:p w14:paraId="17AD951B"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272" w:type="pct"/>
            <w:tcBorders>
              <w:top w:val="nil"/>
              <w:left w:val="nil"/>
              <w:bottom w:val="nil"/>
              <w:right w:val="nil"/>
            </w:tcBorders>
            <w:shd w:val="clear" w:color="auto" w:fill="auto"/>
            <w:noWrap/>
            <w:hideMark/>
          </w:tcPr>
          <w:p w14:paraId="793DF111"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315" w:type="pct"/>
            <w:tcBorders>
              <w:top w:val="nil"/>
              <w:left w:val="nil"/>
              <w:bottom w:val="nil"/>
              <w:right w:val="nil"/>
            </w:tcBorders>
            <w:shd w:val="clear" w:color="auto" w:fill="auto"/>
            <w:noWrap/>
            <w:hideMark/>
          </w:tcPr>
          <w:p w14:paraId="58560539"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233" w:type="pct"/>
            <w:tcBorders>
              <w:top w:val="nil"/>
              <w:left w:val="nil"/>
              <w:bottom w:val="nil"/>
              <w:right w:val="nil"/>
            </w:tcBorders>
            <w:shd w:val="clear" w:color="auto" w:fill="auto"/>
            <w:noWrap/>
            <w:hideMark/>
          </w:tcPr>
          <w:p w14:paraId="771332D8" w14:textId="04A24F55"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14,</w:t>
            </w:r>
            <w:r w:rsidR="00352BED">
              <w:rPr>
                <w:rFonts w:ascii="Arial" w:hAnsi="Arial" w:cs="Arial"/>
                <w:sz w:val="20"/>
              </w:rPr>
              <w:t>1</w:t>
            </w:r>
            <w:r w:rsidR="00352BED" w:rsidRPr="00E70587">
              <w:rPr>
                <w:rFonts w:ascii="Arial" w:hAnsi="Arial" w:cs="Arial"/>
                <w:sz w:val="20"/>
              </w:rPr>
              <w:t>9</w:t>
            </w:r>
            <w:r w:rsidR="00352BED">
              <w:rPr>
                <w:rFonts w:ascii="Arial" w:hAnsi="Arial" w:cs="Arial"/>
                <w:sz w:val="20"/>
              </w:rPr>
              <w:t>5</w:t>
            </w:r>
          </w:p>
        </w:tc>
        <w:tc>
          <w:tcPr>
            <w:tcW w:w="282" w:type="pct"/>
            <w:tcBorders>
              <w:top w:val="nil"/>
              <w:left w:val="nil"/>
              <w:bottom w:val="nil"/>
              <w:right w:val="nil"/>
            </w:tcBorders>
            <w:shd w:val="clear" w:color="auto" w:fill="auto"/>
            <w:noWrap/>
            <w:hideMark/>
          </w:tcPr>
          <w:p w14:paraId="36929230"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520</w:t>
            </w:r>
          </w:p>
        </w:tc>
        <w:tc>
          <w:tcPr>
            <w:tcW w:w="273" w:type="pct"/>
            <w:tcBorders>
              <w:top w:val="nil"/>
              <w:left w:val="nil"/>
              <w:bottom w:val="nil"/>
              <w:right w:val="nil"/>
            </w:tcBorders>
            <w:shd w:val="clear" w:color="auto" w:fill="auto"/>
          </w:tcPr>
          <w:p w14:paraId="2FFF0FE2" w14:textId="61CA162A" w:rsidR="00130F3C" w:rsidRPr="00BB6300" w:rsidRDefault="00130F3C" w:rsidP="00722FF5">
            <w:pPr>
              <w:spacing w:before="20" w:after="20"/>
              <w:jc w:val="right"/>
              <w:rPr>
                <w:rFonts w:ascii="Arial" w:hAnsi="Arial" w:cs="Arial"/>
                <w:sz w:val="20"/>
                <w:lang w:eastAsia="en-IN"/>
              </w:rPr>
            </w:pPr>
            <w:r w:rsidRPr="00BB6300">
              <w:rPr>
                <w:rFonts w:ascii="Arial" w:hAnsi="Arial" w:cs="Arial"/>
                <w:sz w:val="20"/>
              </w:rPr>
              <w:t>14,</w:t>
            </w:r>
            <w:r w:rsidR="00352BED">
              <w:rPr>
                <w:rFonts w:ascii="Arial" w:hAnsi="Arial" w:cs="Arial"/>
                <w:sz w:val="20"/>
              </w:rPr>
              <w:t>715</w:t>
            </w:r>
          </w:p>
        </w:tc>
      </w:tr>
      <w:tr w:rsidR="00130F3C" w:rsidRPr="00E70587" w14:paraId="4C7578EA" w14:textId="77777777" w:rsidTr="00130F3C">
        <w:trPr>
          <w:trHeight w:val="285"/>
        </w:trPr>
        <w:tc>
          <w:tcPr>
            <w:tcW w:w="567" w:type="pct"/>
            <w:tcBorders>
              <w:top w:val="nil"/>
              <w:left w:val="nil"/>
              <w:bottom w:val="single" w:sz="4" w:space="0" w:color="auto"/>
              <w:right w:val="nil"/>
            </w:tcBorders>
            <w:shd w:val="clear" w:color="auto" w:fill="auto"/>
            <w:noWrap/>
            <w:hideMark/>
          </w:tcPr>
          <w:p w14:paraId="16FCE47F" w14:textId="77777777" w:rsidR="00130F3C" w:rsidRPr="00E70587" w:rsidRDefault="00130F3C" w:rsidP="00DA72DB">
            <w:pPr>
              <w:spacing w:before="20" w:after="20"/>
              <w:rPr>
                <w:rFonts w:ascii="Arial" w:hAnsi="Arial" w:cs="Arial"/>
                <w:sz w:val="20"/>
                <w:lang w:eastAsia="en-IN"/>
              </w:rPr>
            </w:pPr>
            <w:r w:rsidRPr="00E70587">
              <w:rPr>
                <w:rFonts w:ascii="Arial" w:hAnsi="Arial" w:cs="Arial"/>
                <w:sz w:val="20"/>
                <w:lang w:eastAsia="en-IN"/>
              </w:rPr>
              <w:t>Other comprehensive income (Note 24)</w:t>
            </w:r>
          </w:p>
        </w:tc>
        <w:tc>
          <w:tcPr>
            <w:tcW w:w="301" w:type="pct"/>
            <w:tcBorders>
              <w:top w:val="nil"/>
              <w:left w:val="nil"/>
              <w:bottom w:val="single" w:sz="4" w:space="0" w:color="auto"/>
              <w:right w:val="nil"/>
            </w:tcBorders>
            <w:shd w:val="clear" w:color="auto" w:fill="auto"/>
            <w:noWrap/>
            <w:hideMark/>
          </w:tcPr>
          <w:p w14:paraId="7ED68F62" w14:textId="77777777" w:rsidR="00130F3C" w:rsidRPr="00E70587" w:rsidRDefault="00130F3C" w:rsidP="004244DC">
            <w:pPr>
              <w:spacing w:before="20" w:after="20"/>
              <w:jc w:val="right"/>
              <w:rPr>
                <w:rFonts w:ascii="Arial" w:hAnsi="Arial" w:cs="Arial"/>
                <w:sz w:val="20"/>
                <w:lang w:eastAsia="en-IN"/>
              </w:rPr>
            </w:pPr>
          </w:p>
        </w:tc>
        <w:tc>
          <w:tcPr>
            <w:tcW w:w="251" w:type="pct"/>
            <w:tcBorders>
              <w:top w:val="nil"/>
              <w:left w:val="nil"/>
              <w:bottom w:val="single" w:sz="4" w:space="0" w:color="auto"/>
              <w:right w:val="nil"/>
            </w:tcBorders>
            <w:shd w:val="clear" w:color="auto" w:fill="auto"/>
            <w:noWrap/>
            <w:hideMark/>
          </w:tcPr>
          <w:p w14:paraId="0847AC19"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single" w:sz="4" w:space="0" w:color="auto"/>
              <w:right w:val="nil"/>
            </w:tcBorders>
            <w:shd w:val="clear" w:color="auto" w:fill="auto"/>
            <w:noWrap/>
            <w:hideMark/>
          </w:tcPr>
          <w:p w14:paraId="40A1FA8C"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single" w:sz="4" w:space="0" w:color="auto"/>
              <w:right w:val="nil"/>
            </w:tcBorders>
            <w:shd w:val="clear" w:color="auto" w:fill="auto"/>
            <w:noWrap/>
            <w:hideMark/>
          </w:tcPr>
          <w:p w14:paraId="2115A0EE"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293" w:type="pct"/>
            <w:tcBorders>
              <w:top w:val="nil"/>
              <w:left w:val="nil"/>
              <w:bottom w:val="single" w:sz="4" w:space="0" w:color="auto"/>
              <w:right w:val="nil"/>
            </w:tcBorders>
          </w:tcPr>
          <w:p w14:paraId="55CB9CA8"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single" w:sz="4" w:space="0" w:color="auto"/>
              <w:right w:val="nil"/>
            </w:tcBorders>
            <w:shd w:val="clear" w:color="auto" w:fill="auto"/>
          </w:tcPr>
          <w:p w14:paraId="7F45BCD5"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218" w:type="pct"/>
            <w:tcBorders>
              <w:top w:val="nil"/>
              <w:left w:val="nil"/>
              <w:bottom w:val="single" w:sz="4" w:space="0" w:color="auto"/>
              <w:right w:val="nil"/>
            </w:tcBorders>
            <w:shd w:val="clear" w:color="auto" w:fill="auto"/>
            <w:noWrap/>
            <w:hideMark/>
          </w:tcPr>
          <w:p w14:paraId="316A357C"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462</w:t>
            </w:r>
          </w:p>
        </w:tc>
        <w:tc>
          <w:tcPr>
            <w:tcW w:w="286" w:type="pct"/>
            <w:tcBorders>
              <w:top w:val="nil"/>
              <w:left w:val="nil"/>
              <w:bottom w:val="single" w:sz="4" w:space="0" w:color="auto"/>
              <w:right w:val="nil"/>
            </w:tcBorders>
            <w:shd w:val="clear" w:color="auto" w:fill="auto"/>
            <w:noWrap/>
            <w:hideMark/>
          </w:tcPr>
          <w:p w14:paraId="5292A47F" w14:textId="20C1427E" w:rsidR="00130F3C" w:rsidRPr="004E1468" w:rsidRDefault="00130F3C" w:rsidP="004244DC">
            <w:pPr>
              <w:spacing w:before="20" w:after="20"/>
              <w:jc w:val="right"/>
              <w:rPr>
                <w:rFonts w:ascii="Arial" w:hAnsi="Arial" w:cs="Arial"/>
                <w:sz w:val="20"/>
                <w:lang w:eastAsia="en-IN"/>
              </w:rPr>
            </w:pPr>
            <w:r w:rsidRPr="004E1468">
              <w:rPr>
                <w:rFonts w:ascii="Arial" w:hAnsi="Arial" w:cs="Arial"/>
                <w:sz w:val="20"/>
              </w:rPr>
              <w:t>(</w:t>
            </w:r>
            <w:r w:rsidR="00D607ED">
              <w:rPr>
                <w:rFonts w:ascii="Arial" w:hAnsi="Arial" w:cs="Arial"/>
                <w:sz w:val="20"/>
              </w:rPr>
              <w:t>1,112</w:t>
            </w:r>
            <w:r w:rsidRPr="004E1468">
              <w:rPr>
                <w:rFonts w:ascii="Arial" w:hAnsi="Arial" w:cs="Arial"/>
                <w:sz w:val="20"/>
              </w:rPr>
              <w:t>)</w:t>
            </w:r>
          </w:p>
        </w:tc>
        <w:tc>
          <w:tcPr>
            <w:tcW w:w="224" w:type="pct"/>
            <w:tcBorders>
              <w:top w:val="nil"/>
              <w:left w:val="nil"/>
              <w:bottom w:val="single" w:sz="4" w:space="0" w:color="auto"/>
              <w:right w:val="nil"/>
            </w:tcBorders>
          </w:tcPr>
          <w:p w14:paraId="164D06E3" w14:textId="6F68AD65" w:rsidR="00130F3C" w:rsidRDefault="00EF7D0C" w:rsidP="004244DC">
            <w:pPr>
              <w:spacing w:before="20" w:after="20"/>
              <w:jc w:val="right"/>
              <w:rPr>
                <w:rFonts w:ascii="Arial" w:hAnsi="Arial" w:cs="Arial"/>
                <w:sz w:val="20"/>
              </w:rPr>
            </w:pPr>
            <w:r>
              <w:rPr>
                <w:rFonts w:ascii="Arial" w:hAnsi="Arial" w:cs="Arial"/>
                <w:sz w:val="20"/>
              </w:rPr>
              <w:t>(</w:t>
            </w:r>
            <w:r w:rsidR="00D607ED">
              <w:rPr>
                <w:rFonts w:ascii="Arial" w:hAnsi="Arial" w:cs="Arial"/>
                <w:sz w:val="20"/>
              </w:rPr>
              <w:t>40</w:t>
            </w:r>
            <w:r>
              <w:rPr>
                <w:rFonts w:ascii="Arial" w:hAnsi="Arial" w:cs="Arial"/>
                <w:sz w:val="20"/>
              </w:rPr>
              <w:t>)</w:t>
            </w:r>
          </w:p>
        </w:tc>
        <w:tc>
          <w:tcPr>
            <w:tcW w:w="224" w:type="pct"/>
            <w:tcBorders>
              <w:top w:val="nil"/>
              <w:left w:val="nil"/>
              <w:bottom w:val="single" w:sz="4" w:space="0" w:color="auto"/>
              <w:right w:val="nil"/>
            </w:tcBorders>
          </w:tcPr>
          <w:p w14:paraId="352BA83A" w14:textId="47941095" w:rsidR="00130F3C" w:rsidRPr="004E1468" w:rsidRDefault="00130F3C" w:rsidP="004244DC">
            <w:pPr>
              <w:spacing w:before="20" w:after="20"/>
              <w:jc w:val="right"/>
              <w:rPr>
                <w:rFonts w:ascii="Arial" w:hAnsi="Arial" w:cs="Arial"/>
                <w:sz w:val="20"/>
              </w:rPr>
            </w:pPr>
            <w:r>
              <w:rPr>
                <w:rFonts w:ascii="Arial" w:hAnsi="Arial" w:cs="Arial"/>
                <w:sz w:val="20"/>
              </w:rPr>
              <w:t>(13)</w:t>
            </w:r>
          </w:p>
        </w:tc>
        <w:tc>
          <w:tcPr>
            <w:tcW w:w="224" w:type="pct"/>
            <w:tcBorders>
              <w:top w:val="nil"/>
              <w:left w:val="nil"/>
              <w:bottom w:val="single" w:sz="4" w:space="0" w:color="auto"/>
              <w:right w:val="nil"/>
            </w:tcBorders>
            <w:shd w:val="clear" w:color="auto" w:fill="auto"/>
            <w:noWrap/>
            <w:hideMark/>
          </w:tcPr>
          <w:p w14:paraId="5EBD7CCB" w14:textId="3120B191" w:rsidR="00130F3C" w:rsidRPr="004E1468" w:rsidRDefault="00130F3C" w:rsidP="004244DC">
            <w:pPr>
              <w:spacing w:before="20" w:after="20"/>
              <w:jc w:val="right"/>
              <w:rPr>
                <w:rFonts w:ascii="Arial" w:hAnsi="Arial" w:cs="Arial"/>
                <w:sz w:val="20"/>
                <w:lang w:eastAsia="en-IN"/>
              </w:rPr>
            </w:pPr>
            <w:r w:rsidRPr="004E1468">
              <w:rPr>
                <w:rFonts w:ascii="Arial" w:hAnsi="Arial" w:cs="Arial"/>
                <w:sz w:val="20"/>
              </w:rPr>
              <w:t>(</w:t>
            </w:r>
            <w:r>
              <w:rPr>
                <w:rFonts w:ascii="Arial" w:hAnsi="Arial" w:cs="Arial"/>
                <w:sz w:val="20"/>
              </w:rPr>
              <w:t>59</w:t>
            </w:r>
            <w:r w:rsidRPr="004E1468">
              <w:rPr>
                <w:rFonts w:ascii="Arial" w:hAnsi="Arial" w:cs="Arial"/>
                <w:sz w:val="20"/>
              </w:rPr>
              <w:t>)</w:t>
            </w:r>
          </w:p>
        </w:tc>
        <w:tc>
          <w:tcPr>
            <w:tcW w:w="284" w:type="pct"/>
            <w:tcBorders>
              <w:top w:val="nil"/>
              <w:left w:val="nil"/>
              <w:bottom w:val="single" w:sz="4" w:space="0" w:color="auto"/>
              <w:right w:val="nil"/>
            </w:tcBorders>
            <w:shd w:val="clear" w:color="auto" w:fill="auto"/>
            <w:noWrap/>
            <w:hideMark/>
          </w:tcPr>
          <w:p w14:paraId="26695DBA" w14:textId="77777777" w:rsidR="00130F3C" w:rsidRPr="004E1468" w:rsidRDefault="00130F3C" w:rsidP="004244DC">
            <w:pPr>
              <w:spacing w:before="20" w:after="20"/>
              <w:jc w:val="right"/>
              <w:rPr>
                <w:rFonts w:ascii="Arial" w:hAnsi="Arial" w:cs="Arial"/>
                <w:sz w:val="20"/>
                <w:lang w:eastAsia="en-IN"/>
              </w:rPr>
            </w:pPr>
            <w:r w:rsidRPr="004E1468">
              <w:rPr>
                <w:rFonts w:ascii="Arial" w:hAnsi="Arial" w:cs="Arial"/>
                <w:sz w:val="20"/>
              </w:rPr>
              <w:t>(92)</w:t>
            </w:r>
          </w:p>
        </w:tc>
        <w:tc>
          <w:tcPr>
            <w:tcW w:w="272" w:type="pct"/>
            <w:tcBorders>
              <w:top w:val="nil"/>
              <w:left w:val="nil"/>
              <w:bottom w:val="single" w:sz="4" w:space="0" w:color="auto"/>
              <w:right w:val="nil"/>
            </w:tcBorders>
            <w:shd w:val="clear" w:color="auto" w:fill="auto"/>
            <w:noWrap/>
            <w:hideMark/>
          </w:tcPr>
          <w:p w14:paraId="333D6437"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1,066</w:t>
            </w:r>
          </w:p>
        </w:tc>
        <w:tc>
          <w:tcPr>
            <w:tcW w:w="315" w:type="pct"/>
            <w:tcBorders>
              <w:top w:val="nil"/>
              <w:left w:val="nil"/>
              <w:bottom w:val="single" w:sz="4" w:space="0" w:color="auto"/>
              <w:right w:val="nil"/>
            </w:tcBorders>
            <w:shd w:val="clear" w:color="auto" w:fill="auto"/>
            <w:noWrap/>
            <w:hideMark/>
          </w:tcPr>
          <w:p w14:paraId="553A5BEF"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233" w:type="pct"/>
            <w:tcBorders>
              <w:top w:val="nil"/>
              <w:left w:val="nil"/>
              <w:bottom w:val="single" w:sz="4" w:space="0" w:color="auto"/>
              <w:right w:val="nil"/>
            </w:tcBorders>
            <w:shd w:val="clear" w:color="auto" w:fill="auto"/>
            <w:noWrap/>
            <w:hideMark/>
          </w:tcPr>
          <w:p w14:paraId="3AE5C461" w14:textId="4E48E0B1" w:rsidR="00130F3C" w:rsidRPr="00E70587" w:rsidRDefault="00597073" w:rsidP="004244DC">
            <w:pPr>
              <w:spacing w:before="20" w:after="20"/>
              <w:jc w:val="right"/>
              <w:rPr>
                <w:rFonts w:ascii="Arial" w:hAnsi="Arial" w:cs="Arial"/>
                <w:sz w:val="20"/>
                <w:lang w:eastAsia="en-IN"/>
              </w:rPr>
            </w:pPr>
            <w:r>
              <w:rPr>
                <w:rFonts w:ascii="Arial" w:hAnsi="Arial" w:cs="Arial"/>
                <w:sz w:val="20"/>
              </w:rPr>
              <w:t>21</w:t>
            </w:r>
            <w:r w:rsidRPr="00E70587">
              <w:rPr>
                <w:rFonts w:ascii="Arial" w:hAnsi="Arial" w:cs="Arial"/>
                <w:sz w:val="20"/>
              </w:rPr>
              <w:t>2</w:t>
            </w:r>
          </w:p>
        </w:tc>
        <w:tc>
          <w:tcPr>
            <w:tcW w:w="282" w:type="pct"/>
            <w:tcBorders>
              <w:top w:val="nil"/>
              <w:left w:val="nil"/>
              <w:bottom w:val="single" w:sz="4" w:space="0" w:color="auto"/>
              <w:right w:val="nil"/>
            </w:tcBorders>
            <w:shd w:val="clear" w:color="auto" w:fill="auto"/>
            <w:noWrap/>
            <w:hideMark/>
          </w:tcPr>
          <w:p w14:paraId="1BAB8DF0" w14:textId="77777777" w:rsidR="00130F3C" w:rsidRPr="00E70587" w:rsidRDefault="00130F3C" w:rsidP="004244DC">
            <w:pPr>
              <w:spacing w:before="20" w:after="20"/>
              <w:jc w:val="right"/>
              <w:rPr>
                <w:rFonts w:ascii="Arial" w:hAnsi="Arial" w:cs="Arial"/>
                <w:sz w:val="20"/>
                <w:lang w:eastAsia="en-IN"/>
              </w:rPr>
            </w:pPr>
            <w:r w:rsidRPr="00E70587">
              <w:rPr>
                <w:rFonts w:ascii="Arial" w:hAnsi="Arial" w:cs="Arial"/>
                <w:sz w:val="20"/>
              </w:rPr>
              <w:t>-</w:t>
            </w:r>
          </w:p>
        </w:tc>
        <w:tc>
          <w:tcPr>
            <w:tcW w:w="273" w:type="pct"/>
            <w:tcBorders>
              <w:top w:val="nil"/>
              <w:left w:val="nil"/>
              <w:bottom w:val="single" w:sz="4" w:space="0" w:color="auto"/>
              <w:right w:val="nil"/>
            </w:tcBorders>
            <w:shd w:val="clear" w:color="auto" w:fill="auto"/>
          </w:tcPr>
          <w:p w14:paraId="1F70FBB8" w14:textId="5CE0B80C" w:rsidR="00130F3C" w:rsidRPr="00BB6300" w:rsidRDefault="00597073" w:rsidP="004244DC">
            <w:pPr>
              <w:spacing w:before="20" w:after="20"/>
              <w:jc w:val="right"/>
              <w:rPr>
                <w:rFonts w:ascii="Arial" w:hAnsi="Arial" w:cs="Arial"/>
                <w:sz w:val="20"/>
                <w:lang w:eastAsia="en-IN"/>
              </w:rPr>
            </w:pPr>
            <w:r>
              <w:rPr>
                <w:rFonts w:ascii="Arial" w:hAnsi="Arial" w:cs="Arial"/>
                <w:sz w:val="20"/>
              </w:rPr>
              <w:t>21</w:t>
            </w:r>
            <w:r w:rsidRPr="00BB6300">
              <w:rPr>
                <w:rFonts w:ascii="Arial" w:hAnsi="Arial" w:cs="Arial"/>
                <w:sz w:val="20"/>
              </w:rPr>
              <w:t>2</w:t>
            </w:r>
          </w:p>
        </w:tc>
      </w:tr>
      <w:tr w:rsidR="00130F3C" w:rsidRPr="00C52C93" w14:paraId="5149C733" w14:textId="77777777" w:rsidTr="00130F3C">
        <w:trPr>
          <w:trHeight w:val="285"/>
        </w:trPr>
        <w:tc>
          <w:tcPr>
            <w:tcW w:w="567" w:type="pct"/>
            <w:tcBorders>
              <w:top w:val="single" w:sz="4" w:space="0" w:color="auto"/>
              <w:left w:val="nil"/>
              <w:bottom w:val="nil"/>
              <w:right w:val="nil"/>
            </w:tcBorders>
            <w:shd w:val="clear" w:color="auto" w:fill="auto"/>
            <w:noWrap/>
            <w:hideMark/>
          </w:tcPr>
          <w:p w14:paraId="51AC9641" w14:textId="77777777" w:rsidR="00130F3C" w:rsidRPr="00C52C93" w:rsidRDefault="00130F3C" w:rsidP="00DA72DB">
            <w:pPr>
              <w:spacing w:before="20" w:after="20"/>
              <w:rPr>
                <w:rFonts w:ascii="Arial" w:hAnsi="Arial" w:cs="Arial"/>
                <w:b/>
                <w:bCs/>
                <w:sz w:val="20"/>
                <w:lang w:eastAsia="en-IN"/>
              </w:rPr>
            </w:pPr>
            <w:r w:rsidRPr="00C52C93">
              <w:rPr>
                <w:rFonts w:ascii="Arial" w:hAnsi="Arial" w:cs="Arial"/>
                <w:b/>
                <w:bCs/>
                <w:sz w:val="20"/>
                <w:lang w:eastAsia="en-IN"/>
              </w:rPr>
              <w:t>Total comprehensive income</w:t>
            </w:r>
          </w:p>
        </w:tc>
        <w:tc>
          <w:tcPr>
            <w:tcW w:w="301" w:type="pct"/>
            <w:tcBorders>
              <w:top w:val="single" w:sz="4" w:space="0" w:color="auto"/>
              <w:left w:val="nil"/>
              <w:bottom w:val="nil"/>
              <w:right w:val="nil"/>
            </w:tcBorders>
            <w:shd w:val="clear" w:color="auto" w:fill="auto"/>
            <w:noWrap/>
            <w:hideMark/>
          </w:tcPr>
          <w:p w14:paraId="650D0F02" w14:textId="77777777" w:rsidR="00130F3C" w:rsidRPr="00C52C93" w:rsidRDefault="00130F3C" w:rsidP="004244DC">
            <w:pPr>
              <w:tabs>
                <w:tab w:val="center" w:pos="436"/>
                <w:tab w:val="right" w:pos="873"/>
              </w:tabs>
              <w:spacing w:before="20" w:after="20"/>
              <w:jc w:val="right"/>
              <w:rPr>
                <w:rFonts w:ascii="Arial" w:hAnsi="Arial" w:cs="Arial"/>
                <w:b/>
                <w:bCs/>
                <w:sz w:val="20"/>
                <w:lang w:eastAsia="en-IN"/>
              </w:rPr>
            </w:pPr>
            <w:r w:rsidRPr="00C52C93">
              <w:rPr>
                <w:rFonts w:ascii="Arial" w:hAnsi="Arial" w:cs="Arial"/>
                <w:b/>
                <w:sz w:val="20"/>
              </w:rPr>
              <w:t>-</w:t>
            </w:r>
          </w:p>
        </w:tc>
        <w:tc>
          <w:tcPr>
            <w:tcW w:w="251" w:type="pct"/>
            <w:tcBorders>
              <w:top w:val="single" w:sz="4" w:space="0" w:color="auto"/>
              <w:left w:val="nil"/>
              <w:bottom w:val="nil"/>
              <w:right w:val="nil"/>
            </w:tcBorders>
            <w:shd w:val="clear" w:color="auto" w:fill="auto"/>
            <w:noWrap/>
            <w:hideMark/>
          </w:tcPr>
          <w:p w14:paraId="41059FEF" w14:textId="77777777" w:rsidR="00130F3C" w:rsidRPr="00C52C93" w:rsidRDefault="00130F3C" w:rsidP="004244DC">
            <w:pPr>
              <w:spacing w:before="20" w:after="20"/>
              <w:jc w:val="right"/>
              <w:rPr>
                <w:rFonts w:ascii="Arial" w:hAnsi="Arial" w:cs="Arial"/>
                <w:b/>
                <w:bCs/>
                <w:sz w:val="20"/>
                <w:lang w:eastAsia="en-IN"/>
              </w:rPr>
            </w:pPr>
            <w:r w:rsidRPr="00C52C93">
              <w:rPr>
                <w:rFonts w:ascii="Arial" w:hAnsi="Arial" w:cs="Arial"/>
                <w:b/>
                <w:sz w:val="20"/>
              </w:rPr>
              <w:t>-</w:t>
            </w:r>
          </w:p>
        </w:tc>
        <w:tc>
          <w:tcPr>
            <w:tcW w:w="251" w:type="pct"/>
            <w:tcBorders>
              <w:top w:val="single" w:sz="4" w:space="0" w:color="auto"/>
              <w:left w:val="nil"/>
              <w:bottom w:val="nil"/>
              <w:right w:val="nil"/>
            </w:tcBorders>
            <w:shd w:val="clear" w:color="auto" w:fill="auto"/>
            <w:noWrap/>
            <w:hideMark/>
          </w:tcPr>
          <w:p w14:paraId="0FD5765C" w14:textId="77777777" w:rsidR="00130F3C" w:rsidRPr="00C52C93" w:rsidRDefault="00130F3C" w:rsidP="004244DC">
            <w:pPr>
              <w:spacing w:before="20" w:after="20"/>
              <w:jc w:val="right"/>
              <w:rPr>
                <w:rFonts w:ascii="Arial" w:hAnsi="Arial" w:cs="Arial"/>
                <w:b/>
                <w:bCs/>
                <w:sz w:val="20"/>
                <w:lang w:eastAsia="en-IN"/>
              </w:rPr>
            </w:pPr>
            <w:r w:rsidRPr="00C52C93">
              <w:rPr>
                <w:rFonts w:ascii="Arial" w:hAnsi="Arial" w:cs="Arial"/>
                <w:b/>
                <w:sz w:val="20"/>
              </w:rPr>
              <w:t>-</w:t>
            </w:r>
          </w:p>
        </w:tc>
        <w:tc>
          <w:tcPr>
            <w:tcW w:w="251" w:type="pct"/>
            <w:tcBorders>
              <w:top w:val="single" w:sz="4" w:space="0" w:color="auto"/>
              <w:left w:val="nil"/>
              <w:bottom w:val="nil"/>
              <w:right w:val="nil"/>
            </w:tcBorders>
            <w:shd w:val="clear" w:color="auto" w:fill="auto"/>
            <w:noWrap/>
            <w:hideMark/>
          </w:tcPr>
          <w:p w14:paraId="0B2A556E" w14:textId="77777777" w:rsidR="00130F3C" w:rsidRPr="00C52C93" w:rsidRDefault="00130F3C" w:rsidP="004244DC">
            <w:pPr>
              <w:spacing w:before="20" w:after="20"/>
              <w:jc w:val="right"/>
              <w:rPr>
                <w:rFonts w:ascii="Arial" w:hAnsi="Arial" w:cs="Arial"/>
                <w:b/>
                <w:bCs/>
                <w:sz w:val="20"/>
                <w:lang w:eastAsia="en-IN"/>
              </w:rPr>
            </w:pPr>
            <w:r w:rsidRPr="00C52C93">
              <w:rPr>
                <w:rFonts w:ascii="Arial" w:hAnsi="Arial" w:cs="Arial"/>
                <w:b/>
                <w:sz w:val="20"/>
              </w:rPr>
              <w:t>-</w:t>
            </w:r>
          </w:p>
        </w:tc>
        <w:tc>
          <w:tcPr>
            <w:tcW w:w="293" w:type="pct"/>
            <w:tcBorders>
              <w:top w:val="single" w:sz="4" w:space="0" w:color="auto"/>
              <w:left w:val="nil"/>
              <w:bottom w:val="nil"/>
              <w:right w:val="nil"/>
            </w:tcBorders>
          </w:tcPr>
          <w:p w14:paraId="721C24AA" w14:textId="77777777" w:rsidR="00130F3C" w:rsidRPr="00C52C93" w:rsidRDefault="00130F3C" w:rsidP="004244DC">
            <w:pPr>
              <w:spacing w:before="20" w:after="20"/>
              <w:jc w:val="right"/>
              <w:rPr>
                <w:rFonts w:ascii="Arial" w:hAnsi="Arial" w:cs="Arial"/>
                <w:b/>
                <w:bCs/>
                <w:sz w:val="20"/>
                <w:lang w:eastAsia="en-IN"/>
              </w:rPr>
            </w:pPr>
            <w:r w:rsidRPr="00C52C93">
              <w:rPr>
                <w:rFonts w:ascii="Arial" w:hAnsi="Arial" w:cs="Arial"/>
                <w:b/>
                <w:sz w:val="20"/>
              </w:rPr>
              <w:t>-</w:t>
            </w:r>
          </w:p>
        </w:tc>
        <w:tc>
          <w:tcPr>
            <w:tcW w:w="251" w:type="pct"/>
            <w:tcBorders>
              <w:top w:val="single" w:sz="4" w:space="0" w:color="auto"/>
              <w:left w:val="nil"/>
              <w:bottom w:val="nil"/>
              <w:right w:val="nil"/>
            </w:tcBorders>
            <w:shd w:val="clear" w:color="auto" w:fill="auto"/>
          </w:tcPr>
          <w:p w14:paraId="3CB78771" w14:textId="77777777" w:rsidR="00130F3C" w:rsidRPr="00C52C93" w:rsidRDefault="00130F3C" w:rsidP="004244DC">
            <w:pPr>
              <w:spacing w:before="20" w:after="20"/>
              <w:jc w:val="right"/>
              <w:rPr>
                <w:rFonts w:ascii="Arial" w:hAnsi="Arial" w:cs="Arial"/>
                <w:b/>
                <w:bCs/>
                <w:sz w:val="20"/>
                <w:lang w:eastAsia="en-IN"/>
              </w:rPr>
            </w:pPr>
            <w:r w:rsidRPr="00C52C93">
              <w:rPr>
                <w:rFonts w:ascii="Arial" w:hAnsi="Arial" w:cs="Arial"/>
                <w:b/>
                <w:sz w:val="20"/>
              </w:rPr>
              <w:t>-</w:t>
            </w:r>
          </w:p>
        </w:tc>
        <w:tc>
          <w:tcPr>
            <w:tcW w:w="218" w:type="pct"/>
            <w:tcBorders>
              <w:top w:val="single" w:sz="4" w:space="0" w:color="auto"/>
              <w:left w:val="nil"/>
              <w:bottom w:val="nil"/>
              <w:right w:val="nil"/>
            </w:tcBorders>
            <w:shd w:val="clear" w:color="auto" w:fill="auto"/>
            <w:noWrap/>
            <w:hideMark/>
          </w:tcPr>
          <w:p w14:paraId="67D3D34A" w14:textId="340184B8" w:rsidR="00130F3C" w:rsidRPr="00C52C93" w:rsidRDefault="00130F3C" w:rsidP="004244DC">
            <w:pPr>
              <w:spacing w:before="20" w:after="20"/>
              <w:jc w:val="right"/>
              <w:rPr>
                <w:rFonts w:ascii="Arial" w:hAnsi="Arial" w:cs="Arial"/>
                <w:b/>
                <w:bCs/>
                <w:sz w:val="20"/>
                <w:lang w:eastAsia="en-IN"/>
              </w:rPr>
            </w:pPr>
            <w:r w:rsidRPr="00C52C93">
              <w:rPr>
                <w:rFonts w:ascii="Arial" w:hAnsi="Arial" w:cs="Arial"/>
                <w:b/>
                <w:sz w:val="20"/>
              </w:rPr>
              <w:t>14,</w:t>
            </w:r>
            <w:r w:rsidR="006336DF">
              <w:rPr>
                <w:rFonts w:ascii="Arial" w:hAnsi="Arial" w:cs="Arial"/>
                <w:b/>
                <w:sz w:val="20"/>
              </w:rPr>
              <w:t>657</w:t>
            </w:r>
          </w:p>
        </w:tc>
        <w:tc>
          <w:tcPr>
            <w:tcW w:w="286" w:type="pct"/>
            <w:tcBorders>
              <w:top w:val="single" w:sz="4" w:space="0" w:color="auto"/>
              <w:left w:val="nil"/>
              <w:bottom w:val="nil"/>
              <w:right w:val="nil"/>
            </w:tcBorders>
            <w:shd w:val="clear" w:color="auto" w:fill="auto"/>
            <w:noWrap/>
            <w:hideMark/>
          </w:tcPr>
          <w:p w14:paraId="445DA489" w14:textId="394D50F3" w:rsidR="00130F3C" w:rsidRPr="00C52C93" w:rsidRDefault="00130F3C" w:rsidP="004244DC">
            <w:pPr>
              <w:spacing w:before="20" w:after="20"/>
              <w:jc w:val="right"/>
              <w:rPr>
                <w:rFonts w:ascii="Arial" w:hAnsi="Arial" w:cs="Arial"/>
                <w:b/>
                <w:bCs/>
                <w:sz w:val="20"/>
                <w:lang w:eastAsia="en-IN"/>
              </w:rPr>
            </w:pPr>
            <w:r w:rsidRPr="00C52C93">
              <w:rPr>
                <w:rFonts w:ascii="Arial" w:hAnsi="Arial" w:cs="Arial"/>
                <w:b/>
                <w:sz w:val="20"/>
              </w:rPr>
              <w:t>(</w:t>
            </w:r>
            <w:r w:rsidR="002A71D6">
              <w:rPr>
                <w:rFonts w:ascii="Arial" w:hAnsi="Arial" w:cs="Arial"/>
                <w:b/>
                <w:sz w:val="20"/>
              </w:rPr>
              <w:t>1,112</w:t>
            </w:r>
            <w:r w:rsidRPr="00C52C93">
              <w:rPr>
                <w:rFonts w:ascii="Arial" w:hAnsi="Arial" w:cs="Arial"/>
                <w:b/>
                <w:sz w:val="20"/>
              </w:rPr>
              <w:t>)</w:t>
            </w:r>
          </w:p>
        </w:tc>
        <w:tc>
          <w:tcPr>
            <w:tcW w:w="224" w:type="pct"/>
            <w:tcBorders>
              <w:top w:val="single" w:sz="4" w:space="0" w:color="auto"/>
              <w:left w:val="nil"/>
              <w:bottom w:val="nil"/>
              <w:right w:val="nil"/>
            </w:tcBorders>
          </w:tcPr>
          <w:p w14:paraId="468B4595" w14:textId="04A54B59" w:rsidR="00130F3C" w:rsidRDefault="00EF7D0C" w:rsidP="004244DC">
            <w:pPr>
              <w:spacing w:before="20" w:after="20"/>
              <w:jc w:val="right"/>
              <w:rPr>
                <w:rFonts w:ascii="Arial" w:hAnsi="Arial" w:cs="Arial"/>
                <w:b/>
                <w:sz w:val="20"/>
              </w:rPr>
            </w:pPr>
            <w:r>
              <w:rPr>
                <w:rFonts w:ascii="Arial" w:hAnsi="Arial" w:cs="Arial"/>
                <w:b/>
                <w:sz w:val="20"/>
              </w:rPr>
              <w:t>(</w:t>
            </w:r>
            <w:r w:rsidR="002A71D6">
              <w:rPr>
                <w:rFonts w:ascii="Arial" w:hAnsi="Arial" w:cs="Arial"/>
                <w:b/>
                <w:sz w:val="20"/>
              </w:rPr>
              <w:t>40</w:t>
            </w:r>
            <w:r>
              <w:rPr>
                <w:rFonts w:ascii="Arial" w:hAnsi="Arial" w:cs="Arial"/>
                <w:b/>
                <w:sz w:val="20"/>
              </w:rPr>
              <w:t>)</w:t>
            </w:r>
          </w:p>
        </w:tc>
        <w:tc>
          <w:tcPr>
            <w:tcW w:w="224" w:type="pct"/>
            <w:tcBorders>
              <w:top w:val="single" w:sz="4" w:space="0" w:color="auto"/>
              <w:left w:val="nil"/>
              <w:bottom w:val="nil"/>
              <w:right w:val="nil"/>
            </w:tcBorders>
          </w:tcPr>
          <w:p w14:paraId="73A8EA86" w14:textId="240DF561" w:rsidR="00130F3C" w:rsidRPr="00C52C93" w:rsidRDefault="00130F3C" w:rsidP="004244DC">
            <w:pPr>
              <w:spacing w:before="20" w:after="20"/>
              <w:jc w:val="right"/>
              <w:rPr>
                <w:rFonts w:ascii="Arial" w:hAnsi="Arial" w:cs="Arial"/>
                <w:b/>
                <w:sz w:val="20"/>
              </w:rPr>
            </w:pPr>
            <w:r>
              <w:rPr>
                <w:rFonts w:ascii="Arial" w:hAnsi="Arial" w:cs="Arial"/>
                <w:b/>
                <w:sz w:val="20"/>
              </w:rPr>
              <w:t>(13)</w:t>
            </w:r>
          </w:p>
        </w:tc>
        <w:tc>
          <w:tcPr>
            <w:tcW w:w="224" w:type="pct"/>
            <w:tcBorders>
              <w:top w:val="single" w:sz="4" w:space="0" w:color="auto"/>
              <w:left w:val="nil"/>
              <w:bottom w:val="nil"/>
              <w:right w:val="nil"/>
            </w:tcBorders>
            <w:shd w:val="clear" w:color="auto" w:fill="auto"/>
            <w:noWrap/>
            <w:hideMark/>
          </w:tcPr>
          <w:p w14:paraId="577DEFC3" w14:textId="66274667" w:rsidR="00130F3C" w:rsidRPr="00C52C93" w:rsidRDefault="00130F3C" w:rsidP="004244DC">
            <w:pPr>
              <w:spacing w:before="20" w:after="20"/>
              <w:jc w:val="right"/>
              <w:rPr>
                <w:rFonts w:ascii="Arial" w:hAnsi="Arial" w:cs="Arial"/>
                <w:b/>
                <w:bCs/>
                <w:sz w:val="20"/>
                <w:lang w:eastAsia="en-IN"/>
              </w:rPr>
            </w:pPr>
            <w:r w:rsidRPr="00C52C93">
              <w:rPr>
                <w:rFonts w:ascii="Arial" w:hAnsi="Arial" w:cs="Arial"/>
                <w:b/>
                <w:sz w:val="20"/>
              </w:rPr>
              <w:t>(</w:t>
            </w:r>
            <w:r>
              <w:rPr>
                <w:rFonts w:ascii="Arial" w:hAnsi="Arial" w:cs="Arial"/>
                <w:b/>
                <w:sz w:val="20"/>
              </w:rPr>
              <w:t>59</w:t>
            </w:r>
            <w:r w:rsidRPr="00C52C93">
              <w:rPr>
                <w:rFonts w:ascii="Arial" w:hAnsi="Arial" w:cs="Arial"/>
                <w:b/>
                <w:sz w:val="20"/>
              </w:rPr>
              <w:t>)</w:t>
            </w:r>
          </w:p>
        </w:tc>
        <w:tc>
          <w:tcPr>
            <w:tcW w:w="284" w:type="pct"/>
            <w:tcBorders>
              <w:top w:val="single" w:sz="4" w:space="0" w:color="auto"/>
              <w:left w:val="nil"/>
              <w:bottom w:val="nil"/>
              <w:right w:val="nil"/>
            </w:tcBorders>
            <w:shd w:val="clear" w:color="auto" w:fill="auto"/>
            <w:noWrap/>
            <w:hideMark/>
          </w:tcPr>
          <w:p w14:paraId="1563FD6F" w14:textId="77777777" w:rsidR="00130F3C" w:rsidRPr="00C52C93" w:rsidRDefault="00130F3C" w:rsidP="004244DC">
            <w:pPr>
              <w:spacing w:before="20" w:after="20"/>
              <w:jc w:val="right"/>
              <w:rPr>
                <w:rFonts w:ascii="Arial" w:hAnsi="Arial" w:cs="Arial"/>
                <w:b/>
                <w:bCs/>
                <w:sz w:val="20"/>
                <w:lang w:eastAsia="en-IN"/>
              </w:rPr>
            </w:pPr>
            <w:r w:rsidRPr="00C52C93">
              <w:rPr>
                <w:rFonts w:ascii="Arial" w:hAnsi="Arial" w:cs="Arial"/>
                <w:b/>
                <w:sz w:val="20"/>
              </w:rPr>
              <w:t>(92)</w:t>
            </w:r>
          </w:p>
        </w:tc>
        <w:tc>
          <w:tcPr>
            <w:tcW w:w="272" w:type="pct"/>
            <w:tcBorders>
              <w:top w:val="single" w:sz="4" w:space="0" w:color="auto"/>
              <w:left w:val="nil"/>
              <w:bottom w:val="nil"/>
              <w:right w:val="nil"/>
            </w:tcBorders>
            <w:shd w:val="clear" w:color="auto" w:fill="auto"/>
            <w:noWrap/>
            <w:hideMark/>
          </w:tcPr>
          <w:p w14:paraId="37FE4CE3" w14:textId="77777777" w:rsidR="00130F3C" w:rsidRPr="00C52C93" w:rsidRDefault="00130F3C" w:rsidP="004244DC">
            <w:pPr>
              <w:spacing w:before="20" w:after="20"/>
              <w:jc w:val="right"/>
              <w:rPr>
                <w:rFonts w:ascii="Arial" w:hAnsi="Arial" w:cs="Arial"/>
                <w:b/>
                <w:bCs/>
                <w:sz w:val="20"/>
                <w:lang w:eastAsia="en-IN"/>
              </w:rPr>
            </w:pPr>
            <w:r w:rsidRPr="00C52C93">
              <w:rPr>
                <w:rFonts w:ascii="Arial" w:hAnsi="Arial" w:cs="Arial"/>
                <w:b/>
                <w:sz w:val="20"/>
              </w:rPr>
              <w:t>1,066</w:t>
            </w:r>
          </w:p>
        </w:tc>
        <w:tc>
          <w:tcPr>
            <w:tcW w:w="315" w:type="pct"/>
            <w:tcBorders>
              <w:top w:val="single" w:sz="4" w:space="0" w:color="auto"/>
              <w:left w:val="nil"/>
              <w:bottom w:val="nil"/>
              <w:right w:val="nil"/>
            </w:tcBorders>
            <w:shd w:val="clear" w:color="auto" w:fill="auto"/>
            <w:noWrap/>
            <w:hideMark/>
          </w:tcPr>
          <w:p w14:paraId="31D877D5" w14:textId="77777777" w:rsidR="00130F3C" w:rsidRPr="00C52C93" w:rsidRDefault="00130F3C" w:rsidP="004244DC">
            <w:pPr>
              <w:spacing w:before="20" w:after="20"/>
              <w:jc w:val="right"/>
              <w:rPr>
                <w:rFonts w:ascii="Arial" w:hAnsi="Arial" w:cs="Arial"/>
                <w:b/>
                <w:bCs/>
                <w:sz w:val="20"/>
                <w:lang w:eastAsia="en-IN"/>
              </w:rPr>
            </w:pPr>
            <w:r w:rsidRPr="00C52C93">
              <w:rPr>
                <w:rFonts w:ascii="Arial" w:hAnsi="Arial" w:cs="Arial"/>
                <w:b/>
                <w:sz w:val="20"/>
              </w:rPr>
              <w:t>-</w:t>
            </w:r>
          </w:p>
        </w:tc>
        <w:tc>
          <w:tcPr>
            <w:tcW w:w="233" w:type="pct"/>
            <w:tcBorders>
              <w:top w:val="single" w:sz="4" w:space="0" w:color="auto"/>
              <w:left w:val="nil"/>
              <w:bottom w:val="nil"/>
              <w:right w:val="nil"/>
            </w:tcBorders>
            <w:shd w:val="clear" w:color="auto" w:fill="auto"/>
            <w:noWrap/>
            <w:hideMark/>
          </w:tcPr>
          <w:p w14:paraId="5879F846" w14:textId="0BC4CC3E" w:rsidR="00130F3C" w:rsidRPr="00C52C93" w:rsidRDefault="00130F3C" w:rsidP="004244DC">
            <w:pPr>
              <w:spacing w:before="20" w:after="20"/>
              <w:jc w:val="right"/>
              <w:rPr>
                <w:rFonts w:ascii="Arial" w:hAnsi="Arial" w:cs="Arial"/>
                <w:b/>
                <w:bCs/>
                <w:sz w:val="20"/>
                <w:lang w:eastAsia="en-IN"/>
              </w:rPr>
            </w:pPr>
            <w:r w:rsidRPr="00C52C93">
              <w:rPr>
                <w:rFonts w:ascii="Arial" w:hAnsi="Arial" w:cs="Arial"/>
                <w:b/>
                <w:sz w:val="20"/>
              </w:rPr>
              <w:t>14,</w:t>
            </w:r>
            <w:r w:rsidR="000E34A4">
              <w:rPr>
                <w:rFonts w:ascii="Arial" w:hAnsi="Arial" w:cs="Arial"/>
                <w:b/>
                <w:sz w:val="20"/>
              </w:rPr>
              <w:t>407</w:t>
            </w:r>
          </w:p>
        </w:tc>
        <w:tc>
          <w:tcPr>
            <w:tcW w:w="282" w:type="pct"/>
            <w:tcBorders>
              <w:top w:val="single" w:sz="4" w:space="0" w:color="auto"/>
              <w:left w:val="nil"/>
              <w:bottom w:val="nil"/>
              <w:right w:val="nil"/>
            </w:tcBorders>
            <w:shd w:val="clear" w:color="auto" w:fill="auto"/>
            <w:noWrap/>
            <w:hideMark/>
          </w:tcPr>
          <w:p w14:paraId="5A3683B9" w14:textId="77777777" w:rsidR="00130F3C" w:rsidRPr="00C52C93" w:rsidRDefault="00130F3C" w:rsidP="005D1292">
            <w:pPr>
              <w:spacing w:before="20" w:after="20"/>
              <w:jc w:val="right"/>
              <w:rPr>
                <w:rFonts w:ascii="Arial" w:hAnsi="Arial" w:cs="Arial"/>
                <w:b/>
                <w:bCs/>
                <w:sz w:val="20"/>
                <w:lang w:eastAsia="en-IN"/>
              </w:rPr>
            </w:pPr>
            <w:r w:rsidRPr="00C52C93">
              <w:rPr>
                <w:rFonts w:ascii="Arial" w:hAnsi="Arial" w:cs="Arial"/>
                <w:b/>
                <w:sz w:val="20"/>
              </w:rPr>
              <w:t>520</w:t>
            </w:r>
          </w:p>
        </w:tc>
        <w:tc>
          <w:tcPr>
            <w:tcW w:w="273" w:type="pct"/>
            <w:tcBorders>
              <w:top w:val="single" w:sz="4" w:space="0" w:color="auto"/>
              <w:left w:val="nil"/>
              <w:bottom w:val="nil"/>
              <w:right w:val="nil"/>
            </w:tcBorders>
            <w:shd w:val="clear" w:color="auto" w:fill="auto"/>
          </w:tcPr>
          <w:p w14:paraId="7868386E" w14:textId="6FD5FB14" w:rsidR="00130F3C" w:rsidRPr="00C52C93" w:rsidRDefault="006A2896" w:rsidP="002339F4">
            <w:pPr>
              <w:spacing w:before="20" w:after="20"/>
              <w:jc w:val="right"/>
              <w:rPr>
                <w:rFonts w:ascii="Arial" w:hAnsi="Arial" w:cs="Arial"/>
                <w:b/>
                <w:bCs/>
                <w:sz w:val="20"/>
                <w:lang w:eastAsia="en-IN"/>
              </w:rPr>
            </w:pPr>
            <w:r>
              <w:rPr>
                <w:rFonts w:ascii="Arial" w:hAnsi="Arial" w:cs="Arial"/>
                <w:b/>
                <w:sz w:val="20"/>
              </w:rPr>
              <w:t>14,927</w:t>
            </w:r>
          </w:p>
        </w:tc>
      </w:tr>
      <w:tr w:rsidR="00EF7D0C" w:rsidRPr="00E70587" w14:paraId="70ABDB59" w14:textId="77777777" w:rsidTr="00130F3C">
        <w:trPr>
          <w:trHeight w:val="285"/>
        </w:trPr>
        <w:tc>
          <w:tcPr>
            <w:tcW w:w="567" w:type="pct"/>
            <w:tcBorders>
              <w:top w:val="nil"/>
              <w:left w:val="nil"/>
              <w:bottom w:val="nil"/>
              <w:right w:val="nil"/>
            </w:tcBorders>
            <w:shd w:val="clear" w:color="auto" w:fill="auto"/>
            <w:noWrap/>
            <w:hideMark/>
          </w:tcPr>
          <w:p w14:paraId="166BD775" w14:textId="77777777" w:rsidR="00EF7D0C" w:rsidRPr="00E70587" w:rsidRDefault="00EF7D0C" w:rsidP="00EF7D0C">
            <w:pPr>
              <w:spacing w:before="20" w:after="20"/>
              <w:rPr>
                <w:rFonts w:ascii="Arial" w:hAnsi="Arial" w:cs="Arial"/>
                <w:sz w:val="20"/>
                <w:lang w:eastAsia="en-IN"/>
              </w:rPr>
            </w:pPr>
            <w:r w:rsidRPr="00E70587">
              <w:rPr>
                <w:rFonts w:ascii="Arial" w:hAnsi="Arial" w:cs="Arial"/>
                <w:sz w:val="20"/>
                <w:lang w:eastAsia="en-IN"/>
              </w:rPr>
              <w:t>Depreciation transfer for buildings (note 3)</w:t>
            </w:r>
          </w:p>
        </w:tc>
        <w:tc>
          <w:tcPr>
            <w:tcW w:w="301" w:type="pct"/>
            <w:tcBorders>
              <w:top w:val="nil"/>
              <w:left w:val="nil"/>
              <w:bottom w:val="nil"/>
              <w:right w:val="nil"/>
            </w:tcBorders>
            <w:shd w:val="clear" w:color="auto" w:fill="auto"/>
            <w:noWrap/>
            <w:hideMark/>
          </w:tcPr>
          <w:p w14:paraId="42355482" w14:textId="72D24975" w:rsidR="00EF7D0C" w:rsidRPr="00E70587" w:rsidRDefault="00EF7D0C" w:rsidP="00EF7D0C">
            <w:pPr>
              <w:spacing w:before="20" w:after="20"/>
              <w:jc w:val="right"/>
              <w:rPr>
                <w:rFonts w:ascii="Arial" w:hAnsi="Arial" w:cs="Arial"/>
                <w:sz w:val="20"/>
                <w:lang w:eastAsia="en-IN"/>
              </w:rPr>
            </w:pPr>
            <w:r>
              <w:rPr>
                <w:rFonts w:ascii="Arial" w:hAnsi="Arial" w:cs="Arial"/>
                <w:sz w:val="20"/>
                <w:lang w:eastAsia="en-IN"/>
              </w:rPr>
              <w:t>-</w:t>
            </w:r>
          </w:p>
        </w:tc>
        <w:tc>
          <w:tcPr>
            <w:tcW w:w="251" w:type="pct"/>
            <w:tcBorders>
              <w:top w:val="nil"/>
              <w:left w:val="nil"/>
              <w:bottom w:val="nil"/>
              <w:right w:val="nil"/>
            </w:tcBorders>
            <w:shd w:val="clear" w:color="auto" w:fill="auto"/>
            <w:noWrap/>
            <w:hideMark/>
          </w:tcPr>
          <w:p w14:paraId="12F7D120"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noWrap/>
            <w:hideMark/>
          </w:tcPr>
          <w:p w14:paraId="481E808E"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noWrap/>
            <w:hideMark/>
          </w:tcPr>
          <w:p w14:paraId="5536AFCF"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93" w:type="pct"/>
            <w:tcBorders>
              <w:top w:val="nil"/>
              <w:left w:val="nil"/>
              <w:bottom w:val="nil"/>
              <w:right w:val="nil"/>
            </w:tcBorders>
          </w:tcPr>
          <w:p w14:paraId="2E038B71"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tcPr>
          <w:p w14:paraId="59092F76"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18" w:type="pct"/>
            <w:tcBorders>
              <w:top w:val="nil"/>
              <w:left w:val="nil"/>
              <w:bottom w:val="nil"/>
              <w:right w:val="nil"/>
            </w:tcBorders>
            <w:shd w:val="clear" w:color="auto" w:fill="auto"/>
            <w:noWrap/>
            <w:hideMark/>
          </w:tcPr>
          <w:p w14:paraId="506EB1A9"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144</w:t>
            </w:r>
          </w:p>
        </w:tc>
        <w:tc>
          <w:tcPr>
            <w:tcW w:w="286" w:type="pct"/>
            <w:tcBorders>
              <w:top w:val="nil"/>
              <w:left w:val="nil"/>
              <w:bottom w:val="nil"/>
              <w:right w:val="nil"/>
            </w:tcBorders>
            <w:shd w:val="clear" w:color="auto" w:fill="auto"/>
            <w:noWrap/>
            <w:hideMark/>
          </w:tcPr>
          <w:p w14:paraId="41A27A89"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24" w:type="pct"/>
            <w:tcBorders>
              <w:top w:val="nil"/>
              <w:left w:val="nil"/>
              <w:bottom w:val="nil"/>
              <w:right w:val="nil"/>
            </w:tcBorders>
          </w:tcPr>
          <w:p w14:paraId="5F228B13" w14:textId="438115DA" w:rsidR="00EF7D0C" w:rsidRDefault="00EF7D0C" w:rsidP="00EF7D0C">
            <w:pPr>
              <w:spacing w:before="20" w:after="20"/>
              <w:jc w:val="right"/>
              <w:rPr>
                <w:rFonts w:ascii="Arial" w:hAnsi="Arial" w:cs="Arial"/>
                <w:sz w:val="20"/>
              </w:rPr>
            </w:pPr>
            <w:r w:rsidRPr="005E2492">
              <w:rPr>
                <w:rFonts w:ascii="Arial" w:hAnsi="Arial" w:cs="Arial"/>
                <w:sz w:val="20"/>
              </w:rPr>
              <w:t>-</w:t>
            </w:r>
          </w:p>
        </w:tc>
        <w:tc>
          <w:tcPr>
            <w:tcW w:w="224" w:type="pct"/>
            <w:tcBorders>
              <w:top w:val="nil"/>
              <w:left w:val="nil"/>
              <w:bottom w:val="nil"/>
              <w:right w:val="nil"/>
            </w:tcBorders>
          </w:tcPr>
          <w:p w14:paraId="79EE6973" w14:textId="67F93992" w:rsidR="00EF7D0C" w:rsidRPr="00E70587" w:rsidRDefault="00EF7D0C" w:rsidP="00EF7D0C">
            <w:pPr>
              <w:spacing w:before="20" w:after="20"/>
              <w:jc w:val="right"/>
              <w:rPr>
                <w:rFonts w:ascii="Arial" w:hAnsi="Arial" w:cs="Arial"/>
                <w:sz w:val="20"/>
              </w:rPr>
            </w:pPr>
            <w:r>
              <w:rPr>
                <w:rFonts w:ascii="Arial" w:hAnsi="Arial" w:cs="Arial"/>
                <w:sz w:val="20"/>
              </w:rPr>
              <w:t>-</w:t>
            </w:r>
          </w:p>
        </w:tc>
        <w:tc>
          <w:tcPr>
            <w:tcW w:w="224" w:type="pct"/>
            <w:tcBorders>
              <w:top w:val="nil"/>
              <w:left w:val="nil"/>
              <w:bottom w:val="nil"/>
              <w:right w:val="nil"/>
            </w:tcBorders>
            <w:shd w:val="clear" w:color="auto" w:fill="auto"/>
            <w:noWrap/>
            <w:hideMark/>
          </w:tcPr>
          <w:p w14:paraId="1143A0F4" w14:textId="323A196E"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4" w:type="pct"/>
            <w:tcBorders>
              <w:top w:val="nil"/>
              <w:left w:val="nil"/>
              <w:bottom w:val="nil"/>
              <w:right w:val="nil"/>
            </w:tcBorders>
            <w:shd w:val="clear" w:color="auto" w:fill="auto"/>
            <w:noWrap/>
            <w:hideMark/>
          </w:tcPr>
          <w:p w14:paraId="6A82798B"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72" w:type="pct"/>
            <w:tcBorders>
              <w:top w:val="nil"/>
              <w:left w:val="nil"/>
              <w:bottom w:val="nil"/>
              <w:right w:val="nil"/>
            </w:tcBorders>
            <w:shd w:val="clear" w:color="auto" w:fill="auto"/>
            <w:noWrap/>
            <w:hideMark/>
          </w:tcPr>
          <w:p w14:paraId="2A7DBF96"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(144)</w:t>
            </w:r>
          </w:p>
        </w:tc>
        <w:tc>
          <w:tcPr>
            <w:tcW w:w="315" w:type="pct"/>
            <w:tcBorders>
              <w:top w:val="nil"/>
              <w:left w:val="nil"/>
              <w:bottom w:val="nil"/>
              <w:right w:val="nil"/>
            </w:tcBorders>
            <w:shd w:val="clear" w:color="auto" w:fill="auto"/>
            <w:noWrap/>
            <w:hideMark/>
          </w:tcPr>
          <w:p w14:paraId="352B9B29"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33" w:type="pct"/>
            <w:tcBorders>
              <w:top w:val="nil"/>
              <w:left w:val="nil"/>
              <w:bottom w:val="nil"/>
              <w:right w:val="nil"/>
            </w:tcBorders>
            <w:shd w:val="clear" w:color="auto" w:fill="auto"/>
            <w:noWrap/>
            <w:hideMark/>
          </w:tcPr>
          <w:p w14:paraId="64EC3A2D"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2" w:type="pct"/>
            <w:tcBorders>
              <w:top w:val="nil"/>
              <w:left w:val="nil"/>
              <w:bottom w:val="nil"/>
              <w:right w:val="nil"/>
            </w:tcBorders>
            <w:shd w:val="clear" w:color="auto" w:fill="auto"/>
            <w:noWrap/>
            <w:hideMark/>
          </w:tcPr>
          <w:p w14:paraId="5580B8B9"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73" w:type="pct"/>
            <w:tcBorders>
              <w:top w:val="nil"/>
              <w:left w:val="nil"/>
              <w:bottom w:val="nil"/>
              <w:right w:val="nil"/>
            </w:tcBorders>
          </w:tcPr>
          <w:p w14:paraId="463B6C05" w14:textId="77777777" w:rsidR="00EF7D0C" w:rsidRPr="00BB6300" w:rsidRDefault="00EF7D0C" w:rsidP="00EF7D0C">
            <w:pPr>
              <w:spacing w:before="20" w:after="20"/>
              <w:jc w:val="right"/>
              <w:rPr>
                <w:rFonts w:ascii="Arial" w:hAnsi="Arial" w:cs="Arial"/>
                <w:sz w:val="20"/>
                <w:lang w:eastAsia="en-IN"/>
              </w:rPr>
            </w:pPr>
            <w:r w:rsidRPr="00BB6300">
              <w:rPr>
                <w:rFonts w:ascii="Arial" w:hAnsi="Arial" w:cs="Arial"/>
                <w:sz w:val="20"/>
              </w:rPr>
              <w:t>-</w:t>
            </w:r>
          </w:p>
        </w:tc>
      </w:tr>
      <w:tr w:rsidR="00EF7D0C" w:rsidRPr="00E70587" w14:paraId="642BA731" w14:textId="77777777" w:rsidTr="00130F3C">
        <w:trPr>
          <w:trHeight w:val="285"/>
        </w:trPr>
        <w:tc>
          <w:tcPr>
            <w:tcW w:w="567" w:type="pct"/>
            <w:tcBorders>
              <w:top w:val="nil"/>
              <w:left w:val="nil"/>
              <w:bottom w:val="nil"/>
              <w:right w:val="nil"/>
            </w:tcBorders>
            <w:shd w:val="clear" w:color="auto" w:fill="auto"/>
            <w:noWrap/>
            <w:hideMark/>
          </w:tcPr>
          <w:p w14:paraId="0C0AD5E1" w14:textId="77777777" w:rsidR="00EF7D0C" w:rsidRPr="00E70587" w:rsidRDefault="00EF7D0C" w:rsidP="00EF7D0C">
            <w:pPr>
              <w:spacing w:before="20" w:after="20"/>
              <w:rPr>
                <w:rFonts w:ascii="Arial" w:hAnsi="Arial" w:cs="Arial"/>
                <w:sz w:val="20"/>
                <w:lang w:eastAsia="en-IN"/>
              </w:rPr>
            </w:pPr>
            <w:r w:rsidRPr="00E70587">
              <w:rPr>
                <w:rFonts w:ascii="Arial" w:hAnsi="Arial" w:cs="Arial"/>
                <w:sz w:val="20"/>
                <w:lang w:eastAsia="en-IN"/>
              </w:rPr>
              <w:t>Discontinued operations (Note 21)</w:t>
            </w:r>
          </w:p>
        </w:tc>
        <w:tc>
          <w:tcPr>
            <w:tcW w:w="301" w:type="pct"/>
            <w:tcBorders>
              <w:top w:val="nil"/>
              <w:left w:val="nil"/>
              <w:bottom w:val="nil"/>
              <w:right w:val="nil"/>
            </w:tcBorders>
            <w:shd w:val="clear" w:color="auto" w:fill="auto"/>
            <w:noWrap/>
            <w:hideMark/>
          </w:tcPr>
          <w:p w14:paraId="16BBC5A0" w14:textId="08591248" w:rsidR="00EF7D0C" w:rsidRPr="00E70587" w:rsidRDefault="00EF7D0C" w:rsidP="00EF7D0C">
            <w:pPr>
              <w:spacing w:before="20" w:after="20"/>
              <w:jc w:val="right"/>
              <w:rPr>
                <w:rFonts w:ascii="Arial" w:hAnsi="Arial" w:cs="Arial"/>
                <w:sz w:val="20"/>
                <w:lang w:eastAsia="en-IN"/>
              </w:rPr>
            </w:pPr>
            <w:r>
              <w:rPr>
                <w:rFonts w:ascii="Arial" w:hAnsi="Arial" w:cs="Arial"/>
                <w:sz w:val="20"/>
                <w:lang w:eastAsia="en-IN"/>
              </w:rPr>
              <w:t>-</w:t>
            </w:r>
          </w:p>
        </w:tc>
        <w:tc>
          <w:tcPr>
            <w:tcW w:w="251" w:type="pct"/>
            <w:tcBorders>
              <w:top w:val="nil"/>
              <w:left w:val="nil"/>
              <w:bottom w:val="nil"/>
              <w:right w:val="nil"/>
            </w:tcBorders>
            <w:shd w:val="clear" w:color="auto" w:fill="auto"/>
            <w:noWrap/>
            <w:hideMark/>
          </w:tcPr>
          <w:p w14:paraId="3C993709"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noWrap/>
            <w:hideMark/>
          </w:tcPr>
          <w:p w14:paraId="5CE118AD"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noWrap/>
            <w:hideMark/>
          </w:tcPr>
          <w:p w14:paraId="427C9ED5"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93" w:type="pct"/>
            <w:tcBorders>
              <w:top w:val="nil"/>
              <w:left w:val="nil"/>
              <w:bottom w:val="nil"/>
              <w:right w:val="nil"/>
            </w:tcBorders>
          </w:tcPr>
          <w:p w14:paraId="41E62021"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tcPr>
          <w:p w14:paraId="346B6828"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18" w:type="pct"/>
            <w:tcBorders>
              <w:top w:val="nil"/>
              <w:left w:val="nil"/>
              <w:bottom w:val="nil"/>
              <w:right w:val="nil"/>
            </w:tcBorders>
            <w:shd w:val="clear" w:color="auto" w:fill="auto"/>
            <w:noWrap/>
            <w:hideMark/>
          </w:tcPr>
          <w:p w14:paraId="17879C07"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6" w:type="pct"/>
            <w:tcBorders>
              <w:top w:val="nil"/>
              <w:left w:val="nil"/>
              <w:bottom w:val="nil"/>
              <w:right w:val="nil"/>
            </w:tcBorders>
            <w:shd w:val="clear" w:color="auto" w:fill="auto"/>
            <w:noWrap/>
            <w:hideMark/>
          </w:tcPr>
          <w:p w14:paraId="487975AF"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24" w:type="pct"/>
            <w:tcBorders>
              <w:top w:val="nil"/>
              <w:left w:val="nil"/>
              <w:bottom w:val="nil"/>
              <w:right w:val="nil"/>
            </w:tcBorders>
          </w:tcPr>
          <w:p w14:paraId="302EA7D9" w14:textId="4A302B6E" w:rsidR="00EF7D0C" w:rsidRDefault="00EF7D0C" w:rsidP="00EF7D0C">
            <w:pPr>
              <w:spacing w:before="20" w:after="20"/>
              <w:jc w:val="right"/>
              <w:rPr>
                <w:rFonts w:ascii="Arial" w:hAnsi="Arial" w:cs="Arial"/>
                <w:sz w:val="20"/>
              </w:rPr>
            </w:pPr>
            <w:r w:rsidRPr="005E2492">
              <w:rPr>
                <w:rFonts w:ascii="Arial" w:hAnsi="Arial" w:cs="Arial"/>
                <w:sz w:val="20"/>
              </w:rPr>
              <w:t>-</w:t>
            </w:r>
          </w:p>
        </w:tc>
        <w:tc>
          <w:tcPr>
            <w:tcW w:w="224" w:type="pct"/>
            <w:tcBorders>
              <w:top w:val="nil"/>
              <w:left w:val="nil"/>
              <w:bottom w:val="nil"/>
              <w:right w:val="nil"/>
            </w:tcBorders>
          </w:tcPr>
          <w:p w14:paraId="05DF4ECE" w14:textId="4B3E4D77" w:rsidR="00EF7D0C" w:rsidRPr="00E70587" w:rsidRDefault="00EF7D0C" w:rsidP="00EF7D0C">
            <w:pPr>
              <w:spacing w:before="20" w:after="20"/>
              <w:jc w:val="right"/>
              <w:rPr>
                <w:rFonts w:ascii="Arial" w:hAnsi="Arial" w:cs="Arial"/>
                <w:sz w:val="20"/>
              </w:rPr>
            </w:pPr>
            <w:r>
              <w:rPr>
                <w:rFonts w:ascii="Arial" w:hAnsi="Arial" w:cs="Arial"/>
                <w:sz w:val="20"/>
              </w:rPr>
              <w:t>-</w:t>
            </w:r>
          </w:p>
        </w:tc>
        <w:tc>
          <w:tcPr>
            <w:tcW w:w="224" w:type="pct"/>
            <w:tcBorders>
              <w:top w:val="nil"/>
              <w:left w:val="nil"/>
              <w:bottom w:val="nil"/>
              <w:right w:val="nil"/>
            </w:tcBorders>
            <w:shd w:val="clear" w:color="auto" w:fill="auto"/>
            <w:noWrap/>
            <w:hideMark/>
          </w:tcPr>
          <w:p w14:paraId="76A49CCD" w14:textId="4A504E79"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(83)</w:t>
            </w:r>
          </w:p>
        </w:tc>
        <w:tc>
          <w:tcPr>
            <w:tcW w:w="284" w:type="pct"/>
            <w:tcBorders>
              <w:top w:val="nil"/>
              <w:left w:val="nil"/>
              <w:bottom w:val="nil"/>
              <w:right w:val="nil"/>
            </w:tcBorders>
            <w:shd w:val="clear" w:color="auto" w:fill="auto"/>
            <w:noWrap/>
            <w:hideMark/>
          </w:tcPr>
          <w:p w14:paraId="242069B2"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72" w:type="pct"/>
            <w:tcBorders>
              <w:top w:val="nil"/>
              <w:left w:val="nil"/>
              <w:bottom w:val="nil"/>
              <w:right w:val="nil"/>
            </w:tcBorders>
            <w:shd w:val="clear" w:color="auto" w:fill="auto"/>
            <w:noWrap/>
            <w:hideMark/>
          </w:tcPr>
          <w:p w14:paraId="0A83AA02"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315" w:type="pct"/>
            <w:tcBorders>
              <w:top w:val="nil"/>
              <w:left w:val="nil"/>
              <w:bottom w:val="nil"/>
              <w:right w:val="nil"/>
            </w:tcBorders>
            <w:shd w:val="clear" w:color="auto" w:fill="auto"/>
            <w:noWrap/>
            <w:hideMark/>
          </w:tcPr>
          <w:p w14:paraId="781DC81E"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83</w:t>
            </w:r>
          </w:p>
        </w:tc>
        <w:tc>
          <w:tcPr>
            <w:tcW w:w="233" w:type="pct"/>
            <w:tcBorders>
              <w:top w:val="nil"/>
              <w:left w:val="nil"/>
              <w:bottom w:val="nil"/>
              <w:right w:val="nil"/>
            </w:tcBorders>
            <w:shd w:val="clear" w:color="auto" w:fill="auto"/>
            <w:noWrap/>
            <w:hideMark/>
          </w:tcPr>
          <w:p w14:paraId="29932C59"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2" w:type="pct"/>
            <w:tcBorders>
              <w:top w:val="nil"/>
              <w:left w:val="nil"/>
              <w:bottom w:val="nil"/>
              <w:right w:val="nil"/>
            </w:tcBorders>
            <w:shd w:val="clear" w:color="auto" w:fill="auto"/>
            <w:noWrap/>
            <w:hideMark/>
          </w:tcPr>
          <w:p w14:paraId="0E191925"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73" w:type="pct"/>
            <w:tcBorders>
              <w:top w:val="nil"/>
              <w:left w:val="nil"/>
              <w:bottom w:val="nil"/>
              <w:right w:val="nil"/>
            </w:tcBorders>
          </w:tcPr>
          <w:p w14:paraId="73E64681"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r>
      <w:tr w:rsidR="00EF7D0C" w:rsidRPr="00E70587" w14:paraId="7AC2C984" w14:textId="77777777" w:rsidTr="00130F3C">
        <w:trPr>
          <w:trHeight w:val="285"/>
        </w:trPr>
        <w:tc>
          <w:tcPr>
            <w:tcW w:w="567" w:type="pct"/>
            <w:tcBorders>
              <w:top w:val="nil"/>
              <w:left w:val="nil"/>
              <w:bottom w:val="nil"/>
              <w:right w:val="nil"/>
            </w:tcBorders>
            <w:shd w:val="clear" w:color="auto" w:fill="auto"/>
            <w:noWrap/>
            <w:hideMark/>
          </w:tcPr>
          <w:p w14:paraId="79B9E507" w14:textId="77777777" w:rsidR="00EF7D0C" w:rsidRPr="00E70587" w:rsidRDefault="00EF7D0C" w:rsidP="00EF7D0C">
            <w:pPr>
              <w:spacing w:before="20" w:after="20"/>
              <w:rPr>
                <w:rFonts w:ascii="Arial" w:hAnsi="Arial" w:cs="Arial"/>
                <w:sz w:val="20"/>
                <w:lang w:eastAsia="en-IN"/>
              </w:rPr>
            </w:pPr>
            <w:r w:rsidRPr="00E70587">
              <w:rPr>
                <w:rFonts w:ascii="Arial" w:hAnsi="Arial" w:cs="Arial"/>
                <w:sz w:val="20"/>
                <w:lang w:eastAsia="en-IN"/>
              </w:rPr>
              <w:t>Issue of share capital (Note 11)</w:t>
            </w:r>
          </w:p>
        </w:tc>
        <w:tc>
          <w:tcPr>
            <w:tcW w:w="301" w:type="pct"/>
            <w:tcBorders>
              <w:top w:val="nil"/>
              <w:left w:val="nil"/>
              <w:bottom w:val="nil"/>
              <w:right w:val="nil"/>
            </w:tcBorders>
            <w:shd w:val="clear" w:color="auto" w:fill="auto"/>
            <w:noWrap/>
            <w:hideMark/>
          </w:tcPr>
          <w:p w14:paraId="6B9442C3" w14:textId="5C1F0289" w:rsidR="00EF7D0C" w:rsidRPr="00E70587" w:rsidRDefault="00EF7D0C" w:rsidP="00EF7D0C">
            <w:pPr>
              <w:spacing w:before="20" w:after="20"/>
              <w:jc w:val="right"/>
              <w:rPr>
                <w:rFonts w:ascii="Arial" w:hAnsi="Arial" w:cs="Arial"/>
                <w:sz w:val="20"/>
                <w:lang w:eastAsia="en-IN"/>
              </w:rPr>
            </w:pPr>
            <w:r>
              <w:rPr>
                <w:rFonts w:ascii="Arial" w:hAnsi="Arial" w:cs="Arial"/>
                <w:sz w:val="20"/>
                <w:lang w:eastAsia="en-IN"/>
              </w:rPr>
              <w:t>-</w:t>
            </w:r>
          </w:p>
        </w:tc>
        <w:tc>
          <w:tcPr>
            <w:tcW w:w="251" w:type="pct"/>
            <w:tcBorders>
              <w:top w:val="nil"/>
              <w:left w:val="nil"/>
              <w:bottom w:val="nil"/>
              <w:right w:val="nil"/>
            </w:tcBorders>
            <w:shd w:val="clear" w:color="auto" w:fill="auto"/>
            <w:noWrap/>
            <w:hideMark/>
          </w:tcPr>
          <w:p w14:paraId="31D2318B" w14:textId="7F0E18A9"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8,46</w:t>
            </w:r>
            <w:r>
              <w:rPr>
                <w:rFonts w:ascii="Arial" w:hAnsi="Arial" w:cs="Arial"/>
                <w:sz w:val="20"/>
              </w:rPr>
              <w:t>6</w:t>
            </w:r>
          </w:p>
        </w:tc>
        <w:tc>
          <w:tcPr>
            <w:tcW w:w="251" w:type="pct"/>
            <w:tcBorders>
              <w:top w:val="nil"/>
              <w:left w:val="nil"/>
              <w:bottom w:val="nil"/>
              <w:right w:val="nil"/>
            </w:tcBorders>
            <w:shd w:val="clear" w:color="auto" w:fill="auto"/>
            <w:noWrap/>
            <w:hideMark/>
          </w:tcPr>
          <w:p w14:paraId="67C38154"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noWrap/>
            <w:hideMark/>
          </w:tcPr>
          <w:p w14:paraId="52455991"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93" w:type="pct"/>
            <w:tcBorders>
              <w:top w:val="nil"/>
              <w:left w:val="nil"/>
              <w:bottom w:val="nil"/>
              <w:right w:val="nil"/>
            </w:tcBorders>
          </w:tcPr>
          <w:p w14:paraId="4989F8A6"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tcPr>
          <w:p w14:paraId="4D14E480"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18" w:type="pct"/>
            <w:tcBorders>
              <w:top w:val="nil"/>
              <w:left w:val="nil"/>
              <w:bottom w:val="nil"/>
              <w:right w:val="nil"/>
            </w:tcBorders>
            <w:shd w:val="clear" w:color="auto" w:fill="auto"/>
            <w:noWrap/>
            <w:hideMark/>
          </w:tcPr>
          <w:p w14:paraId="358EE76E"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6" w:type="pct"/>
            <w:tcBorders>
              <w:top w:val="nil"/>
              <w:left w:val="nil"/>
              <w:bottom w:val="nil"/>
              <w:right w:val="nil"/>
            </w:tcBorders>
            <w:shd w:val="clear" w:color="auto" w:fill="auto"/>
            <w:noWrap/>
            <w:hideMark/>
          </w:tcPr>
          <w:p w14:paraId="46513423"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24" w:type="pct"/>
            <w:tcBorders>
              <w:top w:val="nil"/>
              <w:left w:val="nil"/>
              <w:bottom w:val="nil"/>
              <w:right w:val="nil"/>
            </w:tcBorders>
          </w:tcPr>
          <w:p w14:paraId="11268F56" w14:textId="34FEEFA2" w:rsidR="00EF7D0C" w:rsidRDefault="00EF7D0C" w:rsidP="00EF7D0C">
            <w:pPr>
              <w:spacing w:before="20" w:after="20"/>
              <w:jc w:val="right"/>
              <w:rPr>
                <w:rFonts w:ascii="Arial" w:hAnsi="Arial" w:cs="Arial"/>
                <w:sz w:val="20"/>
              </w:rPr>
            </w:pPr>
            <w:r w:rsidRPr="005E2492">
              <w:rPr>
                <w:rFonts w:ascii="Arial" w:hAnsi="Arial" w:cs="Arial"/>
                <w:sz w:val="20"/>
              </w:rPr>
              <w:t>-</w:t>
            </w:r>
          </w:p>
        </w:tc>
        <w:tc>
          <w:tcPr>
            <w:tcW w:w="224" w:type="pct"/>
            <w:tcBorders>
              <w:top w:val="nil"/>
              <w:left w:val="nil"/>
              <w:bottom w:val="nil"/>
              <w:right w:val="nil"/>
            </w:tcBorders>
          </w:tcPr>
          <w:p w14:paraId="19C2D66C" w14:textId="08E9EC9A" w:rsidR="00EF7D0C" w:rsidRPr="00E70587" w:rsidRDefault="00EF7D0C" w:rsidP="00EF7D0C">
            <w:pPr>
              <w:spacing w:before="20" w:after="20"/>
              <w:jc w:val="right"/>
              <w:rPr>
                <w:rFonts w:ascii="Arial" w:hAnsi="Arial" w:cs="Arial"/>
                <w:sz w:val="20"/>
              </w:rPr>
            </w:pPr>
            <w:r>
              <w:rPr>
                <w:rFonts w:ascii="Arial" w:hAnsi="Arial" w:cs="Arial"/>
                <w:sz w:val="20"/>
              </w:rPr>
              <w:t>-</w:t>
            </w:r>
          </w:p>
        </w:tc>
        <w:tc>
          <w:tcPr>
            <w:tcW w:w="224" w:type="pct"/>
            <w:tcBorders>
              <w:top w:val="nil"/>
              <w:left w:val="nil"/>
              <w:bottom w:val="nil"/>
              <w:right w:val="nil"/>
            </w:tcBorders>
            <w:shd w:val="clear" w:color="auto" w:fill="auto"/>
            <w:noWrap/>
            <w:hideMark/>
          </w:tcPr>
          <w:p w14:paraId="344A0000" w14:textId="62DED5F4"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4" w:type="pct"/>
            <w:tcBorders>
              <w:top w:val="nil"/>
              <w:left w:val="nil"/>
              <w:bottom w:val="nil"/>
              <w:right w:val="nil"/>
            </w:tcBorders>
            <w:shd w:val="clear" w:color="auto" w:fill="auto"/>
            <w:noWrap/>
            <w:hideMark/>
          </w:tcPr>
          <w:p w14:paraId="15EEDF50"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72" w:type="pct"/>
            <w:tcBorders>
              <w:top w:val="nil"/>
              <w:left w:val="nil"/>
              <w:bottom w:val="nil"/>
              <w:right w:val="nil"/>
            </w:tcBorders>
            <w:shd w:val="clear" w:color="auto" w:fill="auto"/>
            <w:noWrap/>
            <w:hideMark/>
          </w:tcPr>
          <w:p w14:paraId="07F9B557"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315" w:type="pct"/>
            <w:tcBorders>
              <w:top w:val="nil"/>
              <w:left w:val="nil"/>
              <w:bottom w:val="nil"/>
              <w:right w:val="nil"/>
            </w:tcBorders>
            <w:shd w:val="clear" w:color="auto" w:fill="auto"/>
            <w:noWrap/>
            <w:hideMark/>
          </w:tcPr>
          <w:p w14:paraId="11AE83B4"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33" w:type="pct"/>
            <w:tcBorders>
              <w:top w:val="nil"/>
              <w:left w:val="nil"/>
              <w:bottom w:val="nil"/>
              <w:right w:val="nil"/>
            </w:tcBorders>
            <w:shd w:val="clear" w:color="auto" w:fill="auto"/>
            <w:noWrap/>
            <w:hideMark/>
          </w:tcPr>
          <w:p w14:paraId="6EFF5399" w14:textId="5AD508E6"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8,46</w:t>
            </w:r>
            <w:r>
              <w:rPr>
                <w:rFonts w:ascii="Arial" w:hAnsi="Arial" w:cs="Arial"/>
                <w:sz w:val="20"/>
              </w:rPr>
              <w:t>6</w:t>
            </w:r>
          </w:p>
        </w:tc>
        <w:tc>
          <w:tcPr>
            <w:tcW w:w="282" w:type="pct"/>
            <w:tcBorders>
              <w:top w:val="nil"/>
              <w:left w:val="nil"/>
              <w:bottom w:val="nil"/>
              <w:right w:val="nil"/>
            </w:tcBorders>
            <w:shd w:val="clear" w:color="auto" w:fill="auto"/>
            <w:noWrap/>
            <w:hideMark/>
          </w:tcPr>
          <w:p w14:paraId="54371229"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73" w:type="pct"/>
            <w:tcBorders>
              <w:top w:val="nil"/>
              <w:left w:val="nil"/>
              <w:bottom w:val="nil"/>
              <w:right w:val="nil"/>
            </w:tcBorders>
          </w:tcPr>
          <w:p w14:paraId="5FC09937" w14:textId="39C342FC"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8,46</w:t>
            </w:r>
            <w:r>
              <w:rPr>
                <w:rFonts w:ascii="Arial" w:hAnsi="Arial" w:cs="Arial"/>
                <w:sz w:val="20"/>
              </w:rPr>
              <w:t>6</w:t>
            </w:r>
          </w:p>
        </w:tc>
      </w:tr>
      <w:tr w:rsidR="00EF7D0C" w:rsidRPr="00E70587" w14:paraId="18F26F66" w14:textId="77777777" w:rsidTr="00130F3C">
        <w:trPr>
          <w:trHeight w:val="285"/>
        </w:trPr>
        <w:tc>
          <w:tcPr>
            <w:tcW w:w="567" w:type="pct"/>
            <w:tcBorders>
              <w:top w:val="nil"/>
              <w:left w:val="nil"/>
              <w:bottom w:val="nil"/>
              <w:right w:val="nil"/>
            </w:tcBorders>
            <w:shd w:val="clear" w:color="auto" w:fill="auto"/>
            <w:noWrap/>
            <w:hideMark/>
          </w:tcPr>
          <w:p w14:paraId="1DB9B46E" w14:textId="77777777" w:rsidR="00EF7D0C" w:rsidRPr="00E70587" w:rsidRDefault="00EF7D0C" w:rsidP="00EF7D0C">
            <w:pPr>
              <w:spacing w:before="20" w:after="20"/>
              <w:rPr>
                <w:rFonts w:ascii="Arial" w:hAnsi="Arial" w:cs="Arial"/>
                <w:sz w:val="20"/>
                <w:lang w:eastAsia="en-IN"/>
              </w:rPr>
            </w:pPr>
            <w:r w:rsidRPr="00E70587">
              <w:rPr>
                <w:rFonts w:ascii="Arial" w:hAnsi="Arial" w:cs="Arial"/>
                <w:sz w:val="20"/>
                <w:lang w:eastAsia="en-IN"/>
              </w:rPr>
              <w:t>Exercise of share options (Note 12)</w:t>
            </w:r>
          </w:p>
        </w:tc>
        <w:tc>
          <w:tcPr>
            <w:tcW w:w="301" w:type="pct"/>
            <w:tcBorders>
              <w:top w:val="nil"/>
              <w:left w:val="nil"/>
              <w:bottom w:val="nil"/>
              <w:right w:val="nil"/>
            </w:tcBorders>
            <w:shd w:val="clear" w:color="auto" w:fill="auto"/>
            <w:noWrap/>
            <w:hideMark/>
          </w:tcPr>
          <w:p w14:paraId="784BB3F4" w14:textId="2CB12C52" w:rsidR="00EF7D0C" w:rsidRPr="00E70587" w:rsidRDefault="00EF7D0C" w:rsidP="00EF7D0C">
            <w:pPr>
              <w:spacing w:before="20" w:after="20"/>
              <w:jc w:val="right"/>
              <w:rPr>
                <w:rFonts w:ascii="Arial" w:hAnsi="Arial" w:cs="Arial"/>
                <w:sz w:val="20"/>
                <w:lang w:eastAsia="en-IN"/>
              </w:rPr>
            </w:pPr>
            <w:r>
              <w:rPr>
                <w:rFonts w:ascii="Arial" w:hAnsi="Arial" w:cs="Arial"/>
                <w:sz w:val="20"/>
                <w:lang w:eastAsia="en-IN"/>
              </w:rPr>
              <w:t>-</w:t>
            </w:r>
          </w:p>
        </w:tc>
        <w:tc>
          <w:tcPr>
            <w:tcW w:w="251" w:type="pct"/>
            <w:tcBorders>
              <w:top w:val="nil"/>
              <w:left w:val="nil"/>
              <w:bottom w:val="nil"/>
              <w:right w:val="nil"/>
            </w:tcBorders>
            <w:shd w:val="clear" w:color="auto" w:fill="auto"/>
            <w:noWrap/>
            <w:hideMark/>
          </w:tcPr>
          <w:p w14:paraId="0B43893C" w14:textId="77777777" w:rsidR="00EF7D0C" w:rsidRPr="00E70587" w:rsidRDefault="00EF7D0C" w:rsidP="00EF7D0C">
            <w:pPr>
              <w:spacing w:before="20" w:after="20"/>
              <w:jc w:val="right"/>
              <w:rPr>
                <w:rFonts w:ascii="Arial" w:hAnsi="Arial" w:cs="Arial"/>
                <w:sz w:val="20"/>
                <w:lang w:eastAsia="en-IN"/>
              </w:rPr>
            </w:pPr>
          </w:p>
        </w:tc>
        <w:tc>
          <w:tcPr>
            <w:tcW w:w="251" w:type="pct"/>
            <w:tcBorders>
              <w:top w:val="nil"/>
              <w:left w:val="nil"/>
              <w:bottom w:val="nil"/>
              <w:right w:val="nil"/>
            </w:tcBorders>
            <w:shd w:val="clear" w:color="auto" w:fill="auto"/>
            <w:noWrap/>
            <w:hideMark/>
          </w:tcPr>
          <w:p w14:paraId="38F4845C"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263</w:t>
            </w:r>
          </w:p>
        </w:tc>
        <w:tc>
          <w:tcPr>
            <w:tcW w:w="251" w:type="pct"/>
            <w:tcBorders>
              <w:top w:val="nil"/>
              <w:left w:val="nil"/>
              <w:bottom w:val="nil"/>
              <w:right w:val="nil"/>
            </w:tcBorders>
            <w:shd w:val="clear" w:color="auto" w:fill="auto"/>
            <w:noWrap/>
            <w:hideMark/>
          </w:tcPr>
          <w:p w14:paraId="178694CB"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(128)</w:t>
            </w:r>
          </w:p>
        </w:tc>
        <w:tc>
          <w:tcPr>
            <w:tcW w:w="293" w:type="pct"/>
            <w:tcBorders>
              <w:top w:val="nil"/>
              <w:left w:val="nil"/>
              <w:bottom w:val="nil"/>
              <w:right w:val="nil"/>
            </w:tcBorders>
          </w:tcPr>
          <w:p w14:paraId="2106DB48"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tcPr>
          <w:p w14:paraId="1F172117"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180</w:t>
            </w:r>
          </w:p>
        </w:tc>
        <w:tc>
          <w:tcPr>
            <w:tcW w:w="218" w:type="pct"/>
            <w:tcBorders>
              <w:top w:val="nil"/>
              <w:left w:val="nil"/>
              <w:bottom w:val="nil"/>
              <w:right w:val="nil"/>
            </w:tcBorders>
            <w:shd w:val="clear" w:color="auto" w:fill="auto"/>
            <w:noWrap/>
          </w:tcPr>
          <w:p w14:paraId="555D3137"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6" w:type="pct"/>
            <w:tcBorders>
              <w:top w:val="nil"/>
              <w:left w:val="nil"/>
              <w:bottom w:val="nil"/>
              <w:right w:val="nil"/>
            </w:tcBorders>
            <w:shd w:val="clear" w:color="auto" w:fill="auto"/>
            <w:noWrap/>
            <w:hideMark/>
          </w:tcPr>
          <w:p w14:paraId="7335FE38"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24" w:type="pct"/>
            <w:tcBorders>
              <w:top w:val="nil"/>
              <w:left w:val="nil"/>
              <w:bottom w:val="nil"/>
              <w:right w:val="nil"/>
            </w:tcBorders>
          </w:tcPr>
          <w:p w14:paraId="63683D49" w14:textId="333BD712" w:rsidR="00EF7D0C" w:rsidRPr="00D57D94" w:rsidRDefault="00EF7D0C" w:rsidP="00EF7D0C">
            <w:pPr>
              <w:spacing w:before="20" w:after="20"/>
              <w:jc w:val="right"/>
              <w:rPr>
                <w:rFonts w:ascii="Arial" w:hAnsi="Arial" w:cs="Arial"/>
                <w:sz w:val="20"/>
              </w:rPr>
            </w:pPr>
            <w:r w:rsidRPr="005E2492">
              <w:rPr>
                <w:rFonts w:ascii="Arial" w:hAnsi="Arial" w:cs="Arial"/>
                <w:sz w:val="20"/>
              </w:rPr>
              <w:t>-</w:t>
            </w:r>
          </w:p>
        </w:tc>
        <w:tc>
          <w:tcPr>
            <w:tcW w:w="224" w:type="pct"/>
            <w:tcBorders>
              <w:top w:val="nil"/>
              <w:left w:val="nil"/>
              <w:bottom w:val="nil"/>
              <w:right w:val="nil"/>
            </w:tcBorders>
          </w:tcPr>
          <w:p w14:paraId="7BED837B" w14:textId="0F55A359" w:rsidR="00EF7D0C" w:rsidRPr="00E70587" w:rsidRDefault="00EF7D0C" w:rsidP="00EF7D0C">
            <w:pPr>
              <w:spacing w:before="20" w:after="20"/>
              <w:jc w:val="right"/>
              <w:rPr>
                <w:rFonts w:ascii="Arial" w:hAnsi="Arial" w:cs="Arial"/>
                <w:sz w:val="20"/>
              </w:rPr>
            </w:pPr>
            <w:r w:rsidRPr="00D57D94">
              <w:rPr>
                <w:rFonts w:ascii="Arial" w:hAnsi="Arial" w:cs="Arial"/>
                <w:sz w:val="20"/>
              </w:rPr>
              <w:t>-</w:t>
            </w:r>
          </w:p>
        </w:tc>
        <w:tc>
          <w:tcPr>
            <w:tcW w:w="224" w:type="pct"/>
            <w:tcBorders>
              <w:top w:val="nil"/>
              <w:left w:val="nil"/>
              <w:bottom w:val="nil"/>
              <w:right w:val="nil"/>
            </w:tcBorders>
            <w:shd w:val="clear" w:color="auto" w:fill="auto"/>
            <w:noWrap/>
            <w:hideMark/>
          </w:tcPr>
          <w:p w14:paraId="7966921E" w14:textId="62A8AC79"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4" w:type="pct"/>
            <w:tcBorders>
              <w:top w:val="nil"/>
              <w:left w:val="nil"/>
              <w:bottom w:val="nil"/>
              <w:right w:val="nil"/>
            </w:tcBorders>
            <w:shd w:val="clear" w:color="auto" w:fill="auto"/>
            <w:noWrap/>
            <w:hideMark/>
          </w:tcPr>
          <w:p w14:paraId="6F0078C4"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72" w:type="pct"/>
            <w:tcBorders>
              <w:top w:val="nil"/>
              <w:left w:val="nil"/>
              <w:bottom w:val="nil"/>
              <w:right w:val="nil"/>
            </w:tcBorders>
            <w:shd w:val="clear" w:color="auto" w:fill="auto"/>
            <w:noWrap/>
            <w:hideMark/>
          </w:tcPr>
          <w:p w14:paraId="0025D864"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315" w:type="pct"/>
            <w:tcBorders>
              <w:top w:val="nil"/>
              <w:left w:val="nil"/>
              <w:bottom w:val="nil"/>
              <w:right w:val="nil"/>
            </w:tcBorders>
            <w:shd w:val="clear" w:color="auto" w:fill="auto"/>
            <w:noWrap/>
            <w:hideMark/>
          </w:tcPr>
          <w:p w14:paraId="46EB1812"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33" w:type="pct"/>
            <w:tcBorders>
              <w:top w:val="nil"/>
              <w:left w:val="nil"/>
              <w:bottom w:val="nil"/>
              <w:right w:val="nil"/>
            </w:tcBorders>
            <w:shd w:val="clear" w:color="auto" w:fill="auto"/>
            <w:noWrap/>
            <w:hideMark/>
          </w:tcPr>
          <w:p w14:paraId="440736AB"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315</w:t>
            </w:r>
          </w:p>
        </w:tc>
        <w:tc>
          <w:tcPr>
            <w:tcW w:w="282" w:type="pct"/>
            <w:tcBorders>
              <w:top w:val="nil"/>
              <w:left w:val="nil"/>
              <w:bottom w:val="nil"/>
              <w:right w:val="nil"/>
            </w:tcBorders>
            <w:shd w:val="clear" w:color="auto" w:fill="auto"/>
            <w:noWrap/>
            <w:hideMark/>
          </w:tcPr>
          <w:p w14:paraId="63C914F6"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73" w:type="pct"/>
            <w:tcBorders>
              <w:top w:val="nil"/>
              <w:left w:val="nil"/>
              <w:bottom w:val="nil"/>
              <w:right w:val="nil"/>
            </w:tcBorders>
          </w:tcPr>
          <w:p w14:paraId="34360F37"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315</w:t>
            </w:r>
          </w:p>
        </w:tc>
      </w:tr>
      <w:tr w:rsidR="00EF7D0C" w:rsidRPr="00E70587" w14:paraId="06107561" w14:textId="77777777" w:rsidTr="00130F3C">
        <w:trPr>
          <w:trHeight w:val="285"/>
        </w:trPr>
        <w:tc>
          <w:tcPr>
            <w:tcW w:w="567" w:type="pct"/>
            <w:tcBorders>
              <w:top w:val="nil"/>
              <w:left w:val="nil"/>
              <w:bottom w:val="nil"/>
              <w:right w:val="nil"/>
            </w:tcBorders>
            <w:shd w:val="clear" w:color="auto" w:fill="auto"/>
            <w:noWrap/>
            <w:hideMark/>
          </w:tcPr>
          <w:p w14:paraId="27A85B4C" w14:textId="77777777" w:rsidR="00EF7D0C" w:rsidRPr="00E70587" w:rsidRDefault="00EF7D0C" w:rsidP="00EF7D0C">
            <w:pPr>
              <w:spacing w:before="20" w:after="20"/>
              <w:rPr>
                <w:rFonts w:ascii="Arial" w:hAnsi="Arial" w:cs="Arial"/>
                <w:sz w:val="20"/>
                <w:lang w:eastAsia="en-IN"/>
              </w:rPr>
            </w:pPr>
            <w:r w:rsidRPr="00E70587">
              <w:rPr>
                <w:rFonts w:ascii="Arial" w:hAnsi="Arial" w:cs="Arial"/>
                <w:sz w:val="20"/>
                <w:lang w:eastAsia="en-IN"/>
              </w:rPr>
              <w:t>Share-based payments (Note 41)</w:t>
            </w:r>
          </w:p>
        </w:tc>
        <w:tc>
          <w:tcPr>
            <w:tcW w:w="301" w:type="pct"/>
            <w:tcBorders>
              <w:top w:val="nil"/>
              <w:left w:val="nil"/>
              <w:bottom w:val="nil"/>
              <w:right w:val="nil"/>
            </w:tcBorders>
            <w:shd w:val="clear" w:color="auto" w:fill="auto"/>
            <w:noWrap/>
            <w:hideMark/>
          </w:tcPr>
          <w:p w14:paraId="00C331C7" w14:textId="23FE0482" w:rsidR="00EF7D0C" w:rsidRPr="00E70587" w:rsidRDefault="00EF7D0C" w:rsidP="00EF7D0C">
            <w:pPr>
              <w:spacing w:before="20" w:after="20"/>
              <w:jc w:val="right"/>
              <w:rPr>
                <w:rFonts w:ascii="Arial" w:hAnsi="Arial" w:cs="Arial"/>
                <w:sz w:val="20"/>
                <w:lang w:eastAsia="en-IN"/>
              </w:rPr>
            </w:pPr>
            <w:r>
              <w:rPr>
                <w:rFonts w:ascii="Arial" w:hAnsi="Arial" w:cs="Arial"/>
                <w:sz w:val="20"/>
                <w:lang w:eastAsia="en-IN"/>
              </w:rPr>
              <w:t>-</w:t>
            </w:r>
          </w:p>
        </w:tc>
        <w:tc>
          <w:tcPr>
            <w:tcW w:w="251" w:type="pct"/>
            <w:tcBorders>
              <w:top w:val="nil"/>
              <w:left w:val="nil"/>
              <w:bottom w:val="nil"/>
              <w:right w:val="nil"/>
            </w:tcBorders>
            <w:shd w:val="clear" w:color="auto" w:fill="auto"/>
            <w:noWrap/>
            <w:hideMark/>
          </w:tcPr>
          <w:p w14:paraId="5B59577D"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noWrap/>
            <w:hideMark/>
          </w:tcPr>
          <w:p w14:paraId="0D7E3918"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noWrap/>
            <w:hideMark/>
          </w:tcPr>
          <w:p w14:paraId="3E611520"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553</w:t>
            </w:r>
          </w:p>
        </w:tc>
        <w:tc>
          <w:tcPr>
            <w:tcW w:w="293" w:type="pct"/>
            <w:tcBorders>
              <w:top w:val="nil"/>
              <w:left w:val="nil"/>
              <w:bottom w:val="nil"/>
              <w:right w:val="nil"/>
            </w:tcBorders>
          </w:tcPr>
          <w:p w14:paraId="2D744A70"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tcPr>
          <w:p w14:paraId="61586E0C"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18" w:type="pct"/>
            <w:tcBorders>
              <w:top w:val="nil"/>
              <w:left w:val="nil"/>
              <w:bottom w:val="nil"/>
              <w:right w:val="nil"/>
            </w:tcBorders>
            <w:shd w:val="clear" w:color="auto" w:fill="auto"/>
            <w:noWrap/>
            <w:hideMark/>
          </w:tcPr>
          <w:p w14:paraId="1882A784"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6" w:type="pct"/>
            <w:tcBorders>
              <w:top w:val="nil"/>
              <w:left w:val="nil"/>
              <w:bottom w:val="nil"/>
              <w:right w:val="nil"/>
            </w:tcBorders>
            <w:shd w:val="clear" w:color="auto" w:fill="auto"/>
            <w:noWrap/>
            <w:hideMark/>
          </w:tcPr>
          <w:p w14:paraId="67612EAB"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24" w:type="pct"/>
            <w:tcBorders>
              <w:top w:val="nil"/>
              <w:left w:val="nil"/>
              <w:bottom w:val="nil"/>
              <w:right w:val="nil"/>
            </w:tcBorders>
          </w:tcPr>
          <w:p w14:paraId="010BD18B" w14:textId="19B69061" w:rsidR="00EF7D0C" w:rsidRPr="00D57D94" w:rsidRDefault="00EF7D0C" w:rsidP="00EF7D0C">
            <w:pPr>
              <w:spacing w:before="20" w:after="20"/>
              <w:jc w:val="right"/>
              <w:rPr>
                <w:rFonts w:ascii="Arial" w:hAnsi="Arial" w:cs="Arial"/>
                <w:sz w:val="20"/>
              </w:rPr>
            </w:pPr>
            <w:r w:rsidRPr="005E2492">
              <w:rPr>
                <w:rFonts w:ascii="Arial" w:hAnsi="Arial" w:cs="Arial"/>
                <w:sz w:val="20"/>
              </w:rPr>
              <w:t>-</w:t>
            </w:r>
          </w:p>
        </w:tc>
        <w:tc>
          <w:tcPr>
            <w:tcW w:w="224" w:type="pct"/>
            <w:tcBorders>
              <w:top w:val="nil"/>
              <w:left w:val="nil"/>
              <w:bottom w:val="nil"/>
              <w:right w:val="nil"/>
            </w:tcBorders>
          </w:tcPr>
          <w:p w14:paraId="04D5BF25" w14:textId="3103FCF3" w:rsidR="00EF7D0C" w:rsidRPr="00E70587" w:rsidRDefault="00EF7D0C" w:rsidP="00EF7D0C">
            <w:pPr>
              <w:spacing w:before="20" w:after="20"/>
              <w:jc w:val="right"/>
              <w:rPr>
                <w:rFonts w:ascii="Arial" w:hAnsi="Arial" w:cs="Arial"/>
                <w:sz w:val="20"/>
              </w:rPr>
            </w:pPr>
            <w:r w:rsidRPr="00D57D94">
              <w:rPr>
                <w:rFonts w:ascii="Arial" w:hAnsi="Arial" w:cs="Arial"/>
                <w:sz w:val="20"/>
              </w:rPr>
              <w:t>-</w:t>
            </w:r>
          </w:p>
        </w:tc>
        <w:tc>
          <w:tcPr>
            <w:tcW w:w="224" w:type="pct"/>
            <w:tcBorders>
              <w:top w:val="nil"/>
              <w:left w:val="nil"/>
              <w:bottom w:val="nil"/>
              <w:right w:val="nil"/>
            </w:tcBorders>
            <w:shd w:val="clear" w:color="auto" w:fill="auto"/>
            <w:noWrap/>
            <w:hideMark/>
          </w:tcPr>
          <w:p w14:paraId="16484D69" w14:textId="61DA0A9B"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4" w:type="pct"/>
            <w:tcBorders>
              <w:top w:val="nil"/>
              <w:left w:val="nil"/>
              <w:bottom w:val="nil"/>
              <w:right w:val="nil"/>
            </w:tcBorders>
            <w:shd w:val="clear" w:color="auto" w:fill="auto"/>
            <w:noWrap/>
            <w:hideMark/>
          </w:tcPr>
          <w:p w14:paraId="6ECE6F36"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72" w:type="pct"/>
            <w:tcBorders>
              <w:top w:val="nil"/>
              <w:left w:val="nil"/>
              <w:bottom w:val="nil"/>
              <w:right w:val="nil"/>
            </w:tcBorders>
            <w:shd w:val="clear" w:color="auto" w:fill="auto"/>
            <w:noWrap/>
            <w:hideMark/>
          </w:tcPr>
          <w:p w14:paraId="008D620F"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315" w:type="pct"/>
            <w:tcBorders>
              <w:top w:val="nil"/>
              <w:left w:val="nil"/>
              <w:bottom w:val="nil"/>
              <w:right w:val="nil"/>
            </w:tcBorders>
            <w:shd w:val="clear" w:color="auto" w:fill="auto"/>
            <w:noWrap/>
            <w:hideMark/>
          </w:tcPr>
          <w:p w14:paraId="4AF77B3E"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33" w:type="pct"/>
            <w:tcBorders>
              <w:top w:val="nil"/>
              <w:left w:val="nil"/>
              <w:bottom w:val="nil"/>
              <w:right w:val="nil"/>
            </w:tcBorders>
            <w:shd w:val="clear" w:color="auto" w:fill="auto"/>
            <w:noWrap/>
            <w:hideMark/>
          </w:tcPr>
          <w:p w14:paraId="133FD04B"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553</w:t>
            </w:r>
          </w:p>
        </w:tc>
        <w:tc>
          <w:tcPr>
            <w:tcW w:w="282" w:type="pct"/>
            <w:tcBorders>
              <w:top w:val="nil"/>
              <w:left w:val="nil"/>
              <w:bottom w:val="nil"/>
              <w:right w:val="nil"/>
            </w:tcBorders>
            <w:shd w:val="clear" w:color="auto" w:fill="auto"/>
            <w:noWrap/>
            <w:hideMark/>
          </w:tcPr>
          <w:p w14:paraId="1226993A"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73" w:type="pct"/>
            <w:tcBorders>
              <w:top w:val="nil"/>
              <w:left w:val="nil"/>
              <w:bottom w:val="nil"/>
              <w:right w:val="nil"/>
            </w:tcBorders>
          </w:tcPr>
          <w:p w14:paraId="6DD10096"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553</w:t>
            </w:r>
          </w:p>
        </w:tc>
      </w:tr>
      <w:tr w:rsidR="00EF7D0C" w:rsidRPr="00E70587" w14:paraId="4E4A7BDC" w14:textId="77777777" w:rsidTr="00130F3C">
        <w:trPr>
          <w:trHeight w:val="285"/>
        </w:trPr>
        <w:tc>
          <w:tcPr>
            <w:tcW w:w="567" w:type="pct"/>
            <w:tcBorders>
              <w:top w:val="nil"/>
              <w:left w:val="nil"/>
              <w:bottom w:val="nil"/>
              <w:right w:val="nil"/>
            </w:tcBorders>
            <w:shd w:val="clear" w:color="auto" w:fill="auto"/>
            <w:noWrap/>
            <w:hideMark/>
          </w:tcPr>
          <w:p w14:paraId="4073B985" w14:textId="77777777" w:rsidR="00EF7D0C" w:rsidRPr="00E70587" w:rsidRDefault="00EF7D0C" w:rsidP="00EF7D0C">
            <w:pPr>
              <w:spacing w:before="20" w:after="20"/>
              <w:rPr>
                <w:rFonts w:ascii="Arial" w:hAnsi="Arial" w:cs="Arial"/>
                <w:sz w:val="20"/>
                <w:lang w:eastAsia="en-IN"/>
              </w:rPr>
            </w:pPr>
            <w:r w:rsidRPr="00E70587">
              <w:rPr>
                <w:rFonts w:ascii="Arial" w:hAnsi="Arial" w:cs="Arial"/>
                <w:sz w:val="20"/>
                <w:lang w:eastAsia="en-IN"/>
              </w:rPr>
              <w:t>Transaction costs (Note 36)</w:t>
            </w:r>
          </w:p>
        </w:tc>
        <w:tc>
          <w:tcPr>
            <w:tcW w:w="301" w:type="pct"/>
            <w:tcBorders>
              <w:top w:val="nil"/>
              <w:left w:val="nil"/>
              <w:bottom w:val="nil"/>
              <w:right w:val="nil"/>
            </w:tcBorders>
            <w:shd w:val="clear" w:color="auto" w:fill="auto"/>
            <w:noWrap/>
            <w:hideMark/>
          </w:tcPr>
          <w:p w14:paraId="32A0EE65" w14:textId="62FFA3F9" w:rsidR="00EF7D0C" w:rsidRPr="00E70587" w:rsidRDefault="00EF7D0C" w:rsidP="00EF7D0C">
            <w:pPr>
              <w:spacing w:before="20" w:after="20"/>
              <w:jc w:val="right"/>
              <w:rPr>
                <w:rFonts w:ascii="Arial" w:hAnsi="Arial" w:cs="Arial"/>
                <w:sz w:val="20"/>
                <w:lang w:eastAsia="en-IN"/>
              </w:rPr>
            </w:pPr>
            <w:r>
              <w:rPr>
                <w:rFonts w:ascii="Arial" w:hAnsi="Arial" w:cs="Arial"/>
                <w:sz w:val="20"/>
                <w:lang w:eastAsia="en-IN"/>
              </w:rPr>
              <w:t>-</w:t>
            </w:r>
          </w:p>
        </w:tc>
        <w:tc>
          <w:tcPr>
            <w:tcW w:w="251" w:type="pct"/>
            <w:tcBorders>
              <w:top w:val="nil"/>
              <w:left w:val="nil"/>
              <w:bottom w:val="nil"/>
              <w:right w:val="nil"/>
            </w:tcBorders>
            <w:shd w:val="clear" w:color="auto" w:fill="auto"/>
            <w:noWrap/>
            <w:hideMark/>
          </w:tcPr>
          <w:p w14:paraId="62E672AE"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(58)</w:t>
            </w:r>
          </w:p>
        </w:tc>
        <w:tc>
          <w:tcPr>
            <w:tcW w:w="251" w:type="pct"/>
            <w:tcBorders>
              <w:top w:val="nil"/>
              <w:left w:val="nil"/>
              <w:bottom w:val="nil"/>
              <w:right w:val="nil"/>
            </w:tcBorders>
            <w:shd w:val="clear" w:color="auto" w:fill="auto"/>
            <w:noWrap/>
            <w:hideMark/>
          </w:tcPr>
          <w:p w14:paraId="3DCA5CD2"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noWrap/>
            <w:hideMark/>
          </w:tcPr>
          <w:p w14:paraId="1757B570"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93" w:type="pct"/>
            <w:tcBorders>
              <w:top w:val="nil"/>
              <w:left w:val="nil"/>
              <w:bottom w:val="nil"/>
              <w:right w:val="nil"/>
            </w:tcBorders>
          </w:tcPr>
          <w:p w14:paraId="1AD858AA"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tcPr>
          <w:p w14:paraId="78CE3677"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18" w:type="pct"/>
            <w:tcBorders>
              <w:top w:val="nil"/>
              <w:left w:val="nil"/>
              <w:bottom w:val="nil"/>
              <w:right w:val="nil"/>
            </w:tcBorders>
            <w:shd w:val="clear" w:color="auto" w:fill="auto"/>
            <w:noWrap/>
            <w:hideMark/>
          </w:tcPr>
          <w:p w14:paraId="1A0C62BA"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6" w:type="pct"/>
            <w:tcBorders>
              <w:top w:val="nil"/>
              <w:left w:val="nil"/>
              <w:bottom w:val="nil"/>
              <w:right w:val="nil"/>
            </w:tcBorders>
            <w:shd w:val="clear" w:color="auto" w:fill="auto"/>
            <w:noWrap/>
            <w:hideMark/>
          </w:tcPr>
          <w:p w14:paraId="683437D5"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24" w:type="pct"/>
            <w:tcBorders>
              <w:top w:val="nil"/>
              <w:left w:val="nil"/>
              <w:bottom w:val="nil"/>
              <w:right w:val="nil"/>
            </w:tcBorders>
          </w:tcPr>
          <w:p w14:paraId="6C5CF65A" w14:textId="0BCD8D9E" w:rsidR="00EF7D0C" w:rsidRPr="00D57D94" w:rsidRDefault="00EF7D0C" w:rsidP="00EF7D0C">
            <w:pPr>
              <w:spacing w:before="20" w:after="20"/>
              <w:jc w:val="right"/>
              <w:rPr>
                <w:rFonts w:ascii="Arial" w:hAnsi="Arial" w:cs="Arial"/>
                <w:sz w:val="20"/>
              </w:rPr>
            </w:pPr>
            <w:r w:rsidRPr="005E2492">
              <w:rPr>
                <w:rFonts w:ascii="Arial" w:hAnsi="Arial" w:cs="Arial"/>
                <w:sz w:val="20"/>
              </w:rPr>
              <w:t>-</w:t>
            </w:r>
          </w:p>
        </w:tc>
        <w:tc>
          <w:tcPr>
            <w:tcW w:w="224" w:type="pct"/>
            <w:tcBorders>
              <w:top w:val="nil"/>
              <w:left w:val="nil"/>
              <w:bottom w:val="nil"/>
              <w:right w:val="nil"/>
            </w:tcBorders>
          </w:tcPr>
          <w:p w14:paraId="3E764197" w14:textId="3D727E1D" w:rsidR="00EF7D0C" w:rsidRPr="00E70587" w:rsidRDefault="00EF7D0C" w:rsidP="00EF7D0C">
            <w:pPr>
              <w:spacing w:before="20" w:after="20"/>
              <w:jc w:val="right"/>
              <w:rPr>
                <w:rFonts w:ascii="Arial" w:hAnsi="Arial" w:cs="Arial"/>
                <w:sz w:val="20"/>
              </w:rPr>
            </w:pPr>
            <w:r w:rsidRPr="00D57D94">
              <w:rPr>
                <w:rFonts w:ascii="Arial" w:hAnsi="Arial" w:cs="Arial"/>
                <w:sz w:val="20"/>
              </w:rPr>
              <w:t>-</w:t>
            </w:r>
          </w:p>
        </w:tc>
        <w:tc>
          <w:tcPr>
            <w:tcW w:w="224" w:type="pct"/>
            <w:tcBorders>
              <w:top w:val="nil"/>
              <w:left w:val="nil"/>
              <w:bottom w:val="nil"/>
              <w:right w:val="nil"/>
            </w:tcBorders>
            <w:shd w:val="clear" w:color="auto" w:fill="auto"/>
            <w:noWrap/>
            <w:hideMark/>
          </w:tcPr>
          <w:p w14:paraId="364EE469" w14:textId="171291F6"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4" w:type="pct"/>
            <w:tcBorders>
              <w:top w:val="nil"/>
              <w:left w:val="nil"/>
              <w:bottom w:val="nil"/>
              <w:right w:val="nil"/>
            </w:tcBorders>
            <w:shd w:val="clear" w:color="auto" w:fill="auto"/>
            <w:noWrap/>
            <w:hideMark/>
          </w:tcPr>
          <w:p w14:paraId="0B9D578E"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72" w:type="pct"/>
            <w:tcBorders>
              <w:top w:val="nil"/>
              <w:left w:val="nil"/>
              <w:bottom w:val="nil"/>
              <w:right w:val="nil"/>
            </w:tcBorders>
            <w:shd w:val="clear" w:color="auto" w:fill="auto"/>
            <w:noWrap/>
            <w:hideMark/>
          </w:tcPr>
          <w:p w14:paraId="2E349A09"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315" w:type="pct"/>
            <w:tcBorders>
              <w:top w:val="nil"/>
              <w:left w:val="nil"/>
              <w:bottom w:val="nil"/>
              <w:right w:val="nil"/>
            </w:tcBorders>
            <w:shd w:val="clear" w:color="auto" w:fill="auto"/>
            <w:noWrap/>
            <w:hideMark/>
          </w:tcPr>
          <w:p w14:paraId="33060EA2"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33" w:type="pct"/>
            <w:tcBorders>
              <w:top w:val="nil"/>
              <w:left w:val="nil"/>
              <w:bottom w:val="nil"/>
              <w:right w:val="nil"/>
            </w:tcBorders>
            <w:shd w:val="clear" w:color="auto" w:fill="auto"/>
            <w:noWrap/>
            <w:hideMark/>
          </w:tcPr>
          <w:p w14:paraId="0A6C1BA5"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(58)</w:t>
            </w:r>
          </w:p>
        </w:tc>
        <w:tc>
          <w:tcPr>
            <w:tcW w:w="282" w:type="pct"/>
            <w:tcBorders>
              <w:top w:val="nil"/>
              <w:left w:val="nil"/>
              <w:bottom w:val="nil"/>
              <w:right w:val="nil"/>
            </w:tcBorders>
            <w:shd w:val="clear" w:color="auto" w:fill="auto"/>
            <w:noWrap/>
            <w:hideMark/>
          </w:tcPr>
          <w:p w14:paraId="706D44A8"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73" w:type="pct"/>
            <w:tcBorders>
              <w:top w:val="nil"/>
              <w:left w:val="nil"/>
              <w:bottom w:val="nil"/>
              <w:right w:val="nil"/>
            </w:tcBorders>
          </w:tcPr>
          <w:p w14:paraId="2AEFD852"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(58)</w:t>
            </w:r>
          </w:p>
        </w:tc>
      </w:tr>
      <w:tr w:rsidR="00EF7D0C" w:rsidRPr="00E70587" w14:paraId="18DCB2BC" w14:textId="77777777" w:rsidTr="00130F3C">
        <w:trPr>
          <w:trHeight w:val="285"/>
        </w:trPr>
        <w:tc>
          <w:tcPr>
            <w:tcW w:w="567" w:type="pct"/>
            <w:tcBorders>
              <w:top w:val="nil"/>
              <w:left w:val="nil"/>
              <w:bottom w:val="nil"/>
              <w:right w:val="nil"/>
            </w:tcBorders>
            <w:shd w:val="clear" w:color="auto" w:fill="auto"/>
            <w:noWrap/>
            <w:hideMark/>
          </w:tcPr>
          <w:p w14:paraId="1A7E77FF" w14:textId="400C202E" w:rsidR="00EF7D0C" w:rsidRPr="00E70587" w:rsidRDefault="00EF7D0C" w:rsidP="00EF7D0C">
            <w:pPr>
              <w:spacing w:before="20" w:after="20"/>
              <w:rPr>
                <w:rFonts w:ascii="Arial" w:hAnsi="Arial" w:cs="Arial"/>
                <w:sz w:val="20"/>
                <w:lang w:eastAsia="en-IN"/>
              </w:rPr>
            </w:pPr>
            <w:r>
              <w:rPr>
                <w:rFonts w:ascii="Arial" w:hAnsi="Arial" w:cs="Arial"/>
                <w:sz w:val="20"/>
                <w:lang w:eastAsia="en-IN"/>
              </w:rPr>
              <w:t>D</w:t>
            </w:r>
            <w:r w:rsidRPr="00E70587">
              <w:rPr>
                <w:rFonts w:ascii="Arial" w:hAnsi="Arial" w:cs="Arial"/>
                <w:sz w:val="20"/>
                <w:lang w:eastAsia="en-IN"/>
              </w:rPr>
              <w:t>ividend (Note 13)</w:t>
            </w:r>
          </w:p>
        </w:tc>
        <w:tc>
          <w:tcPr>
            <w:tcW w:w="301" w:type="pct"/>
            <w:tcBorders>
              <w:top w:val="nil"/>
              <w:left w:val="nil"/>
              <w:bottom w:val="nil"/>
              <w:right w:val="nil"/>
            </w:tcBorders>
            <w:shd w:val="clear" w:color="auto" w:fill="auto"/>
            <w:noWrap/>
            <w:hideMark/>
          </w:tcPr>
          <w:p w14:paraId="00CE39A6" w14:textId="044282DE" w:rsidR="00EF7D0C" w:rsidRPr="00E70587" w:rsidRDefault="00EF7D0C" w:rsidP="00EF7D0C">
            <w:pPr>
              <w:spacing w:before="20" w:after="20"/>
              <w:jc w:val="right"/>
              <w:rPr>
                <w:rFonts w:ascii="Arial" w:hAnsi="Arial" w:cs="Arial"/>
                <w:sz w:val="20"/>
                <w:lang w:eastAsia="en-IN"/>
              </w:rPr>
            </w:pPr>
            <w:r>
              <w:rPr>
                <w:rFonts w:ascii="Arial" w:hAnsi="Arial" w:cs="Arial"/>
                <w:sz w:val="20"/>
                <w:lang w:eastAsia="en-IN"/>
              </w:rPr>
              <w:t>-</w:t>
            </w:r>
          </w:p>
        </w:tc>
        <w:tc>
          <w:tcPr>
            <w:tcW w:w="251" w:type="pct"/>
            <w:tcBorders>
              <w:top w:val="nil"/>
              <w:left w:val="nil"/>
              <w:bottom w:val="nil"/>
              <w:right w:val="nil"/>
            </w:tcBorders>
            <w:shd w:val="clear" w:color="auto" w:fill="auto"/>
            <w:noWrap/>
            <w:hideMark/>
          </w:tcPr>
          <w:p w14:paraId="028637C7"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noWrap/>
            <w:hideMark/>
          </w:tcPr>
          <w:p w14:paraId="72166FAF"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noWrap/>
            <w:hideMark/>
          </w:tcPr>
          <w:p w14:paraId="61C78039"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93" w:type="pct"/>
            <w:tcBorders>
              <w:top w:val="nil"/>
              <w:left w:val="nil"/>
              <w:bottom w:val="nil"/>
              <w:right w:val="nil"/>
            </w:tcBorders>
          </w:tcPr>
          <w:p w14:paraId="3D8EEEBD"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tcPr>
          <w:p w14:paraId="2F698EF2"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18" w:type="pct"/>
            <w:tcBorders>
              <w:top w:val="nil"/>
              <w:left w:val="nil"/>
              <w:bottom w:val="nil"/>
              <w:right w:val="nil"/>
            </w:tcBorders>
            <w:shd w:val="clear" w:color="auto" w:fill="auto"/>
            <w:noWrap/>
            <w:hideMark/>
          </w:tcPr>
          <w:p w14:paraId="7F9D9BEC"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(3,550)</w:t>
            </w:r>
          </w:p>
        </w:tc>
        <w:tc>
          <w:tcPr>
            <w:tcW w:w="286" w:type="pct"/>
            <w:tcBorders>
              <w:top w:val="nil"/>
              <w:left w:val="nil"/>
              <w:bottom w:val="nil"/>
              <w:right w:val="nil"/>
            </w:tcBorders>
            <w:shd w:val="clear" w:color="auto" w:fill="auto"/>
            <w:noWrap/>
            <w:hideMark/>
          </w:tcPr>
          <w:p w14:paraId="5C73ADE9"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24" w:type="pct"/>
            <w:tcBorders>
              <w:top w:val="nil"/>
              <w:left w:val="nil"/>
              <w:bottom w:val="nil"/>
              <w:right w:val="nil"/>
            </w:tcBorders>
          </w:tcPr>
          <w:p w14:paraId="1E1D116B" w14:textId="67BE9899" w:rsidR="00EF7D0C" w:rsidRPr="00D57D94" w:rsidRDefault="00EF7D0C" w:rsidP="00EF7D0C">
            <w:pPr>
              <w:spacing w:before="20" w:after="20"/>
              <w:jc w:val="right"/>
              <w:rPr>
                <w:rFonts w:ascii="Arial" w:hAnsi="Arial" w:cs="Arial"/>
                <w:sz w:val="20"/>
              </w:rPr>
            </w:pPr>
            <w:r w:rsidRPr="005E2492">
              <w:rPr>
                <w:rFonts w:ascii="Arial" w:hAnsi="Arial" w:cs="Arial"/>
                <w:sz w:val="20"/>
              </w:rPr>
              <w:t>-</w:t>
            </w:r>
          </w:p>
        </w:tc>
        <w:tc>
          <w:tcPr>
            <w:tcW w:w="224" w:type="pct"/>
            <w:tcBorders>
              <w:top w:val="nil"/>
              <w:left w:val="nil"/>
              <w:bottom w:val="nil"/>
              <w:right w:val="nil"/>
            </w:tcBorders>
          </w:tcPr>
          <w:p w14:paraId="123C4201" w14:textId="4563BB81" w:rsidR="00EF7D0C" w:rsidRPr="00E70587" w:rsidRDefault="00EF7D0C" w:rsidP="00EF7D0C">
            <w:pPr>
              <w:spacing w:before="20" w:after="20"/>
              <w:jc w:val="right"/>
              <w:rPr>
                <w:rFonts w:ascii="Arial" w:hAnsi="Arial" w:cs="Arial"/>
                <w:sz w:val="20"/>
              </w:rPr>
            </w:pPr>
            <w:r w:rsidRPr="00D57D94">
              <w:rPr>
                <w:rFonts w:ascii="Arial" w:hAnsi="Arial" w:cs="Arial"/>
                <w:sz w:val="20"/>
              </w:rPr>
              <w:t>-</w:t>
            </w:r>
          </w:p>
        </w:tc>
        <w:tc>
          <w:tcPr>
            <w:tcW w:w="224" w:type="pct"/>
            <w:tcBorders>
              <w:top w:val="nil"/>
              <w:left w:val="nil"/>
              <w:bottom w:val="nil"/>
              <w:right w:val="nil"/>
            </w:tcBorders>
            <w:shd w:val="clear" w:color="auto" w:fill="auto"/>
            <w:noWrap/>
            <w:hideMark/>
          </w:tcPr>
          <w:p w14:paraId="5CE3A32D" w14:textId="59BF12AC"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4" w:type="pct"/>
            <w:tcBorders>
              <w:top w:val="nil"/>
              <w:left w:val="nil"/>
              <w:bottom w:val="nil"/>
              <w:right w:val="nil"/>
            </w:tcBorders>
            <w:shd w:val="clear" w:color="auto" w:fill="auto"/>
            <w:noWrap/>
            <w:hideMark/>
          </w:tcPr>
          <w:p w14:paraId="23F7E5E4"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72" w:type="pct"/>
            <w:tcBorders>
              <w:top w:val="nil"/>
              <w:left w:val="nil"/>
              <w:bottom w:val="nil"/>
              <w:right w:val="nil"/>
            </w:tcBorders>
            <w:shd w:val="clear" w:color="auto" w:fill="auto"/>
            <w:noWrap/>
            <w:hideMark/>
          </w:tcPr>
          <w:p w14:paraId="783B2EEC"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315" w:type="pct"/>
            <w:tcBorders>
              <w:top w:val="nil"/>
              <w:left w:val="nil"/>
              <w:bottom w:val="nil"/>
              <w:right w:val="nil"/>
            </w:tcBorders>
            <w:shd w:val="clear" w:color="auto" w:fill="auto"/>
            <w:noWrap/>
            <w:hideMark/>
          </w:tcPr>
          <w:p w14:paraId="1183FE6F"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33" w:type="pct"/>
            <w:tcBorders>
              <w:top w:val="nil"/>
              <w:left w:val="nil"/>
              <w:bottom w:val="nil"/>
              <w:right w:val="nil"/>
            </w:tcBorders>
            <w:shd w:val="clear" w:color="auto" w:fill="auto"/>
            <w:noWrap/>
            <w:hideMark/>
          </w:tcPr>
          <w:p w14:paraId="0FC4B4FB"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(3,550)</w:t>
            </w:r>
          </w:p>
        </w:tc>
        <w:tc>
          <w:tcPr>
            <w:tcW w:w="282" w:type="pct"/>
            <w:tcBorders>
              <w:top w:val="nil"/>
              <w:left w:val="nil"/>
              <w:bottom w:val="nil"/>
              <w:right w:val="nil"/>
            </w:tcBorders>
            <w:shd w:val="clear" w:color="auto" w:fill="auto"/>
            <w:noWrap/>
            <w:hideMark/>
          </w:tcPr>
          <w:p w14:paraId="085FADB2"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(54)</w:t>
            </w:r>
          </w:p>
        </w:tc>
        <w:tc>
          <w:tcPr>
            <w:tcW w:w="273" w:type="pct"/>
            <w:tcBorders>
              <w:top w:val="nil"/>
              <w:left w:val="nil"/>
              <w:bottom w:val="nil"/>
              <w:right w:val="nil"/>
            </w:tcBorders>
          </w:tcPr>
          <w:p w14:paraId="59973518"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(3,604)</w:t>
            </w:r>
          </w:p>
        </w:tc>
      </w:tr>
      <w:tr w:rsidR="001C5FD0" w:rsidRPr="00E70587" w14:paraId="34EB2F6D" w14:textId="77777777" w:rsidTr="00130F3C">
        <w:trPr>
          <w:trHeight w:val="285"/>
        </w:trPr>
        <w:tc>
          <w:tcPr>
            <w:tcW w:w="567" w:type="pct"/>
            <w:tcBorders>
              <w:top w:val="nil"/>
              <w:left w:val="nil"/>
              <w:bottom w:val="nil"/>
              <w:right w:val="nil"/>
            </w:tcBorders>
            <w:shd w:val="clear" w:color="auto" w:fill="auto"/>
            <w:noWrap/>
          </w:tcPr>
          <w:p w14:paraId="471A1E75" w14:textId="247F24E4" w:rsidR="001C5FD0" w:rsidRPr="00E70587" w:rsidRDefault="001C5FD0" w:rsidP="00EF7D0C">
            <w:pPr>
              <w:spacing w:before="20" w:after="20"/>
              <w:rPr>
                <w:rFonts w:ascii="Arial" w:hAnsi="Arial" w:cs="Arial"/>
                <w:sz w:val="20"/>
                <w:lang w:eastAsia="en-IN"/>
              </w:rPr>
            </w:pPr>
            <w:r>
              <w:rPr>
                <w:rFonts w:ascii="Arial" w:hAnsi="Arial" w:cs="Arial"/>
                <w:sz w:val="20"/>
                <w:lang w:eastAsia="en-IN"/>
              </w:rPr>
              <w:t>Transfer of cash flow hedge reserve to inventories</w:t>
            </w:r>
          </w:p>
        </w:tc>
        <w:tc>
          <w:tcPr>
            <w:tcW w:w="301" w:type="pct"/>
            <w:tcBorders>
              <w:top w:val="nil"/>
              <w:left w:val="nil"/>
              <w:bottom w:val="nil"/>
              <w:right w:val="nil"/>
            </w:tcBorders>
            <w:shd w:val="clear" w:color="auto" w:fill="auto"/>
            <w:noWrap/>
          </w:tcPr>
          <w:p w14:paraId="500F39A8" w14:textId="33E13F7C" w:rsidR="001C5FD0" w:rsidRDefault="00D607ED" w:rsidP="00EF7D0C">
            <w:pPr>
              <w:spacing w:before="20" w:after="20"/>
              <w:jc w:val="right"/>
              <w:rPr>
                <w:rFonts w:ascii="Arial" w:hAnsi="Arial" w:cs="Arial"/>
                <w:sz w:val="20"/>
                <w:lang w:eastAsia="en-IN"/>
              </w:rPr>
            </w:pPr>
            <w:r>
              <w:rPr>
                <w:rFonts w:ascii="Arial" w:hAnsi="Arial" w:cs="Arial"/>
                <w:sz w:val="20"/>
                <w:lang w:eastAsia="en-IN"/>
              </w:rPr>
              <w:t>-</w:t>
            </w:r>
          </w:p>
        </w:tc>
        <w:tc>
          <w:tcPr>
            <w:tcW w:w="251" w:type="pct"/>
            <w:tcBorders>
              <w:top w:val="nil"/>
              <w:left w:val="nil"/>
              <w:bottom w:val="nil"/>
              <w:right w:val="nil"/>
            </w:tcBorders>
            <w:shd w:val="clear" w:color="auto" w:fill="auto"/>
            <w:noWrap/>
          </w:tcPr>
          <w:p w14:paraId="7323C2FC" w14:textId="634D3B08" w:rsidR="001C5FD0" w:rsidRPr="00E70587" w:rsidRDefault="00D607ED" w:rsidP="00EF7D0C">
            <w:pPr>
              <w:spacing w:before="20" w:after="20"/>
              <w:jc w:val="right"/>
              <w:rPr>
                <w:rFonts w:ascii="Arial" w:hAnsi="Arial" w:cs="Arial"/>
                <w:sz w:val="20"/>
              </w:rPr>
            </w:pPr>
            <w:r>
              <w:rPr>
                <w:rFonts w:ascii="Arial" w:hAnsi="Arial" w:cs="Arial"/>
                <w:sz w:val="20"/>
              </w:rPr>
              <w:t>-</w:t>
            </w:r>
          </w:p>
        </w:tc>
        <w:tc>
          <w:tcPr>
            <w:tcW w:w="251" w:type="pct"/>
            <w:tcBorders>
              <w:top w:val="nil"/>
              <w:left w:val="nil"/>
              <w:bottom w:val="nil"/>
              <w:right w:val="nil"/>
            </w:tcBorders>
            <w:shd w:val="clear" w:color="auto" w:fill="auto"/>
            <w:noWrap/>
          </w:tcPr>
          <w:p w14:paraId="3DFC3F66" w14:textId="24DE8A95" w:rsidR="001C5FD0" w:rsidRPr="00E70587" w:rsidRDefault="00D607ED" w:rsidP="00EF7D0C">
            <w:pPr>
              <w:spacing w:before="20" w:after="20"/>
              <w:jc w:val="right"/>
              <w:rPr>
                <w:rFonts w:ascii="Arial" w:hAnsi="Arial" w:cs="Arial"/>
                <w:sz w:val="20"/>
              </w:rPr>
            </w:pPr>
            <w:r>
              <w:rPr>
                <w:rFonts w:ascii="Arial" w:hAnsi="Arial" w:cs="Arial"/>
                <w:sz w:val="20"/>
              </w:rPr>
              <w:t>-</w:t>
            </w:r>
          </w:p>
        </w:tc>
        <w:tc>
          <w:tcPr>
            <w:tcW w:w="251" w:type="pct"/>
            <w:tcBorders>
              <w:top w:val="nil"/>
              <w:left w:val="nil"/>
              <w:bottom w:val="nil"/>
              <w:right w:val="nil"/>
            </w:tcBorders>
            <w:shd w:val="clear" w:color="auto" w:fill="auto"/>
            <w:noWrap/>
          </w:tcPr>
          <w:p w14:paraId="1118FDA8" w14:textId="08774675" w:rsidR="001C5FD0" w:rsidRPr="00E70587" w:rsidRDefault="00D607ED" w:rsidP="00EF7D0C">
            <w:pPr>
              <w:spacing w:before="20" w:after="20"/>
              <w:jc w:val="right"/>
              <w:rPr>
                <w:rFonts w:ascii="Arial" w:hAnsi="Arial" w:cs="Arial"/>
                <w:sz w:val="20"/>
              </w:rPr>
            </w:pPr>
            <w:r>
              <w:rPr>
                <w:rFonts w:ascii="Arial" w:hAnsi="Arial" w:cs="Arial"/>
                <w:sz w:val="20"/>
              </w:rPr>
              <w:t>-</w:t>
            </w:r>
          </w:p>
        </w:tc>
        <w:tc>
          <w:tcPr>
            <w:tcW w:w="293" w:type="pct"/>
            <w:tcBorders>
              <w:top w:val="nil"/>
              <w:left w:val="nil"/>
              <w:bottom w:val="nil"/>
              <w:right w:val="nil"/>
            </w:tcBorders>
          </w:tcPr>
          <w:p w14:paraId="06C7C218" w14:textId="62D69F30" w:rsidR="001C5FD0" w:rsidRPr="00E70587" w:rsidRDefault="00D607ED" w:rsidP="00EF7D0C">
            <w:pPr>
              <w:spacing w:before="20" w:after="20"/>
              <w:jc w:val="right"/>
              <w:rPr>
                <w:rFonts w:ascii="Arial" w:hAnsi="Arial" w:cs="Arial"/>
                <w:sz w:val="20"/>
              </w:rPr>
            </w:pPr>
            <w:r>
              <w:rPr>
                <w:rFonts w:ascii="Arial" w:hAnsi="Arial" w:cs="Arial"/>
                <w:sz w:val="20"/>
              </w:rPr>
              <w:t>-</w:t>
            </w:r>
          </w:p>
        </w:tc>
        <w:tc>
          <w:tcPr>
            <w:tcW w:w="251" w:type="pct"/>
            <w:tcBorders>
              <w:top w:val="nil"/>
              <w:left w:val="nil"/>
              <w:bottom w:val="nil"/>
              <w:right w:val="nil"/>
            </w:tcBorders>
            <w:shd w:val="clear" w:color="auto" w:fill="auto"/>
          </w:tcPr>
          <w:p w14:paraId="386DBEB4" w14:textId="5EA5E67A" w:rsidR="001C5FD0" w:rsidRPr="00E70587" w:rsidRDefault="00D607ED" w:rsidP="00EF7D0C">
            <w:pPr>
              <w:spacing w:before="20" w:after="20"/>
              <w:jc w:val="right"/>
              <w:rPr>
                <w:rFonts w:ascii="Arial" w:hAnsi="Arial" w:cs="Arial"/>
                <w:sz w:val="20"/>
              </w:rPr>
            </w:pPr>
            <w:r>
              <w:rPr>
                <w:rFonts w:ascii="Arial" w:hAnsi="Arial" w:cs="Arial"/>
                <w:sz w:val="20"/>
              </w:rPr>
              <w:t>-</w:t>
            </w:r>
          </w:p>
        </w:tc>
        <w:tc>
          <w:tcPr>
            <w:tcW w:w="218" w:type="pct"/>
            <w:tcBorders>
              <w:top w:val="nil"/>
              <w:left w:val="nil"/>
              <w:bottom w:val="nil"/>
              <w:right w:val="nil"/>
            </w:tcBorders>
            <w:shd w:val="clear" w:color="auto" w:fill="auto"/>
            <w:noWrap/>
          </w:tcPr>
          <w:p w14:paraId="6539CAC4" w14:textId="1D87C1B2" w:rsidR="001C5FD0" w:rsidRPr="00E70587" w:rsidRDefault="00D607ED" w:rsidP="00EF7D0C">
            <w:pPr>
              <w:spacing w:before="20" w:after="20"/>
              <w:jc w:val="right"/>
              <w:rPr>
                <w:rFonts w:ascii="Arial" w:hAnsi="Arial" w:cs="Arial"/>
                <w:sz w:val="20"/>
              </w:rPr>
            </w:pPr>
            <w:r>
              <w:rPr>
                <w:rFonts w:ascii="Arial" w:hAnsi="Arial" w:cs="Arial"/>
                <w:sz w:val="20"/>
              </w:rPr>
              <w:t>-</w:t>
            </w:r>
          </w:p>
        </w:tc>
        <w:tc>
          <w:tcPr>
            <w:tcW w:w="286" w:type="pct"/>
            <w:tcBorders>
              <w:top w:val="nil"/>
              <w:left w:val="nil"/>
              <w:bottom w:val="nil"/>
              <w:right w:val="nil"/>
            </w:tcBorders>
            <w:shd w:val="clear" w:color="auto" w:fill="auto"/>
            <w:noWrap/>
          </w:tcPr>
          <w:p w14:paraId="7524B710" w14:textId="3D786F2D" w:rsidR="001C5FD0" w:rsidRPr="00E70587" w:rsidRDefault="00D607ED" w:rsidP="00EF7D0C">
            <w:pPr>
              <w:spacing w:before="20" w:after="20"/>
              <w:jc w:val="right"/>
              <w:rPr>
                <w:rFonts w:ascii="Arial" w:hAnsi="Arial" w:cs="Arial"/>
                <w:sz w:val="20"/>
              </w:rPr>
            </w:pPr>
            <w:r>
              <w:rPr>
                <w:rFonts w:ascii="Arial" w:hAnsi="Arial" w:cs="Arial"/>
                <w:sz w:val="20"/>
              </w:rPr>
              <w:t>227</w:t>
            </w:r>
          </w:p>
        </w:tc>
        <w:tc>
          <w:tcPr>
            <w:tcW w:w="224" w:type="pct"/>
            <w:tcBorders>
              <w:top w:val="nil"/>
              <w:left w:val="nil"/>
              <w:bottom w:val="nil"/>
              <w:right w:val="nil"/>
            </w:tcBorders>
          </w:tcPr>
          <w:p w14:paraId="1C8FD64D" w14:textId="504DD72E" w:rsidR="001C5FD0" w:rsidRPr="005E2492" w:rsidRDefault="00D607ED" w:rsidP="00EF7D0C">
            <w:pPr>
              <w:spacing w:before="20" w:after="20"/>
              <w:jc w:val="right"/>
              <w:rPr>
                <w:rFonts w:ascii="Arial" w:hAnsi="Arial" w:cs="Arial"/>
                <w:sz w:val="20"/>
              </w:rPr>
            </w:pPr>
            <w:r>
              <w:rPr>
                <w:rFonts w:ascii="Arial" w:hAnsi="Arial" w:cs="Arial"/>
                <w:sz w:val="20"/>
              </w:rPr>
              <w:t>4</w:t>
            </w:r>
          </w:p>
        </w:tc>
        <w:tc>
          <w:tcPr>
            <w:tcW w:w="224" w:type="pct"/>
            <w:tcBorders>
              <w:top w:val="nil"/>
              <w:left w:val="nil"/>
              <w:bottom w:val="nil"/>
              <w:right w:val="nil"/>
            </w:tcBorders>
          </w:tcPr>
          <w:p w14:paraId="551D1A9E" w14:textId="7C1E884D" w:rsidR="001C5FD0" w:rsidRPr="00D57D94" w:rsidRDefault="00D607ED" w:rsidP="00EF7D0C">
            <w:pPr>
              <w:spacing w:before="20" w:after="20"/>
              <w:jc w:val="right"/>
              <w:rPr>
                <w:rFonts w:ascii="Arial" w:hAnsi="Arial" w:cs="Arial"/>
                <w:sz w:val="20"/>
              </w:rPr>
            </w:pPr>
            <w:r>
              <w:rPr>
                <w:rFonts w:ascii="Arial" w:hAnsi="Arial" w:cs="Arial"/>
                <w:sz w:val="20"/>
              </w:rPr>
              <w:t>-</w:t>
            </w:r>
          </w:p>
        </w:tc>
        <w:tc>
          <w:tcPr>
            <w:tcW w:w="224" w:type="pct"/>
            <w:tcBorders>
              <w:top w:val="nil"/>
              <w:left w:val="nil"/>
              <w:bottom w:val="nil"/>
              <w:right w:val="nil"/>
            </w:tcBorders>
            <w:shd w:val="clear" w:color="auto" w:fill="auto"/>
            <w:noWrap/>
          </w:tcPr>
          <w:p w14:paraId="589306A6" w14:textId="3A5FEC7B" w:rsidR="001C5FD0" w:rsidRPr="00E70587" w:rsidRDefault="00D607ED" w:rsidP="00EF7D0C">
            <w:pPr>
              <w:spacing w:before="20" w:after="20"/>
              <w:jc w:val="right"/>
              <w:rPr>
                <w:rFonts w:ascii="Arial" w:hAnsi="Arial" w:cs="Arial"/>
                <w:sz w:val="20"/>
              </w:rPr>
            </w:pPr>
            <w:r>
              <w:rPr>
                <w:rFonts w:ascii="Arial" w:hAnsi="Arial" w:cs="Arial"/>
                <w:sz w:val="20"/>
              </w:rPr>
              <w:t>-</w:t>
            </w:r>
          </w:p>
        </w:tc>
        <w:tc>
          <w:tcPr>
            <w:tcW w:w="284" w:type="pct"/>
            <w:tcBorders>
              <w:top w:val="nil"/>
              <w:left w:val="nil"/>
              <w:bottom w:val="nil"/>
              <w:right w:val="nil"/>
            </w:tcBorders>
            <w:shd w:val="clear" w:color="auto" w:fill="auto"/>
            <w:noWrap/>
          </w:tcPr>
          <w:p w14:paraId="1B72F3AF" w14:textId="0D0003ED" w:rsidR="001C5FD0" w:rsidRPr="00E70587" w:rsidRDefault="00D607ED" w:rsidP="00EF7D0C">
            <w:pPr>
              <w:spacing w:before="20" w:after="20"/>
              <w:jc w:val="right"/>
              <w:rPr>
                <w:rFonts w:ascii="Arial" w:hAnsi="Arial" w:cs="Arial"/>
                <w:sz w:val="20"/>
              </w:rPr>
            </w:pPr>
            <w:r>
              <w:rPr>
                <w:rFonts w:ascii="Arial" w:hAnsi="Arial" w:cs="Arial"/>
                <w:sz w:val="20"/>
              </w:rPr>
              <w:t>-</w:t>
            </w:r>
          </w:p>
        </w:tc>
        <w:tc>
          <w:tcPr>
            <w:tcW w:w="272" w:type="pct"/>
            <w:tcBorders>
              <w:top w:val="nil"/>
              <w:left w:val="nil"/>
              <w:bottom w:val="nil"/>
              <w:right w:val="nil"/>
            </w:tcBorders>
            <w:shd w:val="clear" w:color="auto" w:fill="auto"/>
            <w:noWrap/>
          </w:tcPr>
          <w:p w14:paraId="23FB5133" w14:textId="54A35B63" w:rsidR="001C5FD0" w:rsidRPr="00E70587" w:rsidRDefault="00D607ED" w:rsidP="00EF7D0C">
            <w:pPr>
              <w:spacing w:before="20" w:after="20"/>
              <w:jc w:val="right"/>
              <w:rPr>
                <w:rFonts w:ascii="Arial" w:hAnsi="Arial" w:cs="Arial"/>
                <w:sz w:val="20"/>
              </w:rPr>
            </w:pPr>
            <w:r>
              <w:rPr>
                <w:rFonts w:ascii="Arial" w:hAnsi="Arial" w:cs="Arial"/>
                <w:sz w:val="20"/>
              </w:rPr>
              <w:t>-</w:t>
            </w:r>
          </w:p>
        </w:tc>
        <w:tc>
          <w:tcPr>
            <w:tcW w:w="315" w:type="pct"/>
            <w:tcBorders>
              <w:top w:val="nil"/>
              <w:left w:val="nil"/>
              <w:bottom w:val="nil"/>
              <w:right w:val="nil"/>
            </w:tcBorders>
            <w:shd w:val="clear" w:color="auto" w:fill="auto"/>
            <w:noWrap/>
          </w:tcPr>
          <w:p w14:paraId="7B66D615" w14:textId="19F5B8F6" w:rsidR="001C5FD0" w:rsidRPr="00E70587" w:rsidRDefault="00D607ED" w:rsidP="00EF7D0C">
            <w:pPr>
              <w:spacing w:before="20" w:after="20"/>
              <w:jc w:val="right"/>
              <w:rPr>
                <w:rFonts w:ascii="Arial" w:hAnsi="Arial" w:cs="Arial"/>
                <w:sz w:val="20"/>
              </w:rPr>
            </w:pPr>
            <w:r>
              <w:rPr>
                <w:rFonts w:ascii="Arial" w:hAnsi="Arial" w:cs="Arial"/>
                <w:sz w:val="20"/>
              </w:rPr>
              <w:t>-</w:t>
            </w:r>
          </w:p>
        </w:tc>
        <w:tc>
          <w:tcPr>
            <w:tcW w:w="233" w:type="pct"/>
            <w:tcBorders>
              <w:top w:val="nil"/>
              <w:left w:val="nil"/>
              <w:bottom w:val="nil"/>
              <w:right w:val="nil"/>
            </w:tcBorders>
            <w:shd w:val="clear" w:color="auto" w:fill="auto"/>
            <w:noWrap/>
          </w:tcPr>
          <w:p w14:paraId="332FEB8D" w14:textId="3D6401CD" w:rsidR="001C5FD0" w:rsidRPr="00E70587" w:rsidRDefault="00593DE2" w:rsidP="00EF7D0C">
            <w:pPr>
              <w:spacing w:before="20" w:after="20"/>
              <w:jc w:val="right"/>
              <w:rPr>
                <w:rFonts w:ascii="Arial" w:hAnsi="Arial" w:cs="Arial"/>
                <w:sz w:val="20"/>
              </w:rPr>
            </w:pPr>
            <w:r>
              <w:rPr>
                <w:rFonts w:ascii="Arial" w:hAnsi="Arial" w:cs="Arial"/>
                <w:sz w:val="20"/>
              </w:rPr>
              <w:t>231</w:t>
            </w:r>
          </w:p>
        </w:tc>
        <w:tc>
          <w:tcPr>
            <w:tcW w:w="282" w:type="pct"/>
            <w:tcBorders>
              <w:top w:val="nil"/>
              <w:left w:val="nil"/>
              <w:bottom w:val="nil"/>
              <w:right w:val="nil"/>
            </w:tcBorders>
            <w:shd w:val="clear" w:color="auto" w:fill="auto"/>
            <w:noWrap/>
          </w:tcPr>
          <w:p w14:paraId="506C46E1" w14:textId="02C58099" w:rsidR="001C5FD0" w:rsidRPr="00E70587" w:rsidRDefault="00D607ED" w:rsidP="00EF7D0C">
            <w:pPr>
              <w:spacing w:before="20" w:after="20"/>
              <w:jc w:val="right"/>
              <w:rPr>
                <w:rFonts w:ascii="Arial" w:hAnsi="Arial" w:cs="Arial"/>
                <w:sz w:val="20"/>
              </w:rPr>
            </w:pPr>
            <w:r>
              <w:rPr>
                <w:rFonts w:ascii="Arial" w:hAnsi="Arial" w:cs="Arial"/>
                <w:sz w:val="20"/>
              </w:rPr>
              <w:t>-</w:t>
            </w:r>
          </w:p>
        </w:tc>
        <w:tc>
          <w:tcPr>
            <w:tcW w:w="273" w:type="pct"/>
            <w:tcBorders>
              <w:top w:val="nil"/>
              <w:left w:val="nil"/>
              <w:bottom w:val="nil"/>
              <w:right w:val="nil"/>
            </w:tcBorders>
          </w:tcPr>
          <w:p w14:paraId="64E80A97" w14:textId="05B81A06" w:rsidR="001C5FD0" w:rsidRPr="00E70587" w:rsidRDefault="00593DE2" w:rsidP="00EF7D0C">
            <w:pPr>
              <w:spacing w:before="20" w:after="20"/>
              <w:jc w:val="right"/>
              <w:rPr>
                <w:rFonts w:ascii="Arial" w:hAnsi="Arial" w:cs="Arial"/>
                <w:sz w:val="20"/>
              </w:rPr>
            </w:pPr>
            <w:r>
              <w:rPr>
                <w:rFonts w:ascii="Arial" w:hAnsi="Arial" w:cs="Arial"/>
                <w:sz w:val="20"/>
              </w:rPr>
              <w:t>231</w:t>
            </w:r>
          </w:p>
        </w:tc>
      </w:tr>
      <w:tr w:rsidR="00EF7D0C" w:rsidRPr="00E70587" w14:paraId="16F8E3BB" w14:textId="77777777" w:rsidTr="00130F3C">
        <w:trPr>
          <w:trHeight w:val="285"/>
        </w:trPr>
        <w:tc>
          <w:tcPr>
            <w:tcW w:w="567" w:type="pct"/>
            <w:tcBorders>
              <w:top w:val="nil"/>
              <w:left w:val="nil"/>
              <w:bottom w:val="nil"/>
              <w:right w:val="nil"/>
            </w:tcBorders>
            <w:shd w:val="clear" w:color="auto" w:fill="auto"/>
            <w:noWrap/>
            <w:hideMark/>
          </w:tcPr>
          <w:p w14:paraId="51223F97" w14:textId="77777777" w:rsidR="00EF7D0C" w:rsidRPr="00E70587" w:rsidRDefault="00EF7D0C" w:rsidP="00EF7D0C">
            <w:pPr>
              <w:spacing w:before="20" w:after="20"/>
              <w:rPr>
                <w:rFonts w:ascii="Arial" w:hAnsi="Arial" w:cs="Arial"/>
                <w:sz w:val="20"/>
                <w:lang w:eastAsia="en-IN"/>
              </w:rPr>
            </w:pPr>
            <w:r w:rsidRPr="00E70587">
              <w:rPr>
                <w:rFonts w:ascii="Arial" w:hAnsi="Arial" w:cs="Arial"/>
                <w:sz w:val="20"/>
                <w:lang w:eastAsia="en-IN"/>
              </w:rPr>
              <w:t>Acquisition of a subsidiary (Note 36)</w:t>
            </w:r>
          </w:p>
        </w:tc>
        <w:tc>
          <w:tcPr>
            <w:tcW w:w="301" w:type="pct"/>
            <w:tcBorders>
              <w:top w:val="nil"/>
              <w:left w:val="nil"/>
              <w:bottom w:val="nil"/>
              <w:right w:val="nil"/>
            </w:tcBorders>
            <w:shd w:val="clear" w:color="auto" w:fill="auto"/>
            <w:noWrap/>
            <w:hideMark/>
          </w:tcPr>
          <w:p w14:paraId="29EE7347" w14:textId="4EACDCEC" w:rsidR="00EF7D0C" w:rsidRPr="00E70587" w:rsidRDefault="00EF7D0C" w:rsidP="00EF7D0C">
            <w:pPr>
              <w:spacing w:before="20" w:after="20"/>
              <w:jc w:val="right"/>
              <w:rPr>
                <w:rFonts w:ascii="Arial" w:hAnsi="Arial" w:cs="Arial"/>
                <w:sz w:val="20"/>
                <w:lang w:eastAsia="en-IN"/>
              </w:rPr>
            </w:pPr>
            <w:r>
              <w:rPr>
                <w:rFonts w:ascii="Arial" w:hAnsi="Arial" w:cs="Arial"/>
                <w:sz w:val="20"/>
                <w:lang w:eastAsia="en-IN"/>
              </w:rPr>
              <w:t>-</w:t>
            </w:r>
          </w:p>
        </w:tc>
        <w:tc>
          <w:tcPr>
            <w:tcW w:w="251" w:type="pct"/>
            <w:tcBorders>
              <w:top w:val="nil"/>
              <w:left w:val="nil"/>
              <w:bottom w:val="nil"/>
              <w:right w:val="nil"/>
            </w:tcBorders>
            <w:shd w:val="clear" w:color="auto" w:fill="auto"/>
            <w:noWrap/>
            <w:hideMark/>
          </w:tcPr>
          <w:p w14:paraId="3BC92217"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noWrap/>
            <w:hideMark/>
          </w:tcPr>
          <w:p w14:paraId="2E2DA825"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noWrap/>
            <w:hideMark/>
          </w:tcPr>
          <w:p w14:paraId="28985A7A"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93" w:type="pct"/>
            <w:tcBorders>
              <w:top w:val="nil"/>
              <w:left w:val="nil"/>
              <w:bottom w:val="nil"/>
              <w:right w:val="nil"/>
            </w:tcBorders>
          </w:tcPr>
          <w:p w14:paraId="77D3B549"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nil"/>
              <w:right w:val="nil"/>
            </w:tcBorders>
            <w:shd w:val="clear" w:color="auto" w:fill="auto"/>
          </w:tcPr>
          <w:p w14:paraId="0FDEAFDA"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18" w:type="pct"/>
            <w:tcBorders>
              <w:top w:val="nil"/>
              <w:left w:val="nil"/>
              <w:bottom w:val="nil"/>
              <w:right w:val="nil"/>
            </w:tcBorders>
            <w:shd w:val="clear" w:color="auto" w:fill="auto"/>
            <w:noWrap/>
            <w:hideMark/>
          </w:tcPr>
          <w:p w14:paraId="6D0CFB42"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6" w:type="pct"/>
            <w:tcBorders>
              <w:top w:val="nil"/>
              <w:left w:val="nil"/>
              <w:bottom w:val="nil"/>
              <w:right w:val="nil"/>
            </w:tcBorders>
            <w:shd w:val="clear" w:color="auto" w:fill="auto"/>
            <w:noWrap/>
            <w:hideMark/>
          </w:tcPr>
          <w:p w14:paraId="2610149B"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24" w:type="pct"/>
            <w:tcBorders>
              <w:top w:val="nil"/>
              <w:left w:val="nil"/>
              <w:bottom w:val="nil"/>
              <w:right w:val="nil"/>
            </w:tcBorders>
          </w:tcPr>
          <w:p w14:paraId="4D788DCA" w14:textId="60ABE987" w:rsidR="00EF7D0C" w:rsidRPr="00D57D94" w:rsidRDefault="00EF7D0C" w:rsidP="00EF7D0C">
            <w:pPr>
              <w:spacing w:before="20" w:after="20"/>
              <w:jc w:val="right"/>
              <w:rPr>
                <w:rFonts w:ascii="Arial" w:hAnsi="Arial" w:cs="Arial"/>
                <w:sz w:val="20"/>
              </w:rPr>
            </w:pPr>
            <w:r w:rsidRPr="005E2492">
              <w:rPr>
                <w:rFonts w:ascii="Arial" w:hAnsi="Arial" w:cs="Arial"/>
                <w:sz w:val="20"/>
              </w:rPr>
              <w:t>-</w:t>
            </w:r>
          </w:p>
        </w:tc>
        <w:tc>
          <w:tcPr>
            <w:tcW w:w="224" w:type="pct"/>
            <w:tcBorders>
              <w:top w:val="nil"/>
              <w:left w:val="nil"/>
              <w:bottom w:val="nil"/>
              <w:right w:val="nil"/>
            </w:tcBorders>
          </w:tcPr>
          <w:p w14:paraId="64D2CB28" w14:textId="22F5DEFE" w:rsidR="00EF7D0C" w:rsidRPr="00E70587" w:rsidRDefault="00EF7D0C" w:rsidP="00EF7D0C">
            <w:pPr>
              <w:spacing w:before="20" w:after="20"/>
              <w:jc w:val="right"/>
              <w:rPr>
                <w:rFonts w:ascii="Arial" w:hAnsi="Arial" w:cs="Arial"/>
                <w:sz w:val="20"/>
              </w:rPr>
            </w:pPr>
            <w:r w:rsidRPr="00D57D94">
              <w:rPr>
                <w:rFonts w:ascii="Arial" w:hAnsi="Arial" w:cs="Arial"/>
                <w:sz w:val="20"/>
              </w:rPr>
              <w:t>-</w:t>
            </w:r>
          </w:p>
        </w:tc>
        <w:tc>
          <w:tcPr>
            <w:tcW w:w="224" w:type="pct"/>
            <w:tcBorders>
              <w:top w:val="nil"/>
              <w:left w:val="nil"/>
              <w:bottom w:val="nil"/>
              <w:right w:val="nil"/>
            </w:tcBorders>
            <w:shd w:val="clear" w:color="auto" w:fill="auto"/>
            <w:noWrap/>
            <w:hideMark/>
          </w:tcPr>
          <w:p w14:paraId="51F33B13" w14:textId="23C8AE48"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4" w:type="pct"/>
            <w:tcBorders>
              <w:top w:val="nil"/>
              <w:left w:val="nil"/>
              <w:bottom w:val="nil"/>
              <w:right w:val="nil"/>
            </w:tcBorders>
            <w:shd w:val="clear" w:color="auto" w:fill="auto"/>
            <w:noWrap/>
            <w:hideMark/>
          </w:tcPr>
          <w:p w14:paraId="7B2E2DA7"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72" w:type="pct"/>
            <w:tcBorders>
              <w:top w:val="nil"/>
              <w:left w:val="nil"/>
              <w:bottom w:val="nil"/>
              <w:right w:val="nil"/>
            </w:tcBorders>
            <w:shd w:val="clear" w:color="auto" w:fill="auto"/>
            <w:noWrap/>
            <w:hideMark/>
          </w:tcPr>
          <w:p w14:paraId="359A5322"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315" w:type="pct"/>
            <w:tcBorders>
              <w:top w:val="nil"/>
              <w:left w:val="nil"/>
              <w:bottom w:val="nil"/>
              <w:right w:val="nil"/>
            </w:tcBorders>
            <w:shd w:val="clear" w:color="auto" w:fill="auto"/>
            <w:noWrap/>
            <w:hideMark/>
          </w:tcPr>
          <w:p w14:paraId="7C7415BE"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33" w:type="pct"/>
            <w:tcBorders>
              <w:top w:val="nil"/>
              <w:left w:val="nil"/>
              <w:bottom w:val="nil"/>
              <w:right w:val="nil"/>
            </w:tcBorders>
            <w:shd w:val="clear" w:color="auto" w:fill="auto"/>
            <w:noWrap/>
            <w:hideMark/>
          </w:tcPr>
          <w:p w14:paraId="0C73046D"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2" w:type="pct"/>
            <w:tcBorders>
              <w:top w:val="nil"/>
              <w:left w:val="nil"/>
              <w:bottom w:val="nil"/>
              <w:right w:val="nil"/>
            </w:tcBorders>
            <w:shd w:val="clear" w:color="auto" w:fill="auto"/>
            <w:noWrap/>
            <w:hideMark/>
          </w:tcPr>
          <w:p w14:paraId="337D7A61" w14:textId="482E6B64"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2,785</w:t>
            </w:r>
          </w:p>
        </w:tc>
        <w:tc>
          <w:tcPr>
            <w:tcW w:w="273" w:type="pct"/>
            <w:tcBorders>
              <w:top w:val="nil"/>
              <w:left w:val="nil"/>
              <w:bottom w:val="nil"/>
              <w:right w:val="nil"/>
            </w:tcBorders>
          </w:tcPr>
          <w:p w14:paraId="6FCC983A" w14:textId="2C92BDDE" w:rsidR="00EF7D0C" w:rsidRPr="00E70587" w:rsidRDefault="00EF7D0C" w:rsidP="00EF7D0C">
            <w:pPr>
              <w:spacing w:before="20" w:after="20"/>
              <w:jc w:val="right"/>
              <w:rPr>
                <w:rFonts w:ascii="Arial" w:hAnsi="Arial" w:cs="Arial"/>
                <w:sz w:val="20"/>
              </w:rPr>
            </w:pPr>
            <w:r w:rsidRPr="00E70587">
              <w:rPr>
                <w:rFonts w:ascii="Arial" w:hAnsi="Arial" w:cs="Arial"/>
                <w:sz w:val="20"/>
              </w:rPr>
              <w:t>2,785</w:t>
            </w:r>
          </w:p>
        </w:tc>
      </w:tr>
      <w:tr w:rsidR="00EF7D0C" w:rsidRPr="00E70587" w14:paraId="2698B1C0" w14:textId="77777777" w:rsidTr="00130F3C">
        <w:trPr>
          <w:trHeight w:val="285"/>
        </w:trPr>
        <w:tc>
          <w:tcPr>
            <w:tcW w:w="567" w:type="pct"/>
            <w:tcBorders>
              <w:top w:val="nil"/>
              <w:left w:val="nil"/>
              <w:bottom w:val="single" w:sz="4" w:space="0" w:color="auto"/>
              <w:right w:val="nil"/>
            </w:tcBorders>
            <w:shd w:val="clear" w:color="auto" w:fill="auto"/>
            <w:noWrap/>
            <w:hideMark/>
          </w:tcPr>
          <w:p w14:paraId="65453DBF" w14:textId="77777777" w:rsidR="00EF7D0C" w:rsidRPr="00E70587" w:rsidRDefault="00EF7D0C" w:rsidP="00EF7D0C">
            <w:pPr>
              <w:spacing w:before="20" w:after="20"/>
              <w:rPr>
                <w:rFonts w:ascii="Arial" w:hAnsi="Arial" w:cs="Arial"/>
                <w:sz w:val="20"/>
                <w:lang w:eastAsia="en-IN"/>
              </w:rPr>
            </w:pPr>
            <w:r w:rsidRPr="00E70587">
              <w:rPr>
                <w:rFonts w:ascii="Arial" w:hAnsi="Arial" w:cs="Arial"/>
                <w:sz w:val="20"/>
                <w:lang w:eastAsia="en-IN"/>
              </w:rPr>
              <w:t>Acquisition of non-controlling interests (Note 36)</w:t>
            </w:r>
          </w:p>
        </w:tc>
        <w:tc>
          <w:tcPr>
            <w:tcW w:w="301" w:type="pct"/>
            <w:tcBorders>
              <w:top w:val="nil"/>
              <w:left w:val="nil"/>
              <w:bottom w:val="single" w:sz="4" w:space="0" w:color="auto"/>
              <w:right w:val="nil"/>
            </w:tcBorders>
            <w:shd w:val="clear" w:color="auto" w:fill="auto"/>
            <w:noWrap/>
            <w:hideMark/>
          </w:tcPr>
          <w:p w14:paraId="2C5EA6CC" w14:textId="0036CBC6" w:rsidR="00EF7D0C" w:rsidRPr="00E70587" w:rsidRDefault="00EF7D0C" w:rsidP="00EF7D0C">
            <w:pPr>
              <w:spacing w:before="20" w:after="20"/>
              <w:jc w:val="right"/>
              <w:rPr>
                <w:rFonts w:ascii="Arial" w:hAnsi="Arial" w:cs="Arial"/>
                <w:sz w:val="20"/>
                <w:lang w:eastAsia="en-IN"/>
              </w:rPr>
            </w:pPr>
            <w:r>
              <w:rPr>
                <w:rFonts w:ascii="Arial" w:hAnsi="Arial" w:cs="Arial"/>
                <w:sz w:val="20"/>
                <w:lang w:eastAsia="en-IN"/>
              </w:rPr>
              <w:t>-</w:t>
            </w:r>
          </w:p>
        </w:tc>
        <w:tc>
          <w:tcPr>
            <w:tcW w:w="251" w:type="pct"/>
            <w:tcBorders>
              <w:top w:val="nil"/>
              <w:left w:val="nil"/>
              <w:bottom w:val="single" w:sz="4" w:space="0" w:color="auto"/>
              <w:right w:val="nil"/>
            </w:tcBorders>
            <w:shd w:val="clear" w:color="auto" w:fill="auto"/>
            <w:noWrap/>
            <w:hideMark/>
          </w:tcPr>
          <w:p w14:paraId="4631B4DA"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single" w:sz="4" w:space="0" w:color="auto"/>
              <w:right w:val="nil"/>
            </w:tcBorders>
            <w:shd w:val="clear" w:color="auto" w:fill="auto"/>
            <w:noWrap/>
            <w:hideMark/>
          </w:tcPr>
          <w:p w14:paraId="7BF3F9BD"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single" w:sz="4" w:space="0" w:color="auto"/>
              <w:right w:val="nil"/>
            </w:tcBorders>
            <w:shd w:val="clear" w:color="auto" w:fill="auto"/>
            <w:noWrap/>
            <w:hideMark/>
          </w:tcPr>
          <w:p w14:paraId="59C0D31A"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93" w:type="pct"/>
            <w:tcBorders>
              <w:top w:val="nil"/>
              <w:left w:val="nil"/>
              <w:bottom w:val="single" w:sz="4" w:space="0" w:color="auto"/>
              <w:right w:val="nil"/>
            </w:tcBorders>
          </w:tcPr>
          <w:p w14:paraId="556F67A2"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51" w:type="pct"/>
            <w:tcBorders>
              <w:top w:val="nil"/>
              <w:left w:val="nil"/>
              <w:bottom w:val="single" w:sz="4" w:space="0" w:color="auto"/>
              <w:right w:val="nil"/>
            </w:tcBorders>
            <w:shd w:val="clear" w:color="auto" w:fill="auto"/>
          </w:tcPr>
          <w:p w14:paraId="2DE78DDD"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(342)</w:t>
            </w:r>
          </w:p>
        </w:tc>
        <w:tc>
          <w:tcPr>
            <w:tcW w:w="218" w:type="pct"/>
            <w:tcBorders>
              <w:top w:val="nil"/>
              <w:left w:val="nil"/>
              <w:bottom w:val="single" w:sz="4" w:space="0" w:color="auto"/>
              <w:right w:val="nil"/>
            </w:tcBorders>
            <w:shd w:val="clear" w:color="auto" w:fill="auto"/>
            <w:noWrap/>
          </w:tcPr>
          <w:p w14:paraId="273A3339"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6" w:type="pct"/>
            <w:tcBorders>
              <w:top w:val="nil"/>
              <w:left w:val="nil"/>
              <w:bottom w:val="single" w:sz="4" w:space="0" w:color="auto"/>
              <w:right w:val="nil"/>
            </w:tcBorders>
            <w:shd w:val="clear" w:color="auto" w:fill="auto"/>
            <w:noWrap/>
            <w:hideMark/>
          </w:tcPr>
          <w:p w14:paraId="7ECBE6AC"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24" w:type="pct"/>
            <w:tcBorders>
              <w:top w:val="nil"/>
              <w:left w:val="nil"/>
              <w:bottom w:val="single" w:sz="4" w:space="0" w:color="auto"/>
              <w:right w:val="nil"/>
            </w:tcBorders>
          </w:tcPr>
          <w:p w14:paraId="67FF4A08" w14:textId="3E2AC14D" w:rsidR="00EF7D0C" w:rsidRPr="00D57D94" w:rsidRDefault="00EF7D0C" w:rsidP="00EF7D0C">
            <w:pPr>
              <w:spacing w:before="20" w:after="20"/>
              <w:jc w:val="right"/>
              <w:rPr>
                <w:rFonts w:ascii="Arial" w:hAnsi="Arial" w:cs="Arial"/>
                <w:sz w:val="20"/>
              </w:rPr>
            </w:pPr>
            <w:r w:rsidRPr="005E2492">
              <w:rPr>
                <w:rFonts w:ascii="Arial" w:hAnsi="Arial" w:cs="Arial"/>
                <w:sz w:val="20"/>
              </w:rPr>
              <w:t>-</w:t>
            </w:r>
          </w:p>
        </w:tc>
        <w:tc>
          <w:tcPr>
            <w:tcW w:w="224" w:type="pct"/>
            <w:tcBorders>
              <w:top w:val="nil"/>
              <w:left w:val="nil"/>
              <w:bottom w:val="single" w:sz="4" w:space="0" w:color="auto"/>
              <w:right w:val="nil"/>
            </w:tcBorders>
          </w:tcPr>
          <w:p w14:paraId="001E12BE" w14:textId="24E45E38" w:rsidR="00EF7D0C" w:rsidRPr="00E70587" w:rsidRDefault="00EF7D0C" w:rsidP="00EF7D0C">
            <w:pPr>
              <w:spacing w:before="20" w:after="20"/>
              <w:jc w:val="right"/>
              <w:rPr>
                <w:rFonts w:ascii="Arial" w:hAnsi="Arial" w:cs="Arial"/>
                <w:sz w:val="20"/>
              </w:rPr>
            </w:pPr>
            <w:r w:rsidRPr="00D57D94">
              <w:rPr>
                <w:rFonts w:ascii="Arial" w:hAnsi="Arial" w:cs="Arial"/>
                <w:sz w:val="20"/>
              </w:rPr>
              <w:t>-</w:t>
            </w:r>
          </w:p>
        </w:tc>
        <w:tc>
          <w:tcPr>
            <w:tcW w:w="224" w:type="pct"/>
            <w:tcBorders>
              <w:top w:val="nil"/>
              <w:left w:val="nil"/>
              <w:bottom w:val="single" w:sz="4" w:space="0" w:color="auto"/>
              <w:right w:val="nil"/>
            </w:tcBorders>
            <w:shd w:val="clear" w:color="auto" w:fill="auto"/>
            <w:noWrap/>
            <w:hideMark/>
          </w:tcPr>
          <w:p w14:paraId="6F5D53EF" w14:textId="05C8B6EB"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84" w:type="pct"/>
            <w:tcBorders>
              <w:top w:val="nil"/>
              <w:left w:val="nil"/>
              <w:bottom w:val="single" w:sz="4" w:space="0" w:color="auto"/>
              <w:right w:val="nil"/>
            </w:tcBorders>
            <w:shd w:val="clear" w:color="auto" w:fill="auto"/>
            <w:noWrap/>
            <w:hideMark/>
          </w:tcPr>
          <w:p w14:paraId="6A69F6FA"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72" w:type="pct"/>
            <w:tcBorders>
              <w:top w:val="nil"/>
              <w:left w:val="nil"/>
              <w:bottom w:val="single" w:sz="4" w:space="0" w:color="auto"/>
              <w:right w:val="nil"/>
            </w:tcBorders>
            <w:shd w:val="clear" w:color="auto" w:fill="auto"/>
            <w:noWrap/>
            <w:hideMark/>
          </w:tcPr>
          <w:p w14:paraId="7E34B819"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315" w:type="pct"/>
            <w:tcBorders>
              <w:top w:val="nil"/>
              <w:left w:val="nil"/>
              <w:bottom w:val="single" w:sz="4" w:space="0" w:color="auto"/>
              <w:right w:val="nil"/>
            </w:tcBorders>
            <w:shd w:val="clear" w:color="auto" w:fill="auto"/>
            <w:noWrap/>
            <w:hideMark/>
          </w:tcPr>
          <w:p w14:paraId="47878AC5"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w:t>
            </w:r>
          </w:p>
        </w:tc>
        <w:tc>
          <w:tcPr>
            <w:tcW w:w="233" w:type="pct"/>
            <w:tcBorders>
              <w:top w:val="nil"/>
              <w:left w:val="nil"/>
              <w:bottom w:val="single" w:sz="4" w:space="0" w:color="auto"/>
              <w:right w:val="nil"/>
            </w:tcBorders>
            <w:shd w:val="clear" w:color="auto" w:fill="auto"/>
            <w:noWrap/>
            <w:hideMark/>
          </w:tcPr>
          <w:p w14:paraId="35E392CA" w14:textId="77777777"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(342)</w:t>
            </w:r>
          </w:p>
        </w:tc>
        <w:tc>
          <w:tcPr>
            <w:tcW w:w="282" w:type="pct"/>
            <w:tcBorders>
              <w:top w:val="nil"/>
              <w:left w:val="nil"/>
              <w:bottom w:val="single" w:sz="4" w:space="0" w:color="auto"/>
              <w:right w:val="nil"/>
            </w:tcBorders>
            <w:shd w:val="clear" w:color="auto" w:fill="auto"/>
            <w:noWrap/>
            <w:hideMark/>
          </w:tcPr>
          <w:p w14:paraId="76832672" w14:textId="5D4DD9D1" w:rsidR="00EF7D0C" w:rsidRPr="00E70587" w:rsidRDefault="00EF7D0C" w:rsidP="00EF7D0C">
            <w:pPr>
              <w:spacing w:before="20" w:after="20"/>
              <w:jc w:val="right"/>
              <w:rPr>
                <w:rFonts w:ascii="Arial" w:hAnsi="Arial" w:cs="Arial"/>
                <w:sz w:val="20"/>
                <w:lang w:eastAsia="en-IN"/>
              </w:rPr>
            </w:pPr>
            <w:r w:rsidRPr="00E70587">
              <w:rPr>
                <w:rFonts w:ascii="Arial" w:hAnsi="Arial" w:cs="Arial"/>
                <w:sz w:val="20"/>
              </w:rPr>
              <w:t>(243)</w:t>
            </w:r>
          </w:p>
        </w:tc>
        <w:tc>
          <w:tcPr>
            <w:tcW w:w="273" w:type="pct"/>
            <w:tcBorders>
              <w:top w:val="nil"/>
              <w:left w:val="nil"/>
              <w:bottom w:val="single" w:sz="4" w:space="0" w:color="auto"/>
              <w:right w:val="nil"/>
            </w:tcBorders>
          </w:tcPr>
          <w:p w14:paraId="2066E62B" w14:textId="26766D3D" w:rsidR="00EF7D0C" w:rsidRPr="00E70587" w:rsidRDefault="00EF7D0C" w:rsidP="00EF7D0C">
            <w:pPr>
              <w:spacing w:before="20" w:after="20"/>
              <w:jc w:val="right"/>
              <w:rPr>
                <w:rFonts w:ascii="Arial" w:hAnsi="Arial" w:cs="Arial"/>
                <w:sz w:val="20"/>
              </w:rPr>
            </w:pPr>
            <w:r w:rsidRPr="00E70587">
              <w:rPr>
                <w:rFonts w:ascii="Arial" w:hAnsi="Arial" w:cs="Arial"/>
                <w:sz w:val="20"/>
              </w:rPr>
              <w:t>(585)</w:t>
            </w:r>
          </w:p>
        </w:tc>
      </w:tr>
      <w:tr w:rsidR="00130F3C" w:rsidRPr="00E70587" w14:paraId="5B47385E" w14:textId="77777777" w:rsidTr="00130F3C">
        <w:trPr>
          <w:trHeight w:val="285"/>
        </w:trPr>
        <w:tc>
          <w:tcPr>
            <w:tcW w:w="567" w:type="pct"/>
            <w:tcBorders>
              <w:top w:val="single" w:sz="4" w:space="0" w:color="auto"/>
              <w:left w:val="nil"/>
              <w:bottom w:val="single" w:sz="4" w:space="0" w:color="auto"/>
              <w:right w:val="nil"/>
            </w:tcBorders>
            <w:shd w:val="clear" w:color="auto" w:fill="auto"/>
            <w:noWrap/>
            <w:hideMark/>
          </w:tcPr>
          <w:p w14:paraId="4AE7DA15" w14:textId="2C3B5C87" w:rsidR="00130F3C" w:rsidRPr="004F7C80" w:rsidRDefault="00130F3C" w:rsidP="00DA72DB">
            <w:pPr>
              <w:spacing w:before="20" w:after="20"/>
              <w:rPr>
                <w:rFonts w:ascii="Arial" w:hAnsi="Arial" w:cs="Arial"/>
                <w:b/>
                <w:bCs/>
                <w:sz w:val="20"/>
                <w:lang w:eastAsia="en-IN"/>
              </w:rPr>
            </w:pPr>
            <w:r w:rsidRPr="004F7C80">
              <w:rPr>
                <w:rFonts w:ascii="Arial" w:hAnsi="Arial" w:cs="Arial"/>
                <w:b/>
                <w:bCs/>
                <w:sz w:val="20"/>
                <w:lang w:eastAsia="en-IN"/>
              </w:rPr>
              <w:lastRenderedPageBreak/>
              <w:t>At 31 March 2021</w:t>
            </w:r>
          </w:p>
        </w:tc>
        <w:tc>
          <w:tcPr>
            <w:tcW w:w="301" w:type="pct"/>
            <w:tcBorders>
              <w:top w:val="single" w:sz="4" w:space="0" w:color="auto"/>
              <w:left w:val="nil"/>
              <w:bottom w:val="single" w:sz="4" w:space="0" w:color="auto"/>
              <w:right w:val="nil"/>
            </w:tcBorders>
            <w:shd w:val="clear" w:color="auto" w:fill="auto"/>
            <w:noWrap/>
            <w:hideMark/>
          </w:tcPr>
          <w:p w14:paraId="3BA62E79" w14:textId="77777777" w:rsidR="00130F3C" w:rsidRPr="004F7C80" w:rsidRDefault="00130F3C" w:rsidP="004244DC">
            <w:pPr>
              <w:spacing w:before="20" w:after="20"/>
              <w:jc w:val="right"/>
              <w:rPr>
                <w:rFonts w:ascii="Arial" w:hAnsi="Arial" w:cs="Arial"/>
                <w:b/>
                <w:bCs/>
                <w:sz w:val="20"/>
                <w:lang w:eastAsia="en-IN"/>
              </w:rPr>
            </w:pPr>
            <w:r w:rsidRPr="004F7C80">
              <w:rPr>
                <w:rFonts w:ascii="Arial" w:hAnsi="Arial" w:cs="Arial"/>
                <w:b/>
                <w:sz w:val="20"/>
              </w:rPr>
              <w:t>410</w:t>
            </w:r>
          </w:p>
        </w:tc>
        <w:tc>
          <w:tcPr>
            <w:tcW w:w="251" w:type="pct"/>
            <w:tcBorders>
              <w:top w:val="single" w:sz="4" w:space="0" w:color="auto"/>
              <w:left w:val="nil"/>
              <w:bottom w:val="single" w:sz="4" w:space="0" w:color="auto"/>
              <w:right w:val="nil"/>
            </w:tcBorders>
            <w:shd w:val="clear" w:color="auto" w:fill="auto"/>
            <w:noWrap/>
            <w:hideMark/>
          </w:tcPr>
          <w:p w14:paraId="71519F70" w14:textId="77777777" w:rsidR="00130F3C" w:rsidRPr="004F7C80" w:rsidRDefault="00130F3C" w:rsidP="004244DC">
            <w:pPr>
              <w:spacing w:before="20" w:after="20"/>
              <w:jc w:val="right"/>
              <w:rPr>
                <w:rFonts w:ascii="Arial" w:hAnsi="Arial" w:cs="Arial"/>
                <w:b/>
                <w:bCs/>
                <w:sz w:val="20"/>
                <w:lang w:eastAsia="en-IN"/>
              </w:rPr>
            </w:pPr>
            <w:r w:rsidRPr="004F7C80">
              <w:rPr>
                <w:rFonts w:ascii="Arial" w:hAnsi="Arial" w:cs="Arial"/>
                <w:b/>
                <w:sz w:val="20"/>
              </w:rPr>
              <w:t>8,408</w:t>
            </w:r>
          </w:p>
        </w:tc>
        <w:tc>
          <w:tcPr>
            <w:tcW w:w="251" w:type="pct"/>
            <w:tcBorders>
              <w:top w:val="single" w:sz="4" w:space="0" w:color="auto"/>
              <w:left w:val="nil"/>
              <w:bottom w:val="single" w:sz="4" w:space="0" w:color="auto"/>
              <w:right w:val="nil"/>
            </w:tcBorders>
            <w:shd w:val="clear" w:color="auto" w:fill="auto"/>
            <w:noWrap/>
            <w:hideMark/>
          </w:tcPr>
          <w:p w14:paraId="635E7077" w14:textId="77777777" w:rsidR="00130F3C" w:rsidRPr="004F7C80" w:rsidRDefault="00130F3C" w:rsidP="004244DC">
            <w:pPr>
              <w:spacing w:before="20" w:after="20"/>
              <w:jc w:val="right"/>
              <w:rPr>
                <w:rFonts w:ascii="Arial" w:hAnsi="Arial" w:cs="Arial"/>
                <w:b/>
                <w:bCs/>
                <w:sz w:val="20"/>
                <w:lang w:eastAsia="en-IN"/>
              </w:rPr>
            </w:pPr>
            <w:r w:rsidRPr="004F7C80">
              <w:rPr>
                <w:rFonts w:ascii="Arial" w:hAnsi="Arial" w:cs="Arial"/>
                <w:b/>
                <w:sz w:val="20"/>
              </w:rPr>
              <w:t>(914)</w:t>
            </w:r>
          </w:p>
        </w:tc>
        <w:tc>
          <w:tcPr>
            <w:tcW w:w="251" w:type="pct"/>
            <w:tcBorders>
              <w:top w:val="single" w:sz="4" w:space="0" w:color="auto"/>
              <w:left w:val="nil"/>
              <w:bottom w:val="single" w:sz="4" w:space="0" w:color="auto"/>
              <w:right w:val="nil"/>
            </w:tcBorders>
            <w:shd w:val="clear" w:color="auto" w:fill="auto"/>
            <w:noWrap/>
            <w:hideMark/>
          </w:tcPr>
          <w:p w14:paraId="390D6AE9" w14:textId="77777777" w:rsidR="00130F3C" w:rsidRPr="004F7C80" w:rsidRDefault="00130F3C" w:rsidP="004244DC">
            <w:pPr>
              <w:spacing w:before="20" w:after="20"/>
              <w:jc w:val="right"/>
              <w:rPr>
                <w:rFonts w:ascii="Arial" w:hAnsi="Arial" w:cs="Arial"/>
                <w:b/>
                <w:bCs/>
                <w:sz w:val="20"/>
                <w:lang w:eastAsia="en-IN"/>
              </w:rPr>
            </w:pPr>
            <w:r w:rsidRPr="004F7C80">
              <w:rPr>
                <w:rFonts w:ascii="Arial" w:hAnsi="Arial" w:cs="Arial"/>
                <w:b/>
                <w:sz w:val="20"/>
              </w:rPr>
              <w:t>1,476</w:t>
            </w:r>
          </w:p>
        </w:tc>
        <w:tc>
          <w:tcPr>
            <w:tcW w:w="293" w:type="pct"/>
            <w:tcBorders>
              <w:top w:val="single" w:sz="4" w:space="0" w:color="auto"/>
              <w:left w:val="nil"/>
              <w:bottom w:val="single" w:sz="4" w:space="0" w:color="auto"/>
              <w:right w:val="nil"/>
            </w:tcBorders>
          </w:tcPr>
          <w:p w14:paraId="52CB32C7" w14:textId="77777777" w:rsidR="00130F3C" w:rsidRPr="004F7C80" w:rsidRDefault="00130F3C" w:rsidP="004244DC">
            <w:pPr>
              <w:spacing w:before="20" w:after="20"/>
              <w:jc w:val="right"/>
              <w:rPr>
                <w:rFonts w:ascii="Arial" w:hAnsi="Arial" w:cs="Arial"/>
                <w:b/>
                <w:bCs/>
                <w:sz w:val="20"/>
                <w:lang w:eastAsia="en-IN"/>
              </w:rPr>
            </w:pPr>
            <w:r w:rsidRPr="004F7C80">
              <w:rPr>
                <w:rFonts w:ascii="Arial" w:hAnsi="Arial" w:cs="Arial"/>
                <w:b/>
                <w:sz w:val="20"/>
              </w:rPr>
              <w:t>1,520</w:t>
            </w:r>
          </w:p>
        </w:tc>
        <w:tc>
          <w:tcPr>
            <w:tcW w:w="251" w:type="pct"/>
            <w:tcBorders>
              <w:top w:val="single" w:sz="4" w:space="0" w:color="auto"/>
              <w:left w:val="nil"/>
              <w:bottom w:val="single" w:sz="4" w:space="0" w:color="auto"/>
              <w:right w:val="nil"/>
            </w:tcBorders>
            <w:shd w:val="clear" w:color="auto" w:fill="auto"/>
          </w:tcPr>
          <w:p w14:paraId="5867D6BB" w14:textId="77777777" w:rsidR="00130F3C" w:rsidRPr="004F7C80" w:rsidRDefault="00130F3C" w:rsidP="004244DC">
            <w:pPr>
              <w:spacing w:before="20" w:after="20"/>
              <w:jc w:val="right"/>
              <w:rPr>
                <w:rFonts w:ascii="Arial" w:hAnsi="Arial" w:cs="Arial"/>
                <w:b/>
                <w:bCs/>
                <w:sz w:val="20"/>
              </w:rPr>
            </w:pPr>
            <w:r w:rsidRPr="004F7C80">
              <w:rPr>
                <w:rFonts w:ascii="Arial" w:hAnsi="Arial" w:cs="Arial"/>
                <w:b/>
                <w:sz w:val="20"/>
              </w:rPr>
              <w:t>76</w:t>
            </w:r>
          </w:p>
        </w:tc>
        <w:tc>
          <w:tcPr>
            <w:tcW w:w="218" w:type="pct"/>
            <w:tcBorders>
              <w:top w:val="single" w:sz="4" w:space="0" w:color="auto"/>
              <w:left w:val="nil"/>
              <w:bottom w:val="single" w:sz="4" w:space="0" w:color="auto"/>
              <w:right w:val="nil"/>
            </w:tcBorders>
            <w:shd w:val="clear" w:color="auto" w:fill="auto"/>
            <w:noWrap/>
            <w:hideMark/>
          </w:tcPr>
          <w:p w14:paraId="22A5A6FE" w14:textId="1005B789" w:rsidR="00130F3C" w:rsidRPr="004F7C80" w:rsidRDefault="00157525" w:rsidP="004244DC">
            <w:pPr>
              <w:spacing w:before="20" w:after="20"/>
              <w:jc w:val="right"/>
              <w:rPr>
                <w:rFonts w:ascii="Arial" w:hAnsi="Arial" w:cs="Arial"/>
                <w:b/>
                <w:bCs/>
                <w:sz w:val="20"/>
              </w:rPr>
            </w:pPr>
            <w:r w:rsidRPr="004F7C80">
              <w:rPr>
                <w:rFonts w:ascii="Arial" w:hAnsi="Arial" w:cs="Arial"/>
                <w:b/>
                <w:sz w:val="20"/>
              </w:rPr>
              <w:t>5</w:t>
            </w:r>
            <w:r>
              <w:rPr>
                <w:rFonts w:ascii="Arial" w:hAnsi="Arial" w:cs="Arial"/>
                <w:b/>
                <w:sz w:val="20"/>
              </w:rPr>
              <w:t>8</w:t>
            </w:r>
            <w:r w:rsidR="00130F3C" w:rsidRPr="004F7C80">
              <w:rPr>
                <w:rFonts w:ascii="Arial" w:hAnsi="Arial" w:cs="Arial"/>
                <w:b/>
                <w:sz w:val="20"/>
              </w:rPr>
              <w:t>,</w:t>
            </w:r>
            <w:r w:rsidR="006336DF">
              <w:rPr>
                <w:rFonts w:ascii="Arial" w:hAnsi="Arial" w:cs="Arial"/>
                <w:b/>
                <w:sz w:val="20"/>
              </w:rPr>
              <w:t>148</w:t>
            </w:r>
          </w:p>
        </w:tc>
        <w:tc>
          <w:tcPr>
            <w:tcW w:w="286" w:type="pct"/>
            <w:tcBorders>
              <w:top w:val="single" w:sz="4" w:space="0" w:color="auto"/>
              <w:left w:val="nil"/>
              <w:bottom w:val="single" w:sz="4" w:space="0" w:color="auto"/>
              <w:right w:val="nil"/>
            </w:tcBorders>
            <w:shd w:val="clear" w:color="auto" w:fill="auto"/>
            <w:noWrap/>
            <w:hideMark/>
          </w:tcPr>
          <w:p w14:paraId="480416B2" w14:textId="465EC707" w:rsidR="00130F3C" w:rsidRPr="004F7C80" w:rsidRDefault="00130F3C" w:rsidP="004244DC">
            <w:pPr>
              <w:spacing w:before="20" w:after="20"/>
              <w:jc w:val="right"/>
              <w:rPr>
                <w:rFonts w:ascii="Arial" w:hAnsi="Arial" w:cs="Arial"/>
                <w:b/>
                <w:bCs/>
                <w:sz w:val="20"/>
                <w:lang w:eastAsia="en-IN"/>
              </w:rPr>
            </w:pPr>
            <w:r w:rsidRPr="004F7C80">
              <w:rPr>
                <w:rFonts w:ascii="Arial" w:hAnsi="Arial" w:cs="Arial"/>
                <w:b/>
                <w:sz w:val="20"/>
              </w:rPr>
              <w:t>(1,</w:t>
            </w:r>
            <w:r w:rsidR="00EF7D0C" w:rsidRPr="004F7C80">
              <w:rPr>
                <w:rFonts w:ascii="Arial" w:hAnsi="Arial" w:cs="Arial"/>
                <w:b/>
                <w:sz w:val="20"/>
              </w:rPr>
              <w:t>0</w:t>
            </w:r>
            <w:r w:rsidR="00EF7D0C">
              <w:rPr>
                <w:rFonts w:ascii="Arial" w:hAnsi="Arial" w:cs="Arial"/>
                <w:b/>
                <w:sz w:val="20"/>
              </w:rPr>
              <w:t>12</w:t>
            </w:r>
            <w:r w:rsidRPr="004F7C80">
              <w:rPr>
                <w:rFonts w:ascii="Arial" w:hAnsi="Arial" w:cs="Arial"/>
                <w:b/>
                <w:sz w:val="20"/>
              </w:rPr>
              <w:t>)</w:t>
            </w:r>
          </w:p>
        </w:tc>
        <w:tc>
          <w:tcPr>
            <w:tcW w:w="224" w:type="pct"/>
            <w:tcBorders>
              <w:top w:val="single" w:sz="4" w:space="0" w:color="auto"/>
              <w:left w:val="nil"/>
              <w:bottom w:val="single" w:sz="4" w:space="0" w:color="auto"/>
              <w:right w:val="nil"/>
            </w:tcBorders>
          </w:tcPr>
          <w:p w14:paraId="5E638CEF" w14:textId="078E786E" w:rsidR="00130F3C" w:rsidRDefault="00EF7D0C" w:rsidP="004244DC">
            <w:pPr>
              <w:spacing w:before="20" w:after="20"/>
              <w:jc w:val="right"/>
              <w:rPr>
                <w:rFonts w:ascii="Arial" w:hAnsi="Arial" w:cs="Arial"/>
                <w:b/>
                <w:sz w:val="20"/>
              </w:rPr>
            </w:pPr>
            <w:r>
              <w:rPr>
                <w:rFonts w:ascii="Arial" w:hAnsi="Arial" w:cs="Arial"/>
                <w:b/>
                <w:sz w:val="20"/>
              </w:rPr>
              <w:t>(36)</w:t>
            </w:r>
          </w:p>
        </w:tc>
        <w:tc>
          <w:tcPr>
            <w:tcW w:w="224" w:type="pct"/>
            <w:tcBorders>
              <w:top w:val="single" w:sz="4" w:space="0" w:color="auto"/>
              <w:left w:val="nil"/>
              <w:bottom w:val="single" w:sz="4" w:space="0" w:color="auto"/>
              <w:right w:val="nil"/>
            </w:tcBorders>
          </w:tcPr>
          <w:p w14:paraId="4D274DD2" w14:textId="47C7FDE1" w:rsidR="00130F3C" w:rsidRPr="004F7C80" w:rsidRDefault="00130F3C" w:rsidP="004244DC">
            <w:pPr>
              <w:spacing w:before="20" w:after="20"/>
              <w:jc w:val="right"/>
              <w:rPr>
                <w:rFonts w:ascii="Arial" w:hAnsi="Arial" w:cs="Arial"/>
                <w:b/>
                <w:sz w:val="20"/>
              </w:rPr>
            </w:pPr>
            <w:r>
              <w:rPr>
                <w:rFonts w:ascii="Arial" w:hAnsi="Arial" w:cs="Arial"/>
                <w:b/>
                <w:sz w:val="20"/>
              </w:rPr>
              <w:t>(13)</w:t>
            </w:r>
          </w:p>
        </w:tc>
        <w:tc>
          <w:tcPr>
            <w:tcW w:w="224" w:type="pct"/>
            <w:tcBorders>
              <w:top w:val="single" w:sz="4" w:space="0" w:color="auto"/>
              <w:left w:val="nil"/>
              <w:bottom w:val="single" w:sz="4" w:space="0" w:color="auto"/>
              <w:right w:val="nil"/>
            </w:tcBorders>
            <w:shd w:val="clear" w:color="auto" w:fill="auto"/>
            <w:noWrap/>
            <w:hideMark/>
          </w:tcPr>
          <w:p w14:paraId="5FE77BE2" w14:textId="3D064397" w:rsidR="00130F3C" w:rsidRPr="004F7C80" w:rsidRDefault="00130F3C" w:rsidP="004244DC">
            <w:pPr>
              <w:spacing w:before="20" w:after="20"/>
              <w:jc w:val="right"/>
              <w:rPr>
                <w:rFonts w:ascii="Arial" w:hAnsi="Arial" w:cs="Arial"/>
                <w:b/>
                <w:bCs/>
                <w:sz w:val="20"/>
                <w:lang w:eastAsia="en-IN"/>
              </w:rPr>
            </w:pPr>
            <w:r w:rsidRPr="004F7C80">
              <w:rPr>
                <w:rFonts w:ascii="Arial" w:hAnsi="Arial" w:cs="Arial"/>
                <w:b/>
                <w:sz w:val="20"/>
              </w:rPr>
              <w:t>(1</w:t>
            </w:r>
            <w:r>
              <w:rPr>
                <w:rFonts w:ascii="Arial" w:hAnsi="Arial" w:cs="Arial"/>
                <w:b/>
                <w:sz w:val="20"/>
              </w:rPr>
              <w:t>38</w:t>
            </w:r>
            <w:r w:rsidRPr="004F7C80">
              <w:rPr>
                <w:rFonts w:ascii="Arial" w:hAnsi="Arial" w:cs="Arial"/>
                <w:b/>
                <w:sz w:val="20"/>
              </w:rPr>
              <w:t>)</w:t>
            </w:r>
          </w:p>
        </w:tc>
        <w:tc>
          <w:tcPr>
            <w:tcW w:w="284" w:type="pct"/>
            <w:tcBorders>
              <w:top w:val="single" w:sz="4" w:space="0" w:color="auto"/>
              <w:left w:val="nil"/>
              <w:bottom w:val="single" w:sz="4" w:space="0" w:color="auto"/>
              <w:right w:val="nil"/>
            </w:tcBorders>
            <w:shd w:val="clear" w:color="auto" w:fill="auto"/>
            <w:noWrap/>
            <w:hideMark/>
          </w:tcPr>
          <w:p w14:paraId="4E888968" w14:textId="345BCED9" w:rsidR="00130F3C" w:rsidRPr="004F7C80" w:rsidRDefault="00130F3C" w:rsidP="004244DC">
            <w:pPr>
              <w:spacing w:before="20" w:after="20"/>
              <w:jc w:val="right"/>
              <w:rPr>
                <w:rFonts w:ascii="Arial" w:hAnsi="Arial" w:cs="Arial"/>
                <w:b/>
                <w:bCs/>
                <w:sz w:val="20"/>
                <w:lang w:eastAsia="en-IN"/>
              </w:rPr>
            </w:pPr>
            <w:r w:rsidRPr="004F7C80">
              <w:rPr>
                <w:rFonts w:ascii="Arial" w:hAnsi="Arial" w:cs="Arial"/>
                <w:b/>
                <w:sz w:val="20"/>
              </w:rPr>
              <w:t>(30</w:t>
            </w:r>
            <w:r>
              <w:rPr>
                <w:rFonts w:ascii="Arial" w:hAnsi="Arial" w:cs="Arial"/>
                <w:b/>
                <w:sz w:val="20"/>
              </w:rPr>
              <w:t>3</w:t>
            </w:r>
            <w:r w:rsidRPr="004F7C80">
              <w:rPr>
                <w:rFonts w:ascii="Arial" w:hAnsi="Arial" w:cs="Arial"/>
                <w:b/>
                <w:sz w:val="20"/>
              </w:rPr>
              <w:t>)</w:t>
            </w:r>
          </w:p>
        </w:tc>
        <w:tc>
          <w:tcPr>
            <w:tcW w:w="272" w:type="pct"/>
            <w:tcBorders>
              <w:top w:val="single" w:sz="4" w:space="0" w:color="auto"/>
              <w:left w:val="nil"/>
              <w:bottom w:val="single" w:sz="4" w:space="0" w:color="auto"/>
              <w:right w:val="nil"/>
            </w:tcBorders>
            <w:shd w:val="clear" w:color="auto" w:fill="auto"/>
            <w:noWrap/>
            <w:hideMark/>
          </w:tcPr>
          <w:p w14:paraId="670C41BB" w14:textId="77777777" w:rsidR="00130F3C" w:rsidRPr="004F7C80" w:rsidRDefault="00130F3C" w:rsidP="004244DC">
            <w:pPr>
              <w:spacing w:before="20" w:after="20"/>
              <w:jc w:val="right"/>
              <w:rPr>
                <w:rFonts w:ascii="Arial" w:hAnsi="Arial" w:cs="Arial"/>
                <w:b/>
                <w:bCs/>
                <w:sz w:val="20"/>
                <w:lang w:eastAsia="en-IN"/>
              </w:rPr>
            </w:pPr>
            <w:r w:rsidRPr="004F7C80">
              <w:rPr>
                <w:rFonts w:ascii="Arial" w:hAnsi="Arial" w:cs="Arial"/>
                <w:b/>
                <w:sz w:val="20"/>
              </w:rPr>
              <w:t>922</w:t>
            </w:r>
          </w:p>
        </w:tc>
        <w:tc>
          <w:tcPr>
            <w:tcW w:w="315" w:type="pct"/>
            <w:tcBorders>
              <w:top w:val="single" w:sz="4" w:space="0" w:color="auto"/>
              <w:left w:val="nil"/>
              <w:bottom w:val="single" w:sz="4" w:space="0" w:color="auto"/>
              <w:right w:val="nil"/>
            </w:tcBorders>
            <w:shd w:val="clear" w:color="auto" w:fill="auto"/>
            <w:noWrap/>
            <w:hideMark/>
          </w:tcPr>
          <w:p w14:paraId="5C4292CD" w14:textId="77777777" w:rsidR="00130F3C" w:rsidRPr="004F7C80" w:rsidRDefault="00130F3C" w:rsidP="004244DC">
            <w:pPr>
              <w:spacing w:before="20" w:after="20"/>
              <w:jc w:val="right"/>
              <w:rPr>
                <w:rFonts w:ascii="Arial" w:hAnsi="Arial" w:cs="Arial"/>
                <w:b/>
                <w:bCs/>
                <w:sz w:val="20"/>
                <w:lang w:eastAsia="en-IN"/>
              </w:rPr>
            </w:pPr>
            <w:r w:rsidRPr="004F7C80">
              <w:rPr>
                <w:rFonts w:ascii="Arial" w:hAnsi="Arial" w:cs="Arial"/>
                <w:b/>
                <w:sz w:val="20"/>
              </w:rPr>
              <w:t>83</w:t>
            </w:r>
          </w:p>
        </w:tc>
        <w:tc>
          <w:tcPr>
            <w:tcW w:w="233" w:type="pct"/>
            <w:tcBorders>
              <w:top w:val="single" w:sz="4" w:space="0" w:color="auto"/>
              <w:left w:val="nil"/>
              <w:bottom w:val="single" w:sz="4" w:space="0" w:color="auto"/>
              <w:right w:val="nil"/>
            </w:tcBorders>
            <w:shd w:val="clear" w:color="auto" w:fill="auto"/>
            <w:noWrap/>
            <w:hideMark/>
          </w:tcPr>
          <w:p w14:paraId="0106A395" w14:textId="4B16E3C9" w:rsidR="00130F3C" w:rsidRPr="004F7C80" w:rsidRDefault="004C6135" w:rsidP="004244DC">
            <w:pPr>
              <w:spacing w:before="20" w:after="20"/>
              <w:jc w:val="right"/>
              <w:rPr>
                <w:rFonts w:ascii="Arial" w:hAnsi="Arial" w:cs="Arial"/>
                <w:b/>
                <w:bCs/>
                <w:sz w:val="20"/>
                <w:lang w:eastAsia="en-IN"/>
              </w:rPr>
            </w:pPr>
            <w:r w:rsidRPr="004F7C80">
              <w:rPr>
                <w:rFonts w:ascii="Arial" w:hAnsi="Arial" w:cs="Arial"/>
                <w:b/>
                <w:sz w:val="20"/>
              </w:rPr>
              <w:t>6</w:t>
            </w:r>
            <w:r>
              <w:rPr>
                <w:rFonts w:ascii="Arial" w:hAnsi="Arial" w:cs="Arial"/>
                <w:b/>
                <w:sz w:val="20"/>
              </w:rPr>
              <w:t>8</w:t>
            </w:r>
            <w:r w:rsidR="00130F3C" w:rsidRPr="004F7C80">
              <w:rPr>
                <w:rFonts w:ascii="Arial" w:hAnsi="Arial" w:cs="Arial"/>
                <w:b/>
                <w:sz w:val="20"/>
              </w:rPr>
              <w:t>,</w:t>
            </w:r>
            <w:r w:rsidR="000E34A4">
              <w:rPr>
                <w:rFonts w:ascii="Arial" w:hAnsi="Arial" w:cs="Arial"/>
                <w:b/>
                <w:sz w:val="20"/>
              </w:rPr>
              <w:t>6</w:t>
            </w:r>
            <w:r>
              <w:rPr>
                <w:rFonts w:ascii="Arial" w:hAnsi="Arial" w:cs="Arial"/>
                <w:b/>
                <w:sz w:val="20"/>
              </w:rPr>
              <w:t>28</w:t>
            </w:r>
          </w:p>
        </w:tc>
        <w:tc>
          <w:tcPr>
            <w:tcW w:w="282" w:type="pct"/>
            <w:tcBorders>
              <w:top w:val="single" w:sz="4" w:space="0" w:color="auto"/>
              <w:left w:val="nil"/>
              <w:bottom w:val="single" w:sz="4" w:space="0" w:color="auto"/>
              <w:right w:val="nil"/>
            </w:tcBorders>
            <w:shd w:val="clear" w:color="auto" w:fill="auto"/>
            <w:noWrap/>
            <w:hideMark/>
          </w:tcPr>
          <w:p w14:paraId="76BE4E30" w14:textId="482D7C5F" w:rsidR="00130F3C" w:rsidRPr="004F7C80" w:rsidRDefault="00130F3C" w:rsidP="004244DC">
            <w:pPr>
              <w:spacing w:before="20" w:after="20"/>
              <w:jc w:val="right"/>
              <w:rPr>
                <w:rFonts w:ascii="Arial" w:hAnsi="Arial" w:cs="Arial"/>
                <w:b/>
                <w:bCs/>
                <w:sz w:val="20"/>
                <w:lang w:eastAsia="en-IN"/>
              </w:rPr>
            </w:pPr>
            <w:r w:rsidRPr="004F7C80">
              <w:rPr>
                <w:rFonts w:ascii="Arial" w:hAnsi="Arial" w:cs="Arial"/>
                <w:b/>
                <w:sz w:val="20"/>
              </w:rPr>
              <w:t>4,3</w:t>
            </w:r>
            <w:r>
              <w:rPr>
                <w:rFonts w:ascii="Arial" w:hAnsi="Arial" w:cs="Arial"/>
                <w:b/>
                <w:sz w:val="20"/>
              </w:rPr>
              <w:t>38</w:t>
            </w:r>
          </w:p>
        </w:tc>
        <w:tc>
          <w:tcPr>
            <w:tcW w:w="273" w:type="pct"/>
            <w:tcBorders>
              <w:top w:val="single" w:sz="4" w:space="0" w:color="auto"/>
              <w:left w:val="nil"/>
              <w:bottom w:val="single" w:sz="4" w:space="0" w:color="auto"/>
              <w:right w:val="nil"/>
            </w:tcBorders>
          </w:tcPr>
          <w:p w14:paraId="7DCA7714" w14:textId="3E29E059" w:rsidR="00130F3C" w:rsidRPr="00E70587" w:rsidRDefault="00605B85" w:rsidP="004244DC">
            <w:pPr>
              <w:spacing w:before="20" w:after="20"/>
              <w:jc w:val="right"/>
              <w:rPr>
                <w:rFonts w:ascii="Arial" w:hAnsi="Arial" w:cs="Arial"/>
                <w:b/>
                <w:sz w:val="20"/>
              </w:rPr>
            </w:pPr>
            <w:r w:rsidRPr="004F7C80">
              <w:rPr>
                <w:rFonts w:ascii="Arial" w:hAnsi="Arial" w:cs="Arial"/>
                <w:b/>
                <w:sz w:val="20"/>
              </w:rPr>
              <w:t>7</w:t>
            </w:r>
            <w:r w:rsidR="006A2896">
              <w:rPr>
                <w:rFonts w:ascii="Arial" w:hAnsi="Arial" w:cs="Arial"/>
                <w:b/>
                <w:sz w:val="20"/>
              </w:rPr>
              <w:t>2</w:t>
            </w:r>
            <w:r w:rsidR="00130F3C" w:rsidRPr="004F7C80">
              <w:rPr>
                <w:rFonts w:ascii="Arial" w:hAnsi="Arial" w:cs="Arial"/>
                <w:b/>
                <w:sz w:val="20"/>
              </w:rPr>
              <w:t>,</w:t>
            </w:r>
            <w:r w:rsidR="006A2896">
              <w:rPr>
                <w:rFonts w:ascii="Arial" w:hAnsi="Arial" w:cs="Arial"/>
                <w:b/>
                <w:sz w:val="20"/>
              </w:rPr>
              <w:t>9</w:t>
            </w:r>
            <w:r>
              <w:rPr>
                <w:rFonts w:ascii="Arial" w:hAnsi="Arial" w:cs="Arial"/>
                <w:b/>
                <w:sz w:val="20"/>
              </w:rPr>
              <w:t>64</w:t>
            </w:r>
          </w:p>
        </w:tc>
      </w:tr>
    </w:tbl>
    <w:p w14:paraId="564A62F6" w14:textId="77777777" w:rsidR="00C820CA" w:rsidRPr="00E70587" w:rsidRDefault="00C820CA">
      <w:pPr>
        <w:overflowPunct/>
        <w:autoSpaceDE/>
        <w:autoSpaceDN/>
        <w:adjustRightInd/>
        <w:spacing w:line="240" w:lineRule="auto"/>
        <w:textAlignment w:val="auto"/>
        <w:rPr>
          <w:rFonts w:ascii="Arial" w:hAnsi="Arial" w:cs="Arial"/>
        </w:rPr>
      </w:pPr>
      <w:r w:rsidRPr="00E70587">
        <w:rPr>
          <w:rFonts w:ascii="Arial" w:hAnsi="Arial" w:cs="Arial"/>
        </w:rPr>
        <w:br w:type="page"/>
      </w:r>
    </w:p>
    <w:p w14:paraId="7EC35805" w14:textId="22F9DCB4" w:rsidR="00C812E1" w:rsidRDefault="00C812E1" w:rsidP="0025750D">
      <w:pPr>
        <w:spacing w:before="60" w:after="60"/>
        <w:rPr>
          <w:rFonts w:ascii="Arial" w:hAnsi="Arial" w:cs="Arial"/>
          <w:sz w:val="20"/>
          <w:lang w:eastAsia="en-IN"/>
        </w:rPr>
      </w:pPr>
    </w:p>
    <w:p w14:paraId="720EDC66" w14:textId="4E8C9647" w:rsidR="00C7103F" w:rsidRPr="00E70587" w:rsidRDefault="00C7103F" w:rsidP="00C7103F">
      <w:pPr>
        <w:spacing w:before="40" w:after="40"/>
        <w:rPr>
          <w:rFonts w:ascii="Arial" w:hAnsi="Arial" w:cs="Arial"/>
          <w:b/>
          <w:bCs/>
          <w:sz w:val="20"/>
          <w:lang w:eastAsia="en-IN"/>
        </w:rPr>
      </w:pPr>
      <w:r w:rsidRPr="00E70587">
        <w:rPr>
          <w:rFonts w:ascii="Arial" w:hAnsi="Arial" w:cs="Arial"/>
          <w:b/>
          <w:bCs/>
          <w:sz w:val="20"/>
          <w:lang w:eastAsia="en-IN"/>
        </w:rPr>
        <w:t>For the year ended 31 March 20</w:t>
      </w:r>
      <w:r>
        <w:rPr>
          <w:rFonts w:ascii="Arial" w:hAnsi="Arial" w:cs="Arial"/>
          <w:b/>
          <w:bCs/>
          <w:sz w:val="20"/>
          <w:lang w:eastAsia="en-IN"/>
        </w:rPr>
        <w:t>20</w:t>
      </w:r>
    </w:p>
    <w:p w14:paraId="6694B5C9" w14:textId="77777777" w:rsidR="00C7103F" w:rsidRPr="00E70587" w:rsidRDefault="00C7103F" w:rsidP="0025750D">
      <w:pPr>
        <w:spacing w:before="60" w:after="60"/>
        <w:rPr>
          <w:rFonts w:ascii="Arial" w:hAnsi="Arial" w:cs="Arial"/>
          <w:sz w:val="20"/>
          <w:lang w:eastAsia="en-IN"/>
        </w:rPr>
      </w:pPr>
    </w:p>
    <w:tbl>
      <w:tblPr>
        <w:tblW w:w="4708" w:type="pct"/>
        <w:tblInd w:w="108" w:type="dxa"/>
        <w:tblLayout w:type="fixed"/>
        <w:tblCellMar>
          <w:left w:w="57" w:type="dxa"/>
          <w:right w:w="57" w:type="dxa"/>
        </w:tblCellMar>
        <w:tblLook w:val="04A0" w:firstRow="1" w:lastRow="0" w:firstColumn="1" w:lastColumn="0" w:noHBand="0" w:noVBand="1"/>
      </w:tblPr>
      <w:tblGrid>
        <w:gridCol w:w="2495"/>
        <w:gridCol w:w="1318"/>
        <w:gridCol w:w="1321"/>
        <w:gridCol w:w="1105"/>
        <w:gridCol w:w="1061"/>
        <w:gridCol w:w="1393"/>
        <w:gridCol w:w="1637"/>
        <w:gridCol w:w="1221"/>
        <w:gridCol w:w="1485"/>
        <w:gridCol w:w="1317"/>
        <w:gridCol w:w="1441"/>
        <w:gridCol w:w="1149"/>
        <w:gridCol w:w="1397"/>
        <w:gridCol w:w="1677"/>
      </w:tblGrid>
      <w:tr w:rsidR="00C812E1" w:rsidRPr="00E70587" w14:paraId="0E7D27D7" w14:textId="77777777" w:rsidTr="00706934">
        <w:trPr>
          <w:trHeight w:val="223"/>
          <w:tblHeader/>
        </w:trPr>
        <w:tc>
          <w:tcPr>
            <w:tcW w:w="623" w:type="pct"/>
            <w:tcBorders>
              <w:top w:val="nil"/>
              <w:left w:val="nil"/>
              <w:bottom w:val="nil"/>
              <w:right w:val="single" w:sz="4" w:space="0" w:color="auto"/>
            </w:tcBorders>
            <w:shd w:val="clear" w:color="auto" w:fill="auto"/>
            <w:noWrap/>
          </w:tcPr>
          <w:p w14:paraId="2714C429" w14:textId="77777777" w:rsidR="00C812E1" w:rsidRPr="00E70587" w:rsidRDefault="00C812E1" w:rsidP="00944426">
            <w:pPr>
              <w:spacing w:before="40" w:after="40"/>
              <w:rPr>
                <w:rFonts w:ascii="Arial" w:hAnsi="Arial" w:cs="Arial"/>
                <w:b/>
                <w:bCs/>
                <w:sz w:val="20"/>
                <w:lang w:eastAsia="en-IN"/>
              </w:rPr>
            </w:pPr>
          </w:p>
        </w:tc>
        <w:tc>
          <w:tcPr>
            <w:tcW w:w="3609" w:type="pct"/>
            <w:gridSpan w:val="11"/>
            <w:tcBorders>
              <w:top w:val="single" w:sz="8" w:space="0" w:color="auto"/>
              <w:left w:val="single" w:sz="4" w:space="0" w:color="auto"/>
              <w:bottom w:val="single" w:sz="4" w:space="0" w:color="auto"/>
              <w:right w:val="single" w:sz="4" w:space="0" w:color="auto"/>
            </w:tcBorders>
            <w:shd w:val="clear" w:color="auto" w:fill="auto"/>
            <w:noWrap/>
            <w:vAlign w:val="center"/>
          </w:tcPr>
          <w:p w14:paraId="62B6149C" w14:textId="77777777" w:rsidR="00C812E1" w:rsidRPr="00E70587" w:rsidRDefault="00C812E1" w:rsidP="00944426">
            <w:pPr>
              <w:spacing w:before="60" w:after="60"/>
              <w:jc w:val="center"/>
              <w:rPr>
                <w:rFonts w:ascii="Arial" w:hAnsi="Arial" w:cs="Arial"/>
                <w:b/>
                <w:sz w:val="20"/>
              </w:rPr>
            </w:pPr>
            <w:r w:rsidRPr="00E70587">
              <w:rPr>
                <w:rFonts w:ascii="Arial" w:hAnsi="Arial" w:cs="Arial"/>
                <w:b/>
                <w:bCs/>
                <w:sz w:val="20"/>
                <w:lang w:eastAsia="en-IN"/>
              </w:rPr>
              <w:t>Attributable to the equity holders of the parent</w:t>
            </w:r>
          </w:p>
        </w:tc>
        <w:tc>
          <w:tcPr>
            <w:tcW w:w="349" w:type="pct"/>
            <w:tcBorders>
              <w:top w:val="single" w:sz="8" w:space="0" w:color="auto"/>
              <w:left w:val="single" w:sz="4" w:space="0" w:color="auto"/>
              <w:bottom w:val="single" w:sz="8" w:space="0" w:color="auto"/>
              <w:right w:val="single" w:sz="8" w:space="0" w:color="auto"/>
            </w:tcBorders>
            <w:shd w:val="clear" w:color="auto" w:fill="auto"/>
            <w:noWrap/>
            <w:vAlign w:val="center"/>
          </w:tcPr>
          <w:p w14:paraId="7E419BF4" w14:textId="77777777" w:rsidR="00C812E1" w:rsidRPr="00E70587" w:rsidRDefault="00C812E1" w:rsidP="00944426">
            <w:pPr>
              <w:spacing w:before="40" w:after="40"/>
              <w:jc w:val="center"/>
              <w:rPr>
                <w:rFonts w:ascii="Arial" w:hAnsi="Arial" w:cs="Arial"/>
                <w:b/>
                <w:bCs/>
                <w:sz w:val="20"/>
                <w:lang w:eastAsia="en-IN"/>
              </w:rPr>
            </w:pPr>
            <w:r w:rsidRPr="00E70587">
              <w:rPr>
                <w:rFonts w:ascii="Arial" w:hAnsi="Arial" w:cs="Arial"/>
                <w:b/>
                <w:bCs/>
                <w:sz w:val="20"/>
                <w:lang w:eastAsia="en-IN"/>
              </w:rPr>
              <w:t>Non-controlling interests</w:t>
            </w:r>
          </w:p>
        </w:tc>
        <w:tc>
          <w:tcPr>
            <w:tcW w:w="41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608E670" w14:textId="77777777" w:rsidR="00C812E1" w:rsidRPr="00E70587" w:rsidRDefault="00C812E1" w:rsidP="00944426">
            <w:pPr>
              <w:spacing w:before="40" w:after="40"/>
              <w:jc w:val="center"/>
              <w:rPr>
                <w:rFonts w:ascii="Arial" w:hAnsi="Arial" w:cs="Arial"/>
                <w:b/>
                <w:bCs/>
                <w:sz w:val="20"/>
                <w:lang w:eastAsia="en-IN"/>
              </w:rPr>
            </w:pPr>
            <w:r w:rsidRPr="00E70587">
              <w:rPr>
                <w:rFonts w:ascii="Arial" w:hAnsi="Arial" w:cs="Arial"/>
                <w:b/>
                <w:bCs/>
                <w:sz w:val="20"/>
                <w:lang w:eastAsia="en-IN"/>
              </w:rPr>
              <w:t>Total equity</w:t>
            </w:r>
          </w:p>
        </w:tc>
      </w:tr>
      <w:tr w:rsidR="00C812E1" w:rsidRPr="00E70587" w14:paraId="01D116D3" w14:textId="77777777" w:rsidTr="00706934">
        <w:trPr>
          <w:trHeight w:val="223"/>
          <w:tblHeader/>
        </w:trPr>
        <w:tc>
          <w:tcPr>
            <w:tcW w:w="623" w:type="pct"/>
            <w:tcBorders>
              <w:top w:val="nil"/>
              <w:left w:val="nil"/>
              <w:bottom w:val="nil"/>
              <w:right w:val="single" w:sz="8" w:space="0" w:color="auto"/>
            </w:tcBorders>
            <w:shd w:val="clear" w:color="auto" w:fill="auto"/>
            <w:noWrap/>
          </w:tcPr>
          <w:p w14:paraId="726E0BB7" w14:textId="77777777" w:rsidR="00C812E1" w:rsidRPr="00E70587" w:rsidRDefault="00C812E1" w:rsidP="00944426">
            <w:pPr>
              <w:spacing w:before="40" w:after="40"/>
              <w:rPr>
                <w:rFonts w:ascii="Arial" w:hAnsi="Arial" w:cs="Arial"/>
                <w:b/>
                <w:bCs/>
                <w:sz w:val="20"/>
                <w:lang w:eastAsia="en-IN"/>
              </w:rPr>
            </w:pPr>
          </w:p>
        </w:tc>
        <w:tc>
          <w:tcPr>
            <w:tcW w:w="329" w:type="pct"/>
            <w:tcBorders>
              <w:left w:val="single" w:sz="8" w:space="0" w:color="auto"/>
              <w:bottom w:val="single" w:sz="8" w:space="0" w:color="auto"/>
              <w:right w:val="single" w:sz="8" w:space="0" w:color="auto"/>
            </w:tcBorders>
            <w:shd w:val="clear" w:color="auto" w:fill="auto"/>
            <w:noWrap/>
          </w:tcPr>
          <w:p w14:paraId="02C4568F" w14:textId="77777777" w:rsidR="0068612D" w:rsidRPr="00E70587" w:rsidRDefault="0068612D" w:rsidP="0068612D">
            <w:pPr>
              <w:spacing w:before="40" w:after="40"/>
              <w:jc w:val="center"/>
              <w:rPr>
                <w:rFonts w:ascii="Arial" w:hAnsi="Arial" w:cs="Arial"/>
                <w:b/>
                <w:bCs/>
                <w:sz w:val="20"/>
                <w:lang w:eastAsia="en-IN"/>
              </w:rPr>
            </w:pPr>
            <w:r w:rsidRPr="00E70587">
              <w:rPr>
                <w:rFonts w:ascii="Arial" w:hAnsi="Arial" w:cs="Arial"/>
                <w:b/>
                <w:bCs/>
                <w:sz w:val="20"/>
                <w:lang w:eastAsia="en-IN"/>
              </w:rPr>
              <w:t>Equity Component of convertible preference shares</w:t>
            </w:r>
          </w:p>
          <w:p w14:paraId="41394ECB" w14:textId="77777777" w:rsidR="00C812E1" w:rsidRPr="00E70587" w:rsidRDefault="0068612D" w:rsidP="0068612D">
            <w:pPr>
              <w:spacing w:before="40" w:after="40"/>
              <w:jc w:val="center"/>
              <w:rPr>
                <w:rFonts w:ascii="Arial" w:hAnsi="Arial" w:cs="Arial"/>
                <w:bCs/>
                <w:sz w:val="20"/>
                <w:lang w:eastAsia="en-IN"/>
              </w:rPr>
            </w:pPr>
            <w:r w:rsidRPr="00E70587">
              <w:rPr>
                <w:rFonts w:ascii="Arial" w:hAnsi="Arial" w:cs="Arial"/>
                <w:b/>
                <w:bCs/>
                <w:sz w:val="20"/>
                <w:lang w:eastAsia="en-IN"/>
              </w:rPr>
              <w:t>(Note 11)</w:t>
            </w:r>
          </w:p>
        </w:tc>
        <w:tc>
          <w:tcPr>
            <w:tcW w:w="330" w:type="pct"/>
            <w:tcBorders>
              <w:top w:val="single" w:sz="8" w:space="0" w:color="auto"/>
              <w:left w:val="single" w:sz="8" w:space="0" w:color="auto"/>
              <w:bottom w:val="single" w:sz="4" w:space="0" w:color="auto"/>
              <w:right w:val="nil"/>
            </w:tcBorders>
            <w:shd w:val="clear" w:color="auto" w:fill="auto"/>
            <w:noWrap/>
          </w:tcPr>
          <w:p w14:paraId="4E9086FB" w14:textId="3F5335A9" w:rsidR="00C812E1" w:rsidRPr="00E70587" w:rsidRDefault="0049095E" w:rsidP="00944426">
            <w:pPr>
              <w:spacing w:before="40" w:after="40"/>
              <w:jc w:val="center"/>
              <w:rPr>
                <w:rFonts w:ascii="Arial" w:hAnsi="Arial" w:cs="Arial"/>
                <w:bCs/>
                <w:sz w:val="20"/>
                <w:lang w:eastAsia="en-IN"/>
              </w:rPr>
            </w:pPr>
            <w:r>
              <w:rPr>
                <w:rFonts w:ascii="Arial" w:hAnsi="Arial" w:cs="Arial"/>
                <w:b/>
                <w:bCs/>
                <w:sz w:val="20"/>
                <w:lang w:eastAsia="en-IN"/>
              </w:rPr>
              <w:t>Securities</w:t>
            </w:r>
            <w:r w:rsidRPr="00E70587">
              <w:rPr>
                <w:rFonts w:ascii="Arial" w:hAnsi="Arial" w:cs="Arial"/>
                <w:b/>
                <w:bCs/>
                <w:sz w:val="20"/>
                <w:lang w:eastAsia="en-IN"/>
              </w:rPr>
              <w:t xml:space="preserve"> </w:t>
            </w:r>
            <w:r w:rsidR="00C812E1" w:rsidRPr="00E70587">
              <w:rPr>
                <w:rFonts w:ascii="Arial" w:hAnsi="Arial" w:cs="Arial"/>
                <w:b/>
                <w:bCs/>
                <w:sz w:val="20"/>
                <w:lang w:eastAsia="en-IN"/>
              </w:rPr>
              <w:t>premium (Note 12)</w:t>
            </w:r>
          </w:p>
        </w:tc>
        <w:tc>
          <w:tcPr>
            <w:tcW w:w="276" w:type="pct"/>
            <w:tcBorders>
              <w:top w:val="single" w:sz="8" w:space="0" w:color="auto"/>
              <w:left w:val="nil"/>
              <w:bottom w:val="single" w:sz="4" w:space="0" w:color="auto"/>
              <w:right w:val="nil"/>
            </w:tcBorders>
            <w:shd w:val="clear" w:color="auto" w:fill="auto"/>
            <w:noWrap/>
          </w:tcPr>
          <w:p w14:paraId="199735BC" w14:textId="77777777" w:rsidR="00C812E1" w:rsidRPr="00E70587" w:rsidRDefault="00C812E1" w:rsidP="00944426">
            <w:pPr>
              <w:spacing w:before="40" w:after="40"/>
              <w:jc w:val="center"/>
              <w:rPr>
                <w:rFonts w:ascii="Arial" w:hAnsi="Arial" w:cs="Arial"/>
                <w:bCs/>
                <w:sz w:val="20"/>
                <w:lang w:eastAsia="en-IN"/>
              </w:rPr>
            </w:pPr>
            <w:r w:rsidRPr="00E70587">
              <w:rPr>
                <w:rFonts w:ascii="Arial" w:hAnsi="Arial" w:cs="Arial"/>
                <w:b/>
                <w:bCs/>
                <w:sz w:val="20"/>
                <w:lang w:eastAsia="en-IN"/>
              </w:rPr>
              <w:t>Treasury shares (Note 12)</w:t>
            </w:r>
          </w:p>
        </w:tc>
        <w:tc>
          <w:tcPr>
            <w:tcW w:w="265" w:type="pct"/>
            <w:tcBorders>
              <w:top w:val="single" w:sz="8" w:space="0" w:color="auto"/>
              <w:left w:val="nil"/>
              <w:bottom w:val="single" w:sz="4" w:space="0" w:color="auto"/>
              <w:right w:val="nil"/>
            </w:tcBorders>
            <w:shd w:val="clear" w:color="auto" w:fill="auto"/>
            <w:noWrap/>
          </w:tcPr>
          <w:p w14:paraId="58F52C03" w14:textId="77777777" w:rsidR="00C812E1" w:rsidRPr="00E70587" w:rsidRDefault="00C812E1" w:rsidP="00944426">
            <w:pPr>
              <w:spacing w:before="40" w:after="40"/>
              <w:jc w:val="center"/>
              <w:rPr>
                <w:rFonts w:ascii="Arial" w:hAnsi="Arial" w:cs="Arial"/>
                <w:bCs/>
                <w:sz w:val="20"/>
                <w:lang w:eastAsia="en-IN"/>
              </w:rPr>
            </w:pPr>
            <w:r w:rsidRPr="00E70587">
              <w:rPr>
                <w:rFonts w:ascii="Arial" w:hAnsi="Arial" w:cs="Arial"/>
                <w:b/>
                <w:bCs/>
                <w:sz w:val="20"/>
                <w:lang w:eastAsia="en-IN"/>
              </w:rPr>
              <w:t>SBP reserves (Note 12)</w:t>
            </w:r>
          </w:p>
        </w:tc>
        <w:tc>
          <w:tcPr>
            <w:tcW w:w="348" w:type="pct"/>
            <w:tcBorders>
              <w:top w:val="single" w:sz="8" w:space="0" w:color="auto"/>
              <w:left w:val="nil"/>
              <w:bottom w:val="single" w:sz="4" w:space="0" w:color="auto"/>
              <w:right w:val="nil"/>
            </w:tcBorders>
          </w:tcPr>
          <w:p w14:paraId="50A64A34" w14:textId="77777777" w:rsidR="00C812E1" w:rsidRPr="00E70587" w:rsidRDefault="00C812E1" w:rsidP="00944426">
            <w:pPr>
              <w:spacing w:before="40" w:after="40"/>
              <w:jc w:val="center"/>
              <w:rPr>
                <w:rFonts w:ascii="Arial" w:hAnsi="Arial" w:cs="Arial"/>
                <w:b/>
                <w:bCs/>
                <w:sz w:val="20"/>
                <w:lang w:eastAsia="en-IN"/>
              </w:rPr>
            </w:pPr>
            <w:r w:rsidRPr="00E70587">
              <w:rPr>
                <w:rFonts w:ascii="Arial" w:hAnsi="Arial" w:cs="Arial"/>
                <w:b/>
                <w:bCs/>
                <w:sz w:val="20"/>
                <w:lang w:eastAsia="en-IN"/>
              </w:rPr>
              <w:t>Debenture redemption reserve</w:t>
            </w:r>
          </w:p>
          <w:p w14:paraId="167981F0" w14:textId="77777777" w:rsidR="00C812E1" w:rsidRPr="00E70587" w:rsidRDefault="00C812E1" w:rsidP="00944426">
            <w:pPr>
              <w:spacing w:before="40" w:after="40"/>
              <w:jc w:val="center"/>
              <w:rPr>
                <w:rFonts w:ascii="Arial" w:hAnsi="Arial" w:cs="Arial"/>
                <w:bCs/>
                <w:sz w:val="20"/>
                <w:lang w:eastAsia="en-IN"/>
              </w:rPr>
            </w:pPr>
            <w:r w:rsidRPr="00E70587">
              <w:rPr>
                <w:rFonts w:ascii="Arial" w:hAnsi="Arial" w:cs="Arial"/>
                <w:b/>
                <w:bCs/>
                <w:sz w:val="20"/>
                <w:lang w:eastAsia="en-IN"/>
              </w:rPr>
              <w:t>(Note 12)</w:t>
            </w:r>
          </w:p>
        </w:tc>
        <w:tc>
          <w:tcPr>
            <w:tcW w:w="409" w:type="pct"/>
            <w:tcBorders>
              <w:top w:val="single" w:sz="8" w:space="0" w:color="auto"/>
              <w:left w:val="nil"/>
              <w:bottom w:val="single" w:sz="8" w:space="0" w:color="auto"/>
              <w:right w:val="single" w:sz="8" w:space="0" w:color="auto"/>
            </w:tcBorders>
          </w:tcPr>
          <w:p w14:paraId="4E7A8DE2" w14:textId="77777777" w:rsidR="00C812E1" w:rsidRPr="00E70587" w:rsidRDefault="00C812E1" w:rsidP="00944426">
            <w:pPr>
              <w:spacing w:before="40" w:after="40"/>
              <w:jc w:val="center"/>
              <w:rPr>
                <w:rFonts w:ascii="Arial" w:hAnsi="Arial" w:cs="Arial"/>
                <w:b/>
                <w:bCs/>
                <w:sz w:val="20"/>
                <w:lang w:eastAsia="en-IN"/>
              </w:rPr>
            </w:pPr>
            <w:r w:rsidRPr="00E70587">
              <w:rPr>
                <w:rFonts w:ascii="Arial" w:hAnsi="Arial" w:cs="Arial"/>
                <w:b/>
                <w:bCs/>
                <w:sz w:val="20"/>
                <w:lang w:eastAsia="en-IN"/>
              </w:rPr>
              <w:t>Capital reserve</w:t>
            </w:r>
          </w:p>
          <w:p w14:paraId="4EA1EBB2" w14:textId="77777777" w:rsidR="00C812E1" w:rsidRPr="00E70587" w:rsidRDefault="00C812E1" w:rsidP="00944426">
            <w:pPr>
              <w:spacing w:before="40" w:after="40"/>
              <w:jc w:val="center"/>
              <w:rPr>
                <w:rFonts w:ascii="Arial" w:hAnsi="Arial" w:cs="Arial"/>
                <w:bCs/>
                <w:sz w:val="20"/>
                <w:lang w:eastAsia="en-IN"/>
              </w:rPr>
            </w:pPr>
            <w:r w:rsidRPr="00E70587">
              <w:rPr>
                <w:rFonts w:ascii="Arial" w:hAnsi="Arial" w:cs="Arial"/>
                <w:b/>
                <w:bCs/>
                <w:sz w:val="20"/>
                <w:lang w:eastAsia="en-IN"/>
              </w:rPr>
              <w:t>(Note 12)</w:t>
            </w:r>
          </w:p>
        </w:tc>
        <w:tc>
          <w:tcPr>
            <w:tcW w:w="305" w:type="pct"/>
            <w:tcBorders>
              <w:top w:val="single" w:sz="8" w:space="0" w:color="auto"/>
              <w:left w:val="single" w:sz="8" w:space="0" w:color="auto"/>
              <w:bottom w:val="single" w:sz="4" w:space="0" w:color="auto"/>
              <w:right w:val="nil"/>
            </w:tcBorders>
            <w:shd w:val="clear" w:color="auto" w:fill="auto"/>
            <w:noWrap/>
          </w:tcPr>
          <w:p w14:paraId="34DBE847" w14:textId="77777777" w:rsidR="00C812E1" w:rsidRPr="00E70587" w:rsidRDefault="00C812E1" w:rsidP="00944426">
            <w:pPr>
              <w:spacing w:before="40" w:after="40"/>
              <w:jc w:val="center"/>
              <w:rPr>
                <w:rFonts w:ascii="Arial" w:hAnsi="Arial" w:cs="Arial"/>
                <w:bCs/>
                <w:sz w:val="20"/>
                <w:lang w:eastAsia="en-IN"/>
              </w:rPr>
            </w:pPr>
            <w:r w:rsidRPr="00E70587">
              <w:rPr>
                <w:rFonts w:ascii="Arial" w:hAnsi="Arial" w:cs="Arial"/>
                <w:b/>
                <w:bCs/>
                <w:sz w:val="20"/>
                <w:lang w:eastAsia="en-IN"/>
              </w:rPr>
              <w:t>Retained earnings</w:t>
            </w:r>
          </w:p>
        </w:tc>
        <w:tc>
          <w:tcPr>
            <w:tcW w:w="371" w:type="pct"/>
            <w:tcBorders>
              <w:top w:val="single" w:sz="8" w:space="0" w:color="auto"/>
              <w:left w:val="nil"/>
              <w:bottom w:val="single" w:sz="4" w:space="0" w:color="auto"/>
              <w:right w:val="nil"/>
            </w:tcBorders>
            <w:shd w:val="clear" w:color="auto" w:fill="auto"/>
            <w:noWrap/>
          </w:tcPr>
          <w:p w14:paraId="25CDC0CE" w14:textId="77777777" w:rsidR="00E122CA" w:rsidRPr="00E70587" w:rsidRDefault="00E122CA" w:rsidP="00E122CA">
            <w:pPr>
              <w:spacing w:before="20" w:after="20"/>
              <w:jc w:val="center"/>
              <w:rPr>
                <w:rFonts w:ascii="Arial" w:hAnsi="Arial" w:cs="Arial"/>
                <w:b/>
                <w:bCs/>
                <w:sz w:val="20"/>
                <w:lang w:eastAsia="en-IN"/>
              </w:rPr>
            </w:pPr>
            <w:r>
              <w:rPr>
                <w:rFonts w:ascii="Arial" w:hAnsi="Arial" w:cs="Arial"/>
                <w:b/>
                <w:bCs/>
                <w:sz w:val="20"/>
                <w:lang w:eastAsia="en-IN"/>
              </w:rPr>
              <w:t>Effective portion of c</w:t>
            </w:r>
            <w:r w:rsidRPr="00E70587">
              <w:rPr>
                <w:rFonts w:ascii="Arial" w:hAnsi="Arial" w:cs="Arial"/>
                <w:b/>
                <w:bCs/>
                <w:sz w:val="20"/>
                <w:lang w:eastAsia="en-IN"/>
              </w:rPr>
              <w:t xml:space="preserve">ash flow hedge </w:t>
            </w:r>
          </w:p>
          <w:p w14:paraId="5F584A1D" w14:textId="31DAA3EE" w:rsidR="00C812E1" w:rsidRPr="00E70587" w:rsidRDefault="00E122CA" w:rsidP="00944426">
            <w:pPr>
              <w:spacing w:before="40" w:after="40"/>
              <w:jc w:val="center"/>
              <w:rPr>
                <w:rFonts w:ascii="Arial" w:hAnsi="Arial" w:cs="Arial"/>
                <w:bCs/>
                <w:sz w:val="20"/>
                <w:lang w:eastAsia="en-IN"/>
              </w:rPr>
            </w:pPr>
            <w:r w:rsidRPr="00E70587" w:rsidDel="00E122CA">
              <w:rPr>
                <w:rFonts w:ascii="Arial" w:hAnsi="Arial" w:cs="Arial"/>
                <w:b/>
                <w:bCs/>
                <w:sz w:val="20"/>
                <w:lang w:eastAsia="en-IN"/>
              </w:rPr>
              <w:t xml:space="preserve"> </w:t>
            </w:r>
            <w:r w:rsidR="00C812E1" w:rsidRPr="00E70587">
              <w:rPr>
                <w:rFonts w:ascii="Arial" w:hAnsi="Arial" w:cs="Arial"/>
                <w:b/>
                <w:bCs/>
                <w:sz w:val="20"/>
                <w:lang w:eastAsia="en-IN"/>
              </w:rPr>
              <w:t>(Note 12)</w:t>
            </w:r>
          </w:p>
        </w:tc>
        <w:tc>
          <w:tcPr>
            <w:tcW w:w="329" w:type="pct"/>
            <w:tcBorders>
              <w:top w:val="single" w:sz="8" w:space="0" w:color="auto"/>
              <w:left w:val="nil"/>
              <w:bottom w:val="single" w:sz="4" w:space="0" w:color="auto"/>
              <w:right w:val="nil"/>
            </w:tcBorders>
            <w:shd w:val="clear" w:color="auto" w:fill="auto"/>
            <w:noWrap/>
          </w:tcPr>
          <w:p w14:paraId="754FFD1A" w14:textId="77777777" w:rsidR="00706934" w:rsidRPr="00706934" w:rsidRDefault="00706934" w:rsidP="00706934">
            <w:pPr>
              <w:spacing w:before="40" w:after="40"/>
              <w:jc w:val="center"/>
              <w:rPr>
                <w:rFonts w:ascii="Arial" w:hAnsi="Arial" w:cs="Arial"/>
                <w:b/>
                <w:bCs/>
                <w:sz w:val="20"/>
                <w:lang w:eastAsia="en-IN"/>
              </w:rPr>
            </w:pPr>
            <w:r w:rsidRPr="00706934">
              <w:rPr>
                <w:rFonts w:ascii="Arial" w:hAnsi="Arial" w:cs="Arial"/>
                <w:b/>
                <w:bCs/>
                <w:sz w:val="20"/>
                <w:lang w:eastAsia="en-IN"/>
              </w:rPr>
              <w:t xml:space="preserve">Debt </w:t>
            </w:r>
          </w:p>
          <w:p w14:paraId="18ADCB94" w14:textId="77777777" w:rsidR="00706934" w:rsidRPr="00706934" w:rsidRDefault="00706934" w:rsidP="00706934">
            <w:pPr>
              <w:spacing w:before="40" w:after="40"/>
              <w:jc w:val="center"/>
              <w:rPr>
                <w:rFonts w:ascii="Arial" w:hAnsi="Arial" w:cs="Arial"/>
                <w:b/>
                <w:bCs/>
                <w:sz w:val="20"/>
                <w:lang w:eastAsia="en-IN"/>
              </w:rPr>
            </w:pPr>
            <w:r w:rsidRPr="00706934">
              <w:rPr>
                <w:rFonts w:ascii="Arial" w:hAnsi="Arial" w:cs="Arial"/>
                <w:b/>
                <w:bCs/>
                <w:sz w:val="20"/>
                <w:lang w:eastAsia="en-IN"/>
              </w:rPr>
              <w:t xml:space="preserve">instruments </w:t>
            </w:r>
          </w:p>
          <w:p w14:paraId="5E67AD6D" w14:textId="77777777" w:rsidR="00706934" w:rsidRPr="00706934" w:rsidRDefault="00706934" w:rsidP="00706934">
            <w:pPr>
              <w:spacing w:before="40" w:after="40"/>
              <w:jc w:val="center"/>
              <w:rPr>
                <w:rFonts w:ascii="Arial" w:hAnsi="Arial" w:cs="Arial"/>
                <w:b/>
                <w:bCs/>
                <w:sz w:val="20"/>
                <w:lang w:eastAsia="en-IN"/>
              </w:rPr>
            </w:pPr>
            <w:r w:rsidRPr="00706934">
              <w:rPr>
                <w:rFonts w:ascii="Arial" w:hAnsi="Arial" w:cs="Arial"/>
                <w:b/>
                <w:bCs/>
                <w:sz w:val="20"/>
                <w:lang w:eastAsia="en-IN"/>
              </w:rPr>
              <w:t xml:space="preserve">through </w:t>
            </w:r>
          </w:p>
          <w:p w14:paraId="4A75256F" w14:textId="77777777" w:rsidR="00706934" w:rsidRPr="00706934" w:rsidRDefault="00706934" w:rsidP="00706934">
            <w:pPr>
              <w:spacing w:before="40" w:after="40"/>
              <w:jc w:val="center"/>
              <w:rPr>
                <w:rFonts w:ascii="Arial" w:hAnsi="Arial" w:cs="Arial"/>
                <w:b/>
                <w:bCs/>
                <w:sz w:val="20"/>
                <w:lang w:eastAsia="en-IN"/>
              </w:rPr>
            </w:pPr>
            <w:r w:rsidRPr="00706934">
              <w:rPr>
                <w:rFonts w:ascii="Arial" w:hAnsi="Arial" w:cs="Arial"/>
                <w:b/>
                <w:bCs/>
                <w:sz w:val="20"/>
                <w:lang w:eastAsia="en-IN"/>
              </w:rPr>
              <w:t xml:space="preserve">Other </w:t>
            </w:r>
          </w:p>
          <w:p w14:paraId="3F167469" w14:textId="5AFB0E86" w:rsidR="00C812E1" w:rsidRPr="00E70587" w:rsidRDefault="00706934" w:rsidP="00944426">
            <w:pPr>
              <w:spacing w:before="40" w:after="40"/>
              <w:jc w:val="center"/>
              <w:rPr>
                <w:rFonts w:ascii="Arial" w:hAnsi="Arial" w:cs="Arial"/>
                <w:bCs/>
                <w:sz w:val="20"/>
                <w:lang w:eastAsia="en-IN"/>
              </w:rPr>
            </w:pPr>
            <w:r w:rsidRPr="00706934">
              <w:rPr>
                <w:rFonts w:ascii="Arial" w:hAnsi="Arial" w:cs="Arial"/>
                <w:b/>
                <w:bCs/>
                <w:sz w:val="20"/>
                <w:lang w:eastAsia="en-IN"/>
              </w:rPr>
              <w:t>Comprehensive Income</w:t>
            </w:r>
            <w:r w:rsidRPr="00706934" w:rsidDel="00706934">
              <w:rPr>
                <w:rFonts w:ascii="Arial" w:hAnsi="Arial" w:cs="Arial"/>
                <w:b/>
                <w:bCs/>
                <w:sz w:val="20"/>
                <w:lang w:eastAsia="en-IN"/>
              </w:rPr>
              <w:t xml:space="preserve"> </w:t>
            </w:r>
            <w:r w:rsidR="00C812E1" w:rsidRPr="00E70587">
              <w:rPr>
                <w:rFonts w:ascii="Arial" w:hAnsi="Arial" w:cs="Arial"/>
                <w:b/>
                <w:bCs/>
                <w:sz w:val="20"/>
                <w:lang w:eastAsia="en-IN"/>
              </w:rPr>
              <w:t>(Note 12)</w:t>
            </w:r>
          </w:p>
        </w:tc>
        <w:tc>
          <w:tcPr>
            <w:tcW w:w="360" w:type="pct"/>
            <w:tcBorders>
              <w:top w:val="single" w:sz="8" w:space="0" w:color="auto"/>
              <w:left w:val="nil"/>
              <w:bottom w:val="single" w:sz="4" w:space="0" w:color="auto"/>
              <w:right w:val="single" w:sz="8" w:space="0" w:color="auto"/>
            </w:tcBorders>
            <w:shd w:val="clear" w:color="auto" w:fill="auto"/>
            <w:noWrap/>
          </w:tcPr>
          <w:p w14:paraId="4AF2CF69" w14:textId="77777777" w:rsidR="009C6A0B" w:rsidRPr="00E70587" w:rsidRDefault="009C6A0B" w:rsidP="009C6A0B">
            <w:pPr>
              <w:spacing w:before="20" w:after="20"/>
              <w:jc w:val="center"/>
              <w:rPr>
                <w:rFonts w:ascii="Arial" w:hAnsi="Arial" w:cs="Arial"/>
                <w:b/>
                <w:bCs/>
                <w:sz w:val="20"/>
                <w:lang w:eastAsia="en-IN"/>
              </w:rPr>
            </w:pPr>
            <w:r>
              <w:rPr>
                <w:rFonts w:ascii="Arial" w:hAnsi="Arial" w:cs="Arial"/>
                <w:b/>
                <w:bCs/>
                <w:sz w:val="20"/>
                <w:lang w:eastAsia="en-IN"/>
              </w:rPr>
              <w:t>Exchange differences on translating the financial statements of a f</w:t>
            </w:r>
            <w:r w:rsidRPr="00E70587">
              <w:rPr>
                <w:rFonts w:ascii="Arial" w:hAnsi="Arial" w:cs="Arial"/>
                <w:b/>
                <w:bCs/>
                <w:sz w:val="20"/>
                <w:lang w:eastAsia="en-IN"/>
              </w:rPr>
              <w:t xml:space="preserve">oreign </w:t>
            </w:r>
            <w:r>
              <w:rPr>
                <w:rFonts w:ascii="Arial" w:hAnsi="Arial" w:cs="Arial"/>
                <w:b/>
                <w:bCs/>
                <w:sz w:val="20"/>
                <w:lang w:eastAsia="en-IN"/>
              </w:rPr>
              <w:t>operation</w:t>
            </w:r>
          </w:p>
          <w:p w14:paraId="5862A7F6" w14:textId="1515A606" w:rsidR="00C812E1" w:rsidRPr="00E70587" w:rsidRDefault="009C6A0B" w:rsidP="00944426">
            <w:pPr>
              <w:spacing w:before="40" w:after="40"/>
              <w:jc w:val="center"/>
              <w:rPr>
                <w:rFonts w:ascii="Arial" w:hAnsi="Arial" w:cs="Arial"/>
                <w:bCs/>
                <w:sz w:val="20"/>
                <w:lang w:eastAsia="en-IN"/>
              </w:rPr>
            </w:pPr>
            <w:r w:rsidRPr="00E70587" w:rsidDel="009C6A0B">
              <w:rPr>
                <w:rFonts w:ascii="Arial" w:hAnsi="Arial" w:cs="Arial"/>
                <w:b/>
                <w:bCs/>
                <w:sz w:val="20"/>
                <w:lang w:eastAsia="en-IN"/>
              </w:rPr>
              <w:t xml:space="preserve"> </w:t>
            </w:r>
            <w:r w:rsidR="00C812E1" w:rsidRPr="00E70587">
              <w:rPr>
                <w:rFonts w:ascii="Arial" w:hAnsi="Arial" w:cs="Arial"/>
                <w:b/>
                <w:bCs/>
                <w:sz w:val="20"/>
                <w:lang w:eastAsia="en-IN"/>
              </w:rPr>
              <w:t>(Note 12)</w:t>
            </w:r>
          </w:p>
        </w:tc>
        <w:tc>
          <w:tcPr>
            <w:tcW w:w="287" w:type="pct"/>
            <w:tcBorders>
              <w:left w:val="single" w:sz="8" w:space="0" w:color="auto"/>
              <w:bottom w:val="single" w:sz="8" w:space="0" w:color="auto"/>
              <w:right w:val="single" w:sz="8" w:space="0" w:color="auto"/>
            </w:tcBorders>
            <w:shd w:val="clear" w:color="auto" w:fill="auto"/>
            <w:noWrap/>
          </w:tcPr>
          <w:p w14:paraId="5BD27CE1" w14:textId="77777777" w:rsidR="00C812E1" w:rsidRPr="00E70587" w:rsidRDefault="0068612D" w:rsidP="00944426">
            <w:pPr>
              <w:spacing w:before="40" w:after="40"/>
              <w:jc w:val="center"/>
              <w:rPr>
                <w:rFonts w:ascii="Arial" w:hAnsi="Arial" w:cs="Arial"/>
                <w:bCs/>
                <w:sz w:val="20"/>
                <w:lang w:eastAsia="en-IN"/>
              </w:rPr>
            </w:pPr>
            <w:r w:rsidRPr="00E70587">
              <w:rPr>
                <w:rFonts w:ascii="Arial" w:hAnsi="Arial" w:cs="Arial"/>
                <w:b/>
                <w:bCs/>
                <w:sz w:val="20"/>
                <w:lang w:eastAsia="en-IN"/>
              </w:rPr>
              <w:t>Total</w:t>
            </w:r>
          </w:p>
        </w:tc>
        <w:tc>
          <w:tcPr>
            <w:tcW w:w="349" w:type="pct"/>
            <w:tcBorders>
              <w:left w:val="single" w:sz="8" w:space="0" w:color="auto"/>
              <w:bottom w:val="single" w:sz="8" w:space="0" w:color="auto"/>
              <w:right w:val="single" w:sz="8" w:space="0" w:color="auto"/>
            </w:tcBorders>
            <w:shd w:val="clear" w:color="auto" w:fill="auto"/>
            <w:noWrap/>
          </w:tcPr>
          <w:p w14:paraId="350DAEE3" w14:textId="77777777" w:rsidR="00C812E1" w:rsidRPr="00E70587" w:rsidRDefault="00C812E1" w:rsidP="00944426">
            <w:pPr>
              <w:spacing w:before="40" w:after="40"/>
              <w:jc w:val="center"/>
              <w:rPr>
                <w:rFonts w:ascii="Arial" w:hAnsi="Arial" w:cs="Arial"/>
                <w:bCs/>
                <w:sz w:val="20"/>
                <w:lang w:eastAsia="en-IN"/>
              </w:rPr>
            </w:pPr>
          </w:p>
        </w:tc>
        <w:tc>
          <w:tcPr>
            <w:tcW w:w="419" w:type="pct"/>
            <w:tcBorders>
              <w:left w:val="single" w:sz="8" w:space="0" w:color="auto"/>
              <w:bottom w:val="single" w:sz="8" w:space="0" w:color="auto"/>
              <w:right w:val="single" w:sz="8" w:space="0" w:color="auto"/>
            </w:tcBorders>
            <w:shd w:val="clear" w:color="auto" w:fill="auto"/>
            <w:noWrap/>
          </w:tcPr>
          <w:p w14:paraId="68FB0A90" w14:textId="77777777" w:rsidR="00C812E1" w:rsidRPr="00E70587" w:rsidRDefault="00C812E1" w:rsidP="00944426">
            <w:pPr>
              <w:spacing w:before="40" w:after="40"/>
              <w:jc w:val="center"/>
              <w:rPr>
                <w:rFonts w:ascii="Arial" w:hAnsi="Arial" w:cs="Arial"/>
                <w:bCs/>
                <w:sz w:val="20"/>
                <w:lang w:eastAsia="en-IN"/>
              </w:rPr>
            </w:pPr>
          </w:p>
        </w:tc>
      </w:tr>
      <w:tr w:rsidR="007C74AF" w:rsidRPr="00B7408E" w14:paraId="464C6A65" w14:textId="77777777" w:rsidTr="00706934">
        <w:trPr>
          <w:trHeight w:val="223"/>
          <w:tblHeader/>
        </w:trPr>
        <w:tc>
          <w:tcPr>
            <w:tcW w:w="623" w:type="pct"/>
            <w:tcBorders>
              <w:top w:val="nil"/>
              <w:left w:val="nil"/>
              <w:bottom w:val="nil"/>
              <w:right w:val="nil"/>
            </w:tcBorders>
            <w:shd w:val="clear" w:color="auto" w:fill="auto"/>
            <w:noWrap/>
            <w:hideMark/>
          </w:tcPr>
          <w:p w14:paraId="4D654E54" w14:textId="77777777" w:rsidR="007C74AF" w:rsidRPr="00B7408E" w:rsidRDefault="007C74AF" w:rsidP="007C74AF">
            <w:pPr>
              <w:spacing w:before="40" w:after="40"/>
              <w:rPr>
                <w:rFonts w:ascii="Arial" w:hAnsi="Arial" w:cs="Arial"/>
                <w:b/>
                <w:bCs/>
                <w:sz w:val="20"/>
                <w:lang w:eastAsia="en-IN"/>
              </w:rPr>
            </w:pPr>
            <w:r w:rsidRPr="00B7408E">
              <w:rPr>
                <w:rFonts w:ascii="Arial" w:hAnsi="Arial" w:cs="Arial"/>
                <w:b/>
                <w:bCs/>
                <w:sz w:val="20"/>
                <w:lang w:eastAsia="en-IN"/>
              </w:rPr>
              <w:t xml:space="preserve"> </w:t>
            </w:r>
          </w:p>
        </w:tc>
        <w:tc>
          <w:tcPr>
            <w:tcW w:w="329" w:type="pct"/>
            <w:tcBorders>
              <w:top w:val="single" w:sz="8" w:space="0" w:color="auto"/>
              <w:left w:val="nil"/>
              <w:bottom w:val="single" w:sz="4" w:space="0" w:color="auto"/>
              <w:right w:val="nil"/>
            </w:tcBorders>
            <w:shd w:val="clear" w:color="auto" w:fill="auto"/>
            <w:noWrap/>
            <w:hideMark/>
          </w:tcPr>
          <w:p w14:paraId="427AD6C4" w14:textId="566A3210" w:rsidR="007C74AF" w:rsidRPr="00B7408E" w:rsidRDefault="007C74AF" w:rsidP="007C74AF">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330" w:type="pct"/>
            <w:tcBorders>
              <w:top w:val="single" w:sz="8" w:space="0" w:color="auto"/>
              <w:left w:val="nil"/>
              <w:bottom w:val="single" w:sz="4" w:space="0" w:color="auto"/>
              <w:right w:val="nil"/>
            </w:tcBorders>
            <w:shd w:val="clear" w:color="auto" w:fill="auto"/>
            <w:noWrap/>
            <w:hideMark/>
          </w:tcPr>
          <w:p w14:paraId="7D8DFD68" w14:textId="7874B13A" w:rsidR="007C74AF" w:rsidRPr="00B7408E" w:rsidRDefault="007C74AF" w:rsidP="007C74AF">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276" w:type="pct"/>
            <w:tcBorders>
              <w:top w:val="single" w:sz="8" w:space="0" w:color="auto"/>
              <w:left w:val="nil"/>
              <w:bottom w:val="single" w:sz="4" w:space="0" w:color="auto"/>
              <w:right w:val="nil"/>
            </w:tcBorders>
            <w:shd w:val="clear" w:color="auto" w:fill="auto"/>
            <w:noWrap/>
            <w:hideMark/>
          </w:tcPr>
          <w:p w14:paraId="4B3F87AD" w14:textId="75881CD3" w:rsidR="007C74AF" w:rsidRPr="00B7408E" w:rsidRDefault="007C74AF" w:rsidP="007C74AF">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265" w:type="pct"/>
            <w:tcBorders>
              <w:top w:val="single" w:sz="8" w:space="0" w:color="auto"/>
              <w:left w:val="nil"/>
              <w:bottom w:val="single" w:sz="4" w:space="0" w:color="auto"/>
              <w:right w:val="nil"/>
            </w:tcBorders>
            <w:shd w:val="clear" w:color="auto" w:fill="auto"/>
            <w:noWrap/>
            <w:hideMark/>
          </w:tcPr>
          <w:p w14:paraId="5F44CC4A" w14:textId="1DAAF210" w:rsidR="007C74AF" w:rsidRPr="00B7408E" w:rsidRDefault="007C74AF" w:rsidP="007C74AF">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348" w:type="pct"/>
            <w:tcBorders>
              <w:top w:val="single" w:sz="8" w:space="0" w:color="auto"/>
              <w:left w:val="nil"/>
              <w:bottom w:val="single" w:sz="4" w:space="0" w:color="auto"/>
              <w:right w:val="nil"/>
            </w:tcBorders>
          </w:tcPr>
          <w:p w14:paraId="6D5E27EB" w14:textId="0A0D0D40" w:rsidR="007C74AF" w:rsidRPr="00B7408E" w:rsidRDefault="007C74AF" w:rsidP="007C74AF">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409" w:type="pct"/>
            <w:tcBorders>
              <w:top w:val="single" w:sz="8" w:space="0" w:color="auto"/>
              <w:left w:val="nil"/>
              <w:bottom w:val="single" w:sz="4" w:space="0" w:color="auto"/>
              <w:right w:val="nil"/>
            </w:tcBorders>
          </w:tcPr>
          <w:p w14:paraId="502E57EF" w14:textId="44A45533" w:rsidR="007C74AF" w:rsidRPr="00B7408E" w:rsidRDefault="007C74AF" w:rsidP="007C74AF">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305" w:type="pct"/>
            <w:tcBorders>
              <w:top w:val="single" w:sz="8" w:space="0" w:color="auto"/>
              <w:left w:val="nil"/>
              <w:bottom w:val="single" w:sz="4" w:space="0" w:color="auto"/>
              <w:right w:val="nil"/>
            </w:tcBorders>
            <w:shd w:val="clear" w:color="auto" w:fill="auto"/>
            <w:noWrap/>
            <w:hideMark/>
          </w:tcPr>
          <w:p w14:paraId="1CF04584" w14:textId="508E0712" w:rsidR="007C74AF" w:rsidRPr="00B7408E" w:rsidRDefault="007C74AF" w:rsidP="007C74AF">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371" w:type="pct"/>
            <w:tcBorders>
              <w:top w:val="single" w:sz="8" w:space="0" w:color="auto"/>
              <w:left w:val="nil"/>
              <w:bottom w:val="single" w:sz="4" w:space="0" w:color="auto"/>
              <w:right w:val="nil"/>
            </w:tcBorders>
            <w:shd w:val="clear" w:color="auto" w:fill="auto"/>
            <w:noWrap/>
            <w:hideMark/>
          </w:tcPr>
          <w:p w14:paraId="48A79CB0" w14:textId="606CE7F9" w:rsidR="007C74AF" w:rsidRPr="00B7408E" w:rsidRDefault="007C74AF" w:rsidP="007C74AF">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329" w:type="pct"/>
            <w:tcBorders>
              <w:top w:val="single" w:sz="8" w:space="0" w:color="auto"/>
              <w:left w:val="nil"/>
              <w:bottom w:val="single" w:sz="4" w:space="0" w:color="auto"/>
              <w:right w:val="nil"/>
            </w:tcBorders>
            <w:shd w:val="clear" w:color="auto" w:fill="auto"/>
            <w:noWrap/>
            <w:hideMark/>
          </w:tcPr>
          <w:p w14:paraId="6132ED91" w14:textId="4888E2A3" w:rsidR="007C74AF" w:rsidRPr="00B7408E" w:rsidRDefault="007C74AF" w:rsidP="007C74AF">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360" w:type="pct"/>
            <w:tcBorders>
              <w:top w:val="single" w:sz="8" w:space="0" w:color="auto"/>
              <w:left w:val="nil"/>
              <w:bottom w:val="single" w:sz="4" w:space="0" w:color="auto"/>
              <w:right w:val="nil"/>
            </w:tcBorders>
            <w:shd w:val="clear" w:color="auto" w:fill="auto"/>
            <w:noWrap/>
            <w:hideMark/>
          </w:tcPr>
          <w:p w14:paraId="79D0C783" w14:textId="77142733" w:rsidR="007C74AF" w:rsidRPr="00B7408E" w:rsidRDefault="007C74AF" w:rsidP="007C74AF">
            <w:pPr>
              <w:spacing w:before="40" w:after="40"/>
              <w:jc w:val="center"/>
              <w:rPr>
                <w:rFonts w:ascii="Arial" w:hAnsi="Arial" w:cs="Arial"/>
                <w:b/>
                <w:bCs/>
                <w:sz w:val="20"/>
                <w:lang w:eastAsia="en-IN"/>
              </w:rPr>
            </w:pPr>
            <w:r w:rsidRPr="00E70587">
              <w:rPr>
                <w:rFonts w:ascii="Arial" w:hAnsi="Arial" w:cs="Arial"/>
                <w:b/>
                <w:bCs/>
                <w:sz w:val="20"/>
                <w:lang w:eastAsia="en-IN"/>
              </w:rPr>
              <w:t xml:space="preserve">INR </w:t>
            </w:r>
            <w:r>
              <w:rPr>
                <w:rFonts w:ascii="Arial" w:hAnsi="Arial" w:cs="Arial"/>
                <w:b/>
                <w:bCs/>
                <w:sz w:val="20"/>
                <w:lang w:eastAsia="en-IN"/>
              </w:rPr>
              <w:t>lacs</w:t>
            </w:r>
          </w:p>
        </w:tc>
        <w:tc>
          <w:tcPr>
            <w:tcW w:w="287" w:type="pct"/>
            <w:tcBorders>
              <w:top w:val="single" w:sz="8" w:space="0" w:color="auto"/>
              <w:left w:val="nil"/>
              <w:bottom w:val="single" w:sz="4" w:space="0" w:color="auto"/>
              <w:right w:val="nil"/>
            </w:tcBorders>
            <w:shd w:val="clear" w:color="auto" w:fill="auto"/>
            <w:noWrap/>
            <w:hideMark/>
          </w:tcPr>
          <w:p w14:paraId="5982E5BF" w14:textId="55483A1C" w:rsidR="007C74AF" w:rsidRPr="00B7408E" w:rsidRDefault="007C74AF" w:rsidP="007C74AF">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349" w:type="pct"/>
            <w:tcBorders>
              <w:top w:val="single" w:sz="8" w:space="0" w:color="auto"/>
              <w:left w:val="nil"/>
              <w:bottom w:val="single" w:sz="4" w:space="0" w:color="auto"/>
              <w:right w:val="nil"/>
            </w:tcBorders>
            <w:shd w:val="clear" w:color="auto" w:fill="auto"/>
            <w:noWrap/>
            <w:hideMark/>
          </w:tcPr>
          <w:p w14:paraId="0DB4C5A7" w14:textId="77A42A59" w:rsidR="007C74AF" w:rsidRPr="00B7408E" w:rsidRDefault="007C74AF" w:rsidP="007C74AF">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c>
          <w:tcPr>
            <w:tcW w:w="419" w:type="pct"/>
            <w:tcBorders>
              <w:top w:val="single" w:sz="8" w:space="0" w:color="auto"/>
              <w:left w:val="nil"/>
              <w:bottom w:val="single" w:sz="4" w:space="0" w:color="auto"/>
              <w:right w:val="nil"/>
            </w:tcBorders>
            <w:shd w:val="clear" w:color="auto" w:fill="auto"/>
            <w:noWrap/>
            <w:hideMark/>
          </w:tcPr>
          <w:p w14:paraId="6B0F5568" w14:textId="2CCF4F19" w:rsidR="007C74AF" w:rsidRPr="00B7408E" w:rsidRDefault="007C74AF" w:rsidP="007C74AF">
            <w:pPr>
              <w:spacing w:before="40" w:after="40"/>
              <w:jc w:val="center"/>
              <w:rPr>
                <w:rFonts w:ascii="Arial" w:hAnsi="Arial" w:cs="Arial"/>
                <w:b/>
                <w:bCs/>
                <w:sz w:val="20"/>
                <w:lang w:eastAsia="en-IN"/>
              </w:rPr>
            </w:pPr>
            <w:r w:rsidRPr="00E70587">
              <w:rPr>
                <w:rFonts w:ascii="Arial" w:hAnsi="Arial" w:cs="Arial"/>
                <w:b/>
                <w:bCs/>
                <w:sz w:val="20"/>
                <w:lang w:eastAsia="en-IN"/>
              </w:rPr>
              <w:t>INR la</w:t>
            </w:r>
            <w:r>
              <w:rPr>
                <w:rFonts w:ascii="Arial" w:hAnsi="Arial" w:cs="Arial"/>
                <w:b/>
                <w:bCs/>
                <w:sz w:val="20"/>
                <w:lang w:eastAsia="en-IN"/>
              </w:rPr>
              <w:t>c</w:t>
            </w:r>
            <w:r w:rsidRPr="00E70587">
              <w:rPr>
                <w:rFonts w:ascii="Arial" w:hAnsi="Arial" w:cs="Arial"/>
                <w:b/>
                <w:bCs/>
                <w:sz w:val="20"/>
                <w:lang w:eastAsia="en-IN"/>
              </w:rPr>
              <w:t>s</w:t>
            </w:r>
          </w:p>
        </w:tc>
      </w:tr>
      <w:tr w:rsidR="00C812E1" w:rsidRPr="00E70587" w14:paraId="09615D72" w14:textId="77777777" w:rsidTr="00706934">
        <w:trPr>
          <w:trHeight w:val="223"/>
        </w:trPr>
        <w:tc>
          <w:tcPr>
            <w:tcW w:w="623" w:type="pct"/>
            <w:tcBorders>
              <w:top w:val="nil"/>
              <w:left w:val="nil"/>
              <w:bottom w:val="nil"/>
              <w:right w:val="nil"/>
            </w:tcBorders>
            <w:shd w:val="clear" w:color="auto" w:fill="auto"/>
            <w:noWrap/>
            <w:hideMark/>
          </w:tcPr>
          <w:p w14:paraId="7C9A8904" w14:textId="281A3DC3" w:rsidR="00C812E1" w:rsidRPr="00E70587" w:rsidRDefault="00C812E1" w:rsidP="00944426">
            <w:pPr>
              <w:spacing w:before="60" w:after="60"/>
              <w:rPr>
                <w:rFonts w:ascii="Arial" w:hAnsi="Arial" w:cs="Arial"/>
                <w:b/>
                <w:bCs/>
                <w:sz w:val="20"/>
                <w:lang w:eastAsia="en-IN"/>
              </w:rPr>
            </w:pPr>
            <w:r w:rsidRPr="00E70587">
              <w:rPr>
                <w:rFonts w:ascii="Arial" w:hAnsi="Arial" w:cs="Arial"/>
                <w:b/>
                <w:bCs/>
                <w:sz w:val="20"/>
                <w:lang w:eastAsia="en-IN"/>
              </w:rPr>
              <w:t xml:space="preserve">As at 1 April </w:t>
            </w:r>
            <w:r w:rsidR="00D454A1" w:rsidRPr="00E70587">
              <w:rPr>
                <w:rFonts w:ascii="Arial" w:hAnsi="Arial" w:cs="Arial"/>
                <w:b/>
                <w:bCs/>
                <w:sz w:val="20"/>
                <w:lang w:eastAsia="en-IN"/>
              </w:rPr>
              <w:t>20</w:t>
            </w:r>
            <w:r w:rsidR="00D454A1">
              <w:rPr>
                <w:rFonts w:ascii="Arial" w:hAnsi="Arial" w:cs="Arial"/>
                <w:b/>
                <w:bCs/>
                <w:sz w:val="20"/>
                <w:lang w:eastAsia="en-IN"/>
              </w:rPr>
              <w:t>19</w:t>
            </w:r>
          </w:p>
        </w:tc>
        <w:tc>
          <w:tcPr>
            <w:tcW w:w="329" w:type="pct"/>
            <w:tcBorders>
              <w:top w:val="single" w:sz="4" w:space="0" w:color="auto"/>
              <w:left w:val="nil"/>
              <w:bottom w:val="nil"/>
              <w:right w:val="nil"/>
            </w:tcBorders>
            <w:shd w:val="clear" w:color="auto" w:fill="auto"/>
            <w:noWrap/>
            <w:hideMark/>
          </w:tcPr>
          <w:p w14:paraId="4F8766F9" w14:textId="77777777" w:rsidR="00C812E1" w:rsidRPr="00E70587" w:rsidRDefault="00C812E1" w:rsidP="004244DC">
            <w:pPr>
              <w:spacing w:before="60" w:after="60"/>
              <w:jc w:val="right"/>
              <w:rPr>
                <w:rFonts w:ascii="Arial" w:hAnsi="Arial" w:cs="Arial"/>
                <w:b/>
                <w:bCs/>
                <w:sz w:val="20"/>
                <w:lang w:eastAsia="en-IN"/>
              </w:rPr>
            </w:pPr>
            <w:r w:rsidRPr="00E70587">
              <w:rPr>
                <w:rFonts w:ascii="Arial" w:hAnsi="Arial" w:cs="Arial"/>
                <w:b/>
                <w:sz w:val="20"/>
              </w:rPr>
              <w:t>410</w:t>
            </w:r>
          </w:p>
        </w:tc>
        <w:tc>
          <w:tcPr>
            <w:tcW w:w="330" w:type="pct"/>
            <w:tcBorders>
              <w:top w:val="single" w:sz="4" w:space="0" w:color="auto"/>
              <w:left w:val="nil"/>
              <w:bottom w:val="nil"/>
              <w:right w:val="nil"/>
            </w:tcBorders>
            <w:shd w:val="clear" w:color="auto" w:fill="auto"/>
            <w:noWrap/>
            <w:hideMark/>
          </w:tcPr>
          <w:p w14:paraId="18863680" w14:textId="77777777" w:rsidR="00C812E1" w:rsidRPr="00E70587" w:rsidRDefault="00C812E1" w:rsidP="004244DC">
            <w:pPr>
              <w:spacing w:before="60" w:after="60"/>
              <w:jc w:val="right"/>
              <w:rPr>
                <w:rFonts w:ascii="Arial" w:hAnsi="Arial" w:cs="Arial"/>
                <w:b/>
                <w:sz w:val="20"/>
              </w:rPr>
            </w:pPr>
            <w:r w:rsidRPr="00E70587">
              <w:rPr>
                <w:rFonts w:ascii="Arial" w:hAnsi="Arial" w:cs="Arial"/>
                <w:b/>
                <w:sz w:val="20"/>
              </w:rPr>
              <w:t>-</w:t>
            </w:r>
          </w:p>
        </w:tc>
        <w:tc>
          <w:tcPr>
            <w:tcW w:w="276" w:type="pct"/>
            <w:tcBorders>
              <w:top w:val="single" w:sz="4" w:space="0" w:color="auto"/>
              <w:left w:val="nil"/>
              <w:bottom w:val="nil"/>
              <w:right w:val="nil"/>
            </w:tcBorders>
            <w:shd w:val="clear" w:color="auto" w:fill="auto"/>
            <w:noWrap/>
            <w:hideMark/>
          </w:tcPr>
          <w:p w14:paraId="6FE59062" w14:textId="77777777" w:rsidR="00C812E1" w:rsidRPr="00E70587" w:rsidRDefault="00C812E1" w:rsidP="004244DC">
            <w:pPr>
              <w:spacing w:before="60" w:after="60"/>
              <w:jc w:val="right"/>
              <w:rPr>
                <w:rFonts w:ascii="Arial" w:hAnsi="Arial" w:cs="Arial"/>
                <w:b/>
                <w:bCs/>
                <w:sz w:val="20"/>
                <w:lang w:eastAsia="en-IN"/>
              </w:rPr>
            </w:pPr>
            <w:r w:rsidRPr="00E70587">
              <w:rPr>
                <w:rFonts w:ascii="Arial" w:hAnsi="Arial" w:cs="Arial"/>
                <w:b/>
                <w:sz w:val="20"/>
              </w:rPr>
              <w:t>(1,393)</w:t>
            </w:r>
          </w:p>
        </w:tc>
        <w:tc>
          <w:tcPr>
            <w:tcW w:w="265" w:type="pct"/>
            <w:tcBorders>
              <w:top w:val="single" w:sz="4" w:space="0" w:color="auto"/>
              <w:left w:val="nil"/>
              <w:bottom w:val="nil"/>
              <w:right w:val="nil"/>
            </w:tcBorders>
            <w:shd w:val="clear" w:color="auto" w:fill="auto"/>
            <w:noWrap/>
            <w:hideMark/>
          </w:tcPr>
          <w:p w14:paraId="54E0EF2B" w14:textId="77777777" w:rsidR="00C812E1" w:rsidRPr="00E70587" w:rsidRDefault="00C812E1" w:rsidP="004244DC">
            <w:pPr>
              <w:spacing w:before="60" w:after="60"/>
              <w:jc w:val="right"/>
              <w:rPr>
                <w:rFonts w:ascii="Arial" w:hAnsi="Arial" w:cs="Arial"/>
                <w:b/>
                <w:bCs/>
                <w:sz w:val="20"/>
                <w:lang w:eastAsia="en-IN"/>
              </w:rPr>
            </w:pPr>
            <w:r w:rsidRPr="00E70587">
              <w:rPr>
                <w:rFonts w:ascii="Arial" w:hAnsi="Arial" w:cs="Arial"/>
                <w:b/>
                <w:sz w:val="20"/>
              </w:rPr>
              <w:t>609</w:t>
            </w:r>
          </w:p>
        </w:tc>
        <w:tc>
          <w:tcPr>
            <w:tcW w:w="348" w:type="pct"/>
            <w:tcBorders>
              <w:top w:val="single" w:sz="4" w:space="0" w:color="auto"/>
              <w:left w:val="nil"/>
              <w:bottom w:val="nil"/>
              <w:right w:val="nil"/>
            </w:tcBorders>
          </w:tcPr>
          <w:p w14:paraId="5444304B" w14:textId="77777777" w:rsidR="00C812E1" w:rsidRPr="00E70587" w:rsidRDefault="00C812E1" w:rsidP="004244DC">
            <w:pPr>
              <w:spacing w:before="60" w:after="60"/>
              <w:jc w:val="right"/>
              <w:rPr>
                <w:rFonts w:ascii="Arial" w:hAnsi="Arial" w:cs="Arial"/>
                <w:b/>
                <w:bCs/>
                <w:sz w:val="20"/>
                <w:lang w:eastAsia="en-IN"/>
              </w:rPr>
            </w:pPr>
            <w:r w:rsidRPr="00E70587">
              <w:rPr>
                <w:rFonts w:ascii="Arial" w:hAnsi="Arial" w:cs="Arial"/>
                <w:b/>
                <w:sz w:val="20"/>
              </w:rPr>
              <w:t>1,520</w:t>
            </w:r>
          </w:p>
        </w:tc>
        <w:tc>
          <w:tcPr>
            <w:tcW w:w="409" w:type="pct"/>
            <w:tcBorders>
              <w:top w:val="single" w:sz="4" w:space="0" w:color="auto"/>
              <w:left w:val="nil"/>
              <w:bottom w:val="nil"/>
              <w:right w:val="nil"/>
            </w:tcBorders>
          </w:tcPr>
          <w:p w14:paraId="56FD87C2" w14:textId="77777777" w:rsidR="00C812E1" w:rsidRPr="00E70587" w:rsidRDefault="00C812E1" w:rsidP="004244DC">
            <w:pPr>
              <w:spacing w:before="60" w:after="60"/>
              <w:jc w:val="right"/>
              <w:rPr>
                <w:rFonts w:ascii="Arial" w:hAnsi="Arial" w:cs="Arial"/>
                <w:b/>
                <w:bCs/>
                <w:sz w:val="20"/>
              </w:rPr>
            </w:pPr>
            <w:r w:rsidRPr="00E70587">
              <w:rPr>
                <w:rFonts w:ascii="Arial" w:hAnsi="Arial" w:cs="Arial"/>
                <w:b/>
                <w:sz w:val="20"/>
              </w:rPr>
              <w:t>-</w:t>
            </w:r>
          </w:p>
        </w:tc>
        <w:tc>
          <w:tcPr>
            <w:tcW w:w="305" w:type="pct"/>
            <w:tcBorders>
              <w:top w:val="single" w:sz="4" w:space="0" w:color="auto"/>
              <w:left w:val="nil"/>
              <w:bottom w:val="nil"/>
              <w:right w:val="nil"/>
            </w:tcBorders>
            <w:shd w:val="clear" w:color="auto" w:fill="auto"/>
            <w:noWrap/>
            <w:hideMark/>
          </w:tcPr>
          <w:p w14:paraId="574E0780" w14:textId="21193DA2" w:rsidR="00C812E1" w:rsidRPr="00E70587" w:rsidRDefault="006A1313" w:rsidP="00B63149">
            <w:pPr>
              <w:spacing w:before="60" w:after="60"/>
              <w:jc w:val="right"/>
              <w:rPr>
                <w:rFonts w:ascii="Arial" w:hAnsi="Arial" w:cs="Arial"/>
                <w:b/>
                <w:bCs/>
                <w:sz w:val="20"/>
              </w:rPr>
            </w:pPr>
            <w:r w:rsidRPr="00E70587">
              <w:rPr>
                <w:rFonts w:ascii="Arial" w:hAnsi="Arial" w:cs="Arial"/>
                <w:b/>
                <w:sz w:val="20"/>
              </w:rPr>
              <w:t>4</w:t>
            </w:r>
            <w:r w:rsidR="00CD3859">
              <w:rPr>
                <w:rFonts w:ascii="Arial" w:hAnsi="Arial" w:cs="Arial"/>
                <w:b/>
                <w:sz w:val="20"/>
              </w:rPr>
              <w:t>0,406</w:t>
            </w:r>
          </w:p>
        </w:tc>
        <w:tc>
          <w:tcPr>
            <w:tcW w:w="371" w:type="pct"/>
            <w:tcBorders>
              <w:top w:val="single" w:sz="4" w:space="0" w:color="auto"/>
              <w:left w:val="nil"/>
              <w:bottom w:val="nil"/>
              <w:right w:val="nil"/>
            </w:tcBorders>
            <w:shd w:val="clear" w:color="auto" w:fill="auto"/>
            <w:noWrap/>
            <w:hideMark/>
          </w:tcPr>
          <w:p w14:paraId="67829429" w14:textId="77777777" w:rsidR="00C812E1" w:rsidRPr="00E70587" w:rsidRDefault="00C812E1" w:rsidP="004244DC">
            <w:pPr>
              <w:spacing w:before="60" w:after="60"/>
              <w:jc w:val="right"/>
              <w:rPr>
                <w:rFonts w:ascii="Arial" w:hAnsi="Arial" w:cs="Arial"/>
                <w:b/>
                <w:bCs/>
                <w:sz w:val="20"/>
                <w:lang w:eastAsia="en-IN"/>
              </w:rPr>
            </w:pPr>
            <w:r w:rsidRPr="00E70587">
              <w:rPr>
                <w:rFonts w:ascii="Arial" w:hAnsi="Arial" w:cs="Arial"/>
                <w:b/>
                <w:sz w:val="20"/>
              </w:rPr>
              <w:t>(169)</w:t>
            </w:r>
          </w:p>
        </w:tc>
        <w:tc>
          <w:tcPr>
            <w:tcW w:w="329" w:type="pct"/>
            <w:tcBorders>
              <w:top w:val="single" w:sz="4" w:space="0" w:color="auto"/>
              <w:left w:val="nil"/>
              <w:bottom w:val="nil"/>
              <w:right w:val="nil"/>
            </w:tcBorders>
            <w:shd w:val="clear" w:color="auto" w:fill="auto"/>
            <w:noWrap/>
            <w:hideMark/>
          </w:tcPr>
          <w:p w14:paraId="177AE0DC" w14:textId="77777777" w:rsidR="00C812E1" w:rsidRPr="00E70587" w:rsidRDefault="00C812E1" w:rsidP="004244DC">
            <w:pPr>
              <w:spacing w:before="60" w:after="60"/>
              <w:jc w:val="right"/>
              <w:rPr>
                <w:rFonts w:ascii="Arial" w:hAnsi="Arial" w:cs="Arial"/>
                <w:b/>
                <w:bCs/>
                <w:sz w:val="20"/>
                <w:lang w:eastAsia="en-IN"/>
              </w:rPr>
            </w:pPr>
            <w:r w:rsidRPr="00E70587">
              <w:rPr>
                <w:rFonts w:ascii="Arial" w:hAnsi="Arial" w:cs="Arial"/>
                <w:b/>
                <w:sz w:val="20"/>
              </w:rPr>
              <w:t>-</w:t>
            </w:r>
          </w:p>
        </w:tc>
        <w:tc>
          <w:tcPr>
            <w:tcW w:w="360" w:type="pct"/>
            <w:tcBorders>
              <w:top w:val="single" w:sz="4" w:space="0" w:color="auto"/>
              <w:left w:val="nil"/>
              <w:bottom w:val="nil"/>
              <w:right w:val="nil"/>
            </w:tcBorders>
            <w:shd w:val="clear" w:color="auto" w:fill="auto"/>
            <w:noWrap/>
            <w:hideMark/>
          </w:tcPr>
          <w:p w14:paraId="601103FA" w14:textId="77777777" w:rsidR="00C812E1" w:rsidRPr="00E70587" w:rsidRDefault="00C812E1" w:rsidP="004244DC">
            <w:pPr>
              <w:spacing w:before="60" w:after="60"/>
              <w:jc w:val="right"/>
              <w:rPr>
                <w:rFonts w:ascii="Arial" w:hAnsi="Arial" w:cs="Arial"/>
                <w:b/>
                <w:bCs/>
                <w:sz w:val="20"/>
                <w:lang w:eastAsia="en-IN"/>
              </w:rPr>
            </w:pPr>
            <w:r w:rsidRPr="00E70587">
              <w:rPr>
                <w:rFonts w:ascii="Arial" w:hAnsi="Arial" w:cs="Arial"/>
                <w:b/>
                <w:sz w:val="20"/>
              </w:rPr>
              <w:t>-</w:t>
            </w:r>
          </w:p>
        </w:tc>
        <w:tc>
          <w:tcPr>
            <w:tcW w:w="287" w:type="pct"/>
            <w:tcBorders>
              <w:top w:val="single" w:sz="4" w:space="0" w:color="auto"/>
              <w:left w:val="nil"/>
              <w:bottom w:val="nil"/>
              <w:right w:val="nil"/>
            </w:tcBorders>
            <w:shd w:val="clear" w:color="auto" w:fill="auto"/>
            <w:noWrap/>
            <w:hideMark/>
          </w:tcPr>
          <w:p w14:paraId="07D28689" w14:textId="175E551A" w:rsidR="00C812E1" w:rsidRPr="00E70587" w:rsidRDefault="006A1313" w:rsidP="00E84981">
            <w:pPr>
              <w:spacing w:before="60" w:after="60"/>
              <w:jc w:val="right"/>
              <w:rPr>
                <w:rFonts w:ascii="Arial" w:hAnsi="Arial" w:cs="Arial"/>
                <w:b/>
                <w:bCs/>
                <w:sz w:val="20"/>
                <w:lang w:eastAsia="en-IN"/>
              </w:rPr>
            </w:pPr>
            <w:r w:rsidRPr="00E70587">
              <w:rPr>
                <w:rFonts w:ascii="Arial" w:hAnsi="Arial" w:cs="Arial"/>
                <w:b/>
                <w:sz w:val="20"/>
              </w:rPr>
              <w:t>4</w:t>
            </w:r>
            <w:r w:rsidR="005171DF">
              <w:rPr>
                <w:rFonts w:ascii="Arial" w:hAnsi="Arial" w:cs="Arial"/>
                <w:b/>
                <w:sz w:val="20"/>
              </w:rPr>
              <w:t>1</w:t>
            </w:r>
            <w:r w:rsidR="00C812E1" w:rsidRPr="00E70587">
              <w:rPr>
                <w:rFonts w:ascii="Arial" w:hAnsi="Arial" w:cs="Arial"/>
                <w:b/>
                <w:sz w:val="20"/>
              </w:rPr>
              <w:t>,</w:t>
            </w:r>
            <w:r w:rsidR="005171DF">
              <w:rPr>
                <w:rFonts w:ascii="Arial" w:hAnsi="Arial" w:cs="Arial"/>
                <w:b/>
                <w:sz w:val="20"/>
              </w:rPr>
              <w:t>383</w:t>
            </w:r>
          </w:p>
        </w:tc>
        <w:tc>
          <w:tcPr>
            <w:tcW w:w="349" w:type="pct"/>
            <w:tcBorders>
              <w:top w:val="single" w:sz="4" w:space="0" w:color="auto"/>
              <w:left w:val="nil"/>
              <w:bottom w:val="nil"/>
              <w:right w:val="nil"/>
            </w:tcBorders>
            <w:shd w:val="clear" w:color="auto" w:fill="auto"/>
            <w:noWrap/>
            <w:hideMark/>
          </w:tcPr>
          <w:p w14:paraId="327FDAC9" w14:textId="18F3914D" w:rsidR="00C812E1" w:rsidRPr="00E70587" w:rsidRDefault="00924538" w:rsidP="004244DC">
            <w:pPr>
              <w:spacing w:before="60" w:after="60"/>
              <w:jc w:val="right"/>
              <w:rPr>
                <w:rFonts w:ascii="Arial" w:hAnsi="Arial" w:cs="Arial"/>
                <w:b/>
                <w:bCs/>
                <w:sz w:val="20"/>
                <w:lang w:eastAsia="en-IN"/>
              </w:rPr>
            </w:pPr>
            <w:r w:rsidRPr="00E70587">
              <w:rPr>
                <w:rFonts w:ascii="Arial" w:hAnsi="Arial" w:cs="Arial"/>
                <w:b/>
                <w:sz w:val="20"/>
              </w:rPr>
              <w:t>3</w:t>
            </w:r>
            <w:r w:rsidR="00D06E19">
              <w:rPr>
                <w:rFonts w:ascii="Arial" w:hAnsi="Arial" w:cs="Arial"/>
                <w:b/>
                <w:sz w:val="20"/>
              </w:rPr>
              <w:t>7</w:t>
            </w:r>
            <w:r w:rsidR="00333AC0">
              <w:rPr>
                <w:rFonts w:ascii="Arial" w:hAnsi="Arial" w:cs="Arial"/>
                <w:b/>
                <w:sz w:val="20"/>
              </w:rPr>
              <w:t>1</w:t>
            </w:r>
          </w:p>
        </w:tc>
        <w:tc>
          <w:tcPr>
            <w:tcW w:w="419" w:type="pct"/>
            <w:tcBorders>
              <w:top w:val="single" w:sz="4" w:space="0" w:color="auto"/>
              <w:left w:val="nil"/>
              <w:bottom w:val="nil"/>
              <w:right w:val="nil"/>
            </w:tcBorders>
            <w:shd w:val="clear" w:color="auto" w:fill="auto"/>
            <w:noWrap/>
            <w:hideMark/>
          </w:tcPr>
          <w:p w14:paraId="6DF92084" w14:textId="26E7910F" w:rsidR="00C812E1" w:rsidRPr="00E70587" w:rsidRDefault="006A1313" w:rsidP="00E84981">
            <w:pPr>
              <w:spacing w:before="60" w:after="60"/>
              <w:jc w:val="right"/>
              <w:rPr>
                <w:rFonts w:ascii="Arial" w:hAnsi="Arial" w:cs="Arial"/>
                <w:b/>
                <w:bCs/>
                <w:sz w:val="20"/>
                <w:lang w:eastAsia="en-IN"/>
              </w:rPr>
            </w:pPr>
            <w:r w:rsidRPr="00E70587">
              <w:rPr>
                <w:rFonts w:ascii="Arial" w:hAnsi="Arial" w:cs="Arial"/>
                <w:b/>
                <w:sz w:val="20"/>
              </w:rPr>
              <w:t>4</w:t>
            </w:r>
            <w:r w:rsidR="005171DF">
              <w:rPr>
                <w:rFonts w:ascii="Arial" w:hAnsi="Arial" w:cs="Arial"/>
                <w:b/>
                <w:sz w:val="20"/>
              </w:rPr>
              <w:t>1</w:t>
            </w:r>
            <w:r w:rsidR="00C812E1" w:rsidRPr="00E70587">
              <w:rPr>
                <w:rFonts w:ascii="Arial" w:hAnsi="Arial" w:cs="Arial"/>
                <w:b/>
                <w:sz w:val="20"/>
              </w:rPr>
              <w:t>,</w:t>
            </w:r>
            <w:r w:rsidR="005171DF">
              <w:rPr>
                <w:rFonts w:ascii="Arial" w:hAnsi="Arial" w:cs="Arial"/>
                <w:b/>
                <w:sz w:val="20"/>
              </w:rPr>
              <w:t>754</w:t>
            </w:r>
          </w:p>
        </w:tc>
      </w:tr>
      <w:tr w:rsidR="00C812E1" w:rsidRPr="00E70587" w14:paraId="46B4DEA7" w14:textId="77777777" w:rsidTr="00706934">
        <w:trPr>
          <w:trHeight w:val="285"/>
        </w:trPr>
        <w:tc>
          <w:tcPr>
            <w:tcW w:w="623" w:type="pct"/>
            <w:tcBorders>
              <w:top w:val="nil"/>
              <w:left w:val="nil"/>
              <w:bottom w:val="nil"/>
              <w:right w:val="nil"/>
            </w:tcBorders>
            <w:shd w:val="clear" w:color="auto" w:fill="auto"/>
            <w:noWrap/>
            <w:hideMark/>
          </w:tcPr>
          <w:p w14:paraId="2F4F941E" w14:textId="77777777" w:rsidR="00C812E1" w:rsidRPr="00E70587" w:rsidRDefault="00C812E1" w:rsidP="00944426">
            <w:pPr>
              <w:spacing w:before="60" w:after="60"/>
              <w:rPr>
                <w:rFonts w:ascii="Arial" w:hAnsi="Arial" w:cs="Arial"/>
                <w:sz w:val="20"/>
                <w:lang w:eastAsia="en-IN"/>
              </w:rPr>
            </w:pPr>
            <w:r w:rsidRPr="00E70587">
              <w:rPr>
                <w:rFonts w:ascii="Arial" w:hAnsi="Arial" w:cs="Arial"/>
                <w:sz w:val="20"/>
                <w:lang w:eastAsia="en-IN"/>
              </w:rPr>
              <w:t>Profit for the period</w:t>
            </w:r>
          </w:p>
        </w:tc>
        <w:tc>
          <w:tcPr>
            <w:tcW w:w="329" w:type="pct"/>
            <w:tcBorders>
              <w:top w:val="nil"/>
              <w:left w:val="nil"/>
              <w:bottom w:val="nil"/>
              <w:right w:val="nil"/>
            </w:tcBorders>
            <w:shd w:val="clear" w:color="auto" w:fill="auto"/>
            <w:noWrap/>
            <w:hideMark/>
          </w:tcPr>
          <w:p w14:paraId="1AF215D9"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330" w:type="pct"/>
            <w:tcBorders>
              <w:top w:val="nil"/>
              <w:left w:val="nil"/>
              <w:bottom w:val="nil"/>
              <w:right w:val="nil"/>
            </w:tcBorders>
            <w:shd w:val="clear" w:color="auto" w:fill="auto"/>
            <w:noWrap/>
            <w:hideMark/>
          </w:tcPr>
          <w:p w14:paraId="543CDC3B"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276" w:type="pct"/>
            <w:tcBorders>
              <w:top w:val="nil"/>
              <w:left w:val="nil"/>
              <w:bottom w:val="nil"/>
              <w:right w:val="nil"/>
            </w:tcBorders>
            <w:shd w:val="clear" w:color="auto" w:fill="auto"/>
            <w:noWrap/>
            <w:hideMark/>
          </w:tcPr>
          <w:p w14:paraId="3DD99854"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265" w:type="pct"/>
            <w:tcBorders>
              <w:top w:val="nil"/>
              <w:left w:val="nil"/>
              <w:bottom w:val="nil"/>
              <w:right w:val="nil"/>
            </w:tcBorders>
            <w:shd w:val="clear" w:color="auto" w:fill="auto"/>
            <w:noWrap/>
            <w:hideMark/>
          </w:tcPr>
          <w:p w14:paraId="5FB5A0A3"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348" w:type="pct"/>
            <w:tcBorders>
              <w:top w:val="nil"/>
              <w:left w:val="nil"/>
              <w:bottom w:val="nil"/>
              <w:right w:val="nil"/>
            </w:tcBorders>
          </w:tcPr>
          <w:p w14:paraId="55E06A0D"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409" w:type="pct"/>
            <w:tcBorders>
              <w:top w:val="nil"/>
              <w:left w:val="nil"/>
              <w:bottom w:val="nil"/>
              <w:right w:val="nil"/>
            </w:tcBorders>
          </w:tcPr>
          <w:p w14:paraId="1D515096"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305" w:type="pct"/>
            <w:tcBorders>
              <w:top w:val="nil"/>
              <w:left w:val="nil"/>
              <w:bottom w:val="nil"/>
              <w:right w:val="nil"/>
            </w:tcBorders>
            <w:shd w:val="clear" w:color="auto" w:fill="auto"/>
            <w:noWrap/>
            <w:hideMark/>
          </w:tcPr>
          <w:p w14:paraId="538D587E" w14:textId="77777777" w:rsidR="001811F8" w:rsidRPr="00E70587" w:rsidRDefault="001811F8" w:rsidP="001811F8">
            <w:pPr>
              <w:overflowPunct/>
              <w:autoSpaceDE/>
              <w:autoSpaceDN/>
              <w:adjustRightInd/>
              <w:spacing w:line="240" w:lineRule="auto"/>
              <w:jc w:val="right"/>
              <w:textAlignment w:val="auto"/>
              <w:rPr>
                <w:rFonts w:ascii="Arial" w:hAnsi="Arial" w:cs="Arial"/>
                <w:sz w:val="20"/>
              </w:rPr>
            </w:pPr>
            <w:r w:rsidRPr="00E70587">
              <w:rPr>
                <w:rFonts w:ascii="Arial" w:hAnsi="Arial" w:cs="Arial"/>
                <w:sz w:val="20"/>
              </w:rPr>
              <w:t xml:space="preserve">9,862 </w:t>
            </w:r>
          </w:p>
          <w:p w14:paraId="7088B6FB" w14:textId="77777777" w:rsidR="00C812E1" w:rsidRPr="00E70587" w:rsidRDefault="00C812E1" w:rsidP="004244DC">
            <w:pPr>
              <w:spacing w:before="60" w:after="60"/>
              <w:jc w:val="right"/>
              <w:rPr>
                <w:rFonts w:ascii="Arial" w:hAnsi="Arial" w:cs="Arial"/>
                <w:sz w:val="20"/>
              </w:rPr>
            </w:pPr>
          </w:p>
        </w:tc>
        <w:tc>
          <w:tcPr>
            <w:tcW w:w="371" w:type="pct"/>
            <w:tcBorders>
              <w:top w:val="nil"/>
              <w:left w:val="nil"/>
              <w:bottom w:val="nil"/>
              <w:right w:val="nil"/>
            </w:tcBorders>
            <w:shd w:val="clear" w:color="auto" w:fill="auto"/>
            <w:noWrap/>
            <w:hideMark/>
          </w:tcPr>
          <w:p w14:paraId="47E0B9E3"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329" w:type="pct"/>
            <w:tcBorders>
              <w:top w:val="nil"/>
              <w:left w:val="nil"/>
              <w:bottom w:val="nil"/>
              <w:right w:val="nil"/>
            </w:tcBorders>
            <w:shd w:val="clear" w:color="auto" w:fill="auto"/>
            <w:noWrap/>
            <w:hideMark/>
          </w:tcPr>
          <w:p w14:paraId="1348194D"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360" w:type="pct"/>
            <w:tcBorders>
              <w:top w:val="nil"/>
              <w:left w:val="nil"/>
              <w:bottom w:val="nil"/>
              <w:right w:val="nil"/>
            </w:tcBorders>
            <w:shd w:val="clear" w:color="auto" w:fill="auto"/>
            <w:noWrap/>
            <w:hideMark/>
          </w:tcPr>
          <w:p w14:paraId="4FFF5EA9"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287" w:type="pct"/>
            <w:tcBorders>
              <w:top w:val="nil"/>
              <w:left w:val="nil"/>
              <w:bottom w:val="nil"/>
              <w:right w:val="nil"/>
            </w:tcBorders>
            <w:shd w:val="clear" w:color="auto" w:fill="auto"/>
            <w:noWrap/>
            <w:hideMark/>
          </w:tcPr>
          <w:p w14:paraId="12DF625F" w14:textId="77777777" w:rsidR="00DA42AD" w:rsidRPr="00E70587" w:rsidRDefault="00DA42AD" w:rsidP="00DA42AD">
            <w:pPr>
              <w:overflowPunct/>
              <w:autoSpaceDE/>
              <w:autoSpaceDN/>
              <w:adjustRightInd/>
              <w:spacing w:line="240" w:lineRule="auto"/>
              <w:jc w:val="right"/>
              <w:textAlignment w:val="auto"/>
              <w:rPr>
                <w:rFonts w:ascii="Arial" w:hAnsi="Arial" w:cs="Arial"/>
                <w:sz w:val="20"/>
              </w:rPr>
            </w:pPr>
            <w:r w:rsidRPr="00E70587">
              <w:rPr>
                <w:rFonts w:ascii="Arial" w:hAnsi="Arial" w:cs="Arial"/>
                <w:sz w:val="20"/>
              </w:rPr>
              <w:t xml:space="preserve"> 9,862 </w:t>
            </w:r>
          </w:p>
          <w:p w14:paraId="1ECD9C59" w14:textId="77777777" w:rsidR="00C812E1" w:rsidRPr="00E70587" w:rsidRDefault="00C812E1" w:rsidP="004244DC">
            <w:pPr>
              <w:spacing w:before="60" w:after="60"/>
              <w:jc w:val="right"/>
              <w:rPr>
                <w:rFonts w:ascii="Arial" w:hAnsi="Arial" w:cs="Arial"/>
                <w:sz w:val="20"/>
              </w:rPr>
            </w:pPr>
          </w:p>
        </w:tc>
        <w:tc>
          <w:tcPr>
            <w:tcW w:w="349" w:type="pct"/>
            <w:tcBorders>
              <w:top w:val="nil"/>
              <w:left w:val="nil"/>
              <w:bottom w:val="nil"/>
              <w:right w:val="nil"/>
            </w:tcBorders>
            <w:shd w:val="clear" w:color="auto" w:fill="auto"/>
            <w:noWrap/>
            <w:hideMark/>
          </w:tcPr>
          <w:p w14:paraId="50F3C0E5"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430</w:t>
            </w:r>
          </w:p>
        </w:tc>
        <w:tc>
          <w:tcPr>
            <w:tcW w:w="419" w:type="pct"/>
            <w:tcBorders>
              <w:top w:val="nil"/>
              <w:left w:val="nil"/>
              <w:bottom w:val="nil"/>
              <w:right w:val="nil"/>
            </w:tcBorders>
            <w:shd w:val="clear" w:color="auto" w:fill="auto"/>
            <w:noWrap/>
            <w:hideMark/>
          </w:tcPr>
          <w:p w14:paraId="323C04BB" w14:textId="77777777" w:rsidR="00DA42AD" w:rsidRPr="00E70587" w:rsidRDefault="00DA42AD" w:rsidP="00DA42AD">
            <w:pPr>
              <w:overflowPunct/>
              <w:autoSpaceDE/>
              <w:autoSpaceDN/>
              <w:adjustRightInd/>
              <w:spacing w:line="240" w:lineRule="auto"/>
              <w:jc w:val="right"/>
              <w:textAlignment w:val="auto"/>
              <w:rPr>
                <w:rFonts w:ascii="Arial" w:hAnsi="Arial" w:cs="Arial"/>
                <w:sz w:val="20"/>
              </w:rPr>
            </w:pPr>
            <w:r w:rsidRPr="00E70587">
              <w:rPr>
                <w:rFonts w:ascii="Arial" w:hAnsi="Arial" w:cs="Arial"/>
                <w:sz w:val="20"/>
              </w:rPr>
              <w:t xml:space="preserve">10,292 </w:t>
            </w:r>
          </w:p>
          <w:p w14:paraId="438E5738" w14:textId="77777777" w:rsidR="00C812E1" w:rsidRPr="00E70587" w:rsidRDefault="00C812E1" w:rsidP="004244DC">
            <w:pPr>
              <w:spacing w:before="60" w:after="60"/>
              <w:jc w:val="right"/>
              <w:rPr>
                <w:rFonts w:ascii="Arial" w:hAnsi="Arial" w:cs="Arial"/>
                <w:sz w:val="20"/>
              </w:rPr>
            </w:pPr>
          </w:p>
        </w:tc>
      </w:tr>
      <w:tr w:rsidR="00C812E1" w:rsidRPr="00E70587" w14:paraId="4559BD41" w14:textId="77777777" w:rsidTr="00706934">
        <w:trPr>
          <w:trHeight w:val="285"/>
        </w:trPr>
        <w:tc>
          <w:tcPr>
            <w:tcW w:w="623" w:type="pct"/>
            <w:tcBorders>
              <w:top w:val="nil"/>
              <w:left w:val="nil"/>
              <w:bottom w:val="single" w:sz="4" w:space="0" w:color="auto"/>
              <w:right w:val="nil"/>
            </w:tcBorders>
            <w:shd w:val="clear" w:color="auto" w:fill="auto"/>
            <w:noWrap/>
            <w:hideMark/>
          </w:tcPr>
          <w:p w14:paraId="23CE884F" w14:textId="77777777" w:rsidR="00C812E1" w:rsidRPr="00E70587" w:rsidRDefault="00C812E1" w:rsidP="00944426">
            <w:pPr>
              <w:spacing w:before="60" w:after="60"/>
              <w:rPr>
                <w:rFonts w:ascii="Arial" w:hAnsi="Arial" w:cs="Arial"/>
                <w:sz w:val="20"/>
                <w:lang w:eastAsia="en-IN"/>
              </w:rPr>
            </w:pPr>
            <w:r w:rsidRPr="00E70587">
              <w:rPr>
                <w:rFonts w:ascii="Arial" w:hAnsi="Arial" w:cs="Arial"/>
                <w:sz w:val="20"/>
                <w:lang w:eastAsia="en-IN"/>
              </w:rPr>
              <w:t>Other comprehensive income (Note 24)</w:t>
            </w:r>
          </w:p>
        </w:tc>
        <w:tc>
          <w:tcPr>
            <w:tcW w:w="329" w:type="pct"/>
            <w:tcBorders>
              <w:top w:val="nil"/>
              <w:left w:val="nil"/>
              <w:bottom w:val="single" w:sz="4" w:space="0" w:color="auto"/>
              <w:right w:val="nil"/>
            </w:tcBorders>
            <w:shd w:val="clear" w:color="auto" w:fill="auto"/>
            <w:noWrap/>
            <w:hideMark/>
          </w:tcPr>
          <w:p w14:paraId="454FF7CB"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330" w:type="pct"/>
            <w:tcBorders>
              <w:top w:val="nil"/>
              <w:left w:val="nil"/>
              <w:bottom w:val="single" w:sz="4" w:space="0" w:color="auto"/>
              <w:right w:val="nil"/>
            </w:tcBorders>
            <w:shd w:val="clear" w:color="auto" w:fill="auto"/>
            <w:noWrap/>
            <w:hideMark/>
          </w:tcPr>
          <w:p w14:paraId="27E21052"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276" w:type="pct"/>
            <w:tcBorders>
              <w:top w:val="nil"/>
              <w:left w:val="nil"/>
              <w:bottom w:val="single" w:sz="4" w:space="0" w:color="auto"/>
              <w:right w:val="nil"/>
            </w:tcBorders>
            <w:shd w:val="clear" w:color="auto" w:fill="auto"/>
            <w:noWrap/>
            <w:hideMark/>
          </w:tcPr>
          <w:p w14:paraId="2698F102"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265" w:type="pct"/>
            <w:tcBorders>
              <w:top w:val="nil"/>
              <w:left w:val="nil"/>
              <w:bottom w:val="single" w:sz="4" w:space="0" w:color="auto"/>
              <w:right w:val="nil"/>
            </w:tcBorders>
            <w:shd w:val="clear" w:color="auto" w:fill="auto"/>
            <w:noWrap/>
            <w:hideMark/>
          </w:tcPr>
          <w:p w14:paraId="54629DB0"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348" w:type="pct"/>
            <w:tcBorders>
              <w:top w:val="nil"/>
              <w:left w:val="nil"/>
              <w:bottom w:val="single" w:sz="4" w:space="0" w:color="auto"/>
              <w:right w:val="nil"/>
            </w:tcBorders>
          </w:tcPr>
          <w:p w14:paraId="6648391C"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409" w:type="pct"/>
            <w:tcBorders>
              <w:top w:val="nil"/>
              <w:left w:val="nil"/>
              <w:bottom w:val="single" w:sz="4" w:space="0" w:color="auto"/>
              <w:right w:val="nil"/>
            </w:tcBorders>
          </w:tcPr>
          <w:p w14:paraId="7BC3CEA5"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305" w:type="pct"/>
            <w:tcBorders>
              <w:top w:val="nil"/>
              <w:left w:val="nil"/>
              <w:bottom w:val="single" w:sz="4" w:space="0" w:color="auto"/>
              <w:right w:val="nil"/>
            </w:tcBorders>
            <w:shd w:val="clear" w:color="auto" w:fill="auto"/>
            <w:noWrap/>
            <w:hideMark/>
          </w:tcPr>
          <w:p w14:paraId="21DB8A3A"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(491)</w:t>
            </w:r>
          </w:p>
        </w:tc>
        <w:tc>
          <w:tcPr>
            <w:tcW w:w="371" w:type="pct"/>
            <w:tcBorders>
              <w:top w:val="nil"/>
              <w:left w:val="nil"/>
              <w:bottom w:val="single" w:sz="4" w:space="0" w:color="auto"/>
              <w:right w:val="nil"/>
            </w:tcBorders>
            <w:shd w:val="clear" w:color="auto" w:fill="auto"/>
            <w:noWrap/>
            <w:hideMark/>
          </w:tcPr>
          <w:p w14:paraId="7E529754"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43</w:t>
            </w:r>
          </w:p>
        </w:tc>
        <w:tc>
          <w:tcPr>
            <w:tcW w:w="329" w:type="pct"/>
            <w:tcBorders>
              <w:top w:val="nil"/>
              <w:left w:val="nil"/>
              <w:bottom w:val="single" w:sz="4" w:space="0" w:color="auto"/>
              <w:right w:val="nil"/>
            </w:tcBorders>
            <w:shd w:val="clear" w:color="auto" w:fill="auto"/>
            <w:noWrap/>
            <w:hideMark/>
          </w:tcPr>
          <w:p w14:paraId="41845D90" w14:textId="1CB4BC7A" w:rsidR="00C812E1" w:rsidRPr="00E70587" w:rsidRDefault="0066185F" w:rsidP="004244DC">
            <w:pPr>
              <w:spacing w:before="60" w:after="60"/>
              <w:jc w:val="right"/>
              <w:rPr>
                <w:rFonts w:ascii="Arial" w:hAnsi="Arial" w:cs="Arial"/>
                <w:sz w:val="20"/>
                <w:lang w:eastAsia="en-IN"/>
              </w:rPr>
            </w:pPr>
            <w:r>
              <w:rPr>
                <w:rFonts w:ascii="Arial" w:hAnsi="Arial" w:cs="Arial"/>
                <w:sz w:val="20"/>
              </w:rPr>
              <w:t>3</w:t>
            </w:r>
          </w:p>
        </w:tc>
        <w:tc>
          <w:tcPr>
            <w:tcW w:w="360" w:type="pct"/>
            <w:tcBorders>
              <w:top w:val="nil"/>
              <w:left w:val="nil"/>
              <w:bottom w:val="single" w:sz="4" w:space="0" w:color="auto"/>
              <w:right w:val="nil"/>
            </w:tcBorders>
            <w:shd w:val="clear" w:color="auto" w:fill="auto"/>
            <w:noWrap/>
            <w:hideMark/>
          </w:tcPr>
          <w:p w14:paraId="0E063475"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(211)</w:t>
            </w:r>
          </w:p>
        </w:tc>
        <w:tc>
          <w:tcPr>
            <w:tcW w:w="287" w:type="pct"/>
            <w:tcBorders>
              <w:top w:val="nil"/>
              <w:left w:val="nil"/>
              <w:bottom w:val="single" w:sz="4" w:space="0" w:color="auto"/>
              <w:right w:val="nil"/>
            </w:tcBorders>
            <w:shd w:val="clear" w:color="auto" w:fill="auto"/>
            <w:noWrap/>
            <w:hideMark/>
          </w:tcPr>
          <w:p w14:paraId="1F17297F"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(655)</w:t>
            </w:r>
          </w:p>
        </w:tc>
        <w:tc>
          <w:tcPr>
            <w:tcW w:w="349" w:type="pct"/>
            <w:tcBorders>
              <w:top w:val="nil"/>
              <w:left w:val="nil"/>
              <w:bottom w:val="single" w:sz="4" w:space="0" w:color="auto"/>
              <w:right w:val="nil"/>
            </w:tcBorders>
            <w:shd w:val="clear" w:color="auto" w:fill="auto"/>
            <w:noWrap/>
            <w:hideMark/>
          </w:tcPr>
          <w:p w14:paraId="569FC16E"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419" w:type="pct"/>
            <w:tcBorders>
              <w:top w:val="nil"/>
              <w:left w:val="nil"/>
              <w:bottom w:val="single" w:sz="4" w:space="0" w:color="auto"/>
              <w:right w:val="nil"/>
            </w:tcBorders>
            <w:shd w:val="clear" w:color="auto" w:fill="auto"/>
            <w:noWrap/>
            <w:hideMark/>
          </w:tcPr>
          <w:p w14:paraId="49CC8010"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(65</w:t>
            </w:r>
            <w:r w:rsidR="002339F4" w:rsidRPr="00E70587">
              <w:rPr>
                <w:rFonts w:ascii="Arial" w:hAnsi="Arial" w:cs="Arial"/>
                <w:sz w:val="20"/>
              </w:rPr>
              <w:t>6</w:t>
            </w:r>
            <w:r w:rsidRPr="00E70587">
              <w:rPr>
                <w:rFonts w:ascii="Arial" w:hAnsi="Arial" w:cs="Arial"/>
                <w:sz w:val="20"/>
              </w:rPr>
              <w:t>)</w:t>
            </w:r>
          </w:p>
        </w:tc>
      </w:tr>
      <w:tr w:rsidR="00C812E1" w:rsidRPr="00E70587" w14:paraId="0F20B404" w14:textId="77777777" w:rsidTr="00706934">
        <w:trPr>
          <w:trHeight w:val="285"/>
        </w:trPr>
        <w:tc>
          <w:tcPr>
            <w:tcW w:w="623" w:type="pct"/>
            <w:tcBorders>
              <w:top w:val="single" w:sz="4" w:space="0" w:color="auto"/>
              <w:left w:val="nil"/>
              <w:right w:val="nil"/>
            </w:tcBorders>
            <w:shd w:val="clear" w:color="auto" w:fill="auto"/>
            <w:noWrap/>
            <w:hideMark/>
          </w:tcPr>
          <w:p w14:paraId="1EBE3F7B" w14:textId="77777777" w:rsidR="00C812E1" w:rsidRPr="00E70587" w:rsidRDefault="00C812E1" w:rsidP="00944426">
            <w:pPr>
              <w:spacing w:before="60" w:after="60"/>
              <w:rPr>
                <w:rFonts w:ascii="Arial" w:hAnsi="Arial" w:cs="Arial"/>
                <w:b/>
                <w:bCs/>
                <w:sz w:val="20"/>
                <w:lang w:eastAsia="en-IN"/>
              </w:rPr>
            </w:pPr>
            <w:r w:rsidRPr="00E70587">
              <w:rPr>
                <w:rFonts w:ascii="Arial" w:hAnsi="Arial" w:cs="Arial"/>
                <w:b/>
                <w:bCs/>
                <w:sz w:val="20"/>
                <w:lang w:eastAsia="en-IN"/>
              </w:rPr>
              <w:t>Total comprehensive income</w:t>
            </w:r>
          </w:p>
        </w:tc>
        <w:tc>
          <w:tcPr>
            <w:tcW w:w="329" w:type="pct"/>
            <w:tcBorders>
              <w:top w:val="single" w:sz="4" w:space="0" w:color="auto"/>
              <w:left w:val="nil"/>
              <w:right w:val="nil"/>
            </w:tcBorders>
            <w:shd w:val="clear" w:color="auto" w:fill="auto"/>
            <w:noWrap/>
            <w:hideMark/>
          </w:tcPr>
          <w:p w14:paraId="0396157F" w14:textId="77777777" w:rsidR="00C812E1" w:rsidRPr="00E70587" w:rsidRDefault="00C812E1" w:rsidP="004244DC">
            <w:pPr>
              <w:spacing w:before="60" w:after="60"/>
              <w:jc w:val="right"/>
              <w:rPr>
                <w:rFonts w:ascii="Arial" w:hAnsi="Arial" w:cs="Arial"/>
                <w:b/>
                <w:bCs/>
                <w:sz w:val="20"/>
                <w:lang w:eastAsia="en-IN"/>
              </w:rPr>
            </w:pPr>
            <w:r w:rsidRPr="00E70587">
              <w:rPr>
                <w:rFonts w:ascii="Arial" w:hAnsi="Arial" w:cs="Arial"/>
                <w:b/>
                <w:sz w:val="20"/>
              </w:rPr>
              <w:t>-</w:t>
            </w:r>
          </w:p>
        </w:tc>
        <w:tc>
          <w:tcPr>
            <w:tcW w:w="330" w:type="pct"/>
            <w:tcBorders>
              <w:top w:val="single" w:sz="4" w:space="0" w:color="auto"/>
              <w:left w:val="nil"/>
              <w:right w:val="nil"/>
            </w:tcBorders>
            <w:shd w:val="clear" w:color="auto" w:fill="auto"/>
            <w:noWrap/>
            <w:hideMark/>
          </w:tcPr>
          <w:p w14:paraId="2FC36B60" w14:textId="77777777" w:rsidR="00C812E1" w:rsidRPr="00E70587" w:rsidRDefault="00C812E1" w:rsidP="004244DC">
            <w:pPr>
              <w:spacing w:before="60" w:after="60"/>
              <w:jc w:val="right"/>
              <w:rPr>
                <w:rFonts w:ascii="Arial" w:hAnsi="Arial" w:cs="Arial"/>
                <w:b/>
                <w:sz w:val="20"/>
              </w:rPr>
            </w:pPr>
            <w:r w:rsidRPr="00E70587">
              <w:rPr>
                <w:rFonts w:ascii="Arial" w:hAnsi="Arial" w:cs="Arial"/>
                <w:b/>
                <w:sz w:val="20"/>
              </w:rPr>
              <w:t>-</w:t>
            </w:r>
          </w:p>
        </w:tc>
        <w:tc>
          <w:tcPr>
            <w:tcW w:w="276" w:type="pct"/>
            <w:tcBorders>
              <w:top w:val="single" w:sz="4" w:space="0" w:color="auto"/>
              <w:left w:val="nil"/>
              <w:right w:val="nil"/>
            </w:tcBorders>
            <w:shd w:val="clear" w:color="auto" w:fill="auto"/>
            <w:noWrap/>
            <w:hideMark/>
          </w:tcPr>
          <w:p w14:paraId="76FB0B3A" w14:textId="77777777" w:rsidR="00C812E1" w:rsidRPr="00E70587" w:rsidRDefault="00C812E1" w:rsidP="004244DC">
            <w:pPr>
              <w:spacing w:before="60" w:after="60"/>
              <w:jc w:val="right"/>
              <w:rPr>
                <w:rFonts w:ascii="Arial" w:hAnsi="Arial" w:cs="Arial"/>
                <w:b/>
                <w:sz w:val="20"/>
              </w:rPr>
            </w:pPr>
            <w:r w:rsidRPr="00E70587">
              <w:rPr>
                <w:rFonts w:ascii="Arial" w:hAnsi="Arial" w:cs="Arial"/>
                <w:b/>
                <w:sz w:val="20"/>
              </w:rPr>
              <w:t>-</w:t>
            </w:r>
          </w:p>
        </w:tc>
        <w:tc>
          <w:tcPr>
            <w:tcW w:w="265" w:type="pct"/>
            <w:tcBorders>
              <w:top w:val="single" w:sz="4" w:space="0" w:color="auto"/>
              <w:left w:val="nil"/>
              <w:right w:val="nil"/>
            </w:tcBorders>
            <w:shd w:val="clear" w:color="auto" w:fill="auto"/>
            <w:noWrap/>
            <w:hideMark/>
          </w:tcPr>
          <w:p w14:paraId="17EAA99B" w14:textId="77777777" w:rsidR="00C812E1" w:rsidRPr="00E70587" w:rsidRDefault="00C812E1" w:rsidP="004244DC">
            <w:pPr>
              <w:spacing w:before="60" w:after="60"/>
              <w:jc w:val="right"/>
              <w:rPr>
                <w:rFonts w:ascii="Arial" w:hAnsi="Arial" w:cs="Arial"/>
                <w:b/>
                <w:sz w:val="20"/>
              </w:rPr>
            </w:pPr>
            <w:r w:rsidRPr="00E70587">
              <w:rPr>
                <w:rFonts w:ascii="Arial" w:hAnsi="Arial" w:cs="Arial"/>
                <w:b/>
                <w:sz w:val="20"/>
              </w:rPr>
              <w:t>-</w:t>
            </w:r>
          </w:p>
        </w:tc>
        <w:tc>
          <w:tcPr>
            <w:tcW w:w="348" w:type="pct"/>
            <w:tcBorders>
              <w:top w:val="single" w:sz="4" w:space="0" w:color="auto"/>
              <w:left w:val="nil"/>
              <w:right w:val="nil"/>
            </w:tcBorders>
          </w:tcPr>
          <w:p w14:paraId="20796AC3" w14:textId="77777777" w:rsidR="00C812E1" w:rsidRPr="00E70587" w:rsidRDefault="00C812E1" w:rsidP="004244DC">
            <w:pPr>
              <w:spacing w:before="60" w:after="60"/>
              <w:jc w:val="right"/>
              <w:rPr>
                <w:rFonts w:ascii="Arial" w:hAnsi="Arial" w:cs="Arial"/>
                <w:b/>
                <w:sz w:val="20"/>
              </w:rPr>
            </w:pPr>
            <w:r w:rsidRPr="00E70587">
              <w:rPr>
                <w:rFonts w:ascii="Arial" w:hAnsi="Arial" w:cs="Arial"/>
                <w:b/>
                <w:sz w:val="20"/>
              </w:rPr>
              <w:t>-</w:t>
            </w:r>
          </w:p>
        </w:tc>
        <w:tc>
          <w:tcPr>
            <w:tcW w:w="409" w:type="pct"/>
            <w:tcBorders>
              <w:top w:val="single" w:sz="4" w:space="0" w:color="auto"/>
              <w:left w:val="nil"/>
              <w:right w:val="nil"/>
            </w:tcBorders>
          </w:tcPr>
          <w:p w14:paraId="6D01914E" w14:textId="77777777" w:rsidR="00C812E1" w:rsidRPr="00E70587" w:rsidRDefault="00C812E1" w:rsidP="004244DC">
            <w:pPr>
              <w:spacing w:before="60" w:after="60"/>
              <w:jc w:val="right"/>
              <w:rPr>
                <w:rFonts w:ascii="Arial" w:hAnsi="Arial" w:cs="Arial"/>
                <w:b/>
                <w:bCs/>
                <w:sz w:val="20"/>
                <w:lang w:eastAsia="en-IN"/>
              </w:rPr>
            </w:pPr>
            <w:r w:rsidRPr="00E70587">
              <w:rPr>
                <w:rFonts w:ascii="Arial" w:hAnsi="Arial" w:cs="Arial"/>
                <w:b/>
                <w:sz w:val="20"/>
              </w:rPr>
              <w:t>-</w:t>
            </w:r>
          </w:p>
        </w:tc>
        <w:tc>
          <w:tcPr>
            <w:tcW w:w="305" w:type="pct"/>
            <w:tcBorders>
              <w:top w:val="single" w:sz="4" w:space="0" w:color="auto"/>
              <w:left w:val="nil"/>
              <w:right w:val="nil"/>
            </w:tcBorders>
            <w:shd w:val="clear" w:color="auto" w:fill="auto"/>
            <w:noWrap/>
            <w:hideMark/>
          </w:tcPr>
          <w:p w14:paraId="70304EB3" w14:textId="77777777" w:rsidR="00C812E1" w:rsidRPr="00E70587" w:rsidRDefault="001811F8" w:rsidP="004244DC">
            <w:pPr>
              <w:spacing w:before="60" w:after="60"/>
              <w:jc w:val="right"/>
              <w:rPr>
                <w:rFonts w:ascii="Arial" w:hAnsi="Arial" w:cs="Arial"/>
                <w:b/>
                <w:bCs/>
                <w:sz w:val="20"/>
                <w:lang w:eastAsia="en-IN"/>
              </w:rPr>
            </w:pPr>
            <w:r w:rsidRPr="00E70587">
              <w:rPr>
                <w:rFonts w:ascii="Arial" w:hAnsi="Arial" w:cs="Arial"/>
                <w:b/>
                <w:sz w:val="20"/>
              </w:rPr>
              <w:t>9,371</w:t>
            </w:r>
          </w:p>
        </w:tc>
        <w:tc>
          <w:tcPr>
            <w:tcW w:w="371" w:type="pct"/>
            <w:tcBorders>
              <w:top w:val="single" w:sz="4" w:space="0" w:color="auto"/>
              <w:left w:val="nil"/>
              <w:right w:val="nil"/>
            </w:tcBorders>
            <w:shd w:val="clear" w:color="auto" w:fill="auto"/>
            <w:noWrap/>
            <w:hideMark/>
          </w:tcPr>
          <w:p w14:paraId="0848227D" w14:textId="77777777" w:rsidR="00C812E1" w:rsidRPr="00E70587" w:rsidRDefault="00C812E1" w:rsidP="004244DC">
            <w:pPr>
              <w:spacing w:before="60" w:after="60"/>
              <w:jc w:val="right"/>
              <w:rPr>
                <w:rFonts w:ascii="Arial" w:hAnsi="Arial" w:cs="Arial"/>
                <w:b/>
                <w:bCs/>
                <w:sz w:val="20"/>
                <w:lang w:eastAsia="en-IN"/>
              </w:rPr>
            </w:pPr>
            <w:r w:rsidRPr="00E70587">
              <w:rPr>
                <w:rFonts w:ascii="Arial" w:hAnsi="Arial" w:cs="Arial"/>
                <w:b/>
                <w:sz w:val="20"/>
              </w:rPr>
              <w:t>43</w:t>
            </w:r>
          </w:p>
        </w:tc>
        <w:tc>
          <w:tcPr>
            <w:tcW w:w="329" w:type="pct"/>
            <w:tcBorders>
              <w:top w:val="single" w:sz="4" w:space="0" w:color="auto"/>
              <w:left w:val="nil"/>
              <w:right w:val="nil"/>
            </w:tcBorders>
            <w:shd w:val="clear" w:color="auto" w:fill="auto"/>
            <w:noWrap/>
            <w:hideMark/>
          </w:tcPr>
          <w:p w14:paraId="525FD9D2" w14:textId="5CAF477F" w:rsidR="00C812E1" w:rsidRPr="00E70587" w:rsidRDefault="0066185F" w:rsidP="004244DC">
            <w:pPr>
              <w:spacing w:before="60" w:after="60"/>
              <w:jc w:val="right"/>
              <w:rPr>
                <w:rFonts w:ascii="Arial" w:hAnsi="Arial" w:cs="Arial"/>
                <w:b/>
                <w:bCs/>
                <w:sz w:val="20"/>
                <w:lang w:eastAsia="en-IN"/>
              </w:rPr>
            </w:pPr>
            <w:r>
              <w:rPr>
                <w:rFonts w:ascii="Arial" w:hAnsi="Arial" w:cs="Arial"/>
                <w:b/>
                <w:sz w:val="20"/>
              </w:rPr>
              <w:t>3</w:t>
            </w:r>
          </w:p>
        </w:tc>
        <w:tc>
          <w:tcPr>
            <w:tcW w:w="360" w:type="pct"/>
            <w:tcBorders>
              <w:top w:val="single" w:sz="4" w:space="0" w:color="auto"/>
              <w:left w:val="nil"/>
              <w:right w:val="nil"/>
            </w:tcBorders>
            <w:shd w:val="clear" w:color="auto" w:fill="auto"/>
            <w:noWrap/>
            <w:hideMark/>
          </w:tcPr>
          <w:p w14:paraId="423420E9" w14:textId="77777777" w:rsidR="00C812E1" w:rsidRPr="00E70587" w:rsidRDefault="00C812E1" w:rsidP="004244DC">
            <w:pPr>
              <w:spacing w:before="60" w:after="60"/>
              <w:jc w:val="right"/>
              <w:rPr>
                <w:rFonts w:ascii="Arial" w:hAnsi="Arial" w:cs="Arial"/>
                <w:b/>
                <w:bCs/>
                <w:sz w:val="20"/>
                <w:lang w:eastAsia="en-IN"/>
              </w:rPr>
            </w:pPr>
            <w:r w:rsidRPr="00E70587">
              <w:rPr>
                <w:rFonts w:ascii="Arial" w:hAnsi="Arial" w:cs="Arial"/>
                <w:b/>
                <w:sz w:val="20"/>
              </w:rPr>
              <w:t>(211)</w:t>
            </w:r>
          </w:p>
        </w:tc>
        <w:tc>
          <w:tcPr>
            <w:tcW w:w="287" w:type="pct"/>
            <w:tcBorders>
              <w:top w:val="single" w:sz="4" w:space="0" w:color="auto"/>
              <w:left w:val="nil"/>
              <w:right w:val="nil"/>
            </w:tcBorders>
            <w:shd w:val="clear" w:color="auto" w:fill="auto"/>
            <w:noWrap/>
            <w:hideMark/>
          </w:tcPr>
          <w:p w14:paraId="64DF5964" w14:textId="77777777" w:rsidR="00C812E1" w:rsidRPr="00E70587" w:rsidRDefault="00DA42AD" w:rsidP="004244DC">
            <w:pPr>
              <w:spacing w:before="60" w:after="60"/>
              <w:jc w:val="right"/>
              <w:rPr>
                <w:rFonts w:ascii="Arial" w:hAnsi="Arial" w:cs="Arial"/>
                <w:b/>
                <w:bCs/>
                <w:sz w:val="20"/>
                <w:lang w:eastAsia="en-IN"/>
              </w:rPr>
            </w:pPr>
            <w:r w:rsidRPr="00E70587">
              <w:rPr>
                <w:rFonts w:ascii="Arial" w:hAnsi="Arial" w:cs="Arial"/>
                <w:b/>
                <w:sz w:val="20"/>
              </w:rPr>
              <w:t>9,207</w:t>
            </w:r>
          </w:p>
        </w:tc>
        <w:tc>
          <w:tcPr>
            <w:tcW w:w="349" w:type="pct"/>
            <w:tcBorders>
              <w:top w:val="single" w:sz="4" w:space="0" w:color="auto"/>
              <w:left w:val="nil"/>
              <w:right w:val="nil"/>
            </w:tcBorders>
            <w:shd w:val="clear" w:color="auto" w:fill="auto"/>
            <w:noWrap/>
            <w:hideMark/>
          </w:tcPr>
          <w:p w14:paraId="67754DDB" w14:textId="77777777" w:rsidR="00C812E1" w:rsidRPr="00E70587" w:rsidRDefault="00C812E1" w:rsidP="004244DC">
            <w:pPr>
              <w:spacing w:before="60" w:after="60"/>
              <w:jc w:val="right"/>
              <w:rPr>
                <w:rFonts w:ascii="Arial" w:hAnsi="Arial" w:cs="Arial"/>
                <w:b/>
                <w:bCs/>
                <w:sz w:val="20"/>
                <w:lang w:eastAsia="en-IN"/>
              </w:rPr>
            </w:pPr>
            <w:r w:rsidRPr="00E70587">
              <w:rPr>
                <w:rFonts w:ascii="Arial" w:hAnsi="Arial" w:cs="Arial"/>
                <w:b/>
                <w:sz w:val="20"/>
              </w:rPr>
              <w:t>430</w:t>
            </w:r>
          </w:p>
        </w:tc>
        <w:tc>
          <w:tcPr>
            <w:tcW w:w="419" w:type="pct"/>
            <w:tcBorders>
              <w:top w:val="single" w:sz="4" w:space="0" w:color="auto"/>
              <w:left w:val="nil"/>
              <w:right w:val="nil"/>
            </w:tcBorders>
            <w:shd w:val="clear" w:color="auto" w:fill="auto"/>
            <w:noWrap/>
            <w:hideMark/>
          </w:tcPr>
          <w:p w14:paraId="1A38C66B" w14:textId="77777777" w:rsidR="00C812E1" w:rsidRPr="00E70587" w:rsidRDefault="002339F4" w:rsidP="002339F4">
            <w:pPr>
              <w:spacing w:before="60" w:after="60"/>
              <w:jc w:val="right"/>
              <w:rPr>
                <w:rFonts w:ascii="Arial" w:hAnsi="Arial" w:cs="Arial"/>
                <w:b/>
                <w:bCs/>
                <w:sz w:val="20"/>
                <w:lang w:eastAsia="en-IN"/>
              </w:rPr>
            </w:pPr>
            <w:r w:rsidRPr="00E70587">
              <w:rPr>
                <w:rFonts w:ascii="Arial" w:hAnsi="Arial" w:cs="Arial"/>
                <w:b/>
                <w:sz w:val="20"/>
              </w:rPr>
              <w:t>9,636</w:t>
            </w:r>
          </w:p>
        </w:tc>
      </w:tr>
      <w:tr w:rsidR="00C812E1" w:rsidRPr="00E70587" w14:paraId="6CFDD0A1" w14:textId="77777777" w:rsidTr="00706934">
        <w:trPr>
          <w:trHeight w:val="285"/>
        </w:trPr>
        <w:tc>
          <w:tcPr>
            <w:tcW w:w="623" w:type="pct"/>
            <w:tcBorders>
              <w:left w:val="nil"/>
              <w:bottom w:val="nil"/>
              <w:right w:val="nil"/>
            </w:tcBorders>
            <w:shd w:val="clear" w:color="auto" w:fill="auto"/>
            <w:noWrap/>
            <w:hideMark/>
          </w:tcPr>
          <w:p w14:paraId="74A6B951" w14:textId="4B56AF4C" w:rsidR="00C812E1" w:rsidRPr="00E70587" w:rsidRDefault="00C812E1" w:rsidP="00944426">
            <w:pPr>
              <w:spacing w:before="60" w:after="60"/>
              <w:rPr>
                <w:rFonts w:ascii="Arial" w:hAnsi="Arial" w:cs="Arial"/>
                <w:sz w:val="20"/>
                <w:lang w:eastAsia="en-IN"/>
              </w:rPr>
            </w:pPr>
            <w:r w:rsidRPr="00E70587">
              <w:rPr>
                <w:rFonts w:ascii="Arial" w:hAnsi="Arial" w:cs="Arial"/>
                <w:sz w:val="20"/>
                <w:lang w:eastAsia="en-IN"/>
              </w:rPr>
              <w:t xml:space="preserve">Exercise of share options (Note </w:t>
            </w:r>
            <w:r w:rsidR="004F03ED">
              <w:rPr>
                <w:rFonts w:ascii="Arial" w:hAnsi="Arial" w:cs="Arial"/>
                <w:sz w:val="20"/>
                <w:lang w:eastAsia="en-IN"/>
              </w:rPr>
              <w:t>12</w:t>
            </w:r>
            <w:r w:rsidRPr="00E70587">
              <w:rPr>
                <w:rFonts w:ascii="Arial" w:hAnsi="Arial" w:cs="Arial"/>
                <w:sz w:val="20"/>
                <w:lang w:eastAsia="en-IN"/>
              </w:rPr>
              <w:t>)</w:t>
            </w:r>
          </w:p>
        </w:tc>
        <w:tc>
          <w:tcPr>
            <w:tcW w:w="329" w:type="pct"/>
            <w:tcBorders>
              <w:left w:val="nil"/>
              <w:bottom w:val="nil"/>
              <w:right w:val="nil"/>
            </w:tcBorders>
            <w:shd w:val="clear" w:color="auto" w:fill="auto"/>
            <w:noWrap/>
            <w:hideMark/>
          </w:tcPr>
          <w:p w14:paraId="3B205DA6"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330" w:type="pct"/>
            <w:tcBorders>
              <w:left w:val="nil"/>
              <w:bottom w:val="nil"/>
              <w:right w:val="nil"/>
            </w:tcBorders>
            <w:shd w:val="clear" w:color="auto" w:fill="auto"/>
            <w:noWrap/>
            <w:hideMark/>
          </w:tcPr>
          <w:p w14:paraId="63B581A5"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276" w:type="pct"/>
            <w:tcBorders>
              <w:left w:val="nil"/>
              <w:bottom w:val="nil"/>
              <w:right w:val="nil"/>
            </w:tcBorders>
            <w:shd w:val="clear" w:color="auto" w:fill="auto"/>
            <w:noWrap/>
            <w:hideMark/>
          </w:tcPr>
          <w:p w14:paraId="453B76B3"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216</w:t>
            </w:r>
          </w:p>
        </w:tc>
        <w:tc>
          <w:tcPr>
            <w:tcW w:w="265" w:type="pct"/>
            <w:tcBorders>
              <w:left w:val="nil"/>
              <w:bottom w:val="nil"/>
              <w:right w:val="nil"/>
            </w:tcBorders>
            <w:shd w:val="clear" w:color="auto" w:fill="auto"/>
            <w:noWrap/>
            <w:hideMark/>
          </w:tcPr>
          <w:p w14:paraId="1545901D"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(94)</w:t>
            </w:r>
          </w:p>
        </w:tc>
        <w:tc>
          <w:tcPr>
            <w:tcW w:w="348" w:type="pct"/>
            <w:tcBorders>
              <w:left w:val="nil"/>
              <w:bottom w:val="nil"/>
              <w:right w:val="nil"/>
            </w:tcBorders>
          </w:tcPr>
          <w:p w14:paraId="28B66F45"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409" w:type="pct"/>
            <w:tcBorders>
              <w:left w:val="nil"/>
              <w:bottom w:val="nil"/>
              <w:right w:val="nil"/>
            </w:tcBorders>
          </w:tcPr>
          <w:p w14:paraId="79D76F86"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238</w:t>
            </w:r>
          </w:p>
        </w:tc>
        <w:tc>
          <w:tcPr>
            <w:tcW w:w="305" w:type="pct"/>
            <w:tcBorders>
              <w:left w:val="nil"/>
              <w:bottom w:val="nil"/>
              <w:right w:val="nil"/>
            </w:tcBorders>
            <w:shd w:val="clear" w:color="auto" w:fill="auto"/>
            <w:noWrap/>
            <w:hideMark/>
          </w:tcPr>
          <w:p w14:paraId="58DE5021" w14:textId="77777777" w:rsidR="00C812E1" w:rsidRPr="00E70587" w:rsidRDefault="00C812E1" w:rsidP="004244DC">
            <w:pPr>
              <w:spacing w:before="60" w:after="60"/>
              <w:jc w:val="right"/>
              <w:rPr>
                <w:rFonts w:ascii="Arial" w:hAnsi="Arial" w:cs="Arial"/>
                <w:sz w:val="20"/>
                <w:lang w:eastAsia="en-IN"/>
              </w:rPr>
            </w:pPr>
          </w:p>
        </w:tc>
        <w:tc>
          <w:tcPr>
            <w:tcW w:w="371" w:type="pct"/>
            <w:tcBorders>
              <w:left w:val="nil"/>
              <w:bottom w:val="nil"/>
              <w:right w:val="nil"/>
            </w:tcBorders>
            <w:shd w:val="clear" w:color="auto" w:fill="auto"/>
            <w:noWrap/>
            <w:hideMark/>
          </w:tcPr>
          <w:p w14:paraId="63B4E3EB"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329" w:type="pct"/>
            <w:tcBorders>
              <w:left w:val="nil"/>
              <w:bottom w:val="nil"/>
              <w:right w:val="nil"/>
            </w:tcBorders>
            <w:shd w:val="clear" w:color="auto" w:fill="auto"/>
            <w:noWrap/>
            <w:hideMark/>
          </w:tcPr>
          <w:p w14:paraId="2D9897B9"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360" w:type="pct"/>
            <w:tcBorders>
              <w:left w:val="nil"/>
              <w:bottom w:val="nil"/>
              <w:right w:val="nil"/>
            </w:tcBorders>
            <w:shd w:val="clear" w:color="auto" w:fill="auto"/>
            <w:noWrap/>
            <w:hideMark/>
          </w:tcPr>
          <w:p w14:paraId="52015685"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287" w:type="pct"/>
            <w:tcBorders>
              <w:left w:val="nil"/>
              <w:bottom w:val="nil"/>
              <w:right w:val="nil"/>
            </w:tcBorders>
            <w:shd w:val="clear" w:color="auto" w:fill="auto"/>
            <w:noWrap/>
            <w:hideMark/>
          </w:tcPr>
          <w:p w14:paraId="1860FCA4"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360</w:t>
            </w:r>
          </w:p>
        </w:tc>
        <w:tc>
          <w:tcPr>
            <w:tcW w:w="349" w:type="pct"/>
            <w:tcBorders>
              <w:left w:val="nil"/>
              <w:bottom w:val="nil"/>
              <w:right w:val="nil"/>
            </w:tcBorders>
            <w:shd w:val="clear" w:color="auto" w:fill="auto"/>
            <w:noWrap/>
            <w:hideMark/>
          </w:tcPr>
          <w:p w14:paraId="5BC8EEA0"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419" w:type="pct"/>
            <w:tcBorders>
              <w:left w:val="nil"/>
              <w:bottom w:val="nil"/>
              <w:right w:val="nil"/>
            </w:tcBorders>
            <w:shd w:val="clear" w:color="auto" w:fill="auto"/>
            <w:noWrap/>
            <w:hideMark/>
          </w:tcPr>
          <w:p w14:paraId="4677622A"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360</w:t>
            </w:r>
          </w:p>
        </w:tc>
      </w:tr>
      <w:tr w:rsidR="00C812E1" w:rsidRPr="00E70587" w14:paraId="030AA2CD" w14:textId="77777777" w:rsidTr="00706934">
        <w:trPr>
          <w:trHeight w:val="285"/>
        </w:trPr>
        <w:tc>
          <w:tcPr>
            <w:tcW w:w="623" w:type="pct"/>
            <w:tcBorders>
              <w:top w:val="nil"/>
              <w:left w:val="nil"/>
              <w:bottom w:val="nil"/>
              <w:right w:val="nil"/>
            </w:tcBorders>
            <w:shd w:val="clear" w:color="auto" w:fill="auto"/>
            <w:noWrap/>
            <w:hideMark/>
          </w:tcPr>
          <w:p w14:paraId="6039957D" w14:textId="77777777" w:rsidR="00C812E1" w:rsidRPr="00E70587" w:rsidRDefault="00C812E1" w:rsidP="00944426">
            <w:pPr>
              <w:spacing w:before="60" w:after="60"/>
              <w:rPr>
                <w:rFonts w:ascii="Arial" w:hAnsi="Arial" w:cs="Arial"/>
                <w:sz w:val="20"/>
                <w:lang w:eastAsia="en-IN"/>
              </w:rPr>
            </w:pPr>
            <w:r w:rsidRPr="00E70587">
              <w:rPr>
                <w:rFonts w:ascii="Arial" w:hAnsi="Arial" w:cs="Arial"/>
                <w:sz w:val="20"/>
                <w:lang w:eastAsia="en-IN"/>
              </w:rPr>
              <w:t>Share-based payments (Note 41)</w:t>
            </w:r>
          </w:p>
        </w:tc>
        <w:tc>
          <w:tcPr>
            <w:tcW w:w="329" w:type="pct"/>
            <w:tcBorders>
              <w:top w:val="nil"/>
              <w:left w:val="nil"/>
              <w:bottom w:val="nil"/>
              <w:right w:val="nil"/>
            </w:tcBorders>
            <w:shd w:val="clear" w:color="auto" w:fill="auto"/>
            <w:noWrap/>
            <w:hideMark/>
          </w:tcPr>
          <w:p w14:paraId="1C28D6EC"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330" w:type="pct"/>
            <w:tcBorders>
              <w:top w:val="nil"/>
              <w:left w:val="nil"/>
              <w:bottom w:val="nil"/>
              <w:right w:val="nil"/>
            </w:tcBorders>
            <w:shd w:val="clear" w:color="auto" w:fill="auto"/>
            <w:noWrap/>
            <w:hideMark/>
          </w:tcPr>
          <w:p w14:paraId="65C9CE89"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276" w:type="pct"/>
            <w:tcBorders>
              <w:top w:val="nil"/>
              <w:left w:val="nil"/>
              <w:bottom w:val="nil"/>
              <w:right w:val="nil"/>
            </w:tcBorders>
            <w:shd w:val="clear" w:color="auto" w:fill="auto"/>
            <w:noWrap/>
            <w:hideMark/>
          </w:tcPr>
          <w:p w14:paraId="0A053D75"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265" w:type="pct"/>
            <w:tcBorders>
              <w:top w:val="nil"/>
              <w:left w:val="nil"/>
              <w:bottom w:val="nil"/>
              <w:right w:val="nil"/>
            </w:tcBorders>
            <w:shd w:val="clear" w:color="auto" w:fill="auto"/>
            <w:noWrap/>
            <w:hideMark/>
          </w:tcPr>
          <w:p w14:paraId="06136343"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536</w:t>
            </w:r>
          </w:p>
        </w:tc>
        <w:tc>
          <w:tcPr>
            <w:tcW w:w="348" w:type="pct"/>
            <w:tcBorders>
              <w:top w:val="nil"/>
              <w:left w:val="nil"/>
              <w:bottom w:val="nil"/>
              <w:right w:val="nil"/>
            </w:tcBorders>
          </w:tcPr>
          <w:p w14:paraId="30D3A5D5"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409" w:type="pct"/>
            <w:tcBorders>
              <w:top w:val="nil"/>
              <w:left w:val="nil"/>
              <w:bottom w:val="nil"/>
              <w:right w:val="nil"/>
            </w:tcBorders>
          </w:tcPr>
          <w:p w14:paraId="428DA177"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305" w:type="pct"/>
            <w:tcBorders>
              <w:top w:val="nil"/>
              <w:left w:val="nil"/>
              <w:bottom w:val="nil"/>
              <w:right w:val="nil"/>
            </w:tcBorders>
            <w:shd w:val="clear" w:color="auto" w:fill="auto"/>
            <w:noWrap/>
            <w:hideMark/>
          </w:tcPr>
          <w:p w14:paraId="4E7817D7"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371" w:type="pct"/>
            <w:tcBorders>
              <w:top w:val="nil"/>
              <w:left w:val="nil"/>
              <w:bottom w:val="nil"/>
              <w:right w:val="nil"/>
            </w:tcBorders>
            <w:shd w:val="clear" w:color="auto" w:fill="auto"/>
            <w:noWrap/>
            <w:hideMark/>
          </w:tcPr>
          <w:p w14:paraId="70376320"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329" w:type="pct"/>
            <w:tcBorders>
              <w:top w:val="nil"/>
              <w:left w:val="nil"/>
              <w:bottom w:val="nil"/>
              <w:right w:val="nil"/>
            </w:tcBorders>
            <w:shd w:val="clear" w:color="auto" w:fill="auto"/>
            <w:noWrap/>
            <w:hideMark/>
          </w:tcPr>
          <w:p w14:paraId="17E2C288"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360" w:type="pct"/>
            <w:tcBorders>
              <w:top w:val="nil"/>
              <w:left w:val="nil"/>
              <w:bottom w:val="nil"/>
              <w:right w:val="nil"/>
            </w:tcBorders>
            <w:shd w:val="clear" w:color="auto" w:fill="auto"/>
            <w:noWrap/>
            <w:hideMark/>
          </w:tcPr>
          <w:p w14:paraId="714D9147"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287" w:type="pct"/>
            <w:tcBorders>
              <w:top w:val="nil"/>
              <w:left w:val="nil"/>
              <w:bottom w:val="nil"/>
              <w:right w:val="nil"/>
            </w:tcBorders>
            <w:shd w:val="clear" w:color="auto" w:fill="auto"/>
            <w:noWrap/>
            <w:hideMark/>
          </w:tcPr>
          <w:p w14:paraId="47CB41A3"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536</w:t>
            </w:r>
          </w:p>
        </w:tc>
        <w:tc>
          <w:tcPr>
            <w:tcW w:w="349" w:type="pct"/>
            <w:tcBorders>
              <w:top w:val="nil"/>
              <w:left w:val="nil"/>
              <w:bottom w:val="nil"/>
              <w:right w:val="nil"/>
            </w:tcBorders>
            <w:shd w:val="clear" w:color="auto" w:fill="auto"/>
            <w:noWrap/>
            <w:hideMark/>
          </w:tcPr>
          <w:p w14:paraId="5BA1D2F8"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419" w:type="pct"/>
            <w:tcBorders>
              <w:top w:val="nil"/>
              <w:left w:val="nil"/>
              <w:bottom w:val="nil"/>
              <w:right w:val="nil"/>
            </w:tcBorders>
            <w:shd w:val="clear" w:color="auto" w:fill="auto"/>
            <w:noWrap/>
            <w:hideMark/>
          </w:tcPr>
          <w:p w14:paraId="6A275C3E"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536</w:t>
            </w:r>
          </w:p>
        </w:tc>
      </w:tr>
      <w:tr w:rsidR="00C812E1" w:rsidRPr="00E70587" w14:paraId="1A9E39AB" w14:textId="77777777" w:rsidTr="00706934">
        <w:trPr>
          <w:trHeight w:val="285"/>
        </w:trPr>
        <w:tc>
          <w:tcPr>
            <w:tcW w:w="623" w:type="pct"/>
            <w:tcBorders>
              <w:top w:val="nil"/>
              <w:left w:val="nil"/>
              <w:bottom w:val="nil"/>
              <w:right w:val="nil"/>
            </w:tcBorders>
            <w:shd w:val="clear" w:color="auto" w:fill="auto"/>
            <w:noWrap/>
            <w:hideMark/>
          </w:tcPr>
          <w:p w14:paraId="4A1431A4" w14:textId="45A3C1C6" w:rsidR="00C812E1" w:rsidRPr="00E70587" w:rsidRDefault="00C743E8" w:rsidP="00944426">
            <w:pPr>
              <w:spacing w:before="60" w:after="60"/>
              <w:rPr>
                <w:rFonts w:ascii="Arial" w:hAnsi="Arial" w:cs="Arial"/>
                <w:sz w:val="20"/>
                <w:lang w:eastAsia="en-IN"/>
              </w:rPr>
            </w:pPr>
            <w:r>
              <w:rPr>
                <w:rFonts w:ascii="Arial" w:hAnsi="Arial" w:cs="Arial"/>
                <w:sz w:val="20"/>
                <w:lang w:eastAsia="en-IN"/>
              </w:rPr>
              <w:t>D</w:t>
            </w:r>
            <w:r w:rsidR="00C812E1" w:rsidRPr="00E70587">
              <w:rPr>
                <w:rFonts w:ascii="Arial" w:hAnsi="Arial" w:cs="Arial"/>
                <w:sz w:val="20"/>
                <w:lang w:eastAsia="en-IN"/>
              </w:rPr>
              <w:t>ividend</w:t>
            </w:r>
            <w:r>
              <w:rPr>
                <w:rFonts w:ascii="Arial" w:hAnsi="Arial" w:cs="Arial"/>
                <w:sz w:val="20"/>
                <w:lang w:eastAsia="en-IN"/>
              </w:rPr>
              <w:t xml:space="preserve"> including </w:t>
            </w:r>
            <w:r w:rsidR="009C6A0B">
              <w:rPr>
                <w:rFonts w:ascii="Arial" w:hAnsi="Arial" w:cs="Arial"/>
                <w:sz w:val="20"/>
                <w:lang w:eastAsia="en-IN"/>
              </w:rPr>
              <w:t>d</w:t>
            </w:r>
            <w:r>
              <w:rPr>
                <w:rFonts w:ascii="Arial" w:hAnsi="Arial" w:cs="Arial"/>
                <w:sz w:val="20"/>
                <w:lang w:eastAsia="en-IN"/>
              </w:rPr>
              <w:t>ividend distribution tax</w:t>
            </w:r>
            <w:r w:rsidR="00C812E1" w:rsidRPr="00E70587">
              <w:rPr>
                <w:rFonts w:ascii="Arial" w:hAnsi="Arial" w:cs="Arial"/>
                <w:sz w:val="20"/>
                <w:lang w:eastAsia="en-IN"/>
              </w:rPr>
              <w:t xml:space="preserve"> (Note 13)</w:t>
            </w:r>
          </w:p>
        </w:tc>
        <w:tc>
          <w:tcPr>
            <w:tcW w:w="329" w:type="pct"/>
            <w:tcBorders>
              <w:top w:val="nil"/>
              <w:left w:val="nil"/>
              <w:bottom w:val="nil"/>
              <w:right w:val="nil"/>
            </w:tcBorders>
            <w:shd w:val="clear" w:color="auto" w:fill="auto"/>
            <w:noWrap/>
            <w:hideMark/>
          </w:tcPr>
          <w:p w14:paraId="03C15001"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330" w:type="pct"/>
            <w:tcBorders>
              <w:top w:val="nil"/>
              <w:left w:val="nil"/>
              <w:bottom w:val="nil"/>
              <w:right w:val="nil"/>
            </w:tcBorders>
            <w:shd w:val="clear" w:color="auto" w:fill="auto"/>
            <w:noWrap/>
            <w:hideMark/>
          </w:tcPr>
          <w:p w14:paraId="2A26DE4D"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276" w:type="pct"/>
            <w:tcBorders>
              <w:top w:val="nil"/>
              <w:left w:val="nil"/>
              <w:bottom w:val="nil"/>
              <w:right w:val="nil"/>
            </w:tcBorders>
            <w:shd w:val="clear" w:color="auto" w:fill="auto"/>
            <w:noWrap/>
            <w:hideMark/>
          </w:tcPr>
          <w:p w14:paraId="302B02B2"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265" w:type="pct"/>
            <w:tcBorders>
              <w:top w:val="nil"/>
              <w:left w:val="nil"/>
              <w:bottom w:val="nil"/>
              <w:right w:val="nil"/>
            </w:tcBorders>
            <w:shd w:val="clear" w:color="auto" w:fill="auto"/>
            <w:noWrap/>
            <w:hideMark/>
          </w:tcPr>
          <w:p w14:paraId="7D132E84"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348" w:type="pct"/>
            <w:tcBorders>
              <w:top w:val="nil"/>
              <w:left w:val="nil"/>
              <w:bottom w:val="nil"/>
              <w:right w:val="nil"/>
            </w:tcBorders>
          </w:tcPr>
          <w:p w14:paraId="63EC8592"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409" w:type="pct"/>
            <w:tcBorders>
              <w:top w:val="nil"/>
              <w:left w:val="nil"/>
              <w:bottom w:val="nil"/>
              <w:right w:val="nil"/>
            </w:tcBorders>
          </w:tcPr>
          <w:p w14:paraId="03CD298E"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305" w:type="pct"/>
            <w:tcBorders>
              <w:top w:val="nil"/>
              <w:left w:val="nil"/>
              <w:bottom w:val="nil"/>
              <w:right w:val="nil"/>
            </w:tcBorders>
            <w:shd w:val="clear" w:color="auto" w:fill="auto"/>
            <w:noWrap/>
            <w:hideMark/>
          </w:tcPr>
          <w:p w14:paraId="70BFD532"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(2,880)</w:t>
            </w:r>
          </w:p>
        </w:tc>
        <w:tc>
          <w:tcPr>
            <w:tcW w:w="371" w:type="pct"/>
            <w:tcBorders>
              <w:top w:val="nil"/>
              <w:left w:val="nil"/>
              <w:bottom w:val="nil"/>
              <w:right w:val="nil"/>
            </w:tcBorders>
            <w:shd w:val="clear" w:color="auto" w:fill="auto"/>
            <w:noWrap/>
            <w:hideMark/>
          </w:tcPr>
          <w:p w14:paraId="0A62CA3D"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329" w:type="pct"/>
            <w:tcBorders>
              <w:top w:val="nil"/>
              <w:left w:val="nil"/>
              <w:bottom w:val="nil"/>
              <w:right w:val="nil"/>
            </w:tcBorders>
            <w:shd w:val="clear" w:color="auto" w:fill="auto"/>
            <w:noWrap/>
            <w:hideMark/>
          </w:tcPr>
          <w:p w14:paraId="0AF54F5E"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360" w:type="pct"/>
            <w:tcBorders>
              <w:top w:val="nil"/>
              <w:left w:val="nil"/>
              <w:bottom w:val="nil"/>
              <w:right w:val="nil"/>
            </w:tcBorders>
            <w:shd w:val="clear" w:color="auto" w:fill="auto"/>
            <w:noWrap/>
            <w:hideMark/>
          </w:tcPr>
          <w:p w14:paraId="7FF28E61"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287" w:type="pct"/>
            <w:tcBorders>
              <w:top w:val="nil"/>
              <w:left w:val="nil"/>
              <w:bottom w:val="nil"/>
              <w:right w:val="nil"/>
            </w:tcBorders>
            <w:shd w:val="clear" w:color="auto" w:fill="auto"/>
            <w:noWrap/>
            <w:hideMark/>
          </w:tcPr>
          <w:p w14:paraId="174D1926"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(2,880)</w:t>
            </w:r>
          </w:p>
        </w:tc>
        <w:tc>
          <w:tcPr>
            <w:tcW w:w="349" w:type="pct"/>
            <w:tcBorders>
              <w:top w:val="nil"/>
              <w:left w:val="nil"/>
              <w:bottom w:val="nil"/>
              <w:right w:val="nil"/>
            </w:tcBorders>
            <w:shd w:val="clear" w:color="auto" w:fill="auto"/>
            <w:noWrap/>
            <w:hideMark/>
          </w:tcPr>
          <w:p w14:paraId="03CA8EAA"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(88)</w:t>
            </w:r>
          </w:p>
        </w:tc>
        <w:tc>
          <w:tcPr>
            <w:tcW w:w="419" w:type="pct"/>
            <w:tcBorders>
              <w:top w:val="nil"/>
              <w:left w:val="nil"/>
              <w:bottom w:val="nil"/>
              <w:right w:val="nil"/>
            </w:tcBorders>
            <w:shd w:val="clear" w:color="auto" w:fill="auto"/>
            <w:noWrap/>
            <w:hideMark/>
          </w:tcPr>
          <w:p w14:paraId="0CCFCAA8"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(2,968)</w:t>
            </w:r>
          </w:p>
        </w:tc>
      </w:tr>
      <w:tr w:rsidR="00C812E1" w:rsidRPr="00E70587" w14:paraId="6444459B" w14:textId="77777777" w:rsidTr="00706934">
        <w:trPr>
          <w:trHeight w:val="285"/>
        </w:trPr>
        <w:tc>
          <w:tcPr>
            <w:tcW w:w="623" w:type="pct"/>
            <w:tcBorders>
              <w:top w:val="nil"/>
              <w:left w:val="nil"/>
              <w:bottom w:val="single" w:sz="4" w:space="0" w:color="auto"/>
              <w:right w:val="nil"/>
            </w:tcBorders>
            <w:shd w:val="clear" w:color="auto" w:fill="auto"/>
            <w:noWrap/>
            <w:hideMark/>
          </w:tcPr>
          <w:p w14:paraId="0360283A" w14:textId="77777777" w:rsidR="00C812E1" w:rsidRPr="00E70587" w:rsidRDefault="00C812E1" w:rsidP="00944426">
            <w:pPr>
              <w:spacing w:before="60" w:after="60"/>
              <w:rPr>
                <w:rFonts w:ascii="Arial" w:hAnsi="Arial" w:cs="Arial"/>
                <w:sz w:val="20"/>
                <w:lang w:eastAsia="en-IN"/>
              </w:rPr>
            </w:pPr>
            <w:r w:rsidRPr="00E70587">
              <w:rPr>
                <w:rFonts w:ascii="Arial" w:hAnsi="Arial" w:cs="Arial"/>
                <w:sz w:val="20"/>
                <w:lang w:eastAsia="en-IN"/>
              </w:rPr>
              <w:t>Acquisition of non-controlling interests (Note 36)</w:t>
            </w:r>
          </w:p>
        </w:tc>
        <w:tc>
          <w:tcPr>
            <w:tcW w:w="329" w:type="pct"/>
            <w:tcBorders>
              <w:top w:val="nil"/>
              <w:left w:val="nil"/>
              <w:bottom w:val="single" w:sz="4" w:space="0" w:color="auto"/>
              <w:right w:val="nil"/>
            </w:tcBorders>
            <w:shd w:val="clear" w:color="auto" w:fill="auto"/>
            <w:noWrap/>
            <w:hideMark/>
          </w:tcPr>
          <w:p w14:paraId="1AF3E6C7"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330" w:type="pct"/>
            <w:tcBorders>
              <w:top w:val="nil"/>
              <w:left w:val="nil"/>
              <w:bottom w:val="single" w:sz="4" w:space="0" w:color="auto"/>
              <w:right w:val="nil"/>
            </w:tcBorders>
            <w:shd w:val="clear" w:color="auto" w:fill="auto"/>
            <w:noWrap/>
            <w:hideMark/>
          </w:tcPr>
          <w:p w14:paraId="19E9327E"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276" w:type="pct"/>
            <w:tcBorders>
              <w:top w:val="nil"/>
              <w:left w:val="nil"/>
              <w:bottom w:val="single" w:sz="4" w:space="0" w:color="auto"/>
              <w:right w:val="nil"/>
            </w:tcBorders>
            <w:shd w:val="clear" w:color="auto" w:fill="auto"/>
            <w:noWrap/>
            <w:hideMark/>
          </w:tcPr>
          <w:p w14:paraId="2242C937"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265" w:type="pct"/>
            <w:tcBorders>
              <w:top w:val="nil"/>
              <w:left w:val="nil"/>
              <w:bottom w:val="single" w:sz="4" w:space="0" w:color="auto"/>
              <w:right w:val="nil"/>
            </w:tcBorders>
            <w:shd w:val="clear" w:color="auto" w:fill="auto"/>
            <w:noWrap/>
            <w:hideMark/>
          </w:tcPr>
          <w:p w14:paraId="772E1AB8"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348" w:type="pct"/>
            <w:tcBorders>
              <w:top w:val="nil"/>
              <w:left w:val="nil"/>
              <w:bottom w:val="single" w:sz="4" w:space="0" w:color="auto"/>
              <w:right w:val="nil"/>
            </w:tcBorders>
          </w:tcPr>
          <w:p w14:paraId="3EC3F995"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409" w:type="pct"/>
            <w:tcBorders>
              <w:top w:val="nil"/>
              <w:left w:val="nil"/>
              <w:bottom w:val="single" w:sz="4" w:space="0" w:color="auto"/>
              <w:right w:val="nil"/>
            </w:tcBorders>
          </w:tcPr>
          <w:p w14:paraId="7F4AA2F7"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305" w:type="pct"/>
            <w:tcBorders>
              <w:top w:val="nil"/>
              <w:left w:val="nil"/>
              <w:bottom w:val="single" w:sz="4" w:space="0" w:color="auto"/>
              <w:right w:val="nil"/>
            </w:tcBorders>
            <w:shd w:val="clear" w:color="auto" w:fill="auto"/>
            <w:noWrap/>
            <w:hideMark/>
          </w:tcPr>
          <w:p w14:paraId="6D5AD5C3"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371" w:type="pct"/>
            <w:tcBorders>
              <w:top w:val="nil"/>
              <w:left w:val="nil"/>
              <w:bottom w:val="single" w:sz="4" w:space="0" w:color="auto"/>
              <w:right w:val="nil"/>
            </w:tcBorders>
            <w:shd w:val="clear" w:color="auto" w:fill="auto"/>
            <w:noWrap/>
            <w:hideMark/>
          </w:tcPr>
          <w:p w14:paraId="50C799BE"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329" w:type="pct"/>
            <w:tcBorders>
              <w:top w:val="nil"/>
              <w:left w:val="nil"/>
              <w:bottom w:val="single" w:sz="4" w:space="0" w:color="auto"/>
              <w:right w:val="nil"/>
            </w:tcBorders>
            <w:shd w:val="clear" w:color="auto" w:fill="auto"/>
            <w:noWrap/>
            <w:hideMark/>
          </w:tcPr>
          <w:p w14:paraId="1461EA43"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360" w:type="pct"/>
            <w:tcBorders>
              <w:top w:val="nil"/>
              <w:left w:val="nil"/>
              <w:bottom w:val="single" w:sz="4" w:space="0" w:color="auto"/>
              <w:right w:val="nil"/>
            </w:tcBorders>
            <w:shd w:val="clear" w:color="auto" w:fill="auto"/>
            <w:noWrap/>
            <w:hideMark/>
          </w:tcPr>
          <w:p w14:paraId="0B64D6D2" w14:textId="77777777" w:rsidR="00C812E1" w:rsidRPr="00E70587" w:rsidRDefault="00C812E1" w:rsidP="004244DC">
            <w:pPr>
              <w:spacing w:before="60" w:after="60"/>
              <w:jc w:val="right"/>
              <w:rPr>
                <w:rFonts w:ascii="Arial" w:hAnsi="Arial" w:cs="Arial"/>
                <w:sz w:val="20"/>
              </w:rPr>
            </w:pPr>
            <w:r w:rsidRPr="00E70587">
              <w:rPr>
                <w:rFonts w:ascii="Arial" w:hAnsi="Arial" w:cs="Arial"/>
                <w:sz w:val="20"/>
              </w:rPr>
              <w:t>-</w:t>
            </w:r>
          </w:p>
        </w:tc>
        <w:tc>
          <w:tcPr>
            <w:tcW w:w="287" w:type="pct"/>
            <w:tcBorders>
              <w:top w:val="nil"/>
              <w:left w:val="nil"/>
              <w:bottom w:val="single" w:sz="4" w:space="0" w:color="auto"/>
              <w:right w:val="nil"/>
            </w:tcBorders>
            <w:shd w:val="clear" w:color="auto" w:fill="auto"/>
            <w:noWrap/>
            <w:hideMark/>
          </w:tcPr>
          <w:p w14:paraId="3691FEE5"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w:t>
            </w:r>
          </w:p>
        </w:tc>
        <w:tc>
          <w:tcPr>
            <w:tcW w:w="349" w:type="pct"/>
            <w:tcBorders>
              <w:top w:val="nil"/>
              <w:left w:val="nil"/>
              <w:bottom w:val="single" w:sz="4" w:space="0" w:color="auto"/>
              <w:right w:val="nil"/>
            </w:tcBorders>
            <w:shd w:val="clear" w:color="auto" w:fill="auto"/>
            <w:noWrap/>
            <w:hideMark/>
          </w:tcPr>
          <w:p w14:paraId="19EC7168"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616</w:t>
            </w:r>
          </w:p>
        </w:tc>
        <w:tc>
          <w:tcPr>
            <w:tcW w:w="419" w:type="pct"/>
            <w:tcBorders>
              <w:top w:val="nil"/>
              <w:left w:val="nil"/>
              <w:bottom w:val="single" w:sz="4" w:space="0" w:color="auto"/>
              <w:right w:val="nil"/>
            </w:tcBorders>
            <w:shd w:val="clear" w:color="auto" w:fill="auto"/>
            <w:noWrap/>
            <w:hideMark/>
          </w:tcPr>
          <w:p w14:paraId="1EC770EF" w14:textId="77777777" w:rsidR="00C812E1" w:rsidRPr="00E70587" w:rsidRDefault="00C812E1" w:rsidP="004244DC">
            <w:pPr>
              <w:spacing w:before="60" w:after="60"/>
              <w:jc w:val="right"/>
              <w:rPr>
                <w:rFonts w:ascii="Arial" w:hAnsi="Arial" w:cs="Arial"/>
                <w:sz w:val="20"/>
                <w:lang w:eastAsia="en-IN"/>
              </w:rPr>
            </w:pPr>
            <w:r w:rsidRPr="00E70587">
              <w:rPr>
                <w:rFonts w:ascii="Arial" w:hAnsi="Arial" w:cs="Arial"/>
                <w:sz w:val="20"/>
              </w:rPr>
              <w:t>616</w:t>
            </w:r>
          </w:p>
        </w:tc>
      </w:tr>
      <w:tr w:rsidR="00C812E1" w:rsidRPr="00E70587" w14:paraId="4A12E37E" w14:textId="77777777" w:rsidTr="00706934">
        <w:trPr>
          <w:trHeight w:val="285"/>
        </w:trPr>
        <w:tc>
          <w:tcPr>
            <w:tcW w:w="623" w:type="pct"/>
            <w:tcBorders>
              <w:top w:val="single" w:sz="4" w:space="0" w:color="auto"/>
              <w:left w:val="nil"/>
              <w:bottom w:val="single" w:sz="4" w:space="0" w:color="auto"/>
              <w:right w:val="nil"/>
            </w:tcBorders>
            <w:shd w:val="clear" w:color="auto" w:fill="auto"/>
            <w:noWrap/>
            <w:hideMark/>
          </w:tcPr>
          <w:p w14:paraId="2A2F41C6" w14:textId="364DA2C5" w:rsidR="00C812E1" w:rsidRPr="004F7C80" w:rsidRDefault="00C812E1" w:rsidP="00944426">
            <w:pPr>
              <w:spacing w:before="60" w:after="60"/>
              <w:rPr>
                <w:rFonts w:ascii="Arial" w:hAnsi="Arial" w:cs="Arial"/>
                <w:b/>
                <w:bCs/>
                <w:sz w:val="20"/>
                <w:lang w:eastAsia="en-IN"/>
              </w:rPr>
            </w:pPr>
            <w:r w:rsidRPr="004F7C80">
              <w:rPr>
                <w:rFonts w:ascii="Arial" w:hAnsi="Arial" w:cs="Arial"/>
                <w:b/>
                <w:bCs/>
                <w:sz w:val="20"/>
                <w:lang w:eastAsia="en-IN"/>
              </w:rPr>
              <w:t xml:space="preserve">At 31 </w:t>
            </w:r>
            <w:r w:rsidR="008B730E" w:rsidRPr="004F7C80">
              <w:rPr>
                <w:rFonts w:ascii="Arial" w:hAnsi="Arial" w:cs="Arial"/>
                <w:b/>
                <w:bCs/>
                <w:sz w:val="20"/>
                <w:lang w:eastAsia="en-IN"/>
              </w:rPr>
              <w:t xml:space="preserve">March </w:t>
            </w:r>
            <w:r w:rsidR="00D454A1" w:rsidRPr="004F7C80">
              <w:rPr>
                <w:rFonts w:ascii="Arial" w:hAnsi="Arial" w:cs="Arial"/>
                <w:b/>
                <w:bCs/>
                <w:sz w:val="20"/>
                <w:lang w:eastAsia="en-IN"/>
              </w:rPr>
              <w:t>2020</w:t>
            </w:r>
          </w:p>
        </w:tc>
        <w:tc>
          <w:tcPr>
            <w:tcW w:w="329" w:type="pct"/>
            <w:tcBorders>
              <w:top w:val="single" w:sz="4" w:space="0" w:color="auto"/>
              <w:left w:val="nil"/>
              <w:bottom w:val="single" w:sz="4" w:space="0" w:color="auto"/>
              <w:right w:val="nil"/>
            </w:tcBorders>
            <w:shd w:val="clear" w:color="auto" w:fill="auto"/>
            <w:noWrap/>
            <w:hideMark/>
          </w:tcPr>
          <w:p w14:paraId="71FB0312" w14:textId="77777777" w:rsidR="00C812E1" w:rsidRPr="004F7C80" w:rsidRDefault="00C812E1" w:rsidP="004244DC">
            <w:pPr>
              <w:spacing w:before="60" w:after="60"/>
              <w:jc w:val="right"/>
              <w:rPr>
                <w:rFonts w:ascii="Arial" w:hAnsi="Arial" w:cs="Arial"/>
                <w:b/>
                <w:bCs/>
                <w:sz w:val="20"/>
                <w:lang w:eastAsia="en-IN"/>
              </w:rPr>
            </w:pPr>
            <w:r w:rsidRPr="004F7C80">
              <w:rPr>
                <w:rFonts w:ascii="Arial" w:hAnsi="Arial" w:cs="Arial"/>
                <w:b/>
                <w:sz w:val="20"/>
              </w:rPr>
              <w:t>410</w:t>
            </w:r>
          </w:p>
        </w:tc>
        <w:tc>
          <w:tcPr>
            <w:tcW w:w="330" w:type="pct"/>
            <w:tcBorders>
              <w:top w:val="single" w:sz="4" w:space="0" w:color="auto"/>
              <w:left w:val="nil"/>
              <w:bottom w:val="single" w:sz="4" w:space="0" w:color="auto"/>
              <w:right w:val="nil"/>
            </w:tcBorders>
            <w:shd w:val="clear" w:color="auto" w:fill="auto"/>
            <w:noWrap/>
            <w:hideMark/>
          </w:tcPr>
          <w:p w14:paraId="45B1C7F1" w14:textId="77777777" w:rsidR="00C812E1" w:rsidRPr="004F7C80" w:rsidRDefault="00C812E1" w:rsidP="004244DC">
            <w:pPr>
              <w:spacing w:before="60" w:after="60"/>
              <w:jc w:val="right"/>
              <w:rPr>
                <w:rFonts w:ascii="Arial" w:hAnsi="Arial" w:cs="Arial"/>
                <w:b/>
                <w:bCs/>
                <w:sz w:val="20"/>
                <w:lang w:eastAsia="en-IN"/>
              </w:rPr>
            </w:pPr>
            <w:r w:rsidRPr="004F7C80">
              <w:rPr>
                <w:rFonts w:ascii="Arial" w:hAnsi="Arial" w:cs="Arial"/>
                <w:b/>
                <w:sz w:val="20"/>
              </w:rPr>
              <w:t>-</w:t>
            </w:r>
          </w:p>
        </w:tc>
        <w:tc>
          <w:tcPr>
            <w:tcW w:w="276" w:type="pct"/>
            <w:tcBorders>
              <w:top w:val="single" w:sz="4" w:space="0" w:color="auto"/>
              <w:left w:val="nil"/>
              <w:bottom w:val="single" w:sz="4" w:space="0" w:color="auto"/>
              <w:right w:val="nil"/>
            </w:tcBorders>
            <w:shd w:val="clear" w:color="auto" w:fill="auto"/>
            <w:noWrap/>
            <w:hideMark/>
          </w:tcPr>
          <w:p w14:paraId="505052E0" w14:textId="77777777" w:rsidR="00C812E1" w:rsidRPr="004F7C80" w:rsidRDefault="00C812E1" w:rsidP="004244DC">
            <w:pPr>
              <w:spacing w:before="60" w:after="60"/>
              <w:jc w:val="right"/>
              <w:rPr>
                <w:rFonts w:ascii="Arial" w:hAnsi="Arial" w:cs="Arial"/>
                <w:b/>
                <w:bCs/>
                <w:sz w:val="20"/>
                <w:lang w:eastAsia="en-IN"/>
              </w:rPr>
            </w:pPr>
            <w:r w:rsidRPr="004F7C80">
              <w:rPr>
                <w:rFonts w:ascii="Arial" w:hAnsi="Arial" w:cs="Arial"/>
                <w:b/>
                <w:sz w:val="20"/>
              </w:rPr>
              <w:t>(1,177)</w:t>
            </w:r>
          </w:p>
        </w:tc>
        <w:tc>
          <w:tcPr>
            <w:tcW w:w="265" w:type="pct"/>
            <w:tcBorders>
              <w:top w:val="single" w:sz="4" w:space="0" w:color="auto"/>
              <w:left w:val="nil"/>
              <w:bottom w:val="single" w:sz="4" w:space="0" w:color="auto"/>
              <w:right w:val="nil"/>
            </w:tcBorders>
            <w:shd w:val="clear" w:color="auto" w:fill="auto"/>
            <w:noWrap/>
            <w:hideMark/>
          </w:tcPr>
          <w:p w14:paraId="34882B8D" w14:textId="5B6A313D" w:rsidR="00C812E1" w:rsidRPr="004F7C80" w:rsidRDefault="00C812E1" w:rsidP="004244DC">
            <w:pPr>
              <w:spacing w:before="60" w:after="60"/>
              <w:jc w:val="right"/>
              <w:rPr>
                <w:rFonts w:ascii="Arial" w:hAnsi="Arial" w:cs="Arial"/>
                <w:b/>
                <w:bCs/>
                <w:sz w:val="20"/>
                <w:lang w:eastAsia="en-IN"/>
              </w:rPr>
            </w:pPr>
            <w:r w:rsidRPr="004F7C80">
              <w:rPr>
                <w:rFonts w:ascii="Arial" w:hAnsi="Arial" w:cs="Arial"/>
                <w:b/>
                <w:sz w:val="20"/>
              </w:rPr>
              <w:t>1,</w:t>
            </w:r>
            <w:r w:rsidR="00F57FC4" w:rsidRPr="004F7C80">
              <w:rPr>
                <w:rFonts w:ascii="Arial" w:hAnsi="Arial" w:cs="Arial"/>
                <w:b/>
                <w:sz w:val="20"/>
              </w:rPr>
              <w:t>05</w:t>
            </w:r>
            <w:r w:rsidR="00F57FC4">
              <w:rPr>
                <w:rFonts w:ascii="Arial" w:hAnsi="Arial" w:cs="Arial"/>
                <w:b/>
                <w:sz w:val="20"/>
              </w:rPr>
              <w:t>1</w:t>
            </w:r>
          </w:p>
        </w:tc>
        <w:tc>
          <w:tcPr>
            <w:tcW w:w="348" w:type="pct"/>
            <w:tcBorders>
              <w:top w:val="single" w:sz="4" w:space="0" w:color="auto"/>
              <w:left w:val="nil"/>
              <w:bottom w:val="single" w:sz="4" w:space="0" w:color="auto"/>
              <w:right w:val="nil"/>
            </w:tcBorders>
          </w:tcPr>
          <w:p w14:paraId="66FB8155" w14:textId="77777777" w:rsidR="00C812E1" w:rsidRPr="004F7C80" w:rsidRDefault="00C812E1" w:rsidP="004244DC">
            <w:pPr>
              <w:spacing w:before="60" w:after="60"/>
              <w:jc w:val="right"/>
              <w:rPr>
                <w:rFonts w:ascii="Arial" w:hAnsi="Arial" w:cs="Arial"/>
                <w:b/>
                <w:bCs/>
                <w:sz w:val="20"/>
                <w:lang w:eastAsia="en-IN"/>
              </w:rPr>
            </w:pPr>
            <w:r w:rsidRPr="004F7C80">
              <w:rPr>
                <w:rFonts w:ascii="Arial" w:hAnsi="Arial" w:cs="Arial"/>
                <w:b/>
                <w:sz w:val="20"/>
              </w:rPr>
              <w:t>1,520</w:t>
            </w:r>
          </w:p>
        </w:tc>
        <w:tc>
          <w:tcPr>
            <w:tcW w:w="409" w:type="pct"/>
            <w:tcBorders>
              <w:top w:val="single" w:sz="4" w:space="0" w:color="auto"/>
              <w:left w:val="nil"/>
              <w:bottom w:val="single" w:sz="4" w:space="0" w:color="auto"/>
              <w:right w:val="nil"/>
            </w:tcBorders>
          </w:tcPr>
          <w:p w14:paraId="599D9429" w14:textId="77777777" w:rsidR="00C812E1" w:rsidRPr="004F7C80" w:rsidRDefault="00C812E1" w:rsidP="004244DC">
            <w:pPr>
              <w:spacing w:before="60" w:after="60"/>
              <w:jc w:val="right"/>
              <w:rPr>
                <w:rFonts w:ascii="Arial" w:hAnsi="Arial" w:cs="Arial"/>
                <w:b/>
                <w:bCs/>
                <w:sz w:val="20"/>
              </w:rPr>
            </w:pPr>
            <w:r w:rsidRPr="004F7C80">
              <w:rPr>
                <w:rFonts w:ascii="Arial" w:hAnsi="Arial" w:cs="Arial"/>
                <w:b/>
                <w:sz w:val="20"/>
              </w:rPr>
              <w:t>238</w:t>
            </w:r>
          </w:p>
        </w:tc>
        <w:tc>
          <w:tcPr>
            <w:tcW w:w="305" w:type="pct"/>
            <w:tcBorders>
              <w:top w:val="single" w:sz="4" w:space="0" w:color="auto"/>
              <w:left w:val="nil"/>
              <w:bottom w:val="single" w:sz="4" w:space="0" w:color="auto"/>
              <w:right w:val="nil"/>
            </w:tcBorders>
            <w:shd w:val="clear" w:color="auto" w:fill="auto"/>
            <w:noWrap/>
            <w:hideMark/>
          </w:tcPr>
          <w:p w14:paraId="0D49D385" w14:textId="13EFCA8D" w:rsidR="00C812E1" w:rsidRPr="004F7C80" w:rsidRDefault="00C812E1" w:rsidP="004244DC">
            <w:pPr>
              <w:spacing w:before="60" w:after="60"/>
              <w:jc w:val="right"/>
              <w:rPr>
                <w:rFonts w:ascii="Arial" w:hAnsi="Arial" w:cs="Arial"/>
                <w:b/>
                <w:bCs/>
                <w:sz w:val="20"/>
              </w:rPr>
            </w:pPr>
            <w:r w:rsidRPr="004F7C80">
              <w:rPr>
                <w:rFonts w:ascii="Arial" w:hAnsi="Arial" w:cs="Arial"/>
                <w:b/>
                <w:sz w:val="20"/>
              </w:rPr>
              <w:t>4</w:t>
            </w:r>
            <w:r w:rsidR="00CD3859">
              <w:rPr>
                <w:rFonts w:ascii="Arial" w:hAnsi="Arial" w:cs="Arial"/>
                <w:b/>
                <w:sz w:val="20"/>
              </w:rPr>
              <w:t>6,897</w:t>
            </w:r>
          </w:p>
        </w:tc>
        <w:tc>
          <w:tcPr>
            <w:tcW w:w="371" w:type="pct"/>
            <w:tcBorders>
              <w:top w:val="single" w:sz="4" w:space="0" w:color="auto"/>
              <w:left w:val="nil"/>
              <w:bottom w:val="single" w:sz="4" w:space="0" w:color="auto"/>
              <w:right w:val="nil"/>
            </w:tcBorders>
            <w:shd w:val="clear" w:color="auto" w:fill="auto"/>
            <w:noWrap/>
            <w:hideMark/>
          </w:tcPr>
          <w:p w14:paraId="64445AFF" w14:textId="77777777" w:rsidR="00C812E1" w:rsidRPr="004F7C80" w:rsidRDefault="00C812E1" w:rsidP="004244DC">
            <w:pPr>
              <w:spacing w:before="60" w:after="60"/>
              <w:jc w:val="right"/>
              <w:rPr>
                <w:rFonts w:ascii="Arial" w:hAnsi="Arial" w:cs="Arial"/>
                <w:b/>
                <w:bCs/>
                <w:sz w:val="20"/>
                <w:lang w:eastAsia="en-IN"/>
              </w:rPr>
            </w:pPr>
            <w:r w:rsidRPr="004F7C80">
              <w:rPr>
                <w:rFonts w:ascii="Arial" w:hAnsi="Arial" w:cs="Arial"/>
                <w:b/>
                <w:sz w:val="20"/>
              </w:rPr>
              <w:t>(126)</w:t>
            </w:r>
          </w:p>
        </w:tc>
        <w:tc>
          <w:tcPr>
            <w:tcW w:w="329" w:type="pct"/>
            <w:tcBorders>
              <w:top w:val="single" w:sz="4" w:space="0" w:color="auto"/>
              <w:left w:val="nil"/>
              <w:bottom w:val="single" w:sz="4" w:space="0" w:color="auto"/>
              <w:right w:val="nil"/>
            </w:tcBorders>
            <w:shd w:val="clear" w:color="auto" w:fill="auto"/>
            <w:noWrap/>
            <w:hideMark/>
          </w:tcPr>
          <w:p w14:paraId="2D63E5FE" w14:textId="713A5172" w:rsidR="00C812E1" w:rsidRPr="004F7C80" w:rsidRDefault="0066185F" w:rsidP="004244DC">
            <w:pPr>
              <w:spacing w:before="60" w:after="60"/>
              <w:jc w:val="right"/>
              <w:rPr>
                <w:rFonts w:ascii="Arial" w:hAnsi="Arial" w:cs="Arial"/>
                <w:b/>
                <w:bCs/>
                <w:sz w:val="20"/>
                <w:lang w:eastAsia="en-IN"/>
              </w:rPr>
            </w:pPr>
            <w:r>
              <w:rPr>
                <w:rFonts w:ascii="Arial" w:hAnsi="Arial" w:cs="Arial"/>
                <w:b/>
                <w:sz w:val="20"/>
              </w:rPr>
              <w:t>3</w:t>
            </w:r>
          </w:p>
        </w:tc>
        <w:tc>
          <w:tcPr>
            <w:tcW w:w="360" w:type="pct"/>
            <w:tcBorders>
              <w:top w:val="single" w:sz="4" w:space="0" w:color="auto"/>
              <w:left w:val="nil"/>
              <w:bottom w:val="single" w:sz="4" w:space="0" w:color="auto"/>
              <w:right w:val="nil"/>
            </w:tcBorders>
            <w:shd w:val="clear" w:color="auto" w:fill="auto"/>
            <w:noWrap/>
            <w:hideMark/>
          </w:tcPr>
          <w:p w14:paraId="6C7B16B0" w14:textId="77777777" w:rsidR="00C812E1" w:rsidRPr="004F7C80" w:rsidRDefault="00C812E1" w:rsidP="004244DC">
            <w:pPr>
              <w:spacing w:before="60" w:after="60"/>
              <w:jc w:val="right"/>
              <w:rPr>
                <w:rFonts w:ascii="Arial" w:hAnsi="Arial" w:cs="Arial"/>
                <w:b/>
                <w:bCs/>
                <w:sz w:val="20"/>
                <w:lang w:eastAsia="en-IN"/>
              </w:rPr>
            </w:pPr>
            <w:r w:rsidRPr="004F7C80">
              <w:rPr>
                <w:rFonts w:ascii="Arial" w:hAnsi="Arial" w:cs="Arial"/>
                <w:b/>
                <w:sz w:val="20"/>
              </w:rPr>
              <w:t>(211)</w:t>
            </w:r>
          </w:p>
        </w:tc>
        <w:tc>
          <w:tcPr>
            <w:tcW w:w="287" w:type="pct"/>
            <w:tcBorders>
              <w:top w:val="single" w:sz="4" w:space="0" w:color="auto"/>
              <w:left w:val="nil"/>
              <w:bottom w:val="single" w:sz="4" w:space="0" w:color="auto"/>
              <w:right w:val="nil"/>
            </w:tcBorders>
            <w:shd w:val="clear" w:color="auto" w:fill="auto"/>
            <w:noWrap/>
            <w:hideMark/>
          </w:tcPr>
          <w:p w14:paraId="492260D6" w14:textId="65537487" w:rsidR="00C812E1" w:rsidRPr="004F7C80" w:rsidRDefault="00981F66" w:rsidP="004244DC">
            <w:pPr>
              <w:spacing w:before="60" w:after="60"/>
              <w:jc w:val="right"/>
              <w:rPr>
                <w:rFonts w:ascii="Arial" w:hAnsi="Arial" w:cs="Arial"/>
                <w:b/>
                <w:bCs/>
                <w:sz w:val="20"/>
                <w:lang w:eastAsia="en-IN"/>
              </w:rPr>
            </w:pPr>
            <w:r>
              <w:rPr>
                <w:rFonts w:ascii="Arial" w:hAnsi="Arial" w:cs="Arial"/>
                <w:b/>
                <w:sz w:val="20"/>
              </w:rPr>
              <w:t>48,606</w:t>
            </w:r>
          </w:p>
        </w:tc>
        <w:tc>
          <w:tcPr>
            <w:tcW w:w="349" w:type="pct"/>
            <w:tcBorders>
              <w:top w:val="single" w:sz="4" w:space="0" w:color="auto"/>
              <w:left w:val="nil"/>
              <w:bottom w:val="single" w:sz="4" w:space="0" w:color="auto"/>
              <w:right w:val="nil"/>
            </w:tcBorders>
            <w:shd w:val="clear" w:color="auto" w:fill="auto"/>
            <w:noWrap/>
            <w:hideMark/>
          </w:tcPr>
          <w:p w14:paraId="46E9D82B" w14:textId="4DAA5175" w:rsidR="00C812E1" w:rsidRPr="004F7C80" w:rsidRDefault="00C812E1" w:rsidP="004244DC">
            <w:pPr>
              <w:spacing w:before="60" w:after="60"/>
              <w:jc w:val="right"/>
              <w:rPr>
                <w:rFonts w:ascii="Arial" w:hAnsi="Arial" w:cs="Arial"/>
                <w:b/>
                <w:bCs/>
                <w:sz w:val="20"/>
                <w:lang w:eastAsia="en-IN"/>
              </w:rPr>
            </w:pPr>
            <w:r w:rsidRPr="004F7C80">
              <w:rPr>
                <w:rFonts w:ascii="Arial" w:hAnsi="Arial" w:cs="Arial"/>
                <w:b/>
                <w:sz w:val="20"/>
              </w:rPr>
              <w:t>1,</w:t>
            </w:r>
            <w:r w:rsidR="00924538" w:rsidRPr="004F7C80">
              <w:rPr>
                <w:rFonts w:ascii="Arial" w:hAnsi="Arial" w:cs="Arial"/>
                <w:b/>
                <w:sz w:val="20"/>
              </w:rPr>
              <w:t>3</w:t>
            </w:r>
            <w:r w:rsidR="00981F66">
              <w:rPr>
                <w:rFonts w:ascii="Arial" w:hAnsi="Arial" w:cs="Arial"/>
                <w:b/>
                <w:sz w:val="20"/>
              </w:rPr>
              <w:t>29</w:t>
            </w:r>
          </w:p>
        </w:tc>
        <w:tc>
          <w:tcPr>
            <w:tcW w:w="419" w:type="pct"/>
            <w:tcBorders>
              <w:top w:val="single" w:sz="4" w:space="0" w:color="auto"/>
              <w:left w:val="nil"/>
              <w:bottom w:val="single" w:sz="4" w:space="0" w:color="auto"/>
              <w:right w:val="nil"/>
            </w:tcBorders>
            <w:shd w:val="clear" w:color="auto" w:fill="auto"/>
            <w:noWrap/>
            <w:hideMark/>
          </w:tcPr>
          <w:p w14:paraId="1416CF14" w14:textId="214FBC75" w:rsidR="00C812E1" w:rsidRPr="00E70587" w:rsidRDefault="00DA0231" w:rsidP="004244DC">
            <w:pPr>
              <w:spacing w:before="60" w:after="60"/>
              <w:jc w:val="right"/>
              <w:rPr>
                <w:rFonts w:ascii="Arial" w:hAnsi="Arial" w:cs="Arial"/>
                <w:b/>
                <w:bCs/>
                <w:sz w:val="20"/>
                <w:lang w:eastAsia="en-IN"/>
              </w:rPr>
            </w:pPr>
            <w:r>
              <w:rPr>
                <w:rFonts w:ascii="Arial" w:hAnsi="Arial" w:cs="Arial"/>
                <w:b/>
                <w:sz w:val="20"/>
              </w:rPr>
              <w:t>49,934</w:t>
            </w:r>
          </w:p>
        </w:tc>
      </w:tr>
    </w:tbl>
    <w:p w14:paraId="51AE3F93" w14:textId="77777777" w:rsidR="00C812E1" w:rsidRPr="00E70587" w:rsidRDefault="00C812E1">
      <w:pPr>
        <w:overflowPunct/>
        <w:autoSpaceDE/>
        <w:autoSpaceDN/>
        <w:adjustRightInd/>
        <w:spacing w:line="240" w:lineRule="auto"/>
        <w:textAlignment w:val="auto"/>
        <w:rPr>
          <w:rFonts w:ascii="Arial" w:hAnsi="Arial" w:cs="Arial"/>
        </w:rPr>
      </w:pPr>
    </w:p>
    <w:p w14:paraId="6CB0C23A" w14:textId="77777777" w:rsidR="00CD7626" w:rsidRPr="00E70587" w:rsidRDefault="00CD7626" w:rsidP="001B02FA">
      <w:pPr>
        <w:spacing w:line="280" w:lineRule="exact"/>
        <w:rPr>
          <w:rFonts w:ascii="Arial" w:hAnsi="Arial" w:cs="Arial"/>
          <w:sz w:val="20"/>
        </w:rPr>
      </w:pPr>
    </w:p>
    <w:tbl>
      <w:tblPr>
        <w:tblW w:w="1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0"/>
      </w:tblGrid>
      <w:tr w:rsidR="001B02FA" w:rsidRPr="00E70587" w14:paraId="127B45BF" w14:textId="77777777" w:rsidTr="001B02FA">
        <w:tc>
          <w:tcPr>
            <w:tcW w:w="0" w:type="auto"/>
          </w:tcPr>
          <w:p w14:paraId="541813BF" w14:textId="77777777" w:rsidR="001B02FA" w:rsidRPr="00E70587" w:rsidRDefault="001B02FA" w:rsidP="001B02FA">
            <w:pPr>
              <w:pStyle w:val="Commentarybody"/>
              <w:shd w:val="clear" w:color="auto" w:fill="C1C1C1" w:themeFill="background1" w:themeFillTint="66"/>
              <w:tabs>
                <w:tab w:val="left" w:pos="3969"/>
                <w:tab w:val="left" w:pos="7230"/>
                <w:tab w:val="left" w:pos="8080"/>
              </w:tabs>
              <w:spacing w:after="0" w:line="280" w:lineRule="exact"/>
              <w:ind w:right="0"/>
              <w:rPr>
                <w:rFonts w:ascii="Arial" w:hAnsi="Arial"/>
                <w:b/>
                <w:color w:val="auto"/>
                <w:sz w:val="20"/>
                <w:lang w:val="en-IN"/>
              </w:rPr>
            </w:pPr>
            <w:r w:rsidRPr="00E70587">
              <w:rPr>
                <w:rFonts w:ascii="Arial" w:hAnsi="Arial"/>
                <w:b/>
                <w:color w:val="auto"/>
                <w:sz w:val="20"/>
                <w:lang w:val="en-IN"/>
              </w:rPr>
              <w:t>Authors’ notes</w:t>
            </w:r>
          </w:p>
          <w:p w14:paraId="3ABA56C9" w14:textId="77777777" w:rsidR="001B02FA" w:rsidRPr="00E70587" w:rsidRDefault="001B02FA" w:rsidP="003C7E66">
            <w:pPr>
              <w:pStyle w:val="Commentarybody"/>
              <w:shd w:val="clear" w:color="auto" w:fill="C1C1C1" w:themeFill="background1" w:themeFillTint="66"/>
              <w:tabs>
                <w:tab w:val="left" w:pos="3969"/>
                <w:tab w:val="left" w:pos="7230"/>
                <w:tab w:val="left" w:pos="8080"/>
              </w:tabs>
              <w:spacing w:after="0" w:line="120" w:lineRule="auto"/>
              <w:ind w:right="0"/>
              <w:rPr>
                <w:rFonts w:ascii="Arial" w:hAnsi="Arial"/>
                <w:color w:val="auto"/>
                <w:sz w:val="20"/>
                <w:lang w:val="en-IN"/>
              </w:rPr>
            </w:pPr>
          </w:p>
          <w:p w14:paraId="19A0330A" w14:textId="77777777" w:rsidR="001B02FA" w:rsidRPr="00E70587" w:rsidRDefault="001B02FA" w:rsidP="001B02FA">
            <w:pPr>
              <w:pStyle w:val="Commentarybody"/>
              <w:shd w:val="clear" w:color="auto" w:fill="C1C1C1" w:themeFill="background1" w:themeFillTint="66"/>
              <w:tabs>
                <w:tab w:val="left" w:pos="3969"/>
                <w:tab w:val="left" w:pos="7230"/>
                <w:tab w:val="left" w:pos="8080"/>
              </w:tabs>
              <w:spacing w:after="0" w:line="280" w:lineRule="exact"/>
              <w:ind w:right="0"/>
              <w:rPr>
                <w:rFonts w:ascii="Arial" w:hAnsi="Arial"/>
                <w:color w:val="auto"/>
                <w:sz w:val="20"/>
                <w:lang w:val="en-IN"/>
              </w:rPr>
            </w:pPr>
            <w:r w:rsidRPr="00E70587">
              <w:rPr>
                <w:rFonts w:ascii="Arial" w:hAnsi="Arial"/>
                <w:color w:val="auto"/>
                <w:sz w:val="20"/>
                <w:lang w:val="en-IN"/>
              </w:rPr>
              <w:t xml:space="preserve">For equity-settled share-based payment transactions, Ind AS 102 </w:t>
            </w:r>
            <w:r w:rsidRPr="00E70587">
              <w:rPr>
                <w:rFonts w:ascii="Arial" w:hAnsi="Arial"/>
                <w:i/>
                <w:color w:val="auto"/>
                <w:sz w:val="20"/>
                <w:lang w:val="en-IN"/>
              </w:rPr>
              <w:t>Share-based Payment</w:t>
            </w:r>
            <w:r w:rsidRPr="00E70587">
              <w:rPr>
                <w:rFonts w:ascii="Arial" w:hAnsi="Arial"/>
                <w:color w:val="auto"/>
                <w:sz w:val="20"/>
                <w:lang w:val="en-IN"/>
              </w:rPr>
              <w:t xml:space="preserve"> requires entities to recognise an increase in equity when goods or services are received. However, Ind AS 102 does not specify where in equity this should be recognised. The Group has chosen to recognise the credit in Share Based Payment (SBP) reserves. The Group provided treasury shares to employees exercising share options and elected to recognise the excess of cash received over the acquisition cost of those treasury shares in the </w:t>
            </w:r>
            <w:r w:rsidR="0025750D" w:rsidRPr="00E70587">
              <w:rPr>
                <w:rFonts w:ascii="Arial" w:hAnsi="Arial"/>
                <w:color w:val="auto"/>
                <w:sz w:val="20"/>
                <w:lang w:val="en-IN"/>
              </w:rPr>
              <w:t>capital reserve</w:t>
            </w:r>
            <w:r w:rsidRPr="00E70587">
              <w:rPr>
                <w:rFonts w:ascii="Arial" w:hAnsi="Arial"/>
                <w:color w:val="auto"/>
                <w:sz w:val="20"/>
                <w:lang w:val="en-IN"/>
              </w:rPr>
              <w:t>.</w:t>
            </w:r>
          </w:p>
          <w:p w14:paraId="31D2CE31" w14:textId="77777777" w:rsidR="001B02FA" w:rsidRPr="00E70587" w:rsidRDefault="001B02FA" w:rsidP="003C7E66">
            <w:pPr>
              <w:pStyle w:val="Commentarybody"/>
              <w:shd w:val="clear" w:color="auto" w:fill="C1C1C1" w:themeFill="background1" w:themeFillTint="66"/>
              <w:tabs>
                <w:tab w:val="left" w:pos="3969"/>
                <w:tab w:val="left" w:pos="7230"/>
                <w:tab w:val="left" w:pos="8080"/>
              </w:tabs>
              <w:spacing w:after="0" w:line="260" w:lineRule="exact"/>
              <w:ind w:right="0"/>
              <w:rPr>
                <w:rFonts w:ascii="Arial" w:hAnsi="Arial"/>
                <w:color w:val="auto"/>
                <w:sz w:val="20"/>
                <w:lang w:val="en-IN"/>
              </w:rPr>
            </w:pPr>
          </w:p>
          <w:p w14:paraId="7F3CF32E" w14:textId="0AFDAA86" w:rsidR="001B02FA" w:rsidRPr="00E70587" w:rsidRDefault="001B02FA" w:rsidP="001B02FA">
            <w:pPr>
              <w:pStyle w:val="Commentarybody"/>
              <w:shd w:val="clear" w:color="auto" w:fill="C1C1C1" w:themeFill="background1" w:themeFillTint="66"/>
              <w:spacing w:after="0" w:line="280" w:lineRule="exact"/>
              <w:ind w:right="0"/>
              <w:rPr>
                <w:rFonts w:ascii="Arial" w:hAnsi="Arial"/>
                <w:color w:val="auto"/>
                <w:sz w:val="20"/>
                <w:lang w:val="en-IN"/>
              </w:rPr>
            </w:pPr>
            <w:r w:rsidRPr="00E70587">
              <w:rPr>
                <w:rFonts w:ascii="Arial" w:hAnsi="Arial"/>
                <w:color w:val="auto"/>
                <w:sz w:val="20"/>
                <w:lang w:val="en-IN"/>
              </w:rPr>
              <w:t xml:space="preserve">The acquisition of an additional ownership interest in a subsidiary without a change of control is accounted for as an equity transaction in accordance with Ind AS 110. Any excess or deficit of consideration paid over the carrying amount of the non-controlling interests is recognised in equity of the parent in transactions where the non-controlling interests are acquired or sold without loss of control. The Group has elected to recognise this effect in the </w:t>
            </w:r>
            <w:r w:rsidR="00C812E1" w:rsidRPr="00E70587">
              <w:rPr>
                <w:rFonts w:ascii="Arial" w:hAnsi="Arial"/>
                <w:color w:val="auto"/>
                <w:sz w:val="20"/>
                <w:lang w:val="en-IN"/>
              </w:rPr>
              <w:t>capital reserve</w:t>
            </w:r>
            <w:r w:rsidRPr="00E70587">
              <w:rPr>
                <w:rFonts w:ascii="Arial" w:hAnsi="Arial"/>
                <w:color w:val="auto"/>
                <w:sz w:val="20"/>
                <w:lang w:val="en-IN"/>
              </w:rPr>
              <w:t xml:space="preserve">. With respect to the subsidiary to which these non-controlling interests relate, there were no accumulated components recognised in OCI. If there had been such components, those would have been reallocated within equity of the parent (e.g., </w:t>
            </w:r>
            <w:r w:rsidR="0004040D" w:rsidRPr="0004040D">
              <w:rPr>
                <w:rFonts w:ascii="Arial" w:hAnsi="Arial"/>
                <w:color w:val="auto"/>
                <w:sz w:val="20"/>
                <w:lang w:val="en-IN"/>
              </w:rPr>
              <w:t>Exchange differences on translating the financial statements of a foreign operation</w:t>
            </w:r>
            <w:r w:rsidRPr="00E70587">
              <w:rPr>
                <w:rFonts w:ascii="Arial" w:hAnsi="Arial"/>
                <w:color w:val="auto"/>
                <w:sz w:val="20"/>
                <w:lang w:val="en-IN"/>
              </w:rPr>
              <w:t xml:space="preserve"> or FVTOCI reserve).</w:t>
            </w:r>
          </w:p>
          <w:p w14:paraId="604A338E" w14:textId="77777777" w:rsidR="00F26431" w:rsidRPr="00E70587" w:rsidRDefault="00F26431" w:rsidP="003C7E66">
            <w:pPr>
              <w:pStyle w:val="Commentarybody"/>
              <w:shd w:val="clear" w:color="auto" w:fill="C1C1C1" w:themeFill="background1" w:themeFillTint="66"/>
              <w:tabs>
                <w:tab w:val="left" w:pos="3969"/>
                <w:tab w:val="left" w:pos="7230"/>
                <w:tab w:val="left" w:pos="8080"/>
              </w:tabs>
              <w:spacing w:after="0" w:line="260" w:lineRule="exact"/>
              <w:ind w:right="0"/>
              <w:rPr>
                <w:rFonts w:ascii="Arial" w:hAnsi="Arial"/>
                <w:color w:val="auto"/>
                <w:sz w:val="20"/>
                <w:lang w:val="en-IN"/>
              </w:rPr>
            </w:pPr>
          </w:p>
          <w:p w14:paraId="19A8B491" w14:textId="725A72E4" w:rsidR="001B02FA" w:rsidRDefault="001B02FA" w:rsidP="001B02FA">
            <w:pPr>
              <w:pStyle w:val="Commentarybody"/>
              <w:shd w:val="clear" w:color="auto" w:fill="C1C1C1" w:themeFill="background1" w:themeFillTint="66"/>
              <w:spacing w:after="0" w:line="280" w:lineRule="exact"/>
              <w:ind w:right="0"/>
              <w:rPr>
                <w:rFonts w:ascii="Arial" w:hAnsi="Arial"/>
                <w:color w:val="auto"/>
                <w:sz w:val="20"/>
                <w:lang w:val="en-IN"/>
              </w:rPr>
            </w:pPr>
            <w:r w:rsidRPr="00E70587">
              <w:rPr>
                <w:rFonts w:ascii="Arial" w:hAnsi="Arial"/>
                <w:color w:val="auto"/>
                <w:sz w:val="20"/>
                <w:lang w:val="en-IN"/>
              </w:rPr>
              <w:t xml:space="preserve">Ind-AS 105 requires items recognised in OCI related to a discontinued operation to be separately disclosed. The Group presents this effect in the statement of changes in equity above. However, presentation of such items within discontinued operations does not change the nature of the reserve. Generally, reclassification to profit or loss will only occur if and when required by Ind AS. </w:t>
            </w:r>
          </w:p>
          <w:p w14:paraId="12F697A8" w14:textId="2CAC2B38" w:rsidR="003C7E66" w:rsidRDefault="003C7E66" w:rsidP="003C7E66">
            <w:pPr>
              <w:pStyle w:val="Commentarybody"/>
              <w:shd w:val="clear" w:color="auto" w:fill="C1C1C1" w:themeFill="background1" w:themeFillTint="66"/>
              <w:spacing w:after="0" w:line="260" w:lineRule="exact"/>
              <w:ind w:right="0"/>
              <w:rPr>
                <w:rFonts w:ascii="Arial" w:hAnsi="Arial"/>
                <w:color w:val="auto"/>
                <w:sz w:val="20"/>
                <w:lang w:val="en-IN"/>
              </w:rPr>
            </w:pPr>
          </w:p>
          <w:p w14:paraId="7823DA51" w14:textId="40839E3D" w:rsidR="001B02FA" w:rsidRPr="00E70587" w:rsidRDefault="003C7E66" w:rsidP="001B02FA">
            <w:pPr>
              <w:pStyle w:val="Commentarybody"/>
              <w:shd w:val="clear" w:color="auto" w:fill="C1C1C1" w:themeFill="background1" w:themeFillTint="66"/>
              <w:spacing w:after="0" w:line="280" w:lineRule="exact"/>
              <w:ind w:right="0"/>
              <w:rPr>
                <w:rFonts w:ascii="Arial" w:hAnsi="Arial"/>
                <w:color w:val="auto"/>
                <w:sz w:val="20"/>
                <w:lang w:val="en-IN"/>
              </w:rPr>
            </w:pPr>
            <w:r w:rsidRPr="003C7E66">
              <w:rPr>
                <w:rFonts w:ascii="Arial" w:hAnsi="Arial"/>
                <w:color w:val="auto"/>
                <w:sz w:val="20"/>
                <w:lang w:val="en-IN"/>
              </w:rPr>
              <w:t>Ind AS 109.B5.7.1 states that accumulated gains and losses recognised in OCI for equity financial assets must not be subsequently transferred to profit or loss. However, the entity may transfer the cumulative gain or loss within equity. The Group may transfer accumulated gain on its equity financial assets from OCI to retained earnings upon derecognition of the financial asset.</w:t>
            </w:r>
          </w:p>
        </w:tc>
      </w:tr>
    </w:tbl>
    <w:p w14:paraId="1E2F6EA8" w14:textId="77777777" w:rsidR="00D06181" w:rsidRPr="00E70587" w:rsidRDefault="00D06181" w:rsidP="001B02FA">
      <w:pPr>
        <w:spacing w:line="280" w:lineRule="exact"/>
        <w:rPr>
          <w:rFonts w:ascii="Arial" w:hAnsi="Arial" w:cs="Arial"/>
          <w:sz w:val="20"/>
        </w:rPr>
      </w:pPr>
    </w:p>
    <w:p w14:paraId="1CB4D456" w14:textId="77777777" w:rsidR="00753410" w:rsidRPr="00E70587" w:rsidRDefault="00753410" w:rsidP="0060778E">
      <w:pPr>
        <w:rPr>
          <w:rFonts w:ascii="Arial" w:hAnsi="Arial" w:cs="Arial"/>
          <w:sz w:val="24"/>
          <w:szCs w:val="24"/>
        </w:rPr>
        <w:sectPr w:rsidR="00753410" w:rsidRPr="00E70587" w:rsidSect="00C820CA">
          <w:headerReference w:type="even" r:id="rId20"/>
          <w:headerReference w:type="default" r:id="rId21"/>
          <w:footerReference w:type="even" r:id="rId22"/>
          <w:footerReference w:type="default" r:id="rId23"/>
          <w:headerReference w:type="first" r:id="rId24"/>
          <w:footerReference w:type="first" r:id="rId25"/>
          <w:pgSz w:w="23818" w:h="16834" w:orient="landscape" w:code="8"/>
          <w:pgMar w:top="864" w:right="1253" w:bottom="864" w:left="1296" w:header="432" w:footer="432" w:gutter="0"/>
          <w:cols w:space="766"/>
          <w:titlePg/>
        </w:sectPr>
      </w:pPr>
    </w:p>
    <w:tbl>
      <w:tblPr>
        <w:tblW w:w="9576" w:type="dxa"/>
        <w:tblLayout w:type="fixed"/>
        <w:tblLook w:val="01E0" w:firstRow="1" w:lastRow="1" w:firstColumn="1" w:lastColumn="1" w:noHBand="0" w:noVBand="0"/>
      </w:tblPr>
      <w:tblGrid>
        <w:gridCol w:w="5107"/>
        <w:gridCol w:w="23"/>
        <w:gridCol w:w="889"/>
        <w:gridCol w:w="11"/>
        <w:gridCol w:w="1722"/>
        <w:gridCol w:w="6"/>
        <w:gridCol w:w="1782"/>
        <w:gridCol w:w="36"/>
      </w:tblGrid>
      <w:tr w:rsidR="00EE29F0" w:rsidRPr="00E70587" w14:paraId="59174EF0" w14:textId="77777777" w:rsidTr="00C60489">
        <w:trPr>
          <w:trHeight w:val="218"/>
          <w:tblHeader/>
        </w:trPr>
        <w:tc>
          <w:tcPr>
            <w:tcW w:w="5107" w:type="dxa"/>
            <w:shd w:val="clear" w:color="auto" w:fill="auto"/>
          </w:tcPr>
          <w:p w14:paraId="6042AEA6" w14:textId="77777777" w:rsidR="00EE29F0" w:rsidRPr="00E70587" w:rsidRDefault="00EE29F0" w:rsidP="0029221C">
            <w:pPr>
              <w:pStyle w:val="000Normal"/>
              <w:spacing w:before="0" w:after="0" w:line="280" w:lineRule="exact"/>
              <w:rPr>
                <w:rFonts w:ascii="Arial" w:hAnsi="Arial" w:cs="Arial"/>
                <w:sz w:val="20"/>
              </w:rPr>
            </w:pPr>
          </w:p>
        </w:tc>
        <w:tc>
          <w:tcPr>
            <w:tcW w:w="912" w:type="dxa"/>
            <w:gridSpan w:val="2"/>
            <w:shd w:val="clear" w:color="auto" w:fill="auto"/>
          </w:tcPr>
          <w:p w14:paraId="7932F41D" w14:textId="77777777" w:rsidR="00EE29F0" w:rsidRPr="00E70587" w:rsidRDefault="00EE29F0" w:rsidP="00316BDD">
            <w:pPr>
              <w:pStyle w:val="000Normal"/>
              <w:spacing w:before="0" w:after="0" w:line="280" w:lineRule="exact"/>
              <w:jc w:val="center"/>
              <w:rPr>
                <w:rFonts w:ascii="Arial" w:hAnsi="Arial" w:cs="Arial"/>
                <w:sz w:val="20"/>
              </w:rPr>
            </w:pPr>
          </w:p>
        </w:tc>
        <w:tc>
          <w:tcPr>
            <w:tcW w:w="1733" w:type="dxa"/>
            <w:gridSpan w:val="2"/>
            <w:shd w:val="clear" w:color="auto" w:fill="auto"/>
            <w:vAlign w:val="bottom"/>
          </w:tcPr>
          <w:p w14:paraId="32CBE643" w14:textId="145A4F8C" w:rsidR="00EE29F0" w:rsidRPr="00E70587" w:rsidRDefault="00EE29F0" w:rsidP="0029221C">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4F33A1" w:rsidRPr="00E70587">
              <w:rPr>
                <w:rFonts w:ascii="Arial" w:hAnsi="Arial"/>
                <w:color w:val="auto"/>
                <w:sz w:val="20"/>
                <w:szCs w:val="20"/>
                <w:lang w:val="en-IN"/>
              </w:rPr>
              <w:t>20</w:t>
            </w:r>
            <w:r w:rsidR="004F33A1">
              <w:rPr>
                <w:rFonts w:ascii="Arial" w:hAnsi="Arial"/>
                <w:color w:val="auto"/>
                <w:sz w:val="20"/>
                <w:szCs w:val="20"/>
                <w:lang w:val="en-IN"/>
              </w:rPr>
              <w:t>21</w:t>
            </w:r>
          </w:p>
        </w:tc>
        <w:tc>
          <w:tcPr>
            <w:tcW w:w="1824" w:type="dxa"/>
            <w:gridSpan w:val="3"/>
            <w:shd w:val="clear" w:color="auto" w:fill="auto"/>
            <w:vAlign w:val="bottom"/>
          </w:tcPr>
          <w:p w14:paraId="534D5734" w14:textId="67AA68FA" w:rsidR="00EE29F0" w:rsidRPr="00E70587" w:rsidRDefault="00EE29F0" w:rsidP="0029221C">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4F33A1" w:rsidRPr="00E70587">
              <w:rPr>
                <w:rFonts w:ascii="Arial" w:hAnsi="Arial"/>
                <w:color w:val="auto"/>
                <w:sz w:val="20"/>
                <w:szCs w:val="20"/>
                <w:lang w:val="en-IN"/>
              </w:rPr>
              <w:t>20</w:t>
            </w:r>
            <w:r w:rsidR="004F33A1">
              <w:rPr>
                <w:rFonts w:ascii="Arial" w:hAnsi="Arial"/>
                <w:color w:val="auto"/>
                <w:sz w:val="20"/>
                <w:szCs w:val="20"/>
                <w:lang w:val="en-IN"/>
              </w:rPr>
              <w:t>20</w:t>
            </w:r>
          </w:p>
        </w:tc>
      </w:tr>
      <w:tr w:rsidR="00EE29F0" w:rsidRPr="00E70587" w14:paraId="1FE05723" w14:textId="77777777" w:rsidTr="00C60489">
        <w:trPr>
          <w:trHeight w:val="218"/>
          <w:tblHeader/>
        </w:trPr>
        <w:tc>
          <w:tcPr>
            <w:tcW w:w="5107" w:type="dxa"/>
          </w:tcPr>
          <w:p w14:paraId="6E3C405A" w14:textId="77777777" w:rsidR="00EE29F0" w:rsidRPr="00E70587" w:rsidRDefault="00EE29F0" w:rsidP="0029221C">
            <w:pPr>
              <w:pStyle w:val="000Normal"/>
              <w:spacing w:before="0" w:after="0" w:line="280" w:lineRule="exact"/>
              <w:rPr>
                <w:rFonts w:ascii="Arial" w:hAnsi="Arial" w:cs="Arial"/>
                <w:sz w:val="20"/>
              </w:rPr>
            </w:pPr>
          </w:p>
        </w:tc>
        <w:tc>
          <w:tcPr>
            <w:tcW w:w="912" w:type="dxa"/>
            <w:gridSpan w:val="2"/>
          </w:tcPr>
          <w:p w14:paraId="187D9D81" w14:textId="77777777" w:rsidR="00EE29F0" w:rsidRPr="00E70587" w:rsidRDefault="00EE29F0" w:rsidP="00316BDD">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Notes</w:t>
            </w:r>
          </w:p>
        </w:tc>
        <w:tc>
          <w:tcPr>
            <w:tcW w:w="1733" w:type="dxa"/>
            <w:gridSpan w:val="2"/>
            <w:tcBorders>
              <w:top w:val="single" w:sz="4" w:space="0" w:color="auto"/>
            </w:tcBorders>
          </w:tcPr>
          <w:p w14:paraId="26102B6A" w14:textId="41AFA83F" w:rsidR="00EE29F0" w:rsidRPr="00E70587" w:rsidRDefault="00EE29F0" w:rsidP="0029221C">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INR </w:t>
            </w:r>
            <w:r w:rsidR="006624AC">
              <w:rPr>
                <w:rFonts w:ascii="Arial" w:hAnsi="Arial"/>
                <w:color w:val="auto"/>
                <w:sz w:val="20"/>
                <w:szCs w:val="20"/>
                <w:lang w:val="en-IN"/>
              </w:rPr>
              <w:t>l</w:t>
            </w:r>
            <w:r w:rsidRPr="00DA0834">
              <w:rPr>
                <w:rFonts w:ascii="Arial" w:hAnsi="Arial"/>
                <w:color w:val="auto"/>
                <w:sz w:val="20"/>
                <w:szCs w:val="20"/>
                <w:lang w:val="en-IN"/>
              </w:rPr>
              <w:t>a</w:t>
            </w:r>
            <w:r w:rsidR="007C74AF">
              <w:rPr>
                <w:rFonts w:ascii="Arial" w:hAnsi="Arial"/>
                <w:sz w:val="20"/>
                <w:lang w:eastAsia="en-IN"/>
              </w:rPr>
              <w:t>c</w:t>
            </w:r>
            <w:r w:rsidRPr="00DA0834">
              <w:rPr>
                <w:rFonts w:ascii="Arial" w:hAnsi="Arial"/>
                <w:color w:val="auto"/>
                <w:sz w:val="20"/>
                <w:szCs w:val="20"/>
                <w:lang w:val="en-IN"/>
              </w:rPr>
              <w:t>s</w:t>
            </w:r>
          </w:p>
        </w:tc>
        <w:tc>
          <w:tcPr>
            <w:tcW w:w="1824" w:type="dxa"/>
            <w:gridSpan w:val="3"/>
            <w:tcBorders>
              <w:top w:val="single" w:sz="4" w:space="0" w:color="auto"/>
            </w:tcBorders>
          </w:tcPr>
          <w:p w14:paraId="555E5B45" w14:textId="0AD646F7" w:rsidR="00EE29F0" w:rsidRPr="00E70587" w:rsidRDefault="00EE29F0" w:rsidP="0029221C">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INR </w:t>
            </w:r>
            <w:r w:rsidR="007C74AF">
              <w:rPr>
                <w:rFonts w:ascii="Arial" w:hAnsi="Arial"/>
                <w:color w:val="auto"/>
                <w:sz w:val="20"/>
                <w:szCs w:val="20"/>
                <w:lang w:val="en-IN"/>
              </w:rPr>
              <w:t>lacs</w:t>
            </w:r>
          </w:p>
        </w:tc>
      </w:tr>
      <w:tr w:rsidR="00EE29F0" w:rsidRPr="00E70587" w14:paraId="00B0EDAD" w14:textId="77777777" w:rsidTr="00C60489">
        <w:trPr>
          <w:trHeight w:val="234"/>
        </w:trPr>
        <w:tc>
          <w:tcPr>
            <w:tcW w:w="5107" w:type="dxa"/>
            <w:shd w:val="clear" w:color="auto" w:fill="auto"/>
          </w:tcPr>
          <w:p w14:paraId="7C7B90DC" w14:textId="77777777" w:rsidR="00EE29F0" w:rsidRPr="00E70587" w:rsidRDefault="00EE29F0" w:rsidP="0029221C">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Operating activities</w:t>
            </w:r>
          </w:p>
        </w:tc>
        <w:tc>
          <w:tcPr>
            <w:tcW w:w="912" w:type="dxa"/>
            <w:gridSpan w:val="2"/>
            <w:shd w:val="clear" w:color="auto" w:fill="auto"/>
          </w:tcPr>
          <w:p w14:paraId="2B713C23" w14:textId="77777777" w:rsidR="00EE29F0" w:rsidRPr="00E70587" w:rsidRDefault="00EE29F0" w:rsidP="00316BDD">
            <w:pPr>
              <w:pStyle w:val="000Normal"/>
              <w:spacing w:before="0" w:after="0" w:line="280" w:lineRule="exact"/>
              <w:jc w:val="center"/>
              <w:rPr>
                <w:rFonts w:ascii="Arial" w:hAnsi="Arial" w:cs="Arial"/>
                <w:sz w:val="20"/>
              </w:rPr>
            </w:pPr>
          </w:p>
        </w:tc>
        <w:tc>
          <w:tcPr>
            <w:tcW w:w="1733" w:type="dxa"/>
            <w:gridSpan w:val="2"/>
            <w:shd w:val="clear" w:color="auto" w:fill="auto"/>
          </w:tcPr>
          <w:p w14:paraId="321CDA11" w14:textId="77777777" w:rsidR="00EE29F0" w:rsidRPr="00E70587" w:rsidRDefault="00EE29F0" w:rsidP="0029221C">
            <w:pPr>
              <w:pStyle w:val="000Normal"/>
              <w:spacing w:before="0" w:after="0" w:line="280" w:lineRule="exact"/>
              <w:jc w:val="right"/>
              <w:rPr>
                <w:rFonts w:ascii="Arial" w:hAnsi="Arial" w:cs="Arial"/>
                <w:sz w:val="20"/>
              </w:rPr>
            </w:pPr>
          </w:p>
        </w:tc>
        <w:tc>
          <w:tcPr>
            <w:tcW w:w="1824" w:type="dxa"/>
            <w:gridSpan w:val="3"/>
            <w:shd w:val="clear" w:color="auto" w:fill="auto"/>
          </w:tcPr>
          <w:p w14:paraId="17E67F5E" w14:textId="77777777" w:rsidR="00EE29F0" w:rsidRPr="00E70587" w:rsidRDefault="00EE29F0" w:rsidP="0029221C">
            <w:pPr>
              <w:pStyle w:val="000Normal"/>
              <w:spacing w:before="0" w:after="0" w:line="280" w:lineRule="exact"/>
              <w:jc w:val="right"/>
              <w:rPr>
                <w:rFonts w:ascii="Arial" w:hAnsi="Arial" w:cs="Arial"/>
                <w:sz w:val="20"/>
              </w:rPr>
            </w:pPr>
          </w:p>
        </w:tc>
      </w:tr>
      <w:tr w:rsidR="00EE29F0" w:rsidRPr="00E70587" w14:paraId="787CAC12" w14:textId="77777777" w:rsidTr="00C60489">
        <w:trPr>
          <w:trHeight w:val="218"/>
        </w:trPr>
        <w:tc>
          <w:tcPr>
            <w:tcW w:w="5107" w:type="dxa"/>
            <w:vAlign w:val="center"/>
          </w:tcPr>
          <w:p w14:paraId="1E9AC5FD" w14:textId="77777777" w:rsidR="00EE29F0" w:rsidRPr="00E70587" w:rsidRDefault="00EE29F0" w:rsidP="002922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Profit before tax from continuing operations</w:t>
            </w:r>
          </w:p>
        </w:tc>
        <w:tc>
          <w:tcPr>
            <w:tcW w:w="912" w:type="dxa"/>
            <w:gridSpan w:val="2"/>
            <w:vAlign w:val="bottom"/>
          </w:tcPr>
          <w:p w14:paraId="32AA40F8"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vAlign w:val="bottom"/>
          </w:tcPr>
          <w:p w14:paraId="488B4911" w14:textId="77777777" w:rsidR="00EE29F0" w:rsidRPr="00E70587" w:rsidRDefault="00EE29F0" w:rsidP="00E401EE">
            <w:pPr>
              <w:spacing w:line="280" w:lineRule="exact"/>
              <w:jc w:val="right"/>
              <w:rPr>
                <w:rFonts w:ascii="Arial" w:hAnsi="Arial" w:cs="Arial"/>
                <w:b/>
                <w:bCs/>
                <w:sz w:val="20"/>
              </w:rPr>
            </w:pPr>
            <w:r w:rsidRPr="00E70587">
              <w:rPr>
                <w:rFonts w:ascii="Arial" w:hAnsi="Arial" w:cs="Arial"/>
                <w:b/>
                <w:bCs/>
                <w:sz w:val="20"/>
              </w:rPr>
              <w:t>19,</w:t>
            </w:r>
            <w:r w:rsidR="00E401EE" w:rsidRPr="00E70587">
              <w:rPr>
                <w:rFonts w:ascii="Arial" w:hAnsi="Arial" w:cs="Arial"/>
                <w:b/>
                <w:bCs/>
                <w:sz w:val="20"/>
              </w:rPr>
              <w:t>996</w:t>
            </w:r>
          </w:p>
        </w:tc>
        <w:tc>
          <w:tcPr>
            <w:tcW w:w="1824" w:type="dxa"/>
            <w:gridSpan w:val="3"/>
            <w:vAlign w:val="bottom"/>
          </w:tcPr>
          <w:p w14:paraId="227EE0A4" w14:textId="77777777" w:rsidR="00EE29F0" w:rsidRPr="00E70587" w:rsidRDefault="00BB14E5" w:rsidP="00BB14E5">
            <w:pPr>
              <w:spacing w:line="280" w:lineRule="exact"/>
              <w:jc w:val="right"/>
              <w:rPr>
                <w:rFonts w:ascii="Arial" w:hAnsi="Arial" w:cs="Arial"/>
                <w:b/>
                <w:bCs/>
                <w:sz w:val="20"/>
              </w:rPr>
            </w:pPr>
            <w:r w:rsidRPr="00E70587">
              <w:rPr>
                <w:rFonts w:ascii="Arial" w:hAnsi="Arial" w:cs="Arial"/>
                <w:b/>
                <w:bCs/>
                <w:sz w:val="20"/>
              </w:rPr>
              <w:t>14</w:t>
            </w:r>
            <w:r w:rsidR="00EE29F0" w:rsidRPr="00E70587">
              <w:rPr>
                <w:rFonts w:ascii="Arial" w:hAnsi="Arial" w:cs="Arial"/>
                <w:b/>
                <w:bCs/>
                <w:sz w:val="20"/>
              </w:rPr>
              <w:t>,</w:t>
            </w:r>
            <w:r w:rsidRPr="00E70587">
              <w:rPr>
                <w:rFonts w:ascii="Arial" w:hAnsi="Arial" w:cs="Arial"/>
                <w:b/>
                <w:bCs/>
                <w:sz w:val="20"/>
              </w:rPr>
              <w:t>649</w:t>
            </w:r>
          </w:p>
        </w:tc>
      </w:tr>
      <w:tr w:rsidR="00EE29F0" w:rsidRPr="00E70587" w14:paraId="0304B7E7" w14:textId="77777777" w:rsidTr="00C60489">
        <w:trPr>
          <w:trHeight w:val="218"/>
        </w:trPr>
        <w:tc>
          <w:tcPr>
            <w:tcW w:w="5107" w:type="dxa"/>
            <w:vAlign w:val="center"/>
          </w:tcPr>
          <w:p w14:paraId="61E22D17" w14:textId="77777777" w:rsidR="00EE29F0" w:rsidRPr="00E70587" w:rsidRDefault="00EE29F0" w:rsidP="002922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Profit/(loss) before tax from discontinued operations</w:t>
            </w:r>
          </w:p>
        </w:tc>
        <w:tc>
          <w:tcPr>
            <w:tcW w:w="912" w:type="dxa"/>
            <w:gridSpan w:val="2"/>
            <w:vAlign w:val="center"/>
          </w:tcPr>
          <w:p w14:paraId="3CE8C39E"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21</w:t>
            </w:r>
          </w:p>
        </w:tc>
        <w:tc>
          <w:tcPr>
            <w:tcW w:w="1733" w:type="dxa"/>
            <w:gridSpan w:val="2"/>
            <w:tcBorders>
              <w:bottom w:val="single" w:sz="4" w:space="0" w:color="auto"/>
            </w:tcBorders>
            <w:vAlign w:val="bottom"/>
          </w:tcPr>
          <w:p w14:paraId="48A54C54"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383</w:t>
            </w:r>
          </w:p>
        </w:tc>
        <w:tc>
          <w:tcPr>
            <w:tcW w:w="1824" w:type="dxa"/>
            <w:gridSpan w:val="3"/>
            <w:tcBorders>
              <w:bottom w:val="single" w:sz="4" w:space="0" w:color="auto"/>
            </w:tcBorders>
            <w:tcMar>
              <w:right w:w="57" w:type="dxa"/>
            </w:tcMar>
            <w:vAlign w:val="bottom"/>
          </w:tcPr>
          <w:p w14:paraId="086E1ABF"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(347)</w:t>
            </w:r>
          </w:p>
        </w:tc>
      </w:tr>
      <w:tr w:rsidR="00EE29F0" w:rsidRPr="00E70587" w14:paraId="65E44739" w14:textId="77777777" w:rsidTr="00C60489">
        <w:trPr>
          <w:trHeight w:val="218"/>
        </w:trPr>
        <w:tc>
          <w:tcPr>
            <w:tcW w:w="5107" w:type="dxa"/>
            <w:vAlign w:val="center"/>
          </w:tcPr>
          <w:p w14:paraId="670FDA54" w14:textId="77777777" w:rsidR="00EE29F0" w:rsidRPr="00E70587" w:rsidRDefault="00EE29F0" w:rsidP="0029221C">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Profit before tax</w:t>
            </w:r>
          </w:p>
        </w:tc>
        <w:tc>
          <w:tcPr>
            <w:tcW w:w="912" w:type="dxa"/>
            <w:gridSpan w:val="2"/>
            <w:vAlign w:val="center"/>
          </w:tcPr>
          <w:p w14:paraId="6637B84F"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b/>
                <w:sz w:val="20"/>
                <w:lang w:val="en-IN"/>
              </w:rPr>
            </w:pPr>
          </w:p>
        </w:tc>
        <w:tc>
          <w:tcPr>
            <w:tcW w:w="1733" w:type="dxa"/>
            <w:gridSpan w:val="2"/>
            <w:tcBorders>
              <w:top w:val="single" w:sz="4" w:space="0" w:color="auto"/>
            </w:tcBorders>
            <w:vAlign w:val="bottom"/>
          </w:tcPr>
          <w:p w14:paraId="02A69FD8" w14:textId="77777777" w:rsidR="00EE29F0" w:rsidRPr="00E70587" w:rsidRDefault="00EE29F0" w:rsidP="00E401EE">
            <w:pPr>
              <w:spacing w:line="280" w:lineRule="exact"/>
              <w:jc w:val="right"/>
              <w:rPr>
                <w:rFonts w:ascii="Arial" w:hAnsi="Arial" w:cs="Arial"/>
                <w:b/>
                <w:sz w:val="20"/>
              </w:rPr>
            </w:pPr>
            <w:r w:rsidRPr="00E70587">
              <w:rPr>
                <w:rFonts w:ascii="Arial" w:hAnsi="Arial" w:cs="Arial"/>
                <w:b/>
                <w:sz w:val="20"/>
              </w:rPr>
              <w:t>20,</w:t>
            </w:r>
            <w:r w:rsidR="00E401EE" w:rsidRPr="00E70587">
              <w:rPr>
                <w:rFonts w:ascii="Arial" w:hAnsi="Arial" w:cs="Arial"/>
                <w:b/>
                <w:sz w:val="20"/>
              </w:rPr>
              <w:t>379</w:t>
            </w:r>
          </w:p>
        </w:tc>
        <w:tc>
          <w:tcPr>
            <w:tcW w:w="1824" w:type="dxa"/>
            <w:gridSpan w:val="3"/>
            <w:tcBorders>
              <w:top w:val="single" w:sz="4" w:space="0" w:color="auto"/>
            </w:tcBorders>
            <w:vAlign w:val="bottom"/>
          </w:tcPr>
          <w:p w14:paraId="4D4EDF95" w14:textId="77777777" w:rsidR="00EE29F0" w:rsidRPr="00E70587" w:rsidRDefault="00BB14E5" w:rsidP="00BB14E5">
            <w:pPr>
              <w:spacing w:line="280" w:lineRule="exact"/>
              <w:jc w:val="right"/>
              <w:rPr>
                <w:rFonts w:ascii="Arial" w:hAnsi="Arial" w:cs="Arial"/>
                <w:b/>
                <w:sz w:val="20"/>
              </w:rPr>
            </w:pPr>
            <w:r w:rsidRPr="00E70587">
              <w:rPr>
                <w:rFonts w:ascii="Arial" w:hAnsi="Arial" w:cs="Arial"/>
                <w:b/>
                <w:sz w:val="20"/>
              </w:rPr>
              <w:t>14</w:t>
            </w:r>
            <w:r w:rsidR="00EE29F0" w:rsidRPr="00E70587">
              <w:rPr>
                <w:rFonts w:ascii="Arial" w:hAnsi="Arial" w:cs="Arial"/>
                <w:b/>
                <w:sz w:val="20"/>
              </w:rPr>
              <w:t>,</w:t>
            </w:r>
            <w:r w:rsidRPr="00E70587">
              <w:rPr>
                <w:rFonts w:ascii="Arial" w:hAnsi="Arial" w:cs="Arial"/>
                <w:b/>
                <w:sz w:val="20"/>
              </w:rPr>
              <w:t>302</w:t>
            </w:r>
          </w:p>
        </w:tc>
      </w:tr>
      <w:tr w:rsidR="00EE29F0" w:rsidRPr="00E70587" w14:paraId="79628C3D" w14:textId="77777777" w:rsidTr="00C60489">
        <w:trPr>
          <w:trHeight w:val="453"/>
        </w:trPr>
        <w:tc>
          <w:tcPr>
            <w:tcW w:w="5107" w:type="dxa"/>
            <w:vAlign w:val="center"/>
          </w:tcPr>
          <w:p w14:paraId="018D3C5D" w14:textId="77777777" w:rsidR="00EE29F0" w:rsidRPr="00E70587" w:rsidRDefault="00EE29F0" w:rsidP="0029221C">
            <w:pPr>
              <w:pStyle w:val="tabletext"/>
              <w:overflowPunct w:val="0"/>
              <w:autoSpaceDE w:val="0"/>
              <w:autoSpaceDN w:val="0"/>
              <w:adjustRightInd w:val="0"/>
              <w:spacing w:line="280" w:lineRule="exact"/>
              <w:textAlignment w:val="baseline"/>
              <w:rPr>
                <w:rFonts w:ascii="Arial" w:hAnsi="Arial" w:cs="Arial"/>
                <w:i/>
                <w:sz w:val="20"/>
                <w:lang w:val="en-IN"/>
              </w:rPr>
            </w:pPr>
            <w:r w:rsidRPr="00E70587">
              <w:rPr>
                <w:rFonts w:ascii="Arial" w:hAnsi="Arial" w:cs="Arial"/>
                <w:i/>
                <w:sz w:val="20"/>
                <w:lang w:val="en-IN"/>
              </w:rPr>
              <w:t>Adjustments to reconcile profit before tax to net cash flows:</w:t>
            </w:r>
          </w:p>
        </w:tc>
        <w:tc>
          <w:tcPr>
            <w:tcW w:w="912" w:type="dxa"/>
            <w:gridSpan w:val="2"/>
            <w:vAlign w:val="center"/>
          </w:tcPr>
          <w:p w14:paraId="2251696B"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vAlign w:val="bottom"/>
          </w:tcPr>
          <w:p w14:paraId="2845F91A" w14:textId="77777777" w:rsidR="00EE29F0" w:rsidRPr="00E70587" w:rsidRDefault="00EE29F0" w:rsidP="0029221C">
            <w:pPr>
              <w:spacing w:line="280" w:lineRule="exact"/>
              <w:jc w:val="right"/>
              <w:rPr>
                <w:rFonts w:ascii="Arial" w:hAnsi="Arial" w:cs="Arial"/>
                <w:sz w:val="20"/>
              </w:rPr>
            </w:pPr>
          </w:p>
        </w:tc>
        <w:tc>
          <w:tcPr>
            <w:tcW w:w="1824" w:type="dxa"/>
            <w:gridSpan w:val="3"/>
            <w:vAlign w:val="bottom"/>
          </w:tcPr>
          <w:p w14:paraId="1F722783" w14:textId="77777777" w:rsidR="00EE29F0" w:rsidRPr="00E70587" w:rsidRDefault="00EE29F0" w:rsidP="0029221C">
            <w:pPr>
              <w:spacing w:line="280" w:lineRule="exact"/>
              <w:jc w:val="right"/>
              <w:rPr>
                <w:rFonts w:ascii="Arial" w:hAnsi="Arial" w:cs="Arial"/>
                <w:sz w:val="20"/>
              </w:rPr>
            </w:pPr>
          </w:p>
        </w:tc>
      </w:tr>
      <w:tr w:rsidR="00EE29F0" w:rsidRPr="00E70587" w14:paraId="2A02F158" w14:textId="77777777" w:rsidTr="00C60489">
        <w:trPr>
          <w:trHeight w:val="453"/>
        </w:trPr>
        <w:tc>
          <w:tcPr>
            <w:tcW w:w="5107" w:type="dxa"/>
            <w:vAlign w:val="center"/>
          </w:tcPr>
          <w:p w14:paraId="54AAF8D5" w14:textId="48A16C50" w:rsidR="00EE29F0" w:rsidRPr="00E70587" w:rsidRDefault="00EE29F0" w:rsidP="0029221C">
            <w:pPr>
              <w:pStyle w:val="tabletext"/>
              <w:tabs>
                <w:tab w:val="left" w:pos="284"/>
              </w:tabs>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 xml:space="preserve">Depreciation and impairment of property, plant </w:t>
            </w:r>
            <w:r w:rsidRPr="00E70587">
              <w:rPr>
                <w:rFonts w:ascii="Arial" w:hAnsi="Arial" w:cs="Arial"/>
                <w:sz w:val="20"/>
                <w:lang w:val="en-IN"/>
              </w:rPr>
              <w:br/>
              <w:t>and equipment</w:t>
            </w:r>
            <w:r w:rsidR="00891AF9">
              <w:rPr>
                <w:rFonts w:ascii="Arial" w:hAnsi="Arial" w:cs="Arial"/>
                <w:sz w:val="20"/>
                <w:lang w:val="en-IN"/>
              </w:rPr>
              <w:t xml:space="preserve"> and right-of-use assets</w:t>
            </w:r>
          </w:p>
        </w:tc>
        <w:tc>
          <w:tcPr>
            <w:tcW w:w="912" w:type="dxa"/>
            <w:gridSpan w:val="2"/>
            <w:vAlign w:val="center"/>
          </w:tcPr>
          <w:p w14:paraId="3E18DE91" w14:textId="5523F60D"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3</w:t>
            </w:r>
            <w:r w:rsidR="00A06F3E">
              <w:rPr>
                <w:rFonts w:ascii="Arial" w:hAnsi="Arial" w:cs="Arial"/>
                <w:color w:val="000000"/>
                <w:sz w:val="20"/>
                <w:lang w:val="en-IN"/>
              </w:rPr>
              <w:t>, 42</w:t>
            </w:r>
          </w:p>
        </w:tc>
        <w:tc>
          <w:tcPr>
            <w:tcW w:w="1733" w:type="dxa"/>
            <w:gridSpan w:val="2"/>
            <w:vAlign w:val="bottom"/>
          </w:tcPr>
          <w:p w14:paraId="5B1F3CB0" w14:textId="596D2F8C" w:rsidR="00EE29F0" w:rsidRPr="00E70587" w:rsidRDefault="00EE29F0" w:rsidP="0029221C">
            <w:pPr>
              <w:spacing w:line="280" w:lineRule="exact"/>
              <w:jc w:val="right"/>
              <w:rPr>
                <w:rFonts w:ascii="Arial" w:hAnsi="Arial" w:cs="Arial"/>
                <w:sz w:val="20"/>
              </w:rPr>
            </w:pPr>
            <w:r w:rsidRPr="00E70587">
              <w:rPr>
                <w:rFonts w:ascii="Arial" w:hAnsi="Arial" w:cs="Arial"/>
                <w:sz w:val="20"/>
              </w:rPr>
              <w:t>7,</w:t>
            </w:r>
            <w:r w:rsidR="00453EF8">
              <w:rPr>
                <w:rFonts w:ascii="Arial" w:hAnsi="Arial" w:cs="Arial"/>
                <w:sz w:val="20"/>
              </w:rPr>
              <w:t>814</w:t>
            </w:r>
          </w:p>
        </w:tc>
        <w:tc>
          <w:tcPr>
            <w:tcW w:w="1824" w:type="dxa"/>
            <w:gridSpan w:val="3"/>
            <w:vAlign w:val="bottom"/>
          </w:tcPr>
          <w:p w14:paraId="586807E0" w14:textId="4CC5E214" w:rsidR="00EE29F0" w:rsidRPr="00E70587" w:rsidRDefault="00453EF8" w:rsidP="0029221C">
            <w:pPr>
              <w:spacing w:line="280" w:lineRule="exact"/>
              <w:jc w:val="right"/>
              <w:rPr>
                <w:rFonts w:ascii="Arial" w:hAnsi="Arial" w:cs="Arial"/>
                <w:sz w:val="20"/>
              </w:rPr>
            </w:pPr>
            <w:r>
              <w:rPr>
                <w:rFonts w:ascii="Arial" w:hAnsi="Arial" w:cs="Arial"/>
                <w:sz w:val="20"/>
              </w:rPr>
              <w:t>6,829</w:t>
            </w:r>
          </w:p>
        </w:tc>
      </w:tr>
      <w:tr w:rsidR="00EE29F0" w:rsidRPr="00E70587" w14:paraId="5D554D01" w14:textId="77777777" w:rsidTr="00C60489">
        <w:trPr>
          <w:trHeight w:val="218"/>
        </w:trPr>
        <w:tc>
          <w:tcPr>
            <w:tcW w:w="5107" w:type="dxa"/>
            <w:vAlign w:val="center"/>
          </w:tcPr>
          <w:p w14:paraId="4DF1960F" w14:textId="77777777" w:rsidR="00EE29F0" w:rsidRPr="00E70587" w:rsidRDefault="00EE29F0" w:rsidP="0029221C">
            <w:pPr>
              <w:pStyle w:val="tabletext"/>
              <w:tabs>
                <w:tab w:val="left" w:pos="284"/>
              </w:tabs>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Amortisation and impairment of intangible assets</w:t>
            </w:r>
          </w:p>
        </w:tc>
        <w:tc>
          <w:tcPr>
            <w:tcW w:w="912" w:type="dxa"/>
            <w:gridSpan w:val="2"/>
            <w:vAlign w:val="center"/>
          </w:tcPr>
          <w:p w14:paraId="4816962A"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5</w:t>
            </w:r>
          </w:p>
        </w:tc>
        <w:tc>
          <w:tcPr>
            <w:tcW w:w="1733" w:type="dxa"/>
            <w:gridSpan w:val="2"/>
            <w:vAlign w:val="bottom"/>
          </w:tcPr>
          <w:p w14:paraId="258BA57F"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585</w:t>
            </w:r>
          </w:p>
        </w:tc>
        <w:tc>
          <w:tcPr>
            <w:tcW w:w="1824" w:type="dxa"/>
            <w:gridSpan w:val="3"/>
            <w:vAlign w:val="bottom"/>
          </w:tcPr>
          <w:p w14:paraId="7958C39D"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313</w:t>
            </w:r>
          </w:p>
        </w:tc>
      </w:tr>
      <w:tr w:rsidR="00EE29F0" w:rsidRPr="00E70587" w14:paraId="7BCFBA5D" w14:textId="77777777" w:rsidTr="00C60489">
        <w:trPr>
          <w:trHeight w:val="218"/>
        </w:trPr>
        <w:tc>
          <w:tcPr>
            <w:tcW w:w="5107" w:type="dxa"/>
            <w:vAlign w:val="center"/>
          </w:tcPr>
          <w:p w14:paraId="2C77F9A7" w14:textId="77777777" w:rsidR="00EE29F0" w:rsidRPr="00E70587" w:rsidRDefault="00EE29F0" w:rsidP="0029221C">
            <w:pPr>
              <w:pStyle w:val="tabletext"/>
              <w:tabs>
                <w:tab w:val="left" w:pos="284"/>
              </w:tabs>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Depreciation of investment properties</w:t>
            </w:r>
          </w:p>
        </w:tc>
        <w:tc>
          <w:tcPr>
            <w:tcW w:w="912" w:type="dxa"/>
            <w:gridSpan w:val="2"/>
            <w:vAlign w:val="center"/>
          </w:tcPr>
          <w:p w14:paraId="11B150CA"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4</w:t>
            </w:r>
          </w:p>
        </w:tc>
        <w:tc>
          <w:tcPr>
            <w:tcW w:w="1733" w:type="dxa"/>
            <w:gridSpan w:val="2"/>
            <w:vAlign w:val="bottom"/>
          </w:tcPr>
          <w:p w14:paraId="5A75160B"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551</w:t>
            </w:r>
          </w:p>
        </w:tc>
        <w:tc>
          <w:tcPr>
            <w:tcW w:w="1824" w:type="dxa"/>
            <w:gridSpan w:val="3"/>
            <w:vAlign w:val="bottom"/>
          </w:tcPr>
          <w:p w14:paraId="58DB9AD5"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540</w:t>
            </w:r>
          </w:p>
        </w:tc>
      </w:tr>
      <w:tr w:rsidR="00EE29F0" w:rsidRPr="00E70587" w14:paraId="165317D0" w14:textId="77777777" w:rsidTr="00C60489">
        <w:trPr>
          <w:trHeight w:val="453"/>
        </w:trPr>
        <w:tc>
          <w:tcPr>
            <w:tcW w:w="5107" w:type="dxa"/>
            <w:vAlign w:val="center"/>
          </w:tcPr>
          <w:p w14:paraId="6B2D6B95" w14:textId="77777777" w:rsidR="00EE29F0" w:rsidRPr="00E70587" w:rsidRDefault="00EE29F0" w:rsidP="0029221C">
            <w:pPr>
              <w:pStyle w:val="tabletext"/>
              <w:tabs>
                <w:tab w:val="left" w:pos="284"/>
              </w:tabs>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Contribution of property, plant and equipment by customers</w:t>
            </w:r>
          </w:p>
        </w:tc>
        <w:tc>
          <w:tcPr>
            <w:tcW w:w="912" w:type="dxa"/>
            <w:gridSpan w:val="2"/>
            <w:vAlign w:val="center"/>
          </w:tcPr>
          <w:p w14:paraId="48851F40"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3</w:t>
            </w:r>
          </w:p>
        </w:tc>
        <w:tc>
          <w:tcPr>
            <w:tcW w:w="1733" w:type="dxa"/>
            <w:gridSpan w:val="2"/>
            <w:vAlign w:val="bottom"/>
          </w:tcPr>
          <w:p w14:paraId="360CB849"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(342)</w:t>
            </w:r>
          </w:p>
        </w:tc>
        <w:tc>
          <w:tcPr>
            <w:tcW w:w="1824" w:type="dxa"/>
            <w:gridSpan w:val="3"/>
            <w:vAlign w:val="bottom"/>
          </w:tcPr>
          <w:p w14:paraId="2106A0CA"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(270)</w:t>
            </w:r>
          </w:p>
        </w:tc>
      </w:tr>
      <w:tr w:rsidR="00EE29F0" w:rsidRPr="00E70587" w14:paraId="5A7BDFFC" w14:textId="77777777" w:rsidTr="00C60489">
        <w:trPr>
          <w:trHeight w:val="218"/>
        </w:trPr>
        <w:tc>
          <w:tcPr>
            <w:tcW w:w="5107" w:type="dxa"/>
            <w:vAlign w:val="center"/>
          </w:tcPr>
          <w:p w14:paraId="0CC54368" w14:textId="77777777" w:rsidR="00EE29F0" w:rsidRPr="00E70587" w:rsidRDefault="00EE29F0" w:rsidP="0029221C">
            <w:pPr>
              <w:pStyle w:val="tabletext"/>
              <w:tabs>
                <w:tab w:val="left" w:pos="284"/>
              </w:tabs>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Share-based payment expense</w:t>
            </w:r>
          </w:p>
        </w:tc>
        <w:tc>
          <w:tcPr>
            <w:tcW w:w="912" w:type="dxa"/>
            <w:gridSpan w:val="2"/>
            <w:vAlign w:val="center"/>
          </w:tcPr>
          <w:p w14:paraId="06B7B325"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41</w:t>
            </w:r>
          </w:p>
        </w:tc>
        <w:tc>
          <w:tcPr>
            <w:tcW w:w="1733" w:type="dxa"/>
            <w:gridSpan w:val="2"/>
            <w:vAlign w:val="bottom"/>
          </w:tcPr>
          <w:p w14:paraId="5060350F"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742</w:t>
            </w:r>
          </w:p>
        </w:tc>
        <w:tc>
          <w:tcPr>
            <w:tcW w:w="1824" w:type="dxa"/>
            <w:gridSpan w:val="3"/>
            <w:vAlign w:val="bottom"/>
          </w:tcPr>
          <w:p w14:paraId="15E05725"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886</w:t>
            </w:r>
          </w:p>
        </w:tc>
      </w:tr>
      <w:tr w:rsidR="00EE29F0" w:rsidRPr="00E70587" w14:paraId="472272FC" w14:textId="77777777" w:rsidTr="00C60489">
        <w:trPr>
          <w:trHeight w:val="218"/>
        </w:trPr>
        <w:tc>
          <w:tcPr>
            <w:tcW w:w="5107" w:type="dxa"/>
            <w:vAlign w:val="center"/>
          </w:tcPr>
          <w:p w14:paraId="5D4CB391" w14:textId="77777777" w:rsidR="00EE29F0" w:rsidRPr="00E70587" w:rsidRDefault="00EE29F0" w:rsidP="0029221C">
            <w:pPr>
              <w:pStyle w:val="tabletext"/>
              <w:tabs>
                <w:tab w:val="left" w:pos="284"/>
              </w:tabs>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Net foreign exchange differences</w:t>
            </w:r>
          </w:p>
        </w:tc>
        <w:tc>
          <w:tcPr>
            <w:tcW w:w="912" w:type="dxa"/>
            <w:gridSpan w:val="2"/>
            <w:vAlign w:val="center"/>
          </w:tcPr>
          <w:p w14:paraId="6291A687"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tcMar>
              <w:right w:w="57" w:type="dxa"/>
            </w:tcMar>
            <w:vAlign w:val="bottom"/>
          </w:tcPr>
          <w:p w14:paraId="08AE759E"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(656)</w:t>
            </w:r>
          </w:p>
        </w:tc>
        <w:tc>
          <w:tcPr>
            <w:tcW w:w="1824" w:type="dxa"/>
            <w:gridSpan w:val="3"/>
            <w:tcMar>
              <w:right w:w="57" w:type="dxa"/>
            </w:tcMar>
            <w:vAlign w:val="bottom"/>
          </w:tcPr>
          <w:p w14:paraId="27E2E972"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(434)</w:t>
            </w:r>
          </w:p>
        </w:tc>
      </w:tr>
      <w:tr w:rsidR="00EE29F0" w:rsidRPr="00E70587" w14:paraId="5110E6B8" w14:textId="77777777" w:rsidTr="00C60489">
        <w:trPr>
          <w:trHeight w:val="218"/>
        </w:trPr>
        <w:tc>
          <w:tcPr>
            <w:tcW w:w="5107" w:type="dxa"/>
            <w:vAlign w:val="center"/>
          </w:tcPr>
          <w:p w14:paraId="0FA20CB6" w14:textId="77777777" w:rsidR="00EE29F0" w:rsidRPr="00E70587" w:rsidRDefault="00EE29F0" w:rsidP="0029221C">
            <w:pPr>
              <w:pStyle w:val="tabletext"/>
              <w:tabs>
                <w:tab w:val="left" w:pos="284"/>
              </w:tabs>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Gain on disposal of property, plant and equipment</w:t>
            </w:r>
          </w:p>
        </w:tc>
        <w:tc>
          <w:tcPr>
            <w:tcW w:w="912" w:type="dxa"/>
            <w:gridSpan w:val="2"/>
            <w:vAlign w:val="center"/>
          </w:tcPr>
          <w:p w14:paraId="56CE4974"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23</w:t>
            </w:r>
          </w:p>
        </w:tc>
        <w:tc>
          <w:tcPr>
            <w:tcW w:w="1733" w:type="dxa"/>
            <w:gridSpan w:val="2"/>
            <w:tcMar>
              <w:right w:w="57" w:type="dxa"/>
            </w:tcMar>
            <w:vAlign w:val="bottom"/>
          </w:tcPr>
          <w:p w14:paraId="42E4CED7"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(958)</w:t>
            </w:r>
          </w:p>
        </w:tc>
        <w:tc>
          <w:tcPr>
            <w:tcW w:w="1824" w:type="dxa"/>
            <w:gridSpan w:val="3"/>
            <w:tcMar>
              <w:right w:w="57" w:type="dxa"/>
            </w:tcMar>
            <w:vAlign w:val="bottom"/>
          </w:tcPr>
          <w:p w14:paraId="5EDFF6EE" w14:textId="77777777" w:rsidR="00EE29F0" w:rsidRPr="00E70587" w:rsidRDefault="00EE29F0" w:rsidP="00BB14E5">
            <w:pPr>
              <w:spacing w:line="280" w:lineRule="exact"/>
              <w:jc w:val="right"/>
              <w:rPr>
                <w:rFonts w:ascii="Arial" w:hAnsi="Arial" w:cs="Arial"/>
                <w:sz w:val="20"/>
              </w:rPr>
            </w:pPr>
            <w:r w:rsidRPr="00E70587">
              <w:rPr>
                <w:rFonts w:ascii="Arial" w:hAnsi="Arial" w:cs="Arial"/>
                <w:sz w:val="20"/>
              </w:rPr>
              <w:t>(3,</w:t>
            </w:r>
            <w:r w:rsidR="00BB14E5" w:rsidRPr="00E70587">
              <w:rPr>
                <w:rFonts w:ascii="Arial" w:hAnsi="Arial" w:cs="Arial"/>
                <w:sz w:val="20"/>
              </w:rPr>
              <w:t>612</w:t>
            </w:r>
            <w:r w:rsidRPr="00E70587">
              <w:rPr>
                <w:rFonts w:ascii="Arial" w:hAnsi="Arial" w:cs="Arial"/>
                <w:sz w:val="20"/>
              </w:rPr>
              <w:t>)</w:t>
            </w:r>
          </w:p>
        </w:tc>
      </w:tr>
      <w:tr w:rsidR="00EE29F0" w:rsidRPr="00E70587" w14:paraId="5D156DC5" w14:textId="77777777" w:rsidTr="00C60489">
        <w:trPr>
          <w:trHeight w:val="117"/>
        </w:trPr>
        <w:tc>
          <w:tcPr>
            <w:tcW w:w="5107" w:type="dxa"/>
            <w:vAlign w:val="center"/>
          </w:tcPr>
          <w:p w14:paraId="10700E04" w14:textId="77777777" w:rsidR="00EE29F0" w:rsidRPr="00E70587" w:rsidRDefault="00EE29F0" w:rsidP="0029221C">
            <w:pPr>
              <w:pStyle w:val="tabletext"/>
              <w:tabs>
                <w:tab w:val="left" w:pos="284"/>
              </w:tabs>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Fair value adjustment of a contingent consideration</w:t>
            </w:r>
          </w:p>
        </w:tc>
        <w:tc>
          <w:tcPr>
            <w:tcW w:w="912" w:type="dxa"/>
            <w:gridSpan w:val="2"/>
            <w:vAlign w:val="center"/>
          </w:tcPr>
          <w:p w14:paraId="35D67BE2"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36</w:t>
            </w:r>
          </w:p>
        </w:tc>
        <w:tc>
          <w:tcPr>
            <w:tcW w:w="1733" w:type="dxa"/>
            <w:gridSpan w:val="2"/>
            <w:tcMar>
              <w:right w:w="108" w:type="dxa"/>
            </w:tcMar>
            <w:vAlign w:val="bottom"/>
          </w:tcPr>
          <w:p w14:paraId="005B4B12"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644</w:t>
            </w:r>
          </w:p>
        </w:tc>
        <w:tc>
          <w:tcPr>
            <w:tcW w:w="1824" w:type="dxa"/>
            <w:gridSpan w:val="3"/>
            <w:tcMar>
              <w:right w:w="108" w:type="dxa"/>
            </w:tcMar>
            <w:vAlign w:val="bottom"/>
          </w:tcPr>
          <w:p w14:paraId="495BAD55"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w:t>
            </w:r>
          </w:p>
        </w:tc>
      </w:tr>
      <w:tr w:rsidR="001C6529" w:rsidRPr="00E70587" w14:paraId="1FB8E03A" w14:textId="77777777" w:rsidTr="00C60489">
        <w:trPr>
          <w:trHeight w:val="117"/>
        </w:trPr>
        <w:tc>
          <w:tcPr>
            <w:tcW w:w="5107" w:type="dxa"/>
            <w:vAlign w:val="center"/>
          </w:tcPr>
          <w:p w14:paraId="36B1D5A2" w14:textId="3B17F45A" w:rsidR="001C6529" w:rsidRPr="00E70587" w:rsidRDefault="001C6529" w:rsidP="0029221C">
            <w:pPr>
              <w:pStyle w:val="tabletext"/>
              <w:tabs>
                <w:tab w:val="left" w:pos="284"/>
              </w:tabs>
              <w:overflowPunct w:val="0"/>
              <w:autoSpaceDE w:val="0"/>
              <w:autoSpaceDN w:val="0"/>
              <w:adjustRightInd w:val="0"/>
              <w:spacing w:line="280" w:lineRule="exact"/>
              <w:ind w:left="284"/>
              <w:textAlignment w:val="baseline"/>
              <w:rPr>
                <w:rFonts w:ascii="Arial" w:hAnsi="Arial" w:cs="Arial"/>
                <w:sz w:val="20"/>
                <w:lang w:val="en-IN"/>
              </w:rPr>
            </w:pPr>
            <w:r>
              <w:rPr>
                <w:rFonts w:ascii="Arial" w:hAnsi="Arial" w:cs="Arial"/>
                <w:sz w:val="20"/>
                <w:lang w:val="en-IN"/>
              </w:rPr>
              <w:t>Impairment on financial instrument and contract asset</w:t>
            </w:r>
          </w:p>
        </w:tc>
        <w:tc>
          <w:tcPr>
            <w:tcW w:w="912" w:type="dxa"/>
            <w:gridSpan w:val="2"/>
            <w:vAlign w:val="center"/>
          </w:tcPr>
          <w:p w14:paraId="5F5D65AA" w14:textId="77777777" w:rsidR="001C6529" w:rsidRPr="00E70587" w:rsidRDefault="001C6529" w:rsidP="00316BDD">
            <w:pPr>
              <w:pStyle w:val="tabletext"/>
              <w:overflowPunct w:val="0"/>
              <w:autoSpaceDE w:val="0"/>
              <w:autoSpaceDN w:val="0"/>
              <w:adjustRightInd w:val="0"/>
              <w:spacing w:line="280" w:lineRule="exact"/>
              <w:jc w:val="center"/>
              <w:textAlignment w:val="baseline"/>
              <w:rPr>
                <w:rFonts w:ascii="Arial" w:hAnsi="Arial" w:cs="Arial"/>
                <w:color w:val="000000"/>
                <w:sz w:val="20"/>
                <w:lang w:val="en-IN"/>
              </w:rPr>
            </w:pPr>
          </w:p>
        </w:tc>
        <w:tc>
          <w:tcPr>
            <w:tcW w:w="1733" w:type="dxa"/>
            <w:gridSpan w:val="2"/>
            <w:tcMar>
              <w:right w:w="108" w:type="dxa"/>
            </w:tcMar>
            <w:vAlign w:val="bottom"/>
          </w:tcPr>
          <w:p w14:paraId="1D122558" w14:textId="568F15BB" w:rsidR="001C6529" w:rsidRPr="00E70587" w:rsidRDefault="00BD6C7A" w:rsidP="0029221C">
            <w:pPr>
              <w:spacing w:line="280" w:lineRule="exact"/>
              <w:jc w:val="right"/>
              <w:rPr>
                <w:rFonts w:ascii="Arial" w:hAnsi="Arial" w:cs="Arial"/>
                <w:sz w:val="20"/>
              </w:rPr>
            </w:pPr>
            <w:r>
              <w:rPr>
                <w:rFonts w:ascii="Arial" w:hAnsi="Arial" w:cs="Arial"/>
                <w:sz w:val="20"/>
              </w:rPr>
              <w:t>37</w:t>
            </w:r>
          </w:p>
        </w:tc>
        <w:tc>
          <w:tcPr>
            <w:tcW w:w="1824" w:type="dxa"/>
            <w:gridSpan w:val="3"/>
            <w:tcMar>
              <w:right w:w="108" w:type="dxa"/>
            </w:tcMar>
            <w:vAlign w:val="bottom"/>
          </w:tcPr>
          <w:p w14:paraId="5C2F5ABD" w14:textId="57D86063" w:rsidR="001C6529" w:rsidRPr="00E70587" w:rsidRDefault="00BD6C7A" w:rsidP="0029221C">
            <w:pPr>
              <w:spacing w:line="280" w:lineRule="exact"/>
              <w:jc w:val="right"/>
              <w:rPr>
                <w:rFonts w:ascii="Arial" w:hAnsi="Arial" w:cs="Arial"/>
                <w:sz w:val="20"/>
              </w:rPr>
            </w:pPr>
            <w:r>
              <w:rPr>
                <w:rFonts w:ascii="Arial" w:hAnsi="Arial" w:cs="Arial"/>
                <w:sz w:val="20"/>
              </w:rPr>
              <w:t>11</w:t>
            </w:r>
          </w:p>
        </w:tc>
      </w:tr>
      <w:tr w:rsidR="00EE29F0" w:rsidRPr="00E70587" w14:paraId="0D8E493F" w14:textId="77777777" w:rsidTr="00C60489">
        <w:trPr>
          <w:trHeight w:val="234"/>
        </w:trPr>
        <w:tc>
          <w:tcPr>
            <w:tcW w:w="5107" w:type="dxa"/>
            <w:vAlign w:val="center"/>
          </w:tcPr>
          <w:p w14:paraId="1A210944" w14:textId="77777777" w:rsidR="00EE29F0" w:rsidRPr="00E70587" w:rsidRDefault="00EE29F0" w:rsidP="0029221C">
            <w:pPr>
              <w:pStyle w:val="tabletext"/>
              <w:tabs>
                <w:tab w:val="left" w:pos="284"/>
              </w:tabs>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Finance income (including fair value change in financial instruments)</w:t>
            </w:r>
          </w:p>
        </w:tc>
        <w:tc>
          <w:tcPr>
            <w:tcW w:w="912" w:type="dxa"/>
            <w:gridSpan w:val="2"/>
            <w:vAlign w:val="center"/>
          </w:tcPr>
          <w:p w14:paraId="006D425C"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tcMar>
              <w:right w:w="57" w:type="dxa"/>
            </w:tcMar>
            <w:vAlign w:val="bottom"/>
          </w:tcPr>
          <w:p w14:paraId="7A976FED"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(2,135)</w:t>
            </w:r>
          </w:p>
        </w:tc>
        <w:tc>
          <w:tcPr>
            <w:tcW w:w="1824" w:type="dxa"/>
            <w:gridSpan w:val="3"/>
            <w:tcMar>
              <w:right w:w="57" w:type="dxa"/>
            </w:tcMar>
            <w:vAlign w:val="bottom"/>
          </w:tcPr>
          <w:p w14:paraId="1EADD342"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(380)</w:t>
            </w:r>
          </w:p>
        </w:tc>
      </w:tr>
      <w:tr w:rsidR="00EE29F0" w:rsidRPr="00E70587" w14:paraId="00469900" w14:textId="77777777" w:rsidTr="00C60489">
        <w:trPr>
          <w:trHeight w:val="218"/>
        </w:trPr>
        <w:tc>
          <w:tcPr>
            <w:tcW w:w="5107" w:type="dxa"/>
            <w:vAlign w:val="center"/>
          </w:tcPr>
          <w:p w14:paraId="269CA731" w14:textId="77777777" w:rsidR="00EE29F0" w:rsidRPr="00E70587" w:rsidRDefault="00EE29F0" w:rsidP="0029221C">
            <w:pPr>
              <w:pStyle w:val="tabletext"/>
              <w:tabs>
                <w:tab w:val="left" w:pos="284"/>
              </w:tabs>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Finance costs (including fair value change in financial instruments)</w:t>
            </w:r>
          </w:p>
        </w:tc>
        <w:tc>
          <w:tcPr>
            <w:tcW w:w="912" w:type="dxa"/>
            <w:gridSpan w:val="2"/>
            <w:vAlign w:val="center"/>
          </w:tcPr>
          <w:p w14:paraId="62C6CA35"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tcMar>
              <w:right w:w="108" w:type="dxa"/>
            </w:tcMar>
            <w:vAlign w:val="bottom"/>
          </w:tcPr>
          <w:p w14:paraId="7F483110" w14:textId="4832999E" w:rsidR="00EE29F0" w:rsidRPr="00E70587" w:rsidRDefault="00B17FB0" w:rsidP="0029221C">
            <w:pPr>
              <w:spacing w:line="280" w:lineRule="exact"/>
              <w:jc w:val="right"/>
              <w:rPr>
                <w:rFonts w:ascii="Arial" w:hAnsi="Arial" w:cs="Arial"/>
                <w:sz w:val="20"/>
              </w:rPr>
            </w:pPr>
            <w:r>
              <w:rPr>
                <w:rFonts w:ascii="Arial" w:hAnsi="Arial" w:cs="Arial"/>
                <w:sz w:val="20"/>
              </w:rPr>
              <w:t>4</w:t>
            </w:r>
            <w:r w:rsidR="00EE29F0" w:rsidRPr="00E70587">
              <w:rPr>
                <w:rFonts w:ascii="Arial" w:hAnsi="Arial" w:cs="Arial"/>
                <w:sz w:val="20"/>
              </w:rPr>
              <w:t>,</w:t>
            </w:r>
            <w:r>
              <w:rPr>
                <w:rFonts w:ascii="Arial" w:hAnsi="Arial" w:cs="Arial"/>
                <w:sz w:val="20"/>
              </w:rPr>
              <w:t>975</w:t>
            </w:r>
          </w:p>
        </w:tc>
        <w:tc>
          <w:tcPr>
            <w:tcW w:w="1824" w:type="dxa"/>
            <w:gridSpan w:val="3"/>
            <w:vAlign w:val="bottom"/>
          </w:tcPr>
          <w:p w14:paraId="0F8F1C8A" w14:textId="583C1AE3" w:rsidR="00EE29F0" w:rsidRPr="00E70587" w:rsidRDefault="00EE29F0" w:rsidP="0029221C">
            <w:pPr>
              <w:spacing w:line="280" w:lineRule="exact"/>
              <w:jc w:val="right"/>
              <w:rPr>
                <w:rFonts w:ascii="Arial" w:hAnsi="Arial" w:cs="Arial"/>
                <w:sz w:val="20"/>
              </w:rPr>
            </w:pPr>
            <w:r w:rsidRPr="00E70587">
              <w:rPr>
                <w:rFonts w:ascii="Arial" w:hAnsi="Arial" w:cs="Arial"/>
                <w:sz w:val="20"/>
              </w:rPr>
              <w:t>2,</w:t>
            </w:r>
            <w:r w:rsidR="00B17FB0">
              <w:rPr>
                <w:rFonts w:ascii="Arial" w:hAnsi="Arial" w:cs="Arial"/>
                <w:sz w:val="20"/>
              </w:rPr>
              <w:t>017</w:t>
            </w:r>
          </w:p>
        </w:tc>
      </w:tr>
      <w:tr w:rsidR="00EE29F0" w:rsidRPr="00E70587" w14:paraId="7C3AC349" w14:textId="77777777" w:rsidTr="00C60489">
        <w:trPr>
          <w:trHeight w:val="218"/>
        </w:trPr>
        <w:tc>
          <w:tcPr>
            <w:tcW w:w="5107" w:type="dxa"/>
            <w:vAlign w:val="center"/>
          </w:tcPr>
          <w:p w14:paraId="2F6857B0" w14:textId="77777777" w:rsidR="00EE29F0" w:rsidRPr="00E70587" w:rsidRDefault="00EE29F0" w:rsidP="0029221C">
            <w:pPr>
              <w:pStyle w:val="tabletext"/>
              <w:tabs>
                <w:tab w:val="left" w:pos="284"/>
              </w:tabs>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Share of profit of an associate and a joint venture</w:t>
            </w:r>
          </w:p>
        </w:tc>
        <w:tc>
          <w:tcPr>
            <w:tcW w:w="912" w:type="dxa"/>
            <w:gridSpan w:val="2"/>
            <w:vAlign w:val="center"/>
          </w:tcPr>
          <w:p w14:paraId="50F8C7BD"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38, 39</w:t>
            </w:r>
          </w:p>
        </w:tc>
        <w:tc>
          <w:tcPr>
            <w:tcW w:w="1733" w:type="dxa"/>
            <w:gridSpan w:val="2"/>
            <w:tcMar>
              <w:right w:w="57" w:type="dxa"/>
            </w:tcMar>
            <w:vAlign w:val="bottom"/>
          </w:tcPr>
          <w:p w14:paraId="73138CDA" w14:textId="77777777" w:rsidR="00EE29F0" w:rsidRPr="00E70587" w:rsidRDefault="00EE29F0" w:rsidP="00BB14E5">
            <w:pPr>
              <w:spacing w:line="280" w:lineRule="exact"/>
              <w:jc w:val="right"/>
              <w:rPr>
                <w:rFonts w:ascii="Arial" w:hAnsi="Arial" w:cs="Arial"/>
                <w:sz w:val="20"/>
              </w:rPr>
            </w:pPr>
            <w:r w:rsidRPr="00E70587">
              <w:rPr>
                <w:rFonts w:ascii="Arial" w:hAnsi="Arial" w:cs="Arial"/>
                <w:sz w:val="20"/>
              </w:rPr>
              <w:t>(1,</w:t>
            </w:r>
            <w:r w:rsidR="00BB14E5" w:rsidRPr="00E70587">
              <w:rPr>
                <w:rFonts w:ascii="Arial" w:hAnsi="Arial" w:cs="Arial"/>
                <w:sz w:val="20"/>
              </w:rPr>
              <w:t>207</w:t>
            </w:r>
            <w:r w:rsidRPr="00E70587">
              <w:rPr>
                <w:rFonts w:ascii="Arial" w:hAnsi="Arial" w:cs="Arial"/>
                <w:sz w:val="20"/>
              </w:rPr>
              <w:t>)</w:t>
            </w:r>
          </w:p>
        </w:tc>
        <w:tc>
          <w:tcPr>
            <w:tcW w:w="1824" w:type="dxa"/>
            <w:gridSpan w:val="3"/>
            <w:tcMar>
              <w:right w:w="57" w:type="dxa"/>
            </w:tcMar>
            <w:vAlign w:val="bottom"/>
          </w:tcPr>
          <w:p w14:paraId="500F7650" w14:textId="77777777" w:rsidR="00EE29F0" w:rsidRPr="00E70587" w:rsidRDefault="00EE29F0" w:rsidP="00BB14E5">
            <w:pPr>
              <w:spacing w:line="280" w:lineRule="exact"/>
              <w:jc w:val="right"/>
              <w:rPr>
                <w:rFonts w:ascii="Arial" w:hAnsi="Arial" w:cs="Arial"/>
                <w:sz w:val="20"/>
              </w:rPr>
            </w:pPr>
            <w:r w:rsidRPr="00E70587">
              <w:rPr>
                <w:rFonts w:ascii="Arial" w:hAnsi="Arial" w:cs="Arial"/>
                <w:sz w:val="20"/>
              </w:rPr>
              <w:t>(1,</w:t>
            </w:r>
            <w:r w:rsidR="00BB14E5" w:rsidRPr="00E70587">
              <w:rPr>
                <w:rFonts w:ascii="Arial" w:hAnsi="Arial" w:cs="Arial"/>
                <w:sz w:val="20"/>
              </w:rPr>
              <w:t>149</w:t>
            </w:r>
            <w:r w:rsidRPr="00E70587">
              <w:rPr>
                <w:rFonts w:ascii="Arial" w:hAnsi="Arial" w:cs="Arial"/>
                <w:sz w:val="20"/>
              </w:rPr>
              <w:t>)</w:t>
            </w:r>
          </w:p>
        </w:tc>
      </w:tr>
      <w:tr w:rsidR="00EE29F0" w:rsidRPr="00E70587" w14:paraId="5A224B31" w14:textId="77777777" w:rsidTr="00C60489">
        <w:trPr>
          <w:trHeight w:val="218"/>
        </w:trPr>
        <w:tc>
          <w:tcPr>
            <w:tcW w:w="5107" w:type="dxa"/>
            <w:vAlign w:val="center"/>
          </w:tcPr>
          <w:p w14:paraId="7562BAC2" w14:textId="77777777" w:rsidR="00EE29F0" w:rsidRPr="00E70587" w:rsidRDefault="00EE29F0" w:rsidP="001E4EE3">
            <w:pPr>
              <w:pStyle w:val="tabletext"/>
              <w:tabs>
                <w:tab w:val="left" w:pos="0"/>
              </w:tabs>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i/>
                <w:sz w:val="20"/>
                <w:lang w:val="en-IN"/>
              </w:rPr>
              <w:t>Working capital adjustments:</w:t>
            </w:r>
          </w:p>
        </w:tc>
        <w:tc>
          <w:tcPr>
            <w:tcW w:w="912" w:type="dxa"/>
            <w:gridSpan w:val="2"/>
            <w:vAlign w:val="bottom"/>
          </w:tcPr>
          <w:p w14:paraId="67A38C66"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tcMar>
              <w:right w:w="57" w:type="dxa"/>
            </w:tcMar>
            <w:vAlign w:val="bottom"/>
          </w:tcPr>
          <w:p w14:paraId="084E22DD" w14:textId="77777777" w:rsidR="00EE29F0" w:rsidRPr="00E70587" w:rsidRDefault="00EE29F0" w:rsidP="0029221C">
            <w:pPr>
              <w:spacing w:line="280" w:lineRule="exact"/>
              <w:jc w:val="right"/>
              <w:rPr>
                <w:rFonts w:ascii="Arial" w:hAnsi="Arial" w:cs="Arial"/>
                <w:sz w:val="20"/>
              </w:rPr>
            </w:pPr>
          </w:p>
        </w:tc>
        <w:tc>
          <w:tcPr>
            <w:tcW w:w="1824" w:type="dxa"/>
            <w:gridSpan w:val="3"/>
            <w:tcMar>
              <w:right w:w="57" w:type="dxa"/>
            </w:tcMar>
            <w:vAlign w:val="bottom"/>
          </w:tcPr>
          <w:p w14:paraId="389C2ACA" w14:textId="77777777" w:rsidR="00EE29F0" w:rsidRPr="00E70587" w:rsidRDefault="00EE29F0" w:rsidP="0029221C">
            <w:pPr>
              <w:spacing w:line="280" w:lineRule="exact"/>
              <w:jc w:val="right"/>
              <w:rPr>
                <w:rFonts w:ascii="Arial" w:hAnsi="Arial" w:cs="Arial"/>
                <w:sz w:val="20"/>
              </w:rPr>
            </w:pPr>
          </w:p>
        </w:tc>
      </w:tr>
      <w:tr w:rsidR="00EE29F0" w:rsidRPr="00E70587" w14:paraId="652C461D" w14:textId="77777777" w:rsidTr="00C60489">
        <w:trPr>
          <w:trHeight w:val="453"/>
        </w:trPr>
        <w:tc>
          <w:tcPr>
            <w:tcW w:w="5107" w:type="dxa"/>
            <w:vAlign w:val="center"/>
          </w:tcPr>
          <w:p w14:paraId="70AB7F66" w14:textId="77777777" w:rsidR="00EE29F0" w:rsidRPr="00E70587" w:rsidRDefault="00EE29F0" w:rsidP="0029221C">
            <w:pPr>
              <w:pStyle w:val="tabletext"/>
              <w:tabs>
                <w:tab w:val="left" w:pos="284"/>
              </w:tabs>
              <w:overflowPunct w:val="0"/>
              <w:autoSpaceDE w:val="0"/>
              <w:autoSpaceDN w:val="0"/>
              <w:adjustRightInd w:val="0"/>
              <w:spacing w:line="280" w:lineRule="exact"/>
              <w:ind w:left="284"/>
              <w:jc w:val="both"/>
              <w:textAlignment w:val="baseline"/>
              <w:rPr>
                <w:rFonts w:ascii="Arial" w:hAnsi="Arial" w:cs="Arial"/>
                <w:sz w:val="20"/>
                <w:lang w:val="en-IN"/>
              </w:rPr>
            </w:pPr>
            <w:r w:rsidRPr="00E70587">
              <w:rPr>
                <w:rFonts w:ascii="Arial" w:hAnsi="Arial" w:cs="Arial"/>
                <w:sz w:val="20"/>
                <w:lang w:val="en-IN"/>
              </w:rPr>
              <w:t xml:space="preserve">Movements in provisions, gratuity and </w:t>
            </w:r>
            <w:r w:rsidRPr="00E70587">
              <w:rPr>
                <w:rFonts w:ascii="Arial" w:hAnsi="Arial" w:cs="Arial"/>
                <w:sz w:val="20"/>
                <w:lang w:val="en-IN"/>
              </w:rPr>
              <w:br/>
              <w:t>government grants</w:t>
            </w:r>
          </w:p>
        </w:tc>
        <w:tc>
          <w:tcPr>
            <w:tcW w:w="912" w:type="dxa"/>
            <w:gridSpan w:val="2"/>
            <w:vAlign w:val="bottom"/>
          </w:tcPr>
          <w:p w14:paraId="7E435BC5"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tcMar>
              <w:right w:w="57" w:type="dxa"/>
            </w:tcMar>
            <w:vAlign w:val="bottom"/>
          </w:tcPr>
          <w:p w14:paraId="79248E2C"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(1,318)</w:t>
            </w:r>
          </w:p>
        </w:tc>
        <w:tc>
          <w:tcPr>
            <w:tcW w:w="1824" w:type="dxa"/>
            <w:gridSpan w:val="3"/>
            <w:tcMar>
              <w:right w:w="108" w:type="dxa"/>
            </w:tcMar>
            <w:vAlign w:val="bottom"/>
          </w:tcPr>
          <w:p w14:paraId="0A6F26B3"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364</w:t>
            </w:r>
          </w:p>
        </w:tc>
      </w:tr>
      <w:tr w:rsidR="00EE29F0" w:rsidRPr="00E70587" w14:paraId="67B72848" w14:textId="77777777" w:rsidTr="00C60489">
        <w:trPr>
          <w:trHeight w:val="453"/>
        </w:trPr>
        <w:tc>
          <w:tcPr>
            <w:tcW w:w="5107" w:type="dxa"/>
            <w:vAlign w:val="center"/>
          </w:tcPr>
          <w:p w14:paraId="6E8AC35D" w14:textId="77777777" w:rsidR="00EE29F0" w:rsidRPr="00E70587" w:rsidRDefault="00EE29F0" w:rsidP="0029221C">
            <w:pPr>
              <w:pStyle w:val="tabletext"/>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Increase in trade and other receivables and prepayments</w:t>
            </w:r>
          </w:p>
        </w:tc>
        <w:tc>
          <w:tcPr>
            <w:tcW w:w="912" w:type="dxa"/>
            <w:gridSpan w:val="2"/>
            <w:vAlign w:val="bottom"/>
          </w:tcPr>
          <w:p w14:paraId="5C75B826"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tcMar>
              <w:right w:w="57" w:type="dxa"/>
            </w:tcMar>
            <w:vAlign w:val="bottom"/>
          </w:tcPr>
          <w:p w14:paraId="2B268344" w14:textId="14E0642A" w:rsidR="00EE29F0" w:rsidRPr="00E70587" w:rsidRDefault="00EE29F0" w:rsidP="00942847">
            <w:pPr>
              <w:spacing w:line="280" w:lineRule="exact"/>
              <w:jc w:val="right"/>
              <w:rPr>
                <w:rFonts w:ascii="Arial" w:hAnsi="Arial" w:cs="Arial"/>
                <w:sz w:val="20"/>
              </w:rPr>
            </w:pPr>
            <w:r w:rsidRPr="00E70587">
              <w:rPr>
                <w:rFonts w:ascii="Arial" w:hAnsi="Arial" w:cs="Arial"/>
                <w:sz w:val="20"/>
              </w:rPr>
              <w:t>(16,</w:t>
            </w:r>
            <w:r w:rsidR="00BD6C7A">
              <w:rPr>
                <w:rFonts w:ascii="Arial" w:hAnsi="Arial" w:cs="Arial"/>
                <w:sz w:val="20"/>
              </w:rPr>
              <w:t>724</w:t>
            </w:r>
            <w:r w:rsidRPr="00E70587">
              <w:rPr>
                <w:rFonts w:ascii="Arial" w:hAnsi="Arial" w:cs="Arial"/>
                <w:sz w:val="20"/>
              </w:rPr>
              <w:t>)</w:t>
            </w:r>
          </w:p>
        </w:tc>
        <w:tc>
          <w:tcPr>
            <w:tcW w:w="1824" w:type="dxa"/>
            <w:gridSpan w:val="3"/>
            <w:tcMar>
              <w:right w:w="57" w:type="dxa"/>
            </w:tcMar>
            <w:vAlign w:val="bottom"/>
          </w:tcPr>
          <w:p w14:paraId="7F868C09" w14:textId="7F6F4FBC" w:rsidR="00EE29F0" w:rsidRPr="00E70587" w:rsidRDefault="00EE29F0" w:rsidP="0029221C">
            <w:pPr>
              <w:spacing w:line="280" w:lineRule="exact"/>
              <w:jc w:val="right"/>
              <w:rPr>
                <w:rFonts w:ascii="Arial" w:hAnsi="Arial" w:cs="Arial"/>
                <w:sz w:val="20"/>
              </w:rPr>
            </w:pPr>
            <w:r w:rsidRPr="00E70587">
              <w:rPr>
                <w:rFonts w:ascii="Arial" w:hAnsi="Arial" w:cs="Arial"/>
                <w:sz w:val="20"/>
              </w:rPr>
              <w:t>(3,1</w:t>
            </w:r>
            <w:r w:rsidR="00BD6C7A">
              <w:rPr>
                <w:rFonts w:ascii="Arial" w:hAnsi="Arial" w:cs="Arial"/>
                <w:sz w:val="20"/>
              </w:rPr>
              <w:t>43</w:t>
            </w:r>
            <w:r w:rsidRPr="00E70587">
              <w:rPr>
                <w:rFonts w:ascii="Arial" w:hAnsi="Arial" w:cs="Arial"/>
                <w:sz w:val="20"/>
              </w:rPr>
              <w:t>)</w:t>
            </w:r>
          </w:p>
        </w:tc>
      </w:tr>
      <w:tr w:rsidR="00EE29F0" w:rsidRPr="00E70587" w14:paraId="1B5DDD84" w14:textId="77777777" w:rsidTr="00C60489">
        <w:trPr>
          <w:trHeight w:val="218"/>
        </w:trPr>
        <w:tc>
          <w:tcPr>
            <w:tcW w:w="5107" w:type="dxa"/>
            <w:vAlign w:val="center"/>
          </w:tcPr>
          <w:p w14:paraId="78914B76" w14:textId="7020A794" w:rsidR="00EE29F0" w:rsidRPr="00E70587" w:rsidRDefault="00EE29F0" w:rsidP="00D87FDE">
            <w:pPr>
              <w:pStyle w:val="tabletext"/>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Decrease in inventories</w:t>
            </w:r>
            <w:r w:rsidR="00B9392A" w:rsidRPr="00B9392A">
              <w:rPr>
                <w:rFonts w:ascii="Arial" w:hAnsi="Arial" w:cs="Arial"/>
                <w:sz w:val="20"/>
                <w:lang w:val="en-IN"/>
              </w:rPr>
              <w:t>, Right of return assets and others</w:t>
            </w:r>
          </w:p>
        </w:tc>
        <w:tc>
          <w:tcPr>
            <w:tcW w:w="912" w:type="dxa"/>
            <w:gridSpan w:val="2"/>
            <w:vAlign w:val="bottom"/>
          </w:tcPr>
          <w:p w14:paraId="7908F0FD"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vAlign w:val="bottom"/>
          </w:tcPr>
          <w:p w14:paraId="67121551" w14:textId="6C52CD24" w:rsidR="00EE29F0" w:rsidRPr="00E70587" w:rsidRDefault="00EE29F0" w:rsidP="0029221C">
            <w:pPr>
              <w:spacing w:line="280" w:lineRule="exact"/>
              <w:jc w:val="right"/>
              <w:rPr>
                <w:rFonts w:ascii="Arial" w:hAnsi="Arial" w:cs="Arial"/>
                <w:sz w:val="20"/>
              </w:rPr>
            </w:pPr>
            <w:r w:rsidRPr="00E70587">
              <w:rPr>
                <w:rFonts w:ascii="Arial" w:hAnsi="Arial" w:cs="Arial"/>
                <w:sz w:val="20"/>
              </w:rPr>
              <w:t>7,</w:t>
            </w:r>
            <w:r w:rsidR="00B9392A">
              <w:rPr>
                <w:rFonts w:ascii="Arial" w:hAnsi="Arial" w:cs="Arial"/>
                <w:sz w:val="20"/>
              </w:rPr>
              <w:t>407</w:t>
            </w:r>
          </w:p>
        </w:tc>
        <w:tc>
          <w:tcPr>
            <w:tcW w:w="1824" w:type="dxa"/>
            <w:gridSpan w:val="3"/>
            <w:vAlign w:val="bottom"/>
          </w:tcPr>
          <w:p w14:paraId="3BC8A48F" w14:textId="3F94C302" w:rsidR="00EE29F0" w:rsidRPr="00E70587" w:rsidRDefault="00EE29F0" w:rsidP="0029221C">
            <w:pPr>
              <w:spacing w:line="280" w:lineRule="exact"/>
              <w:jc w:val="right"/>
              <w:rPr>
                <w:rFonts w:ascii="Arial" w:hAnsi="Arial" w:cs="Arial"/>
                <w:sz w:val="20"/>
              </w:rPr>
            </w:pPr>
            <w:r w:rsidRPr="00E70587">
              <w:rPr>
                <w:rFonts w:ascii="Arial" w:hAnsi="Arial" w:cs="Arial"/>
                <w:sz w:val="20"/>
              </w:rPr>
              <w:t>4,</w:t>
            </w:r>
            <w:r w:rsidR="00B9392A">
              <w:rPr>
                <w:rFonts w:ascii="Arial" w:hAnsi="Arial" w:cs="Arial"/>
                <w:sz w:val="20"/>
              </w:rPr>
              <w:t>070</w:t>
            </w:r>
          </w:p>
        </w:tc>
      </w:tr>
      <w:tr w:rsidR="00EC47AC" w:rsidRPr="00E70587" w14:paraId="4F27A9BB" w14:textId="77777777" w:rsidTr="00C60489">
        <w:trPr>
          <w:trHeight w:val="234"/>
        </w:trPr>
        <w:tc>
          <w:tcPr>
            <w:tcW w:w="5107" w:type="dxa"/>
            <w:vAlign w:val="center"/>
          </w:tcPr>
          <w:p w14:paraId="7B07C314" w14:textId="77777777" w:rsidR="00EC47AC" w:rsidRPr="00E70587" w:rsidRDefault="00EC47AC" w:rsidP="00EC47AC">
            <w:pPr>
              <w:pStyle w:val="tabletext"/>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(Increase)/Decrease in Contract Assets</w:t>
            </w:r>
          </w:p>
        </w:tc>
        <w:tc>
          <w:tcPr>
            <w:tcW w:w="912" w:type="dxa"/>
            <w:gridSpan w:val="2"/>
            <w:vAlign w:val="center"/>
          </w:tcPr>
          <w:p w14:paraId="73D3C3F5" w14:textId="77777777" w:rsidR="00EC47AC" w:rsidRPr="00E70587" w:rsidRDefault="00EC47AC" w:rsidP="00EC47AC">
            <w:pPr>
              <w:pStyle w:val="tabletext"/>
              <w:overflowPunct w:val="0"/>
              <w:autoSpaceDE w:val="0"/>
              <w:autoSpaceDN w:val="0"/>
              <w:adjustRightInd w:val="0"/>
              <w:spacing w:line="280" w:lineRule="exact"/>
              <w:ind w:left="284"/>
              <w:textAlignment w:val="baseline"/>
              <w:rPr>
                <w:rFonts w:ascii="Arial" w:hAnsi="Arial" w:cs="Arial"/>
                <w:sz w:val="20"/>
                <w:lang w:val="en-IN"/>
              </w:rPr>
            </w:pPr>
          </w:p>
        </w:tc>
        <w:tc>
          <w:tcPr>
            <w:tcW w:w="1733" w:type="dxa"/>
            <w:gridSpan w:val="2"/>
            <w:vAlign w:val="center"/>
          </w:tcPr>
          <w:p w14:paraId="1E118B36" w14:textId="77777777" w:rsidR="00EC47AC" w:rsidRPr="00E70587" w:rsidRDefault="00EC47AC" w:rsidP="00EC47AC">
            <w:pPr>
              <w:spacing w:line="280" w:lineRule="exact"/>
              <w:jc w:val="right"/>
              <w:rPr>
                <w:rFonts w:ascii="Arial" w:hAnsi="Arial" w:cs="Arial"/>
                <w:sz w:val="20"/>
              </w:rPr>
            </w:pPr>
            <w:r w:rsidRPr="00E70587">
              <w:rPr>
                <w:rFonts w:ascii="Arial" w:hAnsi="Arial" w:cs="Arial"/>
                <w:sz w:val="20"/>
              </w:rPr>
              <w:t>247</w:t>
            </w:r>
          </w:p>
        </w:tc>
        <w:tc>
          <w:tcPr>
            <w:tcW w:w="1824" w:type="dxa"/>
            <w:gridSpan w:val="3"/>
            <w:vAlign w:val="center"/>
          </w:tcPr>
          <w:p w14:paraId="22165E2D" w14:textId="77777777" w:rsidR="00EC47AC" w:rsidRPr="00E70587" w:rsidRDefault="00EC47AC" w:rsidP="00EC47AC">
            <w:pPr>
              <w:spacing w:line="280" w:lineRule="exact"/>
              <w:jc w:val="right"/>
              <w:rPr>
                <w:rFonts w:ascii="Arial" w:hAnsi="Arial" w:cs="Arial"/>
                <w:sz w:val="20"/>
              </w:rPr>
            </w:pPr>
            <w:r w:rsidRPr="00E70587">
              <w:rPr>
                <w:rFonts w:ascii="Arial" w:hAnsi="Arial" w:cs="Arial"/>
                <w:sz w:val="20"/>
              </w:rPr>
              <w:t>(824)</w:t>
            </w:r>
          </w:p>
        </w:tc>
      </w:tr>
      <w:tr w:rsidR="00EC47AC" w:rsidRPr="00E70587" w14:paraId="1464EE23" w14:textId="77777777" w:rsidTr="00C60489">
        <w:trPr>
          <w:trHeight w:val="234"/>
        </w:trPr>
        <w:tc>
          <w:tcPr>
            <w:tcW w:w="5107" w:type="dxa"/>
            <w:vAlign w:val="center"/>
          </w:tcPr>
          <w:p w14:paraId="3FA74C6A" w14:textId="77777777" w:rsidR="00EC47AC" w:rsidRPr="00E70587" w:rsidRDefault="00EC47AC" w:rsidP="00EC47AC">
            <w:pPr>
              <w:pStyle w:val="tabletext"/>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Increase/(Decrease) in Contract liability</w:t>
            </w:r>
          </w:p>
        </w:tc>
        <w:tc>
          <w:tcPr>
            <w:tcW w:w="912" w:type="dxa"/>
            <w:gridSpan w:val="2"/>
            <w:vAlign w:val="center"/>
          </w:tcPr>
          <w:p w14:paraId="102B646A" w14:textId="77777777" w:rsidR="00EC47AC" w:rsidRPr="00E70587" w:rsidRDefault="00EC47AC" w:rsidP="00EC47AC">
            <w:pPr>
              <w:pStyle w:val="tabletext"/>
              <w:overflowPunct w:val="0"/>
              <w:autoSpaceDE w:val="0"/>
              <w:autoSpaceDN w:val="0"/>
              <w:adjustRightInd w:val="0"/>
              <w:spacing w:line="280" w:lineRule="exact"/>
              <w:ind w:left="284"/>
              <w:textAlignment w:val="baseline"/>
              <w:rPr>
                <w:rFonts w:ascii="Arial" w:hAnsi="Arial" w:cs="Arial"/>
                <w:sz w:val="20"/>
                <w:lang w:val="en-IN"/>
              </w:rPr>
            </w:pPr>
          </w:p>
        </w:tc>
        <w:tc>
          <w:tcPr>
            <w:tcW w:w="1733" w:type="dxa"/>
            <w:gridSpan w:val="2"/>
            <w:vAlign w:val="center"/>
          </w:tcPr>
          <w:p w14:paraId="6BB7EB2E" w14:textId="77777777" w:rsidR="00EC47AC" w:rsidRPr="00E70587" w:rsidRDefault="00EC47AC" w:rsidP="00EC47AC">
            <w:pPr>
              <w:spacing w:line="280" w:lineRule="exact"/>
              <w:jc w:val="right"/>
              <w:rPr>
                <w:rFonts w:ascii="Arial" w:hAnsi="Arial" w:cs="Arial"/>
                <w:sz w:val="20"/>
              </w:rPr>
            </w:pPr>
            <w:r w:rsidRPr="00E70587">
              <w:rPr>
                <w:rFonts w:ascii="Arial" w:hAnsi="Arial" w:cs="Arial"/>
                <w:sz w:val="20"/>
              </w:rPr>
              <w:t xml:space="preserve"> (29)</w:t>
            </w:r>
          </w:p>
        </w:tc>
        <w:tc>
          <w:tcPr>
            <w:tcW w:w="1824" w:type="dxa"/>
            <w:gridSpan w:val="3"/>
            <w:vAlign w:val="center"/>
          </w:tcPr>
          <w:p w14:paraId="09C63827" w14:textId="77777777" w:rsidR="00EC47AC" w:rsidRPr="00E70587" w:rsidRDefault="00EC47AC" w:rsidP="00EC47AC">
            <w:pPr>
              <w:spacing w:line="280" w:lineRule="exact"/>
              <w:jc w:val="right"/>
              <w:rPr>
                <w:rFonts w:ascii="Arial" w:hAnsi="Arial" w:cs="Arial"/>
                <w:sz w:val="20"/>
              </w:rPr>
            </w:pPr>
            <w:r w:rsidRPr="00E70587">
              <w:rPr>
                <w:rFonts w:ascii="Arial" w:hAnsi="Arial" w:cs="Arial"/>
                <w:sz w:val="20"/>
              </w:rPr>
              <w:t xml:space="preserve"> 1,053</w:t>
            </w:r>
          </w:p>
        </w:tc>
      </w:tr>
      <w:tr w:rsidR="00EC47AC" w:rsidRPr="00E70587" w14:paraId="7B48E18C" w14:textId="77777777" w:rsidTr="00BB6300">
        <w:trPr>
          <w:trHeight w:val="234"/>
        </w:trPr>
        <w:tc>
          <w:tcPr>
            <w:tcW w:w="5107" w:type="dxa"/>
            <w:vAlign w:val="center"/>
          </w:tcPr>
          <w:p w14:paraId="7F107081" w14:textId="77777777" w:rsidR="00EC47AC" w:rsidRPr="00E70587" w:rsidRDefault="00EC47AC" w:rsidP="00EC47AC">
            <w:pPr>
              <w:pStyle w:val="tabletext"/>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Increase in trade and other payables</w:t>
            </w:r>
          </w:p>
        </w:tc>
        <w:tc>
          <w:tcPr>
            <w:tcW w:w="912" w:type="dxa"/>
            <w:gridSpan w:val="2"/>
            <w:vAlign w:val="bottom"/>
          </w:tcPr>
          <w:p w14:paraId="34B9031E" w14:textId="77777777" w:rsidR="00EC47AC" w:rsidRPr="00E70587" w:rsidRDefault="00EC47AC" w:rsidP="00EC47AC">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tcBorders>
              <w:bottom w:val="single" w:sz="4" w:space="0" w:color="auto"/>
            </w:tcBorders>
            <w:vAlign w:val="center"/>
          </w:tcPr>
          <w:p w14:paraId="38B97249" w14:textId="77777777" w:rsidR="00EC47AC" w:rsidRPr="00E70587" w:rsidRDefault="00EC47AC" w:rsidP="00EC47AC">
            <w:pPr>
              <w:spacing w:line="280" w:lineRule="exact"/>
              <w:jc w:val="right"/>
              <w:rPr>
                <w:rFonts w:ascii="Arial" w:hAnsi="Arial" w:cs="Arial"/>
                <w:sz w:val="20"/>
              </w:rPr>
            </w:pPr>
            <w:r w:rsidRPr="00E70587">
              <w:rPr>
                <w:rFonts w:ascii="Arial" w:hAnsi="Arial" w:cs="Arial"/>
                <w:sz w:val="20"/>
              </w:rPr>
              <w:t xml:space="preserve"> 7,154 </w:t>
            </w:r>
          </w:p>
        </w:tc>
        <w:tc>
          <w:tcPr>
            <w:tcW w:w="1824" w:type="dxa"/>
            <w:gridSpan w:val="3"/>
            <w:tcBorders>
              <w:bottom w:val="single" w:sz="4" w:space="0" w:color="auto"/>
            </w:tcBorders>
            <w:vAlign w:val="center"/>
          </w:tcPr>
          <w:p w14:paraId="3D6232EF" w14:textId="77777777" w:rsidR="00EC47AC" w:rsidRPr="00E70587" w:rsidRDefault="00EC47AC" w:rsidP="00EC47AC">
            <w:pPr>
              <w:spacing w:line="280" w:lineRule="exact"/>
              <w:jc w:val="right"/>
              <w:rPr>
                <w:rFonts w:ascii="Arial" w:hAnsi="Arial" w:cs="Arial"/>
                <w:sz w:val="20"/>
              </w:rPr>
            </w:pPr>
            <w:r w:rsidRPr="00E70587">
              <w:rPr>
                <w:rFonts w:ascii="Arial" w:hAnsi="Arial" w:cs="Arial"/>
                <w:sz w:val="20"/>
              </w:rPr>
              <w:t xml:space="preserve"> 7,414 </w:t>
            </w:r>
          </w:p>
        </w:tc>
      </w:tr>
      <w:tr w:rsidR="00EC47AC" w:rsidRPr="00E70587" w14:paraId="5CD50271" w14:textId="77777777" w:rsidTr="00BB6300">
        <w:trPr>
          <w:trHeight w:val="218"/>
        </w:trPr>
        <w:tc>
          <w:tcPr>
            <w:tcW w:w="5107" w:type="dxa"/>
            <w:vAlign w:val="center"/>
          </w:tcPr>
          <w:p w14:paraId="3601B930" w14:textId="77777777" w:rsidR="00EC47AC" w:rsidRPr="00E70587" w:rsidRDefault="00EC47AC" w:rsidP="00EC47AC">
            <w:pPr>
              <w:pStyle w:val="tabletxtns"/>
              <w:spacing w:before="0" w:line="280" w:lineRule="exact"/>
              <w:rPr>
                <w:rFonts w:ascii="Arial" w:hAnsi="Arial" w:cs="Arial"/>
                <w:b/>
                <w:color w:val="auto"/>
                <w:sz w:val="20"/>
              </w:rPr>
            </w:pPr>
          </w:p>
        </w:tc>
        <w:tc>
          <w:tcPr>
            <w:tcW w:w="912" w:type="dxa"/>
            <w:gridSpan w:val="2"/>
            <w:vAlign w:val="bottom"/>
          </w:tcPr>
          <w:p w14:paraId="7B2A2DB1" w14:textId="77777777" w:rsidR="00EC47AC" w:rsidRPr="00E70587" w:rsidRDefault="00EC47AC" w:rsidP="00EC47AC">
            <w:pPr>
              <w:pStyle w:val="tabletext"/>
              <w:overflowPunct w:val="0"/>
              <w:autoSpaceDE w:val="0"/>
              <w:autoSpaceDN w:val="0"/>
              <w:adjustRightInd w:val="0"/>
              <w:spacing w:line="280" w:lineRule="exact"/>
              <w:jc w:val="center"/>
              <w:textAlignment w:val="baseline"/>
              <w:rPr>
                <w:rFonts w:ascii="Arial" w:hAnsi="Arial" w:cs="Arial"/>
                <w:b/>
                <w:sz w:val="20"/>
                <w:lang w:val="en-IN"/>
              </w:rPr>
            </w:pPr>
          </w:p>
        </w:tc>
        <w:tc>
          <w:tcPr>
            <w:tcW w:w="1733" w:type="dxa"/>
            <w:gridSpan w:val="2"/>
            <w:tcBorders>
              <w:top w:val="single" w:sz="4" w:space="0" w:color="auto"/>
            </w:tcBorders>
            <w:vAlign w:val="center"/>
          </w:tcPr>
          <w:p w14:paraId="1C27D58A" w14:textId="31E6D55E" w:rsidR="00EC47AC" w:rsidRPr="00E70587" w:rsidRDefault="005A5D4E" w:rsidP="00BB14E5">
            <w:pPr>
              <w:spacing w:line="280" w:lineRule="exact"/>
              <w:jc w:val="right"/>
              <w:rPr>
                <w:rFonts w:ascii="Arial" w:hAnsi="Arial" w:cs="Arial"/>
                <w:sz w:val="20"/>
              </w:rPr>
            </w:pPr>
            <w:r w:rsidRPr="00E70587">
              <w:rPr>
                <w:rFonts w:ascii="Arial" w:hAnsi="Arial" w:cs="Arial"/>
                <w:sz w:val="20"/>
              </w:rPr>
              <w:t>2</w:t>
            </w:r>
            <w:r>
              <w:rPr>
                <w:rFonts w:ascii="Arial" w:hAnsi="Arial" w:cs="Arial"/>
                <w:sz w:val="20"/>
              </w:rPr>
              <w:t>7</w:t>
            </w:r>
            <w:r w:rsidR="00EC47AC" w:rsidRPr="00E70587">
              <w:rPr>
                <w:rFonts w:ascii="Arial" w:hAnsi="Arial" w:cs="Arial"/>
                <w:sz w:val="20"/>
              </w:rPr>
              <w:t>,</w:t>
            </w:r>
            <w:r>
              <w:rPr>
                <w:rFonts w:ascii="Arial" w:hAnsi="Arial" w:cs="Arial"/>
                <w:sz w:val="20"/>
              </w:rPr>
              <w:t>166</w:t>
            </w:r>
            <w:r w:rsidRPr="00E70587">
              <w:rPr>
                <w:rFonts w:ascii="Arial" w:hAnsi="Arial" w:cs="Arial"/>
                <w:sz w:val="20"/>
              </w:rPr>
              <w:t xml:space="preserve"> </w:t>
            </w:r>
          </w:p>
        </w:tc>
        <w:tc>
          <w:tcPr>
            <w:tcW w:w="1824" w:type="dxa"/>
            <w:gridSpan w:val="3"/>
            <w:tcBorders>
              <w:top w:val="single" w:sz="4" w:space="0" w:color="auto"/>
            </w:tcBorders>
            <w:vAlign w:val="center"/>
          </w:tcPr>
          <w:p w14:paraId="3F37DAE3" w14:textId="784447F5" w:rsidR="00EC47AC" w:rsidRPr="00E70587" w:rsidRDefault="00EC47AC" w:rsidP="00BB14E5">
            <w:pPr>
              <w:spacing w:line="280" w:lineRule="exact"/>
              <w:jc w:val="right"/>
              <w:rPr>
                <w:rFonts w:ascii="Arial" w:hAnsi="Arial" w:cs="Arial"/>
                <w:sz w:val="20"/>
              </w:rPr>
            </w:pPr>
            <w:r w:rsidRPr="00E70587">
              <w:rPr>
                <w:rFonts w:ascii="Arial" w:hAnsi="Arial" w:cs="Arial"/>
                <w:sz w:val="20"/>
              </w:rPr>
              <w:t>2</w:t>
            </w:r>
            <w:r w:rsidR="006049D6" w:rsidRPr="00E70587">
              <w:rPr>
                <w:rFonts w:ascii="Arial" w:hAnsi="Arial" w:cs="Arial"/>
                <w:sz w:val="20"/>
              </w:rPr>
              <w:t>7,</w:t>
            </w:r>
            <w:r w:rsidR="005A5D4E">
              <w:rPr>
                <w:rFonts w:ascii="Arial" w:hAnsi="Arial" w:cs="Arial"/>
                <w:sz w:val="20"/>
              </w:rPr>
              <w:t>987</w:t>
            </w:r>
            <w:r w:rsidR="005A5D4E" w:rsidRPr="00E70587">
              <w:rPr>
                <w:rFonts w:ascii="Arial" w:hAnsi="Arial" w:cs="Arial"/>
                <w:sz w:val="20"/>
              </w:rPr>
              <w:t xml:space="preserve"> </w:t>
            </w:r>
          </w:p>
        </w:tc>
      </w:tr>
      <w:tr w:rsidR="00EE29F0" w:rsidRPr="00E70587" w14:paraId="57B2FB86" w14:textId="77777777" w:rsidTr="00C60489">
        <w:trPr>
          <w:trHeight w:val="218"/>
        </w:trPr>
        <w:tc>
          <w:tcPr>
            <w:tcW w:w="5107" w:type="dxa"/>
            <w:vAlign w:val="center"/>
          </w:tcPr>
          <w:p w14:paraId="72CB89EE" w14:textId="77777777" w:rsidR="00EE29F0" w:rsidRPr="00E70587" w:rsidRDefault="00EE29F0" w:rsidP="002922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Income tax paid</w:t>
            </w:r>
          </w:p>
        </w:tc>
        <w:tc>
          <w:tcPr>
            <w:tcW w:w="912" w:type="dxa"/>
            <w:gridSpan w:val="2"/>
            <w:vAlign w:val="bottom"/>
          </w:tcPr>
          <w:p w14:paraId="05776A59"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tcBorders>
              <w:bottom w:val="single" w:sz="4" w:space="0" w:color="auto"/>
            </w:tcBorders>
            <w:tcMar>
              <w:right w:w="57" w:type="dxa"/>
            </w:tcMar>
            <w:vAlign w:val="bottom"/>
          </w:tcPr>
          <w:p w14:paraId="5137879C"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(5,636)</w:t>
            </w:r>
          </w:p>
        </w:tc>
        <w:tc>
          <w:tcPr>
            <w:tcW w:w="1824" w:type="dxa"/>
            <w:gridSpan w:val="3"/>
            <w:tcBorders>
              <w:bottom w:val="single" w:sz="4" w:space="0" w:color="auto"/>
            </w:tcBorders>
            <w:tcMar>
              <w:right w:w="57" w:type="dxa"/>
            </w:tcMar>
            <w:vAlign w:val="bottom"/>
          </w:tcPr>
          <w:p w14:paraId="5A5A5D1D"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(5,760)</w:t>
            </w:r>
          </w:p>
        </w:tc>
      </w:tr>
      <w:tr w:rsidR="00EE29F0" w:rsidRPr="00E70587" w14:paraId="4AB5B2B1" w14:textId="77777777" w:rsidTr="00C60489">
        <w:trPr>
          <w:trHeight w:val="218"/>
        </w:trPr>
        <w:tc>
          <w:tcPr>
            <w:tcW w:w="5107" w:type="dxa"/>
            <w:shd w:val="clear" w:color="auto" w:fill="auto"/>
            <w:vAlign w:val="center"/>
          </w:tcPr>
          <w:p w14:paraId="0868234B" w14:textId="77777777" w:rsidR="00EE29F0" w:rsidRPr="00E70587" w:rsidRDefault="00EE29F0" w:rsidP="00BB14E5">
            <w:pPr>
              <w:pStyle w:val="tabletxtns"/>
              <w:spacing w:before="0" w:line="280" w:lineRule="exact"/>
              <w:rPr>
                <w:rFonts w:ascii="Arial" w:hAnsi="Arial" w:cs="Arial"/>
                <w:b/>
                <w:color w:val="auto"/>
                <w:sz w:val="20"/>
              </w:rPr>
            </w:pPr>
            <w:r w:rsidRPr="00E70587">
              <w:rPr>
                <w:rFonts w:ascii="Arial" w:hAnsi="Arial" w:cs="Arial"/>
                <w:b/>
                <w:color w:val="auto"/>
                <w:sz w:val="20"/>
              </w:rPr>
              <w:t>Net cash flows from operating activities</w:t>
            </w:r>
          </w:p>
        </w:tc>
        <w:tc>
          <w:tcPr>
            <w:tcW w:w="912" w:type="dxa"/>
            <w:gridSpan w:val="2"/>
            <w:shd w:val="clear" w:color="auto" w:fill="auto"/>
            <w:vAlign w:val="bottom"/>
          </w:tcPr>
          <w:p w14:paraId="1E1E9F08" w14:textId="77777777" w:rsidR="00EE29F0" w:rsidRPr="00E70587" w:rsidRDefault="00EE29F0" w:rsidP="00BB14E5">
            <w:pPr>
              <w:pStyle w:val="tablenotes"/>
              <w:spacing w:before="0" w:line="280" w:lineRule="exact"/>
              <w:jc w:val="right"/>
              <w:rPr>
                <w:rFonts w:ascii="Arial" w:hAnsi="Arial" w:cs="Arial"/>
                <w:color w:val="auto"/>
                <w:sz w:val="20"/>
              </w:rPr>
            </w:pPr>
          </w:p>
        </w:tc>
        <w:tc>
          <w:tcPr>
            <w:tcW w:w="1733" w:type="dxa"/>
            <w:gridSpan w:val="2"/>
            <w:tcBorders>
              <w:top w:val="single" w:sz="4" w:space="0" w:color="auto"/>
              <w:bottom w:val="single" w:sz="4" w:space="0" w:color="auto"/>
            </w:tcBorders>
            <w:shd w:val="clear" w:color="auto" w:fill="auto"/>
            <w:vAlign w:val="bottom"/>
          </w:tcPr>
          <w:p w14:paraId="17C7C4E2" w14:textId="2C3DFE09" w:rsidR="00EE29F0" w:rsidRPr="00E70587" w:rsidRDefault="005A5D4E" w:rsidP="00BB14E5">
            <w:pPr>
              <w:spacing w:line="280" w:lineRule="exact"/>
              <w:jc w:val="right"/>
              <w:rPr>
                <w:rFonts w:ascii="Arial" w:hAnsi="Arial" w:cs="Arial"/>
                <w:b/>
                <w:bCs/>
                <w:sz w:val="20"/>
              </w:rPr>
            </w:pPr>
            <w:r w:rsidRPr="00E70587">
              <w:rPr>
                <w:rFonts w:ascii="Arial" w:hAnsi="Arial" w:cs="Arial"/>
                <w:b/>
                <w:bCs/>
                <w:sz w:val="20"/>
              </w:rPr>
              <w:t>2</w:t>
            </w:r>
            <w:r>
              <w:rPr>
                <w:rFonts w:ascii="Arial" w:hAnsi="Arial" w:cs="Arial"/>
                <w:b/>
                <w:bCs/>
                <w:sz w:val="20"/>
              </w:rPr>
              <w:t>1</w:t>
            </w:r>
            <w:r w:rsidR="00EE29F0" w:rsidRPr="00E70587">
              <w:rPr>
                <w:rFonts w:ascii="Arial" w:hAnsi="Arial" w:cs="Arial"/>
                <w:b/>
                <w:bCs/>
                <w:sz w:val="20"/>
              </w:rPr>
              <w:t>,</w:t>
            </w:r>
            <w:r>
              <w:rPr>
                <w:rFonts w:ascii="Arial" w:hAnsi="Arial" w:cs="Arial"/>
                <w:b/>
                <w:bCs/>
                <w:sz w:val="20"/>
              </w:rPr>
              <w:t>530</w:t>
            </w:r>
          </w:p>
        </w:tc>
        <w:tc>
          <w:tcPr>
            <w:tcW w:w="1824" w:type="dxa"/>
            <w:gridSpan w:val="3"/>
            <w:tcBorders>
              <w:top w:val="single" w:sz="4" w:space="0" w:color="auto"/>
              <w:bottom w:val="single" w:sz="4" w:space="0" w:color="auto"/>
            </w:tcBorders>
            <w:shd w:val="clear" w:color="auto" w:fill="auto"/>
            <w:vAlign w:val="bottom"/>
          </w:tcPr>
          <w:p w14:paraId="65D8D6CF" w14:textId="47A6EE1C" w:rsidR="00EE29F0" w:rsidRPr="00E70587" w:rsidRDefault="005A5D4E" w:rsidP="00BB14E5">
            <w:pPr>
              <w:spacing w:line="280" w:lineRule="exact"/>
              <w:jc w:val="right"/>
              <w:rPr>
                <w:rFonts w:ascii="Arial" w:hAnsi="Arial" w:cs="Arial"/>
                <w:b/>
                <w:bCs/>
                <w:sz w:val="20"/>
              </w:rPr>
            </w:pPr>
            <w:r w:rsidRPr="00E70587">
              <w:rPr>
                <w:rFonts w:ascii="Arial" w:hAnsi="Arial" w:cs="Arial"/>
                <w:b/>
                <w:bCs/>
                <w:sz w:val="20"/>
              </w:rPr>
              <w:t>2</w:t>
            </w:r>
            <w:r>
              <w:rPr>
                <w:rFonts w:ascii="Arial" w:hAnsi="Arial" w:cs="Arial"/>
                <w:b/>
                <w:bCs/>
                <w:sz w:val="20"/>
              </w:rPr>
              <w:t>2</w:t>
            </w:r>
            <w:r w:rsidR="006049D6" w:rsidRPr="00E70587">
              <w:rPr>
                <w:rFonts w:ascii="Arial" w:hAnsi="Arial" w:cs="Arial"/>
                <w:b/>
                <w:bCs/>
                <w:sz w:val="20"/>
              </w:rPr>
              <w:t>,</w:t>
            </w:r>
            <w:r>
              <w:rPr>
                <w:rFonts w:ascii="Arial" w:hAnsi="Arial" w:cs="Arial"/>
                <w:b/>
                <w:bCs/>
                <w:sz w:val="20"/>
              </w:rPr>
              <w:t>227</w:t>
            </w:r>
            <w:r w:rsidRPr="00E70587">
              <w:rPr>
                <w:rFonts w:ascii="Arial" w:hAnsi="Arial" w:cs="Arial"/>
                <w:b/>
                <w:bCs/>
                <w:sz w:val="20"/>
              </w:rPr>
              <w:t xml:space="preserve"> </w:t>
            </w:r>
          </w:p>
        </w:tc>
      </w:tr>
      <w:tr w:rsidR="00EE29F0" w:rsidRPr="00E70587" w14:paraId="69121718" w14:textId="77777777" w:rsidTr="00C60489">
        <w:trPr>
          <w:trHeight w:val="282"/>
        </w:trPr>
        <w:tc>
          <w:tcPr>
            <w:tcW w:w="5107" w:type="dxa"/>
            <w:shd w:val="clear" w:color="auto" w:fill="auto"/>
            <w:vAlign w:val="center"/>
          </w:tcPr>
          <w:p w14:paraId="379514EE" w14:textId="77777777" w:rsidR="00EE29F0" w:rsidRPr="00E70587" w:rsidRDefault="00EE29F0" w:rsidP="0029221C">
            <w:pPr>
              <w:spacing w:before="60" w:line="280" w:lineRule="exact"/>
              <w:rPr>
                <w:rFonts w:ascii="Arial" w:hAnsi="Arial" w:cs="Arial"/>
                <w:b/>
                <w:sz w:val="20"/>
              </w:rPr>
            </w:pPr>
            <w:r w:rsidRPr="00E70587">
              <w:rPr>
                <w:rFonts w:ascii="Arial" w:hAnsi="Arial" w:cs="Arial"/>
                <w:b/>
                <w:sz w:val="20"/>
              </w:rPr>
              <w:t>Investing activities</w:t>
            </w:r>
          </w:p>
        </w:tc>
        <w:tc>
          <w:tcPr>
            <w:tcW w:w="912" w:type="dxa"/>
            <w:gridSpan w:val="2"/>
            <w:shd w:val="clear" w:color="auto" w:fill="auto"/>
            <w:vAlign w:val="bottom"/>
          </w:tcPr>
          <w:p w14:paraId="6D50C620" w14:textId="77777777" w:rsidR="00EE29F0" w:rsidRPr="00E70587" w:rsidRDefault="00EE29F0" w:rsidP="00316BDD">
            <w:pPr>
              <w:pStyle w:val="EnvelopeAddress"/>
              <w:framePr w:wrap="auto"/>
              <w:spacing w:line="280" w:lineRule="exact"/>
              <w:jc w:val="center"/>
              <w:rPr>
                <w:sz w:val="20"/>
                <w:szCs w:val="20"/>
              </w:rPr>
            </w:pPr>
          </w:p>
        </w:tc>
        <w:tc>
          <w:tcPr>
            <w:tcW w:w="1733" w:type="dxa"/>
            <w:gridSpan w:val="2"/>
            <w:tcBorders>
              <w:top w:val="single" w:sz="4" w:space="0" w:color="auto"/>
            </w:tcBorders>
            <w:shd w:val="clear" w:color="auto" w:fill="auto"/>
            <w:vAlign w:val="bottom"/>
          </w:tcPr>
          <w:p w14:paraId="4ECDA765" w14:textId="77777777" w:rsidR="00EE29F0" w:rsidRPr="00E70587" w:rsidRDefault="00EE29F0" w:rsidP="0029221C">
            <w:pPr>
              <w:spacing w:line="280" w:lineRule="exact"/>
              <w:jc w:val="right"/>
              <w:rPr>
                <w:rFonts w:ascii="Arial" w:hAnsi="Arial" w:cs="Arial"/>
                <w:i/>
                <w:iCs/>
                <w:sz w:val="20"/>
              </w:rPr>
            </w:pPr>
          </w:p>
        </w:tc>
        <w:tc>
          <w:tcPr>
            <w:tcW w:w="1824" w:type="dxa"/>
            <w:gridSpan w:val="3"/>
            <w:tcBorders>
              <w:top w:val="single" w:sz="4" w:space="0" w:color="auto"/>
            </w:tcBorders>
            <w:shd w:val="clear" w:color="auto" w:fill="auto"/>
            <w:vAlign w:val="bottom"/>
          </w:tcPr>
          <w:p w14:paraId="429BAB94" w14:textId="77777777" w:rsidR="00EE29F0" w:rsidRPr="00E70587" w:rsidRDefault="00EE29F0" w:rsidP="0029221C">
            <w:pPr>
              <w:spacing w:line="280" w:lineRule="exact"/>
              <w:jc w:val="right"/>
              <w:rPr>
                <w:rFonts w:ascii="Arial" w:hAnsi="Arial" w:cs="Arial"/>
                <w:i/>
                <w:iCs/>
                <w:sz w:val="20"/>
              </w:rPr>
            </w:pPr>
          </w:p>
        </w:tc>
      </w:tr>
      <w:tr w:rsidR="00EE29F0" w:rsidRPr="00E70587" w14:paraId="61BA40CC" w14:textId="77777777" w:rsidTr="00C60489">
        <w:trPr>
          <w:trHeight w:val="218"/>
        </w:trPr>
        <w:tc>
          <w:tcPr>
            <w:tcW w:w="5107" w:type="dxa"/>
            <w:vAlign w:val="center"/>
          </w:tcPr>
          <w:p w14:paraId="760CD4BF" w14:textId="77777777" w:rsidR="00EE29F0" w:rsidRPr="00E70587" w:rsidRDefault="00EE29F0" w:rsidP="002922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Proceeds from sale of property, plant and equipment</w:t>
            </w:r>
          </w:p>
        </w:tc>
        <w:tc>
          <w:tcPr>
            <w:tcW w:w="912" w:type="dxa"/>
            <w:gridSpan w:val="2"/>
            <w:vAlign w:val="bottom"/>
          </w:tcPr>
          <w:p w14:paraId="654AAC34"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vAlign w:val="bottom"/>
          </w:tcPr>
          <w:p w14:paraId="7CBD3ACD"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3,583</w:t>
            </w:r>
          </w:p>
        </w:tc>
        <w:tc>
          <w:tcPr>
            <w:tcW w:w="1824" w:type="dxa"/>
            <w:gridSpan w:val="3"/>
            <w:vAlign w:val="bottom"/>
          </w:tcPr>
          <w:p w14:paraId="0285CA9B"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4,173</w:t>
            </w:r>
          </w:p>
        </w:tc>
      </w:tr>
      <w:tr w:rsidR="00EE29F0" w:rsidRPr="00E70587" w14:paraId="51B036FE" w14:textId="77777777" w:rsidTr="00C60489">
        <w:trPr>
          <w:trHeight w:val="234"/>
        </w:trPr>
        <w:tc>
          <w:tcPr>
            <w:tcW w:w="5107" w:type="dxa"/>
            <w:vAlign w:val="center"/>
          </w:tcPr>
          <w:p w14:paraId="4154BD8F" w14:textId="77777777" w:rsidR="00EE29F0" w:rsidRPr="00E70587" w:rsidRDefault="00EE29F0" w:rsidP="002922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Purchase of property, plant and equipment</w:t>
            </w:r>
          </w:p>
        </w:tc>
        <w:tc>
          <w:tcPr>
            <w:tcW w:w="912" w:type="dxa"/>
            <w:gridSpan w:val="2"/>
            <w:vAlign w:val="center"/>
          </w:tcPr>
          <w:p w14:paraId="6AF8F38F" w14:textId="6A097C64"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tcMar>
              <w:right w:w="57" w:type="dxa"/>
            </w:tcMar>
            <w:vAlign w:val="bottom"/>
          </w:tcPr>
          <w:p w14:paraId="6BA4A244"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(18,292)</w:t>
            </w:r>
          </w:p>
        </w:tc>
        <w:tc>
          <w:tcPr>
            <w:tcW w:w="1824" w:type="dxa"/>
            <w:gridSpan w:val="3"/>
            <w:tcMar>
              <w:right w:w="57" w:type="dxa"/>
            </w:tcMar>
            <w:vAlign w:val="bottom"/>
          </w:tcPr>
          <w:p w14:paraId="25F20B82"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(13,810)</w:t>
            </w:r>
          </w:p>
        </w:tc>
      </w:tr>
      <w:tr w:rsidR="00EE29F0" w:rsidRPr="00E70587" w14:paraId="232D46F0" w14:textId="77777777" w:rsidTr="00C60489">
        <w:trPr>
          <w:trHeight w:val="218"/>
        </w:trPr>
        <w:tc>
          <w:tcPr>
            <w:tcW w:w="5107" w:type="dxa"/>
            <w:vAlign w:val="center"/>
          </w:tcPr>
          <w:p w14:paraId="703A9406" w14:textId="77777777" w:rsidR="00EE29F0" w:rsidRPr="00E70587" w:rsidRDefault="00EE29F0" w:rsidP="002922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Purchase of investment properties</w:t>
            </w:r>
          </w:p>
        </w:tc>
        <w:tc>
          <w:tcPr>
            <w:tcW w:w="912" w:type="dxa"/>
            <w:gridSpan w:val="2"/>
            <w:vAlign w:val="center"/>
          </w:tcPr>
          <w:p w14:paraId="124D9DA6" w14:textId="77777777" w:rsidR="00EE29F0" w:rsidRPr="00E70587" w:rsidRDefault="00BB14E5"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4</w:t>
            </w:r>
          </w:p>
        </w:tc>
        <w:tc>
          <w:tcPr>
            <w:tcW w:w="1733" w:type="dxa"/>
            <w:gridSpan w:val="2"/>
            <w:tcMar>
              <w:right w:w="57" w:type="dxa"/>
            </w:tcMar>
            <w:vAlign w:val="bottom"/>
          </w:tcPr>
          <w:p w14:paraId="46A59955"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(2,190)</w:t>
            </w:r>
          </w:p>
        </w:tc>
        <w:tc>
          <w:tcPr>
            <w:tcW w:w="1824" w:type="dxa"/>
            <w:gridSpan w:val="3"/>
            <w:tcMar>
              <w:right w:w="57" w:type="dxa"/>
            </w:tcMar>
            <w:vAlign w:val="bottom"/>
          </w:tcPr>
          <w:p w14:paraId="59F83C47"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(2,145)</w:t>
            </w:r>
          </w:p>
        </w:tc>
      </w:tr>
      <w:tr w:rsidR="00EE29F0" w:rsidRPr="00E70587" w14:paraId="3016AF5A" w14:textId="77777777" w:rsidTr="00C60489">
        <w:trPr>
          <w:trHeight w:val="234"/>
        </w:trPr>
        <w:tc>
          <w:tcPr>
            <w:tcW w:w="5107" w:type="dxa"/>
            <w:shd w:val="clear" w:color="auto" w:fill="auto"/>
            <w:vAlign w:val="center"/>
          </w:tcPr>
          <w:p w14:paraId="1B07222F" w14:textId="77777777" w:rsidR="00EE29F0" w:rsidRPr="00E70587" w:rsidRDefault="00EE29F0" w:rsidP="002922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Purchase of financial instruments</w:t>
            </w:r>
          </w:p>
        </w:tc>
        <w:tc>
          <w:tcPr>
            <w:tcW w:w="912" w:type="dxa"/>
            <w:gridSpan w:val="2"/>
            <w:shd w:val="clear" w:color="auto" w:fill="auto"/>
            <w:vAlign w:val="center"/>
          </w:tcPr>
          <w:p w14:paraId="7BB71300"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shd w:val="clear" w:color="auto" w:fill="auto"/>
            <w:tcMar>
              <w:right w:w="57" w:type="dxa"/>
            </w:tcMar>
            <w:vAlign w:val="bottom"/>
          </w:tcPr>
          <w:p w14:paraId="3960F477"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(5,497)</w:t>
            </w:r>
          </w:p>
        </w:tc>
        <w:tc>
          <w:tcPr>
            <w:tcW w:w="1824" w:type="dxa"/>
            <w:gridSpan w:val="3"/>
            <w:shd w:val="clear" w:color="auto" w:fill="auto"/>
            <w:tcMar>
              <w:right w:w="57" w:type="dxa"/>
            </w:tcMar>
            <w:vAlign w:val="bottom"/>
          </w:tcPr>
          <w:p w14:paraId="578F50AC"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(405)</w:t>
            </w:r>
          </w:p>
        </w:tc>
      </w:tr>
      <w:tr w:rsidR="00EE29F0" w:rsidRPr="00E70587" w14:paraId="4A159FEE" w14:textId="77777777" w:rsidTr="00C60489">
        <w:trPr>
          <w:trHeight w:val="218"/>
        </w:trPr>
        <w:tc>
          <w:tcPr>
            <w:tcW w:w="5107" w:type="dxa"/>
            <w:vAlign w:val="center"/>
          </w:tcPr>
          <w:p w14:paraId="7151D381" w14:textId="77777777" w:rsidR="00EE29F0" w:rsidRPr="00E70587" w:rsidRDefault="00EE29F0" w:rsidP="002922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Proceeds from sale of financial instruments</w:t>
            </w:r>
          </w:p>
        </w:tc>
        <w:tc>
          <w:tcPr>
            <w:tcW w:w="912" w:type="dxa"/>
            <w:gridSpan w:val="2"/>
            <w:vAlign w:val="center"/>
          </w:tcPr>
          <w:p w14:paraId="6B2BE476"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vAlign w:val="bottom"/>
          </w:tcPr>
          <w:p w14:paraId="0DE87297"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w:t>
            </w:r>
          </w:p>
        </w:tc>
        <w:tc>
          <w:tcPr>
            <w:tcW w:w="1824" w:type="dxa"/>
            <w:gridSpan w:val="3"/>
            <w:vAlign w:val="bottom"/>
          </w:tcPr>
          <w:p w14:paraId="2980B7BD"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261</w:t>
            </w:r>
          </w:p>
        </w:tc>
      </w:tr>
      <w:tr w:rsidR="00EE29F0" w:rsidRPr="00E70587" w14:paraId="231480E7" w14:textId="77777777" w:rsidTr="00C60489">
        <w:trPr>
          <w:trHeight w:val="218"/>
        </w:trPr>
        <w:tc>
          <w:tcPr>
            <w:tcW w:w="5107" w:type="dxa"/>
            <w:vAlign w:val="center"/>
          </w:tcPr>
          <w:p w14:paraId="3AA5583C" w14:textId="77777777" w:rsidR="00EE29F0" w:rsidRPr="00E70587" w:rsidRDefault="00EE29F0" w:rsidP="002922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Interest received</w:t>
            </w:r>
          </w:p>
        </w:tc>
        <w:tc>
          <w:tcPr>
            <w:tcW w:w="912" w:type="dxa"/>
            <w:gridSpan w:val="2"/>
            <w:vAlign w:val="center"/>
          </w:tcPr>
          <w:p w14:paraId="7436C96A" w14:textId="77777777" w:rsidR="00EE29F0" w:rsidRPr="00E70587" w:rsidRDefault="00EE29F0"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24</w:t>
            </w:r>
          </w:p>
        </w:tc>
        <w:tc>
          <w:tcPr>
            <w:tcW w:w="1733" w:type="dxa"/>
            <w:gridSpan w:val="2"/>
            <w:vAlign w:val="bottom"/>
          </w:tcPr>
          <w:p w14:paraId="74D9DC9E"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605</w:t>
            </w:r>
          </w:p>
        </w:tc>
        <w:tc>
          <w:tcPr>
            <w:tcW w:w="1824" w:type="dxa"/>
            <w:gridSpan w:val="3"/>
            <w:vAlign w:val="bottom"/>
          </w:tcPr>
          <w:p w14:paraId="64F19601"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380</w:t>
            </w:r>
          </w:p>
        </w:tc>
      </w:tr>
      <w:tr w:rsidR="00EE29F0" w:rsidRPr="00E70587" w14:paraId="0DBC63DB" w14:textId="77777777" w:rsidTr="00C60489">
        <w:trPr>
          <w:trHeight w:val="234"/>
        </w:trPr>
        <w:tc>
          <w:tcPr>
            <w:tcW w:w="5107" w:type="dxa"/>
            <w:vAlign w:val="center"/>
          </w:tcPr>
          <w:p w14:paraId="64A1DDE8" w14:textId="77777777" w:rsidR="00EE29F0" w:rsidRPr="00E70587" w:rsidRDefault="00EE29F0" w:rsidP="002922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Intangible asset under development</w:t>
            </w:r>
          </w:p>
        </w:tc>
        <w:tc>
          <w:tcPr>
            <w:tcW w:w="912" w:type="dxa"/>
            <w:gridSpan w:val="2"/>
            <w:vAlign w:val="center"/>
          </w:tcPr>
          <w:p w14:paraId="30CAEBC4" w14:textId="08F5E877" w:rsidR="00EE29F0" w:rsidRPr="00E70587" w:rsidRDefault="00BB14E5" w:rsidP="00BB14E5">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5</w:t>
            </w:r>
          </w:p>
        </w:tc>
        <w:tc>
          <w:tcPr>
            <w:tcW w:w="1733" w:type="dxa"/>
            <w:gridSpan w:val="2"/>
            <w:tcMar>
              <w:right w:w="57" w:type="dxa"/>
            </w:tcMar>
            <w:vAlign w:val="bottom"/>
          </w:tcPr>
          <w:p w14:paraId="73C399EA"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(1,057)</w:t>
            </w:r>
          </w:p>
        </w:tc>
        <w:tc>
          <w:tcPr>
            <w:tcW w:w="1824" w:type="dxa"/>
            <w:gridSpan w:val="3"/>
            <w:tcMar>
              <w:right w:w="57" w:type="dxa"/>
            </w:tcMar>
            <w:vAlign w:val="bottom"/>
          </w:tcPr>
          <w:p w14:paraId="31F48C70"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(702)</w:t>
            </w:r>
          </w:p>
        </w:tc>
      </w:tr>
      <w:tr w:rsidR="00EE29F0" w:rsidRPr="00E70587" w14:paraId="1A55314B" w14:textId="77777777" w:rsidTr="00C60489">
        <w:trPr>
          <w:trHeight w:val="218"/>
        </w:trPr>
        <w:tc>
          <w:tcPr>
            <w:tcW w:w="5107" w:type="dxa"/>
            <w:vAlign w:val="center"/>
          </w:tcPr>
          <w:p w14:paraId="0F4F80C2" w14:textId="77777777" w:rsidR="00EE29F0" w:rsidRPr="00E70587" w:rsidRDefault="00EE29F0" w:rsidP="002922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Acquisition of a subsidiary, net of cash acquired</w:t>
            </w:r>
          </w:p>
        </w:tc>
        <w:tc>
          <w:tcPr>
            <w:tcW w:w="912" w:type="dxa"/>
            <w:gridSpan w:val="2"/>
            <w:vAlign w:val="center"/>
          </w:tcPr>
          <w:p w14:paraId="780B4ECA" w14:textId="77777777" w:rsidR="00EE29F0" w:rsidRPr="00E70587" w:rsidRDefault="00BB14E5"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36</w:t>
            </w:r>
          </w:p>
        </w:tc>
        <w:tc>
          <w:tcPr>
            <w:tcW w:w="1733" w:type="dxa"/>
            <w:gridSpan w:val="2"/>
            <w:tcMar>
              <w:right w:w="108" w:type="dxa"/>
            </w:tcMar>
            <w:vAlign w:val="bottom"/>
          </w:tcPr>
          <w:p w14:paraId="64DAA40D" w14:textId="77777777" w:rsidR="00EE29F0" w:rsidRPr="00E70587" w:rsidRDefault="00BB14E5" w:rsidP="0029221C">
            <w:pPr>
              <w:spacing w:line="280" w:lineRule="exact"/>
              <w:jc w:val="right"/>
              <w:rPr>
                <w:rFonts w:ascii="Arial" w:hAnsi="Arial" w:cs="Arial"/>
                <w:sz w:val="20"/>
              </w:rPr>
            </w:pPr>
            <w:r w:rsidRPr="00E70587">
              <w:rPr>
                <w:rFonts w:ascii="Arial" w:hAnsi="Arial" w:cs="Arial"/>
                <w:sz w:val="20"/>
              </w:rPr>
              <w:t>(724)</w:t>
            </w:r>
          </w:p>
        </w:tc>
        <w:tc>
          <w:tcPr>
            <w:tcW w:w="1824" w:type="dxa"/>
            <w:gridSpan w:val="3"/>
            <w:tcMar>
              <w:right w:w="57" w:type="dxa"/>
            </w:tcMar>
            <w:vAlign w:val="bottom"/>
          </w:tcPr>
          <w:p w14:paraId="32D46C8D"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(2,610)</w:t>
            </w:r>
          </w:p>
        </w:tc>
      </w:tr>
      <w:tr w:rsidR="00EE29F0" w:rsidRPr="00E70587" w14:paraId="08CD8F06" w14:textId="77777777" w:rsidTr="00C60489">
        <w:trPr>
          <w:trHeight w:val="218"/>
        </w:trPr>
        <w:tc>
          <w:tcPr>
            <w:tcW w:w="5107" w:type="dxa"/>
            <w:vAlign w:val="center"/>
          </w:tcPr>
          <w:p w14:paraId="5150DC71" w14:textId="77777777" w:rsidR="00EE29F0" w:rsidRPr="00E70587" w:rsidRDefault="00EE29F0" w:rsidP="0029221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Receipt of government grants</w:t>
            </w:r>
          </w:p>
        </w:tc>
        <w:tc>
          <w:tcPr>
            <w:tcW w:w="912" w:type="dxa"/>
            <w:gridSpan w:val="2"/>
            <w:vAlign w:val="center"/>
          </w:tcPr>
          <w:p w14:paraId="2625BEDB" w14:textId="77777777" w:rsidR="00EE29F0" w:rsidRPr="00E70587" w:rsidRDefault="00BB14E5" w:rsidP="00316BDD">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17</w:t>
            </w:r>
          </w:p>
        </w:tc>
        <w:tc>
          <w:tcPr>
            <w:tcW w:w="1733" w:type="dxa"/>
            <w:gridSpan w:val="2"/>
            <w:tcBorders>
              <w:bottom w:val="single" w:sz="4" w:space="0" w:color="auto"/>
            </w:tcBorders>
            <w:tcMar>
              <w:right w:w="108" w:type="dxa"/>
            </w:tcMar>
            <w:vAlign w:val="bottom"/>
          </w:tcPr>
          <w:p w14:paraId="1117AF4E" w14:textId="77777777" w:rsidR="00EE29F0" w:rsidRPr="00E70587" w:rsidRDefault="00EE29F0" w:rsidP="00BB14E5">
            <w:pPr>
              <w:spacing w:line="280" w:lineRule="exact"/>
              <w:jc w:val="right"/>
              <w:rPr>
                <w:rFonts w:ascii="Arial" w:hAnsi="Arial" w:cs="Arial"/>
                <w:sz w:val="20"/>
              </w:rPr>
            </w:pPr>
            <w:r w:rsidRPr="00E70587">
              <w:rPr>
                <w:rFonts w:ascii="Arial" w:hAnsi="Arial" w:cs="Arial"/>
                <w:sz w:val="20"/>
              </w:rPr>
              <w:t>5,</w:t>
            </w:r>
            <w:r w:rsidR="00BB14E5" w:rsidRPr="00E70587">
              <w:rPr>
                <w:rFonts w:ascii="Arial" w:hAnsi="Arial" w:cs="Arial"/>
                <w:sz w:val="20"/>
              </w:rPr>
              <w:t>311</w:t>
            </w:r>
          </w:p>
        </w:tc>
        <w:tc>
          <w:tcPr>
            <w:tcW w:w="1824" w:type="dxa"/>
            <w:gridSpan w:val="3"/>
            <w:tcBorders>
              <w:bottom w:val="single" w:sz="4" w:space="0" w:color="auto"/>
            </w:tcBorders>
            <w:vAlign w:val="bottom"/>
          </w:tcPr>
          <w:p w14:paraId="54ACEB59" w14:textId="77777777" w:rsidR="00EE29F0" w:rsidRPr="00E70587" w:rsidRDefault="00EE29F0" w:rsidP="0029221C">
            <w:pPr>
              <w:spacing w:line="280" w:lineRule="exact"/>
              <w:jc w:val="right"/>
              <w:rPr>
                <w:rFonts w:ascii="Arial" w:hAnsi="Arial" w:cs="Arial"/>
                <w:sz w:val="20"/>
              </w:rPr>
            </w:pPr>
            <w:r w:rsidRPr="00E70587">
              <w:rPr>
                <w:rFonts w:ascii="Arial" w:hAnsi="Arial" w:cs="Arial"/>
                <w:sz w:val="20"/>
              </w:rPr>
              <w:t>1,156</w:t>
            </w:r>
          </w:p>
        </w:tc>
      </w:tr>
      <w:tr w:rsidR="00317A81" w:rsidRPr="00E70587" w14:paraId="63E94AED" w14:textId="77777777" w:rsidTr="00C60489">
        <w:trPr>
          <w:trHeight w:val="218"/>
        </w:trPr>
        <w:tc>
          <w:tcPr>
            <w:tcW w:w="5107" w:type="dxa"/>
            <w:shd w:val="clear" w:color="auto" w:fill="auto"/>
            <w:noWrap/>
            <w:tcMar>
              <w:right w:w="0" w:type="dxa"/>
            </w:tcMar>
            <w:vAlign w:val="center"/>
          </w:tcPr>
          <w:p w14:paraId="50F49CEA" w14:textId="5CE3D26E" w:rsidR="00317A81" w:rsidRPr="00E70587" w:rsidRDefault="00317A81" w:rsidP="00317A81">
            <w:pPr>
              <w:pStyle w:val="tablebullet"/>
              <w:numPr>
                <w:ilvl w:val="0"/>
                <w:numId w:val="0"/>
              </w:numPr>
              <w:spacing w:before="0" w:line="280" w:lineRule="exact"/>
              <w:ind w:right="0"/>
              <w:rPr>
                <w:rFonts w:ascii="Arial" w:hAnsi="Arial" w:cs="Arial"/>
                <w:b/>
                <w:spacing w:val="-2"/>
                <w:sz w:val="20"/>
              </w:rPr>
            </w:pPr>
            <w:r w:rsidRPr="00E70587">
              <w:rPr>
                <w:rFonts w:ascii="Arial" w:hAnsi="Arial" w:cs="Arial"/>
                <w:b/>
                <w:sz w:val="20"/>
              </w:rPr>
              <w:t xml:space="preserve">Net cash flows from </w:t>
            </w:r>
            <w:r>
              <w:rPr>
                <w:rFonts w:ascii="Arial" w:hAnsi="Arial" w:cs="Arial"/>
                <w:b/>
                <w:sz w:val="20"/>
              </w:rPr>
              <w:t>investing</w:t>
            </w:r>
            <w:r w:rsidRPr="00E70587">
              <w:rPr>
                <w:rFonts w:ascii="Arial" w:hAnsi="Arial" w:cs="Arial"/>
                <w:b/>
                <w:sz w:val="20"/>
              </w:rPr>
              <w:t xml:space="preserve"> activities</w:t>
            </w:r>
          </w:p>
        </w:tc>
        <w:tc>
          <w:tcPr>
            <w:tcW w:w="912" w:type="dxa"/>
            <w:gridSpan w:val="2"/>
            <w:shd w:val="clear" w:color="auto" w:fill="auto"/>
            <w:tcMar>
              <w:right w:w="0" w:type="dxa"/>
            </w:tcMar>
            <w:vAlign w:val="bottom"/>
          </w:tcPr>
          <w:p w14:paraId="53349EA3" w14:textId="77777777" w:rsidR="00317A81" w:rsidRPr="00E70587" w:rsidRDefault="00317A81" w:rsidP="00317A81">
            <w:pPr>
              <w:pStyle w:val="tablenotes"/>
              <w:tabs>
                <w:tab w:val="clear" w:pos="439"/>
              </w:tabs>
              <w:spacing w:before="0" w:line="280" w:lineRule="exact"/>
              <w:jc w:val="center"/>
              <w:rPr>
                <w:rFonts w:ascii="Arial" w:hAnsi="Arial" w:cs="Arial"/>
                <w:color w:val="auto"/>
                <w:sz w:val="20"/>
              </w:rPr>
            </w:pPr>
          </w:p>
        </w:tc>
        <w:tc>
          <w:tcPr>
            <w:tcW w:w="1733" w:type="dxa"/>
            <w:gridSpan w:val="2"/>
            <w:tcBorders>
              <w:top w:val="single" w:sz="4" w:space="0" w:color="auto"/>
            </w:tcBorders>
            <w:shd w:val="clear" w:color="auto" w:fill="auto"/>
            <w:tcMar>
              <w:right w:w="57" w:type="dxa"/>
            </w:tcMar>
            <w:vAlign w:val="bottom"/>
          </w:tcPr>
          <w:p w14:paraId="24B6C70E" w14:textId="77777777" w:rsidR="00317A81" w:rsidRPr="00E70587" w:rsidRDefault="00317A81" w:rsidP="00317A81">
            <w:pPr>
              <w:spacing w:line="280" w:lineRule="exact"/>
              <w:jc w:val="right"/>
              <w:rPr>
                <w:rFonts w:ascii="Arial" w:hAnsi="Arial" w:cs="Arial"/>
                <w:b/>
                <w:bCs/>
                <w:sz w:val="20"/>
              </w:rPr>
            </w:pPr>
            <w:r w:rsidRPr="00E70587">
              <w:rPr>
                <w:rFonts w:ascii="Arial" w:hAnsi="Arial" w:cs="Arial"/>
                <w:b/>
                <w:bCs/>
                <w:sz w:val="20"/>
              </w:rPr>
              <w:t>(18,261)</w:t>
            </w:r>
          </w:p>
        </w:tc>
        <w:tc>
          <w:tcPr>
            <w:tcW w:w="1824" w:type="dxa"/>
            <w:gridSpan w:val="3"/>
            <w:tcBorders>
              <w:top w:val="single" w:sz="4" w:space="0" w:color="auto"/>
            </w:tcBorders>
            <w:shd w:val="clear" w:color="auto" w:fill="auto"/>
            <w:tcMar>
              <w:right w:w="57" w:type="dxa"/>
            </w:tcMar>
            <w:vAlign w:val="bottom"/>
          </w:tcPr>
          <w:p w14:paraId="12FF36E3" w14:textId="77777777" w:rsidR="00317A81" w:rsidRPr="00E70587" w:rsidRDefault="00317A81" w:rsidP="00317A81">
            <w:pPr>
              <w:spacing w:line="280" w:lineRule="exact"/>
              <w:jc w:val="right"/>
              <w:rPr>
                <w:rFonts w:ascii="Arial" w:hAnsi="Arial" w:cs="Arial"/>
                <w:b/>
                <w:bCs/>
                <w:sz w:val="20"/>
              </w:rPr>
            </w:pPr>
            <w:r w:rsidRPr="00E70587">
              <w:rPr>
                <w:rFonts w:ascii="Arial" w:hAnsi="Arial" w:cs="Arial"/>
                <w:b/>
                <w:bCs/>
                <w:sz w:val="20"/>
              </w:rPr>
              <w:t>(13,702)</w:t>
            </w:r>
          </w:p>
        </w:tc>
      </w:tr>
      <w:tr w:rsidR="00317A81" w:rsidRPr="00E70587" w14:paraId="08BAE614" w14:textId="77777777" w:rsidTr="00C60489">
        <w:trPr>
          <w:trHeight w:val="218"/>
        </w:trPr>
        <w:tc>
          <w:tcPr>
            <w:tcW w:w="5107" w:type="dxa"/>
            <w:shd w:val="clear" w:color="auto" w:fill="auto"/>
            <w:noWrap/>
            <w:tcMar>
              <w:right w:w="0" w:type="dxa"/>
            </w:tcMar>
            <w:vAlign w:val="center"/>
          </w:tcPr>
          <w:p w14:paraId="07EC433D" w14:textId="77777777" w:rsidR="00317A81" w:rsidRPr="00E70587" w:rsidRDefault="00317A81" w:rsidP="00317A81">
            <w:pPr>
              <w:pStyle w:val="tablebullet"/>
              <w:numPr>
                <w:ilvl w:val="0"/>
                <w:numId w:val="0"/>
              </w:numPr>
              <w:spacing w:before="0" w:line="280" w:lineRule="exact"/>
              <w:ind w:right="0"/>
              <w:rPr>
                <w:rFonts w:ascii="Arial" w:hAnsi="Arial" w:cs="Arial"/>
                <w:spacing w:val="-2"/>
                <w:sz w:val="20"/>
              </w:rPr>
            </w:pPr>
          </w:p>
          <w:p w14:paraId="0DDC262C" w14:textId="77777777" w:rsidR="00317A81" w:rsidRPr="00E70587" w:rsidRDefault="00317A81" w:rsidP="00317A81">
            <w:pPr>
              <w:pStyle w:val="tablebullet"/>
              <w:numPr>
                <w:ilvl w:val="0"/>
                <w:numId w:val="0"/>
              </w:numPr>
              <w:spacing w:before="0" w:line="280" w:lineRule="exact"/>
              <w:ind w:right="0"/>
              <w:rPr>
                <w:rFonts w:ascii="Arial" w:hAnsi="Arial" w:cs="Arial"/>
                <w:b/>
                <w:spacing w:val="-2"/>
                <w:sz w:val="20"/>
              </w:rPr>
            </w:pPr>
          </w:p>
        </w:tc>
        <w:tc>
          <w:tcPr>
            <w:tcW w:w="912" w:type="dxa"/>
            <w:gridSpan w:val="2"/>
            <w:shd w:val="clear" w:color="auto" w:fill="auto"/>
            <w:tcMar>
              <w:right w:w="0" w:type="dxa"/>
            </w:tcMar>
            <w:vAlign w:val="bottom"/>
          </w:tcPr>
          <w:p w14:paraId="51B12380" w14:textId="77777777" w:rsidR="00317A81" w:rsidRPr="00E70587" w:rsidRDefault="00317A81" w:rsidP="00317A81">
            <w:pPr>
              <w:pStyle w:val="tablenotes"/>
              <w:tabs>
                <w:tab w:val="clear" w:pos="439"/>
              </w:tabs>
              <w:spacing w:before="0" w:line="280" w:lineRule="exact"/>
              <w:jc w:val="center"/>
              <w:rPr>
                <w:rFonts w:ascii="Arial" w:hAnsi="Arial" w:cs="Arial"/>
                <w:color w:val="auto"/>
                <w:sz w:val="20"/>
              </w:rPr>
            </w:pPr>
          </w:p>
        </w:tc>
        <w:tc>
          <w:tcPr>
            <w:tcW w:w="1733" w:type="dxa"/>
            <w:gridSpan w:val="2"/>
            <w:shd w:val="clear" w:color="auto" w:fill="auto"/>
            <w:tcMar>
              <w:right w:w="57" w:type="dxa"/>
            </w:tcMar>
            <w:vAlign w:val="bottom"/>
          </w:tcPr>
          <w:p w14:paraId="13ABC436" w14:textId="77777777" w:rsidR="00317A81" w:rsidRPr="00E70587" w:rsidRDefault="00317A81" w:rsidP="00317A81">
            <w:pPr>
              <w:spacing w:line="280" w:lineRule="exact"/>
              <w:jc w:val="right"/>
              <w:rPr>
                <w:rFonts w:ascii="Arial" w:hAnsi="Arial" w:cs="Arial"/>
                <w:b/>
                <w:bCs/>
                <w:sz w:val="20"/>
              </w:rPr>
            </w:pPr>
          </w:p>
        </w:tc>
        <w:tc>
          <w:tcPr>
            <w:tcW w:w="1824" w:type="dxa"/>
            <w:gridSpan w:val="3"/>
            <w:shd w:val="clear" w:color="auto" w:fill="auto"/>
            <w:tcMar>
              <w:right w:w="57" w:type="dxa"/>
            </w:tcMar>
            <w:vAlign w:val="bottom"/>
          </w:tcPr>
          <w:p w14:paraId="3F9315DF" w14:textId="77777777" w:rsidR="00317A81" w:rsidRPr="00E70587" w:rsidRDefault="00317A81" w:rsidP="00317A81">
            <w:pPr>
              <w:spacing w:line="280" w:lineRule="exact"/>
              <w:jc w:val="right"/>
              <w:rPr>
                <w:rFonts w:ascii="Arial" w:hAnsi="Arial" w:cs="Arial"/>
                <w:b/>
                <w:bCs/>
                <w:sz w:val="20"/>
              </w:rPr>
            </w:pPr>
          </w:p>
        </w:tc>
      </w:tr>
      <w:tr w:rsidR="00317A81" w:rsidRPr="00E70587" w14:paraId="208DA08C" w14:textId="77777777" w:rsidTr="00C60489">
        <w:trPr>
          <w:trHeight w:val="218"/>
        </w:trPr>
        <w:tc>
          <w:tcPr>
            <w:tcW w:w="5107" w:type="dxa"/>
            <w:vAlign w:val="bottom"/>
          </w:tcPr>
          <w:p w14:paraId="0D4B2A81" w14:textId="77777777" w:rsidR="00317A81" w:rsidRDefault="00317A81" w:rsidP="00317A81">
            <w:pPr>
              <w:pStyle w:val="tabletext"/>
              <w:overflowPunct w:val="0"/>
              <w:autoSpaceDE w:val="0"/>
              <w:autoSpaceDN w:val="0"/>
              <w:adjustRightInd w:val="0"/>
              <w:spacing w:line="280" w:lineRule="exact"/>
              <w:textAlignment w:val="baseline"/>
              <w:rPr>
                <w:rFonts w:ascii="Arial" w:hAnsi="Arial" w:cs="Arial"/>
                <w:b/>
                <w:sz w:val="20"/>
                <w:lang w:val="en-IN"/>
              </w:rPr>
            </w:pPr>
          </w:p>
          <w:p w14:paraId="05194D7C" w14:textId="0A4B7EC6" w:rsidR="00317A81" w:rsidRPr="00E70587" w:rsidRDefault="00317A81" w:rsidP="00317A8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lastRenderedPageBreak/>
              <w:t>Financing activities</w:t>
            </w:r>
          </w:p>
        </w:tc>
        <w:tc>
          <w:tcPr>
            <w:tcW w:w="912" w:type="dxa"/>
            <w:gridSpan w:val="2"/>
            <w:vAlign w:val="bottom"/>
          </w:tcPr>
          <w:p w14:paraId="36BE34B6" w14:textId="77777777" w:rsidR="00317A81" w:rsidRPr="00E70587" w:rsidRDefault="00317A81" w:rsidP="00317A81">
            <w:pPr>
              <w:pStyle w:val="BalloonText"/>
              <w:spacing w:line="280" w:lineRule="exact"/>
              <w:jc w:val="center"/>
              <w:rPr>
                <w:rFonts w:ascii="Arial" w:hAnsi="Arial" w:cs="Arial"/>
                <w:sz w:val="20"/>
                <w:szCs w:val="20"/>
              </w:rPr>
            </w:pPr>
          </w:p>
        </w:tc>
        <w:tc>
          <w:tcPr>
            <w:tcW w:w="1733" w:type="dxa"/>
            <w:gridSpan w:val="2"/>
            <w:vAlign w:val="bottom"/>
          </w:tcPr>
          <w:p w14:paraId="39F8F978" w14:textId="77777777" w:rsidR="00317A81" w:rsidRPr="00E70587" w:rsidRDefault="00317A81" w:rsidP="00317A81">
            <w:pPr>
              <w:spacing w:line="280" w:lineRule="exact"/>
              <w:jc w:val="right"/>
              <w:rPr>
                <w:rFonts w:ascii="Arial" w:hAnsi="Arial" w:cs="Arial"/>
                <w:sz w:val="20"/>
              </w:rPr>
            </w:pPr>
          </w:p>
        </w:tc>
        <w:tc>
          <w:tcPr>
            <w:tcW w:w="1824" w:type="dxa"/>
            <w:gridSpan w:val="3"/>
            <w:vAlign w:val="bottom"/>
          </w:tcPr>
          <w:p w14:paraId="1F8731C9" w14:textId="77777777" w:rsidR="00317A81" w:rsidRPr="00E70587" w:rsidRDefault="00317A81" w:rsidP="00317A81">
            <w:pPr>
              <w:spacing w:line="280" w:lineRule="exact"/>
              <w:jc w:val="right"/>
              <w:rPr>
                <w:rFonts w:ascii="Arial" w:hAnsi="Arial" w:cs="Arial"/>
                <w:sz w:val="20"/>
              </w:rPr>
            </w:pPr>
          </w:p>
        </w:tc>
      </w:tr>
      <w:tr w:rsidR="00317A81" w:rsidRPr="00E70587" w14:paraId="0CCCD409" w14:textId="77777777" w:rsidTr="00C60489">
        <w:trPr>
          <w:trHeight w:val="234"/>
        </w:trPr>
        <w:tc>
          <w:tcPr>
            <w:tcW w:w="5107" w:type="dxa"/>
          </w:tcPr>
          <w:p w14:paraId="7454DAFF" w14:textId="77777777" w:rsidR="00317A81" w:rsidRPr="00E70587" w:rsidRDefault="00317A81" w:rsidP="00317A8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Proceeds from exercise of share options</w:t>
            </w:r>
          </w:p>
        </w:tc>
        <w:tc>
          <w:tcPr>
            <w:tcW w:w="912" w:type="dxa"/>
            <w:gridSpan w:val="2"/>
            <w:vAlign w:val="bottom"/>
          </w:tcPr>
          <w:p w14:paraId="7662550E" w14:textId="77777777" w:rsidR="00317A81" w:rsidRPr="00E70587" w:rsidRDefault="00317A81" w:rsidP="00317A81">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vAlign w:val="bottom"/>
          </w:tcPr>
          <w:p w14:paraId="3565F3FF"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315</w:t>
            </w:r>
          </w:p>
        </w:tc>
        <w:tc>
          <w:tcPr>
            <w:tcW w:w="1824" w:type="dxa"/>
            <w:gridSpan w:val="3"/>
            <w:vAlign w:val="bottom"/>
          </w:tcPr>
          <w:p w14:paraId="234E457F"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360</w:t>
            </w:r>
          </w:p>
        </w:tc>
      </w:tr>
      <w:tr w:rsidR="00317A81" w:rsidRPr="00E70587" w14:paraId="0C7D6DF7" w14:textId="77777777" w:rsidTr="00C60489">
        <w:trPr>
          <w:trHeight w:val="218"/>
        </w:trPr>
        <w:tc>
          <w:tcPr>
            <w:tcW w:w="5107" w:type="dxa"/>
            <w:vAlign w:val="center"/>
          </w:tcPr>
          <w:p w14:paraId="28EF07E8" w14:textId="77777777" w:rsidR="00317A81" w:rsidRPr="00E70587" w:rsidRDefault="00317A81" w:rsidP="00317A8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Acquisition of non-controlling interests</w:t>
            </w:r>
          </w:p>
        </w:tc>
        <w:tc>
          <w:tcPr>
            <w:tcW w:w="912" w:type="dxa"/>
            <w:gridSpan w:val="2"/>
            <w:vAlign w:val="center"/>
          </w:tcPr>
          <w:p w14:paraId="750F1051" w14:textId="77777777" w:rsidR="00317A81" w:rsidRPr="00E70587" w:rsidRDefault="00317A81" w:rsidP="00317A81">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36</w:t>
            </w:r>
          </w:p>
        </w:tc>
        <w:tc>
          <w:tcPr>
            <w:tcW w:w="1733" w:type="dxa"/>
            <w:gridSpan w:val="2"/>
            <w:tcMar>
              <w:right w:w="57" w:type="dxa"/>
            </w:tcMar>
            <w:vAlign w:val="bottom"/>
          </w:tcPr>
          <w:p w14:paraId="5DF1E6BD"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(585)</w:t>
            </w:r>
          </w:p>
        </w:tc>
        <w:tc>
          <w:tcPr>
            <w:tcW w:w="1824" w:type="dxa"/>
            <w:gridSpan w:val="3"/>
            <w:vAlign w:val="bottom"/>
          </w:tcPr>
          <w:p w14:paraId="242DCF7B"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w:t>
            </w:r>
          </w:p>
        </w:tc>
      </w:tr>
      <w:tr w:rsidR="00317A81" w:rsidRPr="00E70587" w14:paraId="5F0469FE" w14:textId="77777777" w:rsidTr="00C60489">
        <w:trPr>
          <w:trHeight w:val="218"/>
        </w:trPr>
        <w:tc>
          <w:tcPr>
            <w:tcW w:w="5107" w:type="dxa"/>
          </w:tcPr>
          <w:p w14:paraId="42F04CC2" w14:textId="77777777" w:rsidR="00317A81" w:rsidRPr="00E70587" w:rsidRDefault="00317A81" w:rsidP="00317A8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Transaction costs on issue of shares</w:t>
            </w:r>
          </w:p>
        </w:tc>
        <w:tc>
          <w:tcPr>
            <w:tcW w:w="912" w:type="dxa"/>
            <w:gridSpan w:val="2"/>
            <w:vAlign w:val="center"/>
          </w:tcPr>
          <w:p w14:paraId="17BD98E1" w14:textId="77777777" w:rsidR="00317A81" w:rsidRPr="00E70587" w:rsidRDefault="00317A81" w:rsidP="00317A81">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36</w:t>
            </w:r>
          </w:p>
        </w:tc>
        <w:tc>
          <w:tcPr>
            <w:tcW w:w="1733" w:type="dxa"/>
            <w:gridSpan w:val="2"/>
            <w:tcMar>
              <w:right w:w="57" w:type="dxa"/>
            </w:tcMar>
            <w:vAlign w:val="bottom"/>
          </w:tcPr>
          <w:p w14:paraId="5F9EA084"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(58)</w:t>
            </w:r>
          </w:p>
        </w:tc>
        <w:tc>
          <w:tcPr>
            <w:tcW w:w="1824" w:type="dxa"/>
            <w:gridSpan w:val="3"/>
            <w:vAlign w:val="bottom"/>
          </w:tcPr>
          <w:p w14:paraId="6380CB4E"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w:t>
            </w:r>
          </w:p>
        </w:tc>
      </w:tr>
      <w:tr w:rsidR="00317A81" w:rsidRPr="00E70587" w14:paraId="029D38B1" w14:textId="77777777" w:rsidTr="00C60489">
        <w:trPr>
          <w:trHeight w:val="234"/>
        </w:trPr>
        <w:tc>
          <w:tcPr>
            <w:tcW w:w="5107" w:type="dxa"/>
          </w:tcPr>
          <w:p w14:paraId="47631C60" w14:textId="2B0C9E74" w:rsidR="00317A81" w:rsidRPr="00E70587" w:rsidRDefault="00317A81" w:rsidP="00317A8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Payment of </w:t>
            </w:r>
            <w:r>
              <w:rPr>
                <w:rFonts w:ascii="Arial" w:hAnsi="Arial" w:cs="Arial"/>
                <w:sz w:val="20"/>
                <w:lang w:val="en-IN"/>
              </w:rPr>
              <w:t xml:space="preserve">principal portion of </w:t>
            </w:r>
            <w:r w:rsidRPr="00E70587">
              <w:rPr>
                <w:rFonts w:ascii="Arial" w:hAnsi="Arial" w:cs="Arial"/>
                <w:sz w:val="20"/>
                <w:lang w:val="en-IN"/>
              </w:rPr>
              <w:t>lease liabilities</w:t>
            </w:r>
            <w:r w:rsidR="002565F9">
              <w:rPr>
                <w:rFonts w:ascii="Arial" w:hAnsi="Arial" w:cs="Arial"/>
                <w:sz w:val="20"/>
                <w:lang w:val="en-IN"/>
              </w:rPr>
              <w:t xml:space="preserve"> (Note 10)</w:t>
            </w:r>
          </w:p>
        </w:tc>
        <w:tc>
          <w:tcPr>
            <w:tcW w:w="912" w:type="dxa"/>
            <w:gridSpan w:val="2"/>
            <w:vAlign w:val="center"/>
          </w:tcPr>
          <w:p w14:paraId="40446651" w14:textId="77777777" w:rsidR="00317A81" w:rsidRPr="00E70587" w:rsidRDefault="00317A81" w:rsidP="00317A81">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tcMar>
              <w:right w:w="57" w:type="dxa"/>
            </w:tcMar>
            <w:vAlign w:val="bottom"/>
          </w:tcPr>
          <w:p w14:paraId="1B160A4B" w14:textId="1E278F7A" w:rsidR="00317A81" w:rsidRPr="00E70587" w:rsidRDefault="00317A81" w:rsidP="00317A81">
            <w:pPr>
              <w:spacing w:line="280" w:lineRule="exact"/>
              <w:jc w:val="right"/>
              <w:rPr>
                <w:rFonts w:ascii="Arial" w:hAnsi="Arial" w:cs="Arial"/>
                <w:sz w:val="20"/>
              </w:rPr>
            </w:pPr>
            <w:r w:rsidRPr="00E70587">
              <w:rPr>
                <w:rFonts w:ascii="Arial" w:hAnsi="Arial" w:cs="Arial"/>
                <w:sz w:val="20"/>
              </w:rPr>
              <w:t>(</w:t>
            </w:r>
            <w:r>
              <w:rPr>
                <w:rFonts w:ascii="Arial" w:hAnsi="Arial" w:cs="Arial"/>
                <w:sz w:val="20"/>
              </w:rPr>
              <w:t>731</w:t>
            </w:r>
            <w:r w:rsidRPr="00E70587">
              <w:rPr>
                <w:rFonts w:ascii="Arial" w:hAnsi="Arial" w:cs="Arial"/>
                <w:sz w:val="20"/>
              </w:rPr>
              <w:t>)</w:t>
            </w:r>
          </w:p>
        </w:tc>
        <w:tc>
          <w:tcPr>
            <w:tcW w:w="1824" w:type="dxa"/>
            <w:gridSpan w:val="3"/>
            <w:tcMar>
              <w:right w:w="57" w:type="dxa"/>
            </w:tcMar>
            <w:vAlign w:val="bottom"/>
          </w:tcPr>
          <w:p w14:paraId="3795A30F" w14:textId="6EB7EBCC" w:rsidR="00317A81" w:rsidRPr="00E70587" w:rsidRDefault="00317A81" w:rsidP="00317A81">
            <w:pPr>
              <w:spacing w:line="280" w:lineRule="exact"/>
              <w:jc w:val="right"/>
              <w:rPr>
                <w:rFonts w:ascii="Arial" w:hAnsi="Arial" w:cs="Arial"/>
                <w:sz w:val="20"/>
              </w:rPr>
            </w:pPr>
            <w:r w:rsidRPr="00E70587">
              <w:rPr>
                <w:rFonts w:ascii="Arial" w:hAnsi="Arial" w:cs="Arial"/>
                <w:sz w:val="20"/>
              </w:rPr>
              <w:t>(</w:t>
            </w:r>
            <w:r>
              <w:rPr>
                <w:rFonts w:ascii="Arial" w:hAnsi="Arial" w:cs="Arial"/>
                <w:sz w:val="20"/>
              </w:rPr>
              <w:t>614</w:t>
            </w:r>
            <w:r w:rsidRPr="00E70587">
              <w:rPr>
                <w:rFonts w:ascii="Arial" w:hAnsi="Arial" w:cs="Arial"/>
                <w:sz w:val="20"/>
              </w:rPr>
              <w:t>)</w:t>
            </w:r>
          </w:p>
        </w:tc>
      </w:tr>
      <w:tr w:rsidR="00317A81" w:rsidRPr="00E70587" w14:paraId="54DE4A6B" w14:textId="77777777" w:rsidTr="00C60489">
        <w:trPr>
          <w:trHeight w:val="218"/>
        </w:trPr>
        <w:tc>
          <w:tcPr>
            <w:tcW w:w="5107" w:type="dxa"/>
          </w:tcPr>
          <w:p w14:paraId="6494814A" w14:textId="60F16FEB" w:rsidR="00317A81" w:rsidRPr="00E70587" w:rsidRDefault="00317A81" w:rsidP="00317A8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Interest Paid</w:t>
            </w:r>
            <w:r w:rsidR="002565F9">
              <w:rPr>
                <w:rFonts w:ascii="Arial" w:hAnsi="Arial" w:cs="Arial"/>
                <w:sz w:val="20"/>
                <w:lang w:val="en-IN"/>
              </w:rPr>
              <w:t xml:space="preserve"> (Note 10)</w:t>
            </w:r>
          </w:p>
        </w:tc>
        <w:tc>
          <w:tcPr>
            <w:tcW w:w="912" w:type="dxa"/>
            <w:gridSpan w:val="2"/>
            <w:vAlign w:val="center"/>
          </w:tcPr>
          <w:p w14:paraId="3030ED6C" w14:textId="77777777" w:rsidR="00317A81" w:rsidRPr="00E70587" w:rsidRDefault="00317A81" w:rsidP="00317A81">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vAlign w:val="bottom"/>
          </w:tcPr>
          <w:p w14:paraId="6011042D" w14:textId="77777777" w:rsidR="00317A81" w:rsidRPr="00E70587" w:rsidRDefault="00317A81" w:rsidP="00317A8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(871)</w:t>
            </w:r>
          </w:p>
        </w:tc>
        <w:tc>
          <w:tcPr>
            <w:tcW w:w="1824" w:type="dxa"/>
            <w:gridSpan w:val="3"/>
            <w:vAlign w:val="bottom"/>
          </w:tcPr>
          <w:p w14:paraId="07DA182E" w14:textId="77777777" w:rsidR="00317A81" w:rsidRPr="00E70587" w:rsidRDefault="00317A81" w:rsidP="00317A8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(1,847)</w:t>
            </w:r>
          </w:p>
        </w:tc>
      </w:tr>
      <w:tr w:rsidR="00317A81" w:rsidRPr="00E70587" w14:paraId="1BED51A6" w14:textId="77777777" w:rsidTr="00C60489">
        <w:trPr>
          <w:trHeight w:val="234"/>
        </w:trPr>
        <w:tc>
          <w:tcPr>
            <w:tcW w:w="5107" w:type="dxa"/>
          </w:tcPr>
          <w:p w14:paraId="6ED9BD11" w14:textId="238357B3" w:rsidR="00317A81" w:rsidRPr="00E70587" w:rsidRDefault="00317A81" w:rsidP="00317A8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Proceeds from borrowings</w:t>
            </w:r>
            <w:r w:rsidR="002565F9">
              <w:rPr>
                <w:rFonts w:ascii="Arial" w:hAnsi="Arial" w:cs="Arial"/>
                <w:sz w:val="20"/>
                <w:lang w:val="en-IN"/>
              </w:rPr>
              <w:t xml:space="preserve"> (Note 10)</w:t>
            </w:r>
          </w:p>
        </w:tc>
        <w:tc>
          <w:tcPr>
            <w:tcW w:w="912" w:type="dxa"/>
            <w:gridSpan w:val="2"/>
            <w:vAlign w:val="center"/>
          </w:tcPr>
          <w:p w14:paraId="323718FB" w14:textId="77777777" w:rsidR="00317A81" w:rsidRPr="00E70587" w:rsidRDefault="00317A81" w:rsidP="00317A81">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vAlign w:val="bottom"/>
          </w:tcPr>
          <w:p w14:paraId="06C62CEE"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10,039</w:t>
            </w:r>
          </w:p>
        </w:tc>
        <w:tc>
          <w:tcPr>
            <w:tcW w:w="1824" w:type="dxa"/>
            <w:gridSpan w:val="3"/>
            <w:vAlign w:val="bottom"/>
          </w:tcPr>
          <w:p w14:paraId="7BB64E78"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4,761</w:t>
            </w:r>
          </w:p>
        </w:tc>
      </w:tr>
      <w:tr w:rsidR="00317A81" w:rsidRPr="00E70587" w14:paraId="5A9ED06B" w14:textId="77777777" w:rsidTr="00C60489">
        <w:trPr>
          <w:trHeight w:val="218"/>
        </w:trPr>
        <w:tc>
          <w:tcPr>
            <w:tcW w:w="5107" w:type="dxa"/>
          </w:tcPr>
          <w:p w14:paraId="7A62111D" w14:textId="2F7CBC28" w:rsidR="00317A81" w:rsidRPr="00E70587" w:rsidRDefault="00317A81" w:rsidP="00317A8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Repayment of borrowings</w:t>
            </w:r>
            <w:r w:rsidR="002565F9">
              <w:rPr>
                <w:rFonts w:ascii="Arial" w:hAnsi="Arial" w:cs="Arial"/>
                <w:sz w:val="20"/>
                <w:lang w:val="en-IN"/>
              </w:rPr>
              <w:t xml:space="preserve"> (Note 10)</w:t>
            </w:r>
          </w:p>
        </w:tc>
        <w:tc>
          <w:tcPr>
            <w:tcW w:w="912" w:type="dxa"/>
            <w:gridSpan w:val="2"/>
            <w:vAlign w:val="center"/>
          </w:tcPr>
          <w:p w14:paraId="1F376E23" w14:textId="77777777" w:rsidR="00317A81" w:rsidRPr="00E70587" w:rsidRDefault="00317A81" w:rsidP="00317A81">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tcMar>
              <w:right w:w="57" w:type="dxa"/>
            </w:tcMar>
            <w:vAlign w:val="bottom"/>
          </w:tcPr>
          <w:p w14:paraId="2C88FE12"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(220)</w:t>
            </w:r>
          </w:p>
        </w:tc>
        <w:tc>
          <w:tcPr>
            <w:tcW w:w="1824" w:type="dxa"/>
            <w:gridSpan w:val="3"/>
            <w:tcMar>
              <w:right w:w="57" w:type="dxa"/>
            </w:tcMar>
            <w:vAlign w:val="bottom"/>
          </w:tcPr>
          <w:p w14:paraId="1E87CBB6"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(3,031)</w:t>
            </w:r>
          </w:p>
        </w:tc>
      </w:tr>
      <w:tr w:rsidR="00317A81" w:rsidRPr="00E70587" w14:paraId="5033960C" w14:textId="77777777" w:rsidTr="00C60489">
        <w:trPr>
          <w:trHeight w:val="218"/>
        </w:trPr>
        <w:tc>
          <w:tcPr>
            <w:tcW w:w="5107" w:type="dxa"/>
            <w:vAlign w:val="center"/>
          </w:tcPr>
          <w:p w14:paraId="19AE87C5" w14:textId="77777777" w:rsidR="00317A81" w:rsidRPr="00E70587" w:rsidRDefault="00317A81" w:rsidP="00317A8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Dividends paid to equity holders of the parent</w:t>
            </w:r>
          </w:p>
        </w:tc>
        <w:tc>
          <w:tcPr>
            <w:tcW w:w="912" w:type="dxa"/>
            <w:gridSpan w:val="2"/>
            <w:vAlign w:val="center"/>
          </w:tcPr>
          <w:p w14:paraId="579B3D73" w14:textId="77777777" w:rsidR="00317A81" w:rsidRPr="00E70587" w:rsidRDefault="00317A81" w:rsidP="00317A81">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13</w:t>
            </w:r>
          </w:p>
        </w:tc>
        <w:tc>
          <w:tcPr>
            <w:tcW w:w="1733" w:type="dxa"/>
            <w:gridSpan w:val="2"/>
            <w:tcMar>
              <w:right w:w="57" w:type="dxa"/>
            </w:tcMar>
          </w:tcPr>
          <w:p w14:paraId="7991370C" w14:textId="20DDDEF5" w:rsidR="00317A81" w:rsidRPr="00E70587" w:rsidRDefault="00317A81" w:rsidP="00317A81">
            <w:pPr>
              <w:spacing w:line="280" w:lineRule="exact"/>
              <w:jc w:val="right"/>
              <w:rPr>
                <w:rFonts w:ascii="Arial" w:hAnsi="Arial" w:cs="Arial"/>
                <w:sz w:val="20"/>
              </w:rPr>
            </w:pPr>
            <w:r w:rsidRPr="00E70587">
              <w:rPr>
                <w:rFonts w:ascii="Arial" w:hAnsi="Arial" w:cs="Arial"/>
                <w:sz w:val="20"/>
              </w:rPr>
              <w:t>(3,</w:t>
            </w:r>
            <w:r w:rsidR="00D30F2E">
              <w:rPr>
                <w:rFonts w:ascii="Arial" w:hAnsi="Arial" w:cs="Arial"/>
                <w:sz w:val="20"/>
              </w:rPr>
              <w:t>550</w:t>
            </w:r>
            <w:r w:rsidRPr="00E70587">
              <w:rPr>
                <w:rFonts w:ascii="Arial" w:hAnsi="Arial" w:cs="Arial"/>
                <w:sz w:val="20"/>
              </w:rPr>
              <w:t>)</w:t>
            </w:r>
          </w:p>
        </w:tc>
        <w:tc>
          <w:tcPr>
            <w:tcW w:w="1824" w:type="dxa"/>
            <w:gridSpan w:val="3"/>
            <w:tcMar>
              <w:right w:w="57" w:type="dxa"/>
            </w:tcMar>
          </w:tcPr>
          <w:p w14:paraId="52F9B222"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(2,591)</w:t>
            </w:r>
          </w:p>
        </w:tc>
      </w:tr>
      <w:tr w:rsidR="00317A81" w:rsidRPr="00E70587" w14:paraId="6D641C0A" w14:textId="77777777" w:rsidTr="00C60489">
        <w:trPr>
          <w:trHeight w:val="218"/>
        </w:trPr>
        <w:tc>
          <w:tcPr>
            <w:tcW w:w="5107" w:type="dxa"/>
          </w:tcPr>
          <w:p w14:paraId="66102013" w14:textId="77777777" w:rsidR="00317A81" w:rsidRPr="00E70587" w:rsidRDefault="00317A81" w:rsidP="00317A8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Dividends paid to non-controlling interests</w:t>
            </w:r>
          </w:p>
        </w:tc>
        <w:tc>
          <w:tcPr>
            <w:tcW w:w="912" w:type="dxa"/>
            <w:gridSpan w:val="2"/>
            <w:vAlign w:val="center"/>
          </w:tcPr>
          <w:p w14:paraId="13AB7151" w14:textId="77777777" w:rsidR="00317A81" w:rsidRPr="00E70587" w:rsidRDefault="00317A81" w:rsidP="00317A81">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tcMar>
              <w:right w:w="57" w:type="dxa"/>
            </w:tcMar>
          </w:tcPr>
          <w:p w14:paraId="3326DFEE"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(54)</w:t>
            </w:r>
          </w:p>
        </w:tc>
        <w:tc>
          <w:tcPr>
            <w:tcW w:w="1824" w:type="dxa"/>
            <w:gridSpan w:val="3"/>
            <w:tcMar>
              <w:right w:w="57" w:type="dxa"/>
            </w:tcMar>
          </w:tcPr>
          <w:p w14:paraId="75698D71"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(88)</w:t>
            </w:r>
          </w:p>
        </w:tc>
      </w:tr>
      <w:tr w:rsidR="00317A81" w:rsidRPr="00E70587" w14:paraId="7802ABA1" w14:textId="77777777" w:rsidTr="00C60489">
        <w:trPr>
          <w:trHeight w:val="218"/>
        </w:trPr>
        <w:tc>
          <w:tcPr>
            <w:tcW w:w="5107" w:type="dxa"/>
            <w:vAlign w:val="center"/>
          </w:tcPr>
          <w:p w14:paraId="34948C5E" w14:textId="77777777" w:rsidR="00317A81" w:rsidRPr="00E70587" w:rsidRDefault="00317A81" w:rsidP="00317A8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Dividend distribution tax</w:t>
            </w:r>
          </w:p>
        </w:tc>
        <w:tc>
          <w:tcPr>
            <w:tcW w:w="912" w:type="dxa"/>
            <w:gridSpan w:val="2"/>
            <w:vAlign w:val="center"/>
          </w:tcPr>
          <w:p w14:paraId="41D9B8CE" w14:textId="77777777" w:rsidR="00317A81" w:rsidRPr="00E70587" w:rsidRDefault="00317A81" w:rsidP="00317A81">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color w:val="000000"/>
                <w:sz w:val="20"/>
                <w:lang w:val="en-IN"/>
              </w:rPr>
              <w:t>13</w:t>
            </w:r>
          </w:p>
        </w:tc>
        <w:tc>
          <w:tcPr>
            <w:tcW w:w="1733" w:type="dxa"/>
            <w:gridSpan w:val="2"/>
            <w:tcMar>
              <w:right w:w="57" w:type="dxa"/>
            </w:tcMar>
          </w:tcPr>
          <w:p w14:paraId="58939BB0" w14:textId="7ABF1B91" w:rsidR="00317A81" w:rsidRPr="00E70587" w:rsidRDefault="002B70A5" w:rsidP="00317A81">
            <w:pPr>
              <w:spacing w:line="280" w:lineRule="exact"/>
              <w:jc w:val="right"/>
              <w:rPr>
                <w:rFonts w:ascii="Arial" w:hAnsi="Arial" w:cs="Arial"/>
                <w:sz w:val="20"/>
              </w:rPr>
            </w:pPr>
            <w:r>
              <w:rPr>
                <w:rFonts w:ascii="Arial" w:hAnsi="Arial" w:cs="Arial"/>
                <w:sz w:val="20"/>
              </w:rPr>
              <w:t>-</w:t>
            </w:r>
          </w:p>
        </w:tc>
        <w:tc>
          <w:tcPr>
            <w:tcW w:w="1824" w:type="dxa"/>
            <w:gridSpan w:val="3"/>
            <w:tcMar>
              <w:right w:w="57" w:type="dxa"/>
            </w:tcMar>
          </w:tcPr>
          <w:p w14:paraId="31C89B83"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(289)</w:t>
            </w:r>
          </w:p>
        </w:tc>
      </w:tr>
      <w:tr w:rsidR="00317A81" w:rsidRPr="00E70587" w14:paraId="507D0A7F" w14:textId="77777777" w:rsidTr="00C60489">
        <w:trPr>
          <w:trHeight w:val="218"/>
        </w:trPr>
        <w:tc>
          <w:tcPr>
            <w:tcW w:w="5107" w:type="dxa"/>
            <w:shd w:val="clear" w:color="auto" w:fill="auto"/>
            <w:vAlign w:val="center"/>
          </w:tcPr>
          <w:p w14:paraId="197F44CA" w14:textId="10917D38" w:rsidR="00317A81" w:rsidRPr="00E70587" w:rsidRDefault="00317A81" w:rsidP="00FF3A2B">
            <w:pPr>
              <w:pStyle w:val="tablebullet"/>
              <w:numPr>
                <w:ilvl w:val="0"/>
                <w:numId w:val="0"/>
              </w:numPr>
              <w:spacing w:before="0" w:line="280" w:lineRule="exact"/>
              <w:ind w:right="1"/>
              <w:rPr>
                <w:rFonts w:ascii="Arial" w:hAnsi="Arial" w:cs="Arial"/>
                <w:b/>
                <w:sz w:val="20"/>
              </w:rPr>
            </w:pPr>
            <w:r w:rsidRPr="00E70587">
              <w:rPr>
                <w:rFonts w:ascii="Arial" w:hAnsi="Arial" w:cs="Arial"/>
                <w:b/>
                <w:sz w:val="20"/>
              </w:rPr>
              <w:t>Net cash flows from</w:t>
            </w:r>
            <w:r w:rsidR="00FF3A2B" w:rsidRPr="00E70587">
              <w:rPr>
                <w:rFonts w:ascii="Arial" w:hAnsi="Arial" w:cs="Arial"/>
                <w:b/>
                <w:sz w:val="20"/>
              </w:rPr>
              <w:t>/ (</w:t>
            </w:r>
            <w:r w:rsidRPr="00E70587">
              <w:rPr>
                <w:rFonts w:ascii="Arial" w:hAnsi="Arial" w:cs="Arial"/>
                <w:b/>
                <w:sz w:val="20"/>
              </w:rPr>
              <w:t>used in) financing activities</w:t>
            </w:r>
          </w:p>
        </w:tc>
        <w:tc>
          <w:tcPr>
            <w:tcW w:w="912" w:type="dxa"/>
            <w:gridSpan w:val="2"/>
            <w:shd w:val="clear" w:color="auto" w:fill="auto"/>
            <w:vAlign w:val="bottom"/>
          </w:tcPr>
          <w:p w14:paraId="427EB241" w14:textId="77777777" w:rsidR="00317A81" w:rsidRPr="00E70587" w:rsidRDefault="00317A81" w:rsidP="00317A81">
            <w:pPr>
              <w:pStyle w:val="tablenotes"/>
              <w:tabs>
                <w:tab w:val="clear" w:pos="439"/>
              </w:tabs>
              <w:spacing w:before="0" w:line="280" w:lineRule="exact"/>
              <w:jc w:val="center"/>
              <w:rPr>
                <w:rFonts w:ascii="Arial" w:hAnsi="Arial" w:cs="Arial"/>
                <w:color w:val="auto"/>
                <w:sz w:val="20"/>
              </w:rPr>
            </w:pPr>
          </w:p>
        </w:tc>
        <w:tc>
          <w:tcPr>
            <w:tcW w:w="1733" w:type="dxa"/>
            <w:gridSpan w:val="2"/>
            <w:tcBorders>
              <w:top w:val="single" w:sz="4" w:space="0" w:color="auto"/>
              <w:bottom w:val="single" w:sz="4" w:space="0" w:color="auto"/>
            </w:tcBorders>
            <w:shd w:val="clear" w:color="auto" w:fill="auto"/>
            <w:tcMar>
              <w:right w:w="108" w:type="dxa"/>
            </w:tcMar>
          </w:tcPr>
          <w:p w14:paraId="11893C49" w14:textId="387D846B" w:rsidR="00317A81" w:rsidRPr="00E70587" w:rsidRDefault="00317A81" w:rsidP="00317A81">
            <w:pPr>
              <w:spacing w:line="280" w:lineRule="exact"/>
              <w:jc w:val="right"/>
              <w:rPr>
                <w:rFonts w:ascii="Arial" w:hAnsi="Arial" w:cs="Arial"/>
                <w:b/>
                <w:bCs/>
                <w:sz w:val="20"/>
              </w:rPr>
            </w:pPr>
            <w:r w:rsidRPr="00E70587">
              <w:rPr>
                <w:rFonts w:ascii="Arial" w:hAnsi="Arial" w:cs="Arial"/>
                <w:b/>
                <w:sz w:val="20"/>
              </w:rPr>
              <w:t>4,</w:t>
            </w:r>
            <w:r>
              <w:rPr>
                <w:rFonts w:ascii="Arial" w:hAnsi="Arial" w:cs="Arial"/>
                <w:b/>
                <w:sz w:val="20"/>
              </w:rPr>
              <w:t>285</w:t>
            </w:r>
          </w:p>
        </w:tc>
        <w:tc>
          <w:tcPr>
            <w:tcW w:w="1824" w:type="dxa"/>
            <w:gridSpan w:val="3"/>
            <w:tcBorders>
              <w:top w:val="single" w:sz="4" w:space="0" w:color="auto"/>
              <w:bottom w:val="single" w:sz="4" w:space="0" w:color="auto"/>
            </w:tcBorders>
            <w:shd w:val="clear" w:color="auto" w:fill="auto"/>
            <w:tcMar>
              <w:right w:w="57" w:type="dxa"/>
            </w:tcMar>
          </w:tcPr>
          <w:p w14:paraId="58DA79BC" w14:textId="3C5B9682" w:rsidR="00317A81" w:rsidRPr="008A0D83" w:rsidRDefault="00317A81" w:rsidP="00317A81">
            <w:pPr>
              <w:spacing w:line="280" w:lineRule="exact"/>
              <w:jc w:val="right"/>
              <w:rPr>
                <w:rFonts w:ascii="Arial" w:hAnsi="Arial" w:cs="Arial"/>
                <w:b/>
                <w:sz w:val="20"/>
              </w:rPr>
            </w:pPr>
            <w:r w:rsidRPr="00E70587">
              <w:rPr>
                <w:rFonts w:ascii="Arial" w:hAnsi="Arial" w:cs="Arial"/>
                <w:b/>
                <w:sz w:val="20"/>
              </w:rPr>
              <w:t>(</w:t>
            </w:r>
            <w:r>
              <w:rPr>
                <w:rFonts w:ascii="Arial" w:hAnsi="Arial" w:cs="Arial"/>
                <w:b/>
                <w:sz w:val="20"/>
              </w:rPr>
              <w:t>3</w:t>
            </w:r>
            <w:r w:rsidRPr="00E70587">
              <w:rPr>
                <w:rFonts w:ascii="Arial" w:hAnsi="Arial" w:cs="Arial"/>
                <w:b/>
                <w:sz w:val="20"/>
              </w:rPr>
              <w:t>,</w:t>
            </w:r>
            <w:r>
              <w:rPr>
                <w:rFonts w:ascii="Arial" w:hAnsi="Arial" w:cs="Arial"/>
                <w:b/>
                <w:sz w:val="20"/>
              </w:rPr>
              <w:t>339</w:t>
            </w:r>
            <w:r w:rsidRPr="00E70587">
              <w:rPr>
                <w:rFonts w:ascii="Arial" w:hAnsi="Arial" w:cs="Arial"/>
                <w:b/>
                <w:sz w:val="20"/>
              </w:rPr>
              <w:t>)</w:t>
            </w:r>
          </w:p>
        </w:tc>
      </w:tr>
      <w:tr w:rsidR="00317A81" w:rsidRPr="00E70587" w14:paraId="382BBC3A" w14:textId="77777777" w:rsidTr="00C60489">
        <w:trPr>
          <w:trHeight w:val="218"/>
        </w:trPr>
        <w:tc>
          <w:tcPr>
            <w:tcW w:w="5107" w:type="dxa"/>
            <w:vAlign w:val="center"/>
          </w:tcPr>
          <w:p w14:paraId="680884DF" w14:textId="77777777" w:rsidR="00317A81" w:rsidRPr="00E70587" w:rsidRDefault="00317A81" w:rsidP="00317A8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Net increase in cash and cash equivalents</w:t>
            </w:r>
          </w:p>
        </w:tc>
        <w:tc>
          <w:tcPr>
            <w:tcW w:w="912" w:type="dxa"/>
            <w:gridSpan w:val="2"/>
            <w:vAlign w:val="bottom"/>
          </w:tcPr>
          <w:p w14:paraId="29DE5DF1" w14:textId="77777777" w:rsidR="00317A81" w:rsidRPr="00E70587" w:rsidRDefault="00317A81" w:rsidP="00317A81">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tcBorders>
              <w:top w:val="single" w:sz="4" w:space="0" w:color="auto"/>
            </w:tcBorders>
          </w:tcPr>
          <w:p w14:paraId="52C6B4DA"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7,555</w:t>
            </w:r>
          </w:p>
        </w:tc>
        <w:tc>
          <w:tcPr>
            <w:tcW w:w="1824" w:type="dxa"/>
            <w:gridSpan w:val="3"/>
            <w:tcBorders>
              <w:top w:val="single" w:sz="4" w:space="0" w:color="auto"/>
            </w:tcBorders>
          </w:tcPr>
          <w:p w14:paraId="2C14E1EB"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5,186</w:t>
            </w:r>
          </w:p>
        </w:tc>
      </w:tr>
      <w:tr w:rsidR="00317A81" w:rsidRPr="00E70587" w14:paraId="09E697AB" w14:textId="77777777" w:rsidTr="00C60489">
        <w:trPr>
          <w:trHeight w:val="218"/>
        </w:trPr>
        <w:tc>
          <w:tcPr>
            <w:tcW w:w="5107" w:type="dxa"/>
            <w:vAlign w:val="center"/>
          </w:tcPr>
          <w:p w14:paraId="00E0DE55" w14:textId="77777777" w:rsidR="00317A81" w:rsidRPr="00E70587" w:rsidRDefault="00317A81" w:rsidP="00317A8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Net foreign exchange difference</w:t>
            </w:r>
          </w:p>
        </w:tc>
        <w:tc>
          <w:tcPr>
            <w:tcW w:w="912" w:type="dxa"/>
            <w:gridSpan w:val="2"/>
            <w:vAlign w:val="bottom"/>
          </w:tcPr>
          <w:p w14:paraId="4DBE0D83" w14:textId="77777777" w:rsidR="00317A81" w:rsidRPr="00E70587" w:rsidRDefault="00317A81" w:rsidP="00317A81">
            <w:pPr>
              <w:pStyle w:val="tabletext"/>
              <w:overflowPunct w:val="0"/>
              <w:autoSpaceDE w:val="0"/>
              <w:autoSpaceDN w:val="0"/>
              <w:adjustRightInd w:val="0"/>
              <w:spacing w:line="280" w:lineRule="exact"/>
              <w:jc w:val="center"/>
              <w:textAlignment w:val="baseline"/>
              <w:rPr>
                <w:rFonts w:ascii="Arial" w:hAnsi="Arial" w:cs="Arial"/>
                <w:sz w:val="20"/>
                <w:lang w:val="en-IN"/>
              </w:rPr>
            </w:pPr>
          </w:p>
        </w:tc>
        <w:tc>
          <w:tcPr>
            <w:tcW w:w="1733" w:type="dxa"/>
            <w:gridSpan w:val="2"/>
          </w:tcPr>
          <w:p w14:paraId="0F1941FF"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981</w:t>
            </w:r>
          </w:p>
        </w:tc>
        <w:tc>
          <w:tcPr>
            <w:tcW w:w="1824" w:type="dxa"/>
            <w:gridSpan w:val="3"/>
          </w:tcPr>
          <w:p w14:paraId="570585B0"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587</w:t>
            </w:r>
          </w:p>
        </w:tc>
      </w:tr>
      <w:tr w:rsidR="00317A81" w:rsidRPr="00E70587" w14:paraId="42F1F109" w14:textId="77777777" w:rsidTr="00C60489">
        <w:trPr>
          <w:trHeight w:val="453"/>
        </w:trPr>
        <w:tc>
          <w:tcPr>
            <w:tcW w:w="5107" w:type="dxa"/>
            <w:vAlign w:val="center"/>
          </w:tcPr>
          <w:p w14:paraId="6E552FB8" w14:textId="77777777" w:rsidR="00317A81" w:rsidRPr="00E70587" w:rsidRDefault="00317A81" w:rsidP="00317A8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Cash and cash equivalents at the beginning of the year</w:t>
            </w:r>
          </w:p>
        </w:tc>
        <w:tc>
          <w:tcPr>
            <w:tcW w:w="912" w:type="dxa"/>
            <w:gridSpan w:val="2"/>
            <w:vAlign w:val="bottom"/>
          </w:tcPr>
          <w:p w14:paraId="55149350" w14:textId="77777777" w:rsidR="00317A81" w:rsidRPr="00E70587" w:rsidRDefault="00317A81" w:rsidP="00317A81">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lang w:val="en-IN"/>
              </w:rPr>
              <w:t>10</w:t>
            </w:r>
          </w:p>
        </w:tc>
        <w:tc>
          <w:tcPr>
            <w:tcW w:w="1733" w:type="dxa"/>
            <w:gridSpan w:val="2"/>
            <w:tcBorders>
              <w:bottom w:val="single" w:sz="4" w:space="0" w:color="auto"/>
            </w:tcBorders>
          </w:tcPr>
          <w:p w14:paraId="11644C71"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21,644</w:t>
            </w:r>
          </w:p>
        </w:tc>
        <w:tc>
          <w:tcPr>
            <w:tcW w:w="1824" w:type="dxa"/>
            <w:gridSpan w:val="3"/>
            <w:tcBorders>
              <w:bottom w:val="single" w:sz="4" w:space="0" w:color="auto"/>
            </w:tcBorders>
          </w:tcPr>
          <w:p w14:paraId="4FD53F80" w14:textId="77777777" w:rsidR="00317A81" w:rsidRPr="00E70587" w:rsidRDefault="00317A81" w:rsidP="00317A81">
            <w:pPr>
              <w:spacing w:line="280" w:lineRule="exact"/>
              <w:jc w:val="right"/>
              <w:rPr>
                <w:rFonts w:ascii="Arial" w:hAnsi="Arial" w:cs="Arial"/>
                <w:sz w:val="20"/>
              </w:rPr>
            </w:pPr>
            <w:r w:rsidRPr="00E70587">
              <w:rPr>
                <w:rFonts w:ascii="Arial" w:hAnsi="Arial" w:cs="Arial"/>
                <w:sz w:val="20"/>
              </w:rPr>
              <w:t>15,871</w:t>
            </w:r>
          </w:p>
        </w:tc>
      </w:tr>
      <w:tr w:rsidR="00317A81" w:rsidRPr="00E70587" w14:paraId="0AA49571" w14:textId="77777777" w:rsidTr="00C60489">
        <w:trPr>
          <w:trHeight w:val="234"/>
        </w:trPr>
        <w:tc>
          <w:tcPr>
            <w:tcW w:w="5107" w:type="dxa"/>
            <w:shd w:val="clear" w:color="auto" w:fill="auto"/>
            <w:tcMar>
              <w:right w:w="28" w:type="dxa"/>
            </w:tcMar>
            <w:vAlign w:val="center"/>
          </w:tcPr>
          <w:p w14:paraId="56B8B073" w14:textId="77777777" w:rsidR="00317A81" w:rsidRPr="00E70587" w:rsidRDefault="00317A81" w:rsidP="00317A81">
            <w:pPr>
              <w:pStyle w:val="tabletxtssm"/>
              <w:spacing w:before="0" w:line="280" w:lineRule="exact"/>
              <w:ind w:right="675"/>
              <w:rPr>
                <w:rFonts w:ascii="Arial" w:hAnsi="Arial" w:cs="Arial"/>
                <w:b/>
                <w:noProof w:val="0"/>
                <w:color w:val="auto"/>
                <w:sz w:val="20"/>
              </w:rPr>
            </w:pPr>
            <w:r w:rsidRPr="00E70587">
              <w:rPr>
                <w:rFonts w:ascii="Arial" w:hAnsi="Arial" w:cs="Arial"/>
                <w:b/>
                <w:noProof w:val="0"/>
                <w:color w:val="auto"/>
                <w:sz w:val="20"/>
              </w:rPr>
              <w:t>Cash and cash equivalents at year end</w:t>
            </w:r>
          </w:p>
        </w:tc>
        <w:tc>
          <w:tcPr>
            <w:tcW w:w="912" w:type="dxa"/>
            <w:gridSpan w:val="2"/>
            <w:shd w:val="clear" w:color="auto" w:fill="auto"/>
            <w:vAlign w:val="bottom"/>
          </w:tcPr>
          <w:p w14:paraId="0655FEE0" w14:textId="77777777" w:rsidR="00317A81" w:rsidRPr="00E70587" w:rsidRDefault="00317A81" w:rsidP="00317A81">
            <w:pPr>
              <w:pStyle w:val="tabletext"/>
              <w:spacing w:line="280" w:lineRule="exact"/>
              <w:jc w:val="center"/>
              <w:rPr>
                <w:rFonts w:ascii="Arial" w:hAnsi="Arial" w:cs="Arial"/>
                <w:sz w:val="20"/>
                <w:lang w:val="en-IN"/>
              </w:rPr>
            </w:pPr>
            <w:r w:rsidRPr="00E70587">
              <w:rPr>
                <w:rFonts w:ascii="Arial" w:hAnsi="Arial" w:cs="Arial"/>
                <w:sz w:val="20"/>
                <w:lang w:val="en-IN"/>
              </w:rPr>
              <w:t>10</w:t>
            </w:r>
          </w:p>
        </w:tc>
        <w:tc>
          <w:tcPr>
            <w:tcW w:w="1733" w:type="dxa"/>
            <w:gridSpan w:val="2"/>
            <w:tcBorders>
              <w:top w:val="single" w:sz="4" w:space="0" w:color="auto"/>
              <w:bottom w:val="double" w:sz="4" w:space="0" w:color="auto"/>
            </w:tcBorders>
            <w:shd w:val="clear" w:color="auto" w:fill="auto"/>
          </w:tcPr>
          <w:p w14:paraId="2C1F9BB6" w14:textId="77777777" w:rsidR="00317A81" w:rsidRPr="00E70587" w:rsidRDefault="00317A81" w:rsidP="00317A81">
            <w:pPr>
              <w:spacing w:line="280" w:lineRule="exact"/>
              <w:jc w:val="right"/>
              <w:rPr>
                <w:rFonts w:ascii="Arial" w:hAnsi="Arial" w:cs="Arial"/>
                <w:b/>
                <w:bCs/>
                <w:sz w:val="20"/>
              </w:rPr>
            </w:pPr>
            <w:r w:rsidRPr="00E70587">
              <w:rPr>
                <w:rFonts w:ascii="Arial" w:hAnsi="Arial" w:cs="Arial"/>
                <w:b/>
                <w:sz w:val="20"/>
              </w:rPr>
              <w:t>30,180</w:t>
            </w:r>
          </w:p>
        </w:tc>
        <w:tc>
          <w:tcPr>
            <w:tcW w:w="1824" w:type="dxa"/>
            <w:gridSpan w:val="3"/>
            <w:tcBorders>
              <w:top w:val="single" w:sz="4" w:space="0" w:color="auto"/>
              <w:bottom w:val="double" w:sz="4" w:space="0" w:color="auto"/>
            </w:tcBorders>
            <w:shd w:val="clear" w:color="auto" w:fill="auto"/>
          </w:tcPr>
          <w:p w14:paraId="53A561C5" w14:textId="77777777" w:rsidR="00317A81" w:rsidRPr="00E70587" w:rsidRDefault="00317A81" w:rsidP="00317A81">
            <w:pPr>
              <w:spacing w:line="280" w:lineRule="exact"/>
              <w:jc w:val="right"/>
              <w:rPr>
                <w:rFonts w:ascii="Arial" w:hAnsi="Arial" w:cs="Arial"/>
                <w:b/>
                <w:bCs/>
                <w:sz w:val="20"/>
              </w:rPr>
            </w:pPr>
            <w:r w:rsidRPr="00E70587">
              <w:rPr>
                <w:rFonts w:ascii="Arial" w:hAnsi="Arial" w:cs="Arial"/>
                <w:b/>
                <w:sz w:val="20"/>
              </w:rPr>
              <w:t>21,644</w:t>
            </w:r>
          </w:p>
        </w:tc>
      </w:tr>
      <w:tr w:rsidR="00317A81" w:rsidRPr="00E70587" w14:paraId="60790009" w14:textId="77777777" w:rsidTr="00C60489">
        <w:trPr>
          <w:trHeight w:val="234"/>
        </w:trPr>
        <w:tc>
          <w:tcPr>
            <w:tcW w:w="5107" w:type="dxa"/>
            <w:shd w:val="clear" w:color="auto" w:fill="auto"/>
            <w:tcMar>
              <w:right w:w="28" w:type="dxa"/>
            </w:tcMar>
            <w:vAlign w:val="center"/>
          </w:tcPr>
          <w:p w14:paraId="6705BF7A" w14:textId="77777777" w:rsidR="00317A81" w:rsidRPr="00E70587" w:rsidRDefault="00317A81" w:rsidP="00317A81">
            <w:pPr>
              <w:overflowPunct/>
              <w:autoSpaceDE/>
              <w:autoSpaceDN/>
              <w:adjustRightInd/>
              <w:spacing w:line="280" w:lineRule="exact"/>
              <w:jc w:val="both"/>
              <w:textAlignment w:val="auto"/>
              <w:rPr>
                <w:rFonts w:ascii="Arial" w:hAnsi="Arial" w:cs="Arial"/>
                <w:sz w:val="22"/>
                <w:szCs w:val="22"/>
              </w:rPr>
            </w:pPr>
          </w:p>
          <w:p w14:paraId="628FAAB2" w14:textId="77777777" w:rsidR="00317A81" w:rsidRPr="00E70587" w:rsidRDefault="00317A81" w:rsidP="00317A81">
            <w:pPr>
              <w:pStyle w:val="tabletxtssm"/>
              <w:spacing w:before="0" w:line="280" w:lineRule="exact"/>
              <w:ind w:right="675"/>
              <w:rPr>
                <w:rFonts w:ascii="Arial" w:hAnsi="Arial" w:cs="Arial"/>
                <w:b/>
                <w:noProof w:val="0"/>
                <w:color w:val="auto"/>
                <w:sz w:val="20"/>
              </w:rPr>
            </w:pPr>
          </w:p>
        </w:tc>
        <w:tc>
          <w:tcPr>
            <w:tcW w:w="912" w:type="dxa"/>
            <w:gridSpan w:val="2"/>
            <w:shd w:val="clear" w:color="auto" w:fill="auto"/>
            <w:vAlign w:val="bottom"/>
          </w:tcPr>
          <w:p w14:paraId="3C9466C6" w14:textId="77777777" w:rsidR="00317A81" w:rsidRPr="00E70587" w:rsidRDefault="00317A81" w:rsidP="00317A81">
            <w:pPr>
              <w:pStyle w:val="tabletext"/>
              <w:spacing w:line="280" w:lineRule="exact"/>
              <w:jc w:val="center"/>
              <w:rPr>
                <w:rFonts w:ascii="Arial" w:hAnsi="Arial" w:cs="Arial"/>
                <w:sz w:val="20"/>
                <w:lang w:val="en-IN"/>
              </w:rPr>
            </w:pPr>
          </w:p>
        </w:tc>
        <w:tc>
          <w:tcPr>
            <w:tcW w:w="1733" w:type="dxa"/>
            <w:gridSpan w:val="2"/>
            <w:tcBorders>
              <w:top w:val="single" w:sz="4" w:space="0" w:color="auto"/>
              <w:bottom w:val="double" w:sz="4" w:space="0" w:color="auto"/>
            </w:tcBorders>
            <w:shd w:val="clear" w:color="auto" w:fill="auto"/>
          </w:tcPr>
          <w:p w14:paraId="24379A4A" w14:textId="77777777" w:rsidR="00317A81" w:rsidRPr="00E70587" w:rsidRDefault="00317A81" w:rsidP="00317A81">
            <w:pPr>
              <w:spacing w:line="280" w:lineRule="exact"/>
              <w:jc w:val="right"/>
              <w:rPr>
                <w:rFonts w:ascii="Arial" w:hAnsi="Arial" w:cs="Arial"/>
                <w:b/>
                <w:sz w:val="20"/>
              </w:rPr>
            </w:pPr>
          </w:p>
        </w:tc>
        <w:tc>
          <w:tcPr>
            <w:tcW w:w="1824" w:type="dxa"/>
            <w:gridSpan w:val="3"/>
            <w:tcBorders>
              <w:top w:val="single" w:sz="4" w:space="0" w:color="auto"/>
              <w:bottom w:val="double" w:sz="4" w:space="0" w:color="auto"/>
            </w:tcBorders>
            <w:shd w:val="clear" w:color="auto" w:fill="auto"/>
          </w:tcPr>
          <w:p w14:paraId="0426D2FE" w14:textId="77777777" w:rsidR="00317A81" w:rsidRPr="00E70587" w:rsidRDefault="00317A81" w:rsidP="00317A81">
            <w:pPr>
              <w:spacing w:line="280" w:lineRule="exact"/>
              <w:jc w:val="right"/>
              <w:rPr>
                <w:rFonts w:ascii="Arial" w:hAnsi="Arial" w:cs="Arial"/>
                <w:b/>
                <w:sz w:val="20"/>
              </w:rPr>
            </w:pPr>
          </w:p>
        </w:tc>
      </w:tr>
      <w:tr w:rsidR="00317A81" w:rsidRPr="006C6807" w14:paraId="6AECDBE0" w14:textId="7BA5F030" w:rsidTr="00C60489">
        <w:trPr>
          <w:gridAfter w:val="1"/>
          <w:wAfter w:w="36" w:type="dxa"/>
        </w:trPr>
        <w:tc>
          <w:tcPr>
            <w:tcW w:w="5130" w:type="dxa"/>
            <w:gridSpan w:val="2"/>
            <w:vAlign w:val="center"/>
          </w:tcPr>
          <w:p w14:paraId="1D034817" w14:textId="20A9D970" w:rsidR="00317A81" w:rsidRPr="006C6807" w:rsidRDefault="00317A81" w:rsidP="00317A81">
            <w:pPr>
              <w:pStyle w:val="tabletext"/>
              <w:overflowPunct w:val="0"/>
              <w:autoSpaceDE w:val="0"/>
              <w:autoSpaceDN w:val="0"/>
              <w:adjustRightInd w:val="0"/>
              <w:spacing w:before="40" w:after="40" w:line="280" w:lineRule="exact"/>
              <w:textAlignment w:val="baseline"/>
              <w:rPr>
                <w:rFonts w:ascii="Arial" w:hAnsi="Arial" w:cs="Arial"/>
                <w:b/>
                <w:color w:val="000000"/>
                <w:sz w:val="20"/>
                <w:lang w:val="en-IN"/>
              </w:rPr>
            </w:pPr>
            <w:r w:rsidRPr="006C6807">
              <w:rPr>
                <w:rFonts w:ascii="Arial" w:hAnsi="Arial" w:cs="Arial"/>
                <w:b/>
                <w:color w:val="000000"/>
                <w:sz w:val="20"/>
                <w:lang w:val="en-IN"/>
              </w:rPr>
              <w:t>Key non-cash investing transaction</w:t>
            </w:r>
          </w:p>
        </w:tc>
        <w:tc>
          <w:tcPr>
            <w:tcW w:w="900" w:type="dxa"/>
            <w:gridSpan w:val="2"/>
            <w:vAlign w:val="center"/>
          </w:tcPr>
          <w:p w14:paraId="21F166A2" w14:textId="41D1B7DF" w:rsidR="00317A81" w:rsidRPr="006C6807" w:rsidRDefault="00317A81" w:rsidP="00317A81">
            <w:pPr>
              <w:pStyle w:val="tabletext"/>
              <w:overflowPunct w:val="0"/>
              <w:autoSpaceDE w:val="0"/>
              <w:autoSpaceDN w:val="0"/>
              <w:adjustRightInd w:val="0"/>
              <w:spacing w:before="40" w:after="40" w:line="280" w:lineRule="exact"/>
              <w:jc w:val="center"/>
              <w:textAlignment w:val="baseline"/>
              <w:rPr>
                <w:rFonts w:ascii="Arial" w:hAnsi="Arial" w:cs="Arial"/>
                <w:color w:val="000000"/>
                <w:sz w:val="20"/>
                <w:lang w:val="en-IN"/>
              </w:rPr>
            </w:pPr>
          </w:p>
        </w:tc>
        <w:tc>
          <w:tcPr>
            <w:tcW w:w="1728" w:type="dxa"/>
            <w:gridSpan w:val="2"/>
            <w:vAlign w:val="center"/>
          </w:tcPr>
          <w:p w14:paraId="44FB2B3E" w14:textId="2587B836" w:rsidR="00317A81" w:rsidRPr="006C6807" w:rsidRDefault="00317A81" w:rsidP="00317A81">
            <w:pPr>
              <w:spacing w:before="40" w:after="40"/>
              <w:jc w:val="right"/>
              <w:rPr>
                <w:rFonts w:ascii="Arial" w:hAnsi="Arial" w:cs="Arial"/>
                <w:sz w:val="20"/>
              </w:rPr>
            </w:pPr>
          </w:p>
        </w:tc>
        <w:tc>
          <w:tcPr>
            <w:tcW w:w="1782" w:type="dxa"/>
            <w:vAlign w:val="center"/>
          </w:tcPr>
          <w:p w14:paraId="72B6D3EB" w14:textId="62B2AD0E" w:rsidR="00317A81" w:rsidRPr="006C6807" w:rsidRDefault="00317A81" w:rsidP="00317A81">
            <w:pPr>
              <w:spacing w:before="40" w:after="40"/>
              <w:jc w:val="right"/>
              <w:rPr>
                <w:rFonts w:ascii="Arial" w:hAnsi="Arial" w:cs="Arial"/>
                <w:sz w:val="20"/>
                <w:lang w:val="en-US"/>
              </w:rPr>
            </w:pPr>
          </w:p>
        </w:tc>
      </w:tr>
      <w:tr w:rsidR="00317A81" w:rsidRPr="006C6807" w14:paraId="04584C30" w14:textId="18141A8E" w:rsidTr="00C60489">
        <w:trPr>
          <w:gridAfter w:val="1"/>
          <w:wAfter w:w="36" w:type="dxa"/>
        </w:trPr>
        <w:tc>
          <w:tcPr>
            <w:tcW w:w="5130" w:type="dxa"/>
            <w:gridSpan w:val="2"/>
            <w:vAlign w:val="center"/>
          </w:tcPr>
          <w:p w14:paraId="58474951" w14:textId="36581C4F" w:rsidR="00317A81" w:rsidRPr="006C6807" w:rsidRDefault="00317A81" w:rsidP="00317A81">
            <w:pPr>
              <w:pStyle w:val="tabletext"/>
              <w:overflowPunct w:val="0"/>
              <w:autoSpaceDE w:val="0"/>
              <w:autoSpaceDN w:val="0"/>
              <w:adjustRightInd w:val="0"/>
              <w:spacing w:before="40" w:after="40" w:line="280" w:lineRule="exact"/>
              <w:textAlignment w:val="baseline"/>
              <w:rPr>
                <w:rFonts w:ascii="Arial" w:hAnsi="Arial" w:cs="Arial"/>
                <w:color w:val="000000"/>
                <w:sz w:val="20"/>
                <w:lang w:val="en-IN"/>
              </w:rPr>
            </w:pPr>
            <w:r w:rsidRPr="006C6807">
              <w:rPr>
                <w:rFonts w:ascii="Arial" w:hAnsi="Arial" w:cs="Arial"/>
                <w:color w:val="000000"/>
                <w:sz w:val="20"/>
                <w:lang w:val="en-IN"/>
              </w:rPr>
              <w:t>Acquisition of Extinguishers Limited by issue of equity shares and incurrence of contingent consideration liability</w:t>
            </w:r>
          </w:p>
        </w:tc>
        <w:tc>
          <w:tcPr>
            <w:tcW w:w="900" w:type="dxa"/>
            <w:gridSpan w:val="2"/>
            <w:vAlign w:val="center"/>
          </w:tcPr>
          <w:p w14:paraId="41D47E4B" w14:textId="2F0759DB" w:rsidR="00317A81" w:rsidRPr="006C6807" w:rsidRDefault="00317A81" w:rsidP="00317A81">
            <w:pPr>
              <w:pStyle w:val="tabletext"/>
              <w:overflowPunct w:val="0"/>
              <w:autoSpaceDE w:val="0"/>
              <w:autoSpaceDN w:val="0"/>
              <w:adjustRightInd w:val="0"/>
              <w:spacing w:before="40" w:after="40" w:line="280" w:lineRule="exact"/>
              <w:jc w:val="center"/>
              <w:textAlignment w:val="baseline"/>
              <w:rPr>
                <w:rFonts w:ascii="Arial" w:hAnsi="Arial" w:cs="Arial"/>
                <w:color w:val="000000"/>
                <w:sz w:val="20"/>
                <w:lang w:val="en-IN"/>
              </w:rPr>
            </w:pPr>
            <w:r w:rsidRPr="006C6807">
              <w:rPr>
                <w:rFonts w:ascii="Arial" w:hAnsi="Arial" w:cs="Arial"/>
                <w:color w:val="000000"/>
                <w:sz w:val="20"/>
                <w:lang w:val="en-IN"/>
              </w:rPr>
              <w:t>36</w:t>
            </w:r>
          </w:p>
        </w:tc>
        <w:tc>
          <w:tcPr>
            <w:tcW w:w="1728" w:type="dxa"/>
            <w:gridSpan w:val="2"/>
            <w:vAlign w:val="center"/>
          </w:tcPr>
          <w:p w14:paraId="0FFDE33C" w14:textId="03CE5BE2" w:rsidR="00317A81" w:rsidRPr="006C6807" w:rsidRDefault="00317A81" w:rsidP="00317A81">
            <w:pPr>
              <w:spacing w:before="40" w:after="40"/>
              <w:jc w:val="right"/>
              <w:rPr>
                <w:rFonts w:ascii="Arial" w:hAnsi="Arial" w:cs="Arial"/>
                <w:sz w:val="20"/>
              </w:rPr>
            </w:pPr>
            <w:r w:rsidRPr="006C6807">
              <w:rPr>
                <w:rFonts w:ascii="Arial" w:hAnsi="Arial" w:cs="Arial"/>
                <w:sz w:val="20"/>
              </w:rPr>
              <w:t>14,251</w:t>
            </w:r>
          </w:p>
        </w:tc>
        <w:tc>
          <w:tcPr>
            <w:tcW w:w="1782" w:type="dxa"/>
            <w:vAlign w:val="center"/>
          </w:tcPr>
          <w:p w14:paraId="1A031C10" w14:textId="221844CC" w:rsidR="00317A81" w:rsidRPr="006C6807" w:rsidRDefault="00317A81" w:rsidP="00317A81">
            <w:pPr>
              <w:spacing w:before="40" w:after="40"/>
              <w:jc w:val="right"/>
              <w:rPr>
                <w:rFonts w:ascii="Arial" w:hAnsi="Arial" w:cs="Arial"/>
                <w:sz w:val="20"/>
              </w:rPr>
            </w:pPr>
            <w:r w:rsidRPr="006C6807">
              <w:rPr>
                <w:rFonts w:ascii="Arial" w:hAnsi="Arial" w:cs="Arial"/>
                <w:sz w:val="20"/>
              </w:rPr>
              <w:t>-</w:t>
            </w:r>
          </w:p>
        </w:tc>
      </w:tr>
    </w:tbl>
    <w:p w14:paraId="4A6F6DA8" w14:textId="77777777" w:rsidR="00B0714E" w:rsidRPr="00E70587" w:rsidRDefault="00B0714E" w:rsidP="0029221C">
      <w:pPr>
        <w:pStyle w:val="tabletext"/>
        <w:overflowPunct w:val="0"/>
        <w:autoSpaceDE w:val="0"/>
        <w:autoSpaceDN w:val="0"/>
        <w:adjustRightInd w:val="0"/>
        <w:spacing w:line="280" w:lineRule="exact"/>
        <w:textAlignment w:val="baseline"/>
        <w:rPr>
          <w:rFonts w:ascii="Arial" w:hAnsi="Arial" w:cs="Arial"/>
          <w:sz w:val="20"/>
          <w:lang w:val="en-IN"/>
        </w:rPr>
      </w:pPr>
    </w:p>
    <w:tbl>
      <w:tblPr>
        <w:tblW w:w="9576" w:type="dxa"/>
        <w:tblLook w:val="0000" w:firstRow="0" w:lastRow="0" w:firstColumn="0" w:lastColumn="0" w:noHBand="0" w:noVBand="0"/>
      </w:tblPr>
      <w:tblGrid>
        <w:gridCol w:w="9576"/>
      </w:tblGrid>
      <w:tr w:rsidR="0029221C" w:rsidRPr="00E70587" w14:paraId="0F03D0B4" w14:textId="77777777" w:rsidTr="0029221C">
        <w:tc>
          <w:tcPr>
            <w:tcW w:w="9450" w:type="dxa"/>
            <w:shd w:val="clear" w:color="auto" w:fill="A2A2A2" w:themeFill="background1" w:themeFillTint="99"/>
          </w:tcPr>
          <w:p w14:paraId="2FCEA3EB" w14:textId="77777777" w:rsidR="0029221C" w:rsidRPr="00E70587" w:rsidRDefault="0029221C" w:rsidP="00915156">
            <w:pPr>
              <w:pStyle w:val="tabletext"/>
              <w:overflowPunct w:val="0"/>
              <w:autoSpaceDE w:val="0"/>
              <w:autoSpaceDN w:val="0"/>
              <w:adjustRightInd w:val="0"/>
              <w:spacing w:line="280" w:lineRule="exact"/>
              <w:jc w:val="both"/>
              <w:textAlignment w:val="baseline"/>
              <w:rPr>
                <w:rFonts w:ascii="Arial" w:hAnsi="Arial" w:cs="Arial"/>
                <w:b/>
                <w:sz w:val="20"/>
                <w:lang w:val="en-IN"/>
              </w:rPr>
            </w:pPr>
            <w:r w:rsidRPr="00E70587">
              <w:rPr>
                <w:rFonts w:ascii="Arial" w:hAnsi="Arial" w:cs="Arial"/>
                <w:b/>
                <w:sz w:val="20"/>
                <w:lang w:val="en-IN"/>
              </w:rPr>
              <w:t>Authors’ note</w:t>
            </w:r>
          </w:p>
          <w:p w14:paraId="257338B4" w14:textId="77777777" w:rsidR="00915156" w:rsidRPr="00E70587" w:rsidRDefault="00915156" w:rsidP="00915156">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50530C0F" w14:textId="77777777" w:rsidR="0029221C" w:rsidRPr="00E70587" w:rsidRDefault="0029221C" w:rsidP="00915156">
            <w:pPr>
              <w:pStyle w:val="tabletext"/>
              <w:overflowPunct w:val="0"/>
              <w:autoSpaceDE w:val="0"/>
              <w:autoSpaceDN w:val="0"/>
              <w:adjustRightInd w:val="0"/>
              <w:spacing w:line="280" w:lineRule="exact"/>
              <w:jc w:val="both"/>
              <w:textAlignment w:val="baseline"/>
              <w:rPr>
                <w:rFonts w:ascii="Arial" w:hAnsi="Arial" w:cs="Arial"/>
                <w:sz w:val="20"/>
                <w:lang w:val="en-IN"/>
              </w:rPr>
            </w:pPr>
            <w:r w:rsidRPr="00E70587">
              <w:rPr>
                <w:rFonts w:ascii="Arial" w:hAnsi="Arial" w:cs="Arial"/>
                <w:sz w:val="20"/>
                <w:lang w:val="en-IN"/>
              </w:rPr>
              <w:t>The Group has reconciled profit before tax to net cash flows from operating activities. However, reconciliation from profit after tax is also acceptable under Ind-AS 7.</w:t>
            </w:r>
          </w:p>
          <w:p w14:paraId="1D027DE8" w14:textId="77777777" w:rsidR="0029221C" w:rsidRPr="00E70587" w:rsidRDefault="0029221C" w:rsidP="00915156">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03A4FAB0" w14:textId="7A568EA2" w:rsidR="0029221C" w:rsidRPr="00E70587" w:rsidRDefault="0029221C" w:rsidP="00915156">
            <w:pPr>
              <w:pStyle w:val="tabletext"/>
              <w:overflowPunct w:val="0"/>
              <w:autoSpaceDE w:val="0"/>
              <w:autoSpaceDN w:val="0"/>
              <w:adjustRightInd w:val="0"/>
              <w:spacing w:line="280" w:lineRule="exact"/>
              <w:jc w:val="both"/>
              <w:textAlignment w:val="baseline"/>
              <w:rPr>
                <w:rFonts w:ascii="Arial" w:hAnsi="Arial" w:cs="Arial"/>
                <w:sz w:val="20"/>
                <w:lang w:val="en-IN"/>
              </w:rPr>
            </w:pPr>
            <w:r w:rsidRPr="00E70587">
              <w:rPr>
                <w:rFonts w:ascii="Arial" w:hAnsi="Arial" w:cs="Arial"/>
                <w:sz w:val="20"/>
                <w:lang w:val="en-IN"/>
              </w:rPr>
              <w:t xml:space="preserve">Certain working capital adjustments and other adjustments included in the statement of cash flow, reflect the change in balances between 31 </w:t>
            </w:r>
            <w:r w:rsidR="00E1202D" w:rsidRPr="00E70587">
              <w:rPr>
                <w:rFonts w:ascii="Arial" w:hAnsi="Arial" w:cs="Arial"/>
                <w:sz w:val="20"/>
                <w:lang w:val="en-IN"/>
              </w:rPr>
              <w:t xml:space="preserve">March </w:t>
            </w:r>
            <w:r w:rsidR="0089646A" w:rsidRPr="00E70587">
              <w:rPr>
                <w:rFonts w:ascii="Arial" w:hAnsi="Arial" w:cs="Arial"/>
                <w:sz w:val="20"/>
                <w:lang w:val="en-IN"/>
              </w:rPr>
              <w:t>20</w:t>
            </w:r>
            <w:r w:rsidR="0089646A">
              <w:rPr>
                <w:rFonts w:ascii="Arial" w:hAnsi="Arial" w:cs="Arial"/>
                <w:sz w:val="20"/>
                <w:lang w:val="en-IN"/>
              </w:rPr>
              <w:t>21</w:t>
            </w:r>
            <w:r w:rsidR="0089646A" w:rsidRPr="00E70587">
              <w:rPr>
                <w:rFonts w:ascii="Arial" w:hAnsi="Arial" w:cs="Arial"/>
                <w:sz w:val="20"/>
                <w:lang w:val="en-IN"/>
              </w:rPr>
              <w:t xml:space="preserve"> </w:t>
            </w:r>
            <w:r w:rsidRPr="00E70587">
              <w:rPr>
                <w:rFonts w:ascii="Arial" w:hAnsi="Arial" w:cs="Arial"/>
                <w:sz w:val="20"/>
                <w:lang w:val="en-IN"/>
              </w:rPr>
              <w:t xml:space="preserve">and 31 </w:t>
            </w:r>
            <w:r w:rsidR="008B730E" w:rsidRPr="00E70587">
              <w:rPr>
                <w:rFonts w:ascii="Arial" w:hAnsi="Arial" w:cs="Arial"/>
                <w:sz w:val="20"/>
                <w:lang w:val="en-IN"/>
              </w:rPr>
              <w:t xml:space="preserve">March </w:t>
            </w:r>
            <w:r w:rsidR="0089646A" w:rsidRPr="00E70587">
              <w:rPr>
                <w:rFonts w:ascii="Arial" w:hAnsi="Arial" w:cs="Arial"/>
                <w:sz w:val="20"/>
                <w:lang w:val="en-IN"/>
              </w:rPr>
              <w:t>20</w:t>
            </w:r>
            <w:r w:rsidR="0089646A">
              <w:rPr>
                <w:rFonts w:ascii="Arial" w:hAnsi="Arial" w:cs="Arial"/>
                <w:sz w:val="20"/>
                <w:lang w:val="en-IN"/>
              </w:rPr>
              <w:t>20</w:t>
            </w:r>
            <w:r w:rsidR="0089646A" w:rsidRPr="00E70587">
              <w:rPr>
                <w:rFonts w:ascii="Arial" w:hAnsi="Arial" w:cs="Arial"/>
                <w:sz w:val="20"/>
                <w:lang w:val="en-IN"/>
              </w:rPr>
              <w:t xml:space="preserve"> </w:t>
            </w:r>
            <w:r w:rsidRPr="00E70587">
              <w:rPr>
                <w:rFonts w:ascii="Arial" w:hAnsi="Arial" w:cs="Arial"/>
                <w:sz w:val="20"/>
                <w:lang w:val="en-IN"/>
              </w:rPr>
              <w:t xml:space="preserve">including the 31 </w:t>
            </w:r>
            <w:r w:rsidR="00E1202D" w:rsidRPr="00E70587">
              <w:rPr>
                <w:rFonts w:ascii="Arial" w:hAnsi="Arial" w:cs="Arial"/>
                <w:sz w:val="20"/>
                <w:lang w:val="en-IN"/>
              </w:rPr>
              <w:t xml:space="preserve">March </w:t>
            </w:r>
            <w:r w:rsidR="0089646A" w:rsidRPr="00E70587">
              <w:rPr>
                <w:rFonts w:ascii="Arial" w:hAnsi="Arial" w:cs="Arial"/>
                <w:sz w:val="20"/>
                <w:lang w:val="en-IN"/>
              </w:rPr>
              <w:t>20</w:t>
            </w:r>
            <w:r w:rsidR="0089646A">
              <w:rPr>
                <w:rFonts w:ascii="Arial" w:hAnsi="Arial" w:cs="Arial"/>
                <w:sz w:val="20"/>
                <w:lang w:val="en-IN"/>
              </w:rPr>
              <w:t>21</w:t>
            </w:r>
            <w:r w:rsidR="0089646A" w:rsidRPr="00E70587">
              <w:rPr>
                <w:rFonts w:ascii="Arial" w:hAnsi="Arial" w:cs="Arial"/>
                <w:sz w:val="20"/>
                <w:lang w:val="en-IN"/>
              </w:rPr>
              <w:t xml:space="preserve"> </w:t>
            </w:r>
            <w:r w:rsidRPr="00E70587">
              <w:rPr>
                <w:rFonts w:ascii="Arial" w:hAnsi="Arial" w:cs="Arial"/>
                <w:sz w:val="20"/>
                <w:lang w:val="en-IN"/>
              </w:rPr>
              <w:t xml:space="preserve">balances of the discontinued operations grouped in line-items ‘assets classified as held for </w:t>
            </w:r>
            <w:r w:rsidR="00CE5521">
              <w:rPr>
                <w:rFonts w:ascii="Arial" w:hAnsi="Arial" w:cs="Arial"/>
                <w:sz w:val="20"/>
                <w:lang w:val="en-IN"/>
              </w:rPr>
              <w:t>sale’</w:t>
            </w:r>
            <w:r w:rsidR="00CE5521" w:rsidRPr="00E70587">
              <w:rPr>
                <w:rFonts w:ascii="Arial" w:hAnsi="Arial" w:cs="Arial"/>
                <w:sz w:val="20"/>
                <w:lang w:val="en-IN"/>
              </w:rPr>
              <w:t xml:space="preserve"> </w:t>
            </w:r>
            <w:r w:rsidRPr="00E70587">
              <w:rPr>
                <w:rFonts w:ascii="Arial" w:hAnsi="Arial" w:cs="Arial"/>
                <w:sz w:val="20"/>
                <w:lang w:val="en-IN"/>
              </w:rPr>
              <w:t xml:space="preserve">and ‘liabilities directly associated with the assets classified as held for </w:t>
            </w:r>
            <w:r w:rsidR="00CE5521">
              <w:rPr>
                <w:rFonts w:ascii="Arial" w:hAnsi="Arial" w:cs="Arial"/>
                <w:sz w:val="20"/>
                <w:lang w:val="en-IN"/>
              </w:rPr>
              <w:t>sale</w:t>
            </w:r>
            <w:r w:rsidR="00CE5521" w:rsidRPr="00E70587">
              <w:rPr>
                <w:rFonts w:ascii="Arial" w:hAnsi="Arial" w:cs="Arial"/>
                <w:sz w:val="20"/>
                <w:lang w:val="en-IN"/>
              </w:rPr>
              <w:t>’</w:t>
            </w:r>
            <w:r w:rsidRPr="00E70587">
              <w:rPr>
                <w:rFonts w:ascii="Arial" w:hAnsi="Arial" w:cs="Arial"/>
                <w:sz w:val="20"/>
                <w:lang w:val="en-IN"/>
              </w:rPr>
              <w:t>.</w:t>
            </w:r>
          </w:p>
          <w:p w14:paraId="6B31D766" w14:textId="77777777" w:rsidR="00AE5F94" w:rsidRPr="00E70587" w:rsidRDefault="00AE5F94" w:rsidP="00915156">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13A2C9BD" w14:textId="3155C170" w:rsidR="000E418C" w:rsidRPr="00E70587" w:rsidRDefault="00AE5F94" w:rsidP="00915156">
            <w:pPr>
              <w:pStyle w:val="tabletext"/>
              <w:overflowPunct w:val="0"/>
              <w:autoSpaceDE w:val="0"/>
              <w:autoSpaceDN w:val="0"/>
              <w:adjustRightInd w:val="0"/>
              <w:spacing w:line="280" w:lineRule="exact"/>
              <w:jc w:val="both"/>
              <w:textAlignment w:val="baseline"/>
              <w:rPr>
                <w:rFonts w:ascii="Arial" w:hAnsi="Arial" w:cs="Arial"/>
                <w:sz w:val="20"/>
                <w:lang w:val="en-IN"/>
              </w:rPr>
            </w:pPr>
            <w:r w:rsidRPr="00E70587">
              <w:rPr>
                <w:rFonts w:ascii="Arial" w:hAnsi="Arial" w:cs="Arial"/>
                <w:sz w:val="20"/>
                <w:lang w:val="en-IN"/>
              </w:rPr>
              <w:t xml:space="preserve">Ind AS 7.43 requires </w:t>
            </w:r>
            <w:r w:rsidR="00EE29F0" w:rsidRPr="00E70587">
              <w:rPr>
                <w:rFonts w:ascii="Arial" w:hAnsi="Arial" w:cs="Arial"/>
                <w:sz w:val="20"/>
                <w:lang w:val="en-IN"/>
              </w:rPr>
              <w:t xml:space="preserve">an entity </w:t>
            </w:r>
            <w:r w:rsidRPr="00E70587">
              <w:rPr>
                <w:rFonts w:ascii="Arial" w:hAnsi="Arial" w:cs="Arial"/>
                <w:sz w:val="20"/>
                <w:lang w:val="en-IN"/>
              </w:rPr>
              <w:t xml:space="preserve">to exclude non-cash transaction relating to investing and financing activities from the statement of cash flows. However, such transactions are disclosed elsewhere in the financial statements. The Group has disclosed </w:t>
            </w:r>
            <w:r w:rsidR="00EE29F0" w:rsidRPr="00E70587">
              <w:rPr>
                <w:rFonts w:ascii="Arial" w:hAnsi="Arial" w:cs="Arial"/>
                <w:sz w:val="20"/>
                <w:lang w:val="en-IN"/>
              </w:rPr>
              <w:t xml:space="preserve">the same </w:t>
            </w:r>
            <w:r w:rsidRPr="00E70587">
              <w:rPr>
                <w:rFonts w:ascii="Arial" w:hAnsi="Arial" w:cs="Arial"/>
                <w:sz w:val="20"/>
                <w:lang w:val="en-IN"/>
              </w:rPr>
              <w:t xml:space="preserve">in a footnote to </w:t>
            </w:r>
            <w:r w:rsidR="00EE29F0" w:rsidRPr="00E70587">
              <w:rPr>
                <w:rFonts w:ascii="Arial" w:hAnsi="Arial" w:cs="Arial"/>
                <w:sz w:val="20"/>
                <w:lang w:val="en-IN"/>
              </w:rPr>
              <w:t xml:space="preserve">the </w:t>
            </w:r>
            <w:r w:rsidRPr="00E70587">
              <w:rPr>
                <w:rFonts w:ascii="Arial" w:hAnsi="Arial" w:cs="Arial"/>
                <w:sz w:val="20"/>
                <w:lang w:val="en-IN"/>
              </w:rPr>
              <w:t>cash flow statement.</w:t>
            </w:r>
            <w:r w:rsidR="000D1511">
              <w:rPr>
                <w:rFonts w:ascii="Arial" w:hAnsi="Arial" w:cs="Arial"/>
                <w:sz w:val="20"/>
                <w:lang w:val="en-IN"/>
              </w:rPr>
              <w:t xml:space="preserve"> </w:t>
            </w:r>
            <w:r w:rsidR="000E418C" w:rsidRPr="000E418C">
              <w:rPr>
                <w:rFonts w:ascii="Arial" w:hAnsi="Arial" w:cs="Arial"/>
                <w:sz w:val="20"/>
                <w:lang w:val="en-IN"/>
              </w:rPr>
              <w:t>Ind AS 116.50 requires that in the statement of cash flows, a lessee classifies: cash payments for the principal and interest portion of the lease liability within financing activities; and short-term lease payments, payments for leases of low-value assets and variable lease payments not included in the measurement of the lease liability within operating activities</w:t>
            </w:r>
            <w:r w:rsidR="00775741">
              <w:t xml:space="preserve"> </w:t>
            </w:r>
            <w:r w:rsidR="00775741" w:rsidRPr="00775741">
              <w:rPr>
                <w:rFonts w:ascii="Arial" w:hAnsi="Arial" w:cs="Arial"/>
                <w:sz w:val="20"/>
                <w:lang w:val="en-IN"/>
              </w:rPr>
              <w:t xml:space="preserve">Non-cash activity (e.g., the initial recognition of the lease at commencement) is required to be disclosed as a supplemental non-cash item in accordance with Ind AS 7.43 (see Note </w:t>
            </w:r>
            <w:r w:rsidR="00775741" w:rsidRPr="00FF7DA8">
              <w:rPr>
                <w:rFonts w:ascii="Arial" w:hAnsi="Arial" w:cs="Arial"/>
                <w:sz w:val="20"/>
                <w:lang w:val="en-IN"/>
              </w:rPr>
              <w:t>42).</w:t>
            </w:r>
          </w:p>
          <w:p w14:paraId="050795A0" w14:textId="77777777" w:rsidR="0029221C" w:rsidRPr="00E70587" w:rsidRDefault="0029221C" w:rsidP="0029221C">
            <w:pPr>
              <w:pStyle w:val="tabletext"/>
              <w:overflowPunct w:val="0"/>
              <w:autoSpaceDE w:val="0"/>
              <w:autoSpaceDN w:val="0"/>
              <w:adjustRightInd w:val="0"/>
              <w:spacing w:line="280" w:lineRule="exact"/>
              <w:textAlignment w:val="baseline"/>
              <w:rPr>
                <w:rFonts w:ascii="Arial" w:hAnsi="Arial" w:cs="Arial"/>
                <w:sz w:val="20"/>
                <w:lang w:val="en-IN"/>
              </w:rPr>
            </w:pPr>
          </w:p>
        </w:tc>
      </w:tr>
    </w:tbl>
    <w:p w14:paraId="206A3800" w14:textId="77777777" w:rsidR="00F31F0B" w:rsidRPr="00E70587" w:rsidRDefault="00F31F0B" w:rsidP="0029221C">
      <w:pPr>
        <w:pStyle w:val="tabletext"/>
        <w:overflowPunct w:val="0"/>
        <w:autoSpaceDE w:val="0"/>
        <w:autoSpaceDN w:val="0"/>
        <w:adjustRightInd w:val="0"/>
        <w:spacing w:line="280" w:lineRule="exact"/>
        <w:textAlignment w:val="baseline"/>
        <w:rPr>
          <w:rFonts w:ascii="Arial" w:hAnsi="Arial" w:cs="Arial"/>
          <w:sz w:val="20"/>
          <w:lang w:val="en-IN"/>
        </w:rPr>
      </w:pPr>
    </w:p>
    <w:p w14:paraId="25F30ABA" w14:textId="77777777" w:rsidR="00477FD2" w:rsidRPr="00E70587" w:rsidRDefault="00477FD2" w:rsidP="0060778E">
      <w:pPr>
        <w:rPr>
          <w:rFonts w:ascii="Arial" w:hAnsi="Arial" w:cs="Arial"/>
        </w:rPr>
        <w:sectPr w:rsidR="00477FD2" w:rsidRPr="00E70587" w:rsidSect="00C41CC3">
          <w:headerReference w:type="even" r:id="rId26"/>
          <w:headerReference w:type="default" r:id="rId27"/>
          <w:headerReference w:type="first" r:id="rId28"/>
          <w:pgSz w:w="11909" w:h="16834" w:code="9"/>
          <w:pgMar w:top="864" w:right="1253" w:bottom="864" w:left="1296" w:header="432" w:footer="432" w:gutter="0"/>
          <w:cols w:space="766"/>
          <w:docGrid w:linePitch="245"/>
        </w:sectPr>
      </w:pPr>
    </w:p>
    <w:tbl>
      <w:tblPr>
        <w:tblW w:w="9576" w:type="dxa"/>
        <w:tblLook w:val="0000" w:firstRow="0" w:lastRow="0" w:firstColumn="0" w:lastColumn="0" w:noHBand="0" w:noVBand="0"/>
      </w:tblPr>
      <w:tblGrid>
        <w:gridCol w:w="9576"/>
      </w:tblGrid>
      <w:tr w:rsidR="00D87FDE" w:rsidRPr="00E70587" w14:paraId="5CFEF9C7" w14:textId="77777777" w:rsidTr="00D87FDE">
        <w:tc>
          <w:tcPr>
            <w:tcW w:w="9576" w:type="dxa"/>
          </w:tcPr>
          <w:p w14:paraId="77EF5A48" w14:textId="77777777" w:rsidR="00D87FDE" w:rsidRPr="00E70587" w:rsidRDefault="00D87FDE" w:rsidP="00F53123">
            <w:pPr>
              <w:pStyle w:val="ViralheadingL2"/>
              <w:keepNext w:val="0"/>
              <w:numPr>
                <w:ilvl w:val="0"/>
                <w:numId w:val="8"/>
              </w:numPr>
              <w:spacing w:before="0" w:after="0" w:line="280" w:lineRule="exact"/>
              <w:ind w:left="360"/>
              <w:rPr>
                <w:rFonts w:ascii="Arial" w:hAnsi="Arial" w:cs="Arial"/>
                <w:sz w:val="20"/>
                <w:szCs w:val="20"/>
              </w:rPr>
            </w:pPr>
            <w:r w:rsidRPr="00E70587">
              <w:rPr>
                <w:rFonts w:ascii="Arial" w:hAnsi="Arial" w:cs="Arial"/>
                <w:sz w:val="20"/>
                <w:szCs w:val="20"/>
              </w:rPr>
              <w:lastRenderedPageBreak/>
              <w:t>Corporate information</w:t>
            </w:r>
          </w:p>
          <w:p w14:paraId="34677EC2" w14:textId="77777777" w:rsidR="00D87FDE" w:rsidRPr="00E70587" w:rsidRDefault="00D87FDE" w:rsidP="00D87FDE">
            <w:pPr>
              <w:pStyle w:val="Notesbodytext"/>
              <w:spacing w:after="0" w:line="280" w:lineRule="exact"/>
              <w:jc w:val="both"/>
              <w:rPr>
                <w:rFonts w:ascii="Arial" w:hAnsi="Arial"/>
                <w:color w:val="auto"/>
                <w:sz w:val="20"/>
              </w:rPr>
            </w:pPr>
          </w:p>
          <w:p w14:paraId="0176A309" w14:textId="65AAD39C" w:rsidR="00D87FDE" w:rsidRPr="00E70587" w:rsidRDefault="00D87FDE" w:rsidP="00D87FDE">
            <w:pPr>
              <w:pStyle w:val="Notesbodytext"/>
              <w:spacing w:after="0" w:line="280" w:lineRule="exact"/>
              <w:jc w:val="both"/>
              <w:rPr>
                <w:rFonts w:ascii="Arial" w:hAnsi="Arial"/>
                <w:color w:val="auto"/>
                <w:sz w:val="20"/>
              </w:rPr>
            </w:pPr>
            <w:r w:rsidRPr="00E70587">
              <w:rPr>
                <w:rFonts w:ascii="Arial" w:hAnsi="Arial"/>
                <w:color w:val="auto"/>
                <w:sz w:val="20"/>
              </w:rPr>
              <w:t xml:space="preserve">The consolidated financial statements comprise financial statements of Illustration (India) Limited (the company) and its subsidiaries (collectively, the Group) for the year ended 31 </w:t>
            </w:r>
            <w:r w:rsidR="00E1202D" w:rsidRPr="00E70587">
              <w:rPr>
                <w:rFonts w:ascii="Arial" w:hAnsi="Arial"/>
                <w:color w:val="auto"/>
                <w:sz w:val="20"/>
              </w:rPr>
              <w:t xml:space="preserve">March </w:t>
            </w:r>
            <w:r w:rsidR="001F42E6" w:rsidRPr="00E70587">
              <w:rPr>
                <w:rFonts w:ascii="Arial" w:hAnsi="Arial"/>
                <w:color w:val="auto"/>
                <w:sz w:val="20"/>
              </w:rPr>
              <w:t>20</w:t>
            </w:r>
            <w:r w:rsidR="001F42E6">
              <w:rPr>
                <w:rFonts w:ascii="Arial" w:hAnsi="Arial"/>
                <w:color w:val="auto"/>
                <w:sz w:val="20"/>
              </w:rPr>
              <w:t>21</w:t>
            </w:r>
            <w:r w:rsidRPr="00E70587">
              <w:rPr>
                <w:rFonts w:ascii="Arial" w:hAnsi="Arial"/>
                <w:color w:val="auto"/>
                <w:sz w:val="20"/>
              </w:rPr>
              <w:t>. The company is a public company domiciled in India and is incorporated under the provisions of the Companies Act applicable in India. Its shares are listed on two recognised stock exchanges in India. The registered office of the company is located at Illustration House, 49 Cross Roads, Mumbai.</w:t>
            </w:r>
          </w:p>
          <w:p w14:paraId="3F59397B" w14:textId="77777777" w:rsidR="00D87FDE" w:rsidRPr="00E70587" w:rsidRDefault="00D87FDE" w:rsidP="00D87FDE">
            <w:pPr>
              <w:pStyle w:val="Notesbodytext"/>
              <w:spacing w:after="0" w:line="280" w:lineRule="exact"/>
              <w:jc w:val="both"/>
              <w:rPr>
                <w:rFonts w:ascii="Arial" w:hAnsi="Arial"/>
                <w:color w:val="auto"/>
                <w:sz w:val="20"/>
              </w:rPr>
            </w:pPr>
          </w:p>
        </w:tc>
      </w:tr>
      <w:tr w:rsidR="00D87FDE" w:rsidRPr="00E70587" w14:paraId="5DD87E59" w14:textId="77777777" w:rsidTr="00D87FDE">
        <w:tc>
          <w:tcPr>
            <w:tcW w:w="9576" w:type="dxa"/>
          </w:tcPr>
          <w:p w14:paraId="3CC12148" w14:textId="3AFC3484" w:rsidR="00D87FDE" w:rsidRPr="00E70587" w:rsidRDefault="00D87FDE" w:rsidP="00D87FDE">
            <w:pPr>
              <w:pStyle w:val="Notesbodytext"/>
              <w:spacing w:after="0" w:line="280" w:lineRule="exact"/>
              <w:jc w:val="both"/>
              <w:rPr>
                <w:rFonts w:ascii="Arial" w:hAnsi="Arial"/>
                <w:color w:val="auto"/>
                <w:sz w:val="20"/>
              </w:rPr>
            </w:pPr>
            <w:r w:rsidRPr="00E70587">
              <w:rPr>
                <w:rFonts w:ascii="Arial" w:hAnsi="Arial"/>
                <w:color w:val="auto"/>
                <w:sz w:val="20"/>
              </w:rPr>
              <w:t xml:space="preserve">The Group is principally engaged in the provision of fire prevention and electronics equipment and services and the management of investment property (see Note </w:t>
            </w:r>
            <w:r w:rsidR="00B2178F" w:rsidRPr="00E70587">
              <w:rPr>
                <w:rFonts w:ascii="Arial" w:hAnsi="Arial"/>
                <w:color w:val="auto"/>
                <w:sz w:val="20"/>
              </w:rPr>
              <w:t>4</w:t>
            </w:r>
            <w:r w:rsidR="00B2178F">
              <w:rPr>
                <w:rFonts w:ascii="Arial" w:hAnsi="Arial"/>
                <w:color w:val="auto"/>
                <w:sz w:val="20"/>
              </w:rPr>
              <w:t>5</w:t>
            </w:r>
            <w:r w:rsidRPr="00E70587">
              <w:rPr>
                <w:rFonts w:ascii="Arial" w:hAnsi="Arial"/>
                <w:color w:val="auto"/>
                <w:sz w:val="20"/>
              </w:rPr>
              <w:t xml:space="preserve">). Information on the Group’s structure is provided in Note 35. Information on other related party relationships of the Group is provided in Note </w:t>
            </w:r>
            <w:r w:rsidR="00B2178F" w:rsidRPr="00E70587">
              <w:rPr>
                <w:rFonts w:ascii="Arial" w:hAnsi="Arial"/>
                <w:color w:val="auto"/>
                <w:sz w:val="20"/>
              </w:rPr>
              <w:t>4</w:t>
            </w:r>
            <w:r w:rsidR="00B2178F">
              <w:rPr>
                <w:rFonts w:ascii="Arial" w:hAnsi="Arial"/>
                <w:color w:val="auto"/>
                <w:sz w:val="20"/>
              </w:rPr>
              <w:t>4</w:t>
            </w:r>
            <w:r w:rsidRPr="00E70587">
              <w:rPr>
                <w:rFonts w:ascii="Arial" w:hAnsi="Arial"/>
                <w:color w:val="auto"/>
                <w:sz w:val="20"/>
              </w:rPr>
              <w:t>.</w:t>
            </w:r>
          </w:p>
          <w:p w14:paraId="5826A6C3" w14:textId="77777777" w:rsidR="00D87FDE" w:rsidRPr="00E70587" w:rsidRDefault="00D87FDE" w:rsidP="00D87FDE">
            <w:pPr>
              <w:pStyle w:val="Notesbodytext"/>
              <w:spacing w:after="0" w:line="280" w:lineRule="exact"/>
              <w:jc w:val="both"/>
              <w:rPr>
                <w:rFonts w:ascii="Arial" w:hAnsi="Arial"/>
                <w:color w:val="auto"/>
                <w:sz w:val="20"/>
              </w:rPr>
            </w:pPr>
          </w:p>
        </w:tc>
      </w:tr>
      <w:tr w:rsidR="00D87FDE" w:rsidRPr="00E70587" w14:paraId="28651F4C" w14:textId="77777777" w:rsidTr="00D87FDE">
        <w:tc>
          <w:tcPr>
            <w:tcW w:w="9576" w:type="dxa"/>
          </w:tcPr>
          <w:p w14:paraId="557411AB" w14:textId="18A5B8D7" w:rsidR="00D87FDE" w:rsidRPr="00E70587" w:rsidRDefault="00D87FDE" w:rsidP="00D87FDE">
            <w:pPr>
              <w:pStyle w:val="Notesbodytext"/>
              <w:spacing w:after="0" w:line="280" w:lineRule="exact"/>
              <w:jc w:val="both"/>
              <w:rPr>
                <w:rFonts w:ascii="Arial" w:hAnsi="Arial"/>
                <w:color w:val="auto"/>
                <w:sz w:val="20"/>
              </w:rPr>
            </w:pPr>
            <w:r w:rsidRPr="00E70587">
              <w:rPr>
                <w:rFonts w:ascii="Arial" w:hAnsi="Arial"/>
                <w:color w:val="auto"/>
                <w:sz w:val="20"/>
              </w:rPr>
              <w:t xml:space="preserve">The consolidated financial statements were </w:t>
            </w:r>
            <w:r w:rsidR="00C5011D">
              <w:rPr>
                <w:rFonts w:ascii="Arial" w:hAnsi="Arial"/>
                <w:color w:val="auto"/>
                <w:sz w:val="20"/>
              </w:rPr>
              <w:t>approved</w:t>
            </w:r>
            <w:r w:rsidR="00C5011D" w:rsidRPr="00E70587">
              <w:rPr>
                <w:rFonts w:ascii="Arial" w:hAnsi="Arial"/>
                <w:color w:val="auto"/>
                <w:sz w:val="20"/>
              </w:rPr>
              <w:t xml:space="preserve"> </w:t>
            </w:r>
            <w:r w:rsidRPr="00E70587">
              <w:rPr>
                <w:rFonts w:ascii="Arial" w:hAnsi="Arial"/>
                <w:color w:val="auto"/>
                <w:sz w:val="20"/>
              </w:rPr>
              <w:t xml:space="preserve">for issue in accordance with a resolution of the directors on 25 May </w:t>
            </w:r>
            <w:r w:rsidR="00C33BE9" w:rsidRPr="00E70587">
              <w:rPr>
                <w:rFonts w:ascii="Arial" w:hAnsi="Arial"/>
                <w:color w:val="auto"/>
                <w:sz w:val="20"/>
              </w:rPr>
              <w:t>20</w:t>
            </w:r>
            <w:r w:rsidR="00C33BE9">
              <w:rPr>
                <w:rFonts w:ascii="Arial" w:hAnsi="Arial"/>
                <w:color w:val="auto"/>
                <w:sz w:val="20"/>
              </w:rPr>
              <w:t>21</w:t>
            </w:r>
            <w:r w:rsidRPr="00E70587">
              <w:rPr>
                <w:rFonts w:ascii="Arial" w:hAnsi="Arial"/>
                <w:color w:val="auto"/>
                <w:sz w:val="20"/>
              </w:rPr>
              <w:t>.</w:t>
            </w:r>
          </w:p>
          <w:p w14:paraId="60D6B831" w14:textId="77777777" w:rsidR="00D87FDE" w:rsidRPr="00E70587" w:rsidRDefault="00D87FDE" w:rsidP="00D87FDE">
            <w:pPr>
              <w:pStyle w:val="Notesbodytext"/>
              <w:spacing w:after="0" w:line="280" w:lineRule="exact"/>
              <w:jc w:val="both"/>
              <w:rPr>
                <w:rFonts w:ascii="Arial" w:hAnsi="Arial"/>
                <w:color w:val="auto"/>
                <w:sz w:val="20"/>
              </w:rPr>
            </w:pPr>
          </w:p>
        </w:tc>
      </w:tr>
      <w:tr w:rsidR="00D87FDE" w:rsidRPr="00E70587" w14:paraId="0C9265E1" w14:textId="77777777" w:rsidTr="00D87FDE">
        <w:tc>
          <w:tcPr>
            <w:tcW w:w="9576" w:type="dxa"/>
          </w:tcPr>
          <w:p w14:paraId="4A6E64E0" w14:textId="14258B8D" w:rsidR="00D87FDE" w:rsidRPr="00E70587" w:rsidRDefault="00D87FDE" w:rsidP="00F53123">
            <w:pPr>
              <w:pStyle w:val="ViralheadingL2"/>
              <w:keepNext w:val="0"/>
              <w:numPr>
                <w:ilvl w:val="0"/>
                <w:numId w:val="8"/>
              </w:numPr>
              <w:spacing w:before="0" w:after="0" w:line="280" w:lineRule="exact"/>
              <w:ind w:left="360"/>
              <w:rPr>
                <w:rFonts w:ascii="Arial" w:hAnsi="Arial" w:cs="Arial"/>
                <w:sz w:val="20"/>
                <w:szCs w:val="20"/>
              </w:rPr>
            </w:pPr>
            <w:r w:rsidRPr="00E70587">
              <w:rPr>
                <w:rFonts w:ascii="Arial" w:hAnsi="Arial" w:cs="Arial"/>
                <w:sz w:val="20"/>
                <w:szCs w:val="20"/>
              </w:rPr>
              <w:t>Significant accounting policies</w:t>
            </w:r>
          </w:p>
          <w:p w14:paraId="0820BD0B" w14:textId="77777777" w:rsidR="00D87FDE" w:rsidRPr="00E70587" w:rsidRDefault="00D87FDE" w:rsidP="00D87FDE">
            <w:pPr>
              <w:pStyle w:val="Notesbodytext"/>
              <w:spacing w:after="0" w:line="280" w:lineRule="exact"/>
              <w:jc w:val="both"/>
              <w:rPr>
                <w:rFonts w:ascii="Arial" w:hAnsi="Arial"/>
                <w:color w:val="auto"/>
                <w:sz w:val="20"/>
              </w:rPr>
            </w:pPr>
          </w:p>
          <w:p w14:paraId="6B011667" w14:textId="77777777" w:rsidR="00D87FDE" w:rsidRPr="00E70587" w:rsidRDefault="00D87FDE" w:rsidP="00D87FDE">
            <w:pPr>
              <w:pStyle w:val="Notesbodytext"/>
              <w:shd w:val="clear" w:color="auto" w:fill="A2A2A2" w:themeFill="background1" w:themeFillTint="99"/>
              <w:spacing w:after="0" w:line="280" w:lineRule="exact"/>
              <w:jc w:val="both"/>
              <w:rPr>
                <w:rFonts w:ascii="Arial" w:hAnsi="Arial"/>
                <w:b/>
                <w:color w:val="auto"/>
                <w:sz w:val="20"/>
              </w:rPr>
            </w:pPr>
            <w:r w:rsidRPr="00E70587">
              <w:rPr>
                <w:rFonts w:ascii="Arial" w:hAnsi="Arial"/>
                <w:b/>
                <w:color w:val="auto"/>
                <w:sz w:val="20"/>
              </w:rPr>
              <w:t>Authors</w:t>
            </w:r>
            <w:r w:rsidR="00CF76D0" w:rsidRPr="00E70587">
              <w:rPr>
                <w:rFonts w:ascii="Arial" w:hAnsi="Arial"/>
                <w:b/>
                <w:color w:val="auto"/>
                <w:sz w:val="20"/>
              </w:rPr>
              <w:t>’</w:t>
            </w:r>
            <w:r w:rsidRPr="00E70587">
              <w:rPr>
                <w:rFonts w:ascii="Arial" w:hAnsi="Arial"/>
                <w:b/>
                <w:color w:val="auto"/>
                <w:sz w:val="20"/>
              </w:rPr>
              <w:t xml:space="preserve"> note</w:t>
            </w:r>
          </w:p>
          <w:p w14:paraId="23C54B3B" w14:textId="77777777" w:rsidR="00D87FDE" w:rsidRPr="00E70587" w:rsidRDefault="00D87FDE" w:rsidP="00D87FDE">
            <w:pPr>
              <w:pStyle w:val="Notesbodytext"/>
              <w:shd w:val="clear" w:color="auto" w:fill="A2A2A2" w:themeFill="background1" w:themeFillTint="99"/>
              <w:spacing w:after="0" w:line="280" w:lineRule="exact"/>
              <w:jc w:val="both"/>
              <w:rPr>
                <w:rFonts w:ascii="Arial" w:hAnsi="Arial"/>
                <w:color w:val="auto"/>
                <w:sz w:val="20"/>
              </w:rPr>
            </w:pPr>
          </w:p>
          <w:p w14:paraId="62E3D9CB" w14:textId="63BE6787" w:rsidR="00D87FDE" w:rsidRDefault="00D87FDE" w:rsidP="00D87FDE">
            <w:pPr>
              <w:pStyle w:val="Notesbodytext"/>
              <w:shd w:val="clear" w:color="auto" w:fill="A2A2A2" w:themeFill="background1" w:themeFillTint="99"/>
              <w:spacing w:after="0" w:line="280" w:lineRule="exact"/>
              <w:jc w:val="both"/>
              <w:rPr>
                <w:rFonts w:ascii="Arial" w:hAnsi="Arial"/>
                <w:color w:val="auto"/>
                <w:sz w:val="20"/>
              </w:rPr>
            </w:pPr>
            <w:r w:rsidRPr="00E70587">
              <w:rPr>
                <w:rFonts w:ascii="Arial" w:hAnsi="Arial"/>
                <w:color w:val="auto"/>
                <w:sz w:val="20"/>
              </w:rPr>
              <w:t xml:space="preserve">The identification of an entity’s significant accounting policies is an important aspect of the financial statements. Ind AS 1.117 requires the significant accounting policies disclosures to summarise the measurement basis (or bases) used in preparing the financial statements, and the other accounting policies used that are relevant to an understanding of the financial statements. The significant accounting policies disclosed in this note </w:t>
            </w:r>
            <w:r w:rsidR="0068612D" w:rsidRPr="00E70587">
              <w:rPr>
                <w:rFonts w:ascii="Arial" w:hAnsi="Arial"/>
                <w:color w:val="auto"/>
                <w:sz w:val="20"/>
              </w:rPr>
              <w:t xml:space="preserve">are </w:t>
            </w:r>
            <w:r w:rsidR="0025750D" w:rsidRPr="00E70587">
              <w:rPr>
                <w:rFonts w:ascii="Arial" w:hAnsi="Arial"/>
                <w:color w:val="auto"/>
                <w:sz w:val="20"/>
              </w:rPr>
              <w:t xml:space="preserve">meant </w:t>
            </w:r>
            <w:r w:rsidRPr="00E70587">
              <w:rPr>
                <w:rFonts w:ascii="Arial" w:hAnsi="Arial"/>
                <w:color w:val="auto"/>
                <w:sz w:val="20"/>
              </w:rPr>
              <w:t>to illustrate some of the more commonly applicable disclosures. However, it is essential that entities consider their specific circumstances when determining which accounting policies are significant and relevant to be included.</w:t>
            </w:r>
          </w:p>
          <w:p w14:paraId="1A968EB8" w14:textId="77777777" w:rsidR="00E52A47" w:rsidRPr="00E70587" w:rsidRDefault="00E52A47" w:rsidP="00D87FDE">
            <w:pPr>
              <w:pStyle w:val="Notesbodytext"/>
              <w:shd w:val="clear" w:color="auto" w:fill="A2A2A2" w:themeFill="background1" w:themeFillTint="99"/>
              <w:spacing w:after="0" w:line="280" w:lineRule="exact"/>
              <w:jc w:val="both"/>
              <w:rPr>
                <w:rFonts w:ascii="Arial" w:hAnsi="Arial"/>
                <w:color w:val="auto"/>
                <w:sz w:val="20"/>
              </w:rPr>
            </w:pPr>
          </w:p>
          <w:p w14:paraId="5A2725E6" w14:textId="4D53D086" w:rsidR="00D87FDE" w:rsidRDefault="00D87FDE" w:rsidP="00D87FDE">
            <w:pPr>
              <w:pStyle w:val="Notesbodytext"/>
              <w:spacing w:after="0" w:line="280" w:lineRule="exact"/>
              <w:jc w:val="both"/>
              <w:rPr>
                <w:rFonts w:ascii="Arial" w:hAnsi="Arial"/>
                <w:color w:val="auto"/>
                <w:sz w:val="20"/>
              </w:rPr>
            </w:pPr>
          </w:p>
          <w:p w14:paraId="07EC35AF" w14:textId="77777777" w:rsidR="00E52A47" w:rsidRPr="00E52A47" w:rsidRDefault="00E52A47" w:rsidP="00117C8C">
            <w:pPr>
              <w:pStyle w:val="Notesbodytext"/>
              <w:shd w:val="clear" w:color="auto" w:fill="A2A2A2" w:themeFill="background1" w:themeFillTint="99"/>
              <w:spacing w:line="280" w:lineRule="exact"/>
              <w:jc w:val="both"/>
              <w:rPr>
                <w:rFonts w:ascii="Arial" w:hAnsi="Arial"/>
                <w:b/>
                <w:bCs/>
                <w:color w:val="auto"/>
                <w:sz w:val="20"/>
              </w:rPr>
            </w:pPr>
            <w:r w:rsidRPr="00E52A47">
              <w:rPr>
                <w:rFonts w:ascii="Arial" w:hAnsi="Arial"/>
                <w:b/>
                <w:bCs/>
                <w:color w:val="auto"/>
                <w:sz w:val="20"/>
              </w:rPr>
              <w:t xml:space="preserve">Covid-19 commentary </w:t>
            </w:r>
          </w:p>
          <w:p w14:paraId="0BD42450" w14:textId="77777777" w:rsidR="00E52A47" w:rsidRPr="00117C8C" w:rsidRDefault="00E52A47" w:rsidP="00117C8C">
            <w:pPr>
              <w:pStyle w:val="Notesbodytext"/>
              <w:shd w:val="clear" w:color="auto" w:fill="A2A2A2" w:themeFill="background1" w:themeFillTint="99"/>
              <w:spacing w:line="280" w:lineRule="exact"/>
              <w:jc w:val="both"/>
              <w:rPr>
                <w:rFonts w:ascii="Arial" w:hAnsi="Arial"/>
                <w:i/>
                <w:iCs/>
                <w:color w:val="auto"/>
                <w:sz w:val="20"/>
              </w:rPr>
            </w:pPr>
            <w:r w:rsidRPr="00117C8C">
              <w:rPr>
                <w:rFonts w:ascii="Arial" w:hAnsi="Arial"/>
                <w:i/>
                <w:iCs/>
                <w:color w:val="auto"/>
                <w:sz w:val="20"/>
              </w:rPr>
              <w:t xml:space="preserve">Background </w:t>
            </w:r>
          </w:p>
          <w:p w14:paraId="625D884B" w14:textId="30996D9F" w:rsidR="00E52A47" w:rsidRPr="00E52A47" w:rsidRDefault="00E52A47" w:rsidP="00117C8C">
            <w:pPr>
              <w:pStyle w:val="Notesbodytext"/>
              <w:shd w:val="clear" w:color="auto" w:fill="A2A2A2" w:themeFill="background1" w:themeFillTint="99"/>
              <w:spacing w:line="280" w:lineRule="exact"/>
              <w:jc w:val="both"/>
              <w:rPr>
                <w:rFonts w:ascii="Arial" w:hAnsi="Arial"/>
                <w:color w:val="auto"/>
                <w:sz w:val="20"/>
              </w:rPr>
            </w:pPr>
            <w:r w:rsidRPr="00E52A47">
              <w:rPr>
                <w:rFonts w:ascii="Arial" w:hAnsi="Arial"/>
                <w:color w:val="auto"/>
                <w:sz w:val="20"/>
              </w:rPr>
              <w:t>Covid</w:t>
            </w:r>
            <w:r w:rsidRPr="00E52A47">
              <w:rPr>
                <w:rFonts w:ascii="Cambria Math" w:hAnsi="Cambria Math" w:cs="Cambria Math"/>
                <w:color w:val="auto"/>
                <w:sz w:val="20"/>
              </w:rPr>
              <w:t>‑</w:t>
            </w:r>
            <w:r w:rsidRPr="00E52A47">
              <w:rPr>
                <w:rFonts w:ascii="Arial" w:hAnsi="Arial"/>
                <w:color w:val="auto"/>
                <w:sz w:val="20"/>
              </w:rPr>
              <w:t>19, an infectious disease caused by a new virus, was declared a world</w:t>
            </w:r>
            <w:r w:rsidRPr="00E52A47">
              <w:rPr>
                <w:rFonts w:ascii="Cambria Math" w:hAnsi="Cambria Math" w:cs="Cambria Math"/>
                <w:color w:val="auto"/>
                <w:sz w:val="20"/>
              </w:rPr>
              <w:t>‑</w:t>
            </w:r>
            <w:r w:rsidRPr="00E52A47">
              <w:rPr>
                <w:rFonts w:ascii="Arial" w:hAnsi="Arial"/>
                <w:color w:val="auto"/>
                <w:sz w:val="20"/>
              </w:rPr>
              <w:t>wide pandemic by the WHO on 11 March 2020.The measures to slow the spread of Covid</w:t>
            </w:r>
            <w:r w:rsidRPr="00E52A47">
              <w:rPr>
                <w:rFonts w:ascii="Cambria Math" w:hAnsi="Cambria Math" w:cs="Cambria Math"/>
                <w:color w:val="auto"/>
                <w:sz w:val="20"/>
              </w:rPr>
              <w:t>‑</w:t>
            </w:r>
            <w:r w:rsidRPr="00E52A47">
              <w:rPr>
                <w:rFonts w:ascii="Arial" w:hAnsi="Arial"/>
                <w:color w:val="auto"/>
                <w:sz w:val="20"/>
              </w:rPr>
              <w:t xml:space="preserve">19 have had a significant impact on the global economy.  </w:t>
            </w:r>
          </w:p>
          <w:p w14:paraId="78842933" w14:textId="29763ABB" w:rsidR="00E52A47" w:rsidRPr="00E52A47" w:rsidRDefault="00E52A47" w:rsidP="00117C8C">
            <w:pPr>
              <w:pStyle w:val="Notesbodytext"/>
              <w:shd w:val="clear" w:color="auto" w:fill="A2A2A2" w:themeFill="background1" w:themeFillTint="99"/>
              <w:spacing w:line="280" w:lineRule="exact"/>
              <w:jc w:val="both"/>
              <w:rPr>
                <w:rFonts w:ascii="Arial" w:hAnsi="Arial"/>
                <w:color w:val="auto"/>
                <w:sz w:val="20"/>
              </w:rPr>
            </w:pPr>
            <w:r w:rsidRPr="00E52A47">
              <w:rPr>
                <w:rFonts w:ascii="Arial" w:hAnsi="Arial"/>
                <w:color w:val="auto"/>
                <w:sz w:val="20"/>
              </w:rPr>
              <w:t>Entities need to consider the impact of Covid</w:t>
            </w:r>
            <w:r w:rsidRPr="00E52A47">
              <w:rPr>
                <w:rFonts w:ascii="Cambria Math" w:hAnsi="Cambria Math" w:cs="Cambria Math"/>
                <w:color w:val="auto"/>
                <w:sz w:val="20"/>
              </w:rPr>
              <w:t>‑</w:t>
            </w:r>
            <w:r w:rsidRPr="00E52A47">
              <w:rPr>
                <w:rFonts w:ascii="Arial" w:hAnsi="Arial"/>
                <w:color w:val="auto"/>
                <w:sz w:val="20"/>
              </w:rPr>
              <w:t>19 in preparing their financial statements. While the specific areas of judgement may not change, the impact of Covid</w:t>
            </w:r>
            <w:r w:rsidRPr="00E52A47">
              <w:rPr>
                <w:rFonts w:ascii="Cambria Math" w:hAnsi="Cambria Math" w:cs="Cambria Math"/>
                <w:color w:val="auto"/>
                <w:sz w:val="20"/>
              </w:rPr>
              <w:t>‑</w:t>
            </w:r>
            <w:r w:rsidRPr="00E52A47">
              <w:rPr>
                <w:rFonts w:ascii="Arial" w:hAnsi="Arial"/>
                <w:color w:val="auto"/>
                <w:sz w:val="20"/>
              </w:rPr>
              <w:t xml:space="preserve">19 resulted in the application of further judgement within those areas.  </w:t>
            </w:r>
          </w:p>
          <w:p w14:paraId="1BB1E0C2" w14:textId="262AB175" w:rsidR="00E52A47" w:rsidRPr="00E52A47" w:rsidRDefault="00E52A47" w:rsidP="00117C8C">
            <w:pPr>
              <w:pStyle w:val="Notesbodytext"/>
              <w:shd w:val="clear" w:color="auto" w:fill="A2A2A2" w:themeFill="background1" w:themeFillTint="99"/>
              <w:spacing w:line="280" w:lineRule="exact"/>
              <w:jc w:val="both"/>
              <w:rPr>
                <w:rFonts w:ascii="Arial" w:hAnsi="Arial"/>
                <w:color w:val="auto"/>
                <w:sz w:val="20"/>
              </w:rPr>
            </w:pPr>
            <w:r w:rsidRPr="00E52A47">
              <w:rPr>
                <w:rFonts w:ascii="Arial" w:hAnsi="Arial"/>
                <w:color w:val="auto"/>
                <w:sz w:val="20"/>
              </w:rPr>
              <w:t>Given the evolving nature of Covid</w:t>
            </w:r>
            <w:r w:rsidRPr="00E52A47">
              <w:rPr>
                <w:rFonts w:ascii="Cambria Math" w:hAnsi="Cambria Math" w:cs="Cambria Math"/>
                <w:color w:val="auto"/>
                <w:sz w:val="20"/>
              </w:rPr>
              <w:t>‑</w:t>
            </w:r>
            <w:r w:rsidRPr="00E52A47">
              <w:rPr>
                <w:rFonts w:ascii="Arial" w:hAnsi="Arial"/>
                <w:color w:val="auto"/>
                <w:sz w:val="20"/>
              </w:rPr>
              <w:t xml:space="preserve">19 and the limited recent experience of the economic and financial impacts of such a pandemic, changes to estimates may need to be made in the measurement of entities’ assets and liabilities may arise in the future.  </w:t>
            </w:r>
          </w:p>
          <w:p w14:paraId="2373778D" w14:textId="79CCC802" w:rsidR="00E52A47" w:rsidRDefault="00E52A47" w:rsidP="00117C8C">
            <w:pPr>
              <w:pStyle w:val="Notesbodytext"/>
              <w:shd w:val="clear" w:color="auto" w:fill="A2A2A2" w:themeFill="background1" w:themeFillTint="99"/>
              <w:spacing w:line="280" w:lineRule="exact"/>
              <w:jc w:val="both"/>
              <w:rPr>
                <w:rFonts w:ascii="Arial" w:hAnsi="Arial"/>
                <w:color w:val="auto"/>
                <w:sz w:val="20"/>
              </w:rPr>
            </w:pPr>
            <w:r w:rsidRPr="00E52A47">
              <w:rPr>
                <w:rFonts w:ascii="Arial" w:hAnsi="Arial"/>
                <w:color w:val="auto"/>
                <w:sz w:val="20"/>
              </w:rPr>
              <w:t>Entities should consider whether to disclose the measures they have taken, in line with the recommendations of the WHO and national health ministries, to preserve the health of their employees and support the prevention of contagion in their administrative and operational areas, such as working from home , reduced work shifts in operational areas to minimise the number of workers commuting, rigorous cleaning of workplaces, distribution of personal protective equipment, testing of suspected cases and measuring body temperature.</w:t>
            </w:r>
          </w:p>
          <w:p w14:paraId="4E8608CD" w14:textId="77777777" w:rsidR="00E52A47" w:rsidRPr="00E70587" w:rsidRDefault="00E52A47" w:rsidP="00D87FDE">
            <w:pPr>
              <w:pStyle w:val="Notesbodytext"/>
              <w:spacing w:after="0" w:line="280" w:lineRule="exact"/>
              <w:jc w:val="both"/>
              <w:rPr>
                <w:rFonts w:ascii="Arial" w:hAnsi="Arial"/>
                <w:color w:val="auto"/>
                <w:sz w:val="20"/>
              </w:rPr>
            </w:pPr>
          </w:p>
          <w:p w14:paraId="4CF38188" w14:textId="77777777" w:rsidR="00E52A47" w:rsidRDefault="00E52A47" w:rsidP="00D87FDE">
            <w:pPr>
              <w:pStyle w:val="Heading4"/>
              <w:spacing w:before="0" w:after="0" w:line="280" w:lineRule="exact"/>
              <w:jc w:val="both"/>
              <w:rPr>
                <w:rFonts w:ascii="Arial" w:hAnsi="Arial" w:cs="Arial"/>
                <w:szCs w:val="20"/>
              </w:rPr>
            </w:pPr>
          </w:p>
          <w:p w14:paraId="53BA0D2E" w14:textId="77777777" w:rsidR="00E52A47" w:rsidRDefault="00E52A47" w:rsidP="00D87FDE">
            <w:pPr>
              <w:pStyle w:val="Heading4"/>
              <w:spacing w:before="0" w:after="0" w:line="280" w:lineRule="exact"/>
              <w:jc w:val="both"/>
              <w:rPr>
                <w:rFonts w:ascii="Arial" w:hAnsi="Arial" w:cs="Arial"/>
                <w:szCs w:val="20"/>
              </w:rPr>
            </w:pPr>
          </w:p>
          <w:p w14:paraId="2AE5CAA3" w14:textId="34BD0D75" w:rsidR="00D87FDE" w:rsidRPr="00E70587" w:rsidRDefault="00D87FDE" w:rsidP="00D87FDE">
            <w:pPr>
              <w:pStyle w:val="Heading4"/>
              <w:spacing w:before="0" w:after="0" w:line="280" w:lineRule="exact"/>
              <w:jc w:val="both"/>
              <w:rPr>
                <w:rFonts w:ascii="Arial" w:hAnsi="Arial" w:cs="Arial"/>
                <w:szCs w:val="20"/>
              </w:rPr>
            </w:pPr>
            <w:r w:rsidRPr="00E70587">
              <w:rPr>
                <w:rFonts w:ascii="Arial" w:hAnsi="Arial" w:cs="Arial"/>
                <w:szCs w:val="20"/>
              </w:rPr>
              <w:t>2.1 Basis of preparation</w:t>
            </w:r>
          </w:p>
          <w:p w14:paraId="4C9BA023" w14:textId="77777777" w:rsidR="00D87FDE" w:rsidRPr="00E70587" w:rsidRDefault="00D87FDE" w:rsidP="00E437D4">
            <w:pPr>
              <w:pStyle w:val="Notesbodytext"/>
              <w:spacing w:after="0" w:line="280" w:lineRule="exact"/>
              <w:jc w:val="both"/>
              <w:rPr>
                <w:rFonts w:ascii="Arial" w:hAnsi="Arial"/>
                <w:color w:val="auto"/>
                <w:sz w:val="20"/>
              </w:rPr>
            </w:pPr>
            <w:r w:rsidRPr="00E70587">
              <w:rPr>
                <w:rFonts w:ascii="Arial" w:hAnsi="Arial"/>
                <w:color w:val="auto"/>
                <w:sz w:val="20"/>
              </w:rPr>
              <w:t xml:space="preserve">The consolidated financial statements </w:t>
            </w:r>
            <w:r w:rsidR="0025750D" w:rsidRPr="00E70587">
              <w:rPr>
                <w:rFonts w:ascii="Arial" w:hAnsi="Arial"/>
                <w:color w:val="auto"/>
                <w:sz w:val="20"/>
              </w:rPr>
              <w:t xml:space="preserve">(CFS) </w:t>
            </w:r>
            <w:r w:rsidRPr="00E70587">
              <w:rPr>
                <w:rFonts w:ascii="Arial" w:hAnsi="Arial"/>
                <w:color w:val="auto"/>
                <w:sz w:val="20"/>
              </w:rPr>
              <w:t xml:space="preserve">of the Group have been prepared in accordance with Indian Accounting Standards (Ind AS) notified under the </w:t>
            </w:r>
            <w:r w:rsidRPr="00E70587">
              <w:rPr>
                <w:rFonts w:ascii="Arial" w:hAnsi="Arial"/>
                <w:i/>
                <w:color w:val="auto"/>
                <w:sz w:val="20"/>
              </w:rPr>
              <w:t>Companies (Indian Accounting Standards) Rules, 2015</w:t>
            </w:r>
            <w:r w:rsidR="0068612D" w:rsidRPr="00E70587">
              <w:rPr>
                <w:rFonts w:ascii="Arial" w:hAnsi="Arial"/>
                <w:i/>
                <w:color w:val="auto"/>
                <w:sz w:val="20"/>
              </w:rPr>
              <w:t xml:space="preserve"> (as amended)</w:t>
            </w:r>
            <w:r w:rsidR="00E437D4" w:rsidRPr="00E70587">
              <w:rPr>
                <w:rFonts w:ascii="Arial" w:hAnsi="Arial"/>
                <w:i/>
                <w:color w:val="auto"/>
                <w:sz w:val="20"/>
              </w:rPr>
              <w:t xml:space="preserve"> </w:t>
            </w:r>
            <w:r w:rsidR="00E437D4" w:rsidRPr="00E70587">
              <w:rPr>
                <w:rFonts w:ascii="Arial" w:hAnsi="Arial"/>
                <w:color w:val="auto"/>
                <w:sz w:val="20"/>
              </w:rPr>
              <w:t>and</w:t>
            </w:r>
            <w:r w:rsidR="00E437D4" w:rsidRPr="00E70587">
              <w:rPr>
                <w:rFonts w:ascii="Arial" w:hAnsi="Arial"/>
                <w:i/>
                <w:color w:val="auto"/>
                <w:sz w:val="20"/>
              </w:rPr>
              <w:t xml:space="preserve"> </w:t>
            </w:r>
            <w:r w:rsidR="0025750D" w:rsidRPr="00E70587">
              <w:rPr>
                <w:rFonts w:ascii="Arial" w:hAnsi="Arial"/>
                <w:color w:val="auto"/>
                <w:sz w:val="20"/>
              </w:rPr>
              <w:t>presentation requirements of Division II of Schedule III to the Companies Act, 2013, (Ind AS compliant Schedule III</w:t>
            </w:r>
            <w:r w:rsidR="00E437D4" w:rsidRPr="00E70587">
              <w:rPr>
                <w:rFonts w:ascii="Arial" w:hAnsi="Arial"/>
                <w:color w:val="auto"/>
                <w:sz w:val="20"/>
              </w:rPr>
              <w:t xml:space="preserve">), as applicable to the </w:t>
            </w:r>
            <w:r w:rsidR="0025750D" w:rsidRPr="00E70587">
              <w:rPr>
                <w:rFonts w:ascii="Arial" w:hAnsi="Arial"/>
                <w:color w:val="auto"/>
                <w:sz w:val="20"/>
              </w:rPr>
              <w:t>CFS.</w:t>
            </w:r>
          </w:p>
          <w:p w14:paraId="095B3F27" w14:textId="77777777" w:rsidR="00E437D4" w:rsidRPr="00E70587" w:rsidRDefault="00E437D4" w:rsidP="00E437D4">
            <w:pPr>
              <w:pStyle w:val="Notesbodytext"/>
              <w:spacing w:after="0" w:line="280" w:lineRule="exact"/>
              <w:jc w:val="both"/>
              <w:rPr>
                <w:rFonts w:ascii="Arial" w:hAnsi="Arial"/>
                <w:color w:val="auto"/>
                <w:sz w:val="20"/>
              </w:rPr>
            </w:pPr>
          </w:p>
        </w:tc>
      </w:tr>
      <w:tr w:rsidR="00D87FDE" w:rsidRPr="00E70587" w14:paraId="036E23F1" w14:textId="77777777" w:rsidTr="00D87FDE">
        <w:tc>
          <w:tcPr>
            <w:tcW w:w="9576" w:type="dxa"/>
          </w:tcPr>
          <w:p w14:paraId="675B30BE" w14:textId="77777777" w:rsidR="00D87FDE" w:rsidRPr="00E70587" w:rsidRDefault="00D87FDE" w:rsidP="00D87FDE">
            <w:pPr>
              <w:pStyle w:val="Notesbodytext"/>
              <w:spacing w:after="0" w:line="280" w:lineRule="exact"/>
              <w:jc w:val="both"/>
              <w:rPr>
                <w:rFonts w:ascii="Arial" w:hAnsi="Arial"/>
                <w:color w:val="auto"/>
                <w:sz w:val="20"/>
              </w:rPr>
            </w:pPr>
            <w:r w:rsidRPr="00E70587">
              <w:rPr>
                <w:rFonts w:ascii="Arial" w:hAnsi="Arial"/>
                <w:color w:val="auto"/>
                <w:sz w:val="20"/>
              </w:rPr>
              <w:lastRenderedPageBreak/>
              <w:t>The consolidated financial statements have been prepared on a historical cost basis, except for the following assets and liabilities which have been measured at fair value:</w:t>
            </w:r>
          </w:p>
          <w:p w14:paraId="3069D838" w14:textId="77777777" w:rsidR="00D87FDE" w:rsidRPr="00E70587" w:rsidRDefault="00D87FDE"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Land and buildings classified as property, plant and equipment</w:t>
            </w:r>
          </w:p>
          <w:p w14:paraId="6798A519" w14:textId="77777777" w:rsidR="00D87FDE" w:rsidRPr="00E70587" w:rsidRDefault="00D87FDE"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Derivative financial instruments,</w:t>
            </w:r>
          </w:p>
          <w:p w14:paraId="6602983B" w14:textId="77777777" w:rsidR="00D87FDE" w:rsidRPr="00E70587" w:rsidRDefault="00D87FDE"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Certain financial assets and liabilities measured at fair value (refer accounting policy regarding financial instruments),</w:t>
            </w:r>
          </w:p>
          <w:p w14:paraId="0C96FBB5" w14:textId="77777777" w:rsidR="00D87FDE" w:rsidRPr="00E70587" w:rsidRDefault="00D87FDE"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Contingent consideration, and</w:t>
            </w:r>
          </w:p>
          <w:p w14:paraId="1743144A" w14:textId="21996DCD" w:rsidR="00D87FDE" w:rsidRPr="00E70587" w:rsidRDefault="00503FCB" w:rsidP="00F53123">
            <w:pPr>
              <w:pStyle w:val="Notesbodytext"/>
              <w:numPr>
                <w:ilvl w:val="0"/>
                <w:numId w:val="13"/>
              </w:numPr>
              <w:spacing w:before="120" w:after="0" w:line="280" w:lineRule="exact"/>
              <w:ind w:left="720" w:hanging="720"/>
              <w:jc w:val="both"/>
              <w:rPr>
                <w:rFonts w:ascii="Arial" w:hAnsi="Arial"/>
                <w:color w:val="auto"/>
                <w:sz w:val="20"/>
              </w:rPr>
            </w:pPr>
            <w:r>
              <w:rPr>
                <w:rFonts w:ascii="Arial" w:hAnsi="Arial"/>
                <w:color w:val="auto"/>
                <w:sz w:val="20"/>
              </w:rPr>
              <w:t>Dividend payable</w:t>
            </w:r>
          </w:p>
        </w:tc>
      </w:tr>
      <w:tr w:rsidR="00D87FDE" w:rsidRPr="00E70587" w14:paraId="3E399DCB" w14:textId="77777777" w:rsidTr="00D87FDE">
        <w:tc>
          <w:tcPr>
            <w:tcW w:w="9576" w:type="dxa"/>
          </w:tcPr>
          <w:p w14:paraId="33658BD9" w14:textId="77777777" w:rsidR="001C7706" w:rsidRPr="00E70587" w:rsidRDefault="001C7706" w:rsidP="00D87FDE">
            <w:pPr>
              <w:pStyle w:val="Notesbodytext"/>
              <w:spacing w:after="0" w:line="280" w:lineRule="exact"/>
              <w:ind w:left="-18"/>
              <w:jc w:val="both"/>
              <w:rPr>
                <w:rFonts w:ascii="Arial" w:hAnsi="Arial"/>
                <w:color w:val="auto"/>
                <w:sz w:val="20"/>
              </w:rPr>
            </w:pPr>
          </w:p>
          <w:p w14:paraId="7DE76E00" w14:textId="1616192F" w:rsidR="00D87FDE" w:rsidRDefault="00D87FDE" w:rsidP="00D87FDE">
            <w:pPr>
              <w:pStyle w:val="Notesbodytext"/>
              <w:spacing w:after="0" w:line="280" w:lineRule="exact"/>
              <w:ind w:left="-18"/>
              <w:jc w:val="both"/>
              <w:rPr>
                <w:rFonts w:ascii="Arial" w:hAnsi="Arial"/>
                <w:color w:val="auto"/>
                <w:sz w:val="20"/>
              </w:rPr>
            </w:pPr>
            <w:r w:rsidRPr="00E70587">
              <w:rPr>
                <w:rFonts w:ascii="Arial" w:hAnsi="Arial"/>
                <w:color w:val="auto"/>
                <w:sz w:val="20"/>
              </w:rPr>
              <w:t xml:space="preserve">In addition, the carrying values of recognised assets and liabilities that are designated as hedged items in fair value hedges that would otherwise be carried at amortised cost are adjusted to record changes in the fair values attributable to the risks that are being hedged in effective hedge relationships. The consolidated financial statements are presented in INR and all values are rounded to the nearest </w:t>
            </w:r>
            <w:r w:rsidR="007C74AF">
              <w:rPr>
                <w:rFonts w:ascii="Arial" w:hAnsi="Arial"/>
                <w:color w:val="auto"/>
                <w:sz w:val="20"/>
              </w:rPr>
              <w:t>lacs</w:t>
            </w:r>
            <w:r w:rsidR="00B83362" w:rsidRPr="00E70587">
              <w:rPr>
                <w:rFonts w:ascii="Arial" w:hAnsi="Arial"/>
                <w:color w:val="auto"/>
                <w:sz w:val="20"/>
              </w:rPr>
              <w:t xml:space="preserve"> </w:t>
            </w:r>
            <w:r w:rsidRPr="00E70587">
              <w:rPr>
                <w:rFonts w:ascii="Arial" w:hAnsi="Arial"/>
                <w:color w:val="auto"/>
                <w:sz w:val="20"/>
              </w:rPr>
              <w:t>(INR 00,000), except when otherwise indicated.</w:t>
            </w:r>
          </w:p>
          <w:p w14:paraId="223B02C9" w14:textId="77777777" w:rsidR="003E049E" w:rsidRDefault="003E049E" w:rsidP="00D87FDE">
            <w:pPr>
              <w:pStyle w:val="Notesbodytext"/>
              <w:spacing w:after="0" w:line="280" w:lineRule="exact"/>
              <w:ind w:left="-18"/>
              <w:jc w:val="both"/>
              <w:rPr>
                <w:rFonts w:ascii="Arial" w:hAnsi="Arial"/>
                <w:color w:val="auto"/>
                <w:sz w:val="20"/>
              </w:rPr>
            </w:pPr>
          </w:p>
          <w:p w14:paraId="2CF58A86" w14:textId="77777777" w:rsidR="003E049E" w:rsidRPr="00D950DD" w:rsidRDefault="003E049E" w:rsidP="000D2979">
            <w:pPr>
              <w:pStyle w:val="Notesbodytext"/>
              <w:shd w:val="clear" w:color="auto" w:fill="A2A2A2" w:themeFill="background2" w:themeFillTint="99"/>
              <w:spacing w:line="280" w:lineRule="exact"/>
              <w:ind w:left="-18"/>
              <w:jc w:val="both"/>
              <w:rPr>
                <w:rFonts w:ascii="Arial" w:hAnsi="Arial"/>
                <w:b/>
                <w:bCs/>
                <w:color w:val="auto"/>
                <w:sz w:val="20"/>
              </w:rPr>
            </w:pPr>
            <w:r w:rsidRPr="00D950DD">
              <w:rPr>
                <w:rFonts w:ascii="Arial" w:hAnsi="Arial"/>
                <w:b/>
                <w:bCs/>
                <w:color w:val="auto"/>
                <w:sz w:val="20"/>
              </w:rPr>
              <w:t xml:space="preserve">Covid-19 commentary </w:t>
            </w:r>
          </w:p>
          <w:p w14:paraId="62D00B32" w14:textId="77777777" w:rsidR="003E049E" w:rsidRPr="00D950DD" w:rsidRDefault="003E049E" w:rsidP="000D2979">
            <w:pPr>
              <w:pStyle w:val="Notesbodytext"/>
              <w:shd w:val="clear" w:color="auto" w:fill="A2A2A2" w:themeFill="background2" w:themeFillTint="99"/>
              <w:spacing w:line="280" w:lineRule="exact"/>
              <w:ind w:left="-18"/>
              <w:jc w:val="both"/>
              <w:rPr>
                <w:rFonts w:ascii="Arial" w:hAnsi="Arial"/>
                <w:i/>
                <w:iCs/>
                <w:color w:val="auto"/>
                <w:sz w:val="20"/>
              </w:rPr>
            </w:pPr>
            <w:r w:rsidRPr="00D950DD">
              <w:rPr>
                <w:rFonts w:ascii="Arial" w:hAnsi="Arial"/>
                <w:i/>
                <w:iCs/>
                <w:color w:val="auto"/>
                <w:sz w:val="20"/>
              </w:rPr>
              <w:t xml:space="preserve">Going Concern </w:t>
            </w:r>
          </w:p>
          <w:p w14:paraId="26950E51" w14:textId="182281E3" w:rsidR="003E049E" w:rsidRPr="00D950DD" w:rsidRDefault="003E049E" w:rsidP="000D2979">
            <w:pPr>
              <w:pStyle w:val="Notesbodytext"/>
              <w:shd w:val="clear" w:color="auto" w:fill="A2A2A2" w:themeFill="background2" w:themeFillTint="99"/>
              <w:spacing w:line="280" w:lineRule="exact"/>
              <w:ind w:left="-18"/>
              <w:jc w:val="both"/>
              <w:rPr>
                <w:rFonts w:ascii="Arial" w:hAnsi="Arial"/>
                <w:color w:val="auto"/>
                <w:sz w:val="20"/>
              </w:rPr>
            </w:pPr>
            <w:r w:rsidRPr="00D950DD">
              <w:rPr>
                <w:rFonts w:ascii="Arial" w:hAnsi="Arial"/>
                <w:color w:val="auto"/>
                <w:sz w:val="20"/>
              </w:rPr>
              <w:t>Given the unpredictability of the potential impact of the outbreak, there may be material uncertainties that cast doubt on the entity’s ability to operate as a going concern. I</w:t>
            </w:r>
            <w:r w:rsidR="00C45C61" w:rsidRPr="00D950DD">
              <w:rPr>
                <w:rFonts w:ascii="Arial" w:hAnsi="Arial"/>
                <w:color w:val="auto"/>
                <w:sz w:val="20"/>
              </w:rPr>
              <w:t xml:space="preserve">nd </w:t>
            </w:r>
            <w:r w:rsidRPr="00D950DD">
              <w:rPr>
                <w:rFonts w:ascii="Arial" w:hAnsi="Arial"/>
                <w:color w:val="auto"/>
                <w:sz w:val="20"/>
              </w:rPr>
              <w:t>AS 1.25 requires management, when preparing financial statements, to assess an entity’s ability to continue as a going concern, and whether the going concern assumption</w:t>
            </w:r>
            <w:r w:rsidR="006D39B3" w:rsidRPr="00D950DD">
              <w:rPr>
                <w:rFonts w:ascii="Arial" w:hAnsi="Arial"/>
                <w:color w:val="auto"/>
                <w:sz w:val="20"/>
              </w:rPr>
              <w:t xml:space="preserve"> </w:t>
            </w:r>
            <w:r w:rsidRPr="00D950DD">
              <w:rPr>
                <w:rFonts w:ascii="Arial" w:hAnsi="Arial"/>
                <w:color w:val="auto"/>
                <w:sz w:val="20"/>
              </w:rPr>
              <w:t xml:space="preserve">is appropriate. In assessing whether the going concern assumption is appropriate, the standard requires an entity to consider all available information about the future, which is at least, but not limited to, twelve months from the end of the reporting period. When an entity is aware, in making its going concern assessment, of material uncertainties related to events or conditions that may cast significant doubt upon the entity’s ability to continue as a going concern, it must disclose those uncertainties. </w:t>
            </w:r>
          </w:p>
          <w:p w14:paraId="392BBAF4" w14:textId="4478AC60" w:rsidR="003E049E" w:rsidRPr="00D950DD" w:rsidRDefault="003E049E" w:rsidP="000D2979">
            <w:pPr>
              <w:pStyle w:val="Notesbodytext"/>
              <w:shd w:val="clear" w:color="auto" w:fill="A2A2A2" w:themeFill="background2" w:themeFillTint="99"/>
              <w:spacing w:line="280" w:lineRule="exact"/>
              <w:ind w:left="-18"/>
              <w:jc w:val="both"/>
              <w:rPr>
                <w:rFonts w:ascii="Arial" w:hAnsi="Arial"/>
                <w:color w:val="auto"/>
                <w:sz w:val="20"/>
              </w:rPr>
            </w:pPr>
            <w:r w:rsidRPr="00D950DD">
              <w:rPr>
                <w:rFonts w:ascii="Arial" w:hAnsi="Arial"/>
                <w:color w:val="auto"/>
                <w:sz w:val="20"/>
              </w:rPr>
              <w:t xml:space="preserve">Entities will need to disclose the significant judgements made in the assessment of the existence of a material uncertainty This will be particularly relevant should the financial statements be prepared on another basis than the going concern basis.  </w:t>
            </w:r>
          </w:p>
          <w:p w14:paraId="7589AC9C" w14:textId="0E32571D" w:rsidR="003E049E" w:rsidRPr="00D950DD" w:rsidRDefault="003E049E" w:rsidP="000D2979">
            <w:pPr>
              <w:pStyle w:val="Notesbodytext"/>
              <w:shd w:val="clear" w:color="auto" w:fill="A2A2A2" w:themeFill="background2" w:themeFillTint="99"/>
              <w:spacing w:line="280" w:lineRule="exact"/>
              <w:ind w:left="-18"/>
              <w:jc w:val="both"/>
              <w:rPr>
                <w:rFonts w:ascii="Arial" w:hAnsi="Arial"/>
                <w:color w:val="auto"/>
                <w:sz w:val="20"/>
              </w:rPr>
            </w:pPr>
            <w:r w:rsidRPr="00D950DD">
              <w:rPr>
                <w:rFonts w:ascii="Arial" w:hAnsi="Arial"/>
                <w:color w:val="auto"/>
                <w:sz w:val="20"/>
              </w:rPr>
              <w:t xml:space="preserve">When making that assessment, management takes into consideration the existing and anticipated effects of the outbreak on the entity’s activities. Management should consider all available information about the future that was obtained after the reporting date, up until the date of which the financial statements are issued in their assessment of going concern. This includes, but is not limited to, measures taken by governments and banks to provide relief to affected entities. These disclosures are equally as important, if not even more so, in situations when the going concern assumption is still applied but there is some doubt as to situations when the going concern assumption is not applied. </w:t>
            </w:r>
          </w:p>
          <w:p w14:paraId="3DAFE258" w14:textId="77777777" w:rsidR="003E049E" w:rsidRPr="00D950DD" w:rsidRDefault="003E049E" w:rsidP="000D2979">
            <w:pPr>
              <w:pStyle w:val="Notesbodytext"/>
              <w:shd w:val="clear" w:color="auto" w:fill="A2A2A2" w:themeFill="background2" w:themeFillTint="99"/>
              <w:spacing w:line="280" w:lineRule="exact"/>
              <w:ind w:left="-18"/>
              <w:jc w:val="both"/>
              <w:rPr>
                <w:rFonts w:ascii="Arial" w:hAnsi="Arial"/>
                <w:color w:val="auto"/>
                <w:sz w:val="20"/>
              </w:rPr>
            </w:pPr>
            <w:r w:rsidRPr="00D950DD">
              <w:rPr>
                <w:rFonts w:ascii="Arial" w:hAnsi="Arial"/>
                <w:color w:val="auto"/>
                <w:sz w:val="20"/>
              </w:rPr>
              <w:t xml:space="preserve">Considerations that an entity might disclose to address its going concern basis include: </w:t>
            </w:r>
          </w:p>
          <w:p w14:paraId="6C8E6AC6" w14:textId="2ECB26A7" w:rsidR="003E049E" w:rsidRPr="00D950DD" w:rsidRDefault="003E049E" w:rsidP="000D2979">
            <w:pPr>
              <w:pStyle w:val="Notesbodytext"/>
              <w:shd w:val="clear" w:color="auto" w:fill="A2A2A2" w:themeFill="background2" w:themeFillTint="99"/>
              <w:spacing w:line="280" w:lineRule="exact"/>
              <w:ind w:left="-18"/>
              <w:jc w:val="both"/>
              <w:rPr>
                <w:rFonts w:ascii="Arial" w:hAnsi="Arial"/>
                <w:color w:val="auto"/>
                <w:sz w:val="20"/>
              </w:rPr>
            </w:pPr>
            <w:r w:rsidRPr="00D950DD">
              <w:rPr>
                <w:rFonts w:ascii="Arial" w:hAnsi="Arial"/>
                <w:color w:val="auto"/>
                <w:sz w:val="20"/>
              </w:rPr>
              <w:lastRenderedPageBreak/>
              <w:t xml:space="preserve">• Whether the entity has sufficient cash and / or headroom in its credit facilities to support any downturn whilst noting that the evolving nature of the Covid-19 pandemic means that uncertainties will remain, and it may not be able to reasonably estimate the future impact </w:t>
            </w:r>
          </w:p>
          <w:p w14:paraId="44C9048D" w14:textId="4296AE95" w:rsidR="003E049E" w:rsidRPr="00D950DD" w:rsidRDefault="003E049E" w:rsidP="000D2979">
            <w:pPr>
              <w:pStyle w:val="Notesbodytext"/>
              <w:shd w:val="clear" w:color="auto" w:fill="A2A2A2" w:themeFill="background2" w:themeFillTint="99"/>
              <w:spacing w:line="280" w:lineRule="exact"/>
              <w:ind w:left="-18"/>
              <w:jc w:val="both"/>
              <w:rPr>
                <w:rFonts w:ascii="Arial" w:hAnsi="Arial"/>
                <w:color w:val="auto"/>
                <w:sz w:val="20"/>
              </w:rPr>
            </w:pPr>
            <w:r w:rsidRPr="00D950DD">
              <w:rPr>
                <w:rFonts w:ascii="Arial" w:hAnsi="Arial"/>
                <w:color w:val="auto"/>
                <w:sz w:val="20"/>
              </w:rPr>
              <w:t xml:space="preserve">• Actions the entity has taken to mitigate the risk that the going concern assumption is not appropriate such as activities to preserve liquidity </w:t>
            </w:r>
          </w:p>
          <w:p w14:paraId="6EC06565" w14:textId="77777777" w:rsidR="003E049E" w:rsidRPr="00D950DD" w:rsidRDefault="003E049E" w:rsidP="000D2979">
            <w:pPr>
              <w:pStyle w:val="Notesbodytext"/>
              <w:shd w:val="clear" w:color="auto" w:fill="A2A2A2" w:themeFill="background2" w:themeFillTint="99"/>
              <w:spacing w:line="280" w:lineRule="exact"/>
              <w:ind w:left="-18"/>
              <w:jc w:val="both"/>
              <w:rPr>
                <w:rFonts w:ascii="Arial" w:hAnsi="Arial"/>
                <w:color w:val="auto"/>
                <w:sz w:val="20"/>
              </w:rPr>
            </w:pPr>
            <w:r w:rsidRPr="00D950DD">
              <w:rPr>
                <w:rFonts w:ascii="Arial" w:hAnsi="Arial"/>
                <w:color w:val="auto"/>
                <w:sz w:val="20"/>
              </w:rPr>
              <w:t xml:space="preserve">• Consideration of the entity’s business model and related risks </w:t>
            </w:r>
          </w:p>
          <w:p w14:paraId="59B2DF9E" w14:textId="65FEBB2A" w:rsidR="003E049E" w:rsidRPr="00E70587" w:rsidRDefault="003E049E" w:rsidP="000D2979">
            <w:pPr>
              <w:pStyle w:val="Notesbodytext"/>
              <w:shd w:val="clear" w:color="auto" w:fill="A2A2A2" w:themeFill="background2" w:themeFillTint="99"/>
              <w:spacing w:after="0" w:line="280" w:lineRule="exact"/>
              <w:ind w:left="-18"/>
              <w:jc w:val="both"/>
              <w:rPr>
                <w:rFonts w:ascii="Arial" w:hAnsi="Arial"/>
                <w:color w:val="auto"/>
                <w:sz w:val="20"/>
              </w:rPr>
            </w:pPr>
            <w:r w:rsidRPr="00D950DD">
              <w:rPr>
                <w:rFonts w:ascii="Arial" w:hAnsi="Arial"/>
                <w:color w:val="auto"/>
                <w:sz w:val="20"/>
              </w:rPr>
              <w:t>• Any challenges of the underlying data and assumptions used to make the going concern assessment</w:t>
            </w:r>
          </w:p>
        </w:tc>
      </w:tr>
    </w:tbl>
    <w:p w14:paraId="43675614" w14:textId="77777777" w:rsidR="00C11FDE" w:rsidRPr="00E70587" w:rsidRDefault="00C11FDE" w:rsidP="001C7706">
      <w:pPr>
        <w:pStyle w:val="Notesbodytext"/>
        <w:spacing w:after="0" w:line="280" w:lineRule="exact"/>
        <w:ind w:left="-18"/>
        <w:jc w:val="both"/>
        <w:rPr>
          <w:rFonts w:ascii="Arial" w:hAnsi="Arial"/>
          <w:color w:val="auto"/>
          <w:sz w:val="20"/>
        </w:rPr>
      </w:pPr>
    </w:p>
    <w:p w14:paraId="6E5E153B" w14:textId="6B3EC317" w:rsidR="003062C6" w:rsidRPr="00E70587" w:rsidRDefault="003062C6" w:rsidP="00BB14E5">
      <w:pPr>
        <w:pStyle w:val="Notesbodytext"/>
        <w:spacing w:after="0" w:line="280" w:lineRule="exact"/>
        <w:ind w:left="-18"/>
        <w:jc w:val="both"/>
        <w:rPr>
          <w:rFonts w:ascii="Arial" w:hAnsi="Arial"/>
          <w:color w:val="auto"/>
          <w:sz w:val="20"/>
        </w:rPr>
      </w:pPr>
      <w:r w:rsidRPr="00E70587">
        <w:rPr>
          <w:rFonts w:ascii="Arial" w:hAnsi="Arial"/>
          <w:color w:val="auto"/>
          <w:sz w:val="20"/>
        </w:rPr>
        <w:t xml:space="preserve">The consolidated financial statements provide comparative information in respect of the previous period. In addition, the Group presents an additional </w:t>
      </w:r>
      <w:r w:rsidR="00F34AD6" w:rsidRPr="00E70587">
        <w:rPr>
          <w:rFonts w:ascii="Arial" w:hAnsi="Arial"/>
          <w:color w:val="auto"/>
          <w:sz w:val="20"/>
        </w:rPr>
        <w:t>balance sheet</w:t>
      </w:r>
      <w:r w:rsidRPr="00E70587">
        <w:rPr>
          <w:rFonts w:ascii="Arial" w:hAnsi="Arial"/>
          <w:color w:val="auto"/>
          <w:sz w:val="20"/>
        </w:rPr>
        <w:t xml:space="preserve"> at the beginning of the preceding period when there is a retrospective application of an accounting policy, a retrospective restatement, or a reclassification of items in financial statements.</w:t>
      </w:r>
    </w:p>
    <w:p w14:paraId="2A615BB7" w14:textId="77777777" w:rsidR="003062C6" w:rsidRPr="00E70587" w:rsidRDefault="003062C6" w:rsidP="001C7706">
      <w:pPr>
        <w:pStyle w:val="Notesbodytext"/>
        <w:spacing w:after="0" w:line="280" w:lineRule="exact"/>
        <w:ind w:left="-18"/>
        <w:jc w:val="both"/>
        <w:rPr>
          <w:rFonts w:ascii="Arial" w:hAnsi="Arial"/>
          <w:color w:val="auto"/>
          <w:sz w:val="20"/>
        </w:rPr>
      </w:pPr>
    </w:p>
    <w:tbl>
      <w:tblPr>
        <w:tblW w:w="9630" w:type="dxa"/>
        <w:tblLayout w:type="fixed"/>
        <w:tblLook w:val="0000" w:firstRow="0" w:lastRow="0" w:firstColumn="0" w:lastColumn="0" w:noHBand="0" w:noVBand="0"/>
      </w:tblPr>
      <w:tblGrid>
        <w:gridCol w:w="9630"/>
      </w:tblGrid>
      <w:tr w:rsidR="00CA33DC" w:rsidRPr="00E70587" w14:paraId="2567B3E5" w14:textId="77777777" w:rsidTr="006939C8">
        <w:tc>
          <w:tcPr>
            <w:tcW w:w="9630" w:type="dxa"/>
          </w:tcPr>
          <w:p w14:paraId="740848E1" w14:textId="77777777" w:rsidR="001C7706" w:rsidRPr="00E70587" w:rsidRDefault="001C7706" w:rsidP="001C7706">
            <w:pPr>
              <w:pStyle w:val="Heading4"/>
              <w:keepNext w:val="0"/>
              <w:spacing w:before="0" w:after="0" w:line="280" w:lineRule="exact"/>
              <w:jc w:val="both"/>
              <w:rPr>
                <w:rFonts w:ascii="Arial" w:hAnsi="Arial" w:cs="Arial"/>
                <w:szCs w:val="20"/>
              </w:rPr>
            </w:pPr>
            <w:r w:rsidRPr="00E70587">
              <w:rPr>
                <w:rFonts w:ascii="Arial" w:hAnsi="Arial" w:cs="Arial"/>
                <w:szCs w:val="20"/>
              </w:rPr>
              <w:t>2.2 Basis of consolidation</w:t>
            </w:r>
          </w:p>
          <w:p w14:paraId="7CE0D1ED" w14:textId="77777777" w:rsidR="001C7706" w:rsidRPr="00E70587" w:rsidRDefault="001C7706" w:rsidP="001C7706">
            <w:pPr>
              <w:pStyle w:val="Notesbodytext"/>
              <w:spacing w:after="0" w:line="280" w:lineRule="exact"/>
              <w:jc w:val="both"/>
              <w:rPr>
                <w:rFonts w:ascii="Arial" w:hAnsi="Arial"/>
                <w:color w:val="auto"/>
                <w:sz w:val="20"/>
              </w:rPr>
            </w:pPr>
          </w:p>
          <w:p w14:paraId="57E26A68" w14:textId="61CF43B6" w:rsidR="001C7706" w:rsidRPr="00E70587" w:rsidRDefault="001C7706" w:rsidP="001C7706">
            <w:pPr>
              <w:pStyle w:val="Notesbodytext"/>
              <w:spacing w:after="0" w:line="280" w:lineRule="exact"/>
              <w:jc w:val="both"/>
              <w:rPr>
                <w:rFonts w:ascii="Arial" w:hAnsi="Arial"/>
                <w:color w:val="auto"/>
                <w:sz w:val="20"/>
              </w:rPr>
            </w:pPr>
            <w:r w:rsidRPr="00E70587">
              <w:rPr>
                <w:rFonts w:ascii="Arial" w:hAnsi="Arial"/>
                <w:color w:val="auto"/>
                <w:sz w:val="20"/>
              </w:rPr>
              <w:t xml:space="preserve">The consolidated financial statements comprise the financial statements of the </w:t>
            </w:r>
            <w:r w:rsidR="0068612D" w:rsidRPr="00E70587">
              <w:rPr>
                <w:rFonts w:ascii="Arial" w:hAnsi="Arial"/>
                <w:color w:val="auto"/>
                <w:sz w:val="20"/>
              </w:rPr>
              <w:t xml:space="preserve">company </w:t>
            </w:r>
            <w:r w:rsidRPr="00E70587">
              <w:rPr>
                <w:rFonts w:ascii="Arial" w:hAnsi="Arial"/>
                <w:color w:val="auto"/>
                <w:sz w:val="20"/>
              </w:rPr>
              <w:t xml:space="preserve">and its subsidiaries as at 31 </w:t>
            </w:r>
            <w:r w:rsidR="00E1202D" w:rsidRPr="00E70587">
              <w:rPr>
                <w:rFonts w:ascii="Arial" w:hAnsi="Arial"/>
                <w:color w:val="auto"/>
                <w:sz w:val="20"/>
              </w:rPr>
              <w:t xml:space="preserve">March </w:t>
            </w:r>
            <w:r w:rsidR="00612288" w:rsidRPr="00E70587">
              <w:rPr>
                <w:rFonts w:ascii="Arial" w:hAnsi="Arial"/>
                <w:color w:val="auto"/>
                <w:sz w:val="20"/>
              </w:rPr>
              <w:t>20</w:t>
            </w:r>
            <w:r w:rsidR="00612288">
              <w:rPr>
                <w:rFonts w:ascii="Arial" w:hAnsi="Arial"/>
                <w:color w:val="auto"/>
                <w:sz w:val="20"/>
              </w:rPr>
              <w:t>21</w:t>
            </w:r>
            <w:r w:rsidRPr="00E70587">
              <w:rPr>
                <w:rFonts w:ascii="Arial" w:hAnsi="Arial"/>
                <w:color w:val="auto"/>
                <w:sz w:val="20"/>
              </w:rPr>
              <w:t>. Control is achieved when the Group is exposed, or has rights, to variable returns from its involvement with the investee and has the ability to affect those returns through its power over the investee. Specifically, the Group controls an investee if and only if the Group has:</w:t>
            </w:r>
          </w:p>
          <w:p w14:paraId="2418F49F" w14:textId="77777777" w:rsidR="001C7706" w:rsidRPr="00E70587" w:rsidRDefault="001C7706"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Power over the investee (</w:t>
            </w:r>
            <w:proofErr w:type="gramStart"/>
            <w:r w:rsidRPr="00E70587">
              <w:rPr>
                <w:rFonts w:ascii="Arial" w:hAnsi="Arial"/>
                <w:color w:val="auto"/>
                <w:sz w:val="20"/>
              </w:rPr>
              <w:t>i.e.</w:t>
            </w:r>
            <w:proofErr w:type="gramEnd"/>
            <w:r w:rsidRPr="00E70587">
              <w:rPr>
                <w:rFonts w:ascii="Arial" w:hAnsi="Arial"/>
                <w:color w:val="auto"/>
                <w:sz w:val="20"/>
              </w:rPr>
              <w:t xml:space="preserve"> existing rights that give it the current ability to direct the relevant activities of the investee)</w:t>
            </w:r>
          </w:p>
          <w:p w14:paraId="6C6D2D42" w14:textId="77777777" w:rsidR="001C7706" w:rsidRPr="00E70587" w:rsidRDefault="001C7706"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Exposure, or rights, to variable returns from its involvement with the investee, and</w:t>
            </w:r>
          </w:p>
          <w:p w14:paraId="336E3157" w14:textId="77777777" w:rsidR="001C7706" w:rsidRPr="00E70587" w:rsidRDefault="001C7706"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The ability to use its power over the investee to affect its returns</w:t>
            </w:r>
          </w:p>
        </w:tc>
      </w:tr>
      <w:tr w:rsidR="00CA33DC" w:rsidRPr="00E70587" w14:paraId="55FBD933" w14:textId="77777777" w:rsidTr="006939C8">
        <w:tc>
          <w:tcPr>
            <w:tcW w:w="9630" w:type="dxa"/>
          </w:tcPr>
          <w:p w14:paraId="166D1124" w14:textId="77777777" w:rsidR="001C7706" w:rsidRPr="00E70587" w:rsidRDefault="001C7706" w:rsidP="001C7706">
            <w:pPr>
              <w:pStyle w:val="Notesbodytext"/>
              <w:spacing w:after="0" w:line="280" w:lineRule="exact"/>
              <w:jc w:val="both"/>
              <w:rPr>
                <w:rFonts w:ascii="Arial" w:hAnsi="Arial"/>
                <w:color w:val="auto"/>
                <w:sz w:val="20"/>
              </w:rPr>
            </w:pPr>
          </w:p>
          <w:p w14:paraId="71374759" w14:textId="77777777" w:rsidR="001C7706" w:rsidRPr="00E70587" w:rsidRDefault="001C7706" w:rsidP="001C7706">
            <w:pPr>
              <w:pStyle w:val="Notesbodytext"/>
              <w:spacing w:after="0" w:line="280" w:lineRule="exact"/>
              <w:jc w:val="both"/>
              <w:rPr>
                <w:rFonts w:ascii="Arial" w:hAnsi="Arial"/>
                <w:color w:val="auto"/>
                <w:sz w:val="20"/>
              </w:rPr>
            </w:pPr>
            <w:r w:rsidRPr="00E70587">
              <w:rPr>
                <w:rFonts w:ascii="Arial" w:hAnsi="Arial"/>
                <w:color w:val="auto"/>
                <w:sz w:val="20"/>
              </w:rPr>
              <w:t>Generally, there is a presumption that a majority of voting rights result in control. To support this presumption and when the Group has less than a majority of the voting or similar rights of an investee, the Group considers all relevant facts and circumstances in assessing whether it has power over an investee, including:</w:t>
            </w:r>
          </w:p>
          <w:p w14:paraId="70B92727" w14:textId="77777777" w:rsidR="001C7706" w:rsidRPr="00E70587" w:rsidRDefault="001C7706" w:rsidP="00E466DD">
            <w:pPr>
              <w:pStyle w:val="Notesbodytext"/>
              <w:numPr>
                <w:ilvl w:val="0"/>
                <w:numId w:val="39"/>
              </w:numPr>
              <w:spacing w:before="120" w:after="0" w:line="240" w:lineRule="auto"/>
              <w:jc w:val="both"/>
              <w:rPr>
                <w:rFonts w:ascii="Arial" w:hAnsi="Arial"/>
                <w:color w:val="auto"/>
                <w:sz w:val="20"/>
              </w:rPr>
            </w:pPr>
            <w:r w:rsidRPr="00E70587">
              <w:rPr>
                <w:rFonts w:ascii="Arial" w:hAnsi="Arial"/>
                <w:color w:val="auto"/>
                <w:sz w:val="20"/>
              </w:rPr>
              <w:t>The contractual arrangement with the other vote holders of the investee</w:t>
            </w:r>
          </w:p>
          <w:p w14:paraId="0A1FECE5" w14:textId="77777777" w:rsidR="001C7706" w:rsidRPr="00E70587" w:rsidRDefault="001C7706" w:rsidP="00E466DD">
            <w:pPr>
              <w:pStyle w:val="Notesbodytext"/>
              <w:numPr>
                <w:ilvl w:val="0"/>
                <w:numId w:val="39"/>
              </w:numPr>
              <w:spacing w:before="120" w:after="0" w:line="240" w:lineRule="auto"/>
              <w:jc w:val="both"/>
              <w:rPr>
                <w:rFonts w:ascii="Arial" w:hAnsi="Arial"/>
                <w:color w:val="auto"/>
                <w:sz w:val="20"/>
              </w:rPr>
            </w:pPr>
            <w:r w:rsidRPr="00E70587">
              <w:rPr>
                <w:rFonts w:ascii="Arial" w:hAnsi="Arial"/>
                <w:color w:val="auto"/>
                <w:sz w:val="20"/>
              </w:rPr>
              <w:t xml:space="preserve">Rights arising from other contractual arrangements </w:t>
            </w:r>
          </w:p>
          <w:p w14:paraId="05CFCC0F" w14:textId="77777777" w:rsidR="0037200E" w:rsidRPr="00E70587" w:rsidRDefault="001C7706" w:rsidP="00E466DD">
            <w:pPr>
              <w:pStyle w:val="Notesbodytext"/>
              <w:numPr>
                <w:ilvl w:val="0"/>
                <w:numId w:val="39"/>
              </w:numPr>
              <w:spacing w:before="120" w:after="0" w:line="240" w:lineRule="auto"/>
              <w:jc w:val="both"/>
              <w:rPr>
                <w:rFonts w:ascii="Arial" w:hAnsi="Arial"/>
                <w:color w:val="auto"/>
                <w:sz w:val="20"/>
              </w:rPr>
            </w:pPr>
            <w:r w:rsidRPr="00E70587">
              <w:rPr>
                <w:rFonts w:ascii="Arial" w:hAnsi="Arial"/>
                <w:color w:val="auto"/>
                <w:sz w:val="20"/>
              </w:rPr>
              <w:t>The Group’s voting rights and potential voting rights</w:t>
            </w:r>
          </w:p>
          <w:p w14:paraId="0FD41E23" w14:textId="77777777" w:rsidR="0037200E" w:rsidRPr="00E70587" w:rsidRDefault="0037200E" w:rsidP="00E466DD">
            <w:pPr>
              <w:pStyle w:val="Notesbodytext"/>
              <w:numPr>
                <w:ilvl w:val="0"/>
                <w:numId w:val="39"/>
              </w:numPr>
              <w:spacing w:before="120" w:after="0" w:line="240" w:lineRule="auto"/>
              <w:jc w:val="both"/>
              <w:rPr>
                <w:rFonts w:ascii="Arial" w:hAnsi="Arial"/>
                <w:color w:val="auto"/>
                <w:sz w:val="20"/>
              </w:rPr>
            </w:pPr>
            <w:r w:rsidRPr="00E70587">
              <w:rPr>
                <w:rFonts w:ascii="Arial" w:hAnsi="Arial"/>
                <w:color w:val="auto"/>
                <w:sz w:val="20"/>
              </w:rPr>
              <w:t>The size of the group’s holding of voting rights relative to the size and dispersion of the holdings of the other voting rights holders</w:t>
            </w:r>
          </w:p>
          <w:p w14:paraId="5794F184" w14:textId="77777777" w:rsidR="001C7706" w:rsidRPr="00E70587" w:rsidRDefault="001C7706" w:rsidP="0037200E">
            <w:pPr>
              <w:pStyle w:val="Notesbodytext"/>
              <w:spacing w:after="0" w:line="240" w:lineRule="auto"/>
              <w:jc w:val="both"/>
              <w:rPr>
                <w:rFonts w:ascii="Arial" w:hAnsi="Arial"/>
                <w:color w:val="auto"/>
                <w:sz w:val="20"/>
              </w:rPr>
            </w:pPr>
          </w:p>
          <w:p w14:paraId="080235C4" w14:textId="77777777" w:rsidR="001C7706" w:rsidRPr="00E70587" w:rsidRDefault="001C7706" w:rsidP="001C7706">
            <w:pPr>
              <w:pStyle w:val="Notesbodytext"/>
              <w:spacing w:after="0" w:line="280" w:lineRule="exact"/>
              <w:jc w:val="both"/>
              <w:rPr>
                <w:rFonts w:ascii="Arial" w:hAnsi="Arial"/>
                <w:color w:val="auto"/>
                <w:sz w:val="20"/>
              </w:rPr>
            </w:pPr>
            <w:r w:rsidRPr="00E70587">
              <w:rPr>
                <w:rFonts w:ascii="Arial" w:hAnsi="Arial"/>
                <w:color w:val="auto"/>
                <w:sz w:val="20"/>
              </w:rPr>
              <w:t>The Group re-assesses whether or not it controls an investee if facts and circumstances indicate that there are changes to one or more of the three elements of control. Consolidation of a subsidiary begins when the Group obtains control over the subsidiary and ceases when the Group loses control of the subsidiary. Assets, liabilities, income and expenses of a subsidiary acquired or disposed of during the year are included in the consolidated financial statements from the date the Group gains control until the date the Group ceases to control the subsidiary.</w:t>
            </w:r>
          </w:p>
          <w:p w14:paraId="57D54764" w14:textId="77777777" w:rsidR="001C7706" w:rsidRPr="00E70587" w:rsidRDefault="001C7706" w:rsidP="001C7706">
            <w:pPr>
              <w:pStyle w:val="Notesbodytext"/>
              <w:spacing w:after="0" w:line="280" w:lineRule="exact"/>
              <w:jc w:val="both"/>
              <w:rPr>
                <w:rFonts w:ascii="Arial" w:hAnsi="Arial"/>
                <w:color w:val="auto"/>
                <w:sz w:val="20"/>
              </w:rPr>
            </w:pPr>
          </w:p>
          <w:p w14:paraId="2C20A118" w14:textId="77777777" w:rsidR="00852805" w:rsidRPr="00E70587" w:rsidRDefault="00852805" w:rsidP="00852805">
            <w:pPr>
              <w:pStyle w:val="Notesbodytext"/>
              <w:spacing w:line="280" w:lineRule="exact"/>
              <w:jc w:val="both"/>
              <w:rPr>
                <w:rFonts w:ascii="Arial" w:hAnsi="Arial"/>
                <w:color w:val="auto"/>
                <w:sz w:val="20"/>
              </w:rPr>
            </w:pPr>
            <w:r w:rsidRPr="00E70587">
              <w:rPr>
                <w:rFonts w:ascii="Arial" w:hAnsi="Arial"/>
                <w:color w:val="auto"/>
                <w:sz w:val="20"/>
              </w:rPr>
              <w:t>Consolidated financial statements are prepared using uniform accounting policies for like transactions and other events in similar circumstances. If a member of the group uses accounting policies other than those adopted in the consolidated financial statements for like transactions and events in similar circumstances, appropriate adjustments are made to that group member’s financial statements in preparing the consolidated financial statements to ensure conformity with the group’s accounting policies.</w:t>
            </w:r>
          </w:p>
          <w:p w14:paraId="7AD0E06B" w14:textId="77777777" w:rsidR="00852805" w:rsidRPr="00E70587" w:rsidRDefault="00852805" w:rsidP="00852805">
            <w:pPr>
              <w:pStyle w:val="Notesbodytext"/>
              <w:spacing w:after="0" w:line="280" w:lineRule="exact"/>
              <w:jc w:val="both"/>
              <w:rPr>
                <w:rFonts w:ascii="Arial" w:hAnsi="Arial"/>
                <w:color w:val="auto"/>
                <w:sz w:val="20"/>
              </w:rPr>
            </w:pPr>
            <w:r w:rsidRPr="00E70587">
              <w:rPr>
                <w:rFonts w:ascii="Arial" w:hAnsi="Arial"/>
                <w:color w:val="auto"/>
                <w:sz w:val="20"/>
              </w:rPr>
              <w:t xml:space="preserve">The financial statements of all entities used for the purpose of consolidation are drawn up to same reporting date as that of the parent company, i.e., year ended on 31 March. When the end of the reporting period of the parent is different from that of a subsidiary, the subsidiary prepares, for consolidation purposes, </w:t>
            </w:r>
            <w:r w:rsidRPr="00E70587">
              <w:rPr>
                <w:rFonts w:ascii="Arial" w:hAnsi="Arial"/>
                <w:color w:val="auto"/>
                <w:sz w:val="20"/>
              </w:rPr>
              <w:lastRenderedPageBreak/>
              <w:t>additional financial information as of the same date as the financial statements of the parent to enable the parent to consolidate the financial information of the subsidiary, unless it is impracticable to do so.</w:t>
            </w:r>
          </w:p>
          <w:p w14:paraId="3A3E6CBF" w14:textId="77777777" w:rsidR="00852805" w:rsidRPr="00E70587" w:rsidRDefault="00852805" w:rsidP="00852805">
            <w:pPr>
              <w:pStyle w:val="Notesbodytext"/>
              <w:spacing w:after="0" w:line="280" w:lineRule="exact"/>
              <w:jc w:val="both"/>
              <w:rPr>
                <w:rFonts w:ascii="Arial" w:hAnsi="Arial"/>
                <w:color w:val="auto"/>
                <w:sz w:val="20"/>
              </w:rPr>
            </w:pPr>
          </w:p>
          <w:p w14:paraId="07DEA93E" w14:textId="77777777" w:rsidR="00852805" w:rsidRPr="00E70587" w:rsidRDefault="0068612D" w:rsidP="00852805">
            <w:pPr>
              <w:pStyle w:val="Notesbodytext"/>
              <w:spacing w:line="280" w:lineRule="exact"/>
              <w:jc w:val="both"/>
              <w:rPr>
                <w:rFonts w:ascii="Arial" w:hAnsi="Arial"/>
                <w:color w:val="auto"/>
                <w:sz w:val="20"/>
              </w:rPr>
            </w:pPr>
            <w:r w:rsidRPr="00E70587">
              <w:rPr>
                <w:rFonts w:ascii="Arial" w:hAnsi="Arial"/>
                <w:color w:val="auto"/>
                <w:sz w:val="20"/>
              </w:rPr>
              <w:t xml:space="preserve">In preparing the consolidated financial statements, the group has </w:t>
            </w:r>
            <w:r w:rsidR="00E437D4" w:rsidRPr="00E70587">
              <w:rPr>
                <w:rFonts w:ascii="Arial" w:hAnsi="Arial"/>
                <w:color w:val="auto"/>
                <w:sz w:val="20"/>
              </w:rPr>
              <w:t xml:space="preserve">used the </w:t>
            </w:r>
            <w:r w:rsidRPr="00E70587">
              <w:rPr>
                <w:rFonts w:ascii="Arial" w:hAnsi="Arial"/>
                <w:color w:val="auto"/>
                <w:sz w:val="20"/>
              </w:rPr>
              <w:t xml:space="preserve">following </w:t>
            </w:r>
            <w:r w:rsidR="00E437D4" w:rsidRPr="00E70587">
              <w:rPr>
                <w:rFonts w:ascii="Arial" w:hAnsi="Arial"/>
                <w:color w:val="auto"/>
                <w:sz w:val="20"/>
              </w:rPr>
              <w:t xml:space="preserve">key </w:t>
            </w:r>
            <w:r w:rsidRPr="00E70587">
              <w:rPr>
                <w:rFonts w:ascii="Arial" w:hAnsi="Arial"/>
                <w:color w:val="auto"/>
                <w:sz w:val="20"/>
              </w:rPr>
              <w:t>c</w:t>
            </w:r>
            <w:r w:rsidR="00852805" w:rsidRPr="00E70587">
              <w:rPr>
                <w:rFonts w:ascii="Arial" w:hAnsi="Arial"/>
                <w:color w:val="auto"/>
                <w:sz w:val="20"/>
              </w:rPr>
              <w:t>onsolidation procedure</w:t>
            </w:r>
            <w:r w:rsidR="00E437D4" w:rsidRPr="00E70587">
              <w:rPr>
                <w:rFonts w:ascii="Arial" w:hAnsi="Arial"/>
                <w:color w:val="auto"/>
                <w:sz w:val="20"/>
              </w:rPr>
              <w:t>s</w:t>
            </w:r>
            <w:r w:rsidR="00852805" w:rsidRPr="00E70587">
              <w:rPr>
                <w:rFonts w:ascii="Arial" w:hAnsi="Arial"/>
                <w:color w:val="auto"/>
                <w:sz w:val="20"/>
              </w:rPr>
              <w:t>:</w:t>
            </w:r>
          </w:p>
          <w:p w14:paraId="040F5870" w14:textId="77777777" w:rsidR="00852805" w:rsidRPr="00E70587" w:rsidRDefault="00852805" w:rsidP="00BB14E5">
            <w:pPr>
              <w:pStyle w:val="Notesbodytext"/>
              <w:numPr>
                <w:ilvl w:val="0"/>
                <w:numId w:val="13"/>
              </w:numPr>
              <w:spacing w:before="120" w:after="0" w:line="280" w:lineRule="exact"/>
              <w:jc w:val="both"/>
              <w:rPr>
                <w:rFonts w:ascii="Arial" w:hAnsi="Arial"/>
                <w:color w:val="auto"/>
                <w:sz w:val="20"/>
              </w:rPr>
            </w:pPr>
            <w:r w:rsidRPr="00E70587">
              <w:rPr>
                <w:rFonts w:ascii="Arial" w:hAnsi="Arial"/>
                <w:color w:val="auto"/>
                <w:sz w:val="20"/>
              </w:rPr>
              <w:t>Combine like items of assets, liabilities, equity, income, expenses and cash flows of the parent with those of its subsidiaries. For this purpose, income and expenses of the subsidiary are based on the amounts of assets and liabilities recognised in the consolidated financial statements at the acquisition date.</w:t>
            </w:r>
          </w:p>
          <w:p w14:paraId="5BC07AE8" w14:textId="77777777" w:rsidR="00852805" w:rsidRPr="00E70587" w:rsidRDefault="00852805" w:rsidP="00BB14E5">
            <w:pPr>
              <w:pStyle w:val="Notesbodytext"/>
              <w:numPr>
                <w:ilvl w:val="0"/>
                <w:numId w:val="13"/>
              </w:numPr>
              <w:spacing w:before="120" w:after="0" w:line="280" w:lineRule="exact"/>
              <w:jc w:val="both"/>
              <w:rPr>
                <w:rFonts w:ascii="Arial" w:hAnsi="Arial"/>
                <w:color w:val="auto"/>
                <w:sz w:val="20"/>
              </w:rPr>
            </w:pPr>
            <w:r w:rsidRPr="00E70587">
              <w:rPr>
                <w:rFonts w:ascii="Arial" w:hAnsi="Arial"/>
                <w:color w:val="auto"/>
                <w:sz w:val="20"/>
              </w:rPr>
              <w:t>Offset (eliminate) the carrying amount of the parent’s investment in each subsidiary and the parent’s portion of equity of each subsidiary. Business combinations policy explains account</w:t>
            </w:r>
            <w:r w:rsidR="00E437D4" w:rsidRPr="00E70587">
              <w:rPr>
                <w:rFonts w:ascii="Arial" w:hAnsi="Arial"/>
                <w:color w:val="auto"/>
                <w:sz w:val="20"/>
              </w:rPr>
              <w:t>ing</w:t>
            </w:r>
            <w:r w:rsidRPr="00E70587">
              <w:rPr>
                <w:rFonts w:ascii="Arial" w:hAnsi="Arial"/>
                <w:color w:val="auto"/>
                <w:sz w:val="20"/>
              </w:rPr>
              <w:t xml:space="preserve"> for any related goodwill.</w:t>
            </w:r>
          </w:p>
          <w:p w14:paraId="0237F54B" w14:textId="77777777" w:rsidR="00852805" w:rsidRPr="00E70587" w:rsidRDefault="00852805" w:rsidP="00BB14E5">
            <w:pPr>
              <w:pStyle w:val="Notesbodytext"/>
              <w:numPr>
                <w:ilvl w:val="0"/>
                <w:numId w:val="13"/>
              </w:numPr>
              <w:spacing w:before="120" w:after="0" w:line="280" w:lineRule="exact"/>
              <w:jc w:val="both"/>
              <w:rPr>
                <w:rFonts w:ascii="Arial" w:hAnsi="Arial"/>
                <w:color w:val="auto"/>
                <w:sz w:val="20"/>
              </w:rPr>
            </w:pPr>
            <w:r w:rsidRPr="00E70587">
              <w:rPr>
                <w:rFonts w:ascii="Arial" w:hAnsi="Arial"/>
                <w:color w:val="auto"/>
                <w:sz w:val="20"/>
              </w:rPr>
              <w:t>Eliminate in full intragroup assets and liabilities, equity, income, expenses and cash flows relating to transactions between entities of the group</w:t>
            </w:r>
            <w:r w:rsidR="0068612D" w:rsidRPr="00E70587">
              <w:rPr>
                <w:rFonts w:ascii="Arial" w:hAnsi="Arial"/>
                <w:color w:val="auto"/>
                <w:sz w:val="20"/>
              </w:rPr>
              <w:t>.</w:t>
            </w:r>
            <w:r w:rsidRPr="00E70587">
              <w:rPr>
                <w:rFonts w:ascii="Arial" w:hAnsi="Arial"/>
                <w:color w:val="auto"/>
                <w:sz w:val="20"/>
              </w:rPr>
              <w:t xml:space="preserve"> </w:t>
            </w:r>
            <w:r w:rsidR="0068612D" w:rsidRPr="00E70587">
              <w:rPr>
                <w:rFonts w:ascii="Arial" w:hAnsi="Arial"/>
                <w:color w:val="auto"/>
                <w:sz w:val="20"/>
              </w:rPr>
              <w:t>P</w:t>
            </w:r>
            <w:r w:rsidRPr="00E70587">
              <w:rPr>
                <w:rFonts w:ascii="Arial" w:hAnsi="Arial"/>
                <w:color w:val="auto"/>
                <w:sz w:val="20"/>
              </w:rPr>
              <w:t>rofits or losses resulting from intragroup transactions that are recognised in assets, such as inventory and fixed assets, are eliminated in full</w:t>
            </w:r>
            <w:r w:rsidR="0068612D" w:rsidRPr="00E70587">
              <w:rPr>
                <w:rFonts w:ascii="Arial" w:hAnsi="Arial"/>
                <w:color w:val="auto"/>
                <w:sz w:val="20"/>
              </w:rPr>
              <w:t>. However, i</w:t>
            </w:r>
            <w:r w:rsidRPr="00E70587">
              <w:rPr>
                <w:rFonts w:ascii="Arial" w:hAnsi="Arial"/>
                <w:color w:val="auto"/>
                <w:sz w:val="20"/>
              </w:rPr>
              <w:t>ntragroup losses may indicate an impairment that requires recognition in the consolidated financial statements. Ind AS</w:t>
            </w:r>
            <w:r w:rsidR="0068612D" w:rsidRPr="00E70587">
              <w:rPr>
                <w:rFonts w:ascii="Arial" w:hAnsi="Arial"/>
                <w:color w:val="auto"/>
                <w:sz w:val="20"/>
              </w:rPr>
              <w:t xml:space="preserve"> </w:t>
            </w:r>
            <w:r w:rsidRPr="00E70587">
              <w:rPr>
                <w:rFonts w:ascii="Arial" w:hAnsi="Arial"/>
                <w:color w:val="auto"/>
                <w:sz w:val="20"/>
              </w:rPr>
              <w:t xml:space="preserve">12 </w:t>
            </w:r>
            <w:r w:rsidRPr="00E70587">
              <w:rPr>
                <w:rFonts w:ascii="Arial" w:hAnsi="Arial"/>
                <w:i/>
                <w:color w:val="auto"/>
                <w:sz w:val="20"/>
              </w:rPr>
              <w:t>Income Taxes</w:t>
            </w:r>
            <w:r w:rsidRPr="00E70587">
              <w:rPr>
                <w:rFonts w:ascii="Arial" w:hAnsi="Arial"/>
                <w:color w:val="auto"/>
                <w:sz w:val="20"/>
              </w:rPr>
              <w:t xml:space="preserve"> applies to temporary differences that arise from the elimination of profits and losses resulting from intragroup transactions.</w:t>
            </w:r>
          </w:p>
          <w:p w14:paraId="37C9FE03" w14:textId="77777777" w:rsidR="0068612D" w:rsidRPr="00E70587" w:rsidRDefault="0068612D" w:rsidP="00E437D4">
            <w:pPr>
              <w:pStyle w:val="Notesbodytext"/>
              <w:spacing w:after="0" w:line="280" w:lineRule="exact"/>
              <w:jc w:val="both"/>
              <w:rPr>
                <w:rFonts w:ascii="Arial" w:hAnsi="Arial"/>
                <w:color w:val="auto"/>
                <w:sz w:val="20"/>
              </w:rPr>
            </w:pPr>
          </w:p>
          <w:p w14:paraId="5B2282AC" w14:textId="67658EC8" w:rsidR="00852805" w:rsidRPr="00E70587" w:rsidRDefault="00852805" w:rsidP="0068612D">
            <w:pPr>
              <w:pStyle w:val="Notesbodytext"/>
              <w:spacing w:after="0" w:line="280" w:lineRule="exact"/>
              <w:jc w:val="both"/>
              <w:rPr>
                <w:rFonts w:ascii="Arial" w:hAnsi="Arial"/>
                <w:color w:val="auto"/>
                <w:sz w:val="20"/>
              </w:rPr>
            </w:pPr>
            <w:r w:rsidRPr="00E70587">
              <w:rPr>
                <w:rFonts w:ascii="Arial" w:hAnsi="Arial"/>
                <w:color w:val="auto"/>
                <w:sz w:val="20"/>
              </w:rPr>
              <w:t xml:space="preserve">Profit </w:t>
            </w:r>
            <w:r w:rsidR="00F775FA">
              <w:rPr>
                <w:rFonts w:ascii="Arial" w:hAnsi="Arial"/>
                <w:color w:val="auto"/>
                <w:sz w:val="20"/>
              </w:rPr>
              <w:t>or</w:t>
            </w:r>
            <w:r w:rsidR="00D52279" w:rsidRPr="00E70587">
              <w:rPr>
                <w:rFonts w:ascii="Arial" w:hAnsi="Arial"/>
                <w:color w:val="auto"/>
                <w:sz w:val="20"/>
              </w:rPr>
              <w:t xml:space="preserve"> </w:t>
            </w:r>
            <w:r w:rsidRPr="00E70587">
              <w:rPr>
                <w:rFonts w:ascii="Arial" w:hAnsi="Arial"/>
                <w:color w:val="auto"/>
                <w:sz w:val="20"/>
              </w:rPr>
              <w:t xml:space="preserve">loss and each component of other comprehensive income (OCI) are attributed to the equity holders of the parent of the Group and to the non-controlling interests, even if this results in the non-controlling interests having a deficit balance. </w:t>
            </w:r>
            <w:r w:rsidR="0037200E" w:rsidRPr="00E70587">
              <w:rPr>
                <w:rFonts w:ascii="Arial" w:hAnsi="Arial"/>
                <w:color w:val="auto"/>
                <w:sz w:val="20"/>
              </w:rPr>
              <w:t>When necessary, adjustments are made to the financial statements of subsidiaries to bring their accounting policies into line with the Group’s accounting policies. All intra-group assets and liabilities, equity, income, expenses and cash flows relating to transactions between members of the Group are eliminated in full on consolidation.</w:t>
            </w:r>
          </w:p>
        </w:tc>
      </w:tr>
      <w:tr w:rsidR="00CA33DC" w:rsidRPr="00E70587" w14:paraId="47CC5D6F" w14:textId="77777777" w:rsidTr="006939C8">
        <w:tc>
          <w:tcPr>
            <w:tcW w:w="9630" w:type="dxa"/>
          </w:tcPr>
          <w:p w14:paraId="39C855C4" w14:textId="77777777" w:rsidR="001C7706" w:rsidRPr="00E70587" w:rsidRDefault="001C7706" w:rsidP="001C7706">
            <w:pPr>
              <w:pStyle w:val="Notesbodytext"/>
              <w:spacing w:after="0" w:line="280" w:lineRule="exact"/>
              <w:jc w:val="both"/>
              <w:rPr>
                <w:rFonts w:ascii="Arial" w:hAnsi="Arial"/>
                <w:color w:val="auto"/>
                <w:sz w:val="20"/>
              </w:rPr>
            </w:pPr>
          </w:p>
          <w:p w14:paraId="558F0AAE" w14:textId="77777777" w:rsidR="001C7706" w:rsidRPr="00E70587" w:rsidRDefault="001C7706" w:rsidP="001C7706">
            <w:pPr>
              <w:pStyle w:val="Notesbodytext"/>
              <w:spacing w:after="0" w:line="280" w:lineRule="exact"/>
              <w:jc w:val="both"/>
              <w:rPr>
                <w:rFonts w:ascii="Arial" w:hAnsi="Arial"/>
                <w:color w:val="auto"/>
                <w:sz w:val="20"/>
              </w:rPr>
            </w:pPr>
            <w:r w:rsidRPr="00E70587">
              <w:rPr>
                <w:rFonts w:ascii="Arial" w:hAnsi="Arial"/>
                <w:color w:val="auto"/>
                <w:sz w:val="20"/>
              </w:rPr>
              <w:t>A change in the ownership interest of a subsidiary, without a loss of control, is accounted for as an equity transaction. If the Group loses control over a subsidiary, it:</w:t>
            </w:r>
          </w:p>
          <w:p w14:paraId="6B99A42D" w14:textId="04A71926" w:rsidR="001C7706" w:rsidRPr="00E70587" w:rsidRDefault="001C7706"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Derecognises the assets (including goodwill) and liabilities of the subsidiary</w:t>
            </w:r>
            <w:r w:rsidR="00612288">
              <w:rPr>
                <w:rFonts w:ascii="Arial" w:hAnsi="Arial"/>
                <w:color w:val="auto"/>
                <w:sz w:val="20"/>
              </w:rPr>
              <w:t xml:space="preserve"> </w:t>
            </w:r>
            <w:r w:rsidR="00612288" w:rsidRPr="00612288">
              <w:rPr>
                <w:rFonts w:ascii="Arial" w:hAnsi="Arial"/>
                <w:color w:val="auto"/>
                <w:sz w:val="20"/>
              </w:rPr>
              <w:t>at their carrying amounts at the date when control is lost</w:t>
            </w:r>
          </w:p>
          <w:p w14:paraId="003C52EE" w14:textId="77777777" w:rsidR="001C7706" w:rsidRPr="00E70587" w:rsidRDefault="001C7706"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 xml:space="preserve">Derecognises the carrying amount of any non-controlling interests </w:t>
            </w:r>
          </w:p>
          <w:p w14:paraId="25461C40" w14:textId="77777777" w:rsidR="001C7706" w:rsidRPr="00E70587" w:rsidRDefault="001C7706"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Derecognises the cumulative translation differences recorded in equity</w:t>
            </w:r>
          </w:p>
          <w:p w14:paraId="0DB6880A" w14:textId="77777777" w:rsidR="001C7706" w:rsidRPr="00E70587" w:rsidRDefault="001C7706"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 xml:space="preserve">Recognises the fair value of the consideration received </w:t>
            </w:r>
          </w:p>
          <w:p w14:paraId="2E8D9FC1" w14:textId="77777777" w:rsidR="001C7706" w:rsidRPr="00E70587" w:rsidRDefault="001C7706"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 xml:space="preserve">Recognises the fair value of any investment retained </w:t>
            </w:r>
          </w:p>
          <w:p w14:paraId="0A368AD4" w14:textId="478A08F0" w:rsidR="001C7706" w:rsidRPr="00E70587" w:rsidRDefault="001C7706"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 xml:space="preserve">Recognises any surplus or deficit in profit or loss </w:t>
            </w:r>
          </w:p>
          <w:p w14:paraId="18529B61" w14:textId="0155F8F0" w:rsidR="00B21E47" w:rsidRDefault="00B21E47" w:rsidP="00F53123">
            <w:pPr>
              <w:pStyle w:val="Notesbodytext"/>
              <w:numPr>
                <w:ilvl w:val="0"/>
                <w:numId w:val="13"/>
              </w:numPr>
              <w:spacing w:before="120" w:after="0" w:line="280" w:lineRule="exact"/>
              <w:ind w:left="720" w:hanging="720"/>
              <w:jc w:val="both"/>
              <w:rPr>
                <w:rFonts w:ascii="Arial" w:hAnsi="Arial"/>
                <w:color w:val="auto"/>
                <w:sz w:val="20"/>
              </w:rPr>
            </w:pPr>
            <w:r w:rsidRPr="00B21E47">
              <w:rPr>
                <w:rFonts w:ascii="Arial" w:hAnsi="Arial"/>
                <w:color w:val="auto"/>
                <w:sz w:val="20"/>
              </w:rPr>
              <w:t>Recognise that distribution of shares of subsidiary to Group in Group’s capacity as owners</w:t>
            </w:r>
          </w:p>
          <w:p w14:paraId="6978A714" w14:textId="4399EFED" w:rsidR="00915156" w:rsidRPr="00E70587" w:rsidRDefault="00915156"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Reclassifies the parent’s share of components previously recognised in OCI to profit or loss or retained earnings, as appropriate, as would be required if the Group had directly disposed of the related assets or liabilities</w:t>
            </w:r>
          </w:p>
          <w:p w14:paraId="54AE8FB8" w14:textId="77777777" w:rsidR="00915156" w:rsidRPr="00E70587" w:rsidRDefault="00915156" w:rsidP="00915156">
            <w:pPr>
              <w:pStyle w:val="Notesbodytext"/>
              <w:spacing w:after="0" w:line="280" w:lineRule="exact"/>
              <w:jc w:val="both"/>
              <w:rPr>
                <w:rFonts w:ascii="Arial" w:hAnsi="Arial"/>
                <w:color w:val="auto"/>
                <w:sz w:val="20"/>
              </w:rPr>
            </w:pPr>
          </w:p>
        </w:tc>
      </w:tr>
      <w:tr w:rsidR="00CA33DC" w:rsidRPr="00E70587" w14:paraId="67D0F690" w14:textId="77777777" w:rsidTr="006939C8">
        <w:tc>
          <w:tcPr>
            <w:tcW w:w="9630" w:type="dxa"/>
          </w:tcPr>
          <w:p w14:paraId="06295221" w14:textId="77777777" w:rsidR="001C7706" w:rsidRPr="00E70587" w:rsidRDefault="001C7706" w:rsidP="007A5F8E">
            <w:pPr>
              <w:spacing w:line="280" w:lineRule="exact"/>
              <w:rPr>
                <w:rFonts w:ascii="Arial" w:hAnsi="Arial" w:cs="Arial"/>
                <w:b/>
                <w:sz w:val="20"/>
              </w:rPr>
            </w:pPr>
            <w:r w:rsidRPr="00E70587">
              <w:rPr>
                <w:rFonts w:ascii="Arial" w:hAnsi="Arial" w:cs="Arial"/>
                <w:b/>
                <w:sz w:val="20"/>
              </w:rPr>
              <w:t>2.3 Summary of significant accounting policies</w:t>
            </w:r>
          </w:p>
          <w:p w14:paraId="7A40778E" w14:textId="77777777" w:rsidR="001C7706" w:rsidRPr="00E70587" w:rsidRDefault="001C7706" w:rsidP="007A5F8E">
            <w:pPr>
              <w:spacing w:line="280" w:lineRule="exact"/>
              <w:rPr>
                <w:rFonts w:ascii="Arial" w:hAnsi="Arial" w:cs="Arial"/>
                <w:sz w:val="20"/>
              </w:rPr>
            </w:pPr>
          </w:p>
          <w:p w14:paraId="16376BF0" w14:textId="77777777" w:rsidR="001C7706" w:rsidRPr="00E70587" w:rsidRDefault="001C7706" w:rsidP="000667CC">
            <w:pPr>
              <w:pStyle w:val="Heading4"/>
              <w:keepNext w:val="0"/>
              <w:numPr>
                <w:ilvl w:val="0"/>
                <w:numId w:val="4"/>
              </w:numPr>
              <w:tabs>
                <w:tab w:val="clear" w:pos="357"/>
              </w:tabs>
              <w:spacing w:before="0" w:after="0" w:line="280" w:lineRule="exact"/>
              <w:ind w:left="318" w:hanging="318"/>
              <w:jc w:val="both"/>
              <w:rPr>
                <w:rFonts w:ascii="Arial" w:hAnsi="Arial" w:cs="Arial"/>
                <w:szCs w:val="20"/>
              </w:rPr>
            </w:pPr>
            <w:r w:rsidRPr="00E70587">
              <w:rPr>
                <w:rFonts w:ascii="Arial" w:hAnsi="Arial" w:cs="Arial"/>
                <w:szCs w:val="20"/>
              </w:rPr>
              <w:t>Business combinations and goodwill</w:t>
            </w:r>
          </w:p>
          <w:p w14:paraId="673498A6" w14:textId="77777777" w:rsidR="001C7706" w:rsidRPr="00E70587" w:rsidRDefault="001C7706" w:rsidP="007A5F8E">
            <w:pPr>
              <w:pStyle w:val="Notesbodytext"/>
              <w:spacing w:after="0" w:line="280" w:lineRule="exact"/>
              <w:ind w:right="-31"/>
              <w:jc w:val="both"/>
              <w:rPr>
                <w:rFonts w:ascii="Arial" w:hAnsi="Arial"/>
                <w:color w:val="auto"/>
                <w:sz w:val="20"/>
              </w:rPr>
            </w:pPr>
          </w:p>
        </w:tc>
      </w:tr>
      <w:tr w:rsidR="00CA33DC" w:rsidRPr="00E70587" w14:paraId="2D845A4A" w14:textId="77777777" w:rsidTr="006939C8">
        <w:tc>
          <w:tcPr>
            <w:tcW w:w="9630" w:type="dxa"/>
          </w:tcPr>
          <w:p w14:paraId="568FDF7B" w14:textId="4A23BF1F" w:rsidR="001C7706" w:rsidRDefault="001C7706" w:rsidP="007A5F8E">
            <w:pPr>
              <w:pStyle w:val="Notesbodytext"/>
              <w:spacing w:after="0" w:line="280" w:lineRule="exact"/>
              <w:jc w:val="both"/>
              <w:rPr>
                <w:rFonts w:ascii="Arial" w:hAnsi="Arial"/>
                <w:color w:val="auto"/>
                <w:sz w:val="20"/>
              </w:rPr>
            </w:pPr>
            <w:r w:rsidRPr="00E70587">
              <w:rPr>
                <w:rFonts w:ascii="Arial" w:hAnsi="Arial"/>
                <w:color w:val="auto"/>
                <w:sz w:val="20"/>
              </w:rPr>
              <w:t xml:space="preserve">Business combinations are accounted for using the acquisition method. The cost of an acquisition is measured as the aggregate of the consideration transferred measured at acquisition date fair value and the amount of any non-controlling interests in the acquiree. For each business combination, the Group elects </w:t>
            </w:r>
            <w:r w:rsidRPr="00E70587">
              <w:rPr>
                <w:rFonts w:ascii="Arial" w:hAnsi="Arial"/>
                <w:color w:val="auto"/>
                <w:sz w:val="20"/>
              </w:rPr>
              <w:lastRenderedPageBreak/>
              <w:t>whether to measure the non-controlling interests in the acquiree at fair value or at the proportionate share of the acquiree’s identifiable net assets. Acquisition-related costs are expensed as incurred.</w:t>
            </w:r>
          </w:p>
          <w:p w14:paraId="5867F6C8" w14:textId="27732D6D" w:rsidR="00C11333" w:rsidRDefault="00C11333" w:rsidP="00C11333">
            <w:pPr>
              <w:pStyle w:val="Notesbodytext"/>
              <w:spacing w:after="0" w:line="240" w:lineRule="auto"/>
              <w:jc w:val="both"/>
              <w:rPr>
                <w:rFonts w:ascii="Arial" w:hAnsi="Arial"/>
                <w:color w:val="auto"/>
                <w:sz w:val="20"/>
              </w:rPr>
            </w:pPr>
          </w:p>
          <w:p w14:paraId="60EB59EF" w14:textId="77777777" w:rsidR="00C11333" w:rsidRPr="00C11333" w:rsidRDefault="00C11333" w:rsidP="00C11333">
            <w:pPr>
              <w:pStyle w:val="Notesbodytext"/>
              <w:spacing w:line="240" w:lineRule="auto"/>
              <w:jc w:val="both"/>
              <w:rPr>
                <w:rFonts w:ascii="Arial" w:hAnsi="Arial"/>
                <w:color w:val="auto"/>
                <w:sz w:val="20"/>
              </w:rPr>
            </w:pPr>
            <w:r w:rsidRPr="00C11333">
              <w:rPr>
                <w:rFonts w:ascii="Arial" w:hAnsi="Arial"/>
                <w:color w:val="auto"/>
                <w:sz w:val="20"/>
              </w:rPr>
              <w:t xml:space="preserve">The Group determines that it has acquired a business when the acquired set of activities and assets include </w:t>
            </w:r>
          </w:p>
          <w:p w14:paraId="3FE6007D" w14:textId="77777777" w:rsidR="00C11333" w:rsidRPr="00C11333" w:rsidRDefault="00C11333" w:rsidP="00C11333">
            <w:pPr>
              <w:pStyle w:val="Notesbodytext"/>
              <w:spacing w:line="240" w:lineRule="auto"/>
              <w:jc w:val="both"/>
              <w:rPr>
                <w:rFonts w:ascii="Arial" w:hAnsi="Arial"/>
                <w:color w:val="auto"/>
                <w:sz w:val="20"/>
              </w:rPr>
            </w:pPr>
            <w:r w:rsidRPr="00C11333">
              <w:rPr>
                <w:rFonts w:ascii="Arial" w:hAnsi="Arial"/>
                <w:color w:val="auto"/>
                <w:sz w:val="20"/>
              </w:rPr>
              <w:t xml:space="preserve">an input and a substantive process that together significantly contribute to the ability to create outputs.  </w:t>
            </w:r>
          </w:p>
          <w:p w14:paraId="75AD8D01" w14:textId="77777777" w:rsidR="00C11333" w:rsidRPr="00C11333" w:rsidRDefault="00C11333" w:rsidP="00C11333">
            <w:pPr>
              <w:pStyle w:val="Notesbodytext"/>
              <w:spacing w:line="240" w:lineRule="auto"/>
              <w:jc w:val="both"/>
              <w:rPr>
                <w:rFonts w:ascii="Arial" w:hAnsi="Arial"/>
                <w:color w:val="auto"/>
                <w:sz w:val="20"/>
              </w:rPr>
            </w:pPr>
            <w:r w:rsidRPr="00C11333">
              <w:rPr>
                <w:rFonts w:ascii="Arial" w:hAnsi="Arial"/>
                <w:color w:val="auto"/>
                <w:sz w:val="20"/>
              </w:rPr>
              <w:t xml:space="preserve">The acquired process is considered substantive if it is critical to the ability to continue producing outputs, </w:t>
            </w:r>
          </w:p>
          <w:p w14:paraId="1E075826" w14:textId="77777777" w:rsidR="00C11333" w:rsidRPr="00C11333" w:rsidRDefault="00C11333" w:rsidP="00C11333">
            <w:pPr>
              <w:pStyle w:val="Notesbodytext"/>
              <w:spacing w:line="240" w:lineRule="auto"/>
              <w:jc w:val="both"/>
              <w:rPr>
                <w:rFonts w:ascii="Arial" w:hAnsi="Arial"/>
                <w:color w:val="auto"/>
                <w:sz w:val="20"/>
              </w:rPr>
            </w:pPr>
            <w:r w:rsidRPr="00C11333">
              <w:rPr>
                <w:rFonts w:ascii="Arial" w:hAnsi="Arial"/>
                <w:color w:val="auto"/>
                <w:sz w:val="20"/>
              </w:rPr>
              <w:t xml:space="preserve">and the inputs acquired include an organised workforce with the necessary skills, knowledge, or experience </w:t>
            </w:r>
          </w:p>
          <w:p w14:paraId="1ACD7C27" w14:textId="77777777" w:rsidR="00C11333" w:rsidRPr="00C11333" w:rsidRDefault="00C11333" w:rsidP="00C11333">
            <w:pPr>
              <w:pStyle w:val="Notesbodytext"/>
              <w:spacing w:line="240" w:lineRule="auto"/>
              <w:jc w:val="both"/>
              <w:rPr>
                <w:rFonts w:ascii="Arial" w:hAnsi="Arial"/>
                <w:color w:val="auto"/>
                <w:sz w:val="20"/>
              </w:rPr>
            </w:pPr>
            <w:r w:rsidRPr="00C11333">
              <w:rPr>
                <w:rFonts w:ascii="Arial" w:hAnsi="Arial"/>
                <w:color w:val="auto"/>
                <w:sz w:val="20"/>
              </w:rPr>
              <w:t xml:space="preserve">to perform that process or it significantly contributes to the ability to continue producing outputs and is </w:t>
            </w:r>
          </w:p>
          <w:p w14:paraId="5820AF8B" w14:textId="77777777" w:rsidR="00C11333" w:rsidRPr="00C11333" w:rsidRDefault="00C11333" w:rsidP="00C11333">
            <w:pPr>
              <w:pStyle w:val="Notesbodytext"/>
              <w:spacing w:line="240" w:lineRule="auto"/>
              <w:jc w:val="both"/>
              <w:rPr>
                <w:rFonts w:ascii="Arial" w:hAnsi="Arial"/>
                <w:color w:val="auto"/>
                <w:sz w:val="20"/>
              </w:rPr>
            </w:pPr>
            <w:r w:rsidRPr="00C11333">
              <w:rPr>
                <w:rFonts w:ascii="Arial" w:hAnsi="Arial"/>
                <w:color w:val="auto"/>
                <w:sz w:val="20"/>
              </w:rPr>
              <w:t xml:space="preserve">considered unique or scarce or cannot be replaced without significant cost, effort, or delay in the ability to </w:t>
            </w:r>
          </w:p>
          <w:p w14:paraId="08A26F1D" w14:textId="78FB5D5B" w:rsidR="00C11333" w:rsidRPr="00E70587" w:rsidRDefault="00C11333" w:rsidP="00C11333">
            <w:pPr>
              <w:pStyle w:val="Notesbodytext"/>
              <w:spacing w:after="0" w:line="240" w:lineRule="auto"/>
              <w:jc w:val="both"/>
              <w:rPr>
                <w:rFonts w:ascii="Arial" w:hAnsi="Arial"/>
                <w:color w:val="auto"/>
                <w:sz w:val="20"/>
              </w:rPr>
            </w:pPr>
            <w:r w:rsidRPr="00C11333">
              <w:rPr>
                <w:rFonts w:ascii="Arial" w:hAnsi="Arial"/>
                <w:color w:val="auto"/>
                <w:sz w:val="20"/>
              </w:rPr>
              <w:t>continue producing outputs.</w:t>
            </w:r>
          </w:p>
          <w:p w14:paraId="687D6479" w14:textId="77777777" w:rsidR="001C7706" w:rsidRPr="00E70587" w:rsidRDefault="001C7706" w:rsidP="007A5F8E">
            <w:pPr>
              <w:pStyle w:val="Notesbodytext"/>
              <w:spacing w:after="0" w:line="280" w:lineRule="exact"/>
              <w:jc w:val="both"/>
              <w:rPr>
                <w:rFonts w:ascii="Arial" w:hAnsi="Arial"/>
                <w:color w:val="auto"/>
                <w:sz w:val="20"/>
              </w:rPr>
            </w:pPr>
          </w:p>
        </w:tc>
      </w:tr>
      <w:tr w:rsidR="00CA33DC" w:rsidRPr="00E70587" w14:paraId="46123DD8" w14:textId="77777777" w:rsidTr="006939C8">
        <w:tc>
          <w:tcPr>
            <w:tcW w:w="9630" w:type="dxa"/>
          </w:tcPr>
          <w:p w14:paraId="498884AD" w14:textId="3E237D8D" w:rsidR="00852805" w:rsidRPr="00E70587" w:rsidRDefault="00852805" w:rsidP="00852805">
            <w:pPr>
              <w:pStyle w:val="Notesbodytext"/>
              <w:spacing w:line="280" w:lineRule="exact"/>
              <w:jc w:val="both"/>
              <w:rPr>
                <w:rFonts w:ascii="Arial" w:hAnsi="Arial"/>
                <w:color w:val="auto"/>
                <w:sz w:val="20"/>
              </w:rPr>
            </w:pPr>
            <w:r w:rsidRPr="00E70587">
              <w:rPr>
                <w:rFonts w:ascii="Arial" w:hAnsi="Arial"/>
                <w:color w:val="auto"/>
                <w:sz w:val="20"/>
              </w:rPr>
              <w:lastRenderedPageBreak/>
              <w:t xml:space="preserve">At the acquisition date, the identifiable assets </w:t>
            </w:r>
            <w:r w:rsidR="00C11333" w:rsidRPr="00E70587">
              <w:rPr>
                <w:rFonts w:ascii="Arial" w:hAnsi="Arial"/>
                <w:color w:val="auto"/>
                <w:sz w:val="20"/>
              </w:rPr>
              <w:t>acquired,</w:t>
            </w:r>
            <w:r w:rsidRPr="00E70587">
              <w:rPr>
                <w:rFonts w:ascii="Arial" w:hAnsi="Arial"/>
                <w:color w:val="auto"/>
                <w:sz w:val="20"/>
              </w:rPr>
              <w:t xml:space="preserve"> and the liabilities assumed are recognised</w:t>
            </w:r>
            <w:r w:rsidR="00E437D4" w:rsidRPr="00E70587">
              <w:rPr>
                <w:rFonts w:ascii="Arial" w:hAnsi="Arial"/>
                <w:color w:val="auto"/>
                <w:sz w:val="20"/>
              </w:rPr>
              <w:t>/ measured</w:t>
            </w:r>
            <w:r w:rsidRPr="00E70587">
              <w:rPr>
                <w:rFonts w:ascii="Arial" w:hAnsi="Arial"/>
                <w:color w:val="auto"/>
                <w:sz w:val="20"/>
              </w:rPr>
              <w:t xml:space="preserve"> at their acquisition date fair values. For this purpose, the liabilities assumed include contingent liabilities representing present obligation and they are measured at their acquisition fair values irrespective of the fact that outflow of resources embodying economic benefits is not probable. However, the following assets and liabilities acquired in a business combination are measured at the basis indicated below: </w:t>
            </w:r>
          </w:p>
          <w:p w14:paraId="71F10C2D" w14:textId="72945D77" w:rsidR="00DC4CB4" w:rsidRPr="00E70587" w:rsidRDefault="00852805" w:rsidP="00E466DD">
            <w:pPr>
              <w:pStyle w:val="Notesbodytext"/>
              <w:numPr>
                <w:ilvl w:val="0"/>
                <w:numId w:val="30"/>
              </w:numPr>
              <w:spacing w:before="120" w:after="0" w:line="280" w:lineRule="exact"/>
              <w:ind w:hanging="720"/>
              <w:jc w:val="both"/>
              <w:rPr>
                <w:rFonts w:ascii="Arial" w:hAnsi="Arial"/>
                <w:color w:val="auto"/>
                <w:sz w:val="20"/>
              </w:rPr>
            </w:pPr>
            <w:r w:rsidRPr="00E70587">
              <w:rPr>
                <w:rFonts w:ascii="Arial" w:hAnsi="Arial"/>
                <w:color w:val="auto"/>
                <w:sz w:val="20"/>
              </w:rPr>
              <w:t xml:space="preserve">Deferred tax assets or liabilities and the assets or liabilities related to employee benefit arrangements are recognised and measured in accordance with Ind AS 12 </w:t>
            </w:r>
            <w:r w:rsidRPr="00E70587">
              <w:rPr>
                <w:rFonts w:ascii="Arial" w:hAnsi="Arial"/>
                <w:i/>
                <w:color w:val="auto"/>
                <w:sz w:val="20"/>
              </w:rPr>
              <w:t>Income Tax</w:t>
            </w:r>
            <w:r w:rsidRPr="00E70587">
              <w:rPr>
                <w:rFonts w:ascii="Arial" w:hAnsi="Arial"/>
                <w:color w:val="auto"/>
                <w:sz w:val="20"/>
              </w:rPr>
              <w:t xml:space="preserve"> and Ind AS 19 </w:t>
            </w:r>
            <w:r w:rsidRPr="00E70587">
              <w:rPr>
                <w:rFonts w:ascii="Arial" w:hAnsi="Arial"/>
                <w:i/>
                <w:color w:val="auto"/>
                <w:sz w:val="20"/>
              </w:rPr>
              <w:t>Employee Benefits</w:t>
            </w:r>
            <w:r w:rsidR="00E437D4" w:rsidRPr="00E70587">
              <w:rPr>
                <w:rFonts w:ascii="Arial" w:hAnsi="Arial"/>
                <w:i/>
                <w:color w:val="auto"/>
                <w:sz w:val="20"/>
              </w:rPr>
              <w:t>,</w:t>
            </w:r>
            <w:r w:rsidRPr="00E70587">
              <w:rPr>
                <w:rFonts w:ascii="Arial" w:hAnsi="Arial"/>
                <w:color w:val="auto"/>
                <w:sz w:val="20"/>
              </w:rPr>
              <w:t xml:space="preserve"> respectively.</w:t>
            </w:r>
          </w:p>
          <w:p w14:paraId="0831C299" w14:textId="1A1E4728" w:rsidR="00DC4CB4" w:rsidRPr="00DC4CB4" w:rsidRDefault="00DC4CB4" w:rsidP="00E466DD">
            <w:pPr>
              <w:pStyle w:val="Notesbodytext"/>
              <w:numPr>
                <w:ilvl w:val="0"/>
                <w:numId w:val="30"/>
              </w:numPr>
              <w:spacing w:before="120" w:after="0" w:line="280" w:lineRule="exact"/>
              <w:ind w:hanging="720"/>
              <w:jc w:val="both"/>
              <w:rPr>
                <w:rFonts w:ascii="Arial" w:hAnsi="Arial"/>
                <w:sz w:val="20"/>
              </w:rPr>
            </w:pPr>
            <w:r w:rsidRPr="00DC4CB4">
              <w:rPr>
                <w:rFonts w:ascii="Arial" w:hAnsi="Arial"/>
                <w:sz w:val="20"/>
              </w:rPr>
              <w:t>Potential tax effects of temporary differences and carry forwards of an acquiree that exist at the acquisition date or arise as a result of the acquisition are accounted in accordance with Ind AS 12.</w:t>
            </w:r>
          </w:p>
          <w:p w14:paraId="3AFA06F9" w14:textId="5A7E69B8" w:rsidR="00852805" w:rsidRPr="00E70587" w:rsidRDefault="00852805" w:rsidP="00E466DD">
            <w:pPr>
              <w:pStyle w:val="Notesbodytext"/>
              <w:numPr>
                <w:ilvl w:val="0"/>
                <w:numId w:val="30"/>
              </w:numPr>
              <w:spacing w:before="120" w:after="0" w:line="280" w:lineRule="exact"/>
              <w:ind w:hanging="720"/>
              <w:jc w:val="both"/>
              <w:rPr>
                <w:rFonts w:ascii="Arial" w:hAnsi="Arial"/>
                <w:color w:val="auto"/>
                <w:sz w:val="20"/>
              </w:rPr>
            </w:pPr>
            <w:r w:rsidRPr="00E70587">
              <w:rPr>
                <w:rFonts w:ascii="Arial" w:hAnsi="Arial"/>
                <w:color w:val="auto"/>
                <w:sz w:val="20"/>
              </w:rPr>
              <w:t>Liabilities or equity instruments related to share based payment arrangements of the acquiree or share</w:t>
            </w:r>
            <w:r w:rsidR="0068612D" w:rsidRPr="00E70587">
              <w:rPr>
                <w:rFonts w:ascii="Arial" w:hAnsi="Arial"/>
                <w:color w:val="auto"/>
                <w:sz w:val="20"/>
              </w:rPr>
              <w:t>-</w:t>
            </w:r>
            <w:r w:rsidRPr="00E70587">
              <w:rPr>
                <w:rFonts w:ascii="Arial" w:hAnsi="Arial"/>
                <w:color w:val="auto"/>
                <w:sz w:val="20"/>
              </w:rPr>
              <w:t xml:space="preserve">based payments arrangements of the Group entered into to replace share-based payment arrangements of the acquiree are measured in accordance with Ind AS 102 </w:t>
            </w:r>
            <w:r w:rsidRPr="00E70587">
              <w:rPr>
                <w:rFonts w:ascii="Arial" w:hAnsi="Arial"/>
                <w:i/>
                <w:color w:val="auto"/>
                <w:sz w:val="20"/>
              </w:rPr>
              <w:t>Share-based Payment</w:t>
            </w:r>
            <w:r w:rsidR="00E437D4" w:rsidRPr="00E70587">
              <w:rPr>
                <w:rFonts w:ascii="Arial" w:hAnsi="Arial"/>
                <w:i/>
                <w:color w:val="auto"/>
                <w:sz w:val="20"/>
              </w:rPr>
              <w:t>,</w:t>
            </w:r>
            <w:r w:rsidRPr="00E70587">
              <w:rPr>
                <w:rFonts w:ascii="Arial" w:hAnsi="Arial"/>
                <w:color w:val="auto"/>
                <w:sz w:val="20"/>
              </w:rPr>
              <w:t xml:space="preserve"> at the acquisition date.</w:t>
            </w:r>
          </w:p>
          <w:p w14:paraId="24EA4FE8" w14:textId="77777777" w:rsidR="00852805" w:rsidRPr="00E70587" w:rsidRDefault="00852805" w:rsidP="00E466DD">
            <w:pPr>
              <w:pStyle w:val="Notesbodytext"/>
              <w:numPr>
                <w:ilvl w:val="0"/>
                <w:numId w:val="30"/>
              </w:numPr>
              <w:spacing w:before="120" w:after="0" w:line="280" w:lineRule="exact"/>
              <w:ind w:hanging="720"/>
              <w:jc w:val="both"/>
              <w:rPr>
                <w:rFonts w:ascii="Arial" w:hAnsi="Arial"/>
                <w:color w:val="auto"/>
                <w:sz w:val="20"/>
              </w:rPr>
            </w:pPr>
            <w:r w:rsidRPr="00E70587">
              <w:rPr>
                <w:rFonts w:ascii="Arial" w:hAnsi="Arial"/>
                <w:color w:val="auto"/>
                <w:sz w:val="20"/>
              </w:rPr>
              <w:t xml:space="preserve">Assets (or disposal groups) that are classified as held for sale in accordance with Ind AS 105 </w:t>
            </w:r>
            <w:r w:rsidRPr="00E70587">
              <w:rPr>
                <w:rFonts w:ascii="Arial" w:hAnsi="Arial"/>
                <w:i/>
                <w:color w:val="auto"/>
                <w:sz w:val="20"/>
              </w:rPr>
              <w:t>Non-current Assets Held for Sale and Discontinued Operations</w:t>
            </w:r>
            <w:r w:rsidRPr="00E70587">
              <w:rPr>
                <w:rFonts w:ascii="Arial" w:hAnsi="Arial"/>
                <w:color w:val="auto"/>
                <w:sz w:val="20"/>
              </w:rPr>
              <w:t xml:space="preserve"> are measured in accordance with that standard.</w:t>
            </w:r>
          </w:p>
          <w:p w14:paraId="4C083BC4" w14:textId="77777777" w:rsidR="00852805" w:rsidRPr="00E70587" w:rsidRDefault="00852805" w:rsidP="00E466DD">
            <w:pPr>
              <w:pStyle w:val="Notesbodytext"/>
              <w:numPr>
                <w:ilvl w:val="0"/>
                <w:numId w:val="30"/>
              </w:numPr>
              <w:spacing w:before="120" w:after="0" w:line="280" w:lineRule="exact"/>
              <w:ind w:hanging="720"/>
              <w:jc w:val="both"/>
              <w:rPr>
                <w:rFonts w:ascii="Arial" w:hAnsi="Arial"/>
                <w:color w:val="auto"/>
                <w:sz w:val="20"/>
              </w:rPr>
            </w:pPr>
            <w:r w:rsidRPr="00E70587">
              <w:rPr>
                <w:rFonts w:ascii="Arial" w:hAnsi="Arial"/>
                <w:color w:val="auto"/>
                <w:sz w:val="20"/>
              </w:rPr>
              <w:t>Reacquired rights are measured at a value determined on the basis of the remaining contractual term of the related contract. Such valuation does not consider potential renewal of the reacquired right.</w:t>
            </w:r>
          </w:p>
          <w:p w14:paraId="72E9A8CA" w14:textId="77777777" w:rsidR="00852805" w:rsidRPr="00E70587" w:rsidRDefault="00852805" w:rsidP="007A5F8E">
            <w:pPr>
              <w:pStyle w:val="Notesbodytext"/>
              <w:spacing w:after="0" w:line="280" w:lineRule="exact"/>
              <w:jc w:val="both"/>
              <w:rPr>
                <w:rFonts w:ascii="Arial" w:hAnsi="Arial"/>
                <w:color w:val="auto"/>
                <w:sz w:val="20"/>
              </w:rPr>
            </w:pPr>
          </w:p>
          <w:p w14:paraId="08FD3E61" w14:textId="77777777" w:rsidR="001C7706" w:rsidRPr="00E70587" w:rsidRDefault="001C7706" w:rsidP="007A5F8E">
            <w:pPr>
              <w:pStyle w:val="Notesbodytext"/>
              <w:spacing w:after="0" w:line="280" w:lineRule="exact"/>
              <w:jc w:val="both"/>
              <w:rPr>
                <w:rFonts w:ascii="Arial" w:hAnsi="Arial"/>
                <w:color w:val="auto"/>
                <w:sz w:val="20"/>
              </w:rPr>
            </w:pPr>
            <w:r w:rsidRPr="00E70587">
              <w:rPr>
                <w:rFonts w:ascii="Arial" w:hAnsi="Arial"/>
                <w:color w:val="auto"/>
                <w:sz w:val="20"/>
              </w:rPr>
              <w:t>When the Group acquires a business, it assesses the financial assets and liabilities assumed for appropriate classification and designation in accordance with the contractual terms, economic circumstances and pertinent conditions as at the acquisition date. This includes the separation of embedded derivatives in host contracts by the acquiree.</w:t>
            </w:r>
          </w:p>
          <w:p w14:paraId="764EBF6A" w14:textId="77777777" w:rsidR="00852805" w:rsidRPr="00E70587" w:rsidRDefault="00852805" w:rsidP="00852805">
            <w:pPr>
              <w:pStyle w:val="Notesbodytext"/>
              <w:spacing w:after="0" w:line="280" w:lineRule="exact"/>
              <w:jc w:val="both"/>
              <w:rPr>
                <w:rFonts w:ascii="Arial" w:hAnsi="Arial"/>
                <w:color w:val="auto"/>
                <w:sz w:val="20"/>
              </w:rPr>
            </w:pPr>
          </w:p>
        </w:tc>
      </w:tr>
      <w:tr w:rsidR="00CA33DC" w:rsidRPr="00E70587" w14:paraId="1A7C6410" w14:textId="77777777" w:rsidTr="006939C8">
        <w:tc>
          <w:tcPr>
            <w:tcW w:w="9630" w:type="dxa"/>
          </w:tcPr>
          <w:p w14:paraId="44DB5685" w14:textId="40D296DE" w:rsidR="001C7706" w:rsidRPr="00E70587" w:rsidRDefault="001C7706" w:rsidP="007A5F8E">
            <w:pPr>
              <w:pStyle w:val="Notesbodytext"/>
              <w:spacing w:after="0" w:line="280" w:lineRule="exact"/>
              <w:jc w:val="both"/>
              <w:rPr>
                <w:rFonts w:ascii="Arial" w:hAnsi="Arial"/>
                <w:color w:val="auto"/>
                <w:sz w:val="20"/>
              </w:rPr>
            </w:pPr>
            <w:r w:rsidRPr="00E70587">
              <w:rPr>
                <w:rFonts w:ascii="Arial" w:hAnsi="Arial"/>
                <w:color w:val="auto"/>
                <w:sz w:val="20"/>
              </w:rPr>
              <w:t xml:space="preserve">If the business combination is achieved in stages, any previously held equity interest is re-measured at its acquisition date fair value and any resulting gain or loss is recognised in profit </w:t>
            </w:r>
            <w:r w:rsidR="002813C5">
              <w:rPr>
                <w:rFonts w:ascii="Arial" w:hAnsi="Arial"/>
                <w:color w:val="auto"/>
                <w:sz w:val="20"/>
              </w:rPr>
              <w:t>or</w:t>
            </w:r>
            <w:r w:rsidR="00A125C9" w:rsidRPr="00E70587">
              <w:rPr>
                <w:rFonts w:ascii="Arial" w:hAnsi="Arial"/>
                <w:color w:val="auto"/>
                <w:sz w:val="20"/>
              </w:rPr>
              <w:t xml:space="preserve"> </w:t>
            </w:r>
            <w:r w:rsidRPr="00E70587">
              <w:rPr>
                <w:rFonts w:ascii="Arial" w:hAnsi="Arial"/>
                <w:color w:val="auto"/>
                <w:sz w:val="20"/>
              </w:rPr>
              <w:t>loss</w:t>
            </w:r>
            <w:r w:rsidR="007A5F8E" w:rsidRPr="00E70587">
              <w:rPr>
                <w:rFonts w:ascii="Arial" w:hAnsi="Arial"/>
                <w:color w:val="auto"/>
                <w:sz w:val="20"/>
              </w:rPr>
              <w:t xml:space="preserve"> or OCI, as appropriate</w:t>
            </w:r>
            <w:r w:rsidRPr="00E70587">
              <w:rPr>
                <w:rFonts w:ascii="Arial" w:hAnsi="Arial"/>
                <w:color w:val="auto"/>
                <w:sz w:val="20"/>
              </w:rPr>
              <w:t>.</w:t>
            </w:r>
          </w:p>
          <w:p w14:paraId="2D92F7FF" w14:textId="77777777" w:rsidR="001C7706" w:rsidRPr="00E70587" w:rsidRDefault="001C7706" w:rsidP="007A5F8E">
            <w:pPr>
              <w:pStyle w:val="Notesbodytext"/>
              <w:spacing w:after="0" w:line="280" w:lineRule="exact"/>
              <w:jc w:val="both"/>
              <w:rPr>
                <w:rFonts w:ascii="Arial" w:hAnsi="Arial"/>
                <w:color w:val="auto"/>
                <w:sz w:val="20"/>
              </w:rPr>
            </w:pPr>
          </w:p>
          <w:p w14:paraId="7A40B6A4" w14:textId="69F28735" w:rsidR="007A5F8E" w:rsidRPr="00E70587" w:rsidRDefault="001C7706" w:rsidP="007A5F8E">
            <w:pPr>
              <w:pStyle w:val="Notesbodytext"/>
              <w:spacing w:after="0" w:line="280" w:lineRule="exact"/>
              <w:jc w:val="both"/>
              <w:rPr>
                <w:rFonts w:ascii="Arial" w:hAnsi="Arial"/>
                <w:color w:val="auto"/>
                <w:sz w:val="20"/>
              </w:rPr>
            </w:pPr>
            <w:r w:rsidRPr="00E70587">
              <w:rPr>
                <w:rFonts w:ascii="Arial" w:hAnsi="Arial"/>
                <w:color w:val="auto"/>
                <w:sz w:val="20"/>
              </w:rPr>
              <w:t xml:space="preserve">Any contingent consideration to be transferred by the acquirer will be recognised at fair value at the acquisition date. Contingent consideration classified as an asset or liability that is a financial instrument and within the scope of Ind AS 109 </w:t>
            </w:r>
            <w:r w:rsidRPr="00E70587">
              <w:rPr>
                <w:rFonts w:ascii="Arial" w:hAnsi="Arial"/>
                <w:i/>
                <w:color w:val="auto"/>
                <w:sz w:val="20"/>
              </w:rPr>
              <w:t>Financial Instruments</w:t>
            </w:r>
            <w:r w:rsidRPr="00E70587">
              <w:rPr>
                <w:rFonts w:ascii="Arial" w:hAnsi="Arial"/>
                <w:color w:val="auto"/>
                <w:sz w:val="20"/>
              </w:rPr>
              <w:t xml:space="preserve">, is measured at fair value with changes in fair value recognised either in profit </w:t>
            </w:r>
            <w:r w:rsidR="002813C5">
              <w:rPr>
                <w:rFonts w:ascii="Arial" w:hAnsi="Arial"/>
                <w:color w:val="auto"/>
                <w:sz w:val="20"/>
              </w:rPr>
              <w:t>or</w:t>
            </w:r>
            <w:r w:rsidR="00A125C9" w:rsidRPr="00E70587">
              <w:rPr>
                <w:rFonts w:ascii="Arial" w:hAnsi="Arial"/>
                <w:color w:val="auto"/>
                <w:sz w:val="20"/>
              </w:rPr>
              <w:t xml:space="preserve"> </w:t>
            </w:r>
            <w:r w:rsidRPr="00E70587">
              <w:rPr>
                <w:rFonts w:ascii="Arial" w:hAnsi="Arial"/>
                <w:color w:val="auto"/>
                <w:sz w:val="20"/>
              </w:rPr>
              <w:t>loss. If the contingent consideration is not within the scope of Ind AS 109, it is measured in accordance with the appropriate Ind AS. Contingent consideration that is classified as equity is not re-measured and subsequent settlement is accounted for within equity.</w:t>
            </w:r>
          </w:p>
          <w:p w14:paraId="1FABBCF2" w14:textId="77777777" w:rsidR="001C7706" w:rsidRPr="00E70587" w:rsidRDefault="001C7706" w:rsidP="007A5F8E">
            <w:pPr>
              <w:pStyle w:val="Notesbodytext"/>
              <w:spacing w:after="0" w:line="280" w:lineRule="exact"/>
              <w:jc w:val="both"/>
              <w:rPr>
                <w:rFonts w:ascii="Arial" w:hAnsi="Arial"/>
                <w:color w:val="auto"/>
                <w:sz w:val="20"/>
              </w:rPr>
            </w:pPr>
          </w:p>
        </w:tc>
      </w:tr>
      <w:tr w:rsidR="00CA33DC" w:rsidRPr="00E70587" w14:paraId="48A544F6" w14:textId="77777777" w:rsidTr="006939C8">
        <w:tc>
          <w:tcPr>
            <w:tcW w:w="9630" w:type="dxa"/>
          </w:tcPr>
          <w:p w14:paraId="31176C9D" w14:textId="77777777" w:rsidR="001C7706" w:rsidRPr="00E70587" w:rsidRDefault="001C7706" w:rsidP="007A5F8E">
            <w:pPr>
              <w:pStyle w:val="Notesbodytext"/>
              <w:spacing w:after="0" w:line="280" w:lineRule="exact"/>
              <w:jc w:val="both"/>
              <w:rPr>
                <w:rFonts w:ascii="Arial" w:hAnsi="Arial"/>
                <w:color w:val="auto"/>
                <w:sz w:val="20"/>
              </w:rPr>
            </w:pPr>
            <w:r w:rsidRPr="00E70587">
              <w:rPr>
                <w:rFonts w:ascii="Arial" w:hAnsi="Arial"/>
                <w:color w:val="auto"/>
                <w:sz w:val="20"/>
              </w:rPr>
              <w:lastRenderedPageBreak/>
              <w:t>Goodwill is initially measured at cost, being the excess of the aggregate of the consideration transferred and the amount recognised for non-controlling interests, and any previous interest held, over the net identifiable assets acquired and liabilities assumed. If the fair value of the net assets acquired is in excess of the aggregate consideration transferred, the Group re-assesses whether it has correctly identified all of the assets acquired and all of the liabilities assumed and reviews the procedures used to measure the amounts to be recognised at the acquisition date. If the reassessment still results in an excess of the fair value of net assets acquired over the aggregate consideration transferred, then the gain is recognised in in OCI and accumulated in equity as capital reserve. However, if there is no clear evidence of bargain purchase, the entity recognises the gain directly in equity as capital reserve, without routing the same through OCI.</w:t>
            </w:r>
          </w:p>
          <w:p w14:paraId="6AAEA2B7" w14:textId="77777777" w:rsidR="00BB14E5" w:rsidRPr="00E70587" w:rsidRDefault="00BB14E5" w:rsidP="007A5F8E">
            <w:pPr>
              <w:pStyle w:val="Notesbodytext"/>
              <w:spacing w:after="0" w:line="280" w:lineRule="exact"/>
              <w:jc w:val="both"/>
              <w:rPr>
                <w:rFonts w:ascii="Arial" w:hAnsi="Arial"/>
                <w:color w:val="auto"/>
                <w:sz w:val="20"/>
              </w:rPr>
            </w:pPr>
          </w:p>
        </w:tc>
      </w:tr>
      <w:tr w:rsidR="00CA33DC" w:rsidRPr="00E70587" w14:paraId="6BA01314" w14:textId="77777777" w:rsidTr="006939C8">
        <w:tc>
          <w:tcPr>
            <w:tcW w:w="9630" w:type="dxa"/>
          </w:tcPr>
          <w:p w14:paraId="07535C39" w14:textId="77777777" w:rsidR="001C7706" w:rsidRPr="00E70587" w:rsidRDefault="001C7706" w:rsidP="007A5F8E">
            <w:pPr>
              <w:pStyle w:val="Notesbodytext"/>
              <w:spacing w:after="0" w:line="280" w:lineRule="exact"/>
              <w:jc w:val="both"/>
              <w:rPr>
                <w:rFonts w:ascii="Arial" w:hAnsi="Arial"/>
                <w:color w:val="auto"/>
                <w:sz w:val="20"/>
              </w:rPr>
            </w:pPr>
            <w:r w:rsidRPr="00E70587">
              <w:rPr>
                <w:rFonts w:ascii="Arial" w:hAnsi="Arial"/>
                <w:color w:val="auto"/>
                <w:sz w:val="20"/>
              </w:rPr>
              <w:t xml:space="preserve">After initial recognition, goodwill is measured at cost less any accumulated impairment losses. For the purpose of impairment testing, goodwill acquired in a business combination is, from the acquisition date, allocated to each of the Group’s cash-generating units that are expected to benefit from the combination, irrespective of whether other assets or liabilities of the acquiree are assigned to those units. </w:t>
            </w:r>
          </w:p>
          <w:p w14:paraId="2405BBCB" w14:textId="77777777" w:rsidR="0088470D" w:rsidRPr="00E70587" w:rsidRDefault="0088470D" w:rsidP="007A5F8E">
            <w:pPr>
              <w:pStyle w:val="Notesbodytext"/>
              <w:spacing w:after="0" w:line="280" w:lineRule="exact"/>
              <w:jc w:val="both"/>
              <w:rPr>
                <w:rFonts w:ascii="Arial" w:hAnsi="Arial"/>
                <w:color w:val="auto"/>
                <w:sz w:val="20"/>
              </w:rPr>
            </w:pPr>
          </w:p>
          <w:p w14:paraId="0B02205C" w14:textId="7EFF3B11" w:rsidR="0088470D" w:rsidRPr="00E70587" w:rsidRDefault="0088470D" w:rsidP="00E437D4">
            <w:pPr>
              <w:pStyle w:val="Notesbodytext"/>
              <w:spacing w:after="0" w:line="280" w:lineRule="exact"/>
              <w:jc w:val="both"/>
              <w:rPr>
                <w:rFonts w:ascii="Arial" w:hAnsi="Arial"/>
                <w:color w:val="auto"/>
                <w:sz w:val="20"/>
              </w:rPr>
            </w:pPr>
            <w:r w:rsidRPr="00E70587">
              <w:rPr>
                <w:rFonts w:ascii="Arial" w:hAnsi="Arial"/>
                <w:color w:val="auto"/>
                <w:sz w:val="20"/>
              </w:rPr>
              <w:t>A cash</w:t>
            </w:r>
            <w:r w:rsidR="00E437D4" w:rsidRPr="00E70587">
              <w:rPr>
                <w:rFonts w:ascii="Arial" w:hAnsi="Arial"/>
                <w:color w:val="auto"/>
                <w:sz w:val="20"/>
              </w:rPr>
              <w:t>-</w:t>
            </w:r>
            <w:r w:rsidRPr="00E70587">
              <w:rPr>
                <w:rFonts w:ascii="Arial" w:hAnsi="Arial"/>
                <w:color w:val="auto"/>
                <w:sz w:val="20"/>
              </w:rPr>
              <w:t xml:space="preserve">generating unit to which goodwill has been allocated is tested for impairment annually, or more frequently when there is an indication that the unit may be impaired. If the recoverable amount of the cash generating unit is less than </w:t>
            </w:r>
            <w:proofErr w:type="gramStart"/>
            <w:r w:rsidRPr="00E70587">
              <w:rPr>
                <w:rFonts w:ascii="Arial" w:hAnsi="Arial"/>
                <w:color w:val="auto"/>
                <w:sz w:val="20"/>
              </w:rPr>
              <w:t>its</w:t>
            </w:r>
            <w:proofErr w:type="gramEnd"/>
            <w:r w:rsidRPr="00E70587">
              <w:rPr>
                <w:rFonts w:ascii="Arial" w:hAnsi="Arial"/>
                <w:color w:val="auto"/>
                <w:sz w:val="20"/>
              </w:rPr>
              <w:t xml:space="preserve"> carrying amount, the impairment loss is allocated first to reduce the carrying amount of any goodwill allocated to the unit and then to the other assets of the unit pro rata based on the carrying amount of each asset in the unit. Any impairment loss is recognised in profit </w:t>
            </w:r>
            <w:r w:rsidR="00C16E0F">
              <w:rPr>
                <w:rFonts w:ascii="Arial" w:hAnsi="Arial"/>
                <w:color w:val="auto"/>
                <w:sz w:val="20"/>
              </w:rPr>
              <w:t>or</w:t>
            </w:r>
            <w:r w:rsidR="007768D4" w:rsidRPr="00E70587">
              <w:rPr>
                <w:rFonts w:ascii="Arial" w:hAnsi="Arial"/>
                <w:color w:val="auto"/>
                <w:sz w:val="20"/>
              </w:rPr>
              <w:t xml:space="preserve"> </w:t>
            </w:r>
            <w:r w:rsidRPr="00E70587">
              <w:rPr>
                <w:rFonts w:ascii="Arial" w:hAnsi="Arial"/>
                <w:color w:val="auto"/>
                <w:sz w:val="20"/>
              </w:rPr>
              <w:t>loss. An impairment loss recognised for goodwill is not reversed in subsequent periods.</w:t>
            </w:r>
          </w:p>
        </w:tc>
      </w:tr>
      <w:tr w:rsidR="00CA33DC" w:rsidRPr="00E70587" w14:paraId="1FC34DCA" w14:textId="77777777" w:rsidTr="006939C8">
        <w:tc>
          <w:tcPr>
            <w:tcW w:w="9630" w:type="dxa"/>
          </w:tcPr>
          <w:p w14:paraId="7708E62A" w14:textId="77777777" w:rsidR="007A5F8E" w:rsidRPr="00E70587" w:rsidRDefault="007A5F8E" w:rsidP="007A5F8E">
            <w:pPr>
              <w:pStyle w:val="Notesbodytext"/>
              <w:spacing w:after="0" w:line="280" w:lineRule="exact"/>
              <w:jc w:val="both"/>
              <w:rPr>
                <w:rFonts w:ascii="Arial" w:hAnsi="Arial"/>
                <w:color w:val="auto"/>
                <w:sz w:val="20"/>
              </w:rPr>
            </w:pPr>
          </w:p>
          <w:p w14:paraId="2B72DBDC" w14:textId="77777777" w:rsidR="001C7706" w:rsidRPr="00E70587" w:rsidRDefault="001C7706" w:rsidP="007A5F8E">
            <w:pPr>
              <w:pStyle w:val="Notesbodytext"/>
              <w:spacing w:after="0" w:line="280" w:lineRule="exact"/>
              <w:jc w:val="both"/>
              <w:rPr>
                <w:rFonts w:ascii="Arial" w:hAnsi="Arial"/>
                <w:color w:val="auto"/>
                <w:sz w:val="20"/>
              </w:rPr>
            </w:pPr>
            <w:r w:rsidRPr="00E70587">
              <w:rPr>
                <w:rFonts w:ascii="Arial" w:hAnsi="Arial"/>
                <w:color w:val="auto"/>
                <w:sz w:val="20"/>
              </w:rPr>
              <w:t>Where goodwill has been allocated to a cash-generating unit and part of the operation within that unit is disposed of, the goodwill associated with the disposed operation is included in the carrying amount of the operation when determining the gain or loss on disposal. Goodwill disposed in these circumstances is measured based on the relative values of the disposed operation and the portion of the cash-generating unit retained.</w:t>
            </w:r>
          </w:p>
          <w:p w14:paraId="70695179" w14:textId="77777777" w:rsidR="007A5F8E" w:rsidRPr="00E70587" w:rsidRDefault="007A5F8E" w:rsidP="007A5F8E">
            <w:pPr>
              <w:pStyle w:val="Notesbodytext"/>
              <w:spacing w:after="0" w:line="280" w:lineRule="exact"/>
              <w:jc w:val="both"/>
              <w:rPr>
                <w:rFonts w:ascii="Arial" w:hAnsi="Arial"/>
                <w:color w:val="auto"/>
                <w:sz w:val="20"/>
              </w:rPr>
            </w:pPr>
          </w:p>
          <w:p w14:paraId="136784E6" w14:textId="77777777" w:rsidR="001614D3" w:rsidRPr="00E70587" w:rsidRDefault="001614D3" w:rsidP="007A5F8E">
            <w:pPr>
              <w:pStyle w:val="Notesbodytext"/>
              <w:spacing w:after="0" w:line="280" w:lineRule="exact"/>
              <w:jc w:val="both"/>
              <w:rPr>
                <w:rFonts w:ascii="Arial" w:hAnsi="Arial"/>
                <w:color w:val="auto"/>
                <w:sz w:val="20"/>
              </w:rPr>
            </w:pPr>
            <w:r w:rsidRPr="00E70587">
              <w:rPr>
                <w:rFonts w:ascii="Arial" w:hAnsi="Arial"/>
                <w:color w:val="auto"/>
                <w:sz w:val="20"/>
              </w:rPr>
              <w:t>If the initial accounting for a business combination is incomplete by the end of the reporting period in which the combination occurs, the Group reports provisional amounts for the items for which the accounting is incomplete. Those provisional amounts are adjusted through goodwill during the measurement period, or additional assets or liabilities are recognised, to reflect new information obtained about facts and circumstances that existed at the acquisition date that, if known, would have affected the amounts recognized at that date. These adjustments are called as measurement period adjustments. The measurement period does not exceed one year from the acquisition date.</w:t>
            </w:r>
          </w:p>
          <w:p w14:paraId="05621B70" w14:textId="77777777" w:rsidR="001614D3" w:rsidRPr="00E70587" w:rsidRDefault="001614D3" w:rsidP="007A5F8E">
            <w:pPr>
              <w:pStyle w:val="Notesbodytext"/>
              <w:spacing w:after="0" w:line="280" w:lineRule="exact"/>
              <w:jc w:val="both"/>
              <w:rPr>
                <w:rFonts w:ascii="Arial" w:hAnsi="Arial"/>
                <w:color w:val="auto"/>
                <w:sz w:val="20"/>
              </w:rPr>
            </w:pPr>
          </w:p>
        </w:tc>
      </w:tr>
      <w:tr w:rsidR="00CA33DC" w:rsidRPr="00E70587" w14:paraId="1EC38FEA" w14:textId="77777777" w:rsidTr="006939C8">
        <w:tc>
          <w:tcPr>
            <w:tcW w:w="9630" w:type="dxa"/>
          </w:tcPr>
          <w:p w14:paraId="228BF768" w14:textId="77777777" w:rsidR="001C7706" w:rsidRPr="00E70587" w:rsidRDefault="001C7706" w:rsidP="000667CC">
            <w:pPr>
              <w:pStyle w:val="Heading4"/>
              <w:keepNext w:val="0"/>
              <w:numPr>
                <w:ilvl w:val="0"/>
                <w:numId w:val="4"/>
              </w:numPr>
              <w:tabs>
                <w:tab w:val="clear" w:pos="357"/>
              </w:tabs>
              <w:spacing w:before="0" w:after="0" w:line="280" w:lineRule="exact"/>
              <w:ind w:left="318" w:hanging="318"/>
              <w:jc w:val="both"/>
              <w:rPr>
                <w:rFonts w:ascii="Arial" w:hAnsi="Arial" w:cs="Arial"/>
                <w:szCs w:val="20"/>
              </w:rPr>
            </w:pPr>
            <w:r w:rsidRPr="00E70587">
              <w:rPr>
                <w:rFonts w:ascii="Arial" w:hAnsi="Arial" w:cs="Arial"/>
                <w:szCs w:val="20"/>
              </w:rPr>
              <w:t>Investment in associates and joint ventures</w:t>
            </w:r>
          </w:p>
          <w:p w14:paraId="6E9F0D05" w14:textId="77777777" w:rsidR="007A5F8E" w:rsidRPr="00E70587" w:rsidRDefault="007A5F8E" w:rsidP="001C7706">
            <w:pPr>
              <w:pStyle w:val="Notesbodytext"/>
              <w:spacing w:after="0" w:line="280" w:lineRule="exact"/>
              <w:jc w:val="both"/>
              <w:rPr>
                <w:rFonts w:ascii="Arial" w:hAnsi="Arial"/>
                <w:color w:val="auto"/>
                <w:sz w:val="20"/>
              </w:rPr>
            </w:pPr>
          </w:p>
          <w:p w14:paraId="66C37A84" w14:textId="2089F875" w:rsidR="001C7706" w:rsidRPr="00E70587" w:rsidRDefault="001C7706" w:rsidP="001C7706">
            <w:pPr>
              <w:pStyle w:val="Notesbodytext"/>
              <w:spacing w:after="0" w:line="280" w:lineRule="exact"/>
              <w:jc w:val="both"/>
              <w:rPr>
                <w:rFonts w:ascii="Arial" w:hAnsi="Arial"/>
                <w:color w:val="auto"/>
                <w:sz w:val="20"/>
              </w:rPr>
            </w:pPr>
            <w:r w:rsidRPr="00E70587">
              <w:rPr>
                <w:rFonts w:ascii="Arial" w:hAnsi="Arial"/>
                <w:color w:val="auto"/>
                <w:sz w:val="20"/>
              </w:rPr>
              <w:t xml:space="preserve">An associate is an entity over which the Group has significant influence. Significant influence is the power to participate in the financial and operating policy decisions of the </w:t>
            </w:r>
            <w:r w:rsidR="007768D4" w:rsidRPr="00E70587">
              <w:rPr>
                <w:rFonts w:ascii="Arial" w:hAnsi="Arial"/>
                <w:color w:val="auto"/>
                <w:sz w:val="20"/>
              </w:rPr>
              <w:t>investee but</w:t>
            </w:r>
            <w:r w:rsidRPr="00E70587">
              <w:rPr>
                <w:rFonts w:ascii="Arial" w:hAnsi="Arial"/>
                <w:color w:val="auto"/>
                <w:sz w:val="20"/>
              </w:rPr>
              <w:t xml:space="preserve"> is not control or joint control over those policies.</w:t>
            </w:r>
          </w:p>
          <w:p w14:paraId="744003F9" w14:textId="77777777" w:rsidR="007A5F8E" w:rsidRPr="00E70587" w:rsidRDefault="007A5F8E" w:rsidP="001C7706">
            <w:pPr>
              <w:pStyle w:val="Notesbodytext"/>
              <w:spacing w:after="0" w:line="280" w:lineRule="exact"/>
              <w:jc w:val="both"/>
              <w:rPr>
                <w:rFonts w:ascii="Arial" w:hAnsi="Arial"/>
                <w:color w:val="auto"/>
                <w:sz w:val="20"/>
              </w:rPr>
            </w:pPr>
          </w:p>
          <w:p w14:paraId="56E5687C" w14:textId="77777777" w:rsidR="001C7706" w:rsidRPr="00E70587" w:rsidRDefault="001C7706" w:rsidP="001C7706">
            <w:pPr>
              <w:pStyle w:val="Notesbodytext"/>
              <w:spacing w:after="0" w:line="280" w:lineRule="exact"/>
              <w:jc w:val="both"/>
              <w:rPr>
                <w:rFonts w:ascii="Arial" w:hAnsi="Arial"/>
                <w:color w:val="auto"/>
                <w:sz w:val="20"/>
              </w:rPr>
            </w:pPr>
            <w:r w:rsidRPr="00E70587">
              <w:rPr>
                <w:rFonts w:ascii="Arial" w:hAnsi="Arial"/>
                <w:color w:val="auto"/>
                <w:sz w:val="20"/>
              </w:rPr>
              <w:t>A joint venture is a type of joint arrangement whereby the parties that have joint control of the arrangement have rights to the net assets of the joint venture. Joint control is the contractually agreed sharing of control of an arrangement, which exists only when decisions about the relevant activities require unanimous consent of the parties sharing control.</w:t>
            </w:r>
          </w:p>
          <w:p w14:paraId="39E62ECB" w14:textId="77777777" w:rsidR="007A5F8E" w:rsidRPr="00E70587" w:rsidRDefault="007A5F8E" w:rsidP="001C7706">
            <w:pPr>
              <w:pStyle w:val="Notesbodytext"/>
              <w:spacing w:after="0" w:line="280" w:lineRule="exact"/>
              <w:jc w:val="both"/>
              <w:rPr>
                <w:rFonts w:ascii="Arial" w:hAnsi="Arial"/>
                <w:color w:val="auto"/>
                <w:sz w:val="20"/>
              </w:rPr>
            </w:pPr>
          </w:p>
          <w:p w14:paraId="4E9E021A" w14:textId="77777777" w:rsidR="001C7706" w:rsidRPr="00E70587" w:rsidRDefault="001C7706" w:rsidP="001C7706">
            <w:pPr>
              <w:pStyle w:val="Notesbodytext"/>
              <w:spacing w:after="0" w:line="280" w:lineRule="exact"/>
              <w:jc w:val="both"/>
              <w:rPr>
                <w:rFonts w:ascii="Arial" w:hAnsi="Arial"/>
                <w:color w:val="auto"/>
                <w:sz w:val="20"/>
              </w:rPr>
            </w:pPr>
            <w:r w:rsidRPr="00E70587">
              <w:rPr>
                <w:rFonts w:ascii="Arial" w:hAnsi="Arial"/>
                <w:color w:val="auto"/>
                <w:sz w:val="20"/>
              </w:rPr>
              <w:t>The considerations made in determining whether significant influence or joint control are similar to those necessary to determine control over the subsidiaries.</w:t>
            </w:r>
          </w:p>
        </w:tc>
      </w:tr>
      <w:tr w:rsidR="00CA33DC" w:rsidRPr="00E70587" w14:paraId="6DF13F42" w14:textId="77777777" w:rsidTr="006939C8">
        <w:tc>
          <w:tcPr>
            <w:tcW w:w="9630" w:type="dxa"/>
          </w:tcPr>
          <w:p w14:paraId="4F74D022" w14:textId="77777777" w:rsidR="007A5F8E" w:rsidRPr="00E70587" w:rsidRDefault="007A5F8E" w:rsidP="001C7706">
            <w:pPr>
              <w:pStyle w:val="Notesbodytext"/>
              <w:spacing w:after="0" w:line="280" w:lineRule="exact"/>
              <w:jc w:val="both"/>
              <w:rPr>
                <w:rFonts w:ascii="Arial" w:hAnsi="Arial"/>
                <w:color w:val="auto"/>
                <w:sz w:val="20"/>
              </w:rPr>
            </w:pPr>
          </w:p>
          <w:p w14:paraId="4F61972B" w14:textId="77777777" w:rsidR="001C7706" w:rsidRPr="00E70587" w:rsidRDefault="001C7706" w:rsidP="001C7706">
            <w:pPr>
              <w:pStyle w:val="Notesbodytext"/>
              <w:spacing w:after="0" w:line="280" w:lineRule="exact"/>
              <w:jc w:val="both"/>
              <w:rPr>
                <w:rFonts w:ascii="Arial" w:hAnsi="Arial"/>
                <w:color w:val="auto"/>
                <w:sz w:val="20"/>
              </w:rPr>
            </w:pPr>
            <w:r w:rsidRPr="00E70587">
              <w:rPr>
                <w:rFonts w:ascii="Arial" w:hAnsi="Arial"/>
                <w:color w:val="auto"/>
                <w:sz w:val="20"/>
              </w:rPr>
              <w:lastRenderedPageBreak/>
              <w:t>The Group’s investments in its associate and joint venture are accounted for using the equity method. Under the equity method, the investment in an associate or a joint venture is initially recognised at cost. The carrying amount of the investment is adjusted to recognise changes in the Group’s share of net assets of the associate or joint venture since the acquisition date. Goodwill relating to the associate or joint venture is included in the carrying amount of the investment and is not tested for impairment individually.</w:t>
            </w:r>
          </w:p>
        </w:tc>
      </w:tr>
      <w:tr w:rsidR="00CA33DC" w:rsidRPr="00E70587" w14:paraId="77940A7A" w14:textId="77777777" w:rsidTr="006939C8">
        <w:tc>
          <w:tcPr>
            <w:tcW w:w="9630" w:type="dxa"/>
          </w:tcPr>
          <w:p w14:paraId="5B14C3BB" w14:textId="77777777" w:rsidR="007A5F8E" w:rsidRPr="00E70587" w:rsidRDefault="007A5F8E" w:rsidP="001C7706">
            <w:pPr>
              <w:pStyle w:val="Notesbodytext"/>
              <w:spacing w:after="0" w:line="280" w:lineRule="exact"/>
              <w:jc w:val="both"/>
              <w:rPr>
                <w:rFonts w:ascii="Arial" w:hAnsi="Arial"/>
                <w:color w:val="auto"/>
                <w:sz w:val="20"/>
              </w:rPr>
            </w:pPr>
          </w:p>
          <w:p w14:paraId="46A5C768" w14:textId="77777777" w:rsidR="001C7706" w:rsidRPr="00E70587" w:rsidRDefault="001C7706" w:rsidP="001C7706">
            <w:pPr>
              <w:pStyle w:val="Notesbodytext"/>
              <w:spacing w:after="0" w:line="280" w:lineRule="exact"/>
              <w:jc w:val="both"/>
              <w:rPr>
                <w:rFonts w:ascii="Arial" w:hAnsi="Arial"/>
                <w:color w:val="auto"/>
                <w:sz w:val="20"/>
              </w:rPr>
            </w:pPr>
            <w:r w:rsidRPr="00E70587">
              <w:rPr>
                <w:rFonts w:ascii="Arial" w:hAnsi="Arial"/>
                <w:color w:val="auto"/>
                <w:sz w:val="20"/>
              </w:rPr>
              <w:t>The statement of profit and loss reflects the Group’s share of the results of operations of the associate or joint venture. Any change in OCI of those investees is presented as part of the Group’s OCI. In addition, when there has been a change recognised directly in the equity of the associate or joint venture, the Group recognises its share of any changes, when applicable, in the statement of changes in equity. Unrealised gains and losses resulting from transactions between the Group and the associate or joint venture are eliminated to the extent of the interest in the associate or joint venture.</w:t>
            </w:r>
          </w:p>
          <w:p w14:paraId="60DFBEE4" w14:textId="77777777" w:rsidR="001614D3" w:rsidRPr="00E70587" w:rsidRDefault="001614D3" w:rsidP="001C7706">
            <w:pPr>
              <w:pStyle w:val="Notesbodytext"/>
              <w:spacing w:after="0" w:line="280" w:lineRule="exact"/>
              <w:jc w:val="both"/>
              <w:rPr>
                <w:rFonts w:ascii="Arial" w:hAnsi="Arial"/>
                <w:color w:val="auto"/>
                <w:sz w:val="20"/>
              </w:rPr>
            </w:pPr>
          </w:p>
          <w:p w14:paraId="02AB1011" w14:textId="77777777" w:rsidR="001614D3" w:rsidRPr="00E70587" w:rsidRDefault="001614D3" w:rsidP="001C7706">
            <w:pPr>
              <w:pStyle w:val="Notesbodytext"/>
              <w:spacing w:after="0" w:line="280" w:lineRule="exact"/>
              <w:jc w:val="both"/>
              <w:rPr>
                <w:rFonts w:ascii="Arial" w:hAnsi="Arial"/>
                <w:color w:val="auto"/>
                <w:sz w:val="20"/>
              </w:rPr>
            </w:pPr>
            <w:r w:rsidRPr="00E70587">
              <w:rPr>
                <w:rFonts w:ascii="Arial" w:hAnsi="Arial"/>
                <w:color w:val="auto"/>
                <w:sz w:val="20"/>
              </w:rPr>
              <w:t xml:space="preserve">If an entity’s share of losses of an associate or a joint venture equals or exceeds its interest in the associate or joint venture (which includes any </w:t>
            </w:r>
            <w:proofErr w:type="gramStart"/>
            <w:r w:rsidRPr="00E70587">
              <w:rPr>
                <w:rFonts w:ascii="Arial" w:hAnsi="Arial"/>
                <w:color w:val="auto"/>
                <w:sz w:val="20"/>
              </w:rPr>
              <w:t>long term</w:t>
            </w:r>
            <w:proofErr w:type="gramEnd"/>
            <w:r w:rsidRPr="00E70587">
              <w:rPr>
                <w:rFonts w:ascii="Arial" w:hAnsi="Arial"/>
                <w:color w:val="auto"/>
                <w:sz w:val="20"/>
              </w:rPr>
              <w:t xml:space="preserve"> interest that, in substance, form part of the Group’s net investment in the associate or joint venture), the entity discontinues recognising its share of further losses. Additional losses are recognised only to the extent that the Group has incurred legal or constructive obligations or made payments on behalf of the associate or joint venture. If the associate or joint venture subsequently reports profits, the entity resumes recognising its share of those profits only after its share of the profits equals the share of losses not recognised.</w:t>
            </w:r>
          </w:p>
        </w:tc>
      </w:tr>
      <w:tr w:rsidR="00CA33DC" w:rsidRPr="00E70587" w14:paraId="48633C51" w14:textId="77777777" w:rsidTr="006939C8">
        <w:tc>
          <w:tcPr>
            <w:tcW w:w="9630" w:type="dxa"/>
          </w:tcPr>
          <w:p w14:paraId="0562F445" w14:textId="77777777" w:rsidR="007A5F8E" w:rsidRPr="00E70587" w:rsidRDefault="007A5F8E" w:rsidP="001C7706">
            <w:pPr>
              <w:pStyle w:val="Notesbodytext"/>
              <w:spacing w:after="0" w:line="280" w:lineRule="exact"/>
              <w:jc w:val="both"/>
              <w:rPr>
                <w:rFonts w:ascii="Arial" w:hAnsi="Arial"/>
                <w:color w:val="auto"/>
                <w:sz w:val="20"/>
              </w:rPr>
            </w:pPr>
          </w:p>
          <w:p w14:paraId="4041AE8B" w14:textId="680D6EF4" w:rsidR="001C7706" w:rsidRPr="00E70587" w:rsidRDefault="001C7706" w:rsidP="001C7706">
            <w:pPr>
              <w:pStyle w:val="Notesbodytext"/>
              <w:spacing w:after="0" w:line="280" w:lineRule="exact"/>
              <w:jc w:val="both"/>
              <w:rPr>
                <w:rFonts w:ascii="Arial" w:hAnsi="Arial"/>
                <w:color w:val="auto"/>
                <w:sz w:val="20"/>
              </w:rPr>
            </w:pPr>
            <w:r w:rsidRPr="00E70587">
              <w:rPr>
                <w:rFonts w:ascii="Arial" w:hAnsi="Arial"/>
                <w:color w:val="auto"/>
                <w:sz w:val="20"/>
              </w:rPr>
              <w:t xml:space="preserve">The aggregate of the Group’s share of profit </w:t>
            </w:r>
            <w:r w:rsidR="0089280C">
              <w:rPr>
                <w:rFonts w:ascii="Arial" w:hAnsi="Arial"/>
                <w:color w:val="auto"/>
                <w:sz w:val="20"/>
              </w:rPr>
              <w:t>or</w:t>
            </w:r>
            <w:r w:rsidR="005B5DAB" w:rsidRPr="00E70587">
              <w:rPr>
                <w:rFonts w:ascii="Arial" w:hAnsi="Arial"/>
                <w:color w:val="auto"/>
                <w:sz w:val="20"/>
              </w:rPr>
              <w:t xml:space="preserve"> </w:t>
            </w:r>
            <w:r w:rsidRPr="00E70587">
              <w:rPr>
                <w:rFonts w:ascii="Arial" w:hAnsi="Arial"/>
                <w:color w:val="auto"/>
                <w:sz w:val="20"/>
              </w:rPr>
              <w:t>loss of an associate and a joint venture is shown on the face of the statement of profit and loss.</w:t>
            </w:r>
          </w:p>
          <w:p w14:paraId="32D1DC2B" w14:textId="77777777" w:rsidR="007A5F8E" w:rsidRPr="00E70587" w:rsidRDefault="007A5F8E" w:rsidP="001C7706">
            <w:pPr>
              <w:pStyle w:val="Notesbodytext"/>
              <w:spacing w:after="0" w:line="280" w:lineRule="exact"/>
              <w:jc w:val="both"/>
              <w:rPr>
                <w:rFonts w:ascii="Arial" w:hAnsi="Arial"/>
                <w:color w:val="auto"/>
                <w:sz w:val="20"/>
              </w:rPr>
            </w:pPr>
          </w:p>
          <w:p w14:paraId="37F83703" w14:textId="77777777" w:rsidR="001C7706" w:rsidRPr="00E70587" w:rsidRDefault="001C7706" w:rsidP="001C7706">
            <w:pPr>
              <w:pStyle w:val="Notesbodytext"/>
              <w:spacing w:after="0" w:line="280" w:lineRule="exact"/>
              <w:jc w:val="both"/>
              <w:rPr>
                <w:rFonts w:ascii="Arial" w:hAnsi="Arial"/>
                <w:color w:val="auto"/>
                <w:sz w:val="20"/>
              </w:rPr>
            </w:pPr>
            <w:r w:rsidRPr="00E70587">
              <w:rPr>
                <w:rFonts w:ascii="Arial" w:hAnsi="Arial"/>
                <w:color w:val="auto"/>
                <w:sz w:val="20"/>
              </w:rPr>
              <w:t>The financial statements of the associate or joint venture are prepared for the same reporting period as the Group. When necessary, adjustments are made to bring the accounting policies in line with those of the Group.</w:t>
            </w:r>
          </w:p>
        </w:tc>
      </w:tr>
      <w:tr w:rsidR="00CA33DC" w:rsidRPr="00E70587" w14:paraId="690C169F" w14:textId="77777777" w:rsidTr="006939C8">
        <w:tc>
          <w:tcPr>
            <w:tcW w:w="9630" w:type="dxa"/>
          </w:tcPr>
          <w:p w14:paraId="220DBB2E" w14:textId="77777777" w:rsidR="007A5F8E" w:rsidRPr="00E70587" w:rsidRDefault="007A5F8E" w:rsidP="001C7706">
            <w:pPr>
              <w:pStyle w:val="Notesbodytext"/>
              <w:spacing w:after="0" w:line="280" w:lineRule="exact"/>
              <w:jc w:val="both"/>
              <w:rPr>
                <w:rFonts w:ascii="Arial" w:hAnsi="Arial"/>
                <w:color w:val="auto"/>
                <w:sz w:val="20"/>
              </w:rPr>
            </w:pPr>
          </w:p>
          <w:p w14:paraId="03D29FB1" w14:textId="6666674C" w:rsidR="001C7706" w:rsidRPr="00E70587" w:rsidRDefault="001C7706" w:rsidP="001C7706">
            <w:pPr>
              <w:pStyle w:val="Notesbodytext"/>
              <w:spacing w:after="0" w:line="280" w:lineRule="exact"/>
              <w:jc w:val="both"/>
              <w:rPr>
                <w:rFonts w:ascii="Arial" w:hAnsi="Arial"/>
                <w:color w:val="auto"/>
                <w:sz w:val="20"/>
              </w:rPr>
            </w:pPr>
            <w:r w:rsidRPr="00E70587">
              <w:rPr>
                <w:rFonts w:ascii="Arial" w:hAnsi="Arial"/>
                <w:color w:val="auto"/>
                <w:sz w:val="20"/>
              </w:rPr>
              <w:t xml:space="preserve">After application of the equity method, the Group determines whether it is necessary to recognise an impairment loss on its investment in its associate or joint venture. At each reporting date, the Group determines whether there is objective evidence that the investment in the associate or joint venture is impaired. If there is such evidence, the Group calculates the amount of impairment as the difference between the recoverable amount of the associate or joint venture and </w:t>
            </w:r>
            <w:proofErr w:type="gramStart"/>
            <w:r w:rsidRPr="00E70587">
              <w:rPr>
                <w:rFonts w:ascii="Arial" w:hAnsi="Arial"/>
                <w:color w:val="auto"/>
                <w:sz w:val="20"/>
              </w:rPr>
              <w:t>its</w:t>
            </w:r>
            <w:proofErr w:type="gramEnd"/>
            <w:r w:rsidRPr="00E70587">
              <w:rPr>
                <w:rFonts w:ascii="Arial" w:hAnsi="Arial"/>
                <w:color w:val="auto"/>
                <w:sz w:val="20"/>
              </w:rPr>
              <w:t xml:space="preserve"> carrying value, and then recognises the loss as ‘Share of profit of an associate and a joint venture’ in the statement of profit </w:t>
            </w:r>
            <w:r w:rsidR="005B5DAB">
              <w:rPr>
                <w:rFonts w:ascii="Arial" w:hAnsi="Arial"/>
                <w:color w:val="auto"/>
                <w:sz w:val="20"/>
              </w:rPr>
              <w:t>and</w:t>
            </w:r>
            <w:r w:rsidR="005B5DAB" w:rsidRPr="00E70587">
              <w:rPr>
                <w:rFonts w:ascii="Arial" w:hAnsi="Arial"/>
                <w:color w:val="auto"/>
                <w:sz w:val="20"/>
              </w:rPr>
              <w:t xml:space="preserve"> </w:t>
            </w:r>
            <w:r w:rsidRPr="00E70587">
              <w:rPr>
                <w:rFonts w:ascii="Arial" w:hAnsi="Arial"/>
                <w:color w:val="auto"/>
                <w:sz w:val="20"/>
              </w:rPr>
              <w:t>loss.</w:t>
            </w:r>
          </w:p>
          <w:p w14:paraId="424503D2" w14:textId="77777777" w:rsidR="007A5F8E" w:rsidRPr="00E70587" w:rsidRDefault="007A5F8E" w:rsidP="001C7706">
            <w:pPr>
              <w:pStyle w:val="Notesbodytext"/>
              <w:spacing w:after="0" w:line="280" w:lineRule="exact"/>
              <w:jc w:val="both"/>
              <w:rPr>
                <w:rFonts w:ascii="Arial" w:hAnsi="Arial"/>
                <w:color w:val="auto"/>
                <w:sz w:val="20"/>
              </w:rPr>
            </w:pPr>
          </w:p>
          <w:p w14:paraId="6CB063CE" w14:textId="0195B497" w:rsidR="001C7706" w:rsidRPr="00E70587" w:rsidRDefault="001C7706" w:rsidP="001C7706">
            <w:pPr>
              <w:pStyle w:val="Notesbodytext"/>
              <w:spacing w:after="0" w:line="280" w:lineRule="exact"/>
              <w:jc w:val="both"/>
              <w:rPr>
                <w:rFonts w:ascii="Arial" w:hAnsi="Arial"/>
                <w:color w:val="auto"/>
                <w:sz w:val="20"/>
              </w:rPr>
            </w:pPr>
            <w:r w:rsidRPr="00E70587">
              <w:rPr>
                <w:rFonts w:ascii="Arial" w:hAnsi="Arial"/>
                <w:color w:val="auto"/>
                <w:sz w:val="20"/>
              </w:rPr>
              <w:t xml:space="preserve">Upon loss of significant influence over the associate or joint control over the joint venture, the Group measures and recognises any retained investment at its fair value. Any difference between the carrying amount of the associate or joint venture upon loss of significant influence or joint control and the fair value of the retained investment and proceeds from disposal is recognised in profit </w:t>
            </w:r>
            <w:r w:rsidR="0089280C">
              <w:rPr>
                <w:rFonts w:ascii="Arial" w:hAnsi="Arial"/>
                <w:color w:val="auto"/>
                <w:sz w:val="20"/>
              </w:rPr>
              <w:t>or</w:t>
            </w:r>
            <w:r w:rsidR="00693BE6" w:rsidRPr="00E70587">
              <w:rPr>
                <w:rFonts w:ascii="Arial" w:hAnsi="Arial"/>
                <w:color w:val="auto"/>
                <w:sz w:val="20"/>
              </w:rPr>
              <w:t xml:space="preserve"> </w:t>
            </w:r>
            <w:r w:rsidRPr="00E70587">
              <w:rPr>
                <w:rFonts w:ascii="Arial" w:hAnsi="Arial"/>
                <w:color w:val="auto"/>
                <w:sz w:val="20"/>
              </w:rPr>
              <w:t>loss</w:t>
            </w:r>
          </w:p>
          <w:p w14:paraId="45F1D1D8" w14:textId="77777777" w:rsidR="007A5F8E" w:rsidRPr="00E70587" w:rsidRDefault="007A5F8E" w:rsidP="001C7706">
            <w:pPr>
              <w:pStyle w:val="Notesbodytext"/>
              <w:spacing w:after="0" w:line="280" w:lineRule="exact"/>
              <w:jc w:val="both"/>
              <w:rPr>
                <w:rFonts w:ascii="Arial" w:hAnsi="Arial"/>
                <w:color w:val="auto"/>
                <w:sz w:val="20"/>
              </w:rPr>
            </w:pPr>
          </w:p>
        </w:tc>
      </w:tr>
      <w:tr w:rsidR="00CA33DC" w:rsidRPr="00E70587" w14:paraId="23E21EC6" w14:textId="77777777" w:rsidTr="00BB14E5">
        <w:tc>
          <w:tcPr>
            <w:tcW w:w="9630" w:type="dxa"/>
            <w:shd w:val="clear" w:color="auto" w:fill="D9D9D9" w:themeFill="text2" w:themeFillShade="D9"/>
          </w:tcPr>
          <w:p w14:paraId="0FCCB2B9" w14:textId="77777777" w:rsidR="007A5F8E" w:rsidRPr="00E70587" w:rsidRDefault="007A5F8E" w:rsidP="007A5F8E">
            <w:pPr>
              <w:pStyle w:val="Notesbodytext"/>
              <w:spacing w:after="0" w:line="280" w:lineRule="exact"/>
              <w:jc w:val="both"/>
              <w:rPr>
                <w:rFonts w:ascii="Arial" w:hAnsi="Arial"/>
                <w:b/>
                <w:color w:val="auto"/>
                <w:sz w:val="20"/>
              </w:rPr>
            </w:pPr>
            <w:r w:rsidRPr="00E70587">
              <w:rPr>
                <w:rFonts w:ascii="Arial" w:hAnsi="Arial"/>
                <w:b/>
                <w:color w:val="auto"/>
                <w:sz w:val="20"/>
              </w:rPr>
              <w:t>Authors’ note</w:t>
            </w:r>
          </w:p>
          <w:p w14:paraId="3AF11855" w14:textId="77777777" w:rsidR="007A5F8E" w:rsidRPr="00E70587" w:rsidRDefault="007A5F8E" w:rsidP="007A5F8E">
            <w:pPr>
              <w:pStyle w:val="Notesbodytext"/>
              <w:spacing w:after="0" w:line="280" w:lineRule="exact"/>
              <w:jc w:val="both"/>
              <w:rPr>
                <w:rFonts w:ascii="Arial" w:hAnsi="Arial"/>
                <w:color w:val="auto"/>
                <w:sz w:val="20"/>
              </w:rPr>
            </w:pPr>
          </w:p>
          <w:p w14:paraId="4E3F4666" w14:textId="77777777" w:rsidR="007A5F8E" w:rsidRPr="00E70587" w:rsidRDefault="007A5F8E" w:rsidP="007A5F8E">
            <w:pPr>
              <w:pStyle w:val="Notesbodytext"/>
              <w:spacing w:after="0" w:line="280" w:lineRule="exact"/>
              <w:jc w:val="both"/>
              <w:rPr>
                <w:rFonts w:ascii="Arial" w:hAnsi="Arial"/>
                <w:color w:val="auto"/>
                <w:sz w:val="20"/>
              </w:rPr>
            </w:pPr>
            <w:r w:rsidRPr="00E70587">
              <w:rPr>
                <w:rFonts w:ascii="Arial" w:hAnsi="Arial"/>
                <w:color w:val="auto"/>
                <w:sz w:val="20"/>
              </w:rPr>
              <w:t>The Group does not have an interest in joint operations. If the Group had an interest in a joint operation, it would recognise in relation to its interest in a joint operation its:</w:t>
            </w:r>
          </w:p>
          <w:p w14:paraId="6C7CA8DE" w14:textId="77777777" w:rsidR="007A5F8E" w:rsidRPr="00E70587" w:rsidRDefault="007A5F8E" w:rsidP="00E466DD">
            <w:pPr>
              <w:pStyle w:val="Notesbodytext"/>
              <w:numPr>
                <w:ilvl w:val="0"/>
                <w:numId w:val="24"/>
              </w:numPr>
              <w:spacing w:before="120" w:after="0" w:line="280" w:lineRule="exact"/>
              <w:ind w:left="720" w:hanging="720"/>
              <w:jc w:val="both"/>
              <w:rPr>
                <w:rFonts w:ascii="Arial" w:hAnsi="Arial"/>
                <w:color w:val="auto"/>
                <w:sz w:val="20"/>
              </w:rPr>
            </w:pPr>
            <w:r w:rsidRPr="00E70587">
              <w:rPr>
                <w:rFonts w:ascii="Arial" w:hAnsi="Arial"/>
                <w:color w:val="auto"/>
                <w:sz w:val="20"/>
              </w:rPr>
              <w:t>Assets, including its share of any assets held jointly</w:t>
            </w:r>
          </w:p>
          <w:p w14:paraId="0567497C" w14:textId="77777777" w:rsidR="007A5F8E" w:rsidRPr="00E70587" w:rsidRDefault="007A5F8E" w:rsidP="00E466DD">
            <w:pPr>
              <w:pStyle w:val="Notesbodytext"/>
              <w:numPr>
                <w:ilvl w:val="0"/>
                <w:numId w:val="24"/>
              </w:numPr>
              <w:spacing w:before="120" w:after="0" w:line="280" w:lineRule="exact"/>
              <w:ind w:left="720" w:hanging="720"/>
              <w:jc w:val="both"/>
              <w:rPr>
                <w:rFonts w:ascii="Arial" w:hAnsi="Arial"/>
                <w:color w:val="auto"/>
                <w:sz w:val="20"/>
              </w:rPr>
            </w:pPr>
            <w:r w:rsidRPr="00E70587">
              <w:rPr>
                <w:rFonts w:ascii="Arial" w:hAnsi="Arial"/>
                <w:color w:val="auto"/>
                <w:sz w:val="20"/>
              </w:rPr>
              <w:t>Liabilities, including its share of any liabilities incurred jointly</w:t>
            </w:r>
          </w:p>
          <w:p w14:paraId="667ABED6" w14:textId="77777777" w:rsidR="007A5F8E" w:rsidRPr="00E70587" w:rsidRDefault="007A5F8E" w:rsidP="00E466DD">
            <w:pPr>
              <w:pStyle w:val="Notesbodytext"/>
              <w:numPr>
                <w:ilvl w:val="0"/>
                <w:numId w:val="24"/>
              </w:numPr>
              <w:spacing w:before="120" w:after="0" w:line="280" w:lineRule="exact"/>
              <w:ind w:left="720" w:hanging="720"/>
              <w:jc w:val="both"/>
              <w:rPr>
                <w:rFonts w:ascii="Arial" w:hAnsi="Arial"/>
                <w:color w:val="auto"/>
                <w:sz w:val="20"/>
              </w:rPr>
            </w:pPr>
            <w:r w:rsidRPr="00E70587">
              <w:rPr>
                <w:rFonts w:ascii="Arial" w:hAnsi="Arial"/>
                <w:color w:val="auto"/>
                <w:sz w:val="20"/>
              </w:rPr>
              <w:t>Revenue from the sale of its share of the output arising from the joint operation</w:t>
            </w:r>
          </w:p>
          <w:p w14:paraId="0DF7F8B4" w14:textId="77777777" w:rsidR="007A5F8E" w:rsidRPr="00E70587" w:rsidRDefault="007A5F8E" w:rsidP="00E466DD">
            <w:pPr>
              <w:pStyle w:val="Notesbodytext"/>
              <w:numPr>
                <w:ilvl w:val="0"/>
                <w:numId w:val="24"/>
              </w:numPr>
              <w:spacing w:before="120" w:after="0" w:line="280" w:lineRule="exact"/>
              <w:ind w:left="720" w:hanging="720"/>
              <w:jc w:val="both"/>
              <w:rPr>
                <w:rFonts w:ascii="Arial" w:hAnsi="Arial"/>
                <w:color w:val="auto"/>
                <w:sz w:val="20"/>
              </w:rPr>
            </w:pPr>
            <w:r w:rsidRPr="00E70587">
              <w:rPr>
                <w:rFonts w:ascii="Arial" w:hAnsi="Arial"/>
                <w:color w:val="auto"/>
                <w:sz w:val="20"/>
              </w:rPr>
              <w:t xml:space="preserve">Share of the revenue from the sale of the output by the joint operation </w:t>
            </w:r>
          </w:p>
          <w:p w14:paraId="7D0CC683" w14:textId="77777777" w:rsidR="007A5F8E" w:rsidRPr="00E70587" w:rsidRDefault="007A5F8E" w:rsidP="00E466DD">
            <w:pPr>
              <w:pStyle w:val="Notesbodytext"/>
              <w:numPr>
                <w:ilvl w:val="0"/>
                <w:numId w:val="24"/>
              </w:numPr>
              <w:spacing w:before="120" w:after="0" w:line="280" w:lineRule="exact"/>
              <w:ind w:left="720" w:hanging="720"/>
              <w:jc w:val="both"/>
              <w:rPr>
                <w:rFonts w:ascii="Arial" w:hAnsi="Arial"/>
                <w:color w:val="auto"/>
                <w:sz w:val="20"/>
              </w:rPr>
            </w:pPr>
            <w:r w:rsidRPr="00E70587">
              <w:rPr>
                <w:rFonts w:ascii="Arial" w:hAnsi="Arial"/>
                <w:color w:val="auto"/>
                <w:sz w:val="20"/>
              </w:rPr>
              <w:t>Expenses, including its share of any expenses incurred jointly</w:t>
            </w:r>
          </w:p>
          <w:p w14:paraId="6E288779" w14:textId="77777777" w:rsidR="007A5F8E" w:rsidRPr="00E70587" w:rsidRDefault="007A5F8E" w:rsidP="001C7706">
            <w:pPr>
              <w:pStyle w:val="Notesbodytext"/>
              <w:spacing w:after="0" w:line="280" w:lineRule="exact"/>
              <w:jc w:val="both"/>
              <w:rPr>
                <w:rFonts w:ascii="Arial" w:hAnsi="Arial"/>
                <w:color w:val="auto"/>
                <w:sz w:val="20"/>
              </w:rPr>
            </w:pPr>
          </w:p>
        </w:tc>
      </w:tr>
      <w:tr w:rsidR="00CA33DC" w:rsidRPr="00E70587" w14:paraId="2B420A76" w14:textId="77777777" w:rsidTr="006939C8">
        <w:tc>
          <w:tcPr>
            <w:tcW w:w="9630" w:type="dxa"/>
          </w:tcPr>
          <w:p w14:paraId="34C36879" w14:textId="77777777" w:rsidR="007A5F8E" w:rsidRPr="00E70587" w:rsidRDefault="007A5F8E" w:rsidP="000667CC">
            <w:pPr>
              <w:pStyle w:val="Heading4"/>
              <w:keepNext w:val="0"/>
              <w:numPr>
                <w:ilvl w:val="0"/>
                <w:numId w:val="4"/>
              </w:numPr>
              <w:tabs>
                <w:tab w:val="clear" w:pos="357"/>
              </w:tabs>
              <w:spacing w:before="0" w:after="0" w:line="280" w:lineRule="exact"/>
              <w:ind w:left="318" w:hanging="318"/>
              <w:jc w:val="both"/>
              <w:rPr>
                <w:rFonts w:ascii="Arial" w:hAnsi="Arial" w:cs="Arial"/>
                <w:szCs w:val="20"/>
              </w:rPr>
            </w:pPr>
            <w:r w:rsidRPr="00E70587">
              <w:rPr>
                <w:rFonts w:ascii="Arial" w:hAnsi="Arial" w:cs="Arial"/>
                <w:szCs w:val="20"/>
              </w:rPr>
              <w:lastRenderedPageBreak/>
              <w:t>Current versus non-current classification</w:t>
            </w:r>
          </w:p>
          <w:p w14:paraId="478BBBEE" w14:textId="77777777" w:rsidR="007A5F8E" w:rsidRPr="00E70587" w:rsidRDefault="007A5F8E" w:rsidP="007A5F8E">
            <w:pPr>
              <w:pStyle w:val="Notesbodytext"/>
              <w:spacing w:after="0" w:line="280" w:lineRule="exact"/>
              <w:jc w:val="both"/>
              <w:rPr>
                <w:rFonts w:ascii="Arial" w:hAnsi="Arial"/>
                <w:color w:val="auto"/>
                <w:sz w:val="20"/>
              </w:rPr>
            </w:pPr>
          </w:p>
          <w:p w14:paraId="56B5685C" w14:textId="77777777" w:rsidR="007A5F8E" w:rsidRPr="00E70587" w:rsidRDefault="007A5F8E" w:rsidP="007A5F8E">
            <w:pPr>
              <w:pStyle w:val="Notesbodytext"/>
              <w:spacing w:after="0" w:line="280" w:lineRule="exact"/>
              <w:jc w:val="both"/>
              <w:rPr>
                <w:rFonts w:ascii="Arial" w:hAnsi="Arial"/>
                <w:color w:val="auto"/>
                <w:sz w:val="20"/>
              </w:rPr>
            </w:pPr>
            <w:r w:rsidRPr="00E70587">
              <w:rPr>
                <w:rFonts w:ascii="Arial" w:hAnsi="Arial"/>
                <w:color w:val="auto"/>
                <w:sz w:val="20"/>
              </w:rPr>
              <w:t>The Group presents assets and liabilities in the balance sheet based on current/ non-current classification. An asset as current when it is:</w:t>
            </w:r>
          </w:p>
          <w:p w14:paraId="08717588" w14:textId="673DC07F" w:rsidR="007A5F8E" w:rsidRPr="00E70587" w:rsidRDefault="007A5F8E"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 xml:space="preserve">Expected to be realised or intended to </w:t>
            </w:r>
            <w:r w:rsidR="007C263C" w:rsidRPr="00E70587">
              <w:rPr>
                <w:rFonts w:ascii="Arial" w:hAnsi="Arial"/>
                <w:color w:val="auto"/>
                <w:sz w:val="20"/>
              </w:rPr>
              <w:t>be sold</w:t>
            </w:r>
            <w:r w:rsidRPr="00E70587">
              <w:rPr>
                <w:rFonts w:ascii="Arial" w:hAnsi="Arial"/>
                <w:color w:val="auto"/>
                <w:sz w:val="20"/>
              </w:rPr>
              <w:t xml:space="preserve"> or consumed in normal operating cycle</w:t>
            </w:r>
          </w:p>
          <w:p w14:paraId="03B6894C" w14:textId="77777777" w:rsidR="007A5F8E" w:rsidRPr="00E70587" w:rsidRDefault="007A5F8E"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Held primarily for the purpose of trading</w:t>
            </w:r>
          </w:p>
          <w:p w14:paraId="0CBDE681" w14:textId="77777777" w:rsidR="007A5F8E" w:rsidRPr="00E70587" w:rsidRDefault="007A5F8E"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Expected to be realised within twelve months after the reporting period, or</w:t>
            </w:r>
          </w:p>
          <w:p w14:paraId="6C4097AF" w14:textId="77777777" w:rsidR="007A5F8E" w:rsidRPr="00E70587" w:rsidRDefault="007A5F8E"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 xml:space="preserve">Cash or cash equivalent unless restricted from being exchanged or used to settle a liability for at least twelve months after the reporting period </w:t>
            </w:r>
          </w:p>
          <w:p w14:paraId="050816F4" w14:textId="77777777" w:rsidR="001F5F48" w:rsidRPr="00E70587" w:rsidRDefault="001F5F48" w:rsidP="007A5F8E">
            <w:pPr>
              <w:pStyle w:val="Notesbodytext"/>
              <w:spacing w:after="0" w:line="280" w:lineRule="exact"/>
              <w:jc w:val="both"/>
              <w:rPr>
                <w:rFonts w:ascii="Arial" w:hAnsi="Arial"/>
                <w:color w:val="auto"/>
                <w:sz w:val="20"/>
              </w:rPr>
            </w:pPr>
          </w:p>
          <w:p w14:paraId="22654437" w14:textId="77777777" w:rsidR="007A5F8E" w:rsidRPr="00E70587" w:rsidRDefault="007A5F8E" w:rsidP="007A5F8E">
            <w:pPr>
              <w:pStyle w:val="Notesbodytext"/>
              <w:spacing w:after="0" w:line="280" w:lineRule="exact"/>
              <w:jc w:val="both"/>
              <w:rPr>
                <w:rFonts w:ascii="Arial" w:hAnsi="Arial"/>
                <w:color w:val="auto"/>
                <w:sz w:val="20"/>
              </w:rPr>
            </w:pPr>
            <w:r w:rsidRPr="00E70587">
              <w:rPr>
                <w:rFonts w:ascii="Arial" w:hAnsi="Arial"/>
                <w:color w:val="auto"/>
                <w:sz w:val="20"/>
              </w:rPr>
              <w:t>All other assets are</w:t>
            </w:r>
            <w:r w:rsidR="001F5F48" w:rsidRPr="00E70587">
              <w:rPr>
                <w:rFonts w:ascii="Arial" w:hAnsi="Arial"/>
                <w:color w:val="auto"/>
                <w:sz w:val="20"/>
              </w:rPr>
              <w:t xml:space="preserve"> classified as non-current.</w:t>
            </w:r>
          </w:p>
          <w:p w14:paraId="21F6C6F4" w14:textId="77777777" w:rsidR="001F5F48" w:rsidRPr="00E70587" w:rsidRDefault="001F5F48" w:rsidP="007A5F8E">
            <w:pPr>
              <w:pStyle w:val="Notesbodytext"/>
              <w:spacing w:after="0" w:line="280" w:lineRule="exact"/>
              <w:jc w:val="both"/>
              <w:rPr>
                <w:rFonts w:ascii="Arial" w:hAnsi="Arial"/>
                <w:color w:val="auto"/>
                <w:sz w:val="20"/>
              </w:rPr>
            </w:pPr>
          </w:p>
          <w:p w14:paraId="133B315F" w14:textId="77777777" w:rsidR="007A5F8E" w:rsidRPr="00E70587" w:rsidRDefault="007A5F8E" w:rsidP="007A5F8E">
            <w:pPr>
              <w:pStyle w:val="Notesbodytext"/>
              <w:spacing w:after="0" w:line="280" w:lineRule="exact"/>
              <w:jc w:val="both"/>
              <w:rPr>
                <w:rFonts w:ascii="Arial" w:hAnsi="Arial"/>
                <w:color w:val="auto"/>
                <w:sz w:val="20"/>
              </w:rPr>
            </w:pPr>
            <w:r w:rsidRPr="00E70587">
              <w:rPr>
                <w:rFonts w:ascii="Arial" w:hAnsi="Arial"/>
                <w:color w:val="auto"/>
                <w:sz w:val="20"/>
              </w:rPr>
              <w:t>A liability is current when:</w:t>
            </w:r>
          </w:p>
          <w:p w14:paraId="60E1BBDD" w14:textId="77777777" w:rsidR="007A5F8E" w:rsidRPr="00E70587" w:rsidRDefault="007A5F8E"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It is expected to be settled in normal operating cycle</w:t>
            </w:r>
          </w:p>
          <w:p w14:paraId="4EF0E985" w14:textId="77777777" w:rsidR="007A5F8E" w:rsidRPr="00E70587" w:rsidRDefault="007A5F8E"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It is held primarily for the purpose of trading</w:t>
            </w:r>
          </w:p>
          <w:p w14:paraId="0B3B8429" w14:textId="77777777" w:rsidR="007A5F8E" w:rsidRPr="00E70587" w:rsidRDefault="007A5F8E"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 xml:space="preserve">It is due to be settled within twelve months after the reporting period, or </w:t>
            </w:r>
          </w:p>
          <w:p w14:paraId="0549E181" w14:textId="77777777" w:rsidR="007A5F8E" w:rsidRPr="00E70587" w:rsidRDefault="007A5F8E"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There is no unconditional right to defer the settlement of the liability for at least twelve months after the reporting period</w:t>
            </w:r>
          </w:p>
          <w:p w14:paraId="7E5CC5B6" w14:textId="0F53C4A3" w:rsidR="001F5F48" w:rsidRDefault="001F5F48" w:rsidP="001F5F48">
            <w:pPr>
              <w:pStyle w:val="Notesbodytext"/>
              <w:spacing w:after="0" w:line="280" w:lineRule="exact"/>
              <w:jc w:val="both"/>
              <w:rPr>
                <w:rFonts w:ascii="Arial" w:hAnsi="Arial"/>
                <w:color w:val="auto"/>
                <w:sz w:val="20"/>
              </w:rPr>
            </w:pPr>
          </w:p>
          <w:p w14:paraId="1BAB63FA" w14:textId="18763634" w:rsidR="00FB024F" w:rsidRDefault="00FB024F" w:rsidP="001F5F48">
            <w:pPr>
              <w:pStyle w:val="Notesbodytext"/>
              <w:spacing w:after="0" w:line="280" w:lineRule="exact"/>
              <w:jc w:val="both"/>
              <w:rPr>
                <w:rFonts w:ascii="Arial" w:hAnsi="Arial"/>
                <w:color w:val="auto"/>
                <w:sz w:val="20"/>
              </w:rPr>
            </w:pPr>
            <w:r w:rsidRPr="00FB024F">
              <w:rPr>
                <w:rFonts w:ascii="Arial" w:hAnsi="Arial"/>
                <w:color w:val="auto"/>
                <w:sz w:val="20"/>
              </w:rPr>
              <w:t>The terms of the liability that could, at the option of the counterparty, result in its settlement by the issue of equity instruments do not affect its classification.</w:t>
            </w:r>
          </w:p>
          <w:p w14:paraId="120C1A8B" w14:textId="77777777" w:rsidR="00FB024F" w:rsidRPr="00E70587" w:rsidRDefault="00FB024F" w:rsidP="001F5F48">
            <w:pPr>
              <w:pStyle w:val="Notesbodytext"/>
              <w:spacing w:after="0" w:line="280" w:lineRule="exact"/>
              <w:jc w:val="both"/>
              <w:rPr>
                <w:rFonts w:ascii="Arial" w:hAnsi="Arial"/>
                <w:color w:val="auto"/>
                <w:sz w:val="20"/>
              </w:rPr>
            </w:pPr>
          </w:p>
          <w:p w14:paraId="4819CBA1" w14:textId="77777777" w:rsidR="000667CC" w:rsidRPr="00E70587" w:rsidRDefault="007A5F8E" w:rsidP="0088470D">
            <w:pPr>
              <w:pStyle w:val="Notesbodytext"/>
              <w:spacing w:after="0" w:line="280" w:lineRule="exact"/>
              <w:jc w:val="both"/>
              <w:rPr>
                <w:rFonts w:ascii="Arial" w:hAnsi="Arial"/>
                <w:color w:val="auto"/>
                <w:sz w:val="20"/>
              </w:rPr>
            </w:pPr>
            <w:r w:rsidRPr="00E70587">
              <w:rPr>
                <w:rFonts w:ascii="Arial" w:hAnsi="Arial"/>
                <w:color w:val="auto"/>
                <w:sz w:val="20"/>
              </w:rPr>
              <w:t>The Group classifies all other liabilities as non-current.</w:t>
            </w:r>
            <w:r w:rsidR="001F5F48" w:rsidRPr="00E70587">
              <w:rPr>
                <w:rFonts w:ascii="Arial" w:hAnsi="Arial"/>
                <w:color w:val="auto"/>
                <w:sz w:val="20"/>
              </w:rPr>
              <w:t xml:space="preserve"> </w:t>
            </w:r>
            <w:r w:rsidRPr="00E70587">
              <w:rPr>
                <w:rFonts w:ascii="Arial" w:hAnsi="Arial"/>
                <w:color w:val="auto"/>
                <w:sz w:val="20"/>
              </w:rPr>
              <w:t>Deferred tax assets and liabilities are classified as non-current assets and liabilities.</w:t>
            </w:r>
          </w:p>
          <w:p w14:paraId="20A5CAB7" w14:textId="77777777" w:rsidR="00593B63" w:rsidRPr="00E70587" w:rsidRDefault="00593B63" w:rsidP="0088470D">
            <w:pPr>
              <w:pStyle w:val="Notesbodytext"/>
              <w:spacing w:after="0" w:line="280" w:lineRule="exact"/>
              <w:jc w:val="both"/>
              <w:rPr>
                <w:rFonts w:ascii="Arial" w:hAnsi="Arial"/>
                <w:color w:val="auto"/>
                <w:sz w:val="20"/>
              </w:rPr>
            </w:pPr>
          </w:p>
          <w:p w14:paraId="351C12D0" w14:textId="77777777" w:rsidR="00593B63" w:rsidRDefault="00593B63" w:rsidP="0088470D">
            <w:pPr>
              <w:pStyle w:val="Notesbodytext"/>
              <w:spacing w:after="0" w:line="280" w:lineRule="exact"/>
              <w:jc w:val="both"/>
              <w:rPr>
                <w:rFonts w:ascii="Arial" w:hAnsi="Arial"/>
                <w:color w:val="auto"/>
                <w:sz w:val="20"/>
              </w:rPr>
            </w:pPr>
            <w:r w:rsidRPr="00E70587">
              <w:rPr>
                <w:rFonts w:ascii="Arial" w:hAnsi="Arial"/>
                <w:color w:val="auto"/>
                <w:sz w:val="20"/>
              </w:rPr>
              <w:t>The operating cycle is the time between the acquisition of assets for processing and their realisation in cash and cash equivalents. The group has identified twelve months as its operating cycle.</w:t>
            </w:r>
          </w:p>
          <w:p w14:paraId="135E7F30" w14:textId="4978A9EF" w:rsidR="00693BE6" w:rsidRPr="00E70587" w:rsidRDefault="00693BE6" w:rsidP="0088470D">
            <w:pPr>
              <w:pStyle w:val="Notesbodytext"/>
              <w:spacing w:after="0" w:line="280" w:lineRule="exact"/>
              <w:jc w:val="both"/>
              <w:rPr>
                <w:rFonts w:ascii="Arial" w:hAnsi="Arial"/>
                <w:color w:val="auto"/>
                <w:sz w:val="20"/>
              </w:rPr>
            </w:pPr>
          </w:p>
        </w:tc>
      </w:tr>
      <w:tr w:rsidR="00CA33DC" w:rsidRPr="00E70587" w14:paraId="4FEE0375" w14:textId="77777777" w:rsidTr="006939C8">
        <w:tc>
          <w:tcPr>
            <w:tcW w:w="9630" w:type="dxa"/>
          </w:tcPr>
          <w:p w14:paraId="1F982949" w14:textId="77777777" w:rsidR="001F5F48" w:rsidRPr="00E70587" w:rsidRDefault="001F5F48" w:rsidP="000667CC">
            <w:pPr>
              <w:pStyle w:val="Heading4"/>
              <w:keepNext w:val="0"/>
              <w:numPr>
                <w:ilvl w:val="0"/>
                <w:numId w:val="4"/>
              </w:numPr>
              <w:tabs>
                <w:tab w:val="clear" w:pos="357"/>
              </w:tabs>
              <w:spacing w:before="0" w:after="0" w:line="280" w:lineRule="exact"/>
              <w:ind w:left="318" w:hanging="318"/>
              <w:jc w:val="both"/>
              <w:rPr>
                <w:rFonts w:ascii="Arial" w:hAnsi="Arial" w:cs="Arial"/>
                <w:szCs w:val="20"/>
              </w:rPr>
            </w:pPr>
            <w:r w:rsidRPr="00E70587">
              <w:rPr>
                <w:rFonts w:ascii="Arial" w:hAnsi="Arial" w:cs="Arial"/>
                <w:szCs w:val="20"/>
              </w:rPr>
              <w:t>Foreign currencies</w:t>
            </w:r>
          </w:p>
          <w:p w14:paraId="2B7495E2" w14:textId="77777777" w:rsidR="001F5F48" w:rsidRPr="00E70587" w:rsidRDefault="001F5F48" w:rsidP="001F5F48">
            <w:pPr>
              <w:pStyle w:val="Notesbodytext"/>
              <w:spacing w:after="0" w:line="280" w:lineRule="exact"/>
              <w:jc w:val="both"/>
              <w:rPr>
                <w:rFonts w:ascii="Arial" w:hAnsi="Arial"/>
                <w:color w:val="auto"/>
                <w:sz w:val="20"/>
              </w:rPr>
            </w:pPr>
          </w:p>
          <w:p w14:paraId="32A6DA11" w14:textId="470EB875" w:rsidR="001F5F48" w:rsidRPr="00E70587" w:rsidRDefault="001F5F48" w:rsidP="001F5F48">
            <w:pPr>
              <w:pStyle w:val="Notesbodytext"/>
              <w:spacing w:after="0" w:line="280" w:lineRule="exact"/>
              <w:jc w:val="both"/>
              <w:rPr>
                <w:rFonts w:ascii="Arial" w:hAnsi="Arial"/>
                <w:color w:val="auto"/>
                <w:sz w:val="20"/>
              </w:rPr>
            </w:pPr>
            <w:r w:rsidRPr="00E70587">
              <w:rPr>
                <w:rFonts w:ascii="Arial" w:hAnsi="Arial"/>
                <w:color w:val="auto"/>
                <w:sz w:val="20"/>
              </w:rPr>
              <w:t xml:space="preserve">The Group’s consolidated financial statements are presented in INR, which is also the parent company’s functional currency. For each entity the Group determines the functional currency and items included in the financial statements of each entity are measured using that functional currency. The Group uses the direct method of consolidation and on disposal of a foreign operation the gain or loss that is reclassified to profit </w:t>
            </w:r>
            <w:r w:rsidR="0089280C">
              <w:rPr>
                <w:rFonts w:ascii="Arial" w:hAnsi="Arial"/>
                <w:color w:val="auto"/>
                <w:sz w:val="20"/>
              </w:rPr>
              <w:t>or</w:t>
            </w:r>
            <w:r w:rsidR="00C32818" w:rsidRPr="00E70587">
              <w:rPr>
                <w:rFonts w:ascii="Arial" w:hAnsi="Arial"/>
                <w:color w:val="auto"/>
                <w:sz w:val="20"/>
              </w:rPr>
              <w:t xml:space="preserve"> </w:t>
            </w:r>
            <w:r w:rsidRPr="00E70587">
              <w:rPr>
                <w:rFonts w:ascii="Arial" w:hAnsi="Arial"/>
                <w:color w:val="auto"/>
                <w:sz w:val="20"/>
              </w:rPr>
              <w:t>loss reflects the amount that arises from using this method.</w:t>
            </w:r>
          </w:p>
          <w:p w14:paraId="46088548" w14:textId="77777777" w:rsidR="001F5F48" w:rsidRPr="00E70587" w:rsidRDefault="001F5F48" w:rsidP="001F5F48">
            <w:pPr>
              <w:pStyle w:val="Notesbodytext"/>
              <w:spacing w:after="0" w:line="280" w:lineRule="exact"/>
              <w:jc w:val="both"/>
              <w:rPr>
                <w:rFonts w:ascii="Arial" w:hAnsi="Arial"/>
                <w:color w:val="auto"/>
                <w:sz w:val="20"/>
              </w:rPr>
            </w:pPr>
          </w:p>
        </w:tc>
      </w:tr>
    </w:tbl>
    <w:p w14:paraId="46D048E5" w14:textId="3F895AF9" w:rsidR="007C263C" w:rsidRDefault="007C263C">
      <w:pPr>
        <w:rPr>
          <w:b/>
          <w:i/>
        </w:rPr>
      </w:pPr>
      <w:r>
        <w:rPr>
          <w:b/>
          <w:i/>
        </w:rPr>
        <w:br w:type="page"/>
      </w:r>
    </w:p>
    <w:p w14:paraId="1373DDDF" w14:textId="77777777" w:rsidR="007C263C" w:rsidRDefault="007C263C"/>
    <w:tbl>
      <w:tblPr>
        <w:tblW w:w="9630" w:type="dxa"/>
        <w:tblLayout w:type="fixed"/>
        <w:tblLook w:val="0000" w:firstRow="0" w:lastRow="0" w:firstColumn="0" w:lastColumn="0" w:noHBand="0" w:noVBand="0"/>
      </w:tblPr>
      <w:tblGrid>
        <w:gridCol w:w="9630"/>
      </w:tblGrid>
      <w:tr w:rsidR="00CA33DC" w:rsidRPr="00E70587" w14:paraId="7DD372E7" w14:textId="77777777" w:rsidTr="006939C8">
        <w:tc>
          <w:tcPr>
            <w:tcW w:w="9630" w:type="dxa"/>
          </w:tcPr>
          <w:p w14:paraId="79077358" w14:textId="466FB71A" w:rsidR="001F5F48" w:rsidRPr="00E70587" w:rsidRDefault="001F5F48" w:rsidP="001F5F48">
            <w:pPr>
              <w:pStyle w:val="Notesitalicheading"/>
              <w:spacing w:line="280" w:lineRule="exact"/>
              <w:jc w:val="both"/>
              <w:rPr>
                <w:rFonts w:ascii="Arial" w:hAnsi="Arial"/>
                <w:color w:val="auto"/>
                <w:sz w:val="20"/>
              </w:rPr>
            </w:pPr>
            <w:proofErr w:type="spellStart"/>
            <w:r w:rsidRPr="00E70587">
              <w:rPr>
                <w:rFonts w:ascii="Arial" w:hAnsi="Arial"/>
                <w:color w:val="auto"/>
                <w:sz w:val="20"/>
              </w:rPr>
              <w:t>i</w:t>
            </w:r>
            <w:proofErr w:type="spellEnd"/>
            <w:r w:rsidRPr="00E70587">
              <w:rPr>
                <w:rFonts w:ascii="Arial" w:hAnsi="Arial"/>
                <w:color w:val="auto"/>
                <w:sz w:val="20"/>
              </w:rPr>
              <w:t>) Transactions and balances</w:t>
            </w:r>
          </w:p>
          <w:p w14:paraId="2DE100FD" w14:textId="77777777" w:rsidR="001F5F48" w:rsidRPr="00E70587" w:rsidRDefault="001F5F48" w:rsidP="001F5F48">
            <w:pPr>
              <w:pStyle w:val="Notesbodytext"/>
              <w:spacing w:after="0" w:line="280" w:lineRule="exact"/>
              <w:jc w:val="both"/>
              <w:rPr>
                <w:rFonts w:ascii="Arial" w:hAnsi="Arial"/>
                <w:color w:val="auto"/>
                <w:sz w:val="20"/>
              </w:rPr>
            </w:pPr>
          </w:p>
          <w:p w14:paraId="2BEFB3DE" w14:textId="77777777" w:rsidR="001F5F48" w:rsidRPr="00E70587" w:rsidRDefault="001F5F48" w:rsidP="001F5F48">
            <w:pPr>
              <w:pStyle w:val="Notesbodytext"/>
              <w:spacing w:after="0" w:line="280" w:lineRule="exact"/>
              <w:jc w:val="both"/>
              <w:rPr>
                <w:rFonts w:ascii="Arial" w:hAnsi="Arial"/>
                <w:color w:val="auto"/>
                <w:sz w:val="20"/>
              </w:rPr>
            </w:pPr>
            <w:r w:rsidRPr="00E70587">
              <w:rPr>
                <w:rFonts w:ascii="Arial" w:hAnsi="Arial"/>
                <w:color w:val="auto"/>
                <w:sz w:val="20"/>
              </w:rPr>
              <w:t>Transactions in foreign currencies are initially recorded by the Group’s entities at their respective functional currency spot rates at the date the transaction first qualifies for recognition.</w:t>
            </w:r>
            <w:r w:rsidR="00593B63" w:rsidRPr="00E70587">
              <w:rPr>
                <w:rFonts w:ascii="Arial" w:hAnsi="Arial" w:cs="Times New Roman"/>
                <w:szCs w:val="18"/>
              </w:rPr>
              <w:t xml:space="preserve"> </w:t>
            </w:r>
            <w:r w:rsidR="00593B63" w:rsidRPr="00E70587">
              <w:rPr>
                <w:rFonts w:ascii="Arial" w:hAnsi="Arial"/>
                <w:color w:val="auto"/>
                <w:sz w:val="20"/>
              </w:rPr>
              <w:t>However, for practical reasons, the group uses an average rate if the average approximates the actual rate at the date of the transaction.</w:t>
            </w:r>
          </w:p>
          <w:p w14:paraId="25D409D7" w14:textId="77777777" w:rsidR="001F5F48" w:rsidRPr="00E70587" w:rsidRDefault="001F5F48" w:rsidP="001F5F48">
            <w:pPr>
              <w:pStyle w:val="Notesbodytext"/>
              <w:spacing w:after="0" w:line="280" w:lineRule="exact"/>
              <w:jc w:val="both"/>
              <w:rPr>
                <w:rFonts w:ascii="Arial" w:hAnsi="Arial"/>
                <w:color w:val="auto"/>
                <w:sz w:val="20"/>
              </w:rPr>
            </w:pPr>
          </w:p>
          <w:p w14:paraId="528A4DCD" w14:textId="77777777" w:rsidR="001F5F48" w:rsidRPr="00E70587" w:rsidRDefault="001F5F48" w:rsidP="001F5F48">
            <w:pPr>
              <w:pStyle w:val="Notesbodytext"/>
              <w:spacing w:after="0" w:line="280" w:lineRule="exact"/>
              <w:jc w:val="both"/>
              <w:rPr>
                <w:rFonts w:ascii="Arial" w:hAnsi="Arial"/>
                <w:color w:val="auto"/>
                <w:sz w:val="20"/>
              </w:rPr>
            </w:pPr>
            <w:r w:rsidRPr="00E70587">
              <w:rPr>
                <w:rFonts w:ascii="Arial" w:hAnsi="Arial"/>
                <w:color w:val="auto"/>
                <w:sz w:val="20"/>
              </w:rPr>
              <w:t>Monetary assets and liabilities denominated in foreign currencies are translated at the functional currency spot rates of exchange at the reporting date.</w:t>
            </w:r>
          </w:p>
          <w:p w14:paraId="1ED7A35E" w14:textId="77777777" w:rsidR="001F5F48" w:rsidRPr="00E70587" w:rsidRDefault="001F5F48" w:rsidP="001F5F48">
            <w:pPr>
              <w:pStyle w:val="Notesbodytext"/>
              <w:spacing w:after="0" w:line="280" w:lineRule="exact"/>
              <w:jc w:val="both"/>
              <w:rPr>
                <w:rFonts w:ascii="Arial" w:hAnsi="Arial"/>
                <w:color w:val="auto"/>
                <w:sz w:val="20"/>
              </w:rPr>
            </w:pPr>
          </w:p>
          <w:p w14:paraId="51A30438" w14:textId="65A92F93" w:rsidR="001F5F48" w:rsidRPr="00E70587" w:rsidRDefault="001F5F48" w:rsidP="001F5F48">
            <w:pPr>
              <w:pStyle w:val="Notesbodytext"/>
              <w:spacing w:after="0" w:line="280" w:lineRule="exact"/>
              <w:jc w:val="both"/>
              <w:rPr>
                <w:rFonts w:ascii="Arial" w:hAnsi="Arial"/>
                <w:color w:val="auto"/>
                <w:sz w:val="20"/>
              </w:rPr>
            </w:pPr>
            <w:r w:rsidRPr="00E70587">
              <w:rPr>
                <w:rFonts w:ascii="Arial" w:hAnsi="Arial"/>
                <w:color w:val="auto"/>
                <w:sz w:val="20"/>
              </w:rPr>
              <w:t xml:space="preserve">Differences arising on settlement or translation of monetary items are recognised in profit </w:t>
            </w:r>
            <w:r w:rsidR="0089280C">
              <w:rPr>
                <w:rFonts w:ascii="Arial" w:hAnsi="Arial"/>
                <w:color w:val="auto"/>
                <w:sz w:val="20"/>
              </w:rPr>
              <w:t>or</w:t>
            </w:r>
            <w:r w:rsidR="00E81CD0" w:rsidRPr="00E70587">
              <w:rPr>
                <w:rFonts w:ascii="Arial" w:hAnsi="Arial"/>
                <w:color w:val="auto"/>
                <w:sz w:val="20"/>
              </w:rPr>
              <w:t xml:space="preserve"> </w:t>
            </w:r>
            <w:r w:rsidRPr="00E70587">
              <w:rPr>
                <w:rFonts w:ascii="Arial" w:hAnsi="Arial"/>
                <w:color w:val="auto"/>
                <w:sz w:val="20"/>
              </w:rPr>
              <w:t xml:space="preserve">loss with the exception of monetary items that are designated as part of the hedge of the Group’s net investment of a foreign operation. These are recognised in OCI until the net investment is disposed of, at which time, the cumulative amount is reclassified to profit </w:t>
            </w:r>
            <w:r w:rsidR="0089280C">
              <w:rPr>
                <w:rFonts w:ascii="Arial" w:hAnsi="Arial"/>
                <w:color w:val="auto"/>
                <w:sz w:val="20"/>
              </w:rPr>
              <w:t>or</w:t>
            </w:r>
            <w:r w:rsidR="00E81CD0" w:rsidRPr="00E70587">
              <w:rPr>
                <w:rFonts w:ascii="Arial" w:hAnsi="Arial"/>
                <w:color w:val="auto"/>
                <w:sz w:val="20"/>
              </w:rPr>
              <w:t xml:space="preserve"> </w:t>
            </w:r>
            <w:r w:rsidRPr="00E70587">
              <w:rPr>
                <w:rFonts w:ascii="Arial" w:hAnsi="Arial"/>
                <w:color w:val="auto"/>
                <w:sz w:val="20"/>
              </w:rPr>
              <w:t>loss. Tax charges and credits attributable to exchange differences on those monetary items are also recorded in OCI.</w:t>
            </w:r>
          </w:p>
          <w:p w14:paraId="75E5C596" w14:textId="77777777" w:rsidR="001F5F48" w:rsidRPr="00E70587" w:rsidRDefault="001F5F48" w:rsidP="001F5F48">
            <w:pPr>
              <w:pStyle w:val="Notesbodytext"/>
              <w:spacing w:after="0" w:line="280" w:lineRule="exact"/>
              <w:jc w:val="both"/>
              <w:rPr>
                <w:rFonts w:ascii="Arial" w:hAnsi="Arial"/>
                <w:color w:val="auto"/>
                <w:sz w:val="20"/>
              </w:rPr>
            </w:pPr>
          </w:p>
          <w:p w14:paraId="0ADA0541" w14:textId="6FCA7385" w:rsidR="001F5F48" w:rsidRPr="00E70587" w:rsidRDefault="001F5F48" w:rsidP="001F5F48">
            <w:pPr>
              <w:pStyle w:val="Notesbodytext"/>
              <w:spacing w:after="0" w:line="280" w:lineRule="exact"/>
              <w:jc w:val="both"/>
              <w:rPr>
                <w:rFonts w:ascii="Arial" w:hAnsi="Arial"/>
                <w:color w:val="auto"/>
                <w:sz w:val="20"/>
              </w:rPr>
            </w:pPr>
            <w:r w:rsidRPr="00E70587">
              <w:rPr>
                <w:rFonts w:ascii="Arial" w:hAnsi="Arial"/>
                <w:color w:val="auto"/>
                <w:sz w:val="20"/>
              </w:rPr>
              <w:t xml:space="preserve">Non-monetary items that are measured in terms of historical cost in a foreign currency are translated using the exchange rates at the dates of the initial transactions. Non-monetary items measured at fair value in a foreign currency are translated using the exchange rates at the date when the fair value is determined. The gain or loss arising on translation of non-monetary items measured at fair value is treated in line with the recognition of the gain or loss on the change in fair value of the item (i.e., translation differences on items whose fair value gain or loss is recognised in OCI or profit </w:t>
            </w:r>
            <w:r w:rsidR="0089280C">
              <w:rPr>
                <w:rFonts w:ascii="Arial" w:hAnsi="Arial"/>
                <w:color w:val="auto"/>
                <w:sz w:val="20"/>
              </w:rPr>
              <w:t>or</w:t>
            </w:r>
            <w:r w:rsidR="00E81CD0" w:rsidRPr="00E70587">
              <w:rPr>
                <w:rFonts w:ascii="Arial" w:hAnsi="Arial"/>
                <w:color w:val="auto"/>
                <w:sz w:val="20"/>
              </w:rPr>
              <w:t xml:space="preserve"> </w:t>
            </w:r>
            <w:r w:rsidRPr="00E70587">
              <w:rPr>
                <w:rFonts w:ascii="Arial" w:hAnsi="Arial"/>
                <w:color w:val="auto"/>
                <w:sz w:val="20"/>
              </w:rPr>
              <w:t xml:space="preserve">loss are also recognised in OCI or profit </w:t>
            </w:r>
            <w:r w:rsidR="0089280C">
              <w:rPr>
                <w:rFonts w:ascii="Arial" w:hAnsi="Arial"/>
                <w:color w:val="auto"/>
                <w:sz w:val="20"/>
              </w:rPr>
              <w:t>or</w:t>
            </w:r>
            <w:r w:rsidR="00E81CD0" w:rsidRPr="00E70587">
              <w:rPr>
                <w:rFonts w:ascii="Arial" w:hAnsi="Arial"/>
                <w:color w:val="auto"/>
                <w:sz w:val="20"/>
              </w:rPr>
              <w:t xml:space="preserve"> </w:t>
            </w:r>
            <w:r w:rsidRPr="00E70587">
              <w:rPr>
                <w:rFonts w:ascii="Arial" w:hAnsi="Arial"/>
                <w:color w:val="auto"/>
                <w:sz w:val="20"/>
              </w:rPr>
              <w:t>loss, respectively).</w:t>
            </w:r>
          </w:p>
          <w:p w14:paraId="69084888" w14:textId="77777777" w:rsidR="001F5F48" w:rsidRPr="00E70587" w:rsidRDefault="001F5F48" w:rsidP="001F5F48">
            <w:pPr>
              <w:pStyle w:val="Notesitalicheading"/>
              <w:spacing w:line="280" w:lineRule="exact"/>
              <w:jc w:val="both"/>
              <w:rPr>
                <w:rFonts w:ascii="Arial" w:hAnsi="Arial"/>
                <w:color w:val="auto"/>
                <w:sz w:val="20"/>
              </w:rPr>
            </w:pPr>
          </w:p>
        </w:tc>
      </w:tr>
      <w:tr w:rsidR="005926AA" w:rsidRPr="00E70587" w14:paraId="4F4B698D" w14:textId="77777777" w:rsidTr="005926AA">
        <w:tc>
          <w:tcPr>
            <w:tcW w:w="9630" w:type="dxa"/>
            <w:shd w:val="clear" w:color="auto" w:fill="E0E0E0" w:themeFill="background1" w:themeFillTint="33"/>
          </w:tcPr>
          <w:p w14:paraId="1B1D2E00" w14:textId="41D8B2F6" w:rsidR="005926AA" w:rsidRPr="00CF3281" w:rsidRDefault="00ED6CCA" w:rsidP="005926AA">
            <w:pPr>
              <w:spacing w:before="120"/>
              <w:rPr>
                <w:rFonts w:ascii="EYInterstate" w:hAnsi="EYInterstate"/>
                <w:b/>
                <w:sz w:val="20"/>
              </w:rPr>
            </w:pPr>
            <w:r>
              <w:rPr>
                <w:rFonts w:ascii="EYInterstate" w:hAnsi="EYInterstate"/>
                <w:b/>
                <w:sz w:val="20"/>
              </w:rPr>
              <w:t xml:space="preserve">Authors’ note </w:t>
            </w:r>
          </w:p>
          <w:p w14:paraId="497A7F6E" w14:textId="44BEA0D7" w:rsidR="005926AA" w:rsidRPr="005926AA" w:rsidRDefault="005926AA" w:rsidP="005926AA">
            <w:pPr>
              <w:pStyle w:val="Body0"/>
              <w:rPr>
                <w:rFonts w:ascii="Arial" w:hAnsi="Arial"/>
                <w:color w:val="auto"/>
                <w:sz w:val="20"/>
              </w:rPr>
            </w:pPr>
            <w:r w:rsidRPr="005926AA">
              <w:rPr>
                <w:rFonts w:ascii="Arial" w:hAnsi="Arial"/>
                <w:color w:val="auto"/>
                <w:sz w:val="20"/>
              </w:rPr>
              <w:t xml:space="preserve">Under Indian GAAP, AS 11 The Effects of changes in Foreign Exchange Rates gives two options with regard to accounting for exchange differences arising on long-term foreign currency monetary items. The first option is that an entity recognizes exchange differences as income or expense in profit </w:t>
            </w:r>
            <w:r w:rsidR="0089280C">
              <w:rPr>
                <w:rFonts w:ascii="Arial" w:hAnsi="Arial"/>
                <w:color w:val="auto"/>
                <w:sz w:val="20"/>
              </w:rPr>
              <w:t>or</w:t>
            </w:r>
            <w:r w:rsidRPr="005926AA">
              <w:rPr>
                <w:rFonts w:ascii="Arial" w:hAnsi="Arial"/>
                <w:color w:val="auto"/>
                <w:sz w:val="20"/>
              </w:rPr>
              <w:t xml:space="preserve"> loss in the period in which they arise. However, paragraph 46A of AS 11 also provides companies an option whereby companies can choose to defer/ capitalize exchange differences arising on long-term foreign currency monetary items. The option once selected is irrevocable and needs to be applied to all long-term foreign currency monetary items. A long-term foreign currency monetary item is an item having a term of 12 months or more at the date of its origination.</w:t>
            </w:r>
          </w:p>
          <w:p w14:paraId="7B777919" w14:textId="77777777" w:rsidR="005926AA" w:rsidRPr="005926AA" w:rsidRDefault="005926AA" w:rsidP="005926AA">
            <w:pPr>
              <w:pStyle w:val="Body0"/>
              <w:rPr>
                <w:rFonts w:ascii="Arial" w:hAnsi="Arial"/>
                <w:color w:val="auto"/>
                <w:sz w:val="20"/>
              </w:rPr>
            </w:pPr>
            <w:r w:rsidRPr="005926AA">
              <w:rPr>
                <w:rFonts w:ascii="Arial" w:hAnsi="Arial"/>
                <w:color w:val="auto"/>
                <w:sz w:val="20"/>
              </w:rPr>
              <w:t>If under Indian GAAP, a company had opted to defer/ capitalize exchange differences arising on long-term foreign currency monetary items in accordance with paragraph 46A of AS 11, then Ind AS 101 gives an option whereby a first time adopter can continue its Indian GAAP policy for accounting for exchange differences arising from translation of long-term foreign currency monetary items recognised in the Indian GAAP financial statements for the period ending immediately before the beginning of the first Ind AS financial reporting period. It should be noted that this is an option. In other words, a first-time adopter is free to use Ind AS 21 accounting even for exchange differences arising on translation of long-term foreign currency monetary items for the period ending immediately before the beginning of the first Ind AS financial reporting period. However, the deferral/ amortization policy is not allowed for any new long-term foreign currency monetary item recognized from the first Ind AS financial reporting period.</w:t>
            </w:r>
          </w:p>
          <w:p w14:paraId="583A4A90" w14:textId="602D24C1" w:rsidR="005926AA" w:rsidRPr="00E70587" w:rsidRDefault="005926AA" w:rsidP="005926AA">
            <w:pPr>
              <w:pStyle w:val="Notesitalicheading"/>
              <w:spacing w:line="280" w:lineRule="exact"/>
              <w:jc w:val="both"/>
              <w:rPr>
                <w:rFonts w:ascii="Arial" w:hAnsi="Arial"/>
                <w:color w:val="auto"/>
                <w:sz w:val="20"/>
              </w:rPr>
            </w:pPr>
            <w:r w:rsidRPr="005926AA">
              <w:rPr>
                <w:rFonts w:ascii="Arial" w:hAnsi="Arial"/>
                <w:b w:val="0"/>
                <w:i w:val="0"/>
                <w:color w:val="auto"/>
                <w:sz w:val="20"/>
              </w:rPr>
              <w:t xml:space="preserve">The group has not applied paragraph 46A of AS 11 under Indian GAAP. Consequently, it does not have the option of using deferral/ capitalization policy under Ind AS. In case the group defers/ capitalise exchange difference as per transition provision under </w:t>
            </w:r>
            <w:r w:rsidR="00ED6CCA">
              <w:rPr>
                <w:rFonts w:ascii="Arial" w:hAnsi="Arial"/>
                <w:b w:val="0"/>
                <w:i w:val="0"/>
                <w:color w:val="auto"/>
                <w:sz w:val="20"/>
              </w:rPr>
              <w:t>I</w:t>
            </w:r>
            <w:r w:rsidRPr="005926AA">
              <w:rPr>
                <w:rFonts w:ascii="Arial" w:hAnsi="Arial"/>
                <w:b w:val="0"/>
                <w:i w:val="0"/>
                <w:color w:val="auto"/>
                <w:sz w:val="20"/>
              </w:rPr>
              <w:t xml:space="preserve">nd </w:t>
            </w:r>
            <w:r w:rsidR="00ED6CCA">
              <w:rPr>
                <w:rFonts w:ascii="Arial" w:hAnsi="Arial"/>
                <w:b w:val="0"/>
                <w:i w:val="0"/>
                <w:color w:val="auto"/>
                <w:sz w:val="20"/>
              </w:rPr>
              <w:t>AS</w:t>
            </w:r>
            <w:r w:rsidRPr="005926AA">
              <w:rPr>
                <w:rFonts w:ascii="Arial" w:hAnsi="Arial"/>
                <w:b w:val="0"/>
                <w:i w:val="0"/>
                <w:color w:val="auto"/>
                <w:sz w:val="20"/>
              </w:rPr>
              <w:t xml:space="preserve"> 101 then the said fact should be disclosed in policy.</w:t>
            </w:r>
          </w:p>
        </w:tc>
      </w:tr>
      <w:tr w:rsidR="00C7078D" w:rsidRPr="00E70587" w14:paraId="2565DD38" w14:textId="77777777" w:rsidTr="006939C8">
        <w:tc>
          <w:tcPr>
            <w:tcW w:w="9630" w:type="dxa"/>
          </w:tcPr>
          <w:p w14:paraId="33EBFE88" w14:textId="77777777" w:rsidR="00C7078D" w:rsidRPr="00E70587" w:rsidRDefault="00C7078D" w:rsidP="001F5F48">
            <w:pPr>
              <w:pStyle w:val="Notesitalicheading"/>
              <w:spacing w:line="280" w:lineRule="exact"/>
              <w:jc w:val="both"/>
              <w:rPr>
                <w:rFonts w:ascii="Arial" w:hAnsi="Arial"/>
                <w:color w:val="auto"/>
                <w:sz w:val="20"/>
              </w:rPr>
            </w:pPr>
          </w:p>
          <w:p w14:paraId="6D3F47CC" w14:textId="53109711" w:rsidR="007662AB" w:rsidRPr="007662AB" w:rsidRDefault="007662AB" w:rsidP="001F5F48">
            <w:pPr>
              <w:pStyle w:val="Notesitalicheading"/>
              <w:spacing w:line="280" w:lineRule="exact"/>
              <w:jc w:val="both"/>
              <w:rPr>
                <w:rFonts w:ascii="Arial" w:hAnsi="Arial"/>
                <w:b w:val="0"/>
                <w:i w:val="0"/>
                <w:color w:val="auto"/>
                <w:sz w:val="20"/>
              </w:rPr>
            </w:pPr>
            <w:r w:rsidRPr="007662AB">
              <w:rPr>
                <w:rFonts w:ascii="Arial" w:hAnsi="Arial"/>
                <w:b w:val="0"/>
                <w:i w:val="0"/>
                <w:color w:val="auto"/>
                <w:sz w:val="20"/>
              </w:rPr>
              <w:t>In determining the spot exchange rate to use on initial recognition of the related asset, expense or income (or part of it) on the derecognition of a non-monetary asset or non-monetary liability relating to advance consideration, the date of the transaction is the date on which the Group initially recognises the non-monetary asset or non-monetary liability arising from the advance consideration. If there are multiple payments or receipts in advance, the Group determines the transaction date for each payment or receipt of advance consideration.</w:t>
            </w:r>
          </w:p>
          <w:p w14:paraId="3E803B19" w14:textId="77777777" w:rsidR="007662AB" w:rsidRPr="007662AB" w:rsidRDefault="007662AB" w:rsidP="001F5F48">
            <w:pPr>
              <w:pStyle w:val="Notesitalicheading"/>
              <w:spacing w:line="280" w:lineRule="exact"/>
              <w:jc w:val="both"/>
              <w:rPr>
                <w:rFonts w:ascii="Arial" w:hAnsi="Arial"/>
                <w:i w:val="0"/>
                <w:iCs/>
                <w:color w:val="auto"/>
                <w:sz w:val="20"/>
              </w:rPr>
            </w:pPr>
          </w:p>
          <w:p w14:paraId="7F906F8F" w14:textId="44863F82" w:rsidR="00C7078D" w:rsidRPr="00E70587" w:rsidRDefault="00C7078D" w:rsidP="001F5F48">
            <w:pPr>
              <w:pStyle w:val="Notesitalicheading"/>
              <w:spacing w:line="280" w:lineRule="exact"/>
              <w:jc w:val="both"/>
              <w:rPr>
                <w:rFonts w:ascii="Arial" w:hAnsi="Arial"/>
                <w:color w:val="auto"/>
                <w:sz w:val="20"/>
              </w:rPr>
            </w:pPr>
            <w:r w:rsidRPr="00E70587">
              <w:rPr>
                <w:rFonts w:ascii="Arial" w:hAnsi="Arial"/>
                <w:color w:val="auto"/>
                <w:sz w:val="20"/>
              </w:rPr>
              <w:t>ii) Group companies</w:t>
            </w:r>
          </w:p>
          <w:p w14:paraId="6314BE14" w14:textId="77777777" w:rsidR="00C7078D" w:rsidRPr="00E70587" w:rsidRDefault="00C7078D" w:rsidP="001F5F48">
            <w:pPr>
              <w:pStyle w:val="Notesbodytext"/>
              <w:spacing w:after="0" w:line="280" w:lineRule="exact"/>
              <w:jc w:val="both"/>
              <w:rPr>
                <w:rFonts w:ascii="Arial" w:hAnsi="Arial"/>
                <w:color w:val="auto"/>
                <w:sz w:val="20"/>
              </w:rPr>
            </w:pPr>
          </w:p>
          <w:p w14:paraId="2DCCEC4B" w14:textId="6455A11F" w:rsidR="00C7078D" w:rsidRPr="00E70587" w:rsidRDefault="00C7078D" w:rsidP="001F5F48">
            <w:pPr>
              <w:pStyle w:val="Notesbodytext"/>
              <w:spacing w:after="0" w:line="280" w:lineRule="exact"/>
              <w:jc w:val="both"/>
              <w:rPr>
                <w:rFonts w:ascii="Arial" w:hAnsi="Arial"/>
                <w:color w:val="auto"/>
                <w:sz w:val="20"/>
              </w:rPr>
            </w:pPr>
            <w:r w:rsidRPr="00E70587">
              <w:rPr>
                <w:rFonts w:ascii="Arial" w:hAnsi="Arial"/>
                <w:color w:val="auto"/>
                <w:sz w:val="20"/>
              </w:rPr>
              <w:t xml:space="preserve">On consolidation, the assets and liabilities of foreign operations are translated into INR at the rate of exchange prevailing at the reporting date and their statements of profit </w:t>
            </w:r>
            <w:r w:rsidR="00BF30D0">
              <w:rPr>
                <w:rFonts w:ascii="Arial" w:hAnsi="Arial"/>
                <w:color w:val="auto"/>
                <w:sz w:val="20"/>
              </w:rPr>
              <w:t>and</w:t>
            </w:r>
            <w:r w:rsidR="00BF30D0" w:rsidRPr="00E70587">
              <w:rPr>
                <w:rFonts w:ascii="Arial" w:hAnsi="Arial"/>
                <w:color w:val="auto"/>
                <w:sz w:val="20"/>
              </w:rPr>
              <w:t xml:space="preserve"> </w:t>
            </w:r>
            <w:r w:rsidRPr="00E70587">
              <w:rPr>
                <w:rFonts w:ascii="Arial" w:hAnsi="Arial"/>
                <w:color w:val="auto"/>
                <w:sz w:val="20"/>
              </w:rPr>
              <w:t xml:space="preserve">loss are translated at exchange rates prevailing at the dates of the transactions. The exchange differences arising on translation for consolidation are recognised in OCI. On disposal of a foreign operation, the component of OCI relating to that particular foreign operation is recognised in profit </w:t>
            </w:r>
            <w:r w:rsidR="0089280C">
              <w:rPr>
                <w:rFonts w:ascii="Arial" w:hAnsi="Arial"/>
                <w:color w:val="auto"/>
                <w:sz w:val="20"/>
              </w:rPr>
              <w:t>or</w:t>
            </w:r>
            <w:r w:rsidR="00BF30D0" w:rsidRPr="00E70587">
              <w:rPr>
                <w:rFonts w:ascii="Arial" w:hAnsi="Arial"/>
                <w:color w:val="auto"/>
                <w:sz w:val="20"/>
              </w:rPr>
              <w:t xml:space="preserve"> </w:t>
            </w:r>
            <w:r w:rsidRPr="00E70587">
              <w:rPr>
                <w:rFonts w:ascii="Arial" w:hAnsi="Arial"/>
                <w:color w:val="auto"/>
                <w:sz w:val="20"/>
              </w:rPr>
              <w:t>loss.</w:t>
            </w:r>
          </w:p>
          <w:p w14:paraId="2991C9B9" w14:textId="77777777" w:rsidR="00C7078D" w:rsidRPr="00E70587" w:rsidRDefault="00C7078D" w:rsidP="001F5F48">
            <w:pPr>
              <w:pStyle w:val="Notesbodytext"/>
              <w:spacing w:after="0" w:line="280" w:lineRule="exact"/>
              <w:jc w:val="both"/>
              <w:rPr>
                <w:rFonts w:ascii="Arial" w:hAnsi="Arial"/>
                <w:color w:val="auto"/>
                <w:sz w:val="20"/>
              </w:rPr>
            </w:pPr>
          </w:p>
          <w:p w14:paraId="58F474D4" w14:textId="77777777" w:rsidR="00C7078D" w:rsidRPr="007F2781" w:rsidRDefault="00C7078D" w:rsidP="001F5F48">
            <w:pPr>
              <w:pStyle w:val="Notesbodytext"/>
              <w:spacing w:after="0" w:line="280" w:lineRule="exact"/>
              <w:jc w:val="both"/>
              <w:rPr>
                <w:rFonts w:ascii="Arial" w:hAnsi="Arial"/>
                <w:color w:val="auto"/>
                <w:sz w:val="20"/>
              </w:rPr>
            </w:pPr>
            <w:r w:rsidRPr="00E70587">
              <w:rPr>
                <w:rFonts w:ascii="Arial" w:hAnsi="Arial"/>
                <w:color w:val="auto"/>
                <w:sz w:val="20"/>
              </w:rPr>
              <w:t xml:space="preserve">Any goodwill arising on the acquisition of a foreign operation </w:t>
            </w:r>
            <w:r w:rsidRPr="007F2781">
              <w:rPr>
                <w:rFonts w:ascii="Arial" w:hAnsi="Arial"/>
                <w:color w:val="auto"/>
                <w:sz w:val="20"/>
              </w:rPr>
              <w:t xml:space="preserve">subsequent to </w:t>
            </w:r>
            <w:r w:rsidR="00E93553" w:rsidRPr="007F2781">
              <w:rPr>
                <w:rFonts w:ascii="Arial" w:hAnsi="Arial"/>
                <w:color w:val="auto"/>
                <w:sz w:val="20"/>
              </w:rPr>
              <w:t xml:space="preserve">Ind AS transition date </w:t>
            </w:r>
            <w:r w:rsidRPr="007F2781">
              <w:rPr>
                <w:rFonts w:ascii="Arial" w:hAnsi="Arial"/>
                <w:color w:val="auto"/>
                <w:sz w:val="20"/>
              </w:rPr>
              <w:t>1 April 201</w:t>
            </w:r>
            <w:r w:rsidR="00E20D32" w:rsidRPr="007F2781">
              <w:rPr>
                <w:rFonts w:ascii="Arial" w:hAnsi="Arial"/>
                <w:color w:val="auto"/>
                <w:sz w:val="20"/>
              </w:rPr>
              <w:t>5</w:t>
            </w:r>
            <w:r w:rsidRPr="007F2781">
              <w:rPr>
                <w:rFonts w:ascii="Arial" w:hAnsi="Arial"/>
                <w:color w:val="auto"/>
                <w:sz w:val="20"/>
              </w:rPr>
              <w:t xml:space="preserve"> and any fair value adjustments to the carrying amounts of assets and liabilities arising on the acquisition are treated as assets and liabilities of the foreign operation and translated at the spot rate of exchange at the reporting date.</w:t>
            </w:r>
          </w:p>
          <w:p w14:paraId="3532D2D1" w14:textId="77777777" w:rsidR="00C7078D" w:rsidRPr="007F2781" w:rsidRDefault="00C7078D" w:rsidP="001F5F48">
            <w:pPr>
              <w:pStyle w:val="Notesbodytext"/>
              <w:spacing w:after="0" w:line="280" w:lineRule="exact"/>
              <w:jc w:val="both"/>
              <w:rPr>
                <w:rFonts w:ascii="Arial" w:hAnsi="Arial"/>
                <w:color w:val="auto"/>
                <w:sz w:val="20"/>
              </w:rPr>
            </w:pPr>
          </w:p>
          <w:p w14:paraId="79CE61AE" w14:textId="0E380213" w:rsidR="00C7078D" w:rsidRDefault="00C7078D" w:rsidP="001F5F48">
            <w:pPr>
              <w:pStyle w:val="Notesbodytext"/>
              <w:spacing w:after="0" w:line="280" w:lineRule="exact"/>
              <w:jc w:val="both"/>
              <w:rPr>
                <w:rFonts w:ascii="Arial" w:hAnsi="Arial"/>
                <w:color w:val="auto"/>
                <w:sz w:val="20"/>
              </w:rPr>
            </w:pPr>
            <w:r w:rsidRPr="007F2781">
              <w:rPr>
                <w:rFonts w:ascii="Arial" w:hAnsi="Arial"/>
                <w:color w:val="auto"/>
                <w:sz w:val="20"/>
              </w:rPr>
              <w:t>Prior to 1 April 201</w:t>
            </w:r>
            <w:r w:rsidR="00E35E71" w:rsidRPr="007F2781">
              <w:rPr>
                <w:rFonts w:ascii="Arial" w:hAnsi="Arial"/>
                <w:color w:val="auto"/>
                <w:sz w:val="20"/>
              </w:rPr>
              <w:t>5</w:t>
            </w:r>
            <w:r w:rsidRPr="007F2781">
              <w:rPr>
                <w:rFonts w:ascii="Arial" w:hAnsi="Arial"/>
                <w:color w:val="auto"/>
                <w:sz w:val="20"/>
              </w:rPr>
              <w:t>, the date of transition to Ind AS, the Group treated goodwill and any fair value adjustments to the carrying amounts of assets and liabilities arising on the acquisition as assets and liabilities of the parent. Therefore, those assets and liabilities are non-monetary items already expressed in the functional currency of the parent and no further translation differences occur.</w:t>
            </w:r>
          </w:p>
          <w:p w14:paraId="15B45D75" w14:textId="43722114" w:rsidR="00EB268F" w:rsidRDefault="00EB268F" w:rsidP="001F5F48">
            <w:pPr>
              <w:pStyle w:val="Notesbodytext"/>
              <w:spacing w:after="0" w:line="280" w:lineRule="exact"/>
              <w:jc w:val="both"/>
              <w:rPr>
                <w:rFonts w:ascii="Arial" w:hAnsi="Arial"/>
                <w:color w:val="auto"/>
                <w:sz w:val="20"/>
              </w:rPr>
            </w:pPr>
          </w:p>
          <w:p w14:paraId="0C6BD25D" w14:textId="2046D28D" w:rsidR="00EB268F" w:rsidRPr="00E70587" w:rsidRDefault="00EB268F" w:rsidP="001F5F48">
            <w:pPr>
              <w:pStyle w:val="Notesbodytext"/>
              <w:spacing w:after="0" w:line="280" w:lineRule="exact"/>
              <w:jc w:val="both"/>
              <w:rPr>
                <w:rFonts w:ascii="Arial" w:hAnsi="Arial"/>
                <w:color w:val="auto"/>
                <w:sz w:val="20"/>
              </w:rPr>
            </w:pPr>
            <w:r w:rsidRPr="00EB268F">
              <w:rPr>
                <w:rFonts w:ascii="Arial" w:hAnsi="Arial"/>
                <w:color w:val="auto"/>
                <w:sz w:val="20"/>
              </w:rPr>
              <w:t>Gain or loss on a subsequent disposal of any foreign operation excludes translation differences that arose before the date of transition but includes only translation differences arising after the transition date.</w:t>
            </w:r>
          </w:p>
          <w:p w14:paraId="7D865488" w14:textId="77777777" w:rsidR="00C7078D" w:rsidRPr="00E70587" w:rsidRDefault="00C7078D" w:rsidP="00E35E71">
            <w:pPr>
              <w:pStyle w:val="Notesbodytext"/>
              <w:spacing w:after="0" w:line="280" w:lineRule="exact"/>
              <w:jc w:val="both"/>
              <w:rPr>
                <w:rFonts w:ascii="Arial" w:hAnsi="Arial"/>
                <w:color w:val="auto"/>
                <w:sz w:val="20"/>
              </w:rPr>
            </w:pPr>
          </w:p>
        </w:tc>
      </w:tr>
      <w:tr w:rsidR="00C7078D" w:rsidRPr="00E70587" w14:paraId="66549DEE" w14:textId="77777777" w:rsidTr="006939C8">
        <w:tc>
          <w:tcPr>
            <w:tcW w:w="9630" w:type="dxa"/>
          </w:tcPr>
          <w:p w14:paraId="4FE471E7" w14:textId="77777777" w:rsidR="00C7078D" w:rsidRPr="00E70587" w:rsidRDefault="00C7078D" w:rsidP="001F5F48">
            <w:pPr>
              <w:pStyle w:val="Heading4"/>
              <w:keepNext w:val="0"/>
              <w:numPr>
                <w:ilvl w:val="0"/>
                <w:numId w:val="4"/>
              </w:numPr>
              <w:tabs>
                <w:tab w:val="clear" w:pos="357"/>
              </w:tabs>
              <w:spacing w:before="0" w:after="0" w:line="280" w:lineRule="exact"/>
              <w:ind w:left="318" w:hanging="318"/>
              <w:jc w:val="both"/>
              <w:rPr>
                <w:rFonts w:ascii="Arial" w:hAnsi="Arial" w:cs="Arial"/>
                <w:szCs w:val="20"/>
              </w:rPr>
            </w:pPr>
            <w:r w:rsidRPr="00E70587">
              <w:rPr>
                <w:rFonts w:ascii="Arial" w:hAnsi="Arial" w:cs="Arial"/>
                <w:szCs w:val="20"/>
              </w:rPr>
              <w:lastRenderedPageBreak/>
              <w:t>Fair value measurement</w:t>
            </w:r>
          </w:p>
          <w:p w14:paraId="09F28C7A" w14:textId="77777777" w:rsidR="00C7078D" w:rsidRPr="00E70587" w:rsidRDefault="00C7078D" w:rsidP="001F5F48">
            <w:pPr>
              <w:pStyle w:val="Notesbodytext"/>
              <w:spacing w:after="0" w:line="280" w:lineRule="exact"/>
              <w:jc w:val="both"/>
              <w:rPr>
                <w:rFonts w:ascii="Arial" w:hAnsi="Arial"/>
                <w:color w:val="auto"/>
                <w:sz w:val="20"/>
              </w:rPr>
            </w:pPr>
          </w:p>
          <w:p w14:paraId="3903EAD4" w14:textId="77777777" w:rsidR="00C7078D" w:rsidRPr="00E70587" w:rsidRDefault="00C7078D" w:rsidP="001F5F48">
            <w:pPr>
              <w:pStyle w:val="Notesbodytext"/>
              <w:spacing w:after="0" w:line="280" w:lineRule="exact"/>
              <w:jc w:val="both"/>
              <w:rPr>
                <w:rFonts w:ascii="Arial" w:hAnsi="Arial"/>
                <w:color w:val="auto"/>
                <w:sz w:val="20"/>
              </w:rPr>
            </w:pPr>
            <w:r w:rsidRPr="00E70587">
              <w:rPr>
                <w:rFonts w:ascii="Arial" w:hAnsi="Arial"/>
                <w:color w:val="auto"/>
                <w:sz w:val="20"/>
              </w:rPr>
              <w:t>The Group measures financial instruments, such as, derivatives at fair value at each balance sheet date. Fair value is the price that would be received to sell an asset or paid to transfer a liability in an orderly transaction between market participants at the measurement date. The fair value measurement is based on the presumption that the transaction to sell the asset or transfer the liability takes place either:</w:t>
            </w:r>
          </w:p>
        </w:tc>
      </w:tr>
      <w:tr w:rsidR="00C7078D" w:rsidRPr="00E70587" w14:paraId="6DA19C5E" w14:textId="77777777" w:rsidTr="006939C8">
        <w:tc>
          <w:tcPr>
            <w:tcW w:w="9630" w:type="dxa"/>
          </w:tcPr>
          <w:p w14:paraId="573BA846" w14:textId="77777777" w:rsidR="00C7078D" w:rsidRPr="00E70587" w:rsidRDefault="00C7078D"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In the principal market for the asset or liability, or</w:t>
            </w:r>
          </w:p>
          <w:p w14:paraId="26B36617" w14:textId="77777777" w:rsidR="00C7078D" w:rsidRPr="00E70587" w:rsidRDefault="00C7078D"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In the absence of a principal market, in the most advantageous market for the asset or liability</w:t>
            </w:r>
          </w:p>
          <w:p w14:paraId="4B603FF8" w14:textId="77777777" w:rsidR="00C7078D" w:rsidRPr="00E70587" w:rsidRDefault="00C7078D" w:rsidP="001F5F48">
            <w:pPr>
              <w:pStyle w:val="Notesbodytext"/>
              <w:spacing w:after="0" w:line="280" w:lineRule="exact"/>
              <w:jc w:val="both"/>
              <w:rPr>
                <w:rFonts w:ascii="Arial" w:hAnsi="Arial"/>
                <w:color w:val="auto"/>
                <w:sz w:val="20"/>
              </w:rPr>
            </w:pPr>
          </w:p>
          <w:p w14:paraId="4682EF1A" w14:textId="77777777" w:rsidR="00C7078D" w:rsidRPr="00E70587" w:rsidRDefault="00C7078D" w:rsidP="001F5F48">
            <w:pPr>
              <w:pStyle w:val="Notesbodytext"/>
              <w:spacing w:after="0" w:line="280" w:lineRule="exact"/>
              <w:jc w:val="both"/>
              <w:rPr>
                <w:rFonts w:ascii="Arial" w:hAnsi="Arial"/>
                <w:color w:val="auto"/>
                <w:sz w:val="20"/>
              </w:rPr>
            </w:pPr>
            <w:r w:rsidRPr="00E70587">
              <w:rPr>
                <w:rFonts w:ascii="Arial" w:hAnsi="Arial"/>
                <w:color w:val="auto"/>
                <w:sz w:val="20"/>
              </w:rPr>
              <w:t>The principal or the most advantageous market must be accessible by the Group.</w:t>
            </w:r>
          </w:p>
          <w:p w14:paraId="281B8267" w14:textId="77777777" w:rsidR="00C7078D" w:rsidRPr="00E70587" w:rsidRDefault="00C7078D" w:rsidP="001F5F48">
            <w:pPr>
              <w:pStyle w:val="Notesbodytext"/>
              <w:spacing w:after="0" w:line="280" w:lineRule="exact"/>
              <w:jc w:val="both"/>
              <w:rPr>
                <w:rFonts w:ascii="Arial" w:hAnsi="Arial"/>
                <w:color w:val="auto"/>
                <w:sz w:val="20"/>
              </w:rPr>
            </w:pPr>
          </w:p>
          <w:p w14:paraId="4266679C" w14:textId="77777777" w:rsidR="00C7078D" w:rsidRPr="00E70587" w:rsidRDefault="00C7078D" w:rsidP="001F5F48">
            <w:pPr>
              <w:pStyle w:val="Notesbodytext"/>
              <w:spacing w:after="0" w:line="280" w:lineRule="exact"/>
              <w:jc w:val="both"/>
              <w:rPr>
                <w:rFonts w:ascii="Arial" w:hAnsi="Arial"/>
                <w:color w:val="auto"/>
                <w:sz w:val="20"/>
              </w:rPr>
            </w:pPr>
            <w:r w:rsidRPr="00E70587">
              <w:rPr>
                <w:rFonts w:ascii="Arial" w:hAnsi="Arial"/>
                <w:color w:val="auto"/>
                <w:sz w:val="20"/>
              </w:rPr>
              <w:t>The fair value of an asset or a liability is measured using the assumptions that market participants would use when pricing the asset or liability, assuming that market participants act in their economic best interest.</w:t>
            </w:r>
          </w:p>
        </w:tc>
      </w:tr>
      <w:tr w:rsidR="00C7078D" w:rsidRPr="00E70587" w14:paraId="4122EA96" w14:textId="77777777" w:rsidTr="006939C8">
        <w:tc>
          <w:tcPr>
            <w:tcW w:w="9630" w:type="dxa"/>
          </w:tcPr>
          <w:p w14:paraId="6BF8B409" w14:textId="77777777" w:rsidR="00C7078D" w:rsidRPr="00E70587" w:rsidRDefault="00C7078D" w:rsidP="001F5F48">
            <w:pPr>
              <w:pStyle w:val="Notesbodytext"/>
              <w:spacing w:after="0" w:line="280" w:lineRule="exact"/>
              <w:jc w:val="both"/>
              <w:rPr>
                <w:rFonts w:ascii="Arial" w:hAnsi="Arial"/>
                <w:color w:val="auto"/>
                <w:sz w:val="20"/>
              </w:rPr>
            </w:pPr>
          </w:p>
          <w:p w14:paraId="3F1FC112" w14:textId="77777777" w:rsidR="00C7078D" w:rsidRPr="00E70587" w:rsidRDefault="00C7078D" w:rsidP="001F5F48">
            <w:pPr>
              <w:pStyle w:val="Notesbodytext"/>
              <w:spacing w:after="0" w:line="280" w:lineRule="exact"/>
              <w:jc w:val="both"/>
              <w:rPr>
                <w:rFonts w:ascii="Arial" w:hAnsi="Arial"/>
                <w:color w:val="auto"/>
                <w:sz w:val="20"/>
              </w:rPr>
            </w:pPr>
            <w:r w:rsidRPr="00E70587">
              <w:rPr>
                <w:rFonts w:ascii="Arial" w:hAnsi="Arial"/>
                <w:color w:val="auto"/>
                <w:sz w:val="20"/>
              </w:rPr>
              <w:t>A fair value measurement of a non-financial asset takes into account a market participant’s ability to generate economic benefits by using the asset in its highest and best use or by selling it to another market participant that would use the asset in its highest and best use.</w:t>
            </w:r>
          </w:p>
          <w:p w14:paraId="403E967F" w14:textId="77777777" w:rsidR="00C7078D" w:rsidRPr="00E70587" w:rsidRDefault="00C7078D" w:rsidP="001F5F48">
            <w:pPr>
              <w:pStyle w:val="Notesbodytext"/>
              <w:spacing w:after="0" w:line="280" w:lineRule="exact"/>
              <w:jc w:val="both"/>
              <w:rPr>
                <w:rFonts w:ascii="Arial" w:hAnsi="Arial"/>
                <w:color w:val="auto"/>
                <w:sz w:val="20"/>
              </w:rPr>
            </w:pPr>
          </w:p>
          <w:p w14:paraId="3C206080" w14:textId="77777777" w:rsidR="00C7078D" w:rsidRPr="00E70587" w:rsidRDefault="00C7078D" w:rsidP="001F5F48">
            <w:pPr>
              <w:pStyle w:val="Notesbodytext"/>
              <w:spacing w:after="0" w:line="280" w:lineRule="exact"/>
              <w:jc w:val="both"/>
              <w:rPr>
                <w:rFonts w:ascii="Arial" w:hAnsi="Arial"/>
                <w:color w:val="auto"/>
                <w:sz w:val="20"/>
              </w:rPr>
            </w:pPr>
            <w:r w:rsidRPr="00E70587">
              <w:rPr>
                <w:rFonts w:ascii="Arial" w:hAnsi="Arial"/>
                <w:color w:val="auto"/>
                <w:sz w:val="20"/>
              </w:rPr>
              <w:t>The Group uses valuation techniques that are appropriate in the circumstances and for which sufficient data are available to measure fair value, maximising the use of relevant observable inputs and minimising the use of unobservable inputs.</w:t>
            </w:r>
          </w:p>
        </w:tc>
      </w:tr>
      <w:tr w:rsidR="00C7078D" w:rsidRPr="00E70587" w14:paraId="5DF03DA7" w14:textId="77777777" w:rsidTr="006939C8">
        <w:tc>
          <w:tcPr>
            <w:tcW w:w="9630" w:type="dxa"/>
          </w:tcPr>
          <w:p w14:paraId="738E5F65" w14:textId="77777777" w:rsidR="00C7078D" w:rsidRPr="00E70587" w:rsidRDefault="00C7078D" w:rsidP="001F5F48">
            <w:pPr>
              <w:pStyle w:val="Notesbodytext"/>
              <w:spacing w:after="0" w:line="280" w:lineRule="exact"/>
              <w:jc w:val="both"/>
              <w:rPr>
                <w:rFonts w:ascii="Arial" w:hAnsi="Arial"/>
                <w:color w:val="auto"/>
                <w:sz w:val="20"/>
              </w:rPr>
            </w:pPr>
          </w:p>
          <w:p w14:paraId="37EE9CE7" w14:textId="77777777" w:rsidR="00C7078D" w:rsidRPr="00E70587" w:rsidRDefault="00C7078D" w:rsidP="001F5F48">
            <w:pPr>
              <w:pStyle w:val="Notesbodytext"/>
              <w:spacing w:after="0" w:line="280" w:lineRule="exact"/>
              <w:jc w:val="both"/>
              <w:rPr>
                <w:rFonts w:ascii="Arial" w:hAnsi="Arial"/>
                <w:color w:val="auto"/>
                <w:sz w:val="20"/>
              </w:rPr>
            </w:pPr>
            <w:r w:rsidRPr="00E70587">
              <w:rPr>
                <w:rFonts w:ascii="Arial" w:hAnsi="Arial"/>
                <w:color w:val="auto"/>
                <w:sz w:val="20"/>
              </w:rPr>
              <w:t>All assets and liabilities for which fair value is measured or disclosed in the financial statements are categorised within the fair value hierarchy, described as follows, based on the lowest level input that is significant to the fair value measurement as a whole:</w:t>
            </w:r>
          </w:p>
          <w:p w14:paraId="58062375" w14:textId="77777777" w:rsidR="00C7078D" w:rsidRPr="00E70587" w:rsidRDefault="00C7078D"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 xml:space="preserve">Level 1 — Quoted (unadjusted) market prices in active markets for identical assets or liabilities </w:t>
            </w:r>
          </w:p>
          <w:p w14:paraId="7E8B1BAA" w14:textId="77777777" w:rsidR="00C7078D" w:rsidRPr="00E70587" w:rsidRDefault="00C7078D"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Level 2 — Valuation techniques for which the lowest level input that is significant to the fair value measurement is directly or indirectly observable</w:t>
            </w:r>
          </w:p>
          <w:p w14:paraId="39B132A2" w14:textId="77777777" w:rsidR="00C7078D" w:rsidRPr="00E70587" w:rsidRDefault="00C7078D"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lastRenderedPageBreak/>
              <w:t>Level 3 — Valuation techniques for which the lowest level input that is significant to the fair value measurement is unobservable</w:t>
            </w:r>
          </w:p>
        </w:tc>
      </w:tr>
      <w:tr w:rsidR="00C7078D" w:rsidRPr="00E70587" w14:paraId="4B779D26" w14:textId="77777777" w:rsidTr="006939C8">
        <w:tc>
          <w:tcPr>
            <w:tcW w:w="9630" w:type="dxa"/>
          </w:tcPr>
          <w:p w14:paraId="647A1079" w14:textId="77777777" w:rsidR="00C7078D" w:rsidRPr="00E70587" w:rsidRDefault="00C7078D" w:rsidP="001F5F48">
            <w:pPr>
              <w:pStyle w:val="Notesbodytext"/>
              <w:spacing w:after="0" w:line="280" w:lineRule="exact"/>
              <w:jc w:val="both"/>
              <w:rPr>
                <w:rFonts w:ascii="Arial" w:hAnsi="Arial"/>
                <w:color w:val="auto"/>
                <w:sz w:val="20"/>
              </w:rPr>
            </w:pPr>
          </w:p>
          <w:p w14:paraId="39D6E5DF" w14:textId="77777777" w:rsidR="00C7078D" w:rsidRPr="00E70587" w:rsidRDefault="00C7078D" w:rsidP="001F5F48">
            <w:pPr>
              <w:pStyle w:val="Notesbodytext"/>
              <w:spacing w:after="0" w:line="280" w:lineRule="exact"/>
              <w:jc w:val="both"/>
              <w:rPr>
                <w:rFonts w:ascii="Arial" w:hAnsi="Arial"/>
                <w:color w:val="auto"/>
                <w:sz w:val="20"/>
              </w:rPr>
            </w:pPr>
            <w:r w:rsidRPr="00E70587">
              <w:rPr>
                <w:rFonts w:ascii="Arial" w:hAnsi="Arial"/>
                <w:color w:val="auto"/>
                <w:sz w:val="20"/>
              </w:rPr>
              <w:t>For assets and liabilities that are recognised in the financial statements on a recurring basis, the Group determines whether transfers have occurred between levels in the hierarchy by re-assessing categorisation (based on the lowest level input that is significant to the fair value measurement as a whole) at the end of each reporting period.</w:t>
            </w:r>
          </w:p>
          <w:p w14:paraId="043D75C8" w14:textId="77777777" w:rsidR="00C7078D" w:rsidRPr="00E70587" w:rsidRDefault="00C7078D" w:rsidP="001F5F48">
            <w:pPr>
              <w:pStyle w:val="Notesbodytext"/>
              <w:spacing w:after="0" w:line="280" w:lineRule="exact"/>
              <w:jc w:val="both"/>
              <w:rPr>
                <w:rFonts w:ascii="Arial" w:hAnsi="Arial"/>
                <w:color w:val="auto"/>
                <w:sz w:val="20"/>
              </w:rPr>
            </w:pPr>
          </w:p>
          <w:p w14:paraId="44DC1DFF" w14:textId="441321A4" w:rsidR="00C7078D" w:rsidRPr="00E70587" w:rsidRDefault="00C7078D" w:rsidP="001F5F48">
            <w:pPr>
              <w:pStyle w:val="Notesbodytext"/>
              <w:spacing w:after="0" w:line="280" w:lineRule="exact"/>
              <w:jc w:val="both"/>
              <w:rPr>
                <w:rFonts w:ascii="Arial" w:hAnsi="Arial"/>
                <w:color w:val="auto"/>
                <w:sz w:val="20"/>
              </w:rPr>
            </w:pPr>
            <w:r w:rsidRPr="00E70587">
              <w:rPr>
                <w:rFonts w:ascii="Arial" w:hAnsi="Arial"/>
                <w:color w:val="auto"/>
                <w:sz w:val="20"/>
              </w:rPr>
              <w:t xml:space="preserve">The Group’s Valuation Committee determines the policies and procedures for both recurring fair value measurement, such as derivative instruments and unquoted financial assets measured at fair value, and for non-recurring measurement, such as assets held for </w:t>
            </w:r>
            <w:r w:rsidR="00CE5521">
              <w:rPr>
                <w:rFonts w:ascii="Arial" w:hAnsi="Arial"/>
                <w:color w:val="auto"/>
                <w:sz w:val="20"/>
              </w:rPr>
              <w:t>sale</w:t>
            </w:r>
            <w:r w:rsidR="00CE5521" w:rsidRPr="00E70587">
              <w:rPr>
                <w:rFonts w:ascii="Arial" w:hAnsi="Arial"/>
                <w:color w:val="auto"/>
                <w:sz w:val="20"/>
              </w:rPr>
              <w:t xml:space="preserve"> </w:t>
            </w:r>
            <w:r w:rsidRPr="00E70587">
              <w:rPr>
                <w:rFonts w:ascii="Arial" w:hAnsi="Arial"/>
                <w:color w:val="auto"/>
                <w:sz w:val="20"/>
              </w:rPr>
              <w:t>in discontinued operations. The Valuation Committee comprises of the head of the investment properties segment, heads of the Group’s internal mergers and acquisitions team, the head of the risk management department, financial controllers and chief finance officer.</w:t>
            </w:r>
          </w:p>
        </w:tc>
      </w:tr>
      <w:tr w:rsidR="00C7078D" w:rsidRPr="00E70587" w14:paraId="1893E4EC" w14:textId="77777777" w:rsidTr="006939C8">
        <w:tc>
          <w:tcPr>
            <w:tcW w:w="9630" w:type="dxa"/>
          </w:tcPr>
          <w:p w14:paraId="46D488A8" w14:textId="77777777" w:rsidR="00C7078D" w:rsidRPr="00E70587" w:rsidRDefault="00C7078D" w:rsidP="001F5F48">
            <w:pPr>
              <w:pStyle w:val="Notesbodytext"/>
              <w:spacing w:after="0" w:line="280" w:lineRule="exact"/>
              <w:jc w:val="both"/>
              <w:rPr>
                <w:rFonts w:ascii="Arial" w:hAnsi="Arial"/>
                <w:color w:val="auto"/>
                <w:sz w:val="20"/>
              </w:rPr>
            </w:pPr>
          </w:p>
          <w:p w14:paraId="628B644E" w14:textId="77777777" w:rsidR="00C7078D" w:rsidRPr="00E70587" w:rsidRDefault="00C7078D" w:rsidP="001F5F48">
            <w:pPr>
              <w:pStyle w:val="Notesbodytext"/>
              <w:spacing w:after="0" w:line="280" w:lineRule="exact"/>
              <w:jc w:val="both"/>
              <w:rPr>
                <w:rFonts w:ascii="Arial" w:hAnsi="Arial"/>
                <w:b/>
                <w:color w:val="auto"/>
                <w:sz w:val="20"/>
              </w:rPr>
            </w:pPr>
            <w:r w:rsidRPr="00E70587">
              <w:rPr>
                <w:rFonts w:ascii="Arial" w:hAnsi="Arial"/>
                <w:color w:val="auto"/>
                <w:sz w:val="20"/>
              </w:rPr>
              <w:t>External valuers are involved for valuation of significant assets, such as properties and unquoted financial assets, and significant liabilities, such as contingent consideration. Involvement of external valuers is decided upon annually by the Valuation Committee after discussion with and approval by the Company’s Audit Committee. Selection criteria include market knowledge, reputation, independence and whether professional standards are maintained. Valuers are normally rotated every three years. The Valuation Committee decides, after discussions with the Group’s external valuers, which valuation techniques and inputs to use for each case.</w:t>
            </w:r>
          </w:p>
        </w:tc>
      </w:tr>
      <w:tr w:rsidR="00C7078D" w:rsidRPr="00E70587" w14:paraId="3A8EECCE" w14:textId="77777777" w:rsidTr="006939C8">
        <w:tc>
          <w:tcPr>
            <w:tcW w:w="9630" w:type="dxa"/>
          </w:tcPr>
          <w:p w14:paraId="7CC1EA60" w14:textId="77777777" w:rsidR="00C7078D" w:rsidRPr="00E70587" w:rsidRDefault="00C7078D" w:rsidP="001F5F48">
            <w:pPr>
              <w:pStyle w:val="Notesbodytext"/>
              <w:spacing w:after="0" w:line="280" w:lineRule="exact"/>
              <w:jc w:val="both"/>
              <w:rPr>
                <w:rFonts w:ascii="Arial" w:hAnsi="Arial"/>
                <w:color w:val="auto"/>
                <w:sz w:val="20"/>
              </w:rPr>
            </w:pPr>
          </w:p>
          <w:p w14:paraId="3649715E" w14:textId="77777777" w:rsidR="00C7078D" w:rsidRPr="00E70587" w:rsidRDefault="00C7078D" w:rsidP="001F5F48">
            <w:pPr>
              <w:pStyle w:val="Notesbodytext"/>
              <w:spacing w:after="0" w:line="280" w:lineRule="exact"/>
              <w:jc w:val="both"/>
              <w:rPr>
                <w:rFonts w:ascii="Arial" w:hAnsi="Arial"/>
                <w:color w:val="auto"/>
                <w:sz w:val="20"/>
              </w:rPr>
            </w:pPr>
            <w:r w:rsidRPr="00E70587">
              <w:rPr>
                <w:rFonts w:ascii="Arial" w:hAnsi="Arial"/>
                <w:color w:val="auto"/>
                <w:sz w:val="20"/>
              </w:rPr>
              <w:t>At each reporting date, the Valuation Committee analyses the movements in the values of assets and liabilities which are required to be remeasured or re-assessed as per the Group’s accounting policies. For this analysis, the Valuation Committee verifies the major inputs applied in the latest valuation by agreeing the information in the valuation computation to contracts and other relevant documents.</w:t>
            </w:r>
          </w:p>
        </w:tc>
      </w:tr>
      <w:tr w:rsidR="00C7078D" w:rsidRPr="00E70587" w14:paraId="3544EC8C" w14:textId="77777777" w:rsidTr="006939C8">
        <w:tc>
          <w:tcPr>
            <w:tcW w:w="9630" w:type="dxa"/>
          </w:tcPr>
          <w:p w14:paraId="181F6385" w14:textId="77777777" w:rsidR="00C7078D" w:rsidRPr="00E70587" w:rsidRDefault="00C7078D" w:rsidP="001F5F48">
            <w:pPr>
              <w:pStyle w:val="Notesbodytext"/>
              <w:spacing w:after="0" w:line="280" w:lineRule="exact"/>
              <w:jc w:val="both"/>
              <w:rPr>
                <w:rFonts w:ascii="Arial" w:hAnsi="Arial"/>
                <w:color w:val="auto"/>
                <w:sz w:val="20"/>
              </w:rPr>
            </w:pPr>
          </w:p>
          <w:p w14:paraId="0739A024" w14:textId="77777777" w:rsidR="00C7078D" w:rsidRPr="00E70587" w:rsidRDefault="00C7078D" w:rsidP="001F5F48">
            <w:pPr>
              <w:pStyle w:val="Notesbodytext"/>
              <w:spacing w:after="0" w:line="280" w:lineRule="exact"/>
              <w:jc w:val="both"/>
              <w:rPr>
                <w:rFonts w:ascii="Arial" w:hAnsi="Arial"/>
                <w:color w:val="auto"/>
                <w:sz w:val="20"/>
              </w:rPr>
            </w:pPr>
            <w:r w:rsidRPr="00E70587">
              <w:rPr>
                <w:rFonts w:ascii="Arial" w:hAnsi="Arial"/>
                <w:color w:val="auto"/>
                <w:sz w:val="20"/>
              </w:rPr>
              <w:t>The Valuation Committee, in conjunction with the Group’s external valuers, also compares the change in the fair value of each asset and liability with relevant external sources to determine whether the change is reasonable.</w:t>
            </w:r>
          </w:p>
          <w:p w14:paraId="48C128BE" w14:textId="77777777" w:rsidR="00C7078D" w:rsidRPr="00E70587" w:rsidRDefault="00C7078D" w:rsidP="001F5F48">
            <w:pPr>
              <w:pStyle w:val="Notesbodytext"/>
              <w:spacing w:after="0" w:line="280" w:lineRule="exact"/>
              <w:jc w:val="both"/>
              <w:rPr>
                <w:rFonts w:ascii="Arial" w:hAnsi="Arial"/>
                <w:color w:val="auto"/>
                <w:sz w:val="20"/>
              </w:rPr>
            </w:pPr>
          </w:p>
        </w:tc>
      </w:tr>
      <w:tr w:rsidR="00C7078D" w:rsidRPr="00E70587" w14:paraId="760319C4" w14:textId="77777777" w:rsidTr="006939C8">
        <w:tc>
          <w:tcPr>
            <w:tcW w:w="9630" w:type="dxa"/>
          </w:tcPr>
          <w:p w14:paraId="30338370" w14:textId="77777777" w:rsidR="00C7078D" w:rsidRPr="00E70587" w:rsidRDefault="00C7078D" w:rsidP="001F5F48">
            <w:pPr>
              <w:spacing w:line="280" w:lineRule="exact"/>
              <w:jc w:val="both"/>
              <w:rPr>
                <w:rFonts w:ascii="Arial" w:hAnsi="Arial" w:cs="Arial"/>
                <w:sz w:val="20"/>
              </w:rPr>
            </w:pPr>
            <w:r w:rsidRPr="00E70587">
              <w:rPr>
                <w:rFonts w:ascii="Arial" w:hAnsi="Arial" w:cs="Arial"/>
                <w:sz w:val="20"/>
              </w:rPr>
              <w:t>On an interim basis, the Valuation Committee and the Group’s external valuers present the valuation results to the Audit Committee and the Group’s independent auditors. This includes a discussion of the major assumptions used in the valuations.</w:t>
            </w:r>
          </w:p>
          <w:p w14:paraId="43462B97" w14:textId="77777777" w:rsidR="00C7078D" w:rsidRPr="00E70587" w:rsidRDefault="00C7078D" w:rsidP="001F5F48">
            <w:pPr>
              <w:spacing w:line="280" w:lineRule="exact"/>
              <w:rPr>
                <w:rFonts w:ascii="Arial" w:hAnsi="Arial" w:cs="Arial"/>
                <w:sz w:val="20"/>
              </w:rPr>
            </w:pPr>
          </w:p>
        </w:tc>
      </w:tr>
      <w:tr w:rsidR="00C7078D" w:rsidRPr="00E70587" w14:paraId="227C0715" w14:textId="77777777" w:rsidTr="006939C8">
        <w:tc>
          <w:tcPr>
            <w:tcW w:w="9630" w:type="dxa"/>
          </w:tcPr>
          <w:p w14:paraId="70007334" w14:textId="77777777" w:rsidR="00C7078D" w:rsidRPr="00E70587" w:rsidRDefault="00C7078D" w:rsidP="001F5F48">
            <w:pPr>
              <w:spacing w:line="280" w:lineRule="exact"/>
              <w:jc w:val="both"/>
              <w:rPr>
                <w:rFonts w:ascii="Arial" w:hAnsi="Arial" w:cs="Arial"/>
                <w:sz w:val="20"/>
              </w:rPr>
            </w:pPr>
            <w:r w:rsidRPr="00E70587">
              <w:rPr>
                <w:rFonts w:ascii="Arial" w:hAnsi="Arial" w:cs="Arial"/>
                <w:sz w:val="20"/>
              </w:rPr>
              <w:t>For the purpose of fair value disclosures, the Group has determined classes of assets and liabilities on the basis of the nature, characteristics and risks of the asset or liability and the level of the fair value hierarchy as explained above.</w:t>
            </w:r>
          </w:p>
          <w:p w14:paraId="5C508D99" w14:textId="77777777" w:rsidR="00C7078D" w:rsidRPr="00E70587" w:rsidRDefault="00C7078D" w:rsidP="001F5F48">
            <w:pPr>
              <w:spacing w:line="280" w:lineRule="exact"/>
              <w:jc w:val="both"/>
              <w:rPr>
                <w:rFonts w:ascii="Arial" w:hAnsi="Arial" w:cs="Arial"/>
                <w:sz w:val="20"/>
              </w:rPr>
            </w:pPr>
          </w:p>
          <w:p w14:paraId="1954FC3A" w14:textId="77777777" w:rsidR="00C7078D" w:rsidRPr="00E70587" w:rsidRDefault="00C7078D" w:rsidP="001F5F48">
            <w:pPr>
              <w:spacing w:line="280" w:lineRule="exact"/>
              <w:jc w:val="both"/>
              <w:rPr>
                <w:rFonts w:ascii="Arial" w:hAnsi="Arial" w:cs="Arial"/>
                <w:sz w:val="20"/>
              </w:rPr>
            </w:pPr>
            <w:r w:rsidRPr="00E70587">
              <w:rPr>
                <w:rFonts w:ascii="Arial" w:hAnsi="Arial" w:cs="Arial"/>
                <w:sz w:val="20"/>
              </w:rPr>
              <w:t>This note summarises accounting policy for fair value. Other fair value related disclosures are given in the relevant notes.</w:t>
            </w:r>
          </w:p>
          <w:p w14:paraId="6C5D0825" w14:textId="360EEA83" w:rsidR="00C7078D" w:rsidRPr="00E70587" w:rsidRDefault="00C7078D"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Disclosures for valuation methods, significant estimates and assumptions</w:t>
            </w:r>
            <w:r w:rsidR="00316BDD" w:rsidRPr="00E70587">
              <w:rPr>
                <w:rFonts w:ascii="Arial" w:hAnsi="Arial"/>
                <w:color w:val="auto"/>
                <w:sz w:val="20"/>
              </w:rPr>
              <w:t xml:space="preserve"> (note 34, </w:t>
            </w:r>
            <w:r w:rsidR="00B2178F" w:rsidRPr="00E70587">
              <w:rPr>
                <w:rFonts w:ascii="Arial" w:hAnsi="Arial"/>
                <w:color w:val="auto"/>
                <w:sz w:val="20"/>
              </w:rPr>
              <w:t>4</w:t>
            </w:r>
            <w:r w:rsidR="00B2178F">
              <w:rPr>
                <w:rFonts w:ascii="Arial" w:hAnsi="Arial"/>
                <w:color w:val="auto"/>
                <w:sz w:val="20"/>
              </w:rPr>
              <w:t>7</w:t>
            </w:r>
            <w:r w:rsidR="00316BDD" w:rsidRPr="00E70587">
              <w:rPr>
                <w:rFonts w:ascii="Arial" w:hAnsi="Arial"/>
                <w:color w:val="auto"/>
                <w:sz w:val="20"/>
              </w:rPr>
              <w:t xml:space="preserve">, </w:t>
            </w:r>
            <w:r w:rsidR="00B2178F" w:rsidRPr="00E70587">
              <w:rPr>
                <w:rFonts w:ascii="Arial" w:hAnsi="Arial"/>
                <w:color w:val="auto"/>
                <w:sz w:val="20"/>
              </w:rPr>
              <w:t>4</w:t>
            </w:r>
            <w:r w:rsidR="00B2178F">
              <w:rPr>
                <w:rFonts w:ascii="Arial" w:hAnsi="Arial"/>
                <w:color w:val="auto"/>
                <w:sz w:val="20"/>
              </w:rPr>
              <w:t>9</w:t>
            </w:r>
            <w:r w:rsidR="00316BDD" w:rsidRPr="00E70587">
              <w:rPr>
                <w:rFonts w:ascii="Arial" w:hAnsi="Arial"/>
                <w:color w:val="auto"/>
                <w:sz w:val="20"/>
              </w:rPr>
              <w:t>)</w:t>
            </w:r>
          </w:p>
          <w:p w14:paraId="480E73CB" w14:textId="77777777" w:rsidR="00C7078D" w:rsidRPr="00E70587" w:rsidRDefault="00C7078D"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Contingent consideration</w:t>
            </w:r>
            <w:r w:rsidR="00316BDD" w:rsidRPr="00E70587">
              <w:rPr>
                <w:rFonts w:ascii="Arial" w:hAnsi="Arial"/>
                <w:color w:val="auto"/>
                <w:sz w:val="20"/>
              </w:rPr>
              <w:t xml:space="preserve"> (note 36)</w:t>
            </w:r>
          </w:p>
          <w:p w14:paraId="6D7D126D" w14:textId="75476DB1" w:rsidR="00C7078D" w:rsidRPr="00E70587" w:rsidRDefault="00C7078D"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Quantitative disclosures of fair value measurement hierarchy</w:t>
            </w:r>
            <w:r w:rsidR="00316BDD" w:rsidRPr="00E70587">
              <w:rPr>
                <w:rFonts w:ascii="Arial" w:hAnsi="Arial"/>
                <w:color w:val="auto"/>
                <w:sz w:val="20"/>
              </w:rPr>
              <w:t xml:space="preserve"> (note </w:t>
            </w:r>
            <w:r w:rsidR="00B2178F" w:rsidRPr="00E70587">
              <w:rPr>
                <w:rFonts w:ascii="Arial" w:hAnsi="Arial"/>
                <w:color w:val="auto"/>
                <w:sz w:val="20"/>
              </w:rPr>
              <w:t>4</w:t>
            </w:r>
            <w:r w:rsidR="00B2178F">
              <w:rPr>
                <w:rFonts w:ascii="Arial" w:hAnsi="Arial"/>
                <w:color w:val="auto"/>
                <w:sz w:val="20"/>
              </w:rPr>
              <w:t>8</w:t>
            </w:r>
            <w:r w:rsidR="00316BDD" w:rsidRPr="00E70587">
              <w:rPr>
                <w:rFonts w:ascii="Arial" w:hAnsi="Arial"/>
                <w:color w:val="auto"/>
                <w:sz w:val="20"/>
              </w:rPr>
              <w:t>)</w:t>
            </w:r>
          </w:p>
          <w:p w14:paraId="7238DE13" w14:textId="77777777" w:rsidR="00C7078D" w:rsidRPr="00E70587" w:rsidRDefault="00C7078D"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Investment in unquoted equity shares (discontinued operations)</w:t>
            </w:r>
            <w:r w:rsidR="00316BDD" w:rsidRPr="00E70587">
              <w:rPr>
                <w:rFonts w:ascii="Arial" w:hAnsi="Arial"/>
                <w:color w:val="auto"/>
                <w:sz w:val="20"/>
              </w:rPr>
              <w:t xml:space="preserve"> (note 21)</w:t>
            </w:r>
          </w:p>
          <w:p w14:paraId="0AAC701F" w14:textId="77777777" w:rsidR="00C7078D" w:rsidRPr="00E70587" w:rsidRDefault="00C7078D"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Property, plant and equipment under revaluation model</w:t>
            </w:r>
            <w:r w:rsidR="00316BDD" w:rsidRPr="00E70587">
              <w:rPr>
                <w:rFonts w:ascii="Arial" w:hAnsi="Arial"/>
                <w:color w:val="auto"/>
                <w:sz w:val="20"/>
              </w:rPr>
              <w:t xml:space="preserve"> (note 3)</w:t>
            </w:r>
          </w:p>
          <w:p w14:paraId="14561A6C" w14:textId="77777777" w:rsidR="00C7078D" w:rsidRPr="00E70587" w:rsidRDefault="00C7078D"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Investment properties</w:t>
            </w:r>
            <w:r w:rsidR="00316BDD" w:rsidRPr="00E70587">
              <w:rPr>
                <w:rFonts w:ascii="Arial" w:hAnsi="Arial"/>
                <w:color w:val="auto"/>
                <w:sz w:val="20"/>
              </w:rPr>
              <w:t xml:space="preserve"> (note 4)</w:t>
            </w:r>
          </w:p>
          <w:p w14:paraId="46406DD0" w14:textId="67F84C29" w:rsidR="00C7078D" w:rsidRPr="00E70587" w:rsidRDefault="00C7078D" w:rsidP="00F5312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lastRenderedPageBreak/>
              <w:t>Financial instruments (including those carried at amortised cost)</w:t>
            </w:r>
            <w:r w:rsidR="00316BDD" w:rsidRPr="00E70587">
              <w:rPr>
                <w:rFonts w:ascii="Arial" w:hAnsi="Arial"/>
                <w:color w:val="auto"/>
                <w:sz w:val="20"/>
              </w:rPr>
              <w:t xml:space="preserve"> (note 7, 14, 15, 20, </w:t>
            </w:r>
            <w:r w:rsidR="00B2178F" w:rsidRPr="00E70587">
              <w:rPr>
                <w:rFonts w:ascii="Arial" w:hAnsi="Arial"/>
                <w:color w:val="auto"/>
                <w:sz w:val="20"/>
              </w:rPr>
              <w:t>4</w:t>
            </w:r>
            <w:r w:rsidR="00B2178F">
              <w:rPr>
                <w:rFonts w:ascii="Arial" w:hAnsi="Arial"/>
                <w:color w:val="auto"/>
                <w:sz w:val="20"/>
              </w:rPr>
              <w:t>6</w:t>
            </w:r>
            <w:r w:rsidR="00316BDD" w:rsidRPr="00E70587">
              <w:rPr>
                <w:rFonts w:ascii="Arial" w:hAnsi="Arial"/>
                <w:color w:val="auto"/>
                <w:sz w:val="20"/>
              </w:rPr>
              <w:t xml:space="preserve">, </w:t>
            </w:r>
            <w:r w:rsidR="00B2178F" w:rsidRPr="00E70587">
              <w:rPr>
                <w:rFonts w:ascii="Arial" w:hAnsi="Arial"/>
                <w:color w:val="auto"/>
                <w:sz w:val="20"/>
              </w:rPr>
              <w:t>4</w:t>
            </w:r>
            <w:r w:rsidR="00B2178F">
              <w:rPr>
                <w:rFonts w:ascii="Arial" w:hAnsi="Arial"/>
                <w:color w:val="auto"/>
                <w:sz w:val="20"/>
              </w:rPr>
              <w:t>7</w:t>
            </w:r>
            <w:r w:rsidR="00316BDD" w:rsidRPr="00E70587">
              <w:rPr>
                <w:rFonts w:ascii="Arial" w:hAnsi="Arial"/>
                <w:color w:val="auto"/>
                <w:sz w:val="20"/>
              </w:rPr>
              <w:t xml:space="preserve">, </w:t>
            </w:r>
            <w:r w:rsidR="00B2178F" w:rsidRPr="00E70587">
              <w:rPr>
                <w:rFonts w:ascii="Arial" w:hAnsi="Arial"/>
                <w:color w:val="auto"/>
                <w:sz w:val="20"/>
              </w:rPr>
              <w:t>4</w:t>
            </w:r>
            <w:r w:rsidR="00B2178F">
              <w:rPr>
                <w:rFonts w:ascii="Arial" w:hAnsi="Arial"/>
                <w:color w:val="auto"/>
                <w:sz w:val="20"/>
              </w:rPr>
              <w:t>8</w:t>
            </w:r>
            <w:r w:rsidR="00316BDD" w:rsidRPr="00E70587">
              <w:rPr>
                <w:rFonts w:ascii="Arial" w:hAnsi="Arial"/>
                <w:color w:val="auto"/>
                <w:sz w:val="20"/>
              </w:rPr>
              <w:t xml:space="preserve">, </w:t>
            </w:r>
            <w:r w:rsidR="00B2178F" w:rsidRPr="00E70587">
              <w:rPr>
                <w:rFonts w:ascii="Arial" w:hAnsi="Arial"/>
                <w:color w:val="auto"/>
                <w:sz w:val="20"/>
              </w:rPr>
              <w:t>4</w:t>
            </w:r>
            <w:r w:rsidR="00B2178F">
              <w:rPr>
                <w:rFonts w:ascii="Arial" w:hAnsi="Arial"/>
                <w:color w:val="auto"/>
                <w:sz w:val="20"/>
              </w:rPr>
              <w:t>9</w:t>
            </w:r>
            <w:r w:rsidR="00316BDD" w:rsidRPr="00E70587">
              <w:rPr>
                <w:rFonts w:ascii="Arial" w:hAnsi="Arial"/>
                <w:color w:val="auto"/>
                <w:sz w:val="20"/>
              </w:rPr>
              <w:t>)</w:t>
            </w:r>
          </w:p>
          <w:p w14:paraId="0CCFFF26" w14:textId="16FB68AD" w:rsidR="00826B1F" w:rsidRPr="00E70587" w:rsidRDefault="00826B1F" w:rsidP="001F5F48">
            <w:pPr>
              <w:spacing w:line="280" w:lineRule="exact"/>
              <w:jc w:val="both"/>
              <w:rPr>
                <w:rFonts w:ascii="Arial" w:hAnsi="Arial" w:cs="Arial"/>
                <w:sz w:val="20"/>
              </w:rPr>
            </w:pPr>
          </w:p>
        </w:tc>
      </w:tr>
      <w:tr w:rsidR="00826B1F" w:rsidRPr="00E70587" w14:paraId="6F02FD70" w14:textId="77777777" w:rsidTr="0038417D">
        <w:tc>
          <w:tcPr>
            <w:tcW w:w="9630" w:type="dxa"/>
            <w:shd w:val="clear" w:color="auto" w:fill="C1C1C1" w:themeFill="background2" w:themeFillTint="66"/>
          </w:tcPr>
          <w:p w14:paraId="401B60AC" w14:textId="77777777" w:rsidR="00826B1F" w:rsidRPr="0038417D" w:rsidRDefault="00826B1F" w:rsidP="00096420">
            <w:pPr>
              <w:spacing w:before="120"/>
              <w:rPr>
                <w:rFonts w:ascii="Arial" w:hAnsi="Arial" w:cs="Arial"/>
                <w:b/>
                <w:sz w:val="20"/>
              </w:rPr>
            </w:pPr>
            <w:r w:rsidRPr="0038417D">
              <w:rPr>
                <w:rFonts w:ascii="Arial" w:hAnsi="Arial" w:cs="Arial"/>
                <w:b/>
                <w:sz w:val="20"/>
              </w:rPr>
              <w:lastRenderedPageBreak/>
              <w:t xml:space="preserve">Authors’ note </w:t>
            </w:r>
          </w:p>
          <w:p w14:paraId="341399E0" w14:textId="0D4FA128" w:rsidR="00826B1F" w:rsidRPr="00E70587" w:rsidRDefault="00826B1F" w:rsidP="00826B1F">
            <w:pPr>
              <w:pStyle w:val="Body0"/>
              <w:rPr>
                <w:rFonts w:ascii="Arial" w:hAnsi="Arial"/>
                <w:color w:val="auto"/>
                <w:sz w:val="20"/>
              </w:rPr>
            </w:pPr>
            <w:r w:rsidRPr="0038417D">
              <w:rPr>
                <w:rFonts w:ascii="Arial" w:hAnsi="Arial"/>
                <w:color w:val="auto"/>
                <w:sz w:val="20"/>
              </w:rPr>
              <w:t>The Group has not elected to apply the portfolio exception under Ind AS 113.48. If an entity makes an accounting policy decision to use the exception, this fact is required to be disclosed, as per Ind AS 113.96.</w:t>
            </w:r>
            <w:r w:rsidRPr="00826B1F">
              <w:rPr>
                <w:rFonts w:ascii="Arial" w:hAnsi="Arial"/>
                <w:color w:val="auto"/>
                <w:sz w:val="20"/>
              </w:rPr>
              <w:t xml:space="preserve"> </w:t>
            </w:r>
          </w:p>
        </w:tc>
      </w:tr>
      <w:tr w:rsidR="00E17643" w:rsidRPr="00E70587" w14:paraId="2E8E2FFC" w14:textId="77777777" w:rsidTr="006939C8">
        <w:tc>
          <w:tcPr>
            <w:tcW w:w="9630" w:type="dxa"/>
          </w:tcPr>
          <w:p w14:paraId="78326360" w14:textId="77777777" w:rsidR="00826B1F" w:rsidRDefault="00826B1F" w:rsidP="00826B1F">
            <w:pPr>
              <w:pStyle w:val="Heading4"/>
              <w:keepNext w:val="0"/>
              <w:adjustRightInd/>
              <w:spacing w:before="0" w:after="0" w:line="280" w:lineRule="exact"/>
              <w:jc w:val="both"/>
              <w:textAlignment w:val="auto"/>
              <w:rPr>
                <w:rFonts w:ascii="Arial" w:hAnsi="Arial" w:cs="Arial"/>
                <w:szCs w:val="20"/>
              </w:rPr>
            </w:pPr>
          </w:p>
          <w:p w14:paraId="0B2885E7" w14:textId="233D9308" w:rsidR="00E93553" w:rsidRDefault="00E93553" w:rsidP="00BB14E5">
            <w:pPr>
              <w:pStyle w:val="Heading4"/>
              <w:keepNext w:val="0"/>
              <w:numPr>
                <w:ilvl w:val="0"/>
                <w:numId w:val="4"/>
              </w:numPr>
              <w:adjustRightInd/>
              <w:spacing w:before="0" w:after="0" w:line="280" w:lineRule="exact"/>
              <w:jc w:val="both"/>
              <w:textAlignment w:val="auto"/>
              <w:rPr>
                <w:rFonts w:ascii="Arial" w:hAnsi="Arial" w:cs="Arial"/>
                <w:szCs w:val="20"/>
              </w:rPr>
            </w:pPr>
            <w:r w:rsidRPr="00E70587">
              <w:rPr>
                <w:rFonts w:ascii="Arial" w:hAnsi="Arial" w:cs="Arial"/>
                <w:szCs w:val="20"/>
              </w:rPr>
              <w:t xml:space="preserve">Revenue </w:t>
            </w:r>
            <w:r w:rsidR="00C844E2">
              <w:rPr>
                <w:rFonts w:ascii="Arial" w:hAnsi="Arial" w:cs="Arial"/>
                <w:szCs w:val="20"/>
              </w:rPr>
              <w:t>from contracts with customers</w:t>
            </w:r>
          </w:p>
          <w:p w14:paraId="2CA59728" w14:textId="77777777" w:rsidR="00422EB3" w:rsidRPr="00422EB3" w:rsidRDefault="00422EB3" w:rsidP="00422EB3"/>
          <w:p w14:paraId="67A4A1C3" w14:textId="77777777" w:rsidR="00422EB3" w:rsidRDefault="00422EB3" w:rsidP="00422EB3">
            <w:pPr>
              <w:pStyle w:val="Notesbodytext"/>
              <w:spacing w:after="0" w:line="280" w:lineRule="exact"/>
              <w:jc w:val="both"/>
              <w:rPr>
                <w:rFonts w:ascii="Arial" w:hAnsi="Arial"/>
                <w:color w:val="auto"/>
                <w:sz w:val="20"/>
              </w:rPr>
            </w:pPr>
            <w:r w:rsidRPr="00422EB3">
              <w:rPr>
                <w:rFonts w:ascii="Arial" w:hAnsi="Arial"/>
                <w:color w:val="auto"/>
                <w:sz w:val="20"/>
              </w:rPr>
              <w:t xml:space="preserve">The Group is in the business of providing fire prevention and electronics equipment and installation services. Revenue from contracts with customers is recognised when control of the goods or services are transferred to the customer at an amount that reflects the consideration to which the Group expects to be entitled in exchange for those goods or services. The Group has generally concluded that it is the principal in its revenue arrangements, except for the agency services below, because it typically controls the goods or services before transferring them to the customer. </w:t>
            </w:r>
          </w:p>
          <w:p w14:paraId="31DE9394" w14:textId="77777777" w:rsidR="00422EB3" w:rsidRDefault="00422EB3" w:rsidP="00422EB3">
            <w:pPr>
              <w:pStyle w:val="Notesbodytext"/>
              <w:spacing w:after="0" w:line="280" w:lineRule="exact"/>
              <w:jc w:val="both"/>
              <w:rPr>
                <w:rFonts w:ascii="Arial" w:hAnsi="Arial"/>
                <w:color w:val="auto"/>
                <w:sz w:val="20"/>
              </w:rPr>
            </w:pPr>
          </w:p>
          <w:p w14:paraId="42D05128" w14:textId="77777777" w:rsidR="00422EB3" w:rsidRPr="00422EB3" w:rsidRDefault="00422EB3" w:rsidP="00422EB3">
            <w:pPr>
              <w:pStyle w:val="Notesbodytext"/>
              <w:spacing w:after="0" w:line="280" w:lineRule="exact"/>
              <w:jc w:val="both"/>
              <w:rPr>
                <w:rFonts w:ascii="Arial" w:hAnsi="Arial"/>
                <w:color w:val="auto"/>
                <w:sz w:val="20"/>
              </w:rPr>
            </w:pPr>
            <w:r w:rsidRPr="00422EB3">
              <w:rPr>
                <w:rFonts w:ascii="Arial" w:hAnsi="Arial"/>
                <w:color w:val="auto"/>
                <w:sz w:val="20"/>
              </w:rPr>
              <w:t>The disclosures of significant accounting judgements, estimates and assumptions relating to revenue from contracts with customers are provided in Note 34.</w:t>
            </w:r>
          </w:p>
          <w:p w14:paraId="4CC654CE" w14:textId="77777777" w:rsidR="00422EB3" w:rsidRPr="00422EB3" w:rsidRDefault="00422EB3" w:rsidP="00422EB3">
            <w:pPr>
              <w:pStyle w:val="Notesbodytext"/>
              <w:spacing w:after="0" w:line="280" w:lineRule="exact"/>
              <w:jc w:val="both"/>
              <w:rPr>
                <w:rFonts w:ascii="Arial" w:hAnsi="Arial"/>
                <w:color w:val="auto"/>
                <w:sz w:val="20"/>
              </w:rPr>
            </w:pPr>
          </w:p>
          <w:p w14:paraId="6FB0448A" w14:textId="77777777" w:rsidR="00422EB3" w:rsidRPr="00422EB3" w:rsidRDefault="00422EB3" w:rsidP="00422EB3">
            <w:pPr>
              <w:pStyle w:val="Notesbodytext"/>
              <w:spacing w:after="0" w:line="280" w:lineRule="exact"/>
              <w:jc w:val="both"/>
              <w:rPr>
                <w:rFonts w:ascii="Arial" w:hAnsi="Arial"/>
                <w:b/>
                <w:color w:val="auto"/>
                <w:sz w:val="20"/>
              </w:rPr>
            </w:pPr>
            <w:r w:rsidRPr="00422EB3">
              <w:rPr>
                <w:rFonts w:ascii="Arial" w:hAnsi="Arial"/>
                <w:b/>
                <w:color w:val="auto"/>
                <w:sz w:val="20"/>
              </w:rPr>
              <w:t>Sale of equipment</w:t>
            </w:r>
          </w:p>
          <w:p w14:paraId="58425CF0" w14:textId="77777777" w:rsidR="00422EB3" w:rsidRPr="00422EB3" w:rsidRDefault="00422EB3" w:rsidP="00422EB3">
            <w:pPr>
              <w:pStyle w:val="Notesbodytext"/>
              <w:spacing w:after="0" w:line="280" w:lineRule="exact"/>
              <w:jc w:val="both"/>
              <w:rPr>
                <w:rFonts w:ascii="Arial" w:hAnsi="Arial"/>
                <w:color w:val="auto"/>
                <w:sz w:val="20"/>
              </w:rPr>
            </w:pPr>
            <w:r w:rsidRPr="00422EB3">
              <w:rPr>
                <w:rFonts w:ascii="Arial" w:hAnsi="Arial"/>
                <w:color w:val="auto"/>
                <w:sz w:val="20"/>
              </w:rPr>
              <w:t>Revenue from sale of equipment is recognised at the point in time when control of the asset is transferred to the customer, generally on delivery of the equipment. The normal credit term is 30 to 90 days upon delivery.</w:t>
            </w:r>
          </w:p>
          <w:p w14:paraId="04F4584E" w14:textId="77777777" w:rsidR="00422EB3" w:rsidRDefault="00422EB3" w:rsidP="00422EB3">
            <w:pPr>
              <w:pStyle w:val="Notesbodytext"/>
              <w:spacing w:after="0" w:line="280" w:lineRule="exact"/>
              <w:jc w:val="both"/>
              <w:rPr>
                <w:rFonts w:ascii="Arial" w:hAnsi="Arial"/>
                <w:color w:val="auto"/>
                <w:sz w:val="20"/>
              </w:rPr>
            </w:pPr>
            <w:r w:rsidRPr="00422EB3">
              <w:rPr>
                <w:rFonts w:ascii="Arial" w:hAnsi="Arial"/>
                <w:color w:val="auto"/>
                <w:sz w:val="20"/>
              </w:rPr>
              <w:t>The Group considers whether there are other promises in the contract that are separate performance obligations to which a portion of the transaction price needs to be allocated (e.g., warranties, customer loyalty points). In determining the transaction price for the sale of equipment, the Group considers the effects of variable consideration, the existence of significant financing components, noncash consideration, and consideration payable to the customer (if any).</w:t>
            </w:r>
          </w:p>
          <w:p w14:paraId="2CEC5824" w14:textId="77777777" w:rsidR="00422EB3" w:rsidRPr="00422EB3" w:rsidRDefault="00422EB3" w:rsidP="00422EB3">
            <w:pPr>
              <w:pStyle w:val="Notesbodytext"/>
              <w:spacing w:after="0" w:line="280" w:lineRule="exact"/>
              <w:jc w:val="both"/>
              <w:rPr>
                <w:rFonts w:ascii="Arial" w:hAnsi="Arial"/>
                <w:color w:val="auto"/>
                <w:sz w:val="20"/>
              </w:rPr>
            </w:pPr>
          </w:p>
          <w:p w14:paraId="01FE3293" w14:textId="77777777" w:rsidR="00422EB3" w:rsidRPr="00422EB3" w:rsidRDefault="00422EB3" w:rsidP="00422EB3">
            <w:pPr>
              <w:pStyle w:val="Notesbodytext"/>
              <w:spacing w:after="0" w:line="280" w:lineRule="exact"/>
              <w:jc w:val="both"/>
              <w:rPr>
                <w:rFonts w:ascii="Arial" w:hAnsi="Arial"/>
                <w:b/>
                <w:color w:val="auto"/>
                <w:sz w:val="20"/>
              </w:rPr>
            </w:pPr>
            <w:r w:rsidRPr="00422EB3">
              <w:rPr>
                <w:rFonts w:ascii="Arial" w:hAnsi="Arial"/>
                <w:b/>
                <w:color w:val="auto"/>
                <w:sz w:val="20"/>
              </w:rPr>
              <w:t xml:space="preserve"> (</w:t>
            </w:r>
            <w:proofErr w:type="spellStart"/>
            <w:r w:rsidRPr="00422EB3">
              <w:rPr>
                <w:rFonts w:ascii="Arial" w:hAnsi="Arial"/>
                <w:b/>
                <w:color w:val="auto"/>
                <w:sz w:val="20"/>
              </w:rPr>
              <w:t>i</w:t>
            </w:r>
            <w:proofErr w:type="spellEnd"/>
            <w:r w:rsidRPr="00422EB3">
              <w:rPr>
                <w:rFonts w:ascii="Arial" w:hAnsi="Arial"/>
                <w:b/>
                <w:color w:val="auto"/>
                <w:sz w:val="20"/>
              </w:rPr>
              <w:t>) Variable consideration</w:t>
            </w:r>
          </w:p>
          <w:p w14:paraId="0FE6EE8C" w14:textId="77777777" w:rsidR="00422EB3" w:rsidRDefault="00422EB3" w:rsidP="00422EB3">
            <w:pPr>
              <w:pStyle w:val="Notesbodytext"/>
              <w:spacing w:after="0" w:line="280" w:lineRule="exact"/>
              <w:jc w:val="both"/>
              <w:rPr>
                <w:rFonts w:ascii="Arial" w:hAnsi="Arial"/>
                <w:color w:val="auto"/>
                <w:sz w:val="20"/>
              </w:rPr>
            </w:pPr>
            <w:r w:rsidRPr="00422EB3">
              <w:rPr>
                <w:rFonts w:ascii="Arial" w:hAnsi="Arial"/>
                <w:color w:val="auto"/>
                <w:sz w:val="20"/>
              </w:rPr>
              <w:t>If the consideration in a contract includes a variable amount, the Group estimates the amount of consideration to which it will be entitled in exchange for transferring the goods to the customer. The variable consideration is estimated at contract inception and constrained until it is highly probable that a significant revenue reversal in the amount of cumulative revenue recognised will not occur when the associated uncertainty with the variable consideration is subsequently resolved. Some contracts for the sale of electronics equipment provide customers with a right of return and volume rebates. The rights of return and volume rebates give rise to variable consideration.</w:t>
            </w:r>
          </w:p>
          <w:p w14:paraId="295A2CBB" w14:textId="77777777" w:rsidR="00422EB3" w:rsidRPr="00422EB3" w:rsidRDefault="00422EB3" w:rsidP="00422EB3">
            <w:pPr>
              <w:pStyle w:val="Notesbodytext"/>
              <w:spacing w:after="0" w:line="280" w:lineRule="exact"/>
              <w:jc w:val="both"/>
              <w:rPr>
                <w:rFonts w:ascii="Arial" w:hAnsi="Arial"/>
                <w:color w:val="auto"/>
                <w:sz w:val="20"/>
              </w:rPr>
            </w:pPr>
          </w:p>
          <w:p w14:paraId="0372D170" w14:textId="77777777" w:rsidR="00422EB3" w:rsidRPr="00422EB3" w:rsidRDefault="00422EB3" w:rsidP="00422EB3">
            <w:pPr>
              <w:pStyle w:val="Notesbodytext"/>
              <w:spacing w:after="0" w:line="280" w:lineRule="exact"/>
              <w:jc w:val="both"/>
              <w:rPr>
                <w:rFonts w:ascii="Arial" w:hAnsi="Arial"/>
                <w:b/>
                <w:color w:val="auto"/>
                <w:sz w:val="20"/>
              </w:rPr>
            </w:pPr>
            <w:r w:rsidRPr="00422EB3">
              <w:rPr>
                <w:rFonts w:ascii="Arial" w:hAnsi="Arial"/>
                <w:b/>
                <w:color w:val="auto"/>
                <w:sz w:val="20"/>
              </w:rPr>
              <w:t>• Rights of return</w:t>
            </w:r>
          </w:p>
          <w:p w14:paraId="66D95E72" w14:textId="77777777" w:rsidR="00422EB3" w:rsidRDefault="00422EB3" w:rsidP="00422EB3">
            <w:pPr>
              <w:pStyle w:val="Notesbodytext"/>
              <w:spacing w:after="0" w:line="280" w:lineRule="exact"/>
              <w:jc w:val="both"/>
              <w:rPr>
                <w:rFonts w:ascii="Arial" w:hAnsi="Arial"/>
                <w:color w:val="auto"/>
                <w:sz w:val="20"/>
              </w:rPr>
            </w:pPr>
            <w:r w:rsidRPr="00422EB3">
              <w:rPr>
                <w:rFonts w:ascii="Arial" w:hAnsi="Arial"/>
                <w:color w:val="auto"/>
                <w:sz w:val="20"/>
              </w:rPr>
              <w:t xml:space="preserve">Certain contracts provide a customer with a right to return the goods within a specified period. The Group uses the expected value method to estimate the goods that will not be returned because this method best predicts the amount of variable consideration to which the Group will be entitled. The requirements in </w:t>
            </w:r>
            <w:r w:rsidR="00B85471">
              <w:rPr>
                <w:rFonts w:ascii="Arial" w:hAnsi="Arial"/>
                <w:color w:val="auto"/>
                <w:sz w:val="20"/>
              </w:rPr>
              <w:t>Ind AS</w:t>
            </w:r>
            <w:r w:rsidRPr="00422EB3">
              <w:rPr>
                <w:rFonts w:ascii="Arial" w:hAnsi="Arial"/>
                <w:color w:val="auto"/>
                <w:sz w:val="20"/>
              </w:rPr>
              <w:t xml:space="preserve"> </w:t>
            </w:r>
            <w:r w:rsidR="00B85471">
              <w:rPr>
                <w:rFonts w:ascii="Arial" w:hAnsi="Arial"/>
                <w:color w:val="auto"/>
                <w:sz w:val="20"/>
              </w:rPr>
              <w:t>1</w:t>
            </w:r>
            <w:r w:rsidRPr="00422EB3">
              <w:rPr>
                <w:rFonts w:ascii="Arial" w:hAnsi="Arial"/>
                <w:color w:val="auto"/>
                <w:sz w:val="20"/>
              </w:rPr>
              <w:t>15 on constraining estimates of variable consideration are also applied in order to determine the amount of variable consideration that can be included in the transaction price. For goods that are expected to be returned, instead of revenue, the Group recognises a refund liability. A right of return asset (and corresponding adjustment to cost of sales) is also recognised for the right to recover products from a customer.</w:t>
            </w:r>
          </w:p>
          <w:p w14:paraId="3C09346C" w14:textId="77777777" w:rsidR="00422EB3" w:rsidRPr="00422EB3" w:rsidRDefault="00422EB3" w:rsidP="00422EB3">
            <w:pPr>
              <w:pStyle w:val="Notesbodytext"/>
              <w:spacing w:after="0" w:line="280" w:lineRule="exact"/>
              <w:jc w:val="both"/>
              <w:rPr>
                <w:rFonts w:ascii="Arial" w:hAnsi="Arial"/>
                <w:color w:val="auto"/>
                <w:sz w:val="20"/>
              </w:rPr>
            </w:pPr>
          </w:p>
          <w:p w14:paraId="482CFA7C" w14:textId="77777777" w:rsidR="00422EB3" w:rsidRPr="00422EB3" w:rsidRDefault="00422EB3" w:rsidP="00422EB3">
            <w:pPr>
              <w:pStyle w:val="Notesbodytext"/>
              <w:spacing w:after="0" w:line="280" w:lineRule="exact"/>
              <w:jc w:val="both"/>
              <w:rPr>
                <w:rFonts w:ascii="Arial" w:hAnsi="Arial"/>
                <w:b/>
                <w:color w:val="auto"/>
                <w:sz w:val="20"/>
              </w:rPr>
            </w:pPr>
            <w:r w:rsidRPr="00422EB3">
              <w:rPr>
                <w:rFonts w:ascii="Arial" w:hAnsi="Arial"/>
                <w:b/>
                <w:color w:val="auto"/>
                <w:sz w:val="20"/>
              </w:rPr>
              <w:t>• Volume rebates</w:t>
            </w:r>
          </w:p>
          <w:p w14:paraId="00924C6E" w14:textId="77777777" w:rsidR="00422EB3" w:rsidRDefault="00422EB3" w:rsidP="00422EB3">
            <w:pPr>
              <w:pStyle w:val="Notesbodytext"/>
              <w:spacing w:after="0" w:line="280" w:lineRule="exact"/>
              <w:jc w:val="both"/>
              <w:rPr>
                <w:rFonts w:ascii="Arial" w:hAnsi="Arial"/>
                <w:color w:val="auto"/>
                <w:sz w:val="20"/>
              </w:rPr>
            </w:pPr>
            <w:r w:rsidRPr="00422EB3">
              <w:rPr>
                <w:rFonts w:ascii="Arial" w:hAnsi="Arial"/>
                <w:color w:val="auto"/>
                <w:sz w:val="20"/>
              </w:rPr>
              <w:t xml:space="preserve">The Group provides retrospective volume rebates to certain customers once the quantity of products purchased during the period exceeds a threshold specified in the contract. Rebates are offset against amounts payable by the customer. To estimate the variable consideration for the expected future rebates, </w:t>
            </w:r>
            <w:r w:rsidRPr="00422EB3">
              <w:rPr>
                <w:rFonts w:ascii="Arial" w:hAnsi="Arial"/>
                <w:color w:val="auto"/>
                <w:sz w:val="20"/>
              </w:rPr>
              <w:lastRenderedPageBreak/>
              <w:t xml:space="preserve">the Group applies the most likely amount method for contracts with a single-volume threshold and the expected value method for contracts with more than one volume threshold. The selected method that best predicts the amount of variable consideration is primarily driven by the number of volume thresholds contained in the contract. The Group then applies the requirements on constraining estimates of variable consideration and recognises a refund liability for the expected future rebates. </w:t>
            </w:r>
          </w:p>
          <w:p w14:paraId="078AC239" w14:textId="02C31993" w:rsidR="00422EB3" w:rsidRDefault="00422EB3" w:rsidP="00422EB3">
            <w:pPr>
              <w:pStyle w:val="Notesbodytext"/>
              <w:spacing w:after="0" w:line="280" w:lineRule="exact"/>
              <w:jc w:val="both"/>
              <w:rPr>
                <w:rFonts w:ascii="Arial" w:hAnsi="Arial"/>
                <w:color w:val="auto"/>
                <w:sz w:val="20"/>
              </w:rPr>
            </w:pPr>
          </w:p>
          <w:p w14:paraId="6875E661" w14:textId="47C81F76" w:rsidR="004C7539" w:rsidRDefault="004C7539" w:rsidP="004C7539">
            <w:pPr>
              <w:shd w:val="clear" w:color="auto" w:fill="A2A2A2" w:themeFill="background1" w:themeFillTint="99"/>
              <w:spacing w:before="120"/>
              <w:rPr>
                <w:rFonts w:ascii="Arial" w:hAnsi="Arial" w:cs="Arial"/>
                <w:b/>
                <w:sz w:val="20"/>
              </w:rPr>
            </w:pPr>
            <w:r w:rsidRPr="004568C6">
              <w:rPr>
                <w:rFonts w:ascii="Arial" w:hAnsi="Arial" w:cs="Arial"/>
                <w:b/>
                <w:sz w:val="20"/>
              </w:rPr>
              <w:t>Authors’ note</w:t>
            </w:r>
          </w:p>
          <w:p w14:paraId="636BCEED" w14:textId="77777777" w:rsidR="0038417D" w:rsidRPr="004568C6" w:rsidRDefault="0038417D" w:rsidP="004C7539">
            <w:pPr>
              <w:shd w:val="clear" w:color="auto" w:fill="A2A2A2" w:themeFill="background1" w:themeFillTint="99"/>
              <w:spacing w:before="120"/>
              <w:rPr>
                <w:rFonts w:ascii="Arial" w:hAnsi="Arial" w:cs="Arial"/>
                <w:b/>
                <w:sz w:val="20"/>
              </w:rPr>
            </w:pPr>
          </w:p>
          <w:p w14:paraId="0F0DFFFE" w14:textId="72705363" w:rsidR="004C7539" w:rsidRPr="004C7539" w:rsidRDefault="004C7539" w:rsidP="004C7539">
            <w:pPr>
              <w:pStyle w:val="Notesbodytext"/>
              <w:shd w:val="clear" w:color="auto" w:fill="A2A2A2" w:themeFill="background1" w:themeFillTint="99"/>
              <w:spacing w:line="280" w:lineRule="exact"/>
              <w:jc w:val="both"/>
              <w:rPr>
                <w:rFonts w:ascii="Arial" w:hAnsi="Arial"/>
                <w:color w:val="auto"/>
                <w:sz w:val="20"/>
              </w:rPr>
            </w:pPr>
            <w:r w:rsidRPr="004C7539">
              <w:rPr>
                <w:rFonts w:ascii="Arial" w:hAnsi="Arial"/>
                <w:color w:val="auto"/>
                <w:sz w:val="20"/>
              </w:rPr>
              <w:t xml:space="preserve">The Group recognised refund liabilities for the goods expected to be returned and the expected volume rebates. While the most common form of refund liabilities may be related to sales with a right of return, the refund liability requirements also apply if an entity expects to have to provide retrospective price reductions to a customer. </w:t>
            </w:r>
          </w:p>
          <w:p w14:paraId="27226A59" w14:textId="77777777" w:rsidR="004C7539" w:rsidRPr="004C7539" w:rsidRDefault="004C7539" w:rsidP="004C7539">
            <w:pPr>
              <w:pStyle w:val="Notesbodytext"/>
              <w:shd w:val="clear" w:color="auto" w:fill="A2A2A2" w:themeFill="background1" w:themeFillTint="99"/>
              <w:spacing w:line="280" w:lineRule="exact"/>
              <w:jc w:val="both"/>
              <w:rPr>
                <w:rFonts w:ascii="Arial" w:hAnsi="Arial"/>
                <w:color w:val="auto"/>
                <w:sz w:val="20"/>
              </w:rPr>
            </w:pPr>
            <w:r w:rsidRPr="004C7539">
              <w:rPr>
                <w:rFonts w:ascii="Arial" w:hAnsi="Arial"/>
                <w:color w:val="auto"/>
                <w:sz w:val="20"/>
              </w:rPr>
              <w:t xml:space="preserve">Entities must assess whether volume rebates are to be accounted for as variable consideration or as customer options to acquire additional goods or services at a discount. Generally, if a volume rebate is applied prospectively, the rebate would be accounted for as a customer option. Entities will need to evaluate whether the volume rebate or discount provides the customer with an option to purchase goods or services in the future at a discount that represents a material right (and is, therefore, accounted for as a performance obligation). However, a volume rebate that is applied retrospectively is accounted for as variable consideration, because the final price of each good or service sold depends upon the customer’s total purchases that are subject to the rebate programme. </w:t>
            </w:r>
          </w:p>
          <w:p w14:paraId="07BC1765" w14:textId="5E9F86A6" w:rsidR="001A01AA" w:rsidRDefault="004C7539" w:rsidP="004C7539">
            <w:pPr>
              <w:pStyle w:val="Notesbodytext"/>
              <w:shd w:val="clear" w:color="auto" w:fill="A2A2A2" w:themeFill="background1" w:themeFillTint="99"/>
              <w:spacing w:after="0" w:line="280" w:lineRule="exact"/>
              <w:jc w:val="both"/>
              <w:rPr>
                <w:rFonts w:ascii="Arial" w:hAnsi="Arial"/>
                <w:color w:val="auto"/>
                <w:sz w:val="20"/>
              </w:rPr>
            </w:pPr>
            <w:r w:rsidRPr="004C7539">
              <w:rPr>
                <w:rFonts w:ascii="Arial" w:hAnsi="Arial"/>
                <w:color w:val="auto"/>
                <w:sz w:val="20"/>
              </w:rPr>
              <w:t xml:space="preserve">Entities need to determine whether a refund liability should be characterised as a contract liability based on the specific facts and circumstances of the arrangement. A refund liability will not typically meet the definition of a contract liability. When an entity does </w:t>
            </w:r>
            <w:r w:rsidR="00C77AE9" w:rsidRPr="004C7539">
              <w:rPr>
                <w:rFonts w:ascii="Arial" w:hAnsi="Arial"/>
                <w:color w:val="auto"/>
                <w:sz w:val="20"/>
              </w:rPr>
              <w:t>conclude</w:t>
            </w:r>
            <w:r w:rsidRPr="004C7539">
              <w:rPr>
                <w:rFonts w:ascii="Arial" w:hAnsi="Arial"/>
                <w:color w:val="auto"/>
                <w:sz w:val="20"/>
              </w:rPr>
              <w:t xml:space="preserve"> that a refund liability is not a contract liability, it would present the refund liability separate from any contract liability (or asset) and it would not be subject to the disclosure requirements in Ind AS 115.116-118. The Group has determined that its refund liabilities are not contract liabilities.</w:t>
            </w:r>
          </w:p>
          <w:p w14:paraId="2F90B377" w14:textId="77777777" w:rsidR="001A01AA" w:rsidRPr="00422EB3" w:rsidRDefault="001A01AA" w:rsidP="00422EB3">
            <w:pPr>
              <w:pStyle w:val="Notesbodytext"/>
              <w:spacing w:after="0" w:line="280" w:lineRule="exact"/>
              <w:jc w:val="both"/>
              <w:rPr>
                <w:rFonts w:ascii="Arial" w:hAnsi="Arial"/>
                <w:color w:val="auto"/>
                <w:sz w:val="20"/>
              </w:rPr>
            </w:pPr>
          </w:p>
          <w:p w14:paraId="7149C944" w14:textId="1F4C6FE0" w:rsidR="00422EB3" w:rsidRPr="00422EB3" w:rsidRDefault="00422EB3" w:rsidP="00422EB3">
            <w:pPr>
              <w:pStyle w:val="Notesbodytext"/>
              <w:spacing w:line="280" w:lineRule="exact"/>
              <w:jc w:val="both"/>
              <w:rPr>
                <w:rFonts w:ascii="Arial" w:hAnsi="Arial"/>
                <w:b/>
                <w:color w:val="auto"/>
                <w:sz w:val="20"/>
              </w:rPr>
            </w:pPr>
            <w:r w:rsidRPr="00422EB3">
              <w:rPr>
                <w:rFonts w:ascii="Arial" w:hAnsi="Arial"/>
                <w:b/>
                <w:color w:val="auto"/>
                <w:sz w:val="20"/>
              </w:rPr>
              <w:t>(ii) Significant financing component</w:t>
            </w:r>
          </w:p>
          <w:p w14:paraId="36BB22C3" w14:textId="1C7A2EE6" w:rsidR="00422EB3" w:rsidRPr="00422EB3" w:rsidRDefault="00422EB3" w:rsidP="00422EB3">
            <w:pPr>
              <w:pStyle w:val="Notesbodytext"/>
              <w:spacing w:after="0" w:line="280" w:lineRule="exact"/>
              <w:jc w:val="both"/>
              <w:rPr>
                <w:rFonts w:ascii="Arial" w:hAnsi="Arial"/>
                <w:color w:val="auto"/>
                <w:sz w:val="20"/>
              </w:rPr>
            </w:pPr>
            <w:r w:rsidRPr="00422EB3">
              <w:rPr>
                <w:rFonts w:ascii="Arial" w:hAnsi="Arial"/>
                <w:color w:val="auto"/>
                <w:sz w:val="20"/>
              </w:rPr>
              <w:t xml:space="preserve">Generally, the Group receives short-term advances from its customers. Using the practical expedient in </w:t>
            </w:r>
            <w:r w:rsidR="00B85471">
              <w:rPr>
                <w:rFonts w:ascii="Arial" w:hAnsi="Arial"/>
                <w:color w:val="auto"/>
                <w:sz w:val="20"/>
              </w:rPr>
              <w:t>Ind AS</w:t>
            </w:r>
            <w:r w:rsidRPr="00422EB3">
              <w:rPr>
                <w:rFonts w:ascii="Arial" w:hAnsi="Arial"/>
                <w:color w:val="auto"/>
                <w:sz w:val="20"/>
              </w:rPr>
              <w:t xml:space="preserve"> </w:t>
            </w:r>
            <w:r w:rsidR="00B85471">
              <w:rPr>
                <w:rFonts w:ascii="Arial" w:hAnsi="Arial"/>
                <w:color w:val="auto"/>
                <w:sz w:val="20"/>
              </w:rPr>
              <w:t>1</w:t>
            </w:r>
            <w:r w:rsidRPr="00422EB3">
              <w:rPr>
                <w:rFonts w:ascii="Arial" w:hAnsi="Arial"/>
                <w:color w:val="auto"/>
                <w:sz w:val="20"/>
              </w:rPr>
              <w:t>15, the Group does not adjust the promised amount of consideration for the effects of a significant financing component if it expects, at contract inception, that the period between the transfer of the promised good or service to the customer and when the customer pays for that good or service will be one year or less.</w:t>
            </w:r>
          </w:p>
          <w:p w14:paraId="44316809" w14:textId="1665FB7C" w:rsidR="00C844E2" w:rsidRDefault="00C844E2" w:rsidP="00422EB3">
            <w:pPr>
              <w:pStyle w:val="Notesbodytext"/>
              <w:spacing w:after="0" w:line="280" w:lineRule="exact"/>
              <w:jc w:val="both"/>
              <w:rPr>
                <w:rFonts w:ascii="Arial" w:hAnsi="Arial"/>
                <w:color w:val="auto"/>
                <w:sz w:val="20"/>
              </w:rPr>
            </w:pPr>
          </w:p>
          <w:p w14:paraId="3670E8E7" w14:textId="2A14DEAD" w:rsidR="00422EB3" w:rsidRPr="00422EB3" w:rsidRDefault="00422EB3" w:rsidP="00422EB3">
            <w:pPr>
              <w:pStyle w:val="Notesbodytext"/>
              <w:spacing w:after="0" w:line="280" w:lineRule="exact"/>
              <w:jc w:val="both"/>
              <w:rPr>
                <w:rFonts w:ascii="Arial" w:hAnsi="Arial"/>
                <w:color w:val="auto"/>
                <w:sz w:val="20"/>
              </w:rPr>
            </w:pPr>
            <w:r w:rsidRPr="00422EB3">
              <w:rPr>
                <w:rFonts w:ascii="Arial" w:hAnsi="Arial"/>
                <w:color w:val="auto"/>
                <w:sz w:val="20"/>
              </w:rPr>
              <w:t>The Group also receives long-term advances from customers for the sale of customised fire prevention equipment. The transaction price for such contracts is discounted, using the rate that would be reflected in a separate financing transaction between the Group and its customers at contract inception, to take into consideration the significant financing component.</w:t>
            </w:r>
          </w:p>
          <w:p w14:paraId="24A3B246" w14:textId="7DAF5994" w:rsidR="006939C8" w:rsidRPr="00E70587" w:rsidRDefault="006939C8" w:rsidP="00BB14E5">
            <w:pPr>
              <w:pStyle w:val="BodyText1"/>
              <w:spacing w:after="0" w:line="280" w:lineRule="exact"/>
              <w:jc w:val="both"/>
              <w:rPr>
                <w:rFonts w:ascii="Arial" w:hAnsi="Arial"/>
                <w:sz w:val="20"/>
              </w:rPr>
            </w:pPr>
          </w:p>
          <w:p w14:paraId="36FADE6E" w14:textId="36FB5905" w:rsidR="00422EB3" w:rsidRPr="00422EB3" w:rsidRDefault="00422EB3" w:rsidP="00422EB3">
            <w:pPr>
              <w:pStyle w:val="Notesbodytext"/>
              <w:spacing w:line="280" w:lineRule="exact"/>
              <w:jc w:val="both"/>
              <w:rPr>
                <w:rFonts w:ascii="Arial" w:eastAsiaTheme="minorHAnsi" w:hAnsi="Arial"/>
                <w:b/>
                <w:bCs/>
                <w:sz w:val="20"/>
              </w:rPr>
            </w:pPr>
            <w:r w:rsidRPr="00422EB3">
              <w:rPr>
                <w:rFonts w:ascii="Arial" w:eastAsiaTheme="minorHAnsi" w:hAnsi="Arial"/>
                <w:b/>
                <w:bCs/>
                <w:sz w:val="20"/>
              </w:rPr>
              <w:t>(iii) Non-cash consideration</w:t>
            </w:r>
          </w:p>
          <w:p w14:paraId="5133E1E0" w14:textId="01A47F02" w:rsidR="00422EB3" w:rsidRPr="00422EB3" w:rsidRDefault="00422EB3" w:rsidP="00422EB3">
            <w:pPr>
              <w:pStyle w:val="Notesbodytext"/>
              <w:spacing w:line="280" w:lineRule="exact"/>
              <w:jc w:val="both"/>
              <w:rPr>
                <w:rFonts w:ascii="Arial" w:eastAsiaTheme="minorHAnsi" w:hAnsi="Arial"/>
                <w:bCs/>
                <w:sz w:val="20"/>
              </w:rPr>
            </w:pPr>
            <w:r w:rsidRPr="00422EB3">
              <w:rPr>
                <w:rFonts w:ascii="Arial" w:eastAsiaTheme="minorHAnsi" w:hAnsi="Arial"/>
                <w:bCs/>
                <w:sz w:val="20"/>
              </w:rPr>
              <w:t>The Group received moulds and other tools from certain customers to be used in manufacturing fire prevention equipment to be sold to them. The fair value of such non-cash consideration received from the customer is included in the transaction price and measured when the Group obtains control of the equipment.</w:t>
            </w:r>
          </w:p>
          <w:p w14:paraId="4E6D25E4" w14:textId="054B8A1B" w:rsidR="00422EB3" w:rsidRDefault="00422EB3" w:rsidP="00422EB3">
            <w:pPr>
              <w:pStyle w:val="BodyText1"/>
              <w:spacing w:after="0" w:line="280" w:lineRule="exact"/>
              <w:jc w:val="both"/>
              <w:rPr>
                <w:rFonts w:ascii="Arial" w:eastAsiaTheme="minorHAnsi" w:hAnsi="Arial"/>
                <w:bCs/>
                <w:sz w:val="20"/>
              </w:rPr>
            </w:pPr>
            <w:r w:rsidRPr="00422EB3">
              <w:rPr>
                <w:rFonts w:ascii="Arial" w:eastAsiaTheme="minorHAnsi" w:hAnsi="Arial"/>
                <w:bCs/>
                <w:sz w:val="20"/>
              </w:rPr>
              <w:t xml:space="preserve">The Group applies the requirements of </w:t>
            </w:r>
            <w:r w:rsidR="006954B7">
              <w:rPr>
                <w:rFonts w:ascii="Arial" w:eastAsiaTheme="minorHAnsi" w:hAnsi="Arial"/>
                <w:bCs/>
                <w:sz w:val="20"/>
              </w:rPr>
              <w:t>Ind AS</w:t>
            </w:r>
            <w:r w:rsidRPr="00422EB3">
              <w:rPr>
                <w:rFonts w:ascii="Arial" w:eastAsiaTheme="minorHAnsi" w:hAnsi="Arial"/>
                <w:bCs/>
                <w:sz w:val="20"/>
              </w:rPr>
              <w:t xml:space="preserve"> </w:t>
            </w:r>
            <w:r w:rsidR="006954B7">
              <w:rPr>
                <w:rFonts w:ascii="Arial" w:eastAsiaTheme="minorHAnsi" w:hAnsi="Arial"/>
                <w:bCs/>
                <w:sz w:val="20"/>
              </w:rPr>
              <w:t>1</w:t>
            </w:r>
            <w:r w:rsidRPr="00422EB3">
              <w:rPr>
                <w:rFonts w:ascii="Arial" w:eastAsiaTheme="minorHAnsi" w:hAnsi="Arial"/>
                <w:bCs/>
                <w:sz w:val="20"/>
              </w:rPr>
              <w:t>13 Fair Value Measurement in measuring the fair value of the non-cash consideration. If the fair value cannot be reasonably estimated, the non-cash consideration is measured indirectly by reference to the stand-alone selling price of the fire prevention equipment.</w:t>
            </w:r>
          </w:p>
          <w:p w14:paraId="3DFDE974" w14:textId="50F1D118" w:rsidR="00C77AE9" w:rsidRDefault="00C77AE9" w:rsidP="00422EB3">
            <w:pPr>
              <w:pStyle w:val="BodyText1"/>
              <w:spacing w:after="0" w:line="280" w:lineRule="exact"/>
              <w:jc w:val="both"/>
              <w:rPr>
                <w:rFonts w:ascii="Arial" w:eastAsiaTheme="minorHAnsi" w:hAnsi="Arial"/>
                <w:bCs/>
                <w:sz w:val="20"/>
              </w:rPr>
            </w:pPr>
          </w:p>
          <w:p w14:paraId="67EF6A45" w14:textId="71EEB38E" w:rsidR="00C77AE9" w:rsidRPr="00357C67" w:rsidRDefault="00C77AE9" w:rsidP="00C77AE9">
            <w:pPr>
              <w:pStyle w:val="BodyText1"/>
              <w:shd w:val="clear" w:color="auto" w:fill="C1C1C1" w:themeFill="background2" w:themeFillTint="66"/>
              <w:spacing w:after="0" w:line="280" w:lineRule="exact"/>
              <w:jc w:val="both"/>
              <w:rPr>
                <w:rFonts w:ascii="Arial" w:eastAsiaTheme="minorHAnsi" w:hAnsi="Arial"/>
                <w:b/>
                <w:sz w:val="20"/>
              </w:rPr>
            </w:pPr>
            <w:r w:rsidRPr="00357C67">
              <w:rPr>
                <w:rFonts w:ascii="Arial" w:eastAsiaTheme="minorHAnsi" w:hAnsi="Arial"/>
                <w:b/>
                <w:sz w:val="20"/>
              </w:rPr>
              <w:t>Author’s Note</w:t>
            </w:r>
          </w:p>
          <w:p w14:paraId="13AD6526" w14:textId="77777777" w:rsidR="00C77AE9" w:rsidRDefault="00C77AE9" w:rsidP="00C77AE9">
            <w:pPr>
              <w:pStyle w:val="BodyText1"/>
              <w:shd w:val="clear" w:color="auto" w:fill="C1C1C1" w:themeFill="background2" w:themeFillTint="66"/>
              <w:spacing w:after="0" w:line="280" w:lineRule="exact"/>
              <w:jc w:val="both"/>
              <w:rPr>
                <w:rFonts w:ascii="Arial" w:eastAsiaTheme="minorHAnsi" w:hAnsi="Arial"/>
                <w:bCs/>
                <w:sz w:val="20"/>
              </w:rPr>
            </w:pPr>
          </w:p>
          <w:p w14:paraId="00E79CB9" w14:textId="77777777" w:rsidR="00C77AE9" w:rsidRPr="00C77AE9" w:rsidRDefault="00C77AE9" w:rsidP="00C77AE9">
            <w:pPr>
              <w:pStyle w:val="BodyText1"/>
              <w:shd w:val="clear" w:color="auto" w:fill="C1C1C1" w:themeFill="background2" w:themeFillTint="66"/>
              <w:spacing w:line="280" w:lineRule="exact"/>
              <w:jc w:val="both"/>
              <w:rPr>
                <w:rFonts w:ascii="Arial" w:eastAsiaTheme="minorHAnsi" w:hAnsi="Arial"/>
                <w:bCs/>
                <w:sz w:val="20"/>
              </w:rPr>
            </w:pPr>
            <w:r w:rsidRPr="00C77AE9">
              <w:rPr>
                <w:rFonts w:ascii="Arial" w:eastAsiaTheme="minorHAnsi" w:hAnsi="Arial"/>
                <w:bCs/>
                <w:sz w:val="20"/>
              </w:rPr>
              <w:t xml:space="preserve">Ind AS 115.48 requires that an entity considers the effects of all of the following in determining the transaction price: </w:t>
            </w:r>
          </w:p>
          <w:p w14:paraId="50742891" w14:textId="77777777" w:rsidR="00C77AE9" w:rsidRPr="00C77AE9" w:rsidRDefault="00C77AE9" w:rsidP="00C77AE9">
            <w:pPr>
              <w:pStyle w:val="BodyText1"/>
              <w:shd w:val="clear" w:color="auto" w:fill="C1C1C1" w:themeFill="background2" w:themeFillTint="66"/>
              <w:spacing w:line="280" w:lineRule="exact"/>
              <w:jc w:val="both"/>
              <w:rPr>
                <w:rFonts w:ascii="Arial" w:eastAsiaTheme="minorHAnsi" w:hAnsi="Arial"/>
                <w:bCs/>
                <w:sz w:val="20"/>
              </w:rPr>
            </w:pPr>
            <w:r w:rsidRPr="00C77AE9">
              <w:rPr>
                <w:rFonts w:ascii="Arial" w:eastAsiaTheme="minorHAnsi" w:hAnsi="Arial"/>
                <w:bCs/>
                <w:sz w:val="20"/>
              </w:rPr>
              <w:t xml:space="preserve">• Variable consideration </w:t>
            </w:r>
          </w:p>
          <w:p w14:paraId="134527D5" w14:textId="77777777" w:rsidR="00C77AE9" w:rsidRPr="00C77AE9" w:rsidRDefault="00C77AE9" w:rsidP="00C77AE9">
            <w:pPr>
              <w:pStyle w:val="BodyText1"/>
              <w:shd w:val="clear" w:color="auto" w:fill="C1C1C1" w:themeFill="background2" w:themeFillTint="66"/>
              <w:spacing w:line="280" w:lineRule="exact"/>
              <w:jc w:val="both"/>
              <w:rPr>
                <w:rFonts w:ascii="Arial" w:eastAsiaTheme="minorHAnsi" w:hAnsi="Arial"/>
                <w:bCs/>
                <w:sz w:val="20"/>
              </w:rPr>
            </w:pPr>
            <w:r w:rsidRPr="00C77AE9">
              <w:rPr>
                <w:rFonts w:ascii="Arial" w:eastAsiaTheme="minorHAnsi" w:hAnsi="Arial"/>
                <w:bCs/>
                <w:sz w:val="20"/>
              </w:rPr>
              <w:t xml:space="preserve">• Constraining estimates of variable consideration </w:t>
            </w:r>
          </w:p>
          <w:p w14:paraId="5F15DD8F" w14:textId="77777777" w:rsidR="00C77AE9" w:rsidRPr="00C77AE9" w:rsidRDefault="00C77AE9" w:rsidP="00C77AE9">
            <w:pPr>
              <w:pStyle w:val="BodyText1"/>
              <w:shd w:val="clear" w:color="auto" w:fill="C1C1C1" w:themeFill="background2" w:themeFillTint="66"/>
              <w:spacing w:line="280" w:lineRule="exact"/>
              <w:jc w:val="both"/>
              <w:rPr>
                <w:rFonts w:ascii="Arial" w:eastAsiaTheme="minorHAnsi" w:hAnsi="Arial"/>
                <w:bCs/>
                <w:sz w:val="20"/>
              </w:rPr>
            </w:pPr>
            <w:r w:rsidRPr="00C77AE9">
              <w:rPr>
                <w:rFonts w:ascii="Arial" w:eastAsiaTheme="minorHAnsi" w:hAnsi="Arial"/>
                <w:bCs/>
                <w:sz w:val="20"/>
              </w:rPr>
              <w:t xml:space="preserve">• The existence of a significant financing component in the contract </w:t>
            </w:r>
          </w:p>
          <w:p w14:paraId="64E1A637" w14:textId="77777777" w:rsidR="00C77AE9" w:rsidRPr="00C77AE9" w:rsidRDefault="00C77AE9" w:rsidP="00C77AE9">
            <w:pPr>
              <w:pStyle w:val="BodyText1"/>
              <w:shd w:val="clear" w:color="auto" w:fill="C1C1C1" w:themeFill="background2" w:themeFillTint="66"/>
              <w:spacing w:line="280" w:lineRule="exact"/>
              <w:jc w:val="both"/>
              <w:rPr>
                <w:rFonts w:ascii="Arial" w:eastAsiaTheme="minorHAnsi" w:hAnsi="Arial"/>
                <w:bCs/>
                <w:sz w:val="20"/>
              </w:rPr>
            </w:pPr>
            <w:r w:rsidRPr="00C77AE9">
              <w:rPr>
                <w:rFonts w:ascii="Arial" w:eastAsiaTheme="minorHAnsi" w:hAnsi="Arial"/>
                <w:bCs/>
                <w:sz w:val="20"/>
              </w:rPr>
              <w:t xml:space="preserve">• Non-cash consideration </w:t>
            </w:r>
          </w:p>
          <w:p w14:paraId="3FB28211" w14:textId="77777777" w:rsidR="00C77AE9" w:rsidRPr="00C77AE9" w:rsidRDefault="00C77AE9" w:rsidP="00C77AE9">
            <w:pPr>
              <w:pStyle w:val="BodyText1"/>
              <w:shd w:val="clear" w:color="auto" w:fill="C1C1C1" w:themeFill="background2" w:themeFillTint="66"/>
              <w:spacing w:line="280" w:lineRule="exact"/>
              <w:jc w:val="both"/>
              <w:rPr>
                <w:rFonts w:ascii="Arial" w:eastAsiaTheme="minorHAnsi" w:hAnsi="Arial"/>
                <w:bCs/>
                <w:sz w:val="20"/>
              </w:rPr>
            </w:pPr>
            <w:r w:rsidRPr="00C77AE9">
              <w:rPr>
                <w:rFonts w:ascii="Arial" w:eastAsiaTheme="minorHAnsi" w:hAnsi="Arial"/>
                <w:bCs/>
                <w:sz w:val="20"/>
              </w:rPr>
              <w:t xml:space="preserve">• Consideration payable to a customer </w:t>
            </w:r>
          </w:p>
          <w:p w14:paraId="5A594D84" w14:textId="3E34AA35" w:rsidR="00C77AE9" w:rsidRDefault="00C77AE9" w:rsidP="00C77AE9">
            <w:pPr>
              <w:pStyle w:val="BodyText1"/>
              <w:shd w:val="clear" w:color="auto" w:fill="C1C1C1" w:themeFill="background2" w:themeFillTint="66"/>
              <w:spacing w:after="0" w:line="280" w:lineRule="exact"/>
              <w:jc w:val="both"/>
              <w:rPr>
                <w:rFonts w:ascii="Arial" w:eastAsiaTheme="minorHAnsi" w:hAnsi="Arial"/>
                <w:bCs/>
                <w:sz w:val="20"/>
              </w:rPr>
            </w:pPr>
            <w:r w:rsidRPr="00C77AE9">
              <w:rPr>
                <w:rFonts w:ascii="Arial" w:eastAsiaTheme="minorHAnsi" w:hAnsi="Arial"/>
                <w:bCs/>
                <w:sz w:val="20"/>
              </w:rPr>
              <w:t>The Group did not incur any consideration payable to a customer. Consideration payable to a customer includes cash amounts that an entity pays, or expects to pay, to the customer. The consideration payable to a customer is accounted for as a reduction of the transaction price unless the payment to the customer is in exchange for a distinct good or service that the customer transfers to the entity (IND AS 115.70). Entities need to include this in their accounting policy disclosures if significant.</w:t>
            </w:r>
          </w:p>
          <w:p w14:paraId="4C537BA9" w14:textId="77101C75" w:rsidR="00422EB3" w:rsidRDefault="00422EB3" w:rsidP="00422EB3">
            <w:pPr>
              <w:pStyle w:val="BodyText1"/>
              <w:spacing w:after="0" w:line="280" w:lineRule="exact"/>
              <w:jc w:val="both"/>
              <w:rPr>
                <w:rFonts w:ascii="Arial" w:eastAsiaTheme="minorHAnsi" w:hAnsi="Arial"/>
                <w:bCs/>
                <w:sz w:val="20"/>
              </w:rPr>
            </w:pPr>
          </w:p>
          <w:p w14:paraId="39BBE873" w14:textId="402C07D0" w:rsidR="00422EB3" w:rsidRPr="00422EB3" w:rsidRDefault="00422EB3" w:rsidP="00422EB3">
            <w:pPr>
              <w:pStyle w:val="BodyText1"/>
              <w:spacing w:line="280" w:lineRule="exact"/>
              <w:jc w:val="both"/>
              <w:rPr>
                <w:rFonts w:ascii="Arial" w:eastAsiaTheme="minorHAnsi" w:hAnsi="Arial"/>
                <w:b/>
                <w:bCs/>
                <w:sz w:val="20"/>
              </w:rPr>
            </w:pPr>
            <w:r w:rsidRPr="00422EB3">
              <w:rPr>
                <w:rFonts w:ascii="Arial" w:eastAsiaTheme="minorHAnsi" w:hAnsi="Arial"/>
                <w:b/>
                <w:bCs/>
                <w:sz w:val="20"/>
              </w:rPr>
              <w:t>Warranty obligations</w:t>
            </w:r>
          </w:p>
          <w:p w14:paraId="78D14663" w14:textId="2DB66D9C" w:rsidR="00422EB3" w:rsidRPr="00422EB3" w:rsidRDefault="00422EB3" w:rsidP="00422EB3">
            <w:pPr>
              <w:pStyle w:val="BodyText1"/>
              <w:spacing w:line="280" w:lineRule="exact"/>
              <w:jc w:val="both"/>
              <w:rPr>
                <w:rFonts w:ascii="Arial" w:eastAsiaTheme="minorHAnsi" w:hAnsi="Arial"/>
                <w:bCs/>
                <w:sz w:val="20"/>
              </w:rPr>
            </w:pPr>
            <w:r w:rsidRPr="00422EB3">
              <w:rPr>
                <w:rFonts w:ascii="Arial" w:eastAsiaTheme="minorHAnsi" w:hAnsi="Arial"/>
                <w:bCs/>
                <w:sz w:val="20"/>
              </w:rPr>
              <w:t>The Group typically provides warranties for general repairs of defects that existed at the time of sale, as required by law. These assurance-type warranties are accounted for under I</w:t>
            </w:r>
            <w:r w:rsidR="006954B7">
              <w:rPr>
                <w:rFonts w:ascii="Arial" w:eastAsiaTheme="minorHAnsi" w:hAnsi="Arial"/>
                <w:bCs/>
                <w:sz w:val="20"/>
              </w:rPr>
              <w:t xml:space="preserve">nd </w:t>
            </w:r>
            <w:r w:rsidRPr="00422EB3">
              <w:rPr>
                <w:rFonts w:ascii="Arial" w:eastAsiaTheme="minorHAnsi" w:hAnsi="Arial"/>
                <w:bCs/>
                <w:sz w:val="20"/>
              </w:rPr>
              <w:t>AS 37 Provisions, Contingent Liabilities and Contingent Assets. Refer to the accounting policy on warranty provisions in section w) Provisions.</w:t>
            </w:r>
          </w:p>
          <w:p w14:paraId="0F86302A" w14:textId="2D6F182B" w:rsidR="00422EB3" w:rsidRDefault="00422EB3" w:rsidP="00422EB3">
            <w:pPr>
              <w:pStyle w:val="BodyText1"/>
              <w:spacing w:after="0" w:line="280" w:lineRule="exact"/>
              <w:jc w:val="both"/>
              <w:rPr>
                <w:rFonts w:ascii="Arial" w:eastAsiaTheme="minorHAnsi" w:hAnsi="Arial"/>
                <w:bCs/>
                <w:sz w:val="20"/>
              </w:rPr>
            </w:pPr>
            <w:r w:rsidRPr="00422EB3">
              <w:rPr>
                <w:rFonts w:ascii="Arial" w:eastAsiaTheme="minorHAnsi" w:hAnsi="Arial"/>
                <w:bCs/>
                <w:sz w:val="20"/>
              </w:rPr>
              <w:t>The Group provides a one-year warranty beyond fixing defects that existed at the time of sale. These service-type warranties are sold either separately or bundled together with the sale of fire prevention equipment. Contracts for bundled sales of equipment and a service-type warranty comprise two performance obligations because the promises to transfer the equipment and to provide the service-type warranty are capable of being distinct. Using the relative stand-alone selling price method, a portion of the transaction price is allocated to the service-type warranty and recognised as a contract liability. Revenue is recognised over the period in which the service-type warranty is provided based on the time elapsed.</w:t>
            </w:r>
          </w:p>
          <w:p w14:paraId="19FEEEC8" w14:textId="641B3B3B" w:rsidR="00357C67" w:rsidRDefault="00357C67" w:rsidP="00422EB3">
            <w:pPr>
              <w:pStyle w:val="BodyText1"/>
              <w:spacing w:after="0" w:line="280" w:lineRule="exact"/>
              <w:jc w:val="both"/>
              <w:rPr>
                <w:rFonts w:ascii="Arial" w:eastAsiaTheme="minorHAnsi" w:hAnsi="Arial"/>
                <w:bCs/>
                <w:sz w:val="20"/>
              </w:rPr>
            </w:pPr>
          </w:p>
          <w:p w14:paraId="491682FF" w14:textId="78EA0A04" w:rsidR="00357C67" w:rsidRPr="00357C67" w:rsidRDefault="00357C67" w:rsidP="00357C67">
            <w:pPr>
              <w:pStyle w:val="BodyText1"/>
              <w:shd w:val="clear" w:color="auto" w:fill="C1C1C1" w:themeFill="background2" w:themeFillTint="66"/>
              <w:spacing w:after="0" w:line="280" w:lineRule="exact"/>
              <w:jc w:val="both"/>
              <w:rPr>
                <w:rFonts w:ascii="Arial" w:eastAsiaTheme="minorHAnsi" w:hAnsi="Arial"/>
                <w:b/>
                <w:sz w:val="20"/>
              </w:rPr>
            </w:pPr>
            <w:r w:rsidRPr="00357C67">
              <w:rPr>
                <w:rFonts w:ascii="Arial" w:eastAsiaTheme="minorHAnsi" w:hAnsi="Arial"/>
                <w:b/>
                <w:sz w:val="20"/>
              </w:rPr>
              <w:t>Author’s Note</w:t>
            </w:r>
          </w:p>
          <w:p w14:paraId="0D36B894" w14:textId="77777777" w:rsidR="00357C67" w:rsidRPr="00357C67" w:rsidRDefault="00357C67" w:rsidP="00357C67">
            <w:pPr>
              <w:pStyle w:val="BodyText1"/>
              <w:shd w:val="clear" w:color="auto" w:fill="C1C1C1" w:themeFill="background2" w:themeFillTint="66"/>
              <w:spacing w:after="0" w:line="280" w:lineRule="exact"/>
              <w:jc w:val="both"/>
              <w:rPr>
                <w:rFonts w:ascii="Arial" w:eastAsiaTheme="minorHAnsi" w:hAnsi="Arial"/>
                <w:b/>
                <w:sz w:val="20"/>
              </w:rPr>
            </w:pPr>
          </w:p>
          <w:p w14:paraId="03BC38B4" w14:textId="7FAC39EA" w:rsidR="00357C67" w:rsidRDefault="00357C67" w:rsidP="00357C67">
            <w:pPr>
              <w:pStyle w:val="BodyText1"/>
              <w:shd w:val="clear" w:color="auto" w:fill="C1C1C1" w:themeFill="background2" w:themeFillTint="66"/>
              <w:spacing w:after="0" w:line="280" w:lineRule="exact"/>
              <w:jc w:val="both"/>
              <w:rPr>
                <w:rFonts w:ascii="Arial" w:eastAsiaTheme="minorHAnsi" w:hAnsi="Arial"/>
                <w:bCs/>
                <w:sz w:val="20"/>
              </w:rPr>
            </w:pPr>
            <w:r w:rsidRPr="00357C67">
              <w:rPr>
                <w:rFonts w:ascii="Arial" w:eastAsiaTheme="minorHAnsi" w:hAnsi="Arial"/>
                <w:bCs/>
                <w:sz w:val="20"/>
              </w:rPr>
              <w:t>If the customer has the option to purchase the warranty separately or if the warranty provides a service to the customer, beyond fixing defects that existed at the time of sale, Ind AS 115.B29 states that the entity is providing a service-type warranty that is a separate performance obligation. Otherwise, it is an assurance-type warranty, which provides the customer with assurance that the product complies with agreed-upon specifications. In some cases, it may be difficult to determine whether a warranty provides a customer with a service in addition to the assurance that the delivered product is as specified in the contract. To help entities make that assessment, Ind AS 115.B31-33 provides relevant application guidance.</w:t>
            </w:r>
          </w:p>
          <w:p w14:paraId="29F279D3" w14:textId="073CD54E" w:rsidR="00422EB3" w:rsidRDefault="00422EB3" w:rsidP="00422EB3">
            <w:pPr>
              <w:pStyle w:val="BodyText1"/>
              <w:spacing w:after="0" w:line="280" w:lineRule="exact"/>
              <w:jc w:val="both"/>
              <w:rPr>
                <w:rFonts w:ascii="Arial" w:eastAsiaTheme="minorHAnsi" w:hAnsi="Arial"/>
                <w:bCs/>
                <w:sz w:val="20"/>
              </w:rPr>
            </w:pPr>
          </w:p>
          <w:p w14:paraId="563860D4" w14:textId="72D5E425" w:rsidR="00422EB3" w:rsidRPr="00422EB3" w:rsidRDefault="00422EB3" w:rsidP="00422EB3">
            <w:pPr>
              <w:pStyle w:val="BodyText1"/>
              <w:spacing w:line="280" w:lineRule="exact"/>
              <w:jc w:val="both"/>
              <w:rPr>
                <w:rFonts w:ascii="Arial" w:eastAsiaTheme="minorHAnsi" w:hAnsi="Arial"/>
                <w:b/>
                <w:bCs/>
                <w:sz w:val="20"/>
              </w:rPr>
            </w:pPr>
            <w:r w:rsidRPr="00422EB3">
              <w:rPr>
                <w:rFonts w:ascii="Arial" w:eastAsiaTheme="minorHAnsi" w:hAnsi="Arial"/>
                <w:b/>
                <w:bCs/>
                <w:sz w:val="20"/>
              </w:rPr>
              <w:t>Loyalty points programme</w:t>
            </w:r>
          </w:p>
          <w:p w14:paraId="4BE7824D" w14:textId="5DBC83EF" w:rsidR="00422EB3" w:rsidRPr="00422EB3" w:rsidRDefault="00422EB3" w:rsidP="00422EB3">
            <w:pPr>
              <w:pStyle w:val="BodyText1"/>
              <w:spacing w:line="280" w:lineRule="exact"/>
              <w:jc w:val="both"/>
              <w:rPr>
                <w:rFonts w:ascii="Arial" w:eastAsiaTheme="minorHAnsi" w:hAnsi="Arial"/>
                <w:bCs/>
                <w:sz w:val="20"/>
              </w:rPr>
            </w:pPr>
            <w:r w:rsidRPr="00422EB3">
              <w:rPr>
                <w:rFonts w:ascii="Arial" w:eastAsiaTheme="minorHAnsi" w:hAnsi="Arial"/>
                <w:bCs/>
                <w:sz w:val="20"/>
              </w:rPr>
              <w:t xml:space="preserve">The Group has a loyalty points programme, </w:t>
            </w:r>
            <w:proofErr w:type="spellStart"/>
            <w:r w:rsidRPr="00422EB3">
              <w:rPr>
                <w:rFonts w:ascii="Arial" w:eastAsiaTheme="minorHAnsi" w:hAnsi="Arial"/>
                <w:bCs/>
                <w:sz w:val="20"/>
              </w:rPr>
              <w:t>GoodPoints</w:t>
            </w:r>
            <w:proofErr w:type="spellEnd"/>
            <w:r w:rsidRPr="00422EB3">
              <w:rPr>
                <w:rFonts w:ascii="Arial" w:eastAsiaTheme="minorHAnsi" w:hAnsi="Arial"/>
                <w:bCs/>
                <w:sz w:val="20"/>
              </w:rPr>
              <w:t>, which allows customers to accumulate points that can be redeemed for free products. The loyalty points give rise to a separate performance obligation as they provide a material right to the customer. A portion of the transaction price is allocated to the loyalty points awarded to customers based on relative stand-alone selling price and recognised as a contract liability until the points are redeemed. Revenue is recognised upon redemption of products by the customer.</w:t>
            </w:r>
          </w:p>
          <w:p w14:paraId="0B7EA349" w14:textId="5BB4657A" w:rsidR="00422EB3" w:rsidRDefault="00422EB3" w:rsidP="00422EB3">
            <w:pPr>
              <w:pStyle w:val="BodyText1"/>
              <w:spacing w:after="0" w:line="280" w:lineRule="exact"/>
              <w:jc w:val="both"/>
              <w:rPr>
                <w:rFonts w:ascii="Arial" w:eastAsiaTheme="minorHAnsi" w:hAnsi="Arial"/>
                <w:bCs/>
                <w:sz w:val="20"/>
              </w:rPr>
            </w:pPr>
            <w:r w:rsidRPr="00422EB3">
              <w:rPr>
                <w:rFonts w:ascii="Arial" w:eastAsiaTheme="minorHAnsi" w:hAnsi="Arial"/>
                <w:bCs/>
                <w:sz w:val="20"/>
              </w:rPr>
              <w:t>When estimating the stand-alone selling price of the loyalty points, the Group considers the likelihood that the customer will redeem the points. The Group updates its estimates of the points that will be redeemed on a quarterly basis and any adjustments to the contract liability balance are charged against revenue.</w:t>
            </w:r>
          </w:p>
          <w:p w14:paraId="144ADCCC" w14:textId="32A5E285" w:rsidR="00422EB3" w:rsidRDefault="00422EB3" w:rsidP="00422EB3">
            <w:pPr>
              <w:pStyle w:val="BodyText1"/>
              <w:spacing w:after="0" w:line="280" w:lineRule="exact"/>
              <w:jc w:val="both"/>
              <w:rPr>
                <w:rFonts w:ascii="Arial" w:eastAsiaTheme="minorHAnsi" w:hAnsi="Arial"/>
                <w:bCs/>
                <w:sz w:val="20"/>
              </w:rPr>
            </w:pPr>
          </w:p>
          <w:p w14:paraId="17053735" w14:textId="2DE668A7" w:rsidR="00422EB3" w:rsidRPr="00422EB3" w:rsidRDefault="00422EB3" w:rsidP="00422EB3">
            <w:pPr>
              <w:pStyle w:val="BodyText1"/>
              <w:spacing w:line="280" w:lineRule="exact"/>
              <w:jc w:val="both"/>
              <w:rPr>
                <w:rFonts w:ascii="Arial" w:eastAsiaTheme="minorHAnsi" w:hAnsi="Arial"/>
                <w:b/>
                <w:bCs/>
                <w:sz w:val="20"/>
              </w:rPr>
            </w:pPr>
            <w:r w:rsidRPr="00422EB3">
              <w:rPr>
                <w:rFonts w:ascii="Arial" w:eastAsiaTheme="minorHAnsi" w:hAnsi="Arial"/>
                <w:b/>
                <w:bCs/>
                <w:sz w:val="20"/>
              </w:rPr>
              <w:lastRenderedPageBreak/>
              <w:t>Installation services</w:t>
            </w:r>
          </w:p>
          <w:p w14:paraId="3E23AF77" w14:textId="70B421C8" w:rsidR="00422EB3" w:rsidRPr="00422EB3" w:rsidRDefault="00422EB3" w:rsidP="00422EB3">
            <w:pPr>
              <w:pStyle w:val="BodyText1"/>
              <w:spacing w:line="280" w:lineRule="exact"/>
              <w:jc w:val="both"/>
              <w:rPr>
                <w:rFonts w:ascii="Arial" w:eastAsiaTheme="minorHAnsi" w:hAnsi="Arial"/>
                <w:bCs/>
                <w:sz w:val="20"/>
              </w:rPr>
            </w:pPr>
            <w:r w:rsidRPr="00422EB3">
              <w:rPr>
                <w:rFonts w:ascii="Arial" w:eastAsiaTheme="minorHAnsi" w:hAnsi="Arial"/>
                <w:bCs/>
                <w:sz w:val="20"/>
              </w:rPr>
              <w:t>The Group provides installation services that are either sold separately or bundled together with the sale of equipment to a customer. The installation services can be obtained from other providers and do not significantly customise or modify the fire prevention equipment.</w:t>
            </w:r>
          </w:p>
          <w:p w14:paraId="7A0F3F72" w14:textId="04895917" w:rsidR="00422EB3" w:rsidRPr="00422EB3" w:rsidRDefault="00422EB3" w:rsidP="00422EB3">
            <w:pPr>
              <w:pStyle w:val="BodyText1"/>
              <w:spacing w:line="280" w:lineRule="exact"/>
              <w:jc w:val="both"/>
              <w:rPr>
                <w:rFonts w:ascii="Arial" w:eastAsiaTheme="minorHAnsi" w:hAnsi="Arial"/>
                <w:bCs/>
                <w:sz w:val="20"/>
              </w:rPr>
            </w:pPr>
            <w:r w:rsidRPr="00422EB3">
              <w:rPr>
                <w:rFonts w:ascii="Arial" w:eastAsiaTheme="minorHAnsi" w:hAnsi="Arial"/>
                <w:bCs/>
                <w:sz w:val="20"/>
              </w:rPr>
              <w:t>Contracts for bundled sales of equipment and installation services are comprised of two performance obligations because the promises to transfer equipment and provide installation services are capable of being distinct and separately identifiable. Accordingly, the Group allocates the transaction price based on the relative stand-alone selling prices of the equipment and installation services.</w:t>
            </w:r>
          </w:p>
          <w:p w14:paraId="3601E2BD" w14:textId="3364F129" w:rsidR="00422EB3" w:rsidRPr="00422EB3" w:rsidRDefault="00422EB3" w:rsidP="00422EB3">
            <w:pPr>
              <w:pStyle w:val="BodyText1"/>
              <w:spacing w:line="280" w:lineRule="exact"/>
              <w:jc w:val="both"/>
              <w:rPr>
                <w:rFonts w:ascii="Arial" w:eastAsiaTheme="minorHAnsi" w:hAnsi="Arial"/>
                <w:bCs/>
                <w:sz w:val="20"/>
              </w:rPr>
            </w:pPr>
            <w:r w:rsidRPr="00422EB3">
              <w:rPr>
                <w:rFonts w:ascii="Arial" w:eastAsiaTheme="minorHAnsi" w:hAnsi="Arial"/>
                <w:bCs/>
                <w:sz w:val="20"/>
              </w:rPr>
              <w:t xml:space="preserve">The Group recognises revenue from installation services over time, using an input method to measure progress towards complete satisfaction of the service, because the customer simultaneously receives and consumes the benefits provided by the Group. Revenue from the sale of the fire prevention equipment </w:t>
            </w:r>
            <w:proofErr w:type="gramStart"/>
            <w:r w:rsidRPr="00422EB3">
              <w:rPr>
                <w:rFonts w:ascii="Arial" w:eastAsiaTheme="minorHAnsi" w:hAnsi="Arial"/>
                <w:bCs/>
                <w:sz w:val="20"/>
              </w:rPr>
              <w:t>are</w:t>
            </w:r>
            <w:proofErr w:type="gramEnd"/>
            <w:r w:rsidRPr="00422EB3">
              <w:rPr>
                <w:rFonts w:ascii="Arial" w:eastAsiaTheme="minorHAnsi" w:hAnsi="Arial"/>
                <w:bCs/>
                <w:sz w:val="20"/>
              </w:rPr>
              <w:t xml:space="preserve"> recognised at a point in time, generally upon delivery of the equipment.</w:t>
            </w:r>
          </w:p>
          <w:p w14:paraId="01643CEA" w14:textId="6E2028F0" w:rsidR="00422EB3" w:rsidRPr="00422EB3" w:rsidRDefault="00422EB3" w:rsidP="00422EB3">
            <w:pPr>
              <w:pStyle w:val="BodyText1"/>
              <w:spacing w:line="280" w:lineRule="exact"/>
              <w:jc w:val="both"/>
              <w:rPr>
                <w:rFonts w:ascii="Arial" w:eastAsiaTheme="minorHAnsi" w:hAnsi="Arial"/>
                <w:b/>
                <w:bCs/>
                <w:sz w:val="20"/>
              </w:rPr>
            </w:pPr>
            <w:r w:rsidRPr="00422EB3">
              <w:rPr>
                <w:rFonts w:ascii="Arial" w:eastAsiaTheme="minorHAnsi" w:hAnsi="Arial"/>
                <w:b/>
                <w:bCs/>
                <w:sz w:val="20"/>
              </w:rPr>
              <w:t>Procurement services</w:t>
            </w:r>
          </w:p>
          <w:p w14:paraId="7D817EB9" w14:textId="6AA7DD98" w:rsidR="00422EB3" w:rsidRPr="00422EB3" w:rsidRDefault="00422EB3" w:rsidP="00422EB3">
            <w:pPr>
              <w:pStyle w:val="BodyText1"/>
              <w:spacing w:line="280" w:lineRule="exact"/>
              <w:jc w:val="both"/>
              <w:rPr>
                <w:rFonts w:ascii="Arial" w:eastAsiaTheme="minorHAnsi" w:hAnsi="Arial"/>
                <w:bCs/>
                <w:sz w:val="20"/>
              </w:rPr>
            </w:pPr>
            <w:r w:rsidRPr="00422EB3">
              <w:rPr>
                <w:rFonts w:ascii="Arial" w:eastAsiaTheme="minorHAnsi" w:hAnsi="Arial"/>
                <w:bCs/>
                <w:sz w:val="20"/>
              </w:rPr>
              <w:t>The Group has contracts with customers to acquire, on their behalf, special fire prevention equipment produced by foreign suppliers. The Group is acting as an agent in these arrangements.</w:t>
            </w:r>
          </w:p>
          <w:p w14:paraId="6BE7755E" w14:textId="5EAE554D" w:rsidR="00422EB3" w:rsidRPr="00422EB3" w:rsidRDefault="00422EB3" w:rsidP="00422EB3">
            <w:pPr>
              <w:pStyle w:val="BodyText1"/>
              <w:spacing w:line="280" w:lineRule="exact"/>
              <w:jc w:val="both"/>
              <w:rPr>
                <w:rFonts w:ascii="Arial" w:eastAsiaTheme="minorHAnsi" w:hAnsi="Arial"/>
                <w:bCs/>
                <w:sz w:val="20"/>
              </w:rPr>
            </w:pPr>
            <w:r w:rsidRPr="00422EB3">
              <w:rPr>
                <w:rFonts w:ascii="Arial" w:eastAsiaTheme="minorHAnsi" w:hAnsi="Arial"/>
                <w:bCs/>
                <w:sz w:val="20"/>
              </w:rPr>
              <w:t>When another party is involved in providing goods or services to its customer, the Group determines whether it is a principal or an agent in these transactions by evaluating the nature of its promise to the customer. The Group is a principal and records revenue on a gross basis if it controls the promised goods or services before transferring them to the customer. However, if the Group’s role is only to arrange for another entity to provide the goods or services, then the Group is an agent and will need to record revenue at the net amount that it retains for its agency services.</w:t>
            </w:r>
          </w:p>
          <w:p w14:paraId="298E8DC3" w14:textId="0C2185C9" w:rsidR="00422EB3" w:rsidRPr="00422EB3" w:rsidRDefault="00422EB3" w:rsidP="00422EB3">
            <w:pPr>
              <w:pStyle w:val="BodyText1"/>
              <w:spacing w:line="280" w:lineRule="exact"/>
              <w:jc w:val="both"/>
              <w:rPr>
                <w:rFonts w:ascii="Arial" w:eastAsiaTheme="minorHAnsi" w:hAnsi="Arial"/>
                <w:b/>
                <w:bCs/>
                <w:sz w:val="20"/>
              </w:rPr>
            </w:pPr>
            <w:r w:rsidRPr="00422EB3">
              <w:rPr>
                <w:rFonts w:ascii="Arial" w:eastAsiaTheme="minorHAnsi" w:hAnsi="Arial"/>
                <w:b/>
                <w:bCs/>
                <w:sz w:val="20"/>
              </w:rPr>
              <w:t>Contract balances</w:t>
            </w:r>
          </w:p>
          <w:p w14:paraId="5CE139FF" w14:textId="54C157CB" w:rsidR="00422EB3" w:rsidRPr="00422EB3" w:rsidRDefault="00422EB3" w:rsidP="00422EB3">
            <w:pPr>
              <w:pStyle w:val="BodyText1"/>
              <w:spacing w:line="280" w:lineRule="exact"/>
              <w:jc w:val="both"/>
              <w:rPr>
                <w:rFonts w:ascii="Arial" w:eastAsiaTheme="minorHAnsi" w:hAnsi="Arial"/>
                <w:b/>
                <w:bCs/>
                <w:sz w:val="20"/>
              </w:rPr>
            </w:pPr>
            <w:r w:rsidRPr="00422EB3">
              <w:rPr>
                <w:rFonts w:ascii="Arial" w:eastAsiaTheme="minorHAnsi" w:hAnsi="Arial"/>
                <w:b/>
                <w:bCs/>
                <w:sz w:val="20"/>
              </w:rPr>
              <w:t>Contract assets</w:t>
            </w:r>
          </w:p>
          <w:p w14:paraId="477AC267" w14:textId="06ABF8A3" w:rsidR="00422EB3" w:rsidRPr="00422EB3" w:rsidRDefault="00422EB3" w:rsidP="00422EB3">
            <w:pPr>
              <w:pStyle w:val="BodyText1"/>
              <w:spacing w:line="280" w:lineRule="exact"/>
              <w:jc w:val="both"/>
              <w:rPr>
                <w:rFonts w:ascii="Arial" w:eastAsiaTheme="minorHAnsi" w:hAnsi="Arial"/>
                <w:bCs/>
                <w:sz w:val="20"/>
              </w:rPr>
            </w:pPr>
            <w:r w:rsidRPr="00422EB3">
              <w:rPr>
                <w:rFonts w:ascii="Arial" w:eastAsiaTheme="minorHAnsi" w:hAnsi="Arial"/>
                <w:bCs/>
                <w:sz w:val="20"/>
              </w:rPr>
              <w:t>A contract asset is the right to consideration in exchange for goods or services transferred to the customer. If the Group performs by transferring goods or services to a customer before the customer pays consideration or before payment is due, a contract asset is recognised for the earned consideration that is conditional.</w:t>
            </w:r>
          </w:p>
          <w:p w14:paraId="4B80D04B" w14:textId="32E6CDFA" w:rsidR="00422EB3" w:rsidRPr="00422EB3" w:rsidRDefault="00422EB3" w:rsidP="00422EB3">
            <w:pPr>
              <w:pStyle w:val="BodyText1"/>
              <w:spacing w:line="280" w:lineRule="exact"/>
              <w:jc w:val="both"/>
              <w:rPr>
                <w:rFonts w:ascii="Arial" w:eastAsiaTheme="minorHAnsi" w:hAnsi="Arial"/>
                <w:b/>
                <w:bCs/>
                <w:sz w:val="20"/>
              </w:rPr>
            </w:pPr>
            <w:r w:rsidRPr="00422EB3">
              <w:rPr>
                <w:rFonts w:ascii="Arial" w:eastAsiaTheme="minorHAnsi" w:hAnsi="Arial"/>
                <w:b/>
                <w:bCs/>
                <w:sz w:val="20"/>
              </w:rPr>
              <w:t>Trade receivables</w:t>
            </w:r>
          </w:p>
          <w:p w14:paraId="27C3B626" w14:textId="698B5A3B" w:rsidR="00422EB3" w:rsidRPr="00422EB3" w:rsidRDefault="00422EB3" w:rsidP="00422EB3">
            <w:pPr>
              <w:pStyle w:val="BodyText1"/>
              <w:spacing w:line="280" w:lineRule="exact"/>
              <w:jc w:val="both"/>
              <w:rPr>
                <w:rFonts w:ascii="Arial" w:eastAsiaTheme="minorHAnsi" w:hAnsi="Arial"/>
                <w:bCs/>
                <w:sz w:val="20"/>
              </w:rPr>
            </w:pPr>
            <w:r w:rsidRPr="00422EB3">
              <w:rPr>
                <w:rFonts w:ascii="Arial" w:eastAsiaTheme="minorHAnsi" w:hAnsi="Arial"/>
                <w:bCs/>
                <w:sz w:val="20"/>
              </w:rPr>
              <w:t xml:space="preserve">A receivable represents the Group’s right to an amount of consideration that is unconditional (i.e., only the passage of time is required before payment of the consideration is due). </w:t>
            </w:r>
            <w:r w:rsidR="00166B22" w:rsidRPr="00166B22">
              <w:rPr>
                <w:rFonts w:ascii="Arial" w:eastAsiaTheme="minorHAnsi" w:hAnsi="Arial"/>
                <w:bCs/>
                <w:sz w:val="20"/>
              </w:rPr>
              <w:t>Refer to accounting policies of financial assets in section (t) Financial instruments – initial recognition and subsequent measurement.</w:t>
            </w:r>
          </w:p>
          <w:p w14:paraId="1A2F8EAC" w14:textId="07A9CA94" w:rsidR="00422EB3" w:rsidRPr="00422EB3" w:rsidRDefault="00422EB3" w:rsidP="00422EB3">
            <w:pPr>
              <w:pStyle w:val="BodyText1"/>
              <w:spacing w:line="280" w:lineRule="exact"/>
              <w:jc w:val="both"/>
              <w:rPr>
                <w:rFonts w:ascii="Arial" w:eastAsiaTheme="minorHAnsi" w:hAnsi="Arial"/>
                <w:b/>
                <w:bCs/>
                <w:sz w:val="20"/>
              </w:rPr>
            </w:pPr>
            <w:r w:rsidRPr="00422EB3">
              <w:rPr>
                <w:rFonts w:ascii="Arial" w:eastAsiaTheme="minorHAnsi" w:hAnsi="Arial"/>
                <w:b/>
                <w:bCs/>
                <w:sz w:val="20"/>
              </w:rPr>
              <w:t>Contract liabilities</w:t>
            </w:r>
          </w:p>
          <w:p w14:paraId="2D811F2C" w14:textId="513F2FFB" w:rsidR="00422EB3" w:rsidRPr="00422EB3" w:rsidRDefault="00422EB3" w:rsidP="00422EB3">
            <w:pPr>
              <w:pStyle w:val="BodyText1"/>
              <w:spacing w:line="280" w:lineRule="exact"/>
              <w:jc w:val="both"/>
              <w:rPr>
                <w:rFonts w:ascii="Arial" w:eastAsiaTheme="minorHAnsi" w:hAnsi="Arial"/>
                <w:bCs/>
                <w:sz w:val="20"/>
              </w:rPr>
            </w:pPr>
            <w:r w:rsidRPr="00422EB3">
              <w:rPr>
                <w:rFonts w:ascii="Arial" w:eastAsiaTheme="minorHAnsi" w:hAnsi="Arial"/>
                <w:bCs/>
                <w:sz w:val="20"/>
              </w:rPr>
              <w:t xml:space="preserve">A contract liability is the obligation to transfer goods or services to a customer for which the Group has received consideration (or an amount of consideration is due) from the customer. If a customer pays consideration before the Group transfers goods or services to the customer, a contract liability is recognised when the payment is </w:t>
            </w:r>
            <w:r w:rsidR="00174FDC" w:rsidRPr="00422EB3">
              <w:rPr>
                <w:rFonts w:ascii="Arial" w:eastAsiaTheme="minorHAnsi" w:hAnsi="Arial"/>
                <w:bCs/>
                <w:sz w:val="20"/>
              </w:rPr>
              <w:t>made,</w:t>
            </w:r>
            <w:r w:rsidRPr="00422EB3">
              <w:rPr>
                <w:rFonts w:ascii="Arial" w:eastAsiaTheme="minorHAnsi" w:hAnsi="Arial"/>
                <w:bCs/>
                <w:sz w:val="20"/>
              </w:rPr>
              <w:t xml:space="preserve"> or the payment is due (whichever is earlier). Contract liabilities are recognised as revenue when the Group performs under the contract.</w:t>
            </w:r>
          </w:p>
          <w:p w14:paraId="4D95A7C9" w14:textId="08B76DE0" w:rsidR="00422EB3" w:rsidRPr="00422EB3" w:rsidRDefault="00422EB3" w:rsidP="00422EB3">
            <w:pPr>
              <w:pStyle w:val="BodyText1"/>
              <w:spacing w:line="280" w:lineRule="exact"/>
              <w:jc w:val="both"/>
              <w:rPr>
                <w:rFonts w:ascii="Arial" w:eastAsiaTheme="minorHAnsi" w:hAnsi="Arial"/>
                <w:b/>
                <w:bCs/>
                <w:sz w:val="20"/>
              </w:rPr>
            </w:pPr>
            <w:r w:rsidRPr="00422EB3">
              <w:rPr>
                <w:rFonts w:ascii="Arial" w:eastAsiaTheme="minorHAnsi" w:hAnsi="Arial"/>
                <w:b/>
                <w:bCs/>
                <w:sz w:val="20"/>
              </w:rPr>
              <w:t>Assets and liabilities arising from rights of return</w:t>
            </w:r>
          </w:p>
          <w:p w14:paraId="0152AAD5" w14:textId="6E91F160" w:rsidR="00422EB3" w:rsidRPr="00422EB3" w:rsidRDefault="00422EB3" w:rsidP="00422EB3">
            <w:pPr>
              <w:pStyle w:val="BodyText1"/>
              <w:spacing w:line="280" w:lineRule="exact"/>
              <w:jc w:val="both"/>
              <w:rPr>
                <w:rFonts w:ascii="Arial" w:eastAsiaTheme="minorHAnsi" w:hAnsi="Arial"/>
                <w:b/>
                <w:bCs/>
                <w:sz w:val="20"/>
              </w:rPr>
            </w:pPr>
            <w:r w:rsidRPr="00422EB3">
              <w:rPr>
                <w:rFonts w:ascii="Arial" w:eastAsiaTheme="minorHAnsi" w:hAnsi="Arial"/>
                <w:b/>
                <w:bCs/>
                <w:sz w:val="20"/>
              </w:rPr>
              <w:t>Right of return assets</w:t>
            </w:r>
          </w:p>
          <w:p w14:paraId="5B705491" w14:textId="63488DAB" w:rsidR="00422EB3" w:rsidRPr="00422EB3" w:rsidRDefault="00422EB3" w:rsidP="00422EB3">
            <w:pPr>
              <w:pStyle w:val="BodyText1"/>
              <w:spacing w:line="280" w:lineRule="exact"/>
              <w:jc w:val="both"/>
              <w:rPr>
                <w:rFonts w:ascii="Arial" w:eastAsiaTheme="minorHAnsi" w:hAnsi="Arial"/>
                <w:bCs/>
                <w:sz w:val="20"/>
              </w:rPr>
            </w:pPr>
            <w:r w:rsidRPr="00422EB3">
              <w:rPr>
                <w:rFonts w:ascii="Arial" w:eastAsiaTheme="minorHAnsi" w:hAnsi="Arial"/>
                <w:bCs/>
                <w:sz w:val="20"/>
              </w:rPr>
              <w:t>Right of return asset represents the Group’s right to recover the goods expected to be returned by customers. The asset is measured at the former carrying amount of the inventory, less any expected costs to recover the goods, including any potential decreases in the value of the returned goods. The Group updates the measurement of the asset recorded for any revisions to its expected level of returns, as well as any additional decreases in the value of the returned products.</w:t>
            </w:r>
          </w:p>
          <w:p w14:paraId="7F691870" w14:textId="112EF2B0" w:rsidR="00422EB3" w:rsidRPr="00422EB3" w:rsidRDefault="00422EB3" w:rsidP="00422EB3">
            <w:pPr>
              <w:pStyle w:val="BodyText1"/>
              <w:spacing w:line="280" w:lineRule="exact"/>
              <w:jc w:val="both"/>
              <w:rPr>
                <w:rFonts w:ascii="Arial" w:eastAsiaTheme="minorHAnsi" w:hAnsi="Arial"/>
                <w:b/>
                <w:bCs/>
                <w:sz w:val="20"/>
              </w:rPr>
            </w:pPr>
            <w:r w:rsidRPr="00422EB3">
              <w:rPr>
                <w:rFonts w:ascii="Arial" w:eastAsiaTheme="minorHAnsi" w:hAnsi="Arial"/>
                <w:b/>
                <w:bCs/>
                <w:sz w:val="20"/>
              </w:rPr>
              <w:lastRenderedPageBreak/>
              <w:t>Refund liabilities</w:t>
            </w:r>
          </w:p>
          <w:p w14:paraId="7DDB7D37" w14:textId="1925E8C9" w:rsidR="00BB6300" w:rsidRPr="00422EB3" w:rsidRDefault="00422EB3" w:rsidP="00422EB3">
            <w:pPr>
              <w:pStyle w:val="BodyText1"/>
              <w:spacing w:line="280" w:lineRule="exact"/>
              <w:jc w:val="both"/>
              <w:rPr>
                <w:rFonts w:ascii="Arial" w:eastAsiaTheme="minorHAnsi" w:hAnsi="Arial"/>
                <w:bCs/>
                <w:sz w:val="20"/>
              </w:rPr>
            </w:pPr>
            <w:r w:rsidRPr="00422EB3">
              <w:rPr>
                <w:rFonts w:ascii="Arial" w:eastAsiaTheme="minorHAnsi" w:hAnsi="Arial"/>
                <w:bCs/>
                <w:sz w:val="20"/>
              </w:rPr>
              <w:t>A refund liability is the obligation to refund some or all of the consideration received (or receivable) from the customer and is measured at the amount the Group ultimately expects it will have to return to the customer. The Group updates its estimates of refund liabilities (and the corresponding change in the transaction price) at the end of each reporting period. Refer to above accounting policy on variable consideration.</w:t>
            </w:r>
          </w:p>
          <w:tbl>
            <w:tblPr>
              <w:tblW w:w="9488" w:type="dxa"/>
              <w:tblBorders>
                <w:top w:val="nil"/>
                <w:left w:val="nil"/>
                <w:bottom w:val="nil"/>
                <w:right w:val="nil"/>
              </w:tblBorders>
              <w:tblLayout w:type="fixed"/>
              <w:tblLook w:val="0000" w:firstRow="0" w:lastRow="0" w:firstColumn="0" w:lastColumn="0" w:noHBand="0" w:noVBand="0"/>
            </w:tblPr>
            <w:tblGrid>
              <w:gridCol w:w="4743"/>
              <w:gridCol w:w="4745"/>
            </w:tblGrid>
            <w:tr w:rsidR="00422EB3" w:rsidRPr="00422EB3" w14:paraId="6F0939C4" w14:textId="0C024F9B" w:rsidTr="00A97EDC">
              <w:trPr>
                <w:trHeight w:val="90"/>
              </w:trPr>
              <w:tc>
                <w:tcPr>
                  <w:tcW w:w="4743" w:type="dxa"/>
                </w:tcPr>
                <w:p w14:paraId="685FA2FC" w14:textId="2932BCCF" w:rsidR="00422EB3" w:rsidRPr="00422EB3" w:rsidRDefault="00422EB3" w:rsidP="00174FDC">
                  <w:pPr>
                    <w:pStyle w:val="BodyText1"/>
                    <w:spacing w:line="280" w:lineRule="exact"/>
                    <w:ind w:left="-82"/>
                    <w:jc w:val="both"/>
                    <w:rPr>
                      <w:rFonts w:ascii="Arial" w:eastAsiaTheme="minorHAnsi" w:hAnsi="Arial"/>
                      <w:b/>
                      <w:bCs/>
                      <w:sz w:val="20"/>
                    </w:rPr>
                  </w:pPr>
                  <w:r w:rsidRPr="00422EB3">
                    <w:rPr>
                      <w:rFonts w:ascii="Arial" w:eastAsiaTheme="minorHAnsi" w:hAnsi="Arial"/>
                      <w:b/>
                      <w:bCs/>
                      <w:sz w:val="20"/>
                    </w:rPr>
                    <w:t xml:space="preserve">Cost to obtain a contract </w:t>
                  </w:r>
                </w:p>
              </w:tc>
              <w:tc>
                <w:tcPr>
                  <w:tcW w:w="4744" w:type="dxa"/>
                </w:tcPr>
                <w:p w14:paraId="37FC8F10" w14:textId="1A8218E9" w:rsidR="00422EB3" w:rsidRPr="00422EB3" w:rsidRDefault="00422EB3" w:rsidP="00422EB3">
                  <w:pPr>
                    <w:overflowPunct/>
                    <w:spacing w:line="240" w:lineRule="auto"/>
                    <w:textAlignment w:val="auto"/>
                    <w:rPr>
                      <w:rFonts w:ascii="EYInterstate" w:hAnsi="EYInterstate" w:cs="EYInterstate"/>
                      <w:color w:val="000000"/>
                      <w:sz w:val="13"/>
                      <w:szCs w:val="13"/>
                      <w:lang w:eastAsia="en-GB"/>
                    </w:rPr>
                  </w:pPr>
                </w:p>
              </w:tc>
            </w:tr>
            <w:tr w:rsidR="00422EB3" w:rsidRPr="00422EB3" w14:paraId="482CE8AF" w14:textId="12E10AA5" w:rsidTr="00A97EDC">
              <w:trPr>
                <w:trHeight w:val="570"/>
              </w:trPr>
              <w:tc>
                <w:tcPr>
                  <w:tcW w:w="9488" w:type="dxa"/>
                  <w:gridSpan w:val="2"/>
                </w:tcPr>
                <w:p w14:paraId="4FFA160E" w14:textId="688A4B04" w:rsidR="00422EB3" w:rsidRPr="00422EB3" w:rsidRDefault="00422EB3" w:rsidP="00174FDC">
                  <w:pPr>
                    <w:pStyle w:val="BodyText1"/>
                    <w:spacing w:line="280" w:lineRule="exact"/>
                    <w:ind w:left="-82"/>
                    <w:jc w:val="both"/>
                    <w:rPr>
                      <w:rFonts w:ascii="Arial" w:eastAsiaTheme="minorHAnsi" w:hAnsi="Arial"/>
                      <w:bCs/>
                      <w:sz w:val="20"/>
                    </w:rPr>
                  </w:pPr>
                  <w:r w:rsidRPr="00422EB3">
                    <w:rPr>
                      <w:rFonts w:ascii="Arial" w:eastAsiaTheme="minorHAnsi" w:hAnsi="Arial"/>
                      <w:bCs/>
                      <w:sz w:val="20"/>
                    </w:rPr>
                    <w:t>The Group pays sales commission to its employees for each contract that they obtain for bundled sales of equipment and installation services. The Group has elected to apply the optional practical expedient for costs to obtain a contract which allows the Group to immediate</w:t>
                  </w:r>
                  <w:r>
                    <w:rPr>
                      <w:rFonts w:ascii="Arial" w:eastAsiaTheme="minorHAnsi" w:hAnsi="Arial"/>
                      <w:bCs/>
                      <w:sz w:val="20"/>
                    </w:rPr>
                    <w:t xml:space="preserve">ly expense sales commissions </w:t>
                  </w:r>
                  <w:r w:rsidRPr="00422EB3">
                    <w:rPr>
                      <w:rFonts w:ascii="Arial" w:eastAsiaTheme="minorHAnsi" w:hAnsi="Arial"/>
                      <w:bCs/>
                      <w:sz w:val="20"/>
                    </w:rPr>
                    <w:t xml:space="preserve">because the amortisation period of the asset that the Group otherwise would have used is one year or less. </w:t>
                  </w:r>
                </w:p>
              </w:tc>
            </w:tr>
          </w:tbl>
          <w:p w14:paraId="3468034E" w14:textId="77777777" w:rsidR="00E17643" w:rsidRDefault="00E17643" w:rsidP="00BB14E5">
            <w:pPr>
              <w:pStyle w:val="Notesbodytext"/>
              <w:spacing w:after="0" w:line="280" w:lineRule="exact"/>
              <w:jc w:val="both"/>
              <w:rPr>
                <w:rFonts w:ascii="Arial" w:hAnsi="Arial"/>
                <w:sz w:val="20"/>
              </w:rPr>
            </w:pPr>
          </w:p>
          <w:p w14:paraId="73E9ADDD" w14:textId="3D9E561E" w:rsidR="0038417D" w:rsidRPr="0038417D" w:rsidRDefault="0038417D" w:rsidP="0038417D">
            <w:pPr>
              <w:pStyle w:val="Notesbodytext"/>
              <w:shd w:val="clear" w:color="auto" w:fill="C1C1C1" w:themeFill="background2" w:themeFillTint="66"/>
              <w:spacing w:after="0" w:line="280" w:lineRule="exact"/>
              <w:jc w:val="both"/>
              <w:rPr>
                <w:rFonts w:ascii="Arial" w:hAnsi="Arial"/>
                <w:b/>
                <w:bCs/>
                <w:sz w:val="20"/>
              </w:rPr>
            </w:pPr>
            <w:r w:rsidRPr="0038417D">
              <w:rPr>
                <w:rFonts w:ascii="Arial" w:hAnsi="Arial"/>
                <w:b/>
                <w:bCs/>
                <w:sz w:val="20"/>
              </w:rPr>
              <w:t>Author’s Note</w:t>
            </w:r>
          </w:p>
          <w:p w14:paraId="6D190D12" w14:textId="77777777" w:rsidR="0038417D" w:rsidRDefault="0038417D" w:rsidP="0038417D">
            <w:pPr>
              <w:pStyle w:val="Notesbodytext"/>
              <w:shd w:val="clear" w:color="auto" w:fill="C1C1C1" w:themeFill="background2" w:themeFillTint="66"/>
              <w:spacing w:after="0" w:line="280" w:lineRule="exact"/>
              <w:jc w:val="both"/>
              <w:rPr>
                <w:rFonts w:ascii="Arial" w:hAnsi="Arial"/>
                <w:sz w:val="20"/>
              </w:rPr>
            </w:pPr>
          </w:p>
          <w:p w14:paraId="4A82134F" w14:textId="0B4ED9A2" w:rsidR="0038417D" w:rsidRPr="0038417D" w:rsidRDefault="0038417D" w:rsidP="0038417D">
            <w:pPr>
              <w:pStyle w:val="Notesbodytext"/>
              <w:shd w:val="clear" w:color="auto" w:fill="C1C1C1" w:themeFill="background2" w:themeFillTint="66"/>
              <w:spacing w:line="280" w:lineRule="exact"/>
              <w:jc w:val="both"/>
              <w:rPr>
                <w:rFonts w:ascii="Arial" w:hAnsi="Arial"/>
                <w:sz w:val="20"/>
              </w:rPr>
            </w:pPr>
            <w:r w:rsidRPr="0038417D">
              <w:rPr>
                <w:rFonts w:ascii="Arial" w:hAnsi="Arial"/>
                <w:sz w:val="20"/>
              </w:rPr>
              <w:t>I</w:t>
            </w:r>
            <w:r>
              <w:rPr>
                <w:rFonts w:ascii="Arial" w:hAnsi="Arial"/>
                <w:sz w:val="20"/>
              </w:rPr>
              <w:t>nd</w:t>
            </w:r>
            <w:r w:rsidRPr="0038417D">
              <w:rPr>
                <w:rFonts w:ascii="Arial" w:hAnsi="Arial"/>
                <w:sz w:val="20"/>
              </w:rPr>
              <w:t xml:space="preserve"> AS 115 requires incremental costs of obtaining a contract and certain costs to fulfil a contract to be recognised as an asset if certain criteria are met. Any capitalised contract costs assets must be amortised on a systematic basis that is consistent with the entity’s transfer of the related goods or services to the customer.</w:t>
            </w:r>
          </w:p>
          <w:p w14:paraId="7B2B937D" w14:textId="77777777" w:rsidR="0038417D" w:rsidRPr="0038417D" w:rsidRDefault="0038417D" w:rsidP="0038417D">
            <w:pPr>
              <w:pStyle w:val="Notesbodytext"/>
              <w:shd w:val="clear" w:color="auto" w:fill="C1C1C1" w:themeFill="background2" w:themeFillTint="66"/>
              <w:spacing w:line="280" w:lineRule="exact"/>
              <w:jc w:val="both"/>
              <w:rPr>
                <w:rFonts w:ascii="Arial" w:hAnsi="Arial"/>
                <w:sz w:val="20"/>
              </w:rPr>
            </w:pPr>
            <w:r w:rsidRPr="0038417D">
              <w:rPr>
                <w:rFonts w:ascii="Arial" w:hAnsi="Arial"/>
                <w:sz w:val="20"/>
              </w:rPr>
              <w:t>The Group applied the practical expedient to immediately expense contract acquisition costs when the asset that would have resulted from capitalising such costs would have been amortised within one year or less. The Group does not incur any costs to obtain a contract and costs to fulfil a contract that are eligible for capitalisation.</w:t>
            </w:r>
          </w:p>
          <w:p w14:paraId="51C621CA" w14:textId="7146BFDB" w:rsidR="0038417D" w:rsidRPr="0038417D" w:rsidRDefault="0038417D" w:rsidP="0038417D">
            <w:pPr>
              <w:pStyle w:val="Notesbodytext"/>
              <w:shd w:val="clear" w:color="auto" w:fill="C1C1C1" w:themeFill="background2" w:themeFillTint="66"/>
              <w:spacing w:line="280" w:lineRule="exact"/>
              <w:jc w:val="both"/>
              <w:rPr>
                <w:rFonts w:ascii="Arial" w:hAnsi="Arial"/>
                <w:sz w:val="20"/>
              </w:rPr>
            </w:pPr>
            <w:r w:rsidRPr="0038417D">
              <w:rPr>
                <w:rFonts w:ascii="Arial" w:hAnsi="Arial"/>
                <w:sz w:val="20"/>
              </w:rPr>
              <w:t>Entities with costs to obtain a contract and costs to fulfil a contract recognised as an asset will need to consider the requirement in Ind AS 115.128 to separately disclose the closing balances and the amount of amortisation and impairment losses recognised during the period. However, I</w:t>
            </w:r>
            <w:r w:rsidR="00E93E06">
              <w:rPr>
                <w:rFonts w:ascii="Arial" w:hAnsi="Arial"/>
                <w:sz w:val="20"/>
              </w:rPr>
              <w:t>nd</w:t>
            </w:r>
            <w:r w:rsidRPr="0038417D">
              <w:rPr>
                <w:rFonts w:ascii="Arial" w:hAnsi="Arial"/>
                <w:sz w:val="20"/>
              </w:rPr>
              <w:t xml:space="preserve"> AS 115 is silent on the classification of that asset and the related amortisation. In the absence of a standard that specifically deals with classification and presentation of contract costs, entities will need to apply the requirements in Ind AS 8 to select an appropriate accounting policy. In developing such an accounting policy, costs to obtain a contract and costs to fulfil a contract need to be considered separately for the purpose of presentation in the financial statements.</w:t>
            </w:r>
          </w:p>
          <w:p w14:paraId="390B1421" w14:textId="77777777" w:rsidR="0038417D" w:rsidRPr="0038417D" w:rsidRDefault="0038417D" w:rsidP="0038417D">
            <w:pPr>
              <w:pStyle w:val="Notesbodytext"/>
              <w:shd w:val="clear" w:color="auto" w:fill="C1C1C1" w:themeFill="background2" w:themeFillTint="66"/>
              <w:spacing w:line="280" w:lineRule="exact"/>
              <w:jc w:val="both"/>
              <w:rPr>
                <w:rFonts w:ascii="Arial" w:hAnsi="Arial"/>
                <w:sz w:val="20"/>
              </w:rPr>
            </w:pPr>
            <w:r w:rsidRPr="0038417D">
              <w:rPr>
                <w:rFonts w:ascii="Arial" w:hAnsi="Arial"/>
                <w:sz w:val="20"/>
              </w:rPr>
              <w:t>Considering the nature of costs to obtain a contract and the lack of guidance in Ind AS, an entity may choose to present these costs as either:</w:t>
            </w:r>
          </w:p>
          <w:p w14:paraId="79101658" w14:textId="77777777" w:rsidR="0038417D" w:rsidRPr="0038417D" w:rsidRDefault="0038417D" w:rsidP="0038417D">
            <w:pPr>
              <w:pStyle w:val="Notesbodytext"/>
              <w:shd w:val="clear" w:color="auto" w:fill="C1C1C1" w:themeFill="background2" w:themeFillTint="66"/>
              <w:spacing w:line="280" w:lineRule="exact"/>
              <w:jc w:val="both"/>
              <w:rPr>
                <w:rFonts w:ascii="Arial" w:hAnsi="Arial"/>
                <w:sz w:val="20"/>
              </w:rPr>
            </w:pPr>
            <w:r w:rsidRPr="0038417D">
              <w:rPr>
                <w:rFonts w:ascii="Arial" w:hAnsi="Arial"/>
                <w:sz w:val="20"/>
              </w:rPr>
              <w:t>• A separate class of intangible assets in the balance sheet and its amortisation in the same line item as amortisation of intangible assets within the scope of Ind AS 38 Intangible Assets</w:t>
            </w:r>
          </w:p>
          <w:p w14:paraId="79361E6F" w14:textId="77777777" w:rsidR="0038417D" w:rsidRPr="0038417D" w:rsidRDefault="0038417D" w:rsidP="0038417D">
            <w:pPr>
              <w:pStyle w:val="Notesbodytext"/>
              <w:shd w:val="clear" w:color="auto" w:fill="C1C1C1" w:themeFill="background2" w:themeFillTint="66"/>
              <w:spacing w:line="280" w:lineRule="exact"/>
              <w:jc w:val="both"/>
              <w:rPr>
                <w:rFonts w:ascii="Arial" w:hAnsi="Arial"/>
                <w:sz w:val="20"/>
              </w:rPr>
            </w:pPr>
            <w:r w:rsidRPr="0038417D">
              <w:rPr>
                <w:rFonts w:ascii="Arial" w:hAnsi="Arial"/>
                <w:sz w:val="20"/>
              </w:rPr>
              <w:t>Or</w:t>
            </w:r>
          </w:p>
          <w:p w14:paraId="2C3A7AE4" w14:textId="77777777" w:rsidR="0038417D" w:rsidRPr="0038417D" w:rsidRDefault="0038417D" w:rsidP="0038417D">
            <w:pPr>
              <w:pStyle w:val="Notesbodytext"/>
              <w:shd w:val="clear" w:color="auto" w:fill="C1C1C1" w:themeFill="background2" w:themeFillTint="66"/>
              <w:spacing w:line="280" w:lineRule="exact"/>
              <w:jc w:val="both"/>
              <w:rPr>
                <w:rFonts w:ascii="Arial" w:hAnsi="Arial"/>
                <w:sz w:val="20"/>
              </w:rPr>
            </w:pPr>
            <w:r w:rsidRPr="0038417D">
              <w:rPr>
                <w:rFonts w:ascii="Arial" w:hAnsi="Arial"/>
                <w:sz w:val="20"/>
              </w:rPr>
              <w:t>• A separate class of asset (similar in nature to work in progress or ‘inventory’) in the balance sheet and its amortisation within cost of goods sold, changes in contract costs or similar</w:t>
            </w:r>
          </w:p>
          <w:p w14:paraId="5A894C53" w14:textId="77777777" w:rsidR="0038417D" w:rsidRPr="0038417D" w:rsidRDefault="0038417D" w:rsidP="0038417D">
            <w:pPr>
              <w:pStyle w:val="Notesbodytext"/>
              <w:shd w:val="clear" w:color="auto" w:fill="C1C1C1" w:themeFill="background2" w:themeFillTint="66"/>
              <w:spacing w:line="280" w:lineRule="exact"/>
              <w:jc w:val="both"/>
              <w:rPr>
                <w:rFonts w:ascii="Arial" w:hAnsi="Arial"/>
                <w:sz w:val="20"/>
              </w:rPr>
            </w:pPr>
            <w:r w:rsidRPr="0038417D">
              <w:rPr>
                <w:rFonts w:ascii="Arial" w:hAnsi="Arial"/>
                <w:sz w:val="20"/>
              </w:rPr>
              <w:t>In addition, entities need to consider the requirements in Ind AS 7 Statement of Cash Flows, in particular Ind AS 7.16(a), when determining the classification of cash flows arising from costs to obtain a contract, i.e., either as cash flow from operating activities or investing activities.</w:t>
            </w:r>
          </w:p>
          <w:p w14:paraId="604201A3" w14:textId="635DF81A" w:rsidR="0038417D" w:rsidRPr="0038417D" w:rsidRDefault="0038417D" w:rsidP="0038417D">
            <w:pPr>
              <w:pStyle w:val="Notesbodytext"/>
              <w:shd w:val="clear" w:color="auto" w:fill="C1C1C1" w:themeFill="background2" w:themeFillTint="66"/>
              <w:spacing w:line="280" w:lineRule="exact"/>
              <w:jc w:val="both"/>
              <w:rPr>
                <w:rFonts w:ascii="Arial" w:hAnsi="Arial"/>
                <w:sz w:val="20"/>
              </w:rPr>
            </w:pPr>
            <w:r w:rsidRPr="0038417D">
              <w:rPr>
                <w:rFonts w:ascii="Arial" w:hAnsi="Arial"/>
                <w:sz w:val="20"/>
              </w:rPr>
              <w:t>In contrast, the nature of costs to fulfil a contract is such that they directly impact the entity’s performance under the contract. Therefore, costs to fulfil a contract should be presented as a separate class of asset in the statement of balance sheet and its amortisation within cost of goods sold, changes in contract costs or similar.</w:t>
            </w:r>
          </w:p>
          <w:p w14:paraId="5F45C339" w14:textId="1F8B5111" w:rsidR="0038417D" w:rsidRPr="0038417D" w:rsidRDefault="0038417D" w:rsidP="0038417D">
            <w:pPr>
              <w:pStyle w:val="Notesbodytext"/>
              <w:shd w:val="clear" w:color="auto" w:fill="C1C1C1" w:themeFill="background2" w:themeFillTint="66"/>
              <w:spacing w:line="280" w:lineRule="exact"/>
              <w:jc w:val="both"/>
              <w:rPr>
                <w:rFonts w:ascii="Arial" w:hAnsi="Arial"/>
                <w:sz w:val="20"/>
              </w:rPr>
            </w:pPr>
            <w:r w:rsidRPr="0038417D">
              <w:rPr>
                <w:rFonts w:ascii="Arial" w:hAnsi="Arial"/>
                <w:sz w:val="20"/>
              </w:rPr>
              <w:lastRenderedPageBreak/>
              <w:t>Regardless whether costs to fulfil a contract meet the criteria for capitalisation in Ind AS 115.95 or are expensed as incurred, the presentation of such costs in the statement of profit and loss and the presentation of related cash flows in the statement of cash flows needs to be consistent.</w:t>
            </w:r>
          </w:p>
          <w:p w14:paraId="731B2026" w14:textId="7A4576B7" w:rsidR="0038417D" w:rsidRDefault="0038417D" w:rsidP="0038417D">
            <w:pPr>
              <w:pStyle w:val="Notesbodytext"/>
              <w:shd w:val="clear" w:color="auto" w:fill="C1C1C1" w:themeFill="background2" w:themeFillTint="66"/>
              <w:spacing w:after="0" w:line="280" w:lineRule="exact"/>
              <w:jc w:val="both"/>
              <w:rPr>
                <w:rFonts w:ascii="Arial" w:hAnsi="Arial"/>
                <w:sz w:val="20"/>
              </w:rPr>
            </w:pPr>
            <w:r w:rsidRPr="0038417D">
              <w:rPr>
                <w:rFonts w:ascii="Arial" w:hAnsi="Arial"/>
                <w:sz w:val="20"/>
              </w:rPr>
              <w:t xml:space="preserve">Capitalised contract costs are subject to an impairment assessment at the end of each reporting period. Impairment losses are recognised in profit </w:t>
            </w:r>
            <w:r w:rsidR="00CC0BDD">
              <w:rPr>
                <w:rFonts w:ascii="Arial" w:hAnsi="Arial"/>
                <w:sz w:val="20"/>
              </w:rPr>
              <w:t>or</w:t>
            </w:r>
            <w:r w:rsidRPr="0038417D">
              <w:rPr>
                <w:rFonts w:ascii="Arial" w:hAnsi="Arial"/>
                <w:sz w:val="20"/>
              </w:rPr>
              <w:t xml:space="preserve"> loss, but the standard is silent on where to present such amounts within the primary financial statements. It would be appropriate for the presentation of any impairment losses to be consistent with the presentation of the amortisation expense.</w:t>
            </w:r>
          </w:p>
          <w:p w14:paraId="7D5B320A" w14:textId="77777777" w:rsidR="0038417D" w:rsidRDefault="0038417D" w:rsidP="00BB14E5">
            <w:pPr>
              <w:pStyle w:val="Notesbodytext"/>
              <w:spacing w:after="0" w:line="280" w:lineRule="exact"/>
              <w:jc w:val="both"/>
              <w:rPr>
                <w:rFonts w:ascii="Arial" w:hAnsi="Arial"/>
                <w:sz w:val="20"/>
              </w:rPr>
            </w:pPr>
          </w:p>
          <w:p w14:paraId="7DE753FE" w14:textId="72AD4C76" w:rsidR="0038417D" w:rsidRPr="00E70587" w:rsidRDefault="0038417D" w:rsidP="00BB14E5">
            <w:pPr>
              <w:pStyle w:val="Notesbodytext"/>
              <w:spacing w:after="0" w:line="280" w:lineRule="exact"/>
              <w:jc w:val="both"/>
              <w:rPr>
                <w:rFonts w:ascii="Arial" w:hAnsi="Arial"/>
                <w:sz w:val="20"/>
              </w:rPr>
            </w:pPr>
          </w:p>
        </w:tc>
      </w:tr>
      <w:tr w:rsidR="00E17643" w:rsidRPr="00E70587" w14:paraId="555D9DAD" w14:textId="77777777" w:rsidTr="006939C8">
        <w:tc>
          <w:tcPr>
            <w:tcW w:w="9630" w:type="dxa"/>
          </w:tcPr>
          <w:p w14:paraId="1FD3A201" w14:textId="77777777" w:rsidR="00E17643" w:rsidRPr="00E70587" w:rsidRDefault="00E17643" w:rsidP="00E17643">
            <w:pPr>
              <w:pStyle w:val="Heading4"/>
              <w:keepNext w:val="0"/>
              <w:numPr>
                <w:ilvl w:val="0"/>
                <w:numId w:val="4"/>
              </w:numPr>
              <w:tabs>
                <w:tab w:val="clear" w:pos="357"/>
              </w:tabs>
              <w:spacing w:before="0" w:after="0" w:line="280" w:lineRule="exact"/>
              <w:ind w:left="318" w:hanging="318"/>
              <w:jc w:val="both"/>
              <w:rPr>
                <w:rFonts w:ascii="Arial" w:hAnsi="Arial" w:cs="Arial"/>
                <w:szCs w:val="20"/>
              </w:rPr>
            </w:pPr>
            <w:r w:rsidRPr="00E70587">
              <w:rPr>
                <w:rFonts w:ascii="Arial" w:hAnsi="Arial" w:cs="Arial"/>
                <w:szCs w:val="20"/>
              </w:rPr>
              <w:lastRenderedPageBreak/>
              <w:t>Government grants</w:t>
            </w:r>
          </w:p>
          <w:p w14:paraId="14FAB078" w14:textId="77777777" w:rsidR="00E17643" w:rsidRPr="00E70587" w:rsidRDefault="00E17643" w:rsidP="00E17643">
            <w:pPr>
              <w:pStyle w:val="Notesbodytext"/>
              <w:spacing w:after="0" w:line="280" w:lineRule="exact"/>
              <w:jc w:val="both"/>
              <w:rPr>
                <w:rFonts w:ascii="Arial" w:hAnsi="Arial"/>
                <w:color w:val="auto"/>
                <w:sz w:val="20"/>
              </w:rPr>
            </w:pPr>
          </w:p>
          <w:p w14:paraId="7050B698"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Government grants are recognised where there is reasonable assurance that the grant will be received and all attached conditions will be complied with. When the grant relates to an expense item, it is recognised as income on a systematic basis over the periods that the related costs, for which it is intended to compensate, are expensed. When the grant relates to an asset, it is recognised as income in equal amounts over the expected useful life of the related asset.</w:t>
            </w:r>
          </w:p>
          <w:p w14:paraId="6379DE9A" w14:textId="77777777" w:rsidR="00E17643" w:rsidRPr="00E70587" w:rsidRDefault="00E17643" w:rsidP="00E17643">
            <w:pPr>
              <w:pStyle w:val="Notesbodytext"/>
              <w:spacing w:after="0" w:line="280" w:lineRule="exact"/>
              <w:ind w:left="72"/>
              <w:jc w:val="both"/>
              <w:rPr>
                <w:rFonts w:ascii="Arial" w:hAnsi="Arial"/>
                <w:color w:val="auto"/>
                <w:sz w:val="20"/>
              </w:rPr>
            </w:pPr>
          </w:p>
        </w:tc>
      </w:tr>
      <w:tr w:rsidR="00E17643" w:rsidRPr="00E70587" w14:paraId="0A7A814B" w14:textId="77777777" w:rsidTr="006939C8">
        <w:tc>
          <w:tcPr>
            <w:tcW w:w="9630" w:type="dxa"/>
          </w:tcPr>
          <w:p w14:paraId="0376C6A0" w14:textId="0020A3CD"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 xml:space="preserve">When the Group receives grants of non-monetary assets, the asset and the grant are recorded at fair value amounts and released to profit </w:t>
            </w:r>
            <w:r w:rsidR="0089280C">
              <w:rPr>
                <w:rFonts w:ascii="Arial" w:hAnsi="Arial"/>
                <w:color w:val="auto"/>
                <w:sz w:val="20"/>
              </w:rPr>
              <w:t>or</w:t>
            </w:r>
            <w:r w:rsidRPr="00E70587">
              <w:rPr>
                <w:rFonts w:ascii="Arial" w:hAnsi="Arial"/>
                <w:color w:val="auto"/>
                <w:sz w:val="20"/>
              </w:rPr>
              <w:t xml:space="preserve"> loss over the expected useful life in a pattern of consumption of the benefit of the underlying asset by equal annual instalments. When loans or similar assistance are provided by governments or related institutions, with an interest rate below the current applicable market rate, the effect of this favourable interest is regarded as a government grant. The loan or assistance is initially recognised and measured at fair value and the government grant is measured as the difference between the initial carrying value of the loan and the proceeds received. The loan is subsequently measured as per the accounting policy applicable to financial liabilities.</w:t>
            </w:r>
          </w:p>
          <w:p w14:paraId="7EAE9441" w14:textId="77777777" w:rsidR="00E17643" w:rsidRPr="00E70587" w:rsidRDefault="00E17643" w:rsidP="00E17643">
            <w:pPr>
              <w:pStyle w:val="Notesbodytext"/>
              <w:spacing w:after="0" w:line="280" w:lineRule="exact"/>
              <w:jc w:val="both"/>
              <w:rPr>
                <w:rFonts w:ascii="Arial" w:hAnsi="Arial"/>
                <w:color w:val="auto"/>
                <w:sz w:val="20"/>
              </w:rPr>
            </w:pPr>
          </w:p>
        </w:tc>
      </w:tr>
      <w:tr w:rsidR="00D508A7" w:rsidRPr="00E70587" w14:paraId="7429DB43" w14:textId="77777777" w:rsidTr="006939C8">
        <w:tc>
          <w:tcPr>
            <w:tcW w:w="9630" w:type="dxa"/>
            <w:shd w:val="clear" w:color="auto" w:fill="D9D9D9" w:themeFill="text2" w:themeFillShade="D9"/>
          </w:tcPr>
          <w:p w14:paraId="18BEE181" w14:textId="7F38AD5C" w:rsidR="00D508A7" w:rsidRDefault="00071D02" w:rsidP="00D508A7">
            <w:pPr>
              <w:spacing w:before="120"/>
              <w:rPr>
                <w:rFonts w:ascii="Arial" w:hAnsi="Arial"/>
                <w:b/>
                <w:sz w:val="20"/>
              </w:rPr>
            </w:pPr>
            <w:r>
              <w:rPr>
                <w:rFonts w:ascii="Arial" w:hAnsi="Arial"/>
                <w:b/>
                <w:sz w:val="20"/>
              </w:rPr>
              <w:t>Author’s Note</w:t>
            </w:r>
          </w:p>
          <w:p w14:paraId="0C547BE3" w14:textId="487DD2DF" w:rsidR="001A1905" w:rsidRPr="001A1905" w:rsidRDefault="001A1905" w:rsidP="001A1905">
            <w:pPr>
              <w:pStyle w:val="Notesbodytext"/>
              <w:spacing w:line="280" w:lineRule="exact"/>
              <w:jc w:val="both"/>
              <w:rPr>
                <w:rFonts w:ascii="Arial" w:hAnsi="Arial"/>
                <w:sz w:val="20"/>
                <w:szCs w:val="22"/>
              </w:rPr>
            </w:pPr>
            <w:r w:rsidRPr="001A1905">
              <w:rPr>
                <w:rFonts w:ascii="Arial" w:hAnsi="Arial"/>
                <w:sz w:val="20"/>
                <w:szCs w:val="22"/>
              </w:rPr>
              <w:t xml:space="preserve">Ind AS 20.24 permits two alternative ways of presenting a government grant relating to assets. The Group has elected to present the grant in the balance sheet as deferred income, which is recognised in profit </w:t>
            </w:r>
            <w:r w:rsidR="00C6248C">
              <w:rPr>
                <w:rFonts w:ascii="Arial" w:hAnsi="Arial"/>
                <w:sz w:val="20"/>
                <w:szCs w:val="22"/>
              </w:rPr>
              <w:t>or</w:t>
            </w:r>
            <w:r w:rsidRPr="001A1905">
              <w:rPr>
                <w:rFonts w:ascii="Arial" w:hAnsi="Arial"/>
                <w:sz w:val="20"/>
                <w:szCs w:val="22"/>
              </w:rPr>
              <w:t xml:space="preserve"> loss on a systematic and rational basis over the useful life of the asset. Alternatively, it may choose to reduce the carrying amount of the asset. The grant is then recognised in profit </w:t>
            </w:r>
            <w:r w:rsidR="00C6248C">
              <w:rPr>
                <w:rFonts w:ascii="Arial" w:hAnsi="Arial"/>
                <w:sz w:val="20"/>
                <w:szCs w:val="22"/>
              </w:rPr>
              <w:t>or</w:t>
            </w:r>
            <w:r w:rsidRPr="001A1905">
              <w:rPr>
                <w:rFonts w:ascii="Arial" w:hAnsi="Arial"/>
                <w:sz w:val="20"/>
                <w:szCs w:val="22"/>
              </w:rPr>
              <w:t xml:space="preserve"> loss over the useful life of the depreciable asset by way of a reduced depreciation charge. Whichever method is applied, no further disclosures are required.  </w:t>
            </w:r>
          </w:p>
          <w:p w14:paraId="20216405" w14:textId="77777777" w:rsidR="001A1905" w:rsidRPr="001A1905" w:rsidRDefault="001A1905" w:rsidP="001A1905">
            <w:pPr>
              <w:pStyle w:val="Notesbodytext"/>
              <w:spacing w:line="280" w:lineRule="exact"/>
              <w:jc w:val="both"/>
              <w:rPr>
                <w:rFonts w:ascii="Arial" w:hAnsi="Arial"/>
                <w:sz w:val="20"/>
                <w:szCs w:val="22"/>
              </w:rPr>
            </w:pPr>
            <w:r w:rsidRPr="001A1905">
              <w:rPr>
                <w:rFonts w:ascii="Arial" w:hAnsi="Arial"/>
                <w:sz w:val="20"/>
                <w:szCs w:val="22"/>
              </w:rPr>
              <w:t xml:space="preserve">The Group has chosen to present grants related to an expense item as other operating income in the statement of profit and loss. Alternatively, Ind AS 20.29 permits grants related to income to be deducted in reporting the related expense. </w:t>
            </w:r>
          </w:p>
          <w:p w14:paraId="451DECA3" w14:textId="3C2271EE" w:rsidR="00D508A7" w:rsidRPr="001A1905" w:rsidRDefault="001A1905" w:rsidP="001A1905">
            <w:pPr>
              <w:pStyle w:val="Notesbodytext"/>
              <w:spacing w:after="0" w:line="280" w:lineRule="exact"/>
              <w:jc w:val="both"/>
              <w:rPr>
                <w:rFonts w:ascii="Arial" w:hAnsi="Arial"/>
                <w:sz w:val="20"/>
                <w:szCs w:val="22"/>
              </w:rPr>
            </w:pPr>
            <w:r w:rsidRPr="001A1905">
              <w:rPr>
                <w:rFonts w:ascii="Arial" w:hAnsi="Arial"/>
                <w:sz w:val="20"/>
                <w:szCs w:val="22"/>
              </w:rPr>
              <w:t>Ind AS 20.23 permits grant of a non-monetary asset to be accounted for in two alternative ways. The asset and the grant can be accounted for using a nominal amount. Alternatively, the asset and the grant can be accounted for at the fair value of the non-monetary asset. The Group accounts for grants of non-monetary assets at nominal value.</w:t>
            </w:r>
          </w:p>
          <w:p w14:paraId="6DDDE1BC" w14:textId="38238123" w:rsidR="001A1905" w:rsidRPr="00E70587" w:rsidRDefault="001A1905" w:rsidP="001A1905">
            <w:pPr>
              <w:pStyle w:val="Notesbodytext"/>
              <w:spacing w:after="0" w:line="280" w:lineRule="exact"/>
              <w:jc w:val="both"/>
              <w:rPr>
                <w:rFonts w:ascii="Arial" w:hAnsi="Arial"/>
                <w:color w:val="auto"/>
                <w:sz w:val="20"/>
              </w:rPr>
            </w:pPr>
          </w:p>
        </w:tc>
      </w:tr>
    </w:tbl>
    <w:p w14:paraId="33434E66" w14:textId="77777777" w:rsidR="001A1905" w:rsidRDefault="001A1905">
      <w:r>
        <w:rPr>
          <w:b/>
          <w:bCs/>
        </w:rPr>
        <w:br w:type="page"/>
      </w:r>
    </w:p>
    <w:tbl>
      <w:tblPr>
        <w:tblW w:w="9630" w:type="dxa"/>
        <w:tblLayout w:type="fixed"/>
        <w:tblLook w:val="0000" w:firstRow="0" w:lastRow="0" w:firstColumn="0" w:lastColumn="0" w:noHBand="0" w:noVBand="0"/>
      </w:tblPr>
      <w:tblGrid>
        <w:gridCol w:w="9630"/>
      </w:tblGrid>
      <w:tr w:rsidR="00E17643" w:rsidRPr="00E70587" w14:paraId="56C352AC" w14:textId="77777777" w:rsidTr="006939C8">
        <w:tc>
          <w:tcPr>
            <w:tcW w:w="9630" w:type="dxa"/>
          </w:tcPr>
          <w:p w14:paraId="04CD7DD3" w14:textId="6F232B5C" w:rsidR="00E17643" w:rsidRPr="00E70587" w:rsidRDefault="00E17643" w:rsidP="00E17643">
            <w:pPr>
              <w:pStyle w:val="Heading4"/>
              <w:keepNext w:val="0"/>
              <w:numPr>
                <w:ilvl w:val="0"/>
                <w:numId w:val="4"/>
              </w:numPr>
              <w:tabs>
                <w:tab w:val="clear" w:pos="357"/>
              </w:tabs>
              <w:spacing w:before="0" w:after="0" w:line="280" w:lineRule="exact"/>
              <w:jc w:val="both"/>
              <w:rPr>
                <w:rFonts w:ascii="Arial" w:hAnsi="Arial" w:cs="Arial"/>
                <w:szCs w:val="20"/>
              </w:rPr>
            </w:pPr>
            <w:r w:rsidRPr="00E70587">
              <w:rPr>
                <w:rFonts w:ascii="Arial" w:hAnsi="Arial" w:cs="Arial"/>
                <w:szCs w:val="20"/>
              </w:rPr>
              <w:lastRenderedPageBreak/>
              <w:t>Taxes</w:t>
            </w:r>
          </w:p>
          <w:p w14:paraId="5A60AB18" w14:textId="77777777" w:rsidR="00E17643" w:rsidRPr="00E70587" w:rsidRDefault="00E17643" w:rsidP="00E17643">
            <w:pPr>
              <w:pStyle w:val="Notesitalicheading"/>
              <w:spacing w:line="280" w:lineRule="exact"/>
              <w:jc w:val="both"/>
              <w:rPr>
                <w:rFonts w:ascii="Arial" w:hAnsi="Arial"/>
                <w:b w:val="0"/>
                <w:i w:val="0"/>
                <w:color w:val="auto"/>
                <w:sz w:val="20"/>
              </w:rPr>
            </w:pPr>
          </w:p>
          <w:p w14:paraId="49908E56" w14:textId="77777777" w:rsidR="00E17643" w:rsidRPr="00E70587" w:rsidRDefault="00E17643" w:rsidP="00E17643">
            <w:pPr>
              <w:pStyle w:val="Notesitalicheading"/>
              <w:spacing w:line="280" w:lineRule="exact"/>
              <w:jc w:val="both"/>
              <w:rPr>
                <w:rFonts w:ascii="Arial" w:hAnsi="Arial"/>
                <w:color w:val="auto"/>
                <w:sz w:val="20"/>
              </w:rPr>
            </w:pPr>
            <w:r w:rsidRPr="00E70587">
              <w:rPr>
                <w:rFonts w:ascii="Arial" w:hAnsi="Arial"/>
                <w:color w:val="auto"/>
                <w:sz w:val="20"/>
              </w:rPr>
              <w:t>Current income tax</w:t>
            </w:r>
          </w:p>
          <w:p w14:paraId="49B1522F" w14:textId="77777777" w:rsidR="00E17643" w:rsidRPr="00E70587" w:rsidRDefault="00E17643" w:rsidP="00E17643">
            <w:pPr>
              <w:pStyle w:val="Notesbodytext"/>
              <w:spacing w:after="0" w:line="280" w:lineRule="exact"/>
              <w:jc w:val="both"/>
              <w:rPr>
                <w:rFonts w:ascii="Arial" w:hAnsi="Arial"/>
                <w:color w:val="auto"/>
                <w:sz w:val="20"/>
              </w:rPr>
            </w:pPr>
          </w:p>
          <w:p w14:paraId="32AA9FDB"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 xml:space="preserve">Current income tax assets and liabilities are measured at the amount expected to be recovered from or paid to the taxation authorities. The tax rates and tax laws used to compute the amount are those that are enacted or substantively enacted, at the reporting date in the countries where </w:t>
            </w:r>
            <w:r w:rsidRPr="00E70587">
              <w:rPr>
                <w:rFonts w:ascii="Arial" w:hAnsi="Arial"/>
                <w:iCs/>
                <w:color w:val="auto"/>
                <w:sz w:val="20"/>
              </w:rPr>
              <w:t>the Group operates and generates taxable income.</w:t>
            </w:r>
          </w:p>
        </w:tc>
      </w:tr>
      <w:tr w:rsidR="00E17643" w:rsidRPr="00E70587" w14:paraId="12953372" w14:textId="77777777" w:rsidTr="006939C8">
        <w:tc>
          <w:tcPr>
            <w:tcW w:w="9630" w:type="dxa"/>
          </w:tcPr>
          <w:p w14:paraId="1E478094" w14:textId="77777777" w:rsidR="00E17643" w:rsidRPr="00E70587" w:rsidRDefault="00E17643" w:rsidP="00E17643">
            <w:pPr>
              <w:pStyle w:val="Notesbodytext"/>
              <w:spacing w:after="0" w:line="280" w:lineRule="exact"/>
              <w:jc w:val="both"/>
              <w:rPr>
                <w:rFonts w:ascii="Arial" w:hAnsi="Arial"/>
                <w:color w:val="auto"/>
                <w:sz w:val="20"/>
              </w:rPr>
            </w:pPr>
          </w:p>
          <w:p w14:paraId="381C7D6A" w14:textId="236BE146"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 xml:space="preserve">Current income tax relating to items recognised outside profit </w:t>
            </w:r>
            <w:r w:rsidR="0089280C">
              <w:rPr>
                <w:rFonts w:ascii="Arial" w:hAnsi="Arial"/>
                <w:color w:val="auto"/>
                <w:sz w:val="20"/>
              </w:rPr>
              <w:t>or</w:t>
            </w:r>
            <w:r w:rsidRPr="00E70587">
              <w:rPr>
                <w:rFonts w:ascii="Arial" w:hAnsi="Arial"/>
                <w:color w:val="auto"/>
                <w:sz w:val="20"/>
              </w:rPr>
              <w:t xml:space="preserve"> loss is recognised outside profit </w:t>
            </w:r>
            <w:r w:rsidR="0089280C">
              <w:rPr>
                <w:rFonts w:ascii="Arial" w:hAnsi="Arial"/>
                <w:color w:val="auto"/>
                <w:sz w:val="20"/>
              </w:rPr>
              <w:t>or</w:t>
            </w:r>
            <w:r w:rsidRPr="00E70587">
              <w:rPr>
                <w:rFonts w:ascii="Arial" w:hAnsi="Arial"/>
                <w:color w:val="auto"/>
                <w:sz w:val="20"/>
              </w:rPr>
              <w:t xml:space="preserve"> loss. Current tax items are recognised in correlation to the underlying transaction either in OCI or directly in equity. Management periodically evaluates positions taken in the tax returns with respect to situations in which applicable tax regulations are subject to interpretation and establishes provisions where appropriate.</w:t>
            </w:r>
          </w:p>
          <w:p w14:paraId="38042892"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2DE70CD2" w14:textId="77777777" w:rsidTr="006939C8">
        <w:tc>
          <w:tcPr>
            <w:tcW w:w="9630" w:type="dxa"/>
          </w:tcPr>
          <w:p w14:paraId="00E35E0E" w14:textId="77777777" w:rsidR="00E17643" w:rsidRPr="00E70587" w:rsidRDefault="00E17643" w:rsidP="00E17643">
            <w:pPr>
              <w:pStyle w:val="Notesitalicheading"/>
              <w:spacing w:line="280" w:lineRule="exact"/>
              <w:jc w:val="both"/>
              <w:rPr>
                <w:rFonts w:ascii="Arial" w:hAnsi="Arial"/>
                <w:color w:val="auto"/>
                <w:sz w:val="20"/>
              </w:rPr>
            </w:pPr>
            <w:r w:rsidRPr="00E70587">
              <w:rPr>
                <w:rFonts w:ascii="Arial" w:hAnsi="Arial"/>
                <w:color w:val="auto"/>
                <w:sz w:val="20"/>
              </w:rPr>
              <w:t>Deferred tax</w:t>
            </w:r>
          </w:p>
          <w:p w14:paraId="2D9BF70F" w14:textId="77777777" w:rsidR="00E17643" w:rsidRPr="00E70587" w:rsidRDefault="00E17643" w:rsidP="00E17643">
            <w:pPr>
              <w:pStyle w:val="Notesbodytext"/>
              <w:spacing w:after="0" w:line="280" w:lineRule="exact"/>
              <w:jc w:val="both"/>
              <w:rPr>
                <w:rFonts w:ascii="Arial" w:hAnsi="Arial"/>
                <w:color w:val="auto"/>
                <w:sz w:val="20"/>
              </w:rPr>
            </w:pPr>
          </w:p>
          <w:p w14:paraId="5361C83A"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Deferred tax is provided using the liability method on temporary differences between the tax bases of assets and liabilities and their carrying amounts for financial reporting purposes at the reporting date.</w:t>
            </w:r>
          </w:p>
          <w:p w14:paraId="694B2CE0" w14:textId="77777777" w:rsidR="00E17643" w:rsidRPr="00E70587" w:rsidRDefault="00E17643" w:rsidP="00E17643">
            <w:pPr>
              <w:pStyle w:val="Notesbodytext"/>
              <w:spacing w:after="0" w:line="280" w:lineRule="exact"/>
              <w:jc w:val="both"/>
              <w:rPr>
                <w:rFonts w:ascii="Arial" w:hAnsi="Arial"/>
                <w:color w:val="auto"/>
                <w:sz w:val="20"/>
              </w:rPr>
            </w:pPr>
          </w:p>
          <w:p w14:paraId="040580C5"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Deferred tax liabilities are recognised for all taxable temporary differences, except:</w:t>
            </w:r>
          </w:p>
          <w:p w14:paraId="6229AE8D"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When the deferred tax liability arises from the initial recognition of goodwill or an asset or liability in a transaction that is not a business combination and, at the time of the transaction, affects neither the accounting profit nor taxable profit or loss</w:t>
            </w:r>
          </w:p>
          <w:p w14:paraId="741A3EC5"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In respect of taxable temporary differences associated with investments in subsidiaries, associates and interests in joint ventures, when the timing of the reversal of the temporary differences can be controlled and it is probable that the temporary differences will not reverse in the foreseeable future</w:t>
            </w:r>
          </w:p>
        </w:tc>
      </w:tr>
      <w:tr w:rsidR="00E17643" w:rsidRPr="00E70587" w14:paraId="6FF624A4" w14:textId="77777777" w:rsidTr="006939C8">
        <w:tc>
          <w:tcPr>
            <w:tcW w:w="9630" w:type="dxa"/>
          </w:tcPr>
          <w:p w14:paraId="13E39481" w14:textId="77777777" w:rsidR="00E17643" w:rsidRPr="00E70587" w:rsidRDefault="00E17643" w:rsidP="00E17643">
            <w:pPr>
              <w:pStyle w:val="Notesbodytext"/>
              <w:spacing w:after="0" w:line="280" w:lineRule="exact"/>
              <w:jc w:val="both"/>
              <w:rPr>
                <w:rFonts w:ascii="Arial" w:hAnsi="Arial"/>
                <w:color w:val="auto"/>
                <w:sz w:val="20"/>
              </w:rPr>
            </w:pPr>
          </w:p>
          <w:p w14:paraId="1CC4E5E4"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Deferred tax assets are recognised for all deductible temporary differences, the carry forward of unused tax credits and any unused tax losses. Deferred tax assets are recognised to the extent that it is probable that taxable profit will be available against which the deductible temporary differences, and the carry forward of unused tax credits and unused tax losses can be utilised, except:</w:t>
            </w:r>
          </w:p>
          <w:p w14:paraId="48B42B2D"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When the deferred tax asset relating to the deductible temporary difference arises from the initial recognition of an asset or liability in a transaction that is not a business combination and, at the time of the transaction, affects neither the accounting profit nor taxable profit or loss</w:t>
            </w:r>
          </w:p>
          <w:p w14:paraId="42E944E6"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In respect of deductible temporary differences associated with investments in subsidiaries, associates and interests in joint ventures, deferred tax assets are recognised only to the extent that it is probable that the temporary differences will reverse in the foreseeable future and taxable profit will be available against which the temporary differences can be utilised.</w:t>
            </w:r>
          </w:p>
          <w:p w14:paraId="0A050672" w14:textId="77777777" w:rsidR="00E17643" w:rsidRPr="00E70587" w:rsidRDefault="00E17643" w:rsidP="00E17643">
            <w:pPr>
              <w:pStyle w:val="Notesbodytext"/>
              <w:spacing w:after="0" w:line="280" w:lineRule="exact"/>
              <w:jc w:val="both"/>
              <w:rPr>
                <w:rFonts w:ascii="Arial" w:hAnsi="Arial"/>
                <w:color w:val="auto"/>
                <w:sz w:val="20"/>
              </w:rPr>
            </w:pPr>
          </w:p>
          <w:p w14:paraId="7DD5038D"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The carrying amount of deferred tax assets is reviewed at each reporting date and reduced to the extent that it is no longer probable that sufficient taxable profit will be available to allow all or part of the deferred tax asset to be utilised. Unrecognised deferred tax assets are re-assessed at each reporting date and are recognised to the extent that it has become probable that future taxable profits will allow the deferred tax asset to be recovered.</w:t>
            </w:r>
          </w:p>
        </w:tc>
      </w:tr>
      <w:tr w:rsidR="00E17643" w:rsidRPr="00E70587" w14:paraId="0B5D20B6" w14:textId="77777777" w:rsidTr="006939C8">
        <w:tc>
          <w:tcPr>
            <w:tcW w:w="9630" w:type="dxa"/>
          </w:tcPr>
          <w:p w14:paraId="50E8A17C" w14:textId="77777777" w:rsidR="00E17643" w:rsidRPr="00E70587" w:rsidRDefault="00E17643" w:rsidP="00E17643">
            <w:pPr>
              <w:pStyle w:val="Notesbodytext"/>
              <w:spacing w:after="0" w:line="280" w:lineRule="exact"/>
              <w:jc w:val="both"/>
              <w:rPr>
                <w:rFonts w:ascii="Arial" w:hAnsi="Arial"/>
                <w:color w:val="auto"/>
                <w:sz w:val="20"/>
              </w:rPr>
            </w:pPr>
          </w:p>
          <w:p w14:paraId="07880045"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Deferred tax assets and liabilities are measured at the tax rates that are expected to apply in the year when the asset is realised or the liability is settled, based on tax rates (and tax laws) that have been enacted or substantively enacted at the reporting date.</w:t>
            </w:r>
          </w:p>
          <w:p w14:paraId="077F11F7" w14:textId="77777777" w:rsidR="00E17643" w:rsidRPr="00E70587" w:rsidRDefault="00E17643" w:rsidP="00E17643">
            <w:pPr>
              <w:pStyle w:val="Notesbodytext"/>
              <w:spacing w:after="0" w:line="280" w:lineRule="exact"/>
              <w:jc w:val="both"/>
              <w:rPr>
                <w:rFonts w:ascii="Arial" w:hAnsi="Arial"/>
                <w:color w:val="auto"/>
                <w:sz w:val="20"/>
              </w:rPr>
            </w:pPr>
          </w:p>
          <w:p w14:paraId="30E0DB5E" w14:textId="3C8615AA"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lastRenderedPageBreak/>
              <w:t xml:space="preserve">Deferred tax relating to items recognised outside profit </w:t>
            </w:r>
            <w:r w:rsidR="0089280C">
              <w:rPr>
                <w:rFonts w:ascii="Arial" w:hAnsi="Arial"/>
                <w:color w:val="auto"/>
                <w:sz w:val="20"/>
              </w:rPr>
              <w:t>or</w:t>
            </w:r>
            <w:r w:rsidRPr="00E70587">
              <w:rPr>
                <w:rFonts w:ascii="Arial" w:hAnsi="Arial"/>
                <w:color w:val="auto"/>
                <w:sz w:val="20"/>
              </w:rPr>
              <w:t xml:space="preserve"> loss is recognised outside profit </w:t>
            </w:r>
            <w:r w:rsidR="0089280C">
              <w:rPr>
                <w:rFonts w:ascii="Arial" w:hAnsi="Arial"/>
                <w:color w:val="auto"/>
                <w:sz w:val="20"/>
              </w:rPr>
              <w:t>or</w:t>
            </w:r>
            <w:r w:rsidRPr="00E70587">
              <w:rPr>
                <w:rFonts w:ascii="Arial" w:hAnsi="Arial"/>
                <w:color w:val="auto"/>
                <w:sz w:val="20"/>
              </w:rPr>
              <w:t xml:space="preserve"> loss. Deferred tax items are recognised in correlation to the underlying transaction either in OCI or directly in equity.</w:t>
            </w:r>
          </w:p>
          <w:p w14:paraId="3D4C6630" w14:textId="77777777" w:rsidR="00E17643" w:rsidRPr="00E70587" w:rsidRDefault="00E17643" w:rsidP="00E17643">
            <w:pPr>
              <w:pStyle w:val="Notesbodytext"/>
              <w:spacing w:after="0" w:line="280" w:lineRule="exact"/>
              <w:jc w:val="both"/>
              <w:rPr>
                <w:rFonts w:ascii="Arial" w:hAnsi="Arial"/>
                <w:color w:val="auto"/>
                <w:sz w:val="20"/>
              </w:rPr>
            </w:pPr>
          </w:p>
          <w:p w14:paraId="36F90C64"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Deferred tax assets and deferred tax liabilities are offset if a legally enforceable right exists to set off current tax assets against current tax liabilities and the deferred taxes relate to the same taxable entity and the same taxation authority.</w:t>
            </w:r>
          </w:p>
        </w:tc>
      </w:tr>
      <w:tr w:rsidR="00E17643" w:rsidRPr="00E70587" w14:paraId="3B2CCF32" w14:textId="77777777" w:rsidTr="006939C8">
        <w:tc>
          <w:tcPr>
            <w:tcW w:w="9630" w:type="dxa"/>
          </w:tcPr>
          <w:p w14:paraId="0EBCAB6E" w14:textId="77777777" w:rsidR="00E17643" w:rsidRPr="00E70587" w:rsidRDefault="00E17643" w:rsidP="00E17643">
            <w:pPr>
              <w:pStyle w:val="Notesbodytext"/>
              <w:spacing w:after="0" w:line="280" w:lineRule="exact"/>
              <w:jc w:val="both"/>
              <w:rPr>
                <w:rFonts w:ascii="Arial" w:hAnsi="Arial"/>
                <w:color w:val="auto"/>
                <w:sz w:val="20"/>
              </w:rPr>
            </w:pPr>
          </w:p>
          <w:p w14:paraId="77094F1C" w14:textId="52B9CAD4"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 xml:space="preserve">Tax benefits acquired as part of a business combination, but not satisfying the criteria for separate recognition at that date, are recognised subsequently if new information about facts and circumstances change. Acquired deferred tax benefits recognised within the measurement period reduce goodwill related to that acquisition if they result from new information obtained about facts and circumstances existing at the acquisition date. If the carrying amount of goodwill is zero, any remaining deferred tax benefits are recognised in OCI/ capital reserve depending on the principle explained for bargain purchase gains. All other acquired tax benefits realised are recognised in profit </w:t>
            </w:r>
            <w:r w:rsidR="009A629E">
              <w:rPr>
                <w:rFonts w:ascii="Arial" w:hAnsi="Arial"/>
                <w:color w:val="auto"/>
                <w:sz w:val="20"/>
              </w:rPr>
              <w:t>or</w:t>
            </w:r>
            <w:r w:rsidRPr="00E70587">
              <w:rPr>
                <w:rFonts w:ascii="Arial" w:hAnsi="Arial"/>
                <w:color w:val="auto"/>
                <w:sz w:val="20"/>
              </w:rPr>
              <w:t xml:space="preserve"> loss.</w:t>
            </w:r>
          </w:p>
        </w:tc>
      </w:tr>
      <w:tr w:rsidR="00E17643" w:rsidRPr="00E70587" w14:paraId="38E5F5CE" w14:textId="77777777" w:rsidTr="006939C8">
        <w:tc>
          <w:tcPr>
            <w:tcW w:w="9630" w:type="dxa"/>
            <w:tcBorders>
              <w:bottom w:val="single" w:sz="4" w:space="0" w:color="auto"/>
            </w:tcBorders>
          </w:tcPr>
          <w:p w14:paraId="41158BE7" w14:textId="77777777" w:rsidR="00E17643" w:rsidRPr="00E70587" w:rsidRDefault="00E17643" w:rsidP="00E17643">
            <w:pPr>
              <w:pStyle w:val="Notesbodytext"/>
              <w:spacing w:after="0" w:line="280" w:lineRule="exact"/>
              <w:jc w:val="both"/>
              <w:rPr>
                <w:rFonts w:ascii="Arial" w:hAnsi="Arial"/>
                <w:color w:val="auto"/>
                <w:sz w:val="20"/>
              </w:rPr>
            </w:pPr>
          </w:p>
          <w:p w14:paraId="72A4F57B" w14:textId="77777777" w:rsidR="00E17643" w:rsidRPr="00E70587" w:rsidRDefault="00E17643" w:rsidP="00E17643">
            <w:pPr>
              <w:pStyle w:val="Notesitalicheading"/>
              <w:spacing w:line="280" w:lineRule="exact"/>
              <w:jc w:val="both"/>
              <w:rPr>
                <w:rFonts w:ascii="Arial" w:hAnsi="Arial"/>
                <w:color w:val="auto"/>
                <w:sz w:val="20"/>
              </w:rPr>
            </w:pPr>
            <w:r w:rsidRPr="00E70587">
              <w:rPr>
                <w:rFonts w:ascii="Arial" w:hAnsi="Arial"/>
                <w:color w:val="auto"/>
                <w:sz w:val="20"/>
              </w:rPr>
              <w:t>Sales/ value added taxes paid on acquisition of assets or on incurring expenses</w:t>
            </w:r>
          </w:p>
          <w:p w14:paraId="3D6A6459" w14:textId="77777777" w:rsidR="00E17643" w:rsidRPr="00E70587" w:rsidRDefault="00E17643" w:rsidP="00E17643">
            <w:pPr>
              <w:pStyle w:val="Notesbodytext"/>
              <w:spacing w:after="0" w:line="280" w:lineRule="exact"/>
              <w:jc w:val="both"/>
              <w:rPr>
                <w:rFonts w:ascii="Arial" w:hAnsi="Arial"/>
                <w:color w:val="auto"/>
                <w:sz w:val="20"/>
              </w:rPr>
            </w:pPr>
          </w:p>
          <w:p w14:paraId="35987D21"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Expenses and assets are recognised net of the amount of sales/ value added tax, except:</w:t>
            </w:r>
          </w:p>
          <w:p w14:paraId="360529D0"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When the tax incurred on a purchase of assets or services is not recoverable from the taxation authority, in which case, the tax paid is recognised as part of the cost of acquisition of the asset or as part of the expense item, as applicable</w:t>
            </w:r>
          </w:p>
          <w:p w14:paraId="7F21EDB2"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When receivables and payables are stated with the amount of tax included</w:t>
            </w:r>
          </w:p>
          <w:p w14:paraId="53A8BD66" w14:textId="77777777" w:rsidR="00E17643" w:rsidRPr="00E70587" w:rsidRDefault="00E17643" w:rsidP="00E17643">
            <w:pPr>
              <w:pStyle w:val="Notesbodytext"/>
              <w:spacing w:after="0" w:line="280" w:lineRule="exact"/>
              <w:jc w:val="both"/>
              <w:rPr>
                <w:rFonts w:ascii="Arial" w:hAnsi="Arial"/>
                <w:color w:val="auto"/>
                <w:sz w:val="20"/>
              </w:rPr>
            </w:pPr>
          </w:p>
          <w:p w14:paraId="0B76D616"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The net amount of tax recoverable from, or payable to, the taxation authority is included as part of receivables or payables in the balance sheet.</w:t>
            </w:r>
          </w:p>
          <w:p w14:paraId="52601A90" w14:textId="77777777" w:rsidR="00657499" w:rsidRDefault="00657499" w:rsidP="00E17643">
            <w:pPr>
              <w:pStyle w:val="Notesbodytext"/>
              <w:spacing w:after="0" w:line="280" w:lineRule="exact"/>
              <w:jc w:val="both"/>
              <w:rPr>
                <w:rFonts w:ascii="Arial" w:hAnsi="Arial"/>
                <w:color w:val="auto"/>
                <w:sz w:val="20"/>
              </w:rPr>
            </w:pPr>
          </w:p>
          <w:p w14:paraId="68FFD046" w14:textId="77777777" w:rsidR="00657499" w:rsidRPr="00E70587" w:rsidRDefault="00657499" w:rsidP="00E17643">
            <w:pPr>
              <w:pStyle w:val="Notesbodytext"/>
              <w:spacing w:after="0" w:line="280" w:lineRule="exact"/>
              <w:jc w:val="both"/>
              <w:rPr>
                <w:rFonts w:ascii="Arial" w:hAnsi="Arial"/>
                <w:color w:val="auto"/>
                <w:sz w:val="20"/>
              </w:rPr>
            </w:pPr>
          </w:p>
        </w:tc>
      </w:tr>
      <w:tr w:rsidR="00D508A7" w:rsidRPr="00E70587" w14:paraId="5342775B" w14:textId="77777777" w:rsidTr="006939C8">
        <w:tc>
          <w:tcPr>
            <w:tcW w:w="9630" w:type="dxa"/>
            <w:tcBorders>
              <w:top w:val="single" w:sz="4" w:space="0" w:color="auto"/>
              <w:left w:val="single" w:sz="4" w:space="0" w:color="auto"/>
              <w:bottom w:val="single" w:sz="4" w:space="0" w:color="auto"/>
              <w:right w:val="single" w:sz="4" w:space="0" w:color="auto"/>
            </w:tcBorders>
            <w:shd w:val="clear" w:color="auto" w:fill="D9D9D9" w:themeFill="text2" w:themeFillShade="D9"/>
          </w:tcPr>
          <w:p w14:paraId="6913BAA6" w14:textId="3CA6FB76" w:rsidR="00D508A7" w:rsidRPr="00E70587" w:rsidRDefault="00071D02" w:rsidP="006939C8">
            <w:pPr>
              <w:spacing w:line="280" w:lineRule="exact"/>
              <w:rPr>
                <w:rFonts w:ascii="Arial" w:hAnsi="Arial"/>
                <w:b/>
                <w:sz w:val="20"/>
              </w:rPr>
            </w:pPr>
            <w:r>
              <w:rPr>
                <w:rFonts w:ascii="Arial" w:hAnsi="Arial"/>
                <w:b/>
                <w:sz w:val="20"/>
              </w:rPr>
              <w:t>Author’s Note</w:t>
            </w:r>
          </w:p>
          <w:p w14:paraId="34EC51D7" w14:textId="77777777" w:rsidR="00D508A7" w:rsidRPr="00E70587" w:rsidRDefault="00D508A7" w:rsidP="006939C8">
            <w:pPr>
              <w:pStyle w:val="Notesitalicheading"/>
              <w:spacing w:line="280" w:lineRule="exact"/>
              <w:jc w:val="both"/>
              <w:rPr>
                <w:rFonts w:ascii="Arial" w:hAnsi="Arial"/>
                <w:i w:val="0"/>
                <w:sz w:val="20"/>
              </w:rPr>
            </w:pPr>
            <w:r w:rsidRPr="00E70587">
              <w:rPr>
                <w:rFonts w:ascii="Arial" w:hAnsi="Arial"/>
                <w:i w:val="0"/>
                <w:sz w:val="20"/>
              </w:rPr>
              <w:t>Any entity in the group does not have any MAT liability. Also, they are not entitled to any tax holiday scheme. Companies covered under MAT scenario and/ or Tax holidays may disclose applicable policy on following lines:</w:t>
            </w:r>
          </w:p>
          <w:p w14:paraId="690C6F48" w14:textId="77777777" w:rsidR="006939C8" w:rsidRPr="00E70587" w:rsidRDefault="006939C8" w:rsidP="006939C8">
            <w:pPr>
              <w:pStyle w:val="Notesitalicheading"/>
              <w:spacing w:line="280" w:lineRule="exact"/>
              <w:jc w:val="both"/>
              <w:rPr>
                <w:rFonts w:ascii="Arial" w:hAnsi="Arial"/>
                <w:i w:val="0"/>
                <w:sz w:val="20"/>
              </w:rPr>
            </w:pPr>
          </w:p>
          <w:p w14:paraId="1D16169E" w14:textId="77777777" w:rsidR="00D508A7" w:rsidRPr="00E70587" w:rsidRDefault="00D508A7" w:rsidP="006939C8">
            <w:pPr>
              <w:spacing w:line="280" w:lineRule="exact"/>
              <w:rPr>
                <w:rFonts w:ascii="Arial" w:hAnsi="Arial"/>
                <w:b/>
                <w:sz w:val="20"/>
              </w:rPr>
            </w:pPr>
            <w:r w:rsidRPr="00E70587">
              <w:rPr>
                <w:rFonts w:ascii="Arial" w:hAnsi="Arial"/>
                <w:b/>
                <w:sz w:val="20"/>
              </w:rPr>
              <w:t>Policy on MAT:</w:t>
            </w:r>
          </w:p>
          <w:p w14:paraId="736E6FBB" w14:textId="77777777" w:rsidR="00D508A7" w:rsidRPr="00E70587" w:rsidRDefault="00D508A7" w:rsidP="006939C8">
            <w:pPr>
              <w:spacing w:line="280" w:lineRule="exact"/>
              <w:rPr>
                <w:rFonts w:ascii="Arial" w:hAnsi="Arial"/>
                <w:sz w:val="20"/>
              </w:rPr>
            </w:pPr>
            <w:r w:rsidRPr="00E70587">
              <w:rPr>
                <w:rFonts w:ascii="Arial" w:hAnsi="Arial"/>
                <w:sz w:val="20"/>
              </w:rPr>
              <w:t>“Minimum alternate tax (MAT) paid in a year is charged to the statement of profit and loss as current tax for the year. The deferred tax asset is recognised for MAT credit available only to the extent that it is probable that the concerned company will pay normal income tax during the specified period, i.e., the period for which MAT credit is allowed to be carried forward. In the year in which the company recognizes MAT credit as an asset, it is created by way of credit to the statement of profit and loss and shown as part of deferred tax asset. The company reviews the “MAT credit entitlement” asset at each reporting date and writes down the asset to the extent that it is no longer probable that it will pay normal tax during the specified period.”</w:t>
            </w:r>
          </w:p>
          <w:p w14:paraId="6EC14BF2" w14:textId="77777777" w:rsidR="00D508A7" w:rsidRPr="00E70587" w:rsidRDefault="00D508A7" w:rsidP="006939C8">
            <w:pPr>
              <w:spacing w:line="280" w:lineRule="exact"/>
              <w:rPr>
                <w:rFonts w:ascii="Arial" w:hAnsi="Arial"/>
                <w:sz w:val="20"/>
              </w:rPr>
            </w:pPr>
          </w:p>
          <w:p w14:paraId="088B7C3A" w14:textId="77777777" w:rsidR="00D508A7" w:rsidRPr="00E70587" w:rsidRDefault="00D508A7" w:rsidP="006939C8">
            <w:pPr>
              <w:spacing w:line="280" w:lineRule="exact"/>
              <w:rPr>
                <w:rFonts w:ascii="Arial" w:hAnsi="Arial"/>
                <w:b/>
                <w:sz w:val="20"/>
              </w:rPr>
            </w:pPr>
            <w:r w:rsidRPr="00E70587">
              <w:rPr>
                <w:rFonts w:ascii="Arial" w:hAnsi="Arial"/>
                <w:b/>
                <w:sz w:val="20"/>
              </w:rPr>
              <w:t xml:space="preserve">Accounting policy when the entities </w:t>
            </w:r>
            <w:proofErr w:type="gramStart"/>
            <w:r w:rsidRPr="00E70587">
              <w:rPr>
                <w:rFonts w:ascii="Arial" w:hAnsi="Arial"/>
                <w:b/>
                <w:sz w:val="20"/>
              </w:rPr>
              <w:t>operates</w:t>
            </w:r>
            <w:proofErr w:type="gramEnd"/>
            <w:r w:rsidRPr="00E70587">
              <w:rPr>
                <w:rFonts w:ascii="Arial" w:hAnsi="Arial"/>
                <w:b/>
                <w:sz w:val="20"/>
              </w:rPr>
              <w:t xml:space="preserve"> under tax holiday scheme:</w:t>
            </w:r>
          </w:p>
          <w:p w14:paraId="6A29738A" w14:textId="77777777" w:rsidR="00D508A7" w:rsidRPr="00E70587" w:rsidRDefault="00D508A7" w:rsidP="006939C8">
            <w:pPr>
              <w:pStyle w:val="Notesbodytext"/>
              <w:spacing w:after="0" w:line="280" w:lineRule="exact"/>
              <w:jc w:val="both"/>
              <w:rPr>
                <w:rFonts w:ascii="Arial" w:hAnsi="Arial"/>
                <w:color w:val="auto"/>
                <w:sz w:val="20"/>
              </w:rPr>
            </w:pPr>
            <w:r w:rsidRPr="00E70587">
              <w:rPr>
                <w:rFonts w:ascii="Arial" w:hAnsi="Arial"/>
                <w:sz w:val="20"/>
              </w:rPr>
              <w:t xml:space="preserve">“In the situations where one or more entities in the group are entitled to a tax holiday under the Income-tax Act, 1961 enacted in India or tax laws prevailing in the respective tax jurisdictions where they operate, no deferred tax (asset or liability) is recognized in respect of temporary differences which reverse during the tax holiday period, to the extent the concerned entity’s gross total income is subject to the deduction during the tax holiday period. Deferred tax in respect of temporary differences which reverse after the tax holiday period is recognized in the year in which the temporary differences originate. However, the group restricts recognition of deferred tax assets to the extent it is probable that sufficient future taxable income will be </w:t>
            </w:r>
            <w:r w:rsidRPr="00E70587">
              <w:rPr>
                <w:rFonts w:ascii="Arial" w:hAnsi="Arial"/>
                <w:sz w:val="20"/>
              </w:rPr>
              <w:lastRenderedPageBreak/>
              <w:t>available against which such deferred tax assets can be realized. For recognition of deferred taxes, the temporary differences which originate first are considered to reverse first.”</w:t>
            </w:r>
          </w:p>
        </w:tc>
      </w:tr>
      <w:tr w:rsidR="00E17643" w:rsidRPr="00E70587" w14:paraId="1750311F" w14:textId="77777777" w:rsidTr="006939C8">
        <w:tc>
          <w:tcPr>
            <w:tcW w:w="9630" w:type="dxa"/>
            <w:tcBorders>
              <w:top w:val="single" w:sz="4" w:space="0" w:color="auto"/>
            </w:tcBorders>
          </w:tcPr>
          <w:p w14:paraId="37E9D26C" w14:textId="77777777" w:rsidR="006939C8" w:rsidRPr="00E70587" w:rsidRDefault="006939C8" w:rsidP="006939C8">
            <w:pPr>
              <w:pStyle w:val="Notesbodytext"/>
              <w:spacing w:after="0" w:line="280" w:lineRule="exact"/>
              <w:jc w:val="both"/>
              <w:rPr>
                <w:rFonts w:ascii="Arial" w:hAnsi="Arial"/>
              </w:rPr>
            </w:pPr>
          </w:p>
          <w:p w14:paraId="203A5673" w14:textId="272D1FB2" w:rsidR="00E17643" w:rsidRPr="00E70587" w:rsidRDefault="00E17643" w:rsidP="00E17643">
            <w:pPr>
              <w:pStyle w:val="Heading4"/>
              <w:keepNext w:val="0"/>
              <w:numPr>
                <w:ilvl w:val="0"/>
                <w:numId w:val="4"/>
              </w:numPr>
              <w:tabs>
                <w:tab w:val="clear" w:pos="357"/>
              </w:tabs>
              <w:spacing w:before="0" w:after="0" w:line="280" w:lineRule="exact"/>
              <w:jc w:val="both"/>
              <w:rPr>
                <w:rFonts w:ascii="Arial" w:hAnsi="Arial" w:cs="Arial"/>
                <w:szCs w:val="20"/>
              </w:rPr>
            </w:pPr>
            <w:r w:rsidRPr="00E70587">
              <w:rPr>
                <w:rFonts w:ascii="Arial" w:hAnsi="Arial" w:cs="Arial"/>
                <w:szCs w:val="20"/>
              </w:rPr>
              <w:t xml:space="preserve">Non-current assets held for </w:t>
            </w:r>
            <w:r w:rsidR="00AA469D">
              <w:rPr>
                <w:rFonts w:ascii="Arial" w:hAnsi="Arial" w:cs="Arial"/>
                <w:szCs w:val="20"/>
              </w:rPr>
              <w:t>sale</w:t>
            </w:r>
            <w:r w:rsidRPr="00E70587">
              <w:rPr>
                <w:rFonts w:ascii="Arial" w:hAnsi="Arial" w:cs="Arial"/>
                <w:szCs w:val="20"/>
              </w:rPr>
              <w:t xml:space="preserve"> and discontinued operations</w:t>
            </w:r>
          </w:p>
          <w:p w14:paraId="79132BC0" w14:textId="77777777" w:rsidR="00E17643" w:rsidRPr="00E70587" w:rsidRDefault="00E17643" w:rsidP="00E17643">
            <w:pPr>
              <w:pStyle w:val="Notesbodytext"/>
              <w:spacing w:after="0" w:line="280" w:lineRule="exact"/>
              <w:jc w:val="both"/>
              <w:rPr>
                <w:rFonts w:ascii="Arial" w:hAnsi="Arial"/>
                <w:color w:val="auto"/>
                <w:sz w:val="20"/>
              </w:rPr>
            </w:pPr>
          </w:p>
          <w:p w14:paraId="6F826ADE" w14:textId="16992A25" w:rsidR="00E17643" w:rsidRPr="00E70587" w:rsidRDefault="00E17643" w:rsidP="00E17643">
            <w:pPr>
              <w:pStyle w:val="Notesbodytext"/>
              <w:spacing w:line="280" w:lineRule="exact"/>
              <w:jc w:val="both"/>
              <w:rPr>
                <w:rFonts w:ascii="Arial" w:hAnsi="Arial"/>
                <w:color w:val="auto"/>
                <w:sz w:val="20"/>
              </w:rPr>
            </w:pPr>
            <w:r w:rsidRPr="00E70587">
              <w:rPr>
                <w:rFonts w:ascii="Arial" w:hAnsi="Arial"/>
                <w:color w:val="auto"/>
                <w:sz w:val="20"/>
              </w:rPr>
              <w:t>The Group classifies non-current assets and disposal groups as held for sale if their carrying amounts will be recovered principally through a sale rather than through continuing use. Actions required to complete the sale</w:t>
            </w:r>
            <w:r w:rsidR="00E67AAE">
              <w:rPr>
                <w:rFonts w:ascii="Arial" w:hAnsi="Arial"/>
                <w:color w:val="auto"/>
                <w:sz w:val="20"/>
              </w:rPr>
              <w:t xml:space="preserve"> </w:t>
            </w:r>
            <w:r w:rsidRPr="00E70587">
              <w:rPr>
                <w:rFonts w:ascii="Arial" w:hAnsi="Arial"/>
                <w:color w:val="auto"/>
                <w:sz w:val="20"/>
              </w:rPr>
              <w:t>should indicate that it is unlikely that significant changes to the sale will be made or that the decision to sell</w:t>
            </w:r>
            <w:r w:rsidR="00AA469D">
              <w:rPr>
                <w:rFonts w:ascii="Arial" w:hAnsi="Arial"/>
                <w:color w:val="auto"/>
                <w:sz w:val="20"/>
              </w:rPr>
              <w:t xml:space="preserve"> </w:t>
            </w:r>
            <w:r w:rsidRPr="00E70587">
              <w:rPr>
                <w:rFonts w:ascii="Arial" w:hAnsi="Arial"/>
                <w:color w:val="auto"/>
                <w:sz w:val="20"/>
              </w:rPr>
              <w:t xml:space="preserve">will be withdrawn. Management must be committed to the sale expected within one year from the date of classification. </w:t>
            </w:r>
          </w:p>
          <w:p w14:paraId="794ACC3E" w14:textId="573ED6FF" w:rsidR="00E17643" w:rsidRPr="00E70587" w:rsidRDefault="00E17643" w:rsidP="00E17643">
            <w:pPr>
              <w:pStyle w:val="Notesbodytext"/>
              <w:spacing w:line="280" w:lineRule="exact"/>
              <w:jc w:val="both"/>
              <w:rPr>
                <w:rFonts w:ascii="Arial" w:hAnsi="Arial"/>
                <w:color w:val="auto"/>
                <w:sz w:val="20"/>
              </w:rPr>
            </w:pPr>
            <w:r w:rsidRPr="00E70587">
              <w:rPr>
                <w:rFonts w:ascii="Arial" w:hAnsi="Arial"/>
                <w:color w:val="auto"/>
                <w:sz w:val="20"/>
              </w:rPr>
              <w:t>For these purposes, sale transactions include exchanges of non-current assets for other non-current assets when the exchange has commercial substance. The criteria for held for sale classification is regarded met only when the assets or disposal group is available for immediate sale in its present condition, subject only to terms that are usual and customary for sales</w:t>
            </w:r>
            <w:r w:rsidR="00E67AAE">
              <w:rPr>
                <w:rFonts w:ascii="Arial" w:hAnsi="Arial"/>
                <w:color w:val="auto"/>
                <w:sz w:val="20"/>
              </w:rPr>
              <w:t xml:space="preserve"> </w:t>
            </w:r>
            <w:r w:rsidRPr="00E70587">
              <w:rPr>
                <w:rFonts w:ascii="Arial" w:hAnsi="Arial"/>
                <w:color w:val="auto"/>
                <w:sz w:val="20"/>
              </w:rPr>
              <w:t>of such assets (or disposal groups), its sale</w:t>
            </w:r>
            <w:r w:rsidR="004B4199">
              <w:rPr>
                <w:rFonts w:ascii="Arial" w:hAnsi="Arial"/>
                <w:color w:val="auto"/>
                <w:sz w:val="20"/>
              </w:rPr>
              <w:t xml:space="preserve"> </w:t>
            </w:r>
            <w:r w:rsidRPr="00E70587">
              <w:rPr>
                <w:rFonts w:ascii="Arial" w:hAnsi="Arial"/>
                <w:color w:val="auto"/>
                <w:sz w:val="20"/>
              </w:rPr>
              <w:t>is highly probable; and it will genuinely be sold, not abandoned. The group treats sale of the asset or disposal group to be highly probable when:</w:t>
            </w:r>
          </w:p>
          <w:p w14:paraId="458A61A1" w14:textId="77777777" w:rsidR="00E17643" w:rsidRPr="00E70587" w:rsidRDefault="00E17643" w:rsidP="00E466DD">
            <w:pPr>
              <w:pStyle w:val="Notesbodytext"/>
              <w:numPr>
                <w:ilvl w:val="0"/>
                <w:numId w:val="31"/>
              </w:numPr>
              <w:spacing w:before="120" w:after="0" w:line="280" w:lineRule="exact"/>
              <w:ind w:hanging="720"/>
              <w:jc w:val="both"/>
              <w:rPr>
                <w:rFonts w:ascii="Arial" w:hAnsi="Arial"/>
                <w:color w:val="auto"/>
                <w:sz w:val="20"/>
              </w:rPr>
            </w:pPr>
            <w:r w:rsidRPr="00E70587">
              <w:rPr>
                <w:rFonts w:ascii="Arial" w:hAnsi="Arial"/>
                <w:color w:val="auto"/>
                <w:sz w:val="20"/>
              </w:rPr>
              <w:t>The appropriate level of management is committed to a plan to sell the asset (or disposal group),</w:t>
            </w:r>
          </w:p>
          <w:p w14:paraId="68D0481C" w14:textId="77777777" w:rsidR="00E17643" w:rsidRPr="00E70587" w:rsidRDefault="00E17643" w:rsidP="00E466DD">
            <w:pPr>
              <w:pStyle w:val="Notesbodytext"/>
              <w:numPr>
                <w:ilvl w:val="0"/>
                <w:numId w:val="31"/>
              </w:numPr>
              <w:spacing w:before="120" w:after="0" w:line="280" w:lineRule="exact"/>
              <w:ind w:hanging="720"/>
              <w:jc w:val="both"/>
              <w:rPr>
                <w:rFonts w:ascii="Arial" w:hAnsi="Arial"/>
                <w:color w:val="auto"/>
                <w:sz w:val="20"/>
              </w:rPr>
            </w:pPr>
            <w:r w:rsidRPr="00E70587">
              <w:rPr>
                <w:rFonts w:ascii="Arial" w:hAnsi="Arial"/>
                <w:color w:val="auto"/>
                <w:sz w:val="20"/>
              </w:rPr>
              <w:t>An active programme to locate a buyer and complete the plan has been initiated (if applicable),</w:t>
            </w:r>
          </w:p>
          <w:p w14:paraId="196B4639" w14:textId="77777777" w:rsidR="00E17643" w:rsidRPr="00E70587" w:rsidRDefault="00E17643" w:rsidP="00E466DD">
            <w:pPr>
              <w:pStyle w:val="Notesbodytext"/>
              <w:numPr>
                <w:ilvl w:val="0"/>
                <w:numId w:val="31"/>
              </w:numPr>
              <w:spacing w:before="120" w:after="0" w:line="280" w:lineRule="exact"/>
              <w:ind w:hanging="720"/>
              <w:jc w:val="both"/>
              <w:rPr>
                <w:rFonts w:ascii="Arial" w:hAnsi="Arial"/>
                <w:color w:val="auto"/>
                <w:sz w:val="20"/>
              </w:rPr>
            </w:pPr>
            <w:r w:rsidRPr="00E70587">
              <w:rPr>
                <w:rFonts w:ascii="Arial" w:hAnsi="Arial"/>
                <w:color w:val="auto"/>
                <w:sz w:val="20"/>
              </w:rPr>
              <w:t>The asset (or disposal group) is being actively marketed for sale at a price that is reasonable in relation to its current fair value,</w:t>
            </w:r>
          </w:p>
          <w:p w14:paraId="4371A956" w14:textId="20CAE807" w:rsidR="00E17643" w:rsidRPr="00E70587" w:rsidRDefault="00E17643" w:rsidP="00E466DD">
            <w:pPr>
              <w:pStyle w:val="Notesbodytext"/>
              <w:numPr>
                <w:ilvl w:val="0"/>
                <w:numId w:val="31"/>
              </w:numPr>
              <w:spacing w:before="120" w:after="0" w:line="280" w:lineRule="exact"/>
              <w:ind w:hanging="720"/>
              <w:jc w:val="both"/>
              <w:rPr>
                <w:rFonts w:ascii="Arial" w:hAnsi="Arial"/>
                <w:color w:val="auto"/>
                <w:sz w:val="20"/>
              </w:rPr>
            </w:pPr>
            <w:r w:rsidRPr="00E70587">
              <w:rPr>
                <w:rFonts w:ascii="Arial" w:hAnsi="Arial"/>
                <w:color w:val="auto"/>
                <w:sz w:val="20"/>
              </w:rPr>
              <w:t>The sale is expected to qualify for recognition as a completed sale within one year from the date of classification</w:t>
            </w:r>
            <w:r w:rsidR="00071D02">
              <w:rPr>
                <w:rFonts w:ascii="Arial" w:hAnsi="Arial"/>
                <w:color w:val="auto"/>
                <w:sz w:val="20"/>
              </w:rPr>
              <w:t>,</w:t>
            </w:r>
            <w:r w:rsidRPr="00E70587">
              <w:rPr>
                <w:rFonts w:ascii="Arial" w:hAnsi="Arial"/>
                <w:color w:val="auto"/>
                <w:sz w:val="20"/>
              </w:rPr>
              <w:t xml:space="preserve"> and</w:t>
            </w:r>
          </w:p>
          <w:p w14:paraId="7A7A1DA8" w14:textId="77777777" w:rsidR="00E17643" w:rsidRPr="00E70587" w:rsidRDefault="00E17643" w:rsidP="00E466DD">
            <w:pPr>
              <w:pStyle w:val="Notesbodytext"/>
              <w:numPr>
                <w:ilvl w:val="0"/>
                <w:numId w:val="31"/>
              </w:numPr>
              <w:spacing w:before="120" w:after="0" w:line="280" w:lineRule="exact"/>
              <w:ind w:hanging="720"/>
              <w:jc w:val="both"/>
              <w:rPr>
                <w:rFonts w:ascii="Arial" w:hAnsi="Arial"/>
                <w:color w:val="auto"/>
                <w:sz w:val="20"/>
              </w:rPr>
            </w:pPr>
            <w:r w:rsidRPr="00E70587">
              <w:rPr>
                <w:rFonts w:ascii="Arial" w:hAnsi="Arial"/>
                <w:color w:val="auto"/>
                <w:sz w:val="20"/>
              </w:rPr>
              <w:t>Actions required to complete the plan indicate that it is unlikely that significant changes to the plan will be made or that the plan will be withdrawn.</w:t>
            </w:r>
          </w:p>
          <w:p w14:paraId="39D0B8EF" w14:textId="77777777" w:rsidR="00E17643" w:rsidRPr="00E70587" w:rsidRDefault="00E17643" w:rsidP="00E17643">
            <w:pPr>
              <w:pStyle w:val="Notesbodytext"/>
              <w:spacing w:after="0" w:line="280" w:lineRule="exact"/>
              <w:jc w:val="both"/>
              <w:rPr>
                <w:rFonts w:ascii="Arial" w:hAnsi="Arial"/>
                <w:color w:val="auto"/>
                <w:sz w:val="20"/>
              </w:rPr>
            </w:pPr>
          </w:p>
          <w:p w14:paraId="175368E4" w14:textId="69E1D30B"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Non-current assets held for sale to owners and disposal groups are measured at the lower of their carrying amount and the fair value less costs to sell. Assets and liabilities classified as held for sale are presented separately in the balance sheet.</w:t>
            </w:r>
          </w:p>
          <w:p w14:paraId="75EBB1EA" w14:textId="77777777" w:rsidR="00E17643" w:rsidRPr="00E70587" w:rsidRDefault="00E17643" w:rsidP="00E17643">
            <w:pPr>
              <w:pStyle w:val="Notesbodytext"/>
              <w:spacing w:after="0" w:line="280" w:lineRule="exact"/>
              <w:jc w:val="both"/>
              <w:rPr>
                <w:rFonts w:ascii="Arial" w:hAnsi="Arial"/>
                <w:color w:val="auto"/>
                <w:sz w:val="20"/>
              </w:rPr>
            </w:pPr>
          </w:p>
          <w:p w14:paraId="6E155BF6" w14:textId="176A46D5" w:rsidR="00E17643" w:rsidRPr="00E70587" w:rsidRDefault="00E17643" w:rsidP="00E17643">
            <w:pPr>
              <w:pStyle w:val="Notesbodytext"/>
              <w:spacing w:after="0" w:line="280" w:lineRule="exact"/>
              <w:jc w:val="both"/>
              <w:rPr>
                <w:rFonts w:ascii="Arial" w:hAnsi="Arial"/>
                <w:sz w:val="20"/>
              </w:rPr>
            </w:pPr>
            <w:r w:rsidRPr="00E70587">
              <w:rPr>
                <w:rFonts w:ascii="Arial" w:hAnsi="Arial"/>
                <w:sz w:val="20"/>
              </w:rPr>
              <w:t>Property, plant and equipment and intangible assets once classified as held for sale to owners are not depreciated or amortised.</w:t>
            </w:r>
          </w:p>
          <w:p w14:paraId="4475D33E" w14:textId="77777777" w:rsidR="00E17643" w:rsidRPr="00E70587" w:rsidRDefault="00E17643" w:rsidP="00E17643">
            <w:pPr>
              <w:pStyle w:val="Notesbodytext"/>
              <w:spacing w:after="0" w:line="280" w:lineRule="exact"/>
              <w:jc w:val="both"/>
              <w:rPr>
                <w:rFonts w:ascii="Arial" w:hAnsi="Arial"/>
                <w:sz w:val="20"/>
              </w:rPr>
            </w:pPr>
          </w:p>
          <w:p w14:paraId="7735DA7F" w14:textId="77777777" w:rsidR="00E17643" w:rsidRPr="00E70587" w:rsidRDefault="00E17643" w:rsidP="00E17643">
            <w:pPr>
              <w:pStyle w:val="Notesbodytext"/>
              <w:spacing w:after="0" w:line="280" w:lineRule="exact"/>
              <w:jc w:val="both"/>
              <w:rPr>
                <w:rFonts w:ascii="Arial" w:hAnsi="Arial"/>
                <w:sz w:val="20"/>
              </w:rPr>
            </w:pPr>
            <w:r w:rsidRPr="00E70587">
              <w:rPr>
                <w:rFonts w:ascii="Arial" w:hAnsi="Arial"/>
                <w:sz w:val="20"/>
              </w:rPr>
              <w:t>A disposal group qualifies as discontinued operation if it is a component of an entity that either has been disposed of, or is classified as held for sale, and:</w:t>
            </w:r>
          </w:p>
          <w:p w14:paraId="680C2655" w14:textId="77777777" w:rsidR="00E17643" w:rsidRPr="00E70587" w:rsidRDefault="00E17643" w:rsidP="00E466DD">
            <w:pPr>
              <w:pStyle w:val="Notesbodytext"/>
              <w:numPr>
                <w:ilvl w:val="0"/>
                <w:numId w:val="31"/>
              </w:numPr>
              <w:spacing w:before="120" w:after="0" w:line="280" w:lineRule="exact"/>
              <w:ind w:hanging="720"/>
              <w:jc w:val="both"/>
              <w:rPr>
                <w:rFonts w:ascii="Arial" w:hAnsi="Arial"/>
                <w:color w:val="auto"/>
                <w:sz w:val="20"/>
              </w:rPr>
            </w:pPr>
            <w:r w:rsidRPr="00E70587">
              <w:rPr>
                <w:rFonts w:ascii="Arial" w:hAnsi="Arial"/>
                <w:color w:val="auto"/>
                <w:sz w:val="20"/>
              </w:rPr>
              <w:t>Represents a separate major line of business or geographical area of operations,</w:t>
            </w:r>
          </w:p>
          <w:p w14:paraId="35276FCF" w14:textId="77777777" w:rsidR="00E17643" w:rsidRPr="00E70587" w:rsidRDefault="00E17643" w:rsidP="00E466DD">
            <w:pPr>
              <w:pStyle w:val="Notesbodytext"/>
              <w:numPr>
                <w:ilvl w:val="0"/>
                <w:numId w:val="31"/>
              </w:numPr>
              <w:spacing w:before="120" w:after="0" w:line="280" w:lineRule="exact"/>
              <w:ind w:hanging="720"/>
              <w:jc w:val="both"/>
              <w:rPr>
                <w:rFonts w:ascii="Arial" w:hAnsi="Arial"/>
                <w:color w:val="auto"/>
                <w:sz w:val="20"/>
              </w:rPr>
            </w:pPr>
            <w:r w:rsidRPr="00E70587">
              <w:rPr>
                <w:rFonts w:ascii="Arial" w:hAnsi="Arial"/>
                <w:color w:val="auto"/>
                <w:sz w:val="20"/>
              </w:rPr>
              <w:t>Is part of a single co-ordinated plan to dispose of a separate major line of business or geographical area of operations, or</w:t>
            </w:r>
          </w:p>
          <w:p w14:paraId="44F92560" w14:textId="632C1A31" w:rsidR="00E17643" w:rsidRPr="00E70587" w:rsidRDefault="00E17643" w:rsidP="00E466DD">
            <w:pPr>
              <w:pStyle w:val="Notesbodytext"/>
              <w:numPr>
                <w:ilvl w:val="0"/>
                <w:numId w:val="31"/>
              </w:numPr>
              <w:spacing w:before="120" w:after="0" w:line="280" w:lineRule="exact"/>
              <w:ind w:hanging="720"/>
              <w:jc w:val="both"/>
              <w:rPr>
                <w:rFonts w:ascii="Arial" w:hAnsi="Arial"/>
                <w:sz w:val="20"/>
              </w:rPr>
            </w:pPr>
            <w:r w:rsidRPr="00E70587">
              <w:rPr>
                <w:rFonts w:ascii="Arial" w:hAnsi="Arial"/>
                <w:color w:val="auto"/>
                <w:sz w:val="20"/>
              </w:rPr>
              <w:t>Is a subsidiary</w:t>
            </w:r>
            <w:r w:rsidRPr="00E70587">
              <w:rPr>
                <w:rFonts w:ascii="Arial" w:hAnsi="Arial"/>
                <w:sz w:val="20"/>
              </w:rPr>
              <w:t xml:space="preserve"> acquired exclusively with a view to </w:t>
            </w:r>
            <w:proofErr w:type="gramStart"/>
            <w:r w:rsidRPr="00E70587">
              <w:rPr>
                <w:rFonts w:ascii="Arial" w:hAnsi="Arial"/>
                <w:sz w:val="20"/>
              </w:rPr>
              <w:t>rale</w:t>
            </w:r>
            <w:proofErr w:type="gramEnd"/>
          </w:p>
          <w:p w14:paraId="251BB12A" w14:textId="77777777" w:rsidR="00E17643" w:rsidRPr="00E70587" w:rsidRDefault="00E17643" w:rsidP="00E17643">
            <w:pPr>
              <w:spacing w:after="80" w:line="240" w:lineRule="atLeast"/>
              <w:rPr>
                <w:rFonts w:ascii="Arial" w:hAnsi="Arial" w:cs="Arial"/>
                <w:sz w:val="20"/>
              </w:rPr>
            </w:pPr>
          </w:p>
          <w:p w14:paraId="32685134"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Discontinued operations are excluded from the results of continuing operations and are presented as a single amount as profit or loss after tax from discontinued operations in the statement of profit and loss.</w:t>
            </w:r>
          </w:p>
          <w:p w14:paraId="67001387" w14:textId="77777777" w:rsidR="00E17643" w:rsidRPr="00E70587" w:rsidRDefault="00E17643" w:rsidP="00E17643">
            <w:pPr>
              <w:pStyle w:val="Notesbodytext"/>
              <w:spacing w:after="0" w:line="280" w:lineRule="exact"/>
              <w:jc w:val="both"/>
              <w:rPr>
                <w:rFonts w:ascii="Arial" w:hAnsi="Arial"/>
                <w:color w:val="auto"/>
                <w:sz w:val="20"/>
              </w:rPr>
            </w:pPr>
          </w:p>
          <w:p w14:paraId="08FA0181"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Additional disclosures are provided in Note 21. All other notes to the financial statements mainly include amounts for continuing operations, unless otherwise mentioned.</w:t>
            </w:r>
          </w:p>
          <w:p w14:paraId="7A187512"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385111F6" w14:textId="77777777" w:rsidTr="006939C8">
        <w:tc>
          <w:tcPr>
            <w:tcW w:w="9630" w:type="dxa"/>
          </w:tcPr>
          <w:p w14:paraId="7A793638" w14:textId="77777777" w:rsidR="00E17643" w:rsidRPr="00E70587" w:rsidRDefault="00E17643" w:rsidP="00E17643">
            <w:pPr>
              <w:pStyle w:val="Heading4"/>
              <w:keepNext w:val="0"/>
              <w:numPr>
                <w:ilvl w:val="0"/>
                <w:numId w:val="4"/>
              </w:numPr>
              <w:tabs>
                <w:tab w:val="clear" w:pos="357"/>
              </w:tabs>
              <w:spacing w:before="0" w:after="0" w:line="280" w:lineRule="exact"/>
              <w:jc w:val="both"/>
              <w:rPr>
                <w:rFonts w:ascii="Arial" w:hAnsi="Arial" w:cs="Arial"/>
                <w:szCs w:val="20"/>
              </w:rPr>
            </w:pPr>
            <w:r w:rsidRPr="00E70587">
              <w:rPr>
                <w:rFonts w:ascii="Arial" w:hAnsi="Arial" w:cs="Arial"/>
                <w:szCs w:val="20"/>
              </w:rPr>
              <w:t>Property, plant and equipment</w:t>
            </w:r>
          </w:p>
          <w:p w14:paraId="1721F8E2" w14:textId="77777777" w:rsidR="00E17643" w:rsidRPr="00E70587" w:rsidRDefault="00E17643" w:rsidP="00E17643">
            <w:pPr>
              <w:pStyle w:val="Notesbodytext"/>
              <w:spacing w:after="0" w:line="280" w:lineRule="exact"/>
              <w:jc w:val="both"/>
              <w:rPr>
                <w:rFonts w:ascii="Arial" w:hAnsi="Arial"/>
                <w:color w:val="auto"/>
                <w:sz w:val="20"/>
              </w:rPr>
            </w:pPr>
          </w:p>
          <w:p w14:paraId="0D55B75E" w14:textId="57A557F8" w:rsidR="00E17643" w:rsidRDefault="00E17643" w:rsidP="00BB6300">
            <w:pPr>
              <w:pStyle w:val="Notesbodytext"/>
              <w:spacing w:after="0" w:line="280" w:lineRule="exact"/>
              <w:jc w:val="both"/>
              <w:rPr>
                <w:rFonts w:ascii="Arial" w:hAnsi="Arial"/>
                <w:color w:val="auto"/>
                <w:sz w:val="20"/>
              </w:rPr>
            </w:pPr>
            <w:r w:rsidRPr="00E70587">
              <w:rPr>
                <w:rFonts w:ascii="Arial" w:hAnsi="Arial"/>
                <w:color w:val="auto"/>
                <w:sz w:val="20"/>
              </w:rPr>
              <w:lastRenderedPageBreak/>
              <w:t xml:space="preserve">Capital work in progress, plant and equipment is stated at cost, net of accumulated depreciation and accumulated impairment losses, if any. Such cost includes the cost of replacing part of the plant and equipment and borrowing costs for long-term construction projects if the recognition criteria are met. When significant parts of plant and equipment are required to be replaced at intervals, the Group depreciates them separately based on their specific useful lives. Likewise, when a major inspection is performed, its cost is recognised in the carrying amount of the plant and equipment as a replacement if the recognition criteria are satisfied. All other repair and maintenance costs are recognised in profit </w:t>
            </w:r>
            <w:r w:rsidR="009A629E">
              <w:rPr>
                <w:rFonts w:ascii="Arial" w:hAnsi="Arial"/>
                <w:color w:val="auto"/>
                <w:sz w:val="20"/>
              </w:rPr>
              <w:t>or</w:t>
            </w:r>
            <w:r w:rsidRPr="00E70587">
              <w:rPr>
                <w:rFonts w:ascii="Arial" w:hAnsi="Arial"/>
                <w:color w:val="auto"/>
                <w:sz w:val="20"/>
              </w:rPr>
              <w:t xml:space="preserve"> loss as incurred. The present value of the expected cost for the decommissioning of an asset after its use is included in the cost of the respective asset if the recognition criteria for a provision are met. Refer to note 16 and 34 regarding </w:t>
            </w:r>
            <w:r w:rsidR="001065F0" w:rsidRPr="00E70587">
              <w:rPr>
                <w:rFonts w:ascii="Arial" w:hAnsi="Arial"/>
                <w:color w:val="auto"/>
                <w:sz w:val="20"/>
              </w:rPr>
              <w:t xml:space="preserve">provisions </w:t>
            </w:r>
            <w:r w:rsidR="001065F0">
              <w:rPr>
                <w:rFonts w:ascii="Arial" w:hAnsi="Arial"/>
                <w:color w:val="auto"/>
                <w:sz w:val="20"/>
              </w:rPr>
              <w:t xml:space="preserve">and </w:t>
            </w:r>
            <w:r w:rsidRPr="00E70587">
              <w:rPr>
                <w:rFonts w:ascii="Arial" w:hAnsi="Arial"/>
                <w:color w:val="auto"/>
                <w:sz w:val="20"/>
              </w:rPr>
              <w:t>significant accounting judgements, estimates and assumptions for further information about the recorded decommissioning provision.</w:t>
            </w:r>
          </w:p>
          <w:p w14:paraId="2C684CA5" w14:textId="77777777" w:rsidR="00BB6300" w:rsidRPr="00E70587" w:rsidRDefault="00BB6300" w:rsidP="00BB6300">
            <w:pPr>
              <w:pStyle w:val="Notesbodytext"/>
              <w:spacing w:after="0" w:line="280" w:lineRule="exact"/>
              <w:jc w:val="both"/>
              <w:rPr>
                <w:rFonts w:ascii="Arial" w:hAnsi="Arial"/>
                <w:color w:val="auto"/>
                <w:sz w:val="20"/>
              </w:rPr>
            </w:pPr>
          </w:p>
        </w:tc>
      </w:tr>
      <w:tr w:rsidR="00D508A7" w:rsidRPr="00483B57" w14:paraId="7B3B552C" w14:textId="77777777" w:rsidTr="006939C8">
        <w:tc>
          <w:tcPr>
            <w:tcW w:w="9630" w:type="dxa"/>
          </w:tcPr>
          <w:p w14:paraId="192AD0CD" w14:textId="77777777" w:rsidR="00D508A7" w:rsidRPr="00483B57" w:rsidRDefault="00D508A7" w:rsidP="00D508A7">
            <w:pPr>
              <w:spacing w:after="80" w:line="240" w:lineRule="atLeast"/>
              <w:rPr>
                <w:rFonts w:ascii="Arial" w:hAnsi="Arial"/>
                <w:sz w:val="20"/>
                <w:szCs w:val="22"/>
              </w:rPr>
            </w:pPr>
            <w:r w:rsidRPr="00483B57">
              <w:rPr>
                <w:rFonts w:ascii="Arial" w:hAnsi="Arial"/>
                <w:sz w:val="20"/>
                <w:szCs w:val="22"/>
              </w:rPr>
              <w:lastRenderedPageBreak/>
              <w:t xml:space="preserve">Contributions by customers of items of property, plant and equipment (such as moulds), which require an obligation to supply goods to the customer in the future, are recognised at the fair value when the group has control of the item. A corresponding credit to </w:t>
            </w:r>
            <w:r w:rsidR="00A03922" w:rsidRPr="00483B57">
              <w:rPr>
                <w:rFonts w:ascii="Arial" w:hAnsi="Arial"/>
                <w:sz w:val="20"/>
                <w:szCs w:val="22"/>
              </w:rPr>
              <w:t>contract liability</w:t>
            </w:r>
            <w:r w:rsidRPr="00483B57">
              <w:rPr>
                <w:rFonts w:ascii="Arial" w:hAnsi="Arial"/>
                <w:sz w:val="20"/>
                <w:szCs w:val="22"/>
              </w:rPr>
              <w:t xml:space="preserve"> is made. The Group may agree to deliver one or more services in exchange for the transferred item of property, plant and equipment, such as connecting the customer to a network, providing the customer with ongoing access to a supply of goods or services, or both. The Group identifies the separately identifiable </w:t>
            </w:r>
            <w:r w:rsidR="00A03922" w:rsidRPr="00483B57">
              <w:rPr>
                <w:rFonts w:ascii="Arial" w:hAnsi="Arial"/>
                <w:sz w:val="20"/>
                <w:szCs w:val="22"/>
              </w:rPr>
              <w:t>performance obligation</w:t>
            </w:r>
            <w:r w:rsidRPr="00483B57">
              <w:rPr>
                <w:rFonts w:ascii="Arial" w:hAnsi="Arial"/>
                <w:sz w:val="20"/>
                <w:szCs w:val="22"/>
              </w:rPr>
              <w:t xml:space="preserve"> included in the agreement.</w:t>
            </w:r>
          </w:p>
          <w:p w14:paraId="1A99186C" w14:textId="77777777" w:rsidR="00D508A7" w:rsidRPr="00483B57" w:rsidRDefault="00D508A7" w:rsidP="00D508A7">
            <w:pPr>
              <w:pStyle w:val="Level1Bullets"/>
              <w:tabs>
                <w:tab w:val="clear" w:pos="425"/>
              </w:tabs>
              <w:spacing w:after="80" w:line="240" w:lineRule="atLeast"/>
              <w:ind w:left="318" w:hanging="284"/>
              <w:rPr>
                <w:rFonts w:ascii="Arial" w:hAnsi="Arial"/>
                <w:sz w:val="20"/>
                <w:szCs w:val="22"/>
              </w:rPr>
            </w:pPr>
            <w:r w:rsidRPr="00483B57">
              <w:rPr>
                <w:rFonts w:ascii="Arial" w:hAnsi="Arial"/>
                <w:sz w:val="20"/>
                <w:szCs w:val="22"/>
              </w:rPr>
              <w:t xml:space="preserve">If only one </w:t>
            </w:r>
            <w:r w:rsidR="00CC2E87" w:rsidRPr="00483B57">
              <w:rPr>
                <w:rFonts w:ascii="Arial" w:hAnsi="Arial"/>
                <w:sz w:val="20"/>
                <w:szCs w:val="22"/>
              </w:rPr>
              <w:t>performance obligation</w:t>
            </w:r>
            <w:r w:rsidRPr="00483B57">
              <w:rPr>
                <w:rFonts w:ascii="Arial" w:hAnsi="Arial"/>
                <w:sz w:val="20"/>
                <w:szCs w:val="22"/>
              </w:rPr>
              <w:t xml:space="preserve"> is identified, the Group </w:t>
            </w:r>
            <w:proofErr w:type="spellStart"/>
            <w:r w:rsidRPr="00483B57">
              <w:rPr>
                <w:rFonts w:ascii="Arial" w:hAnsi="Arial"/>
                <w:sz w:val="20"/>
                <w:szCs w:val="22"/>
              </w:rPr>
              <w:t>recognises</w:t>
            </w:r>
            <w:proofErr w:type="spellEnd"/>
            <w:r w:rsidRPr="00483B57">
              <w:rPr>
                <w:rFonts w:ascii="Arial" w:hAnsi="Arial"/>
                <w:sz w:val="20"/>
                <w:szCs w:val="22"/>
              </w:rPr>
              <w:t xml:space="preserve"> revenue when the service is performed.</w:t>
            </w:r>
          </w:p>
          <w:p w14:paraId="7E4AB9CD" w14:textId="77777777" w:rsidR="00D508A7" w:rsidRPr="00483B57" w:rsidRDefault="00D508A7" w:rsidP="00D508A7">
            <w:pPr>
              <w:pStyle w:val="Level1Bullets"/>
              <w:spacing w:after="80" w:line="240" w:lineRule="atLeast"/>
              <w:ind w:left="318" w:hanging="284"/>
              <w:rPr>
                <w:rFonts w:ascii="Arial" w:hAnsi="Arial"/>
                <w:sz w:val="20"/>
                <w:szCs w:val="22"/>
              </w:rPr>
            </w:pPr>
            <w:r w:rsidRPr="00483B57">
              <w:rPr>
                <w:rFonts w:ascii="Arial" w:hAnsi="Arial"/>
                <w:sz w:val="20"/>
                <w:szCs w:val="22"/>
              </w:rPr>
              <w:t xml:space="preserve">If an ongoing service is identified as part of the agreement, the period over which revenue is </w:t>
            </w:r>
            <w:proofErr w:type="spellStart"/>
            <w:r w:rsidRPr="00483B57">
              <w:rPr>
                <w:rFonts w:ascii="Arial" w:hAnsi="Arial"/>
                <w:sz w:val="20"/>
                <w:szCs w:val="22"/>
              </w:rPr>
              <w:t>recognised</w:t>
            </w:r>
            <w:proofErr w:type="spellEnd"/>
            <w:r w:rsidRPr="00483B57">
              <w:rPr>
                <w:rFonts w:ascii="Arial" w:hAnsi="Arial"/>
                <w:sz w:val="20"/>
                <w:szCs w:val="22"/>
              </w:rPr>
              <w:t xml:space="preserve"> for that service is generally determined by the terms of the agreement with the customer. If the agreement does not specify a period, the revenue is </w:t>
            </w:r>
            <w:proofErr w:type="spellStart"/>
            <w:r w:rsidRPr="00483B57">
              <w:rPr>
                <w:rFonts w:ascii="Arial" w:hAnsi="Arial"/>
                <w:sz w:val="20"/>
                <w:szCs w:val="22"/>
              </w:rPr>
              <w:t>recognised</w:t>
            </w:r>
            <w:proofErr w:type="spellEnd"/>
            <w:r w:rsidRPr="00483B57">
              <w:rPr>
                <w:rFonts w:ascii="Arial" w:hAnsi="Arial"/>
                <w:sz w:val="20"/>
                <w:szCs w:val="22"/>
              </w:rPr>
              <w:t xml:space="preserve"> over a period no longer than the useful life of the transferred asset used to provide the ongoing service.</w:t>
            </w:r>
          </w:p>
          <w:p w14:paraId="13C6F41F" w14:textId="77777777" w:rsidR="00D508A7" w:rsidRPr="00483B57" w:rsidRDefault="00D508A7" w:rsidP="00D508A7">
            <w:pPr>
              <w:pStyle w:val="Level1Bullets"/>
              <w:spacing w:after="80" w:line="240" w:lineRule="atLeast"/>
              <w:ind w:left="318" w:hanging="284"/>
              <w:rPr>
                <w:rFonts w:ascii="Arial" w:hAnsi="Arial"/>
                <w:sz w:val="20"/>
                <w:szCs w:val="22"/>
              </w:rPr>
            </w:pPr>
            <w:r w:rsidRPr="00483B57">
              <w:rPr>
                <w:rFonts w:ascii="Arial" w:hAnsi="Arial"/>
                <w:sz w:val="20"/>
                <w:szCs w:val="22"/>
              </w:rPr>
              <w:t xml:space="preserve">If more than one separately identifiable </w:t>
            </w:r>
            <w:r w:rsidR="0075330A" w:rsidRPr="00483B57">
              <w:rPr>
                <w:rFonts w:ascii="Arial" w:hAnsi="Arial"/>
                <w:sz w:val="20"/>
                <w:szCs w:val="22"/>
              </w:rPr>
              <w:t>performance obligation</w:t>
            </w:r>
            <w:r w:rsidRPr="00483B57">
              <w:rPr>
                <w:rFonts w:ascii="Arial" w:hAnsi="Arial"/>
                <w:sz w:val="20"/>
                <w:szCs w:val="22"/>
              </w:rPr>
              <w:t xml:space="preserve"> is identified, the fair value of the total consideration received or receivable for the agreement will be allocated to each service and the recognition criteria of Ind AS </w:t>
            </w:r>
            <w:r w:rsidR="00A03922" w:rsidRPr="00483B57">
              <w:rPr>
                <w:rFonts w:ascii="Arial" w:hAnsi="Arial"/>
                <w:sz w:val="20"/>
                <w:szCs w:val="22"/>
              </w:rPr>
              <w:t>115</w:t>
            </w:r>
            <w:r w:rsidRPr="00483B57">
              <w:rPr>
                <w:rFonts w:ascii="Arial" w:hAnsi="Arial"/>
                <w:sz w:val="20"/>
                <w:szCs w:val="22"/>
              </w:rPr>
              <w:t xml:space="preserve"> are then applied to each service.</w:t>
            </w:r>
          </w:p>
          <w:p w14:paraId="52900C79" w14:textId="77777777" w:rsidR="00D508A7" w:rsidRPr="00483B57" w:rsidRDefault="00D508A7" w:rsidP="00D508A7">
            <w:pPr>
              <w:pStyle w:val="Notesbodytext"/>
              <w:spacing w:after="0" w:line="280" w:lineRule="exact"/>
              <w:jc w:val="both"/>
              <w:rPr>
                <w:rFonts w:ascii="Arial" w:hAnsi="Arial"/>
                <w:color w:val="auto"/>
                <w:sz w:val="20"/>
                <w:szCs w:val="22"/>
              </w:rPr>
            </w:pPr>
          </w:p>
        </w:tc>
      </w:tr>
      <w:tr w:rsidR="00E17643" w:rsidRPr="00E70587" w14:paraId="50D19DF2" w14:textId="77777777" w:rsidTr="006939C8">
        <w:tc>
          <w:tcPr>
            <w:tcW w:w="9630" w:type="dxa"/>
          </w:tcPr>
          <w:p w14:paraId="2E3F634F"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Land and buildings are measured at fair value less accumulated depreciation on buildings and impairment losses recognised at the date of revaluation. Valuations are performed with sufficient frequency to ensure that the carrying amount of a revalued asset does not differ materially from its fair value.</w:t>
            </w:r>
          </w:p>
        </w:tc>
      </w:tr>
      <w:tr w:rsidR="00E17643" w:rsidRPr="00E70587" w14:paraId="1DBF3758" w14:textId="77777777" w:rsidTr="006939C8">
        <w:tc>
          <w:tcPr>
            <w:tcW w:w="9630" w:type="dxa"/>
          </w:tcPr>
          <w:p w14:paraId="14A53B5D" w14:textId="77777777" w:rsidR="00E17643" w:rsidRPr="00E70587" w:rsidRDefault="00E17643" w:rsidP="00E17643">
            <w:pPr>
              <w:pStyle w:val="Notesbodytext"/>
              <w:spacing w:after="0" w:line="280" w:lineRule="exact"/>
              <w:jc w:val="both"/>
              <w:rPr>
                <w:rFonts w:ascii="Arial" w:hAnsi="Arial"/>
                <w:color w:val="auto"/>
                <w:sz w:val="20"/>
              </w:rPr>
            </w:pPr>
          </w:p>
          <w:p w14:paraId="21E30839" w14:textId="35893519"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 xml:space="preserve">A revaluation surplus is recorded in OCI and credited to the asset revaluation surplus in equity. However, to the extent that it reverses a revaluation deficit of the same asset previously recognised in profit </w:t>
            </w:r>
            <w:r w:rsidR="009A629E">
              <w:rPr>
                <w:rFonts w:ascii="Arial" w:hAnsi="Arial"/>
                <w:color w:val="auto"/>
                <w:sz w:val="20"/>
              </w:rPr>
              <w:t>or</w:t>
            </w:r>
            <w:r w:rsidRPr="00E70587">
              <w:rPr>
                <w:rFonts w:ascii="Arial" w:hAnsi="Arial"/>
                <w:color w:val="auto"/>
                <w:sz w:val="20"/>
              </w:rPr>
              <w:t xml:space="preserve"> loss, the increase is recognised in profit </w:t>
            </w:r>
            <w:r w:rsidR="00CC0BDD">
              <w:rPr>
                <w:rFonts w:ascii="Arial" w:hAnsi="Arial"/>
                <w:color w:val="auto"/>
                <w:sz w:val="20"/>
              </w:rPr>
              <w:t>or</w:t>
            </w:r>
            <w:r w:rsidR="00CC0BDD" w:rsidRPr="00E70587">
              <w:rPr>
                <w:rFonts w:ascii="Arial" w:hAnsi="Arial"/>
                <w:color w:val="auto"/>
                <w:sz w:val="20"/>
              </w:rPr>
              <w:t xml:space="preserve"> </w:t>
            </w:r>
            <w:r w:rsidRPr="00E70587">
              <w:rPr>
                <w:rFonts w:ascii="Arial" w:hAnsi="Arial"/>
                <w:color w:val="auto"/>
                <w:sz w:val="20"/>
              </w:rPr>
              <w:t>loss. A revaluation deficit is recognised in the statement of profit and loss, except to the extent that it offsets an existing surplus on the same asset recognised in the asset revaluation reserve.</w:t>
            </w:r>
          </w:p>
        </w:tc>
      </w:tr>
      <w:tr w:rsidR="00E17643" w:rsidRPr="00E70587" w14:paraId="0AEC7FCE" w14:textId="77777777" w:rsidTr="006939C8">
        <w:tc>
          <w:tcPr>
            <w:tcW w:w="9630" w:type="dxa"/>
          </w:tcPr>
          <w:p w14:paraId="4BBAED21" w14:textId="77777777" w:rsidR="00E17643" w:rsidRPr="00E70587" w:rsidRDefault="00E17643" w:rsidP="00E17643">
            <w:pPr>
              <w:pStyle w:val="Notesbodytext"/>
              <w:spacing w:after="0" w:line="280" w:lineRule="exact"/>
              <w:jc w:val="both"/>
              <w:rPr>
                <w:rFonts w:ascii="Arial" w:hAnsi="Arial"/>
                <w:color w:val="auto"/>
                <w:sz w:val="20"/>
              </w:rPr>
            </w:pPr>
          </w:p>
          <w:p w14:paraId="5D27F3BD"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An annual transfer from the asset revaluation reserve to retained earnings is made for the difference between depreciation based on the revalued carrying amount of the asset and depreciation based on the asset’s original cost. Additionally, accumulated depreciation as at the revaluation date is eliminated against the gross carrying amount of the asset and the net amount is restated to the revalued amount of the asset. Upon disposal, any revaluation reserve relating to the particular asset being sold is transferred to retained earnings.</w:t>
            </w:r>
          </w:p>
          <w:p w14:paraId="60BE70F3" w14:textId="77777777" w:rsidR="00E17643" w:rsidRPr="00E70587" w:rsidRDefault="00E17643" w:rsidP="00E17643">
            <w:pPr>
              <w:pStyle w:val="Notesbodytext"/>
              <w:spacing w:after="0" w:line="280" w:lineRule="exact"/>
              <w:jc w:val="both"/>
              <w:rPr>
                <w:rFonts w:ascii="Arial" w:hAnsi="Arial"/>
                <w:color w:val="auto"/>
                <w:sz w:val="20"/>
              </w:rPr>
            </w:pPr>
          </w:p>
          <w:p w14:paraId="05000B93"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Depreciation is calculated on a straight-line basis over the estimated useful lives of the assets as follows:</w:t>
            </w:r>
          </w:p>
          <w:p w14:paraId="6DC8AC17"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Buildings</w:t>
            </w:r>
            <w:r w:rsidRPr="00E70587">
              <w:rPr>
                <w:rFonts w:ascii="Arial" w:hAnsi="Arial"/>
                <w:color w:val="auto"/>
                <w:sz w:val="20"/>
              </w:rPr>
              <w:tab/>
            </w:r>
            <w:r w:rsidRPr="00E70587">
              <w:rPr>
                <w:rFonts w:ascii="Arial" w:hAnsi="Arial"/>
                <w:color w:val="auto"/>
                <w:sz w:val="20"/>
              </w:rPr>
              <w:tab/>
              <w:t>15 to 20 years</w:t>
            </w:r>
          </w:p>
          <w:p w14:paraId="467ED635"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Plant and equipment</w:t>
            </w:r>
            <w:r w:rsidRPr="00E70587">
              <w:rPr>
                <w:rFonts w:ascii="Arial" w:hAnsi="Arial"/>
                <w:color w:val="auto"/>
                <w:sz w:val="20"/>
              </w:rPr>
              <w:tab/>
              <w:t>5 to 15 years</w:t>
            </w:r>
          </w:p>
        </w:tc>
      </w:tr>
      <w:tr w:rsidR="00E17643" w:rsidRPr="00E70587" w14:paraId="5DB7CFED" w14:textId="77777777" w:rsidTr="006939C8">
        <w:tc>
          <w:tcPr>
            <w:tcW w:w="9630" w:type="dxa"/>
          </w:tcPr>
          <w:p w14:paraId="2DEFBF6E" w14:textId="77777777" w:rsidR="00E17643" w:rsidRPr="00E70587" w:rsidRDefault="00E17643" w:rsidP="00E17643">
            <w:pPr>
              <w:pStyle w:val="Notesbodytext"/>
              <w:spacing w:after="0" w:line="280" w:lineRule="exact"/>
              <w:jc w:val="both"/>
              <w:rPr>
                <w:rFonts w:ascii="Arial" w:hAnsi="Arial"/>
                <w:color w:val="auto"/>
                <w:sz w:val="20"/>
              </w:rPr>
            </w:pPr>
          </w:p>
          <w:p w14:paraId="618F9E46"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 xml:space="preserve">The group, based on technical assessment made by technical expert and management estimate, depreciates the certain items of building, plant and equipment over estimated useful lives which are different </w:t>
            </w:r>
            <w:r w:rsidRPr="00E70587">
              <w:rPr>
                <w:rFonts w:ascii="Arial" w:hAnsi="Arial"/>
                <w:color w:val="auto"/>
                <w:sz w:val="20"/>
              </w:rPr>
              <w:lastRenderedPageBreak/>
              <w:t>from the useful life prescribed in Schedule II to the Companies Act, 2013. The management believes that these estimated useful lives are realistic and reflect fair approximation of the period over which the assets are likely to be used.</w:t>
            </w:r>
          </w:p>
        </w:tc>
      </w:tr>
      <w:tr w:rsidR="00E17643" w:rsidRPr="00E70587" w14:paraId="27BAD897" w14:textId="77777777" w:rsidTr="006939C8">
        <w:tc>
          <w:tcPr>
            <w:tcW w:w="9630" w:type="dxa"/>
          </w:tcPr>
          <w:p w14:paraId="6FB09189" w14:textId="77777777" w:rsidR="00E17643" w:rsidRPr="00E70587" w:rsidRDefault="00E17643" w:rsidP="00E17643">
            <w:pPr>
              <w:pStyle w:val="Notesbodytext"/>
              <w:spacing w:after="0" w:line="280" w:lineRule="exact"/>
              <w:jc w:val="both"/>
              <w:rPr>
                <w:rFonts w:ascii="Arial" w:hAnsi="Arial"/>
                <w:color w:val="auto"/>
                <w:sz w:val="20"/>
              </w:rPr>
            </w:pPr>
          </w:p>
          <w:p w14:paraId="63CC17D3"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 xml:space="preserve">An item of property, plant and equipment and any significant part initially recognised is derecognised upon disposal or when no future economic benefits are expected from its use or disposal. </w:t>
            </w:r>
            <w:r w:rsidR="00BC6A9A" w:rsidRPr="00E70587">
              <w:rPr>
                <w:rFonts w:ascii="Arial" w:hAnsi="Arial"/>
                <w:color w:val="auto"/>
                <w:sz w:val="20"/>
              </w:rPr>
              <w:t xml:space="preserve">The date of disposal of an item of property, plant and equipment is the date the recipient obtains control of that item in accordance with Ind AS 115 criteria. </w:t>
            </w:r>
            <w:r w:rsidRPr="00E70587">
              <w:rPr>
                <w:rFonts w:ascii="Arial" w:hAnsi="Arial"/>
                <w:color w:val="auto"/>
                <w:sz w:val="20"/>
              </w:rPr>
              <w:t>Any gain or loss arising on derecognition of the asset (calculated as the difference between the net disposal proceeds and the carrying amount of the asset) is included in the statement of profit and loss when the asset is derecognised.</w:t>
            </w:r>
          </w:p>
        </w:tc>
      </w:tr>
      <w:tr w:rsidR="00E17643" w:rsidRPr="00E70587" w14:paraId="3FDC6CFD" w14:textId="77777777" w:rsidTr="006939C8">
        <w:tc>
          <w:tcPr>
            <w:tcW w:w="9630" w:type="dxa"/>
          </w:tcPr>
          <w:p w14:paraId="4613D1A7" w14:textId="77777777" w:rsidR="00E17643" w:rsidRPr="00E70587" w:rsidRDefault="00E17643" w:rsidP="00E17643">
            <w:pPr>
              <w:pStyle w:val="Notesbodytext"/>
              <w:spacing w:after="0" w:line="280" w:lineRule="exact"/>
              <w:jc w:val="both"/>
              <w:rPr>
                <w:rFonts w:ascii="Arial" w:hAnsi="Arial"/>
                <w:color w:val="auto"/>
                <w:sz w:val="20"/>
              </w:rPr>
            </w:pPr>
          </w:p>
          <w:p w14:paraId="015EC15F"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The residual values, useful lives and methods of depreciation of property, plant and equipment are reviewed at each financial year end and adjusted prospectively, if appropriate.</w:t>
            </w:r>
          </w:p>
          <w:p w14:paraId="2B2D1ADA" w14:textId="77777777" w:rsidR="00E17643" w:rsidRPr="00E70587" w:rsidRDefault="00E17643" w:rsidP="00E17643">
            <w:pPr>
              <w:pStyle w:val="Notesbodytext"/>
              <w:spacing w:after="0" w:line="280" w:lineRule="exact"/>
              <w:jc w:val="both"/>
              <w:rPr>
                <w:rFonts w:ascii="Arial" w:hAnsi="Arial"/>
                <w:color w:val="auto"/>
                <w:sz w:val="20"/>
              </w:rPr>
            </w:pPr>
          </w:p>
          <w:p w14:paraId="7C6BDFA8" w14:textId="77777777" w:rsidR="00E17643" w:rsidRPr="00E70587" w:rsidRDefault="00E17643" w:rsidP="00E17643">
            <w:pPr>
              <w:pStyle w:val="Notesbodytext"/>
              <w:shd w:val="clear" w:color="auto" w:fill="C1C1C1" w:themeFill="background1" w:themeFillTint="66"/>
              <w:spacing w:after="0" w:line="280" w:lineRule="exact"/>
              <w:jc w:val="both"/>
              <w:rPr>
                <w:rFonts w:ascii="Arial" w:hAnsi="Arial"/>
                <w:b/>
                <w:color w:val="auto"/>
                <w:sz w:val="20"/>
              </w:rPr>
            </w:pPr>
            <w:r w:rsidRPr="00E70587">
              <w:rPr>
                <w:rFonts w:ascii="Arial" w:hAnsi="Arial"/>
                <w:b/>
                <w:color w:val="auto"/>
                <w:sz w:val="20"/>
              </w:rPr>
              <w:t>Authors’ Note</w:t>
            </w:r>
          </w:p>
          <w:p w14:paraId="517019CB" w14:textId="77777777" w:rsidR="00E17643" w:rsidRPr="00E70587" w:rsidRDefault="00E17643" w:rsidP="00E17643">
            <w:pPr>
              <w:pStyle w:val="Notesbodytext"/>
              <w:shd w:val="clear" w:color="auto" w:fill="C1C1C1" w:themeFill="background1" w:themeFillTint="66"/>
              <w:spacing w:after="0" w:line="280" w:lineRule="exact"/>
              <w:jc w:val="both"/>
              <w:rPr>
                <w:rFonts w:ascii="Arial" w:hAnsi="Arial"/>
                <w:color w:val="auto"/>
                <w:sz w:val="20"/>
              </w:rPr>
            </w:pPr>
          </w:p>
          <w:p w14:paraId="549A563D" w14:textId="77777777" w:rsidR="00E17643" w:rsidRDefault="00E17643" w:rsidP="00E17643">
            <w:pPr>
              <w:pStyle w:val="Notesbodytext"/>
              <w:shd w:val="clear" w:color="auto" w:fill="C1C1C1" w:themeFill="background1" w:themeFillTint="66"/>
              <w:spacing w:after="0" w:line="280" w:lineRule="exact"/>
              <w:jc w:val="both"/>
              <w:rPr>
                <w:rFonts w:ascii="Arial" w:hAnsi="Arial"/>
                <w:color w:val="auto"/>
                <w:sz w:val="20"/>
              </w:rPr>
            </w:pPr>
            <w:r w:rsidRPr="00E70587">
              <w:rPr>
                <w:rFonts w:ascii="Arial" w:hAnsi="Arial"/>
                <w:color w:val="auto"/>
                <w:sz w:val="20"/>
              </w:rPr>
              <w:t>Ind AS 16 and Schedule II to the Companies Act require the management to estimate the useful lives and residual value of items of property, plant and equipment. If estimated useful lives of these items are different from the lives indicated in Schedule II or the estimated residual value is more than 5%, companies need to carry out technical evaluation to assess the useful lives of its assets and maintain adequate details about its technical assessment of useful lives of the assets. Schedule II requires that if a company adopts a useful life/ residual value different from that specified in Schedule II, the financial statements should disclose such difference and provide justification in this behalf duly supported by technical advice.</w:t>
            </w:r>
          </w:p>
          <w:p w14:paraId="7A8D9D89" w14:textId="77777777" w:rsidR="005926AA" w:rsidRDefault="005926AA" w:rsidP="00E17643">
            <w:pPr>
              <w:pStyle w:val="Notesbodytext"/>
              <w:shd w:val="clear" w:color="auto" w:fill="C1C1C1" w:themeFill="background1" w:themeFillTint="66"/>
              <w:spacing w:after="0" w:line="280" w:lineRule="exact"/>
              <w:jc w:val="both"/>
              <w:rPr>
                <w:rFonts w:ascii="Arial" w:hAnsi="Arial"/>
                <w:color w:val="auto"/>
                <w:sz w:val="20"/>
              </w:rPr>
            </w:pPr>
          </w:p>
          <w:p w14:paraId="20DA3130" w14:textId="557B6CD5" w:rsidR="005926AA" w:rsidRDefault="005926AA" w:rsidP="00E17643">
            <w:pPr>
              <w:pStyle w:val="Notesbodytext"/>
              <w:shd w:val="clear" w:color="auto" w:fill="C1C1C1" w:themeFill="background1" w:themeFillTint="66"/>
              <w:spacing w:after="0" w:line="280" w:lineRule="exact"/>
              <w:jc w:val="both"/>
              <w:rPr>
                <w:rFonts w:ascii="Arial" w:hAnsi="Arial"/>
                <w:color w:val="auto"/>
                <w:sz w:val="20"/>
              </w:rPr>
            </w:pPr>
            <w:r w:rsidRPr="005926AA">
              <w:rPr>
                <w:rFonts w:ascii="Arial" w:hAnsi="Arial"/>
                <w:color w:val="auto"/>
                <w:sz w:val="20"/>
              </w:rPr>
              <w:t xml:space="preserve">If an entity adopts the first time exemption to treat previous GAAP carrying amount deemed cost in accordance with paragraph D7AA of Ind AS 101 on transition in earlier years then the entity should disclose the following until such time that those </w:t>
            </w:r>
            <w:proofErr w:type="gramStart"/>
            <w:r w:rsidRPr="005926AA">
              <w:rPr>
                <w:rFonts w:ascii="Arial" w:hAnsi="Arial"/>
                <w:color w:val="auto"/>
                <w:sz w:val="20"/>
              </w:rPr>
              <w:t>items  of</w:t>
            </w:r>
            <w:proofErr w:type="gramEnd"/>
            <w:r w:rsidRPr="005926AA">
              <w:rPr>
                <w:rFonts w:ascii="Arial" w:hAnsi="Arial"/>
                <w:color w:val="auto"/>
                <w:sz w:val="20"/>
              </w:rPr>
              <w:t xml:space="preserve"> PPE, are significantly depreciated, impaired or derecognised from the entity’s Balance Sheet. Since the group has not used previous </w:t>
            </w:r>
            <w:r w:rsidR="00ED7FA7">
              <w:rPr>
                <w:rFonts w:ascii="Arial" w:hAnsi="Arial"/>
                <w:color w:val="auto"/>
                <w:sz w:val="20"/>
              </w:rPr>
              <w:t>GAAP</w:t>
            </w:r>
            <w:r w:rsidRPr="005926AA">
              <w:rPr>
                <w:rFonts w:ascii="Arial" w:hAnsi="Arial"/>
                <w:color w:val="auto"/>
                <w:sz w:val="20"/>
              </w:rPr>
              <w:t xml:space="preserve"> values as deemed cost, the said disclosure is not </w:t>
            </w:r>
            <w:r w:rsidR="00ED7FA7">
              <w:rPr>
                <w:rFonts w:ascii="Arial" w:hAnsi="Arial"/>
                <w:color w:val="auto"/>
                <w:sz w:val="20"/>
              </w:rPr>
              <w:t>given</w:t>
            </w:r>
            <w:r w:rsidRPr="005926AA">
              <w:rPr>
                <w:rFonts w:ascii="Arial" w:hAnsi="Arial"/>
                <w:color w:val="auto"/>
                <w:sz w:val="20"/>
              </w:rPr>
              <w:t xml:space="preserve"> for PPE in the financial statements.</w:t>
            </w:r>
          </w:p>
          <w:p w14:paraId="1C7D5F17" w14:textId="24D09E63" w:rsidR="00E17643" w:rsidRDefault="00981967" w:rsidP="00981967">
            <w:pPr>
              <w:pStyle w:val="Notesbodytext"/>
              <w:tabs>
                <w:tab w:val="left" w:pos="4036"/>
              </w:tabs>
              <w:spacing w:after="0" w:line="280" w:lineRule="exact"/>
              <w:jc w:val="both"/>
              <w:rPr>
                <w:rFonts w:ascii="Arial" w:hAnsi="Arial"/>
                <w:color w:val="auto"/>
                <w:sz w:val="20"/>
              </w:rPr>
            </w:pPr>
            <w:r>
              <w:rPr>
                <w:rFonts w:ascii="Arial" w:hAnsi="Arial"/>
                <w:color w:val="auto"/>
                <w:sz w:val="20"/>
              </w:rPr>
              <w:tab/>
            </w:r>
          </w:p>
          <w:p w14:paraId="6A3563EE" w14:textId="1D47893D" w:rsidR="008D5272" w:rsidRDefault="008D5272" w:rsidP="00E17643">
            <w:pPr>
              <w:pStyle w:val="Notesbodytext"/>
              <w:spacing w:after="0" w:line="280" w:lineRule="exact"/>
              <w:jc w:val="both"/>
              <w:rPr>
                <w:rFonts w:ascii="Arial" w:hAnsi="Arial"/>
                <w:color w:val="auto"/>
                <w:sz w:val="20"/>
              </w:rPr>
            </w:pPr>
          </w:p>
          <w:p w14:paraId="5C68B297" w14:textId="4BC390C3" w:rsidR="008D5272" w:rsidRDefault="008D5272" w:rsidP="00E17643">
            <w:pPr>
              <w:pStyle w:val="Notesbodytext"/>
              <w:spacing w:after="0" w:line="280" w:lineRule="exact"/>
              <w:jc w:val="both"/>
              <w:rPr>
                <w:rFonts w:ascii="Arial" w:hAnsi="Arial"/>
                <w:color w:val="auto"/>
                <w:sz w:val="20"/>
              </w:rPr>
            </w:pPr>
          </w:p>
          <w:p w14:paraId="7968F364" w14:textId="047AB236" w:rsidR="00A23AA8" w:rsidRDefault="00A23AA8" w:rsidP="00525DE6">
            <w:pPr>
              <w:pStyle w:val="Notesbodytext"/>
              <w:shd w:val="clear" w:color="auto" w:fill="C1C1C1" w:themeFill="background1" w:themeFillTint="66"/>
              <w:spacing w:line="280" w:lineRule="exact"/>
              <w:jc w:val="both"/>
              <w:rPr>
                <w:rFonts w:ascii="Arial" w:hAnsi="Arial"/>
                <w:color w:val="auto"/>
                <w:sz w:val="20"/>
                <w:highlight w:val="yellow"/>
              </w:rPr>
            </w:pPr>
            <w:r w:rsidRPr="00E70587">
              <w:rPr>
                <w:rFonts w:ascii="Arial" w:hAnsi="Arial"/>
                <w:b/>
                <w:color w:val="auto"/>
                <w:sz w:val="20"/>
              </w:rPr>
              <w:t>Authors’ Note</w:t>
            </w:r>
          </w:p>
          <w:p w14:paraId="047C0FF5" w14:textId="71FFB252" w:rsidR="00525DE6" w:rsidRPr="0062040F" w:rsidRDefault="00525DE6" w:rsidP="00525DE6">
            <w:pPr>
              <w:pStyle w:val="Notesbodytext"/>
              <w:shd w:val="clear" w:color="auto" w:fill="C1C1C1" w:themeFill="background1" w:themeFillTint="66"/>
              <w:spacing w:line="280" w:lineRule="exact"/>
              <w:jc w:val="both"/>
              <w:rPr>
                <w:rFonts w:ascii="Arial" w:hAnsi="Arial"/>
                <w:color w:val="auto"/>
                <w:sz w:val="20"/>
              </w:rPr>
            </w:pPr>
            <w:r w:rsidRPr="0062040F">
              <w:rPr>
                <w:rFonts w:ascii="Arial" w:hAnsi="Arial"/>
                <w:color w:val="auto"/>
                <w:sz w:val="20"/>
              </w:rPr>
              <w:t>On disposal of property, plant and equipment:</w:t>
            </w:r>
          </w:p>
          <w:p w14:paraId="267CE3ED" w14:textId="77777777" w:rsidR="00525DE6" w:rsidRPr="0062040F" w:rsidRDefault="00525DE6" w:rsidP="00525DE6">
            <w:pPr>
              <w:pStyle w:val="Notesbodytext"/>
              <w:shd w:val="clear" w:color="auto" w:fill="C1C1C1" w:themeFill="background1" w:themeFillTint="66"/>
              <w:spacing w:line="280" w:lineRule="exact"/>
              <w:jc w:val="both"/>
              <w:rPr>
                <w:rFonts w:ascii="Arial" w:hAnsi="Arial"/>
                <w:color w:val="auto"/>
                <w:sz w:val="20"/>
              </w:rPr>
            </w:pPr>
            <w:r w:rsidRPr="0062040F">
              <w:rPr>
                <w:rFonts w:ascii="Arial" w:hAnsi="Arial"/>
                <w:color w:val="auto"/>
                <w:sz w:val="20"/>
              </w:rPr>
              <w:t>• The date of disposal of the asset is the date the recipient obtains control of the asset in accordance with the requirements for determining when a performance obligation is satisfied in Ind AS 115 (Ind AS 16.69).</w:t>
            </w:r>
          </w:p>
          <w:p w14:paraId="2040BE3C" w14:textId="77777777" w:rsidR="00525DE6" w:rsidRPr="0062040F" w:rsidRDefault="00525DE6" w:rsidP="00525DE6">
            <w:pPr>
              <w:pStyle w:val="Notesbodytext"/>
              <w:shd w:val="clear" w:color="auto" w:fill="C1C1C1" w:themeFill="background1" w:themeFillTint="66"/>
              <w:spacing w:line="280" w:lineRule="exact"/>
              <w:jc w:val="both"/>
              <w:rPr>
                <w:rFonts w:ascii="Arial" w:hAnsi="Arial"/>
                <w:color w:val="auto"/>
                <w:sz w:val="20"/>
              </w:rPr>
            </w:pPr>
            <w:r w:rsidRPr="0062040F">
              <w:rPr>
                <w:rFonts w:ascii="Arial" w:hAnsi="Arial"/>
                <w:color w:val="auto"/>
                <w:sz w:val="20"/>
              </w:rPr>
              <w:t>• The amount of consideration to be included in the gain or loss arising from the derecognition is determined in accordance with the requirements for determining the transaction price in Ind AS115. Subsequent changes to the estimated amount of the consideration included in the gain or loss shall be accounted for in accordance with the requirements for changes in transaction price in Ind AS 115 (Ind AS 16.72).</w:t>
            </w:r>
          </w:p>
          <w:p w14:paraId="6ECED40B" w14:textId="77777777" w:rsidR="00525DE6" w:rsidRPr="00E70587" w:rsidRDefault="00525DE6" w:rsidP="00525DE6">
            <w:pPr>
              <w:pStyle w:val="Notesbodytext"/>
              <w:shd w:val="clear" w:color="auto" w:fill="C1C1C1" w:themeFill="background1" w:themeFillTint="66"/>
              <w:spacing w:after="0" w:line="280" w:lineRule="exact"/>
              <w:jc w:val="both"/>
              <w:rPr>
                <w:rFonts w:ascii="Arial" w:hAnsi="Arial"/>
                <w:color w:val="auto"/>
                <w:sz w:val="20"/>
              </w:rPr>
            </w:pPr>
            <w:r w:rsidRPr="0062040F">
              <w:rPr>
                <w:rFonts w:ascii="Arial" w:hAnsi="Arial"/>
                <w:color w:val="auto"/>
                <w:sz w:val="20"/>
              </w:rPr>
              <w:t>The above requirements also apply to disposals of investment properties (Ind AS 40.67 and Ind AS 40.70) and intangible assets (Ind AS 38.114 and Ind AS 38.116).</w:t>
            </w:r>
          </w:p>
          <w:p w14:paraId="289558CA" w14:textId="77777777" w:rsidR="00525DE6" w:rsidRDefault="00525DE6" w:rsidP="00E17643">
            <w:pPr>
              <w:pStyle w:val="Notesbodytext"/>
              <w:spacing w:after="0" w:line="280" w:lineRule="exact"/>
              <w:jc w:val="both"/>
              <w:rPr>
                <w:rFonts w:ascii="Arial" w:hAnsi="Arial"/>
                <w:color w:val="auto"/>
                <w:sz w:val="20"/>
              </w:rPr>
            </w:pPr>
          </w:p>
          <w:p w14:paraId="3FEB45AA" w14:textId="77777777" w:rsidR="00657499" w:rsidRPr="00E70587" w:rsidRDefault="00657499" w:rsidP="00E17643">
            <w:pPr>
              <w:pStyle w:val="Notesbodytext"/>
              <w:spacing w:after="0" w:line="280" w:lineRule="exact"/>
              <w:jc w:val="both"/>
              <w:rPr>
                <w:rFonts w:ascii="Arial" w:hAnsi="Arial"/>
                <w:color w:val="auto"/>
                <w:sz w:val="20"/>
              </w:rPr>
            </w:pPr>
          </w:p>
        </w:tc>
      </w:tr>
      <w:tr w:rsidR="00E17643" w:rsidRPr="00E70587" w14:paraId="3C00B82C" w14:textId="77777777" w:rsidTr="006939C8">
        <w:tc>
          <w:tcPr>
            <w:tcW w:w="9630" w:type="dxa"/>
          </w:tcPr>
          <w:p w14:paraId="064E04C6" w14:textId="77777777" w:rsidR="00E17643" w:rsidRPr="00E70587" w:rsidRDefault="00E17643" w:rsidP="00E17643">
            <w:pPr>
              <w:pStyle w:val="Heading4"/>
              <w:keepNext w:val="0"/>
              <w:numPr>
                <w:ilvl w:val="0"/>
                <w:numId w:val="4"/>
              </w:numPr>
              <w:tabs>
                <w:tab w:val="clear" w:pos="357"/>
              </w:tabs>
              <w:spacing w:before="0" w:after="0" w:line="280" w:lineRule="exact"/>
              <w:jc w:val="both"/>
              <w:rPr>
                <w:rFonts w:ascii="Arial" w:hAnsi="Arial" w:cs="Arial"/>
                <w:szCs w:val="20"/>
              </w:rPr>
            </w:pPr>
            <w:r w:rsidRPr="00E70587">
              <w:rPr>
                <w:rFonts w:ascii="Arial" w:hAnsi="Arial" w:cs="Arial"/>
                <w:szCs w:val="20"/>
              </w:rPr>
              <w:t>Investment properties</w:t>
            </w:r>
          </w:p>
          <w:p w14:paraId="7A19D1C1" w14:textId="77777777" w:rsidR="00E17643" w:rsidRPr="00E70587" w:rsidRDefault="00E17643" w:rsidP="00E17643">
            <w:pPr>
              <w:pStyle w:val="Notesbodytext"/>
              <w:spacing w:after="0" w:line="280" w:lineRule="exact"/>
              <w:jc w:val="both"/>
              <w:rPr>
                <w:rFonts w:ascii="Arial" w:hAnsi="Arial"/>
                <w:color w:val="auto"/>
                <w:sz w:val="20"/>
              </w:rPr>
            </w:pPr>
          </w:p>
          <w:p w14:paraId="4B90D14C"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Since there is no change in the functional currency, the group has elected to continue with the carrying value for all of its investment property as recognised in its Indian GAAP financial statements as deemed cost at the transition date, viz., 1 April 2015.</w:t>
            </w:r>
          </w:p>
          <w:p w14:paraId="0DBA37F0"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355CAA02" w14:textId="77777777" w:rsidTr="006939C8">
        <w:tc>
          <w:tcPr>
            <w:tcW w:w="9630" w:type="dxa"/>
          </w:tcPr>
          <w:p w14:paraId="02A63C7D"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lastRenderedPageBreak/>
              <w:t>Investment properties are measured initially at cost, including transaction costs. Subsequent to initial recognition, investment properties are stated at cost less accumulated depreciation and accumulated impairment loss, if any.</w:t>
            </w:r>
          </w:p>
          <w:p w14:paraId="3E6B4C58"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1745B86F" w14:textId="77777777" w:rsidTr="006939C8">
        <w:tc>
          <w:tcPr>
            <w:tcW w:w="9630" w:type="dxa"/>
          </w:tcPr>
          <w:p w14:paraId="3EF2D7A2" w14:textId="4E113BD6"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 xml:space="preserve">The cost includes the cost of replacing parts and borrowing costs for long-term construction projects if the recognition criteria are met. When significant parts of the property are required to be replaced at intervals, the Group depreciates them separately based on their specific useful lives. All other repair and maintenance costs are recognised in profit </w:t>
            </w:r>
            <w:r w:rsidR="009A629E">
              <w:rPr>
                <w:rFonts w:ascii="Arial" w:hAnsi="Arial"/>
                <w:color w:val="auto"/>
                <w:sz w:val="20"/>
              </w:rPr>
              <w:t>or</w:t>
            </w:r>
            <w:r w:rsidRPr="00E70587">
              <w:rPr>
                <w:rFonts w:ascii="Arial" w:hAnsi="Arial"/>
                <w:color w:val="auto"/>
                <w:sz w:val="20"/>
              </w:rPr>
              <w:t xml:space="preserve"> loss as incurred.</w:t>
            </w:r>
          </w:p>
          <w:p w14:paraId="05473194"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374B57AE" w14:textId="77777777" w:rsidTr="006939C8">
        <w:tc>
          <w:tcPr>
            <w:tcW w:w="9630" w:type="dxa"/>
          </w:tcPr>
          <w:p w14:paraId="68C1409B"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The group depreciates building component of investment property over 30 years from the date of original purchase.</w:t>
            </w:r>
          </w:p>
          <w:p w14:paraId="58D862AF" w14:textId="77777777" w:rsidR="00E17643" w:rsidRPr="00E70587" w:rsidRDefault="00E17643" w:rsidP="00E17643">
            <w:pPr>
              <w:pStyle w:val="Notesbodytext"/>
              <w:spacing w:after="0" w:line="280" w:lineRule="exact"/>
              <w:jc w:val="both"/>
              <w:rPr>
                <w:rFonts w:ascii="Arial" w:hAnsi="Arial"/>
                <w:color w:val="auto"/>
                <w:sz w:val="20"/>
              </w:rPr>
            </w:pPr>
          </w:p>
          <w:p w14:paraId="004EAE64"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The group, based on technical assessment made by technical expert and management estimate, depreciates the building over estimated useful lives which are different from the useful life prescribed in Schedule II to the Companies Act, 2013. The management believes that these estimated useful lives are realistic and reflect fair approximation of the period over which the assets are likely to be used.</w:t>
            </w:r>
          </w:p>
          <w:p w14:paraId="6584EB7F"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179928EE" w14:textId="77777777" w:rsidTr="006939C8">
        <w:tc>
          <w:tcPr>
            <w:tcW w:w="9630" w:type="dxa"/>
          </w:tcPr>
          <w:p w14:paraId="606F8FB1" w14:textId="06315B1C"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 xml:space="preserve">Though the group measures investment property using </w:t>
            </w:r>
            <w:r w:rsidR="00483B57" w:rsidRPr="00E70587">
              <w:rPr>
                <w:rFonts w:ascii="Arial" w:hAnsi="Arial"/>
                <w:color w:val="auto"/>
                <w:sz w:val="20"/>
              </w:rPr>
              <w:t>cost</w:t>
            </w:r>
            <w:r w:rsidR="00483B57">
              <w:rPr>
                <w:rFonts w:ascii="Arial" w:hAnsi="Arial"/>
                <w:color w:val="auto"/>
                <w:sz w:val="20"/>
              </w:rPr>
              <w:t>-</w:t>
            </w:r>
            <w:r w:rsidRPr="00E70587">
              <w:rPr>
                <w:rFonts w:ascii="Arial" w:hAnsi="Arial"/>
                <w:color w:val="auto"/>
                <w:sz w:val="20"/>
              </w:rPr>
              <w:t>based measurement, the fair value of investment property is disclosed in the notes. Fair values are determined based on an annual evaluation performed by an accredited external independent valuer applying a valuation model recommended by the International Valuation Standards Committee.</w:t>
            </w:r>
          </w:p>
          <w:p w14:paraId="32E85F34"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2B1B1D80" w14:textId="77777777" w:rsidTr="006939C8">
        <w:tc>
          <w:tcPr>
            <w:tcW w:w="9630" w:type="dxa"/>
          </w:tcPr>
          <w:p w14:paraId="69C40089" w14:textId="2E80F6E6" w:rsidR="00E17643" w:rsidRDefault="00E17643" w:rsidP="00E17643">
            <w:pPr>
              <w:pStyle w:val="Commentarybody"/>
              <w:spacing w:after="0" w:line="280" w:lineRule="exact"/>
              <w:ind w:right="0"/>
              <w:jc w:val="both"/>
              <w:rPr>
                <w:rFonts w:ascii="Arial" w:hAnsi="Arial"/>
                <w:color w:val="auto"/>
                <w:sz w:val="20"/>
                <w:lang w:val="en-IN"/>
              </w:rPr>
            </w:pPr>
            <w:r w:rsidRPr="00E70587">
              <w:rPr>
                <w:rFonts w:ascii="Arial" w:hAnsi="Arial"/>
                <w:color w:val="auto"/>
                <w:sz w:val="20"/>
                <w:lang w:val="en-IN"/>
              </w:rPr>
              <w:t>Investment properties are derecognised either when they have been disposed of or when they are permanently withdrawn from use and no future economic benefit is expected from their disposal.</w:t>
            </w:r>
            <w:r w:rsidR="00BC6A9A" w:rsidRPr="00E70587">
              <w:rPr>
                <w:rFonts w:ascii="Arial" w:hAnsi="Arial"/>
                <w:color w:val="auto"/>
                <w:sz w:val="20"/>
                <w:lang w:val="en-IN"/>
              </w:rPr>
              <w:t xml:space="preserve"> The date of disposal for investment property is the date the recipient obtains control of the investment property in accordance with Ind AS 115 criteria.</w:t>
            </w:r>
            <w:r w:rsidRPr="00E70587">
              <w:rPr>
                <w:rFonts w:ascii="Arial" w:hAnsi="Arial"/>
                <w:color w:val="auto"/>
                <w:sz w:val="20"/>
                <w:lang w:val="en-IN"/>
              </w:rPr>
              <w:t xml:space="preserve"> The difference between the net disposal proceeds and the carrying amount of the asset is recognised in profit </w:t>
            </w:r>
            <w:r w:rsidR="009A629E">
              <w:rPr>
                <w:rFonts w:ascii="Arial" w:hAnsi="Arial"/>
                <w:color w:val="auto"/>
                <w:sz w:val="20"/>
                <w:lang w:val="en-IN"/>
              </w:rPr>
              <w:t>or</w:t>
            </w:r>
            <w:r w:rsidRPr="00E70587">
              <w:rPr>
                <w:rFonts w:ascii="Arial" w:hAnsi="Arial"/>
                <w:color w:val="auto"/>
                <w:sz w:val="20"/>
                <w:lang w:val="en-IN"/>
              </w:rPr>
              <w:t xml:space="preserve"> loss in the period of derecognition.</w:t>
            </w:r>
          </w:p>
          <w:p w14:paraId="0D3584D2" w14:textId="379E093A" w:rsidR="00981967" w:rsidRPr="00E70587" w:rsidRDefault="00981967" w:rsidP="00E17643">
            <w:pPr>
              <w:pStyle w:val="Commentarybody"/>
              <w:spacing w:after="0" w:line="280" w:lineRule="exact"/>
              <w:ind w:right="0"/>
              <w:jc w:val="both"/>
              <w:rPr>
                <w:rFonts w:ascii="Arial" w:hAnsi="Arial"/>
                <w:color w:val="auto"/>
                <w:sz w:val="20"/>
                <w:lang w:val="en-IN"/>
              </w:rPr>
            </w:pPr>
            <w:r w:rsidRPr="00981967">
              <w:rPr>
                <w:rFonts w:ascii="Arial" w:hAnsi="Arial"/>
                <w:color w:val="auto"/>
                <w:sz w:val="20"/>
                <w:lang w:val="en-IN"/>
              </w:rPr>
              <w:t>Transfers are made to (or from) investment property only when there is a change in use</w:t>
            </w:r>
            <w:r>
              <w:rPr>
                <w:rFonts w:ascii="Arial" w:hAnsi="Arial"/>
                <w:color w:val="auto"/>
                <w:sz w:val="20"/>
                <w:lang w:val="en-IN"/>
              </w:rPr>
              <w:t>.</w:t>
            </w:r>
          </w:p>
          <w:p w14:paraId="1F556BF3" w14:textId="77777777" w:rsidR="00E17643" w:rsidRPr="00E70587" w:rsidRDefault="00E17643" w:rsidP="00E17643">
            <w:pPr>
              <w:pStyle w:val="Commentarybody"/>
              <w:spacing w:after="0" w:line="280" w:lineRule="exact"/>
              <w:ind w:right="0"/>
              <w:jc w:val="both"/>
              <w:rPr>
                <w:rFonts w:ascii="Arial" w:hAnsi="Arial"/>
                <w:color w:val="auto"/>
                <w:sz w:val="20"/>
                <w:lang w:val="en-IN"/>
              </w:rPr>
            </w:pPr>
          </w:p>
        </w:tc>
      </w:tr>
      <w:tr w:rsidR="00E17643" w:rsidRPr="00E70587" w14:paraId="79B3E5CB" w14:textId="77777777" w:rsidTr="006939C8">
        <w:tc>
          <w:tcPr>
            <w:tcW w:w="9630" w:type="dxa"/>
          </w:tcPr>
          <w:p w14:paraId="4A477145" w14:textId="77777777" w:rsidR="00E17643" w:rsidRPr="00E70587" w:rsidRDefault="00E17643" w:rsidP="00E17643">
            <w:pPr>
              <w:pStyle w:val="Heading4"/>
              <w:keepNext w:val="0"/>
              <w:numPr>
                <w:ilvl w:val="0"/>
                <w:numId w:val="4"/>
              </w:numPr>
              <w:tabs>
                <w:tab w:val="clear" w:pos="357"/>
              </w:tabs>
              <w:spacing w:before="0" w:after="0" w:line="280" w:lineRule="exact"/>
              <w:jc w:val="both"/>
              <w:rPr>
                <w:rFonts w:ascii="Arial" w:hAnsi="Arial" w:cs="Arial"/>
                <w:szCs w:val="20"/>
              </w:rPr>
            </w:pPr>
            <w:r w:rsidRPr="00E70587">
              <w:rPr>
                <w:rFonts w:ascii="Arial" w:hAnsi="Arial" w:cs="Arial"/>
                <w:szCs w:val="20"/>
              </w:rPr>
              <w:t>Intangible assets</w:t>
            </w:r>
          </w:p>
          <w:p w14:paraId="31D13FA1" w14:textId="77777777" w:rsidR="00E17643" w:rsidRPr="00E70587" w:rsidRDefault="00E17643" w:rsidP="00E17643">
            <w:pPr>
              <w:pStyle w:val="Notesbodytext"/>
              <w:spacing w:after="0" w:line="280" w:lineRule="exact"/>
              <w:jc w:val="both"/>
              <w:rPr>
                <w:rFonts w:ascii="Arial" w:hAnsi="Arial"/>
                <w:color w:val="auto"/>
                <w:sz w:val="20"/>
              </w:rPr>
            </w:pPr>
          </w:p>
          <w:p w14:paraId="4382DBFB" w14:textId="248C9219"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 xml:space="preserve">Intangible assets acquired separately are measured on initial recognition at cost. The cost of intangible assets acquired in a business combination is their fair value at the date of acquisition. Following initial recognition, intangible assets are carried at cost less any accumulated amortisation and accumulated impairment losses. Internally generated intangibles, excluding capitalised development costs, are not capitalised and the related expenditure is reflected in profit </w:t>
            </w:r>
            <w:r w:rsidR="009A629E">
              <w:rPr>
                <w:rFonts w:ascii="Arial" w:hAnsi="Arial"/>
                <w:color w:val="auto"/>
                <w:sz w:val="20"/>
              </w:rPr>
              <w:t>or</w:t>
            </w:r>
            <w:r w:rsidRPr="00E70587">
              <w:rPr>
                <w:rFonts w:ascii="Arial" w:hAnsi="Arial"/>
                <w:color w:val="auto"/>
                <w:sz w:val="20"/>
              </w:rPr>
              <w:t xml:space="preserve"> loss in the period in which the expenditure is incurred.</w:t>
            </w:r>
          </w:p>
          <w:p w14:paraId="0E3DF385"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392A3673" w14:textId="77777777" w:rsidTr="006939C8">
        <w:tc>
          <w:tcPr>
            <w:tcW w:w="9630" w:type="dxa"/>
          </w:tcPr>
          <w:p w14:paraId="05838A98"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The useful lives of intangible assets are assessed as either finite or indefinite.</w:t>
            </w:r>
          </w:p>
          <w:p w14:paraId="2268A7C9" w14:textId="77777777" w:rsidR="00E17643" w:rsidRPr="00E70587" w:rsidRDefault="00E17643" w:rsidP="00E17643">
            <w:pPr>
              <w:pStyle w:val="Notesbodytext"/>
              <w:spacing w:after="0" w:line="280" w:lineRule="exact"/>
              <w:jc w:val="both"/>
              <w:rPr>
                <w:rFonts w:ascii="Arial" w:hAnsi="Arial"/>
                <w:color w:val="auto"/>
                <w:sz w:val="20"/>
              </w:rPr>
            </w:pPr>
          </w:p>
          <w:p w14:paraId="23F99733"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Intangible assets with finite lives are amortised over the useful economic life and assessed for impairment whenever there is an indication that the intangible asset may be impaired. The amortisation period and the amortisation method for an intangible asset with a finite useful life are reviewed at least at the end of each reporting period. Changes in the expected useful life or the expected pattern of consumption of future economic benefits embodied in the asset are considered to modify the amortisation period or method, as appropriate, and are treated as changes in accounting estimates. The amortisation expense on intangible assets with finite lives is recognised in the statement of profit and loss.</w:t>
            </w:r>
          </w:p>
        </w:tc>
      </w:tr>
      <w:tr w:rsidR="00E17643" w:rsidRPr="00E70587" w14:paraId="19626BF3" w14:textId="77777777" w:rsidTr="006939C8">
        <w:tc>
          <w:tcPr>
            <w:tcW w:w="9630" w:type="dxa"/>
          </w:tcPr>
          <w:p w14:paraId="2377B917" w14:textId="77777777" w:rsidR="00E17643" w:rsidRPr="00E70587" w:rsidRDefault="00E17643" w:rsidP="00E17643">
            <w:pPr>
              <w:pStyle w:val="Notesbodytext"/>
              <w:spacing w:after="0" w:line="280" w:lineRule="exact"/>
              <w:jc w:val="both"/>
              <w:rPr>
                <w:rFonts w:ascii="Arial" w:hAnsi="Arial"/>
                <w:color w:val="auto"/>
                <w:sz w:val="20"/>
              </w:rPr>
            </w:pPr>
          </w:p>
          <w:p w14:paraId="43045CA1"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 xml:space="preserve">Intangible assets with indefinite useful lives are not amortised, but are tested for impairment annually, either individually or at the cash-generating unit level. The assessment of indefinite life is reviewed annually to </w:t>
            </w:r>
            <w:r w:rsidRPr="00E70587">
              <w:rPr>
                <w:rFonts w:ascii="Arial" w:hAnsi="Arial"/>
                <w:color w:val="auto"/>
                <w:sz w:val="20"/>
              </w:rPr>
              <w:lastRenderedPageBreak/>
              <w:t xml:space="preserve">determine whether the indefinite life continues to be supportable. If not, the change in useful life from indefinite to finite is made on a prospective basis. </w:t>
            </w:r>
          </w:p>
        </w:tc>
      </w:tr>
      <w:tr w:rsidR="00E17643" w:rsidRPr="00E70587" w14:paraId="3674BDF4" w14:textId="77777777" w:rsidTr="006939C8">
        <w:tc>
          <w:tcPr>
            <w:tcW w:w="9630" w:type="dxa"/>
          </w:tcPr>
          <w:p w14:paraId="6FD40C7C" w14:textId="77777777" w:rsidR="00E17643" w:rsidRPr="00E70587" w:rsidRDefault="00E17643" w:rsidP="00E17643">
            <w:pPr>
              <w:pStyle w:val="Notesbodytext"/>
              <w:spacing w:after="0" w:line="280" w:lineRule="exact"/>
              <w:jc w:val="both"/>
              <w:rPr>
                <w:rFonts w:ascii="Arial" w:hAnsi="Arial"/>
                <w:color w:val="auto"/>
                <w:sz w:val="20"/>
              </w:rPr>
            </w:pPr>
          </w:p>
          <w:p w14:paraId="34EFEEA1" w14:textId="3FCD99EE"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 xml:space="preserve">Gains or losses arising from derecognition of an intangible asset are measured as the difference between the net disposal proceeds and the carrying amount of the asset and are recognised in the statement of profit </w:t>
            </w:r>
            <w:r w:rsidR="00140FFC">
              <w:rPr>
                <w:rFonts w:ascii="Arial" w:hAnsi="Arial"/>
                <w:color w:val="auto"/>
                <w:sz w:val="20"/>
              </w:rPr>
              <w:t>and</w:t>
            </w:r>
            <w:r w:rsidRPr="00E70587">
              <w:rPr>
                <w:rFonts w:ascii="Arial" w:hAnsi="Arial"/>
                <w:color w:val="auto"/>
                <w:sz w:val="20"/>
              </w:rPr>
              <w:t xml:space="preserve"> loss when the asset is derecognised.</w:t>
            </w:r>
            <w:r w:rsidR="00BC6A9A" w:rsidRPr="00E70587">
              <w:rPr>
                <w:rFonts w:ascii="Arial" w:hAnsi="Arial"/>
                <w:color w:val="auto"/>
                <w:sz w:val="20"/>
              </w:rPr>
              <w:t xml:space="preserve"> The date of disposal of an intangible asset is the date that the recipient obtains control of that asset in accordance with Ind AS 115 criteria.</w:t>
            </w:r>
          </w:p>
          <w:p w14:paraId="73A25A72"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32EB5F18" w14:textId="77777777" w:rsidTr="006939C8">
        <w:tc>
          <w:tcPr>
            <w:tcW w:w="9630" w:type="dxa"/>
          </w:tcPr>
          <w:p w14:paraId="37A7FAE7" w14:textId="77777777" w:rsidR="00E17643" w:rsidRPr="00E70587" w:rsidRDefault="00E17643" w:rsidP="00E17643">
            <w:pPr>
              <w:pStyle w:val="Notesitalicheading"/>
              <w:spacing w:line="280" w:lineRule="exact"/>
              <w:jc w:val="both"/>
              <w:rPr>
                <w:rFonts w:ascii="Arial" w:hAnsi="Arial"/>
                <w:color w:val="auto"/>
                <w:sz w:val="20"/>
              </w:rPr>
            </w:pPr>
            <w:r w:rsidRPr="00E70587">
              <w:rPr>
                <w:rFonts w:ascii="Arial" w:hAnsi="Arial"/>
                <w:color w:val="auto"/>
                <w:sz w:val="20"/>
              </w:rPr>
              <w:t>Research and development costs</w:t>
            </w:r>
          </w:p>
          <w:p w14:paraId="425151C6" w14:textId="77777777" w:rsidR="00E17643" w:rsidRPr="00E70587" w:rsidRDefault="00E17643" w:rsidP="00E17643">
            <w:pPr>
              <w:pStyle w:val="Notesbodytext"/>
              <w:spacing w:after="0" w:line="280" w:lineRule="exact"/>
              <w:jc w:val="both"/>
              <w:rPr>
                <w:rFonts w:ascii="Arial" w:hAnsi="Arial"/>
                <w:color w:val="auto"/>
                <w:sz w:val="20"/>
              </w:rPr>
            </w:pPr>
          </w:p>
          <w:p w14:paraId="44BAFB50"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Research costs are expensed as incurred. Development expenditures on an individual project are recognised as an intangible asset when the Group can demonstrate:</w:t>
            </w:r>
          </w:p>
          <w:p w14:paraId="5447F27F"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The technical feasibility of completing the intangible asset so that the asset will be available for use or sale</w:t>
            </w:r>
          </w:p>
          <w:p w14:paraId="672EC215"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Its intention to complete and its ability and intention to use or sell the asset</w:t>
            </w:r>
          </w:p>
          <w:p w14:paraId="07D89891"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How the asset will generate future economic benefits</w:t>
            </w:r>
          </w:p>
          <w:p w14:paraId="1B61AC99"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The availability of resources to complete the asset</w:t>
            </w:r>
          </w:p>
          <w:p w14:paraId="0D272CB9"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The ability to measure reliably the expenditure during development</w:t>
            </w:r>
          </w:p>
        </w:tc>
      </w:tr>
      <w:tr w:rsidR="00E17643" w:rsidRPr="00E70587" w14:paraId="36695DB7" w14:textId="77777777" w:rsidTr="006939C8">
        <w:tc>
          <w:tcPr>
            <w:tcW w:w="9630" w:type="dxa"/>
          </w:tcPr>
          <w:p w14:paraId="0AABE3CE" w14:textId="77777777" w:rsidR="00E17643" w:rsidRPr="00E70587" w:rsidRDefault="00E17643" w:rsidP="00E17643">
            <w:pPr>
              <w:pStyle w:val="Notesbodytext"/>
              <w:spacing w:after="0" w:line="280" w:lineRule="exact"/>
              <w:jc w:val="both"/>
              <w:rPr>
                <w:rFonts w:ascii="Arial" w:hAnsi="Arial"/>
                <w:color w:val="auto"/>
                <w:sz w:val="20"/>
              </w:rPr>
            </w:pPr>
          </w:p>
          <w:p w14:paraId="7F4EFF45" w14:textId="4D9718ED"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 xml:space="preserve">Following initial recognition of the development expenditure as an asset, the asset is carried at cost less any accumulated amortisation and accumulated impairment losses. Amortisation of the asset begins when development is </w:t>
            </w:r>
            <w:r w:rsidR="00140FFC" w:rsidRPr="00E70587">
              <w:rPr>
                <w:rFonts w:ascii="Arial" w:hAnsi="Arial"/>
                <w:color w:val="auto"/>
                <w:sz w:val="20"/>
              </w:rPr>
              <w:t>complete,</w:t>
            </w:r>
            <w:r w:rsidRPr="00E70587">
              <w:rPr>
                <w:rFonts w:ascii="Arial" w:hAnsi="Arial"/>
                <w:color w:val="auto"/>
                <w:sz w:val="20"/>
              </w:rPr>
              <w:t xml:space="preserve"> and the asset is available for use. It is amortised over the period of expected future benefit. Amortisation expense is recognised in the statement of profit and loss.</w:t>
            </w:r>
          </w:p>
          <w:p w14:paraId="14A3E511" w14:textId="77777777" w:rsidR="00E17643" w:rsidRPr="00E70587" w:rsidRDefault="00E17643" w:rsidP="00E17643">
            <w:pPr>
              <w:pStyle w:val="Notesbodytext"/>
              <w:spacing w:after="0" w:line="280" w:lineRule="exact"/>
              <w:jc w:val="both"/>
              <w:rPr>
                <w:rFonts w:ascii="Arial" w:hAnsi="Arial"/>
                <w:color w:val="auto"/>
                <w:sz w:val="20"/>
              </w:rPr>
            </w:pPr>
          </w:p>
          <w:p w14:paraId="6E977F56"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During the period of development, the asset is tested for impairment annually.</w:t>
            </w:r>
          </w:p>
          <w:p w14:paraId="44FCEEFE"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6FEA0FB9" w14:textId="77777777" w:rsidTr="006939C8">
        <w:tc>
          <w:tcPr>
            <w:tcW w:w="9630" w:type="dxa"/>
          </w:tcPr>
          <w:p w14:paraId="033D0E59" w14:textId="77777777" w:rsidR="00E17643" w:rsidRPr="00E70587" w:rsidRDefault="00E17643" w:rsidP="00E17643">
            <w:pPr>
              <w:pStyle w:val="Notesitalicheading"/>
              <w:spacing w:line="280" w:lineRule="exact"/>
              <w:jc w:val="both"/>
              <w:rPr>
                <w:rFonts w:ascii="Arial" w:hAnsi="Arial"/>
                <w:color w:val="auto"/>
                <w:sz w:val="20"/>
              </w:rPr>
            </w:pPr>
            <w:r w:rsidRPr="00E70587">
              <w:rPr>
                <w:rFonts w:ascii="Arial" w:hAnsi="Arial"/>
                <w:color w:val="auto"/>
                <w:sz w:val="20"/>
              </w:rPr>
              <w:t>Patents and licences</w:t>
            </w:r>
          </w:p>
          <w:p w14:paraId="585C3024" w14:textId="77777777" w:rsidR="00E17643" w:rsidRPr="00E70587" w:rsidRDefault="00E17643" w:rsidP="00E17643">
            <w:pPr>
              <w:pStyle w:val="Notesbodytext"/>
              <w:spacing w:after="0" w:line="280" w:lineRule="exact"/>
              <w:jc w:val="both"/>
              <w:rPr>
                <w:rFonts w:ascii="Arial" w:hAnsi="Arial"/>
                <w:color w:val="auto"/>
                <w:sz w:val="20"/>
              </w:rPr>
            </w:pPr>
          </w:p>
          <w:p w14:paraId="63AFBDAE"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The Group made upfront payments to purchase patents and licences. The patents have been granted for a period of 10 years by the relevant government agency with the option of renewal at the end of this period. Licences for the use of intellectual property are granted for periods ranging between 5 and 10 years depending on the specific licences. The licences may be renewed at little or no cost to the Group. As a result, those licences are assessed as having an indefinite useful life.</w:t>
            </w:r>
          </w:p>
          <w:p w14:paraId="680C9C91" w14:textId="77777777" w:rsidR="00E17643" w:rsidRPr="00E70587" w:rsidRDefault="00E17643" w:rsidP="00E17643">
            <w:pPr>
              <w:pStyle w:val="Notesbodytext"/>
              <w:spacing w:after="0" w:line="280" w:lineRule="exact"/>
              <w:jc w:val="both"/>
              <w:rPr>
                <w:rFonts w:ascii="Arial" w:hAnsi="Arial"/>
                <w:color w:val="auto"/>
                <w:sz w:val="20"/>
              </w:rPr>
            </w:pPr>
          </w:p>
          <w:p w14:paraId="46DF5725"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A summary of the policies applied to the Group’s intangible assets is, as follows:</w:t>
            </w:r>
          </w:p>
          <w:p w14:paraId="011EF293" w14:textId="77777777" w:rsidR="00E17643" w:rsidRPr="00E70587" w:rsidRDefault="00E17643" w:rsidP="00E17643">
            <w:pPr>
              <w:pStyle w:val="Notesbodytext"/>
              <w:spacing w:after="0" w:line="280" w:lineRule="exact"/>
              <w:jc w:val="both"/>
              <w:rPr>
                <w:rFonts w:ascii="Arial" w:hAnsi="Arial"/>
                <w:color w:val="auto"/>
                <w:sz w:val="20"/>
              </w:rPr>
            </w:pPr>
          </w:p>
          <w:tbl>
            <w:tblPr>
              <w:tblStyle w:val="TableGrid"/>
              <w:tblW w:w="9360" w:type="dxa"/>
              <w:jc w:val="center"/>
              <w:tblLayout w:type="fixed"/>
              <w:tblLook w:val="04A0" w:firstRow="1" w:lastRow="0" w:firstColumn="1" w:lastColumn="0" w:noHBand="0" w:noVBand="1"/>
            </w:tblPr>
            <w:tblGrid>
              <w:gridCol w:w="1472"/>
              <w:gridCol w:w="1768"/>
              <w:gridCol w:w="4541"/>
              <w:gridCol w:w="1579"/>
            </w:tblGrid>
            <w:tr w:rsidR="00E17643" w:rsidRPr="00E70587" w14:paraId="025431F0" w14:textId="77777777" w:rsidTr="006939C8">
              <w:trPr>
                <w:jc w:val="center"/>
              </w:trPr>
              <w:tc>
                <w:tcPr>
                  <w:tcW w:w="1472" w:type="dxa"/>
                  <w:vAlign w:val="center"/>
                </w:tcPr>
                <w:p w14:paraId="1B4C937F" w14:textId="77777777" w:rsidR="00E17643" w:rsidRPr="00E70587" w:rsidRDefault="00E17643" w:rsidP="00E17643">
                  <w:pPr>
                    <w:pStyle w:val="tabletext"/>
                    <w:spacing w:line="280" w:lineRule="exact"/>
                    <w:jc w:val="center"/>
                    <w:rPr>
                      <w:rFonts w:ascii="Arial" w:hAnsi="Arial" w:cs="Arial"/>
                      <w:b/>
                      <w:sz w:val="20"/>
                      <w:lang w:val="en-IN"/>
                    </w:rPr>
                  </w:pPr>
                  <w:r w:rsidRPr="00E70587">
                    <w:rPr>
                      <w:rFonts w:ascii="Arial" w:hAnsi="Arial" w:cs="Arial"/>
                      <w:b/>
                      <w:sz w:val="20"/>
                      <w:lang w:val="en-IN"/>
                    </w:rPr>
                    <w:t>Intangible assets</w:t>
                  </w:r>
                </w:p>
              </w:tc>
              <w:tc>
                <w:tcPr>
                  <w:tcW w:w="1768" w:type="dxa"/>
                  <w:vAlign w:val="center"/>
                </w:tcPr>
                <w:p w14:paraId="63C33B6A" w14:textId="77777777" w:rsidR="00E17643" w:rsidRPr="00E70587" w:rsidRDefault="00E17643" w:rsidP="00E17643">
                  <w:pPr>
                    <w:pStyle w:val="tabletext"/>
                    <w:spacing w:line="280" w:lineRule="exact"/>
                    <w:jc w:val="center"/>
                    <w:rPr>
                      <w:rFonts w:ascii="Arial" w:hAnsi="Arial" w:cs="Arial"/>
                      <w:b/>
                      <w:sz w:val="20"/>
                      <w:lang w:val="en-IN"/>
                    </w:rPr>
                  </w:pPr>
                  <w:r w:rsidRPr="00E70587">
                    <w:rPr>
                      <w:rFonts w:ascii="Arial" w:hAnsi="Arial" w:cs="Arial"/>
                      <w:b/>
                      <w:sz w:val="20"/>
                      <w:lang w:val="en-IN"/>
                    </w:rPr>
                    <w:t>Useful lives</w:t>
                  </w:r>
                </w:p>
              </w:tc>
              <w:tc>
                <w:tcPr>
                  <w:tcW w:w="4541" w:type="dxa"/>
                  <w:vAlign w:val="center"/>
                </w:tcPr>
                <w:p w14:paraId="53CB3367" w14:textId="77777777" w:rsidR="00E17643" w:rsidRPr="00E70587" w:rsidRDefault="00E17643" w:rsidP="00E17643">
                  <w:pPr>
                    <w:pStyle w:val="tabletext"/>
                    <w:spacing w:line="280" w:lineRule="exact"/>
                    <w:jc w:val="center"/>
                    <w:rPr>
                      <w:rFonts w:ascii="Arial" w:hAnsi="Arial" w:cs="Arial"/>
                      <w:b/>
                      <w:sz w:val="20"/>
                      <w:lang w:val="en-IN"/>
                    </w:rPr>
                  </w:pPr>
                  <w:r w:rsidRPr="00E70587">
                    <w:rPr>
                      <w:rFonts w:ascii="Arial" w:hAnsi="Arial" w:cs="Arial"/>
                      <w:b/>
                      <w:sz w:val="20"/>
                      <w:lang w:val="en-IN"/>
                    </w:rPr>
                    <w:t>Amortisation method used</w:t>
                  </w:r>
                </w:p>
              </w:tc>
              <w:tc>
                <w:tcPr>
                  <w:tcW w:w="1579" w:type="dxa"/>
                  <w:vAlign w:val="center"/>
                </w:tcPr>
                <w:p w14:paraId="357FC924" w14:textId="77777777" w:rsidR="00E17643" w:rsidRPr="00E70587" w:rsidRDefault="00E17643" w:rsidP="00E17643">
                  <w:pPr>
                    <w:pStyle w:val="tabletext"/>
                    <w:spacing w:line="280" w:lineRule="exact"/>
                    <w:jc w:val="center"/>
                    <w:rPr>
                      <w:rFonts w:ascii="Arial" w:hAnsi="Arial" w:cs="Arial"/>
                      <w:b/>
                      <w:sz w:val="20"/>
                      <w:lang w:val="en-IN"/>
                    </w:rPr>
                  </w:pPr>
                  <w:r w:rsidRPr="00E70587">
                    <w:rPr>
                      <w:rFonts w:ascii="Arial" w:hAnsi="Arial" w:cs="Arial"/>
                      <w:b/>
                      <w:sz w:val="20"/>
                      <w:lang w:val="en-IN"/>
                    </w:rPr>
                    <w:t>Internally generated or acquired</w:t>
                  </w:r>
                </w:p>
              </w:tc>
            </w:tr>
            <w:tr w:rsidR="00E17643" w:rsidRPr="00E70587" w14:paraId="1A8BAC74" w14:textId="77777777" w:rsidTr="006939C8">
              <w:trPr>
                <w:jc w:val="center"/>
              </w:trPr>
              <w:tc>
                <w:tcPr>
                  <w:tcW w:w="1472" w:type="dxa"/>
                </w:tcPr>
                <w:p w14:paraId="730C7F14" w14:textId="77777777" w:rsidR="00E17643" w:rsidRPr="00E70587" w:rsidRDefault="00E17643" w:rsidP="00E17643">
                  <w:pPr>
                    <w:pStyle w:val="Tablecolumnheading"/>
                    <w:spacing w:line="280" w:lineRule="exact"/>
                    <w:jc w:val="both"/>
                    <w:rPr>
                      <w:rFonts w:ascii="Arial" w:hAnsi="Arial"/>
                      <w:color w:val="auto"/>
                      <w:sz w:val="20"/>
                      <w:szCs w:val="20"/>
                      <w:lang w:val="en-IN"/>
                    </w:rPr>
                  </w:pPr>
                  <w:r w:rsidRPr="00E70587">
                    <w:rPr>
                      <w:rFonts w:ascii="Arial" w:hAnsi="Arial"/>
                      <w:color w:val="auto"/>
                      <w:sz w:val="20"/>
                      <w:szCs w:val="20"/>
                      <w:lang w:val="en-IN"/>
                    </w:rPr>
                    <w:t>Licences</w:t>
                  </w:r>
                </w:p>
              </w:tc>
              <w:tc>
                <w:tcPr>
                  <w:tcW w:w="1768" w:type="dxa"/>
                </w:tcPr>
                <w:p w14:paraId="417419A1" w14:textId="77777777" w:rsidR="00E17643" w:rsidRPr="00E70587" w:rsidRDefault="00E17643" w:rsidP="00E17643">
                  <w:pPr>
                    <w:pStyle w:val="Tablecolumnheading"/>
                    <w:spacing w:line="280" w:lineRule="exact"/>
                    <w:jc w:val="left"/>
                    <w:rPr>
                      <w:rFonts w:ascii="Arial" w:hAnsi="Arial"/>
                      <w:b w:val="0"/>
                      <w:color w:val="auto"/>
                      <w:sz w:val="20"/>
                      <w:szCs w:val="20"/>
                      <w:lang w:val="en-IN"/>
                    </w:rPr>
                  </w:pPr>
                  <w:r w:rsidRPr="00E70587">
                    <w:rPr>
                      <w:rFonts w:ascii="Arial" w:hAnsi="Arial"/>
                      <w:b w:val="0"/>
                      <w:color w:val="auto"/>
                      <w:sz w:val="20"/>
                      <w:szCs w:val="20"/>
                      <w:lang w:val="en-IN"/>
                    </w:rPr>
                    <w:t>Indefinite</w:t>
                  </w:r>
                </w:p>
              </w:tc>
              <w:tc>
                <w:tcPr>
                  <w:tcW w:w="4541" w:type="dxa"/>
                </w:tcPr>
                <w:p w14:paraId="1E080D88" w14:textId="77777777" w:rsidR="00E17643" w:rsidRPr="00E70587" w:rsidRDefault="00E17643" w:rsidP="00E17643">
                  <w:pPr>
                    <w:pStyle w:val="Tablecolumnheading"/>
                    <w:spacing w:line="280" w:lineRule="exact"/>
                    <w:jc w:val="both"/>
                    <w:rPr>
                      <w:rFonts w:ascii="Arial" w:hAnsi="Arial"/>
                      <w:b w:val="0"/>
                      <w:color w:val="auto"/>
                      <w:sz w:val="20"/>
                      <w:szCs w:val="20"/>
                      <w:lang w:val="en-IN"/>
                    </w:rPr>
                  </w:pPr>
                  <w:r w:rsidRPr="00E70587">
                    <w:rPr>
                      <w:rFonts w:ascii="Arial" w:hAnsi="Arial"/>
                      <w:b w:val="0"/>
                      <w:color w:val="auto"/>
                      <w:sz w:val="20"/>
                      <w:szCs w:val="20"/>
                      <w:lang w:val="en-IN"/>
                    </w:rPr>
                    <w:t>No amortisation</w:t>
                  </w:r>
                </w:p>
              </w:tc>
              <w:tc>
                <w:tcPr>
                  <w:tcW w:w="1579" w:type="dxa"/>
                </w:tcPr>
                <w:p w14:paraId="35FBDE4B" w14:textId="77777777" w:rsidR="00E17643" w:rsidRPr="00E70587" w:rsidRDefault="00E17643" w:rsidP="00E17643">
                  <w:pPr>
                    <w:pStyle w:val="Tablecolumnheading"/>
                    <w:spacing w:line="280" w:lineRule="exact"/>
                    <w:jc w:val="both"/>
                    <w:rPr>
                      <w:rFonts w:ascii="Arial" w:hAnsi="Arial"/>
                      <w:b w:val="0"/>
                      <w:color w:val="auto"/>
                      <w:sz w:val="20"/>
                      <w:szCs w:val="20"/>
                      <w:lang w:val="en-IN"/>
                    </w:rPr>
                  </w:pPr>
                  <w:r w:rsidRPr="00E70587">
                    <w:rPr>
                      <w:rFonts w:ascii="Arial" w:hAnsi="Arial"/>
                      <w:b w:val="0"/>
                      <w:color w:val="auto"/>
                      <w:sz w:val="20"/>
                      <w:szCs w:val="20"/>
                      <w:lang w:val="en-IN"/>
                    </w:rPr>
                    <w:t>Acquired</w:t>
                  </w:r>
                </w:p>
              </w:tc>
            </w:tr>
            <w:tr w:rsidR="00E17643" w:rsidRPr="00E70587" w14:paraId="50228F08" w14:textId="77777777" w:rsidTr="006939C8">
              <w:trPr>
                <w:jc w:val="center"/>
              </w:trPr>
              <w:tc>
                <w:tcPr>
                  <w:tcW w:w="1472" w:type="dxa"/>
                </w:tcPr>
                <w:p w14:paraId="7B63A35F" w14:textId="77777777" w:rsidR="00E17643" w:rsidRPr="00E70587" w:rsidRDefault="00E17643" w:rsidP="00E17643">
                  <w:pPr>
                    <w:pStyle w:val="Tablecolumnheading"/>
                    <w:spacing w:line="280" w:lineRule="exact"/>
                    <w:jc w:val="both"/>
                    <w:rPr>
                      <w:rFonts w:ascii="Arial" w:hAnsi="Arial"/>
                      <w:color w:val="auto"/>
                      <w:sz w:val="20"/>
                      <w:szCs w:val="20"/>
                      <w:lang w:val="en-IN"/>
                    </w:rPr>
                  </w:pPr>
                  <w:r w:rsidRPr="00E70587">
                    <w:rPr>
                      <w:rFonts w:ascii="Arial" w:hAnsi="Arial"/>
                      <w:color w:val="auto"/>
                      <w:sz w:val="20"/>
                      <w:szCs w:val="20"/>
                      <w:lang w:val="en-IN"/>
                    </w:rPr>
                    <w:t>Patents</w:t>
                  </w:r>
                </w:p>
              </w:tc>
              <w:tc>
                <w:tcPr>
                  <w:tcW w:w="1768" w:type="dxa"/>
                </w:tcPr>
                <w:p w14:paraId="387F6D6C" w14:textId="77777777" w:rsidR="00E17643" w:rsidRPr="00E70587" w:rsidRDefault="00E17643" w:rsidP="00E17643">
                  <w:pPr>
                    <w:pStyle w:val="Tablecolumnheading"/>
                    <w:spacing w:line="280" w:lineRule="exact"/>
                    <w:jc w:val="left"/>
                    <w:rPr>
                      <w:rFonts w:ascii="Arial" w:hAnsi="Arial"/>
                      <w:b w:val="0"/>
                      <w:color w:val="auto"/>
                      <w:sz w:val="20"/>
                      <w:szCs w:val="20"/>
                      <w:lang w:val="en-IN"/>
                    </w:rPr>
                  </w:pPr>
                  <w:r w:rsidRPr="00E70587">
                    <w:rPr>
                      <w:rFonts w:ascii="Arial" w:hAnsi="Arial"/>
                      <w:b w:val="0"/>
                      <w:color w:val="auto"/>
                      <w:sz w:val="20"/>
                      <w:szCs w:val="20"/>
                      <w:lang w:val="en-IN"/>
                    </w:rPr>
                    <w:t>Finite (10 years)</w:t>
                  </w:r>
                </w:p>
              </w:tc>
              <w:tc>
                <w:tcPr>
                  <w:tcW w:w="4541" w:type="dxa"/>
                </w:tcPr>
                <w:p w14:paraId="0B959018" w14:textId="77777777" w:rsidR="00E17643" w:rsidRPr="00E70587" w:rsidRDefault="00E17643" w:rsidP="00E17643">
                  <w:pPr>
                    <w:pStyle w:val="Tablecolumnheading"/>
                    <w:spacing w:line="280" w:lineRule="exact"/>
                    <w:jc w:val="both"/>
                    <w:rPr>
                      <w:rFonts w:ascii="Arial" w:hAnsi="Arial"/>
                      <w:b w:val="0"/>
                      <w:color w:val="auto"/>
                      <w:sz w:val="20"/>
                      <w:szCs w:val="20"/>
                      <w:lang w:val="en-IN"/>
                    </w:rPr>
                  </w:pPr>
                  <w:r w:rsidRPr="00E70587">
                    <w:rPr>
                      <w:rFonts w:ascii="Arial" w:hAnsi="Arial"/>
                      <w:b w:val="0"/>
                      <w:color w:val="auto"/>
                      <w:sz w:val="20"/>
                      <w:szCs w:val="20"/>
                      <w:lang w:val="en-IN"/>
                    </w:rPr>
                    <w:t>Amortised on a straight-line basis over the period of the patent</w:t>
                  </w:r>
                </w:p>
              </w:tc>
              <w:tc>
                <w:tcPr>
                  <w:tcW w:w="1579" w:type="dxa"/>
                </w:tcPr>
                <w:p w14:paraId="03C5A39E" w14:textId="77777777" w:rsidR="00E17643" w:rsidRPr="00E70587" w:rsidRDefault="00E17643" w:rsidP="00E17643">
                  <w:pPr>
                    <w:pStyle w:val="Tablecolumnheading"/>
                    <w:spacing w:line="280" w:lineRule="exact"/>
                    <w:jc w:val="both"/>
                    <w:rPr>
                      <w:rFonts w:ascii="Arial" w:hAnsi="Arial"/>
                      <w:b w:val="0"/>
                      <w:color w:val="auto"/>
                      <w:sz w:val="20"/>
                      <w:szCs w:val="20"/>
                      <w:lang w:val="en-IN"/>
                    </w:rPr>
                  </w:pPr>
                  <w:r w:rsidRPr="00E70587">
                    <w:rPr>
                      <w:rFonts w:ascii="Arial" w:hAnsi="Arial"/>
                      <w:b w:val="0"/>
                      <w:color w:val="auto"/>
                      <w:sz w:val="20"/>
                      <w:szCs w:val="20"/>
                      <w:lang w:val="en-IN"/>
                    </w:rPr>
                    <w:t>Acquired</w:t>
                  </w:r>
                </w:p>
              </w:tc>
            </w:tr>
            <w:tr w:rsidR="00E17643" w:rsidRPr="00E70587" w14:paraId="3008386C" w14:textId="77777777" w:rsidTr="006939C8">
              <w:trPr>
                <w:jc w:val="center"/>
              </w:trPr>
              <w:tc>
                <w:tcPr>
                  <w:tcW w:w="1472" w:type="dxa"/>
                </w:tcPr>
                <w:p w14:paraId="58D60D4E" w14:textId="77777777" w:rsidR="00E17643" w:rsidRPr="00E70587" w:rsidRDefault="00E17643" w:rsidP="00E17643">
                  <w:pPr>
                    <w:pStyle w:val="Tablecolumnheading"/>
                    <w:spacing w:line="280" w:lineRule="exact"/>
                    <w:jc w:val="both"/>
                    <w:rPr>
                      <w:rFonts w:ascii="Arial" w:hAnsi="Arial"/>
                      <w:color w:val="auto"/>
                      <w:sz w:val="20"/>
                      <w:szCs w:val="20"/>
                      <w:lang w:val="en-IN"/>
                    </w:rPr>
                  </w:pPr>
                  <w:r w:rsidRPr="00E70587">
                    <w:rPr>
                      <w:rFonts w:ascii="Arial" w:hAnsi="Arial"/>
                      <w:color w:val="auto"/>
                      <w:sz w:val="20"/>
                      <w:szCs w:val="20"/>
                      <w:lang w:val="en-IN"/>
                    </w:rPr>
                    <w:t>Development costs</w:t>
                  </w:r>
                </w:p>
              </w:tc>
              <w:tc>
                <w:tcPr>
                  <w:tcW w:w="1768" w:type="dxa"/>
                </w:tcPr>
                <w:p w14:paraId="26C95CA7" w14:textId="77777777" w:rsidR="00E17643" w:rsidRPr="00E70587" w:rsidRDefault="00E17643" w:rsidP="00E17643">
                  <w:pPr>
                    <w:pStyle w:val="Tablecolumnheading"/>
                    <w:spacing w:line="280" w:lineRule="exact"/>
                    <w:jc w:val="left"/>
                    <w:rPr>
                      <w:rFonts w:ascii="Arial" w:hAnsi="Arial"/>
                      <w:b w:val="0"/>
                      <w:color w:val="auto"/>
                      <w:sz w:val="20"/>
                      <w:szCs w:val="20"/>
                      <w:lang w:val="en-IN"/>
                    </w:rPr>
                  </w:pPr>
                  <w:r w:rsidRPr="00E70587">
                    <w:rPr>
                      <w:rFonts w:ascii="Arial" w:hAnsi="Arial"/>
                      <w:b w:val="0"/>
                      <w:color w:val="auto"/>
                      <w:sz w:val="20"/>
                      <w:szCs w:val="20"/>
                      <w:lang w:val="en-IN"/>
                    </w:rPr>
                    <w:t>Finite (10 to 15 years)</w:t>
                  </w:r>
                </w:p>
              </w:tc>
              <w:tc>
                <w:tcPr>
                  <w:tcW w:w="4541" w:type="dxa"/>
                </w:tcPr>
                <w:p w14:paraId="15F43B0D" w14:textId="77777777" w:rsidR="00E17643" w:rsidRPr="00E70587" w:rsidRDefault="00E17643" w:rsidP="00E17643">
                  <w:pPr>
                    <w:pStyle w:val="Tablecolumnheading"/>
                    <w:spacing w:line="280" w:lineRule="exact"/>
                    <w:jc w:val="both"/>
                    <w:rPr>
                      <w:rFonts w:ascii="Arial" w:hAnsi="Arial"/>
                      <w:b w:val="0"/>
                      <w:color w:val="auto"/>
                      <w:sz w:val="20"/>
                      <w:szCs w:val="20"/>
                      <w:lang w:val="en-IN"/>
                    </w:rPr>
                  </w:pPr>
                  <w:r w:rsidRPr="00E70587">
                    <w:rPr>
                      <w:rFonts w:ascii="Arial" w:hAnsi="Arial"/>
                      <w:b w:val="0"/>
                      <w:color w:val="auto"/>
                      <w:sz w:val="20"/>
                      <w:szCs w:val="20"/>
                      <w:lang w:val="en-IN"/>
                    </w:rPr>
                    <w:t>Amortised on a straight-line basis over the period of expected future sales from the related project</w:t>
                  </w:r>
                </w:p>
              </w:tc>
              <w:tc>
                <w:tcPr>
                  <w:tcW w:w="1579" w:type="dxa"/>
                </w:tcPr>
                <w:p w14:paraId="558A2708" w14:textId="77777777" w:rsidR="00E17643" w:rsidRPr="00E70587" w:rsidRDefault="00E17643" w:rsidP="00E17643">
                  <w:pPr>
                    <w:pStyle w:val="Tablecolumnheading"/>
                    <w:spacing w:line="280" w:lineRule="exact"/>
                    <w:jc w:val="both"/>
                    <w:rPr>
                      <w:rFonts w:ascii="Arial" w:hAnsi="Arial"/>
                      <w:b w:val="0"/>
                      <w:color w:val="auto"/>
                      <w:sz w:val="20"/>
                      <w:szCs w:val="20"/>
                      <w:lang w:val="en-IN"/>
                    </w:rPr>
                  </w:pPr>
                  <w:r w:rsidRPr="00E70587">
                    <w:rPr>
                      <w:rFonts w:ascii="Arial" w:hAnsi="Arial"/>
                      <w:b w:val="0"/>
                      <w:color w:val="auto"/>
                      <w:sz w:val="20"/>
                      <w:szCs w:val="20"/>
                      <w:lang w:val="en-IN"/>
                    </w:rPr>
                    <w:t>Internally generated</w:t>
                  </w:r>
                </w:p>
              </w:tc>
            </w:tr>
          </w:tbl>
          <w:p w14:paraId="46694AE5" w14:textId="77777777" w:rsidR="00E17643" w:rsidRPr="00E70587" w:rsidRDefault="00E17643" w:rsidP="00E17643">
            <w:pPr>
              <w:pStyle w:val="Notesbodytext"/>
              <w:spacing w:after="0" w:line="280" w:lineRule="exact"/>
              <w:jc w:val="both"/>
              <w:rPr>
                <w:rFonts w:ascii="Arial" w:hAnsi="Arial"/>
                <w:color w:val="auto"/>
              </w:rPr>
            </w:pPr>
          </w:p>
          <w:p w14:paraId="506B0DDB" w14:textId="77777777" w:rsidR="00E17643" w:rsidRPr="00E70587" w:rsidRDefault="00E17643" w:rsidP="00E17643">
            <w:pPr>
              <w:pStyle w:val="Heading4"/>
              <w:keepNext w:val="0"/>
              <w:numPr>
                <w:ilvl w:val="0"/>
                <w:numId w:val="4"/>
              </w:numPr>
              <w:tabs>
                <w:tab w:val="clear" w:pos="357"/>
              </w:tabs>
              <w:spacing w:before="0" w:after="0" w:line="280" w:lineRule="exact"/>
              <w:jc w:val="both"/>
              <w:rPr>
                <w:rFonts w:ascii="Arial" w:hAnsi="Arial" w:cs="Arial"/>
                <w:szCs w:val="20"/>
              </w:rPr>
            </w:pPr>
            <w:r w:rsidRPr="00E70587">
              <w:rPr>
                <w:rFonts w:ascii="Arial" w:hAnsi="Arial" w:cs="Arial"/>
                <w:szCs w:val="20"/>
              </w:rPr>
              <w:t>Borrowing costs</w:t>
            </w:r>
          </w:p>
          <w:p w14:paraId="35FF5C28" w14:textId="77777777" w:rsidR="00E17643" w:rsidRPr="00E70587" w:rsidRDefault="00E17643" w:rsidP="00E17643">
            <w:pPr>
              <w:pStyle w:val="Notesbodytext"/>
              <w:spacing w:after="0" w:line="280" w:lineRule="exact"/>
              <w:jc w:val="both"/>
              <w:rPr>
                <w:rFonts w:ascii="Arial" w:hAnsi="Arial"/>
                <w:color w:val="auto"/>
                <w:sz w:val="20"/>
              </w:rPr>
            </w:pPr>
          </w:p>
          <w:p w14:paraId="207F3CF4"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lastRenderedPageBreak/>
              <w:t>Borrowing costs consist of interest and other costs that an entity incurs in connection with the borrowing of funds. Borrowing cost also includes exchange differences to the extent regarded as an adjustment to the borrowing costs.</w:t>
            </w:r>
          </w:p>
          <w:p w14:paraId="4C522EFD" w14:textId="77777777" w:rsidR="00E17643" w:rsidRPr="00E70587" w:rsidRDefault="00E17643" w:rsidP="00E17643">
            <w:pPr>
              <w:pStyle w:val="Notesbodytext"/>
              <w:spacing w:after="0" w:line="280" w:lineRule="exact"/>
              <w:jc w:val="both"/>
              <w:rPr>
                <w:rFonts w:ascii="Arial" w:hAnsi="Arial"/>
                <w:color w:val="auto"/>
                <w:sz w:val="20"/>
              </w:rPr>
            </w:pPr>
          </w:p>
          <w:p w14:paraId="07E16B4B"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Borrowing costs directly attributable to the acquisition, construction or production of an asset that necessarily takes a substantial period of time to get ready for its intended use or sale are capitalised as part of the cost of the asset. All other borrowing costs are expensed in the period in which they occur.</w:t>
            </w:r>
          </w:p>
          <w:p w14:paraId="6DDDC561"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2234286A" w14:textId="77777777" w:rsidTr="006939C8">
        <w:tc>
          <w:tcPr>
            <w:tcW w:w="9630" w:type="dxa"/>
          </w:tcPr>
          <w:p w14:paraId="016A2538" w14:textId="77777777" w:rsidR="00E17643" w:rsidRPr="00E70587" w:rsidRDefault="00E17643" w:rsidP="00E17643">
            <w:pPr>
              <w:pStyle w:val="Heading4"/>
              <w:keepNext w:val="0"/>
              <w:numPr>
                <w:ilvl w:val="0"/>
                <w:numId w:val="4"/>
              </w:numPr>
              <w:tabs>
                <w:tab w:val="clear" w:pos="357"/>
              </w:tabs>
              <w:spacing w:before="0" w:after="0" w:line="280" w:lineRule="exact"/>
              <w:jc w:val="both"/>
              <w:rPr>
                <w:rFonts w:ascii="Arial" w:hAnsi="Arial" w:cs="Arial"/>
                <w:szCs w:val="20"/>
              </w:rPr>
            </w:pPr>
            <w:r w:rsidRPr="00E70587">
              <w:rPr>
                <w:rFonts w:ascii="Arial" w:hAnsi="Arial" w:cs="Arial"/>
                <w:szCs w:val="20"/>
              </w:rPr>
              <w:lastRenderedPageBreak/>
              <w:t>Leases</w:t>
            </w:r>
          </w:p>
          <w:p w14:paraId="6022964E" w14:textId="77777777" w:rsidR="00E17643" w:rsidRPr="00E70587" w:rsidRDefault="00E17643" w:rsidP="00E17643">
            <w:pPr>
              <w:pStyle w:val="Notesbodytext"/>
              <w:spacing w:after="0" w:line="280" w:lineRule="exact"/>
              <w:jc w:val="both"/>
              <w:rPr>
                <w:rFonts w:ascii="Arial" w:hAnsi="Arial"/>
                <w:color w:val="auto"/>
                <w:sz w:val="20"/>
              </w:rPr>
            </w:pPr>
          </w:p>
          <w:p w14:paraId="68D58E5B" w14:textId="77777777" w:rsidR="00140FFC" w:rsidRPr="00140FFC" w:rsidRDefault="00140FFC" w:rsidP="00140FFC">
            <w:pPr>
              <w:pStyle w:val="Notesbodytext"/>
              <w:spacing w:line="280" w:lineRule="exact"/>
              <w:jc w:val="both"/>
              <w:rPr>
                <w:rFonts w:ascii="Arial" w:hAnsi="Arial"/>
                <w:color w:val="auto"/>
                <w:sz w:val="20"/>
              </w:rPr>
            </w:pPr>
            <w:r w:rsidRPr="00140FFC">
              <w:rPr>
                <w:rFonts w:ascii="Arial" w:hAnsi="Arial"/>
                <w:color w:val="auto"/>
                <w:sz w:val="20"/>
              </w:rPr>
              <w:t>The Group assesses at contract inception whether a contract is, or contains, a lease. That is, if the contract conveys the right to control the use of an identified asset for a period of time in exchange for consideration.</w:t>
            </w:r>
          </w:p>
          <w:p w14:paraId="1C56DE3E" w14:textId="77777777" w:rsidR="00712B60" w:rsidRDefault="00712B60" w:rsidP="00140FFC">
            <w:pPr>
              <w:pStyle w:val="Notesbodytext"/>
              <w:spacing w:line="280" w:lineRule="exact"/>
              <w:jc w:val="both"/>
              <w:rPr>
                <w:rFonts w:ascii="Arial" w:hAnsi="Arial"/>
                <w:color w:val="auto"/>
                <w:sz w:val="20"/>
              </w:rPr>
            </w:pPr>
          </w:p>
          <w:p w14:paraId="3A98FD02" w14:textId="77777777" w:rsidR="00712B60" w:rsidRDefault="00712B60" w:rsidP="00140FFC">
            <w:pPr>
              <w:pStyle w:val="Notesbodytext"/>
              <w:spacing w:line="280" w:lineRule="exact"/>
              <w:jc w:val="both"/>
              <w:rPr>
                <w:rFonts w:ascii="Arial" w:hAnsi="Arial"/>
                <w:color w:val="auto"/>
                <w:sz w:val="20"/>
              </w:rPr>
            </w:pPr>
          </w:p>
          <w:p w14:paraId="63C315E5" w14:textId="4B98A905" w:rsidR="00140FFC" w:rsidRPr="00712B60" w:rsidRDefault="00140FFC" w:rsidP="00140FFC">
            <w:pPr>
              <w:pStyle w:val="Notesbodytext"/>
              <w:spacing w:line="280" w:lineRule="exact"/>
              <w:jc w:val="both"/>
              <w:rPr>
                <w:rFonts w:ascii="Arial" w:hAnsi="Arial"/>
                <w:b/>
                <w:bCs/>
                <w:color w:val="auto"/>
                <w:sz w:val="20"/>
              </w:rPr>
            </w:pPr>
            <w:r w:rsidRPr="00712B60">
              <w:rPr>
                <w:rFonts w:ascii="Arial" w:hAnsi="Arial"/>
                <w:b/>
                <w:bCs/>
                <w:color w:val="auto"/>
                <w:sz w:val="20"/>
              </w:rPr>
              <w:t>Group as a lessee</w:t>
            </w:r>
          </w:p>
          <w:p w14:paraId="4E2BCE0E" w14:textId="77777777" w:rsidR="00140FFC" w:rsidRPr="00140FFC" w:rsidRDefault="00140FFC" w:rsidP="00140FFC">
            <w:pPr>
              <w:pStyle w:val="Notesbodytext"/>
              <w:spacing w:line="280" w:lineRule="exact"/>
              <w:jc w:val="both"/>
              <w:rPr>
                <w:rFonts w:ascii="Arial" w:hAnsi="Arial"/>
                <w:color w:val="auto"/>
                <w:sz w:val="20"/>
              </w:rPr>
            </w:pPr>
            <w:r w:rsidRPr="00140FFC">
              <w:rPr>
                <w:rFonts w:ascii="Arial" w:hAnsi="Arial"/>
                <w:color w:val="auto"/>
                <w:sz w:val="20"/>
              </w:rPr>
              <w:t>The Group applies a single recognition and measurement approach for all leases, except for short-term leases and leases of low-value assets. The Group recognises lease liabilities to make lease payments and right-of-use assets representing the right to use the underlying assets.</w:t>
            </w:r>
          </w:p>
          <w:p w14:paraId="018CBD17" w14:textId="77777777" w:rsidR="00140FFC" w:rsidRPr="00712B60" w:rsidRDefault="00140FFC" w:rsidP="00140FFC">
            <w:pPr>
              <w:pStyle w:val="Notesbodytext"/>
              <w:spacing w:line="280" w:lineRule="exact"/>
              <w:jc w:val="both"/>
              <w:rPr>
                <w:rFonts w:ascii="Arial" w:hAnsi="Arial"/>
                <w:b/>
                <w:bCs/>
                <w:color w:val="auto"/>
                <w:sz w:val="20"/>
              </w:rPr>
            </w:pPr>
            <w:proofErr w:type="spellStart"/>
            <w:r w:rsidRPr="00712B60">
              <w:rPr>
                <w:rFonts w:ascii="Arial" w:hAnsi="Arial"/>
                <w:b/>
                <w:bCs/>
                <w:color w:val="auto"/>
                <w:sz w:val="20"/>
              </w:rPr>
              <w:t>i</w:t>
            </w:r>
            <w:proofErr w:type="spellEnd"/>
            <w:r w:rsidRPr="00712B60">
              <w:rPr>
                <w:rFonts w:ascii="Arial" w:hAnsi="Arial"/>
                <w:b/>
                <w:bCs/>
                <w:color w:val="auto"/>
                <w:sz w:val="20"/>
              </w:rPr>
              <w:t>)</w:t>
            </w:r>
            <w:r w:rsidRPr="00712B60">
              <w:rPr>
                <w:rFonts w:ascii="Arial" w:hAnsi="Arial"/>
                <w:b/>
                <w:bCs/>
                <w:color w:val="auto"/>
                <w:sz w:val="20"/>
              </w:rPr>
              <w:tab/>
              <w:t>Right-of-use assets</w:t>
            </w:r>
          </w:p>
          <w:p w14:paraId="0F3ED235" w14:textId="77777777" w:rsidR="00140FFC" w:rsidRPr="00140FFC" w:rsidRDefault="00140FFC" w:rsidP="00140FFC">
            <w:pPr>
              <w:pStyle w:val="Notesbodytext"/>
              <w:spacing w:line="280" w:lineRule="exact"/>
              <w:jc w:val="both"/>
              <w:rPr>
                <w:rFonts w:ascii="Arial" w:hAnsi="Arial"/>
                <w:color w:val="auto"/>
                <w:sz w:val="20"/>
              </w:rPr>
            </w:pPr>
            <w:r w:rsidRPr="00140FFC">
              <w:rPr>
                <w:rFonts w:ascii="Arial" w:hAnsi="Arial"/>
                <w:color w:val="auto"/>
                <w:sz w:val="20"/>
              </w:rPr>
              <w:t xml:space="preserve">The Group recognises right-of-use assets at the commencement date of the lease (i.e., the date the underlying asset is available for use). Right-of-use assets are measured at cost, less any accumulated depreciation and impairment losses, and adjusted for any remeasurement of lease liabilities. The cost of right-of-use assets includes the amount of lease liabilities recognised, initial direct costs incurred, and lease payments made at or before the commencement date less any lease incentives received. Right-of-use assets are depreciated on a straight-line basis over the shorter of the lease term and the estimated useful lives of the assets, as follows: </w:t>
            </w:r>
          </w:p>
          <w:p w14:paraId="7812ED3B" w14:textId="77777777" w:rsidR="00140FFC" w:rsidRPr="00140FFC" w:rsidRDefault="00140FFC" w:rsidP="00140FFC">
            <w:pPr>
              <w:pStyle w:val="Notesbodytext"/>
              <w:spacing w:line="280" w:lineRule="exact"/>
              <w:jc w:val="both"/>
              <w:rPr>
                <w:rFonts w:ascii="Arial" w:hAnsi="Arial"/>
                <w:color w:val="auto"/>
                <w:sz w:val="20"/>
              </w:rPr>
            </w:pPr>
            <w:r w:rsidRPr="00140FFC">
              <w:rPr>
                <w:rFonts w:ascii="Arial" w:hAnsi="Arial"/>
                <w:color w:val="auto"/>
                <w:sz w:val="20"/>
              </w:rPr>
              <w:t>•</w:t>
            </w:r>
            <w:r w:rsidRPr="00140FFC">
              <w:rPr>
                <w:rFonts w:ascii="Arial" w:hAnsi="Arial"/>
                <w:color w:val="auto"/>
                <w:sz w:val="20"/>
              </w:rPr>
              <w:tab/>
              <w:t>Plant and machinery                                     3 to 15 years</w:t>
            </w:r>
          </w:p>
          <w:p w14:paraId="0923DBB2" w14:textId="77777777" w:rsidR="00140FFC" w:rsidRPr="00140FFC" w:rsidRDefault="00140FFC" w:rsidP="00140FFC">
            <w:pPr>
              <w:pStyle w:val="Notesbodytext"/>
              <w:spacing w:line="280" w:lineRule="exact"/>
              <w:jc w:val="both"/>
              <w:rPr>
                <w:rFonts w:ascii="Arial" w:hAnsi="Arial"/>
                <w:color w:val="auto"/>
                <w:sz w:val="20"/>
              </w:rPr>
            </w:pPr>
            <w:r w:rsidRPr="00140FFC">
              <w:rPr>
                <w:rFonts w:ascii="Arial" w:hAnsi="Arial"/>
                <w:color w:val="auto"/>
                <w:sz w:val="20"/>
              </w:rPr>
              <w:t>•</w:t>
            </w:r>
            <w:r w:rsidRPr="00140FFC">
              <w:rPr>
                <w:rFonts w:ascii="Arial" w:hAnsi="Arial"/>
                <w:color w:val="auto"/>
                <w:sz w:val="20"/>
              </w:rPr>
              <w:tab/>
              <w:t xml:space="preserve">Motor vehicles and other </w:t>
            </w:r>
            <w:proofErr w:type="spellStart"/>
            <w:r w:rsidRPr="00140FFC">
              <w:rPr>
                <w:rFonts w:ascii="Arial" w:hAnsi="Arial"/>
                <w:color w:val="auto"/>
                <w:sz w:val="20"/>
              </w:rPr>
              <w:t>equipments</w:t>
            </w:r>
            <w:proofErr w:type="spellEnd"/>
            <w:r w:rsidRPr="00140FFC">
              <w:rPr>
                <w:rFonts w:ascii="Arial" w:hAnsi="Arial"/>
                <w:color w:val="auto"/>
                <w:sz w:val="20"/>
              </w:rPr>
              <w:t xml:space="preserve">        3 to 5 years</w:t>
            </w:r>
          </w:p>
          <w:p w14:paraId="3FB00312" w14:textId="77777777" w:rsidR="00140FFC" w:rsidRPr="00140FFC" w:rsidRDefault="00140FFC" w:rsidP="00140FFC">
            <w:pPr>
              <w:pStyle w:val="Notesbodytext"/>
              <w:spacing w:line="280" w:lineRule="exact"/>
              <w:jc w:val="both"/>
              <w:rPr>
                <w:rFonts w:ascii="Arial" w:hAnsi="Arial"/>
                <w:color w:val="auto"/>
                <w:sz w:val="20"/>
              </w:rPr>
            </w:pPr>
            <w:r w:rsidRPr="00140FFC">
              <w:rPr>
                <w:rFonts w:ascii="Arial" w:hAnsi="Arial"/>
                <w:color w:val="auto"/>
                <w:sz w:val="20"/>
              </w:rPr>
              <w:t>If ownership of the leased asset transfers to the Group at the end of the lease term or the cost reflects the exercise of a purchase option, depreciation is calculated using the estimated useful life of the asset.</w:t>
            </w:r>
          </w:p>
          <w:p w14:paraId="5E72A759" w14:textId="77777777" w:rsidR="00140FFC" w:rsidRPr="00140FFC" w:rsidRDefault="00140FFC" w:rsidP="00140FFC">
            <w:pPr>
              <w:pStyle w:val="Notesbodytext"/>
              <w:spacing w:line="280" w:lineRule="exact"/>
              <w:jc w:val="both"/>
              <w:rPr>
                <w:rFonts w:ascii="Arial" w:hAnsi="Arial"/>
                <w:color w:val="auto"/>
                <w:sz w:val="20"/>
              </w:rPr>
            </w:pPr>
            <w:r w:rsidRPr="00140FFC">
              <w:rPr>
                <w:rFonts w:ascii="Arial" w:hAnsi="Arial"/>
                <w:color w:val="auto"/>
                <w:sz w:val="20"/>
              </w:rPr>
              <w:t>The right-of-use assets are also subject to impairment. Refer to the accounting policies in section (p) Impairment of non-financial assets.</w:t>
            </w:r>
          </w:p>
          <w:p w14:paraId="6F8AEB0E" w14:textId="77777777" w:rsidR="00140FFC" w:rsidRPr="00140FFC" w:rsidRDefault="00140FFC" w:rsidP="00140FFC">
            <w:pPr>
              <w:pStyle w:val="Notesbodytext"/>
              <w:spacing w:line="280" w:lineRule="exact"/>
              <w:jc w:val="both"/>
              <w:rPr>
                <w:rFonts w:ascii="Arial" w:hAnsi="Arial"/>
                <w:color w:val="auto"/>
                <w:sz w:val="20"/>
              </w:rPr>
            </w:pPr>
          </w:p>
          <w:p w14:paraId="3F685D3D" w14:textId="425E0EA6" w:rsidR="00140FFC" w:rsidRPr="00712B60" w:rsidRDefault="00712B60" w:rsidP="00712B60">
            <w:pPr>
              <w:pStyle w:val="Notesbodytext"/>
              <w:shd w:val="clear" w:color="auto" w:fill="C1C1C1" w:themeFill="background2" w:themeFillTint="66"/>
              <w:spacing w:line="280" w:lineRule="exact"/>
              <w:jc w:val="both"/>
              <w:rPr>
                <w:rFonts w:ascii="Arial" w:hAnsi="Arial"/>
                <w:b/>
                <w:bCs/>
                <w:color w:val="auto"/>
                <w:sz w:val="20"/>
              </w:rPr>
            </w:pPr>
            <w:r w:rsidRPr="00712B60">
              <w:rPr>
                <w:rFonts w:ascii="Arial" w:hAnsi="Arial"/>
                <w:b/>
                <w:bCs/>
                <w:color w:val="auto"/>
                <w:sz w:val="20"/>
              </w:rPr>
              <w:t>Author’s Note</w:t>
            </w:r>
          </w:p>
          <w:p w14:paraId="21CDCF65" w14:textId="77777777" w:rsidR="00140FFC" w:rsidRPr="00140FFC" w:rsidRDefault="00140FFC" w:rsidP="00712B60">
            <w:pPr>
              <w:pStyle w:val="Notesbodytext"/>
              <w:shd w:val="clear" w:color="auto" w:fill="C1C1C1" w:themeFill="background2" w:themeFillTint="66"/>
              <w:spacing w:line="280" w:lineRule="exact"/>
              <w:jc w:val="both"/>
              <w:rPr>
                <w:rFonts w:ascii="Arial" w:hAnsi="Arial"/>
                <w:color w:val="auto"/>
                <w:sz w:val="20"/>
              </w:rPr>
            </w:pPr>
            <w:r w:rsidRPr="00140FFC">
              <w:rPr>
                <w:rFonts w:ascii="Arial" w:hAnsi="Arial"/>
                <w:color w:val="auto"/>
                <w:sz w:val="20"/>
              </w:rPr>
              <w:t>Under Ind AS 116, the cost of a right-of-use asset also includes an estimate of costs to be incurred by the lessee in dismantling and removing the underlying asset, restoring the site on which it is located or restoring the underlying asset to the condition required by the terms and conditions of the lease, unless those costs are incurred to produce inventories. The lessee incurs the obligation for those costs either at the commencement date or as a consequence of having used the underlying asset during a particular period (Ind AS 116. 24(d)).  The Group’s lease arrangements do not contain an obligation to dismantle and remove the underlying asset, restore the site on which it is located or restore the underlying asset to a specified condition</w:t>
            </w:r>
          </w:p>
          <w:p w14:paraId="6F9A0E2F" w14:textId="77777777" w:rsidR="00140FFC" w:rsidRPr="00140FFC" w:rsidRDefault="00140FFC" w:rsidP="00140FFC">
            <w:pPr>
              <w:pStyle w:val="Notesbodytext"/>
              <w:spacing w:line="280" w:lineRule="exact"/>
              <w:jc w:val="both"/>
              <w:rPr>
                <w:rFonts w:ascii="Arial" w:hAnsi="Arial"/>
                <w:color w:val="auto"/>
                <w:sz w:val="20"/>
              </w:rPr>
            </w:pPr>
          </w:p>
          <w:p w14:paraId="041F1FA2" w14:textId="77777777" w:rsidR="00140FFC" w:rsidRPr="00712B60" w:rsidRDefault="00140FFC" w:rsidP="00140FFC">
            <w:pPr>
              <w:pStyle w:val="Notesbodytext"/>
              <w:spacing w:line="280" w:lineRule="exact"/>
              <w:jc w:val="both"/>
              <w:rPr>
                <w:rFonts w:ascii="Arial" w:hAnsi="Arial"/>
                <w:b/>
                <w:bCs/>
                <w:color w:val="auto"/>
                <w:sz w:val="20"/>
              </w:rPr>
            </w:pPr>
            <w:r w:rsidRPr="00712B60">
              <w:rPr>
                <w:rFonts w:ascii="Arial" w:hAnsi="Arial"/>
                <w:b/>
                <w:bCs/>
                <w:color w:val="auto"/>
                <w:sz w:val="20"/>
              </w:rPr>
              <w:t>ii)</w:t>
            </w:r>
            <w:r w:rsidRPr="00712B60">
              <w:rPr>
                <w:rFonts w:ascii="Arial" w:hAnsi="Arial"/>
                <w:b/>
                <w:bCs/>
                <w:color w:val="auto"/>
                <w:sz w:val="20"/>
              </w:rPr>
              <w:tab/>
              <w:t>Lease Liability</w:t>
            </w:r>
          </w:p>
          <w:p w14:paraId="390D3563" w14:textId="2D64E02E" w:rsidR="00140FFC" w:rsidRPr="00140FFC" w:rsidRDefault="00140FFC" w:rsidP="00140FFC">
            <w:pPr>
              <w:pStyle w:val="Notesbodytext"/>
              <w:spacing w:line="280" w:lineRule="exact"/>
              <w:jc w:val="both"/>
              <w:rPr>
                <w:rFonts w:ascii="Arial" w:hAnsi="Arial"/>
                <w:color w:val="auto"/>
                <w:sz w:val="20"/>
              </w:rPr>
            </w:pPr>
            <w:r w:rsidRPr="00140FFC">
              <w:rPr>
                <w:rFonts w:ascii="Arial" w:hAnsi="Arial"/>
                <w:color w:val="auto"/>
                <w:sz w:val="20"/>
              </w:rPr>
              <w:lastRenderedPageBreak/>
              <w:t>At the commencement date of the lease, the Group recognises lease liabilities measured at the present value of lease payments to be made over the lease term. The lease payments include fixed payments (including in</w:t>
            </w:r>
            <w:r w:rsidR="00712B60">
              <w:rPr>
                <w:rFonts w:ascii="Arial" w:hAnsi="Arial"/>
                <w:color w:val="auto"/>
                <w:sz w:val="20"/>
              </w:rPr>
              <w:t xml:space="preserve"> </w:t>
            </w:r>
            <w:r w:rsidRPr="00140FFC">
              <w:rPr>
                <w:rFonts w:ascii="Arial" w:hAnsi="Arial"/>
                <w:color w:val="auto"/>
                <w:sz w:val="20"/>
              </w:rPr>
              <w:t>substance fixed payments) less any lease incentives receivable, variable lease payments that depend on an index or a rate, and amounts expected to be paid under residual value guarantees. The lease payments also include the exercise price of a purchase option reasonably certain to be exercised by the Group and payments of penalties for terminating the lease, if the lease term reflects the Group exercising the option to terminate. Variable lease payments that do not depend on an index or a rate are recognised as expenses (unless they are incurred to produce inventories) in the period in which the event or condition that triggers the payment occurs.</w:t>
            </w:r>
          </w:p>
          <w:p w14:paraId="4AC5DEE5" w14:textId="77777777" w:rsidR="00140FFC" w:rsidRPr="00140FFC" w:rsidRDefault="00140FFC" w:rsidP="00140FFC">
            <w:pPr>
              <w:pStyle w:val="Notesbodytext"/>
              <w:spacing w:line="280" w:lineRule="exact"/>
              <w:jc w:val="both"/>
              <w:rPr>
                <w:rFonts w:ascii="Arial" w:hAnsi="Arial"/>
                <w:color w:val="auto"/>
                <w:sz w:val="20"/>
              </w:rPr>
            </w:pPr>
            <w:r w:rsidRPr="00140FFC">
              <w:rPr>
                <w:rFonts w:ascii="Arial" w:hAnsi="Arial"/>
                <w:color w:val="auto"/>
                <w:sz w:val="20"/>
              </w:rPr>
              <w:t>In calculating the present value of lease payments, the Group uses its incremental borrowing rate at the lease commencement date because the interest rate implicit in the lease is not readily determinable. After the commencement date, the amount of lease liabilities is increased to reflect the accretion of interest and reduced for the lease payments made. In addition, the carrying amount of lease liabilities is remeasured if there is a modification, a change in the lease term, a change in the lease payments (e.g., changes to future payments resulting from a change in an index or rate used to determine such lease payments) or a change in the assessment of an option to purchase the underlying asset.</w:t>
            </w:r>
          </w:p>
          <w:p w14:paraId="2404DF6B" w14:textId="77777777" w:rsidR="00140FFC" w:rsidRPr="00140FFC" w:rsidRDefault="00140FFC" w:rsidP="00140FFC">
            <w:pPr>
              <w:pStyle w:val="Notesbodytext"/>
              <w:spacing w:line="280" w:lineRule="exact"/>
              <w:jc w:val="both"/>
              <w:rPr>
                <w:rFonts w:ascii="Arial" w:hAnsi="Arial"/>
                <w:color w:val="auto"/>
                <w:sz w:val="20"/>
              </w:rPr>
            </w:pPr>
            <w:r w:rsidRPr="00140FFC">
              <w:rPr>
                <w:rFonts w:ascii="Arial" w:hAnsi="Arial"/>
                <w:color w:val="auto"/>
                <w:sz w:val="20"/>
              </w:rPr>
              <w:t>The Group’s lease liabilities are included in Interest-bearing loans and borrowings (see Note 15).</w:t>
            </w:r>
          </w:p>
          <w:p w14:paraId="69FBD8BF" w14:textId="77777777" w:rsidR="00140FFC" w:rsidRPr="00140FFC" w:rsidRDefault="00140FFC" w:rsidP="00140FFC">
            <w:pPr>
              <w:pStyle w:val="Notesbodytext"/>
              <w:spacing w:line="280" w:lineRule="exact"/>
              <w:jc w:val="both"/>
              <w:rPr>
                <w:rFonts w:ascii="Arial" w:hAnsi="Arial"/>
                <w:color w:val="auto"/>
                <w:sz w:val="20"/>
              </w:rPr>
            </w:pPr>
          </w:p>
          <w:p w14:paraId="7DB6FF29" w14:textId="77777777" w:rsidR="00140FFC" w:rsidRPr="00140FFC" w:rsidRDefault="00140FFC" w:rsidP="00140FFC">
            <w:pPr>
              <w:pStyle w:val="Notesbodytext"/>
              <w:spacing w:line="280" w:lineRule="exact"/>
              <w:jc w:val="both"/>
              <w:rPr>
                <w:rFonts w:ascii="Arial" w:hAnsi="Arial"/>
                <w:color w:val="auto"/>
                <w:sz w:val="20"/>
              </w:rPr>
            </w:pPr>
            <w:r w:rsidRPr="00140FFC">
              <w:rPr>
                <w:rFonts w:ascii="Arial" w:hAnsi="Arial"/>
                <w:color w:val="auto"/>
                <w:sz w:val="20"/>
              </w:rPr>
              <w:t>iii)</w:t>
            </w:r>
            <w:r w:rsidRPr="00140FFC">
              <w:rPr>
                <w:rFonts w:ascii="Arial" w:hAnsi="Arial"/>
                <w:color w:val="auto"/>
                <w:sz w:val="20"/>
              </w:rPr>
              <w:tab/>
              <w:t>Short-term leases and leases of low-value assets</w:t>
            </w:r>
          </w:p>
          <w:p w14:paraId="2DEB0AC9" w14:textId="7BBA1BAD" w:rsidR="00140FFC" w:rsidRDefault="00140FFC" w:rsidP="00140FFC">
            <w:pPr>
              <w:pStyle w:val="Notesbodytext"/>
              <w:spacing w:after="0" w:line="280" w:lineRule="exact"/>
              <w:jc w:val="both"/>
              <w:rPr>
                <w:rFonts w:ascii="Arial" w:hAnsi="Arial"/>
                <w:color w:val="auto"/>
                <w:sz w:val="20"/>
              </w:rPr>
            </w:pPr>
            <w:r w:rsidRPr="00140FFC">
              <w:rPr>
                <w:rFonts w:ascii="Arial" w:hAnsi="Arial"/>
                <w:color w:val="auto"/>
                <w:sz w:val="20"/>
              </w:rPr>
              <w:t>The Group applies the short-term lease recognition exemption to its short-term leases of machinery and equipment (i.e., those leases that have a lease term of 12 months or less from the commencement date and do not contain a purchase option). It also applies the lease of low-value assets recognition exemption to leases of office equipment that are considered to be low value. Lease payments on short-term leases and leases of low-value assets are recognised as expense on a straight-line basis over the lease term.</w:t>
            </w:r>
          </w:p>
          <w:p w14:paraId="0825838B" w14:textId="77777777" w:rsidR="00E17643" w:rsidRPr="00E70587" w:rsidRDefault="00E17643" w:rsidP="00110B84">
            <w:pPr>
              <w:pStyle w:val="Notesbodytext"/>
              <w:spacing w:after="0" w:line="280" w:lineRule="exact"/>
              <w:jc w:val="both"/>
              <w:rPr>
                <w:rFonts w:ascii="Arial" w:hAnsi="Arial"/>
                <w:color w:val="auto"/>
                <w:sz w:val="20"/>
              </w:rPr>
            </w:pPr>
          </w:p>
        </w:tc>
      </w:tr>
      <w:tr w:rsidR="00E17643" w:rsidRPr="00E70587" w14:paraId="7C21C79F" w14:textId="77777777" w:rsidTr="006939C8">
        <w:tc>
          <w:tcPr>
            <w:tcW w:w="9630" w:type="dxa"/>
          </w:tcPr>
          <w:p w14:paraId="0C2ED804" w14:textId="7E299EC1"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3E0CF411" w14:textId="77777777" w:rsidTr="006939C8">
        <w:tc>
          <w:tcPr>
            <w:tcW w:w="9630" w:type="dxa"/>
          </w:tcPr>
          <w:p w14:paraId="139B0B4B"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0DFB42F2" w14:textId="77777777" w:rsidTr="006939C8">
        <w:tc>
          <w:tcPr>
            <w:tcW w:w="9630" w:type="dxa"/>
          </w:tcPr>
          <w:p w14:paraId="6E071C1E" w14:textId="77777777" w:rsidR="00E17643" w:rsidRPr="00E70587" w:rsidRDefault="00E17643" w:rsidP="00E17643">
            <w:pPr>
              <w:pStyle w:val="Notesitalicheading"/>
              <w:spacing w:line="280" w:lineRule="exact"/>
              <w:jc w:val="both"/>
              <w:rPr>
                <w:rFonts w:ascii="Arial" w:hAnsi="Arial"/>
                <w:color w:val="auto"/>
                <w:sz w:val="20"/>
              </w:rPr>
            </w:pPr>
            <w:r w:rsidRPr="00E70587">
              <w:rPr>
                <w:rFonts w:ascii="Arial" w:hAnsi="Arial"/>
                <w:color w:val="auto"/>
                <w:sz w:val="20"/>
              </w:rPr>
              <w:t>Group as a lessor</w:t>
            </w:r>
          </w:p>
          <w:p w14:paraId="21CEB00C" w14:textId="77777777" w:rsidR="00E17643" w:rsidRPr="00E70587" w:rsidRDefault="00E17643" w:rsidP="00E17643">
            <w:pPr>
              <w:pStyle w:val="Notesbodytext"/>
              <w:spacing w:after="0" w:line="280" w:lineRule="exact"/>
              <w:jc w:val="both"/>
              <w:rPr>
                <w:rFonts w:ascii="Arial" w:hAnsi="Arial"/>
                <w:color w:val="auto"/>
                <w:sz w:val="20"/>
              </w:rPr>
            </w:pPr>
          </w:p>
          <w:p w14:paraId="11448DA9"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Leases in which the Group does not transfer substantially all the risks and rewards of ownership of an asset are classified as operating leases. Rental income from operating lease is recognised on a straight-line basis over the term of the relevant lease. Initial direct costs incurred in negotiating and arranging an operating lease are added to the carrying amount of the leased asset and recognised over the lease term on the same basis as rental income. Contingent rents are recognised as revenue in the period in which they are earned.</w:t>
            </w:r>
          </w:p>
        </w:tc>
      </w:tr>
      <w:tr w:rsidR="00E17643" w:rsidRPr="00E70587" w14:paraId="044E6AB5" w14:textId="77777777" w:rsidTr="006939C8">
        <w:tc>
          <w:tcPr>
            <w:tcW w:w="9630" w:type="dxa"/>
          </w:tcPr>
          <w:p w14:paraId="7B43FA61" w14:textId="77777777" w:rsidR="00E17643" w:rsidRPr="00E70587" w:rsidRDefault="00E17643" w:rsidP="00E17643">
            <w:pPr>
              <w:pStyle w:val="Notesbodytext"/>
              <w:spacing w:after="0" w:line="280" w:lineRule="exact"/>
              <w:jc w:val="both"/>
              <w:rPr>
                <w:rFonts w:ascii="Arial" w:hAnsi="Arial"/>
                <w:color w:val="auto"/>
                <w:sz w:val="20"/>
              </w:rPr>
            </w:pPr>
          </w:p>
          <w:p w14:paraId="79E94B7A"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Leases are classified as finance leases when substantially all of the risks and rewards of ownership transfer from the Group to the lessee. Amounts due from lessees under finance leases are recorded as receivables at the Group’s net investment in the leases. Finance lease income is allocated to accounting periods so as to reflect a constant periodic rate of return on the net investment outstanding in respect of the lease.</w:t>
            </w:r>
          </w:p>
          <w:p w14:paraId="06018B6C"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7A3211B5" w14:textId="77777777" w:rsidTr="006939C8">
        <w:tc>
          <w:tcPr>
            <w:tcW w:w="9630" w:type="dxa"/>
          </w:tcPr>
          <w:p w14:paraId="17A0FDE4" w14:textId="77777777" w:rsidR="006939C8" w:rsidRPr="00E70587" w:rsidRDefault="006939C8" w:rsidP="006939C8">
            <w:pPr>
              <w:pStyle w:val="Notesbodytext"/>
              <w:spacing w:after="0" w:line="280" w:lineRule="exact"/>
              <w:ind w:left="612" w:hanging="612"/>
              <w:jc w:val="both"/>
              <w:rPr>
                <w:rFonts w:ascii="Arial" w:hAnsi="Arial"/>
              </w:rPr>
            </w:pPr>
          </w:p>
          <w:p w14:paraId="1638D82A" w14:textId="77777777" w:rsidR="00E17643" w:rsidRPr="00E70587" w:rsidRDefault="00E17643" w:rsidP="00E17643">
            <w:pPr>
              <w:pStyle w:val="Heading4"/>
              <w:keepNext w:val="0"/>
              <w:numPr>
                <w:ilvl w:val="0"/>
                <w:numId w:val="4"/>
              </w:numPr>
              <w:tabs>
                <w:tab w:val="clear" w:pos="357"/>
              </w:tabs>
              <w:spacing w:before="0" w:after="0" w:line="280" w:lineRule="exact"/>
              <w:jc w:val="both"/>
              <w:rPr>
                <w:rFonts w:ascii="Arial" w:hAnsi="Arial" w:cs="Arial"/>
                <w:szCs w:val="20"/>
              </w:rPr>
            </w:pPr>
            <w:r w:rsidRPr="00E70587">
              <w:rPr>
                <w:rFonts w:ascii="Arial" w:hAnsi="Arial" w:cs="Arial"/>
                <w:szCs w:val="20"/>
              </w:rPr>
              <w:t>Inventories</w:t>
            </w:r>
          </w:p>
          <w:p w14:paraId="1DC98FE9" w14:textId="77777777" w:rsidR="00E17643" w:rsidRPr="00E70587" w:rsidRDefault="00E17643" w:rsidP="00E17643">
            <w:pPr>
              <w:pStyle w:val="Notesbodytext"/>
              <w:spacing w:after="0" w:line="280" w:lineRule="exact"/>
              <w:ind w:left="612" w:hanging="612"/>
              <w:jc w:val="both"/>
              <w:rPr>
                <w:rFonts w:ascii="Arial" w:hAnsi="Arial"/>
                <w:color w:val="auto"/>
                <w:sz w:val="20"/>
              </w:rPr>
            </w:pPr>
          </w:p>
          <w:p w14:paraId="58A2B084" w14:textId="77777777" w:rsidR="00E17643" w:rsidRPr="00E70587" w:rsidRDefault="00E17643" w:rsidP="00E17643">
            <w:pPr>
              <w:pStyle w:val="Notesbodytext"/>
              <w:spacing w:after="0" w:line="280" w:lineRule="exact"/>
              <w:ind w:left="612" w:hanging="612"/>
              <w:jc w:val="both"/>
              <w:rPr>
                <w:rFonts w:ascii="Arial" w:hAnsi="Arial"/>
                <w:color w:val="auto"/>
                <w:sz w:val="20"/>
              </w:rPr>
            </w:pPr>
            <w:r w:rsidRPr="00E70587">
              <w:rPr>
                <w:rFonts w:ascii="Arial" w:hAnsi="Arial"/>
                <w:color w:val="auto"/>
                <w:sz w:val="20"/>
              </w:rPr>
              <w:t>Inventories are valued at the lower of cost and net realisable value.</w:t>
            </w:r>
          </w:p>
          <w:p w14:paraId="745A8DBE" w14:textId="77777777" w:rsidR="00E17643" w:rsidRPr="00E70587" w:rsidRDefault="00E17643" w:rsidP="00E17643">
            <w:pPr>
              <w:pStyle w:val="Notesbodytext"/>
              <w:spacing w:after="0" w:line="280" w:lineRule="exact"/>
              <w:ind w:left="612" w:hanging="612"/>
              <w:jc w:val="both"/>
              <w:rPr>
                <w:rFonts w:ascii="Arial" w:hAnsi="Arial"/>
                <w:color w:val="auto"/>
                <w:sz w:val="20"/>
              </w:rPr>
            </w:pPr>
          </w:p>
          <w:p w14:paraId="50FCB167" w14:textId="77777777" w:rsidR="00E17643" w:rsidRPr="00E70587" w:rsidDel="00120284" w:rsidRDefault="00E17643" w:rsidP="00E17643">
            <w:pPr>
              <w:pStyle w:val="Notesbodytext"/>
              <w:spacing w:after="0" w:line="280" w:lineRule="exact"/>
              <w:ind w:left="612" w:hanging="612"/>
              <w:jc w:val="both"/>
              <w:rPr>
                <w:rFonts w:ascii="Arial" w:hAnsi="Arial"/>
                <w:color w:val="auto"/>
                <w:sz w:val="20"/>
              </w:rPr>
            </w:pPr>
            <w:r w:rsidRPr="00E70587">
              <w:rPr>
                <w:rFonts w:ascii="Arial" w:hAnsi="Arial"/>
                <w:color w:val="auto"/>
                <w:sz w:val="20"/>
              </w:rPr>
              <w:t>Costs incurred in bringing each product to its present location and condition are accounted for as follows:</w:t>
            </w:r>
          </w:p>
          <w:p w14:paraId="092E8E2B" w14:textId="77777777" w:rsidR="00E17643" w:rsidRPr="00E70587" w:rsidRDefault="00E17643" w:rsidP="00E17643">
            <w:pPr>
              <w:pStyle w:val="Notesbodytext"/>
              <w:numPr>
                <w:ilvl w:val="0"/>
                <w:numId w:val="13"/>
              </w:numPr>
              <w:spacing w:before="120" w:after="0" w:line="280" w:lineRule="exact"/>
              <w:jc w:val="both"/>
              <w:rPr>
                <w:rFonts w:ascii="Arial" w:hAnsi="Arial"/>
                <w:color w:val="auto"/>
                <w:sz w:val="20"/>
              </w:rPr>
            </w:pPr>
            <w:r w:rsidRPr="00E70587">
              <w:rPr>
                <w:rFonts w:ascii="Arial" w:hAnsi="Arial"/>
                <w:color w:val="auto"/>
                <w:sz w:val="20"/>
              </w:rPr>
              <w:t>Raw materials: cost includes cost of purchase and other costs incurred in bringing the inventories to their present location and condition. Cost is determined on first in, first out basis.</w:t>
            </w:r>
          </w:p>
          <w:p w14:paraId="5A10C19D" w14:textId="49AF68E5" w:rsidR="00E17643" w:rsidRPr="00E70587" w:rsidRDefault="00E17643" w:rsidP="00E17643">
            <w:pPr>
              <w:pStyle w:val="Notesbodytext"/>
              <w:numPr>
                <w:ilvl w:val="0"/>
                <w:numId w:val="13"/>
              </w:numPr>
              <w:spacing w:before="120" w:after="0" w:line="280" w:lineRule="exact"/>
              <w:jc w:val="both"/>
              <w:rPr>
                <w:rFonts w:ascii="Arial" w:hAnsi="Arial"/>
                <w:color w:val="auto"/>
                <w:sz w:val="20"/>
              </w:rPr>
            </w:pPr>
            <w:r w:rsidRPr="00E70587">
              <w:rPr>
                <w:rFonts w:ascii="Arial" w:hAnsi="Arial"/>
                <w:color w:val="auto"/>
                <w:sz w:val="20"/>
              </w:rPr>
              <w:lastRenderedPageBreak/>
              <w:t xml:space="preserve">Finished goods and work in progress: cost includes cost of direct materials and labour and a proportion of manufacturing overheads based on the normal operating </w:t>
            </w:r>
            <w:r w:rsidR="00910D49" w:rsidRPr="00E70587">
              <w:rPr>
                <w:rFonts w:ascii="Arial" w:hAnsi="Arial"/>
                <w:color w:val="auto"/>
                <w:sz w:val="20"/>
              </w:rPr>
              <w:t>capacity but</w:t>
            </w:r>
            <w:r w:rsidRPr="00E70587">
              <w:rPr>
                <w:rFonts w:ascii="Arial" w:hAnsi="Arial"/>
                <w:color w:val="auto"/>
                <w:sz w:val="20"/>
              </w:rPr>
              <w:t xml:space="preserve"> excluding borrowing costs. Cost is determined on first in, first out basis.</w:t>
            </w:r>
          </w:p>
          <w:p w14:paraId="4FE09480" w14:textId="77777777" w:rsidR="00E17643" w:rsidRPr="00E70587" w:rsidRDefault="00E17643" w:rsidP="00910D49">
            <w:pPr>
              <w:pStyle w:val="Notesbodytext"/>
              <w:numPr>
                <w:ilvl w:val="0"/>
                <w:numId w:val="13"/>
              </w:numPr>
              <w:spacing w:before="120" w:after="0" w:line="280" w:lineRule="exact"/>
              <w:ind w:left="314" w:hanging="314"/>
              <w:jc w:val="both"/>
              <w:rPr>
                <w:rFonts w:ascii="Arial" w:hAnsi="Arial"/>
                <w:color w:val="auto"/>
                <w:sz w:val="20"/>
              </w:rPr>
            </w:pPr>
            <w:r w:rsidRPr="00E70587">
              <w:rPr>
                <w:rFonts w:ascii="Arial" w:hAnsi="Arial"/>
                <w:color w:val="auto"/>
                <w:sz w:val="20"/>
              </w:rPr>
              <w:t>Traded goods: cost includes cost of purchase and other costs incurred in bringing the inventories to their present location and condition. Cost is determined on weighted average basis.</w:t>
            </w:r>
          </w:p>
          <w:p w14:paraId="75ADE4FD" w14:textId="77777777" w:rsidR="00E17643" w:rsidRPr="00E70587" w:rsidRDefault="00E17643" w:rsidP="00E17643">
            <w:pPr>
              <w:pStyle w:val="Notesbodytext"/>
              <w:spacing w:after="0" w:line="280" w:lineRule="exact"/>
              <w:jc w:val="both"/>
              <w:rPr>
                <w:rFonts w:ascii="Arial" w:hAnsi="Arial"/>
                <w:color w:val="auto"/>
                <w:sz w:val="20"/>
              </w:rPr>
            </w:pPr>
          </w:p>
          <w:p w14:paraId="2B36ACBB"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Initial cost of inventories includes the transfer of gains and losses on qualifying cash flow hedges, recognised in OCI, in respect of the purchases of raw materials.</w:t>
            </w:r>
          </w:p>
          <w:p w14:paraId="6B8D4E48" w14:textId="77777777" w:rsidR="00E17643" w:rsidRPr="00E70587" w:rsidRDefault="00E17643" w:rsidP="00E17643">
            <w:pPr>
              <w:pStyle w:val="Notesbodytext"/>
              <w:spacing w:after="0" w:line="280" w:lineRule="exact"/>
              <w:jc w:val="both"/>
              <w:rPr>
                <w:rFonts w:ascii="Arial" w:hAnsi="Arial"/>
                <w:color w:val="auto"/>
                <w:sz w:val="20"/>
              </w:rPr>
            </w:pPr>
          </w:p>
          <w:p w14:paraId="270123E2"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Net realisable value is the estimated selling price in the ordinary course of business, less estimated costs of completion and the estimated costs necessary to make the sale.</w:t>
            </w:r>
          </w:p>
          <w:p w14:paraId="10349404" w14:textId="77777777" w:rsidR="00E17643" w:rsidRDefault="00E17643" w:rsidP="00E17643">
            <w:pPr>
              <w:pStyle w:val="Notesbodytext"/>
              <w:spacing w:after="0" w:line="280" w:lineRule="exact"/>
              <w:jc w:val="both"/>
              <w:rPr>
                <w:rFonts w:ascii="Arial" w:hAnsi="Arial"/>
                <w:color w:val="auto"/>
                <w:sz w:val="20"/>
              </w:rPr>
            </w:pPr>
          </w:p>
          <w:p w14:paraId="5D2A1F88" w14:textId="77777777" w:rsidR="00910D49" w:rsidRDefault="00910D49" w:rsidP="00E17643">
            <w:pPr>
              <w:pStyle w:val="Notesbodytext"/>
              <w:spacing w:after="0" w:line="280" w:lineRule="exact"/>
              <w:jc w:val="both"/>
              <w:rPr>
                <w:rFonts w:ascii="Arial" w:hAnsi="Arial"/>
                <w:color w:val="auto"/>
                <w:sz w:val="20"/>
              </w:rPr>
            </w:pPr>
          </w:p>
          <w:p w14:paraId="71CA552A" w14:textId="4C1F05B0" w:rsidR="00910D49" w:rsidRPr="00E70587" w:rsidRDefault="00910D49" w:rsidP="00E17643">
            <w:pPr>
              <w:pStyle w:val="Notesbodytext"/>
              <w:spacing w:after="0" w:line="280" w:lineRule="exact"/>
              <w:jc w:val="both"/>
              <w:rPr>
                <w:rFonts w:ascii="Arial" w:hAnsi="Arial"/>
                <w:color w:val="auto"/>
                <w:sz w:val="20"/>
              </w:rPr>
            </w:pPr>
          </w:p>
        </w:tc>
      </w:tr>
      <w:tr w:rsidR="00E17643" w:rsidRPr="00E70587" w14:paraId="0CE2E17B" w14:textId="77777777" w:rsidTr="006939C8">
        <w:tc>
          <w:tcPr>
            <w:tcW w:w="9630" w:type="dxa"/>
          </w:tcPr>
          <w:p w14:paraId="6DDE4ADB" w14:textId="77777777" w:rsidR="00E17643" w:rsidRPr="00E70587" w:rsidRDefault="00E17643" w:rsidP="00E17643">
            <w:pPr>
              <w:pStyle w:val="Heading4"/>
              <w:keepNext w:val="0"/>
              <w:numPr>
                <w:ilvl w:val="0"/>
                <w:numId w:val="4"/>
              </w:numPr>
              <w:tabs>
                <w:tab w:val="clear" w:pos="357"/>
              </w:tabs>
              <w:spacing w:before="0" w:after="0" w:line="280" w:lineRule="exact"/>
              <w:jc w:val="both"/>
              <w:rPr>
                <w:rFonts w:ascii="Arial" w:hAnsi="Arial" w:cs="Arial"/>
                <w:szCs w:val="20"/>
              </w:rPr>
            </w:pPr>
            <w:r w:rsidRPr="00E70587">
              <w:rPr>
                <w:rFonts w:ascii="Arial" w:hAnsi="Arial" w:cs="Arial"/>
                <w:szCs w:val="20"/>
              </w:rPr>
              <w:lastRenderedPageBreak/>
              <w:t>Impairment of non-financial assets</w:t>
            </w:r>
          </w:p>
          <w:p w14:paraId="03EAA860" w14:textId="77777777" w:rsidR="00E17643" w:rsidRPr="00E70587" w:rsidRDefault="00E17643" w:rsidP="00E17643">
            <w:pPr>
              <w:pStyle w:val="Notesbodytext"/>
              <w:spacing w:after="0" w:line="280" w:lineRule="exact"/>
              <w:jc w:val="both"/>
              <w:rPr>
                <w:rFonts w:ascii="Arial" w:hAnsi="Arial"/>
                <w:color w:val="auto"/>
                <w:sz w:val="20"/>
              </w:rPr>
            </w:pPr>
          </w:p>
          <w:p w14:paraId="5C4A253E"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The Group assesses, at each reporting date, whether there is an indication that an asset may be impaired. If any indication exists, or when annual impairment testing for an asset is required, the Group estimates the asset’s recoverable amount. An asset’s recoverable amount is the higher of an asset’s or cash-generating unit’s (CGU) fair value less costs of disposal and its value in use. Recoverable amount is determined for an individual asset, unless the asset does not generate cash inflows that are largely independent of those from other assets or groups of assets. When the carrying amount of an asset or CGU exceeds its recoverable amount, the asset is considered impaired and is written down to its recoverable amount.</w:t>
            </w:r>
          </w:p>
          <w:p w14:paraId="2383A879"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3C3031CB" w14:textId="77777777" w:rsidTr="006939C8">
        <w:tc>
          <w:tcPr>
            <w:tcW w:w="9630" w:type="dxa"/>
          </w:tcPr>
          <w:p w14:paraId="76F0F602"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In assessing value in use, the estimated future cash flows are discounted to their present value using a pre-tax discount rate that reflects current market assessments of the time value of money and the risks specific to the asset. In determining fair value less costs of disposal, recent market transactions are taken into account. If no such transactions can be identified, an appropriate valuation model is used. These calculations are corroborated by valuation multiples, quoted share prices for publicly traded companies or other available fair value indicators.</w:t>
            </w:r>
          </w:p>
          <w:p w14:paraId="151AB220"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3A3CB0A1" w14:textId="77777777" w:rsidTr="006939C8">
        <w:tc>
          <w:tcPr>
            <w:tcW w:w="9630" w:type="dxa"/>
          </w:tcPr>
          <w:p w14:paraId="1FF30D1E"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The Group bases its impairment calculation on detailed budgets and forecast calculations, which are prepared separately for each of the Group’s CGUs to which the individual assets are allocated. These budgets and forecast calculations generally cover a period of five years. For longer periods, a long-term growth rate is calculated and applied to project future cash flows after the fifth year.</w:t>
            </w:r>
            <w:r w:rsidR="00D01CE7" w:rsidRPr="00E70587">
              <w:rPr>
                <w:rFonts w:ascii="Arial" w:hAnsi="Arial"/>
                <w:color w:val="auto"/>
                <w:sz w:val="20"/>
              </w:rPr>
              <w:t xml:space="preserve"> To estimate cash flow projections beyond periods covered by the most recent budgets/forecasts, the Group extrapolates cash flow projections in the budget using a steady or declining growth rate for subsequent years, unless an increasing rate can be justified. In any case, this growth rate does not exceed the long-term average growth rate for the products, industries, or country or countries in which the entity operates, or for the market in which the asset is used.</w:t>
            </w:r>
          </w:p>
          <w:p w14:paraId="4A4AFF9B"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0D865B3E" w14:textId="77777777" w:rsidTr="006939C8">
        <w:tc>
          <w:tcPr>
            <w:tcW w:w="9630" w:type="dxa"/>
          </w:tcPr>
          <w:p w14:paraId="4550E9BA"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Impairment losses of continuing operations, including impairment on inventories, are recognised in profit or loss section of the statement of profit and loss, except for properties previously revalued with the revaluation taken to OCI. For such properties, the impairment is recognised in OCI up to the amount of any previous revaluation surplus.</w:t>
            </w:r>
          </w:p>
          <w:p w14:paraId="4C236B39" w14:textId="77777777" w:rsidR="00E17643" w:rsidRPr="00E70587" w:rsidRDefault="00E17643" w:rsidP="00E17643">
            <w:pPr>
              <w:pStyle w:val="Notesbodytext"/>
              <w:spacing w:after="0" w:line="280" w:lineRule="exact"/>
              <w:jc w:val="both"/>
              <w:rPr>
                <w:rFonts w:ascii="Arial" w:hAnsi="Arial"/>
                <w:color w:val="auto"/>
                <w:sz w:val="20"/>
              </w:rPr>
            </w:pPr>
          </w:p>
          <w:p w14:paraId="05D53DB5" w14:textId="69580563" w:rsidR="00E17643" w:rsidRPr="00E70587" w:rsidRDefault="00E17643" w:rsidP="00E17643">
            <w:pPr>
              <w:pStyle w:val="Notesbodytext"/>
              <w:spacing w:after="0" w:line="280" w:lineRule="exact"/>
              <w:ind w:left="34"/>
              <w:jc w:val="both"/>
              <w:rPr>
                <w:rFonts w:ascii="Arial" w:hAnsi="Arial"/>
                <w:color w:val="auto"/>
                <w:sz w:val="20"/>
              </w:rPr>
            </w:pPr>
            <w:r w:rsidRPr="00E70587">
              <w:rPr>
                <w:rFonts w:ascii="Arial" w:hAnsi="Arial"/>
                <w:color w:val="auto"/>
                <w:sz w:val="20"/>
              </w:rPr>
              <w:t xml:space="preserve">For assets excluding goodwill, an assessment is made at each reporting date to determine whether there is an indication that previously recognised impairment losses no longer exist or have decreased. If such indication exists, the Group estimates the asset’s or CGU’s recoverable amount. A previously recognised impairment loss is reversed only if there has been a change in the assumptions used to determine the asset’s recoverable amount since the last impairment loss was recognised. The reversal is limited so that </w:t>
            </w:r>
            <w:r w:rsidRPr="00E70587">
              <w:rPr>
                <w:rFonts w:ascii="Arial" w:hAnsi="Arial"/>
                <w:color w:val="auto"/>
                <w:sz w:val="20"/>
              </w:rPr>
              <w:lastRenderedPageBreak/>
              <w:t xml:space="preserve">the carrying amount of the asset does not exceed its recoverable amount, nor exceed the carrying amount that would have been determined, net of depreciation, had no impairment loss been recognised for the asset in prior years. Such reversal is recognised in the statement of profit </w:t>
            </w:r>
            <w:r w:rsidR="00910D49">
              <w:rPr>
                <w:rFonts w:ascii="Arial" w:hAnsi="Arial"/>
                <w:color w:val="auto"/>
                <w:sz w:val="20"/>
              </w:rPr>
              <w:t>and</w:t>
            </w:r>
            <w:r w:rsidRPr="00E70587">
              <w:rPr>
                <w:rFonts w:ascii="Arial" w:hAnsi="Arial"/>
                <w:color w:val="auto"/>
                <w:sz w:val="20"/>
              </w:rPr>
              <w:t xml:space="preserve"> loss unless the asset is carried at a revalued amount, in which case, the reversal is treated as a revaluation increase.</w:t>
            </w:r>
          </w:p>
          <w:p w14:paraId="60ACED9E" w14:textId="77777777" w:rsidR="00E17643" w:rsidRPr="00E70587" w:rsidRDefault="00E17643" w:rsidP="00E17643">
            <w:pPr>
              <w:pStyle w:val="Notesbodytext"/>
              <w:spacing w:after="0" w:line="280" w:lineRule="exact"/>
              <w:ind w:left="34"/>
              <w:jc w:val="both"/>
              <w:rPr>
                <w:rFonts w:ascii="Arial" w:hAnsi="Arial"/>
                <w:color w:val="auto"/>
                <w:sz w:val="20"/>
              </w:rPr>
            </w:pPr>
          </w:p>
          <w:p w14:paraId="6524AE52" w14:textId="77777777" w:rsidR="00E17643" w:rsidRPr="00E70587" w:rsidRDefault="00E17643" w:rsidP="00E17643">
            <w:pPr>
              <w:pStyle w:val="Notesbodytext"/>
              <w:spacing w:after="0" w:line="280" w:lineRule="exact"/>
              <w:ind w:left="34"/>
              <w:jc w:val="both"/>
              <w:rPr>
                <w:rFonts w:ascii="Arial" w:hAnsi="Arial"/>
                <w:color w:val="auto"/>
                <w:sz w:val="20"/>
              </w:rPr>
            </w:pPr>
            <w:r w:rsidRPr="00E70587">
              <w:rPr>
                <w:rFonts w:ascii="Arial" w:hAnsi="Arial"/>
                <w:color w:val="auto"/>
                <w:sz w:val="20"/>
              </w:rPr>
              <w:t>Goodwill is tested for impairment annually as at 31 October and when circumstances indicate that the carrying value may be impaired.</w:t>
            </w:r>
          </w:p>
          <w:p w14:paraId="4B407D85" w14:textId="77777777" w:rsidR="00E17643" w:rsidRPr="00E70587" w:rsidRDefault="00E17643" w:rsidP="00E17643">
            <w:pPr>
              <w:pStyle w:val="Notesbodytext"/>
              <w:spacing w:after="0" w:line="280" w:lineRule="exact"/>
              <w:ind w:left="34"/>
              <w:jc w:val="both"/>
              <w:rPr>
                <w:rFonts w:ascii="Arial" w:hAnsi="Arial"/>
                <w:color w:val="auto"/>
                <w:sz w:val="20"/>
              </w:rPr>
            </w:pPr>
          </w:p>
          <w:p w14:paraId="041C2938" w14:textId="77777777" w:rsidR="00E17643" w:rsidRPr="00E70587" w:rsidRDefault="00E17643" w:rsidP="00E17643">
            <w:pPr>
              <w:pStyle w:val="Notesbodytext"/>
              <w:spacing w:after="0" w:line="280" w:lineRule="exact"/>
              <w:ind w:left="34"/>
              <w:jc w:val="both"/>
              <w:rPr>
                <w:rFonts w:ascii="Arial" w:hAnsi="Arial"/>
                <w:color w:val="auto"/>
                <w:sz w:val="20"/>
              </w:rPr>
            </w:pPr>
            <w:r w:rsidRPr="00E70587">
              <w:rPr>
                <w:rFonts w:ascii="Arial" w:hAnsi="Arial"/>
                <w:color w:val="auto"/>
                <w:sz w:val="20"/>
              </w:rPr>
              <w:t xml:space="preserve">Impairment is determined for goodwill by assessing the recoverable amount of each CGU (or group of CGUs) to which the goodwill relates. When the recoverable amount of the CGU is less than </w:t>
            </w:r>
            <w:proofErr w:type="gramStart"/>
            <w:r w:rsidRPr="00E70587">
              <w:rPr>
                <w:rFonts w:ascii="Arial" w:hAnsi="Arial"/>
                <w:color w:val="auto"/>
                <w:sz w:val="20"/>
              </w:rPr>
              <w:t>its</w:t>
            </w:r>
            <w:proofErr w:type="gramEnd"/>
            <w:r w:rsidRPr="00E70587">
              <w:rPr>
                <w:rFonts w:ascii="Arial" w:hAnsi="Arial"/>
                <w:color w:val="auto"/>
                <w:sz w:val="20"/>
              </w:rPr>
              <w:t xml:space="preserve"> carrying amount, an impairment loss is recognised. Impairment losses relating to goodwill cannot be reversed in future periods.</w:t>
            </w:r>
          </w:p>
          <w:p w14:paraId="4765EAE9" w14:textId="77777777" w:rsidR="00E17643" w:rsidRPr="00E70587" w:rsidRDefault="00E17643" w:rsidP="00E17643">
            <w:pPr>
              <w:pStyle w:val="Notesbodytext"/>
              <w:spacing w:after="0" w:line="280" w:lineRule="exact"/>
              <w:ind w:left="34"/>
              <w:jc w:val="both"/>
              <w:rPr>
                <w:rFonts w:ascii="Arial" w:hAnsi="Arial"/>
                <w:color w:val="auto"/>
                <w:sz w:val="20"/>
              </w:rPr>
            </w:pPr>
          </w:p>
          <w:p w14:paraId="2BF1D4DF" w14:textId="77777777" w:rsidR="00E17643" w:rsidRPr="00E70587" w:rsidRDefault="00E17643" w:rsidP="00E17643">
            <w:pPr>
              <w:pStyle w:val="Notesbodytext"/>
              <w:spacing w:after="0" w:line="280" w:lineRule="exact"/>
              <w:ind w:left="34"/>
              <w:jc w:val="both"/>
              <w:rPr>
                <w:rFonts w:ascii="Arial" w:hAnsi="Arial"/>
                <w:color w:val="auto"/>
                <w:sz w:val="20"/>
              </w:rPr>
            </w:pPr>
            <w:r w:rsidRPr="00E70587">
              <w:rPr>
                <w:rFonts w:ascii="Arial" w:hAnsi="Arial"/>
                <w:color w:val="auto"/>
                <w:sz w:val="20"/>
              </w:rPr>
              <w:t>Intangible assets with indefinite useful lives are tested for impairment annually as at 31 October at the CGU level, as appropriate, and when circumstances indicate that the carrying value may be impaired.</w:t>
            </w:r>
          </w:p>
          <w:p w14:paraId="77803BE3" w14:textId="77777777" w:rsidR="00E17643" w:rsidRPr="00E70587" w:rsidRDefault="00E17643" w:rsidP="00E17643">
            <w:pPr>
              <w:pStyle w:val="Notesbodytext"/>
              <w:spacing w:after="0" w:line="280" w:lineRule="exact"/>
              <w:ind w:left="34"/>
              <w:jc w:val="both"/>
              <w:rPr>
                <w:rFonts w:ascii="Arial" w:hAnsi="Arial"/>
                <w:color w:val="auto"/>
                <w:sz w:val="20"/>
              </w:rPr>
            </w:pPr>
          </w:p>
        </w:tc>
      </w:tr>
      <w:tr w:rsidR="00E17643" w:rsidRPr="00E70587" w14:paraId="7D6B220D" w14:textId="77777777" w:rsidTr="006939C8">
        <w:tc>
          <w:tcPr>
            <w:tcW w:w="9630" w:type="dxa"/>
            <w:shd w:val="clear" w:color="auto" w:fill="C1C1C1" w:themeFill="background1" w:themeFillTint="66"/>
          </w:tcPr>
          <w:p w14:paraId="76672306" w14:textId="77777777" w:rsidR="00E17643" w:rsidRPr="00E70587" w:rsidRDefault="00E17643" w:rsidP="00E17643">
            <w:pPr>
              <w:pStyle w:val="Notesbodytext"/>
              <w:spacing w:after="0" w:line="280" w:lineRule="exact"/>
              <w:jc w:val="both"/>
              <w:rPr>
                <w:rFonts w:ascii="Arial" w:hAnsi="Arial"/>
                <w:b/>
                <w:color w:val="auto"/>
                <w:sz w:val="20"/>
              </w:rPr>
            </w:pPr>
            <w:r w:rsidRPr="00E70587">
              <w:rPr>
                <w:rFonts w:ascii="Arial" w:hAnsi="Arial"/>
                <w:b/>
                <w:color w:val="auto"/>
                <w:sz w:val="20"/>
              </w:rPr>
              <w:lastRenderedPageBreak/>
              <w:t>Authors’ note</w:t>
            </w:r>
          </w:p>
          <w:p w14:paraId="6DB7A4A6" w14:textId="0A710576" w:rsidR="00E17643" w:rsidRDefault="00E17643" w:rsidP="00E17643">
            <w:pPr>
              <w:pStyle w:val="Notesbodytext"/>
              <w:spacing w:after="0" w:line="280" w:lineRule="exact"/>
              <w:jc w:val="both"/>
              <w:rPr>
                <w:rFonts w:ascii="Arial" w:hAnsi="Arial"/>
                <w:color w:val="auto"/>
                <w:sz w:val="20"/>
              </w:rPr>
            </w:pPr>
          </w:p>
          <w:p w14:paraId="2CEB3179" w14:textId="3D859594" w:rsidR="00AA6EA3" w:rsidRDefault="00AA6EA3" w:rsidP="00E17643">
            <w:pPr>
              <w:pStyle w:val="Notesbodytext"/>
              <w:spacing w:after="0" w:line="280" w:lineRule="exact"/>
              <w:jc w:val="both"/>
              <w:rPr>
                <w:rFonts w:ascii="Arial" w:hAnsi="Arial"/>
                <w:color w:val="auto"/>
                <w:sz w:val="20"/>
              </w:rPr>
            </w:pPr>
            <w:r w:rsidRPr="00AA6EA3">
              <w:rPr>
                <w:rFonts w:ascii="Arial" w:hAnsi="Arial"/>
                <w:color w:val="auto"/>
                <w:sz w:val="20"/>
              </w:rPr>
              <w:t xml:space="preserve">Under Ind AS 116.33, right-of-use assets are subject to the impairment requirements of Ind AS 36 Impairment of Assets.  </w:t>
            </w:r>
          </w:p>
          <w:p w14:paraId="012F7DB5" w14:textId="77777777" w:rsidR="00AA6EA3" w:rsidRPr="00E70587" w:rsidRDefault="00AA6EA3" w:rsidP="00E17643">
            <w:pPr>
              <w:pStyle w:val="Notesbodytext"/>
              <w:spacing w:after="0" w:line="280" w:lineRule="exact"/>
              <w:jc w:val="both"/>
              <w:rPr>
                <w:rFonts w:ascii="Arial" w:hAnsi="Arial"/>
                <w:color w:val="auto"/>
                <w:sz w:val="20"/>
              </w:rPr>
            </w:pPr>
          </w:p>
          <w:p w14:paraId="39345DBB"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Ind AS 36 permits the annual impairment test for a CGU to which goodwill has been allocated to be performed at any time during the year, provided it is at the same time each year. Different CGUs and intangible assets may be tested at different times.</w:t>
            </w:r>
          </w:p>
          <w:p w14:paraId="28FC984A"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69998DF7"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52A4C0A5" w14:textId="77777777" w:rsidR="00657499" w:rsidRDefault="00657499" w:rsidP="00E17643">
            <w:pPr>
              <w:pStyle w:val="Notesbodytext"/>
              <w:spacing w:after="0" w:line="280" w:lineRule="exact"/>
              <w:jc w:val="both"/>
              <w:rPr>
                <w:rFonts w:ascii="Arial" w:hAnsi="Arial"/>
                <w:color w:val="auto"/>
                <w:sz w:val="20"/>
              </w:rPr>
            </w:pPr>
          </w:p>
          <w:p w14:paraId="157F5608" w14:textId="77777777" w:rsidR="00657499" w:rsidRPr="00E70587" w:rsidRDefault="00657499" w:rsidP="00E17643">
            <w:pPr>
              <w:pStyle w:val="Notesbodytext"/>
              <w:spacing w:after="0" w:line="280" w:lineRule="exact"/>
              <w:jc w:val="both"/>
              <w:rPr>
                <w:rFonts w:ascii="Arial" w:hAnsi="Arial"/>
                <w:color w:val="auto"/>
                <w:sz w:val="20"/>
              </w:rPr>
            </w:pPr>
          </w:p>
          <w:p w14:paraId="14944AF0" w14:textId="77777777" w:rsidR="00E17643" w:rsidRPr="00E70587" w:rsidRDefault="00E17643" w:rsidP="00E17643">
            <w:pPr>
              <w:pStyle w:val="Heading4"/>
              <w:keepNext w:val="0"/>
              <w:numPr>
                <w:ilvl w:val="0"/>
                <w:numId w:val="4"/>
              </w:numPr>
              <w:tabs>
                <w:tab w:val="clear" w:pos="357"/>
              </w:tabs>
              <w:spacing w:before="0" w:after="0" w:line="280" w:lineRule="exact"/>
              <w:jc w:val="both"/>
              <w:rPr>
                <w:rFonts w:ascii="Arial" w:hAnsi="Arial" w:cs="Arial"/>
                <w:szCs w:val="20"/>
              </w:rPr>
            </w:pPr>
            <w:r w:rsidRPr="00E70587">
              <w:rPr>
                <w:rFonts w:ascii="Arial" w:hAnsi="Arial" w:cs="Arial"/>
                <w:szCs w:val="20"/>
              </w:rPr>
              <w:t>Provisions</w:t>
            </w:r>
          </w:p>
          <w:p w14:paraId="180B8D0A" w14:textId="77777777" w:rsidR="00E17643" w:rsidRPr="00E70587" w:rsidRDefault="00E17643" w:rsidP="00E17643">
            <w:pPr>
              <w:pStyle w:val="Notesbodytext"/>
              <w:spacing w:after="0" w:line="280" w:lineRule="exact"/>
              <w:jc w:val="both"/>
              <w:rPr>
                <w:rFonts w:ascii="Arial" w:hAnsi="Arial"/>
                <w:color w:val="auto"/>
                <w:sz w:val="20"/>
              </w:rPr>
            </w:pPr>
          </w:p>
          <w:p w14:paraId="0E2E86C9" w14:textId="77777777" w:rsidR="00E17643" w:rsidRPr="00E70587" w:rsidRDefault="00E17643" w:rsidP="00E17643">
            <w:pPr>
              <w:pStyle w:val="Notesbodytext"/>
              <w:spacing w:after="0" w:line="280" w:lineRule="exact"/>
              <w:jc w:val="both"/>
              <w:rPr>
                <w:rFonts w:ascii="Arial" w:hAnsi="Arial"/>
                <w:b/>
                <w:i/>
                <w:color w:val="auto"/>
                <w:sz w:val="20"/>
              </w:rPr>
            </w:pPr>
            <w:r w:rsidRPr="00E70587">
              <w:rPr>
                <w:rFonts w:ascii="Arial" w:hAnsi="Arial"/>
                <w:b/>
                <w:i/>
                <w:color w:val="auto"/>
                <w:sz w:val="20"/>
              </w:rPr>
              <w:t>General</w:t>
            </w:r>
          </w:p>
          <w:p w14:paraId="29F591CE" w14:textId="77777777" w:rsidR="00E17643" w:rsidRPr="00E70587" w:rsidRDefault="00E17643" w:rsidP="00E17643">
            <w:pPr>
              <w:pStyle w:val="Notesbodytext"/>
              <w:spacing w:after="0" w:line="280" w:lineRule="exact"/>
              <w:jc w:val="both"/>
              <w:rPr>
                <w:rFonts w:ascii="Arial" w:hAnsi="Arial"/>
                <w:color w:val="auto"/>
                <w:sz w:val="20"/>
              </w:rPr>
            </w:pPr>
          </w:p>
          <w:p w14:paraId="4CE75BEF"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Provisions are recognised when the Group has a present obligation (legal or constructive) as a result of a past event, it is probable that an outflow of resources embodying economic benefits will be required to settle the obligation and a reliable estimate can be made of the amount of the obligation. When the Group expects some or all of a provision to be reimbursed, for example, under an insurance contract, the reimbursement is recognised as a separate asset, but only when the reimbursement is virtually certain. The expense relating to a provision is presented in the statement of profit and loss net of any reimbursement.</w:t>
            </w:r>
          </w:p>
          <w:p w14:paraId="62BEC054" w14:textId="77777777" w:rsidR="00E17643" w:rsidRPr="00E70587" w:rsidRDefault="00E17643" w:rsidP="00E17643">
            <w:pPr>
              <w:pStyle w:val="Notesbodytext"/>
              <w:spacing w:after="0" w:line="280" w:lineRule="exact"/>
              <w:jc w:val="both"/>
              <w:rPr>
                <w:rFonts w:ascii="Arial" w:hAnsi="Arial"/>
                <w:color w:val="auto"/>
                <w:sz w:val="20"/>
              </w:rPr>
            </w:pPr>
          </w:p>
          <w:p w14:paraId="4AE554EB"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If the effect of the time value of money is material, provisions are discounted using a current pre-tax rate that reflects, when appropriate, the risks specific to the liability. When discounting is used, the increase in the provision due to the passage of time is recognised as a finance cost.</w:t>
            </w:r>
          </w:p>
          <w:p w14:paraId="5AF7A59E"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392D0ADF"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tbl>
            <w:tblPr>
              <w:tblW w:w="0" w:type="auto"/>
              <w:tblBorders>
                <w:top w:val="nil"/>
                <w:left w:val="nil"/>
                <w:bottom w:val="nil"/>
                <w:right w:val="nil"/>
              </w:tblBorders>
              <w:tblLayout w:type="fixed"/>
              <w:tblLook w:val="0000" w:firstRow="0" w:lastRow="0" w:firstColumn="0" w:lastColumn="0" w:noHBand="0" w:noVBand="0"/>
            </w:tblPr>
            <w:tblGrid>
              <w:gridCol w:w="9091"/>
            </w:tblGrid>
            <w:tr w:rsidR="001D30FB" w:rsidRPr="001D30FB" w14:paraId="7ED61797" w14:textId="77777777">
              <w:trPr>
                <w:trHeight w:val="90"/>
              </w:trPr>
              <w:tc>
                <w:tcPr>
                  <w:tcW w:w="9091" w:type="dxa"/>
                </w:tcPr>
                <w:p w14:paraId="42E82854" w14:textId="77777777" w:rsidR="001D30FB" w:rsidRDefault="001D30FB" w:rsidP="001D30FB">
                  <w:pPr>
                    <w:pStyle w:val="Notesbodytext"/>
                    <w:spacing w:after="0" w:line="280" w:lineRule="exact"/>
                    <w:jc w:val="both"/>
                    <w:rPr>
                      <w:rFonts w:ascii="Arial" w:hAnsi="Arial"/>
                      <w:b/>
                      <w:color w:val="auto"/>
                      <w:sz w:val="20"/>
                    </w:rPr>
                  </w:pPr>
                  <w:r w:rsidRPr="001D30FB">
                    <w:rPr>
                      <w:rFonts w:ascii="Arial" w:hAnsi="Arial"/>
                      <w:b/>
                      <w:color w:val="auto"/>
                      <w:sz w:val="20"/>
                    </w:rPr>
                    <w:t xml:space="preserve">Warranty provisions </w:t>
                  </w:r>
                </w:p>
                <w:p w14:paraId="5F5FF20F" w14:textId="77777777" w:rsidR="001D30FB" w:rsidRPr="001D30FB" w:rsidRDefault="001D30FB" w:rsidP="001D30FB">
                  <w:pPr>
                    <w:pStyle w:val="Notesbodytext"/>
                    <w:spacing w:after="0" w:line="280" w:lineRule="exact"/>
                    <w:jc w:val="both"/>
                    <w:rPr>
                      <w:rFonts w:ascii="Arial" w:hAnsi="Arial"/>
                      <w:b/>
                      <w:color w:val="auto"/>
                      <w:sz w:val="20"/>
                    </w:rPr>
                  </w:pPr>
                </w:p>
              </w:tc>
            </w:tr>
            <w:tr w:rsidR="001D30FB" w:rsidRPr="001D30FB" w14:paraId="0F0ADC6C" w14:textId="77777777">
              <w:trPr>
                <w:trHeight w:val="450"/>
              </w:trPr>
              <w:tc>
                <w:tcPr>
                  <w:tcW w:w="9091" w:type="dxa"/>
                </w:tcPr>
                <w:p w14:paraId="7653FC81" w14:textId="70D38BE4" w:rsidR="001D30FB" w:rsidRPr="001D30FB" w:rsidRDefault="001D30FB" w:rsidP="001D30FB">
                  <w:pPr>
                    <w:pStyle w:val="Notesbodytext"/>
                    <w:spacing w:after="0" w:line="280" w:lineRule="exact"/>
                    <w:jc w:val="both"/>
                    <w:rPr>
                      <w:rFonts w:ascii="Arial" w:hAnsi="Arial"/>
                      <w:color w:val="auto"/>
                      <w:sz w:val="20"/>
                    </w:rPr>
                  </w:pPr>
                  <w:r w:rsidRPr="001D30FB">
                    <w:rPr>
                      <w:rFonts w:ascii="Arial" w:hAnsi="Arial"/>
                      <w:color w:val="auto"/>
                      <w:sz w:val="20"/>
                    </w:rPr>
                    <w:t xml:space="preserve">The Group provides warranties for general repairs of defects that existed at the time of sale, as required by law. Provisions related to these assurance-type warranties are recognised when the product is </w:t>
                  </w:r>
                  <w:r w:rsidR="00AA6EA3" w:rsidRPr="001D30FB">
                    <w:rPr>
                      <w:rFonts w:ascii="Arial" w:hAnsi="Arial"/>
                      <w:color w:val="auto"/>
                      <w:sz w:val="20"/>
                    </w:rPr>
                    <w:t>sold,</w:t>
                  </w:r>
                  <w:r w:rsidRPr="001D30FB">
                    <w:rPr>
                      <w:rFonts w:ascii="Arial" w:hAnsi="Arial"/>
                      <w:color w:val="auto"/>
                      <w:sz w:val="20"/>
                    </w:rPr>
                    <w:t xml:space="preserve"> or the service is provided to the customer. Initial recognition is based on historical experience. The initial estimate of warranty-related costs is revised annually. </w:t>
                  </w:r>
                </w:p>
              </w:tc>
            </w:tr>
          </w:tbl>
          <w:p w14:paraId="2EB6E2F1" w14:textId="77777777" w:rsidR="001D30FB" w:rsidRPr="00E70587" w:rsidRDefault="001D30FB" w:rsidP="00E17643">
            <w:pPr>
              <w:pStyle w:val="Notesbodytext"/>
              <w:spacing w:after="0" w:line="280" w:lineRule="exact"/>
              <w:jc w:val="both"/>
              <w:rPr>
                <w:rFonts w:ascii="Arial" w:hAnsi="Arial"/>
                <w:color w:val="auto"/>
                <w:sz w:val="20"/>
              </w:rPr>
            </w:pPr>
          </w:p>
        </w:tc>
      </w:tr>
      <w:tr w:rsidR="00E17643" w:rsidRPr="00E70587" w14:paraId="0014A199"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459D6818" w14:textId="77777777" w:rsidR="00AA6EA3" w:rsidRDefault="00AA6EA3" w:rsidP="00E17643">
            <w:pPr>
              <w:pStyle w:val="Notesitalicheading"/>
              <w:spacing w:line="280" w:lineRule="exact"/>
              <w:jc w:val="both"/>
              <w:rPr>
                <w:rFonts w:ascii="Arial" w:hAnsi="Arial"/>
                <w:color w:val="auto"/>
                <w:sz w:val="20"/>
              </w:rPr>
            </w:pPr>
          </w:p>
          <w:p w14:paraId="1006E641" w14:textId="53CEF517" w:rsidR="00E17643" w:rsidRPr="00E70587" w:rsidRDefault="00E17643" w:rsidP="00E17643">
            <w:pPr>
              <w:pStyle w:val="Notesitalicheading"/>
              <w:spacing w:line="280" w:lineRule="exact"/>
              <w:jc w:val="both"/>
              <w:rPr>
                <w:rFonts w:ascii="Arial" w:hAnsi="Arial"/>
                <w:color w:val="auto"/>
                <w:sz w:val="20"/>
              </w:rPr>
            </w:pPr>
            <w:r w:rsidRPr="00E70587">
              <w:rPr>
                <w:rFonts w:ascii="Arial" w:hAnsi="Arial"/>
                <w:color w:val="auto"/>
                <w:sz w:val="20"/>
              </w:rPr>
              <w:t>Restructuring provisions</w:t>
            </w:r>
          </w:p>
          <w:p w14:paraId="73BC0BE6" w14:textId="77777777" w:rsidR="00E17643" w:rsidRPr="00E70587" w:rsidRDefault="00E17643" w:rsidP="00E17643">
            <w:pPr>
              <w:pStyle w:val="Notesbodytext"/>
              <w:spacing w:after="0" w:line="280" w:lineRule="exact"/>
              <w:jc w:val="both"/>
              <w:rPr>
                <w:rFonts w:ascii="Arial" w:hAnsi="Arial"/>
                <w:color w:val="auto"/>
                <w:sz w:val="20"/>
              </w:rPr>
            </w:pPr>
          </w:p>
          <w:p w14:paraId="102170EA" w14:textId="77777777" w:rsidR="00E17643" w:rsidRPr="00E70587"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lastRenderedPageBreak/>
              <w:t>Restructuring provisions are recognised only when the Group has a constructive obligation, which is when a detailed formal plan identifies the business or part of the business concerned, the location and number of employees affected, a detailed estimate of the associated costs, and an appropriate timeline, and the employees affected have been notified of the plan’s main features.</w:t>
            </w:r>
          </w:p>
          <w:p w14:paraId="6DF58C4F"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75B22192"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32881777" w14:textId="77777777" w:rsidR="00E17643" w:rsidRPr="00E70587" w:rsidRDefault="00E17643" w:rsidP="00E17643">
            <w:pPr>
              <w:pStyle w:val="Notesitalicheading"/>
              <w:spacing w:line="280" w:lineRule="exact"/>
              <w:jc w:val="both"/>
              <w:rPr>
                <w:rFonts w:ascii="Arial" w:hAnsi="Arial"/>
                <w:color w:val="auto"/>
                <w:sz w:val="20"/>
              </w:rPr>
            </w:pPr>
            <w:r w:rsidRPr="00E70587">
              <w:rPr>
                <w:rFonts w:ascii="Arial" w:hAnsi="Arial"/>
                <w:color w:val="auto"/>
                <w:sz w:val="20"/>
              </w:rPr>
              <w:lastRenderedPageBreak/>
              <w:t>Decommissioning liability</w:t>
            </w:r>
          </w:p>
          <w:p w14:paraId="29F90281" w14:textId="77777777" w:rsidR="00E17643" w:rsidRPr="00E70587" w:rsidRDefault="00E17643" w:rsidP="00E17643">
            <w:pPr>
              <w:pStyle w:val="Notesbodytext"/>
              <w:spacing w:after="0" w:line="280" w:lineRule="exact"/>
              <w:jc w:val="both"/>
              <w:rPr>
                <w:rFonts w:ascii="Arial" w:hAnsi="Arial"/>
                <w:color w:val="auto"/>
                <w:sz w:val="20"/>
              </w:rPr>
            </w:pPr>
          </w:p>
          <w:p w14:paraId="50E1E0E9" w14:textId="7EAA9D5D" w:rsidR="00E17643" w:rsidRDefault="00E17643" w:rsidP="00E17643">
            <w:pPr>
              <w:pStyle w:val="Notesbodytext"/>
              <w:spacing w:after="0" w:line="280" w:lineRule="exact"/>
              <w:jc w:val="both"/>
              <w:rPr>
                <w:rFonts w:ascii="Arial" w:hAnsi="Arial"/>
                <w:color w:val="auto"/>
                <w:sz w:val="20"/>
              </w:rPr>
            </w:pPr>
            <w:r w:rsidRPr="00E70587">
              <w:rPr>
                <w:rFonts w:ascii="Arial" w:hAnsi="Arial"/>
                <w:color w:val="auto"/>
                <w:sz w:val="20"/>
              </w:rPr>
              <w:t xml:space="preserve">The Group records a provision for decommissioning costs of a manufacturing facility for the production of </w:t>
            </w:r>
            <w:r w:rsidR="00AA6EA3" w:rsidRPr="00E70587">
              <w:rPr>
                <w:rFonts w:ascii="Arial" w:hAnsi="Arial"/>
                <w:color w:val="auto"/>
                <w:sz w:val="20"/>
              </w:rPr>
              <w:t>fire-retardant</w:t>
            </w:r>
            <w:r w:rsidRPr="00E70587">
              <w:rPr>
                <w:rFonts w:ascii="Arial" w:hAnsi="Arial"/>
                <w:color w:val="auto"/>
                <w:sz w:val="20"/>
              </w:rPr>
              <w:t xml:space="preserve"> materials. Decommissioning costs are provided at the present value of expected costs to settle the obligation using estimated cash flows and are recognised as part of the cost of the particular asset. The cash flows are discounted at a current pre-tax rate that reflects the risks specific to the decommissioning liability. The unwinding of the discount is expensed as incurred and recognised in the statement of profit and loss as a finance cost. The estimated future costs of decommissioning are reviewed annually and adjusted as appropriate. Changes in the estimated future costs or in the discount rate applied are added to or deducted from the cost of the asset.</w:t>
            </w:r>
          </w:p>
          <w:p w14:paraId="6947603F" w14:textId="77777777" w:rsidR="005926AA" w:rsidRDefault="005926AA" w:rsidP="00E17643">
            <w:pPr>
              <w:pStyle w:val="Notesbodytext"/>
              <w:spacing w:after="0" w:line="280" w:lineRule="exact"/>
              <w:jc w:val="both"/>
              <w:rPr>
                <w:rFonts w:ascii="Arial" w:hAnsi="Arial"/>
                <w:color w:val="auto"/>
                <w:sz w:val="20"/>
              </w:rPr>
            </w:pPr>
          </w:p>
          <w:p w14:paraId="172F02E5" w14:textId="77777777" w:rsidR="005926AA" w:rsidRPr="005926AA" w:rsidRDefault="005926AA" w:rsidP="005926AA">
            <w:pPr>
              <w:pStyle w:val="Notesbodytext"/>
              <w:spacing w:line="280" w:lineRule="exact"/>
              <w:jc w:val="both"/>
              <w:rPr>
                <w:rFonts w:ascii="Arial" w:hAnsi="Arial"/>
                <w:b/>
                <w:i/>
                <w:color w:val="auto"/>
                <w:sz w:val="20"/>
              </w:rPr>
            </w:pPr>
            <w:r w:rsidRPr="005926AA">
              <w:rPr>
                <w:rFonts w:ascii="Arial" w:hAnsi="Arial"/>
                <w:b/>
                <w:i/>
                <w:color w:val="auto"/>
                <w:sz w:val="20"/>
              </w:rPr>
              <w:t>Onerous contracts</w:t>
            </w:r>
          </w:p>
          <w:p w14:paraId="018ED599" w14:textId="77777777" w:rsidR="005926AA" w:rsidRPr="005926AA" w:rsidRDefault="005926AA" w:rsidP="005926AA">
            <w:pPr>
              <w:pStyle w:val="Notesbodytext"/>
              <w:spacing w:line="280" w:lineRule="exact"/>
              <w:jc w:val="both"/>
              <w:rPr>
                <w:rFonts w:ascii="Arial" w:hAnsi="Arial"/>
                <w:color w:val="auto"/>
                <w:sz w:val="20"/>
              </w:rPr>
            </w:pPr>
            <w:r w:rsidRPr="005926AA">
              <w:rPr>
                <w:rFonts w:ascii="Arial" w:hAnsi="Arial"/>
                <w:color w:val="auto"/>
                <w:sz w:val="20"/>
              </w:rPr>
              <w:t xml:space="preserve">If the Group has a contract that is onerous, the present obligation under the contract is recognised and measured as a provision. However, before a separate provision for an onerous contract is established, the Group recognises any impairment loss that has occurred on assets dedicated to that contract. </w:t>
            </w:r>
          </w:p>
          <w:p w14:paraId="724430F1" w14:textId="5FA51038" w:rsidR="005926AA" w:rsidRPr="00E70587" w:rsidRDefault="005926AA" w:rsidP="005926AA">
            <w:pPr>
              <w:pStyle w:val="Notesbodytext"/>
              <w:spacing w:after="0" w:line="280" w:lineRule="exact"/>
              <w:jc w:val="both"/>
              <w:rPr>
                <w:rFonts w:ascii="Arial" w:hAnsi="Arial"/>
                <w:color w:val="auto"/>
                <w:sz w:val="20"/>
              </w:rPr>
            </w:pPr>
            <w:r w:rsidRPr="005926AA">
              <w:rPr>
                <w:rFonts w:ascii="Arial" w:hAnsi="Arial"/>
                <w:color w:val="auto"/>
                <w:sz w:val="20"/>
              </w:rPr>
              <w:t>An onerous contract is a contract under which the unavoidable costs (i.e., the costs that the Group cannot avoid because it has the contract) of meeting the obligations under the contract exceed the economic benefits expected to be received under it. The unavoidable costs under a contract reflect the least net cost of exiting from the contract, which is the lower of the cost of fulfilling it and any compensation or penalties arising from failure to fulfil it.</w:t>
            </w:r>
          </w:p>
          <w:p w14:paraId="0CFFA0EE" w14:textId="77777777" w:rsidR="00E17643" w:rsidRDefault="00E17643" w:rsidP="00E17643">
            <w:pPr>
              <w:pStyle w:val="Notesbodytext"/>
              <w:spacing w:after="0" w:line="280" w:lineRule="exact"/>
              <w:jc w:val="both"/>
              <w:rPr>
                <w:rFonts w:ascii="Arial" w:hAnsi="Arial"/>
                <w:color w:val="auto"/>
                <w:sz w:val="20"/>
              </w:rPr>
            </w:pPr>
          </w:p>
          <w:p w14:paraId="7025B20D" w14:textId="77777777" w:rsidR="00F14852" w:rsidRPr="0062040F" w:rsidRDefault="00F14852" w:rsidP="00F14852">
            <w:pPr>
              <w:pStyle w:val="Notesitalicheading"/>
              <w:shd w:val="clear" w:color="auto" w:fill="A2A2A2" w:themeFill="background2" w:themeFillTint="99"/>
              <w:spacing w:line="280" w:lineRule="exact"/>
              <w:jc w:val="both"/>
              <w:rPr>
                <w:rFonts w:ascii="Arial" w:hAnsi="Arial"/>
                <w:bCs/>
                <w:i w:val="0"/>
                <w:color w:val="auto"/>
                <w:sz w:val="20"/>
              </w:rPr>
            </w:pPr>
            <w:r w:rsidRPr="0062040F">
              <w:rPr>
                <w:rFonts w:ascii="Arial" w:hAnsi="Arial"/>
                <w:bCs/>
                <w:i w:val="0"/>
                <w:color w:val="auto"/>
                <w:sz w:val="20"/>
              </w:rPr>
              <w:t>Author’s note</w:t>
            </w:r>
          </w:p>
          <w:p w14:paraId="712C8326" w14:textId="77777777" w:rsidR="00F14852" w:rsidRPr="0062040F" w:rsidRDefault="00F14852" w:rsidP="00F14852">
            <w:pPr>
              <w:pStyle w:val="Notesitalicheading"/>
              <w:shd w:val="clear" w:color="auto" w:fill="A2A2A2" w:themeFill="background2" w:themeFillTint="99"/>
              <w:spacing w:line="280" w:lineRule="exact"/>
              <w:jc w:val="both"/>
              <w:rPr>
                <w:rFonts w:ascii="Arial" w:hAnsi="Arial"/>
                <w:b w:val="0"/>
                <w:i w:val="0"/>
                <w:color w:val="auto"/>
                <w:sz w:val="20"/>
              </w:rPr>
            </w:pPr>
          </w:p>
          <w:p w14:paraId="53B02E55" w14:textId="77777777" w:rsidR="00F14852" w:rsidRPr="0062040F" w:rsidRDefault="00F14852" w:rsidP="00F14852">
            <w:pPr>
              <w:pStyle w:val="Notesitalicheading"/>
              <w:shd w:val="clear" w:color="auto" w:fill="A2A2A2" w:themeFill="background2" w:themeFillTint="99"/>
              <w:spacing w:line="280" w:lineRule="exact"/>
              <w:jc w:val="both"/>
              <w:rPr>
                <w:rFonts w:ascii="Arial" w:hAnsi="Arial"/>
                <w:b w:val="0"/>
                <w:i w:val="0"/>
                <w:color w:val="auto"/>
                <w:sz w:val="20"/>
              </w:rPr>
            </w:pPr>
            <w:r w:rsidRPr="0062040F">
              <w:rPr>
                <w:rFonts w:ascii="Arial" w:hAnsi="Arial"/>
                <w:b w:val="0"/>
                <w:i w:val="0"/>
                <w:color w:val="auto"/>
                <w:sz w:val="20"/>
              </w:rPr>
              <w:t xml:space="preserve">Ind AS 37 provides a choice of presenting expenditures to settle a provision either net of any reimbursement or on a gross basis. The Group has elected to present the expenses net of reimbursements.  </w:t>
            </w:r>
          </w:p>
          <w:p w14:paraId="28EE5184" w14:textId="77777777" w:rsidR="00F14852" w:rsidRPr="0062040F" w:rsidRDefault="00F14852" w:rsidP="00F14852">
            <w:pPr>
              <w:pStyle w:val="Notesitalicheading"/>
              <w:shd w:val="clear" w:color="auto" w:fill="A2A2A2" w:themeFill="background2" w:themeFillTint="99"/>
              <w:spacing w:line="280" w:lineRule="exact"/>
              <w:jc w:val="both"/>
              <w:rPr>
                <w:rFonts w:ascii="Arial" w:hAnsi="Arial"/>
                <w:b w:val="0"/>
                <w:i w:val="0"/>
                <w:color w:val="auto"/>
                <w:sz w:val="20"/>
              </w:rPr>
            </w:pPr>
          </w:p>
          <w:p w14:paraId="59B9F83D" w14:textId="77777777" w:rsidR="00F14852" w:rsidRPr="00E70587" w:rsidRDefault="00F14852" w:rsidP="00F14852">
            <w:pPr>
              <w:pStyle w:val="Notesitalicheading"/>
              <w:shd w:val="clear" w:color="auto" w:fill="A2A2A2" w:themeFill="background2" w:themeFillTint="99"/>
              <w:spacing w:line="280" w:lineRule="exact"/>
              <w:jc w:val="both"/>
              <w:rPr>
                <w:rFonts w:ascii="Arial" w:hAnsi="Arial"/>
                <w:b w:val="0"/>
                <w:i w:val="0"/>
                <w:color w:val="auto"/>
                <w:sz w:val="20"/>
              </w:rPr>
            </w:pPr>
            <w:r w:rsidRPr="0062040F">
              <w:rPr>
                <w:rFonts w:ascii="Arial" w:hAnsi="Arial"/>
                <w:b w:val="0"/>
                <w:i w:val="0"/>
                <w:color w:val="auto"/>
                <w:sz w:val="20"/>
              </w:rPr>
              <w:t>Ind AS 115 contains no specific requirements to address contracts with customers that are, or have become, onerous. The requirements of Ind AS 37 apply to the identification and measurement of onerous customer contracts (Ind AS 37.5(g))</w:t>
            </w:r>
          </w:p>
          <w:p w14:paraId="047E2084" w14:textId="45CD8A73" w:rsidR="00F14852" w:rsidRPr="00E70587" w:rsidRDefault="00F14852" w:rsidP="00E17643">
            <w:pPr>
              <w:pStyle w:val="Notesbodytext"/>
              <w:spacing w:after="0" w:line="280" w:lineRule="exact"/>
              <w:jc w:val="both"/>
              <w:rPr>
                <w:rFonts w:ascii="Arial" w:hAnsi="Arial"/>
                <w:color w:val="auto"/>
                <w:sz w:val="20"/>
              </w:rPr>
            </w:pPr>
          </w:p>
        </w:tc>
      </w:tr>
      <w:tr w:rsidR="00E17643" w:rsidRPr="00E70587" w14:paraId="62E9902B"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4DBED207" w14:textId="77777777" w:rsidR="00E17643" w:rsidRPr="00E70587" w:rsidRDefault="00E17643" w:rsidP="00E17643">
            <w:pPr>
              <w:pStyle w:val="Notesitalicheading"/>
              <w:spacing w:line="280" w:lineRule="exact"/>
              <w:jc w:val="both"/>
              <w:rPr>
                <w:rFonts w:ascii="Arial" w:hAnsi="Arial"/>
                <w:color w:val="auto"/>
                <w:sz w:val="20"/>
              </w:rPr>
            </w:pPr>
            <w:r w:rsidRPr="00E70587">
              <w:rPr>
                <w:rFonts w:ascii="Arial" w:hAnsi="Arial"/>
                <w:color w:val="auto"/>
                <w:sz w:val="20"/>
              </w:rPr>
              <w:t>Contingent liabilities recognised in a business combination</w:t>
            </w:r>
          </w:p>
          <w:p w14:paraId="2C8C3747" w14:textId="77777777" w:rsidR="00E17643" w:rsidRPr="00E70587" w:rsidRDefault="00E17643" w:rsidP="00E17643">
            <w:pPr>
              <w:pStyle w:val="Notesitalicheading"/>
              <w:spacing w:line="280" w:lineRule="exact"/>
              <w:jc w:val="both"/>
              <w:rPr>
                <w:rFonts w:ascii="Arial" w:hAnsi="Arial"/>
                <w:b w:val="0"/>
                <w:i w:val="0"/>
                <w:color w:val="auto"/>
                <w:sz w:val="20"/>
              </w:rPr>
            </w:pPr>
          </w:p>
          <w:p w14:paraId="1A316561" w14:textId="4415F0CA" w:rsidR="00E17643"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A contingent liability recognised in a business combination is initially measured at its fair value. Subsequently, it is measured at the higher of the amount that would be recognised in accordance with the requirements for provisions above or the amount initially recognised less, when appropriate, cumulative amortisation recognised in accordance with the requirements for revenue recognition.</w:t>
            </w:r>
          </w:p>
          <w:p w14:paraId="18C356B8" w14:textId="656A6191" w:rsidR="00F14852" w:rsidRDefault="00F14852" w:rsidP="00E17643">
            <w:pPr>
              <w:pStyle w:val="Notesitalicheading"/>
              <w:spacing w:line="280" w:lineRule="exact"/>
              <w:jc w:val="both"/>
              <w:rPr>
                <w:rFonts w:ascii="Arial" w:hAnsi="Arial"/>
                <w:b w:val="0"/>
                <w:i w:val="0"/>
                <w:color w:val="auto"/>
                <w:sz w:val="20"/>
              </w:rPr>
            </w:pPr>
          </w:p>
          <w:p w14:paraId="740AF1C2" w14:textId="77777777" w:rsidR="00E17643" w:rsidRPr="00E70587" w:rsidRDefault="00E17643" w:rsidP="00F14852">
            <w:pPr>
              <w:pStyle w:val="Notesitalicheading"/>
              <w:spacing w:line="280" w:lineRule="exact"/>
              <w:jc w:val="both"/>
              <w:rPr>
                <w:rFonts w:ascii="Arial" w:hAnsi="Arial"/>
                <w:b w:val="0"/>
                <w:i w:val="0"/>
                <w:color w:val="auto"/>
                <w:sz w:val="20"/>
              </w:rPr>
            </w:pPr>
          </w:p>
        </w:tc>
      </w:tr>
      <w:tr w:rsidR="00E17643" w:rsidRPr="00E70587" w14:paraId="12B4259A"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354CA2A7" w14:textId="77777777" w:rsidR="00E17643" w:rsidRPr="00E70587" w:rsidRDefault="00D01CE7" w:rsidP="00E17643">
            <w:pPr>
              <w:pStyle w:val="Heading4"/>
              <w:keepNext w:val="0"/>
              <w:numPr>
                <w:ilvl w:val="0"/>
                <w:numId w:val="4"/>
              </w:numPr>
              <w:tabs>
                <w:tab w:val="clear" w:pos="357"/>
              </w:tabs>
              <w:spacing w:before="0" w:after="0" w:line="280" w:lineRule="exact"/>
              <w:jc w:val="both"/>
              <w:rPr>
                <w:rFonts w:ascii="Arial" w:hAnsi="Arial" w:cs="Arial"/>
                <w:szCs w:val="20"/>
              </w:rPr>
            </w:pPr>
            <w:r w:rsidRPr="00E70587">
              <w:rPr>
                <w:rFonts w:ascii="Arial" w:hAnsi="Arial" w:cs="Arial"/>
                <w:szCs w:val="20"/>
              </w:rPr>
              <w:t xml:space="preserve">Retirement </w:t>
            </w:r>
            <w:r w:rsidR="00E17643" w:rsidRPr="00E70587">
              <w:rPr>
                <w:rFonts w:ascii="Arial" w:hAnsi="Arial" w:cs="Arial"/>
                <w:szCs w:val="20"/>
              </w:rPr>
              <w:t>and other employee benefits</w:t>
            </w:r>
          </w:p>
          <w:p w14:paraId="5808C31F" w14:textId="77777777" w:rsidR="00E17643" w:rsidRPr="00E70587" w:rsidRDefault="00E17643" w:rsidP="00E17643">
            <w:pPr>
              <w:pStyle w:val="Notesitalicheading"/>
              <w:spacing w:line="280" w:lineRule="exact"/>
              <w:jc w:val="both"/>
              <w:rPr>
                <w:rFonts w:ascii="Arial" w:hAnsi="Arial"/>
                <w:b w:val="0"/>
                <w:i w:val="0"/>
                <w:color w:val="auto"/>
                <w:sz w:val="20"/>
              </w:rPr>
            </w:pPr>
          </w:p>
          <w:p w14:paraId="63327006" w14:textId="77777777" w:rsidR="00E17643" w:rsidRPr="00E70587"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 xml:space="preserve">Retirement benefit in the form of provident fund is a defined contribution scheme. The group has no obligation, other than the contribution payable to the provident fund. The group recognizes contribution payable to the provident fund scheme as an expense, when an employee renders the related service. If the contribution payable to the scheme for service received before the balance sheet date exceeds the contribution already paid, the deficit payable to the scheme is recognized as a liability after deducting the contribution already paid. If the contribution already paid exceeds the contribution due for services received </w:t>
            </w:r>
            <w:r w:rsidRPr="00E70587">
              <w:rPr>
                <w:rFonts w:ascii="Arial" w:hAnsi="Arial"/>
                <w:b w:val="0"/>
                <w:i w:val="0"/>
                <w:color w:val="auto"/>
                <w:sz w:val="20"/>
              </w:rPr>
              <w:lastRenderedPageBreak/>
              <w:t>before the balance sheet date, then excess is recognized as an asset to the extent that the pre-payment will lead to, for example, a reduction in future payment or a cash refund.</w:t>
            </w:r>
          </w:p>
          <w:p w14:paraId="2100885F" w14:textId="77777777" w:rsidR="00E17643" w:rsidRPr="00E70587" w:rsidRDefault="00E17643" w:rsidP="00E17643">
            <w:pPr>
              <w:pStyle w:val="Notesitalicheading"/>
              <w:spacing w:line="280" w:lineRule="exact"/>
              <w:jc w:val="both"/>
              <w:rPr>
                <w:rFonts w:ascii="Arial" w:hAnsi="Arial"/>
                <w:b w:val="0"/>
                <w:i w:val="0"/>
                <w:color w:val="auto"/>
                <w:sz w:val="20"/>
              </w:rPr>
            </w:pPr>
          </w:p>
          <w:p w14:paraId="2C7C7775" w14:textId="77777777" w:rsidR="00E17643" w:rsidRPr="00E70587"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The Group operates a defined benefit gratuity plan in India, which requires contributions to be made to a separately administered fund. The Group also provides certain additional post employment healthcare benefits to employees in the United States. These benefits are unfunded.</w:t>
            </w:r>
          </w:p>
          <w:p w14:paraId="3DFFA044" w14:textId="77777777" w:rsidR="00E17643" w:rsidRPr="00E70587" w:rsidRDefault="00E17643" w:rsidP="00E17643">
            <w:pPr>
              <w:pStyle w:val="Notesitalicheading"/>
              <w:spacing w:line="280" w:lineRule="exact"/>
              <w:jc w:val="both"/>
              <w:rPr>
                <w:rFonts w:ascii="Arial" w:hAnsi="Arial"/>
                <w:b w:val="0"/>
                <w:i w:val="0"/>
                <w:color w:val="auto"/>
                <w:sz w:val="20"/>
              </w:rPr>
            </w:pPr>
          </w:p>
        </w:tc>
      </w:tr>
      <w:tr w:rsidR="00E17643" w:rsidRPr="00E70587" w14:paraId="2FD2FAEF"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241330B5" w14:textId="77777777" w:rsidR="00E17643" w:rsidRPr="00E70587"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lastRenderedPageBreak/>
              <w:t>The cost of providing benefits under the defined benefit plan is determined using the projected unit credit method.</w:t>
            </w:r>
          </w:p>
          <w:p w14:paraId="0F40463B" w14:textId="77777777" w:rsidR="00E17643" w:rsidRPr="00E70587" w:rsidRDefault="00E17643" w:rsidP="00E17643">
            <w:pPr>
              <w:pStyle w:val="Notesitalicheading"/>
              <w:spacing w:line="280" w:lineRule="exact"/>
              <w:jc w:val="both"/>
              <w:rPr>
                <w:rFonts w:ascii="Arial" w:hAnsi="Arial"/>
                <w:color w:val="auto"/>
                <w:sz w:val="20"/>
              </w:rPr>
            </w:pPr>
          </w:p>
        </w:tc>
      </w:tr>
      <w:tr w:rsidR="00E17643" w:rsidRPr="00E70587" w14:paraId="04D995A1"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4BF170D3" w14:textId="77777777" w:rsidR="00E17643" w:rsidRPr="00E70587"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Remeasurements, comprising of actuarial gains and losses, the effect of the asset ceiling, excluding amounts included in net interest on the net defined benefit liability and the return on plan assets (excluding amounts included in net interest on the net defined benefit liability), are recognised immediately in the balance sheet with a corresponding debit or credit to retained earnings through OCI in the period in which they occur. Remeasurements are not reclassified to profit or loss in subsequent periods.</w:t>
            </w:r>
          </w:p>
          <w:p w14:paraId="08822BDE" w14:textId="77777777" w:rsidR="00E17643" w:rsidRPr="00E70587" w:rsidRDefault="00E17643" w:rsidP="00E17643">
            <w:pPr>
              <w:pStyle w:val="Notesitalicheading"/>
              <w:spacing w:line="280" w:lineRule="exact"/>
              <w:jc w:val="both"/>
              <w:rPr>
                <w:rFonts w:ascii="Arial" w:hAnsi="Arial"/>
                <w:b w:val="0"/>
                <w:i w:val="0"/>
                <w:color w:val="auto"/>
                <w:sz w:val="20"/>
              </w:rPr>
            </w:pPr>
          </w:p>
        </w:tc>
      </w:tr>
      <w:tr w:rsidR="00E17643" w:rsidRPr="00E70587" w14:paraId="558B2380"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2A4DFAE3" w14:textId="77777777" w:rsidR="00E17643" w:rsidRPr="00E70587"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Past service costs are recognised in profit or loss on the earlier of:</w:t>
            </w:r>
          </w:p>
          <w:p w14:paraId="0C9E8F30"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 xml:space="preserve">The date of the plan amendment or curtailment, and </w:t>
            </w:r>
          </w:p>
          <w:p w14:paraId="39E7EB2C"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b/>
                <w:i/>
                <w:color w:val="auto"/>
                <w:sz w:val="20"/>
              </w:rPr>
            </w:pPr>
            <w:r w:rsidRPr="00E70587">
              <w:rPr>
                <w:rFonts w:ascii="Arial" w:hAnsi="Arial"/>
                <w:color w:val="auto"/>
                <w:sz w:val="20"/>
              </w:rPr>
              <w:t>The date that the Group recognises related restructuring costs.</w:t>
            </w:r>
          </w:p>
          <w:p w14:paraId="1135BC72" w14:textId="77777777" w:rsidR="00E17643" w:rsidRPr="00E70587" w:rsidRDefault="00E17643" w:rsidP="00E17643">
            <w:pPr>
              <w:pStyle w:val="Notesbodytext"/>
              <w:spacing w:after="0" w:line="280" w:lineRule="exact"/>
              <w:jc w:val="both"/>
              <w:rPr>
                <w:rFonts w:ascii="Arial" w:hAnsi="Arial"/>
                <w:color w:val="auto"/>
                <w:sz w:val="20"/>
              </w:rPr>
            </w:pPr>
          </w:p>
        </w:tc>
      </w:tr>
      <w:tr w:rsidR="00E17643" w:rsidRPr="00E70587" w14:paraId="6F52B2D6"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55DDC748" w14:textId="77777777" w:rsidR="00E17643" w:rsidRPr="00E70587"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Net interest is calculated by applying the discount rate to the net defined benefit liability or asset. The Group recognises the following changes in the net defined benefit obligation as an expense in the consolidated statement of profit and loss:</w:t>
            </w:r>
          </w:p>
          <w:p w14:paraId="3832F092"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color w:val="auto"/>
                <w:sz w:val="20"/>
              </w:rPr>
            </w:pPr>
            <w:r w:rsidRPr="00E70587">
              <w:rPr>
                <w:rFonts w:ascii="Arial" w:hAnsi="Arial"/>
                <w:color w:val="auto"/>
                <w:sz w:val="20"/>
              </w:rPr>
              <w:t xml:space="preserve">Service costs comprising current service costs, past-service costs, gains and losses on curtailments and non-routine settlements; and </w:t>
            </w:r>
          </w:p>
          <w:p w14:paraId="1543DB98" w14:textId="77777777" w:rsidR="00E17643" w:rsidRPr="00E70587" w:rsidRDefault="00E17643" w:rsidP="00E17643">
            <w:pPr>
              <w:pStyle w:val="Notesbodytext"/>
              <w:numPr>
                <w:ilvl w:val="0"/>
                <w:numId w:val="13"/>
              </w:numPr>
              <w:spacing w:before="120" w:after="0" w:line="280" w:lineRule="exact"/>
              <w:ind w:left="720" w:hanging="720"/>
              <w:jc w:val="both"/>
              <w:rPr>
                <w:rFonts w:ascii="Arial" w:hAnsi="Arial"/>
                <w:b/>
                <w:i/>
                <w:color w:val="auto"/>
                <w:sz w:val="20"/>
              </w:rPr>
            </w:pPr>
            <w:r w:rsidRPr="00E70587">
              <w:rPr>
                <w:rFonts w:ascii="Arial" w:hAnsi="Arial"/>
                <w:color w:val="auto"/>
                <w:sz w:val="20"/>
              </w:rPr>
              <w:t>Net interest expense or income</w:t>
            </w:r>
          </w:p>
          <w:p w14:paraId="674C25CA" w14:textId="77777777" w:rsidR="00E17643" w:rsidRPr="00E70587" w:rsidRDefault="00E17643" w:rsidP="00E17643">
            <w:pPr>
              <w:pStyle w:val="Notesbodytext"/>
              <w:spacing w:before="120" w:after="0" w:line="280" w:lineRule="exact"/>
              <w:jc w:val="both"/>
              <w:rPr>
                <w:rFonts w:ascii="Arial" w:hAnsi="Arial"/>
                <w:color w:val="auto"/>
                <w:sz w:val="20"/>
              </w:rPr>
            </w:pPr>
          </w:p>
        </w:tc>
      </w:tr>
      <w:tr w:rsidR="00E17643" w:rsidRPr="00E70587" w14:paraId="3705D44B"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52A3B0A1" w14:textId="7263FC95" w:rsidR="00E17643" w:rsidRPr="00E70587"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 xml:space="preserve">Accumulated leave, which is expected to be utilized within the next 12 months, is treated as short-term employee benefit. The group measures the expected cost of such absences as the additional amount that it expects to pay as a result of the unused entitlement that has accumulated at the reporting date. The group recognizes expected cost of </w:t>
            </w:r>
            <w:r w:rsidR="003213EB" w:rsidRPr="00E70587">
              <w:rPr>
                <w:rFonts w:ascii="Arial" w:hAnsi="Arial"/>
                <w:b w:val="0"/>
                <w:i w:val="0"/>
                <w:color w:val="auto"/>
                <w:sz w:val="20"/>
              </w:rPr>
              <w:t>short-term</w:t>
            </w:r>
            <w:r w:rsidRPr="00E70587">
              <w:rPr>
                <w:rFonts w:ascii="Arial" w:hAnsi="Arial"/>
                <w:b w:val="0"/>
                <w:i w:val="0"/>
                <w:color w:val="auto"/>
                <w:sz w:val="20"/>
              </w:rPr>
              <w:t xml:space="preserve"> employee benefit as an expense, when an employee renders the related service</w:t>
            </w:r>
          </w:p>
          <w:p w14:paraId="6CBBF81D" w14:textId="77777777" w:rsidR="00E17643" w:rsidRPr="00E70587" w:rsidRDefault="00E17643" w:rsidP="00E17643">
            <w:pPr>
              <w:pStyle w:val="Notesitalicheading"/>
              <w:spacing w:line="280" w:lineRule="exact"/>
              <w:jc w:val="both"/>
              <w:rPr>
                <w:rFonts w:ascii="Arial" w:hAnsi="Arial"/>
                <w:b w:val="0"/>
                <w:i w:val="0"/>
                <w:color w:val="auto"/>
                <w:sz w:val="20"/>
              </w:rPr>
            </w:pPr>
          </w:p>
          <w:p w14:paraId="022A5265" w14:textId="77777777" w:rsidR="00E17643" w:rsidRPr="00E70587"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 xml:space="preserve">The group treats accumulated leave expected to be carried forward beyond twelve months, as long-term employee benefit for measurement purposes. Such long-term compensated absences are provided for based on the actuarial valuation using the projected unit credit method at the year-end. Actuarial gains/losses are immediately taken to the statement of profit and loss and are not deferred. </w:t>
            </w:r>
          </w:p>
          <w:p w14:paraId="2CA7A8DC" w14:textId="77777777" w:rsidR="00E17643" w:rsidRPr="00E70587" w:rsidRDefault="00E17643" w:rsidP="00E17643">
            <w:pPr>
              <w:pStyle w:val="Notesitalicheading"/>
              <w:spacing w:line="280" w:lineRule="exact"/>
              <w:jc w:val="both"/>
              <w:rPr>
                <w:rFonts w:ascii="Arial" w:hAnsi="Arial"/>
                <w:b w:val="0"/>
                <w:i w:val="0"/>
                <w:color w:val="auto"/>
                <w:sz w:val="20"/>
              </w:rPr>
            </w:pPr>
          </w:p>
        </w:tc>
      </w:tr>
      <w:tr w:rsidR="00E17643" w:rsidRPr="00E70587" w14:paraId="5B3B5E88"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75AE1FF4" w14:textId="77777777" w:rsidR="00E17643" w:rsidRPr="00E70587" w:rsidRDefault="00E17643" w:rsidP="00E17643">
            <w:pPr>
              <w:pStyle w:val="Notesitalicheading"/>
              <w:shd w:val="clear" w:color="auto" w:fill="C1C1C1" w:themeFill="background1" w:themeFillTint="66"/>
              <w:spacing w:line="280" w:lineRule="exact"/>
              <w:jc w:val="both"/>
              <w:rPr>
                <w:rFonts w:ascii="Arial" w:hAnsi="Arial"/>
                <w:i w:val="0"/>
                <w:color w:val="auto"/>
                <w:sz w:val="20"/>
              </w:rPr>
            </w:pPr>
            <w:r w:rsidRPr="00E70587">
              <w:rPr>
                <w:rFonts w:ascii="Arial" w:hAnsi="Arial"/>
                <w:i w:val="0"/>
                <w:color w:val="auto"/>
                <w:sz w:val="20"/>
              </w:rPr>
              <w:t>Authors’ note</w:t>
            </w:r>
          </w:p>
          <w:p w14:paraId="340CC442" w14:textId="77777777" w:rsidR="00E17643" w:rsidRPr="00E70587" w:rsidRDefault="00E17643" w:rsidP="00E17643">
            <w:pPr>
              <w:pStyle w:val="Notesitalicheading"/>
              <w:shd w:val="clear" w:color="auto" w:fill="C1C1C1" w:themeFill="background1" w:themeFillTint="66"/>
              <w:spacing w:line="280" w:lineRule="exact"/>
              <w:jc w:val="both"/>
              <w:rPr>
                <w:rFonts w:ascii="Arial" w:hAnsi="Arial"/>
                <w:b w:val="0"/>
                <w:i w:val="0"/>
                <w:color w:val="auto"/>
                <w:sz w:val="20"/>
              </w:rPr>
            </w:pPr>
          </w:p>
          <w:p w14:paraId="59423014" w14:textId="00DDCD74" w:rsidR="00E17643" w:rsidRPr="00E70587" w:rsidRDefault="00E17643" w:rsidP="00E17643">
            <w:pPr>
              <w:pStyle w:val="Notesitalicheading"/>
              <w:shd w:val="clear" w:color="auto" w:fill="C1C1C1" w:themeFill="background1" w:themeFillTint="66"/>
              <w:spacing w:line="280" w:lineRule="exact"/>
              <w:jc w:val="both"/>
              <w:rPr>
                <w:rFonts w:ascii="Arial" w:hAnsi="Arial"/>
                <w:color w:val="auto"/>
                <w:sz w:val="20"/>
              </w:rPr>
            </w:pPr>
            <w:r w:rsidRPr="00E70587">
              <w:rPr>
                <w:rFonts w:ascii="Arial" w:hAnsi="Arial"/>
                <w:b w:val="0"/>
                <w:i w:val="0"/>
                <w:color w:val="auto"/>
                <w:sz w:val="20"/>
              </w:rPr>
              <w:t>Entities are required to state their policy for termination benefits, employee benefit reimbursements and benefit risk sharing. Since these are not applicable to the Group, the disclosures related to such benefits have not been made. Entities need to assess the nature of their employee benefits and make the relevant disclosures.</w:t>
            </w:r>
          </w:p>
        </w:tc>
      </w:tr>
      <w:tr w:rsidR="00657499" w:rsidRPr="00E70587" w14:paraId="0BE78498"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0E2065A1" w14:textId="77777777" w:rsidR="00657499" w:rsidRPr="00E70587" w:rsidRDefault="00657499" w:rsidP="00E17643">
            <w:pPr>
              <w:pStyle w:val="Notesitalicheading"/>
              <w:shd w:val="clear" w:color="auto" w:fill="C1C1C1" w:themeFill="background1" w:themeFillTint="66"/>
              <w:spacing w:line="280" w:lineRule="exact"/>
              <w:jc w:val="both"/>
              <w:rPr>
                <w:rFonts w:ascii="Arial" w:hAnsi="Arial"/>
                <w:i w:val="0"/>
                <w:color w:val="auto"/>
                <w:sz w:val="20"/>
              </w:rPr>
            </w:pPr>
          </w:p>
        </w:tc>
      </w:tr>
      <w:tr w:rsidR="00E17643" w:rsidRPr="00E70587" w14:paraId="4A8741BE"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0FA67D7F" w14:textId="77777777" w:rsidR="00E17643" w:rsidRPr="00E70587" w:rsidRDefault="00E17643" w:rsidP="00E17643">
            <w:pPr>
              <w:pStyle w:val="Heading4"/>
              <w:keepNext w:val="0"/>
              <w:numPr>
                <w:ilvl w:val="0"/>
                <w:numId w:val="4"/>
              </w:numPr>
              <w:tabs>
                <w:tab w:val="clear" w:pos="357"/>
              </w:tabs>
              <w:spacing w:before="0" w:after="0" w:line="280" w:lineRule="exact"/>
              <w:jc w:val="both"/>
              <w:rPr>
                <w:rFonts w:ascii="Arial" w:hAnsi="Arial" w:cs="Arial"/>
                <w:szCs w:val="20"/>
              </w:rPr>
            </w:pPr>
            <w:r w:rsidRPr="00E70587">
              <w:rPr>
                <w:rFonts w:ascii="Arial" w:hAnsi="Arial" w:cs="Arial"/>
                <w:szCs w:val="20"/>
              </w:rPr>
              <w:br w:type="page"/>
              <w:t>Share-based payments</w:t>
            </w:r>
          </w:p>
          <w:p w14:paraId="01292ECF" w14:textId="77777777" w:rsidR="00E17643" w:rsidRPr="00E70587" w:rsidRDefault="00E17643" w:rsidP="00E17643">
            <w:pPr>
              <w:pStyle w:val="Notesitalicheading"/>
              <w:spacing w:line="280" w:lineRule="exact"/>
              <w:jc w:val="both"/>
              <w:rPr>
                <w:rFonts w:ascii="Arial" w:hAnsi="Arial"/>
                <w:b w:val="0"/>
                <w:i w:val="0"/>
                <w:color w:val="auto"/>
                <w:sz w:val="20"/>
              </w:rPr>
            </w:pPr>
          </w:p>
          <w:p w14:paraId="23F55B1F" w14:textId="77777777" w:rsidR="00E17643" w:rsidRPr="00E70587"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 xml:space="preserve">Employees (including senior executives) of the Group receive remuneration in the form of share-based payments, whereby employees render services as consideration for equity instruments (equity-settled </w:t>
            </w:r>
            <w:r w:rsidRPr="00E70587">
              <w:rPr>
                <w:rFonts w:ascii="Arial" w:hAnsi="Arial"/>
                <w:b w:val="0"/>
                <w:i w:val="0"/>
                <w:color w:val="auto"/>
                <w:sz w:val="20"/>
              </w:rPr>
              <w:lastRenderedPageBreak/>
              <w:t>transactions). Employees working in the business development group are granted share appreciation rights, which are settled in cash (cash-settled transactions).</w:t>
            </w:r>
          </w:p>
          <w:p w14:paraId="16B57647" w14:textId="77777777" w:rsidR="00E17643" w:rsidRPr="00E70587" w:rsidRDefault="00E17643" w:rsidP="00E17643">
            <w:pPr>
              <w:pStyle w:val="Notesitalicheading"/>
              <w:spacing w:line="280" w:lineRule="exact"/>
              <w:jc w:val="both"/>
              <w:rPr>
                <w:rFonts w:ascii="Arial" w:hAnsi="Arial"/>
                <w:b w:val="0"/>
                <w:i w:val="0"/>
                <w:color w:val="auto"/>
                <w:sz w:val="20"/>
              </w:rPr>
            </w:pPr>
          </w:p>
        </w:tc>
      </w:tr>
      <w:tr w:rsidR="00E17643" w:rsidRPr="00E70587" w14:paraId="39B87DDB"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41F20435" w14:textId="77777777" w:rsidR="00E17643" w:rsidRPr="00E70587" w:rsidRDefault="00E17643" w:rsidP="00E17643">
            <w:pPr>
              <w:pStyle w:val="Notesitalicheading"/>
              <w:spacing w:line="280" w:lineRule="exact"/>
              <w:jc w:val="both"/>
              <w:rPr>
                <w:rFonts w:ascii="Arial" w:hAnsi="Arial"/>
                <w:color w:val="auto"/>
                <w:sz w:val="20"/>
              </w:rPr>
            </w:pPr>
            <w:r w:rsidRPr="00E70587">
              <w:rPr>
                <w:rFonts w:ascii="Arial" w:hAnsi="Arial"/>
                <w:color w:val="auto"/>
                <w:sz w:val="20"/>
              </w:rPr>
              <w:lastRenderedPageBreak/>
              <w:t>Equity-settled transactions</w:t>
            </w:r>
          </w:p>
          <w:p w14:paraId="7C982FE1" w14:textId="77777777" w:rsidR="00E17643" w:rsidRPr="00E70587" w:rsidRDefault="00E17643" w:rsidP="00E17643">
            <w:pPr>
              <w:pStyle w:val="Notesitalicheading"/>
              <w:spacing w:line="280" w:lineRule="exact"/>
              <w:jc w:val="both"/>
              <w:rPr>
                <w:rFonts w:ascii="Arial" w:hAnsi="Arial"/>
                <w:b w:val="0"/>
                <w:i w:val="0"/>
                <w:color w:val="auto"/>
                <w:sz w:val="20"/>
              </w:rPr>
            </w:pPr>
          </w:p>
          <w:p w14:paraId="7571C7A4" w14:textId="77777777" w:rsidR="00E17643" w:rsidRPr="00E70587"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The cost of equity-settled transactions is determined by the fair value at the date when the grant is made using an appropriate valuation model.</w:t>
            </w:r>
          </w:p>
          <w:p w14:paraId="2904D6FD" w14:textId="77777777" w:rsidR="00E17643" w:rsidRPr="00E70587" w:rsidRDefault="00E17643" w:rsidP="00E17643">
            <w:pPr>
              <w:pStyle w:val="Notesitalicheading"/>
              <w:spacing w:line="280" w:lineRule="exact"/>
              <w:jc w:val="both"/>
              <w:rPr>
                <w:rFonts w:ascii="Arial" w:hAnsi="Arial"/>
                <w:b w:val="0"/>
                <w:i w:val="0"/>
                <w:color w:val="auto"/>
                <w:sz w:val="20"/>
              </w:rPr>
            </w:pPr>
          </w:p>
        </w:tc>
      </w:tr>
      <w:tr w:rsidR="00E17643" w:rsidRPr="00E70587" w14:paraId="7675E682"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75C0FB25" w14:textId="77777777" w:rsidR="00E17643" w:rsidRPr="00E70587"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That cost is recognised, together with a corresponding increase in share-based payment (SBP) reserves in equity, over the period in which the performance and/or service conditions are fulfilled in employee benefits expense. The cumulative expense recognised for equity-settled transactions at each reporting date until the vesting date reflects the extent to which the vesting period has expired and the Group’s best estimate of the number of equity instruments that will ultimately vest. The statement of profit and loss expense or credit for a period represents the movement in cumulative expense recognised as at the beginning and end of that period and is recognised in employee benefits expense.</w:t>
            </w:r>
          </w:p>
          <w:p w14:paraId="076FAA50" w14:textId="77777777" w:rsidR="00E17643" w:rsidRPr="00E70587" w:rsidRDefault="00E17643" w:rsidP="00E17643">
            <w:pPr>
              <w:pStyle w:val="Notesitalicheading"/>
              <w:spacing w:line="280" w:lineRule="exact"/>
              <w:jc w:val="both"/>
              <w:rPr>
                <w:rFonts w:ascii="Arial" w:hAnsi="Arial"/>
                <w:b w:val="0"/>
                <w:i w:val="0"/>
                <w:color w:val="auto"/>
                <w:sz w:val="20"/>
              </w:rPr>
            </w:pPr>
          </w:p>
          <w:p w14:paraId="61E579E1" w14:textId="77777777" w:rsidR="00E17643" w:rsidRPr="00E70587"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Service and non-market performance conditions are not taken into account when determining the grant date fair value of awards, but the likelihood of the conditions being met is assessed as part of the Group’s best estimate of the number of equity instruments that will ultimately vest. Market performance conditions are reflected within the grant date fair value. Any other conditions attached to an award, but without an associated service requirement, are considered to be non-vesting conditions. Non-vesting conditions are reflected in the fair value of an award and lead to an immediate expensing of an award unless there are also service and/or performance conditions.</w:t>
            </w:r>
          </w:p>
          <w:p w14:paraId="3B819D22" w14:textId="77777777" w:rsidR="00E17643" w:rsidRPr="00E70587" w:rsidRDefault="00E17643" w:rsidP="00E17643">
            <w:pPr>
              <w:pStyle w:val="Notesitalicheading"/>
              <w:spacing w:line="280" w:lineRule="exact"/>
              <w:jc w:val="both"/>
              <w:rPr>
                <w:rFonts w:ascii="Arial" w:hAnsi="Arial"/>
                <w:b w:val="0"/>
                <w:color w:val="auto"/>
                <w:sz w:val="20"/>
              </w:rPr>
            </w:pPr>
          </w:p>
        </w:tc>
      </w:tr>
      <w:tr w:rsidR="00E17643" w:rsidRPr="00E70587" w14:paraId="19DBB356"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2418FC2B" w14:textId="77777777" w:rsidR="00E17643" w:rsidRPr="00E70587"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No expense is recognised for awards that do not ultimately vest because non-market performance and/or service conditions have not been met. Where awards include a market or non-vesting condition, the transactions are treated as vested irrespective of whether the market or non-vesting condition is satisfied, provided that all other performance and/or service conditions are satisfied.</w:t>
            </w:r>
          </w:p>
          <w:p w14:paraId="6D8EC9AC" w14:textId="77777777" w:rsidR="00E17643" w:rsidRPr="00E70587" w:rsidRDefault="00E17643" w:rsidP="00E17643">
            <w:pPr>
              <w:pStyle w:val="Notesitalicheading"/>
              <w:spacing w:line="280" w:lineRule="exact"/>
              <w:jc w:val="both"/>
              <w:rPr>
                <w:rFonts w:ascii="Arial" w:hAnsi="Arial"/>
                <w:b w:val="0"/>
                <w:i w:val="0"/>
                <w:color w:val="auto"/>
                <w:sz w:val="20"/>
              </w:rPr>
            </w:pPr>
          </w:p>
        </w:tc>
      </w:tr>
      <w:tr w:rsidR="00E17643" w:rsidRPr="00E70587" w14:paraId="5D54B7EB"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1C7BBACB" w14:textId="77777777" w:rsidR="00E17643" w:rsidRPr="00E70587"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When the terms of an equity-settled award are modified, the minimum expense recognised is the expense had the terms had not been modified, if the original terms of the award are met. An additional expense is recognised for any modification that increases the total fair value of the share-based payment transaction, or is otherwise beneficial to the employee as measured at the date of modification. Where an award is cancelled by the entity or by the counterparty, any remaining element of the fair value of the award is expensed immediately through profit or loss.</w:t>
            </w:r>
          </w:p>
          <w:p w14:paraId="51B9BB56" w14:textId="77777777" w:rsidR="00E17643" w:rsidRPr="00E70587" w:rsidRDefault="00E17643" w:rsidP="00E17643">
            <w:pPr>
              <w:pStyle w:val="Notesitalicheading"/>
              <w:spacing w:line="280" w:lineRule="exact"/>
              <w:jc w:val="both"/>
              <w:rPr>
                <w:rFonts w:ascii="Arial" w:hAnsi="Arial"/>
                <w:b w:val="0"/>
                <w:i w:val="0"/>
                <w:color w:val="auto"/>
                <w:sz w:val="20"/>
              </w:rPr>
            </w:pPr>
          </w:p>
        </w:tc>
      </w:tr>
      <w:tr w:rsidR="00E17643" w:rsidRPr="00E70587" w14:paraId="29AD800D"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16209EDF" w14:textId="77777777" w:rsidR="00E17643" w:rsidRPr="00E70587"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The dilutive effect of outstanding options is reflected as additional share dilution in the computation of diluted earnings per share.</w:t>
            </w:r>
          </w:p>
          <w:p w14:paraId="7C7B8515" w14:textId="77777777" w:rsidR="00E17643" w:rsidRPr="00E70587" w:rsidRDefault="00E17643" w:rsidP="00E17643">
            <w:pPr>
              <w:pStyle w:val="Notesitalicheading"/>
              <w:spacing w:line="280" w:lineRule="exact"/>
              <w:jc w:val="both"/>
              <w:rPr>
                <w:rFonts w:ascii="Arial" w:hAnsi="Arial"/>
                <w:b w:val="0"/>
                <w:i w:val="0"/>
                <w:color w:val="auto"/>
                <w:sz w:val="20"/>
              </w:rPr>
            </w:pPr>
          </w:p>
        </w:tc>
      </w:tr>
      <w:tr w:rsidR="00E17643" w:rsidRPr="00E70587" w14:paraId="086F40C3"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00162B4C" w14:textId="77777777" w:rsidR="00E17643" w:rsidRPr="00E70587" w:rsidRDefault="00E17643" w:rsidP="00E17643">
            <w:pPr>
              <w:pStyle w:val="Notesitalicheading"/>
              <w:spacing w:line="280" w:lineRule="exact"/>
              <w:jc w:val="both"/>
              <w:rPr>
                <w:rFonts w:ascii="Arial" w:hAnsi="Arial"/>
                <w:color w:val="auto"/>
                <w:sz w:val="20"/>
              </w:rPr>
            </w:pPr>
            <w:r w:rsidRPr="00E70587">
              <w:rPr>
                <w:rFonts w:ascii="Arial" w:hAnsi="Arial"/>
                <w:color w:val="auto"/>
                <w:sz w:val="20"/>
              </w:rPr>
              <w:t>Cash-settled transactions</w:t>
            </w:r>
          </w:p>
          <w:p w14:paraId="6D87BB67" w14:textId="77777777" w:rsidR="00E17643" w:rsidRPr="00E70587" w:rsidRDefault="00E17643" w:rsidP="00E17643">
            <w:pPr>
              <w:pStyle w:val="Notesitalicheading"/>
              <w:spacing w:line="280" w:lineRule="exact"/>
              <w:jc w:val="both"/>
              <w:rPr>
                <w:rFonts w:ascii="Arial" w:hAnsi="Arial"/>
                <w:b w:val="0"/>
                <w:i w:val="0"/>
                <w:color w:val="auto"/>
                <w:sz w:val="20"/>
              </w:rPr>
            </w:pPr>
          </w:p>
          <w:p w14:paraId="0B2D527D" w14:textId="77777777" w:rsidR="00E17643" w:rsidRPr="00E70587" w:rsidRDefault="00E17643" w:rsidP="00E17643">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The cost of cash-settled transactions is measured initially at fair value at the grant date using a binomial model, further details of which are given in Note 41. This fair value is expensed over the period until the vesting date with recognition of a corresponding liability. The liability is remeasured to fair value at each reporting date up to, and including the settlement date, with changes in fair value recognised in employee benefits expense.</w:t>
            </w:r>
          </w:p>
          <w:p w14:paraId="64C22E18" w14:textId="77777777" w:rsidR="00E17643" w:rsidRPr="00E70587" w:rsidRDefault="00E17643" w:rsidP="00E17643">
            <w:pPr>
              <w:pStyle w:val="Notesitalicheading"/>
              <w:spacing w:line="280" w:lineRule="exact"/>
              <w:jc w:val="both"/>
              <w:rPr>
                <w:rFonts w:ascii="Arial" w:hAnsi="Arial"/>
                <w:i w:val="0"/>
                <w:color w:val="auto"/>
                <w:sz w:val="20"/>
              </w:rPr>
            </w:pPr>
          </w:p>
        </w:tc>
      </w:tr>
      <w:tr w:rsidR="00E17643" w:rsidRPr="00E70587" w14:paraId="0745F02D"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2F143DDA" w14:textId="77777777" w:rsidR="00E17643" w:rsidRPr="00E70587" w:rsidRDefault="00E17643" w:rsidP="00E17643">
            <w:pPr>
              <w:pStyle w:val="Heading4"/>
              <w:keepNext w:val="0"/>
              <w:numPr>
                <w:ilvl w:val="0"/>
                <w:numId w:val="4"/>
              </w:numPr>
              <w:tabs>
                <w:tab w:val="clear" w:pos="357"/>
              </w:tabs>
              <w:spacing w:before="0" w:after="0" w:line="280" w:lineRule="exact"/>
              <w:jc w:val="both"/>
              <w:rPr>
                <w:rFonts w:ascii="Arial" w:hAnsi="Arial" w:cs="Arial"/>
                <w:szCs w:val="20"/>
              </w:rPr>
            </w:pPr>
            <w:r w:rsidRPr="00E70587">
              <w:rPr>
                <w:rFonts w:ascii="Arial" w:hAnsi="Arial" w:cs="Arial"/>
                <w:szCs w:val="20"/>
              </w:rPr>
              <w:t>Financial instruments</w:t>
            </w:r>
          </w:p>
          <w:p w14:paraId="369592D6" w14:textId="77777777" w:rsidR="00E17643" w:rsidRPr="00E70587" w:rsidRDefault="00E17643" w:rsidP="00E17643">
            <w:pPr>
              <w:spacing w:line="280" w:lineRule="exact"/>
              <w:jc w:val="both"/>
              <w:rPr>
                <w:rFonts w:ascii="Arial" w:hAnsi="Arial" w:cs="Arial"/>
                <w:bCs/>
                <w:iCs/>
                <w:sz w:val="20"/>
              </w:rPr>
            </w:pPr>
          </w:p>
          <w:p w14:paraId="232EEFE4" w14:textId="77777777"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t>A financial instrument is any contract that gives rise to a financial asset of one entity and a financial liability or equity instrument of another entity.</w:t>
            </w:r>
          </w:p>
          <w:p w14:paraId="5AB5B0A1" w14:textId="77777777" w:rsidR="00E17643" w:rsidRPr="00E70587" w:rsidRDefault="00E17643" w:rsidP="00E17643">
            <w:pPr>
              <w:spacing w:line="280" w:lineRule="exact"/>
              <w:jc w:val="both"/>
              <w:rPr>
                <w:rFonts w:ascii="Arial" w:hAnsi="Arial" w:cs="Arial"/>
                <w:sz w:val="20"/>
              </w:rPr>
            </w:pPr>
          </w:p>
        </w:tc>
      </w:tr>
      <w:tr w:rsidR="00E17643" w:rsidRPr="00E70587" w14:paraId="02C3024D"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211BA01A" w14:textId="77777777" w:rsidR="00E17643" w:rsidRPr="00E70587" w:rsidRDefault="00E17643" w:rsidP="00E17643">
            <w:pPr>
              <w:spacing w:line="280" w:lineRule="exact"/>
              <w:jc w:val="both"/>
              <w:rPr>
                <w:rFonts w:ascii="Arial" w:hAnsi="Arial" w:cs="Arial"/>
                <w:b/>
                <w:bCs/>
                <w:i/>
                <w:iCs/>
                <w:sz w:val="20"/>
              </w:rPr>
            </w:pPr>
            <w:r w:rsidRPr="00E70587">
              <w:rPr>
                <w:rFonts w:ascii="Arial" w:hAnsi="Arial" w:cs="Arial"/>
                <w:b/>
                <w:bCs/>
                <w:i/>
                <w:iCs/>
                <w:sz w:val="20"/>
              </w:rPr>
              <w:lastRenderedPageBreak/>
              <w:t>Financial assets</w:t>
            </w:r>
          </w:p>
          <w:p w14:paraId="3BD9D04D" w14:textId="77777777" w:rsidR="00E17643" w:rsidRPr="00E70587" w:rsidRDefault="00E17643" w:rsidP="00E17643">
            <w:pPr>
              <w:spacing w:line="280" w:lineRule="exact"/>
              <w:jc w:val="both"/>
              <w:rPr>
                <w:rFonts w:ascii="Arial" w:hAnsi="Arial" w:cs="Arial"/>
                <w:bCs/>
                <w:iCs/>
                <w:sz w:val="20"/>
              </w:rPr>
            </w:pPr>
          </w:p>
          <w:p w14:paraId="2E18DF0F" w14:textId="77777777" w:rsidR="00E17643" w:rsidRPr="00E70587" w:rsidRDefault="00E17643" w:rsidP="00E17643">
            <w:pPr>
              <w:spacing w:line="280" w:lineRule="exact"/>
              <w:jc w:val="both"/>
              <w:rPr>
                <w:rFonts w:ascii="Arial" w:hAnsi="Arial" w:cs="Arial"/>
                <w:bCs/>
                <w:i/>
                <w:iCs/>
                <w:sz w:val="20"/>
              </w:rPr>
            </w:pPr>
            <w:r w:rsidRPr="00E70587">
              <w:rPr>
                <w:rFonts w:ascii="Arial" w:hAnsi="Arial" w:cs="Arial"/>
                <w:bCs/>
                <w:i/>
                <w:iCs/>
                <w:sz w:val="20"/>
              </w:rPr>
              <w:t>Initial recognition and measurement</w:t>
            </w:r>
          </w:p>
          <w:p w14:paraId="0B320810" w14:textId="77777777" w:rsidR="00E17643" w:rsidRPr="00E70587" w:rsidRDefault="00E17643" w:rsidP="00E17643">
            <w:pPr>
              <w:spacing w:line="280" w:lineRule="exact"/>
              <w:jc w:val="both"/>
              <w:rPr>
                <w:rFonts w:ascii="Arial" w:hAnsi="Arial" w:cs="Arial"/>
                <w:bCs/>
                <w:iCs/>
                <w:sz w:val="20"/>
              </w:rPr>
            </w:pPr>
          </w:p>
          <w:p w14:paraId="540BAF04" w14:textId="581F8F37" w:rsidR="00CB41C7" w:rsidRDefault="00CB41C7" w:rsidP="00CB41C7">
            <w:pPr>
              <w:spacing w:line="280" w:lineRule="exact"/>
              <w:jc w:val="both"/>
              <w:rPr>
                <w:rFonts w:ascii="Arial" w:hAnsi="Arial" w:cs="Arial"/>
                <w:bCs/>
                <w:iCs/>
                <w:sz w:val="20"/>
              </w:rPr>
            </w:pPr>
            <w:r w:rsidRPr="00CB41C7">
              <w:rPr>
                <w:rFonts w:ascii="Arial" w:hAnsi="Arial" w:cs="Arial"/>
                <w:bCs/>
                <w:iCs/>
                <w:sz w:val="20"/>
              </w:rPr>
              <w:t xml:space="preserve">Financial assets are classified, at initial recognition, as subsequently measured at amortised cost, fair value through other comprehensive income (OCI), and fair value through profit </w:t>
            </w:r>
            <w:r w:rsidR="009A629E">
              <w:rPr>
                <w:rFonts w:ascii="Arial" w:hAnsi="Arial" w:cs="Arial"/>
                <w:bCs/>
                <w:iCs/>
                <w:sz w:val="20"/>
              </w:rPr>
              <w:t>or</w:t>
            </w:r>
            <w:r w:rsidRPr="00CB41C7">
              <w:rPr>
                <w:rFonts w:ascii="Arial" w:hAnsi="Arial" w:cs="Arial"/>
                <w:bCs/>
                <w:iCs/>
                <w:sz w:val="20"/>
              </w:rPr>
              <w:t xml:space="preserve"> loss.  </w:t>
            </w:r>
          </w:p>
          <w:p w14:paraId="75137E07" w14:textId="77777777" w:rsidR="00CB41C7" w:rsidRPr="00CB41C7" w:rsidRDefault="00CB41C7" w:rsidP="00CB41C7">
            <w:pPr>
              <w:spacing w:line="280" w:lineRule="exact"/>
              <w:jc w:val="both"/>
              <w:rPr>
                <w:rFonts w:ascii="Arial" w:hAnsi="Arial" w:cs="Arial"/>
                <w:bCs/>
                <w:iCs/>
                <w:sz w:val="20"/>
              </w:rPr>
            </w:pPr>
          </w:p>
          <w:p w14:paraId="5F45FECC" w14:textId="42FB8785" w:rsidR="00CB41C7" w:rsidRDefault="00CB41C7" w:rsidP="00CB41C7">
            <w:pPr>
              <w:spacing w:line="280" w:lineRule="exact"/>
              <w:jc w:val="both"/>
              <w:rPr>
                <w:rFonts w:ascii="Arial" w:hAnsi="Arial" w:cs="Arial"/>
                <w:bCs/>
                <w:iCs/>
                <w:sz w:val="20"/>
              </w:rPr>
            </w:pPr>
            <w:r w:rsidRPr="00CB41C7">
              <w:rPr>
                <w:rFonts w:ascii="Arial" w:hAnsi="Arial" w:cs="Arial"/>
                <w:bCs/>
                <w:iCs/>
                <w:sz w:val="20"/>
              </w:rPr>
              <w:t xml:space="preserve">The classification of financial assets at initial recognition depends on the financial asset’s contractual cash flow characteristics and the Group’s business model for managing them. With the exception of trade receivables that do not contain a significant financing component or for which the Group has applied the practical expedient, the Group initially measures a financial asset at its fair value plus, in the case of a financial asset not at fair value through profit </w:t>
            </w:r>
            <w:r w:rsidR="009A629E">
              <w:rPr>
                <w:rFonts w:ascii="Arial" w:hAnsi="Arial" w:cs="Arial"/>
                <w:bCs/>
                <w:iCs/>
                <w:sz w:val="20"/>
              </w:rPr>
              <w:t>or</w:t>
            </w:r>
            <w:r w:rsidRPr="00CB41C7">
              <w:rPr>
                <w:rFonts w:ascii="Arial" w:hAnsi="Arial" w:cs="Arial"/>
                <w:bCs/>
                <w:iCs/>
                <w:sz w:val="20"/>
              </w:rPr>
              <w:t xml:space="preserve"> loss, transaction costs. Trade receivables that do not contain a significant financing component or for which the Group has applied the practical expedient are measured at the transaction price determined under Ind AS 115. Refer to the accounting policies in section (f) Revenue from contracts with customers. </w:t>
            </w:r>
          </w:p>
          <w:p w14:paraId="07D6B9CC" w14:textId="77777777" w:rsidR="00CB41C7" w:rsidRPr="00CB41C7" w:rsidRDefault="00CB41C7" w:rsidP="00CB41C7">
            <w:pPr>
              <w:spacing w:line="280" w:lineRule="exact"/>
              <w:jc w:val="both"/>
              <w:rPr>
                <w:rFonts w:ascii="Arial" w:hAnsi="Arial" w:cs="Arial"/>
                <w:bCs/>
                <w:iCs/>
                <w:sz w:val="20"/>
              </w:rPr>
            </w:pPr>
          </w:p>
          <w:p w14:paraId="1B4CC9DA" w14:textId="77777777" w:rsidR="00CB41C7" w:rsidRDefault="00CB41C7" w:rsidP="00CB41C7">
            <w:pPr>
              <w:spacing w:line="280" w:lineRule="exact"/>
              <w:jc w:val="both"/>
              <w:rPr>
                <w:rFonts w:ascii="Arial" w:hAnsi="Arial" w:cs="Arial"/>
                <w:bCs/>
                <w:iCs/>
                <w:sz w:val="20"/>
              </w:rPr>
            </w:pPr>
            <w:r w:rsidRPr="00CB41C7">
              <w:rPr>
                <w:rFonts w:ascii="Arial" w:hAnsi="Arial" w:cs="Arial"/>
                <w:bCs/>
                <w:iCs/>
                <w:sz w:val="20"/>
              </w:rPr>
              <w:t xml:space="preserve">In order for a financial asset to be classified and measured at amortised cost or fair value through OCI, it needs to give rise to cash flows that are ‘solely payments of principal and interest (SPPI)’ on the principal amount outstanding. This assessment is referred to as the SPPI test and is performed at an instrument level. </w:t>
            </w:r>
          </w:p>
          <w:p w14:paraId="53A28646" w14:textId="77777777" w:rsidR="00CB41C7" w:rsidRPr="00CB41C7" w:rsidRDefault="00CB41C7" w:rsidP="00CB41C7">
            <w:pPr>
              <w:spacing w:line="280" w:lineRule="exact"/>
              <w:jc w:val="both"/>
              <w:rPr>
                <w:rFonts w:ascii="Arial" w:hAnsi="Arial" w:cs="Arial"/>
                <w:bCs/>
                <w:iCs/>
                <w:sz w:val="20"/>
              </w:rPr>
            </w:pPr>
          </w:p>
          <w:p w14:paraId="6BE87FB1" w14:textId="77777777" w:rsidR="00CB41C7" w:rsidRPr="00CB41C7" w:rsidRDefault="00CB41C7" w:rsidP="00CB41C7">
            <w:pPr>
              <w:spacing w:line="280" w:lineRule="exact"/>
              <w:jc w:val="both"/>
              <w:rPr>
                <w:rFonts w:ascii="Arial" w:hAnsi="Arial" w:cs="Arial"/>
                <w:bCs/>
                <w:iCs/>
                <w:sz w:val="20"/>
              </w:rPr>
            </w:pPr>
            <w:r w:rsidRPr="00CB41C7">
              <w:rPr>
                <w:rFonts w:ascii="Arial" w:hAnsi="Arial" w:cs="Arial"/>
                <w:bCs/>
                <w:iCs/>
                <w:sz w:val="20"/>
              </w:rPr>
              <w:t xml:space="preserve">The Group’s business model for managing financial assets refers to how it manages its financial assets in order to generate cash flows. The business model determines whether cash flows will result from collecting contractual cash flows, selling the financial assets, or both. </w:t>
            </w:r>
          </w:p>
          <w:p w14:paraId="63E9CCE5" w14:textId="77777777" w:rsidR="003213EB" w:rsidRDefault="003213EB" w:rsidP="00E17643">
            <w:pPr>
              <w:spacing w:line="280" w:lineRule="exact"/>
              <w:jc w:val="both"/>
              <w:rPr>
                <w:rFonts w:ascii="Arial" w:hAnsi="Arial" w:cs="Arial"/>
                <w:bCs/>
                <w:iCs/>
                <w:sz w:val="20"/>
              </w:rPr>
            </w:pPr>
          </w:p>
          <w:p w14:paraId="5E01B67F" w14:textId="39A50E5E" w:rsidR="00E17643" w:rsidRPr="00E70587" w:rsidRDefault="00CB41C7" w:rsidP="00E17643">
            <w:pPr>
              <w:spacing w:line="280" w:lineRule="exact"/>
              <w:jc w:val="both"/>
              <w:rPr>
                <w:rFonts w:ascii="Arial" w:hAnsi="Arial" w:cs="Arial"/>
                <w:sz w:val="20"/>
              </w:rPr>
            </w:pPr>
            <w:r w:rsidRPr="00CB41C7">
              <w:rPr>
                <w:rFonts w:ascii="Arial" w:hAnsi="Arial" w:cs="Arial"/>
                <w:bCs/>
                <w:iCs/>
                <w:sz w:val="20"/>
              </w:rPr>
              <w:t>Purchases or sales of financial assets that require delivery of assets within a time frame established by regulation or convention in the market place (regular way trades) are recognised on the trade date, i.e., the date that the Group commits to purchase or sell the asset.</w:t>
            </w:r>
          </w:p>
        </w:tc>
      </w:tr>
      <w:tr w:rsidR="00E17643" w:rsidRPr="00E70587" w14:paraId="6615B3A4"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1D0609FE" w14:textId="77777777" w:rsidR="00CB41C7" w:rsidRDefault="00CB41C7" w:rsidP="00E17643">
            <w:pPr>
              <w:spacing w:line="280" w:lineRule="exact"/>
              <w:jc w:val="both"/>
              <w:rPr>
                <w:rFonts w:ascii="Arial" w:hAnsi="Arial" w:cs="Arial"/>
                <w:bCs/>
                <w:i/>
                <w:iCs/>
                <w:sz w:val="20"/>
              </w:rPr>
            </w:pPr>
          </w:p>
          <w:p w14:paraId="0E3C077D" w14:textId="77777777" w:rsidR="00E17643" w:rsidRPr="00E70587" w:rsidRDefault="00E17643" w:rsidP="00E17643">
            <w:pPr>
              <w:spacing w:line="280" w:lineRule="exact"/>
              <w:jc w:val="both"/>
              <w:rPr>
                <w:rFonts w:ascii="Arial" w:hAnsi="Arial" w:cs="Arial"/>
                <w:bCs/>
                <w:i/>
                <w:iCs/>
                <w:sz w:val="20"/>
              </w:rPr>
            </w:pPr>
            <w:r w:rsidRPr="00E70587">
              <w:rPr>
                <w:rFonts w:ascii="Arial" w:hAnsi="Arial" w:cs="Arial"/>
                <w:bCs/>
                <w:i/>
                <w:iCs/>
                <w:sz w:val="20"/>
              </w:rPr>
              <w:t>Subsequent measurement</w:t>
            </w:r>
          </w:p>
          <w:p w14:paraId="2FF7ECC7" w14:textId="77777777" w:rsidR="00E17643" w:rsidRPr="00E70587" w:rsidRDefault="00E17643" w:rsidP="00E17643">
            <w:pPr>
              <w:spacing w:line="280" w:lineRule="exact"/>
              <w:ind w:left="-18"/>
              <w:jc w:val="both"/>
              <w:rPr>
                <w:rFonts w:ascii="Arial" w:hAnsi="Arial" w:cs="Arial"/>
                <w:bCs/>
                <w:iCs/>
                <w:sz w:val="20"/>
              </w:rPr>
            </w:pPr>
          </w:p>
          <w:p w14:paraId="554358C5" w14:textId="77777777" w:rsidR="00E17643" w:rsidRPr="00E70587" w:rsidRDefault="00E17643" w:rsidP="00E17643">
            <w:pPr>
              <w:spacing w:line="280" w:lineRule="exact"/>
              <w:ind w:left="-18"/>
              <w:jc w:val="both"/>
              <w:rPr>
                <w:rFonts w:ascii="Arial" w:hAnsi="Arial" w:cs="Arial"/>
                <w:bCs/>
                <w:iCs/>
                <w:sz w:val="20"/>
              </w:rPr>
            </w:pPr>
            <w:r w:rsidRPr="00E70587">
              <w:rPr>
                <w:rFonts w:ascii="Arial" w:hAnsi="Arial" w:cs="Arial"/>
                <w:bCs/>
                <w:iCs/>
                <w:sz w:val="20"/>
              </w:rPr>
              <w:t>For purposes of subsequent measurement, financial assets are classified in four categories:</w:t>
            </w:r>
          </w:p>
          <w:p w14:paraId="13B16C8A" w14:textId="77777777" w:rsidR="00E17643" w:rsidRPr="00E70587" w:rsidRDefault="00E17643" w:rsidP="00E17643">
            <w:pPr>
              <w:numPr>
                <w:ilvl w:val="0"/>
                <w:numId w:val="14"/>
              </w:numPr>
              <w:spacing w:before="120" w:line="280" w:lineRule="exact"/>
              <w:ind w:left="720" w:hanging="720"/>
              <w:jc w:val="both"/>
              <w:rPr>
                <w:rFonts w:ascii="Arial" w:hAnsi="Arial" w:cs="Arial"/>
                <w:bCs/>
                <w:iCs/>
                <w:sz w:val="20"/>
              </w:rPr>
            </w:pPr>
            <w:r w:rsidRPr="00E70587">
              <w:rPr>
                <w:rFonts w:ascii="Arial" w:hAnsi="Arial" w:cs="Arial"/>
                <w:bCs/>
                <w:iCs/>
                <w:sz w:val="20"/>
              </w:rPr>
              <w:t>Debt instruments at amortised cost</w:t>
            </w:r>
          </w:p>
          <w:p w14:paraId="189D9DFC" w14:textId="77777777" w:rsidR="00E17643" w:rsidRPr="00E70587" w:rsidRDefault="00E17643" w:rsidP="00E17643">
            <w:pPr>
              <w:numPr>
                <w:ilvl w:val="0"/>
                <w:numId w:val="14"/>
              </w:numPr>
              <w:spacing w:before="120" w:line="280" w:lineRule="exact"/>
              <w:ind w:left="720" w:hanging="720"/>
              <w:jc w:val="both"/>
              <w:rPr>
                <w:rFonts w:ascii="Arial" w:hAnsi="Arial" w:cs="Arial"/>
                <w:bCs/>
                <w:iCs/>
                <w:sz w:val="20"/>
              </w:rPr>
            </w:pPr>
            <w:r w:rsidRPr="00E70587">
              <w:rPr>
                <w:rFonts w:ascii="Arial" w:hAnsi="Arial" w:cs="Arial"/>
                <w:bCs/>
                <w:iCs/>
                <w:sz w:val="20"/>
              </w:rPr>
              <w:t>Debt instruments at fair value through other comprehensive income (FVTOCI)</w:t>
            </w:r>
          </w:p>
          <w:p w14:paraId="71C29AB2" w14:textId="0C250671" w:rsidR="00E17643" w:rsidRPr="00E70587" w:rsidRDefault="00E17643" w:rsidP="00E17643">
            <w:pPr>
              <w:numPr>
                <w:ilvl w:val="0"/>
                <w:numId w:val="14"/>
              </w:numPr>
              <w:spacing w:before="120" w:line="280" w:lineRule="exact"/>
              <w:ind w:left="720" w:hanging="720"/>
              <w:jc w:val="both"/>
              <w:rPr>
                <w:rFonts w:ascii="Arial" w:hAnsi="Arial" w:cs="Arial"/>
                <w:bCs/>
                <w:iCs/>
                <w:sz w:val="20"/>
              </w:rPr>
            </w:pPr>
            <w:r w:rsidRPr="00E70587">
              <w:rPr>
                <w:rFonts w:ascii="Arial" w:hAnsi="Arial" w:cs="Arial"/>
                <w:bCs/>
                <w:iCs/>
                <w:sz w:val="20"/>
              </w:rPr>
              <w:t xml:space="preserve">Debt instruments, derivatives and equity instruments at fair value through profit </w:t>
            </w:r>
            <w:r w:rsidR="009A629E">
              <w:rPr>
                <w:rFonts w:ascii="Arial" w:hAnsi="Arial" w:cs="Arial"/>
                <w:bCs/>
                <w:iCs/>
                <w:sz w:val="20"/>
              </w:rPr>
              <w:t>or</w:t>
            </w:r>
            <w:r w:rsidRPr="00E70587">
              <w:rPr>
                <w:rFonts w:ascii="Arial" w:hAnsi="Arial" w:cs="Arial"/>
                <w:bCs/>
                <w:iCs/>
                <w:sz w:val="20"/>
              </w:rPr>
              <w:t xml:space="preserve"> loss (FVTPL)</w:t>
            </w:r>
          </w:p>
          <w:p w14:paraId="51B589D0" w14:textId="43518F6F" w:rsidR="00E17643" w:rsidRPr="00E70587" w:rsidRDefault="00E17643" w:rsidP="00E17643">
            <w:pPr>
              <w:numPr>
                <w:ilvl w:val="0"/>
                <w:numId w:val="14"/>
              </w:numPr>
              <w:spacing w:before="120" w:line="280" w:lineRule="exact"/>
              <w:ind w:left="720" w:hanging="720"/>
              <w:jc w:val="both"/>
              <w:rPr>
                <w:rFonts w:ascii="Arial" w:hAnsi="Arial" w:cs="Arial"/>
                <w:bCs/>
                <w:iCs/>
                <w:sz w:val="20"/>
              </w:rPr>
            </w:pPr>
            <w:r w:rsidRPr="00E70587">
              <w:rPr>
                <w:rFonts w:ascii="Arial" w:hAnsi="Arial" w:cs="Arial"/>
                <w:bCs/>
                <w:iCs/>
                <w:sz w:val="20"/>
              </w:rPr>
              <w:t xml:space="preserve">Equity instruments measured at fair value through other comprehensive income </w:t>
            </w:r>
            <w:r w:rsidR="003213EB">
              <w:rPr>
                <w:rFonts w:ascii="Arial" w:hAnsi="Arial" w:cs="Arial"/>
                <w:bCs/>
                <w:iCs/>
                <w:sz w:val="20"/>
              </w:rPr>
              <w:t>(</w:t>
            </w:r>
            <w:r w:rsidRPr="00E70587">
              <w:rPr>
                <w:rFonts w:ascii="Arial" w:hAnsi="Arial" w:cs="Arial"/>
                <w:bCs/>
                <w:iCs/>
                <w:sz w:val="20"/>
              </w:rPr>
              <w:t>FVTOCI</w:t>
            </w:r>
            <w:r w:rsidR="003213EB">
              <w:rPr>
                <w:rFonts w:ascii="Arial" w:hAnsi="Arial" w:cs="Arial"/>
                <w:bCs/>
                <w:iCs/>
                <w:sz w:val="20"/>
              </w:rPr>
              <w:t>)</w:t>
            </w:r>
          </w:p>
          <w:p w14:paraId="3C74C0D0" w14:textId="77777777" w:rsidR="00E17643" w:rsidRPr="00E70587" w:rsidRDefault="00E17643" w:rsidP="00E17643">
            <w:pPr>
              <w:spacing w:line="280" w:lineRule="exact"/>
              <w:ind w:left="-18"/>
              <w:jc w:val="both"/>
              <w:rPr>
                <w:rFonts w:ascii="Arial" w:hAnsi="Arial" w:cs="Arial"/>
                <w:bCs/>
                <w:iCs/>
                <w:sz w:val="20"/>
              </w:rPr>
            </w:pPr>
          </w:p>
        </w:tc>
      </w:tr>
      <w:tr w:rsidR="00E17643" w:rsidRPr="00E70587" w14:paraId="3925934C"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699990BD" w14:textId="77777777" w:rsidR="00E17643" w:rsidRPr="00E70587" w:rsidRDefault="00E17643" w:rsidP="00E17643">
            <w:pPr>
              <w:spacing w:line="280" w:lineRule="exact"/>
              <w:jc w:val="both"/>
              <w:rPr>
                <w:rFonts w:ascii="Arial" w:hAnsi="Arial" w:cs="Arial"/>
                <w:bCs/>
                <w:i/>
                <w:iCs/>
                <w:sz w:val="20"/>
              </w:rPr>
            </w:pPr>
            <w:r w:rsidRPr="00E70587">
              <w:rPr>
                <w:rFonts w:ascii="Arial" w:hAnsi="Arial" w:cs="Arial"/>
                <w:bCs/>
                <w:i/>
                <w:iCs/>
                <w:sz w:val="20"/>
              </w:rPr>
              <w:t>Debt instruments at amortised cost</w:t>
            </w:r>
          </w:p>
          <w:p w14:paraId="43528DA8" w14:textId="77777777" w:rsidR="00E17643" w:rsidRPr="00E70587" w:rsidRDefault="00E17643" w:rsidP="00E17643">
            <w:pPr>
              <w:spacing w:line="280" w:lineRule="exact"/>
              <w:jc w:val="both"/>
              <w:rPr>
                <w:rFonts w:ascii="Arial" w:hAnsi="Arial" w:cs="Arial"/>
                <w:bCs/>
                <w:iCs/>
                <w:sz w:val="20"/>
              </w:rPr>
            </w:pPr>
          </w:p>
          <w:p w14:paraId="51114E8E" w14:textId="77777777"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t>A ‘debt instrument’ is measured at the amortised cost if both the following conditions are met:</w:t>
            </w:r>
          </w:p>
          <w:p w14:paraId="1FFF8657" w14:textId="77777777" w:rsidR="00E17643" w:rsidRPr="00E70587" w:rsidRDefault="00E17643" w:rsidP="00E17643">
            <w:pPr>
              <w:numPr>
                <w:ilvl w:val="0"/>
                <w:numId w:val="15"/>
              </w:numPr>
              <w:spacing w:before="120" w:line="280" w:lineRule="exact"/>
              <w:jc w:val="both"/>
              <w:rPr>
                <w:rFonts w:ascii="Arial" w:hAnsi="Arial" w:cs="Arial"/>
                <w:bCs/>
                <w:iCs/>
                <w:sz w:val="20"/>
              </w:rPr>
            </w:pPr>
            <w:r w:rsidRPr="00E70587">
              <w:rPr>
                <w:rFonts w:ascii="Arial" w:hAnsi="Arial" w:cs="Arial"/>
                <w:bCs/>
                <w:iCs/>
                <w:sz w:val="20"/>
              </w:rPr>
              <w:t>The asset is held within a business model whose objective is to hold assets for collecting contractual cash flows, and</w:t>
            </w:r>
          </w:p>
          <w:p w14:paraId="28D16889" w14:textId="77777777" w:rsidR="00E17643" w:rsidRPr="00E70587" w:rsidRDefault="00E17643" w:rsidP="00E17643">
            <w:pPr>
              <w:numPr>
                <w:ilvl w:val="0"/>
                <w:numId w:val="15"/>
              </w:numPr>
              <w:spacing w:before="120" w:line="280" w:lineRule="exact"/>
              <w:jc w:val="both"/>
              <w:rPr>
                <w:rFonts w:ascii="Arial" w:hAnsi="Arial" w:cs="Arial"/>
                <w:bCs/>
                <w:i/>
                <w:iCs/>
                <w:sz w:val="20"/>
              </w:rPr>
            </w:pPr>
            <w:r w:rsidRPr="00E70587">
              <w:rPr>
                <w:rFonts w:ascii="Arial" w:hAnsi="Arial" w:cs="Arial"/>
                <w:bCs/>
                <w:iCs/>
                <w:sz w:val="20"/>
              </w:rPr>
              <w:t>Contractual terms of the asset give rise on specified dates to cash flows that are solely payments of principal and interest (SPPI) on the principal amount outstanding.</w:t>
            </w:r>
          </w:p>
          <w:p w14:paraId="04A41AB4" w14:textId="77777777" w:rsidR="00E17643" w:rsidRPr="00E70587" w:rsidRDefault="00E17643" w:rsidP="00E17643">
            <w:pPr>
              <w:spacing w:line="280" w:lineRule="exact"/>
              <w:jc w:val="both"/>
              <w:rPr>
                <w:rFonts w:ascii="Arial" w:hAnsi="Arial" w:cs="Arial"/>
                <w:bCs/>
                <w:iCs/>
                <w:sz w:val="20"/>
              </w:rPr>
            </w:pPr>
          </w:p>
          <w:p w14:paraId="26A11115" w14:textId="32BB84DD"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t xml:space="preserve">This category is the most relevant to the Group. After initial measurement, such financial assets are subsequently measured at amortised cost using the effective interest rate (EIR) method. Amortised cost is calculated by taking into account any discount or premium on acquisition and fees or costs that are an </w:t>
            </w:r>
            <w:r w:rsidRPr="00E70587">
              <w:rPr>
                <w:rFonts w:ascii="Arial" w:hAnsi="Arial" w:cs="Arial"/>
                <w:bCs/>
                <w:iCs/>
                <w:sz w:val="20"/>
              </w:rPr>
              <w:lastRenderedPageBreak/>
              <w:t xml:space="preserve">integral part of the EIR. The EIR amortisation is included in finance income in the profit </w:t>
            </w:r>
            <w:r w:rsidR="009A629E">
              <w:rPr>
                <w:rFonts w:ascii="Arial" w:hAnsi="Arial" w:cs="Arial"/>
                <w:bCs/>
                <w:iCs/>
                <w:sz w:val="20"/>
              </w:rPr>
              <w:t>or</w:t>
            </w:r>
            <w:r w:rsidRPr="00E70587">
              <w:rPr>
                <w:rFonts w:ascii="Arial" w:hAnsi="Arial" w:cs="Arial"/>
                <w:bCs/>
                <w:iCs/>
                <w:sz w:val="20"/>
              </w:rPr>
              <w:t xml:space="preserve"> loss. The losses arising from impairment are recognised in the profit </w:t>
            </w:r>
            <w:r w:rsidR="009A629E">
              <w:rPr>
                <w:rFonts w:ascii="Arial" w:hAnsi="Arial" w:cs="Arial"/>
                <w:bCs/>
                <w:iCs/>
                <w:sz w:val="20"/>
              </w:rPr>
              <w:t>or</w:t>
            </w:r>
            <w:r w:rsidRPr="00E70587">
              <w:rPr>
                <w:rFonts w:ascii="Arial" w:hAnsi="Arial" w:cs="Arial"/>
                <w:bCs/>
                <w:iCs/>
                <w:sz w:val="20"/>
              </w:rPr>
              <w:t xml:space="preserve"> loss. This category generally applies to trade and other receivables. For more information on receivables, refer to Note 9.</w:t>
            </w:r>
          </w:p>
          <w:p w14:paraId="0C19141F" w14:textId="77777777" w:rsidR="00E17643" w:rsidRPr="00E70587" w:rsidRDefault="00E17643" w:rsidP="00E17643">
            <w:pPr>
              <w:spacing w:line="280" w:lineRule="exact"/>
              <w:ind w:left="-18"/>
              <w:jc w:val="both"/>
              <w:rPr>
                <w:rFonts w:ascii="Arial" w:hAnsi="Arial" w:cs="Arial"/>
                <w:bCs/>
                <w:i/>
                <w:iCs/>
                <w:sz w:val="20"/>
              </w:rPr>
            </w:pPr>
          </w:p>
        </w:tc>
      </w:tr>
      <w:tr w:rsidR="00E17643" w:rsidRPr="00E70587" w14:paraId="1E513137"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7190A0A0" w14:textId="77777777" w:rsidR="00E17643" w:rsidRPr="00E70587" w:rsidRDefault="00E17643" w:rsidP="00E17643">
            <w:pPr>
              <w:overflowPunct/>
              <w:autoSpaceDE/>
              <w:autoSpaceDN/>
              <w:adjustRightInd/>
              <w:spacing w:line="280" w:lineRule="exact"/>
              <w:jc w:val="both"/>
              <w:textAlignment w:val="auto"/>
              <w:rPr>
                <w:rFonts w:ascii="Arial" w:hAnsi="Arial" w:cs="Arial"/>
                <w:bCs/>
                <w:i/>
                <w:iCs/>
                <w:sz w:val="20"/>
              </w:rPr>
            </w:pPr>
            <w:r w:rsidRPr="00E70587">
              <w:rPr>
                <w:rFonts w:ascii="Arial" w:hAnsi="Arial" w:cs="Arial"/>
                <w:bCs/>
                <w:i/>
                <w:iCs/>
                <w:sz w:val="20"/>
              </w:rPr>
              <w:lastRenderedPageBreak/>
              <w:t>Debt instrument at FVTOCI</w:t>
            </w:r>
          </w:p>
          <w:p w14:paraId="546F080B"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p>
          <w:p w14:paraId="429479D1"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A ‘debt instrument’ is classified as at the FVTOCI if both of the following criteria are met:</w:t>
            </w:r>
          </w:p>
          <w:p w14:paraId="55122F60" w14:textId="77777777" w:rsidR="00E17643" w:rsidRPr="00E70587" w:rsidRDefault="00E17643" w:rsidP="00E17643">
            <w:pPr>
              <w:numPr>
                <w:ilvl w:val="0"/>
                <w:numId w:val="16"/>
              </w:numPr>
              <w:overflowPunct/>
              <w:autoSpaceDE/>
              <w:autoSpaceDN/>
              <w:adjustRightInd/>
              <w:spacing w:before="120" w:line="280" w:lineRule="exact"/>
              <w:jc w:val="both"/>
              <w:textAlignment w:val="auto"/>
              <w:rPr>
                <w:rFonts w:ascii="Arial" w:hAnsi="Arial" w:cs="Arial"/>
                <w:bCs/>
                <w:iCs/>
                <w:sz w:val="20"/>
              </w:rPr>
            </w:pPr>
            <w:r w:rsidRPr="00E70587">
              <w:rPr>
                <w:rFonts w:ascii="Arial" w:hAnsi="Arial" w:cs="Arial"/>
                <w:bCs/>
                <w:iCs/>
                <w:sz w:val="20"/>
              </w:rPr>
              <w:t>The objective of the business model is achieved both by collecting contractual cash flows and selling the financial assets, and</w:t>
            </w:r>
          </w:p>
          <w:p w14:paraId="35B057A8" w14:textId="77777777" w:rsidR="00E17643" w:rsidRPr="00E70587" w:rsidRDefault="00E17643" w:rsidP="00E17643">
            <w:pPr>
              <w:numPr>
                <w:ilvl w:val="0"/>
                <w:numId w:val="16"/>
              </w:numPr>
              <w:overflowPunct/>
              <w:autoSpaceDE/>
              <w:autoSpaceDN/>
              <w:adjustRightInd/>
              <w:spacing w:before="120" w:line="280" w:lineRule="exact"/>
              <w:jc w:val="both"/>
              <w:textAlignment w:val="auto"/>
              <w:rPr>
                <w:rFonts w:ascii="Arial" w:hAnsi="Arial" w:cs="Arial"/>
                <w:bCs/>
                <w:iCs/>
                <w:sz w:val="20"/>
              </w:rPr>
            </w:pPr>
            <w:r w:rsidRPr="00E70587">
              <w:rPr>
                <w:rFonts w:ascii="Arial" w:hAnsi="Arial" w:cs="Arial"/>
                <w:bCs/>
                <w:iCs/>
                <w:sz w:val="20"/>
              </w:rPr>
              <w:t>The asset’s contractual cash flows represent SPPI.</w:t>
            </w:r>
          </w:p>
          <w:p w14:paraId="491FA372"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p>
          <w:p w14:paraId="5DCE16F7"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Debt instruments included within the FVTOCI category are measured initially as well as at each reporting date at fair value. Fair value movements are recognized in the other comprehensive income (OCI). However, the group recognizes interest income, impairment losses &amp; reversals and foreign exchange gain or loss in the P&amp;L. On derecognition of the asset, cumulative gain or loss previously recognised in OCI is reclassified from the equity to P&amp;L. Interest earned whilst holding FVTOCI debt instrument is reported as interest income using the EIR method.</w:t>
            </w:r>
          </w:p>
          <w:p w14:paraId="4653F7AB" w14:textId="77777777" w:rsidR="00E17643" w:rsidRPr="00E70587" w:rsidRDefault="00E17643" w:rsidP="00E17643">
            <w:pPr>
              <w:overflowPunct/>
              <w:autoSpaceDE/>
              <w:autoSpaceDN/>
              <w:adjustRightInd/>
              <w:spacing w:line="280" w:lineRule="exact"/>
              <w:jc w:val="both"/>
              <w:textAlignment w:val="auto"/>
              <w:rPr>
                <w:rFonts w:ascii="Arial" w:hAnsi="Arial" w:cs="Arial"/>
                <w:bCs/>
                <w:i/>
                <w:iCs/>
                <w:sz w:val="20"/>
              </w:rPr>
            </w:pPr>
          </w:p>
        </w:tc>
      </w:tr>
      <w:tr w:rsidR="00E17643" w:rsidRPr="00E70587" w14:paraId="775B5105"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2BD9D982" w14:textId="77777777" w:rsidR="00E17643" w:rsidRPr="00E70587" w:rsidRDefault="00E17643" w:rsidP="00E17643">
            <w:pPr>
              <w:overflowPunct/>
              <w:autoSpaceDE/>
              <w:autoSpaceDN/>
              <w:adjustRightInd/>
              <w:spacing w:line="280" w:lineRule="exact"/>
              <w:jc w:val="both"/>
              <w:textAlignment w:val="auto"/>
              <w:rPr>
                <w:rFonts w:ascii="Arial" w:hAnsi="Arial" w:cs="Arial"/>
                <w:bCs/>
                <w:i/>
                <w:iCs/>
                <w:sz w:val="20"/>
              </w:rPr>
            </w:pPr>
            <w:r w:rsidRPr="00E70587">
              <w:rPr>
                <w:rFonts w:ascii="Arial" w:hAnsi="Arial" w:cs="Arial"/>
                <w:bCs/>
                <w:i/>
                <w:iCs/>
                <w:sz w:val="20"/>
              </w:rPr>
              <w:t>Debt instrument at FVTPL</w:t>
            </w:r>
          </w:p>
          <w:p w14:paraId="5F7A117D"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p>
          <w:p w14:paraId="68FDCA44"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FVTPL is a residual category for debt instruments. Any debt instrument, which does not meet the criteria for categorization as at amortized cost or as FVTOCI, is classified as at FVTPL.</w:t>
            </w:r>
          </w:p>
          <w:p w14:paraId="6B457515"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p>
          <w:p w14:paraId="62A9936C"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In addition, the group may elect to designate a debt instrument, which otherwise meets amortized cost or FVTOCI criteria, as at FVTPL. However, such election is allowed only if doing so reduces or eliminates a measurement or recognition inconsistency (referred to as ‘accounting mismatch’). The group has not designated any debt instrument as at FVTPL.</w:t>
            </w:r>
          </w:p>
          <w:p w14:paraId="1E898C8C"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p>
          <w:p w14:paraId="1DE1A96F"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Debt instruments included within the FVTPL category are measured at fair value with all changes recognized in the P&amp;L.</w:t>
            </w:r>
          </w:p>
          <w:p w14:paraId="752DC13E"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p>
        </w:tc>
      </w:tr>
      <w:tr w:rsidR="00E17643" w:rsidRPr="00E70587" w14:paraId="3FBD1372"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0540236F" w14:textId="77777777" w:rsidR="00E17643" w:rsidRPr="00E70587" w:rsidRDefault="00E17643" w:rsidP="00E17643">
            <w:pPr>
              <w:overflowPunct/>
              <w:autoSpaceDE/>
              <w:autoSpaceDN/>
              <w:adjustRightInd/>
              <w:spacing w:line="280" w:lineRule="exact"/>
              <w:jc w:val="both"/>
              <w:textAlignment w:val="auto"/>
              <w:rPr>
                <w:rFonts w:ascii="Arial" w:hAnsi="Arial" w:cs="Arial"/>
                <w:bCs/>
                <w:i/>
                <w:iCs/>
                <w:sz w:val="20"/>
              </w:rPr>
            </w:pPr>
            <w:r w:rsidRPr="00E70587">
              <w:rPr>
                <w:rFonts w:ascii="Arial" w:hAnsi="Arial" w:cs="Arial"/>
                <w:bCs/>
                <w:i/>
                <w:iCs/>
                <w:sz w:val="20"/>
              </w:rPr>
              <w:t>Equity investments</w:t>
            </w:r>
          </w:p>
          <w:p w14:paraId="089BFB1F"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p>
          <w:p w14:paraId="62FD84AA"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 xml:space="preserve">All equity investments in scope of Ind-AS 109 are measured at fair value. Equity instruments which are held for trading and contingent consideration recognised by an acquirer in a business combination to which Ind AS103 applies are classified as at FVTPL. For all other equity instruments, the group </w:t>
            </w:r>
            <w:r w:rsidRPr="00E70587">
              <w:rPr>
                <w:rFonts w:ascii="Arial" w:hAnsi="Arial"/>
                <w:b/>
                <w:bCs/>
                <w:sz w:val="20"/>
                <w:lang w:eastAsia="en-GB"/>
              </w:rPr>
              <w:t>may make an irrevocable election to present in other comprehensive income subsequent changes in the fair value</w:t>
            </w:r>
            <w:r w:rsidRPr="00E70587">
              <w:rPr>
                <w:rFonts w:ascii="Arial" w:hAnsi="Arial" w:cs="Arial"/>
                <w:bCs/>
                <w:iCs/>
                <w:sz w:val="20"/>
              </w:rPr>
              <w:t>. The group makes such election on an instrument-by-instrument basis. The classification is made on initial recognition and is irrevocable.</w:t>
            </w:r>
          </w:p>
          <w:p w14:paraId="32D754A3" w14:textId="77777777" w:rsidR="00E17643" w:rsidRPr="00E70587" w:rsidRDefault="00E17643" w:rsidP="00E17643">
            <w:pPr>
              <w:spacing w:line="280" w:lineRule="exact"/>
              <w:jc w:val="both"/>
              <w:rPr>
                <w:rFonts w:ascii="Arial" w:hAnsi="Arial" w:cs="Arial"/>
                <w:bCs/>
                <w:iCs/>
                <w:sz w:val="20"/>
              </w:rPr>
            </w:pPr>
          </w:p>
          <w:p w14:paraId="09D6B3C1" w14:textId="77777777"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t>If the group decides to classify an equity instrument as at FVTOCI, then all fair value changes on the instrument, excluding dividends, are recognized in the OCI. There is no recycling of the amounts from OCI to P&amp;L, even on sale of investment. However, the group may transfer the cumulative gain or loss within equity.</w:t>
            </w:r>
          </w:p>
          <w:p w14:paraId="0CBAB1FB" w14:textId="77777777" w:rsidR="00E17643" w:rsidRPr="00E70587" w:rsidRDefault="00E17643" w:rsidP="00E17643">
            <w:pPr>
              <w:spacing w:line="280" w:lineRule="exact"/>
              <w:jc w:val="both"/>
              <w:rPr>
                <w:rFonts w:ascii="Arial" w:hAnsi="Arial" w:cs="Arial"/>
                <w:bCs/>
                <w:iCs/>
                <w:sz w:val="20"/>
              </w:rPr>
            </w:pPr>
          </w:p>
          <w:p w14:paraId="714AACDE" w14:textId="77777777"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t>Equity instruments included within the FVTPL category are measured at fair value with all changes recognized in the P&amp;L.</w:t>
            </w:r>
          </w:p>
          <w:p w14:paraId="58D6B3D0" w14:textId="77777777" w:rsidR="00E17643" w:rsidRPr="00E70587" w:rsidRDefault="00E17643" w:rsidP="00E17643">
            <w:pPr>
              <w:spacing w:line="280" w:lineRule="exact"/>
              <w:jc w:val="both"/>
              <w:rPr>
                <w:rFonts w:ascii="Arial" w:hAnsi="Arial" w:cs="Arial"/>
                <w:bCs/>
                <w:iCs/>
                <w:sz w:val="20"/>
              </w:rPr>
            </w:pPr>
          </w:p>
        </w:tc>
      </w:tr>
      <w:tr w:rsidR="00E17643" w:rsidRPr="00E70587" w14:paraId="2FEC2F23"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539FD0EF" w14:textId="77777777" w:rsidR="00E17643" w:rsidRPr="00E70587" w:rsidRDefault="00E17643" w:rsidP="00E17643">
            <w:pPr>
              <w:spacing w:line="280" w:lineRule="exact"/>
              <w:jc w:val="both"/>
              <w:rPr>
                <w:rFonts w:ascii="Arial" w:hAnsi="Arial" w:cs="Arial"/>
                <w:b/>
                <w:bCs/>
                <w:i/>
                <w:iCs/>
                <w:sz w:val="20"/>
              </w:rPr>
            </w:pPr>
            <w:r w:rsidRPr="00E70587">
              <w:rPr>
                <w:rFonts w:ascii="Arial" w:hAnsi="Arial" w:cs="Arial"/>
                <w:b/>
                <w:bCs/>
                <w:i/>
                <w:iCs/>
                <w:sz w:val="20"/>
              </w:rPr>
              <w:t>Derecognition</w:t>
            </w:r>
          </w:p>
          <w:p w14:paraId="351F3678" w14:textId="77777777" w:rsidR="00E17643" w:rsidRPr="00E70587" w:rsidRDefault="00E17643" w:rsidP="00E17643">
            <w:pPr>
              <w:spacing w:line="280" w:lineRule="exact"/>
              <w:jc w:val="both"/>
              <w:rPr>
                <w:rFonts w:ascii="Arial" w:hAnsi="Arial" w:cs="Arial"/>
                <w:bCs/>
                <w:iCs/>
                <w:sz w:val="20"/>
              </w:rPr>
            </w:pPr>
          </w:p>
          <w:p w14:paraId="097964AD" w14:textId="77777777"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lastRenderedPageBreak/>
              <w:t>A financial asset (or, where applicable, a part of a financial asset or part of a group of similar financial assets) is primarily derecognised (</w:t>
            </w:r>
            <w:proofErr w:type="gramStart"/>
            <w:r w:rsidRPr="00E70587">
              <w:rPr>
                <w:rFonts w:ascii="Arial" w:hAnsi="Arial" w:cs="Arial"/>
                <w:bCs/>
                <w:iCs/>
                <w:sz w:val="20"/>
              </w:rPr>
              <w:t>i.e.</w:t>
            </w:r>
            <w:proofErr w:type="gramEnd"/>
            <w:r w:rsidRPr="00E70587">
              <w:rPr>
                <w:rFonts w:ascii="Arial" w:hAnsi="Arial" w:cs="Arial"/>
                <w:bCs/>
                <w:iCs/>
                <w:sz w:val="20"/>
              </w:rPr>
              <w:t xml:space="preserve"> removed from the Group’s consolidated balance sheet) when:</w:t>
            </w:r>
          </w:p>
          <w:p w14:paraId="1117F47A" w14:textId="77777777" w:rsidR="00E17643" w:rsidRPr="00E70587" w:rsidRDefault="00E17643" w:rsidP="00E17643">
            <w:pPr>
              <w:numPr>
                <w:ilvl w:val="0"/>
                <w:numId w:val="17"/>
              </w:numPr>
              <w:spacing w:before="120" w:line="280" w:lineRule="exact"/>
              <w:ind w:left="720" w:hanging="720"/>
              <w:jc w:val="both"/>
              <w:rPr>
                <w:rFonts w:ascii="Arial" w:hAnsi="Arial" w:cs="Arial"/>
                <w:bCs/>
                <w:iCs/>
                <w:sz w:val="20"/>
              </w:rPr>
            </w:pPr>
            <w:r w:rsidRPr="00E70587">
              <w:rPr>
                <w:rFonts w:ascii="Arial" w:hAnsi="Arial" w:cs="Arial"/>
                <w:bCs/>
                <w:iCs/>
                <w:sz w:val="20"/>
              </w:rPr>
              <w:t>The rights to receive cash flows from the asset have expired, or</w:t>
            </w:r>
          </w:p>
          <w:p w14:paraId="5F0AA590" w14:textId="77777777" w:rsidR="00E17643" w:rsidRPr="00E70587" w:rsidRDefault="00E17643" w:rsidP="00E17643">
            <w:pPr>
              <w:numPr>
                <w:ilvl w:val="0"/>
                <w:numId w:val="17"/>
              </w:numPr>
              <w:spacing w:before="120" w:line="280" w:lineRule="exact"/>
              <w:ind w:left="720" w:hanging="720"/>
              <w:jc w:val="both"/>
              <w:rPr>
                <w:rFonts w:ascii="Arial" w:hAnsi="Arial" w:cs="Arial"/>
                <w:bCs/>
                <w:iCs/>
                <w:sz w:val="20"/>
              </w:rPr>
            </w:pPr>
            <w:r w:rsidRPr="00E70587">
              <w:rPr>
                <w:rFonts w:ascii="Arial" w:hAnsi="Arial" w:cs="Arial"/>
                <w:bCs/>
                <w:iCs/>
                <w:sz w:val="20"/>
              </w:rPr>
              <w:t>The group has transferred its rights to receive cash flows from the asset or has assumed an obligation to pay the received cash flows in full without material delay to a third party under a ‘pass-through’ arrangement; and either (a) the group has transferred substantially all the risks and rewards of the asset, or (b) the group has neither transferred nor retained substantially all the risks and rewards of the asset, but has transferred control of the asset.</w:t>
            </w:r>
          </w:p>
          <w:p w14:paraId="367E7CD3"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p>
          <w:p w14:paraId="2D8779A1" w14:textId="77777777"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t>When the group has transferred its rights to receive cash flows from an asset or has entered into a pass-through arrangement, it evaluates if and to what extent it has retained the risks and rewards of ownership. When it has neither transferred nor retained substantially all of the risks and rewards of the asset, nor transferred control of the asset, the group continues to recognise the transferred asset to the extent of the Group’s continuing involvement. In that case, the group also recognises an associated liability. The transferred asset and the associated liability are measured on a basis that reflects the rights and obligations that the Group has retained.</w:t>
            </w:r>
          </w:p>
          <w:p w14:paraId="4151DA33"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p>
          <w:p w14:paraId="7C2C9FA7"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Continuing involvement that takes the form of a guarantee over the transferred asset is measured at the lower of the original carrying amount of the asset and the maximum amount of consideration that the group could be required to repay.</w:t>
            </w:r>
          </w:p>
          <w:p w14:paraId="56F5D4A9"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p>
        </w:tc>
      </w:tr>
      <w:tr w:rsidR="00E17643" w:rsidRPr="00E70587" w14:paraId="441DFD31"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12D92018" w14:textId="77777777" w:rsidR="00E17643" w:rsidRPr="00E70587" w:rsidRDefault="00E17643" w:rsidP="00E17643">
            <w:pPr>
              <w:spacing w:line="280" w:lineRule="exact"/>
              <w:jc w:val="both"/>
              <w:rPr>
                <w:rFonts w:ascii="Arial" w:hAnsi="Arial" w:cs="Arial"/>
                <w:b/>
                <w:bCs/>
                <w:i/>
                <w:iCs/>
                <w:sz w:val="20"/>
              </w:rPr>
            </w:pPr>
            <w:r w:rsidRPr="00E70587">
              <w:rPr>
                <w:rFonts w:ascii="Arial" w:hAnsi="Arial" w:cs="Arial"/>
                <w:b/>
                <w:bCs/>
                <w:i/>
                <w:iCs/>
                <w:sz w:val="20"/>
              </w:rPr>
              <w:lastRenderedPageBreak/>
              <w:t>Impairment of financial assets</w:t>
            </w:r>
          </w:p>
          <w:p w14:paraId="2EB0EC0C" w14:textId="36D63FCB" w:rsidR="00E17643" w:rsidRDefault="00E17643" w:rsidP="00E17643">
            <w:pPr>
              <w:spacing w:line="280" w:lineRule="exact"/>
              <w:jc w:val="both"/>
              <w:rPr>
                <w:rFonts w:ascii="Arial" w:hAnsi="Arial" w:cs="Arial"/>
                <w:bCs/>
                <w:iCs/>
                <w:sz w:val="20"/>
              </w:rPr>
            </w:pPr>
          </w:p>
          <w:p w14:paraId="5D9B6F69" w14:textId="77777777" w:rsidR="002E6337" w:rsidRPr="002E6337" w:rsidRDefault="002E6337" w:rsidP="002E6337">
            <w:pPr>
              <w:spacing w:line="280" w:lineRule="exact"/>
              <w:jc w:val="both"/>
              <w:rPr>
                <w:rFonts w:ascii="Arial" w:hAnsi="Arial" w:cs="Arial"/>
                <w:bCs/>
                <w:iCs/>
                <w:sz w:val="20"/>
              </w:rPr>
            </w:pPr>
            <w:r w:rsidRPr="002E6337">
              <w:rPr>
                <w:rFonts w:ascii="Arial" w:hAnsi="Arial" w:cs="Arial"/>
                <w:bCs/>
                <w:iCs/>
                <w:sz w:val="20"/>
              </w:rPr>
              <w:t xml:space="preserve">Further disclosures relating to impairment of financial assets are also provided in the following notes: </w:t>
            </w:r>
          </w:p>
          <w:p w14:paraId="2F0DF6FF" w14:textId="77777777" w:rsidR="002E6337" w:rsidRPr="002E6337" w:rsidRDefault="002E6337" w:rsidP="002E6337">
            <w:pPr>
              <w:spacing w:line="280" w:lineRule="exact"/>
              <w:jc w:val="both"/>
              <w:rPr>
                <w:rFonts w:ascii="Arial" w:hAnsi="Arial" w:cs="Arial"/>
                <w:bCs/>
                <w:iCs/>
                <w:sz w:val="20"/>
              </w:rPr>
            </w:pPr>
            <w:r w:rsidRPr="002E6337">
              <w:rPr>
                <w:rFonts w:ascii="Arial" w:hAnsi="Arial" w:cs="Arial"/>
                <w:bCs/>
                <w:iCs/>
                <w:sz w:val="20"/>
              </w:rPr>
              <w:t>►</w:t>
            </w:r>
            <w:r w:rsidRPr="002E6337">
              <w:rPr>
                <w:rFonts w:ascii="Arial" w:hAnsi="Arial" w:cs="Arial"/>
                <w:bCs/>
                <w:iCs/>
                <w:sz w:val="20"/>
              </w:rPr>
              <w:tab/>
              <w:t xml:space="preserve">Disclosures for significant assumptions – see Note 34 </w:t>
            </w:r>
          </w:p>
          <w:p w14:paraId="45C96509" w14:textId="6E0F1EB3" w:rsidR="002E6337" w:rsidRPr="002E6337" w:rsidRDefault="002E6337" w:rsidP="00665FA3">
            <w:pPr>
              <w:tabs>
                <w:tab w:val="left" w:pos="720"/>
                <w:tab w:val="left" w:pos="1440"/>
                <w:tab w:val="left" w:pos="2160"/>
                <w:tab w:val="left" w:pos="2880"/>
                <w:tab w:val="left" w:pos="3600"/>
                <w:tab w:val="left" w:pos="4320"/>
                <w:tab w:val="left" w:pos="5040"/>
                <w:tab w:val="left" w:pos="5760"/>
                <w:tab w:val="left" w:pos="7168"/>
              </w:tabs>
              <w:spacing w:line="280" w:lineRule="exact"/>
              <w:jc w:val="both"/>
              <w:rPr>
                <w:rFonts w:ascii="Arial" w:hAnsi="Arial" w:cs="Arial"/>
                <w:bCs/>
                <w:iCs/>
                <w:sz w:val="20"/>
              </w:rPr>
            </w:pPr>
            <w:r w:rsidRPr="002E6337">
              <w:rPr>
                <w:rFonts w:ascii="Arial" w:hAnsi="Arial" w:cs="Arial"/>
                <w:bCs/>
                <w:iCs/>
                <w:sz w:val="20"/>
              </w:rPr>
              <w:t>►</w:t>
            </w:r>
            <w:r w:rsidRPr="002E6337">
              <w:rPr>
                <w:rFonts w:ascii="Arial" w:hAnsi="Arial" w:cs="Arial"/>
                <w:bCs/>
                <w:iCs/>
                <w:sz w:val="20"/>
              </w:rPr>
              <w:tab/>
              <w:t xml:space="preserve">Debt instruments at fair value through OCI – see Note 7 </w:t>
            </w:r>
            <w:r w:rsidR="00665FA3">
              <w:rPr>
                <w:rFonts w:ascii="Arial" w:hAnsi="Arial" w:cs="Arial"/>
                <w:bCs/>
                <w:iCs/>
                <w:sz w:val="20"/>
              </w:rPr>
              <w:tab/>
            </w:r>
            <w:r w:rsidR="00665FA3">
              <w:rPr>
                <w:rFonts w:ascii="Arial" w:hAnsi="Arial" w:cs="Arial"/>
                <w:bCs/>
                <w:iCs/>
                <w:sz w:val="20"/>
              </w:rPr>
              <w:tab/>
            </w:r>
          </w:p>
          <w:p w14:paraId="5A35E049" w14:textId="42F728AC" w:rsidR="002E6337" w:rsidRDefault="002E6337" w:rsidP="002E6337">
            <w:pPr>
              <w:spacing w:line="280" w:lineRule="exact"/>
              <w:jc w:val="both"/>
              <w:rPr>
                <w:rFonts w:ascii="Arial" w:hAnsi="Arial" w:cs="Arial"/>
                <w:bCs/>
                <w:iCs/>
                <w:sz w:val="20"/>
              </w:rPr>
            </w:pPr>
            <w:r w:rsidRPr="002E6337">
              <w:rPr>
                <w:rFonts w:ascii="Arial" w:hAnsi="Arial" w:cs="Arial"/>
                <w:bCs/>
                <w:iCs/>
                <w:sz w:val="20"/>
              </w:rPr>
              <w:t>►</w:t>
            </w:r>
            <w:r w:rsidRPr="002E6337">
              <w:rPr>
                <w:rFonts w:ascii="Arial" w:hAnsi="Arial" w:cs="Arial"/>
                <w:bCs/>
                <w:iCs/>
                <w:sz w:val="20"/>
              </w:rPr>
              <w:tab/>
              <w:t xml:space="preserve">Trade receivables, including contract assets – see Note 9 </w:t>
            </w:r>
          </w:p>
          <w:p w14:paraId="1EE02CD2" w14:textId="77777777" w:rsidR="00755F4E" w:rsidRPr="002E6337" w:rsidRDefault="00755F4E" w:rsidP="002E6337">
            <w:pPr>
              <w:spacing w:line="280" w:lineRule="exact"/>
              <w:jc w:val="both"/>
              <w:rPr>
                <w:rFonts w:ascii="Arial" w:hAnsi="Arial" w:cs="Arial"/>
                <w:bCs/>
                <w:iCs/>
                <w:sz w:val="20"/>
              </w:rPr>
            </w:pPr>
          </w:p>
          <w:p w14:paraId="5FEA3E70" w14:textId="2D497D12" w:rsidR="002E6337" w:rsidRDefault="002E6337" w:rsidP="002E6337">
            <w:pPr>
              <w:spacing w:line="280" w:lineRule="exact"/>
              <w:jc w:val="both"/>
              <w:rPr>
                <w:rFonts w:ascii="Arial" w:hAnsi="Arial" w:cs="Arial"/>
                <w:bCs/>
                <w:iCs/>
                <w:sz w:val="20"/>
              </w:rPr>
            </w:pPr>
            <w:r w:rsidRPr="002E6337">
              <w:rPr>
                <w:rFonts w:ascii="Arial" w:hAnsi="Arial" w:cs="Arial"/>
                <w:bCs/>
                <w:iCs/>
                <w:sz w:val="20"/>
              </w:rPr>
              <w:t xml:space="preserve">The Group recognises an allowance for expected credit losses (ECLs) for all debt instruments not held at fair value through profit </w:t>
            </w:r>
            <w:r w:rsidR="00CC0BDD">
              <w:rPr>
                <w:rFonts w:ascii="Arial" w:hAnsi="Arial" w:cs="Arial"/>
                <w:bCs/>
                <w:iCs/>
                <w:sz w:val="20"/>
              </w:rPr>
              <w:t>or</w:t>
            </w:r>
            <w:r w:rsidRPr="002E6337">
              <w:rPr>
                <w:rFonts w:ascii="Arial" w:hAnsi="Arial" w:cs="Arial"/>
                <w:bCs/>
                <w:iCs/>
                <w:sz w:val="20"/>
              </w:rPr>
              <w:t xml:space="preserve"> loss. ECLs are based on the difference between the contractual cash flows due in accordance with the contract and all the cash flows that the Group expects to receive, discounted at an approximation of the original effective interest rate. The expected cash flows will include cash flows from the sale of collateral held or other credit enhancements that are integral to the contractual terms.</w:t>
            </w:r>
          </w:p>
          <w:p w14:paraId="1F074E7C" w14:textId="77777777" w:rsidR="00755F4E" w:rsidRPr="002E6337" w:rsidRDefault="00755F4E" w:rsidP="002E6337">
            <w:pPr>
              <w:spacing w:line="280" w:lineRule="exact"/>
              <w:jc w:val="both"/>
              <w:rPr>
                <w:rFonts w:ascii="Arial" w:hAnsi="Arial" w:cs="Arial"/>
                <w:bCs/>
                <w:iCs/>
                <w:sz w:val="20"/>
              </w:rPr>
            </w:pPr>
          </w:p>
          <w:p w14:paraId="386A3A6F" w14:textId="77777777" w:rsidR="002E6337" w:rsidRPr="002E6337" w:rsidRDefault="002E6337" w:rsidP="002E6337">
            <w:pPr>
              <w:spacing w:line="280" w:lineRule="exact"/>
              <w:jc w:val="both"/>
              <w:rPr>
                <w:rFonts w:ascii="Arial" w:hAnsi="Arial" w:cs="Arial"/>
                <w:bCs/>
                <w:iCs/>
                <w:sz w:val="20"/>
              </w:rPr>
            </w:pPr>
            <w:r w:rsidRPr="002E6337">
              <w:rPr>
                <w:rFonts w:ascii="Arial" w:hAnsi="Arial" w:cs="Arial"/>
                <w:bCs/>
                <w:iCs/>
                <w:sz w:val="20"/>
              </w:rPr>
              <w:t>ECLs are recognised in two stages. For credit exposures for which there has not been a significant increase in credit risk since initial recognition, ECLs are provided for credit losses that result from default events that are possible within the next 12-months (a 12-month ECL). For those credit exposures for which there has been a significant increase in credit risk since initial recognition, a loss allowance is required for credit losses expected over the remaining life of the exposure, irrespective of the timing of the default (a lifetime ECL).</w:t>
            </w:r>
          </w:p>
          <w:p w14:paraId="5E5095CE" w14:textId="65C22AB9" w:rsidR="002E6337" w:rsidRDefault="002E6337" w:rsidP="002E6337">
            <w:pPr>
              <w:spacing w:line="280" w:lineRule="exact"/>
              <w:jc w:val="both"/>
              <w:rPr>
                <w:rFonts w:ascii="Arial" w:hAnsi="Arial" w:cs="Arial"/>
                <w:bCs/>
                <w:iCs/>
                <w:sz w:val="20"/>
              </w:rPr>
            </w:pPr>
            <w:r w:rsidRPr="002E6337">
              <w:rPr>
                <w:rFonts w:ascii="Arial" w:hAnsi="Arial" w:cs="Arial"/>
                <w:bCs/>
                <w:iCs/>
                <w:sz w:val="20"/>
              </w:rPr>
              <w:t>For trade receivables and contract assets, the Group applies a simplified approach in calculating ECLs. Therefore, the Group does not track changes in credit risk, but instead recognises a loss allowance based on lifetime ECLs at each reporting date. The Group has established a provision matrix that is based on its historical credit loss experience, adjusted for forward-looking factors specific to the debtors and the economic environment.</w:t>
            </w:r>
          </w:p>
          <w:p w14:paraId="64EDEFF2" w14:textId="77777777" w:rsidR="00755F4E" w:rsidRDefault="00755F4E" w:rsidP="002E6337">
            <w:pPr>
              <w:spacing w:line="280" w:lineRule="exact"/>
              <w:jc w:val="both"/>
              <w:rPr>
                <w:rFonts w:ascii="Arial" w:hAnsi="Arial" w:cs="Arial"/>
                <w:bCs/>
                <w:iCs/>
                <w:sz w:val="20"/>
              </w:rPr>
            </w:pPr>
          </w:p>
          <w:p w14:paraId="0F21199A" w14:textId="77777777" w:rsidR="00755F4E" w:rsidRPr="002E6337" w:rsidRDefault="00755F4E" w:rsidP="00755F4E">
            <w:pPr>
              <w:shd w:val="clear" w:color="auto" w:fill="A2A2A2" w:themeFill="background2" w:themeFillTint="99"/>
              <w:spacing w:line="280" w:lineRule="exact"/>
              <w:jc w:val="both"/>
              <w:rPr>
                <w:rFonts w:ascii="Arial" w:hAnsi="Arial" w:cs="Arial"/>
                <w:bCs/>
                <w:iCs/>
                <w:sz w:val="20"/>
              </w:rPr>
            </w:pPr>
          </w:p>
          <w:p w14:paraId="548FE5BD" w14:textId="467151C0" w:rsidR="002E6337" w:rsidRPr="00755F4E" w:rsidRDefault="00755F4E" w:rsidP="00755F4E">
            <w:pPr>
              <w:shd w:val="clear" w:color="auto" w:fill="A2A2A2" w:themeFill="background2" w:themeFillTint="99"/>
              <w:spacing w:line="280" w:lineRule="exact"/>
              <w:jc w:val="both"/>
              <w:rPr>
                <w:rFonts w:ascii="Arial" w:hAnsi="Arial" w:cs="Arial"/>
                <w:b/>
                <w:iCs/>
                <w:sz w:val="20"/>
              </w:rPr>
            </w:pPr>
            <w:r w:rsidRPr="00755F4E">
              <w:rPr>
                <w:rFonts w:ascii="Arial" w:hAnsi="Arial" w:cs="Arial"/>
                <w:b/>
                <w:iCs/>
                <w:sz w:val="20"/>
              </w:rPr>
              <w:t>Author’s note</w:t>
            </w:r>
          </w:p>
          <w:p w14:paraId="4079517D" w14:textId="77777777" w:rsidR="00755F4E" w:rsidRPr="002E6337" w:rsidRDefault="00755F4E" w:rsidP="00755F4E">
            <w:pPr>
              <w:shd w:val="clear" w:color="auto" w:fill="A2A2A2" w:themeFill="background2" w:themeFillTint="99"/>
              <w:spacing w:line="280" w:lineRule="exact"/>
              <w:jc w:val="both"/>
              <w:rPr>
                <w:rFonts w:ascii="Arial" w:hAnsi="Arial" w:cs="Arial"/>
                <w:bCs/>
                <w:iCs/>
                <w:sz w:val="20"/>
              </w:rPr>
            </w:pPr>
          </w:p>
          <w:p w14:paraId="2F6D5EB3" w14:textId="77777777" w:rsidR="002E6337" w:rsidRPr="002E6337" w:rsidRDefault="002E6337" w:rsidP="00755F4E">
            <w:pPr>
              <w:shd w:val="clear" w:color="auto" w:fill="A2A2A2" w:themeFill="background2" w:themeFillTint="99"/>
              <w:spacing w:line="280" w:lineRule="exact"/>
              <w:jc w:val="both"/>
              <w:rPr>
                <w:rFonts w:ascii="Arial" w:hAnsi="Arial" w:cs="Arial"/>
                <w:bCs/>
                <w:iCs/>
                <w:sz w:val="20"/>
              </w:rPr>
            </w:pPr>
            <w:r w:rsidRPr="002E6337">
              <w:rPr>
                <w:rFonts w:ascii="Arial" w:hAnsi="Arial" w:cs="Arial"/>
                <w:bCs/>
                <w:iCs/>
                <w:sz w:val="20"/>
              </w:rPr>
              <w:t xml:space="preserve">An entity is required to apply the simplified approach for trade receivables or contract assets that do not contain a significant financing component, or when the entity applies the practical expedient for contracts </w:t>
            </w:r>
            <w:r w:rsidRPr="002E6337">
              <w:rPr>
                <w:rFonts w:ascii="Arial" w:hAnsi="Arial" w:cs="Arial"/>
                <w:bCs/>
                <w:iCs/>
                <w:sz w:val="20"/>
              </w:rPr>
              <w:lastRenderedPageBreak/>
              <w:t>that have a maturity of one year or less. However, an entity has a policy choice to apply either the simplified approach or the general approach for the following:</w:t>
            </w:r>
          </w:p>
          <w:p w14:paraId="295D43AC" w14:textId="77777777" w:rsidR="00755F4E" w:rsidRPr="00755F4E" w:rsidRDefault="002E6337" w:rsidP="00E466DD">
            <w:pPr>
              <w:pStyle w:val="ListParagraph"/>
              <w:numPr>
                <w:ilvl w:val="0"/>
                <w:numId w:val="50"/>
              </w:numPr>
              <w:shd w:val="clear" w:color="auto" w:fill="A2A2A2" w:themeFill="background2" w:themeFillTint="99"/>
              <w:spacing w:line="280" w:lineRule="exact"/>
              <w:ind w:left="314" w:hanging="284"/>
              <w:jc w:val="both"/>
              <w:rPr>
                <w:rFonts w:ascii="Arial" w:hAnsi="Arial" w:cs="Arial"/>
                <w:bCs/>
                <w:iCs/>
                <w:sz w:val="20"/>
              </w:rPr>
            </w:pPr>
            <w:r w:rsidRPr="00755F4E">
              <w:rPr>
                <w:rFonts w:ascii="Arial" w:hAnsi="Arial" w:cs="Arial"/>
                <w:bCs/>
                <w:iCs/>
                <w:sz w:val="20"/>
              </w:rPr>
              <w:t>All trade receivables or contract assets that contain a significant financing component in accordance with Ind AS 115. The policy choice may be applied separately to trade receivables and contract assets.</w:t>
            </w:r>
          </w:p>
          <w:p w14:paraId="77A1149F" w14:textId="5FCF28CE" w:rsidR="002E6337" w:rsidRPr="00755F4E" w:rsidRDefault="002E6337" w:rsidP="00E466DD">
            <w:pPr>
              <w:pStyle w:val="ListParagraph"/>
              <w:numPr>
                <w:ilvl w:val="0"/>
                <w:numId w:val="49"/>
              </w:numPr>
              <w:shd w:val="clear" w:color="auto" w:fill="A2A2A2" w:themeFill="background2" w:themeFillTint="99"/>
              <w:spacing w:line="280" w:lineRule="exact"/>
              <w:ind w:left="314" w:hanging="284"/>
              <w:jc w:val="both"/>
              <w:rPr>
                <w:rFonts w:ascii="Arial" w:hAnsi="Arial" w:cs="Arial"/>
                <w:bCs/>
                <w:iCs/>
                <w:sz w:val="20"/>
              </w:rPr>
            </w:pPr>
            <w:r w:rsidRPr="00755F4E">
              <w:rPr>
                <w:rFonts w:ascii="Arial" w:hAnsi="Arial" w:cs="Arial"/>
                <w:bCs/>
                <w:iCs/>
                <w:sz w:val="20"/>
              </w:rPr>
              <w:t>All lease receivables that result from transactions that are within the scope of Ind AS 116. The policy choice may be applied separately to finance and operating lease receivables.</w:t>
            </w:r>
          </w:p>
          <w:p w14:paraId="79A11257" w14:textId="77777777" w:rsidR="002E6337" w:rsidRPr="002E6337" w:rsidRDefault="002E6337" w:rsidP="002E6337">
            <w:pPr>
              <w:spacing w:line="280" w:lineRule="exact"/>
              <w:jc w:val="both"/>
              <w:rPr>
                <w:rFonts w:ascii="Arial" w:hAnsi="Arial" w:cs="Arial"/>
                <w:bCs/>
                <w:iCs/>
                <w:sz w:val="20"/>
              </w:rPr>
            </w:pPr>
          </w:p>
          <w:p w14:paraId="33499A1A" w14:textId="171AF09B" w:rsidR="002E6337" w:rsidRDefault="002E6337" w:rsidP="002E6337">
            <w:pPr>
              <w:spacing w:line="280" w:lineRule="exact"/>
              <w:jc w:val="both"/>
              <w:rPr>
                <w:rFonts w:ascii="Arial" w:hAnsi="Arial" w:cs="Arial"/>
                <w:bCs/>
                <w:iCs/>
                <w:sz w:val="20"/>
              </w:rPr>
            </w:pPr>
            <w:r w:rsidRPr="002E6337">
              <w:rPr>
                <w:rFonts w:ascii="Arial" w:hAnsi="Arial" w:cs="Arial"/>
                <w:bCs/>
                <w:iCs/>
                <w:sz w:val="20"/>
              </w:rPr>
              <w:t>For debt instruments at fair value through OCI, the Group applies the low credit risk simplification. At every reporting date, the Group evaluates whether the debt instrument is considered to have low credit risk using all reasonable and supportable information that is available without undue cost or effort. In making that evaluation, the Group reassesses the internal credit rating of the debt instrument. In addition, the Group considers that there has been a significant increase in credit risk when contractual payments are more than 30 days past due.</w:t>
            </w:r>
          </w:p>
          <w:p w14:paraId="7F8D2E0A" w14:textId="77777777" w:rsidR="00755F4E" w:rsidRPr="002E6337" w:rsidRDefault="00755F4E" w:rsidP="002E6337">
            <w:pPr>
              <w:spacing w:line="280" w:lineRule="exact"/>
              <w:jc w:val="both"/>
              <w:rPr>
                <w:rFonts w:ascii="Arial" w:hAnsi="Arial" w:cs="Arial"/>
                <w:bCs/>
                <w:iCs/>
                <w:sz w:val="20"/>
              </w:rPr>
            </w:pPr>
          </w:p>
          <w:p w14:paraId="29A9B316" w14:textId="662C3DA0" w:rsidR="002E6337" w:rsidRDefault="002E6337" w:rsidP="002E6337">
            <w:pPr>
              <w:spacing w:line="280" w:lineRule="exact"/>
              <w:jc w:val="both"/>
              <w:rPr>
                <w:rFonts w:ascii="Arial" w:hAnsi="Arial" w:cs="Arial"/>
                <w:bCs/>
                <w:iCs/>
                <w:sz w:val="20"/>
              </w:rPr>
            </w:pPr>
            <w:r w:rsidRPr="002E6337">
              <w:rPr>
                <w:rFonts w:ascii="Arial" w:hAnsi="Arial" w:cs="Arial"/>
                <w:bCs/>
                <w:iCs/>
                <w:sz w:val="20"/>
              </w:rPr>
              <w:t>The Group’s debt instruments at fair value through OCI comprise solely of quoted bonds that are graded in the top investment category (Very Good and Good) by the Good Credit Rating Agency and, therefore, are considered to be low credit risk investments. It is the Group’s policy to measure ECLs on such instruments on a 12-month basis. However, when there has been a significant increase in credit risk since origination, the allowance will be based on the lifetime ECL. The Group uses the ratings from the Good Credit Rating Agency both to determine whether the debt instrument has significantly increased in credit risk and to estimate ECLs.</w:t>
            </w:r>
          </w:p>
          <w:p w14:paraId="4A45170A" w14:textId="77777777" w:rsidR="00755F4E" w:rsidRPr="002E6337" w:rsidRDefault="00755F4E" w:rsidP="002E6337">
            <w:pPr>
              <w:spacing w:line="280" w:lineRule="exact"/>
              <w:jc w:val="both"/>
              <w:rPr>
                <w:rFonts w:ascii="Arial" w:hAnsi="Arial" w:cs="Arial"/>
                <w:bCs/>
                <w:iCs/>
                <w:sz w:val="20"/>
              </w:rPr>
            </w:pPr>
          </w:p>
          <w:p w14:paraId="6E480C16" w14:textId="01976A6F" w:rsidR="002E6337" w:rsidRPr="00F4666A" w:rsidRDefault="00755F4E" w:rsidP="00755F4E">
            <w:pPr>
              <w:shd w:val="clear" w:color="auto" w:fill="A2A2A2" w:themeFill="background2" w:themeFillTint="99"/>
              <w:spacing w:line="280" w:lineRule="exact"/>
              <w:jc w:val="both"/>
              <w:rPr>
                <w:rFonts w:ascii="Arial" w:hAnsi="Arial" w:cs="Arial"/>
                <w:b/>
                <w:iCs/>
                <w:sz w:val="20"/>
              </w:rPr>
            </w:pPr>
            <w:r w:rsidRPr="00F4666A">
              <w:rPr>
                <w:rFonts w:ascii="Arial" w:hAnsi="Arial" w:cs="Arial"/>
                <w:b/>
                <w:iCs/>
                <w:sz w:val="20"/>
              </w:rPr>
              <w:t>Author’s note</w:t>
            </w:r>
          </w:p>
          <w:p w14:paraId="0BC277C3" w14:textId="77777777" w:rsidR="00755F4E" w:rsidRPr="00F4666A" w:rsidRDefault="00755F4E" w:rsidP="00755F4E">
            <w:pPr>
              <w:shd w:val="clear" w:color="auto" w:fill="A2A2A2" w:themeFill="background2" w:themeFillTint="99"/>
              <w:spacing w:line="280" w:lineRule="exact"/>
              <w:jc w:val="both"/>
              <w:rPr>
                <w:rFonts w:ascii="Arial" w:hAnsi="Arial" w:cs="Arial"/>
                <w:bCs/>
                <w:iCs/>
                <w:sz w:val="20"/>
              </w:rPr>
            </w:pPr>
          </w:p>
          <w:p w14:paraId="5D049191" w14:textId="3A0CBE5F" w:rsidR="002E6337" w:rsidRDefault="002E6337" w:rsidP="00755F4E">
            <w:pPr>
              <w:shd w:val="clear" w:color="auto" w:fill="A2A2A2" w:themeFill="background2" w:themeFillTint="99"/>
              <w:spacing w:line="280" w:lineRule="exact"/>
              <w:jc w:val="both"/>
              <w:rPr>
                <w:rFonts w:ascii="Arial" w:hAnsi="Arial" w:cs="Arial"/>
                <w:bCs/>
                <w:iCs/>
                <w:sz w:val="20"/>
              </w:rPr>
            </w:pPr>
            <w:r w:rsidRPr="00F4666A">
              <w:rPr>
                <w:rFonts w:ascii="Arial" w:hAnsi="Arial" w:cs="Arial"/>
                <w:bCs/>
                <w:iCs/>
                <w:sz w:val="20"/>
              </w:rPr>
              <w:t xml:space="preserve">Ind AS 109 contains an important simplification that, if a financial instrument has a low credit risk, then an entity is allowed to assume at the reporting date that no significant increases in credit risk have occurred. The low credit risk concept was intended to provide entities relief from tracking changes in the credit risk of </w:t>
            </w:r>
            <w:r w:rsidR="00755F4E" w:rsidRPr="00F4666A">
              <w:rPr>
                <w:rFonts w:ascii="Arial" w:hAnsi="Arial" w:cs="Arial"/>
                <w:bCs/>
                <w:iCs/>
                <w:sz w:val="20"/>
              </w:rPr>
              <w:t>high-quality</w:t>
            </w:r>
            <w:r w:rsidRPr="00F4666A">
              <w:rPr>
                <w:rFonts w:ascii="Arial" w:hAnsi="Arial" w:cs="Arial"/>
                <w:bCs/>
                <w:iCs/>
                <w:sz w:val="20"/>
              </w:rPr>
              <w:t xml:space="preserve"> financial instruments. This simplification is </w:t>
            </w:r>
            <w:r w:rsidR="00755F4E" w:rsidRPr="00F4666A">
              <w:rPr>
                <w:rFonts w:ascii="Arial" w:hAnsi="Arial" w:cs="Arial"/>
                <w:bCs/>
                <w:iCs/>
                <w:sz w:val="20"/>
              </w:rPr>
              <w:t>optional,</w:t>
            </w:r>
            <w:r w:rsidRPr="00F4666A">
              <w:rPr>
                <w:rFonts w:ascii="Arial" w:hAnsi="Arial" w:cs="Arial"/>
                <w:bCs/>
                <w:iCs/>
                <w:sz w:val="20"/>
              </w:rPr>
              <w:t xml:space="preserve"> and the low credit risk simplification can be elected on an instrument-by-instrument basis.</w:t>
            </w:r>
          </w:p>
          <w:p w14:paraId="6DFA6C20" w14:textId="77777777" w:rsidR="00755F4E" w:rsidRPr="002E6337" w:rsidRDefault="00755F4E" w:rsidP="002E6337">
            <w:pPr>
              <w:spacing w:line="280" w:lineRule="exact"/>
              <w:jc w:val="both"/>
              <w:rPr>
                <w:rFonts w:ascii="Arial" w:hAnsi="Arial" w:cs="Arial"/>
                <w:bCs/>
                <w:iCs/>
                <w:sz w:val="20"/>
              </w:rPr>
            </w:pPr>
          </w:p>
          <w:p w14:paraId="545A29EF" w14:textId="34F89756" w:rsidR="002E6337" w:rsidRDefault="002E6337" w:rsidP="002E6337">
            <w:pPr>
              <w:spacing w:line="280" w:lineRule="exact"/>
              <w:jc w:val="both"/>
              <w:rPr>
                <w:rFonts w:ascii="Arial" w:hAnsi="Arial" w:cs="Arial"/>
                <w:bCs/>
                <w:iCs/>
                <w:sz w:val="20"/>
              </w:rPr>
            </w:pPr>
            <w:r w:rsidRPr="002E6337">
              <w:rPr>
                <w:rFonts w:ascii="Arial" w:hAnsi="Arial" w:cs="Arial"/>
                <w:bCs/>
                <w:iCs/>
                <w:sz w:val="20"/>
              </w:rPr>
              <w:t xml:space="preserve">The Group considers a financial asset in default when contractual payments are 90 days past due. However, in certain cases, the Group may also consider a financial asset to be in default when internal or external information indicates that the Group is unlikely to receive the outstanding contractual amounts in full before taking into account any credit enhancements held by the Group. A financial asset is written off when there </w:t>
            </w:r>
            <w:r w:rsidR="00755F4E" w:rsidRPr="002E6337">
              <w:rPr>
                <w:rFonts w:ascii="Arial" w:hAnsi="Arial" w:cs="Arial"/>
                <w:bCs/>
                <w:iCs/>
                <w:sz w:val="20"/>
              </w:rPr>
              <w:t>is no</w:t>
            </w:r>
            <w:r w:rsidRPr="002E6337">
              <w:rPr>
                <w:rFonts w:ascii="Arial" w:hAnsi="Arial" w:cs="Arial"/>
                <w:bCs/>
                <w:iCs/>
                <w:sz w:val="20"/>
              </w:rPr>
              <w:t xml:space="preserve"> reasonable expectation of recovering the contractual cash flows.</w:t>
            </w:r>
          </w:p>
          <w:p w14:paraId="1DCFB34B" w14:textId="77777777" w:rsidR="00E17643" w:rsidRPr="00E70587" w:rsidRDefault="00E17643" w:rsidP="002E6337">
            <w:pPr>
              <w:spacing w:line="280" w:lineRule="exact"/>
              <w:jc w:val="both"/>
              <w:rPr>
                <w:rFonts w:ascii="Arial" w:hAnsi="Arial" w:cs="Arial"/>
                <w:bCs/>
                <w:iCs/>
                <w:sz w:val="20"/>
              </w:rPr>
            </w:pPr>
          </w:p>
        </w:tc>
      </w:tr>
      <w:tr w:rsidR="00E17643" w:rsidRPr="00E70587" w14:paraId="5D8F3C92"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3D8CCC87"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p>
        </w:tc>
      </w:tr>
      <w:tr w:rsidR="00E17643" w:rsidRPr="00E70587" w14:paraId="3CA0F708"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2A4FFF18" w14:textId="77777777" w:rsidR="00E17643" w:rsidRPr="00E70587" w:rsidRDefault="00E17643" w:rsidP="00E17643">
            <w:pPr>
              <w:spacing w:line="280" w:lineRule="exact"/>
              <w:jc w:val="both"/>
              <w:rPr>
                <w:rFonts w:ascii="Arial" w:hAnsi="Arial" w:cs="Arial"/>
                <w:b/>
                <w:bCs/>
                <w:iCs/>
                <w:sz w:val="20"/>
              </w:rPr>
            </w:pPr>
            <w:r w:rsidRPr="00E70587">
              <w:rPr>
                <w:rFonts w:ascii="Arial" w:hAnsi="Arial" w:cs="Arial"/>
                <w:b/>
                <w:bCs/>
                <w:iCs/>
                <w:sz w:val="20"/>
              </w:rPr>
              <w:t>Financial liabilities</w:t>
            </w:r>
          </w:p>
          <w:p w14:paraId="59FA0A78" w14:textId="77777777" w:rsidR="00E17643" w:rsidRPr="00E70587" w:rsidRDefault="00E17643" w:rsidP="00E17643">
            <w:pPr>
              <w:spacing w:line="280" w:lineRule="exact"/>
              <w:jc w:val="both"/>
              <w:rPr>
                <w:rFonts w:ascii="Arial" w:hAnsi="Arial" w:cs="Arial"/>
                <w:bCs/>
                <w:iCs/>
                <w:sz w:val="20"/>
              </w:rPr>
            </w:pPr>
          </w:p>
          <w:p w14:paraId="687073C2" w14:textId="77777777" w:rsidR="00E17643" w:rsidRPr="00E70587" w:rsidRDefault="00E17643" w:rsidP="00E17643">
            <w:pPr>
              <w:spacing w:line="280" w:lineRule="exact"/>
              <w:jc w:val="both"/>
              <w:rPr>
                <w:rFonts w:ascii="Arial" w:hAnsi="Arial" w:cs="Arial"/>
                <w:bCs/>
                <w:i/>
                <w:iCs/>
                <w:sz w:val="20"/>
              </w:rPr>
            </w:pPr>
            <w:r w:rsidRPr="00E70587">
              <w:rPr>
                <w:rFonts w:ascii="Arial" w:hAnsi="Arial" w:cs="Arial"/>
                <w:bCs/>
                <w:i/>
                <w:iCs/>
                <w:sz w:val="20"/>
              </w:rPr>
              <w:t>Initial recognition and measurement</w:t>
            </w:r>
          </w:p>
          <w:p w14:paraId="3D15D555" w14:textId="77777777" w:rsidR="00E17643" w:rsidRPr="00E70587" w:rsidRDefault="00E17643" w:rsidP="00E17643">
            <w:pPr>
              <w:spacing w:line="280" w:lineRule="exact"/>
              <w:jc w:val="both"/>
              <w:rPr>
                <w:rFonts w:ascii="Arial" w:hAnsi="Arial" w:cs="Arial"/>
                <w:bCs/>
                <w:iCs/>
                <w:sz w:val="20"/>
              </w:rPr>
            </w:pPr>
          </w:p>
          <w:p w14:paraId="09A60163" w14:textId="7B068761"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t xml:space="preserve">Financial liabilities are classified, at initial recognition, as financial liabilities at fair value through profit </w:t>
            </w:r>
            <w:r w:rsidR="009A629E">
              <w:rPr>
                <w:rFonts w:ascii="Arial" w:hAnsi="Arial" w:cs="Arial"/>
                <w:bCs/>
                <w:iCs/>
                <w:sz w:val="20"/>
              </w:rPr>
              <w:t xml:space="preserve">or </w:t>
            </w:r>
            <w:r w:rsidRPr="00E70587">
              <w:rPr>
                <w:rFonts w:ascii="Arial" w:hAnsi="Arial" w:cs="Arial"/>
                <w:bCs/>
                <w:iCs/>
                <w:sz w:val="20"/>
              </w:rPr>
              <w:t>loss, loans and borrowings, payables, or as derivatives designated as hedging instruments in an effective hedge, as appropriate.</w:t>
            </w:r>
          </w:p>
          <w:p w14:paraId="408FEED5" w14:textId="77777777" w:rsidR="00E17643" w:rsidRPr="00E70587" w:rsidRDefault="00E17643" w:rsidP="00E17643">
            <w:pPr>
              <w:spacing w:line="280" w:lineRule="exact"/>
              <w:jc w:val="both"/>
              <w:rPr>
                <w:rFonts w:ascii="Arial" w:hAnsi="Arial" w:cs="Arial"/>
                <w:bCs/>
                <w:iCs/>
                <w:sz w:val="20"/>
              </w:rPr>
            </w:pPr>
          </w:p>
          <w:p w14:paraId="6CCA403C" w14:textId="77777777"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t>All financial liabilities are recognised initially at fair value and, in the case of loans and borrowings and payables, net of directly attributable transaction costs.</w:t>
            </w:r>
          </w:p>
          <w:p w14:paraId="260F3C5A" w14:textId="77777777" w:rsidR="00E17643" w:rsidRPr="00E70587" w:rsidRDefault="00E17643" w:rsidP="00E17643">
            <w:pPr>
              <w:spacing w:line="280" w:lineRule="exact"/>
              <w:jc w:val="both"/>
              <w:rPr>
                <w:rFonts w:ascii="Arial" w:hAnsi="Arial" w:cs="Arial"/>
                <w:bCs/>
                <w:iCs/>
                <w:sz w:val="20"/>
              </w:rPr>
            </w:pPr>
          </w:p>
          <w:p w14:paraId="318B1A98" w14:textId="77777777"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t>The Group’s financial liabilities include trade and other payables, loans and borrowings including bank overdrafts, financial guarantee contracts and derivative financial instruments.</w:t>
            </w:r>
          </w:p>
          <w:p w14:paraId="40880126" w14:textId="77777777" w:rsidR="00E17643" w:rsidRPr="00E70587" w:rsidRDefault="00E17643" w:rsidP="00E17643">
            <w:pPr>
              <w:spacing w:line="280" w:lineRule="exact"/>
              <w:jc w:val="both"/>
              <w:rPr>
                <w:rFonts w:ascii="Arial" w:hAnsi="Arial" w:cs="Arial"/>
                <w:bCs/>
                <w:iCs/>
                <w:sz w:val="20"/>
              </w:rPr>
            </w:pPr>
          </w:p>
        </w:tc>
      </w:tr>
      <w:tr w:rsidR="00E17643" w:rsidRPr="00E70587" w14:paraId="078E6EC8"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0631BAC9" w14:textId="77777777" w:rsidR="00E17643" w:rsidRPr="00E70587" w:rsidRDefault="00E17643" w:rsidP="00E17643">
            <w:pPr>
              <w:spacing w:line="280" w:lineRule="exact"/>
              <w:jc w:val="both"/>
              <w:rPr>
                <w:rFonts w:ascii="Arial" w:hAnsi="Arial" w:cs="Arial"/>
                <w:bCs/>
                <w:i/>
                <w:iCs/>
                <w:sz w:val="20"/>
              </w:rPr>
            </w:pPr>
            <w:r w:rsidRPr="00E70587">
              <w:rPr>
                <w:rFonts w:ascii="Arial" w:hAnsi="Arial" w:cs="Arial"/>
                <w:bCs/>
                <w:i/>
                <w:iCs/>
                <w:sz w:val="20"/>
              </w:rPr>
              <w:lastRenderedPageBreak/>
              <w:t>Subsequent measurement</w:t>
            </w:r>
          </w:p>
          <w:p w14:paraId="3CD7726F" w14:textId="77777777" w:rsidR="00E17643" w:rsidRPr="00E70587" w:rsidRDefault="00E17643" w:rsidP="00E17643">
            <w:pPr>
              <w:spacing w:line="280" w:lineRule="exact"/>
              <w:jc w:val="both"/>
              <w:rPr>
                <w:rFonts w:ascii="Arial" w:hAnsi="Arial" w:cs="Arial"/>
                <w:bCs/>
                <w:i/>
                <w:iCs/>
                <w:sz w:val="20"/>
              </w:rPr>
            </w:pPr>
          </w:p>
          <w:p w14:paraId="304DD5C1"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The measurement of financial liabilities depends on their classification, as described below:</w:t>
            </w:r>
          </w:p>
          <w:p w14:paraId="350E2741"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p>
          <w:p w14:paraId="7B04AFCB" w14:textId="4484963D" w:rsidR="00E17643" w:rsidRPr="00E70587" w:rsidRDefault="00E17643" w:rsidP="00E17643">
            <w:pPr>
              <w:overflowPunct/>
              <w:autoSpaceDE/>
              <w:autoSpaceDN/>
              <w:adjustRightInd/>
              <w:spacing w:line="280" w:lineRule="exact"/>
              <w:jc w:val="both"/>
              <w:textAlignment w:val="auto"/>
              <w:rPr>
                <w:rFonts w:ascii="Arial" w:hAnsi="Arial" w:cs="Arial"/>
                <w:bCs/>
                <w:i/>
                <w:iCs/>
                <w:sz w:val="20"/>
              </w:rPr>
            </w:pPr>
            <w:r w:rsidRPr="00E70587">
              <w:rPr>
                <w:rFonts w:ascii="Arial" w:hAnsi="Arial" w:cs="Arial"/>
                <w:bCs/>
                <w:i/>
                <w:iCs/>
                <w:sz w:val="20"/>
              </w:rPr>
              <w:t xml:space="preserve">Financial liabilities at fair value through profit </w:t>
            </w:r>
            <w:r w:rsidR="009A629E">
              <w:rPr>
                <w:rFonts w:ascii="Arial" w:hAnsi="Arial" w:cs="Arial"/>
                <w:bCs/>
                <w:i/>
                <w:iCs/>
                <w:sz w:val="20"/>
              </w:rPr>
              <w:t>or</w:t>
            </w:r>
            <w:r w:rsidRPr="00E70587">
              <w:rPr>
                <w:rFonts w:ascii="Arial" w:hAnsi="Arial" w:cs="Arial"/>
                <w:bCs/>
                <w:i/>
                <w:iCs/>
                <w:sz w:val="20"/>
              </w:rPr>
              <w:t xml:space="preserve"> loss</w:t>
            </w:r>
          </w:p>
          <w:p w14:paraId="7DD8EE03"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p>
          <w:p w14:paraId="062FDF41" w14:textId="234D5891"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 xml:space="preserve">Financial liabilities at fair value through profit </w:t>
            </w:r>
            <w:r w:rsidR="009A629E">
              <w:rPr>
                <w:rFonts w:ascii="Arial" w:hAnsi="Arial" w:cs="Arial"/>
                <w:bCs/>
                <w:iCs/>
                <w:sz w:val="20"/>
              </w:rPr>
              <w:t xml:space="preserve">or </w:t>
            </w:r>
            <w:r w:rsidRPr="00E70587">
              <w:rPr>
                <w:rFonts w:ascii="Arial" w:hAnsi="Arial" w:cs="Arial"/>
                <w:bCs/>
                <w:iCs/>
                <w:sz w:val="20"/>
              </w:rPr>
              <w:t xml:space="preserve">loss include financial liabilities held for trading and financial liabilities designated upon initial recognition as at fair value through profit </w:t>
            </w:r>
            <w:r w:rsidR="009A629E">
              <w:rPr>
                <w:rFonts w:ascii="Arial" w:hAnsi="Arial" w:cs="Arial"/>
                <w:bCs/>
                <w:iCs/>
                <w:sz w:val="20"/>
              </w:rPr>
              <w:t>or</w:t>
            </w:r>
            <w:r w:rsidRPr="00E70587">
              <w:rPr>
                <w:rFonts w:ascii="Arial" w:hAnsi="Arial" w:cs="Arial"/>
                <w:bCs/>
                <w:iCs/>
                <w:sz w:val="20"/>
              </w:rPr>
              <w:t xml:space="preserve"> loss. Financial liabilities are classified as held for trading if they are incurred for the purpose of repurchasing in the near term. This category also includes derivative financial instruments entered into by the group that are not designated as hedging instruments in hedge relationships as defined by Ind-AS 109. Separated embedded derivatives are also classified as held for trading unless they are designated as effective hedging instruments.</w:t>
            </w:r>
          </w:p>
          <w:p w14:paraId="75948552" w14:textId="77777777" w:rsidR="00E17643" w:rsidRPr="00E70587" w:rsidRDefault="00E17643" w:rsidP="00E17643">
            <w:pPr>
              <w:spacing w:line="280" w:lineRule="exact"/>
              <w:jc w:val="both"/>
              <w:rPr>
                <w:rFonts w:ascii="Arial" w:hAnsi="Arial" w:cs="Arial"/>
                <w:bCs/>
                <w:iCs/>
                <w:sz w:val="20"/>
              </w:rPr>
            </w:pPr>
          </w:p>
          <w:p w14:paraId="5DCB8A48" w14:textId="694B7702"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 xml:space="preserve">Gains or losses on liabilities held for trading are recognised in the profit </w:t>
            </w:r>
            <w:r w:rsidR="009A629E">
              <w:rPr>
                <w:rFonts w:ascii="Arial" w:hAnsi="Arial" w:cs="Arial"/>
                <w:bCs/>
                <w:iCs/>
                <w:sz w:val="20"/>
              </w:rPr>
              <w:t>or</w:t>
            </w:r>
            <w:r w:rsidRPr="00E70587">
              <w:rPr>
                <w:rFonts w:ascii="Arial" w:hAnsi="Arial" w:cs="Arial"/>
                <w:bCs/>
                <w:iCs/>
                <w:sz w:val="20"/>
              </w:rPr>
              <w:t xml:space="preserve"> loss.</w:t>
            </w:r>
          </w:p>
          <w:p w14:paraId="6484D0C8"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p>
          <w:p w14:paraId="564A86AF" w14:textId="126E9DE6"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t xml:space="preserve">Financial liabilities designated upon initial recognition at fair value through profit </w:t>
            </w:r>
            <w:r w:rsidR="009A629E">
              <w:rPr>
                <w:rFonts w:ascii="Arial" w:hAnsi="Arial" w:cs="Arial"/>
                <w:bCs/>
                <w:iCs/>
                <w:sz w:val="20"/>
              </w:rPr>
              <w:t>or</w:t>
            </w:r>
            <w:r w:rsidRPr="00E70587">
              <w:rPr>
                <w:rFonts w:ascii="Arial" w:hAnsi="Arial" w:cs="Arial"/>
                <w:bCs/>
                <w:iCs/>
                <w:sz w:val="20"/>
              </w:rPr>
              <w:t xml:space="preserve"> loss are designated at the initial date of recognition, and only if the criteria in Ind-AS 109 are satisfied. For liabilities designated as FVTPL, fair value gains/ losses attributable to changes in own credit risk are recognized in OCI. </w:t>
            </w:r>
            <w:proofErr w:type="gramStart"/>
            <w:r w:rsidRPr="00E70587">
              <w:rPr>
                <w:rFonts w:ascii="Arial" w:hAnsi="Arial" w:cs="Arial"/>
                <w:bCs/>
                <w:iCs/>
                <w:sz w:val="20"/>
              </w:rPr>
              <w:t>These gains/ loss</w:t>
            </w:r>
            <w:proofErr w:type="gramEnd"/>
            <w:r w:rsidRPr="00E70587">
              <w:rPr>
                <w:rFonts w:ascii="Arial" w:hAnsi="Arial" w:cs="Arial"/>
                <w:bCs/>
                <w:iCs/>
                <w:sz w:val="20"/>
              </w:rPr>
              <w:t xml:space="preserve"> are not subsequently transferred to P&amp;L. However, the group may transfer the cumulative gain or loss within equity. All other changes in fair value of such liability are recognised in the statement of profit or loss. The group has not designated any financial liability as at fair value through profit </w:t>
            </w:r>
            <w:r w:rsidR="009A629E">
              <w:rPr>
                <w:rFonts w:ascii="Arial" w:hAnsi="Arial" w:cs="Arial"/>
                <w:bCs/>
                <w:iCs/>
                <w:sz w:val="20"/>
              </w:rPr>
              <w:t>or</w:t>
            </w:r>
            <w:r w:rsidRPr="00E70587">
              <w:rPr>
                <w:rFonts w:ascii="Arial" w:hAnsi="Arial" w:cs="Arial"/>
                <w:bCs/>
                <w:iCs/>
                <w:sz w:val="20"/>
              </w:rPr>
              <w:t xml:space="preserve"> loss.</w:t>
            </w:r>
          </w:p>
          <w:p w14:paraId="041DD559" w14:textId="77777777" w:rsidR="00E17643" w:rsidRPr="00E70587" w:rsidRDefault="00E17643" w:rsidP="00E17643">
            <w:pPr>
              <w:spacing w:line="280" w:lineRule="exact"/>
              <w:jc w:val="both"/>
              <w:rPr>
                <w:rFonts w:ascii="Arial" w:hAnsi="Arial" w:cs="Arial"/>
                <w:bCs/>
                <w:iCs/>
                <w:sz w:val="20"/>
              </w:rPr>
            </w:pPr>
          </w:p>
        </w:tc>
      </w:tr>
      <w:tr w:rsidR="00E17643" w:rsidRPr="00E70587" w14:paraId="508FF18E"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7E3CB203" w14:textId="77777777" w:rsidR="00E17643" w:rsidRPr="00E70587" w:rsidRDefault="00E17643" w:rsidP="00E17643">
            <w:pPr>
              <w:overflowPunct/>
              <w:autoSpaceDE/>
              <w:autoSpaceDN/>
              <w:adjustRightInd/>
              <w:spacing w:line="280" w:lineRule="exact"/>
              <w:jc w:val="both"/>
              <w:textAlignment w:val="auto"/>
              <w:rPr>
                <w:rFonts w:ascii="Arial" w:hAnsi="Arial" w:cs="Arial"/>
                <w:bCs/>
                <w:i/>
                <w:iCs/>
                <w:sz w:val="20"/>
              </w:rPr>
            </w:pPr>
            <w:r w:rsidRPr="00E70587">
              <w:rPr>
                <w:rFonts w:ascii="Arial" w:hAnsi="Arial" w:cs="Arial"/>
                <w:bCs/>
                <w:i/>
                <w:iCs/>
                <w:sz w:val="20"/>
              </w:rPr>
              <w:t>Loans and borrowings</w:t>
            </w:r>
          </w:p>
          <w:p w14:paraId="7986289A"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p>
          <w:p w14:paraId="2AD0A48B" w14:textId="774FDD06"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This is the category most relevant to the group. After initial recognition, borrowings are subsequently measured at amortised cost using the EIR method. Gains and losses are recognised in profit or loss when the liabilities are derecognised as well as through the EIR amortisation process.</w:t>
            </w:r>
          </w:p>
          <w:p w14:paraId="21452112" w14:textId="77777777" w:rsidR="00E17643" w:rsidRPr="00E70587" w:rsidRDefault="00E17643" w:rsidP="00E17643">
            <w:pPr>
              <w:spacing w:line="280" w:lineRule="exact"/>
              <w:jc w:val="both"/>
              <w:rPr>
                <w:rFonts w:ascii="Arial" w:hAnsi="Arial" w:cs="Arial"/>
                <w:bCs/>
                <w:iCs/>
                <w:sz w:val="20"/>
              </w:rPr>
            </w:pPr>
          </w:p>
          <w:p w14:paraId="74126855"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Amortised cost is calculated by taking into account any discount or premium on acquisition and fees or costs that are an integral part of the EIR. The EIR amortisation is included as finance costs in the statement of profit and loss.</w:t>
            </w:r>
          </w:p>
          <w:p w14:paraId="013978F2" w14:textId="77777777" w:rsidR="00E17643" w:rsidRPr="00E70587" w:rsidRDefault="00E17643" w:rsidP="00E17643">
            <w:pPr>
              <w:spacing w:line="280" w:lineRule="exact"/>
              <w:jc w:val="both"/>
              <w:rPr>
                <w:rFonts w:ascii="Arial" w:hAnsi="Arial" w:cs="Arial"/>
                <w:bCs/>
                <w:iCs/>
                <w:sz w:val="20"/>
              </w:rPr>
            </w:pPr>
          </w:p>
          <w:p w14:paraId="14E19D54" w14:textId="77777777"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t xml:space="preserve">This category generally applies to borrowings. For more information refer Note </w:t>
            </w:r>
            <w:r w:rsidR="00D01CE7" w:rsidRPr="00E70587">
              <w:rPr>
                <w:rFonts w:ascii="Arial" w:hAnsi="Arial" w:cs="Arial"/>
                <w:bCs/>
                <w:iCs/>
                <w:sz w:val="20"/>
              </w:rPr>
              <w:t>14</w:t>
            </w:r>
            <w:r w:rsidRPr="00E70587">
              <w:rPr>
                <w:rFonts w:ascii="Arial" w:hAnsi="Arial" w:cs="Arial"/>
                <w:bCs/>
                <w:iCs/>
                <w:sz w:val="20"/>
              </w:rPr>
              <w:t>.</w:t>
            </w:r>
          </w:p>
          <w:p w14:paraId="2E5D68F3" w14:textId="77777777" w:rsidR="00E17643" w:rsidRPr="00E70587" w:rsidRDefault="00E17643" w:rsidP="00E17643">
            <w:pPr>
              <w:spacing w:line="280" w:lineRule="exact"/>
              <w:jc w:val="both"/>
              <w:rPr>
                <w:rFonts w:ascii="Arial" w:hAnsi="Arial" w:cs="Arial"/>
                <w:bCs/>
                <w:iCs/>
                <w:sz w:val="20"/>
              </w:rPr>
            </w:pPr>
          </w:p>
        </w:tc>
      </w:tr>
      <w:tr w:rsidR="00E17643" w:rsidRPr="00E70587" w14:paraId="12BF6659"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3D32AA6B" w14:textId="77777777" w:rsidR="00E17643" w:rsidRPr="00E70587" w:rsidRDefault="00E17643" w:rsidP="00E17643">
            <w:pPr>
              <w:overflowPunct/>
              <w:autoSpaceDE/>
              <w:autoSpaceDN/>
              <w:adjustRightInd/>
              <w:spacing w:line="280" w:lineRule="exact"/>
              <w:jc w:val="both"/>
              <w:textAlignment w:val="auto"/>
              <w:rPr>
                <w:rFonts w:ascii="Arial" w:hAnsi="Arial" w:cs="Arial"/>
                <w:b/>
                <w:bCs/>
                <w:i/>
                <w:iCs/>
                <w:sz w:val="20"/>
              </w:rPr>
            </w:pPr>
            <w:r w:rsidRPr="00E70587">
              <w:rPr>
                <w:rFonts w:ascii="Arial" w:hAnsi="Arial" w:cs="Arial"/>
                <w:b/>
                <w:bCs/>
                <w:i/>
                <w:iCs/>
                <w:sz w:val="20"/>
              </w:rPr>
              <w:t>Financial guarantee contracts</w:t>
            </w:r>
          </w:p>
          <w:p w14:paraId="5BC09426"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p>
          <w:p w14:paraId="06006860" w14:textId="77777777" w:rsidR="00E17643" w:rsidRPr="00E70587" w:rsidRDefault="00E17643" w:rsidP="00E17643">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Financial guarantee contracts issued by the group are those contracts that require a payment to be made to reimburse the holder for a loss it incurs because the specified debtor fails to make a payment when due in accordance with the terms of a debt instrument. Financial guarantee contracts are recognised initially as a liability at fair value, adjusted for transaction costs that are directly attributable to the issuance of the guarantee. Subsequently, the liability is measured at the higher of the amount of loss allowance determined as per impairment requirements of Ind-AS 109 and the amount recognised less cumulative amortisation.</w:t>
            </w:r>
          </w:p>
          <w:p w14:paraId="4BD66A0C" w14:textId="77777777" w:rsidR="00E17643" w:rsidRDefault="00E17643" w:rsidP="00E17643">
            <w:pPr>
              <w:spacing w:line="280" w:lineRule="exact"/>
              <w:jc w:val="both"/>
              <w:rPr>
                <w:rFonts w:ascii="Arial" w:hAnsi="Arial" w:cs="Arial"/>
                <w:bCs/>
                <w:iCs/>
                <w:sz w:val="20"/>
              </w:rPr>
            </w:pPr>
          </w:p>
          <w:p w14:paraId="7BAF3C5A" w14:textId="77777777" w:rsidR="00657499" w:rsidRDefault="00657499" w:rsidP="00E17643">
            <w:pPr>
              <w:spacing w:line="280" w:lineRule="exact"/>
              <w:jc w:val="both"/>
              <w:rPr>
                <w:rFonts w:ascii="Arial" w:hAnsi="Arial" w:cs="Arial"/>
                <w:bCs/>
                <w:iCs/>
                <w:sz w:val="20"/>
              </w:rPr>
            </w:pPr>
          </w:p>
          <w:p w14:paraId="58B0D3EF" w14:textId="77777777" w:rsidR="00657499" w:rsidRPr="00E70587" w:rsidRDefault="00657499" w:rsidP="00E17643">
            <w:pPr>
              <w:spacing w:line="280" w:lineRule="exact"/>
              <w:jc w:val="both"/>
              <w:rPr>
                <w:rFonts w:ascii="Arial" w:hAnsi="Arial" w:cs="Arial"/>
                <w:bCs/>
                <w:iCs/>
                <w:sz w:val="20"/>
              </w:rPr>
            </w:pPr>
          </w:p>
        </w:tc>
      </w:tr>
      <w:tr w:rsidR="00E17643" w:rsidRPr="00E70587" w14:paraId="723F8990"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53C614BC" w14:textId="77777777" w:rsidR="00E17643" w:rsidRPr="00E70587" w:rsidRDefault="00E17643" w:rsidP="00E17643">
            <w:pPr>
              <w:spacing w:line="280" w:lineRule="exact"/>
              <w:jc w:val="both"/>
              <w:rPr>
                <w:rFonts w:ascii="Arial" w:hAnsi="Arial" w:cs="Arial"/>
                <w:b/>
                <w:bCs/>
                <w:i/>
                <w:iCs/>
                <w:sz w:val="20"/>
              </w:rPr>
            </w:pPr>
            <w:r w:rsidRPr="00E70587">
              <w:rPr>
                <w:rFonts w:ascii="Arial" w:hAnsi="Arial" w:cs="Arial"/>
                <w:b/>
                <w:bCs/>
                <w:i/>
                <w:iCs/>
                <w:sz w:val="20"/>
              </w:rPr>
              <w:t>Derecognition</w:t>
            </w:r>
          </w:p>
          <w:p w14:paraId="7116572C" w14:textId="77777777" w:rsidR="00E17643" w:rsidRPr="00E70587" w:rsidRDefault="00E17643" w:rsidP="00E17643">
            <w:pPr>
              <w:spacing w:line="280" w:lineRule="exact"/>
              <w:jc w:val="both"/>
              <w:rPr>
                <w:rFonts w:ascii="Arial" w:hAnsi="Arial" w:cs="Arial"/>
                <w:bCs/>
                <w:iCs/>
                <w:sz w:val="20"/>
              </w:rPr>
            </w:pPr>
          </w:p>
          <w:p w14:paraId="011B1BE3" w14:textId="38AC2FFC"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t xml:space="preserve">A financial liability is derecognised when the obligation under the liability is discharged or cancelled or expires. When an existing financial liability is replaced by another from the same lender on substantially different terms, or the terms of an existing liability are substantially modified, such an exchange or </w:t>
            </w:r>
            <w:r w:rsidRPr="00E70587">
              <w:rPr>
                <w:rFonts w:ascii="Arial" w:hAnsi="Arial" w:cs="Arial"/>
                <w:bCs/>
                <w:iCs/>
                <w:sz w:val="20"/>
              </w:rPr>
              <w:lastRenderedPageBreak/>
              <w:t xml:space="preserve">modification is treated as the derecognition of the original liability and the recognition of a new liability. The difference in the respective carrying amounts is recognised in the statement of profit </w:t>
            </w:r>
            <w:r w:rsidR="00A84575">
              <w:rPr>
                <w:rFonts w:ascii="Arial" w:hAnsi="Arial" w:cs="Arial"/>
                <w:bCs/>
                <w:iCs/>
                <w:sz w:val="20"/>
              </w:rPr>
              <w:t>and</w:t>
            </w:r>
            <w:r w:rsidRPr="00E70587">
              <w:rPr>
                <w:rFonts w:ascii="Arial" w:hAnsi="Arial" w:cs="Arial"/>
                <w:bCs/>
                <w:iCs/>
                <w:sz w:val="20"/>
              </w:rPr>
              <w:t xml:space="preserve"> loss.</w:t>
            </w:r>
          </w:p>
          <w:p w14:paraId="08099255" w14:textId="77777777" w:rsidR="00E17643" w:rsidRPr="00E70587" w:rsidRDefault="00E17643" w:rsidP="00E17643">
            <w:pPr>
              <w:spacing w:line="280" w:lineRule="exact"/>
              <w:jc w:val="both"/>
              <w:rPr>
                <w:rFonts w:ascii="Arial" w:hAnsi="Arial" w:cs="Arial"/>
                <w:bCs/>
                <w:iCs/>
                <w:sz w:val="20"/>
              </w:rPr>
            </w:pPr>
          </w:p>
        </w:tc>
      </w:tr>
      <w:tr w:rsidR="00E17643" w:rsidRPr="00E70587" w14:paraId="52D27FA0"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0A8D57FB" w14:textId="77777777" w:rsidR="00E17643" w:rsidRPr="00E70587" w:rsidRDefault="00E17643" w:rsidP="00E17643">
            <w:pPr>
              <w:spacing w:line="280" w:lineRule="exact"/>
              <w:jc w:val="both"/>
              <w:rPr>
                <w:rFonts w:ascii="Arial" w:hAnsi="Arial" w:cs="Arial"/>
                <w:b/>
                <w:bCs/>
                <w:i/>
                <w:iCs/>
                <w:sz w:val="20"/>
              </w:rPr>
            </w:pPr>
            <w:r w:rsidRPr="00E70587">
              <w:rPr>
                <w:rFonts w:ascii="Arial" w:hAnsi="Arial" w:cs="Arial"/>
                <w:b/>
                <w:bCs/>
                <w:i/>
                <w:iCs/>
                <w:sz w:val="20"/>
              </w:rPr>
              <w:lastRenderedPageBreak/>
              <w:t>Embedded derivatives</w:t>
            </w:r>
          </w:p>
          <w:p w14:paraId="6B750163" w14:textId="77777777" w:rsidR="00E17643" w:rsidRPr="00E70587" w:rsidRDefault="00E17643" w:rsidP="00E17643">
            <w:pPr>
              <w:spacing w:line="280" w:lineRule="exact"/>
              <w:jc w:val="both"/>
              <w:rPr>
                <w:rFonts w:ascii="Arial" w:hAnsi="Arial" w:cs="Arial"/>
                <w:bCs/>
                <w:iCs/>
                <w:sz w:val="20"/>
              </w:rPr>
            </w:pPr>
          </w:p>
          <w:p w14:paraId="02C31E91" w14:textId="77777777"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t xml:space="preserve">An embedded derivative is a component of a hybrid (combined) instrument that also includes a non-derivative host contract – with the effect that some of the cash flows of the combined instrument vary in a way similar to a stand-alone derivative. An </w:t>
            </w:r>
            <w:proofErr w:type="gramStart"/>
            <w:r w:rsidRPr="00E70587">
              <w:rPr>
                <w:rFonts w:ascii="Arial" w:hAnsi="Arial" w:cs="Arial"/>
                <w:bCs/>
                <w:iCs/>
                <w:sz w:val="20"/>
              </w:rPr>
              <w:t>embedded derivative causes</w:t>
            </w:r>
            <w:proofErr w:type="gramEnd"/>
            <w:r w:rsidRPr="00E70587">
              <w:rPr>
                <w:rFonts w:ascii="Arial" w:hAnsi="Arial" w:cs="Arial"/>
                <w:bCs/>
                <w:iCs/>
                <w:sz w:val="20"/>
              </w:rPr>
              <w:t xml:space="preserve"> some or all of the cash flows that otherwise would be required by the contract to be modified according to a specified interest rate, financial instrument price, commodity price, foreign exchange rate, index of prices or rates, credit rating or credit index, or other variable, provided in the case of a non-financial variable that the variable is not specific to a party to the contract.</w:t>
            </w:r>
          </w:p>
          <w:p w14:paraId="12784DDC" w14:textId="77777777" w:rsidR="00E17643" w:rsidRPr="00E70587" w:rsidRDefault="00E17643" w:rsidP="00E17643">
            <w:pPr>
              <w:spacing w:line="280" w:lineRule="exact"/>
              <w:jc w:val="both"/>
              <w:rPr>
                <w:rFonts w:ascii="Arial" w:hAnsi="Arial" w:cs="Arial"/>
                <w:bCs/>
                <w:iCs/>
                <w:sz w:val="20"/>
              </w:rPr>
            </w:pPr>
          </w:p>
          <w:p w14:paraId="2C4FB8B5" w14:textId="0AAF94D0"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t xml:space="preserve">If the hybrid contract contains a host that is a financial asset within the scope Ind-AS 109, the group does not separate embedded derivatives. Rather, it applies the classification requirements contained in Ind AS 109 to the entire hybrid contract. Derivatives embedded in all other host contracts are accounted for as separate derivatives and recorded at fair value if their economic characteristics and risks are not closely related to those of the host contracts and the host contracts are not held for trading or designated at fair value though profit </w:t>
            </w:r>
            <w:r w:rsidR="009A629E">
              <w:rPr>
                <w:rFonts w:ascii="Arial" w:hAnsi="Arial" w:cs="Arial"/>
                <w:bCs/>
                <w:iCs/>
                <w:sz w:val="20"/>
              </w:rPr>
              <w:t>or</w:t>
            </w:r>
            <w:r w:rsidR="00A84575" w:rsidRPr="00E70587">
              <w:rPr>
                <w:rFonts w:ascii="Arial" w:hAnsi="Arial" w:cs="Arial"/>
                <w:bCs/>
                <w:iCs/>
                <w:sz w:val="20"/>
              </w:rPr>
              <w:t xml:space="preserve"> </w:t>
            </w:r>
            <w:r w:rsidRPr="00E70587">
              <w:rPr>
                <w:rFonts w:ascii="Arial" w:hAnsi="Arial" w:cs="Arial"/>
                <w:bCs/>
                <w:iCs/>
                <w:sz w:val="20"/>
              </w:rPr>
              <w:t xml:space="preserve">loss. These embedded derivatives are measured at fair value with changes in fair value recognised in profit </w:t>
            </w:r>
            <w:r w:rsidR="009A629E">
              <w:rPr>
                <w:rFonts w:ascii="Arial" w:hAnsi="Arial" w:cs="Arial"/>
                <w:bCs/>
                <w:iCs/>
                <w:sz w:val="20"/>
              </w:rPr>
              <w:t>or</w:t>
            </w:r>
            <w:r w:rsidR="00A84575" w:rsidRPr="00E70587">
              <w:rPr>
                <w:rFonts w:ascii="Arial" w:hAnsi="Arial" w:cs="Arial"/>
                <w:bCs/>
                <w:iCs/>
                <w:sz w:val="20"/>
              </w:rPr>
              <w:t xml:space="preserve"> </w:t>
            </w:r>
            <w:r w:rsidRPr="00E70587">
              <w:rPr>
                <w:rFonts w:ascii="Arial" w:hAnsi="Arial" w:cs="Arial"/>
                <w:bCs/>
                <w:iCs/>
                <w:sz w:val="20"/>
              </w:rPr>
              <w:t xml:space="preserve">loss, unless designated as effective hedging instruments. Reassessment only occurs if there is either a change in the terms of the contract that significantly modifies the cash flows that would otherwise be required or a reclassification of a financial asset out of the fair value through profit </w:t>
            </w:r>
            <w:r w:rsidR="009A629E">
              <w:rPr>
                <w:rFonts w:ascii="Arial" w:hAnsi="Arial" w:cs="Arial"/>
                <w:bCs/>
                <w:iCs/>
                <w:sz w:val="20"/>
              </w:rPr>
              <w:t>or</w:t>
            </w:r>
            <w:r w:rsidRPr="00E70587">
              <w:rPr>
                <w:rFonts w:ascii="Arial" w:hAnsi="Arial" w:cs="Arial"/>
                <w:bCs/>
                <w:iCs/>
                <w:sz w:val="20"/>
              </w:rPr>
              <w:t xml:space="preserve"> loss.</w:t>
            </w:r>
          </w:p>
          <w:p w14:paraId="096DC2B0" w14:textId="77777777" w:rsidR="00E17643" w:rsidRPr="00E70587" w:rsidRDefault="00E17643" w:rsidP="00E17643">
            <w:pPr>
              <w:spacing w:line="280" w:lineRule="exact"/>
              <w:jc w:val="both"/>
              <w:rPr>
                <w:rFonts w:ascii="Arial" w:hAnsi="Arial" w:cs="Arial"/>
                <w:bCs/>
                <w:iCs/>
                <w:sz w:val="20"/>
              </w:rPr>
            </w:pPr>
          </w:p>
        </w:tc>
      </w:tr>
      <w:tr w:rsidR="00E17643" w:rsidRPr="00E70587" w14:paraId="61360A9E" w14:textId="77777777" w:rsidTr="00693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tcBorders>
              <w:top w:val="nil"/>
              <w:left w:val="nil"/>
              <w:bottom w:val="nil"/>
              <w:right w:val="nil"/>
            </w:tcBorders>
          </w:tcPr>
          <w:p w14:paraId="707704F9" w14:textId="77777777" w:rsidR="00E17643" w:rsidRPr="00E70587" w:rsidRDefault="00E17643" w:rsidP="00E17643">
            <w:pPr>
              <w:spacing w:line="280" w:lineRule="exact"/>
              <w:jc w:val="both"/>
              <w:rPr>
                <w:rFonts w:ascii="Arial" w:hAnsi="Arial" w:cs="Arial"/>
                <w:b/>
                <w:bCs/>
                <w:i/>
                <w:iCs/>
                <w:sz w:val="20"/>
              </w:rPr>
            </w:pPr>
            <w:r w:rsidRPr="00E70587">
              <w:rPr>
                <w:rFonts w:ascii="Arial" w:hAnsi="Arial" w:cs="Arial"/>
                <w:b/>
                <w:bCs/>
                <w:i/>
                <w:iCs/>
                <w:sz w:val="20"/>
              </w:rPr>
              <w:t>Reclassification of financial assets</w:t>
            </w:r>
          </w:p>
          <w:p w14:paraId="2106BB38" w14:textId="77777777" w:rsidR="00E17643" w:rsidRPr="00E70587" w:rsidRDefault="00E17643" w:rsidP="00E17643">
            <w:pPr>
              <w:spacing w:line="280" w:lineRule="exact"/>
              <w:jc w:val="both"/>
              <w:rPr>
                <w:rFonts w:ascii="Arial" w:hAnsi="Arial" w:cs="Arial"/>
                <w:bCs/>
                <w:iCs/>
                <w:sz w:val="20"/>
              </w:rPr>
            </w:pPr>
          </w:p>
          <w:p w14:paraId="1A492970" w14:textId="77777777"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t>The group determines classification of financial assets and liabilities on initial recognition. After initial recognition, no reclassification is made for financial assets which are equity instruments and financial liabilities. For financial assets which are debt instruments, a reclassification is made only if there is a change in the business model for managing those assets. Changes to the business model are expected to be infrequent. The group’s senior management determines change in the business model as a result of external or internal changes which are significant to the group’s operations. Such changes are evident to external parties. A change in the business model occurs when the group either begins or ceases to perform an activity that is significant to its operations. If the group reclassifies financial assets, it applies the reclassification prospectively from the reclassification date which is the first day of the immediately next reporting period following the change in business model. The group does not restate any previously recognised gains, losses (including impairment gains or losses) or interest.</w:t>
            </w:r>
          </w:p>
          <w:p w14:paraId="03C77C37" w14:textId="77777777" w:rsidR="00E17643" w:rsidRPr="00E70587" w:rsidRDefault="00E17643" w:rsidP="00E17643">
            <w:pPr>
              <w:spacing w:line="280" w:lineRule="exact"/>
              <w:jc w:val="both"/>
              <w:rPr>
                <w:rFonts w:ascii="Arial" w:hAnsi="Arial" w:cs="Arial"/>
                <w:bCs/>
                <w:iCs/>
                <w:sz w:val="20"/>
              </w:rPr>
            </w:pPr>
          </w:p>
          <w:p w14:paraId="16F50B3F" w14:textId="77777777" w:rsidR="00E17643" w:rsidRPr="00E70587" w:rsidRDefault="00E17643" w:rsidP="00E17643">
            <w:pPr>
              <w:spacing w:line="280" w:lineRule="exact"/>
              <w:jc w:val="both"/>
              <w:rPr>
                <w:rFonts w:ascii="Arial" w:hAnsi="Arial" w:cs="Arial"/>
                <w:bCs/>
                <w:iCs/>
                <w:sz w:val="20"/>
              </w:rPr>
            </w:pPr>
            <w:r w:rsidRPr="00E70587">
              <w:rPr>
                <w:rFonts w:ascii="Arial" w:hAnsi="Arial" w:cs="Arial"/>
                <w:bCs/>
                <w:iCs/>
                <w:sz w:val="20"/>
              </w:rPr>
              <w:t>The following table shows various reclassifications and how they are accounted for</w:t>
            </w:r>
          </w:p>
          <w:p w14:paraId="51BD2B61" w14:textId="77777777" w:rsidR="00E17643" w:rsidRPr="00E70587" w:rsidRDefault="00E17643" w:rsidP="00E17643">
            <w:pPr>
              <w:spacing w:line="280" w:lineRule="exact"/>
              <w:jc w:val="both"/>
              <w:rPr>
                <w:rFonts w:ascii="Arial" w:hAnsi="Arial" w:cs="Arial"/>
                <w:b/>
                <w:bCs/>
                <w:iCs/>
                <w:sz w:val="20"/>
              </w:rPr>
            </w:pPr>
          </w:p>
        </w:tc>
      </w:tr>
    </w:tbl>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1936"/>
        <w:gridCol w:w="5084"/>
      </w:tblGrid>
      <w:tr w:rsidR="00CA33DC" w:rsidRPr="00E70587" w14:paraId="5864D4F6" w14:textId="77777777" w:rsidTr="008F3C56">
        <w:tc>
          <w:tcPr>
            <w:tcW w:w="2556" w:type="dxa"/>
          </w:tcPr>
          <w:p w14:paraId="71423C31" w14:textId="77777777" w:rsidR="008F3C56" w:rsidRPr="00E70587" w:rsidRDefault="008F3C56" w:rsidP="008F3C56">
            <w:pPr>
              <w:overflowPunct/>
              <w:spacing w:line="280" w:lineRule="exact"/>
              <w:jc w:val="center"/>
              <w:textAlignment w:val="auto"/>
              <w:rPr>
                <w:rFonts w:ascii="Arial" w:hAnsi="Arial" w:cs="Arial"/>
                <w:b/>
                <w:sz w:val="20"/>
              </w:rPr>
            </w:pPr>
            <w:r w:rsidRPr="00E70587">
              <w:rPr>
                <w:rFonts w:ascii="Arial" w:hAnsi="Arial" w:cs="Arial"/>
                <w:b/>
                <w:sz w:val="20"/>
              </w:rPr>
              <w:t>Original classification</w:t>
            </w:r>
          </w:p>
        </w:tc>
        <w:tc>
          <w:tcPr>
            <w:tcW w:w="1936" w:type="dxa"/>
          </w:tcPr>
          <w:p w14:paraId="150C1A1E" w14:textId="77777777" w:rsidR="008F3C56" w:rsidRPr="00E70587" w:rsidRDefault="008F3C56" w:rsidP="008F3C56">
            <w:pPr>
              <w:overflowPunct/>
              <w:spacing w:line="280" w:lineRule="exact"/>
              <w:jc w:val="center"/>
              <w:textAlignment w:val="auto"/>
              <w:rPr>
                <w:rFonts w:ascii="Arial" w:hAnsi="Arial" w:cs="Arial"/>
                <w:b/>
                <w:sz w:val="20"/>
              </w:rPr>
            </w:pPr>
            <w:r w:rsidRPr="00E70587">
              <w:rPr>
                <w:rFonts w:ascii="Arial" w:hAnsi="Arial" w:cs="Arial"/>
                <w:b/>
                <w:sz w:val="20"/>
              </w:rPr>
              <w:t>Revised classification</w:t>
            </w:r>
          </w:p>
        </w:tc>
        <w:tc>
          <w:tcPr>
            <w:tcW w:w="5084" w:type="dxa"/>
          </w:tcPr>
          <w:p w14:paraId="0C529D2F" w14:textId="77777777" w:rsidR="008F3C56" w:rsidRPr="00E70587" w:rsidRDefault="008F3C56" w:rsidP="008F3C56">
            <w:pPr>
              <w:overflowPunct/>
              <w:spacing w:line="280" w:lineRule="exact"/>
              <w:jc w:val="center"/>
              <w:textAlignment w:val="auto"/>
              <w:rPr>
                <w:rFonts w:ascii="Arial" w:hAnsi="Arial" w:cs="Arial"/>
                <w:b/>
                <w:sz w:val="20"/>
              </w:rPr>
            </w:pPr>
            <w:r w:rsidRPr="00E70587">
              <w:rPr>
                <w:rFonts w:ascii="Arial" w:hAnsi="Arial" w:cs="Arial"/>
                <w:b/>
                <w:sz w:val="20"/>
              </w:rPr>
              <w:t>Accounting treatment</w:t>
            </w:r>
          </w:p>
        </w:tc>
      </w:tr>
      <w:tr w:rsidR="00CA33DC" w:rsidRPr="00E70587" w14:paraId="697B8ADC" w14:textId="77777777" w:rsidTr="008F3C56">
        <w:tc>
          <w:tcPr>
            <w:tcW w:w="2556" w:type="dxa"/>
          </w:tcPr>
          <w:p w14:paraId="2F4AC6BF"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Amortised cost</w:t>
            </w:r>
          </w:p>
        </w:tc>
        <w:tc>
          <w:tcPr>
            <w:tcW w:w="1936" w:type="dxa"/>
          </w:tcPr>
          <w:p w14:paraId="62B75E02"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FVTPL</w:t>
            </w:r>
          </w:p>
        </w:tc>
        <w:tc>
          <w:tcPr>
            <w:tcW w:w="5084" w:type="dxa"/>
          </w:tcPr>
          <w:p w14:paraId="2F9E5DA7"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Fair value is measured at reclassification date. Difference between previous amortized cost and fair value is recognised in P&amp;L.</w:t>
            </w:r>
          </w:p>
        </w:tc>
      </w:tr>
      <w:tr w:rsidR="00CA33DC" w:rsidRPr="00E70587" w14:paraId="09C4E9EA" w14:textId="77777777" w:rsidTr="008F3C56">
        <w:tc>
          <w:tcPr>
            <w:tcW w:w="2556" w:type="dxa"/>
          </w:tcPr>
          <w:p w14:paraId="438B06CB"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FVTPL</w:t>
            </w:r>
          </w:p>
        </w:tc>
        <w:tc>
          <w:tcPr>
            <w:tcW w:w="1936" w:type="dxa"/>
          </w:tcPr>
          <w:p w14:paraId="479070AA"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Amortised Cost</w:t>
            </w:r>
          </w:p>
        </w:tc>
        <w:tc>
          <w:tcPr>
            <w:tcW w:w="5084" w:type="dxa"/>
          </w:tcPr>
          <w:p w14:paraId="0B3EF836"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Fair value at reclassification date becomes its new gross carrying amount. EIR is calculated based on the new gross carrying amount.</w:t>
            </w:r>
          </w:p>
        </w:tc>
      </w:tr>
      <w:tr w:rsidR="00CA33DC" w:rsidRPr="00E70587" w14:paraId="5B9CEBF2" w14:textId="77777777" w:rsidTr="008F3C56">
        <w:tc>
          <w:tcPr>
            <w:tcW w:w="2556" w:type="dxa"/>
          </w:tcPr>
          <w:p w14:paraId="624E759F"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Amortised cost</w:t>
            </w:r>
          </w:p>
        </w:tc>
        <w:tc>
          <w:tcPr>
            <w:tcW w:w="1936" w:type="dxa"/>
          </w:tcPr>
          <w:p w14:paraId="770336C4"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FVTOCI</w:t>
            </w:r>
          </w:p>
        </w:tc>
        <w:tc>
          <w:tcPr>
            <w:tcW w:w="5084" w:type="dxa"/>
          </w:tcPr>
          <w:p w14:paraId="5158ED85"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 xml:space="preserve">Fair value is measured at reclassification date. Difference between previous amortised cost and fair </w:t>
            </w:r>
            <w:r w:rsidRPr="00E70587">
              <w:rPr>
                <w:rFonts w:ascii="Arial" w:hAnsi="Arial" w:cs="Arial"/>
                <w:sz w:val="20"/>
              </w:rPr>
              <w:lastRenderedPageBreak/>
              <w:t>value is recognised in OCI. No change in EIR due to reclassification.</w:t>
            </w:r>
          </w:p>
        </w:tc>
      </w:tr>
      <w:tr w:rsidR="00CA33DC" w:rsidRPr="00E70587" w14:paraId="3D785D7D" w14:textId="77777777" w:rsidTr="008F3C56">
        <w:tc>
          <w:tcPr>
            <w:tcW w:w="2556" w:type="dxa"/>
          </w:tcPr>
          <w:p w14:paraId="2E147A95"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lastRenderedPageBreak/>
              <w:t>FV</w:t>
            </w:r>
            <w:r w:rsidR="009A2E62" w:rsidRPr="00E70587">
              <w:rPr>
                <w:rFonts w:ascii="Arial" w:hAnsi="Arial" w:cs="Arial"/>
                <w:sz w:val="20"/>
              </w:rPr>
              <w:t>T</w:t>
            </w:r>
            <w:r w:rsidRPr="00E70587">
              <w:rPr>
                <w:rFonts w:ascii="Arial" w:hAnsi="Arial" w:cs="Arial"/>
                <w:sz w:val="20"/>
              </w:rPr>
              <w:t>OCI</w:t>
            </w:r>
          </w:p>
        </w:tc>
        <w:tc>
          <w:tcPr>
            <w:tcW w:w="1936" w:type="dxa"/>
          </w:tcPr>
          <w:p w14:paraId="62AF6D89"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Amortised cost</w:t>
            </w:r>
          </w:p>
        </w:tc>
        <w:tc>
          <w:tcPr>
            <w:tcW w:w="5084" w:type="dxa"/>
          </w:tcPr>
          <w:p w14:paraId="7F09FE94"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Fair value at reclassification date becomes its new amortised cost carrying amount. However, cumulative gain or loss in OCI is adjusted against fair value. Consequently, the asset is measured as if it had always been measured at amortised cost.</w:t>
            </w:r>
          </w:p>
        </w:tc>
      </w:tr>
      <w:tr w:rsidR="00CA33DC" w:rsidRPr="00E70587" w14:paraId="4023B1AC" w14:textId="77777777" w:rsidTr="008F3C56">
        <w:tc>
          <w:tcPr>
            <w:tcW w:w="2556" w:type="dxa"/>
          </w:tcPr>
          <w:p w14:paraId="4DA769A3"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FVTPL</w:t>
            </w:r>
          </w:p>
        </w:tc>
        <w:tc>
          <w:tcPr>
            <w:tcW w:w="1936" w:type="dxa"/>
          </w:tcPr>
          <w:p w14:paraId="2A8C7B44"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FVTOCI</w:t>
            </w:r>
          </w:p>
        </w:tc>
        <w:tc>
          <w:tcPr>
            <w:tcW w:w="5084" w:type="dxa"/>
          </w:tcPr>
          <w:p w14:paraId="6A61AC81"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Fair value at reclassification date becomes its new carrying amount. No other adjustment is required.</w:t>
            </w:r>
          </w:p>
        </w:tc>
      </w:tr>
      <w:tr w:rsidR="00CA33DC" w:rsidRPr="00E70587" w14:paraId="500F550B" w14:textId="77777777" w:rsidTr="008F3C56">
        <w:tc>
          <w:tcPr>
            <w:tcW w:w="2556" w:type="dxa"/>
          </w:tcPr>
          <w:p w14:paraId="3463E109"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FVTOCI</w:t>
            </w:r>
          </w:p>
        </w:tc>
        <w:tc>
          <w:tcPr>
            <w:tcW w:w="1936" w:type="dxa"/>
          </w:tcPr>
          <w:p w14:paraId="76BCF008"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FVTPL</w:t>
            </w:r>
          </w:p>
        </w:tc>
        <w:tc>
          <w:tcPr>
            <w:tcW w:w="5084" w:type="dxa"/>
          </w:tcPr>
          <w:p w14:paraId="495153F9" w14:textId="77777777" w:rsidR="008F3C56" w:rsidRPr="00E70587" w:rsidRDefault="008F3C56" w:rsidP="008F3C56">
            <w:pPr>
              <w:overflowPunct/>
              <w:spacing w:line="280" w:lineRule="exact"/>
              <w:textAlignment w:val="auto"/>
              <w:rPr>
                <w:rFonts w:ascii="Arial" w:hAnsi="Arial" w:cs="Arial"/>
                <w:sz w:val="20"/>
              </w:rPr>
            </w:pPr>
            <w:r w:rsidRPr="00E70587">
              <w:rPr>
                <w:rFonts w:ascii="Arial" w:hAnsi="Arial" w:cs="Arial"/>
                <w:sz w:val="20"/>
              </w:rPr>
              <w:t>Assets continue to be measured at fair value. Cumulative gain or loss previously recognized in OCI is reclassified to P&amp;L at the reclassification date.</w:t>
            </w:r>
          </w:p>
        </w:tc>
      </w:tr>
    </w:tbl>
    <w:tbl>
      <w:tblPr>
        <w:tblW w:w="9576" w:type="dxa"/>
        <w:tblLook w:val="0000" w:firstRow="0" w:lastRow="0" w:firstColumn="0" w:lastColumn="0" w:noHBand="0" w:noVBand="0"/>
      </w:tblPr>
      <w:tblGrid>
        <w:gridCol w:w="9576"/>
      </w:tblGrid>
      <w:tr w:rsidR="00CA33DC" w:rsidRPr="00E70587" w14:paraId="49359098" w14:textId="77777777" w:rsidTr="008B3EBB">
        <w:tc>
          <w:tcPr>
            <w:tcW w:w="0" w:type="auto"/>
          </w:tcPr>
          <w:p w14:paraId="773E5BD0" w14:textId="77777777" w:rsidR="008F3C56" w:rsidRPr="00E70587" w:rsidRDefault="008F3C56" w:rsidP="008F3C56">
            <w:pPr>
              <w:spacing w:line="280" w:lineRule="exact"/>
              <w:ind w:left="-18"/>
              <w:jc w:val="both"/>
              <w:rPr>
                <w:rFonts w:ascii="Arial" w:hAnsi="Arial" w:cs="Arial"/>
                <w:bCs/>
                <w:iCs/>
                <w:sz w:val="20"/>
              </w:rPr>
            </w:pPr>
          </w:p>
          <w:p w14:paraId="2E552C15" w14:textId="77777777" w:rsidR="008F3C56" w:rsidRPr="00E70587" w:rsidRDefault="008F3C56" w:rsidP="008F3C56">
            <w:pPr>
              <w:spacing w:line="280" w:lineRule="exact"/>
              <w:ind w:left="-18"/>
              <w:jc w:val="both"/>
              <w:rPr>
                <w:rFonts w:ascii="Arial" w:hAnsi="Arial" w:cs="Arial"/>
                <w:b/>
                <w:bCs/>
                <w:iCs/>
                <w:sz w:val="20"/>
              </w:rPr>
            </w:pPr>
            <w:r w:rsidRPr="00E70587">
              <w:rPr>
                <w:rFonts w:ascii="Arial" w:hAnsi="Arial" w:cs="Arial"/>
                <w:b/>
                <w:bCs/>
                <w:iCs/>
                <w:sz w:val="20"/>
              </w:rPr>
              <w:t>Offsetting of financial instruments</w:t>
            </w:r>
          </w:p>
          <w:p w14:paraId="1488DC4D" w14:textId="77777777" w:rsidR="008F3C56" w:rsidRPr="00E70587" w:rsidRDefault="008F3C56" w:rsidP="008F3C56">
            <w:pPr>
              <w:spacing w:line="280" w:lineRule="exact"/>
              <w:ind w:left="-18"/>
              <w:jc w:val="both"/>
              <w:rPr>
                <w:rFonts w:ascii="Arial" w:hAnsi="Arial" w:cs="Arial"/>
                <w:bCs/>
                <w:iCs/>
                <w:sz w:val="20"/>
              </w:rPr>
            </w:pPr>
          </w:p>
          <w:p w14:paraId="61783210" w14:textId="77777777" w:rsidR="008F3C56" w:rsidRPr="00E70587" w:rsidRDefault="008F3C56" w:rsidP="008F3C56">
            <w:pPr>
              <w:spacing w:line="280" w:lineRule="exact"/>
              <w:ind w:left="-18"/>
              <w:jc w:val="both"/>
              <w:rPr>
                <w:rFonts w:ascii="Arial" w:hAnsi="Arial" w:cs="Arial"/>
                <w:bCs/>
                <w:iCs/>
                <w:sz w:val="20"/>
              </w:rPr>
            </w:pPr>
            <w:r w:rsidRPr="00E70587">
              <w:rPr>
                <w:rFonts w:ascii="Arial" w:hAnsi="Arial" w:cs="Arial"/>
                <w:bCs/>
                <w:iCs/>
                <w:sz w:val="20"/>
              </w:rPr>
              <w:t>Financial assets and financial liabilities are offset and the net amount is reported in the consolidated balance sheet if there is a currently enforceable legal right to offset the recognised amounts and there is an intention to settle on a net basis, to realise the assets and settle the liabilities simultaneously.</w:t>
            </w:r>
          </w:p>
          <w:p w14:paraId="5B258393" w14:textId="77777777" w:rsidR="00034EA3" w:rsidRPr="00E70587" w:rsidRDefault="00034EA3" w:rsidP="008F3C56">
            <w:pPr>
              <w:spacing w:line="280" w:lineRule="exact"/>
              <w:ind w:left="-18"/>
              <w:jc w:val="both"/>
              <w:rPr>
                <w:rFonts w:ascii="Arial" w:hAnsi="Arial" w:cs="Arial"/>
                <w:b/>
                <w:bCs/>
                <w:iCs/>
                <w:sz w:val="20"/>
              </w:rPr>
            </w:pPr>
          </w:p>
        </w:tc>
      </w:tr>
      <w:tr w:rsidR="00CA33DC" w:rsidRPr="00E70587" w14:paraId="59D37175" w14:textId="77777777" w:rsidTr="008B3EBB">
        <w:tc>
          <w:tcPr>
            <w:tcW w:w="0" w:type="auto"/>
          </w:tcPr>
          <w:p w14:paraId="26F8EA2B" w14:textId="77777777" w:rsidR="008F3C56" w:rsidRPr="00E70587" w:rsidRDefault="008F3C56" w:rsidP="008B3EBB">
            <w:pPr>
              <w:pStyle w:val="Heading4"/>
              <w:keepNext w:val="0"/>
              <w:numPr>
                <w:ilvl w:val="0"/>
                <w:numId w:val="4"/>
              </w:numPr>
              <w:tabs>
                <w:tab w:val="clear" w:pos="357"/>
              </w:tabs>
              <w:spacing w:before="0" w:after="0" w:line="280" w:lineRule="exact"/>
              <w:jc w:val="both"/>
              <w:rPr>
                <w:rFonts w:ascii="Arial" w:hAnsi="Arial" w:cs="Arial"/>
                <w:szCs w:val="20"/>
              </w:rPr>
            </w:pPr>
            <w:r w:rsidRPr="00E70587">
              <w:rPr>
                <w:rFonts w:ascii="Arial" w:hAnsi="Arial" w:cs="Arial"/>
                <w:szCs w:val="20"/>
              </w:rPr>
              <w:t>Derivative financial instruments and hedge accounting</w:t>
            </w:r>
          </w:p>
          <w:p w14:paraId="363C2A05" w14:textId="77777777" w:rsidR="008B3EBB" w:rsidRPr="00E70587" w:rsidRDefault="008B3EBB" w:rsidP="008F3C56">
            <w:pPr>
              <w:spacing w:line="280" w:lineRule="exact"/>
              <w:ind w:left="-18"/>
              <w:jc w:val="both"/>
              <w:rPr>
                <w:rFonts w:ascii="Arial" w:hAnsi="Arial" w:cs="Arial"/>
                <w:bCs/>
                <w:iCs/>
                <w:sz w:val="20"/>
              </w:rPr>
            </w:pPr>
          </w:p>
          <w:p w14:paraId="3D24D6B6" w14:textId="77777777" w:rsidR="008F3C56" w:rsidRPr="00E70587" w:rsidRDefault="008F3C56" w:rsidP="008F3C56">
            <w:pPr>
              <w:spacing w:line="280" w:lineRule="exact"/>
              <w:ind w:left="-18"/>
              <w:jc w:val="both"/>
              <w:rPr>
                <w:rFonts w:ascii="Arial" w:hAnsi="Arial" w:cs="Arial"/>
                <w:b/>
                <w:bCs/>
                <w:i/>
                <w:iCs/>
                <w:sz w:val="20"/>
              </w:rPr>
            </w:pPr>
            <w:r w:rsidRPr="00E70587">
              <w:rPr>
                <w:rFonts w:ascii="Arial" w:hAnsi="Arial" w:cs="Arial"/>
                <w:b/>
                <w:bCs/>
                <w:i/>
                <w:iCs/>
                <w:sz w:val="20"/>
              </w:rPr>
              <w:t>Initial recognition and subsequent measurement</w:t>
            </w:r>
          </w:p>
          <w:p w14:paraId="494DD63D" w14:textId="77777777" w:rsidR="008B3EBB" w:rsidRPr="00E70587" w:rsidRDefault="008B3EBB" w:rsidP="008F3C56">
            <w:pPr>
              <w:spacing w:line="280" w:lineRule="exact"/>
              <w:ind w:left="-18"/>
              <w:jc w:val="both"/>
              <w:rPr>
                <w:rFonts w:ascii="Arial" w:hAnsi="Arial" w:cs="Arial"/>
                <w:bCs/>
                <w:iCs/>
                <w:sz w:val="20"/>
              </w:rPr>
            </w:pPr>
          </w:p>
          <w:p w14:paraId="4A20BEFF" w14:textId="77777777" w:rsidR="008F3C56" w:rsidRPr="00E70587" w:rsidRDefault="008F3C56" w:rsidP="008F3C56">
            <w:pPr>
              <w:spacing w:line="280" w:lineRule="exact"/>
              <w:ind w:left="-18"/>
              <w:jc w:val="both"/>
              <w:rPr>
                <w:rFonts w:ascii="Arial" w:hAnsi="Arial" w:cs="Arial"/>
                <w:bCs/>
                <w:iCs/>
                <w:sz w:val="20"/>
              </w:rPr>
            </w:pPr>
            <w:r w:rsidRPr="00E70587">
              <w:rPr>
                <w:rFonts w:ascii="Arial" w:hAnsi="Arial" w:cs="Arial"/>
                <w:bCs/>
                <w:iCs/>
                <w:sz w:val="20"/>
              </w:rPr>
              <w:t>The Group uses derivative financial instruments, such as forward currency contracts, interest rate swaps and forward commodity contracts, to hedge its foreign currency risks, interest rate risks and commodity price risks, respectively. Such derivative financial instruments are initially recognised at fair value on the date on which a derivative contract is entered into and are subsequently re-measured at fair value. Derivatives are carried as financial assets when the fair value is positive and as financial liabilities when the fair value is negative.</w:t>
            </w:r>
          </w:p>
          <w:p w14:paraId="654C187F" w14:textId="77777777" w:rsidR="008B3EBB" w:rsidRPr="00E70587" w:rsidRDefault="008B3EBB" w:rsidP="008B3EBB">
            <w:pPr>
              <w:spacing w:line="280" w:lineRule="exact"/>
              <w:ind w:left="-18"/>
              <w:jc w:val="both"/>
              <w:rPr>
                <w:rFonts w:ascii="Arial" w:hAnsi="Arial" w:cs="Arial"/>
                <w:bCs/>
                <w:iCs/>
                <w:sz w:val="20"/>
              </w:rPr>
            </w:pPr>
          </w:p>
          <w:p w14:paraId="3354B480" w14:textId="77777777" w:rsidR="008B3EBB" w:rsidRPr="00E70587" w:rsidRDefault="008B3EBB" w:rsidP="008B3EBB">
            <w:pPr>
              <w:spacing w:line="280" w:lineRule="exact"/>
              <w:ind w:left="-18"/>
              <w:jc w:val="both"/>
              <w:rPr>
                <w:rFonts w:ascii="Arial" w:hAnsi="Arial" w:cs="Arial"/>
                <w:bCs/>
                <w:iCs/>
                <w:sz w:val="20"/>
              </w:rPr>
            </w:pPr>
            <w:r w:rsidRPr="00E70587">
              <w:rPr>
                <w:rFonts w:ascii="Arial" w:hAnsi="Arial" w:cs="Arial"/>
                <w:bCs/>
                <w:iCs/>
                <w:sz w:val="20"/>
              </w:rPr>
              <w:t>The purchase contracts that meet the definition of a derivative under Ind-AS 109 are recognised in the statement of profit and loss. Commodity contracts that are entered into and continue to be held for the purpose of the receipt or delivery of a non-financial item in accordance with the Group’s expected purchase, sale or usage requirements are held at cost.</w:t>
            </w:r>
          </w:p>
          <w:p w14:paraId="539D6FB6" w14:textId="77777777" w:rsidR="008F3C56" w:rsidRPr="00E70587" w:rsidRDefault="008F3C56" w:rsidP="008F3C56">
            <w:pPr>
              <w:spacing w:line="280" w:lineRule="exact"/>
              <w:ind w:left="-18"/>
              <w:jc w:val="both"/>
              <w:rPr>
                <w:rFonts w:ascii="Arial" w:hAnsi="Arial" w:cs="Arial"/>
                <w:sz w:val="20"/>
              </w:rPr>
            </w:pPr>
          </w:p>
        </w:tc>
      </w:tr>
      <w:tr w:rsidR="00CA33DC" w:rsidRPr="00E70587" w14:paraId="0FF2B46C" w14:textId="77777777" w:rsidTr="008B3EBB">
        <w:tc>
          <w:tcPr>
            <w:tcW w:w="0" w:type="auto"/>
          </w:tcPr>
          <w:p w14:paraId="1FB47544" w14:textId="6ADBE376" w:rsidR="008F3C56" w:rsidRPr="00E70587" w:rsidRDefault="008F3C56" w:rsidP="008B3EBB">
            <w:pPr>
              <w:spacing w:line="280" w:lineRule="exact"/>
              <w:ind w:left="-18"/>
              <w:jc w:val="both"/>
              <w:rPr>
                <w:rFonts w:ascii="Arial" w:hAnsi="Arial" w:cs="Arial"/>
                <w:bCs/>
                <w:iCs/>
                <w:sz w:val="20"/>
              </w:rPr>
            </w:pPr>
            <w:r w:rsidRPr="00E70587">
              <w:rPr>
                <w:rFonts w:ascii="Arial" w:hAnsi="Arial" w:cs="Arial"/>
                <w:bCs/>
                <w:iCs/>
                <w:sz w:val="20"/>
              </w:rPr>
              <w:t xml:space="preserve">Any gains or losses arising from changes in the fair value of derivatives are taken directly to profit </w:t>
            </w:r>
            <w:r w:rsidR="009A629E">
              <w:rPr>
                <w:rFonts w:ascii="Arial" w:hAnsi="Arial" w:cs="Arial"/>
                <w:bCs/>
                <w:iCs/>
                <w:sz w:val="20"/>
              </w:rPr>
              <w:t>or</w:t>
            </w:r>
            <w:r w:rsidR="00A84575" w:rsidRPr="00E70587">
              <w:rPr>
                <w:rFonts w:ascii="Arial" w:hAnsi="Arial" w:cs="Arial"/>
                <w:bCs/>
                <w:iCs/>
                <w:sz w:val="20"/>
              </w:rPr>
              <w:t xml:space="preserve"> </w:t>
            </w:r>
            <w:r w:rsidRPr="00E70587">
              <w:rPr>
                <w:rFonts w:ascii="Arial" w:hAnsi="Arial" w:cs="Arial"/>
                <w:bCs/>
                <w:iCs/>
                <w:sz w:val="20"/>
              </w:rPr>
              <w:t xml:space="preserve">loss, except for the effective portion of cash flow hedges, which is recognised in OCI and later reclassified to profit </w:t>
            </w:r>
            <w:r w:rsidR="009A629E">
              <w:rPr>
                <w:rFonts w:ascii="Arial" w:hAnsi="Arial" w:cs="Arial"/>
                <w:bCs/>
                <w:iCs/>
                <w:sz w:val="20"/>
              </w:rPr>
              <w:t>or</w:t>
            </w:r>
            <w:r w:rsidRPr="00E70587">
              <w:rPr>
                <w:rFonts w:ascii="Arial" w:hAnsi="Arial" w:cs="Arial"/>
                <w:bCs/>
                <w:iCs/>
                <w:sz w:val="20"/>
              </w:rPr>
              <w:t xml:space="preserve"> loss when the hedge item affects profit or loss or treated as basis adjustment if</w:t>
            </w:r>
            <w:r w:rsidR="008B3EBB" w:rsidRPr="00E70587">
              <w:rPr>
                <w:rFonts w:ascii="Arial" w:hAnsi="Arial" w:cs="Arial"/>
                <w:bCs/>
                <w:iCs/>
                <w:sz w:val="20"/>
              </w:rPr>
              <w:t xml:space="preserve"> </w:t>
            </w:r>
            <w:r w:rsidRPr="00E70587">
              <w:rPr>
                <w:rFonts w:ascii="Arial" w:hAnsi="Arial" w:cs="Arial"/>
                <w:bCs/>
                <w:iCs/>
                <w:sz w:val="20"/>
              </w:rPr>
              <w:t>a hedged forecast transaction subsequently results in the recognition of a non-financial asset or non-financial liability.</w:t>
            </w:r>
          </w:p>
          <w:p w14:paraId="69036A6C" w14:textId="77777777" w:rsidR="008F3C56" w:rsidRPr="00E70587" w:rsidRDefault="008F3C56" w:rsidP="008B3EBB">
            <w:pPr>
              <w:spacing w:line="280" w:lineRule="exact"/>
              <w:ind w:left="-18"/>
              <w:jc w:val="both"/>
              <w:rPr>
                <w:rFonts w:ascii="Arial" w:hAnsi="Arial" w:cs="Arial"/>
                <w:bCs/>
                <w:iCs/>
                <w:sz w:val="20"/>
              </w:rPr>
            </w:pPr>
          </w:p>
          <w:p w14:paraId="43169E55" w14:textId="77777777" w:rsidR="008F3C56" w:rsidRPr="00E70587" w:rsidRDefault="008F3C56" w:rsidP="008F3C56">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For the purpose of hedge accounting, hedges are classified as:</w:t>
            </w:r>
          </w:p>
          <w:p w14:paraId="55C4E856" w14:textId="77777777" w:rsidR="008F3C56" w:rsidRPr="00E70587" w:rsidRDefault="008F3C56" w:rsidP="00E466DD">
            <w:pPr>
              <w:numPr>
                <w:ilvl w:val="0"/>
                <w:numId w:val="19"/>
              </w:numPr>
              <w:overflowPunct/>
              <w:autoSpaceDE/>
              <w:autoSpaceDN/>
              <w:adjustRightInd/>
              <w:spacing w:before="120" w:line="280" w:lineRule="exact"/>
              <w:ind w:hanging="720"/>
              <w:jc w:val="both"/>
              <w:textAlignment w:val="auto"/>
              <w:rPr>
                <w:rFonts w:ascii="Arial" w:hAnsi="Arial" w:cs="Arial"/>
                <w:bCs/>
                <w:iCs/>
                <w:sz w:val="20"/>
              </w:rPr>
            </w:pPr>
            <w:r w:rsidRPr="00E70587">
              <w:rPr>
                <w:rFonts w:ascii="Arial" w:hAnsi="Arial" w:cs="Arial"/>
                <w:bCs/>
                <w:iCs/>
                <w:sz w:val="20"/>
              </w:rPr>
              <w:t xml:space="preserve">Fair value hedges when hedging the exposure to changes in the fair value of a recognised asset or liability or an unrecognised firm commitment </w:t>
            </w:r>
          </w:p>
          <w:p w14:paraId="7E1213B0" w14:textId="77777777" w:rsidR="008F3C56" w:rsidRPr="00E70587" w:rsidRDefault="008F3C56" w:rsidP="00E466DD">
            <w:pPr>
              <w:numPr>
                <w:ilvl w:val="0"/>
                <w:numId w:val="19"/>
              </w:numPr>
              <w:spacing w:before="120" w:line="280" w:lineRule="exact"/>
              <w:ind w:hanging="720"/>
              <w:jc w:val="both"/>
              <w:rPr>
                <w:rFonts w:ascii="Arial" w:hAnsi="Arial" w:cs="Arial"/>
                <w:bCs/>
                <w:iCs/>
                <w:sz w:val="20"/>
              </w:rPr>
            </w:pPr>
            <w:r w:rsidRPr="00E70587">
              <w:rPr>
                <w:rFonts w:ascii="Arial" w:hAnsi="Arial" w:cs="Arial"/>
                <w:bCs/>
                <w:iCs/>
                <w:sz w:val="20"/>
              </w:rPr>
              <w:t>Cash flow hedges when hedging the exposure to variability in cash flows that is either attributable to a particular risk associated with a recognised asset or liability or a highly probable forecast</w:t>
            </w:r>
            <w:r w:rsidR="008B3EBB" w:rsidRPr="00E70587">
              <w:rPr>
                <w:rFonts w:ascii="Arial" w:hAnsi="Arial" w:cs="Arial"/>
                <w:bCs/>
                <w:iCs/>
                <w:sz w:val="20"/>
              </w:rPr>
              <w:t xml:space="preserve"> transaction or the foreign currency risk in an unrecognised firm commitment</w:t>
            </w:r>
          </w:p>
          <w:p w14:paraId="168A4F16" w14:textId="77777777" w:rsidR="008B3EBB" w:rsidRPr="00E70587" w:rsidRDefault="008B3EBB" w:rsidP="00E466DD">
            <w:pPr>
              <w:numPr>
                <w:ilvl w:val="0"/>
                <w:numId w:val="19"/>
              </w:numPr>
              <w:overflowPunct/>
              <w:autoSpaceDE/>
              <w:autoSpaceDN/>
              <w:adjustRightInd/>
              <w:spacing w:before="120" w:line="280" w:lineRule="exact"/>
              <w:ind w:hanging="720"/>
              <w:jc w:val="both"/>
              <w:textAlignment w:val="auto"/>
              <w:rPr>
                <w:rFonts w:ascii="Arial" w:hAnsi="Arial" w:cs="Arial"/>
                <w:bCs/>
                <w:iCs/>
                <w:sz w:val="20"/>
              </w:rPr>
            </w:pPr>
            <w:r w:rsidRPr="00E70587">
              <w:rPr>
                <w:rFonts w:ascii="Arial" w:hAnsi="Arial" w:cs="Arial"/>
                <w:bCs/>
                <w:iCs/>
                <w:sz w:val="20"/>
              </w:rPr>
              <w:t>Hedges of a net investment in a foreign operation</w:t>
            </w:r>
          </w:p>
          <w:p w14:paraId="5308B41E" w14:textId="77777777" w:rsidR="008B3EBB" w:rsidRPr="00E70587" w:rsidRDefault="008B3EBB" w:rsidP="008B3EBB">
            <w:pPr>
              <w:spacing w:line="280" w:lineRule="exact"/>
              <w:jc w:val="both"/>
              <w:rPr>
                <w:rFonts w:ascii="Arial" w:hAnsi="Arial" w:cs="Arial"/>
                <w:bCs/>
                <w:iCs/>
                <w:sz w:val="20"/>
              </w:rPr>
            </w:pPr>
          </w:p>
        </w:tc>
      </w:tr>
      <w:tr w:rsidR="00CA33DC" w:rsidRPr="00E70587" w14:paraId="215B4D25" w14:textId="77777777" w:rsidTr="008B3EBB">
        <w:tc>
          <w:tcPr>
            <w:tcW w:w="0" w:type="auto"/>
          </w:tcPr>
          <w:p w14:paraId="6D005EAF" w14:textId="77777777" w:rsidR="008F3C56" w:rsidRPr="00E70587" w:rsidRDefault="008F3C56" w:rsidP="008F3C56">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 xml:space="preserve">At the inception of a hedge relationship, the Group formally designates and documents the hedge relationship to which the Group wishes to apply hedge accounting and the risk management objective and </w:t>
            </w:r>
            <w:r w:rsidRPr="00E70587">
              <w:rPr>
                <w:rFonts w:ascii="Arial" w:hAnsi="Arial" w:cs="Arial"/>
                <w:bCs/>
                <w:iCs/>
                <w:sz w:val="20"/>
              </w:rPr>
              <w:lastRenderedPageBreak/>
              <w:t>strategy for undertaking the hedge. The documentation includes the group’s risk management objective and strategy for undertaking hedge, the hedging/ economic relationship, the hedged item or transaction, the nature of the risk being hedged, hedge ratio and how the entity will assess the effectiveness of changes in the hedging instrument’s fair value in offsetting the exposure to changes in the hedged item’s fair value or cash flows attributable to the hedged risk. Such hedges are expected to be highly effective in achieving offsetting changes in fair value or cash flows and are assessed on an ongoing basis to determine that they actually have been highly effective throughout the financial reporting periods for which they were designated.</w:t>
            </w:r>
          </w:p>
          <w:p w14:paraId="423D5C68" w14:textId="77777777" w:rsidR="008F3C56" w:rsidRPr="00E70587" w:rsidRDefault="008F3C56" w:rsidP="008B3EBB">
            <w:pPr>
              <w:overflowPunct/>
              <w:autoSpaceDE/>
              <w:autoSpaceDN/>
              <w:adjustRightInd/>
              <w:spacing w:line="280" w:lineRule="exact"/>
              <w:jc w:val="both"/>
              <w:textAlignment w:val="auto"/>
              <w:rPr>
                <w:rFonts w:ascii="Arial" w:hAnsi="Arial" w:cs="Arial"/>
                <w:bCs/>
                <w:iCs/>
                <w:sz w:val="20"/>
              </w:rPr>
            </w:pPr>
          </w:p>
          <w:p w14:paraId="470ECCEF" w14:textId="77777777" w:rsidR="008B3EBB" w:rsidRPr="00E70587" w:rsidRDefault="008B3EBB" w:rsidP="008B3EBB">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Hedges that meet the strict criteria for hedge accounting are accounted for, as described below:</w:t>
            </w:r>
          </w:p>
          <w:p w14:paraId="1DD8CDC9" w14:textId="77777777" w:rsidR="008B3EBB" w:rsidRPr="00E70587" w:rsidRDefault="008B3EBB" w:rsidP="008B3EBB">
            <w:pPr>
              <w:overflowPunct/>
              <w:autoSpaceDE/>
              <w:autoSpaceDN/>
              <w:adjustRightInd/>
              <w:spacing w:line="280" w:lineRule="exact"/>
              <w:jc w:val="both"/>
              <w:textAlignment w:val="auto"/>
              <w:rPr>
                <w:rFonts w:ascii="Arial" w:hAnsi="Arial" w:cs="Arial"/>
                <w:bCs/>
                <w:iCs/>
                <w:sz w:val="20"/>
              </w:rPr>
            </w:pPr>
          </w:p>
        </w:tc>
      </w:tr>
      <w:tr w:rsidR="00CA33DC" w:rsidRPr="00E70587" w14:paraId="76E7B6AF" w14:textId="77777777" w:rsidTr="008B3EBB">
        <w:tc>
          <w:tcPr>
            <w:tcW w:w="0" w:type="auto"/>
          </w:tcPr>
          <w:p w14:paraId="46AB55F7" w14:textId="77777777" w:rsidR="008F3C56" w:rsidRPr="00E70587" w:rsidRDefault="008F3C56" w:rsidP="008F3C56">
            <w:pPr>
              <w:overflowPunct/>
              <w:autoSpaceDE/>
              <w:autoSpaceDN/>
              <w:adjustRightInd/>
              <w:spacing w:line="280" w:lineRule="exact"/>
              <w:jc w:val="both"/>
              <w:textAlignment w:val="auto"/>
              <w:rPr>
                <w:rFonts w:ascii="Arial" w:hAnsi="Arial" w:cs="Arial"/>
                <w:b/>
                <w:bCs/>
                <w:i/>
                <w:iCs/>
                <w:sz w:val="20"/>
              </w:rPr>
            </w:pPr>
            <w:r w:rsidRPr="00E70587">
              <w:rPr>
                <w:rFonts w:ascii="Arial" w:hAnsi="Arial" w:cs="Arial"/>
                <w:b/>
                <w:bCs/>
                <w:i/>
                <w:iCs/>
                <w:sz w:val="20"/>
              </w:rPr>
              <w:lastRenderedPageBreak/>
              <w:t>Fair value hedges</w:t>
            </w:r>
          </w:p>
          <w:p w14:paraId="360DB02F" w14:textId="77777777" w:rsidR="008B3EBB" w:rsidRPr="00E70587" w:rsidRDefault="008B3EBB" w:rsidP="008F3C56">
            <w:pPr>
              <w:overflowPunct/>
              <w:autoSpaceDE/>
              <w:autoSpaceDN/>
              <w:adjustRightInd/>
              <w:spacing w:line="280" w:lineRule="exact"/>
              <w:jc w:val="both"/>
              <w:textAlignment w:val="auto"/>
              <w:rPr>
                <w:rFonts w:ascii="Arial" w:hAnsi="Arial" w:cs="Arial"/>
                <w:bCs/>
                <w:iCs/>
                <w:sz w:val="20"/>
              </w:rPr>
            </w:pPr>
          </w:p>
          <w:p w14:paraId="462CD18B" w14:textId="77777777" w:rsidR="008F3C56" w:rsidRPr="00E70587" w:rsidRDefault="008F3C56" w:rsidP="008F3C56">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The change in the fair value of a hedging instrument is recognised in the statement of profit and loss as finance costs. The change in the fair value of the hedged item attributable to the risk hedged is recorded as part of the carrying value of the hedged item and is also recognised in the statement of profit and loss as finance costs.</w:t>
            </w:r>
          </w:p>
          <w:p w14:paraId="406F8C80" w14:textId="77777777" w:rsidR="008B3EBB" w:rsidRPr="00E70587" w:rsidRDefault="008B3EBB" w:rsidP="008B3EBB">
            <w:pPr>
              <w:overflowPunct/>
              <w:autoSpaceDE/>
              <w:autoSpaceDN/>
              <w:adjustRightInd/>
              <w:spacing w:line="280" w:lineRule="exact"/>
              <w:jc w:val="both"/>
              <w:textAlignment w:val="auto"/>
              <w:rPr>
                <w:rFonts w:ascii="Arial" w:hAnsi="Arial" w:cs="Arial"/>
                <w:bCs/>
                <w:iCs/>
                <w:sz w:val="20"/>
              </w:rPr>
            </w:pPr>
          </w:p>
          <w:p w14:paraId="126DDD86" w14:textId="10B214B0" w:rsidR="008B3EBB" w:rsidRPr="00E70587" w:rsidRDefault="008B3EBB" w:rsidP="008B3EBB">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 xml:space="preserve">For fair value hedges relating to items carried at amortised cost, any adjustment to carrying value is amortised through profit </w:t>
            </w:r>
            <w:r w:rsidR="009A629E">
              <w:rPr>
                <w:rFonts w:ascii="Arial" w:hAnsi="Arial" w:cs="Arial"/>
                <w:bCs/>
                <w:iCs/>
                <w:sz w:val="20"/>
              </w:rPr>
              <w:t>or</w:t>
            </w:r>
            <w:r w:rsidRPr="00E70587">
              <w:rPr>
                <w:rFonts w:ascii="Arial" w:hAnsi="Arial" w:cs="Arial"/>
                <w:bCs/>
                <w:iCs/>
                <w:sz w:val="20"/>
              </w:rPr>
              <w:t xml:space="preserve"> loss over the remaining term of the hedge using the EIR method. EIR amortisation may begin as soon as an adjustment exists and no later than when the hedged item ceases to be adjusted for changes in its fair value attributable to the risk being hedged.</w:t>
            </w:r>
          </w:p>
          <w:p w14:paraId="1BD81B0C" w14:textId="77777777" w:rsidR="008B3EBB" w:rsidRPr="00E70587" w:rsidRDefault="008B3EBB" w:rsidP="008B3EBB">
            <w:pPr>
              <w:overflowPunct/>
              <w:autoSpaceDE/>
              <w:autoSpaceDN/>
              <w:adjustRightInd/>
              <w:spacing w:line="280" w:lineRule="exact"/>
              <w:jc w:val="both"/>
              <w:textAlignment w:val="auto"/>
              <w:rPr>
                <w:rFonts w:ascii="Arial" w:hAnsi="Arial" w:cs="Arial"/>
                <w:bCs/>
                <w:iCs/>
                <w:sz w:val="20"/>
              </w:rPr>
            </w:pPr>
          </w:p>
          <w:p w14:paraId="4C926C22" w14:textId="4970A43E" w:rsidR="008B3EBB" w:rsidRPr="00E70587" w:rsidRDefault="008B3EBB" w:rsidP="008B3EBB">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 xml:space="preserve">If the hedged item is derecognised, the unamortised fair value is recognised immediately in profit </w:t>
            </w:r>
            <w:r w:rsidR="009A629E">
              <w:rPr>
                <w:rFonts w:ascii="Arial" w:hAnsi="Arial" w:cs="Arial"/>
                <w:bCs/>
                <w:iCs/>
                <w:sz w:val="20"/>
              </w:rPr>
              <w:t>or</w:t>
            </w:r>
            <w:r w:rsidRPr="00E70587">
              <w:rPr>
                <w:rFonts w:ascii="Arial" w:hAnsi="Arial" w:cs="Arial"/>
                <w:bCs/>
                <w:iCs/>
                <w:sz w:val="20"/>
              </w:rPr>
              <w:t xml:space="preserve"> loss. When an unrecognised firm commitment is designated as a hedged item, the subsequent cumulative change in the fair value of the firm commitment attributable to the hedged risk is recognised as an asset or liability with a corresponding gain or loss recognised in profit </w:t>
            </w:r>
            <w:r w:rsidR="00CC0BDD">
              <w:rPr>
                <w:rFonts w:ascii="Arial" w:hAnsi="Arial" w:cs="Arial"/>
                <w:bCs/>
                <w:iCs/>
                <w:sz w:val="20"/>
              </w:rPr>
              <w:t>or</w:t>
            </w:r>
            <w:r w:rsidR="00CC0BDD" w:rsidRPr="00E70587">
              <w:rPr>
                <w:rFonts w:ascii="Arial" w:hAnsi="Arial" w:cs="Arial"/>
                <w:bCs/>
                <w:iCs/>
                <w:sz w:val="20"/>
              </w:rPr>
              <w:t xml:space="preserve"> </w:t>
            </w:r>
            <w:r w:rsidRPr="00E70587">
              <w:rPr>
                <w:rFonts w:ascii="Arial" w:hAnsi="Arial" w:cs="Arial"/>
                <w:bCs/>
                <w:iCs/>
                <w:sz w:val="20"/>
              </w:rPr>
              <w:t>loss.</w:t>
            </w:r>
          </w:p>
          <w:p w14:paraId="284B26D9" w14:textId="77777777" w:rsidR="008B3EBB" w:rsidRPr="00E70587" w:rsidRDefault="008B3EBB" w:rsidP="008B3EBB">
            <w:pPr>
              <w:overflowPunct/>
              <w:autoSpaceDE/>
              <w:autoSpaceDN/>
              <w:adjustRightInd/>
              <w:spacing w:line="280" w:lineRule="exact"/>
              <w:jc w:val="both"/>
              <w:textAlignment w:val="auto"/>
              <w:rPr>
                <w:rFonts w:ascii="Arial" w:hAnsi="Arial" w:cs="Arial"/>
                <w:bCs/>
                <w:iCs/>
                <w:sz w:val="20"/>
              </w:rPr>
            </w:pPr>
          </w:p>
          <w:p w14:paraId="661E2C25" w14:textId="77777777" w:rsidR="008B3EBB" w:rsidRPr="00E70587" w:rsidRDefault="008B3EBB" w:rsidP="008B3EBB">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 xml:space="preserve">The Group has an interest rate swap that is used as a hedge for the exposure of changes in the fair value of its 8.25% fixed rate secured loan. See Note </w:t>
            </w:r>
            <w:r w:rsidR="00D01CE7" w:rsidRPr="00E70587">
              <w:rPr>
                <w:rFonts w:ascii="Arial" w:hAnsi="Arial" w:cs="Arial"/>
                <w:bCs/>
                <w:iCs/>
                <w:sz w:val="20"/>
              </w:rPr>
              <w:t>45</w:t>
            </w:r>
            <w:r w:rsidRPr="00E70587">
              <w:rPr>
                <w:rFonts w:ascii="Arial" w:hAnsi="Arial" w:cs="Arial"/>
                <w:bCs/>
                <w:iCs/>
                <w:sz w:val="20"/>
              </w:rPr>
              <w:t xml:space="preserve"> for more details.</w:t>
            </w:r>
          </w:p>
          <w:p w14:paraId="2E907510" w14:textId="77777777" w:rsidR="008F3C56" w:rsidRPr="00E70587" w:rsidRDefault="008F3C56" w:rsidP="008B3EBB">
            <w:pPr>
              <w:spacing w:line="280" w:lineRule="exact"/>
              <w:jc w:val="both"/>
              <w:rPr>
                <w:rFonts w:ascii="Arial" w:hAnsi="Arial" w:cs="Arial"/>
                <w:bCs/>
                <w:iCs/>
                <w:sz w:val="20"/>
              </w:rPr>
            </w:pPr>
          </w:p>
        </w:tc>
      </w:tr>
      <w:tr w:rsidR="00CA33DC" w:rsidRPr="00E70587" w14:paraId="49D989E1" w14:textId="77777777" w:rsidTr="008B3EBB">
        <w:tc>
          <w:tcPr>
            <w:tcW w:w="0" w:type="auto"/>
          </w:tcPr>
          <w:p w14:paraId="3258498B" w14:textId="77777777" w:rsidR="008F3C56" w:rsidRPr="00E70587" w:rsidRDefault="008F3C56" w:rsidP="008F3C56">
            <w:pPr>
              <w:overflowPunct/>
              <w:autoSpaceDE/>
              <w:autoSpaceDN/>
              <w:adjustRightInd/>
              <w:spacing w:line="280" w:lineRule="exact"/>
              <w:jc w:val="both"/>
              <w:textAlignment w:val="auto"/>
              <w:rPr>
                <w:rFonts w:ascii="Arial" w:hAnsi="Arial" w:cs="Arial"/>
                <w:b/>
                <w:bCs/>
                <w:i/>
                <w:iCs/>
                <w:sz w:val="20"/>
              </w:rPr>
            </w:pPr>
            <w:r w:rsidRPr="00E70587">
              <w:rPr>
                <w:rFonts w:ascii="Arial" w:hAnsi="Arial" w:cs="Arial"/>
                <w:b/>
                <w:bCs/>
                <w:i/>
                <w:iCs/>
                <w:sz w:val="20"/>
              </w:rPr>
              <w:t>Cash flow hedges</w:t>
            </w:r>
          </w:p>
          <w:p w14:paraId="000A179E" w14:textId="77777777" w:rsidR="008B3EBB" w:rsidRPr="00E70587" w:rsidRDefault="008B3EBB" w:rsidP="008F3C56">
            <w:pPr>
              <w:overflowPunct/>
              <w:autoSpaceDE/>
              <w:autoSpaceDN/>
              <w:adjustRightInd/>
              <w:spacing w:line="280" w:lineRule="exact"/>
              <w:jc w:val="both"/>
              <w:textAlignment w:val="auto"/>
              <w:rPr>
                <w:rFonts w:ascii="Arial" w:hAnsi="Arial" w:cs="Arial"/>
                <w:bCs/>
                <w:iCs/>
                <w:sz w:val="20"/>
              </w:rPr>
            </w:pPr>
          </w:p>
          <w:p w14:paraId="1E38ABC4" w14:textId="0159C4CE" w:rsidR="008F3C56" w:rsidRPr="00E70587" w:rsidRDefault="008F3C56" w:rsidP="008F3C56">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 xml:space="preserve">The effective portion of the gain or loss on the hedging instrument is recognised in OCI in the </w:t>
            </w:r>
            <w:r w:rsidR="00320183" w:rsidRPr="00320183">
              <w:rPr>
                <w:rFonts w:ascii="Arial" w:hAnsi="Arial" w:cs="Arial"/>
                <w:bCs/>
                <w:iCs/>
                <w:sz w:val="20"/>
              </w:rPr>
              <w:t>Effective portion of cash flow hedges</w:t>
            </w:r>
            <w:r w:rsidRPr="00E70587">
              <w:rPr>
                <w:rFonts w:ascii="Arial" w:hAnsi="Arial" w:cs="Arial"/>
                <w:bCs/>
                <w:iCs/>
                <w:sz w:val="20"/>
              </w:rPr>
              <w:t>, while any ineffective portion is recognised immediately in the statement of profit and loss.</w:t>
            </w:r>
          </w:p>
          <w:p w14:paraId="7F224DDA" w14:textId="77777777" w:rsidR="008F3C56" w:rsidRPr="00E70587" w:rsidRDefault="008F3C56" w:rsidP="008F3C56">
            <w:pPr>
              <w:overflowPunct/>
              <w:autoSpaceDE/>
              <w:autoSpaceDN/>
              <w:adjustRightInd/>
              <w:spacing w:line="280" w:lineRule="exact"/>
              <w:jc w:val="both"/>
              <w:textAlignment w:val="auto"/>
              <w:rPr>
                <w:rFonts w:ascii="Arial" w:hAnsi="Arial" w:cs="Arial"/>
                <w:bCs/>
                <w:iCs/>
                <w:sz w:val="20"/>
              </w:rPr>
            </w:pPr>
          </w:p>
          <w:p w14:paraId="62118EE4" w14:textId="6BDFC3FD" w:rsidR="008F3C56" w:rsidRDefault="008F3C56" w:rsidP="008F3C56">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 xml:space="preserve">The Group uses forward currency contracts as hedges of its exposure to foreign currency risk in forecast transactions and firm commitments, as well as forward commodity contracts for its exposure to volatility in the commodity prices. The ineffective portion relating to foreign currency contracts is recognised in finance costs and the ineffective portion relating to commodity contracts is recognised in other income or expenses. Refer to Note </w:t>
            </w:r>
            <w:r w:rsidR="00B2178F" w:rsidRPr="00E70587">
              <w:rPr>
                <w:rFonts w:ascii="Arial" w:hAnsi="Arial" w:cs="Arial"/>
                <w:bCs/>
                <w:iCs/>
                <w:sz w:val="20"/>
              </w:rPr>
              <w:t>4</w:t>
            </w:r>
            <w:r w:rsidR="00B2178F">
              <w:rPr>
                <w:rFonts w:ascii="Arial" w:hAnsi="Arial" w:cs="Arial"/>
                <w:bCs/>
                <w:iCs/>
                <w:sz w:val="20"/>
              </w:rPr>
              <w:t>6</w:t>
            </w:r>
            <w:r w:rsidR="00B2178F" w:rsidRPr="00E70587">
              <w:rPr>
                <w:rFonts w:ascii="Arial" w:hAnsi="Arial" w:cs="Arial"/>
                <w:bCs/>
                <w:iCs/>
                <w:sz w:val="20"/>
              </w:rPr>
              <w:t xml:space="preserve"> </w:t>
            </w:r>
            <w:r w:rsidRPr="00E70587">
              <w:rPr>
                <w:rFonts w:ascii="Arial" w:hAnsi="Arial" w:cs="Arial"/>
                <w:bCs/>
                <w:iCs/>
                <w:sz w:val="20"/>
              </w:rPr>
              <w:t>for more details.</w:t>
            </w:r>
          </w:p>
          <w:p w14:paraId="23125F5B" w14:textId="77777777" w:rsidR="00CB41C7" w:rsidRDefault="00CB41C7" w:rsidP="008F3C56">
            <w:pPr>
              <w:overflowPunct/>
              <w:autoSpaceDE/>
              <w:autoSpaceDN/>
              <w:adjustRightInd/>
              <w:spacing w:line="280" w:lineRule="exact"/>
              <w:jc w:val="both"/>
              <w:textAlignment w:val="auto"/>
              <w:rPr>
                <w:rFonts w:ascii="Arial" w:hAnsi="Arial" w:cs="Arial"/>
                <w:bCs/>
                <w:iCs/>
                <w:sz w:val="20"/>
              </w:rPr>
            </w:pPr>
          </w:p>
          <w:p w14:paraId="5BB7CEFC" w14:textId="69CE3AB1" w:rsidR="00A84575" w:rsidRPr="00E70587" w:rsidRDefault="00FD3D65" w:rsidP="001460A4">
            <w:pPr>
              <w:spacing w:line="240" w:lineRule="atLeast"/>
              <w:rPr>
                <w:rFonts w:ascii="Arial" w:hAnsi="Arial" w:cs="Arial"/>
                <w:bCs/>
                <w:iCs/>
                <w:sz w:val="20"/>
              </w:rPr>
            </w:pPr>
            <w:r w:rsidRPr="00FD3D65">
              <w:rPr>
                <w:rFonts w:ascii="Arial" w:hAnsi="Arial" w:cs="Arial"/>
                <w:bCs/>
                <w:iCs/>
                <w:sz w:val="20"/>
              </w:rPr>
              <w:t>The Group designates only the spot element of a forward contract as a hedging instrument. The forward element is recognised in OCI.</w:t>
            </w:r>
            <w:r w:rsidRPr="00CB41C7" w:rsidDel="00FD3D65">
              <w:rPr>
                <w:rFonts w:ascii="Arial" w:hAnsi="Arial" w:cs="Arial"/>
                <w:bCs/>
                <w:iCs/>
                <w:sz w:val="20"/>
              </w:rPr>
              <w:t xml:space="preserve"> </w:t>
            </w:r>
          </w:p>
          <w:p w14:paraId="7F0FFAB8" w14:textId="77777777" w:rsidR="00CB41C7" w:rsidRDefault="00CB41C7" w:rsidP="008B3EBB">
            <w:pPr>
              <w:overflowPunct/>
              <w:autoSpaceDE/>
              <w:autoSpaceDN/>
              <w:adjustRightInd/>
              <w:spacing w:line="280" w:lineRule="exact"/>
              <w:jc w:val="both"/>
              <w:textAlignment w:val="auto"/>
              <w:rPr>
                <w:rFonts w:ascii="Arial" w:hAnsi="Arial" w:cs="Arial"/>
                <w:bCs/>
                <w:iCs/>
                <w:sz w:val="20"/>
              </w:rPr>
            </w:pPr>
          </w:p>
          <w:p w14:paraId="307D09F6" w14:textId="6D06E219" w:rsidR="00CB41C7" w:rsidRPr="00E70587" w:rsidRDefault="008B3EBB" w:rsidP="001460A4">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 xml:space="preserve">Amounts recognised as OCI are transferred to profit </w:t>
            </w:r>
            <w:r w:rsidR="009A629E">
              <w:rPr>
                <w:rFonts w:ascii="Arial" w:hAnsi="Arial" w:cs="Arial"/>
                <w:bCs/>
                <w:iCs/>
                <w:sz w:val="20"/>
              </w:rPr>
              <w:t>or</w:t>
            </w:r>
            <w:r w:rsidRPr="00E70587">
              <w:rPr>
                <w:rFonts w:ascii="Arial" w:hAnsi="Arial" w:cs="Arial"/>
                <w:bCs/>
                <w:iCs/>
                <w:sz w:val="20"/>
              </w:rPr>
              <w:t xml:space="preserve"> loss when the hedged transaction affects profit </w:t>
            </w:r>
            <w:r w:rsidR="009A629E">
              <w:rPr>
                <w:rFonts w:ascii="Arial" w:hAnsi="Arial" w:cs="Arial"/>
                <w:bCs/>
                <w:iCs/>
                <w:sz w:val="20"/>
              </w:rPr>
              <w:t>or</w:t>
            </w:r>
            <w:r w:rsidRPr="00E70587">
              <w:rPr>
                <w:rFonts w:ascii="Arial" w:hAnsi="Arial" w:cs="Arial"/>
                <w:bCs/>
                <w:iCs/>
                <w:sz w:val="20"/>
              </w:rPr>
              <w:t xml:space="preserve"> loss, such as when the hedged financial income or financial expense is recognised or when a forecast sale occurs. When the hedged item is the cost of a non-financial asset or non-financial liability, the amounts recognised as OCI are transferred to the initial carrying amount of the non-financial asset or liability.</w:t>
            </w:r>
          </w:p>
          <w:p w14:paraId="1E793767" w14:textId="03003CEB" w:rsidR="008B3EBB" w:rsidRPr="00E70587" w:rsidRDefault="008B3EBB" w:rsidP="008B3EBB">
            <w:pPr>
              <w:overflowPunct/>
              <w:autoSpaceDE/>
              <w:autoSpaceDN/>
              <w:adjustRightInd/>
              <w:spacing w:line="280" w:lineRule="exact"/>
              <w:jc w:val="both"/>
              <w:textAlignment w:val="auto"/>
              <w:rPr>
                <w:rFonts w:ascii="Arial" w:hAnsi="Arial" w:cs="Arial"/>
                <w:bCs/>
                <w:iCs/>
                <w:sz w:val="20"/>
              </w:rPr>
            </w:pPr>
          </w:p>
          <w:p w14:paraId="2B4F1D12" w14:textId="77777777" w:rsidR="008B3EBB" w:rsidRPr="00E70587" w:rsidRDefault="008B3EBB" w:rsidP="008B3EBB">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lastRenderedPageBreak/>
              <w:t>If the hedging instrument expires or is sold, terminated or exercised without replacement or rollover (as part of the hedging strategy), or if its designation as a hedge is revoked, or when the hedge no longer meets the criteria for hedge accounting, any cumulative gain or loss previously recognised in OCI remains separately in equity until the forecast transaction occurs or the foreign currency firm commitment is met.</w:t>
            </w:r>
          </w:p>
          <w:p w14:paraId="151B0D4A" w14:textId="77777777" w:rsidR="008F3C56" w:rsidRPr="00E70587" w:rsidRDefault="008F3C56" w:rsidP="009901E1">
            <w:pPr>
              <w:spacing w:line="280" w:lineRule="exact"/>
              <w:jc w:val="both"/>
              <w:rPr>
                <w:rFonts w:ascii="Arial" w:hAnsi="Arial" w:cs="Arial"/>
                <w:bCs/>
                <w:iCs/>
                <w:sz w:val="20"/>
              </w:rPr>
            </w:pPr>
          </w:p>
        </w:tc>
      </w:tr>
      <w:tr w:rsidR="00CA33DC" w:rsidRPr="00E70587" w14:paraId="74A51C43" w14:textId="77777777" w:rsidTr="008B3EBB">
        <w:tc>
          <w:tcPr>
            <w:tcW w:w="0" w:type="auto"/>
          </w:tcPr>
          <w:p w14:paraId="398B46D8" w14:textId="77777777" w:rsidR="008F3C56" w:rsidRPr="00E70587" w:rsidRDefault="008F3C56" w:rsidP="008F3C56">
            <w:pPr>
              <w:overflowPunct/>
              <w:autoSpaceDE/>
              <w:autoSpaceDN/>
              <w:adjustRightInd/>
              <w:spacing w:line="280" w:lineRule="exact"/>
              <w:jc w:val="both"/>
              <w:textAlignment w:val="auto"/>
              <w:rPr>
                <w:rFonts w:ascii="Arial" w:hAnsi="Arial" w:cs="Arial"/>
                <w:b/>
                <w:bCs/>
                <w:i/>
                <w:iCs/>
                <w:sz w:val="20"/>
              </w:rPr>
            </w:pPr>
            <w:r w:rsidRPr="00E70587">
              <w:rPr>
                <w:rFonts w:ascii="Arial" w:hAnsi="Arial" w:cs="Arial"/>
                <w:b/>
                <w:bCs/>
                <w:i/>
                <w:iCs/>
                <w:sz w:val="20"/>
              </w:rPr>
              <w:lastRenderedPageBreak/>
              <w:t>Hedges of a net investment</w:t>
            </w:r>
          </w:p>
          <w:p w14:paraId="2F299899" w14:textId="77777777" w:rsidR="009901E1" w:rsidRPr="00E70587" w:rsidRDefault="009901E1" w:rsidP="008F3C56">
            <w:pPr>
              <w:overflowPunct/>
              <w:autoSpaceDE/>
              <w:autoSpaceDN/>
              <w:adjustRightInd/>
              <w:spacing w:line="280" w:lineRule="exact"/>
              <w:jc w:val="both"/>
              <w:textAlignment w:val="auto"/>
              <w:rPr>
                <w:rFonts w:ascii="Arial" w:hAnsi="Arial" w:cs="Arial"/>
                <w:bCs/>
                <w:iCs/>
                <w:sz w:val="20"/>
              </w:rPr>
            </w:pPr>
          </w:p>
          <w:p w14:paraId="69CFEE09" w14:textId="3713D682" w:rsidR="008F3C56" w:rsidRPr="00E70587" w:rsidRDefault="008F3C56" w:rsidP="008F3C56">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 xml:space="preserve">Hedges of a net investment in a foreign operation, including a hedge of a monetary item that is accounted for as part of the net investment, are accounted for in a way similar to cash flow hedges. Gains or losses on the hedging instrument relating to the effective portion of the hedge are recognised as OCI while any gains or losses relating to the ineffective portion are recognised in the statement of profit </w:t>
            </w:r>
            <w:r w:rsidR="00ED5D07">
              <w:rPr>
                <w:rFonts w:ascii="Arial" w:hAnsi="Arial" w:cs="Arial"/>
                <w:bCs/>
                <w:iCs/>
                <w:sz w:val="20"/>
              </w:rPr>
              <w:t>and</w:t>
            </w:r>
            <w:r w:rsidR="00ED5D07" w:rsidRPr="00E70587">
              <w:rPr>
                <w:rFonts w:ascii="Arial" w:hAnsi="Arial" w:cs="Arial"/>
                <w:bCs/>
                <w:iCs/>
                <w:sz w:val="20"/>
              </w:rPr>
              <w:t xml:space="preserve"> </w:t>
            </w:r>
            <w:r w:rsidRPr="00E70587">
              <w:rPr>
                <w:rFonts w:ascii="Arial" w:hAnsi="Arial" w:cs="Arial"/>
                <w:bCs/>
                <w:iCs/>
                <w:sz w:val="20"/>
              </w:rPr>
              <w:t xml:space="preserve">loss. On disposal of the foreign operation, the cumulative value of any such gains or losses recorded in equity is transferred to the statement of profit </w:t>
            </w:r>
            <w:r w:rsidR="00ED5D07">
              <w:rPr>
                <w:rFonts w:ascii="Arial" w:hAnsi="Arial" w:cs="Arial"/>
                <w:bCs/>
                <w:iCs/>
                <w:sz w:val="20"/>
              </w:rPr>
              <w:t>and</w:t>
            </w:r>
            <w:r w:rsidRPr="00E70587">
              <w:rPr>
                <w:rFonts w:ascii="Arial" w:hAnsi="Arial" w:cs="Arial"/>
                <w:bCs/>
                <w:iCs/>
                <w:sz w:val="20"/>
              </w:rPr>
              <w:t xml:space="preserve"> loss.</w:t>
            </w:r>
          </w:p>
          <w:p w14:paraId="68EBC1E8" w14:textId="77777777" w:rsidR="009901E1" w:rsidRPr="00E70587" w:rsidRDefault="009901E1" w:rsidP="008F3C56">
            <w:pPr>
              <w:overflowPunct/>
              <w:autoSpaceDE/>
              <w:autoSpaceDN/>
              <w:adjustRightInd/>
              <w:spacing w:line="280" w:lineRule="exact"/>
              <w:jc w:val="both"/>
              <w:textAlignment w:val="auto"/>
              <w:rPr>
                <w:rFonts w:ascii="Arial" w:hAnsi="Arial" w:cs="Arial"/>
                <w:bCs/>
                <w:iCs/>
                <w:sz w:val="20"/>
              </w:rPr>
            </w:pPr>
          </w:p>
          <w:p w14:paraId="377ADE0A" w14:textId="0F191C49" w:rsidR="009901E1" w:rsidRPr="00E70587" w:rsidRDefault="009901E1" w:rsidP="009901E1">
            <w:pPr>
              <w:overflowPunct/>
              <w:autoSpaceDE/>
              <w:autoSpaceDN/>
              <w:adjustRightInd/>
              <w:spacing w:line="280" w:lineRule="exact"/>
              <w:jc w:val="both"/>
              <w:textAlignment w:val="auto"/>
              <w:rPr>
                <w:rFonts w:ascii="Arial" w:hAnsi="Arial" w:cs="Arial"/>
                <w:bCs/>
                <w:iCs/>
                <w:sz w:val="20"/>
              </w:rPr>
            </w:pPr>
            <w:r w:rsidRPr="00E70587">
              <w:rPr>
                <w:rFonts w:ascii="Arial" w:hAnsi="Arial" w:cs="Arial"/>
                <w:bCs/>
                <w:iCs/>
                <w:sz w:val="20"/>
              </w:rPr>
              <w:t xml:space="preserve">The Group uses a loan as a hedge of its exposure to foreign exchange risk on its investments in foreign subsidiaries. Refer to Note </w:t>
            </w:r>
            <w:r w:rsidR="00B2178F" w:rsidRPr="00E70587">
              <w:rPr>
                <w:rFonts w:ascii="Arial" w:hAnsi="Arial" w:cs="Arial"/>
                <w:bCs/>
                <w:iCs/>
                <w:sz w:val="20"/>
              </w:rPr>
              <w:t>4</w:t>
            </w:r>
            <w:r w:rsidR="00B2178F">
              <w:rPr>
                <w:rFonts w:ascii="Arial" w:hAnsi="Arial" w:cs="Arial"/>
                <w:bCs/>
                <w:iCs/>
                <w:sz w:val="20"/>
              </w:rPr>
              <w:t>6</w:t>
            </w:r>
            <w:r w:rsidR="00B2178F" w:rsidRPr="00E70587">
              <w:rPr>
                <w:rFonts w:ascii="Arial" w:hAnsi="Arial" w:cs="Arial"/>
                <w:bCs/>
                <w:iCs/>
                <w:sz w:val="20"/>
              </w:rPr>
              <w:t xml:space="preserve"> </w:t>
            </w:r>
            <w:r w:rsidRPr="00E70587">
              <w:rPr>
                <w:rFonts w:ascii="Arial" w:hAnsi="Arial" w:cs="Arial"/>
                <w:bCs/>
                <w:iCs/>
                <w:sz w:val="20"/>
              </w:rPr>
              <w:t>for more details.</w:t>
            </w:r>
          </w:p>
          <w:p w14:paraId="7FA4E9AA" w14:textId="77777777" w:rsidR="009901E1" w:rsidRPr="00E70587" w:rsidRDefault="009901E1" w:rsidP="008F3C56">
            <w:pPr>
              <w:overflowPunct/>
              <w:autoSpaceDE/>
              <w:autoSpaceDN/>
              <w:adjustRightInd/>
              <w:spacing w:line="280" w:lineRule="exact"/>
              <w:jc w:val="both"/>
              <w:textAlignment w:val="auto"/>
              <w:rPr>
                <w:rFonts w:ascii="Arial" w:hAnsi="Arial" w:cs="Arial"/>
                <w:bCs/>
                <w:iCs/>
                <w:sz w:val="20"/>
              </w:rPr>
            </w:pPr>
          </w:p>
        </w:tc>
      </w:tr>
      <w:tr w:rsidR="00CA33DC" w:rsidRPr="00E70587" w14:paraId="53CB14B4" w14:textId="77777777" w:rsidTr="008B3EBB">
        <w:tc>
          <w:tcPr>
            <w:tcW w:w="0" w:type="auto"/>
          </w:tcPr>
          <w:p w14:paraId="7D3A19C4" w14:textId="77777777" w:rsidR="008F3C56" w:rsidRPr="00E70587" w:rsidRDefault="008F3C56" w:rsidP="009901E1">
            <w:pPr>
              <w:pStyle w:val="Heading4"/>
              <w:keepNext w:val="0"/>
              <w:numPr>
                <w:ilvl w:val="0"/>
                <w:numId w:val="4"/>
              </w:numPr>
              <w:tabs>
                <w:tab w:val="clear" w:pos="357"/>
              </w:tabs>
              <w:spacing w:before="0" w:after="0" w:line="280" w:lineRule="exact"/>
              <w:jc w:val="both"/>
              <w:rPr>
                <w:rFonts w:ascii="Arial" w:hAnsi="Arial" w:cs="Arial"/>
                <w:szCs w:val="20"/>
              </w:rPr>
            </w:pPr>
            <w:r w:rsidRPr="00E70587">
              <w:rPr>
                <w:rFonts w:ascii="Arial" w:hAnsi="Arial" w:cs="Arial"/>
                <w:szCs w:val="20"/>
              </w:rPr>
              <w:t>Convertible preference shares</w:t>
            </w:r>
          </w:p>
          <w:p w14:paraId="38FB75E8" w14:textId="77777777" w:rsidR="009901E1" w:rsidRPr="00E70587" w:rsidRDefault="009901E1" w:rsidP="008F3C56">
            <w:pPr>
              <w:pStyle w:val="Notesbodytext"/>
              <w:spacing w:after="0" w:line="280" w:lineRule="exact"/>
              <w:jc w:val="both"/>
              <w:rPr>
                <w:rFonts w:ascii="Arial" w:hAnsi="Arial"/>
                <w:color w:val="auto"/>
                <w:sz w:val="20"/>
              </w:rPr>
            </w:pPr>
          </w:p>
          <w:p w14:paraId="21E708F2" w14:textId="77777777" w:rsidR="008F3C56" w:rsidRPr="00E70587" w:rsidRDefault="008F3C56" w:rsidP="008F3C56">
            <w:pPr>
              <w:pStyle w:val="Notesbodytext"/>
              <w:spacing w:after="0" w:line="280" w:lineRule="exact"/>
              <w:jc w:val="both"/>
              <w:rPr>
                <w:rFonts w:ascii="Arial" w:hAnsi="Arial"/>
                <w:color w:val="auto"/>
                <w:sz w:val="20"/>
              </w:rPr>
            </w:pPr>
            <w:r w:rsidRPr="00E70587">
              <w:rPr>
                <w:rFonts w:ascii="Arial" w:hAnsi="Arial"/>
                <w:color w:val="auto"/>
                <w:sz w:val="20"/>
              </w:rPr>
              <w:t>Convertible preference shares are separated into liability and equity components based on the terms of the contract.</w:t>
            </w:r>
          </w:p>
          <w:p w14:paraId="374EE037" w14:textId="77777777" w:rsidR="009901E1" w:rsidRPr="00E70587" w:rsidRDefault="009901E1" w:rsidP="008F3C56">
            <w:pPr>
              <w:pStyle w:val="Notesbodytext"/>
              <w:spacing w:after="0" w:line="280" w:lineRule="exact"/>
              <w:jc w:val="both"/>
              <w:rPr>
                <w:rFonts w:ascii="Arial" w:hAnsi="Arial"/>
                <w:color w:val="auto"/>
                <w:sz w:val="20"/>
              </w:rPr>
            </w:pPr>
          </w:p>
          <w:p w14:paraId="67FC6F93" w14:textId="77777777" w:rsidR="009901E1" w:rsidRPr="00E70587" w:rsidRDefault="008F3C56" w:rsidP="009901E1">
            <w:pPr>
              <w:pStyle w:val="Notesbodytext"/>
              <w:spacing w:after="0" w:line="280" w:lineRule="exact"/>
              <w:jc w:val="both"/>
              <w:rPr>
                <w:rFonts w:ascii="Arial" w:hAnsi="Arial"/>
                <w:color w:val="auto"/>
                <w:sz w:val="20"/>
              </w:rPr>
            </w:pPr>
            <w:r w:rsidRPr="00E70587">
              <w:rPr>
                <w:rFonts w:ascii="Arial" w:hAnsi="Arial"/>
                <w:color w:val="auto"/>
                <w:sz w:val="20"/>
              </w:rPr>
              <w:t>On issuance of the convertible preference shares, the fair value of the liability component is determined using a market rate for an equivalent non-convertible instrument. This amount is classified as a financial liability measured at amortised cost (net of transaction costs) until it is extinguished on conversion or redemption.</w:t>
            </w:r>
            <w:r w:rsidR="009901E1" w:rsidRPr="00E70587">
              <w:rPr>
                <w:rFonts w:ascii="Arial" w:hAnsi="Arial"/>
                <w:color w:val="auto"/>
                <w:sz w:val="20"/>
              </w:rPr>
              <w:t xml:space="preserve"> The remainder of the proceeds is allocated to the conversion option that is recognised and included in equity. Transaction costs are deducted from equity, net of associated income tax. The carrying amount of the conversion option is not remeasured in subsequent years.</w:t>
            </w:r>
          </w:p>
          <w:p w14:paraId="5A51532F" w14:textId="77777777" w:rsidR="009901E1" w:rsidRPr="00E70587" w:rsidRDefault="009901E1" w:rsidP="009901E1">
            <w:pPr>
              <w:pStyle w:val="Notesbodytext"/>
              <w:spacing w:after="0" w:line="280" w:lineRule="exact"/>
              <w:jc w:val="both"/>
              <w:rPr>
                <w:rFonts w:ascii="Arial" w:hAnsi="Arial"/>
                <w:color w:val="auto"/>
                <w:sz w:val="20"/>
              </w:rPr>
            </w:pPr>
          </w:p>
          <w:p w14:paraId="7CF12AC8" w14:textId="77777777" w:rsidR="009901E1" w:rsidRPr="00E70587" w:rsidRDefault="009901E1" w:rsidP="009901E1">
            <w:pPr>
              <w:pStyle w:val="Notesbodytext"/>
              <w:spacing w:after="0" w:line="280" w:lineRule="exact"/>
              <w:jc w:val="both"/>
              <w:rPr>
                <w:rFonts w:ascii="Arial" w:hAnsi="Arial"/>
                <w:color w:val="auto"/>
                <w:sz w:val="20"/>
              </w:rPr>
            </w:pPr>
            <w:r w:rsidRPr="00E70587">
              <w:rPr>
                <w:rFonts w:ascii="Arial" w:hAnsi="Arial"/>
                <w:color w:val="auto"/>
                <w:sz w:val="20"/>
              </w:rPr>
              <w:t>Transaction costs are apportioned between the liability and equity components of the convertible preference shares based on the allocation of proceeds to the liability and equity components when the instruments are initially recognised.</w:t>
            </w:r>
          </w:p>
          <w:p w14:paraId="4B032C66" w14:textId="77777777" w:rsidR="009901E1" w:rsidRPr="00E70587" w:rsidRDefault="009901E1" w:rsidP="009901E1">
            <w:pPr>
              <w:pStyle w:val="Notesbodytext"/>
              <w:spacing w:after="0" w:line="280" w:lineRule="exact"/>
              <w:jc w:val="both"/>
              <w:rPr>
                <w:rFonts w:ascii="Arial" w:hAnsi="Arial"/>
                <w:color w:val="auto"/>
                <w:sz w:val="20"/>
              </w:rPr>
            </w:pPr>
          </w:p>
        </w:tc>
      </w:tr>
      <w:tr w:rsidR="00CA33DC" w:rsidRPr="00E70587" w14:paraId="274E83A7" w14:textId="77777777" w:rsidTr="008B3EBB">
        <w:tc>
          <w:tcPr>
            <w:tcW w:w="0" w:type="auto"/>
          </w:tcPr>
          <w:p w14:paraId="30E61A74" w14:textId="77777777" w:rsidR="008F3C56" w:rsidRPr="00E70587" w:rsidRDefault="008F3C56" w:rsidP="008F3C56">
            <w:pPr>
              <w:pStyle w:val="Heading4"/>
              <w:keepNext w:val="0"/>
              <w:numPr>
                <w:ilvl w:val="0"/>
                <w:numId w:val="4"/>
              </w:numPr>
              <w:tabs>
                <w:tab w:val="clear" w:pos="357"/>
              </w:tabs>
              <w:spacing w:before="0" w:after="0" w:line="280" w:lineRule="exact"/>
              <w:jc w:val="both"/>
              <w:rPr>
                <w:rFonts w:ascii="Arial" w:hAnsi="Arial" w:cs="Arial"/>
                <w:szCs w:val="20"/>
              </w:rPr>
            </w:pPr>
            <w:r w:rsidRPr="00E70587">
              <w:rPr>
                <w:rFonts w:ascii="Arial" w:hAnsi="Arial" w:cs="Arial"/>
                <w:szCs w:val="20"/>
              </w:rPr>
              <w:t>Treasury shares</w:t>
            </w:r>
          </w:p>
          <w:p w14:paraId="06919E8C" w14:textId="77777777" w:rsidR="009901E1" w:rsidRPr="00E70587" w:rsidRDefault="009901E1" w:rsidP="008F3C56">
            <w:pPr>
              <w:pStyle w:val="Notesbodytext"/>
              <w:spacing w:after="0" w:line="280" w:lineRule="exact"/>
              <w:jc w:val="both"/>
              <w:rPr>
                <w:rFonts w:ascii="Arial" w:hAnsi="Arial"/>
                <w:color w:val="auto"/>
                <w:sz w:val="20"/>
              </w:rPr>
            </w:pPr>
          </w:p>
          <w:p w14:paraId="1B7C2280" w14:textId="515ED4F1" w:rsidR="008F3C56" w:rsidRPr="00E70587" w:rsidRDefault="008F3C56" w:rsidP="008F3C56">
            <w:pPr>
              <w:pStyle w:val="Notesbodytext"/>
              <w:spacing w:after="0" w:line="280" w:lineRule="exact"/>
              <w:jc w:val="both"/>
              <w:rPr>
                <w:rFonts w:ascii="Arial" w:hAnsi="Arial"/>
                <w:color w:val="auto"/>
                <w:sz w:val="20"/>
              </w:rPr>
            </w:pPr>
            <w:r w:rsidRPr="00E70587">
              <w:rPr>
                <w:rFonts w:ascii="Arial" w:hAnsi="Arial"/>
                <w:color w:val="auto"/>
                <w:sz w:val="20"/>
              </w:rPr>
              <w:t xml:space="preserve">The group has </w:t>
            </w:r>
            <w:r w:rsidR="00171D06" w:rsidRPr="00E70587">
              <w:rPr>
                <w:rFonts w:ascii="Arial" w:hAnsi="Arial"/>
                <w:color w:val="auto"/>
                <w:sz w:val="20"/>
              </w:rPr>
              <w:t>created</w:t>
            </w:r>
            <w:r w:rsidRPr="00E70587">
              <w:rPr>
                <w:rFonts w:ascii="Arial" w:hAnsi="Arial"/>
                <w:color w:val="auto"/>
                <w:sz w:val="20"/>
              </w:rPr>
              <w:t xml:space="preserve"> an Employee Benefit Trust (EBT) for providing share-based payment to its employees. The group uses EBT as a vehicle for distributing shares to employees under the employee remuneration schemes. The EBT buys shares of the company from the market, for giving shares to employees. The group treats EBT as its extension and shares held by EBT are treated as treasury shares.</w:t>
            </w:r>
          </w:p>
          <w:p w14:paraId="0444407A" w14:textId="77777777" w:rsidR="009901E1" w:rsidRPr="00E70587" w:rsidRDefault="009901E1" w:rsidP="008F3C56">
            <w:pPr>
              <w:pStyle w:val="Notesbodytext"/>
              <w:spacing w:after="0" w:line="280" w:lineRule="exact"/>
              <w:jc w:val="both"/>
              <w:rPr>
                <w:rFonts w:ascii="Arial" w:hAnsi="Arial"/>
                <w:color w:val="auto"/>
                <w:sz w:val="20"/>
              </w:rPr>
            </w:pPr>
          </w:p>
          <w:p w14:paraId="496A2FBB" w14:textId="3E1BF2C6" w:rsidR="008F3C56" w:rsidRPr="00E70587" w:rsidRDefault="008F3C56" w:rsidP="008F3C56">
            <w:pPr>
              <w:pStyle w:val="Notesbodytext"/>
              <w:spacing w:after="0" w:line="280" w:lineRule="exact"/>
              <w:jc w:val="both"/>
              <w:rPr>
                <w:rFonts w:ascii="Arial" w:hAnsi="Arial"/>
                <w:color w:val="auto"/>
                <w:sz w:val="20"/>
              </w:rPr>
            </w:pPr>
            <w:r w:rsidRPr="00E70587">
              <w:rPr>
                <w:rFonts w:ascii="Arial" w:hAnsi="Arial"/>
                <w:color w:val="auto"/>
                <w:sz w:val="20"/>
              </w:rPr>
              <w:t xml:space="preserve">Own equity instruments that are reacquired (treasury shares) are recognised at cost and deducted from equity. No gain or loss is recognised in profit </w:t>
            </w:r>
            <w:r w:rsidR="009A629E">
              <w:rPr>
                <w:rFonts w:ascii="Arial" w:hAnsi="Arial"/>
                <w:bCs/>
                <w:iCs/>
                <w:sz w:val="20"/>
              </w:rPr>
              <w:t>or</w:t>
            </w:r>
            <w:r w:rsidRPr="00E70587">
              <w:rPr>
                <w:rFonts w:ascii="Arial" w:hAnsi="Arial"/>
                <w:color w:val="auto"/>
                <w:sz w:val="20"/>
              </w:rPr>
              <w:t xml:space="preserve"> loss on the purchase, sale, issue or cancellation of the Group’s own equity instruments. Any difference between the carrying amount and the consideration, if reissued, is recognised in </w:t>
            </w:r>
            <w:r w:rsidR="00D520DC" w:rsidRPr="00E70587">
              <w:rPr>
                <w:rFonts w:ascii="Arial" w:hAnsi="Arial"/>
                <w:color w:val="auto"/>
                <w:sz w:val="20"/>
              </w:rPr>
              <w:t>retained earnings</w:t>
            </w:r>
            <w:r w:rsidRPr="00E70587">
              <w:rPr>
                <w:rFonts w:ascii="Arial" w:hAnsi="Arial"/>
                <w:color w:val="auto"/>
                <w:sz w:val="20"/>
              </w:rPr>
              <w:t xml:space="preserve">. Share options exercised during the reporting period are </w:t>
            </w:r>
            <w:r w:rsidR="009901E1" w:rsidRPr="00E70587">
              <w:rPr>
                <w:rFonts w:ascii="Arial" w:hAnsi="Arial"/>
                <w:color w:val="auto"/>
                <w:sz w:val="20"/>
              </w:rPr>
              <w:t>satisfied with treasury shares.</w:t>
            </w:r>
          </w:p>
          <w:p w14:paraId="09B6079B" w14:textId="77777777" w:rsidR="009901E1" w:rsidRPr="00E70587" w:rsidRDefault="009901E1" w:rsidP="008F3C56">
            <w:pPr>
              <w:pStyle w:val="Notesbodytext"/>
              <w:spacing w:after="0" w:line="280" w:lineRule="exact"/>
              <w:jc w:val="both"/>
              <w:rPr>
                <w:rFonts w:ascii="Arial" w:hAnsi="Arial"/>
                <w:color w:val="auto"/>
                <w:sz w:val="20"/>
              </w:rPr>
            </w:pPr>
          </w:p>
        </w:tc>
      </w:tr>
      <w:tr w:rsidR="00CA33DC" w:rsidRPr="00E70587" w14:paraId="64070EBE" w14:textId="77777777" w:rsidTr="008B3EBB">
        <w:tc>
          <w:tcPr>
            <w:tcW w:w="0" w:type="auto"/>
          </w:tcPr>
          <w:p w14:paraId="0A1D55F1" w14:textId="77777777" w:rsidR="008F3C56" w:rsidRPr="00E70587" w:rsidRDefault="008F3C56" w:rsidP="008F3C56">
            <w:pPr>
              <w:pStyle w:val="Heading4"/>
              <w:keepNext w:val="0"/>
              <w:numPr>
                <w:ilvl w:val="0"/>
                <w:numId w:val="4"/>
              </w:numPr>
              <w:tabs>
                <w:tab w:val="clear" w:pos="357"/>
              </w:tabs>
              <w:spacing w:before="0" w:after="0" w:line="280" w:lineRule="exact"/>
              <w:ind w:left="342" w:hanging="342"/>
              <w:jc w:val="both"/>
              <w:rPr>
                <w:rFonts w:ascii="Arial" w:hAnsi="Arial" w:cs="Arial"/>
                <w:szCs w:val="20"/>
              </w:rPr>
            </w:pPr>
            <w:r w:rsidRPr="00E70587">
              <w:rPr>
                <w:rFonts w:ascii="Arial" w:hAnsi="Arial" w:cs="Arial"/>
                <w:szCs w:val="20"/>
              </w:rPr>
              <w:t xml:space="preserve">Cash and </w:t>
            </w:r>
            <w:r w:rsidR="003E5D93" w:rsidRPr="00E70587">
              <w:rPr>
                <w:rFonts w:ascii="Arial" w:hAnsi="Arial" w:cs="Arial"/>
                <w:szCs w:val="20"/>
              </w:rPr>
              <w:t>cash equivalents</w:t>
            </w:r>
          </w:p>
          <w:p w14:paraId="2276C1D7" w14:textId="77777777" w:rsidR="009901E1" w:rsidRPr="00E70587" w:rsidRDefault="009901E1" w:rsidP="008F3C56">
            <w:pPr>
              <w:pStyle w:val="Notesbodytext"/>
              <w:spacing w:after="0" w:line="280" w:lineRule="exact"/>
              <w:jc w:val="both"/>
              <w:rPr>
                <w:rFonts w:ascii="Arial" w:hAnsi="Arial"/>
                <w:color w:val="auto"/>
                <w:sz w:val="20"/>
              </w:rPr>
            </w:pPr>
          </w:p>
          <w:p w14:paraId="40F70CED" w14:textId="77777777" w:rsidR="008F3C56" w:rsidRPr="00E70587" w:rsidRDefault="008F3C56" w:rsidP="008F3C56">
            <w:pPr>
              <w:pStyle w:val="Notesbodytext"/>
              <w:spacing w:after="0" w:line="280" w:lineRule="exact"/>
              <w:jc w:val="both"/>
              <w:rPr>
                <w:rFonts w:ascii="Arial" w:hAnsi="Arial"/>
                <w:color w:val="auto"/>
                <w:sz w:val="20"/>
              </w:rPr>
            </w:pPr>
            <w:r w:rsidRPr="00E70587">
              <w:rPr>
                <w:rFonts w:ascii="Arial" w:hAnsi="Arial"/>
                <w:color w:val="auto"/>
                <w:sz w:val="20"/>
              </w:rPr>
              <w:t xml:space="preserve">Cash and </w:t>
            </w:r>
            <w:r w:rsidR="001110CD" w:rsidRPr="00E70587">
              <w:rPr>
                <w:rFonts w:ascii="Arial" w:hAnsi="Arial"/>
                <w:color w:val="auto"/>
                <w:sz w:val="20"/>
              </w:rPr>
              <w:t>cash equivalents</w:t>
            </w:r>
            <w:r w:rsidRPr="00E70587">
              <w:rPr>
                <w:rFonts w:ascii="Arial" w:hAnsi="Arial"/>
                <w:color w:val="auto"/>
                <w:sz w:val="20"/>
              </w:rPr>
              <w:t xml:space="preserve"> in the balance sheet comprise cash at banks and on hand and short-term deposits with a</w:t>
            </w:r>
            <w:r w:rsidR="00D520DC" w:rsidRPr="00E70587">
              <w:rPr>
                <w:rFonts w:ascii="Arial" w:hAnsi="Arial"/>
                <w:color w:val="auto"/>
                <w:sz w:val="20"/>
              </w:rPr>
              <w:t>n original</w:t>
            </w:r>
            <w:r w:rsidRPr="00E70587">
              <w:rPr>
                <w:rFonts w:ascii="Arial" w:hAnsi="Arial"/>
                <w:color w:val="auto"/>
                <w:sz w:val="20"/>
              </w:rPr>
              <w:t xml:space="preserve"> maturity of three months or less, which are subject to an insignificant risk of changes in value.</w:t>
            </w:r>
          </w:p>
          <w:p w14:paraId="60B7C64C" w14:textId="77777777" w:rsidR="009901E1" w:rsidRPr="00E70587" w:rsidRDefault="009901E1" w:rsidP="008F3C56">
            <w:pPr>
              <w:pStyle w:val="Notesbodytext"/>
              <w:spacing w:after="0" w:line="280" w:lineRule="exact"/>
              <w:jc w:val="both"/>
              <w:rPr>
                <w:rFonts w:ascii="Arial" w:hAnsi="Arial"/>
                <w:color w:val="auto"/>
                <w:sz w:val="20"/>
              </w:rPr>
            </w:pPr>
          </w:p>
          <w:p w14:paraId="053F4886" w14:textId="77777777" w:rsidR="008F3C56" w:rsidRPr="00E70587" w:rsidRDefault="008F3C56" w:rsidP="008F3C56">
            <w:pPr>
              <w:pStyle w:val="Notesbodytext"/>
              <w:spacing w:after="0" w:line="280" w:lineRule="exact"/>
              <w:jc w:val="both"/>
              <w:rPr>
                <w:rFonts w:ascii="Arial" w:hAnsi="Arial"/>
                <w:color w:val="auto"/>
                <w:sz w:val="20"/>
              </w:rPr>
            </w:pPr>
            <w:r w:rsidRPr="00E70587">
              <w:rPr>
                <w:rFonts w:ascii="Arial" w:hAnsi="Arial"/>
                <w:color w:val="auto"/>
                <w:sz w:val="20"/>
              </w:rPr>
              <w:t>For the purpose of the consolidated statement of cash flows, cash and cash equivalents consist of cash and short-term deposits, as defined above, net of outstanding bank overdrafts as they are considered an integral part of the Group’s cash management.</w:t>
            </w:r>
          </w:p>
          <w:p w14:paraId="67CDFA45" w14:textId="77777777" w:rsidR="008F3C56" w:rsidRPr="00E70587" w:rsidRDefault="008F3C56" w:rsidP="009901E1">
            <w:pPr>
              <w:pStyle w:val="Heading4"/>
              <w:spacing w:before="0" w:after="0" w:line="280" w:lineRule="exact"/>
              <w:jc w:val="both"/>
              <w:rPr>
                <w:rFonts w:ascii="Arial" w:hAnsi="Arial" w:cs="Arial"/>
                <w:szCs w:val="20"/>
              </w:rPr>
            </w:pPr>
          </w:p>
        </w:tc>
      </w:tr>
      <w:tr w:rsidR="00CA33DC" w:rsidRPr="00E70587" w14:paraId="2EB693A8" w14:textId="77777777" w:rsidTr="008B3EBB">
        <w:tc>
          <w:tcPr>
            <w:tcW w:w="0" w:type="auto"/>
          </w:tcPr>
          <w:p w14:paraId="7DCD7B84" w14:textId="51433D3C" w:rsidR="008F3C56" w:rsidRPr="00E70587" w:rsidRDefault="00900C2B" w:rsidP="008F3C56">
            <w:pPr>
              <w:pStyle w:val="Heading4"/>
              <w:keepNext w:val="0"/>
              <w:numPr>
                <w:ilvl w:val="0"/>
                <w:numId w:val="4"/>
              </w:numPr>
              <w:tabs>
                <w:tab w:val="clear" w:pos="357"/>
              </w:tabs>
              <w:spacing w:before="0" w:after="0" w:line="280" w:lineRule="exact"/>
              <w:ind w:left="342" w:hanging="342"/>
              <w:jc w:val="both"/>
              <w:rPr>
                <w:rFonts w:ascii="Arial" w:hAnsi="Arial" w:cs="Arial"/>
                <w:szCs w:val="20"/>
              </w:rPr>
            </w:pPr>
            <w:r>
              <w:rPr>
                <w:rFonts w:ascii="Arial" w:hAnsi="Arial" w:cs="Arial"/>
                <w:szCs w:val="20"/>
              </w:rPr>
              <w:lastRenderedPageBreak/>
              <w:t>D</w:t>
            </w:r>
            <w:r w:rsidR="008F3C56" w:rsidRPr="00E70587">
              <w:rPr>
                <w:rFonts w:ascii="Arial" w:hAnsi="Arial" w:cs="Arial"/>
                <w:szCs w:val="20"/>
              </w:rPr>
              <w:t>ividend</w:t>
            </w:r>
          </w:p>
          <w:p w14:paraId="4F0877C1" w14:textId="77777777" w:rsidR="009901E1" w:rsidRPr="00E70587" w:rsidRDefault="009901E1" w:rsidP="008F3C56">
            <w:pPr>
              <w:pStyle w:val="Notesbodytext"/>
              <w:spacing w:after="0" w:line="280" w:lineRule="exact"/>
              <w:jc w:val="both"/>
              <w:rPr>
                <w:rFonts w:ascii="Arial" w:hAnsi="Arial"/>
                <w:color w:val="auto"/>
                <w:sz w:val="20"/>
              </w:rPr>
            </w:pPr>
          </w:p>
          <w:p w14:paraId="12E70A3F" w14:textId="1B9107E8" w:rsidR="008F3C56" w:rsidRPr="00E70587" w:rsidRDefault="008F3C56" w:rsidP="008F3C56">
            <w:pPr>
              <w:pStyle w:val="Notesbodytext"/>
              <w:spacing w:after="0" w:line="280" w:lineRule="exact"/>
              <w:jc w:val="both"/>
              <w:rPr>
                <w:rFonts w:ascii="Arial" w:hAnsi="Arial"/>
                <w:color w:val="auto"/>
                <w:sz w:val="20"/>
              </w:rPr>
            </w:pPr>
            <w:r w:rsidRPr="00E70587">
              <w:rPr>
                <w:rFonts w:ascii="Arial" w:hAnsi="Arial"/>
                <w:color w:val="auto"/>
                <w:sz w:val="20"/>
              </w:rPr>
              <w:t xml:space="preserve">The company recognises a liability to make </w:t>
            </w:r>
            <w:r w:rsidR="000D1511">
              <w:rPr>
                <w:rFonts w:ascii="Arial" w:hAnsi="Arial"/>
                <w:color w:val="auto"/>
                <w:sz w:val="20"/>
              </w:rPr>
              <w:t>dividend</w:t>
            </w:r>
            <w:r w:rsidRPr="00E70587">
              <w:rPr>
                <w:rFonts w:ascii="Arial" w:hAnsi="Arial"/>
                <w:color w:val="auto"/>
                <w:sz w:val="20"/>
              </w:rPr>
              <w:t xml:space="preserve"> to equity holders of the parent when the distribution is authorised and the distribution is no longer at the discretion of the Company. As per the corporate laws in India, a distribution is authorised when it is approved by the shareholders. A corresponding amount is recognised directly in equity.</w:t>
            </w:r>
          </w:p>
          <w:p w14:paraId="7F81B981" w14:textId="77777777" w:rsidR="00E05566" w:rsidRPr="00E70587" w:rsidRDefault="00E05566" w:rsidP="00E67AAE">
            <w:pPr>
              <w:pStyle w:val="Notesbodytext"/>
              <w:spacing w:after="0" w:line="280" w:lineRule="exact"/>
              <w:jc w:val="both"/>
              <w:rPr>
                <w:rFonts w:ascii="Arial" w:hAnsi="Arial"/>
                <w:color w:val="auto"/>
                <w:sz w:val="20"/>
              </w:rPr>
            </w:pPr>
          </w:p>
        </w:tc>
      </w:tr>
      <w:tr w:rsidR="00AE5F94" w:rsidRPr="00E70587" w14:paraId="41FC5319" w14:textId="77777777" w:rsidTr="008B3EBB">
        <w:tc>
          <w:tcPr>
            <w:tcW w:w="0" w:type="auto"/>
          </w:tcPr>
          <w:p w14:paraId="2D4B6F5F" w14:textId="77777777" w:rsidR="00AE5F94" w:rsidRPr="00E70587" w:rsidRDefault="00AE5F94" w:rsidP="00AE5F94">
            <w:pPr>
              <w:pStyle w:val="Heading4"/>
              <w:keepNext w:val="0"/>
              <w:numPr>
                <w:ilvl w:val="0"/>
                <w:numId w:val="4"/>
              </w:numPr>
              <w:tabs>
                <w:tab w:val="clear" w:pos="357"/>
              </w:tabs>
              <w:spacing w:before="0" w:after="0" w:line="280" w:lineRule="exact"/>
              <w:ind w:left="342" w:hanging="342"/>
              <w:jc w:val="both"/>
              <w:rPr>
                <w:rFonts w:ascii="Arial" w:hAnsi="Arial" w:cs="Arial"/>
                <w:szCs w:val="20"/>
              </w:rPr>
            </w:pPr>
            <w:r w:rsidRPr="00E70587">
              <w:rPr>
                <w:rFonts w:ascii="Arial" w:hAnsi="Arial" w:cs="Arial"/>
                <w:szCs w:val="20"/>
              </w:rPr>
              <w:t>Earnings per share</w:t>
            </w:r>
          </w:p>
        </w:tc>
      </w:tr>
      <w:tr w:rsidR="00AE5F94" w:rsidRPr="00E70587" w14:paraId="47F2D5FC" w14:textId="77777777" w:rsidTr="008B3EBB">
        <w:tc>
          <w:tcPr>
            <w:tcW w:w="0" w:type="auto"/>
          </w:tcPr>
          <w:p w14:paraId="080CB9C8" w14:textId="77777777" w:rsidR="00AE5F94" w:rsidRPr="00E70587" w:rsidRDefault="00AE5F94" w:rsidP="00AE5F94">
            <w:pPr>
              <w:pStyle w:val="Notesbodytext"/>
              <w:spacing w:after="0" w:line="280" w:lineRule="exact"/>
              <w:jc w:val="both"/>
              <w:rPr>
                <w:rFonts w:ascii="Arial" w:hAnsi="Arial"/>
                <w:color w:val="auto"/>
                <w:sz w:val="20"/>
              </w:rPr>
            </w:pPr>
          </w:p>
          <w:p w14:paraId="6B3FDD02" w14:textId="77777777" w:rsidR="00AE5F94" w:rsidRPr="00E70587" w:rsidRDefault="00AE5F94" w:rsidP="00AE5F94">
            <w:pPr>
              <w:pStyle w:val="Notesbodytext"/>
              <w:spacing w:after="0" w:line="280" w:lineRule="exact"/>
              <w:jc w:val="both"/>
              <w:rPr>
                <w:rFonts w:ascii="Arial" w:hAnsi="Arial"/>
                <w:color w:val="auto"/>
                <w:sz w:val="20"/>
              </w:rPr>
            </w:pPr>
            <w:r w:rsidRPr="00E70587">
              <w:rPr>
                <w:rFonts w:ascii="Arial" w:hAnsi="Arial"/>
                <w:color w:val="auto"/>
                <w:sz w:val="20"/>
              </w:rPr>
              <w:t xml:space="preserve">Basic earnings per share are calculated by dividing the net profit or loss attributable to ordinary equity holder of parent company (after deducting preference dividends and attributable taxes) by the weighted average number of </w:t>
            </w:r>
            <w:proofErr w:type="gramStart"/>
            <w:r w:rsidRPr="00E70587">
              <w:rPr>
                <w:rFonts w:ascii="Arial" w:hAnsi="Arial"/>
                <w:color w:val="auto"/>
                <w:sz w:val="20"/>
              </w:rPr>
              <w:t>equity</w:t>
            </w:r>
            <w:proofErr w:type="gramEnd"/>
            <w:r w:rsidRPr="00E70587">
              <w:rPr>
                <w:rFonts w:ascii="Arial" w:hAnsi="Arial"/>
                <w:color w:val="auto"/>
                <w:sz w:val="20"/>
              </w:rPr>
              <w:t xml:space="preserve"> shares outstanding during the period. Partly paid equity shares are treated as a fraction of an equity share to the extent that they are entitled to participate in dividends relative to a fully paid equity share during the reporting period. The weighted average number of </w:t>
            </w:r>
            <w:proofErr w:type="gramStart"/>
            <w:r w:rsidRPr="00E70587">
              <w:rPr>
                <w:rFonts w:ascii="Arial" w:hAnsi="Arial"/>
                <w:color w:val="auto"/>
                <w:sz w:val="20"/>
              </w:rPr>
              <w:t>equity</w:t>
            </w:r>
            <w:proofErr w:type="gramEnd"/>
            <w:r w:rsidRPr="00E70587">
              <w:rPr>
                <w:rFonts w:ascii="Arial" w:hAnsi="Arial"/>
                <w:color w:val="auto"/>
                <w:sz w:val="20"/>
              </w:rPr>
              <w:t xml:space="preserve"> shares outstanding during the period is adjusted for events such as bonus issue, bonus element in a rights issue, share split, and reverse share split that have changed the number of equity shares outstanding, without a corresponding change in resources.</w:t>
            </w:r>
          </w:p>
          <w:p w14:paraId="0C0E8E24" w14:textId="77777777" w:rsidR="00AE5F94" w:rsidRPr="00E70587" w:rsidRDefault="00AE5F94" w:rsidP="00AE5F94">
            <w:pPr>
              <w:pStyle w:val="Notesbodytext"/>
              <w:spacing w:after="0" w:line="280" w:lineRule="exact"/>
              <w:jc w:val="both"/>
              <w:rPr>
                <w:rFonts w:ascii="Arial" w:hAnsi="Arial"/>
                <w:color w:val="auto"/>
                <w:sz w:val="20"/>
              </w:rPr>
            </w:pPr>
          </w:p>
          <w:p w14:paraId="256FAAA9" w14:textId="77777777" w:rsidR="00AE5F94" w:rsidRPr="00E70587" w:rsidRDefault="00AE5F94" w:rsidP="00EE29F0">
            <w:pPr>
              <w:pStyle w:val="Notesbodytext"/>
              <w:spacing w:after="0" w:line="280" w:lineRule="exact"/>
              <w:jc w:val="both"/>
              <w:rPr>
                <w:rFonts w:ascii="Arial" w:eastAsiaTheme="majorEastAsia" w:hAnsi="Arial" w:cstheme="majorBidi"/>
                <w:iCs/>
                <w:color w:val="000000" w:themeColor="text1"/>
              </w:rPr>
            </w:pPr>
            <w:r w:rsidRPr="00E70587">
              <w:rPr>
                <w:rFonts w:ascii="Arial" w:hAnsi="Arial"/>
                <w:color w:val="auto"/>
                <w:sz w:val="20"/>
              </w:rPr>
              <w:t>For the purpose of calculating diluted earnings per share, the net profit or loss for the period attributable to equity shareholders of the parent company and the weighted average number of shares outstanding during the period are adjusted for the effects of all dilutive potential equity shares.</w:t>
            </w:r>
          </w:p>
        </w:tc>
      </w:tr>
    </w:tbl>
    <w:p w14:paraId="4A07EE0D" w14:textId="77777777" w:rsidR="00944426" w:rsidRPr="00E70587" w:rsidRDefault="00944426" w:rsidP="009901E1">
      <w:pPr>
        <w:pStyle w:val="Notesbodytext"/>
        <w:spacing w:after="0" w:line="280" w:lineRule="exact"/>
        <w:jc w:val="both"/>
        <w:rPr>
          <w:rFonts w:ascii="Arial" w:hAnsi="Arial"/>
          <w:color w:val="auto"/>
          <w:sz w:val="20"/>
        </w:rPr>
      </w:pPr>
    </w:p>
    <w:p w14:paraId="2D4449D5" w14:textId="77777777" w:rsidR="002E1E59" w:rsidRPr="00B16293" w:rsidRDefault="002E1E59" w:rsidP="0029169E">
      <w:pPr>
        <w:pStyle w:val="ViralheadingL2"/>
        <w:keepNext w:val="0"/>
        <w:spacing w:before="0" w:after="0" w:line="280" w:lineRule="exact"/>
        <w:outlineLvl w:val="9"/>
        <w:rPr>
          <w:rFonts w:ascii="Arial" w:hAnsi="Arial" w:cs="Arial"/>
          <w:sz w:val="20"/>
          <w:szCs w:val="20"/>
        </w:rPr>
      </w:pPr>
      <w:r w:rsidRPr="00B16293">
        <w:rPr>
          <w:rFonts w:ascii="Arial" w:hAnsi="Arial" w:cs="Arial"/>
          <w:sz w:val="20"/>
          <w:szCs w:val="20"/>
        </w:rPr>
        <w:t>2.4 Changes in accounting policies and disclosures</w:t>
      </w:r>
    </w:p>
    <w:p w14:paraId="2FD13371" w14:textId="77777777" w:rsidR="002E1E59" w:rsidRPr="00B16293" w:rsidRDefault="002E1E59" w:rsidP="006939C8">
      <w:pPr>
        <w:pStyle w:val="ViralheadingL2"/>
        <w:keepNext w:val="0"/>
        <w:spacing w:before="0" w:after="0" w:line="280" w:lineRule="exact"/>
        <w:outlineLvl w:val="9"/>
        <w:rPr>
          <w:rFonts w:ascii="Arial" w:hAnsi="Arial" w:cs="Arial"/>
          <w:sz w:val="20"/>
          <w:szCs w:val="20"/>
        </w:rPr>
      </w:pPr>
    </w:p>
    <w:p w14:paraId="07AF3F56" w14:textId="77777777" w:rsidR="002E1E59" w:rsidRPr="00E70587" w:rsidRDefault="002E1E59" w:rsidP="006939C8">
      <w:pPr>
        <w:pStyle w:val="BodyText1"/>
        <w:widowControl w:val="0"/>
        <w:spacing w:after="0" w:line="280" w:lineRule="exact"/>
        <w:rPr>
          <w:rFonts w:ascii="Arial" w:hAnsi="Arial"/>
          <w:b/>
          <w:sz w:val="20"/>
        </w:rPr>
      </w:pPr>
      <w:r w:rsidRPr="00B16293">
        <w:rPr>
          <w:rFonts w:ascii="Arial" w:hAnsi="Arial"/>
          <w:b/>
          <w:sz w:val="20"/>
        </w:rPr>
        <w:t>New and amended standards</w:t>
      </w:r>
      <w:r w:rsidRPr="00E70587">
        <w:rPr>
          <w:rFonts w:ascii="Arial" w:hAnsi="Arial"/>
          <w:b/>
          <w:sz w:val="20"/>
        </w:rPr>
        <w:t xml:space="preserve"> </w:t>
      </w:r>
    </w:p>
    <w:p w14:paraId="691D6C14" w14:textId="77777777" w:rsidR="002E1E59" w:rsidRDefault="002E1E59" w:rsidP="006939C8">
      <w:pPr>
        <w:pStyle w:val="BodyText1"/>
        <w:widowControl w:val="0"/>
        <w:spacing w:after="0" w:line="280" w:lineRule="exact"/>
        <w:rPr>
          <w:rFonts w:ascii="Arial" w:hAnsi="Arial"/>
          <w:sz w:val="20"/>
        </w:rPr>
      </w:pPr>
    </w:p>
    <w:p w14:paraId="024616EB" w14:textId="6DE6ABE9" w:rsidR="0071263A" w:rsidRPr="00C63FCB" w:rsidRDefault="0071263A" w:rsidP="00C63FCB">
      <w:pPr>
        <w:pStyle w:val="ListParagraph"/>
        <w:numPr>
          <w:ilvl w:val="5"/>
          <w:numId w:val="2"/>
        </w:numPr>
        <w:tabs>
          <w:tab w:val="clear" w:pos="2160"/>
        </w:tabs>
        <w:spacing w:line="260" w:lineRule="exact"/>
        <w:ind w:left="567" w:hanging="567"/>
        <w:rPr>
          <w:rFonts w:ascii="Arial" w:hAnsi="Arial" w:cs="Arial"/>
          <w:b/>
          <w:bCs/>
          <w:sz w:val="20"/>
          <w:lang w:eastAsia="en-IN"/>
        </w:rPr>
      </w:pPr>
      <w:r w:rsidRPr="00C63FCB">
        <w:rPr>
          <w:rFonts w:ascii="Arial" w:hAnsi="Arial" w:cs="Arial"/>
          <w:b/>
          <w:bCs/>
          <w:sz w:val="20"/>
          <w:lang w:eastAsia="en-IN"/>
        </w:rPr>
        <w:t>Amendments to Ind AS 116:</w:t>
      </w:r>
      <w:r w:rsidRPr="00C63FCB">
        <w:rPr>
          <w:rFonts w:ascii="Arial" w:hAnsi="Arial" w:cs="Arial"/>
          <w:b/>
          <w:bCs/>
          <w:sz w:val="20"/>
          <w:szCs w:val="22"/>
        </w:rPr>
        <w:t xml:space="preserve"> </w:t>
      </w:r>
      <w:r w:rsidRPr="00C63FCB">
        <w:rPr>
          <w:rFonts w:ascii="Arial" w:hAnsi="Arial" w:cs="Arial"/>
          <w:b/>
          <w:bCs/>
          <w:sz w:val="20"/>
          <w:lang w:eastAsia="en-IN"/>
        </w:rPr>
        <w:t xml:space="preserve">Covid-19-Related Rent Concessions.  </w:t>
      </w:r>
    </w:p>
    <w:p w14:paraId="55E9F895" w14:textId="77777777" w:rsidR="0071263A" w:rsidRPr="0071263A" w:rsidRDefault="0071263A" w:rsidP="0071263A">
      <w:pPr>
        <w:spacing w:line="260" w:lineRule="exact"/>
        <w:rPr>
          <w:rFonts w:ascii="Arial" w:hAnsi="Arial" w:cs="Arial"/>
          <w:b/>
          <w:bCs/>
          <w:sz w:val="20"/>
          <w:lang w:eastAsia="en-IN"/>
        </w:rPr>
      </w:pPr>
    </w:p>
    <w:p w14:paraId="0BF2435A" w14:textId="77777777" w:rsidR="0071263A" w:rsidRPr="0071263A" w:rsidRDefault="0071263A" w:rsidP="0071263A">
      <w:pPr>
        <w:spacing w:line="260" w:lineRule="exact"/>
        <w:rPr>
          <w:rFonts w:ascii="Arial" w:hAnsi="Arial" w:cs="Arial"/>
          <w:sz w:val="20"/>
          <w:szCs w:val="22"/>
        </w:rPr>
      </w:pPr>
      <w:r w:rsidRPr="0071263A">
        <w:rPr>
          <w:rFonts w:ascii="Arial" w:hAnsi="Arial" w:cs="Arial"/>
          <w:sz w:val="20"/>
          <w:lang w:eastAsia="en-IN"/>
        </w:rPr>
        <w:t xml:space="preserve">The amendments to Ind AS 116 provides a practical expedient to lessees in accounting for rent concessions that are a direct consequence of the Covid-19 pandemic. </w:t>
      </w:r>
      <w:r w:rsidRPr="0071263A">
        <w:rPr>
          <w:rFonts w:ascii="Arial" w:hAnsi="Arial" w:cs="Arial"/>
          <w:sz w:val="20"/>
          <w:szCs w:val="22"/>
        </w:rPr>
        <w:t xml:space="preserve">As a practical expedient, a lessee may elect not to assess whether a covid-19 related rent concession from a lessor is a lease modification. A lessee that makes this election accounts for any change in lease payments resulting from the covid-19 related rent concession the same way it would account for the change under IFRS 16, if the change were not a lease modification. The practical expedient applies only to rent concessions occurring as a direct consequence of the covid-19 pandemic and only </w:t>
      </w:r>
      <w:r w:rsidRPr="0071263A">
        <w:rPr>
          <w:rFonts w:ascii="Arial" w:hAnsi="Arial" w:cs="Arial"/>
          <w:sz w:val="20"/>
          <w:szCs w:val="22"/>
          <w:u w:val="single"/>
        </w:rPr>
        <w:t>if all</w:t>
      </w:r>
      <w:r w:rsidRPr="0071263A">
        <w:rPr>
          <w:rFonts w:ascii="Arial" w:hAnsi="Arial" w:cs="Arial"/>
          <w:sz w:val="20"/>
          <w:szCs w:val="22"/>
        </w:rPr>
        <w:t xml:space="preserve"> of the following conditions are met: </w:t>
      </w:r>
    </w:p>
    <w:p w14:paraId="680E884B" w14:textId="77777777" w:rsidR="0071263A" w:rsidRPr="0071263A" w:rsidRDefault="0071263A" w:rsidP="00E466DD">
      <w:pPr>
        <w:pStyle w:val="ListParagraph"/>
        <w:numPr>
          <w:ilvl w:val="0"/>
          <w:numId w:val="51"/>
        </w:numPr>
        <w:overflowPunct/>
        <w:autoSpaceDE/>
        <w:autoSpaceDN/>
        <w:adjustRightInd/>
        <w:spacing w:after="160" w:line="259" w:lineRule="auto"/>
        <w:ind w:left="306"/>
        <w:textAlignment w:val="auto"/>
        <w:rPr>
          <w:rFonts w:ascii="Arial" w:hAnsi="Arial" w:cs="Arial"/>
          <w:sz w:val="20"/>
          <w:szCs w:val="22"/>
        </w:rPr>
      </w:pPr>
      <w:r w:rsidRPr="0071263A">
        <w:rPr>
          <w:rFonts w:ascii="Arial" w:hAnsi="Arial" w:cs="Arial"/>
          <w:sz w:val="20"/>
          <w:szCs w:val="22"/>
        </w:rPr>
        <w:t>The change in lease payments results in revised consideration for the lease that is substantially the same as, or less than, the consideration for the lease immediately preceding the change.</w:t>
      </w:r>
    </w:p>
    <w:p w14:paraId="108F92B8" w14:textId="77777777" w:rsidR="0071263A" w:rsidRPr="0071263A" w:rsidRDefault="0071263A" w:rsidP="00E466DD">
      <w:pPr>
        <w:pStyle w:val="ListParagraph"/>
        <w:numPr>
          <w:ilvl w:val="0"/>
          <w:numId w:val="51"/>
        </w:numPr>
        <w:overflowPunct/>
        <w:autoSpaceDE/>
        <w:autoSpaceDN/>
        <w:adjustRightInd/>
        <w:spacing w:after="160" w:line="259" w:lineRule="auto"/>
        <w:ind w:left="306"/>
        <w:textAlignment w:val="auto"/>
        <w:rPr>
          <w:rFonts w:ascii="Arial" w:hAnsi="Arial" w:cs="Arial"/>
          <w:sz w:val="20"/>
          <w:szCs w:val="22"/>
        </w:rPr>
      </w:pPr>
      <w:r w:rsidRPr="0071263A">
        <w:rPr>
          <w:rFonts w:ascii="Arial" w:hAnsi="Arial" w:cs="Arial"/>
          <w:sz w:val="20"/>
          <w:szCs w:val="22"/>
        </w:rPr>
        <w:t>Any reduction in lease payments affects only payments originally due on or before 30 June 2021 (for example, a rent concession would meet this condition if it results in reduced lease payments before 30 June 2021 and increased lease payments that extend beyond 30 June 2021).</w:t>
      </w:r>
    </w:p>
    <w:p w14:paraId="6EFC5EC7" w14:textId="77777777" w:rsidR="0071263A" w:rsidRPr="0071263A" w:rsidRDefault="0071263A" w:rsidP="00E466DD">
      <w:pPr>
        <w:pStyle w:val="ListParagraph"/>
        <w:numPr>
          <w:ilvl w:val="0"/>
          <w:numId w:val="51"/>
        </w:numPr>
        <w:overflowPunct/>
        <w:autoSpaceDE/>
        <w:autoSpaceDN/>
        <w:adjustRightInd/>
        <w:spacing w:after="160" w:line="259" w:lineRule="auto"/>
        <w:ind w:left="306"/>
        <w:textAlignment w:val="auto"/>
        <w:rPr>
          <w:rFonts w:ascii="Arial" w:hAnsi="Arial" w:cs="Arial"/>
          <w:sz w:val="20"/>
          <w:szCs w:val="22"/>
        </w:rPr>
      </w:pPr>
      <w:r w:rsidRPr="0071263A">
        <w:rPr>
          <w:rFonts w:ascii="Arial" w:hAnsi="Arial" w:cs="Arial"/>
          <w:sz w:val="20"/>
          <w:szCs w:val="22"/>
        </w:rPr>
        <w:t>There is no substantive change to other terms and conditions of the lease.</w:t>
      </w:r>
    </w:p>
    <w:p w14:paraId="62CCF280" w14:textId="77777777" w:rsidR="0071263A" w:rsidRPr="0071263A" w:rsidRDefault="0071263A" w:rsidP="0071263A">
      <w:pPr>
        <w:spacing w:line="260" w:lineRule="exact"/>
        <w:rPr>
          <w:rFonts w:ascii="Arial" w:hAnsi="Arial" w:cs="Arial"/>
          <w:sz w:val="20"/>
          <w:lang w:eastAsia="en-IN"/>
        </w:rPr>
      </w:pPr>
      <w:r w:rsidRPr="0071263A">
        <w:rPr>
          <w:rFonts w:ascii="Arial" w:hAnsi="Arial" w:cs="Arial"/>
          <w:sz w:val="20"/>
          <w:lang w:eastAsia="en-IN"/>
        </w:rPr>
        <w:t>No practical expedient is available for lessors.</w:t>
      </w:r>
    </w:p>
    <w:p w14:paraId="6B7FFC3A" w14:textId="77777777" w:rsidR="0071263A" w:rsidRPr="0071263A" w:rsidRDefault="0071263A" w:rsidP="0071263A">
      <w:pPr>
        <w:spacing w:line="260" w:lineRule="exact"/>
        <w:rPr>
          <w:rFonts w:ascii="Arial" w:hAnsi="Arial" w:cs="Arial"/>
          <w:sz w:val="20"/>
          <w:lang w:eastAsia="en-IN"/>
        </w:rPr>
      </w:pPr>
    </w:p>
    <w:p w14:paraId="27FC3435" w14:textId="77777777" w:rsidR="0071263A" w:rsidRPr="0071263A" w:rsidRDefault="0071263A" w:rsidP="0071263A">
      <w:pPr>
        <w:spacing w:after="160" w:line="259" w:lineRule="auto"/>
        <w:rPr>
          <w:rFonts w:ascii="Arial" w:hAnsi="Arial" w:cs="Arial"/>
          <w:sz w:val="20"/>
          <w:szCs w:val="22"/>
        </w:rPr>
      </w:pPr>
      <w:r w:rsidRPr="0071263A">
        <w:rPr>
          <w:rFonts w:ascii="Arial" w:hAnsi="Arial" w:cs="Arial"/>
          <w:sz w:val="20"/>
          <w:szCs w:val="22"/>
        </w:rPr>
        <w:t xml:space="preserve">The lessees will apply the practical expedient retrospectively, recognising the cumulative effect of initially applying the amendment as an adjustment </w:t>
      </w:r>
      <w:proofErr w:type="gramStart"/>
      <w:r w:rsidRPr="0071263A">
        <w:rPr>
          <w:rFonts w:ascii="Arial" w:hAnsi="Arial" w:cs="Arial"/>
          <w:sz w:val="20"/>
          <w:szCs w:val="22"/>
        </w:rPr>
        <w:t>to  the</w:t>
      </w:r>
      <w:proofErr w:type="gramEnd"/>
      <w:r w:rsidRPr="0071263A">
        <w:rPr>
          <w:rFonts w:ascii="Arial" w:hAnsi="Arial" w:cs="Arial"/>
          <w:sz w:val="20"/>
          <w:szCs w:val="22"/>
        </w:rPr>
        <w:t xml:space="preserve"> opening balance of retained earnings (or other component of equity, as appropriate) at the beginning of the annual reporting period in which the lessee first applies the amendment. </w:t>
      </w:r>
    </w:p>
    <w:p w14:paraId="116BA7E7" w14:textId="732E4042" w:rsidR="0071263A" w:rsidRPr="0071263A" w:rsidRDefault="0071263A" w:rsidP="0071263A">
      <w:pPr>
        <w:spacing w:line="260" w:lineRule="exact"/>
        <w:rPr>
          <w:rFonts w:ascii="Arial" w:hAnsi="Arial" w:cs="Arial"/>
          <w:sz w:val="20"/>
          <w:lang w:eastAsia="en-IN"/>
        </w:rPr>
      </w:pPr>
      <w:r w:rsidRPr="0071263A">
        <w:rPr>
          <w:rFonts w:ascii="Arial" w:hAnsi="Arial" w:cs="Arial"/>
          <w:sz w:val="20"/>
          <w:szCs w:val="22"/>
        </w:rPr>
        <w:lastRenderedPageBreak/>
        <w:t>The amendments are applicable for annual reporting periods beginning on or after the 1</w:t>
      </w:r>
      <w:r>
        <w:rPr>
          <w:rFonts w:ascii="Arial" w:hAnsi="Arial" w:cs="Arial"/>
          <w:sz w:val="20"/>
          <w:szCs w:val="22"/>
        </w:rPr>
        <w:t xml:space="preserve"> </w:t>
      </w:r>
      <w:r w:rsidRPr="0071263A">
        <w:rPr>
          <w:rFonts w:ascii="Arial" w:hAnsi="Arial" w:cs="Arial"/>
          <w:sz w:val="20"/>
          <w:szCs w:val="22"/>
        </w:rPr>
        <w:t xml:space="preserve">April 2020. In case, a lessee has not yet approved the financial statements for issue before the issuance of this amendment, then the same may be applied for annual reporting periods beginning on or after the 1 April 2019. </w:t>
      </w:r>
      <w:r w:rsidRPr="0071263A">
        <w:rPr>
          <w:rFonts w:ascii="Arial" w:hAnsi="Arial" w:cs="Arial"/>
          <w:sz w:val="20"/>
          <w:lang w:eastAsia="en-IN"/>
        </w:rPr>
        <w:t>The Group will not be affected by these amendments on the date of transition as there are no rent concessions provided for from the lessor.</w:t>
      </w:r>
    </w:p>
    <w:p w14:paraId="2DBCC41D" w14:textId="1ECBD52F" w:rsidR="00ED5D07" w:rsidRDefault="00ED5D07">
      <w:pPr>
        <w:overflowPunct/>
        <w:autoSpaceDE/>
        <w:autoSpaceDN/>
        <w:adjustRightInd/>
        <w:spacing w:line="240" w:lineRule="auto"/>
        <w:textAlignment w:val="auto"/>
        <w:rPr>
          <w:rFonts w:ascii="Arial" w:hAnsi="Arial"/>
          <w:b/>
          <w:sz w:val="20"/>
        </w:rPr>
      </w:pPr>
    </w:p>
    <w:p w14:paraId="252D9A86" w14:textId="6B693FE3" w:rsidR="00C63FCB" w:rsidRPr="00C63FCB" w:rsidRDefault="00C63FCB" w:rsidP="00C63FCB">
      <w:pPr>
        <w:pStyle w:val="ListParagraph"/>
        <w:numPr>
          <w:ilvl w:val="5"/>
          <w:numId w:val="2"/>
        </w:numPr>
        <w:tabs>
          <w:tab w:val="clear" w:pos="2160"/>
          <w:tab w:val="num" w:pos="1843"/>
        </w:tabs>
        <w:spacing w:line="260" w:lineRule="exact"/>
        <w:ind w:left="567" w:hanging="567"/>
        <w:rPr>
          <w:rFonts w:ascii="Arial" w:hAnsi="Arial" w:cs="Arial"/>
          <w:b/>
          <w:bCs/>
          <w:sz w:val="20"/>
          <w:lang w:eastAsia="en-IN"/>
        </w:rPr>
      </w:pPr>
      <w:r w:rsidRPr="00C63FCB">
        <w:rPr>
          <w:rFonts w:ascii="Arial" w:hAnsi="Arial" w:cs="Arial"/>
          <w:b/>
          <w:bCs/>
          <w:sz w:val="20"/>
          <w:lang w:eastAsia="en-IN"/>
        </w:rPr>
        <w:t xml:space="preserve">Amendments to Ind AS 103 </w:t>
      </w:r>
      <w:r w:rsidRPr="00C63FCB">
        <w:rPr>
          <w:rFonts w:ascii="Arial" w:hAnsi="Arial" w:cs="Arial"/>
          <w:b/>
          <w:bCs/>
          <w:i/>
          <w:iCs/>
          <w:sz w:val="20"/>
          <w:lang w:eastAsia="en-IN"/>
        </w:rPr>
        <w:t>Business Combinations</w:t>
      </w:r>
    </w:p>
    <w:p w14:paraId="618DD162" w14:textId="77777777" w:rsidR="00C63FCB" w:rsidRPr="00C63FCB" w:rsidRDefault="00C63FCB" w:rsidP="00C63FCB">
      <w:pPr>
        <w:spacing w:line="260" w:lineRule="exact"/>
        <w:rPr>
          <w:rFonts w:ascii="Arial" w:hAnsi="Arial" w:cs="Arial"/>
          <w:sz w:val="20"/>
          <w:lang w:eastAsia="en-IN"/>
        </w:rPr>
      </w:pPr>
      <w:r w:rsidRPr="00C63FCB">
        <w:rPr>
          <w:rFonts w:ascii="Arial" w:hAnsi="Arial" w:cs="Arial"/>
          <w:sz w:val="20"/>
          <w:lang w:eastAsia="en-IN"/>
        </w:rPr>
        <w:t xml:space="preserve">The amendments to the definition of a business in Ind AS 103 help entities determine whether an acquired set of activities and assets is a business or not. They </w:t>
      </w:r>
      <w:proofErr w:type="gramStart"/>
      <w:r w:rsidRPr="00C63FCB">
        <w:rPr>
          <w:rFonts w:ascii="Arial" w:hAnsi="Arial" w:cs="Arial"/>
          <w:sz w:val="20"/>
          <w:lang w:eastAsia="en-IN"/>
        </w:rPr>
        <w:t>clarify  the</w:t>
      </w:r>
      <w:proofErr w:type="gramEnd"/>
      <w:r w:rsidRPr="00C63FCB">
        <w:rPr>
          <w:rFonts w:ascii="Arial" w:hAnsi="Arial" w:cs="Arial"/>
          <w:sz w:val="20"/>
          <w:lang w:eastAsia="en-IN"/>
        </w:rPr>
        <w:t xml:space="preserve"> minimum requirements for a business, remove the assessment of whether market participants are  capable of replacing any missing elements, add guidance to help entities assess whether an acquired process is substantive, narrow the definitions of a business and of outputs, and introduce an optional fair value concentration test. </w:t>
      </w:r>
    </w:p>
    <w:p w14:paraId="18A67A1D" w14:textId="77777777" w:rsidR="00C63FCB" w:rsidRPr="00C63FCB" w:rsidRDefault="00C63FCB" w:rsidP="00C63FCB">
      <w:pPr>
        <w:spacing w:line="260" w:lineRule="exact"/>
        <w:rPr>
          <w:rFonts w:ascii="Arial" w:hAnsi="Arial" w:cs="Arial"/>
          <w:sz w:val="20"/>
          <w:lang w:eastAsia="en-IN"/>
        </w:rPr>
      </w:pPr>
    </w:p>
    <w:p w14:paraId="45A77863" w14:textId="77777777" w:rsidR="00C63FCB" w:rsidRPr="00C63FCB" w:rsidRDefault="00C63FCB" w:rsidP="00C63FCB">
      <w:pPr>
        <w:spacing w:line="260" w:lineRule="exact"/>
        <w:rPr>
          <w:rFonts w:ascii="Arial" w:hAnsi="Arial" w:cs="Arial"/>
          <w:sz w:val="20"/>
          <w:lang w:eastAsia="en-IN"/>
        </w:rPr>
      </w:pPr>
      <w:r w:rsidRPr="00C63FCB">
        <w:rPr>
          <w:rFonts w:ascii="Arial" w:hAnsi="Arial" w:cs="Arial"/>
          <w:sz w:val="20"/>
          <w:lang w:eastAsia="en-IN"/>
        </w:rPr>
        <w:t>These amendments are applicable to business combinations for which the acquisition date is on or after the beginning of the first annual reporting period beginning on or after the 1 April 2020 and to asset acquisitions that occur on or after the beginning of that period. Since the amendments apply prospectively to transactions or other events that occur on or after the date of first application, the Group will not be affected by these amendments on the date of transition.</w:t>
      </w:r>
    </w:p>
    <w:p w14:paraId="44C23D3D" w14:textId="77777777" w:rsidR="00C63FCB" w:rsidRPr="00C63FCB" w:rsidRDefault="00C63FCB" w:rsidP="00C63FCB">
      <w:pPr>
        <w:spacing w:line="260" w:lineRule="exact"/>
        <w:rPr>
          <w:rFonts w:ascii="Arial" w:hAnsi="Arial" w:cs="Arial"/>
          <w:sz w:val="20"/>
          <w:lang w:eastAsia="en-IN"/>
        </w:rPr>
      </w:pPr>
    </w:p>
    <w:p w14:paraId="6AB42DBE" w14:textId="77777777" w:rsidR="00C63FCB" w:rsidRPr="00C63FCB" w:rsidRDefault="00C63FCB" w:rsidP="00C63FCB">
      <w:pPr>
        <w:pStyle w:val="ListParagraph"/>
        <w:numPr>
          <w:ilvl w:val="5"/>
          <w:numId w:val="2"/>
        </w:numPr>
        <w:tabs>
          <w:tab w:val="clear" w:pos="2160"/>
          <w:tab w:val="num" w:pos="426"/>
        </w:tabs>
        <w:spacing w:line="260" w:lineRule="exact"/>
        <w:ind w:hanging="2160"/>
        <w:rPr>
          <w:rFonts w:ascii="Arial" w:hAnsi="Arial" w:cs="Arial"/>
          <w:b/>
          <w:bCs/>
          <w:sz w:val="20"/>
          <w:lang w:eastAsia="en-IN"/>
        </w:rPr>
      </w:pPr>
      <w:r w:rsidRPr="00C63FCB">
        <w:rPr>
          <w:rFonts w:ascii="Arial" w:hAnsi="Arial" w:cs="Arial"/>
          <w:b/>
          <w:bCs/>
          <w:sz w:val="20"/>
          <w:lang w:eastAsia="en-IN"/>
        </w:rPr>
        <w:t xml:space="preserve">Amendments to Ind AS 1 and Ind AS 8: Definition of Material </w:t>
      </w:r>
    </w:p>
    <w:p w14:paraId="1D4BB109" w14:textId="0E7399DC" w:rsidR="00C63FCB" w:rsidRPr="00C63FCB" w:rsidRDefault="00C63FCB" w:rsidP="00C63FCB">
      <w:pPr>
        <w:spacing w:line="260" w:lineRule="exact"/>
        <w:rPr>
          <w:rFonts w:ascii="Arial" w:hAnsi="Arial" w:cs="Arial"/>
          <w:sz w:val="20"/>
          <w:lang w:eastAsia="en-IN"/>
        </w:rPr>
      </w:pPr>
      <w:r w:rsidRPr="00C63FCB">
        <w:rPr>
          <w:rFonts w:ascii="Arial" w:hAnsi="Arial" w:cs="Arial"/>
          <w:sz w:val="20"/>
          <w:lang w:eastAsia="en-IN"/>
        </w:rPr>
        <w:t xml:space="preserve">The amendments to Ind AS 1 </w:t>
      </w:r>
      <w:r w:rsidRPr="00C63FCB">
        <w:rPr>
          <w:rFonts w:ascii="Arial" w:hAnsi="Arial" w:cs="Arial"/>
          <w:i/>
          <w:iCs/>
          <w:sz w:val="20"/>
          <w:lang w:eastAsia="en-IN"/>
        </w:rPr>
        <w:t>Presentation of Financial Statements</w:t>
      </w:r>
      <w:r w:rsidRPr="00C63FCB">
        <w:rPr>
          <w:rFonts w:ascii="Arial" w:hAnsi="Arial" w:cs="Arial"/>
          <w:sz w:val="20"/>
          <w:lang w:eastAsia="en-IN"/>
        </w:rPr>
        <w:t xml:space="preserve"> and Ind AS 8 </w:t>
      </w:r>
      <w:r w:rsidRPr="00C63FCB">
        <w:rPr>
          <w:rFonts w:ascii="Arial" w:hAnsi="Arial" w:cs="Arial"/>
          <w:i/>
          <w:iCs/>
          <w:sz w:val="20"/>
          <w:lang w:eastAsia="en-IN"/>
        </w:rPr>
        <w:t>Accounting Policies, Changes in Accounting Estimates and Errors</w:t>
      </w:r>
      <w:r w:rsidRPr="00C63FCB">
        <w:rPr>
          <w:rFonts w:ascii="Arial" w:hAnsi="Arial" w:cs="Arial"/>
          <w:sz w:val="20"/>
          <w:lang w:eastAsia="en-IN"/>
        </w:rPr>
        <w:t xml:space="preserve"> align the definition of ‘material’ across the standards and clarify certain aspects of the definition. The new definition states that, ’Information is material if omitting, misstating or obscuring it could reasonably be expected to influence decisions that the primary users of </w:t>
      </w:r>
      <w:r w:rsidR="003258AB" w:rsidRPr="00C63FCB">
        <w:rPr>
          <w:rFonts w:ascii="Arial" w:hAnsi="Arial" w:cs="Arial"/>
          <w:sz w:val="20"/>
          <w:lang w:eastAsia="en-IN"/>
        </w:rPr>
        <w:t>general-purpose</w:t>
      </w:r>
      <w:r w:rsidRPr="00C63FCB">
        <w:rPr>
          <w:rFonts w:ascii="Arial" w:hAnsi="Arial" w:cs="Arial"/>
          <w:sz w:val="20"/>
          <w:lang w:eastAsia="en-IN"/>
        </w:rPr>
        <w:t xml:space="preserve"> financial statements make on the basis of those financial statements, which provide financial information about a specific reporting entity. The amendments clarify that materiality will depend on the nature or magnitude of information, either individually or in combination with other information, in the context of the financial </w:t>
      </w:r>
      <w:r w:rsidR="00BD5A36">
        <w:rPr>
          <w:rFonts w:ascii="Arial" w:hAnsi="Arial" w:cs="Arial"/>
          <w:sz w:val="20"/>
          <w:lang w:eastAsia="en-IN"/>
        </w:rPr>
        <w:t>s</w:t>
      </w:r>
      <w:r w:rsidRPr="00C63FCB">
        <w:rPr>
          <w:rFonts w:ascii="Arial" w:hAnsi="Arial" w:cs="Arial"/>
          <w:sz w:val="20"/>
          <w:lang w:eastAsia="en-IN"/>
        </w:rPr>
        <w:t>tatements.</w:t>
      </w:r>
    </w:p>
    <w:p w14:paraId="7BD36608" w14:textId="77777777" w:rsidR="00C63FCB" w:rsidRPr="00C63FCB" w:rsidRDefault="00C63FCB" w:rsidP="00C63FCB">
      <w:pPr>
        <w:spacing w:line="260" w:lineRule="exact"/>
        <w:rPr>
          <w:rFonts w:ascii="Arial" w:hAnsi="Arial" w:cs="Arial"/>
          <w:sz w:val="20"/>
          <w:lang w:eastAsia="en-IN"/>
        </w:rPr>
      </w:pPr>
    </w:p>
    <w:p w14:paraId="77FE30D9" w14:textId="77777777" w:rsidR="00C63FCB" w:rsidRPr="00C63FCB" w:rsidRDefault="00C63FCB" w:rsidP="00C63FCB">
      <w:pPr>
        <w:spacing w:line="260" w:lineRule="exact"/>
        <w:rPr>
          <w:rFonts w:ascii="Arial" w:hAnsi="Arial" w:cs="Arial"/>
          <w:sz w:val="20"/>
          <w:lang w:eastAsia="en-IN"/>
        </w:rPr>
      </w:pPr>
      <w:r w:rsidRPr="00C63FCB">
        <w:rPr>
          <w:rFonts w:ascii="Arial" w:hAnsi="Arial" w:cs="Arial"/>
          <w:sz w:val="20"/>
          <w:lang w:eastAsia="en-IN"/>
        </w:rPr>
        <w:t xml:space="preserve">A misstatement of information is material if it could reasonably be expected to influence decisions made by the primary users. </w:t>
      </w:r>
    </w:p>
    <w:p w14:paraId="6DA4DD0E" w14:textId="77777777" w:rsidR="00C63FCB" w:rsidRPr="00C63FCB" w:rsidRDefault="00C63FCB" w:rsidP="00C63FCB">
      <w:pPr>
        <w:spacing w:line="260" w:lineRule="exact"/>
        <w:rPr>
          <w:rFonts w:ascii="Arial" w:hAnsi="Arial" w:cs="Arial"/>
          <w:sz w:val="20"/>
          <w:lang w:eastAsia="en-IN"/>
        </w:rPr>
      </w:pPr>
    </w:p>
    <w:p w14:paraId="68C15566" w14:textId="77777777" w:rsidR="00C63FCB" w:rsidRPr="00C63FCB" w:rsidRDefault="00C63FCB" w:rsidP="00C63FCB">
      <w:pPr>
        <w:spacing w:line="260" w:lineRule="exact"/>
        <w:rPr>
          <w:rFonts w:ascii="Arial" w:hAnsi="Arial" w:cs="Arial"/>
          <w:sz w:val="20"/>
          <w:lang w:eastAsia="en-IN"/>
        </w:rPr>
      </w:pPr>
      <w:r w:rsidRPr="00C63FCB">
        <w:rPr>
          <w:rFonts w:ascii="Arial" w:hAnsi="Arial" w:cs="Arial"/>
          <w:sz w:val="20"/>
          <w:lang w:eastAsia="en-IN"/>
        </w:rPr>
        <w:t>These</w:t>
      </w:r>
      <w:r w:rsidRPr="00C63FCB">
        <w:rPr>
          <w:rFonts w:ascii="Arial" w:hAnsi="Arial" w:cs="Arial"/>
          <w:sz w:val="20"/>
          <w:szCs w:val="22"/>
        </w:rPr>
        <w:t xml:space="preserve"> amendments are applicable prospectively for annual periods beginning on or after the 1 April 2020. </w:t>
      </w:r>
      <w:r w:rsidRPr="00C63FCB">
        <w:rPr>
          <w:rFonts w:ascii="Arial" w:hAnsi="Arial" w:cs="Arial"/>
          <w:sz w:val="20"/>
          <w:lang w:eastAsia="en-IN"/>
        </w:rPr>
        <w:t>The amendments to the definition of material are not expected to have a significant impact on the Group’s consolidated financial statements.</w:t>
      </w:r>
    </w:p>
    <w:p w14:paraId="5BF618DF" w14:textId="77777777" w:rsidR="00C63FCB" w:rsidRPr="00C63FCB" w:rsidRDefault="00C63FCB" w:rsidP="00C63FCB">
      <w:pPr>
        <w:spacing w:line="260" w:lineRule="exact"/>
        <w:rPr>
          <w:rFonts w:ascii="Arial" w:hAnsi="Arial" w:cs="Arial"/>
          <w:sz w:val="20"/>
        </w:rPr>
      </w:pPr>
    </w:p>
    <w:p w14:paraId="0B2515A8" w14:textId="77777777" w:rsidR="00C63FCB" w:rsidRPr="00C63FCB" w:rsidRDefault="00C63FCB" w:rsidP="00C63FCB">
      <w:pPr>
        <w:pStyle w:val="ListParagraph"/>
        <w:numPr>
          <w:ilvl w:val="5"/>
          <w:numId w:val="2"/>
        </w:numPr>
        <w:tabs>
          <w:tab w:val="clear" w:pos="2160"/>
          <w:tab w:val="num" w:pos="426"/>
        </w:tabs>
        <w:spacing w:line="260" w:lineRule="exact"/>
        <w:ind w:hanging="2160"/>
        <w:rPr>
          <w:rFonts w:ascii="Arial" w:hAnsi="Arial" w:cs="Arial"/>
          <w:b/>
          <w:bCs/>
          <w:sz w:val="20"/>
        </w:rPr>
      </w:pPr>
      <w:r w:rsidRPr="00C63FCB">
        <w:rPr>
          <w:rFonts w:ascii="Arial" w:hAnsi="Arial" w:cs="Arial"/>
          <w:b/>
          <w:bCs/>
          <w:sz w:val="20"/>
          <w:lang w:eastAsia="en-IN"/>
        </w:rPr>
        <w:t>Amendments</w:t>
      </w:r>
      <w:r w:rsidRPr="00C63FCB">
        <w:rPr>
          <w:rFonts w:ascii="Arial" w:hAnsi="Arial" w:cs="Arial"/>
          <w:b/>
          <w:bCs/>
          <w:sz w:val="20"/>
        </w:rPr>
        <w:t xml:space="preserve"> to Ind AS 107 and Ind AS 109: Interest Rate Benchmark Reform </w:t>
      </w:r>
    </w:p>
    <w:p w14:paraId="28BC7E10" w14:textId="77777777" w:rsidR="00C63FCB" w:rsidRPr="00C63FCB" w:rsidRDefault="00C63FCB" w:rsidP="00C63FCB">
      <w:pPr>
        <w:spacing w:line="260" w:lineRule="exact"/>
        <w:rPr>
          <w:rFonts w:ascii="Arial" w:hAnsi="Arial" w:cs="Arial"/>
          <w:sz w:val="20"/>
        </w:rPr>
      </w:pPr>
      <w:r w:rsidRPr="00C63FCB">
        <w:rPr>
          <w:rFonts w:ascii="Arial" w:hAnsi="Arial" w:cs="Arial"/>
          <w:sz w:val="20"/>
        </w:rPr>
        <w:t xml:space="preserve">The amendments to Ind AS 109 </w:t>
      </w:r>
      <w:r w:rsidRPr="00C63FCB">
        <w:rPr>
          <w:rFonts w:ascii="Arial" w:hAnsi="Arial" w:cs="Arial"/>
          <w:i/>
          <w:iCs/>
          <w:sz w:val="20"/>
        </w:rPr>
        <w:t>Financial Instruments: Recognition and Measurement</w:t>
      </w:r>
      <w:r w:rsidRPr="00C63FCB">
        <w:rPr>
          <w:rFonts w:ascii="Arial" w:hAnsi="Arial" w:cs="Arial"/>
          <w:sz w:val="20"/>
        </w:rPr>
        <w:t xml:space="preserve"> provide a number of reliefs, which apply to all hedging relationships that are directly affected by interest rate benchmark reform. A hedging relationship is affected if the reform gives rise to uncertainties about the timing and or amount of benchmark-based cash flows of the hedged item or the hedging instrument.</w:t>
      </w:r>
    </w:p>
    <w:p w14:paraId="623CEFD8" w14:textId="77777777" w:rsidR="00C63FCB" w:rsidRPr="00C63FCB" w:rsidRDefault="00C63FCB" w:rsidP="00C63FCB">
      <w:pPr>
        <w:spacing w:line="260" w:lineRule="exact"/>
        <w:rPr>
          <w:rFonts w:ascii="Arial" w:hAnsi="Arial" w:cs="Arial"/>
          <w:sz w:val="20"/>
        </w:rPr>
      </w:pPr>
    </w:p>
    <w:p w14:paraId="56CA2EF9" w14:textId="073B677E" w:rsidR="00C63FCB" w:rsidRPr="00C63FCB" w:rsidRDefault="00C63FCB" w:rsidP="00C63FCB">
      <w:pPr>
        <w:spacing w:line="260" w:lineRule="exact"/>
        <w:rPr>
          <w:rFonts w:ascii="Arial" w:hAnsi="Arial" w:cs="Arial"/>
          <w:sz w:val="20"/>
        </w:rPr>
      </w:pPr>
      <w:r w:rsidRPr="00C63FCB">
        <w:rPr>
          <w:rFonts w:ascii="Arial" w:hAnsi="Arial" w:cs="Arial"/>
          <w:sz w:val="20"/>
        </w:rPr>
        <w:t xml:space="preserve">The amendments to Ind AS 107 prescribe the disclosures which </w:t>
      </w:r>
      <w:r w:rsidR="00BD5A36" w:rsidRPr="00C63FCB">
        <w:rPr>
          <w:rFonts w:ascii="Arial" w:hAnsi="Arial" w:cs="Arial"/>
          <w:sz w:val="20"/>
        </w:rPr>
        <w:t>entities</w:t>
      </w:r>
      <w:r w:rsidRPr="00C63FCB">
        <w:rPr>
          <w:rFonts w:ascii="Arial" w:hAnsi="Arial" w:cs="Arial"/>
          <w:sz w:val="20"/>
        </w:rPr>
        <w:t xml:space="preserve"> are required to make for hedging relationships to which the reliefs as per the amendments in Ind AS 109 are applied. These amendments are applicable for annual periods beginning on or after the 1 April 2020. These amendments are not expected to have a significant impact on the Group’s consolidated financial statements.</w:t>
      </w:r>
    </w:p>
    <w:p w14:paraId="39A02D16" w14:textId="2259B709" w:rsidR="000E41B2" w:rsidRDefault="000E41B2">
      <w:pPr>
        <w:overflowPunct/>
        <w:autoSpaceDE/>
        <w:autoSpaceDN/>
        <w:adjustRightInd/>
        <w:spacing w:line="240" w:lineRule="auto"/>
        <w:textAlignment w:val="auto"/>
        <w:rPr>
          <w:rFonts w:ascii="Arial" w:hAnsi="Arial"/>
          <w:bCs/>
          <w:sz w:val="20"/>
          <w:szCs w:val="28"/>
        </w:rPr>
      </w:pPr>
    </w:p>
    <w:p w14:paraId="66CF8977" w14:textId="32731DC6" w:rsidR="000E41B2" w:rsidRDefault="000E41B2">
      <w:pPr>
        <w:overflowPunct/>
        <w:autoSpaceDE/>
        <w:autoSpaceDN/>
        <w:adjustRightInd/>
        <w:spacing w:line="240" w:lineRule="auto"/>
        <w:textAlignment w:val="auto"/>
        <w:rPr>
          <w:rFonts w:ascii="Arial" w:hAnsi="Arial"/>
          <w:bCs/>
          <w:sz w:val="20"/>
          <w:szCs w:val="28"/>
        </w:rPr>
      </w:pPr>
    </w:p>
    <w:p w14:paraId="0549F260" w14:textId="1021438E" w:rsidR="000E41B2" w:rsidRDefault="000E41B2">
      <w:pPr>
        <w:overflowPunct/>
        <w:autoSpaceDE/>
        <w:autoSpaceDN/>
        <w:adjustRightInd/>
        <w:spacing w:line="240" w:lineRule="auto"/>
        <w:textAlignment w:val="auto"/>
        <w:rPr>
          <w:rFonts w:ascii="Arial" w:hAnsi="Arial"/>
          <w:bCs/>
          <w:sz w:val="20"/>
          <w:szCs w:val="28"/>
        </w:rPr>
      </w:pPr>
    </w:p>
    <w:p w14:paraId="67295B33" w14:textId="6D35A0BE" w:rsidR="000E41B2" w:rsidRDefault="000E41B2">
      <w:pPr>
        <w:overflowPunct/>
        <w:autoSpaceDE/>
        <w:autoSpaceDN/>
        <w:adjustRightInd/>
        <w:spacing w:line="240" w:lineRule="auto"/>
        <w:textAlignment w:val="auto"/>
        <w:rPr>
          <w:rFonts w:ascii="Arial" w:hAnsi="Arial"/>
          <w:bCs/>
          <w:sz w:val="20"/>
          <w:szCs w:val="28"/>
        </w:rPr>
      </w:pPr>
    </w:p>
    <w:p w14:paraId="3D649B53" w14:textId="0503D965" w:rsidR="00033016" w:rsidRDefault="00033016">
      <w:pPr>
        <w:overflowPunct/>
        <w:autoSpaceDE/>
        <w:autoSpaceDN/>
        <w:adjustRightInd/>
        <w:spacing w:line="240" w:lineRule="auto"/>
        <w:textAlignment w:val="auto"/>
        <w:rPr>
          <w:rFonts w:ascii="Arial" w:hAnsi="Arial"/>
          <w:bCs/>
          <w:sz w:val="20"/>
          <w:szCs w:val="28"/>
        </w:rPr>
      </w:pPr>
    </w:p>
    <w:p w14:paraId="7FB79F1A" w14:textId="425F971D" w:rsidR="00033016" w:rsidRDefault="00033016">
      <w:pPr>
        <w:overflowPunct/>
        <w:autoSpaceDE/>
        <w:autoSpaceDN/>
        <w:adjustRightInd/>
        <w:spacing w:line="240" w:lineRule="auto"/>
        <w:textAlignment w:val="auto"/>
        <w:rPr>
          <w:rFonts w:ascii="Arial" w:hAnsi="Arial"/>
          <w:bCs/>
          <w:sz w:val="20"/>
          <w:szCs w:val="28"/>
        </w:rPr>
      </w:pPr>
    </w:p>
    <w:p w14:paraId="68351850" w14:textId="57F29AAA" w:rsidR="00033016" w:rsidRDefault="00033016">
      <w:pPr>
        <w:overflowPunct/>
        <w:autoSpaceDE/>
        <w:autoSpaceDN/>
        <w:adjustRightInd/>
        <w:spacing w:line="240" w:lineRule="auto"/>
        <w:textAlignment w:val="auto"/>
        <w:rPr>
          <w:rFonts w:ascii="Arial" w:hAnsi="Arial"/>
          <w:bCs/>
          <w:sz w:val="20"/>
          <w:szCs w:val="28"/>
        </w:rPr>
      </w:pPr>
    </w:p>
    <w:p w14:paraId="1124514A" w14:textId="394F3C14" w:rsidR="00033016" w:rsidRDefault="00033016">
      <w:pPr>
        <w:overflowPunct/>
        <w:autoSpaceDE/>
        <w:autoSpaceDN/>
        <w:adjustRightInd/>
        <w:spacing w:line="240" w:lineRule="auto"/>
        <w:textAlignment w:val="auto"/>
        <w:rPr>
          <w:rFonts w:ascii="Arial" w:hAnsi="Arial"/>
          <w:bCs/>
          <w:sz w:val="20"/>
          <w:szCs w:val="28"/>
        </w:rPr>
      </w:pPr>
    </w:p>
    <w:p w14:paraId="2FC0ADF3" w14:textId="0DDDFF39" w:rsidR="00033016" w:rsidRDefault="00033016">
      <w:pPr>
        <w:overflowPunct/>
        <w:autoSpaceDE/>
        <w:autoSpaceDN/>
        <w:adjustRightInd/>
        <w:spacing w:line="240" w:lineRule="auto"/>
        <w:textAlignment w:val="auto"/>
        <w:rPr>
          <w:rFonts w:ascii="Arial" w:hAnsi="Arial"/>
          <w:bCs/>
          <w:sz w:val="20"/>
          <w:szCs w:val="28"/>
        </w:rPr>
      </w:pPr>
    </w:p>
    <w:p w14:paraId="1894ED2D" w14:textId="245B850E" w:rsidR="00033016" w:rsidRDefault="00033016">
      <w:pPr>
        <w:overflowPunct/>
        <w:autoSpaceDE/>
        <w:autoSpaceDN/>
        <w:adjustRightInd/>
        <w:spacing w:line="240" w:lineRule="auto"/>
        <w:textAlignment w:val="auto"/>
        <w:rPr>
          <w:rFonts w:ascii="Arial" w:hAnsi="Arial"/>
          <w:bCs/>
          <w:sz w:val="20"/>
          <w:szCs w:val="28"/>
        </w:rPr>
      </w:pPr>
    </w:p>
    <w:p w14:paraId="660C3C48" w14:textId="7E7179F5" w:rsidR="00033016" w:rsidRDefault="00033016">
      <w:pPr>
        <w:overflowPunct/>
        <w:autoSpaceDE/>
        <w:autoSpaceDN/>
        <w:adjustRightInd/>
        <w:spacing w:line="240" w:lineRule="auto"/>
        <w:textAlignment w:val="auto"/>
        <w:rPr>
          <w:rFonts w:ascii="Arial" w:hAnsi="Arial"/>
          <w:bCs/>
          <w:sz w:val="20"/>
          <w:szCs w:val="28"/>
        </w:rPr>
      </w:pPr>
    </w:p>
    <w:p w14:paraId="0BC9776F" w14:textId="77777777" w:rsidR="00944426" w:rsidRPr="00E70587" w:rsidRDefault="00944426" w:rsidP="00944426">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lastRenderedPageBreak/>
        <w:t>Property, plant and equipment</w:t>
      </w:r>
    </w:p>
    <w:p w14:paraId="4AF79B37" w14:textId="77777777" w:rsidR="00333A4B" w:rsidRPr="00E70587" w:rsidRDefault="00333A4B" w:rsidP="00333A4B">
      <w:pPr>
        <w:pStyle w:val="ViralheadingL2"/>
        <w:keepNext w:val="0"/>
        <w:spacing w:before="0" w:after="0" w:line="280" w:lineRule="exact"/>
        <w:ind w:left="720"/>
        <w:outlineLvl w:val="9"/>
        <w:rPr>
          <w:rFonts w:ascii="Arial" w:hAnsi="Arial" w:cs="Arial"/>
          <w:sz w:val="20"/>
          <w:szCs w:val="20"/>
        </w:rPr>
      </w:pPr>
    </w:p>
    <w:tbl>
      <w:tblPr>
        <w:tblW w:w="9576" w:type="dxa"/>
        <w:tblLayout w:type="fixed"/>
        <w:tblLook w:val="01E0" w:firstRow="1" w:lastRow="1" w:firstColumn="1" w:lastColumn="1" w:noHBand="0" w:noVBand="0"/>
      </w:tblPr>
      <w:tblGrid>
        <w:gridCol w:w="2621"/>
        <w:gridCol w:w="1716"/>
        <w:gridCol w:w="1716"/>
        <w:gridCol w:w="1716"/>
        <w:gridCol w:w="1807"/>
      </w:tblGrid>
      <w:tr w:rsidR="009A2E62" w:rsidRPr="00E70587" w14:paraId="0E71D17B" w14:textId="77777777" w:rsidTr="009A2E62">
        <w:tc>
          <w:tcPr>
            <w:tcW w:w="2621" w:type="dxa"/>
            <w:shd w:val="clear" w:color="auto" w:fill="auto"/>
            <w:vAlign w:val="center"/>
          </w:tcPr>
          <w:p w14:paraId="180A682C" w14:textId="77777777" w:rsidR="009A2E62" w:rsidRPr="00E70587" w:rsidRDefault="009A2E62" w:rsidP="00944426">
            <w:pPr>
              <w:pStyle w:val="Notesbodytext"/>
              <w:spacing w:after="0" w:line="280" w:lineRule="exact"/>
              <w:rPr>
                <w:rFonts w:ascii="Arial" w:hAnsi="Arial"/>
                <w:color w:val="auto"/>
                <w:sz w:val="20"/>
              </w:rPr>
            </w:pPr>
          </w:p>
        </w:tc>
        <w:tc>
          <w:tcPr>
            <w:tcW w:w="1716" w:type="dxa"/>
            <w:tcBorders>
              <w:bottom w:val="single" w:sz="4" w:space="0" w:color="auto"/>
            </w:tcBorders>
            <w:shd w:val="clear" w:color="auto" w:fill="auto"/>
            <w:vAlign w:val="bottom"/>
          </w:tcPr>
          <w:p w14:paraId="624B15A2" w14:textId="77777777" w:rsidR="009A2E62" w:rsidRPr="00E70587" w:rsidRDefault="009A2E62" w:rsidP="00944426">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Freehold land and buildings</w:t>
            </w:r>
          </w:p>
        </w:tc>
        <w:tc>
          <w:tcPr>
            <w:tcW w:w="1716" w:type="dxa"/>
            <w:tcBorders>
              <w:bottom w:val="single" w:sz="4" w:space="0" w:color="auto"/>
            </w:tcBorders>
            <w:shd w:val="clear" w:color="auto" w:fill="auto"/>
            <w:vAlign w:val="bottom"/>
          </w:tcPr>
          <w:p w14:paraId="7589C3C9" w14:textId="77777777" w:rsidR="009A2E62" w:rsidRPr="00E70587" w:rsidRDefault="009A2E62" w:rsidP="00944426">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Plant and equipment</w:t>
            </w:r>
          </w:p>
        </w:tc>
        <w:tc>
          <w:tcPr>
            <w:tcW w:w="1716" w:type="dxa"/>
            <w:tcBorders>
              <w:bottom w:val="single" w:sz="4" w:space="0" w:color="auto"/>
            </w:tcBorders>
            <w:vAlign w:val="bottom"/>
          </w:tcPr>
          <w:p w14:paraId="4128F15A" w14:textId="77777777" w:rsidR="009A2E62" w:rsidRPr="00E70587" w:rsidRDefault="009A2E62" w:rsidP="00944426">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Capital </w:t>
            </w:r>
            <w:r w:rsidRPr="00E70587">
              <w:rPr>
                <w:rFonts w:ascii="Arial" w:hAnsi="Arial"/>
                <w:color w:val="auto"/>
                <w:sz w:val="20"/>
                <w:szCs w:val="20"/>
                <w:lang w:val="en-IN"/>
              </w:rPr>
              <w:br/>
              <w:t>work in progress</w:t>
            </w:r>
          </w:p>
        </w:tc>
        <w:tc>
          <w:tcPr>
            <w:tcW w:w="1807" w:type="dxa"/>
            <w:tcBorders>
              <w:bottom w:val="single" w:sz="4" w:space="0" w:color="auto"/>
            </w:tcBorders>
            <w:shd w:val="clear" w:color="auto" w:fill="auto"/>
            <w:vAlign w:val="bottom"/>
          </w:tcPr>
          <w:p w14:paraId="5ABFE2EF" w14:textId="77777777" w:rsidR="009A2E62" w:rsidRPr="00E70587" w:rsidRDefault="009A2E62" w:rsidP="00944426">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Total</w:t>
            </w:r>
          </w:p>
        </w:tc>
      </w:tr>
      <w:tr w:rsidR="009A2E62" w:rsidRPr="00E70587" w14:paraId="5FE7B755" w14:textId="77777777" w:rsidTr="009A2E62">
        <w:tc>
          <w:tcPr>
            <w:tcW w:w="2621" w:type="dxa"/>
            <w:shd w:val="clear" w:color="auto" w:fill="auto"/>
          </w:tcPr>
          <w:p w14:paraId="3F7E0951" w14:textId="77777777" w:rsidR="009A2E62" w:rsidRPr="00E70587" w:rsidRDefault="009A2E62" w:rsidP="00944426">
            <w:pPr>
              <w:pStyle w:val="Notesbodytext"/>
              <w:spacing w:after="0" w:line="280" w:lineRule="exact"/>
              <w:rPr>
                <w:rFonts w:ascii="Arial" w:hAnsi="Arial"/>
                <w:color w:val="auto"/>
                <w:sz w:val="20"/>
              </w:rPr>
            </w:pPr>
          </w:p>
        </w:tc>
        <w:tc>
          <w:tcPr>
            <w:tcW w:w="1716" w:type="dxa"/>
            <w:tcBorders>
              <w:top w:val="single" w:sz="4" w:space="0" w:color="auto"/>
            </w:tcBorders>
            <w:shd w:val="clear" w:color="auto" w:fill="auto"/>
            <w:vAlign w:val="bottom"/>
          </w:tcPr>
          <w:p w14:paraId="613833A7" w14:textId="3899AC43" w:rsidR="009A2E62" w:rsidRPr="00E70587" w:rsidRDefault="009A2E62" w:rsidP="00944426">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INR </w:t>
            </w:r>
            <w:r w:rsidR="007C74AF">
              <w:rPr>
                <w:rFonts w:ascii="Arial" w:hAnsi="Arial"/>
                <w:color w:val="auto"/>
                <w:sz w:val="20"/>
                <w:szCs w:val="20"/>
                <w:lang w:val="en-IN"/>
              </w:rPr>
              <w:t>Lacs</w:t>
            </w:r>
          </w:p>
        </w:tc>
        <w:tc>
          <w:tcPr>
            <w:tcW w:w="1716" w:type="dxa"/>
            <w:tcBorders>
              <w:top w:val="single" w:sz="4" w:space="0" w:color="auto"/>
            </w:tcBorders>
            <w:shd w:val="clear" w:color="auto" w:fill="auto"/>
            <w:vAlign w:val="bottom"/>
          </w:tcPr>
          <w:p w14:paraId="44227598" w14:textId="7A725C48" w:rsidR="009A2E62" w:rsidRPr="00E70587" w:rsidRDefault="009A2E62" w:rsidP="00944426">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INR </w:t>
            </w:r>
            <w:r w:rsidR="007C74AF">
              <w:rPr>
                <w:rFonts w:ascii="Arial" w:hAnsi="Arial"/>
                <w:color w:val="auto"/>
                <w:sz w:val="20"/>
                <w:szCs w:val="20"/>
                <w:lang w:val="en-IN"/>
              </w:rPr>
              <w:t>Lacs</w:t>
            </w:r>
          </w:p>
        </w:tc>
        <w:tc>
          <w:tcPr>
            <w:tcW w:w="1716" w:type="dxa"/>
            <w:tcBorders>
              <w:top w:val="single" w:sz="4" w:space="0" w:color="auto"/>
            </w:tcBorders>
            <w:vAlign w:val="bottom"/>
          </w:tcPr>
          <w:p w14:paraId="79061F95" w14:textId="104B1D1C" w:rsidR="009A2E62" w:rsidRPr="00E70587" w:rsidRDefault="009A2E62" w:rsidP="00944426">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INR </w:t>
            </w:r>
            <w:r w:rsidR="007C74AF">
              <w:rPr>
                <w:rFonts w:ascii="Arial" w:hAnsi="Arial"/>
                <w:color w:val="auto"/>
                <w:sz w:val="20"/>
                <w:szCs w:val="20"/>
                <w:lang w:val="en-IN"/>
              </w:rPr>
              <w:t>Lacs</w:t>
            </w:r>
          </w:p>
        </w:tc>
        <w:tc>
          <w:tcPr>
            <w:tcW w:w="1807" w:type="dxa"/>
            <w:tcBorders>
              <w:top w:val="single" w:sz="4" w:space="0" w:color="auto"/>
            </w:tcBorders>
            <w:shd w:val="clear" w:color="auto" w:fill="auto"/>
            <w:vAlign w:val="bottom"/>
          </w:tcPr>
          <w:p w14:paraId="7AF68F63" w14:textId="2CA884D4" w:rsidR="009A2E62" w:rsidRPr="00E70587" w:rsidRDefault="009A2E62" w:rsidP="00944426">
            <w:pPr>
              <w:pStyle w:val="Tablecolumnheading"/>
              <w:spacing w:line="280" w:lineRule="exact"/>
              <w:rPr>
                <w:rFonts w:ascii="Arial" w:hAnsi="Arial"/>
                <w:bCs/>
                <w:color w:val="auto"/>
                <w:sz w:val="20"/>
                <w:szCs w:val="20"/>
                <w:lang w:val="en-IN" w:eastAsia="ru-RU"/>
              </w:rPr>
            </w:pPr>
            <w:r w:rsidRPr="00E70587">
              <w:rPr>
                <w:rFonts w:ascii="Arial" w:hAnsi="Arial"/>
                <w:color w:val="auto"/>
                <w:sz w:val="20"/>
                <w:szCs w:val="20"/>
                <w:lang w:val="en-IN"/>
              </w:rPr>
              <w:t xml:space="preserve">INR </w:t>
            </w:r>
            <w:r w:rsidR="007C74AF">
              <w:rPr>
                <w:rFonts w:ascii="Arial" w:hAnsi="Arial"/>
                <w:color w:val="auto"/>
                <w:sz w:val="20"/>
                <w:szCs w:val="20"/>
                <w:lang w:val="en-IN"/>
              </w:rPr>
              <w:t>Lacs</w:t>
            </w:r>
          </w:p>
        </w:tc>
      </w:tr>
      <w:tr w:rsidR="009A2E62" w:rsidRPr="00E70587" w14:paraId="7F60FB54" w14:textId="77777777" w:rsidTr="009A2E62">
        <w:tc>
          <w:tcPr>
            <w:tcW w:w="2621" w:type="dxa"/>
            <w:shd w:val="clear" w:color="auto" w:fill="auto"/>
          </w:tcPr>
          <w:p w14:paraId="57712725"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Cost or valuation</w:t>
            </w:r>
          </w:p>
        </w:tc>
        <w:tc>
          <w:tcPr>
            <w:tcW w:w="1716" w:type="dxa"/>
            <w:shd w:val="clear" w:color="auto" w:fill="auto"/>
          </w:tcPr>
          <w:p w14:paraId="2AF7AC88"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p>
        </w:tc>
        <w:tc>
          <w:tcPr>
            <w:tcW w:w="1716" w:type="dxa"/>
            <w:shd w:val="clear" w:color="auto" w:fill="auto"/>
          </w:tcPr>
          <w:p w14:paraId="7AA29B12"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p>
        </w:tc>
        <w:tc>
          <w:tcPr>
            <w:tcW w:w="1716" w:type="dxa"/>
          </w:tcPr>
          <w:p w14:paraId="4B23EE2F"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p>
        </w:tc>
        <w:tc>
          <w:tcPr>
            <w:tcW w:w="1807" w:type="dxa"/>
            <w:shd w:val="clear" w:color="auto" w:fill="auto"/>
          </w:tcPr>
          <w:p w14:paraId="3C75699A"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p>
        </w:tc>
      </w:tr>
      <w:tr w:rsidR="009A2E62" w:rsidRPr="00E70587" w14:paraId="0251F646" w14:textId="77777777" w:rsidTr="009A2E62">
        <w:tc>
          <w:tcPr>
            <w:tcW w:w="2621" w:type="dxa"/>
            <w:shd w:val="clear" w:color="auto" w:fill="auto"/>
          </w:tcPr>
          <w:p w14:paraId="4696C32C" w14:textId="57FC81B2"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At 1 April </w:t>
            </w:r>
            <w:r w:rsidR="00201B2E" w:rsidRPr="00E70587">
              <w:rPr>
                <w:rFonts w:ascii="Arial" w:hAnsi="Arial" w:cs="Arial"/>
                <w:sz w:val="20"/>
                <w:lang w:val="en-IN"/>
              </w:rPr>
              <w:t>201</w:t>
            </w:r>
            <w:r w:rsidR="00201B2E">
              <w:rPr>
                <w:rFonts w:ascii="Arial" w:hAnsi="Arial" w:cs="Arial"/>
                <w:sz w:val="20"/>
                <w:lang w:val="en-IN"/>
              </w:rPr>
              <w:t>9</w:t>
            </w:r>
          </w:p>
        </w:tc>
        <w:tc>
          <w:tcPr>
            <w:tcW w:w="1716" w:type="dxa"/>
            <w:shd w:val="clear" w:color="auto" w:fill="auto"/>
          </w:tcPr>
          <w:p w14:paraId="20CA39FD" w14:textId="77777777" w:rsidR="00504D99" w:rsidRPr="00E70587" w:rsidRDefault="00504D99" w:rsidP="00504D99">
            <w:pPr>
              <w:jc w:val="right"/>
              <w:rPr>
                <w:rFonts w:ascii="Arial" w:hAnsi="Arial" w:cs="Arial"/>
                <w:color w:val="000000"/>
                <w:sz w:val="20"/>
              </w:rPr>
            </w:pPr>
            <w:r w:rsidRPr="00E70587">
              <w:rPr>
                <w:rFonts w:ascii="Arial" w:hAnsi="Arial" w:cs="Arial"/>
                <w:color w:val="000000"/>
                <w:sz w:val="20"/>
              </w:rPr>
              <w:t>13,909</w:t>
            </w:r>
          </w:p>
          <w:p w14:paraId="091F71EF" w14:textId="77777777" w:rsidR="009A2E62" w:rsidRPr="00E70587" w:rsidRDefault="009A2E62" w:rsidP="00944426">
            <w:pPr>
              <w:overflowPunct/>
              <w:spacing w:line="280" w:lineRule="exact"/>
              <w:jc w:val="right"/>
              <w:textAlignment w:val="auto"/>
              <w:rPr>
                <w:rFonts w:ascii="Arial" w:hAnsi="Arial" w:cs="Arial"/>
                <w:sz w:val="20"/>
                <w:lang w:eastAsia="en-GB"/>
              </w:rPr>
            </w:pPr>
          </w:p>
        </w:tc>
        <w:tc>
          <w:tcPr>
            <w:tcW w:w="1716" w:type="dxa"/>
            <w:shd w:val="clear" w:color="auto" w:fill="auto"/>
          </w:tcPr>
          <w:p w14:paraId="16629B31"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41,683</w:t>
            </w:r>
          </w:p>
        </w:tc>
        <w:tc>
          <w:tcPr>
            <w:tcW w:w="1716" w:type="dxa"/>
          </w:tcPr>
          <w:p w14:paraId="5FE87792"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Pr>
          <w:p w14:paraId="744014E5" w14:textId="77777777" w:rsidR="00504D99" w:rsidRPr="00E70587" w:rsidRDefault="00504D99" w:rsidP="00504D99">
            <w:pPr>
              <w:jc w:val="right"/>
              <w:rPr>
                <w:rFonts w:ascii="Arial" w:hAnsi="Arial" w:cs="Arial"/>
                <w:color w:val="000000"/>
                <w:sz w:val="20"/>
              </w:rPr>
            </w:pPr>
            <w:r w:rsidRPr="00E70587">
              <w:rPr>
                <w:rFonts w:ascii="Arial" w:hAnsi="Arial" w:cs="Arial"/>
                <w:color w:val="000000"/>
                <w:sz w:val="20"/>
              </w:rPr>
              <w:t>55,591</w:t>
            </w:r>
          </w:p>
          <w:p w14:paraId="596E94DE" w14:textId="77777777" w:rsidR="009A2E62" w:rsidRPr="00E70587" w:rsidRDefault="009A2E62" w:rsidP="00944426">
            <w:pPr>
              <w:overflowPunct/>
              <w:spacing w:line="280" w:lineRule="exact"/>
              <w:jc w:val="right"/>
              <w:textAlignment w:val="auto"/>
              <w:rPr>
                <w:rFonts w:ascii="Arial" w:hAnsi="Arial" w:cs="Arial"/>
                <w:sz w:val="20"/>
                <w:lang w:eastAsia="en-GB"/>
              </w:rPr>
            </w:pPr>
          </w:p>
        </w:tc>
      </w:tr>
      <w:tr w:rsidR="009A2E62" w:rsidRPr="00E70587" w14:paraId="16B30D7B" w14:textId="77777777" w:rsidTr="009A2E62">
        <w:tc>
          <w:tcPr>
            <w:tcW w:w="2621" w:type="dxa"/>
            <w:shd w:val="clear" w:color="auto" w:fill="auto"/>
          </w:tcPr>
          <w:p w14:paraId="1D6184F1"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Additions</w:t>
            </w:r>
          </w:p>
        </w:tc>
        <w:tc>
          <w:tcPr>
            <w:tcW w:w="1716" w:type="dxa"/>
            <w:shd w:val="clear" w:color="auto" w:fill="auto"/>
          </w:tcPr>
          <w:p w14:paraId="4135DD28"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2,857</w:t>
            </w:r>
          </w:p>
        </w:tc>
        <w:tc>
          <w:tcPr>
            <w:tcW w:w="1716" w:type="dxa"/>
            <w:shd w:val="clear" w:color="auto" w:fill="auto"/>
          </w:tcPr>
          <w:p w14:paraId="4A721C93"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11,156</w:t>
            </w:r>
          </w:p>
        </w:tc>
        <w:tc>
          <w:tcPr>
            <w:tcW w:w="1716" w:type="dxa"/>
          </w:tcPr>
          <w:p w14:paraId="16BF1377"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Pr>
          <w:p w14:paraId="3B5A6A76"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14,013</w:t>
            </w:r>
          </w:p>
        </w:tc>
      </w:tr>
      <w:tr w:rsidR="009A2E62" w:rsidRPr="00E70587" w14:paraId="78A949C8" w14:textId="77777777" w:rsidTr="009A2E62">
        <w:tc>
          <w:tcPr>
            <w:tcW w:w="2621" w:type="dxa"/>
            <w:shd w:val="clear" w:color="auto" w:fill="auto"/>
          </w:tcPr>
          <w:p w14:paraId="6E18EEA3"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Acquisition of a subsidiary (Note 36)</w:t>
            </w:r>
          </w:p>
        </w:tc>
        <w:tc>
          <w:tcPr>
            <w:tcW w:w="1716" w:type="dxa"/>
            <w:shd w:val="clear" w:color="auto" w:fill="auto"/>
          </w:tcPr>
          <w:p w14:paraId="4D87E3F1"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2,304</w:t>
            </w:r>
          </w:p>
        </w:tc>
        <w:tc>
          <w:tcPr>
            <w:tcW w:w="1716" w:type="dxa"/>
            <w:shd w:val="clear" w:color="auto" w:fill="auto"/>
          </w:tcPr>
          <w:p w14:paraId="714070C9"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6" w:type="dxa"/>
          </w:tcPr>
          <w:p w14:paraId="5033BFDC"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Pr>
          <w:p w14:paraId="6C544A0A"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2,304</w:t>
            </w:r>
          </w:p>
        </w:tc>
      </w:tr>
      <w:tr w:rsidR="009A2E62" w:rsidRPr="00E70587" w14:paraId="3088211D" w14:textId="77777777" w:rsidTr="009A2E62">
        <w:tc>
          <w:tcPr>
            <w:tcW w:w="2621" w:type="dxa"/>
            <w:shd w:val="clear" w:color="auto" w:fill="auto"/>
          </w:tcPr>
          <w:p w14:paraId="11806A15"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Disposals</w:t>
            </w:r>
          </w:p>
        </w:tc>
        <w:tc>
          <w:tcPr>
            <w:tcW w:w="1716" w:type="dxa"/>
            <w:shd w:val="clear" w:color="auto" w:fill="auto"/>
            <w:tcMar>
              <w:right w:w="57" w:type="dxa"/>
            </w:tcMar>
          </w:tcPr>
          <w:p w14:paraId="067254D1" w14:textId="77777777" w:rsidR="00504D99" w:rsidRPr="00E70587" w:rsidRDefault="00504D99" w:rsidP="00504D99">
            <w:pPr>
              <w:jc w:val="right"/>
              <w:rPr>
                <w:rFonts w:ascii="Arial" w:hAnsi="Arial" w:cs="Arial"/>
                <w:color w:val="000000"/>
                <w:sz w:val="20"/>
              </w:rPr>
            </w:pPr>
            <w:r w:rsidRPr="00E70587">
              <w:rPr>
                <w:rFonts w:ascii="Arial" w:hAnsi="Arial" w:cs="Arial"/>
                <w:color w:val="000000"/>
                <w:sz w:val="20"/>
              </w:rPr>
              <w:t>(578)</w:t>
            </w:r>
          </w:p>
          <w:p w14:paraId="6B2C7757" w14:textId="77777777" w:rsidR="009A2E62" w:rsidRPr="00E70587" w:rsidRDefault="009A2E62" w:rsidP="00944426">
            <w:pPr>
              <w:overflowPunct/>
              <w:spacing w:line="280" w:lineRule="exact"/>
              <w:jc w:val="right"/>
              <w:textAlignment w:val="auto"/>
              <w:rPr>
                <w:rFonts w:ascii="Arial" w:hAnsi="Arial" w:cs="Arial"/>
                <w:sz w:val="20"/>
                <w:lang w:eastAsia="en-GB"/>
              </w:rPr>
            </w:pPr>
          </w:p>
        </w:tc>
        <w:tc>
          <w:tcPr>
            <w:tcW w:w="1716" w:type="dxa"/>
            <w:shd w:val="clear" w:color="auto" w:fill="auto"/>
            <w:tcMar>
              <w:right w:w="57" w:type="dxa"/>
            </w:tcMar>
          </w:tcPr>
          <w:p w14:paraId="23EB4542"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(88)</w:t>
            </w:r>
          </w:p>
        </w:tc>
        <w:tc>
          <w:tcPr>
            <w:tcW w:w="1716" w:type="dxa"/>
          </w:tcPr>
          <w:p w14:paraId="13CCCA2C"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Mar>
              <w:right w:w="57" w:type="dxa"/>
            </w:tcMar>
          </w:tcPr>
          <w:p w14:paraId="3274C19E" w14:textId="77777777" w:rsidR="00504D99" w:rsidRPr="00E70587" w:rsidRDefault="00504D99" w:rsidP="00504D99">
            <w:pPr>
              <w:jc w:val="right"/>
              <w:rPr>
                <w:rFonts w:ascii="Arial" w:hAnsi="Arial" w:cs="Arial"/>
                <w:color w:val="000000"/>
                <w:sz w:val="20"/>
              </w:rPr>
            </w:pPr>
            <w:r w:rsidRPr="00E70587">
              <w:rPr>
                <w:rFonts w:ascii="Arial" w:hAnsi="Arial" w:cs="Arial"/>
                <w:color w:val="000000"/>
                <w:sz w:val="20"/>
              </w:rPr>
              <w:t>(666)</w:t>
            </w:r>
          </w:p>
          <w:p w14:paraId="443496C0" w14:textId="77777777" w:rsidR="009A2E62" w:rsidRPr="00E70587" w:rsidRDefault="009A2E62" w:rsidP="00944426">
            <w:pPr>
              <w:overflowPunct/>
              <w:spacing w:line="280" w:lineRule="exact"/>
              <w:jc w:val="right"/>
              <w:textAlignment w:val="auto"/>
              <w:rPr>
                <w:rFonts w:ascii="Arial" w:hAnsi="Arial" w:cs="Arial"/>
                <w:sz w:val="20"/>
                <w:lang w:eastAsia="en-GB"/>
              </w:rPr>
            </w:pPr>
          </w:p>
        </w:tc>
      </w:tr>
      <w:tr w:rsidR="009A2E62" w:rsidRPr="00E70587" w14:paraId="4D6AE340" w14:textId="77777777" w:rsidTr="009A2E62">
        <w:tc>
          <w:tcPr>
            <w:tcW w:w="2621" w:type="dxa"/>
            <w:shd w:val="clear" w:color="auto" w:fill="auto"/>
          </w:tcPr>
          <w:p w14:paraId="716B1572"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Exchange </w:t>
            </w:r>
            <w:r w:rsidRPr="00E70587">
              <w:rPr>
                <w:rFonts w:ascii="Arial" w:hAnsi="Arial" w:cs="Arial"/>
                <w:sz w:val="20"/>
                <w:lang w:val="en-IN" w:eastAsia="ru-RU"/>
              </w:rPr>
              <w:t>differences</w:t>
            </w:r>
          </w:p>
        </w:tc>
        <w:tc>
          <w:tcPr>
            <w:tcW w:w="1716" w:type="dxa"/>
            <w:shd w:val="clear" w:color="auto" w:fill="auto"/>
          </w:tcPr>
          <w:p w14:paraId="3422B44B"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18</w:t>
            </w:r>
          </w:p>
        </w:tc>
        <w:tc>
          <w:tcPr>
            <w:tcW w:w="1716" w:type="dxa"/>
            <w:shd w:val="clear" w:color="auto" w:fill="auto"/>
          </w:tcPr>
          <w:p w14:paraId="326B8115"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47</w:t>
            </w:r>
          </w:p>
        </w:tc>
        <w:tc>
          <w:tcPr>
            <w:tcW w:w="1716" w:type="dxa"/>
          </w:tcPr>
          <w:p w14:paraId="6143C251"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Pr>
          <w:p w14:paraId="7F828666"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65</w:t>
            </w:r>
          </w:p>
        </w:tc>
      </w:tr>
      <w:tr w:rsidR="009A2E62" w:rsidRPr="00E70587" w14:paraId="69FE48E9" w14:textId="77777777" w:rsidTr="009A2E62">
        <w:tc>
          <w:tcPr>
            <w:tcW w:w="2621" w:type="dxa"/>
            <w:shd w:val="clear" w:color="auto" w:fill="auto"/>
            <w:vAlign w:val="center"/>
          </w:tcPr>
          <w:p w14:paraId="189CF32E" w14:textId="16F7D0DD"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8B730E" w:rsidRPr="00E70587">
              <w:rPr>
                <w:rFonts w:ascii="Arial" w:hAnsi="Arial" w:cs="Arial"/>
                <w:b/>
                <w:sz w:val="20"/>
                <w:lang w:val="en-IN"/>
              </w:rPr>
              <w:t xml:space="preserve">March </w:t>
            </w:r>
            <w:r w:rsidR="00201B2E" w:rsidRPr="00E70587">
              <w:rPr>
                <w:rFonts w:ascii="Arial" w:hAnsi="Arial" w:cs="Arial"/>
                <w:b/>
                <w:sz w:val="20"/>
                <w:lang w:val="en-IN"/>
              </w:rPr>
              <w:t>20</w:t>
            </w:r>
            <w:r w:rsidR="00201B2E">
              <w:rPr>
                <w:rFonts w:ascii="Arial" w:hAnsi="Arial" w:cs="Arial"/>
                <w:b/>
                <w:sz w:val="20"/>
                <w:lang w:val="en-IN"/>
              </w:rPr>
              <w:t>20</w:t>
            </w:r>
            <w:r w:rsidR="00201B2E" w:rsidRPr="00E70587">
              <w:rPr>
                <w:rFonts w:ascii="Arial" w:hAnsi="Arial" w:cs="Arial"/>
                <w:b/>
                <w:sz w:val="20"/>
                <w:lang w:val="en-IN"/>
              </w:rPr>
              <w:t xml:space="preserve"> </w:t>
            </w:r>
          </w:p>
        </w:tc>
        <w:tc>
          <w:tcPr>
            <w:tcW w:w="1716" w:type="dxa"/>
            <w:shd w:val="clear" w:color="auto" w:fill="auto"/>
          </w:tcPr>
          <w:p w14:paraId="5829F8E3" w14:textId="77777777" w:rsidR="00504D99" w:rsidRPr="00E70587" w:rsidRDefault="00504D99" w:rsidP="00504D99">
            <w:pPr>
              <w:jc w:val="right"/>
              <w:rPr>
                <w:rFonts w:ascii="Arial" w:hAnsi="Arial" w:cs="Arial"/>
                <w:b/>
                <w:bCs/>
                <w:color w:val="000000"/>
                <w:sz w:val="20"/>
              </w:rPr>
            </w:pPr>
            <w:r w:rsidRPr="00E70587">
              <w:rPr>
                <w:rFonts w:ascii="Arial" w:hAnsi="Arial" w:cs="Arial"/>
                <w:b/>
                <w:bCs/>
                <w:color w:val="000000"/>
                <w:sz w:val="20"/>
              </w:rPr>
              <w:t>18,509</w:t>
            </w:r>
          </w:p>
          <w:p w14:paraId="5D3DF9C0" w14:textId="77777777" w:rsidR="009A2E62" w:rsidRPr="00E70587" w:rsidRDefault="009A2E62" w:rsidP="00944426">
            <w:pPr>
              <w:overflowPunct/>
              <w:spacing w:line="280" w:lineRule="exact"/>
              <w:jc w:val="right"/>
              <w:textAlignment w:val="auto"/>
              <w:rPr>
                <w:rFonts w:ascii="Arial" w:hAnsi="Arial" w:cs="Arial"/>
                <w:b/>
                <w:bCs/>
                <w:sz w:val="20"/>
                <w:lang w:eastAsia="en-GB"/>
              </w:rPr>
            </w:pPr>
          </w:p>
        </w:tc>
        <w:tc>
          <w:tcPr>
            <w:tcW w:w="1716" w:type="dxa"/>
            <w:shd w:val="clear" w:color="auto" w:fill="auto"/>
          </w:tcPr>
          <w:p w14:paraId="2DA31A0F" w14:textId="77777777" w:rsidR="009A2E62" w:rsidRPr="00E70587" w:rsidRDefault="009A2E62" w:rsidP="00D63C1B">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52,798</w:t>
            </w:r>
          </w:p>
        </w:tc>
        <w:tc>
          <w:tcPr>
            <w:tcW w:w="1716" w:type="dxa"/>
          </w:tcPr>
          <w:p w14:paraId="652B8D16" w14:textId="77777777" w:rsidR="009A2E62" w:rsidRPr="00E70587" w:rsidRDefault="009A2E62" w:rsidP="00944426">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w:t>
            </w:r>
          </w:p>
        </w:tc>
        <w:tc>
          <w:tcPr>
            <w:tcW w:w="1807" w:type="dxa"/>
            <w:shd w:val="clear" w:color="auto" w:fill="auto"/>
          </w:tcPr>
          <w:p w14:paraId="52D06473" w14:textId="77777777" w:rsidR="00504D99" w:rsidRPr="00E70587" w:rsidRDefault="00504D99" w:rsidP="00504D99">
            <w:pPr>
              <w:jc w:val="right"/>
              <w:rPr>
                <w:rFonts w:ascii="Arial" w:hAnsi="Arial" w:cs="Arial"/>
                <w:b/>
                <w:bCs/>
                <w:color w:val="000000"/>
                <w:sz w:val="20"/>
              </w:rPr>
            </w:pPr>
            <w:r w:rsidRPr="00E70587">
              <w:rPr>
                <w:rFonts w:ascii="Arial" w:hAnsi="Arial" w:cs="Arial"/>
                <w:b/>
                <w:bCs/>
                <w:color w:val="000000"/>
                <w:sz w:val="20"/>
              </w:rPr>
              <w:t>71,307</w:t>
            </w:r>
          </w:p>
          <w:p w14:paraId="1FAA795B" w14:textId="77777777" w:rsidR="009A2E62" w:rsidRPr="00E70587" w:rsidRDefault="009A2E62" w:rsidP="00944426">
            <w:pPr>
              <w:overflowPunct/>
              <w:spacing w:line="280" w:lineRule="exact"/>
              <w:jc w:val="right"/>
              <w:textAlignment w:val="auto"/>
              <w:rPr>
                <w:rFonts w:ascii="Arial" w:hAnsi="Arial" w:cs="Arial"/>
                <w:sz w:val="20"/>
                <w:lang w:eastAsia="en-GB"/>
              </w:rPr>
            </w:pPr>
          </w:p>
        </w:tc>
      </w:tr>
      <w:tr w:rsidR="009A2E62" w:rsidRPr="00E70587" w14:paraId="395E7338" w14:textId="77777777" w:rsidTr="009A2E62">
        <w:tc>
          <w:tcPr>
            <w:tcW w:w="2621" w:type="dxa"/>
            <w:shd w:val="clear" w:color="auto" w:fill="auto"/>
          </w:tcPr>
          <w:p w14:paraId="5B3FFCF7"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Additions</w:t>
            </w:r>
          </w:p>
        </w:tc>
        <w:tc>
          <w:tcPr>
            <w:tcW w:w="1716" w:type="dxa"/>
            <w:shd w:val="clear" w:color="auto" w:fill="auto"/>
          </w:tcPr>
          <w:p w14:paraId="40D88644"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2,902</w:t>
            </w:r>
          </w:p>
        </w:tc>
        <w:tc>
          <w:tcPr>
            <w:tcW w:w="1716" w:type="dxa"/>
            <w:shd w:val="clear" w:color="auto" w:fill="auto"/>
          </w:tcPr>
          <w:p w14:paraId="4DA3C62E"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8,267</w:t>
            </w:r>
          </w:p>
        </w:tc>
        <w:tc>
          <w:tcPr>
            <w:tcW w:w="1716" w:type="dxa"/>
          </w:tcPr>
          <w:p w14:paraId="1EF6A6A2"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8,100</w:t>
            </w:r>
          </w:p>
        </w:tc>
        <w:tc>
          <w:tcPr>
            <w:tcW w:w="1807" w:type="dxa"/>
            <w:shd w:val="clear" w:color="auto" w:fill="auto"/>
          </w:tcPr>
          <w:p w14:paraId="7763591C"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19,269</w:t>
            </w:r>
          </w:p>
        </w:tc>
      </w:tr>
      <w:tr w:rsidR="009A2E62" w:rsidRPr="00E70587" w14:paraId="2B837D4B" w14:textId="77777777" w:rsidTr="009A2E62">
        <w:tc>
          <w:tcPr>
            <w:tcW w:w="2621" w:type="dxa"/>
            <w:shd w:val="clear" w:color="auto" w:fill="auto"/>
          </w:tcPr>
          <w:p w14:paraId="7777027B"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Acquisition of a subsidiary (Note 36)</w:t>
            </w:r>
          </w:p>
        </w:tc>
        <w:tc>
          <w:tcPr>
            <w:tcW w:w="1716" w:type="dxa"/>
            <w:shd w:val="clear" w:color="auto" w:fill="auto"/>
          </w:tcPr>
          <w:p w14:paraId="2BA73267"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5,215</w:t>
            </w:r>
          </w:p>
        </w:tc>
        <w:tc>
          <w:tcPr>
            <w:tcW w:w="1716" w:type="dxa"/>
            <w:shd w:val="clear" w:color="auto" w:fill="auto"/>
          </w:tcPr>
          <w:p w14:paraId="48456DDD"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7,461</w:t>
            </w:r>
          </w:p>
        </w:tc>
        <w:tc>
          <w:tcPr>
            <w:tcW w:w="1716" w:type="dxa"/>
          </w:tcPr>
          <w:p w14:paraId="2A9485F6"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Pr>
          <w:p w14:paraId="1EE3FD92"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12,676</w:t>
            </w:r>
          </w:p>
        </w:tc>
      </w:tr>
      <w:tr w:rsidR="009A2E62" w:rsidRPr="00E70587" w14:paraId="4006065D" w14:textId="77777777" w:rsidTr="009A2E62">
        <w:tc>
          <w:tcPr>
            <w:tcW w:w="2621" w:type="dxa"/>
            <w:shd w:val="clear" w:color="auto" w:fill="auto"/>
          </w:tcPr>
          <w:p w14:paraId="6E6A6303"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Disposals</w:t>
            </w:r>
          </w:p>
        </w:tc>
        <w:tc>
          <w:tcPr>
            <w:tcW w:w="1716" w:type="dxa"/>
            <w:shd w:val="clear" w:color="auto" w:fill="auto"/>
          </w:tcPr>
          <w:p w14:paraId="02654FD9"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6" w:type="dxa"/>
            <w:shd w:val="clear" w:color="auto" w:fill="auto"/>
            <w:tcMar>
              <w:right w:w="57" w:type="dxa"/>
            </w:tcMar>
          </w:tcPr>
          <w:p w14:paraId="03B4DEB9"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(8,834)</w:t>
            </w:r>
          </w:p>
        </w:tc>
        <w:tc>
          <w:tcPr>
            <w:tcW w:w="1716" w:type="dxa"/>
          </w:tcPr>
          <w:p w14:paraId="4CD11D1A"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Mar>
              <w:right w:w="57" w:type="dxa"/>
            </w:tcMar>
          </w:tcPr>
          <w:p w14:paraId="0D563A44"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(8,834)</w:t>
            </w:r>
          </w:p>
        </w:tc>
      </w:tr>
      <w:tr w:rsidR="009A2E62" w:rsidRPr="00E70587" w14:paraId="6FE14BAF" w14:textId="77777777" w:rsidTr="009A2E62">
        <w:tc>
          <w:tcPr>
            <w:tcW w:w="2621" w:type="dxa"/>
            <w:shd w:val="clear" w:color="auto" w:fill="auto"/>
          </w:tcPr>
          <w:p w14:paraId="422EF873" w14:textId="77777777" w:rsidR="009A2E62" w:rsidRPr="00E70587" w:rsidRDefault="009A2E62" w:rsidP="0067122D">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Discontinued operations (Note 13)</w:t>
            </w:r>
          </w:p>
        </w:tc>
        <w:tc>
          <w:tcPr>
            <w:tcW w:w="1716" w:type="dxa"/>
            <w:shd w:val="clear" w:color="auto" w:fill="auto"/>
            <w:tcMar>
              <w:right w:w="57" w:type="dxa"/>
            </w:tcMar>
          </w:tcPr>
          <w:p w14:paraId="1EFE2560" w14:textId="77777777" w:rsidR="00504D99" w:rsidRPr="00E70587" w:rsidRDefault="00504D99" w:rsidP="00504D99">
            <w:pPr>
              <w:jc w:val="right"/>
              <w:rPr>
                <w:rFonts w:ascii="Arial" w:hAnsi="Arial" w:cs="Arial"/>
                <w:color w:val="000000"/>
                <w:sz w:val="20"/>
              </w:rPr>
            </w:pPr>
            <w:r w:rsidRPr="00E70587">
              <w:rPr>
                <w:rFonts w:ascii="Arial" w:hAnsi="Arial" w:cs="Arial"/>
                <w:color w:val="000000"/>
                <w:sz w:val="20"/>
              </w:rPr>
              <w:t>(5,245)</w:t>
            </w:r>
          </w:p>
          <w:p w14:paraId="16ECA64D" w14:textId="77777777" w:rsidR="009A2E62" w:rsidRPr="00E70587" w:rsidRDefault="009A2E62" w:rsidP="00944426">
            <w:pPr>
              <w:overflowPunct/>
              <w:spacing w:line="280" w:lineRule="exact"/>
              <w:jc w:val="right"/>
              <w:textAlignment w:val="auto"/>
              <w:rPr>
                <w:rFonts w:ascii="Arial" w:hAnsi="Arial" w:cs="Arial"/>
                <w:sz w:val="20"/>
                <w:lang w:eastAsia="en-GB"/>
              </w:rPr>
            </w:pPr>
          </w:p>
        </w:tc>
        <w:tc>
          <w:tcPr>
            <w:tcW w:w="1716" w:type="dxa"/>
            <w:shd w:val="clear" w:color="auto" w:fill="auto"/>
            <w:tcMar>
              <w:right w:w="57" w:type="dxa"/>
            </w:tcMar>
          </w:tcPr>
          <w:p w14:paraId="0FB483F5"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(7,164)</w:t>
            </w:r>
          </w:p>
        </w:tc>
        <w:tc>
          <w:tcPr>
            <w:tcW w:w="1716" w:type="dxa"/>
          </w:tcPr>
          <w:p w14:paraId="1B371962"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Mar>
              <w:right w:w="57" w:type="dxa"/>
            </w:tcMar>
          </w:tcPr>
          <w:p w14:paraId="2BD5941A" w14:textId="77777777" w:rsidR="00504D99" w:rsidRPr="00E70587" w:rsidRDefault="00504D99" w:rsidP="00504D99">
            <w:pPr>
              <w:jc w:val="right"/>
              <w:rPr>
                <w:rFonts w:ascii="Arial" w:hAnsi="Arial" w:cs="Arial"/>
                <w:color w:val="000000"/>
                <w:sz w:val="20"/>
              </w:rPr>
            </w:pPr>
            <w:r w:rsidRPr="00E70587">
              <w:rPr>
                <w:rFonts w:ascii="Arial" w:hAnsi="Arial" w:cs="Arial"/>
                <w:color w:val="000000"/>
                <w:sz w:val="20"/>
              </w:rPr>
              <w:t>(12,409)</w:t>
            </w:r>
          </w:p>
          <w:p w14:paraId="3B9F7892" w14:textId="77777777" w:rsidR="009A2E62" w:rsidRPr="00E70587" w:rsidRDefault="009A2E62" w:rsidP="00944426">
            <w:pPr>
              <w:overflowPunct/>
              <w:spacing w:line="280" w:lineRule="exact"/>
              <w:jc w:val="right"/>
              <w:textAlignment w:val="auto"/>
              <w:rPr>
                <w:rFonts w:ascii="Arial" w:hAnsi="Arial" w:cs="Arial"/>
                <w:sz w:val="20"/>
                <w:lang w:eastAsia="en-GB"/>
              </w:rPr>
            </w:pPr>
          </w:p>
        </w:tc>
      </w:tr>
      <w:tr w:rsidR="009A2E62" w:rsidRPr="00E70587" w14:paraId="6C899020" w14:textId="77777777" w:rsidTr="009A2E62">
        <w:tc>
          <w:tcPr>
            <w:tcW w:w="2621" w:type="dxa"/>
            <w:shd w:val="clear" w:color="auto" w:fill="auto"/>
          </w:tcPr>
          <w:p w14:paraId="31215FD4"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Revaluation recognised in OCI</w:t>
            </w:r>
          </w:p>
        </w:tc>
        <w:tc>
          <w:tcPr>
            <w:tcW w:w="1716" w:type="dxa"/>
            <w:shd w:val="clear" w:color="auto" w:fill="auto"/>
          </w:tcPr>
          <w:p w14:paraId="6866072E"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1,523</w:t>
            </w:r>
          </w:p>
        </w:tc>
        <w:tc>
          <w:tcPr>
            <w:tcW w:w="1716" w:type="dxa"/>
            <w:shd w:val="clear" w:color="auto" w:fill="auto"/>
          </w:tcPr>
          <w:p w14:paraId="2D2E4E46"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6" w:type="dxa"/>
          </w:tcPr>
          <w:p w14:paraId="647D8FBF"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Pr>
          <w:p w14:paraId="400074B1"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1,523</w:t>
            </w:r>
          </w:p>
        </w:tc>
      </w:tr>
      <w:tr w:rsidR="009A2E62" w:rsidRPr="00E70587" w14:paraId="54D8476A" w14:textId="77777777" w:rsidTr="009A2E62">
        <w:tc>
          <w:tcPr>
            <w:tcW w:w="2621" w:type="dxa"/>
            <w:shd w:val="clear" w:color="auto" w:fill="auto"/>
          </w:tcPr>
          <w:p w14:paraId="746B160E"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Transfer*</w:t>
            </w:r>
          </w:p>
        </w:tc>
        <w:tc>
          <w:tcPr>
            <w:tcW w:w="1716" w:type="dxa"/>
            <w:shd w:val="clear" w:color="auto" w:fill="auto"/>
            <w:tcMar>
              <w:right w:w="57" w:type="dxa"/>
            </w:tcMar>
          </w:tcPr>
          <w:p w14:paraId="4B3A0FCC"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(184)</w:t>
            </w:r>
          </w:p>
        </w:tc>
        <w:tc>
          <w:tcPr>
            <w:tcW w:w="1716" w:type="dxa"/>
            <w:shd w:val="clear" w:color="auto" w:fill="auto"/>
          </w:tcPr>
          <w:p w14:paraId="0D7CD091"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6" w:type="dxa"/>
          </w:tcPr>
          <w:p w14:paraId="0859FAC9"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Mar>
              <w:right w:w="57" w:type="dxa"/>
            </w:tcMar>
          </w:tcPr>
          <w:p w14:paraId="7EF695A8"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(184)</w:t>
            </w:r>
          </w:p>
        </w:tc>
      </w:tr>
      <w:tr w:rsidR="009A2E62" w:rsidRPr="00E70587" w14:paraId="579587F0" w14:textId="77777777" w:rsidTr="009A2E62">
        <w:tc>
          <w:tcPr>
            <w:tcW w:w="2621" w:type="dxa"/>
            <w:shd w:val="clear" w:color="auto" w:fill="auto"/>
            <w:vAlign w:val="bottom"/>
          </w:tcPr>
          <w:p w14:paraId="0838913E"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eastAsia="ru-RU"/>
              </w:rPr>
            </w:pPr>
            <w:r w:rsidRPr="00E70587">
              <w:rPr>
                <w:rFonts w:ascii="Arial" w:hAnsi="Arial" w:cs="Arial"/>
                <w:sz w:val="20"/>
                <w:lang w:val="en-IN" w:eastAsia="ru-RU"/>
              </w:rPr>
              <w:t>Exchange differences</w:t>
            </w:r>
          </w:p>
        </w:tc>
        <w:tc>
          <w:tcPr>
            <w:tcW w:w="1716" w:type="dxa"/>
            <w:tcBorders>
              <w:bottom w:val="single" w:sz="4" w:space="0" w:color="auto"/>
            </w:tcBorders>
            <w:shd w:val="clear" w:color="auto" w:fill="auto"/>
          </w:tcPr>
          <w:p w14:paraId="7D28A1EE"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54</w:t>
            </w:r>
          </w:p>
        </w:tc>
        <w:tc>
          <w:tcPr>
            <w:tcW w:w="1716" w:type="dxa"/>
            <w:tcBorders>
              <w:bottom w:val="single" w:sz="4" w:space="0" w:color="auto"/>
            </w:tcBorders>
            <w:shd w:val="clear" w:color="auto" w:fill="auto"/>
          </w:tcPr>
          <w:p w14:paraId="1AD92053"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142</w:t>
            </w:r>
          </w:p>
        </w:tc>
        <w:tc>
          <w:tcPr>
            <w:tcW w:w="1716" w:type="dxa"/>
            <w:tcBorders>
              <w:bottom w:val="single" w:sz="4" w:space="0" w:color="auto"/>
            </w:tcBorders>
          </w:tcPr>
          <w:p w14:paraId="16B9C32E"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tcBorders>
              <w:bottom w:val="single" w:sz="4" w:space="0" w:color="auto"/>
            </w:tcBorders>
            <w:shd w:val="clear" w:color="auto" w:fill="auto"/>
          </w:tcPr>
          <w:p w14:paraId="6F8189EF"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196</w:t>
            </w:r>
          </w:p>
        </w:tc>
      </w:tr>
      <w:tr w:rsidR="009A2E62" w:rsidRPr="00E70587" w14:paraId="21F9F1C3" w14:textId="77777777" w:rsidTr="009A2E62">
        <w:tc>
          <w:tcPr>
            <w:tcW w:w="2621" w:type="dxa"/>
            <w:shd w:val="clear" w:color="auto" w:fill="auto"/>
            <w:vAlign w:val="center"/>
          </w:tcPr>
          <w:p w14:paraId="1E8CF49B" w14:textId="3C147372"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b/>
                <w:bCs/>
                <w:sz w:val="20"/>
                <w:lang w:val="en-IN" w:eastAsia="ru-RU"/>
              </w:rPr>
            </w:pPr>
            <w:r w:rsidRPr="00E70587">
              <w:rPr>
                <w:rFonts w:ascii="Arial" w:hAnsi="Arial" w:cs="Arial"/>
                <w:b/>
                <w:bCs/>
                <w:sz w:val="20"/>
                <w:lang w:val="en-IN" w:eastAsia="ru-RU"/>
              </w:rPr>
              <w:t xml:space="preserve">At 31 </w:t>
            </w:r>
            <w:r w:rsidR="00E1202D" w:rsidRPr="00E70587">
              <w:rPr>
                <w:rFonts w:ascii="Arial" w:hAnsi="Arial" w:cs="Arial"/>
                <w:b/>
                <w:bCs/>
                <w:sz w:val="20"/>
                <w:lang w:val="en-IN" w:eastAsia="ru-RU"/>
              </w:rPr>
              <w:t xml:space="preserve">March </w:t>
            </w:r>
            <w:r w:rsidR="00201B2E" w:rsidRPr="00E70587">
              <w:rPr>
                <w:rFonts w:ascii="Arial" w:hAnsi="Arial" w:cs="Arial"/>
                <w:b/>
                <w:bCs/>
                <w:sz w:val="20"/>
                <w:lang w:val="en-IN" w:eastAsia="ru-RU"/>
              </w:rPr>
              <w:t>20</w:t>
            </w:r>
            <w:r w:rsidR="00201B2E">
              <w:rPr>
                <w:rFonts w:ascii="Arial" w:hAnsi="Arial" w:cs="Arial"/>
                <w:b/>
                <w:bCs/>
                <w:sz w:val="20"/>
                <w:lang w:val="en-IN" w:eastAsia="ru-RU"/>
              </w:rPr>
              <w:t>21</w:t>
            </w:r>
          </w:p>
        </w:tc>
        <w:tc>
          <w:tcPr>
            <w:tcW w:w="1716" w:type="dxa"/>
            <w:tcBorders>
              <w:top w:val="single" w:sz="4" w:space="0" w:color="auto"/>
            </w:tcBorders>
            <w:shd w:val="clear" w:color="auto" w:fill="auto"/>
          </w:tcPr>
          <w:p w14:paraId="20909FCC" w14:textId="77777777" w:rsidR="00504D99" w:rsidRPr="00E70587" w:rsidRDefault="00504D99" w:rsidP="00504D99">
            <w:pPr>
              <w:jc w:val="right"/>
              <w:rPr>
                <w:rFonts w:ascii="Arial" w:hAnsi="Arial" w:cs="Arial"/>
                <w:b/>
                <w:bCs/>
                <w:color w:val="000000"/>
                <w:sz w:val="20"/>
              </w:rPr>
            </w:pPr>
            <w:r w:rsidRPr="00E70587">
              <w:rPr>
                <w:rFonts w:ascii="Arial" w:hAnsi="Arial" w:cs="Arial"/>
                <w:b/>
                <w:bCs/>
                <w:color w:val="000000"/>
                <w:sz w:val="20"/>
              </w:rPr>
              <w:t>22,774</w:t>
            </w:r>
          </w:p>
          <w:p w14:paraId="674F2581" w14:textId="77777777" w:rsidR="009A2E62" w:rsidRPr="00E70587" w:rsidRDefault="009A2E62" w:rsidP="00944426">
            <w:pPr>
              <w:overflowPunct/>
              <w:spacing w:line="280" w:lineRule="exact"/>
              <w:jc w:val="right"/>
              <w:textAlignment w:val="auto"/>
              <w:rPr>
                <w:rFonts w:ascii="Arial" w:hAnsi="Arial" w:cs="Arial"/>
                <w:b/>
                <w:bCs/>
                <w:sz w:val="20"/>
                <w:lang w:eastAsia="en-GB"/>
              </w:rPr>
            </w:pPr>
          </w:p>
        </w:tc>
        <w:tc>
          <w:tcPr>
            <w:tcW w:w="1716" w:type="dxa"/>
            <w:tcBorders>
              <w:top w:val="single" w:sz="4" w:space="0" w:color="auto"/>
            </w:tcBorders>
            <w:shd w:val="clear" w:color="auto" w:fill="auto"/>
          </w:tcPr>
          <w:p w14:paraId="625EC23E" w14:textId="77777777" w:rsidR="009A2E62" w:rsidRPr="00E70587" w:rsidRDefault="009A2E62" w:rsidP="00D63C1B">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52,670</w:t>
            </w:r>
          </w:p>
        </w:tc>
        <w:tc>
          <w:tcPr>
            <w:tcW w:w="1716" w:type="dxa"/>
            <w:tcBorders>
              <w:top w:val="single" w:sz="4" w:space="0" w:color="auto"/>
            </w:tcBorders>
          </w:tcPr>
          <w:p w14:paraId="684EB271" w14:textId="77777777" w:rsidR="009A2E62" w:rsidRPr="00E70587" w:rsidRDefault="009A2E62" w:rsidP="00944426">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8,100</w:t>
            </w:r>
          </w:p>
        </w:tc>
        <w:tc>
          <w:tcPr>
            <w:tcW w:w="1807" w:type="dxa"/>
            <w:tcBorders>
              <w:top w:val="single" w:sz="4" w:space="0" w:color="auto"/>
            </w:tcBorders>
            <w:shd w:val="clear" w:color="auto" w:fill="auto"/>
          </w:tcPr>
          <w:p w14:paraId="2E2084CD" w14:textId="77777777" w:rsidR="00504D99" w:rsidRPr="00E70587" w:rsidRDefault="00504D99" w:rsidP="00504D99">
            <w:pPr>
              <w:jc w:val="right"/>
              <w:rPr>
                <w:rFonts w:ascii="Arial" w:hAnsi="Arial" w:cs="Arial"/>
                <w:b/>
                <w:bCs/>
                <w:color w:val="000000"/>
                <w:sz w:val="20"/>
              </w:rPr>
            </w:pPr>
            <w:r w:rsidRPr="00E70587">
              <w:rPr>
                <w:rFonts w:ascii="Arial" w:hAnsi="Arial" w:cs="Arial"/>
                <w:b/>
                <w:bCs/>
                <w:color w:val="000000"/>
                <w:sz w:val="20"/>
              </w:rPr>
              <w:t>83,543</w:t>
            </w:r>
          </w:p>
          <w:p w14:paraId="30936798" w14:textId="77777777" w:rsidR="009A2E62" w:rsidRPr="00E70587" w:rsidRDefault="009A2E62" w:rsidP="00944426">
            <w:pPr>
              <w:overflowPunct/>
              <w:spacing w:line="280" w:lineRule="exact"/>
              <w:jc w:val="right"/>
              <w:textAlignment w:val="auto"/>
              <w:rPr>
                <w:rFonts w:ascii="Arial" w:hAnsi="Arial" w:cs="Arial"/>
                <w:b/>
                <w:bCs/>
                <w:sz w:val="20"/>
                <w:lang w:eastAsia="en-GB"/>
              </w:rPr>
            </w:pPr>
          </w:p>
        </w:tc>
      </w:tr>
      <w:tr w:rsidR="009A2E62" w:rsidRPr="00E70587" w14:paraId="1D61EF80" w14:textId="77777777" w:rsidTr="009A2E62">
        <w:tc>
          <w:tcPr>
            <w:tcW w:w="2621" w:type="dxa"/>
            <w:shd w:val="clear" w:color="auto" w:fill="auto"/>
          </w:tcPr>
          <w:p w14:paraId="0CBC7A85"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Depreciation and impairment</w:t>
            </w:r>
          </w:p>
        </w:tc>
        <w:tc>
          <w:tcPr>
            <w:tcW w:w="1716" w:type="dxa"/>
            <w:shd w:val="clear" w:color="auto" w:fill="auto"/>
          </w:tcPr>
          <w:p w14:paraId="35B4E808" w14:textId="77777777" w:rsidR="009A2E62" w:rsidRPr="00E70587" w:rsidRDefault="009A2E62" w:rsidP="00944426">
            <w:pPr>
              <w:pStyle w:val="tabletext"/>
              <w:overflowPunct w:val="0"/>
              <w:autoSpaceDE w:val="0"/>
              <w:autoSpaceDN w:val="0"/>
              <w:adjustRightInd w:val="0"/>
              <w:spacing w:line="280" w:lineRule="exact"/>
              <w:ind w:left="284"/>
              <w:textAlignment w:val="baseline"/>
              <w:rPr>
                <w:rFonts w:ascii="Arial" w:hAnsi="Arial" w:cs="Arial"/>
                <w:sz w:val="20"/>
                <w:lang w:val="en-IN"/>
              </w:rPr>
            </w:pPr>
          </w:p>
        </w:tc>
        <w:tc>
          <w:tcPr>
            <w:tcW w:w="1716" w:type="dxa"/>
            <w:shd w:val="clear" w:color="auto" w:fill="auto"/>
          </w:tcPr>
          <w:p w14:paraId="783638B8" w14:textId="77777777" w:rsidR="009A2E62" w:rsidRPr="00E70587" w:rsidRDefault="009A2E62" w:rsidP="00D63C1B">
            <w:pPr>
              <w:pStyle w:val="tabletext"/>
              <w:overflowPunct w:val="0"/>
              <w:autoSpaceDE w:val="0"/>
              <w:autoSpaceDN w:val="0"/>
              <w:adjustRightInd w:val="0"/>
              <w:spacing w:line="280" w:lineRule="exact"/>
              <w:ind w:left="340"/>
              <w:jc w:val="right"/>
              <w:textAlignment w:val="baseline"/>
              <w:rPr>
                <w:rFonts w:ascii="Arial" w:hAnsi="Arial" w:cs="Arial"/>
                <w:sz w:val="20"/>
                <w:lang w:val="en-IN"/>
              </w:rPr>
            </w:pPr>
          </w:p>
        </w:tc>
        <w:tc>
          <w:tcPr>
            <w:tcW w:w="1716" w:type="dxa"/>
          </w:tcPr>
          <w:p w14:paraId="532AE56D" w14:textId="77777777" w:rsidR="009A2E62" w:rsidRPr="00E70587" w:rsidRDefault="009A2E62" w:rsidP="00944426">
            <w:pPr>
              <w:pStyle w:val="tabletext"/>
              <w:overflowPunct w:val="0"/>
              <w:autoSpaceDE w:val="0"/>
              <w:autoSpaceDN w:val="0"/>
              <w:adjustRightInd w:val="0"/>
              <w:spacing w:line="280" w:lineRule="exact"/>
              <w:ind w:left="340"/>
              <w:textAlignment w:val="baseline"/>
              <w:rPr>
                <w:rFonts w:ascii="Arial" w:hAnsi="Arial" w:cs="Arial"/>
                <w:sz w:val="20"/>
                <w:lang w:val="en-IN"/>
              </w:rPr>
            </w:pPr>
          </w:p>
        </w:tc>
        <w:tc>
          <w:tcPr>
            <w:tcW w:w="1807" w:type="dxa"/>
            <w:shd w:val="clear" w:color="auto" w:fill="auto"/>
          </w:tcPr>
          <w:p w14:paraId="2FB066BB" w14:textId="77777777" w:rsidR="009A2E62" w:rsidRPr="00E70587" w:rsidRDefault="009A2E62" w:rsidP="00944426">
            <w:pPr>
              <w:pStyle w:val="tabletext"/>
              <w:overflowPunct w:val="0"/>
              <w:autoSpaceDE w:val="0"/>
              <w:autoSpaceDN w:val="0"/>
              <w:adjustRightInd w:val="0"/>
              <w:spacing w:line="280" w:lineRule="exact"/>
              <w:ind w:left="170"/>
              <w:textAlignment w:val="baseline"/>
              <w:rPr>
                <w:rFonts w:ascii="Arial" w:hAnsi="Arial" w:cs="Arial"/>
                <w:sz w:val="20"/>
                <w:lang w:val="en-IN"/>
              </w:rPr>
            </w:pPr>
          </w:p>
        </w:tc>
      </w:tr>
      <w:tr w:rsidR="009A2E62" w:rsidRPr="00E70587" w14:paraId="6407A3C7" w14:textId="77777777" w:rsidTr="009A2E62">
        <w:tc>
          <w:tcPr>
            <w:tcW w:w="2621" w:type="dxa"/>
            <w:shd w:val="clear" w:color="auto" w:fill="auto"/>
          </w:tcPr>
          <w:p w14:paraId="512DB3A0" w14:textId="779DA8FD"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At 1 April </w:t>
            </w:r>
            <w:r w:rsidR="00201B2E" w:rsidRPr="00E70587">
              <w:rPr>
                <w:rFonts w:ascii="Arial" w:hAnsi="Arial" w:cs="Arial"/>
                <w:sz w:val="20"/>
                <w:lang w:val="en-IN"/>
              </w:rPr>
              <w:t>201</w:t>
            </w:r>
            <w:r w:rsidR="00201B2E">
              <w:rPr>
                <w:rFonts w:ascii="Arial" w:hAnsi="Arial" w:cs="Arial"/>
                <w:sz w:val="20"/>
                <w:lang w:val="en-IN"/>
              </w:rPr>
              <w:t>9</w:t>
            </w:r>
          </w:p>
        </w:tc>
        <w:tc>
          <w:tcPr>
            <w:tcW w:w="1716" w:type="dxa"/>
            <w:shd w:val="clear" w:color="auto" w:fill="auto"/>
          </w:tcPr>
          <w:p w14:paraId="6150EED1" w14:textId="77777777" w:rsidR="00504D99" w:rsidRPr="00E70587" w:rsidRDefault="00504D99" w:rsidP="00504D99">
            <w:pPr>
              <w:jc w:val="right"/>
              <w:rPr>
                <w:rFonts w:ascii="Arial" w:hAnsi="Arial" w:cs="Arial"/>
                <w:color w:val="000000"/>
                <w:sz w:val="20"/>
              </w:rPr>
            </w:pPr>
            <w:r w:rsidRPr="00E70587">
              <w:rPr>
                <w:rFonts w:ascii="Arial" w:hAnsi="Arial" w:cs="Arial"/>
                <w:color w:val="000000"/>
                <w:sz w:val="20"/>
              </w:rPr>
              <w:t>-</w:t>
            </w:r>
          </w:p>
          <w:p w14:paraId="78E6C521" w14:textId="77777777" w:rsidR="009A2E62" w:rsidRPr="00E70587" w:rsidRDefault="009A2E62" w:rsidP="00944426">
            <w:pPr>
              <w:overflowPunct/>
              <w:spacing w:line="280" w:lineRule="exact"/>
              <w:jc w:val="right"/>
              <w:textAlignment w:val="auto"/>
              <w:rPr>
                <w:rFonts w:ascii="Arial" w:hAnsi="Arial" w:cs="Arial"/>
                <w:sz w:val="20"/>
                <w:lang w:eastAsia="en-GB"/>
              </w:rPr>
            </w:pPr>
          </w:p>
        </w:tc>
        <w:tc>
          <w:tcPr>
            <w:tcW w:w="1716" w:type="dxa"/>
            <w:shd w:val="clear" w:color="auto" w:fill="auto"/>
          </w:tcPr>
          <w:p w14:paraId="482570D5"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21,499</w:t>
            </w:r>
          </w:p>
        </w:tc>
        <w:tc>
          <w:tcPr>
            <w:tcW w:w="1716" w:type="dxa"/>
          </w:tcPr>
          <w:p w14:paraId="5F66804E"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Pr>
          <w:p w14:paraId="7A5523DF" w14:textId="77777777" w:rsidR="00504D99" w:rsidRPr="00E70587" w:rsidRDefault="00504D99" w:rsidP="00504D99">
            <w:pPr>
              <w:jc w:val="right"/>
              <w:rPr>
                <w:rFonts w:ascii="Arial" w:hAnsi="Arial" w:cs="Arial"/>
                <w:color w:val="000000"/>
                <w:sz w:val="20"/>
              </w:rPr>
            </w:pPr>
            <w:r w:rsidRPr="00E70587">
              <w:rPr>
                <w:rFonts w:ascii="Arial" w:hAnsi="Arial" w:cs="Arial"/>
                <w:color w:val="000000"/>
                <w:sz w:val="20"/>
              </w:rPr>
              <w:t>21,499</w:t>
            </w:r>
          </w:p>
          <w:p w14:paraId="2F4E25A9" w14:textId="77777777" w:rsidR="009A2E62" w:rsidRPr="00E70587" w:rsidRDefault="009A2E62" w:rsidP="00944426">
            <w:pPr>
              <w:overflowPunct/>
              <w:spacing w:line="280" w:lineRule="exact"/>
              <w:jc w:val="right"/>
              <w:textAlignment w:val="auto"/>
              <w:rPr>
                <w:rFonts w:ascii="Arial" w:hAnsi="Arial" w:cs="Arial"/>
                <w:sz w:val="20"/>
                <w:lang w:eastAsia="en-GB"/>
              </w:rPr>
            </w:pPr>
          </w:p>
        </w:tc>
      </w:tr>
      <w:tr w:rsidR="009A2E62" w:rsidRPr="00E70587" w14:paraId="3A50A768" w14:textId="77777777" w:rsidTr="009A2E62">
        <w:tc>
          <w:tcPr>
            <w:tcW w:w="2621" w:type="dxa"/>
            <w:shd w:val="clear" w:color="auto" w:fill="auto"/>
          </w:tcPr>
          <w:p w14:paraId="1422EBE7"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Depreciation charge for the year</w:t>
            </w:r>
          </w:p>
        </w:tc>
        <w:tc>
          <w:tcPr>
            <w:tcW w:w="1716" w:type="dxa"/>
            <w:shd w:val="clear" w:color="auto" w:fill="auto"/>
          </w:tcPr>
          <w:p w14:paraId="1AC0B1E5"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637</w:t>
            </w:r>
          </w:p>
        </w:tc>
        <w:tc>
          <w:tcPr>
            <w:tcW w:w="1716" w:type="dxa"/>
            <w:shd w:val="clear" w:color="auto" w:fill="auto"/>
          </w:tcPr>
          <w:p w14:paraId="6D7561C6"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4,910</w:t>
            </w:r>
          </w:p>
        </w:tc>
        <w:tc>
          <w:tcPr>
            <w:tcW w:w="1716" w:type="dxa"/>
          </w:tcPr>
          <w:p w14:paraId="4B34E2FD"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Pr>
          <w:p w14:paraId="46F4D9B4"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5,548</w:t>
            </w:r>
          </w:p>
        </w:tc>
      </w:tr>
      <w:tr w:rsidR="009A2E62" w:rsidRPr="00E70587" w14:paraId="07262450" w14:textId="77777777" w:rsidTr="009A2E62">
        <w:tc>
          <w:tcPr>
            <w:tcW w:w="2621" w:type="dxa"/>
            <w:shd w:val="clear" w:color="auto" w:fill="auto"/>
          </w:tcPr>
          <w:p w14:paraId="43331287" w14:textId="77777777" w:rsidR="009A2E62" w:rsidRPr="00E70587" w:rsidRDefault="009A2E62" w:rsidP="0067122D">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Impairment (Note 17)</w:t>
            </w:r>
          </w:p>
        </w:tc>
        <w:tc>
          <w:tcPr>
            <w:tcW w:w="1716" w:type="dxa"/>
            <w:shd w:val="clear" w:color="auto" w:fill="auto"/>
          </w:tcPr>
          <w:p w14:paraId="195AA567"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6" w:type="dxa"/>
            <w:shd w:val="clear" w:color="auto" w:fill="auto"/>
          </w:tcPr>
          <w:p w14:paraId="45882A86"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542</w:t>
            </w:r>
          </w:p>
        </w:tc>
        <w:tc>
          <w:tcPr>
            <w:tcW w:w="1716" w:type="dxa"/>
          </w:tcPr>
          <w:p w14:paraId="13D422CF"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Pr>
          <w:p w14:paraId="4C4827A8"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542</w:t>
            </w:r>
          </w:p>
        </w:tc>
      </w:tr>
      <w:tr w:rsidR="009A2E62" w:rsidRPr="00E70587" w14:paraId="44FCD057" w14:textId="77777777" w:rsidTr="009A2E62">
        <w:tc>
          <w:tcPr>
            <w:tcW w:w="2621" w:type="dxa"/>
            <w:shd w:val="clear" w:color="auto" w:fill="auto"/>
          </w:tcPr>
          <w:p w14:paraId="5D4BC117"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Disposals</w:t>
            </w:r>
          </w:p>
        </w:tc>
        <w:tc>
          <w:tcPr>
            <w:tcW w:w="1716" w:type="dxa"/>
            <w:shd w:val="clear" w:color="auto" w:fill="auto"/>
            <w:tcMar>
              <w:right w:w="57" w:type="dxa"/>
            </w:tcMar>
          </w:tcPr>
          <w:p w14:paraId="3E3B79C1" w14:textId="77777777" w:rsidR="00504D99" w:rsidRPr="00E70587" w:rsidRDefault="00504D99" w:rsidP="00504D99">
            <w:pPr>
              <w:jc w:val="right"/>
              <w:rPr>
                <w:rFonts w:ascii="Arial" w:hAnsi="Arial" w:cs="Arial"/>
                <w:color w:val="000000"/>
                <w:sz w:val="20"/>
              </w:rPr>
            </w:pPr>
            <w:r w:rsidRPr="00E70587">
              <w:rPr>
                <w:rFonts w:ascii="Arial" w:hAnsi="Arial" w:cs="Arial"/>
                <w:color w:val="000000"/>
                <w:sz w:val="20"/>
              </w:rPr>
              <w:t>(16)</w:t>
            </w:r>
          </w:p>
          <w:p w14:paraId="0ABAB842" w14:textId="77777777" w:rsidR="009A2E62" w:rsidRPr="00E70587" w:rsidRDefault="009A2E62" w:rsidP="00944426">
            <w:pPr>
              <w:overflowPunct/>
              <w:spacing w:line="280" w:lineRule="exact"/>
              <w:jc w:val="right"/>
              <w:textAlignment w:val="auto"/>
              <w:rPr>
                <w:rFonts w:ascii="Arial" w:hAnsi="Arial" w:cs="Arial"/>
                <w:sz w:val="20"/>
                <w:lang w:eastAsia="en-GB"/>
              </w:rPr>
            </w:pPr>
          </w:p>
        </w:tc>
        <w:tc>
          <w:tcPr>
            <w:tcW w:w="1716" w:type="dxa"/>
            <w:shd w:val="clear" w:color="auto" w:fill="auto"/>
            <w:tcMar>
              <w:right w:w="57" w:type="dxa"/>
            </w:tcMar>
          </w:tcPr>
          <w:p w14:paraId="383B78F8"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(88)</w:t>
            </w:r>
          </w:p>
        </w:tc>
        <w:tc>
          <w:tcPr>
            <w:tcW w:w="1716" w:type="dxa"/>
          </w:tcPr>
          <w:p w14:paraId="5C9C9663"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Mar>
              <w:right w:w="57" w:type="dxa"/>
            </w:tcMar>
          </w:tcPr>
          <w:p w14:paraId="7E423B10" w14:textId="77777777" w:rsidR="00504D99" w:rsidRPr="00E70587" w:rsidRDefault="00504D99" w:rsidP="00504D99">
            <w:pPr>
              <w:jc w:val="right"/>
              <w:rPr>
                <w:rFonts w:ascii="Arial" w:hAnsi="Arial" w:cs="Arial"/>
                <w:color w:val="000000"/>
                <w:sz w:val="20"/>
              </w:rPr>
            </w:pPr>
            <w:r w:rsidRPr="00E70587">
              <w:rPr>
                <w:rFonts w:ascii="Arial" w:hAnsi="Arial" w:cs="Arial"/>
                <w:color w:val="000000"/>
                <w:sz w:val="20"/>
              </w:rPr>
              <w:t>(104)</w:t>
            </w:r>
          </w:p>
          <w:p w14:paraId="4DE0D29E" w14:textId="77777777" w:rsidR="009A2E62" w:rsidRPr="00E70587" w:rsidRDefault="009A2E62" w:rsidP="00944426">
            <w:pPr>
              <w:overflowPunct/>
              <w:spacing w:line="280" w:lineRule="exact"/>
              <w:jc w:val="right"/>
              <w:textAlignment w:val="auto"/>
              <w:rPr>
                <w:rFonts w:ascii="Arial" w:hAnsi="Arial" w:cs="Arial"/>
                <w:sz w:val="20"/>
                <w:lang w:eastAsia="en-GB"/>
              </w:rPr>
            </w:pPr>
          </w:p>
        </w:tc>
      </w:tr>
      <w:tr w:rsidR="009A2E62" w:rsidRPr="00E70587" w14:paraId="5E3D0559" w14:textId="77777777" w:rsidTr="009A2E62">
        <w:tc>
          <w:tcPr>
            <w:tcW w:w="2621" w:type="dxa"/>
            <w:shd w:val="clear" w:color="auto" w:fill="auto"/>
            <w:vAlign w:val="bottom"/>
          </w:tcPr>
          <w:p w14:paraId="31D16463"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bCs/>
                <w:sz w:val="20"/>
                <w:lang w:val="en-IN" w:eastAsia="ru-RU"/>
              </w:rPr>
            </w:pPr>
            <w:r w:rsidRPr="00E70587">
              <w:rPr>
                <w:rFonts w:ascii="Arial" w:hAnsi="Arial" w:cs="Arial"/>
                <w:bCs/>
                <w:sz w:val="20"/>
                <w:lang w:val="en-IN" w:eastAsia="ru-RU"/>
              </w:rPr>
              <w:t xml:space="preserve">Exchange </w:t>
            </w:r>
            <w:r w:rsidRPr="00E70587">
              <w:rPr>
                <w:rFonts w:ascii="Arial" w:hAnsi="Arial" w:cs="Arial"/>
                <w:sz w:val="20"/>
                <w:lang w:val="en-IN" w:eastAsia="ru-RU"/>
              </w:rPr>
              <w:t>differences</w:t>
            </w:r>
          </w:p>
        </w:tc>
        <w:tc>
          <w:tcPr>
            <w:tcW w:w="1716" w:type="dxa"/>
            <w:tcBorders>
              <w:bottom w:val="single" w:sz="4" w:space="0" w:color="auto"/>
            </w:tcBorders>
            <w:shd w:val="clear" w:color="auto" w:fill="auto"/>
          </w:tcPr>
          <w:p w14:paraId="4904E815"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9</w:t>
            </w:r>
          </w:p>
        </w:tc>
        <w:tc>
          <w:tcPr>
            <w:tcW w:w="1716" w:type="dxa"/>
            <w:tcBorders>
              <w:bottom w:val="single" w:sz="4" w:space="0" w:color="auto"/>
            </w:tcBorders>
            <w:shd w:val="clear" w:color="auto" w:fill="auto"/>
          </w:tcPr>
          <w:p w14:paraId="5C48375B"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22</w:t>
            </w:r>
          </w:p>
        </w:tc>
        <w:tc>
          <w:tcPr>
            <w:tcW w:w="1716" w:type="dxa"/>
            <w:tcBorders>
              <w:bottom w:val="single" w:sz="4" w:space="0" w:color="auto"/>
            </w:tcBorders>
          </w:tcPr>
          <w:p w14:paraId="59809412"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tcBorders>
              <w:bottom w:val="single" w:sz="4" w:space="0" w:color="auto"/>
            </w:tcBorders>
            <w:shd w:val="clear" w:color="auto" w:fill="auto"/>
          </w:tcPr>
          <w:p w14:paraId="34BD539A"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31</w:t>
            </w:r>
          </w:p>
        </w:tc>
      </w:tr>
      <w:tr w:rsidR="009A2E62" w:rsidRPr="00E70587" w14:paraId="321E84A2" w14:textId="77777777" w:rsidTr="009A2E62">
        <w:tc>
          <w:tcPr>
            <w:tcW w:w="2621" w:type="dxa"/>
            <w:shd w:val="clear" w:color="auto" w:fill="auto"/>
            <w:vAlign w:val="center"/>
          </w:tcPr>
          <w:p w14:paraId="66030F55" w14:textId="7668E42C"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8B730E" w:rsidRPr="00E70587">
              <w:rPr>
                <w:rFonts w:ascii="Arial" w:hAnsi="Arial" w:cs="Arial"/>
                <w:b/>
                <w:sz w:val="20"/>
                <w:lang w:val="en-IN"/>
              </w:rPr>
              <w:t xml:space="preserve">March </w:t>
            </w:r>
            <w:r w:rsidR="00201B2E" w:rsidRPr="00E70587">
              <w:rPr>
                <w:rFonts w:ascii="Arial" w:hAnsi="Arial" w:cs="Arial"/>
                <w:b/>
                <w:sz w:val="20"/>
                <w:lang w:val="en-IN"/>
              </w:rPr>
              <w:t>20</w:t>
            </w:r>
            <w:r w:rsidR="00201B2E">
              <w:rPr>
                <w:rFonts w:ascii="Arial" w:hAnsi="Arial" w:cs="Arial"/>
                <w:b/>
                <w:sz w:val="20"/>
                <w:lang w:val="en-IN"/>
              </w:rPr>
              <w:t>20</w:t>
            </w:r>
          </w:p>
        </w:tc>
        <w:tc>
          <w:tcPr>
            <w:tcW w:w="1716" w:type="dxa"/>
            <w:tcBorders>
              <w:top w:val="single" w:sz="4" w:space="0" w:color="auto"/>
            </w:tcBorders>
            <w:shd w:val="clear" w:color="auto" w:fill="auto"/>
          </w:tcPr>
          <w:p w14:paraId="1E700E37" w14:textId="77777777" w:rsidR="00504D99" w:rsidRPr="00E70587" w:rsidRDefault="00504D99" w:rsidP="00504D99">
            <w:pPr>
              <w:jc w:val="right"/>
              <w:rPr>
                <w:rFonts w:ascii="Arial" w:hAnsi="Arial" w:cs="Arial"/>
                <w:b/>
                <w:bCs/>
                <w:color w:val="000000"/>
                <w:sz w:val="20"/>
              </w:rPr>
            </w:pPr>
            <w:r w:rsidRPr="00E70587">
              <w:rPr>
                <w:rFonts w:ascii="Arial" w:hAnsi="Arial" w:cs="Arial"/>
                <w:b/>
                <w:bCs/>
                <w:color w:val="000000"/>
                <w:sz w:val="20"/>
              </w:rPr>
              <w:t>630</w:t>
            </w:r>
          </w:p>
          <w:p w14:paraId="4BDE21C1" w14:textId="77777777" w:rsidR="009A2E62" w:rsidRPr="00E70587" w:rsidRDefault="009A2E62" w:rsidP="00944426">
            <w:pPr>
              <w:overflowPunct/>
              <w:spacing w:line="280" w:lineRule="exact"/>
              <w:jc w:val="right"/>
              <w:textAlignment w:val="auto"/>
              <w:rPr>
                <w:rFonts w:ascii="Arial" w:hAnsi="Arial" w:cs="Arial"/>
                <w:b/>
                <w:bCs/>
                <w:sz w:val="20"/>
                <w:lang w:eastAsia="en-GB"/>
              </w:rPr>
            </w:pPr>
          </w:p>
        </w:tc>
        <w:tc>
          <w:tcPr>
            <w:tcW w:w="1716" w:type="dxa"/>
            <w:tcBorders>
              <w:top w:val="single" w:sz="4" w:space="0" w:color="auto"/>
            </w:tcBorders>
            <w:shd w:val="clear" w:color="auto" w:fill="auto"/>
          </w:tcPr>
          <w:p w14:paraId="23C1D7C9" w14:textId="77777777" w:rsidR="009A2E62" w:rsidRPr="00E70587" w:rsidRDefault="009A2E62" w:rsidP="00D63C1B">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26,885</w:t>
            </w:r>
          </w:p>
        </w:tc>
        <w:tc>
          <w:tcPr>
            <w:tcW w:w="1716" w:type="dxa"/>
            <w:tcBorders>
              <w:top w:val="single" w:sz="4" w:space="0" w:color="auto"/>
            </w:tcBorders>
          </w:tcPr>
          <w:p w14:paraId="5E7FF85C" w14:textId="77777777" w:rsidR="009A2E62" w:rsidRPr="00E70587" w:rsidRDefault="009A2E62" w:rsidP="00944426">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w:t>
            </w:r>
          </w:p>
        </w:tc>
        <w:tc>
          <w:tcPr>
            <w:tcW w:w="1807" w:type="dxa"/>
            <w:tcBorders>
              <w:top w:val="single" w:sz="4" w:space="0" w:color="auto"/>
            </w:tcBorders>
            <w:shd w:val="clear" w:color="auto" w:fill="auto"/>
          </w:tcPr>
          <w:p w14:paraId="6E67C00E" w14:textId="77777777" w:rsidR="00504D99" w:rsidRPr="00E70587" w:rsidRDefault="00504D99" w:rsidP="00504D99">
            <w:pPr>
              <w:jc w:val="right"/>
              <w:rPr>
                <w:rFonts w:ascii="Arial" w:hAnsi="Arial" w:cs="Arial"/>
                <w:b/>
                <w:bCs/>
                <w:color w:val="000000"/>
                <w:sz w:val="20"/>
              </w:rPr>
            </w:pPr>
            <w:r w:rsidRPr="00E70587">
              <w:rPr>
                <w:rFonts w:ascii="Arial" w:hAnsi="Arial" w:cs="Arial"/>
                <w:b/>
                <w:bCs/>
                <w:color w:val="000000"/>
                <w:sz w:val="20"/>
              </w:rPr>
              <w:t>27,515</w:t>
            </w:r>
          </w:p>
          <w:p w14:paraId="1D3FC2BD" w14:textId="77777777" w:rsidR="009A2E62" w:rsidRPr="00E70587" w:rsidRDefault="009A2E62" w:rsidP="00944426">
            <w:pPr>
              <w:overflowPunct/>
              <w:spacing w:line="280" w:lineRule="exact"/>
              <w:jc w:val="right"/>
              <w:textAlignment w:val="auto"/>
              <w:rPr>
                <w:rFonts w:ascii="Arial" w:hAnsi="Arial" w:cs="Arial"/>
                <w:b/>
                <w:bCs/>
                <w:sz w:val="20"/>
                <w:lang w:eastAsia="en-GB"/>
              </w:rPr>
            </w:pPr>
          </w:p>
        </w:tc>
      </w:tr>
      <w:tr w:rsidR="009A2E62" w:rsidRPr="00E70587" w14:paraId="27F604EF" w14:textId="77777777" w:rsidTr="009A2E62">
        <w:tc>
          <w:tcPr>
            <w:tcW w:w="2621" w:type="dxa"/>
            <w:shd w:val="clear" w:color="auto" w:fill="auto"/>
          </w:tcPr>
          <w:p w14:paraId="57D308A0"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Depreciation charge for the year**</w:t>
            </w:r>
          </w:p>
        </w:tc>
        <w:tc>
          <w:tcPr>
            <w:tcW w:w="1716" w:type="dxa"/>
            <w:shd w:val="clear" w:color="auto" w:fill="auto"/>
          </w:tcPr>
          <w:p w14:paraId="55FED0CB"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900</w:t>
            </w:r>
          </w:p>
        </w:tc>
        <w:tc>
          <w:tcPr>
            <w:tcW w:w="1716" w:type="dxa"/>
            <w:shd w:val="clear" w:color="auto" w:fill="auto"/>
          </w:tcPr>
          <w:p w14:paraId="2B9CE074"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5,935</w:t>
            </w:r>
          </w:p>
        </w:tc>
        <w:tc>
          <w:tcPr>
            <w:tcW w:w="1716" w:type="dxa"/>
          </w:tcPr>
          <w:p w14:paraId="3C5B7A6A"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Pr>
          <w:p w14:paraId="1C73F7CC"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6,835</w:t>
            </w:r>
          </w:p>
        </w:tc>
      </w:tr>
      <w:tr w:rsidR="009A2E62" w:rsidRPr="00E70587" w14:paraId="2BF47FDB" w14:textId="77777777" w:rsidTr="009A2E62">
        <w:tc>
          <w:tcPr>
            <w:tcW w:w="2621" w:type="dxa"/>
            <w:shd w:val="clear" w:color="auto" w:fill="auto"/>
          </w:tcPr>
          <w:p w14:paraId="242804AA"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Disposals</w:t>
            </w:r>
          </w:p>
        </w:tc>
        <w:tc>
          <w:tcPr>
            <w:tcW w:w="1716" w:type="dxa"/>
            <w:shd w:val="clear" w:color="auto" w:fill="auto"/>
          </w:tcPr>
          <w:p w14:paraId="2E47BE4F"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6" w:type="dxa"/>
            <w:shd w:val="clear" w:color="auto" w:fill="auto"/>
            <w:tcMar>
              <w:right w:w="57" w:type="dxa"/>
            </w:tcMar>
          </w:tcPr>
          <w:p w14:paraId="115C9A4B"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(6,210)</w:t>
            </w:r>
          </w:p>
        </w:tc>
        <w:tc>
          <w:tcPr>
            <w:tcW w:w="1716" w:type="dxa"/>
          </w:tcPr>
          <w:p w14:paraId="2897EE90"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Mar>
              <w:right w:w="57" w:type="dxa"/>
            </w:tcMar>
          </w:tcPr>
          <w:p w14:paraId="67A7D071"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(6,210)</w:t>
            </w:r>
          </w:p>
        </w:tc>
      </w:tr>
      <w:tr w:rsidR="009A2E62" w:rsidRPr="00E70587" w14:paraId="3DADD2B0" w14:textId="77777777" w:rsidTr="009A2E62">
        <w:tc>
          <w:tcPr>
            <w:tcW w:w="2621" w:type="dxa"/>
            <w:shd w:val="clear" w:color="auto" w:fill="auto"/>
          </w:tcPr>
          <w:p w14:paraId="5DD9B140"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Discontinued operations </w:t>
            </w:r>
          </w:p>
        </w:tc>
        <w:tc>
          <w:tcPr>
            <w:tcW w:w="1716" w:type="dxa"/>
            <w:shd w:val="clear" w:color="auto" w:fill="auto"/>
            <w:tcMar>
              <w:right w:w="57" w:type="dxa"/>
            </w:tcMar>
          </w:tcPr>
          <w:p w14:paraId="0371C30A" w14:textId="77777777" w:rsidR="00504D99" w:rsidRPr="00E70587" w:rsidRDefault="00504D99" w:rsidP="00504D99">
            <w:pPr>
              <w:jc w:val="right"/>
              <w:rPr>
                <w:rFonts w:ascii="Arial" w:hAnsi="Arial" w:cs="Arial"/>
                <w:color w:val="000000"/>
                <w:sz w:val="20"/>
              </w:rPr>
            </w:pPr>
            <w:r w:rsidRPr="00E70587">
              <w:rPr>
                <w:rFonts w:ascii="Arial" w:hAnsi="Arial" w:cs="Arial"/>
                <w:color w:val="000000"/>
                <w:sz w:val="20"/>
              </w:rPr>
              <w:t>(95)</w:t>
            </w:r>
          </w:p>
          <w:p w14:paraId="3E54017E" w14:textId="77777777" w:rsidR="009A2E62" w:rsidRPr="00E70587" w:rsidRDefault="009A2E62" w:rsidP="00944426">
            <w:pPr>
              <w:overflowPunct/>
              <w:spacing w:line="280" w:lineRule="exact"/>
              <w:jc w:val="right"/>
              <w:textAlignment w:val="auto"/>
              <w:rPr>
                <w:rFonts w:ascii="Arial" w:hAnsi="Arial" w:cs="Arial"/>
                <w:sz w:val="20"/>
                <w:lang w:eastAsia="en-GB"/>
              </w:rPr>
            </w:pPr>
          </w:p>
        </w:tc>
        <w:tc>
          <w:tcPr>
            <w:tcW w:w="1716" w:type="dxa"/>
            <w:shd w:val="clear" w:color="auto" w:fill="auto"/>
            <w:tcMar>
              <w:right w:w="57" w:type="dxa"/>
            </w:tcMar>
          </w:tcPr>
          <w:p w14:paraId="37CA14B8"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(3,769)</w:t>
            </w:r>
          </w:p>
        </w:tc>
        <w:tc>
          <w:tcPr>
            <w:tcW w:w="1716" w:type="dxa"/>
          </w:tcPr>
          <w:p w14:paraId="5E89976E"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Mar>
              <w:right w:w="57" w:type="dxa"/>
            </w:tcMar>
          </w:tcPr>
          <w:p w14:paraId="5F8346D4" w14:textId="77777777" w:rsidR="00504D99" w:rsidRPr="00E70587" w:rsidRDefault="00504D99" w:rsidP="00504D99">
            <w:pPr>
              <w:jc w:val="right"/>
              <w:rPr>
                <w:rFonts w:ascii="Arial" w:hAnsi="Arial" w:cs="Arial"/>
                <w:color w:val="000000"/>
                <w:sz w:val="20"/>
              </w:rPr>
            </w:pPr>
            <w:r w:rsidRPr="00E70587">
              <w:rPr>
                <w:rFonts w:ascii="Arial" w:hAnsi="Arial" w:cs="Arial"/>
                <w:color w:val="000000"/>
                <w:sz w:val="20"/>
              </w:rPr>
              <w:t>(3,</w:t>
            </w:r>
            <w:r w:rsidR="008D4DB9" w:rsidRPr="00E70587">
              <w:rPr>
                <w:rFonts w:ascii="Arial" w:hAnsi="Arial" w:cs="Arial"/>
                <w:color w:val="000000"/>
                <w:sz w:val="20"/>
              </w:rPr>
              <w:t>864</w:t>
            </w:r>
            <w:r w:rsidRPr="00E70587">
              <w:rPr>
                <w:rFonts w:ascii="Arial" w:hAnsi="Arial" w:cs="Arial"/>
                <w:color w:val="000000"/>
                <w:sz w:val="20"/>
              </w:rPr>
              <w:t>)</w:t>
            </w:r>
          </w:p>
          <w:p w14:paraId="4A41141F" w14:textId="77777777" w:rsidR="009A2E62" w:rsidRPr="00E70587" w:rsidRDefault="009A2E62" w:rsidP="00944426">
            <w:pPr>
              <w:overflowPunct/>
              <w:spacing w:line="280" w:lineRule="exact"/>
              <w:jc w:val="right"/>
              <w:textAlignment w:val="auto"/>
              <w:rPr>
                <w:rFonts w:ascii="Arial" w:hAnsi="Arial" w:cs="Arial"/>
                <w:sz w:val="20"/>
                <w:lang w:eastAsia="en-GB"/>
              </w:rPr>
            </w:pPr>
          </w:p>
        </w:tc>
      </w:tr>
      <w:tr w:rsidR="009A2E62" w:rsidRPr="00E70587" w14:paraId="75B135C8" w14:textId="77777777" w:rsidTr="009A2E62">
        <w:tc>
          <w:tcPr>
            <w:tcW w:w="2621" w:type="dxa"/>
            <w:shd w:val="clear" w:color="auto" w:fill="auto"/>
          </w:tcPr>
          <w:p w14:paraId="50787337"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Transfer*</w:t>
            </w:r>
          </w:p>
        </w:tc>
        <w:tc>
          <w:tcPr>
            <w:tcW w:w="1716" w:type="dxa"/>
            <w:shd w:val="clear" w:color="auto" w:fill="auto"/>
            <w:tcMar>
              <w:right w:w="57" w:type="dxa"/>
            </w:tcMar>
          </w:tcPr>
          <w:p w14:paraId="37E8F78C"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(184)</w:t>
            </w:r>
          </w:p>
        </w:tc>
        <w:tc>
          <w:tcPr>
            <w:tcW w:w="1716" w:type="dxa"/>
            <w:shd w:val="clear" w:color="auto" w:fill="auto"/>
          </w:tcPr>
          <w:p w14:paraId="7F6D8548"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6" w:type="dxa"/>
          </w:tcPr>
          <w:p w14:paraId="279F09AD"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shd w:val="clear" w:color="auto" w:fill="auto"/>
            <w:tcMar>
              <w:right w:w="57" w:type="dxa"/>
            </w:tcMar>
          </w:tcPr>
          <w:p w14:paraId="1B4308B1"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(184)</w:t>
            </w:r>
          </w:p>
        </w:tc>
      </w:tr>
      <w:tr w:rsidR="009A2E62" w:rsidRPr="00E70587" w14:paraId="1B39454A" w14:textId="77777777" w:rsidTr="009A2E62">
        <w:tc>
          <w:tcPr>
            <w:tcW w:w="2621" w:type="dxa"/>
            <w:shd w:val="clear" w:color="auto" w:fill="auto"/>
          </w:tcPr>
          <w:p w14:paraId="2A691E70"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Exchange differences</w:t>
            </w:r>
          </w:p>
        </w:tc>
        <w:tc>
          <w:tcPr>
            <w:tcW w:w="1716" w:type="dxa"/>
            <w:tcBorders>
              <w:bottom w:val="single" w:sz="4" w:space="0" w:color="auto"/>
            </w:tcBorders>
            <w:shd w:val="clear" w:color="auto" w:fill="auto"/>
          </w:tcPr>
          <w:p w14:paraId="1DC16E01"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36</w:t>
            </w:r>
          </w:p>
        </w:tc>
        <w:tc>
          <w:tcPr>
            <w:tcW w:w="1716" w:type="dxa"/>
            <w:tcBorders>
              <w:bottom w:val="single" w:sz="4" w:space="0" w:color="auto"/>
            </w:tcBorders>
            <w:shd w:val="clear" w:color="auto" w:fill="auto"/>
          </w:tcPr>
          <w:p w14:paraId="20A5E280" w14:textId="77777777" w:rsidR="009A2E62" w:rsidRPr="00E70587" w:rsidRDefault="009A2E62" w:rsidP="00D63C1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53</w:t>
            </w:r>
          </w:p>
        </w:tc>
        <w:tc>
          <w:tcPr>
            <w:tcW w:w="1716" w:type="dxa"/>
            <w:tcBorders>
              <w:bottom w:val="single" w:sz="4" w:space="0" w:color="auto"/>
            </w:tcBorders>
          </w:tcPr>
          <w:p w14:paraId="16EEFC94"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7" w:type="dxa"/>
            <w:tcBorders>
              <w:bottom w:val="single" w:sz="4" w:space="0" w:color="auto"/>
            </w:tcBorders>
            <w:shd w:val="clear" w:color="auto" w:fill="auto"/>
          </w:tcPr>
          <w:p w14:paraId="695C7675" w14:textId="77777777" w:rsidR="009A2E62" w:rsidRPr="00E70587" w:rsidRDefault="009A2E62"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89</w:t>
            </w:r>
          </w:p>
        </w:tc>
      </w:tr>
      <w:tr w:rsidR="009A2E62" w:rsidRPr="00E70587" w14:paraId="7247FD54" w14:textId="77777777" w:rsidTr="009A2E62">
        <w:tc>
          <w:tcPr>
            <w:tcW w:w="2621" w:type="dxa"/>
            <w:shd w:val="clear" w:color="auto" w:fill="auto"/>
            <w:vAlign w:val="center"/>
          </w:tcPr>
          <w:p w14:paraId="7F23F91A" w14:textId="31066C56"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E1202D" w:rsidRPr="00E70587">
              <w:rPr>
                <w:rFonts w:ascii="Arial" w:hAnsi="Arial" w:cs="Arial"/>
                <w:b/>
                <w:sz w:val="20"/>
                <w:lang w:val="en-IN"/>
              </w:rPr>
              <w:t xml:space="preserve">March </w:t>
            </w:r>
            <w:r w:rsidR="00201B2E" w:rsidRPr="00E70587">
              <w:rPr>
                <w:rFonts w:ascii="Arial" w:hAnsi="Arial" w:cs="Arial"/>
                <w:b/>
                <w:sz w:val="20"/>
                <w:lang w:val="en-IN"/>
              </w:rPr>
              <w:t>20</w:t>
            </w:r>
            <w:r w:rsidR="00201B2E">
              <w:rPr>
                <w:rFonts w:ascii="Arial" w:hAnsi="Arial" w:cs="Arial"/>
                <w:b/>
                <w:sz w:val="20"/>
                <w:lang w:val="en-IN"/>
              </w:rPr>
              <w:t>21</w:t>
            </w:r>
          </w:p>
        </w:tc>
        <w:tc>
          <w:tcPr>
            <w:tcW w:w="1716" w:type="dxa"/>
            <w:tcBorders>
              <w:top w:val="single" w:sz="4" w:space="0" w:color="auto"/>
              <w:bottom w:val="double" w:sz="4" w:space="0" w:color="auto"/>
            </w:tcBorders>
            <w:shd w:val="clear" w:color="auto" w:fill="auto"/>
          </w:tcPr>
          <w:p w14:paraId="221856C1" w14:textId="77777777" w:rsidR="00504D99" w:rsidRPr="00E70587" w:rsidRDefault="00504D99" w:rsidP="00504D99">
            <w:pPr>
              <w:jc w:val="right"/>
              <w:rPr>
                <w:rFonts w:ascii="Arial" w:hAnsi="Arial" w:cs="Arial"/>
                <w:b/>
                <w:bCs/>
                <w:color w:val="000000"/>
                <w:sz w:val="20"/>
              </w:rPr>
            </w:pPr>
            <w:r w:rsidRPr="00E70587">
              <w:rPr>
                <w:rFonts w:ascii="Arial" w:hAnsi="Arial" w:cs="Arial"/>
                <w:b/>
                <w:bCs/>
                <w:color w:val="000000"/>
                <w:sz w:val="20"/>
              </w:rPr>
              <w:t>1,287</w:t>
            </w:r>
          </w:p>
          <w:p w14:paraId="1AC4EAC7" w14:textId="77777777" w:rsidR="009A2E62" w:rsidRPr="00E70587" w:rsidRDefault="009A2E62" w:rsidP="00944426">
            <w:pPr>
              <w:overflowPunct/>
              <w:spacing w:line="280" w:lineRule="exact"/>
              <w:jc w:val="right"/>
              <w:textAlignment w:val="auto"/>
              <w:rPr>
                <w:rFonts w:ascii="Arial" w:hAnsi="Arial" w:cs="Arial"/>
                <w:b/>
                <w:bCs/>
                <w:sz w:val="20"/>
                <w:lang w:eastAsia="en-GB"/>
              </w:rPr>
            </w:pPr>
          </w:p>
        </w:tc>
        <w:tc>
          <w:tcPr>
            <w:tcW w:w="1716" w:type="dxa"/>
            <w:tcBorders>
              <w:top w:val="single" w:sz="4" w:space="0" w:color="auto"/>
              <w:bottom w:val="double" w:sz="4" w:space="0" w:color="auto"/>
            </w:tcBorders>
            <w:shd w:val="clear" w:color="auto" w:fill="auto"/>
          </w:tcPr>
          <w:p w14:paraId="0F6FA4C5" w14:textId="77777777" w:rsidR="009A2E62" w:rsidRPr="00E70587" w:rsidRDefault="009A2E62" w:rsidP="00D63C1B">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22,894</w:t>
            </w:r>
          </w:p>
        </w:tc>
        <w:tc>
          <w:tcPr>
            <w:tcW w:w="1716" w:type="dxa"/>
            <w:tcBorders>
              <w:top w:val="single" w:sz="4" w:space="0" w:color="auto"/>
              <w:bottom w:val="double" w:sz="4" w:space="0" w:color="auto"/>
            </w:tcBorders>
          </w:tcPr>
          <w:p w14:paraId="4910D030" w14:textId="77777777" w:rsidR="009A2E62" w:rsidRPr="00E70587" w:rsidRDefault="009A2E62" w:rsidP="00944426">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w:t>
            </w:r>
          </w:p>
        </w:tc>
        <w:tc>
          <w:tcPr>
            <w:tcW w:w="1807" w:type="dxa"/>
            <w:tcBorders>
              <w:top w:val="single" w:sz="4" w:space="0" w:color="auto"/>
              <w:bottom w:val="double" w:sz="4" w:space="0" w:color="auto"/>
            </w:tcBorders>
            <w:shd w:val="clear" w:color="auto" w:fill="auto"/>
          </w:tcPr>
          <w:p w14:paraId="250FAB3D" w14:textId="77777777" w:rsidR="00504D99" w:rsidRPr="00E70587" w:rsidRDefault="00504D99" w:rsidP="00504D99">
            <w:pPr>
              <w:jc w:val="right"/>
              <w:rPr>
                <w:rFonts w:ascii="Arial" w:hAnsi="Arial" w:cs="Arial"/>
                <w:b/>
                <w:bCs/>
                <w:color w:val="000000"/>
                <w:sz w:val="20"/>
              </w:rPr>
            </w:pPr>
            <w:r w:rsidRPr="00E70587">
              <w:rPr>
                <w:rFonts w:ascii="Arial" w:hAnsi="Arial" w:cs="Arial"/>
                <w:b/>
                <w:bCs/>
                <w:color w:val="000000"/>
                <w:sz w:val="20"/>
              </w:rPr>
              <w:t>24,181</w:t>
            </w:r>
          </w:p>
          <w:p w14:paraId="652908EB" w14:textId="77777777" w:rsidR="009A2E62" w:rsidRPr="00E70587" w:rsidRDefault="009A2E62" w:rsidP="00944426">
            <w:pPr>
              <w:overflowPunct/>
              <w:spacing w:line="280" w:lineRule="exact"/>
              <w:jc w:val="right"/>
              <w:textAlignment w:val="auto"/>
              <w:rPr>
                <w:rFonts w:ascii="Arial" w:hAnsi="Arial" w:cs="Arial"/>
                <w:b/>
                <w:bCs/>
                <w:sz w:val="20"/>
                <w:lang w:eastAsia="en-GB"/>
              </w:rPr>
            </w:pPr>
          </w:p>
        </w:tc>
      </w:tr>
      <w:tr w:rsidR="009A2E62" w:rsidRPr="00E70587" w14:paraId="487D3E41" w14:textId="77777777" w:rsidTr="009A2E62">
        <w:tc>
          <w:tcPr>
            <w:tcW w:w="2621" w:type="dxa"/>
            <w:shd w:val="clear" w:color="auto" w:fill="auto"/>
            <w:vAlign w:val="bottom"/>
          </w:tcPr>
          <w:p w14:paraId="4ECE772D"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bCs/>
                <w:sz w:val="20"/>
                <w:lang w:val="en-IN" w:eastAsia="ru-RU"/>
              </w:rPr>
            </w:pPr>
          </w:p>
        </w:tc>
        <w:tc>
          <w:tcPr>
            <w:tcW w:w="1716" w:type="dxa"/>
            <w:tcBorders>
              <w:top w:val="double" w:sz="4" w:space="0" w:color="auto"/>
            </w:tcBorders>
            <w:shd w:val="clear" w:color="auto" w:fill="auto"/>
            <w:vAlign w:val="bottom"/>
          </w:tcPr>
          <w:p w14:paraId="61BED655" w14:textId="77777777" w:rsidR="009A2E62" w:rsidRPr="00E70587" w:rsidRDefault="009A2E62" w:rsidP="00944426">
            <w:pPr>
              <w:pStyle w:val="tabletext"/>
              <w:overflowPunct w:val="0"/>
              <w:autoSpaceDE w:val="0"/>
              <w:autoSpaceDN w:val="0"/>
              <w:adjustRightInd w:val="0"/>
              <w:spacing w:line="280" w:lineRule="exact"/>
              <w:ind w:left="227"/>
              <w:jc w:val="right"/>
              <w:textAlignment w:val="baseline"/>
              <w:rPr>
                <w:rFonts w:ascii="Arial" w:hAnsi="Arial" w:cs="Arial"/>
                <w:sz w:val="20"/>
                <w:lang w:val="en-IN" w:eastAsia="ru-RU"/>
              </w:rPr>
            </w:pPr>
          </w:p>
        </w:tc>
        <w:tc>
          <w:tcPr>
            <w:tcW w:w="1716" w:type="dxa"/>
            <w:tcBorders>
              <w:top w:val="double" w:sz="4" w:space="0" w:color="auto"/>
            </w:tcBorders>
            <w:shd w:val="clear" w:color="auto" w:fill="auto"/>
          </w:tcPr>
          <w:p w14:paraId="713164AD" w14:textId="77777777" w:rsidR="009A2E62" w:rsidRPr="00E70587" w:rsidRDefault="009A2E62" w:rsidP="00D63C1B">
            <w:pPr>
              <w:pStyle w:val="tabletext"/>
              <w:overflowPunct w:val="0"/>
              <w:autoSpaceDE w:val="0"/>
              <w:autoSpaceDN w:val="0"/>
              <w:adjustRightInd w:val="0"/>
              <w:spacing w:line="280" w:lineRule="exact"/>
              <w:ind w:left="454"/>
              <w:jc w:val="right"/>
              <w:textAlignment w:val="baseline"/>
              <w:rPr>
                <w:rFonts w:ascii="Arial" w:hAnsi="Arial" w:cs="Arial"/>
                <w:sz w:val="20"/>
                <w:lang w:val="en-IN" w:eastAsia="ru-RU"/>
              </w:rPr>
            </w:pPr>
          </w:p>
        </w:tc>
        <w:tc>
          <w:tcPr>
            <w:tcW w:w="1716" w:type="dxa"/>
            <w:tcBorders>
              <w:top w:val="double" w:sz="4" w:space="0" w:color="auto"/>
            </w:tcBorders>
          </w:tcPr>
          <w:p w14:paraId="0EF02CF9" w14:textId="77777777" w:rsidR="009A2E62" w:rsidRPr="00E70587" w:rsidRDefault="009A2E62" w:rsidP="00944426">
            <w:pPr>
              <w:pStyle w:val="tabletext"/>
              <w:overflowPunct w:val="0"/>
              <w:autoSpaceDE w:val="0"/>
              <w:autoSpaceDN w:val="0"/>
              <w:adjustRightInd w:val="0"/>
              <w:spacing w:line="280" w:lineRule="exact"/>
              <w:ind w:left="454"/>
              <w:jc w:val="right"/>
              <w:textAlignment w:val="baseline"/>
              <w:rPr>
                <w:rFonts w:ascii="Arial" w:hAnsi="Arial" w:cs="Arial"/>
                <w:sz w:val="20"/>
                <w:lang w:val="en-IN" w:eastAsia="ru-RU"/>
              </w:rPr>
            </w:pPr>
          </w:p>
        </w:tc>
        <w:tc>
          <w:tcPr>
            <w:tcW w:w="1807" w:type="dxa"/>
            <w:tcBorders>
              <w:top w:val="double" w:sz="4" w:space="0" w:color="auto"/>
            </w:tcBorders>
            <w:shd w:val="clear" w:color="auto" w:fill="auto"/>
            <w:vAlign w:val="bottom"/>
          </w:tcPr>
          <w:p w14:paraId="2EFA0421" w14:textId="77777777" w:rsidR="009A2E62" w:rsidRPr="00E70587" w:rsidRDefault="009A2E62" w:rsidP="00944426">
            <w:pPr>
              <w:pStyle w:val="tabletext"/>
              <w:overflowPunct w:val="0"/>
              <w:autoSpaceDE w:val="0"/>
              <w:autoSpaceDN w:val="0"/>
              <w:adjustRightInd w:val="0"/>
              <w:spacing w:line="280" w:lineRule="exact"/>
              <w:ind w:left="113"/>
              <w:jc w:val="right"/>
              <w:textAlignment w:val="baseline"/>
              <w:rPr>
                <w:rFonts w:ascii="Arial" w:hAnsi="Arial" w:cs="Arial"/>
                <w:sz w:val="20"/>
                <w:lang w:val="en-IN" w:eastAsia="ru-RU"/>
              </w:rPr>
            </w:pPr>
          </w:p>
        </w:tc>
      </w:tr>
      <w:tr w:rsidR="009A2E62" w:rsidRPr="00E70587" w14:paraId="72A12ABE" w14:textId="77777777" w:rsidTr="009A2E62">
        <w:tc>
          <w:tcPr>
            <w:tcW w:w="2621" w:type="dxa"/>
            <w:shd w:val="clear" w:color="auto" w:fill="auto"/>
          </w:tcPr>
          <w:p w14:paraId="07CA1C68"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Net book value</w:t>
            </w:r>
          </w:p>
        </w:tc>
        <w:tc>
          <w:tcPr>
            <w:tcW w:w="1716" w:type="dxa"/>
            <w:tcBorders>
              <w:bottom w:val="single" w:sz="4" w:space="0" w:color="auto"/>
            </w:tcBorders>
            <w:shd w:val="clear" w:color="auto" w:fill="auto"/>
          </w:tcPr>
          <w:p w14:paraId="6FB07E9F"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p>
        </w:tc>
        <w:tc>
          <w:tcPr>
            <w:tcW w:w="1716" w:type="dxa"/>
            <w:tcBorders>
              <w:bottom w:val="single" w:sz="4" w:space="0" w:color="auto"/>
            </w:tcBorders>
            <w:shd w:val="clear" w:color="auto" w:fill="auto"/>
          </w:tcPr>
          <w:p w14:paraId="60F6867B" w14:textId="77777777" w:rsidR="009A2E62" w:rsidRPr="00E70587" w:rsidRDefault="009A2E62" w:rsidP="00D63C1B">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716" w:type="dxa"/>
            <w:tcBorders>
              <w:bottom w:val="single" w:sz="4" w:space="0" w:color="auto"/>
            </w:tcBorders>
          </w:tcPr>
          <w:p w14:paraId="6C920C19"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p>
        </w:tc>
        <w:tc>
          <w:tcPr>
            <w:tcW w:w="1807" w:type="dxa"/>
            <w:tcBorders>
              <w:bottom w:val="single" w:sz="4" w:space="0" w:color="auto"/>
            </w:tcBorders>
            <w:shd w:val="clear" w:color="auto" w:fill="auto"/>
          </w:tcPr>
          <w:p w14:paraId="39E71F1B" w14:textId="77777777"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p>
        </w:tc>
      </w:tr>
      <w:tr w:rsidR="009A2E62" w:rsidRPr="00E70587" w14:paraId="14E8674E" w14:textId="77777777" w:rsidTr="009A2E62">
        <w:tc>
          <w:tcPr>
            <w:tcW w:w="2621" w:type="dxa"/>
            <w:shd w:val="clear" w:color="auto" w:fill="auto"/>
          </w:tcPr>
          <w:p w14:paraId="2BF1B65B" w14:textId="5E76FEED"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At 31 </w:t>
            </w:r>
            <w:r w:rsidR="00E1202D" w:rsidRPr="00E70587">
              <w:rPr>
                <w:rFonts w:ascii="Arial" w:hAnsi="Arial" w:cs="Arial"/>
                <w:sz w:val="20"/>
                <w:lang w:val="en-IN"/>
              </w:rPr>
              <w:t xml:space="preserve">March </w:t>
            </w:r>
            <w:r w:rsidR="00201B2E" w:rsidRPr="00E70587">
              <w:rPr>
                <w:rFonts w:ascii="Arial" w:hAnsi="Arial" w:cs="Arial"/>
                <w:sz w:val="20"/>
                <w:lang w:val="en-IN"/>
              </w:rPr>
              <w:t>20</w:t>
            </w:r>
            <w:r w:rsidR="00201B2E">
              <w:rPr>
                <w:rFonts w:ascii="Arial" w:hAnsi="Arial" w:cs="Arial"/>
                <w:sz w:val="20"/>
                <w:lang w:val="en-IN"/>
              </w:rPr>
              <w:t>21</w:t>
            </w:r>
          </w:p>
        </w:tc>
        <w:tc>
          <w:tcPr>
            <w:tcW w:w="1716" w:type="dxa"/>
            <w:tcBorders>
              <w:top w:val="single" w:sz="4" w:space="0" w:color="auto"/>
              <w:bottom w:val="single" w:sz="4" w:space="0" w:color="auto"/>
            </w:tcBorders>
            <w:shd w:val="clear" w:color="auto" w:fill="auto"/>
            <w:vAlign w:val="center"/>
          </w:tcPr>
          <w:p w14:paraId="72ED9A4C" w14:textId="77777777" w:rsidR="009A2E62" w:rsidRPr="00E70587" w:rsidRDefault="009A2E62" w:rsidP="00944426">
            <w:pPr>
              <w:spacing w:line="280" w:lineRule="exact"/>
              <w:jc w:val="right"/>
              <w:rPr>
                <w:rFonts w:ascii="Arial" w:hAnsi="Arial" w:cs="Arial"/>
                <w:sz w:val="20"/>
              </w:rPr>
            </w:pPr>
            <w:r w:rsidRPr="00E70587">
              <w:rPr>
                <w:rFonts w:ascii="Arial" w:hAnsi="Arial" w:cs="Arial"/>
                <w:sz w:val="20"/>
              </w:rPr>
              <w:t>21,487</w:t>
            </w:r>
          </w:p>
        </w:tc>
        <w:tc>
          <w:tcPr>
            <w:tcW w:w="1716" w:type="dxa"/>
            <w:tcBorders>
              <w:top w:val="single" w:sz="4" w:space="0" w:color="auto"/>
              <w:bottom w:val="single" w:sz="4" w:space="0" w:color="auto"/>
            </w:tcBorders>
            <w:shd w:val="clear" w:color="auto" w:fill="auto"/>
            <w:vAlign w:val="center"/>
          </w:tcPr>
          <w:p w14:paraId="20453C43" w14:textId="77777777" w:rsidR="009A2E62" w:rsidRPr="00E70587" w:rsidRDefault="009A2E62" w:rsidP="00D63C1B">
            <w:pPr>
              <w:spacing w:line="280" w:lineRule="exact"/>
              <w:jc w:val="right"/>
              <w:rPr>
                <w:rFonts w:ascii="Arial" w:hAnsi="Arial" w:cs="Arial"/>
                <w:sz w:val="20"/>
              </w:rPr>
            </w:pPr>
            <w:r w:rsidRPr="00E70587">
              <w:rPr>
                <w:rFonts w:ascii="Arial" w:hAnsi="Arial" w:cs="Arial"/>
                <w:sz w:val="20"/>
              </w:rPr>
              <w:t>29,776</w:t>
            </w:r>
          </w:p>
        </w:tc>
        <w:tc>
          <w:tcPr>
            <w:tcW w:w="1716" w:type="dxa"/>
            <w:tcBorders>
              <w:top w:val="single" w:sz="4" w:space="0" w:color="auto"/>
              <w:bottom w:val="single" w:sz="4" w:space="0" w:color="auto"/>
            </w:tcBorders>
            <w:vAlign w:val="center"/>
          </w:tcPr>
          <w:p w14:paraId="1B25AA7D" w14:textId="77777777" w:rsidR="009A2E62" w:rsidRPr="00E70587" w:rsidRDefault="009A2E62" w:rsidP="00944426">
            <w:pPr>
              <w:spacing w:line="280" w:lineRule="exact"/>
              <w:jc w:val="right"/>
              <w:rPr>
                <w:rFonts w:ascii="Arial" w:hAnsi="Arial" w:cs="Arial"/>
                <w:sz w:val="20"/>
              </w:rPr>
            </w:pPr>
            <w:r w:rsidRPr="00E70587">
              <w:rPr>
                <w:rFonts w:ascii="Arial" w:hAnsi="Arial" w:cs="Arial"/>
                <w:sz w:val="20"/>
              </w:rPr>
              <w:t>8,100</w:t>
            </w:r>
          </w:p>
        </w:tc>
        <w:tc>
          <w:tcPr>
            <w:tcW w:w="1807" w:type="dxa"/>
            <w:tcBorders>
              <w:top w:val="single" w:sz="4" w:space="0" w:color="auto"/>
              <w:bottom w:val="single" w:sz="4" w:space="0" w:color="auto"/>
            </w:tcBorders>
            <w:shd w:val="clear" w:color="auto" w:fill="auto"/>
            <w:vAlign w:val="center"/>
          </w:tcPr>
          <w:p w14:paraId="0F0A3037" w14:textId="77777777" w:rsidR="009A2E62" w:rsidRPr="00E70587" w:rsidRDefault="009A2E62" w:rsidP="00944426">
            <w:pPr>
              <w:spacing w:line="280" w:lineRule="exact"/>
              <w:jc w:val="right"/>
              <w:rPr>
                <w:rFonts w:ascii="Arial" w:hAnsi="Arial" w:cs="Arial"/>
                <w:sz w:val="20"/>
              </w:rPr>
            </w:pPr>
            <w:r w:rsidRPr="00E70587">
              <w:rPr>
                <w:rFonts w:ascii="Arial" w:hAnsi="Arial" w:cs="Arial"/>
                <w:sz w:val="20"/>
              </w:rPr>
              <w:t>59,362</w:t>
            </w:r>
          </w:p>
        </w:tc>
      </w:tr>
      <w:tr w:rsidR="009A2E62" w:rsidRPr="00E70587" w14:paraId="63CF28B8" w14:textId="77777777" w:rsidTr="009A2E62">
        <w:tc>
          <w:tcPr>
            <w:tcW w:w="2621" w:type="dxa"/>
            <w:shd w:val="clear" w:color="auto" w:fill="auto"/>
          </w:tcPr>
          <w:p w14:paraId="32CFCD17" w14:textId="3041E2D6" w:rsidR="009A2E62" w:rsidRPr="00E70587" w:rsidRDefault="009A2E62"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lastRenderedPageBreak/>
              <w:t xml:space="preserve">At 31 </w:t>
            </w:r>
            <w:r w:rsidR="008B730E" w:rsidRPr="00E70587">
              <w:rPr>
                <w:rFonts w:ascii="Arial" w:hAnsi="Arial" w:cs="Arial"/>
                <w:sz w:val="20"/>
                <w:lang w:val="en-IN"/>
              </w:rPr>
              <w:t xml:space="preserve">March </w:t>
            </w:r>
            <w:r w:rsidR="00201B2E" w:rsidRPr="00E70587">
              <w:rPr>
                <w:rFonts w:ascii="Arial" w:hAnsi="Arial" w:cs="Arial"/>
                <w:sz w:val="20"/>
                <w:lang w:val="en-IN"/>
              </w:rPr>
              <w:t>20</w:t>
            </w:r>
            <w:r w:rsidR="00201B2E">
              <w:rPr>
                <w:rFonts w:ascii="Arial" w:hAnsi="Arial" w:cs="Arial"/>
                <w:sz w:val="20"/>
                <w:lang w:val="en-IN"/>
              </w:rPr>
              <w:t>20</w:t>
            </w:r>
            <w:r w:rsidR="00201B2E" w:rsidRPr="00E70587">
              <w:rPr>
                <w:rFonts w:ascii="Arial" w:hAnsi="Arial" w:cs="Arial"/>
                <w:sz w:val="20"/>
                <w:lang w:val="en-IN"/>
              </w:rPr>
              <w:t xml:space="preserve"> </w:t>
            </w:r>
          </w:p>
        </w:tc>
        <w:tc>
          <w:tcPr>
            <w:tcW w:w="1716" w:type="dxa"/>
            <w:tcBorders>
              <w:top w:val="single" w:sz="4" w:space="0" w:color="auto"/>
              <w:bottom w:val="single" w:sz="4" w:space="0" w:color="auto"/>
            </w:tcBorders>
            <w:shd w:val="clear" w:color="auto" w:fill="auto"/>
            <w:vAlign w:val="center"/>
          </w:tcPr>
          <w:p w14:paraId="68FBB635" w14:textId="77777777" w:rsidR="009A2E62" w:rsidRPr="00E70587" w:rsidRDefault="009A2E62" w:rsidP="00944426">
            <w:pPr>
              <w:spacing w:line="280" w:lineRule="exact"/>
              <w:jc w:val="right"/>
              <w:rPr>
                <w:rFonts w:ascii="Arial" w:hAnsi="Arial" w:cs="Arial"/>
                <w:sz w:val="20"/>
              </w:rPr>
            </w:pPr>
            <w:r w:rsidRPr="00E70587">
              <w:rPr>
                <w:rFonts w:ascii="Arial" w:hAnsi="Arial" w:cs="Arial"/>
                <w:sz w:val="20"/>
              </w:rPr>
              <w:t>17,879</w:t>
            </w:r>
          </w:p>
        </w:tc>
        <w:tc>
          <w:tcPr>
            <w:tcW w:w="1716" w:type="dxa"/>
            <w:tcBorders>
              <w:top w:val="single" w:sz="4" w:space="0" w:color="auto"/>
              <w:bottom w:val="single" w:sz="4" w:space="0" w:color="auto"/>
            </w:tcBorders>
            <w:shd w:val="clear" w:color="auto" w:fill="auto"/>
            <w:vAlign w:val="center"/>
          </w:tcPr>
          <w:p w14:paraId="1B89FAB4" w14:textId="77777777" w:rsidR="009A2E62" w:rsidRPr="00E70587" w:rsidRDefault="009A2E62" w:rsidP="00D63C1B">
            <w:pPr>
              <w:spacing w:line="280" w:lineRule="exact"/>
              <w:jc w:val="right"/>
              <w:rPr>
                <w:rFonts w:ascii="Arial" w:hAnsi="Arial" w:cs="Arial"/>
                <w:sz w:val="20"/>
              </w:rPr>
            </w:pPr>
            <w:r w:rsidRPr="00E70587">
              <w:rPr>
                <w:rFonts w:ascii="Arial" w:hAnsi="Arial" w:cs="Arial"/>
                <w:sz w:val="20"/>
              </w:rPr>
              <w:t>25,913</w:t>
            </w:r>
          </w:p>
        </w:tc>
        <w:tc>
          <w:tcPr>
            <w:tcW w:w="1716" w:type="dxa"/>
            <w:tcBorders>
              <w:top w:val="single" w:sz="4" w:space="0" w:color="auto"/>
              <w:bottom w:val="single" w:sz="4" w:space="0" w:color="auto"/>
            </w:tcBorders>
            <w:vAlign w:val="center"/>
          </w:tcPr>
          <w:p w14:paraId="17639100" w14:textId="77777777" w:rsidR="009A2E62" w:rsidRPr="00E70587" w:rsidRDefault="009A2E62" w:rsidP="00944426">
            <w:pPr>
              <w:spacing w:line="280" w:lineRule="exact"/>
              <w:jc w:val="right"/>
              <w:rPr>
                <w:rFonts w:ascii="Arial" w:hAnsi="Arial" w:cs="Arial"/>
                <w:sz w:val="20"/>
              </w:rPr>
            </w:pPr>
            <w:r w:rsidRPr="00E70587">
              <w:rPr>
                <w:rFonts w:ascii="Arial" w:hAnsi="Arial" w:cs="Arial"/>
                <w:sz w:val="20"/>
              </w:rPr>
              <w:t>-</w:t>
            </w:r>
          </w:p>
        </w:tc>
        <w:tc>
          <w:tcPr>
            <w:tcW w:w="1807" w:type="dxa"/>
            <w:tcBorders>
              <w:top w:val="single" w:sz="4" w:space="0" w:color="auto"/>
              <w:bottom w:val="single" w:sz="4" w:space="0" w:color="auto"/>
            </w:tcBorders>
            <w:shd w:val="clear" w:color="auto" w:fill="auto"/>
            <w:vAlign w:val="center"/>
          </w:tcPr>
          <w:p w14:paraId="61BE7D06" w14:textId="77777777" w:rsidR="009A2E62" w:rsidRPr="00E70587" w:rsidRDefault="009A2E62" w:rsidP="00944426">
            <w:pPr>
              <w:spacing w:line="280" w:lineRule="exact"/>
              <w:jc w:val="right"/>
              <w:rPr>
                <w:rFonts w:ascii="Arial" w:hAnsi="Arial" w:cs="Arial"/>
                <w:sz w:val="20"/>
              </w:rPr>
            </w:pPr>
            <w:r w:rsidRPr="00E70587">
              <w:rPr>
                <w:rFonts w:ascii="Arial" w:hAnsi="Arial" w:cs="Arial"/>
                <w:sz w:val="20"/>
              </w:rPr>
              <w:t>43,792</w:t>
            </w:r>
          </w:p>
        </w:tc>
      </w:tr>
    </w:tbl>
    <w:p w14:paraId="1ADE21F1" w14:textId="77777777" w:rsidR="00944426" w:rsidRPr="00E70587" w:rsidRDefault="00944426" w:rsidP="009901E1">
      <w:pPr>
        <w:pStyle w:val="Notesbodytext"/>
        <w:spacing w:after="0" w:line="280" w:lineRule="exact"/>
        <w:jc w:val="both"/>
        <w:rPr>
          <w:rFonts w:ascii="Arial" w:hAnsi="Arial"/>
          <w:color w:val="auto"/>
          <w:sz w:val="20"/>
        </w:rPr>
      </w:pPr>
    </w:p>
    <w:tbl>
      <w:tblPr>
        <w:tblW w:w="9360" w:type="dxa"/>
        <w:tblLook w:val="01E0" w:firstRow="1" w:lastRow="1" w:firstColumn="1" w:lastColumn="1" w:noHBand="0" w:noVBand="0"/>
      </w:tblPr>
      <w:tblGrid>
        <w:gridCol w:w="3549"/>
        <w:gridCol w:w="2058"/>
        <w:gridCol w:w="2121"/>
        <w:gridCol w:w="1632"/>
      </w:tblGrid>
      <w:tr w:rsidR="00FC6420" w:rsidRPr="00E70587" w14:paraId="246B99B2" w14:textId="77777777" w:rsidTr="00FC6420">
        <w:tc>
          <w:tcPr>
            <w:tcW w:w="3549" w:type="dxa"/>
            <w:shd w:val="clear" w:color="auto" w:fill="auto"/>
          </w:tcPr>
          <w:p w14:paraId="56C8E507" w14:textId="77777777" w:rsidR="00FC6420" w:rsidRPr="00E70587" w:rsidRDefault="00FC6420" w:rsidP="00944426">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Net book value</w:t>
            </w:r>
          </w:p>
        </w:tc>
        <w:tc>
          <w:tcPr>
            <w:tcW w:w="2058" w:type="dxa"/>
          </w:tcPr>
          <w:p w14:paraId="7709FEAD" w14:textId="77777777" w:rsidR="00FC6420" w:rsidRPr="00E70587" w:rsidRDefault="00FC6420" w:rsidP="00944426">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2121" w:type="dxa"/>
            <w:shd w:val="clear" w:color="auto" w:fill="auto"/>
          </w:tcPr>
          <w:p w14:paraId="74072C82" w14:textId="6AA7F0D3" w:rsidR="00FC6420" w:rsidRPr="00E70587" w:rsidRDefault="00FC6420" w:rsidP="00944426">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31 March 20</w:t>
            </w:r>
            <w:r>
              <w:rPr>
                <w:rFonts w:ascii="Arial" w:hAnsi="Arial" w:cs="Arial"/>
                <w:b/>
                <w:sz w:val="20"/>
                <w:lang w:val="en-IN"/>
              </w:rPr>
              <w:t>21</w:t>
            </w:r>
          </w:p>
        </w:tc>
        <w:tc>
          <w:tcPr>
            <w:tcW w:w="1632" w:type="dxa"/>
          </w:tcPr>
          <w:p w14:paraId="524377CD" w14:textId="47CEBAA0" w:rsidR="00FC6420" w:rsidRPr="00E70587" w:rsidRDefault="00FC6420" w:rsidP="00944426">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31 March 20</w:t>
            </w:r>
            <w:r>
              <w:rPr>
                <w:rFonts w:ascii="Arial" w:hAnsi="Arial" w:cs="Arial"/>
                <w:b/>
                <w:sz w:val="20"/>
                <w:lang w:val="en-IN"/>
              </w:rPr>
              <w:t>20</w:t>
            </w:r>
          </w:p>
        </w:tc>
      </w:tr>
      <w:tr w:rsidR="00FC6420" w:rsidRPr="00E70587" w14:paraId="3AC12E3A" w14:textId="77777777" w:rsidTr="00FC6420">
        <w:tc>
          <w:tcPr>
            <w:tcW w:w="3549" w:type="dxa"/>
            <w:shd w:val="clear" w:color="auto" w:fill="auto"/>
          </w:tcPr>
          <w:p w14:paraId="4EF411C3" w14:textId="77777777" w:rsidR="00FC6420" w:rsidRPr="00E70587" w:rsidRDefault="00FC6420" w:rsidP="00944426">
            <w:pPr>
              <w:pStyle w:val="tabletext"/>
              <w:overflowPunct w:val="0"/>
              <w:autoSpaceDE w:val="0"/>
              <w:autoSpaceDN w:val="0"/>
              <w:adjustRightInd w:val="0"/>
              <w:spacing w:line="280" w:lineRule="exact"/>
              <w:textAlignment w:val="baseline"/>
              <w:rPr>
                <w:rFonts w:ascii="Arial" w:hAnsi="Arial" w:cs="Arial"/>
                <w:b/>
                <w:sz w:val="20"/>
                <w:lang w:val="en-IN"/>
              </w:rPr>
            </w:pPr>
          </w:p>
        </w:tc>
        <w:tc>
          <w:tcPr>
            <w:tcW w:w="2058" w:type="dxa"/>
          </w:tcPr>
          <w:p w14:paraId="172FBD60" w14:textId="77777777" w:rsidR="00FC6420" w:rsidRPr="00E70587" w:rsidRDefault="00FC6420" w:rsidP="00944426">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2121" w:type="dxa"/>
            <w:shd w:val="clear" w:color="auto" w:fill="auto"/>
          </w:tcPr>
          <w:p w14:paraId="045A51DA" w14:textId="60DA5C26" w:rsidR="00FC6420" w:rsidRPr="00E70587" w:rsidRDefault="00FC6420" w:rsidP="00944426">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 xml:space="preserve">INR </w:t>
            </w:r>
            <w:r w:rsidR="007C74AF">
              <w:rPr>
                <w:rFonts w:ascii="Arial" w:hAnsi="Arial" w:cs="Arial"/>
                <w:b/>
                <w:sz w:val="20"/>
                <w:lang w:val="en-IN"/>
              </w:rPr>
              <w:t>Lacs</w:t>
            </w:r>
          </w:p>
        </w:tc>
        <w:tc>
          <w:tcPr>
            <w:tcW w:w="1632" w:type="dxa"/>
          </w:tcPr>
          <w:p w14:paraId="1802D87D" w14:textId="340DF758" w:rsidR="00FC6420" w:rsidRPr="00E70587" w:rsidRDefault="00FC6420" w:rsidP="00944426">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 xml:space="preserve">INR </w:t>
            </w:r>
            <w:r w:rsidR="007C74AF">
              <w:rPr>
                <w:rFonts w:ascii="Arial" w:hAnsi="Arial" w:cs="Arial"/>
                <w:b/>
                <w:sz w:val="20"/>
                <w:lang w:val="en-IN"/>
              </w:rPr>
              <w:t>Lacs</w:t>
            </w:r>
          </w:p>
        </w:tc>
      </w:tr>
      <w:tr w:rsidR="00FC6420" w:rsidRPr="00E70587" w14:paraId="347D785E" w14:textId="77777777" w:rsidTr="00FC6420">
        <w:tc>
          <w:tcPr>
            <w:tcW w:w="3549" w:type="dxa"/>
            <w:shd w:val="clear" w:color="auto" w:fill="auto"/>
          </w:tcPr>
          <w:p w14:paraId="201728A3" w14:textId="77777777" w:rsidR="00FC6420" w:rsidRPr="00E70587" w:rsidRDefault="00FC6420" w:rsidP="00944426">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sz w:val="20"/>
                <w:lang w:val="en-IN"/>
              </w:rPr>
              <w:t>Plant Property and Equipment</w:t>
            </w:r>
          </w:p>
        </w:tc>
        <w:tc>
          <w:tcPr>
            <w:tcW w:w="2058" w:type="dxa"/>
          </w:tcPr>
          <w:p w14:paraId="6EC3D6AB" w14:textId="77777777" w:rsidR="00FC6420" w:rsidRPr="00E70587" w:rsidRDefault="00FC6420" w:rsidP="00944426">
            <w:pPr>
              <w:pStyle w:val="tabletext"/>
              <w:overflowPunct w:val="0"/>
              <w:autoSpaceDE w:val="0"/>
              <w:autoSpaceDN w:val="0"/>
              <w:adjustRightInd w:val="0"/>
              <w:spacing w:line="280" w:lineRule="exact"/>
              <w:jc w:val="right"/>
              <w:textAlignment w:val="baseline"/>
              <w:rPr>
                <w:rFonts w:ascii="Arial" w:hAnsi="Arial" w:cs="Arial"/>
                <w:sz w:val="20"/>
                <w:lang w:val="en-IN" w:eastAsia="en-GB"/>
              </w:rPr>
            </w:pPr>
          </w:p>
        </w:tc>
        <w:tc>
          <w:tcPr>
            <w:tcW w:w="2121" w:type="dxa"/>
            <w:shd w:val="clear" w:color="auto" w:fill="auto"/>
          </w:tcPr>
          <w:p w14:paraId="337EA638" w14:textId="1D80BC48" w:rsidR="00FC6420" w:rsidRPr="00E70587" w:rsidRDefault="00FC6420" w:rsidP="00944426">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sz w:val="20"/>
                <w:lang w:val="en-IN" w:eastAsia="en-GB"/>
              </w:rPr>
              <w:t>51,262</w:t>
            </w:r>
          </w:p>
        </w:tc>
        <w:tc>
          <w:tcPr>
            <w:tcW w:w="1632" w:type="dxa"/>
          </w:tcPr>
          <w:p w14:paraId="1CBB843E" w14:textId="77777777" w:rsidR="00FC6420" w:rsidRPr="00E70587" w:rsidRDefault="00FC6420" w:rsidP="00944426">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sz w:val="20"/>
                <w:lang w:val="en-IN" w:eastAsia="en-GB"/>
              </w:rPr>
              <w:t>43,792</w:t>
            </w:r>
          </w:p>
        </w:tc>
      </w:tr>
      <w:tr w:rsidR="00FC6420" w:rsidRPr="00E70587" w14:paraId="1F97947D" w14:textId="77777777" w:rsidTr="00FC6420">
        <w:tc>
          <w:tcPr>
            <w:tcW w:w="3549" w:type="dxa"/>
            <w:shd w:val="clear" w:color="auto" w:fill="auto"/>
          </w:tcPr>
          <w:p w14:paraId="4C7F7B06" w14:textId="77777777" w:rsidR="00FC6420" w:rsidRPr="00E70587" w:rsidRDefault="00FC6420" w:rsidP="00944426">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Capital work in progress</w:t>
            </w:r>
          </w:p>
        </w:tc>
        <w:tc>
          <w:tcPr>
            <w:tcW w:w="2058" w:type="dxa"/>
          </w:tcPr>
          <w:p w14:paraId="6724700B" w14:textId="77777777" w:rsidR="00FC6420" w:rsidRPr="00E70587" w:rsidRDefault="00FC6420" w:rsidP="00944426">
            <w:pPr>
              <w:overflowPunct/>
              <w:spacing w:line="280" w:lineRule="exact"/>
              <w:jc w:val="right"/>
              <w:textAlignment w:val="auto"/>
              <w:rPr>
                <w:rFonts w:ascii="Arial" w:hAnsi="Arial" w:cs="Arial"/>
                <w:sz w:val="20"/>
                <w:lang w:eastAsia="en-GB"/>
              </w:rPr>
            </w:pPr>
          </w:p>
        </w:tc>
        <w:tc>
          <w:tcPr>
            <w:tcW w:w="2121" w:type="dxa"/>
            <w:shd w:val="clear" w:color="auto" w:fill="auto"/>
          </w:tcPr>
          <w:p w14:paraId="519F7CF4" w14:textId="6A0F4705" w:rsidR="00FC6420" w:rsidRPr="00E70587" w:rsidRDefault="00FC6420"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8,100</w:t>
            </w:r>
          </w:p>
        </w:tc>
        <w:tc>
          <w:tcPr>
            <w:tcW w:w="1632" w:type="dxa"/>
          </w:tcPr>
          <w:p w14:paraId="6E898C6E" w14:textId="77777777" w:rsidR="00FC6420" w:rsidRPr="00E70587" w:rsidRDefault="00FC6420" w:rsidP="0094442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r>
    </w:tbl>
    <w:p w14:paraId="15284F49" w14:textId="77777777" w:rsidR="00944426" w:rsidRPr="00E70587" w:rsidRDefault="00944426" w:rsidP="009901E1">
      <w:pPr>
        <w:pStyle w:val="Notesbodytext"/>
        <w:spacing w:after="0" w:line="280" w:lineRule="exact"/>
        <w:jc w:val="both"/>
        <w:rPr>
          <w:rFonts w:ascii="Arial" w:hAnsi="Arial"/>
          <w:color w:val="auto"/>
          <w:sz w:val="20"/>
        </w:rPr>
      </w:pPr>
    </w:p>
    <w:tbl>
      <w:tblPr>
        <w:tblW w:w="9576" w:type="dxa"/>
        <w:tblLook w:val="0000" w:firstRow="0" w:lastRow="0" w:firstColumn="0" w:lastColumn="0" w:noHBand="0" w:noVBand="0"/>
      </w:tblPr>
      <w:tblGrid>
        <w:gridCol w:w="9576"/>
      </w:tblGrid>
      <w:tr w:rsidR="00944426" w:rsidRPr="00E70587" w14:paraId="6AA848C0" w14:textId="77777777" w:rsidTr="00944426">
        <w:tc>
          <w:tcPr>
            <w:tcW w:w="0" w:type="auto"/>
          </w:tcPr>
          <w:p w14:paraId="46766F1F" w14:textId="77777777" w:rsidR="00944426" w:rsidRPr="00E70587" w:rsidRDefault="00944426" w:rsidP="00944426">
            <w:pPr>
              <w:pStyle w:val="IAStext"/>
              <w:spacing w:line="280" w:lineRule="exact"/>
              <w:jc w:val="both"/>
              <w:rPr>
                <w:rFonts w:ascii="Arial" w:hAnsi="Arial" w:cs="Arial"/>
                <w:i w:val="0"/>
                <w:sz w:val="20"/>
                <w:lang w:val="en-IN"/>
              </w:rPr>
            </w:pPr>
            <w:r w:rsidRPr="00E70587">
              <w:rPr>
                <w:rFonts w:ascii="Arial" w:hAnsi="Arial" w:cs="Arial"/>
                <w:i w:val="0"/>
                <w:sz w:val="20"/>
                <w:lang w:val="en-IN"/>
              </w:rPr>
              <w:t>* This transfer relates to the accumulated depreciation as at the revaluation date that was eliminated against the gross carrying amount of the revalued asset.</w:t>
            </w:r>
          </w:p>
          <w:p w14:paraId="4891DCAA" w14:textId="77777777" w:rsidR="00944426" w:rsidRPr="00E70587" w:rsidRDefault="00944426" w:rsidP="00944426">
            <w:pPr>
              <w:pStyle w:val="IAStext"/>
              <w:spacing w:line="280" w:lineRule="exact"/>
              <w:jc w:val="both"/>
              <w:rPr>
                <w:rFonts w:ascii="Arial" w:hAnsi="Arial" w:cs="Arial"/>
                <w:i w:val="0"/>
                <w:sz w:val="20"/>
                <w:lang w:val="en-IN"/>
              </w:rPr>
            </w:pPr>
          </w:p>
          <w:p w14:paraId="1ECB4EE2" w14:textId="77777777" w:rsidR="00944426" w:rsidRPr="00E70587" w:rsidRDefault="00944426" w:rsidP="00944426">
            <w:pPr>
              <w:pStyle w:val="IAStext"/>
              <w:spacing w:line="280" w:lineRule="exact"/>
              <w:jc w:val="both"/>
              <w:rPr>
                <w:rFonts w:ascii="Arial" w:hAnsi="Arial" w:cs="Arial"/>
                <w:i w:val="0"/>
                <w:sz w:val="20"/>
                <w:lang w:val="en-IN"/>
              </w:rPr>
            </w:pPr>
            <w:r w:rsidRPr="00E70587">
              <w:rPr>
                <w:rFonts w:ascii="Arial" w:hAnsi="Arial" w:cs="Arial"/>
                <w:i w:val="0"/>
                <w:sz w:val="20"/>
                <w:lang w:val="en-IN"/>
              </w:rPr>
              <w:t xml:space="preserve">** Depreciation for the year excludes an impairment loss of INR 198 related to discontinued operations (see Note </w:t>
            </w:r>
            <w:r w:rsidR="0067122D" w:rsidRPr="00E70587">
              <w:rPr>
                <w:rFonts w:ascii="Arial" w:hAnsi="Arial" w:cs="Arial"/>
                <w:i w:val="0"/>
                <w:sz w:val="20"/>
                <w:lang w:val="en-IN"/>
              </w:rPr>
              <w:t>21</w:t>
            </w:r>
            <w:r w:rsidRPr="00E70587">
              <w:rPr>
                <w:rFonts w:ascii="Arial" w:hAnsi="Arial" w:cs="Arial"/>
                <w:i w:val="0"/>
                <w:sz w:val="20"/>
                <w:lang w:val="en-IN"/>
              </w:rPr>
              <w:t>).</w:t>
            </w:r>
          </w:p>
          <w:p w14:paraId="789E07DE" w14:textId="77777777" w:rsidR="00944426" w:rsidRPr="00E70587" w:rsidRDefault="00944426" w:rsidP="00944426">
            <w:pPr>
              <w:pStyle w:val="IAStext"/>
              <w:spacing w:line="280" w:lineRule="exact"/>
              <w:jc w:val="both"/>
              <w:rPr>
                <w:rFonts w:ascii="Arial" w:hAnsi="Arial" w:cs="Arial"/>
                <w:i w:val="0"/>
                <w:sz w:val="20"/>
                <w:lang w:val="en-IN"/>
              </w:rPr>
            </w:pPr>
          </w:p>
          <w:p w14:paraId="61A0D2B2" w14:textId="0FB9B904" w:rsidR="00944426" w:rsidRPr="00E70587" w:rsidRDefault="00944426" w:rsidP="00944426">
            <w:pPr>
              <w:pStyle w:val="IAStext"/>
              <w:spacing w:line="280" w:lineRule="exact"/>
              <w:jc w:val="both"/>
              <w:rPr>
                <w:rFonts w:ascii="Arial" w:hAnsi="Arial" w:cs="Arial"/>
                <w:i w:val="0"/>
                <w:sz w:val="20"/>
                <w:lang w:val="en-IN"/>
              </w:rPr>
            </w:pPr>
            <w:r w:rsidRPr="00E70587">
              <w:rPr>
                <w:rFonts w:ascii="Arial" w:hAnsi="Arial" w:cs="Arial"/>
                <w:i w:val="0"/>
                <w:sz w:val="20"/>
                <w:lang w:val="en-IN"/>
              </w:rPr>
              <w:t xml:space="preserve">In year ending on 31 </w:t>
            </w:r>
            <w:r w:rsidR="008B730E" w:rsidRPr="00E70587">
              <w:rPr>
                <w:rFonts w:ascii="Arial" w:hAnsi="Arial" w:cs="Arial"/>
                <w:i w:val="0"/>
                <w:sz w:val="20"/>
                <w:lang w:val="en-IN"/>
              </w:rPr>
              <w:t xml:space="preserve">March </w:t>
            </w:r>
            <w:r w:rsidR="00452DC1" w:rsidRPr="00E70587">
              <w:rPr>
                <w:rFonts w:ascii="Arial" w:hAnsi="Arial" w:cs="Arial"/>
                <w:i w:val="0"/>
                <w:sz w:val="20"/>
                <w:lang w:val="en-IN"/>
              </w:rPr>
              <w:t>20</w:t>
            </w:r>
            <w:r w:rsidR="00452DC1">
              <w:rPr>
                <w:rFonts w:ascii="Arial" w:hAnsi="Arial" w:cs="Arial"/>
                <w:i w:val="0"/>
                <w:sz w:val="20"/>
                <w:lang w:val="en-IN"/>
              </w:rPr>
              <w:t>20</w:t>
            </w:r>
            <w:r w:rsidRPr="00E70587">
              <w:rPr>
                <w:rFonts w:ascii="Arial" w:hAnsi="Arial" w:cs="Arial"/>
                <w:i w:val="0"/>
                <w:sz w:val="20"/>
                <w:lang w:val="en-IN"/>
              </w:rPr>
              <w:t>, the impairment loss of INR 54</w:t>
            </w:r>
            <w:r w:rsidR="00F85B80" w:rsidRPr="00E70587">
              <w:rPr>
                <w:rFonts w:ascii="Arial" w:hAnsi="Arial" w:cs="Arial"/>
                <w:i w:val="0"/>
                <w:sz w:val="20"/>
                <w:lang w:val="en-IN"/>
              </w:rPr>
              <w:t>2</w:t>
            </w:r>
            <w:r w:rsidRPr="00E70587">
              <w:rPr>
                <w:rFonts w:ascii="Arial" w:hAnsi="Arial" w:cs="Arial"/>
                <w:i w:val="0"/>
                <w:sz w:val="20"/>
                <w:lang w:val="en-IN"/>
              </w:rPr>
              <w:t xml:space="preserve"> represented the write-down</w:t>
            </w:r>
            <w:r w:rsidR="00096420">
              <w:rPr>
                <w:rFonts w:ascii="Arial" w:hAnsi="Arial" w:cs="Arial"/>
                <w:i w:val="0"/>
                <w:sz w:val="20"/>
                <w:lang w:val="en-IN"/>
              </w:rPr>
              <w:t xml:space="preserve"> </w:t>
            </w:r>
            <w:r w:rsidRPr="00E70587">
              <w:rPr>
                <w:rFonts w:ascii="Arial" w:hAnsi="Arial" w:cs="Arial"/>
                <w:i w:val="0"/>
                <w:sz w:val="20"/>
                <w:lang w:val="en-IN"/>
              </w:rPr>
              <w:t>of certain property, plant and equipment in the fire prevention segment to the recoverable amount as a result of technological obsolescence. This was recognised in the statement of profit and loss. The recoverable amount of INR 10</w:t>
            </w:r>
            <w:r w:rsidR="00F85B80" w:rsidRPr="00E70587">
              <w:rPr>
                <w:rFonts w:ascii="Arial" w:hAnsi="Arial" w:cs="Arial"/>
                <w:i w:val="0"/>
                <w:sz w:val="20"/>
                <w:lang w:val="en-IN"/>
              </w:rPr>
              <w:t>,</w:t>
            </w:r>
            <w:r w:rsidRPr="00E70587">
              <w:rPr>
                <w:rFonts w:ascii="Arial" w:hAnsi="Arial" w:cs="Arial"/>
                <w:i w:val="0"/>
                <w:sz w:val="20"/>
                <w:lang w:val="en-IN"/>
              </w:rPr>
              <w:t xml:space="preserve">222 as at 31 </w:t>
            </w:r>
            <w:r w:rsidR="008B730E" w:rsidRPr="00E70587">
              <w:rPr>
                <w:rFonts w:ascii="Arial" w:hAnsi="Arial" w:cs="Arial"/>
                <w:i w:val="0"/>
                <w:sz w:val="20"/>
                <w:lang w:val="en-IN"/>
              </w:rPr>
              <w:t xml:space="preserve">March </w:t>
            </w:r>
            <w:r w:rsidR="00452DC1" w:rsidRPr="00E70587">
              <w:rPr>
                <w:rFonts w:ascii="Arial" w:hAnsi="Arial" w:cs="Arial"/>
                <w:i w:val="0"/>
                <w:sz w:val="20"/>
                <w:lang w:val="en-IN"/>
              </w:rPr>
              <w:t>20</w:t>
            </w:r>
            <w:r w:rsidR="00452DC1">
              <w:rPr>
                <w:rFonts w:ascii="Arial" w:hAnsi="Arial" w:cs="Arial"/>
                <w:i w:val="0"/>
                <w:sz w:val="20"/>
                <w:lang w:val="en-IN"/>
              </w:rPr>
              <w:t>20</w:t>
            </w:r>
            <w:r w:rsidR="00452DC1" w:rsidRPr="00E70587">
              <w:rPr>
                <w:rFonts w:ascii="Arial" w:hAnsi="Arial" w:cs="Arial"/>
                <w:i w:val="0"/>
                <w:sz w:val="20"/>
                <w:lang w:val="en-IN"/>
              </w:rPr>
              <w:t xml:space="preserve"> </w:t>
            </w:r>
            <w:r w:rsidRPr="00E70587">
              <w:rPr>
                <w:rFonts w:ascii="Arial" w:hAnsi="Arial" w:cs="Arial"/>
                <w:i w:val="0"/>
                <w:sz w:val="20"/>
                <w:lang w:val="en-IN"/>
              </w:rPr>
              <w:t>was based on value in use and was determined at the level of the CGU. The CGU consisted of the India-based assets of Sprinklers Limited, a subsidiary. In determining value in use for the CGU, the cash flows were discounted at a rate of 12.4% on a pre-tax basis.</w:t>
            </w:r>
          </w:p>
          <w:p w14:paraId="71BFEB06" w14:textId="77777777" w:rsidR="00944426" w:rsidRPr="00E70587" w:rsidRDefault="00944426" w:rsidP="00944426">
            <w:pPr>
              <w:pStyle w:val="IAStext"/>
              <w:spacing w:line="280" w:lineRule="exact"/>
              <w:jc w:val="both"/>
              <w:rPr>
                <w:rFonts w:ascii="Arial" w:hAnsi="Arial" w:cs="Arial"/>
                <w:i w:val="0"/>
                <w:sz w:val="20"/>
                <w:lang w:val="en-IN"/>
              </w:rPr>
            </w:pPr>
          </w:p>
        </w:tc>
      </w:tr>
      <w:tr w:rsidR="00944426" w:rsidRPr="00E70587" w14:paraId="15A4CCD2" w14:textId="77777777" w:rsidTr="00944426">
        <w:tc>
          <w:tcPr>
            <w:tcW w:w="0" w:type="auto"/>
          </w:tcPr>
          <w:p w14:paraId="54FBEC74" w14:textId="77777777" w:rsidR="00944426" w:rsidRPr="00E70587" w:rsidRDefault="00944426" w:rsidP="00944426">
            <w:pPr>
              <w:pStyle w:val="IAStext"/>
              <w:spacing w:line="280" w:lineRule="exact"/>
              <w:jc w:val="both"/>
              <w:rPr>
                <w:rFonts w:ascii="Arial" w:hAnsi="Arial" w:cs="Arial"/>
                <w:b/>
                <w:i w:val="0"/>
                <w:sz w:val="20"/>
                <w:lang w:val="en-IN"/>
              </w:rPr>
            </w:pPr>
            <w:r w:rsidRPr="00E70587">
              <w:rPr>
                <w:rFonts w:ascii="Arial" w:hAnsi="Arial" w:cs="Arial"/>
                <w:b/>
                <w:i w:val="0"/>
                <w:sz w:val="20"/>
                <w:lang w:val="en-IN"/>
              </w:rPr>
              <w:t>Capitalised borrowing costs</w:t>
            </w:r>
          </w:p>
          <w:p w14:paraId="5FAAFDE6" w14:textId="77777777" w:rsidR="00944426" w:rsidRPr="00E70587" w:rsidRDefault="00944426" w:rsidP="00944426">
            <w:pPr>
              <w:pStyle w:val="Notesbodytext"/>
              <w:spacing w:after="0" w:line="280" w:lineRule="exact"/>
              <w:jc w:val="both"/>
              <w:rPr>
                <w:rFonts w:ascii="Arial" w:hAnsi="Arial"/>
                <w:color w:val="auto"/>
                <w:sz w:val="20"/>
              </w:rPr>
            </w:pPr>
          </w:p>
          <w:p w14:paraId="3DDB3FA4" w14:textId="2E1CC03A" w:rsidR="00944426" w:rsidRPr="00E70587" w:rsidRDefault="00944426" w:rsidP="00944426">
            <w:pPr>
              <w:pStyle w:val="Notesbodytext"/>
              <w:spacing w:after="0" w:line="280" w:lineRule="exact"/>
              <w:jc w:val="both"/>
              <w:rPr>
                <w:rFonts w:ascii="Arial" w:hAnsi="Arial"/>
                <w:color w:val="auto"/>
                <w:sz w:val="20"/>
              </w:rPr>
            </w:pPr>
            <w:r w:rsidRPr="00E70587">
              <w:rPr>
                <w:rFonts w:ascii="Arial" w:hAnsi="Arial"/>
                <w:color w:val="auto"/>
                <w:sz w:val="20"/>
              </w:rPr>
              <w:t xml:space="preserve">The Group started the construction of a new fire safety facility in May </w:t>
            </w:r>
            <w:r w:rsidR="00FD4F6D" w:rsidRPr="00E70587">
              <w:rPr>
                <w:rFonts w:ascii="Arial" w:hAnsi="Arial"/>
                <w:color w:val="auto"/>
                <w:sz w:val="20"/>
              </w:rPr>
              <w:t>20</w:t>
            </w:r>
            <w:r w:rsidR="00FD4F6D">
              <w:rPr>
                <w:rFonts w:ascii="Arial" w:hAnsi="Arial"/>
                <w:color w:val="auto"/>
                <w:sz w:val="20"/>
              </w:rPr>
              <w:t>20</w:t>
            </w:r>
            <w:r w:rsidRPr="00E70587">
              <w:rPr>
                <w:rFonts w:ascii="Arial" w:hAnsi="Arial"/>
                <w:color w:val="auto"/>
                <w:sz w:val="20"/>
              </w:rPr>
              <w:t xml:space="preserve">. This project is expected to be completed in May </w:t>
            </w:r>
            <w:r w:rsidR="00FD4F6D" w:rsidRPr="00E70587">
              <w:rPr>
                <w:rFonts w:ascii="Arial" w:hAnsi="Arial"/>
                <w:color w:val="auto"/>
                <w:sz w:val="20"/>
              </w:rPr>
              <w:t>20</w:t>
            </w:r>
            <w:r w:rsidR="00FD4F6D">
              <w:rPr>
                <w:rFonts w:ascii="Arial" w:hAnsi="Arial"/>
                <w:color w:val="auto"/>
                <w:sz w:val="20"/>
              </w:rPr>
              <w:t>21</w:t>
            </w:r>
            <w:r w:rsidRPr="00E70587">
              <w:rPr>
                <w:rFonts w:ascii="Arial" w:hAnsi="Arial"/>
                <w:color w:val="auto"/>
                <w:sz w:val="20"/>
              </w:rPr>
              <w:t xml:space="preserve">. The carrying amount of the fire safety facility at 31 </w:t>
            </w:r>
            <w:r w:rsidR="00E1202D" w:rsidRPr="00E70587">
              <w:rPr>
                <w:rFonts w:ascii="Arial" w:hAnsi="Arial"/>
                <w:color w:val="auto"/>
                <w:sz w:val="20"/>
              </w:rPr>
              <w:t xml:space="preserve">March </w:t>
            </w:r>
            <w:r w:rsidR="00FD4F6D" w:rsidRPr="00E70587">
              <w:rPr>
                <w:rFonts w:ascii="Arial" w:hAnsi="Arial"/>
                <w:color w:val="auto"/>
                <w:sz w:val="20"/>
              </w:rPr>
              <w:t>20</w:t>
            </w:r>
            <w:r w:rsidR="00FD4F6D">
              <w:rPr>
                <w:rFonts w:ascii="Arial" w:hAnsi="Arial"/>
                <w:color w:val="auto"/>
                <w:sz w:val="20"/>
              </w:rPr>
              <w:t>21</w:t>
            </w:r>
            <w:r w:rsidR="00FD4F6D" w:rsidRPr="00E70587">
              <w:rPr>
                <w:rFonts w:ascii="Arial" w:hAnsi="Arial"/>
                <w:color w:val="auto"/>
                <w:sz w:val="20"/>
              </w:rPr>
              <w:t xml:space="preserve"> </w:t>
            </w:r>
            <w:r w:rsidRPr="00E70587">
              <w:rPr>
                <w:rFonts w:ascii="Arial" w:hAnsi="Arial"/>
                <w:color w:val="auto"/>
                <w:sz w:val="20"/>
              </w:rPr>
              <w:t xml:space="preserve">was INR 65 (31 </w:t>
            </w:r>
            <w:r w:rsidR="008B730E" w:rsidRPr="00E70587">
              <w:rPr>
                <w:rFonts w:ascii="Arial" w:hAnsi="Arial"/>
                <w:color w:val="auto"/>
                <w:sz w:val="20"/>
              </w:rPr>
              <w:t xml:space="preserve">March </w:t>
            </w:r>
            <w:r w:rsidR="00FD4F6D" w:rsidRPr="00E70587">
              <w:rPr>
                <w:rFonts w:ascii="Arial" w:hAnsi="Arial"/>
                <w:color w:val="auto"/>
                <w:sz w:val="20"/>
              </w:rPr>
              <w:t>20</w:t>
            </w:r>
            <w:r w:rsidR="00FD4F6D">
              <w:rPr>
                <w:rFonts w:ascii="Arial" w:hAnsi="Arial"/>
                <w:color w:val="auto"/>
                <w:sz w:val="20"/>
              </w:rPr>
              <w:t>20</w:t>
            </w:r>
            <w:r w:rsidRPr="00E70587">
              <w:rPr>
                <w:rFonts w:ascii="Arial" w:hAnsi="Arial"/>
                <w:color w:val="auto"/>
                <w:sz w:val="20"/>
              </w:rPr>
              <w:t>: Nil). The fire safety facility is financed by a third party in a common arrangement.</w:t>
            </w:r>
          </w:p>
          <w:p w14:paraId="1F253D50" w14:textId="77777777" w:rsidR="00944426" w:rsidRPr="00E70587" w:rsidRDefault="00944426" w:rsidP="00944426">
            <w:pPr>
              <w:pStyle w:val="IAStext"/>
              <w:spacing w:line="280" w:lineRule="exact"/>
              <w:jc w:val="both"/>
              <w:rPr>
                <w:rFonts w:ascii="Arial" w:hAnsi="Arial" w:cs="Arial"/>
                <w:i w:val="0"/>
                <w:sz w:val="20"/>
                <w:lang w:val="en-IN"/>
              </w:rPr>
            </w:pPr>
          </w:p>
          <w:p w14:paraId="72ADEB85" w14:textId="388687CB" w:rsidR="00944426" w:rsidRPr="00E70587" w:rsidRDefault="00944426" w:rsidP="00944426">
            <w:pPr>
              <w:pStyle w:val="IAStext"/>
              <w:spacing w:line="280" w:lineRule="exact"/>
              <w:jc w:val="both"/>
              <w:rPr>
                <w:rFonts w:ascii="Arial" w:hAnsi="Arial" w:cs="Arial"/>
                <w:i w:val="0"/>
                <w:sz w:val="20"/>
                <w:lang w:val="en-IN"/>
              </w:rPr>
            </w:pPr>
            <w:r w:rsidRPr="00E70587">
              <w:rPr>
                <w:rFonts w:ascii="Arial" w:hAnsi="Arial" w:cs="Arial"/>
                <w:i w:val="0"/>
                <w:sz w:val="20"/>
                <w:lang w:val="en-IN"/>
              </w:rPr>
              <w:t xml:space="preserve">The amount of borrowing costs capitalised during the year ended 31 </w:t>
            </w:r>
            <w:r w:rsidR="00E1202D" w:rsidRPr="00E70587">
              <w:rPr>
                <w:rFonts w:ascii="Arial" w:hAnsi="Arial" w:cs="Arial"/>
                <w:i w:val="0"/>
                <w:sz w:val="20"/>
                <w:lang w:val="en-IN"/>
              </w:rPr>
              <w:t xml:space="preserve">March </w:t>
            </w:r>
            <w:r w:rsidR="00E911E1" w:rsidRPr="00E70587">
              <w:rPr>
                <w:rFonts w:ascii="Arial" w:hAnsi="Arial" w:cs="Arial"/>
                <w:i w:val="0"/>
                <w:sz w:val="20"/>
                <w:lang w:val="en-IN"/>
              </w:rPr>
              <w:t>20</w:t>
            </w:r>
            <w:r w:rsidR="00E911E1">
              <w:rPr>
                <w:rFonts w:ascii="Arial" w:hAnsi="Arial" w:cs="Arial"/>
                <w:i w:val="0"/>
                <w:sz w:val="20"/>
                <w:lang w:val="en-IN"/>
              </w:rPr>
              <w:t>21</w:t>
            </w:r>
            <w:r w:rsidR="00E911E1" w:rsidRPr="00E70587">
              <w:rPr>
                <w:rFonts w:ascii="Arial" w:hAnsi="Arial" w:cs="Arial"/>
                <w:i w:val="0"/>
                <w:sz w:val="20"/>
                <w:lang w:val="en-IN"/>
              </w:rPr>
              <w:t xml:space="preserve"> </w:t>
            </w:r>
            <w:r w:rsidRPr="00E70587">
              <w:rPr>
                <w:rFonts w:ascii="Arial" w:hAnsi="Arial" w:cs="Arial"/>
                <w:i w:val="0"/>
                <w:sz w:val="20"/>
                <w:lang w:val="en-IN"/>
              </w:rPr>
              <w:t xml:space="preserve">was INR 545 (31 </w:t>
            </w:r>
            <w:r w:rsidR="008B730E" w:rsidRPr="00E70587">
              <w:rPr>
                <w:rFonts w:ascii="Arial" w:hAnsi="Arial" w:cs="Arial"/>
                <w:i w:val="0"/>
                <w:sz w:val="20"/>
                <w:lang w:val="en-IN"/>
              </w:rPr>
              <w:t xml:space="preserve">March </w:t>
            </w:r>
            <w:r w:rsidR="00E911E1" w:rsidRPr="00E70587">
              <w:rPr>
                <w:rFonts w:ascii="Arial" w:hAnsi="Arial" w:cs="Arial"/>
                <w:i w:val="0"/>
                <w:sz w:val="20"/>
                <w:lang w:val="en-IN"/>
              </w:rPr>
              <w:t>20</w:t>
            </w:r>
            <w:r w:rsidR="00E911E1">
              <w:rPr>
                <w:rFonts w:ascii="Arial" w:hAnsi="Arial" w:cs="Arial"/>
                <w:i w:val="0"/>
                <w:sz w:val="20"/>
                <w:lang w:val="en-IN"/>
              </w:rPr>
              <w:t>20</w:t>
            </w:r>
            <w:r w:rsidRPr="00E70587">
              <w:rPr>
                <w:rFonts w:ascii="Arial" w:hAnsi="Arial" w:cs="Arial"/>
                <w:i w:val="0"/>
                <w:sz w:val="20"/>
                <w:lang w:val="en-IN"/>
              </w:rPr>
              <w:t>: Nil). The rate used to determine the amount of borrowing costs eligible for capitalisation was 11%, which is the effective interest rate of the specific borrowing.</w:t>
            </w:r>
          </w:p>
          <w:p w14:paraId="153135C5" w14:textId="77777777" w:rsidR="00944426" w:rsidRPr="00E70587" w:rsidRDefault="00944426" w:rsidP="00944426">
            <w:pPr>
              <w:rPr>
                <w:rFonts w:ascii="Arial" w:hAnsi="Arial"/>
              </w:rPr>
            </w:pPr>
          </w:p>
          <w:p w14:paraId="1BE88223" w14:textId="77777777" w:rsidR="00944426" w:rsidRPr="00E70587" w:rsidRDefault="00944426" w:rsidP="00944426">
            <w:pPr>
              <w:pStyle w:val="IAStext"/>
              <w:spacing w:line="280" w:lineRule="exact"/>
              <w:jc w:val="both"/>
              <w:rPr>
                <w:rFonts w:ascii="Arial" w:hAnsi="Arial" w:cs="Arial"/>
                <w:i w:val="0"/>
                <w:sz w:val="20"/>
                <w:lang w:val="en-IN"/>
              </w:rPr>
            </w:pPr>
            <w:r w:rsidRPr="00E70587">
              <w:rPr>
                <w:rFonts w:ascii="Arial" w:hAnsi="Arial" w:cs="Arial"/>
                <w:i w:val="0"/>
                <w:sz w:val="20"/>
                <w:lang w:val="en-IN"/>
              </w:rPr>
              <w:t>No borrowing costs are capitalised on other items of PPE under construction</w:t>
            </w:r>
          </w:p>
          <w:p w14:paraId="41D53BB3" w14:textId="77777777" w:rsidR="00944426" w:rsidRPr="00E70587" w:rsidRDefault="00944426" w:rsidP="00944426">
            <w:pPr>
              <w:pStyle w:val="IAStext"/>
              <w:spacing w:line="280" w:lineRule="exact"/>
              <w:jc w:val="both"/>
              <w:rPr>
                <w:rFonts w:ascii="Arial" w:hAnsi="Arial" w:cs="Arial"/>
                <w:i w:val="0"/>
                <w:sz w:val="20"/>
                <w:lang w:val="en-IN"/>
              </w:rPr>
            </w:pPr>
          </w:p>
          <w:p w14:paraId="2C602AB4" w14:textId="77777777" w:rsidR="00944426" w:rsidRPr="00E70587" w:rsidRDefault="00944426" w:rsidP="00944426">
            <w:pPr>
              <w:spacing w:line="280" w:lineRule="exact"/>
              <w:jc w:val="both"/>
              <w:rPr>
                <w:rFonts w:ascii="Arial" w:hAnsi="Arial" w:cs="Arial"/>
                <w:b/>
                <w:sz w:val="20"/>
              </w:rPr>
            </w:pPr>
            <w:r w:rsidRPr="00E70587">
              <w:rPr>
                <w:rFonts w:ascii="Arial" w:hAnsi="Arial" w:cs="Arial"/>
                <w:b/>
                <w:sz w:val="20"/>
              </w:rPr>
              <w:t>Assets under construction</w:t>
            </w:r>
          </w:p>
          <w:p w14:paraId="00530BB8" w14:textId="77777777" w:rsidR="00944426" w:rsidRPr="00E70587" w:rsidRDefault="00944426" w:rsidP="00944426">
            <w:pPr>
              <w:pStyle w:val="IAStext"/>
              <w:spacing w:line="280" w:lineRule="exact"/>
              <w:jc w:val="both"/>
              <w:rPr>
                <w:rFonts w:ascii="Arial" w:hAnsi="Arial" w:cs="Arial"/>
                <w:i w:val="0"/>
                <w:sz w:val="20"/>
                <w:lang w:val="en-IN"/>
              </w:rPr>
            </w:pPr>
          </w:p>
          <w:p w14:paraId="0CF53A89" w14:textId="3A22EB6D" w:rsidR="00944426" w:rsidRPr="00E70587" w:rsidRDefault="00944426" w:rsidP="00944426">
            <w:pPr>
              <w:pStyle w:val="IAStext"/>
              <w:spacing w:line="280" w:lineRule="exact"/>
              <w:jc w:val="both"/>
              <w:rPr>
                <w:rFonts w:ascii="Arial" w:hAnsi="Arial" w:cs="Arial"/>
                <w:i w:val="0"/>
                <w:sz w:val="20"/>
                <w:lang w:val="en-IN"/>
              </w:rPr>
            </w:pPr>
            <w:r w:rsidRPr="00E70587">
              <w:rPr>
                <w:rFonts w:ascii="Arial" w:hAnsi="Arial" w:cs="Arial"/>
                <w:i w:val="0"/>
                <w:sz w:val="20"/>
                <w:lang w:val="en-IN"/>
              </w:rPr>
              <w:t xml:space="preserve">Besides fire safety facility, capital work in progress as at 31 </w:t>
            </w:r>
            <w:r w:rsidR="00E1202D" w:rsidRPr="00E70587">
              <w:rPr>
                <w:rFonts w:ascii="Arial" w:hAnsi="Arial" w:cs="Arial"/>
                <w:i w:val="0"/>
                <w:sz w:val="20"/>
                <w:lang w:val="en-IN"/>
              </w:rPr>
              <w:t xml:space="preserve">March </w:t>
            </w:r>
            <w:r w:rsidR="00E911E1" w:rsidRPr="00E70587">
              <w:rPr>
                <w:rFonts w:ascii="Arial" w:hAnsi="Arial" w:cs="Arial"/>
                <w:i w:val="0"/>
                <w:sz w:val="20"/>
                <w:lang w:val="en-IN"/>
              </w:rPr>
              <w:t>20</w:t>
            </w:r>
            <w:r w:rsidR="00E911E1">
              <w:rPr>
                <w:rFonts w:ascii="Arial" w:hAnsi="Arial" w:cs="Arial"/>
                <w:i w:val="0"/>
                <w:sz w:val="20"/>
                <w:lang w:val="en-IN"/>
              </w:rPr>
              <w:t>21</w:t>
            </w:r>
            <w:r w:rsidR="00E911E1" w:rsidRPr="00E70587">
              <w:rPr>
                <w:rFonts w:ascii="Arial" w:hAnsi="Arial" w:cs="Arial"/>
                <w:i w:val="0"/>
                <w:sz w:val="20"/>
                <w:lang w:val="en-IN"/>
              </w:rPr>
              <w:t xml:space="preserve"> </w:t>
            </w:r>
            <w:r w:rsidRPr="00E70587">
              <w:rPr>
                <w:rFonts w:ascii="Arial" w:hAnsi="Arial" w:cs="Arial"/>
                <w:i w:val="0"/>
                <w:sz w:val="20"/>
                <w:lang w:val="en-IN"/>
              </w:rPr>
              <w:t>comprises expenditure for the plant in the course of construction. Total amount of CWIP is INR 8</w:t>
            </w:r>
            <w:r w:rsidR="000E7DEE" w:rsidRPr="00E70587">
              <w:rPr>
                <w:rFonts w:ascii="Arial" w:hAnsi="Arial" w:cs="Arial"/>
                <w:i w:val="0"/>
                <w:sz w:val="20"/>
                <w:lang w:val="en-IN"/>
              </w:rPr>
              <w:t>,</w:t>
            </w:r>
            <w:r w:rsidRPr="00E70587">
              <w:rPr>
                <w:rFonts w:ascii="Arial" w:hAnsi="Arial" w:cs="Arial"/>
                <w:i w:val="0"/>
                <w:sz w:val="20"/>
                <w:lang w:val="en-IN"/>
              </w:rPr>
              <w:t xml:space="preserve">100 (31 </w:t>
            </w:r>
            <w:r w:rsidR="008B730E" w:rsidRPr="00E70587">
              <w:rPr>
                <w:rFonts w:ascii="Arial" w:hAnsi="Arial" w:cs="Arial"/>
                <w:i w:val="0"/>
                <w:sz w:val="20"/>
                <w:lang w:val="en-IN"/>
              </w:rPr>
              <w:t xml:space="preserve">March </w:t>
            </w:r>
            <w:r w:rsidR="00E911E1" w:rsidRPr="00E70587">
              <w:rPr>
                <w:rFonts w:ascii="Arial" w:hAnsi="Arial" w:cs="Arial"/>
                <w:i w:val="0"/>
                <w:sz w:val="20"/>
                <w:lang w:val="en-IN"/>
              </w:rPr>
              <w:t>20</w:t>
            </w:r>
            <w:r w:rsidR="00E911E1">
              <w:rPr>
                <w:rFonts w:ascii="Arial" w:hAnsi="Arial" w:cs="Arial"/>
                <w:i w:val="0"/>
                <w:sz w:val="20"/>
                <w:lang w:val="en-IN"/>
              </w:rPr>
              <w:t>20</w:t>
            </w:r>
            <w:r w:rsidRPr="00E70587">
              <w:rPr>
                <w:rFonts w:ascii="Arial" w:hAnsi="Arial" w:cs="Arial"/>
                <w:i w:val="0"/>
                <w:sz w:val="20"/>
                <w:lang w:val="en-IN"/>
              </w:rPr>
              <w:t>: Nil).</w:t>
            </w:r>
          </w:p>
          <w:p w14:paraId="3103EC97" w14:textId="77777777" w:rsidR="00944426" w:rsidRPr="00E70587" w:rsidRDefault="00944426" w:rsidP="00944426">
            <w:pPr>
              <w:pStyle w:val="Notesitalicheading"/>
              <w:spacing w:line="280" w:lineRule="exact"/>
              <w:jc w:val="both"/>
              <w:rPr>
                <w:rFonts w:ascii="Arial" w:hAnsi="Arial"/>
                <w:b w:val="0"/>
                <w:i w:val="0"/>
                <w:color w:val="auto"/>
                <w:sz w:val="20"/>
              </w:rPr>
            </w:pPr>
          </w:p>
          <w:p w14:paraId="7E9824DC" w14:textId="77777777" w:rsidR="00944426" w:rsidRPr="00E70587" w:rsidRDefault="00944426" w:rsidP="00944426">
            <w:pPr>
              <w:pStyle w:val="Notesitalicheading"/>
              <w:spacing w:line="280" w:lineRule="exact"/>
              <w:jc w:val="both"/>
              <w:rPr>
                <w:rFonts w:ascii="Arial" w:hAnsi="Arial"/>
                <w:i w:val="0"/>
                <w:color w:val="auto"/>
                <w:sz w:val="20"/>
              </w:rPr>
            </w:pPr>
            <w:r w:rsidRPr="00E70587">
              <w:rPr>
                <w:rFonts w:ascii="Arial" w:hAnsi="Arial"/>
                <w:i w:val="0"/>
                <w:color w:val="auto"/>
                <w:sz w:val="20"/>
              </w:rPr>
              <w:t>Land and buildings</w:t>
            </w:r>
          </w:p>
          <w:p w14:paraId="2DCAFB1E" w14:textId="77777777" w:rsidR="00944426" w:rsidRPr="00E70587" w:rsidRDefault="00944426" w:rsidP="00944426">
            <w:pPr>
              <w:pStyle w:val="Notesbodytext"/>
              <w:spacing w:after="0" w:line="280" w:lineRule="exact"/>
              <w:jc w:val="both"/>
              <w:rPr>
                <w:rFonts w:ascii="Arial" w:hAnsi="Arial"/>
                <w:color w:val="auto"/>
                <w:sz w:val="20"/>
              </w:rPr>
            </w:pPr>
          </w:p>
          <w:p w14:paraId="5F1076A7" w14:textId="23B5231C" w:rsidR="00944426" w:rsidRPr="00E70587" w:rsidRDefault="00944426" w:rsidP="000E7DEE">
            <w:pPr>
              <w:pStyle w:val="Notesbodytext"/>
              <w:spacing w:after="0" w:line="280" w:lineRule="exact"/>
              <w:jc w:val="both"/>
              <w:rPr>
                <w:rFonts w:ascii="Arial" w:hAnsi="Arial"/>
                <w:i/>
                <w:color w:val="auto"/>
                <w:sz w:val="20"/>
              </w:rPr>
            </w:pPr>
            <w:r w:rsidRPr="00E70587">
              <w:rPr>
                <w:rFonts w:ascii="Arial" w:hAnsi="Arial"/>
                <w:color w:val="auto"/>
                <w:sz w:val="20"/>
              </w:rPr>
              <w:t>Land and buildings with a carrying amount of INR 13</w:t>
            </w:r>
            <w:r w:rsidR="000E7DEE" w:rsidRPr="00E70587">
              <w:rPr>
                <w:rFonts w:ascii="Arial" w:hAnsi="Arial"/>
                <w:color w:val="auto"/>
                <w:sz w:val="20"/>
              </w:rPr>
              <w:t>,</w:t>
            </w:r>
            <w:r w:rsidRPr="00E70587">
              <w:rPr>
                <w:rFonts w:ascii="Arial" w:hAnsi="Arial"/>
                <w:color w:val="auto"/>
                <w:sz w:val="20"/>
              </w:rPr>
              <w:t xml:space="preserve">320 (31 </w:t>
            </w:r>
            <w:r w:rsidR="008B730E" w:rsidRPr="00E70587">
              <w:rPr>
                <w:rFonts w:ascii="Arial" w:hAnsi="Arial"/>
                <w:color w:val="auto"/>
                <w:sz w:val="20"/>
              </w:rPr>
              <w:t xml:space="preserve">March </w:t>
            </w:r>
            <w:r w:rsidR="008F3EB6" w:rsidRPr="00E70587">
              <w:rPr>
                <w:rFonts w:ascii="Arial" w:hAnsi="Arial"/>
                <w:color w:val="auto"/>
                <w:sz w:val="20"/>
              </w:rPr>
              <w:t>20</w:t>
            </w:r>
            <w:r w:rsidR="008F3EB6">
              <w:rPr>
                <w:rFonts w:ascii="Arial" w:hAnsi="Arial"/>
                <w:color w:val="auto"/>
                <w:sz w:val="20"/>
              </w:rPr>
              <w:t>20</w:t>
            </w:r>
            <w:r w:rsidRPr="00E70587">
              <w:rPr>
                <w:rFonts w:ascii="Arial" w:hAnsi="Arial"/>
                <w:color w:val="auto"/>
                <w:sz w:val="20"/>
              </w:rPr>
              <w:t>: INR 90) are subject to a first charge to secure two of the Group’s bank loans.</w:t>
            </w:r>
          </w:p>
        </w:tc>
      </w:tr>
      <w:tr w:rsidR="00944426" w:rsidRPr="00E70587" w14:paraId="656FB67C" w14:textId="77777777" w:rsidTr="00944426">
        <w:tc>
          <w:tcPr>
            <w:tcW w:w="0" w:type="auto"/>
          </w:tcPr>
          <w:p w14:paraId="6E525A32" w14:textId="77777777" w:rsidR="00944426" w:rsidRPr="00E70587" w:rsidRDefault="00944426" w:rsidP="00944426">
            <w:pPr>
              <w:pStyle w:val="Notesitalicheading"/>
              <w:spacing w:line="280" w:lineRule="exact"/>
              <w:jc w:val="both"/>
              <w:rPr>
                <w:rFonts w:ascii="Arial" w:hAnsi="Arial"/>
                <w:b w:val="0"/>
                <w:i w:val="0"/>
                <w:color w:val="auto"/>
                <w:sz w:val="20"/>
              </w:rPr>
            </w:pPr>
          </w:p>
          <w:p w14:paraId="685B1C0F" w14:textId="77777777" w:rsidR="00944426" w:rsidRPr="00E70587" w:rsidRDefault="00944426" w:rsidP="00944426">
            <w:pPr>
              <w:pStyle w:val="Notesitalicheading"/>
              <w:spacing w:line="280" w:lineRule="exact"/>
              <w:jc w:val="both"/>
              <w:rPr>
                <w:rFonts w:ascii="Arial" w:hAnsi="Arial"/>
                <w:i w:val="0"/>
                <w:color w:val="auto"/>
                <w:sz w:val="20"/>
              </w:rPr>
            </w:pPr>
            <w:r w:rsidRPr="00E70587">
              <w:rPr>
                <w:rFonts w:ascii="Arial" w:hAnsi="Arial"/>
                <w:i w:val="0"/>
                <w:color w:val="auto"/>
                <w:sz w:val="20"/>
              </w:rPr>
              <w:t>Plant and equipment contributed by customers</w:t>
            </w:r>
          </w:p>
          <w:p w14:paraId="0A505ADF" w14:textId="77777777" w:rsidR="00944426" w:rsidRPr="00E70587" w:rsidRDefault="00944426" w:rsidP="00944426">
            <w:pPr>
              <w:pStyle w:val="Notesbodytext"/>
              <w:spacing w:after="0" w:line="280" w:lineRule="exact"/>
              <w:jc w:val="both"/>
              <w:rPr>
                <w:rFonts w:ascii="Arial" w:hAnsi="Arial"/>
                <w:color w:val="auto"/>
                <w:sz w:val="20"/>
              </w:rPr>
            </w:pPr>
          </w:p>
          <w:p w14:paraId="47BAD44F" w14:textId="77777777" w:rsidR="00944426" w:rsidRPr="00E70587" w:rsidRDefault="00944426" w:rsidP="00944426">
            <w:pPr>
              <w:pStyle w:val="Notesbodytext"/>
              <w:spacing w:after="0" w:line="280" w:lineRule="exact"/>
              <w:jc w:val="both"/>
              <w:rPr>
                <w:rFonts w:ascii="Arial" w:hAnsi="Arial"/>
                <w:b/>
                <w:i/>
                <w:color w:val="auto"/>
                <w:sz w:val="20"/>
              </w:rPr>
            </w:pPr>
            <w:r w:rsidRPr="00E70587">
              <w:rPr>
                <w:rFonts w:ascii="Arial" w:hAnsi="Arial"/>
                <w:color w:val="auto"/>
                <w:sz w:val="20"/>
              </w:rPr>
              <w:t>The Group recognises as plant and equipment any contribution made by its customers to be utilised in the production process and that meets the definition of an asset. The initial gross amount is estimated at fair value by reference to the market price of these assets on the date in which control is obtained.</w:t>
            </w:r>
          </w:p>
        </w:tc>
      </w:tr>
      <w:tr w:rsidR="00944426" w:rsidRPr="00E70587" w14:paraId="54C018F4" w14:textId="77777777" w:rsidTr="00944426">
        <w:tc>
          <w:tcPr>
            <w:tcW w:w="0" w:type="auto"/>
          </w:tcPr>
          <w:p w14:paraId="09B8A072" w14:textId="77777777" w:rsidR="00944426" w:rsidRPr="00E70587" w:rsidRDefault="00944426" w:rsidP="00944426">
            <w:pPr>
              <w:spacing w:line="280" w:lineRule="exact"/>
              <w:jc w:val="both"/>
              <w:rPr>
                <w:rFonts w:ascii="Arial" w:hAnsi="Arial" w:cs="Arial"/>
                <w:sz w:val="20"/>
              </w:rPr>
            </w:pPr>
          </w:p>
          <w:p w14:paraId="0AEFF063" w14:textId="6C7D3E83" w:rsidR="00944426" w:rsidRPr="00E70587" w:rsidRDefault="00944426" w:rsidP="00944426">
            <w:pPr>
              <w:spacing w:line="280" w:lineRule="exact"/>
              <w:jc w:val="both"/>
              <w:rPr>
                <w:rFonts w:ascii="Arial" w:hAnsi="Arial" w:cs="Arial"/>
                <w:sz w:val="20"/>
              </w:rPr>
            </w:pPr>
            <w:r w:rsidRPr="00E70587">
              <w:rPr>
                <w:rFonts w:ascii="Arial" w:hAnsi="Arial" w:cs="Arial"/>
                <w:sz w:val="20"/>
              </w:rPr>
              <w:t xml:space="preserve">The amount that the Group has recognised as plant and equipment and revenue during 31 </w:t>
            </w:r>
            <w:r w:rsidR="00E1202D" w:rsidRPr="00E70587">
              <w:rPr>
                <w:rFonts w:ascii="Arial" w:hAnsi="Arial" w:cs="Arial"/>
                <w:sz w:val="20"/>
              </w:rPr>
              <w:t xml:space="preserve">March </w:t>
            </w:r>
            <w:r w:rsidR="008F3EB6" w:rsidRPr="00E70587">
              <w:rPr>
                <w:rFonts w:ascii="Arial" w:hAnsi="Arial" w:cs="Arial"/>
                <w:sz w:val="20"/>
              </w:rPr>
              <w:t>20</w:t>
            </w:r>
            <w:r w:rsidR="008F3EB6">
              <w:rPr>
                <w:rFonts w:ascii="Arial" w:hAnsi="Arial" w:cs="Arial"/>
                <w:sz w:val="20"/>
              </w:rPr>
              <w:t>21</w:t>
            </w:r>
            <w:r w:rsidR="008F3EB6" w:rsidRPr="00E70587">
              <w:rPr>
                <w:rFonts w:ascii="Arial" w:hAnsi="Arial" w:cs="Arial"/>
                <w:sz w:val="20"/>
              </w:rPr>
              <w:t xml:space="preserve"> </w:t>
            </w:r>
            <w:r w:rsidRPr="00E70587">
              <w:rPr>
                <w:rFonts w:ascii="Arial" w:hAnsi="Arial" w:cs="Arial"/>
                <w:sz w:val="20"/>
              </w:rPr>
              <w:t>was INR 3</w:t>
            </w:r>
            <w:r w:rsidR="00064F9F">
              <w:rPr>
                <w:rFonts w:ascii="Arial" w:hAnsi="Arial" w:cs="Arial"/>
                <w:sz w:val="20"/>
              </w:rPr>
              <w:t>42</w:t>
            </w:r>
            <w:r w:rsidRPr="00E70587">
              <w:rPr>
                <w:rFonts w:ascii="Arial" w:hAnsi="Arial" w:cs="Arial"/>
                <w:sz w:val="20"/>
              </w:rPr>
              <w:t xml:space="preserve"> (31 </w:t>
            </w:r>
            <w:r w:rsidR="008B730E" w:rsidRPr="00E70587">
              <w:rPr>
                <w:rFonts w:ascii="Arial" w:hAnsi="Arial" w:cs="Arial"/>
                <w:sz w:val="20"/>
              </w:rPr>
              <w:t xml:space="preserve">March </w:t>
            </w:r>
            <w:r w:rsidR="008F3EB6" w:rsidRPr="00E70587">
              <w:rPr>
                <w:rFonts w:ascii="Arial" w:hAnsi="Arial" w:cs="Arial"/>
                <w:sz w:val="20"/>
              </w:rPr>
              <w:t>20</w:t>
            </w:r>
            <w:r w:rsidR="008F3EB6">
              <w:rPr>
                <w:rFonts w:ascii="Arial" w:hAnsi="Arial" w:cs="Arial"/>
                <w:sz w:val="20"/>
              </w:rPr>
              <w:t>20</w:t>
            </w:r>
            <w:r w:rsidRPr="00E70587">
              <w:rPr>
                <w:rFonts w:ascii="Arial" w:hAnsi="Arial" w:cs="Arial"/>
                <w:sz w:val="20"/>
              </w:rPr>
              <w:t xml:space="preserve">: INR </w:t>
            </w:r>
            <w:r w:rsidR="00064F9F">
              <w:rPr>
                <w:rFonts w:ascii="Arial" w:hAnsi="Arial" w:cs="Arial"/>
                <w:sz w:val="20"/>
              </w:rPr>
              <w:t>270</w:t>
            </w:r>
            <w:r w:rsidRPr="00E70587">
              <w:rPr>
                <w:rFonts w:ascii="Arial" w:hAnsi="Arial" w:cs="Arial"/>
                <w:sz w:val="20"/>
              </w:rPr>
              <w:t>).</w:t>
            </w:r>
          </w:p>
          <w:p w14:paraId="31E5B792" w14:textId="77777777" w:rsidR="00944426" w:rsidRPr="00E70587" w:rsidRDefault="00944426" w:rsidP="00944426">
            <w:pPr>
              <w:spacing w:line="280" w:lineRule="exact"/>
              <w:jc w:val="both"/>
              <w:rPr>
                <w:rFonts w:ascii="Arial" w:hAnsi="Arial"/>
                <w:i/>
                <w:sz w:val="20"/>
              </w:rPr>
            </w:pPr>
          </w:p>
        </w:tc>
      </w:tr>
      <w:tr w:rsidR="00944426" w:rsidRPr="00E70587" w14:paraId="268900F8" w14:textId="77777777" w:rsidTr="00944426">
        <w:tc>
          <w:tcPr>
            <w:tcW w:w="0" w:type="auto"/>
          </w:tcPr>
          <w:p w14:paraId="688A3C54" w14:textId="77777777" w:rsidR="00944426" w:rsidRPr="00E70587" w:rsidRDefault="00944426" w:rsidP="00944426">
            <w:pPr>
              <w:pStyle w:val="IAStext"/>
              <w:spacing w:line="280" w:lineRule="exact"/>
              <w:jc w:val="both"/>
              <w:rPr>
                <w:rFonts w:ascii="Arial" w:hAnsi="Arial" w:cs="Arial"/>
                <w:b/>
                <w:i w:val="0"/>
                <w:sz w:val="20"/>
                <w:lang w:val="en-IN"/>
              </w:rPr>
            </w:pPr>
            <w:r w:rsidRPr="00E70587">
              <w:rPr>
                <w:rFonts w:ascii="Arial" w:hAnsi="Arial" w:cs="Arial"/>
                <w:b/>
                <w:i w:val="0"/>
                <w:sz w:val="20"/>
                <w:lang w:val="en-IN"/>
              </w:rPr>
              <w:t>Revaluation of land and buildings</w:t>
            </w:r>
          </w:p>
          <w:p w14:paraId="1A394DBE" w14:textId="77777777" w:rsidR="00944426" w:rsidRPr="00E70587" w:rsidRDefault="00944426" w:rsidP="00944426">
            <w:pPr>
              <w:pStyle w:val="IAStext"/>
              <w:spacing w:line="280" w:lineRule="exact"/>
              <w:jc w:val="both"/>
              <w:rPr>
                <w:rFonts w:ascii="Arial" w:hAnsi="Arial" w:cs="Arial"/>
                <w:i w:val="0"/>
                <w:sz w:val="20"/>
                <w:lang w:val="en-IN"/>
              </w:rPr>
            </w:pPr>
          </w:p>
          <w:p w14:paraId="236822BB" w14:textId="77777777" w:rsidR="00944426" w:rsidRPr="00E70587" w:rsidRDefault="00944426" w:rsidP="00944426">
            <w:pPr>
              <w:pStyle w:val="IAStext"/>
              <w:spacing w:line="280" w:lineRule="exact"/>
              <w:jc w:val="both"/>
              <w:rPr>
                <w:rFonts w:ascii="Arial" w:hAnsi="Arial" w:cs="Arial"/>
                <w:i w:val="0"/>
                <w:sz w:val="20"/>
                <w:lang w:val="en-IN"/>
              </w:rPr>
            </w:pPr>
            <w:r w:rsidRPr="00E70587">
              <w:rPr>
                <w:rFonts w:ascii="Arial" w:hAnsi="Arial" w:cs="Arial"/>
                <w:i w:val="0"/>
                <w:sz w:val="20"/>
                <w:lang w:val="en-IN"/>
              </w:rPr>
              <w:t>The revalued land and buildings consist of office properties in India. The management determined that these constitute one class of asset under Ind-AS 113, based on the nature, characteristics and risks of the property.</w:t>
            </w:r>
          </w:p>
          <w:p w14:paraId="6D0915F4" w14:textId="77777777" w:rsidR="00944426" w:rsidRPr="00E70587" w:rsidRDefault="00944426" w:rsidP="00944426">
            <w:pPr>
              <w:pStyle w:val="IAStext"/>
              <w:spacing w:line="280" w:lineRule="exact"/>
              <w:jc w:val="both"/>
              <w:rPr>
                <w:rFonts w:ascii="Arial" w:hAnsi="Arial" w:cs="Arial"/>
                <w:i w:val="0"/>
                <w:sz w:val="20"/>
                <w:lang w:val="en-IN"/>
              </w:rPr>
            </w:pPr>
          </w:p>
          <w:p w14:paraId="109C306C" w14:textId="3263E6D0" w:rsidR="00944426" w:rsidRPr="00E70587" w:rsidRDefault="00944426" w:rsidP="00944426">
            <w:pPr>
              <w:pStyle w:val="IAStext"/>
              <w:spacing w:line="280" w:lineRule="exact"/>
              <w:jc w:val="both"/>
              <w:rPr>
                <w:rFonts w:ascii="Arial" w:hAnsi="Arial"/>
                <w:i w:val="0"/>
                <w:sz w:val="20"/>
                <w:lang w:val="en-IN"/>
              </w:rPr>
            </w:pPr>
            <w:r w:rsidRPr="00E70587">
              <w:rPr>
                <w:rFonts w:ascii="Arial" w:hAnsi="Arial" w:cs="Arial"/>
                <w:i w:val="0"/>
                <w:sz w:val="20"/>
                <w:lang w:val="en-IN"/>
              </w:rPr>
              <w:t>Fair</w:t>
            </w:r>
            <w:r w:rsidRPr="00E70587">
              <w:rPr>
                <w:rFonts w:ascii="Arial" w:hAnsi="Arial"/>
                <w:i w:val="0"/>
                <w:sz w:val="20"/>
                <w:lang w:val="en-IN"/>
              </w:rPr>
              <w:t xml:space="preserve"> value of the properties was determined by using the market comparable method. This means that valuations performed by the valuer are based on active market prices, significantly adjusted for difference in the nature, location or condition of the specific property. As at the date of revaluation 31 </w:t>
            </w:r>
            <w:r w:rsidR="0030252B" w:rsidRPr="00E70587">
              <w:rPr>
                <w:rFonts w:ascii="Arial" w:hAnsi="Arial"/>
                <w:i w:val="0"/>
                <w:sz w:val="20"/>
                <w:lang w:val="en-IN"/>
              </w:rPr>
              <w:t xml:space="preserve">May </w:t>
            </w:r>
            <w:r w:rsidR="008F3EB6" w:rsidRPr="00E70587">
              <w:rPr>
                <w:rFonts w:ascii="Arial" w:hAnsi="Arial"/>
                <w:i w:val="0"/>
                <w:sz w:val="20"/>
                <w:lang w:val="en-IN"/>
              </w:rPr>
              <w:t>20</w:t>
            </w:r>
            <w:r w:rsidR="008F3EB6">
              <w:rPr>
                <w:rFonts w:ascii="Arial" w:hAnsi="Arial"/>
                <w:i w:val="0"/>
                <w:sz w:val="20"/>
                <w:lang w:val="en-IN"/>
              </w:rPr>
              <w:t>20</w:t>
            </w:r>
            <w:r w:rsidRPr="00E70587">
              <w:rPr>
                <w:rFonts w:ascii="Arial" w:hAnsi="Arial"/>
                <w:i w:val="0"/>
                <w:sz w:val="20"/>
                <w:lang w:val="en-IN"/>
              </w:rPr>
              <w:t>, the properties’ fair values are based on valuations performed by Chartered Surveyors &amp; Co., an accredited independent valuer who has relevant valuation experience for similar office properties in India for the last five years.</w:t>
            </w:r>
          </w:p>
          <w:p w14:paraId="52FA5F99" w14:textId="77777777" w:rsidR="00944426" w:rsidRPr="00E70587" w:rsidRDefault="00944426" w:rsidP="00944426">
            <w:pPr>
              <w:pStyle w:val="Notesbodytext"/>
              <w:spacing w:after="0" w:line="280" w:lineRule="exact"/>
              <w:jc w:val="both"/>
              <w:rPr>
                <w:rFonts w:ascii="Arial" w:hAnsi="Arial"/>
                <w:color w:val="auto"/>
                <w:sz w:val="20"/>
              </w:rPr>
            </w:pPr>
          </w:p>
          <w:p w14:paraId="6A324B8B" w14:textId="3D9A75F5" w:rsidR="00944426" w:rsidRPr="00E70587" w:rsidRDefault="00944426" w:rsidP="00944426">
            <w:pPr>
              <w:pStyle w:val="Notesbodytext"/>
              <w:spacing w:after="0" w:line="280" w:lineRule="exact"/>
              <w:jc w:val="both"/>
              <w:rPr>
                <w:rFonts w:ascii="Arial" w:hAnsi="Arial"/>
                <w:color w:val="auto"/>
                <w:sz w:val="20"/>
              </w:rPr>
            </w:pPr>
            <w:r w:rsidRPr="00E70587">
              <w:rPr>
                <w:rFonts w:ascii="Arial" w:hAnsi="Arial"/>
                <w:color w:val="auto"/>
                <w:sz w:val="20"/>
              </w:rPr>
              <w:t xml:space="preserve">Fair value hierarchy disclosures for revalued land and buildings have been provided in Note </w:t>
            </w:r>
            <w:r w:rsidR="00B2178F" w:rsidRPr="00E70587">
              <w:rPr>
                <w:rFonts w:ascii="Arial" w:hAnsi="Arial"/>
                <w:color w:val="auto"/>
                <w:sz w:val="20"/>
              </w:rPr>
              <w:t>4</w:t>
            </w:r>
            <w:r w:rsidR="00B2178F">
              <w:rPr>
                <w:rFonts w:ascii="Arial" w:hAnsi="Arial"/>
                <w:color w:val="auto"/>
                <w:sz w:val="20"/>
              </w:rPr>
              <w:t>8</w:t>
            </w:r>
            <w:r w:rsidRPr="00E70587">
              <w:rPr>
                <w:rFonts w:ascii="Arial" w:hAnsi="Arial"/>
                <w:color w:val="auto"/>
                <w:sz w:val="20"/>
              </w:rPr>
              <w:t>.</w:t>
            </w:r>
          </w:p>
        </w:tc>
      </w:tr>
    </w:tbl>
    <w:p w14:paraId="70F6EC07" w14:textId="77777777" w:rsidR="00944426" w:rsidRPr="00E70587" w:rsidRDefault="00944426" w:rsidP="009901E1">
      <w:pPr>
        <w:pStyle w:val="Notesbodytext"/>
        <w:spacing w:after="0" w:line="280" w:lineRule="exact"/>
        <w:jc w:val="both"/>
        <w:rPr>
          <w:rFonts w:ascii="Arial" w:hAnsi="Arial"/>
          <w:color w:val="auto"/>
          <w:sz w:val="20"/>
        </w:rPr>
      </w:pPr>
    </w:p>
    <w:tbl>
      <w:tblPr>
        <w:tblW w:w="9576" w:type="dxa"/>
        <w:tblLayout w:type="fixed"/>
        <w:tblLook w:val="01E0" w:firstRow="1" w:lastRow="1" w:firstColumn="1" w:lastColumn="1" w:noHBand="0" w:noVBand="0"/>
      </w:tblPr>
      <w:tblGrid>
        <w:gridCol w:w="5484"/>
        <w:gridCol w:w="4092"/>
      </w:tblGrid>
      <w:tr w:rsidR="00944426" w:rsidRPr="00E70587" w14:paraId="5BFAF674" w14:textId="77777777" w:rsidTr="00944426">
        <w:tc>
          <w:tcPr>
            <w:tcW w:w="5484" w:type="dxa"/>
            <w:shd w:val="clear" w:color="auto" w:fill="auto"/>
          </w:tcPr>
          <w:p w14:paraId="4BC9C2C0" w14:textId="77777777" w:rsidR="00944426" w:rsidRPr="00E70587" w:rsidRDefault="00944426" w:rsidP="00944426">
            <w:pPr>
              <w:pStyle w:val="BodyText1"/>
              <w:spacing w:after="0" w:line="280" w:lineRule="exact"/>
              <w:rPr>
                <w:rFonts w:ascii="Arial" w:hAnsi="Arial"/>
                <w:b/>
                <w:color w:val="auto"/>
                <w:sz w:val="20"/>
              </w:rPr>
            </w:pPr>
            <w:r w:rsidRPr="00E70587">
              <w:rPr>
                <w:rFonts w:ascii="Arial" w:hAnsi="Arial"/>
                <w:b/>
                <w:color w:val="auto"/>
                <w:sz w:val="20"/>
              </w:rPr>
              <w:t xml:space="preserve">Significant unobservable valuation input: </w:t>
            </w:r>
          </w:p>
        </w:tc>
        <w:tc>
          <w:tcPr>
            <w:tcW w:w="4092" w:type="dxa"/>
            <w:shd w:val="clear" w:color="auto" w:fill="auto"/>
          </w:tcPr>
          <w:p w14:paraId="1641237C" w14:textId="77777777" w:rsidR="00944426" w:rsidRPr="00E70587" w:rsidRDefault="00944426" w:rsidP="00944426">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Range</w:t>
            </w:r>
          </w:p>
        </w:tc>
      </w:tr>
      <w:tr w:rsidR="00944426" w:rsidRPr="00E70587" w14:paraId="0E1500B0" w14:textId="77777777" w:rsidTr="00944426">
        <w:tc>
          <w:tcPr>
            <w:tcW w:w="5484" w:type="dxa"/>
          </w:tcPr>
          <w:p w14:paraId="45CDB900" w14:textId="77777777" w:rsidR="00944426" w:rsidRPr="00E70587" w:rsidRDefault="00944426" w:rsidP="00944426">
            <w:pPr>
              <w:pStyle w:val="BodyText1"/>
              <w:spacing w:after="0" w:line="280" w:lineRule="exact"/>
              <w:rPr>
                <w:rFonts w:ascii="Arial" w:hAnsi="Arial"/>
                <w:b/>
                <w:color w:val="auto"/>
                <w:sz w:val="20"/>
              </w:rPr>
            </w:pPr>
            <w:r w:rsidRPr="00E70587">
              <w:rPr>
                <w:rFonts w:ascii="Arial" w:hAnsi="Arial"/>
                <w:color w:val="auto"/>
                <w:sz w:val="20"/>
              </w:rPr>
              <w:t xml:space="preserve">Price per square metre </w:t>
            </w:r>
          </w:p>
        </w:tc>
        <w:tc>
          <w:tcPr>
            <w:tcW w:w="4092" w:type="dxa"/>
          </w:tcPr>
          <w:p w14:paraId="003F0E52" w14:textId="77777777" w:rsidR="00944426" w:rsidRPr="00E70587" w:rsidRDefault="00944426" w:rsidP="00944426">
            <w:pPr>
              <w:pStyle w:val="Tablecolumnheading"/>
              <w:spacing w:line="280" w:lineRule="exact"/>
              <w:jc w:val="left"/>
              <w:rPr>
                <w:rFonts w:ascii="Arial" w:hAnsi="Arial"/>
                <w:b w:val="0"/>
                <w:color w:val="auto"/>
                <w:sz w:val="20"/>
                <w:szCs w:val="20"/>
                <w:lang w:val="en-IN"/>
              </w:rPr>
            </w:pPr>
            <w:r w:rsidRPr="00E70587">
              <w:rPr>
                <w:rFonts w:ascii="Arial" w:hAnsi="Arial"/>
                <w:b w:val="0"/>
                <w:color w:val="auto"/>
                <w:sz w:val="20"/>
                <w:szCs w:val="20"/>
                <w:lang w:val="en-IN"/>
              </w:rPr>
              <w:t xml:space="preserve">INR 325 – INR 350 </w:t>
            </w:r>
          </w:p>
        </w:tc>
      </w:tr>
      <w:tr w:rsidR="00944426" w:rsidRPr="00E70587" w14:paraId="74E938DC" w14:textId="77777777" w:rsidTr="00944426">
        <w:tc>
          <w:tcPr>
            <w:tcW w:w="9576" w:type="dxa"/>
            <w:gridSpan w:val="2"/>
          </w:tcPr>
          <w:p w14:paraId="56C80973" w14:textId="77777777" w:rsidR="00944426" w:rsidRPr="00E70587" w:rsidRDefault="00944426" w:rsidP="00944426">
            <w:pPr>
              <w:spacing w:line="280" w:lineRule="exact"/>
              <w:ind w:left="72"/>
              <w:rPr>
                <w:rFonts w:ascii="Arial" w:hAnsi="Arial" w:cs="Arial"/>
                <w:sz w:val="20"/>
              </w:rPr>
            </w:pPr>
            <w:r w:rsidRPr="00E70587">
              <w:rPr>
                <w:rFonts w:ascii="Arial" w:hAnsi="Arial" w:cs="Arial"/>
                <w:sz w:val="20"/>
              </w:rPr>
              <w:t>Significant increases (decreases) in estimated price per square metre in isolation would result in a significantly higher (lower) fair value.</w:t>
            </w:r>
          </w:p>
          <w:p w14:paraId="531F5ABF" w14:textId="77777777" w:rsidR="00944426" w:rsidRPr="00E70587" w:rsidRDefault="00944426" w:rsidP="00944426">
            <w:pPr>
              <w:pStyle w:val="Tablecolumnheading"/>
              <w:spacing w:line="280" w:lineRule="exact"/>
              <w:jc w:val="left"/>
              <w:rPr>
                <w:rFonts w:ascii="Arial" w:hAnsi="Arial"/>
                <w:b w:val="0"/>
                <w:color w:val="auto"/>
                <w:sz w:val="20"/>
                <w:szCs w:val="20"/>
                <w:lang w:val="en-IN"/>
              </w:rPr>
            </w:pPr>
          </w:p>
        </w:tc>
      </w:tr>
    </w:tbl>
    <w:p w14:paraId="32374A35" w14:textId="77777777" w:rsidR="00944426" w:rsidRPr="00E70587" w:rsidRDefault="00944426" w:rsidP="009901E1">
      <w:pPr>
        <w:pStyle w:val="Notesbodytext"/>
        <w:spacing w:after="0" w:line="280" w:lineRule="exact"/>
        <w:jc w:val="both"/>
        <w:rPr>
          <w:rFonts w:ascii="Arial" w:hAnsi="Arial"/>
          <w:color w:val="auto"/>
          <w:sz w:val="20"/>
        </w:rPr>
      </w:pPr>
    </w:p>
    <w:p w14:paraId="0E269784" w14:textId="77777777" w:rsidR="000A2ED4" w:rsidRPr="00E70587" w:rsidRDefault="00944426" w:rsidP="000A2ED4">
      <w:pPr>
        <w:tabs>
          <w:tab w:val="left" w:pos="8364"/>
        </w:tabs>
        <w:spacing w:line="280" w:lineRule="exact"/>
        <w:jc w:val="both"/>
        <w:rPr>
          <w:rFonts w:ascii="Arial" w:hAnsi="Arial" w:cs="Arial"/>
          <w:b/>
          <w:sz w:val="20"/>
        </w:rPr>
      </w:pPr>
      <w:r w:rsidRPr="00E70587">
        <w:rPr>
          <w:rFonts w:ascii="Arial" w:hAnsi="Arial" w:cs="Arial"/>
          <w:b/>
          <w:sz w:val="20"/>
        </w:rPr>
        <w:t>Information of revaluation model:</w:t>
      </w:r>
    </w:p>
    <w:p w14:paraId="798F68A2" w14:textId="77777777" w:rsidR="004C7641" w:rsidRPr="00E70587" w:rsidRDefault="000A2ED4" w:rsidP="000A2ED4">
      <w:pPr>
        <w:tabs>
          <w:tab w:val="left" w:pos="8364"/>
        </w:tabs>
        <w:spacing w:line="280" w:lineRule="exact"/>
        <w:jc w:val="both"/>
        <w:rPr>
          <w:rFonts w:ascii="Arial" w:hAnsi="Arial" w:cs="Arial"/>
          <w:b/>
          <w:sz w:val="20"/>
        </w:rPr>
      </w:pPr>
      <w:r w:rsidRPr="00E70587">
        <w:rPr>
          <w:rFonts w:ascii="Arial" w:hAnsi="Arial" w:cs="Arial"/>
          <w:b/>
          <w:sz w:val="20"/>
        </w:rPr>
        <w:tab/>
      </w:r>
      <w:proofErr w:type="spellStart"/>
      <w:r w:rsidR="004C7641" w:rsidRPr="00E70587">
        <w:rPr>
          <w:rFonts w:ascii="Arial" w:hAnsi="Arial" w:cs="Arial"/>
          <w:b/>
          <w:sz w:val="20"/>
        </w:rPr>
        <w:t>INR’Lacs</w:t>
      </w:r>
      <w:proofErr w:type="spellEnd"/>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018"/>
        <w:gridCol w:w="1418"/>
      </w:tblGrid>
      <w:tr w:rsidR="00F27E28" w:rsidRPr="00E70587" w14:paraId="379CDCE4" w14:textId="77777777" w:rsidTr="000A2ED4">
        <w:tc>
          <w:tcPr>
            <w:tcW w:w="8018" w:type="dxa"/>
            <w:shd w:val="clear" w:color="auto" w:fill="auto"/>
            <w:vAlign w:val="center"/>
          </w:tcPr>
          <w:p w14:paraId="0DAE0C36" w14:textId="69ABFAEA" w:rsidR="00F27E28" w:rsidRPr="00E70587" w:rsidRDefault="00F27E28" w:rsidP="008D4DB9">
            <w:pPr>
              <w:pStyle w:val="Notesbodytext"/>
              <w:spacing w:after="0" w:line="280" w:lineRule="exact"/>
              <w:rPr>
                <w:rFonts w:ascii="Arial" w:hAnsi="Arial" w:cs="Calibri"/>
                <w:b/>
                <w:bCs/>
                <w:sz w:val="20"/>
              </w:rPr>
            </w:pPr>
            <w:r w:rsidRPr="00E70587">
              <w:rPr>
                <w:rFonts w:ascii="Arial" w:hAnsi="Arial" w:cs="Calibri"/>
                <w:b/>
                <w:bCs/>
                <w:sz w:val="20"/>
              </w:rPr>
              <w:t xml:space="preserve">Opening balance as at 1 April </w:t>
            </w:r>
            <w:r w:rsidR="00D54F38" w:rsidRPr="00E70587">
              <w:rPr>
                <w:rFonts w:ascii="Arial" w:hAnsi="Arial" w:cs="Calibri"/>
                <w:b/>
                <w:bCs/>
                <w:sz w:val="20"/>
              </w:rPr>
              <w:t>201</w:t>
            </w:r>
            <w:r w:rsidR="00D54F38">
              <w:rPr>
                <w:rFonts w:ascii="Arial" w:hAnsi="Arial" w:cs="Calibri"/>
                <w:b/>
                <w:bCs/>
                <w:sz w:val="20"/>
              </w:rPr>
              <w:t>9</w:t>
            </w:r>
          </w:p>
        </w:tc>
        <w:tc>
          <w:tcPr>
            <w:tcW w:w="1418" w:type="dxa"/>
            <w:shd w:val="clear" w:color="auto" w:fill="auto"/>
          </w:tcPr>
          <w:p w14:paraId="691722BF" w14:textId="77777777" w:rsidR="00F27E28" w:rsidRPr="00E70587" w:rsidRDefault="00F27E28" w:rsidP="008D4DB9">
            <w:pPr>
              <w:pStyle w:val="Tablecolumnheading"/>
              <w:spacing w:line="280" w:lineRule="exact"/>
              <w:ind w:left="-720"/>
              <w:rPr>
                <w:rFonts w:ascii="Arial" w:hAnsi="Arial" w:cs="Calibri"/>
                <w:bCs/>
                <w:sz w:val="20"/>
                <w:szCs w:val="20"/>
              </w:rPr>
            </w:pPr>
            <w:r w:rsidRPr="00E70587">
              <w:rPr>
                <w:rFonts w:ascii="Arial" w:hAnsi="Arial" w:cs="Calibri"/>
                <w:bCs/>
                <w:sz w:val="20"/>
                <w:szCs w:val="20"/>
              </w:rPr>
              <w:t>13,908</w:t>
            </w:r>
          </w:p>
        </w:tc>
      </w:tr>
      <w:tr w:rsidR="00F27E28" w:rsidRPr="00E70587" w14:paraId="6B8515E3" w14:textId="77777777" w:rsidTr="000A2ED4">
        <w:tc>
          <w:tcPr>
            <w:tcW w:w="8018" w:type="dxa"/>
            <w:shd w:val="clear" w:color="auto" w:fill="auto"/>
            <w:vAlign w:val="center"/>
          </w:tcPr>
          <w:p w14:paraId="17D2F910" w14:textId="77777777" w:rsidR="00F27E28" w:rsidRPr="00E70587" w:rsidRDefault="00F27E28" w:rsidP="008D4DB9">
            <w:pPr>
              <w:pStyle w:val="Notesbodytext"/>
              <w:spacing w:after="0" w:line="280" w:lineRule="exact"/>
              <w:rPr>
                <w:rFonts w:cs="Calibri"/>
                <w:sz w:val="20"/>
              </w:rPr>
            </w:pPr>
            <w:proofErr w:type="gramStart"/>
            <w:r w:rsidRPr="00E70587">
              <w:rPr>
                <w:rFonts w:ascii="Arial" w:hAnsi="Arial" w:cs="Calibri"/>
                <w:sz w:val="20"/>
              </w:rPr>
              <w:t>Add :</w:t>
            </w:r>
            <w:proofErr w:type="gramEnd"/>
            <w:r w:rsidRPr="00E70587">
              <w:rPr>
                <w:rFonts w:ascii="Arial" w:hAnsi="Arial" w:cs="Calibri"/>
                <w:sz w:val="20"/>
              </w:rPr>
              <w:t xml:space="preserve"> Purchase</w:t>
            </w:r>
          </w:p>
        </w:tc>
        <w:tc>
          <w:tcPr>
            <w:tcW w:w="1418" w:type="dxa"/>
            <w:shd w:val="clear" w:color="auto" w:fill="auto"/>
          </w:tcPr>
          <w:p w14:paraId="13A99350" w14:textId="77777777" w:rsidR="00F27E28" w:rsidRPr="00E70587" w:rsidRDefault="00F27E28" w:rsidP="008D4DB9">
            <w:pPr>
              <w:pStyle w:val="Tablecolumnheading"/>
              <w:spacing w:line="280" w:lineRule="exact"/>
              <w:ind w:left="-720"/>
              <w:rPr>
                <w:rFonts w:ascii="EYInterstate Light" w:hAnsi="EYInterstate Light" w:cs="Calibri"/>
                <w:color w:val="auto"/>
                <w:sz w:val="20"/>
                <w:szCs w:val="20"/>
              </w:rPr>
            </w:pPr>
            <w:r w:rsidRPr="00E70587">
              <w:rPr>
                <w:rFonts w:ascii="Arial" w:hAnsi="Arial" w:cs="Calibri"/>
                <w:color w:val="auto"/>
                <w:sz w:val="20"/>
                <w:szCs w:val="20"/>
              </w:rPr>
              <w:t>5,179</w:t>
            </w:r>
          </w:p>
        </w:tc>
      </w:tr>
      <w:tr w:rsidR="00F27E28" w:rsidRPr="00E70587" w14:paraId="00599CEA" w14:textId="77777777" w:rsidTr="000A2ED4">
        <w:tc>
          <w:tcPr>
            <w:tcW w:w="8018" w:type="dxa"/>
            <w:shd w:val="clear" w:color="auto" w:fill="auto"/>
            <w:vAlign w:val="center"/>
          </w:tcPr>
          <w:p w14:paraId="6BA59DA6" w14:textId="77777777" w:rsidR="00F27E28" w:rsidRPr="00E70587" w:rsidRDefault="00F27E28" w:rsidP="008D4DB9">
            <w:pPr>
              <w:pStyle w:val="Notesbodytext"/>
              <w:spacing w:after="0" w:line="280" w:lineRule="exact"/>
              <w:rPr>
                <w:rFonts w:cs="Calibri"/>
                <w:sz w:val="20"/>
              </w:rPr>
            </w:pPr>
            <w:r w:rsidRPr="00E70587">
              <w:rPr>
                <w:rFonts w:ascii="Arial" w:hAnsi="Arial" w:cs="Calibri"/>
                <w:sz w:val="20"/>
              </w:rPr>
              <w:t>Less: Deletions</w:t>
            </w:r>
          </w:p>
        </w:tc>
        <w:tc>
          <w:tcPr>
            <w:tcW w:w="1418" w:type="dxa"/>
            <w:shd w:val="clear" w:color="auto" w:fill="auto"/>
          </w:tcPr>
          <w:p w14:paraId="4B9DD0A1" w14:textId="77777777" w:rsidR="00F27E28" w:rsidRPr="00E70587" w:rsidRDefault="00F27E28" w:rsidP="008D4DB9">
            <w:pPr>
              <w:pStyle w:val="Tablecolumnheading"/>
              <w:spacing w:line="280" w:lineRule="exact"/>
              <w:ind w:left="-720"/>
              <w:rPr>
                <w:rFonts w:ascii="EYInterstate Light" w:hAnsi="EYInterstate Light" w:cs="Calibri"/>
                <w:color w:val="auto"/>
                <w:sz w:val="20"/>
                <w:szCs w:val="20"/>
              </w:rPr>
            </w:pPr>
            <w:r w:rsidRPr="00E70587">
              <w:rPr>
                <w:rFonts w:ascii="Arial" w:hAnsi="Arial" w:cs="Calibri"/>
                <w:color w:val="auto"/>
                <w:sz w:val="20"/>
                <w:szCs w:val="20"/>
              </w:rPr>
              <w:t>(578)</w:t>
            </w:r>
          </w:p>
        </w:tc>
      </w:tr>
      <w:tr w:rsidR="00F27E28" w:rsidRPr="00E70587" w14:paraId="71284FE7" w14:textId="77777777" w:rsidTr="000A2ED4">
        <w:tc>
          <w:tcPr>
            <w:tcW w:w="8018" w:type="dxa"/>
            <w:shd w:val="clear" w:color="auto" w:fill="auto"/>
            <w:vAlign w:val="center"/>
          </w:tcPr>
          <w:p w14:paraId="08E56A1E" w14:textId="77777777" w:rsidR="00F27E28" w:rsidRPr="00E70587" w:rsidDel="00792BC5" w:rsidRDefault="00F27E28" w:rsidP="008D4DB9">
            <w:pPr>
              <w:pStyle w:val="Notesbodytext"/>
              <w:spacing w:after="0" w:line="280" w:lineRule="exact"/>
              <w:rPr>
                <w:rFonts w:cs="Times New Roman"/>
                <w:color w:val="auto"/>
                <w:sz w:val="20"/>
              </w:rPr>
            </w:pPr>
            <w:r w:rsidRPr="00E70587">
              <w:rPr>
                <w:rFonts w:ascii="Arial" w:hAnsi="Arial" w:cs="Calibri"/>
                <w:sz w:val="20"/>
              </w:rPr>
              <w:t>Add/ (less): Re-measurement recognised in reserves</w:t>
            </w:r>
          </w:p>
        </w:tc>
        <w:tc>
          <w:tcPr>
            <w:tcW w:w="1418" w:type="dxa"/>
            <w:shd w:val="clear" w:color="auto" w:fill="auto"/>
          </w:tcPr>
          <w:p w14:paraId="6424C1B6" w14:textId="77777777" w:rsidR="00F27E28" w:rsidRPr="00E70587" w:rsidRDefault="00F27E28" w:rsidP="008D4DB9">
            <w:pPr>
              <w:pStyle w:val="Tablecolumnheading"/>
              <w:spacing w:line="280" w:lineRule="exact"/>
              <w:ind w:left="-720"/>
              <w:rPr>
                <w:rFonts w:ascii="EYInterstate Light" w:hAnsi="EYInterstate Light" w:cs="Calibri"/>
                <w:color w:val="auto"/>
                <w:sz w:val="20"/>
                <w:szCs w:val="20"/>
              </w:rPr>
            </w:pPr>
            <w:r w:rsidRPr="00E70587">
              <w:rPr>
                <w:rFonts w:ascii="Arial" w:hAnsi="Arial" w:cs="Calibri"/>
                <w:color w:val="auto"/>
                <w:sz w:val="20"/>
                <w:szCs w:val="20"/>
              </w:rPr>
              <w:t>-</w:t>
            </w:r>
          </w:p>
        </w:tc>
      </w:tr>
      <w:tr w:rsidR="00F27E28" w:rsidRPr="00E70587" w14:paraId="7E2F05D1" w14:textId="77777777" w:rsidTr="000A2ED4">
        <w:tc>
          <w:tcPr>
            <w:tcW w:w="8018" w:type="dxa"/>
            <w:shd w:val="clear" w:color="auto" w:fill="auto"/>
            <w:vAlign w:val="center"/>
          </w:tcPr>
          <w:p w14:paraId="328E37F2" w14:textId="77777777" w:rsidR="00F27E28" w:rsidRPr="00E70587" w:rsidDel="00792BC5" w:rsidRDefault="00F27E28" w:rsidP="008D4DB9">
            <w:pPr>
              <w:pStyle w:val="Notesbodytext"/>
              <w:spacing w:after="0" w:line="280" w:lineRule="exact"/>
              <w:rPr>
                <w:rFonts w:cs="Times New Roman"/>
                <w:color w:val="auto"/>
                <w:sz w:val="20"/>
              </w:rPr>
            </w:pPr>
            <w:proofErr w:type="gramStart"/>
            <w:r w:rsidRPr="00E70587">
              <w:rPr>
                <w:rFonts w:ascii="Arial" w:hAnsi="Arial" w:cs="Calibri"/>
                <w:sz w:val="20"/>
              </w:rPr>
              <w:t>Less :</w:t>
            </w:r>
            <w:proofErr w:type="gramEnd"/>
            <w:r w:rsidRPr="00E70587">
              <w:rPr>
                <w:rFonts w:ascii="Arial" w:hAnsi="Arial" w:cs="Calibri"/>
                <w:sz w:val="20"/>
              </w:rPr>
              <w:t xml:space="preserve"> Depreciation</w:t>
            </w:r>
          </w:p>
        </w:tc>
        <w:tc>
          <w:tcPr>
            <w:tcW w:w="1418" w:type="dxa"/>
            <w:shd w:val="clear" w:color="auto" w:fill="auto"/>
          </w:tcPr>
          <w:p w14:paraId="15050F77" w14:textId="77777777" w:rsidR="00F27E28" w:rsidRPr="00E70587" w:rsidRDefault="00F27E28" w:rsidP="008D4DB9">
            <w:pPr>
              <w:pStyle w:val="Tablecolumnheading"/>
              <w:spacing w:line="280" w:lineRule="exact"/>
              <w:ind w:left="-720"/>
              <w:rPr>
                <w:rFonts w:ascii="EYInterstate Light" w:hAnsi="EYInterstate Light" w:cs="Calibri"/>
                <w:color w:val="auto"/>
                <w:sz w:val="20"/>
                <w:szCs w:val="20"/>
              </w:rPr>
            </w:pPr>
            <w:r w:rsidRPr="00E70587">
              <w:rPr>
                <w:rFonts w:ascii="Arial" w:hAnsi="Arial" w:cs="Calibri"/>
                <w:color w:val="auto"/>
                <w:sz w:val="20"/>
                <w:szCs w:val="20"/>
              </w:rPr>
              <w:t>(630)</w:t>
            </w:r>
          </w:p>
        </w:tc>
      </w:tr>
      <w:tr w:rsidR="00F27E28" w:rsidRPr="00E70587" w14:paraId="312DB975" w14:textId="77777777" w:rsidTr="000A2ED4">
        <w:tc>
          <w:tcPr>
            <w:tcW w:w="8018" w:type="dxa"/>
            <w:shd w:val="clear" w:color="auto" w:fill="auto"/>
            <w:vAlign w:val="center"/>
          </w:tcPr>
          <w:p w14:paraId="6CFF2EF7" w14:textId="05C5C4B8" w:rsidR="00F27E28" w:rsidRPr="00E70587" w:rsidDel="00792BC5" w:rsidRDefault="00F27E28" w:rsidP="008D4DB9">
            <w:pPr>
              <w:pStyle w:val="Notesbodytext"/>
              <w:spacing w:after="0" w:line="280" w:lineRule="exact"/>
              <w:rPr>
                <w:rFonts w:ascii="Arial" w:hAnsi="Arial" w:cs="Calibri"/>
                <w:b/>
                <w:bCs/>
                <w:sz w:val="20"/>
              </w:rPr>
            </w:pPr>
            <w:r w:rsidRPr="00E70587">
              <w:rPr>
                <w:rFonts w:ascii="Arial" w:hAnsi="Arial" w:cs="Calibri"/>
                <w:b/>
                <w:bCs/>
                <w:sz w:val="20"/>
              </w:rPr>
              <w:t xml:space="preserve">Balance as at 31 March </w:t>
            </w:r>
            <w:r w:rsidR="00D54F38" w:rsidRPr="00E70587">
              <w:rPr>
                <w:rFonts w:ascii="Arial" w:hAnsi="Arial" w:cs="Calibri"/>
                <w:b/>
                <w:bCs/>
                <w:sz w:val="20"/>
              </w:rPr>
              <w:t>20</w:t>
            </w:r>
            <w:r w:rsidR="00D54F38">
              <w:rPr>
                <w:rFonts w:ascii="Arial" w:hAnsi="Arial" w:cs="Calibri"/>
                <w:b/>
                <w:bCs/>
                <w:sz w:val="20"/>
              </w:rPr>
              <w:t>20</w:t>
            </w:r>
          </w:p>
        </w:tc>
        <w:tc>
          <w:tcPr>
            <w:tcW w:w="1418" w:type="dxa"/>
            <w:shd w:val="clear" w:color="auto" w:fill="auto"/>
          </w:tcPr>
          <w:p w14:paraId="14B9A64E" w14:textId="77777777" w:rsidR="00F27E28" w:rsidRPr="00E70587" w:rsidRDefault="00F27E28" w:rsidP="008D4DB9">
            <w:pPr>
              <w:pStyle w:val="Tablecolumnheading"/>
              <w:spacing w:line="280" w:lineRule="exact"/>
              <w:ind w:left="-720"/>
              <w:rPr>
                <w:rFonts w:ascii="Arial" w:hAnsi="Arial" w:cs="Calibri"/>
                <w:bCs/>
                <w:sz w:val="20"/>
                <w:szCs w:val="20"/>
              </w:rPr>
            </w:pPr>
            <w:r w:rsidRPr="00E70587">
              <w:rPr>
                <w:rFonts w:ascii="Arial" w:hAnsi="Arial" w:cs="Calibri"/>
                <w:bCs/>
                <w:sz w:val="20"/>
                <w:szCs w:val="20"/>
              </w:rPr>
              <w:t>17,879</w:t>
            </w:r>
          </w:p>
        </w:tc>
      </w:tr>
      <w:tr w:rsidR="00F27E28" w:rsidRPr="00E70587" w14:paraId="1DD42959" w14:textId="77777777" w:rsidTr="000A2ED4">
        <w:tc>
          <w:tcPr>
            <w:tcW w:w="8018" w:type="dxa"/>
            <w:shd w:val="clear" w:color="auto" w:fill="auto"/>
            <w:vAlign w:val="center"/>
          </w:tcPr>
          <w:p w14:paraId="42307D0B" w14:textId="77777777" w:rsidR="00F27E28" w:rsidRPr="00E70587" w:rsidDel="00792BC5" w:rsidRDefault="00F27E28" w:rsidP="008D4DB9">
            <w:pPr>
              <w:pStyle w:val="Notesbodytext"/>
              <w:spacing w:after="0" w:line="280" w:lineRule="exact"/>
              <w:rPr>
                <w:rFonts w:cs="Times New Roman"/>
                <w:color w:val="auto"/>
                <w:sz w:val="20"/>
              </w:rPr>
            </w:pPr>
            <w:proofErr w:type="gramStart"/>
            <w:r w:rsidRPr="00E70587">
              <w:rPr>
                <w:rFonts w:ascii="Arial" w:hAnsi="Arial" w:cs="Calibri"/>
                <w:sz w:val="20"/>
              </w:rPr>
              <w:t>Add :</w:t>
            </w:r>
            <w:proofErr w:type="gramEnd"/>
            <w:r w:rsidRPr="00E70587">
              <w:rPr>
                <w:rFonts w:ascii="Arial" w:hAnsi="Arial" w:cs="Calibri"/>
                <w:sz w:val="20"/>
              </w:rPr>
              <w:t xml:space="preserve"> Purchase</w:t>
            </w:r>
          </w:p>
        </w:tc>
        <w:tc>
          <w:tcPr>
            <w:tcW w:w="1418" w:type="dxa"/>
            <w:shd w:val="clear" w:color="auto" w:fill="auto"/>
          </w:tcPr>
          <w:p w14:paraId="5939EA08" w14:textId="77777777" w:rsidR="00F27E28" w:rsidRPr="00E70587" w:rsidRDefault="00F27E28" w:rsidP="008D4DB9">
            <w:pPr>
              <w:pStyle w:val="Tablecolumnheading"/>
              <w:spacing w:line="280" w:lineRule="exact"/>
              <w:ind w:left="-720"/>
              <w:rPr>
                <w:rFonts w:ascii="EYInterstate Light" w:hAnsi="EYInterstate Light" w:cs="Calibri"/>
                <w:b w:val="0"/>
                <w:color w:val="auto"/>
                <w:sz w:val="20"/>
                <w:szCs w:val="20"/>
              </w:rPr>
            </w:pPr>
            <w:r w:rsidRPr="00E70587">
              <w:rPr>
                <w:rFonts w:ascii="Arial" w:hAnsi="Arial" w:cs="Calibri"/>
                <w:b w:val="0"/>
                <w:color w:val="auto"/>
                <w:sz w:val="20"/>
                <w:szCs w:val="20"/>
              </w:rPr>
              <w:t>8,171</w:t>
            </w:r>
          </w:p>
        </w:tc>
      </w:tr>
      <w:tr w:rsidR="00F27E28" w:rsidRPr="00E70587" w14:paraId="4516F550" w14:textId="77777777" w:rsidTr="000A2ED4">
        <w:tc>
          <w:tcPr>
            <w:tcW w:w="8018" w:type="dxa"/>
            <w:shd w:val="clear" w:color="auto" w:fill="auto"/>
            <w:vAlign w:val="center"/>
          </w:tcPr>
          <w:p w14:paraId="6F42F925" w14:textId="77777777" w:rsidR="00F27E28" w:rsidRPr="00E70587" w:rsidDel="00792BC5" w:rsidRDefault="00F27E28" w:rsidP="008D4DB9">
            <w:pPr>
              <w:pStyle w:val="Notesbodytext"/>
              <w:spacing w:after="0" w:line="280" w:lineRule="exact"/>
              <w:rPr>
                <w:rFonts w:cs="Times New Roman"/>
                <w:color w:val="auto"/>
                <w:sz w:val="20"/>
              </w:rPr>
            </w:pPr>
            <w:r w:rsidRPr="00E70587">
              <w:rPr>
                <w:rFonts w:ascii="Arial" w:hAnsi="Arial" w:cs="Calibri"/>
                <w:sz w:val="20"/>
              </w:rPr>
              <w:t>Less: Deletions</w:t>
            </w:r>
          </w:p>
        </w:tc>
        <w:tc>
          <w:tcPr>
            <w:tcW w:w="1418" w:type="dxa"/>
            <w:shd w:val="clear" w:color="auto" w:fill="auto"/>
          </w:tcPr>
          <w:p w14:paraId="775CFB05" w14:textId="77777777" w:rsidR="00F27E28" w:rsidRPr="00E70587" w:rsidRDefault="00F27E28" w:rsidP="008D4DB9">
            <w:pPr>
              <w:pStyle w:val="Tablecolumnheading"/>
              <w:spacing w:line="280" w:lineRule="exact"/>
              <w:ind w:left="-720"/>
              <w:rPr>
                <w:rFonts w:ascii="EYInterstate Light" w:hAnsi="EYInterstate Light" w:cs="Calibri"/>
                <w:b w:val="0"/>
                <w:color w:val="auto"/>
                <w:sz w:val="20"/>
                <w:szCs w:val="20"/>
              </w:rPr>
            </w:pPr>
            <w:r w:rsidRPr="00E70587">
              <w:rPr>
                <w:rFonts w:ascii="Arial" w:hAnsi="Arial" w:cs="Calibri"/>
                <w:b w:val="0"/>
                <w:color w:val="auto"/>
                <w:sz w:val="20"/>
                <w:szCs w:val="20"/>
              </w:rPr>
              <w:t>(5,429)</w:t>
            </w:r>
          </w:p>
        </w:tc>
      </w:tr>
      <w:tr w:rsidR="00F27E28" w:rsidRPr="00E70587" w14:paraId="5ACB899F" w14:textId="77777777" w:rsidTr="000A2ED4">
        <w:tc>
          <w:tcPr>
            <w:tcW w:w="8018" w:type="dxa"/>
            <w:shd w:val="clear" w:color="auto" w:fill="auto"/>
            <w:vAlign w:val="center"/>
          </w:tcPr>
          <w:p w14:paraId="1CCDD9B4" w14:textId="77777777" w:rsidR="00F27E28" w:rsidRPr="00E70587" w:rsidRDefault="00F27E28" w:rsidP="008D4DB9">
            <w:pPr>
              <w:pStyle w:val="Notesbodytext"/>
              <w:spacing w:after="0" w:line="280" w:lineRule="exact"/>
              <w:rPr>
                <w:rFonts w:cs="Times New Roman"/>
                <w:color w:val="auto"/>
                <w:sz w:val="20"/>
              </w:rPr>
            </w:pPr>
            <w:r w:rsidRPr="00E70587">
              <w:rPr>
                <w:rFonts w:ascii="Arial" w:hAnsi="Arial" w:cs="Calibri"/>
                <w:sz w:val="20"/>
              </w:rPr>
              <w:t>Add/ (less): Re-measurement recognised in reserves</w:t>
            </w:r>
          </w:p>
        </w:tc>
        <w:tc>
          <w:tcPr>
            <w:tcW w:w="1418" w:type="dxa"/>
            <w:shd w:val="clear" w:color="auto" w:fill="auto"/>
          </w:tcPr>
          <w:p w14:paraId="2025877D" w14:textId="77777777" w:rsidR="00F27E28" w:rsidRPr="00E70587" w:rsidRDefault="00F27E28" w:rsidP="008D4DB9">
            <w:pPr>
              <w:pStyle w:val="Tablecolumnheading"/>
              <w:spacing w:line="280" w:lineRule="exact"/>
              <w:ind w:left="-720"/>
              <w:rPr>
                <w:rFonts w:ascii="EYInterstate Light" w:hAnsi="EYInterstate Light" w:cs="Calibri"/>
                <w:b w:val="0"/>
                <w:color w:val="auto"/>
                <w:sz w:val="20"/>
                <w:szCs w:val="20"/>
              </w:rPr>
            </w:pPr>
            <w:r w:rsidRPr="00E70587">
              <w:rPr>
                <w:rFonts w:ascii="Arial" w:hAnsi="Arial" w:cs="Calibri"/>
                <w:b w:val="0"/>
                <w:color w:val="auto"/>
                <w:sz w:val="20"/>
                <w:szCs w:val="20"/>
              </w:rPr>
              <w:t>1,523</w:t>
            </w:r>
          </w:p>
        </w:tc>
      </w:tr>
      <w:tr w:rsidR="00F27E28" w:rsidRPr="00E70587" w14:paraId="6212BF9D" w14:textId="77777777" w:rsidTr="000A2ED4">
        <w:tc>
          <w:tcPr>
            <w:tcW w:w="8018" w:type="dxa"/>
            <w:shd w:val="clear" w:color="auto" w:fill="auto"/>
            <w:vAlign w:val="center"/>
          </w:tcPr>
          <w:p w14:paraId="4D6B6FFA" w14:textId="77777777" w:rsidR="00F27E28" w:rsidRPr="00E70587" w:rsidRDefault="00F27E28" w:rsidP="008D4DB9">
            <w:pPr>
              <w:pStyle w:val="Notesbodytext"/>
              <w:spacing w:after="0" w:line="280" w:lineRule="exact"/>
              <w:rPr>
                <w:rFonts w:ascii="Arial" w:hAnsi="Arial" w:cs="Calibri"/>
                <w:b/>
                <w:bCs/>
                <w:sz w:val="20"/>
              </w:rPr>
            </w:pPr>
            <w:proofErr w:type="gramStart"/>
            <w:r w:rsidRPr="00E70587">
              <w:rPr>
                <w:rFonts w:ascii="Arial" w:hAnsi="Arial" w:cs="Calibri"/>
                <w:sz w:val="20"/>
              </w:rPr>
              <w:t>Less :</w:t>
            </w:r>
            <w:proofErr w:type="gramEnd"/>
            <w:r w:rsidRPr="00E70587">
              <w:rPr>
                <w:rFonts w:ascii="Arial" w:hAnsi="Arial" w:cs="Calibri"/>
                <w:sz w:val="20"/>
              </w:rPr>
              <w:t xml:space="preserve"> Depreciation</w:t>
            </w:r>
          </w:p>
        </w:tc>
        <w:tc>
          <w:tcPr>
            <w:tcW w:w="1418" w:type="dxa"/>
            <w:shd w:val="clear" w:color="auto" w:fill="auto"/>
          </w:tcPr>
          <w:p w14:paraId="2DB3B425" w14:textId="77777777" w:rsidR="00F27E28" w:rsidRPr="00E70587" w:rsidRDefault="00F27E28" w:rsidP="008D4DB9">
            <w:pPr>
              <w:pStyle w:val="Tablecolumnheading"/>
              <w:spacing w:line="280" w:lineRule="exact"/>
              <w:ind w:left="-720"/>
              <w:rPr>
                <w:rFonts w:ascii="Arial" w:hAnsi="Arial" w:cs="Calibri"/>
                <w:bCs/>
                <w:sz w:val="20"/>
                <w:szCs w:val="20"/>
              </w:rPr>
            </w:pPr>
            <w:r w:rsidRPr="00E70587">
              <w:rPr>
                <w:rFonts w:ascii="Arial" w:hAnsi="Arial" w:cs="Calibri"/>
                <w:bCs/>
                <w:sz w:val="20"/>
                <w:szCs w:val="20"/>
              </w:rPr>
              <w:t>(657)</w:t>
            </w:r>
          </w:p>
        </w:tc>
      </w:tr>
      <w:tr w:rsidR="00F27E28" w:rsidRPr="00E70587" w14:paraId="0AAEFFDA" w14:textId="77777777" w:rsidTr="000A2ED4">
        <w:tc>
          <w:tcPr>
            <w:tcW w:w="8018" w:type="dxa"/>
            <w:shd w:val="clear" w:color="auto" w:fill="auto"/>
            <w:vAlign w:val="center"/>
          </w:tcPr>
          <w:p w14:paraId="044DD184" w14:textId="0F1874EE" w:rsidR="00F27E28" w:rsidRPr="00E70587" w:rsidRDefault="00F27E28" w:rsidP="008D4DB9">
            <w:pPr>
              <w:pStyle w:val="Notesbodytext"/>
              <w:spacing w:after="0" w:line="280" w:lineRule="exact"/>
              <w:rPr>
                <w:rFonts w:ascii="Arial" w:hAnsi="Arial" w:cs="Calibri"/>
                <w:b/>
                <w:bCs/>
                <w:sz w:val="20"/>
              </w:rPr>
            </w:pPr>
            <w:r w:rsidRPr="00E70587">
              <w:rPr>
                <w:rFonts w:ascii="Arial" w:hAnsi="Arial" w:cs="Calibri"/>
                <w:b/>
                <w:bCs/>
                <w:sz w:val="20"/>
              </w:rPr>
              <w:t xml:space="preserve">Balance as at 31 March </w:t>
            </w:r>
            <w:r w:rsidR="00D54F38" w:rsidRPr="00E70587">
              <w:rPr>
                <w:rFonts w:ascii="Arial" w:hAnsi="Arial" w:cs="Calibri"/>
                <w:b/>
                <w:bCs/>
                <w:sz w:val="20"/>
              </w:rPr>
              <w:t>20</w:t>
            </w:r>
            <w:r w:rsidR="00D54F38">
              <w:rPr>
                <w:rFonts w:ascii="Arial" w:hAnsi="Arial" w:cs="Calibri"/>
                <w:b/>
                <w:bCs/>
                <w:sz w:val="20"/>
              </w:rPr>
              <w:t>21</w:t>
            </w:r>
          </w:p>
        </w:tc>
        <w:tc>
          <w:tcPr>
            <w:tcW w:w="1418" w:type="dxa"/>
            <w:shd w:val="clear" w:color="auto" w:fill="auto"/>
          </w:tcPr>
          <w:p w14:paraId="386B6283" w14:textId="77777777" w:rsidR="00F27E28" w:rsidRPr="00E70587" w:rsidRDefault="00F27E28" w:rsidP="008D4DB9">
            <w:pPr>
              <w:pStyle w:val="Tablecolumnheading"/>
              <w:spacing w:line="280" w:lineRule="exact"/>
              <w:ind w:left="-720"/>
              <w:rPr>
                <w:rFonts w:ascii="Arial" w:hAnsi="Arial" w:cs="Calibri"/>
                <w:bCs/>
                <w:sz w:val="20"/>
                <w:szCs w:val="20"/>
              </w:rPr>
            </w:pPr>
            <w:r w:rsidRPr="00E70587">
              <w:rPr>
                <w:rFonts w:ascii="Arial" w:hAnsi="Arial" w:cs="Calibri"/>
                <w:bCs/>
                <w:sz w:val="20"/>
                <w:szCs w:val="20"/>
              </w:rPr>
              <w:t>21,487</w:t>
            </w:r>
          </w:p>
        </w:tc>
      </w:tr>
    </w:tbl>
    <w:p w14:paraId="055DCBBD" w14:textId="77777777" w:rsidR="00944426" w:rsidRPr="00E70587" w:rsidRDefault="00944426" w:rsidP="009901E1">
      <w:pPr>
        <w:pStyle w:val="Notesbodytext"/>
        <w:spacing w:after="0" w:line="280" w:lineRule="exact"/>
        <w:jc w:val="both"/>
        <w:rPr>
          <w:rFonts w:ascii="Arial" w:hAnsi="Arial"/>
          <w:color w:val="auto"/>
          <w:sz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44426" w:rsidRPr="00E70587" w14:paraId="44BA776B" w14:textId="77777777" w:rsidTr="000C276D">
        <w:tc>
          <w:tcPr>
            <w:tcW w:w="9576" w:type="dxa"/>
            <w:shd w:val="clear" w:color="auto" w:fill="C1C1C1" w:themeFill="background1" w:themeFillTint="66"/>
          </w:tcPr>
          <w:p w14:paraId="7A5DD29F" w14:textId="77777777" w:rsidR="00944426" w:rsidRPr="00E70587" w:rsidRDefault="00944426" w:rsidP="00944426">
            <w:pPr>
              <w:pStyle w:val="Tablecolumnheading"/>
              <w:spacing w:line="280" w:lineRule="exact"/>
              <w:jc w:val="both"/>
              <w:rPr>
                <w:rFonts w:ascii="Arial" w:hAnsi="Arial"/>
                <w:color w:val="auto"/>
                <w:sz w:val="20"/>
                <w:szCs w:val="20"/>
                <w:lang w:val="en-IN"/>
              </w:rPr>
            </w:pPr>
            <w:r w:rsidRPr="00E70587">
              <w:rPr>
                <w:rFonts w:ascii="Arial" w:hAnsi="Arial"/>
                <w:color w:val="auto"/>
                <w:sz w:val="20"/>
                <w:szCs w:val="20"/>
                <w:lang w:val="en-IN"/>
              </w:rPr>
              <w:t>Authors’ note</w:t>
            </w:r>
          </w:p>
          <w:p w14:paraId="7C660A1B" w14:textId="77777777" w:rsidR="00944426" w:rsidRPr="00E70587" w:rsidRDefault="00944426" w:rsidP="00944426">
            <w:pPr>
              <w:pStyle w:val="Tablecolumnheading"/>
              <w:spacing w:line="280" w:lineRule="exact"/>
              <w:jc w:val="both"/>
              <w:rPr>
                <w:rFonts w:ascii="Arial" w:hAnsi="Arial"/>
                <w:b w:val="0"/>
                <w:color w:val="auto"/>
                <w:sz w:val="20"/>
                <w:szCs w:val="20"/>
                <w:lang w:val="en-IN"/>
              </w:rPr>
            </w:pPr>
          </w:p>
          <w:p w14:paraId="719EA0D2" w14:textId="3673BF2D" w:rsidR="00944426" w:rsidRDefault="00944426" w:rsidP="00944426">
            <w:pPr>
              <w:pStyle w:val="Tablecolumnheading"/>
              <w:spacing w:line="280" w:lineRule="exact"/>
              <w:jc w:val="both"/>
              <w:rPr>
                <w:rFonts w:ascii="Arial" w:hAnsi="Arial"/>
                <w:b w:val="0"/>
                <w:color w:val="auto"/>
                <w:sz w:val="20"/>
                <w:szCs w:val="20"/>
                <w:lang w:val="en-IN"/>
              </w:rPr>
            </w:pPr>
            <w:r w:rsidRPr="00E70587">
              <w:rPr>
                <w:rFonts w:ascii="Arial" w:hAnsi="Arial"/>
                <w:b w:val="0"/>
                <w:color w:val="auto"/>
                <w:sz w:val="20"/>
                <w:szCs w:val="20"/>
                <w:lang w:val="en-IN"/>
              </w:rPr>
              <w:t>Under the Ind AS compliant Schedule III, land and building are presented as two separate classes of property, plant and equipment. In contrast, paragraph 37 of Ind AS 16 appears to be having flexibility to treat land and building either as one class or as two separate classes. It also states that a class of property, plant and equipment is a grouping of assets of a similar nature and use in an entity's operations. Based on the nature, characteristics and risks of land and building, the management has determined that they constitute one class of property for revaluation as well presentation in the financial statements.</w:t>
            </w:r>
          </w:p>
          <w:p w14:paraId="3B39DEE1" w14:textId="77777777" w:rsidR="00D54F38" w:rsidRDefault="00D54F38" w:rsidP="00D54F38">
            <w:pPr>
              <w:pStyle w:val="tabletext"/>
              <w:rPr>
                <w:rFonts w:ascii="Arial" w:hAnsi="Arial" w:cs="Arial"/>
                <w:sz w:val="20"/>
                <w:szCs w:val="22"/>
                <w:lang w:val="en-IN"/>
              </w:rPr>
            </w:pPr>
          </w:p>
          <w:p w14:paraId="1179F2A6" w14:textId="3AD2920D" w:rsidR="00D54F38" w:rsidRPr="00D54F38" w:rsidRDefault="00D54F38" w:rsidP="00D54F38">
            <w:pPr>
              <w:pStyle w:val="tabletext"/>
              <w:spacing w:line="360" w:lineRule="auto"/>
              <w:rPr>
                <w:rFonts w:ascii="Arial" w:hAnsi="Arial" w:cs="Arial"/>
                <w:sz w:val="20"/>
                <w:szCs w:val="22"/>
                <w:lang w:val="en-IN"/>
              </w:rPr>
            </w:pPr>
            <w:r w:rsidRPr="00D54F38">
              <w:rPr>
                <w:rFonts w:ascii="Arial" w:hAnsi="Arial" w:cs="Arial"/>
                <w:sz w:val="20"/>
                <w:szCs w:val="22"/>
                <w:lang w:val="en-IN"/>
              </w:rPr>
              <w:t xml:space="preserve">If a </w:t>
            </w:r>
            <w:r w:rsidRPr="00D54F38">
              <w:rPr>
                <w:rFonts w:ascii="Arial" w:hAnsi="Arial" w:cs="Arial"/>
                <w:sz w:val="20"/>
                <w:lang w:val="en-IN"/>
              </w:rPr>
              <w:t>lessee does not present right-of-use assets separately in the balance sheet, Ind AS 116.47 requires the right-of-use assets to be included within the same line item as that within which the corresponding underlying assets would be presented if they were owned. If the Group had included its right-of-use assets within property, plant and equipment, a column for the right-of-use assets would be included in the above table with</w:t>
            </w:r>
            <w:r w:rsidRPr="00D54F38">
              <w:rPr>
                <w:rFonts w:ascii="Arial" w:hAnsi="Arial" w:cs="Arial"/>
                <w:sz w:val="20"/>
                <w:szCs w:val="22"/>
                <w:lang w:val="en-IN"/>
              </w:rPr>
              <w:t xml:space="preserve"> a cross-reference to the details in Note 42.</w:t>
            </w:r>
          </w:p>
          <w:p w14:paraId="6D8C9198" w14:textId="77777777" w:rsidR="00944426" w:rsidRPr="00E70587" w:rsidRDefault="00944426" w:rsidP="00944426">
            <w:pPr>
              <w:pStyle w:val="tabletext"/>
              <w:rPr>
                <w:rFonts w:ascii="Arial" w:hAnsi="Arial"/>
                <w:lang w:val="en-IN"/>
              </w:rPr>
            </w:pPr>
          </w:p>
        </w:tc>
      </w:tr>
      <w:tr w:rsidR="0031699D" w:rsidRPr="00E70587" w14:paraId="0E5D513B" w14:textId="77777777" w:rsidTr="000C276D">
        <w:tc>
          <w:tcPr>
            <w:tcW w:w="9576" w:type="dxa"/>
            <w:shd w:val="clear" w:color="auto" w:fill="C1C1C1" w:themeFill="background1" w:themeFillTint="66"/>
          </w:tcPr>
          <w:p w14:paraId="4BE43F4D" w14:textId="77777777" w:rsidR="0031699D" w:rsidRPr="00E70587" w:rsidRDefault="0031699D" w:rsidP="00944426">
            <w:pPr>
              <w:pStyle w:val="Tablecolumnheading"/>
              <w:spacing w:line="280" w:lineRule="exact"/>
              <w:jc w:val="both"/>
              <w:rPr>
                <w:rFonts w:ascii="Arial" w:hAnsi="Arial"/>
                <w:color w:val="auto"/>
                <w:sz w:val="20"/>
                <w:szCs w:val="20"/>
                <w:lang w:val="en-IN"/>
              </w:rPr>
            </w:pPr>
          </w:p>
        </w:tc>
      </w:tr>
    </w:tbl>
    <w:p w14:paraId="4C71A13D" w14:textId="77777777" w:rsidR="00117B6A" w:rsidRPr="00117B6A" w:rsidRDefault="00117B6A" w:rsidP="00117B6A">
      <w:pPr>
        <w:pStyle w:val="Notesbodytext"/>
        <w:shd w:val="clear" w:color="auto" w:fill="C1C1C1" w:themeFill="background2" w:themeFillTint="66"/>
        <w:spacing w:line="280" w:lineRule="exact"/>
        <w:jc w:val="both"/>
        <w:rPr>
          <w:rFonts w:ascii="Arial" w:hAnsi="Arial"/>
          <w:b/>
          <w:bCs/>
          <w:color w:val="auto"/>
          <w:sz w:val="20"/>
        </w:rPr>
      </w:pPr>
      <w:r w:rsidRPr="00117B6A">
        <w:rPr>
          <w:rFonts w:ascii="Arial" w:hAnsi="Arial"/>
          <w:b/>
          <w:bCs/>
          <w:color w:val="auto"/>
          <w:sz w:val="20"/>
        </w:rPr>
        <w:lastRenderedPageBreak/>
        <w:t xml:space="preserve">Covid-19 commentary </w:t>
      </w:r>
    </w:p>
    <w:p w14:paraId="40841FCF" w14:textId="12282C4B" w:rsidR="00944426" w:rsidRPr="00E70587" w:rsidRDefault="00117B6A" w:rsidP="00117B6A">
      <w:pPr>
        <w:pStyle w:val="Notesbodytext"/>
        <w:shd w:val="clear" w:color="auto" w:fill="C1C1C1" w:themeFill="background2" w:themeFillTint="66"/>
        <w:spacing w:line="280" w:lineRule="exact"/>
        <w:jc w:val="both"/>
        <w:rPr>
          <w:rFonts w:ascii="Arial" w:hAnsi="Arial"/>
          <w:color w:val="auto"/>
          <w:sz w:val="20"/>
        </w:rPr>
      </w:pPr>
      <w:r w:rsidRPr="00117B6A">
        <w:rPr>
          <w:rFonts w:ascii="Arial" w:hAnsi="Arial"/>
          <w:color w:val="auto"/>
          <w:sz w:val="20"/>
        </w:rPr>
        <w:t>Many entities will have to assess property, plant and equipment for impairment. In addition, entities may need to reconsider their assumptions about the future use of an asset, specifically the remaining useful life and residual values. Property, plant and equipment may be under-utilised or idled for a period, which may lead entities to change plans and require a reassessment of</w:t>
      </w:r>
      <w:r w:rsidR="00752F5B">
        <w:rPr>
          <w:rFonts w:ascii="Arial" w:hAnsi="Arial"/>
          <w:color w:val="auto"/>
          <w:sz w:val="20"/>
        </w:rPr>
        <w:t xml:space="preserve"> </w:t>
      </w:r>
      <w:r w:rsidRPr="00117B6A">
        <w:rPr>
          <w:rFonts w:ascii="Arial" w:hAnsi="Arial"/>
          <w:color w:val="auto"/>
          <w:sz w:val="20"/>
        </w:rPr>
        <w:t>the useful life estimates used in the depreciation calculations. Additionally, a weak economy may affect the residual value of property, plant and equipment that will also need to be included in any estimates of depreciation expense.</w:t>
      </w:r>
    </w:p>
    <w:p w14:paraId="67AD169B" w14:textId="744E9AC6" w:rsidR="00117B6A" w:rsidRDefault="00117B6A" w:rsidP="00117B6A">
      <w:pPr>
        <w:pStyle w:val="ViralheadingL2"/>
        <w:keepNext w:val="0"/>
        <w:spacing w:before="0" w:after="0" w:line="280" w:lineRule="exact"/>
        <w:ind w:left="720"/>
        <w:outlineLvl w:val="9"/>
        <w:rPr>
          <w:rFonts w:ascii="Arial" w:hAnsi="Arial" w:cs="Arial"/>
          <w:sz w:val="20"/>
          <w:szCs w:val="20"/>
        </w:rPr>
      </w:pPr>
    </w:p>
    <w:p w14:paraId="27C51D2B" w14:textId="73679431" w:rsidR="00333A4B" w:rsidRPr="00E70587" w:rsidRDefault="00333A4B" w:rsidP="00333A4B">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Investment properties</w:t>
      </w:r>
    </w:p>
    <w:tbl>
      <w:tblPr>
        <w:tblW w:w="9576" w:type="dxa"/>
        <w:tblLayout w:type="fixed"/>
        <w:tblLook w:val="0000" w:firstRow="0" w:lastRow="0" w:firstColumn="0" w:lastColumn="0" w:noHBand="0" w:noVBand="0"/>
      </w:tblPr>
      <w:tblGrid>
        <w:gridCol w:w="7769"/>
        <w:gridCol w:w="1807"/>
      </w:tblGrid>
      <w:tr w:rsidR="00333A4B" w:rsidRPr="00E70587" w14:paraId="4F7C589D" w14:textId="77777777" w:rsidTr="00AB34D8">
        <w:tc>
          <w:tcPr>
            <w:tcW w:w="7769" w:type="dxa"/>
            <w:tcBorders>
              <w:top w:val="nil"/>
              <w:left w:val="nil"/>
              <w:bottom w:val="nil"/>
              <w:right w:val="nil"/>
            </w:tcBorders>
          </w:tcPr>
          <w:p w14:paraId="4FFCD3B6" w14:textId="77777777" w:rsidR="00333A4B" w:rsidRPr="00E70587" w:rsidRDefault="00333A4B" w:rsidP="00543062">
            <w:pPr>
              <w:overflowPunct/>
              <w:spacing w:line="280" w:lineRule="exact"/>
              <w:jc w:val="right"/>
              <w:textAlignment w:val="auto"/>
              <w:rPr>
                <w:rFonts w:ascii="Arial" w:hAnsi="Arial" w:cs="Arial"/>
                <w:b/>
                <w:bCs/>
                <w:sz w:val="20"/>
                <w:lang w:eastAsia="en-GB"/>
              </w:rPr>
            </w:pPr>
          </w:p>
        </w:tc>
        <w:tc>
          <w:tcPr>
            <w:tcW w:w="1807" w:type="dxa"/>
            <w:tcBorders>
              <w:top w:val="nil"/>
              <w:left w:val="nil"/>
              <w:bottom w:val="nil"/>
              <w:right w:val="nil"/>
            </w:tcBorders>
          </w:tcPr>
          <w:p w14:paraId="3152C5D5" w14:textId="77777777" w:rsidR="00333A4B" w:rsidRPr="00E70587" w:rsidRDefault="00333A4B" w:rsidP="00543062">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INR Lacs</w:t>
            </w:r>
          </w:p>
        </w:tc>
      </w:tr>
      <w:tr w:rsidR="00333A4B" w:rsidRPr="00E70587" w14:paraId="20A8B142" w14:textId="77777777" w:rsidTr="00AB34D8">
        <w:tc>
          <w:tcPr>
            <w:tcW w:w="7769" w:type="dxa"/>
            <w:tcBorders>
              <w:top w:val="nil"/>
              <w:left w:val="nil"/>
              <w:bottom w:val="nil"/>
              <w:right w:val="nil"/>
            </w:tcBorders>
          </w:tcPr>
          <w:p w14:paraId="70606FE0" w14:textId="384A76C6" w:rsidR="00333A4B" w:rsidRPr="00E70587" w:rsidRDefault="00333A4B" w:rsidP="00543062">
            <w:pPr>
              <w:overflowPunct/>
              <w:spacing w:line="280" w:lineRule="exact"/>
              <w:textAlignment w:val="auto"/>
              <w:rPr>
                <w:rFonts w:ascii="Arial" w:hAnsi="Arial" w:cs="Arial"/>
                <w:b/>
                <w:sz w:val="20"/>
                <w:lang w:eastAsia="en-GB"/>
              </w:rPr>
            </w:pPr>
            <w:r w:rsidRPr="00E70587">
              <w:rPr>
                <w:rFonts w:ascii="Arial" w:hAnsi="Arial" w:cs="Arial"/>
                <w:b/>
                <w:sz w:val="20"/>
                <w:lang w:eastAsia="en-GB"/>
              </w:rPr>
              <w:t xml:space="preserve">Opening balance at 1 April </w:t>
            </w:r>
            <w:r w:rsidR="00AB34D8" w:rsidRPr="00E70587">
              <w:rPr>
                <w:rFonts w:ascii="Arial" w:hAnsi="Arial" w:cs="Arial"/>
                <w:b/>
                <w:sz w:val="20"/>
                <w:lang w:eastAsia="en-GB"/>
              </w:rPr>
              <w:t>201</w:t>
            </w:r>
            <w:r w:rsidR="00AB34D8">
              <w:rPr>
                <w:rFonts w:ascii="Arial" w:hAnsi="Arial" w:cs="Arial"/>
                <w:b/>
                <w:sz w:val="20"/>
                <w:lang w:eastAsia="en-GB"/>
              </w:rPr>
              <w:t>9</w:t>
            </w:r>
          </w:p>
        </w:tc>
        <w:tc>
          <w:tcPr>
            <w:tcW w:w="1807" w:type="dxa"/>
            <w:tcBorders>
              <w:top w:val="nil"/>
              <w:left w:val="nil"/>
              <w:right w:val="nil"/>
            </w:tcBorders>
            <w:shd w:val="clear" w:color="auto" w:fill="auto"/>
          </w:tcPr>
          <w:p w14:paraId="3EB0D358" w14:textId="77777777" w:rsidR="00333A4B" w:rsidRPr="00E70587" w:rsidRDefault="00333A4B" w:rsidP="00543062">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12,764</w:t>
            </w:r>
          </w:p>
        </w:tc>
      </w:tr>
      <w:tr w:rsidR="00333A4B" w:rsidRPr="00E70587" w14:paraId="460148DD" w14:textId="77777777" w:rsidTr="00AB34D8">
        <w:tc>
          <w:tcPr>
            <w:tcW w:w="7769" w:type="dxa"/>
            <w:tcBorders>
              <w:top w:val="nil"/>
              <w:left w:val="nil"/>
              <w:bottom w:val="nil"/>
              <w:right w:val="nil"/>
            </w:tcBorders>
          </w:tcPr>
          <w:p w14:paraId="02A50619" w14:textId="77777777" w:rsidR="00333A4B" w:rsidRPr="00E70587" w:rsidRDefault="00333A4B" w:rsidP="00543062">
            <w:pPr>
              <w:overflowPunct/>
              <w:spacing w:line="280" w:lineRule="exact"/>
              <w:textAlignment w:val="auto"/>
              <w:rPr>
                <w:rFonts w:ascii="Arial" w:hAnsi="Arial" w:cs="Arial"/>
                <w:sz w:val="20"/>
                <w:lang w:eastAsia="en-GB"/>
              </w:rPr>
            </w:pPr>
            <w:r w:rsidRPr="00E70587">
              <w:rPr>
                <w:rFonts w:ascii="Arial" w:hAnsi="Arial" w:cs="Arial"/>
                <w:sz w:val="20"/>
                <w:lang w:eastAsia="en-GB"/>
              </w:rPr>
              <w:t>Additions (subsequent expenditure)</w:t>
            </w:r>
          </w:p>
        </w:tc>
        <w:tc>
          <w:tcPr>
            <w:tcW w:w="1807" w:type="dxa"/>
            <w:tcBorders>
              <w:top w:val="nil"/>
              <w:left w:val="nil"/>
              <w:bottom w:val="single" w:sz="4" w:space="0" w:color="auto"/>
              <w:right w:val="nil"/>
            </w:tcBorders>
            <w:shd w:val="clear" w:color="auto" w:fill="auto"/>
          </w:tcPr>
          <w:p w14:paraId="0FE7ADC0" w14:textId="77777777" w:rsidR="00333A4B" w:rsidRPr="00E70587" w:rsidRDefault="00333A4B"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2,145</w:t>
            </w:r>
          </w:p>
        </w:tc>
      </w:tr>
      <w:tr w:rsidR="00333A4B" w:rsidRPr="00E70587" w14:paraId="5C6CF9D2" w14:textId="77777777" w:rsidTr="00AB34D8">
        <w:tc>
          <w:tcPr>
            <w:tcW w:w="7769" w:type="dxa"/>
            <w:tcBorders>
              <w:top w:val="nil"/>
              <w:left w:val="nil"/>
              <w:bottom w:val="nil"/>
              <w:right w:val="nil"/>
            </w:tcBorders>
          </w:tcPr>
          <w:p w14:paraId="3A5513E9" w14:textId="1BBB5922" w:rsidR="00333A4B" w:rsidRPr="00E70587" w:rsidRDefault="00333A4B" w:rsidP="00543062">
            <w:pPr>
              <w:overflowPunct/>
              <w:spacing w:line="280" w:lineRule="exact"/>
              <w:textAlignment w:val="auto"/>
              <w:rPr>
                <w:rFonts w:ascii="Arial" w:hAnsi="Arial" w:cs="Arial"/>
                <w:b/>
                <w:bCs/>
                <w:sz w:val="20"/>
                <w:lang w:eastAsia="en-GB"/>
              </w:rPr>
            </w:pPr>
            <w:r w:rsidRPr="00E70587">
              <w:rPr>
                <w:rFonts w:ascii="Arial" w:hAnsi="Arial" w:cs="Arial"/>
                <w:b/>
                <w:bCs/>
                <w:sz w:val="20"/>
                <w:lang w:eastAsia="en-GB"/>
              </w:rPr>
              <w:t xml:space="preserve">Closing balance at 31 </w:t>
            </w:r>
            <w:r w:rsidR="008B730E" w:rsidRPr="00E70587">
              <w:rPr>
                <w:rFonts w:ascii="Arial" w:hAnsi="Arial" w:cs="Arial"/>
                <w:b/>
                <w:bCs/>
                <w:sz w:val="20"/>
                <w:lang w:eastAsia="en-GB"/>
              </w:rPr>
              <w:t xml:space="preserve">March </w:t>
            </w:r>
            <w:r w:rsidR="00AB34D8" w:rsidRPr="00E70587">
              <w:rPr>
                <w:rFonts w:ascii="Arial" w:hAnsi="Arial" w:cs="Arial"/>
                <w:b/>
                <w:bCs/>
                <w:sz w:val="20"/>
                <w:lang w:eastAsia="en-GB"/>
              </w:rPr>
              <w:t>20</w:t>
            </w:r>
            <w:r w:rsidR="00AB34D8">
              <w:rPr>
                <w:rFonts w:ascii="Arial" w:hAnsi="Arial" w:cs="Arial"/>
                <w:b/>
                <w:bCs/>
                <w:sz w:val="20"/>
                <w:lang w:eastAsia="en-GB"/>
              </w:rPr>
              <w:t>20</w:t>
            </w:r>
          </w:p>
        </w:tc>
        <w:tc>
          <w:tcPr>
            <w:tcW w:w="1807" w:type="dxa"/>
            <w:tcBorders>
              <w:top w:val="single" w:sz="4" w:space="0" w:color="auto"/>
              <w:left w:val="nil"/>
              <w:right w:val="nil"/>
            </w:tcBorders>
            <w:shd w:val="clear" w:color="auto" w:fill="auto"/>
          </w:tcPr>
          <w:p w14:paraId="6CE9B260" w14:textId="77777777" w:rsidR="00333A4B" w:rsidRPr="00E70587" w:rsidRDefault="00333A4B" w:rsidP="00543062">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14,909</w:t>
            </w:r>
          </w:p>
        </w:tc>
      </w:tr>
      <w:tr w:rsidR="00333A4B" w:rsidRPr="00E70587" w14:paraId="1AF26CAA" w14:textId="77777777" w:rsidTr="00AB34D8">
        <w:tc>
          <w:tcPr>
            <w:tcW w:w="7769" w:type="dxa"/>
            <w:tcBorders>
              <w:top w:val="nil"/>
              <w:left w:val="nil"/>
              <w:bottom w:val="nil"/>
              <w:right w:val="nil"/>
            </w:tcBorders>
          </w:tcPr>
          <w:p w14:paraId="5BB8CB53" w14:textId="77777777" w:rsidR="00333A4B" w:rsidRPr="00E70587" w:rsidRDefault="00333A4B" w:rsidP="00543062">
            <w:pPr>
              <w:overflowPunct/>
              <w:spacing w:line="280" w:lineRule="exact"/>
              <w:textAlignment w:val="auto"/>
              <w:rPr>
                <w:rFonts w:ascii="Arial" w:hAnsi="Arial" w:cs="Arial"/>
                <w:sz w:val="20"/>
                <w:lang w:eastAsia="en-GB"/>
              </w:rPr>
            </w:pPr>
            <w:r w:rsidRPr="00E70587">
              <w:rPr>
                <w:rFonts w:ascii="Arial" w:hAnsi="Arial" w:cs="Arial"/>
                <w:sz w:val="20"/>
                <w:lang w:eastAsia="en-GB"/>
              </w:rPr>
              <w:t>Additions (subsequent expenditure)</w:t>
            </w:r>
          </w:p>
        </w:tc>
        <w:tc>
          <w:tcPr>
            <w:tcW w:w="1807" w:type="dxa"/>
            <w:tcBorders>
              <w:top w:val="nil"/>
              <w:left w:val="nil"/>
              <w:bottom w:val="single" w:sz="4" w:space="0" w:color="auto"/>
              <w:right w:val="nil"/>
            </w:tcBorders>
            <w:shd w:val="clear" w:color="auto" w:fill="auto"/>
          </w:tcPr>
          <w:p w14:paraId="5B5D076B" w14:textId="77777777" w:rsidR="00333A4B" w:rsidRPr="00E70587" w:rsidRDefault="00333A4B"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2,189</w:t>
            </w:r>
          </w:p>
        </w:tc>
      </w:tr>
      <w:tr w:rsidR="00333A4B" w:rsidRPr="00E70587" w14:paraId="09752D52" w14:textId="77777777" w:rsidTr="00AB34D8">
        <w:tc>
          <w:tcPr>
            <w:tcW w:w="7769" w:type="dxa"/>
            <w:tcBorders>
              <w:top w:val="nil"/>
              <w:left w:val="nil"/>
              <w:bottom w:val="nil"/>
              <w:right w:val="nil"/>
            </w:tcBorders>
          </w:tcPr>
          <w:p w14:paraId="613F7299" w14:textId="7D572099" w:rsidR="00333A4B" w:rsidRPr="00E70587" w:rsidRDefault="00333A4B" w:rsidP="00543062">
            <w:pPr>
              <w:overflowPunct/>
              <w:spacing w:line="280" w:lineRule="exact"/>
              <w:textAlignment w:val="auto"/>
              <w:rPr>
                <w:rFonts w:ascii="Arial" w:hAnsi="Arial" w:cs="Arial"/>
                <w:b/>
                <w:bCs/>
                <w:sz w:val="20"/>
                <w:lang w:eastAsia="en-GB"/>
              </w:rPr>
            </w:pPr>
            <w:r w:rsidRPr="00E70587">
              <w:rPr>
                <w:rFonts w:ascii="Arial" w:hAnsi="Arial" w:cs="Arial"/>
                <w:b/>
                <w:bCs/>
                <w:sz w:val="20"/>
                <w:lang w:eastAsia="en-GB"/>
              </w:rPr>
              <w:t xml:space="preserve">Closing balance at 31 </w:t>
            </w:r>
            <w:r w:rsidR="00E1202D" w:rsidRPr="00E70587">
              <w:rPr>
                <w:rFonts w:ascii="Arial" w:hAnsi="Arial" w:cs="Arial"/>
                <w:b/>
                <w:bCs/>
                <w:sz w:val="20"/>
                <w:lang w:eastAsia="en-GB"/>
              </w:rPr>
              <w:t xml:space="preserve">March </w:t>
            </w:r>
            <w:r w:rsidR="00AB34D8" w:rsidRPr="00E70587">
              <w:rPr>
                <w:rFonts w:ascii="Arial" w:hAnsi="Arial" w:cs="Arial"/>
                <w:b/>
                <w:bCs/>
                <w:sz w:val="20"/>
                <w:lang w:eastAsia="en-GB"/>
              </w:rPr>
              <w:t>20</w:t>
            </w:r>
            <w:r w:rsidR="00AB34D8">
              <w:rPr>
                <w:rFonts w:ascii="Arial" w:hAnsi="Arial" w:cs="Arial"/>
                <w:b/>
                <w:bCs/>
                <w:sz w:val="20"/>
                <w:lang w:eastAsia="en-GB"/>
              </w:rPr>
              <w:t>21</w:t>
            </w:r>
          </w:p>
        </w:tc>
        <w:tc>
          <w:tcPr>
            <w:tcW w:w="1807" w:type="dxa"/>
            <w:tcBorders>
              <w:top w:val="single" w:sz="4" w:space="0" w:color="auto"/>
              <w:left w:val="nil"/>
              <w:bottom w:val="double" w:sz="4" w:space="0" w:color="auto"/>
              <w:right w:val="nil"/>
            </w:tcBorders>
            <w:shd w:val="clear" w:color="auto" w:fill="auto"/>
          </w:tcPr>
          <w:p w14:paraId="5A1C444D" w14:textId="77777777" w:rsidR="00333A4B" w:rsidRPr="00E70587" w:rsidRDefault="00333A4B" w:rsidP="00543062">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17,098</w:t>
            </w:r>
          </w:p>
        </w:tc>
      </w:tr>
      <w:tr w:rsidR="00333A4B" w:rsidRPr="00E70587" w14:paraId="130F1CDC" w14:textId="77777777" w:rsidTr="00AB34D8">
        <w:tc>
          <w:tcPr>
            <w:tcW w:w="7769" w:type="dxa"/>
            <w:tcBorders>
              <w:top w:val="nil"/>
              <w:left w:val="nil"/>
              <w:bottom w:val="nil"/>
              <w:right w:val="nil"/>
            </w:tcBorders>
          </w:tcPr>
          <w:p w14:paraId="6F58531E" w14:textId="77777777" w:rsidR="00333A4B" w:rsidRPr="00E70587" w:rsidRDefault="00333A4B" w:rsidP="00543062">
            <w:pPr>
              <w:overflowPunct/>
              <w:spacing w:line="280" w:lineRule="exact"/>
              <w:jc w:val="right"/>
              <w:textAlignment w:val="auto"/>
              <w:rPr>
                <w:rFonts w:ascii="Arial" w:hAnsi="Arial" w:cs="Arial"/>
                <w:sz w:val="20"/>
                <w:lang w:eastAsia="en-GB"/>
              </w:rPr>
            </w:pPr>
          </w:p>
        </w:tc>
        <w:tc>
          <w:tcPr>
            <w:tcW w:w="1807" w:type="dxa"/>
            <w:tcBorders>
              <w:top w:val="double" w:sz="4" w:space="0" w:color="auto"/>
              <w:left w:val="nil"/>
              <w:bottom w:val="nil"/>
              <w:right w:val="nil"/>
            </w:tcBorders>
            <w:shd w:val="clear" w:color="auto" w:fill="auto"/>
          </w:tcPr>
          <w:p w14:paraId="2A7985CF" w14:textId="77777777" w:rsidR="00333A4B" w:rsidRPr="00E70587" w:rsidRDefault="00333A4B" w:rsidP="00543062">
            <w:pPr>
              <w:overflowPunct/>
              <w:spacing w:line="280" w:lineRule="exact"/>
              <w:jc w:val="right"/>
              <w:textAlignment w:val="auto"/>
              <w:rPr>
                <w:rFonts w:ascii="Arial" w:hAnsi="Arial" w:cs="Arial"/>
                <w:sz w:val="20"/>
                <w:lang w:eastAsia="en-GB"/>
              </w:rPr>
            </w:pPr>
          </w:p>
        </w:tc>
      </w:tr>
      <w:tr w:rsidR="00333A4B" w:rsidRPr="00E70587" w14:paraId="56EEC7E3" w14:textId="77777777" w:rsidTr="00AB34D8">
        <w:tc>
          <w:tcPr>
            <w:tcW w:w="7769" w:type="dxa"/>
            <w:tcBorders>
              <w:top w:val="nil"/>
              <w:left w:val="nil"/>
              <w:bottom w:val="nil"/>
              <w:right w:val="nil"/>
            </w:tcBorders>
          </w:tcPr>
          <w:p w14:paraId="45D2E269" w14:textId="77777777" w:rsidR="00333A4B" w:rsidRPr="00E70587" w:rsidRDefault="00333A4B" w:rsidP="00543062">
            <w:pPr>
              <w:overflowPunct/>
              <w:spacing w:line="280" w:lineRule="exact"/>
              <w:textAlignment w:val="auto"/>
              <w:rPr>
                <w:rFonts w:ascii="Arial" w:hAnsi="Arial" w:cs="Arial"/>
                <w:b/>
                <w:bCs/>
                <w:sz w:val="20"/>
                <w:lang w:eastAsia="en-GB"/>
              </w:rPr>
            </w:pPr>
            <w:r w:rsidRPr="00E70587">
              <w:rPr>
                <w:rFonts w:ascii="Arial" w:hAnsi="Arial" w:cs="Arial"/>
                <w:b/>
                <w:bCs/>
                <w:sz w:val="20"/>
                <w:lang w:eastAsia="en-GB"/>
              </w:rPr>
              <w:t>Depreciation and impairment</w:t>
            </w:r>
          </w:p>
        </w:tc>
        <w:tc>
          <w:tcPr>
            <w:tcW w:w="1807" w:type="dxa"/>
            <w:tcBorders>
              <w:top w:val="nil"/>
              <w:left w:val="nil"/>
              <w:bottom w:val="nil"/>
              <w:right w:val="nil"/>
            </w:tcBorders>
            <w:shd w:val="clear" w:color="auto" w:fill="auto"/>
          </w:tcPr>
          <w:p w14:paraId="4644C2B7" w14:textId="77777777" w:rsidR="00333A4B" w:rsidRPr="00E70587" w:rsidRDefault="00333A4B" w:rsidP="00543062">
            <w:pPr>
              <w:overflowPunct/>
              <w:spacing w:line="280" w:lineRule="exact"/>
              <w:jc w:val="right"/>
              <w:textAlignment w:val="auto"/>
              <w:rPr>
                <w:rFonts w:ascii="Arial" w:hAnsi="Arial" w:cs="Arial"/>
                <w:sz w:val="20"/>
                <w:lang w:eastAsia="en-GB"/>
              </w:rPr>
            </w:pPr>
          </w:p>
        </w:tc>
      </w:tr>
      <w:tr w:rsidR="00333A4B" w:rsidRPr="00E70587" w14:paraId="37C8B1AF" w14:textId="77777777" w:rsidTr="00AB34D8">
        <w:tc>
          <w:tcPr>
            <w:tcW w:w="7769" w:type="dxa"/>
            <w:tcBorders>
              <w:top w:val="nil"/>
              <w:left w:val="nil"/>
              <w:bottom w:val="nil"/>
              <w:right w:val="nil"/>
            </w:tcBorders>
          </w:tcPr>
          <w:p w14:paraId="21772E67" w14:textId="128A9714" w:rsidR="00333A4B" w:rsidRPr="00E70587" w:rsidRDefault="00333A4B" w:rsidP="00543062">
            <w:pPr>
              <w:overflowPunct/>
              <w:spacing w:line="280" w:lineRule="exact"/>
              <w:textAlignment w:val="auto"/>
              <w:rPr>
                <w:rFonts w:ascii="Arial" w:hAnsi="Arial" w:cs="Arial"/>
                <w:b/>
                <w:sz w:val="20"/>
                <w:lang w:eastAsia="en-GB"/>
              </w:rPr>
            </w:pPr>
            <w:r w:rsidRPr="00E70587">
              <w:rPr>
                <w:rFonts w:ascii="Arial" w:hAnsi="Arial" w:cs="Arial"/>
                <w:b/>
                <w:sz w:val="20"/>
                <w:lang w:eastAsia="en-GB"/>
              </w:rPr>
              <w:t xml:space="preserve">Opening balance at 1 April </w:t>
            </w:r>
            <w:r w:rsidR="00AB34D8" w:rsidRPr="00E70587">
              <w:rPr>
                <w:rFonts w:ascii="Arial" w:hAnsi="Arial" w:cs="Arial"/>
                <w:b/>
                <w:sz w:val="20"/>
                <w:lang w:eastAsia="en-GB"/>
              </w:rPr>
              <w:t>201</w:t>
            </w:r>
            <w:r w:rsidR="00AB34D8">
              <w:rPr>
                <w:rFonts w:ascii="Arial" w:hAnsi="Arial" w:cs="Arial"/>
                <w:b/>
                <w:sz w:val="20"/>
                <w:lang w:eastAsia="en-GB"/>
              </w:rPr>
              <w:t>9</w:t>
            </w:r>
          </w:p>
        </w:tc>
        <w:tc>
          <w:tcPr>
            <w:tcW w:w="1807" w:type="dxa"/>
            <w:tcBorders>
              <w:top w:val="nil"/>
              <w:left w:val="nil"/>
              <w:right w:val="nil"/>
            </w:tcBorders>
            <w:shd w:val="clear" w:color="auto" w:fill="auto"/>
          </w:tcPr>
          <w:p w14:paraId="743BDE36" w14:textId="77777777" w:rsidR="00333A4B" w:rsidRPr="00E70587" w:rsidRDefault="00333A4B"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333A4B" w:rsidRPr="00E70587" w14:paraId="6576A9BE" w14:textId="77777777" w:rsidTr="00AB34D8">
        <w:tc>
          <w:tcPr>
            <w:tcW w:w="7769" w:type="dxa"/>
            <w:tcBorders>
              <w:top w:val="nil"/>
              <w:left w:val="nil"/>
              <w:bottom w:val="nil"/>
              <w:right w:val="nil"/>
            </w:tcBorders>
          </w:tcPr>
          <w:p w14:paraId="295547FD" w14:textId="77777777" w:rsidR="00333A4B" w:rsidRPr="00E70587" w:rsidRDefault="00333A4B" w:rsidP="00543062">
            <w:pPr>
              <w:overflowPunct/>
              <w:spacing w:line="280" w:lineRule="exact"/>
              <w:textAlignment w:val="auto"/>
              <w:rPr>
                <w:rFonts w:ascii="Arial" w:hAnsi="Arial" w:cs="Arial"/>
                <w:sz w:val="20"/>
                <w:lang w:eastAsia="en-GB"/>
              </w:rPr>
            </w:pPr>
            <w:r w:rsidRPr="00E70587">
              <w:rPr>
                <w:rFonts w:ascii="Arial" w:hAnsi="Arial" w:cs="Arial"/>
                <w:sz w:val="20"/>
                <w:lang w:eastAsia="en-GB"/>
              </w:rPr>
              <w:t>Depreciation</w:t>
            </w:r>
            <w:r w:rsidR="0067122D" w:rsidRPr="00E70587">
              <w:rPr>
                <w:rFonts w:ascii="Arial" w:hAnsi="Arial" w:cs="Arial"/>
                <w:sz w:val="20"/>
                <w:lang w:eastAsia="en-GB"/>
              </w:rPr>
              <w:t xml:space="preserve"> (note 27)</w:t>
            </w:r>
          </w:p>
        </w:tc>
        <w:tc>
          <w:tcPr>
            <w:tcW w:w="1807" w:type="dxa"/>
            <w:tcBorders>
              <w:top w:val="nil"/>
              <w:left w:val="nil"/>
              <w:bottom w:val="single" w:sz="4" w:space="0" w:color="auto"/>
              <w:right w:val="nil"/>
            </w:tcBorders>
            <w:shd w:val="clear" w:color="auto" w:fill="auto"/>
          </w:tcPr>
          <w:p w14:paraId="47B77E57" w14:textId="77777777" w:rsidR="00333A4B" w:rsidRPr="00E70587" w:rsidRDefault="00333A4B"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(540)</w:t>
            </w:r>
          </w:p>
        </w:tc>
      </w:tr>
      <w:tr w:rsidR="00333A4B" w:rsidRPr="00E70587" w14:paraId="1406DBA4" w14:textId="77777777" w:rsidTr="00AB34D8">
        <w:tc>
          <w:tcPr>
            <w:tcW w:w="7769" w:type="dxa"/>
            <w:tcBorders>
              <w:top w:val="nil"/>
              <w:left w:val="nil"/>
              <w:bottom w:val="nil"/>
              <w:right w:val="nil"/>
            </w:tcBorders>
          </w:tcPr>
          <w:p w14:paraId="145ACB92" w14:textId="69D299BA" w:rsidR="00333A4B" w:rsidRPr="00E70587" w:rsidRDefault="00333A4B" w:rsidP="00543062">
            <w:pPr>
              <w:overflowPunct/>
              <w:spacing w:line="280" w:lineRule="exact"/>
              <w:textAlignment w:val="auto"/>
              <w:rPr>
                <w:rFonts w:ascii="Arial" w:hAnsi="Arial" w:cs="Arial"/>
                <w:b/>
                <w:bCs/>
                <w:sz w:val="20"/>
                <w:lang w:eastAsia="en-GB"/>
              </w:rPr>
            </w:pPr>
            <w:r w:rsidRPr="00E70587">
              <w:rPr>
                <w:rFonts w:ascii="Arial" w:hAnsi="Arial" w:cs="Arial"/>
                <w:b/>
                <w:bCs/>
                <w:sz w:val="20"/>
                <w:lang w:eastAsia="en-GB"/>
              </w:rPr>
              <w:t xml:space="preserve">Closing balance at 31 </w:t>
            </w:r>
            <w:r w:rsidR="008B730E" w:rsidRPr="00E70587">
              <w:rPr>
                <w:rFonts w:ascii="Arial" w:hAnsi="Arial" w:cs="Arial"/>
                <w:b/>
                <w:bCs/>
                <w:sz w:val="20"/>
                <w:lang w:eastAsia="en-GB"/>
              </w:rPr>
              <w:t xml:space="preserve">March </w:t>
            </w:r>
            <w:r w:rsidR="00AB34D8" w:rsidRPr="00E70587">
              <w:rPr>
                <w:rFonts w:ascii="Arial" w:hAnsi="Arial" w:cs="Arial"/>
                <w:b/>
                <w:bCs/>
                <w:sz w:val="20"/>
                <w:lang w:eastAsia="en-GB"/>
              </w:rPr>
              <w:t>20</w:t>
            </w:r>
            <w:r w:rsidR="00AB34D8">
              <w:rPr>
                <w:rFonts w:ascii="Arial" w:hAnsi="Arial" w:cs="Arial"/>
                <w:b/>
                <w:bCs/>
                <w:sz w:val="20"/>
                <w:lang w:eastAsia="en-GB"/>
              </w:rPr>
              <w:t>20</w:t>
            </w:r>
          </w:p>
        </w:tc>
        <w:tc>
          <w:tcPr>
            <w:tcW w:w="1807" w:type="dxa"/>
            <w:tcBorders>
              <w:top w:val="single" w:sz="4" w:space="0" w:color="auto"/>
              <w:left w:val="nil"/>
              <w:right w:val="nil"/>
            </w:tcBorders>
            <w:shd w:val="clear" w:color="auto" w:fill="auto"/>
          </w:tcPr>
          <w:p w14:paraId="7A4068F1" w14:textId="77777777" w:rsidR="00333A4B" w:rsidRPr="00E70587" w:rsidRDefault="00333A4B" w:rsidP="00543062">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(540)</w:t>
            </w:r>
          </w:p>
        </w:tc>
      </w:tr>
      <w:tr w:rsidR="00333A4B" w:rsidRPr="00E70587" w14:paraId="4AA334FF" w14:textId="77777777" w:rsidTr="00AB34D8">
        <w:tc>
          <w:tcPr>
            <w:tcW w:w="7769" w:type="dxa"/>
            <w:tcBorders>
              <w:top w:val="nil"/>
              <w:left w:val="nil"/>
              <w:bottom w:val="nil"/>
              <w:right w:val="nil"/>
            </w:tcBorders>
          </w:tcPr>
          <w:p w14:paraId="6624E03E" w14:textId="77777777" w:rsidR="00333A4B" w:rsidRPr="00E70587" w:rsidRDefault="00333A4B" w:rsidP="00543062">
            <w:pPr>
              <w:overflowPunct/>
              <w:spacing w:line="280" w:lineRule="exact"/>
              <w:textAlignment w:val="auto"/>
              <w:rPr>
                <w:rFonts w:ascii="Arial" w:hAnsi="Arial" w:cs="Arial"/>
                <w:sz w:val="20"/>
                <w:lang w:eastAsia="en-GB"/>
              </w:rPr>
            </w:pPr>
            <w:r w:rsidRPr="00E70587">
              <w:rPr>
                <w:rFonts w:ascii="Arial" w:hAnsi="Arial" w:cs="Arial"/>
                <w:sz w:val="20"/>
                <w:lang w:eastAsia="en-GB"/>
              </w:rPr>
              <w:t>Depreciation</w:t>
            </w:r>
            <w:r w:rsidR="0067122D" w:rsidRPr="00E70587">
              <w:rPr>
                <w:rFonts w:ascii="Arial" w:hAnsi="Arial" w:cs="Arial"/>
                <w:sz w:val="20"/>
                <w:lang w:eastAsia="en-GB"/>
              </w:rPr>
              <w:t xml:space="preserve"> (note 27)</w:t>
            </w:r>
          </w:p>
        </w:tc>
        <w:tc>
          <w:tcPr>
            <w:tcW w:w="1807" w:type="dxa"/>
            <w:tcBorders>
              <w:top w:val="nil"/>
              <w:left w:val="nil"/>
              <w:bottom w:val="single" w:sz="4" w:space="0" w:color="auto"/>
              <w:right w:val="nil"/>
            </w:tcBorders>
            <w:shd w:val="clear" w:color="auto" w:fill="auto"/>
          </w:tcPr>
          <w:p w14:paraId="2FBB972C" w14:textId="77777777" w:rsidR="00333A4B" w:rsidRPr="00E70587" w:rsidRDefault="00333A4B"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(551)</w:t>
            </w:r>
          </w:p>
        </w:tc>
      </w:tr>
      <w:tr w:rsidR="00333A4B" w:rsidRPr="00E70587" w14:paraId="7C7FF350" w14:textId="77777777" w:rsidTr="00AB34D8">
        <w:tc>
          <w:tcPr>
            <w:tcW w:w="7769" w:type="dxa"/>
            <w:tcBorders>
              <w:top w:val="nil"/>
              <w:left w:val="nil"/>
              <w:bottom w:val="nil"/>
              <w:right w:val="nil"/>
            </w:tcBorders>
          </w:tcPr>
          <w:p w14:paraId="7234F572" w14:textId="4F606F01" w:rsidR="00333A4B" w:rsidRPr="00E70587" w:rsidRDefault="00333A4B" w:rsidP="00543062">
            <w:pPr>
              <w:overflowPunct/>
              <w:spacing w:line="280" w:lineRule="exact"/>
              <w:textAlignment w:val="auto"/>
              <w:rPr>
                <w:rFonts w:ascii="Arial" w:hAnsi="Arial" w:cs="Arial"/>
                <w:b/>
                <w:bCs/>
                <w:sz w:val="20"/>
                <w:lang w:eastAsia="en-GB"/>
              </w:rPr>
            </w:pPr>
            <w:r w:rsidRPr="00E70587">
              <w:rPr>
                <w:rFonts w:ascii="Arial" w:hAnsi="Arial" w:cs="Arial"/>
                <w:b/>
                <w:bCs/>
                <w:sz w:val="20"/>
                <w:lang w:eastAsia="en-GB"/>
              </w:rPr>
              <w:t xml:space="preserve">Closing balance at 31 </w:t>
            </w:r>
            <w:r w:rsidR="00E1202D" w:rsidRPr="00E70587">
              <w:rPr>
                <w:rFonts w:ascii="Arial" w:hAnsi="Arial" w:cs="Arial"/>
                <w:b/>
                <w:bCs/>
                <w:sz w:val="20"/>
                <w:lang w:eastAsia="en-GB"/>
              </w:rPr>
              <w:t xml:space="preserve">March </w:t>
            </w:r>
            <w:r w:rsidR="00AB34D8" w:rsidRPr="00E70587">
              <w:rPr>
                <w:rFonts w:ascii="Arial" w:hAnsi="Arial" w:cs="Arial"/>
                <w:b/>
                <w:bCs/>
                <w:sz w:val="20"/>
                <w:lang w:eastAsia="en-GB"/>
              </w:rPr>
              <w:t>20</w:t>
            </w:r>
            <w:r w:rsidR="00AB34D8">
              <w:rPr>
                <w:rFonts w:ascii="Arial" w:hAnsi="Arial" w:cs="Arial"/>
                <w:b/>
                <w:bCs/>
                <w:sz w:val="20"/>
                <w:lang w:eastAsia="en-GB"/>
              </w:rPr>
              <w:t>21</w:t>
            </w:r>
          </w:p>
        </w:tc>
        <w:tc>
          <w:tcPr>
            <w:tcW w:w="1807" w:type="dxa"/>
            <w:tcBorders>
              <w:top w:val="single" w:sz="4" w:space="0" w:color="auto"/>
              <w:left w:val="nil"/>
              <w:bottom w:val="double" w:sz="4" w:space="0" w:color="auto"/>
              <w:right w:val="nil"/>
            </w:tcBorders>
            <w:shd w:val="clear" w:color="auto" w:fill="auto"/>
          </w:tcPr>
          <w:p w14:paraId="74B91C4F" w14:textId="77777777" w:rsidR="00333A4B" w:rsidRPr="00E70587" w:rsidRDefault="00333A4B" w:rsidP="00543062">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(1,091)</w:t>
            </w:r>
          </w:p>
        </w:tc>
      </w:tr>
      <w:tr w:rsidR="00333A4B" w:rsidRPr="00E70587" w14:paraId="3F9EE1B3" w14:textId="77777777" w:rsidTr="00AB34D8">
        <w:tc>
          <w:tcPr>
            <w:tcW w:w="7769" w:type="dxa"/>
            <w:tcBorders>
              <w:top w:val="nil"/>
              <w:left w:val="nil"/>
              <w:bottom w:val="nil"/>
              <w:right w:val="nil"/>
            </w:tcBorders>
          </w:tcPr>
          <w:p w14:paraId="53A64490" w14:textId="77777777" w:rsidR="00333A4B" w:rsidRPr="00E70587" w:rsidRDefault="00333A4B" w:rsidP="00543062">
            <w:pPr>
              <w:overflowPunct/>
              <w:spacing w:line="280" w:lineRule="exact"/>
              <w:jc w:val="right"/>
              <w:textAlignment w:val="auto"/>
              <w:rPr>
                <w:rFonts w:ascii="Arial" w:hAnsi="Arial" w:cs="Arial"/>
                <w:sz w:val="20"/>
                <w:lang w:eastAsia="en-GB"/>
              </w:rPr>
            </w:pPr>
          </w:p>
        </w:tc>
        <w:tc>
          <w:tcPr>
            <w:tcW w:w="1807" w:type="dxa"/>
            <w:tcBorders>
              <w:top w:val="double" w:sz="4" w:space="0" w:color="auto"/>
              <w:left w:val="nil"/>
              <w:bottom w:val="nil"/>
              <w:right w:val="nil"/>
            </w:tcBorders>
            <w:shd w:val="clear" w:color="auto" w:fill="auto"/>
          </w:tcPr>
          <w:p w14:paraId="2CA135EF" w14:textId="77777777" w:rsidR="00333A4B" w:rsidRPr="00E70587" w:rsidRDefault="00333A4B" w:rsidP="00543062">
            <w:pPr>
              <w:overflowPunct/>
              <w:spacing w:line="280" w:lineRule="exact"/>
              <w:jc w:val="right"/>
              <w:textAlignment w:val="auto"/>
              <w:rPr>
                <w:rFonts w:ascii="Arial" w:hAnsi="Arial" w:cs="Arial"/>
                <w:sz w:val="20"/>
                <w:lang w:eastAsia="en-GB"/>
              </w:rPr>
            </w:pPr>
          </w:p>
        </w:tc>
      </w:tr>
      <w:tr w:rsidR="00333A4B" w:rsidRPr="00E70587" w14:paraId="3ADCFAF4" w14:textId="77777777" w:rsidTr="00AB34D8">
        <w:tc>
          <w:tcPr>
            <w:tcW w:w="7769" w:type="dxa"/>
            <w:tcBorders>
              <w:top w:val="nil"/>
              <w:left w:val="nil"/>
              <w:bottom w:val="nil"/>
              <w:right w:val="nil"/>
            </w:tcBorders>
          </w:tcPr>
          <w:p w14:paraId="4D455BA1" w14:textId="77777777" w:rsidR="00333A4B" w:rsidRPr="00E70587" w:rsidRDefault="00333A4B" w:rsidP="00543062">
            <w:pPr>
              <w:overflowPunct/>
              <w:spacing w:line="280" w:lineRule="exact"/>
              <w:textAlignment w:val="auto"/>
              <w:rPr>
                <w:rFonts w:ascii="Arial" w:hAnsi="Arial" w:cs="Arial"/>
                <w:b/>
                <w:sz w:val="20"/>
                <w:lang w:eastAsia="en-GB"/>
              </w:rPr>
            </w:pPr>
            <w:r w:rsidRPr="00E70587">
              <w:rPr>
                <w:rFonts w:ascii="Arial" w:hAnsi="Arial" w:cs="Arial"/>
                <w:b/>
                <w:sz w:val="20"/>
                <w:lang w:eastAsia="en-GB"/>
              </w:rPr>
              <w:t>Net Block</w:t>
            </w:r>
          </w:p>
        </w:tc>
        <w:tc>
          <w:tcPr>
            <w:tcW w:w="1807" w:type="dxa"/>
            <w:tcBorders>
              <w:top w:val="nil"/>
              <w:left w:val="nil"/>
              <w:bottom w:val="nil"/>
              <w:right w:val="nil"/>
            </w:tcBorders>
            <w:shd w:val="clear" w:color="auto" w:fill="auto"/>
          </w:tcPr>
          <w:p w14:paraId="78D913E4" w14:textId="77777777" w:rsidR="00333A4B" w:rsidRPr="00E70587" w:rsidRDefault="00333A4B" w:rsidP="00543062">
            <w:pPr>
              <w:overflowPunct/>
              <w:spacing w:line="280" w:lineRule="exact"/>
              <w:jc w:val="right"/>
              <w:textAlignment w:val="auto"/>
              <w:rPr>
                <w:rFonts w:ascii="Arial" w:hAnsi="Arial" w:cs="Arial"/>
                <w:sz w:val="20"/>
                <w:lang w:eastAsia="en-GB"/>
              </w:rPr>
            </w:pPr>
          </w:p>
        </w:tc>
      </w:tr>
      <w:tr w:rsidR="00333A4B" w:rsidRPr="00E70587" w14:paraId="7BA75E5B" w14:textId="77777777" w:rsidTr="00AB34D8">
        <w:tc>
          <w:tcPr>
            <w:tcW w:w="7769" w:type="dxa"/>
            <w:tcBorders>
              <w:top w:val="nil"/>
              <w:left w:val="nil"/>
              <w:bottom w:val="nil"/>
              <w:right w:val="nil"/>
            </w:tcBorders>
          </w:tcPr>
          <w:p w14:paraId="2FDA71C8" w14:textId="418F4B8F" w:rsidR="00333A4B" w:rsidRPr="00E70587" w:rsidRDefault="00333A4B" w:rsidP="00543062">
            <w:pPr>
              <w:overflowPunct/>
              <w:spacing w:line="280" w:lineRule="exact"/>
              <w:textAlignment w:val="auto"/>
              <w:rPr>
                <w:rFonts w:ascii="Arial" w:hAnsi="Arial" w:cs="Arial"/>
                <w:sz w:val="20"/>
                <w:lang w:eastAsia="en-GB"/>
              </w:rPr>
            </w:pPr>
            <w:r w:rsidRPr="00E70587">
              <w:rPr>
                <w:rFonts w:ascii="Arial" w:hAnsi="Arial" w:cs="Arial"/>
                <w:sz w:val="20"/>
                <w:lang w:eastAsia="en-GB"/>
              </w:rPr>
              <w:t xml:space="preserve">at 31 </w:t>
            </w:r>
            <w:r w:rsidR="008B730E" w:rsidRPr="00E70587">
              <w:rPr>
                <w:rFonts w:ascii="Arial" w:hAnsi="Arial" w:cs="Arial"/>
                <w:sz w:val="20"/>
                <w:lang w:eastAsia="en-GB"/>
              </w:rPr>
              <w:t xml:space="preserve">March </w:t>
            </w:r>
            <w:r w:rsidR="00AB34D8" w:rsidRPr="00E70587">
              <w:rPr>
                <w:rFonts w:ascii="Arial" w:hAnsi="Arial" w:cs="Arial"/>
                <w:sz w:val="20"/>
                <w:lang w:eastAsia="en-GB"/>
              </w:rPr>
              <w:t>20</w:t>
            </w:r>
            <w:r w:rsidR="00AB34D8">
              <w:rPr>
                <w:rFonts w:ascii="Arial" w:hAnsi="Arial" w:cs="Arial"/>
                <w:sz w:val="20"/>
                <w:lang w:eastAsia="en-GB"/>
              </w:rPr>
              <w:t>20</w:t>
            </w:r>
          </w:p>
        </w:tc>
        <w:tc>
          <w:tcPr>
            <w:tcW w:w="1807" w:type="dxa"/>
            <w:tcBorders>
              <w:top w:val="nil"/>
              <w:left w:val="nil"/>
              <w:bottom w:val="nil"/>
              <w:right w:val="nil"/>
            </w:tcBorders>
            <w:shd w:val="clear" w:color="auto" w:fill="auto"/>
          </w:tcPr>
          <w:p w14:paraId="6A4BDE98" w14:textId="77777777" w:rsidR="00333A4B" w:rsidRPr="00E70587" w:rsidRDefault="00333A4B"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14,369</w:t>
            </w:r>
          </w:p>
        </w:tc>
      </w:tr>
      <w:tr w:rsidR="00333A4B" w:rsidRPr="00E70587" w14:paraId="370AA5D3" w14:textId="77777777" w:rsidTr="00AB34D8">
        <w:tc>
          <w:tcPr>
            <w:tcW w:w="7769" w:type="dxa"/>
            <w:tcBorders>
              <w:top w:val="nil"/>
              <w:left w:val="nil"/>
              <w:bottom w:val="nil"/>
              <w:right w:val="nil"/>
            </w:tcBorders>
          </w:tcPr>
          <w:p w14:paraId="5EDBD3E6" w14:textId="315290C1" w:rsidR="00333A4B" w:rsidRPr="00E70587" w:rsidRDefault="00333A4B" w:rsidP="00543062">
            <w:pPr>
              <w:overflowPunct/>
              <w:spacing w:line="280" w:lineRule="exact"/>
              <w:textAlignment w:val="auto"/>
              <w:rPr>
                <w:rFonts w:ascii="Arial" w:hAnsi="Arial" w:cs="Arial"/>
                <w:sz w:val="20"/>
                <w:lang w:eastAsia="en-GB"/>
              </w:rPr>
            </w:pPr>
            <w:r w:rsidRPr="00E70587">
              <w:rPr>
                <w:rFonts w:ascii="Arial" w:hAnsi="Arial" w:cs="Arial"/>
                <w:sz w:val="20"/>
                <w:lang w:eastAsia="en-GB"/>
              </w:rPr>
              <w:t xml:space="preserve">at 31 </w:t>
            </w:r>
            <w:r w:rsidR="00E1202D" w:rsidRPr="00E70587">
              <w:rPr>
                <w:rFonts w:ascii="Arial" w:hAnsi="Arial" w:cs="Arial"/>
                <w:sz w:val="20"/>
                <w:lang w:eastAsia="en-GB"/>
              </w:rPr>
              <w:t xml:space="preserve">March </w:t>
            </w:r>
            <w:r w:rsidR="00AB34D8" w:rsidRPr="00E70587">
              <w:rPr>
                <w:rFonts w:ascii="Arial" w:hAnsi="Arial" w:cs="Arial"/>
                <w:sz w:val="20"/>
                <w:lang w:eastAsia="en-GB"/>
              </w:rPr>
              <w:t>20</w:t>
            </w:r>
            <w:r w:rsidR="00AB34D8">
              <w:rPr>
                <w:rFonts w:ascii="Arial" w:hAnsi="Arial" w:cs="Arial"/>
                <w:sz w:val="20"/>
                <w:lang w:eastAsia="en-GB"/>
              </w:rPr>
              <w:t>21</w:t>
            </w:r>
          </w:p>
        </w:tc>
        <w:tc>
          <w:tcPr>
            <w:tcW w:w="1807" w:type="dxa"/>
            <w:tcBorders>
              <w:top w:val="nil"/>
              <w:left w:val="nil"/>
              <w:bottom w:val="nil"/>
              <w:right w:val="nil"/>
            </w:tcBorders>
            <w:shd w:val="clear" w:color="auto" w:fill="auto"/>
          </w:tcPr>
          <w:p w14:paraId="325D0EB9" w14:textId="77777777" w:rsidR="00333A4B" w:rsidRPr="00E70587" w:rsidRDefault="00333A4B"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16,007</w:t>
            </w:r>
          </w:p>
        </w:tc>
      </w:tr>
    </w:tbl>
    <w:p w14:paraId="2E886898" w14:textId="77777777" w:rsidR="00333A4B" w:rsidRPr="00E70587" w:rsidRDefault="00333A4B" w:rsidP="00333A4B">
      <w:pPr>
        <w:pStyle w:val="Tablecolumnheading"/>
        <w:spacing w:line="280" w:lineRule="exact"/>
        <w:jc w:val="left"/>
        <w:rPr>
          <w:rFonts w:ascii="Arial" w:hAnsi="Arial"/>
          <w:b w:val="0"/>
          <w:color w:val="auto"/>
          <w:sz w:val="20"/>
          <w:szCs w:val="20"/>
          <w:lang w:val="en-IN"/>
        </w:rPr>
      </w:pPr>
    </w:p>
    <w:tbl>
      <w:tblPr>
        <w:tblW w:w="9576" w:type="dxa"/>
        <w:tblLook w:val="0000" w:firstRow="0" w:lastRow="0" w:firstColumn="0" w:lastColumn="0" w:noHBand="0" w:noVBand="0"/>
      </w:tblPr>
      <w:tblGrid>
        <w:gridCol w:w="9576"/>
      </w:tblGrid>
      <w:tr w:rsidR="00333A4B" w:rsidRPr="00E70587" w14:paraId="1486701E" w14:textId="77777777" w:rsidTr="00543062">
        <w:tc>
          <w:tcPr>
            <w:tcW w:w="0" w:type="auto"/>
          </w:tcPr>
          <w:p w14:paraId="422159FF" w14:textId="478813DB" w:rsidR="00333A4B" w:rsidRPr="00E70587" w:rsidRDefault="00333A4B" w:rsidP="00543062">
            <w:pPr>
              <w:pStyle w:val="Tablecolumnheading"/>
              <w:spacing w:line="280" w:lineRule="exact"/>
              <w:jc w:val="left"/>
              <w:rPr>
                <w:rFonts w:ascii="Arial" w:hAnsi="Arial"/>
                <w:b w:val="0"/>
                <w:bCs/>
                <w:sz w:val="20"/>
                <w:szCs w:val="20"/>
                <w:lang w:val="en-IN"/>
              </w:rPr>
            </w:pPr>
            <w:r w:rsidRPr="00E70587">
              <w:rPr>
                <w:rFonts w:ascii="Arial" w:hAnsi="Arial"/>
                <w:b w:val="0"/>
                <w:color w:val="auto"/>
                <w:sz w:val="20"/>
                <w:szCs w:val="20"/>
                <w:lang w:val="en-IN"/>
              </w:rPr>
              <w:t>For</w:t>
            </w:r>
            <w:r w:rsidRPr="00E70587">
              <w:rPr>
                <w:rFonts w:ascii="Arial" w:hAnsi="Arial"/>
                <w:b w:val="0"/>
                <w:bCs/>
                <w:sz w:val="20"/>
                <w:szCs w:val="20"/>
                <w:lang w:val="en-IN"/>
              </w:rPr>
              <w:t xml:space="preserve"> investment property existing as on 1 April </w:t>
            </w:r>
            <w:r w:rsidR="00AB34D8" w:rsidRPr="00E70587">
              <w:rPr>
                <w:rFonts w:ascii="Arial" w:hAnsi="Arial"/>
                <w:b w:val="0"/>
                <w:bCs/>
                <w:sz w:val="20"/>
                <w:szCs w:val="20"/>
                <w:lang w:val="en-IN"/>
              </w:rPr>
              <w:t>201</w:t>
            </w:r>
            <w:r w:rsidR="00AB34D8">
              <w:rPr>
                <w:rFonts w:ascii="Arial" w:hAnsi="Arial"/>
                <w:b w:val="0"/>
                <w:bCs/>
                <w:sz w:val="20"/>
                <w:szCs w:val="20"/>
                <w:lang w:val="en-IN"/>
              </w:rPr>
              <w:t>5</w:t>
            </w:r>
            <w:r w:rsidRPr="00E70587">
              <w:rPr>
                <w:rFonts w:ascii="Arial" w:hAnsi="Arial"/>
                <w:b w:val="0"/>
                <w:bCs/>
                <w:sz w:val="20"/>
                <w:szCs w:val="20"/>
                <w:lang w:val="en-IN"/>
              </w:rPr>
              <w:t>, i.e., its date of transition to Ind-AS, the group has used Indian GAAP carrying value as deemed costs.</w:t>
            </w:r>
          </w:p>
        </w:tc>
      </w:tr>
    </w:tbl>
    <w:p w14:paraId="0487F8A2" w14:textId="77777777" w:rsidR="00333A4B" w:rsidRPr="00E70587" w:rsidRDefault="00333A4B" w:rsidP="00333A4B">
      <w:pPr>
        <w:pStyle w:val="Tablecolumnheading"/>
        <w:spacing w:line="280" w:lineRule="exact"/>
        <w:jc w:val="left"/>
        <w:rPr>
          <w:rFonts w:ascii="Arial" w:hAnsi="Arial"/>
          <w:b w:val="0"/>
          <w:color w:val="auto"/>
          <w:sz w:val="20"/>
          <w:szCs w:val="20"/>
          <w:lang w:val="en-IN"/>
        </w:rPr>
      </w:pPr>
    </w:p>
    <w:p w14:paraId="6F5A0822" w14:textId="77777777" w:rsidR="00333A4B" w:rsidRPr="00E70587" w:rsidRDefault="00333A4B" w:rsidP="00333A4B">
      <w:pPr>
        <w:spacing w:line="280" w:lineRule="exact"/>
        <w:rPr>
          <w:rFonts w:ascii="Arial" w:hAnsi="Arial" w:cs="Arial"/>
          <w:b/>
          <w:sz w:val="20"/>
        </w:rPr>
      </w:pPr>
      <w:r w:rsidRPr="00E70587">
        <w:rPr>
          <w:rFonts w:ascii="Arial" w:hAnsi="Arial" w:cs="Arial"/>
          <w:b/>
          <w:sz w:val="20"/>
        </w:rPr>
        <w:t>Information regarding income and expenditure of Investment property</w:t>
      </w:r>
    </w:p>
    <w:p w14:paraId="6BF703C6" w14:textId="77777777" w:rsidR="00333A4B" w:rsidRPr="00E70587" w:rsidRDefault="00333A4B" w:rsidP="00333A4B">
      <w:pPr>
        <w:spacing w:line="280" w:lineRule="exact"/>
        <w:rPr>
          <w:rFonts w:ascii="Arial" w:hAnsi="Arial" w:cs="Arial"/>
          <w:sz w:val="20"/>
        </w:rPr>
      </w:pPr>
    </w:p>
    <w:tbl>
      <w:tblPr>
        <w:tblW w:w="9576" w:type="dxa"/>
        <w:tblLayout w:type="fixed"/>
        <w:tblLook w:val="01E0" w:firstRow="1" w:lastRow="1" w:firstColumn="1" w:lastColumn="1" w:noHBand="0" w:noVBand="0"/>
      </w:tblPr>
      <w:tblGrid>
        <w:gridCol w:w="6053"/>
        <w:gridCol w:w="1807"/>
        <w:gridCol w:w="1716"/>
      </w:tblGrid>
      <w:tr w:rsidR="00333A4B" w:rsidRPr="00E70587" w14:paraId="60DAFBA9" w14:textId="77777777" w:rsidTr="00543062">
        <w:tc>
          <w:tcPr>
            <w:tcW w:w="6030" w:type="dxa"/>
            <w:shd w:val="clear" w:color="auto" w:fill="auto"/>
          </w:tcPr>
          <w:p w14:paraId="7E58B3D8" w14:textId="77777777" w:rsidR="00333A4B" w:rsidRPr="00E70587" w:rsidRDefault="00333A4B" w:rsidP="00543062">
            <w:pPr>
              <w:pStyle w:val="000Normal"/>
              <w:spacing w:before="0" w:after="0" w:line="280" w:lineRule="exact"/>
              <w:rPr>
                <w:rFonts w:ascii="Arial" w:hAnsi="Arial" w:cs="Arial"/>
                <w:sz w:val="20"/>
              </w:rPr>
            </w:pPr>
          </w:p>
        </w:tc>
        <w:tc>
          <w:tcPr>
            <w:tcW w:w="1800" w:type="dxa"/>
            <w:tcBorders>
              <w:bottom w:val="single" w:sz="4" w:space="0" w:color="auto"/>
            </w:tcBorders>
            <w:shd w:val="clear" w:color="auto" w:fill="auto"/>
            <w:vAlign w:val="bottom"/>
          </w:tcPr>
          <w:p w14:paraId="2BF85B7B" w14:textId="4A6E86EF" w:rsidR="00333A4B" w:rsidRPr="00E70587" w:rsidRDefault="00333A4B"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AB34D8" w:rsidRPr="00E70587">
              <w:rPr>
                <w:rFonts w:ascii="Arial" w:hAnsi="Arial"/>
                <w:color w:val="auto"/>
                <w:sz w:val="20"/>
                <w:szCs w:val="20"/>
                <w:lang w:val="en-IN"/>
              </w:rPr>
              <w:t>20</w:t>
            </w:r>
            <w:r w:rsidR="00AB34D8">
              <w:rPr>
                <w:rFonts w:ascii="Arial" w:hAnsi="Arial"/>
                <w:color w:val="auto"/>
                <w:sz w:val="20"/>
                <w:szCs w:val="20"/>
                <w:lang w:val="en-IN"/>
              </w:rPr>
              <w:t>21</w:t>
            </w:r>
          </w:p>
        </w:tc>
        <w:tc>
          <w:tcPr>
            <w:tcW w:w="1710" w:type="dxa"/>
            <w:tcBorders>
              <w:bottom w:val="single" w:sz="4" w:space="0" w:color="auto"/>
            </w:tcBorders>
            <w:shd w:val="clear" w:color="auto" w:fill="auto"/>
            <w:vAlign w:val="bottom"/>
          </w:tcPr>
          <w:p w14:paraId="71DA5AD1" w14:textId="0D3B5884" w:rsidR="00333A4B" w:rsidRPr="00E70587" w:rsidRDefault="00333A4B"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AB34D8" w:rsidRPr="00E70587">
              <w:rPr>
                <w:rFonts w:ascii="Arial" w:hAnsi="Arial"/>
                <w:color w:val="auto"/>
                <w:sz w:val="20"/>
                <w:szCs w:val="20"/>
                <w:lang w:val="en-IN"/>
              </w:rPr>
              <w:t>20</w:t>
            </w:r>
            <w:r w:rsidR="00AB34D8">
              <w:rPr>
                <w:rFonts w:ascii="Arial" w:hAnsi="Arial"/>
                <w:color w:val="auto"/>
                <w:sz w:val="20"/>
                <w:szCs w:val="20"/>
                <w:lang w:val="en-IN"/>
              </w:rPr>
              <w:t>20</w:t>
            </w:r>
          </w:p>
        </w:tc>
      </w:tr>
      <w:tr w:rsidR="00333A4B" w:rsidRPr="00E70587" w14:paraId="1805845A" w14:textId="77777777" w:rsidTr="00543062">
        <w:tc>
          <w:tcPr>
            <w:tcW w:w="6030" w:type="dxa"/>
          </w:tcPr>
          <w:p w14:paraId="4BF5666C" w14:textId="77777777" w:rsidR="00333A4B" w:rsidRPr="00E70587" w:rsidRDefault="00333A4B" w:rsidP="00543062">
            <w:pPr>
              <w:pStyle w:val="000Normal"/>
              <w:spacing w:before="0" w:after="0" w:line="280" w:lineRule="exact"/>
              <w:jc w:val="right"/>
              <w:rPr>
                <w:rFonts w:ascii="Arial" w:hAnsi="Arial" w:cs="Arial"/>
                <w:b/>
                <w:sz w:val="20"/>
              </w:rPr>
            </w:pPr>
          </w:p>
        </w:tc>
        <w:tc>
          <w:tcPr>
            <w:tcW w:w="1800" w:type="dxa"/>
            <w:tcBorders>
              <w:top w:val="single" w:sz="4" w:space="0" w:color="auto"/>
            </w:tcBorders>
          </w:tcPr>
          <w:p w14:paraId="206729E2" w14:textId="77777777" w:rsidR="00333A4B" w:rsidRPr="00E70587" w:rsidRDefault="00333A4B"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710" w:type="dxa"/>
            <w:tcBorders>
              <w:top w:val="single" w:sz="4" w:space="0" w:color="auto"/>
            </w:tcBorders>
          </w:tcPr>
          <w:p w14:paraId="30BE851D" w14:textId="77777777" w:rsidR="00333A4B" w:rsidRPr="00E70587" w:rsidRDefault="00333A4B"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333A4B" w:rsidRPr="00E70587" w14:paraId="66DB1FDE" w14:textId="77777777" w:rsidTr="00543062">
        <w:tc>
          <w:tcPr>
            <w:tcW w:w="6030" w:type="dxa"/>
            <w:tcMar>
              <w:top w:w="28" w:type="dxa"/>
            </w:tcMar>
          </w:tcPr>
          <w:p w14:paraId="26B329DE" w14:textId="77777777"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Rental income derived from investment properties</w:t>
            </w:r>
          </w:p>
        </w:tc>
        <w:tc>
          <w:tcPr>
            <w:tcW w:w="1800" w:type="dxa"/>
            <w:tcMar>
              <w:top w:w="28" w:type="dxa"/>
            </w:tcMar>
            <w:vAlign w:val="bottom"/>
          </w:tcPr>
          <w:p w14:paraId="4259F3D4" w14:textId="77777777" w:rsidR="00333A4B" w:rsidRPr="00E70587" w:rsidRDefault="00333A4B"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2,527</w:t>
            </w:r>
          </w:p>
        </w:tc>
        <w:tc>
          <w:tcPr>
            <w:tcW w:w="1710" w:type="dxa"/>
            <w:tcMar>
              <w:top w:w="28" w:type="dxa"/>
            </w:tcMar>
            <w:vAlign w:val="bottom"/>
          </w:tcPr>
          <w:p w14:paraId="0FEBDF1D" w14:textId="38BF83B0" w:rsidR="00333A4B" w:rsidRPr="00E70587" w:rsidRDefault="00333A4B"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2,47</w:t>
            </w:r>
            <w:r w:rsidR="00D936D7">
              <w:rPr>
                <w:rFonts w:ascii="Arial" w:hAnsi="Arial" w:cs="Arial"/>
                <w:sz w:val="20"/>
                <w:lang w:eastAsia="en-GB"/>
              </w:rPr>
              <w:t>8</w:t>
            </w:r>
          </w:p>
        </w:tc>
      </w:tr>
      <w:tr w:rsidR="00333A4B" w:rsidRPr="00E70587" w14:paraId="3978CEEA" w14:textId="77777777" w:rsidTr="00543062">
        <w:tc>
          <w:tcPr>
            <w:tcW w:w="6030" w:type="dxa"/>
            <w:tcMar>
              <w:top w:w="28" w:type="dxa"/>
            </w:tcMar>
          </w:tcPr>
          <w:p w14:paraId="7F627AA9" w14:textId="77777777"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Direct operating expenses (including repairs and maintenance) generating rental income </w:t>
            </w:r>
          </w:p>
        </w:tc>
        <w:tc>
          <w:tcPr>
            <w:tcW w:w="1800" w:type="dxa"/>
            <w:tcMar>
              <w:top w:w="28" w:type="dxa"/>
            </w:tcMar>
            <w:vAlign w:val="bottom"/>
          </w:tcPr>
          <w:p w14:paraId="00089EA2" w14:textId="77777777" w:rsidR="00333A4B" w:rsidRPr="00E70587" w:rsidRDefault="00333A4B"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(181)</w:t>
            </w:r>
          </w:p>
        </w:tc>
        <w:tc>
          <w:tcPr>
            <w:tcW w:w="1710" w:type="dxa"/>
            <w:tcMar>
              <w:top w:w="28" w:type="dxa"/>
            </w:tcMar>
            <w:vAlign w:val="bottom"/>
          </w:tcPr>
          <w:p w14:paraId="65BA5C6E" w14:textId="77777777" w:rsidR="00333A4B" w:rsidRPr="00E70587" w:rsidRDefault="00333A4B"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(635)</w:t>
            </w:r>
          </w:p>
        </w:tc>
      </w:tr>
      <w:tr w:rsidR="00333A4B" w:rsidRPr="00E70587" w14:paraId="5A38408A" w14:textId="77777777" w:rsidTr="00543062">
        <w:tc>
          <w:tcPr>
            <w:tcW w:w="6030" w:type="dxa"/>
          </w:tcPr>
          <w:p w14:paraId="6AA6BE26" w14:textId="77777777"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Direct operating expenses (including repairs and maintenance) that did not generate rental income </w:t>
            </w:r>
          </w:p>
        </w:tc>
        <w:tc>
          <w:tcPr>
            <w:tcW w:w="1800" w:type="dxa"/>
            <w:tcBorders>
              <w:bottom w:val="single" w:sz="4" w:space="0" w:color="auto"/>
            </w:tcBorders>
            <w:tcMar>
              <w:top w:w="28" w:type="dxa"/>
              <w:right w:w="28" w:type="dxa"/>
            </w:tcMar>
            <w:vAlign w:val="bottom"/>
          </w:tcPr>
          <w:p w14:paraId="19D99B2A" w14:textId="77777777" w:rsidR="00333A4B" w:rsidRPr="00E70587" w:rsidRDefault="00333A4B"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(67)</w:t>
            </w:r>
          </w:p>
        </w:tc>
        <w:tc>
          <w:tcPr>
            <w:tcW w:w="1710" w:type="dxa"/>
            <w:tcBorders>
              <w:bottom w:val="single" w:sz="4" w:space="0" w:color="auto"/>
            </w:tcBorders>
            <w:tcMar>
              <w:right w:w="28" w:type="dxa"/>
            </w:tcMar>
            <w:vAlign w:val="bottom"/>
          </w:tcPr>
          <w:p w14:paraId="4C224830" w14:textId="77777777" w:rsidR="00333A4B" w:rsidRPr="00E70587" w:rsidRDefault="00333A4B"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(229)</w:t>
            </w:r>
          </w:p>
        </w:tc>
      </w:tr>
      <w:tr w:rsidR="00333A4B" w:rsidRPr="00E70587" w14:paraId="2E6CA4FA" w14:textId="77777777" w:rsidTr="00543062">
        <w:tc>
          <w:tcPr>
            <w:tcW w:w="6030" w:type="dxa"/>
            <w:tcMar>
              <w:top w:w="28" w:type="dxa"/>
            </w:tcMar>
          </w:tcPr>
          <w:p w14:paraId="3B10C593" w14:textId="77777777" w:rsidR="00333A4B" w:rsidRPr="00E70587" w:rsidRDefault="00333A4B" w:rsidP="00543062">
            <w:pPr>
              <w:pStyle w:val="Tablecolumnheading"/>
              <w:spacing w:line="280" w:lineRule="exact"/>
              <w:jc w:val="left"/>
              <w:rPr>
                <w:rFonts w:ascii="Arial" w:hAnsi="Arial"/>
                <w:b w:val="0"/>
                <w:color w:val="auto"/>
                <w:sz w:val="20"/>
                <w:szCs w:val="20"/>
                <w:lang w:val="en-IN"/>
              </w:rPr>
            </w:pPr>
            <w:r w:rsidRPr="00E70587">
              <w:rPr>
                <w:rFonts w:ascii="Arial" w:hAnsi="Arial"/>
                <w:color w:val="auto"/>
                <w:sz w:val="20"/>
                <w:szCs w:val="20"/>
                <w:lang w:val="en-IN"/>
              </w:rPr>
              <w:t>Profit arising from investment properties before depreciation and indirect expenses</w:t>
            </w:r>
          </w:p>
        </w:tc>
        <w:tc>
          <w:tcPr>
            <w:tcW w:w="1800" w:type="dxa"/>
            <w:tcBorders>
              <w:top w:val="single" w:sz="4" w:space="0" w:color="auto"/>
              <w:bottom w:val="single" w:sz="4" w:space="0" w:color="auto"/>
            </w:tcBorders>
            <w:tcMar>
              <w:top w:w="28" w:type="dxa"/>
            </w:tcMar>
            <w:vAlign w:val="bottom"/>
          </w:tcPr>
          <w:p w14:paraId="0D787145" w14:textId="77777777" w:rsidR="00333A4B" w:rsidRPr="00E70587" w:rsidRDefault="00333A4B" w:rsidP="00543062">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2,279</w:t>
            </w:r>
          </w:p>
        </w:tc>
        <w:tc>
          <w:tcPr>
            <w:tcW w:w="1710" w:type="dxa"/>
            <w:tcBorders>
              <w:top w:val="single" w:sz="4" w:space="0" w:color="auto"/>
              <w:bottom w:val="single" w:sz="4" w:space="0" w:color="auto"/>
            </w:tcBorders>
            <w:tcMar>
              <w:top w:w="28" w:type="dxa"/>
            </w:tcMar>
            <w:vAlign w:val="bottom"/>
          </w:tcPr>
          <w:p w14:paraId="609E27E0" w14:textId="262BD892" w:rsidR="00333A4B" w:rsidRPr="00E70587" w:rsidRDefault="00333A4B" w:rsidP="00543062">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1,61</w:t>
            </w:r>
            <w:r w:rsidR="00D936D7">
              <w:rPr>
                <w:rFonts w:ascii="Arial" w:hAnsi="Arial" w:cs="Arial"/>
                <w:b/>
                <w:bCs/>
                <w:sz w:val="20"/>
                <w:lang w:eastAsia="en-GB"/>
              </w:rPr>
              <w:t>4</w:t>
            </w:r>
          </w:p>
        </w:tc>
      </w:tr>
      <w:tr w:rsidR="00333A4B" w:rsidRPr="00E70587" w14:paraId="5B90CE5E" w14:textId="77777777" w:rsidTr="00543062">
        <w:tc>
          <w:tcPr>
            <w:tcW w:w="6030" w:type="dxa"/>
            <w:tcMar>
              <w:top w:w="28" w:type="dxa"/>
            </w:tcMar>
          </w:tcPr>
          <w:p w14:paraId="1901D42E" w14:textId="77777777" w:rsidR="00333A4B" w:rsidRPr="00E70587" w:rsidRDefault="00333A4B" w:rsidP="00543062">
            <w:pPr>
              <w:pStyle w:val="Tablecolumnheading"/>
              <w:spacing w:line="280" w:lineRule="exact"/>
              <w:jc w:val="left"/>
              <w:rPr>
                <w:rFonts w:ascii="Arial" w:hAnsi="Arial"/>
                <w:b w:val="0"/>
                <w:color w:val="auto"/>
                <w:sz w:val="20"/>
                <w:szCs w:val="20"/>
                <w:lang w:val="en-IN"/>
              </w:rPr>
            </w:pPr>
            <w:r w:rsidRPr="00E70587">
              <w:rPr>
                <w:rFonts w:ascii="Arial" w:hAnsi="Arial"/>
                <w:b w:val="0"/>
                <w:color w:val="auto"/>
                <w:sz w:val="20"/>
                <w:szCs w:val="20"/>
                <w:lang w:val="en-IN"/>
              </w:rPr>
              <w:t>Less – Depreciation</w:t>
            </w:r>
          </w:p>
        </w:tc>
        <w:tc>
          <w:tcPr>
            <w:tcW w:w="1800" w:type="dxa"/>
            <w:tcBorders>
              <w:top w:val="single" w:sz="4" w:space="0" w:color="auto"/>
              <w:bottom w:val="single" w:sz="4" w:space="0" w:color="auto"/>
            </w:tcBorders>
            <w:tcMar>
              <w:top w:w="28" w:type="dxa"/>
            </w:tcMar>
            <w:vAlign w:val="bottom"/>
          </w:tcPr>
          <w:p w14:paraId="76359584" w14:textId="77777777" w:rsidR="00333A4B" w:rsidRPr="00E70587" w:rsidRDefault="00333A4B"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(551)</w:t>
            </w:r>
          </w:p>
        </w:tc>
        <w:tc>
          <w:tcPr>
            <w:tcW w:w="1710" w:type="dxa"/>
            <w:tcBorders>
              <w:top w:val="single" w:sz="4" w:space="0" w:color="auto"/>
              <w:bottom w:val="single" w:sz="4" w:space="0" w:color="auto"/>
            </w:tcBorders>
            <w:tcMar>
              <w:top w:w="28" w:type="dxa"/>
            </w:tcMar>
            <w:vAlign w:val="bottom"/>
          </w:tcPr>
          <w:p w14:paraId="00B5DAA0" w14:textId="77777777" w:rsidR="00333A4B" w:rsidRPr="00E70587" w:rsidRDefault="00333A4B"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(540)</w:t>
            </w:r>
          </w:p>
        </w:tc>
      </w:tr>
      <w:tr w:rsidR="00333A4B" w:rsidRPr="00E70587" w14:paraId="4F659BE7" w14:textId="77777777" w:rsidTr="00543062">
        <w:tc>
          <w:tcPr>
            <w:tcW w:w="6030" w:type="dxa"/>
            <w:tcMar>
              <w:top w:w="28" w:type="dxa"/>
            </w:tcMar>
          </w:tcPr>
          <w:p w14:paraId="5D49C65D" w14:textId="77777777" w:rsidR="00333A4B" w:rsidRPr="00E70587" w:rsidRDefault="00333A4B" w:rsidP="00543062">
            <w:pPr>
              <w:pStyle w:val="Tablecolumnheading"/>
              <w:spacing w:line="280" w:lineRule="exact"/>
              <w:jc w:val="left"/>
              <w:rPr>
                <w:rFonts w:ascii="Arial" w:hAnsi="Arial"/>
                <w:b w:val="0"/>
                <w:color w:val="auto"/>
                <w:sz w:val="20"/>
                <w:szCs w:val="20"/>
                <w:lang w:val="en-IN"/>
              </w:rPr>
            </w:pPr>
            <w:r w:rsidRPr="00E70587">
              <w:rPr>
                <w:rFonts w:ascii="Arial" w:hAnsi="Arial"/>
                <w:color w:val="auto"/>
                <w:sz w:val="20"/>
                <w:szCs w:val="20"/>
                <w:lang w:val="en-IN"/>
              </w:rPr>
              <w:t>Profit arising from investment properties before indirect expenses</w:t>
            </w:r>
          </w:p>
        </w:tc>
        <w:tc>
          <w:tcPr>
            <w:tcW w:w="1800" w:type="dxa"/>
            <w:tcBorders>
              <w:top w:val="single" w:sz="4" w:space="0" w:color="auto"/>
              <w:bottom w:val="double" w:sz="4" w:space="0" w:color="auto"/>
            </w:tcBorders>
            <w:tcMar>
              <w:top w:w="28" w:type="dxa"/>
            </w:tcMar>
            <w:vAlign w:val="bottom"/>
          </w:tcPr>
          <w:p w14:paraId="724BB766" w14:textId="77777777" w:rsidR="00333A4B" w:rsidRPr="00E70587" w:rsidRDefault="00333A4B" w:rsidP="00543062">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1,728</w:t>
            </w:r>
          </w:p>
        </w:tc>
        <w:tc>
          <w:tcPr>
            <w:tcW w:w="1710" w:type="dxa"/>
            <w:tcBorders>
              <w:top w:val="single" w:sz="4" w:space="0" w:color="auto"/>
              <w:bottom w:val="double" w:sz="4" w:space="0" w:color="auto"/>
            </w:tcBorders>
            <w:tcMar>
              <w:top w:w="28" w:type="dxa"/>
            </w:tcMar>
            <w:vAlign w:val="bottom"/>
          </w:tcPr>
          <w:p w14:paraId="5DC7A72F" w14:textId="7B202683" w:rsidR="00333A4B" w:rsidRPr="00E70587" w:rsidRDefault="00333A4B" w:rsidP="00543062">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1,07</w:t>
            </w:r>
            <w:r w:rsidR="00FF1F9E">
              <w:rPr>
                <w:rFonts w:ascii="Arial" w:hAnsi="Arial" w:cs="Arial"/>
                <w:b/>
                <w:bCs/>
                <w:sz w:val="20"/>
                <w:lang w:eastAsia="en-GB"/>
              </w:rPr>
              <w:t>4</w:t>
            </w:r>
          </w:p>
        </w:tc>
      </w:tr>
    </w:tbl>
    <w:p w14:paraId="081AC0FE" w14:textId="77777777" w:rsidR="00333A4B" w:rsidRPr="00E70587" w:rsidRDefault="00333A4B" w:rsidP="00333A4B">
      <w:pPr>
        <w:pStyle w:val="IAStext"/>
        <w:spacing w:line="280" w:lineRule="exact"/>
        <w:rPr>
          <w:rFonts w:ascii="Arial" w:hAnsi="Arial" w:cs="Arial"/>
          <w:i w:val="0"/>
          <w:sz w:val="20"/>
          <w:lang w:val="en-IN"/>
        </w:rPr>
      </w:pPr>
    </w:p>
    <w:tbl>
      <w:tblPr>
        <w:tblW w:w="9576" w:type="dxa"/>
        <w:tblLook w:val="0000" w:firstRow="0" w:lastRow="0" w:firstColumn="0" w:lastColumn="0" w:noHBand="0" w:noVBand="0"/>
      </w:tblPr>
      <w:tblGrid>
        <w:gridCol w:w="9576"/>
      </w:tblGrid>
      <w:tr w:rsidR="00333A4B" w:rsidRPr="00E70587" w14:paraId="505CBFE4" w14:textId="77777777" w:rsidTr="00543062">
        <w:tc>
          <w:tcPr>
            <w:tcW w:w="0" w:type="auto"/>
          </w:tcPr>
          <w:p w14:paraId="056A7C1C" w14:textId="77777777" w:rsidR="00333A4B" w:rsidRPr="00E70587" w:rsidRDefault="00333A4B" w:rsidP="00543062">
            <w:pPr>
              <w:pStyle w:val="IAStext"/>
              <w:spacing w:line="280" w:lineRule="exact"/>
              <w:jc w:val="both"/>
              <w:rPr>
                <w:rFonts w:ascii="Arial" w:hAnsi="Arial" w:cs="Arial"/>
                <w:i w:val="0"/>
                <w:sz w:val="20"/>
                <w:lang w:val="en-IN"/>
              </w:rPr>
            </w:pPr>
            <w:r w:rsidRPr="00E70587">
              <w:rPr>
                <w:rFonts w:ascii="Arial" w:hAnsi="Arial" w:cs="Arial"/>
                <w:i w:val="0"/>
                <w:sz w:val="20"/>
                <w:lang w:val="en-IN"/>
              </w:rPr>
              <w:t>The Group’s investment properties consist of two commercial properties in India. The management has determined that the investment properties consist of two classes of assets − office and retail − based on the nature, characteristics and risks of each property.</w:t>
            </w:r>
          </w:p>
          <w:p w14:paraId="6127FB9D" w14:textId="77777777" w:rsidR="00333A4B" w:rsidRPr="00E70587" w:rsidRDefault="00333A4B" w:rsidP="00543062">
            <w:pPr>
              <w:spacing w:line="280" w:lineRule="exact"/>
              <w:jc w:val="both"/>
              <w:rPr>
                <w:rFonts w:ascii="Arial" w:hAnsi="Arial" w:cs="Arial"/>
                <w:sz w:val="20"/>
              </w:rPr>
            </w:pPr>
          </w:p>
          <w:p w14:paraId="55EC8DC6" w14:textId="40D43069" w:rsidR="00333A4B" w:rsidRPr="00E70587" w:rsidRDefault="00333A4B" w:rsidP="00543062">
            <w:pPr>
              <w:spacing w:line="280" w:lineRule="exact"/>
              <w:jc w:val="both"/>
              <w:rPr>
                <w:rFonts w:ascii="Arial" w:hAnsi="Arial" w:cs="Arial"/>
                <w:sz w:val="20"/>
              </w:rPr>
            </w:pPr>
            <w:r w:rsidRPr="00E70587">
              <w:rPr>
                <w:rFonts w:ascii="Arial" w:hAnsi="Arial" w:cs="Arial"/>
                <w:sz w:val="20"/>
              </w:rPr>
              <w:lastRenderedPageBreak/>
              <w:t xml:space="preserve">As at 31 </w:t>
            </w:r>
            <w:r w:rsidR="00E1202D" w:rsidRPr="00E70587">
              <w:rPr>
                <w:rFonts w:ascii="Arial" w:hAnsi="Arial" w:cs="Arial"/>
                <w:sz w:val="20"/>
              </w:rPr>
              <w:t xml:space="preserve">March </w:t>
            </w:r>
            <w:r w:rsidR="00AB34D8" w:rsidRPr="00E70587">
              <w:rPr>
                <w:rFonts w:ascii="Arial" w:hAnsi="Arial" w:cs="Arial"/>
                <w:sz w:val="20"/>
              </w:rPr>
              <w:t>20</w:t>
            </w:r>
            <w:r w:rsidR="00AB34D8">
              <w:rPr>
                <w:rFonts w:ascii="Arial" w:hAnsi="Arial" w:cs="Arial"/>
                <w:sz w:val="20"/>
              </w:rPr>
              <w:t>21</w:t>
            </w:r>
            <w:r w:rsidR="00AB34D8" w:rsidRPr="00E70587">
              <w:rPr>
                <w:rFonts w:ascii="Arial" w:hAnsi="Arial" w:cs="Arial"/>
                <w:sz w:val="20"/>
              </w:rPr>
              <w:t xml:space="preserve"> </w:t>
            </w:r>
            <w:r w:rsidR="005C37A0" w:rsidRPr="00E70587">
              <w:rPr>
                <w:rFonts w:ascii="Arial" w:hAnsi="Arial" w:cs="Arial"/>
                <w:sz w:val="20"/>
              </w:rPr>
              <w:t>and</w:t>
            </w:r>
            <w:r w:rsidRPr="00E70587">
              <w:rPr>
                <w:rFonts w:ascii="Arial" w:hAnsi="Arial" w:cs="Arial"/>
                <w:sz w:val="20"/>
              </w:rPr>
              <w:t xml:space="preserve"> 31 </w:t>
            </w:r>
            <w:r w:rsidR="008B730E" w:rsidRPr="00E70587">
              <w:rPr>
                <w:rFonts w:ascii="Arial" w:hAnsi="Arial" w:cs="Arial"/>
                <w:sz w:val="20"/>
              </w:rPr>
              <w:t xml:space="preserve">March </w:t>
            </w:r>
            <w:r w:rsidR="00AB34D8" w:rsidRPr="00E70587">
              <w:rPr>
                <w:rFonts w:ascii="Arial" w:hAnsi="Arial" w:cs="Arial"/>
                <w:sz w:val="20"/>
              </w:rPr>
              <w:t>20</w:t>
            </w:r>
            <w:r w:rsidR="00AB34D8">
              <w:rPr>
                <w:rFonts w:ascii="Arial" w:hAnsi="Arial" w:cs="Arial"/>
                <w:sz w:val="20"/>
              </w:rPr>
              <w:t>20</w:t>
            </w:r>
            <w:r w:rsidRPr="00E70587">
              <w:rPr>
                <w:rFonts w:ascii="Arial" w:hAnsi="Arial" w:cs="Arial"/>
                <w:sz w:val="20"/>
              </w:rPr>
              <w:t xml:space="preserve">, the fair values of the properties are INR </w:t>
            </w:r>
            <w:r w:rsidR="000C276D" w:rsidRPr="00E70587">
              <w:rPr>
                <w:rFonts w:ascii="Arial" w:hAnsi="Arial" w:cs="Arial"/>
                <w:sz w:val="20"/>
              </w:rPr>
              <w:t>18</w:t>
            </w:r>
            <w:r w:rsidR="005C37A0" w:rsidRPr="00E70587">
              <w:rPr>
                <w:rFonts w:ascii="Arial" w:hAnsi="Arial" w:cs="Arial"/>
                <w:sz w:val="20"/>
              </w:rPr>
              <w:t>,</w:t>
            </w:r>
            <w:r w:rsidR="000C276D" w:rsidRPr="00E70587">
              <w:rPr>
                <w:rFonts w:ascii="Arial" w:hAnsi="Arial" w:cs="Arial"/>
                <w:sz w:val="20"/>
              </w:rPr>
              <w:t>310</w:t>
            </w:r>
            <w:r w:rsidR="005C37A0" w:rsidRPr="00E70587">
              <w:rPr>
                <w:rFonts w:ascii="Arial" w:hAnsi="Arial" w:cs="Arial"/>
                <w:sz w:val="20"/>
              </w:rPr>
              <w:t xml:space="preserve"> and</w:t>
            </w:r>
            <w:r w:rsidRPr="00E70587">
              <w:rPr>
                <w:rFonts w:ascii="Arial" w:hAnsi="Arial" w:cs="Arial"/>
                <w:sz w:val="20"/>
              </w:rPr>
              <w:t xml:space="preserve"> INR </w:t>
            </w:r>
            <w:r w:rsidR="000C276D" w:rsidRPr="00E70587">
              <w:rPr>
                <w:rFonts w:ascii="Arial" w:hAnsi="Arial" w:cs="Arial"/>
                <w:sz w:val="20"/>
              </w:rPr>
              <w:t>15</w:t>
            </w:r>
            <w:r w:rsidR="005C37A0" w:rsidRPr="00E70587">
              <w:rPr>
                <w:rFonts w:ascii="Arial" w:hAnsi="Arial" w:cs="Arial"/>
                <w:sz w:val="20"/>
              </w:rPr>
              <w:t>,</w:t>
            </w:r>
            <w:r w:rsidR="000C276D" w:rsidRPr="00E70587">
              <w:rPr>
                <w:rFonts w:ascii="Arial" w:hAnsi="Arial" w:cs="Arial"/>
                <w:sz w:val="20"/>
              </w:rPr>
              <w:t xml:space="preserve">800, </w:t>
            </w:r>
            <w:r w:rsidRPr="00E70587">
              <w:rPr>
                <w:rFonts w:ascii="Arial" w:hAnsi="Arial" w:cs="Arial"/>
                <w:sz w:val="20"/>
              </w:rPr>
              <w:t>respectively. These valuations are based on valuations performed by Chartered Surveyors &amp; Co., an accredited independent valuer. Chartered Surveyors &amp; Co. is a specialist in valuing these types of investment properties. A valuation model in accordance with that recommended by the International Valuation Standards Committee has been applied.</w:t>
            </w:r>
          </w:p>
          <w:p w14:paraId="6F07D9AA" w14:textId="77777777" w:rsidR="00333A4B" w:rsidRPr="00E70587" w:rsidRDefault="00333A4B" w:rsidP="00543062">
            <w:pPr>
              <w:pStyle w:val="Notesbodytext"/>
              <w:spacing w:after="0" w:line="280" w:lineRule="exact"/>
              <w:jc w:val="both"/>
              <w:rPr>
                <w:rFonts w:ascii="Arial" w:hAnsi="Arial"/>
                <w:color w:val="auto"/>
                <w:sz w:val="20"/>
              </w:rPr>
            </w:pPr>
          </w:p>
          <w:p w14:paraId="1B364ED0" w14:textId="77777777" w:rsidR="00333A4B" w:rsidRPr="00E70587" w:rsidRDefault="00333A4B" w:rsidP="00543062">
            <w:pPr>
              <w:pStyle w:val="Notesbodytext"/>
              <w:spacing w:after="0" w:line="280" w:lineRule="exact"/>
              <w:jc w:val="both"/>
              <w:rPr>
                <w:rFonts w:ascii="Arial" w:hAnsi="Arial"/>
                <w:color w:val="auto"/>
                <w:sz w:val="20"/>
              </w:rPr>
            </w:pPr>
            <w:r w:rsidRPr="00E70587">
              <w:rPr>
                <w:rFonts w:ascii="Arial" w:hAnsi="Arial"/>
                <w:color w:val="auto"/>
                <w:sz w:val="20"/>
              </w:rPr>
              <w:t>The Group has no restrictions on the realisability of its investment properties and no contractual obligations to purchase, construct or develop investment properties or for repairs, maintenance and enhancements.</w:t>
            </w:r>
          </w:p>
          <w:p w14:paraId="0D7A4560" w14:textId="77777777" w:rsidR="00333A4B" w:rsidRPr="00E70587" w:rsidRDefault="00333A4B" w:rsidP="00543062">
            <w:pPr>
              <w:pStyle w:val="Notesbodytext"/>
              <w:spacing w:after="0" w:line="280" w:lineRule="exact"/>
              <w:jc w:val="both"/>
              <w:rPr>
                <w:rFonts w:ascii="Arial" w:hAnsi="Arial"/>
                <w:color w:val="auto"/>
                <w:sz w:val="20"/>
              </w:rPr>
            </w:pPr>
          </w:p>
          <w:p w14:paraId="26C4361D" w14:textId="2751F966" w:rsidR="00333A4B" w:rsidRPr="00E70587" w:rsidRDefault="00333A4B" w:rsidP="00543062">
            <w:pPr>
              <w:pStyle w:val="IAStext"/>
              <w:spacing w:line="280" w:lineRule="exact"/>
              <w:jc w:val="both"/>
              <w:rPr>
                <w:rFonts w:ascii="Arial" w:hAnsi="Arial" w:cs="Arial"/>
                <w:i w:val="0"/>
                <w:sz w:val="20"/>
                <w:lang w:val="en-IN"/>
              </w:rPr>
            </w:pPr>
            <w:r w:rsidRPr="00E70587">
              <w:rPr>
                <w:rFonts w:ascii="Arial" w:hAnsi="Arial" w:cs="Arial"/>
                <w:sz w:val="20"/>
                <w:lang w:val="en-IN"/>
              </w:rPr>
              <w:t xml:space="preserve">Fair value hierarchy disclosures for investment properties have been provided in Note </w:t>
            </w:r>
            <w:r w:rsidR="00B83F60" w:rsidRPr="00E70587">
              <w:rPr>
                <w:rFonts w:ascii="Arial" w:hAnsi="Arial" w:cs="Arial"/>
                <w:sz w:val="20"/>
                <w:lang w:val="en-IN"/>
              </w:rPr>
              <w:t>4</w:t>
            </w:r>
            <w:r w:rsidR="00B83F60">
              <w:rPr>
                <w:rFonts w:ascii="Arial" w:hAnsi="Arial" w:cs="Arial"/>
                <w:sz w:val="20"/>
                <w:lang w:val="en-IN"/>
              </w:rPr>
              <w:t>8</w:t>
            </w:r>
          </w:p>
        </w:tc>
      </w:tr>
    </w:tbl>
    <w:p w14:paraId="113A6100" w14:textId="77777777" w:rsidR="00333A4B" w:rsidRPr="00E70587" w:rsidRDefault="00333A4B" w:rsidP="00333A4B">
      <w:pPr>
        <w:pStyle w:val="Notesbodytext"/>
        <w:spacing w:after="0" w:line="280" w:lineRule="exact"/>
        <w:rPr>
          <w:rFonts w:ascii="Arial" w:hAnsi="Arial"/>
          <w:color w:val="auto"/>
          <w:sz w:val="20"/>
        </w:rPr>
      </w:pPr>
    </w:p>
    <w:p w14:paraId="545360DE" w14:textId="77777777" w:rsidR="00333A4B" w:rsidRPr="00E70587" w:rsidRDefault="00333A4B" w:rsidP="00333A4B">
      <w:pPr>
        <w:pStyle w:val="Notesbodytext"/>
        <w:spacing w:after="0" w:line="280" w:lineRule="exact"/>
        <w:rPr>
          <w:rFonts w:ascii="Arial" w:hAnsi="Arial"/>
          <w:color w:val="auto"/>
          <w:sz w:val="20"/>
        </w:rPr>
      </w:pPr>
    </w:p>
    <w:p w14:paraId="1AAA8868" w14:textId="77777777" w:rsidR="00333A4B" w:rsidRPr="00E70587" w:rsidRDefault="00333A4B" w:rsidP="00333A4B">
      <w:pPr>
        <w:pStyle w:val="tabletext"/>
        <w:spacing w:line="280" w:lineRule="exact"/>
        <w:rPr>
          <w:rFonts w:ascii="Arial" w:hAnsi="Arial" w:cs="Arial"/>
          <w:sz w:val="20"/>
          <w:lang w:val="en-IN"/>
        </w:rPr>
      </w:pPr>
    </w:p>
    <w:p w14:paraId="1B3FBA67" w14:textId="77777777" w:rsidR="00333A4B" w:rsidRPr="00E70587" w:rsidRDefault="00333A4B" w:rsidP="00333A4B">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Description of valuation techniques used and key inputs to valuation on investment properties:</w:t>
      </w:r>
    </w:p>
    <w:p w14:paraId="76DEB2DE" w14:textId="77777777" w:rsidR="00333A4B" w:rsidRPr="00E70587" w:rsidRDefault="00333A4B" w:rsidP="00333A4B">
      <w:pPr>
        <w:pStyle w:val="tabletext"/>
        <w:spacing w:line="280" w:lineRule="exact"/>
        <w:rPr>
          <w:rFonts w:ascii="Arial" w:hAnsi="Arial" w:cs="Arial"/>
          <w:sz w:val="20"/>
          <w:lang w:val="en-IN"/>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0"/>
        <w:gridCol w:w="1445"/>
        <w:gridCol w:w="1807"/>
        <w:gridCol w:w="1807"/>
        <w:gridCol w:w="1807"/>
      </w:tblGrid>
      <w:tr w:rsidR="00333A4B" w:rsidRPr="00E70587" w14:paraId="3CF655CF" w14:textId="77777777" w:rsidTr="00543062">
        <w:tc>
          <w:tcPr>
            <w:tcW w:w="2700" w:type="dxa"/>
          </w:tcPr>
          <w:p w14:paraId="5880EA5B" w14:textId="77777777" w:rsidR="00333A4B" w:rsidRPr="00E70587" w:rsidRDefault="00333A4B" w:rsidP="00543062">
            <w:pPr>
              <w:pStyle w:val="Tablecolumnheading"/>
              <w:spacing w:line="280" w:lineRule="exact"/>
              <w:jc w:val="left"/>
              <w:rPr>
                <w:rFonts w:ascii="Arial" w:hAnsi="Arial"/>
                <w:color w:val="auto"/>
                <w:sz w:val="20"/>
                <w:szCs w:val="20"/>
                <w:lang w:val="en-IN"/>
              </w:rPr>
            </w:pPr>
          </w:p>
        </w:tc>
        <w:tc>
          <w:tcPr>
            <w:tcW w:w="1440" w:type="dxa"/>
            <w:vAlign w:val="bottom"/>
          </w:tcPr>
          <w:p w14:paraId="64AB7AB3" w14:textId="77777777" w:rsidR="00333A4B" w:rsidRPr="00E70587" w:rsidRDefault="00333A4B"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Valuation technique</w:t>
            </w:r>
          </w:p>
        </w:tc>
        <w:tc>
          <w:tcPr>
            <w:tcW w:w="1800" w:type="dxa"/>
            <w:vAlign w:val="bottom"/>
          </w:tcPr>
          <w:p w14:paraId="218F1679" w14:textId="77777777" w:rsidR="00333A4B" w:rsidRPr="00E70587" w:rsidRDefault="00333A4B"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Significant unobservable Inputs</w:t>
            </w:r>
          </w:p>
        </w:tc>
        <w:tc>
          <w:tcPr>
            <w:tcW w:w="1800" w:type="dxa"/>
          </w:tcPr>
          <w:p w14:paraId="095DD396" w14:textId="77777777" w:rsidR="00333A4B" w:rsidRPr="00E70587" w:rsidRDefault="00333A4B"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Range (weighted average)</w:t>
            </w:r>
          </w:p>
        </w:tc>
        <w:tc>
          <w:tcPr>
            <w:tcW w:w="1800" w:type="dxa"/>
          </w:tcPr>
          <w:p w14:paraId="6F8ADABC" w14:textId="77777777" w:rsidR="00333A4B" w:rsidRPr="00E70587" w:rsidRDefault="00333A4B" w:rsidP="00543062">
            <w:pPr>
              <w:pStyle w:val="Tablecolumnheading"/>
              <w:spacing w:line="280" w:lineRule="exact"/>
              <w:rPr>
                <w:rFonts w:ascii="Arial" w:hAnsi="Arial"/>
                <w:color w:val="auto"/>
                <w:sz w:val="20"/>
                <w:szCs w:val="20"/>
                <w:lang w:val="en-IN"/>
              </w:rPr>
            </w:pPr>
          </w:p>
        </w:tc>
      </w:tr>
      <w:tr w:rsidR="00333A4B" w:rsidRPr="00E70587" w14:paraId="682973BC" w14:textId="77777777" w:rsidTr="00543062">
        <w:tc>
          <w:tcPr>
            <w:tcW w:w="2700" w:type="dxa"/>
          </w:tcPr>
          <w:p w14:paraId="5146B53F" w14:textId="77777777" w:rsidR="00333A4B" w:rsidRPr="00E70587" w:rsidRDefault="00333A4B" w:rsidP="00543062">
            <w:pPr>
              <w:pStyle w:val="tabletext"/>
              <w:spacing w:line="280" w:lineRule="exact"/>
              <w:rPr>
                <w:rFonts w:ascii="Arial" w:hAnsi="Arial" w:cs="Arial"/>
                <w:sz w:val="20"/>
                <w:lang w:val="en-IN"/>
              </w:rPr>
            </w:pPr>
          </w:p>
        </w:tc>
        <w:tc>
          <w:tcPr>
            <w:tcW w:w="1440" w:type="dxa"/>
          </w:tcPr>
          <w:p w14:paraId="20A423EE" w14:textId="77777777" w:rsidR="00333A4B" w:rsidRPr="00E70587" w:rsidRDefault="00333A4B" w:rsidP="00543062">
            <w:pPr>
              <w:pStyle w:val="Notesbodytext"/>
              <w:spacing w:after="0" w:line="280" w:lineRule="exact"/>
              <w:rPr>
                <w:rFonts w:ascii="Arial" w:hAnsi="Arial"/>
                <w:color w:val="auto"/>
                <w:sz w:val="20"/>
              </w:rPr>
            </w:pPr>
          </w:p>
        </w:tc>
        <w:tc>
          <w:tcPr>
            <w:tcW w:w="1800" w:type="dxa"/>
          </w:tcPr>
          <w:p w14:paraId="54032678" w14:textId="77777777" w:rsidR="00333A4B" w:rsidRPr="00E70587" w:rsidRDefault="00333A4B" w:rsidP="00543062">
            <w:pPr>
              <w:pStyle w:val="Notesbodytext"/>
              <w:spacing w:after="0" w:line="280" w:lineRule="exact"/>
              <w:rPr>
                <w:rFonts w:ascii="Arial" w:hAnsi="Arial"/>
                <w:color w:val="auto"/>
                <w:sz w:val="20"/>
              </w:rPr>
            </w:pPr>
          </w:p>
        </w:tc>
        <w:tc>
          <w:tcPr>
            <w:tcW w:w="1800" w:type="dxa"/>
          </w:tcPr>
          <w:p w14:paraId="17E7AE9A" w14:textId="4874CE1A" w:rsidR="00333A4B" w:rsidRPr="00E70587" w:rsidRDefault="00333A4B" w:rsidP="00543062">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March 20</w:t>
            </w:r>
            <w:r w:rsidR="00867043">
              <w:rPr>
                <w:rFonts w:ascii="Arial" w:hAnsi="Arial"/>
                <w:color w:val="auto"/>
                <w:sz w:val="20"/>
                <w:szCs w:val="20"/>
                <w:lang w:val="en-IN"/>
              </w:rPr>
              <w:t>21</w:t>
            </w:r>
          </w:p>
        </w:tc>
        <w:tc>
          <w:tcPr>
            <w:tcW w:w="1800" w:type="dxa"/>
          </w:tcPr>
          <w:p w14:paraId="2E21F7BA" w14:textId="44139775" w:rsidR="00333A4B" w:rsidRPr="00E70587" w:rsidRDefault="00333A4B" w:rsidP="00543062">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March 20</w:t>
            </w:r>
            <w:r w:rsidR="00867043">
              <w:rPr>
                <w:rFonts w:ascii="Arial" w:hAnsi="Arial"/>
                <w:color w:val="auto"/>
                <w:sz w:val="20"/>
                <w:szCs w:val="20"/>
                <w:lang w:val="en-IN"/>
              </w:rPr>
              <w:t>20</w:t>
            </w:r>
          </w:p>
        </w:tc>
      </w:tr>
      <w:tr w:rsidR="00333A4B" w:rsidRPr="00E70587" w14:paraId="59470C1C" w14:textId="77777777" w:rsidTr="00543062">
        <w:tc>
          <w:tcPr>
            <w:tcW w:w="2700" w:type="dxa"/>
            <w:vMerge w:val="restart"/>
          </w:tcPr>
          <w:p w14:paraId="1949D2FC" w14:textId="77777777" w:rsidR="00333A4B" w:rsidRPr="00E70587" w:rsidRDefault="00333A4B" w:rsidP="00543062">
            <w:pPr>
              <w:pStyle w:val="tabletext"/>
              <w:spacing w:line="280" w:lineRule="exact"/>
              <w:rPr>
                <w:rFonts w:ascii="Arial" w:hAnsi="Arial" w:cs="Arial"/>
                <w:sz w:val="20"/>
                <w:lang w:val="en-IN"/>
              </w:rPr>
            </w:pPr>
            <w:r w:rsidRPr="00E70587">
              <w:rPr>
                <w:rFonts w:ascii="Arial" w:hAnsi="Arial" w:cs="Arial"/>
                <w:sz w:val="20"/>
                <w:lang w:val="en-IN"/>
              </w:rPr>
              <w:t>Office properties</w:t>
            </w:r>
          </w:p>
        </w:tc>
        <w:tc>
          <w:tcPr>
            <w:tcW w:w="1440" w:type="dxa"/>
            <w:vMerge w:val="restart"/>
          </w:tcPr>
          <w:p w14:paraId="402FBF4D"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 xml:space="preserve">DCF method </w:t>
            </w:r>
            <w:r w:rsidRPr="00E70587">
              <w:rPr>
                <w:rFonts w:ascii="Arial" w:hAnsi="Arial"/>
                <w:color w:val="auto"/>
                <w:sz w:val="20"/>
              </w:rPr>
              <w:br/>
              <w:t xml:space="preserve">(refer below) </w:t>
            </w:r>
          </w:p>
        </w:tc>
        <w:tc>
          <w:tcPr>
            <w:tcW w:w="1800" w:type="dxa"/>
          </w:tcPr>
          <w:p w14:paraId="02CAB7D5"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Estimated rental value per sq. per month</w:t>
            </w:r>
          </w:p>
        </w:tc>
        <w:tc>
          <w:tcPr>
            <w:tcW w:w="1800" w:type="dxa"/>
          </w:tcPr>
          <w:p w14:paraId="35FB051A"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INR 10 - INR 25 (INR 20)</w:t>
            </w:r>
          </w:p>
        </w:tc>
        <w:tc>
          <w:tcPr>
            <w:tcW w:w="1800" w:type="dxa"/>
          </w:tcPr>
          <w:p w14:paraId="79FF7C0E"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INR 9 - INR 23 (INR 16)</w:t>
            </w:r>
          </w:p>
        </w:tc>
      </w:tr>
      <w:tr w:rsidR="00333A4B" w:rsidRPr="00E70587" w14:paraId="34F7253E" w14:textId="77777777" w:rsidTr="00543062">
        <w:tc>
          <w:tcPr>
            <w:tcW w:w="2700" w:type="dxa"/>
            <w:vMerge/>
            <w:vAlign w:val="bottom"/>
          </w:tcPr>
          <w:p w14:paraId="15A88516" w14:textId="77777777" w:rsidR="00333A4B" w:rsidRPr="00E70587" w:rsidRDefault="00333A4B" w:rsidP="00543062">
            <w:pPr>
              <w:pStyle w:val="Notesbodytext"/>
              <w:spacing w:after="0" w:line="280" w:lineRule="exact"/>
              <w:rPr>
                <w:rFonts w:ascii="Arial" w:hAnsi="Arial"/>
                <w:color w:val="auto"/>
                <w:sz w:val="20"/>
              </w:rPr>
            </w:pPr>
          </w:p>
        </w:tc>
        <w:tc>
          <w:tcPr>
            <w:tcW w:w="1440" w:type="dxa"/>
            <w:vMerge/>
            <w:vAlign w:val="bottom"/>
          </w:tcPr>
          <w:p w14:paraId="7D065A94" w14:textId="77777777" w:rsidR="00333A4B" w:rsidRPr="00E70587" w:rsidRDefault="00333A4B" w:rsidP="00543062">
            <w:pPr>
              <w:pStyle w:val="Notesbodytext"/>
              <w:spacing w:after="0" w:line="280" w:lineRule="exact"/>
              <w:rPr>
                <w:rFonts w:ascii="Arial" w:hAnsi="Arial"/>
                <w:color w:val="auto"/>
                <w:sz w:val="20"/>
              </w:rPr>
            </w:pPr>
          </w:p>
        </w:tc>
        <w:tc>
          <w:tcPr>
            <w:tcW w:w="1800" w:type="dxa"/>
          </w:tcPr>
          <w:p w14:paraId="77CDEBCE"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Rent growth p.a.</w:t>
            </w:r>
          </w:p>
        </w:tc>
        <w:tc>
          <w:tcPr>
            <w:tcW w:w="1800" w:type="dxa"/>
          </w:tcPr>
          <w:p w14:paraId="31DC2A69"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6.25%</w:t>
            </w:r>
          </w:p>
        </w:tc>
        <w:tc>
          <w:tcPr>
            <w:tcW w:w="1800" w:type="dxa"/>
          </w:tcPr>
          <w:p w14:paraId="6653B943"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6%</w:t>
            </w:r>
          </w:p>
        </w:tc>
      </w:tr>
      <w:tr w:rsidR="00333A4B" w:rsidRPr="00E70587" w14:paraId="415CB69B" w14:textId="77777777" w:rsidTr="00543062">
        <w:tc>
          <w:tcPr>
            <w:tcW w:w="2700" w:type="dxa"/>
            <w:vAlign w:val="bottom"/>
          </w:tcPr>
          <w:p w14:paraId="085C9691" w14:textId="77777777" w:rsidR="00333A4B" w:rsidRPr="00E70587" w:rsidRDefault="00333A4B" w:rsidP="00543062">
            <w:pPr>
              <w:pStyle w:val="Notesbodytext"/>
              <w:spacing w:after="0" w:line="280" w:lineRule="exact"/>
              <w:rPr>
                <w:rFonts w:ascii="Arial" w:hAnsi="Arial"/>
                <w:color w:val="auto"/>
                <w:sz w:val="20"/>
              </w:rPr>
            </w:pPr>
          </w:p>
        </w:tc>
        <w:tc>
          <w:tcPr>
            <w:tcW w:w="1440" w:type="dxa"/>
            <w:vAlign w:val="bottom"/>
          </w:tcPr>
          <w:p w14:paraId="6308E063" w14:textId="77777777" w:rsidR="00333A4B" w:rsidRPr="00E70587" w:rsidRDefault="00333A4B" w:rsidP="00543062">
            <w:pPr>
              <w:pStyle w:val="Notesbodytext"/>
              <w:spacing w:after="0" w:line="280" w:lineRule="exact"/>
              <w:rPr>
                <w:rFonts w:ascii="Arial" w:hAnsi="Arial"/>
                <w:color w:val="auto"/>
                <w:sz w:val="20"/>
              </w:rPr>
            </w:pPr>
          </w:p>
        </w:tc>
        <w:tc>
          <w:tcPr>
            <w:tcW w:w="1800" w:type="dxa"/>
          </w:tcPr>
          <w:p w14:paraId="66951A24"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Long-term vacancy rate</w:t>
            </w:r>
          </w:p>
        </w:tc>
        <w:tc>
          <w:tcPr>
            <w:tcW w:w="1800" w:type="dxa"/>
          </w:tcPr>
          <w:p w14:paraId="0118D1AA"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3% - 10% (5%)</w:t>
            </w:r>
          </w:p>
        </w:tc>
        <w:tc>
          <w:tcPr>
            <w:tcW w:w="1800" w:type="dxa"/>
          </w:tcPr>
          <w:p w14:paraId="30302087"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3% - 9% (4%)</w:t>
            </w:r>
          </w:p>
        </w:tc>
      </w:tr>
      <w:tr w:rsidR="00333A4B" w:rsidRPr="00E70587" w14:paraId="6DC11FB0" w14:textId="77777777" w:rsidTr="00543062">
        <w:tc>
          <w:tcPr>
            <w:tcW w:w="2700" w:type="dxa"/>
            <w:vAlign w:val="bottom"/>
          </w:tcPr>
          <w:p w14:paraId="1CD63C4E" w14:textId="77777777" w:rsidR="00333A4B" w:rsidRPr="00E70587" w:rsidRDefault="00333A4B" w:rsidP="00543062">
            <w:pPr>
              <w:pStyle w:val="Notesbodytext"/>
              <w:spacing w:after="0" w:line="280" w:lineRule="exact"/>
              <w:rPr>
                <w:rFonts w:ascii="Arial" w:hAnsi="Arial"/>
                <w:color w:val="auto"/>
                <w:sz w:val="20"/>
              </w:rPr>
            </w:pPr>
          </w:p>
        </w:tc>
        <w:tc>
          <w:tcPr>
            <w:tcW w:w="1440" w:type="dxa"/>
            <w:vAlign w:val="bottom"/>
          </w:tcPr>
          <w:p w14:paraId="61D42BFD" w14:textId="77777777" w:rsidR="00333A4B" w:rsidRPr="00E70587" w:rsidRDefault="00333A4B" w:rsidP="00543062">
            <w:pPr>
              <w:pStyle w:val="Notesbodytext"/>
              <w:spacing w:after="0" w:line="280" w:lineRule="exact"/>
              <w:rPr>
                <w:rFonts w:ascii="Arial" w:hAnsi="Arial"/>
                <w:color w:val="auto"/>
                <w:sz w:val="20"/>
              </w:rPr>
            </w:pPr>
          </w:p>
        </w:tc>
        <w:tc>
          <w:tcPr>
            <w:tcW w:w="1800" w:type="dxa"/>
          </w:tcPr>
          <w:p w14:paraId="23A876D5"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Discount rate</w:t>
            </w:r>
          </w:p>
        </w:tc>
        <w:tc>
          <w:tcPr>
            <w:tcW w:w="1800" w:type="dxa"/>
          </w:tcPr>
          <w:p w14:paraId="10E38EC4"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12.5%</w:t>
            </w:r>
          </w:p>
        </w:tc>
        <w:tc>
          <w:tcPr>
            <w:tcW w:w="1800" w:type="dxa"/>
          </w:tcPr>
          <w:p w14:paraId="04E8B053"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12.3%</w:t>
            </w:r>
          </w:p>
        </w:tc>
      </w:tr>
      <w:tr w:rsidR="00333A4B" w:rsidRPr="00E70587" w14:paraId="30F37335" w14:textId="77777777" w:rsidTr="00543062">
        <w:tc>
          <w:tcPr>
            <w:tcW w:w="2700" w:type="dxa"/>
            <w:vAlign w:val="bottom"/>
          </w:tcPr>
          <w:p w14:paraId="24E9A457" w14:textId="77777777" w:rsidR="00333A4B" w:rsidRPr="00E70587" w:rsidRDefault="00333A4B" w:rsidP="00543062">
            <w:pPr>
              <w:pStyle w:val="Notesbodytext"/>
              <w:spacing w:after="0" w:line="280" w:lineRule="exact"/>
              <w:rPr>
                <w:rFonts w:ascii="Arial" w:hAnsi="Arial"/>
                <w:color w:val="auto"/>
                <w:sz w:val="20"/>
              </w:rPr>
            </w:pPr>
          </w:p>
        </w:tc>
        <w:tc>
          <w:tcPr>
            <w:tcW w:w="1440" w:type="dxa"/>
            <w:vAlign w:val="bottom"/>
          </w:tcPr>
          <w:p w14:paraId="32526BC2" w14:textId="77777777" w:rsidR="00333A4B" w:rsidRPr="00E70587" w:rsidRDefault="00333A4B" w:rsidP="00543062">
            <w:pPr>
              <w:pStyle w:val="Notesbodytext"/>
              <w:spacing w:after="0" w:line="280" w:lineRule="exact"/>
              <w:rPr>
                <w:rFonts w:ascii="Arial" w:hAnsi="Arial"/>
                <w:color w:val="auto"/>
                <w:sz w:val="20"/>
              </w:rPr>
            </w:pPr>
          </w:p>
        </w:tc>
        <w:tc>
          <w:tcPr>
            <w:tcW w:w="1800" w:type="dxa"/>
          </w:tcPr>
          <w:p w14:paraId="1EFCB643" w14:textId="77777777" w:rsidR="00333A4B" w:rsidRPr="00E70587" w:rsidRDefault="00333A4B" w:rsidP="00543062">
            <w:pPr>
              <w:pStyle w:val="Notesbodytext"/>
              <w:spacing w:after="0" w:line="280" w:lineRule="exact"/>
              <w:rPr>
                <w:rFonts w:ascii="Arial" w:hAnsi="Arial"/>
                <w:color w:val="auto"/>
                <w:sz w:val="20"/>
              </w:rPr>
            </w:pPr>
          </w:p>
        </w:tc>
        <w:tc>
          <w:tcPr>
            <w:tcW w:w="1800" w:type="dxa"/>
          </w:tcPr>
          <w:p w14:paraId="5FE8F870" w14:textId="77777777" w:rsidR="00333A4B" w:rsidRPr="00E70587" w:rsidRDefault="00333A4B" w:rsidP="00543062">
            <w:pPr>
              <w:pStyle w:val="Notesbodytext"/>
              <w:spacing w:after="0" w:line="280" w:lineRule="exact"/>
              <w:rPr>
                <w:rFonts w:ascii="Arial" w:hAnsi="Arial"/>
                <w:color w:val="auto"/>
                <w:sz w:val="20"/>
              </w:rPr>
            </w:pPr>
          </w:p>
        </w:tc>
        <w:tc>
          <w:tcPr>
            <w:tcW w:w="1800" w:type="dxa"/>
          </w:tcPr>
          <w:p w14:paraId="078FC133" w14:textId="77777777" w:rsidR="00333A4B" w:rsidRPr="00E70587" w:rsidRDefault="00333A4B" w:rsidP="00543062">
            <w:pPr>
              <w:pStyle w:val="Notesbodytext"/>
              <w:spacing w:after="0" w:line="280" w:lineRule="exact"/>
              <w:rPr>
                <w:rFonts w:ascii="Arial" w:hAnsi="Arial"/>
                <w:color w:val="auto"/>
                <w:sz w:val="20"/>
              </w:rPr>
            </w:pPr>
          </w:p>
        </w:tc>
      </w:tr>
      <w:tr w:rsidR="00333A4B" w:rsidRPr="00E70587" w14:paraId="4E3D41A3" w14:textId="77777777" w:rsidTr="00543062">
        <w:tc>
          <w:tcPr>
            <w:tcW w:w="2700" w:type="dxa"/>
            <w:vMerge w:val="restart"/>
          </w:tcPr>
          <w:p w14:paraId="06977C25"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Retail properties</w:t>
            </w:r>
          </w:p>
        </w:tc>
        <w:tc>
          <w:tcPr>
            <w:tcW w:w="1440" w:type="dxa"/>
            <w:vMerge w:val="restart"/>
          </w:tcPr>
          <w:p w14:paraId="7C823A48"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DCF method</w:t>
            </w:r>
            <w:r w:rsidRPr="00E70587">
              <w:rPr>
                <w:rFonts w:ascii="Arial" w:hAnsi="Arial"/>
                <w:color w:val="auto"/>
                <w:sz w:val="20"/>
              </w:rPr>
              <w:br/>
              <w:t>(refer below)</w:t>
            </w:r>
          </w:p>
        </w:tc>
        <w:tc>
          <w:tcPr>
            <w:tcW w:w="1800" w:type="dxa"/>
          </w:tcPr>
          <w:p w14:paraId="2B02C7C1"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Estimated rental value per sq. per month</w:t>
            </w:r>
          </w:p>
        </w:tc>
        <w:tc>
          <w:tcPr>
            <w:tcW w:w="1800" w:type="dxa"/>
          </w:tcPr>
          <w:p w14:paraId="24B60AA9"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INR 15 - INR 35 (INR 22)</w:t>
            </w:r>
          </w:p>
        </w:tc>
        <w:tc>
          <w:tcPr>
            <w:tcW w:w="1800" w:type="dxa"/>
          </w:tcPr>
          <w:p w14:paraId="76C3BD2C"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INR 14 - INR 33 (INR 21)</w:t>
            </w:r>
          </w:p>
        </w:tc>
      </w:tr>
      <w:tr w:rsidR="00333A4B" w:rsidRPr="00E70587" w14:paraId="5D9829C4" w14:textId="77777777" w:rsidTr="00543062">
        <w:tc>
          <w:tcPr>
            <w:tcW w:w="2700" w:type="dxa"/>
            <w:vMerge/>
            <w:vAlign w:val="bottom"/>
          </w:tcPr>
          <w:p w14:paraId="1F0BDF69" w14:textId="77777777" w:rsidR="00333A4B" w:rsidRPr="00E70587" w:rsidRDefault="00333A4B" w:rsidP="00543062">
            <w:pPr>
              <w:pStyle w:val="Notesbodytext"/>
              <w:spacing w:after="0" w:line="280" w:lineRule="exact"/>
              <w:rPr>
                <w:rFonts w:ascii="Arial" w:hAnsi="Arial"/>
                <w:color w:val="auto"/>
                <w:sz w:val="20"/>
              </w:rPr>
            </w:pPr>
          </w:p>
        </w:tc>
        <w:tc>
          <w:tcPr>
            <w:tcW w:w="1440" w:type="dxa"/>
            <w:vMerge/>
            <w:vAlign w:val="bottom"/>
          </w:tcPr>
          <w:p w14:paraId="258686C7" w14:textId="77777777" w:rsidR="00333A4B" w:rsidRPr="00E70587" w:rsidRDefault="00333A4B" w:rsidP="00543062">
            <w:pPr>
              <w:pStyle w:val="Notesbodytext"/>
              <w:spacing w:after="0" w:line="280" w:lineRule="exact"/>
              <w:rPr>
                <w:rFonts w:ascii="Arial" w:hAnsi="Arial"/>
                <w:color w:val="auto"/>
                <w:sz w:val="20"/>
              </w:rPr>
            </w:pPr>
          </w:p>
        </w:tc>
        <w:tc>
          <w:tcPr>
            <w:tcW w:w="1800" w:type="dxa"/>
          </w:tcPr>
          <w:p w14:paraId="34ED4CA5"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Rent growth p.a.</w:t>
            </w:r>
          </w:p>
        </w:tc>
        <w:tc>
          <w:tcPr>
            <w:tcW w:w="1800" w:type="dxa"/>
          </w:tcPr>
          <w:p w14:paraId="0EA2334E"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6%</w:t>
            </w:r>
          </w:p>
        </w:tc>
        <w:tc>
          <w:tcPr>
            <w:tcW w:w="1800" w:type="dxa"/>
          </w:tcPr>
          <w:p w14:paraId="7F96F73F"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5.2%</w:t>
            </w:r>
          </w:p>
        </w:tc>
      </w:tr>
      <w:tr w:rsidR="00333A4B" w:rsidRPr="00E70587" w14:paraId="47F1C1B4" w14:textId="77777777" w:rsidTr="00543062">
        <w:tc>
          <w:tcPr>
            <w:tcW w:w="2700" w:type="dxa"/>
            <w:vMerge/>
            <w:vAlign w:val="bottom"/>
          </w:tcPr>
          <w:p w14:paraId="3187240A" w14:textId="77777777" w:rsidR="00333A4B" w:rsidRPr="00E70587" w:rsidRDefault="00333A4B" w:rsidP="00543062">
            <w:pPr>
              <w:pStyle w:val="Notesbodytext"/>
              <w:spacing w:after="0" w:line="280" w:lineRule="exact"/>
              <w:rPr>
                <w:rFonts w:ascii="Arial" w:hAnsi="Arial"/>
                <w:color w:val="auto"/>
                <w:sz w:val="20"/>
              </w:rPr>
            </w:pPr>
          </w:p>
        </w:tc>
        <w:tc>
          <w:tcPr>
            <w:tcW w:w="1440" w:type="dxa"/>
            <w:vAlign w:val="bottom"/>
          </w:tcPr>
          <w:p w14:paraId="287E5353" w14:textId="77777777" w:rsidR="00333A4B" w:rsidRPr="00E70587" w:rsidRDefault="00333A4B" w:rsidP="00543062">
            <w:pPr>
              <w:pStyle w:val="Notesbodytext"/>
              <w:spacing w:after="0" w:line="280" w:lineRule="exact"/>
              <w:rPr>
                <w:rFonts w:ascii="Arial" w:hAnsi="Arial"/>
                <w:color w:val="auto"/>
                <w:sz w:val="20"/>
              </w:rPr>
            </w:pPr>
          </w:p>
        </w:tc>
        <w:tc>
          <w:tcPr>
            <w:tcW w:w="1800" w:type="dxa"/>
          </w:tcPr>
          <w:p w14:paraId="114F59C4"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Long-term vacancy rate</w:t>
            </w:r>
          </w:p>
        </w:tc>
        <w:tc>
          <w:tcPr>
            <w:tcW w:w="1800" w:type="dxa"/>
          </w:tcPr>
          <w:p w14:paraId="2C337A0A"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4% - 12% (7%)</w:t>
            </w:r>
          </w:p>
        </w:tc>
        <w:tc>
          <w:tcPr>
            <w:tcW w:w="1800" w:type="dxa"/>
          </w:tcPr>
          <w:p w14:paraId="4DDD9033"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4% - 13% (8.5%)</w:t>
            </w:r>
          </w:p>
        </w:tc>
      </w:tr>
      <w:tr w:rsidR="00333A4B" w:rsidRPr="00E70587" w14:paraId="08457511" w14:textId="77777777" w:rsidTr="00543062">
        <w:tc>
          <w:tcPr>
            <w:tcW w:w="2700" w:type="dxa"/>
            <w:vAlign w:val="center"/>
          </w:tcPr>
          <w:p w14:paraId="20A0F3AE" w14:textId="77777777" w:rsidR="00333A4B" w:rsidRPr="00E70587" w:rsidRDefault="00333A4B" w:rsidP="00543062">
            <w:pPr>
              <w:pStyle w:val="Notesbodytext"/>
              <w:spacing w:after="0" w:line="280" w:lineRule="exact"/>
              <w:rPr>
                <w:rFonts w:ascii="Arial" w:hAnsi="Arial"/>
                <w:color w:val="auto"/>
                <w:sz w:val="20"/>
              </w:rPr>
            </w:pPr>
          </w:p>
        </w:tc>
        <w:tc>
          <w:tcPr>
            <w:tcW w:w="1440" w:type="dxa"/>
            <w:vAlign w:val="bottom"/>
          </w:tcPr>
          <w:p w14:paraId="59B11328" w14:textId="77777777" w:rsidR="00333A4B" w:rsidRPr="00E70587" w:rsidRDefault="00333A4B" w:rsidP="00543062">
            <w:pPr>
              <w:pStyle w:val="Notesbodytext"/>
              <w:spacing w:after="0" w:line="280" w:lineRule="exact"/>
              <w:rPr>
                <w:rFonts w:ascii="Arial" w:hAnsi="Arial"/>
                <w:color w:val="auto"/>
                <w:sz w:val="20"/>
              </w:rPr>
            </w:pPr>
          </w:p>
        </w:tc>
        <w:tc>
          <w:tcPr>
            <w:tcW w:w="1800" w:type="dxa"/>
          </w:tcPr>
          <w:p w14:paraId="7938C12A"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Discount rate</w:t>
            </w:r>
          </w:p>
        </w:tc>
        <w:tc>
          <w:tcPr>
            <w:tcW w:w="1800" w:type="dxa"/>
          </w:tcPr>
          <w:p w14:paraId="11576E15"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11.5%</w:t>
            </w:r>
          </w:p>
        </w:tc>
        <w:tc>
          <w:tcPr>
            <w:tcW w:w="1800" w:type="dxa"/>
          </w:tcPr>
          <w:p w14:paraId="6226DEFD" w14:textId="77777777" w:rsidR="00333A4B" w:rsidRPr="00E70587" w:rsidRDefault="00333A4B" w:rsidP="00543062">
            <w:pPr>
              <w:pStyle w:val="Notesbodytext"/>
              <w:spacing w:after="0" w:line="280" w:lineRule="exact"/>
              <w:rPr>
                <w:rFonts w:ascii="Arial" w:hAnsi="Arial"/>
                <w:color w:val="auto"/>
                <w:sz w:val="20"/>
              </w:rPr>
            </w:pPr>
            <w:r w:rsidRPr="00E70587">
              <w:rPr>
                <w:rFonts w:ascii="Arial" w:hAnsi="Arial"/>
                <w:color w:val="auto"/>
                <w:sz w:val="20"/>
              </w:rPr>
              <w:t>11.3%</w:t>
            </w:r>
          </w:p>
        </w:tc>
      </w:tr>
    </w:tbl>
    <w:p w14:paraId="6BA8C8E4" w14:textId="77777777" w:rsidR="00333A4B" w:rsidRPr="00E70587" w:rsidRDefault="00333A4B" w:rsidP="00333A4B">
      <w:pPr>
        <w:pStyle w:val="tabletext"/>
        <w:spacing w:line="280" w:lineRule="exact"/>
        <w:rPr>
          <w:rFonts w:ascii="Arial" w:hAnsi="Arial" w:cs="Arial"/>
          <w:sz w:val="20"/>
          <w:lang w:val="en-IN"/>
        </w:rPr>
      </w:pPr>
    </w:p>
    <w:tbl>
      <w:tblPr>
        <w:tblW w:w="9576" w:type="dxa"/>
        <w:tblLook w:val="0000" w:firstRow="0" w:lastRow="0" w:firstColumn="0" w:lastColumn="0" w:noHBand="0" w:noVBand="0"/>
      </w:tblPr>
      <w:tblGrid>
        <w:gridCol w:w="9576"/>
      </w:tblGrid>
      <w:tr w:rsidR="00333A4B" w:rsidRPr="00E70587" w14:paraId="6E731162" w14:textId="77777777" w:rsidTr="00543062">
        <w:tc>
          <w:tcPr>
            <w:tcW w:w="0" w:type="auto"/>
          </w:tcPr>
          <w:p w14:paraId="452FCA1D" w14:textId="77777777" w:rsidR="00333A4B" w:rsidRPr="00E70587" w:rsidRDefault="00333A4B" w:rsidP="00543062">
            <w:pPr>
              <w:pStyle w:val="Notesbodytext"/>
              <w:spacing w:after="0" w:line="280" w:lineRule="exact"/>
              <w:ind w:right="70"/>
              <w:jc w:val="both"/>
              <w:rPr>
                <w:rFonts w:ascii="Arial" w:hAnsi="Arial"/>
                <w:color w:val="auto"/>
                <w:sz w:val="20"/>
              </w:rPr>
            </w:pPr>
            <w:r w:rsidRPr="00E70587">
              <w:rPr>
                <w:rFonts w:ascii="Arial" w:hAnsi="Arial"/>
                <w:color w:val="auto"/>
                <w:sz w:val="20"/>
              </w:rPr>
              <w:t>Under the DCF method, fair value is estimated using assumptions regarding the benefits and liabilities of ownership over the asset’s life including an exit or terminal value. This method involves the projection of a series of cash flows on a real property interest. To this projected cash flow series, a market-derived discount rate is applied to establish the present value of the income stream associated with the asset. The exit yield is normally separately determined and differs from the discount rate.</w:t>
            </w:r>
          </w:p>
          <w:p w14:paraId="55699AF8" w14:textId="77777777" w:rsidR="00333A4B" w:rsidRPr="00E70587" w:rsidRDefault="00333A4B" w:rsidP="00543062">
            <w:pPr>
              <w:pStyle w:val="Notesbodytext"/>
              <w:spacing w:after="0" w:line="280" w:lineRule="exact"/>
              <w:ind w:right="-77"/>
              <w:jc w:val="both"/>
              <w:rPr>
                <w:rFonts w:ascii="Arial" w:hAnsi="Arial"/>
                <w:color w:val="auto"/>
                <w:sz w:val="20"/>
              </w:rPr>
            </w:pPr>
          </w:p>
          <w:p w14:paraId="4F6AED2A" w14:textId="77777777" w:rsidR="00333A4B" w:rsidRPr="00E70587" w:rsidRDefault="00333A4B" w:rsidP="00543062">
            <w:pPr>
              <w:pStyle w:val="Notesbodytext"/>
              <w:spacing w:after="0" w:line="280" w:lineRule="exact"/>
              <w:ind w:right="-77"/>
              <w:jc w:val="both"/>
              <w:rPr>
                <w:rFonts w:ascii="Arial" w:hAnsi="Arial"/>
                <w:color w:val="auto"/>
                <w:sz w:val="20"/>
              </w:rPr>
            </w:pPr>
            <w:r w:rsidRPr="00E70587">
              <w:rPr>
                <w:rFonts w:ascii="Arial" w:hAnsi="Arial"/>
                <w:color w:val="auto"/>
                <w:sz w:val="20"/>
              </w:rPr>
              <w:t>The duration of the cash flows and the specific timing of inflows and outflows are determined by events such as rent reviews, lease renewal and related re-letting, redevelopment, or refurbishment. The appropriate duration is typically driven by market behaviour that is a characteristic of the class of real property. Periodic cash flow is typically estimated as gross income less vacancy, non-recoverable expenses, collection losses, lease incentives, maintenance cost, agent and commission costs and other operating and management expenses. The series of periodic net operating income, along with an estimate of the terminal value anticipated at the end of the projection period, is then discounted.</w:t>
            </w:r>
          </w:p>
          <w:p w14:paraId="541952A0" w14:textId="77777777" w:rsidR="00333A4B" w:rsidRPr="00E70587" w:rsidRDefault="00333A4B" w:rsidP="00543062">
            <w:pPr>
              <w:pStyle w:val="Notesbodytext"/>
              <w:spacing w:after="0" w:line="280" w:lineRule="exact"/>
              <w:ind w:right="-77"/>
              <w:jc w:val="both"/>
              <w:rPr>
                <w:rFonts w:ascii="Arial" w:hAnsi="Arial"/>
                <w:color w:val="auto"/>
                <w:sz w:val="20"/>
              </w:rPr>
            </w:pPr>
          </w:p>
          <w:p w14:paraId="6A83B351" w14:textId="77777777" w:rsidR="00333A4B" w:rsidRPr="00E70587" w:rsidRDefault="00333A4B" w:rsidP="00543062">
            <w:pPr>
              <w:pStyle w:val="Notesbodytext"/>
              <w:spacing w:after="0" w:line="280" w:lineRule="exact"/>
              <w:ind w:right="-77"/>
              <w:jc w:val="both"/>
              <w:rPr>
                <w:rFonts w:ascii="Arial" w:hAnsi="Arial"/>
                <w:color w:val="auto"/>
                <w:sz w:val="20"/>
              </w:rPr>
            </w:pPr>
            <w:r w:rsidRPr="00E70587">
              <w:rPr>
                <w:rFonts w:ascii="Arial" w:hAnsi="Arial"/>
                <w:color w:val="auto"/>
                <w:sz w:val="20"/>
              </w:rPr>
              <w:t>Significant increases (decreases) in estimated rental value and rent growth per annum in isolation would result in a significantly higher (lower) fair value of the properties. Significant increases (decreases) in long-</w:t>
            </w:r>
            <w:r w:rsidRPr="00E70587">
              <w:rPr>
                <w:rFonts w:ascii="Arial" w:hAnsi="Arial"/>
                <w:color w:val="auto"/>
                <w:sz w:val="20"/>
              </w:rPr>
              <w:lastRenderedPageBreak/>
              <w:t xml:space="preserve">term vacancy rate and discount rate (and exit yield) in isolation would result in a significantly lower (higher) fair value. </w:t>
            </w:r>
          </w:p>
          <w:p w14:paraId="5983198B" w14:textId="77777777" w:rsidR="00333A4B" w:rsidRPr="00E70587" w:rsidRDefault="00333A4B" w:rsidP="00543062">
            <w:pPr>
              <w:pStyle w:val="Notesbodytext"/>
              <w:spacing w:after="0" w:line="280" w:lineRule="exact"/>
              <w:jc w:val="both"/>
              <w:rPr>
                <w:rFonts w:ascii="Arial" w:hAnsi="Arial"/>
                <w:color w:val="auto"/>
                <w:sz w:val="20"/>
              </w:rPr>
            </w:pPr>
          </w:p>
          <w:p w14:paraId="1577D1A6" w14:textId="77777777" w:rsidR="00333A4B" w:rsidRPr="00E70587" w:rsidRDefault="00333A4B" w:rsidP="00543062">
            <w:pPr>
              <w:pStyle w:val="Notesbodytext"/>
              <w:spacing w:after="0" w:line="280" w:lineRule="exact"/>
              <w:jc w:val="both"/>
              <w:rPr>
                <w:rFonts w:ascii="Arial" w:hAnsi="Arial"/>
                <w:color w:val="auto"/>
                <w:sz w:val="20"/>
              </w:rPr>
            </w:pPr>
            <w:r w:rsidRPr="00E70587">
              <w:rPr>
                <w:rFonts w:ascii="Arial" w:hAnsi="Arial"/>
                <w:color w:val="auto"/>
                <w:sz w:val="20"/>
              </w:rPr>
              <w:t>Generally, a change in the assumption made for the estimated rental value is accompanied by:</w:t>
            </w:r>
          </w:p>
          <w:p w14:paraId="30B29337" w14:textId="77777777" w:rsidR="00333A4B" w:rsidRPr="00E70587" w:rsidRDefault="00333A4B" w:rsidP="00543062">
            <w:pPr>
              <w:pStyle w:val="Notesbulletpoint"/>
              <w:spacing w:before="120" w:after="0" w:line="280" w:lineRule="exact"/>
              <w:ind w:left="720" w:hanging="720"/>
              <w:jc w:val="both"/>
              <w:rPr>
                <w:rFonts w:ascii="Arial" w:hAnsi="Arial"/>
                <w:color w:val="auto"/>
                <w:sz w:val="20"/>
              </w:rPr>
            </w:pPr>
            <w:r w:rsidRPr="00E70587">
              <w:rPr>
                <w:rFonts w:ascii="Arial" w:hAnsi="Arial"/>
                <w:color w:val="auto"/>
                <w:sz w:val="20"/>
              </w:rPr>
              <w:t>A directionally similar change in the rent growth per annum and discount rate (and exit yield)</w:t>
            </w:r>
          </w:p>
          <w:p w14:paraId="4DC66A83" w14:textId="3EA63F71" w:rsidR="00333A4B" w:rsidRPr="00E70587" w:rsidRDefault="00333A4B" w:rsidP="00543062">
            <w:pPr>
              <w:pStyle w:val="Notesbulletpoint"/>
              <w:spacing w:before="120" w:after="0" w:line="280" w:lineRule="exact"/>
              <w:ind w:left="720" w:hanging="720"/>
              <w:jc w:val="both"/>
              <w:rPr>
                <w:rFonts w:ascii="Arial" w:hAnsi="Arial"/>
                <w:color w:val="auto"/>
                <w:sz w:val="20"/>
              </w:rPr>
            </w:pPr>
            <w:r w:rsidRPr="00E70587">
              <w:rPr>
                <w:rFonts w:ascii="Arial" w:hAnsi="Arial"/>
                <w:color w:val="auto"/>
                <w:sz w:val="20"/>
              </w:rPr>
              <w:t>An opposite change in the long</w:t>
            </w:r>
            <w:r w:rsidR="00AB34D8">
              <w:rPr>
                <w:rFonts w:ascii="Arial" w:hAnsi="Arial"/>
                <w:color w:val="auto"/>
                <w:sz w:val="20"/>
              </w:rPr>
              <w:t>-</w:t>
            </w:r>
            <w:r w:rsidRPr="00E70587">
              <w:rPr>
                <w:rFonts w:ascii="Arial" w:hAnsi="Arial"/>
                <w:color w:val="auto"/>
                <w:sz w:val="20"/>
              </w:rPr>
              <w:t>term vacancy rate</w:t>
            </w:r>
          </w:p>
          <w:p w14:paraId="4FF11302" w14:textId="77777777" w:rsidR="00333A4B" w:rsidRPr="00E70587" w:rsidRDefault="00333A4B" w:rsidP="00543062">
            <w:pPr>
              <w:pStyle w:val="Notesbulletpoint"/>
              <w:numPr>
                <w:ilvl w:val="0"/>
                <w:numId w:val="0"/>
              </w:numPr>
              <w:spacing w:after="0" w:line="280" w:lineRule="exact"/>
              <w:ind w:left="360" w:hanging="360"/>
              <w:jc w:val="both"/>
              <w:rPr>
                <w:rFonts w:ascii="Arial" w:hAnsi="Arial"/>
                <w:color w:val="auto"/>
                <w:sz w:val="20"/>
              </w:rPr>
            </w:pPr>
          </w:p>
        </w:tc>
      </w:tr>
      <w:tr w:rsidR="00333A4B" w:rsidRPr="00E70587" w14:paraId="7C641F6B" w14:textId="77777777" w:rsidTr="00543062">
        <w:tc>
          <w:tcPr>
            <w:tcW w:w="0" w:type="auto"/>
            <w:shd w:val="clear" w:color="auto" w:fill="C1C1C1" w:themeFill="background1" w:themeFillTint="66"/>
          </w:tcPr>
          <w:p w14:paraId="4F6EDEC0" w14:textId="77777777" w:rsidR="00333A4B" w:rsidRPr="00E70587" w:rsidRDefault="00333A4B" w:rsidP="00543062">
            <w:pPr>
              <w:pStyle w:val="Notesbulletpoint"/>
              <w:numPr>
                <w:ilvl w:val="0"/>
                <w:numId w:val="0"/>
              </w:numPr>
              <w:shd w:val="clear" w:color="auto" w:fill="C1C1C1" w:themeFill="background1" w:themeFillTint="66"/>
              <w:spacing w:after="0" w:line="280" w:lineRule="exact"/>
              <w:ind w:left="360" w:hanging="360"/>
              <w:jc w:val="both"/>
              <w:rPr>
                <w:rFonts w:ascii="Arial" w:hAnsi="Arial"/>
                <w:b/>
                <w:color w:val="auto"/>
                <w:sz w:val="20"/>
              </w:rPr>
            </w:pPr>
            <w:r w:rsidRPr="00E70587">
              <w:rPr>
                <w:rFonts w:ascii="Arial" w:hAnsi="Arial"/>
                <w:b/>
                <w:color w:val="auto"/>
                <w:sz w:val="20"/>
              </w:rPr>
              <w:lastRenderedPageBreak/>
              <w:t>Authors’ note</w:t>
            </w:r>
          </w:p>
          <w:p w14:paraId="6B645938" w14:textId="77777777" w:rsidR="00333A4B" w:rsidRPr="00E70587" w:rsidRDefault="00333A4B" w:rsidP="00543062">
            <w:pPr>
              <w:pStyle w:val="Notesbulletpoint"/>
              <w:numPr>
                <w:ilvl w:val="0"/>
                <w:numId w:val="0"/>
              </w:numPr>
              <w:shd w:val="clear" w:color="auto" w:fill="C1C1C1" w:themeFill="background1" w:themeFillTint="66"/>
              <w:spacing w:after="0" w:line="280" w:lineRule="exact"/>
              <w:jc w:val="both"/>
              <w:rPr>
                <w:rFonts w:ascii="Arial" w:hAnsi="Arial"/>
                <w:color w:val="auto"/>
                <w:sz w:val="20"/>
              </w:rPr>
            </w:pPr>
          </w:p>
          <w:p w14:paraId="03BFA1A6" w14:textId="77777777" w:rsidR="00333A4B" w:rsidRPr="00E70587" w:rsidRDefault="00333A4B" w:rsidP="00543062">
            <w:pPr>
              <w:pStyle w:val="Notesbulletpoint"/>
              <w:numPr>
                <w:ilvl w:val="0"/>
                <w:numId w:val="0"/>
              </w:numPr>
              <w:shd w:val="clear" w:color="auto" w:fill="C1C1C1" w:themeFill="background1" w:themeFillTint="66"/>
              <w:spacing w:after="0" w:line="280" w:lineRule="exact"/>
              <w:jc w:val="both"/>
              <w:rPr>
                <w:rFonts w:ascii="Arial" w:hAnsi="Arial"/>
                <w:color w:val="auto"/>
                <w:sz w:val="20"/>
              </w:rPr>
            </w:pPr>
            <w:r w:rsidRPr="00E70587">
              <w:rPr>
                <w:rFonts w:ascii="Arial" w:hAnsi="Arial"/>
                <w:color w:val="auto"/>
                <w:sz w:val="20"/>
              </w:rPr>
              <w:t xml:space="preserve">Ind AS 40 </w:t>
            </w:r>
            <w:r w:rsidRPr="00E70587">
              <w:rPr>
                <w:rFonts w:ascii="Arial" w:hAnsi="Arial"/>
                <w:i/>
                <w:color w:val="auto"/>
                <w:sz w:val="20"/>
              </w:rPr>
              <w:t>Investment Property</w:t>
            </w:r>
            <w:r w:rsidRPr="00E70587">
              <w:rPr>
                <w:rFonts w:ascii="Arial" w:hAnsi="Arial"/>
                <w:color w:val="auto"/>
                <w:sz w:val="20"/>
              </w:rPr>
              <w:t xml:space="preserve"> requires investment properties to be carried at historical cost less accumulated depreciation and impairment. It also requires disclosure of information about the cost basis and depreciation rates (similar to disclosures required under Ind AS 16 for property, plant and equipment). Ind AS 40.79(e) requires disclosure of the fair value of investments properties. For the purpose of this disclosure, the fair value is required to be determined in accordance with Ind AS 113. Also, in addition to the disclosures under Ind AS 40, Ind AS 113.97 requires disclosure of:</w:t>
            </w:r>
          </w:p>
          <w:p w14:paraId="69A90AC9" w14:textId="77777777" w:rsidR="00333A4B" w:rsidRPr="00E70587" w:rsidRDefault="00333A4B" w:rsidP="00E466DD">
            <w:pPr>
              <w:pStyle w:val="Notesbulletpoint"/>
              <w:numPr>
                <w:ilvl w:val="0"/>
                <w:numId w:val="25"/>
              </w:numPr>
              <w:shd w:val="clear" w:color="auto" w:fill="C1C1C1" w:themeFill="background1" w:themeFillTint="66"/>
              <w:spacing w:before="120" w:after="0" w:line="280" w:lineRule="exact"/>
              <w:ind w:left="720" w:hanging="720"/>
              <w:jc w:val="both"/>
              <w:rPr>
                <w:rFonts w:ascii="Arial" w:hAnsi="Arial"/>
                <w:color w:val="auto"/>
                <w:sz w:val="20"/>
              </w:rPr>
            </w:pPr>
            <w:r w:rsidRPr="00E70587">
              <w:rPr>
                <w:rFonts w:ascii="Arial" w:hAnsi="Arial"/>
                <w:color w:val="auto"/>
                <w:sz w:val="20"/>
              </w:rPr>
              <w:t xml:space="preserve">The level at which fair value measurement is categorised </w:t>
            </w:r>
            <w:proofErr w:type="gramStart"/>
            <w:r w:rsidRPr="00E70587">
              <w:rPr>
                <w:rFonts w:ascii="Arial" w:hAnsi="Arial"/>
                <w:color w:val="auto"/>
                <w:sz w:val="20"/>
              </w:rPr>
              <w:t>i.e.</w:t>
            </w:r>
            <w:proofErr w:type="gramEnd"/>
            <w:r w:rsidRPr="00E70587">
              <w:rPr>
                <w:rFonts w:ascii="Arial" w:hAnsi="Arial"/>
                <w:color w:val="auto"/>
                <w:sz w:val="20"/>
              </w:rPr>
              <w:t xml:space="preserve"> Levels 1, Level 2 or Level 3</w:t>
            </w:r>
          </w:p>
          <w:p w14:paraId="150FA4AD" w14:textId="77777777" w:rsidR="00333A4B" w:rsidRPr="00E70587" w:rsidRDefault="00333A4B" w:rsidP="00E466DD">
            <w:pPr>
              <w:pStyle w:val="Notesbulletpoint"/>
              <w:numPr>
                <w:ilvl w:val="0"/>
                <w:numId w:val="25"/>
              </w:numPr>
              <w:shd w:val="clear" w:color="auto" w:fill="C1C1C1" w:themeFill="background1" w:themeFillTint="66"/>
              <w:spacing w:before="120" w:after="0" w:line="280" w:lineRule="exact"/>
              <w:ind w:left="720" w:hanging="720"/>
              <w:jc w:val="both"/>
              <w:rPr>
                <w:rFonts w:ascii="Arial" w:hAnsi="Arial"/>
                <w:color w:val="auto"/>
                <w:sz w:val="20"/>
              </w:rPr>
            </w:pPr>
            <w:r w:rsidRPr="00E70587">
              <w:rPr>
                <w:rFonts w:ascii="Arial" w:hAnsi="Arial"/>
                <w:color w:val="auto"/>
                <w:sz w:val="20"/>
              </w:rPr>
              <w:t>A description of valuation technique and inputs for Level 2 or Level 3 fair value measurement</w:t>
            </w:r>
          </w:p>
          <w:p w14:paraId="142D4AA8" w14:textId="77777777" w:rsidR="00333A4B" w:rsidRPr="00E70587" w:rsidRDefault="00333A4B" w:rsidP="00E466DD">
            <w:pPr>
              <w:pStyle w:val="Notesbulletpoint"/>
              <w:numPr>
                <w:ilvl w:val="0"/>
                <w:numId w:val="25"/>
              </w:numPr>
              <w:shd w:val="clear" w:color="auto" w:fill="C1C1C1" w:themeFill="background1" w:themeFillTint="66"/>
              <w:spacing w:before="120" w:after="0" w:line="280" w:lineRule="exact"/>
              <w:ind w:left="720" w:hanging="720"/>
              <w:jc w:val="both"/>
              <w:rPr>
                <w:rFonts w:ascii="Arial" w:hAnsi="Arial"/>
                <w:color w:val="auto"/>
                <w:sz w:val="20"/>
              </w:rPr>
            </w:pPr>
            <w:r w:rsidRPr="00E70587">
              <w:rPr>
                <w:rFonts w:ascii="Arial" w:hAnsi="Arial"/>
                <w:color w:val="auto"/>
                <w:sz w:val="20"/>
              </w:rPr>
              <w:t>If the highest and best use differs from the current use of the asset, the fact and the reason for the same</w:t>
            </w:r>
          </w:p>
          <w:p w14:paraId="672E75A5" w14:textId="77777777" w:rsidR="00333A4B" w:rsidRPr="00E70587" w:rsidRDefault="00333A4B" w:rsidP="00CB41C7">
            <w:pPr>
              <w:pStyle w:val="Notesbodytext"/>
              <w:spacing w:after="0" w:line="280" w:lineRule="exact"/>
              <w:ind w:right="70"/>
              <w:jc w:val="both"/>
              <w:rPr>
                <w:rFonts w:ascii="Arial" w:hAnsi="Arial"/>
                <w:color w:val="auto"/>
                <w:sz w:val="20"/>
              </w:rPr>
            </w:pPr>
          </w:p>
        </w:tc>
      </w:tr>
    </w:tbl>
    <w:p w14:paraId="28163BF7" w14:textId="77777777" w:rsidR="00333A4B" w:rsidRDefault="00333A4B" w:rsidP="009901E1">
      <w:pPr>
        <w:pStyle w:val="Notesbodytext"/>
        <w:spacing w:after="0" w:line="280" w:lineRule="exact"/>
        <w:jc w:val="both"/>
        <w:rPr>
          <w:rFonts w:ascii="Arial" w:hAnsi="Arial"/>
          <w:color w:val="auto"/>
          <w:sz w:val="20"/>
        </w:rPr>
      </w:pPr>
    </w:p>
    <w:p w14:paraId="79152DCF" w14:textId="77777777" w:rsidR="00657499" w:rsidRPr="00E70587" w:rsidRDefault="00657499" w:rsidP="009901E1">
      <w:pPr>
        <w:pStyle w:val="Notesbodytext"/>
        <w:spacing w:after="0" w:line="280" w:lineRule="exact"/>
        <w:jc w:val="both"/>
        <w:rPr>
          <w:rFonts w:ascii="Arial" w:hAnsi="Arial"/>
          <w:color w:val="auto"/>
          <w:sz w:val="20"/>
        </w:rPr>
      </w:pPr>
    </w:p>
    <w:p w14:paraId="78074260" w14:textId="77777777" w:rsidR="00333A4B" w:rsidRPr="00E70587" w:rsidRDefault="00333A4B" w:rsidP="00333A4B">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Intangible assets</w:t>
      </w:r>
    </w:p>
    <w:p w14:paraId="498A604D" w14:textId="77777777" w:rsidR="00333A4B" w:rsidRPr="00E70587" w:rsidRDefault="00333A4B" w:rsidP="00333A4B">
      <w:pPr>
        <w:pStyle w:val="ViralheadingL2"/>
        <w:keepNext w:val="0"/>
        <w:spacing w:before="0" w:after="0" w:line="280" w:lineRule="exact"/>
        <w:outlineLvl w:val="9"/>
        <w:rPr>
          <w:rFonts w:ascii="Arial" w:hAnsi="Arial" w:cs="Arial"/>
          <w:sz w:val="20"/>
          <w:szCs w:val="20"/>
        </w:rPr>
      </w:pPr>
    </w:p>
    <w:tbl>
      <w:tblPr>
        <w:tblW w:w="9576" w:type="dxa"/>
        <w:tblLayout w:type="fixed"/>
        <w:tblLook w:val="01E0" w:firstRow="1" w:lastRow="1" w:firstColumn="1" w:lastColumn="1" w:noHBand="0" w:noVBand="0"/>
      </w:tblPr>
      <w:tblGrid>
        <w:gridCol w:w="2859"/>
        <w:gridCol w:w="1119"/>
        <w:gridCol w:w="1120"/>
        <w:gridCol w:w="1119"/>
        <w:gridCol w:w="1120"/>
        <w:gridCol w:w="1119"/>
        <w:gridCol w:w="1120"/>
      </w:tblGrid>
      <w:tr w:rsidR="00333A4B" w:rsidRPr="00E70587" w14:paraId="62462127" w14:textId="77777777" w:rsidTr="00543062">
        <w:trPr>
          <w:tblHeader/>
        </w:trPr>
        <w:tc>
          <w:tcPr>
            <w:tcW w:w="2859" w:type="dxa"/>
            <w:shd w:val="clear" w:color="auto" w:fill="auto"/>
          </w:tcPr>
          <w:p w14:paraId="5C9D3486" w14:textId="77777777" w:rsidR="00333A4B" w:rsidRPr="00E70587" w:rsidRDefault="00333A4B" w:rsidP="00543062">
            <w:pPr>
              <w:pStyle w:val="000Normal"/>
              <w:spacing w:before="0" w:after="0" w:line="280" w:lineRule="exact"/>
              <w:rPr>
                <w:rFonts w:ascii="Arial" w:hAnsi="Arial" w:cs="Arial"/>
                <w:sz w:val="20"/>
              </w:rPr>
            </w:pPr>
            <w:bookmarkStart w:id="5" w:name="OLE_LINK2"/>
          </w:p>
        </w:tc>
        <w:tc>
          <w:tcPr>
            <w:tcW w:w="1119" w:type="dxa"/>
            <w:tcBorders>
              <w:bottom w:val="single" w:sz="4" w:space="0" w:color="auto"/>
            </w:tcBorders>
            <w:shd w:val="clear" w:color="auto" w:fill="auto"/>
          </w:tcPr>
          <w:p w14:paraId="15F4EE9F" w14:textId="77777777" w:rsidR="00333A4B" w:rsidRPr="00E70587" w:rsidRDefault="00333A4B" w:rsidP="00543062">
            <w:pPr>
              <w:overflowPunct/>
              <w:spacing w:line="280" w:lineRule="exact"/>
              <w:jc w:val="center"/>
              <w:textAlignment w:val="auto"/>
              <w:rPr>
                <w:rFonts w:ascii="Arial" w:hAnsi="Arial" w:cs="Arial"/>
                <w:b/>
                <w:bCs/>
                <w:sz w:val="20"/>
                <w:lang w:eastAsia="en-GB"/>
              </w:rPr>
            </w:pPr>
            <w:r w:rsidRPr="00E70587">
              <w:rPr>
                <w:rFonts w:ascii="Arial" w:hAnsi="Arial" w:cs="Arial"/>
                <w:b/>
                <w:bCs/>
                <w:sz w:val="20"/>
                <w:lang w:eastAsia="en-GB"/>
              </w:rPr>
              <w:t>Goodwill</w:t>
            </w:r>
          </w:p>
        </w:tc>
        <w:tc>
          <w:tcPr>
            <w:tcW w:w="1120" w:type="dxa"/>
            <w:tcBorders>
              <w:bottom w:val="single" w:sz="4" w:space="0" w:color="auto"/>
            </w:tcBorders>
            <w:shd w:val="clear" w:color="auto" w:fill="auto"/>
          </w:tcPr>
          <w:p w14:paraId="7072F97D" w14:textId="77777777" w:rsidR="00333A4B" w:rsidRPr="00E70587" w:rsidRDefault="00333A4B" w:rsidP="00543062">
            <w:pPr>
              <w:overflowPunct/>
              <w:spacing w:line="280" w:lineRule="exact"/>
              <w:jc w:val="center"/>
              <w:textAlignment w:val="auto"/>
              <w:rPr>
                <w:rFonts w:ascii="Arial" w:hAnsi="Arial" w:cs="Arial"/>
                <w:b/>
                <w:bCs/>
                <w:sz w:val="20"/>
                <w:lang w:eastAsia="en-GB"/>
              </w:rPr>
            </w:pPr>
            <w:r w:rsidRPr="00E70587">
              <w:rPr>
                <w:rFonts w:ascii="Arial" w:hAnsi="Arial" w:cs="Arial"/>
                <w:b/>
                <w:bCs/>
                <w:sz w:val="20"/>
                <w:lang w:eastAsia="en-GB"/>
              </w:rPr>
              <w:t xml:space="preserve">Licences </w:t>
            </w:r>
          </w:p>
        </w:tc>
        <w:tc>
          <w:tcPr>
            <w:tcW w:w="1119" w:type="dxa"/>
            <w:tcBorders>
              <w:bottom w:val="single" w:sz="4" w:space="0" w:color="auto"/>
            </w:tcBorders>
          </w:tcPr>
          <w:p w14:paraId="05DA254D" w14:textId="7B39F3FE" w:rsidR="00333A4B" w:rsidRPr="00E70587" w:rsidRDefault="00333A4B" w:rsidP="00543062">
            <w:pPr>
              <w:overflowPunct/>
              <w:spacing w:line="280" w:lineRule="exact"/>
              <w:jc w:val="center"/>
              <w:textAlignment w:val="auto"/>
              <w:rPr>
                <w:rFonts w:ascii="Arial" w:hAnsi="Arial" w:cs="Arial"/>
                <w:b/>
                <w:bCs/>
                <w:sz w:val="20"/>
                <w:lang w:eastAsia="en-GB"/>
              </w:rPr>
            </w:pPr>
            <w:r w:rsidRPr="00E70587">
              <w:rPr>
                <w:rFonts w:ascii="Arial" w:hAnsi="Arial" w:cs="Arial"/>
                <w:b/>
                <w:bCs/>
                <w:sz w:val="20"/>
                <w:lang w:eastAsia="en-GB"/>
              </w:rPr>
              <w:t xml:space="preserve">Patents </w:t>
            </w:r>
          </w:p>
        </w:tc>
        <w:tc>
          <w:tcPr>
            <w:tcW w:w="1120" w:type="dxa"/>
            <w:tcBorders>
              <w:bottom w:val="single" w:sz="4" w:space="0" w:color="auto"/>
            </w:tcBorders>
            <w:shd w:val="clear" w:color="auto" w:fill="auto"/>
          </w:tcPr>
          <w:p w14:paraId="1CD5BC3D" w14:textId="77777777" w:rsidR="00333A4B" w:rsidRPr="00E70587" w:rsidRDefault="00333A4B" w:rsidP="00543062">
            <w:pPr>
              <w:overflowPunct/>
              <w:spacing w:line="280" w:lineRule="exact"/>
              <w:jc w:val="center"/>
              <w:textAlignment w:val="auto"/>
              <w:rPr>
                <w:rFonts w:ascii="Arial" w:hAnsi="Arial" w:cs="Arial"/>
                <w:b/>
                <w:bCs/>
                <w:sz w:val="20"/>
                <w:lang w:eastAsia="en-GB"/>
              </w:rPr>
            </w:pPr>
            <w:r w:rsidRPr="00E70587">
              <w:rPr>
                <w:rFonts w:ascii="Arial" w:hAnsi="Arial" w:cs="Arial"/>
                <w:b/>
                <w:bCs/>
                <w:sz w:val="20"/>
                <w:lang w:eastAsia="en-GB"/>
              </w:rPr>
              <w:t>Development costs</w:t>
            </w:r>
          </w:p>
        </w:tc>
        <w:tc>
          <w:tcPr>
            <w:tcW w:w="1119" w:type="dxa"/>
            <w:tcBorders>
              <w:bottom w:val="single" w:sz="4" w:space="0" w:color="auto"/>
            </w:tcBorders>
          </w:tcPr>
          <w:p w14:paraId="4EA32BA7" w14:textId="77777777" w:rsidR="00333A4B" w:rsidRPr="00E70587" w:rsidRDefault="00333A4B" w:rsidP="00543062">
            <w:pPr>
              <w:spacing w:line="280" w:lineRule="exact"/>
              <w:jc w:val="center"/>
              <w:rPr>
                <w:rFonts w:ascii="Arial" w:hAnsi="Arial" w:cs="Arial"/>
                <w:b/>
                <w:bCs/>
                <w:sz w:val="20"/>
              </w:rPr>
            </w:pPr>
            <w:r w:rsidRPr="00E70587">
              <w:rPr>
                <w:rFonts w:ascii="Arial" w:hAnsi="Arial" w:cs="Arial"/>
                <w:b/>
                <w:bCs/>
                <w:sz w:val="20"/>
              </w:rPr>
              <w:t>Intangible asset under development</w:t>
            </w:r>
          </w:p>
        </w:tc>
        <w:tc>
          <w:tcPr>
            <w:tcW w:w="1120" w:type="dxa"/>
            <w:tcBorders>
              <w:bottom w:val="single" w:sz="4" w:space="0" w:color="auto"/>
            </w:tcBorders>
            <w:shd w:val="clear" w:color="auto" w:fill="auto"/>
          </w:tcPr>
          <w:p w14:paraId="64CE880C" w14:textId="77777777" w:rsidR="00333A4B" w:rsidRPr="00E70587" w:rsidRDefault="00333A4B" w:rsidP="00543062">
            <w:pPr>
              <w:overflowPunct/>
              <w:spacing w:line="280" w:lineRule="exact"/>
              <w:jc w:val="center"/>
              <w:textAlignment w:val="auto"/>
              <w:rPr>
                <w:rFonts w:ascii="Arial" w:hAnsi="Arial" w:cs="Arial"/>
                <w:b/>
                <w:bCs/>
                <w:sz w:val="20"/>
                <w:lang w:eastAsia="en-GB"/>
              </w:rPr>
            </w:pPr>
            <w:r w:rsidRPr="00E70587">
              <w:rPr>
                <w:rFonts w:ascii="Arial" w:hAnsi="Arial" w:cs="Arial"/>
                <w:b/>
                <w:bCs/>
                <w:sz w:val="20"/>
                <w:lang w:eastAsia="en-GB"/>
              </w:rPr>
              <w:t>Total</w:t>
            </w:r>
          </w:p>
        </w:tc>
      </w:tr>
      <w:tr w:rsidR="00333A4B" w:rsidRPr="00E70587" w14:paraId="08A49518" w14:textId="77777777" w:rsidTr="00543062">
        <w:trPr>
          <w:tblHeader/>
        </w:trPr>
        <w:tc>
          <w:tcPr>
            <w:tcW w:w="2859" w:type="dxa"/>
          </w:tcPr>
          <w:p w14:paraId="3772CB7B" w14:textId="77777777" w:rsidR="00333A4B" w:rsidRPr="00E70587" w:rsidRDefault="00333A4B" w:rsidP="00543062">
            <w:pPr>
              <w:pStyle w:val="000Normal"/>
              <w:spacing w:before="0" w:after="0" w:line="280" w:lineRule="exact"/>
              <w:jc w:val="right"/>
              <w:rPr>
                <w:rFonts w:ascii="Arial" w:hAnsi="Arial" w:cs="Arial"/>
                <w:b/>
                <w:sz w:val="20"/>
              </w:rPr>
            </w:pPr>
          </w:p>
        </w:tc>
        <w:tc>
          <w:tcPr>
            <w:tcW w:w="1119" w:type="dxa"/>
            <w:tcBorders>
              <w:top w:val="single" w:sz="4" w:space="0" w:color="auto"/>
            </w:tcBorders>
            <w:shd w:val="clear" w:color="auto" w:fill="auto"/>
          </w:tcPr>
          <w:p w14:paraId="49F50041" w14:textId="77777777" w:rsidR="00333A4B" w:rsidRPr="00E70587" w:rsidRDefault="00333A4B"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120" w:type="dxa"/>
            <w:tcBorders>
              <w:top w:val="single" w:sz="4" w:space="0" w:color="auto"/>
            </w:tcBorders>
            <w:shd w:val="clear" w:color="auto" w:fill="auto"/>
          </w:tcPr>
          <w:p w14:paraId="57179DE5" w14:textId="77777777" w:rsidR="00333A4B" w:rsidRPr="00E70587" w:rsidRDefault="00333A4B"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119" w:type="dxa"/>
            <w:tcBorders>
              <w:top w:val="single" w:sz="4" w:space="0" w:color="auto"/>
            </w:tcBorders>
          </w:tcPr>
          <w:p w14:paraId="401143B1" w14:textId="77777777" w:rsidR="00333A4B" w:rsidRPr="00E70587" w:rsidRDefault="00333A4B"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120" w:type="dxa"/>
            <w:tcBorders>
              <w:top w:val="single" w:sz="4" w:space="0" w:color="auto"/>
            </w:tcBorders>
            <w:shd w:val="clear" w:color="auto" w:fill="auto"/>
          </w:tcPr>
          <w:p w14:paraId="715EAD8C" w14:textId="77777777" w:rsidR="00333A4B" w:rsidRPr="00E70587" w:rsidRDefault="00333A4B"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119" w:type="dxa"/>
            <w:tcBorders>
              <w:top w:val="single" w:sz="4" w:space="0" w:color="auto"/>
            </w:tcBorders>
          </w:tcPr>
          <w:p w14:paraId="5834C24D" w14:textId="77777777" w:rsidR="00333A4B" w:rsidRPr="00E70587" w:rsidRDefault="00333A4B"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120" w:type="dxa"/>
            <w:tcBorders>
              <w:top w:val="single" w:sz="4" w:space="0" w:color="auto"/>
            </w:tcBorders>
            <w:shd w:val="clear" w:color="auto" w:fill="auto"/>
            <w:tcMar>
              <w:left w:w="28" w:type="dxa"/>
            </w:tcMar>
          </w:tcPr>
          <w:p w14:paraId="7B0EFA48" w14:textId="77777777" w:rsidR="00333A4B" w:rsidRPr="00E70587" w:rsidRDefault="00333A4B"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333A4B" w:rsidRPr="00E70587" w14:paraId="1C670D35" w14:textId="77777777" w:rsidTr="00543062">
        <w:tc>
          <w:tcPr>
            <w:tcW w:w="2859" w:type="dxa"/>
          </w:tcPr>
          <w:p w14:paraId="2CF873CA" w14:textId="77777777"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Cost</w:t>
            </w:r>
          </w:p>
        </w:tc>
        <w:tc>
          <w:tcPr>
            <w:tcW w:w="1119" w:type="dxa"/>
            <w:shd w:val="clear" w:color="auto" w:fill="auto"/>
          </w:tcPr>
          <w:p w14:paraId="527EDD74" w14:textId="77777777"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120" w:type="dxa"/>
            <w:shd w:val="clear" w:color="auto" w:fill="auto"/>
          </w:tcPr>
          <w:p w14:paraId="68029982" w14:textId="77777777"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119" w:type="dxa"/>
          </w:tcPr>
          <w:p w14:paraId="46C7FF6C" w14:textId="77777777"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120" w:type="dxa"/>
            <w:shd w:val="clear" w:color="auto" w:fill="auto"/>
          </w:tcPr>
          <w:p w14:paraId="019E9AFE" w14:textId="77777777"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119" w:type="dxa"/>
          </w:tcPr>
          <w:p w14:paraId="3CACC410" w14:textId="77777777"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120" w:type="dxa"/>
            <w:shd w:val="clear" w:color="auto" w:fill="auto"/>
          </w:tcPr>
          <w:p w14:paraId="4AEA5FB9" w14:textId="77777777"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sz w:val="20"/>
                <w:lang w:val="en-IN"/>
              </w:rPr>
            </w:pPr>
          </w:p>
        </w:tc>
      </w:tr>
      <w:tr w:rsidR="00333A4B" w:rsidRPr="00E70587" w14:paraId="28D3D5FB" w14:textId="77777777" w:rsidTr="008D4DB9">
        <w:tc>
          <w:tcPr>
            <w:tcW w:w="2859" w:type="dxa"/>
            <w:tcMar>
              <w:top w:w="28" w:type="dxa"/>
            </w:tcMar>
          </w:tcPr>
          <w:p w14:paraId="38726B4B" w14:textId="795259DF"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At 1 April </w:t>
            </w:r>
            <w:r w:rsidR="00565019" w:rsidRPr="00E70587">
              <w:rPr>
                <w:rFonts w:ascii="Arial" w:hAnsi="Arial" w:cs="Arial"/>
                <w:sz w:val="20"/>
                <w:lang w:val="en-IN"/>
              </w:rPr>
              <w:t>201</w:t>
            </w:r>
            <w:r w:rsidR="007642CD">
              <w:rPr>
                <w:rFonts w:ascii="Arial" w:hAnsi="Arial" w:cs="Arial"/>
                <w:sz w:val="20"/>
                <w:lang w:val="en-IN"/>
              </w:rPr>
              <w:t>9</w:t>
            </w:r>
          </w:p>
        </w:tc>
        <w:tc>
          <w:tcPr>
            <w:tcW w:w="1119" w:type="dxa"/>
            <w:shd w:val="clear" w:color="auto" w:fill="auto"/>
            <w:vAlign w:val="center"/>
          </w:tcPr>
          <w:p w14:paraId="188AE933"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214</w:t>
            </w:r>
          </w:p>
        </w:tc>
        <w:tc>
          <w:tcPr>
            <w:tcW w:w="1120" w:type="dxa"/>
            <w:shd w:val="clear" w:color="auto" w:fill="auto"/>
            <w:vAlign w:val="center"/>
          </w:tcPr>
          <w:p w14:paraId="242111E9"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432</w:t>
            </w:r>
          </w:p>
        </w:tc>
        <w:tc>
          <w:tcPr>
            <w:tcW w:w="1119" w:type="dxa"/>
            <w:vAlign w:val="center"/>
          </w:tcPr>
          <w:p w14:paraId="23B8DCF5"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711</w:t>
            </w:r>
          </w:p>
        </w:tc>
        <w:tc>
          <w:tcPr>
            <w:tcW w:w="1120" w:type="dxa"/>
            <w:shd w:val="clear" w:color="auto" w:fill="auto"/>
            <w:vAlign w:val="center"/>
          </w:tcPr>
          <w:p w14:paraId="06015728"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rPr>
              <w:t>2,853</w:t>
            </w:r>
          </w:p>
        </w:tc>
        <w:tc>
          <w:tcPr>
            <w:tcW w:w="1119" w:type="dxa"/>
            <w:vAlign w:val="center"/>
          </w:tcPr>
          <w:p w14:paraId="7C795D30" w14:textId="77777777" w:rsidR="00333A4B"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shd w:val="clear" w:color="auto" w:fill="auto"/>
            <w:vAlign w:val="center"/>
          </w:tcPr>
          <w:p w14:paraId="56F8FB77"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rPr>
              <w:t>4,210</w:t>
            </w:r>
          </w:p>
        </w:tc>
      </w:tr>
      <w:tr w:rsidR="00333A4B" w:rsidRPr="00E70587" w14:paraId="79B9AB93" w14:textId="77777777" w:rsidTr="008D4DB9">
        <w:tc>
          <w:tcPr>
            <w:tcW w:w="2859" w:type="dxa"/>
            <w:tcMar>
              <w:top w:w="28" w:type="dxa"/>
            </w:tcMar>
          </w:tcPr>
          <w:p w14:paraId="61C4B82D" w14:textId="77777777"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Additions – being internally developed</w:t>
            </w:r>
          </w:p>
        </w:tc>
        <w:tc>
          <w:tcPr>
            <w:tcW w:w="1119" w:type="dxa"/>
            <w:shd w:val="clear" w:color="auto" w:fill="auto"/>
            <w:vAlign w:val="center"/>
          </w:tcPr>
          <w:p w14:paraId="52DA86D0"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shd w:val="clear" w:color="auto" w:fill="auto"/>
            <w:vAlign w:val="center"/>
          </w:tcPr>
          <w:p w14:paraId="2472CC0E"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19" w:type="dxa"/>
            <w:vAlign w:val="center"/>
          </w:tcPr>
          <w:p w14:paraId="630AFD8A"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shd w:val="clear" w:color="auto" w:fill="auto"/>
            <w:vAlign w:val="center"/>
          </w:tcPr>
          <w:p w14:paraId="37AD89C6" w14:textId="77777777" w:rsidR="00333A4B" w:rsidRPr="00E70587" w:rsidRDefault="008D4DB9"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19" w:type="dxa"/>
            <w:vAlign w:val="center"/>
          </w:tcPr>
          <w:p w14:paraId="178B4753"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rPr>
              <w:t>702</w:t>
            </w:r>
          </w:p>
        </w:tc>
        <w:tc>
          <w:tcPr>
            <w:tcW w:w="1120" w:type="dxa"/>
            <w:shd w:val="clear" w:color="auto" w:fill="auto"/>
            <w:vAlign w:val="center"/>
          </w:tcPr>
          <w:p w14:paraId="553BFF30"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rPr>
              <w:t>702</w:t>
            </w:r>
          </w:p>
        </w:tc>
      </w:tr>
      <w:tr w:rsidR="00333A4B" w:rsidRPr="00E70587" w14:paraId="5FA576A9" w14:textId="77777777" w:rsidTr="008D4DB9">
        <w:tc>
          <w:tcPr>
            <w:tcW w:w="2859" w:type="dxa"/>
            <w:tcMar>
              <w:top w:w="28" w:type="dxa"/>
            </w:tcMar>
          </w:tcPr>
          <w:p w14:paraId="62F8301E" w14:textId="77777777"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Acquisition of a subsidiary </w:t>
            </w:r>
            <w:r w:rsidR="0067122D" w:rsidRPr="00E70587">
              <w:rPr>
                <w:rFonts w:ascii="Arial" w:hAnsi="Arial" w:cs="Arial"/>
                <w:sz w:val="20"/>
                <w:lang w:val="en-IN"/>
              </w:rPr>
              <w:t>(note 36)</w:t>
            </w:r>
          </w:p>
        </w:tc>
        <w:tc>
          <w:tcPr>
            <w:tcW w:w="1119" w:type="dxa"/>
            <w:tcBorders>
              <w:bottom w:val="single" w:sz="4" w:space="0" w:color="auto"/>
            </w:tcBorders>
            <w:shd w:val="clear" w:color="auto" w:fill="auto"/>
            <w:vAlign w:val="center"/>
          </w:tcPr>
          <w:p w14:paraId="665AE9B4"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236</w:t>
            </w:r>
          </w:p>
        </w:tc>
        <w:tc>
          <w:tcPr>
            <w:tcW w:w="1120" w:type="dxa"/>
            <w:tcBorders>
              <w:bottom w:val="single" w:sz="4" w:space="0" w:color="auto"/>
            </w:tcBorders>
            <w:shd w:val="clear" w:color="auto" w:fill="auto"/>
            <w:vAlign w:val="center"/>
          </w:tcPr>
          <w:p w14:paraId="48C4936E"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19" w:type="dxa"/>
            <w:tcBorders>
              <w:bottom w:val="single" w:sz="4" w:space="0" w:color="auto"/>
            </w:tcBorders>
            <w:vAlign w:val="center"/>
          </w:tcPr>
          <w:p w14:paraId="3858B229"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tcBorders>
              <w:bottom w:val="single" w:sz="4" w:space="0" w:color="auto"/>
            </w:tcBorders>
            <w:shd w:val="clear" w:color="auto" w:fill="auto"/>
            <w:vAlign w:val="center"/>
          </w:tcPr>
          <w:p w14:paraId="3DB7A882"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rPr>
              <w:t>-</w:t>
            </w:r>
          </w:p>
        </w:tc>
        <w:tc>
          <w:tcPr>
            <w:tcW w:w="1119" w:type="dxa"/>
            <w:tcBorders>
              <w:bottom w:val="single" w:sz="4" w:space="0" w:color="auto"/>
            </w:tcBorders>
            <w:vAlign w:val="center"/>
          </w:tcPr>
          <w:p w14:paraId="49C8665B" w14:textId="77777777" w:rsidR="00333A4B"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tcBorders>
              <w:bottom w:val="single" w:sz="4" w:space="0" w:color="auto"/>
            </w:tcBorders>
            <w:shd w:val="clear" w:color="auto" w:fill="auto"/>
            <w:vAlign w:val="center"/>
          </w:tcPr>
          <w:p w14:paraId="280B96D0"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rPr>
              <w:t>236</w:t>
            </w:r>
          </w:p>
        </w:tc>
      </w:tr>
      <w:tr w:rsidR="00333A4B" w:rsidRPr="00E70587" w14:paraId="46ADB596" w14:textId="77777777" w:rsidTr="008D4DB9">
        <w:tc>
          <w:tcPr>
            <w:tcW w:w="2859" w:type="dxa"/>
            <w:tcMar>
              <w:top w:w="28" w:type="dxa"/>
            </w:tcMar>
          </w:tcPr>
          <w:p w14:paraId="69C62E13" w14:textId="50E66A1C"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8B730E" w:rsidRPr="00E70587">
              <w:rPr>
                <w:rFonts w:ascii="Arial" w:hAnsi="Arial" w:cs="Arial"/>
                <w:b/>
                <w:sz w:val="20"/>
                <w:lang w:val="en-IN"/>
              </w:rPr>
              <w:t xml:space="preserve">March </w:t>
            </w:r>
            <w:r w:rsidR="007642CD" w:rsidRPr="00E70587">
              <w:rPr>
                <w:rFonts w:ascii="Arial" w:hAnsi="Arial" w:cs="Arial"/>
                <w:b/>
                <w:sz w:val="20"/>
                <w:lang w:val="en-IN"/>
              </w:rPr>
              <w:t>20</w:t>
            </w:r>
            <w:r w:rsidR="007642CD">
              <w:rPr>
                <w:rFonts w:ascii="Arial" w:hAnsi="Arial" w:cs="Arial"/>
                <w:b/>
                <w:sz w:val="20"/>
                <w:lang w:val="en-IN"/>
              </w:rPr>
              <w:t>20</w:t>
            </w:r>
            <w:r w:rsidR="007642CD" w:rsidRPr="00E70587">
              <w:rPr>
                <w:rFonts w:ascii="Arial" w:hAnsi="Arial" w:cs="Arial"/>
                <w:b/>
                <w:sz w:val="20"/>
                <w:lang w:val="en-IN"/>
              </w:rPr>
              <w:t xml:space="preserve"> </w:t>
            </w:r>
          </w:p>
        </w:tc>
        <w:tc>
          <w:tcPr>
            <w:tcW w:w="1119" w:type="dxa"/>
            <w:tcBorders>
              <w:top w:val="single" w:sz="4" w:space="0" w:color="auto"/>
            </w:tcBorders>
            <w:shd w:val="clear" w:color="auto" w:fill="auto"/>
            <w:vAlign w:val="center"/>
          </w:tcPr>
          <w:p w14:paraId="72E27254" w14:textId="77777777" w:rsidR="00333A4B" w:rsidRPr="00E70587" w:rsidRDefault="00333A4B" w:rsidP="008D4DB9">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450</w:t>
            </w:r>
          </w:p>
        </w:tc>
        <w:tc>
          <w:tcPr>
            <w:tcW w:w="1120" w:type="dxa"/>
            <w:tcBorders>
              <w:top w:val="single" w:sz="4" w:space="0" w:color="auto"/>
            </w:tcBorders>
            <w:shd w:val="clear" w:color="auto" w:fill="auto"/>
            <w:vAlign w:val="center"/>
          </w:tcPr>
          <w:p w14:paraId="74490224" w14:textId="77777777" w:rsidR="00333A4B" w:rsidRPr="00E70587" w:rsidRDefault="00333A4B" w:rsidP="008D4DB9">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432</w:t>
            </w:r>
          </w:p>
        </w:tc>
        <w:tc>
          <w:tcPr>
            <w:tcW w:w="1119" w:type="dxa"/>
            <w:tcBorders>
              <w:top w:val="single" w:sz="4" w:space="0" w:color="auto"/>
            </w:tcBorders>
            <w:vAlign w:val="center"/>
          </w:tcPr>
          <w:p w14:paraId="2FE40236" w14:textId="77777777" w:rsidR="00333A4B" w:rsidRPr="00E70587" w:rsidRDefault="00333A4B" w:rsidP="008D4DB9">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711</w:t>
            </w:r>
          </w:p>
        </w:tc>
        <w:tc>
          <w:tcPr>
            <w:tcW w:w="1120" w:type="dxa"/>
            <w:tcBorders>
              <w:top w:val="single" w:sz="4" w:space="0" w:color="auto"/>
            </w:tcBorders>
            <w:shd w:val="clear" w:color="auto" w:fill="auto"/>
            <w:vAlign w:val="center"/>
          </w:tcPr>
          <w:p w14:paraId="59359115" w14:textId="77777777" w:rsidR="00333A4B" w:rsidRPr="00E70587" w:rsidRDefault="00333A4B" w:rsidP="008D4DB9">
            <w:pPr>
              <w:overflowPunct/>
              <w:spacing w:line="280" w:lineRule="exact"/>
              <w:jc w:val="right"/>
              <w:textAlignment w:val="auto"/>
              <w:rPr>
                <w:rFonts w:ascii="Arial" w:hAnsi="Arial" w:cs="Arial"/>
                <w:b/>
                <w:bCs/>
                <w:sz w:val="20"/>
                <w:lang w:eastAsia="en-GB"/>
              </w:rPr>
            </w:pPr>
            <w:r w:rsidRPr="00E70587">
              <w:rPr>
                <w:rFonts w:ascii="Arial" w:hAnsi="Arial" w:cs="Arial"/>
                <w:b/>
                <w:sz w:val="20"/>
              </w:rPr>
              <w:t>2,853</w:t>
            </w:r>
          </w:p>
        </w:tc>
        <w:tc>
          <w:tcPr>
            <w:tcW w:w="1119" w:type="dxa"/>
            <w:tcBorders>
              <w:top w:val="single" w:sz="4" w:space="0" w:color="auto"/>
            </w:tcBorders>
            <w:vAlign w:val="center"/>
          </w:tcPr>
          <w:p w14:paraId="770BA6B2" w14:textId="77777777" w:rsidR="00333A4B" w:rsidRPr="00E70587" w:rsidRDefault="00333A4B" w:rsidP="008D4DB9">
            <w:pPr>
              <w:overflowPunct/>
              <w:spacing w:line="280" w:lineRule="exact"/>
              <w:jc w:val="right"/>
              <w:textAlignment w:val="auto"/>
              <w:rPr>
                <w:rFonts w:ascii="Arial" w:hAnsi="Arial" w:cs="Arial"/>
                <w:b/>
                <w:bCs/>
                <w:sz w:val="20"/>
                <w:lang w:eastAsia="en-GB"/>
              </w:rPr>
            </w:pPr>
            <w:r w:rsidRPr="00E70587">
              <w:rPr>
                <w:rFonts w:ascii="Arial" w:hAnsi="Arial" w:cs="Arial"/>
                <w:b/>
                <w:sz w:val="20"/>
              </w:rPr>
              <w:t>702</w:t>
            </w:r>
          </w:p>
        </w:tc>
        <w:tc>
          <w:tcPr>
            <w:tcW w:w="1120" w:type="dxa"/>
            <w:tcBorders>
              <w:top w:val="single" w:sz="4" w:space="0" w:color="auto"/>
            </w:tcBorders>
            <w:shd w:val="clear" w:color="auto" w:fill="auto"/>
            <w:vAlign w:val="center"/>
          </w:tcPr>
          <w:p w14:paraId="1506F33A" w14:textId="77777777" w:rsidR="00333A4B" w:rsidRPr="00E70587" w:rsidRDefault="00333A4B" w:rsidP="008D4DB9">
            <w:pPr>
              <w:overflowPunct/>
              <w:spacing w:line="280" w:lineRule="exact"/>
              <w:jc w:val="right"/>
              <w:textAlignment w:val="auto"/>
              <w:rPr>
                <w:rFonts w:ascii="Arial" w:hAnsi="Arial" w:cs="Arial"/>
                <w:b/>
                <w:bCs/>
                <w:sz w:val="20"/>
                <w:lang w:eastAsia="en-GB"/>
              </w:rPr>
            </w:pPr>
            <w:r w:rsidRPr="00E70587">
              <w:rPr>
                <w:rFonts w:ascii="Arial" w:hAnsi="Arial" w:cs="Arial"/>
                <w:b/>
                <w:sz w:val="20"/>
              </w:rPr>
              <w:t>5,148</w:t>
            </w:r>
          </w:p>
        </w:tc>
      </w:tr>
      <w:tr w:rsidR="00333A4B" w:rsidRPr="00E70587" w14:paraId="4F8FBF1E" w14:textId="77777777" w:rsidTr="008D4DB9">
        <w:tc>
          <w:tcPr>
            <w:tcW w:w="2859" w:type="dxa"/>
            <w:tcMar>
              <w:top w:w="28" w:type="dxa"/>
            </w:tcMar>
          </w:tcPr>
          <w:p w14:paraId="111C1A34" w14:textId="77777777"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Additions – being internally developed</w:t>
            </w:r>
          </w:p>
        </w:tc>
        <w:tc>
          <w:tcPr>
            <w:tcW w:w="1119" w:type="dxa"/>
            <w:shd w:val="clear" w:color="auto" w:fill="auto"/>
            <w:vAlign w:val="center"/>
          </w:tcPr>
          <w:p w14:paraId="7E260724"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shd w:val="clear" w:color="auto" w:fill="auto"/>
            <w:vAlign w:val="center"/>
          </w:tcPr>
          <w:p w14:paraId="13ECF082"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19" w:type="dxa"/>
            <w:vAlign w:val="center"/>
          </w:tcPr>
          <w:p w14:paraId="03D36B98"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shd w:val="clear" w:color="auto" w:fill="auto"/>
            <w:vAlign w:val="center"/>
          </w:tcPr>
          <w:p w14:paraId="60D35AD1" w14:textId="77777777" w:rsidR="00333A4B" w:rsidRPr="00E70587" w:rsidRDefault="008D4DB9"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19" w:type="dxa"/>
            <w:vAlign w:val="center"/>
          </w:tcPr>
          <w:p w14:paraId="274FF166"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rPr>
              <w:t>1,057</w:t>
            </w:r>
          </w:p>
        </w:tc>
        <w:tc>
          <w:tcPr>
            <w:tcW w:w="1120" w:type="dxa"/>
            <w:shd w:val="clear" w:color="auto" w:fill="auto"/>
            <w:vAlign w:val="center"/>
          </w:tcPr>
          <w:p w14:paraId="40EC97FE" w14:textId="77777777" w:rsidR="00333A4B" w:rsidRPr="00E70587" w:rsidRDefault="00333A4B" w:rsidP="008D4DB9">
            <w:pPr>
              <w:overflowPunct/>
              <w:spacing w:line="280" w:lineRule="exact"/>
              <w:jc w:val="right"/>
              <w:textAlignment w:val="auto"/>
              <w:rPr>
                <w:rFonts w:ascii="Arial" w:hAnsi="Arial" w:cs="Arial"/>
                <w:sz w:val="20"/>
                <w:lang w:eastAsia="en-GB"/>
              </w:rPr>
            </w:pPr>
            <w:r w:rsidRPr="00E70587">
              <w:rPr>
                <w:rFonts w:ascii="Arial" w:hAnsi="Arial" w:cs="Arial"/>
                <w:sz w:val="20"/>
              </w:rPr>
              <w:t>1,057</w:t>
            </w:r>
          </w:p>
        </w:tc>
      </w:tr>
      <w:tr w:rsidR="00202EDE" w:rsidRPr="00E70587" w14:paraId="1AE8AD1C" w14:textId="77777777" w:rsidTr="008D4DB9">
        <w:tc>
          <w:tcPr>
            <w:tcW w:w="2859" w:type="dxa"/>
            <w:tcMar>
              <w:top w:w="28" w:type="dxa"/>
            </w:tcMar>
          </w:tcPr>
          <w:p w14:paraId="58A3C58D" w14:textId="77777777" w:rsidR="00202EDE" w:rsidRPr="00E70587" w:rsidRDefault="00202EDE"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Acquisition of a subsidiary </w:t>
            </w:r>
            <w:r w:rsidR="0067122D" w:rsidRPr="00E70587">
              <w:rPr>
                <w:rFonts w:ascii="Arial" w:hAnsi="Arial" w:cs="Arial"/>
                <w:sz w:val="20"/>
                <w:lang w:val="en-IN"/>
              </w:rPr>
              <w:t>(note 36)</w:t>
            </w:r>
          </w:p>
        </w:tc>
        <w:tc>
          <w:tcPr>
            <w:tcW w:w="1119" w:type="dxa"/>
            <w:shd w:val="clear" w:color="auto" w:fill="auto"/>
            <w:tcMar>
              <w:top w:w="28" w:type="dxa"/>
            </w:tcMar>
            <w:vAlign w:val="center"/>
          </w:tcPr>
          <w:p w14:paraId="1DDEA265"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4,016</w:t>
            </w:r>
          </w:p>
        </w:tc>
        <w:tc>
          <w:tcPr>
            <w:tcW w:w="1120" w:type="dxa"/>
            <w:shd w:val="clear" w:color="auto" w:fill="auto"/>
            <w:vAlign w:val="center"/>
          </w:tcPr>
          <w:p w14:paraId="0108ACF3"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2,106</w:t>
            </w:r>
          </w:p>
        </w:tc>
        <w:tc>
          <w:tcPr>
            <w:tcW w:w="1119" w:type="dxa"/>
            <w:vAlign w:val="center"/>
          </w:tcPr>
          <w:p w14:paraId="44DF98DB"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54</w:t>
            </w:r>
          </w:p>
        </w:tc>
        <w:tc>
          <w:tcPr>
            <w:tcW w:w="1120" w:type="dxa"/>
            <w:shd w:val="clear" w:color="auto" w:fill="auto"/>
            <w:tcMar>
              <w:top w:w="28" w:type="dxa"/>
            </w:tcMar>
            <w:vAlign w:val="center"/>
          </w:tcPr>
          <w:p w14:paraId="50F7D456"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rPr>
              <w:t>-</w:t>
            </w:r>
          </w:p>
        </w:tc>
        <w:tc>
          <w:tcPr>
            <w:tcW w:w="1119" w:type="dxa"/>
            <w:vAlign w:val="center"/>
          </w:tcPr>
          <w:p w14:paraId="4E99D72F"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shd w:val="clear" w:color="auto" w:fill="auto"/>
            <w:vAlign w:val="center"/>
          </w:tcPr>
          <w:p w14:paraId="7EE10E25"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rPr>
              <w:t>6,176</w:t>
            </w:r>
          </w:p>
        </w:tc>
      </w:tr>
      <w:tr w:rsidR="00202EDE" w:rsidRPr="00E70587" w14:paraId="770B7072" w14:textId="77777777" w:rsidTr="008D4DB9">
        <w:tc>
          <w:tcPr>
            <w:tcW w:w="2859" w:type="dxa"/>
            <w:tcMar>
              <w:top w:w="28" w:type="dxa"/>
            </w:tcMar>
          </w:tcPr>
          <w:p w14:paraId="6B45D4D3" w14:textId="77777777" w:rsidR="00202EDE" w:rsidRPr="00E70587" w:rsidRDefault="00202EDE"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Discontinued operations </w:t>
            </w:r>
            <w:r w:rsidR="0067122D" w:rsidRPr="00E70587">
              <w:rPr>
                <w:rFonts w:ascii="Arial" w:hAnsi="Arial" w:cs="Arial"/>
                <w:sz w:val="20"/>
                <w:lang w:val="en-IN"/>
              </w:rPr>
              <w:t>(note 21)</w:t>
            </w:r>
          </w:p>
        </w:tc>
        <w:tc>
          <w:tcPr>
            <w:tcW w:w="1119" w:type="dxa"/>
            <w:tcBorders>
              <w:bottom w:val="single" w:sz="4" w:space="0" w:color="auto"/>
            </w:tcBorders>
            <w:shd w:val="clear" w:color="auto" w:fill="auto"/>
            <w:tcMar>
              <w:top w:w="28" w:type="dxa"/>
            </w:tcMar>
            <w:vAlign w:val="center"/>
          </w:tcPr>
          <w:p w14:paraId="710291B2"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tcBorders>
              <w:bottom w:val="single" w:sz="4" w:space="0" w:color="auto"/>
            </w:tcBorders>
            <w:shd w:val="clear" w:color="auto" w:fill="auto"/>
            <w:tcMar>
              <w:right w:w="57" w:type="dxa"/>
            </w:tcMar>
            <w:vAlign w:val="center"/>
          </w:tcPr>
          <w:p w14:paraId="0A9C3B00"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19" w:type="dxa"/>
            <w:tcBorders>
              <w:bottom w:val="single" w:sz="4" w:space="0" w:color="auto"/>
            </w:tcBorders>
            <w:vAlign w:val="center"/>
          </w:tcPr>
          <w:p w14:paraId="269020AE"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(248)</w:t>
            </w:r>
          </w:p>
        </w:tc>
        <w:tc>
          <w:tcPr>
            <w:tcW w:w="1120" w:type="dxa"/>
            <w:tcBorders>
              <w:bottom w:val="single" w:sz="4" w:space="0" w:color="auto"/>
            </w:tcBorders>
            <w:shd w:val="clear" w:color="auto" w:fill="auto"/>
            <w:tcMar>
              <w:top w:w="28" w:type="dxa"/>
            </w:tcMar>
            <w:vAlign w:val="center"/>
          </w:tcPr>
          <w:p w14:paraId="0242771A"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rPr>
              <w:t>-</w:t>
            </w:r>
          </w:p>
        </w:tc>
        <w:tc>
          <w:tcPr>
            <w:tcW w:w="1119" w:type="dxa"/>
            <w:tcBorders>
              <w:bottom w:val="single" w:sz="4" w:space="0" w:color="auto"/>
            </w:tcBorders>
            <w:vAlign w:val="center"/>
          </w:tcPr>
          <w:p w14:paraId="4ADFC349"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tcBorders>
              <w:bottom w:val="single" w:sz="4" w:space="0" w:color="auto"/>
            </w:tcBorders>
            <w:shd w:val="clear" w:color="auto" w:fill="auto"/>
            <w:tcMar>
              <w:right w:w="57" w:type="dxa"/>
            </w:tcMar>
            <w:vAlign w:val="center"/>
          </w:tcPr>
          <w:p w14:paraId="0553B31F"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rPr>
              <w:t>(248)</w:t>
            </w:r>
          </w:p>
        </w:tc>
      </w:tr>
      <w:tr w:rsidR="00333A4B" w:rsidRPr="00E70587" w14:paraId="44AF5F5C" w14:textId="77777777" w:rsidTr="008D4DB9">
        <w:tc>
          <w:tcPr>
            <w:tcW w:w="2859" w:type="dxa"/>
            <w:tcMar>
              <w:top w:w="28" w:type="dxa"/>
            </w:tcMar>
            <w:vAlign w:val="center"/>
          </w:tcPr>
          <w:p w14:paraId="0CE5AA7F" w14:textId="3281913C"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E1202D" w:rsidRPr="00E70587">
              <w:rPr>
                <w:rFonts w:ascii="Arial" w:hAnsi="Arial" w:cs="Arial"/>
                <w:b/>
                <w:sz w:val="20"/>
                <w:lang w:val="en-IN"/>
              </w:rPr>
              <w:t xml:space="preserve">March </w:t>
            </w:r>
            <w:r w:rsidR="007642CD" w:rsidRPr="00E70587">
              <w:rPr>
                <w:rFonts w:ascii="Arial" w:hAnsi="Arial" w:cs="Arial"/>
                <w:b/>
                <w:sz w:val="20"/>
                <w:lang w:val="en-IN"/>
              </w:rPr>
              <w:t>20</w:t>
            </w:r>
            <w:r w:rsidR="007642CD">
              <w:rPr>
                <w:rFonts w:ascii="Arial" w:hAnsi="Arial" w:cs="Arial"/>
                <w:b/>
                <w:sz w:val="20"/>
                <w:lang w:val="en-IN"/>
              </w:rPr>
              <w:t>21</w:t>
            </w:r>
          </w:p>
        </w:tc>
        <w:tc>
          <w:tcPr>
            <w:tcW w:w="1119" w:type="dxa"/>
            <w:tcBorders>
              <w:top w:val="single" w:sz="4" w:space="0" w:color="auto"/>
              <w:bottom w:val="double" w:sz="4" w:space="0" w:color="auto"/>
            </w:tcBorders>
            <w:shd w:val="clear" w:color="auto" w:fill="auto"/>
            <w:vAlign w:val="center"/>
          </w:tcPr>
          <w:p w14:paraId="61CA7EF6" w14:textId="77777777" w:rsidR="00333A4B" w:rsidRPr="00E70587" w:rsidRDefault="00333A4B" w:rsidP="008D4DB9">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4,466</w:t>
            </w:r>
          </w:p>
        </w:tc>
        <w:tc>
          <w:tcPr>
            <w:tcW w:w="1120" w:type="dxa"/>
            <w:tcBorders>
              <w:top w:val="single" w:sz="4" w:space="0" w:color="auto"/>
              <w:bottom w:val="double" w:sz="4" w:space="0" w:color="auto"/>
            </w:tcBorders>
            <w:shd w:val="clear" w:color="auto" w:fill="auto"/>
            <w:vAlign w:val="center"/>
          </w:tcPr>
          <w:p w14:paraId="30757F61" w14:textId="77777777" w:rsidR="00333A4B" w:rsidRPr="00E70587" w:rsidRDefault="00333A4B" w:rsidP="008D4DB9">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2,538</w:t>
            </w:r>
          </w:p>
        </w:tc>
        <w:tc>
          <w:tcPr>
            <w:tcW w:w="1119" w:type="dxa"/>
            <w:tcBorders>
              <w:top w:val="single" w:sz="4" w:space="0" w:color="auto"/>
              <w:bottom w:val="double" w:sz="4" w:space="0" w:color="auto"/>
            </w:tcBorders>
            <w:vAlign w:val="center"/>
          </w:tcPr>
          <w:p w14:paraId="26A4882D" w14:textId="77777777" w:rsidR="00333A4B" w:rsidRPr="00E70587" w:rsidRDefault="00333A4B" w:rsidP="008D4DB9">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517</w:t>
            </w:r>
          </w:p>
        </w:tc>
        <w:tc>
          <w:tcPr>
            <w:tcW w:w="1120" w:type="dxa"/>
            <w:tcBorders>
              <w:top w:val="single" w:sz="4" w:space="0" w:color="auto"/>
              <w:bottom w:val="double" w:sz="4" w:space="0" w:color="auto"/>
            </w:tcBorders>
            <w:shd w:val="clear" w:color="auto" w:fill="auto"/>
            <w:vAlign w:val="center"/>
          </w:tcPr>
          <w:p w14:paraId="1108FB52" w14:textId="77777777" w:rsidR="00333A4B" w:rsidRPr="00E70587" w:rsidRDefault="00333A4B" w:rsidP="008D4DB9">
            <w:pPr>
              <w:overflowPunct/>
              <w:spacing w:line="280" w:lineRule="exact"/>
              <w:jc w:val="right"/>
              <w:textAlignment w:val="auto"/>
              <w:rPr>
                <w:rFonts w:ascii="Arial" w:hAnsi="Arial" w:cs="Arial"/>
                <w:b/>
                <w:bCs/>
                <w:sz w:val="20"/>
                <w:lang w:eastAsia="en-GB"/>
              </w:rPr>
            </w:pPr>
            <w:r w:rsidRPr="00E70587">
              <w:rPr>
                <w:rFonts w:ascii="Arial" w:hAnsi="Arial" w:cs="Arial"/>
                <w:b/>
                <w:sz w:val="20"/>
              </w:rPr>
              <w:t>2,853</w:t>
            </w:r>
          </w:p>
        </w:tc>
        <w:tc>
          <w:tcPr>
            <w:tcW w:w="1119" w:type="dxa"/>
            <w:tcBorders>
              <w:top w:val="single" w:sz="4" w:space="0" w:color="auto"/>
              <w:bottom w:val="double" w:sz="4" w:space="0" w:color="auto"/>
            </w:tcBorders>
            <w:vAlign w:val="center"/>
          </w:tcPr>
          <w:p w14:paraId="209E2B85" w14:textId="77777777" w:rsidR="00333A4B" w:rsidRPr="00E70587" w:rsidRDefault="00333A4B" w:rsidP="008D4DB9">
            <w:pPr>
              <w:overflowPunct/>
              <w:spacing w:line="280" w:lineRule="exact"/>
              <w:jc w:val="right"/>
              <w:textAlignment w:val="auto"/>
              <w:rPr>
                <w:rFonts w:ascii="Arial" w:hAnsi="Arial" w:cs="Arial"/>
                <w:b/>
                <w:bCs/>
                <w:sz w:val="20"/>
                <w:lang w:eastAsia="en-GB"/>
              </w:rPr>
            </w:pPr>
            <w:r w:rsidRPr="00E70587">
              <w:rPr>
                <w:rFonts w:ascii="Arial" w:hAnsi="Arial" w:cs="Arial"/>
                <w:b/>
                <w:sz w:val="20"/>
              </w:rPr>
              <w:t>1,759</w:t>
            </w:r>
          </w:p>
        </w:tc>
        <w:tc>
          <w:tcPr>
            <w:tcW w:w="1120" w:type="dxa"/>
            <w:tcBorders>
              <w:top w:val="single" w:sz="4" w:space="0" w:color="auto"/>
              <w:bottom w:val="double" w:sz="4" w:space="0" w:color="auto"/>
            </w:tcBorders>
            <w:shd w:val="clear" w:color="auto" w:fill="auto"/>
            <w:vAlign w:val="center"/>
          </w:tcPr>
          <w:p w14:paraId="6EF83FAA" w14:textId="77777777" w:rsidR="00333A4B" w:rsidRPr="00E70587" w:rsidRDefault="00333A4B" w:rsidP="008D4DB9">
            <w:pPr>
              <w:overflowPunct/>
              <w:spacing w:line="280" w:lineRule="exact"/>
              <w:jc w:val="right"/>
              <w:textAlignment w:val="auto"/>
              <w:rPr>
                <w:rFonts w:ascii="Arial" w:hAnsi="Arial" w:cs="Arial"/>
                <w:b/>
                <w:bCs/>
                <w:sz w:val="20"/>
                <w:lang w:eastAsia="en-GB"/>
              </w:rPr>
            </w:pPr>
            <w:r w:rsidRPr="00E70587">
              <w:rPr>
                <w:rFonts w:ascii="Arial" w:hAnsi="Arial" w:cs="Arial"/>
                <w:b/>
                <w:sz w:val="20"/>
              </w:rPr>
              <w:t>12,</w:t>
            </w:r>
            <w:r w:rsidR="008D4DB9" w:rsidRPr="00E70587">
              <w:rPr>
                <w:rFonts w:ascii="Arial" w:hAnsi="Arial" w:cs="Arial"/>
                <w:b/>
                <w:sz w:val="20"/>
              </w:rPr>
              <w:t>133</w:t>
            </w:r>
          </w:p>
        </w:tc>
      </w:tr>
      <w:tr w:rsidR="00333A4B" w:rsidRPr="00E70587" w14:paraId="08FBF155" w14:textId="77777777" w:rsidTr="008D4DB9">
        <w:tc>
          <w:tcPr>
            <w:tcW w:w="2859" w:type="dxa"/>
            <w:tcMar>
              <w:top w:w="28" w:type="dxa"/>
            </w:tcMar>
            <w:vAlign w:val="center"/>
          </w:tcPr>
          <w:p w14:paraId="16EA16FA" w14:textId="77777777" w:rsidR="00333A4B" w:rsidRPr="00E70587" w:rsidRDefault="00333A4B" w:rsidP="00543062">
            <w:pPr>
              <w:pStyle w:val="Notesitalicheading"/>
              <w:spacing w:line="280" w:lineRule="exact"/>
              <w:rPr>
                <w:rFonts w:ascii="Arial" w:hAnsi="Arial"/>
                <w:i w:val="0"/>
                <w:color w:val="auto"/>
                <w:sz w:val="20"/>
              </w:rPr>
            </w:pPr>
          </w:p>
        </w:tc>
        <w:tc>
          <w:tcPr>
            <w:tcW w:w="1119" w:type="dxa"/>
            <w:tcBorders>
              <w:top w:val="double" w:sz="4" w:space="0" w:color="auto"/>
            </w:tcBorders>
            <w:shd w:val="clear" w:color="auto" w:fill="auto"/>
            <w:vAlign w:val="center"/>
          </w:tcPr>
          <w:p w14:paraId="2D804465" w14:textId="77777777" w:rsidR="00333A4B" w:rsidRPr="00E70587" w:rsidRDefault="00333A4B" w:rsidP="008D4DB9">
            <w:pPr>
              <w:pStyle w:val="tabletext"/>
              <w:overflowPunct w:val="0"/>
              <w:autoSpaceDE w:val="0"/>
              <w:autoSpaceDN w:val="0"/>
              <w:adjustRightInd w:val="0"/>
              <w:spacing w:line="280" w:lineRule="exact"/>
              <w:ind w:left="227"/>
              <w:jc w:val="right"/>
              <w:textAlignment w:val="baseline"/>
              <w:rPr>
                <w:rFonts w:ascii="Arial" w:hAnsi="Arial" w:cs="Arial"/>
                <w:sz w:val="20"/>
                <w:lang w:val="en-IN"/>
              </w:rPr>
            </w:pPr>
          </w:p>
        </w:tc>
        <w:tc>
          <w:tcPr>
            <w:tcW w:w="1120" w:type="dxa"/>
            <w:tcBorders>
              <w:top w:val="double" w:sz="4" w:space="0" w:color="auto"/>
            </w:tcBorders>
            <w:shd w:val="clear" w:color="auto" w:fill="auto"/>
            <w:vAlign w:val="center"/>
          </w:tcPr>
          <w:p w14:paraId="2CCCACC9" w14:textId="77777777" w:rsidR="00333A4B" w:rsidRPr="00E70587" w:rsidRDefault="00333A4B" w:rsidP="008D4DB9">
            <w:pPr>
              <w:pStyle w:val="tabletext"/>
              <w:overflowPunct w:val="0"/>
              <w:autoSpaceDE w:val="0"/>
              <w:autoSpaceDN w:val="0"/>
              <w:adjustRightInd w:val="0"/>
              <w:spacing w:line="280" w:lineRule="exact"/>
              <w:ind w:left="227"/>
              <w:jc w:val="right"/>
              <w:textAlignment w:val="baseline"/>
              <w:rPr>
                <w:rFonts w:ascii="Arial" w:hAnsi="Arial" w:cs="Arial"/>
                <w:sz w:val="20"/>
                <w:lang w:val="en-IN"/>
              </w:rPr>
            </w:pPr>
          </w:p>
        </w:tc>
        <w:tc>
          <w:tcPr>
            <w:tcW w:w="1119" w:type="dxa"/>
            <w:tcBorders>
              <w:top w:val="double" w:sz="4" w:space="0" w:color="auto"/>
            </w:tcBorders>
            <w:vAlign w:val="center"/>
          </w:tcPr>
          <w:p w14:paraId="430D698B" w14:textId="77777777" w:rsidR="00333A4B" w:rsidRPr="00E70587" w:rsidRDefault="00333A4B" w:rsidP="008D4DB9">
            <w:pPr>
              <w:pStyle w:val="tabletext"/>
              <w:overflowPunct w:val="0"/>
              <w:autoSpaceDE w:val="0"/>
              <w:autoSpaceDN w:val="0"/>
              <w:adjustRightInd w:val="0"/>
              <w:spacing w:line="280" w:lineRule="exact"/>
              <w:ind w:left="57"/>
              <w:jc w:val="right"/>
              <w:textAlignment w:val="baseline"/>
              <w:rPr>
                <w:rFonts w:ascii="Arial" w:hAnsi="Arial" w:cs="Arial"/>
                <w:sz w:val="20"/>
                <w:lang w:val="en-IN"/>
              </w:rPr>
            </w:pPr>
          </w:p>
        </w:tc>
        <w:tc>
          <w:tcPr>
            <w:tcW w:w="1120" w:type="dxa"/>
            <w:tcBorders>
              <w:top w:val="double" w:sz="4" w:space="0" w:color="auto"/>
            </w:tcBorders>
            <w:shd w:val="clear" w:color="auto" w:fill="auto"/>
            <w:vAlign w:val="center"/>
          </w:tcPr>
          <w:p w14:paraId="7496E11E" w14:textId="77777777" w:rsidR="00333A4B" w:rsidRPr="00E70587" w:rsidRDefault="00333A4B" w:rsidP="008D4DB9">
            <w:pPr>
              <w:pStyle w:val="tabletext"/>
              <w:overflowPunct w:val="0"/>
              <w:autoSpaceDE w:val="0"/>
              <w:autoSpaceDN w:val="0"/>
              <w:adjustRightInd w:val="0"/>
              <w:spacing w:line="280" w:lineRule="exact"/>
              <w:ind w:left="57"/>
              <w:jc w:val="right"/>
              <w:textAlignment w:val="baseline"/>
              <w:rPr>
                <w:rFonts w:ascii="Arial" w:hAnsi="Arial" w:cs="Arial"/>
                <w:sz w:val="20"/>
                <w:lang w:val="en-IN"/>
              </w:rPr>
            </w:pPr>
          </w:p>
        </w:tc>
        <w:tc>
          <w:tcPr>
            <w:tcW w:w="1119" w:type="dxa"/>
            <w:tcBorders>
              <w:top w:val="double" w:sz="4" w:space="0" w:color="auto"/>
            </w:tcBorders>
            <w:vAlign w:val="center"/>
          </w:tcPr>
          <w:p w14:paraId="5B47441E" w14:textId="77777777" w:rsidR="00333A4B" w:rsidRPr="00E70587" w:rsidRDefault="00333A4B" w:rsidP="008D4DB9">
            <w:pPr>
              <w:pStyle w:val="tabletext"/>
              <w:overflowPunct w:val="0"/>
              <w:autoSpaceDE w:val="0"/>
              <w:autoSpaceDN w:val="0"/>
              <w:adjustRightInd w:val="0"/>
              <w:spacing w:line="280" w:lineRule="exact"/>
              <w:ind w:left="28"/>
              <w:jc w:val="right"/>
              <w:textAlignment w:val="baseline"/>
              <w:rPr>
                <w:rFonts w:ascii="Arial" w:hAnsi="Arial" w:cs="Arial"/>
                <w:sz w:val="20"/>
                <w:lang w:val="en-IN"/>
              </w:rPr>
            </w:pPr>
          </w:p>
        </w:tc>
        <w:tc>
          <w:tcPr>
            <w:tcW w:w="1120" w:type="dxa"/>
            <w:tcBorders>
              <w:top w:val="double" w:sz="4" w:space="0" w:color="auto"/>
            </w:tcBorders>
            <w:shd w:val="clear" w:color="auto" w:fill="auto"/>
            <w:vAlign w:val="center"/>
          </w:tcPr>
          <w:p w14:paraId="580D156E" w14:textId="77777777" w:rsidR="00333A4B" w:rsidRPr="00E70587" w:rsidRDefault="00333A4B" w:rsidP="008D4DB9">
            <w:pPr>
              <w:pStyle w:val="tabletext"/>
              <w:overflowPunct w:val="0"/>
              <w:autoSpaceDE w:val="0"/>
              <w:autoSpaceDN w:val="0"/>
              <w:adjustRightInd w:val="0"/>
              <w:spacing w:line="280" w:lineRule="exact"/>
              <w:ind w:left="28"/>
              <w:jc w:val="right"/>
              <w:textAlignment w:val="baseline"/>
              <w:rPr>
                <w:rFonts w:ascii="Arial" w:hAnsi="Arial" w:cs="Arial"/>
                <w:sz w:val="20"/>
                <w:lang w:val="en-IN"/>
              </w:rPr>
            </w:pPr>
          </w:p>
        </w:tc>
      </w:tr>
      <w:tr w:rsidR="00333A4B" w:rsidRPr="00E70587" w14:paraId="611E0C83" w14:textId="77777777" w:rsidTr="008D4DB9">
        <w:tc>
          <w:tcPr>
            <w:tcW w:w="2859" w:type="dxa"/>
            <w:tcMar>
              <w:top w:w="28" w:type="dxa"/>
            </w:tcMar>
          </w:tcPr>
          <w:p w14:paraId="44661196" w14:textId="77777777"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Amortisation and impairment</w:t>
            </w:r>
          </w:p>
        </w:tc>
        <w:tc>
          <w:tcPr>
            <w:tcW w:w="1119" w:type="dxa"/>
            <w:shd w:val="clear" w:color="auto" w:fill="auto"/>
            <w:vAlign w:val="center"/>
          </w:tcPr>
          <w:p w14:paraId="1ABD7AD1" w14:textId="77777777" w:rsidR="00333A4B" w:rsidRPr="00E70587" w:rsidRDefault="00333A4B" w:rsidP="008D4DB9">
            <w:pPr>
              <w:pStyle w:val="tabletext"/>
              <w:overflowPunct w:val="0"/>
              <w:autoSpaceDE w:val="0"/>
              <w:autoSpaceDN w:val="0"/>
              <w:adjustRightInd w:val="0"/>
              <w:spacing w:line="280" w:lineRule="exact"/>
              <w:ind w:left="227"/>
              <w:jc w:val="right"/>
              <w:textAlignment w:val="baseline"/>
              <w:rPr>
                <w:rFonts w:ascii="Arial" w:hAnsi="Arial" w:cs="Arial"/>
                <w:sz w:val="20"/>
                <w:lang w:val="en-IN"/>
              </w:rPr>
            </w:pPr>
          </w:p>
        </w:tc>
        <w:tc>
          <w:tcPr>
            <w:tcW w:w="1120" w:type="dxa"/>
            <w:shd w:val="clear" w:color="auto" w:fill="auto"/>
            <w:vAlign w:val="center"/>
          </w:tcPr>
          <w:p w14:paraId="721D56CD" w14:textId="77777777" w:rsidR="00333A4B" w:rsidRPr="00E70587" w:rsidRDefault="00333A4B" w:rsidP="008D4DB9">
            <w:pPr>
              <w:pStyle w:val="tabletext"/>
              <w:overflowPunct w:val="0"/>
              <w:autoSpaceDE w:val="0"/>
              <w:autoSpaceDN w:val="0"/>
              <w:adjustRightInd w:val="0"/>
              <w:spacing w:line="280" w:lineRule="exact"/>
              <w:ind w:left="227"/>
              <w:jc w:val="right"/>
              <w:textAlignment w:val="baseline"/>
              <w:rPr>
                <w:rFonts w:ascii="Arial" w:hAnsi="Arial" w:cs="Arial"/>
                <w:sz w:val="20"/>
                <w:lang w:val="en-IN"/>
              </w:rPr>
            </w:pPr>
          </w:p>
        </w:tc>
        <w:tc>
          <w:tcPr>
            <w:tcW w:w="1119" w:type="dxa"/>
            <w:vAlign w:val="center"/>
          </w:tcPr>
          <w:p w14:paraId="6A97DD1F" w14:textId="77777777" w:rsidR="00333A4B" w:rsidRPr="00E70587" w:rsidRDefault="00333A4B" w:rsidP="008D4DB9">
            <w:pPr>
              <w:pStyle w:val="tabletext"/>
              <w:overflowPunct w:val="0"/>
              <w:autoSpaceDE w:val="0"/>
              <w:autoSpaceDN w:val="0"/>
              <w:adjustRightInd w:val="0"/>
              <w:spacing w:line="280" w:lineRule="exact"/>
              <w:ind w:left="57"/>
              <w:jc w:val="right"/>
              <w:textAlignment w:val="baseline"/>
              <w:rPr>
                <w:rFonts w:ascii="Arial" w:hAnsi="Arial" w:cs="Arial"/>
                <w:sz w:val="20"/>
                <w:lang w:val="en-IN"/>
              </w:rPr>
            </w:pPr>
          </w:p>
        </w:tc>
        <w:tc>
          <w:tcPr>
            <w:tcW w:w="1120" w:type="dxa"/>
            <w:shd w:val="clear" w:color="auto" w:fill="auto"/>
            <w:vAlign w:val="center"/>
          </w:tcPr>
          <w:p w14:paraId="5F0AE8C5" w14:textId="77777777" w:rsidR="00333A4B" w:rsidRPr="00E70587" w:rsidRDefault="00333A4B" w:rsidP="008D4DB9">
            <w:pPr>
              <w:pStyle w:val="tabletext"/>
              <w:overflowPunct w:val="0"/>
              <w:autoSpaceDE w:val="0"/>
              <w:autoSpaceDN w:val="0"/>
              <w:adjustRightInd w:val="0"/>
              <w:spacing w:line="280" w:lineRule="exact"/>
              <w:ind w:left="57"/>
              <w:jc w:val="right"/>
              <w:textAlignment w:val="baseline"/>
              <w:rPr>
                <w:rFonts w:ascii="Arial" w:hAnsi="Arial" w:cs="Arial"/>
                <w:sz w:val="20"/>
                <w:lang w:val="en-IN"/>
              </w:rPr>
            </w:pPr>
          </w:p>
        </w:tc>
        <w:tc>
          <w:tcPr>
            <w:tcW w:w="1119" w:type="dxa"/>
            <w:vAlign w:val="center"/>
          </w:tcPr>
          <w:p w14:paraId="4090A6BB" w14:textId="77777777" w:rsidR="00333A4B" w:rsidRPr="00E70587" w:rsidRDefault="00333A4B" w:rsidP="008D4DB9">
            <w:pPr>
              <w:pStyle w:val="tabletext"/>
              <w:overflowPunct w:val="0"/>
              <w:autoSpaceDE w:val="0"/>
              <w:autoSpaceDN w:val="0"/>
              <w:adjustRightInd w:val="0"/>
              <w:spacing w:line="280" w:lineRule="exact"/>
              <w:ind w:left="28"/>
              <w:jc w:val="right"/>
              <w:textAlignment w:val="baseline"/>
              <w:rPr>
                <w:rFonts w:ascii="Arial" w:hAnsi="Arial" w:cs="Arial"/>
                <w:sz w:val="20"/>
                <w:lang w:val="en-IN"/>
              </w:rPr>
            </w:pPr>
          </w:p>
        </w:tc>
        <w:tc>
          <w:tcPr>
            <w:tcW w:w="1120" w:type="dxa"/>
            <w:shd w:val="clear" w:color="auto" w:fill="auto"/>
            <w:vAlign w:val="center"/>
          </w:tcPr>
          <w:p w14:paraId="0859339F" w14:textId="77777777" w:rsidR="00333A4B" w:rsidRPr="00E70587" w:rsidRDefault="00333A4B" w:rsidP="008D4DB9">
            <w:pPr>
              <w:pStyle w:val="tabletext"/>
              <w:overflowPunct w:val="0"/>
              <w:autoSpaceDE w:val="0"/>
              <w:autoSpaceDN w:val="0"/>
              <w:adjustRightInd w:val="0"/>
              <w:spacing w:line="280" w:lineRule="exact"/>
              <w:ind w:left="28"/>
              <w:jc w:val="right"/>
              <w:textAlignment w:val="baseline"/>
              <w:rPr>
                <w:rFonts w:ascii="Arial" w:hAnsi="Arial" w:cs="Arial"/>
                <w:sz w:val="20"/>
                <w:lang w:val="en-IN"/>
              </w:rPr>
            </w:pPr>
          </w:p>
        </w:tc>
      </w:tr>
      <w:tr w:rsidR="00202EDE" w:rsidRPr="00E70587" w14:paraId="3479D1A1" w14:textId="77777777" w:rsidTr="008D4DB9">
        <w:tc>
          <w:tcPr>
            <w:tcW w:w="2859" w:type="dxa"/>
            <w:tcMar>
              <w:top w:w="28" w:type="dxa"/>
            </w:tcMar>
          </w:tcPr>
          <w:p w14:paraId="58D2EECE" w14:textId="2FAD7534" w:rsidR="00202EDE" w:rsidRPr="00E70587" w:rsidRDefault="00202EDE"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At 1 April </w:t>
            </w:r>
            <w:r w:rsidR="007642CD" w:rsidRPr="00E70587">
              <w:rPr>
                <w:rFonts w:ascii="Arial" w:hAnsi="Arial" w:cs="Arial"/>
                <w:sz w:val="20"/>
                <w:lang w:val="en-IN"/>
              </w:rPr>
              <w:t>201</w:t>
            </w:r>
            <w:r w:rsidR="007642CD">
              <w:rPr>
                <w:rFonts w:ascii="Arial" w:hAnsi="Arial" w:cs="Arial"/>
                <w:sz w:val="20"/>
                <w:lang w:val="en-IN"/>
              </w:rPr>
              <w:t>9</w:t>
            </w:r>
          </w:p>
        </w:tc>
        <w:tc>
          <w:tcPr>
            <w:tcW w:w="1119" w:type="dxa"/>
            <w:shd w:val="clear" w:color="auto" w:fill="auto"/>
            <w:vAlign w:val="center"/>
          </w:tcPr>
          <w:p w14:paraId="2F204049"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shd w:val="clear" w:color="auto" w:fill="auto"/>
            <w:vAlign w:val="center"/>
          </w:tcPr>
          <w:p w14:paraId="034EF622"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19" w:type="dxa"/>
            <w:vAlign w:val="center"/>
          </w:tcPr>
          <w:p w14:paraId="07452004"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108</w:t>
            </w:r>
          </w:p>
        </w:tc>
        <w:tc>
          <w:tcPr>
            <w:tcW w:w="1120" w:type="dxa"/>
            <w:shd w:val="clear" w:color="auto" w:fill="auto"/>
            <w:vAlign w:val="center"/>
          </w:tcPr>
          <w:p w14:paraId="01E9ECA3"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rPr>
              <w:t>297</w:t>
            </w:r>
          </w:p>
        </w:tc>
        <w:tc>
          <w:tcPr>
            <w:tcW w:w="1119" w:type="dxa"/>
            <w:vAlign w:val="center"/>
          </w:tcPr>
          <w:p w14:paraId="0627CFA6"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shd w:val="clear" w:color="auto" w:fill="auto"/>
            <w:vAlign w:val="center"/>
          </w:tcPr>
          <w:p w14:paraId="4055BE7E"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rPr>
              <w:t>405</w:t>
            </w:r>
          </w:p>
        </w:tc>
      </w:tr>
      <w:tr w:rsidR="00202EDE" w:rsidRPr="00E70587" w14:paraId="06E3CAAF" w14:textId="77777777" w:rsidTr="008D4DB9">
        <w:tc>
          <w:tcPr>
            <w:tcW w:w="2859" w:type="dxa"/>
            <w:tcMar>
              <w:top w:w="28" w:type="dxa"/>
            </w:tcMar>
          </w:tcPr>
          <w:p w14:paraId="406BE215" w14:textId="77777777" w:rsidR="00202EDE" w:rsidRPr="00E70587" w:rsidRDefault="00202EDE"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lastRenderedPageBreak/>
              <w:t>Amortisation</w:t>
            </w:r>
            <w:r w:rsidR="0067122D" w:rsidRPr="00E70587">
              <w:rPr>
                <w:rFonts w:ascii="Arial" w:hAnsi="Arial" w:cs="Arial"/>
                <w:sz w:val="20"/>
                <w:lang w:val="en-IN"/>
              </w:rPr>
              <w:t xml:space="preserve"> (note 27)</w:t>
            </w:r>
          </w:p>
        </w:tc>
        <w:tc>
          <w:tcPr>
            <w:tcW w:w="1119" w:type="dxa"/>
            <w:tcBorders>
              <w:bottom w:val="single" w:sz="4" w:space="0" w:color="auto"/>
            </w:tcBorders>
            <w:shd w:val="clear" w:color="auto" w:fill="auto"/>
            <w:vAlign w:val="center"/>
          </w:tcPr>
          <w:p w14:paraId="05CD1C3F"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tcBorders>
              <w:bottom w:val="single" w:sz="4" w:space="0" w:color="auto"/>
            </w:tcBorders>
            <w:shd w:val="clear" w:color="auto" w:fill="auto"/>
            <w:vAlign w:val="center"/>
          </w:tcPr>
          <w:p w14:paraId="28C13D7B"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19" w:type="dxa"/>
            <w:tcBorders>
              <w:bottom w:val="single" w:sz="4" w:space="0" w:color="auto"/>
            </w:tcBorders>
            <w:vAlign w:val="center"/>
          </w:tcPr>
          <w:p w14:paraId="1860720D"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90</w:t>
            </w:r>
          </w:p>
        </w:tc>
        <w:tc>
          <w:tcPr>
            <w:tcW w:w="1120" w:type="dxa"/>
            <w:tcBorders>
              <w:bottom w:val="single" w:sz="4" w:space="0" w:color="auto"/>
            </w:tcBorders>
            <w:shd w:val="clear" w:color="auto" w:fill="auto"/>
            <w:vAlign w:val="center"/>
          </w:tcPr>
          <w:p w14:paraId="47041272"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rPr>
              <w:t>223</w:t>
            </w:r>
          </w:p>
        </w:tc>
        <w:tc>
          <w:tcPr>
            <w:tcW w:w="1119" w:type="dxa"/>
            <w:tcBorders>
              <w:bottom w:val="single" w:sz="4" w:space="0" w:color="auto"/>
            </w:tcBorders>
            <w:vAlign w:val="center"/>
          </w:tcPr>
          <w:p w14:paraId="02448253"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tcBorders>
              <w:bottom w:val="single" w:sz="4" w:space="0" w:color="auto"/>
            </w:tcBorders>
            <w:shd w:val="clear" w:color="auto" w:fill="auto"/>
            <w:vAlign w:val="center"/>
          </w:tcPr>
          <w:p w14:paraId="194854A4"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rPr>
              <w:t>313</w:t>
            </w:r>
          </w:p>
        </w:tc>
      </w:tr>
      <w:tr w:rsidR="00202EDE" w:rsidRPr="00E70587" w14:paraId="0127D770" w14:textId="77777777" w:rsidTr="008D4DB9">
        <w:tc>
          <w:tcPr>
            <w:tcW w:w="2859" w:type="dxa"/>
            <w:tcMar>
              <w:top w:w="28" w:type="dxa"/>
            </w:tcMar>
          </w:tcPr>
          <w:p w14:paraId="6BE36168" w14:textId="2C760D88" w:rsidR="00202EDE" w:rsidRPr="00E70587" w:rsidRDefault="00202EDE"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8B730E" w:rsidRPr="00E70587">
              <w:rPr>
                <w:rFonts w:ascii="Arial" w:hAnsi="Arial" w:cs="Arial"/>
                <w:b/>
                <w:sz w:val="20"/>
                <w:lang w:val="en-IN"/>
              </w:rPr>
              <w:t xml:space="preserve">March </w:t>
            </w:r>
            <w:r w:rsidR="007642CD" w:rsidRPr="00E70587">
              <w:rPr>
                <w:rFonts w:ascii="Arial" w:hAnsi="Arial" w:cs="Arial"/>
                <w:b/>
                <w:sz w:val="20"/>
                <w:lang w:val="en-IN"/>
              </w:rPr>
              <w:t>20</w:t>
            </w:r>
            <w:r w:rsidR="007642CD">
              <w:rPr>
                <w:rFonts w:ascii="Arial" w:hAnsi="Arial" w:cs="Arial"/>
                <w:b/>
                <w:sz w:val="20"/>
                <w:lang w:val="en-IN"/>
              </w:rPr>
              <w:t>20</w:t>
            </w:r>
          </w:p>
        </w:tc>
        <w:tc>
          <w:tcPr>
            <w:tcW w:w="1119" w:type="dxa"/>
            <w:tcBorders>
              <w:top w:val="single" w:sz="4" w:space="0" w:color="auto"/>
            </w:tcBorders>
            <w:shd w:val="clear" w:color="auto" w:fill="auto"/>
            <w:vAlign w:val="center"/>
          </w:tcPr>
          <w:p w14:paraId="0D1CB7B7" w14:textId="77777777" w:rsidR="00202EDE" w:rsidRPr="00E70587" w:rsidRDefault="00202EDE" w:rsidP="008D4DB9">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w:t>
            </w:r>
          </w:p>
        </w:tc>
        <w:tc>
          <w:tcPr>
            <w:tcW w:w="1120" w:type="dxa"/>
            <w:tcBorders>
              <w:top w:val="single" w:sz="4" w:space="0" w:color="auto"/>
            </w:tcBorders>
            <w:shd w:val="clear" w:color="auto" w:fill="auto"/>
            <w:vAlign w:val="center"/>
          </w:tcPr>
          <w:p w14:paraId="21C08E5F" w14:textId="77777777" w:rsidR="00202EDE" w:rsidRPr="00E70587" w:rsidRDefault="00202EDE" w:rsidP="008D4DB9">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w:t>
            </w:r>
          </w:p>
        </w:tc>
        <w:tc>
          <w:tcPr>
            <w:tcW w:w="1119" w:type="dxa"/>
            <w:tcBorders>
              <w:top w:val="single" w:sz="4" w:space="0" w:color="auto"/>
            </w:tcBorders>
            <w:vAlign w:val="center"/>
          </w:tcPr>
          <w:p w14:paraId="73229066" w14:textId="77777777" w:rsidR="00202EDE" w:rsidRPr="00E70587" w:rsidRDefault="00202EDE" w:rsidP="008D4DB9">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198</w:t>
            </w:r>
          </w:p>
        </w:tc>
        <w:tc>
          <w:tcPr>
            <w:tcW w:w="1120" w:type="dxa"/>
            <w:tcBorders>
              <w:top w:val="single" w:sz="4" w:space="0" w:color="auto"/>
            </w:tcBorders>
            <w:shd w:val="clear" w:color="auto" w:fill="auto"/>
            <w:vAlign w:val="center"/>
          </w:tcPr>
          <w:p w14:paraId="100A9A9C" w14:textId="77777777" w:rsidR="00202EDE" w:rsidRPr="00E70587" w:rsidRDefault="00202EDE" w:rsidP="008D4DB9">
            <w:pPr>
              <w:overflowPunct/>
              <w:spacing w:line="280" w:lineRule="exact"/>
              <w:jc w:val="right"/>
              <w:textAlignment w:val="auto"/>
              <w:rPr>
                <w:rFonts w:ascii="Arial" w:hAnsi="Arial" w:cs="Arial"/>
                <w:b/>
                <w:bCs/>
                <w:sz w:val="20"/>
                <w:lang w:eastAsia="en-GB"/>
              </w:rPr>
            </w:pPr>
            <w:r w:rsidRPr="00E70587">
              <w:rPr>
                <w:rFonts w:ascii="Arial" w:hAnsi="Arial" w:cs="Arial"/>
                <w:b/>
                <w:sz w:val="20"/>
              </w:rPr>
              <w:t>520</w:t>
            </w:r>
          </w:p>
        </w:tc>
        <w:tc>
          <w:tcPr>
            <w:tcW w:w="1119" w:type="dxa"/>
            <w:tcBorders>
              <w:top w:val="single" w:sz="4" w:space="0" w:color="auto"/>
            </w:tcBorders>
            <w:vAlign w:val="center"/>
          </w:tcPr>
          <w:p w14:paraId="01DA0866" w14:textId="77777777" w:rsidR="00202EDE" w:rsidRPr="00E70587" w:rsidRDefault="00202EDE" w:rsidP="008D4DB9">
            <w:pPr>
              <w:overflowPunct/>
              <w:spacing w:line="280" w:lineRule="exact"/>
              <w:jc w:val="right"/>
              <w:textAlignment w:val="auto"/>
              <w:rPr>
                <w:rFonts w:ascii="Arial" w:hAnsi="Arial" w:cs="Arial"/>
                <w:b/>
                <w:bCs/>
                <w:sz w:val="20"/>
                <w:lang w:eastAsia="en-GB"/>
              </w:rPr>
            </w:pPr>
            <w:r w:rsidRPr="00E70587">
              <w:rPr>
                <w:rFonts w:ascii="Arial" w:hAnsi="Arial" w:cs="Arial"/>
                <w:b/>
                <w:sz w:val="20"/>
                <w:lang w:eastAsia="en-GB"/>
              </w:rPr>
              <w:t>-</w:t>
            </w:r>
          </w:p>
        </w:tc>
        <w:tc>
          <w:tcPr>
            <w:tcW w:w="1120" w:type="dxa"/>
            <w:tcBorders>
              <w:top w:val="single" w:sz="4" w:space="0" w:color="auto"/>
            </w:tcBorders>
            <w:shd w:val="clear" w:color="auto" w:fill="auto"/>
            <w:vAlign w:val="center"/>
          </w:tcPr>
          <w:p w14:paraId="2480ED99" w14:textId="77777777" w:rsidR="00202EDE" w:rsidRPr="00E70587" w:rsidRDefault="00202EDE" w:rsidP="008D4DB9">
            <w:pPr>
              <w:overflowPunct/>
              <w:spacing w:line="280" w:lineRule="exact"/>
              <w:jc w:val="right"/>
              <w:textAlignment w:val="auto"/>
              <w:rPr>
                <w:rFonts w:ascii="Arial" w:hAnsi="Arial" w:cs="Arial"/>
                <w:b/>
                <w:bCs/>
                <w:sz w:val="20"/>
                <w:lang w:eastAsia="en-GB"/>
              </w:rPr>
            </w:pPr>
            <w:r w:rsidRPr="00E70587">
              <w:rPr>
                <w:rFonts w:ascii="Arial" w:hAnsi="Arial" w:cs="Arial"/>
                <w:b/>
                <w:sz w:val="20"/>
              </w:rPr>
              <w:t>718</w:t>
            </w:r>
          </w:p>
        </w:tc>
      </w:tr>
      <w:tr w:rsidR="00202EDE" w:rsidRPr="00E70587" w14:paraId="0CCAEFAB" w14:textId="77777777" w:rsidTr="008D4DB9">
        <w:tc>
          <w:tcPr>
            <w:tcW w:w="2859" w:type="dxa"/>
            <w:tcMar>
              <w:top w:w="28" w:type="dxa"/>
            </w:tcMar>
          </w:tcPr>
          <w:p w14:paraId="7080876D" w14:textId="77777777" w:rsidR="00202EDE" w:rsidRPr="00E70587" w:rsidRDefault="00202EDE"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Amortisation</w:t>
            </w:r>
            <w:r w:rsidR="0067122D" w:rsidRPr="00E70587">
              <w:rPr>
                <w:rFonts w:ascii="Arial" w:hAnsi="Arial" w:cs="Arial"/>
                <w:sz w:val="20"/>
                <w:lang w:val="en-IN"/>
              </w:rPr>
              <w:t xml:space="preserve"> (note 27)</w:t>
            </w:r>
          </w:p>
        </w:tc>
        <w:tc>
          <w:tcPr>
            <w:tcW w:w="1119" w:type="dxa"/>
            <w:shd w:val="clear" w:color="auto" w:fill="auto"/>
            <w:vAlign w:val="center"/>
          </w:tcPr>
          <w:p w14:paraId="0DD85318"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shd w:val="clear" w:color="auto" w:fill="auto"/>
            <w:vAlign w:val="center"/>
          </w:tcPr>
          <w:p w14:paraId="3EF86D5A"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19" w:type="dxa"/>
            <w:vAlign w:val="center"/>
          </w:tcPr>
          <w:p w14:paraId="5B87E0EC"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54</w:t>
            </w:r>
          </w:p>
        </w:tc>
        <w:tc>
          <w:tcPr>
            <w:tcW w:w="1120" w:type="dxa"/>
            <w:shd w:val="clear" w:color="auto" w:fill="auto"/>
            <w:vAlign w:val="center"/>
          </w:tcPr>
          <w:p w14:paraId="06CCA5AA"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rPr>
              <w:t>171</w:t>
            </w:r>
          </w:p>
        </w:tc>
        <w:tc>
          <w:tcPr>
            <w:tcW w:w="1119" w:type="dxa"/>
            <w:vAlign w:val="center"/>
          </w:tcPr>
          <w:p w14:paraId="73FC1BC2"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shd w:val="clear" w:color="auto" w:fill="auto"/>
            <w:vAlign w:val="center"/>
          </w:tcPr>
          <w:p w14:paraId="29C1D9BD"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rPr>
              <w:t>225</w:t>
            </w:r>
          </w:p>
        </w:tc>
      </w:tr>
      <w:tr w:rsidR="00202EDE" w:rsidRPr="00E70587" w14:paraId="221D206E" w14:textId="77777777" w:rsidTr="008D4DB9">
        <w:tc>
          <w:tcPr>
            <w:tcW w:w="2859" w:type="dxa"/>
            <w:tcMar>
              <w:top w:w="28" w:type="dxa"/>
            </w:tcMar>
          </w:tcPr>
          <w:p w14:paraId="60593BF3" w14:textId="77777777" w:rsidR="00202EDE" w:rsidRPr="00E70587" w:rsidRDefault="00202EDE" w:rsidP="0067122D">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Impairment (Note </w:t>
            </w:r>
            <w:r w:rsidR="0067122D" w:rsidRPr="00E70587">
              <w:rPr>
                <w:rFonts w:ascii="Arial" w:hAnsi="Arial" w:cs="Arial"/>
                <w:sz w:val="20"/>
                <w:lang w:val="en-IN"/>
              </w:rPr>
              <w:t>6</w:t>
            </w:r>
            <w:r w:rsidRPr="00E70587">
              <w:rPr>
                <w:rFonts w:ascii="Arial" w:hAnsi="Arial" w:cs="Arial"/>
                <w:sz w:val="20"/>
                <w:lang w:val="en-IN"/>
              </w:rPr>
              <w:t>)</w:t>
            </w:r>
          </w:p>
        </w:tc>
        <w:tc>
          <w:tcPr>
            <w:tcW w:w="1119" w:type="dxa"/>
            <w:shd w:val="clear" w:color="auto" w:fill="auto"/>
            <w:vAlign w:val="center"/>
          </w:tcPr>
          <w:p w14:paraId="5A5DC865"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360</w:t>
            </w:r>
          </w:p>
        </w:tc>
        <w:tc>
          <w:tcPr>
            <w:tcW w:w="1120" w:type="dxa"/>
            <w:shd w:val="clear" w:color="auto" w:fill="auto"/>
            <w:vAlign w:val="center"/>
          </w:tcPr>
          <w:p w14:paraId="5ADDB2D7"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19" w:type="dxa"/>
            <w:vAlign w:val="center"/>
          </w:tcPr>
          <w:p w14:paraId="0622CE61"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shd w:val="clear" w:color="auto" w:fill="auto"/>
            <w:vAlign w:val="center"/>
          </w:tcPr>
          <w:p w14:paraId="005424C7"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rPr>
              <w:t>-</w:t>
            </w:r>
          </w:p>
        </w:tc>
        <w:tc>
          <w:tcPr>
            <w:tcW w:w="1119" w:type="dxa"/>
            <w:vAlign w:val="center"/>
          </w:tcPr>
          <w:p w14:paraId="371388FC"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shd w:val="clear" w:color="auto" w:fill="auto"/>
            <w:vAlign w:val="center"/>
          </w:tcPr>
          <w:p w14:paraId="037B0936"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rPr>
              <w:t>360</w:t>
            </w:r>
          </w:p>
        </w:tc>
      </w:tr>
      <w:tr w:rsidR="00202EDE" w:rsidRPr="00E70587" w14:paraId="349E620E" w14:textId="77777777" w:rsidTr="008D4DB9">
        <w:tc>
          <w:tcPr>
            <w:tcW w:w="2859" w:type="dxa"/>
            <w:tcMar>
              <w:top w:w="28" w:type="dxa"/>
            </w:tcMar>
          </w:tcPr>
          <w:p w14:paraId="5271DE32" w14:textId="77777777" w:rsidR="00202EDE" w:rsidRPr="00E70587" w:rsidRDefault="00202EDE"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Discontinued operations </w:t>
            </w:r>
            <w:r w:rsidR="0067122D" w:rsidRPr="00E70587">
              <w:rPr>
                <w:rFonts w:ascii="Arial" w:hAnsi="Arial" w:cs="Arial"/>
                <w:sz w:val="20"/>
                <w:lang w:val="en-IN"/>
              </w:rPr>
              <w:t>(note 21)</w:t>
            </w:r>
          </w:p>
        </w:tc>
        <w:tc>
          <w:tcPr>
            <w:tcW w:w="1119" w:type="dxa"/>
            <w:tcBorders>
              <w:bottom w:val="single" w:sz="4" w:space="0" w:color="auto"/>
            </w:tcBorders>
            <w:shd w:val="clear" w:color="auto" w:fill="auto"/>
            <w:tcMar>
              <w:top w:w="28" w:type="dxa"/>
            </w:tcMar>
            <w:vAlign w:val="center"/>
          </w:tcPr>
          <w:p w14:paraId="756613E1"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tcBorders>
              <w:bottom w:val="single" w:sz="4" w:space="0" w:color="auto"/>
            </w:tcBorders>
            <w:shd w:val="clear" w:color="auto" w:fill="auto"/>
            <w:tcMar>
              <w:right w:w="57" w:type="dxa"/>
            </w:tcMar>
            <w:vAlign w:val="center"/>
          </w:tcPr>
          <w:p w14:paraId="68159845"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19" w:type="dxa"/>
            <w:tcBorders>
              <w:bottom w:val="single" w:sz="4" w:space="0" w:color="auto"/>
            </w:tcBorders>
            <w:vAlign w:val="center"/>
          </w:tcPr>
          <w:p w14:paraId="1F7F80E3"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w:t>
            </w:r>
          </w:p>
        </w:tc>
        <w:tc>
          <w:tcPr>
            <w:tcW w:w="1120" w:type="dxa"/>
            <w:tcBorders>
              <w:bottom w:val="single" w:sz="4" w:space="0" w:color="auto"/>
            </w:tcBorders>
            <w:shd w:val="clear" w:color="auto" w:fill="auto"/>
            <w:tcMar>
              <w:top w:w="28" w:type="dxa"/>
            </w:tcMar>
            <w:vAlign w:val="center"/>
          </w:tcPr>
          <w:p w14:paraId="79803491"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rPr>
              <w:t>-</w:t>
            </w:r>
          </w:p>
        </w:tc>
        <w:tc>
          <w:tcPr>
            <w:tcW w:w="1119" w:type="dxa"/>
            <w:tcBorders>
              <w:bottom w:val="single" w:sz="4" w:space="0" w:color="auto"/>
            </w:tcBorders>
            <w:vAlign w:val="center"/>
          </w:tcPr>
          <w:p w14:paraId="466D900B"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20" w:type="dxa"/>
            <w:tcBorders>
              <w:bottom w:val="single" w:sz="4" w:space="0" w:color="auto"/>
            </w:tcBorders>
            <w:shd w:val="clear" w:color="auto" w:fill="auto"/>
            <w:tcMar>
              <w:right w:w="57" w:type="dxa"/>
            </w:tcMar>
            <w:vAlign w:val="center"/>
          </w:tcPr>
          <w:p w14:paraId="743BC917" w14:textId="77777777" w:rsidR="00202EDE" w:rsidRPr="00E70587" w:rsidRDefault="00202EDE" w:rsidP="008D4DB9">
            <w:pPr>
              <w:overflowPunct/>
              <w:spacing w:line="280" w:lineRule="exact"/>
              <w:jc w:val="right"/>
              <w:textAlignment w:val="auto"/>
              <w:rPr>
                <w:rFonts w:ascii="Arial" w:hAnsi="Arial" w:cs="Arial"/>
                <w:sz w:val="20"/>
                <w:lang w:eastAsia="en-GB"/>
              </w:rPr>
            </w:pPr>
            <w:r w:rsidRPr="00E70587">
              <w:rPr>
                <w:rFonts w:ascii="Arial" w:hAnsi="Arial" w:cs="Arial"/>
                <w:sz w:val="20"/>
              </w:rPr>
              <w:t>(5)</w:t>
            </w:r>
          </w:p>
        </w:tc>
      </w:tr>
      <w:tr w:rsidR="00202EDE" w:rsidRPr="00E70587" w14:paraId="40AA2BA1" w14:textId="77777777" w:rsidTr="008D4DB9">
        <w:tc>
          <w:tcPr>
            <w:tcW w:w="2859" w:type="dxa"/>
            <w:tcMar>
              <w:top w:w="28" w:type="dxa"/>
            </w:tcMar>
            <w:vAlign w:val="center"/>
          </w:tcPr>
          <w:p w14:paraId="3B247FBD" w14:textId="47F1D261" w:rsidR="00202EDE" w:rsidRPr="00E70587" w:rsidRDefault="00202EDE"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E1202D" w:rsidRPr="00E70587">
              <w:rPr>
                <w:rFonts w:ascii="Arial" w:hAnsi="Arial" w:cs="Arial"/>
                <w:b/>
                <w:sz w:val="20"/>
                <w:lang w:val="en-IN"/>
              </w:rPr>
              <w:t xml:space="preserve">March </w:t>
            </w:r>
            <w:r w:rsidR="007642CD" w:rsidRPr="00E70587">
              <w:rPr>
                <w:rFonts w:ascii="Arial" w:hAnsi="Arial" w:cs="Arial"/>
                <w:b/>
                <w:sz w:val="20"/>
                <w:lang w:val="en-IN"/>
              </w:rPr>
              <w:t>20</w:t>
            </w:r>
            <w:r w:rsidR="007642CD">
              <w:rPr>
                <w:rFonts w:ascii="Arial" w:hAnsi="Arial" w:cs="Arial"/>
                <w:b/>
                <w:sz w:val="20"/>
                <w:lang w:val="en-IN"/>
              </w:rPr>
              <w:t>21</w:t>
            </w:r>
          </w:p>
        </w:tc>
        <w:tc>
          <w:tcPr>
            <w:tcW w:w="1119" w:type="dxa"/>
            <w:tcBorders>
              <w:top w:val="single" w:sz="4" w:space="0" w:color="auto"/>
              <w:bottom w:val="double" w:sz="4" w:space="0" w:color="auto"/>
            </w:tcBorders>
            <w:shd w:val="clear" w:color="auto" w:fill="auto"/>
            <w:vAlign w:val="center"/>
          </w:tcPr>
          <w:p w14:paraId="02454889" w14:textId="77777777" w:rsidR="00202EDE" w:rsidRPr="00E70587" w:rsidRDefault="00202EDE" w:rsidP="008D4DB9">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360</w:t>
            </w:r>
          </w:p>
        </w:tc>
        <w:tc>
          <w:tcPr>
            <w:tcW w:w="1120" w:type="dxa"/>
            <w:tcBorders>
              <w:top w:val="single" w:sz="4" w:space="0" w:color="auto"/>
              <w:bottom w:val="double" w:sz="4" w:space="0" w:color="auto"/>
            </w:tcBorders>
            <w:shd w:val="clear" w:color="auto" w:fill="auto"/>
            <w:vAlign w:val="center"/>
          </w:tcPr>
          <w:p w14:paraId="36FC5F33" w14:textId="77777777" w:rsidR="00202EDE" w:rsidRPr="00E70587" w:rsidRDefault="00202EDE" w:rsidP="008D4DB9">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w:t>
            </w:r>
          </w:p>
        </w:tc>
        <w:tc>
          <w:tcPr>
            <w:tcW w:w="1119" w:type="dxa"/>
            <w:tcBorders>
              <w:top w:val="single" w:sz="4" w:space="0" w:color="auto"/>
              <w:bottom w:val="double" w:sz="4" w:space="0" w:color="auto"/>
            </w:tcBorders>
            <w:vAlign w:val="center"/>
          </w:tcPr>
          <w:p w14:paraId="0ADD008C" w14:textId="77777777" w:rsidR="00202EDE" w:rsidRPr="00E70587" w:rsidRDefault="00202EDE" w:rsidP="008D4DB9">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247</w:t>
            </w:r>
          </w:p>
        </w:tc>
        <w:tc>
          <w:tcPr>
            <w:tcW w:w="1120" w:type="dxa"/>
            <w:tcBorders>
              <w:top w:val="single" w:sz="4" w:space="0" w:color="auto"/>
              <w:bottom w:val="double" w:sz="4" w:space="0" w:color="auto"/>
            </w:tcBorders>
            <w:shd w:val="clear" w:color="auto" w:fill="auto"/>
            <w:vAlign w:val="center"/>
          </w:tcPr>
          <w:p w14:paraId="5B6ABD3F" w14:textId="77777777" w:rsidR="00202EDE" w:rsidRPr="00E70587" w:rsidRDefault="00202EDE" w:rsidP="008D4DB9">
            <w:pPr>
              <w:overflowPunct/>
              <w:spacing w:line="280" w:lineRule="exact"/>
              <w:jc w:val="right"/>
              <w:textAlignment w:val="auto"/>
              <w:rPr>
                <w:rFonts w:ascii="Arial" w:hAnsi="Arial" w:cs="Arial"/>
                <w:b/>
                <w:bCs/>
                <w:sz w:val="20"/>
                <w:lang w:eastAsia="en-GB"/>
              </w:rPr>
            </w:pPr>
            <w:r w:rsidRPr="00E70587">
              <w:rPr>
                <w:rFonts w:ascii="Arial" w:hAnsi="Arial" w:cs="Arial"/>
                <w:b/>
                <w:sz w:val="20"/>
              </w:rPr>
              <w:t>691</w:t>
            </w:r>
          </w:p>
        </w:tc>
        <w:tc>
          <w:tcPr>
            <w:tcW w:w="1119" w:type="dxa"/>
            <w:tcBorders>
              <w:top w:val="single" w:sz="4" w:space="0" w:color="auto"/>
              <w:bottom w:val="double" w:sz="4" w:space="0" w:color="auto"/>
            </w:tcBorders>
            <w:vAlign w:val="center"/>
          </w:tcPr>
          <w:p w14:paraId="28EAF12E" w14:textId="77777777" w:rsidR="00202EDE" w:rsidRPr="00E70587" w:rsidRDefault="00202EDE" w:rsidP="008D4DB9">
            <w:pPr>
              <w:overflowPunct/>
              <w:spacing w:line="280" w:lineRule="exact"/>
              <w:jc w:val="right"/>
              <w:textAlignment w:val="auto"/>
              <w:rPr>
                <w:rFonts w:ascii="Arial" w:hAnsi="Arial" w:cs="Arial"/>
                <w:b/>
                <w:bCs/>
                <w:sz w:val="20"/>
                <w:lang w:eastAsia="en-GB"/>
              </w:rPr>
            </w:pPr>
            <w:r w:rsidRPr="00E70587">
              <w:rPr>
                <w:rFonts w:ascii="Arial" w:hAnsi="Arial" w:cs="Arial"/>
                <w:b/>
                <w:sz w:val="20"/>
                <w:lang w:eastAsia="en-GB"/>
              </w:rPr>
              <w:t>-</w:t>
            </w:r>
          </w:p>
        </w:tc>
        <w:tc>
          <w:tcPr>
            <w:tcW w:w="1120" w:type="dxa"/>
            <w:tcBorders>
              <w:top w:val="single" w:sz="4" w:space="0" w:color="auto"/>
              <w:bottom w:val="double" w:sz="4" w:space="0" w:color="auto"/>
            </w:tcBorders>
            <w:shd w:val="clear" w:color="auto" w:fill="auto"/>
            <w:vAlign w:val="center"/>
          </w:tcPr>
          <w:p w14:paraId="58333CA3" w14:textId="77777777" w:rsidR="00202EDE" w:rsidRPr="00E70587" w:rsidRDefault="00202EDE" w:rsidP="008D4DB9">
            <w:pPr>
              <w:overflowPunct/>
              <w:spacing w:line="280" w:lineRule="exact"/>
              <w:jc w:val="right"/>
              <w:textAlignment w:val="auto"/>
              <w:rPr>
                <w:rFonts w:ascii="Arial" w:hAnsi="Arial" w:cs="Arial"/>
                <w:b/>
                <w:bCs/>
                <w:sz w:val="20"/>
                <w:lang w:eastAsia="en-GB"/>
              </w:rPr>
            </w:pPr>
            <w:r w:rsidRPr="00E70587">
              <w:rPr>
                <w:rFonts w:ascii="Arial" w:hAnsi="Arial" w:cs="Arial"/>
                <w:b/>
                <w:sz w:val="20"/>
              </w:rPr>
              <w:t>1,298</w:t>
            </w:r>
          </w:p>
        </w:tc>
      </w:tr>
      <w:tr w:rsidR="00333A4B" w:rsidRPr="00E70587" w14:paraId="21F8FDEB" w14:textId="77777777" w:rsidTr="008D4DB9">
        <w:tc>
          <w:tcPr>
            <w:tcW w:w="2859" w:type="dxa"/>
            <w:tcMar>
              <w:top w:w="28" w:type="dxa"/>
            </w:tcMar>
            <w:vAlign w:val="center"/>
          </w:tcPr>
          <w:p w14:paraId="5B58A756" w14:textId="77777777"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119" w:type="dxa"/>
            <w:tcBorders>
              <w:top w:val="double" w:sz="4" w:space="0" w:color="auto"/>
            </w:tcBorders>
            <w:shd w:val="clear" w:color="auto" w:fill="auto"/>
            <w:vAlign w:val="center"/>
          </w:tcPr>
          <w:p w14:paraId="73188500" w14:textId="77777777" w:rsidR="00333A4B" w:rsidRPr="00E70587" w:rsidRDefault="00333A4B" w:rsidP="008D4DB9">
            <w:pPr>
              <w:pStyle w:val="tabletext"/>
              <w:overflowPunct w:val="0"/>
              <w:autoSpaceDE w:val="0"/>
              <w:autoSpaceDN w:val="0"/>
              <w:adjustRightInd w:val="0"/>
              <w:spacing w:line="280" w:lineRule="exact"/>
              <w:ind w:left="227"/>
              <w:jc w:val="right"/>
              <w:textAlignment w:val="baseline"/>
              <w:rPr>
                <w:rFonts w:ascii="Arial" w:hAnsi="Arial" w:cs="Arial"/>
                <w:sz w:val="20"/>
                <w:lang w:val="en-IN"/>
              </w:rPr>
            </w:pPr>
          </w:p>
        </w:tc>
        <w:tc>
          <w:tcPr>
            <w:tcW w:w="1120" w:type="dxa"/>
            <w:tcBorders>
              <w:top w:val="double" w:sz="4" w:space="0" w:color="auto"/>
            </w:tcBorders>
            <w:shd w:val="clear" w:color="auto" w:fill="auto"/>
            <w:vAlign w:val="center"/>
          </w:tcPr>
          <w:p w14:paraId="0EB34D62" w14:textId="77777777" w:rsidR="00333A4B" w:rsidRPr="00E70587" w:rsidRDefault="00333A4B" w:rsidP="008D4DB9">
            <w:pPr>
              <w:pStyle w:val="tabletext"/>
              <w:overflowPunct w:val="0"/>
              <w:autoSpaceDE w:val="0"/>
              <w:autoSpaceDN w:val="0"/>
              <w:adjustRightInd w:val="0"/>
              <w:spacing w:line="280" w:lineRule="exact"/>
              <w:ind w:left="227"/>
              <w:jc w:val="right"/>
              <w:textAlignment w:val="baseline"/>
              <w:rPr>
                <w:rFonts w:ascii="Arial" w:hAnsi="Arial" w:cs="Arial"/>
                <w:sz w:val="20"/>
                <w:lang w:val="en-IN"/>
              </w:rPr>
            </w:pPr>
          </w:p>
        </w:tc>
        <w:tc>
          <w:tcPr>
            <w:tcW w:w="1119" w:type="dxa"/>
            <w:tcBorders>
              <w:top w:val="double" w:sz="4" w:space="0" w:color="auto"/>
            </w:tcBorders>
            <w:vAlign w:val="center"/>
          </w:tcPr>
          <w:p w14:paraId="0FAC7029" w14:textId="77777777" w:rsidR="00333A4B" w:rsidRPr="00E70587" w:rsidRDefault="00333A4B" w:rsidP="008D4DB9">
            <w:pPr>
              <w:pStyle w:val="tabletext"/>
              <w:overflowPunct w:val="0"/>
              <w:autoSpaceDE w:val="0"/>
              <w:autoSpaceDN w:val="0"/>
              <w:adjustRightInd w:val="0"/>
              <w:spacing w:line="280" w:lineRule="exact"/>
              <w:ind w:left="57"/>
              <w:jc w:val="right"/>
              <w:textAlignment w:val="baseline"/>
              <w:rPr>
                <w:rFonts w:ascii="Arial" w:hAnsi="Arial" w:cs="Arial"/>
                <w:sz w:val="20"/>
                <w:lang w:val="en-IN"/>
              </w:rPr>
            </w:pPr>
          </w:p>
        </w:tc>
        <w:tc>
          <w:tcPr>
            <w:tcW w:w="1120" w:type="dxa"/>
            <w:tcBorders>
              <w:top w:val="double" w:sz="4" w:space="0" w:color="auto"/>
            </w:tcBorders>
            <w:shd w:val="clear" w:color="auto" w:fill="auto"/>
            <w:vAlign w:val="center"/>
          </w:tcPr>
          <w:p w14:paraId="65579A47" w14:textId="77777777" w:rsidR="00333A4B" w:rsidRPr="00E70587" w:rsidRDefault="00333A4B" w:rsidP="008D4DB9">
            <w:pPr>
              <w:pStyle w:val="tabletext"/>
              <w:overflowPunct w:val="0"/>
              <w:autoSpaceDE w:val="0"/>
              <w:autoSpaceDN w:val="0"/>
              <w:adjustRightInd w:val="0"/>
              <w:spacing w:line="280" w:lineRule="exact"/>
              <w:ind w:left="57"/>
              <w:jc w:val="right"/>
              <w:textAlignment w:val="baseline"/>
              <w:rPr>
                <w:rFonts w:ascii="Arial" w:hAnsi="Arial" w:cs="Arial"/>
                <w:sz w:val="20"/>
                <w:lang w:val="en-IN"/>
              </w:rPr>
            </w:pPr>
          </w:p>
        </w:tc>
        <w:tc>
          <w:tcPr>
            <w:tcW w:w="1119" w:type="dxa"/>
            <w:tcBorders>
              <w:top w:val="double" w:sz="4" w:space="0" w:color="auto"/>
            </w:tcBorders>
            <w:vAlign w:val="center"/>
          </w:tcPr>
          <w:p w14:paraId="6CC67746" w14:textId="77777777" w:rsidR="00333A4B" w:rsidRPr="00E70587" w:rsidRDefault="00333A4B" w:rsidP="008D4DB9">
            <w:pPr>
              <w:pStyle w:val="tabletext"/>
              <w:overflowPunct w:val="0"/>
              <w:autoSpaceDE w:val="0"/>
              <w:autoSpaceDN w:val="0"/>
              <w:adjustRightInd w:val="0"/>
              <w:spacing w:line="280" w:lineRule="exact"/>
              <w:ind w:left="28"/>
              <w:jc w:val="right"/>
              <w:textAlignment w:val="baseline"/>
              <w:rPr>
                <w:rFonts w:ascii="Arial" w:hAnsi="Arial" w:cs="Arial"/>
                <w:sz w:val="20"/>
                <w:lang w:val="en-IN"/>
              </w:rPr>
            </w:pPr>
          </w:p>
        </w:tc>
        <w:tc>
          <w:tcPr>
            <w:tcW w:w="1120" w:type="dxa"/>
            <w:tcBorders>
              <w:top w:val="double" w:sz="4" w:space="0" w:color="auto"/>
            </w:tcBorders>
            <w:shd w:val="clear" w:color="auto" w:fill="auto"/>
            <w:vAlign w:val="center"/>
          </w:tcPr>
          <w:p w14:paraId="14DA9E56" w14:textId="77777777" w:rsidR="00333A4B" w:rsidRPr="00E70587" w:rsidRDefault="00333A4B" w:rsidP="008D4DB9">
            <w:pPr>
              <w:pStyle w:val="tabletext"/>
              <w:overflowPunct w:val="0"/>
              <w:autoSpaceDE w:val="0"/>
              <w:autoSpaceDN w:val="0"/>
              <w:adjustRightInd w:val="0"/>
              <w:spacing w:line="280" w:lineRule="exact"/>
              <w:ind w:left="28"/>
              <w:jc w:val="right"/>
              <w:textAlignment w:val="baseline"/>
              <w:rPr>
                <w:rFonts w:ascii="Arial" w:hAnsi="Arial" w:cs="Arial"/>
                <w:sz w:val="20"/>
                <w:lang w:val="en-IN"/>
              </w:rPr>
            </w:pPr>
          </w:p>
        </w:tc>
      </w:tr>
      <w:tr w:rsidR="00333A4B" w:rsidRPr="00E70587" w14:paraId="0AA350E9" w14:textId="77777777" w:rsidTr="008D4DB9">
        <w:tc>
          <w:tcPr>
            <w:tcW w:w="2859" w:type="dxa"/>
            <w:tcMar>
              <w:top w:w="28" w:type="dxa"/>
            </w:tcMar>
          </w:tcPr>
          <w:p w14:paraId="6831EE72" w14:textId="77777777"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Net book value</w:t>
            </w:r>
          </w:p>
        </w:tc>
        <w:tc>
          <w:tcPr>
            <w:tcW w:w="1119" w:type="dxa"/>
            <w:tcBorders>
              <w:bottom w:val="single" w:sz="4" w:space="0" w:color="auto"/>
            </w:tcBorders>
            <w:shd w:val="clear" w:color="auto" w:fill="auto"/>
            <w:vAlign w:val="center"/>
          </w:tcPr>
          <w:p w14:paraId="5E956F97" w14:textId="77777777" w:rsidR="00333A4B" w:rsidRPr="00E70587" w:rsidRDefault="00333A4B" w:rsidP="008D4DB9">
            <w:pPr>
              <w:pStyle w:val="tabletext"/>
              <w:overflowPunct w:val="0"/>
              <w:autoSpaceDE w:val="0"/>
              <w:autoSpaceDN w:val="0"/>
              <w:adjustRightInd w:val="0"/>
              <w:spacing w:line="280" w:lineRule="exact"/>
              <w:ind w:left="227"/>
              <w:jc w:val="right"/>
              <w:textAlignment w:val="baseline"/>
              <w:rPr>
                <w:rFonts w:ascii="Arial" w:hAnsi="Arial" w:cs="Arial"/>
                <w:sz w:val="20"/>
                <w:lang w:val="en-IN"/>
              </w:rPr>
            </w:pPr>
          </w:p>
        </w:tc>
        <w:tc>
          <w:tcPr>
            <w:tcW w:w="1120" w:type="dxa"/>
            <w:tcBorders>
              <w:bottom w:val="single" w:sz="4" w:space="0" w:color="auto"/>
            </w:tcBorders>
            <w:shd w:val="clear" w:color="auto" w:fill="auto"/>
            <w:vAlign w:val="center"/>
          </w:tcPr>
          <w:p w14:paraId="25E6EE71" w14:textId="77777777" w:rsidR="00333A4B" w:rsidRPr="00E70587" w:rsidRDefault="00333A4B" w:rsidP="008D4DB9">
            <w:pPr>
              <w:pStyle w:val="tabletext"/>
              <w:overflowPunct w:val="0"/>
              <w:autoSpaceDE w:val="0"/>
              <w:autoSpaceDN w:val="0"/>
              <w:adjustRightInd w:val="0"/>
              <w:spacing w:line="280" w:lineRule="exact"/>
              <w:ind w:left="227"/>
              <w:jc w:val="right"/>
              <w:textAlignment w:val="baseline"/>
              <w:rPr>
                <w:rFonts w:ascii="Arial" w:hAnsi="Arial" w:cs="Arial"/>
                <w:sz w:val="20"/>
                <w:lang w:val="en-IN"/>
              </w:rPr>
            </w:pPr>
          </w:p>
        </w:tc>
        <w:tc>
          <w:tcPr>
            <w:tcW w:w="1119" w:type="dxa"/>
            <w:tcBorders>
              <w:bottom w:val="single" w:sz="4" w:space="0" w:color="auto"/>
            </w:tcBorders>
            <w:vAlign w:val="center"/>
          </w:tcPr>
          <w:p w14:paraId="27561ED3" w14:textId="77777777" w:rsidR="00333A4B" w:rsidRPr="00E70587" w:rsidRDefault="00333A4B" w:rsidP="008D4DB9">
            <w:pPr>
              <w:pStyle w:val="tabletext"/>
              <w:overflowPunct w:val="0"/>
              <w:autoSpaceDE w:val="0"/>
              <w:autoSpaceDN w:val="0"/>
              <w:adjustRightInd w:val="0"/>
              <w:spacing w:line="280" w:lineRule="exact"/>
              <w:ind w:left="57"/>
              <w:jc w:val="right"/>
              <w:textAlignment w:val="baseline"/>
              <w:rPr>
                <w:rFonts w:ascii="Arial" w:hAnsi="Arial" w:cs="Arial"/>
                <w:sz w:val="20"/>
                <w:lang w:val="en-IN"/>
              </w:rPr>
            </w:pPr>
          </w:p>
        </w:tc>
        <w:tc>
          <w:tcPr>
            <w:tcW w:w="1120" w:type="dxa"/>
            <w:tcBorders>
              <w:bottom w:val="single" w:sz="4" w:space="0" w:color="auto"/>
            </w:tcBorders>
            <w:shd w:val="clear" w:color="auto" w:fill="auto"/>
            <w:vAlign w:val="center"/>
          </w:tcPr>
          <w:p w14:paraId="2DE939DA" w14:textId="77777777" w:rsidR="00333A4B" w:rsidRPr="00E70587" w:rsidRDefault="00333A4B" w:rsidP="008D4DB9">
            <w:pPr>
              <w:pStyle w:val="tabletext"/>
              <w:overflowPunct w:val="0"/>
              <w:autoSpaceDE w:val="0"/>
              <w:autoSpaceDN w:val="0"/>
              <w:adjustRightInd w:val="0"/>
              <w:spacing w:line="280" w:lineRule="exact"/>
              <w:ind w:left="57"/>
              <w:jc w:val="right"/>
              <w:textAlignment w:val="baseline"/>
              <w:rPr>
                <w:rFonts w:ascii="Arial" w:hAnsi="Arial" w:cs="Arial"/>
                <w:sz w:val="20"/>
                <w:lang w:val="en-IN"/>
              </w:rPr>
            </w:pPr>
          </w:p>
        </w:tc>
        <w:tc>
          <w:tcPr>
            <w:tcW w:w="1119" w:type="dxa"/>
            <w:tcBorders>
              <w:bottom w:val="single" w:sz="4" w:space="0" w:color="auto"/>
            </w:tcBorders>
            <w:vAlign w:val="center"/>
          </w:tcPr>
          <w:p w14:paraId="675D38AF" w14:textId="77777777" w:rsidR="00333A4B" w:rsidRPr="00E70587" w:rsidRDefault="00333A4B" w:rsidP="008D4DB9">
            <w:pPr>
              <w:pStyle w:val="tabletext"/>
              <w:overflowPunct w:val="0"/>
              <w:autoSpaceDE w:val="0"/>
              <w:autoSpaceDN w:val="0"/>
              <w:adjustRightInd w:val="0"/>
              <w:spacing w:line="280" w:lineRule="exact"/>
              <w:ind w:left="28"/>
              <w:jc w:val="right"/>
              <w:textAlignment w:val="baseline"/>
              <w:rPr>
                <w:rFonts w:ascii="Arial" w:hAnsi="Arial" w:cs="Arial"/>
                <w:sz w:val="20"/>
                <w:lang w:val="en-IN"/>
              </w:rPr>
            </w:pPr>
          </w:p>
        </w:tc>
        <w:tc>
          <w:tcPr>
            <w:tcW w:w="1120" w:type="dxa"/>
            <w:tcBorders>
              <w:bottom w:val="single" w:sz="4" w:space="0" w:color="auto"/>
            </w:tcBorders>
            <w:shd w:val="clear" w:color="auto" w:fill="auto"/>
            <w:vAlign w:val="center"/>
          </w:tcPr>
          <w:p w14:paraId="7E547F44" w14:textId="77777777" w:rsidR="00333A4B" w:rsidRPr="00E70587" w:rsidRDefault="00333A4B" w:rsidP="008D4DB9">
            <w:pPr>
              <w:pStyle w:val="tabletext"/>
              <w:overflowPunct w:val="0"/>
              <w:autoSpaceDE w:val="0"/>
              <w:autoSpaceDN w:val="0"/>
              <w:adjustRightInd w:val="0"/>
              <w:spacing w:line="280" w:lineRule="exact"/>
              <w:ind w:left="28"/>
              <w:jc w:val="right"/>
              <w:textAlignment w:val="baseline"/>
              <w:rPr>
                <w:rFonts w:ascii="Arial" w:hAnsi="Arial" w:cs="Arial"/>
                <w:sz w:val="20"/>
                <w:lang w:val="en-IN"/>
              </w:rPr>
            </w:pPr>
          </w:p>
        </w:tc>
      </w:tr>
      <w:tr w:rsidR="00333A4B" w:rsidRPr="00E70587" w14:paraId="2DC20E6B" w14:textId="77777777" w:rsidTr="008D4DB9">
        <w:tc>
          <w:tcPr>
            <w:tcW w:w="2859" w:type="dxa"/>
            <w:tcMar>
              <w:top w:w="0" w:type="dxa"/>
            </w:tcMar>
          </w:tcPr>
          <w:p w14:paraId="3663C234" w14:textId="2320A104"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At 31 </w:t>
            </w:r>
            <w:r w:rsidR="00E1202D" w:rsidRPr="00E70587">
              <w:rPr>
                <w:rFonts w:ascii="Arial" w:hAnsi="Arial" w:cs="Arial"/>
                <w:sz w:val="20"/>
                <w:lang w:val="en-IN"/>
              </w:rPr>
              <w:t xml:space="preserve">March </w:t>
            </w:r>
            <w:r w:rsidR="007642CD" w:rsidRPr="00E70587">
              <w:rPr>
                <w:rFonts w:ascii="Arial" w:hAnsi="Arial" w:cs="Arial"/>
                <w:sz w:val="20"/>
                <w:lang w:val="en-IN"/>
              </w:rPr>
              <w:t>20</w:t>
            </w:r>
            <w:r w:rsidR="007642CD">
              <w:rPr>
                <w:rFonts w:ascii="Arial" w:hAnsi="Arial" w:cs="Arial"/>
                <w:sz w:val="20"/>
                <w:lang w:val="en-IN"/>
              </w:rPr>
              <w:t>21</w:t>
            </w:r>
          </w:p>
        </w:tc>
        <w:tc>
          <w:tcPr>
            <w:tcW w:w="1119" w:type="dxa"/>
            <w:tcBorders>
              <w:top w:val="single" w:sz="4" w:space="0" w:color="auto"/>
              <w:bottom w:val="single" w:sz="4" w:space="0" w:color="auto"/>
            </w:tcBorders>
            <w:shd w:val="clear" w:color="auto" w:fill="auto"/>
            <w:vAlign w:val="center"/>
          </w:tcPr>
          <w:p w14:paraId="2C1E0A47" w14:textId="77777777" w:rsidR="00333A4B" w:rsidRPr="00E70587" w:rsidRDefault="00333A4B" w:rsidP="008D4DB9">
            <w:pPr>
              <w:spacing w:line="280" w:lineRule="exact"/>
              <w:jc w:val="right"/>
              <w:rPr>
                <w:rFonts w:ascii="Arial" w:hAnsi="Arial" w:cs="Arial"/>
                <w:sz w:val="20"/>
              </w:rPr>
            </w:pPr>
            <w:r w:rsidRPr="00E70587">
              <w:rPr>
                <w:rFonts w:ascii="Arial" w:hAnsi="Arial" w:cs="Arial"/>
                <w:sz w:val="20"/>
              </w:rPr>
              <w:t>4,106</w:t>
            </w:r>
          </w:p>
        </w:tc>
        <w:tc>
          <w:tcPr>
            <w:tcW w:w="1120" w:type="dxa"/>
            <w:tcBorders>
              <w:top w:val="single" w:sz="4" w:space="0" w:color="auto"/>
              <w:bottom w:val="single" w:sz="4" w:space="0" w:color="auto"/>
            </w:tcBorders>
            <w:shd w:val="clear" w:color="auto" w:fill="auto"/>
            <w:vAlign w:val="center"/>
          </w:tcPr>
          <w:p w14:paraId="177D00EA" w14:textId="77777777" w:rsidR="00333A4B" w:rsidRPr="00E70587" w:rsidRDefault="00333A4B" w:rsidP="008D4DB9">
            <w:pPr>
              <w:spacing w:line="280" w:lineRule="exact"/>
              <w:jc w:val="right"/>
              <w:rPr>
                <w:rFonts w:ascii="Arial" w:hAnsi="Arial" w:cs="Arial"/>
                <w:sz w:val="20"/>
              </w:rPr>
            </w:pPr>
            <w:r w:rsidRPr="00E70587">
              <w:rPr>
                <w:rFonts w:ascii="Arial" w:hAnsi="Arial" w:cs="Arial"/>
                <w:sz w:val="20"/>
              </w:rPr>
              <w:t>2,538</w:t>
            </w:r>
          </w:p>
        </w:tc>
        <w:tc>
          <w:tcPr>
            <w:tcW w:w="1119" w:type="dxa"/>
            <w:tcBorders>
              <w:top w:val="single" w:sz="4" w:space="0" w:color="auto"/>
              <w:bottom w:val="single" w:sz="4" w:space="0" w:color="auto"/>
            </w:tcBorders>
            <w:vAlign w:val="center"/>
          </w:tcPr>
          <w:p w14:paraId="3198D08C" w14:textId="77777777" w:rsidR="00333A4B" w:rsidRPr="00E70587" w:rsidRDefault="00333A4B" w:rsidP="008D4DB9">
            <w:pPr>
              <w:spacing w:line="280" w:lineRule="exact"/>
              <w:jc w:val="right"/>
              <w:rPr>
                <w:rFonts w:ascii="Arial" w:hAnsi="Arial" w:cs="Arial"/>
                <w:sz w:val="20"/>
              </w:rPr>
            </w:pPr>
            <w:r w:rsidRPr="00E70587">
              <w:rPr>
                <w:rFonts w:ascii="Arial" w:hAnsi="Arial" w:cs="Arial"/>
                <w:sz w:val="20"/>
              </w:rPr>
              <w:t>270</w:t>
            </w:r>
          </w:p>
        </w:tc>
        <w:tc>
          <w:tcPr>
            <w:tcW w:w="1120" w:type="dxa"/>
            <w:tcBorders>
              <w:top w:val="single" w:sz="4" w:space="0" w:color="auto"/>
              <w:bottom w:val="single" w:sz="4" w:space="0" w:color="auto"/>
            </w:tcBorders>
            <w:shd w:val="clear" w:color="auto" w:fill="auto"/>
            <w:vAlign w:val="center"/>
          </w:tcPr>
          <w:p w14:paraId="4E8565E6" w14:textId="77777777" w:rsidR="00333A4B" w:rsidRPr="00E70587" w:rsidRDefault="00333A4B" w:rsidP="008D4DB9">
            <w:pPr>
              <w:spacing w:line="280" w:lineRule="exact"/>
              <w:jc w:val="right"/>
              <w:rPr>
                <w:rFonts w:ascii="Arial" w:hAnsi="Arial" w:cs="Arial"/>
                <w:sz w:val="20"/>
              </w:rPr>
            </w:pPr>
            <w:r w:rsidRPr="00E70587">
              <w:rPr>
                <w:rFonts w:ascii="Arial" w:hAnsi="Arial" w:cs="Arial"/>
                <w:sz w:val="20"/>
              </w:rPr>
              <w:t>2,162</w:t>
            </w:r>
          </w:p>
        </w:tc>
        <w:tc>
          <w:tcPr>
            <w:tcW w:w="1119" w:type="dxa"/>
            <w:tcBorders>
              <w:top w:val="single" w:sz="4" w:space="0" w:color="auto"/>
              <w:bottom w:val="single" w:sz="4" w:space="0" w:color="auto"/>
            </w:tcBorders>
            <w:vAlign w:val="center"/>
          </w:tcPr>
          <w:p w14:paraId="6EA2F6A1" w14:textId="77777777" w:rsidR="00333A4B" w:rsidRPr="00E70587" w:rsidRDefault="00333A4B" w:rsidP="008D4DB9">
            <w:pPr>
              <w:spacing w:line="280" w:lineRule="exact"/>
              <w:jc w:val="right"/>
              <w:rPr>
                <w:rFonts w:ascii="Arial" w:hAnsi="Arial" w:cs="Arial"/>
                <w:sz w:val="20"/>
              </w:rPr>
            </w:pPr>
            <w:r w:rsidRPr="00E70587">
              <w:rPr>
                <w:rFonts w:ascii="Arial" w:hAnsi="Arial" w:cs="Arial"/>
                <w:sz w:val="20"/>
              </w:rPr>
              <w:t>1,759</w:t>
            </w:r>
          </w:p>
        </w:tc>
        <w:tc>
          <w:tcPr>
            <w:tcW w:w="1120" w:type="dxa"/>
            <w:tcBorders>
              <w:top w:val="single" w:sz="4" w:space="0" w:color="auto"/>
              <w:bottom w:val="single" w:sz="4" w:space="0" w:color="auto"/>
            </w:tcBorders>
            <w:shd w:val="clear" w:color="auto" w:fill="auto"/>
            <w:vAlign w:val="center"/>
          </w:tcPr>
          <w:p w14:paraId="7CDC62AA" w14:textId="77777777" w:rsidR="00333A4B" w:rsidRPr="00E70587" w:rsidRDefault="00333A4B" w:rsidP="008D4DB9">
            <w:pPr>
              <w:spacing w:line="280" w:lineRule="exact"/>
              <w:jc w:val="right"/>
              <w:rPr>
                <w:rFonts w:ascii="Arial" w:hAnsi="Arial" w:cs="Arial"/>
                <w:sz w:val="20"/>
              </w:rPr>
            </w:pPr>
            <w:r w:rsidRPr="00E70587">
              <w:rPr>
                <w:rFonts w:ascii="Arial" w:hAnsi="Arial" w:cs="Arial"/>
                <w:sz w:val="20"/>
              </w:rPr>
              <w:t>10,</w:t>
            </w:r>
            <w:r w:rsidR="008D4DB9" w:rsidRPr="00E70587">
              <w:rPr>
                <w:rFonts w:ascii="Arial" w:hAnsi="Arial" w:cs="Arial"/>
                <w:sz w:val="20"/>
              </w:rPr>
              <w:t>835</w:t>
            </w:r>
          </w:p>
        </w:tc>
      </w:tr>
      <w:tr w:rsidR="00333A4B" w:rsidRPr="00E70587" w14:paraId="70AC2217" w14:textId="77777777" w:rsidTr="008D4DB9">
        <w:tc>
          <w:tcPr>
            <w:tcW w:w="2859" w:type="dxa"/>
            <w:tcMar>
              <w:top w:w="0" w:type="dxa"/>
            </w:tcMar>
          </w:tcPr>
          <w:p w14:paraId="08AFDFB0" w14:textId="35E79D2E" w:rsidR="00333A4B" w:rsidRPr="00E70587" w:rsidRDefault="00333A4B"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At 31 </w:t>
            </w:r>
            <w:r w:rsidR="008B730E" w:rsidRPr="00E70587">
              <w:rPr>
                <w:rFonts w:ascii="Arial" w:hAnsi="Arial" w:cs="Arial"/>
                <w:sz w:val="20"/>
                <w:lang w:val="en-IN"/>
              </w:rPr>
              <w:t xml:space="preserve">March </w:t>
            </w:r>
            <w:r w:rsidR="007642CD" w:rsidRPr="00E70587">
              <w:rPr>
                <w:rFonts w:ascii="Arial" w:hAnsi="Arial" w:cs="Arial"/>
                <w:sz w:val="20"/>
                <w:lang w:val="en-IN"/>
              </w:rPr>
              <w:t>20</w:t>
            </w:r>
            <w:r w:rsidR="007642CD">
              <w:rPr>
                <w:rFonts w:ascii="Arial" w:hAnsi="Arial" w:cs="Arial"/>
                <w:sz w:val="20"/>
                <w:lang w:val="en-IN"/>
              </w:rPr>
              <w:t>20</w:t>
            </w:r>
            <w:r w:rsidR="007642CD" w:rsidRPr="00E70587">
              <w:rPr>
                <w:rFonts w:ascii="Arial" w:hAnsi="Arial" w:cs="Arial"/>
                <w:sz w:val="20"/>
                <w:lang w:val="en-IN"/>
              </w:rPr>
              <w:t xml:space="preserve"> </w:t>
            </w:r>
          </w:p>
        </w:tc>
        <w:tc>
          <w:tcPr>
            <w:tcW w:w="1119" w:type="dxa"/>
            <w:tcBorders>
              <w:top w:val="single" w:sz="4" w:space="0" w:color="auto"/>
              <w:bottom w:val="single" w:sz="4" w:space="0" w:color="auto"/>
            </w:tcBorders>
            <w:shd w:val="clear" w:color="auto" w:fill="auto"/>
            <w:vAlign w:val="center"/>
          </w:tcPr>
          <w:p w14:paraId="5E251AFB" w14:textId="77777777" w:rsidR="00333A4B" w:rsidRPr="00E70587" w:rsidRDefault="00333A4B" w:rsidP="008D4DB9">
            <w:pPr>
              <w:spacing w:line="280" w:lineRule="exact"/>
              <w:jc w:val="right"/>
              <w:rPr>
                <w:rFonts w:ascii="Arial" w:hAnsi="Arial" w:cs="Arial"/>
                <w:sz w:val="20"/>
              </w:rPr>
            </w:pPr>
            <w:r w:rsidRPr="00E70587">
              <w:rPr>
                <w:rFonts w:ascii="Arial" w:hAnsi="Arial" w:cs="Arial"/>
                <w:sz w:val="20"/>
              </w:rPr>
              <w:t>450</w:t>
            </w:r>
          </w:p>
        </w:tc>
        <w:tc>
          <w:tcPr>
            <w:tcW w:w="1120" w:type="dxa"/>
            <w:tcBorders>
              <w:top w:val="single" w:sz="4" w:space="0" w:color="auto"/>
              <w:bottom w:val="single" w:sz="4" w:space="0" w:color="auto"/>
            </w:tcBorders>
            <w:shd w:val="clear" w:color="auto" w:fill="auto"/>
            <w:vAlign w:val="center"/>
          </w:tcPr>
          <w:p w14:paraId="50890A4A" w14:textId="77777777" w:rsidR="00333A4B" w:rsidRPr="00E70587" w:rsidRDefault="00333A4B" w:rsidP="008D4DB9">
            <w:pPr>
              <w:spacing w:line="280" w:lineRule="exact"/>
              <w:jc w:val="right"/>
              <w:rPr>
                <w:rFonts w:ascii="Arial" w:hAnsi="Arial" w:cs="Arial"/>
                <w:sz w:val="20"/>
              </w:rPr>
            </w:pPr>
            <w:r w:rsidRPr="00E70587">
              <w:rPr>
                <w:rFonts w:ascii="Arial" w:hAnsi="Arial" w:cs="Arial"/>
                <w:sz w:val="20"/>
              </w:rPr>
              <w:t>432</w:t>
            </w:r>
          </w:p>
        </w:tc>
        <w:tc>
          <w:tcPr>
            <w:tcW w:w="1119" w:type="dxa"/>
            <w:tcBorders>
              <w:top w:val="single" w:sz="4" w:space="0" w:color="auto"/>
              <w:bottom w:val="single" w:sz="4" w:space="0" w:color="auto"/>
            </w:tcBorders>
            <w:vAlign w:val="center"/>
          </w:tcPr>
          <w:p w14:paraId="345CA36F" w14:textId="77777777" w:rsidR="00333A4B" w:rsidRPr="00E70587" w:rsidRDefault="00333A4B" w:rsidP="008D4DB9">
            <w:pPr>
              <w:spacing w:line="280" w:lineRule="exact"/>
              <w:jc w:val="right"/>
              <w:rPr>
                <w:rFonts w:ascii="Arial" w:hAnsi="Arial" w:cs="Arial"/>
                <w:sz w:val="20"/>
              </w:rPr>
            </w:pPr>
            <w:r w:rsidRPr="00E70587">
              <w:rPr>
                <w:rFonts w:ascii="Arial" w:hAnsi="Arial" w:cs="Arial"/>
                <w:sz w:val="20"/>
              </w:rPr>
              <w:t>513</w:t>
            </w:r>
          </w:p>
        </w:tc>
        <w:tc>
          <w:tcPr>
            <w:tcW w:w="1120" w:type="dxa"/>
            <w:tcBorders>
              <w:top w:val="single" w:sz="4" w:space="0" w:color="auto"/>
              <w:bottom w:val="single" w:sz="4" w:space="0" w:color="auto"/>
            </w:tcBorders>
            <w:shd w:val="clear" w:color="auto" w:fill="auto"/>
            <w:vAlign w:val="center"/>
          </w:tcPr>
          <w:p w14:paraId="60F6980A" w14:textId="77777777" w:rsidR="00333A4B" w:rsidRPr="00E70587" w:rsidRDefault="00333A4B" w:rsidP="008D4DB9">
            <w:pPr>
              <w:spacing w:line="280" w:lineRule="exact"/>
              <w:jc w:val="right"/>
              <w:rPr>
                <w:rFonts w:ascii="Arial" w:hAnsi="Arial" w:cs="Arial"/>
                <w:sz w:val="20"/>
              </w:rPr>
            </w:pPr>
            <w:r w:rsidRPr="00E70587">
              <w:rPr>
                <w:rFonts w:ascii="Arial" w:hAnsi="Arial" w:cs="Arial"/>
                <w:sz w:val="20"/>
              </w:rPr>
              <w:t>2,333</w:t>
            </w:r>
          </w:p>
        </w:tc>
        <w:tc>
          <w:tcPr>
            <w:tcW w:w="1119" w:type="dxa"/>
            <w:tcBorders>
              <w:top w:val="single" w:sz="4" w:space="0" w:color="auto"/>
              <w:bottom w:val="single" w:sz="4" w:space="0" w:color="auto"/>
            </w:tcBorders>
            <w:vAlign w:val="center"/>
          </w:tcPr>
          <w:p w14:paraId="6F3392BE" w14:textId="77777777" w:rsidR="00333A4B" w:rsidRPr="00E70587" w:rsidRDefault="00333A4B" w:rsidP="008D4DB9">
            <w:pPr>
              <w:spacing w:line="280" w:lineRule="exact"/>
              <w:jc w:val="right"/>
              <w:rPr>
                <w:rFonts w:ascii="Arial" w:hAnsi="Arial" w:cs="Arial"/>
                <w:sz w:val="20"/>
              </w:rPr>
            </w:pPr>
            <w:r w:rsidRPr="00E70587">
              <w:rPr>
                <w:rFonts w:ascii="Arial" w:hAnsi="Arial" w:cs="Arial"/>
                <w:sz w:val="20"/>
              </w:rPr>
              <w:t>702</w:t>
            </w:r>
          </w:p>
        </w:tc>
        <w:tc>
          <w:tcPr>
            <w:tcW w:w="1120" w:type="dxa"/>
            <w:tcBorders>
              <w:top w:val="single" w:sz="4" w:space="0" w:color="auto"/>
              <w:bottom w:val="single" w:sz="4" w:space="0" w:color="auto"/>
            </w:tcBorders>
            <w:shd w:val="clear" w:color="auto" w:fill="auto"/>
            <w:vAlign w:val="center"/>
          </w:tcPr>
          <w:p w14:paraId="28917E6F" w14:textId="77777777" w:rsidR="00333A4B" w:rsidRPr="00E70587" w:rsidRDefault="00333A4B" w:rsidP="008D4DB9">
            <w:pPr>
              <w:spacing w:line="280" w:lineRule="exact"/>
              <w:jc w:val="right"/>
              <w:rPr>
                <w:rFonts w:ascii="Arial" w:hAnsi="Arial" w:cs="Arial"/>
                <w:sz w:val="20"/>
              </w:rPr>
            </w:pPr>
            <w:r w:rsidRPr="00E70587">
              <w:rPr>
                <w:rFonts w:ascii="Arial" w:hAnsi="Arial" w:cs="Arial"/>
                <w:sz w:val="20"/>
              </w:rPr>
              <w:t>4,430</w:t>
            </w:r>
          </w:p>
        </w:tc>
      </w:tr>
      <w:bookmarkEnd w:id="5"/>
    </w:tbl>
    <w:p w14:paraId="6D77118D" w14:textId="77777777" w:rsidR="00333A4B" w:rsidRPr="00E70587" w:rsidRDefault="00333A4B" w:rsidP="00333A4B">
      <w:pPr>
        <w:spacing w:line="280" w:lineRule="exact"/>
        <w:rPr>
          <w:rFonts w:ascii="Arial" w:hAnsi="Arial" w:cs="Arial"/>
          <w:sz w:val="20"/>
        </w:rPr>
      </w:pPr>
    </w:p>
    <w:tbl>
      <w:tblPr>
        <w:tblW w:w="9360" w:type="dxa"/>
        <w:tblLook w:val="01E0" w:firstRow="1" w:lastRow="1" w:firstColumn="1" w:lastColumn="1" w:noHBand="0" w:noVBand="0"/>
      </w:tblPr>
      <w:tblGrid>
        <w:gridCol w:w="4744"/>
        <w:gridCol w:w="302"/>
        <w:gridCol w:w="2157"/>
        <w:gridCol w:w="2157"/>
      </w:tblGrid>
      <w:tr w:rsidR="00C33BE9" w:rsidRPr="00E70587" w14:paraId="1A8AEE53" w14:textId="77777777" w:rsidTr="00C33BE9">
        <w:tc>
          <w:tcPr>
            <w:tcW w:w="0" w:type="auto"/>
            <w:shd w:val="clear" w:color="auto" w:fill="auto"/>
          </w:tcPr>
          <w:p w14:paraId="0BE94909" w14:textId="77777777" w:rsidR="00C33BE9" w:rsidRPr="00E70587" w:rsidRDefault="00C33BE9"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Net book value</w:t>
            </w:r>
          </w:p>
        </w:tc>
        <w:tc>
          <w:tcPr>
            <w:tcW w:w="0" w:type="auto"/>
          </w:tcPr>
          <w:p w14:paraId="4A98CC04" w14:textId="77777777" w:rsidR="00C33BE9" w:rsidRPr="00E70587" w:rsidRDefault="00C33BE9" w:rsidP="00543062">
            <w:pPr>
              <w:pStyle w:val="tabletext"/>
              <w:overflowPunct w:val="0"/>
              <w:autoSpaceDE w:val="0"/>
              <w:autoSpaceDN w:val="0"/>
              <w:adjustRightInd w:val="0"/>
              <w:spacing w:line="280" w:lineRule="exact"/>
              <w:textAlignment w:val="baseline"/>
              <w:rPr>
                <w:rFonts w:ascii="Arial" w:hAnsi="Arial" w:cs="Arial"/>
                <w:b/>
                <w:sz w:val="20"/>
                <w:lang w:val="en-IN"/>
              </w:rPr>
            </w:pPr>
          </w:p>
        </w:tc>
        <w:tc>
          <w:tcPr>
            <w:tcW w:w="0" w:type="auto"/>
            <w:tcBorders>
              <w:bottom w:val="single" w:sz="4" w:space="0" w:color="auto"/>
            </w:tcBorders>
            <w:shd w:val="clear" w:color="auto" w:fill="auto"/>
          </w:tcPr>
          <w:p w14:paraId="0FA386A9" w14:textId="5A2BCB6D" w:rsidR="00C33BE9" w:rsidRPr="00E70587" w:rsidRDefault="00C33BE9" w:rsidP="00C33BE9">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31 March 20</w:t>
            </w:r>
            <w:r>
              <w:rPr>
                <w:rFonts w:ascii="Arial" w:hAnsi="Arial" w:cs="Arial"/>
                <w:b/>
                <w:sz w:val="20"/>
                <w:lang w:val="en-IN"/>
              </w:rPr>
              <w:t>21</w:t>
            </w:r>
          </w:p>
        </w:tc>
        <w:tc>
          <w:tcPr>
            <w:tcW w:w="0" w:type="auto"/>
            <w:tcBorders>
              <w:bottom w:val="single" w:sz="4" w:space="0" w:color="auto"/>
            </w:tcBorders>
          </w:tcPr>
          <w:p w14:paraId="0F71B134" w14:textId="5D27F88D" w:rsidR="00C33BE9" w:rsidRPr="00E70587" w:rsidRDefault="00C33BE9" w:rsidP="00C33BE9">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31 March 20</w:t>
            </w:r>
            <w:r>
              <w:rPr>
                <w:rFonts w:ascii="Arial" w:hAnsi="Arial" w:cs="Arial"/>
                <w:b/>
                <w:sz w:val="20"/>
                <w:lang w:val="en-IN"/>
              </w:rPr>
              <w:t>20</w:t>
            </w:r>
          </w:p>
        </w:tc>
      </w:tr>
      <w:tr w:rsidR="00C33BE9" w:rsidRPr="00E70587" w14:paraId="7D94BB77" w14:textId="77777777" w:rsidTr="00C33BE9">
        <w:tc>
          <w:tcPr>
            <w:tcW w:w="0" w:type="auto"/>
            <w:shd w:val="clear" w:color="auto" w:fill="auto"/>
          </w:tcPr>
          <w:p w14:paraId="5EE5A205" w14:textId="77777777" w:rsidR="00C33BE9" w:rsidRPr="00E70587" w:rsidRDefault="00C33BE9" w:rsidP="00543062">
            <w:pPr>
              <w:pStyle w:val="tabletext"/>
              <w:overflowPunct w:val="0"/>
              <w:autoSpaceDE w:val="0"/>
              <w:autoSpaceDN w:val="0"/>
              <w:adjustRightInd w:val="0"/>
              <w:spacing w:line="280" w:lineRule="exact"/>
              <w:textAlignment w:val="baseline"/>
              <w:rPr>
                <w:rFonts w:ascii="Arial" w:hAnsi="Arial" w:cs="Arial"/>
                <w:b/>
                <w:sz w:val="20"/>
                <w:lang w:val="en-IN"/>
              </w:rPr>
            </w:pPr>
          </w:p>
        </w:tc>
        <w:tc>
          <w:tcPr>
            <w:tcW w:w="0" w:type="auto"/>
          </w:tcPr>
          <w:p w14:paraId="017EAEFC" w14:textId="77777777" w:rsidR="00C33BE9" w:rsidRPr="00E70587" w:rsidRDefault="00C33BE9" w:rsidP="00543062">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0" w:type="auto"/>
            <w:tcBorders>
              <w:top w:val="single" w:sz="4" w:space="0" w:color="auto"/>
            </w:tcBorders>
            <w:shd w:val="clear" w:color="auto" w:fill="auto"/>
          </w:tcPr>
          <w:p w14:paraId="2A8578AD" w14:textId="62D787B9" w:rsidR="00C33BE9" w:rsidRPr="00E70587" w:rsidRDefault="00C33BE9" w:rsidP="00543062">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INR Lacs</w:t>
            </w:r>
          </w:p>
        </w:tc>
        <w:tc>
          <w:tcPr>
            <w:tcW w:w="0" w:type="auto"/>
            <w:tcBorders>
              <w:top w:val="single" w:sz="4" w:space="0" w:color="auto"/>
            </w:tcBorders>
          </w:tcPr>
          <w:p w14:paraId="5D735D09" w14:textId="77777777" w:rsidR="00C33BE9" w:rsidRPr="00E70587" w:rsidRDefault="00C33BE9" w:rsidP="00543062">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INR Lacs</w:t>
            </w:r>
          </w:p>
        </w:tc>
      </w:tr>
      <w:tr w:rsidR="00C33BE9" w:rsidRPr="00E70587" w14:paraId="39E4C5C2" w14:textId="77777777" w:rsidTr="00C33BE9">
        <w:tc>
          <w:tcPr>
            <w:tcW w:w="0" w:type="auto"/>
            <w:shd w:val="clear" w:color="auto" w:fill="auto"/>
            <w:vAlign w:val="bottom"/>
          </w:tcPr>
          <w:p w14:paraId="4DE8B094" w14:textId="77777777" w:rsidR="00C33BE9" w:rsidRPr="00E70587" w:rsidRDefault="00C33BE9" w:rsidP="00543062">
            <w:pPr>
              <w:pStyle w:val="Tablecolumnheading"/>
              <w:spacing w:line="280" w:lineRule="exact"/>
              <w:jc w:val="left"/>
              <w:rPr>
                <w:rFonts w:ascii="Arial" w:hAnsi="Arial"/>
                <w:b w:val="0"/>
                <w:color w:val="auto"/>
                <w:sz w:val="20"/>
                <w:szCs w:val="20"/>
                <w:lang w:val="en-IN"/>
              </w:rPr>
            </w:pPr>
            <w:r w:rsidRPr="00E70587">
              <w:rPr>
                <w:rFonts w:ascii="Arial" w:hAnsi="Arial"/>
                <w:b w:val="0"/>
                <w:color w:val="auto"/>
                <w:sz w:val="20"/>
                <w:szCs w:val="20"/>
                <w:lang w:val="en-IN"/>
              </w:rPr>
              <w:t>Intangible assets under development</w:t>
            </w:r>
          </w:p>
        </w:tc>
        <w:tc>
          <w:tcPr>
            <w:tcW w:w="0" w:type="auto"/>
          </w:tcPr>
          <w:p w14:paraId="7E0AFB95" w14:textId="77777777" w:rsidR="00C33BE9" w:rsidRPr="00E70587" w:rsidRDefault="00C33BE9" w:rsidP="00543062">
            <w:pPr>
              <w:spacing w:line="280" w:lineRule="exact"/>
              <w:jc w:val="right"/>
              <w:rPr>
                <w:rFonts w:ascii="Arial" w:hAnsi="Arial" w:cs="Arial"/>
                <w:sz w:val="20"/>
              </w:rPr>
            </w:pPr>
          </w:p>
        </w:tc>
        <w:tc>
          <w:tcPr>
            <w:tcW w:w="0" w:type="auto"/>
            <w:shd w:val="clear" w:color="auto" w:fill="auto"/>
          </w:tcPr>
          <w:p w14:paraId="72CAEA6A" w14:textId="740BA6CD" w:rsidR="00C33BE9" w:rsidRPr="00E70587" w:rsidRDefault="00C33BE9" w:rsidP="00543062">
            <w:pPr>
              <w:spacing w:line="280" w:lineRule="exact"/>
              <w:jc w:val="right"/>
              <w:rPr>
                <w:rFonts w:ascii="Arial" w:hAnsi="Arial" w:cs="Arial"/>
                <w:sz w:val="20"/>
              </w:rPr>
            </w:pPr>
            <w:r w:rsidRPr="00E70587">
              <w:rPr>
                <w:rFonts w:ascii="Arial" w:hAnsi="Arial" w:cs="Arial"/>
                <w:sz w:val="20"/>
              </w:rPr>
              <w:t>1,759</w:t>
            </w:r>
          </w:p>
        </w:tc>
        <w:tc>
          <w:tcPr>
            <w:tcW w:w="0" w:type="auto"/>
          </w:tcPr>
          <w:p w14:paraId="6D8FDDBD" w14:textId="77777777" w:rsidR="00C33BE9" w:rsidRPr="00E70587" w:rsidRDefault="00C33BE9" w:rsidP="00543062">
            <w:pPr>
              <w:spacing w:line="280" w:lineRule="exact"/>
              <w:jc w:val="right"/>
              <w:rPr>
                <w:rFonts w:ascii="Arial" w:hAnsi="Arial" w:cs="Arial"/>
                <w:sz w:val="20"/>
              </w:rPr>
            </w:pPr>
            <w:r w:rsidRPr="00E70587">
              <w:rPr>
                <w:rFonts w:ascii="Arial" w:hAnsi="Arial" w:cs="Arial"/>
                <w:sz w:val="20"/>
              </w:rPr>
              <w:t>702</w:t>
            </w:r>
          </w:p>
        </w:tc>
      </w:tr>
      <w:tr w:rsidR="00C33BE9" w:rsidRPr="00E70587" w14:paraId="39300BB4" w14:textId="77777777" w:rsidTr="00C33BE9">
        <w:tc>
          <w:tcPr>
            <w:tcW w:w="0" w:type="auto"/>
            <w:shd w:val="clear" w:color="auto" w:fill="auto"/>
            <w:vAlign w:val="bottom"/>
          </w:tcPr>
          <w:p w14:paraId="188373F4" w14:textId="77777777" w:rsidR="00C33BE9" w:rsidRPr="00E70587" w:rsidRDefault="00C33BE9" w:rsidP="00543062">
            <w:pPr>
              <w:pStyle w:val="Tablecolumnheading"/>
              <w:spacing w:line="280" w:lineRule="exact"/>
              <w:jc w:val="left"/>
              <w:rPr>
                <w:rFonts w:ascii="Arial" w:hAnsi="Arial"/>
                <w:b w:val="0"/>
                <w:color w:val="auto"/>
                <w:sz w:val="20"/>
                <w:szCs w:val="20"/>
                <w:lang w:val="en-IN"/>
              </w:rPr>
            </w:pPr>
            <w:r w:rsidRPr="00E70587">
              <w:rPr>
                <w:rFonts w:ascii="Arial" w:hAnsi="Arial"/>
                <w:b w:val="0"/>
                <w:color w:val="auto"/>
                <w:sz w:val="20"/>
                <w:szCs w:val="20"/>
                <w:lang w:val="en-IN"/>
              </w:rPr>
              <w:t>Goodwill</w:t>
            </w:r>
          </w:p>
        </w:tc>
        <w:tc>
          <w:tcPr>
            <w:tcW w:w="0" w:type="auto"/>
          </w:tcPr>
          <w:p w14:paraId="0D85D7EC" w14:textId="77777777" w:rsidR="00C33BE9" w:rsidRPr="00E70587" w:rsidRDefault="00C33BE9" w:rsidP="00543062">
            <w:pPr>
              <w:spacing w:line="280" w:lineRule="exact"/>
              <w:jc w:val="right"/>
              <w:rPr>
                <w:rFonts w:ascii="Arial" w:hAnsi="Arial" w:cs="Arial"/>
                <w:sz w:val="20"/>
              </w:rPr>
            </w:pPr>
          </w:p>
        </w:tc>
        <w:tc>
          <w:tcPr>
            <w:tcW w:w="0" w:type="auto"/>
            <w:shd w:val="clear" w:color="auto" w:fill="auto"/>
            <w:vAlign w:val="center"/>
          </w:tcPr>
          <w:p w14:paraId="06040E44" w14:textId="06628B47" w:rsidR="00C33BE9" w:rsidRPr="00E70587" w:rsidRDefault="00C33BE9" w:rsidP="00543062">
            <w:pPr>
              <w:spacing w:line="280" w:lineRule="exact"/>
              <w:jc w:val="right"/>
              <w:rPr>
                <w:rFonts w:ascii="Arial" w:hAnsi="Arial" w:cs="Arial"/>
                <w:sz w:val="20"/>
              </w:rPr>
            </w:pPr>
            <w:r w:rsidRPr="00E70587">
              <w:rPr>
                <w:rFonts w:ascii="Arial" w:hAnsi="Arial" w:cs="Arial"/>
                <w:sz w:val="20"/>
              </w:rPr>
              <w:t>4,106</w:t>
            </w:r>
          </w:p>
        </w:tc>
        <w:tc>
          <w:tcPr>
            <w:tcW w:w="0" w:type="auto"/>
            <w:vAlign w:val="center"/>
          </w:tcPr>
          <w:p w14:paraId="64A40A23" w14:textId="77777777" w:rsidR="00C33BE9" w:rsidRPr="00E70587" w:rsidRDefault="00C33BE9" w:rsidP="00543062">
            <w:pPr>
              <w:spacing w:line="280" w:lineRule="exact"/>
              <w:jc w:val="right"/>
              <w:rPr>
                <w:rFonts w:ascii="Arial" w:hAnsi="Arial" w:cs="Arial"/>
                <w:sz w:val="20"/>
              </w:rPr>
            </w:pPr>
            <w:r w:rsidRPr="00E70587">
              <w:rPr>
                <w:rFonts w:ascii="Arial" w:hAnsi="Arial" w:cs="Arial"/>
                <w:sz w:val="20"/>
              </w:rPr>
              <w:t>450</w:t>
            </w:r>
          </w:p>
        </w:tc>
      </w:tr>
      <w:tr w:rsidR="00C33BE9" w:rsidRPr="00E70587" w14:paraId="22153E2D" w14:textId="77777777" w:rsidTr="00C33BE9">
        <w:tc>
          <w:tcPr>
            <w:tcW w:w="0" w:type="auto"/>
            <w:shd w:val="clear" w:color="auto" w:fill="auto"/>
          </w:tcPr>
          <w:p w14:paraId="033DC9B1" w14:textId="77777777" w:rsidR="00C33BE9" w:rsidRPr="00E70587" w:rsidRDefault="00C33BE9"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Other intangible assets</w:t>
            </w:r>
          </w:p>
        </w:tc>
        <w:tc>
          <w:tcPr>
            <w:tcW w:w="0" w:type="auto"/>
          </w:tcPr>
          <w:p w14:paraId="73A2D3A4" w14:textId="77777777" w:rsidR="00C33BE9" w:rsidRPr="00E70587" w:rsidRDefault="00C33BE9" w:rsidP="00543062">
            <w:pPr>
              <w:spacing w:line="280" w:lineRule="exact"/>
              <w:jc w:val="right"/>
              <w:rPr>
                <w:rFonts w:ascii="Arial" w:hAnsi="Arial" w:cs="Arial"/>
                <w:sz w:val="20"/>
              </w:rPr>
            </w:pPr>
          </w:p>
        </w:tc>
        <w:tc>
          <w:tcPr>
            <w:tcW w:w="0" w:type="auto"/>
            <w:shd w:val="clear" w:color="auto" w:fill="auto"/>
            <w:vAlign w:val="center"/>
          </w:tcPr>
          <w:p w14:paraId="746F41D9" w14:textId="62B923E4" w:rsidR="00C33BE9" w:rsidRPr="00E70587" w:rsidRDefault="00C33BE9" w:rsidP="00543062">
            <w:pPr>
              <w:spacing w:line="280" w:lineRule="exact"/>
              <w:jc w:val="right"/>
              <w:rPr>
                <w:rFonts w:ascii="Arial" w:hAnsi="Arial" w:cs="Arial"/>
                <w:sz w:val="20"/>
              </w:rPr>
            </w:pPr>
            <w:r w:rsidRPr="00E70587">
              <w:rPr>
                <w:rFonts w:ascii="Arial" w:hAnsi="Arial" w:cs="Arial"/>
                <w:sz w:val="20"/>
              </w:rPr>
              <w:t>4,970</w:t>
            </w:r>
          </w:p>
        </w:tc>
        <w:tc>
          <w:tcPr>
            <w:tcW w:w="0" w:type="auto"/>
            <w:vAlign w:val="center"/>
          </w:tcPr>
          <w:p w14:paraId="6B3E04AA" w14:textId="77777777" w:rsidR="00C33BE9" w:rsidRPr="00E70587" w:rsidRDefault="00C33BE9" w:rsidP="00543062">
            <w:pPr>
              <w:spacing w:line="280" w:lineRule="exact"/>
              <w:jc w:val="right"/>
              <w:rPr>
                <w:rFonts w:ascii="Arial" w:hAnsi="Arial" w:cs="Arial"/>
                <w:sz w:val="20"/>
              </w:rPr>
            </w:pPr>
            <w:r w:rsidRPr="00E70587">
              <w:rPr>
                <w:rFonts w:ascii="Arial" w:hAnsi="Arial" w:cs="Arial"/>
                <w:sz w:val="20"/>
              </w:rPr>
              <w:t>3,278</w:t>
            </w:r>
          </w:p>
        </w:tc>
      </w:tr>
    </w:tbl>
    <w:p w14:paraId="23FEFA99" w14:textId="77777777" w:rsidR="00333A4B" w:rsidRPr="00E70587" w:rsidRDefault="00333A4B" w:rsidP="00333A4B">
      <w:pPr>
        <w:spacing w:line="280" w:lineRule="exact"/>
        <w:rPr>
          <w:rFonts w:ascii="Arial" w:hAnsi="Arial" w:cs="Arial"/>
          <w:sz w:val="20"/>
        </w:rPr>
      </w:pPr>
    </w:p>
    <w:tbl>
      <w:tblPr>
        <w:tblW w:w="9576" w:type="dxa"/>
        <w:tblLook w:val="0000" w:firstRow="0" w:lastRow="0" w:firstColumn="0" w:lastColumn="0" w:noHBand="0" w:noVBand="0"/>
      </w:tblPr>
      <w:tblGrid>
        <w:gridCol w:w="9576"/>
      </w:tblGrid>
      <w:tr w:rsidR="00333A4B" w:rsidRPr="00E70587" w14:paraId="0A189CDF" w14:textId="77777777" w:rsidTr="00543062">
        <w:tc>
          <w:tcPr>
            <w:tcW w:w="0" w:type="auto"/>
          </w:tcPr>
          <w:p w14:paraId="07E0868B" w14:textId="77777777" w:rsidR="00333A4B" w:rsidRPr="00E70587" w:rsidRDefault="00333A4B" w:rsidP="00543062">
            <w:pPr>
              <w:pStyle w:val="Notesbodytext"/>
              <w:spacing w:after="0" w:line="280" w:lineRule="exact"/>
              <w:ind w:right="-77"/>
              <w:jc w:val="both"/>
              <w:rPr>
                <w:rFonts w:ascii="Arial" w:hAnsi="Arial"/>
                <w:color w:val="auto"/>
                <w:sz w:val="20"/>
              </w:rPr>
            </w:pPr>
            <w:r w:rsidRPr="00E70587">
              <w:rPr>
                <w:rFonts w:ascii="Arial" w:hAnsi="Arial"/>
                <w:color w:val="auto"/>
                <w:sz w:val="20"/>
              </w:rPr>
              <w:t>There are two fire prevention research and development projects. One is to improve fire detection and sprinkler systems and the other is related to fire-retardant fabrics for motor vehicles and aircraft.</w:t>
            </w:r>
          </w:p>
          <w:p w14:paraId="4B96367F" w14:textId="77777777" w:rsidR="00333A4B" w:rsidRDefault="00333A4B" w:rsidP="00543062">
            <w:pPr>
              <w:pStyle w:val="Notesitalicheading"/>
              <w:spacing w:line="280" w:lineRule="exact"/>
              <w:jc w:val="both"/>
              <w:rPr>
                <w:rFonts w:ascii="Arial" w:hAnsi="Arial"/>
                <w:b w:val="0"/>
                <w:i w:val="0"/>
                <w:color w:val="auto"/>
                <w:sz w:val="20"/>
              </w:rPr>
            </w:pPr>
          </w:p>
          <w:p w14:paraId="3C8B4C6B" w14:textId="77777777" w:rsidR="00657499" w:rsidRPr="00E70587" w:rsidRDefault="00657499" w:rsidP="00543062">
            <w:pPr>
              <w:pStyle w:val="Notesitalicheading"/>
              <w:spacing w:line="280" w:lineRule="exact"/>
              <w:jc w:val="both"/>
              <w:rPr>
                <w:rFonts w:ascii="Arial" w:hAnsi="Arial"/>
                <w:b w:val="0"/>
                <w:i w:val="0"/>
                <w:color w:val="auto"/>
                <w:sz w:val="20"/>
              </w:rPr>
            </w:pPr>
          </w:p>
          <w:p w14:paraId="5CB58239" w14:textId="77777777" w:rsidR="00333A4B" w:rsidRPr="00E70587" w:rsidRDefault="00333A4B" w:rsidP="00543062">
            <w:pPr>
              <w:pStyle w:val="Notesitalicheading"/>
              <w:spacing w:line="280" w:lineRule="exact"/>
              <w:jc w:val="both"/>
              <w:rPr>
                <w:rFonts w:ascii="Arial" w:hAnsi="Arial"/>
                <w:i w:val="0"/>
                <w:color w:val="auto"/>
                <w:sz w:val="20"/>
              </w:rPr>
            </w:pPr>
            <w:r w:rsidRPr="00E70587">
              <w:rPr>
                <w:rFonts w:ascii="Arial" w:hAnsi="Arial"/>
                <w:i w:val="0"/>
                <w:color w:val="auto"/>
                <w:sz w:val="20"/>
              </w:rPr>
              <w:t>Acquisition during the year</w:t>
            </w:r>
          </w:p>
          <w:p w14:paraId="3A51A79D" w14:textId="77777777" w:rsidR="00333A4B" w:rsidRPr="00E70587" w:rsidRDefault="00333A4B" w:rsidP="00543062">
            <w:pPr>
              <w:pStyle w:val="IAStext"/>
              <w:spacing w:line="280" w:lineRule="exact"/>
              <w:jc w:val="both"/>
              <w:rPr>
                <w:rFonts w:ascii="Arial" w:hAnsi="Arial" w:cs="Arial"/>
                <w:i w:val="0"/>
                <w:sz w:val="20"/>
                <w:lang w:val="en-IN"/>
              </w:rPr>
            </w:pPr>
          </w:p>
          <w:p w14:paraId="699802E1" w14:textId="61771EE6" w:rsidR="00333A4B" w:rsidRPr="00E70587" w:rsidRDefault="00333A4B" w:rsidP="00543062">
            <w:pPr>
              <w:pStyle w:val="IAStext"/>
              <w:spacing w:line="280" w:lineRule="exact"/>
              <w:jc w:val="both"/>
              <w:rPr>
                <w:rFonts w:ascii="Arial" w:hAnsi="Arial" w:cs="Arial"/>
                <w:i w:val="0"/>
                <w:sz w:val="20"/>
                <w:lang w:val="en-IN"/>
              </w:rPr>
            </w:pPr>
            <w:r w:rsidRPr="00E70587">
              <w:rPr>
                <w:rFonts w:ascii="Arial" w:hAnsi="Arial" w:cs="Arial"/>
                <w:i w:val="0"/>
                <w:sz w:val="20"/>
                <w:lang w:val="en-IN"/>
              </w:rPr>
              <w:t>Patents and licences include intangible assets acquired through business combinations. The patents have been granted for a minimum of 10 years by the relevant government agency, while licences have been acquired with the option to renew at the end of the period at little or no cost to the Group. Previous licences acquired have been renewed and have allowed the Group to determine that these assets have indefinite useful lives. As at 31</w:t>
            </w:r>
            <w:r w:rsidR="005C37A0" w:rsidRPr="00E70587">
              <w:rPr>
                <w:rFonts w:ascii="Arial" w:hAnsi="Arial" w:cs="Arial"/>
                <w:i w:val="0"/>
                <w:sz w:val="20"/>
                <w:lang w:val="en-IN"/>
              </w:rPr>
              <w:t xml:space="preserve"> October </w:t>
            </w:r>
            <w:r w:rsidR="0059206C" w:rsidRPr="00E70587">
              <w:rPr>
                <w:rFonts w:ascii="Arial" w:hAnsi="Arial" w:cs="Arial"/>
                <w:i w:val="0"/>
                <w:sz w:val="20"/>
                <w:lang w:val="en-IN"/>
              </w:rPr>
              <w:t>20</w:t>
            </w:r>
            <w:r w:rsidR="0059206C">
              <w:rPr>
                <w:rFonts w:ascii="Arial" w:hAnsi="Arial" w:cs="Arial"/>
                <w:i w:val="0"/>
                <w:sz w:val="20"/>
                <w:lang w:val="en-IN"/>
              </w:rPr>
              <w:t>20</w:t>
            </w:r>
            <w:r w:rsidRPr="00E70587">
              <w:rPr>
                <w:rFonts w:ascii="Arial" w:hAnsi="Arial" w:cs="Arial"/>
                <w:i w:val="0"/>
                <w:sz w:val="20"/>
                <w:lang w:val="en-IN"/>
              </w:rPr>
              <w:t xml:space="preserve">, these assets were tested for impairment (Note </w:t>
            </w:r>
            <w:r w:rsidR="0067122D" w:rsidRPr="00E70587">
              <w:rPr>
                <w:rFonts w:ascii="Arial" w:hAnsi="Arial" w:cs="Arial"/>
                <w:i w:val="0"/>
                <w:sz w:val="20"/>
                <w:lang w:val="en-IN"/>
              </w:rPr>
              <w:t>6</w:t>
            </w:r>
            <w:r w:rsidRPr="00E70587">
              <w:rPr>
                <w:rFonts w:ascii="Arial" w:hAnsi="Arial" w:cs="Arial"/>
                <w:i w:val="0"/>
                <w:sz w:val="20"/>
                <w:lang w:val="en-IN"/>
              </w:rPr>
              <w:t>).</w:t>
            </w:r>
          </w:p>
          <w:p w14:paraId="07B37192" w14:textId="77777777" w:rsidR="00333A4B" w:rsidRPr="00E70587" w:rsidRDefault="00333A4B" w:rsidP="00543062">
            <w:pPr>
              <w:pStyle w:val="Notesbulletpoint"/>
              <w:numPr>
                <w:ilvl w:val="0"/>
                <w:numId w:val="0"/>
              </w:numPr>
              <w:spacing w:after="0" w:line="280" w:lineRule="exact"/>
              <w:jc w:val="both"/>
              <w:rPr>
                <w:rFonts w:ascii="Arial" w:hAnsi="Arial"/>
                <w:sz w:val="20"/>
              </w:rPr>
            </w:pPr>
          </w:p>
        </w:tc>
      </w:tr>
    </w:tbl>
    <w:p w14:paraId="6D46DEA4" w14:textId="77777777" w:rsidR="00333A4B" w:rsidRPr="00E70587" w:rsidRDefault="00333A4B" w:rsidP="00333A4B">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Impairment testing of goodwill and intangible assets with indefinite lives</w:t>
      </w:r>
    </w:p>
    <w:p w14:paraId="52D82C4B" w14:textId="77777777" w:rsidR="00333A4B" w:rsidRPr="00E70587" w:rsidRDefault="00333A4B" w:rsidP="00333A4B">
      <w:pPr>
        <w:pStyle w:val="Notesbodytext"/>
        <w:spacing w:after="0" w:line="280" w:lineRule="exact"/>
        <w:jc w:val="both"/>
        <w:rPr>
          <w:rFonts w:ascii="Arial" w:hAnsi="Arial"/>
          <w:color w:val="auto"/>
          <w:sz w:val="20"/>
        </w:rPr>
      </w:pPr>
    </w:p>
    <w:p w14:paraId="4A2816AE" w14:textId="77777777" w:rsidR="00333A4B" w:rsidRPr="00E70587" w:rsidRDefault="00333A4B" w:rsidP="00333A4B">
      <w:pPr>
        <w:pStyle w:val="Notesbodytext"/>
        <w:spacing w:after="0" w:line="280" w:lineRule="exact"/>
        <w:jc w:val="both"/>
        <w:rPr>
          <w:rFonts w:ascii="Arial" w:hAnsi="Arial"/>
          <w:color w:val="auto"/>
          <w:sz w:val="20"/>
        </w:rPr>
      </w:pPr>
      <w:r w:rsidRPr="00E70587">
        <w:rPr>
          <w:rFonts w:ascii="Arial" w:hAnsi="Arial"/>
          <w:color w:val="auto"/>
          <w:sz w:val="20"/>
        </w:rPr>
        <w:t>Goodwill acquired through business combinations and licences with indefinite lives has been allocated to the two CGUs below, which are also operating and reportable segments, for impairment testing:</w:t>
      </w:r>
    </w:p>
    <w:p w14:paraId="7EFAFE74" w14:textId="77777777" w:rsidR="00333A4B" w:rsidRPr="00E70587" w:rsidRDefault="00333A4B" w:rsidP="00333A4B">
      <w:pPr>
        <w:pStyle w:val="Notesbulletpoint"/>
        <w:spacing w:before="120" w:after="0" w:line="280" w:lineRule="exact"/>
        <w:ind w:left="720" w:hanging="720"/>
        <w:jc w:val="both"/>
        <w:rPr>
          <w:rFonts w:ascii="Arial" w:hAnsi="Arial"/>
          <w:color w:val="auto"/>
          <w:sz w:val="20"/>
        </w:rPr>
      </w:pPr>
      <w:r w:rsidRPr="00E70587">
        <w:rPr>
          <w:rFonts w:ascii="Arial" w:hAnsi="Arial"/>
          <w:color w:val="auto"/>
          <w:sz w:val="20"/>
        </w:rPr>
        <w:t>Electronics CGU</w:t>
      </w:r>
    </w:p>
    <w:p w14:paraId="7E00A1E5" w14:textId="77777777" w:rsidR="00333A4B" w:rsidRPr="00E70587" w:rsidRDefault="00333A4B" w:rsidP="00333A4B">
      <w:pPr>
        <w:pStyle w:val="Notesbulletpoint"/>
        <w:spacing w:before="120" w:after="0" w:line="280" w:lineRule="exact"/>
        <w:ind w:left="720" w:hanging="720"/>
        <w:jc w:val="both"/>
        <w:rPr>
          <w:rFonts w:ascii="Arial" w:hAnsi="Arial"/>
          <w:color w:val="auto"/>
          <w:sz w:val="20"/>
        </w:rPr>
      </w:pPr>
      <w:r w:rsidRPr="00E70587">
        <w:rPr>
          <w:rFonts w:ascii="Arial" w:hAnsi="Arial"/>
          <w:color w:val="auto"/>
          <w:sz w:val="20"/>
        </w:rPr>
        <w:t>Fire prevention equipment CGU</w:t>
      </w:r>
    </w:p>
    <w:p w14:paraId="794FD4D6" w14:textId="77777777" w:rsidR="00333A4B" w:rsidRPr="00E70587" w:rsidRDefault="00333A4B" w:rsidP="00333A4B">
      <w:pPr>
        <w:pStyle w:val="IAStext"/>
        <w:overflowPunct w:val="0"/>
        <w:autoSpaceDE w:val="0"/>
        <w:autoSpaceDN w:val="0"/>
        <w:adjustRightInd w:val="0"/>
        <w:spacing w:line="280" w:lineRule="exact"/>
        <w:jc w:val="both"/>
        <w:textAlignment w:val="baseline"/>
        <w:rPr>
          <w:rFonts w:ascii="Arial" w:hAnsi="Arial" w:cs="Arial"/>
          <w:i w:val="0"/>
          <w:sz w:val="20"/>
          <w:lang w:val="en-IN"/>
        </w:rPr>
      </w:pPr>
    </w:p>
    <w:p w14:paraId="06A4FF52" w14:textId="77777777" w:rsidR="00333A4B" w:rsidRPr="00E70587" w:rsidRDefault="00333A4B" w:rsidP="00333A4B">
      <w:pPr>
        <w:pStyle w:val="Notesbodytext"/>
        <w:spacing w:after="0" w:line="280" w:lineRule="exact"/>
        <w:rPr>
          <w:rFonts w:ascii="Arial" w:hAnsi="Arial"/>
          <w:color w:val="auto"/>
          <w:sz w:val="20"/>
        </w:rPr>
      </w:pPr>
      <w:r w:rsidRPr="00E70587">
        <w:rPr>
          <w:rFonts w:ascii="Arial" w:hAnsi="Arial"/>
          <w:color w:val="auto"/>
          <w:sz w:val="20"/>
        </w:rPr>
        <w:t>Carrying amount of goodwill and licences allocated to each of the CGUs:</w:t>
      </w:r>
    </w:p>
    <w:p w14:paraId="02E39DB9" w14:textId="77777777" w:rsidR="00333A4B" w:rsidRPr="00E70587" w:rsidRDefault="00333A4B" w:rsidP="00333A4B">
      <w:pPr>
        <w:pStyle w:val="Notesbodytext"/>
        <w:spacing w:after="0" w:line="280" w:lineRule="exact"/>
        <w:rPr>
          <w:rFonts w:ascii="Arial" w:hAnsi="Arial"/>
          <w:color w:val="auto"/>
          <w:sz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7"/>
        <w:gridCol w:w="1265"/>
        <w:gridCol w:w="1265"/>
        <w:gridCol w:w="1265"/>
        <w:gridCol w:w="1265"/>
        <w:gridCol w:w="1174"/>
        <w:gridCol w:w="1355"/>
      </w:tblGrid>
      <w:tr w:rsidR="00333A4B" w:rsidRPr="00E70587" w14:paraId="06DD5D94" w14:textId="77777777" w:rsidTr="00543062">
        <w:tc>
          <w:tcPr>
            <w:tcW w:w="1980" w:type="dxa"/>
          </w:tcPr>
          <w:p w14:paraId="712666C5" w14:textId="77777777" w:rsidR="00333A4B" w:rsidRPr="00E70587" w:rsidRDefault="00333A4B" w:rsidP="00543062">
            <w:pPr>
              <w:pStyle w:val="Notesbodytext"/>
              <w:spacing w:after="0" w:line="280" w:lineRule="exact"/>
              <w:rPr>
                <w:rFonts w:ascii="Arial" w:hAnsi="Arial"/>
                <w:b/>
                <w:bCs/>
                <w:color w:val="auto"/>
                <w:sz w:val="20"/>
              </w:rPr>
            </w:pPr>
          </w:p>
        </w:tc>
        <w:tc>
          <w:tcPr>
            <w:tcW w:w="2520" w:type="dxa"/>
            <w:gridSpan w:val="2"/>
            <w:vAlign w:val="center"/>
          </w:tcPr>
          <w:p w14:paraId="694185FB" w14:textId="77777777" w:rsidR="00333A4B" w:rsidRPr="00E70587" w:rsidRDefault="00333A4B" w:rsidP="00543062">
            <w:pPr>
              <w:spacing w:line="280" w:lineRule="exact"/>
              <w:jc w:val="center"/>
              <w:rPr>
                <w:rFonts w:ascii="Arial" w:hAnsi="Arial" w:cs="Arial"/>
                <w:b/>
                <w:sz w:val="20"/>
              </w:rPr>
            </w:pPr>
            <w:r w:rsidRPr="00E70587">
              <w:rPr>
                <w:rFonts w:ascii="Arial" w:hAnsi="Arial" w:cs="Arial"/>
                <w:b/>
                <w:sz w:val="20"/>
              </w:rPr>
              <w:t>Electronics unit</w:t>
            </w:r>
          </w:p>
        </w:tc>
        <w:tc>
          <w:tcPr>
            <w:tcW w:w="2520" w:type="dxa"/>
            <w:gridSpan w:val="2"/>
            <w:vAlign w:val="center"/>
          </w:tcPr>
          <w:p w14:paraId="11BDED0A" w14:textId="77777777" w:rsidR="00333A4B" w:rsidRPr="00E70587" w:rsidRDefault="00333A4B" w:rsidP="00543062">
            <w:pPr>
              <w:spacing w:line="280" w:lineRule="exact"/>
              <w:jc w:val="center"/>
              <w:rPr>
                <w:rFonts w:ascii="Arial" w:hAnsi="Arial" w:cs="Arial"/>
                <w:b/>
                <w:sz w:val="20"/>
              </w:rPr>
            </w:pPr>
            <w:r w:rsidRPr="00E70587">
              <w:rPr>
                <w:rFonts w:ascii="Arial" w:hAnsi="Arial" w:cs="Arial"/>
                <w:b/>
                <w:sz w:val="20"/>
              </w:rPr>
              <w:t>Fire prevention equipment unit</w:t>
            </w:r>
          </w:p>
        </w:tc>
        <w:tc>
          <w:tcPr>
            <w:tcW w:w="2520" w:type="dxa"/>
            <w:gridSpan w:val="2"/>
            <w:vAlign w:val="center"/>
          </w:tcPr>
          <w:p w14:paraId="3E3B5FF7" w14:textId="77777777" w:rsidR="00333A4B" w:rsidRPr="00E70587" w:rsidRDefault="00333A4B" w:rsidP="00543062">
            <w:pPr>
              <w:spacing w:line="280" w:lineRule="exact"/>
              <w:jc w:val="center"/>
              <w:rPr>
                <w:rFonts w:ascii="Arial" w:hAnsi="Arial" w:cs="Arial"/>
                <w:b/>
                <w:sz w:val="20"/>
              </w:rPr>
            </w:pPr>
            <w:r w:rsidRPr="00E70587">
              <w:rPr>
                <w:rFonts w:ascii="Arial" w:hAnsi="Arial" w:cs="Arial"/>
                <w:b/>
                <w:sz w:val="20"/>
              </w:rPr>
              <w:t>Total</w:t>
            </w:r>
          </w:p>
        </w:tc>
      </w:tr>
      <w:tr w:rsidR="00333A4B" w:rsidRPr="00E70587" w14:paraId="43640B3E" w14:textId="77777777" w:rsidTr="00543062">
        <w:tc>
          <w:tcPr>
            <w:tcW w:w="1980" w:type="dxa"/>
            <w:vAlign w:val="bottom"/>
          </w:tcPr>
          <w:p w14:paraId="755B97E2" w14:textId="77777777" w:rsidR="00333A4B" w:rsidRPr="00E70587" w:rsidRDefault="00333A4B" w:rsidP="00543062">
            <w:pPr>
              <w:spacing w:line="280" w:lineRule="exact"/>
              <w:jc w:val="right"/>
              <w:rPr>
                <w:rFonts w:ascii="Arial" w:hAnsi="Arial" w:cs="Arial"/>
                <w:b/>
                <w:sz w:val="20"/>
              </w:rPr>
            </w:pPr>
          </w:p>
        </w:tc>
        <w:tc>
          <w:tcPr>
            <w:tcW w:w="1260" w:type="dxa"/>
            <w:tcBorders>
              <w:bottom w:val="single" w:sz="4" w:space="0" w:color="auto"/>
            </w:tcBorders>
            <w:vAlign w:val="center"/>
          </w:tcPr>
          <w:p w14:paraId="55DE9DE1" w14:textId="31E94A0D" w:rsidR="00333A4B" w:rsidRPr="00E70587" w:rsidRDefault="00333A4B" w:rsidP="00543062">
            <w:pPr>
              <w:spacing w:line="280" w:lineRule="exact"/>
              <w:jc w:val="right"/>
              <w:rPr>
                <w:rFonts w:ascii="Arial" w:hAnsi="Arial" w:cs="Arial"/>
                <w:b/>
                <w:sz w:val="20"/>
              </w:rPr>
            </w:pPr>
            <w:r w:rsidRPr="00E70587">
              <w:rPr>
                <w:rFonts w:ascii="Arial" w:hAnsi="Arial" w:cs="Arial"/>
                <w:b/>
                <w:sz w:val="20"/>
              </w:rPr>
              <w:t xml:space="preserve">31 </w:t>
            </w:r>
            <w:r w:rsidR="00E1202D" w:rsidRPr="00E70587">
              <w:rPr>
                <w:rFonts w:ascii="Arial" w:hAnsi="Arial" w:cs="Arial"/>
                <w:b/>
                <w:sz w:val="20"/>
              </w:rPr>
              <w:t xml:space="preserve">March </w:t>
            </w:r>
            <w:r w:rsidR="002C293D" w:rsidRPr="00E70587">
              <w:rPr>
                <w:rFonts w:ascii="Arial" w:hAnsi="Arial" w:cs="Arial"/>
                <w:b/>
                <w:sz w:val="20"/>
              </w:rPr>
              <w:t>20</w:t>
            </w:r>
            <w:r w:rsidR="002C293D">
              <w:rPr>
                <w:rFonts w:ascii="Arial" w:hAnsi="Arial" w:cs="Arial"/>
                <w:b/>
                <w:sz w:val="20"/>
              </w:rPr>
              <w:t>21</w:t>
            </w:r>
          </w:p>
        </w:tc>
        <w:tc>
          <w:tcPr>
            <w:tcW w:w="1260" w:type="dxa"/>
            <w:tcBorders>
              <w:bottom w:val="single" w:sz="4" w:space="0" w:color="auto"/>
            </w:tcBorders>
          </w:tcPr>
          <w:p w14:paraId="585BA66A" w14:textId="5DCAAF29" w:rsidR="00333A4B" w:rsidRPr="00E70587" w:rsidRDefault="00333A4B" w:rsidP="00543062">
            <w:pPr>
              <w:spacing w:line="280" w:lineRule="exact"/>
              <w:jc w:val="right"/>
              <w:rPr>
                <w:rFonts w:ascii="Arial" w:hAnsi="Arial" w:cs="Arial"/>
                <w:b/>
                <w:sz w:val="20"/>
              </w:rPr>
            </w:pPr>
            <w:r w:rsidRPr="00E70587">
              <w:rPr>
                <w:rFonts w:ascii="Arial" w:hAnsi="Arial" w:cs="Arial"/>
                <w:b/>
                <w:sz w:val="20"/>
              </w:rPr>
              <w:t xml:space="preserve">31 </w:t>
            </w:r>
            <w:r w:rsidR="008B730E" w:rsidRPr="00E70587">
              <w:rPr>
                <w:rFonts w:ascii="Arial" w:hAnsi="Arial" w:cs="Arial"/>
                <w:b/>
                <w:sz w:val="20"/>
              </w:rPr>
              <w:t xml:space="preserve">March </w:t>
            </w:r>
            <w:r w:rsidR="002C293D" w:rsidRPr="00E70587">
              <w:rPr>
                <w:rFonts w:ascii="Arial" w:hAnsi="Arial" w:cs="Arial"/>
                <w:b/>
                <w:sz w:val="20"/>
              </w:rPr>
              <w:t>20</w:t>
            </w:r>
            <w:r w:rsidR="002C293D">
              <w:rPr>
                <w:rFonts w:ascii="Arial" w:hAnsi="Arial" w:cs="Arial"/>
                <w:b/>
                <w:sz w:val="20"/>
              </w:rPr>
              <w:t>20</w:t>
            </w:r>
          </w:p>
        </w:tc>
        <w:tc>
          <w:tcPr>
            <w:tcW w:w="1260" w:type="dxa"/>
            <w:tcBorders>
              <w:bottom w:val="single" w:sz="4" w:space="0" w:color="auto"/>
            </w:tcBorders>
          </w:tcPr>
          <w:p w14:paraId="4F0C1D01" w14:textId="43AE9AF3" w:rsidR="00333A4B" w:rsidRPr="00E70587" w:rsidRDefault="00333A4B" w:rsidP="00543062">
            <w:pPr>
              <w:spacing w:line="280" w:lineRule="exact"/>
              <w:jc w:val="right"/>
              <w:rPr>
                <w:rFonts w:ascii="Arial" w:hAnsi="Arial" w:cs="Arial"/>
                <w:b/>
                <w:sz w:val="20"/>
              </w:rPr>
            </w:pPr>
            <w:r w:rsidRPr="00E70587">
              <w:rPr>
                <w:rFonts w:ascii="Arial" w:hAnsi="Arial" w:cs="Arial"/>
                <w:b/>
                <w:sz w:val="20"/>
              </w:rPr>
              <w:t xml:space="preserve">31 </w:t>
            </w:r>
            <w:r w:rsidR="00E1202D" w:rsidRPr="00E70587">
              <w:rPr>
                <w:rFonts w:ascii="Arial" w:hAnsi="Arial" w:cs="Arial"/>
                <w:b/>
                <w:sz w:val="20"/>
              </w:rPr>
              <w:t xml:space="preserve">March </w:t>
            </w:r>
            <w:r w:rsidR="002C293D" w:rsidRPr="00E70587">
              <w:rPr>
                <w:rFonts w:ascii="Arial" w:hAnsi="Arial" w:cs="Arial"/>
                <w:b/>
                <w:sz w:val="20"/>
              </w:rPr>
              <w:t>20</w:t>
            </w:r>
            <w:r w:rsidR="002C293D">
              <w:rPr>
                <w:rFonts w:ascii="Arial" w:hAnsi="Arial" w:cs="Arial"/>
                <w:b/>
                <w:sz w:val="20"/>
              </w:rPr>
              <w:t>21</w:t>
            </w:r>
          </w:p>
        </w:tc>
        <w:tc>
          <w:tcPr>
            <w:tcW w:w="1260" w:type="dxa"/>
            <w:tcBorders>
              <w:bottom w:val="single" w:sz="4" w:space="0" w:color="auto"/>
            </w:tcBorders>
          </w:tcPr>
          <w:p w14:paraId="1EC189CE" w14:textId="1C7B3B10" w:rsidR="00333A4B" w:rsidRPr="00E70587" w:rsidRDefault="00333A4B" w:rsidP="00543062">
            <w:pPr>
              <w:spacing w:line="280" w:lineRule="exact"/>
              <w:jc w:val="right"/>
              <w:rPr>
                <w:rFonts w:ascii="Arial" w:hAnsi="Arial" w:cs="Arial"/>
                <w:b/>
                <w:sz w:val="20"/>
              </w:rPr>
            </w:pPr>
            <w:r w:rsidRPr="00E70587">
              <w:rPr>
                <w:rFonts w:ascii="Arial" w:hAnsi="Arial" w:cs="Arial"/>
                <w:b/>
                <w:sz w:val="20"/>
              </w:rPr>
              <w:t xml:space="preserve">31 </w:t>
            </w:r>
            <w:r w:rsidR="008B730E" w:rsidRPr="00E70587">
              <w:rPr>
                <w:rFonts w:ascii="Arial" w:hAnsi="Arial" w:cs="Arial"/>
                <w:b/>
                <w:sz w:val="20"/>
              </w:rPr>
              <w:t xml:space="preserve">March </w:t>
            </w:r>
            <w:r w:rsidR="002C293D" w:rsidRPr="00E70587">
              <w:rPr>
                <w:rFonts w:ascii="Arial" w:hAnsi="Arial" w:cs="Arial"/>
                <w:b/>
                <w:sz w:val="20"/>
              </w:rPr>
              <w:t>20</w:t>
            </w:r>
            <w:r w:rsidR="002C293D">
              <w:rPr>
                <w:rFonts w:ascii="Arial" w:hAnsi="Arial" w:cs="Arial"/>
                <w:b/>
                <w:sz w:val="20"/>
              </w:rPr>
              <w:t>20</w:t>
            </w:r>
          </w:p>
        </w:tc>
        <w:tc>
          <w:tcPr>
            <w:tcW w:w="1170" w:type="dxa"/>
            <w:tcBorders>
              <w:bottom w:val="single" w:sz="4" w:space="0" w:color="auto"/>
            </w:tcBorders>
          </w:tcPr>
          <w:p w14:paraId="01D06088" w14:textId="3E95A609" w:rsidR="00333A4B" w:rsidRPr="00E70587" w:rsidRDefault="00333A4B" w:rsidP="00543062">
            <w:pPr>
              <w:spacing w:line="280" w:lineRule="exact"/>
              <w:jc w:val="right"/>
              <w:rPr>
                <w:rFonts w:ascii="Arial" w:hAnsi="Arial" w:cs="Arial"/>
                <w:b/>
                <w:sz w:val="20"/>
              </w:rPr>
            </w:pPr>
            <w:r w:rsidRPr="00E70587">
              <w:rPr>
                <w:rFonts w:ascii="Arial" w:hAnsi="Arial" w:cs="Arial"/>
                <w:b/>
                <w:sz w:val="20"/>
              </w:rPr>
              <w:t xml:space="preserve">31 </w:t>
            </w:r>
            <w:r w:rsidR="00E1202D" w:rsidRPr="00E70587">
              <w:rPr>
                <w:rFonts w:ascii="Arial" w:hAnsi="Arial" w:cs="Arial"/>
                <w:b/>
                <w:sz w:val="20"/>
              </w:rPr>
              <w:t xml:space="preserve">March </w:t>
            </w:r>
            <w:r w:rsidR="002C293D" w:rsidRPr="00E70587">
              <w:rPr>
                <w:rFonts w:ascii="Arial" w:hAnsi="Arial" w:cs="Arial"/>
                <w:b/>
                <w:sz w:val="20"/>
              </w:rPr>
              <w:t>20</w:t>
            </w:r>
            <w:r w:rsidR="002C293D">
              <w:rPr>
                <w:rFonts w:ascii="Arial" w:hAnsi="Arial" w:cs="Arial"/>
                <w:b/>
                <w:sz w:val="20"/>
              </w:rPr>
              <w:t>21</w:t>
            </w:r>
          </w:p>
        </w:tc>
        <w:tc>
          <w:tcPr>
            <w:tcW w:w="1350" w:type="dxa"/>
            <w:tcBorders>
              <w:bottom w:val="single" w:sz="4" w:space="0" w:color="auto"/>
            </w:tcBorders>
          </w:tcPr>
          <w:p w14:paraId="3213F9D4" w14:textId="0E0F7D37" w:rsidR="00333A4B" w:rsidRPr="00E70587" w:rsidRDefault="00333A4B" w:rsidP="00543062">
            <w:pPr>
              <w:spacing w:line="280" w:lineRule="exact"/>
              <w:jc w:val="right"/>
              <w:rPr>
                <w:rFonts w:ascii="Arial" w:hAnsi="Arial" w:cs="Arial"/>
                <w:b/>
                <w:sz w:val="20"/>
              </w:rPr>
            </w:pPr>
            <w:r w:rsidRPr="00E70587">
              <w:rPr>
                <w:rFonts w:ascii="Arial" w:hAnsi="Arial" w:cs="Arial"/>
                <w:b/>
                <w:sz w:val="20"/>
              </w:rPr>
              <w:t xml:space="preserve">31 </w:t>
            </w:r>
            <w:r w:rsidR="008B730E" w:rsidRPr="00E70587">
              <w:rPr>
                <w:rFonts w:ascii="Arial" w:hAnsi="Arial" w:cs="Arial"/>
                <w:b/>
                <w:sz w:val="20"/>
              </w:rPr>
              <w:t xml:space="preserve">March </w:t>
            </w:r>
            <w:r w:rsidR="002C293D" w:rsidRPr="00E70587">
              <w:rPr>
                <w:rFonts w:ascii="Arial" w:hAnsi="Arial" w:cs="Arial"/>
                <w:b/>
                <w:sz w:val="20"/>
              </w:rPr>
              <w:t>20</w:t>
            </w:r>
            <w:r w:rsidR="002C293D">
              <w:rPr>
                <w:rFonts w:ascii="Arial" w:hAnsi="Arial" w:cs="Arial"/>
                <w:b/>
                <w:sz w:val="20"/>
              </w:rPr>
              <w:t>20</w:t>
            </w:r>
          </w:p>
        </w:tc>
      </w:tr>
      <w:tr w:rsidR="00333A4B" w:rsidRPr="00E70587" w14:paraId="075670C8" w14:textId="77777777" w:rsidTr="00543062">
        <w:tc>
          <w:tcPr>
            <w:tcW w:w="1980" w:type="dxa"/>
            <w:vAlign w:val="bottom"/>
          </w:tcPr>
          <w:p w14:paraId="7010101A" w14:textId="77777777" w:rsidR="00333A4B" w:rsidRPr="00E70587" w:rsidRDefault="00333A4B" w:rsidP="00543062">
            <w:pPr>
              <w:spacing w:line="280" w:lineRule="exact"/>
              <w:jc w:val="right"/>
              <w:rPr>
                <w:rFonts w:ascii="Arial" w:hAnsi="Arial" w:cs="Arial"/>
                <w:b/>
                <w:sz w:val="20"/>
              </w:rPr>
            </w:pPr>
          </w:p>
        </w:tc>
        <w:tc>
          <w:tcPr>
            <w:tcW w:w="1260" w:type="dxa"/>
            <w:tcBorders>
              <w:top w:val="single" w:sz="4" w:space="0" w:color="auto"/>
            </w:tcBorders>
            <w:vAlign w:val="center"/>
          </w:tcPr>
          <w:p w14:paraId="3346B9B2" w14:textId="77777777" w:rsidR="00333A4B" w:rsidRPr="00E70587" w:rsidRDefault="00333A4B" w:rsidP="00543062">
            <w:pPr>
              <w:spacing w:line="280" w:lineRule="exact"/>
              <w:jc w:val="right"/>
              <w:rPr>
                <w:rFonts w:ascii="Arial" w:hAnsi="Arial" w:cs="Arial"/>
                <w:b/>
                <w:sz w:val="20"/>
              </w:rPr>
            </w:pPr>
            <w:r w:rsidRPr="00E70587">
              <w:rPr>
                <w:rFonts w:ascii="Arial" w:hAnsi="Arial" w:cs="Arial"/>
                <w:b/>
                <w:sz w:val="20"/>
              </w:rPr>
              <w:t>INR Lacs</w:t>
            </w:r>
          </w:p>
        </w:tc>
        <w:tc>
          <w:tcPr>
            <w:tcW w:w="1260" w:type="dxa"/>
            <w:tcBorders>
              <w:top w:val="single" w:sz="4" w:space="0" w:color="auto"/>
            </w:tcBorders>
            <w:vAlign w:val="center"/>
          </w:tcPr>
          <w:p w14:paraId="3B4EAC12" w14:textId="77777777" w:rsidR="00333A4B" w:rsidRPr="00E70587" w:rsidRDefault="00333A4B" w:rsidP="00543062">
            <w:pPr>
              <w:spacing w:line="280" w:lineRule="exact"/>
              <w:jc w:val="right"/>
              <w:rPr>
                <w:rFonts w:ascii="Arial" w:hAnsi="Arial" w:cs="Arial"/>
                <w:b/>
                <w:sz w:val="20"/>
              </w:rPr>
            </w:pPr>
            <w:r w:rsidRPr="00E70587">
              <w:rPr>
                <w:rFonts w:ascii="Arial" w:hAnsi="Arial" w:cs="Arial"/>
                <w:b/>
                <w:sz w:val="20"/>
              </w:rPr>
              <w:t>INR Lacs</w:t>
            </w:r>
          </w:p>
        </w:tc>
        <w:tc>
          <w:tcPr>
            <w:tcW w:w="1260" w:type="dxa"/>
            <w:tcBorders>
              <w:top w:val="single" w:sz="4" w:space="0" w:color="auto"/>
            </w:tcBorders>
            <w:vAlign w:val="center"/>
          </w:tcPr>
          <w:p w14:paraId="542BF02D" w14:textId="77777777" w:rsidR="00333A4B" w:rsidRPr="00E70587" w:rsidRDefault="00333A4B" w:rsidP="00543062">
            <w:pPr>
              <w:spacing w:line="280" w:lineRule="exact"/>
              <w:jc w:val="right"/>
              <w:rPr>
                <w:rFonts w:ascii="Arial" w:hAnsi="Arial" w:cs="Arial"/>
                <w:b/>
                <w:sz w:val="20"/>
              </w:rPr>
            </w:pPr>
            <w:r w:rsidRPr="00E70587">
              <w:rPr>
                <w:rFonts w:ascii="Arial" w:hAnsi="Arial" w:cs="Arial"/>
                <w:b/>
                <w:sz w:val="20"/>
              </w:rPr>
              <w:t>INR Lacs</w:t>
            </w:r>
          </w:p>
        </w:tc>
        <w:tc>
          <w:tcPr>
            <w:tcW w:w="1260" w:type="dxa"/>
            <w:tcBorders>
              <w:top w:val="single" w:sz="4" w:space="0" w:color="auto"/>
            </w:tcBorders>
            <w:vAlign w:val="center"/>
          </w:tcPr>
          <w:p w14:paraId="34A9CCAF" w14:textId="77777777" w:rsidR="00333A4B" w:rsidRPr="00E70587" w:rsidRDefault="00333A4B" w:rsidP="00543062">
            <w:pPr>
              <w:spacing w:line="280" w:lineRule="exact"/>
              <w:jc w:val="right"/>
              <w:rPr>
                <w:rFonts w:ascii="Arial" w:hAnsi="Arial" w:cs="Arial"/>
                <w:b/>
                <w:sz w:val="20"/>
              </w:rPr>
            </w:pPr>
            <w:r w:rsidRPr="00E70587">
              <w:rPr>
                <w:rFonts w:ascii="Arial" w:hAnsi="Arial" w:cs="Arial"/>
                <w:b/>
                <w:sz w:val="20"/>
              </w:rPr>
              <w:t>INR Lacs</w:t>
            </w:r>
          </w:p>
        </w:tc>
        <w:tc>
          <w:tcPr>
            <w:tcW w:w="1170" w:type="dxa"/>
            <w:tcBorders>
              <w:top w:val="single" w:sz="4" w:space="0" w:color="auto"/>
            </w:tcBorders>
            <w:vAlign w:val="center"/>
          </w:tcPr>
          <w:p w14:paraId="711E2359" w14:textId="77777777" w:rsidR="00333A4B" w:rsidRPr="00E70587" w:rsidRDefault="00333A4B" w:rsidP="00543062">
            <w:pPr>
              <w:spacing w:line="280" w:lineRule="exact"/>
              <w:jc w:val="right"/>
              <w:rPr>
                <w:rFonts w:ascii="Arial" w:hAnsi="Arial" w:cs="Arial"/>
                <w:b/>
                <w:sz w:val="20"/>
              </w:rPr>
            </w:pPr>
            <w:r w:rsidRPr="00E70587">
              <w:rPr>
                <w:rFonts w:ascii="Arial" w:hAnsi="Arial" w:cs="Arial"/>
                <w:b/>
                <w:sz w:val="20"/>
              </w:rPr>
              <w:t>INR Lacs</w:t>
            </w:r>
          </w:p>
        </w:tc>
        <w:tc>
          <w:tcPr>
            <w:tcW w:w="1350" w:type="dxa"/>
            <w:tcBorders>
              <w:top w:val="single" w:sz="4" w:space="0" w:color="auto"/>
            </w:tcBorders>
            <w:vAlign w:val="center"/>
          </w:tcPr>
          <w:p w14:paraId="2C3EFC01" w14:textId="77777777" w:rsidR="00333A4B" w:rsidRPr="00E70587" w:rsidRDefault="00333A4B" w:rsidP="00543062">
            <w:pPr>
              <w:spacing w:line="280" w:lineRule="exact"/>
              <w:jc w:val="right"/>
              <w:rPr>
                <w:rFonts w:ascii="Arial" w:hAnsi="Arial" w:cs="Arial"/>
                <w:b/>
                <w:sz w:val="20"/>
              </w:rPr>
            </w:pPr>
            <w:r w:rsidRPr="00E70587">
              <w:rPr>
                <w:rFonts w:ascii="Arial" w:hAnsi="Arial" w:cs="Arial"/>
                <w:b/>
                <w:sz w:val="20"/>
              </w:rPr>
              <w:t>INR Lacs</w:t>
            </w:r>
          </w:p>
        </w:tc>
      </w:tr>
      <w:tr w:rsidR="00333A4B" w:rsidRPr="00E70587" w14:paraId="30D6C9A5" w14:textId="77777777" w:rsidTr="00543062">
        <w:tc>
          <w:tcPr>
            <w:tcW w:w="1980" w:type="dxa"/>
            <w:vAlign w:val="center"/>
          </w:tcPr>
          <w:p w14:paraId="1A3167E6" w14:textId="77777777" w:rsidR="00333A4B" w:rsidRPr="00E70587" w:rsidRDefault="00333A4B" w:rsidP="00543062">
            <w:pPr>
              <w:spacing w:line="280" w:lineRule="exact"/>
              <w:rPr>
                <w:rFonts w:ascii="Arial" w:hAnsi="Arial" w:cs="Arial"/>
                <w:sz w:val="20"/>
              </w:rPr>
            </w:pPr>
            <w:r w:rsidRPr="00E70587">
              <w:rPr>
                <w:rFonts w:ascii="Arial" w:hAnsi="Arial" w:cs="Arial"/>
                <w:sz w:val="20"/>
              </w:rPr>
              <w:lastRenderedPageBreak/>
              <w:t>Goodwill</w:t>
            </w:r>
          </w:p>
        </w:tc>
        <w:tc>
          <w:tcPr>
            <w:tcW w:w="1260" w:type="dxa"/>
            <w:vAlign w:val="center"/>
          </w:tcPr>
          <w:p w14:paraId="746BA1B7" w14:textId="77777777" w:rsidR="00333A4B" w:rsidRPr="00E70587" w:rsidRDefault="00333A4B" w:rsidP="00543062">
            <w:pPr>
              <w:spacing w:line="280" w:lineRule="exact"/>
              <w:jc w:val="right"/>
              <w:rPr>
                <w:rFonts w:ascii="Arial" w:hAnsi="Arial" w:cs="Arial"/>
                <w:sz w:val="20"/>
              </w:rPr>
            </w:pPr>
            <w:r w:rsidRPr="00E70587">
              <w:rPr>
                <w:rFonts w:ascii="Arial" w:hAnsi="Arial" w:cs="Arial"/>
                <w:sz w:val="20"/>
              </w:rPr>
              <w:t>90</w:t>
            </w:r>
          </w:p>
        </w:tc>
        <w:tc>
          <w:tcPr>
            <w:tcW w:w="1260" w:type="dxa"/>
            <w:vAlign w:val="center"/>
          </w:tcPr>
          <w:p w14:paraId="6027EE67" w14:textId="77777777" w:rsidR="00333A4B" w:rsidRPr="00E70587" w:rsidRDefault="00333A4B" w:rsidP="00543062">
            <w:pPr>
              <w:spacing w:line="280" w:lineRule="exact"/>
              <w:jc w:val="right"/>
              <w:rPr>
                <w:rFonts w:ascii="Arial" w:hAnsi="Arial" w:cs="Arial"/>
                <w:sz w:val="20"/>
              </w:rPr>
            </w:pPr>
            <w:r w:rsidRPr="00E70587">
              <w:rPr>
                <w:rFonts w:ascii="Arial" w:hAnsi="Arial" w:cs="Arial"/>
                <w:sz w:val="20"/>
              </w:rPr>
              <w:t>450</w:t>
            </w:r>
          </w:p>
        </w:tc>
        <w:tc>
          <w:tcPr>
            <w:tcW w:w="1260" w:type="dxa"/>
            <w:vAlign w:val="center"/>
          </w:tcPr>
          <w:p w14:paraId="76F1C83F" w14:textId="77777777" w:rsidR="00333A4B" w:rsidRPr="00E70587" w:rsidRDefault="00333A4B" w:rsidP="00543062">
            <w:pPr>
              <w:spacing w:line="280" w:lineRule="exact"/>
              <w:jc w:val="right"/>
              <w:rPr>
                <w:rFonts w:ascii="Arial" w:hAnsi="Arial" w:cs="Arial"/>
                <w:sz w:val="20"/>
              </w:rPr>
            </w:pPr>
            <w:r w:rsidRPr="00E70587">
              <w:rPr>
                <w:rFonts w:ascii="Arial" w:hAnsi="Arial" w:cs="Arial"/>
                <w:sz w:val="20"/>
              </w:rPr>
              <w:t>4,016</w:t>
            </w:r>
          </w:p>
        </w:tc>
        <w:tc>
          <w:tcPr>
            <w:tcW w:w="1260" w:type="dxa"/>
            <w:vAlign w:val="center"/>
          </w:tcPr>
          <w:p w14:paraId="349C0921" w14:textId="77777777" w:rsidR="00333A4B" w:rsidRPr="00E70587" w:rsidRDefault="00333A4B" w:rsidP="00543062">
            <w:pPr>
              <w:spacing w:line="280" w:lineRule="exact"/>
              <w:jc w:val="right"/>
              <w:rPr>
                <w:rFonts w:ascii="Arial" w:hAnsi="Arial" w:cs="Arial"/>
                <w:sz w:val="20"/>
              </w:rPr>
            </w:pPr>
            <w:r w:rsidRPr="00E70587">
              <w:rPr>
                <w:rFonts w:ascii="Arial" w:hAnsi="Arial" w:cs="Arial"/>
                <w:sz w:val="20"/>
              </w:rPr>
              <w:t>-</w:t>
            </w:r>
          </w:p>
        </w:tc>
        <w:tc>
          <w:tcPr>
            <w:tcW w:w="1170" w:type="dxa"/>
            <w:vAlign w:val="center"/>
          </w:tcPr>
          <w:p w14:paraId="611714B9" w14:textId="77777777" w:rsidR="00333A4B" w:rsidRPr="00E70587" w:rsidRDefault="00333A4B" w:rsidP="00543062">
            <w:pPr>
              <w:spacing w:line="280" w:lineRule="exact"/>
              <w:jc w:val="right"/>
              <w:rPr>
                <w:rFonts w:ascii="Arial" w:hAnsi="Arial" w:cs="Arial"/>
                <w:sz w:val="20"/>
              </w:rPr>
            </w:pPr>
            <w:r w:rsidRPr="00E70587">
              <w:rPr>
                <w:rFonts w:ascii="Arial" w:hAnsi="Arial" w:cs="Arial"/>
                <w:sz w:val="20"/>
              </w:rPr>
              <w:t>4,106</w:t>
            </w:r>
          </w:p>
        </w:tc>
        <w:tc>
          <w:tcPr>
            <w:tcW w:w="1350" w:type="dxa"/>
            <w:vAlign w:val="center"/>
          </w:tcPr>
          <w:p w14:paraId="4D82DFF6" w14:textId="77777777" w:rsidR="00333A4B" w:rsidRPr="00E70587" w:rsidRDefault="00333A4B" w:rsidP="00543062">
            <w:pPr>
              <w:spacing w:line="280" w:lineRule="exact"/>
              <w:jc w:val="right"/>
              <w:rPr>
                <w:rFonts w:ascii="Arial" w:hAnsi="Arial" w:cs="Arial"/>
                <w:sz w:val="20"/>
              </w:rPr>
            </w:pPr>
            <w:r w:rsidRPr="00E70587">
              <w:rPr>
                <w:rFonts w:ascii="Arial" w:hAnsi="Arial" w:cs="Arial"/>
                <w:sz w:val="20"/>
              </w:rPr>
              <w:t>450</w:t>
            </w:r>
          </w:p>
        </w:tc>
      </w:tr>
      <w:tr w:rsidR="00333A4B" w:rsidRPr="00E70587" w14:paraId="14608243" w14:textId="77777777" w:rsidTr="00543062">
        <w:tc>
          <w:tcPr>
            <w:tcW w:w="1980" w:type="dxa"/>
            <w:vAlign w:val="center"/>
          </w:tcPr>
          <w:p w14:paraId="3B027A49" w14:textId="77777777" w:rsidR="00333A4B" w:rsidRPr="00E70587" w:rsidRDefault="00333A4B" w:rsidP="00543062">
            <w:pPr>
              <w:spacing w:line="280" w:lineRule="exact"/>
              <w:rPr>
                <w:rFonts w:ascii="Arial" w:hAnsi="Arial" w:cs="Arial"/>
                <w:sz w:val="20"/>
              </w:rPr>
            </w:pPr>
            <w:r w:rsidRPr="00E70587">
              <w:rPr>
                <w:rFonts w:ascii="Arial" w:hAnsi="Arial" w:cs="Arial"/>
                <w:sz w:val="20"/>
              </w:rPr>
              <w:t>Licences with indefinite useful lives</w:t>
            </w:r>
          </w:p>
        </w:tc>
        <w:tc>
          <w:tcPr>
            <w:tcW w:w="1260" w:type="dxa"/>
            <w:vAlign w:val="center"/>
          </w:tcPr>
          <w:p w14:paraId="691A16F6" w14:textId="77777777" w:rsidR="00333A4B" w:rsidRPr="00E70587" w:rsidRDefault="00333A4B" w:rsidP="00543062">
            <w:pPr>
              <w:spacing w:line="280" w:lineRule="exact"/>
              <w:jc w:val="right"/>
              <w:rPr>
                <w:rFonts w:ascii="Arial" w:hAnsi="Arial" w:cs="Arial"/>
                <w:sz w:val="20"/>
              </w:rPr>
            </w:pPr>
            <w:r w:rsidRPr="00E70587">
              <w:rPr>
                <w:rFonts w:ascii="Arial" w:hAnsi="Arial" w:cs="Arial"/>
                <w:sz w:val="20"/>
              </w:rPr>
              <w:t>648</w:t>
            </w:r>
          </w:p>
        </w:tc>
        <w:tc>
          <w:tcPr>
            <w:tcW w:w="1260" w:type="dxa"/>
            <w:vAlign w:val="center"/>
          </w:tcPr>
          <w:p w14:paraId="28EFD068" w14:textId="77777777" w:rsidR="00333A4B" w:rsidRPr="00E70587" w:rsidRDefault="00333A4B" w:rsidP="00543062">
            <w:pPr>
              <w:spacing w:line="280" w:lineRule="exact"/>
              <w:jc w:val="right"/>
              <w:rPr>
                <w:rFonts w:ascii="Arial" w:hAnsi="Arial" w:cs="Arial"/>
                <w:sz w:val="20"/>
              </w:rPr>
            </w:pPr>
            <w:r w:rsidRPr="00E70587">
              <w:rPr>
                <w:rFonts w:ascii="Arial" w:hAnsi="Arial" w:cs="Arial"/>
                <w:sz w:val="20"/>
              </w:rPr>
              <w:t>-</w:t>
            </w:r>
          </w:p>
        </w:tc>
        <w:tc>
          <w:tcPr>
            <w:tcW w:w="1260" w:type="dxa"/>
            <w:vAlign w:val="center"/>
          </w:tcPr>
          <w:p w14:paraId="131AF4FC" w14:textId="77777777" w:rsidR="00333A4B" w:rsidRPr="00E70587" w:rsidRDefault="00333A4B" w:rsidP="00543062">
            <w:pPr>
              <w:spacing w:line="280" w:lineRule="exact"/>
              <w:jc w:val="right"/>
              <w:rPr>
                <w:rFonts w:ascii="Arial" w:hAnsi="Arial" w:cs="Arial"/>
                <w:sz w:val="20"/>
              </w:rPr>
            </w:pPr>
            <w:r w:rsidRPr="00E70587">
              <w:rPr>
                <w:rFonts w:ascii="Arial" w:hAnsi="Arial" w:cs="Arial"/>
                <w:sz w:val="20"/>
              </w:rPr>
              <w:t>1,890</w:t>
            </w:r>
          </w:p>
        </w:tc>
        <w:tc>
          <w:tcPr>
            <w:tcW w:w="1260" w:type="dxa"/>
            <w:vAlign w:val="center"/>
          </w:tcPr>
          <w:p w14:paraId="0C351ACD" w14:textId="77777777" w:rsidR="00333A4B" w:rsidRPr="00E70587" w:rsidRDefault="00333A4B" w:rsidP="00543062">
            <w:pPr>
              <w:spacing w:line="280" w:lineRule="exact"/>
              <w:jc w:val="right"/>
              <w:rPr>
                <w:rFonts w:ascii="Arial" w:hAnsi="Arial" w:cs="Arial"/>
                <w:sz w:val="20"/>
              </w:rPr>
            </w:pPr>
            <w:r w:rsidRPr="00E70587">
              <w:rPr>
                <w:rFonts w:ascii="Arial" w:hAnsi="Arial" w:cs="Arial"/>
                <w:sz w:val="20"/>
              </w:rPr>
              <w:t>432</w:t>
            </w:r>
          </w:p>
        </w:tc>
        <w:tc>
          <w:tcPr>
            <w:tcW w:w="1170" w:type="dxa"/>
            <w:vAlign w:val="center"/>
          </w:tcPr>
          <w:p w14:paraId="6C51E73D" w14:textId="77777777" w:rsidR="00333A4B" w:rsidRPr="00E70587" w:rsidRDefault="00333A4B" w:rsidP="00543062">
            <w:pPr>
              <w:spacing w:line="280" w:lineRule="exact"/>
              <w:jc w:val="right"/>
              <w:rPr>
                <w:rFonts w:ascii="Arial" w:hAnsi="Arial" w:cs="Arial"/>
                <w:sz w:val="20"/>
              </w:rPr>
            </w:pPr>
            <w:r w:rsidRPr="00E70587">
              <w:rPr>
                <w:rFonts w:ascii="Arial" w:hAnsi="Arial" w:cs="Arial"/>
                <w:sz w:val="20"/>
              </w:rPr>
              <w:t>2,538</w:t>
            </w:r>
          </w:p>
        </w:tc>
        <w:tc>
          <w:tcPr>
            <w:tcW w:w="1350" w:type="dxa"/>
            <w:vAlign w:val="center"/>
          </w:tcPr>
          <w:p w14:paraId="1D20F4EA" w14:textId="77777777" w:rsidR="00333A4B" w:rsidRPr="00E70587" w:rsidRDefault="00333A4B" w:rsidP="00543062">
            <w:pPr>
              <w:spacing w:line="280" w:lineRule="exact"/>
              <w:jc w:val="right"/>
              <w:rPr>
                <w:rFonts w:ascii="Arial" w:hAnsi="Arial" w:cs="Arial"/>
                <w:sz w:val="20"/>
              </w:rPr>
            </w:pPr>
            <w:r w:rsidRPr="00E70587">
              <w:rPr>
                <w:rFonts w:ascii="Arial" w:hAnsi="Arial" w:cs="Arial"/>
                <w:sz w:val="20"/>
              </w:rPr>
              <w:t>432</w:t>
            </w:r>
          </w:p>
        </w:tc>
      </w:tr>
    </w:tbl>
    <w:p w14:paraId="5572023B" w14:textId="77777777" w:rsidR="00333A4B" w:rsidRPr="00E70587" w:rsidRDefault="00333A4B" w:rsidP="00333A4B">
      <w:pPr>
        <w:pStyle w:val="Notesbodytext"/>
        <w:spacing w:after="0" w:line="280" w:lineRule="exact"/>
        <w:jc w:val="both"/>
        <w:rPr>
          <w:rFonts w:ascii="Arial" w:hAnsi="Arial"/>
          <w:color w:val="auto"/>
          <w:sz w:val="20"/>
        </w:rPr>
      </w:pPr>
    </w:p>
    <w:tbl>
      <w:tblPr>
        <w:tblW w:w="9576" w:type="dxa"/>
        <w:tblLook w:val="0000" w:firstRow="0" w:lastRow="0" w:firstColumn="0" w:lastColumn="0" w:noHBand="0" w:noVBand="0"/>
      </w:tblPr>
      <w:tblGrid>
        <w:gridCol w:w="9576"/>
      </w:tblGrid>
      <w:tr w:rsidR="00333A4B" w:rsidRPr="00E70587" w14:paraId="62B4E6DD" w14:textId="77777777" w:rsidTr="00543062">
        <w:tc>
          <w:tcPr>
            <w:tcW w:w="0" w:type="auto"/>
          </w:tcPr>
          <w:p w14:paraId="11CC6CA0" w14:textId="6789B2E7" w:rsidR="00333A4B" w:rsidRPr="00E70587" w:rsidRDefault="00333A4B" w:rsidP="00543062">
            <w:pPr>
              <w:pStyle w:val="Notesbodytext"/>
              <w:spacing w:after="0" w:line="280" w:lineRule="exact"/>
              <w:jc w:val="both"/>
              <w:rPr>
                <w:rFonts w:ascii="Arial" w:hAnsi="Arial"/>
                <w:color w:val="auto"/>
                <w:sz w:val="20"/>
              </w:rPr>
            </w:pPr>
            <w:r w:rsidRPr="00E70587">
              <w:rPr>
                <w:rFonts w:ascii="Arial" w:hAnsi="Arial"/>
                <w:color w:val="auto"/>
                <w:sz w:val="20"/>
              </w:rPr>
              <w:t xml:space="preserve">The Group performed its annual impairment test for years ended 31 </w:t>
            </w:r>
            <w:r w:rsidR="00E1202D" w:rsidRPr="00E70587">
              <w:rPr>
                <w:rFonts w:ascii="Arial" w:hAnsi="Arial"/>
                <w:color w:val="auto"/>
                <w:sz w:val="20"/>
              </w:rPr>
              <w:t xml:space="preserve">March </w:t>
            </w:r>
            <w:r w:rsidR="002C293D" w:rsidRPr="00E70587">
              <w:rPr>
                <w:rFonts w:ascii="Arial" w:hAnsi="Arial"/>
                <w:color w:val="auto"/>
                <w:sz w:val="20"/>
              </w:rPr>
              <w:t>20</w:t>
            </w:r>
            <w:r w:rsidR="002C293D">
              <w:rPr>
                <w:rFonts w:ascii="Arial" w:hAnsi="Arial"/>
                <w:color w:val="auto"/>
                <w:sz w:val="20"/>
              </w:rPr>
              <w:t>21</w:t>
            </w:r>
            <w:r w:rsidR="002C293D" w:rsidRPr="00E70587">
              <w:rPr>
                <w:rFonts w:ascii="Arial" w:hAnsi="Arial"/>
                <w:color w:val="auto"/>
                <w:sz w:val="20"/>
              </w:rPr>
              <w:t xml:space="preserve"> </w:t>
            </w:r>
            <w:r w:rsidRPr="00E70587">
              <w:rPr>
                <w:rFonts w:ascii="Arial" w:hAnsi="Arial"/>
                <w:color w:val="auto"/>
                <w:sz w:val="20"/>
              </w:rPr>
              <w:t xml:space="preserve">and 31 </w:t>
            </w:r>
            <w:r w:rsidR="008B730E" w:rsidRPr="00E70587">
              <w:rPr>
                <w:rFonts w:ascii="Arial" w:hAnsi="Arial"/>
                <w:color w:val="auto"/>
                <w:sz w:val="20"/>
              </w:rPr>
              <w:t xml:space="preserve">March </w:t>
            </w:r>
            <w:r w:rsidR="002C293D" w:rsidRPr="00E70587">
              <w:rPr>
                <w:rFonts w:ascii="Arial" w:hAnsi="Arial"/>
                <w:color w:val="auto"/>
                <w:sz w:val="20"/>
              </w:rPr>
              <w:t>20</w:t>
            </w:r>
            <w:r w:rsidR="002C293D">
              <w:rPr>
                <w:rFonts w:ascii="Arial" w:hAnsi="Arial"/>
                <w:color w:val="auto"/>
                <w:sz w:val="20"/>
              </w:rPr>
              <w:t>20</w:t>
            </w:r>
            <w:r w:rsidR="002C293D" w:rsidRPr="00E70587">
              <w:rPr>
                <w:rFonts w:ascii="Arial" w:hAnsi="Arial"/>
                <w:color w:val="auto"/>
                <w:sz w:val="20"/>
              </w:rPr>
              <w:t xml:space="preserve"> </w:t>
            </w:r>
            <w:r w:rsidRPr="00E70587">
              <w:rPr>
                <w:rFonts w:ascii="Arial" w:hAnsi="Arial"/>
                <w:color w:val="auto"/>
                <w:sz w:val="20"/>
              </w:rPr>
              <w:t xml:space="preserve">on 31 October </w:t>
            </w:r>
            <w:r w:rsidR="002C293D" w:rsidRPr="00E70587">
              <w:rPr>
                <w:rFonts w:ascii="Arial" w:hAnsi="Arial"/>
                <w:color w:val="auto"/>
                <w:sz w:val="20"/>
              </w:rPr>
              <w:t>20</w:t>
            </w:r>
            <w:r w:rsidR="002C293D">
              <w:rPr>
                <w:rFonts w:ascii="Arial" w:hAnsi="Arial"/>
                <w:color w:val="auto"/>
                <w:sz w:val="20"/>
              </w:rPr>
              <w:t>20</w:t>
            </w:r>
            <w:r w:rsidR="002C293D" w:rsidRPr="00E70587">
              <w:rPr>
                <w:rFonts w:ascii="Arial" w:hAnsi="Arial"/>
                <w:color w:val="auto"/>
                <w:sz w:val="20"/>
              </w:rPr>
              <w:t xml:space="preserve"> </w:t>
            </w:r>
            <w:r w:rsidRPr="00E70587">
              <w:rPr>
                <w:rFonts w:ascii="Arial" w:hAnsi="Arial"/>
                <w:color w:val="auto"/>
                <w:sz w:val="20"/>
              </w:rPr>
              <w:t xml:space="preserve">and 31 October </w:t>
            </w:r>
            <w:r w:rsidR="002C293D" w:rsidRPr="00E70587">
              <w:rPr>
                <w:rFonts w:ascii="Arial" w:hAnsi="Arial"/>
                <w:color w:val="auto"/>
                <w:sz w:val="20"/>
              </w:rPr>
              <w:t>20</w:t>
            </w:r>
            <w:r w:rsidR="002C293D">
              <w:rPr>
                <w:rFonts w:ascii="Arial" w:hAnsi="Arial"/>
                <w:color w:val="auto"/>
                <w:sz w:val="20"/>
              </w:rPr>
              <w:t>19</w:t>
            </w:r>
            <w:r w:rsidRPr="00E70587">
              <w:rPr>
                <w:rFonts w:ascii="Arial" w:hAnsi="Arial"/>
                <w:color w:val="auto"/>
                <w:sz w:val="20"/>
              </w:rPr>
              <w:t xml:space="preserve">, respectively (hereinafter reference date is generally </w:t>
            </w:r>
            <w:r w:rsidR="006B05AC" w:rsidRPr="00E70587">
              <w:rPr>
                <w:rFonts w:ascii="Arial" w:hAnsi="Arial"/>
                <w:color w:val="auto"/>
                <w:sz w:val="20"/>
              </w:rPr>
              <w:t>stated to be</w:t>
            </w:r>
            <w:r w:rsidRPr="00E70587">
              <w:rPr>
                <w:rFonts w:ascii="Arial" w:hAnsi="Arial"/>
                <w:color w:val="auto"/>
                <w:sz w:val="20"/>
              </w:rPr>
              <w:t xml:space="preserve"> year-end). The Group considers the relationship between its market capitalisation and its book value, among other factors, when reviewing for indicators of impairment. As at 31 October </w:t>
            </w:r>
            <w:r w:rsidR="002C293D" w:rsidRPr="00E70587">
              <w:rPr>
                <w:rFonts w:ascii="Arial" w:hAnsi="Arial"/>
                <w:color w:val="auto"/>
                <w:sz w:val="20"/>
              </w:rPr>
              <w:t>20</w:t>
            </w:r>
            <w:r w:rsidR="002C293D">
              <w:rPr>
                <w:rFonts w:ascii="Arial" w:hAnsi="Arial"/>
                <w:color w:val="auto"/>
                <w:sz w:val="20"/>
              </w:rPr>
              <w:t>20</w:t>
            </w:r>
            <w:r w:rsidRPr="00E70587">
              <w:rPr>
                <w:rFonts w:ascii="Arial" w:hAnsi="Arial"/>
                <w:color w:val="auto"/>
                <w:sz w:val="20"/>
              </w:rPr>
              <w:t>, the market capitalisation of the Group was below the book value of its equity, indicating a potential impairment of goodwill and impairment of the assets of the operating segment. In addition, the overall decline in construction and development activities around the world as well as the ongoing economic uncertainty have led to a decreased demand in both the Fire prevention equipment and Electronics CGUs.</w:t>
            </w:r>
          </w:p>
          <w:p w14:paraId="6A6FEBC5" w14:textId="77777777" w:rsidR="00333A4B" w:rsidRPr="00E70587" w:rsidRDefault="00333A4B" w:rsidP="00543062">
            <w:pPr>
              <w:pStyle w:val="Notesbodytext"/>
              <w:spacing w:after="0" w:line="280" w:lineRule="exact"/>
              <w:rPr>
                <w:rFonts w:ascii="Arial" w:hAnsi="Arial"/>
                <w:color w:val="auto"/>
                <w:sz w:val="20"/>
              </w:rPr>
            </w:pPr>
          </w:p>
        </w:tc>
      </w:tr>
      <w:tr w:rsidR="00333A4B" w:rsidRPr="00E70587" w14:paraId="04E9BCC5" w14:textId="77777777" w:rsidTr="00543062">
        <w:tc>
          <w:tcPr>
            <w:tcW w:w="0" w:type="auto"/>
          </w:tcPr>
          <w:p w14:paraId="5109A79E" w14:textId="77777777" w:rsidR="00333A4B" w:rsidRPr="00E70587" w:rsidRDefault="00333A4B" w:rsidP="00543062">
            <w:pPr>
              <w:pStyle w:val="Notesbodytext"/>
              <w:spacing w:after="0" w:line="280" w:lineRule="exact"/>
              <w:ind w:right="374"/>
              <w:jc w:val="both"/>
              <w:rPr>
                <w:rFonts w:ascii="Arial" w:hAnsi="Arial"/>
                <w:b/>
                <w:color w:val="auto"/>
                <w:sz w:val="20"/>
              </w:rPr>
            </w:pPr>
            <w:r w:rsidRPr="00E70587">
              <w:rPr>
                <w:rFonts w:ascii="Arial" w:hAnsi="Arial"/>
                <w:b/>
                <w:color w:val="auto"/>
                <w:sz w:val="20"/>
              </w:rPr>
              <w:t>Electronics CGU</w:t>
            </w:r>
          </w:p>
          <w:p w14:paraId="7A70317C" w14:textId="77777777" w:rsidR="00333A4B" w:rsidRPr="00E70587" w:rsidRDefault="00333A4B" w:rsidP="00543062">
            <w:pPr>
              <w:pStyle w:val="Notesbodytext"/>
              <w:spacing w:after="0" w:line="280" w:lineRule="exact"/>
              <w:ind w:right="374"/>
              <w:jc w:val="both"/>
              <w:rPr>
                <w:rFonts w:ascii="Arial" w:hAnsi="Arial"/>
                <w:color w:val="auto"/>
                <w:sz w:val="20"/>
              </w:rPr>
            </w:pPr>
          </w:p>
          <w:p w14:paraId="3D276120" w14:textId="787E2FB7" w:rsidR="00333A4B" w:rsidRPr="00E70587" w:rsidRDefault="00333A4B" w:rsidP="00543062">
            <w:pPr>
              <w:pStyle w:val="Notesbodytext"/>
              <w:spacing w:after="0" w:line="280" w:lineRule="exact"/>
              <w:jc w:val="both"/>
              <w:rPr>
                <w:rFonts w:ascii="Arial" w:hAnsi="Arial"/>
                <w:color w:val="auto"/>
                <w:sz w:val="20"/>
              </w:rPr>
            </w:pPr>
            <w:r w:rsidRPr="00E70587">
              <w:rPr>
                <w:rFonts w:ascii="Arial" w:hAnsi="Arial"/>
                <w:color w:val="auto"/>
                <w:sz w:val="20"/>
              </w:rPr>
              <w:t xml:space="preserve">The recoverable amount of the Electronics CGU, INR 676 as at 31 October </w:t>
            </w:r>
            <w:r w:rsidR="002C293D" w:rsidRPr="00E70587">
              <w:rPr>
                <w:rFonts w:ascii="Arial" w:hAnsi="Arial"/>
                <w:color w:val="auto"/>
                <w:sz w:val="20"/>
              </w:rPr>
              <w:t>20</w:t>
            </w:r>
            <w:r w:rsidR="002C293D">
              <w:rPr>
                <w:rFonts w:ascii="Arial" w:hAnsi="Arial"/>
                <w:color w:val="auto"/>
                <w:sz w:val="20"/>
              </w:rPr>
              <w:t>20</w:t>
            </w:r>
            <w:r w:rsidRPr="00E70587">
              <w:rPr>
                <w:rFonts w:ascii="Arial" w:hAnsi="Arial"/>
                <w:color w:val="auto"/>
                <w:sz w:val="20"/>
              </w:rPr>
              <w:t xml:space="preserve">, has been determined based on a value in use calculation using cash flow projections from financial budgets approved by senior management covering a five-year period. The projected cash flows have been updated to reflect the decreased demand for products and services. The pre-tax discount rate applied to cash flow projections for impairment testing during the current year is 15.5% (31 </w:t>
            </w:r>
            <w:r w:rsidR="008B730E" w:rsidRPr="00E70587">
              <w:rPr>
                <w:rFonts w:ascii="Arial" w:hAnsi="Arial"/>
                <w:color w:val="auto"/>
                <w:sz w:val="20"/>
              </w:rPr>
              <w:t>March 20</w:t>
            </w:r>
            <w:r w:rsidR="00867043">
              <w:rPr>
                <w:rFonts w:ascii="Arial" w:hAnsi="Arial"/>
                <w:color w:val="auto"/>
                <w:sz w:val="20"/>
              </w:rPr>
              <w:t>20</w:t>
            </w:r>
            <w:r w:rsidRPr="00E70587">
              <w:rPr>
                <w:rFonts w:ascii="Arial" w:hAnsi="Arial"/>
                <w:color w:val="auto"/>
                <w:sz w:val="20"/>
              </w:rPr>
              <w:t xml:space="preserve">: 12.1%) and cash flows beyond the five-year period are extrapolated using a 3.0% growth rate (31 </w:t>
            </w:r>
            <w:r w:rsidR="008B730E" w:rsidRPr="00E70587">
              <w:rPr>
                <w:rFonts w:ascii="Arial" w:hAnsi="Arial"/>
                <w:color w:val="auto"/>
                <w:sz w:val="20"/>
              </w:rPr>
              <w:t xml:space="preserve">March </w:t>
            </w:r>
            <w:r w:rsidR="008922D8" w:rsidRPr="00E70587">
              <w:rPr>
                <w:rFonts w:ascii="Arial" w:hAnsi="Arial"/>
                <w:color w:val="auto"/>
                <w:sz w:val="20"/>
              </w:rPr>
              <w:t>20</w:t>
            </w:r>
            <w:r w:rsidR="008922D8">
              <w:rPr>
                <w:rFonts w:ascii="Arial" w:hAnsi="Arial"/>
                <w:color w:val="auto"/>
                <w:sz w:val="20"/>
              </w:rPr>
              <w:t>20</w:t>
            </w:r>
            <w:r w:rsidRPr="00E70587">
              <w:rPr>
                <w:rFonts w:ascii="Arial" w:hAnsi="Arial"/>
                <w:color w:val="auto"/>
                <w:sz w:val="20"/>
              </w:rPr>
              <w:t>: 5.0%) that is the same as the long-term average growth rate for the electronics industry. It was concluded that the fair value less costs of disposal did not exceed the value in use. As a result of this analysis, management has recognised an impairment charge of INR 360 in the current year against goodwill, previously carried at INR 450. The impairment charge is recorded in the statement of profit and loss.</w:t>
            </w:r>
          </w:p>
          <w:p w14:paraId="46FF8634" w14:textId="77777777" w:rsidR="00333A4B" w:rsidRDefault="00333A4B" w:rsidP="00543062">
            <w:pPr>
              <w:pStyle w:val="Notesbodytext"/>
              <w:spacing w:after="0" w:line="280" w:lineRule="exact"/>
              <w:rPr>
                <w:rFonts w:ascii="Arial" w:hAnsi="Arial"/>
                <w:color w:val="auto"/>
                <w:sz w:val="20"/>
              </w:rPr>
            </w:pPr>
          </w:p>
          <w:p w14:paraId="53CC50DB" w14:textId="77777777" w:rsidR="00657499" w:rsidRDefault="00657499" w:rsidP="00543062">
            <w:pPr>
              <w:pStyle w:val="Notesbodytext"/>
              <w:spacing w:after="0" w:line="280" w:lineRule="exact"/>
              <w:rPr>
                <w:rFonts w:ascii="Arial" w:hAnsi="Arial"/>
                <w:color w:val="auto"/>
                <w:sz w:val="20"/>
              </w:rPr>
            </w:pPr>
          </w:p>
          <w:p w14:paraId="2AC5E4DD" w14:textId="77777777" w:rsidR="00657499" w:rsidRPr="00E70587" w:rsidRDefault="00657499" w:rsidP="00543062">
            <w:pPr>
              <w:pStyle w:val="Notesbodytext"/>
              <w:spacing w:after="0" w:line="280" w:lineRule="exact"/>
              <w:rPr>
                <w:rFonts w:ascii="Arial" w:hAnsi="Arial"/>
                <w:color w:val="auto"/>
                <w:sz w:val="20"/>
              </w:rPr>
            </w:pPr>
          </w:p>
        </w:tc>
      </w:tr>
      <w:tr w:rsidR="00333A4B" w:rsidRPr="00E70587" w14:paraId="7F91DACE" w14:textId="77777777" w:rsidTr="00543062">
        <w:tc>
          <w:tcPr>
            <w:tcW w:w="0" w:type="auto"/>
          </w:tcPr>
          <w:p w14:paraId="15FB73D0" w14:textId="77777777" w:rsidR="00333A4B" w:rsidRPr="00E70587" w:rsidRDefault="00333A4B" w:rsidP="00543062">
            <w:pPr>
              <w:pStyle w:val="Notesitalicheading"/>
              <w:spacing w:line="280" w:lineRule="exact"/>
              <w:ind w:right="374"/>
              <w:jc w:val="both"/>
              <w:rPr>
                <w:rFonts w:ascii="Arial" w:hAnsi="Arial"/>
                <w:i w:val="0"/>
                <w:color w:val="auto"/>
                <w:sz w:val="20"/>
              </w:rPr>
            </w:pPr>
            <w:r w:rsidRPr="00E70587">
              <w:rPr>
                <w:rFonts w:ascii="Arial" w:hAnsi="Arial"/>
                <w:i w:val="0"/>
                <w:color w:val="auto"/>
                <w:sz w:val="20"/>
              </w:rPr>
              <w:t>Fire prevention equipment CGU</w:t>
            </w:r>
          </w:p>
          <w:p w14:paraId="6A96A669" w14:textId="77777777" w:rsidR="00333A4B" w:rsidRPr="00E70587" w:rsidRDefault="00333A4B" w:rsidP="00543062">
            <w:pPr>
              <w:pStyle w:val="Notesbodytext"/>
              <w:spacing w:after="0" w:line="280" w:lineRule="exact"/>
              <w:ind w:right="374"/>
              <w:rPr>
                <w:rFonts w:ascii="Arial" w:hAnsi="Arial"/>
                <w:color w:val="auto"/>
                <w:sz w:val="20"/>
              </w:rPr>
            </w:pPr>
          </w:p>
          <w:p w14:paraId="307AFEA9" w14:textId="4EB3B8AA" w:rsidR="00333A4B" w:rsidRPr="00E70587" w:rsidRDefault="00333A4B" w:rsidP="00543062">
            <w:pPr>
              <w:pStyle w:val="Notesbodytext"/>
              <w:spacing w:after="0" w:line="280" w:lineRule="exact"/>
              <w:jc w:val="both"/>
              <w:rPr>
                <w:rFonts w:ascii="Arial" w:hAnsi="Arial"/>
                <w:color w:val="auto"/>
                <w:sz w:val="20"/>
              </w:rPr>
            </w:pPr>
            <w:r w:rsidRPr="00E70587">
              <w:rPr>
                <w:rFonts w:ascii="Arial" w:hAnsi="Arial"/>
                <w:color w:val="auto"/>
                <w:sz w:val="20"/>
              </w:rPr>
              <w:t xml:space="preserve">The recoverable amount of the Fire prevention equipment CGU, INR 7,238 as at 31 October </w:t>
            </w:r>
            <w:r w:rsidR="008922D8" w:rsidRPr="00E70587">
              <w:rPr>
                <w:rFonts w:ascii="Arial" w:hAnsi="Arial"/>
                <w:color w:val="auto"/>
                <w:sz w:val="20"/>
              </w:rPr>
              <w:t>20</w:t>
            </w:r>
            <w:r w:rsidR="008922D8">
              <w:rPr>
                <w:rFonts w:ascii="Arial" w:hAnsi="Arial"/>
                <w:color w:val="auto"/>
                <w:sz w:val="20"/>
              </w:rPr>
              <w:t>20</w:t>
            </w:r>
            <w:r w:rsidRPr="00E70587">
              <w:rPr>
                <w:rFonts w:ascii="Arial" w:hAnsi="Arial"/>
                <w:color w:val="auto"/>
                <w:sz w:val="20"/>
              </w:rPr>
              <w:t xml:space="preserve">, is also determined based on a value in use calculation using cash flow projections from financial budgets approved by senior management covering a five-year period. The projected cash flows have been updated to reflect the decreased demand for products and services. The pre-tax discount rate applied to the cash flow projections for impairment testing during the current year is 14.4% (31 </w:t>
            </w:r>
            <w:r w:rsidR="008B730E" w:rsidRPr="00E70587">
              <w:rPr>
                <w:rFonts w:ascii="Arial" w:hAnsi="Arial"/>
                <w:color w:val="auto"/>
                <w:sz w:val="20"/>
              </w:rPr>
              <w:t xml:space="preserve">March </w:t>
            </w:r>
            <w:r w:rsidR="008922D8" w:rsidRPr="00E70587">
              <w:rPr>
                <w:rFonts w:ascii="Arial" w:hAnsi="Arial"/>
                <w:color w:val="auto"/>
                <w:sz w:val="20"/>
              </w:rPr>
              <w:t>20</w:t>
            </w:r>
            <w:r w:rsidR="008922D8">
              <w:rPr>
                <w:rFonts w:ascii="Arial" w:hAnsi="Arial"/>
                <w:color w:val="auto"/>
                <w:sz w:val="20"/>
              </w:rPr>
              <w:t>20</w:t>
            </w:r>
            <w:r w:rsidRPr="00E70587">
              <w:rPr>
                <w:rFonts w:ascii="Arial" w:hAnsi="Arial"/>
                <w:color w:val="auto"/>
                <w:sz w:val="20"/>
              </w:rPr>
              <w:t xml:space="preserve">: 12.8%). The growth rate used to extrapolate the cash flows of the unit beyond the five-year period is 2.9% (31 </w:t>
            </w:r>
            <w:r w:rsidR="008B730E" w:rsidRPr="00E70587">
              <w:rPr>
                <w:rFonts w:ascii="Arial" w:hAnsi="Arial"/>
                <w:color w:val="auto"/>
                <w:sz w:val="20"/>
              </w:rPr>
              <w:t xml:space="preserve">March </w:t>
            </w:r>
            <w:r w:rsidR="008922D8" w:rsidRPr="00E70587">
              <w:rPr>
                <w:rFonts w:ascii="Arial" w:hAnsi="Arial"/>
                <w:color w:val="auto"/>
                <w:sz w:val="20"/>
              </w:rPr>
              <w:t>20</w:t>
            </w:r>
            <w:r w:rsidR="008922D8">
              <w:rPr>
                <w:rFonts w:ascii="Arial" w:hAnsi="Arial"/>
                <w:color w:val="auto"/>
                <w:sz w:val="20"/>
              </w:rPr>
              <w:t>20</w:t>
            </w:r>
            <w:r w:rsidRPr="00E70587">
              <w:rPr>
                <w:rFonts w:ascii="Arial" w:hAnsi="Arial"/>
                <w:color w:val="auto"/>
                <w:sz w:val="20"/>
              </w:rPr>
              <w:t>: 3.8%). This growth rate exceeds the industry average growth rate by 0.75%. The management of the Fire prevention equipment unit believes this growth rate is justified based on the acquisition of Extinguishers Limited. This acquisition has resulted in the Group obtaining control of an industry patent, thereby preventing other entities from manufacturing a specialised product for a period of 10 years. The Group has an option to renew the patent after the 10 years have expired. As a result of the updated analysis, management did not identify impairment for this CGU.</w:t>
            </w:r>
          </w:p>
          <w:p w14:paraId="79885E2D" w14:textId="77777777" w:rsidR="00333A4B" w:rsidRPr="00E70587" w:rsidRDefault="00333A4B" w:rsidP="00543062">
            <w:pPr>
              <w:pStyle w:val="Notesbodytext"/>
              <w:spacing w:after="0" w:line="280" w:lineRule="exact"/>
              <w:rPr>
                <w:rFonts w:ascii="Arial" w:hAnsi="Arial"/>
                <w:b/>
                <w:color w:val="auto"/>
                <w:sz w:val="20"/>
              </w:rPr>
            </w:pPr>
          </w:p>
        </w:tc>
      </w:tr>
      <w:tr w:rsidR="00333A4B" w:rsidRPr="00E70587" w14:paraId="7E495F24" w14:textId="77777777" w:rsidTr="00543062">
        <w:tc>
          <w:tcPr>
            <w:tcW w:w="0" w:type="auto"/>
          </w:tcPr>
          <w:p w14:paraId="198417C9" w14:textId="77777777" w:rsidR="00333A4B" w:rsidRPr="00E70587" w:rsidRDefault="00333A4B" w:rsidP="00543062">
            <w:pPr>
              <w:pStyle w:val="Notesitalicheading"/>
              <w:spacing w:line="280" w:lineRule="exact"/>
              <w:ind w:right="374"/>
              <w:jc w:val="both"/>
              <w:rPr>
                <w:rFonts w:ascii="Arial" w:hAnsi="Arial"/>
                <w:i w:val="0"/>
                <w:color w:val="auto"/>
                <w:sz w:val="20"/>
              </w:rPr>
            </w:pPr>
            <w:r w:rsidRPr="00E70587">
              <w:rPr>
                <w:rFonts w:ascii="Arial" w:hAnsi="Arial"/>
                <w:i w:val="0"/>
                <w:color w:val="auto"/>
                <w:sz w:val="20"/>
              </w:rPr>
              <w:t>Key assumptions used in value in use calculations</w:t>
            </w:r>
          </w:p>
          <w:p w14:paraId="7B9132BD" w14:textId="77777777" w:rsidR="00333A4B" w:rsidRPr="00E70587" w:rsidRDefault="00333A4B" w:rsidP="00543062">
            <w:pPr>
              <w:pStyle w:val="Notesbodytext"/>
              <w:spacing w:after="0" w:line="280" w:lineRule="exact"/>
              <w:jc w:val="both"/>
              <w:rPr>
                <w:rFonts w:ascii="Arial" w:hAnsi="Arial"/>
                <w:color w:val="auto"/>
                <w:sz w:val="20"/>
              </w:rPr>
            </w:pPr>
          </w:p>
          <w:p w14:paraId="0C5469C2" w14:textId="5FC0382F" w:rsidR="00333A4B" w:rsidRPr="00E70587" w:rsidRDefault="00333A4B" w:rsidP="00543062">
            <w:pPr>
              <w:pStyle w:val="Notesbodytext"/>
              <w:spacing w:after="0" w:line="280" w:lineRule="exact"/>
              <w:jc w:val="both"/>
              <w:rPr>
                <w:rFonts w:ascii="Arial" w:hAnsi="Arial"/>
                <w:color w:val="auto"/>
                <w:sz w:val="20"/>
              </w:rPr>
            </w:pPr>
            <w:r w:rsidRPr="00E70587">
              <w:rPr>
                <w:rFonts w:ascii="Arial" w:hAnsi="Arial"/>
                <w:color w:val="auto"/>
                <w:sz w:val="20"/>
              </w:rPr>
              <w:t xml:space="preserve">The calculation of value in use for both electronics and fire prevention equipment units </w:t>
            </w:r>
            <w:r w:rsidR="00A76DBF" w:rsidRPr="00E70587">
              <w:rPr>
                <w:rFonts w:ascii="Arial" w:hAnsi="Arial"/>
                <w:color w:val="auto"/>
                <w:sz w:val="20"/>
              </w:rPr>
              <w:t>are</w:t>
            </w:r>
            <w:r w:rsidRPr="00E70587">
              <w:rPr>
                <w:rFonts w:ascii="Arial" w:hAnsi="Arial"/>
                <w:color w:val="auto"/>
                <w:sz w:val="20"/>
              </w:rPr>
              <w:t xml:space="preserve"> most sensitive to the following assumptions:</w:t>
            </w:r>
          </w:p>
          <w:p w14:paraId="1D69FCF0" w14:textId="77777777" w:rsidR="00333A4B" w:rsidRPr="00E70587" w:rsidRDefault="00333A4B" w:rsidP="00543062">
            <w:pPr>
              <w:pStyle w:val="Notesbulletpoint"/>
              <w:numPr>
                <w:ilvl w:val="0"/>
                <w:numId w:val="11"/>
              </w:numPr>
              <w:spacing w:before="120" w:after="0" w:line="280" w:lineRule="exact"/>
              <w:ind w:hanging="720"/>
              <w:jc w:val="both"/>
              <w:rPr>
                <w:rFonts w:ascii="Arial" w:hAnsi="Arial"/>
                <w:color w:val="auto"/>
                <w:sz w:val="20"/>
              </w:rPr>
            </w:pPr>
            <w:r w:rsidRPr="00E70587">
              <w:rPr>
                <w:rFonts w:ascii="Arial" w:hAnsi="Arial"/>
                <w:color w:val="auto"/>
                <w:sz w:val="20"/>
              </w:rPr>
              <w:t>Gross margins</w:t>
            </w:r>
          </w:p>
          <w:p w14:paraId="06194547" w14:textId="77777777" w:rsidR="00333A4B" w:rsidRPr="00E70587" w:rsidRDefault="00333A4B" w:rsidP="00543062">
            <w:pPr>
              <w:pStyle w:val="Notesbulletpoint"/>
              <w:numPr>
                <w:ilvl w:val="0"/>
                <w:numId w:val="11"/>
              </w:numPr>
              <w:spacing w:before="120" w:after="0" w:line="280" w:lineRule="exact"/>
              <w:ind w:hanging="720"/>
              <w:jc w:val="both"/>
              <w:rPr>
                <w:rFonts w:ascii="Arial" w:hAnsi="Arial"/>
                <w:color w:val="auto"/>
                <w:sz w:val="20"/>
              </w:rPr>
            </w:pPr>
            <w:r w:rsidRPr="00E70587">
              <w:rPr>
                <w:rFonts w:ascii="Arial" w:hAnsi="Arial"/>
                <w:color w:val="auto"/>
                <w:sz w:val="20"/>
              </w:rPr>
              <w:t>Discount rates</w:t>
            </w:r>
          </w:p>
          <w:p w14:paraId="12837037" w14:textId="77777777" w:rsidR="00333A4B" w:rsidRPr="00E70587" w:rsidRDefault="00333A4B" w:rsidP="00543062">
            <w:pPr>
              <w:pStyle w:val="Notesbulletpoint"/>
              <w:numPr>
                <w:ilvl w:val="0"/>
                <w:numId w:val="11"/>
              </w:numPr>
              <w:spacing w:before="120" w:after="0" w:line="280" w:lineRule="exact"/>
              <w:ind w:hanging="720"/>
              <w:jc w:val="both"/>
              <w:rPr>
                <w:rFonts w:ascii="Arial" w:hAnsi="Arial"/>
                <w:color w:val="auto"/>
                <w:sz w:val="20"/>
              </w:rPr>
            </w:pPr>
            <w:r w:rsidRPr="00E70587">
              <w:rPr>
                <w:rFonts w:ascii="Arial" w:hAnsi="Arial"/>
                <w:color w:val="auto"/>
                <w:sz w:val="20"/>
              </w:rPr>
              <w:lastRenderedPageBreak/>
              <w:t>Construction materials price inflation</w:t>
            </w:r>
          </w:p>
          <w:p w14:paraId="5774A307" w14:textId="77777777" w:rsidR="00333A4B" w:rsidRPr="00E70587" w:rsidRDefault="00333A4B" w:rsidP="00543062">
            <w:pPr>
              <w:pStyle w:val="Notesbulletpoint"/>
              <w:numPr>
                <w:ilvl w:val="0"/>
                <w:numId w:val="11"/>
              </w:numPr>
              <w:spacing w:before="120" w:after="0" w:line="280" w:lineRule="exact"/>
              <w:ind w:hanging="720"/>
              <w:jc w:val="both"/>
              <w:rPr>
                <w:rFonts w:ascii="Arial" w:hAnsi="Arial"/>
                <w:color w:val="auto"/>
                <w:sz w:val="20"/>
              </w:rPr>
            </w:pPr>
            <w:r w:rsidRPr="00E70587">
              <w:rPr>
                <w:rFonts w:ascii="Arial" w:hAnsi="Arial"/>
                <w:color w:val="auto"/>
                <w:sz w:val="20"/>
              </w:rPr>
              <w:t>Market share during the forecast period</w:t>
            </w:r>
          </w:p>
          <w:p w14:paraId="309F3476" w14:textId="77777777" w:rsidR="00333A4B" w:rsidRPr="00E70587" w:rsidRDefault="00333A4B" w:rsidP="00543062">
            <w:pPr>
              <w:pStyle w:val="Notesbulletpoint"/>
              <w:numPr>
                <w:ilvl w:val="0"/>
                <w:numId w:val="11"/>
              </w:numPr>
              <w:spacing w:before="120" w:after="0" w:line="280" w:lineRule="exact"/>
              <w:ind w:hanging="720"/>
              <w:jc w:val="both"/>
              <w:rPr>
                <w:rFonts w:ascii="Arial" w:hAnsi="Arial"/>
                <w:color w:val="auto"/>
                <w:sz w:val="20"/>
              </w:rPr>
            </w:pPr>
            <w:r w:rsidRPr="00E70587">
              <w:rPr>
                <w:rFonts w:ascii="Arial" w:hAnsi="Arial"/>
                <w:color w:val="auto"/>
                <w:sz w:val="20"/>
              </w:rPr>
              <w:t>Growth rates used to extrapolate cash flows beyond the forecast period</w:t>
            </w:r>
          </w:p>
          <w:p w14:paraId="66AC6270" w14:textId="77777777" w:rsidR="00333A4B" w:rsidRPr="00E70587" w:rsidRDefault="00333A4B" w:rsidP="00543062">
            <w:pPr>
              <w:pStyle w:val="Notesbodytext"/>
              <w:spacing w:after="0" w:line="280" w:lineRule="exact"/>
              <w:rPr>
                <w:rFonts w:ascii="Arial" w:hAnsi="Arial"/>
                <w:i/>
                <w:color w:val="auto"/>
                <w:sz w:val="20"/>
              </w:rPr>
            </w:pPr>
          </w:p>
        </w:tc>
      </w:tr>
      <w:tr w:rsidR="00333A4B" w:rsidRPr="00E70587" w14:paraId="2FE29FEB" w14:textId="77777777" w:rsidTr="00543062">
        <w:tc>
          <w:tcPr>
            <w:tcW w:w="0" w:type="auto"/>
          </w:tcPr>
          <w:p w14:paraId="5FD3DCF7" w14:textId="77777777" w:rsidR="00333A4B" w:rsidRPr="00E70587" w:rsidRDefault="00333A4B" w:rsidP="00543062">
            <w:pPr>
              <w:pStyle w:val="Notesbodytext"/>
              <w:spacing w:after="0" w:line="280" w:lineRule="exact"/>
              <w:jc w:val="both"/>
              <w:rPr>
                <w:rFonts w:ascii="Arial" w:hAnsi="Arial"/>
                <w:color w:val="auto"/>
                <w:sz w:val="20"/>
              </w:rPr>
            </w:pPr>
            <w:r w:rsidRPr="00E70587">
              <w:rPr>
                <w:rFonts w:ascii="Arial" w:hAnsi="Arial"/>
                <w:b/>
                <w:color w:val="auto"/>
                <w:sz w:val="20"/>
              </w:rPr>
              <w:lastRenderedPageBreak/>
              <w:t>Gross margins -</w:t>
            </w:r>
            <w:r w:rsidRPr="00E70587">
              <w:rPr>
                <w:rFonts w:ascii="Arial" w:hAnsi="Arial"/>
                <w:color w:val="auto"/>
                <w:sz w:val="20"/>
              </w:rPr>
              <w:t xml:space="preserve"> </w:t>
            </w:r>
            <w:r w:rsidRPr="00E70587">
              <w:rPr>
                <w:rStyle w:val="NotesbodytextChar"/>
                <w:rFonts w:ascii="Arial" w:hAnsi="Arial"/>
                <w:color w:val="auto"/>
                <w:sz w:val="20"/>
                <w:lang w:val="en-IN"/>
              </w:rPr>
              <w:t>Gross margins are based on average values achieved in the three years preceding the beginning of the budget period. These are increased over the budget period for anticipated efficiency improvements. An increase of 1.5% per annum was applied for the Electronics unit and 2% per annum for the Fire prevention equipment unit</w:t>
            </w:r>
            <w:r w:rsidRPr="00E70587">
              <w:rPr>
                <w:rFonts w:ascii="Arial" w:hAnsi="Arial"/>
                <w:color w:val="auto"/>
                <w:sz w:val="20"/>
              </w:rPr>
              <w:t>.</w:t>
            </w:r>
          </w:p>
          <w:p w14:paraId="5DD0D75B" w14:textId="77777777" w:rsidR="00333A4B" w:rsidRPr="00E70587" w:rsidRDefault="00333A4B" w:rsidP="00543062">
            <w:pPr>
              <w:pStyle w:val="Notesbodytext"/>
              <w:spacing w:after="0" w:line="280" w:lineRule="exact"/>
              <w:rPr>
                <w:rFonts w:ascii="Arial" w:hAnsi="Arial"/>
                <w:color w:val="auto"/>
                <w:sz w:val="20"/>
              </w:rPr>
            </w:pPr>
          </w:p>
        </w:tc>
      </w:tr>
      <w:tr w:rsidR="00333A4B" w:rsidRPr="00E70587" w14:paraId="27BD68CA" w14:textId="77777777" w:rsidTr="00543062">
        <w:tc>
          <w:tcPr>
            <w:tcW w:w="0" w:type="auto"/>
          </w:tcPr>
          <w:p w14:paraId="241DB664" w14:textId="77777777" w:rsidR="00333A4B" w:rsidRPr="00E70587" w:rsidRDefault="00333A4B" w:rsidP="00543062">
            <w:pPr>
              <w:pStyle w:val="Notesbodytext"/>
              <w:spacing w:after="0" w:line="280" w:lineRule="exact"/>
              <w:jc w:val="both"/>
              <w:rPr>
                <w:rFonts w:ascii="Arial" w:hAnsi="Arial"/>
                <w:color w:val="auto"/>
                <w:sz w:val="20"/>
              </w:rPr>
            </w:pPr>
            <w:r w:rsidRPr="00E70587">
              <w:rPr>
                <w:rFonts w:ascii="Arial" w:hAnsi="Arial"/>
                <w:b/>
                <w:color w:val="auto"/>
                <w:sz w:val="20"/>
              </w:rPr>
              <w:t>Discount rates</w:t>
            </w:r>
            <w:r w:rsidRPr="00E70587">
              <w:rPr>
                <w:rFonts w:ascii="Arial" w:hAnsi="Arial"/>
                <w:color w:val="auto"/>
                <w:sz w:val="20"/>
              </w:rPr>
              <w:t xml:space="preserve"> - Discount rates represent the current market assessment of the risks specific to each CGU, taking into consideration the time value of money and individual risks of the underlying assets that have not been incorporated in the cash flow estimates. The discount rate calculation is based on the specific circumstances of the Group and its operating segments and is derived from its weighted average cost of capital (WACC). The WACC takes into account both debt and equity. The cost of equity is derived from the expected return on investment by the Group’s investors. The cost of debt is based on the borrowings the Group is obliged to service. Segment-specific risk is incorporated by applying individual beta factors. The beta factors are evaluated annually based on publicly available market data. Adjustments to the discount rate are made to factor in the specific amount and timing of the future tax flows in order to reflect a pre-tax discount rate.</w:t>
            </w:r>
          </w:p>
          <w:p w14:paraId="22EAE0C3" w14:textId="77777777" w:rsidR="00333A4B" w:rsidRPr="00E70587" w:rsidRDefault="00333A4B" w:rsidP="00543062">
            <w:pPr>
              <w:pStyle w:val="Notesbodytext"/>
              <w:spacing w:after="0" w:line="280" w:lineRule="exact"/>
              <w:rPr>
                <w:rFonts w:ascii="Arial" w:hAnsi="Arial"/>
                <w:b/>
                <w:color w:val="auto"/>
                <w:sz w:val="20"/>
              </w:rPr>
            </w:pPr>
          </w:p>
        </w:tc>
      </w:tr>
      <w:tr w:rsidR="00333A4B" w:rsidRPr="00E70587" w14:paraId="18890E3C" w14:textId="77777777" w:rsidTr="00543062">
        <w:tc>
          <w:tcPr>
            <w:tcW w:w="0" w:type="auto"/>
          </w:tcPr>
          <w:p w14:paraId="2869DFF5" w14:textId="77777777" w:rsidR="00333A4B" w:rsidRPr="00E70587" w:rsidRDefault="00333A4B" w:rsidP="00543062">
            <w:pPr>
              <w:pStyle w:val="Notesbodytext"/>
              <w:spacing w:after="0" w:line="280" w:lineRule="exact"/>
              <w:jc w:val="both"/>
              <w:rPr>
                <w:rFonts w:ascii="Arial" w:hAnsi="Arial"/>
                <w:color w:val="auto"/>
                <w:sz w:val="20"/>
              </w:rPr>
            </w:pPr>
            <w:r w:rsidRPr="00E70587">
              <w:rPr>
                <w:rFonts w:ascii="Arial" w:hAnsi="Arial"/>
                <w:b/>
                <w:color w:val="auto"/>
                <w:sz w:val="20"/>
              </w:rPr>
              <w:t>Construction materials price inflation</w:t>
            </w:r>
            <w:r w:rsidRPr="00E70587">
              <w:rPr>
                <w:rFonts w:ascii="Arial" w:hAnsi="Arial"/>
                <w:color w:val="auto"/>
                <w:sz w:val="20"/>
              </w:rPr>
              <w:t xml:space="preserve"> - Estimates are obtained from published indices for the countries from which materials are sourced, as well as data relating to specific commodities. Forecast figures are used if data is publicly available (principally for India and the United States), otherwise past actual material price movements are used as an indicator of future price movements.</w:t>
            </w:r>
          </w:p>
          <w:p w14:paraId="00C173ED" w14:textId="77777777" w:rsidR="00333A4B" w:rsidRPr="00E70587" w:rsidRDefault="00333A4B" w:rsidP="00543062">
            <w:pPr>
              <w:pStyle w:val="Notesbodytext"/>
              <w:spacing w:after="0" w:line="280" w:lineRule="exact"/>
              <w:rPr>
                <w:rFonts w:ascii="Arial" w:hAnsi="Arial"/>
                <w:b/>
                <w:color w:val="auto"/>
                <w:sz w:val="20"/>
              </w:rPr>
            </w:pPr>
          </w:p>
        </w:tc>
      </w:tr>
      <w:tr w:rsidR="00333A4B" w:rsidRPr="00E70587" w14:paraId="41ECC2F6" w14:textId="77777777" w:rsidTr="00543062">
        <w:tc>
          <w:tcPr>
            <w:tcW w:w="0" w:type="auto"/>
          </w:tcPr>
          <w:p w14:paraId="5CF3E40B" w14:textId="77777777" w:rsidR="00333A4B" w:rsidRPr="00E70587" w:rsidRDefault="00333A4B" w:rsidP="00543062">
            <w:pPr>
              <w:pStyle w:val="Notesbodytext"/>
              <w:spacing w:after="0" w:line="280" w:lineRule="exact"/>
              <w:jc w:val="both"/>
              <w:rPr>
                <w:rFonts w:ascii="Arial" w:hAnsi="Arial"/>
                <w:color w:val="auto"/>
                <w:sz w:val="20"/>
              </w:rPr>
            </w:pPr>
            <w:r w:rsidRPr="00E70587">
              <w:rPr>
                <w:rFonts w:ascii="Arial" w:hAnsi="Arial"/>
                <w:b/>
                <w:color w:val="auto"/>
                <w:sz w:val="20"/>
              </w:rPr>
              <w:t>Market share assumptions -</w:t>
            </w:r>
            <w:r w:rsidRPr="00E70587">
              <w:rPr>
                <w:rFonts w:ascii="Arial" w:hAnsi="Arial"/>
                <w:color w:val="auto"/>
                <w:sz w:val="20"/>
              </w:rPr>
              <w:t xml:space="preserve"> When using industry data for growth rates (as noted below), these assumptions are important because management assesses how the unit’s position, relative to its competitors, might change over the forecast period. Management expects the Group’s share of the electronics market to be stable over the forecast period. Management expects the Group’s position in Fire prevention equipment unit relative to its competitors to strengthen following the acquisition of Extinguishers Limited.</w:t>
            </w:r>
          </w:p>
          <w:p w14:paraId="138073F2" w14:textId="77777777" w:rsidR="00333A4B" w:rsidRPr="00E70587" w:rsidRDefault="00333A4B" w:rsidP="00543062">
            <w:pPr>
              <w:pStyle w:val="Notesbodytext"/>
              <w:spacing w:after="0" w:line="280" w:lineRule="exact"/>
              <w:rPr>
                <w:rFonts w:ascii="Arial" w:hAnsi="Arial"/>
                <w:b/>
                <w:color w:val="auto"/>
                <w:sz w:val="20"/>
              </w:rPr>
            </w:pPr>
          </w:p>
        </w:tc>
      </w:tr>
      <w:tr w:rsidR="00333A4B" w:rsidRPr="00E70587" w14:paraId="7A262FEB" w14:textId="77777777" w:rsidTr="00543062">
        <w:tc>
          <w:tcPr>
            <w:tcW w:w="0" w:type="auto"/>
          </w:tcPr>
          <w:p w14:paraId="33002C1D" w14:textId="77777777" w:rsidR="00333A4B" w:rsidRPr="00E70587" w:rsidRDefault="00333A4B" w:rsidP="00543062">
            <w:pPr>
              <w:pStyle w:val="Notesbodytext"/>
              <w:spacing w:after="0" w:line="280" w:lineRule="exact"/>
              <w:jc w:val="both"/>
              <w:rPr>
                <w:rFonts w:ascii="Arial" w:hAnsi="Arial"/>
                <w:color w:val="auto"/>
                <w:sz w:val="20"/>
              </w:rPr>
            </w:pPr>
            <w:r w:rsidRPr="00E70587">
              <w:rPr>
                <w:rFonts w:ascii="Arial" w:hAnsi="Arial"/>
                <w:b/>
                <w:color w:val="auto"/>
                <w:sz w:val="20"/>
              </w:rPr>
              <w:t>Growth rate estimates -</w:t>
            </w:r>
            <w:r w:rsidRPr="00E70587">
              <w:rPr>
                <w:rFonts w:ascii="Arial" w:hAnsi="Arial"/>
                <w:color w:val="auto"/>
                <w:sz w:val="20"/>
              </w:rPr>
              <w:t xml:space="preserve"> Rates are based on published industry research. For the reasons explained above, the long-term rate used to extrapolate the budget for the Fire prevention equipment unit includes an adjustment on account of the acquisition of a significant industry patent.</w:t>
            </w:r>
          </w:p>
          <w:p w14:paraId="28A918B9" w14:textId="77777777" w:rsidR="00333A4B" w:rsidRPr="00E70587" w:rsidRDefault="00333A4B" w:rsidP="00543062">
            <w:pPr>
              <w:pStyle w:val="Notesbodytext"/>
              <w:spacing w:after="0" w:line="280" w:lineRule="exact"/>
              <w:rPr>
                <w:rFonts w:ascii="Arial" w:hAnsi="Arial"/>
                <w:b/>
                <w:color w:val="auto"/>
                <w:sz w:val="20"/>
              </w:rPr>
            </w:pPr>
          </w:p>
        </w:tc>
      </w:tr>
      <w:tr w:rsidR="00333A4B" w:rsidRPr="00E70587" w14:paraId="041B7A69" w14:textId="77777777" w:rsidTr="00543062">
        <w:tc>
          <w:tcPr>
            <w:tcW w:w="0" w:type="auto"/>
          </w:tcPr>
          <w:p w14:paraId="26094BD9" w14:textId="77777777" w:rsidR="00333A4B" w:rsidRPr="00E70587" w:rsidRDefault="00333A4B" w:rsidP="00D61962">
            <w:pPr>
              <w:pStyle w:val="Notesbodytext"/>
              <w:spacing w:after="0" w:line="280" w:lineRule="exact"/>
              <w:jc w:val="both"/>
              <w:rPr>
                <w:rFonts w:ascii="Arial" w:hAnsi="Arial"/>
                <w:b/>
                <w:color w:val="auto"/>
                <w:sz w:val="20"/>
              </w:rPr>
            </w:pPr>
            <w:r w:rsidRPr="00E70587">
              <w:rPr>
                <w:rFonts w:ascii="Arial" w:hAnsi="Arial"/>
                <w:b/>
                <w:color w:val="auto"/>
                <w:sz w:val="20"/>
              </w:rPr>
              <w:t>Sensitivity to changes in assumptions</w:t>
            </w:r>
          </w:p>
          <w:p w14:paraId="4DAF98E0" w14:textId="77777777" w:rsidR="00333A4B" w:rsidRPr="00E70587" w:rsidRDefault="00333A4B" w:rsidP="00543062">
            <w:pPr>
              <w:pStyle w:val="Notesbulletpoint"/>
              <w:numPr>
                <w:ilvl w:val="0"/>
                <w:numId w:val="0"/>
              </w:numPr>
              <w:spacing w:after="0" w:line="280" w:lineRule="exact"/>
              <w:jc w:val="both"/>
              <w:rPr>
                <w:rFonts w:ascii="Arial" w:hAnsi="Arial"/>
                <w:color w:val="auto"/>
                <w:sz w:val="20"/>
              </w:rPr>
            </w:pPr>
          </w:p>
          <w:p w14:paraId="6488A96E" w14:textId="77777777" w:rsidR="00333A4B" w:rsidRPr="00E70587" w:rsidRDefault="00333A4B" w:rsidP="00543062">
            <w:pPr>
              <w:pStyle w:val="Notesbulletpoint"/>
              <w:numPr>
                <w:ilvl w:val="0"/>
                <w:numId w:val="0"/>
              </w:numPr>
              <w:spacing w:after="0" w:line="280" w:lineRule="exact"/>
              <w:jc w:val="both"/>
              <w:rPr>
                <w:rFonts w:ascii="Arial" w:hAnsi="Arial"/>
                <w:color w:val="auto"/>
                <w:sz w:val="20"/>
              </w:rPr>
            </w:pPr>
            <w:r w:rsidRPr="00E70587">
              <w:rPr>
                <w:rFonts w:ascii="Arial" w:hAnsi="Arial"/>
                <w:color w:val="auto"/>
                <w:sz w:val="20"/>
              </w:rPr>
              <w:t>The implications of the key assumptions for the recoverable amount are discussed below:</w:t>
            </w:r>
          </w:p>
          <w:p w14:paraId="69D8DBEB" w14:textId="77777777" w:rsidR="00333A4B" w:rsidRPr="00E70587" w:rsidRDefault="00333A4B" w:rsidP="00543062">
            <w:pPr>
              <w:pStyle w:val="Notesbulletpoint"/>
              <w:numPr>
                <w:ilvl w:val="0"/>
                <w:numId w:val="10"/>
              </w:numPr>
              <w:spacing w:before="120" w:after="0" w:line="280" w:lineRule="exact"/>
              <w:ind w:hanging="720"/>
              <w:jc w:val="both"/>
              <w:rPr>
                <w:rFonts w:ascii="Arial" w:hAnsi="Arial"/>
                <w:color w:val="auto"/>
                <w:sz w:val="20"/>
              </w:rPr>
            </w:pPr>
            <w:r w:rsidRPr="00E70587">
              <w:rPr>
                <w:rFonts w:ascii="Arial" w:hAnsi="Arial"/>
                <w:i/>
                <w:color w:val="auto"/>
                <w:sz w:val="20"/>
              </w:rPr>
              <w:t>Raw materials price inflation</w:t>
            </w:r>
            <w:r w:rsidRPr="00E70587">
              <w:rPr>
                <w:rFonts w:ascii="Arial" w:hAnsi="Arial"/>
                <w:color w:val="auto"/>
                <w:sz w:val="20"/>
              </w:rPr>
              <w:t xml:space="preserve"> - The </w:t>
            </w:r>
            <w:r w:rsidRPr="00E70587">
              <w:rPr>
                <w:rStyle w:val="NotesbodytextChar"/>
                <w:rFonts w:ascii="Arial" w:hAnsi="Arial"/>
                <w:color w:val="auto"/>
                <w:sz w:val="20"/>
                <w:lang w:val="en-IN"/>
              </w:rPr>
              <w:t>management has considered the possibility of greater than forecast increases in raw material price inflation. This may occur if anticipated regulatory changes result in an increase in demand that cannot be met by suppliers. Forecast price inflation lies within a range of 1.9% to 2.6% for Electronics unit and 2.1% to 4.5% for Fire prevention equipment unit, depending on the country from which materials are purchased. If prices of raw materials increase greater than the forecast price inflation and the Group is unable to pass on or absorb these increases through efficiency improvements, then the Group will have a further impairment in Electronics unit and headroom in Fire prevention equipment unit will diminish.</w:t>
            </w:r>
          </w:p>
          <w:p w14:paraId="3F79A2FC" w14:textId="77777777" w:rsidR="00333A4B" w:rsidRPr="00E70587" w:rsidRDefault="00333A4B" w:rsidP="00543062">
            <w:pPr>
              <w:pStyle w:val="Notesbulletpoint"/>
              <w:numPr>
                <w:ilvl w:val="0"/>
                <w:numId w:val="10"/>
              </w:numPr>
              <w:spacing w:before="120" w:after="0" w:line="280" w:lineRule="exact"/>
              <w:ind w:hanging="720"/>
              <w:jc w:val="both"/>
              <w:rPr>
                <w:rStyle w:val="NotesbodytextChar"/>
                <w:rFonts w:ascii="Arial" w:hAnsi="Arial"/>
                <w:color w:val="auto"/>
                <w:sz w:val="20"/>
                <w:lang w:val="en-IN"/>
              </w:rPr>
            </w:pPr>
            <w:r w:rsidRPr="00E70587">
              <w:rPr>
                <w:rFonts w:ascii="Arial" w:hAnsi="Arial"/>
                <w:i/>
                <w:color w:val="auto"/>
                <w:sz w:val="20"/>
              </w:rPr>
              <w:t>Growth rate assumptions</w:t>
            </w:r>
            <w:r w:rsidRPr="00E70587">
              <w:rPr>
                <w:rFonts w:ascii="Arial" w:hAnsi="Arial"/>
                <w:color w:val="auto"/>
                <w:sz w:val="20"/>
              </w:rPr>
              <w:t xml:space="preserve"> – The </w:t>
            </w:r>
            <w:r w:rsidRPr="00E70587">
              <w:rPr>
                <w:rStyle w:val="NotesbodytextChar"/>
                <w:rFonts w:ascii="Arial" w:hAnsi="Arial"/>
                <w:color w:val="auto"/>
                <w:sz w:val="20"/>
                <w:lang w:val="en-IN"/>
              </w:rPr>
              <w:t xml:space="preserve">management recognises that the speed of technological change and the possibility of new entrants can have a significant impact on growth rate assumptions. The </w:t>
            </w:r>
            <w:r w:rsidRPr="00E70587">
              <w:rPr>
                <w:rStyle w:val="NotesbodytextChar"/>
                <w:rFonts w:ascii="Arial" w:hAnsi="Arial"/>
                <w:color w:val="auto"/>
                <w:sz w:val="20"/>
                <w:lang w:val="en-IN"/>
              </w:rPr>
              <w:lastRenderedPageBreak/>
              <w:t>effect of new entrants is not expected to have an adverse impact on the forecasts, but could yield a reasonably possible alternative to the estimated long-term growth rate of 5.2% for Electronics unit and 8.4% for Fire prevention equipment unit. A reduction to 0.8% in the long-term growth rate in Electronics unit would result in a further impairment. For the Fire prevention equipment unit, a reduction to 0.3% in the long-term growth rate would result in impairment.</w:t>
            </w:r>
          </w:p>
          <w:p w14:paraId="386E6481" w14:textId="77777777" w:rsidR="00333A4B" w:rsidRPr="00E70587" w:rsidRDefault="00333A4B" w:rsidP="00543062">
            <w:pPr>
              <w:pStyle w:val="Notesbulletpoint"/>
              <w:numPr>
                <w:ilvl w:val="0"/>
                <w:numId w:val="10"/>
              </w:numPr>
              <w:spacing w:before="120" w:after="0" w:line="280" w:lineRule="exact"/>
              <w:ind w:hanging="720"/>
              <w:jc w:val="both"/>
              <w:rPr>
                <w:rFonts w:ascii="Arial" w:hAnsi="Arial"/>
                <w:color w:val="auto"/>
                <w:sz w:val="20"/>
              </w:rPr>
            </w:pPr>
            <w:r w:rsidRPr="00E70587">
              <w:rPr>
                <w:rFonts w:ascii="Arial" w:hAnsi="Arial"/>
                <w:i/>
                <w:color w:val="auto"/>
                <w:sz w:val="20"/>
              </w:rPr>
              <w:t>Gross margins</w:t>
            </w:r>
            <w:r w:rsidRPr="00E70587">
              <w:rPr>
                <w:rFonts w:ascii="Arial" w:hAnsi="Arial"/>
                <w:color w:val="auto"/>
                <w:sz w:val="20"/>
              </w:rPr>
              <w:t xml:space="preserve"> - A decreased demand can lead to a decline in gross margin. A decrease in gross margin to 1.0% would result in a further impairment in the Electronics unit. A decrease in gross margin to 5.0% would result in impairment in </w:t>
            </w:r>
            <w:r w:rsidRPr="00E70587">
              <w:rPr>
                <w:rStyle w:val="NotesbodytextChar"/>
                <w:rFonts w:ascii="Arial" w:hAnsi="Arial"/>
                <w:color w:val="auto"/>
                <w:sz w:val="20"/>
                <w:lang w:val="en-IN"/>
              </w:rPr>
              <w:t>the Fire prevention equipment unit.</w:t>
            </w:r>
          </w:p>
          <w:p w14:paraId="7E128339" w14:textId="77777777" w:rsidR="00333A4B" w:rsidRPr="00E70587" w:rsidRDefault="00333A4B" w:rsidP="00543062">
            <w:pPr>
              <w:pStyle w:val="Notesbulletpoint"/>
              <w:numPr>
                <w:ilvl w:val="0"/>
                <w:numId w:val="10"/>
              </w:numPr>
              <w:spacing w:before="120" w:after="0" w:line="280" w:lineRule="exact"/>
              <w:ind w:hanging="720"/>
              <w:jc w:val="both"/>
              <w:rPr>
                <w:rFonts w:ascii="Arial" w:hAnsi="Arial"/>
                <w:color w:val="auto"/>
                <w:sz w:val="20"/>
              </w:rPr>
            </w:pPr>
            <w:r w:rsidRPr="00E70587">
              <w:rPr>
                <w:rFonts w:ascii="Arial" w:hAnsi="Arial"/>
                <w:i/>
                <w:color w:val="auto"/>
                <w:sz w:val="20"/>
              </w:rPr>
              <w:t>Discount rates</w:t>
            </w:r>
            <w:r w:rsidRPr="00E70587">
              <w:rPr>
                <w:rFonts w:ascii="Arial" w:hAnsi="Arial"/>
                <w:color w:val="auto"/>
                <w:sz w:val="20"/>
              </w:rPr>
              <w:t xml:space="preserve"> - A rise in pre-tax discount rate to 16.0% (</w:t>
            </w:r>
            <w:proofErr w:type="gramStart"/>
            <w:r w:rsidRPr="00E70587">
              <w:rPr>
                <w:rFonts w:ascii="Arial" w:hAnsi="Arial"/>
                <w:color w:val="auto"/>
                <w:sz w:val="20"/>
              </w:rPr>
              <w:t>i.e.</w:t>
            </w:r>
            <w:proofErr w:type="gramEnd"/>
            <w:r w:rsidRPr="00E70587">
              <w:rPr>
                <w:rFonts w:ascii="Arial" w:hAnsi="Arial"/>
                <w:color w:val="auto"/>
                <w:sz w:val="20"/>
              </w:rPr>
              <w:t xml:space="preserve"> +0.5%) in the Electronics unit would result in a further impairment. A rise in pre-tax discount rate to 20.0% in the Fire prevention equipment unit would result in impairment.</w:t>
            </w:r>
          </w:p>
          <w:p w14:paraId="27412429" w14:textId="77777777" w:rsidR="00333A4B" w:rsidRPr="00E70587" w:rsidRDefault="00333A4B" w:rsidP="00543062">
            <w:pPr>
              <w:pStyle w:val="Notesbulletpoint"/>
              <w:numPr>
                <w:ilvl w:val="0"/>
                <w:numId w:val="10"/>
              </w:numPr>
              <w:spacing w:before="120" w:after="0" w:line="280" w:lineRule="exact"/>
              <w:ind w:hanging="720"/>
              <w:jc w:val="both"/>
              <w:rPr>
                <w:rFonts w:ascii="Arial" w:hAnsi="Arial"/>
                <w:color w:val="auto"/>
                <w:sz w:val="20"/>
              </w:rPr>
            </w:pPr>
            <w:r w:rsidRPr="00E70587">
              <w:rPr>
                <w:rFonts w:ascii="Arial" w:hAnsi="Arial"/>
                <w:i/>
                <w:color w:val="auto"/>
                <w:sz w:val="20"/>
              </w:rPr>
              <w:t>Market share during the forecast period</w:t>
            </w:r>
            <w:r w:rsidRPr="00E70587">
              <w:rPr>
                <w:rFonts w:ascii="Arial" w:hAnsi="Arial"/>
                <w:color w:val="auto"/>
                <w:sz w:val="20"/>
              </w:rPr>
              <w:t xml:space="preserve"> - Although the management expects the Group’s market share of the electronics market to be stable over the forecast period, a decline in the market share by 8% would result in a further impairment in </w:t>
            </w:r>
            <w:r w:rsidRPr="00E70587">
              <w:rPr>
                <w:rStyle w:val="NotesbodytextChar"/>
                <w:rFonts w:ascii="Arial" w:hAnsi="Arial"/>
                <w:color w:val="auto"/>
                <w:sz w:val="20"/>
                <w:lang w:val="en-IN"/>
              </w:rPr>
              <w:t>the Electronics unit</w:t>
            </w:r>
            <w:r w:rsidRPr="00E70587">
              <w:rPr>
                <w:rFonts w:ascii="Arial" w:hAnsi="Arial"/>
                <w:color w:val="auto"/>
                <w:sz w:val="20"/>
              </w:rPr>
              <w:t xml:space="preserve">. Similarly, a decline in market share in fire prevention equipment market by 20% would result in impairment in the </w:t>
            </w:r>
            <w:r w:rsidRPr="00E70587">
              <w:rPr>
                <w:rStyle w:val="NotesbodytextChar"/>
                <w:rFonts w:ascii="Arial" w:hAnsi="Arial"/>
                <w:color w:val="auto"/>
                <w:sz w:val="20"/>
                <w:lang w:val="en-IN"/>
              </w:rPr>
              <w:t>Fire prevention equipment unit.</w:t>
            </w:r>
          </w:p>
          <w:p w14:paraId="0914F584" w14:textId="77777777" w:rsidR="00333A4B" w:rsidRPr="00E70587" w:rsidRDefault="00333A4B" w:rsidP="00543062">
            <w:pPr>
              <w:pStyle w:val="Heading4"/>
              <w:spacing w:before="0" w:after="0" w:line="280" w:lineRule="exact"/>
              <w:jc w:val="both"/>
              <w:rPr>
                <w:rFonts w:ascii="Arial" w:hAnsi="Arial" w:cs="Arial"/>
                <w:szCs w:val="20"/>
              </w:rPr>
            </w:pPr>
          </w:p>
        </w:tc>
      </w:tr>
      <w:tr w:rsidR="00333A4B" w:rsidRPr="00E70587" w14:paraId="39914AE5" w14:textId="77777777" w:rsidTr="00543062">
        <w:tc>
          <w:tcPr>
            <w:tcW w:w="0" w:type="auto"/>
          </w:tcPr>
          <w:p w14:paraId="2D33BD20" w14:textId="77777777" w:rsidR="00333A4B" w:rsidRPr="00E70587" w:rsidRDefault="00333A4B" w:rsidP="00543062">
            <w:pPr>
              <w:pStyle w:val="Greybox"/>
              <w:shd w:val="clear" w:color="auto" w:fill="C1C1C1" w:themeFill="background1" w:themeFillTint="66"/>
              <w:spacing w:line="280" w:lineRule="exact"/>
              <w:jc w:val="both"/>
              <w:rPr>
                <w:rFonts w:ascii="Arial" w:hAnsi="Arial"/>
                <w:b/>
                <w:color w:val="auto"/>
                <w:sz w:val="20"/>
              </w:rPr>
            </w:pPr>
            <w:r w:rsidRPr="00E70587">
              <w:rPr>
                <w:rFonts w:ascii="Arial" w:hAnsi="Arial"/>
                <w:b/>
                <w:color w:val="auto"/>
                <w:sz w:val="20"/>
              </w:rPr>
              <w:lastRenderedPageBreak/>
              <w:t>Authors’ note</w:t>
            </w:r>
          </w:p>
          <w:p w14:paraId="34EB4A32" w14:textId="77777777" w:rsidR="00333A4B" w:rsidRPr="00E70587" w:rsidRDefault="00333A4B" w:rsidP="00543062">
            <w:pPr>
              <w:pStyle w:val="Greybox"/>
              <w:shd w:val="clear" w:color="auto" w:fill="C1C1C1" w:themeFill="background1" w:themeFillTint="66"/>
              <w:spacing w:line="280" w:lineRule="exact"/>
              <w:jc w:val="both"/>
              <w:rPr>
                <w:rFonts w:ascii="Arial" w:hAnsi="Arial"/>
                <w:color w:val="auto"/>
                <w:sz w:val="20"/>
              </w:rPr>
            </w:pPr>
          </w:p>
          <w:p w14:paraId="418A2446" w14:textId="77777777" w:rsidR="00333A4B" w:rsidRPr="00E70587" w:rsidRDefault="00333A4B" w:rsidP="00543062">
            <w:pPr>
              <w:pStyle w:val="Greybox"/>
              <w:shd w:val="clear" w:color="auto" w:fill="C1C1C1" w:themeFill="background1" w:themeFillTint="66"/>
              <w:spacing w:line="280" w:lineRule="exact"/>
              <w:jc w:val="both"/>
              <w:rPr>
                <w:rFonts w:ascii="Arial" w:hAnsi="Arial"/>
                <w:color w:val="auto"/>
                <w:sz w:val="20"/>
              </w:rPr>
            </w:pPr>
            <w:r w:rsidRPr="00E70587">
              <w:rPr>
                <w:rFonts w:ascii="Arial" w:hAnsi="Arial"/>
                <w:color w:val="auto"/>
                <w:sz w:val="20"/>
              </w:rPr>
              <w:t xml:space="preserve">The Group has determined recoverable amounts of its cash generating units (CGUs) based on value in use under Ind-AS 36. If the recoverable amounts are determined using fair value less costs of disposal, Ind-AS 36 requires disclosure of the valuation technique(s) and other information including: the key assumptions used; a description of management’s approach to each key assumption; the level of fair value hierarchy and the reason(s) for changing valuation techniques, if there is any change, are required to be provided in the financial statements. Furthermore, if fair value less cost of disposal is determined using discounted cash flow projections, additional information such as period of cash flow projections, growth rate used to extrapolate cash flow projections and the discount rate(s) applied to the cash flow projections are required to be disclosed. </w:t>
            </w:r>
          </w:p>
          <w:p w14:paraId="6B9E6F8A" w14:textId="77777777" w:rsidR="00333A4B" w:rsidRPr="00E70587" w:rsidRDefault="00333A4B" w:rsidP="00543062">
            <w:pPr>
              <w:pStyle w:val="Greybox"/>
              <w:shd w:val="clear" w:color="auto" w:fill="C1C1C1" w:themeFill="background1" w:themeFillTint="66"/>
              <w:spacing w:line="280" w:lineRule="exact"/>
              <w:jc w:val="both"/>
              <w:rPr>
                <w:rFonts w:ascii="Arial" w:hAnsi="Arial"/>
                <w:color w:val="auto"/>
                <w:sz w:val="20"/>
              </w:rPr>
            </w:pPr>
          </w:p>
          <w:p w14:paraId="3829E05E" w14:textId="77777777" w:rsidR="00333A4B" w:rsidRPr="00E70587" w:rsidRDefault="00333A4B" w:rsidP="00543062">
            <w:pPr>
              <w:pStyle w:val="Greybox"/>
              <w:shd w:val="clear" w:color="auto" w:fill="C1C1C1" w:themeFill="background1" w:themeFillTint="66"/>
              <w:spacing w:line="280" w:lineRule="exact"/>
              <w:jc w:val="both"/>
              <w:rPr>
                <w:rFonts w:ascii="Arial" w:hAnsi="Arial"/>
                <w:color w:val="auto"/>
                <w:sz w:val="20"/>
              </w:rPr>
            </w:pPr>
            <w:r w:rsidRPr="00E70587">
              <w:rPr>
                <w:rFonts w:ascii="Arial" w:hAnsi="Arial"/>
                <w:color w:val="auto"/>
                <w:sz w:val="20"/>
              </w:rPr>
              <w:t>Ind-AS 36 requires disclosures of sensitivity analysis for each CGU for which carrying amount of goodwill or intangible assets with indefinite lives allocated to that CGU is significant in comparison with the entity’s total carrying amount of goodwill or intangible assets with indefinite lives. These disclosures are made if a reasonably possible change in a key assumption used to determine the CGU’s recoverable amount would cause the CGU’s carrying amount to exceed its recoverable amount. The Group has made these disclosures for all the key assumptions for Electronics unit, since there is an impairment charge during the year and the carrying amount equals recoverable amount, and for Fire prevention equipment unit, as it is believed that a reasonably possible change in the key assumptions may cause impairment. Entities need to also take into account the consequential effect of a change in one assumption on other assumptions, as part of the sensitivity analyses when determining the point at which the recoverable amount equals the carrying amount. The Group has considered this in the disclosures herein.</w:t>
            </w:r>
          </w:p>
        </w:tc>
      </w:tr>
    </w:tbl>
    <w:p w14:paraId="15F2F761" w14:textId="77777777" w:rsidR="00333A4B" w:rsidRPr="00E70587" w:rsidRDefault="00333A4B" w:rsidP="00333A4B">
      <w:pPr>
        <w:pStyle w:val="IAStext"/>
        <w:overflowPunct w:val="0"/>
        <w:autoSpaceDE w:val="0"/>
        <w:autoSpaceDN w:val="0"/>
        <w:adjustRightInd w:val="0"/>
        <w:spacing w:line="280" w:lineRule="exact"/>
        <w:textAlignment w:val="baseline"/>
        <w:rPr>
          <w:rFonts w:ascii="Arial" w:hAnsi="Arial" w:cs="Arial"/>
          <w:i w:val="0"/>
          <w:sz w:val="20"/>
          <w:lang w:val="en-IN"/>
        </w:rPr>
      </w:pPr>
    </w:p>
    <w:p w14:paraId="250902F5" w14:textId="77777777" w:rsidR="00333A4B" w:rsidRPr="00E70587" w:rsidRDefault="00333A4B" w:rsidP="00333A4B">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Financial assets</w:t>
      </w:r>
    </w:p>
    <w:tbl>
      <w:tblPr>
        <w:tblW w:w="9552" w:type="dxa"/>
        <w:tblLayout w:type="fixed"/>
        <w:tblLook w:val="01E0" w:firstRow="1" w:lastRow="1" w:firstColumn="1" w:lastColumn="1" w:noHBand="0" w:noVBand="0"/>
      </w:tblPr>
      <w:tblGrid>
        <w:gridCol w:w="6663"/>
        <w:gridCol w:w="1479"/>
        <w:gridCol w:w="1410"/>
      </w:tblGrid>
      <w:tr w:rsidR="000A2ED4" w:rsidRPr="00E70587" w14:paraId="7DE0E163" w14:textId="77777777" w:rsidTr="000A2ED4">
        <w:trPr>
          <w:tblHeader/>
        </w:trPr>
        <w:tc>
          <w:tcPr>
            <w:tcW w:w="6663" w:type="dxa"/>
            <w:tcMar>
              <w:top w:w="28" w:type="dxa"/>
            </w:tcMar>
            <w:vAlign w:val="bottom"/>
          </w:tcPr>
          <w:p w14:paraId="0A8C3229" w14:textId="77777777" w:rsidR="000A2ED4" w:rsidRPr="00E70587" w:rsidRDefault="000A2ED4" w:rsidP="00543062">
            <w:pPr>
              <w:pStyle w:val="Heading5"/>
              <w:spacing w:before="0" w:after="0" w:line="280" w:lineRule="exact"/>
              <w:rPr>
                <w:rFonts w:ascii="Arial" w:hAnsi="Arial" w:cs="Arial"/>
                <w:sz w:val="20"/>
                <w:szCs w:val="20"/>
              </w:rPr>
            </w:pPr>
          </w:p>
        </w:tc>
        <w:tc>
          <w:tcPr>
            <w:tcW w:w="1479" w:type="dxa"/>
            <w:vAlign w:val="bottom"/>
          </w:tcPr>
          <w:p w14:paraId="3F6D0897" w14:textId="6C384886" w:rsidR="000A2ED4" w:rsidRPr="00E70587" w:rsidRDefault="000A2ED4" w:rsidP="00543062">
            <w:pPr>
              <w:pStyle w:val="tabletext"/>
              <w:spacing w:line="280" w:lineRule="exact"/>
              <w:jc w:val="right"/>
              <w:rPr>
                <w:rFonts w:ascii="Arial" w:hAnsi="Arial" w:cs="Arial"/>
                <w:b/>
                <w:sz w:val="20"/>
                <w:lang w:val="en-IN"/>
              </w:rPr>
            </w:pPr>
            <w:r w:rsidRPr="00E70587">
              <w:rPr>
                <w:rFonts w:ascii="Arial" w:hAnsi="Arial" w:cs="Arial"/>
                <w:b/>
                <w:sz w:val="20"/>
                <w:lang w:val="en-IN"/>
              </w:rPr>
              <w:t xml:space="preserve">31 March </w:t>
            </w:r>
            <w:r w:rsidR="00A76DBF" w:rsidRPr="00E70587">
              <w:rPr>
                <w:rFonts w:ascii="Arial" w:hAnsi="Arial" w:cs="Arial"/>
                <w:b/>
                <w:sz w:val="20"/>
                <w:lang w:val="en-IN"/>
              </w:rPr>
              <w:t>20</w:t>
            </w:r>
            <w:r w:rsidR="00A76DBF">
              <w:rPr>
                <w:rFonts w:ascii="Arial" w:hAnsi="Arial" w:cs="Arial"/>
                <w:b/>
                <w:sz w:val="20"/>
                <w:lang w:val="en-IN"/>
              </w:rPr>
              <w:t>21</w:t>
            </w:r>
          </w:p>
        </w:tc>
        <w:tc>
          <w:tcPr>
            <w:tcW w:w="1410" w:type="dxa"/>
            <w:vAlign w:val="bottom"/>
          </w:tcPr>
          <w:p w14:paraId="54EF5D73" w14:textId="46433AA2" w:rsidR="000A2ED4" w:rsidRPr="00E70587" w:rsidRDefault="000A2ED4" w:rsidP="00543062">
            <w:pPr>
              <w:pStyle w:val="tabletext"/>
              <w:spacing w:line="280" w:lineRule="exact"/>
              <w:jc w:val="right"/>
              <w:rPr>
                <w:rFonts w:ascii="Arial" w:hAnsi="Arial" w:cs="Arial"/>
                <w:b/>
                <w:sz w:val="20"/>
                <w:lang w:val="en-IN"/>
              </w:rPr>
            </w:pPr>
            <w:r w:rsidRPr="00E70587">
              <w:rPr>
                <w:rFonts w:ascii="Arial" w:hAnsi="Arial" w:cs="Arial"/>
                <w:b/>
                <w:sz w:val="20"/>
                <w:lang w:val="en-IN"/>
              </w:rPr>
              <w:t xml:space="preserve">31 March </w:t>
            </w:r>
            <w:r w:rsidR="00A76DBF" w:rsidRPr="00E70587">
              <w:rPr>
                <w:rFonts w:ascii="Arial" w:hAnsi="Arial" w:cs="Arial"/>
                <w:b/>
                <w:sz w:val="20"/>
                <w:lang w:val="en-IN"/>
              </w:rPr>
              <w:t>20</w:t>
            </w:r>
            <w:r w:rsidR="00A76DBF">
              <w:rPr>
                <w:rFonts w:ascii="Arial" w:hAnsi="Arial" w:cs="Arial"/>
                <w:b/>
                <w:sz w:val="20"/>
                <w:lang w:val="en-IN"/>
              </w:rPr>
              <w:t>20</w:t>
            </w:r>
          </w:p>
        </w:tc>
      </w:tr>
      <w:tr w:rsidR="000A2ED4" w:rsidRPr="00E70587" w14:paraId="34C12A3C" w14:textId="77777777" w:rsidTr="000A2ED4">
        <w:trPr>
          <w:tblHeader/>
        </w:trPr>
        <w:tc>
          <w:tcPr>
            <w:tcW w:w="6663" w:type="dxa"/>
            <w:tcMar>
              <w:top w:w="28" w:type="dxa"/>
            </w:tcMar>
            <w:vAlign w:val="bottom"/>
          </w:tcPr>
          <w:p w14:paraId="37338049" w14:textId="77777777" w:rsidR="000A2ED4" w:rsidRPr="00E70587" w:rsidRDefault="000A2ED4" w:rsidP="00543062">
            <w:pPr>
              <w:pStyle w:val="Heading5"/>
              <w:spacing w:before="0" w:after="0" w:line="280" w:lineRule="exact"/>
              <w:rPr>
                <w:rFonts w:ascii="Arial" w:hAnsi="Arial" w:cs="Arial"/>
                <w:sz w:val="20"/>
                <w:szCs w:val="20"/>
              </w:rPr>
            </w:pPr>
          </w:p>
        </w:tc>
        <w:tc>
          <w:tcPr>
            <w:tcW w:w="1479" w:type="dxa"/>
            <w:tcBorders>
              <w:top w:val="single" w:sz="4" w:space="0" w:color="auto"/>
            </w:tcBorders>
            <w:vAlign w:val="bottom"/>
          </w:tcPr>
          <w:p w14:paraId="4DCD4AF5" w14:textId="77777777" w:rsidR="000A2ED4" w:rsidRPr="00E70587" w:rsidRDefault="000A2ED4" w:rsidP="00543062">
            <w:pPr>
              <w:pStyle w:val="tabletext"/>
              <w:spacing w:line="280" w:lineRule="exact"/>
              <w:jc w:val="right"/>
              <w:rPr>
                <w:rFonts w:ascii="Arial" w:hAnsi="Arial" w:cs="Arial"/>
                <w:b/>
                <w:sz w:val="20"/>
                <w:lang w:val="en-IN"/>
              </w:rPr>
            </w:pPr>
            <w:r w:rsidRPr="00E70587">
              <w:rPr>
                <w:rFonts w:ascii="Arial" w:hAnsi="Arial" w:cs="Arial"/>
                <w:b/>
                <w:sz w:val="20"/>
                <w:lang w:val="en-IN"/>
              </w:rPr>
              <w:t>INR Lacs</w:t>
            </w:r>
          </w:p>
        </w:tc>
        <w:tc>
          <w:tcPr>
            <w:tcW w:w="1410" w:type="dxa"/>
            <w:tcBorders>
              <w:top w:val="single" w:sz="4" w:space="0" w:color="auto"/>
            </w:tcBorders>
            <w:vAlign w:val="bottom"/>
          </w:tcPr>
          <w:p w14:paraId="57C17C0F" w14:textId="77777777" w:rsidR="000A2ED4" w:rsidRPr="00E70587" w:rsidRDefault="000A2ED4" w:rsidP="00543062">
            <w:pPr>
              <w:pStyle w:val="tabletext"/>
              <w:spacing w:line="280" w:lineRule="exact"/>
              <w:jc w:val="right"/>
              <w:rPr>
                <w:rFonts w:ascii="Arial" w:hAnsi="Arial" w:cs="Arial"/>
                <w:b/>
                <w:sz w:val="20"/>
                <w:lang w:val="en-IN"/>
              </w:rPr>
            </w:pPr>
            <w:r w:rsidRPr="00E70587">
              <w:rPr>
                <w:rFonts w:ascii="Arial" w:hAnsi="Arial" w:cs="Arial"/>
                <w:b/>
                <w:sz w:val="20"/>
                <w:lang w:val="en-IN"/>
              </w:rPr>
              <w:t>INR Lacs</w:t>
            </w:r>
          </w:p>
        </w:tc>
      </w:tr>
      <w:tr w:rsidR="000A2ED4" w:rsidRPr="00E70587" w14:paraId="5BBEEC56" w14:textId="77777777" w:rsidTr="000A2ED4">
        <w:tc>
          <w:tcPr>
            <w:tcW w:w="6663" w:type="dxa"/>
            <w:tcMar>
              <w:top w:w="28" w:type="dxa"/>
            </w:tcMar>
            <w:vAlign w:val="bottom"/>
          </w:tcPr>
          <w:p w14:paraId="717E1104" w14:textId="77777777" w:rsidR="000A2ED4" w:rsidRPr="00E70587" w:rsidDel="00D61962" w:rsidRDefault="000A2ED4" w:rsidP="00D61962">
            <w:pPr>
              <w:pStyle w:val="Heading5"/>
              <w:spacing w:before="0" w:after="0" w:line="280" w:lineRule="exact"/>
              <w:rPr>
                <w:rFonts w:ascii="Arial" w:hAnsi="Arial" w:cs="Arial"/>
                <w:sz w:val="20"/>
                <w:szCs w:val="20"/>
              </w:rPr>
            </w:pPr>
            <w:r w:rsidRPr="00E70587">
              <w:rPr>
                <w:rFonts w:ascii="Arial" w:hAnsi="Arial" w:cs="Arial"/>
                <w:sz w:val="20"/>
                <w:szCs w:val="20"/>
              </w:rPr>
              <w:t>Investments</w:t>
            </w:r>
          </w:p>
        </w:tc>
        <w:tc>
          <w:tcPr>
            <w:tcW w:w="1479" w:type="dxa"/>
            <w:vAlign w:val="bottom"/>
          </w:tcPr>
          <w:p w14:paraId="0C5FC2C3" w14:textId="77777777" w:rsidR="000A2ED4" w:rsidRPr="00E70587" w:rsidRDefault="000A2ED4" w:rsidP="00543062">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410" w:type="dxa"/>
            <w:vAlign w:val="bottom"/>
          </w:tcPr>
          <w:p w14:paraId="50BF7381" w14:textId="77777777" w:rsidR="000A2ED4" w:rsidRPr="00E70587" w:rsidRDefault="000A2ED4" w:rsidP="00543062">
            <w:pPr>
              <w:pStyle w:val="tabletext"/>
              <w:overflowPunct w:val="0"/>
              <w:autoSpaceDE w:val="0"/>
              <w:autoSpaceDN w:val="0"/>
              <w:adjustRightInd w:val="0"/>
              <w:spacing w:line="280" w:lineRule="exact"/>
              <w:jc w:val="right"/>
              <w:textAlignment w:val="baseline"/>
              <w:rPr>
                <w:rFonts w:ascii="Arial" w:hAnsi="Arial" w:cs="Arial"/>
                <w:b/>
                <w:sz w:val="20"/>
                <w:lang w:val="en-IN"/>
              </w:rPr>
            </w:pPr>
          </w:p>
        </w:tc>
      </w:tr>
      <w:tr w:rsidR="000A2ED4" w:rsidRPr="00E70587" w14:paraId="100D2988" w14:textId="77777777" w:rsidTr="000A2ED4">
        <w:tc>
          <w:tcPr>
            <w:tcW w:w="6663" w:type="dxa"/>
            <w:tcMar>
              <w:top w:w="28" w:type="dxa"/>
            </w:tcMar>
            <w:vAlign w:val="bottom"/>
          </w:tcPr>
          <w:p w14:paraId="467D7C3A" w14:textId="77777777" w:rsidR="000A2ED4" w:rsidRPr="00E70587" w:rsidRDefault="000A2ED4" w:rsidP="00D61962">
            <w:pPr>
              <w:pStyle w:val="Heading5"/>
              <w:spacing w:before="0" w:after="0" w:line="280" w:lineRule="exact"/>
              <w:rPr>
                <w:rFonts w:ascii="Arial" w:hAnsi="Arial" w:cs="Arial"/>
                <w:sz w:val="20"/>
                <w:szCs w:val="20"/>
              </w:rPr>
            </w:pPr>
            <w:r w:rsidRPr="00E70587">
              <w:rPr>
                <w:rFonts w:ascii="Arial" w:hAnsi="Arial" w:cs="Arial"/>
                <w:sz w:val="20"/>
                <w:szCs w:val="20"/>
              </w:rPr>
              <w:t>Investments at fair value through OCI (FVTOCI)</w:t>
            </w:r>
          </w:p>
        </w:tc>
        <w:tc>
          <w:tcPr>
            <w:tcW w:w="1479" w:type="dxa"/>
            <w:vAlign w:val="bottom"/>
          </w:tcPr>
          <w:p w14:paraId="5713A6DE" w14:textId="77777777" w:rsidR="000A2ED4" w:rsidRPr="00E70587" w:rsidRDefault="000A2ED4" w:rsidP="00543062">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410" w:type="dxa"/>
            <w:vAlign w:val="bottom"/>
          </w:tcPr>
          <w:p w14:paraId="27F57EC6" w14:textId="77777777" w:rsidR="000A2ED4" w:rsidRPr="00E70587" w:rsidRDefault="000A2ED4" w:rsidP="00543062">
            <w:pPr>
              <w:pStyle w:val="tabletext"/>
              <w:overflowPunct w:val="0"/>
              <w:autoSpaceDE w:val="0"/>
              <w:autoSpaceDN w:val="0"/>
              <w:adjustRightInd w:val="0"/>
              <w:spacing w:line="280" w:lineRule="exact"/>
              <w:jc w:val="right"/>
              <w:textAlignment w:val="baseline"/>
              <w:rPr>
                <w:rFonts w:ascii="Arial" w:hAnsi="Arial" w:cs="Arial"/>
                <w:b/>
                <w:sz w:val="20"/>
                <w:lang w:val="en-IN"/>
              </w:rPr>
            </w:pPr>
          </w:p>
        </w:tc>
      </w:tr>
      <w:tr w:rsidR="000A2ED4" w:rsidRPr="00E70587" w14:paraId="12AAF5E7" w14:textId="77777777" w:rsidTr="000A2ED4">
        <w:tc>
          <w:tcPr>
            <w:tcW w:w="6663" w:type="dxa"/>
            <w:tcMar>
              <w:top w:w="28" w:type="dxa"/>
            </w:tcMar>
          </w:tcPr>
          <w:p w14:paraId="63FEF157" w14:textId="77777777" w:rsidR="000A2ED4" w:rsidRPr="00E70587" w:rsidRDefault="000A2ED4" w:rsidP="00543062">
            <w:pPr>
              <w:pStyle w:val="Notesitalicheading"/>
              <w:spacing w:line="280" w:lineRule="exact"/>
              <w:rPr>
                <w:rFonts w:ascii="Arial" w:eastAsiaTheme="minorHAnsi" w:hAnsi="Arial"/>
                <w:color w:val="auto"/>
                <w:sz w:val="20"/>
              </w:rPr>
            </w:pPr>
            <w:r w:rsidRPr="00E70587">
              <w:rPr>
                <w:rFonts w:ascii="Arial" w:eastAsiaTheme="minorHAnsi" w:hAnsi="Arial"/>
                <w:color w:val="auto"/>
                <w:sz w:val="20"/>
              </w:rPr>
              <w:t>Unquoted equity shares (fully paid)</w:t>
            </w:r>
          </w:p>
        </w:tc>
        <w:tc>
          <w:tcPr>
            <w:tcW w:w="1479" w:type="dxa"/>
            <w:vAlign w:val="center"/>
          </w:tcPr>
          <w:p w14:paraId="467D7384" w14:textId="77777777" w:rsidR="000A2ED4" w:rsidRPr="00E70587" w:rsidRDefault="000A2ED4" w:rsidP="00543062">
            <w:pPr>
              <w:pStyle w:val="Notesitalicheading"/>
              <w:spacing w:line="280" w:lineRule="exact"/>
              <w:rPr>
                <w:rFonts w:ascii="Arial" w:eastAsiaTheme="minorHAnsi" w:hAnsi="Arial"/>
                <w:color w:val="auto"/>
                <w:sz w:val="20"/>
              </w:rPr>
            </w:pPr>
          </w:p>
        </w:tc>
        <w:tc>
          <w:tcPr>
            <w:tcW w:w="1410" w:type="dxa"/>
            <w:vAlign w:val="center"/>
          </w:tcPr>
          <w:p w14:paraId="55C571C8" w14:textId="77777777" w:rsidR="000A2ED4" w:rsidRPr="00E70587" w:rsidRDefault="000A2ED4" w:rsidP="00543062">
            <w:pPr>
              <w:pStyle w:val="Notesitalicheading"/>
              <w:spacing w:line="280" w:lineRule="exact"/>
              <w:rPr>
                <w:rFonts w:ascii="Arial" w:eastAsiaTheme="minorHAnsi" w:hAnsi="Arial"/>
                <w:color w:val="auto"/>
                <w:sz w:val="20"/>
              </w:rPr>
            </w:pPr>
          </w:p>
        </w:tc>
      </w:tr>
      <w:tr w:rsidR="000A2ED4" w:rsidRPr="00E70587" w14:paraId="72FC69B5" w14:textId="77777777" w:rsidTr="000A2ED4">
        <w:tc>
          <w:tcPr>
            <w:tcW w:w="6663" w:type="dxa"/>
            <w:tcMar>
              <w:top w:w="28" w:type="dxa"/>
            </w:tcMar>
            <w:vAlign w:val="center"/>
          </w:tcPr>
          <w:p w14:paraId="43A85624" w14:textId="1C2D3FBB" w:rsidR="000A2ED4" w:rsidRPr="00E70587" w:rsidRDefault="000A2ED4" w:rsidP="00F84694">
            <w:pPr>
              <w:spacing w:line="280" w:lineRule="exact"/>
              <w:ind w:left="288"/>
              <w:rPr>
                <w:rFonts w:ascii="Arial" w:hAnsi="Arial" w:cs="Arial"/>
                <w:sz w:val="20"/>
              </w:rPr>
            </w:pPr>
            <w:r w:rsidRPr="00E70587">
              <w:rPr>
                <w:rFonts w:ascii="Arial" w:hAnsi="Arial" w:cs="Arial"/>
                <w:sz w:val="20"/>
              </w:rPr>
              <w:t xml:space="preserve">50,000 (31 March </w:t>
            </w:r>
            <w:r w:rsidR="00AF4353" w:rsidRPr="00E70587">
              <w:rPr>
                <w:rFonts w:ascii="Arial" w:hAnsi="Arial" w:cs="Arial"/>
                <w:sz w:val="20"/>
              </w:rPr>
              <w:t>20</w:t>
            </w:r>
            <w:r w:rsidR="00AF4353">
              <w:rPr>
                <w:rFonts w:ascii="Arial" w:hAnsi="Arial" w:cs="Arial"/>
                <w:sz w:val="20"/>
              </w:rPr>
              <w:t>20</w:t>
            </w:r>
            <w:r w:rsidRPr="00E70587">
              <w:rPr>
                <w:rFonts w:ascii="Arial" w:hAnsi="Arial" w:cs="Arial"/>
                <w:sz w:val="20"/>
              </w:rPr>
              <w:t xml:space="preserve">: 50,000) equity shares of I Limited </w:t>
            </w:r>
          </w:p>
        </w:tc>
        <w:tc>
          <w:tcPr>
            <w:tcW w:w="1479" w:type="dxa"/>
            <w:vAlign w:val="center"/>
          </w:tcPr>
          <w:p w14:paraId="2BFD77E6"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850</w:t>
            </w:r>
          </w:p>
        </w:tc>
        <w:tc>
          <w:tcPr>
            <w:tcW w:w="1410" w:type="dxa"/>
            <w:vAlign w:val="center"/>
          </w:tcPr>
          <w:p w14:paraId="35ED7DB5"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850</w:t>
            </w:r>
          </w:p>
        </w:tc>
      </w:tr>
      <w:tr w:rsidR="000A2ED4" w:rsidRPr="00E70587" w14:paraId="4F024ABC" w14:textId="77777777" w:rsidTr="000A2ED4">
        <w:tc>
          <w:tcPr>
            <w:tcW w:w="6663" w:type="dxa"/>
            <w:tcMar>
              <w:top w:w="28" w:type="dxa"/>
            </w:tcMar>
            <w:vAlign w:val="center"/>
          </w:tcPr>
          <w:p w14:paraId="5870469A" w14:textId="0EF2AB79" w:rsidR="000A2ED4" w:rsidRPr="00E70587" w:rsidRDefault="000A2ED4" w:rsidP="00F84694">
            <w:pPr>
              <w:spacing w:line="280" w:lineRule="exact"/>
              <w:ind w:left="288"/>
              <w:rPr>
                <w:rFonts w:ascii="Arial" w:hAnsi="Arial" w:cs="Arial"/>
                <w:sz w:val="20"/>
              </w:rPr>
            </w:pPr>
            <w:r w:rsidRPr="00E70587">
              <w:rPr>
                <w:rFonts w:ascii="Arial" w:hAnsi="Arial" w:cs="Arial"/>
                <w:sz w:val="20"/>
              </w:rPr>
              <w:lastRenderedPageBreak/>
              <w:t xml:space="preserve">1,00,000 (31 March </w:t>
            </w:r>
            <w:r w:rsidR="00AF4353" w:rsidRPr="00E70587">
              <w:rPr>
                <w:rFonts w:ascii="Arial" w:hAnsi="Arial" w:cs="Arial"/>
                <w:sz w:val="20"/>
              </w:rPr>
              <w:t>20</w:t>
            </w:r>
            <w:r w:rsidR="00AF4353">
              <w:rPr>
                <w:rFonts w:ascii="Arial" w:hAnsi="Arial" w:cs="Arial"/>
                <w:sz w:val="20"/>
              </w:rPr>
              <w:t>20</w:t>
            </w:r>
            <w:r w:rsidRPr="00E70587">
              <w:rPr>
                <w:rFonts w:ascii="Arial" w:hAnsi="Arial" w:cs="Arial"/>
                <w:sz w:val="20"/>
              </w:rPr>
              <w:t xml:space="preserve">: Nil) equity shares of M Limited </w:t>
            </w:r>
          </w:p>
        </w:tc>
        <w:tc>
          <w:tcPr>
            <w:tcW w:w="1479" w:type="dxa"/>
            <w:vAlign w:val="center"/>
          </w:tcPr>
          <w:p w14:paraId="665179E7"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1,018</w:t>
            </w:r>
          </w:p>
        </w:tc>
        <w:tc>
          <w:tcPr>
            <w:tcW w:w="1410" w:type="dxa"/>
            <w:vAlign w:val="center"/>
          </w:tcPr>
          <w:p w14:paraId="5EBE8BB3"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w:t>
            </w:r>
          </w:p>
        </w:tc>
      </w:tr>
      <w:tr w:rsidR="000A2ED4" w:rsidRPr="00E70587" w14:paraId="665B0CF7" w14:textId="77777777" w:rsidTr="000A2ED4">
        <w:tc>
          <w:tcPr>
            <w:tcW w:w="6663" w:type="dxa"/>
            <w:tcMar>
              <w:top w:w="28" w:type="dxa"/>
            </w:tcMar>
            <w:vAlign w:val="center"/>
          </w:tcPr>
          <w:p w14:paraId="25FA000A" w14:textId="0EA8FFD3" w:rsidR="000A2ED4" w:rsidRPr="00E70587" w:rsidRDefault="000A2ED4" w:rsidP="00F84694">
            <w:pPr>
              <w:spacing w:line="280" w:lineRule="exact"/>
              <w:ind w:left="288"/>
              <w:rPr>
                <w:rFonts w:ascii="Arial" w:hAnsi="Arial" w:cs="Arial"/>
                <w:sz w:val="20"/>
              </w:rPr>
            </w:pPr>
            <w:r w:rsidRPr="00E70587">
              <w:rPr>
                <w:rFonts w:ascii="Arial" w:hAnsi="Arial" w:cs="Arial"/>
                <w:sz w:val="20"/>
              </w:rPr>
              <w:t xml:space="preserve">Nil (31 March </w:t>
            </w:r>
            <w:r w:rsidR="00AF4353" w:rsidRPr="00E70587">
              <w:rPr>
                <w:rFonts w:ascii="Arial" w:hAnsi="Arial" w:cs="Arial"/>
                <w:sz w:val="20"/>
              </w:rPr>
              <w:t>20</w:t>
            </w:r>
            <w:r w:rsidR="00AF4353">
              <w:rPr>
                <w:rFonts w:ascii="Arial" w:hAnsi="Arial" w:cs="Arial"/>
                <w:sz w:val="20"/>
              </w:rPr>
              <w:t>20</w:t>
            </w:r>
            <w:r w:rsidRPr="00E70587">
              <w:rPr>
                <w:rFonts w:ascii="Arial" w:hAnsi="Arial" w:cs="Arial"/>
                <w:sz w:val="20"/>
              </w:rPr>
              <w:t xml:space="preserve">: 100,000) equity shares of Test Limited </w:t>
            </w:r>
          </w:p>
        </w:tc>
        <w:tc>
          <w:tcPr>
            <w:tcW w:w="1479" w:type="dxa"/>
            <w:vAlign w:val="center"/>
          </w:tcPr>
          <w:p w14:paraId="02E04F23"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w:t>
            </w:r>
          </w:p>
        </w:tc>
        <w:tc>
          <w:tcPr>
            <w:tcW w:w="1410" w:type="dxa"/>
            <w:vAlign w:val="center"/>
          </w:tcPr>
          <w:p w14:paraId="72489A79" w14:textId="77777777" w:rsidR="000A2ED4" w:rsidRPr="00E70587" w:rsidDel="00B94EDC" w:rsidRDefault="000A2ED4" w:rsidP="00543062">
            <w:pPr>
              <w:spacing w:line="280" w:lineRule="exact"/>
              <w:jc w:val="right"/>
              <w:rPr>
                <w:rFonts w:ascii="Arial" w:hAnsi="Arial" w:cs="Arial"/>
                <w:sz w:val="20"/>
              </w:rPr>
            </w:pPr>
            <w:r w:rsidRPr="00E70587">
              <w:rPr>
                <w:rFonts w:ascii="Arial" w:hAnsi="Arial" w:cs="Arial"/>
                <w:sz w:val="20"/>
              </w:rPr>
              <w:t>766</w:t>
            </w:r>
          </w:p>
        </w:tc>
      </w:tr>
      <w:tr w:rsidR="000A2ED4" w:rsidRPr="00E70587" w14:paraId="3F9FAE12" w14:textId="77777777" w:rsidTr="000A2ED4">
        <w:tc>
          <w:tcPr>
            <w:tcW w:w="6663" w:type="dxa"/>
            <w:tcMar>
              <w:top w:w="28" w:type="dxa"/>
            </w:tcMar>
          </w:tcPr>
          <w:p w14:paraId="4E0D5DFC" w14:textId="77777777" w:rsidR="000A2ED4" w:rsidRPr="00E70587" w:rsidRDefault="000A2ED4" w:rsidP="00543062">
            <w:pPr>
              <w:pStyle w:val="Notesitalicheading"/>
              <w:spacing w:line="280" w:lineRule="exact"/>
              <w:rPr>
                <w:rFonts w:ascii="Arial" w:eastAsiaTheme="minorHAnsi" w:hAnsi="Arial"/>
                <w:color w:val="auto"/>
                <w:sz w:val="20"/>
              </w:rPr>
            </w:pPr>
            <w:r w:rsidRPr="00E70587">
              <w:rPr>
                <w:rFonts w:ascii="Arial" w:eastAsiaTheme="minorHAnsi" w:hAnsi="Arial"/>
                <w:color w:val="auto"/>
                <w:sz w:val="20"/>
              </w:rPr>
              <w:t>Quoted equity shares (fully paid)</w:t>
            </w:r>
          </w:p>
        </w:tc>
        <w:tc>
          <w:tcPr>
            <w:tcW w:w="1479" w:type="dxa"/>
            <w:vAlign w:val="center"/>
          </w:tcPr>
          <w:p w14:paraId="71DB68DB" w14:textId="77777777" w:rsidR="000A2ED4" w:rsidRPr="00E70587" w:rsidRDefault="000A2ED4" w:rsidP="00543062">
            <w:pPr>
              <w:pStyle w:val="Notesitalicheading"/>
              <w:spacing w:line="280" w:lineRule="exact"/>
              <w:rPr>
                <w:rFonts w:ascii="Arial" w:eastAsiaTheme="minorHAnsi" w:hAnsi="Arial"/>
                <w:color w:val="auto"/>
                <w:sz w:val="20"/>
              </w:rPr>
            </w:pPr>
          </w:p>
        </w:tc>
        <w:tc>
          <w:tcPr>
            <w:tcW w:w="1410" w:type="dxa"/>
            <w:vAlign w:val="center"/>
          </w:tcPr>
          <w:p w14:paraId="0952915F" w14:textId="77777777" w:rsidR="000A2ED4" w:rsidRPr="00E70587" w:rsidRDefault="000A2ED4" w:rsidP="00543062">
            <w:pPr>
              <w:pStyle w:val="Notesitalicheading"/>
              <w:spacing w:line="280" w:lineRule="exact"/>
              <w:rPr>
                <w:rFonts w:ascii="Arial" w:eastAsiaTheme="minorHAnsi" w:hAnsi="Arial"/>
                <w:color w:val="auto"/>
                <w:sz w:val="20"/>
              </w:rPr>
            </w:pPr>
          </w:p>
        </w:tc>
      </w:tr>
      <w:tr w:rsidR="000A2ED4" w:rsidRPr="00E70587" w14:paraId="072FF441" w14:textId="77777777" w:rsidTr="000A2ED4">
        <w:tc>
          <w:tcPr>
            <w:tcW w:w="6663" w:type="dxa"/>
            <w:tcMar>
              <w:top w:w="28" w:type="dxa"/>
            </w:tcMar>
            <w:vAlign w:val="center"/>
          </w:tcPr>
          <w:p w14:paraId="6BE5CA18" w14:textId="046B0458" w:rsidR="000A2ED4" w:rsidRPr="00E70587" w:rsidRDefault="000A2ED4" w:rsidP="00F84694">
            <w:pPr>
              <w:spacing w:line="280" w:lineRule="exact"/>
              <w:ind w:left="288"/>
              <w:rPr>
                <w:rFonts w:ascii="Arial" w:hAnsi="Arial" w:cs="Arial"/>
                <w:sz w:val="20"/>
              </w:rPr>
            </w:pPr>
            <w:r w:rsidRPr="00E70587">
              <w:rPr>
                <w:rFonts w:ascii="Arial" w:hAnsi="Arial" w:cs="Arial"/>
                <w:sz w:val="20"/>
              </w:rPr>
              <w:t xml:space="preserve">25,000 (31 March </w:t>
            </w:r>
            <w:r w:rsidR="00AF4353" w:rsidRPr="00E70587">
              <w:rPr>
                <w:rFonts w:ascii="Arial" w:hAnsi="Arial" w:cs="Arial"/>
                <w:sz w:val="20"/>
              </w:rPr>
              <w:t>20</w:t>
            </w:r>
            <w:r w:rsidR="00AF4353">
              <w:rPr>
                <w:rFonts w:ascii="Arial" w:hAnsi="Arial" w:cs="Arial"/>
                <w:sz w:val="20"/>
              </w:rPr>
              <w:t>20</w:t>
            </w:r>
            <w:r w:rsidRPr="00E70587">
              <w:rPr>
                <w:rFonts w:ascii="Arial" w:hAnsi="Arial" w:cs="Arial"/>
                <w:sz w:val="20"/>
              </w:rPr>
              <w:t xml:space="preserve">: 25,000) equity shares of X Limited </w:t>
            </w:r>
          </w:p>
        </w:tc>
        <w:tc>
          <w:tcPr>
            <w:tcW w:w="1479" w:type="dxa"/>
            <w:vAlign w:val="center"/>
          </w:tcPr>
          <w:p w14:paraId="6986E796"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175</w:t>
            </w:r>
          </w:p>
        </w:tc>
        <w:tc>
          <w:tcPr>
            <w:tcW w:w="1410" w:type="dxa"/>
            <w:vAlign w:val="center"/>
          </w:tcPr>
          <w:p w14:paraId="776F62D8"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175</w:t>
            </w:r>
          </w:p>
        </w:tc>
      </w:tr>
      <w:tr w:rsidR="000A2ED4" w:rsidRPr="00E70587" w14:paraId="4FF9E459" w14:textId="77777777" w:rsidTr="000A2ED4">
        <w:tc>
          <w:tcPr>
            <w:tcW w:w="6663" w:type="dxa"/>
            <w:tcMar>
              <w:top w:w="28" w:type="dxa"/>
            </w:tcMar>
            <w:vAlign w:val="center"/>
          </w:tcPr>
          <w:p w14:paraId="55BA17C9" w14:textId="18924A69" w:rsidR="000A2ED4" w:rsidRPr="00E70587" w:rsidRDefault="000A2ED4" w:rsidP="00F84694">
            <w:pPr>
              <w:spacing w:line="280" w:lineRule="exact"/>
              <w:ind w:left="288"/>
              <w:rPr>
                <w:rFonts w:ascii="Arial" w:hAnsi="Arial" w:cs="Arial"/>
                <w:sz w:val="20"/>
              </w:rPr>
            </w:pPr>
            <w:r w:rsidRPr="00E70587">
              <w:rPr>
                <w:rFonts w:ascii="Arial" w:hAnsi="Arial" w:cs="Arial"/>
                <w:sz w:val="20"/>
              </w:rPr>
              <w:t xml:space="preserve">40,000 (31 March </w:t>
            </w:r>
            <w:r w:rsidR="00AF4353" w:rsidRPr="00E70587">
              <w:rPr>
                <w:rFonts w:ascii="Arial" w:hAnsi="Arial" w:cs="Arial"/>
                <w:sz w:val="20"/>
              </w:rPr>
              <w:t>20</w:t>
            </w:r>
            <w:r w:rsidR="00AF4353">
              <w:rPr>
                <w:rFonts w:ascii="Arial" w:hAnsi="Arial" w:cs="Arial"/>
                <w:sz w:val="20"/>
              </w:rPr>
              <w:t>20</w:t>
            </w:r>
            <w:r w:rsidRPr="00E70587">
              <w:rPr>
                <w:rFonts w:ascii="Arial" w:hAnsi="Arial" w:cs="Arial"/>
                <w:sz w:val="20"/>
              </w:rPr>
              <w:t xml:space="preserve">: 35,000) equity shares of T Limited </w:t>
            </w:r>
          </w:p>
        </w:tc>
        <w:tc>
          <w:tcPr>
            <w:tcW w:w="1479" w:type="dxa"/>
            <w:vAlign w:val="center"/>
          </w:tcPr>
          <w:p w14:paraId="5F2F605F"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432</w:t>
            </w:r>
          </w:p>
        </w:tc>
        <w:tc>
          <w:tcPr>
            <w:tcW w:w="1410" w:type="dxa"/>
            <w:vAlign w:val="center"/>
          </w:tcPr>
          <w:p w14:paraId="3790FAFF"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365</w:t>
            </w:r>
          </w:p>
        </w:tc>
      </w:tr>
      <w:tr w:rsidR="000A2ED4" w:rsidRPr="00E70587" w14:paraId="176A5287" w14:textId="77777777" w:rsidTr="000A2ED4">
        <w:tc>
          <w:tcPr>
            <w:tcW w:w="6663" w:type="dxa"/>
            <w:tcMar>
              <w:top w:w="28" w:type="dxa"/>
            </w:tcMar>
            <w:vAlign w:val="center"/>
          </w:tcPr>
          <w:p w14:paraId="40BA10C2" w14:textId="77777777" w:rsidR="000A2ED4" w:rsidRPr="00E70587" w:rsidRDefault="000A2ED4" w:rsidP="00543062">
            <w:pPr>
              <w:pStyle w:val="Notesitalicheading"/>
              <w:spacing w:line="280" w:lineRule="exact"/>
              <w:rPr>
                <w:rFonts w:ascii="Arial" w:hAnsi="Arial"/>
                <w:sz w:val="20"/>
              </w:rPr>
            </w:pPr>
            <w:r w:rsidRPr="00E70587">
              <w:rPr>
                <w:rFonts w:ascii="Arial" w:eastAsiaTheme="minorHAnsi" w:hAnsi="Arial"/>
                <w:color w:val="auto"/>
                <w:sz w:val="20"/>
              </w:rPr>
              <w:t>Quoted</w:t>
            </w:r>
            <w:r w:rsidRPr="00E70587">
              <w:rPr>
                <w:rFonts w:ascii="Arial" w:hAnsi="Arial"/>
                <w:sz w:val="20"/>
              </w:rPr>
              <w:t xml:space="preserve"> debt securities (fully paid)</w:t>
            </w:r>
          </w:p>
        </w:tc>
        <w:tc>
          <w:tcPr>
            <w:tcW w:w="1479" w:type="dxa"/>
            <w:vAlign w:val="bottom"/>
          </w:tcPr>
          <w:p w14:paraId="3D21C7EE" w14:textId="77777777" w:rsidR="000A2ED4" w:rsidRPr="00E70587" w:rsidRDefault="000A2ED4" w:rsidP="00543062">
            <w:pPr>
              <w:spacing w:line="280" w:lineRule="exact"/>
              <w:rPr>
                <w:rFonts w:ascii="Arial" w:hAnsi="Arial" w:cs="Arial"/>
                <w:sz w:val="20"/>
              </w:rPr>
            </w:pPr>
          </w:p>
        </w:tc>
        <w:tc>
          <w:tcPr>
            <w:tcW w:w="1410" w:type="dxa"/>
            <w:vAlign w:val="bottom"/>
          </w:tcPr>
          <w:p w14:paraId="53FFCD0D" w14:textId="77777777" w:rsidR="000A2ED4" w:rsidRPr="00E70587" w:rsidRDefault="000A2ED4" w:rsidP="00543062">
            <w:pPr>
              <w:spacing w:line="280" w:lineRule="exact"/>
              <w:rPr>
                <w:rFonts w:ascii="Arial" w:hAnsi="Arial" w:cs="Arial"/>
                <w:sz w:val="20"/>
              </w:rPr>
            </w:pPr>
          </w:p>
        </w:tc>
      </w:tr>
      <w:tr w:rsidR="000A2ED4" w:rsidRPr="00E70587" w14:paraId="74C59418" w14:textId="77777777" w:rsidTr="000A2ED4">
        <w:tc>
          <w:tcPr>
            <w:tcW w:w="6663" w:type="dxa"/>
            <w:tcMar>
              <w:top w:w="28" w:type="dxa"/>
            </w:tcMar>
            <w:vAlign w:val="center"/>
          </w:tcPr>
          <w:p w14:paraId="64ECC09C" w14:textId="3F3D5897" w:rsidR="000A2ED4" w:rsidRPr="00E70587" w:rsidRDefault="000A2ED4" w:rsidP="00F84694">
            <w:pPr>
              <w:spacing w:line="280" w:lineRule="exact"/>
              <w:ind w:left="288"/>
              <w:rPr>
                <w:rFonts w:ascii="Arial" w:hAnsi="Arial" w:cs="Arial"/>
                <w:sz w:val="20"/>
              </w:rPr>
            </w:pPr>
            <w:r w:rsidRPr="00E70587">
              <w:rPr>
                <w:rFonts w:ascii="Arial" w:hAnsi="Arial" w:cs="Arial"/>
                <w:sz w:val="20"/>
              </w:rPr>
              <w:t xml:space="preserve">65,000 (31 March </w:t>
            </w:r>
            <w:r w:rsidR="00AF4353" w:rsidRPr="00E70587">
              <w:rPr>
                <w:rFonts w:ascii="Arial" w:hAnsi="Arial" w:cs="Arial"/>
                <w:sz w:val="20"/>
              </w:rPr>
              <w:t>20</w:t>
            </w:r>
            <w:r w:rsidR="00AF4353">
              <w:rPr>
                <w:rFonts w:ascii="Arial" w:hAnsi="Arial" w:cs="Arial"/>
                <w:sz w:val="20"/>
              </w:rPr>
              <w:t>20</w:t>
            </w:r>
            <w:r w:rsidRPr="00E70587">
              <w:rPr>
                <w:rFonts w:ascii="Arial" w:hAnsi="Arial" w:cs="Arial"/>
                <w:sz w:val="20"/>
              </w:rPr>
              <w:t xml:space="preserve">: 65,000) Debentures of Q Limited </w:t>
            </w:r>
          </w:p>
        </w:tc>
        <w:tc>
          <w:tcPr>
            <w:tcW w:w="1479" w:type="dxa"/>
            <w:vAlign w:val="center"/>
          </w:tcPr>
          <w:p w14:paraId="69A60A05"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650</w:t>
            </w:r>
          </w:p>
        </w:tc>
        <w:tc>
          <w:tcPr>
            <w:tcW w:w="1410" w:type="dxa"/>
            <w:vAlign w:val="center"/>
          </w:tcPr>
          <w:p w14:paraId="21DB4A7E"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650</w:t>
            </w:r>
          </w:p>
        </w:tc>
      </w:tr>
      <w:tr w:rsidR="000A2ED4" w:rsidRPr="00E70587" w14:paraId="56AFB8E7" w14:textId="77777777" w:rsidTr="000A2ED4">
        <w:tc>
          <w:tcPr>
            <w:tcW w:w="6663" w:type="dxa"/>
            <w:tcMar>
              <w:top w:w="28" w:type="dxa"/>
            </w:tcMar>
            <w:vAlign w:val="center"/>
          </w:tcPr>
          <w:p w14:paraId="5ACF5221" w14:textId="2F7C6668" w:rsidR="000A2ED4" w:rsidRPr="00E70587" w:rsidRDefault="000A2ED4" w:rsidP="00F84694">
            <w:pPr>
              <w:spacing w:line="280" w:lineRule="exact"/>
              <w:ind w:left="288"/>
              <w:rPr>
                <w:rFonts w:ascii="Arial" w:hAnsi="Arial" w:cs="Arial"/>
                <w:sz w:val="20"/>
              </w:rPr>
            </w:pPr>
            <w:r w:rsidRPr="00E70587">
              <w:rPr>
                <w:rFonts w:ascii="Arial" w:hAnsi="Arial" w:cs="Arial"/>
                <w:sz w:val="20"/>
              </w:rPr>
              <w:t xml:space="preserve">40,000 (31 March </w:t>
            </w:r>
            <w:r w:rsidR="00AF4353" w:rsidRPr="00E70587">
              <w:rPr>
                <w:rFonts w:ascii="Arial" w:hAnsi="Arial" w:cs="Arial"/>
                <w:sz w:val="20"/>
              </w:rPr>
              <w:t>20</w:t>
            </w:r>
            <w:r w:rsidR="00AF4353">
              <w:rPr>
                <w:rFonts w:ascii="Arial" w:hAnsi="Arial" w:cs="Arial"/>
                <w:sz w:val="20"/>
              </w:rPr>
              <w:t>20</w:t>
            </w:r>
            <w:r w:rsidRPr="00E70587">
              <w:rPr>
                <w:rFonts w:ascii="Arial" w:hAnsi="Arial" w:cs="Arial"/>
                <w:sz w:val="20"/>
              </w:rPr>
              <w:t xml:space="preserve">: 35,000) Debentures of L Limited </w:t>
            </w:r>
          </w:p>
        </w:tc>
        <w:tc>
          <w:tcPr>
            <w:tcW w:w="1479" w:type="dxa"/>
            <w:tcBorders>
              <w:bottom w:val="single" w:sz="4" w:space="0" w:color="auto"/>
            </w:tcBorders>
            <w:vAlign w:val="center"/>
          </w:tcPr>
          <w:p w14:paraId="5E8EAE1A"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452</w:t>
            </w:r>
          </w:p>
        </w:tc>
        <w:tc>
          <w:tcPr>
            <w:tcW w:w="1410" w:type="dxa"/>
            <w:tcBorders>
              <w:bottom w:val="single" w:sz="4" w:space="0" w:color="auto"/>
            </w:tcBorders>
            <w:vAlign w:val="center"/>
          </w:tcPr>
          <w:p w14:paraId="22BA0DCA"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430</w:t>
            </w:r>
          </w:p>
        </w:tc>
      </w:tr>
      <w:tr w:rsidR="000A2ED4" w:rsidRPr="00E70587" w14:paraId="4EE31BFE" w14:textId="77777777" w:rsidTr="000A2ED4">
        <w:tc>
          <w:tcPr>
            <w:tcW w:w="6663" w:type="dxa"/>
            <w:tcMar>
              <w:top w:w="28" w:type="dxa"/>
            </w:tcMar>
          </w:tcPr>
          <w:p w14:paraId="2E554A70"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FVTOCI investments</w:t>
            </w:r>
          </w:p>
        </w:tc>
        <w:tc>
          <w:tcPr>
            <w:tcW w:w="1479" w:type="dxa"/>
            <w:tcBorders>
              <w:top w:val="single" w:sz="4" w:space="0" w:color="auto"/>
            </w:tcBorders>
            <w:vAlign w:val="center"/>
          </w:tcPr>
          <w:p w14:paraId="19158055"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3,577</w:t>
            </w:r>
          </w:p>
        </w:tc>
        <w:tc>
          <w:tcPr>
            <w:tcW w:w="1410" w:type="dxa"/>
            <w:tcBorders>
              <w:top w:val="single" w:sz="4" w:space="0" w:color="auto"/>
            </w:tcBorders>
            <w:vAlign w:val="center"/>
          </w:tcPr>
          <w:p w14:paraId="68E907F4"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3,236</w:t>
            </w:r>
          </w:p>
        </w:tc>
      </w:tr>
      <w:tr w:rsidR="000A2ED4" w:rsidRPr="00E70587" w14:paraId="1C3680A7" w14:textId="77777777" w:rsidTr="000A2ED4">
        <w:tc>
          <w:tcPr>
            <w:tcW w:w="6663" w:type="dxa"/>
            <w:tcMar>
              <w:top w:w="28" w:type="dxa"/>
            </w:tcMar>
          </w:tcPr>
          <w:p w14:paraId="79B5BEE1" w14:textId="77777777" w:rsidR="000A2ED4" w:rsidRPr="00E70587" w:rsidRDefault="000A2ED4" w:rsidP="00D619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Investments at fair value through P&amp;L (FVTPL)</w:t>
            </w:r>
          </w:p>
        </w:tc>
        <w:tc>
          <w:tcPr>
            <w:tcW w:w="1479" w:type="dxa"/>
            <w:vAlign w:val="center"/>
          </w:tcPr>
          <w:p w14:paraId="4C68B540"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Nil</w:t>
            </w:r>
          </w:p>
        </w:tc>
        <w:tc>
          <w:tcPr>
            <w:tcW w:w="1410" w:type="dxa"/>
            <w:vAlign w:val="center"/>
          </w:tcPr>
          <w:p w14:paraId="67FE274C"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Nil</w:t>
            </w:r>
          </w:p>
        </w:tc>
      </w:tr>
      <w:tr w:rsidR="000A2ED4" w:rsidRPr="00E70587" w14:paraId="799595D8" w14:textId="77777777" w:rsidTr="000A2ED4">
        <w:tc>
          <w:tcPr>
            <w:tcW w:w="6663" w:type="dxa"/>
            <w:tcMar>
              <w:top w:w="28" w:type="dxa"/>
            </w:tcMar>
          </w:tcPr>
          <w:p w14:paraId="71F24BAD"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investments</w:t>
            </w:r>
          </w:p>
        </w:tc>
        <w:tc>
          <w:tcPr>
            <w:tcW w:w="1479" w:type="dxa"/>
            <w:tcBorders>
              <w:top w:val="single" w:sz="4" w:space="0" w:color="auto"/>
            </w:tcBorders>
            <w:vAlign w:val="center"/>
          </w:tcPr>
          <w:p w14:paraId="774E10D9"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3,577</w:t>
            </w:r>
          </w:p>
        </w:tc>
        <w:tc>
          <w:tcPr>
            <w:tcW w:w="1410" w:type="dxa"/>
            <w:tcBorders>
              <w:top w:val="single" w:sz="4" w:space="0" w:color="auto"/>
            </w:tcBorders>
            <w:vAlign w:val="center"/>
          </w:tcPr>
          <w:p w14:paraId="08E94F58"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3,236</w:t>
            </w:r>
          </w:p>
        </w:tc>
      </w:tr>
      <w:tr w:rsidR="000A2ED4" w:rsidRPr="00E70587" w14:paraId="71C4F877" w14:textId="77777777" w:rsidTr="000A2ED4">
        <w:tc>
          <w:tcPr>
            <w:tcW w:w="6663" w:type="dxa"/>
            <w:tcMar>
              <w:top w:w="28" w:type="dxa"/>
            </w:tcMar>
          </w:tcPr>
          <w:p w14:paraId="7AA2661E" w14:textId="77777777" w:rsidR="000A2ED4" w:rsidRPr="00E70587" w:rsidRDefault="000A2ED4" w:rsidP="00543062">
            <w:pPr>
              <w:overflowPunct/>
              <w:spacing w:line="280" w:lineRule="exact"/>
              <w:textAlignment w:val="auto"/>
              <w:rPr>
                <w:rFonts w:ascii="Arial" w:hAnsi="Arial" w:cs="Arial"/>
                <w:b/>
                <w:bCs/>
                <w:sz w:val="20"/>
                <w:lang w:eastAsia="en-GB"/>
              </w:rPr>
            </w:pPr>
            <w:r w:rsidRPr="00E70587">
              <w:rPr>
                <w:rFonts w:ascii="Arial" w:hAnsi="Arial" w:cs="Arial"/>
                <w:b/>
                <w:bCs/>
                <w:sz w:val="20"/>
                <w:lang w:eastAsia="en-GB"/>
              </w:rPr>
              <w:t>Current</w:t>
            </w:r>
          </w:p>
        </w:tc>
        <w:tc>
          <w:tcPr>
            <w:tcW w:w="1479" w:type="dxa"/>
            <w:vAlign w:val="center"/>
          </w:tcPr>
          <w:p w14:paraId="43348768"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w:t>
            </w:r>
          </w:p>
        </w:tc>
        <w:tc>
          <w:tcPr>
            <w:tcW w:w="1410" w:type="dxa"/>
            <w:vAlign w:val="center"/>
          </w:tcPr>
          <w:p w14:paraId="513B7A05"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w:t>
            </w:r>
          </w:p>
        </w:tc>
      </w:tr>
      <w:tr w:rsidR="000A2ED4" w:rsidRPr="00E70587" w14:paraId="219F90D8" w14:textId="77777777" w:rsidTr="000A2ED4">
        <w:tc>
          <w:tcPr>
            <w:tcW w:w="6663" w:type="dxa"/>
            <w:tcMar>
              <w:top w:w="28" w:type="dxa"/>
            </w:tcMar>
          </w:tcPr>
          <w:p w14:paraId="2C7CE797" w14:textId="77777777" w:rsidR="000A2ED4" w:rsidRPr="00E70587" w:rsidRDefault="000A2ED4" w:rsidP="00543062">
            <w:pPr>
              <w:overflowPunct/>
              <w:spacing w:line="280" w:lineRule="exact"/>
              <w:textAlignment w:val="auto"/>
              <w:rPr>
                <w:rFonts w:ascii="Arial" w:hAnsi="Arial" w:cs="Arial"/>
                <w:b/>
                <w:bCs/>
                <w:sz w:val="20"/>
                <w:lang w:eastAsia="en-GB"/>
              </w:rPr>
            </w:pPr>
            <w:r w:rsidRPr="00E70587">
              <w:rPr>
                <w:rFonts w:ascii="Arial" w:hAnsi="Arial" w:cs="Arial"/>
                <w:b/>
                <w:bCs/>
                <w:sz w:val="20"/>
                <w:lang w:eastAsia="en-GB"/>
              </w:rPr>
              <w:t>Non-Current</w:t>
            </w:r>
          </w:p>
        </w:tc>
        <w:tc>
          <w:tcPr>
            <w:tcW w:w="1479" w:type="dxa"/>
            <w:vAlign w:val="center"/>
          </w:tcPr>
          <w:p w14:paraId="4ECD5728"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3,577</w:t>
            </w:r>
          </w:p>
        </w:tc>
        <w:tc>
          <w:tcPr>
            <w:tcW w:w="1410" w:type="dxa"/>
            <w:vAlign w:val="center"/>
          </w:tcPr>
          <w:p w14:paraId="3695886D"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3,236</w:t>
            </w:r>
          </w:p>
        </w:tc>
      </w:tr>
      <w:tr w:rsidR="000A2ED4" w:rsidRPr="00E70587" w14:paraId="28430421" w14:textId="77777777" w:rsidTr="000A2ED4">
        <w:tc>
          <w:tcPr>
            <w:tcW w:w="6663" w:type="dxa"/>
            <w:tcMar>
              <w:top w:w="28" w:type="dxa"/>
            </w:tcMar>
          </w:tcPr>
          <w:p w14:paraId="018480BF"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479" w:type="dxa"/>
            <w:tcBorders>
              <w:top w:val="single" w:sz="4" w:space="0" w:color="auto"/>
              <w:bottom w:val="double" w:sz="4" w:space="0" w:color="auto"/>
            </w:tcBorders>
            <w:vAlign w:val="center"/>
          </w:tcPr>
          <w:p w14:paraId="534BBD6F"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3,577</w:t>
            </w:r>
          </w:p>
        </w:tc>
        <w:tc>
          <w:tcPr>
            <w:tcW w:w="1410" w:type="dxa"/>
            <w:tcBorders>
              <w:top w:val="single" w:sz="4" w:space="0" w:color="auto"/>
              <w:bottom w:val="double" w:sz="4" w:space="0" w:color="auto"/>
            </w:tcBorders>
            <w:vAlign w:val="center"/>
          </w:tcPr>
          <w:p w14:paraId="1BAF1EF3"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3,236</w:t>
            </w:r>
          </w:p>
        </w:tc>
      </w:tr>
      <w:tr w:rsidR="000A2ED4" w:rsidRPr="00E70587" w14:paraId="07513B1D" w14:textId="77777777" w:rsidTr="000A2ED4">
        <w:tc>
          <w:tcPr>
            <w:tcW w:w="6663" w:type="dxa"/>
            <w:tcMar>
              <w:top w:w="28" w:type="dxa"/>
            </w:tcMar>
          </w:tcPr>
          <w:p w14:paraId="2E023424"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Aggregate book value of quoted investments</w:t>
            </w:r>
          </w:p>
        </w:tc>
        <w:tc>
          <w:tcPr>
            <w:tcW w:w="1479" w:type="dxa"/>
            <w:tcBorders>
              <w:top w:val="double" w:sz="4" w:space="0" w:color="auto"/>
            </w:tcBorders>
          </w:tcPr>
          <w:p w14:paraId="25970DDD" w14:textId="77777777" w:rsidR="000A2ED4" w:rsidRPr="00E70587" w:rsidRDefault="000A2ED4" w:rsidP="00543062">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1,709</w:t>
            </w:r>
          </w:p>
        </w:tc>
        <w:tc>
          <w:tcPr>
            <w:tcW w:w="1410" w:type="dxa"/>
            <w:tcBorders>
              <w:top w:val="double" w:sz="4" w:space="0" w:color="auto"/>
            </w:tcBorders>
          </w:tcPr>
          <w:p w14:paraId="2EFBA763" w14:textId="77777777" w:rsidR="000A2ED4" w:rsidRPr="00E70587" w:rsidRDefault="000A2ED4" w:rsidP="00543062">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1,620</w:t>
            </w:r>
          </w:p>
        </w:tc>
      </w:tr>
      <w:tr w:rsidR="000A2ED4" w:rsidRPr="00E70587" w14:paraId="724475CA" w14:textId="77777777" w:rsidTr="000A2ED4">
        <w:tc>
          <w:tcPr>
            <w:tcW w:w="6663" w:type="dxa"/>
            <w:tcMar>
              <w:top w:w="28" w:type="dxa"/>
            </w:tcMar>
          </w:tcPr>
          <w:p w14:paraId="52557936" w14:textId="66EA2E90"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color w:val="000000"/>
                <w:sz w:val="20"/>
                <w:lang w:val="en-IN"/>
              </w:rPr>
              <w:t xml:space="preserve">Aggregate market value of quoted investments (refer Note </w:t>
            </w:r>
            <w:r w:rsidR="00B83F60" w:rsidRPr="00E70587">
              <w:rPr>
                <w:rFonts w:ascii="Arial" w:hAnsi="Arial" w:cs="Arial"/>
                <w:b/>
                <w:color w:val="000000"/>
                <w:sz w:val="20"/>
                <w:lang w:val="en-IN"/>
              </w:rPr>
              <w:t>4</w:t>
            </w:r>
            <w:r w:rsidR="00B83F60">
              <w:rPr>
                <w:rFonts w:ascii="Arial" w:hAnsi="Arial" w:cs="Arial"/>
                <w:b/>
                <w:color w:val="000000"/>
                <w:sz w:val="20"/>
                <w:lang w:val="en-IN"/>
              </w:rPr>
              <w:t>7</w:t>
            </w:r>
            <w:r w:rsidR="00B83F60" w:rsidRPr="00E70587">
              <w:rPr>
                <w:rFonts w:ascii="Arial" w:hAnsi="Arial" w:cs="Arial"/>
                <w:b/>
                <w:color w:val="000000"/>
                <w:sz w:val="20"/>
                <w:lang w:val="en-IN"/>
              </w:rPr>
              <w:t xml:space="preserve"> </w:t>
            </w:r>
            <w:r w:rsidRPr="00E70587">
              <w:rPr>
                <w:rFonts w:ascii="Arial" w:hAnsi="Arial" w:cs="Arial"/>
                <w:b/>
                <w:color w:val="000000"/>
                <w:sz w:val="20"/>
                <w:lang w:val="en-IN"/>
              </w:rPr>
              <w:t xml:space="preserve">&amp; </w:t>
            </w:r>
            <w:r w:rsidR="00B83F60" w:rsidRPr="00E70587">
              <w:rPr>
                <w:rFonts w:ascii="Arial" w:hAnsi="Arial" w:cs="Arial"/>
                <w:b/>
                <w:color w:val="000000"/>
                <w:sz w:val="20"/>
                <w:lang w:val="en-IN"/>
              </w:rPr>
              <w:t>4</w:t>
            </w:r>
            <w:r w:rsidR="00B83F60">
              <w:rPr>
                <w:rFonts w:ascii="Arial" w:hAnsi="Arial" w:cs="Arial"/>
                <w:b/>
                <w:color w:val="000000"/>
                <w:sz w:val="20"/>
                <w:lang w:val="en-IN"/>
              </w:rPr>
              <w:t>8</w:t>
            </w:r>
            <w:r w:rsidRPr="00E70587">
              <w:rPr>
                <w:rFonts w:ascii="Arial" w:hAnsi="Arial" w:cs="Arial"/>
                <w:b/>
                <w:color w:val="000000"/>
                <w:sz w:val="20"/>
                <w:lang w:val="en-IN"/>
              </w:rPr>
              <w:t>)</w:t>
            </w:r>
          </w:p>
        </w:tc>
        <w:tc>
          <w:tcPr>
            <w:tcW w:w="1479" w:type="dxa"/>
          </w:tcPr>
          <w:p w14:paraId="3417F6DE" w14:textId="77777777" w:rsidR="000A2ED4" w:rsidRPr="00E70587" w:rsidRDefault="000A2ED4" w:rsidP="00543062">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1,709</w:t>
            </w:r>
          </w:p>
        </w:tc>
        <w:tc>
          <w:tcPr>
            <w:tcW w:w="1410" w:type="dxa"/>
          </w:tcPr>
          <w:p w14:paraId="16666BDB" w14:textId="77777777" w:rsidR="000A2ED4" w:rsidRPr="00E70587" w:rsidRDefault="000A2ED4" w:rsidP="00543062">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1,620</w:t>
            </w:r>
          </w:p>
        </w:tc>
      </w:tr>
      <w:tr w:rsidR="000A2ED4" w:rsidRPr="00E70587" w14:paraId="5D376589" w14:textId="77777777" w:rsidTr="000A2ED4">
        <w:tc>
          <w:tcPr>
            <w:tcW w:w="6663" w:type="dxa"/>
            <w:tcMar>
              <w:top w:w="28" w:type="dxa"/>
            </w:tcMar>
          </w:tcPr>
          <w:p w14:paraId="4767C04B"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Aggregate book value of unquoted investments</w:t>
            </w:r>
          </w:p>
        </w:tc>
        <w:tc>
          <w:tcPr>
            <w:tcW w:w="1479" w:type="dxa"/>
          </w:tcPr>
          <w:p w14:paraId="7248C519" w14:textId="77777777" w:rsidR="000A2ED4" w:rsidRPr="00E70587" w:rsidRDefault="000A2ED4" w:rsidP="00543062">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1,868</w:t>
            </w:r>
          </w:p>
        </w:tc>
        <w:tc>
          <w:tcPr>
            <w:tcW w:w="1410" w:type="dxa"/>
          </w:tcPr>
          <w:p w14:paraId="6CBE57B3" w14:textId="77777777" w:rsidR="000A2ED4" w:rsidRPr="00E70587" w:rsidRDefault="000A2ED4" w:rsidP="00543062">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1,616</w:t>
            </w:r>
          </w:p>
        </w:tc>
      </w:tr>
      <w:tr w:rsidR="000A2ED4" w:rsidRPr="00E70587" w14:paraId="7739C343" w14:textId="77777777" w:rsidTr="000A2ED4">
        <w:tc>
          <w:tcPr>
            <w:tcW w:w="6663" w:type="dxa"/>
            <w:tcMar>
              <w:top w:w="28" w:type="dxa"/>
            </w:tcMar>
          </w:tcPr>
          <w:p w14:paraId="313F2E2F"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Aggregate amount of impairment in value of investments</w:t>
            </w:r>
          </w:p>
        </w:tc>
        <w:tc>
          <w:tcPr>
            <w:tcW w:w="1479" w:type="dxa"/>
          </w:tcPr>
          <w:p w14:paraId="5FDB8CC0" w14:textId="77777777" w:rsidR="000A2ED4" w:rsidRPr="00E70587" w:rsidRDefault="000A2ED4" w:rsidP="00543062">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10</w:t>
            </w:r>
          </w:p>
        </w:tc>
        <w:tc>
          <w:tcPr>
            <w:tcW w:w="1410" w:type="dxa"/>
          </w:tcPr>
          <w:p w14:paraId="04B38D20" w14:textId="77777777" w:rsidR="000A2ED4" w:rsidRPr="00E70587" w:rsidRDefault="000A2ED4" w:rsidP="00543062">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w:t>
            </w:r>
          </w:p>
        </w:tc>
      </w:tr>
      <w:tr w:rsidR="000A2ED4" w:rsidRPr="00E70587" w14:paraId="79ACB5AA" w14:textId="77777777" w:rsidTr="000A2ED4">
        <w:tc>
          <w:tcPr>
            <w:tcW w:w="6663" w:type="dxa"/>
            <w:tcMar>
              <w:top w:w="28" w:type="dxa"/>
            </w:tcMar>
          </w:tcPr>
          <w:p w14:paraId="7E04DBD8"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479" w:type="dxa"/>
          </w:tcPr>
          <w:p w14:paraId="1B72ED13" w14:textId="77777777" w:rsidR="000A2ED4" w:rsidRPr="00E70587" w:rsidRDefault="000A2ED4" w:rsidP="00543062">
            <w:pPr>
              <w:overflowPunct/>
              <w:spacing w:line="280" w:lineRule="exact"/>
              <w:jc w:val="right"/>
              <w:textAlignment w:val="auto"/>
              <w:rPr>
                <w:rFonts w:ascii="Arial" w:hAnsi="Arial" w:cs="Arial"/>
                <w:b/>
                <w:bCs/>
                <w:sz w:val="20"/>
                <w:lang w:eastAsia="en-GB"/>
              </w:rPr>
            </w:pPr>
          </w:p>
        </w:tc>
        <w:tc>
          <w:tcPr>
            <w:tcW w:w="1410" w:type="dxa"/>
          </w:tcPr>
          <w:p w14:paraId="22FDB245" w14:textId="77777777" w:rsidR="000A2ED4" w:rsidRPr="00E70587" w:rsidRDefault="000A2ED4" w:rsidP="00543062">
            <w:pPr>
              <w:overflowPunct/>
              <w:spacing w:line="280" w:lineRule="exact"/>
              <w:jc w:val="right"/>
              <w:textAlignment w:val="auto"/>
              <w:rPr>
                <w:rFonts w:ascii="Arial" w:hAnsi="Arial" w:cs="Arial"/>
                <w:b/>
                <w:bCs/>
                <w:sz w:val="20"/>
                <w:lang w:eastAsia="en-GB"/>
              </w:rPr>
            </w:pPr>
          </w:p>
        </w:tc>
      </w:tr>
      <w:tr w:rsidR="000A2ED4" w:rsidRPr="00E70587" w14:paraId="238D897A" w14:textId="77777777" w:rsidTr="000A2ED4">
        <w:tc>
          <w:tcPr>
            <w:tcW w:w="6663" w:type="dxa"/>
            <w:tcMar>
              <w:top w:w="28" w:type="dxa"/>
            </w:tcMar>
          </w:tcPr>
          <w:p w14:paraId="71C2283A" w14:textId="77777777" w:rsidR="000A2ED4" w:rsidRPr="00E70587" w:rsidRDefault="000A2ED4" w:rsidP="006B05AC">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Loans (Secured considered good unless otherwise stated)</w:t>
            </w:r>
          </w:p>
        </w:tc>
        <w:tc>
          <w:tcPr>
            <w:tcW w:w="1479" w:type="dxa"/>
          </w:tcPr>
          <w:p w14:paraId="408E2172" w14:textId="77777777" w:rsidR="000A2ED4" w:rsidRPr="00E70587" w:rsidRDefault="000A2ED4" w:rsidP="00543062">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c>
          <w:tcPr>
            <w:tcW w:w="1410" w:type="dxa"/>
          </w:tcPr>
          <w:p w14:paraId="27A5ED4E" w14:textId="77777777" w:rsidR="000A2ED4" w:rsidRPr="00E70587" w:rsidRDefault="000A2ED4" w:rsidP="00543062">
            <w:pPr>
              <w:pStyle w:val="tabletext"/>
              <w:spacing w:line="280" w:lineRule="exact"/>
              <w:jc w:val="right"/>
              <w:rPr>
                <w:rFonts w:ascii="Arial" w:hAnsi="Arial" w:cs="Arial"/>
                <w:sz w:val="20"/>
                <w:lang w:val="en-IN"/>
              </w:rPr>
            </w:pPr>
          </w:p>
        </w:tc>
      </w:tr>
      <w:tr w:rsidR="000A2ED4" w:rsidRPr="00E70587" w14:paraId="763D11DE" w14:textId="77777777" w:rsidTr="000A2ED4">
        <w:tc>
          <w:tcPr>
            <w:tcW w:w="6663" w:type="dxa"/>
            <w:tcMar>
              <w:top w:w="28" w:type="dxa"/>
            </w:tcMar>
          </w:tcPr>
          <w:p w14:paraId="07DFD362" w14:textId="71F5BE6B" w:rsidR="000A2ED4" w:rsidRPr="00E70587" w:rsidRDefault="000A2ED4" w:rsidP="00543062">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Loan notes</w:t>
            </w:r>
          </w:p>
        </w:tc>
        <w:tc>
          <w:tcPr>
            <w:tcW w:w="1479" w:type="dxa"/>
            <w:vAlign w:val="center"/>
          </w:tcPr>
          <w:p w14:paraId="30BD03B6" w14:textId="47CBB44B" w:rsidR="000A2ED4" w:rsidRPr="00E70587" w:rsidRDefault="000A2ED4" w:rsidP="00543062">
            <w:pPr>
              <w:spacing w:line="280" w:lineRule="exact"/>
              <w:jc w:val="right"/>
              <w:rPr>
                <w:rFonts w:ascii="Arial" w:hAnsi="Arial" w:cs="Arial"/>
                <w:sz w:val="20"/>
              </w:rPr>
            </w:pPr>
            <w:r w:rsidRPr="00E70587">
              <w:rPr>
                <w:rFonts w:ascii="Arial" w:hAnsi="Arial" w:cs="Arial"/>
                <w:sz w:val="20"/>
              </w:rPr>
              <w:t>6,6</w:t>
            </w:r>
            <w:r w:rsidR="00D403B9">
              <w:rPr>
                <w:rFonts w:ascii="Arial" w:hAnsi="Arial" w:cs="Arial"/>
                <w:sz w:val="20"/>
              </w:rPr>
              <w:t>14</w:t>
            </w:r>
          </w:p>
        </w:tc>
        <w:tc>
          <w:tcPr>
            <w:tcW w:w="1410" w:type="dxa"/>
            <w:vAlign w:val="center"/>
          </w:tcPr>
          <w:p w14:paraId="5E441DEE"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3,033</w:t>
            </w:r>
          </w:p>
        </w:tc>
      </w:tr>
      <w:tr w:rsidR="000A2ED4" w:rsidRPr="00E70587" w14:paraId="433FE11C" w14:textId="77777777" w:rsidTr="000A2ED4">
        <w:tc>
          <w:tcPr>
            <w:tcW w:w="6663" w:type="dxa"/>
            <w:tcMar>
              <w:top w:w="28" w:type="dxa"/>
            </w:tcMar>
          </w:tcPr>
          <w:p w14:paraId="1FE36CC2" w14:textId="410927D3" w:rsidR="000A2ED4" w:rsidRPr="00E70587" w:rsidRDefault="000A2ED4" w:rsidP="00543062">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 xml:space="preserve">Loan to an associate (refer note no </w:t>
            </w:r>
            <w:r w:rsidR="00B83F60" w:rsidRPr="00E70587">
              <w:rPr>
                <w:rFonts w:ascii="Arial" w:hAnsi="Arial" w:cs="Arial"/>
                <w:sz w:val="20"/>
                <w:lang w:val="en-IN"/>
              </w:rPr>
              <w:t>4</w:t>
            </w:r>
            <w:r w:rsidR="00B83F60">
              <w:rPr>
                <w:rFonts w:ascii="Arial" w:hAnsi="Arial" w:cs="Arial"/>
                <w:sz w:val="20"/>
                <w:lang w:val="en-IN"/>
              </w:rPr>
              <w:t>4</w:t>
            </w:r>
            <w:r w:rsidRPr="00E70587">
              <w:rPr>
                <w:rFonts w:ascii="Arial" w:hAnsi="Arial" w:cs="Arial"/>
                <w:sz w:val="20"/>
                <w:lang w:val="en-IN"/>
              </w:rPr>
              <w:t xml:space="preserve">) </w:t>
            </w:r>
          </w:p>
        </w:tc>
        <w:tc>
          <w:tcPr>
            <w:tcW w:w="1479" w:type="dxa"/>
            <w:vAlign w:val="center"/>
          </w:tcPr>
          <w:p w14:paraId="72D012BC"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360</w:t>
            </w:r>
          </w:p>
        </w:tc>
        <w:tc>
          <w:tcPr>
            <w:tcW w:w="1410" w:type="dxa"/>
            <w:vAlign w:val="center"/>
          </w:tcPr>
          <w:p w14:paraId="336BA258"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w:t>
            </w:r>
          </w:p>
        </w:tc>
      </w:tr>
      <w:tr w:rsidR="000A2ED4" w:rsidRPr="00E70587" w14:paraId="16E74A6A" w14:textId="77777777" w:rsidTr="0029246E">
        <w:tc>
          <w:tcPr>
            <w:tcW w:w="6663" w:type="dxa"/>
            <w:tcMar>
              <w:top w:w="28" w:type="dxa"/>
            </w:tcMar>
          </w:tcPr>
          <w:p w14:paraId="04ABD288" w14:textId="17499781" w:rsidR="000A2ED4" w:rsidRPr="00E70587" w:rsidRDefault="000A2ED4" w:rsidP="00543062">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 xml:space="preserve">Loan to directors (refer note no </w:t>
            </w:r>
            <w:r w:rsidR="00B83F60" w:rsidRPr="00E70587">
              <w:rPr>
                <w:rFonts w:ascii="Arial" w:hAnsi="Arial" w:cs="Arial"/>
                <w:sz w:val="20"/>
                <w:lang w:val="en-IN"/>
              </w:rPr>
              <w:t>4</w:t>
            </w:r>
            <w:r w:rsidR="00B83F60">
              <w:rPr>
                <w:rFonts w:ascii="Arial" w:hAnsi="Arial" w:cs="Arial"/>
                <w:sz w:val="20"/>
                <w:lang w:val="en-IN"/>
              </w:rPr>
              <w:t>4</w:t>
            </w:r>
            <w:r w:rsidRPr="00E70587">
              <w:rPr>
                <w:rFonts w:ascii="Arial" w:hAnsi="Arial" w:cs="Arial"/>
                <w:sz w:val="20"/>
                <w:lang w:val="en-IN"/>
              </w:rPr>
              <w:t>)</w:t>
            </w:r>
          </w:p>
        </w:tc>
        <w:tc>
          <w:tcPr>
            <w:tcW w:w="1479" w:type="dxa"/>
            <w:tcBorders>
              <w:bottom w:val="single" w:sz="4" w:space="0" w:color="auto"/>
            </w:tcBorders>
            <w:vAlign w:val="center"/>
          </w:tcPr>
          <w:p w14:paraId="4EB85956"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23</w:t>
            </w:r>
          </w:p>
        </w:tc>
        <w:tc>
          <w:tcPr>
            <w:tcW w:w="1410" w:type="dxa"/>
            <w:tcBorders>
              <w:bottom w:val="single" w:sz="4" w:space="0" w:color="auto"/>
            </w:tcBorders>
            <w:vAlign w:val="center"/>
          </w:tcPr>
          <w:p w14:paraId="11481F59"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14</w:t>
            </w:r>
          </w:p>
        </w:tc>
      </w:tr>
      <w:tr w:rsidR="000A2ED4" w:rsidRPr="00E70587" w14:paraId="785660E2" w14:textId="77777777" w:rsidTr="0029246E">
        <w:tc>
          <w:tcPr>
            <w:tcW w:w="6663" w:type="dxa"/>
            <w:tcMar>
              <w:top w:w="28" w:type="dxa"/>
            </w:tcMar>
          </w:tcPr>
          <w:p w14:paraId="421E7702" w14:textId="77777777" w:rsidR="000A2ED4" w:rsidRPr="00E70587" w:rsidDel="0029420C" w:rsidRDefault="000A2ED4" w:rsidP="00D619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loans</w:t>
            </w:r>
          </w:p>
        </w:tc>
        <w:tc>
          <w:tcPr>
            <w:tcW w:w="1479" w:type="dxa"/>
            <w:tcBorders>
              <w:top w:val="single" w:sz="4" w:space="0" w:color="auto"/>
            </w:tcBorders>
            <w:vAlign w:val="center"/>
          </w:tcPr>
          <w:p w14:paraId="25C871E7" w14:textId="767B3B8E" w:rsidR="000A2ED4" w:rsidRPr="00E70587" w:rsidRDefault="0029246E" w:rsidP="00543062">
            <w:pPr>
              <w:spacing w:line="280" w:lineRule="exact"/>
              <w:jc w:val="right"/>
              <w:rPr>
                <w:rFonts w:ascii="Arial" w:hAnsi="Arial" w:cs="Arial"/>
                <w:b/>
                <w:bCs/>
                <w:sz w:val="20"/>
              </w:rPr>
            </w:pPr>
            <w:r>
              <w:rPr>
                <w:rFonts w:ascii="Arial" w:hAnsi="Arial" w:cs="Arial"/>
                <w:b/>
                <w:bCs/>
                <w:sz w:val="20"/>
              </w:rPr>
              <w:t>6,99</w:t>
            </w:r>
            <w:r w:rsidR="00D403B9">
              <w:rPr>
                <w:rFonts w:ascii="Arial" w:hAnsi="Arial" w:cs="Arial"/>
                <w:b/>
                <w:bCs/>
                <w:sz w:val="20"/>
              </w:rPr>
              <w:t>7</w:t>
            </w:r>
          </w:p>
        </w:tc>
        <w:tc>
          <w:tcPr>
            <w:tcW w:w="1410" w:type="dxa"/>
            <w:tcBorders>
              <w:top w:val="single" w:sz="4" w:space="0" w:color="auto"/>
            </w:tcBorders>
            <w:vAlign w:val="center"/>
          </w:tcPr>
          <w:p w14:paraId="15C66D28"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3,047</w:t>
            </w:r>
          </w:p>
        </w:tc>
      </w:tr>
      <w:tr w:rsidR="000A2ED4" w:rsidRPr="00E70587" w14:paraId="1437D4DD" w14:textId="77777777" w:rsidTr="0029246E">
        <w:tc>
          <w:tcPr>
            <w:tcW w:w="6663" w:type="dxa"/>
            <w:tcMar>
              <w:top w:w="28" w:type="dxa"/>
            </w:tcMar>
          </w:tcPr>
          <w:p w14:paraId="24CFB7A3"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Current</w:t>
            </w:r>
          </w:p>
        </w:tc>
        <w:tc>
          <w:tcPr>
            <w:tcW w:w="1479" w:type="dxa"/>
          </w:tcPr>
          <w:p w14:paraId="4FC4B3AB"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2,799</w:t>
            </w:r>
          </w:p>
        </w:tc>
        <w:tc>
          <w:tcPr>
            <w:tcW w:w="1410" w:type="dxa"/>
          </w:tcPr>
          <w:p w14:paraId="482D7D97"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1,219</w:t>
            </w:r>
          </w:p>
        </w:tc>
      </w:tr>
      <w:tr w:rsidR="000A2ED4" w:rsidRPr="00E70587" w14:paraId="7D6B3DF4" w14:textId="77777777" w:rsidTr="0029246E">
        <w:tc>
          <w:tcPr>
            <w:tcW w:w="6663" w:type="dxa"/>
            <w:tcMar>
              <w:top w:w="28" w:type="dxa"/>
            </w:tcMar>
          </w:tcPr>
          <w:p w14:paraId="3CEDCEF1"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Non-Current</w:t>
            </w:r>
          </w:p>
        </w:tc>
        <w:tc>
          <w:tcPr>
            <w:tcW w:w="1479" w:type="dxa"/>
            <w:tcBorders>
              <w:bottom w:val="single" w:sz="4" w:space="0" w:color="auto"/>
            </w:tcBorders>
          </w:tcPr>
          <w:p w14:paraId="0A28D749"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4,198</w:t>
            </w:r>
          </w:p>
        </w:tc>
        <w:tc>
          <w:tcPr>
            <w:tcW w:w="1410" w:type="dxa"/>
            <w:tcBorders>
              <w:bottom w:val="single" w:sz="4" w:space="0" w:color="auto"/>
            </w:tcBorders>
          </w:tcPr>
          <w:p w14:paraId="5BD7B5ED"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1,828</w:t>
            </w:r>
          </w:p>
        </w:tc>
      </w:tr>
      <w:tr w:rsidR="000A2ED4" w:rsidRPr="00E70587" w14:paraId="2C576B8D" w14:textId="77777777" w:rsidTr="000A2ED4">
        <w:tc>
          <w:tcPr>
            <w:tcW w:w="6663" w:type="dxa"/>
            <w:tcMar>
              <w:top w:w="28" w:type="dxa"/>
            </w:tcMar>
          </w:tcPr>
          <w:p w14:paraId="1634B952"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479" w:type="dxa"/>
            <w:tcBorders>
              <w:top w:val="single" w:sz="4" w:space="0" w:color="auto"/>
              <w:bottom w:val="double" w:sz="4" w:space="0" w:color="auto"/>
            </w:tcBorders>
            <w:vAlign w:val="center"/>
          </w:tcPr>
          <w:p w14:paraId="7FB6460B"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6,997</w:t>
            </w:r>
          </w:p>
        </w:tc>
        <w:tc>
          <w:tcPr>
            <w:tcW w:w="1410" w:type="dxa"/>
            <w:tcBorders>
              <w:top w:val="single" w:sz="4" w:space="0" w:color="auto"/>
              <w:bottom w:val="double" w:sz="4" w:space="0" w:color="auto"/>
            </w:tcBorders>
            <w:vAlign w:val="center"/>
          </w:tcPr>
          <w:p w14:paraId="0EAA0A3C"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3,047</w:t>
            </w:r>
          </w:p>
        </w:tc>
      </w:tr>
      <w:tr w:rsidR="000A2ED4" w:rsidRPr="00E70587" w14:paraId="75710866" w14:textId="77777777" w:rsidTr="000A2ED4">
        <w:tc>
          <w:tcPr>
            <w:tcW w:w="6663" w:type="dxa"/>
            <w:tcMar>
              <w:top w:w="28" w:type="dxa"/>
            </w:tcMar>
          </w:tcPr>
          <w:p w14:paraId="30C5CC34"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479" w:type="dxa"/>
            <w:tcBorders>
              <w:top w:val="single" w:sz="4" w:space="0" w:color="auto"/>
            </w:tcBorders>
            <w:vAlign w:val="center"/>
          </w:tcPr>
          <w:p w14:paraId="2F37A169" w14:textId="77777777" w:rsidR="000A2ED4" w:rsidRPr="00E70587" w:rsidRDefault="000A2ED4" w:rsidP="00543062">
            <w:pPr>
              <w:spacing w:line="280" w:lineRule="exact"/>
              <w:jc w:val="right"/>
              <w:rPr>
                <w:rFonts w:ascii="Arial" w:hAnsi="Arial" w:cs="Arial"/>
                <w:b/>
                <w:bCs/>
                <w:sz w:val="20"/>
              </w:rPr>
            </w:pPr>
          </w:p>
        </w:tc>
        <w:tc>
          <w:tcPr>
            <w:tcW w:w="1410" w:type="dxa"/>
            <w:tcBorders>
              <w:top w:val="single" w:sz="4" w:space="0" w:color="auto"/>
            </w:tcBorders>
            <w:vAlign w:val="center"/>
          </w:tcPr>
          <w:p w14:paraId="04380DAB" w14:textId="77777777" w:rsidR="000A2ED4" w:rsidRPr="00E70587" w:rsidRDefault="000A2ED4" w:rsidP="00543062">
            <w:pPr>
              <w:spacing w:line="280" w:lineRule="exact"/>
              <w:jc w:val="right"/>
              <w:rPr>
                <w:rFonts w:ascii="Arial" w:hAnsi="Arial" w:cs="Arial"/>
                <w:b/>
                <w:bCs/>
                <w:sz w:val="20"/>
              </w:rPr>
            </w:pPr>
          </w:p>
        </w:tc>
      </w:tr>
      <w:tr w:rsidR="000A2ED4" w:rsidRPr="00E70587" w14:paraId="1EAEDDBA" w14:textId="77777777" w:rsidTr="000A2ED4">
        <w:tc>
          <w:tcPr>
            <w:tcW w:w="6663" w:type="dxa"/>
            <w:tcMar>
              <w:top w:w="28" w:type="dxa"/>
            </w:tcMar>
          </w:tcPr>
          <w:p w14:paraId="0C5C2280" w14:textId="77777777" w:rsidR="000A2ED4" w:rsidRPr="00E70587" w:rsidRDefault="000A2ED4" w:rsidP="00D619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Other financial assets</w:t>
            </w:r>
          </w:p>
        </w:tc>
        <w:tc>
          <w:tcPr>
            <w:tcW w:w="1479" w:type="dxa"/>
            <w:vAlign w:val="center"/>
          </w:tcPr>
          <w:p w14:paraId="45A43C47" w14:textId="77777777" w:rsidR="000A2ED4" w:rsidRPr="00E70587" w:rsidRDefault="000A2ED4" w:rsidP="00543062">
            <w:pPr>
              <w:spacing w:line="280" w:lineRule="exact"/>
              <w:jc w:val="right"/>
              <w:rPr>
                <w:rFonts w:ascii="Arial" w:hAnsi="Arial" w:cs="Arial"/>
                <w:b/>
                <w:bCs/>
                <w:sz w:val="20"/>
              </w:rPr>
            </w:pPr>
          </w:p>
        </w:tc>
        <w:tc>
          <w:tcPr>
            <w:tcW w:w="1410" w:type="dxa"/>
            <w:vAlign w:val="center"/>
          </w:tcPr>
          <w:p w14:paraId="48A936FA" w14:textId="77777777" w:rsidR="000A2ED4" w:rsidRPr="00E70587" w:rsidRDefault="000A2ED4" w:rsidP="00543062">
            <w:pPr>
              <w:spacing w:line="280" w:lineRule="exact"/>
              <w:jc w:val="right"/>
              <w:rPr>
                <w:rFonts w:ascii="Arial" w:hAnsi="Arial" w:cs="Arial"/>
                <w:b/>
                <w:bCs/>
                <w:sz w:val="20"/>
              </w:rPr>
            </w:pPr>
          </w:p>
        </w:tc>
      </w:tr>
      <w:tr w:rsidR="000A2ED4" w:rsidRPr="00E70587" w14:paraId="36CD0447" w14:textId="77777777" w:rsidTr="000A2ED4">
        <w:tc>
          <w:tcPr>
            <w:tcW w:w="6663" w:type="dxa"/>
            <w:tcMar>
              <w:top w:w="28" w:type="dxa"/>
            </w:tcMar>
          </w:tcPr>
          <w:p w14:paraId="357CF84C" w14:textId="77777777" w:rsidR="000A2ED4" w:rsidRPr="00E70587" w:rsidRDefault="000A2ED4" w:rsidP="00D619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Derivative instruments</w:t>
            </w:r>
          </w:p>
        </w:tc>
        <w:tc>
          <w:tcPr>
            <w:tcW w:w="1479" w:type="dxa"/>
            <w:vAlign w:val="center"/>
          </w:tcPr>
          <w:p w14:paraId="164E3947" w14:textId="77777777" w:rsidR="000A2ED4" w:rsidRPr="00E70587" w:rsidRDefault="000A2ED4" w:rsidP="00543062">
            <w:pPr>
              <w:spacing w:line="280" w:lineRule="exact"/>
              <w:jc w:val="right"/>
              <w:rPr>
                <w:rFonts w:ascii="Arial" w:hAnsi="Arial" w:cs="Arial"/>
                <w:b/>
                <w:bCs/>
                <w:sz w:val="20"/>
              </w:rPr>
            </w:pPr>
          </w:p>
        </w:tc>
        <w:tc>
          <w:tcPr>
            <w:tcW w:w="1410" w:type="dxa"/>
            <w:vAlign w:val="center"/>
          </w:tcPr>
          <w:p w14:paraId="51F81F13" w14:textId="77777777" w:rsidR="000A2ED4" w:rsidRPr="00E70587" w:rsidRDefault="000A2ED4" w:rsidP="00543062">
            <w:pPr>
              <w:spacing w:line="280" w:lineRule="exact"/>
              <w:jc w:val="right"/>
              <w:rPr>
                <w:rFonts w:ascii="Arial" w:hAnsi="Arial" w:cs="Arial"/>
                <w:b/>
                <w:bCs/>
                <w:sz w:val="20"/>
              </w:rPr>
            </w:pPr>
          </w:p>
        </w:tc>
      </w:tr>
      <w:tr w:rsidR="000A2ED4" w:rsidRPr="00E70587" w14:paraId="2E7C1BCB" w14:textId="77777777" w:rsidTr="000A2ED4">
        <w:tc>
          <w:tcPr>
            <w:tcW w:w="6663" w:type="dxa"/>
            <w:tcMar>
              <w:top w:w="28" w:type="dxa"/>
            </w:tcMar>
          </w:tcPr>
          <w:p w14:paraId="7229F29A"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p>
          <w:p w14:paraId="4E4D03D7" w14:textId="77777777" w:rsidR="000A2ED4" w:rsidRPr="00E70587" w:rsidDel="00CF2D45"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Derivative instruments at fair value through OCI</w:t>
            </w:r>
          </w:p>
        </w:tc>
        <w:tc>
          <w:tcPr>
            <w:tcW w:w="1479" w:type="dxa"/>
          </w:tcPr>
          <w:p w14:paraId="7B993FB8" w14:textId="77777777" w:rsidR="000A2ED4" w:rsidRPr="00E70587" w:rsidRDefault="000A2ED4" w:rsidP="00543062">
            <w:pPr>
              <w:pStyle w:val="tabletext"/>
              <w:overflowPunct w:val="0"/>
              <w:autoSpaceDE w:val="0"/>
              <w:autoSpaceDN w:val="0"/>
              <w:adjustRightInd w:val="0"/>
              <w:spacing w:line="280" w:lineRule="exact"/>
              <w:ind w:left="170"/>
              <w:jc w:val="right"/>
              <w:textAlignment w:val="baseline"/>
              <w:rPr>
                <w:rFonts w:ascii="Arial" w:hAnsi="Arial" w:cs="Arial"/>
                <w:b/>
                <w:sz w:val="20"/>
                <w:lang w:val="en-IN"/>
              </w:rPr>
            </w:pPr>
          </w:p>
        </w:tc>
        <w:tc>
          <w:tcPr>
            <w:tcW w:w="1410" w:type="dxa"/>
          </w:tcPr>
          <w:p w14:paraId="412E7645" w14:textId="77777777" w:rsidR="000A2ED4" w:rsidRPr="00E70587" w:rsidRDefault="000A2ED4" w:rsidP="00543062">
            <w:pPr>
              <w:pStyle w:val="tabletext"/>
              <w:overflowPunct w:val="0"/>
              <w:autoSpaceDE w:val="0"/>
              <w:autoSpaceDN w:val="0"/>
              <w:adjustRightInd w:val="0"/>
              <w:spacing w:line="280" w:lineRule="exact"/>
              <w:ind w:left="170"/>
              <w:jc w:val="right"/>
              <w:textAlignment w:val="baseline"/>
              <w:rPr>
                <w:rFonts w:ascii="Arial" w:hAnsi="Arial" w:cs="Arial"/>
                <w:b/>
                <w:sz w:val="20"/>
                <w:lang w:val="en-IN"/>
              </w:rPr>
            </w:pPr>
          </w:p>
        </w:tc>
      </w:tr>
      <w:tr w:rsidR="000A2ED4" w:rsidRPr="00E70587" w14:paraId="02AC8593" w14:textId="77777777" w:rsidTr="000A2ED4">
        <w:tc>
          <w:tcPr>
            <w:tcW w:w="6663" w:type="dxa"/>
            <w:tcMar>
              <w:top w:w="28" w:type="dxa"/>
            </w:tcMar>
          </w:tcPr>
          <w:p w14:paraId="6A4315B5" w14:textId="77777777" w:rsidR="000A2ED4" w:rsidRPr="00E70587" w:rsidDel="00CF2D45" w:rsidRDefault="000A2ED4"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Cash flow hedges</w:t>
            </w:r>
          </w:p>
        </w:tc>
        <w:tc>
          <w:tcPr>
            <w:tcW w:w="1479" w:type="dxa"/>
          </w:tcPr>
          <w:p w14:paraId="2AA4AE3A" w14:textId="77777777" w:rsidR="000A2ED4" w:rsidRPr="00E70587" w:rsidRDefault="000A2ED4" w:rsidP="00543062">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c>
          <w:tcPr>
            <w:tcW w:w="1410" w:type="dxa"/>
          </w:tcPr>
          <w:p w14:paraId="0ABCA903" w14:textId="77777777" w:rsidR="000A2ED4" w:rsidRPr="00E70587" w:rsidRDefault="000A2ED4" w:rsidP="00543062">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r>
      <w:tr w:rsidR="000A2ED4" w:rsidRPr="00E70587" w14:paraId="7F28C1DA" w14:textId="77777777" w:rsidTr="000A2ED4">
        <w:tc>
          <w:tcPr>
            <w:tcW w:w="6663" w:type="dxa"/>
            <w:tcMar>
              <w:top w:w="28" w:type="dxa"/>
            </w:tcMar>
          </w:tcPr>
          <w:p w14:paraId="2F8D15B2" w14:textId="77777777" w:rsidR="000A2ED4" w:rsidRPr="00E70587" w:rsidDel="00CF2D45" w:rsidRDefault="000A2ED4" w:rsidP="00543062">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 xml:space="preserve">Foreign exchange forward contracts </w:t>
            </w:r>
          </w:p>
        </w:tc>
        <w:tc>
          <w:tcPr>
            <w:tcW w:w="1479" w:type="dxa"/>
            <w:tcBorders>
              <w:bottom w:val="single" w:sz="4" w:space="0" w:color="auto"/>
            </w:tcBorders>
            <w:vAlign w:val="center"/>
          </w:tcPr>
          <w:p w14:paraId="52861778" w14:textId="77777777" w:rsidR="000A2ED4" w:rsidRPr="00E70587" w:rsidRDefault="000A2ED4" w:rsidP="00543062">
            <w:pPr>
              <w:spacing w:line="280" w:lineRule="exact"/>
              <w:jc w:val="right"/>
              <w:rPr>
                <w:rFonts w:ascii="Arial" w:hAnsi="Arial" w:cs="Arial"/>
                <w:bCs/>
                <w:sz w:val="20"/>
              </w:rPr>
            </w:pPr>
            <w:r w:rsidRPr="00E70587">
              <w:rPr>
                <w:rFonts w:ascii="Arial" w:hAnsi="Arial" w:cs="Arial"/>
                <w:bCs/>
                <w:sz w:val="20"/>
              </w:rPr>
              <w:t>454</w:t>
            </w:r>
          </w:p>
        </w:tc>
        <w:tc>
          <w:tcPr>
            <w:tcW w:w="1410" w:type="dxa"/>
            <w:tcBorders>
              <w:bottom w:val="single" w:sz="4" w:space="0" w:color="auto"/>
            </w:tcBorders>
            <w:vAlign w:val="center"/>
          </w:tcPr>
          <w:p w14:paraId="7D3F4436" w14:textId="77777777" w:rsidR="000A2ED4" w:rsidRPr="00E70587" w:rsidRDefault="000A2ED4" w:rsidP="00543062">
            <w:pPr>
              <w:spacing w:line="280" w:lineRule="exact"/>
              <w:jc w:val="right"/>
              <w:rPr>
                <w:rFonts w:ascii="Arial" w:hAnsi="Arial" w:cs="Arial"/>
                <w:bCs/>
                <w:sz w:val="20"/>
              </w:rPr>
            </w:pPr>
            <w:r w:rsidRPr="00E70587">
              <w:rPr>
                <w:rFonts w:ascii="Arial" w:hAnsi="Arial" w:cs="Arial"/>
                <w:bCs/>
                <w:sz w:val="20"/>
              </w:rPr>
              <w:t>275</w:t>
            </w:r>
          </w:p>
        </w:tc>
      </w:tr>
      <w:tr w:rsidR="000A2ED4" w:rsidRPr="00E70587" w14:paraId="7133595C" w14:textId="77777777" w:rsidTr="000A2ED4">
        <w:tc>
          <w:tcPr>
            <w:tcW w:w="6663" w:type="dxa"/>
            <w:tcMar>
              <w:top w:w="28" w:type="dxa"/>
            </w:tcMar>
          </w:tcPr>
          <w:p w14:paraId="59A1BA4F"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Derivative instruments at fair value through OCI</w:t>
            </w:r>
          </w:p>
        </w:tc>
        <w:tc>
          <w:tcPr>
            <w:tcW w:w="1479" w:type="dxa"/>
            <w:tcBorders>
              <w:top w:val="single" w:sz="4" w:space="0" w:color="auto"/>
              <w:bottom w:val="double" w:sz="4" w:space="0" w:color="auto"/>
            </w:tcBorders>
            <w:vAlign w:val="center"/>
          </w:tcPr>
          <w:p w14:paraId="2C755B1E"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454</w:t>
            </w:r>
          </w:p>
        </w:tc>
        <w:tc>
          <w:tcPr>
            <w:tcW w:w="1410" w:type="dxa"/>
            <w:tcBorders>
              <w:top w:val="single" w:sz="4" w:space="0" w:color="auto"/>
              <w:bottom w:val="double" w:sz="4" w:space="0" w:color="auto"/>
            </w:tcBorders>
            <w:vAlign w:val="center"/>
          </w:tcPr>
          <w:p w14:paraId="2D354F63"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275</w:t>
            </w:r>
          </w:p>
        </w:tc>
      </w:tr>
      <w:tr w:rsidR="000A2ED4" w:rsidRPr="00E70587" w14:paraId="059EDA63" w14:textId="77777777" w:rsidTr="000A2ED4">
        <w:tc>
          <w:tcPr>
            <w:tcW w:w="6663" w:type="dxa"/>
            <w:tcMar>
              <w:top w:w="28" w:type="dxa"/>
            </w:tcMar>
          </w:tcPr>
          <w:p w14:paraId="59F81ACD"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479" w:type="dxa"/>
          </w:tcPr>
          <w:p w14:paraId="1E291865" w14:textId="77777777" w:rsidR="000A2ED4" w:rsidRPr="00E70587" w:rsidRDefault="000A2ED4" w:rsidP="00543062">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c>
          <w:tcPr>
            <w:tcW w:w="1410" w:type="dxa"/>
          </w:tcPr>
          <w:p w14:paraId="2999A014" w14:textId="77777777" w:rsidR="000A2ED4" w:rsidRPr="00E70587" w:rsidRDefault="000A2ED4" w:rsidP="00543062">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r>
      <w:tr w:rsidR="000A2ED4" w:rsidRPr="00E70587" w14:paraId="489E9D74" w14:textId="77777777" w:rsidTr="000A2ED4">
        <w:tc>
          <w:tcPr>
            <w:tcW w:w="6663" w:type="dxa"/>
            <w:tcMar>
              <w:top w:w="28" w:type="dxa"/>
            </w:tcMar>
          </w:tcPr>
          <w:p w14:paraId="3A2CC781" w14:textId="7D45FF22" w:rsidR="000A2ED4" w:rsidRPr="00E70587" w:rsidDel="00CF2D45"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Financial instruments at fair value through profit </w:t>
            </w:r>
            <w:r w:rsidR="00010674">
              <w:rPr>
                <w:rFonts w:ascii="Arial" w:hAnsi="Arial" w:cs="Arial"/>
                <w:b/>
                <w:sz w:val="20"/>
                <w:lang w:val="en-IN"/>
              </w:rPr>
              <w:t>or</w:t>
            </w:r>
            <w:r w:rsidR="001D0202" w:rsidRPr="00E70587">
              <w:rPr>
                <w:rFonts w:ascii="Arial" w:hAnsi="Arial" w:cs="Arial"/>
                <w:b/>
                <w:sz w:val="20"/>
                <w:lang w:val="en-IN"/>
              </w:rPr>
              <w:t xml:space="preserve"> </w:t>
            </w:r>
            <w:r w:rsidRPr="00E70587">
              <w:rPr>
                <w:rFonts w:ascii="Arial" w:hAnsi="Arial" w:cs="Arial"/>
                <w:b/>
                <w:sz w:val="20"/>
                <w:lang w:val="en-IN"/>
              </w:rPr>
              <w:t>loss</w:t>
            </w:r>
          </w:p>
        </w:tc>
        <w:tc>
          <w:tcPr>
            <w:tcW w:w="1479" w:type="dxa"/>
          </w:tcPr>
          <w:p w14:paraId="62EE7AE6" w14:textId="77777777" w:rsidR="000A2ED4" w:rsidRPr="00E70587" w:rsidRDefault="000A2ED4" w:rsidP="00543062">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c>
          <w:tcPr>
            <w:tcW w:w="1410" w:type="dxa"/>
          </w:tcPr>
          <w:p w14:paraId="71EDBDFE" w14:textId="77777777" w:rsidR="000A2ED4" w:rsidRPr="00E70587" w:rsidRDefault="000A2ED4" w:rsidP="00543062">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r>
      <w:tr w:rsidR="000A2ED4" w:rsidRPr="00E70587" w14:paraId="771B7D7F" w14:textId="77777777" w:rsidTr="000A2ED4">
        <w:tc>
          <w:tcPr>
            <w:tcW w:w="6663" w:type="dxa"/>
            <w:tcMar>
              <w:top w:w="28" w:type="dxa"/>
            </w:tcMar>
          </w:tcPr>
          <w:p w14:paraId="080B3F70" w14:textId="77777777" w:rsidR="000A2ED4" w:rsidRPr="00E70587" w:rsidDel="00CF2D45" w:rsidRDefault="000A2ED4"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Derivatives not designated as hedges</w:t>
            </w:r>
          </w:p>
        </w:tc>
        <w:tc>
          <w:tcPr>
            <w:tcW w:w="1479" w:type="dxa"/>
          </w:tcPr>
          <w:p w14:paraId="328D6C6D" w14:textId="77777777" w:rsidR="000A2ED4" w:rsidRPr="00E70587" w:rsidRDefault="000A2ED4" w:rsidP="00543062">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c>
          <w:tcPr>
            <w:tcW w:w="1410" w:type="dxa"/>
          </w:tcPr>
          <w:p w14:paraId="76856909" w14:textId="77777777" w:rsidR="000A2ED4" w:rsidRPr="00E70587" w:rsidRDefault="000A2ED4" w:rsidP="00543062">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r>
      <w:tr w:rsidR="000A2ED4" w:rsidRPr="00E70587" w14:paraId="700038DA" w14:textId="77777777" w:rsidTr="000A2ED4">
        <w:tc>
          <w:tcPr>
            <w:tcW w:w="6663" w:type="dxa"/>
            <w:tcMar>
              <w:top w:w="28" w:type="dxa"/>
            </w:tcMar>
          </w:tcPr>
          <w:p w14:paraId="74AA5B75" w14:textId="77777777" w:rsidR="000A2ED4" w:rsidRPr="00E70587" w:rsidDel="00CF2D45" w:rsidRDefault="000A2ED4" w:rsidP="00543062">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Foreign exchange forward contracts</w:t>
            </w:r>
          </w:p>
        </w:tc>
        <w:tc>
          <w:tcPr>
            <w:tcW w:w="1479" w:type="dxa"/>
            <w:vAlign w:val="center"/>
          </w:tcPr>
          <w:p w14:paraId="46838E1E"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1,152</w:t>
            </w:r>
          </w:p>
        </w:tc>
        <w:tc>
          <w:tcPr>
            <w:tcW w:w="1410" w:type="dxa"/>
            <w:vAlign w:val="center"/>
          </w:tcPr>
          <w:p w14:paraId="3FEFDD0E"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w:t>
            </w:r>
          </w:p>
        </w:tc>
      </w:tr>
      <w:tr w:rsidR="000A2ED4" w:rsidRPr="00E70587" w14:paraId="334581F3" w14:textId="77777777" w:rsidTr="000A2ED4">
        <w:tc>
          <w:tcPr>
            <w:tcW w:w="6663" w:type="dxa"/>
            <w:tcMar>
              <w:top w:w="28" w:type="dxa"/>
            </w:tcMar>
          </w:tcPr>
          <w:p w14:paraId="5391EA12" w14:textId="77777777" w:rsidR="000A2ED4" w:rsidRPr="00E70587" w:rsidDel="00CF2D45" w:rsidRDefault="000A2ED4" w:rsidP="00543062">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Embedded derivatives</w:t>
            </w:r>
          </w:p>
        </w:tc>
        <w:tc>
          <w:tcPr>
            <w:tcW w:w="1479" w:type="dxa"/>
            <w:tcBorders>
              <w:bottom w:val="single" w:sz="4" w:space="0" w:color="auto"/>
            </w:tcBorders>
            <w:vAlign w:val="center"/>
          </w:tcPr>
          <w:p w14:paraId="1FCD9D84"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378</w:t>
            </w:r>
          </w:p>
        </w:tc>
        <w:tc>
          <w:tcPr>
            <w:tcW w:w="1410" w:type="dxa"/>
            <w:tcBorders>
              <w:bottom w:val="single" w:sz="4" w:space="0" w:color="auto"/>
            </w:tcBorders>
            <w:vAlign w:val="center"/>
          </w:tcPr>
          <w:p w14:paraId="2E2096CA"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w:t>
            </w:r>
          </w:p>
        </w:tc>
      </w:tr>
      <w:tr w:rsidR="000A2ED4" w:rsidRPr="00E70587" w14:paraId="2D595EEC" w14:textId="77777777" w:rsidTr="000A2ED4">
        <w:tc>
          <w:tcPr>
            <w:tcW w:w="6663" w:type="dxa"/>
            <w:tcMar>
              <w:top w:w="28" w:type="dxa"/>
            </w:tcMar>
          </w:tcPr>
          <w:p w14:paraId="0C971475" w14:textId="0159C24D"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 xml:space="preserve">Total instruments at fair value through profit </w:t>
            </w:r>
            <w:r w:rsidR="00010674">
              <w:rPr>
                <w:rFonts w:ascii="Arial" w:hAnsi="Arial" w:cs="Arial"/>
                <w:b/>
                <w:sz w:val="20"/>
                <w:lang w:val="en-IN"/>
              </w:rPr>
              <w:t>or</w:t>
            </w:r>
            <w:r w:rsidR="001D0202" w:rsidRPr="00E70587">
              <w:rPr>
                <w:rFonts w:ascii="Arial" w:hAnsi="Arial" w:cs="Arial"/>
                <w:b/>
                <w:sz w:val="20"/>
                <w:lang w:val="en-IN"/>
              </w:rPr>
              <w:t xml:space="preserve"> </w:t>
            </w:r>
            <w:r w:rsidRPr="00E70587">
              <w:rPr>
                <w:rFonts w:ascii="Arial" w:hAnsi="Arial" w:cs="Arial"/>
                <w:b/>
                <w:sz w:val="20"/>
                <w:lang w:val="en-IN"/>
              </w:rPr>
              <w:t>loss</w:t>
            </w:r>
          </w:p>
        </w:tc>
        <w:tc>
          <w:tcPr>
            <w:tcW w:w="1479" w:type="dxa"/>
            <w:tcBorders>
              <w:top w:val="single" w:sz="4" w:space="0" w:color="auto"/>
              <w:bottom w:val="double" w:sz="4" w:space="0" w:color="auto"/>
            </w:tcBorders>
            <w:vAlign w:val="center"/>
          </w:tcPr>
          <w:p w14:paraId="1AF8836E"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1,530</w:t>
            </w:r>
          </w:p>
        </w:tc>
        <w:tc>
          <w:tcPr>
            <w:tcW w:w="1410" w:type="dxa"/>
            <w:tcBorders>
              <w:top w:val="single" w:sz="4" w:space="0" w:color="auto"/>
              <w:bottom w:val="double" w:sz="4" w:space="0" w:color="auto"/>
            </w:tcBorders>
            <w:vAlign w:val="center"/>
          </w:tcPr>
          <w:p w14:paraId="4AD6CBE8"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w:t>
            </w:r>
          </w:p>
        </w:tc>
      </w:tr>
      <w:tr w:rsidR="000A2ED4" w:rsidRPr="00E70587" w14:paraId="5534FEDD" w14:textId="77777777" w:rsidTr="000A2ED4">
        <w:tc>
          <w:tcPr>
            <w:tcW w:w="6663" w:type="dxa"/>
            <w:tcMar>
              <w:top w:w="28" w:type="dxa"/>
            </w:tcMar>
          </w:tcPr>
          <w:p w14:paraId="589B3CD4"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479" w:type="dxa"/>
            <w:vAlign w:val="center"/>
          </w:tcPr>
          <w:p w14:paraId="56797A97" w14:textId="77777777" w:rsidR="000A2ED4" w:rsidRPr="00E70587" w:rsidRDefault="000A2ED4" w:rsidP="00543062">
            <w:pPr>
              <w:spacing w:line="280" w:lineRule="exact"/>
              <w:jc w:val="right"/>
              <w:rPr>
                <w:rFonts w:ascii="Arial" w:hAnsi="Arial" w:cs="Arial"/>
                <w:b/>
                <w:bCs/>
                <w:sz w:val="20"/>
              </w:rPr>
            </w:pPr>
          </w:p>
        </w:tc>
        <w:tc>
          <w:tcPr>
            <w:tcW w:w="1410" w:type="dxa"/>
            <w:vAlign w:val="center"/>
          </w:tcPr>
          <w:p w14:paraId="0D60CA13" w14:textId="77777777" w:rsidR="000A2ED4" w:rsidRPr="00E70587" w:rsidRDefault="000A2ED4" w:rsidP="00543062">
            <w:pPr>
              <w:spacing w:line="280" w:lineRule="exact"/>
              <w:jc w:val="right"/>
              <w:rPr>
                <w:rFonts w:ascii="Arial" w:hAnsi="Arial" w:cs="Arial"/>
                <w:b/>
                <w:bCs/>
                <w:sz w:val="20"/>
              </w:rPr>
            </w:pPr>
          </w:p>
        </w:tc>
      </w:tr>
      <w:tr w:rsidR="000A2ED4" w:rsidRPr="00E70587" w14:paraId="434FE7F0" w14:textId="77777777" w:rsidTr="000A2ED4">
        <w:tc>
          <w:tcPr>
            <w:tcW w:w="6663" w:type="dxa"/>
            <w:tcMar>
              <w:top w:w="28" w:type="dxa"/>
            </w:tcMar>
          </w:tcPr>
          <w:p w14:paraId="6D223475" w14:textId="77777777" w:rsidR="000A2ED4" w:rsidRPr="00E70587" w:rsidRDefault="000A2ED4" w:rsidP="00D619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other financial assets (derivative instruments)</w:t>
            </w:r>
          </w:p>
        </w:tc>
        <w:tc>
          <w:tcPr>
            <w:tcW w:w="1479" w:type="dxa"/>
          </w:tcPr>
          <w:p w14:paraId="544353FB" w14:textId="77777777" w:rsidR="000A2ED4" w:rsidRPr="00E70587" w:rsidRDefault="000A2ED4" w:rsidP="00F67A40">
            <w:pPr>
              <w:spacing w:line="280" w:lineRule="exact"/>
              <w:jc w:val="right"/>
              <w:rPr>
                <w:rFonts w:ascii="Arial" w:hAnsi="Arial" w:cs="Arial"/>
                <w:b/>
                <w:bCs/>
                <w:sz w:val="20"/>
              </w:rPr>
            </w:pPr>
            <w:r w:rsidRPr="00E70587">
              <w:rPr>
                <w:rFonts w:ascii="Arial" w:hAnsi="Arial" w:cs="Arial"/>
                <w:b/>
                <w:bCs/>
                <w:sz w:val="20"/>
              </w:rPr>
              <w:t>1,984</w:t>
            </w:r>
          </w:p>
        </w:tc>
        <w:tc>
          <w:tcPr>
            <w:tcW w:w="1410" w:type="dxa"/>
          </w:tcPr>
          <w:p w14:paraId="35F9982E" w14:textId="77777777" w:rsidR="000A2ED4" w:rsidRPr="00E70587" w:rsidRDefault="000A2ED4" w:rsidP="00F67A40">
            <w:pPr>
              <w:spacing w:line="280" w:lineRule="exact"/>
              <w:jc w:val="right"/>
              <w:rPr>
                <w:rFonts w:ascii="Arial" w:hAnsi="Arial" w:cs="Arial"/>
                <w:b/>
                <w:bCs/>
                <w:sz w:val="20"/>
              </w:rPr>
            </w:pPr>
            <w:r w:rsidRPr="00E70587">
              <w:rPr>
                <w:rFonts w:ascii="Arial" w:hAnsi="Arial" w:cs="Arial"/>
                <w:b/>
                <w:bCs/>
                <w:sz w:val="20"/>
              </w:rPr>
              <w:t>275</w:t>
            </w:r>
          </w:p>
        </w:tc>
      </w:tr>
      <w:tr w:rsidR="000A2ED4" w:rsidRPr="00E70587" w14:paraId="047105AD" w14:textId="77777777" w:rsidTr="000A2ED4">
        <w:tc>
          <w:tcPr>
            <w:tcW w:w="6663" w:type="dxa"/>
            <w:tcMar>
              <w:top w:w="28" w:type="dxa"/>
            </w:tcMar>
          </w:tcPr>
          <w:p w14:paraId="6B81CA1C"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Current</w:t>
            </w:r>
          </w:p>
        </w:tc>
        <w:tc>
          <w:tcPr>
            <w:tcW w:w="1479" w:type="dxa"/>
            <w:tcBorders>
              <w:top w:val="single" w:sz="4" w:space="0" w:color="auto"/>
            </w:tcBorders>
            <w:vAlign w:val="center"/>
          </w:tcPr>
          <w:p w14:paraId="6D3391E6"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Cs/>
                <w:sz w:val="20"/>
              </w:rPr>
              <w:t>992</w:t>
            </w:r>
          </w:p>
        </w:tc>
        <w:tc>
          <w:tcPr>
            <w:tcW w:w="1410" w:type="dxa"/>
            <w:tcBorders>
              <w:top w:val="single" w:sz="4" w:space="0" w:color="auto"/>
            </w:tcBorders>
            <w:vAlign w:val="center"/>
          </w:tcPr>
          <w:p w14:paraId="6E711CF6"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Cs/>
                <w:sz w:val="20"/>
              </w:rPr>
              <w:t>275</w:t>
            </w:r>
          </w:p>
        </w:tc>
      </w:tr>
      <w:tr w:rsidR="000A2ED4" w:rsidRPr="00E70587" w14:paraId="115D2DA7" w14:textId="77777777" w:rsidTr="000A2ED4">
        <w:tc>
          <w:tcPr>
            <w:tcW w:w="6663" w:type="dxa"/>
            <w:tcMar>
              <w:top w:w="28" w:type="dxa"/>
            </w:tcMar>
          </w:tcPr>
          <w:p w14:paraId="7EF37E82"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lastRenderedPageBreak/>
              <w:t>Non-Current</w:t>
            </w:r>
          </w:p>
        </w:tc>
        <w:tc>
          <w:tcPr>
            <w:tcW w:w="1479" w:type="dxa"/>
            <w:vAlign w:val="center"/>
          </w:tcPr>
          <w:p w14:paraId="5E493810"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Cs/>
                <w:sz w:val="20"/>
              </w:rPr>
              <w:t>992</w:t>
            </w:r>
          </w:p>
        </w:tc>
        <w:tc>
          <w:tcPr>
            <w:tcW w:w="1410" w:type="dxa"/>
            <w:vAlign w:val="center"/>
          </w:tcPr>
          <w:p w14:paraId="39F89AF3"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Cs/>
                <w:sz w:val="20"/>
              </w:rPr>
              <w:t>-</w:t>
            </w:r>
          </w:p>
        </w:tc>
      </w:tr>
      <w:tr w:rsidR="000A2ED4" w:rsidRPr="00E70587" w14:paraId="03F47E7F" w14:textId="77777777" w:rsidTr="000A2ED4">
        <w:tc>
          <w:tcPr>
            <w:tcW w:w="6663" w:type="dxa"/>
            <w:tcMar>
              <w:top w:w="28" w:type="dxa"/>
            </w:tcMar>
          </w:tcPr>
          <w:p w14:paraId="3EAD1D2F"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479" w:type="dxa"/>
            <w:tcBorders>
              <w:top w:val="single" w:sz="4" w:space="0" w:color="auto"/>
            </w:tcBorders>
          </w:tcPr>
          <w:p w14:paraId="124572C9"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1,984</w:t>
            </w:r>
          </w:p>
        </w:tc>
        <w:tc>
          <w:tcPr>
            <w:tcW w:w="1410" w:type="dxa"/>
            <w:tcBorders>
              <w:top w:val="single" w:sz="4" w:space="0" w:color="auto"/>
              <w:bottom w:val="double" w:sz="4" w:space="0" w:color="auto"/>
            </w:tcBorders>
          </w:tcPr>
          <w:p w14:paraId="0D515347"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275</w:t>
            </w:r>
          </w:p>
        </w:tc>
      </w:tr>
      <w:tr w:rsidR="000A2ED4" w:rsidRPr="00E70587" w14:paraId="30BFAE23" w14:textId="77777777" w:rsidTr="000A2ED4">
        <w:tc>
          <w:tcPr>
            <w:tcW w:w="6663" w:type="dxa"/>
            <w:tcMar>
              <w:top w:w="28" w:type="dxa"/>
            </w:tcMar>
          </w:tcPr>
          <w:p w14:paraId="55A58E59"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479" w:type="dxa"/>
            <w:tcBorders>
              <w:top w:val="double" w:sz="4" w:space="0" w:color="auto"/>
              <w:bottom w:val="single" w:sz="4" w:space="0" w:color="auto"/>
            </w:tcBorders>
            <w:vAlign w:val="center"/>
          </w:tcPr>
          <w:p w14:paraId="4B52DFB9" w14:textId="77777777" w:rsidR="000A2ED4" w:rsidRPr="00E70587" w:rsidRDefault="000A2ED4" w:rsidP="00543062">
            <w:pPr>
              <w:spacing w:line="280" w:lineRule="exact"/>
              <w:jc w:val="right"/>
              <w:rPr>
                <w:rFonts w:ascii="Arial" w:hAnsi="Arial" w:cs="Arial"/>
                <w:b/>
                <w:bCs/>
                <w:sz w:val="20"/>
              </w:rPr>
            </w:pPr>
          </w:p>
        </w:tc>
        <w:tc>
          <w:tcPr>
            <w:tcW w:w="1410" w:type="dxa"/>
            <w:tcBorders>
              <w:top w:val="double" w:sz="4" w:space="0" w:color="auto"/>
              <w:bottom w:val="single" w:sz="4" w:space="0" w:color="auto"/>
            </w:tcBorders>
            <w:vAlign w:val="center"/>
          </w:tcPr>
          <w:p w14:paraId="455D8B8E" w14:textId="77777777" w:rsidR="000A2ED4" w:rsidRPr="00E70587" w:rsidRDefault="000A2ED4" w:rsidP="00543062">
            <w:pPr>
              <w:spacing w:line="280" w:lineRule="exact"/>
              <w:jc w:val="right"/>
              <w:rPr>
                <w:rFonts w:ascii="Arial" w:hAnsi="Arial" w:cs="Arial"/>
                <w:b/>
                <w:bCs/>
                <w:sz w:val="20"/>
              </w:rPr>
            </w:pPr>
          </w:p>
        </w:tc>
      </w:tr>
      <w:tr w:rsidR="000A2ED4" w:rsidRPr="00E70587" w14:paraId="3F6C1736" w14:textId="77777777" w:rsidTr="000A2ED4">
        <w:tc>
          <w:tcPr>
            <w:tcW w:w="6663" w:type="dxa"/>
            <w:tcMar>
              <w:top w:w="28" w:type="dxa"/>
            </w:tcMar>
          </w:tcPr>
          <w:p w14:paraId="44884F9A" w14:textId="77777777" w:rsidR="000A2ED4" w:rsidRPr="00E70587" w:rsidDel="00CF2D45" w:rsidRDefault="000A2ED4" w:rsidP="00F67A40">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financial assets</w:t>
            </w:r>
          </w:p>
        </w:tc>
        <w:tc>
          <w:tcPr>
            <w:tcW w:w="1479" w:type="dxa"/>
            <w:tcBorders>
              <w:top w:val="single" w:sz="4" w:space="0" w:color="auto"/>
              <w:bottom w:val="double" w:sz="4" w:space="0" w:color="auto"/>
            </w:tcBorders>
            <w:vAlign w:val="center"/>
          </w:tcPr>
          <w:p w14:paraId="3C62AD73"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12,55</w:t>
            </w:r>
            <w:r w:rsidR="00264B9F" w:rsidRPr="00E70587">
              <w:rPr>
                <w:rFonts w:ascii="Arial" w:hAnsi="Arial" w:cs="Arial"/>
                <w:b/>
                <w:bCs/>
                <w:sz w:val="20"/>
              </w:rPr>
              <w:t>8</w:t>
            </w:r>
          </w:p>
        </w:tc>
        <w:tc>
          <w:tcPr>
            <w:tcW w:w="1410" w:type="dxa"/>
            <w:tcBorders>
              <w:top w:val="single" w:sz="4" w:space="0" w:color="auto"/>
              <w:bottom w:val="double" w:sz="4" w:space="0" w:color="auto"/>
            </w:tcBorders>
            <w:vAlign w:val="center"/>
          </w:tcPr>
          <w:p w14:paraId="30A4DAD6" w14:textId="77777777" w:rsidR="000A2ED4" w:rsidRPr="00E70587" w:rsidRDefault="000A2ED4" w:rsidP="00543062">
            <w:pPr>
              <w:spacing w:line="280" w:lineRule="exact"/>
              <w:jc w:val="right"/>
              <w:rPr>
                <w:rFonts w:ascii="Arial" w:hAnsi="Arial" w:cs="Arial"/>
                <w:b/>
                <w:bCs/>
                <w:sz w:val="20"/>
              </w:rPr>
            </w:pPr>
            <w:r w:rsidRPr="00E70587">
              <w:rPr>
                <w:rFonts w:ascii="Arial" w:hAnsi="Arial" w:cs="Arial"/>
                <w:b/>
                <w:bCs/>
                <w:sz w:val="20"/>
              </w:rPr>
              <w:t>6,558</w:t>
            </w:r>
          </w:p>
        </w:tc>
      </w:tr>
      <w:tr w:rsidR="000A2ED4" w:rsidRPr="00E70587" w14:paraId="2937E5FB" w14:textId="77777777" w:rsidTr="000A2ED4">
        <w:tc>
          <w:tcPr>
            <w:tcW w:w="6663" w:type="dxa"/>
            <w:tcMar>
              <w:top w:w="28" w:type="dxa"/>
            </w:tcMar>
          </w:tcPr>
          <w:p w14:paraId="30C359CB" w14:textId="77777777" w:rsidR="000A2ED4" w:rsidRPr="00E70587" w:rsidDel="00CF2D45" w:rsidRDefault="000A2ED4" w:rsidP="00543062">
            <w:pPr>
              <w:pStyle w:val="tabletext"/>
              <w:overflowPunct w:val="0"/>
              <w:autoSpaceDE w:val="0"/>
              <w:autoSpaceDN w:val="0"/>
              <w:adjustRightInd w:val="0"/>
              <w:spacing w:line="280" w:lineRule="exact"/>
              <w:ind w:left="1440" w:hanging="1440"/>
              <w:textAlignment w:val="baseline"/>
              <w:rPr>
                <w:rFonts w:ascii="Arial" w:hAnsi="Arial" w:cs="Arial"/>
                <w:b/>
                <w:sz w:val="20"/>
                <w:lang w:val="en-IN"/>
              </w:rPr>
            </w:pPr>
            <w:r w:rsidRPr="00E70587">
              <w:rPr>
                <w:rFonts w:ascii="Arial" w:hAnsi="Arial" w:cs="Arial"/>
                <w:b/>
                <w:sz w:val="20"/>
                <w:lang w:val="en-IN"/>
              </w:rPr>
              <w:t xml:space="preserve">Total current </w:t>
            </w:r>
          </w:p>
        </w:tc>
        <w:tc>
          <w:tcPr>
            <w:tcW w:w="1479" w:type="dxa"/>
            <w:tcBorders>
              <w:top w:val="double" w:sz="4" w:space="0" w:color="auto"/>
            </w:tcBorders>
          </w:tcPr>
          <w:p w14:paraId="51589F28"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3,791</w:t>
            </w:r>
          </w:p>
        </w:tc>
        <w:tc>
          <w:tcPr>
            <w:tcW w:w="1410" w:type="dxa"/>
            <w:tcBorders>
              <w:top w:val="double" w:sz="4" w:space="0" w:color="auto"/>
            </w:tcBorders>
          </w:tcPr>
          <w:p w14:paraId="4FDE9646"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1,494</w:t>
            </w:r>
          </w:p>
        </w:tc>
      </w:tr>
      <w:tr w:rsidR="000A2ED4" w:rsidRPr="00E70587" w14:paraId="46F3CA64" w14:textId="77777777" w:rsidTr="000A2ED4">
        <w:tc>
          <w:tcPr>
            <w:tcW w:w="6663" w:type="dxa"/>
            <w:tcMar>
              <w:top w:w="28" w:type="dxa"/>
            </w:tcMar>
            <w:vAlign w:val="center"/>
          </w:tcPr>
          <w:p w14:paraId="607E8CE6" w14:textId="77777777" w:rsidR="000A2ED4" w:rsidRPr="00E70587" w:rsidDel="00CF2D45" w:rsidRDefault="000A2ED4" w:rsidP="00543062">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Total non-current </w:t>
            </w:r>
          </w:p>
        </w:tc>
        <w:tc>
          <w:tcPr>
            <w:tcW w:w="1479" w:type="dxa"/>
            <w:tcBorders>
              <w:bottom w:val="single" w:sz="4" w:space="0" w:color="auto"/>
            </w:tcBorders>
          </w:tcPr>
          <w:p w14:paraId="71F02EAA"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8,767</w:t>
            </w:r>
          </w:p>
        </w:tc>
        <w:tc>
          <w:tcPr>
            <w:tcW w:w="1410" w:type="dxa"/>
            <w:tcBorders>
              <w:bottom w:val="single" w:sz="4" w:space="0" w:color="auto"/>
            </w:tcBorders>
          </w:tcPr>
          <w:p w14:paraId="263B2B2B"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5,064</w:t>
            </w:r>
          </w:p>
        </w:tc>
      </w:tr>
      <w:tr w:rsidR="000A2ED4" w:rsidRPr="00E70587" w14:paraId="35A4211B" w14:textId="77777777" w:rsidTr="000A2ED4">
        <w:tc>
          <w:tcPr>
            <w:tcW w:w="6663" w:type="dxa"/>
            <w:tcMar>
              <w:top w:w="28" w:type="dxa"/>
            </w:tcMar>
            <w:vAlign w:val="center"/>
          </w:tcPr>
          <w:p w14:paraId="11A839E5" w14:textId="77777777" w:rsidR="000A2ED4" w:rsidRPr="00E70587" w:rsidDel="00CF2D45" w:rsidRDefault="000A2ED4" w:rsidP="00F67A40">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Total financial assets </w:t>
            </w:r>
          </w:p>
        </w:tc>
        <w:tc>
          <w:tcPr>
            <w:tcW w:w="1479" w:type="dxa"/>
            <w:tcBorders>
              <w:top w:val="single" w:sz="4" w:space="0" w:color="auto"/>
              <w:bottom w:val="single" w:sz="4" w:space="0" w:color="auto"/>
            </w:tcBorders>
          </w:tcPr>
          <w:p w14:paraId="7DC1B851" w14:textId="77777777" w:rsidR="000A2ED4" w:rsidRPr="00E70587" w:rsidRDefault="000A2ED4" w:rsidP="008D4DB9">
            <w:pPr>
              <w:spacing w:line="280" w:lineRule="exact"/>
              <w:jc w:val="right"/>
              <w:rPr>
                <w:rFonts w:ascii="Arial" w:hAnsi="Arial" w:cs="Arial"/>
                <w:b/>
                <w:sz w:val="20"/>
              </w:rPr>
            </w:pPr>
            <w:r w:rsidRPr="00E70587">
              <w:rPr>
                <w:rFonts w:ascii="Arial" w:hAnsi="Arial" w:cs="Arial"/>
                <w:b/>
                <w:sz w:val="20"/>
              </w:rPr>
              <w:t>12,</w:t>
            </w:r>
            <w:r w:rsidR="008D4DB9" w:rsidRPr="00E70587">
              <w:rPr>
                <w:rFonts w:ascii="Arial" w:hAnsi="Arial" w:cs="Arial"/>
                <w:b/>
                <w:sz w:val="20"/>
              </w:rPr>
              <w:t>558</w:t>
            </w:r>
          </w:p>
        </w:tc>
        <w:tc>
          <w:tcPr>
            <w:tcW w:w="1410" w:type="dxa"/>
            <w:tcBorders>
              <w:top w:val="single" w:sz="4" w:space="0" w:color="auto"/>
              <w:bottom w:val="single" w:sz="4" w:space="0" w:color="auto"/>
            </w:tcBorders>
          </w:tcPr>
          <w:p w14:paraId="0BC8E920" w14:textId="77777777" w:rsidR="000A2ED4" w:rsidRPr="00E70587" w:rsidRDefault="000A2ED4" w:rsidP="00543062">
            <w:pPr>
              <w:spacing w:line="280" w:lineRule="exact"/>
              <w:jc w:val="right"/>
              <w:rPr>
                <w:rFonts w:ascii="Arial" w:hAnsi="Arial" w:cs="Arial"/>
                <w:b/>
                <w:sz w:val="20"/>
              </w:rPr>
            </w:pPr>
            <w:r w:rsidRPr="00E70587">
              <w:rPr>
                <w:rFonts w:ascii="Arial" w:hAnsi="Arial" w:cs="Arial"/>
                <w:b/>
                <w:sz w:val="20"/>
              </w:rPr>
              <w:t>6,558</w:t>
            </w:r>
          </w:p>
        </w:tc>
      </w:tr>
    </w:tbl>
    <w:p w14:paraId="7496D04A" w14:textId="77777777" w:rsidR="00333A4B" w:rsidRPr="00E70587" w:rsidRDefault="00333A4B" w:rsidP="00333A4B">
      <w:pPr>
        <w:spacing w:line="280" w:lineRule="exact"/>
        <w:rPr>
          <w:rFonts w:ascii="Arial" w:hAnsi="Arial" w:cs="Arial"/>
          <w:sz w:val="20"/>
        </w:rPr>
      </w:pPr>
    </w:p>
    <w:tbl>
      <w:tblPr>
        <w:tblW w:w="9576" w:type="dxa"/>
        <w:tblLook w:val="0000" w:firstRow="0" w:lastRow="0" w:firstColumn="0" w:lastColumn="0" w:noHBand="0" w:noVBand="0"/>
      </w:tblPr>
      <w:tblGrid>
        <w:gridCol w:w="9576"/>
      </w:tblGrid>
      <w:tr w:rsidR="00333A4B" w:rsidRPr="00E70587" w14:paraId="37367F57" w14:textId="77777777" w:rsidTr="00543062">
        <w:tc>
          <w:tcPr>
            <w:tcW w:w="0" w:type="auto"/>
          </w:tcPr>
          <w:p w14:paraId="58C18BA9" w14:textId="6B7FBCB1" w:rsidR="00333A4B" w:rsidRPr="00E70587" w:rsidRDefault="00333A4B" w:rsidP="00543062">
            <w:pPr>
              <w:pStyle w:val="Notesitalicheading"/>
              <w:spacing w:line="280" w:lineRule="exact"/>
              <w:ind w:left="-18"/>
              <w:jc w:val="both"/>
              <w:rPr>
                <w:rFonts w:ascii="Arial" w:hAnsi="Arial"/>
                <w:b w:val="0"/>
                <w:i w:val="0"/>
                <w:sz w:val="20"/>
              </w:rPr>
            </w:pPr>
            <w:r w:rsidRPr="00E70587">
              <w:rPr>
                <w:rFonts w:ascii="Arial" w:hAnsi="Arial"/>
                <w:i w:val="0"/>
                <w:sz w:val="20"/>
              </w:rPr>
              <w:t xml:space="preserve">FVTOCI investments at fair value through OCI (fully paid) </w:t>
            </w:r>
            <w:r w:rsidRPr="00E70587">
              <w:rPr>
                <w:rFonts w:ascii="Arial" w:hAnsi="Arial"/>
                <w:b w:val="0"/>
                <w:i w:val="0"/>
                <w:sz w:val="20"/>
              </w:rPr>
              <w:t>reflect investment in quoted and unquoted equity securities and quoted debt securities.</w:t>
            </w:r>
            <w:r w:rsidR="0067122D" w:rsidRPr="00E70587">
              <w:rPr>
                <w:rFonts w:ascii="Arial" w:hAnsi="Arial"/>
                <w:b w:val="0"/>
                <w:i w:val="0"/>
                <w:sz w:val="20"/>
              </w:rPr>
              <w:t xml:space="preserve"> Refer note </w:t>
            </w:r>
            <w:r w:rsidR="00B83F60" w:rsidRPr="00E70587">
              <w:rPr>
                <w:rFonts w:ascii="Arial" w:hAnsi="Arial"/>
                <w:b w:val="0"/>
                <w:i w:val="0"/>
                <w:sz w:val="20"/>
              </w:rPr>
              <w:t>4</w:t>
            </w:r>
            <w:r w:rsidR="00B83F60">
              <w:rPr>
                <w:rFonts w:ascii="Arial" w:hAnsi="Arial"/>
                <w:b w:val="0"/>
                <w:i w:val="0"/>
                <w:sz w:val="20"/>
              </w:rPr>
              <w:t>7</w:t>
            </w:r>
            <w:r w:rsidR="00B83F60" w:rsidRPr="00E70587">
              <w:rPr>
                <w:rFonts w:ascii="Arial" w:hAnsi="Arial"/>
                <w:b w:val="0"/>
                <w:i w:val="0"/>
                <w:sz w:val="20"/>
              </w:rPr>
              <w:t xml:space="preserve"> </w:t>
            </w:r>
            <w:r w:rsidR="0067122D" w:rsidRPr="00E70587">
              <w:rPr>
                <w:rFonts w:ascii="Arial" w:hAnsi="Arial"/>
                <w:b w:val="0"/>
                <w:i w:val="0"/>
                <w:sz w:val="20"/>
              </w:rPr>
              <w:t>for determination of their fair values.</w:t>
            </w:r>
          </w:p>
          <w:p w14:paraId="1417B813" w14:textId="77777777" w:rsidR="00333A4B" w:rsidRPr="00E70587" w:rsidRDefault="00333A4B" w:rsidP="00543062">
            <w:pPr>
              <w:pStyle w:val="Notesitalicheading"/>
              <w:spacing w:line="280" w:lineRule="exact"/>
              <w:ind w:left="-18"/>
              <w:jc w:val="both"/>
              <w:rPr>
                <w:rFonts w:ascii="Arial" w:hAnsi="Arial"/>
                <w:b w:val="0"/>
                <w:i w:val="0"/>
                <w:color w:val="auto"/>
                <w:sz w:val="20"/>
              </w:rPr>
            </w:pPr>
          </w:p>
          <w:p w14:paraId="6CFD7708" w14:textId="77777777" w:rsidR="00333A4B" w:rsidRPr="00E70587" w:rsidRDefault="00333A4B" w:rsidP="00543062">
            <w:pPr>
              <w:pStyle w:val="Notesitalicheading"/>
              <w:spacing w:line="280" w:lineRule="exact"/>
              <w:ind w:left="-18"/>
              <w:jc w:val="both"/>
              <w:rPr>
                <w:rFonts w:ascii="Arial" w:hAnsi="Arial"/>
                <w:b w:val="0"/>
                <w:color w:val="auto"/>
                <w:sz w:val="20"/>
              </w:rPr>
            </w:pPr>
            <w:r w:rsidRPr="00E70587">
              <w:rPr>
                <w:rFonts w:ascii="Arial" w:hAnsi="Arial"/>
                <w:b w:val="0"/>
                <w:color w:val="auto"/>
                <w:sz w:val="20"/>
              </w:rPr>
              <w:t>Impairment on FVTOCI investments</w:t>
            </w:r>
          </w:p>
          <w:p w14:paraId="52CC6EB5" w14:textId="77777777" w:rsidR="00333A4B" w:rsidRPr="00E70587" w:rsidRDefault="00333A4B" w:rsidP="00543062">
            <w:pPr>
              <w:pStyle w:val="IAStext"/>
              <w:spacing w:line="280" w:lineRule="exact"/>
              <w:ind w:left="-18"/>
              <w:jc w:val="both"/>
              <w:rPr>
                <w:rFonts w:ascii="Arial" w:hAnsi="Arial" w:cs="Arial"/>
                <w:i w:val="0"/>
                <w:sz w:val="20"/>
                <w:lang w:val="en-IN"/>
              </w:rPr>
            </w:pPr>
          </w:p>
          <w:p w14:paraId="07BFF8E3" w14:textId="77777777" w:rsidR="00333A4B" w:rsidRPr="00E70587" w:rsidRDefault="00333A4B" w:rsidP="00543062">
            <w:pPr>
              <w:pStyle w:val="IAStext"/>
              <w:spacing w:line="280" w:lineRule="exact"/>
              <w:ind w:left="-18"/>
              <w:jc w:val="both"/>
              <w:rPr>
                <w:rFonts w:ascii="Arial" w:hAnsi="Arial" w:cs="Arial"/>
                <w:i w:val="0"/>
                <w:sz w:val="20"/>
                <w:lang w:val="en-IN"/>
              </w:rPr>
            </w:pPr>
            <w:r w:rsidRPr="00E70587">
              <w:rPr>
                <w:rFonts w:ascii="Arial" w:hAnsi="Arial" w:cs="Arial"/>
                <w:i w:val="0"/>
                <w:sz w:val="20"/>
                <w:lang w:val="en-IN"/>
              </w:rPr>
              <w:t>The group has identified a small impairment of less than INR 10 on FVTOCI debt securities. The impairment on FVTOCI financial assets is recognised within finance costs in the statement of profit or loss. Since amount is not material, it is not separately reflected in the financial statements.</w:t>
            </w:r>
          </w:p>
          <w:p w14:paraId="6ABBDBDA" w14:textId="77777777" w:rsidR="00333A4B" w:rsidRPr="00E70587" w:rsidRDefault="00333A4B" w:rsidP="00543062">
            <w:pPr>
              <w:pStyle w:val="IAStext"/>
              <w:spacing w:line="280" w:lineRule="exact"/>
              <w:ind w:left="-18"/>
              <w:jc w:val="both"/>
              <w:rPr>
                <w:rFonts w:ascii="Arial" w:hAnsi="Arial" w:cs="Arial"/>
                <w:i w:val="0"/>
                <w:sz w:val="20"/>
                <w:lang w:val="en-IN"/>
              </w:rPr>
            </w:pPr>
          </w:p>
          <w:p w14:paraId="43EE2DA9" w14:textId="77777777" w:rsidR="00333A4B" w:rsidRPr="00E70587" w:rsidRDefault="00333A4B" w:rsidP="00543062">
            <w:pPr>
              <w:pStyle w:val="Notesitalicheading"/>
              <w:spacing w:line="280" w:lineRule="exact"/>
              <w:ind w:left="-18"/>
              <w:jc w:val="both"/>
              <w:rPr>
                <w:rFonts w:ascii="Arial" w:hAnsi="Arial"/>
                <w:b w:val="0"/>
                <w:i w:val="0"/>
                <w:color w:val="auto"/>
                <w:sz w:val="20"/>
              </w:rPr>
            </w:pPr>
            <w:r w:rsidRPr="00E70587">
              <w:rPr>
                <w:rFonts w:ascii="Arial" w:hAnsi="Arial"/>
                <w:i w:val="0"/>
                <w:color w:val="auto"/>
                <w:sz w:val="20"/>
              </w:rPr>
              <w:t>Loans and receivables</w:t>
            </w:r>
            <w:r w:rsidRPr="00E70587">
              <w:rPr>
                <w:rFonts w:ascii="Arial" w:hAnsi="Arial"/>
                <w:b w:val="0"/>
                <w:i w:val="0"/>
                <w:color w:val="auto"/>
                <w:sz w:val="20"/>
              </w:rPr>
              <w:t xml:space="preserve"> are non-derivative financial assets which generate a fixed or variable interest income for the Group. The carrying value may be affected by changes in the credit risk of the counterparties.</w:t>
            </w:r>
          </w:p>
          <w:p w14:paraId="235A82B7" w14:textId="77777777" w:rsidR="00333A4B" w:rsidRPr="00E70587" w:rsidRDefault="00333A4B" w:rsidP="00543062">
            <w:pPr>
              <w:pStyle w:val="Notesitalicheading"/>
              <w:spacing w:line="280" w:lineRule="exact"/>
              <w:ind w:left="-18"/>
              <w:jc w:val="both"/>
              <w:rPr>
                <w:rFonts w:ascii="Arial" w:hAnsi="Arial"/>
                <w:b w:val="0"/>
                <w:i w:val="0"/>
                <w:color w:val="auto"/>
                <w:sz w:val="20"/>
              </w:rPr>
            </w:pPr>
          </w:p>
          <w:p w14:paraId="6255638C" w14:textId="77777777" w:rsidR="00333A4B" w:rsidRPr="00E70587" w:rsidRDefault="00333A4B" w:rsidP="00543062">
            <w:pPr>
              <w:pStyle w:val="Notesbodytext"/>
              <w:spacing w:after="0" w:line="280" w:lineRule="exact"/>
              <w:ind w:left="-18"/>
              <w:jc w:val="both"/>
              <w:rPr>
                <w:rFonts w:ascii="Arial" w:hAnsi="Arial"/>
                <w:color w:val="auto"/>
                <w:sz w:val="20"/>
              </w:rPr>
            </w:pPr>
          </w:p>
          <w:p w14:paraId="00D8CD20" w14:textId="77777777" w:rsidR="00333A4B" w:rsidRPr="00E70587" w:rsidRDefault="00333A4B" w:rsidP="00543062">
            <w:pPr>
              <w:pStyle w:val="Notesbodytext"/>
              <w:spacing w:after="0" w:line="280" w:lineRule="exact"/>
              <w:ind w:left="-18"/>
              <w:jc w:val="both"/>
              <w:rPr>
                <w:rFonts w:ascii="Arial" w:hAnsi="Arial"/>
                <w:color w:val="auto"/>
                <w:sz w:val="20"/>
              </w:rPr>
            </w:pPr>
            <w:r w:rsidRPr="00E70587">
              <w:rPr>
                <w:rFonts w:ascii="Arial" w:hAnsi="Arial"/>
                <w:b/>
                <w:color w:val="auto"/>
                <w:sz w:val="20"/>
              </w:rPr>
              <w:t>Financial instruments at fair value through OCI</w:t>
            </w:r>
            <w:r w:rsidRPr="00E70587">
              <w:rPr>
                <w:rFonts w:ascii="Arial" w:hAnsi="Arial"/>
                <w:color w:val="auto"/>
                <w:sz w:val="20"/>
              </w:rPr>
              <w:t xml:space="preserve"> reflect the positive change in fair value of foreign exchange forward contracts, designated as cash flow hedges to hedge highly probable forecast sales in US dollars (USD) and purchases in GB pound sterling (GBP). </w:t>
            </w:r>
          </w:p>
          <w:p w14:paraId="1842013F" w14:textId="77777777" w:rsidR="00333A4B" w:rsidRPr="00E70587" w:rsidRDefault="00333A4B" w:rsidP="00543062">
            <w:pPr>
              <w:pStyle w:val="Notesitalicheading"/>
              <w:spacing w:line="280" w:lineRule="exact"/>
              <w:ind w:left="-18"/>
              <w:jc w:val="both"/>
              <w:rPr>
                <w:rFonts w:ascii="Arial" w:hAnsi="Arial"/>
                <w:i w:val="0"/>
                <w:color w:val="auto"/>
                <w:sz w:val="20"/>
              </w:rPr>
            </w:pPr>
          </w:p>
        </w:tc>
      </w:tr>
      <w:tr w:rsidR="00333A4B" w:rsidRPr="00E70587" w14:paraId="4122E318" w14:textId="77777777" w:rsidTr="00543062">
        <w:tc>
          <w:tcPr>
            <w:tcW w:w="0" w:type="auto"/>
          </w:tcPr>
          <w:p w14:paraId="40C00D73" w14:textId="1E76BF66" w:rsidR="00333A4B" w:rsidRPr="00E70587" w:rsidRDefault="00333A4B" w:rsidP="00543062">
            <w:pPr>
              <w:pStyle w:val="Notesbodytext"/>
              <w:spacing w:after="0" w:line="280" w:lineRule="exact"/>
              <w:ind w:left="-18"/>
              <w:jc w:val="both"/>
              <w:rPr>
                <w:rFonts w:ascii="Arial" w:hAnsi="Arial"/>
                <w:color w:val="auto"/>
                <w:sz w:val="20"/>
              </w:rPr>
            </w:pPr>
            <w:r w:rsidRPr="00E70587">
              <w:rPr>
                <w:rFonts w:ascii="Arial" w:hAnsi="Arial"/>
                <w:b/>
                <w:color w:val="auto"/>
                <w:sz w:val="20"/>
              </w:rPr>
              <w:t xml:space="preserve">Financial instruments at fair value through profit </w:t>
            </w:r>
            <w:r w:rsidR="00CD5159">
              <w:rPr>
                <w:rFonts w:ascii="Arial" w:hAnsi="Arial"/>
                <w:b/>
                <w:color w:val="auto"/>
                <w:sz w:val="20"/>
              </w:rPr>
              <w:t>or</w:t>
            </w:r>
            <w:r w:rsidR="001D0202" w:rsidRPr="00E70587">
              <w:rPr>
                <w:rFonts w:ascii="Arial" w:hAnsi="Arial"/>
                <w:b/>
                <w:color w:val="auto"/>
                <w:sz w:val="20"/>
              </w:rPr>
              <w:t xml:space="preserve"> </w:t>
            </w:r>
            <w:r w:rsidRPr="00E70587">
              <w:rPr>
                <w:rFonts w:ascii="Arial" w:hAnsi="Arial"/>
                <w:b/>
                <w:color w:val="auto"/>
                <w:sz w:val="20"/>
              </w:rPr>
              <w:t>loss</w:t>
            </w:r>
            <w:r w:rsidRPr="00E70587">
              <w:rPr>
                <w:rFonts w:ascii="Arial" w:hAnsi="Arial"/>
                <w:color w:val="auto"/>
                <w:sz w:val="20"/>
              </w:rPr>
              <w:t xml:space="preserve"> reflect the positive change in fair value of those foreign exchange forward contracts that are not designated in hedge relationships, but are, nevertheless, intended to reduce the level of foreign currency risk for expected sales and purchases.</w:t>
            </w:r>
          </w:p>
          <w:p w14:paraId="22D0D909" w14:textId="77777777" w:rsidR="00333A4B" w:rsidRPr="00E70587" w:rsidRDefault="00333A4B" w:rsidP="00543062">
            <w:pPr>
              <w:pStyle w:val="Notesbodytext"/>
              <w:spacing w:after="0" w:line="280" w:lineRule="exact"/>
              <w:ind w:left="-18"/>
              <w:jc w:val="both"/>
              <w:rPr>
                <w:rFonts w:ascii="Arial" w:hAnsi="Arial"/>
                <w:i/>
                <w:color w:val="auto"/>
                <w:sz w:val="20"/>
              </w:rPr>
            </w:pPr>
          </w:p>
        </w:tc>
      </w:tr>
    </w:tbl>
    <w:p w14:paraId="726EEBBA" w14:textId="77777777" w:rsidR="00333A4B" w:rsidRPr="00E70587" w:rsidRDefault="00333A4B" w:rsidP="00333A4B">
      <w:pPr>
        <w:pStyle w:val="IAStext"/>
        <w:spacing w:line="280" w:lineRule="exact"/>
        <w:rPr>
          <w:rFonts w:ascii="Arial" w:hAnsi="Arial" w:cs="Arial"/>
          <w:i w:val="0"/>
          <w:sz w:val="20"/>
          <w:lang w:val="en-IN"/>
        </w:rPr>
      </w:pPr>
    </w:p>
    <w:p w14:paraId="245640DF" w14:textId="77777777" w:rsidR="00C6336E" w:rsidRPr="00E70587" w:rsidRDefault="00C6336E" w:rsidP="00C6336E">
      <w:pPr>
        <w:rPr>
          <w:rFonts w:ascii="Arial" w:hAnsi="Arial" w:cs="Arial"/>
          <w:b/>
          <w:sz w:val="20"/>
        </w:rPr>
      </w:pPr>
      <w:r w:rsidRPr="00E70587">
        <w:rPr>
          <w:rFonts w:ascii="Arial" w:hAnsi="Arial" w:cs="Arial"/>
          <w:b/>
          <w:sz w:val="20"/>
        </w:rPr>
        <w:t>Break up of financial assets carried at amortised cost</w:t>
      </w:r>
    </w:p>
    <w:p w14:paraId="1C03800F" w14:textId="77777777" w:rsidR="00C6336E" w:rsidRPr="00E70587" w:rsidRDefault="00C6336E" w:rsidP="00C6336E">
      <w:pPr>
        <w:rPr>
          <w:rFonts w:ascii="Arial" w:hAnsi="Arial"/>
        </w:rPr>
      </w:pPr>
    </w:p>
    <w:tbl>
      <w:tblPr>
        <w:tblW w:w="9376" w:type="dxa"/>
        <w:tblInd w:w="122" w:type="dxa"/>
        <w:tblLayout w:type="fixed"/>
        <w:tblLook w:val="01E0" w:firstRow="1" w:lastRow="1" w:firstColumn="1" w:lastColumn="1" w:noHBand="0" w:noVBand="0"/>
      </w:tblPr>
      <w:tblGrid>
        <w:gridCol w:w="5974"/>
        <w:gridCol w:w="1701"/>
        <w:gridCol w:w="1701"/>
      </w:tblGrid>
      <w:tr w:rsidR="000A2ED4" w:rsidRPr="00E70587" w14:paraId="39B1A30F" w14:textId="77777777" w:rsidTr="000A2ED4">
        <w:trPr>
          <w:tblHeader/>
        </w:trPr>
        <w:tc>
          <w:tcPr>
            <w:tcW w:w="5974" w:type="dxa"/>
            <w:vAlign w:val="center"/>
          </w:tcPr>
          <w:p w14:paraId="4D547925" w14:textId="77777777" w:rsidR="000A2ED4" w:rsidRPr="00E70587" w:rsidRDefault="000A2ED4" w:rsidP="00543062">
            <w:pPr>
              <w:spacing w:before="40" w:after="40"/>
              <w:jc w:val="right"/>
              <w:rPr>
                <w:rFonts w:ascii="Arial" w:hAnsi="Arial" w:cs="Arial"/>
                <w:sz w:val="20"/>
              </w:rPr>
            </w:pPr>
          </w:p>
        </w:tc>
        <w:tc>
          <w:tcPr>
            <w:tcW w:w="1701" w:type="dxa"/>
            <w:tcBorders>
              <w:bottom w:val="single" w:sz="2" w:space="0" w:color="000000" w:themeColor="text1"/>
            </w:tcBorders>
            <w:tcMar>
              <w:right w:w="108" w:type="dxa"/>
            </w:tcMar>
            <w:vAlign w:val="center"/>
          </w:tcPr>
          <w:p w14:paraId="3CB85509" w14:textId="4C997D0D" w:rsidR="000A2ED4" w:rsidRPr="00E70587" w:rsidRDefault="000A2ED4" w:rsidP="00543062">
            <w:pPr>
              <w:spacing w:before="40" w:after="40"/>
              <w:jc w:val="center"/>
              <w:rPr>
                <w:rFonts w:ascii="Arial" w:hAnsi="Arial" w:cs="Arial"/>
                <w:sz w:val="20"/>
              </w:rPr>
            </w:pPr>
            <w:r w:rsidRPr="00E70587">
              <w:rPr>
                <w:rFonts w:ascii="Arial" w:hAnsi="Arial" w:cs="Arial"/>
                <w:b/>
                <w:sz w:val="20"/>
              </w:rPr>
              <w:t xml:space="preserve">31 March </w:t>
            </w:r>
            <w:r w:rsidR="00AF4353" w:rsidRPr="00E70587">
              <w:rPr>
                <w:rFonts w:ascii="Arial" w:hAnsi="Arial" w:cs="Arial"/>
                <w:b/>
                <w:sz w:val="20"/>
              </w:rPr>
              <w:t>20</w:t>
            </w:r>
            <w:r w:rsidR="00AF4353">
              <w:rPr>
                <w:rFonts w:ascii="Arial" w:hAnsi="Arial" w:cs="Arial"/>
                <w:b/>
                <w:sz w:val="20"/>
              </w:rPr>
              <w:t>21</w:t>
            </w:r>
          </w:p>
        </w:tc>
        <w:tc>
          <w:tcPr>
            <w:tcW w:w="1701" w:type="dxa"/>
            <w:tcBorders>
              <w:bottom w:val="single" w:sz="2" w:space="0" w:color="000000" w:themeColor="text1"/>
            </w:tcBorders>
            <w:tcMar>
              <w:right w:w="108" w:type="dxa"/>
            </w:tcMar>
            <w:vAlign w:val="center"/>
          </w:tcPr>
          <w:p w14:paraId="06A316E2" w14:textId="375F4320" w:rsidR="000A2ED4" w:rsidRPr="00E70587" w:rsidRDefault="000A2ED4" w:rsidP="00543062">
            <w:pPr>
              <w:spacing w:before="40" w:after="40"/>
              <w:jc w:val="center"/>
              <w:rPr>
                <w:rFonts w:ascii="Arial" w:hAnsi="Arial" w:cs="Arial"/>
                <w:sz w:val="20"/>
              </w:rPr>
            </w:pPr>
            <w:r w:rsidRPr="00E70587">
              <w:rPr>
                <w:rFonts w:ascii="Arial" w:hAnsi="Arial" w:cs="Arial"/>
                <w:b/>
                <w:sz w:val="20"/>
              </w:rPr>
              <w:t xml:space="preserve">31 March </w:t>
            </w:r>
            <w:r w:rsidR="00AF4353" w:rsidRPr="00E70587">
              <w:rPr>
                <w:rFonts w:ascii="Arial" w:hAnsi="Arial" w:cs="Arial"/>
                <w:b/>
                <w:sz w:val="20"/>
              </w:rPr>
              <w:t>20</w:t>
            </w:r>
            <w:r w:rsidR="00AF4353">
              <w:rPr>
                <w:rFonts w:ascii="Arial" w:hAnsi="Arial" w:cs="Arial"/>
                <w:b/>
                <w:sz w:val="20"/>
              </w:rPr>
              <w:t>20</w:t>
            </w:r>
          </w:p>
        </w:tc>
      </w:tr>
      <w:tr w:rsidR="000A2ED4" w:rsidRPr="00E70587" w14:paraId="02ECAE57" w14:textId="77777777" w:rsidTr="000A2ED4">
        <w:trPr>
          <w:tblHeader/>
        </w:trPr>
        <w:tc>
          <w:tcPr>
            <w:tcW w:w="5974" w:type="dxa"/>
            <w:vAlign w:val="center"/>
          </w:tcPr>
          <w:p w14:paraId="6EC950CF" w14:textId="77777777" w:rsidR="000A2ED4" w:rsidRPr="00E70587" w:rsidRDefault="000A2ED4" w:rsidP="00543062">
            <w:pPr>
              <w:spacing w:before="40" w:after="40"/>
              <w:jc w:val="right"/>
              <w:rPr>
                <w:rFonts w:ascii="Arial" w:hAnsi="Arial" w:cs="Arial"/>
                <w:sz w:val="20"/>
              </w:rPr>
            </w:pPr>
          </w:p>
        </w:tc>
        <w:tc>
          <w:tcPr>
            <w:tcW w:w="1701" w:type="dxa"/>
            <w:tcBorders>
              <w:top w:val="single" w:sz="2" w:space="0" w:color="000000" w:themeColor="text1"/>
              <w:bottom w:val="single" w:sz="2" w:space="0" w:color="000000" w:themeColor="text1"/>
            </w:tcBorders>
            <w:tcMar>
              <w:right w:w="108" w:type="dxa"/>
            </w:tcMar>
            <w:vAlign w:val="center"/>
          </w:tcPr>
          <w:p w14:paraId="3C2E17A6" w14:textId="77777777" w:rsidR="000A2ED4" w:rsidRPr="00E70587" w:rsidRDefault="000A2ED4" w:rsidP="00543062">
            <w:pPr>
              <w:spacing w:before="40" w:after="40"/>
              <w:jc w:val="center"/>
              <w:rPr>
                <w:rFonts w:ascii="Arial" w:hAnsi="Arial" w:cs="Arial"/>
                <w:sz w:val="20"/>
              </w:rPr>
            </w:pPr>
            <w:r w:rsidRPr="00E70587">
              <w:rPr>
                <w:rFonts w:ascii="Arial" w:hAnsi="Arial" w:cs="Arial"/>
                <w:sz w:val="20"/>
              </w:rPr>
              <w:t>INR lacs</w:t>
            </w:r>
          </w:p>
        </w:tc>
        <w:tc>
          <w:tcPr>
            <w:tcW w:w="1701" w:type="dxa"/>
            <w:tcBorders>
              <w:top w:val="single" w:sz="2" w:space="0" w:color="000000" w:themeColor="text1"/>
              <w:bottom w:val="single" w:sz="2" w:space="0" w:color="000000" w:themeColor="text1"/>
            </w:tcBorders>
            <w:tcMar>
              <w:right w:w="108" w:type="dxa"/>
            </w:tcMar>
            <w:vAlign w:val="center"/>
          </w:tcPr>
          <w:p w14:paraId="4F4E1E49" w14:textId="77777777" w:rsidR="000A2ED4" w:rsidRPr="00E70587" w:rsidRDefault="000A2ED4" w:rsidP="00543062">
            <w:pPr>
              <w:spacing w:before="40" w:after="40"/>
              <w:jc w:val="center"/>
              <w:rPr>
                <w:rFonts w:ascii="Arial" w:hAnsi="Arial" w:cs="Arial"/>
                <w:sz w:val="20"/>
              </w:rPr>
            </w:pPr>
            <w:r w:rsidRPr="00E70587">
              <w:rPr>
                <w:rFonts w:ascii="Arial" w:hAnsi="Arial" w:cs="Arial"/>
                <w:sz w:val="20"/>
              </w:rPr>
              <w:t>INR lacs</w:t>
            </w:r>
          </w:p>
        </w:tc>
      </w:tr>
      <w:tr w:rsidR="000A2ED4" w:rsidRPr="00E70587" w14:paraId="68810F24" w14:textId="77777777" w:rsidTr="000A2ED4">
        <w:tc>
          <w:tcPr>
            <w:tcW w:w="5974" w:type="dxa"/>
            <w:vAlign w:val="center"/>
          </w:tcPr>
          <w:p w14:paraId="4CE8EE96" w14:textId="77777777" w:rsidR="000A2ED4" w:rsidRPr="00E70587" w:rsidRDefault="000A2ED4" w:rsidP="00543062">
            <w:pPr>
              <w:spacing w:before="20" w:after="20"/>
              <w:ind w:leftChars="-10" w:left="-18"/>
              <w:rPr>
                <w:rFonts w:ascii="Arial" w:hAnsi="Arial" w:cs="Arial"/>
                <w:sz w:val="20"/>
              </w:rPr>
            </w:pPr>
            <w:r w:rsidRPr="00E70587">
              <w:rPr>
                <w:rFonts w:ascii="Arial" w:hAnsi="Arial" w:cs="Arial"/>
                <w:sz w:val="20"/>
              </w:rPr>
              <w:t xml:space="preserve">Loans </w:t>
            </w:r>
          </w:p>
        </w:tc>
        <w:tc>
          <w:tcPr>
            <w:tcW w:w="1701" w:type="dxa"/>
            <w:tcMar>
              <w:right w:w="108" w:type="dxa"/>
            </w:tcMar>
          </w:tcPr>
          <w:p w14:paraId="1F15C611" w14:textId="77777777" w:rsidR="000A2ED4" w:rsidRPr="00E70587" w:rsidRDefault="000A2ED4" w:rsidP="00543062">
            <w:pPr>
              <w:spacing w:before="20" w:after="20"/>
              <w:jc w:val="right"/>
              <w:rPr>
                <w:rFonts w:ascii="Arial" w:hAnsi="Arial" w:cs="Arial"/>
                <w:sz w:val="20"/>
              </w:rPr>
            </w:pPr>
            <w:r w:rsidRPr="00E70587">
              <w:rPr>
                <w:rFonts w:ascii="Arial" w:hAnsi="Arial" w:cs="Arial"/>
                <w:sz w:val="20"/>
              </w:rPr>
              <w:t>6,997</w:t>
            </w:r>
          </w:p>
        </w:tc>
        <w:tc>
          <w:tcPr>
            <w:tcW w:w="1701" w:type="dxa"/>
            <w:tcMar>
              <w:right w:w="108" w:type="dxa"/>
            </w:tcMar>
          </w:tcPr>
          <w:p w14:paraId="215C2EED" w14:textId="77777777" w:rsidR="000A2ED4" w:rsidRPr="00E70587" w:rsidRDefault="000A2ED4" w:rsidP="00543062">
            <w:pPr>
              <w:spacing w:before="20" w:after="20"/>
              <w:jc w:val="right"/>
              <w:rPr>
                <w:rFonts w:ascii="Arial" w:hAnsi="Arial" w:cs="Arial"/>
                <w:sz w:val="20"/>
              </w:rPr>
            </w:pPr>
            <w:r w:rsidRPr="00E70587">
              <w:rPr>
                <w:rFonts w:ascii="Arial" w:hAnsi="Arial" w:cs="Arial"/>
                <w:sz w:val="20"/>
              </w:rPr>
              <w:t>3,047</w:t>
            </w:r>
          </w:p>
        </w:tc>
      </w:tr>
      <w:tr w:rsidR="000A2ED4" w:rsidRPr="00E70587" w14:paraId="2E854E05" w14:textId="77777777" w:rsidTr="000A2ED4">
        <w:tc>
          <w:tcPr>
            <w:tcW w:w="5974" w:type="dxa"/>
            <w:vAlign w:val="center"/>
          </w:tcPr>
          <w:p w14:paraId="3A2EB823" w14:textId="77777777" w:rsidR="000A2ED4" w:rsidRPr="00E70587" w:rsidRDefault="000A2ED4" w:rsidP="00543062">
            <w:pPr>
              <w:spacing w:before="20" w:after="20"/>
              <w:rPr>
                <w:rFonts w:ascii="Arial" w:hAnsi="Arial" w:cs="Arial"/>
                <w:sz w:val="20"/>
              </w:rPr>
            </w:pPr>
            <w:r w:rsidRPr="00E70587">
              <w:rPr>
                <w:rFonts w:ascii="Arial" w:hAnsi="Arial" w:cs="Arial"/>
                <w:sz w:val="20"/>
              </w:rPr>
              <w:t>Trade receivable (note 9)</w:t>
            </w:r>
          </w:p>
        </w:tc>
        <w:tc>
          <w:tcPr>
            <w:tcW w:w="1701" w:type="dxa"/>
            <w:tcMar>
              <w:right w:w="108" w:type="dxa"/>
            </w:tcMar>
          </w:tcPr>
          <w:p w14:paraId="2D5AEB4F" w14:textId="77777777" w:rsidR="000A2ED4" w:rsidRPr="00E70587" w:rsidRDefault="000A2ED4" w:rsidP="00543062">
            <w:pPr>
              <w:spacing w:before="20" w:after="20"/>
              <w:jc w:val="right"/>
              <w:rPr>
                <w:rFonts w:ascii="Arial" w:hAnsi="Arial" w:cs="Arial"/>
                <w:sz w:val="20"/>
              </w:rPr>
            </w:pPr>
            <w:r w:rsidRPr="00E70587">
              <w:rPr>
                <w:rFonts w:ascii="Arial" w:hAnsi="Arial" w:cs="Arial"/>
                <w:bCs/>
                <w:color w:val="000000"/>
                <w:sz w:val="20"/>
              </w:rPr>
              <w:t>47,110</w:t>
            </w:r>
          </w:p>
        </w:tc>
        <w:tc>
          <w:tcPr>
            <w:tcW w:w="1701" w:type="dxa"/>
            <w:tcMar>
              <w:right w:w="108" w:type="dxa"/>
            </w:tcMar>
          </w:tcPr>
          <w:p w14:paraId="14021250" w14:textId="77777777" w:rsidR="000A2ED4" w:rsidRPr="00E70587" w:rsidRDefault="000A2ED4" w:rsidP="00543062">
            <w:pPr>
              <w:spacing w:before="20" w:after="20"/>
              <w:jc w:val="right"/>
              <w:rPr>
                <w:rFonts w:ascii="Arial" w:hAnsi="Arial" w:cs="Arial"/>
                <w:sz w:val="20"/>
              </w:rPr>
            </w:pPr>
            <w:r w:rsidRPr="00E70587">
              <w:rPr>
                <w:rFonts w:ascii="Arial" w:hAnsi="Arial" w:cs="Arial"/>
                <w:bCs/>
                <w:color w:val="000000"/>
                <w:sz w:val="20"/>
              </w:rPr>
              <w:t>41,022</w:t>
            </w:r>
          </w:p>
        </w:tc>
      </w:tr>
      <w:tr w:rsidR="000A2ED4" w:rsidRPr="00E70587" w14:paraId="77415B4C" w14:textId="77777777" w:rsidTr="000A2ED4">
        <w:tc>
          <w:tcPr>
            <w:tcW w:w="5974" w:type="dxa"/>
          </w:tcPr>
          <w:p w14:paraId="4B0EF02E" w14:textId="77777777" w:rsidR="000A2ED4" w:rsidRPr="00E70587" w:rsidRDefault="000A2ED4" w:rsidP="00543062">
            <w:pPr>
              <w:pStyle w:val="tabletext"/>
              <w:overflowPunct w:val="0"/>
              <w:autoSpaceDE w:val="0"/>
              <w:autoSpaceDN w:val="0"/>
              <w:adjustRightInd w:val="0"/>
              <w:spacing w:before="20" w:after="20" w:line="240" w:lineRule="auto"/>
              <w:textAlignment w:val="baseline"/>
              <w:rPr>
                <w:rFonts w:ascii="Arial" w:hAnsi="Arial" w:cs="Arial"/>
                <w:color w:val="000000"/>
                <w:sz w:val="20"/>
                <w:lang w:val="en-IN"/>
              </w:rPr>
            </w:pPr>
            <w:r w:rsidRPr="00E70587">
              <w:rPr>
                <w:rFonts w:ascii="Arial" w:hAnsi="Arial" w:cs="Arial"/>
                <w:color w:val="000000"/>
                <w:sz w:val="20"/>
                <w:lang w:val="en-IN"/>
              </w:rPr>
              <w:t>Cash and cash equivalents (note 10)</w:t>
            </w:r>
          </w:p>
        </w:tc>
        <w:tc>
          <w:tcPr>
            <w:tcW w:w="1701" w:type="dxa"/>
            <w:tcBorders>
              <w:bottom w:val="single" w:sz="4" w:space="0" w:color="auto"/>
            </w:tcBorders>
            <w:tcMar>
              <w:right w:w="108" w:type="dxa"/>
            </w:tcMar>
          </w:tcPr>
          <w:p w14:paraId="1720F0CD" w14:textId="77777777" w:rsidR="000A2ED4" w:rsidRPr="00E70587" w:rsidRDefault="000A2ED4" w:rsidP="00543062">
            <w:pPr>
              <w:spacing w:before="20" w:after="20"/>
              <w:jc w:val="right"/>
              <w:rPr>
                <w:rFonts w:ascii="Arial" w:hAnsi="Arial" w:cs="Arial"/>
                <w:sz w:val="20"/>
              </w:rPr>
            </w:pPr>
            <w:r w:rsidRPr="00E70587">
              <w:rPr>
                <w:rFonts w:ascii="Arial" w:hAnsi="Arial" w:cs="Arial"/>
                <w:bCs/>
                <w:color w:val="000000"/>
                <w:sz w:val="20"/>
              </w:rPr>
              <w:t>29,590</w:t>
            </w:r>
          </w:p>
        </w:tc>
        <w:tc>
          <w:tcPr>
            <w:tcW w:w="1701" w:type="dxa"/>
            <w:tcBorders>
              <w:bottom w:val="single" w:sz="4" w:space="0" w:color="auto"/>
            </w:tcBorders>
            <w:tcMar>
              <w:right w:w="108" w:type="dxa"/>
            </w:tcMar>
          </w:tcPr>
          <w:p w14:paraId="65C2A503" w14:textId="77777777" w:rsidR="000A2ED4" w:rsidRPr="00E70587" w:rsidRDefault="000A2ED4" w:rsidP="00543062">
            <w:pPr>
              <w:spacing w:before="20" w:after="20"/>
              <w:jc w:val="right"/>
              <w:rPr>
                <w:rFonts w:ascii="Arial" w:hAnsi="Arial" w:cs="Arial"/>
                <w:sz w:val="20"/>
              </w:rPr>
            </w:pPr>
            <w:r w:rsidRPr="00E70587">
              <w:rPr>
                <w:rFonts w:ascii="Arial" w:hAnsi="Arial" w:cs="Arial"/>
                <w:bCs/>
                <w:color w:val="000000"/>
                <w:sz w:val="20"/>
              </w:rPr>
              <w:t>26,414</w:t>
            </w:r>
          </w:p>
        </w:tc>
      </w:tr>
      <w:tr w:rsidR="000A2ED4" w:rsidRPr="00E70587" w14:paraId="44193C6E" w14:textId="77777777" w:rsidTr="000A2ED4">
        <w:tc>
          <w:tcPr>
            <w:tcW w:w="5974" w:type="dxa"/>
          </w:tcPr>
          <w:p w14:paraId="21587270" w14:textId="77777777" w:rsidR="000A2ED4" w:rsidRPr="00E70587" w:rsidRDefault="000A2ED4" w:rsidP="00543062">
            <w:pPr>
              <w:pStyle w:val="tabletext"/>
              <w:overflowPunct w:val="0"/>
              <w:autoSpaceDE w:val="0"/>
              <w:autoSpaceDN w:val="0"/>
              <w:adjustRightInd w:val="0"/>
              <w:spacing w:before="20" w:after="20" w:line="240" w:lineRule="auto"/>
              <w:textAlignment w:val="baseline"/>
              <w:rPr>
                <w:rFonts w:ascii="Arial" w:hAnsi="Arial" w:cs="Arial"/>
                <w:b/>
                <w:sz w:val="20"/>
                <w:lang w:val="en-IN"/>
              </w:rPr>
            </w:pPr>
            <w:r w:rsidRPr="00E70587">
              <w:rPr>
                <w:rFonts w:ascii="Arial" w:hAnsi="Arial" w:cs="Arial"/>
                <w:b/>
                <w:color w:val="000000"/>
                <w:sz w:val="20"/>
                <w:lang w:val="en-IN"/>
              </w:rPr>
              <w:t>Total financial assets carried at amortised cost</w:t>
            </w:r>
          </w:p>
        </w:tc>
        <w:tc>
          <w:tcPr>
            <w:tcW w:w="1701" w:type="dxa"/>
            <w:tcBorders>
              <w:top w:val="single" w:sz="4" w:space="0" w:color="auto"/>
              <w:bottom w:val="double" w:sz="4" w:space="0" w:color="auto"/>
            </w:tcBorders>
            <w:tcMar>
              <w:right w:w="108" w:type="dxa"/>
            </w:tcMar>
            <w:vAlign w:val="center"/>
          </w:tcPr>
          <w:p w14:paraId="592B0808" w14:textId="77777777" w:rsidR="000A2ED4" w:rsidRPr="00E70587" w:rsidRDefault="000A2ED4" w:rsidP="00543062">
            <w:pPr>
              <w:spacing w:before="20" w:after="20"/>
              <w:jc w:val="right"/>
              <w:rPr>
                <w:rFonts w:ascii="Arial" w:hAnsi="Arial" w:cs="Arial"/>
                <w:b/>
                <w:sz w:val="20"/>
              </w:rPr>
            </w:pPr>
            <w:r w:rsidRPr="00E70587">
              <w:rPr>
                <w:rFonts w:ascii="Arial" w:hAnsi="Arial" w:cs="Arial"/>
                <w:b/>
                <w:sz w:val="20"/>
              </w:rPr>
              <w:t>83,697</w:t>
            </w:r>
          </w:p>
        </w:tc>
        <w:tc>
          <w:tcPr>
            <w:tcW w:w="1701" w:type="dxa"/>
            <w:tcBorders>
              <w:top w:val="single" w:sz="4" w:space="0" w:color="auto"/>
              <w:bottom w:val="double" w:sz="4" w:space="0" w:color="auto"/>
            </w:tcBorders>
            <w:tcMar>
              <w:right w:w="108" w:type="dxa"/>
            </w:tcMar>
            <w:vAlign w:val="center"/>
          </w:tcPr>
          <w:p w14:paraId="62DFF079" w14:textId="77777777" w:rsidR="000A2ED4" w:rsidRPr="00E70587" w:rsidRDefault="000A2ED4" w:rsidP="00543062">
            <w:pPr>
              <w:spacing w:before="20" w:after="20"/>
              <w:jc w:val="right"/>
              <w:rPr>
                <w:rFonts w:ascii="Arial" w:hAnsi="Arial" w:cs="Arial"/>
                <w:b/>
                <w:sz w:val="20"/>
              </w:rPr>
            </w:pPr>
            <w:r w:rsidRPr="00E70587">
              <w:rPr>
                <w:rFonts w:ascii="Arial" w:hAnsi="Arial" w:cs="Arial"/>
                <w:b/>
                <w:sz w:val="20"/>
              </w:rPr>
              <w:t>70,483</w:t>
            </w:r>
          </w:p>
        </w:tc>
      </w:tr>
    </w:tbl>
    <w:p w14:paraId="17302613" w14:textId="77777777" w:rsidR="00C6336E" w:rsidRPr="00E70587" w:rsidRDefault="00C6336E" w:rsidP="00C6336E">
      <w:pPr>
        <w:rPr>
          <w:rFonts w:ascii="Arial" w:hAnsi="Arial"/>
        </w:rPr>
      </w:pPr>
    </w:p>
    <w:p w14:paraId="2D315FC6" w14:textId="77777777" w:rsidR="000B4F2B" w:rsidRPr="00E70587" w:rsidRDefault="000B4F2B" w:rsidP="000B4F2B">
      <w:pPr>
        <w:rPr>
          <w:rFonts w:ascii="Arial" w:hAnsi="Arial" w:cs="Arial"/>
          <w:b/>
          <w:sz w:val="20"/>
        </w:rPr>
      </w:pPr>
      <w:r w:rsidRPr="00E70587">
        <w:rPr>
          <w:rFonts w:ascii="Arial" w:hAnsi="Arial" w:cs="Arial"/>
          <w:b/>
          <w:sz w:val="20"/>
        </w:rPr>
        <w:t>Break up of financial assets carried at FVTOCI</w:t>
      </w:r>
    </w:p>
    <w:p w14:paraId="5A340399" w14:textId="77777777" w:rsidR="000B4F2B" w:rsidRPr="00E70587" w:rsidRDefault="000B4F2B" w:rsidP="000B4F2B">
      <w:pPr>
        <w:rPr>
          <w:rFonts w:ascii="Arial" w:hAnsi="Arial"/>
        </w:rPr>
      </w:pPr>
    </w:p>
    <w:tbl>
      <w:tblPr>
        <w:tblW w:w="9376" w:type="dxa"/>
        <w:tblInd w:w="122" w:type="dxa"/>
        <w:tblLayout w:type="fixed"/>
        <w:tblLook w:val="01E0" w:firstRow="1" w:lastRow="1" w:firstColumn="1" w:lastColumn="1" w:noHBand="0" w:noVBand="0"/>
      </w:tblPr>
      <w:tblGrid>
        <w:gridCol w:w="5974"/>
        <w:gridCol w:w="1701"/>
        <w:gridCol w:w="1701"/>
      </w:tblGrid>
      <w:tr w:rsidR="000A2ED4" w:rsidRPr="00E70587" w14:paraId="5E1CAE11" w14:textId="77777777" w:rsidTr="000A2ED4">
        <w:trPr>
          <w:tblHeader/>
        </w:trPr>
        <w:tc>
          <w:tcPr>
            <w:tcW w:w="5974" w:type="dxa"/>
            <w:vAlign w:val="center"/>
          </w:tcPr>
          <w:p w14:paraId="187AE82A" w14:textId="77777777" w:rsidR="000A2ED4" w:rsidRPr="00E70587" w:rsidRDefault="000A2ED4" w:rsidP="00E64675">
            <w:pPr>
              <w:spacing w:before="40" w:after="40"/>
              <w:jc w:val="right"/>
              <w:rPr>
                <w:rFonts w:ascii="Arial" w:hAnsi="Arial" w:cs="Arial"/>
                <w:sz w:val="20"/>
              </w:rPr>
            </w:pPr>
          </w:p>
        </w:tc>
        <w:tc>
          <w:tcPr>
            <w:tcW w:w="1701" w:type="dxa"/>
            <w:tcBorders>
              <w:bottom w:val="single" w:sz="2" w:space="0" w:color="000000" w:themeColor="text1"/>
            </w:tcBorders>
            <w:tcMar>
              <w:right w:w="108" w:type="dxa"/>
            </w:tcMar>
            <w:vAlign w:val="center"/>
          </w:tcPr>
          <w:p w14:paraId="3E295618" w14:textId="5C9EEF93" w:rsidR="000A2ED4" w:rsidRPr="00E70587" w:rsidRDefault="000A2ED4" w:rsidP="00E64675">
            <w:pPr>
              <w:spacing w:before="40" w:after="40"/>
              <w:jc w:val="center"/>
              <w:rPr>
                <w:rFonts w:ascii="Arial" w:hAnsi="Arial" w:cs="Arial"/>
                <w:sz w:val="20"/>
              </w:rPr>
            </w:pPr>
            <w:r w:rsidRPr="00E70587">
              <w:rPr>
                <w:rFonts w:ascii="Arial" w:hAnsi="Arial" w:cs="Arial"/>
                <w:b/>
                <w:sz w:val="20"/>
              </w:rPr>
              <w:t xml:space="preserve">31 March </w:t>
            </w:r>
            <w:r w:rsidR="00AF4353" w:rsidRPr="00E70587">
              <w:rPr>
                <w:rFonts w:ascii="Arial" w:hAnsi="Arial" w:cs="Arial"/>
                <w:b/>
                <w:sz w:val="20"/>
              </w:rPr>
              <w:t>20</w:t>
            </w:r>
            <w:r w:rsidR="00AF4353">
              <w:rPr>
                <w:rFonts w:ascii="Arial" w:hAnsi="Arial" w:cs="Arial"/>
                <w:b/>
                <w:sz w:val="20"/>
              </w:rPr>
              <w:t>21</w:t>
            </w:r>
          </w:p>
        </w:tc>
        <w:tc>
          <w:tcPr>
            <w:tcW w:w="1701" w:type="dxa"/>
            <w:tcBorders>
              <w:bottom w:val="single" w:sz="2" w:space="0" w:color="000000" w:themeColor="text1"/>
            </w:tcBorders>
            <w:tcMar>
              <w:right w:w="108" w:type="dxa"/>
            </w:tcMar>
            <w:vAlign w:val="center"/>
          </w:tcPr>
          <w:p w14:paraId="52D8B175" w14:textId="5859C925" w:rsidR="000A2ED4" w:rsidRPr="00E70587" w:rsidRDefault="000A2ED4" w:rsidP="00E64675">
            <w:pPr>
              <w:spacing w:before="40" w:after="40"/>
              <w:jc w:val="center"/>
              <w:rPr>
                <w:rFonts w:ascii="Arial" w:hAnsi="Arial" w:cs="Arial"/>
                <w:sz w:val="20"/>
              </w:rPr>
            </w:pPr>
            <w:r w:rsidRPr="00E70587">
              <w:rPr>
                <w:rFonts w:ascii="Arial" w:hAnsi="Arial" w:cs="Arial"/>
                <w:b/>
                <w:sz w:val="20"/>
              </w:rPr>
              <w:t xml:space="preserve">31 March </w:t>
            </w:r>
            <w:r w:rsidR="00AF4353" w:rsidRPr="00E70587">
              <w:rPr>
                <w:rFonts w:ascii="Arial" w:hAnsi="Arial" w:cs="Arial"/>
                <w:b/>
                <w:sz w:val="20"/>
              </w:rPr>
              <w:t>20</w:t>
            </w:r>
            <w:r w:rsidR="00AF4353">
              <w:rPr>
                <w:rFonts w:ascii="Arial" w:hAnsi="Arial" w:cs="Arial"/>
                <w:b/>
                <w:sz w:val="20"/>
              </w:rPr>
              <w:t>20</w:t>
            </w:r>
          </w:p>
        </w:tc>
      </w:tr>
      <w:tr w:rsidR="000A2ED4" w:rsidRPr="00E70587" w14:paraId="669D9044" w14:textId="77777777" w:rsidTr="000A2ED4">
        <w:trPr>
          <w:tblHeader/>
        </w:trPr>
        <w:tc>
          <w:tcPr>
            <w:tcW w:w="5974" w:type="dxa"/>
            <w:vAlign w:val="center"/>
          </w:tcPr>
          <w:p w14:paraId="0D4EB6D8" w14:textId="77777777" w:rsidR="000A2ED4" w:rsidRPr="00E70587" w:rsidRDefault="000A2ED4" w:rsidP="00E64675">
            <w:pPr>
              <w:spacing w:before="40" w:after="40"/>
              <w:jc w:val="right"/>
              <w:rPr>
                <w:rFonts w:ascii="Arial" w:hAnsi="Arial" w:cs="Arial"/>
                <w:sz w:val="20"/>
              </w:rPr>
            </w:pPr>
          </w:p>
        </w:tc>
        <w:tc>
          <w:tcPr>
            <w:tcW w:w="1701" w:type="dxa"/>
            <w:tcBorders>
              <w:top w:val="single" w:sz="2" w:space="0" w:color="000000" w:themeColor="text1"/>
              <w:bottom w:val="single" w:sz="2" w:space="0" w:color="000000" w:themeColor="text1"/>
            </w:tcBorders>
            <w:tcMar>
              <w:right w:w="108" w:type="dxa"/>
            </w:tcMar>
            <w:vAlign w:val="center"/>
          </w:tcPr>
          <w:p w14:paraId="1FC928D4" w14:textId="77777777" w:rsidR="000A2ED4" w:rsidRPr="00E70587" w:rsidRDefault="000A2ED4" w:rsidP="00E64675">
            <w:pPr>
              <w:spacing w:before="40" w:after="40"/>
              <w:jc w:val="center"/>
              <w:rPr>
                <w:rFonts w:ascii="Arial" w:hAnsi="Arial" w:cs="Arial"/>
                <w:sz w:val="20"/>
              </w:rPr>
            </w:pPr>
            <w:r w:rsidRPr="00E70587">
              <w:rPr>
                <w:rFonts w:ascii="Arial" w:hAnsi="Arial" w:cs="Arial"/>
                <w:sz w:val="20"/>
              </w:rPr>
              <w:t>INR lacs</w:t>
            </w:r>
          </w:p>
        </w:tc>
        <w:tc>
          <w:tcPr>
            <w:tcW w:w="1701" w:type="dxa"/>
            <w:tcBorders>
              <w:top w:val="single" w:sz="2" w:space="0" w:color="000000" w:themeColor="text1"/>
              <w:bottom w:val="single" w:sz="2" w:space="0" w:color="000000" w:themeColor="text1"/>
            </w:tcBorders>
            <w:tcMar>
              <w:right w:w="108" w:type="dxa"/>
            </w:tcMar>
            <w:vAlign w:val="center"/>
          </w:tcPr>
          <w:p w14:paraId="033014E0" w14:textId="77777777" w:rsidR="000A2ED4" w:rsidRPr="00E70587" w:rsidRDefault="000A2ED4" w:rsidP="00E64675">
            <w:pPr>
              <w:spacing w:before="40" w:after="40"/>
              <w:jc w:val="center"/>
              <w:rPr>
                <w:rFonts w:ascii="Arial" w:hAnsi="Arial" w:cs="Arial"/>
                <w:sz w:val="20"/>
              </w:rPr>
            </w:pPr>
            <w:r w:rsidRPr="00E70587">
              <w:rPr>
                <w:rFonts w:ascii="Arial" w:hAnsi="Arial" w:cs="Arial"/>
                <w:sz w:val="20"/>
              </w:rPr>
              <w:t>INR lacs</w:t>
            </w:r>
          </w:p>
        </w:tc>
      </w:tr>
      <w:tr w:rsidR="000A2ED4" w:rsidRPr="00E70587" w14:paraId="0FE504A4" w14:textId="77777777" w:rsidTr="000A2ED4">
        <w:tc>
          <w:tcPr>
            <w:tcW w:w="5974" w:type="dxa"/>
          </w:tcPr>
          <w:p w14:paraId="45B47811" w14:textId="77777777" w:rsidR="000A2ED4" w:rsidRPr="00E70587" w:rsidRDefault="000A2ED4" w:rsidP="000B4F2B">
            <w:pPr>
              <w:spacing w:before="20" w:after="20"/>
              <w:rPr>
                <w:rFonts w:ascii="Arial" w:hAnsi="Arial" w:cs="Arial"/>
                <w:sz w:val="20"/>
              </w:rPr>
            </w:pPr>
            <w:r w:rsidRPr="00E70587">
              <w:rPr>
                <w:rFonts w:ascii="Arial" w:hAnsi="Arial" w:cs="Arial"/>
                <w:sz w:val="20"/>
              </w:rPr>
              <w:t>FVTOCI investments</w:t>
            </w:r>
          </w:p>
        </w:tc>
        <w:tc>
          <w:tcPr>
            <w:tcW w:w="1701" w:type="dxa"/>
            <w:tcMar>
              <w:right w:w="108" w:type="dxa"/>
            </w:tcMar>
            <w:vAlign w:val="center"/>
          </w:tcPr>
          <w:p w14:paraId="376EFC38" w14:textId="77777777" w:rsidR="000A2ED4" w:rsidRPr="00E70587" w:rsidRDefault="000A2ED4" w:rsidP="00E64675">
            <w:pPr>
              <w:spacing w:before="20" w:after="20"/>
              <w:jc w:val="right"/>
              <w:rPr>
                <w:rFonts w:ascii="Arial" w:hAnsi="Arial" w:cs="Arial"/>
                <w:bCs/>
                <w:color w:val="000000"/>
                <w:sz w:val="20"/>
              </w:rPr>
            </w:pPr>
            <w:r w:rsidRPr="00E70587">
              <w:rPr>
                <w:rFonts w:ascii="Arial" w:hAnsi="Arial" w:cs="Arial"/>
                <w:bCs/>
                <w:color w:val="000000"/>
                <w:sz w:val="20"/>
              </w:rPr>
              <w:t>3,577</w:t>
            </w:r>
          </w:p>
        </w:tc>
        <w:tc>
          <w:tcPr>
            <w:tcW w:w="1701" w:type="dxa"/>
            <w:tcMar>
              <w:right w:w="108" w:type="dxa"/>
            </w:tcMar>
            <w:vAlign w:val="center"/>
          </w:tcPr>
          <w:p w14:paraId="37CEB43B" w14:textId="77777777" w:rsidR="000A2ED4" w:rsidRPr="00E70587" w:rsidRDefault="000A2ED4" w:rsidP="00E64675">
            <w:pPr>
              <w:spacing w:before="20" w:after="20"/>
              <w:jc w:val="right"/>
              <w:rPr>
                <w:rFonts w:ascii="Arial" w:hAnsi="Arial" w:cs="Arial"/>
                <w:bCs/>
                <w:color w:val="000000"/>
                <w:sz w:val="20"/>
              </w:rPr>
            </w:pPr>
            <w:r w:rsidRPr="00E70587">
              <w:rPr>
                <w:rFonts w:ascii="Arial" w:hAnsi="Arial" w:cs="Arial"/>
                <w:bCs/>
                <w:color w:val="000000"/>
                <w:sz w:val="20"/>
              </w:rPr>
              <w:t>3,236</w:t>
            </w:r>
          </w:p>
        </w:tc>
      </w:tr>
      <w:tr w:rsidR="000A2ED4" w:rsidRPr="00E70587" w14:paraId="622F12ED" w14:textId="77777777" w:rsidTr="000A2ED4">
        <w:tc>
          <w:tcPr>
            <w:tcW w:w="5974" w:type="dxa"/>
          </w:tcPr>
          <w:p w14:paraId="5FEFCCCF" w14:textId="77777777" w:rsidR="000A2ED4" w:rsidRPr="00E70587" w:rsidRDefault="000A2ED4" w:rsidP="00E64675">
            <w:pPr>
              <w:spacing w:before="20" w:after="20"/>
              <w:rPr>
                <w:rFonts w:ascii="Arial" w:hAnsi="Arial" w:cs="Arial"/>
                <w:sz w:val="20"/>
              </w:rPr>
            </w:pPr>
            <w:r w:rsidRPr="00E70587">
              <w:rPr>
                <w:rFonts w:ascii="Arial" w:hAnsi="Arial" w:cs="Arial"/>
                <w:sz w:val="20"/>
              </w:rPr>
              <w:t>Derivative instruments at fair value through OCI</w:t>
            </w:r>
          </w:p>
        </w:tc>
        <w:tc>
          <w:tcPr>
            <w:tcW w:w="1701" w:type="dxa"/>
            <w:tcMar>
              <w:right w:w="108" w:type="dxa"/>
            </w:tcMar>
            <w:vAlign w:val="center"/>
          </w:tcPr>
          <w:p w14:paraId="0D911B1C" w14:textId="77777777" w:rsidR="000A2ED4" w:rsidRPr="00E70587" w:rsidRDefault="000A2ED4" w:rsidP="00E64675">
            <w:pPr>
              <w:spacing w:before="20" w:after="20"/>
              <w:jc w:val="right"/>
              <w:rPr>
                <w:rFonts w:ascii="Arial" w:hAnsi="Arial" w:cs="Arial"/>
                <w:bCs/>
                <w:color w:val="000000"/>
                <w:sz w:val="20"/>
              </w:rPr>
            </w:pPr>
            <w:r w:rsidRPr="00E70587">
              <w:rPr>
                <w:rFonts w:ascii="Arial" w:hAnsi="Arial" w:cs="Arial"/>
                <w:bCs/>
                <w:color w:val="000000"/>
                <w:sz w:val="20"/>
              </w:rPr>
              <w:t>454</w:t>
            </w:r>
          </w:p>
        </w:tc>
        <w:tc>
          <w:tcPr>
            <w:tcW w:w="1701" w:type="dxa"/>
            <w:tcMar>
              <w:right w:w="108" w:type="dxa"/>
            </w:tcMar>
            <w:vAlign w:val="center"/>
          </w:tcPr>
          <w:p w14:paraId="12C9C8F5" w14:textId="77777777" w:rsidR="000A2ED4" w:rsidRPr="00E70587" w:rsidRDefault="000A2ED4" w:rsidP="00E64675">
            <w:pPr>
              <w:spacing w:before="20" w:after="20"/>
              <w:jc w:val="right"/>
              <w:rPr>
                <w:rFonts w:ascii="Arial" w:hAnsi="Arial" w:cs="Arial"/>
                <w:bCs/>
                <w:color w:val="000000"/>
                <w:sz w:val="20"/>
              </w:rPr>
            </w:pPr>
            <w:r w:rsidRPr="00E70587">
              <w:rPr>
                <w:rFonts w:ascii="Arial" w:hAnsi="Arial" w:cs="Arial"/>
                <w:bCs/>
                <w:color w:val="000000"/>
                <w:sz w:val="20"/>
              </w:rPr>
              <w:t>275</w:t>
            </w:r>
          </w:p>
        </w:tc>
      </w:tr>
      <w:tr w:rsidR="000A2ED4" w:rsidRPr="00E70587" w14:paraId="75D6EE7A" w14:textId="77777777" w:rsidTr="000A2ED4">
        <w:tc>
          <w:tcPr>
            <w:tcW w:w="5974" w:type="dxa"/>
          </w:tcPr>
          <w:p w14:paraId="42F60994" w14:textId="77777777" w:rsidR="000A2ED4" w:rsidRPr="00E70587" w:rsidRDefault="000A2ED4" w:rsidP="00E64675">
            <w:pPr>
              <w:pStyle w:val="tabletext"/>
              <w:overflowPunct w:val="0"/>
              <w:autoSpaceDE w:val="0"/>
              <w:autoSpaceDN w:val="0"/>
              <w:adjustRightInd w:val="0"/>
              <w:spacing w:before="20" w:after="20" w:line="240" w:lineRule="auto"/>
              <w:textAlignment w:val="baseline"/>
              <w:rPr>
                <w:rFonts w:ascii="Arial" w:hAnsi="Arial" w:cs="Arial"/>
                <w:b/>
                <w:sz w:val="20"/>
                <w:lang w:val="en-IN"/>
              </w:rPr>
            </w:pPr>
          </w:p>
        </w:tc>
        <w:tc>
          <w:tcPr>
            <w:tcW w:w="1701" w:type="dxa"/>
            <w:tcBorders>
              <w:top w:val="single" w:sz="4" w:space="0" w:color="auto"/>
              <w:bottom w:val="double" w:sz="4" w:space="0" w:color="auto"/>
            </w:tcBorders>
            <w:tcMar>
              <w:right w:w="108" w:type="dxa"/>
            </w:tcMar>
          </w:tcPr>
          <w:p w14:paraId="73DA59CA" w14:textId="77777777" w:rsidR="000A2ED4" w:rsidRPr="00E70587" w:rsidRDefault="000A2ED4" w:rsidP="00E64675">
            <w:pPr>
              <w:spacing w:before="20" w:after="20"/>
              <w:jc w:val="right"/>
              <w:rPr>
                <w:rFonts w:ascii="Arial" w:hAnsi="Arial" w:cs="Arial"/>
                <w:b/>
                <w:sz w:val="20"/>
              </w:rPr>
            </w:pPr>
            <w:r w:rsidRPr="00E70587">
              <w:rPr>
                <w:rFonts w:ascii="Arial" w:hAnsi="Arial" w:cs="Arial"/>
                <w:b/>
                <w:sz w:val="20"/>
              </w:rPr>
              <w:t>4,031</w:t>
            </w:r>
          </w:p>
        </w:tc>
        <w:tc>
          <w:tcPr>
            <w:tcW w:w="1701" w:type="dxa"/>
            <w:tcBorders>
              <w:top w:val="single" w:sz="4" w:space="0" w:color="auto"/>
              <w:bottom w:val="double" w:sz="4" w:space="0" w:color="auto"/>
            </w:tcBorders>
            <w:tcMar>
              <w:right w:w="108" w:type="dxa"/>
            </w:tcMar>
          </w:tcPr>
          <w:p w14:paraId="1AB39139" w14:textId="77777777" w:rsidR="000A2ED4" w:rsidRPr="00E70587" w:rsidRDefault="000A2ED4" w:rsidP="00E64675">
            <w:pPr>
              <w:spacing w:before="20" w:after="20"/>
              <w:jc w:val="right"/>
              <w:rPr>
                <w:rFonts w:ascii="Arial" w:hAnsi="Arial" w:cs="Arial"/>
                <w:b/>
                <w:sz w:val="20"/>
              </w:rPr>
            </w:pPr>
            <w:r w:rsidRPr="00E70587">
              <w:rPr>
                <w:rFonts w:ascii="Arial" w:hAnsi="Arial" w:cs="Arial"/>
                <w:b/>
                <w:sz w:val="20"/>
              </w:rPr>
              <w:t>3,511</w:t>
            </w:r>
          </w:p>
        </w:tc>
      </w:tr>
    </w:tbl>
    <w:p w14:paraId="5187B60E" w14:textId="77777777" w:rsidR="000B4F2B" w:rsidRPr="00E70587" w:rsidRDefault="000B4F2B" w:rsidP="000B4F2B">
      <w:pPr>
        <w:rPr>
          <w:rFonts w:ascii="Arial" w:hAnsi="Arial"/>
        </w:rPr>
      </w:pPr>
    </w:p>
    <w:p w14:paraId="5E601B1D" w14:textId="77777777" w:rsidR="000B4F2B" w:rsidRPr="00E70587" w:rsidRDefault="000B4F2B" w:rsidP="000B4F2B">
      <w:pPr>
        <w:rPr>
          <w:rFonts w:ascii="Arial" w:hAnsi="Arial" w:cs="Arial"/>
          <w:b/>
          <w:sz w:val="20"/>
        </w:rPr>
      </w:pPr>
      <w:r w:rsidRPr="00E70587">
        <w:rPr>
          <w:rFonts w:ascii="Arial" w:hAnsi="Arial" w:cs="Arial"/>
          <w:b/>
          <w:sz w:val="20"/>
        </w:rPr>
        <w:t>Break up of financial assets carried at FVTPL</w:t>
      </w:r>
    </w:p>
    <w:p w14:paraId="27FD142F" w14:textId="77777777" w:rsidR="000B4F2B" w:rsidRPr="00E70587" w:rsidRDefault="000B4F2B" w:rsidP="000B4F2B">
      <w:pPr>
        <w:rPr>
          <w:rFonts w:ascii="Arial" w:hAnsi="Arial"/>
        </w:rPr>
      </w:pPr>
    </w:p>
    <w:tbl>
      <w:tblPr>
        <w:tblW w:w="9531" w:type="dxa"/>
        <w:tblLayout w:type="fixed"/>
        <w:tblLook w:val="01E0" w:firstRow="1" w:lastRow="1" w:firstColumn="1" w:lastColumn="1" w:noHBand="0" w:noVBand="0"/>
      </w:tblPr>
      <w:tblGrid>
        <w:gridCol w:w="5974"/>
        <w:gridCol w:w="1856"/>
        <w:gridCol w:w="1701"/>
      </w:tblGrid>
      <w:tr w:rsidR="000A2ED4" w:rsidRPr="00E70587" w14:paraId="6D2337B0" w14:textId="77777777" w:rsidTr="001F5669">
        <w:trPr>
          <w:tblHeader/>
        </w:trPr>
        <w:tc>
          <w:tcPr>
            <w:tcW w:w="5974" w:type="dxa"/>
            <w:vAlign w:val="center"/>
          </w:tcPr>
          <w:p w14:paraId="32FC1116" w14:textId="77777777" w:rsidR="000A2ED4" w:rsidRPr="00E70587" w:rsidRDefault="000A2ED4" w:rsidP="00E64675">
            <w:pPr>
              <w:spacing w:before="40" w:after="40"/>
              <w:jc w:val="right"/>
              <w:rPr>
                <w:rFonts w:ascii="Arial" w:hAnsi="Arial" w:cs="Arial"/>
                <w:sz w:val="20"/>
              </w:rPr>
            </w:pPr>
          </w:p>
        </w:tc>
        <w:tc>
          <w:tcPr>
            <w:tcW w:w="1856" w:type="dxa"/>
            <w:tcBorders>
              <w:bottom w:val="single" w:sz="2" w:space="0" w:color="000000" w:themeColor="text1"/>
            </w:tcBorders>
            <w:tcMar>
              <w:right w:w="108" w:type="dxa"/>
            </w:tcMar>
            <w:vAlign w:val="center"/>
          </w:tcPr>
          <w:p w14:paraId="0B2853CF" w14:textId="07867C1E" w:rsidR="000A2ED4" w:rsidRPr="00E70587" w:rsidRDefault="000A2ED4" w:rsidP="00E64675">
            <w:pPr>
              <w:spacing w:before="40" w:after="40"/>
              <w:jc w:val="center"/>
              <w:rPr>
                <w:rFonts w:ascii="Arial" w:hAnsi="Arial" w:cs="Arial"/>
                <w:sz w:val="20"/>
              </w:rPr>
            </w:pPr>
            <w:r w:rsidRPr="00E70587">
              <w:rPr>
                <w:rFonts w:ascii="Arial" w:hAnsi="Arial" w:cs="Arial"/>
                <w:b/>
                <w:sz w:val="20"/>
              </w:rPr>
              <w:t xml:space="preserve">31 March </w:t>
            </w:r>
            <w:r w:rsidR="00AF4353" w:rsidRPr="00E70587">
              <w:rPr>
                <w:rFonts w:ascii="Arial" w:hAnsi="Arial" w:cs="Arial"/>
                <w:b/>
                <w:sz w:val="20"/>
              </w:rPr>
              <w:t>20</w:t>
            </w:r>
            <w:r w:rsidR="00AF4353">
              <w:rPr>
                <w:rFonts w:ascii="Arial" w:hAnsi="Arial" w:cs="Arial"/>
                <w:b/>
                <w:sz w:val="20"/>
              </w:rPr>
              <w:t>21</w:t>
            </w:r>
          </w:p>
        </w:tc>
        <w:tc>
          <w:tcPr>
            <w:tcW w:w="1701" w:type="dxa"/>
            <w:tcBorders>
              <w:bottom w:val="single" w:sz="2" w:space="0" w:color="000000" w:themeColor="text1"/>
            </w:tcBorders>
            <w:tcMar>
              <w:right w:w="108" w:type="dxa"/>
            </w:tcMar>
            <w:vAlign w:val="center"/>
          </w:tcPr>
          <w:p w14:paraId="2523E55F" w14:textId="4D543F0C" w:rsidR="000A2ED4" w:rsidRPr="00E70587" w:rsidRDefault="000A2ED4" w:rsidP="00E64675">
            <w:pPr>
              <w:spacing w:before="40" w:after="40"/>
              <w:jc w:val="center"/>
              <w:rPr>
                <w:rFonts w:ascii="Arial" w:hAnsi="Arial" w:cs="Arial"/>
                <w:sz w:val="20"/>
              </w:rPr>
            </w:pPr>
            <w:r w:rsidRPr="00E70587">
              <w:rPr>
                <w:rFonts w:ascii="Arial" w:hAnsi="Arial" w:cs="Arial"/>
                <w:b/>
                <w:sz w:val="20"/>
              </w:rPr>
              <w:t xml:space="preserve">31 March </w:t>
            </w:r>
            <w:r w:rsidR="00AF4353" w:rsidRPr="00E70587">
              <w:rPr>
                <w:rFonts w:ascii="Arial" w:hAnsi="Arial" w:cs="Arial"/>
                <w:b/>
                <w:sz w:val="20"/>
              </w:rPr>
              <w:t>20</w:t>
            </w:r>
            <w:r w:rsidR="00AF4353">
              <w:rPr>
                <w:rFonts w:ascii="Arial" w:hAnsi="Arial" w:cs="Arial"/>
                <w:b/>
                <w:sz w:val="20"/>
              </w:rPr>
              <w:t>20</w:t>
            </w:r>
          </w:p>
        </w:tc>
      </w:tr>
      <w:tr w:rsidR="000A2ED4" w:rsidRPr="00E70587" w14:paraId="79103AD0" w14:textId="77777777" w:rsidTr="001F5669">
        <w:trPr>
          <w:tblHeader/>
        </w:trPr>
        <w:tc>
          <w:tcPr>
            <w:tcW w:w="5974" w:type="dxa"/>
            <w:vAlign w:val="center"/>
          </w:tcPr>
          <w:p w14:paraId="7B1C5465" w14:textId="77777777" w:rsidR="000A2ED4" w:rsidRPr="00E70587" w:rsidRDefault="000A2ED4" w:rsidP="00E64675">
            <w:pPr>
              <w:spacing w:before="40" w:after="40"/>
              <w:jc w:val="right"/>
              <w:rPr>
                <w:rFonts w:ascii="Arial" w:hAnsi="Arial" w:cs="Arial"/>
                <w:sz w:val="20"/>
              </w:rPr>
            </w:pPr>
          </w:p>
        </w:tc>
        <w:tc>
          <w:tcPr>
            <w:tcW w:w="1856" w:type="dxa"/>
            <w:tcBorders>
              <w:top w:val="single" w:sz="2" w:space="0" w:color="000000" w:themeColor="text1"/>
              <w:bottom w:val="single" w:sz="2" w:space="0" w:color="000000" w:themeColor="text1"/>
            </w:tcBorders>
            <w:tcMar>
              <w:right w:w="108" w:type="dxa"/>
            </w:tcMar>
            <w:vAlign w:val="center"/>
          </w:tcPr>
          <w:p w14:paraId="08DE9178" w14:textId="77777777" w:rsidR="000A2ED4" w:rsidRPr="00E70587" w:rsidRDefault="000A2ED4" w:rsidP="00E64675">
            <w:pPr>
              <w:spacing w:before="40" w:after="40"/>
              <w:jc w:val="center"/>
              <w:rPr>
                <w:rFonts w:ascii="Arial" w:hAnsi="Arial" w:cs="Arial"/>
                <w:sz w:val="20"/>
              </w:rPr>
            </w:pPr>
            <w:r w:rsidRPr="00E70587">
              <w:rPr>
                <w:rFonts w:ascii="Arial" w:hAnsi="Arial" w:cs="Arial"/>
                <w:sz w:val="20"/>
              </w:rPr>
              <w:t>INR lacs</w:t>
            </w:r>
          </w:p>
        </w:tc>
        <w:tc>
          <w:tcPr>
            <w:tcW w:w="1701" w:type="dxa"/>
            <w:tcBorders>
              <w:top w:val="single" w:sz="2" w:space="0" w:color="000000" w:themeColor="text1"/>
              <w:bottom w:val="single" w:sz="2" w:space="0" w:color="000000" w:themeColor="text1"/>
            </w:tcBorders>
            <w:tcMar>
              <w:right w:w="108" w:type="dxa"/>
            </w:tcMar>
            <w:vAlign w:val="center"/>
          </w:tcPr>
          <w:p w14:paraId="5D7F55ED" w14:textId="77777777" w:rsidR="000A2ED4" w:rsidRPr="00E70587" w:rsidRDefault="000A2ED4" w:rsidP="00E64675">
            <w:pPr>
              <w:spacing w:before="40" w:after="40"/>
              <w:jc w:val="center"/>
              <w:rPr>
                <w:rFonts w:ascii="Arial" w:hAnsi="Arial" w:cs="Arial"/>
                <w:sz w:val="20"/>
              </w:rPr>
            </w:pPr>
            <w:r w:rsidRPr="00E70587">
              <w:rPr>
                <w:rFonts w:ascii="Arial" w:hAnsi="Arial" w:cs="Arial"/>
                <w:sz w:val="20"/>
              </w:rPr>
              <w:t>INR lacs</w:t>
            </w:r>
          </w:p>
        </w:tc>
      </w:tr>
      <w:tr w:rsidR="000A2ED4" w:rsidRPr="00E70587" w14:paraId="57A5451A" w14:textId="77777777" w:rsidTr="001F5669">
        <w:tc>
          <w:tcPr>
            <w:tcW w:w="5974" w:type="dxa"/>
          </w:tcPr>
          <w:p w14:paraId="7EAD35F8" w14:textId="77777777" w:rsidR="000A2ED4" w:rsidRPr="00E70587" w:rsidRDefault="000A2ED4" w:rsidP="000B4F2B">
            <w:pPr>
              <w:spacing w:before="20" w:after="20"/>
              <w:rPr>
                <w:rFonts w:ascii="Arial" w:hAnsi="Arial" w:cs="Arial"/>
                <w:sz w:val="20"/>
              </w:rPr>
            </w:pPr>
            <w:r w:rsidRPr="00E70587">
              <w:rPr>
                <w:rFonts w:ascii="Arial" w:hAnsi="Arial" w:cs="Arial"/>
                <w:sz w:val="20"/>
              </w:rPr>
              <w:t>FVTPL investments</w:t>
            </w:r>
          </w:p>
        </w:tc>
        <w:tc>
          <w:tcPr>
            <w:tcW w:w="1856" w:type="dxa"/>
            <w:tcMar>
              <w:right w:w="108" w:type="dxa"/>
            </w:tcMar>
            <w:vAlign w:val="center"/>
          </w:tcPr>
          <w:p w14:paraId="55FC6766" w14:textId="77777777" w:rsidR="000A2ED4" w:rsidRPr="00E70587" w:rsidRDefault="000A2ED4" w:rsidP="000B4F2B">
            <w:pPr>
              <w:spacing w:before="20" w:after="20"/>
              <w:jc w:val="right"/>
              <w:rPr>
                <w:rFonts w:ascii="Arial" w:hAnsi="Arial" w:cs="Arial"/>
                <w:bCs/>
                <w:color w:val="000000"/>
                <w:sz w:val="20"/>
              </w:rPr>
            </w:pPr>
            <w:r w:rsidRPr="00E70587">
              <w:rPr>
                <w:rFonts w:ascii="Arial" w:hAnsi="Arial" w:cs="Arial"/>
                <w:bCs/>
                <w:color w:val="000000"/>
                <w:sz w:val="20"/>
              </w:rPr>
              <w:t>Nil</w:t>
            </w:r>
          </w:p>
        </w:tc>
        <w:tc>
          <w:tcPr>
            <w:tcW w:w="1701" w:type="dxa"/>
            <w:tcMar>
              <w:right w:w="108" w:type="dxa"/>
            </w:tcMar>
            <w:vAlign w:val="center"/>
          </w:tcPr>
          <w:p w14:paraId="4F179B15" w14:textId="77777777" w:rsidR="000A2ED4" w:rsidRPr="00E70587" w:rsidRDefault="000A2ED4" w:rsidP="000B4F2B">
            <w:pPr>
              <w:spacing w:before="20" w:after="20"/>
              <w:jc w:val="right"/>
              <w:rPr>
                <w:rFonts w:ascii="Arial" w:hAnsi="Arial" w:cs="Arial"/>
                <w:bCs/>
                <w:color w:val="000000"/>
                <w:sz w:val="20"/>
              </w:rPr>
            </w:pPr>
            <w:r w:rsidRPr="00E70587">
              <w:rPr>
                <w:rFonts w:ascii="Arial" w:hAnsi="Arial" w:cs="Arial"/>
                <w:bCs/>
                <w:color w:val="000000"/>
                <w:sz w:val="20"/>
              </w:rPr>
              <w:t>Nil</w:t>
            </w:r>
          </w:p>
        </w:tc>
      </w:tr>
      <w:tr w:rsidR="000A2ED4" w:rsidRPr="00E70587" w14:paraId="3F527D8B" w14:textId="77777777" w:rsidTr="001F5669">
        <w:tc>
          <w:tcPr>
            <w:tcW w:w="5974" w:type="dxa"/>
          </w:tcPr>
          <w:p w14:paraId="7A58D36E" w14:textId="34039962" w:rsidR="000A2ED4" w:rsidRPr="00E70587" w:rsidRDefault="000A2ED4" w:rsidP="00E64675">
            <w:pPr>
              <w:spacing w:before="20" w:after="20"/>
              <w:rPr>
                <w:rFonts w:ascii="Arial" w:hAnsi="Arial" w:cs="Arial"/>
                <w:sz w:val="20"/>
              </w:rPr>
            </w:pPr>
            <w:r w:rsidRPr="00E70587">
              <w:rPr>
                <w:rFonts w:ascii="Arial" w:hAnsi="Arial" w:cs="Arial"/>
                <w:sz w:val="20"/>
              </w:rPr>
              <w:t xml:space="preserve">Derivative instruments at fair value through profit </w:t>
            </w:r>
            <w:r w:rsidR="00CD5159">
              <w:rPr>
                <w:rFonts w:ascii="Arial" w:hAnsi="Arial" w:cs="Arial"/>
                <w:sz w:val="20"/>
              </w:rPr>
              <w:t>or</w:t>
            </w:r>
            <w:r w:rsidR="001D0202" w:rsidRPr="00E70587">
              <w:rPr>
                <w:rFonts w:ascii="Arial" w:hAnsi="Arial" w:cs="Arial"/>
                <w:sz w:val="20"/>
              </w:rPr>
              <w:t xml:space="preserve"> </w:t>
            </w:r>
            <w:r w:rsidRPr="00E70587">
              <w:rPr>
                <w:rFonts w:ascii="Arial" w:hAnsi="Arial" w:cs="Arial"/>
                <w:sz w:val="20"/>
              </w:rPr>
              <w:t>loss</w:t>
            </w:r>
          </w:p>
        </w:tc>
        <w:tc>
          <w:tcPr>
            <w:tcW w:w="1856" w:type="dxa"/>
            <w:tcMar>
              <w:right w:w="108" w:type="dxa"/>
            </w:tcMar>
            <w:vAlign w:val="center"/>
          </w:tcPr>
          <w:p w14:paraId="3CB40CC3" w14:textId="77777777" w:rsidR="000A2ED4" w:rsidRPr="00E70587" w:rsidRDefault="000A2ED4" w:rsidP="000B4F2B">
            <w:pPr>
              <w:spacing w:before="20" w:after="20"/>
              <w:jc w:val="right"/>
              <w:rPr>
                <w:rFonts w:ascii="Arial" w:hAnsi="Arial" w:cs="Arial"/>
                <w:bCs/>
                <w:color w:val="000000"/>
                <w:sz w:val="20"/>
              </w:rPr>
            </w:pPr>
            <w:r w:rsidRPr="00E70587">
              <w:rPr>
                <w:rFonts w:ascii="Arial" w:hAnsi="Arial" w:cs="Arial"/>
                <w:bCs/>
                <w:color w:val="000000"/>
                <w:sz w:val="20"/>
              </w:rPr>
              <w:t>1,530</w:t>
            </w:r>
          </w:p>
        </w:tc>
        <w:tc>
          <w:tcPr>
            <w:tcW w:w="1701" w:type="dxa"/>
            <w:tcMar>
              <w:right w:w="108" w:type="dxa"/>
            </w:tcMar>
            <w:vAlign w:val="center"/>
          </w:tcPr>
          <w:p w14:paraId="625A5A99" w14:textId="77777777" w:rsidR="000A2ED4" w:rsidRPr="00E70587" w:rsidRDefault="000A2ED4" w:rsidP="000B4F2B">
            <w:pPr>
              <w:spacing w:before="20" w:after="20"/>
              <w:jc w:val="right"/>
              <w:rPr>
                <w:rFonts w:ascii="Arial" w:hAnsi="Arial" w:cs="Arial"/>
                <w:bCs/>
                <w:color w:val="000000"/>
                <w:sz w:val="20"/>
              </w:rPr>
            </w:pPr>
            <w:r w:rsidRPr="00E70587">
              <w:rPr>
                <w:rFonts w:ascii="Arial" w:hAnsi="Arial" w:cs="Arial"/>
                <w:bCs/>
                <w:color w:val="000000"/>
                <w:sz w:val="20"/>
              </w:rPr>
              <w:t>-</w:t>
            </w:r>
          </w:p>
        </w:tc>
      </w:tr>
      <w:tr w:rsidR="000A2ED4" w:rsidRPr="00E70587" w14:paraId="71922929" w14:textId="77777777" w:rsidTr="001F5669">
        <w:tc>
          <w:tcPr>
            <w:tcW w:w="5974" w:type="dxa"/>
          </w:tcPr>
          <w:p w14:paraId="5AA70ECB" w14:textId="77777777" w:rsidR="000A2ED4" w:rsidRPr="00E70587" w:rsidRDefault="000A2ED4" w:rsidP="00E64675">
            <w:pPr>
              <w:pStyle w:val="tabletext"/>
              <w:overflowPunct w:val="0"/>
              <w:autoSpaceDE w:val="0"/>
              <w:autoSpaceDN w:val="0"/>
              <w:adjustRightInd w:val="0"/>
              <w:spacing w:before="20" w:after="20" w:line="240" w:lineRule="auto"/>
              <w:textAlignment w:val="baseline"/>
              <w:rPr>
                <w:rFonts w:ascii="Arial" w:hAnsi="Arial" w:cs="Arial"/>
                <w:b/>
                <w:sz w:val="20"/>
                <w:lang w:val="en-IN"/>
              </w:rPr>
            </w:pPr>
          </w:p>
        </w:tc>
        <w:tc>
          <w:tcPr>
            <w:tcW w:w="1856" w:type="dxa"/>
            <w:tcBorders>
              <w:top w:val="single" w:sz="4" w:space="0" w:color="auto"/>
              <w:bottom w:val="double" w:sz="4" w:space="0" w:color="auto"/>
            </w:tcBorders>
            <w:tcMar>
              <w:right w:w="108" w:type="dxa"/>
            </w:tcMar>
            <w:vAlign w:val="center"/>
          </w:tcPr>
          <w:p w14:paraId="55EF5EA8" w14:textId="77777777" w:rsidR="000A2ED4" w:rsidRPr="00E70587" w:rsidRDefault="000A2ED4" w:rsidP="00E64675">
            <w:pPr>
              <w:spacing w:before="20" w:after="20"/>
              <w:jc w:val="right"/>
              <w:rPr>
                <w:rFonts w:ascii="Arial" w:hAnsi="Arial" w:cs="Arial"/>
                <w:b/>
                <w:sz w:val="20"/>
              </w:rPr>
            </w:pPr>
            <w:r w:rsidRPr="00E70587">
              <w:rPr>
                <w:rFonts w:ascii="Arial" w:hAnsi="Arial" w:cs="Arial"/>
                <w:b/>
                <w:sz w:val="20"/>
              </w:rPr>
              <w:t>1,530</w:t>
            </w:r>
          </w:p>
        </w:tc>
        <w:tc>
          <w:tcPr>
            <w:tcW w:w="1701" w:type="dxa"/>
            <w:tcBorders>
              <w:top w:val="single" w:sz="4" w:space="0" w:color="auto"/>
              <w:bottom w:val="double" w:sz="4" w:space="0" w:color="auto"/>
            </w:tcBorders>
            <w:tcMar>
              <w:right w:w="108" w:type="dxa"/>
            </w:tcMar>
            <w:vAlign w:val="center"/>
          </w:tcPr>
          <w:p w14:paraId="5B0F35DC" w14:textId="77777777" w:rsidR="000A2ED4" w:rsidRPr="00E70587" w:rsidRDefault="000A2ED4" w:rsidP="00E64675">
            <w:pPr>
              <w:spacing w:before="20" w:after="20"/>
              <w:jc w:val="right"/>
              <w:rPr>
                <w:rFonts w:ascii="Arial" w:hAnsi="Arial" w:cs="Arial"/>
                <w:b/>
                <w:sz w:val="20"/>
              </w:rPr>
            </w:pPr>
            <w:r w:rsidRPr="00E70587">
              <w:rPr>
                <w:rFonts w:ascii="Arial" w:hAnsi="Arial" w:cs="Arial"/>
                <w:b/>
                <w:sz w:val="20"/>
              </w:rPr>
              <w:t>Nil</w:t>
            </w:r>
          </w:p>
        </w:tc>
      </w:tr>
    </w:tbl>
    <w:p w14:paraId="56B18102" w14:textId="77777777" w:rsidR="00872508" w:rsidRDefault="00872508" w:rsidP="00872508">
      <w:pPr>
        <w:spacing w:line="280" w:lineRule="exact"/>
        <w:rPr>
          <w:rFonts w:ascii="Arial" w:hAnsi="Arial" w:cs="Arial"/>
          <w:sz w:val="20"/>
        </w:rPr>
      </w:pPr>
    </w:p>
    <w:tbl>
      <w:tblPr>
        <w:tblStyle w:val="TableGrid"/>
        <w:tblW w:w="9535" w:type="dxa"/>
        <w:tblLook w:val="04A0" w:firstRow="1" w:lastRow="0" w:firstColumn="1" w:lastColumn="0" w:noHBand="0" w:noVBand="1"/>
      </w:tblPr>
      <w:tblGrid>
        <w:gridCol w:w="9535"/>
      </w:tblGrid>
      <w:tr w:rsidR="00872508" w14:paraId="285F0B47" w14:textId="77777777" w:rsidTr="001C6529">
        <w:tc>
          <w:tcPr>
            <w:tcW w:w="9535" w:type="dxa"/>
            <w:shd w:val="clear" w:color="auto" w:fill="E0E0E0" w:themeFill="background1" w:themeFillTint="33"/>
          </w:tcPr>
          <w:p w14:paraId="3FA03360" w14:textId="77777777" w:rsidR="00C02C0F" w:rsidRDefault="00C02C0F" w:rsidP="001C6529">
            <w:pPr>
              <w:spacing w:line="280" w:lineRule="exact"/>
              <w:rPr>
                <w:rFonts w:ascii="Arial" w:hAnsi="Arial" w:cs="Arial"/>
                <w:b/>
                <w:sz w:val="20"/>
              </w:rPr>
            </w:pPr>
            <w:r>
              <w:rPr>
                <w:rFonts w:ascii="Arial" w:hAnsi="Arial" w:cs="Arial"/>
                <w:b/>
                <w:sz w:val="20"/>
              </w:rPr>
              <w:t>Authors’ note</w:t>
            </w:r>
          </w:p>
          <w:p w14:paraId="4572B1E4" w14:textId="44ADE071" w:rsidR="00872508" w:rsidRPr="00504039" w:rsidRDefault="00872508" w:rsidP="001C6529">
            <w:pPr>
              <w:spacing w:line="280" w:lineRule="exact"/>
              <w:rPr>
                <w:rFonts w:ascii="Arial" w:hAnsi="Arial" w:cs="Arial"/>
                <w:sz w:val="20"/>
              </w:rPr>
            </w:pPr>
            <w:r w:rsidRPr="00504039">
              <w:rPr>
                <w:rFonts w:ascii="Arial" w:hAnsi="Arial" w:cs="Arial"/>
                <w:sz w:val="20"/>
              </w:rPr>
              <w:t>Schedule III of the companies require companies to bifurcate loans in to below mentioned categories</w:t>
            </w:r>
            <w:r>
              <w:rPr>
                <w:rFonts w:ascii="Arial" w:hAnsi="Arial" w:cs="Arial"/>
                <w:sz w:val="20"/>
              </w:rPr>
              <w:t>:</w:t>
            </w:r>
          </w:p>
          <w:p w14:paraId="5C1F5DF4" w14:textId="77777777" w:rsidR="00872508" w:rsidRPr="00504039" w:rsidRDefault="00872508" w:rsidP="001C6529">
            <w:pPr>
              <w:spacing w:line="280" w:lineRule="exact"/>
              <w:rPr>
                <w:rFonts w:ascii="Arial" w:hAnsi="Arial" w:cs="Arial"/>
                <w:sz w:val="20"/>
              </w:rPr>
            </w:pPr>
            <w:r w:rsidRPr="00504039">
              <w:rPr>
                <w:rFonts w:ascii="Arial" w:hAnsi="Arial" w:cs="Arial"/>
                <w:sz w:val="20"/>
              </w:rPr>
              <w:t xml:space="preserve">(a)   Loans Receivables considered good - Secured;   </w:t>
            </w:r>
          </w:p>
          <w:p w14:paraId="3A644996" w14:textId="77777777" w:rsidR="00872508" w:rsidRPr="00504039" w:rsidRDefault="00872508" w:rsidP="001C6529">
            <w:pPr>
              <w:spacing w:line="280" w:lineRule="exact"/>
              <w:rPr>
                <w:rFonts w:ascii="Arial" w:hAnsi="Arial" w:cs="Arial"/>
                <w:sz w:val="20"/>
              </w:rPr>
            </w:pPr>
            <w:r w:rsidRPr="00504039">
              <w:rPr>
                <w:rFonts w:ascii="Arial" w:hAnsi="Arial" w:cs="Arial"/>
                <w:sz w:val="20"/>
              </w:rPr>
              <w:t xml:space="preserve">(b)   Loans Receivables considered good - Unsecured;    </w:t>
            </w:r>
          </w:p>
          <w:p w14:paraId="3467C135" w14:textId="77777777" w:rsidR="00872508" w:rsidRPr="00504039" w:rsidRDefault="00872508" w:rsidP="001C6529">
            <w:pPr>
              <w:spacing w:line="280" w:lineRule="exact"/>
              <w:rPr>
                <w:rFonts w:ascii="Arial" w:hAnsi="Arial" w:cs="Arial"/>
                <w:sz w:val="20"/>
              </w:rPr>
            </w:pPr>
            <w:r w:rsidRPr="00504039">
              <w:rPr>
                <w:rFonts w:ascii="Arial" w:hAnsi="Arial" w:cs="Arial"/>
                <w:sz w:val="20"/>
              </w:rPr>
              <w:t xml:space="preserve">(c)   Loans Receivables which have significant increase in Credit Risk; and   </w:t>
            </w:r>
          </w:p>
          <w:p w14:paraId="0B6BCD32" w14:textId="77777777" w:rsidR="00872508" w:rsidRPr="00504039" w:rsidRDefault="00872508" w:rsidP="001C6529">
            <w:pPr>
              <w:spacing w:line="280" w:lineRule="exact"/>
              <w:rPr>
                <w:rFonts w:ascii="Arial" w:hAnsi="Arial" w:cs="Arial"/>
                <w:sz w:val="20"/>
              </w:rPr>
            </w:pPr>
            <w:r w:rsidRPr="00504039">
              <w:rPr>
                <w:rFonts w:ascii="Arial" w:hAnsi="Arial" w:cs="Arial"/>
                <w:sz w:val="20"/>
              </w:rPr>
              <w:t xml:space="preserve">(d)   Loans Receivables - credit impaired,”; </w:t>
            </w:r>
          </w:p>
          <w:p w14:paraId="41ABC0D2" w14:textId="77777777" w:rsidR="00872508" w:rsidRPr="00504039" w:rsidRDefault="00872508" w:rsidP="001C6529">
            <w:pPr>
              <w:spacing w:line="280" w:lineRule="exact"/>
              <w:rPr>
                <w:rFonts w:ascii="Arial" w:hAnsi="Arial" w:cs="Arial"/>
                <w:sz w:val="20"/>
              </w:rPr>
            </w:pPr>
          </w:p>
          <w:p w14:paraId="326BE059" w14:textId="305C454D" w:rsidR="001460A4" w:rsidRDefault="001460A4" w:rsidP="001460A4">
            <w:pPr>
              <w:spacing w:line="280" w:lineRule="exact"/>
              <w:rPr>
                <w:rFonts w:ascii="Arial" w:hAnsi="Arial" w:cs="Arial"/>
                <w:sz w:val="20"/>
              </w:rPr>
            </w:pPr>
            <w:r w:rsidRPr="00504039">
              <w:rPr>
                <w:rFonts w:ascii="Arial" w:hAnsi="Arial" w:cs="Arial"/>
                <w:sz w:val="20"/>
              </w:rPr>
              <w:t xml:space="preserve">Since all loans given by </w:t>
            </w:r>
            <w:r>
              <w:rPr>
                <w:rFonts w:ascii="Arial" w:hAnsi="Arial" w:cs="Arial"/>
                <w:sz w:val="20"/>
              </w:rPr>
              <w:t>the group</w:t>
            </w:r>
            <w:r w:rsidRPr="00504039">
              <w:rPr>
                <w:rFonts w:ascii="Arial" w:hAnsi="Arial" w:cs="Arial"/>
                <w:sz w:val="20"/>
              </w:rPr>
              <w:t xml:space="preserve"> are secured and considered good, the above bifurcation is not applicable to </w:t>
            </w:r>
            <w:r>
              <w:rPr>
                <w:rFonts w:ascii="Arial" w:hAnsi="Arial" w:cs="Arial"/>
                <w:sz w:val="20"/>
              </w:rPr>
              <w:t>the group</w:t>
            </w:r>
            <w:r w:rsidRPr="00504039">
              <w:rPr>
                <w:rFonts w:ascii="Arial" w:hAnsi="Arial" w:cs="Arial"/>
                <w:sz w:val="20"/>
              </w:rPr>
              <w:t xml:space="preserve"> and hence not given.</w:t>
            </w:r>
            <w:r>
              <w:rPr>
                <w:rFonts w:ascii="Arial" w:hAnsi="Arial" w:cs="Arial"/>
                <w:sz w:val="20"/>
              </w:rPr>
              <w:t xml:space="preserve"> </w:t>
            </w:r>
            <w:r w:rsidR="001D0202">
              <w:rPr>
                <w:rFonts w:ascii="Arial" w:hAnsi="Arial" w:cs="Arial"/>
                <w:sz w:val="20"/>
              </w:rPr>
              <w:t>Also,</w:t>
            </w:r>
            <w:r>
              <w:rPr>
                <w:rFonts w:ascii="Arial" w:hAnsi="Arial" w:cs="Arial"/>
                <w:sz w:val="20"/>
              </w:rPr>
              <w:t xml:space="preserve"> ECL provision on the considered good loans are immaterial. </w:t>
            </w:r>
            <w:r w:rsidR="001D0202">
              <w:rPr>
                <w:rFonts w:ascii="Arial" w:hAnsi="Arial" w:cs="Arial"/>
                <w:sz w:val="20"/>
              </w:rPr>
              <w:t>Therefore,</w:t>
            </w:r>
            <w:r>
              <w:rPr>
                <w:rFonts w:ascii="Arial" w:hAnsi="Arial" w:cs="Arial"/>
                <w:sz w:val="20"/>
              </w:rPr>
              <w:t xml:space="preserve"> relevant ECL disclosures are not provided. For trade receivables refer note 9.</w:t>
            </w:r>
          </w:p>
          <w:p w14:paraId="6F8A8860" w14:textId="77777777" w:rsidR="001460A4" w:rsidRPr="00D403B9" w:rsidRDefault="001460A4" w:rsidP="001460A4">
            <w:pPr>
              <w:pStyle w:val="Notesitalicheading"/>
              <w:spacing w:line="280" w:lineRule="exact"/>
              <w:ind w:left="-18"/>
              <w:jc w:val="both"/>
              <w:rPr>
                <w:rFonts w:ascii="Arial" w:hAnsi="Arial"/>
                <w:b w:val="0"/>
                <w:sz w:val="20"/>
              </w:rPr>
            </w:pPr>
          </w:p>
          <w:p w14:paraId="1B12A7F8" w14:textId="5EDB6D64" w:rsidR="00872508" w:rsidRDefault="001460A4" w:rsidP="001460A4">
            <w:pPr>
              <w:spacing w:line="280" w:lineRule="exact"/>
              <w:rPr>
                <w:rFonts w:ascii="Arial" w:hAnsi="Arial" w:cs="Arial"/>
                <w:sz w:val="20"/>
              </w:rPr>
            </w:pPr>
            <w:r w:rsidRPr="001460A4">
              <w:rPr>
                <w:rFonts w:ascii="Arial" w:hAnsi="Arial" w:cs="Arial"/>
                <w:sz w:val="20"/>
              </w:rPr>
              <w:t xml:space="preserve">Ind AS 107 require stage wise classification and movement disclosure of loans and ECL. Since there is no stage wise movement and corresponding ECL is immaterial for the group, we have not provided </w:t>
            </w:r>
            <w:r w:rsidR="001D0202" w:rsidRPr="001460A4">
              <w:rPr>
                <w:rFonts w:ascii="Arial" w:hAnsi="Arial" w:cs="Arial"/>
                <w:sz w:val="20"/>
              </w:rPr>
              <w:t>these disclosures</w:t>
            </w:r>
            <w:r w:rsidRPr="001460A4">
              <w:rPr>
                <w:rFonts w:ascii="Arial" w:hAnsi="Arial" w:cs="Arial"/>
                <w:sz w:val="20"/>
              </w:rPr>
              <w:t>. Where the company has material stage wise movement / ECL then it will need to comply with disclosure requirement of Ind AS 107.</w:t>
            </w:r>
          </w:p>
          <w:p w14:paraId="067932A0" w14:textId="77777777" w:rsidR="00A533CE" w:rsidRDefault="00A533CE" w:rsidP="001460A4">
            <w:pPr>
              <w:spacing w:line="280" w:lineRule="exact"/>
              <w:rPr>
                <w:rFonts w:ascii="Arial" w:hAnsi="Arial" w:cs="Arial"/>
                <w:sz w:val="20"/>
              </w:rPr>
            </w:pPr>
          </w:p>
          <w:p w14:paraId="751100F7" w14:textId="3F8E1819" w:rsidR="00A533CE" w:rsidRPr="00A533CE" w:rsidRDefault="00A533CE" w:rsidP="001460A4">
            <w:pPr>
              <w:spacing w:line="280" w:lineRule="exact"/>
              <w:rPr>
                <w:rFonts w:ascii="Arial" w:hAnsi="Arial" w:cs="Arial"/>
                <w:bCs/>
                <w:sz w:val="20"/>
              </w:rPr>
            </w:pPr>
            <w:r w:rsidRPr="00A533CE">
              <w:rPr>
                <w:rFonts w:ascii="Arial" w:hAnsi="Arial" w:cs="Arial"/>
                <w:bCs/>
                <w:sz w:val="20"/>
              </w:rPr>
              <w:t>Section 186 (4) of the Companies Act 2013 requires that the company shall disclose to the members in the financial statement the full particulars of the loans given, investment made or guarantee given or security provided and the purpose for which the loan or guarantee or security is proposed to be utilised by the recipient of the loan or guarantee or security. Accordingly, these disclosures should also be made, to the extent applicable in accordance with the provisions of the above section of the Companies Act.</w:t>
            </w:r>
          </w:p>
        </w:tc>
      </w:tr>
    </w:tbl>
    <w:p w14:paraId="564BC1A4" w14:textId="493F5F88" w:rsidR="001F5669" w:rsidRDefault="001F5669" w:rsidP="00C6336E">
      <w:pPr>
        <w:rPr>
          <w:rFonts w:ascii="Arial" w:hAnsi="Arial"/>
        </w:rPr>
      </w:pPr>
    </w:p>
    <w:p w14:paraId="1F40C631" w14:textId="12FFFADA" w:rsidR="00A533CE" w:rsidRDefault="00A533CE" w:rsidP="00C6336E">
      <w:pPr>
        <w:rPr>
          <w:rFonts w:ascii="Arial" w:hAnsi="Arial"/>
        </w:rPr>
      </w:pPr>
    </w:p>
    <w:p w14:paraId="41BFE152" w14:textId="77777777" w:rsidR="001C303E" w:rsidRPr="001F3D86" w:rsidRDefault="001C303E" w:rsidP="001C303E">
      <w:pPr>
        <w:spacing w:after="40"/>
        <w:rPr>
          <w:rFonts w:ascii="Arial" w:hAnsi="Arial" w:cs="Arial"/>
          <w:b/>
          <w:sz w:val="20"/>
        </w:rPr>
      </w:pPr>
      <w:r w:rsidRPr="001F3D86">
        <w:rPr>
          <w:rFonts w:ascii="Arial" w:hAnsi="Arial" w:cs="Arial"/>
          <w:b/>
          <w:sz w:val="20"/>
        </w:rPr>
        <w:t>Disclosure required under Sec 186(4) of the Companies Act 2013</w:t>
      </w:r>
    </w:p>
    <w:p w14:paraId="7933D131" w14:textId="77777777" w:rsidR="001C303E" w:rsidRPr="001F3D86" w:rsidRDefault="001C303E" w:rsidP="001C303E">
      <w:pPr>
        <w:spacing w:line="280" w:lineRule="exact"/>
        <w:rPr>
          <w:rFonts w:ascii="Arial" w:hAnsi="Arial" w:cs="Arial"/>
          <w:sz w:val="20"/>
        </w:rPr>
      </w:pPr>
      <w:r w:rsidRPr="001F3D86">
        <w:rPr>
          <w:rFonts w:ascii="Arial" w:hAnsi="Arial" w:cs="Arial"/>
          <w:sz w:val="20"/>
        </w:rPr>
        <w:t>Included in loans and advance are certain intercorporate deposits the particulars of which are disclosed below as required by Sec 186(4) of the Companies Act 2013</w:t>
      </w:r>
    </w:p>
    <w:tbl>
      <w:tblPr>
        <w:tblpPr w:leftFromText="180" w:rightFromText="180" w:vertAnchor="text" w:tblpY="77"/>
        <w:tblW w:w="10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1440"/>
        <w:gridCol w:w="1350"/>
        <w:gridCol w:w="1790"/>
        <w:gridCol w:w="1800"/>
        <w:gridCol w:w="1710"/>
        <w:gridCol w:w="810"/>
      </w:tblGrid>
      <w:tr w:rsidR="001C303E" w:rsidRPr="001F3D86" w14:paraId="696DD732" w14:textId="77777777" w:rsidTr="005F283E">
        <w:trPr>
          <w:trHeight w:val="20"/>
        </w:trPr>
        <w:tc>
          <w:tcPr>
            <w:tcW w:w="1710" w:type="dxa"/>
            <w:vMerge w:val="restart"/>
            <w:tcBorders>
              <w:top w:val="single" w:sz="4" w:space="0" w:color="auto"/>
              <w:left w:val="nil"/>
              <w:right w:val="nil"/>
            </w:tcBorders>
          </w:tcPr>
          <w:p w14:paraId="53ED2CCD" w14:textId="77777777" w:rsidR="001C303E" w:rsidRPr="001F3D86" w:rsidRDefault="001C303E" w:rsidP="005F283E">
            <w:pPr>
              <w:spacing w:line="280" w:lineRule="exact"/>
              <w:rPr>
                <w:rFonts w:ascii="Arial" w:hAnsi="Arial" w:cs="Arial"/>
                <w:b/>
                <w:bCs/>
                <w:sz w:val="20"/>
              </w:rPr>
            </w:pPr>
            <w:r w:rsidRPr="001F3D86">
              <w:rPr>
                <w:rFonts w:ascii="Arial" w:hAnsi="Arial" w:cs="Arial"/>
                <w:b/>
                <w:bCs/>
                <w:sz w:val="20"/>
              </w:rPr>
              <w:t>Name of the loanee</w:t>
            </w:r>
          </w:p>
        </w:tc>
        <w:tc>
          <w:tcPr>
            <w:tcW w:w="1440" w:type="dxa"/>
            <w:vMerge w:val="restart"/>
            <w:tcBorders>
              <w:top w:val="single" w:sz="4" w:space="0" w:color="auto"/>
              <w:left w:val="nil"/>
              <w:right w:val="nil"/>
            </w:tcBorders>
          </w:tcPr>
          <w:p w14:paraId="4CDC92CF" w14:textId="77777777" w:rsidR="001C303E" w:rsidRPr="001F3D86" w:rsidRDefault="001C303E" w:rsidP="005F283E">
            <w:pPr>
              <w:spacing w:line="280" w:lineRule="exact"/>
              <w:rPr>
                <w:rFonts w:ascii="Arial" w:hAnsi="Arial" w:cs="Arial"/>
                <w:b/>
                <w:bCs/>
                <w:sz w:val="20"/>
              </w:rPr>
            </w:pPr>
            <w:r w:rsidRPr="001F3D86">
              <w:rPr>
                <w:rFonts w:ascii="Arial" w:hAnsi="Arial" w:cs="Arial"/>
                <w:b/>
                <w:bCs/>
                <w:sz w:val="20"/>
              </w:rPr>
              <w:t>Rate of Interest</w:t>
            </w:r>
          </w:p>
        </w:tc>
        <w:tc>
          <w:tcPr>
            <w:tcW w:w="1350" w:type="dxa"/>
            <w:vMerge w:val="restart"/>
            <w:tcBorders>
              <w:top w:val="single" w:sz="4" w:space="0" w:color="auto"/>
              <w:left w:val="nil"/>
              <w:right w:val="nil"/>
            </w:tcBorders>
          </w:tcPr>
          <w:p w14:paraId="44F8DCFA" w14:textId="77777777" w:rsidR="001C303E" w:rsidRPr="001F3D86" w:rsidRDefault="001C303E" w:rsidP="005F283E">
            <w:pPr>
              <w:spacing w:line="280" w:lineRule="exact"/>
              <w:rPr>
                <w:rFonts w:ascii="Arial" w:hAnsi="Arial" w:cs="Arial"/>
                <w:b/>
                <w:bCs/>
                <w:sz w:val="20"/>
              </w:rPr>
            </w:pPr>
            <w:r w:rsidRPr="001F3D86">
              <w:rPr>
                <w:rFonts w:ascii="Arial" w:hAnsi="Arial" w:cs="Arial"/>
                <w:b/>
                <w:bCs/>
                <w:sz w:val="20"/>
              </w:rPr>
              <w:t>Due date</w:t>
            </w:r>
          </w:p>
        </w:tc>
        <w:tc>
          <w:tcPr>
            <w:tcW w:w="1790" w:type="dxa"/>
            <w:vMerge w:val="restart"/>
            <w:tcBorders>
              <w:top w:val="single" w:sz="4" w:space="0" w:color="auto"/>
              <w:left w:val="nil"/>
              <w:right w:val="nil"/>
            </w:tcBorders>
          </w:tcPr>
          <w:p w14:paraId="1A422B21" w14:textId="77777777" w:rsidR="001C303E" w:rsidRPr="001F3D86" w:rsidRDefault="001C303E" w:rsidP="005F283E">
            <w:pPr>
              <w:spacing w:line="280" w:lineRule="exact"/>
              <w:rPr>
                <w:rFonts w:ascii="Arial" w:hAnsi="Arial" w:cs="Arial"/>
                <w:b/>
                <w:bCs/>
                <w:sz w:val="20"/>
              </w:rPr>
            </w:pPr>
            <w:r w:rsidRPr="001F3D86">
              <w:rPr>
                <w:rFonts w:ascii="Arial" w:hAnsi="Arial" w:cs="Arial"/>
                <w:b/>
                <w:bCs/>
                <w:sz w:val="20"/>
              </w:rPr>
              <w:t>Secured/ unsecured</w:t>
            </w:r>
          </w:p>
        </w:tc>
        <w:tc>
          <w:tcPr>
            <w:tcW w:w="1800" w:type="dxa"/>
            <w:tcBorders>
              <w:top w:val="single" w:sz="6" w:space="0" w:color="auto"/>
              <w:left w:val="nil"/>
              <w:bottom w:val="nil"/>
              <w:right w:val="nil"/>
            </w:tcBorders>
          </w:tcPr>
          <w:p w14:paraId="777D4F53" w14:textId="258A5693" w:rsidR="001C303E" w:rsidRPr="001F3D86" w:rsidRDefault="001C303E" w:rsidP="005F283E">
            <w:pPr>
              <w:pStyle w:val="tabletext"/>
              <w:overflowPunct w:val="0"/>
              <w:autoSpaceDE w:val="0"/>
              <w:autoSpaceDN w:val="0"/>
              <w:adjustRightInd w:val="0"/>
              <w:spacing w:line="280" w:lineRule="exact"/>
              <w:jc w:val="center"/>
              <w:textAlignment w:val="baseline"/>
              <w:rPr>
                <w:rFonts w:ascii="Arial" w:hAnsi="Arial" w:cs="Arial"/>
                <w:b/>
                <w:sz w:val="20"/>
              </w:rPr>
            </w:pPr>
            <w:r w:rsidRPr="001F3D86">
              <w:rPr>
                <w:rFonts w:ascii="Arial" w:hAnsi="Arial" w:cs="Arial"/>
                <w:b/>
                <w:sz w:val="20"/>
              </w:rPr>
              <w:t>31 March 202</w:t>
            </w:r>
            <w:r w:rsidR="005C5798">
              <w:rPr>
                <w:rFonts w:ascii="Arial" w:hAnsi="Arial" w:cs="Arial"/>
                <w:b/>
                <w:sz w:val="20"/>
              </w:rPr>
              <w:t>1</w:t>
            </w:r>
          </w:p>
        </w:tc>
        <w:tc>
          <w:tcPr>
            <w:tcW w:w="1710" w:type="dxa"/>
            <w:tcBorders>
              <w:top w:val="single" w:sz="6" w:space="0" w:color="auto"/>
              <w:left w:val="nil"/>
              <w:bottom w:val="nil"/>
              <w:right w:val="nil"/>
            </w:tcBorders>
          </w:tcPr>
          <w:p w14:paraId="1D592827" w14:textId="4B388100" w:rsidR="001C303E" w:rsidRPr="001F3D86" w:rsidRDefault="001C303E" w:rsidP="005F283E">
            <w:pPr>
              <w:pStyle w:val="tabletext"/>
              <w:overflowPunct w:val="0"/>
              <w:autoSpaceDE w:val="0"/>
              <w:autoSpaceDN w:val="0"/>
              <w:adjustRightInd w:val="0"/>
              <w:spacing w:line="280" w:lineRule="exact"/>
              <w:jc w:val="center"/>
              <w:textAlignment w:val="baseline"/>
              <w:rPr>
                <w:rFonts w:ascii="Arial" w:hAnsi="Arial" w:cs="Arial"/>
                <w:b/>
                <w:sz w:val="20"/>
              </w:rPr>
            </w:pPr>
            <w:r w:rsidRPr="001F3D86">
              <w:rPr>
                <w:rFonts w:ascii="Arial" w:hAnsi="Arial" w:cs="Arial"/>
                <w:b/>
                <w:sz w:val="20"/>
              </w:rPr>
              <w:t>31 March 20</w:t>
            </w:r>
            <w:r w:rsidR="005C5798">
              <w:rPr>
                <w:rFonts w:ascii="Arial" w:hAnsi="Arial" w:cs="Arial"/>
                <w:b/>
                <w:sz w:val="20"/>
              </w:rPr>
              <w:t>20</w:t>
            </w:r>
          </w:p>
        </w:tc>
        <w:tc>
          <w:tcPr>
            <w:tcW w:w="810" w:type="dxa"/>
            <w:tcBorders>
              <w:top w:val="nil"/>
              <w:left w:val="nil"/>
              <w:bottom w:val="nil"/>
              <w:right w:val="nil"/>
            </w:tcBorders>
          </w:tcPr>
          <w:p w14:paraId="00662388" w14:textId="77777777" w:rsidR="001C303E" w:rsidRPr="001F3D86" w:rsidRDefault="001C303E" w:rsidP="005F283E">
            <w:pPr>
              <w:spacing w:line="280" w:lineRule="exact"/>
              <w:jc w:val="right"/>
              <w:rPr>
                <w:rFonts w:ascii="Arial" w:hAnsi="Arial" w:cs="Arial"/>
                <w:sz w:val="20"/>
              </w:rPr>
            </w:pPr>
          </w:p>
        </w:tc>
      </w:tr>
      <w:tr w:rsidR="001C303E" w:rsidRPr="001F3D86" w14:paraId="4E0C56AF" w14:textId="77777777" w:rsidTr="005F283E">
        <w:trPr>
          <w:trHeight w:val="20"/>
        </w:trPr>
        <w:tc>
          <w:tcPr>
            <w:tcW w:w="1710" w:type="dxa"/>
            <w:vMerge/>
            <w:tcBorders>
              <w:left w:val="nil"/>
              <w:right w:val="nil"/>
            </w:tcBorders>
          </w:tcPr>
          <w:p w14:paraId="35E57B3F" w14:textId="77777777" w:rsidR="001C303E" w:rsidRPr="001F3D86" w:rsidRDefault="001C303E" w:rsidP="005F283E">
            <w:pPr>
              <w:spacing w:line="280" w:lineRule="exact"/>
              <w:jc w:val="both"/>
              <w:rPr>
                <w:rFonts w:ascii="Arial" w:hAnsi="Arial" w:cs="Arial"/>
                <w:sz w:val="20"/>
              </w:rPr>
            </w:pPr>
          </w:p>
        </w:tc>
        <w:tc>
          <w:tcPr>
            <w:tcW w:w="1440" w:type="dxa"/>
            <w:vMerge/>
            <w:tcBorders>
              <w:left w:val="nil"/>
              <w:right w:val="nil"/>
            </w:tcBorders>
          </w:tcPr>
          <w:p w14:paraId="3FB5FF32" w14:textId="77777777" w:rsidR="001C303E" w:rsidRPr="001F3D86" w:rsidRDefault="001C303E" w:rsidP="005F283E">
            <w:pPr>
              <w:spacing w:line="280" w:lineRule="exact"/>
              <w:jc w:val="both"/>
              <w:rPr>
                <w:rFonts w:ascii="Arial" w:hAnsi="Arial" w:cs="Arial"/>
                <w:sz w:val="20"/>
              </w:rPr>
            </w:pPr>
          </w:p>
        </w:tc>
        <w:tc>
          <w:tcPr>
            <w:tcW w:w="1350" w:type="dxa"/>
            <w:vMerge/>
            <w:tcBorders>
              <w:left w:val="nil"/>
              <w:right w:val="nil"/>
            </w:tcBorders>
          </w:tcPr>
          <w:p w14:paraId="440BFCCD" w14:textId="77777777" w:rsidR="001C303E" w:rsidRPr="001F3D86" w:rsidRDefault="001C303E" w:rsidP="005F283E">
            <w:pPr>
              <w:spacing w:line="280" w:lineRule="exact"/>
              <w:jc w:val="both"/>
              <w:rPr>
                <w:rFonts w:ascii="Arial" w:hAnsi="Arial" w:cs="Arial"/>
                <w:sz w:val="20"/>
              </w:rPr>
            </w:pPr>
          </w:p>
        </w:tc>
        <w:tc>
          <w:tcPr>
            <w:tcW w:w="1790" w:type="dxa"/>
            <w:vMerge/>
            <w:tcBorders>
              <w:left w:val="nil"/>
              <w:bottom w:val="single" w:sz="4" w:space="0" w:color="auto"/>
              <w:right w:val="nil"/>
            </w:tcBorders>
          </w:tcPr>
          <w:p w14:paraId="1AEE23EF" w14:textId="77777777" w:rsidR="001C303E" w:rsidRPr="001F3D86" w:rsidRDefault="001C303E" w:rsidP="005F283E">
            <w:pPr>
              <w:spacing w:line="280" w:lineRule="exact"/>
              <w:jc w:val="both"/>
              <w:rPr>
                <w:rFonts w:ascii="Arial" w:hAnsi="Arial" w:cs="Arial"/>
                <w:sz w:val="20"/>
              </w:rPr>
            </w:pPr>
          </w:p>
        </w:tc>
        <w:tc>
          <w:tcPr>
            <w:tcW w:w="1800" w:type="dxa"/>
            <w:tcBorders>
              <w:top w:val="nil"/>
              <w:left w:val="nil"/>
              <w:bottom w:val="single" w:sz="6" w:space="0" w:color="auto"/>
              <w:right w:val="nil"/>
            </w:tcBorders>
            <w:vAlign w:val="center"/>
          </w:tcPr>
          <w:p w14:paraId="3CE54B09" w14:textId="77777777" w:rsidR="001C303E" w:rsidRPr="001F3D86" w:rsidRDefault="001C303E" w:rsidP="005F283E">
            <w:pPr>
              <w:pStyle w:val="Tablecolumnheading"/>
              <w:spacing w:line="280" w:lineRule="exact"/>
              <w:jc w:val="center"/>
              <w:rPr>
                <w:rFonts w:ascii="Arial" w:hAnsi="Arial"/>
                <w:sz w:val="20"/>
                <w:szCs w:val="20"/>
                <w:lang w:val="en-US"/>
              </w:rPr>
            </w:pPr>
            <w:r w:rsidRPr="001F3D86">
              <w:rPr>
                <w:rFonts w:ascii="Arial" w:hAnsi="Arial"/>
                <w:sz w:val="20"/>
                <w:szCs w:val="20"/>
                <w:lang w:val="en-US"/>
              </w:rPr>
              <w:t>INR lacs</w:t>
            </w:r>
          </w:p>
        </w:tc>
        <w:tc>
          <w:tcPr>
            <w:tcW w:w="1710" w:type="dxa"/>
            <w:tcBorders>
              <w:top w:val="nil"/>
              <w:left w:val="nil"/>
              <w:bottom w:val="single" w:sz="6" w:space="0" w:color="auto"/>
              <w:right w:val="nil"/>
            </w:tcBorders>
            <w:vAlign w:val="center"/>
          </w:tcPr>
          <w:p w14:paraId="437C6F7C" w14:textId="77777777" w:rsidR="001C303E" w:rsidRPr="001F3D86" w:rsidRDefault="001C303E" w:rsidP="005F283E">
            <w:pPr>
              <w:pStyle w:val="Tablecolumnheading"/>
              <w:spacing w:line="280" w:lineRule="exact"/>
              <w:jc w:val="center"/>
              <w:rPr>
                <w:rFonts w:ascii="Arial" w:hAnsi="Arial"/>
                <w:sz w:val="20"/>
                <w:szCs w:val="20"/>
                <w:lang w:val="en-US"/>
              </w:rPr>
            </w:pPr>
            <w:r w:rsidRPr="001F3D86">
              <w:rPr>
                <w:rFonts w:ascii="Arial" w:hAnsi="Arial"/>
                <w:sz w:val="20"/>
                <w:szCs w:val="20"/>
                <w:lang w:val="en-US"/>
              </w:rPr>
              <w:t>INR lacs</w:t>
            </w:r>
          </w:p>
        </w:tc>
        <w:tc>
          <w:tcPr>
            <w:tcW w:w="810" w:type="dxa"/>
            <w:tcBorders>
              <w:top w:val="nil"/>
              <w:left w:val="nil"/>
              <w:bottom w:val="nil"/>
              <w:right w:val="nil"/>
            </w:tcBorders>
          </w:tcPr>
          <w:p w14:paraId="17CDD25F" w14:textId="77777777" w:rsidR="001C303E" w:rsidRPr="001F3D86" w:rsidRDefault="001C303E" w:rsidP="005F283E">
            <w:pPr>
              <w:spacing w:line="280" w:lineRule="exact"/>
              <w:jc w:val="right"/>
              <w:rPr>
                <w:rFonts w:ascii="Arial" w:hAnsi="Arial" w:cs="Arial"/>
                <w:sz w:val="20"/>
              </w:rPr>
            </w:pPr>
          </w:p>
        </w:tc>
      </w:tr>
      <w:tr w:rsidR="001C303E" w:rsidRPr="001F3D86" w14:paraId="32D1FF53" w14:textId="77777777" w:rsidTr="005F283E">
        <w:trPr>
          <w:trHeight w:val="20"/>
        </w:trPr>
        <w:tc>
          <w:tcPr>
            <w:tcW w:w="1710" w:type="dxa"/>
            <w:tcBorders>
              <w:left w:val="nil"/>
              <w:bottom w:val="nil"/>
              <w:right w:val="nil"/>
            </w:tcBorders>
          </w:tcPr>
          <w:p w14:paraId="4A665F0D" w14:textId="150774D0" w:rsidR="001C303E" w:rsidRPr="001F3D86" w:rsidRDefault="00857709" w:rsidP="005F283E">
            <w:pPr>
              <w:spacing w:line="280" w:lineRule="exact"/>
              <w:rPr>
                <w:rFonts w:ascii="Arial" w:hAnsi="Arial" w:cs="Arial"/>
                <w:sz w:val="20"/>
              </w:rPr>
            </w:pPr>
            <w:r>
              <w:rPr>
                <w:rFonts w:ascii="Arial" w:hAnsi="Arial" w:cs="Arial"/>
                <w:sz w:val="20"/>
              </w:rPr>
              <w:t>P</w:t>
            </w:r>
            <w:r w:rsidR="001C303E" w:rsidRPr="001F3D86">
              <w:rPr>
                <w:rFonts w:ascii="Arial" w:hAnsi="Arial" w:cs="Arial"/>
                <w:sz w:val="20"/>
              </w:rPr>
              <w:t xml:space="preserve"> Limited</w:t>
            </w:r>
          </w:p>
        </w:tc>
        <w:tc>
          <w:tcPr>
            <w:tcW w:w="1440" w:type="dxa"/>
            <w:tcBorders>
              <w:left w:val="nil"/>
              <w:bottom w:val="nil"/>
              <w:right w:val="nil"/>
            </w:tcBorders>
          </w:tcPr>
          <w:p w14:paraId="545949A4" w14:textId="77777777" w:rsidR="001C303E" w:rsidRPr="001F3D86" w:rsidRDefault="001C303E" w:rsidP="005F283E">
            <w:pPr>
              <w:spacing w:line="280" w:lineRule="exact"/>
              <w:jc w:val="both"/>
              <w:rPr>
                <w:rFonts w:ascii="Arial" w:hAnsi="Arial" w:cs="Arial"/>
                <w:sz w:val="20"/>
              </w:rPr>
            </w:pPr>
            <w:r w:rsidRPr="001F3D86">
              <w:rPr>
                <w:rFonts w:ascii="Arial" w:hAnsi="Arial" w:cs="Arial"/>
                <w:sz w:val="20"/>
              </w:rPr>
              <w:t>10%</w:t>
            </w:r>
          </w:p>
        </w:tc>
        <w:tc>
          <w:tcPr>
            <w:tcW w:w="1350" w:type="dxa"/>
            <w:tcBorders>
              <w:left w:val="nil"/>
              <w:bottom w:val="nil"/>
              <w:right w:val="nil"/>
            </w:tcBorders>
          </w:tcPr>
          <w:p w14:paraId="006B0335" w14:textId="4AB610DD" w:rsidR="001C303E" w:rsidRPr="001F3D86" w:rsidRDefault="001C303E" w:rsidP="005F283E">
            <w:pPr>
              <w:spacing w:line="280" w:lineRule="exact"/>
              <w:jc w:val="both"/>
              <w:rPr>
                <w:rFonts w:ascii="Arial" w:hAnsi="Arial" w:cs="Arial"/>
                <w:sz w:val="20"/>
              </w:rPr>
            </w:pPr>
            <w:r w:rsidRPr="001F3D86">
              <w:rPr>
                <w:rFonts w:ascii="Arial" w:hAnsi="Arial" w:cs="Arial"/>
                <w:sz w:val="20"/>
              </w:rPr>
              <w:t>01/09/202</w:t>
            </w:r>
            <w:r w:rsidR="004771B7">
              <w:rPr>
                <w:rFonts w:ascii="Arial" w:hAnsi="Arial" w:cs="Arial"/>
                <w:sz w:val="20"/>
              </w:rPr>
              <w:t>3</w:t>
            </w:r>
          </w:p>
        </w:tc>
        <w:tc>
          <w:tcPr>
            <w:tcW w:w="1790" w:type="dxa"/>
            <w:tcBorders>
              <w:top w:val="single" w:sz="4" w:space="0" w:color="auto"/>
              <w:left w:val="nil"/>
              <w:bottom w:val="nil"/>
              <w:right w:val="nil"/>
            </w:tcBorders>
          </w:tcPr>
          <w:p w14:paraId="2466A793" w14:textId="77777777" w:rsidR="001C303E" w:rsidRPr="001F3D86" w:rsidRDefault="001C303E" w:rsidP="005F283E">
            <w:pPr>
              <w:spacing w:line="280" w:lineRule="exact"/>
              <w:jc w:val="both"/>
              <w:rPr>
                <w:rFonts w:ascii="Arial" w:hAnsi="Arial" w:cs="Arial"/>
                <w:sz w:val="20"/>
              </w:rPr>
            </w:pPr>
            <w:r w:rsidRPr="001F3D86">
              <w:rPr>
                <w:rFonts w:ascii="Arial" w:hAnsi="Arial" w:cs="Arial"/>
                <w:sz w:val="20"/>
              </w:rPr>
              <w:t>Secured</w:t>
            </w:r>
          </w:p>
        </w:tc>
        <w:tc>
          <w:tcPr>
            <w:tcW w:w="1800" w:type="dxa"/>
            <w:tcBorders>
              <w:top w:val="nil"/>
              <w:left w:val="nil"/>
              <w:bottom w:val="nil"/>
              <w:right w:val="nil"/>
            </w:tcBorders>
            <w:vAlign w:val="center"/>
          </w:tcPr>
          <w:p w14:paraId="11378966" w14:textId="1D9E04B0" w:rsidR="001C303E" w:rsidRPr="001F3D86" w:rsidRDefault="004771B7" w:rsidP="005F283E">
            <w:pPr>
              <w:spacing w:line="280" w:lineRule="exact"/>
              <w:jc w:val="right"/>
              <w:rPr>
                <w:rFonts w:ascii="Arial" w:hAnsi="Arial" w:cs="Arial"/>
                <w:sz w:val="20"/>
              </w:rPr>
            </w:pPr>
            <w:r>
              <w:rPr>
                <w:rFonts w:ascii="Arial" w:hAnsi="Arial" w:cs="Arial"/>
                <w:sz w:val="20"/>
              </w:rPr>
              <w:t>360</w:t>
            </w:r>
          </w:p>
        </w:tc>
        <w:tc>
          <w:tcPr>
            <w:tcW w:w="1710" w:type="dxa"/>
            <w:tcBorders>
              <w:top w:val="nil"/>
              <w:left w:val="nil"/>
              <w:bottom w:val="nil"/>
              <w:right w:val="nil"/>
            </w:tcBorders>
            <w:vAlign w:val="center"/>
          </w:tcPr>
          <w:p w14:paraId="1A9EC89D" w14:textId="77777777" w:rsidR="001C303E" w:rsidRPr="001F3D86" w:rsidRDefault="001C303E" w:rsidP="005F283E">
            <w:pPr>
              <w:spacing w:line="280" w:lineRule="exact"/>
              <w:jc w:val="right"/>
              <w:rPr>
                <w:rFonts w:ascii="Arial" w:hAnsi="Arial" w:cs="Arial"/>
                <w:sz w:val="20"/>
              </w:rPr>
            </w:pPr>
            <w:r w:rsidRPr="001F3D86">
              <w:rPr>
                <w:rFonts w:ascii="Arial" w:hAnsi="Arial" w:cs="Arial"/>
                <w:sz w:val="20"/>
              </w:rPr>
              <w:t>-</w:t>
            </w:r>
          </w:p>
        </w:tc>
        <w:tc>
          <w:tcPr>
            <w:tcW w:w="810" w:type="dxa"/>
            <w:tcBorders>
              <w:top w:val="nil"/>
              <w:left w:val="nil"/>
              <w:bottom w:val="nil"/>
              <w:right w:val="nil"/>
            </w:tcBorders>
          </w:tcPr>
          <w:p w14:paraId="5882F3DB" w14:textId="77777777" w:rsidR="001C303E" w:rsidRPr="001F3D86" w:rsidRDefault="001C303E" w:rsidP="005F283E">
            <w:pPr>
              <w:spacing w:line="280" w:lineRule="exact"/>
              <w:jc w:val="right"/>
              <w:rPr>
                <w:rFonts w:ascii="Arial" w:hAnsi="Arial" w:cs="Arial"/>
                <w:sz w:val="20"/>
              </w:rPr>
            </w:pPr>
          </w:p>
        </w:tc>
      </w:tr>
      <w:tr w:rsidR="001C303E" w:rsidRPr="001F3D86" w14:paraId="2D21483D" w14:textId="77777777" w:rsidTr="005F283E">
        <w:trPr>
          <w:trHeight w:val="20"/>
        </w:trPr>
        <w:tc>
          <w:tcPr>
            <w:tcW w:w="1710" w:type="dxa"/>
            <w:tcBorders>
              <w:top w:val="nil"/>
              <w:left w:val="nil"/>
              <w:bottom w:val="nil"/>
              <w:right w:val="nil"/>
            </w:tcBorders>
          </w:tcPr>
          <w:p w14:paraId="3D3CDE61" w14:textId="77777777" w:rsidR="001C303E" w:rsidRPr="001F3D86" w:rsidRDefault="001C303E" w:rsidP="005F283E">
            <w:pPr>
              <w:spacing w:line="280" w:lineRule="exact"/>
              <w:jc w:val="both"/>
              <w:rPr>
                <w:rFonts w:ascii="Arial" w:hAnsi="Arial" w:cs="Arial"/>
                <w:sz w:val="20"/>
              </w:rPr>
            </w:pPr>
          </w:p>
        </w:tc>
        <w:tc>
          <w:tcPr>
            <w:tcW w:w="1440" w:type="dxa"/>
            <w:tcBorders>
              <w:top w:val="nil"/>
              <w:left w:val="nil"/>
              <w:bottom w:val="nil"/>
              <w:right w:val="nil"/>
            </w:tcBorders>
          </w:tcPr>
          <w:p w14:paraId="632C1729" w14:textId="77777777" w:rsidR="001C303E" w:rsidRPr="001F3D86" w:rsidRDefault="001C303E" w:rsidP="005F283E">
            <w:pPr>
              <w:spacing w:line="280" w:lineRule="exact"/>
              <w:jc w:val="both"/>
              <w:rPr>
                <w:rFonts w:ascii="Arial" w:hAnsi="Arial" w:cs="Arial"/>
                <w:sz w:val="20"/>
              </w:rPr>
            </w:pPr>
          </w:p>
        </w:tc>
        <w:tc>
          <w:tcPr>
            <w:tcW w:w="1350" w:type="dxa"/>
            <w:tcBorders>
              <w:top w:val="nil"/>
              <w:left w:val="nil"/>
              <w:bottom w:val="nil"/>
              <w:right w:val="nil"/>
            </w:tcBorders>
          </w:tcPr>
          <w:p w14:paraId="2D817DA0" w14:textId="77777777" w:rsidR="001C303E" w:rsidRPr="001F3D86" w:rsidRDefault="001C303E" w:rsidP="005F283E">
            <w:pPr>
              <w:spacing w:line="280" w:lineRule="exact"/>
              <w:jc w:val="both"/>
              <w:rPr>
                <w:rFonts w:ascii="Arial" w:hAnsi="Arial" w:cs="Arial"/>
                <w:sz w:val="20"/>
              </w:rPr>
            </w:pPr>
          </w:p>
        </w:tc>
        <w:tc>
          <w:tcPr>
            <w:tcW w:w="1790" w:type="dxa"/>
            <w:tcBorders>
              <w:top w:val="nil"/>
              <w:left w:val="nil"/>
              <w:bottom w:val="nil"/>
              <w:right w:val="nil"/>
            </w:tcBorders>
          </w:tcPr>
          <w:p w14:paraId="5BBD3505" w14:textId="77777777" w:rsidR="001C303E" w:rsidRPr="001F3D86" w:rsidRDefault="001C303E" w:rsidP="005F283E">
            <w:pPr>
              <w:spacing w:line="280" w:lineRule="exact"/>
              <w:jc w:val="both"/>
              <w:rPr>
                <w:rFonts w:ascii="Arial" w:hAnsi="Arial" w:cs="Arial"/>
                <w:sz w:val="20"/>
              </w:rPr>
            </w:pPr>
          </w:p>
        </w:tc>
        <w:tc>
          <w:tcPr>
            <w:tcW w:w="1800" w:type="dxa"/>
            <w:tcBorders>
              <w:top w:val="single" w:sz="6" w:space="0" w:color="auto"/>
              <w:left w:val="nil"/>
              <w:bottom w:val="single" w:sz="6" w:space="0" w:color="auto"/>
              <w:right w:val="nil"/>
            </w:tcBorders>
          </w:tcPr>
          <w:p w14:paraId="04A7EF1D" w14:textId="31E9E8A7" w:rsidR="001C303E" w:rsidRPr="001F3D86" w:rsidRDefault="004771B7" w:rsidP="005F283E">
            <w:pPr>
              <w:spacing w:line="280" w:lineRule="exact"/>
              <w:jc w:val="right"/>
              <w:rPr>
                <w:rFonts w:ascii="Arial" w:hAnsi="Arial" w:cs="Arial"/>
                <w:sz w:val="20"/>
              </w:rPr>
            </w:pPr>
            <w:r>
              <w:rPr>
                <w:rFonts w:ascii="Arial" w:hAnsi="Arial" w:cs="Arial"/>
                <w:sz w:val="20"/>
              </w:rPr>
              <w:t>360</w:t>
            </w:r>
          </w:p>
        </w:tc>
        <w:tc>
          <w:tcPr>
            <w:tcW w:w="1710" w:type="dxa"/>
            <w:tcBorders>
              <w:top w:val="single" w:sz="6" w:space="0" w:color="auto"/>
              <w:left w:val="nil"/>
              <w:bottom w:val="single" w:sz="6" w:space="0" w:color="auto"/>
              <w:right w:val="nil"/>
            </w:tcBorders>
          </w:tcPr>
          <w:p w14:paraId="398CED66" w14:textId="77777777" w:rsidR="001C303E" w:rsidRPr="001F3D86" w:rsidRDefault="001C303E" w:rsidP="005F283E">
            <w:pPr>
              <w:spacing w:line="280" w:lineRule="exact"/>
              <w:jc w:val="right"/>
              <w:rPr>
                <w:rFonts w:ascii="Arial" w:hAnsi="Arial" w:cs="Arial"/>
                <w:sz w:val="20"/>
              </w:rPr>
            </w:pPr>
            <w:r w:rsidRPr="001F3D86">
              <w:rPr>
                <w:rFonts w:ascii="Arial" w:hAnsi="Arial" w:cs="Arial"/>
                <w:sz w:val="20"/>
              </w:rPr>
              <w:t>-</w:t>
            </w:r>
          </w:p>
        </w:tc>
        <w:tc>
          <w:tcPr>
            <w:tcW w:w="810" w:type="dxa"/>
            <w:tcBorders>
              <w:top w:val="nil"/>
              <w:left w:val="nil"/>
              <w:bottom w:val="nil"/>
              <w:right w:val="nil"/>
            </w:tcBorders>
          </w:tcPr>
          <w:p w14:paraId="6E7C2EEE" w14:textId="77777777" w:rsidR="001C303E" w:rsidRPr="001F3D86" w:rsidRDefault="001C303E" w:rsidP="005F283E">
            <w:pPr>
              <w:spacing w:line="280" w:lineRule="exact"/>
              <w:jc w:val="right"/>
              <w:rPr>
                <w:rFonts w:ascii="Arial" w:hAnsi="Arial" w:cs="Arial"/>
                <w:sz w:val="20"/>
              </w:rPr>
            </w:pPr>
          </w:p>
        </w:tc>
      </w:tr>
    </w:tbl>
    <w:p w14:paraId="70DD15AA" w14:textId="7B00783D" w:rsidR="001C303E" w:rsidRDefault="000A70BE" w:rsidP="001C303E">
      <w:pPr>
        <w:spacing w:line="280" w:lineRule="exact"/>
        <w:rPr>
          <w:rFonts w:ascii="Arial" w:hAnsi="Arial" w:cs="Arial"/>
          <w:sz w:val="20"/>
        </w:rPr>
      </w:pPr>
      <w:r>
        <w:rPr>
          <w:rFonts w:ascii="Arial" w:hAnsi="Arial" w:cs="Arial"/>
          <w:sz w:val="20"/>
        </w:rPr>
        <w:t>P</w:t>
      </w:r>
      <w:r w:rsidR="001C303E" w:rsidRPr="001F3D86">
        <w:rPr>
          <w:rFonts w:ascii="Arial" w:hAnsi="Arial" w:cs="Arial"/>
          <w:sz w:val="20"/>
        </w:rPr>
        <w:t xml:space="preserve"> Limited has given first charge over its inventory and trade receivables against the above loan. The loan has been utilized for meeting their working capital requirements. </w:t>
      </w:r>
    </w:p>
    <w:p w14:paraId="5C11B159" w14:textId="1DC10A33" w:rsidR="002B0095" w:rsidRDefault="002B0095" w:rsidP="001C303E">
      <w:pPr>
        <w:spacing w:line="280" w:lineRule="exact"/>
        <w:rPr>
          <w:rFonts w:ascii="Arial" w:hAnsi="Arial" w:cs="Arial"/>
          <w:sz w:val="20"/>
        </w:rPr>
      </w:pPr>
    </w:p>
    <w:p w14:paraId="11B1022C" w14:textId="77777777" w:rsidR="002B0095" w:rsidRDefault="002B0095" w:rsidP="002B0095">
      <w:pPr>
        <w:spacing w:line="120" w:lineRule="auto"/>
        <w:rPr>
          <w:rFonts w:ascii="Arial" w:hAnsi="Arial" w:cs="Arial"/>
          <w:sz w:val="20"/>
        </w:rPr>
      </w:pPr>
    </w:p>
    <w:p w14:paraId="5636159C" w14:textId="20F52DF3" w:rsidR="002B0095" w:rsidRPr="002B0095" w:rsidRDefault="002B0095" w:rsidP="002B0095">
      <w:pPr>
        <w:shd w:val="clear" w:color="auto" w:fill="C1C1C1" w:themeFill="background1" w:themeFillTint="66"/>
        <w:spacing w:line="280" w:lineRule="exact"/>
        <w:rPr>
          <w:rFonts w:ascii="Arial" w:hAnsi="Arial" w:cs="Arial"/>
          <w:b/>
          <w:bCs/>
          <w:sz w:val="20"/>
        </w:rPr>
      </w:pPr>
      <w:r w:rsidRPr="002B0095">
        <w:rPr>
          <w:rFonts w:ascii="Arial" w:hAnsi="Arial" w:cs="Arial"/>
          <w:b/>
          <w:bCs/>
          <w:sz w:val="20"/>
        </w:rPr>
        <w:t>Author’s Note</w:t>
      </w:r>
    </w:p>
    <w:p w14:paraId="1B1AFA3F" w14:textId="748BBBF6" w:rsidR="002B0095" w:rsidRDefault="002B0095" w:rsidP="002B0095">
      <w:pPr>
        <w:shd w:val="clear" w:color="auto" w:fill="C1C1C1" w:themeFill="background1" w:themeFillTint="66"/>
        <w:spacing w:line="280" w:lineRule="exact"/>
        <w:rPr>
          <w:rFonts w:ascii="Arial" w:hAnsi="Arial" w:cs="Arial"/>
          <w:sz w:val="20"/>
        </w:rPr>
      </w:pPr>
    </w:p>
    <w:p w14:paraId="2291EE9B" w14:textId="33150E71" w:rsidR="002B0095" w:rsidRDefault="002B0095" w:rsidP="002B0095">
      <w:pPr>
        <w:shd w:val="clear" w:color="auto" w:fill="C1C1C1" w:themeFill="background1" w:themeFillTint="66"/>
        <w:spacing w:line="280" w:lineRule="exact"/>
        <w:rPr>
          <w:rFonts w:ascii="Arial" w:hAnsi="Arial" w:cs="Arial"/>
          <w:sz w:val="20"/>
        </w:rPr>
      </w:pPr>
      <w:r w:rsidRPr="002B0095">
        <w:rPr>
          <w:rFonts w:ascii="Arial" w:hAnsi="Arial" w:cs="Arial"/>
          <w:sz w:val="20"/>
        </w:rPr>
        <w:t>General Circular No, 04/2015 dt. 10 March 2015 clarifies with regards the applicability status of Sec 186 of the Companies Act 2013. The loans and advances to employees, other than the managing or whole-time directors (which is governed by section 185) are not governed by the requirements of Section 186 of the said Act. This clarification will, however, be applicable if such loans/ advances to employees are in accordance with the conditions of service applicable to employees and are also in accordance with the remuneration policy, in cases where such policy is required to be formulated. Accordingly, loans which are not governed by Sec 186 need not be disclosed above.</w:t>
      </w:r>
    </w:p>
    <w:p w14:paraId="3985F020" w14:textId="6259BBE9" w:rsidR="002B0095" w:rsidRDefault="002B0095" w:rsidP="002B0095">
      <w:pPr>
        <w:shd w:val="clear" w:color="auto" w:fill="C1C1C1" w:themeFill="background1" w:themeFillTint="66"/>
        <w:spacing w:line="280" w:lineRule="exact"/>
        <w:rPr>
          <w:rFonts w:ascii="Arial" w:hAnsi="Arial" w:cs="Arial"/>
          <w:sz w:val="20"/>
        </w:rPr>
      </w:pPr>
    </w:p>
    <w:p w14:paraId="22DE546B" w14:textId="49D7D9B8" w:rsidR="002B0095" w:rsidRDefault="002B0095" w:rsidP="002B0095">
      <w:pPr>
        <w:shd w:val="clear" w:color="auto" w:fill="C1C1C1" w:themeFill="background1" w:themeFillTint="66"/>
        <w:spacing w:line="280" w:lineRule="exact"/>
        <w:rPr>
          <w:rFonts w:ascii="Arial" w:hAnsi="Arial" w:cs="Arial"/>
          <w:sz w:val="20"/>
        </w:rPr>
      </w:pPr>
      <w:r w:rsidRPr="002B0095">
        <w:rPr>
          <w:rFonts w:ascii="Arial" w:hAnsi="Arial" w:cs="Arial"/>
          <w:sz w:val="20"/>
        </w:rPr>
        <w:t xml:space="preserve">Sec 185 of the Companies Act 2013 requires that “no company shall, directly or indirectly, advance any loan, including any loan represented by a book debt, to any of its directors or to any other person in whom </w:t>
      </w:r>
      <w:r w:rsidRPr="002B0095">
        <w:rPr>
          <w:rFonts w:ascii="Arial" w:hAnsi="Arial" w:cs="Arial"/>
          <w:sz w:val="20"/>
        </w:rPr>
        <w:lastRenderedPageBreak/>
        <w:t>the director is interested or give any guarantee or provide any security in connection with any loan taken by him or such other person”. However, the rules allow that a company may give loans to wholly owned subsidiaries. The companies are required to complying with Sec. 185 of the Companies Act, 2013 separately.</w:t>
      </w:r>
    </w:p>
    <w:p w14:paraId="78C84B6C" w14:textId="77777777" w:rsidR="002B0095" w:rsidRPr="002B0095" w:rsidRDefault="002B0095" w:rsidP="002B0095">
      <w:pPr>
        <w:shd w:val="clear" w:color="auto" w:fill="C1C1C1" w:themeFill="background1" w:themeFillTint="66"/>
        <w:spacing w:line="280" w:lineRule="exact"/>
        <w:rPr>
          <w:rFonts w:ascii="Arial" w:hAnsi="Arial" w:cs="Arial"/>
          <w:sz w:val="20"/>
        </w:rPr>
      </w:pPr>
    </w:p>
    <w:p w14:paraId="465960A4" w14:textId="3702576F" w:rsidR="002B0095" w:rsidRDefault="002B0095" w:rsidP="002B0095">
      <w:pPr>
        <w:shd w:val="clear" w:color="auto" w:fill="C1C1C1" w:themeFill="background1" w:themeFillTint="66"/>
        <w:spacing w:line="280" w:lineRule="exact"/>
        <w:rPr>
          <w:rFonts w:ascii="Arial" w:hAnsi="Arial" w:cs="Arial"/>
          <w:sz w:val="20"/>
        </w:rPr>
      </w:pPr>
      <w:r w:rsidRPr="002B0095">
        <w:rPr>
          <w:rFonts w:ascii="Arial" w:hAnsi="Arial" w:cs="Arial"/>
          <w:sz w:val="20"/>
        </w:rPr>
        <w:t>In most of the cases, the disclosure requirement under regulation 53(f) read together with Para A of Schedule V will not be applicable, since the company cannot enter into such transactions as required to be disclosed under Para A of Schedule V of the listing regulations.</w:t>
      </w:r>
    </w:p>
    <w:p w14:paraId="6FE1180F" w14:textId="77777777" w:rsidR="002B0095" w:rsidRPr="002B0095" w:rsidRDefault="002B0095" w:rsidP="002B0095">
      <w:pPr>
        <w:shd w:val="clear" w:color="auto" w:fill="C1C1C1" w:themeFill="background1" w:themeFillTint="66"/>
        <w:spacing w:line="280" w:lineRule="exact"/>
        <w:rPr>
          <w:rFonts w:ascii="Arial" w:hAnsi="Arial" w:cs="Arial"/>
          <w:sz w:val="20"/>
        </w:rPr>
      </w:pPr>
    </w:p>
    <w:p w14:paraId="278AD401" w14:textId="5E5D0EA1" w:rsidR="002B0095" w:rsidRDefault="002B0095" w:rsidP="002B0095">
      <w:pPr>
        <w:shd w:val="clear" w:color="auto" w:fill="C1C1C1" w:themeFill="background1" w:themeFillTint="66"/>
        <w:spacing w:line="280" w:lineRule="exact"/>
        <w:rPr>
          <w:rFonts w:ascii="Arial" w:hAnsi="Arial" w:cs="Arial"/>
          <w:sz w:val="20"/>
        </w:rPr>
      </w:pPr>
      <w:r w:rsidRPr="002B0095">
        <w:rPr>
          <w:rFonts w:ascii="Arial" w:hAnsi="Arial" w:cs="Arial"/>
          <w:sz w:val="20"/>
        </w:rPr>
        <w:t>The clause 32 of the old listing agreement required the disclosure to be given in the annual account, however, the new listing regulations requires the equivalent disclosure to be given under regulation 53(f) read together with Para A of Schedule V in the annual report. Accordingly, the disclosure can be part of the financial statements or annual report. The company has opted to disclose it in the financial statements</w:t>
      </w:r>
    </w:p>
    <w:p w14:paraId="33070CBB" w14:textId="30803E65" w:rsidR="002B0095" w:rsidRDefault="002B0095" w:rsidP="002B0095">
      <w:pPr>
        <w:shd w:val="clear" w:color="auto" w:fill="C1C1C1" w:themeFill="background1" w:themeFillTint="66"/>
        <w:spacing w:line="280" w:lineRule="exact"/>
        <w:rPr>
          <w:rFonts w:ascii="Arial" w:hAnsi="Arial" w:cs="Arial"/>
          <w:sz w:val="20"/>
        </w:rPr>
      </w:pPr>
    </w:p>
    <w:p w14:paraId="214CB5B1" w14:textId="16E30199" w:rsidR="002B0095" w:rsidRPr="001F3D86" w:rsidRDefault="002B0095" w:rsidP="002B0095">
      <w:pPr>
        <w:shd w:val="clear" w:color="auto" w:fill="C1C1C1" w:themeFill="background1" w:themeFillTint="66"/>
        <w:spacing w:line="280" w:lineRule="exact"/>
        <w:rPr>
          <w:rFonts w:ascii="Arial" w:hAnsi="Arial" w:cs="Arial"/>
          <w:sz w:val="20"/>
        </w:rPr>
      </w:pPr>
      <w:r w:rsidRPr="002B0095">
        <w:rPr>
          <w:rFonts w:ascii="Arial" w:hAnsi="Arial" w:cs="Arial"/>
          <w:sz w:val="20"/>
        </w:rPr>
        <w:t xml:space="preserve">Further, Schedule V of Securities and Exchange Board of India (Listing Obligations and Disclosure Requirements) Regulations, 2015 requires the holding company to provide disclosures of amounts at the year end and the maximum </w:t>
      </w:r>
      <w:proofErr w:type="gramStart"/>
      <w:r w:rsidRPr="002B0095">
        <w:rPr>
          <w:rFonts w:ascii="Arial" w:hAnsi="Arial" w:cs="Arial"/>
          <w:sz w:val="20"/>
        </w:rPr>
        <w:t>amount</w:t>
      </w:r>
      <w:proofErr w:type="gramEnd"/>
      <w:r w:rsidRPr="002B0095">
        <w:rPr>
          <w:rFonts w:ascii="Arial" w:hAnsi="Arial" w:cs="Arial"/>
          <w:sz w:val="20"/>
        </w:rPr>
        <w:t xml:space="preserve"> of loans/ advances/ Investments outstanding during the year to subsidiaries, associates and to firms/companies in which directors are interested by name and amount.  It also requires the disclosures of amounts at the year end and the maximum </w:t>
      </w:r>
      <w:proofErr w:type="gramStart"/>
      <w:r w:rsidRPr="002B0095">
        <w:rPr>
          <w:rFonts w:ascii="Arial" w:hAnsi="Arial" w:cs="Arial"/>
          <w:sz w:val="20"/>
        </w:rPr>
        <w:t>amount</w:t>
      </w:r>
      <w:proofErr w:type="gramEnd"/>
      <w:r w:rsidRPr="002B0095">
        <w:rPr>
          <w:rFonts w:ascii="Arial" w:hAnsi="Arial" w:cs="Arial"/>
          <w:sz w:val="20"/>
        </w:rPr>
        <w:t xml:space="preserve"> of investments by the loanee in the shares of parent company and subsidiary company, when the company has made a loan or advance in the nature of loan.</w:t>
      </w:r>
    </w:p>
    <w:p w14:paraId="014747C1" w14:textId="77777777" w:rsidR="00A533CE" w:rsidRDefault="00A533CE" w:rsidP="00C6336E">
      <w:pPr>
        <w:rPr>
          <w:rFonts w:ascii="Arial" w:hAnsi="Arial"/>
        </w:rPr>
      </w:pPr>
    </w:p>
    <w:p w14:paraId="3EB4263F" w14:textId="77777777" w:rsidR="00A533CE" w:rsidRPr="00E70587" w:rsidRDefault="00A533CE" w:rsidP="00C6336E">
      <w:pPr>
        <w:rPr>
          <w:rFonts w:ascii="Arial" w:hAnsi="Arial"/>
        </w:rPr>
      </w:pPr>
    </w:p>
    <w:p w14:paraId="7419EC5C" w14:textId="77777777" w:rsidR="00333A4B" w:rsidRPr="00E70587" w:rsidRDefault="00333A4B" w:rsidP="00333A4B">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Inventories</w:t>
      </w:r>
    </w:p>
    <w:p w14:paraId="218D7DE9" w14:textId="77777777" w:rsidR="00333A4B" w:rsidRPr="00E70587" w:rsidRDefault="00333A4B" w:rsidP="00333A4B">
      <w:pPr>
        <w:spacing w:line="280" w:lineRule="exact"/>
        <w:rPr>
          <w:rFonts w:ascii="Arial" w:hAnsi="Arial" w:cs="Arial"/>
          <w:sz w:val="20"/>
        </w:rPr>
      </w:pPr>
    </w:p>
    <w:tbl>
      <w:tblPr>
        <w:tblW w:w="9498" w:type="dxa"/>
        <w:tblLayout w:type="fixed"/>
        <w:tblLook w:val="01E0" w:firstRow="1" w:lastRow="1" w:firstColumn="1" w:lastColumn="1" w:noHBand="0" w:noVBand="0"/>
      </w:tblPr>
      <w:tblGrid>
        <w:gridCol w:w="6096"/>
        <w:gridCol w:w="1701"/>
        <w:gridCol w:w="1701"/>
      </w:tblGrid>
      <w:tr w:rsidR="00567156" w:rsidRPr="00E70587" w14:paraId="4EEB1F51" w14:textId="77777777" w:rsidTr="000A2ED4">
        <w:tc>
          <w:tcPr>
            <w:tcW w:w="6096" w:type="dxa"/>
            <w:tcMar>
              <w:top w:w="28" w:type="dxa"/>
            </w:tcMar>
          </w:tcPr>
          <w:p w14:paraId="4C240A1E" w14:textId="77777777" w:rsidR="00567156" w:rsidRPr="00E70587" w:rsidRDefault="00567156"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701" w:type="dxa"/>
            <w:tcBorders>
              <w:bottom w:val="single" w:sz="4" w:space="0" w:color="auto"/>
            </w:tcBorders>
            <w:tcMar>
              <w:top w:w="28" w:type="dxa"/>
            </w:tcMar>
            <w:vAlign w:val="bottom"/>
          </w:tcPr>
          <w:p w14:paraId="1DA4FCC3" w14:textId="23008E0A" w:rsidR="00567156" w:rsidRPr="00E70587" w:rsidRDefault="00567156" w:rsidP="00543062">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31 March </w:t>
            </w:r>
            <w:r w:rsidR="00383E27" w:rsidRPr="00E70587">
              <w:rPr>
                <w:rFonts w:ascii="Arial" w:hAnsi="Arial"/>
                <w:color w:val="auto"/>
                <w:sz w:val="20"/>
                <w:szCs w:val="20"/>
                <w:lang w:val="en-IN"/>
              </w:rPr>
              <w:t>20</w:t>
            </w:r>
            <w:r w:rsidR="00383E27">
              <w:rPr>
                <w:rFonts w:ascii="Arial" w:hAnsi="Arial"/>
                <w:color w:val="auto"/>
                <w:sz w:val="20"/>
                <w:szCs w:val="20"/>
                <w:lang w:val="en-IN"/>
              </w:rPr>
              <w:t>21</w:t>
            </w:r>
          </w:p>
        </w:tc>
        <w:tc>
          <w:tcPr>
            <w:tcW w:w="1701" w:type="dxa"/>
            <w:tcBorders>
              <w:bottom w:val="single" w:sz="4" w:space="0" w:color="auto"/>
            </w:tcBorders>
            <w:tcMar>
              <w:top w:w="28" w:type="dxa"/>
            </w:tcMar>
            <w:vAlign w:val="bottom"/>
          </w:tcPr>
          <w:p w14:paraId="5D8192D7" w14:textId="6755E102" w:rsidR="00567156" w:rsidRPr="00E70587" w:rsidRDefault="00567156" w:rsidP="00543062">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31 March </w:t>
            </w:r>
            <w:r w:rsidR="00383E27" w:rsidRPr="00E70587">
              <w:rPr>
                <w:rFonts w:ascii="Arial" w:hAnsi="Arial"/>
                <w:color w:val="auto"/>
                <w:sz w:val="20"/>
                <w:szCs w:val="20"/>
                <w:lang w:val="en-IN"/>
              </w:rPr>
              <w:t>20</w:t>
            </w:r>
            <w:r w:rsidR="00383E27">
              <w:rPr>
                <w:rFonts w:ascii="Arial" w:hAnsi="Arial"/>
                <w:color w:val="auto"/>
                <w:sz w:val="20"/>
                <w:szCs w:val="20"/>
                <w:lang w:val="en-IN"/>
              </w:rPr>
              <w:t>20</w:t>
            </w:r>
          </w:p>
        </w:tc>
      </w:tr>
      <w:tr w:rsidR="00567156" w:rsidRPr="00E70587" w14:paraId="780A58DF" w14:textId="77777777" w:rsidTr="000A2ED4">
        <w:tc>
          <w:tcPr>
            <w:tcW w:w="6096" w:type="dxa"/>
            <w:tcMar>
              <w:top w:w="28" w:type="dxa"/>
            </w:tcMar>
          </w:tcPr>
          <w:p w14:paraId="2D1D3EC5" w14:textId="77777777" w:rsidR="00567156" w:rsidRPr="00E70587" w:rsidRDefault="00567156"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701" w:type="dxa"/>
            <w:tcMar>
              <w:top w:w="28" w:type="dxa"/>
            </w:tcMar>
          </w:tcPr>
          <w:p w14:paraId="55FDC4F6" w14:textId="77777777" w:rsidR="00567156" w:rsidRPr="00E70587" w:rsidRDefault="00567156" w:rsidP="00543062">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INR Lacs</w:t>
            </w:r>
          </w:p>
        </w:tc>
        <w:tc>
          <w:tcPr>
            <w:tcW w:w="1701" w:type="dxa"/>
            <w:tcMar>
              <w:top w:w="28" w:type="dxa"/>
            </w:tcMar>
          </w:tcPr>
          <w:p w14:paraId="0379F075" w14:textId="77777777" w:rsidR="00567156" w:rsidRPr="00E70587" w:rsidRDefault="00567156" w:rsidP="00543062">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INR Lacs</w:t>
            </w:r>
          </w:p>
        </w:tc>
      </w:tr>
      <w:tr w:rsidR="00567156" w:rsidRPr="00E70587" w14:paraId="2B38566A" w14:textId="77777777" w:rsidTr="000A2ED4">
        <w:tc>
          <w:tcPr>
            <w:tcW w:w="6096" w:type="dxa"/>
            <w:tcMar>
              <w:top w:w="28" w:type="dxa"/>
              <w:left w:w="108" w:type="dxa"/>
              <w:right w:w="108" w:type="dxa"/>
            </w:tcMar>
          </w:tcPr>
          <w:p w14:paraId="40004ED5" w14:textId="64A5FF96" w:rsidR="00567156" w:rsidRPr="00E70587" w:rsidRDefault="00567156" w:rsidP="00FC7C5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Raw materials (at cost) </w:t>
            </w:r>
            <w:r w:rsidRPr="00FC7C51">
              <w:rPr>
                <w:rFonts w:ascii="Arial" w:hAnsi="Arial" w:cs="Arial"/>
                <w:sz w:val="20"/>
                <w:lang w:val="en-IN"/>
              </w:rPr>
              <w:t xml:space="preserve">(INR1,50,874 (31 March </w:t>
            </w:r>
            <w:r w:rsidR="00383E27" w:rsidRPr="00FC7C51">
              <w:rPr>
                <w:rFonts w:ascii="Arial" w:hAnsi="Arial" w:cs="Arial"/>
                <w:sz w:val="20"/>
                <w:lang w:val="en-IN"/>
              </w:rPr>
              <w:t>20</w:t>
            </w:r>
            <w:r w:rsidR="00383E27">
              <w:rPr>
                <w:rFonts w:ascii="Arial" w:hAnsi="Arial" w:cs="Arial"/>
                <w:sz w:val="20"/>
                <w:lang w:val="en-IN"/>
              </w:rPr>
              <w:t>20</w:t>
            </w:r>
            <w:r w:rsidRPr="00FC7C51">
              <w:rPr>
                <w:rFonts w:ascii="Arial" w:hAnsi="Arial" w:cs="Arial"/>
                <w:sz w:val="20"/>
                <w:lang w:val="en-IN"/>
              </w:rPr>
              <w:t>: 2,35,423</w:t>
            </w:r>
            <w:r w:rsidR="00FC7C51" w:rsidRPr="00FC7C51">
              <w:rPr>
                <w:rFonts w:ascii="Arial" w:hAnsi="Arial" w:cs="Arial"/>
                <w:sz w:val="20"/>
                <w:lang w:val="en-IN"/>
              </w:rPr>
              <w:t>)</w:t>
            </w:r>
            <w:r w:rsidRPr="00FC7C51">
              <w:rPr>
                <w:rFonts w:ascii="Arial" w:hAnsi="Arial" w:cs="Arial"/>
                <w:sz w:val="20"/>
                <w:lang w:val="en-IN"/>
              </w:rPr>
              <w:t xml:space="preserve"> in transit)</w:t>
            </w:r>
          </w:p>
        </w:tc>
        <w:tc>
          <w:tcPr>
            <w:tcW w:w="1701" w:type="dxa"/>
            <w:tcMar>
              <w:top w:w="28" w:type="dxa"/>
              <w:left w:w="108" w:type="dxa"/>
              <w:right w:w="108" w:type="dxa"/>
            </w:tcMar>
            <w:vAlign w:val="center"/>
          </w:tcPr>
          <w:p w14:paraId="66DD29E7" w14:textId="77777777" w:rsidR="00567156" w:rsidRPr="00E70587" w:rsidRDefault="00567156"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9,432</w:t>
            </w:r>
          </w:p>
        </w:tc>
        <w:tc>
          <w:tcPr>
            <w:tcW w:w="1701" w:type="dxa"/>
            <w:tcMar>
              <w:top w:w="28" w:type="dxa"/>
              <w:left w:w="108" w:type="dxa"/>
              <w:right w:w="108" w:type="dxa"/>
            </w:tcMar>
            <w:vAlign w:val="center"/>
          </w:tcPr>
          <w:p w14:paraId="4D9D6BAB" w14:textId="4F4B12FB" w:rsidR="00567156" w:rsidRPr="00E70587" w:rsidRDefault="00567156" w:rsidP="000A2ED4">
            <w:pPr>
              <w:overflowPunct/>
              <w:spacing w:line="280" w:lineRule="exact"/>
              <w:ind w:left="103" w:hanging="103"/>
              <w:jc w:val="right"/>
              <w:textAlignment w:val="auto"/>
              <w:rPr>
                <w:rFonts w:ascii="Arial" w:hAnsi="Arial" w:cs="Arial"/>
                <w:sz w:val="20"/>
                <w:lang w:eastAsia="en-GB"/>
              </w:rPr>
            </w:pPr>
            <w:r w:rsidRPr="00E70587">
              <w:rPr>
                <w:rFonts w:ascii="Arial" w:hAnsi="Arial" w:cs="Arial"/>
                <w:sz w:val="20"/>
                <w:lang w:eastAsia="en-GB"/>
              </w:rPr>
              <w:t>12,</w:t>
            </w:r>
            <w:r w:rsidR="00383E27">
              <w:rPr>
                <w:rFonts w:ascii="Arial" w:hAnsi="Arial" w:cs="Arial"/>
                <w:sz w:val="20"/>
                <w:lang w:eastAsia="en-GB"/>
              </w:rPr>
              <w:t>845</w:t>
            </w:r>
          </w:p>
        </w:tc>
      </w:tr>
      <w:tr w:rsidR="00567156" w:rsidRPr="00E70587" w14:paraId="5D834EFD" w14:textId="77777777" w:rsidTr="000A2ED4">
        <w:tc>
          <w:tcPr>
            <w:tcW w:w="6096" w:type="dxa"/>
            <w:tcMar>
              <w:top w:w="28" w:type="dxa"/>
              <w:left w:w="108" w:type="dxa"/>
              <w:right w:w="108" w:type="dxa"/>
            </w:tcMar>
          </w:tcPr>
          <w:p w14:paraId="2B57EB70" w14:textId="77777777" w:rsidR="00567156" w:rsidRPr="00E70587" w:rsidRDefault="00567156"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Work in progress (at cost)</w:t>
            </w:r>
          </w:p>
        </w:tc>
        <w:tc>
          <w:tcPr>
            <w:tcW w:w="1701" w:type="dxa"/>
            <w:tcMar>
              <w:top w:w="28" w:type="dxa"/>
              <w:left w:w="108" w:type="dxa"/>
              <w:right w:w="108" w:type="dxa"/>
            </w:tcMar>
            <w:vAlign w:val="center"/>
          </w:tcPr>
          <w:p w14:paraId="66EFF3BD" w14:textId="15342145" w:rsidR="00567156" w:rsidRPr="00E70587" w:rsidRDefault="00383E27"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w:t>
            </w:r>
            <w:r>
              <w:rPr>
                <w:rFonts w:ascii="Arial" w:hAnsi="Arial" w:cs="Arial"/>
                <w:sz w:val="20"/>
                <w:lang w:eastAsia="en-GB"/>
              </w:rPr>
              <w:t>2</w:t>
            </w:r>
            <w:r w:rsidR="00567156" w:rsidRPr="00E70587">
              <w:rPr>
                <w:rFonts w:ascii="Arial" w:hAnsi="Arial" w:cs="Arial"/>
                <w:sz w:val="20"/>
                <w:lang w:eastAsia="en-GB"/>
              </w:rPr>
              <w:t>,</w:t>
            </w:r>
            <w:r>
              <w:rPr>
                <w:rFonts w:ascii="Arial" w:hAnsi="Arial" w:cs="Arial"/>
                <w:sz w:val="20"/>
                <w:lang w:eastAsia="en-GB"/>
              </w:rPr>
              <w:t>243</w:t>
            </w:r>
          </w:p>
        </w:tc>
        <w:tc>
          <w:tcPr>
            <w:tcW w:w="1701" w:type="dxa"/>
            <w:tcMar>
              <w:top w:w="28" w:type="dxa"/>
              <w:left w:w="108" w:type="dxa"/>
              <w:right w:w="108" w:type="dxa"/>
            </w:tcMar>
            <w:vAlign w:val="center"/>
          </w:tcPr>
          <w:p w14:paraId="1E668183" w14:textId="2101DD41" w:rsidR="00567156" w:rsidRPr="00E70587" w:rsidRDefault="00383E27" w:rsidP="00543062">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w:t>
            </w:r>
            <w:r>
              <w:rPr>
                <w:rFonts w:ascii="Arial" w:hAnsi="Arial" w:cs="Arial"/>
                <w:sz w:val="20"/>
                <w:lang w:eastAsia="en-GB"/>
              </w:rPr>
              <w:t>7</w:t>
            </w:r>
            <w:r w:rsidR="00567156" w:rsidRPr="00E70587">
              <w:rPr>
                <w:rFonts w:ascii="Arial" w:hAnsi="Arial" w:cs="Arial"/>
                <w:sz w:val="20"/>
                <w:lang w:eastAsia="en-GB"/>
              </w:rPr>
              <w:t>,</w:t>
            </w:r>
            <w:r>
              <w:rPr>
                <w:rFonts w:ascii="Arial" w:hAnsi="Arial" w:cs="Arial"/>
                <w:sz w:val="20"/>
                <w:lang w:eastAsia="en-GB"/>
              </w:rPr>
              <w:t>49</w:t>
            </w:r>
            <w:r w:rsidRPr="00E70587">
              <w:rPr>
                <w:rFonts w:ascii="Arial" w:hAnsi="Arial" w:cs="Arial"/>
                <w:sz w:val="20"/>
                <w:lang w:eastAsia="en-GB"/>
              </w:rPr>
              <w:t>9</w:t>
            </w:r>
          </w:p>
        </w:tc>
      </w:tr>
      <w:tr w:rsidR="00567156" w:rsidRPr="00E70587" w14:paraId="22B9C203" w14:textId="77777777" w:rsidTr="000A2ED4">
        <w:tc>
          <w:tcPr>
            <w:tcW w:w="6096" w:type="dxa"/>
            <w:tcMar>
              <w:top w:w="28" w:type="dxa"/>
              <w:left w:w="108" w:type="dxa"/>
              <w:right w:w="108" w:type="dxa"/>
            </w:tcMar>
          </w:tcPr>
          <w:p w14:paraId="117A15EE" w14:textId="77777777" w:rsidR="00567156" w:rsidRPr="00E70587" w:rsidRDefault="00567156" w:rsidP="00D36934">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Finished goods (at lower of cost and net realisable value)</w:t>
            </w:r>
          </w:p>
        </w:tc>
        <w:tc>
          <w:tcPr>
            <w:tcW w:w="1701" w:type="dxa"/>
            <w:tcBorders>
              <w:bottom w:val="single" w:sz="4" w:space="0" w:color="auto"/>
            </w:tcBorders>
            <w:tcMar>
              <w:top w:w="28" w:type="dxa"/>
              <w:left w:w="108" w:type="dxa"/>
              <w:right w:w="108" w:type="dxa"/>
            </w:tcMar>
            <w:vAlign w:val="center"/>
          </w:tcPr>
          <w:p w14:paraId="13A81305" w14:textId="77777777" w:rsidR="00567156" w:rsidRPr="00E70587" w:rsidRDefault="00567156" w:rsidP="00D36934">
            <w:pPr>
              <w:overflowPunct/>
              <w:spacing w:line="280" w:lineRule="exact"/>
              <w:jc w:val="right"/>
              <w:textAlignment w:val="auto"/>
              <w:rPr>
                <w:rFonts w:ascii="Arial" w:hAnsi="Arial" w:cs="Arial"/>
                <w:sz w:val="20"/>
                <w:lang w:eastAsia="en-GB"/>
              </w:rPr>
            </w:pPr>
            <w:r w:rsidRPr="00E70587">
              <w:rPr>
                <w:rFonts w:ascii="Arial" w:hAnsi="Arial"/>
                <w:color w:val="000000"/>
                <w:sz w:val="20"/>
              </w:rPr>
              <w:t xml:space="preserve">6,822 </w:t>
            </w:r>
          </w:p>
        </w:tc>
        <w:tc>
          <w:tcPr>
            <w:tcW w:w="1701" w:type="dxa"/>
            <w:tcBorders>
              <w:bottom w:val="single" w:sz="4" w:space="0" w:color="auto"/>
            </w:tcBorders>
            <w:tcMar>
              <w:top w:w="28" w:type="dxa"/>
              <w:left w:w="108" w:type="dxa"/>
              <w:right w:w="108" w:type="dxa"/>
            </w:tcMar>
            <w:vAlign w:val="center"/>
          </w:tcPr>
          <w:p w14:paraId="31EE6C34" w14:textId="77777777" w:rsidR="00567156" w:rsidRPr="00E70587" w:rsidRDefault="00567156" w:rsidP="00D36934">
            <w:pPr>
              <w:overflowPunct/>
              <w:spacing w:line="280" w:lineRule="exact"/>
              <w:jc w:val="right"/>
              <w:textAlignment w:val="auto"/>
              <w:rPr>
                <w:rFonts w:ascii="Arial" w:hAnsi="Arial" w:cs="Arial"/>
                <w:sz w:val="20"/>
                <w:lang w:eastAsia="en-GB"/>
              </w:rPr>
            </w:pPr>
            <w:r w:rsidRPr="00E70587">
              <w:rPr>
                <w:rFonts w:ascii="Arial" w:hAnsi="Arial"/>
                <w:color w:val="000000"/>
                <w:sz w:val="20"/>
              </w:rPr>
              <w:t xml:space="preserve">9,490 </w:t>
            </w:r>
          </w:p>
        </w:tc>
      </w:tr>
      <w:tr w:rsidR="00567156" w:rsidRPr="00E70587" w14:paraId="22C71714" w14:textId="77777777" w:rsidTr="000A2ED4">
        <w:tc>
          <w:tcPr>
            <w:tcW w:w="6096" w:type="dxa"/>
            <w:tcMar>
              <w:top w:w="28" w:type="dxa"/>
            </w:tcMar>
          </w:tcPr>
          <w:p w14:paraId="4B54ACA1" w14:textId="77777777" w:rsidR="00567156" w:rsidRPr="00E70587" w:rsidRDefault="00567156" w:rsidP="00D36934">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inventories at the lower of cost and net realisable value</w:t>
            </w:r>
          </w:p>
        </w:tc>
        <w:tc>
          <w:tcPr>
            <w:tcW w:w="1701" w:type="dxa"/>
            <w:tcBorders>
              <w:top w:val="single" w:sz="4" w:space="0" w:color="auto"/>
              <w:bottom w:val="double" w:sz="4" w:space="0" w:color="auto"/>
            </w:tcBorders>
            <w:tcMar>
              <w:top w:w="28" w:type="dxa"/>
            </w:tcMar>
            <w:vAlign w:val="center"/>
          </w:tcPr>
          <w:p w14:paraId="0A6F7788" w14:textId="772C388A" w:rsidR="00567156" w:rsidRPr="00E70587" w:rsidRDefault="008E6D83" w:rsidP="00D36934">
            <w:pPr>
              <w:overflowPunct/>
              <w:spacing w:line="280" w:lineRule="exact"/>
              <w:jc w:val="right"/>
              <w:textAlignment w:val="auto"/>
              <w:rPr>
                <w:rFonts w:ascii="Arial" w:hAnsi="Arial" w:cs="Arial"/>
                <w:b/>
                <w:bCs/>
                <w:sz w:val="20"/>
                <w:lang w:eastAsia="en-GB"/>
              </w:rPr>
            </w:pPr>
            <w:r>
              <w:rPr>
                <w:rFonts w:ascii="Arial" w:hAnsi="Arial"/>
                <w:b/>
                <w:bCs/>
                <w:color w:val="000000"/>
                <w:sz w:val="20"/>
              </w:rPr>
              <w:t>38</w:t>
            </w:r>
            <w:r w:rsidR="00567156" w:rsidRPr="00E70587">
              <w:rPr>
                <w:rFonts w:ascii="Arial" w:hAnsi="Arial"/>
                <w:b/>
                <w:bCs/>
                <w:color w:val="000000"/>
                <w:sz w:val="20"/>
              </w:rPr>
              <w:t>,</w:t>
            </w:r>
            <w:r>
              <w:rPr>
                <w:rFonts w:ascii="Arial" w:hAnsi="Arial"/>
                <w:b/>
                <w:bCs/>
                <w:color w:val="000000"/>
                <w:sz w:val="20"/>
              </w:rPr>
              <w:t>497</w:t>
            </w:r>
          </w:p>
        </w:tc>
        <w:tc>
          <w:tcPr>
            <w:tcW w:w="1701" w:type="dxa"/>
            <w:tcBorders>
              <w:top w:val="single" w:sz="4" w:space="0" w:color="auto"/>
              <w:bottom w:val="double" w:sz="4" w:space="0" w:color="auto"/>
            </w:tcBorders>
            <w:tcMar>
              <w:top w:w="28" w:type="dxa"/>
            </w:tcMar>
            <w:vAlign w:val="center"/>
          </w:tcPr>
          <w:p w14:paraId="7149441E" w14:textId="7254445A" w:rsidR="00567156" w:rsidRPr="00E70587" w:rsidRDefault="008E6D83" w:rsidP="00D36934">
            <w:pPr>
              <w:overflowPunct/>
              <w:spacing w:line="280" w:lineRule="exact"/>
              <w:jc w:val="right"/>
              <w:textAlignment w:val="auto"/>
              <w:rPr>
                <w:rFonts w:ascii="Arial" w:hAnsi="Arial" w:cs="Arial"/>
                <w:b/>
                <w:bCs/>
                <w:sz w:val="20"/>
                <w:lang w:eastAsia="en-GB"/>
              </w:rPr>
            </w:pPr>
            <w:r>
              <w:rPr>
                <w:rFonts w:ascii="Arial" w:hAnsi="Arial"/>
                <w:b/>
                <w:bCs/>
                <w:color w:val="000000"/>
                <w:sz w:val="20"/>
              </w:rPr>
              <w:t>39</w:t>
            </w:r>
            <w:r w:rsidR="00567156" w:rsidRPr="00E70587">
              <w:rPr>
                <w:rFonts w:ascii="Arial" w:hAnsi="Arial"/>
                <w:b/>
                <w:bCs/>
                <w:color w:val="000000"/>
                <w:sz w:val="20"/>
              </w:rPr>
              <w:t>,</w:t>
            </w:r>
            <w:r>
              <w:rPr>
                <w:rFonts w:ascii="Arial" w:hAnsi="Arial"/>
                <w:b/>
                <w:bCs/>
                <w:color w:val="000000"/>
                <w:sz w:val="20"/>
              </w:rPr>
              <w:t>834</w:t>
            </w:r>
          </w:p>
        </w:tc>
      </w:tr>
    </w:tbl>
    <w:p w14:paraId="4ACD2E8F" w14:textId="77777777" w:rsidR="00333A4B" w:rsidRPr="00E70587" w:rsidRDefault="00333A4B" w:rsidP="00333A4B">
      <w:pPr>
        <w:spacing w:line="280" w:lineRule="exact"/>
        <w:rPr>
          <w:rFonts w:ascii="Arial" w:hAnsi="Arial" w:cs="Arial"/>
          <w:sz w:val="20"/>
        </w:rPr>
      </w:pPr>
    </w:p>
    <w:tbl>
      <w:tblPr>
        <w:tblW w:w="9576" w:type="dxa"/>
        <w:tblLook w:val="0000" w:firstRow="0" w:lastRow="0" w:firstColumn="0" w:lastColumn="0" w:noHBand="0" w:noVBand="0"/>
      </w:tblPr>
      <w:tblGrid>
        <w:gridCol w:w="9576"/>
      </w:tblGrid>
      <w:tr w:rsidR="00333A4B" w:rsidRPr="00E70587" w14:paraId="1734C92B" w14:textId="77777777" w:rsidTr="00543062">
        <w:tc>
          <w:tcPr>
            <w:tcW w:w="0" w:type="auto"/>
          </w:tcPr>
          <w:p w14:paraId="3C800B0D" w14:textId="17ED00CE" w:rsidR="00333A4B" w:rsidRPr="00E70587" w:rsidRDefault="00333A4B" w:rsidP="00543062">
            <w:pPr>
              <w:pStyle w:val="IAStext"/>
              <w:overflowPunct w:val="0"/>
              <w:autoSpaceDE w:val="0"/>
              <w:autoSpaceDN w:val="0"/>
              <w:adjustRightInd w:val="0"/>
              <w:spacing w:line="280" w:lineRule="exact"/>
              <w:ind w:left="19"/>
              <w:jc w:val="both"/>
              <w:textAlignment w:val="baseline"/>
              <w:rPr>
                <w:rFonts w:ascii="Arial" w:hAnsi="Arial" w:cs="Arial"/>
                <w:sz w:val="20"/>
                <w:lang w:val="en-IN"/>
              </w:rPr>
            </w:pPr>
            <w:r w:rsidRPr="00E70587">
              <w:rPr>
                <w:rFonts w:ascii="Arial" w:hAnsi="Arial" w:cs="Arial"/>
                <w:i w:val="0"/>
                <w:sz w:val="20"/>
                <w:lang w:val="en-IN"/>
              </w:rPr>
              <w:t xml:space="preserve">During the year ended 31 </w:t>
            </w:r>
            <w:r w:rsidR="00E1202D" w:rsidRPr="00E70587">
              <w:rPr>
                <w:rFonts w:ascii="Arial" w:hAnsi="Arial" w:cs="Arial"/>
                <w:i w:val="0"/>
                <w:sz w:val="20"/>
                <w:lang w:val="en-IN"/>
              </w:rPr>
              <w:t xml:space="preserve">March </w:t>
            </w:r>
            <w:r w:rsidR="00B22D3F" w:rsidRPr="00E70587">
              <w:rPr>
                <w:rFonts w:ascii="Arial" w:hAnsi="Arial" w:cs="Arial"/>
                <w:i w:val="0"/>
                <w:sz w:val="20"/>
                <w:lang w:val="en-IN"/>
              </w:rPr>
              <w:t>20</w:t>
            </w:r>
            <w:r w:rsidR="00B22D3F">
              <w:rPr>
                <w:rFonts w:ascii="Arial" w:hAnsi="Arial" w:cs="Arial"/>
                <w:i w:val="0"/>
                <w:sz w:val="20"/>
                <w:lang w:val="en-IN"/>
              </w:rPr>
              <w:t>21</w:t>
            </w:r>
            <w:r w:rsidRPr="00E70587">
              <w:rPr>
                <w:rFonts w:ascii="Arial" w:hAnsi="Arial" w:cs="Arial"/>
                <w:i w:val="0"/>
                <w:sz w:val="20"/>
                <w:lang w:val="en-IN"/>
              </w:rPr>
              <w:t>, INR 51</w:t>
            </w:r>
            <w:r w:rsidR="00567156" w:rsidRPr="00E70587">
              <w:rPr>
                <w:rFonts w:ascii="Arial" w:hAnsi="Arial" w:cs="Arial"/>
                <w:i w:val="0"/>
                <w:sz w:val="20"/>
                <w:lang w:val="en-IN"/>
              </w:rPr>
              <w:t>5</w:t>
            </w:r>
            <w:r w:rsidRPr="00E70587">
              <w:rPr>
                <w:rFonts w:ascii="Arial" w:hAnsi="Arial" w:cs="Arial"/>
                <w:i w:val="0"/>
                <w:sz w:val="20"/>
                <w:lang w:val="en-IN"/>
              </w:rPr>
              <w:t xml:space="preserve"> (31 </w:t>
            </w:r>
            <w:r w:rsidR="008B730E" w:rsidRPr="00E70587">
              <w:rPr>
                <w:rFonts w:ascii="Arial" w:hAnsi="Arial" w:cs="Arial"/>
                <w:i w:val="0"/>
                <w:sz w:val="20"/>
                <w:lang w:val="en-IN"/>
              </w:rPr>
              <w:t xml:space="preserve">March </w:t>
            </w:r>
            <w:r w:rsidR="00B22D3F" w:rsidRPr="00E70587">
              <w:rPr>
                <w:rFonts w:ascii="Arial" w:hAnsi="Arial" w:cs="Arial"/>
                <w:i w:val="0"/>
                <w:sz w:val="20"/>
                <w:lang w:val="en-IN"/>
              </w:rPr>
              <w:t>20</w:t>
            </w:r>
            <w:r w:rsidR="00B22D3F">
              <w:rPr>
                <w:rFonts w:ascii="Arial" w:hAnsi="Arial" w:cs="Arial"/>
                <w:i w:val="0"/>
                <w:sz w:val="20"/>
                <w:lang w:val="en-IN"/>
              </w:rPr>
              <w:t>20</w:t>
            </w:r>
            <w:r w:rsidRPr="00E70587">
              <w:rPr>
                <w:rFonts w:ascii="Arial" w:hAnsi="Arial" w:cs="Arial"/>
                <w:i w:val="0"/>
                <w:sz w:val="20"/>
                <w:lang w:val="en-IN"/>
              </w:rPr>
              <w:t>: INR 43</w:t>
            </w:r>
            <w:r w:rsidR="00567156" w:rsidRPr="00E70587">
              <w:rPr>
                <w:rFonts w:ascii="Arial" w:hAnsi="Arial" w:cs="Arial"/>
                <w:i w:val="0"/>
                <w:sz w:val="20"/>
                <w:lang w:val="en-IN"/>
              </w:rPr>
              <w:t>6</w:t>
            </w:r>
            <w:r w:rsidRPr="00E70587">
              <w:rPr>
                <w:rFonts w:ascii="Arial" w:hAnsi="Arial" w:cs="Arial"/>
                <w:i w:val="0"/>
                <w:sz w:val="20"/>
                <w:lang w:val="en-IN"/>
              </w:rPr>
              <w:t xml:space="preserve">) was recognised as an expense for inventories carried at net realisable value. </w:t>
            </w:r>
          </w:p>
        </w:tc>
      </w:tr>
    </w:tbl>
    <w:p w14:paraId="5F16291F" w14:textId="406C421F" w:rsidR="00333A4B" w:rsidRDefault="00333A4B" w:rsidP="00333A4B">
      <w:pPr>
        <w:spacing w:line="280" w:lineRule="exact"/>
        <w:rPr>
          <w:rFonts w:ascii="Arial" w:hAnsi="Arial" w:cs="Arial"/>
          <w:sz w:val="20"/>
        </w:rPr>
      </w:pPr>
    </w:p>
    <w:p w14:paraId="14316AB8" w14:textId="5CFFE04C" w:rsidR="00CD3A03" w:rsidRDefault="00CD3A03" w:rsidP="00333A4B">
      <w:pPr>
        <w:spacing w:line="280" w:lineRule="exact"/>
        <w:rPr>
          <w:rFonts w:ascii="Arial" w:hAnsi="Arial" w:cs="Arial"/>
          <w:sz w:val="20"/>
        </w:rPr>
      </w:pPr>
    </w:p>
    <w:p w14:paraId="69B3B50D" w14:textId="74A72C2E" w:rsidR="00CD3A03" w:rsidRPr="00E1589E" w:rsidRDefault="00CD3A03" w:rsidP="00E1589E">
      <w:pPr>
        <w:shd w:val="clear" w:color="auto" w:fill="C1C1C1" w:themeFill="background2" w:themeFillTint="66"/>
        <w:spacing w:line="280" w:lineRule="exact"/>
        <w:rPr>
          <w:rFonts w:ascii="Arial" w:hAnsi="Arial" w:cs="Arial"/>
          <w:b/>
          <w:bCs/>
          <w:sz w:val="20"/>
        </w:rPr>
      </w:pPr>
      <w:r w:rsidRPr="00E1589E">
        <w:rPr>
          <w:rFonts w:ascii="Arial" w:hAnsi="Arial" w:cs="Arial"/>
          <w:b/>
          <w:bCs/>
          <w:sz w:val="20"/>
        </w:rPr>
        <w:t xml:space="preserve">Covid-19 commentary </w:t>
      </w:r>
    </w:p>
    <w:p w14:paraId="4C56DD17" w14:textId="77777777" w:rsidR="00E1589E" w:rsidRPr="00CD3A03" w:rsidRDefault="00E1589E" w:rsidP="00E1589E">
      <w:pPr>
        <w:shd w:val="clear" w:color="auto" w:fill="C1C1C1" w:themeFill="background2" w:themeFillTint="66"/>
        <w:spacing w:line="280" w:lineRule="exact"/>
        <w:rPr>
          <w:rFonts w:ascii="Arial" w:hAnsi="Arial" w:cs="Arial"/>
          <w:sz w:val="20"/>
        </w:rPr>
      </w:pPr>
    </w:p>
    <w:p w14:paraId="5B61727F" w14:textId="282B9447" w:rsidR="00CD3A03" w:rsidRDefault="00CD3A03" w:rsidP="00E1589E">
      <w:pPr>
        <w:shd w:val="clear" w:color="auto" w:fill="C1C1C1" w:themeFill="background2" w:themeFillTint="66"/>
        <w:spacing w:line="280" w:lineRule="exact"/>
        <w:rPr>
          <w:rFonts w:ascii="Arial" w:hAnsi="Arial" w:cs="Arial"/>
          <w:sz w:val="20"/>
        </w:rPr>
      </w:pPr>
      <w:r w:rsidRPr="00CD3A03">
        <w:rPr>
          <w:rFonts w:ascii="Arial" w:hAnsi="Arial" w:cs="Arial"/>
          <w:sz w:val="20"/>
        </w:rPr>
        <w:t xml:space="preserve">Inventories might need to be written down to their net realisable value because of reduced movement in inventory, lower commodity prices, or inventory obsolescence due to lower-than-expected sales. </w:t>
      </w:r>
    </w:p>
    <w:p w14:paraId="2AE422FD" w14:textId="77777777" w:rsidR="00E1589E" w:rsidRPr="00CD3A03" w:rsidRDefault="00E1589E" w:rsidP="00E1589E">
      <w:pPr>
        <w:shd w:val="clear" w:color="auto" w:fill="C1C1C1" w:themeFill="background2" w:themeFillTint="66"/>
        <w:spacing w:line="280" w:lineRule="exact"/>
        <w:rPr>
          <w:rFonts w:ascii="Arial" w:hAnsi="Arial" w:cs="Arial"/>
          <w:sz w:val="20"/>
        </w:rPr>
      </w:pPr>
    </w:p>
    <w:p w14:paraId="48233832" w14:textId="5B5E25D0" w:rsidR="00CD3A03" w:rsidRDefault="00CD3A03" w:rsidP="00E1589E">
      <w:pPr>
        <w:shd w:val="clear" w:color="auto" w:fill="C1C1C1" w:themeFill="background2" w:themeFillTint="66"/>
        <w:spacing w:line="280" w:lineRule="exact"/>
        <w:rPr>
          <w:rFonts w:ascii="Arial" w:hAnsi="Arial" w:cs="Arial"/>
          <w:sz w:val="20"/>
        </w:rPr>
      </w:pPr>
      <w:r w:rsidRPr="00CD3A03">
        <w:rPr>
          <w:rFonts w:ascii="Arial" w:hAnsi="Arial" w:cs="Arial"/>
          <w:sz w:val="20"/>
        </w:rPr>
        <w:t>I</w:t>
      </w:r>
      <w:r w:rsidR="00E1589E">
        <w:rPr>
          <w:rFonts w:ascii="Arial" w:hAnsi="Arial" w:cs="Arial"/>
          <w:sz w:val="20"/>
        </w:rPr>
        <w:t xml:space="preserve">nd </w:t>
      </w:r>
      <w:r w:rsidRPr="00CD3A03">
        <w:rPr>
          <w:rFonts w:ascii="Arial" w:hAnsi="Arial" w:cs="Arial"/>
          <w:sz w:val="20"/>
        </w:rPr>
        <w:t xml:space="preserve">AS 2 Inventories requires that fixed production overheads are included in the cost of inventory based on normal production capacity. Reduced production might affect the extent to which overheads can be included in the cost of inventory. </w:t>
      </w:r>
    </w:p>
    <w:p w14:paraId="2EF6611A" w14:textId="77777777" w:rsidR="00E1589E" w:rsidRPr="00CD3A03" w:rsidRDefault="00E1589E" w:rsidP="00E1589E">
      <w:pPr>
        <w:shd w:val="clear" w:color="auto" w:fill="C1C1C1" w:themeFill="background2" w:themeFillTint="66"/>
        <w:spacing w:line="280" w:lineRule="exact"/>
        <w:rPr>
          <w:rFonts w:ascii="Arial" w:hAnsi="Arial" w:cs="Arial"/>
          <w:sz w:val="20"/>
        </w:rPr>
      </w:pPr>
    </w:p>
    <w:p w14:paraId="61C7F04F" w14:textId="5D0527D9" w:rsidR="00CD3A03" w:rsidRDefault="00CD3A03" w:rsidP="00E1589E">
      <w:pPr>
        <w:shd w:val="clear" w:color="auto" w:fill="C1C1C1" w:themeFill="background2" w:themeFillTint="66"/>
        <w:spacing w:line="280" w:lineRule="exact"/>
        <w:rPr>
          <w:rFonts w:ascii="Arial" w:hAnsi="Arial" w:cs="Arial"/>
          <w:sz w:val="20"/>
        </w:rPr>
      </w:pPr>
      <w:r w:rsidRPr="00CD3A03">
        <w:rPr>
          <w:rFonts w:ascii="Arial" w:hAnsi="Arial" w:cs="Arial"/>
          <w:sz w:val="20"/>
        </w:rPr>
        <w:t xml:space="preserve">Entities should assess the significance of any write-downs and whether they require disclosure in accordance </w:t>
      </w:r>
      <w:r w:rsidR="00E1589E" w:rsidRPr="00CD3A03">
        <w:rPr>
          <w:rFonts w:ascii="Arial" w:hAnsi="Arial" w:cs="Arial"/>
          <w:sz w:val="20"/>
        </w:rPr>
        <w:t>with I</w:t>
      </w:r>
      <w:r w:rsidR="00E1589E">
        <w:rPr>
          <w:rFonts w:ascii="Arial" w:hAnsi="Arial" w:cs="Arial"/>
          <w:sz w:val="20"/>
        </w:rPr>
        <w:t xml:space="preserve">nd </w:t>
      </w:r>
      <w:r w:rsidR="00E1589E" w:rsidRPr="00CD3A03">
        <w:rPr>
          <w:rFonts w:ascii="Arial" w:hAnsi="Arial" w:cs="Arial"/>
          <w:sz w:val="20"/>
        </w:rPr>
        <w:t>AS</w:t>
      </w:r>
      <w:r w:rsidRPr="00CD3A03">
        <w:rPr>
          <w:rFonts w:ascii="Arial" w:hAnsi="Arial" w:cs="Arial"/>
          <w:sz w:val="20"/>
        </w:rPr>
        <w:t xml:space="preserve"> 2. </w:t>
      </w:r>
    </w:p>
    <w:p w14:paraId="456402D0" w14:textId="77777777" w:rsidR="00E1589E" w:rsidRPr="00CD3A03" w:rsidRDefault="00E1589E" w:rsidP="00E1589E">
      <w:pPr>
        <w:shd w:val="clear" w:color="auto" w:fill="C1C1C1" w:themeFill="background2" w:themeFillTint="66"/>
        <w:spacing w:line="280" w:lineRule="exact"/>
        <w:rPr>
          <w:rFonts w:ascii="Arial" w:hAnsi="Arial" w:cs="Arial"/>
          <w:sz w:val="20"/>
        </w:rPr>
      </w:pPr>
    </w:p>
    <w:p w14:paraId="5F4C9E9C" w14:textId="60D47EA6" w:rsidR="00CD3A03" w:rsidRDefault="00CD3A03" w:rsidP="00E1589E">
      <w:pPr>
        <w:shd w:val="clear" w:color="auto" w:fill="C1C1C1" w:themeFill="background2" w:themeFillTint="66"/>
        <w:spacing w:line="280" w:lineRule="exact"/>
        <w:rPr>
          <w:rFonts w:ascii="Arial" w:hAnsi="Arial" w:cs="Arial"/>
          <w:sz w:val="20"/>
        </w:rPr>
      </w:pPr>
      <w:r w:rsidRPr="00CD3A03">
        <w:rPr>
          <w:rFonts w:ascii="Arial" w:hAnsi="Arial" w:cs="Arial"/>
          <w:sz w:val="20"/>
        </w:rPr>
        <w:t xml:space="preserve">Disclosures about inventories, including the measurement bases used, assist users in understanding how transactions, events and conditions are reflected in the financial statements and the sensitivity to change. </w:t>
      </w:r>
      <w:r w:rsidRPr="00CD3A03">
        <w:rPr>
          <w:rFonts w:ascii="Arial" w:hAnsi="Arial" w:cs="Arial"/>
          <w:sz w:val="20"/>
        </w:rPr>
        <w:lastRenderedPageBreak/>
        <w:t>At a minimum, entities will need to disclose the amount of any write-down of inventories recognised in profit or loss, as well as any subsequent reversal of such write-downs. In addition, entities need to disclose the circumstances or events that lead to a reversal of any write-down.</w:t>
      </w:r>
    </w:p>
    <w:p w14:paraId="6046C4D6" w14:textId="77777777" w:rsidR="00657499" w:rsidRDefault="00657499" w:rsidP="00333A4B">
      <w:pPr>
        <w:spacing w:line="280" w:lineRule="exact"/>
        <w:rPr>
          <w:rFonts w:ascii="Arial" w:hAnsi="Arial" w:cs="Arial"/>
          <w:sz w:val="20"/>
        </w:rPr>
      </w:pPr>
    </w:p>
    <w:p w14:paraId="544C64E1" w14:textId="77777777" w:rsidR="00333A4B" w:rsidRPr="00E70587" w:rsidRDefault="00333A4B" w:rsidP="00333A4B">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Trade receivables (current)</w:t>
      </w:r>
    </w:p>
    <w:p w14:paraId="11C6E98D" w14:textId="77777777" w:rsidR="00333A4B" w:rsidRPr="00E70587" w:rsidRDefault="00333A4B" w:rsidP="00333A4B">
      <w:pPr>
        <w:pStyle w:val="ViralheadingL2"/>
        <w:keepNext w:val="0"/>
        <w:spacing w:before="0" w:after="0" w:line="280" w:lineRule="exact"/>
        <w:outlineLvl w:val="9"/>
        <w:rPr>
          <w:rFonts w:ascii="Arial" w:hAnsi="Arial" w:cs="Arial"/>
          <w:b w:val="0"/>
          <w:sz w:val="20"/>
          <w:szCs w:val="20"/>
        </w:rPr>
      </w:pPr>
    </w:p>
    <w:tbl>
      <w:tblPr>
        <w:tblW w:w="9554" w:type="dxa"/>
        <w:tblBorders>
          <w:bottom w:val="single" w:sz="4" w:space="0" w:color="auto"/>
        </w:tblBorders>
        <w:tblLayout w:type="fixed"/>
        <w:tblCellMar>
          <w:left w:w="72" w:type="dxa"/>
          <w:right w:w="72" w:type="dxa"/>
        </w:tblCellMar>
        <w:tblLook w:val="01E0" w:firstRow="1" w:lastRow="1" w:firstColumn="1" w:lastColumn="1" w:noHBand="0" w:noVBand="0"/>
      </w:tblPr>
      <w:tblGrid>
        <w:gridCol w:w="6096"/>
        <w:gridCol w:w="1815"/>
        <w:gridCol w:w="1643"/>
      </w:tblGrid>
      <w:tr w:rsidR="000A2ED4" w:rsidRPr="00E70587" w14:paraId="65E0DF15" w14:textId="77777777" w:rsidTr="000A2ED4">
        <w:tc>
          <w:tcPr>
            <w:tcW w:w="6096" w:type="dxa"/>
            <w:vAlign w:val="center"/>
          </w:tcPr>
          <w:p w14:paraId="16FA8996"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815" w:type="dxa"/>
            <w:tcBorders>
              <w:bottom w:val="single" w:sz="4" w:space="0" w:color="auto"/>
            </w:tcBorders>
            <w:vAlign w:val="bottom"/>
          </w:tcPr>
          <w:p w14:paraId="247CFE49" w14:textId="7A44A1AB" w:rsidR="000A2ED4" w:rsidRPr="00E70587" w:rsidRDefault="000A2ED4"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B96252" w:rsidRPr="00E70587">
              <w:rPr>
                <w:rFonts w:ascii="Arial" w:hAnsi="Arial"/>
                <w:color w:val="auto"/>
                <w:sz w:val="20"/>
                <w:szCs w:val="20"/>
                <w:lang w:val="en-IN"/>
              </w:rPr>
              <w:t>20</w:t>
            </w:r>
            <w:r w:rsidR="00B96252">
              <w:rPr>
                <w:rFonts w:ascii="Arial" w:hAnsi="Arial"/>
                <w:color w:val="auto"/>
                <w:sz w:val="20"/>
                <w:szCs w:val="20"/>
                <w:lang w:val="en-IN"/>
              </w:rPr>
              <w:t>21</w:t>
            </w:r>
          </w:p>
        </w:tc>
        <w:tc>
          <w:tcPr>
            <w:tcW w:w="1643" w:type="dxa"/>
            <w:tcBorders>
              <w:bottom w:val="single" w:sz="4" w:space="0" w:color="auto"/>
            </w:tcBorders>
            <w:vAlign w:val="bottom"/>
          </w:tcPr>
          <w:p w14:paraId="6A33F23C" w14:textId="35FB1E39" w:rsidR="000A2ED4" w:rsidRPr="00E70587" w:rsidRDefault="000A2ED4"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B96252" w:rsidRPr="00E70587">
              <w:rPr>
                <w:rFonts w:ascii="Arial" w:hAnsi="Arial"/>
                <w:color w:val="auto"/>
                <w:sz w:val="20"/>
                <w:szCs w:val="20"/>
                <w:lang w:val="en-IN"/>
              </w:rPr>
              <w:t>20</w:t>
            </w:r>
            <w:r w:rsidR="00B96252">
              <w:rPr>
                <w:rFonts w:ascii="Arial" w:hAnsi="Arial"/>
                <w:color w:val="auto"/>
                <w:sz w:val="20"/>
                <w:szCs w:val="20"/>
                <w:lang w:val="en-IN"/>
              </w:rPr>
              <w:t>20</w:t>
            </w:r>
          </w:p>
        </w:tc>
      </w:tr>
      <w:tr w:rsidR="000A2ED4" w:rsidRPr="00E70587" w14:paraId="358B5988" w14:textId="77777777" w:rsidTr="000A2ED4">
        <w:tc>
          <w:tcPr>
            <w:tcW w:w="6096" w:type="dxa"/>
            <w:vAlign w:val="center"/>
          </w:tcPr>
          <w:p w14:paraId="7EDB090F"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815" w:type="dxa"/>
            <w:tcBorders>
              <w:top w:val="single" w:sz="4" w:space="0" w:color="auto"/>
            </w:tcBorders>
            <w:vAlign w:val="center"/>
          </w:tcPr>
          <w:p w14:paraId="33F77BE3" w14:textId="77777777" w:rsidR="000A2ED4" w:rsidRPr="00E70587" w:rsidRDefault="000A2ED4"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643" w:type="dxa"/>
            <w:tcBorders>
              <w:top w:val="single" w:sz="4" w:space="0" w:color="auto"/>
            </w:tcBorders>
            <w:vAlign w:val="center"/>
          </w:tcPr>
          <w:p w14:paraId="38587B9F" w14:textId="77777777" w:rsidR="000A2ED4" w:rsidRPr="00E70587" w:rsidRDefault="000A2ED4"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0A2ED4" w:rsidRPr="00E70587" w14:paraId="29DA604C" w14:textId="77777777" w:rsidTr="000A2ED4">
        <w:tc>
          <w:tcPr>
            <w:tcW w:w="6096" w:type="dxa"/>
            <w:tcMar>
              <w:top w:w="28" w:type="dxa"/>
              <w:left w:w="108" w:type="dxa"/>
              <w:right w:w="108" w:type="dxa"/>
            </w:tcMar>
            <w:vAlign w:val="center"/>
          </w:tcPr>
          <w:p w14:paraId="3DF676EC" w14:textId="77777777" w:rsidR="000A2ED4" w:rsidRPr="00E70587" w:rsidRDefault="000A2ED4" w:rsidP="00D36934">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Trade receivables</w:t>
            </w:r>
          </w:p>
        </w:tc>
        <w:tc>
          <w:tcPr>
            <w:tcW w:w="1815" w:type="dxa"/>
            <w:tcMar>
              <w:top w:w="28" w:type="dxa"/>
              <w:left w:w="108" w:type="dxa"/>
              <w:right w:w="108" w:type="dxa"/>
            </w:tcMar>
            <w:vAlign w:val="center"/>
          </w:tcPr>
          <w:p w14:paraId="333CFE46" w14:textId="77777777" w:rsidR="000A2ED4" w:rsidRPr="00E70587" w:rsidRDefault="000A2ED4" w:rsidP="00D36934">
            <w:pPr>
              <w:spacing w:line="280" w:lineRule="exact"/>
              <w:jc w:val="right"/>
              <w:rPr>
                <w:rFonts w:ascii="Arial" w:hAnsi="Arial" w:cs="Arial"/>
                <w:sz w:val="20"/>
              </w:rPr>
            </w:pPr>
            <w:r w:rsidRPr="00E70587">
              <w:rPr>
                <w:rFonts w:ascii="Arial" w:hAnsi="Arial"/>
                <w:color w:val="000000"/>
                <w:sz w:val="20"/>
              </w:rPr>
              <w:t xml:space="preserve">42,356 </w:t>
            </w:r>
          </w:p>
        </w:tc>
        <w:tc>
          <w:tcPr>
            <w:tcW w:w="1643" w:type="dxa"/>
            <w:tcMar>
              <w:top w:w="28" w:type="dxa"/>
              <w:left w:w="108" w:type="dxa"/>
              <w:right w:w="108" w:type="dxa"/>
            </w:tcMar>
            <w:vAlign w:val="center"/>
          </w:tcPr>
          <w:p w14:paraId="45F3824B" w14:textId="77777777" w:rsidR="000A2ED4" w:rsidRPr="00E70587" w:rsidRDefault="000A2ED4" w:rsidP="00B058AD">
            <w:pPr>
              <w:spacing w:line="280" w:lineRule="exact"/>
              <w:jc w:val="right"/>
              <w:rPr>
                <w:rFonts w:ascii="Arial" w:hAnsi="Arial" w:cs="Arial"/>
                <w:sz w:val="20"/>
              </w:rPr>
            </w:pPr>
            <w:r w:rsidRPr="00E70587">
              <w:rPr>
                <w:rFonts w:ascii="Arial" w:hAnsi="Arial"/>
                <w:color w:val="000000"/>
                <w:sz w:val="20"/>
              </w:rPr>
              <w:t>36,</w:t>
            </w:r>
            <w:r w:rsidR="00B058AD" w:rsidRPr="00E70587">
              <w:rPr>
                <w:rFonts w:ascii="Arial" w:hAnsi="Arial"/>
                <w:color w:val="000000"/>
                <w:sz w:val="20"/>
              </w:rPr>
              <w:t>19</w:t>
            </w:r>
            <w:r w:rsidR="00B058AD">
              <w:rPr>
                <w:rFonts w:ascii="Arial" w:hAnsi="Arial"/>
                <w:color w:val="000000"/>
                <w:sz w:val="20"/>
              </w:rPr>
              <w:t>7</w:t>
            </w:r>
            <w:r w:rsidR="00B058AD" w:rsidRPr="00E70587">
              <w:rPr>
                <w:rFonts w:ascii="Arial" w:hAnsi="Arial"/>
                <w:color w:val="000000"/>
                <w:sz w:val="20"/>
              </w:rPr>
              <w:t xml:space="preserve"> </w:t>
            </w:r>
          </w:p>
        </w:tc>
      </w:tr>
      <w:tr w:rsidR="000A2ED4" w:rsidRPr="00E70587" w14:paraId="217B2391" w14:textId="77777777" w:rsidTr="000A2ED4">
        <w:tc>
          <w:tcPr>
            <w:tcW w:w="6096" w:type="dxa"/>
            <w:tcMar>
              <w:top w:w="28" w:type="dxa"/>
              <w:left w:w="108" w:type="dxa"/>
              <w:right w:w="108" w:type="dxa"/>
            </w:tcMar>
            <w:vAlign w:val="center"/>
          </w:tcPr>
          <w:p w14:paraId="39AD1069" w14:textId="7DC34958"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Receivables from an associate (Note </w:t>
            </w:r>
            <w:r w:rsidR="00B83F60" w:rsidRPr="00E70587">
              <w:rPr>
                <w:rFonts w:ascii="Arial" w:hAnsi="Arial" w:cs="Arial"/>
                <w:sz w:val="20"/>
                <w:lang w:val="en-IN"/>
              </w:rPr>
              <w:t>4</w:t>
            </w:r>
            <w:r w:rsidR="00B83F60">
              <w:rPr>
                <w:rFonts w:ascii="Arial" w:hAnsi="Arial" w:cs="Arial"/>
                <w:sz w:val="20"/>
                <w:lang w:val="en-IN"/>
              </w:rPr>
              <w:t>4</w:t>
            </w:r>
            <w:r w:rsidRPr="00E70587">
              <w:rPr>
                <w:rFonts w:ascii="Arial" w:hAnsi="Arial" w:cs="Arial"/>
                <w:sz w:val="20"/>
                <w:lang w:val="en-IN"/>
              </w:rPr>
              <w:t>)</w:t>
            </w:r>
          </w:p>
        </w:tc>
        <w:tc>
          <w:tcPr>
            <w:tcW w:w="1815" w:type="dxa"/>
            <w:tcBorders>
              <w:bottom w:val="nil"/>
            </w:tcBorders>
            <w:tcMar>
              <w:top w:w="28" w:type="dxa"/>
              <w:left w:w="108" w:type="dxa"/>
              <w:right w:w="108" w:type="dxa"/>
            </w:tcMar>
            <w:vAlign w:val="center"/>
          </w:tcPr>
          <w:p w14:paraId="3F5B6CF4"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992</w:t>
            </w:r>
          </w:p>
        </w:tc>
        <w:tc>
          <w:tcPr>
            <w:tcW w:w="1643" w:type="dxa"/>
            <w:tcBorders>
              <w:bottom w:val="nil"/>
            </w:tcBorders>
            <w:tcMar>
              <w:top w:w="28" w:type="dxa"/>
              <w:left w:w="108" w:type="dxa"/>
              <w:right w:w="108" w:type="dxa"/>
            </w:tcMar>
            <w:vAlign w:val="center"/>
          </w:tcPr>
          <w:p w14:paraId="316F9A31"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1,048</w:t>
            </w:r>
          </w:p>
        </w:tc>
      </w:tr>
      <w:tr w:rsidR="000A2ED4" w:rsidRPr="00E70587" w14:paraId="21128C39" w14:textId="77777777" w:rsidTr="000A2ED4">
        <w:tc>
          <w:tcPr>
            <w:tcW w:w="6096" w:type="dxa"/>
            <w:tcMar>
              <w:top w:w="28" w:type="dxa"/>
              <w:left w:w="108" w:type="dxa"/>
              <w:right w:w="108" w:type="dxa"/>
            </w:tcMar>
            <w:vAlign w:val="center"/>
          </w:tcPr>
          <w:p w14:paraId="0C103C62" w14:textId="47E1B09A"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Receivables from other related parties (Note </w:t>
            </w:r>
            <w:r w:rsidR="00B83F60" w:rsidRPr="00E70587">
              <w:rPr>
                <w:rFonts w:ascii="Arial" w:hAnsi="Arial" w:cs="Arial"/>
                <w:sz w:val="20"/>
                <w:lang w:val="en-IN"/>
              </w:rPr>
              <w:t>4</w:t>
            </w:r>
            <w:r w:rsidR="00B83F60">
              <w:rPr>
                <w:rFonts w:ascii="Arial" w:hAnsi="Arial" w:cs="Arial"/>
                <w:sz w:val="20"/>
                <w:lang w:val="en-IN"/>
              </w:rPr>
              <w:t>4</w:t>
            </w:r>
            <w:r w:rsidRPr="00E70587">
              <w:rPr>
                <w:rFonts w:ascii="Arial" w:hAnsi="Arial" w:cs="Arial"/>
                <w:sz w:val="20"/>
                <w:lang w:val="en-IN"/>
              </w:rPr>
              <w:t>)</w:t>
            </w:r>
          </w:p>
        </w:tc>
        <w:tc>
          <w:tcPr>
            <w:tcW w:w="1815" w:type="dxa"/>
            <w:tcBorders>
              <w:bottom w:val="single" w:sz="4" w:space="0" w:color="auto"/>
            </w:tcBorders>
            <w:tcMar>
              <w:top w:w="28" w:type="dxa"/>
              <w:left w:w="108" w:type="dxa"/>
              <w:right w:w="108" w:type="dxa"/>
            </w:tcMar>
            <w:vAlign w:val="center"/>
          </w:tcPr>
          <w:p w14:paraId="65E932BF"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1,116</w:t>
            </w:r>
          </w:p>
        </w:tc>
        <w:tc>
          <w:tcPr>
            <w:tcW w:w="1643" w:type="dxa"/>
            <w:tcBorders>
              <w:bottom w:val="single" w:sz="4" w:space="0" w:color="auto"/>
            </w:tcBorders>
            <w:tcMar>
              <w:top w:w="28" w:type="dxa"/>
              <w:left w:w="108" w:type="dxa"/>
              <w:right w:w="108" w:type="dxa"/>
            </w:tcMar>
            <w:vAlign w:val="center"/>
          </w:tcPr>
          <w:p w14:paraId="3E4CBD9A" w14:textId="77777777" w:rsidR="000A2ED4" w:rsidRPr="00E70587" w:rsidRDefault="000A2ED4" w:rsidP="00543062">
            <w:pPr>
              <w:spacing w:line="280" w:lineRule="exact"/>
              <w:jc w:val="right"/>
              <w:rPr>
                <w:rFonts w:ascii="Arial" w:hAnsi="Arial" w:cs="Arial"/>
                <w:sz w:val="20"/>
              </w:rPr>
            </w:pPr>
            <w:r w:rsidRPr="00E70587">
              <w:rPr>
                <w:rFonts w:ascii="Arial" w:hAnsi="Arial" w:cs="Arial"/>
                <w:sz w:val="20"/>
              </w:rPr>
              <w:t>990</w:t>
            </w:r>
          </w:p>
        </w:tc>
      </w:tr>
      <w:tr w:rsidR="000A2ED4" w:rsidRPr="00E70587" w14:paraId="0A35A8C5" w14:textId="77777777" w:rsidTr="000A2ED4">
        <w:tc>
          <w:tcPr>
            <w:tcW w:w="6096" w:type="dxa"/>
            <w:tcBorders>
              <w:bottom w:val="nil"/>
            </w:tcBorders>
            <w:tcMar>
              <w:top w:w="28" w:type="dxa"/>
              <w:left w:w="108" w:type="dxa"/>
              <w:right w:w="108" w:type="dxa"/>
            </w:tcMar>
            <w:vAlign w:val="center"/>
          </w:tcPr>
          <w:p w14:paraId="5F9A20ED" w14:textId="77777777" w:rsidR="000A2ED4" w:rsidRPr="00E70587" w:rsidRDefault="000A2ED4" w:rsidP="00D36934">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Total Trade receivables</w:t>
            </w:r>
          </w:p>
        </w:tc>
        <w:tc>
          <w:tcPr>
            <w:tcW w:w="1815" w:type="dxa"/>
            <w:tcBorders>
              <w:top w:val="single" w:sz="4" w:space="0" w:color="auto"/>
              <w:bottom w:val="double" w:sz="4" w:space="0" w:color="auto"/>
            </w:tcBorders>
            <w:tcMar>
              <w:top w:w="28" w:type="dxa"/>
              <w:left w:w="108" w:type="dxa"/>
              <w:right w:w="108" w:type="dxa"/>
            </w:tcMar>
            <w:vAlign w:val="center"/>
          </w:tcPr>
          <w:p w14:paraId="36EE031C" w14:textId="77777777" w:rsidR="000A2ED4" w:rsidRPr="00E70587" w:rsidRDefault="000A2ED4" w:rsidP="00D36934">
            <w:pPr>
              <w:spacing w:line="280" w:lineRule="exact"/>
              <w:jc w:val="right"/>
              <w:rPr>
                <w:rFonts w:ascii="Arial" w:hAnsi="Arial" w:cs="Arial"/>
                <w:b/>
                <w:bCs/>
                <w:sz w:val="20"/>
              </w:rPr>
            </w:pPr>
            <w:r w:rsidRPr="00E70587">
              <w:rPr>
                <w:rFonts w:ascii="Arial" w:hAnsi="Arial"/>
                <w:b/>
                <w:bCs/>
                <w:color w:val="000000"/>
                <w:sz w:val="20"/>
              </w:rPr>
              <w:t>44,464</w:t>
            </w:r>
          </w:p>
        </w:tc>
        <w:tc>
          <w:tcPr>
            <w:tcW w:w="1643" w:type="dxa"/>
            <w:tcBorders>
              <w:top w:val="single" w:sz="4" w:space="0" w:color="auto"/>
              <w:bottom w:val="double" w:sz="4" w:space="0" w:color="auto"/>
            </w:tcBorders>
            <w:tcMar>
              <w:top w:w="28" w:type="dxa"/>
              <w:left w:w="108" w:type="dxa"/>
              <w:right w:w="108" w:type="dxa"/>
            </w:tcMar>
            <w:vAlign w:val="center"/>
          </w:tcPr>
          <w:p w14:paraId="63FA08EF" w14:textId="77777777" w:rsidR="000A2ED4" w:rsidRPr="00E70587" w:rsidRDefault="000A2ED4" w:rsidP="00B058AD">
            <w:pPr>
              <w:spacing w:line="280" w:lineRule="exact"/>
              <w:jc w:val="right"/>
              <w:rPr>
                <w:rFonts w:ascii="Arial" w:hAnsi="Arial" w:cs="Arial"/>
                <w:b/>
                <w:bCs/>
                <w:sz w:val="20"/>
              </w:rPr>
            </w:pPr>
            <w:r w:rsidRPr="00E70587">
              <w:rPr>
                <w:rFonts w:ascii="Arial" w:hAnsi="Arial"/>
                <w:b/>
                <w:bCs/>
                <w:color w:val="000000"/>
                <w:sz w:val="20"/>
              </w:rPr>
              <w:t>38,</w:t>
            </w:r>
            <w:r w:rsidR="00B058AD" w:rsidRPr="00E70587">
              <w:rPr>
                <w:rFonts w:ascii="Arial" w:hAnsi="Arial"/>
                <w:b/>
                <w:bCs/>
                <w:color w:val="000000"/>
                <w:sz w:val="20"/>
              </w:rPr>
              <w:t>23</w:t>
            </w:r>
            <w:r w:rsidR="00B058AD">
              <w:rPr>
                <w:rFonts w:ascii="Arial" w:hAnsi="Arial"/>
                <w:b/>
                <w:bCs/>
                <w:color w:val="000000"/>
                <w:sz w:val="20"/>
              </w:rPr>
              <w:t>5</w:t>
            </w:r>
          </w:p>
        </w:tc>
      </w:tr>
    </w:tbl>
    <w:p w14:paraId="47984F47" w14:textId="77777777" w:rsidR="00333A4B" w:rsidRPr="00E70587" w:rsidRDefault="00333A4B" w:rsidP="00333A4B">
      <w:pPr>
        <w:spacing w:line="280" w:lineRule="exact"/>
        <w:rPr>
          <w:rFonts w:ascii="Arial" w:hAnsi="Arial" w:cs="Arial"/>
          <w:sz w:val="20"/>
        </w:rPr>
      </w:pPr>
    </w:p>
    <w:p w14:paraId="39263C19" w14:textId="77777777" w:rsidR="00333A4B" w:rsidRPr="00E70587" w:rsidRDefault="00333A4B" w:rsidP="00333A4B">
      <w:pPr>
        <w:spacing w:line="280" w:lineRule="exact"/>
        <w:rPr>
          <w:rFonts w:ascii="Arial" w:hAnsi="Arial" w:cs="Arial"/>
          <w:b/>
          <w:sz w:val="20"/>
        </w:rPr>
      </w:pPr>
      <w:r w:rsidRPr="00E70587">
        <w:rPr>
          <w:rFonts w:ascii="Arial" w:hAnsi="Arial" w:cs="Arial"/>
          <w:b/>
          <w:sz w:val="20"/>
        </w:rPr>
        <w:t>Break-up for security details:</w:t>
      </w:r>
    </w:p>
    <w:p w14:paraId="0ADC54BD" w14:textId="77777777" w:rsidR="00333A4B" w:rsidRPr="00E70587" w:rsidRDefault="00333A4B" w:rsidP="00333A4B">
      <w:pPr>
        <w:spacing w:line="280" w:lineRule="exact"/>
        <w:rPr>
          <w:rFonts w:ascii="Arial" w:hAnsi="Arial" w:cs="Arial"/>
          <w:sz w:val="20"/>
        </w:rPr>
      </w:pPr>
    </w:p>
    <w:tbl>
      <w:tblPr>
        <w:tblW w:w="9621" w:type="dxa"/>
        <w:tblLayout w:type="fixed"/>
        <w:tblLook w:val="01E0" w:firstRow="1" w:lastRow="1" w:firstColumn="1" w:lastColumn="1" w:noHBand="0" w:noVBand="0"/>
      </w:tblPr>
      <w:tblGrid>
        <w:gridCol w:w="6096"/>
        <w:gridCol w:w="1764"/>
        <w:gridCol w:w="1761"/>
      </w:tblGrid>
      <w:tr w:rsidR="000A2ED4" w:rsidRPr="00E70587" w14:paraId="46A7EFAB" w14:textId="77777777" w:rsidTr="000A2ED4">
        <w:tc>
          <w:tcPr>
            <w:tcW w:w="6096" w:type="dxa"/>
            <w:vAlign w:val="center"/>
          </w:tcPr>
          <w:p w14:paraId="41AB9F57" w14:textId="77777777" w:rsidR="000A2ED4" w:rsidRPr="00E70587" w:rsidRDefault="000A2ED4" w:rsidP="00E64675">
            <w:pPr>
              <w:spacing w:line="280" w:lineRule="exact"/>
              <w:jc w:val="right"/>
              <w:rPr>
                <w:rFonts w:ascii="Arial" w:hAnsi="Arial" w:cs="Arial"/>
                <w:sz w:val="20"/>
              </w:rPr>
            </w:pPr>
          </w:p>
        </w:tc>
        <w:tc>
          <w:tcPr>
            <w:tcW w:w="1764" w:type="dxa"/>
            <w:tcBorders>
              <w:bottom w:val="single" w:sz="2" w:space="0" w:color="000000" w:themeColor="text1"/>
            </w:tcBorders>
            <w:tcMar>
              <w:right w:w="108" w:type="dxa"/>
            </w:tcMar>
            <w:vAlign w:val="center"/>
          </w:tcPr>
          <w:p w14:paraId="700CADC9" w14:textId="3840D2B2" w:rsidR="000A2ED4" w:rsidRPr="00E70587" w:rsidRDefault="000A2ED4" w:rsidP="00E64675">
            <w:pPr>
              <w:spacing w:line="280" w:lineRule="exact"/>
              <w:jc w:val="center"/>
              <w:rPr>
                <w:rFonts w:ascii="Arial" w:hAnsi="Arial" w:cs="Arial"/>
                <w:sz w:val="20"/>
              </w:rPr>
            </w:pPr>
            <w:r w:rsidRPr="00E70587">
              <w:rPr>
                <w:rFonts w:ascii="Arial" w:hAnsi="Arial" w:cs="Arial"/>
                <w:b/>
                <w:sz w:val="20"/>
              </w:rPr>
              <w:t xml:space="preserve">31 March </w:t>
            </w:r>
            <w:r w:rsidR="00B96252" w:rsidRPr="00E70587">
              <w:rPr>
                <w:rFonts w:ascii="Arial" w:hAnsi="Arial" w:cs="Arial"/>
                <w:b/>
                <w:sz w:val="20"/>
              </w:rPr>
              <w:t>20</w:t>
            </w:r>
            <w:r w:rsidR="00B96252">
              <w:rPr>
                <w:rFonts w:ascii="Arial" w:hAnsi="Arial" w:cs="Arial"/>
                <w:b/>
                <w:sz w:val="20"/>
              </w:rPr>
              <w:t>21</w:t>
            </w:r>
          </w:p>
        </w:tc>
        <w:tc>
          <w:tcPr>
            <w:tcW w:w="1761" w:type="dxa"/>
            <w:tcBorders>
              <w:bottom w:val="single" w:sz="2" w:space="0" w:color="000000" w:themeColor="text1"/>
            </w:tcBorders>
            <w:tcMar>
              <w:right w:w="108" w:type="dxa"/>
            </w:tcMar>
            <w:vAlign w:val="center"/>
          </w:tcPr>
          <w:p w14:paraId="3173E86A" w14:textId="29DFCCD5" w:rsidR="000A2ED4" w:rsidRPr="00E70587" w:rsidRDefault="000A2ED4" w:rsidP="00E64675">
            <w:pPr>
              <w:spacing w:line="280" w:lineRule="exact"/>
              <w:jc w:val="center"/>
              <w:rPr>
                <w:rFonts w:ascii="Arial" w:hAnsi="Arial" w:cs="Arial"/>
                <w:sz w:val="20"/>
              </w:rPr>
            </w:pPr>
            <w:r w:rsidRPr="00E70587">
              <w:rPr>
                <w:rFonts w:ascii="Arial" w:hAnsi="Arial" w:cs="Arial"/>
                <w:b/>
                <w:sz w:val="20"/>
              </w:rPr>
              <w:t xml:space="preserve">31 March </w:t>
            </w:r>
            <w:r w:rsidR="00B96252" w:rsidRPr="00E70587">
              <w:rPr>
                <w:rFonts w:ascii="Arial" w:hAnsi="Arial" w:cs="Arial"/>
                <w:b/>
                <w:sz w:val="20"/>
              </w:rPr>
              <w:t>20</w:t>
            </w:r>
            <w:r w:rsidR="00B96252">
              <w:rPr>
                <w:rFonts w:ascii="Arial" w:hAnsi="Arial" w:cs="Arial"/>
                <w:b/>
                <w:sz w:val="20"/>
              </w:rPr>
              <w:t>20</w:t>
            </w:r>
          </w:p>
        </w:tc>
      </w:tr>
      <w:tr w:rsidR="000A2ED4" w:rsidRPr="00E70587" w14:paraId="53777884" w14:textId="77777777" w:rsidTr="000A2ED4">
        <w:tc>
          <w:tcPr>
            <w:tcW w:w="6096" w:type="dxa"/>
            <w:vAlign w:val="center"/>
          </w:tcPr>
          <w:p w14:paraId="33A23FB3" w14:textId="77777777" w:rsidR="000A2ED4" w:rsidRPr="00E70587" w:rsidRDefault="000A2ED4" w:rsidP="00E64675">
            <w:pPr>
              <w:spacing w:line="280" w:lineRule="exact"/>
              <w:jc w:val="right"/>
              <w:rPr>
                <w:rFonts w:ascii="Arial" w:hAnsi="Arial" w:cs="Arial"/>
                <w:sz w:val="20"/>
              </w:rPr>
            </w:pPr>
          </w:p>
        </w:tc>
        <w:tc>
          <w:tcPr>
            <w:tcW w:w="1764" w:type="dxa"/>
            <w:tcBorders>
              <w:top w:val="single" w:sz="2" w:space="0" w:color="000000" w:themeColor="text1"/>
              <w:bottom w:val="single" w:sz="2" w:space="0" w:color="000000" w:themeColor="text1"/>
            </w:tcBorders>
            <w:tcMar>
              <w:right w:w="108" w:type="dxa"/>
            </w:tcMar>
            <w:vAlign w:val="center"/>
          </w:tcPr>
          <w:p w14:paraId="727281ED" w14:textId="77777777" w:rsidR="000A2ED4" w:rsidRPr="00E70587" w:rsidRDefault="000A2ED4" w:rsidP="00E64675">
            <w:pPr>
              <w:spacing w:line="280" w:lineRule="exact"/>
              <w:jc w:val="center"/>
              <w:rPr>
                <w:rFonts w:ascii="Arial" w:hAnsi="Arial" w:cs="Arial"/>
                <w:sz w:val="20"/>
              </w:rPr>
            </w:pPr>
            <w:r w:rsidRPr="00E70587">
              <w:rPr>
                <w:rFonts w:ascii="Arial" w:hAnsi="Arial" w:cs="Arial"/>
                <w:sz w:val="20"/>
              </w:rPr>
              <w:t>INR lacs</w:t>
            </w:r>
          </w:p>
        </w:tc>
        <w:tc>
          <w:tcPr>
            <w:tcW w:w="1761" w:type="dxa"/>
            <w:tcBorders>
              <w:top w:val="single" w:sz="2" w:space="0" w:color="000000" w:themeColor="text1"/>
              <w:bottom w:val="single" w:sz="2" w:space="0" w:color="000000" w:themeColor="text1"/>
            </w:tcBorders>
            <w:tcMar>
              <w:right w:w="108" w:type="dxa"/>
            </w:tcMar>
            <w:vAlign w:val="center"/>
          </w:tcPr>
          <w:p w14:paraId="2DEF6160" w14:textId="77777777" w:rsidR="000A2ED4" w:rsidRPr="00E70587" w:rsidRDefault="000A2ED4" w:rsidP="00E64675">
            <w:pPr>
              <w:spacing w:line="280" w:lineRule="exact"/>
              <w:jc w:val="center"/>
              <w:rPr>
                <w:rFonts w:ascii="Arial" w:hAnsi="Arial" w:cs="Arial"/>
                <w:sz w:val="20"/>
              </w:rPr>
            </w:pPr>
            <w:r w:rsidRPr="00E70587">
              <w:rPr>
                <w:rFonts w:ascii="Arial" w:hAnsi="Arial" w:cs="Arial"/>
                <w:sz w:val="20"/>
              </w:rPr>
              <w:t>INR lacs</w:t>
            </w:r>
          </w:p>
        </w:tc>
      </w:tr>
      <w:tr w:rsidR="000A2ED4" w:rsidRPr="00E70587" w:rsidDel="000F5287" w14:paraId="2729D833" w14:textId="77777777" w:rsidTr="000A2ED4">
        <w:tc>
          <w:tcPr>
            <w:tcW w:w="6096" w:type="dxa"/>
          </w:tcPr>
          <w:p w14:paraId="29573539" w14:textId="77777777" w:rsidR="000A2ED4" w:rsidRPr="00E70587" w:rsidDel="000F5287" w:rsidRDefault="000A2ED4" w:rsidP="00E64675">
            <w:pPr>
              <w:spacing w:line="280" w:lineRule="exact"/>
              <w:rPr>
                <w:rFonts w:ascii="Arial" w:hAnsi="Arial" w:cs="Arial"/>
                <w:b/>
                <w:sz w:val="20"/>
              </w:rPr>
            </w:pPr>
            <w:r w:rsidRPr="00E70587">
              <w:rPr>
                <w:rFonts w:ascii="Arial" w:hAnsi="Arial" w:cs="Arial"/>
                <w:b/>
                <w:sz w:val="20"/>
              </w:rPr>
              <w:t>Trade receivables</w:t>
            </w:r>
          </w:p>
        </w:tc>
        <w:tc>
          <w:tcPr>
            <w:tcW w:w="1764" w:type="dxa"/>
            <w:tcMar>
              <w:right w:w="108" w:type="dxa"/>
            </w:tcMar>
          </w:tcPr>
          <w:p w14:paraId="11A19A4F" w14:textId="77777777" w:rsidR="000A2ED4" w:rsidRPr="00E70587" w:rsidDel="000F5287" w:rsidRDefault="000A2ED4" w:rsidP="00E64675">
            <w:pPr>
              <w:spacing w:line="280" w:lineRule="exact"/>
              <w:jc w:val="right"/>
              <w:rPr>
                <w:rFonts w:ascii="Arial" w:hAnsi="Arial" w:cs="Arial"/>
                <w:b/>
                <w:sz w:val="20"/>
              </w:rPr>
            </w:pPr>
          </w:p>
        </w:tc>
        <w:tc>
          <w:tcPr>
            <w:tcW w:w="1761" w:type="dxa"/>
            <w:tcMar>
              <w:right w:w="108" w:type="dxa"/>
            </w:tcMar>
          </w:tcPr>
          <w:p w14:paraId="7FA990ED" w14:textId="77777777" w:rsidR="000A2ED4" w:rsidRPr="00E70587" w:rsidDel="000F5287" w:rsidRDefault="000A2ED4" w:rsidP="00E64675">
            <w:pPr>
              <w:spacing w:line="280" w:lineRule="exact"/>
              <w:jc w:val="right"/>
              <w:rPr>
                <w:rFonts w:ascii="Arial" w:hAnsi="Arial" w:cs="Arial"/>
                <w:b/>
                <w:sz w:val="20"/>
              </w:rPr>
            </w:pPr>
          </w:p>
        </w:tc>
      </w:tr>
      <w:tr w:rsidR="000A2ED4" w:rsidRPr="00E70587" w14:paraId="31FDABF4" w14:textId="77777777" w:rsidTr="000A2ED4">
        <w:tc>
          <w:tcPr>
            <w:tcW w:w="6096" w:type="dxa"/>
          </w:tcPr>
          <w:p w14:paraId="0B57D8FF" w14:textId="77777777" w:rsidR="000A2ED4" w:rsidRPr="00E70587" w:rsidRDefault="000A2ED4" w:rsidP="00E64675">
            <w:pPr>
              <w:spacing w:line="280" w:lineRule="exact"/>
              <w:rPr>
                <w:rFonts w:ascii="Arial" w:hAnsi="Arial" w:cs="Arial"/>
                <w:sz w:val="20"/>
              </w:rPr>
            </w:pPr>
            <w:r w:rsidRPr="00E70587">
              <w:rPr>
                <w:rFonts w:ascii="Arial" w:hAnsi="Arial" w:cs="Arial"/>
                <w:sz w:val="20"/>
              </w:rPr>
              <w:t>Secured, considered good</w:t>
            </w:r>
          </w:p>
        </w:tc>
        <w:tc>
          <w:tcPr>
            <w:tcW w:w="1764" w:type="dxa"/>
            <w:tcMar>
              <w:right w:w="108" w:type="dxa"/>
            </w:tcMar>
          </w:tcPr>
          <w:p w14:paraId="442C7884" w14:textId="77777777" w:rsidR="000A2ED4" w:rsidRPr="00E70587" w:rsidRDefault="000A2ED4" w:rsidP="00E64675">
            <w:pPr>
              <w:spacing w:line="280" w:lineRule="exact"/>
              <w:jc w:val="right"/>
              <w:rPr>
                <w:rFonts w:ascii="Arial" w:hAnsi="Arial" w:cs="Arial"/>
                <w:sz w:val="20"/>
              </w:rPr>
            </w:pPr>
            <w:r w:rsidRPr="00E70587">
              <w:rPr>
                <w:rFonts w:ascii="Arial" w:hAnsi="Arial" w:cs="Arial"/>
                <w:sz w:val="20"/>
              </w:rPr>
              <w:t>-</w:t>
            </w:r>
          </w:p>
        </w:tc>
        <w:tc>
          <w:tcPr>
            <w:tcW w:w="1761" w:type="dxa"/>
            <w:tcMar>
              <w:right w:w="108" w:type="dxa"/>
            </w:tcMar>
          </w:tcPr>
          <w:p w14:paraId="79183D89" w14:textId="77777777" w:rsidR="000A2ED4" w:rsidRPr="00E70587" w:rsidRDefault="000A2ED4" w:rsidP="00E64675">
            <w:pPr>
              <w:spacing w:line="280" w:lineRule="exact"/>
              <w:jc w:val="right"/>
              <w:rPr>
                <w:rFonts w:ascii="Arial" w:hAnsi="Arial" w:cs="Arial"/>
                <w:sz w:val="20"/>
              </w:rPr>
            </w:pPr>
            <w:r w:rsidRPr="00E70587">
              <w:rPr>
                <w:rFonts w:ascii="Arial" w:hAnsi="Arial" w:cs="Arial"/>
                <w:sz w:val="20"/>
              </w:rPr>
              <w:t>-</w:t>
            </w:r>
          </w:p>
        </w:tc>
      </w:tr>
      <w:tr w:rsidR="000A2ED4" w:rsidRPr="00E70587" w14:paraId="3A335B14" w14:textId="77777777" w:rsidTr="004B6451">
        <w:tc>
          <w:tcPr>
            <w:tcW w:w="6096" w:type="dxa"/>
          </w:tcPr>
          <w:p w14:paraId="6BBA7ACB" w14:textId="77777777" w:rsidR="000A2ED4" w:rsidRPr="00E70587" w:rsidRDefault="000A2ED4" w:rsidP="00D36934">
            <w:pPr>
              <w:spacing w:line="280" w:lineRule="exact"/>
              <w:rPr>
                <w:rFonts w:ascii="Arial" w:hAnsi="Arial" w:cs="Arial"/>
                <w:sz w:val="20"/>
              </w:rPr>
            </w:pPr>
            <w:r w:rsidRPr="00E70587">
              <w:rPr>
                <w:rFonts w:ascii="Arial" w:hAnsi="Arial" w:cs="Arial"/>
                <w:sz w:val="20"/>
              </w:rPr>
              <w:t>Unsecured, considered good</w:t>
            </w:r>
          </w:p>
        </w:tc>
        <w:tc>
          <w:tcPr>
            <w:tcW w:w="1764" w:type="dxa"/>
            <w:tcMar>
              <w:right w:w="108" w:type="dxa"/>
            </w:tcMar>
            <w:vAlign w:val="center"/>
          </w:tcPr>
          <w:p w14:paraId="6C059EB3" w14:textId="2DE5C881" w:rsidR="000A2ED4" w:rsidRPr="00E70587" w:rsidRDefault="004B6451" w:rsidP="00D36934">
            <w:pPr>
              <w:spacing w:line="280" w:lineRule="exact"/>
              <w:jc w:val="right"/>
              <w:rPr>
                <w:rFonts w:ascii="Arial" w:hAnsi="Arial" w:cs="Arial"/>
                <w:sz w:val="20"/>
              </w:rPr>
            </w:pPr>
            <w:r>
              <w:rPr>
                <w:rFonts w:ascii="Arial" w:hAnsi="Arial" w:cs="Arial"/>
                <w:color w:val="000000"/>
                <w:sz w:val="20"/>
              </w:rPr>
              <w:t>43,419</w:t>
            </w:r>
          </w:p>
        </w:tc>
        <w:tc>
          <w:tcPr>
            <w:tcW w:w="1761" w:type="dxa"/>
            <w:tcMar>
              <w:right w:w="108" w:type="dxa"/>
            </w:tcMar>
            <w:vAlign w:val="center"/>
          </w:tcPr>
          <w:p w14:paraId="2EA63B08" w14:textId="09C1DCE0" w:rsidR="000A2ED4" w:rsidRPr="00E70587" w:rsidRDefault="004B6451" w:rsidP="00D36934">
            <w:pPr>
              <w:spacing w:line="280" w:lineRule="exact"/>
              <w:jc w:val="right"/>
              <w:rPr>
                <w:rFonts w:ascii="Arial" w:hAnsi="Arial" w:cs="Arial"/>
                <w:sz w:val="20"/>
              </w:rPr>
            </w:pPr>
            <w:r>
              <w:rPr>
                <w:rFonts w:ascii="Arial" w:hAnsi="Arial" w:cs="Arial"/>
                <w:color w:val="000000"/>
                <w:sz w:val="20"/>
              </w:rPr>
              <w:t>37,</w:t>
            </w:r>
            <w:r w:rsidR="00945753">
              <w:rPr>
                <w:rFonts w:ascii="Arial" w:hAnsi="Arial" w:cs="Arial"/>
                <w:color w:val="000000"/>
                <w:sz w:val="20"/>
              </w:rPr>
              <w:t>243</w:t>
            </w:r>
          </w:p>
        </w:tc>
      </w:tr>
      <w:tr w:rsidR="00C11E21" w:rsidRPr="00E70587" w14:paraId="509761C0" w14:textId="77777777" w:rsidTr="004B6451">
        <w:tc>
          <w:tcPr>
            <w:tcW w:w="6096" w:type="dxa"/>
          </w:tcPr>
          <w:p w14:paraId="5F39D871" w14:textId="77777777" w:rsidR="00C11E21" w:rsidRPr="00E70587" w:rsidRDefault="00C11E21" w:rsidP="00E64675">
            <w:pPr>
              <w:spacing w:line="280" w:lineRule="exact"/>
              <w:rPr>
                <w:rFonts w:ascii="Arial" w:hAnsi="Arial" w:cs="Arial"/>
                <w:sz w:val="20"/>
              </w:rPr>
            </w:pPr>
            <w:r w:rsidRPr="00C11E21">
              <w:rPr>
                <w:rFonts w:ascii="Arial" w:hAnsi="Arial" w:cs="Arial"/>
                <w:sz w:val="20"/>
              </w:rPr>
              <w:t>Trade Receivables whic</w:t>
            </w:r>
            <w:r w:rsidR="00442790">
              <w:rPr>
                <w:rFonts w:ascii="Arial" w:hAnsi="Arial" w:cs="Arial"/>
                <w:sz w:val="20"/>
              </w:rPr>
              <w:t>h have significant increase in c</w:t>
            </w:r>
            <w:r w:rsidRPr="00C11E21">
              <w:rPr>
                <w:rFonts w:ascii="Arial" w:hAnsi="Arial" w:cs="Arial"/>
                <w:sz w:val="20"/>
              </w:rPr>
              <w:t>redit Risk</w:t>
            </w:r>
          </w:p>
        </w:tc>
        <w:tc>
          <w:tcPr>
            <w:tcW w:w="1764" w:type="dxa"/>
            <w:tcMar>
              <w:right w:w="108" w:type="dxa"/>
            </w:tcMar>
            <w:vAlign w:val="center"/>
          </w:tcPr>
          <w:p w14:paraId="49316082" w14:textId="77777777" w:rsidR="00C11E21" w:rsidRPr="00E70587" w:rsidRDefault="004B6451" w:rsidP="00E64675">
            <w:pPr>
              <w:spacing w:line="280" w:lineRule="exact"/>
              <w:jc w:val="right"/>
              <w:rPr>
                <w:rFonts w:ascii="Arial" w:hAnsi="Arial" w:cs="Arial"/>
                <w:color w:val="000000"/>
                <w:sz w:val="20"/>
              </w:rPr>
            </w:pPr>
            <w:r>
              <w:rPr>
                <w:rFonts w:ascii="Arial" w:hAnsi="Arial" w:cs="Arial"/>
                <w:color w:val="000000"/>
                <w:sz w:val="20"/>
              </w:rPr>
              <w:t>1,245</w:t>
            </w:r>
          </w:p>
        </w:tc>
        <w:tc>
          <w:tcPr>
            <w:tcW w:w="1761" w:type="dxa"/>
            <w:tcMar>
              <w:right w:w="108" w:type="dxa"/>
            </w:tcMar>
            <w:vAlign w:val="center"/>
          </w:tcPr>
          <w:p w14:paraId="065045EE" w14:textId="77777777" w:rsidR="00C11E21" w:rsidRPr="00E70587" w:rsidRDefault="00442790" w:rsidP="00E64675">
            <w:pPr>
              <w:spacing w:line="280" w:lineRule="exact"/>
              <w:jc w:val="right"/>
              <w:rPr>
                <w:rFonts w:ascii="Arial" w:hAnsi="Arial" w:cs="Arial"/>
                <w:color w:val="000000"/>
                <w:sz w:val="20"/>
              </w:rPr>
            </w:pPr>
            <w:r>
              <w:rPr>
                <w:rFonts w:ascii="Arial" w:hAnsi="Arial" w:cs="Arial"/>
                <w:color w:val="000000"/>
                <w:sz w:val="20"/>
              </w:rPr>
              <w:t>1,170</w:t>
            </w:r>
          </w:p>
        </w:tc>
      </w:tr>
      <w:tr w:rsidR="00C11E21" w:rsidRPr="00E70587" w14:paraId="21045FB2" w14:textId="77777777" w:rsidTr="000A2ED4">
        <w:tc>
          <w:tcPr>
            <w:tcW w:w="6096" w:type="dxa"/>
          </w:tcPr>
          <w:p w14:paraId="5A8DD59F" w14:textId="77777777" w:rsidR="00C11E21" w:rsidRPr="00E70587" w:rsidRDefault="00C11E21" w:rsidP="00E64675">
            <w:pPr>
              <w:spacing w:line="280" w:lineRule="exact"/>
              <w:rPr>
                <w:rFonts w:ascii="Arial" w:hAnsi="Arial" w:cs="Arial"/>
                <w:sz w:val="20"/>
              </w:rPr>
            </w:pPr>
            <w:r w:rsidRPr="00C11E21">
              <w:rPr>
                <w:rFonts w:ascii="Arial" w:hAnsi="Arial" w:cs="Arial"/>
                <w:sz w:val="20"/>
              </w:rPr>
              <w:t>Trade Receivables - credit impaired</w:t>
            </w:r>
          </w:p>
        </w:tc>
        <w:tc>
          <w:tcPr>
            <w:tcW w:w="1764" w:type="dxa"/>
            <w:tcBorders>
              <w:bottom w:val="single" w:sz="4" w:space="0" w:color="auto"/>
            </w:tcBorders>
            <w:tcMar>
              <w:right w:w="108" w:type="dxa"/>
            </w:tcMar>
            <w:vAlign w:val="center"/>
          </w:tcPr>
          <w:p w14:paraId="0E490A8F" w14:textId="77777777" w:rsidR="00C11E21" w:rsidRPr="00E70587" w:rsidRDefault="004B6451" w:rsidP="00E64675">
            <w:pPr>
              <w:spacing w:line="280" w:lineRule="exact"/>
              <w:jc w:val="right"/>
              <w:rPr>
                <w:rFonts w:ascii="Arial" w:hAnsi="Arial" w:cs="Arial"/>
                <w:color w:val="000000"/>
                <w:sz w:val="20"/>
              </w:rPr>
            </w:pPr>
            <w:r>
              <w:rPr>
                <w:rFonts w:ascii="Arial" w:hAnsi="Arial" w:cs="Arial"/>
                <w:color w:val="000000"/>
                <w:sz w:val="20"/>
              </w:rPr>
              <w:t>125</w:t>
            </w:r>
          </w:p>
        </w:tc>
        <w:tc>
          <w:tcPr>
            <w:tcW w:w="1761" w:type="dxa"/>
            <w:tcBorders>
              <w:bottom w:val="single" w:sz="4" w:space="0" w:color="auto"/>
            </w:tcBorders>
            <w:tcMar>
              <w:right w:w="108" w:type="dxa"/>
            </w:tcMar>
            <w:vAlign w:val="center"/>
          </w:tcPr>
          <w:p w14:paraId="2326C29A" w14:textId="77777777" w:rsidR="00C11E21" w:rsidRPr="00E70587" w:rsidRDefault="004B6451" w:rsidP="00E64675">
            <w:pPr>
              <w:spacing w:line="280" w:lineRule="exact"/>
              <w:jc w:val="right"/>
              <w:rPr>
                <w:rFonts w:ascii="Arial" w:hAnsi="Arial" w:cs="Arial"/>
                <w:color w:val="000000"/>
                <w:sz w:val="20"/>
              </w:rPr>
            </w:pPr>
            <w:r>
              <w:rPr>
                <w:rFonts w:ascii="Arial" w:hAnsi="Arial" w:cs="Arial"/>
                <w:color w:val="000000"/>
                <w:sz w:val="20"/>
              </w:rPr>
              <w:t>112</w:t>
            </w:r>
          </w:p>
        </w:tc>
      </w:tr>
      <w:tr w:rsidR="000A2ED4" w:rsidRPr="00E70587" w14:paraId="115DFFE0" w14:textId="77777777" w:rsidTr="000A2ED4">
        <w:tc>
          <w:tcPr>
            <w:tcW w:w="6096" w:type="dxa"/>
          </w:tcPr>
          <w:p w14:paraId="33216C44" w14:textId="77777777" w:rsidR="000A2ED4" w:rsidRPr="00E70587" w:rsidRDefault="000A2ED4" w:rsidP="00D36934">
            <w:pPr>
              <w:spacing w:line="280" w:lineRule="exact"/>
              <w:rPr>
                <w:rFonts w:ascii="Arial" w:hAnsi="Arial" w:cs="Arial"/>
                <w:b/>
                <w:sz w:val="20"/>
              </w:rPr>
            </w:pPr>
          </w:p>
        </w:tc>
        <w:tc>
          <w:tcPr>
            <w:tcW w:w="1764" w:type="dxa"/>
            <w:tcBorders>
              <w:top w:val="single" w:sz="4" w:space="0" w:color="auto"/>
            </w:tcBorders>
            <w:tcMar>
              <w:right w:w="108" w:type="dxa"/>
            </w:tcMar>
            <w:vAlign w:val="center"/>
          </w:tcPr>
          <w:p w14:paraId="24434A11" w14:textId="77777777" w:rsidR="000A2ED4" w:rsidRPr="00E70587" w:rsidRDefault="000A2ED4" w:rsidP="00D36934">
            <w:pPr>
              <w:spacing w:line="280" w:lineRule="exact"/>
              <w:jc w:val="right"/>
              <w:rPr>
                <w:rFonts w:ascii="Arial" w:hAnsi="Arial" w:cs="Arial"/>
                <w:b/>
                <w:bCs/>
                <w:sz w:val="20"/>
              </w:rPr>
            </w:pPr>
            <w:r w:rsidRPr="00E70587">
              <w:rPr>
                <w:rFonts w:ascii="Arial" w:hAnsi="Arial" w:cs="Arial"/>
                <w:b/>
                <w:bCs/>
                <w:color w:val="000000"/>
                <w:sz w:val="20"/>
              </w:rPr>
              <w:t xml:space="preserve">44,789 </w:t>
            </w:r>
          </w:p>
        </w:tc>
        <w:tc>
          <w:tcPr>
            <w:tcW w:w="1761" w:type="dxa"/>
            <w:tcBorders>
              <w:top w:val="single" w:sz="4" w:space="0" w:color="auto"/>
            </w:tcBorders>
            <w:tcMar>
              <w:right w:w="108" w:type="dxa"/>
            </w:tcMar>
            <w:vAlign w:val="center"/>
          </w:tcPr>
          <w:p w14:paraId="447D2E17" w14:textId="6D433A84" w:rsidR="000A2ED4" w:rsidRPr="00E70587" w:rsidRDefault="000A2ED4" w:rsidP="00D36934">
            <w:pPr>
              <w:spacing w:line="280" w:lineRule="exact"/>
              <w:jc w:val="right"/>
              <w:rPr>
                <w:rFonts w:ascii="Arial" w:hAnsi="Arial" w:cs="Arial"/>
                <w:b/>
                <w:bCs/>
                <w:sz w:val="20"/>
              </w:rPr>
            </w:pPr>
            <w:r w:rsidRPr="00E70587">
              <w:rPr>
                <w:rFonts w:ascii="Arial" w:hAnsi="Arial" w:cs="Arial"/>
                <w:b/>
                <w:bCs/>
                <w:color w:val="000000"/>
                <w:sz w:val="20"/>
              </w:rPr>
              <w:t>38,</w:t>
            </w:r>
            <w:r w:rsidR="00945753" w:rsidRPr="00E70587">
              <w:rPr>
                <w:rFonts w:ascii="Arial" w:hAnsi="Arial" w:cs="Arial"/>
                <w:b/>
                <w:bCs/>
                <w:color w:val="000000"/>
                <w:sz w:val="20"/>
              </w:rPr>
              <w:t>52</w:t>
            </w:r>
            <w:r w:rsidR="00945753">
              <w:rPr>
                <w:rFonts w:ascii="Arial" w:hAnsi="Arial" w:cs="Arial"/>
                <w:b/>
                <w:bCs/>
                <w:color w:val="000000"/>
                <w:sz w:val="20"/>
              </w:rPr>
              <w:t>5</w:t>
            </w:r>
            <w:r w:rsidR="00945753" w:rsidRPr="00E70587">
              <w:rPr>
                <w:rFonts w:ascii="Arial" w:hAnsi="Arial" w:cs="Arial"/>
                <w:b/>
                <w:bCs/>
                <w:color w:val="000000"/>
                <w:sz w:val="20"/>
              </w:rPr>
              <w:t xml:space="preserve"> </w:t>
            </w:r>
          </w:p>
        </w:tc>
      </w:tr>
      <w:tr w:rsidR="000A2ED4" w:rsidRPr="00E70587" w14:paraId="62BC2314" w14:textId="77777777" w:rsidTr="000A2ED4">
        <w:tc>
          <w:tcPr>
            <w:tcW w:w="6096" w:type="dxa"/>
          </w:tcPr>
          <w:p w14:paraId="5E2DEDD8" w14:textId="77777777" w:rsidR="000A2ED4" w:rsidRPr="00E70587" w:rsidRDefault="000A2ED4" w:rsidP="00E64675">
            <w:pPr>
              <w:spacing w:line="280" w:lineRule="exact"/>
              <w:rPr>
                <w:rFonts w:ascii="Arial" w:hAnsi="Arial" w:cs="Arial"/>
                <w:b/>
                <w:sz w:val="20"/>
              </w:rPr>
            </w:pPr>
          </w:p>
        </w:tc>
        <w:tc>
          <w:tcPr>
            <w:tcW w:w="1764" w:type="dxa"/>
            <w:tcBorders>
              <w:top w:val="single" w:sz="4" w:space="0" w:color="auto"/>
            </w:tcBorders>
            <w:tcMar>
              <w:right w:w="108" w:type="dxa"/>
            </w:tcMar>
            <w:vAlign w:val="center"/>
          </w:tcPr>
          <w:p w14:paraId="230A5D86" w14:textId="77777777" w:rsidR="000A2ED4" w:rsidRPr="00E70587" w:rsidDel="000F5287" w:rsidRDefault="000A2ED4" w:rsidP="00E64675">
            <w:pPr>
              <w:spacing w:line="280" w:lineRule="exact"/>
              <w:jc w:val="right"/>
              <w:rPr>
                <w:rFonts w:ascii="Arial" w:hAnsi="Arial" w:cs="Arial"/>
                <w:b/>
                <w:bCs/>
                <w:sz w:val="20"/>
              </w:rPr>
            </w:pPr>
          </w:p>
        </w:tc>
        <w:tc>
          <w:tcPr>
            <w:tcW w:w="1761" w:type="dxa"/>
            <w:tcBorders>
              <w:top w:val="single" w:sz="4" w:space="0" w:color="auto"/>
            </w:tcBorders>
            <w:tcMar>
              <w:right w:w="108" w:type="dxa"/>
            </w:tcMar>
            <w:vAlign w:val="center"/>
          </w:tcPr>
          <w:p w14:paraId="5FB2A04A" w14:textId="77777777" w:rsidR="000A2ED4" w:rsidRPr="00E70587" w:rsidRDefault="000A2ED4" w:rsidP="00E64675">
            <w:pPr>
              <w:spacing w:line="280" w:lineRule="exact"/>
              <w:jc w:val="right"/>
              <w:rPr>
                <w:rFonts w:ascii="Arial" w:hAnsi="Arial" w:cs="Arial"/>
                <w:b/>
                <w:bCs/>
                <w:sz w:val="20"/>
              </w:rPr>
            </w:pPr>
          </w:p>
        </w:tc>
      </w:tr>
      <w:tr w:rsidR="000A2ED4" w:rsidRPr="00E70587" w14:paraId="0A268224" w14:textId="77777777" w:rsidTr="000A2ED4">
        <w:tc>
          <w:tcPr>
            <w:tcW w:w="6096" w:type="dxa"/>
          </w:tcPr>
          <w:p w14:paraId="669A9B31" w14:textId="77777777" w:rsidR="000A2ED4" w:rsidRPr="00E70587" w:rsidRDefault="000A2ED4" w:rsidP="00E64675">
            <w:pPr>
              <w:spacing w:line="280" w:lineRule="exact"/>
              <w:rPr>
                <w:rFonts w:ascii="Arial" w:hAnsi="Arial" w:cs="Arial"/>
                <w:b/>
                <w:sz w:val="20"/>
              </w:rPr>
            </w:pPr>
            <w:r w:rsidRPr="00E70587">
              <w:rPr>
                <w:rFonts w:ascii="Arial" w:hAnsi="Arial" w:cs="Arial"/>
                <w:b/>
                <w:sz w:val="20"/>
              </w:rPr>
              <w:t>Impairment Allowance (allowance for bad and doubtful debts)</w:t>
            </w:r>
          </w:p>
        </w:tc>
        <w:tc>
          <w:tcPr>
            <w:tcW w:w="1764" w:type="dxa"/>
            <w:tcMar>
              <w:right w:w="108" w:type="dxa"/>
            </w:tcMar>
            <w:vAlign w:val="center"/>
          </w:tcPr>
          <w:p w14:paraId="54409A57" w14:textId="77777777" w:rsidR="000A2ED4" w:rsidRPr="00E70587" w:rsidDel="000F5287" w:rsidRDefault="000A2ED4" w:rsidP="00E64675">
            <w:pPr>
              <w:spacing w:line="280" w:lineRule="exact"/>
              <w:jc w:val="right"/>
              <w:rPr>
                <w:rFonts w:ascii="Arial" w:hAnsi="Arial" w:cs="Arial"/>
                <w:b/>
                <w:bCs/>
                <w:sz w:val="20"/>
              </w:rPr>
            </w:pPr>
          </w:p>
        </w:tc>
        <w:tc>
          <w:tcPr>
            <w:tcW w:w="1761" w:type="dxa"/>
            <w:tcMar>
              <w:right w:w="108" w:type="dxa"/>
            </w:tcMar>
            <w:vAlign w:val="center"/>
          </w:tcPr>
          <w:p w14:paraId="4D6DD8E4" w14:textId="77777777" w:rsidR="000A2ED4" w:rsidRPr="00E70587" w:rsidRDefault="000A2ED4" w:rsidP="00E64675">
            <w:pPr>
              <w:spacing w:line="280" w:lineRule="exact"/>
              <w:jc w:val="right"/>
              <w:rPr>
                <w:rFonts w:ascii="Arial" w:hAnsi="Arial" w:cs="Arial"/>
                <w:b/>
                <w:bCs/>
                <w:sz w:val="20"/>
              </w:rPr>
            </w:pPr>
          </w:p>
        </w:tc>
      </w:tr>
      <w:tr w:rsidR="000A2ED4" w:rsidRPr="00E70587" w14:paraId="3CA6643C" w14:textId="77777777" w:rsidTr="000A2ED4">
        <w:tc>
          <w:tcPr>
            <w:tcW w:w="6096" w:type="dxa"/>
          </w:tcPr>
          <w:p w14:paraId="025B545B" w14:textId="77777777" w:rsidR="000A2ED4" w:rsidRPr="00E70587" w:rsidRDefault="000A2ED4" w:rsidP="00D36934">
            <w:pPr>
              <w:spacing w:line="280" w:lineRule="exact"/>
              <w:rPr>
                <w:rFonts w:ascii="Arial" w:hAnsi="Arial" w:cs="Arial"/>
                <w:b/>
                <w:sz w:val="20"/>
              </w:rPr>
            </w:pPr>
            <w:r w:rsidRPr="00E70587">
              <w:rPr>
                <w:rFonts w:ascii="Arial" w:hAnsi="Arial" w:cs="Arial"/>
                <w:sz w:val="20"/>
              </w:rPr>
              <w:t>Unsecured, considered good</w:t>
            </w:r>
          </w:p>
        </w:tc>
        <w:tc>
          <w:tcPr>
            <w:tcW w:w="1764" w:type="dxa"/>
            <w:tcMar>
              <w:right w:w="108" w:type="dxa"/>
            </w:tcMar>
            <w:vAlign w:val="center"/>
          </w:tcPr>
          <w:p w14:paraId="04BFE028" w14:textId="77777777" w:rsidR="000A2ED4" w:rsidRPr="00E70587" w:rsidRDefault="000A2ED4" w:rsidP="00D36934">
            <w:pPr>
              <w:spacing w:line="280" w:lineRule="exact"/>
              <w:jc w:val="right"/>
              <w:rPr>
                <w:rFonts w:ascii="Arial" w:hAnsi="Arial" w:cs="Arial"/>
                <w:b/>
                <w:bCs/>
                <w:sz w:val="20"/>
              </w:rPr>
            </w:pPr>
            <w:r w:rsidRPr="00E70587">
              <w:rPr>
                <w:rFonts w:ascii="Arial" w:hAnsi="Arial" w:cs="Arial"/>
                <w:color w:val="000000"/>
                <w:sz w:val="20"/>
              </w:rPr>
              <w:t>(6</w:t>
            </w:r>
            <w:r w:rsidR="00264B9F" w:rsidRPr="00E70587">
              <w:rPr>
                <w:rFonts w:ascii="Arial" w:hAnsi="Arial" w:cs="Arial"/>
                <w:color w:val="000000"/>
                <w:sz w:val="20"/>
              </w:rPr>
              <w:t>6</w:t>
            </w:r>
            <w:r w:rsidRPr="00E70587">
              <w:rPr>
                <w:rFonts w:ascii="Arial" w:hAnsi="Arial" w:cs="Arial"/>
                <w:color w:val="000000"/>
                <w:sz w:val="20"/>
              </w:rPr>
              <w:t>)</w:t>
            </w:r>
          </w:p>
        </w:tc>
        <w:tc>
          <w:tcPr>
            <w:tcW w:w="1761" w:type="dxa"/>
            <w:tcMar>
              <w:right w:w="108" w:type="dxa"/>
            </w:tcMar>
            <w:vAlign w:val="center"/>
          </w:tcPr>
          <w:p w14:paraId="500721BE" w14:textId="77777777" w:rsidR="000A2ED4" w:rsidRPr="00E70587" w:rsidRDefault="000A2ED4" w:rsidP="00D36934">
            <w:pPr>
              <w:spacing w:line="280" w:lineRule="exact"/>
              <w:jc w:val="right"/>
              <w:rPr>
                <w:rFonts w:ascii="Arial" w:hAnsi="Arial" w:cs="Arial"/>
                <w:b/>
                <w:bCs/>
                <w:sz w:val="20"/>
              </w:rPr>
            </w:pPr>
            <w:r w:rsidRPr="00E70587">
              <w:rPr>
                <w:rFonts w:ascii="Arial" w:hAnsi="Arial" w:cs="Arial"/>
                <w:color w:val="000000"/>
                <w:sz w:val="20"/>
              </w:rPr>
              <w:t>(57)</w:t>
            </w:r>
          </w:p>
        </w:tc>
      </w:tr>
      <w:tr w:rsidR="000A2ED4" w:rsidRPr="00E70587" w14:paraId="6931887E" w14:textId="77777777" w:rsidTr="000A2ED4">
        <w:tc>
          <w:tcPr>
            <w:tcW w:w="6096" w:type="dxa"/>
          </w:tcPr>
          <w:p w14:paraId="566023C4" w14:textId="4D7B1DC4" w:rsidR="000A2ED4" w:rsidRPr="00E70587" w:rsidRDefault="004B6451" w:rsidP="00E64675">
            <w:pPr>
              <w:spacing w:line="280" w:lineRule="exact"/>
              <w:rPr>
                <w:rFonts w:ascii="Arial" w:hAnsi="Arial" w:cs="Arial"/>
                <w:sz w:val="20"/>
              </w:rPr>
            </w:pPr>
            <w:r w:rsidRPr="00C11E21">
              <w:rPr>
                <w:rFonts w:ascii="Arial" w:hAnsi="Arial" w:cs="Arial"/>
                <w:sz w:val="20"/>
              </w:rPr>
              <w:t>Trade Receivables which have significant increase in Credit Risk</w:t>
            </w:r>
          </w:p>
        </w:tc>
        <w:tc>
          <w:tcPr>
            <w:tcW w:w="1764" w:type="dxa"/>
            <w:tcMar>
              <w:right w:w="108" w:type="dxa"/>
            </w:tcMar>
            <w:vAlign w:val="center"/>
          </w:tcPr>
          <w:p w14:paraId="41490B77" w14:textId="0264208A" w:rsidR="000A2ED4" w:rsidRPr="00E70587" w:rsidRDefault="000A2ED4" w:rsidP="00E64675">
            <w:pPr>
              <w:spacing w:line="280" w:lineRule="exact"/>
              <w:jc w:val="right"/>
              <w:rPr>
                <w:rFonts w:ascii="Arial" w:hAnsi="Arial" w:cs="Arial"/>
                <w:sz w:val="20"/>
              </w:rPr>
            </w:pPr>
            <w:r w:rsidRPr="00E70587">
              <w:rPr>
                <w:rFonts w:ascii="Arial" w:hAnsi="Arial" w:cs="Arial"/>
                <w:color w:val="000000"/>
                <w:sz w:val="20"/>
              </w:rPr>
              <w:t>(</w:t>
            </w:r>
            <w:r w:rsidR="004B6451">
              <w:rPr>
                <w:rFonts w:ascii="Arial" w:hAnsi="Arial" w:cs="Arial"/>
                <w:color w:val="000000"/>
                <w:sz w:val="20"/>
              </w:rPr>
              <w:t>134</w:t>
            </w:r>
            <w:r w:rsidRPr="00E70587">
              <w:rPr>
                <w:rFonts w:ascii="Arial" w:hAnsi="Arial" w:cs="Arial"/>
                <w:color w:val="000000"/>
                <w:sz w:val="20"/>
              </w:rPr>
              <w:t>)</w:t>
            </w:r>
          </w:p>
        </w:tc>
        <w:tc>
          <w:tcPr>
            <w:tcW w:w="1761" w:type="dxa"/>
            <w:tcMar>
              <w:right w:w="108" w:type="dxa"/>
            </w:tcMar>
            <w:vAlign w:val="center"/>
          </w:tcPr>
          <w:p w14:paraId="2A49B856" w14:textId="223F31BD" w:rsidR="000A2ED4" w:rsidRPr="00E70587" w:rsidRDefault="000A2ED4" w:rsidP="00E64675">
            <w:pPr>
              <w:spacing w:line="280" w:lineRule="exact"/>
              <w:jc w:val="right"/>
              <w:rPr>
                <w:rFonts w:ascii="Arial" w:hAnsi="Arial" w:cs="Arial"/>
                <w:sz w:val="20"/>
              </w:rPr>
            </w:pPr>
            <w:r w:rsidRPr="00E70587">
              <w:rPr>
                <w:rFonts w:ascii="Arial" w:hAnsi="Arial" w:cs="Arial"/>
                <w:color w:val="000000"/>
                <w:sz w:val="20"/>
              </w:rPr>
              <w:t>(</w:t>
            </w:r>
            <w:r w:rsidR="004B6451">
              <w:rPr>
                <w:rFonts w:ascii="Arial" w:hAnsi="Arial" w:cs="Arial"/>
                <w:color w:val="000000"/>
                <w:sz w:val="20"/>
              </w:rPr>
              <w:t>121</w:t>
            </w:r>
            <w:r w:rsidRPr="00E70587">
              <w:rPr>
                <w:rFonts w:ascii="Arial" w:hAnsi="Arial" w:cs="Arial"/>
                <w:color w:val="000000"/>
                <w:sz w:val="20"/>
              </w:rPr>
              <w:t>)</w:t>
            </w:r>
          </w:p>
        </w:tc>
      </w:tr>
      <w:tr w:rsidR="004B6451" w:rsidRPr="00E70587" w14:paraId="405D21DA" w14:textId="77777777" w:rsidTr="000A2ED4">
        <w:tc>
          <w:tcPr>
            <w:tcW w:w="6096" w:type="dxa"/>
          </w:tcPr>
          <w:p w14:paraId="2C4E2E07" w14:textId="77777777" w:rsidR="004B6451" w:rsidRPr="00E70587" w:rsidRDefault="00A0419B" w:rsidP="00A0419B">
            <w:pPr>
              <w:spacing w:line="280" w:lineRule="exact"/>
              <w:rPr>
                <w:rFonts w:ascii="Arial" w:hAnsi="Arial" w:cs="Arial"/>
                <w:sz w:val="20"/>
              </w:rPr>
            </w:pPr>
            <w:r>
              <w:rPr>
                <w:rFonts w:ascii="Arial" w:hAnsi="Arial" w:cs="Arial"/>
                <w:sz w:val="20"/>
              </w:rPr>
              <w:t>Trade receivables - c</w:t>
            </w:r>
            <w:r w:rsidR="004B6451">
              <w:rPr>
                <w:rFonts w:ascii="Arial" w:hAnsi="Arial" w:cs="Arial"/>
                <w:sz w:val="20"/>
              </w:rPr>
              <w:t>redit impaired</w:t>
            </w:r>
          </w:p>
        </w:tc>
        <w:tc>
          <w:tcPr>
            <w:tcW w:w="1764" w:type="dxa"/>
            <w:tcMar>
              <w:right w:w="108" w:type="dxa"/>
            </w:tcMar>
            <w:vAlign w:val="center"/>
          </w:tcPr>
          <w:p w14:paraId="4E489DBB" w14:textId="77777777" w:rsidR="004B6451" w:rsidRPr="00E70587" w:rsidRDefault="004B6451" w:rsidP="00E64675">
            <w:pPr>
              <w:spacing w:line="280" w:lineRule="exact"/>
              <w:jc w:val="right"/>
              <w:rPr>
                <w:rFonts w:ascii="Arial" w:hAnsi="Arial" w:cs="Arial"/>
                <w:color w:val="000000"/>
                <w:sz w:val="20"/>
              </w:rPr>
            </w:pPr>
            <w:r>
              <w:rPr>
                <w:rFonts w:ascii="Arial" w:hAnsi="Arial" w:cs="Arial"/>
                <w:color w:val="000000"/>
                <w:sz w:val="20"/>
              </w:rPr>
              <w:t>(125)</w:t>
            </w:r>
          </w:p>
        </w:tc>
        <w:tc>
          <w:tcPr>
            <w:tcW w:w="1761" w:type="dxa"/>
            <w:tcMar>
              <w:right w:w="108" w:type="dxa"/>
            </w:tcMar>
            <w:vAlign w:val="center"/>
          </w:tcPr>
          <w:p w14:paraId="52D7EAF2" w14:textId="77777777" w:rsidR="004B6451" w:rsidRPr="00E70587" w:rsidRDefault="004B6451" w:rsidP="00E64675">
            <w:pPr>
              <w:spacing w:line="280" w:lineRule="exact"/>
              <w:jc w:val="right"/>
              <w:rPr>
                <w:rFonts w:ascii="Arial" w:hAnsi="Arial" w:cs="Arial"/>
                <w:color w:val="000000"/>
                <w:sz w:val="20"/>
              </w:rPr>
            </w:pPr>
            <w:r>
              <w:rPr>
                <w:rFonts w:ascii="Arial" w:hAnsi="Arial" w:cs="Arial"/>
                <w:color w:val="000000"/>
                <w:sz w:val="20"/>
              </w:rPr>
              <w:t>(112)</w:t>
            </w:r>
          </w:p>
        </w:tc>
      </w:tr>
      <w:tr w:rsidR="000A2ED4" w:rsidRPr="00E70587" w14:paraId="4E597098" w14:textId="77777777" w:rsidTr="000A2ED4">
        <w:tc>
          <w:tcPr>
            <w:tcW w:w="6096" w:type="dxa"/>
          </w:tcPr>
          <w:p w14:paraId="4FE87D2A" w14:textId="77777777" w:rsidR="000A2ED4" w:rsidRPr="00E70587" w:rsidRDefault="000A2ED4" w:rsidP="00E64675">
            <w:pPr>
              <w:spacing w:line="280" w:lineRule="exact"/>
              <w:rPr>
                <w:rFonts w:ascii="Arial" w:hAnsi="Arial" w:cs="Arial"/>
                <w:sz w:val="20"/>
              </w:rPr>
            </w:pPr>
          </w:p>
        </w:tc>
        <w:tc>
          <w:tcPr>
            <w:tcW w:w="1764" w:type="dxa"/>
            <w:tcBorders>
              <w:bottom w:val="single" w:sz="2" w:space="0" w:color="000000" w:themeColor="text1"/>
            </w:tcBorders>
            <w:tcMar>
              <w:right w:w="108" w:type="dxa"/>
            </w:tcMar>
            <w:vAlign w:val="center"/>
          </w:tcPr>
          <w:p w14:paraId="25168D59" w14:textId="77777777" w:rsidR="000A2ED4" w:rsidRPr="00E70587" w:rsidRDefault="000A2ED4" w:rsidP="00E64675">
            <w:pPr>
              <w:spacing w:line="280" w:lineRule="exact"/>
              <w:jc w:val="right"/>
              <w:rPr>
                <w:rFonts w:ascii="Arial" w:hAnsi="Arial" w:cs="Arial"/>
                <w:b/>
                <w:bCs/>
                <w:sz w:val="20"/>
              </w:rPr>
            </w:pPr>
          </w:p>
        </w:tc>
        <w:tc>
          <w:tcPr>
            <w:tcW w:w="1761" w:type="dxa"/>
            <w:tcBorders>
              <w:bottom w:val="single" w:sz="2" w:space="0" w:color="000000" w:themeColor="text1"/>
            </w:tcBorders>
            <w:tcMar>
              <w:right w:w="108" w:type="dxa"/>
            </w:tcMar>
            <w:vAlign w:val="center"/>
          </w:tcPr>
          <w:p w14:paraId="6D39680B" w14:textId="77777777" w:rsidR="000A2ED4" w:rsidRPr="00E70587" w:rsidRDefault="000A2ED4" w:rsidP="00E64675">
            <w:pPr>
              <w:spacing w:line="280" w:lineRule="exact"/>
              <w:jc w:val="right"/>
              <w:rPr>
                <w:rFonts w:ascii="Arial" w:hAnsi="Arial" w:cs="Arial"/>
                <w:b/>
                <w:bCs/>
                <w:sz w:val="20"/>
              </w:rPr>
            </w:pPr>
          </w:p>
        </w:tc>
      </w:tr>
      <w:tr w:rsidR="000A2ED4" w:rsidRPr="00E70587" w14:paraId="11F50759" w14:textId="77777777" w:rsidTr="000A2ED4">
        <w:tc>
          <w:tcPr>
            <w:tcW w:w="6096" w:type="dxa"/>
            <w:vAlign w:val="center"/>
          </w:tcPr>
          <w:p w14:paraId="58416822" w14:textId="77777777" w:rsidR="000A2ED4" w:rsidRPr="00E70587" w:rsidRDefault="000A2ED4" w:rsidP="00D36934">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Total Trade receivables</w:t>
            </w:r>
          </w:p>
        </w:tc>
        <w:tc>
          <w:tcPr>
            <w:tcW w:w="1764" w:type="dxa"/>
            <w:tcBorders>
              <w:top w:val="single" w:sz="2" w:space="0" w:color="000000" w:themeColor="text1"/>
              <w:bottom w:val="double" w:sz="4" w:space="0" w:color="auto"/>
            </w:tcBorders>
            <w:tcMar>
              <w:right w:w="108" w:type="dxa"/>
            </w:tcMar>
            <w:vAlign w:val="center"/>
          </w:tcPr>
          <w:p w14:paraId="6044D649" w14:textId="77777777" w:rsidR="000A2ED4" w:rsidRPr="00E70587" w:rsidRDefault="000A2ED4" w:rsidP="008D4DB9">
            <w:pPr>
              <w:spacing w:line="280" w:lineRule="exact"/>
              <w:jc w:val="right"/>
              <w:rPr>
                <w:rFonts w:ascii="Arial" w:hAnsi="Arial" w:cs="Arial"/>
                <w:b/>
                <w:bCs/>
                <w:sz w:val="20"/>
              </w:rPr>
            </w:pPr>
            <w:r w:rsidRPr="00E70587">
              <w:rPr>
                <w:rFonts w:ascii="Arial" w:hAnsi="Arial"/>
                <w:b/>
                <w:bCs/>
                <w:color w:val="000000"/>
                <w:sz w:val="20"/>
              </w:rPr>
              <w:t>44,</w:t>
            </w:r>
            <w:r w:rsidR="008D4DB9" w:rsidRPr="00E70587">
              <w:rPr>
                <w:rFonts w:ascii="Arial" w:hAnsi="Arial"/>
                <w:b/>
                <w:bCs/>
                <w:color w:val="000000"/>
                <w:sz w:val="20"/>
              </w:rPr>
              <w:t>46</w:t>
            </w:r>
            <w:r w:rsidR="00264B9F" w:rsidRPr="00E70587">
              <w:rPr>
                <w:rFonts w:ascii="Arial" w:hAnsi="Arial"/>
                <w:b/>
                <w:bCs/>
                <w:color w:val="000000"/>
                <w:sz w:val="20"/>
              </w:rPr>
              <w:t>4</w:t>
            </w:r>
          </w:p>
        </w:tc>
        <w:tc>
          <w:tcPr>
            <w:tcW w:w="1761" w:type="dxa"/>
            <w:tcBorders>
              <w:top w:val="single" w:sz="2" w:space="0" w:color="000000" w:themeColor="text1"/>
              <w:bottom w:val="double" w:sz="4" w:space="0" w:color="auto"/>
            </w:tcBorders>
            <w:tcMar>
              <w:right w:w="108" w:type="dxa"/>
            </w:tcMar>
            <w:vAlign w:val="center"/>
          </w:tcPr>
          <w:p w14:paraId="4BDDAAFA" w14:textId="4728BC2F" w:rsidR="000A2ED4" w:rsidRPr="00E70587" w:rsidRDefault="000A2ED4" w:rsidP="00D36934">
            <w:pPr>
              <w:spacing w:line="280" w:lineRule="exact"/>
              <w:jc w:val="right"/>
              <w:rPr>
                <w:rFonts w:ascii="Arial" w:hAnsi="Arial" w:cs="Arial"/>
                <w:b/>
                <w:bCs/>
                <w:sz w:val="20"/>
              </w:rPr>
            </w:pPr>
            <w:r w:rsidRPr="00E70587">
              <w:rPr>
                <w:rFonts w:ascii="Arial" w:hAnsi="Arial"/>
                <w:b/>
                <w:bCs/>
                <w:color w:val="000000"/>
                <w:sz w:val="20"/>
              </w:rPr>
              <w:t>38,</w:t>
            </w:r>
            <w:r w:rsidR="00571CCD" w:rsidRPr="00E70587">
              <w:rPr>
                <w:rFonts w:ascii="Arial" w:hAnsi="Arial"/>
                <w:b/>
                <w:bCs/>
                <w:color w:val="000000"/>
                <w:sz w:val="20"/>
              </w:rPr>
              <w:t>23</w:t>
            </w:r>
            <w:r w:rsidR="00571CCD">
              <w:rPr>
                <w:rFonts w:ascii="Arial" w:hAnsi="Arial"/>
                <w:b/>
                <w:bCs/>
                <w:color w:val="000000"/>
                <w:sz w:val="20"/>
              </w:rPr>
              <w:t>5</w:t>
            </w:r>
          </w:p>
        </w:tc>
      </w:tr>
    </w:tbl>
    <w:p w14:paraId="0027A299" w14:textId="77777777" w:rsidR="00474E53" w:rsidRPr="00E70587" w:rsidRDefault="00474E53" w:rsidP="00333A4B">
      <w:pPr>
        <w:spacing w:line="280" w:lineRule="exact"/>
        <w:rPr>
          <w:rFonts w:ascii="Arial" w:hAnsi="Arial" w:cs="Arial"/>
          <w:sz w:val="20"/>
        </w:rPr>
      </w:pPr>
    </w:p>
    <w:tbl>
      <w:tblPr>
        <w:tblW w:w="9576" w:type="dxa"/>
        <w:tblLook w:val="0000" w:firstRow="0" w:lastRow="0" w:firstColumn="0" w:lastColumn="0" w:noHBand="0" w:noVBand="0"/>
      </w:tblPr>
      <w:tblGrid>
        <w:gridCol w:w="9576"/>
      </w:tblGrid>
      <w:tr w:rsidR="00333A4B" w:rsidRPr="00E70587" w14:paraId="682D2CB9" w14:textId="77777777" w:rsidTr="00543062">
        <w:tc>
          <w:tcPr>
            <w:tcW w:w="0" w:type="auto"/>
          </w:tcPr>
          <w:p w14:paraId="0B958314" w14:textId="77777777" w:rsidR="00333A4B" w:rsidRPr="00E70587" w:rsidRDefault="00333A4B" w:rsidP="00543062">
            <w:pPr>
              <w:spacing w:line="280" w:lineRule="exact"/>
              <w:jc w:val="both"/>
              <w:rPr>
                <w:rFonts w:ascii="Arial" w:hAnsi="Arial" w:cs="Arial"/>
                <w:sz w:val="20"/>
              </w:rPr>
            </w:pPr>
            <w:r w:rsidRPr="00E70587">
              <w:rPr>
                <w:rFonts w:ascii="Arial" w:hAnsi="Arial" w:cs="Arial"/>
                <w:sz w:val="20"/>
              </w:rPr>
              <w:t>No trade or other receivable are due from directors or other officers of the company either severally or jointly with any other person. Nor any trade or other receivable are due from firms or private companies respectively in which any director is a partner, a director or a member.</w:t>
            </w:r>
          </w:p>
          <w:p w14:paraId="01D2524A" w14:textId="77777777" w:rsidR="00333A4B" w:rsidRPr="00E70587" w:rsidRDefault="00333A4B" w:rsidP="00543062">
            <w:pPr>
              <w:spacing w:line="280" w:lineRule="exact"/>
              <w:jc w:val="both"/>
              <w:rPr>
                <w:rFonts w:ascii="Arial" w:hAnsi="Arial" w:cs="Arial"/>
                <w:sz w:val="20"/>
              </w:rPr>
            </w:pPr>
          </w:p>
          <w:p w14:paraId="7CAB8F53" w14:textId="00C83603" w:rsidR="00333A4B" w:rsidRPr="00E70587" w:rsidRDefault="00333A4B" w:rsidP="00543062">
            <w:pPr>
              <w:pStyle w:val="Notesbodytext"/>
              <w:spacing w:after="0" w:line="280" w:lineRule="exact"/>
              <w:jc w:val="both"/>
              <w:rPr>
                <w:rFonts w:ascii="Arial" w:hAnsi="Arial"/>
                <w:color w:val="auto"/>
                <w:sz w:val="20"/>
              </w:rPr>
            </w:pPr>
            <w:r w:rsidRPr="00E70587">
              <w:rPr>
                <w:rFonts w:ascii="Arial" w:hAnsi="Arial"/>
                <w:color w:val="auto"/>
                <w:sz w:val="20"/>
              </w:rPr>
              <w:t xml:space="preserve">For terms and conditions relating to related party receivables, refer Note </w:t>
            </w:r>
            <w:r w:rsidR="00B83F60" w:rsidRPr="00E70587">
              <w:rPr>
                <w:rFonts w:ascii="Arial" w:hAnsi="Arial"/>
                <w:color w:val="auto"/>
                <w:sz w:val="20"/>
              </w:rPr>
              <w:t>4</w:t>
            </w:r>
            <w:r w:rsidR="00B83F60">
              <w:rPr>
                <w:rFonts w:ascii="Arial" w:hAnsi="Arial"/>
                <w:color w:val="auto"/>
                <w:sz w:val="20"/>
              </w:rPr>
              <w:t>4</w:t>
            </w:r>
            <w:r w:rsidRPr="00E70587">
              <w:rPr>
                <w:rFonts w:ascii="Arial" w:hAnsi="Arial"/>
                <w:color w:val="auto"/>
                <w:sz w:val="20"/>
              </w:rPr>
              <w:t>.</w:t>
            </w:r>
          </w:p>
          <w:p w14:paraId="5CA66BC7" w14:textId="77777777" w:rsidR="00333A4B" w:rsidRPr="00E70587" w:rsidRDefault="00333A4B" w:rsidP="00543062">
            <w:pPr>
              <w:pStyle w:val="Notesbodytext"/>
              <w:spacing w:after="0" w:line="280" w:lineRule="exact"/>
              <w:jc w:val="both"/>
              <w:rPr>
                <w:rFonts w:ascii="Arial" w:hAnsi="Arial"/>
                <w:color w:val="auto"/>
                <w:sz w:val="20"/>
              </w:rPr>
            </w:pPr>
          </w:p>
          <w:p w14:paraId="77818848" w14:textId="77777777" w:rsidR="00333A4B" w:rsidRPr="00E70587" w:rsidRDefault="00333A4B" w:rsidP="00543062">
            <w:pPr>
              <w:pStyle w:val="Notesbodytext"/>
              <w:spacing w:after="0" w:line="280" w:lineRule="exact"/>
              <w:jc w:val="both"/>
              <w:rPr>
                <w:rFonts w:ascii="Arial" w:hAnsi="Arial"/>
                <w:color w:val="auto"/>
                <w:sz w:val="20"/>
              </w:rPr>
            </w:pPr>
            <w:r w:rsidRPr="00E70587">
              <w:rPr>
                <w:rFonts w:ascii="Arial" w:hAnsi="Arial"/>
                <w:color w:val="auto"/>
                <w:sz w:val="20"/>
              </w:rPr>
              <w:t>Trade receivables are non-interest bearing and are generally on terms of 30 to 90 days.</w:t>
            </w:r>
          </w:p>
          <w:p w14:paraId="3F562DF0" w14:textId="77777777" w:rsidR="00333A4B" w:rsidRPr="00E70587" w:rsidRDefault="00333A4B" w:rsidP="00543062">
            <w:pPr>
              <w:spacing w:line="280" w:lineRule="exact"/>
              <w:jc w:val="both"/>
              <w:rPr>
                <w:rFonts w:ascii="Arial" w:hAnsi="Arial" w:cs="Arial"/>
                <w:sz w:val="20"/>
              </w:rPr>
            </w:pPr>
          </w:p>
        </w:tc>
      </w:tr>
    </w:tbl>
    <w:p w14:paraId="28199B90" w14:textId="77777777" w:rsidR="00333A4B" w:rsidRPr="00E70587" w:rsidRDefault="00333A4B" w:rsidP="00333A4B">
      <w:pPr>
        <w:pStyle w:val="Tablecolumnheading"/>
        <w:spacing w:line="280" w:lineRule="exact"/>
        <w:jc w:val="left"/>
        <w:rPr>
          <w:rFonts w:ascii="Arial" w:hAnsi="Arial"/>
          <w:b w:val="0"/>
          <w:sz w:val="20"/>
          <w:szCs w:val="20"/>
          <w:lang w:val="en-IN"/>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1C1C1" w:themeFill="background1" w:themeFillTint="66"/>
        <w:tblLook w:val="04A0" w:firstRow="1" w:lastRow="0" w:firstColumn="1" w:lastColumn="0" w:noHBand="0" w:noVBand="1"/>
      </w:tblPr>
      <w:tblGrid>
        <w:gridCol w:w="9630"/>
      </w:tblGrid>
      <w:tr w:rsidR="00333A4B" w:rsidRPr="00E70587" w14:paraId="42EFD87D" w14:textId="77777777" w:rsidTr="00872508">
        <w:tc>
          <w:tcPr>
            <w:tcW w:w="9630" w:type="dxa"/>
            <w:shd w:val="clear" w:color="auto" w:fill="C1C1C1" w:themeFill="background1" w:themeFillTint="66"/>
          </w:tcPr>
          <w:p w14:paraId="79719B6E" w14:textId="77777777" w:rsidR="00333A4B" w:rsidRPr="00E70587" w:rsidRDefault="00333A4B" w:rsidP="00543062">
            <w:pPr>
              <w:pStyle w:val="Tablecolumnheading"/>
              <w:spacing w:line="280" w:lineRule="exact"/>
              <w:jc w:val="left"/>
              <w:rPr>
                <w:rFonts w:ascii="Arial" w:hAnsi="Arial"/>
                <w:sz w:val="20"/>
                <w:szCs w:val="20"/>
                <w:lang w:val="en-IN"/>
              </w:rPr>
            </w:pPr>
            <w:r w:rsidRPr="00E70587">
              <w:rPr>
                <w:rFonts w:ascii="Arial" w:hAnsi="Arial"/>
                <w:sz w:val="20"/>
                <w:szCs w:val="20"/>
                <w:lang w:val="en-IN"/>
              </w:rPr>
              <w:t>Authors’ note</w:t>
            </w:r>
          </w:p>
          <w:p w14:paraId="1664CD0A" w14:textId="77777777" w:rsidR="00333A4B" w:rsidRPr="00E70587" w:rsidRDefault="00333A4B" w:rsidP="00543062">
            <w:pPr>
              <w:pStyle w:val="Tablecolumnheading"/>
              <w:spacing w:line="280" w:lineRule="exact"/>
              <w:jc w:val="left"/>
              <w:rPr>
                <w:rFonts w:ascii="Arial" w:hAnsi="Arial"/>
                <w:b w:val="0"/>
                <w:sz w:val="20"/>
                <w:szCs w:val="20"/>
                <w:lang w:val="en-IN"/>
              </w:rPr>
            </w:pPr>
          </w:p>
          <w:p w14:paraId="341AB8B3" w14:textId="72AF2009" w:rsidR="00333A4B" w:rsidRPr="00E70587" w:rsidRDefault="00333A4B" w:rsidP="00543062">
            <w:pPr>
              <w:pStyle w:val="Tablecolumnheading"/>
              <w:spacing w:line="280" w:lineRule="exact"/>
              <w:jc w:val="both"/>
              <w:rPr>
                <w:rFonts w:ascii="Arial" w:hAnsi="Arial"/>
                <w:b w:val="0"/>
                <w:sz w:val="20"/>
                <w:szCs w:val="20"/>
                <w:lang w:val="en-IN"/>
              </w:rPr>
            </w:pPr>
            <w:r w:rsidRPr="00E70587">
              <w:rPr>
                <w:rFonts w:ascii="Arial" w:hAnsi="Arial"/>
                <w:b w:val="0"/>
                <w:sz w:val="20"/>
                <w:szCs w:val="20"/>
                <w:lang w:val="en-IN"/>
              </w:rPr>
              <w:t>Ind AS compliant Schedule requires that debts due by directors or other officers of the company or any of them either severally or jointly with any other person or debts due by firms or private companies respectively in</w:t>
            </w:r>
            <w:r w:rsidR="00872508">
              <w:rPr>
                <w:rFonts w:ascii="Arial" w:hAnsi="Arial"/>
                <w:b w:val="0"/>
                <w:sz w:val="20"/>
                <w:szCs w:val="20"/>
                <w:lang w:val="en-IN"/>
              </w:rPr>
              <w:t xml:space="preserve"> </w:t>
            </w:r>
            <w:r w:rsidRPr="00E70587">
              <w:rPr>
                <w:rFonts w:ascii="Arial" w:hAnsi="Arial"/>
                <w:b w:val="0"/>
                <w:sz w:val="20"/>
                <w:szCs w:val="20"/>
                <w:lang w:val="en-IN"/>
              </w:rPr>
              <w:t>which any director is a partner or a director or a member should be separately stated.</w:t>
            </w:r>
          </w:p>
          <w:p w14:paraId="002C6A1F" w14:textId="77777777" w:rsidR="00333A4B" w:rsidRPr="00E70587" w:rsidRDefault="00333A4B" w:rsidP="00543062">
            <w:pPr>
              <w:pStyle w:val="tabletext"/>
              <w:rPr>
                <w:rFonts w:ascii="Arial" w:hAnsi="Arial"/>
                <w:lang w:val="en-IN"/>
              </w:rPr>
            </w:pPr>
          </w:p>
        </w:tc>
      </w:tr>
    </w:tbl>
    <w:p w14:paraId="06511A38" w14:textId="7B3A04BF" w:rsidR="00333A4B" w:rsidRDefault="00333A4B" w:rsidP="00333A4B">
      <w:pPr>
        <w:pStyle w:val="Tablecolumnheading"/>
        <w:spacing w:line="280" w:lineRule="exact"/>
        <w:jc w:val="left"/>
        <w:rPr>
          <w:rFonts w:ascii="Arial" w:hAnsi="Arial"/>
          <w:b w:val="0"/>
          <w:sz w:val="20"/>
          <w:szCs w:val="20"/>
          <w:lang w:val="en-IN"/>
        </w:rPr>
      </w:pPr>
    </w:p>
    <w:p w14:paraId="7BD5093F" w14:textId="481227A1" w:rsidR="00AD2F50" w:rsidRDefault="00AD2F50" w:rsidP="00AD2F50">
      <w:pPr>
        <w:pStyle w:val="tabletext"/>
        <w:rPr>
          <w:lang w:val="en-IN"/>
        </w:rPr>
      </w:pPr>
    </w:p>
    <w:p w14:paraId="652B957E" w14:textId="190EEC75" w:rsidR="00AD2F50" w:rsidRPr="00AD2F50" w:rsidRDefault="00AD2F50" w:rsidP="00E94FA5">
      <w:pPr>
        <w:pStyle w:val="tabletext"/>
        <w:shd w:val="clear" w:color="auto" w:fill="C1C1C1" w:themeFill="background2" w:themeFillTint="66"/>
        <w:spacing w:line="240" w:lineRule="auto"/>
        <w:rPr>
          <w:rFonts w:ascii="Arial" w:hAnsi="Arial" w:cs="Arial"/>
          <w:b/>
          <w:bCs/>
          <w:sz w:val="20"/>
          <w:szCs w:val="22"/>
          <w:lang w:val="en-IN"/>
        </w:rPr>
      </w:pPr>
      <w:r w:rsidRPr="00AD2F50">
        <w:rPr>
          <w:rFonts w:ascii="Arial" w:hAnsi="Arial" w:cs="Arial"/>
          <w:b/>
          <w:bCs/>
          <w:sz w:val="20"/>
          <w:szCs w:val="22"/>
          <w:lang w:val="en-IN"/>
        </w:rPr>
        <w:t xml:space="preserve">Covid-19 commentary </w:t>
      </w:r>
    </w:p>
    <w:p w14:paraId="6C91F08F" w14:textId="77777777" w:rsidR="00AD2F50" w:rsidRPr="00AD2F50" w:rsidRDefault="00AD2F50" w:rsidP="00E94FA5">
      <w:pPr>
        <w:pStyle w:val="tabletext"/>
        <w:shd w:val="clear" w:color="auto" w:fill="C1C1C1" w:themeFill="background2" w:themeFillTint="66"/>
        <w:spacing w:line="240" w:lineRule="auto"/>
        <w:rPr>
          <w:rFonts w:ascii="Arial" w:hAnsi="Arial" w:cs="Arial"/>
          <w:sz w:val="20"/>
          <w:szCs w:val="22"/>
          <w:lang w:val="en-IN"/>
        </w:rPr>
      </w:pPr>
    </w:p>
    <w:p w14:paraId="5412E394" w14:textId="6B025864" w:rsidR="00AD2F50" w:rsidRPr="00AD2F50" w:rsidRDefault="00AD2F50" w:rsidP="00E94FA5">
      <w:pPr>
        <w:pStyle w:val="tabletext"/>
        <w:shd w:val="clear" w:color="auto" w:fill="C1C1C1" w:themeFill="background2" w:themeFillTint="66"/>
        <w:spacing w:line="240" w:lineRule="auto"/>
        <w:rPr>
          <w:rFonts w:ascii="Arial" w:hAnsi="Arial" w:cs="Arial"/>
          <w:sz w:val="20"/>
          <w:szCs w:val="22"/>
          <w:lang w:val="en-IN"/>
        </w:rPr>
      </w:pPr>
      <w:r w:rsidRPr="00AD2F50">
        <w:rPr>
          <w:rFonts w:ascii="Arial" w:hAnsi="Arial" w:cs="Arial"/>
          <w:sz w:val="20"/>
          <w:szCs w:val="22"/>
          <w:lang w:val="en-IN"/>
        </w:rPr>
        <w:t xml:space="preserve">Expected credit losses </w:t>
      </w:r>
    </w:p>
    <w:p w14:paraId="5405F7D4" w14:textId="77777777" w:rsidR="00AD2F50" w:rsidRPr="00AD2F50" w:rsidRDefault="00AD2F50" w:rsidP="00E94FA5">
      <w:pPr>
        <w:pStyle w:val="tabletext"/>
        <w:shd w:val="clear" w:color="auto" w:fill="C1C1C1" w:themeFill="background2" w:themeFillTint="66"/>
        <w:spacing w:line="240" w:lineRule="auto"/>
        <w:rPr>
          <w:rFonts w:ascii="Arial" w:hAnsi="Arial" w:cs="Arial"/>
          <w:sz w:val="20"/>
          <w:szCs w:val="22"/>
          <w:lang w:val="en-IN"/>
        </w:rPr>
      </w:pPr>
    </w:p>
    <w:p w14:paraId="1B0655AD" w14:textId="25C70C93" w:rsidR="00AD2F50" w:rsidRPr="00AD2F50" w:rsidRDefault="00AD2F50" w:rsidP="00E94FA5">
      <w:pPr>
        <w:pStyle w:val="tabletext"/>
        <w:shd w:val="clear" w:color="auto" w:fill="C1C1C1" w:themeFill="background2" w:themeFillTint="66"/>
        <w:spacing w:line="240" w:lineRule="auto"/>
        <w:rPr>
          <w:rFonts w:ascii="Arial" w:hAnsi="Arial" w:cs="Arial"/>
          <w:sz w:val="20"/>
          <w:szCs w:val="22"/>
          <w:lang w:val="en-IN"/>
        </w:rPr>
      </w:pPr>
      <w:r w:rsidRPr="00AD2F50">
        <w:rPr>
          <w:rFonts w:ascii="Arial" w:hAnsi="Arial" w:cs="Arial"/>
          <w:sz w:val="20"/>
          <w:szCs w:val="22"/>
          <w:lang w:val="en-IN"/>
        </w:rPr>
        <w:lastRenderedPageBreak/>
        <w:t xml:space="preserve">Large-scale business disruptions may give rise to liquidity issues for some entities and consumers. Deterioration in credit quality of loan portfolios and trade receivables (amongst other items) as a result of the Covid-19 pandemic may have a significant impact on an entity’s expected credit loss (ECL) measurement. </w:t>
      </w:r>
    </w:p>
    <w:p w14:paraId="603A1F58" w14:textId="77777777" w:rsidR="00AD2F50" w:rsidRPr="00AD2F50" w:rsidRDefault="00AD2F50" w:rsidP="00E94FA5">
      <w:pPr>
        <w:pStyle w:val="tabletext"/>
        <w:shd w:val="clear" w:color="auto" w:fill="C1C1C1" w:themeFill="background2" w:themeFillTint="66"/>
        <w:spacing w:line="240" w:lineRule="auto"/>
        <w:rPr>
          <w:rFonts w:ascii="Arial" w:hAnsi="Arial" w:cs="Arial"/>
          <w:sz w:val="20"/>
          <w:szCs w:val="22"/>
          <w:lang w:val="en-IN"/>
        </w:rPr>
      </w:pPr>
    </w:p>
    <w:p w14:paraId="46DC3DCE" w14:textId="530901A1" w:rsidR="00AD2F50" w:rsidRPr="00AD2F50" w:rsidRDefault="00AD2F50" w:rsidP="00E94FA5">
      <w:pPr>
        <w:pStyle w:val="tabletext"/>
        <w:shd w:val="clear" w:color="auto" w:fill="C1C1C1" w:themeFill="background2" w:themeFillTint="66"/>
        <w:spacing w:line="240" w:lineRule="auto"/>
        <w:rPr>
          <w:rFonts w:ascii="Arial" w:hAnsi="Arial" w:cs="Arial"/>
          <w:sz w:val="20"/>
          <w:szCs w:val="22"/>
          <w:lang w:val="en-IN"/>
        </w:rPr>
      </w:pPr>
      <w:r w:rsidRPr="00AD2F50">
        <w:rPr>
          <w:rFonts w:ascii="Arial" w:hAnsi="Arial" w:cs="Arial"/>
          <w:sz w:val="20"/>
          <w:szCs w:val="22"/>
          <w:lang w:val="en-IN"/>
        </w:rPr>
        <w:t xml:space="preserve">A number of regulators have published guidance on the regulatory and accounting implications of the impact of the Covid-19 pandemic.  In March 2020, the IASB published a document, for educational purposes, entitled Accounting for expected credit losses applying IFRS 9 Financial Instruments in the light of current uncertainty resulting from the Covid-19 pandemic to help support the consistent application of accounting standards on expected credit losses. The document is broadly </w:t>
      </w:r>
      <w:proofErr w:type="gramStart"/>
      <w:r w:rsidRPr="00AD2F50">
        <w:rPr>
          <w:rFonts w:ascii="Arial" w:hAnsi="Arial" w:cs="Arial"/>
          <w:sz w:val="20"/>
          <w:szCs w:val="22"/>
          <w:lang w:val="en-IN"/>
        </w:rPr>
        <w:t>consistent  with</w:t>
      </w:r>
      <w:proofErr w:type="gramEnd"/>
      <w:r w:rsidRPr="00AD2F50">
        <w:rPr>
          <w:rFonts w:ascii="Arial" w:hAnsi="Arial" w:cs="Arial"/>
          <w:sz w:val="20"/>
          <w:szCs w:val="22"/>
          <w:lang w:val="en-IN"/>
        </w:rPr>
        <w:t xml:space="preserve"> the guidance from the regulators and emphasises that IFRS 9 does not set bright lines or a mechanistic approach to determining when there is a significant increase in credit risk (SICR), nor does it dictate the exact basis on which entities should determine forward looking scenarios to measure expected credit losses. </w:t>
      </w:r>
    </w:p>
    <w:p w14:paraId="1B906903" w14:textId="77777777" w:rsidR="00AD2F50" w:rsidRPr="00AD2F50" w:rsidRDefault="00AD2F50" w:rsidP="00E94FA5">
      <w:pPr>
        <w:pStyle w:val="tabletext"/>
        <w:shd w:val="clear" w:color="auto" w:fill="C1C1C1" w:themeFill="background2" w:themeFillTint="66"/>
        <w:spacing w:line="240" w:lineRule="auto"/>
        <w:rPr>
          <w:rFonts w:ascii="Arial" w:hAnsi="Arial" w:cs="Arial"/>
          <w:sz w:val="20"/>
          <w:szCs w:val="22"/>
          <w:lang w:val="en-IN"/>
        </w:rPr>
      </w:pPr>
    </w:p>
    <w:p w14:paraId="0A3BD012" w14:textId="67934423" w:rsidR="00AD2F50" w:rsidRPr="00AD2F50" w:rsidRDefault="00AD2F50" w:rsidP="00E94FA5">
      <w:pPr>
        <w:pStyle w:val="tabletext"/>
        <w:shd w:val="clear" w:color="auto" w:fill="C1C1C1" w:themeFill="background2" w:themeFillTint="66"/>
        <w:spacing w:line="240" w:lineRule="auto"/>
        <w:rPr>
          <w:rFonts w:ascii="Arial" w:hAnsi="Arial" w:cs="Arial"/>
          <w:sz w:val="20"/>
          <w:szCs w:val="22"/>
          <w:lang w:val="en-IN"/>
        </w:rPr>
      </w:pPr>
      <w:r w:rsidRPr="00AD2F50">
        <w:rPr>
          <w:rFonts w:ascii="Arial" w:hAnsi="Arial" w:cs="Arial"/>
          <w:sz w:val="20"/>
          <w:szCs w:val="22"/>
          <w:lang w:val="en-IN"/>
        </w:rPr>
        <w:t xml:space="preserve">Entities should consider the following in updating their ECL calculations due to the Covid-19 pandemic: </w:t>
      </w:r>
    </w:p>
    <w:p w14:paraId="17A9D6E6" w14:textId="77777777" w:rsidR="00AD2F50" w:rsidRPr="00AD2F50" w:rsidRDefault="00AD2F50" w:rsidP="00E94FA5">
      <w:pPr>
        <w:pStyle w:val="tabletext"/>
        <w:shd w:val="clear" w:color="auto" w:fill="C1C1C1" w:themeFill="background2" w:themeFillTint="66"/>
        <w:spacing w:line="240" w:lineRule="auto"/>
        <w:rPr>
          <w:rFonts w:ascii="Arial" w:hAnsi="Arial" w:cs="Arial"/>
          <w:sz w:val="20"/>
          <w:szCs w:val="22"/>
          <w:lang w:val="en-IN"/>
        </w:rPr>
      </w:pPr>
    </w:p>
    <w:p w14:paraId="1AE54267" w14:textId="33E30558" w:rsidR="00AD2F50" w:rsidRPr="00AD2F50" w:rsidRDefault="00AD2F50" w:rsidP="00E94FA5">
      <w:pPr>
        <w:pStyle w:val="tabletext"/>
        <w:shd w:val="clear" w:color="auto" w:fill="C1C1C1" w:themeFill="background2" w:themeFillTint="66"/>
        <w:spacing w:line="240" w:lineRule="auto"/>
        <w:rPr>
          <w:rFonts w:ascii="Arial" w:hAnsi="Arial" w:cs="Arial"/>
          <w:sz w:val="20"/>
          <w:szCs w:val="22"/>
          <w:lang w:val="en-IN"/>
        </w:rPr>
      </w:pPr>
      <w:r w:rsidRPr="00AD2F50">
        <w:rPr>
          <w:rFonts w:ascii="Arial" w:hAnsi="Arial" w:cs="Arial"/>
          <w:sz w:val="20"/>
          <w:szCs w:val="22"/>
          <w:lang w:val="en-IN"/>
        </w:rPr>
        <w:t xml:space="preserve">• The use of reasonable and supportable information. Given the unprecedented circumstances, it is critical that entities provide transparent disclosure of the critical assumptions and judgements used to measure the ECL </w:t>
      </w:r>
    </w:p>
    <w:p w14:paraId="68312C54" w14:textId="77777777" w:rsidR="00AD2F50" w:rsidRPr="00AD2F50" w:rsidRDefault="00AD2F50" w:rsidP="00E94FA5">
      <w:pPr>
        <w:pStyle w:val="tabletext"/>
        <w:shd w:val="clear" w:color="auto" w:fill="C1C1C1" w:themeFill="background2" w:themeFillTint="66"/>
        <w:spacing w:line="240" w:lineRule="auto"/>
        <w:rPr>
          <w:rFonts w:ascii="Arial" w:hAnsi="Arial" w:cs="Arial"/>
          <w:sz w:val="20"/>
          <w:szCs w:val="22"/>
          <w:lang w:val="en-IN"/>
        </w:rPr>
      </w:pPr>
      <w:r w:rsidRPr="00AD2F50">
        <w:rPr>
          <w:rFonts w:ascii="Arial" w:hAnsi="Arial" w:cs="Arial"/>
          <w:sz w:val="20"/>
          <w:szCs w:val="22"/>
          <w:lang w:val="en-IN"/>
        </w:rPr>
        <w:t xml:space="preserve">• Re-segmentation of loan portfolios or groups or receivables </w:t>
      </w:r>
    </w:p>
    <w:p w14:paraId="4F9A56AB" w14:textId="61CEF7B6" w:rsidR="00AD2F50" w:rsidRPr="00AD2F50" w:rsidRDefault="00AD2F50" w:rsidP="00E94FA5">
      <w:pPr>
        <w:pStyle w:val="tabletext"/>
        <w:shd w:val="clear" w:color="auto" w:fill="C1C1C1" w:themeFill="background2" w:themeFillTint="66"/>
        <w:spacing w:line="240" w:lineRule="auto"/>
        <w:rPr>
          <w:rFonts w:ascii="Arial" w:hAnsi="Arial" w:cs="Arial"/>
          <w:sz w:val="20"/>
          <w:szCs w:val="22"/>
          <w:lang w:val="en-IN"/>
        </w:rPr>
      </w:pPr>
      <w:r w:rsidRPr="00AD2F50">
        <w:rPr>
          <w:rFonts w:ascii="Arial" w:hAnsi="Arial" w:cs="Arial"/>
          <w:sz w:val="20"/>
          <w:szCs w:val="22"/>
          <w:lang w:val="en-IN"/>
        </w:rPr>
        <w:t xml:space="preserve">• Individual and collective assessment of loans, receivables and contract assets. In order to accelerate the detection of such changes in credit quality not yet detected at an individual level, it may be appropriate to adjust ratings and the probabilities of default on a collective basis, considering risk characteristics such as the industry or geographical location of the borrowers </w:t>
      </w:r>
    </w:p>
    <w:p w14:paraId="35271321" w14:textId="77777777" w:rsidR="00AD2F50" w:rsidRPr="00AD2F50" w:rsidRDefault="00AD2F50" w:rsidP="00E94FA5">
      <w:pPr>
        <w:pStyle w:val="tabletext"/>
        <w:shd w:val="clear" w:color="auto" w:fill="C1C1C1" w:themeFill="background2" w:themeFillTint="66"/>
        <w:spacing w:line="240" w:lineRule="auto"/>
        <w:rPr>
          <w:rFonts w:ascii="Arial" w:hAnsi="Arial" w:cs="Arial"/>
          <w:sz w:val="20"/>
          <w:szCs w:val="22"/>
          <w:lang w:val="en-IN"/>
        </w:rPr>
      </w:pPr>
      <w:r w:rsidRPr="00AD2F50">
        <w:rPr>
          <w:rFonts w:ascii="Arial" w:hAnsi="Arial" w:cs="Arial"/>
          <w:sz w:val="20"/>
          <w:szCs w:val="22"/>
          <w:lang w:val="en-IN"/>
        </w:rPr>
        <w:t>• Extension of payment terms. If payment terms are extended in light of the current economic circumstances, the terms and conditions of the extension will have to be assessed to determine their impacts on the ECL estimate</w:t>
      </w:r>
    </w:p>
    <w:p w14:paraId="49C76A4C" w14:textId="4C7810BD" w:rsidR="00AD2F50" w:rsidRPr="00AD2F50" w:rsidRDefault="00AD2F50" w:rsidP="00E94FA5">
      <w:pPr>
        <w:pStyle w:val="tabletext"/>
        <w:shd w:val="clear" w:color="auto" w:fill="C1C1C1" w:themeFill="background2" w:themeFillTint="66"/>
        <w:spacing w:line="240" w:lineRule="auto"/>
        <w:rPr>
          <w:rFonts w:ascii="Arial" w:hAnsi="Arial" w:cs="Arial"/>
          <w:sz w:val="20"/>
          <w:szCs w:val="22"/>
          <w:lang w:val="en-IN"/>
        </w:rPr>
      </w:pPr>
      <w:r w:rsidRPr="00AD2F50">
        <w:rPr>
          <w:rFonts w:ascii="Arial" w:hAnsi="Arial" w:cs="Arial"/>
          <w:sz w:val="20"/>
          <w:szCs w:val="22"/>
          <w:lang w:val="en-IN"/>
        </w:rPr>
        <w:t xml:space="preserve"> </w:t>
      </w:r>
    </w:p>
    <w:p w14:paraId="7B87258C" w14:textId="55C32B7C" w:rsidR="00AD2F50" w:rsidRPr="00AD2F50" w:rsidRDefault="00AD2F50" w:rsidP="00E94FA5">
      <w:pPr>
        <w:pStyle w:val="tabletext"/>
        <w:shd w:val="clear" w:color="auto" w:fill="C1C1C1" w:themeFill="background2" w:themeFillTint="66"/>
        <w:spacing w:line="240" w:lineRule="auto"/>
        <w:rPr>
          <w:rFonts w:ascii="Arial" w:hAnsi="Arial" w:cs="Arial"/>
          <w:sz w:val="20"/>
          <w:szCs w:val="22"/>
          <w:lang w:val="en-IN"/>
        </w:rPr>
      </w:pPr>
      <w:r w:rsidRPr="00AD2F50">
        <w:rPr>
          <w:rFonts w:ascii="Arial" w:hAnsi="Arial" w:cs="Arial"/>
          <w:sz w:val="20"/>
          <w:szCs w:val="22"/>
          <w:lang w:val="en-IN"/>
        </w:rPr>
        <w:t>The ECL calculation and the measurement of significant deterioration in credit risk both incorporate forward-looking information using a range of macroeconomic scenarios and, as such, entities need to reassess the inputs to their provision matrix used to calculate ECLs. Uncertainties in market trends and economic conditions may persist due to Covid-19 pandemic, which may impact actual results which differ materially from the estimates in ECL.</w:t>
      </w:r>
    </w:p>
    <w:p w14:paraId="135A26FB" w14:textId="77777777" w:rsidR="00AD2F50" w:rsidRPr="00AD2F50" w:rsidRDefault="00AD2F50" w:rsidP="00AD2F50">
      <w:pPr>
        <w:pStyle w:val="tabletext"/>
        <w:rPr>
          <w:lang w:val="en-IN"/>
        </w:rPr>
      </w:pPr>
    </w:p>
    <w:p w14:paraId="706779EF" w14:textId="77777777" w:rsidR="00333A4B" w:rsidRPr="00E70587" w:rsidRDefault="00333A4B" w:rsidP="00333A4B">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Cash and cash equivalents</w:t>
      </w:r>
    </w:p>
    <w:p w14:paraId="4CBDAA61" w14:textId="77777777" w:rsidR="00333A4B" w:rsidRPr="00E70587" w:rsidRDefault="00333A4B" w:rsidP="00333A4B">
      <w:pPr>
        <w:pStyle w:val="ViralheadingL2"/>
        <w:keepNext w:val="0"/>
        <w:spacing w:before="0" w:after="0" w:line="280" w:lineRule="exact"/>
        <w:outlineLvl w:val="9"/>
        <w:rPr>
          <w:rFonts w:ascii="Arial" w:hAnsi="Arial" w:cs="Arial"/>
          <w:b w:val="0"/>
          <w:sz w:val="20"/>
          <w:szCs w:val="20"/>
        </w:rPr>
      </w:pPr>
    </w:p>
    <w:tbl>
      <w:tblPr>
        <w:tblW w:w="9800" w:type="dxa"/>
        <w:tblBorders>
          <w:bottom w:val="single" w:sz="4" w:space="0" w:color="auto"/>
        </w:tblBorders>
        <w:tblLayout w:type="fixed"/>
        <w:tblLook w:val="01E0" w:firstRow="1" w:lastRow="1" w:firstColumn="1" w:lastColumn="1" w:noHBand="0" w:noVBand="0"/>
      </w:tblPr>
      <w:tblGrid>
        <w:gridCol w:w="6096"/>
        <w:gridCol w:w="1807"/>
        <w:gridCol w:w="1897"/>
      </w:tblGrid>
      <w:tr w:rsidR="000A2ED4" w:rsidRPr="00E70587" w14:paraId="0711FCAA" w14:textId="77777777" w:rsidTr="000A2ED4">
        <w:tc>
          <w:tcPr>
            <w:tcW w:w="6096" w:type="dxa"/>
            <w:vAlign w:val="center"/>
          </w:tcPr>
          <w:p w14:paraId="233E1C17"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807" w:type="dxa"/>
            <w:tcBorders>
              <w:bottom w:val="single" w:sz="4" w:space="0" w:color="auto"/>
            </w:tcBorders>
            <w:vAlign w:val="bottom"/>
          </w:tcPr>
          <w:p w14:paraId="20C85175" w14:textId="1BCCC9E3" w:rsidR="000A2ED4" w:rsidRPr="00E70587" w:rsidRDefault="000A2ED4"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B96252" w:rsidRPr="00E70587">
              <w:rPr>
                <w:rFonts w:ascii="Arial" w:hAnsi="Arial"/>
                <w:color w:val="auto"/>
                <w:sz w:val="20"/>
                <w:szCs w:val="20"/>
                <w:lang w:val="en-IN"/>
              </w:rPr>
              <w:t>20</w:t>
            </w:r>
            <w:r w:rsidR="00B96252">
              <w:rPr>
                <w:rFonts w:ascii="Arial" w:hAnsi="Arial"/>
                <w:color w:val="auto"/>
                <w:sz w:val="20"/>
                <w:szCs w:val="20"/>
                <w:lang w:val="en-IN"/>
              </w:rPr>
              <w:t>21</w:t>
            </w:r>
          </w:p>
        </w:tc>
        <w:tc>
          <w:tcPr>
            <w:tcW w:w="1897" w:type="dxa"/>
            <w:tcBorders>
              <w:bottom w:val="single" w:sz="4" w:space="0" w:color="auto"/>
            </w:tcBorders>
            <w:vAlign w:val="bottom"/>
          </w:tcPr>
          <w:p w14:paraId="3FE9CAB3" w14:textId="1A69D72B" w:rsidR="000A2ED4" w:rsidRPr="00E70587" w:rsidRDefault="000A2ED4"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B96252" w:rsidRPr="00E70587">
              <w:rPr>
                <w:rFonts w:ascii="Arial" w:hAnsi="Arial"/>
                <w:color w:val="auto"/>
                <w:sz w:val="20"/>
                <w:szCs w:val="20"/>
                <w:lang w:val="en-IN"/>
              </w:rPr>
              <w:t>20</w:t>
            </w:r>
            <w:r w:rsidR="00B96252">
              <w:rPr>
                <w:rFonts w:ascii="Arial" w:hAnsi="Arial"/>
                <w:color w:val="auto"/>
                <w:sz w:val="20"/>
                <w:szCs w:val="20"/>
                <w:lang w:val="en-IN"/>
              </w:rPr>
              <w:t>20</w:t>
            </w:r>
          </w:p>
        </w:tc>
      </w:tr>
      <w:tr w:rsidR="000A2ED4" w:rsidRPr="00E70587" w14:paraId="7A215559" w14:textId="77777777" w:rsidTr="000A2ED4">
        <w:tc>
          <w:tcPr>
            <w:tcW w:w="6096" w:type="dxa"/>
            <w:vAlign w:val="center"/>
          </w:tcPr>
          <w:p w14:paraId="5816ABBF"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807" w:type="dxa"/>
            <w:tcBorders>
              <w:top w:val="single" w:sz="4" w:space="0" w:color="auto"/>
            </w:tcBorders>
            <w:vAlign w:val="center"/>
          </w:tcPr>
          <w:p w14:paraId="78C79BBF" w14:textId="77777777" w:rsidR="000A2ED4" w:rsidRPr="00E70587" w:rsidRDefault="000A2ED4"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97" w:type="dxa"/>
            <w:tcBorders>
              <w:top w:val="single" w:sz="4" w:space="0" w:color="auto"/>
            </w:tcBorders>
            <w:vAlign w:val="center"/>
          </w:tcPr>
          <w:p w14:paraId="1CAED4AB" w14:textId="77777777" w:rsidR="000A2ED4" w:rsidRPr="00E70587" w:rsidRDefault="000A2ED4" w:rsidP="0054306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0A2ED4" w:rsidRPr="00E70587" w14:paraId="10950469" w14:textId="77777777" w:rsidTr="000A2ED4">
        <w:tc>
          <w:tcPr>
            <w:tcW w:w="6096" w:type="dxa"/>
            <w:tcMar>
              <w:top w:w="28" w:type="dxa"/>
              <w:left w:w="108" w:type="dxa"/>
              <w:right w:w="108" w:type="dxa"/>
            </w:tcMar>
          </w:tcPr>
          <w:p w14:paraId="6BD41E22" w14:textId="77777777" w:rsidR="000A2ED4" w:rsidRPr="00E70587" w:rsidRDefault="000A2ED4" w:rsidP="00543062">
            <w:pPr>
              <w:spacing w:line="280" w:lineRule="exact"/>
              <w:rPr>
                <w:rFonts w:ascii="Arial" w:hAnsi="Arial" w:cs="Arial"/>
                <w:i/>
                <w:sz w:val="20"/>
              </w:rPr>
            </w:pPr>
            <w:r w:rsidRPr="00E70587">
              <w:rPr>
                <w:rFonts w:ascii="Arial" w:hAnsi="Arial" w:cs="Arial"/>
                <w:i/>
                <w:sz w:val="20"/>
              </w:rPr>
              <w:t>Balances with banks:</w:t>
            </w:r>
          </w:p>
        </w:tc>
        <w:tc>
          <w:tcPr>
            <w:tcW w:w="1807" w:type="dxa"/>
            <w:vAlign w:val="center"/>
          </w:tcPr>
          <w:p w14:paraId="4394E048" w14:textId="77777777" w:rsidR="000A2ED4" w:rsidRPr="00E70587" w:rsidRDefault="000A2ED4" w:rsidP="00543062">
            <w:pPr>
              <w:spacing w:line="280" w:lineRule="exact"/>
              <w:jc w:val="right"/>
              <w:rPr>
                <w:rFonts w:ascii="Arial" w:hAnsi="Arial" w:cs="Arial"/>
                <w:sz w:val="20"/>
              </w:rPr>
            </w:pPr>
          </w:p>
        </w:tc>
        <w:tc>
          <w:tcPr>
            <w:tcW w:w="1897" w:type="dxa"/>
            <w:vAlign w:val="center"/>
          </w:tcPr>
          <w:p w14:paraId="416D1395" w14:textId="77777777" w:rsidR="000A2ED4" w:rsidRPr="00E70587" w:rsidRDefault="000A2ED4" w:rsidP="00543062">
            <w:pPr>
              <w:spacing w:line="280" w:lineRule="exact"/>
              <w:jc w:val="right"/>
              <w:rPr>
                <w:rFonts w:ascii="Arial" w:hAnsi="Arial" w:cs="Arial"/>
                <w:sz w:val="20"/>
              </w:rPr>
            </w:pPr>
          </w:p>
        </w:tc>
      </w:tr>
      <w:tr w:rsidR="000A2ED4" w:rsidRPr="00E70587" w14:paraId="47A0489E" w14:textId="77777777" w:rsidTr="000A2ED4">
        <w:tc>
          <w:tcPr>
            <w:tcW w:w="6096" w:type="dxa"/>
            <w:tcMar>
              <w:top w:w="28" w:type="dxa"/>
              <w:left w:w="108" w:type="dxa"/>
              <w:right w:w="108" w:type="dxa"/>
            </w:tcMar>
          </w:tcPr>
          <w:p w14:paraId="3FD6FC59" w14:textId="77777777" w:rsidR="000A2ED4" w:rsidRPr="00E70587" w:rsidRDefault="000A2ED4" w:rsidP="00543062">
            <w:pPr>
              <w:spacing w:line="280" w:lineRule="exact"/>
              <w:rPr>
                <w:rFonts w:ascii="Arial" w:hAnsi="Arial" w:cs="Arial"/>
                <w:sz w:val="20"/>
              </w:rPr>
            </w:pPr>
            <w:r w:rsidRPr="00E70587">
              <w:rPr>
                <w:rFonts w:ascii="Arial" w:hAnsi="Arial" w:cs="Arial"/>
                <w:sz w:val="20"/>
              </w:rPr>
              <w:t>– On current accounts</w:t>
            </w:r>
          </w:p>
        </w:tc>
        <w:tc>
          <w:tcPr>
            <w:tcW w:w="1807" w:type="dxa"/>
            <w:vAlign w:val="center"/>
          </w:tcPr>
          <w:p w14:paraId="359BB1C2" w14:textId="77777777" w:rsidR="000A2ED4" w:rsidRPr="00E70587" w:rsidRDefault="000A2ED4" w:rsidP="00543062">
            <w:pPr>
              <w:spacing w:line="280" w:lineRule="exact"/>
              <w:jc w:val="right"/>
              <w:rPr>
                <w:rFonts w:ascii="Arial" w:hAnsi="Arial" w:cs="Arial"/>
                <w:sz w:val="20"/>
              </w:rPr>
            </w:pPr>
            <w:r w:rsidRPr="00E70587">
              <w:rPr>
                <w:rFonts w:ascii="Arial" w:hAnsi="Arial" w:cs="Arial"/>
                <w:color w:val="000000"/>
                <w:sz w:val="20"/>
              </w:rPr>
              <w:t>19,111</w:t>
            </w:r>
          </w:p>
        </w:tc>
        <w:tc>
          <w:tcPr>
            <w:tcW w:w="1897" w:type="dxa"/>
            <w:vAlign w:val="center"/>
          </w:tcPr>
          <w:p w14:paraId="30FF27A2" w14:textId="77777777" w:rsidR="000A2ED4" w:rsidRPr="00E70587" w:rsidRDefault="000A2ED4" w:rsidP="00543062">
            <w:pPr>
              <w:spacing w:line="280" w:lineRule="exact"/>
              <w:jc w:val="right"/>
              <w:rPr>
                <w:rFonts w:ascii="Arial" w:hAnsi="Arial" w:cs="Arial"/>
                <w:sz w:val="20"/>
              </w:rPr>
            </w:pPr>
            <w:r w:rsidRPr="00E70587">
              <w:rPr>
                <w:rFonts w:ascii="Arial" w:hAnsi="Arial" w:cs="Arial"/>
                <w:color w:val="000000"/>
                <w:sz w:val="20"/>
              </w:rPr>
              <w:t>19,546</w:t>
            </w:r>
          </w:p>
        </w:tc>
      </w:tr>
      <w:tr w:rsidR="000A2ED4" w:rsidRPr="00E70587" w14:paraId="6F83D312" w14:textId="77777777" w:rsidTr="000A2ED4">
        <w:tc>
          <w:tcPr>
            <w:tcW w:w="6096" w:type="dxa"/>
            <w:tcMar>
              <w:top w:w="28" w:type="dxa"/>
              <w:left w:w="108" w:type="dxa"/>
              <w:right w:w="108" w:type="dxa"/>
            </w:tcMar>
          </w:tcPr>
          <w:p w14:paraId="6B0EBC46" w14:textId="77777777" w:rsidR="000A2ED4" w:rsidRPr="00E70587" w:rsidRDefault="000A2ED4" w:rsidP="00543062">
            <w:pPr>
              <w:spacing w:line="280" w:lineRule="exact"/>
              <w:rPr>
                <w:rFonts w:ascii="Arial" w:hAnsi="Arial" w:cs="Arial"/>
                <w:sz w:val="20"/>
              </w:rPr>
            </w:pPr>
            <w:r w:rsidRPr="00E70587">
              <w:rPr>
                <w:rFonts w:ascii="Arial" w:hAnsi="Arial" w:cs="Arial"/>
                <w:sz w:val="20"/>
              </w:rPr>
              <w:t>– Deposits with original maturity of less than three months</w:t>
            </w:r>
          </w:p>
        </w:tc>
        <w:tc>
          <w:tcPr>
            <w:tcW w:w="1807" w:type="dxa"/>
            <w:vAlign w:val="center"/>
          </w:tcPr>
          <w:p w14:paraId="2F59B255" w14:textId="77777777" w:rsidR="000A2ED4" w:rsidRPr="00E70587" w:rsidRDefault="000A2ED4" w:rsidP="00543062">
            <w:pPr>
              <w:spacing w:line="280" w:lineRule="exact"/>
              <w:jc w:val="right"/>
              <w:rPr>
                <w:rFonts w:ascii="Arial" w:hAnsi="Arial" w:cs="Arial"/>
                <w:sz w:val="20"/>
              </w:rPr>
            </w:pPr>
            <w:r w:rsidRPr="00E70587">
              <w:rPr>
                <w:rFonts w:ascii="Arial" w:hAnsi="Arial" w:cs="Arial"/>
                <w:color w:val="000000"/>
                <w:sz w:val="20"/>
              </w:rPr>
              <w:t>10,433</w:t>
            </w:r>
          </w:p>
        </w:tc>
        <w:tc>
          <w:tcPr>
            <w:tcW w:w="1897" w:type="dxa"/>
            <w:vAlign w:val="center"/>
          </w:tcPr>
          <w:p w14:paraId="1F1B25BF" w14:textId="77777777" w:rsidR="000A2ED4" w:rsidRPr="00E70587" w:rsidRDefault="000A2ED4" w:rsidP="00543062">
            <w:pPr>
              <w:spacing w:line="280" w:lineRule="exact"/>
              <w:jc w:val="right"/>
              <w:rPr>
                <w:rFonts w:ascii="Arial" w:hAnsi="Arial" w:cs="Arial"/>
                <w:sz w:val="20"/>
              </w:rPr>
            </w:pPr>
            <w:r w:rsidRPr="00E70587">
              <w:rPr>
                <w:rFonts w:ascii="Arial" w:hAnsi="Arial" w:cs="Arial"/>
                <w:color w:val="000000"/>
                <w:sz w:val="20"/>
              </w:rPr>
              <w:t>6,824</w:t>
            </w:r>
          </w:p>
        </w:tc>
      </w:tr>
      <w:tr w:rsidR="000A2ED4" w:rsidRPr="00E70587" w14:paraId="00A652ED" w14:textId="77777777" w:rsidTr="000A2ED4">
        <w:tc>
          <w:tcPr>
            <w:tcW w:w="6096" w:type="dxa"/>
            <w:tcMar>
              <w:top w:w="28" w:type="dxa"/>
              <w:left w:w="108" w:type="dxa"/>
              <w:right w:w="108" w:type="dxa"/>
            </w:tcMar>
          </w:tcPr>
          <w:p w14:paraId="2F454CB5" w14:textId="77777777" w:rsidR="000A2ED4" w:rsidRPr="00E70587" w:rsidRDefault="000A2ED4" w:rsidP="00543062">
            <w:pPr>
              <w:spacing w:line="280" w:lineRule="exact"/>
              <w:rPr>
                <w:rFonts w:ascii="Arial" w:hAnsi="Arial" w:cs="Arial"/>
                <w:sz w:val="20"/>
              </w:rPr>
            </w:pPr>
            <w:r w:rsidRPr="00E70587">
              <w:rPr>
                <w:rFonts w:ascii="Arial" w:hAnsi="Arial" w:cs="Arial"/>
                <w:sz w:val="20"/>
              </w:rPr>
              <w:t>Cheques/ drafts on hand</w:t>
            </w:r>
          </w:p>
        </w:tc>
        <w:tc>
          <w:tcPr>
            <w:tcW w:w="1807" w:type="dxa"/>
            <w:vAlign w:val="center"/>
          </w:tcPr>
          <w:p w14:paraId="109C7647" w14:textId="77777777" w:rsidR="000A2ED4" w:rsidRPr="00E70587" w:rsidRDefault="000A2ED4" w:rsidP="00543062">
            <w:pPr>
              <w:spacing w:line="280" w:lineRule="exact"/>
              <w:jc w:val="right"/>
              <w:rPr>
                <w:rFonts w:ascii="Arial" w:hAnsi="Arial" w:cs="Arial"/>
                <w:sz w:val="20"/>
              </w:rPr>
            </w:pPr>
            <w:r w:rsidRPr="00E70587">
              <w:rPr>
                <w:rFonts w:ascii="Arial" w:hAnsi="Arial" w:cs="Arial"/>
                <w:color w:val="000000"/>
                <w:sz w:val="20"/>
              </w:rPr>
              <w:t>12</w:t>
            </w:r>
          </w:p>
        </w:tc>
        <w:tc>
          <w:tcPr>
            <w:tcW w:w="1897" w:type="dxa"/>
            <w:vAlign w:val="center"/>
          </w:tcPr>
          <w:p w14:paraId="5D722FF3" w14:textId="77777777" w:rsidR="000A2ED4" w:rsidRPr="00E70587" w:rsidRDefault="000A2ED4" w:rsidP="00543062">
            <w:pPr>
              <w:spacing w:line="280" w:lineRule="exact"/>
              <w:jc w:val="right"/>
              <w:rPr>
                <w:rFonts w:ascii="Arial" w:hAnsi="Arial" w:cs="Arial"/>
                <w:sz w:val="20"/>
              </w:rPr>
            </w:pPr>
            <w:r w:rsidRPr="00E70587">
              <w:rPr>
                <w:rFonts w:ascii="Arial" w:hAnsi="Arial" w:cs="Arial"/>
                <w:color w:val="000000"/>
                <w:sz w:val="20"/>
              </w:rPr>
              <w:t>12</w:t>
            </w:r>
          </w:p>
        </w:tc>
      </w:tr>
      <w:tr w:rsidR="000A2ED4" w:rsidRPr="00E70587" w14:paraId="66789FAC" w14:textId="77777777" w:rsidTr="000A2ED4">
        <w:tc>
          <w:tcPr>
            <w:tcW w:w="6096" w:type="dxa"/>
            <w:tcMar>
              <w:top w:w="28" w:type="dxa"/>
              <w:left w:w="108" w:type="dxa"/>
              <w:right w:w="108" w:type="dxa"/>
            </w:tcMar>
          </w:tcPr>
          <w:p w14:paraId="07C7F2D1" w14:textId="77777777" w:rsidR="000A2ED4" w:rsidRPr="00E70587" w:rsidRDefault="000A2ED4" w:rsidP="00543062">
            <w:pPr>
              <w:spacing w:line="280" w:lineRule="exact"/>
              <w:rPr>
                <w:rFonts w:ascii="Arial" w:hAnsi="Arial" w:cs="Arial"/>
                <w:sz w:val="20"/>
              </w:rPr>
            </w:pPr>
            <w:r w:rsidRPr="00E70587">
              <w:rPr>
                <w:rFonts w:ascii="Arial" w:hAnsi="Arial" w:cs="Arial"/>
                <w:sz w:val="20"/>
              </w:rPr>
              <w:t>Cash on hand</w:t>
            </w:r>
          </w:p>
        </w:tc>
        <w:tc>
          <w:tcPr>
            <w:tcW w:w="1807" w:type="dxa"/>
            <w:tcBorders>
              <w:bottom w:val="single" w:sz="4" w:space="0" w:color="auto"/>
            </w:tcBorders>
            <w:vAlign w:val="center"/>
          </w:tcPr>
          <w:p w14:paraId="1CBAEF8E" w14:textId="77777777" w:rsidR="000A2ED4" w:rsidRPr="00E70587" w:rsidRDefault="000A2ED4" w:rsidP="00543062">
            <w:pPr>
              <w:spacing w:line="280" w:lineRule="exact"/>
              <w:jc w:val="right"/>
              <w:rPr>
                <w:rFonts w:ascii="Arial" w:hAnsi="Arial" w:cs="Arial"/>
                <w:sz w:val="20"/>
              </w:rPr>
            </w:pPr>
            <w:r w:rsidRPr="00E70587">
              <w:rPr>
                <w:rFonts w:ascii="Arial" w:hAnsi="Arial" w:cs="Arial"/>
                <w:color w:val="000000"/>
                <w:sz w:val="20"/>
              </w:rPr>
              <w:t>34</w:t>
            </w:r>
          </w:p>
        </w:tc>
        <w:tc>
          <w:tcPr>
            <w:tcW w:w="1897" w:type="dxa"/>
            <w:tcBorders>
              <w:bottom w:val="single" w:sz="4" w:space="0" w:color="auto"/>
            </w:tcBorders>
            <w:vAlign w:val="center"/>
          </w:tcPr>
          <w:p w14:paraId="4A84DF55" w14:textId="77777777" w:rsidR="000A2ED4" w:rsidRPr="00E70587" w:rsidRDefault="000A2ED4" w:rsidP="00543062">
            <w:pPr>
              <w:spacing w:line="280" w:lineRule="exact"/>
              <w:jc w:val="right"/>
              <w:rPr>
                <w:rFonts w:ascii="Arial" w:hAnsi="Arial" w:cs="Arial"/>
                <w:sz w:val="20"/>
              </w:rPr>
            </w:pPr>
            <w:r w:rsidRPr="00E70587">
              <w:rPr>
                <w:rFonts w:ascii="Arial" w:hAnsi="Arial" w:cs="Arial"/>
                <w:color w:val="000000"/>
                <w:sz w:val="20"/>
              </w:rPr>
              <w:t>32</w:t>
            </w:r>
          </w:p>
        </w:tc>
      </w:tr>
      <w:tr w:rsidR="000A2ED4" w:rsidRPr="00E70587" w14:paraId="723BDFDA" w14:textId="77777777" w:rsidTr="000A2ED4">
        <w:tc>
          <w:tcPr>
            <w:tcW w:w="6096" w:type="dxa"/>
            <w:tcBorders>
              <w:bottom w:val="nil"/>
            </w:tcBorders>
            <w:tcMar>
              <w:top w:w="28" w:type="dxa"/>
              <w:left w:w="108" w:type="dxa"/>
              <w:right w:w="108" w:type="dxa"/>
            </w:tcMar>
            <w:vAlign w:val="center"/>
          </w:tcPr>
          <w:p w14:paraId="3C927F46" w14:textId="77777777" w:rsidR="000A2ED4" w:rsidRPr="00E70587" w:rsidRDefault="000A2ED4"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807" w:type="dxa"/>
            <w:tcBorders>
              <w:top w:val="single" w:sz="4" w:space="0" w:color="auto"/>
              <w:bottom w:val="double" w:sz="4" w:space="0" w:color="auto"/>
            </w:tcBorders>
            <w:vAlign w:val="center"/>
          </w:tcPr>
          <w:p w14:paraId="5B296896" w14:textId="77777777" w:rsidR="000A2ED4" w:rsidRPr="00E70587" w:rsidRDefault="000A2ED4" w:rsidP="00543062">
            <w:pPr>
              <w:spacing w:line="280" w:lineRule="exact"/>
              <w:ind w:firstLineChars="100" w:firstLine="201"/>
              <w:jc w:val="right"/>
              <w:rPr>
                <w:rFonts w:ascii="Arial" w:hAnsi="Arial" w:cs="Arial"/>
                <w:b/>
                <w:bCs/>
                <w:sz w:val="20"/>
              </w:rPr>
            </w:pPr>
            <w:r w:rsidRPr="00E70587">
              <w:rPr>
                <w:rFonts w:ascii="Arial" w:hAnsi="Arial" w:cs="Arial"/>
                <w:b/>
                <w:bCs/>
                <w:color w:val="000000"/>
                <w:sz w:val="20"/>
              </w:rPr>
              <w:t>29,590</w:t>
            </w:r>
          </w:p>
        </w:tc>
        <w:tc>
          <w:tcPr>
            <w:tcW w:w="1897" w:type="dxa"/>
            <w:tcBorders>
              <w:top w:val="single" w:sz="4" w:space="0" w:color="auto"/>
              <w:bottom w:val="double" w:sz="4" w:space="0" w:color="auto"/>
            </w:tcBorders>
            <w:vAlign w:val="center"/>
          </w:tcPr>
          <w:p w14:paraId="5E9E1942" w14:textId="77777777" w:rsidR="000A2ED4" w:rsidRPr="00E70587" w:rsidRDefault="000A2ED4" w:rsidP="00543062">
            <w:pPr>
              <w:spacing w:line="280" w:lineRule="exact"/>
              <w:ind w:firstLineChars="100" w:firstLine="201"/>
              <w:jc w:val="right"/>
              <w:rPr>
                <w:rFonts w:ascii="Arial" w:hAnsi="Arial" w:cs="Arial"/>
                <w:b/>
                <w:bCs/>
                <w:sz w:val="20"/>
              </w:rPr>
            </w:pPr>
            <w:r w:rsidRPr="00E70587">
              <w:rPr>
                <w:rFonts w:ascii="Arial" w:hAnsi="Arial" w:cs="Arial"/>
                <w:b/>
                <w:bCs/>
                <w:color w:val="000000"/>
                <w:sz w:val="20"/>
              </w:rPr>
              <w:t>26,414</w:t>
            </w:r>
          </w:p>
        </w:tc>
      </w:tr>
    </w:tbl>
    <w:p w14:paraId="7E079717" w14:textId="77777777" w:rsidR="00333A4B" w:rsidRPr="00E70587" w:rsidRDefault="00333A4B" w:rsidP="00333A4B">
      <w:pPr>
        <w:spacing w:line="280" w:lineRule="exact"/>
        <w:rPr>
          <w:rFonts w:ascii="Arial" w:hAnsi="Arial" w:cs="Arial"/>
          <w:sz w:val="20"/>
        </w:rPr>
      </w:pPr>
    </w:p>
    <w:tbl>
      <w:tblPr>
        <w:tblW w:w="9576" w:type="dxa"/>
        <w:tblLook w:val="0000" w:firstRow="0" w:lastRow="0" w:firstColumn="0" w:lastColumn="0" w:noHBand="0" w:noVBand="0"/>
      </w:tblPr>
      <w:tblGrid>
        <w:gridCol w:w="9576"/>
      </w:tblGrid>
      <w:tr w:rsidR="00333A4B" w:rsidRPr="00E70587" w14:paraId="50F2C467" w14:textId="77777777" w:rsidTr="00543062">
        <w:tc>
          <w:tcPr>
            <w:tcW w:w="0" w:type="auto"/>
          </w:tcPr>
          <w:p w14:paraId="043C58F3" w14:textId="77777777" w:rsidR="00333A4B" w:rsidRPr="00E70587" w:rsidRDefault="00333A4B" w:rsidP="00543062">
            <w:pPr>
              <w:spacing w:line="280" w:lineRule="exact"/>
              <w:ind w:left="-18"/>
              <w:jc w:val="both"/>
              <w:rPr>
                <w:rFonts w:ascii="Arial" w:hAnsi="Arial" w:cs="Arial"/>
                <w:sz w:val="20"/>
              </w:rPr>
            </w:pPr>
            <w:r w:rsidRPr="00E70587">
              <w:rPr>
                <w:rFonts w:ascii="Arial" w:hAnsi="Arial" w:cs="Arial"/>
                <w:sz w:val="20"/>
              </w:rPr>
              <w:t>Cash at banks earns interest at floating rates based on daily bank deposit rates. Short-term deposits are made for varying periods of between one day and three months, depending on the immediate cash requirements of the Group, and earn interest at the respective short-term deposit rates.</w:t>
            </w:r>
          </w:p>
          <w:p w14:paraId="1A2D250B" w14:textId="77777777" w:rsidR="00333A4B" w:rsidRPr="00E70587" w:rsidRDefault="00333A4B" w:rsidP="00543062">
            <w:pPr>
              <w:spacing w:line="280" w:lineRule="exact"/>
              <w:ind w:left="-18"/>
              <w:jc w:val="both"/>
              <w:rPr>
                <w:rFonts w:ascii="Arial" w:hAnsi="Arial" w:cs="Arial"/>
                <w:sz w:val="20"/>
              </w:rPr>
            </w:pPr>
          </w:p>
        </w:tc>
      </w:tr>
      <w:tr w:rsidR="00333A4B" w:rsidRPr="00E70587" w14:paraId="47E0698F" w14:textId="77777777" w:rsidTr="00543062">
        <w:tc>
          <w:tcPr>
            <w:tcW w:w="0" w:type="auto"/>
          </w:tcPr>
          <w:p w14:paraId="0C65801C" w14:textId="1624D4FB" w:rsidR="00333A4B" w:rsidRPr="00E70587" w:rsidRDefault="00333A4B" w:rsidP="00543062">
            <w:pPr>
              <w:spacing w:line="280" w:lineRule="exact"/>
              <w:jc w:val="both"/>
              <w:rPr>
                <w:rFonts w:ascii="Arial" w:hAnsi="Arial" w:cs="Arial"/>
                <w:sz w:val="20"/>
              </w:rPr>
            </w:pPr>
            <w:r w:rsidRPr="00E70587">
              <w:rPr>
                <w:rFonts w:ascii="Arial" w:hAnsi="Arial" w:cs="Arial"/>
                <w:sz w:val="20"/>
              </w:rPr>
              <w:t xml:space="preserve">At 31 </w:t>
            </w:r>
            <w:r w:rsidR="00E1202D" w:rsidRPr="00E70587">
              <w:rPr>
                <w:rFonts w:ascii="Arial" w:hAnsi="Arial" w:cs="Arial"/>
                <w:sz w:val="20"/>
              </w:rPr>
              <w:t xml:space="preserve">March </w:t>
            </w:r>
            <w:r w:rsidR="00B96252" w:rsidRPr="00E70587">
              <w:rPr>
                <w:rFonts w:ascii="Arial" w:hAnsi="Arial" w:cs="Arial"/>
                <w:sz w:val="20"/>
              </w:rPr>
              <w:t>20</w:t>
            </w:r>
            <w:r w:rsidR="00B96252">
              <w:rPr>
                <w:rFonts w:ascii="Arial" w:hAnsi="Arial" w:cs="Arial"/>
                <w:sz w:val="20"/>
              </w:rPr>
              <w:t>21</w:t>
            </w:r>
            <w:r w:rsidRPr="00E70587">
              <w:rPr>
                <w:rFonts w:ascii="Arial" w:hAnsi="Arial" w:cs="Arial"/>
                <w:sz w:val="20"/>
              </w:rPr>
              <w:t xml:space="preserve">, the Group had available INR 103 (31 </w:t>
            </w:r>
            <w:r w:rsidR="008B730E" w:rsidRPr="00E70587">
              <w:rPr>
                <w:rFonts w:ascii="Arial" w:hAnsi="Arial" w:cs="Arial"/>
                <w:sz w:val="20"/>
              </w:rPr>
              <w:t xml:space="preserve">March </w:t>
            </w:r>
            <w:r w:rsidR="00B96252" w:rsidRPr="00E70587">
              <w:rPr>
                <w:rFonts w:ascii="Arial" w:hAnsi="Arial" w:cs="Arial"/>
                <w:sz w:val="20"/>
              </w:rPr>
              <w:t>20</w:t>
            </w:r>
            <w:r w:rsidR="00B96252">
              <w:rPr>
                <w:rFonts w:ascii="Arial" w:hAnsi="Arial" w:cs="Arial"/>
                <w:sz w:val="20"/>
              </w:rPr>
              <w:t>20</w:t>
            </w:r>
            <w:r w:rsidRPr="00E70587">
              <w:rPr>
                <w:rFonts w:ascii="Arial" w:hAnsi="Arial" w:cs="Arial"/>
                <w:sz w:val="20"/>
              </w:rPr>
              <w:t>: INR 22) of undrawn committed borrowing facilities.</w:t>
            </w:r>
          </w:p>
          <w:p w14:paraId="2CF059BC" w14:textId="77777777" w:rsidR="00333A4B" w:rsidRPr="00E70587" w:rsidRDefault="00333A4B" w:rsidP="00543062">
            <w:pPr>
              <w:spacing w:line="280" w:lineRule="exact"/>
              <w:jc w:val="both"/>
              <w:rPr>
                <w:rFonts w:ascii="Arial" w:hAnsi="Arial" w:cs="Arial"/>
                <w:sz w:val="20"/>
              </w:rPr>
            </w:pPr>
          </w:p>
          <w:p w14:paraId="1BAF578B" w14:textId="1E0B5988" w:rsidR="00333A4B" w:rsidRPr="00E70587" w:rsidRDefault="00333A4B" w:rsidP="00543062">
            <w:pPr>
              <w:spacing w:line="280" w:lineRule="exact"/>
              <w:jc w:val="both"/>
              <w:rPr>
                <w:rFonts w:ascii="Arial" w:hAnsi="Arial" w:cs="Arial"/>
                <w:sz w:val="20"/>
              </w:rPr>
            </w:pPr>
            <w:r w:rsidRPr="00E70587">
              <w:rPr>
                <w:rFonts w:ascii="Arial" w:hAnsi="Arial" w:cs="Arial"/>
                <w:sz w:val="20"/>
              </w:rPr>
              <w:t xml:space="preserve">The Group has pledged a part of its short-term deposits to fulfil collateral requirements. Refer to Note </w:t>
            </w:r>
            <w:r w:rsidR="00B83F60" w:rsidRPr="00E70587">
              <w:rPr>
                <w:rFonts w:ascii="Arial" w:hAnsi="Arial" w:cs="Arial"/>
                <w:sz w:val="20"/>
              </w:rPr>
              <w:t>4</w:t>
            </w:r>
            <w:r w:rsidR="00B83F60">
              <w:rPr>
                <w:rFonts w:ascii="Arial" w:hAnsi="Arial" w:cs="Arial"/>
                <w:sz w:val="20"/>
              </w:rPr>
              <w:t>9</w:t>
            </w:r>
            <w:r w:rsidR="00B83F60" w:rsidRPr="00E70587">
              <w:rPr>
                <w:rFonts w:ascii="Arial" w:hAnsi="Arial" w:cs="Arial"/>
                <w:sz w:val="20"/>
              </w:rPr>
              <w:t xml:space="preserve"> </w:t>
            </w:r>
            <w:r w:rsidRPr="00E70587">
              <w:rPr>
                <w:rFonts w:ascii="Arial" w:hAnsi="Arial" w:cs="Arial"/>
                <w:sz w:val="20"/>
              </w:rPr>
              <w:t>for further details.</w:t>
            </w:r>
          </w:p>
          <w:p w14:paraId="30BE2598" w14:textId="77777777" w:rsidR="00333A4B" w:rsidRPr="00E70587" w:rsidRDefault="00333A4B" w:rsidP="00543062">
            <w:pPr>
              <w:spacing w:line="280" w:lineRule="exact"/>
              <w:jc w:val="both"/>
              <w:rPr>
                <w:rFonts w:ascii="Arial" w:hAnsi="Arial" w:cs="Arial"/>
                <w:sz w:val="20"/>
              </w:rPr>
            </w:pPr>
          </w:p>
          <w:p w14:paraId="09B5179B" w14:textId="5ED29E9C" w:rsidR="00333A4B" w:rsidRDefault="00333A4B" w:rsidP="00543062">
            <w:pPr>
              <w:spacing w:line="280" w:lineRule="exact"/>
              <w:jc w:val="both"/>
              <w:rPr>
                <w:rFonts w:ascii="Arial" w:hAnsi="Arial" w:cs="Arial"/>
                <w:sz w:val="20"/>
              </w:rPr>
            </w:pPr>
            <w:r w:rsidRPr="00E70587">
              <w:rPr>
                <w:rFonts w:ascii="Arial" w:hAnsi="Arial" w:cs="Arial"/>
                <w:sz w:val="20"/>
              </w:rPr>
              <w:t>For the purpose of the statement of cash flows, cash and cash equivalents comprise the following at 31 March:</w:t>
            </w:r>
          </w:p>
          <w:p w14:paraId="511BBCFC" w14:textId="77777777" w:rsidR="00B96252" w:rsidRPr="00E70587" w:rsidRDefault="00B96252" w:rsidP="00543062">
            <w:pPr>
              <w:spacing w:line="280" w:lineRule="exact"/>
              <w:jc w:val="both"/>
              <w:rPr>
                <w:rFonts w:ascii="Arial" w:hAnsi="Arial" w:cs="Arial"/>
                <w:sz w:val="20"/>
              </w:rPr>
            </w:pPr>
          </w:p>
          <w:p w14:paraId="0357518E" w14:textId="77777777" w:rsidR="00333A4B" w:rsidRPr="00E70587" w:rsidRDefault="00333A4B" w:rsidP="00543062">
            <w:pPr>
              <w:spacing w:line="280" w:lineRule="exact"/>
              <w:jc w:val="both"/>
              <w:rPr>
                <w:rFonts w:ascii="Arial" w:hAnsi="Arial" w:cs="Arial"/>
                <w:sz w:val="20"/>
              </w:rPr>
            </w:pPr>
          </w:p>
        </w:tc>
      </w:tr>
    </w:tbl>
    <w:p w14:paraId="073E7CE7" w14:textId="77777777" w:rsidR="00333A4B" w:rsidRPr="00E70587" w:rsidRDefault="00333A4B" w:rsidP="00333A4B">
      <w:pPr>
        <w:spacing w:line="280" w:lineRule="exact"/>
        <w:rPr>
          <w:rFonts w:ascii="Arial" w:hAnsi="Arial" w:cs="Arial"/>
          <w:sz w:val="20"/>
        </w:rPr>
      </w:pPr>
    </w:p>
    <w:tbl>
      <w:tblPr>
        <w:tblW w:w="9521" w:type="dxa"/>
        <w:tblBorders>
          <w:bottom w:val="single" w:sz="4" w:space="0" w:color="auto"/>
        </w:tblBorders>
        <w:tblLayout w:type="fixed"/>
        <w:tblLook w:val="01E0" w:firstRow="1" w:lastRow="1" w:firstColumn="1" w:lastColumn="1" w:noHBand="0" w:noVBand="0"/>
      </w:tblPr>
      <w:tblGrid>
        <w:gridCol w:w="6237"/>
        <w:gridCol w:w="1642"/>
        <w:gridCol w:w="1642"/>
      </w:tblGrid>
      <w:tr w:rsidR="00330EAA" w:rsidRPr="00E70587" w14:paraId="27655CF3" w14:textId="77777777" w:rsidTr="000A2ED4">
        <w:tc>
          <w:tcPr>
            <w:tcW w:w="6237" w:type="dxa"/>
            <w:vAlign w:val="center"/>
          </w:tcPr>
          <w:p w14:paraId="034A5741" w14:textId="77777777" w:rsidR="00330EAA" w:rsidRPr="00E70587" w:rsidRDefault="00330EAA"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642" w:type="dxa"/>
            <w:tcBorders>
              <w:bottom w:val="single" w:sz="4" w:space="0" w:color="auto"/>
            </w:tcBorders>
            <w:vAlign w:val="center"/>
          </w:tcPr>
          <w:p w14:paraId="560207F8" w14:textId="347680A9" w:rsidR="00330EAA" w:rsidRPr="00E70587" w:rsidRDefault="00330EAA" w:rsidP="00543062">
            <w:pPr>
              <w:pStyle w:val="Tablecolumnheading"/>
              <w:spacing w:line="280" w:lineRule="exact"/>
              <w:ind w:right="79"/>
              <w:jc w:val="center"/>
              <w:rPr>
                <w:rFonts w:ascii="Arial" w:hAnsi="Arial"/>
                <w:color w:val="auto"/>
                <w:sz w:val="20"/>
                <w:szCs w:val="20"/>
                <w:lang w:val="en-IN"/>
              </w:rPr>
            </w:pPr>
            <w:r w:rsidRPr="00E70587">
              <w:rPr>
                <w:rFonts w:ascii="Arial" w:hAnsi="Arial"/>
                <w:color w:val="auto"/>
                <w:sz w:val="20"/>
                <w:szCs w:val="20"/>
                <w:lang w:val="en-IN"/>
              </w:rPr>
              <w:t xml:space="preserve">31 March </w:t>
            </w:r>
            <w:r w:rsidR="00B4255B" w:rsidRPr="00E70587">
              <w:rPr>
                <w:rFonts w:ascii="Arial" w:hAnsi="Arial"/>
                <w:color w:val="auto"/>
                <w:sz w:val="20"/>
                <w:szCs w:val="20"/>
                <w:lang w:val="en-IN"/>
              </w:rPr>
              <w:t>20</w:t>
            </w:r>
            <w:r w:rsidR="00B4255B">
              <w:rPr>
                <w:rFonts w:ascii="Arial" w:hAnsi="Arial"/>
                <w:color w:val="auto"/>
                <w:sz w:val="20"/>
                <w:szCs w:val="20"/>
                <w:lang w:val="en-IN"/>
              </w:rPr>
              <w:t>21</w:t>
            </w:r>
          </w:p>
        </w:tc>
        <w:tc>
          <w:tcPr>
            <w:tcW w:w="1642" w:type="dxa"/>
            <w:tcBorders>
              <w:bottom w:val="single" w:sz="4" w:space="0" w:color="auto"/>
            </w:tcBorders>
            <w:vAlign w:val="center"/>
          </w:tcPr>
          <w:p w14:paraId="26F88725" w14:textId="4132AD75" w:rsidR="00330EAA" w:rsidRPr="00E70587" w:rsidRDefault="00330EAA" w:rsidP="00543062">
            <w:pPr>
              <w:pStyle w:val="Tablecolumnheading"/>
              <w:spacing w:line="280" w:lineRule="exact"/>
              <w:ind w:right="79"/>
              <w:jc w:val="center"/>
              <w:rPr>
                <w:rFonts w:ascii="Arial" w:hAnsi="Arial"/>
                <w:color w:val="auto"/>
                <w:sz w:val="20"/>
                <w:szCs w:val="20"/>
                <w:lang w:val="en-IN"/>
              </w:rPr>
            </w:pPr>
            <w:r w:rsidRPr="00E70587">
              <w:rPr>
                <w:rFonts w:ascii="Arial" w:hAnsi="Arial"/>
                <w:color w:val="auto"/>
                <w:sz w:val="20"/>
                <w:szCs w:val="20"/>
                <w:lang w:val="en-IN"/>
              </w:rPr>
              <w:t xml:space="preserve">31 March </w:t>
            </w:r>
            <w:r w:rsidR="00B4255B" w:rsidRPr="00E70587">
              <w:rPr>
                <w:rFonts w:ascii="Arial" w:hAnsi="Arial"/>
                <w:color w:val="auto"/>
                <w:sz w:val="20"/>
                <w:szCs w:val="20"/>
                <w:lang w:val="en-IN"/>
              </w:rPr>
              <w:t>20</w:t>
            </w:r>
            <w:r w:rsidR="00B4255B">
              <w:rPr>
                <w:rFonts w:ascii="Arial" w:hAnsi="Arial"/>
                <w:color w:val="auto"/>
                <w:sz w:val="20"/>
                <w:szCs w:val="20"/>
                <w:lang w:val="en-IN"/>
              </w:rPr>
              <w:t>20</w:t>
            </w:r>
          </w:p>
        </w:tc>
      </w:tr>
      <w:tr w:rsidR="00330EAA" w:rsidRPr="00E70587" w14:paraId="593BC426" w14:textId="77777777" w:rsidTr="000A2ED4">
        <w:tc>
          <w:tcPr>
            <w:tcW w:w="6237" w:type="dxa"/>
            <w:vAlign w:val="center"/>
          </w:tcPr>
          <w:p w14:paraId="76ABAD31" w14:textId="77777777" w:rsidR="00330EAA" w:rsidRPr="00E70587" w:rsidRDefault="00330EAA"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642" w:type="dxa"/>
            <w:tcBorders>
              <w:top w:val="single" w:sz="4" w:space="0" w:color="auto"/>
            </w:tcBorders>
            <w:vAlign w:val="center"/>
          </w:tcPr>
          <w:p w14:paraId="3320259D" w14:textId="77777777" w:rsidR="00330EAA" w:rsidRPr="00E70587" w:rsidRDefault="00330EAA" w:rsidP="00543062">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c>
          <w:tcPr>
            <w:tcW w:w="1642" w:type="dxa"/>
            <w:tcBorders>
              <w:top w:val="single" w:sz="4" w:space="0" w:color="auto"/>
            </w:tcBorders>
            <w:vAlign w:val="center"/>
          </w:tcPr>
          <w:p w14:paraId="734FD8C4" w14:textId="77777777" w:rsidR="00330EAA" w:rsidRPr="00E70587" w:rsidRDefault="00330EAA" w:rsidP="00543062">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r>
      <w:tr w:rsidR="00330EAA" w:rsidRPr="00E70587" w14:paraId="4DFA6D2D" w14:textId="77777777" w:rsidTr="000A2ED4">
        <w:tc>
          <w:tcPr>
            <w:tcW w:w="6237" w:type="dxa"/>
            <w:tcMar>
              <w:top w:w="28" w:type="dxa"/>
              <w:left w:w="108" w:type="dxa"/>
              <w:right w:w="108" w:type="dxa"/>
            </w:tcMar>
            <w:vAlign w:val="center"/>
          </w:tcPr>
          <w:p w14:paraId="64E0C3D6" w14:textId="77777777" w:rsidR="00330EAA" w:rsidRPr="00E70587" w:rsidRDefault="00330EAA" w:rsidP="00543062">
            <w:pPr>
              <w:spacing w:line="280" w:lineRule="exact"/>
              <w:rPr>
                <w:rFonts w:ascii="Arial" w:hAnsi="Arial" w:cs="Arial"/>
                <w:iCs/>
                <w:sz w:val="20"/>
              </w:rPr>
            </w:pPr>
            <w:r w:rsidRPr="00E70587">
              <w:rPr>
                <w:rFonts w:ascii="Arial" w:hAnsi="Arial" w:cs="Arial"/>
                <w:iCs/>
                <w:sz w:val="20"/>
              </w:rPr>
              <w:t>Balances with banks:</w:t>
            </w:r>
          </w:p>
        </w:tc>
        <w:tc>
          <w:tcPr>
            <w:tcW w:w="1642" w:type="dxa"/>
            <w:vAlign w:val="center"/>
          </w:tcPr>
          <w:p w14:paraId="1DC5E760" w14:textId="77777777" w:rsidR="00330EAA" w:rsidRPr="00E70587" w:rsidRDefault="00330EAA" w:rsidP="00543062">
            <w:pPr>
              <w:spacing w:line="280" w:lineRule="exact"/>
              <w:jc w:val="center"/>
              <w:rPr>
                <w:rFonts w:ascii="Arial" w:hAnsi="Arial" w:cs="Arial"/>
                <w:sz w:val="20"/>
              </w:rPr>
            </w:pPr>
          </w:p>
        </w:tc>
        <w:tc>
          <w:tcPr>
            <w:tcW w:w="1642" w:type="dxa"/>
            <w:vAlign w:val="center"/>
          </w:tcPr>
          <w:p w14:paraId="4C4A004D" w14:textId="77777777" w:rsidR="00330EAA" w:rsidRPr="00E70587" w:rsidRDefault="00330EAA" w:rsidP="00543062">
            <w:pPr>
              <w:spacing w:line="280" w:lineRule="exact"/>
              <w:jc w:val="center"/>
              <w:rPr>
                <w:rFonts w:ascii="Arial" w:hAnsi="Arial" w:cs="Arial"/>
                <w:sz w:val="20"/>
              </w:rPr>
            </w:pPr>
          </w:p>
        </w:tc>
      </w:tr>
      <w:tr w:rsidR="00330EAA" w:rsidRPr="00E70587" w14:paraId="2671A4A3" w14:textId="77777777" w:rsidTr="000A2ED4">
        <w:tc>
          <w:tcPr>
            <w:tcW w:w="6237" w:type="dxa"/>
            <w:tcMar>
              <w:top w:w="28" w:type="dxa"/>
              <w:left w:w="108" w:type="dxa"/>
              <w:right w:w="108" w:type="dxa"/>
            </w:tcMar>
            <w:vAlign w:val="center"/>
          </w:tcPr>
          <w:p w14:paraId="1B3B4412" w14:textId="77777777" w:rsidR="00330EAA" w:rsidRPr="00E70587" w:rsidRDefault="00330EAA" w:rsidP="00543062">
            <w:pPr>
              <w:spacing w:line="280" w:lineRule="exact"/>
              <w:rPr>
                <w:rFonts w:ascii="Arial" w:hAnsi="Arial" w:cs="Arial"/>
                <w:sz w:val="20"/>
              </w:rPr>
            </w:pPr>
            <w:r w:rsidRPr="00E70587">
              <w:rPr>
                <w:rFonts w:ascii="Arial" w:hAnsi="Arial" w:cs="Arial"/>
                <w:sz w:val="20"/>
              </w:rPr>
              <w:t>– On current accounts</w:t>
            </w:r>
          </w:p>
        </w:tc>
        <w:tc>
          <w:tcPr>
            <w:tcW w:w="1642" w:type="dxa"/>
          </w:tcPr>
          <w:p w14:paraId="4BAF2F85" w14:textId="77777777" w:rsidR="00330EAA" w:rsidRPr="00E70587" w:rsidRDefault="00330EAA" w:rsidP="0020584C">
            <w:pPr>
              <w:spacing w:line="280" w:lineRule="exact"/>
              <w:jc w:val="right"/>
              <w:rPr>
                <w:rFonts w:ascii="Arial" w:hAnsi="Arial" w:cs="Arial"/>
                <w:sz w:val="20"/>
              </w:rPr>
            </w:pPr>
            <w:r w:rsidRPr="00E70587">
              <w:rPr>
                <w:rFonts w:ascii="Arial" w:hAnsi="Arial" w:cs="Arial"/>
                <w:color w:val="000000"/>
                <w:sz w:val="20"/>
              </w:rPr>
              <w:t>19,111</w:t>
            </w:r>
          </w:p>
        </w:tc>
        <w:tc>
          <w:tcPr>
            <w:tcW w:w="1642" w:type="dxa"/>
          </w:tcPr>
          <w:p w14:paraId="1ABED803" w14:textId="77777777" w:rsidR="00330EAA" w:rsidRPr="00E70587" w:rsidRDefault="00330EAA" w:rsidP="0020584C">
            <w:pPr>
              <w:spacing w:line="280" w:lineRule="exact"/>
              <w:jc w:val="right"/>
              <w:rPr>
                <w:rFonts w:ascii="Arial" w:hAnsi="Arial" w:cs="Arial"/>
                <w:sz w:val="20"/>
              </w:rPr>
            </w:pPr>
            <w:r w:rsidRPr="00E70587">
              <w:rPr>
                <w:rFonts w:ascii="Arial" w:hAnsi="Arial" w:cs="Arial"/>
                <w:color w:val="000000"/>
                <w:sz w:val="20"/>
              </w:rPr>
              <w:t>19,546</w:t>
            </w:r>
          </w:p>
        </w:tc>
      </w:tr>
      <w:tr w:rsidR="00330EAA" w:rsidRPr="00E70587" w14:paraId="056CFEC9" w14:textId="77777777" w:rsidTr="000A2ED4">
        <w:tc>
          <w:tcPr>
            <w:tcW w:w="6237" w:type="dxa"/>
            <w:tcMar>
              <w:top w:w="28" w:type="dxa"/>
              <w:left w:w="108" w:type="dxa"/>
              <w:right w:w="108" w:type="dxa"/>
            </w:tcMar>
            <w:vAlign w:val="center"/>
          </w:tcPr>
          <w:p w14:paraId="70C5C7DF" w14:textId="77777777" w:rsidR="00330EAA" w:rsidRPr="00E70587" w:rsidRDefault="00330EAA" w:rsidP="00543062">
            <w:pPr>
              <w:spacing w:line="280" w:lineRule="exact"/>
              <w:rPr>
                <w:rFonts w:ascii="Arial" w:hAnsi="Arial" w:cs="Arial"/>
                <w:sz w:val="20"/>
              </w:rPr>
            </w:pPr>
            <w:r w:rsidRPr="00E70587">
              <w:rPr>
                <w:rFonts w:ascii="Arial" w:hAnsi="Arial" w:cs="Arial"/>
                <w:sz w:val="20"/>
              </w:rPr>
              <w:t>– Deposits with original maturity of less than three months</w:t>
            </w:r>
          </w:p>
        </w:tc>
        <w:tc>
          <w:tcPr>
            <w:tcW w:w="1642" w:type="dxa"/>
          </w:tcPr>
          <w:p w14:paraId="6E919ADD" w14:textId="77777777" w:rsidR="00330EAA" w:rsidRPr="00E70587" w:rsidRDefault="00330EAA" w:rsidP="0020584C">
            <w:pPr>
              <w:spacing w:line="280" w:lineRule="exact"/>
              <w:jc w:val="right"/>
              <w:rPr>
                <w:rFonts w:ascii="Arial" w:hAnsi="Arial" w:cs="Arial"/>
                <w:sz w:val="20"/>
              </w:rPr>
            </w:pPr>
            <w:r w:rsidRPr="00E70587">
              <w:rPr>
                <w:rFonts w:ascii="Arial" w:hAnsi="Arial" w:cs="Arial"/>
                <w:color w:val="000000"/>
                <w:sz w:val="20"/>
              </w:rPr>
              <w:t>10,433</w:t>
            </w:r>
          </w:p>
        </w:tc>
        <w:tc>
          <w:tcPr>
            <w:tcW w:w="1642" w:type="dxa"/>
          </w:tcPr>
          <w:p w14:paraId="62EEFD01" w14:textId="77777777" w:rsidR="00330EAA" w:rsidRPr="00E70587" w:rsidRDefault="00330EAA" w:rsidP="0020584C">
            <w:pPr>
              <w:spacing w:line="280" w:lineRule="exact"/>
              <w:jc w:val="right"/>
              <w:rPr>
                <w:rFonts w:ascii="Arial" w:hAnsi="Arial" w:cs="Arial"/>
                <w:sz w:val="20"/>
              </w:rPr>
            </w:pPr>
            <w:r w:rsidRPr="00E70587">
              <w:rPr>
                <w:rFonts w:ascii="Arial" w:hAnsi="Arial" w:cs="Arial"/>
                <w:color w:val="000000"/>
                <w:sz w:val="20"/>
              </w:rPr>
              <w:t>6,824</w:t>
            </w:r>
          </w:p>
        </w:tc>
      </w:tr>
      <w:tr w:rsidR="00330EAA" w:rsidRPr="00E70587" w14:paraId="7584E86B" w14:textId="77777777" w:rsidTr="000A2ED4">
        <w:tc>
          <w:tcPr>
            <w:tcW w:w="6237" w:type="dxa"/>
            <w:tcMar>
              <w:top w:w="28" w:type="dxa"/>
              <w:left w:w="108" w:type="dxa"/>
              <w:right w:w="108" w:type="dxa"/>
            </w:tcMar>
            <w:vAlign w:val="center"/>
          </w:tcPr>
          <w:p w14:paraId="41771C51" w14:textId="77777777" w:rsidR="00330EAA" w:rsidRPr="00E70587" w:rsidRDefault="00330EAA" w:rsidP="00543062">
            <w:pPr>
              <w:spacing w:line="280" w:lineRule="exact"/>
              <w:rPr>
                <w:rFonts w:ascii="Arial" w:hAnsi="Arial" w:cs="Arial"/>
                <w:sz w:val="20"/>
              </w:rPr>
            </w:pPr>
            <w:r w:rsidRPr="00E70587">
              <w:rPr>
                <w:rFonts w:ascii="Arial" w:hAnsi="Arial" w:cs="Arial"/>
                <w:sz w:val="20"/>
              </w:rPr>
              <w:t>Cheques/ drafts on hand</w:t>
            </w:r>
          </w:p>
        </w:tc>
        <w:tc>
          <w:tcPr>
            <w:tcW w:w="1642" w:type="dxa"/>
          </w:tcPr>
          <w:p w14:paraId="11862B37" w14:textId="77777777" w:rsidR="00330EAA" w:rsidRPr="00E70587" w:rsidRDefault="00330EAA" w:rsidP="0020584C">
            <w:pPr>
              <w:spacing w:line="280" w:lineRule="exact"/>
              <w:jc w:val="right"/>
              <w:rPr>
                <w:rFonts w:ascii="Arial" w:hAnsi="Arial" w:cs="Arial"/>
                <w:sz w:val="20"/>
              </w:rPr>
            </w:pPr>
            <w:r w:rsidRPr="00E70587">
              <w:rPr>
                <w:rFonts w:ascii="Arial" w:hAnsi="Arial" w:cs="Arial"/>
                <w:color w:val="000000"/>
                <w:sz w:val="20"/>
              </w:rPr>
              <w:t>12</w:t>
            </w:r>
          </w:p>
        </w:tc>
        <w:tc>
          <w:tcPr>
            <w:tcW w:w="1642" w:type="dxa"/>
          </w:tcPr>
          <w:p w14:paraId="6334A403" w14:textId="77777777" w:rsidR="00330EAA" w:rsidRPr="00E70587" w:rsidRDefault="00330EAA" w:rsidP="0020584C">
            <w:pPr>
              <w:spacing w:line="280" w:lineRule="exact"/>
              <w:jc w:val="right"/>
              <w:rPr>
                <w:rFonts w:ascii="Arial" w:hAnsi="Arial" w:cs="Arial"/>
                <w:sz w:val="20"/>
              </w:rPr>
            </w:pPr>
            <w:r w:rsidRPr="00E70587">
              <w:rPr>
                <w:rFonts w:ascii="Arial" w:hAnsi="Arial" w:cs="Arial"/>
                <w:color w:val="000000"/>
                <w:sz w:val="20"/>
              </w:rPr>
              <w:t>12</w:t>
            </w:r>
          </w:p>
        </w:tc>
      </w:tr>
      <w:tr w:rsidR="00330EAA" w:rsidRPr="00E70587" w14:paraId="6070A7AF" w14:textId="77777777" w:rsidTr="000A2ED4">
        <w:tc>
          <w:tcPr>
            <w:tcW w:w="6237" w:type="dxa"/>
            <w:tcMar>
              <w:top w:w="28" w:type="dxa"/>
              <w:left w:w="108" w:type="dxa"/>
              <w:right w:w="108" w:type="dxa"/>
            </w:tcMar>
            <w:vAlign w:val="center"/>
          </w:tcPr>
          <w:p w14:paraId="06D54F34" w14:textId="77777777" w:rsidR="00330EAA" w:rsidRPr="00E70587" w:rsidRDefault="00330EAA" w:rsidP="00543062">
            <w:pPr>
              <w:spacing w:line="280" w:lineRule="exact"/>
              <w:rPr>
                <w:rFonts w:ascii="Arial" w:hAnsi="Arial" w:cs="Arial"/>
                <w:sz w:val="20"/>
              </w:rPr>
            </w:pPr>
            <w:r w:rsidRPr="00E70587">
              <w:rPr>
                <w:rFonts w:ascii="Arial" w:hAnsi="Arial" w:cs="Arial"/>
                <w:sz w:val="20"/>
              </w:rPr>
              <w:t>Cash on hand</w:t>
            </w:r>
          </w:p>
        </w:tc>
        <w:tc>
          <w:tcPr>
            <w:tcW w:w="1642" w:type="dxa"/>
          </w:tcPr>
          <w:p w14:paraId="404C3AF5" w14:textId="77777777" w:rsidR="00330EAA" w:rsidRPr="00E70587" w:rsidRDefault="00330EAA" w:rsidP="0020584C">
            <w:pPr>
              <w:spacing w:line="280" w:lineRule="exact"/>
              <w:jc w:val="right"/>
              <w:rPr>
                <w:rFonts w:ascii="Arial" w:hAnsi="Arial" w:cs="Arial"/>
                <w:sz w:val="20"/>
              </w:rPr>
            </w:pPr>
            <w:r w:rsidRPr="00E70587">
              <w:rPr>
                <w:rFonts w:ascii="Arial" w:hAnsi="Arial" w:cs="Arial"/>
                <w:color w:val="000000"/>
                <w:sz w:val="20"/>
              </w:rPr>
              <w:t>34</w:t>
            </w:r>
          </w:p>
        </w:tc>
        <w:tc>
          <w:tcPr>
            <w:tcW w:w="1642" w:type="dxa"/>
          </w:tcPr>
          <w:p w14:paraId="477EA444" w14:textId="77777777" w:rsidR="00330EAA" w:rsidRPr="00E70587" w:rsidRDefault="00330EAA" w:rsidP="0020584C">
            <w:pPr>
              <w:spacing w:line="280" w:lineRule="exact"/>
              <w:jc w:val="right"/>
              <w:rPr>
                <w:rFonts w:ascii="Arial" w:hAnsi="Arial" w:cs="Arial"/>
                <w:sz w:val="20"/>
              </w:rPr>
            </w:pPr>
            <w:r w:rsidRPr="00E70587">
              <w:rPr>
                <w:rFonts w:ascii="Arial" w:hAnsi="Arial" w:cs="Arial"/>
                <w:color w:val="000000"/>
                <w:sz w:val="20"/>
              </w:rPr>
              <w:t>32</w:t>
            </w:r>
          </w:p>
        </w:tc>
      </w:tr>
      <w:tr w:rsidR="00330EAA" w:rsidRPr="00E70587" w14:paraId="73964E31" w14:textId="77777777" w:rsidTr="000A2ED4">
        <w:tc>
          <w:tcPr>
            <w:tcW w:w="6237" w:type="dxa"/>
            <w:tcMar>
              <w:top w:w="28" w:type="dxa"/>
              <w:left w:w="108" w:type="dxa"/>
              <w:right w:w="108" w:type="dxa"/>
            </w:tcMar>
            <w:vAlign w:val="center"/>
          </w:tcPr>
          <w:p w14:paraId="5CDDBC64" w14:textId="50354814" w:rsidR="00330EAA" w:rsidRPr="00E70587" w:rsidRDefault="00330EAA" w:rsidP="00543062">
            <w:pPr>
              <w:spacing w:line="280" w:lineRule="exact"/>
              <w:rPr>
                <w:rFonts w:ascii="Arial" w:hAnsi="Arial" w:cs="Arial"/>
                <w:sz w:val="20"/>
              </w:rPr>
            </w:pPr>
            <w:r w:rsidRPr="00E70587">
              <w:rPr>
                <w:rFonts w:ascii="Arial" w:hAnsi="Arial" w:cs="Arial"/>
                <w:sz w:val="20"/>
              </w:rPr>
              <w:t xml:space="preserve">Cash at bank and </w:t>
            </w:r>
            <w:r w:rsidR="006C6807" w:rsidRPr="00E70587">
              <w:rPr>
                <w:rFonts w:ascii="Arial" w:hAnsi="Arial" w:cs="Arial"/>
                <w:sz w:val="20"/>
              </w:rPr>
              <w:t>short-term</w:t>
            </w:r>
            <w:r w:rsidRPr="00E70587">
              <w:rPr>
                <w:rFonts w:ascii="Arial" w:hAnsi="Arial" w:cs="Arial"/>
                <w:sz w:val="20"/>
              </w:rPr>
              <w:t xml:space="preserve"> deposits attributable to discontinued operations (note 21)</w:t>
            </w:r>
          </w:p>
        </w:tc>
        <w:tc>
          <w:tcPr>
            <w:tcW w:w="1642" w:type="dxa"/>
            <w:tcBorders>
              <w:bottom w:val="single" w:sz="4" w:space="0" w:color="auto"/>
            </w:tcBorders>
          </w:tcPr>
          <w:p w14:paraId="41911DAC" w14:textId="77777777" w:rsidR="00330EAA" w:rsidRPr="00E70587" w:rsidRDefault="00330EAA" w:rsidP="0020584C">
            <w:pPr>
              <w:spacing w:line="280" w:lineRule="exact"/>
              <w:jc w:val="right"/>
              <w:rPr>
                <w:rFonts w:ascii="Arial" w:hAnsi="Arial" w:cs="Arial"/>
                <w:sz w:val="20"/>
              </w:rPr>
            </w:pPr>
            <w:r w:rsidRPr="00E70587">
              <w:rPr>
                <w:rFonts w:ascii="Arial" w:hAnsi="Arial" w:cs="Arial"/>
                <w:color w:val="000000"/>
                <w:sz w:val="20"/>
              </w:rPr>
              <w:t>2,329</w:t>
            </w:r>
          </w:p>
        </w:tc>
        <w:tc>
          <w:tcPr>
            <w:tcW w:w="1642" w:type="dxa"/>
            <w:tcBorders>
              <w:bottom w:val="single" w:sz="4" w:space="0" w:color="auto"/>
            </w:tcBorders>
          </w:tcPr>
          <w:p w14:paraId="772C250D" w14:textId="77777777" w:rsidR="00330EAA" w:rsidRPr="00E70587" w:rsidRDefault="00330EAA" w:rsidP="0020584C">
            <w:pPr>
              <w:spacing w:line="280" w:lineRule="exact"/>
              <w:jc w:val="right"/>
              <w:rPr>
                <w:rFonts w:ascii="Arial" w:hAnsi="Arial" w:cs="Arial"/>
                <w:sz w:val="20"/>
              </w:rPr>
            </w:pPr>
            <w:r w:rsidRPr="00E70587">
              <w:rPr>
                <w:rFonts w:ascii="Arial" w:hAnsi="Arial" w:cs="Arial"/>
                <w:color w:val="000000"/>
                <w:sz w:val="20"/>
              </w:rPr>
              <w:t>-</w:t>
            </w:r>
          </w:p>
        </w:tc>
      </w:tr>
      <w:tr w:rsidR="00330EAA" w:rsidRPr="00E70587" w14:paraId="1BCEFF46" w14:textId="77777777" w:rsidTr="000A2ED4">
        <w:tc>
          <w:tcPr>
            <w:tcW w:w="6237" w:type="dxa"/>
            <w:tcMar>
              <w:top w:w="28" w:type="dxa"/>
              <w:left w:w="108" w:type="dxa"/>
              <w:right w:w="108" w:type="dxa"/>
            </w:tcMar>
            <w:vAlign w:val="center"/>
          </w:tcPr>
          <w:p w14:paraId="6842B259" w14:textId="77777777" w:rsidR="00330EAA" w:rsidRPr="00E70587" w:rsidRDefault="00330EAA"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642" w:type="dxa"/>
            <w:tcBorders>
              <w:top w:val="single" w:sz="4" w:space="0" w:color="auto"/>
              <w:bottom w:val="nil"/>
            </w:tcBorders>
          </w:tcPr>
          <w:p w14:paraId="61C0E69B" w14:textId="77777777" w:rsidR="00330EAA" w:rsidRPr="00E70587" w:rsidRDefault="00330EAA" w:rsidP="0020584C">
            <w:pPr>
              <w:spacing w:line="280" w:lineRule="exact"/>
              <w:ind w:firstLineChars="100" w:firstLine="200"/>
              <w:jc w:val="right"/>
              <w:rPr>
                <w:rFonts w:ascii="Arial" w:hAnsi="Arial" w:cs="Arial"/>
                <w:b/>
                <w:bCs/>
                <w:sz w:val="20"/>
              </w:rPr>
            </w:pPr>
            <w:r w:rsidRPr="00E70587">
              <w:rPr>
                <w:rFonts w:ascii="Arial" w:hAnsi="Arial" w:cs="Arial"/>
                <w:color w:val="000000"/>
                <w:sz w:val="20"/>
              </w:rPr>
              <w:t>31,919</w:t>
            </w:r>
          </w:p>
        </w:tc>
        <w:tc>
          <w:tcPr>
            <w:tcW w:w="1642" w:type="dxa"/>
            <w:tcBorders>
              <w:top w:val="single" w:sz="4" w:space="0" w:color="auto"/>
              <w:bottom w:val="nil"/>
            </w:tcBorders>
          </w:tcPr>
          <w:p w14:paraId="405BC630" w14:textId="77777777" w:rsidR="00330EAA" w:rsidRPr="00E70587" w:rsidRDefault="00330EAA" w:rsidP="0020584C">
            <w:pPr>
              <w:spacing w:line="280" w:lineRule="exact"/>
              <w:ind w:firstLineChars="100" w:firstLine="200"/>
              <w:jc w:val="right"/>
              <w:rPr>
                <w:rFonts w:ascii="Arial" w:hAnsi="Arial" w:cs="Arial"/>
                <w:b/>
                <w:bCs/>
                <w:sz w:val="20"/>
              </w:rPr>
            </w:pPr>
            <w:r w:rsidRPr="00E70587">
              <w:rPr>
                <w:rFonts w:ascii="Arial" w:hAnsi="Arial" w:cs="Arial"/>
                <w:color w:val="000000"/>
                <w:sz w:val="20"/>
              </w:rPr>
              <w:t>26,414</w:t>
            </w:r>
          </w:p>
        </w:tc>
      </w:tr>
      <w:tr w:rsidR="00330EAA" w:rsidRPr="00E70587" w14:paraId="213F900E" w14:textId="77777777" w:rsidTr="000A2ED4">
        <w:tc>
          <w:tcPr>
            <w:tcW w:w="6237" w:type="dxa"/>
            <w:tcBorders>
              <w:bottom w:val="nil"/>
            </w:tcBorders>
            <w:tcMar>
              <w:top w:w="28" w:type="dxa"/>
              <w:left w:w="108" w:type="dxa"/>
              <w:right w:w="108" w:type="dxa"/>
            </w:tcMar>
            <w:vAlign w:val="center"/>
          </w:tcPr>
          <w:p w14:paraId="6F23E01E" w14:textId="77777777" w:rsidR="00330EAA" w:rsidRPr="00E70587" w:rsidRDefault="00330EAA" w:rsidP="0054306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Less – Bank overdraft (note 14)</w:t>
            </w:r>
          </w:p>
        </w:tc>
        <w:tc>
          <w:tcPr>
            <w:tcW w:w="1642" w:type="dxa"/>
            <w:tcBorders>
              <w:top w:val="nil"/>
              <w:bottom w:val="single" w:sz="4" w:space="0" w:color="auto"/>
            </w:tcBorders>
          </w:tcPr>
          <w:p w14:paraId="4E59C7DF" w14:textId="77777777" w:rsidR="00330EAA" w:rsidRPr="00E70587" w:rsidRDefault="00330EAA" w:rsidP="0020584C">
            <w:pPr>
              <w:spacing w:line="280" w:lineRule="exact"/>
              <w:ind w:firstLineChars="100" w:firstLine="200"/>
              <w:jc w:val="right"/>
              <w:rPr>
                <w:rFonts w:ascii="Arial" w:hAnsi="Arial" w:cs="Arial"/>
                <w:bCs/>
                <w:sz w:val="20"/>
              </w:rPr>
            </w:pPr>
            <w:r w:rsidRPr="00E70587">
              <w:rPr>
                <w:rFonts w:ascii="Arial" w:hAnsi="Arial" w:cs="Arial"/>
                <w:color w:val="000000"/>
                <w:sz w:val="20"/>
              </w:rPr>
              <w:t>(1,739)</w:t>
            </w:r>
          </w:p>
        </w:tc>
        <w:tc>
          <w:tcPr>
            <w:tcW w:w="1642" w:type="dxa"/>
            <w:tcBorders>
              <w:top w:val="nil"/>
              <w:bottom w:val="single" w:sz="4" w:space="0" w:color="auto"/>
            </w:tcBorders>
          </w:tcPr>
          <w:p w14:paraId="6555A248" w14:textId="77777777" w:rsidR="00330EAA" w:rsidRPr="00E70587" w:rsidRDefault="00330EAA" w:rsidP="0020584C">
            <w:pPr>
              <w:spacing w:line="280" w:lineRule="exact"/>
              <w:ind w:firstLineChars="100" w:firstLine="200"/>
              <w:jc w:val="right"/>
              <w:rPr>
                <w:rFonts w:ascii="Arial" w:hAnsi="Arial" w:cs="Arial"/>
                <w:bCs/>
                <w:sz w:val="20"/>
              </w:rPr>
            </w:pPr>
            <w:r w:rsidRPr="00E70587">
              <w:rPr>
                <w:rFonts w:ascii="Arial" w:hAnsi="Arial" w:cs="Arial"/>
                <w:color w:val="000000"/>
                <w:sz w:val="20"/>
              </w:rPr>
              <w:t>(4,770)</w:t>
            </w:r>
          </w:p>
        </w:tc>
      </w:tr>
      <w:tr w:rsidR="00330EAA" w:rsidRPr="00E70587" w14:paraId="35A684CF" w14:textId="77777777" w:rsidTr="000A2ED4">
        <w:trPr>
          <w:trHeight w:val="269"/>
        </w:trPr>
        <w:tc>
          <w:tcPr>
            <w:tcW w:w="6237" w:type="dxa"/>
            <w:tcBorders>
              <w:bottom w:val="nil"/>
            </w:tcBorders>
            <w:tcMar>
              <w:top w:w="28" w:type="dxa"/>
              <w:left w:w="108" w:type="dxa"/>
              <w:right w:w="108" w:type="dxa"/>
            </w:tcMar>
            <w:vAlign w:val="center"/>
          </w:tcPr>
          <w:p w14:paraId="1E863225" w14:textId="77777777" w:rsidR="00330EAA" w:rsidRPr="00E70587" w:rsidRDefault="00330EAA" w:rsidP="00543062">
            <w:pPr>
              <w:pStyle w:val="tabletext"/>
              <w:overflowPunct w:val="0"/>
              <w:autoSpaceDE w:val="0"/>
              <w:autoSpaceDN w:val="0"/>
              <w:adjustRightInd w:val="0"/>
              <w:spacing w:line="280" w:lineRule="exact"/>
              <w:textAlignment w:val="baseline"/>
              <w:rPr>
                <w:rFonts w:ascii="Arial" w:hAnsi="Arial" w:cs="Arial"/>
                <w:sz w:val="20"/>
                <w:lang w:val="en-IN"/>
              </w:rPr>
            </w:pPr>
          </w:p>
        </w:tc>
        <w:tc>
          <w:tcPr>
            <w:tcW w:w="1642" w:type="dxa"/>
            <w:tcBorders>
              <w:top w:val="single" w:sz="4" w:space="0" w:color="auto"/>
              <w:bottom w:val="double" w:sz="4" w:space="0" w:color="auto"/>
            </w:tcBorders>
          </w:tcPr>
          <w:p w14:paraId="1D3E6CBE" w14:textId="77777777" w:rsidR="00330EAA" w:rsidRPr="00E70587" w:rsidRDefault="00330EAA" w:rsidP="008D4DB9">
            <w:pPr>
              <w:spacing w:line="280" w:lineRule="exact"/>
              <w:ind w:firstLineChars="100" w:firstLine="201"/>
              <w:jc w:val="right"/>
              <w:rPr>
                <w:rFonts w:ascii="Arial" w:hAnsi="Arial" w:cs="Arial"/>
                <w:b/>
                <w:bCs/>
                <w:sz w:val="20"/>
              </w:rPr>
            </w:pPr>
            <w:r w:rsidRPr="00E70587">
              <w:rPr>
                <w:rFonts w:ascii="Arial" w:hAnsi="Arial" w:cs="Arial"/>
                <w:b/>
                <w:bCs/>
                <w:color w:val="000000"/>
                <w:sz w:val="20"/>
              </w:rPr>
              <w:t>30,</w:t>
            </w:r>
            <w:r w:rsidR="008D4DB9" w:rsidRPr="00E70587">
              <w:rPr>
                <w:rFonts w:ascii="Arial" w:hAnsi="Arial" w:cs="Arial"/>
                <w:b/>
                <w:bCs/>
                <w:color w:val="000000"/>
                <w:sz w:val="20"/>
              </w:rPr>
              <w:t>180</w:t>
            </w:r>
          </w:p>
        </w:tc>
        <w:tc>
          <w:tcPr>
            <w:tcW w:w="1642" w:type="dxa"/>
            <w:tcBorders>
              <w:top w:val="single" w:sz="4" w:space="0" w:color="auto"/>
              <w:bottom w:val="double" w:sz="4" w:space="0" w:color="auto"/>
            </w:tcBorders>
          </w:tcPr>
          <w:p w14:paraId="7EDE6A72" w14:textId="77777777" w:rsidR="00330EAA" w:rsidRPr="00E70587" w:rsidRDefault="00330EAA" w:rsidP="0020584C">
            <w:pPr>
              <w:spacing w:line="280" w:lineRule="exact"/>
              <w:ind w:firstLineChars="100" w:firstLine="201"/>
              <w:jc w:val="right"/>
              <w:rPr>
                <w:rFonts w:ascii="Arial" w:hAnsi="Arial" w:cs="Arial"/>
                <w:b/>
                <w:bCs/>
                <w:sz w:val="20"/>
              </w:rPr>
            </w:pPr>
            <w:r w:rsidRPr="00E70587">
              <w:rPr>
                <w:rFonts w:ascii="Arial" w:hAnsi="Arial" w:cs="Arial"/>
                <w:b/>
                <w:bCs/>
                <w:color w:val="000000"/>
                <w:sz w:val="20"/>
              </w:rPr>
              <w:t>21,644</w:t>
            </w:r>
          </w:p>
        </w:tc>
      </w:tr>
    </w:tbl>
    <w:p w14:paraId="09696B60" w14:textId="77777777" w:rsidR="00AE5F94" w:rsidRPr="00E70587" w:rsidRDefault="00AE5F94" w:rsidP="009901E1">
      <w:pPr>
        <w:pStyle w:val="Notesbodytext"/>
        <w:spacing w:after="0" w:line="280" w:lineRule="exact"/>
        <w:jc w:val="both"/>
        <w:rPr>
          <w:rFonts w:ascii="Arial" w:hAnsi="Arial"/>
          <w:color w:val="auto"/>
          <w:sz w:val="20"/>
        </w:rPr>
      </w:pPr>
    </w:p>
    <w:tbl>
      <w:tblPr>
        <w:tblW w:w="9464" w:type="dxa"/>
        <w:tblInd w:w="108" w:type="dxa"/>
        <w:tblLook w:val="04A0" w:firstRow="1" w:lastRow="0" w:firstColumn="1" w:lastColumn="0" w:noHBand="0" w:noVBand="1"/>
      </w:tblPr>
      <w:tblGrid>
        <w:gridCol w:w="1107"/>
        <w:gridCol w:w="1053"/>
        <w:gridCol w:w="1117"/>
        <w:gridCol w:w="1249"/>
        <w:gridCol w:w="1203"/>
        <w:gridCol w:w="892"/>
        <w:gridCol w:w="800"/>
        <w:gridCol w:w="976"/>
        <w:gridCol w:w="1067"/>
      </w:tblGrid>
      <w:tr w:rsidR="000A2ED4" w:rsidRPr="00BB6300" w14:paraId="5DF83585" w14:textId="77777777" w:rsidTr="00FB55E1">
        <w:trPr>
          <w:trHeight w:val="576"/>
        </w:trPr>
        <w:tc>
          <w:tcPr>
            <w:tcW w:w="1107" w:type="dxa"/>
            <w:tcBorders>
              <w:top w:val="nil"/>
              <w:left w:val="nil"/>
              <w:bottom w:val="nil"/>
              <w:right w:val="nil"/>
            </w:tcBorders>
            <w:shd w:val="clear" w:color="auto" w:fill="auto"/>
            <w:vAlign w:val="center"/>
            <w:hideMark/>
          </w:tcPr>
          <w:p w14:paraId="2C48FECB" w14:textId="77777777" w:rsidR="000A2ED4" w:rsidRPr="00BB6300" w:rsidRDefault="000A2ED4" w:rsidP="006C3B80">
            <w:pPr>
              <w:overflowPunct/>
              <w:autoSpaceDE/>
              <w:autoSpaceDN/>
              <w:adjustRightInd/>
              <w:spacing w:line="240" w:lineRule="auto"/>
              <w:textAlignment w:val="auto"/>
              <w:rPr>
                <w:rFonts w:ascii="Arial" w:hAnsi="Arial" w:cs="Arial"/>
                <w:b/>
                <w:bCs/>
                <w:color w:val="000000"/>
                <w:sz w:val="16"/>
                <w:szCs w:val="18"/>
                <w:lang w:eastAsia="en-IN"/>
              </w:rPr>
            </w:pPr>
            <w:r w:rsidRPr="00BB6300">
              <w:rPr>
                <w:rFonts w:ascii="Arial" w:hAnsi="Arial" w:cs="Arial"/>
                <w:b/>
                <w:bCs/>
                <w:color w:val="000000"/>
                <w:sz w:val="16"/>
                <w:szCs w:val="18"/>
                <w:lang w:eastAsia="en-IN"/>
              </w:rPr>
              <w:t>Particulars</w:t>
            </w:r>
          </w:p>
        </w:tc>
        <w:tc>
          <w:tcPr>
            <w:tcW w:w="1053" w:type="dxa"/>
            <w:tcBorders>
              <w:top w:val="nil"/>
              <w:left w:val="nil"/>
              <w:bottom w:val="nil"/>
              <w:right w:val="nil"/>
            </w:tcBorders>
            <w:shd w:val="clear" w:color="auto" w:fill="auto"/>
            <w:vAlign w:val="center"/>
            <w:hideMark/>
          </w:tcPr>
          <w:p w14:paraId="07637F13" w14:textId="271B1AA8" w:rsidR="000A2ED4" w:rsidRPr="00BB6300" w:rsidRDefault="000A2ED4" w:rsidP="00D5134A">
            <w:pPr>
              <w:overflowPunct/>
              <w:autoSpaceDE/>
              <w:autoSpaceDN/>
              <w:adjustRightInd/>
              <w:spacing w:line="240" w:lineRule="auto"/>
              <w:jc w:val="right"/>
              <w:textAlignment w:val="auto"/>
              <w:rPr>
                <w:rFonts w:ascii="Arial" w:hAnsi="Arial" w:cs="Arial"/>
                <w:b/>
                <w:bCs/>
                <w:color w:val="000000"/>
                <w:sz w:val="16"/>
                <w:szCs w:val="18"/>
                <w:lang w:eastAsia="en-IN"/>
              </w:rPr>
            </w:pPr>
            <w:r w:rsidRPr="00BB6300">
              <w:rPr>
                <w:rFonts w:ascii="Arial" w:hAnsi="Arial" w:cs="Arial"/>
                <w:b/>
                <w:bCs/>
                <w:color w:val="000000"/>
                <w:sz w:val="16"/>
                <w:szCs w:val="18"/>
                <w:lang w:eastAsia="en-IN"/>
              </w:rPr>
              <w:t>01-Apr-</w:t>
            </w:r>
            <w:r w:rsidR="00FB55E1">
              <w:rPr>
                <w:rFonts w:ascii="Arial" w:hAnsi="Arial" w:cs="Arial"/>
                <w:b/>
                <w:bCs/>
                <w:color w:val="000000"/>
                <w:sz w:val="16"/>
                <w:szCs w:val="18"/>
                <w:lang w:eastAsia="en-IN"/>
              </w:rPr>
              <w:t>20</w:t>
            </w:r>
          </w:p>
        </w:tc>
        <w:tc>
          <w:tcPr>
            <w:tcW w:w="1117" w:type="dxa"/>
            <w:tcBorders>
              <w:top w:val="nil"/>
              <w:left w:val="nil"/>
              <w:bottom w:val="nil"/>
              <w:right w:val="nil"/>
            </w:tcBorders>
            <w:shd w:val="clear" w:color="auto" w:fill="auto"/>
            <w:vAlign w:val="center"/>
            <w:hideMark/>
          </w:tcPr>
          <w:p w14:paraId="0F0EC0C4" w14:textId="77777777" w:rsidR="000A2ED4" w:rsidRPr="00BB6300" w:rsidRDefault="000A2ED4" w:rsidP="006C3B80">
            <w:pPr>
              <w:overflowPunct/>
              <w:autoSpaceDE/>
              <w:autoSpaceDN/>
              <w:adjustRightInd/>
              <w:spacing w:line="240" w:lineRule="auto"/>
              <w:textAlignment w:val="auto"/>
              <w:rPr>
                <w:rFonts w:ascii="Arial" w:hAnsi="Arial" w:cs="Arial"/>
                <w:b/>
                <w:bCs/>
                <w:color w:val="000000"/>
                <w:sz w:val="16"/>
                <w:szCs w:val="18"/>
                <w:lang w:eastAsia="en-IN"/>
              </w:rPr>
            </w:pPr>
            <w:r w:rsidRPr="00BB6300">
              <w:rPr>
                <w:rFonts w:ascii="Arial" w:hAnsi="Arial" w:cs="Arial"/>
                <w:b/>
                <w:bCs/>
                <w:color w:val="000000"/>
                <w:sz w:val="16"/>
                <w:szCs w:val="18"/>
                <w:lang w:eastAsia="en-IN"/>
              </w:rPr>
              <w:t>Cash flows</w:t>
            </w:r>
          </w:p>
        </w:tc>
        <w:tc>
          <w:tcPr>
            <w:tcW w:w="1249" w:type="dxa"/>
            <w:tcBorders>
              <w:top w:val="nil"/>
              <w:left w:val="nil"/>
              <w:bottom w:val="nil"/>
              <w:right w:val="nil"/>
            </w:tcBorders>
            <w:shd w:val="clear" w:color="auto" w:fill="auto"/>
            <w:vAlign w:val="center"/>
            <w:hideMark/>
          </w:tcPr>
          <w:p w14:paraId="4405CFE8" w14:textId="77777777" w:rsidR="000A2ED4" w:rsidRPr="00BB6300" w:rsidRDefault="000A2ED4" w:rsidP="006C3B80">
            <w:pPr>
              <w:overflowPunct/>
              <w:autoSpaceDE/>
              <w:autoSpaceDN/>
              <w:adjustRightInd/>
              <w:spacing w:line="240" w:lineRule="auto"/>
              <w:textAlignment w:val="auto"/>
              <w:rPr>
                <w:rFonts w:ascii="Arial" w:hAnsi="Arial" w:cs="Arial"/>
                <w:b/>
                <w:bCs/>
                <w:color w:val="000000"/>
                <w:sz w:val="16"/>
                <w:szCs w:val="18"/>
                <w:lang w:eastAsia="en-IN"/>
              </w:rPr>
            </w:pPr>
            <w:r w:rsidRPr="00BB6300">
              <w:rPr>
                <w:rFonts w:ascii="Arial" w:hAnsi="Arial" w:cs="Arial"/>
                <w:b/>
                <w:bCs/>
                <w:color w:val="000000"/>
                <w:sz w:val="16"/>
                <w:szCs w:val="18"/>
                <w:lang w:eastAsia="en-IN"/>
              </w:rPr>
              <w:t>Reclassified as part of disposal group</w:t>
            </w:r>
          </w:p>
        </w:tc>
        <w:tc>
          <w:tcPr>
            <w:tcW w:w="1203" w:type="dxa"/>
            <w:tcBorders>
              <w:top w:val="nil"/>
              <w:left w:val="nil"/>
              <w:bottom w:val="nil"/>
              <w:right w:val="nil"/>
            </w:tcBorders>
            <w:shd w:val="clear" w:color="auto" w:fill="auto"/>
            <w:vAlign w:val="center"/>
            <w:hideMark/>
          </w:tcPr>
          <w:p w14:paraId="2E05D3AB" w14:textId="77777777" w:rsidR="000A2ED4" w:rsidRPr="00BB6300" w:rsidRDefault="000A2ED4" w:rsidP="006C3B80">
            <w:pPr>
              <w:overflowPunct/>
              <w:autoSpaceDE/>
              <w:autoSpaceDN/>
              <w:adjustRightInd/>
              <w:spacing w:line="240" w:lineRule="auto"/>
              <w:textAlignment w:val="auto"/>
              <w:rPr>
                <w:rFonts w:ascii="Arial" w:hAnsi="Arial" w:cs="Arial"/>
                <w:b/>
                <w:bCs/>
                <w:color w:val="000000"/>
                <w:sz w:val="16"/>
                <w:szCs w:val="18"/>
                <w:lang w:eastAsia="en-IN"/>
              </w:rPr>
            </w:pPr>
            <w:r w:rsidRPr="00BB6300">
              <w:rPr>
                <w:rFonts w:ascii="Arial" w:hAnsi="Arial" w:cs="Arial"/>
                <w:b/>
                <w:bCs/>
                <w:color w:val="000000"/>
                <w:sz w:val="16"/>
                <w:szCs w:val="18"/>
                <w:lang w:eastAsia="en-IN"/>
              </w:rPr>
              <w:t>Foreign exchange management</w:t>
            </w:r>
          </w:p>
        </w:tc>
        <w:tc>
          <w:tcPr>
            <w:tcW w:w="892" w:type="dxa"/>
            <w:tcBorders>
              <w:top w:val="nil"/>
              <w:left w:val="nil"/>
              <w:bottom w:val="nil"/>
              <w:right w:val="nil"/>
            </w:tcBorders>
            <w:shd w:val="clear" w:color="auto" w:fill="auto"/>
            <w:vAlign w:val="center"/>
            <w:hideMark/>
          </w:tcPr>
          <w:p w14:paraId="30961F8A" w14:textId="77777777" w:rsidR="000A2ED4" w:rsidRPr="00BB6300" w:rsidRDefault="000A2ED4" w:rsidP="006C3B80">
            <w:pPr>
              <w:overflowPunct/>
              <w:autoSpaceDE/>
              <w:autoSpaceDN/>
              <w:adjustRightInd/>
              <w:spacing w:line="240" w:lineRule="auto"/>
              <w:textAlignment w:val="auto"/>
              <w:rPr>
                <w:rFonts w:ascii="Arial" w:hAnsi="Arial" w:cs="Arial"/>
                <w:b/>
                <w:bCs/>
                <w:color w:val="000000"/>
                <w:sz w:val="16"/>
                <w:szCs w:val="18"/>
                <w:lang w:eastAsia="en-IN"/>
              </w:rPr>
            </w:pPr>
            <w:r w:rsidRPr="00BB6300">
              <w:rPr>
                <w:rFonts w:ascii="Arial" w:hAnsi="Arial" w:cs="Arial"/>
                <w:b/>
                <w:bCs/>
                <w:color w:val="000000"/>
                <w:sz w:val="16"/>
                <w:szCs w:val="18"/>
                <w:lang w:eastAsia="en-IN"/>
              </w:rPr>
              <w:t>Changes in fair values</w:t>
            </w:r>
          </w:p>
        </w:tc>
        <w:tc>
          <w:tcPr>
            <w:tcW w:w="800" w:type="dxa"/>
            <w:tcBorders>
              <w:top w:val="nil"/>
              <w:left w:val="nil"/>
              <w:bottom w:val="nil"/>
              <w:right w:val="nil"/>
            </w:tcBorders>
            <w:shd w:val="clear" w:color="auto" w:fill="auto"/>
            <w:vAlign w:val="center"/>
            <w:hideMark/>
          </w:tcPr>
          <w:p w14:paraId="0A44B180" w14:textId="77777777" w:rsidR="000A2ED4" w:rsidRPr="00BB6300" w:rsidRDefault="000A2ED4" w:rsidP="006C3B80">
            <w:pPr>
              <w:overflowPunct/>
              <w:autoSpaceDE/>
              <w:autoSpaceDN/>
              <w:adjustRightInd/>
              <w:spacing w:line="240" w:lineRule="auto"/>
              <w:textAlignment w:val="auto"/>
              <w:rPr>
                <w:rFonts w:ascii="Arial" w:hAnsi="Arial" w:cs="Arial"/>
                <w:b/>
                <w:bCs/>
                <w:color w:val="000000"/>
                <w:sz w:val="16"/>
                <w:szCs w:val="18"/>
                <w:lang w:eastAsia="en-IN"/>
              </w:rPr>
            </w:pPr>
            <w:r w:rsidRPr="00BB6300">
              <w:rPr>
                <w:rFonts w:ascii="Arial" w:hAnsi="Arial" w:cs="Arial"/>
                <w:b/>
                <w:bCs/>
                <w:color w:val="000000"/>
                <w:sz w:val="16"/>
                <w:szCs w:val="18"/>
                <w:lang w:eastAsia="en-IN"/>
              </w:rPr>
              <w:t>New leases</w:t>
            </w:r>
          </w:p>
        </w:tc>
        <w:tc>
          <w:tcPr>
            <w:tcW w:w="976" w:type="dxa"/>
            <w:tcBorders>
              <w:top w:val="nil"/>
              <w:left w:val="nil"/>
              <w:bottom w:val="nil"/>
              <w:right w:val="nil"/>
            </w:tcBorders>
            <w:shd w:val="clear" w:color="auto" w:fill="auto"/>
            <w:vAlign w:val="center"/>
            <w:hideMark/>
          </w:tcPr>
          <w:p w14:paraId="085A301A" w14:textId="77777777" w:rsidR="000A2ED4" w:rsidRPr="00BB6300" w:rsidRDefault="000A2ED4" w:rsidP="006C3B80">
            <w:pPr>
              <w:overflowPunct/>
              <w:autoSpaceDE/>
              <w:autoSpaceDN/>
              <w:adjustRightInd/>
              <w:spacing w:line="240" w:lineRule="auto"/>
              <w:textAlignment w:val="auto"/>
              <w:rPr>
                <w:rFonts w:ascii="Arial" w:hAnsi="Arial" w:cs="Arial"/>
                <w:b/>
                <w:bCs/>
                <w:color w:val="000000"/>
                <w:sz w:val="16"/>
                <w:szCs w:val="18"/>
                <w:lang w:eastAsia="en-IN"/>
              </w:rPr>
            </w:pPr>
            <w:r w:rsidRPr="00BB6300">
              <w:rPr>
                <w:rFonts w:ascii="Arial" w:hAnsi="Arial" w:cs="Arial"/>
                <w:b/>
                <w:bCs/>
                <w:color w:val="000000"/>
                <w:sz w:val="16"/>
                <w:szCs w:val="18"/>
                <w:lang w:eastAsia="en-IN"/>
              </w:rPr>
              <w:t>Other</w:t>
            </w:r>
          </w:p>
        </w:tc>
        <w:tc>
          <w:tcPr>
            <w:tcW w:w="1067" w:type="dxa"/>
            <w:tcBorders>
              <w:top w:val="nil"/>
              <w:left w:val="nil"/>
              <w:bottom w:val="nil"/>
              <w:right w:val="nil"/>
            </w:tcBorders>
            <w:shd w:val="clear" w:color="auto" w:fill="auto"/>
            <w:vAlign w:val="center"/>
            <w:hideMark/>
          </w:tcPr>
          <w:p w14:paraId="06F41C8E" w14:textId="55DA6E61" w:rsidR="000A2ED4" w:rsidRPr="00BB6300" w:rsidRDefault="000A2ED4" w:rsidP="00D5134A">
            <w:pPr>
              <w:overflowPunct/>
              <w:autoSpaceDE/>
              <w:autoSpaceDN/>
              <w:adjustRightInd/>
              <w:spacing w:line="240" w:lineRule="auto"/>
              <w:jc w:val="right"/>
              <w:textAlignment w:val="auto"/>
              <w:rPr>
                <w:rFonts w:ascii="Arial" w:hAnsi="Arial" w:cs="Arial"/>
                <w:b/>
                <w:bCs/>
                <w:color w:val="000000"/>
                <w:sz w:val="16"/>
                <w:szCs w:val="18"/>
                <w:lang w:eastAsia="en-IN"/>
              </w:rPr>
            </w:pPr>
            <w:r w:rsidRPr="00BB6300">
              <w:rPr>
                <w:rFonts w:ascii="Arial" w:hAnsi="Arial" w:cs="Arial"/>
                <w:b/>
                <w:bCs/>
                <w:color w:val="000000"/>
                <w:sz w:val="16"/>
                <w:szCs w:val="18"/>
                <w:lang w:eastAsia="en-IN"/>
              </w:rPr>
              <w:t>31-Mar-</w:t>
            </w:r>
            <w:r w:rsidR="00FB55E1">
              <w:rPr>
                <w:rFonts w:ascii="Arial" w:hAnsi="Arial" w:cs="Arial"/>
                <w:b/>
                <w:bCs/>
                <w:color w:val="000000"/>
                <w:sz w:val="16"/>
                <w:szCs w:val="18"/>
                <w:lang w:eastAsia="en-IN"/>
              </w:rPr>
              <w:t>21</w:t>
            </w:r>
          </w:p>
        </w:tc>
      </w:tr>
      <w:tr w:rsidR="000A2ED4" w:rsidRPr="00BB6300" w14:paraId="23B59A96" w14:textId="77777777" w:rsidTr="00FB55E1">
        <w:trPr>
          <w:trHeight w:val="300"/>
        </w:trPr>
        <w:tc>
          <w:tcPr>
            <w:tcW w:w="1107" w:type="dxa"/>
            <w:tcBorders>
              <w:top w:val="nil"/>
              <w:left w:val="nil"/>
              <w:bottom w:val="nil"/>
              <w:right w:val="nil"/>
            </w:tcBorders>
            <w:shd w:val="clear" w:color="auto" w:fill="auto"/>
            <w:vAlign w:val="center"/>
            <w:hideMark/>
          </w:tcPr>
          <w:p w14:paraId="162A2987"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 w:val="16"/>
                <w:szCs w:val="12"/>
                <w:lang w:eastAsia="en-IN"/>
              </w:rPr>
            </w:pPr>
          </w:p>
        </w:tc>
        <w:tc>
          <w:tcPr>
            <w:tcW w:w="1053" w:type="dxa"/>
            <w:tcBorders>
              <w:top w:val="nil"/>
              <w:left w:val="nil"/>
              <w:bottom w:val="nil"/>
              <w:right w:val="nil"/>
            </w:tcBorders>
            <w:shd w:val="clear" w:color="auto" w:fill="auto"/>
            <w:vAlign w:val="center"/>
            <w:hideMark/>
          </w:tcPr>
          <w:p w14:paraId="6A87DD55" w14:textId="77777777" w:rsidR="000A2ED4" w:rsidRPr="00BB6300" w:rsidRDefault="000A2ED4" w:rsidP="006C3B80">
            <w:pPr>
              <w:overflowPunct/>
              <w:autoSpaceDE/>
              <w:autoSpaceDN/>
              <w:adjustRightInd/>
              <w:spacing w:line="240" w:lineRule="auto"/>
              <w:textAlignment w:val="auto"/>
              <w:rPr>
                <w:rFonts w:ascii="Arial" w:hAnsi="Arial" w:cs="Arial"/>
                <w:color w:val="000000"/>
                <w:sz w:val="16"/>
                <w:szCs w:val="18"/>
                <w:lang w:eastAsia="en-IN"/>
              </w:rPr>
            </w:pPr>
            <w:r w:rsidRPr="00BB6300">
              <w:rPr>
                <w:rFonts w:ascii="Arial" w:hAnsi="Arial" w:cs="Arial"/>
                <w:color w:val="000000"/>
                <w:sz w:val="16"/>
                <w:szCs w:val="18"/>
                <w:lang w:eastAsia="en-IN"/>
              </w:rPr>
              <w:t>INR lacs</w:t>
            </w:r>
          </w:p>
        </w:tc>
        <w:tc>
          <w:tcPr>
            <w:tcW w:w="1117" w:type="dxa"/>
            <w:tcBorders>
              <w:top w:val="nil"/>
              <w:left w:val="nil"/>
              <w:bottom w:val="nil"/>
              <w:right w:val="nil"/>
            </w:tcBorders>
            <w:shd w:val="clear" w:color="auto" w:fill="auto"/>
            <w:vAlign w:val="center"/>
            <w:hideMark/>
          </w:tcPr>
          <w:p w14:paraId="7942F60B" w14:textId="77777777" w:rsidR="000A2ED4" w:rsidRPr="00BB6300" w:rsidRDefault="000A2ED4" w:rsidP="006C3B80">
            <w:pPr>
              <w:overflowPunct/>
              <w:autoSpaceDE/>
              <w:autoSpaceDN/>
              <w:adjustRightInd/>
              <w:spacing w:line="240" w:lineRule="auto"/>
              <w:textAlignment w:val="auto"/>
              <w:rPr>
                <w:rFonts w:ascii="Arial" w:hAnsi="Arial" w:cs="Arial"/>
                <w:color w:val="000000"/>
                <w:sz w:val="16"/>
                <w:szCs w:val="18"/>
                <w:lang w:eastAsia="en-IN"/>
              </w:rPr>
            </w:pPr>
            <w:r w:rsidRPr="00BB6300">
              <w:rPr>
                <w:rFonts w:ascii="Arial" w:hAnsi="Arial" w:cs="Arial"/>
                <w:color w:val="000000"/>
                <w:sz w:val="16"/>
                <w:szCs w:val="18"/>
                <w:lang w:eastAsia="en-IN"/>
              </w:rPr>
              <w:t>INR lacs</w:t>
            </w:r>
          </w:p>
        </w:tc>
        <w:tc>
          <w:tcPr>
            <w:tcW w:w="1249" w:type="dxa"/>
            <w:tcBorders>
              <w:top w:val="nil"/>
              <w:left w:val="nil"/>
              <w:bottom w:val="nil"/>
              <w:right w:val="nil"/>
            </w:tcBorders>
            <w:shd w:val="clear" w:color="auto" w:fill="auto"/>
            <w:vAlign w:val="center"/>
            <w:hideMark/>
          </w:tcPr>
          <w:p w14:paraId="18E600FB" w14:textId="77777777" w:rsidR="000A2ED4" w:rsidRPr="00BB6300" w:rsidRDefault="000A2ED4" w:rsidP="006C3B80">
            <w:pPr>
              <w:overflowPunct/>
              <w:autoSpaceDE/>
              <w:autoSpaceDN/>
              <w:adjustRightInd/>
              <w:spacing w:line="240" w:lineRule="auto"/>
              <w:textAlignment w:val="auto"/>
              <w:rPr>
                <w:rFonts w:ascii="Arial" w:hAnsi="Arial" w:cs="Arial"/>
                <w:color w:val="000000"/>
                <w:sz w:val="16"/>
                <w:szCs w:val="18"/>
                <w:lang w:eastAsia="en-IN"/>
              </w:rPr>
            </w:pPr>
            <w:r w:rsidRPr="00BB6300">
              <w:rPr>
                <w:rFonts w:ascii="Arial" w:hAnsi="Arial" w:cs="Arial"/>
                <w:color w:val="000000"/>
                <w:sz w:val="16"/>
                <w:szCs w:val="18"/>
                <w:lang w:eastAsia="en-IN"/>
              </w:rPr>
              <w:t>INR lacs</w:t>
            </w:r>
          </w:p>
        </w:tc>
        <w:tc>
          <w:tcPr>
            <w:tcW w:w="1203" w:type="dxa"/>
            <w:tcBorders>
              <w:top w:val="nil"/>
              <w:left w:val="nil"/>
              <w:bottom w:val="nil"/>
              <w:right w:val="nil"/>
            </w:tcBorders>
            <w:shd w:val="clear" w:color="auto" w:fill="auto"/>
            <w:vAlign w:val="center"/>
            <w:hideMark/>
          </w:tcPr>
          <w:p w14:paraId="4AC04FC3" w14:textId="77777777" w:rsidR="000A2ED4" w:rsidRPr="00BB6300" w:rsidRDefault="000A2ED4" w:rsidP="006C3B80">
            <w:pPr>
              <w:overflowPunct/>
              <w:autoSpaceDE/>
              <w:autoSpaceDN/>
              <w:adjustRightInd/>
              <w:spacing w:line="240" w:lineRule="auto"/>
              <w:textAlignment w:val="auto"/>
              <w:rPr>
                <w:rFonts w:ascii="Arial" w:hAnsi="Arial" w:cs="Arial"/>
                <w:color w:val="000000"/>
                <w:sz w:val="16"/>
                <w:szCs w:val="18"/>
                <w:lang w:eastAsia="en-IN"/>
              </w:rPr>
            </w:pPr>
            <w:r w:rsidRPr="00BB6300">
              <w:rPr>
                <w:rFonts w:ascii="Arial" w:hAnsi="Arial" w:cs="Arial"/>
                <w:color w:val="000000"/>
                <w:sz w:val="16"/>
                <w:szCs w:val="18"/>
                <w:lang w:eastAsia="en-IN"/>
              </w:rPr>
              <w:t>INR lacs</w:t>
            </w:r>
          </w:p>
        </w:tc>
        <w:tc>
          <w:tcPr>
            <w:tcW w:w="892" w:type="dxa"/>
            <w:tcBorders>
              <w:top w:val="nil"/>
              <w:left w:val="nil"/>
              <w:bottom w:val="nil"/>
              <w:right w:val="nil"/>
            </w:tcBorders>
            <w:shd w:val="clear" w:color="auto" w:fill="auto"/>
            <w:vAlign w:val="center"/>
            <w:hideMark/>
          </w:tcPr>
          <w:p w14:paraId="4EC0B69E" w14:textId="77777777" w:rsidR="000A2ED4" w:rsidRPr="00BB6300" w:rsidRDefault="000A2ED4" w:rsidP="006C3B80">
            <w:pPr>
              <w:overflowPunct/>
              <w:autoSpaceDE/>
              <w:autoSpaceDN/>
              <w:adjustRightInd/>
              <w:spacing w:line="240" w:lineRule="auto"/>
              <w:textAlignment w:val="auto"/>
              <w:rPr>
                <w:rFonts w:ascii="Arial" w:hAnsi="Arial" w:cs="Arial"/>
                <w:color w:val="000000"/>
                <w:sz w:val="16"/>
                <w:szCs w:val="18"/>
                <w:lang w:eastAsia="en-IN"/>
              </w:rPr>
            </w:pPr>
            <w:r w:rsidRPr="00BB6300">
              <w:rPr>
                <w:rFonts w:ascii="Arial" w:hAnsi="Arial" w:cs="Arial"/>
                <w:color w:val="000000"/>
                <w:sz w:val="16"/>
                <w:szCs w:val="18"/>
                <w:lang w:eastAsia="en-IN"/>
              </w:rPr>
              <w:t>INR lacs</w:t>
            </w:r>
          </w:p>
        </w:tc>
        <w:tc>
          <w:tcPr>
            <w:tcW w:w="800" w:type="dxa"/>
            <w:tcBorders>
              <w:top w:val="nil"/>
              <w:left w:val="nil"/>
              <w:bottom w:val="nil"/>
              <w:right w:val="nil"/>
            </w:tcBorders>
            <w:shd w:val="clear" w:color="auto" w:fill="auto"/>
            <w:vAlign w:val="center"/>
            <w:hideMark/>
          </w:tcPr>
          <w:p w14:paraId="522AAFE0" w14:textId="77777777" w:rsidR="000A2ED4" w:rsidRPr="00BB6300" w:rsidRDefault="000A2ED4" w:rsidP="006C3B80">
            <w:pPr>
              <w:overflowPunct/>
              <w:autoSpaceDE/>
              <w:autoSpaceDN/>
              <w:adjustRightInd/>
              <w:spacing w:line="240" w:lineRule="auto"/>
              <w:textAlignment w:val="auto"/>
              <w:rPr>
                <w:rFonts w:ascii="Arial" w:hAnsi="Arial" w:cs="Arial"/>
                <w:color w:val="000000"/>
                <w:sz w:val="16"/>
                <w:szCs w:val="18"/>
                <w:lang w:eastAsia="en-IN"/>
              </w:rPr>
            </w:pPr>
            <w:r w:rsidRPr="00BB6300">
              <w:rPr>
                <w:rFonts w:ascii="Arial" w:hAnsi="Arial" w:cs="Arial"/>
                <w:color w:val="000000"/>
                <w:sz w:val="16"/>
                <w:szCs w:val="18"/>
                <w:lang w:eastAsia="en-IN"/>
              </w:rPr>
              <w:t>INR lacs</w:t>
            </w:r>
          </w:p>
        </w:tc>
        <w:tc>
          <w:tcPr>
            <w:tcW w:w="976" w:type="dxa"/>
            <w:tcBorders>
              <w:top w:val="nil"/>
              <w:left w:val="nil"/>
              <w:bottom w:val="nil"/>
              <w:right w:val="nil"/>
            </w:tcBorders>
            <w:shd w:val="clear" w:color="auto" w:fill="auto"/>
            <w:vAlign w:val="center"/>
            <w:hideMark/>
          </w:tcPr>
          <w:p w14:paraId="4AAA1478" w14:textId="77777777" w:rsidR="000A2ED4" w:rsidRPr="00BB6300" w:rsidRDefault="000A2ED4" w:rsidP="006C3B80">
            <w:pPr>
              <w:overflowPunct/>
              <w:autoSpaceDE/>
              <w:autoSpaceDN/>
              <w:adjustRightInd/>
              <w:spacing w:line="240" w:lineRule="auto"/>
              <w:textAlignment w:val="auto"/>
              <w:rPr>
                <w:rFonts w:ascii="Arial" w:hAnsi="Arial" w:cs="Arial"/>
                <w:color w:val="000000"/>
                <w:sz w:val="16"/>
                <w:szCs w:val="18"/>
                <w:lang w:eastAsia="en-IN"/>
              </w:rPr>
            </w:pPr>
            <w:r w:rsidRPr="00BB6300">
              <w:rPr>
                <w:rFonts w:ascii="Arial" w:hAnsi="Arial" w:cs="Arial"/>
                <w:color w:val="000000"/>
                <w:sz w:val="16"/>
                <w:szCs w:val="18"/>
                <w:lang w:eastAsia="en-IN"/>
              </w:rPr>
              <w:t>INR lacs</w:t>
            </w:r>
          </w:p>
        </w:tc>
        <w:tc>
          <w:tcPr>
            <w:tcW w:w="1067" w:type="dxa"/>
            <w:tcBorders>
              <w:top w:val="nil"/>
              <w:left w:val="nil"/>
              <w:bottom w:val="nil"/>
              <w:right w:val="nil"/>
            </w:tcBorders>
            <w:shd w:val="clear" w:color="auto" w:fill="auto"/>
            <w:vAlign w:val="center"/>
            <w:hideMark/>
          </w:tcPr>
          <w:p w14:paraId="79E00F3D" w14:textId="77777777" w:rsidR="000A2ED4" w:rsidRPr="00BB6300" w:rsidRDefault="000A2ED4" w:rsidP="006C3B80">
            <w:pPr>
              <w:overflowPunct/>
              <w:autoSpaceDE/>
              <w:autoSpaceDN/>
              <w:adjustRightInd/>
              <w:spacing w:line="240" w:lineRule="auto"/>
              <w:textAlignment w:val="auto"/>
              <w:rPr>
                <w:rFonts w:ascii="Arial" w:hAnsi="Arial" w:cs="Arial"/>
                <w:color w:val="000000"/>
                <w:sz w:val="16"/>
                <w:szCs w:val="18"/>
                <w:lang w:eastAsia="en-IN"/>
              </w:rPr>
            </w:pPr>
            <w:r w:rsidRPr="00BB6300">
              <w:rPr>
                <w:rFonts w:ascii="Arial" w:hAnsi="Arial" w:cs="Arial"/>
                <w:color w:val="000000"/>
                <w:sz w:val="16"/>
                <w:szCs w:val="18"/>
                <w:lang w:eastAsia="en-IN"/>
              </w:rPr>
              <w:t>INR lacs</w:t>
            </w:r>
          </w:p>
        </w:tc>
      </w:tr>
      <w:tr w:rsidR="000A2ED4" w:rsidRPr="00BB6300" w14:paraId="1EF99358" w14:textId="77777777" w:rsidTr="00FB55E1">
        <w:trPr>
          <w:trHeight w:val="285"/>
        </w:trPr>
        <w:tc>
          <w:tcPr>
            <w:tcW w:w="1107" w:type="dxa"/>
            <w:tcBorders>
              <w:top w:val="nil"/>
              <w:left w:val="nil"/>
              <w:bottom w:val="nil"/>
              <w:right w:val="nil"/>
            </w:tcBorders>
            <w:shd w:val="clear" w:color="auto" w:fill="auto"/>
            <w:vAlign w:val="center"/>
            <w:hideMark/>
          </w:tcPr>
          <w:p w14:paraId="08F8370D" w14:textId="77777777" w:rsidR="000A2ED4" w:rsidRPr="00BB6300" w:rsidRDefault="000A2ED4" w:rsidP="006C3B80">
            <w:pPr>
              <w:overflowPunct/>
              <w:autoSpaceDE/>
              <w:autoSpaceDN/>
              <w:adjustRightInd/>
              <w:spacing w:line="240" w:lineRule="auto"/>
              <w:textAlignment w:val="auto"/>
              <w:rPr>
                <w:rFonts w:ascii="Arial" w:hAnsi="Arial" w:cs="Arial"/>
                <w:color w:val="000000"/>
                <w:szCs w:val="18"/>
                <w:lang w:eastAsia="en-IN"/>
              </w:rPr>
            </w:pPr>
            <w:r w:rsidRPr="00BB6300">
              <w:rPr>
                <w:rFonts w:ascii="Arial" w:hAnsi="Arial" w:cs="Arial"/>
                <w:color w:val="000000"/>
                <w:szCs w:val="18"/>
                <w:lang w:eastAsia="en-IN"/>
              </w:rPr>
              <w:t>Current borrowings (excluding items listed below)</w:t>
            </w:r>
          </w:p>
        </w:tc>
        <w:tc>
          <w:tcPr>
            <w:tcW w:w="1053" w:type="dxa"/>
            <w:tcBorders>
              <w:top w:val="nil"/>
              <w:left w:val="nil"/>
              <w:bottom w:val="nil"/>
              <w:right w:val="nil"/>
            </w:tcBorders>
            <w:shd w:val="clear" w:color="auto" w:fill="auto"/>
            <w:vAlign w:val="center"/>
            <w:hideMark/>
          </w:tcPr>
          <w:p w14:paraId="356496EF" w14:textId="77777777" w:rsidR="000A2ED4" w:rsidRPr="00BB6300" w:rsidRDefault="000A2ED4" w:rsidP="006C3B80">
            <w:pPr>
              <w:overflowPunct/>
              <w:autoSpaceDE/>
              <w:autoSpaceDN/>
              <w:adjustRightInd/>
              <w:spacing w:line="240" w:lineRule="auto"/>
              <w:jc w:val="right"/>
              <w:textAlignment w:val="auto"/>
              <w:rPr>
                <w:rFonts w:ascii="Arial" w:hAnsi="Arial" w:cs="Arial"/>
                <w:b/>
                <w:bCs/>
                <w:color w:val="000000"/>
                <w:szCs w:val="18"/>
                <w:lang w:eastAsia="en-IN"/>
              </w:rPr>
            </w:pPr>
            <w:r w:rsidRPr="00BB6300">
              <w:rPr>
                <w:rFonts w:ascii="Arial" w:hAnsi="Arial" w:cs="Arial"/>
                <w:b/>
                <w:bCs/>
                <w:color w:val="000000"/>
                <w:szCs w:val="18"/>
                <w:lang w:eastAsia="en-IN"/>
              </w:rPr>
              <w:t>4,903</w:t>
            </w:r>
          </w:p>
        </w:tc>
        <w:tc>
          <w:tcPr>
            <w:tcW w:w="1117" w:type="dxa"/>
            <w:tcBorders>
              <w:top w:val="nil"/>
              <w:left w:val="nil"/>
              <w:bottom w:val="nil"/>
              <w:right w:val="nil"/>
            </w:tcBorders>
            <w:shd w:val="clear" w:color="auto" w:fill="auto"/>
            <w:noWrap/>
            <w:vAlign w:val="center"/>
            <w:hideMark/>
          </w:tcPr>
          <w:p w14:paraId="6EFF24EA"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(86) </w:t>
            </w:r>
          </w:p>
        </w:tc>
        <w:tc>
          <w:tcPr>
            <w:tcW w:w="1249" w:type="dxa"/>
            <w:tcBorders>
              <w:top w:val="nil"/>
              <w:left w:val="nil"/>
              <w:bottom w:val="nil"/>
              <w:right w:val="nil"/>
            </w:tcBorders>
            <w:shd w:val="clear" w:color="auto" w:fill="auto"/>
            <w:noWrap/>
            <w:vAlign w:val="center"/>
            <w:hideMark/>
          </w:tcPr>
          <w:p w14:paraId="4D3819E5"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1203" w:type="dxa"/>
            <w:tcBorders>
              <w:top w:val="nil"/>
              <w:left w:val="nil"/>
              <w:bottom w:val="nil"/>
              <w:right w:val="nil"/>
            </w:tcBorders>
            <w:shd w:val="clear" w:color="auto" w:fill="auto"/>
            <w:noWrap/>
            <w:vAlign w:val="center"/>
            <w:hideMark/>
          </w:tcPr>
          <w:p w14:paraId="7C464DD0"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5 </w:t>
            </w:r>
          </w:p>
        </w:tc>
        <w:tc>
          <w:tcPr>
            <w:tcW w:w="892" w:type="dxa"/>
            <w:tcBorders>
              <w:top w:val="nil"/>
              <w:left w:val="nil"/>
              <w:bottom w:val="nil"/>
              <w:right w:val="nil"/>
            </w:tcBorders>
            <w:shd w:val="clear" w:color="auto" w:fill="auto"/>
            <w:noWrap/>
            <w:vAlign w:val="center"/>
            <w:hideMark/>
          </w:tcPr>
          <w:p w14:paraId="30242CC9"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800" w:type="dxa"/>
            <w:tcBorders>
              <w:top w:val="nil"/>
              <w:left w:val="nil"/>
              <w:bottom w:val="nil"/>
              <w:right w:val="nil"/>
            </w:tcBorders>
            <w:shd w:val="clear" w:color="auto" w:fill="auto"/>
            <w:noWrap/>
            <w:vAlign w:val="center"/>
            <w:hideMark/>
          </w:tcPr>
          <w:p w14:paraId="76D6D72F"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976" w:type="dxa"/>
            <w:tcBorders>
              <w:top w:val="nil"/>
              <w:left w:val="nil"/>
              <w:bottom w:val="nil"/>
              <w:right w:val="nil"/>
            </w:tcBorders>
            <w:shd w:val="clear" w:color="auto" w:fill="auto"/>
            <w:noWrap/>
            <w:vAlign w:val="center"/>
            <w:hideMark/>
          </w:tcPr>
          <w:p w14:paraId="2B0A20CF"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(54</w:t>
            </w:r>
            <w:r w:rsidR="00D447BD" w:rsidRPr="00BB6300">
              <w:rPr>
                <w:rFonts w:ascii="Arial" w:hAnsi="Arial" w:cs="Arial"/>
                <w:color w:val="000000"/>
                <w:szCs w:val="18"/>
                <w:lang w:eastAsia="en-IN"/>
              </w:rPr>
              <w:t>3</w:t>
            </w:r>
            <w:r w:rsidRPr="00BB6300">
              <w:rPr>
                <w:rFonts w:ascii="Arial" w:hAnsi="Arial" w:cs="Arial"/>
                <w:color w:val="000000"/>
                <w:szCs w:val="18"/>
                <w:lang w:eastAsia="en-IN"/>
              </w:rPr>
              <w:t xml:space="preserve">) </w:t>
            </w:r>
          </w:p>
        </w:tc>
        <w:tc>
          <w:tcPr>
            <w:tcW w:w="1067" w:type="dxa"/>
            <w:tcBorders>
              <w:top w:val="nil"/>
              <w:left w:val="nil"/>
              <w:bottom w:val="nil"/>
              <w:right w:val="nil"/>
            </w:tcBorders>
            <w:shd w:val="clear" w:color="auto" w:fill="auto"/>
            <w:vAlign w:val="center"/>
            <w:hideMark/>
          </w:tcPr>
          <w:p w14:paraId="3E996D0E" w14:textId="77777777" w:rsidR="000A2ED4" w:rsidRPr="00BB6300" w:rsidRDefault="000A2ED4" w:rsidP="008D4DB9">
            <w:pPr>
              <w:overflowPunct/>
              <w:autoSpaceDE/>
              <w:autoSpaceDN/>
              <w:adjustRightInd/>
              <w:spacing w:line="240" w:lineRule="auto"/>
              <w:jc w:val="right"/>
              <w:textAlignment w:val="auto"/>
              <w:rPr>
                <w:rFonts w:ascii="Arial" w:hAnsi="Arial" w:cs="Arial"/>
                <w:b/>
                <w:bCs/>
                <w:color w:val="000000"/>
                <w:szCs w:val="18"/>
                <w:lang w:eastAsia="en-IN"/>
              </w:rPr>
            </w:pPr>
            <w:r w:rsidRPr="00BB6300">
              <w:rPr>
                <w:rFonts w:ascii="Arial" w:hAnsi="Arial" w:cs="Arial"/>
                <w:b/>
                <w:bCs/>
                <w:color w:val="000000"/>
                <w:szCs w:val="18"/>
                <w:lang w:eastAsia="en-IN"/>
              </w:rPr>
              <w:t>4,</w:t>
            </w:r>
            <w:r w:rsidR="008D4DB9" w:rsidRPr="00BB6300">
              <w:rPr>
                <w:rFonts w:ascii="Arial" w:hAnsi="Arial" w:cs="Arial"/>
                <w:b/>
                <w:bCs/>
                <w:color w:val="000000"/>
                <w:szCs w:val="18"/>
                <w:lang w:eastAsia="en-IN"/>
              </w:rPr>
              <w:t>27</w:t>
            </w:r>
            <w:r w:rsidR="00D447BD" w:rsidRPr="00BB6300">
              <w:rPr>
                <w:rFonts w:ascii="Arial" w:hAnsi="Arial" w:cs="Arial"/>
                <w:b/>
                <w:bCs/>
                <w:color w:val="000000"/>
                <w:szCs w:val="18"/>
                <w:lang w:eastAsia="en-IN"/>
              </w:rPr>
              <w:t>9</w:t>
            </w:r>
          </w:p>
        </w:tc>
      </w:tr>
      <w:tr w:rsidR="000A2ED4" w:rsidRPr="00BB6300" w14:paraId="196311A7" w14:textId="77777777" w:rsidTr="00FB55E1">
        <w:trPr>
          <w:trHeight w:val="540"/>
        </w:trPr>
        <w:tc>
          <w:tcPr>
            <w:tcW w:w="1107" w:type="dxa"/>
            <w:tcBorders>
              <w:top w:val="nil"/>
              <w:left w:val="nil"/>
              <w:bottom w:val="nil"/>
              <w:right w:val="nil"/>
            </w:tcBorders>
            <w:shd w:val="clear" w:color="auto" w:fill="auto"/>
            <w:vAlign w:val="center"/>
            <w:hideMark/>
          </w:tcPr>
          <w:p w14:paraId="0C6F7F5E" w14:textId="77777777" w:rsidR="006670C1" w:rsidRDefault="006670C1" w:rsidP="006C3B80">
            <w:pPr>
              <w:overflowPunct/>
              <w:autoSpaceDE/>
              <w:autoSpaceDN/>
              <w:adjustRightInd/>
              <w:spacing w:line="240" w:lineRule="auto"/>
              <w:textAlignment w:val="auto"/>
              <w:rPr>
                <w:rFonts w:ascii="Arial" w:hAnsi="Arial" w:cs="Arial"/>
                <w:color w:val="000000"/>
                <w:szCs w:val="18"/>
                <w:lang w:eastAsia="en-IN"/>
              </w:rPr>
            </w:pPr>
          </w:p>
          <w:p w14:paraId="5A54BFD1" w14:textId="44792E45" w:rsidR="000A2ED4" w:rsidRDefault="000A2ED4" w:rsidP="006C3B80">
            <w:pPr>
              <w:overflowPunct/>
              <w:autoSpaceDE/>
              <w:autoSpaceDN/>
              <w:adjustRightInd/>
              <w:spacing w:line="240" w:lineRule="auto"/>
              <w:textAlignment w:val="auto"/>
              <w:rPr>
                <w:rFonts w:ascii="Arial" w:hAnsi="Arial" w:cs="Arial"/>
                <w:color w:val="000000"/>
                <w:szCs w:val="18"/>
                <w:lang w:eastAsia="en-IN"/>
              </w:rPr>
            </w:pPr>
            <w:r w:rsidRPr="00BB6300">
              <w:rPr>
                <w:rFonts w:ascii="Arial" w:hAnsi="Arial" w:cs="Arial"/>
                <w:color w:val="000000"/>
                <w:szCs w:val="18"/>
                <w:lang w:eastAsia="en-IN"/>
              </w:rPr>
              <w:t>Current lease</w:t>
            </w:r>
            <w:r w:rsidR="006670C1">
              <w:rPr>
                <w:rFonts w:ascii="Arial" w:hAnsi="Arial" w:cs="Arial"/>
                <w:color w:val="000000"/>
                <w:szCs w:val="18"/>
                <w:lang w:eastAsia="en-IN"/>
              </w:rPr>
              <w:t xml:space="preserve"> liabilities</w:t>
            </w:r>
          </w:p>
          <w:p w14:paraId="679667F7" w14:textId="396106F5" w:rsidR="006670C1" w:rsidRPr="00BB6300" w:rsidRDefault="006670C1" w:rsidP="006C3B80">
            <w:pPr>
              <w:overflowPunct/>
              <w:autoSpaceDE/>
              <w:autoSpaceDN/>
              <w:adjustRightInd/>
              <w:spacing w:line="240" w:lineRule="auto"/>
              <w:textAlignment w:val="auto"/>
              <w:rPr>
                <w:rFonts w:ascii="Arial" w:hAnsi="Arial" w:cs="Arial"/>
                <w:color w:val="000000"/>
                <w:szCs w:val="18"/>
                <w:lang w:eastAsia="en-IN"/>
              </w:rPr>
            </w:pPr>
          </w:p>
        </w:tc>
        <w:tc>
          <w:tcPr>
            <w:tcW w:w="1053" w:type="dxa"/>
            <w:tcBorders>
              <w:top w:val="nil"/>
              <w:left w:val="nil"/>
              <w:bottom w:val="nil"/>
              <w:right w:val="nil"/>
            </w:tcBorders>
            <w:shd w:val="clear" w:color="auto" w:fill="auto"/>
            <w:vAlign w:val="center"/>
            <w:hideMark/>
          </w:tcPr>
          <w:p w14:paraId="101F5622" w14:textId="77F0F391" w:rsidR="000A2ED4" w:rsidRPr="00BB6300" w:rsidRDefault="00B5061E" w:rsidP="006C3B80">
            <w:pPr>
              <w:overflowPunct/>
              <w:autoSpaceDE/>
              <w:autoSpaceDN/>
              <w:adjustRightInd/>
              <w:spacing w:line="240" w:lineRule="auto"/>
              <w:jc w:val="right"/>
              <w:textAlignment w:val="auto"/>
              <w:rPr>
                <w:rFonts w:ascii="Arial" w:hAnsi="Arial" w:cs="Arial"/>
                <w:b/>
                <w:bCs/>
                <w:color w:val="000000"/>
                <w:szCs w:val="18"/>
                <w:lang w:eastAsia="en-IN"/>
              </w:rPr>
            </w:pPr>
            <w:r>
              <w:rPr>
                <w:rFonts w:ascii="Arial" w:hAnsi="Arial" w:cs="Arial"/>
                <w:b/>
                <w:bCs/>
                <w:color w:val="000000"/>
                <w:szCs w:val="18"/>
                <w:lang w:eastAsia="en-IN"/>
              </w:rPr>
              <w:t>752</w:t>
            </w:r>
          </w:p>
        </w:tc>
        <w:tc>
          <w:tcPr>
            <w:tcW w:w="1117" w:type="dxa"/>
            <w:tcBorders>
              <w:top w:val="nil"/>
              <w:left w:val="nil"/>
              <w:bottom w:val="nil"/>
              <w:right w:val="nil"/>
            </w:tcBorders>
            <w:shd w:val="clear" w:color="auto" w:fill="auto"/>
            <w:noWrap/>
            <w:vAlign w:val="center"/>
            <w:hideMark/>
          </w:tcPr>
          <w:p w14:paraId="1D38234E" w14:textId="71BCEE18"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w:t>
            </w:r>
            <w:r w:rsidR="00B5061E">
              <w:rPr>
                <w:rFonts w:ascii="Arial" w:hAnsi="Arial" w:cs="Arial"/>
                <w:color w:val="000000"/>
                <w:szCs w:val="18"/>
                <w:lang w:eastAsia="en-IN"/>
              </w:rPr>
              <w:t>731</w:t>
            </w:r>
            <w:r w:rsidRPr="00BB6300">
              <w:rPr>
                <w:rFonts w:ascii="Arial" w:hAnsi="Arial" w:cs="Arial"/>
                <w:color w:val="000000"/>
                <w:szCs w:val="18"/>
                <w:lang w:eastAsia="en-IN"/>
              </w:rPr>
              <w:t xml:space="preserve">) </w:t>
            </w:r>
          </w:p>
        </w:tc>
        <w:tc>
          <w:tcPr>
            <w:tcW w:w="1249" w:type="dxa"/>
            <w:tcBorders>
              <w:top w:val="nil"/>
              <w:left w:val="nil"/>
              <w:bottom w:val="nil"/>
              <w:right w:val="nil"/>
            </w:tcBorders>
            <w:shd w:val="clear" w:color="auto" w:fill="auto"/>
            <w:noWrap/>
            <w:vAlign w:val="center"/>
            <w:hideMark/>
          </w:tcPr>
          <w:p w14:paraId="0DAF2FB8"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1203" w:type="dxa"/>
            <w:tcBorders>
              <w:top w:val="nil"/>
              <w:left w:val="nil"/>
              <w:bottom w:val="nil"/>
              <w:right w:val="nil"/>
            </w:tcBorders>
            <w:shd w:val="clear" w:color="auto" w:fill="auto"/>
            <w:noWrap/>
            <w:vAlign w:val="center"/>
            <w:hideMark/>
          </w:tcPr>
          <w:p w14:paraId="14C66B28"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892" w:type="dxa"/>
            <w:tcBorders>
              <w:top w:val="nil"/>
              <w:left w:val="nil"/>
              <w:bottom w:val="nil"/>
              <w:right w:val="nil"/>
            </w:tcBorders>
            <w:shd w:val="clear" w:color="auto" w:fill="auto"/>
            <w:noWrap/>
            <w:vAlign w:val="center"/>
            <w:hideMark/>
          </w:tcPr>
          <w:p w14:paraId="1B0991AF"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800" w:type="dxa"/>
            <w:tcBorders>
              <w:top w:val="nil"/>
              <w:left w:val="nil"/>
              <w:bottom w:val="nil"/>
              <w:right w:val="nil"/>
            </w:tcBorders>
            <w:shd w:val="clear" w:color="auto" w:fill="auto"/>
            <w:noWrap/>
            <w:vAlign w:val="center"/>
            <w:hideMark/>
          </w:tcPr>
          <w:p w14:paraId="5926AA3C" w14:textId="780708A0"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w:t>
            </w:r>
            <w:r w:rsidR="00B5061E">
              <w:rPr>
                <w:rFonts w:ascii="Arial" w:hAnsi="Arial" w:cs="Arial"/>
                <w:color w:val="000000"/>
                <w:szCs w:val="18"/>
                <w:lang w:eastAsia="en-IN"/>
              </w:rPr>
              <w:t>76</w:t>
            </w:r>
            <w:r w:rsidR="00B5061E" w:rsidRPr="00BB6300">
              <w:rPr>
                <w:rFonts w:ascii="Arial" w:hAnsi="Arial" w:cs="Arial"/>
                <w:color w:val="000000"/>
                <w:szCs w:val="18"/>
                <w:lang w:eastAsia="en-IN"/>
              </w:rPr>
              <w:t xml:space="preserve"> </w:t>
            </w:r>
          </w:p>
        </w:tc>
        <w:tc>
          <w:tcPr>
            <w:tcW w:w="976" w:type="dxa"/>
            <w:tcBorders>
              <w:top w:val="nil"/>
              <w:left w:val="nil"/>
              <w:bottom w:val="nil"/>
              <w:right w:val="nil"/>
            </w:tcBorders>
            <w:shd w:val="clear" w:color="auto" w:fill="auto"/>
            <w:noWrap/>
            <w:vAlign w:val="center"/>
            <w:hideMark/>
          </w:tcPr>
          <w:p w14:paraId="3B5D9A76" w14:textId="40E2D058" w:rsidR="000A2ED4" w:rsidRPr="00BB6300" w:rsidRDefault="00B5061E" w:rsidP="006C3B80">
            <w:pPr>
              <w:overflowPunct/>
              <w:autoSpaceDE/>
              <w:autoSpaceDN/>
              <w:adjustRightInd/>
              <w:spacing w:line="240" w:lineRule="auto"/>
              <w:jc w:val="right"/>
              <w:textAlignment w:val="auto"/>
              <w:rPr>
                <w:rFonts w:ascii="Arial" w:hAnsi="Arial" w:cs="Arial"/>
                <w:color w:val="000000"/>
                <w:szCs w:val="18"/>
                <w:lang w:eastAsia="en-IN"/>
              </w:rPr>
            </w:pPr>
            <w:r>
              <w:rPr>
                <w:rFonts w:ascii="Arial" w:hAnsi="Arial" w:cs="Arial"/>
                <w:color w:val="000000"/>
                <w:szCs w:val="18"/>
                <w:lang w:eastAsia="en-IN"/>
              </w:rPr>
              <w:t>722</w:t>
            </w:r>
          </w:p>
        </w:tc>
        <w:tc>
          <w:tcPr>
            <w:tcW w:w="1067" w:type="dxa"/>
            <w:tcBorders>
              <w:top w:val="nil"/>
              <w:left w:val="nil"/>
              <w:bottom w:val="nil"/>
              <w:right w:val="nil"/>
            </w:tcBorders>
            <w:shd w:val="clear" w:color="auto" w:fill="auto"/>
            <w:vAlign w:val="center"/>
            <w:hideMark/>
          </w:tcPr>
          <w:p w14:paraId="10FB7278" w14:textId="585FA14D" w:rsidR="000A2ED4" w:rsidRPr="00BB6300" w:rsidRDefault="00B5061E" w:rsidP="006C3B80">
            <w:pPr>
              <w:overflowPunct/>
              <w:autoSpaceDE/>
              <w:autoSpaceDN/>
              <w:adjustRightInd/>
              <w:spacing w:line="240" w:lineRule="auto"/>
              <w:jc w:val="right"/>
              <w:textAlignment w:val="auto"/>
              <w:rPr>
                <w:rFonts w:ascii="Arial" w:hAnsi="Arial" w:cs="Arial"/>
                <w:b/>
                <w:bCs/>
                <w:color w:val="000000"/>
                <w:szCs w:val="18"/>
                <w:lang w:eastAsia="en-IN"/>
              </w:rPr>
            </w:pPr>
            <w:r>
              <w:rPr>
                <w:rFonts w:ascii="Arial" w:hAnsi="Arial" w:cs="Arial"/>
                <w:b/>
                <w:bCs/>
                <w:color w:val="000000"/>
                <w:szCs w:val="18"/>
                <w:lang w:eastAsia="en-IN"/>
              </w:rPr>
              <w:t>819</w:t>
            </w:r>
          </w:p>
        </w:tc>
      </w:tr>
      <w:tr w:rsidR="000A2ED4" w:rsidRPr="00BB6300" w14:paraId="5D2FA780" w14:textId="77777777" w:rsidTr="00FB55E1">
        <w:trPr>
          <w:trHeight w:val="285"/>
        </w:trPr>
        <w:tc>
          <w:tcPr>
            <w:tcW w:w="1107" w:type="dxa"/>
            <w:tcBorders>
              <w:top w:val="nil"/>
              <w:left w:val="nil"/>
              <w:bottom w:val="nil"/>
              <w:right w:val="nil"/>
            </w:tcBorders>
            <w:shd w:val="clear" w:color="auto" w:fill="auto"/>
            <w:vAlign w:val="center"/>
            <w:hideMark/>
          </w:tcPr>
          <w:p w14:paraId="08A90605" w14:textId="77777777" w:rsidR="000A2ED4" w:rsidRPr="00BB6300" w:rsidRDefault="000A2ED4" w:rsidP="006C3B80">
            <w:pPr>
              <w:overflowPunct/>
              <w:autoSpaceDE/>
              <w:autoSpaceDN/>
              <w:adjustRightInd/>
              <w:spacing w:line="240" w:lineRule="auto"/>
              <w:textAlignment w:val="auto"/>
              <w:rPr>
                <w:rFonts w:ascii="Arial" w:hAnsi="Arial" w:cs="Arial"/>
                <w:color w:val="000000"/>
                <w:szCs w:val="18"/>
                <w:lang w:eastAsia="en-IN"/>
              </w:rPr>
            </w:pPr>
            <w:r w:rsidRPr="00BB6300">
              <w:rPr>
                <w:rFonts w:ascii="Arial" w:hAnsi="Arial" w:cs="Arial"/>
                <w:color w:val="000000"/>
                <w:szCs w:val="18"/>
                <w:lang w:eastAsia="en-IN"/>
              </w:rPr>
              <w:t>Non- current borrowings (excluding items listed below)</w:t>
            </w:r>
          </w:p>
        </w:tc>
        <w:tc>
          <w:tcPr>
            <w:tcW w:w="1053" w:type="dxa"/>
            <w:tcBorders>
              <w:top w:val="nil"/>
              <w:left w:val="nil"/>
              <w:bottom w:val="nil"/>
              <w:right w:val="nil"/>
            </w:tcBorders>
            <w:shd w:val="clear" w:color="auto" w:fill="auto"/>
            <w:vAlign w:val="center"/>
            <w:hideMark/>
          </w:tcPr>
          <w:p w14:paraId="575892D4" w14:textId="77777777" w:rsidR="000A2ED4" w:rsidRPr="00BB6300" w:rsidRDefault="000A2ED4" w:rsidP="006C3B80">
            <w:pPr>
              <w:overflowPunct/>
              <w:autoSpaceDE/>
              <w:autoSpaceDN/>
              <w:adjustRightInd/>
              <w:spacing w:line="240" w:lineRule="auto"/>
              <w:jc w:val="right"/>
              <w:textAlignment w:val="auto"/>
              <w:rPr>
                <w:rFonts w:ascii="Arial" w:hAnsi="Arial" w:cs="Arial"/>
                <w:b/>
                <w:bCs/>
                <w:color w:val="000000"/>
                <w:szCs w:val="18"/>
                <w:lang w:eastAsia="en-IN"/>
              </w:rPr>
            </w:pPr>
            <w:r w:rsidRPr="00BB6300">
              <w:rPr>
                <w:rFonts w:ascii="Arial" w:hAnsi="Arial" w:cs="Arial"/>
                <w:b/>
                <w:bCs/>
                <w:color w:val="000000"/>
                <w:szCs w:val="18"/>
                <w:lang w:eastAsia="en-IN"/>
              </w:rPr>
              <w:t>37,368</w:t>
            </w:r>
          </w:p>
        </w:tc>
        <w:tc>
          <w:tcPr>
            <w:tcW w:w="1117" w:type="dxa"/>
            <w:tcBorders>
              <w:top w:val="nil"/>
              <w:left w:val="nil"/>
              <w:bottom w:val="nil"/>
              <w:right w:val="nil"/>
            </w:tcBorders>
            <w:shd w:val="clear" w:color="auto" w:fill="auto"/>
            <w:noWrap/>
            <w:vAlign w:val="center"/>
            <w:hideMark/>
          </w:tcPr>
          <w:p w14:paraId="7C05C4E0"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9,034 </w:t>
            </w:r>
          </w:p>
        </w:tc>
        <w:tc>
          <w:tcPr>
            <w:tcW w:w="1249" w:type="dxa"/>
            <w:tcBorders>
              <w:top w:val="nil"/>
              <w:left w:val="nil"/>
              <w:bottom w:val="nil"/>
              <w:right w:val="nil"/>
            </w:tcBorders>
            <w:shd w:val="clear" w:color="auto" w:fill="auto"/>
            <w:noWrap/>
            <w:vAlign w:val="center"/>
            <w:hideMark/>
          </w:tcPr>
          <w:p w14:paraId="045EBADE"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(10,454) </w:t>
            </w:r>
          </w:p>
        </w:tc>
        <w:tc>
          <w:tcPr>
            <w:tcW w:w="1203" w:type="dxa"/>
            <w:tcBorders>
              <w:top w:val="nil"/>
              <w:left w:val="nil"/>
              <w:bottom w:val="nil"/>
              <w:right w:val="nil"/>
            </w:tcBorders>
            <w:shd w:val="clear" w:color="auto" w:fill="auto"/>
            <w:noWrap/>
            <w:vAlign w:val="center"/>
            <w:hideMark/>
          </w:tcPr>
          <w:p w14:paraId="413382EE"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16 </w:t>
            </w:r>
          </w:p>
        </w:tc>
        <w:tc>
          <w:tcPr>
            <w:tcW w:w="892" w:type="dxa"/>
            <w:tcBorders>
              <w:top w:val="nil"/>
              <w:left w:val="nil"/>
              <w:bottom w:val="nil"/>
              <w:right w:val="nil"/>
            </w:tcBorders>
            <w:shd w:val="clear" w:color="auto" w:fill="auto"/>
            <w:noWrap/>
            <w:vAlign w:val="center"/>
            <w:hideMark/>
          </w:tcPr>
          <w:p w14:paraId="7032CBB6"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800" w:type="dxa"/>
            <w:tcBorders>
              <w:top w:val="nil"/>
              <w:left w:val="nil"/>
              <w:bottom w:val="nil"/>
              <w:right w:val="nil"/>
            </w:tcBorders>
            <w:shd w:val="clear" w:color="auto" w:fill="auto"/>
            <w:noWrap/>
            <w:vAlign w:val="center"/>
            <w:hideMark/>
          </w:tcPr>
          <w:p w14:paraId="67BDEA7E"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976" w:type="dxa"/>
            <w:tcBorders>
              <w:top w:val="nil"/>
              <w:left w:val="nil"/>
              <w:bottom w:val="nil"/>
              <w:right w:val="nil"/>
            </w:tcBorders>
            <w:shd w:val="clear" w:color="auto" w:fill="auto"/>
            <w:noWrap/>
            <w:vAlign w:val="center"/>
            <w:hideMark/>
          </w:tcPr>
          <w:p w14:paraId="7BD9DAD5"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(970) </w:t>
            </w:r>
          </w:p>
        </w:tc>
        <w:tc>
          <w:tcPr>
            <w:tcW w:w="1067" w:type="dxa"/>
            <w:tcBorders>
              <w:top w:val="nil"/>
              <w:left w:val="nil"/>
              <w:bottom w:val="nil"/>
              <w:right w:val="nil"/>
            </w:tcBorders>
            <w:shd w:val="clear" w:color="auto" w:fill="auto"/>
            <w:vAlign w:val="center"/>
            <w:hideMark/>
          </w:tcPr>
          <w:p w14:paraId="6FAD0F44" w14:textId="77777777" w:rsidR="000A2ED4" w:rsidRPr="00BB6300" w:rsidRDefault="000A2ED4" w:rsidP="006C3B80">
            <w:pPr>
              <w:overflowPunct/>
              <w:autoSpaceDE/>
              <w:autoSpaceDN/>
              <w:adjustRightInd/>
              <w:spacing w:line="240" w:lineRule="auto"/>
              <w:jc w:val="right"/>
              <w:textAlignment w:val="auto"/>
              <w:rPr>
                <w:rFonts w:ascii="Arial" w:hAnsi="Arial" w:cs="Arial"/>
                <w:b/>
                <w:bCs/>
                <w:color w:val="000000"/>
                <w:szCs w:val="18"/>
                <w:lang w:eastAsia="en-IN"/>
              </w:rPr>
            </w:pPr>
            <w:r w:rsidRPr="00BB6300">
              <w:rPr>
                <w:rFonts w:ascii="Arial" w:hAnsi="Arial" w:cs="Arial"/>
                <w:b/>
                <w:bCs/>
                <w:color w:val="000000"/>
                <w:szCs w:val="18"/>
                <w:lang w:eastAsia="en-IN"/>
              </w:rPr>
              <w:t>34,994</w:t>
            </w:r>
          </w:p>
        </w:tc>
      </w:tr>
      <w:tr w:rsidR="000A2ED4" w:rsidRPr="00BB6300" w14:paraId="74FF39C3" w14:textId="77777777" w:rsidTr="00FB55E1">
        <w:trPr>
          <w:trHeight w:val="540"/>
        </w:trPr>
        <w:tc>
          <w:tcPr>
            <w:tcW w:w="1107" w:type="dxa"/>
            <w:tcBorders>
              <w:top w:val="nil"/>
              <w:left w:val="nil"/>
              <w:bottom w:val="nil"/>
              <w:right w:val="nil"/>
            </w:tcBorders>
            <w:shd w:val="clear" w:color="auto" w:fill="auto"/>
            <w:vAlign w:val="center"/>
            <w:hideMark/>
          </w:tcPr>
          <w:p w14:paraId="55780337" w14:textId="77777777" w:rsidR="006670C1" w:rsidRDefault="006670C1" w:rsidP="006C3B80">
            <w:pPr>
              <w:overflowPunct/>
              <w:autoSpaceDE/>
              <w:autoSpaceDN/>
              <w:adjustRightInd/>
              <w:spacing w:line="240" w:lineRule="auto"/>
              <w:textAlignment w:val="auto"/>
              <w:rPr>
                <w:rFonts w:ascii="Arial" w:hAnsi="Arial" w:cs="Arial"/>
                <w:color w:val="000000"/>
                <w:szCs w:val="18"/>
                <w:lang w:eastAsia="en-IN"/>
              </w:rPr>
            </w:pPr>
          </w:p>
          <w:p w14:paraId="62991F63" w14:textId="2D648078" w:rsidR="000A2ED4" w:rsidRDefault="000A2ED4" w:rsidP="006C3B80">
            <w:pPr>
              <w:overflowPunct/>
              <w:autoSpaceDE/>
              <w:autoSpaceDN/>
              <w:adjustRightInd/>
              <w:spacing w:line="240" w:lineRule="auto"/>
              <w:textAlignment w:val="auto"/>
              <w:rPr>
                <w:rFonts w:ascii="Arial" w:hAnsi="Arial" w:cs="Arial"/>
                <w:color w:val="000000"/>
                <w:szCs w:val="18"/>
                <w:lang w:eastAsia="en-IN"/>
              </w:rPr>
            </w:pPr>
            <w:r w:rsidRPr="00BB6300">
              <w:rPr>
                <w:rFonts w:ascii="Arial" w:hAnsi="Arial" w:cs="Arial"/>
                <w:color w:val="000000"/>
                <w:szCs w:val="18"/>
                <w:lang w:eastAsia="en-IN"/>
              </w:rPr>
              <w:t>Non-current lease</w:t>
            </w:r>
            <w:r w:rsidR="006670C1">
              <w:rPr>
                <w:rFonts w:ascii="Arial" w:hAnsi="Arial" w:cs="Arial"/>
                <w:color w:val="000000"/>
                <w:szCs w:val="18"/>
                <w:lang w:eastAsia="en-IN"/>
              </w:rPr>
              <w:t xml:space="preserve"> liabilities</w:t>
            </w:r>
          </w:p>
          <w:p w14:paraId="0839C6D3" w14:textId="02E33C9E" w:rsidR="006670C1" w:rsidRPr="00BB6300" w:rsidRDefault="006670C1" w:rsidP="006C3B80">
            <w:pPr>
              <w:overflowPunct/>
              <w:autoSpaceDE/>
              <w:autoSpaceDN/>
              <w:adjustRightInd/>
              <w:spacing w:line="240" w:lineRule="auto"/>
              <w:textAlignment w:val="auto"/>
              <w:rPr>
                <w:rFonts w:ascii="Arial" w:hAnsi="Arial" w:cs="Arial"/>
                <w:color w:val="000000"/>
                <w:szCs w:val="18"/>
                <w:lang w:eastAsia="en-IN"/>
              </w:rPr>
            </w:pPr>
          </w:p>
        </w:tc>
        <w:tc>
          <w:tcPr>
            <w:tcW w:w="1053" w:type="dxa"/>
            <w:tcBorders>
              <w:top w:val="nil"/>
              <w:left w:val="nil"/>
              <w:bottom w:val="nil"/>
              <w:right w:val="nil"/>
            </w:tcBorders>
            <w:shd w:val="clear" w:color="auto" w:fill="auto"/>
            <w:vAlign w:val="center"/>
            <w:hideMark/>
          </w:tcPr>
          <w:p w14:paraId="2B8D40A7" w14:textId="5D774A98" w:rsidR="000A2ED4" w:rsidRPr="00BB6300" w:rsidRDefault="00B5061E" w:rsidP="006C3B80">
            <w:pPr>
              <w:overflowPunct/>
              <w:autoSpaceDE/>
              <w:autoSpaceDN/>
              <w:adjustRightInd/>
              <w:spacing w:line="240" w:lineRule="auto"/>
              <w:jc w:val="right"/>
              <w:textAlignment w:val="auto"/>
              <w:rPr>
                <w:rFonts w:ascii="Arial" w:hAnsi="Arial" w:cs="Arial"/>
                <w:b/>
                <w:bCs/>
                <w:color w:val="000000"/>
                <w:szCs w:val="18"/>
                <w:lang w:eastAsia="en-IN"/>
              </w:rPr>
            </w:pPr>
            <w:r>
              <w:rPr>
                <w:rFonts w:ascii="Arial" w:hAnsi="Arial" w:cs="Arial"/>
                <w:b/>
                <w:bCs/>
                <w:color w:val="000000"/>
                <w:szCs w:val="18"/>
                <w:lang w:eastAsia="en-IN"/>
              </w:rPr>
              <w:t>4</w:t>
            </w:r>
            <w:r w:rsidR="000A2ED4" w:rsidRPr="00BB6300">
              <w:rPr>
                <w:rFonts w:ascii="Arial" w:hAnsi="Arial" w:cs="Arial"/>
                <w:b/>
                <w:bCs/>
                <w:color w:val="000000"/>
                <w:szCs w:val="18"/>
                <w:lang w:eastAsia="en-IN"/>
              </w:rPr>
              <w:t>,</w:t>
            </w:r>
            <w:r>
              <w:rPr>
                <w:rFonts w:ascii="Arial" w:hAnsi="Arial" w:cs="Arial"/>
                <w:b/>
                <w:bCs/>
                <w:color w:val="000000"/>
                <w:szCs w:val="18"/>
                <w:lang w:eastAsia="en-IN"/>
              </w:rPr>
              <w:t>59</w:t>
            </w:r>
            <w:r w:rsidR="00822A12">
              <w:rPr>
                <w:rFonts w:ascii="Arial" w:hAnsi="Arial" w:cs="Arial"/>
                <w:b/>
                <w:bCs/>
                <w:color w:val="000000"/>
                <w:szCs w:val="18"/>
                <w:lang w:eastAsia="en-IN"/>
              </w:rPr>
              <w:t>5</w:t>
            </w:r>
          </w:p>
        </w:tc>
        <w:tc>
          <w:tcPr>
            <w:tcW w:w="1117" w:type="dxa"/>
            <w:tcBorders>
              <w:top w:val="nil"/>
              <w:left w:val="nil"/>
              <w:bottom w:val="nil"/>
              <w:right w:val="nil"/>
            </w:tcBorders>
            <w:shd w:val="clear" w:color="auto" w:fill="auto"/>
            <w:noWrap/>
            <w:vAlign w:val="center"/>
            <w:hideMark/>
          </w:tcPr>
          <w:p w14:paraId="64F622C1"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1249" w:type="dxa"/>
            <w:tcBorders>
              <w:top w:val="nil"/>
              <w:left w:val="nil"/>
              <w:bottom w:val="nil"/>
              <w:right w:val="nil"/>
            </w:tcBorders>
            <w:shd w:val="clear" w:color="auto" w:fill="auto"/>
            <w:noWrap/>
            <w:vAlign w:val="center"/>
            <w:hideMark/>
          </w:tcPr>
          <w:p w14:paraId="51A02905" w14:textId="44758049" w:rsidR="000A2ED4" w:rsidRPr="00BB6300" w:rsidRDefault="00DB35EE" w:rsidP="006C3B80">
            <w:pPr>
              <w:overflowPunct/>
              <w:autoSpaceDE/>
              <w:autoSpaceDN/>
              <w:adjustRightInd/>
              <w:spacing w:line="240" w:lineRule="auto"/>
              <w:jc w:val="right"/>
              <w:textAlignment w:val="auto"/>
              <w:rPr>
                <w:rFonts w:ascii="Arial" w:hAnsi="Arial" w:cs="Arial"/>
                <w:color w:val="000000"/>
                <w:szCs w:val="18"/>
                <w:lang w:eastAsia="en-IN"/>
              </w:rPr>
            </w:pPr>
            <w:r>
              <w:rPr>
                <w:rFonts w:ascii="Arial" w:hAnsi="Arial" w:cs="Arial"/>
                <w:color w:val="000000"/>
                <w:szCs w:val="18"/>
                <w:lang w:eastAsia="en-IN"/>
              </w:rPr>
              <w:t>-</w:t>
            </w:r>
          </w:p>
        </w:tc>
        <w:tc>
          <w:tcPr>
            <w:tcW w:w="1203" w:type="dxa"/>
            <w:tcBorders>
              <w:top w:val="nil"/>
              <w:left w:val="nil"/>
              <w:bottom w:val="nil"/>
              <w:right w:val="nil"/>
            </w:tcBorders>
            <w:shd w:val="clear" w:color="auto" w:fill="auto"/>
            <w:noWrap/>
            <w:vAlign w:val="center"/>
            <w:hideMark/>
          </w:tcPr>
          <w:p w14:paraId="085275AB"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892" w:type="dxa"/>
            <w:tcBorders>
              <w:top w:val="nil"/>
              <w:left w:val="nil"/>
              <w:bottom w:val="nil"/>
              <w:right w:val="nil"/>
            </w:tcBorders>
            <w:shd w:val="clear" w:color="auto" w:fill="auto"/>
            <w:noWrap/>
            <w:vAlign w:val="center"/>
            <w:hideMark/>
          </w:tcPr>
          <w:p w14:paraId="5E78D438"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800" w:type="dxa"/>
            <w:tcBorders>
              <w:top w:val="nil"/>
              <w:left w:val="nil"/>
              <w:bottom w:val="nil"/>
              <w:right w:val="nil"/>
            </w:tcBorders>
            <w:shd w:val="clear" w:color="auto" w:fill="auto"/>
            <w:noWrap/>
            <w:vAlign w:val="center"/>
            <w:hideMark/>
          </w:tcPr>
          <w:p w14:paraId="5C7263E6" w14:textId="6AC74CE7" w:rsidR="000A2ED4" w:rsidRPr="00BB6300" w:rsidRDefault="00B5061E" w:rsidP="006C3B80">
            <w:pPr>
              <w:overflowPunct/>
              <w:autoSpaceDE/>
              <w:autoSpaceDN/>
              <w:adjustRightInd/>
              <w:spacing w:line="240" w:lineRule="auto"/>
              <w:jc w:val="right"/>
              <w:textAlignment w:val="auto"/>
              <w:rPr>
                <w:rFonts w:ascii="Arial" w:hAnsi="Arial" w:cs="Arial"/>
                <w:color w:val="000000"/>
                <w:szCs w:val="18"/>
                <w:lang w:eastAsia="en-IN"/>
              </w:rPr>
            </w:pPr>
            <w:r>
              <w:rPr>
                <w:rFonts w:ascii="Arial" w:hAnsi="Arial" w:cs="Arial"/>
                <w:color w:val="000000"/>
                <w:szCs w:val="18"/>
                <w:lang w:eastAsia="en-IN"/>
              </w:rPr>
              <w:t>992</w:t>
            </w:r>
          </w:p>
        </w:tc>
        <w:tc>
          <w:tcPr>
            <w:tcW w:w="976" w:type="dxa"/>
            <w:tcBorders>
              <w:top w:val="nil"/>
              <w:left w:val="nil"/>
              <w:bottom w:val="nil"/>
              <w:right w:val="nil"/>
            </w:tcBorders>
            <w:shd w:val="clear" w:color="auto" w:fill="auto"/>
            <w:noWrap/>
            <w:vAlign w:val="center"/>
            <w:hideMark/>
          </w:tcPr>
          <w:p w14:paraId="2B6F5C8D" w14:textId="7ADE38B2" w:rsidR="000A2ED4" w:rsidRPr="00BB6300" w:rsidRDefault="00B5061E" w:rsidP="006C3B80">
            <w:pPr>
              <w:overflowPunct/>
              <w:autoSpaceDE/>
              <w:autoSpaceDN/>
              <w:adjustRightInd/>
              <w:spacing w:line="240" w:lineRule="auto"/>
              <w:jc w:val="right"/>
              <w:textAlignment w:val="auto"/>
              <w:rPr>
                <w:rFonts w:ascii="Arial" w:hAnsi="Arial" w:cs="Arial"/>
                <w:color w:val="000000"/>
                <w:szCs w:val="18"/>
                <w:lang w:eastAsia="en-IN"/>
              </w:rPr>
            </w:pPr>
            <w:r>
              <w:rPr>
                <w:rFonts w:ascii="Arial" w:hAnsi="Arial" w:cs="Arial"/>
                <w:color w:val="000000"/>
                <w:szCs w:val="18"/>
                <w:lang w:eastAsia="en-IN"/>
              </w:rPr>
              <w:t>(716)</w:t>
            </w:r>
          </w:p>
        </w:tc>
        <w:tc>
          <w:tcPr>
            <w:tcW w:w="1067" w:type="dxa"/>
            <w:tcBorders>
              <w:top w:val="nil"/>
              <w:left w:val="nil"/>
              <w:bottom w:val="nil"/>
              <w:right w:val="nil"/>
            </w:tcBorders>
            <w:shd w:val="clear" w:color="auto" w:fill="auto"/>
            <w:vAlign w:val="center"/>
            <w:hideMark/>
          </w:tcPr>
          <w:p w14:paraId="6A3E5993" w14:textId="2820365E" w:rsidR="000A2ED4" w:rsidRPr="00BB6300" w:rsidRDefault="00B5061E" w:rsidP="008D4DB9">
            <w:pPr>
              <w:overflowPunct/>
              <w:autoSpaceDE/>
              <w:autoSpaceDN/>
              <w:adjustRightInd/>
              <w:spacing w:line="240" w:lineRule="auto"/>
              <w:jc w:val="right"/>
              <w:textAlignment w:val="auto"/>
              <w:rPr>
                <w:rFonts w:ascii="Arial" w:hAnsi="Arial" w:cs="Arial"/>
                <w:b/>
                <w:bCs/>
                <w:color w:val="000000"/>
                <w:szCs w:val="18"/>
                <w:lang w:eastAsia="en-IN"/>
              </w:rPr>
            </w:pPr>
            <w:r>
              <w:rPr>
                <w:rFonts w:ascii="Arial" w:hAnsi="Arial" w:cs="Arial"/>
                <w:b/>
                <w:bCs/>
                <w:color w:val="000000"/>
                <w:szCs w:val="18"/>
                <w:lang w:eastAsia="en-IN"/>
              </w:rPr>
              <w:t>4,87</w:t>
            </w:r>
            <w:r w:rsidR="00822A12">
              <w:rPr>
                <w:rFonts w:ascii="Arial" w:hAnsi="Arial" w:cs="Arial"/>
                <w:b/>
                <w:bCs/>
                <w:color w:val="000000"/>
                <w:szCs w:val="18"/>
                <w:lang w:eastAsia="en-IN"/>
              </w:rPr>
              <w:t>1</w:t>
            </w:r>
          </w:p>
        </w:tc>
      </w:tr>
      <w:tr w:rsidR="000A2ED4" w:rsidRPr="00BB6300" w14:paraId="3D0FEEC2" w14:textId="77777777" w:rsidTr="00FB55E1">
        <w:trPr>
          <w:trHeight w:val="285"/>
        </w:trPr>
        <w:tc>
          <w:tcPr>
            <w:tcW w:w="1107" w:type="dxa"/>
            <w:tcBorders>
              <w:top w:val="nil"/>
              <w:left w:val="nil"/>
              <w:bottom w:val="nil"/>
              <w:right w:val="nil"/>
            </w:tcBorders>
            <w:shd w:val="clear" w:color="auto" w:fill="auto"/>
            <w:vAlign w:val="center"/>
            <w:hideMark/>
          </w:tcPr>
          <w:p w14:paraId="7E57D41D" w14:textId="77777777" w:rsidR="000A2ED4" w:rsidRPr="00BB6300" w:rsidRDefault="000A2ED4" w:rsidP="006C3B80">
            <w:pPr>
              <w:overflowPunct/>
              <w:autoSpaceDE/>
              <w:autoSpaceDN/>
              <w:adjustRightInd/>
              <w:spacing w:line="240" w:lineRule="auto"/>
              <w:textAlignment w:val="auto"/>
              <w:rPr>
                <w:rFonts w:ascii="Arial" w:hAnsi="Arial" w:cs="Arial"/>
                <w:color w:val="000000"/>
                <w:szCs w:val="18"/>
                <w:lang w:eastAsia="en-IN"/>
              </w:rPr>
            </w:pPr>
            <w:r w:rsidRPr="00BB6300">
              <w:rPr>
                <w:rFonts w:ascii="Arial" w:hAnsi="Arial" w:cs="Arial"/>
                <w:color w:val="000000"/>
                <w:szCs w:val="18"/>
                <w:lang w:eastAsia="en-IN"/>
              </w:rPr>
              <w:t>Derivatives</w:t>
            </w:r>
          </w:p>
        </w:tc>
        <w:tc>
          <w:tcPr>
            <w:tcW w:w="1053" w:type="dxa"/>
            <w:tcBorders>
              <w:top w:val="nil"/>
              <w:left w:val="nil"/>
              <w:bottom w:val="nil"/>
              <w:right w:val="nil"/>
            </w:tcBorders>
            <w:shd w:val="clear" w:color="auto" w:fill="auto"/>
            <w:noWrap/>
            <w:vAlign w:val="center"/>
            <w:hideMark/>
          </w:tcPr>
          <w:p w14:paraId="0A715A7E"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1117" w:type="dxa"/>
            <w:tcBorders>
              <w:top w:val="nil"/>
              <w:left w:val="nil"/>
              <w:bottom w:val="nil"/>
              <w:right w:val="nil"/>
            </w:tcBorders>
            <w:shd w:val="clear" w:color="auto" w:fill="auto"/>
            <w:noWrap/>
            <w:vAlign w:val="center"/>
            <w:hideMark/>
          </w:tcPr>
          <w:p w14:paraId="39A9544A"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1249" w:type="dxa"/>
            <w:tcBorders>
              <w:top w:val="nil"/>
              <w:left w:val="nil"/>
              <w:bottom w:val="nil"/>
              <w:right w:val="nil"/>
            </w:tcBorders>
            <w:shd w:val="clear" w:color="auto" w:fill="auto"/>
            <w:noWrap/>
            <w:vAlign w:val="center"/>
            <w:hideMark/>
          </w:tcPr>
          <w:p w14:paraId="30135D6C"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1203" w:type="dxa"/>
            <w:tcBorders>
              <w:top w:val="nil"/>
              <w:left w:val="nil"/>
              <w:bottom w:val="nil"/>
              <w:right w:val="nil"/>
            </w:tcBorders>
            <w:shd w:val="clear" w:color="auto" w:fill="auto"/>
            <w:noWrap/>
            <w:vAlign w:val="center"/>
            <w:hideMark/>
          </w:tcPr>
          <w:p w14:paraId="71F3B719"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892" w:type="dxa"/>
            <w:tcBorders>
              <w:top w:val="nil"/>
              <w:left w:val="nil"/>
              <w:bottom w:val="nil"/>
              <w:right w:val="nil"/>
            </w:tcBorders>
            <w:shd w:val="clear" w:color="auto" w:fill="auto"/>
            <w:noWrap/>
            <w:vAlign w:val="center"/>
            <w:hideMark/>
          </w:tcPr>
          <w:p w14:paraId="2DC42322"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63 </w:t>
            </w:r>
          </w:p>
        </w:tc>
        <w:tc>
          <w:tcPr>
            <w:tcW w:w="800" w:type="dxa"/>
            <w:tcBorders>
              <w:top w:val="nil"/>
              <w:left w:val="nil"/>
              <w:bottom w:val="nil"/>
              <w:right w:val="nil"/>
            </w:tcBorders>
            <w:shd w:val="clear" w:color="auto" w:fill="auto"/>
            <w:noWrap/>
            <w:vAlign w:val="center"/>
            <w:hideMark/>
          </w:tcPr>
          <w:p w14:paraId="58849C4D"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976" w:type="dxa"/>
            <w:tcBorders>
              <w:top w:val="nil"/>
              <w:left w:val="nil"/>
              <w:bottom w:val="nil"/>
              <w:right w:val="nil"/>
            </w:tcBorders>
            <w:shd w:val="clear" w:color="auto" w:fill="auto"/>
            <w:noWrap/>
            <w:vAlign w:val="center"/>
            <w:hideMark/>
          </w:tcPr>
          <w:p w14:paraId="726D24B7" w14:textId="77777777" w:rsidR="000A2ED4" w:rsidRPr="00BB6300" w:rsidRDefault="000A2ED4" w:rsidP="006C3B80">
            <w:pPr>
              <w:overflowPunct/>
              <w:autoSpaceDE/>
              <w:autoSpaceDN/>
              <w:adjustRightInd/>
              <w:spacing w:line="240" w:lineRule="auto"/>
              <w:jc w:val="right"/>
              <w:textAlignment w:val="auto"/>
              <w:rPr>
                <w:rFonts w:ascii="Arial" w:hAnsi="Arial" w:cs="Arial"/>
                <w:color w:val="000000"/>
                <w:szCs w:val="18"/>
                <w:lang w:eastAsia="en-IN"/>
              </w:rPr>
            </w:pPr>
            <w:r w:rsidRPr="00BB6300">
              <w:rPr>
                <w:rFonts w:ascii="Arial" w:hAnsi="Arial" w:cs="Arial"/>
                <w:color w:val="000000"/>
                <w:szCs w:val="18"/>
                <w:lang w:eastAsia="en-IN"/>
              </w:rPr>
              <w:t xml:space="preserve"> - </w:t>
            </w:r>
          </w:p>
        </w:tc>
        <w:tc>
          <w:tcPr>
            <w:tcW w:w="1067" w:type="dxa"/>
            <w:tcBorders>
              <w:top w:val="nil"/>
              <w:left w:val="nil"/>
              <w:bottom w:val="nil"/>
              <w:right w:val="nil"/>
            </w:tcBorders>
            <w:shd w:val="clear" w:color="auto" w:fill="auto"/>
            <w:vAlign w:val="center"/>
            <w:hideMark/>
          </w:tcPr>
          <w:p w14:paraId="60266C27" w14:textId="77777777" w:rsidR="000A2ED4" w:rsidRPr="00BB6300" w:rsidRDefault="000A2ED4" w:rsidP="006C3B80">
            <w:pPr>
              <w:overflowPunct/>
              <w:autoSpaceDE/>
              <w:autoSpaceDN/>
              <w:adjustRightInd/>
              <w:spacing w:line="240" w:lineRule="auto"/>
              <w:jc w:val="right"/>
              <w:textAlignment w:val="auto"/>
              <w:rPr>
                <w:rFonts w:ascii="Arial" w:hAnsi="Arial" w:cs="Arial"/>
                <w:b/>
                <w:bCs/>
                <w:color w:val="000000"/>
                <w:szCs w:val="18"/>
                <w:lang w:eastAsia="en-IN"/>
              </w:rPr>
            </w:pPr>
            <w:r w:rsidRPr="00BB6300">
              <w:rPr>
                <w:rFonts w:ascii="Arial" w:hAnsi="Arial" w:cs="Arial"/>
                <w:b/>
                <w:bCs/>
                <w:color w:val="000000"/>
                <w:szCs w:val="18"/>
                <w:lang w:eastAsia="en-IN"/>
              </w:rPr>
              <w:t>63</w:t>
            </w:r>
          </w:p>
        </w:tc>
      </w:tr>
      <w:tr w:rsidR="000A2ED4" w:rsidRPr="00E70587" w14:paraId="4472CA07" w14:textId="77777777" w:rsidTr="00FB55E1">
        <w:trPr>
          <w:trHeight w:val="270"/>
        </w:trPr>
        <w:tc>
          <w:tcPr>
            <w:tcW w:w="1107" w:type="dxa"/>
            <w:tcBorders>
              <w:top w:val="nil"/>
              <w:left w:val="nil"/>
              <w:bottom w:val="nil"/>
              <w:right w:val="nil"/>
            </w:tcBorders>
            <w:shd w:val="clear" w:color="auto" w:fill="auto"/>
            <w:vAlign w:val="center"/>
            <w:hideMark/>
          </w:tcPr>
          <w:p w14:paraId="27D7CB6F" w14:textId="77777777" w:rsidR="006670C1" w:rsidRDefault="006670C1" w:rsidP="006C3B80">
            <w:pPr>
              <w:overflowPunct/>
              <w:autoSpaceDE/>
              <w:autoSpaceDN/>
              <w:adjustRightInd/>
              <w:spacing w:line="240" w:lineRule="auto"/>
              <w:textAlignment w:val="auto"/>
              <w:rPr>
                <w:rFonts w:ascii="Arial" w:hAnsi="Arial" w:cs="Arial"/>
                <w:b/>
                <w:bCs/>
                <w:color w:val="000000"/>
                <w:szCs w:val="18"/>
                <w:lang w:eastAsia="en-IN"/>
              </w:rPr>
            </w:pPr>
          </w:p>
          <w:p w14:paraId="2747531B" w14:textId="2755F654" w:rsidR="000A2ED4" w:rsidRPr="00BB6300" w:rsidRDefault="000A2ED4" w:rsidP="006C3B80">
            <w:pPr>
              <w:overflowPunct/>
              <w:autoSpaceDE/>
              <w:autoSpaceDN/>
              <w:adjustRightInd/>
              <w:spacing w:line="240" w:lineRule="auto"/>
              <w:textAlignment w:val="auto"/>
              <w:rPr>
                <w:rFonts w:ascii="Arial" w:hAnsi="Arial" w:cs="Arial"/>
                <w:b/>
                <w:bCs/>
                <w:color w:val="000000"/>
                <w:szCs w:val="18"/>
                <w:lang w:eastAsia="en-IN"/>
              </w:rPr>
            </w:pPr>
            <w:r w:rsidRPr="00BB6300">
              <w:rPr>
                <w:rFonts w:ascii="Arial" w:hAnsi="Arial" w:cs="Arial"/>
                <w:b/>
                <w:bCs/>
                <w:color w:val="000000"/>
                <w:szCs w:val="18"/>
                <w:lang w:eastAsia="en-IN"/>
              </w:rPr>
              <w:t>Total liabilities from financing activities</w:t>
            </w:r>
          </w:p>
        </w:tc>
        <w:tc>
          <w:tcPr>
            <w:tcW w:w="1053" w:type="dxa"/>
            <w:tcBorders>
              <w:top w:val="nil"/>
              <w:left w:val="nil"/>
              <w:bottom w:val="nil"/>
              <w:right w:val="nil"/>
            </w:tcBorders>
            <w:shd w:val="clear" w:color="auto" w:fill="auto"/>
            <w:vAlign w:val="center"/>
            <w:hideMark/>
          </w:tcPr>
          <w:p w14:paraId="764C0959" w14:textId="04DAA8E4" w:rsidR="000A2ED4" w:rsidRPr="00BB6300" w:rsidRDefault="006E7102" w:rsidP="006C3B80">
            <w:pPr>
              <w:overflowPunct/>
              <w:autoSpaceDE/>
              <w:autoSpaceDN/>
              <w:adjustRightInd/>
              <w:spacing w:line="240" w:lineRule="auto"/>
              <w:jc w:val="right"/>
              <w:textAlignment w:val="auto"/>
              <w:rPr>
                <w:rFonts w:ascii="Arial" w:hAnsi="Arial" w:cs="Arial"/>
                <w:b/>
                <w:bCs/>
                <w:color w:val="000000"/>
                <w:szCs w:val="18"/>
                <w:lang w:eastAsia="en-IN"/>
              </w:rPr>
            </w:pPr>
            <w:r w:rsidRPr="00BB6300">
              <w:rPr>
                <w:rFonts w:ascii="Arial" w:hAnsi="Arial" w:cs="Arial"/>
                <w:b/>
                <w:bCs/>
                <w:color w:val="000000"/>
                <w:szCs w:val="18"/>
                <w:lang w:eastAsia="en-IN"/>
              </w:rPr>
              <w:t>4</w:t>
            </w:r>
            <w:r>
              <w:rPr>
                <w:rFonts w:ascii="Arial" w:hAnsi="Arial" w:cs="Arial"/>
                <w:b/>
                <w:bCs/>
                <w:color w:val="000000"/>
                <w:szCs w:val="18"/>
                <w:lang w:eastAsia="en-IN"/>
              </w:rPr>
              <w:t>7</w:t>
            </w:r>
            <w:r w:rsidR="000A2ED4" w:rsidRPr="00BB6300">
              <w:rPr>
                <w:rFonts w:ascii="Arial" w:hAnsi="Arial" w:cs="Arial"/>
                <w:b/>
                <w:bCs/>
                <w:color w:val="000000"/>
                <w:szCs w:val="18"/>
                <w:lang w:eastAsia="en-IN"/>
              </w:rPr>
              <w:t>,</w:t>
            </w:r>
            <w:r>
              <w:rPr>
                <w:rFonts w:ascii="Arial" w:hAnsi="Arial" w:cs="Arial"/>
                <w:b/>
                <w:bCs/>
                <w:color w:val="000000"/>
                <w:szCs w:val="18"/>
                <w:lang w:eastAsia="en-IN"/>
              </w:rPr>
              <w:t>61</w:t>
            </w:r>
            <w:r w:rsidR="00BE0033">
              <w:rPr>
                <w:rFonts w:ascii="Arial" w:hAnsi="Arial" w:cs="Arial"/>
                <w:b/>
                <w:bCs/>
                <w:color w:val="000000"/>
                <w:szCs w:val="18"/>
                <w:lang w:eastAsia="en-IN"/>
              </w:rPr>
              <w:t>9</w:t>
            </w:r>
          </w:p>
        </w:tc>
        <w:tc>
          <w:tcPr>
            <w:tcW w:w="1117" w:type="dxa"/>
            <w:tcBorders>
              <w:top w:val="nil"/>
              <w:left w:val="nil"/>
              <w:bottom w:val="nil"/>
              <w:right w:val="nil"/>
            </w:tcBorders>
            <w:shd w:val="clear" w:color="auto" w:fill="auto"/>
            <w:vAlign w:val="center"/>
            <w:hideMark/>
          </w:tcPr>
          <w:p w14:paraId="5E0F93AA" w14:textId="538DE0C2" w:rsidR="000A2ED4" w:rsidRPr="00BB6300" w:rsidRDefault="00D447BD" w:rsidP="006C3B80">
            <w:pPr>
              <w:overflowPunct/>
              <w:autoSpaceDE/>
              <w:autoSpaceDN/>
              <w:adjustRightInd/>
              <w:spacing w:line="240" w:lineRule="auto"/>
              <w:jc w:val="right"/>
              <w:textAlignment w:val="auto"/>
              <w:rPr>
                <w:rFonts w:ascii="Arial" w:hAnsi="Arial" w:cs="Arial"/>
                <w:b/>
                <w:bCs/>
                <w:color w:val="000000"/>
                <w:szCs w:val="18"/>
                <w:lang w:eastAsia="en-IN"/>
              </w:rPr>
            </w:pPr>
            <w:r w:rsidRPr="00BB6300">
              <w:rPr>
                <w:rFonts w:ascii="Arial" w:hAnsi="Arial" w:cs="Arial"/>
                <w:b/>
                <w:bCs/>
                <w:color w:val="000000"/>
                <w:szCs w:val="18"/>
                <w:lang w:eastAsia="en-IN"/>
              </w:rPr>
              <w:t>8,</w:t>
            </w:r>
            <w:r w:rsidR="000530A4">
              <w:rPr>
                <w:rFonts w:ascii="Arial" w:hAnsi="Arial" w:cs="Arial"/>
                <w:b/>
                <w:bCs/>
                <w:color w:val="000000"/>
                <w:szCs w:val="18"/>
                <w:lang w:eastAsia="en-IN"/>
              </w:rPr>
              <w:t>217</w:t>
            </w:r>
          </w:p>
        </w:tc>
        <w:tc>
          <w:tcPr>
            <w:tcW w:w="1249" w:type="dxa"/>
            <w:tcBorders>
              <w:top w:val="nil"/>
              <w:left w:val="nil"/>
              <w:bottom w:val="nil"/>
              <w:right w:val="nil"/>
            </w:tcBorders>
            <w:shd w:val="clear" w:color="auto" w:fill="auto"/>
            <w:vAlign w:val="center"/>
            <w:hideMark/>
          </w:tcPr>
          <w:p w14:paraId="16A0D62C" w14:textId="04F45995" w:rsidR="000A2ED4" w:rsidRPr="00BB6300" w:rsidRDefault="000A2ED4" w:rsidP="006C3B80">
            <w:pPr>
              <w:overflowPunct/>
              <w:autoSpaceDE/>
              <w:autoSpaceDN/>
              <w:adjustRightInd/>
              <w:spacing w:line="240" w:lineRule="auto"/>
              <w:jc w:val="right"/>
              <w:textAlignment w:val="auto"/>
              <w:rPr>
                <w:rFonts w:ascii="Arial" w:hAnsi="Arial" w:cs="Arial"/>
                <w:b/>
                <w:bCs/>
                <w:color w:val="000000"/>
                <w:szCs w:val="18"/>
                <w:lang w:eastAsia="en-IN"/>
              </w:rPr>
            </w:pPr>
            <w:r w:rsidRPr="00BB6300">
              <w:rPr>
                <w:rFonts w:ascii="Arial" w:hAnsi="Arial" w:cs="Arial"/>
                <w:b/>
                <w:bCs/>
                <w:color w:val="000000"/>
                <w:szCs w:val="18"/>
                <w:lang w:eastAsia="en-IN"/>
              </w:rPr>
              <w:t>(10,</w:t>
            </w:r>
            <w:r w:rsidR="000530A4">
              <w:rPr>
                <w:rFonts w:ascii="Arial" w:hAnsi="Arial" w:cs="Arial"/>
                <w:b/>
                <w:bCs/>
                <w:color w:val="000000"/>
                <w:szCs w:val="18"/>
                <w:lang w:eastAsia="en-IN"/>
              </w:rPr>
              <w:t>45</w:t>
            </w:r>
            <w:r w:rsidR="000530A4" w:rsidRPr="00BB6300">
              <w:rPr>
                <w:rFonts w:ascii="Arial" w:hAnsi="Arial" w:cs="Arial"/>
                <w:b/>
                <w:bCs/>
                <w:color w:val="000000"/>
                <w:szCs w:val="18"/>
                <w:lang w:eastAsia="en-IN"/>
              </w:rPr>
              <w:t>4</w:t>
            </w:r>
            <w:r w:rsidRPr="00BB6300">
              <w:rPr>
                <w:rFonts w:ascii="Arial" w:hAnsi="Arial" w:cs="Arial"/>
                <w:b/>
                <w:bCs/>
                <w:color w:val="000000"/>
                <w:szCs w:val="18"/>
                <w:lang w:eastAsia="en-IN"/>
              </w:rPr>
              <w:t>)</w:t>
            </w:r>
          </w:p>
        </w:tc>
        <w:tc>
          <w:tcPr>
            <w:tcW w:w="1203" w:type="dxa"/>
            <w:tcBorders>
              <w:top w:val="nil"/>
              <w:left w:val="nil"/>
              <w:bottom w:val="nil"/>
              <w:right w:val="nil"/>
            </w:tcBorders>
            <w:shd w:val="clear" w:color="auto" w:fill="auto"/>
            <w:vAlign w:val="center"/>
            <w:hideMark/>
          </w:tcPr>
          <w:p w14:paraId="334521AA" w14:textId="77777777" w:rsidR="000A2ED4" w:rsidRPr="00BB6300" w:rsidRDefault="008D4DB9" w:rsidP="008D4DB9">
            <w:pPr>
              <w:overflowPunct/>
              <w:autoSpaceDE/>
              <w:autoSpaceDN/>
              <w:adjustRightInd/>
              <w:spacing w:line="240" w:lineRule="auto"/>
              <w:jc w:val="right"/>
              <w:textAlignment w:val="auto"/>
              <w:rPr>
                <w:rFonts w:ascii="Arial" w:hAnsi="Arial" w:cs="Arial"/>
                <w:b/>
                <w:bCs/>
                <w:color w:val="000000"/>
                <w:szCs w:val="18"/>
                <w:lang w:eastAsia="en-IN"/>
              </w:rPr>
            </w:pPr>
            <w:r w:rsidRPr="00BB6300">
              <w:rPr>
                <w:rFonts w:ascii="Arial" w:hAnsi="Arial" w:cs="Arial"/>
                <w:b/>
                <w:bCs/>
                <w:color w:val="000000"/>
                <w:szCs w:val="18"/>
                <w:lang w:eastAsia="en-IN"/>
              </w:rPr>
              <w:t>21</w:t>
            </w:r>
          </w:p>
        </w:tc>
        <w:tc>
          <w:tcPr>
            <w:tcW w:w="892" w:type="dxa"/>
            <w:tcBorders>
              <w:top w:val="nil"/>
              <w:left w:val="nil"/>
              <w:bottom w:val="nil"/>
              <w:right w:val="nil"/>
            </w:tcBorders>
            <w:shd w:val="clear" w:color="auto" w:fill="auto"/>
            <w:vAlign w:val="center"/>
            <w:hideMark/>
          </w:tcPr>
          <w:p w14:paraId="7E293BC3" w14:textId="77777777" w:rsidR="000A2ED4" w:rsidRPr="00BB6300" w:rsidRDefault="000A2ED4" w:rsidP="006C3B80">
            <w:pPr>
              <w:overflowPunct/>
              <w:autoSpaceDE/>
              <w:autoSpaceDN/>
              <w:adjustRightInd/>
              <w:spacing w:line="240" w:lineRule="auto"/>
              <w:jc w:val="right"/>
              <w:textAlignment w:val="auto"/>
              <w:rPr>
                <w:rFonts w:ascii="Arial" w:hAnsi="Arial" w:cs="Arial"/>
                <w:b/>
                <w:bCs/>
                <w:color w:val="000000"/>
                <w:szCs w:val="18"/>
                <w:lang w:eastAsia="en-IN"/>
              </w:rPr>
            </w:pPr>
            <w:r w:rsidRPr="00BB6300">
              <w:rPr>
                <w:rFonts w:ascii="Arial" w:hAnsi="Arial" w:cs="Arial"/>
                <w:b/>
                <w:bCs/>
                <w:color w:val="000000"/>
                <w:szCs w:val="18"/>
                <w:lang w:eastAsia="en-IN"/>
              </w:rPr>
              <w:t>63</w:t>
            </w:r>
          </w:p>
        </w:tc>
        <w:tc>
          <w:tcPr>
            <w:tcW w:w="800" w:type="dxa"/>
            <w:tcBorders>
              <w:top w:val="nil"/>
              <w:left w:val="nil"/>
              <w:bottom w:val="nil"/>
              <w:right w:val="nil"/>
            </w:tcBorders>
            <w:shd w:val="clear" w:color="auto" w:fill="auto"/>
            <w:vAlign w:val="center"/>
            <w:hideMark/>
          </w:tcPr>
          <w:p w14:paraId="0EE6B336" w14:textId="2D1D5A35" w:rsidR="000A2ED4" w:rsidRPr="00BB6300" w:rsidRDefault="000530A4" w:rsidP="006C3B80">
            <w:pPr>
              <w:overflowPunct/>
              <w:autoSpaceDE/>
              <w:autoSpaceDN/>
              <w:adjustRightInd/>
              <w:spacing w:line="240" w:lineRule="auto"/>
              <w:jc w:val="right"/>
              <w:textAlignment w:val="auto"/>
              <w:rPr>
                <w:rFonts w:ascii="Arial" w:hAnsi="Arial" w:cs="Arial"/>
                <w:b/>
                <w:bCs/>
                <w:color w:val="000000"/>
                <w:szCs w:val="18"/>
                <w:lang w:eastAsia="en-IN"/>
              </w:rPr>
            </w:pPr>
            <w:r>
              <w:rPr>
                <w:rFonts w:ascii="Arial" w:hAnsi="Arial" w:cs="Arial"/>
                <w:b/>
                <w:bCs/>
                <w:color w:val="000000"/>
                <w:szCs w:val="18"/>
                <w:lang w:eastAsia="en-IN"/>
              </w:rPr>
              <w:t>1,068</w:t>
            </w:r>
          </w:p>
        </w:tc>
        <w:tc>
          <w:tcPr>
            <w:tcW w:w="976" w:type="dxa"/>
            <w:tcBorders>
              <w:top w:val="nil"/>
              <w:left w:val="nil"/>
              <w:bottom w:val="nil"/>
              <w:right w:val="nil"/>
            </w:tcBorders>
            <w:shd w:val="clear" w:color="auto" w:fill="auto"/>
            <w:vAlign w:val="center"/>
            <w:hideMark/>
          </w:tcPr>
          <w:p w14:paraId="4375CC66" w14:textId="5A1A7C1E" w:rsidR="000A2ED4" w:rsidRPr="00BB6300" w:rsidRDefault="00D447BD" w:rsidP="008D4DB9">
            <w:pPr>
              <w:overflowPunct/>
              <w:autoSpaceDE/>
              <w:autoSpaceDN/>
              <w:adjustRightInd/>
              <w:spacing w:line="240" w:lineRule="auto"/>
              <w:jc w:val="right"/>
              <w:textAlignment w:val="auto"/>
              <w:rPr>
                <w:rFonts w:ascii="Arial" w:hAnsi="Arial" w:cs="Arial"/>
                <w:b/>
                <w:bCs/>
                <w:color w:val="000000"/>
                <w:szCs w:val="18"/>
                <w:lang w:eastAsia="en-IN"/>
              </w:rPr>
            </w:pPr>
            <w:r w:rsidRPr="00BB6300">
              <w:rPr>
                <w:rFonts w:ascii="Arial" w:hAnsi="Arial" w:cs="Arial"/>
                <w:b/>
                <w:bCs/>
                <w:color w:val="000000"/>
                <w:szCs w:val="18"/>
                <w:lang w:eastAsia="en-IN"/>
              </w:rPr>
              <w:t>(1,</w:t>
            </w:r>
            <w:r w:rsidR="002049C2">
              <w:rPr>
                <w:rFonts w:ascii="Arial" w:hAnsi="Arial" w:cs="Arial"/>
                <w:b/>
                <w:bCs/>
                <w:color w:val="000000"/>
                <w:szCs w:val="18"/>
                <w:lang w:eastAsia="en-IN"/>
              </w:rPr>
              <w:t>507</w:t>
            </w:r>
            <w:r w:rsidRPr="00BB6300">
              <w:rPr>
                <w:rFonts w:ascii="Arial" w:hAnsi="Arial" w:cs="Arial"/>
                <w:b/>
                <w:bCs/>
                <w:color w:val="000000"/>
                <w:szCs w:val="18"/>
                <w:lang w:eastAsia="en-IN"/>
              </w:rPr>
              <w:t>)</w:t>
            </w:r>
          </w:p>
        </w:tc>
        <w:tc>
          <w:tcPr>
            <w:tcW w:w="1067" w:type="dxa"/>
            <w:tcBorders>
              <w:top w:val="nil"/>
              <w:left w:val="nil"/>
              <w:bottom w:val="nil"/>
              <w:right w:val="nil"/>
            </w:tcBorders>
            <w:shd w:val="clear" w:color="auto" w:fill="auto"/>
            <w:vAlign w:val="center"/>
            <w:hideMark/>
          </w:tcPr>
          <w:p w14:paraId="192F3E39" w14:textId="56501C23" w:rsidR="000A2ED4" w:rsidRPr="00E70587" w:rsidRDefault="000530A4" w:rsidP="008D4DB9">
            <w:pPr>
              <w:overflowPunct/>
              <w:autoSpaceDE/>
              <w:autoSpaceDN/>
              <w:adjustRightInd/>
              <w:spacing w:line="240" w:lineRule="auto"/>
              <w:jc w:val="right"/>
              <w:textAlignment w:val="auto"/>
              <w:rPr>
                <w:rFonts w:ascii="Arial" w:hAnsi="Arial" w:cs="Arial"/>
                <w:b/>
                <w:bCs/>
                <w:color w:val="000000"/>
                <w:szCs w:val="18"/>
                <w:lang w:eastAsia="en-IN"/>
              </w:rPr>
            </w:pPr>
            <w:r w:rsidRPr="00BB6300">
              <w:rPr>
                <w:rFonts w:ascii="Arial" w:hAnsi="Arial" w:cs="Arial"/>
                <w:b/>
                <w:bCs/>
                <w:color w:val="000000"/>
                <w:szCs w:val="18"/>
                <w:lang w:eastAsia="en-IN"/>
              </w:rPr>
              <w:t>4</w:t>
            </w:r>
            <w:r>
              <w:rPr>
                <w:rFonts w:ascii="Arial" w:hAnsi="Arial" w:cs="Arial"/>
                <w:b/>
                <w:bCs/>
                <w:color w:val="000000"/>
                <w:szCs w:val="18"/>
                <w:lang w:eastAsia="en-IN"/>
              </w:rPr>
              <w:t>5</w:t>
            </w:r>
            <w:r w:rsidR="000A2ED4" w:rsidRPr="00BB6300">
              <w:rPr>
                <w:rFonts w:ascii="Arial" w:hAnsi="Arial" w:cs="Arial"/>
                <w:b/>
                <w:bCs/>
                <w:color w:val="000000"/>
                <w:szCs w:val="18"/>
                <w:lang w:eastAsia="en-IN"/>
              </w:rPr>
              <w:t>,</w:t>
            </w:r>
            <w:r w:rsidRPr="00BB6300">
              <w:rPr>
                <w:rFonts w:ascii="Arial" w:hAnsi="Arial" w:cs="Arial"/>
                <w:b/>
                <w:bCs/>
                <w:color w:val="000000"/>
                <w:szCs w:val="18"/>
                <w:lang w:eastAsia="en-IN"/>
              </w:rPr>
              <w:t>0</w:t>
            </w:r>
            <w:r>
              <w:rPr>
                <w:rFonts w:ascii="Arial" w:hAnsi="Arial" w:cs="Arial"/>
                <w:b/>
                <w:bCs/>
                <w:color w:val="000000"/>
                <w:szCs w:val="18"/>
                <w:lang w:eastAsia="en-IN"/>
              </w:rPr>
              <w:t>2</w:t>
            </w:r>
            <w:r w:rsidR="00BE0033">
              <w:rPr>
                <w:rFonts w:ascii="Arial" w:hAnsi="Arial" w:cs="Arial"/>
                <w:b/>
                <w:bCs/>
                <w:color w:val="000000"/>
                <w:szCs w:val="18"/>
                <w:lang w:eastAsia="en-IN"/>
              </w:rPr>
              <w:t>7</w:t>
            </w:r>
          </w:p>
        </w:tc>
      </w:tr>
    </w:tbl>
    <w:p w14:paraId="02BD46AA" w14:textId="1C9783E0" w:rsidR="00C30E40" w:rsidRDefault="00C30E40">
      <w:pPr>
        <w:rPr>
          <w:rFonts w:ascii="Arial" w:hAnsi="Arial"/>
        </w:rPr>
      </w:pPr>
    </w:p>
    <w:p w14:paraId="7BAAF613" w14:textId="77777777" w:rsidR="005E0F4B" w:rsidRPr="00E70587" w:rsidRDefault="005E0F4B">
      <w:pPr>
        <w:rPr>
          <w:rFonts w:ascii="Arial" w:hAnsi="Arial"/>
        </w:rPr>
      </w:pPr>
    </w:p>
    <w:tbl>
      <w:tblPr>
        <w:tblW w:w="9342" w:type="dxa"/>
        <w:tblInd w:w="108" w:type="dxa"/>
        <w:tblLayout w:type="fixed"/>
        <w:tblLook w:val="04A0" w:firstRow="1" w:lastRow="0" w:firstColumn="1" w:lastColumn="0" w:noHBand="0" w:noVBand="1"/>
      </w:tblPr>
      <w:tblGrid>
        <w:gridCol w:w="1612"/>
        <w:gridCol w:w="813"/>
        <w:gridCol w:w="914"/>
        <w:gridCol w:w="1249"/>
        <w:gridCol w:w="1203"/>
        <w:gridCol w:w="892"/>
        <w:gridCol w:w="800"/>
        <w:gridCol w:w="959"/>
        <w:gridCol w:w="900"/>
      </w:tblGrid>
      <w:tr w:rsidR="000A2ED4" w:rsidRPr="00E70587" w14:paraId="2E5A6149" w14:textId="77777777" w:rsidTr="00BB6300">
        <w:trPr>
          <w:trHeight w:val="567"/>
        </w:trPr>
        <w:tc>
          <w:tcPr>
            <w:tcW w:w="1612" w:type="dxa"/>
            <w:tcBorders>
              <w:top w:val="nil"/>
              <w:left w:val="nil"/>
              <w:bottom w:val="nil"/>
              <w:right w:val="nil"/>
            </w:tcBorders>
            <w:shd w:val="clear" w:color="auto" w:fill="auto"/>
            <w:vAlign w:val="center"/>
            <w:hideMark/>
          </w:tcPr>
          <w:p w14:paraId="324C8C40" w14:textId="77777777" w:rsidR="000A2ED4" w:rsidRPr="00E70587" w:rsidRDefault="000A2ED4" w:rsidP="006C3B80">
            <w:pPr>
              <w:overflowPunct/>
              <w:autoSpaceDE/>
              <w:autoSpaceDN/>
              <w:adjustRightInd/>
              <w:spacing w:line="240" w:lineRule="auto"/>
              <w:textAlignment w:val="auto"/>
              <w:rPr>
                <w:rFonts w:ascii="Arial" w:hAnsi="Arial" w:cs="Calibri"/>
                <w:b/>
                <w:bCs/>
                <w:color w:val="000000"/>
                <w:sz w:val="16"/>
                <w:szCs w:val="18"/>
                <w:lang w:eastAsia="en-IN"/>
              </w:rPr>
            </w:pPr>
            <w:r w:rsidRPr="00E70587">
              <w:rPr>
                <w:rFonts w:ascii="Arial" w:hAnsi="Arial" w:cs="Calibri"/>
                <w:b/>
                <w:bCs/>
                <w:color w:val="000000"/>
                <w:sz w:val="16"/>
                <w:szCs w:val="18"/>
                <w:lang w:eastAsia="en-IN"/>
              </w:rPr>
              <w:t>Particulars</w:t>
            </w:r>
          </w:p>
        </w:tc>
        <w:tc>
          <w:tcPr>
            <w:tcW w:w="813" w:type="dxa"/>
            <w:tcBorders>
              <w:top w:val="nil"/>
              <w:left w:val="nil"/>
              <w:bottom w:val="nil"/>
              <w:right w:val="nil"/>
            </w:tcBorders>
            <w:shd w:val="clear" w:color="auto" w:fill="auto"/>
            <w:vAlign w:val="center"/>
            <w:hideMark/>
          </w:tcPr>
          <w:p w14:paraId="3DAD3856" w14:textId="5A545A6F" w:rsidR="000A2ED4" w:rsidRPr="00E70587" w:rsidRDefault="000A2ED4" w:rsidP="006C3B80">
            <w:pPr>
              <w:overflowPunct/>
              <w:autoSpaceDE/>
              <w:autoSpaceDN/>
              <w:adjustRightInd/>
              <w:spacing w:line="240" w:lineRule="auto"/>
              <w:jc w:val="right"/>
              <w:textAlignment w:val="auto"/>
              <w:rPr>
                <w:rFonts w:ascii="Arial" w:hAnsi="Arial" w:cs="Calibri"/>
                <w:b/>
                <w:bCs/>
                <w:color w:val="000000"/>
                <w:sz w:val="16"/>
                <w:szCs w:val="18"/>
                <w:lang w:eastAsia="en-IN"/>
              </w:rPr>
            </w:pPr>
            <w:r w:rsidRPr="00E70587">
              <w:rPr>
                <w:rFonts w:ascii="Arial" w:hAnsi="Arial" w:cs="Calibri"/>
                <w:b/>
                <w:bCs/>
                <w:color w:val="000000"/>
                <w:sz w:val="16"/>
                <w:szCs w:val="18"/>
                <w:lang w:eastAsia="en-IN"/>
              </w:rPr>
              <w:t>01-Apr-</w:t>
            </w:r>
            <w:r w:rsidR="00FB55E1" w:rsidRPr="00E70587">
              <w:rPr>
                <w:rFonts w:ascii="Arial" w:hAnsi="Arial" w:cs="Calibri"/>
                <w:b/>
                <w:bCs/>
                <w:color w:val="000000"/>
                <w:sz w:val="16"/>
                <w:szCs w:val="18"/>
                <w:lang w:eastAsia="en-IN"/>
              </w:rPr>
              <w:t>1</w:t>
            </w:r>
            <w:r w:rsidR="00FB55E1">
              <w:rPr>
                <w:rFonts w:ascii="Arial" w:hAnsi="Arial" w:cs="Calibri"/>
                <w:b/>
                <w:bCs/>
                <w:color w:val="000000"/>
                <w:sz w:val="16"/>
                <w:szCs w:val="18"/>
                <w:lang w:eastAsia="en-IN"/>
              </w:rPr>
              <w:t>9</w:t>
            </w:r>
          </w:p>
        </w:tc>
        <w:tc>
          <w:tcPr>
            <w:tcW w:w="914" w:type="dxa"/>
            <w:tcBorders>
              <w:top w:val="nil"/>
              <w:left w:val="nil"/>
              <w:bottom w:val="nil"/>
              <w:right w:val="nil"/>
            </w:tcBorders>
            <w:shd w:val="clear" w:color="auto" w:fill="auto"/>
            <w:vAlign w:val="center"/>
            <w:hideMark/>
          </w:tcPr>
          <w:p w14:paraId="395717DB" w14:textId="77777777" w:rsidR="000A2ED4" w:rsidRPr="00E70587" w:rsidRDefault="000A2ED4" w:rsidP="006C3B80">
            <w:pPr>
              <w:overflowPunct/>
              <w:autoSpaceDE/>
              <w:autoSpaceDN/>
              <w:adjustRightInd/>
              <w:spacing w:line="240" w:lineRule="auto"/>
              <w:textAlignment w:val="auto"/>
              <w:rPr>
                <w:rFonts w:ascii="Arial" w:hAnsi="Arial" w:cs="Calibri"/>
                <w:b/>
                <w:bCs/>
                <w:color w:val="000000"/>
                <w:sz w:val="16"/>
                <w:szCs w:val="18"/>
                <w:lang w:eastAsia="en-IN"/>
              </w:rPr>
            </w:pPr>
            <w:r w:rsidRPr="00E70587">
              <w:rPr>
                <w:rFonts w:ascii="Arial" w:hAnsi="Arial" w:cs="Calibri"/>
                <w:b/>
                <w:bCs/>
                <w:color w:val="000000"/>
                <w:sz w:val="16"/>
                <w:szCs w:val="18"/>
                <w:lang w:eastAsia="en-IN"/>
              </w:rPr>
              <w:t>Cash flows</w:t>
            </w:r>
          </w:p>
        </w:tc>
        <w:tc>
          <w:tcPr>
            <w:tcW w:w="1249" w:type="dxa"/>
            <w:tcBorders>
              <w:top w:val="nil"/>
              <w:left w:val="nil"/>
              <w:bottom w:val="nil"/>
              <w:right w:val="nil"/>
            </w:tcBorders>
            <w:shd w:val="clear" w:color="auto" w:fill="auto"/>
            <w:vAlign w:val="center"/>
            <w:hideMark/>
          </w:tcPr>
          <w:p w14:paraId="5D3AF384" w14:textId="77777777" w:rsidR="000A2ED4" w:rsidRPr="00E70587" w:rsidRDefault="000A2ED4" w:rsidP="006C3B80">
            <w:pPr>
              <w:overflowPunct/>
              <w:autoSpaceDE/>
              <w:autoSpaceDN/>
              <w:adjustRightInd/>
              <w:spacing w:line="240" w:lineRule="auto"/>
              <w:textAlignment w:val="auto"/>
              <w:rPr>
                <w:rFonts w:ascii="Arial" w:hAnsi="Arial" w:cs="Calibri"/>
                <w:b/>
                <w:bCs/>
                <w:color w:val="000000"/>
                <w:sz w:val="16"/>
                <w:szCs w:val="18"/>
                <w:lang w:eastAsia="en-IN"/>
              </w:rPr>
            </w:pPr>
            <w:r w:rsidRPr="00E70587">
              <w:rPr>
                <w:rFonts w:ascii="Arial" w:hAnsi="Arial" w:cs="Calibri"/>
                <w:b/>
                <w:bCs/>
                <w:color w:val="000000"/>
                <w:sz w:val="16"/>
                <w:szCs w:val="18"/>
                <w:lang w:eastAsia="en-IN"/>
              </w:rPr>
              <w:t>Reclassified as part of disposal group</w:t>
            </w:r>
          </w:p>
        </w:tc>
        <w:tc>
          <w:tcPr>
            <w:tcW w:w="1203" w:type="dxa"/>
            <w:tcBorders>
              <w:top w:val="nil"/>
              <w:left w:val="nil"/>
              <w:bottom w:val="nil"/>
              <w:right w:val="nil"/>
            </w:tcBorders>
            <w:shd w:val="clear" w:color="auto" w:fill="auto"/>
            <w:vAlign w:val="center"/>
            <w:hideMark/>
          </w:tcPr>
          <w:p w14:paraId="399CE951" w14:textId="77777777" w:rsidR="000A2ED4" w:rsidRPr="00E70587" w:rsidRDefault="000A2ED4" w:rsidP="006C3B80">
            <w:pPr>
              <w:overflowPunct/>
              <w:autoSpaceDE/>
              <w:autoSpaceDN/>
              <w:adjustRightInd/>
              <w:spacing w:line="240" w:lineRule="auto"/>
              <w:textAlignment w:val="auto"/>
              <w:rPr>
                <w:rFonts w:ascii="Arial" w:hAnsi="Arial" w:cs="Calibri"/>
                <w:b/>
                <w:bCs/>
                <w:color w:val="000000"/>
                <w:sz w:val="16"/>
                <w:szCs w:val="18"/>
                <w:lang w:eastAsia="en-IN"/>
              </w:rPr>
            </w:pPr>
            <w:r w:rsidRPr="00E70587">
              <w:rPr>
                <w:rFonts w:ascii="Arial" w:hAnsi="Arial" w:cs="Calibri"/>
                <w:b/>
                <w:bCs/>
                <w:color w:val="000000"/>
                <w:sz w:val="16"/>
                <w:szCs w:val="18"/>
                <w:lang w:eastAsia="en-IN"/>
              </w:rPr>
              <w:t>Foreign exchange management</w:t>
            </w:r>
          </w:p>
        </w:tc>
        <w:tc>
          <w:tcPr>
            <w:tcW w:w="892" w:type="dxa"/>
            <w:tcBorders>
              <w:top w:val="nil"/>
              <w:left w:val="nil"/>
              <w:bottom w:val="nil"/>
              <w:right w:val="nil"/>
            </w:tcBorders>
            <w:shd w:val="clear" w:color="auto" w:fill="auto"/>
            <w:vAlign w:val="center"/>
            <w:hideMark/>
          </w:tcPr>
          <w:p w14:paraId="53AFA483" w14:textId="77777777" w:rsidR="000A2ED4" w:rsidRPr="00E70587" w:rsidRDefault="000A2ED4" w:rsidP="006C3B80">
            <w:pPr>
              <w:overflowPunct/>
              <w:autoSpaceDE/>
              <w:autoSpaceDN/>
              <w:adjustRightInd/>
              <w:spacing w:line="240" w:lineRule="auto"/>
              <w:textAlignment w:val="auto"/>
              <w:rPr>
                <w:rFonts w:ascii="Arial" w:hAnsi="Arial" w:cs="Calibri"/>
                <w:b/>
                <w:bCs/>
                <w:color w:val="000000"/>
                <w:sz w:val="16"/>
                <w:szCs w:val="18"/>
                <w:lang w:eastAsia="en-IN"/>
              </w:rPr>
            </w:pPr>
            <w:r w:rsidRPr="00E70587">
              <w:rPr>
                <w:rFonts w:ascii="Arial" w:hAnsi="Arial" w:cs="Calibri"/>
                <w:b/>
                <w:bCs/>
                <w:color w:val="000000"/>
                <w:sz w:val="16"/>
                <w:szCs w:val="18"/>
                <w:lang w:eastAsia="en-IN"/>
              </w:rPr>
              <w:t>Changes in fair values</w:t>
            </w:r>
          </w:p>
        </w:tc>
        <w:tc>
          <w:tcPr>
            <w:tcW w:w="800" w:type="dxa"/>
            <w:tcBorders>
              <w:top w:val="nil"/>
              <w:left w:val="nil"/>
              <w:bottom w:val="nil"/>
              <w:right w:val="nil"/>
            </w:tcBorders>
            <w:shd w:val="clear" w:color="auto" w:fill="auto"/>
            <w:vAlign w:val="center"/>
            <w:hideMark/>
          </w:tcPr>
          <w:p w14:paraId="14471880" w14:textId="77777777" w:rsidR="000A2ED4" w:rsidRPr="00E70587" w:rsidRDefault="000A2ED4" w:rsidP="006C3B80">
            <w:pPr>
              <w:overflowPunct/>
              <w:autoSpaceDE/>
              <w:autoSpaceDN/>
              <w:adjustRightInd/>
              <w:spacing w:line="240" w:lineRule="auto"/>
              <w:textAlignment w:val="auto"/>
              <w:rPr>
                <w:rFonts w:ascii="Arial" w:hAnsi="Arial" w:cs="Calibri"/>
                <w:b/>
                <w:bCs/>
                <w:color w:val="000000"/>
                <w:sz w:val="16"/>
                <w:szCs w:val="18"/>
                <w:lang w:eastAsia="en-IN"/>
              </w:rPr>
            </w:pPr>
            <w:r w:rsidRPr="00E70587">
              <w:rPr>
                <w:rFonts w:ascii="Arial" w:hAnsi="Arial" w:cs="Calibri"/>
                <w:b/>
                <w:bCs/>
                <w:color w:val="000000"/>
                <w:sz w:val="16"/>
                <w:szCs w:val="18"/>
                <w:lang w:eastAsia="en-IN"/>
              </w:rPr>
              <w:t>New leases</w:t>
            </w:r>
          </w:p>
        </w:tc>
        <w:tc>
          <w:tcPr>
            <w:tcW w:w="959" w:type="dxa"/>
            <w:tcBorders>
              <w:top w:val="nil"/>
              <w:left w:val="nil"/>
              <w:bottom w:val="nil"/>
              <w:right w:val="nil"/>
            </w:tcBorders>
            <w:shd w:val="clear" w:color="auto" w:fill="auto"/>
            <w:vAlign w:val="center"/>
            <w:hideMark/>
          </w:tcPr>
          <w:p w14:paraId="068390FD" w14:textId="77777777" w:rsidR="000A2ED4" w:rsidRPr="00E70587" w:rsidRDefault="000A2ED4" w:rsidP="006C3B80">
            <w:pPr>
              <w:overflowPunct/>
              <w:autoSpaceDE/>
              <w:autoSpaceDN/>
              <w:adjustRightInd/>
              <w:spacing w:line="240" w:lineRule="auto"/>
              <w:textAlignment w:val="auto"/>
              <w:rPr>
                <w:rFonts w:ascii="Arial" w:hAnsi="Arial" w:cs="Calibri"/>
                <w:b/>
                <w:bCs/>
                <w:color w:val="000000"/>
                <w:sz w:val="16"/>
                <w:szCs w:val="18"/>
                <w:lang w:eastAsia="en-IN"/>
              </w:rPr>
            </w:pPr>
            <w:r w:rsidRPr="00E70587">
              <w:rPr>
                <w:rFonts w:ascii="Arial" w:hAnsi="Arial" w:cs="Calibri"/>
                <w:b/>
                <w:bCs/>
                <w:color w:val="000000"/>
                <w:sz w:val="16"/>
                <w:szCs w:val="18"/>
                <w:lang w:eastAsia="en-IN"/>
              </w:rPr>
              <w:t>Other</w:t>
            </w:r>
          </w:p>
        </w:tc>
        <w:tc>
          <w:tcPr>
            <w:tcW w:w="900" w:type="dxa"/>
            <w:tcBorders>
              <w:top w:val="nil"/>
              <w:left w:val="nil"/>
              <w:bottom w:val="nil"/>
              <w:right w:val="nil"/>
            </w:tcBorders>
            <w:shd w:val="clear" w:color="auto" w:fill="auto"/>
            <w:vAlign w:val="center"/>
            <w:hideMark/>
          </w:tcPr>
          <w:p w14:paraId="005DED04" w14:textId="711E277E" w:rsidR="000A2ED4" w:rsidRPr="00E70587" w:rsidRDefault="000A2ED4" w:rsidP="00D5134A">
            <w:pPr>
              <w:overflowPunct/>
              <w:autoSpaceDE/>
              <w:autoSpaceDN/>
              <w:adjustRightInd/>
              <w:spacing w:line="240" w:lineRule="auto"/>
              <w:jc w:val="right"/>
              <w:textAlignment w:val="auto"/>
              <w:rPr>
                <w:rFonts w:ascii="Arial" w:hAnsi="Arial" w:cs="Calibri"/>
                <w:b/>
                <w:bCs/>
                <w:color w:val="000000"/>
                <w:sz w:val="16"/>
                <w:szCs w:val="18"/>
                <w:lang w:eastAsia="en-IN"/>
              </w:rPr>
            </w:pPr>
            <w:r w:rsidRPr="00E70587">
              <w:rPr>
                <w:rFonts w:ascii="Arial" w:hAnsi="Arial" w:cs="Calibri"/>
                <w:b/>
                <w:bCs/>
                <w:color w:val="000000"/>
                <w:sz w:val="16"/>
                <w:szCs w:val="18"/>
                <w:lang w:eastAsia="en-IN"/>
              </w:rPr>
              <w:t>31-Mar-</w:t>
            </w:r>
            <w:r w:rsidR="00FB55E1">
              <w:rPr>
                <w:rFonts w:ascii="Arial" w:hAnsi="Arial" w:cs="Calibri"/>
                <w:b/>
                <w:bCs/>
                <w:color w:val="000000"/>
                <w:sz w:val="16"/>
                <w:szCs w:val="18"/>
                <w:lang w:eastAsia="en-IN"/>
              </w:rPr>
              <w:t>20</w:t>
            </w:r>
          </w:p>
        </w:tc>
      </w:tr>
      <w:tr w:rsidR="000A2ED4" w:rsidRPr="00E70587" w14:paraId="206FFD4E" w14:textId="77777777" w:rsidTr="00BB6300">
        <w:trPr>
          <w:trHeight w:val="300"/>
        </w:trPr>
        <w:tc>
          <w:tcPr>
            <w:tcW w:w="1612" w:type="dxa"/>
            <w:tcBorders>
              <w:top w:val="nil"/>
              <w:left w:val="nil"/>
              <w:bottom w:val="nil"/>
              <w:right w:val="nil"/>
            </w:tcBorders>
            <w:shd w:val="clear" w:color="auto" w:fill="auto"/>
            <w:vAlign w:val="center"/>
            <w:hideMark/>
          </w:tcPr>
          <w:p w14:paraId="5C52F527" w14:textId="77777777" w:rsidR="000A2ED4" w:rsidRPr="00E70587" w:rsidRDefault="000A2ED4" w:rsidP="006C3B80">
            <w:pPr>
              <w:overflowPunct/>
              <w:autoSpaceDE/>
              <w:autoSpaceDN/>
              <w:adjustRightInd/>
              <w:spacing w:line="240" w:lineRule="auto"/>
              <w:jc w:val="right"/>
              <w:textAlignment w:val="auto"/>
              <w:rPr>
                <w:rFonts w:cs="Calibri"/>
                <w:color w:val="000000"/>
                <w:sz w:val="16"/>
                <w:szCs w:val="12"/>
                <w:lang w:eastAsia="en-IN"/>
              </w:rPr>
            </w:pPr>
          </w:p>
        </w:tc>
        <w:tc>
          <w:tcPr>
            <w:tcW w:w="813" w:type="dxa"/>
            <w:tcBorders>
              <w:top w:val="nil"/>
              <w:left w:val="nil"/>
              <w:bottom w:val="nil"/>
              <w:right w:val="nil"/>
            </w:tcBorders>
            <w:shd w:val="clear" w:color="auto" w:fill="auto"/>
            <w:vAlign w:val="center"/>
            <w:hideMark/>
          </w:tcPr>
          <w:p w14:paraId="7593B3E7" w14:textId="77777777" w:rsidR="000A2ED4" w:rsidRPr="00E70587" w:rsidRDefault="000A2ED4" w:rsidP="006C3B80">
            <w:pPr>
              <w:overflowPunct/>
              <w:autoSpaceDE/>
              <w:autoSpaceDN/>
              <w:adjustRightInd/>
              <w:spacing w:line="240" w:lineRule="auto"/>
              <w:textAlignment w:val="auto"/>
              <w:rPr>
                <w:rFonts w:cs="Calibri"/>
                <w:color w:val="000000"/>
                <w:sz w:val="16"/>
                <w:szCs w:val="18"/>
                <w:lang w:eastAsia="en-IN"/>
              </w:rPr>
            </w:pPr>
            <w:r w:rsidRPr="00E70587">
              <w:rPr>
                <w:rFonts w:ascii="Arial" w:hAnsi="Arial" w:cs="Calibri"/>
                <w:color w:val="000000"/>
                <w:sz w:val="16"/>
                <w:szCs w:val="18"/>
                <w:lang w:eastAsia="en-IN"/>
              </w:rPr>
              <w:t>INR lacs</w:t>
            </w:r>
          </w:p>
        </w:tc>
        <w:tc>
          <w:tcPr>
            <w:tcW w:w="914" w:type="dxa"/>
            <w:tcBorders>
              <w:top w:val="nil"/>
              <w:left w:val="nil"/>
              <w:bottom w:val="nil"/>
              <w:right w:val="nil"/>
            </w:tcBorders>
            <w:shd w:val="clear" w:color="auto" w:fill="auto"/>
            <w:vAlign w:val="center"/>
            <w:hideMark/>
          </w:tcPr>
          <w:p w14:paraId="3E69A3D9" w14:textId="77777777" w:rsidR="000A2ED4" w:rsidRPr="00E70587" w:rsidRDefault="000A2ED4" w:rsidP="006C3B80">
            <w:pPr>
              <w:overflowPunct/>
              <w:autoSpaceDE/>
              <w:autoSpaceDN/>
              <w:adjustRightInd/>
              <w:spacing w:line="240" w:lineRule="auto"/>
              <w:textAlignment w:val="auto"/>
              <w:rPr>
                <w:rFonts w:cs="Calibri"/>
                <w:color w:val="000000"/>
                <w:sz w:val="16"/>
                <w:szCs w:val="18"/>
                <w:lang w:eastAsia="en-IN"/>
              </w:rPr>
            </w:pPr>
            <w:r w:rsidRPr="00E70587">
              <w:rPr>
                <w:rFonts w:ascii="Arial" w:hAnsi="Arial" w:cs="Calibri"/>
                <w:color w:val="000000"/>
                <w:sz w:val="16"/>
                <w:szCs w:val="18"/>
                <w:lang w:eastAsia="en-IN"/>
              </w:rPr>
              <w:t>INR lacs</w:t>
            </w:r>
          </w:p>
        </w:tc>
        <w:tc>
          <w:tcPr>
            <w:tcW w:w="1249" w:type="dxa"/>
            <w:tcBorders>
              <w:top w:val="nil"/>
              <w:left w:val="nil"/>
              <w:bottom w:val="nil"/>
              <w:right w:val="nil"/>
            </w:tcBorders>
            <w:shd w:val="clear" w:color="auto" w:fill="auto"/>
            <w:vAlign w:val="center"/>
            <w:hideMark/>
          </w:tcPr>
          <w:p w14:paraId="75BF8A47" w14:textId="77777777" w:rsidR="000A2ED4" w:rsidRPr="00E70587" w:rsidRDefault="000A2ED4" w:rsidP="006C3B80">
            <w:pPr>
              <w:overflowPunct/>
              <w:autoSpaceDE/>
              <w:autoSpaceDN/>
              <w:adjustRightInd/>
              <w:spacing w:line="240" w:lineRule="auto"/>
              <w:textAlignment w:val="auto"/>
              <w:rPr>
                <w:rFonts w:cs="Calibri"/>
                <w:color w:val="000000"/>
                <w:sz w:val="16"/>
                <w:szCs w:val="18"/>
                <w:lang w:eastAsia="en-IN"/>
              </w:rPr>
            </w:pPr>
            <w:r w:rsidRPr="00E70587">
              <w:rPr>
                <w:rFonts w:ascii="Arial" w:hAnsi="Arial" w:cs="Calibri"/>
                <w:color w:val="000000"/>
                <w:sz w:val="16"/>
                <w:szCs w:val="18"/>
                <w:lang w:eastAsia="en-IN"/>
              </w:rPr>
              <w:t>INR lacs</w:t>
            </w:r>
          </w:p>
        </w:tc>
        <w:tc>
          <w:tcPr>
            <w:tcW w:w="1203" w:type="dxa"/>
            <w:tcBorders>
              <w:top w:val="nil"/>
              <w:left w:val="nil"/>
              <w:bottom w:val="nil"/>
              <w:right w:val="nil"/>
            </w:tcBorders>
            <w:shd w:val="clear" w:color="auto" w:fill="auto"/>
            <w:vAlign w:val="center"/>
            <w:hideMark/>
          </w:tcPr>
          <w:p w14:paraId="5028CCD0" w14:textId="77777777" w:rsidR="000A2ED4" w:rsidRPr="00E70587" w:rsidRDefault="000A2ED4" w:rsidP="006C3B80">
            <w:pPr>
              <w:overflowPunct/>
              <w:autoSpaceDE/>
              <w:autoSpaceDN/>
              <w:adjustRightInd/>
              <w:spacing w:line="240" w:lineRule="auto"/>
              <w:textAlignment w:val="auto"/>
              <w:rPr>
                <w:rFonts w:cs="Calibri"/>
                <w:color w:val="000000"/>
                <w:sz w:val="16"/>
                <w:szCs w:val="18"/>
                <w:lang w:eastAsia="en-IN"/>
              </w:rPr>
            </w:pPr>
            <w:r w:rsidRPr="00E70587">
              <w:rPr>
                <w:rFonts w:ascii="Arial" w:hAnsi="Arial" w:cs="Calibri"/>
                <w:color w:val="000000"/>
                <w:sz w:val="16"/>
                <w:szCs w:val="18"/>
                <w:lang w:eastAsia="en-IN"/>
              </w:rPr>
              <w:t>INR lacs</w:t>
            </w:r>
          </w:p>
        </w:tc>
        <w:tc>
          <w:tcPr>
            <w:tcW w:w="892" w:type="dxa"/>
            <w:tcBorders>
              <w:top w:val="nil"/>
              <w:left w:val="nil"/>
              <w:bottom w:val="nil"/>
              <w:right w:val="nil"/>
            </w:tcBorders>
            <w:shd w:val="clear" w:color="auto" w:fill="auto"/>
            <w:vAlign w:val="center"/>
            <w:hideMark/>
          </w:tcPr>
          <w:p w14:paraId="48462DB1" w14:textId="77777777" w:rsidR="000A2ED4" w:rsidRPr="00E70587" w:rsidRDefault="000A2ED4" w:rsidP="006C3B80">
            <w:pPr>
              <w:overflowPunct/>
              <w:autoSpaceDE/>
              <w:autoSpaceDN/>
              <w:adjustRightInd/>
              <w:spacing w:line="240" w:lineRule="auto"/>
              <w:textAlignment w:val="auto"/>
              <w:rPr>
                <w:rFonts w:cs="Calibri"/>
                <w:color w:val="000000"/>
                <w:sz w:val="16"/>
                <w:szCs w:val="18"/>
                <w:lang w:eastAsia="en-IN"/>
              </w:rPr>
            </w:pPr>
            <w:r w:rsidRPr="00E70587">
              <w:rPr>
                <w:rFonts w:ascii="Arial" w:hAnsi="Arial" w:cs="Calibri"/>
                <w:color w:val="000000"/>
                <w:sz w:val="16"/>
                <w:szCs w:val="18"/>
                <w:lang w:eastAsia="en-IN"/>
              </w:rPr>
              <w:t>INR lacs</w:t>
            </w:r>
          </w:p>
        </w:tc>
        <w:tc>
          <w:tcPr>
            <w:tcW w:w="800" w:type="dxa"/>
            <w:tcBorders>
              <w:top w:val="nil"/>
              <w:left w:val="nil"/>
              <w:bottom w:val="nil"/>
              <w:right w:val="nil"/>
            </w:tcBorders>
            <w:shd w:val="clear" w:color="auto" w:fill="auto"/>
            <w:vAlign w:val="center"/>
            <w:hideMark/>
          </w:tcPr>
          <w:p w14:paraId="4753A8E1" w14:textId="77777777" w:rsidR="000A2ED4" w:rsidRPr="00E70587" w:rsidRDefault="000A2ED4" w:rsidP="006C3B80">
            <w:pPr>
              <w:overflowPunct/>
              <w:autoSpaceDE/>
              <w:autoSpaceDN/>
              <w:adjustRightInd/>
              <w:spacing w:line="240" w:lineRule="auto"/>
              <w:textAlignment w:val="auto"/>
              <w:rPr>
                <w:rFonts w:cs="Calibri"/>
                <w:color w:val="000000"/>
                <w:sz w:val="16"/>
                <w:szCs w:val="18"/>
                <w:lang w:eastAsia="en-IN"/>
              </w:rPr>
            </w:pPr>
            <w:r w:rsidRPr="00E70587">
              <w:rPr>
                <w:rFonts w:ascii="Arial" w:hAnsi="Arial" w:cs="Calibri"/>
                <w:color w:val="000000"/>
                <w:sz w:val="16"/>
                <w:szCs w:val="18"/>
                <w:lang w:eastAsia="en-IN"/>
              </w:rPr>
              <w:t>INR lacs</w:t>
            </w:r>
          </w:p>
        </w:tc>
        <w:tc>
          <w:tcPr>
            <w:tcW w:w="959" w:type="dxa"/>
            <w:tcBorders>
              <w:top w:val="nil"/>
              <w:left w:val="nil"/>
              <w:bottom w:val="nil"/>
              <w:right w:val="nil"/>
            </w:tcBorders>
            <w:shd w:val="clear" w:color="auto" w:fill="auto"/>
            <w:vAlign w:val="center"/>
            <w:hideMark/>
          </w:tcPr>
          <w:p w14:paraId="6F82A7D0" w14:textId="77777777" w:rsidR="000A2ED4" w:rsidRPr="00E70587" w:rsidRDefault="000A2ED4" w:rsidP="006C3B80">
            <w:pPr>
              <w:overflowPunct/>
              <w:autoSpaceDE/>
              <w:autoSpaceDN/>
              <w:adjustRightInd/>
              <w:spacing w:line="240" w:lineRule="auto"/>
              <w:textAlignment w:val="auto"/>
              <w:rPr>
                <w:rFonts w:cs="Calibri"/>
                <w:color w:val="000000"/>
                <w:sz w:val="16"/>
                <w:szCs w:val="18"/>
                <w:lang w:eastAsia="en-IN"/>
              </w:rPr>
            </w:pPr>
            <w:r w:rsidRPr="00E70587">
              <w:rPr>
                <w:rFonts w:ascii="Arial" w:hAnsi="Arial" w:cs="Calibri"/>
                <w:color w:val="000000"/>
                <w:sz w:val="16"/>
                <w:szCs w:val="18"/>
                <w:lang w:eastAsia="en-IN"/>
              </w:rPr>
              <w:t>INR lacs</w:t>
            </w:r>
          </w:p>
        </w:tc>
        <w:tc>
          <w:tcPr>
            <w:tcW w:w="900" w:type="dxa"/>
            <w:tcBorders>
              <w:top w:val="nil"/>
              <w:left w:val="nil"/>
              <w:bottom w:val="nil"/>
              <w:right w:val="nil"/>
            </w:tcBorders>
            <w:shd w:val="clear" w:color="auto" w:fill="auto"/>
            <w:vAlign w:val="center"/>
            <w:hideMark/>
          </w:tcPr>
          <w:p w14:paraId="026CBBDF" w14:textId="77777777" w:rsidR="000A2ED4" w:rsidRPr="00E70587" w:rsidRDefault="000A2ED4" w:rsidP="006C3B80">
            <w:pPr>
              <w:overflowPunct/>
              <w:autoSpaceDE/>
              <w:autoSpaceDN/>
              <w:adjustRightInd/>
              <w:spacing w:line="240" w:lineRule="auto"/>
              <w:textAlignment w:val="auto"/>
              <w:rPr>
                <w:rFonts w:cs="Calibri"/>
                <w:color w:val="000000"/>
                <w:sz w:val="16"/>
                <w:szCs w:val="18"/>
                <w:lang w:eastAsia="en-IN"/>
              </w:rPr>
            </w:pPr>
            <w:r w:rsidRPr="00E70587">
              <w:rPr>
                <w:rFonts w:ascii="Arial" w:hAnsi="Arial" w:cs="Calibri"/>
                <w:color w:val="000000"/>
                <w:sz w:val="16"/>
                <w:szCs w:val="18"/>
                <w:lang w:eastAsia="en-IN"/>
              </w:rPr>
              <w:t>INR lacs</w:t>
            </w:r>
          </w:p>
        </w:tc>
      </w:tr>
      <w:tr w:rsidR="000A2ED4" w:rsidRPr="00E70587" w14:paraId="25E1B456" w14:textId="77777777" w:rsidTr="00BB6300">
        <w:trPr>
          <w:trHeight w:val="300"/>
        </w:trPr>
        <w:tc>
          <w:tcPr>
            <w:tcW w:w="1612" w:type="dxa"/>
            <w:tcBorders>
              <w:top w:val="nil"/>
              <w:left w:val="nil"/>
              <w:bottom w:val="nil"/>
              <w:right w:val="nil"/>
            </w:tcBorders>
            <w:shd w:val="clear" w:color="auto" w:fill="auto"/>
            <w:vAlign w:val="center"/>
            <w:hideMark/>
          </w:tcPr>
          <w:p w14:paraId="03556206" w14:textId="77777777" w:rsidR="000A2ED4" w:rsidRPr="00E70587" w:rsidRDefault="000A2ED4" w:rsidP="006C3B80">
            <w:pPr>
              <w:overflowPunct/>
              <w:autoSpaceDE/>
              <w:autoSpaceDN/>
              <w:adjustRightInd/>
              <w:spacing w:line="240" w:lineRule="auto"/>
              <w:textAlignment w:val="auto"/>
              <w:rPr>
                <w:rFonts w:ascii="Arial" w:hAnsi="Arial" w:cs="Calibri"/>
                <w:color w:val="000000"/>
                <w:szCs w:val="18"/>
                <w:lang w:eastAsia="en-IN"/>
              </w:rPr>
            </w:pPr>
            <w:r w:rsidRPr="00E70587">
              <w:rPr>
                <w:rFonts w:ascii="Arial" w:hAnsi="Arial" w:cs="Calibri"/>
                <w:color w:val="000000"/>
                <w:szCs w:val="18"/>
                <w:lang w:eastAsia="en-IN"/>
              </w:rPr>
              <w:t xml:space="preserve">Current borrowings </w:t>
            </w:r>
            <w:r w:rsidRPr="00E70587">
              <w:rPr>
                <w:rFonts w:ascii="Arial" w:hAnsi="Arial" w:cs="Calibri"/>
                <w:color w:val="000000"/>
                <w:szCs w:val="18"/>
                <w:lang w:eastAsia="en-IN"/>
              </w:rPr>
              <w:lastRenderedPageBreak/>
              <w:t>(excluding items listed below)</w:t>
            </w:r>
          </w:p>
        </w:tc>
        <w:tc>
          <w:tcPr>
            <w:tcW w:w="813" w:type="dxa"/>
            <w:tcBorders>
              <w:top w:val="nil"/>
              <w:left w:val="nil"/>
              <w:bottom w:val="nil"/>
              <w:right w:val="nil"/>
            </w:tcBorders>
            <w:shd w:val="clear" w:color="auto" w:fill="auto"/>
            <w:vAlign w:val="center"/>
            <w:hideMark/>
          </w:tcPr>
          <w:p w14:paraId="7D9E2BA2" w14:textId="77777777" w:rsidR="000A2ED4" w:rsidRPr="00E70587" w:rsidRDefault="000A2ED4" w:rsidP="006C3B80">
            <w:pPr>
              <w:overflowPunct/>
              <w:autoSpaceDE/>
              <w:autoSpaceDN/>
              <w:adjustRightInd/>
              <w:spacing w:line="240" w:lineRule="auto"/>
              <w:jc w:val="right"/>
              <w:textAlignment w:val="auto"/>
              <w:rPr>
                <w:rFonts w:ascii="Arial" w:hAnsi="Arial" w:cs="Calibri"/>
                <w:b/>
                <w:bCs/>
                <w:color w:val="000000"/>
                <w:szCs w:val="18"/>
                <w:lang w:eastAsia="en-IN"/>
              </w:rPr>
            </w:pPr>
            <w:r w:rsidRPr="00E70587">
              <w:rPr>
                <w:rFonts w:ascii="Arial" w:hAnsi="Arial" w:cs="Calibri"/>
                <w:b/>
                <w:bCs/>
                <w:color w:val="000000"/>
                <w:szCs w:val="18"/>
                <w:lang w:eastAsia="en-IN"/>
              </w:rPr>
              <w:lastRenderedPageBreak/>
              <w:t>8,125</w:t>
            </w:r>
          </w:p>
        </w:tc>
        <w:tc>
          <w:tcPr>
            <w:tcW w:w="914" w:type="dxa"/>
            <w:tcBorders>
              <w:top w:val="nil"/>
              <w:left w:val="nil"/>
              <w:bottom w:val="nil"/>
              <w:right w:val="nil"/>
            </w:tcBorders>
            <w:shd w:val="clear" w:color="auto" w:fill="auto"/>
            <w:noWrap/>
            <w:vAlign w:val="center"/>
            <w:hideMark/>
          </w:tcPr>
          <w:p w14:paraId="37FCF38B"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(5,483) </w:t>
            </w:r>
          </w:p>
        </w:tc>
        <w:tc>
          <w:tcPr>
            <w:tcW w:w="1249" w:type="dxa"/>
            <w:tcBorders>
              <w:top w:val="nil"/>
              <w:left w:val="nil"/>
              <w:bottom w:val="nil"/>
              <w:right w:val="nil"/>
            </w:tcBorders>
            <w:shd w:val="clear" w:color="auto" w:fill="auto"/>
            <w:noWrap/>
            <w:vAlign w:val="center"/>
            <w:hideMark/>
          </w:tcPr>
          <w:p w14:paraId="7E17F87B"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 </w:t>
            </w:r>
          </w:p>
        </w:tc>
        <w:tc>
          <w:tcPr>
            <w:tcW w:w="1203" w:type="dxa"/>
            <w:tcBorders>
              <w:top w:val="nil"/>
              <w:left w:val="nil"/>
              <w:bottom w:val="nil"/>
              <w:right w:val="nil"/>
            </w:tcBorders>
            <w:shd w:val="clear" w:color="auto" w:fill="auto"/>
            <w:noWrap/>
            <w:vAlign w:val="center"/>
            <w:hideMark/>
          </w:tcPr>
          <w:p w14:paraId="78A4707B"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7 </w:t>
            </w:r>
          </w:p>
        </w:tc>
        <w:tc>
          <w:tcPr>
            <w:tcW w:w="892" w:type="dxa"/>
            <w:tcBorders>
              <w:top w:val="nil"/>
              <w:left w:val="nil"/>
              <w:bottom w:val="nil"/>
              <w:right w:val="nil"/>
            </w:tcBorders>
            <w:shd w:val="clear" w:color="auto" w:fill="auto"/>
            <w:noWrap/>
            <w:vAlign w:val="center"/>
            <w:hideMark/>
          </w:tcPr>
          <w:p w14:paraId="577C0ACE"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 </w:t>
            </w:r>
          </w:p>
        </w:tc>
        <w:tc>
          <w:tcPr>
            <w:tcW w:w="800" w:type="dxa"/>
            <w:tcBorders>
              <w:top w:val="nil"/>
              <w:left w:val="nil"/>
              <w:bottom w:val="nil"/>
              <w:right w:val="nil"/>
            </w:tcBorders>
            <w:shd w:val="clear" w:color="auto" w:fill="auto"/>
            <w:noWrap/>
            <w:vAlign w:val="center"/>
            <w:hideMark/>
          </w:tcPr>
          <w:p w14:paraId="4CB75EDF"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 </w:t>
            </w:r>
          </w:p>
        </w:tc>
        <w:tc>
          <w:tcPr>
            <w:tcW w:w="959" w:type="dxa"/>
            <w:tcBorders>
              <w:top w:val="nil"/>
              <w:left w:val="nil"/>
              <w:bottom w:val="nil"/>
              <w:right w:val="nil"/>
            </w:tcBorders>
            <w:shd w:val="clear" w:color="auto" w:fill="auto"/>
            <w:noWrap/>
            <w:vAlign w:val="center"/>
            <w:hideMark/>
          </w:tcPr>
          <w:p w14:paraId="31BF6947"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2,254 </w:t>
            </w:r>
          </w:p>
        </w:tc>
        <w:tc>
          <w:tcPr>
            <w:tcW w:w="900" w:type="dxa"/>
            <w:tcBorders>
              <w:top w:val="nil"/>
              <w:left w:val="nil"/>
              <w:bottom w:val="nil"/>
              <w:right w:val="nil"/>
            </w:tcBorders>
            <w:shd w:val="clear" w:color="auto" w:fill="auto"/>
            <w:vAlign w:val="center"/>
            <w:hideMark/>
          </w:tcPr>
          <w:p w14:paraId="1736A196" w14:textId="77777777" w:rsidR="000A2ED4" w:rsidRPr="00E70587" w:rsidRDefault="000A2ED4" w:rsidP="006C3B80">
            <w:pPr>
              <w:overflowPunct/>
              <w:autoSpaceDE/>
              <w:autoSpaceDN/>
              <w:adjustRightInd/>
              <w:spacing w:line="240" w:lineRule="auto"/>
              <w:jc w:val="right"/>
              <w:textAlignment w:val="auto"/>
              <w:rPr>
                <w:rFonts w:ascii="Arial" w:hAnsi="Arial" w:cs="Calibri"/>
                <w:b/>
                <w:bCs/>
                <w:color w:val="000000"/>
                <w:szCs w:val="18"/>
                <w:lang w:eastAsia="en-IN"/>
              </w:rPr>
            </w:pPr>
            <w:r w:rsidRPr="00E70587">
              <w:rPr>
                <w:rFonts w:ascii="Arial" w:hAnsi="Arial" w:cs="Calibri"/>
                <w:b/>
                <w:bCs/>
                <w:color w:val="000000"/>
                <w:szCs w:val="18"/>
                <w:lang w:eastAsia="en-IN"/>
              </w:rPr>
              <w:t>4,903</w:t>
            </w:r>
          </w:p>
        </w:tc>
      </w:tr>
      <w:tr w:rsidR="000A2ED4" w:rsidRPr="00E70587" w14:paraId="05E5E85A" w14:textId="77777777" w:rsidTr="00BB6300">
        <w:trPr>
          <w:trHeight w:val="540"/>
        </w:trPr>
        <w:tc>
          <w:tcPr>
            <w:tcW w:w="1612" w:type="dxa"/>
            <w:tcBorders>
              <w:top w:val="nil"/>
              <w:left w:val="nil"/>
              <w:bottom w:val="nil"/>
              <w:right w:val="nil"/>
            </w:tcBorders>
            <w:shd w:val="clear" w:color="auto" w:fill="auto"/>
            <w:vAlign w:val="center"/>
            <w:hideMark/>
          </w:tcPr>
          <w:p w14:paraId="5ED00D99" w14:textId="5B76FDA8" w:rsidR="000A2ED4" w:rsidRPr="00E70587" w:rsidRDefault="000A2ED4" w:rsidP="006C3B80">
            <w:pPr>
              <w:overflowPunct/>
              <w:autoSpaceDE/>
              <w:autoSpaceDN/>
              <w:adjustRightInd/>
              <w:spacing w:line="240" w:lineRule="auto"/>
              <w:textAlignment w:val="auto"/>
              <w:rPr>
                <w:rFonts w:ascii="Arial" w:hAnsi="Arial" w:cs="Calibri"/>
                <w:color w:val="000000"/>
                <w:szCs w:val="18"/>
                <w:lang w:eastAsia="en-IN"/>
              </w:rPr>
            </w:pPr>
            <w:r w:rsidRPr="00E70587">
              <w:rPr>
                <w:rFonts w:ascii="Arial" w:hAnsi="Arial" w:cs="Calibri"/>
                <w:color w:val="000000"/>
                <w:szCs w:val="18"/>
                <w:lang w:eastAsia="en-IN"/>
              </w:rPr>
              <w:t>Current lease</w:t>
            </w:r>
            <w:r w:rsidR="005E0F4B">
              <w:rPr>
                <w:rFonts w:ascii="Arial" w:hAnsi="Arial" w:cs="Calibri"/>
                <w:color w:val="000000"/>
                <w:szCs w:val="18"/>
                <w:lang w:eastAsia="en-IN"/>
              </w:rPr>
              <w:t xml:space="preserve"> liabilities</w:t>
            </w:r>
          </w:p>
        </w:tc>
        <w:tc>
          <w:tcPr>
            <w:tcW w:w="813" w:type="dxa"/>
            <w:tcBorders>
              <w:top w:val="nil"/>
              <w:left w:val="nil"/>
              <w:bottom w:val="nil"/>
              <w:right w:val="nil"/>
            </w:tcBorders>
            <w:shd w:val="clear" w:color="auto" w:fill="auto"/>
            <w:vAlign w:val="center"/>
            <w:hideMark/>
          </w:tcPr>
          <w:p w14:paraId="6EA695EC" w14:textId="7EEDF03E" w:rsidR="000A2ED4" w:rsidRPr="00E70587" w:rsidRDefault="00715D0C" w:rsidP="006C3B80">
            <w:pPr>
              <w:overflowPunct/>
              <w:autoSpaceDE/>
              <w:autoSpaceDN/>
              <w:adjustRightInd/>
              <w:spacing w:line="240" w:lineRule="auto"/>
              <w:jc w:val="right"/>
              <w:textAlignment w:val="auto"/>
              <w:rPr>
                <w:rFonts w:ascii="Arial" w:hAnsi="Arial" w:cs="Calibri"/>
                <w:b/>
                <w:bCs/>
                <w:color w:val="000000"/>
                <w:szCs w:val="18"/>
                <w:lang w:eastAsia="en-IN"/>
              </w:rPr>
            </w:pPr>
            <w:r>
              <w:rPr>
                <w:rFonts w:ascii="Arial" w:hAnsi="Arial" w:cs="Calibri"/>
                <w:b/>
                <w:bCs/>
                <w:color w:val="000000"/>
                <w:szCs w:val="18"/>
                <w:lang w:eastAsia="en-IN"/>
              </w:rPr>
              <w:t>639</w:t>
            </w:r>
          </w:p>
        </w:tc>
        <w:tc>
          <w:tcPr>
            <w:tcW w:w="914" w:type="dxa"/>
            <w:tcBorders>
              <w:top w:val="nil"/>
              <w:left w:val="nil"/>
              <w:bottom w:val="nil"/>
              <w:right w:val="nil"/>
            </w:tcBorders>
            <w:shd w:val="clear" w:color="auto" w:fill="auto"/>
            <w:noWrap/>
            <w:vAlign w:val="center"/>
            <w:hideMark/>
          </w:tcPr>
          <w:p w14:paraId="07D27BCB" w14:textId="09266F0A"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w:t>
            </w:r>
            <w:r w:rsidR="00715D0C">
              <w:rPr>
                <w:rFonts w:ascii="Arial" w:hAnsi="Arial" w:cs="Calibri"/>
                <w:color w:val="000000"/>
                <w:szCs w:val="18"/>
                <w:lang w:eastAsia="en-IN"/>
              </w:rPr>
              <w:t>614</w:t>
            </w:r>
            <w:r w:rsidRPr="00E70587">
              <w:rPr>
                <w:rFonts w:ascii="Arial" w:hAnsi="Arial" w:cs="Calibri"/>
                <w:color w:val="000000"/>
                <w:szCs w:val="18"/>
                <w:lang w:eastAsia="en-IN"/>
              </w:rPr>
              <w:t xml:space="preserve">) </w:t>
            </w:r>
          </w:p>
        </w:tc>
        <w:tc>
          <w:tcPr>
            <w:tcW w:w="1249" w:type="dxa"/>
            <w:tcBorders>
              <w:top w:val="nil"/>
              <w:left w:val="nil"/>
              <w:bottom w:val="nil"/>
              <w:right w:val="nil"/>
            </w:tcBorders>
            <w:shd w:val="clear" w:color="auto" w:fill="auto"/>
            <w:noWrap/>
            <w:vAlign w:val="center"/>
            <w:hideMark/>
          </w:tcPr>
          <w:p w14:paraId="30E3D45E"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 </w:t>
            </w:r>
          </w:p>
        </w:tc>
        <w:tc>
          <w:tcPr>
            <w:tcW w:w="1203" w:type="dxa"/>
            <w:tcBorders>
              <w:top w:val="nil"/>
              <w:left w:val="nil"/>
              <w:bottom w:val="nil"/>
              <w:right w:val="nil"/>
            </w:tcBorders>
            <w:shd w:val="clear" w:color="auto" w:fill="auto"/>
            <w:noWrap/>
            <w:vAlign w:val="center"/>
            <w:hideMark/>
          </w:tcPr>
          <w:p w14:paraId="2F56E7C7"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 </w:t>
            </w:r>
          </w:p>
        </w:tc>
        <w:tc>
          <w:tcPr>
            <w:tcW w:w="892" w:type="dxa"/>
            <w:tcBorders>
              <w:top w:val="nil"/>
              <w:left w:val="nil"/>
              <w:bottom w:val="nil"/>
              <w:right w:val="nil"/>
            </w:tcBorders>
            <w:shd w:val="clear" w:color="auto" w:fill="auto"/>
            <w:noWrap/>
            <w:vAlign w:val="center"/>
            <w:hideMark/>
          </w:tcPr>
          <w:p w14:paraId="340677AA"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 </w:t>
            </w:r>
          </w:p>
        </w:tc>
        <w:tc>
          <w:tcPr>
            <w:tcW w:w="800" w:type="dxa"/>
            <w:tcBorders>
              <w:top w:val="nil"/>
              <w:left w:val="nil"/>
              <w:bottom w:val="nil"/>
              <w:right w:val="nil"/>
            </w:tcBorders>
            <w:shd w:val="clear" w:color="auto" w:fill="auto"/>
            <w:noWrap/>
            <w:vAlign w:val="center"/>
            <w:hideMark/>
          </w:tcPr>
          <w:p w14:paraId="77297B56" w14:textId="227E977E"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w:t>
            </w:r>
            <w:r w:rsidR="00715D0C">
              <w:rPr>
                <w:rFonts w:ascii="Arial" w:hAnsi="Arial" w:cs="Calibri"/>
                <w:color w:val="000000"/>
                <w:szCs w:val="18"/>
                <w:lang w:eastAsia="en-IN"/>
              </w:rPr>
              <w:t>40</w:t>
            </w:r>
          </w:p>
        </w:tc>
        <w:tc>
          <w:tcPr>
            <w:tcW w:w="959" w:type="dxa"/>
            <w:tcBorders>
              <w:top w:val="nil"/>
              <w:left w:val="nil"/>
              <w:bottom w:val="nil"/>
              <w:right w:val="nil"/>
            </w:tcBorders>
            <w:shd w:val="clear" w:color="auto" w:fill="auto"/>
            <w:noWrap/>
            <w:vAlign w:val="center"/>
            <w:hideMark/>
          </w:tcPr>
          <w:p w14:paraId="0D6D967E" w14:textId="6D8693D6"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w:t>
            </w:r>
            <w:r w:rsidR="00715D0C">
              <w:rPr>
                <w:rFonts w:ascii="Arial" w:hAnsi="Arial" w:cs="Calibri"/>
                <w:color w:val="000000"/>
                <w:szCs w:val="18"/>
                <w:lang w:eastAsia="en-IN"/>
              </w:rPr>
              <w:t>688</w:t>
            </w:r>
            <w:r w:rsidR="00715D0C" w:rsidRPr="00E70587">
              <w:rPr>
                <w:rFonts w:ascii="Arial" w:hAnsi="Arial" w:cs="Calibri"/>
                <w:color w:val="000000"/>
                <w:szCs w:val="18"/>
                <w:lang w:eastAsia="en-IN"/>
              </w:rPr>
              <w:t xml:space="preserve"> </w:t>
            </w:r>
          </w:p>
        </w:tc>
        <w:tc>
          <w:tcPr>
            <w:tcW w:w="900" w:type="dxa"/>
            <w:tcBorders>
              <w:top w:val="nil"/>
              <w:left w:val="nil"/>
              <w:bottom w:val="nil"/>
              <w:right w:val="nil"/>
            </w:tcBorders>
            <w:shd w:val="clear" w:color="auto" w:fill="auto"/>
            <w:vAlign w:val="center"/>
            <w:hideMark/>
          </w:tcPr>
          <w:p w14:paraId="40332A2D" w14:textId="5EE27B7E" w:rsidR="000A2ED4" w:rsidRPr="00E70587" w:rsidRDefault="00715D0C" w:rsidP="006C3B80">
            <w:pPr>
              <w:overflowPunct/>
              <w:autoSpaceDE/>
              <w:autoSpaceDN/>
              <w:adjustRightInd/>
              <w:spacing w:line="240" w:lineRule="auto"/>
              <w:jc w:val="right"/>
              <w:textAlignment w:val="auto"/>
              <w:rPr>
                <w:rFonts w:ascii="Arial" w:hAnsi="Arial" w:cs="Calibri"/>
                <w:b/>
                <w:bCs/>
                <w:color w:val="000000"/>
                <w:szCs w:val="18"/>
                <w:lang w:eastAsia="en-IN"/>
              </w:rPr>
            </w:pPr>
            <w:r>
              <w:rPr>
                <w:rFonts w:ascii="Arial" w:hAnsi="Arial" w:cs="Calibri"/>
                <w:b/>
                <w:bCs/>
                <w:color w:val="000000"/>
                <w:szCs w:val="18"/>
                <w:lang w:eastAsia="en-IN"/>
              </w:rPr>
              <w:t>75</w:t>
            </w:r>
            <w:r w:rsidR="00366ED7">
              <w:rPr>
                <w:rFonts w:ascii="Arial" w:hAnsi="Arial" w:cs="Calibri"/>
                <w:b/>
                <w:bCs/>
                <w:color w:val="000000"/>
                <w:szCs w:val="18"/>
                <w:lang w:eastAsia="en-IN"/>
              </w:rPr>
              <w:t>3</w:t>
            </w:r>
          </w:p>
        </w:tc>
      </w:tr>
      <w:tr w:rsidR="000A2ED4" w:rsidRPr="00E70587" w14:paraId="31B75873" w14:textId="77777777" w:rsidTr="00BB6300">
        <w:trPr>
          <w:trHeight w:val="300"/>
        </w:trPr>
        <w:tc>
          <w:tcPr>
            <w:tcW w:w="1612" w:type="dxa"/>
            <w:tcBorders>
              <w:top w:val="nil"/>
              <w:left w:val="nil"/>
              <w:bottom w:val="nil"/>
              <w:right w:val="nil"/>
            </w:tcBorders>
            <w:shd w:val="clear" w:color="auto" w:fill="auto"/>
            <w:vAlign w:val="center"/>
            <w:hideMark/>
          </w:tcPr>
          <w:p w14:paraId="49230C0C" w14:textId="77777777" w:rsidR="005E0F4B" w:rsidRDefault="005E0F4B" w:rsidP="006C3B80">
            <w:pPr>
              <w:overflowPunct/>
              <w:autoSpaceDE/>
              <w:autoSpaceDN/>
              <w:adjustRightInd/>
              <w:spacing w:line="240" w:lineRule="auto"/>
              <w:textAlignment w:val="auto"/>
              <w:rPr>
                <w:rFonts w:ascii="Arial" w:hAnsi="Arial" w:cs="Calibri"/>
                <w:color w:val="000000"/>
                <w:szCs w:val="18"/>
                <w:lang w:eastAsia="en-IN"/>
              </w:rPr>
            </w:pPr>
          </w:p>
          <w:p w14:paraId="600F7CAA" w14:textId="2EA69EB3" w:rsidR="000A2ED4" w:rsidRPr="00E70587" w:rsidRDefault="000A2ED4" w:rsidP="006C3B80">
            <w:pPr>
              <w:overflowPunct/>
              <w:autoSpaceDE/>
              <w:autoSpaceDN/>
              <w:adjustRightInd/>
              <w:spacing w:line="240" w:lineRule="auto"/>
              <w:textAlignment w:val="auto"/>
              <w:rPr>
                <w:rFonts w:ascii="Arial" w:hAnsi="Arial" w:cs="Calibri"/>
                <w:color w:val="000000"/>
                <w:szCs w:val="18"/>
                <w:lang w:eastAsia="en-IN"/>
              </w:rPr>
            </w:pPr>
            <w:r w:rsidRPr="00E70587">
              <w:rPr>
                <w:rFonts w:ascii="Arial" w:hAnsi="Arial" w:cs="Calibri"/>
                <w:color w:val="000000"/>
                <w:szCs w:val="18"/>
                <w:lang w:eastAsia="en-IN"/>
              </w:rPr>
              <w:t>Non- current borrowings (excluding items listed below)</w:t>
            </w:r>
          </w:p>
        </w:tc>
        <w:tc>
          <w:tcPr>
            <w:tcW w:w="813" w:type="dxa"/>
            <w:tcBorders>
              <w:top w:val="nil"/>
              <w:left w:val="nil"/>
              <w:bottom w:val="nil"/>
              <w:right w:val="nil"/>
            </w:tcBorders>
            <w:shd w:val="clear" w:color="auto" w:fill="auto"/>
            <w:vAlign w:val="center"/>
            <w:hideMark/>
          </w:tcPr>
          <w:p w14:paraId="4D2E79E5" w14:textId="77777777" w:rsidR="000A2ED4" w:rsidRPr="00E70587" w:rsidRDefault="000A2ED4" w:rsidP="006C3B80">
            <w:pPr>
              <w:overflowPunct/>
              <w:autoSpaceDE/>
              <w:autoSpaceDN/>
              <w:adjustRightInd/>
              <w:spacing w:line="240" w:lineRule="auto"/>
              <w:jc w:val="right"/>
              <w:textAlignment w:val="auto"/>
              <w:rPr>
                <w:rFonts w:ascii="Arial" w:hAnsi="Arial" w:cs="Calibri"/>
                <w:b/>
                <w:bCs/>
                <w:color w:val="000000"/>
                <w:szCs w:val="18"/>
                <w:lang w:eastAsia="en-IN"/>
              </w:rPr>
            </w:pPr>
            <w:r w:rsidRPr="00E70587">
              <w:rPr>
                <w:rFonts w:ascii="Arial" w:hAnsi="Arial" w:cs="Calibri"/>
                <w:b/>
                <w:bCs/>
                <w:color w:val="000000"/>
                <w:szCs w:val="18"/>
                <w:lang w:eastAsia="en-IN"/>
              </w:rPr>
              <w:t>33,716</w:t>
            </w:r>
          </w:p>
        </w:tc>
        <w:tc>
          <w:tcPr>
            <w:tcW w:w="914" w:type="dxa"/>
            <w:tcBorders>
              <w:top w:val="nil"/>
              <w:left w:val="nil"/>
              <w:bottom w:val="nil"/>
              <w:right w:val="nil"/>
            </w:tcBorders>
            <w:shd w:val="clear" w:color="auto" w:fill="auto"/>
            <w:noWrap/>
            <w:vAlign w:val="center"/>
            <w:hideMark/>
          </w:tcPr>
          <w:p w14:paraId="0B0734DD"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w:t>
            </w:r>
            <w:r w:rsidR="00D447BD" w:rsidRPr="00E70587">
              <w:rPr>
                <w:rFonts w:ascii="Arial" w:hAnsi="Arial" w:cs="Calibri"/>
                <w:color w:val="000000"/>
                <w:szCs w:val="18"/>
                <w:lang w:eastAsia="en-IN"/>
              </w:rPr>
              <w:t>5,3</w:t>
            </w:r>
            <w:r w:rsidR="00780764" w:rsidRPr="00E70587">
              <w:rPr>
                <w:rFonts w:ascii="Arial" w:hAnsi="Arial" w:cs="Calibri"/>
                <w:color w:val="000000"/>
                <w:szCs w:val="18"/>
                <w:lang w:eastAsia="en-IN"/>
              </w:rPr>
              <w:t>66</w:t>
            </w:r>
            <w:r w:rsidRPr="00E70587">
              <w:rPr>
                <w:rFonts w:ascii="Arial" w:hAnsi="Arial" w:cs="Calibri"/>
                <w:color w:val="000000"/>
                <w:szCs w:val="18"/>
                <w:lang w:eastAsia="en-IN"/>
              </w:rPr>
              <w:t xml:space="preserve"> </w:t>
            </w:r>
          </w:p>
        </w:tc>
        <w:tc>
          <w:tcPr>
            <w:tcW w:w="1249" w:type="dxa"/>
            <w:tcBorders>
              <w:top w:val="nil"/>
              <w:left w:val="nil"/>
              <w:bottom w:val="nil"/>
              <w:right w:val="nil"/>
            </w:tcBorders>
            <w:shd w:val="clear" w:color="auto" w:fill="auto"/>
            <w:noWrap/>
            <w:vAlign w:val="center"/>
            <w:hideMark/>
          </w:tcPr>
          <w:p w14:paraId="2E83C0A0"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 </w:t>
            </w:r>
          </w:p>
        </w:tc>
        <w:tc>
          <w:tcPr>
            <w:tcW w:w="1203" w:type="dxa"/>
            <w:tcBorders>
              <w:top w:val="nil"/>
              <w:left w:val="nil"/>
              <w:bottom w:val="nil"/>
              <w:right w:val="nil"/>
            </w:tcBorders>
            <w:shd w:val="clear" w:color="auto" w:fill="auto"/>
            <w:noWrap/>
            <w:vAlign w:val="center"/>
            <w:hideMark/>
          </w:tcPr>
          <w:p w14:paraId="0F8198C3" w14:textId="31A86944"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w:t>
            </w:r>
            <w:r w:rsidR="00427844">
              <w:rPr>
                <w:rFonts w:ascii="Arial" w:hAnsi="Arial" w:cs="Calibri"/>
                <w:color w:val="000000"/>
                <w:szCs w:val="18"/>
                <w:lang w:eastAsia="en-IN"/>
              </w:rPr>
              <w:t>1</w:t>
            </w:r>
            <w:r w:rsidRPr="00E70587">
              <w:rPr>
                <w:rFonts w:ascii="Arial" w:hAnsi="Arial" w:cs="Calibri"/>
                <w:color w:val="000000"/>
                <w:szCs w:val="18"/>
                <w:lang w:eastAsia="en-IN"/>
              </w:rPr>
              <w:t xml:space="preserve">1 </w:t>
            </w:r>
          </w:p>
        </w:tc>
        <w:tc>
          <w:tcPr>
            <w:tcW w:w="892" w:type="dxa"/>
            <w:tcBorders>
              <w:top w:val="nil"/>
              <w:left w:val="nil"/>
              <w:bottom w:val="nil"/>
              <w:right w:val="nil"/>
            </w:tcBorders>
            <w:shd w:val="clear" w:color="auto" w:fill="auto"/>
            <w:noWrap/>
            <w:vAlign w:val="center"/>
            <w:hideMark/>
          </w:tcPr>
          <w:p w14:paraId="79CE341F"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 </w:t>
            </w:r>
          </w:p>
        </w:tc>
        <w:tc>
          <w:tcPr>
            <w:tcW w:w="800" w:type="dxa"/>
            <w:tcBorders>
              <w:top w:val="nil"/>
              <w:left w:val="nil"/>
              <w:bottom w:val="nil"/>
              <w:right w:val="nil"/>
            </w:tcBorders>
            <w:shd w:val="clear" w:color="auto" w:fill="auto"/>
            <w:noWrap/>
            <w:vAlign w:val="center"/>
            <w:hideMark/>
          </w:tcPr>
          <w:p w14:paraId="76B28DCF"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 </w:t>
            </w:r>
          </w:p>
        </w:tc>
        <w:tc>
          <w:tcPr>
            <w:tcW w:w="959" w:type="dxa"/>
            <w:tcBorders>
              <w:top w:val="nil"/>
              <w:left w:val="nil"/>
              <w:bottom w:val="nil"/>
              <w:right w:val="nil"/>
            </w:tcBorders>
            <w:shd w:val="clear" w:color="auto" w:fill="auto"/>
            <w:noWrap/>
            <w:vAlign w:val="center"/>
            <w:hideMark/>
          </w:tcPr>
          <w:p w14:paraId="3AF7247A"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w:t>
            </w:r>
            <w:r w:rsidR="00FF141C" w:rsidRPr="00E70587">
              <w:rPr>
                <w:rFonts w:ascii="Arial" w:hAnsi="Arial" w:cs="Calibri"/>
                <w:color w:val="000000"/>
                <w:szCs w:val="18"/>
                <w:lang w:eastAsia="en-IN"/>
              </w:rPr>
              <w:t>1,725</w:t>
            </w:r>
            <w:r w:rsidRPr="00E70587">
              <w:rPr>
                <w:rFonts w:ascii="Arial" w:hAnsi="Arial" w:cs="Calibri"/>
                <w:color w:val="000000"/>
                <w:szCs w:val="18"/>
                <w:lang w:eastAsia="en-IN"/>
              </w:rPr>
              <w:t xml:space="preserve">) </w:t>
            </w:r>
          </w:p>
        </w:tc>
        <w:tc>
          <w:tcPr>
            <w:tcW w:w="900" w:type="dxa"/>
            <w:tcBorders>
              <w:top w:val="nil"/>
              <w:left w:val="nil"/>
              <w:bottom w:val="nil"/>
              <w:right w:val="nil"/>
            </w:tcBorders>
            <w:shd w:val="clear" w:color="auto" w:fill="auto"/>
            <w:vAlign w:val="center"/>
            <w:hideMark/>
          </w:tcPr>
          <w:p w14:paraId="363F33EA" w14:textId="24DB1D09" w:rsidR="000A2ED4" w:rsidRPr="00E70587" w:rsidRDefault="00FF141C" w:rsidP="00315CA4">
            <w:pPr>
              <w:overflowPunct/>
              <w:autoSpaceDE/>
              <w:autoSpaceDN/>
              <w:adjustRightInd/>
              <w:spacing w:line="240" w:lineRule="auto"/>
              <w:jc w:val="right"/>
              <w:textAlignment w:val="auto"/>
              <w:rPr>
                <w:rFonts w:ascii="Arial" w:hAnsi="Arial" w:cs="Calibri"/>
                <w:b/>
                <w:bCs/>
                <w:color w:val="000000"/>
                <w:szCs w:val="18"/>
                <w:lang w:eastAsia="en-IN"/>
              </w:rPr>
            </w:pPr>
            <w:r w:rsidRPr="00E70587">
              <w:rPr>
                <w:rFonts w:ascii="Arial" w:hAnsi="Arial" w:cs="Calibri"/>
                <w:b/>
                <w:bCs/>
                <w:color w:val="000000"/>
                <w:szCs w:val="18"/>
                <w:lang w:eastAsia="en-IN"/>
              </w:rPr>
              <w:t>37,</w:t>
            </w:r>
            <w:r w:rsidR="00875B72" w:rsidRPr="00E70587">
              <w:rPr>
                <w:rFonts w:ascii="Arial" w:hAnsi="Arial" w:cs="Calibri"/>
                <w:b/>
                <w:bCs/>
                <w:color w:val="000000"/>
                <w:szCs w:val="18"/>
                <w:lang w:eastAsia="en-IN"/>
              </w:rPr>
              <w:t>3</w:t>
            </w:r>
            <w:r w:rsidR="00427844">
              <w:rPr>
                <w:rFonts w:ascii="Arial" w:hAnsi="Arial" w:cs="Calibri"/>
                <w:b/>
                <w:bCs/>
                <w:color w:val="000000"/>
                <w:szCs w:val="18"/>
                <w:lang w:eastAsia="en-IN"/>
              </w:rPr>
              <w:t>6</w:t>
            </w:r>
            <w:r w:rsidR="00875B72" w:rsidRPr="00E70587">
              <w:rPr>
                <w:rFonts w:ascii="Arial" w:hAnsi="Arial" w:cs="Calibri"/>
                <w:b/>
                <w:bCs/>
                <w:color w:val="000000"/>
                <w:szCs w:val="18"/>
                <w:lang w:eastAsia="en-IN"/>
              </w:rPr>
              <w:t>8</w:t>
            </w:r>
          </w:p>
        </w:tc>
      </w:tr>
      <w:tr w:rsidR="000A2ED4" w:rsidRPr="00E70587" w14:paraId="2BDFDAEA" w14:textId="77777777" w:rsidTr="00BB6300">
        <w:trPr>
          <w:trHeight w:val="540"/>
        </w:trPr>
        <w:tc>
          <w:tcPr>
            <w:tcW w:w="1612" w:type="dxa"/>
            <w:tcBorders>
              <w:top w:val="nil"/>
              <w:left w:val="nil"/>
              <w:bottom w:val="nil"/>
              <w:right w:val="nil"/>
            </w:tcBorders>
            <w:shd w:val="clear" w:color="auto" w:fill="auto"/>
            <w:vAlign w:val="center"/>
            <w:hideMark/>
          </w:tcPr>
          <w:p w14:paraId="5DE69F20" w14:textId="77777777" w:rsidR="005E0F4B" w:rsidRDefault="005E0F4B" w:rsidP="006C3B80">
            <w:pPr>
              <w:overflowPunct/>
              <w:autoSpaceDE/>
              <w:autoSpaceDN/>
              <w:adjustRightInd/>
              <w:spacing w:line="240" w:lineRule="auto"/>
              <w:textAlignment w:val="auto"/>
              <w:rPr>
                <w:rFonts w:ascii="Arial" w:hAnsi="Arial" w:cs="Calibri"/>
                <w:color w:val="000000"/>
                <w:szCs w:val="18"/>
                <w:lang w:eastAsia="en-IN"/>
              </w:rPr>
            </w:pPr>
          </w:p>
          <w:p w14:paraId="7B4B5E32" w14:textId="61CB5504" w:rsidR="000A2ED4" w:rsidRDefault="000A2ED4" w:rsidP="006C3B80">
            <w:pPr>
              <w:overflowPunct/>
              <w:autoSpaceDE/>
              <w:autoSpaceDN/>
              <w:adjustRightInd/>
              <w:spacing w:line="240" w:lineRule="auto"/>
              <w:textAlignment w:val="auto"/>
              <w:rPr>
                <w:rFonts w:ascii="Arial" w:hAnsi="Arial" w:cs="Calibri"/>
                <w:color w:val="000000"/>
                <w:szCs w:val="18"/>
                <w:lang w:eastAsia="en-IN"/>
              </w:rPr>
            </w:pPr>
            <w:r w:rsidRPr="00E70587">
              <w:rPr>
                <w:rFonts w:ascii="Arial" w:hAnsi="Arial" w:cs="Calibri"/>
                <w:color w:val="000000"/>
                <w:szCs w:val="18"/>
                <w:lang w:eastAsia="en-IN"/>
              </w:rPr>
              <w:t>Non-current lease</w:t>
            </w:r>
            <w:r w:rsidR="00BA1ADD">
              <w:rPr>
                <w:rFonts w:ascii="Arial" w:hAnsi="Arial" w:cs="Calibri"/>
                <w:color w:val="000000"/>
                <w:szCs w:val="18"/>
                <w:lang w:eastAsia="en-IN"/>
              </w:rPr>
              <w:t xml:space="preserve"> liabilities</w:t>
            </w:r>
          </w:p>
          <w:p w14:paraId="61C8EF58" w14:textId="7984EB7F" w:rsidR="00BA1ADD" w:rsidRPr="00E70587" w:rsidRDefault="00BA1ADD" w:rsidP="006C3B80">
            <w:pPr>
              <w:overflowPunct/>
              <w:autoSpaceDE/>
              <w:autoSpaceDN/>
              <w:adjustRightInd/>
              <w:spacing w:line="240" w:lineRule="auto"/>
              <w:textAlignment w:val="auto"/>
              <w:rPr>
                <w:rFonts w:ascii="Arial" w:hAnsi="Arial" w:cs="Calibri"/>
                <w:color w:val="000000"/>
                <w:szCs w:val="18"/>
                <w:lang w:eastAsia="en-IN"/>
              </w:rPr>
            </w:pPr>
          </w:p>
        </w:tc>
        <w:tc>
          <w:tcPr>
            <w:tcW w:w="813" w:type="dxa"/>
            <w:tcBorders>
              <w:top w:val="nil"/>
              <w:left w:val="nil"/>
              <w:bottom w:val="nil"/>
              <w:right w:val="nil"/>
            </w:tcBorders>
            <w:shd w:val="clear" w:color="auto" w:fill="auto"/>
            <w:vAlign w:val="center"/>
            <w:hideMark/>
          </w:tcPr>
          <w:p w14:paraId="7492EC51" w14:textId="50895F3B" w:rsidR="000A2ED4" w:rsidRPr="00E70587" w:rsidRDefault="00715D0C" w:rsidP="006C3B80">
            <w:pPr>
              <w:overflowPunct/>
              <w:autoSpaceDE/>
              <w:autoSpaceDN/>
              <w:adjustRightInd/>
              <w:spacing w:line="240" w:lineRule="auto"/>
              <w:jc w:val="right"/>
              <w:textAlignment w:val="auto"/>
              <w:rPr>
                <w:rFonts w:ascii="Arial" w:hAnsi="Arial" w:cs="Calibri"/>
                <w:b/>
                <w:bCs/>
                <w:color w:val="000000"/>
                <w:szCs w:val="18"/>
                <w:lang w:eastAsia="en-IN"/>
              </w:rPr>
            </w:pPr>
            <w:r>
              <w:rPr>
                <w:rFonts w:ascii="Arial" w:hAnsi="Arial" w:cs="Calibri"/>
                <w:b/>
                <w:bCs/>
                <w:color w:val="000000"/>
                <w:szCs w:val="18"/>
                <w:lang w:eastAsia="en-IN"/>
              </w:rPr>
              <w:t>4,921</w:t>
            </w:r>
          </w:p>
        </w:tc>
        <w:tc>
          <w:tcPr>
            <w:tcW w:w="914" w:type="dxa"/>
            <w:tcBorders>
              <w:top w:val="nil"/>
              <w:left w:val="nil"/>
              <w:bottom w:val="nil"/>
              <w:right w:val="nil"/>
            </w:tcBorders>
            <w:shd w:val="clear" w:color="auto" w:fill="auto"/>
            <w:noWrap/>
            <w:vAlign w:val="center"/>
            <w:hideMark/>
          </w:tcPr>
          <w:p w14:paraId="4380C81A"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 </w:t>
            </w:r>
          </w:p>
        </w:tc>
        <w:tc>
          <w:tcPr>
            <w:tcW w:w="1249" w:type="dxa"/>
            <w:tcBorders>
              <w:top w:val="nil"/>
              <w:left w:val="nil"/>
              <w:bottom w:val="nil"/>
              <w:right w:val="nil"/>
            </w:tcBorders>
            <w:shd w:val="clear" w:color="auto" w:fill="auto"/>
            <w:noWrap/>
            <w:vAlign w:val="center"/>
            <w:hideMark/>
          </w:tcPr>
          <w:p w14:paraId="3E895DD8"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 </w:t>
            </w:r>
          </w:p>
        </w:tc>
        <w:tc>
          <w:tcPr>
            <w:tcW w:w="1203" w:type="dxa"/>
            <w:tcBorders>
              <w:top w:val="nil"/>
              <w:left w:val="nil"/>
              <w:bottom w:val="nil"/>
              <w:right w:val="nil"/>
            </w:tcBorders>
            <w:shd w:val="clear" w:color="auto" w:fill="auto"/>
            <w:noWrap/>
            <w:vAlign w:val="center"/>
            <w:hideMark/>
          </w:tcPr>
          <w:p w14:paraId="36E1FD7D"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 </w:t>
            </w:r>
          </w:p>
        </w:tc>
        <w:tc>
          <w:tcPr>
            <w:tcW w:w="892" w:type="dxa"/>
            <w:tcBorders>
              <w:top w:val="nil"/>
              <w:left w:val="nil"/>
              <w:bottom w:val="nil"/>
              <w:right w:val="nil"/>
            </w:tcBorders>
            <w:shd w:val="clear" w:color="auto" w:fill="auto"/>
            <w:noWrap/>
            <w:vAlign w:val="center"/>
            <w:hideMark/>
          </w:tcPr>
          <w:p w14:paraId="16C66BF8" w14:textId="77777777"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 </w:t>
            </w:r>
          </w:p>
        </w:tc>
        <w:tc>
          <w:tcPr>
            <w:tcW w:w="800" w:type="dxa"/>
            <w:tcBorders>
              <w:top w:val="nil"/>
              <w:left w:val="nil"/>
              <w:bottom w:val="nil"/>
              <w:right w:val="nil"/>
            </w:tcBorders>
            <w:shd w:val="clear" w:color="auto" w:fill="auto"/>
            <w:noWrap/>
            <w:vAlign w:val="center"/>
            <w:hideMark/>
          </w:tcPr>
          <w:p w14:paraId="5528CE7A" w14:textId="41174009" w:rsidR="000A2ED4" w:rsidRPr="00E70587" w:rsidRDefault="000A2ED4" w:rsidP="006C3B80">
            <w:pPr>
              <w:overflowPunct/>
              <w:autoSpaceDE/>
              <w:autoSpaceDN/>
              <w:adjustRightInd/>
              <w:spacing w:line="240" w:lineRule="auto"/>
              <w:jc w:val="right"/>
              <w:textAlignment w:val="auto"/>
              <w:rPr>
                <w:rFonts w:ascii="Arial" w:hAnsi="Arial" w:cs="Calibri"/>
                <w:color w:val="000000"/>
                <w:szCs w:val="18"/>
                <w:lang w:eastAsia="en-IN"/>
              </w:rPr>
            </w:pPr>
            <w:r w:rsidRPr="00E70587">
              <w:rPr>
                <w:rFonts w:ascii="Arial" w:hAnsi="Arial" w:cs="Calibri"/>
                <w:color w:val="000000"/>
                <w:szCs w:val="18"/>
                <w:lang w:eastAsia="en-IN"/>
              </w:rPr>
              <w:t xml:space="preserve"> </w:t>
            </w:r>
            <w:r w:rsidR="00715D0C">
              <w:rPr>
                <w:rFonts w:ascii="Arial" w:hAnsi="Arial" w:cs="Calibri"/>
                <w:color w:val="000000"/>
                <w:szCs w:val="18"/>
                <w:lang w:eastAsia="en-IN"/>
              </w:rPr>
              <w:t>365</w:t>
            </w:r>
            <w:r w:rsidR="00715D0C" w:rsidRPr="00E70587">
              <w:rPr>
                <w:rFonts w:ascii="Arial" w:hAnsi="Arial" w:cs="Calibri"/>
                <w:color w:val="000000"/>
                <w:szCs w:val="18"/>
                <w:lang w:eastAsia="en-IN"/>
              </w:rPr>
              <w:t xml:space="preserve"> </w:t>
            </w:r>
          </w:p>
        </w:tc>
        <w:tc>
          <w:tcPr>
            <w:tcW w:w="959" w:type="dxa"/>
            <w:tcBorders>
              <w:top w:val="nil"/>
              <w:left w:val="nil"/>
              <w:bottom w:val="nil"/>
              <w:right w:val="nil"/>
            </w:tcBorders>
            <w:shd w:val="clear" w:color="auto" w:fill="auto"/>
            <w:noWrap/>
            <w:vAlign w:val="center"/>
            <w:hideMark/>
          </w:tcPr>
          <w:p w14:paraId="1985FFCE" w14:textId="34007ECC" w:rsidR="000A2ED4" w:rsidRPr="00E70587" w:rsidRDefault="00715D0C" w:rsidP="006C3B80">
            <w:pPr>
              <w:overflowPunct/>
              <w:autoSpaceDE/>
              <w:autoSpaceDN/>
              <w:adjustRightInd/>
              <w:spacing w:line="240" w:lineRule="auto"/>
              <w:jc w:val="right"/>
              <w:textAlignment w:val="auto"/>
              <w:rPr>
                <w:rFonts w:ascii="Arial" w:hAnsi="Arial" w:cs="Calibri"/>
                <w:color w:val="000000"/>
                <w:szCs w:val="18"/>
                <w:lang w:eastAsia="en-IN"/>
              </w:rPr>
            </w:pPr>
            <w:r>
              <w:rPr>
                <w:rFonts w:ascii="Arial" w:hAnsi="Arial" w:cs="Calibri"/>
                <w:color w:val="000000"/>
                <w:szCs w:val="18"/>
                <w:lang w:eastAsia="en-IN"/>
              </w:rPr>
              <w:t>(691)</w:t>
            </w:r>
          </w:p>
        </w:tc>
        <w:tc>
          <w:tcPr>
            <w:tcW w:w="900" w:type="dxa"/>
            <w:tcBorders>
              <w:top w:val="nil"/>
              <w:left w:val="nil"/>
              <w:bottom w:val="nil"/>
              <w:right w:val="nil"/>
            </w:tcBorders>
            <w:shd w:val="clear" w:color="auto" w:fill="auto"/>
            <w:vAlign w:val="center"/>
            <w:hideMark/>
          </w:tcPr>
          <w:p w14:paraId="44B34160" w14:textId="120D36AC" w:rsidR="000A2ED4" w:rsidRPr="00E70587" w:rsidRDefault="00715D0C" w:rsidP="006C3B80">
            <w:pPr>
              <w:overflowPunct/>
              <w:autoSpaceDE/>
              <w:autoSpaceDN/>
              <w:adjustRightInd/>
              <w:spacing w:line="240" w:lineRule="auto"/>
              <w:jc w:val="right"/>
              <w:textAlignment w:val="auto"/>
              <w:rPr>
                <w:rFonts w:ascii="Arial" w:hAnsi="Arial" w:cs="Calibri"/>
                <w:b/>
                <w:bCs/>
                <w:color w:val="000000"/>
                <w:szCs w:val="18"/>
                <w:lang w:eastAsia="en-IN"/>
              </w:rPr>
            </w:pPr>
            <w:r>
              <w:rPr>
                <w:rFonts w:ascii="Arial" w:hAnsi="Arial" w:cs="Calibri"/>
                <w:b/>
                <w:bCs/>
                <w:color w:val="000000"/>
                <w:szCs w:val="18"/>
                <w:lang w:eastAsia="en-IN"/>
              </w:rPr>
              <w:t>4,59</w:t>
            </w:r>
            <w:r w:rsidR="00822A12">
              <w:rPr>
                <w:rFonts w:ascii="Arial" w:hAnsi="Arial" w:cs="Calibri"/>
                <w:b/>
                <w:bCs/>
                <w:color w:val="000000"/>
                <w:szCs w:val="18"/>
                <w:lang w:eastAsia="en-IN"/>
              </w:rPr>
              <w:t>5</w:t>
            </w:r>
          </w:p>
        </w:tc>
      </w:tr>
      <w:tr w:rsidR="000A2ED4" w:rsidRPr="00E70587" w14:paraId="5FF9DBFE" w14:textId="77777777" w:rsidTr="00BB6300">
        <w:trPr>
          <w:trHeight w:val="300"/>
        </w:trPr>
        <w:tc>
          <w:tcPr>
            <w:tcW w:w="1612" w:type="dxa"/>
            <w:tcBorders>
              <w:top w:val="nil"/>
              <w:left w:val="nil"/>
              <w:bottom w:val="nil"/>
              <w:right w:val="nil"/>
            </w:tcBorders>
            <w:shd w:val="clear" w:color="auto" w:fill="auto"/>
            <w:vAlign w:val="center"/>
            <w:hideMark/>
          </w:tcPr>
          <w:p w14:paraId="45DE1115" w14:textId="77777777" w:rsidR="000A2ED4" w:rsidRPr="00E70587" w:rsidRDefault="000A2ED4" w:rsidP="006C3B80">
            <w:pPr>
              <w:overflowPunct/>
              <w:autoSpaceDE/>
              <w:autoSpaceDN/>
              <w:adjustRightInd/>
              <w:spacing w:line="240" w:lineRule="auto"/>
              <w:textAlignment w:val="auto"/>
              <w:rPr>
                <w:rFonts w:ascii="Arial" w:hAnsi="Arial" w:cs="Calibri"/>
                <w:b/>
                <w:bCs/>
                <w:color w:val="000000"/>
                <w:szCs w:val="18"/>
                <w:lang w:eastAsia="en-IN"/>
              </w:rPr>
            </w:pPr>
            <w:r w:rsidRPr="00E70587">
              <w:rPr>
                <w:rFonts w:ascii="Arial" w:hAnsi="Arial" w:cs="Calibri"/>
                <w:b/>
                <w:bCs/>
                <w:color w:val="000000"/>
                <w:szCs w:val="18"/>
                <w:lang w:eastAsia="en-IN"/>
              </w:rPr>
              <w:t>Total liabilities from financing activities</w:t>
            </w:r>
          </w:p>
        </w:tc>
        <w:tc>
          <w:tcPr>
            <w:tcW w:w="813" w:type="dxa"/>
            <w:tcBorders>
              <w:top w:val="nil"/>
              <w:left w:val="nil"/>
              <w:bottom w:val="nil"/>
              <w:right w:val="nil"/>
            </w:tcBorders>
            <w:shd w:val="clear" w:color="auto" w:fill="auto"/>
            <w:vAlign w:val="center"/>
            <w:hideMark/>
          </w:tcPr>
          <w:p w14:paraId="734236CE" w14:textId="66B23AC7" w:rsidR="000A2ED4" w:rsidRPr="00E70587" w:rsidRDefault="002049C2" w:rsidP="006C3B80">
            <w:pPr>
              <w:overflowPunct/>
              <w:autoSpaceDE/>
              <w:autoSpaceDN/>
              <w:adjustRightInd/>
              <w:spacing w:line="240" w:lineRule="auto"/>
              <w:jc w:val="right"/>
              <w:textAlignment w:val="auto"/>
              <w:rPr>
                <w:rFonts w:ascii="Arial" w:hAnsi="Arial" w:cs="Calibri"/>
                <w:b/>
                <w:bCs/>
                <w:color w:val="000000"/>
                <w:szCs w:val="18"/>
                <w:lang w:eastAsia="en-IN"/>
              </w:rPr>
            </w:pPr>
            <w:r w:rsidRPr="00E70587">
              <w:rPr>
                <w:rFonts w:ascii="Arial" w:hAnsi="Arial" w:cs="Calibri"/>
                <w:b/>
                <w:bCs/>
                <w:color w:val="000000"/>
                <w:szCs w:val="18"/>
                <w:lang w:eastAsia="en-IN"/>
              </w:rPr>
              <w:t>4</w:t>
            </w:r>
            <w:r>
              <w:rPr>
                <w:rFonts w:ascii="Arial" w:hAnsi="Arial" w:cs="Calibri"/>
                <w:b/>
                <w:bCs/>
                <w:color w:val="000000"/>
                <w:szCs w:val="18"/>
                <w:lang w:eastAsia="en-IN"/>
              </w:rPr>
              <w:t>7</w:t>
            </w:r>
            <w:r w:rsidR="000A2ED4" w:rsidRPr="00E70587">
              <w:rPr>
                <w:rFonts w:ascii="Arial" w:hAnsi="Arial" w:cs="Calibri"/>
                <w:b/>
                <w:bCs/>
                <w:color w:val="000000"/>
                <w:szCs w:val="18"/>
                <w:lang w:eastAsia="en-IN"/>
              </w:rPr>
              <w:t>,</w:t>
            </w:r>
            <w:r w:rsidRPr="00E70587">
              <w:rPr>
                <w:rFonts w:ascii="Arial" w:hAnsi="Arial" w:cs="Calibri"/>
                <w:b/>
                <w:bCs/>
                <w:color w:val="000000"/>
                <w:szCs w:val="18"/>
                <w:lang w:eastAsia="en-IN"/>
              </w:rPr>
              <w:t>4</w:t>
            </w:r>
            <w:r>
              <w:rPr>
                <w:rFonts w:ascii="Arial" w:hAnsi="Arial" w:cs="Calibri"/>
                <w:b/>
                <w:bCs/>
                <w:color w:val="000000"/>
                <w:szCs w:val="18"/>
                <w:lang w:eastAsia="en-IN"/>
              </w:rPr>
              <w:t>01</w:t>
            </w:r>
          </w:p>
        </w:tc>
        <w:tc>
          <w:tcPr>
            <w:tcW w:w="914" w:type="dxa"/>
            <w:tcBorders>
              <w:top w:val="nil"/>
              <w:left w:val="nil"/>
              <w:bottom w:val="nil"/>
              <w:right w:val="nil"/>
            </w:tcBorders>
            <w:shd w:val="clear" w:color="auto" w:fill="auto"/>
            <w:vAlign w:val="center"/>
            <w:hideMark/>
          </w:tcPr>
          <w:p w14:paraId="4E3D776B" w14:textId="5E85CA1E" w:rsidR="000A2ED4" w:rsidRPr="00E70587" w:rsidRDefault="00D447BD" w:rsidP="006C3B80">
            <w:pPr>
              <w:overflowPunct/>
              <w:autoSpaceDE/>
              <w:autoSpaceDN/>
              <w:adjustRightInd/>
              <w:spacing w:line="240" w:lineRule="auto"/>
              <w:jc w:val="right"/>
              <w:textAlignment w:val="auto"/>
              <w:rPr>
                <w:rFonts w:ascii="Arial" w:hAnsi="Arial" w:cs="Calibri"/>
                <w:b/>
                <w:bCs/>
                <w:color w:val="000000"/>
                <w:szCs w:val="18"/>
                <w:lang w:eastAsia="en-IN"/>
              </w:rPr>
            </w:pPr>
            <w:r w:rsidRPr="00E70587">
              <w:rPr>
                <w:rFonts w:ascii="Arial" w:hAnsi="Arial" w:cs="Calibri"/>
                <w:b/>
                <w:bCs/>
                <w:color w:val="000000"/>
                <w:szCs w:val="18"/>
                <w:lang w:eastAsia="en-IN"/>
              </w:rPr>
              <w:t>(</w:t>
            </w:r>
            <w:r w:rsidR="002049C2">
              <w:rPr>
                <w:rFonts w:ascii="Arial" w:hAnsi="Arial" w:cs="Calibri"/>
                <w:b/>
                <w:bCs/>
                <w:color w:val="000000"/>
                <w:szCs w:val="18"/>
                <w:lang w:eastAsia="en-IN"/>
              </w:rPr>
              <w:t>731</w:t>
            </w:r>
            <w:r w:rsidRPr="00E70587">
              <w:rPr>
                <w:rFonts w:ascii="Arial" w:hAnsi="Arial" w:cs="Calibri"/>
                <w:b/>
                <w:bCs/>
                <w:color w:val="000000"/>
                <w:szCs w:val="18"/>
                <w:lang w:eastAsia="en-IN"/>
              </w:rPr>
              <w:t>)</w:t>
            </w:r>
          </w:p>
        </w:tc>
        <w:tc>
          <w:tcPr>
            <w:tcW w:w="1249" w:type="dxa"/>
            <w:tcBorders>
              <w:top w:val="nil"/>
              <w:left w:val="nil"/>
              <w:bottom w:val="nil"/>
              <w:right w:val="nil"/>
            </w:tcBorders>
            <w:shd w:val="clear" w:color="auto" w:fill="auto"/>
            <w:vAlign w:val="center"/>
            <w:hideMark/>
          </w:tcPr>
          <w:p w14:paraId="271B2402" w14:textId="77777777" w:rsidR="000A2ED4" w:rsidRPr="00E70587" w:rsidRDefault="000A2ED4" w:rsidP="006C3B80">
            <w:pPr>
              <w:overflowPunct/>
              <w:autoSpaceDE/>
              <w:autoSpaceDN/>
              <w:adjustRightInd/>
              <w:spacing w:line="240" w:lineRule="auto"/>
              <w:jc w:val="right"/>
              <w:textAlignment w:val="auto"/>
              <w:rPr>
                <w:rFonts w:ascii="Arial" w:hAnsi="Arial" w:cs="Calibri"/>
                <w:b/>
                <w:bCs/>
                <w:color w:val="000000"/>
                <w:szCs w:val="18"/>
                <w:lang w:eastAsia="en-IN"/>
              </w:rPr>
            </w:pPr>
            <w:r w:rsidRPr="00E70587">
              <w:rPr>
                <w:rFonts w:ascii="Arial" w:hAnsi="Arial" w:cs="Calibri"/>
                <w:b/>
                <w:bCs/>
                <w:color w:val="000000"/>
                <w:szCs w:val="18"/>
                <w:lang w:eastAsia="en-IN"/>
              </w:rPr>
              <w:t>0</w:t>
            </w:r>
          </w:p>
        </w:tc>
        <w:tc>
          <w:tcPr>
            <w:tcW w:w="1203" w:type="dxa"/>
            <w:tcBorders>
              <w:top w:val="nil"/>
              <w:left w:val="nil"/>
              <w:bottom w:val="nil"/>
              <w:right w:val="nil"/>
            </w:tcBorders>
            <w:shd w:val="clear" w:color="auto" w:fill="auto"/>
            <w:vAlign w:val="center"/>
            <w:hideMark/>
          </w:tcPr>
          <w:p w14:paraId="574115ED" w14:textId="4DA7DB55" w:rsidR="000A2ED4" w:rsidRPr="00E70587" w:rsidRDefault="00427844" w:rsidP="006C3B80">
            <w:pPr>
              <w:overflowPunct/>
              <w:autoSpaceDE/>
              <w:autoSpaceDN/>
              <w:adjustRightInd/>
              <w:spacing w:line="240" w:lineRule="auto"/>
              <w:jc w:val="right"/>
              <w:textAlignment w:val="auto"/>
              <w:rPr>
                <w:rFonts w:ascii="Arial" w:hAnsi="Arial" w:cs="Calibri"/>
                <w:b/>
                <w:bCs/>
                <w:color w:val="000000"/>
                <w:szCs w:val="18"/>
                <w:lang w:eastAsia="en-IN"/>
              </w:rPr>
            </w:pPr>
            <w:r>
              <w:rPr>
                <w:rFonts w:ascii="Arial" w:hAnsi="Arial" w:cs="Calibri"/>
                <w:b/>
                <w:bCs/>
                <w:color w:val="000000"/>
                <w:szCs w:val="18"/>
                <w:lang w:eastAsia="en-IN"/>
              </w:rPr>
              <w:t>1</w:t>
            </w:r>
            <w:r w:rsidR="000A2ED4" w:rsidRPr="00E70587">
              <w:rPr>
                <w:rFonts w:ascii="Arial" w:hAnsi="Arial" w:cs="Calibri"/>
                <w:b/>
                <w:bCs/>
                <w:color w:val="000000"/>
                <w:szCs w:val="18"/>
                <w:lang w:eastAsia="en-IN"/>
              </w:rPr>
              <w:t>8</w:t>
            </w:r>
          </w:p>
        </w:tc>
        <w:tc>
          <w:tcPr>
            <w:tcW w:w="892" w:type="dxa"/>
            <w:tcBorders>
              <w:top w:val="nil"/>
              <w:left w:val="nil"/>
              <w:bottom w:val="nil"/>
              <w:right w:val="nil"/>
            </w:tcBorders>
            <w:shd w:val="clear" w:color="auto" w:fill="auto"/>
            <w:vAlign w:val="center"/>
            <w:hideMark/>
          </w:tcPr>
          <w:p w14:paraId="76F2FD96" w14:textId="77777777" w:rsidR="000A2ED4" w:rsidRPr="00E70587" w:rsidRDefault="000A2ED4" w:rsidP="006C3B80">
            <w:pPr>
              <w:overflowPunct/>
              <w:autoSpaceDE/>
              <w:autoSpaceDN/>
              <w:adjustRightInd/>
              <w:spacing w:line="240" w:lineRule="auto"/>
              <w:jc w:val="right"/>
              <w:textAlignment w:val="auto"/>
              <w:rPr>
                <w:rFonts w:ascii="Arial" w:hAnsi="Arial" w:cs="Calibri"/>
                <w:b/>
                <w:bCs/>
                <w:color w:val="000000"/>
                <w:szCs w:val="18"/>
                <w:lang w:eastAsia="en-IN"/>
              </w:rPr>
            </w:pPr>
            <w:r w:rsidRPr="00E70587">
              <w:rPr>
                <w:rFonts w:ascii="Arial" w:hAnsi="Arial" w:cs="Calibri"/>
                <w:b/>
                <w:bCs/>
                <w:color w:val="000000"/>
                <w:szCs w:val="18"/>
                <w:lang w:eastAsia="en-IN"/>
              </w:rPr>
              <w:t>0</w:t>
            </w:r>
          </w:p>
        </w:tc>
        <w:tc>
          <w:tcPr>
            <w:tcW w:w="800" w:type="dxa"/>
            <w:tcBorders>
              <w:top w:val="nil"/>
              <w:left w:val="nil"/>
              <w:bottom w:val="nil"/>
              <w:right w:val="nil"/>
            </w:tcBorders>
            <w:shd w:val="clear" w:color="auto" w:fill="auto"/>
            <w:vAlign w:val="center"/>
            <w:hideMark/>
          </w:tcPr>
          <w:p w14:paraId="62F7512F" w14:textId="3B961E13" w:rsidR="000A2ED4" w:rsidRPr="00E70587" w:rsidRDefault="002049C2" w:rsidP="006C3B80">
            <w:pPr>
              <w:overflowPunct/>
              <w:autoSpaceDE/>
              <w:autoSpaceDN/>
              <w:adjustRightInd/>
              <w:spacing w:line="240" w:lineRule="auto"/>
              <w:jc w:val="right"/>
              <w:textAlignment w:val="auto"/>
              <w:rPr>
                <w:rFonts w:ascii="Arial" w:hAnsi="Arial" w:cs="Calibri"/>
                <w:b/>
                <w:bCs/>
                <w:color w:val="000000"/>
                <w:szCs w:val="18"/>
                <w:lang w:eastAsia="en-IN"/>
              </w:rPr>
            </w:pPr>
            <w:r>
              <w:rPr>
                <w:rFonts w:ascii="Arial" w:hAnsi="Arial" w:cs="Calibri"/>
                <w:b/>
                <w:bCs/>
                <w:color w:val="000000"/>
                <w:szCs w:val="18"/>
                <w:lang w:eastAsia="en-IN"/>
              </w:rPr>
              <w:t>405</w:t>
            </w:r>
          </w:p>
        </w:tc>
        <w:tc>
          <w:tcPr>
            <w:tcW w:w="959" w:type="dxa"/>
            <w:tcBorders>
              <w:top w:val="nil"/>
              <w:left w:val="nil"/>
              <w:bottom w:val="nil"/>
              <w:right w:val="nil"/>
            </w:tcBorders>
            <w:shd w:val="clear" w:color="auto" w:fill="auto"/>
            <w:vAlign w:val="center"/>
            <w:hideMark/>
          </w:tcPr>
          <w:p w14:paraId="44F27548" w14:textId="090CA2B6" w:rsidR="000A2ED4" w:rsidRPr="00E70587" w:rsidRDefault="002049C2" w:rsidP="00FF141C">
            <w:pPr>
              <w:overflowPunct/>
              <w:autoSpaceDE/>
              <w:autoSpaceDN/>
              <w:adjustRightInd/>
              <w:spacing w:line="240" w:lineRule="auto"/>
              <w:jc w:val="right"/>
              <w:textAlignment w:val="auto"/>
              <w:rPr>
                <w:rFonts w:ascii="Arial" w:hAnsi="Arial" w:cs="Calibri"/>
                <w:b/>
                <w:bCs/>
                <w:color w:val="000000"/>
                <w:szCs w:val="18"/>
                <w:lang w:eastAsia="en-IN"/>
              </w:rPr>
            </w:pPr>
            <w:r>
              <w:rPr>
                <w:rFonts w:ascii="Arial" w:hAnsi="Arial" w:cs="Calibri"/>
                <w:b/>
                <w:bCs/>
                <w:color w:val="000000"/>
                <w:szCs w:val="18"/>
                <w:lang w:eastAsia="en-IN"/>
              </w:rPr>
              <w:t>526</w:t>
            </w:r>
          </w:p>
        </w:tc>
        <w:tc>
          <w:tcPr>
            <w:tcW w:w="900" w:type="dxa"/>
            <w:tcBorders>
              <w:top w:val="nil"/>
              <w:left w:val="nil"/>
              <w:bottom w:val="nil"/>
              <w:right w:val="nil"/>
            </w:tcBorders>
            <w:shd w:val="clear" w:color="auto" w:fill="auto"/>
            <w:vAlign w:val="center"/>
            <w:hideMark/>
          </w:tcPr>
          <w:p w14:paraId="248A12A4" w14:textId="5E005247" w:rsidR="000A2ED4" w:rsidRPr="00E70587" w:rsidRDefault="00875B72" w:rsidP="008D4DB9">
            <w:pPr>
              <w:overflowPunct/>
              <w:autoSpaceDE/>
              <w:autoSpaceDN/>
              <w:adjustRightInd/>
              <w:spacing w:line="240" w:lineRule="auto"/>
              <w:jc w:val="right"/>
              <w:textAlignment w:val="auto"/>
              <w:rPr>
                <w:rFonts w:ascii="Arial" w:hAnsi="Arial" w:cs="Calibri"/>
                <w:b/>
                <w:bCs/>
                <w:color w:val="000000"/>
                <w:szCs w:val="18"/>
                <w:lang w:eastAsia="en-IN"/>
              </w:rPr>
            </w:pPr>
            <w:r w:rsidRPr="00E70587">
              <w:rPr>
                <w:rFonts w:ascii="Arial" w:hAnsi="Arial" w:cs="Calibri"/>
                <w:b/>
                <w:bCs/>
                <w:color w:val="000000"/>
                <w:szCs w:val="18"/>
                <w:lang w:eastAsia="en-IN"/>
              </w:rPr>
              <w:t>4</w:t>
            </w:r>
            <w:r>
              <w:rPr>
                <w:rFonts w:ascii="Arial" w:hAnsi="Arial" w:cs="Calibri"/>
                <w:b/>
                <w:bCs/>
                <w:color w:val="000000"/>
                <w:szCs w:val="18"/>
                <w:lang w:eastAsia="en-IN"/>
              </w:rPr>
              <w:t>7</w:t>
            </w:r>
            <w:r w:rsidR="000A2ED4" w:rsidRPr="00E70587">
              <w:rPr>
                <w:rFonts w:ascii="Arial" w:hAnsi="Arial" w:cs="Calibri"/>
                <w:b/>
                <w:bCs/>
                <w:color w:val="000000"/>
                <w:szCs w:val="18"/>
                <w:lang w:eastAsia="en-IN"/>
              </w:rPr>
              <w:t>,</w:t>
            </w:r>
            <w:r>
              <w:rPr>
                <w:rFonts w:ascii="Arial" w:hAnsi="Arial" w:cs="Calibri"/>
                <w:b/>
                <w:bCs/>
                <w:color w:val="000000"/>
                <w:szCs w:val="18"/>
                <w:lang w:eastAsia="en-IN"/>
              </w:rPr>
              <w:t>6</w:t>
            </w:r>
            <w:r w:rsidR="007852FB">
              <w:rPr>
                <w:rFonts w:ascii="Arial" w:hAnsi="Arial" w:cs="Calibri"/>
                <w:b/>
                <w:bCs/>
                <w:color w:val="000000"/>
                <w:szCs w:val="18"/>
                <w:lang w:eastAsia="en-IN"/>
              </w:rPr>
              <w:t>20</w:t>
            </w:r>
          </w:p>
        </w:tc>
      </w:tr>
    </w:tbl>
    <w:p w14:paraId="0F7984E1" w14:textId="77777777" w:rsidR="006C3B80" w:rsidRPr="00E70587" w:rsidRDefault="006C3B80" w:rsidP="00315CA4">
      <w:pPr>
        <w:pStyle w:val="Notesbodytext"/>
        <w:spacing w:after="0" w:line="280" w:lineRule="exact"/>
        <w:jc w:val="both"/>
        <w:rPr>
          <w:rFonts w:ascii="Arial" w:hAnsi="Arial"/>
          <w:color w:val="auto"/>
          <w:sz w:val="22"/>
        </w:rPr>
      </w:pPr>
    </w:p>
    <w:p w14:paraId="43EB6AE7" w14:textId="7EA62757" w:rsidR="00C30E40" w:rsidRPr="00E70587" w:rsidRDefault="00C30E40" w:rsidP="00315CA4">
      <w:pPr>
        <w:spacing w:line="280" w:lineRule="exact"/>
        <w:jc w:val="both"/>
        <w:rPr>
          <w:rFonts w:ascii="Arial" w:hAnsi="Arial" w:cs="EYInterstate Light"/>
          <w:sz w:val="20"/>
          <w:szCs w:val="18"/>
          <w:lang w:eastAsia="en-IN"/>
        </w:rPr>
      </w:pPr>
      <w:r w:rsidRPr="00E70587">
        <w:rPr>
          <w:rFonts w:ascii="Arial" w:hAnsi="Arial" w:cs="EYInterstate Light"/>
          <w:sz w:val="20"/>
          <w:szCs w:val="18"/>
          <w:lang w:eastAsia="en-IN"/>
        </w:rPr>
        <w:t>The ‘Other’ column includes the effect of reclassification of non-current portion of borrowings, including lease</w:t>
      </w:r>
      <w:r w:rsidR="008774EB">
        <w:rPr>
          <w:rFonts w:ascii="Arial" w:hAnsi="Arial" w:cs="EYInterstate Light"/>
          <w:sz w:val="20"/>
          <w:szCs w:val="18"/>
          <w:lang w:eastAsia="en-IN"/>
        </w:rPr>
        <w:t xml:space="preserve"> liabilities</w:t>
      </w:r>
      <w:r w:rsidRPr="00E70587">
        <w:rPr>
          <w:rFonts w:ascii="Arial" w:hAnsi="Arial" w:cs="EYInterstate Light"/>
          <w:sz w:val="20"/>
          <w:szCs w:val="18"/>
          <w:lang w:eastAsia="en-IN"/>
        </w:rPr>
        <w:t xml:space="preserve"> to current due to the passage of time, and the effect of accrued but not yet paid interest on borrowings.</w:t>
      </w:r>
    </w:p>
    <w:p w14:paraId="3970FE7A" w14:textId="38AA291B" w:rsidR="009827DF" w:rsidRDefault="009827DF" w:rsidP="009901E1">
      <w:pPr>
        <w:pStyle w:val="Notesbodytext"/>
        <w:spacing w:after="0" w:line="280" w:lineRule="exact"/>
        <w:jc w:val="both"/>
        <w:rPr>
          <w:rFonts w:ascii="Arial" w:hAnsi="Arial"/>
          <w:color w:val="auto"/>
          <w:sz w:val="20"/>
        </w:rPr>
      </w:pPr>
    </w:p>
    <w:p w14:paraId="72F7C001" w14:textId="00105E6F" w:rsidR="00095355" w:rsidRPr="00095355" w:rsidRDefault="00095355" w:rsidP="00095355">
      <w:pPr>
        <w:pStyle w:val="Notesbodytext"/>
        <w:shd w:val="clear" w:color="auto" w:fill="C1C1C1" w:themeFill="background2" w:themeFillTint="66"/>
        <w:spacing w:after="0" w:line="280" w:lineRule="exact"/>
        <w:jc w:val="both"/>
        <w:rPr>
          <w:rFonts w:ascii="Arial" w:hAnsi="Arial"/>
          <w:b/>
          <w:bCs/>
          <w:color w:val="auto"/>
          <w:sz w:val="20"/>
        </w:rPr>
      </w:pPr>
      <w:r w:rsidRPr="00095355">
        <w:rPr>
          <w:rFonts w:ascii="Arial" w:hAnsi="Arial"/>
          <w:b/>
          <w:bCs/>
          <w:color w:val="auto"/>
          <w:sz w:val="20"/>
        </w:rPr>
        <w:t>Author’s Note</w:t>
      </w:r>
    </w:p>
    <w:p w14:paraId="6D19E8A7" w14:textId="45B6B6F2" w:rsidR="00095355" w:rsidRDefault="00095355" w:rsidP="00095355">
      <w:pPr>
        <w:pStyle w:val="Notesbodytext"/>
        <w:shd w:val="clear" w:color="auto" w:fill="C1C1C1" w:themeFill="background2" w:themeFillTint="66"/>
        <w:spacing w:after="0" w:line="280" w:lineRule="exact"/>
        <w:jc w:val="both"/>
        <w:rPr>
          <w:rFonts w:ascii="Arial" w:hAnsi="Arial"/>
          <w:color w:val="auto"/>
          <w:sz w:val="20"/>
        </w:rPr>
      </w:pPr>
    </w:p>
    <w:p w14:paraId="4AA28327" w14:textId="5BEABEA0" w:rsidR="00C2699A" w:rsidRDefault="00095355" w:rsidP="00095355">
      <w:pPr>
        <w:pStyle w:val="Notesbodytext"/>
        <w:shd w:val="clear" w:color="auto" w:fill="C1C1C1" w:themeFill="background2" w:themeFillTint="66"/>
        <w:spacing w:line="280" w:lineRule="exact"/>
        <w:jc w:val="both"/>
        <w:rPr>
          <w:rFonts w:ascii="Arial" w:hAnsi="Arial"/>
          <w:color w:val="auto"/>
          <w:sz w:val="20"/>
        </w:rPr>
      </w:pPr>
      <w:r w:rsidRPr="00095355">
        <w:rPr>
          <w:rFonts w:ascii="Arial" w:hAnsi="Arial"/>
          <w:color w:val="auto"/>
          <w:sz w:val="20"/>
        </w:rPr>
        <w:t xml:space="preserve">There is no prescribed format for this disclosure, but </w:t>
      </w:r>
      <w:r>
        <w:rPr>
          <w:rFonts w:ascii="Arial" w:hAnsi="Arial"/>
          <w:color w:val="auto"/>
          <w:sz w:val="20"/>
        </w:rPr>
        <w:t>Author</w:t>
      </w:r>
      <w:r w:rsidRPr="00095355">
        <w:rPr>
          <w:rFonts w:ascii="Arial" w:hAnsi="Arial"/>
          <w:color w:val="auto"/>
          <w:sz w:val="20"/>
        </w:rPr>
        <w:t xml:space="preserve"> has selected a tabular format as it considered it the most efficient and meaningful way of meeting the requirement in IAS 7.44A and its objective, </w:t>
      </w:r>
      <w:r w:rsidR="00C2699A" w:rsidRPr="00095355">
        <w:rPr>
          <w:rFonts w:ascii="Arial" w:hAnsi="Arial"/>
          <w:color w:val="auto"/>
          <w:sz w:val="20"/>
        </w:rPr>
        <w:t>given the</w:t>
      </w:r>
      <w:r w:rsidRPr="00095355">
        <w:rPr>
          <w:rFonts w:ascii="Arial" w:hAnsi="Arial"/>
          <w:color w:val="auto"/>
          <w:sz w:val="20"/>
        </w:rPr>
        <w:t xml:space="preserve"> facts and circumstances.</w:t>
      </w:r>
    </w:p>
    <w:p w14:paraId="2ABF9232" w14:textId="77777777" w:rsidR="00095355" w:rsidRPr="00E70587" w:rsidRDefault="00095355" w:rsidP="009901E1">
      <w:pPr>
        <w:pStyle w:val="Notesbodytext"/>
        <w:spacing w:after="0" w:line="280" w:lineRule="exact"/>
        <w:jc w:val="both"/>
        <w:rPr>
          <w:rFonts w:ascii="Arial" w:hAnsi="Arial"/>
          <w:color w:val="auto"/>
          <w:sz w:val="20"/>
        </w:rPr>
      </w:pPr>
    </w:p>
    <w:p w14:paraId="3EDF7100" w14:textId="77777777" w:rsidR="00FB0C73" w:rsidRPr="00E70587" w:rsidRDefault="00883AA7"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 xml:space="preserve">Share </w:t>
      </w:r>
      <w:r w:rsidR="00FB0C73" w:rsidRPr="00E70587">
        <w:rPr>
          <w:rFonts w:ascii="Arial" w:hAnsi="Arial" w:cs="Arial"/>
          <w:sz w:val="20"/>
          <w:szCs w:val="20"/>
        </w:rPr>
        <w:t>capital</w:t>
      </w:r>
    </w:p>
    <w:p w14:paraId="1CFEEF4F" w14:textId="77777777" w:rsidR="009849EE" w:rsidRPr="00E70587" w:rsidRDefault="009849EE" w:rsidP="009901E1">
      <w:pPr>
        <w:pStyle w:val="Notesbodytext"/>
        <w:spacing w:after="0" w:line="280" w:lineRule="exact"/>
        <w:jc w:val="both"/>
        <w:rPr>
          <w:rFonts w:ascii="Arial" w:hAnsi="Arial"/>
          <w:color w:val="auto"/>
          <w:sz w:val="20"/>
        </w:rPr>
      </w:pPr>
    </w:p>
    <w:tbl>
      <w:tblPr>
        <w:tblW w:w="9576" w:type="dxa"/>
        <w:tblLayout w:type="fixed"/>
        <w:tblLook w:val="01E0" w:firstRow="1" w:lastRow="1" w:firstColumn="1" w:lastColumn="1" w:noHBand="0" w:noVBand="0"/>
      </w:tblPr>
      <w:tblGrid>
        <w:gridCol w:w="4131"/>
        <w:gridCol w:w="1565"/>
        <w:gridCol w:w="1281"/>
        <w:gridCol w:w="1281"/>
        <w:gridCol w:w="1318"/>
      </w:tblGrid>
      <w:tr w:rsidR="00CA33DC" w:rsidRPr="00E70587" w14:paraId="64E24453" w14:textId="77777777" w:rsidTr="00CA33DC">
        <w:tc>
          <w:tcPr>
            <w:tcW w:w="9576" w:type="dxa"/>
            <w:gridSpan w:val="5"/>
            <w:tcMar>
              <w:right w:w="57" w:type="dxa"/>
            </w:tcMar>
          </w:tcPr>
          <w:p w14:paraId="7B2F6929" w14:textId="77777777" w:rsidR="009901E1" w:rsidRPr="00E70587" w:rsidRDefault="009901E1" w:rsidP="009901E1">
            <w:pPr>
              <w:pStyle w:val="Notesitalicheading"/>
              <w:spacing w:line="280" w:lineRule="exact"/>
              <w:rPr>
                <w:rFonts w:ascii="Arial" w:hAnsi="Arial"/>
                <w:i w:val="0"/>
                <w:color w:val="auto"/>
                <w:sz w:val="20"/>
              </w:rPr>
            </w:pPr>
            <w:r w:rsidRPr="00E70587">
              <w:rPr>
                <w:rFonts w:ascii="Arial" w:hAnsi="Arial"/>
                <w:i w:val="0"/>
                <w:color w:val="auto"/>
                <w:sz w:val="20"/>
              </w:rPr>
              <w:t>Authorised share</w:t>
            </w:r>
            <w:r w:rsidR="00034EA3" w:rsidRPr="00E70587">
              <w:rPr>
                <w:rFonts w:ascii="Arial" w:hAnsi="Arial"/>
                <w:i w:val="0"/>
                <w:color w:val="auto"/>
                <w:sz w:val="20"/>
              </w:rPr>
              <w:t xml:space="preserve"> capital</w:t>
            </w:r>
          </w:p>
        </w:tc>
      </w:tr>
      <w:tr w:rsidR="00CA33DC" w:rsidRPr="00E70587" w14:paraId="38BAB51A" w14:textId="77777777" w:rsidTr="00CA33DC">
        <w:tblPrEx>
          <w:tblBorders>
            <w:bottom w:val="single" w:sz="4" w:space="0" w:color="auto"/>
          </w:tblBorders>
          <w:tblCellMar>
            <w:left w:w="72" w:type="dxa"/>
            <w:right w:w="72" w:type="dxa"/>
          </w:tblCellMar>
        </w:tblPrEx>
        <w:tc>
          <w:tcPr>
            <w:tcW w:w="4131" w:type="dxa"/>
            <w:vAlign w:val="center"/>
          </w:tcPr>
          <w:p w14:paraId="57641CDC" w14:textId="77777777" w:rsidR="009901E1" w:rsidRPr="00E70587" w:rsidRDefault="009901E1"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2846" w:type="dxa"/>
            <w:gridSpan w:val="2"/>
            <w:tcBorders>
              <w:bottom w:val="single" w:sz="4" w:space="0" w:color="auto"/>
            </w:tcBorders>
            <w:vAlign w:val="bottom"/>
          </w:tcPr>
          <w:p w14:paraId="36B415AA" w14:textId="77777777" w:rsidR="009901E1" w:rsidRPr="00E70587" w:rsidRDefault="009901E1"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Equity Shares</w:t>
            </w:r>
          </w:p>
        </w:tc>
        <w:tc>
          <w:tcPr>
            <w:tcW w:w="2599" w:type="dxa"/>
            <w:gridSpan w:val="2"/>
            <w:tcBorders>
              <w:bottom w:val="single" w:sz="4" w:space="0" w:color="auto"/>
            </w:tcBorders>
            <w:vAlign w:val="bottom"/>
          </w:tcPr>
          <w:p w14:paraId="35AFEA42" w14:textId="77777777" w:rsidR="009901E1" w:rsidRPr="00E70587" w:rsidRDefault="009901E1"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Preference Shares</w:t>
            </w:r>
          </w:p>
        </w:tc>
      </w:tr>
      <w:tr w:rsidR="00CA33DC" w:rsidRPr="00E70587" w14:paraId="6B7FDDF9" w14:textId="77777777" w:rsidTr="00CA33DC">
        <w:tblPrEx>
          <w:tblBorders>
            <w:bottom w:val="single" w:sz="4" w:space="0" w:color="auto"/>
          </w:tblBorders>
          <w:tblCellMar>
            <w:left w:w="72" w:type="dxa"/>
            <w:right w:w="72" w:type="dxa"/>
          </w:tblCellMar>
        </w:tblPrEx>
        <w:tc>
          <w:tcPr>
            <w:tcW w:w="4131" w:type="dxa"/>
            <w:vAlign w:val="center"/>
          </w:tcPr>
          <w:p w14:paraId="6DC27917" w14:textId="77777777" w:rsidR="009901E1" w:rsidRPr="00E70587" w:rsidRDefault="009901E1"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565" w:type="dxa"/>
            <w:tcBorders>
              <w:top w:val="single" w:sz="4" w:space="0" w:color="auto"/>
            </w:tcBorders>
            <w:vAlign w:val="bottom"/>
          </w:tcPr>
          <w:p w14:paraId="58AC4E9B" w14:textId="77777777" w:rsidR="009901E1" w:rsidRPr="00E70587" w:rsidRDefault="009901E1"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No. in Lacs</w:t>
            </w:r>
          </w:p>
        </w:tc>
        <w:tc>
          <w:tcPr>
            <w:tcW w:w="1281" w:type="dxa"/>
            <w:tcBorders>
              <w:top w:val="single" w:sz="4" w:space="0" w:color="auto"/>
            </w:tcBorders>
            <w:vAlign w:val="bottom"/>
          </w:tcPr>
          <w:p w14:paraId="655075D6" w14:textId="77777777" w:rsidR="009901E1" w:rsidRPr="00E70587" w:rsidRDefault="009901E1"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281" w:type="dxa"/>
            <w:tcBorders>
              <w:top w:val="single" w:sz="4" w:space="0" w:color="auto"/>
            </w:tcBorders>
            <w:vAlign w:val="bottom"/>
          </w:tcPr>
          <w:p w14:paraId="5AC5714D" w14:textId="77777777" w:rsidR="009901E1" w:rsidRPr="00E70587" w:rsidRDefault="009901E1"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No. in Lacs</w:t>
            </w:r>
          </w:p>
        </w:tc>
        <w:tc>
          <w:tcPr>
            <w:tcW w:w="1318" w:type="dxa"/>
            <w:tcBorders>
              <w:top w:val="single" w:sz="4" w:space="0" w:color="auto"/>
            </w:tcBorders>
            <w:vAlign w:val="bottom"/>
          </w:tcPr>
          <w:p w14:paraId="639879A7" w14:textId="77777777" w:rsidR="009901E1" w:rsidRPr="00E70587" w:rsidRDefault="009901E1"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CA33DC" w:rsidRPr="00E70587" w14:paraId="681C2AC3" w14:textId="77777777" w:rsidTr="00CA33DC">
        <w:tblPrEx>
          <w:tblBorders>
            <w:bottom w:val="single" w:sz="4" w:space="0" w:color="auto"/>
          </w:tblBorders>
          <w:tblCellMar>
            <w:left w:w="72" w:type="dxa"/>
            <w:right w:w="72" w:type="dxa"/>
          </w:tblCellMar>
        </w:tblPrEx>
        <w:tc>
          <w:tcPr>
            <w:tcW w:w="4131" w:type="dxa"/>
            <w:tcMar>
              <w:top w:w="28" w:type="dxa"/>
              <w:left w:w="108" w:type="dxa"/>
              <w:right w:w="108" w:type="dxa"/>
            </w:tcMar>
            <w:vAlign w:val="center"/>
          </w:tcPr>
          <w:p w14:paraId="23737F49" w14:textId="47402DC4" w:rsidR="009901E1" w:rsidRPr="00E70587" w:rsidRDefault="009901E1"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1 April </w:t>
            </w:r>
            <w:r w:rsidR="00B4255B" w:rsidRPr="00E70587">
              <w:rPr>
                <w:rFonts w:ascii="Arial" w:hAnsi="Arial" w:cs="Arial"/>
                <w:b/>
                <w:sz w:val="20"/>
                <w:lang w:val="en-IN"/>
              </w:rPr>
              <w:t>201</w:t>
            </w:r>
            <w:r w:rsidR="00B4255B">
              <w:rPr>
                <w:rFonts w:ascii="Arial" w:hAnsi="Arial" w:cs="Arial"/>
                <w:b/>
                <w:sz w:val="20"/>
                <w:lang w:val="en-IN"/>
              </w:rPr>
              <w:t>9</w:t>
            </w:r>
          </w:p>
        </w:tc>
        <w:tc>
          <w:tcPr>
            <w:tcW w:w="1565" w:type="dxa"/>
            <w:tcMar>
              <w:top w:w="28" w:type="dxa"/>
              <w:left w:w="108" w:type="dxa"/>
              <w:right w:w="108" w:type="dxa"/>
            </w:tcMar>
          </w:tcPr>
          <w:p w14:paraId="20E6E7AB" w14:textId="77777777" w:rsidR="009901E1" w:rsidRPr="00E70587" w:rsidRDefault="009901E1" w:rsidP="009901E1">
            <w:pPr>
              <w:spacing w:line="280" w:lineRule="exact"/>
              <w:jc w:val="right"/>
              <w:rPr>
                <w:rFonts w:ascii="Arial" w:hAnsi="Arial" w:cs="Arial"/>
                <w:sz w:val="20"/>
              </w:rPr>
            </w:pPr>
            <w:r w:rsidRPr="00E70587">
              <w:rPr>
                <w:rFonts w:ascii="Arial" w:hAnsi="Arial" w:cs="Arial"/>
                <w:sz w:val="20"/>
              </w:rPr>
              <w:t>36,158</w:t>
            </w:r>
          </w:p>
        </w:tc>
        <w:tc>
          <w:tcPr>
            <w:tcW w:w="1281" w:type="dxa"/>
            <w:tcMar>
              <w:top w:w="28" w:type="dxa"/>
              <w:left w:w="108" w:type="dxa"/>
              <w:right w:w="108" w:type="dxa"/>
            </w:tcMar>
          </w:tcPr>
          <w:p w14:paraId="55523DEC" w14:textId="77777777" w:rsidR="009901E1" w:rsidRPr="00E70587" w:rsidRDefault="009901E1" w:rsidP="009901E1">
            <w:pPr>
              <w:spacing w:line="280" w:lineRule="exact"/>
              <w:jc w:val="right"/>
              <w:rPr>
                <w:rFonts w:ascii="Arial" w:hAnsi="Arial" w:cs="Arial"/>
                <w:sz w:val="20"/>
              </w:rPr>
            </w:pPr>
            <w:r w:rsidRPr="00E70587">
              <w:rPr>
                <w:rFonts w:ascii="Arial" w:hAnsi="Arial" w:cs="Arial"/>
                <w:sz w:val="20"/>
              </w:rPr>
              <w:t>36,158</w:t>
            </w:r>
          </w:p>
        </w:tc>
        <w:tc>
          <w:tcPr>
            <w:tcW w:w="1281" w:type="dxa"/>
          </w:tcPr>
          <w:p w14:paraId="4F1E666B" w14:textId="77777777" w:rsidR="009901E1" w:rsidRPr="00E70587" w:rsidRDefault="009901E1" w:rsidP="009901E1">
            <w:pPr>
              <w:spacing w:line="280" w:lineRule="exact"/>
              <w:jc w:val="right"/>
              <w:rPr>
                <w:rFonts w:ascii="Arial" w:hAnsi="Arial" w:cs="Arial"/>
                <w:sz w:val="20"/>
              </w:rPr>
            </w:pPr>
            <w:r w:rsidRPr="00E70587">
              <w:rPr>
                <w:rFonts w:ascii="Arial" w:hAnsi="Arial" w:cs="Arial"/>
                <w:sz w:val="20"/>
              </w:rPr>
              <w:t>4,500</w:t>
            </w:r>
          </w:p>
        </w:tc>
        <w:tc>
          <w:tcPr>
            <w:tcW w:w="1318" w:type="dxa"/>
          </w:tcPr>
          <w:p w14:paraId="5C4BEEFC" w14:textId="77777777" w:rsidR="009901E1" w:rsidRPr="00E70587" w:rsidRDefault="009901E1" w:rsidP="009901E1">
            <w:pPr>
              <w:spacing w:line="280" w:lineRule="exact"/>
              <w:jc w:val="right"/>
              <w:rPr>
                <w:rFonts w:ascii="Arial" w:hAnsi="Arial" w:cs="Arial"/>
                <w:sz w:val="20"/>
              </w:rPr>
            </w:pPr>
            <w:r w:rsidRPr="00E70587">
              <w:rPr>
                <w:rFonts w:ascii="Arial" w:hAnsi="Arial" w:cs="Arial"/>
                <w:sz w:val="20"/>
              </w:rPr>
              <w:t>4,500</w:t>
            </w:r>
          </w:p>
        </w:tc>
      </w:tr>
      <w:tr w:rsidR="00CA33DC" w:rsidRPr="00E70587" w14:paraId="1E0D6CFA" w14:textId="77777777" w:rsidTr="00CA33DC">
        <w:tblPrEx>
          <w:tblBorders>
            <w:bottom w:val="single" w:sz="4" w:space="0" w:color="auto"/>
          </w:tblBorders>
          <w:tblCellMar>
            <w:left w:w="72" w:type="dxa"/>
            <w:right w:w="72" w:type="dxa"/>
          </w:tblCellMar>
        </w:tblPrEx>
        <w:tc>
          <w:tcPr>
            <w:tcW w:w="4131" w:type="dxa"/>
            <w:tcMar>
              <w:top w:w="28" w:type="dxa"/>
              <w:left w:w="108" w:type="dxa"/>
              <w:right w:w="108" w:type="dxa"/>
            </w:tcMar>
            <w:vAlign w:val="center"/>
          </w:tcPr>
          <w:p w14:paraId="1BA1664A" w14:textId="77777777" w:rsidR="009901E1" w:rsidRPr="00E70587" w:rsidRDefault="009901E1" w:rsidP="009901E1">
            <w:pPr>
              <w:spacing w:line="280" w:lineRule="exact"/>
              <w:rPr>
                <w:rFonts w:ascii="Arial" w:hAnsi="Arial" w:cs="Arial"/>
                <w:sz w:val="20"/>
              </w:rPr>
            </w:pPr>
            <w:r w:rsidRPr="00E70587">
              <w:rPr>
                <w:rFonts w:ascii="Arial" w:hAnsi="Arial" w:cs="Arial"/>
                <w:sz w:val="20"/>
              </w:rPr>
              <w:t>Increase/(decrease) during the year</w:t>
            </w:r>
          </w:p>
        </w:tc>
        <w:tc>
          <w:tcPr>
            <w:tcW w:w="1565" w:type="dxa"/>
            <w:tcBorders>
              <w:bottom w:val="single" w:sz="4" w:space="0" w:color="auto"/>
            </w:tcBorders>
            <w:tcMar>
              <w:top w:w="28" w:type="dxa"/>
              <w:left w:w="108" w:type="dxa"/>
              <w:right w:w="108" w:type="dxa"/>
            </w:tcMar>
          </w:tcPr>
          <w:p w14:paraId="19DDEA7E" w14:textId="77777777" w:rsidR="009901E1" w:rsidRPr="00E70587" w:rsidRDefault="009901E1" w:rsidP="009901E1">
            <w:pPr>
              <w:spacing w:line="280" w:lineRule="exact"/>
              <w:jc w:val="right"/>
              <w:rPr>
                <w:rFonts w:ascii="Arial" w:hAnsi="Arial" w:cs="Arial"/>
                <w:sz w:val="20"/>
              </w:rPr>
            </w:pPr>
            <w:r w:rsidRPr="00E70587">
              <w:rPr>
                <w:rFonts w:ascii="Arial" w:hAnsi="Arial" w:cs="Arial"/>
                <w:sz w:val="20"/>
              </w:rPr>
              <w:t>-</w:t>
            </w:r>
          </w:p>
        </w:tc>
        <w:tc>
          <w:tcPr>
            <w:tcW w:w="1281" w:type="dxa"/>
            <w:tcBorders>
              <w:bottom w:val="single" w:sz="4" w:space="0" w:color="auto"/>
            </w:tcBorders>
            <w:tcMar>
              <w:top w:w="28" w:type="dxa"/>
              <w:left w:w="108" w:type="dxa"/>
              <w:right w:w="108" w:type="dxa"/>
            </w:tcMar>
          </w:tcPr>
          <w:p w14:paraId="7179B3CB" w14:textId="77777777" w:rsidR="009901E1" w:rsidRPr="00E70587" w:rsidRDefault="009901E1" w:rsidP="009901E1">
            <w:pPr>
              <w:spacing w:line="280" w:lineRule="exact"/>
              <w:jc w:val="right"/>
              <w:rPr>
                <w:rFonts w:ascii="Arial" w:hAnsi="Arial" w:cs="Arial"/>
                <w:sz w:val="20"/>
              </w:rPr>
            </w:pPr>
            <w:r w:rsidRPr="00E70587">
              <w:rPr>
                <w:rFonts w:ascii="Arial" w:hAnsi="Arial" w:cs="Arial"/>
                <w:sz w:val="20"/>
              </w:rPr>
              <w:t>-</w:t>
            </w:r>
          </w:p>
        </w:tc>
        <w:tc>
          <w:tcPr>
            <w:tcW w:w="1281" w:type="dxa"/>
            <w:tcBorders>
              <w:bottom w:val="single" w:sz="4" w:space="0" w:color="auto"/>
            </w:tcBorders>
          </w:tcPr>
          <w:p w14:paraId="64F372A6" w14:textId="77777777" w:rsidR="009901E1" w:rsidRPr="00E70587" w:rsidRDefault="009901E1" w:rsidP="009901E1">
            <w:pPr>
              <w:spacing w:line="280" w:lineRule="exact"/>
              <w:jc w:val="right"/>
              <w:rPr>
                <w:rFonts w:ascii="Arial" w:hAnsi="Arial" w:cs="Arial"/>
                <w:sz w:val="20"/>
              </w:rPr>
            </w:pPr>
            <w:r w:rsidRPr="00E70587">
              <w:rPr>
                <w:rFonts w:ascii="Arial" w:hAnsi="Arial" w:cs="Arial"/>
                <w:sz w:val="20"/>
              </w:rPr>
              <w:t>-</w:t>
            </w:r>
          </w:p>
        </w:tc>
        <w:tc>
          <w:tcPr>
            <w:tcW w:w="1318" w:type="dxa"/>
            <w:tcBorders>
              <w:bottom w:val="single" w:sz="4" w:space="0" w:color="auto"/>
            </w:tcBorders>
          </w:tcPr>
          <w:p w14:paraId="6A82268A" w14:textId="77777777" w:rsidR="009901E1" w:rsidRPr="00E70587" w:rsidRDefault="009901E1" w:rsidP="009901E1">
            <w:pPr>
              <w:spacing w:line="280" w:lineRule="exact"/>
              <w:jc w:val="right"/>
              <w:rPr>
                <w:rFonts w:ascii="Arial" w:hAnsi="Arial" w:cs="Arial"/>
                <w:sz w:val="20"/>
              </w:rPr>
            </w:pPr>
            <w:r w:rsidRPr="00E70587">
              <w:rPr>
                <w:rFonts w:ascii="Arial" w:hAnsi="Arial" w:cs="Arial"/>
                <w:sz w:val="20"/>
              </w:rPr>
              <w:t>-</w:t>
            </w:r>
          </w:p>
        </w:tc>
      </w:tr>
      <w:tr w:rsidR="00CA33DC" w:rsidRPr="00E70587" w14:paraId="213A2CFC" w14:textId="77777777" w:rsidTr="00CA33DC">
        <w:tblPrEx>
          <w:tblBorders>
            <w:bottom w:val="single" w:sz="4" w:space="0" w:color="auto"/>
          </w:tblBorders>
          <w:tblCellMar>
            <w:left w:w="72" w:type="dxa"/>
            <w:right w:w="72" w:type="dxa"/>
          </w:tblCellMar>
        </w:tblPrEx>
        <w:tc>
          <w:tcPr>
            <w:tcW w:w="4131" w:type="dxa"/>
            <w:tcMar>
              <w:top w:w="28" w:type="dxa"/>
              <w:left w:w="108" w:type="dxa"/>
              <w:right w:w="108" w:type="dxa"/>
            </w:tcMar>
            <w:vAlign w:val="center"/>
          </w:tcPr>
          <w:p w14:paraId="041A7B6E" w14:textId="0428871B" w:rsidR="009901E1" w:rsidRPr="00E70587" w:rsidRDefault="009901E1"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 xml:space="preserve">At 31 </w:t>
            </w:r>
            <w:r w:rsidR="008B730E" w:rsidRPr="00E70587">
              <w:rPr>
                <w:rFonts w:ascii="Arial" w:hAnsi="Arial" w:cs="Arial"/>
                <w:b/>
                <w:sz w:val="20"/>
                <w:lang w:val="en-IN"/>
              </w:rPr>
              <w:t xml:space="preserve">March </w:t>
            </w:r>
            <w:r w:rsidR="00B4255B" w:rsidRPr="00E70587">
              <w:rPr>
                <w:rFonts w:ascii="Arial" w:hAnsi="Arial" w:cs="Arial"/>
                <w:b/>
                <w:sz w:val="20"/>
                <w:lang w:val="en-IN"/>
              </w:rPr>
              <w:t>20</w:t>
            </w:r>
            <w:r w:rsidR="00B4255B">
              <w:rPr>
                <w:rFonts w:ascii="Arial" w:hAnsi="Arial" w:cs="Arial"/>
                <w:b/>
                <w:sz w:val="20"/>
                <w:lang w:val="en-IN"/>
              </w:rPr>
              <w:t>20</w:t>
            </w:r>
          </w:p>
        </w:tc>
        <w:tc>
          <w:tcPr>
            <w:tcW w:w="1565" w:type="dxa"/>
            <w:tcBorders>
              <w:top w:val="single" w:sz="4" w:space="0" w:color="auto"/>
              <w:bottom w:val="nil"/>
            </w:tcBorders>
            <w:tcMar>
              <w:top w:w="28" w:type="dxa"/>
              <w:left w:w="108" w:type="dxa"/>
              <w:right w:w="108" w:type="dxa"/>
            </w:tcMar>
          </w:tcPr>
          <w:p w14:paraId="06FDDED1" w14:textId="77777777" w:rsidR="009901E1" w:rsidRPr="00E70587" w:rsidRDefault="009901E1" w:rsidP="009901E1">
            <w:pPr>
              <w:spacing w:line="280" w:lineRule="exact"/>
              <w:jc w:val="right"/>
              <w:rPr>
                <w:rFonts w:ascii="Arial" w:hAnsi="Arial" w:cs="Arial"/>
                <w:b/>
                <w:sz w:val="20"/>
              </w:rPr>
            </w:pPr>
            <w:r w:rsidRPr="00E70587">
              <w:rPr>
                <w:rFonts w:ascii="Arial" w:hAnsi="Arial" w:cs="Arial"/>
                <w:b/>
                <w:sz w:val="20"/>
              </w:rPr>
              <w:t>36,158</w:t>
            </w:r>
          </w:p>
        </w:tc>
        <w:tc>
          <w:tcPr>
            <w:tcW w:w="1281" w:type="dxa"/>
            <w:tcBorders>
              <w:top w:val="single" w:sz="4" w:space="0" w:color="auto"/>
              <w:bottom w:val="nil"/>
            </w:tcBorders>
            <w:tcMar>
              <w:top w:w="28" w:type="dxa"/>
              <w:left w:w="108" w:type="dxa"/>
              <w:right w:w="108" w:type="dxa"/>
            </w:tcMar>
          </w:tcPr>
          <w:p w14:paraId="54599FB6" w14:textId="77777777" w:rsidR="009901E1" w:rsidRPr="00E70587" w:rsidRDefault="009901E1" w:rsidP="009901E1">
            <w:pPr>
              <w:spacing w:line="280" w:lineRule="exact"/>
              <w:jc w:val="right"/>
              <w:rPr>
                <w:rFonts w:ascii="Arial" w:hAnsi="Arial" w:cs="Arial"/>
                <w:b/>
                <w:sz w:val="20"/>
              </w:rPr>
            </w:pPr>
            <w:r w:rsidRPr="00E70587">
              <w:rPr>
                <w:rFonts w:ascii="Arial" w:hAnsi="Arial" w:cs="Arial"/>
                <w:b/>
                <w:sz w:val="20"/>
              </w:rPr>
              <w:t>36,158</w:t>
            </w:r>
          </w:p>
        </w:tc>
        <w:tc>
          <w:tcPr>
            <w:tcW w:w="1281" w:type="dxa"/>
            <w:tcBorders>
              <w:top w:val="single" w:sz="4" w:space="0" w:color="auto"/>
              <w:bottom w:val="nil"/>
            </w:tcBorders>
          </w:tcPr>
          <w:p w14:paraId="0D50F445" w14:textId="77777777" w:rsidR="009901E1" w:rsidRPr="00E70587" w:rsidRDefault="009901E1" w:rsidP="009901E1">
            <w:pPr>
              <w:spacing w:line="280" w:lineRule="exact"/>
              <w:jc w:val="right"/>
              <w:rPr>
                <w:rFonts w:ascii="Arial" w:hAnsi="Arial" w:cs="Arial"/>
                <w:b/>
                <w:sz w:val="20"/>
              </w:rPr>
            </w:pPr>
            <w:r w:rsidRPr="00E70587">
              <w:rPr>
                <w:rFonts w:ascii="Arial" w:hAnsi="Arial" w:cs="Arial"/>
                <w:b/>
                <w:sz w:val="20"/>
              </w:rPr>
              <w:t>4,500</w:t>
            </w:r>
          </w:p>
        </w:tc>
        <w:tc>
          <w:tcPr>
            <w:tcW w:w="1318" w:type="dxa"/>
            <w:tcBorders>
              <w:top w:val="single" w:sz="4" w:space="0" w:color="auto"/>
              <w:bottom w:val="nil"/>
            </w:tcBorders>
          </w:tcPr>
          <w:p w14:paraId="75B7A4CC" w14:textId="77777777" w:rsidR="009901E1" w:rsidRPr="00E70587" w:rsidRDefault="009901E1" w:rsidP="009901E1">
            <w:pPr>
              <w:spacing w:line="280" w:lineRule="exact"/>
              <w:jc w:val="right"/>
              <w:rPr>
                <w:rFonts w:ascii="Arial" w:hAnsi="Arial" w:cs="Arial"/>
                <w:b/>
                <w:sz w:val="20"/>
              </w:rPr>
            </w:pPr>
            <w:r w:rsidRPr="00E70587">
              <w:rPr>
                <w:rFonts w:ascii="Arial" w:hAnsi="Arial" w:cs="Arial"/>
                <w:b/>
                <w:sz w:val="20"/>
              </w:rPr>
              <w:t>4,500</w:t>
            </w:r>
          </w:p>
        </w:tc>
      </w:tr>
      <w:tr w:rsidR="00CA33DC" w:rsidRPr="00E70587" w14:paraId="1B6893CF" w14:textId="77777777" w:rsidTr="00CA33DC">
        <w:tblPrEx>
          <w:tblBorders>
            <w:bottom w:val="single" w:sz="4" w:space="0" w:color="auto"/>
          </w:tblBorders>
          <w:tblCellMar>
            <w:left w:w="72" w:type="dxa"/>
            <w:right w:w="72" w:type="dxa"/>
          </w:tblCellMar>
        </w:tblPrEx>
        <w:tc>
          <w:tcPr>
            <w:tcW w:w="4131" w:type="dxa"/>
            <w:tcMar>
              <w:top w:w="28" w:type="dxa"/>
              <w:left w:w="108" w:type="dxa"/>
              <w:right w:w="108" w:type="dxa"/>
            </w:tcMar>
            <w:vAlign w:val="center"/>
          </w:tcPr>
          <w:p w14:paraId="4FDC7139" w14:textId="77777777" w:rsidR="009901E1" w:rsidRPr="00E70587" w:rsidRDefault="009901E1" w:rsidP="009901E1">
            <w:pPr>
              <w:spacing w:line="280" w:lineRule="exact"/>
              <w:rPr>
                <w:rFonts w:ascii="Arial" w:hAnsi="Arial" w:cs="Arial"/>
                <w:sz w:val="20"/>
              </w:rPr>
            </w:pPr>
            <w:r w:rsidRPr="00E70587">
              <w:rPr>
                <w:rFonts w:ascii="Arial" w:hAnsi="Arial" w:cs="Arial"/>
                <w:sz w:val="20"/>
              </w:rPr>
              <w:t>Increase/(decrease) during the year</w:t>
            </w:r>
          </w:p>
        </w:tc>
        <w:tc>
          <w:tcPr>
            <w:tcW w:w="1565" w:type="dxa"/>
            <w:tcBorders>
              <w:top w:val="nil"/>
              <w:bottom w:val="single" w:sz="4" w:space="0" w:color="auto"/>
            </w:tcBorders>
            <w:tcMar>
              <w:top w:w="28" w:type="dxa"/>
              <w:left w:w="108" w:type="dxa"/>
              <w:right w:w="108" w:type="dxa"/>
            </w:tcMar>
          </w:tcPr>
          <w:p w14:paraId="56F081F4" w14:textId="77777777" w:rsidR="009901E1" w:rsidRPr="00E70587" w:rsidRDefault="009901E1" w:rsidP="009901E1">
            <w:pPr>
              <w:spacing w:line="280" w:lineRule="exact"/>
              <w:jc w:val="right"/>
              <w:rPr>
                <w:rFonts w:ascii="Arial" w:hAnsi="Arial" w:cs="Arial"/>
                <w:sz w:val="20"/>
              </w:rPr>
            </w:pPr>
            <w:r w:rsidRPr="00E70587">
              <w:rPr>
                <w:rFonts w:ascii="Arial" w:hAnsi="Arial" w:cs="Arial"/>
                <w:sz w:val="20"/>
              </w:rPr>
              <w:t>4,500</w:t>
            </w:r>
          </w:p>
        </w:tc>
        <w:tc>
          <w:tcPr>
            <w:tcW w:w="1281" w:type="dxa"/>
            <w:tcBorders>
              <w:top w:val="nil"/>
              <w:bottom w:val="single" w:sz="4" w:space="0" w:color="auto"/>
            </w:tcBorders>
            <w:tcMar>
              <w:top w:w="28" w:type="dxa"/>
              <w:left w:w="108" w:type="dxa"/>
              <w:right w:w="108" w:type="dxa"/>
            </w:tcMar>
          </w:tcPr>
          <w:p w14:paraId="63B65D35" w14:textId="77777777" w:rsidR="009901E1" w:rsidRPr="00E70587" w:rsidRDefault="009901E1" w:rsidP="009901E1">
            <w:pPr>
              <w:spacing w:line="280" w:lineRule="exact"/>
              <w:jc w:val="right"/>
              <w:rPr>
                <w:rFonts w:ascii="Arial" w:hAnsi="Arial" w:cs="Arial"/>
                <w:sz w:val="20"/>
              </w:rPr>
            </w:pPr>
            <w:r w:rsidRPr="00E70587">
              <w:rPr>
                <w:rFonts w:ascii="Arial" w:hAnsi="Arial" w:cs="Arial"/>
                <w:sz w:val="20"/>
              </w:rPr>
              <w:t>4,500</w:t>
            </w:r>
          </w:p>
        </w:tc>
        <w:tc>
          <w:tcPr>
            <w:tcW w:w="1281" w:type="dxa"/>
            <w:tcBorders>
              <w:top w:val="nil"/>
              <w:bottom w:val="single" w:sz="4" w:space="0" w:color="auto"/>
            </w:tcBorders>
          </w:tcPr>
          <w:p w14:paraId="6622A5D9" w14:textId="77777777" w:rsidR="009901E1" w:rsidRPr="00E70587" w:rsidRDefault="009901E1" w:rsidP="009901E1">
            <w:pPr>
              <w:spacing w:line="280" w:lineRule="exact"/>
              <w:jc w:val="right"/>
              <w:rPr>
                <w:rFonts w:ascii="Arial" w:hAnsi="Arial" w:cs="Arial"/>
                <w:sz w:val="20"/>
              </w:rPr>
            </w:pPr>
            <w:r w:rsidRPr="00E70587">
              <w:rPr>
                <w:rFonts w:ascii="Arial" w:hAnsi="Arial" w:cs="Arial"/>
                <w:sz w:val="20"/>
              </w:rPr>
              <w:t>-</w:t>
            </w:r>
          </w:p>
        </w:tc>
        <w:tc>
          <w:tcPr>
            <w:tcW w:w="1318" w:type="dxa"/>
            <w:tcBorders>
              <w:top w:val="nil"/>
              <w:bottom w:val="single" w:sz="4" w:space="0" w:color="auto"/>
            </w:tcBorders>
          </w:tcPr>
          <w:p w14:paraId="5A416FBD" w14:textId="77777777" w:rsidR="009901E1" w:rsidRPr="00E70587" w:rsidRDefault="009901E1" w:rsidP="009901E1">
            <w:pPr>
              <w:spacing w:line="280" w:lineRule="exact"/>
              <w:jc w:val="right"/>
              <w:rPr>
                <w:rFonts w:ascii="Arial" w:hAnsi="Arial" w:cs="Arial"/>
                <w:sz w:val="20"/>
              </w:rPr>
            </w:pPr>
            <w:r w:rsidRPr="00E70587">
              <w:rPr>
                <w:rFonts w:ascii="Arial" w:hAnsi="Arial" w:cs="Arial"/>
                <w:sz w:val="20"/>
              </w:rPr>
              <w:t>-</w:t>
            </w:r>
          </w:p>
        </w:tc>
      </w:tr>
      <w:tr w:rsidR="00CA33DC" w:rsidRPr="00E70587" w14:paraId="4916E59A" w14:textId="77777777" w:rsidTr="00CA33DC">
        <w:tblPrEx>
          <w:tblBorders>
            <w:bottom w:val="single" w:sz="4" w:space="0" w:color="auto"/>
          </w:tblBorders>
          <w:tblCellMar>
            <w:left w:w="72" w:type="dxa"/>
            <w:right w:w="72" w:type="dxa"/>
          </w:tblCellMar>
        </w:tblPrEx>
        <w:tc>
          <w:tcPr>
            <w:tcW w:w="4131" w:type="dxa"/>
            <w:tcBorders>
              <w:bottom w:val="nil"/>
            </w:tcBorders>
            <w:tcMar>
              <w:top w:w="28" w:type="dxa"/>
              <w:left w:w="108" w:type="dxa"/>
              <w:right w:w="108" w:type="dxa"/>
            </w:tcMar>
            <w:vAlign w:val="center"/>
          </w:tcPr>
          <w:p w14:paraId="15FB2021" w14:textId="21D3D48D" w:rsidR="009901E1" w:rsidRPr="00E70587" w:rsidRDefault="009901E1"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 xml:space="preserve">At 31 </w:t>
            </w:r>
            <w:r w:rsidR="00E1202D" w:rsidRPr="00E70587">
              <w:rPr>
                <w:rFonts w:ascii="Arial" w:hAnsi="Arial" w:cs="Arial"/>
                <w:b/>
                <w:sz w:val="20"/>
                <w:lang w:val="en-IN"/>
              </w:rPr>
              <w:t xml:space="preserve">March </w:t>
            </w:r>
            <w:r w:rsidR="00B4255B" w:rsidRPr="00E70587">
              <w:rPr>
                <w:rFonts w:ascii="Arial" w:hAnsi="Arial" w:cs="Arial"/>
                <w:b/>
                <w:sz w:val="20"/>
                <w:lang w:val="en-IN"/>
              </w:rPr>
              <w:t>20</w:t>
            </w:r>
            <w:r w:rsidR="00B4255B">
              <w:rPr>
                <w:rFonts w:ascii="Arial" w:hAnsi="Arial" w:cs="Arial"/>
                <w:b/>
                <w:sz w:val="20"/>
                <w:lang w:val="en-IN"/>
              </w:rPr>
              <w:t>21</w:t>
            </w:r>
          </w:p>
        </w:tc>
        <w:tc>
          <w:tcPr>
            <w:tcW w:w="1565" w:type="dxa"/>
            <w:tcBorders>
              <w:top w:val="single" w:sz="4" w:space="0" w:color="auto"/>
              <w:bottom w:val="double" w:sz="4" w:space="0" w:color="auto"/>
            </w:tcBorders>
            <w:tcMar>
              <w:top w:w="28" w:type="dxa"/>
              <w:left w:w="108" w:type="dxa"/>
              <w:right w:w="108" w:type="dxa"/>
            </w:tcMar>
          </w:tcPr>
          <w:p w14:paraId="5E0C40BE" w14:textId="77777777" w:rsidR="009901E1" w:rsidRPr="00E70587" w:rsidRDefault="009901E1" w:rsidP="009901E1">
            <w:pPr>
              <w:spacing w:line="280" w:lineRule="exact"/>
              <w:jc w:val="right"/>
              <w:rPr>
                <w:rFonts w:ascii="Arial" w:hAnsi="Arial" w:cs="Arial"/>
                <w:b/>
                <w:sz w:val="20"/>
              </w:rPr>
            </w:pPr>
            <w:r w:rsidRPr="00E70587">
              <w:rPr>
                <w:rFonts w:ascii="Arial" w:hAnsi="Arial" w:cs="Arial"/>
                <w:b/>
                <w:sz w:val="20"/>
              </w:rPr>
              <w:t>40,658</w:t>
            </w:r>
          </w:p>
        </w:tc>
        <w:tc>
          <w:tcPr>
            <w:tcW w:w="1281" w:type="dxa"/>
            <w:tcBorders>
              <w:top w:val="single" w:sz="4" w:space="0" w:color="auto"/>
              <w:bottom w:val="double" w:sz="4" w:space="0" w:color="auto"/>
            </w:tcBorders>
            <w:tcMar>
              <w:top w:w="28" w:type="dxa"/>
              <w:left w:w="108" w:type="dxa"/>
              <w:right w:w="108" w:type="dxa"/>
            </w:tcMar>
          </w:tcPr>
          <w:p w14:paraId="171CA00D" w14:textId="77777777" w:rsidR="009901E1" w:rsidRPr="00E70587" w:rsidRDefault="009901E1" w:rsidP="009901E1">
            <w:pPr>
              <w:spacing w:line="280" w:lineRule="exact"/>
              <w:jc w:val="right"/>
              <w:rPr>
                <w:rFonts w:ascii="Arial" w:hAnsi="Arial" w:cs="Arial"/>
                <w:b/>
                <w:sz w:val="20"/>
              </w:rPr>
            </w:pPr>
            <w:r w:rsidRPr="00E70587">
              <w:rPr>
                <w:rFonts w:ascii="Arial" w:hAnsi="Arial" w:cs="Arial"/>
                <w:b/>
                <w:sz w:val="20"/>
              </w:rPr>
              <w:t>40,658</w:t>
            </w:r>
          </w:p>
        </w:tc>
        <w:tc>
          <w:tcPr>
            <w:tcW w:w="1281" w:type="dxa"/>
            <w:tcBorders>
              <w:top w:val="single" w:sz="4" w:space="0" w:color="auto"/>
              <w:bottom w:val="double" w:sz="4" w:space="0" w:color="auto"/>
            </w:tcBorders>
          </w:tcPr>
          <w:p w14:paraId="4034E332" w14:textId="77777777" w:rsidR="009901E1" w:rsidRPr="00E70587" w:rsidRDefault="009901E1" w:rsidP="009901E1">
            <w:pPr>
              <w:spacing w:line="280" w:lineRule="exact"/>
              <w:jc w:val="right"/>
              <w:rPr>
                <w:rFonts w:ascii="Arial" w:hAnsi="Arial" w:cs="Arial"/>
                <w:b/>
                <w:sz w:val="20"/>
              </w:rPr>
            </w:pPr>
            <w:r w:rsidRPr="00E70587">
              <w:rPr>
                <w:rFonts w:ascii="Arial" w:hAnsi="Arial" w:cs="Arial"/>
                <w:b/>
                <w:sz w:val="20"/>
              </w:rPr>
              <w:t>4,500</w:t>
            </w:r>
          </w:p>
        </w:tc>
        <w:tc>
          <w:tcPr>
            <w:tcW w:w="1318" w:type="dxa"/>
            <w:tcBorders>
              <w:top w:val="single" w:sz="4" w:space="0" w:color="auto"/>
              <w:bottom w:val="double" w:sz="4" w:space="0" w:color="auto"/>
            </w:tcBorders>
          </w:tcPr>
          <w:p w14:paraId="47FCD226" w14:textId="77777777" w:rsidR="009901E1" w:rsidRPr="00E70587" w:rsidRDefault="009901E1" w:rsidP="009901E1">
            <w:pPr>
              <w:spacing w:line="280" w:lineRule="exact"/>
              <w:jc w:val="right"/>
              <w:rPr>
                <w:rFonts w:ascii="Arial" w:hAnsi="Arial" w:cs="Arial"/>
                <w:b/>
                <w:sz w:val="20"/>
              </w:rPr>
            </w:pPr>
            <w:r w:rsidRPr="00E70587">
              <w:rPr>
                <w:rFonts w:ascii="Arial" w:hAnsi="Arial" w:cs="Arial"/>
                <w:b/>
                <w:sz w:val="20"/>
              </w:rPr>
              <w:t>4,500</w:t>
            </w:r>
          </w:p>
        </w:tc>
      </w:tr>
      <w:tr w:rsidR="00CA33DC" w:rsidRPr="00E70587" w14:paraId="7EE14F13" w14:textId="77777777" w:rsidTr="009901E1">
        <w:tblPrEx>
          <w:tblLook w:val="0000" w:firstRow="0" w:lastRow="0" w:firstColumn="0" w:lastColumn="0" w:noHBand="0" w:noVBand="0"/>
        </w:tblPrEx>
        <w:tc>
          <w:tcPr>
            <w:tcW w:w="9576" w:type="dxa"/>
            <w:gridSpan w:val="5"/>
          </w:tcPr>
          <w:p w14:paraId="0E733112" w14:textId="77777777" w:rsidR="009901E1" w:rsidRPr="00E70587" w:rsidRDefault="009901E1" w:rsidP="00CA33DC">
            <w:pPr>
              <w:pStyle w:val="Notesbodytext"/>
              <w:spacing w:after="0" w:line="280" w:lineRule="exact"/>
              <w:jc w:val="both"/>
              <w:rPr>
                <w:rFonts w:ascii="Arial" w:hAnsi="Arial"/>
                <w:color w:val="auto"/>
                <w:sz w:val="20"/>
              </w:rPr>
            </w:pPr>
          </w:p>
          <w:p w14:paraId="742E3722" w14:textId="568DF279" w:rsidR="009901E1" w:rsidRPr="00E70587" w:rsidRDefault="009901E1" w:rsidP="00CA33DC">
            <w:pPr>
              <w:pStyle w:val="Notesbodytext"/>
              <w:spacing w:after="0" w:line="280" w:lineRule="exact"/>
              <w:jc w:val="both"/>
              <w:rPr>
                <w:rFonts w:ascii="Arial" w:hAnsi="Arial"/>
                <w:color w:val="auto"/>
                <w:sz w:val="20"/>
              </w:rPr>
            </w:pPr>
            <w:r w:rsidRPr="00E70587">
              <w:rPr>
                <w:rFonts w:ascii="Arial" w:hAnsi="Arial"/>
                <w:color w:val="auto"/>
                <w:sz w:val="20"/>
              </w:rPr>
              <w:t xml:space="preserve">During the year ended 31 </w:t>
            </w:r>
            <w:r w:rsidR="00E1202D" w:rsidRPr="00E70587">
              <w:rPr>
                <w:rFonts w:ascii="Arial" w:hAnsi="Arial"/>
                <w:color w:val="auto"/>
                <w:sz w:val="20"/>
              </w:rPr>
              <w:t xml:space="preserve">March </w:t>
            </w:r>
            <w:r w:rsidR="00B4255B" w:rsidRPr="00E70587">
              <w:rPr>
                <w:rFonts w:ascii="Arial" w:hAnsi="Arial"/>
                <w:color w:val="auto"/>
                <w:sz w:val="20"/>
              </w:rPr>
              <w:t>20</w:t>
            </w:r>
            <w:r w:rsidR="00B4255B">
              <w:rPr>
                <w:rFonts w:ascii="Arial" w:hAnsi="Arial"/>
                <w:color w:val="auto"/>
                <w:sz w:val="20"/>
              </w:rPr>
              <w:t>21</w:t>
            </w:r>
            <w:r w:rsidRPr="00E70587">
              <w:rPr>
                <w:rFonts w:ascii="Arial" w:hAnsi="Arial"/>
                <w:color w:val="auto"/>
                <w:sz w:val="20"/>
              </w:rPr>
              <w:t xml:space="preserve">, the authorised share capital was increased by INR </w:t>
            </w:r>
            <w:r w:rsidR="00CA33DC" w:rsidRPr="00E70587">
              <w:rPr>
                <w:rFonts w:ascii="Arial" w:hAnsi="Arial"/>
                <w:color w:val="auto"/>
                <w:sz w:val="20"/>
              </w:rPr>
              <w:t xml:space="preserve">4,500 lacs, </w:t>
            </w:r>
            <w:r w:rsidRPr="00E70587">
              <w:rPr>
                <w:rFonts w:ascii="Arial" w:hAnsi="Arial"/>
                <w:color w:val="auto"/>
                <w:sz w:val="20"/>
              </w:rPr>
              <w:t>i.e.</w:t>
            </w:r>
            <w:r w:rsidR="00CA33DC" w:rsidRPr="00E70587">
              <w:rPr>
                <w:rFonts w:ascii="Arial" w:hAnsi="Arial"/>
                <w:color w:val="auto"/>
                <w:sz w:val="20"/>
              </w:rPr>
              <w:t>,</w:t>
            </w:r>
            <w:r w:rsidRPr="00E70587">
              <w:rPr>
                <w:rFonts w:ascii="Arial" w:hAnsi="Arial"/>
                <w:color w:val="auto"/>
                <w:sz w:val="20"/>
              </w:rPr>
              <w:t xml:space="preserve"> </w:t>
            </w:r>
            <w:r w:rsidR="00CA33DC" w:rsidRPr="00E70587">
              <w:rPr>
                <w:rFonts w:ascii="Arial" w:hAnsi="Arial"/>
                <w:color w:val="auto"/>
                <w:sz w:val="20"/>
              </w:rPr>
              <w:t xml:space="preserve">4,500 lac </w:t>
            </w:r>
            <w:r w:rsidRPr="00E70587">
              <w:rPr>
                <w:rFonts w:ascii="Arial" w:hAnsi="Arial"/>
                <w:color w:val="auto"/>
                <w:sz w:val="20"/>
              </w:rPr>
              <w:t>Equity shares of INR 1 each.</w:t>
            </w:r>
          </w:p>
          <w:p w14:paraId="2C060B03" w14:textId="77777777" w:rsidR="009901E1" w:rsidRPr="00E70587" w:rsidRDefault="009901E1" w:rsidP="00CA33DC">
            <w:pPr>
              <w:pStyle w:val="Notesbodytext"/>
              <w:spacing w:after="0" w:line="280" w:lineRule="exact"/>
              <w:jc w:val="both"/>
              <w:rPr>
                <w:rFonts w:ascii="Arial" w:hAnsi="Arial"/>
                <w:color w:val="auto"/>
                <w:sz w:val="20"/>
              </w:rPr>
            </w:pPr>
          </w:p>
        </w:tc>
      </w:tr>
      <w:tr w:rsidR="00CA33DC" w:rsidRPr="00E70587" w14:paraId="2E6C38B3" w14:textId="77777777" w:rsidTr="009901E1">
        <w:tblPrEx>
          <w:tblLook w:val="0000" w:firstRow="0" w:lastRow="0" w:firstColumn="0" w:lastColumn="0" w:noHBand="0" w:noVBand="0"/>
        </w:tblPrEx>
        <w:tc>
          <w:tcPr>
            <w:tcW w:w="9576" w:type="dxa"/>
            <w:gridSpan w:val="5"/>
          </w:tcPr>
          <w:p w14:paraId="24A375B4" w14:textId="77777777" w:rsidR="009901E1" w:rsidRPr="00E70587" w:rsidRDefault="009901E1" w:rsidP="00CA33DC">
            <w:pPr>
              <w:pStyle w:val="Notesbodytext"/>
              <w:spacing w:after="0" w:line="280" w:lineRule="exact"/>
              <w:jc w:val="both"/>
              <w:rPr>
                <w:rFonts w:ascii="Arial" w:hAnsi="Arial"/>
                <w:color w:val="auto"/>
                <w:sz w:val="20"/>
              </w:rPr>
            </w:pPr>
            <w:r w:rsidRPr="00E70587">
              <w:rPr>
                <w:rFonts w:ascii="Arial" w:hAnsi="Arial"/>
                <w:b/>
                <w:color w:val="auto"/>
                <w:sz w:val="20"/>
              </w:rPr>
              <w:t>Terms/ rights attached to equity shares</w:t>
            </w:r>
          </w:p>
          <w:p w14:paraId="2DE74026" w14:textId="77777777" w:rsidR="00CA33DC" w:rsidRPr="00E70587" w:rsidRDefault="00CA33DC" w:rsidP="00CA33DC">
            <w:pPr>
              <w:pStyle w:val="Notesbodytext"/>
              <w:spacing w:after="0" w:line="280" w:lineRule="exact"/>
              <w:jc w:val="both"/>
              <w:rPr>
                <w:rFonts w:ascii="Arial" w:hAnsi="Arial"/>
                <w:color w:val="auto"/>
                <w:sz w:val="20"/>
              </w:rPr>
            </w:pPr>
          </w:p>
          <w:p w14:paraId="1B94CFC4" w14:textId="77777777" w:rsidR="009901E1" w:rsidRPr="00E70587" w:rsidRDefault="009901E1" w:rsidP="00CA33DC">
            <w:pPr>
              <w:pStyle w:val="Notesbodytext"/>
              <w:spacing w:after="0" w:line="280" w:lineRule="exact"/>
              <w:jc w:val="both"/>
              <w:rPr>
                <w:rFonts w:ascii="Arial" w:hAnsi="Arial"/>
                <w:color w:val="auto"/>
                <w:sz w:val="20"/>
              </w:rPr>
            </w:pPr>
            <w:r w:rsidRPr="00E70587">
              <w:rPr>
                <w:rFonts w:ascii="Arial" w:hAnsi="Arial"/>
                <w:color w:val="auto"/>
                <w:sz w:val="20"/>
              </w:rPr>
              <w:t>The company has only one class of equity shares having par value of INR</w:t>
            </w:r>
            <w:r w:rsidR="00CA33DC" w:rsidRPr="00E70587">
              <w:rPr>
                <w:rFonts w:ascii="Arial" w:hAnsi="Arial"/>
                <w:color w:val="auto"/>
                <w:sz w:val="20"/>
              </w:rPr>
              <w:t xml:space="preserve"> </w:t>
            </w:r>
            <w:r w:rsidRPr="00E70587">
              <w:rPr>
                <w:rFonts w:ascii="Arial" w:hAnsi="Arial"/>
                <w:color w:val="auto"/>
                <w:sz w:val="20"/>
              </w:rPr>
              <w:t>1 per share. Each holder of equity shares is entitled to one vote per share. The company declares and pays dividends in Indian rupees. The dividend proposed by the Board of Directors is subject to the approval of the shareholders in the ensuing Annual General Meeting.</w:t>
            </w:r>
          </w:p>
          <w:p w14:paraId="36F36380" w14:textId="77777777" w:rsidR="009901E1" w:rsidRPr="00E70587" w:rsidRDefault="009901E1" w:rsidP="00CA33DC">
            <w:pPr>
              <w:pStyle w:val="Notesbodytext"/>
              <w:spacing w:after="0" w:line="280" w:lineRule="exact"/>
              <w:jc w:val="both"/>
              <w:rPr>
                <w:rFonts w:ascii="Arial" w:hAnsi="Arial"/>
                <w:color w:val="auto"/>
                <w:sz w:val="20"/>
              </w:rPr>
            </w:pPr>
          </w:p>
          <w:p w14:paraId="323D026A" w14:textId="77777777" w:rsidR="00CA33DC" w:rsidRPr="00E70587" w:rsidRDefault="00CA33DC" w:rsidP="00CA33DC">
            <w:pPr>
              <w:pStyle w:val="Notesbodytext"/>
              <w:spacing w:after="0" w:line="280" w:lineRule="exact"/>
              <w:jc w:val="both"/>
              <w:rPr>
                <w:rFonts w:ascii="Arial" w:hAnsi="Arial"/>
                <w:color w:val="auto"/>
                <w:sz w:val="20"/>
              </w:rPr>
            </w:pPr>
            <w:r w:rsidRPr="00E70587">
              <w:rPr>
                <w:rFonts w:ascii="Arial" w:hAnsi="Arial"/>
                <w:color w:val="auto"/>
                <w:sz w:val="20"/>
              </w:rPr>
              <w:t>In the event of liquidation of the company, the holders of equity shares will be entitled to receive remaining assets of the company, after distribution of all preferential amounts. The distribution will be in proportion to the number of equity shares held by the shareholders.</w:t>
            </w:r>
          </w:p>
          <w:p w14:paraId="699258F9" w14:textId="77777777" w:rsidR="00CA33DC" w:rsidRPr="00E70587" w:rsidRDefault="00CA33DC" w:rsidP="00CA33DC">
            <w:pPr>
              <w:pStyle w:val="Notesbodytext"/>
              <w:spacing w:after="0" w:line="280" w:lineRule="exact"/>
              <w:jc w:val="both"/>
              <w:rPr>
                <w:rFonts w:ascii="Arial" w:hAnsi="Arial"/>
                <w:color w:val="auto"/>
                <w:sz w:val="20"/>
              </w:rPr>
            </w:pPr>
          </w:p>
        </w:tc>
      </w:tr>
      <w:tr w:rsidR="00CA33DC" w:rsidRPr="00E70587" w14:paraId="55C46E26" w14:textId="77777777" w:rsidTr="009901E1">
        <w:tblPrEx>
          <w:tblLook w:val="0000" w:firstRow="0" w:lastRow="0" w:firstColumn="0" w:lastColumn="0" w:noHBand="0" w:noVBand="0"/>
        </w:tblPrEx>
        <w:tc>
          <w:tcPr>
            <w:tcW w:w="9576" w:type="dxa"/>
            <w:gridSpan w:val="5"/>
          </w:tcPr>
          <w:p w14:paraId="08C8089E" w14:textId="77777777" w:rsidR="009901E1" w:rsidRPr="00E70587" w:rsidRDefault="009901E1" w:rsidP="00CA33DC">
            <w:pPr>
              <w:pStyle w:val="Notesbodytext"/>
              <w:spacing w:after="0" w:line="280" w:lineRule="exact"/>
              <w:jc w:val="both"/>
              <w:rPr>
                <w:rFonts w:ascii="Arial" w:hAnsi="Arial"/>
                <w:color w:val="auto"/>
                <w:sz w:val="20"/>
              </w:rPr>
            </w:pPr>
            <w:r w:rsidRPr="00E70587">
              <w:rPr>
                <w:rFonts w:ascii="Arial" w:hAnsi="Arial"/>
                <w:b/>
                <w:color w:val="auto"/>
                <w:sz w:val="20"/>
              </w:rPr>
              <w:t>Terms/ rights attached to preference shares</w:t>
            </w:r>
          </w:p>
          <w:p w14:paraId="7CFF43DA" w14:textId="77777777" w:rsidR="00CA33DC" w:rsidRPr="00E70587" w:rsidRDefault="00CA33DC" w:rsidP="00CA33DC">
            <w:pPr>
              <w:pStyle w:val="Notesbodytext"/>
              <w:spacing w:after="0" w:line="280" w:lineRule="exact"/>
              <w:jc w:val="both"/>
              <w:rPr>
                <w:rFonts w:ascii="Arial" w:hAnsi="Arial"/>
                <w:color w:val="auto"/>
                <w:sz w:val="20"/>
              </w:rPr>
            </w:pPr>
          </w:p>
          <w:p w14:paraId="67DAF3B6" w14:textId="465314D9" w:rsidR="009901E1" w:rsidRPr="00E70587" w:rsidRDefault="009901E1" w:rsidP="00CF76D0">
            <w:pPr>
              <w:pStyle w:val="Notesbodytext"/>
              <w:spacing w:after="0" w:line="280" w:lineRule="exact"/>
              <w:jc w:val="both"/>
              <w:rPr>
                <w:rFonts w:ascii="Arial" w:hAnsi="Arial"/>
                <w:color w:val="auto"/>
                <w:sz w:val="20"/>
              </w:rPr>
            </w:pPr>
            <w:r w:rsidRPr="00E70587">
              <w:rPr>
                <w:rFonts w:ascii="Arial" w:hAnsi="Arial"/>
                <w:color w:val="auto"/>
                <w:sz w:val="20"/>
              </w:rPr>
              <w:lastRenderedPageBreak/>
              <w:t xml:space="preserve">Each convertible preference share has a par value of INR 1 and is convertible at the option of the shareholders into Equity shares of the parent of the Group starting from 1 April </w:t>
            </w:r>
            <w:r w:rsidR="00C811DF" w:rsidRPr="00E70587">
              <w:rPr>
                <w:rFonts w:ascii="Arial" w:hAnsi="Arial"/>
                <w:color w:val="auto"/>
                <w:sz w:val="20"/>
              </w:rPr>
              <w:t>202</w:t>
            </w:r>
            <w:r w:rsidR="00C811DF">
              <w:rPr>
                <w:rFonts w:ascii="Arial" w:hAnsi="Arial"/>
                <w:color w:val="auto"/>
                <w:sz w:val="20"/>
              </w:rPr>
              <w:t>3</w:t>
            </w:r>
            <w:r w:rsidR="00C811DF" w:rsidRPr="00E70587">
              <w:rPr>
                <w:rFonts w:ascii="Arial" w:hAnsi="Arial"/>
                <w:color w:val="auto"/>
                <w:sz w:val="20"/>
              </w:rPr>
              <w:t xml:space="preserve"> </w:t>
            </w:r>
            <w:r w:rsidRPr="00E70587">
              <w:rPr>
                <w:rFonts w:ascii="Arial" w:hAnsi="Arial"/>
                <w:color w:val="auto"/>
                <w:sz w:val="20"/>
              </w:rPr>
              <w:t xml:space="preserve">on the basis of one equity share for every three preference shares held. Any preference shares not converted will be redeemed on 31 March </w:t>
            </w:r>
            <w:r w:rsidR="00255BFC" w:rsidRPr="00E70587">
              <w:rPr>
                <w:rFonts w:ascii="Arial" w:hAnsi="Arial"/>
                <w:color w:val="auto"/>
                <w:sz w:val="20"/>
              </w:rPr>
              <w:t>202</w:t>
            </w:r>
            <w:r w:rsidR="00255BFC">
              <w:rPr>
                <w:rFonts w:ascii="Arial" w:hAnsi="Arial"/>
                <w:color w:val="auto"/>
                <w:sz w:val="20"/>
              </w:rPr>
              <w:t>2</w:t>
            </w:r>
            <w:r w:rsidR="00255BFC" w:rsidRPr="00E70587">
              <w:rPr>
                <w:rFonts w:ascii="Arial" w:hAnsi="Arial"/>
                <w:color w:val="auto"/>
                <w:sz w:val="20"/>
              </w:rPr>
              <w:t xml:space="preserve"> </w:t>
            </w:r>
            <w:r w:rsidRPr="00E70587">
              <w:rPr>
                <w:rFonts w:ascii="Arial" w:hAnsi="Arial"/>
                <w:color w:val="auto"/>
                <w:sz w:val="20"/>
              </w:rPr>
              <w:t xml:space="preserve">at a price of INR 1.20 per share. The preference shares carry a dividend of 7% per annum, payable half-yearly in arrears on 30 June and 31 December. The dividend rights are non-cumulative. The preference shares rank ahead of the equity shares in the event of a liquidation. The presentation of the </w:t>
            </w:r>
            <w:r w:rsidR="00CF76D0" w:rsidRPr="00E70587">
              <w:rPr>
                <w:rFonts w:ascii="Arial" w:hAnsi="Arial"/>
                <w:color w:val="auto"/>
                <w:sz w:val="20"/>
              </w:rPr>
              <w:t xml:space="preserve">liability and </w:t>
            </w:r>
            <w:r w:rsidRPr="00E70587">
              <w:rPr>
                <w:rFonts w:ascii="Arial" w:hAnsi="Arial"/>
                <w:color w:val="auto"/>
                <w:sz w:val="20"/>
              </w:rPr>
              <w:t>equity portion</w:t>
            </w:r>
            <w:r w:rsidR="00CF76D0" w:rsidRPr="00E70587">
              <w:rPr>
                <w:rFonts w:ascii="Arial" w:hAnsi="Arial"/>
                <w:color w:val="auto"/>
                <w:sz w:val="20"/>
              </w:rPr>
              <w:t>s</w:t>
            </w:r>
            <w:r w:rsidRPr="00E70587">
              <w:rPr>
                <w:rFonts w:ascii="Arial" w:hAnsi="Arial"/>
                <w:color w:val="auto"/>
                <w:sz w:val="20"/>
              </w:rPr>
              <w:t xml:space="preserve"> of these shares is explained in </w:t>
            </w:r>
            <w:r w:rsidR="00CF76D0" w:rsidRPr="00E70587">
              <w:rPr>
                <w:rFonts w:ascii="Arial" w:hAnsi="Arial"/>
                <w:color w:val="auto"/>
                <w:sz w:val="20"/>
              </w:rPr>
              <w:t xml:space="preserve">the </w:t>
            </w:r>
            <w:r w:rsidRPr="00E70587">
              <w:rPr>
                <w:rFonts w:ascii="Arial" w:hAnsi="Arial"/>
                <w:color w:val="auto"/>
                <w:sz w:val="20"/>
              </w:rPr>
              <w:t xml:space="preserve">summary of </w:t>
            </w:r>
            <w:r w:rsidR="00CF76D0" w:rsidRPr="00E70587">
              <w:rPr>
                <w:rFonts w:ascii="Arial" w:hAnsi="Arial"/>
                <w:color w:val="auto"/>
                <w:sz w:val="20"/>
              </w:rPr>
              <w:t xml:space="preserve">significant </w:t>
            </w:r>
            <w:r w:rsidRPr="00E70587">
              <w:rPr>
                <w:rFonts w:ascii="Arial" w:hAnsi="Arial"/>
                <w:color w:val="auto"/>
                <w:sz w:val="20"/>
              </w:rPr>
              <w:t>accounting policy</w:t>
            </w:r>
            <w:r w:rsidR="00F67A40" w:rsidRPr="00E70587">
              <w:rPr>
                <w:rFonts w:ascii="Arial" w:hAnsi="Arial"/>
                <w:color w:val="auto"/>
                <w:sz w:val="20"/>
              </w:rPr>
              <w:t>.</w:t>
            </w:r>
          </w:p>
        </w:tc>
      </w:tr>
    </w:tbl>
    <w:p w14:paraId="6BC28A42" w14:textId="77777777" w:rsidR="00B73B70" w:rsidRPr="00E70587" w:rsidRDefault="00B73B70" w:rsidP="00CA33DC">
      <w:pPr>
        <w:pStyle w:val="Notesbodytext"/>
        <w:spacing w:after="0" w:line="280" w:lineRule="exact"/>
        <w:jc w:val="both"/>
        <w:rPr>
          <w:rFonts w:ascii="Arial" w:hAnsi="Arial"/>
          <w:color w:val="auto"/>
          <w:sz w:val="20"/>
        </w:rPr>
      </w:pPr>
    </w:p>
    <w:p w14:paraId="213EF9BE" w14:textId="77777777" w:rsidR="00883AA7" w:rsidRPr="00E70587" w:rsidRDefault="00883AA7" w:rsidP="00CA33DC">
      <w:pPr>
        <w:pStyle w:val="Notesbodytext"/>
        <w:spacing w:after="0" w:line="280" w:lineRule="exact"/>
        <w:jc w:val="both"/>
        <w:rPr>
          <w:rFonts w:ascii="Arial" w:hAnsi="Arial"/>
          <w:b/>
          <w:color w:val="auto"/>
          <w:sz w:val="20"/>
        </w:rPr>
      </w:pPr>
      <w:r w:rsidRPr="00E70587">
        <w:rPr>
          <w:rFonts w:ascii="Arial" w:hAnsi="Arial"/>
          <w:b/>
          <w:color w:val="auto"/>
          <w:sz w:val="20"/>
        </w:rPr>
        <w:t xml:space="preserve">Issued equity </w:t>
      </w:r>
      <w:r w:rsidR="00CF76D0" w:rsidRPr="00E70587">
        <w:rPr>
          <w:rFonts w:ascii="Arial" w:hAnsi="Arial"/>
          <w:b/>
          <w:color w:val="auto"/>
          <w:sz w:val="20"/>
        </w:rPr>
        <w:t>capital</w:t>
      </w:r>
    </w:p>
    <w:p w14:paraId="07FFB9EE" w14:textId="77777777" w:rsidR="00883AA7" w:rsidRPr="00E70587" w:rsidRDefault="00883AA7" w:rsidP="009901E1">
      <w:pPr>
        <w:spacing w:line="280" w:lineRule="exact"/>
        <w:rPr>
          <w:rFonts w:ascii="Arial" w:hAnsi="Arial" w:cs="Arial"/>
          <w:sz w:val="20"/>
        </w:rPr>
      </w:pPr>
    </w:p>
    <w:tbl>
      <w:tblPr>
        <w:tblW w:w="9576" w:type="dxa"/>
        <w:tblBorders>
          <w:bottom w:val="single" w:sz="4" w:space="0" w:color="auto"/>
        </w:tblBorders>
        <w:tblLayout w:type="fixed"/>
        <w:tblLook w:val="01E0" w:firstRow="1" w:lastRow="1" w:firstColumn="1" w:lastColumn="1" w:noHBand="0" w:noVBand="0"/>
      </w:tblPr>
      <w:tblGrid>
        <w:gridCol w:w="6415"/>
        <w:gridCol w:w="1716"/>
        <w:gridCol w:w="1445"/>
      </w:tblGrid>
      <w:tr w:rsidR="00CA33DC" w:rsidRPr="00E70587" w14:paraId="62D6CA5C" w14:textId="77777777" w:rsidTr="00CA33DC">
        <w:tc>
          <w:tcPr>
            <w:tcW w:w="6390" w:type="dxa"/>
            <w:vAlign w:val="center"/>
          </w:tcPr>
          <w:p w14:paraId="788C9302" w14:textId="77777777" w:rsidR="00CA33DC" w:rsidRPr="00E70587" w:rsidRDefault="00CA33DC" w:rsidP="009901E1">
            <w:pPr>
              <w:pStyle w:val="Notesitalicheading"/>
              <w:spacing w:line="280" w:lineRule="exact"/>
              <w:rPr>
                <w:rFonts w:ascii="Arial" w:hAnsi="Arial"/>
                <w:i w:val="0"/>
                <w:color w:val="auto"/>
                <w:sz w:val="20"/>
              </w:rPr>
            </w:pPr>
            <w:r w:rsidRPr="00E70587">
              <w:rPr>
                <w:rFonts w:ascii="Arial" w:hAnsi="Arial"/>
                <w:i w:val="0"/>
                <w:color w:val="auto"/>
                <w:sz w:val="20"/>
              </w:rPr>
              <w:t>Equity shares of INR 1 each</w:t>
            </w:r>
            <w:r w:rsidRPr="00E70587">
              <w:rPr>
                <w:rFonts w:ascii="Arial" w:hAnsi="Arial"/>
                <w:color w:val="auto"/>
                <w:sz w:val="20"/>
              </w:rPr>
              <w:t xml:space="preserve"> </w:t>
            </w:r>
            <w:r w:rsidRPr="00E70587">
              <w:rPr>
                <w:rFonts w:ascii="Arial" w:hAnsi="Arial"/>
                <w:i w:val="0"/>
                <w:color w:val="auto"/>
                <w:sz w:val="20"/>
              </w:rPr>
              <w:t>issued and fully paid</w:t>
            </w:r>
          </w:p>
        </w:tc>
        <w:tc>
          <w:tcPr>
            <w:tcW w:w="1710" w:type="dxa"/>
            <w:tcBorders>
              <w:top w:val="nil"/>
              <w:bottom w:val="single" w:sz="4" w:space="0" w:color="auto"/>
            </w:tcBorders>
            <w:vAlign w:val="bottom"/>
          </w:tcPr>
          <w:p w14:paraId="43F0B2BB" w14:textId="77777777" w:rsidR="00CA33DC" w:rsidRPr="00E70587" w:rsidRDefault="00CA33DC"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No in Lacs</w:t>
            </w:r>
          </w:p>
        </w:tc>
        <w:tc>
          <w:tcPr>
            <w:tcW w:w="1440" w:type="dxa"/>
            <w:tcBorders>
              <w:top w:val="nil"/>
              <w:bottom w:val="single" w:sz="4" w:space="0" w:color="auto"/>
            </w:tcBorders>
            <w:vAlign w:val="bottom"/>
          </w:tcPr>
          <w:p w14:paraId="04058548" w14:textId="77777777" w:rsidR="00CA33DC" w:rsidRPr="00E70587" w:rsidRDefault="00CA33DC"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CA33DC" w:rsidRPr="00E70587" w14:paraId="1A463AED" w14:textId="77777777" w:rsidTr="00CA33DC">
        <w:tc>
          <w:tcPr>
            <w:tcW w:w="6390" w:type="dxa"/>
            <w:tcMar>
              <w:top w:w="28" w:type="dxa"/>
              <w:left w:w="108" w:type="dxa"/>
              <w:right w:w="108" w:type="dxa"/>
            </w:tcMar>
            <w:vAlign w:val="center"/>
          </w:tcPr>
          <w:p w14:paraId="651E15E5" w14:textId="7C53A4C4" w:rsidR="00CA33DC" w:rsidRPr="00E70587" w:rsidRDefault="00CA33DC"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1 April </w:t>
            </w:r>
            <w:r w:rsidR="00686728" w:rsidRPr="00E70587">
              <w:rPr>
                <w:rFonts w:ascii="Arial" w:hAnsi="Arial" w:cs="Arial"/>
                <w:b/>
                <w:sz w:val="20"/>
                <w:lang w:val="en-IN"/>
              </w:rPr>
              <w:t>201</w:t>
            </w:r>
            <w:r w:rsidR="00686728">
              <w:rPr>
                <w:rFonts w:ascii="Arial" w:hAnsi="Arial" w:cs="Arial"/>
                <w:b/>
                <w:sz w:val="20"/>
                <w:lang w:val="en-IN"/>
              </w:rPr>
              <w:t>9</w:t>
            </w:r>
          </w:p>
        </w:tc>
        <w:tc>
          <w:tcPr>
            <w:tcW w:w="1710" w:type="dxa"/>
            <w:vAlign w:val="center"/>
          </w:tcPr>
          <w:p w14:paraId="4E3AD04D" w14:textId="77777777" w:rsidR="00CA33DC" w:rsidRPr="00E70587" w:rsidRDefault="00CA33DC" w:rsidP="009901E1">
            <w:pPr>
              <w:pStyle w:val="tabletext"/>
              <w:overflowPunct w:val="0"/>
              <w:autoSpaceDE w:val="0"/>
              <w:autoSpaceDN w:val="0"/>
              <w:adjustRightInd w:val="0"/>
              <w:spacing w:line="280" w:lineRule="exact"/>
              <w:ind w:left="113"/>
              <w:jc w:val="right"/>
              <w:textAlignment w:val="baseline"/>
              <w:rPr>
                <w:rFonts w:ascii="Arial" w:hAnsi="Arial" w:cs="Arial"/>
                <w:b/>
                <w:sz w:val="20"/>
                <w:lang w:val="en-IN"/>
              </w:rPr>
            </w:pPr>
            <w:r w:rsidRPr="00E70587">
              <w:rPr>
                <w:rFonts w:ascii="Arial" w:hAnsi="Arial" w:cs="Arial"/>
                <w:b/>
                <w:sz w:val="20"/>
                <w:lang w:val="en-IN"/>
              </w:rPr>
              <w:t>34,898</w:t>
            </w:r>
          </w:p>
        </w:tc>
        <w:tc>
          <w:tcPr>
            <w:tcW w:w="1440" w:type="dxa"/>
            <w:vAlign w:val="center"/>
          </w:tcPr>
          <w:p w14:paraId="4155F935" w14:textId="77777777" w:rsidR="00CA33DC" w:rsidRPr="00E70587" w:rsidRDefault="00CA33DC" w:rsidP="009901E1">
            <w:pPr>
              <w:pStyle w:val="tabletext"/>
              <w:overflowPunct w:val="0"/>
              <w:autoSpaceDE w:val="0"/>
              <w:autoSpaceDN w:val="0"/>
              <w:adjustRightInd w:val="0"/>
              <w:spacing w:line="280" w:lineRule="exact"/>
              <w:ind w:left="170"/>
              <w:jc w:val="right"/>
              <w:textAlignment w:val="baseline"/>
              <w:rPr>
                <w:rFonts w:ascii="Arial" w:hAnsi="Arial" w:cs="Arial"/>
                <w:b/>
                <w:sz w:val="20"/>
                <w:lang w:val="en-IN"/>
              </w:rPr>
            </w:pPr>
            <w:r w:rsidRPr="00E70587">
              <w:rPr>
                <w:rFonts w:ascii="Arial" w:hAnsi="Arial" w:cs="Arial"/>
                <w:b/>
                <w:sz w:val="20"/>
                <w:lang w:val="en-IN"/>
              </w:rPr>
              <w:t>34,898</w:t>
            </w:r>
          </w:p>
        </w:tc>
      </w:tr>
      <w:tr w:rsidR="00CA33DC" w:rsidRPr="00E70587" w14:paraId="5D1E3DD4" w14:textId="77777777" w:rsidTr="00CA33DC">
        <w:tc>
          <w:tcPr>
            <w:tcW w:w="6390" w:type="dxa"/>
            <w:tcMar>
              <w:top w:w="28" w:type="dxa"/>
              <w:left w:w="108" w:type="dxa"/>
              <w:right w:w="108" w:type="dxa"/>
            </w:tcMar>
            <w:vAlign w:val="center"/>
          </w:tcPr>
          <w:p w14:paraId="134F5351" w14:textId="2FE4EE89" w:rsidR="00CA33DC" w:rsidRPr="00E70587" w:rsidRDefault="00CA33DC"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8B730E" w:rsidRPr="00E70587">
              <w:rPr>
                <w:rFonts w:ascii="Arial" w:hAnsi="Arial" w:cs="Arial"/>
                <w:b/>
                <w:sz w:val="20"/>
                <w:lang w:val="en-IN"/>
              </w:rPr>
              <w:t xml:space="preserve">March </w:t>
            </w:r>
            <w:r w:rsidR="00686728" w:rsidRPr="00E70587">
              <w:rPr>
                <w:rFonts w:ascii="Arial" w:hAnsi="Arial" w:cs="Arial"/>
                <w:b/>
                <w:sz w:val="20"/>
                <w:lang w:val="en-IN"/>
              </w:rPr>
              <w:t>20</w:t>
            </w:r>
            <w:r w:rsidR="00686728">
              <w:rPr>
                <w:rFonts w:ascii="Arial" w:hAnsi="Arial" w:cs="Arial"/>
                <w:b/>
                <w:sz w:val="20"/>
                <w:lang w:val="en-IN"/>
              </w:rPr>
              <w:t>20</w:t>
            </w:r>
          </w:p>
        </w:tc>
        <w:tc>
          <w:tcPr>
            <w:tcW w:w="1710" w:type="dxa"/>
            <w:vAlign w:val="center"/>
          </w:tcPr>
          <w:p w14:paraId="653C0D43" w14:textId="77777777" w:rsidR="00CA33DC" w:rsidRPr="00E70587" w:rsidRDefault="00CA33DC" w:rsidP="009901E1">
            <w:pPr>
              <w:pStyle w:val="tabletext"/>
              <w:overflowPunct w:val="0"/>
              <w:autoSpaceDE w:val="0"/>
              <w:autoSpaceDN w:val="0"/>
              <w:adjustRightInd w:val="0"/>
              <w:spacing w:line="280" w:lineRule="exact"/>
              <w:ind w:left="209"/>
              <w:jc w:val="right"/>
              <w:textAlignment w:val="baseline"/>
              <w:rPr>
                <w:rFonts w:ascii="Arial" w:hAnsi="Arial" w:cs="Arial"/>
                <w:b/>
                <w:sz w:val="20"/>
                <w:lang w:val="en-IN"/>
              </w:rPr>
            </w:pPr>
            <w:r w:rsidRPr="00E70587">
              <w:rPr>
                <w:rFonts w:ascii="Arial" w:hAnsi="Arial" w:cs="Arial"/>
                <w:b/>
                <w:sz w:val="20"/>
                <w:lang w:val="en-IN"/>
              </w:rPr>
              <w:t>34,898</w:t>
            </w:r>
          </w:p>
        </w:tc>
        <w:tc>
          <w:tcPr>
            <w:tcW w:w="1440" w:type="dxa"/>
            <w:vAlign w:val="center"/>
          </w:tcPr>
          <w:p w14:paraId="4BD59E14" w14:textId="77777777" w:rsidR="00CA33DC" w:rsidRPr="00E70587" w:rsidRDefault="00CA33DC" w:rsidP="009901E1">
            <w:pPr>
              <w:pStyle w:val="tabletext"/>
              <w:overflowPunct w:val="0"/>
              <w:autoSpaceDE w:val="0"/>
              <w:autoSpaceDN w:val="0"/>
              <w:adjustRightInd w:val="0"/>
              <w:spacing w:line="280" w:lineRule="exact"/>
              <w:ind w:left="195"/>
              <w:jc w:val="right"/>
              <w:textAlignment w:val="baseline"/>
              <w:rPr>
                <w:rFonts w:ascii="Arial" w:hAnsi="Arial" w:cs="Arial"/>
                <w:b/>
                <w:sz w:val="20"/>
                <w:lang w:val="en-IN"/>
              </w:rPr>
            </w:pPr>
            <w:r w:rsidRPr="00E70587">
              <w:rPr>
                <w:rFonts w:ascii="Arial" w:hAnsi="Arial" w:cs="Arial"/>
                <w:b/>
                <w:sz w:val="20"/>
                <w:lang w:val="en-IN"/>
              </w:rPr>
              <w:t>34,898</w:t>
            </w:r>
          </w:p>
        </w:tc>
      </w:tr>
      <w:tr w:rsidR="00CA33DC" w:rsidRPr="00E70587" w14:paraId="599B6377" w14:textId="77777777" w:rsidTr="00CA33DC">
        <w:tc>
          <w:tcPr>
            <w:tcW w:w="6390" w:type="dxa"/>
            <w:tcMar>
              <w:top w:w="28" w:type="dxa"/>
              <w:left w:w="108" w:type="dxa"/>
              <w:right w:w="108" w:type="dxa"/>
            </w:tcMar>
            <w:vAlign w:val="center"/>
          </w:tcPr>
          <w:p w14:paraId="6C36E2AD" w14:textId="1B084E62" w:rsidR="00CA33DC" w:rsidRPr="00E70587" w:rsidRDefault="00CA33DC"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Issued on 1 November </w:t>
            </w:r>
            <w:r w:rsidR="00686728" w:rsidRPr="00E70587">
              <w:rPr>
                <w:rFonts w:ascii="Arial" w:hAnsi="Arial" w:cs="Arial"/>
                <w:sz w:val="20"/>
                <w:lang w:val="en-IN"/>
              </w:rPr>
              <w:t>20</w:t>
            </w:r>
            <w:r w:rsidR="00686728">
              <w:rPr>
                <w:rFonts w:ascii="Arial" w:hAnsi="Arial" w:cs="Arial"/>
                <w:sz w:val="20"/>
                <w:lang w:val="en-IN"/>
              </w:rPr>
              <w:t>20</w:t>
            </w:r>
            <w:r w:rsidR="00686728" w:rsidRPr="00E70587">
              <w:rPr>
                <w:rFonts w:ascii="Arial" w:hAnsi="Arial" w:cs="Arial"/>
                <w:sz w:val="20"/>
                <w:lang w:val="en-IN"/>
              </w:rPr>
              <w:t xml:space="preserve"> </w:t>
            </w:r>
            <w:r w:rsidRPr="00E70587">
              <w:rPr>
                <w:rFonts w:ascii="Arial" w:hAnsi="Arial" w:cs="Arial"/>
                <w:sz w:val="20"/>
                <w:lang w:val="en-IN"/>
              </w:rPr>
              <w:t>for acquisition of Extinguishers Limited</w:t>
            </w:r>
            <w:r w:rsidR="00F57FC4">
              <w:rPr>
                <w:rFonts w:ascii="Arial" w:hAnsi="Arial" w:cs="Arial"/>
                <w:sz w:val="20"/>
                <w:lang w:val="en-IN"/>
              </w:rPr>
              <w:t xml:space="preserve"> </w:t>
            </w:r>
            <w:r w:rsidRPr="00E70587">
              <w:rPr>
                <w:rFonts w:ascii="Arial" w:hAnsi="Arial" w:cs="Arial"/>
                <w:sz w:val="20"/>
                <w:lang w:val="en-IN"/>
              </w:rPr>
              <w:t>(Note 36)</w:t>
            </w:r>
          </w:p>
        </w:tc>
        <w:tc>
          <w:tcPr>
            <w:tcW w:w="1710" w:type="dxa"/>
            <w:vAlign w:val="bottom"/>
          </w:tcPr>
          <w:p w14:paraId="10A2FFEF" w14:textId="77777777" w:rsidR="00CA33DC" w:rsidRPr="00E70587" w:rsidRDefault="00CA33DC" w:rsidP="009901E1">
            <w:pPr>
              <w:pStyle w:val="tabletext"/>
              <w:overflowPunct w:val="0"/>
              <w:autoSpaceDE w:val="0"/>
              <w:autoSpaceDN w:val="0"/>
              <w:adjustRightInd w:val="0"/>
              <w:spacing w:line="280" w:lineRule="exact"/>
              <w:ind w:left="113"/>
              <w:jc w:val="right"/>
              <w:textAlignment w:val="baseline"/>
              <w:rPr>
                <w:rFonts w:ascii="Arial" w:hAnsi="Arial" w:cs="Arial"/>
                <w:sz w:val="20"/>
                <w:lang w:val="en-IN"/>
              </w:rPr>
            </w:pPr>
            <w:r w:rsidRPr="00E70587">
              <w:rPr>
                <w:rFonts w:ascii="Arial" w:hAnsi="Arial" w:cs="Arial"/>
                <w:sz w:val="20"/>
                <w:lang w:val="en-IN"/>
              </w:rPr>
              <w:t>4,500</w:t>
            </w:r>
          </w:p>
        </w:tc>
        <w:tc>
          <w:tcPr>
            <w:tcW w:w="1440" w:type="dxa"/>
            <w:vAlign w:val="bottom"/>
          </w:tcPr>
          <w:p w14:paraId="58413BAE" w14:textId="77777777" w:rsidR="00CA33DC" w:rsidRPr="00E70587" w:rsidRDefault="00CA33DC" w:rsidP="009901E1">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sidRPr="00E70587">
              <w:rPr>
                <w:rFonts w:ascii="Arial" w:hAnsi="Arial" w:cs="Arial"/>
                <w:sz w:val="20"/>
                <w:lang w:val="en-IN"/>
              </w:rPr>
              <w:t>4,500</w:t>
            </w:r>
          </w:p>
        </w:tc>
      </w:tr>
      <w:tr w:rsidR="00CA33DC" w:rsidRPr="00E70587" w14:paraId="1A86F9EB" w14:textId="77777777" w:rsidTr="00CA33DC">
        <w:tc>
          <w:tcPr>
            <w:tcW w:w="6390" w:type="dxa"/>
            <w:tcBorders>
              <w:bottom w:val="nil"/>
            </w:tcBorders>
            <w:tcMar>
              <w:top w:w="28" w:type="dxa"/>
              <w:left w:w="108" w:type="dxa"/>
              <w:right w:w="108" w:type="dxa"/>
            </w:tcMar>
            <w:vAlign w:val="center"/>
          </w:tcPr>
          <w:p w14:paraId="3943C398" w14:textId="28B3B362" w:rsidR="00CA33DC" w:rsidRPr="00E70587" w:rsidRDefault="00CA33DC"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E1202D" w:rsidRPr="00E70587">
              <w:rPr>
                <w:rFonts w:ascii="Arial" w:hAnsi="Arial" w:cs="Arial"/>
                <w:b/>
                <w:sz w:val="20"/>
                <w:lang w:val="en-IN"/>
              </w:rPr>
              <w:t xml:space="preserve">March </w:t>
            </w:r>
            <w:r w:rsidR="00686728" w:rsidRPr="00E70587">
              <w:rPr>
                <w:rFonts w:ascii="Arial" w:hAnsi="Arial" w:cs="Arial"/>
                <w:b/>
                <w:sz w:val="20"/>
                <w:lang w:val="en-IN"/>
              </w:rPr>
              <w:t>20</w:t>
            </w:r>
            <w:r w:rsidR="00686728">
              <w:rPr>
                <w:rFonts w:ascii="Arial" w:hAnsi="Arial" w:cs="Arial"/>
                <w:b/>
                <w:sz w:val="20"/>
                <w:lang w:val="en-IN"/>
              </w:rPr>
              <w:t>21</w:t>
            </w:r>
          </w:p>
        </w:tc>
        <w:tc>
          <w:tcPr>
            <w:tcW w:w="1710" w:type="dxa"/>
            <w:tcBorders>
              <w:top w:val="nil"/>
              <w:bottom w:val="nil"/>
            </w:tcBorders>
            <w:vAlign w:val="center"/>
          </w:tcPr>
          <w:p w14:paraId="77B35F41" w14:textId="77777777" w:rsidR="00CA33DC" w:rsidRPr="00E70587" w:rsidRDefault="00CA33DC" w:rsidP="009901E1">
            <w:pPr>
              <w:pStyle w:val="tabletext"/>
              <w:overflowPunct w:val="0"/>
              <w:autoSpaceDE w:val="0"/>
              <w:autoSpaceDN w:val="0"/>
              <w:adjustRightInd w:val="0"/>
              <w:spacing w:line="280" w:lineRule="exact"/>
              <w:ind w:left="113"/>
              <w:jc w:val="right"/>
              <w:textAlignment w:val="baseline"/>
              <w:rPr>
                <w:rFonts w:ascii="Arial" w:hAnsi="Arial" w:cs="Arial"/>
                <w:b/>
                <w:sz w:val="20"/>
                <w:lang w:val="en-IN"/>
              </w:rPr>
            </w:pPr>
            <w:r w:rsidRPr="00E70587">
              <w:rPr>
                <w:rFonts w:ascii="Arial" w:hAnsi="Arial" w:cs="Arial"/>
                <w:b/>
                <w:sz w:val="20"/>
                <w:lang w:val="en-IN"/>
              </w:rPr>
              <w:t>39,398</w:t>
            </w:r>
          </w:p>
        </w:tc>
        <w:tc>
          <w:tcPr>
            <w:tcW w:w="1440" w:type="dxa"/>
            <w:tcBorders>
              <w:top w:val="nil"/>
              <w:bottom w:val="nil"/>
            </w:tcBorders>
            <w:vAlign w:val="center"/>
          </w:tcPr>
          <w:p w14:paraId="375A33EE" w14:textId="77777777" w:rsidR="00CA33DC" w:rsidRPr="00E70587" w:rsidRDefault="00CA33DC" w:rsidP="009901E1">
            <w:pPr>
              <w:pStyle w:val="tabletext"/>
              <w:overflowPunct w:val="0"/>
              <w:autoSpaceDE w:val="0"/>
              <w:autoSpaceDN w:val="0"/>
              <w:adjustRightInd w:val="0"/>
              <w:spacing w:line="280" w:lineRule="exact"/>
              <w:ind w:left="170"/>
              <w:jc w:val="right"/>
              <w:textAlignment w:val="baseline"/>
              <w:rPr>
                <w:rFonts w:ascii="Arial" w:hAnsi="Arial" w:cs="Arial"/>
                <w:b/>
                <w:sz w:val="20"/>
                <w:lang w:val="en-IN"/>
              </w:rPr>
            </w:pPr>
            <w:r w:rsidRPr="00E70587">
              <w:rPr>
                <w:rFonts w:ascii="Arial" w:hAnsi="Arial" w:cs="Arial"/>
                <w:b/>
                <w:sz w:val="20"/>
                <w:lang w:val="en-IN"/>
              </w:rPr>
              <w:t>39,398</w:t>
            </w:r>
          </w:p>
        </w:tc>
      </w:tr>
    </w:tbl>
    <w:p w14:paraId="472E78A6" w14:textId="77777777" w:rsidR="000A3741" w:rsidRPr="00E70587" w:rsidRDefault="000A3741" w:rsidP="009901E1">
      <w:pPr>
        <w:spacing w:line="280" w:lineRule="exact"/>
        <w:rPr>
          <w:rFonts w:ascii="Arial" w:hAnsi="Arial" w:cs="Arial"/>
          <w:sz w:val="20"/>
        </w:rPr>
      </w:pPr>
    </w:p>
    <w:p w14:paraId="5CD74EB2" w14:textId="77777777" w:rsidR="00217760" w:rsidRPr="00E70587" w:rsidRDefault="00217760" w:rsidP="00CA33DC">
      <w:pPr>
        <w:pStyle w:val="Notesbodytext"/>
        <w:spacing w:after="0" w:line="280" w:lineRule="exact"/>
        <w:jc w:val="both"/>
        <w:rPr>
          <w:rFonts w:ascii="Arial" w:hAnsi="Arial"/>
          <w:b/>
          <w:color w:val="auto"/>
          <w:sz w:val="20"/>
        </w:rPr>
      </w:pPr>
      <w:r w:rsidRPr="00E70587">
        <w:rPr>
          <w:rFonts w:ascii="Arial" w:hAnsi="Arial"/>
          <w:b/>
          <w:color w:val="auto"/>
          <w:sz w:val="20"/>
        </w:rPr>
        <w:t xml:space="preserve">Equity component of convertible preference shares </w:t>
      </w:r>
      <w:r w:rsidR="00F85515" w:rsidRPr="00E70587">
        <w:rPr>
          <w:rFonts w:ascii="Arial" w:hAnsi="Arial"/>
          <w:b/>
          <w:color w:val="auto"/>
          <w:sz w:val="20"/>
        </w:rPr>
        <w:t>of INR 1 each issued and fully paid</w:t>
      </w:r>
    </w:p>
    <w:p w14:paraId="4AF2ED10" w14:textId="77777777" w:rsidR="00CA33DC" w:rsidRPr="00E70587" w:rsidRDefault="00CA33DC" w:rsidP="00CA33DC">
      <w:pPr>
        <w:pStyle w:val="Notesbodytext"/>
        <w:spacing w:after="0" w:line="280" w:lineRule="exact"/>
        <w:jc w:val="both"/>
        <w:rPr>
          <w:rFonts w:ascii="Arial" w:hAnsi="Arial"/>
          <w:color w:val="auto"/>
          <w:sz w:val="20"/>
        </w:rPr>
      </w:pPr>
    </w:p>
    <w:tbl>
      <w:tblPr>
        <w:tblW w:w="9576" w:type="dxa"/>
        <w:tblLayout w:type="fixed"/>
        <w:tblLook w:val="01E0" w:firstRow="1" w:lastRow="1" w:firstColumn="1" w:lastColumn="1" w:noHBand="0" w:noVBand="0"/>
      </w:tblPr>
      <w:tblGrid>
        <w:gridCol w:w="6415"/>
        <w:gridCol w:w="1716"/>
        <w:gridCol w:w="1445"/>
      </w:tblGrid>
      <w:tr w:rsidR="00CA33DC" w:rsidRPr="00E70587" w14:paraId="28CC2790" w14:textId="77777777" w:rsidTr="00CA33DC">
        <w:tc>
          <w:tcPr>
            <w:tcW w:w="6390" w:type="dxa"/>
            <w:tcMar>
              <w:left w:w="28" w:type="dxa"/>
            </w:tcMar>
            <w:vAlign w:val="bottom"/>
          </w:tcPr>
          <w:p w14:paraId="647D55F4" w14:textId="77777777" w:rsidR="00CA33DC" w:rsidRPr="00E70587" w:rsidRDefault="00CA33DC"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p>
        </w:tc>
        <w:tc>
          <w:tcPr>
            <w:tcW w:w="1710" w:type="dxa"/>
            <w:tcBorders>
              <w:bottom w:val="single" w:sz="4" w:space="0" w:color="auto"/>
            </w:tcBorders>
            <w:vAlign w:val="bottom"/>
          </w:tcPr>
          <w:p w14:paraId="375754FF" w14:textId="77777777" w:rsidR="00CA33DC" w:rsidRPr="00E70587" w:rsidRDefault="00CA33DC"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No in Lacs</w:t>
            </w:r>
          </w:p>
        </w:tc>
        <w:tc>
          <w:tcPr>
            <w:tcW w:w="1440" w:type="dxa"/>
            <w:tcBorders>
              <w:bottom w:val="single" w:sz="4" w:space="0" w:color="auto"/>
            </w:tcBorders>
            <w:tcMar>
              <w:left w:w="28" w:type="dxa"/>
            </w:tcMar>
            <w:vAlign w:val="bottom"/>
          </w:tcPr>
          <w:p w14:paraId="2C648EEF" w14:textId="77777777" w:rsidR="00CA33DC" w:rsidRPr="00E70587" w:rsidRDefault="00CA33DC" w:rsidP="009901E1">
            <w:pPr>
              <w:pStyle w:val="Tablecolumnheading"/>
              <w:spacing w:line="280" w:lineRule="exact"/>
              <w:ind w:left="284"/>
              <w:rPr>
                <w:rFonts w:ascii="Arial" w:hAnsi="Arial"/>
                <w:color w:val="auto"/>
                <w:sz w:val="20"/>
                <w:szCs w:val="20"/>
                <w:lang w:val="en-IN"/>
              </w:rPr>
            </w:pPr>
            <w:r w:rsidRPr="00E70587">
              <w:rPr>
                <w:rFonts w:ascii="Arial" w:hAnsi="Arial"/>
                <w:color w:val="auto"/>
                <w:sz w:val="20"/>
                <w:szCs w:val="20"/>
                <w:lang w:val="en-IN"/>
              </w:rPr>
              <w:t>INR Lacs</w:t>
            </w:r>
          </w:p>
        </w:tc>
      </w:tr>
      <w:tr w:rsidR="00CA33DC" w:rsidRPr="00E70587" w14:paraId="4ADFAAF3" w14:textId="77777777" w:rsidTr="00CA33DC">
        <w:tc>
          <w:tcPr>
            <w:tcW w:w="6390" w:type="dxa"/>
            <w:vAlign w:val="bottom"/>
          </w:tcPr>
          <w:p w14:paraId="3B1696C1" w14:textId="10F58FC5" w:rsidR="00CA33DC" w:rsidRPr="00E70587" w:rsidRDefault="00CA33DC" w:rsidP="00CA33DC">
            <w:pPr>
              <w:spacing w:line="280" w:lineRule="exact"/>
              <w:rPr>
                <w:rFonts w:ascii="Arial" w:hAnsi="Arial" w:cs="Arial"/>
                <w:b/>
                <w:sz w:val="20"/>
              </w:rPr>
            </w:pPr>
            <w:r w:rsidRPr="00E70587">
              <w:rPr>
                <w:rFonts w:ascii="Arial" w:hAnsi="Arial" w:cs="Arial"/>
                <w:b/>
                <w:sz w:val="20"/>
              </w:rPr>
              <w:t xml:space="preserve">As at 1 April </w:t>
            </w:r>
            <w:r w:rsidR="0020743D" w:rsidRPr="00E70587">
              <w:rPr>
                <w:rFonts w:ascii="Arial" w:hAnsi="Arial" w:cs="Arial"/>
                <w:b/>
                <w:sz w:val="20"/>
              </w:rPr>
              <w:t>201</w:t>
            </w:r>
            <w:r w:rsidR="0020743D">
              <w:rPr>
                <w:rFonts w:ascii="Arial" w:hAnsi="Arial" w:cs="Arial"/>
                <w:b/>
                <w:sz w:val="20"/>
              </w:rPr>
              <w:t>9</w:t>
            </w:r>
          </w:p>
        </w:tc>
        <w:tc>
          <w:tcPr>
            <w:tcW w:w="1710" w:type="dxa"/>
            <w:tcBorders>
              <w:top w:val="single" w:sz="4" w:space="0" w:color="auto"/>
            </w:tcBorders>
          </w:tcPr>
          <w:p w14:paraId="6CA242FA" w14:textId="77777777" w:rsidR="00CA33DC" w:rsidRPr="00E70587" w:rsidRDefault="00CA33DC"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410</w:t>
            </w:r>
          </w:p>
        </w:tc>
        <w:tc>
          <w:tcPr>
            <w:tcW w:w="1440" w:type="dxa"/>
            <w:tcBorders>
              <w:top w:val="single" w:sz="4" w:space="0" w:color="auto"/>
            </w:tcBorders>
            <w:tcMar>
              <w:left w:w="108" w:type="dxa"/>
            </w:tcMar>
          </w:tcPr>
          <w:p w14:paraId="27F05AFF" w14:textId="77777777" w:rsidR="00CA33DC" w:rsidRPr="00E70587" w:rsidRDefault="00CA33DC"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410</w:t>
            </w:r>
          </w:p>
        </w:tc>
      </w:tr>
      <w:tr w:rsidR="00CA33DC" w:rsidRPr="00E70587" w14:paraId="2339176E" w14:textId="77777777" w:rsidTr="00CA33DC">
        <w:tc>
          <w:tcPr>
            <w:tcW w:w="6390" w:type="dxa"/>
            <w:vAlign w:val="bottom"/>
          </w:tcPr>
          <w:p w14:paraId="01ADFC9B" w14:textId="77777777" w:rsidR="00CA33DC" w:rsidRPr="00E70587" w:rsidRDefault="00CA33DC" w:rsidP="00CA33DC">
            <w:pPr>
              <w:spacing w:line="280" w:lineRule="exact"/>
              <w:rPr>
                <w:rFonts w:ascii="Arial" w:hAnsi="Arial" w:cs="Arial"/>
                <w:sz w:val="20"/>
              </w:rPr>
            </w:pPr>
            <w:r w:rsidRPr="00E70587">
              <w:rPr>
                <w:rFonts w:ascii="Arial" w:hAnsi="Arial" w:cs="Arial"/>
                <w:sz w:val="20"/>
              </w:rPr>
              <w:t xml:space="preserve">Changes during the period </w:t>
            </w:r>
          </w:p>
        </w:tc>
        <w:tc>
          <w:tcPr>
            <w:tcW w:w="1710" w:type="dxa"/>
            <w:tcBorders>
              <w:bottom w:val="single" w:sz="4" w:space="0" w:color="auto"/>
            </w:tcBorders>
          </w:tcPr>
          <w:p w14:paraId="0AC06F00" w14:textId="77777777" w:rsidR="00CA33DC" w:rsidRPr="00E70587" w:rsidRDefault="00CA33DC"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440" w:type="dxa"/>
            <w:tcBorders>
              <w:bottom w:val="single" w:sz="4" w:space="0" w:color="auto"/>
            </w:tcBorders>
            <w:tcMar>
              <w:left w:w="108" w:type="dxa"/>
            </w:tcMar>
          </w:tcPr>
          <w:p w14:paraId="136EF852" w14:textId="77777777" w:rsidR="00CA33DC" w:rsidRPr="00E70587" w:rsidRDefault="00CA33DC"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CA33DC" w:rsidRPr="00E70587" w14:paraId="33CC4BF4" w14:textId="77777777" w:rsidTr="00CA33DC">
        <w:tc>
          <w:tcPr>
            <w:tcW w:w="6390" w:type="dxa"/>
            <w:vAlign w:val="bottom"/>
          </w:tcPr>
          <w:p w14:paraId="6044A3A6" w14:textId="379931E3" w:rsidR="00CA33DC" w:rsidRPr="00E70587" w:rsidRDefault="00CA33DC" w:rsidP="00CA33DC">
            <w:pPr>
              <w:pStyle w:val="tabletext"/>
              <w:spacing w:line="280" w:lineRule="exact"/>
              <w:rPr>
                <w:rFonts w:ascii="Arial" w:hAnsi="Arial" w:cs="Arial"/>
                <w:b/>
                <w:sz w:val="20"/>
                <w:lang w:val="en-IN"/>
              </w:rPr>
            </w:pPr>
            <w:r w:rsidRPr="00E70587">
              <w:rPr>
                <w:rFonts w:ascii="Arial" w:hAnsi="Arial" w:cs="Arial"/>
                <w:b/>
                <w:sz w:val="20"/>
                <w:lang w:val="en-IN"/>
              </w:rPr>
              <w:t xml:space="preserve">At 31 </w:t>
            </w:r>
            <w:r w:rsidR="008B730E" w:rsidRPr="00E70587">
              <w:rPr>
                <w:rFonts w:ascii="Arial" w:hAnsi="Arial" w:cs="Arial"/>
                <w:b/>
                <w:sz w:val="20"/>
                <w:lang w:val="en-IN"/>
              </w:rPr>
              <w:t xml:space="preserve">March </w:t>
            </w:r>
            <w:r w:rsidR="0020743D" w:rsidRPr="00E70587">
              <w:rPr>
                <w:rFonts w:ascii="Arial" w:hAnsi="Arial" w:cs="Arial"/>
                <w:b/>
                <w:sz w:val="20"/>
                <w:lang w:val="en-IN"/>
              </w:rPr>
              <w:t>20</w:t>
            </w:r>
            <w:r w:rsidR="0020743D">
              <w:rPr>
                <w:rFonts w:ascii="Arial" w:hAnsi="Arial" w:cs="Arial"/>
                <w:b/>
                <w:sz w:val="20"/>
                <w:lang w:val="en-IN"/>
              </w:rPr>
              <w:t>20</w:t>
            </w:r>
          </w:p>
        </w:tc>
        <w:tc>
          <w:tcPr>
            <w:tcW w:w="1710" w:type="dxa"/>
            <w:tcBorders>
              <w:top w:val="single" w:sz="4" w:space="0" w:color="auto"/>
            </w:tcBorders>
          </w:tcPr>
          <w:p w14:paraId="444700D7" w14:textId="77777777" w:rsidR="00CA33DC" w:rsidRPr="00E70587" w:rsidRDefault="00CA33DC"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410</w:t>
            </w:r>
          </w:p>
        </w:tc>
        <w:tc>
          <w:tcPr>
            <w:tcW w:w="1440" w:type="dxa"/>
            <w:tcBorders>
              <w:top w:val="single" w:sz="4" w:space="0" w:color="auto"/>
            </w:tcBorders>
            <w:tcMar>
              <w:left w:w="108" w:type="dxa"/>
            </w:tcMar>
          </w:tcPr>
          <w:p w14:paraId="72F81F0E" w14:textId="77777777" w:rsidR="00CA33DC" w:rsidRPr="00E70587" w:rsidRDefault="00CA33DC"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410</w:t>
            </w:r>
          </w:p>
        </w:tc>
      </w:tr>
      <w:tr w:rsidR="00CA33DC" w:rsidRPr="00E70587" w14:paraId="1FE256E0" w14:textId="77777777" w:rsidTr="00CA33DC">
        <w:tc>
          <w:tcPr>
            <w:tcW w:w="6390" w:type="dxa"/>
            <w:vAlign w:val="bottom"/>
          </w:tcPr>
          <w:p w14:paraId="3F8AB0D3" w14:textId="77777777" w:rsidR="00CA33DC" w:rsidRPr="00E70587" w:rsidRDefault="00CA33DC" w:rsidP="00CA33DC">
            <w:pPr>
              <w:pStyle w:val="tabletext"/>
              <w:spacing w:line="280" w:lineRule="exact"/>
              <w:rPr>
                <w:rFonts w:ascii="Arial" w:hAnsi="Arial" w:cs="Arial"/>
                <w:sz w:val="20"/>
                <w:lang w:val="en-IN"/>
              </w:rPr>
            </w:pPr>
            <w:r w:rsidRPr="00E70587">
              <w:rPr>
                <w:rFonts w:ascii="Arial" w:hAnsi="Arial" w:cs="Arial"/>
                <w:sz w:val="20"/>
                <w:lang w:val="en-IN"/>
              </w:rPr>
              <w:t xml:space="preserve">Changes during the period </w:t>
            </w:r>
          </w:p>
        </w:tc>
        <w:tc>
          <w:tcPr>
            <w:tcW w:w="1710" w:type="dxa"/>
            <w:tcBorders>
              <w:bottom w:val="single" w:sz="4" w:space="0" w:color="auto"/>
            </w:tcBorders>
          </w:tcPr>
          <w:p w14:paraId="46AE58AE" w14:textId="77777777" w:rsidR="00CA33DC" w:rsidRPr="00E70587" w:rsidRDefault="00CA33DC"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440" w:type="dxa"/>
            <w:tcBorders>
              <w:bottom w:val="single" w:sz="4" w:space="0" w:color="auto"/>
            </w:tcBorders>
            <w:tcMar>
              <w:left w:w="108" w:type="dxa"/>
            </w:tcMar>
          </w:tcPr>
          <w:p w14:paraId="298CF6BC" w14:textId="77777777" w:rsidR="00CA33DC" w:rsidRPr="00E70587" w:rsidRDefault="00CA33DC"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CA33DC" w:rsidRPr="00E70587" w14:paraId="071D3BF7" w14:textId="77777777" w:rsidTr="00CA33DC">
        <w:tc>
          <w:tcPr>
            <w:tcW w:w="6390" w:type="dxa"/>
            <w:vAlign w:val="bottom"/>
          </w:tcPr>
          <w:p w14:paraId="492B9B47" w14:textId="0B1BA996" w:rsidR="00CA33DC" w:rsidRPr="00E70587" w:rsidRDefault="00CA33DC" w:rsidP="00CA33DC">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E1202D" w:rsidRPr="00E70587">
              <w:rPr>
                <w:rFonts w:ascii="Arial" w:hAnsi="Arial" w:cs="Arial"/>
                <w:b/>
                <w:sz w:val="20"/>
                <w:lang w:val="en-IN"/>
              </w:rPr>
              <w:t xml:space="preserve">March </w:t>
            </w:r>
            <w:r w:rsidR="0020743D" w:rsidRPr="00E70587">
              <w:rPr>
                <w:rFonts w:ascii="Arial" w:hAnsi="Arial" w:cs="Arial"/>
                <w:b/>
                <w:sz w:val="20"/>
                <w:lang w:val="en-IN"/>
              </w:rPr>
              <w:t>20</w:t>
            </w:r>
            <w:r w:rsidR="0020743D">
              <w:rPr>
                <w:rFonts w:ascii="Arial" w:hAnsi="Arial" w:cs="Arial"/>
                <w:b/>
                <w:sz w:val="20"/>
                <w:lang w:val="en-IN"/>
              </w:rPr>
              <w:t>21</w:t>
            </w:r>
          </w:p>
        </w:tc>
        <w:tc>
          <w:tcPr>
            <w:tcW w:w="1710" w:type="dxa"/>
            <w:tcBorders>
              <w:top w:val="single" w:sz="4" w:space="0" w:color="auto"/>
              <w:bottom w:val="double" w:sz="4" w:space="0" w:color="auto"/>
            </w:tcBorders>
          </w:tcPr>
          <w:p w14:paraId="28F0CCB5" w14:textId="77777777" w:rsidR="00CA33DC" w:rsidRPr="00E70587" w:rsidRDefault="00CA33DC"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410</w:t>
            </w:r>
          </w:p>
        </w:tc>
        <w:tc>
          <w:tcPr>
            <w:tcW w:w="1440" w:type="dxa"/>
            <w:tcBorders>
              <w:top w:val="single" w:sz="4" w:space="0" w:color="auto"/>
              <w:bottom w:val="double" w:sz="4" w:space="0" w:color="auto"/>
            </w:tcBorders>
            <w:tcMar>
              <w:left w:w="108" w:type="dxa"/>
            </w:tcMar>
          </w:tcPr>
          <w:p w14:paraId="38EA1465" w14:textId="77777777" w:rsidR="00CA33DC" w:rsidRPr="00E70587" w:rsidRDefault="00CA33DC"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410</w:t>
            </w:r>
          </w:p>
        </w:tc>
      </w:tr>
    </w:tbl>
    <w:p w14:paraId="07921AF9" w14:textId="77777777" w:rsidR="00217760" w:rsidRPr="00E70587" w:rsidRDefault="00217760" w:rsidP="009901E1">
      <w:pPr>
        <w:spacing w:line="280" w:lineRule="exact"/>
        <w:rPr>
          <w:rFonts w:ascii="Arial" w:hAnsi="Arial" w:cs="Arial"/>
          <w:sz w:val="20"/>
        </w:rPr>
      </w:pPr>
    </w:p>
    <w:tbl>
      <w:tblPr>
        <w:tblW w:w="9576" w:type="dxa"/>
        <w:tblLook w:val="0000" w:firstRow="0" w:lastRow="0" w:firstColumn="0" w:lastColumn="0" w:noHBand="0" w:noVBand="0"/>
      </w:tblPr>
      <w:tblGrid>
        <w:gridCol w:w="9576"/>
      </w:tblGrid>
      <w:tr w:rsidR="00CA33DC" w:rsidRPr="00E70587" w14:paraId="2F08584A" w14:textId="77777777" w:rsidTr="00CA33DC">
        <w:tc>
          <w:tcPr>
            <w:tcW w:w="0" w:type="auto"/>
          </w:tcPr>
          <w:p w14:paraId="0B216454" w14:textId="77777777" w:rsidR="00CA33DC" w:rsidRPr="00E70587" w:rsidRDefault="00CA33DC" w:rsidP="00CA33DC">
            <w:pPr>
              <w:pStyle w:val="Notesbodytext"/>
              <w:spacing w:after="0" w:line="280" w:lineRule="exact"/>
              <w:jc w:val="both"/>
              <w:rPr>
                <w:rFonts w:ascii="Arial" w:hAnsi="Arial"/>
                <w:color w:val="auto"/>
                <w:sz w:val="20"/>
              </w:rPr>
            </w:pPr>
            <w:r w:rsidRPr="00E70587">
              <w:rPr>
                <w:rFonts w:ascii="Arial" w:hAnsi="Arial"/>
                <w:color w:val="auto"/>
                <w:sz w:val="20"/>
              </w:rPr>
              <w:t>This note covers the equity component of the issued convertible preference shares. The liability component is reflected in financial liabilities.</w:t>
            </w:r>
          </w:p>
          <w:p w14:paraId="1B12A1E4" w14:textId="77777777" w:rsidR="00CA33DC" w:rsidRPr="00E70587" w:rsidRDefault="00CA33DC" w:rsidP="00CA33DC">
            <w:pPr>
              <w:spacing w:line="280" w:lineRule="exact"/>
              <w:jc w:val="both"/>
              <w:rPr>
                <w:rFonts w:ascii="Arial" w:hAnsi="Arial" w:cs="Arial"/>
                <w:sz w:val="20"/>
              </w:rPr>
            </w:pPr>
          </w:p>
          <w:p w14:paraId="34D96439" w14:textId="77777777" w:rsidR="00CA33DC" w:rsidRPr="00E70587" w:rsidRDefault="00CA33DC" w:rsidP="00CA33DC">
            <w:pPr>
              <w:pStyle w:val="Notesbodytext"/>
              <w:spacing w:after="0" w:line="280" w:lineRule="exact"/>
              <w:ind w:left="-4"/>
              <w:jc w:val="both"/>
              <w:rPr>
                <w:rFonts w:ascii="Arial" w:hAnsi="Arial"/>
                <w:color w:val="auto"/>
                <w:sz w:val="20"/>
              </w:rPr>
            </w:pPr>
            <w:r w:rsidRPr="00E70587">
              <w:rPr>
                <w:rFonts w:ascii="Arial" w:hAnsi="Arial"/>
                <w:b/>
                <w:color w:val="auto"/>
                <w:sz w:val="20"/>
              </w:rPr>
              <w:t>Shares held by holding/ ultimate holding company and/ or their subsidiaries/ associates</w:t>
            </w:r>
          </w:p>
          <w:p w14:paraId="12E6A19F" w14:textId="77777777" w:rsidR="00CA33DC" w:rsidRPr="00E70587" w:rsidRDefault="00CA33DC" w:rsidP="00CA33DC">
            <w:pPr>
              <w:pStyle w:val="Notesbodytext"/>
              <w:spacing w:after="0" w:line="280" w:lineRule="exact"/>
              <w:ind w:left="-4"/>
              <w:jc w:val="both"/>
              <w:rPr>
                <w:rFonts w:ascii="Arial" w:hAnsi="Arial"/>
                <w:color w:val="auto"/>
                <w:sz w:val="20"/>
              </w:rPr>
            </w:pPr>
          </w:p>
          <w:p w14:paraId="34D30C1B" w14:textId="77777777" w:rsidR="00CA33DC" w:rsidRPr="00E70587" w:rsidRDefault="00CA33DC" w:rsidP="00CA33DC">
            <w:pPr>
              <w:pStyle w:val="Notesbodytext"/>
              <w:spacing w:after="0" w:line="280" w:lineRule="exact"/>
              <w:ind w:left="-4"/>
              <w:jc w:val="both"/>
              <w:rPr>
                <w:rFonts w:ascii="Arial" w:hAnsi="Arial"/>
                <w:color w:val="auto"/>
                <w:sz w:val="20"/>
              </w:rPr>
            </w:pPr>
            <w:r w:rsidRPr="00E70587">
              <w:rPr>
                <w:rFonts w:ascii="Arial" w:hAnsi="Arial"/>
                <w:color w:val="auto"/>
                <w:sz w:val="20"/>
              </w:rPr>
              <w:t>Out of equity and preference shares issued by the company, shares held by its holding company, ultimate holding company and their subsidiaries/ associates are as below:</w:t>
            </w:r>
          </w:p>
          <w:p w14:paraId="1F843C41" w14:textId="77777777" w:rsidR="00CA33DC" w:rsidRPr="00E70587" w:rsidRDefault="00CA33DC" w:rsidP="00CA33DC">
            <w:pPr>
              <w:pStyle w:val="Notesbodytext"/>
              <w:spacing w:after="0" w:line="280" w:lineRule="exact"/>
              <w:jc w:val="both"/>
              <w:rPr>
                <w:rFonts w:ascii="Arial" w:hAnsi="Arial"/>
                <w:color w:val="auto"/>
                <w:sz w:val="20"/>
              </w:rPr>
            </w:pPr>
          </w:p>
        </w:tc>
      </w:tr>
    </w:tbl>
    <w:p w14:paraId="6E2FDE14" w14:textId="77777777" w:rsidR="006D294A" w:rsidRPr="00E70587" w:rsidRDefault="006D294A" w:rsidP="009901E1">
      <w:pPr>
        <w:spacing w:line="280" w:lineRule="exact"/>
        <w:rPr>
          <w:rFonts w:ascii="Arial" w:hAnsi="Arial" w:cs="Arial"/>
          <w:sz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4"/>
        <w:gridCol w:w="1711"/>
        <w:gridCol w:w="1711"/>
      </w:tblGrid>
      <w:tr w:rsidR="00CA33DC" w:rsidRPr="00E70587" w14:paraId="7A7C4655" w14:textId="77777777" w:rsidTr="00CA33DC">
        <w:tc>
          <w:tcPr>
            <w:tcW w:w="0" w:type="auto"/>
          </w:tcPr>
          <w:p w14:paraId="3D67A53E" w14:textId="77777777" w:rsidR="00CA33DC" w:rsidRPr="00E70587" w:rsidRDefault="00CA33DC" w:rsidP="009901E1">
            <w:pPr>
              <w:spacing w:line="280" w:lineRule="exact"/>
              <w:rPr>
                <w:rFonts w:ascii="Arial" w:hAnsi="Arial" w:cs="Arial"/>
                <w:sz w:val="20"/>
              </w:rPr>
            </w:pPr>
          </w:p>
        </w:tc>
        <w:tc>
          <w:tcPr>
            <w:tcW w:w="0" w:type="auto"/>
          </w:tcPr>
          <w:p w14:paraId="4C3B1EA7" w14:textId="3F4583FC" w:rsidR="00CA33DC" w:rsidRPr="00E70587" w:rsidRDefault="00CA33DC" w:rsidP="0020743D">
            <w:pPr>
              <w:spacing w:line="280" w:lineRule="exact"/>
              <w:jc w:val="right"/>
              <w:rPr>
                <w:rFonts w:ascii="Arial" w:hAnsi="Arial" w:cs="Arial"/>
                <w:b/>
                <w:sz w:val="20"/>
              </w:rPr>
            </w:pPr>
            <w:r w:rsidRPr="00E70587">
              <w:rPr>
                <w:rFonts w:ascii="Arial" w:hAnsi="Arial" w:cs="Arial"/>
                <w:b/>
                <w:sz w:val="20"/>
              </w:rPr>
              <w:t xml:space="preserve">31 </w:t>
            </w:r>
            <w:r w:rsidR="00E1202D" w:rsidRPr="00E70587">
              <w:rPr>
                <w:rFonts w:ascii="Arial" w:hAnsi="Arial" w:cs="Arial"/>
                <w:b/>
                <w:sz w:val="20"/>
              </w:rPr>
              <w:t xml:space="preserve">March </w:t>
            </w:r>
            <w:r w:rsidR="0020743D" w:rsidRPr="00E70587">
              <w:rPr>
                <w:rFonts w:ascii="Arial" w:hAnsi="Arial" w:cs="Arial"/>
                <w:b/>
                <w:sz w:val="20"/>
              </w:rPr>
              <w:t>20</w:t>
            </w:r>
            <w:r w:rsidR="0020743D">
              <w:rPr>
                <w:rFonts w:ascii="Arial" w:hAnsi="Arial" w:cs="Arial"/>
                <w:b/>
                <w:sz w:val="20"/>
              </w:rPr>
              <w:t>21</w:t>
            </w:r>
          </w:p>
        </w:tc>
        <w:tc>
          <w:tcPr>
            <w:tcW w:w="0" w:type="auto"/>
          </w:tcPr>
          <w:p w14:paraId="1313D26C" w14:textId="68E51FA1" w:rsidR="00CA33DC" w:rsidRPr="00E70587" w:rsidRDefault="00CA33DC" w:rsidP="0020743D">
            <w:pPr>
              <w:spacing w:line="280" w:lineRule="exact"/>
              <w:jc w:val="right"/>
              <w:rPr>
                <w:rFonts w:ascii="Arial" w:hAnsi="Arial" w:cs="Arial"/>
                <w:b/>
                <w:sz w:val="20"/>
              </w:rPr>
            </w:pPr>
            <w:r w:rsidRPr="00E70587">
              <w:rPr>
                <w:rFonts w:ascii="Arial" w:hAnsi="Arial" w:cs="Arial"/>
                <w:b/>
                <w:sz w:val="20"/>
              </w:rPr>
              <w:t xml:space="preserve">31 </w:t>
            </w:r>
            <w:r w:rsidR="008B730E" w:rsidRPr="00E70587">
              <w:rPr>
                <w:rFonts w:ascii="Arial" w:hAnsi="Arial" w:cs="Arial"/>
                <w:b/>
                <w:sz w:val="20"/>
              </w:rPr>
              <w:t xml:space="preserve">March </w:t>
            </w:r>
            <w:r w:rsidR="0020743D" w:rsidRPr="00E70587">
              <w:rPr>
                <w:rFonts w:ascii="Arial" w:hAnsi="Arial" w:cs="Arial"/>
                <w:b/>
                <w:sz w:val="20"/>
              </w:rPr>
              <w:t>20</w:t>
            </w:r>
            <w:r w:rsidR="0020743D">
              <w:rPr>
                <w:rFonts w:ascii="Arial" w:hAnsi="Arial" w:cs="Arial"/>
                <w:b/>
                <w:sz w:val="20"/>
              </w:rPr>
              <w:t>20</w:t>
            </w:r>
          </w:p>
        </w:tc>
      </w:tr>
      <w:tr w:rsidR="00CA33DC" w:rsidRPr="00E70587" w14:paraId="7251C17A" w14:textId="77777777" w:rsidTr="00CA33DC">
        <w:tc>
          <w:tcPr>
            <w:tcW w:w="0" w:type="auto"/>
          </w:tcPr>
          <w:p w14:paraId="0CA32790" w14:textId="77777777" w:rsidR="00CA33DC" w:rsidRPr="00E70587" w:rsidRDefault="00CA33DC" w:rsidP="009901E1">
            <w:pPr>
              <w:spacing w:line="280" w:lineRule="exact"/>
              <w:rPr>
                <w:rFonts w:ascii="Arial" w:hAnsi="Arial" w:cs="Arial"/>
                <w:sz w:val="20"/>
              </w:rPr>
            </w:pPr>
            <w:r w:rsidRPr="00E70587">
              <w:rPr>
                <w:rFonts w:ascii="Arial" w:hAnsi="Arial" w:cs="Arial"/>
                <w:b/>
                <w:sz w:val="20"/>
              </w:rPr>
              <w:t>All nos. in Lacs</w:t>
            </w:r>
          </w:p>
        </w:tc>
        <w:tc>
          <w:tcPr>
            <w:tcW w:w="0" w:type="auto"/>
            <w:vAlign w:val="bottom"/>
          </w:tcPr>
          <w:p w14:paraId="6A317C60" w14:textId="77777777" w:rsidR="00CA33DC" w:rsidRPr="00E70587" w:rsidRDefault="00CA33DC"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in Lacs</w:t>
            </w:r>
          </w:p>
        </w:tc>
        <w:tc>
          <w:tcPr>
            <w:tcW w:w="0" w:type="auto"/>
            <w:vAlign w:val="bottom"/>
          </w:tcPr>
          <w:p w14:paraId="077D7081" w14:textId="77777777" w:rsidR="00CA33DC" w:rsidRPr="00E70587" w:rsidRDefault="00CA33DC"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in Lacs</w:t>
            </w:r>
          </w:p>
        </w:tc>
      </w:tr>
      <w:tr w:rsidR="00CA33DC" w:rsidRPr="00E70587" w14:paraId="40C5F80D" w14:textId="77777777" w:rsidTr="00CA33DC">
        <w:tc>
          <w:tcPr>
            <w:tcW w:w="0" w:type="auto"/>
          </w:tcPr>
          <w:p w14:paraId="45786380" w14:textId="77777777" w:rsidR="00CA33DC" w:rsidRPr="00E70587" w:rsidRDefault="00CA33DC" w:rsidP="009901E1">
            <w:pPr>
              <w:spacing w:line="280" w:lineRule="exact"/>
              <w:rPr>
                <w:rFonts w:ascii="Arial" w:hAnsi="Arial" w:cs="Arial"/>
                <w:b/>
                <w:sz w:val="20"/>
              </w:rPr>
            </w:pPr>
            <w:r w:rsidRPr="00E70587">
              <w:rPr>
                <w:rFonts w:ascii="Arial" w:hAnsi="Arial" w:cs="Arial"/>
                <w:b/>
                <w:sz w:val="20"/>
              </w:rPr>
              <w:t>S.J. Limited, holding company</w:t>
            </w:r>
          </w:p>
          <w:p w14:paraId="368DFAD8" w14:textId="38FB4F76" w:rsidR="00CA33DC" w:rsidRPr="00E70587" w:rsidRDefault="00CA33DC" w:rsidP="009901E1">
            <w:pPr>
              <w:spacing w:line="280" w:lineRule="exact"/>
              <w:rPr>
                <w:rFonts w:ascii="Arial" w:hAnsi="Arial" w:cs="Arial"/>
                <w:sz w:val="20"/>
              </w:rPr>
            </w:pPr>
            <w:r w:rsidRPr="00E70587">
              <w:rPr>
                <w:rFonts w:ascii="Arial" w:hAnsi="Arial" w:cs="Arial"/>
                <w:sz w:val="20"/>
              </w:rPr>
              <w:t xml:space="preserve">20,093.18 lacs (31 </w:t>
            </w:r>
            <w:r w:rsidR="008B730E" w:rsidRPr="00E70587">
              <w:rPr>
                <w:rFonts w:ascii="Arial" w:hAnsi="Arial" w:cs="Arial"/>
                <w:sz w:val="20"/>
              </w:rPr>
              <w:t xml:space="preserve">March </w:t>
            </w:r>
            <w:r w:rsidR="0020743D" w:rsidRPr="00E70587">
              <w:rPr>
                <w:rFonts w:ascii="Arial" w:hAnsi="Arial" w:cs="Arial"/>
                <w:sz w:val="20"/>
              </w:rPr>
              <w:t>20</w:t>
            </w:r>
            <w:r w:rsidR="0020743D">
              <w:rPr>
                <w:rFonts w:ascii="Arial" w:hAnsi="Arial" w:cs="Arial"/>
                <w:sz w:val="20"/>
              </w:rPr>
              <w:t>20</w:t>
            </w:r>
            <w:r w:rsidRPr="00E70587">
              <w:rPr>
                <w:rFonts w:ascii="Arial" w:hAnsi="Arial" w:cs="Arial"/>
                <w:sz w:val="20"/>
              </w:rPr>
              <w:t>: 20,093.18 lacs) equity shares</w:t>
            </w:r>
          </w:p>
        </w:tc>
        <w:tc>
          <w:tcPr>
            <w:tcW w:w="0" w:type="auto"/>
          </w:tcPr>
          <w:p w14:paraId="7FDD0609" w14:textId="77777777" w:rsidR="00CA33DC" w:rsidRPr="00E70587" w:rsidRDefault="00CA33DC" w:rsidP="009901E1">
            <w:pPr>
              <w:spacing w:line="280" w:lineRule="exact"/>
              <w:jc w:val="right"/>
              <w:rPr>
                <w:rFonts w:ascii="Arial" w:hAnsi="Arial" w:cs="Arial"/>
                <w:sz w:val="20"/>
              </w:rPr>
            </w:pPr>
          </w:p>
          <w:p w14:paraId="5D3D71BE" w14:textId="77777777" w:rsidR="00CA33DC" w:rsidRPr="00E70587" w:rsidRDefault="00CA33DC" w:rsidP="009901E1">
            <w:pPr>
              <w:spacing w:line="280" w:lineRule="exact"/>
              <w:jc w:val="right"/>
              <w:rPr>
                <w:rFonts w:ascii="Arial" w:hAnsi="Arial" w:cs="Arial"/>
                <w:sz w:val="20"/>
              </w:rPr>
            </w:pPr>
            <w:r w:rsidRPr="00E70587">
              <w:rPr>
                <w:rFonts w:ascii="Arial" w:hAnsi="Arial" w:cs="Arial"/>
                <w:sz w:val="20"/>
              </w:rPr>
              <w:t>20,093.18</w:t>
            </w:r>
          </w:p>
        </w:tc>
        <w:tc>
          <w:tcPr>
            <w:tcW w:w="0" w:type="auto"/>
          </w:tcPr>
          <w:p w14:paraId="19416436" w14:textId="77777777" w:rsidR="00CA33DC" w:rsidRPr="00E70587" w:rsidRDefault="00CA33DC" w:rsidP="009901E1">
            <w:pPr>
              <w:spacing w:line="280" w:lineRule="exact"/>
              <w:jc w:val="right"/>
              <w:rPr>
                <w:rFonts w:ascii="Arial" w:hAnsi="Arial" w:cs="Arial"/>
                <w:sz w:val="20"/>
              </w:rPr>
            </w:pPr>
          </w:p>
          <w:p w14:paraId="7CAE2B74" w14:textId="77777777" w:rsidR="00CA33DC" w:rsidRPr="00E70587" w:rsidRDefault="00CA33DC" w:rsidP="009901E1">
            <w:pPr>
              <w:spacing w:line="280" w:lineRule="exact"/>
              <w:jc w:val="right"/>
              <w:rPr>
                <w:rFonts w:ascii="Arial" w:hAnsi="Arial" w:cs="Arial"/>
                <w:sz w:val="20"/>
              </w:rPr>
            </w:pPr>
            <w:r w:rsidRPr="00E70587">
              <w:rPr>
                <w:rFonts w:ascii="Arial" w:hAnsi="Arial" w:cs="Arial"/>
                <w:sz w:val="20"/>
              </w:rPr>
              <w:t>20,093.18</w:t>
            </w:r>
          </w:p>
        </w:tc>
      </w:tr>
      <w:tr w:rsidR="00CA33DC" w:rsidRPr="00E70587" w14:paraId="10E9CDFE" w14:textId="77777777" w:rsidTr="00CA33DC">
        <w:tc>
          <w:tcPr>
            <w:tcW w:w="0" w:type="auto"/>
          </w:tcPr>
          <w:p w14:paraId="05C9EEC1" w14:textId="1C2431E5" w:rsidR="00CA33DC" w:rsidRPr="00E70587" w:rsidRDefault="00CA33DC" w:rsidP="009901E1">
            <w:pPr>
              <w:spacing w:line="280" w:lineRule="exact"/>
              <w:rPr>
                <w:rFonts w:ascii="Arial" w:hAnsi="Arial" w:cs="Arial"/>
                <w:sz w:val="20"/>
              </w:rPr>
            </w:pPr>
            <w:r w:rsidRPr="00E70587">
              <w:rPr>
                <w:rFonts w:ascii="Arial" w:hAnsi="Arial" w:cs="Arial"/>
                <w:sz w:val="20"/>
              </w:rPr>
              <w:t xml:space="preserve">2,295 lacs (31 </w:t>
            </w:r>
            <w:r w:rsidR="008B730E" w:rsidRPr="00E70587">
              <w:rPr>
                <w:rFonts w:ascii="Arial" w:hAnsi="Arial" w:cs="Arial"/>
                <w:sz w:val="20"/>
              </w:rPr>
              <w:t xml:space="preserve">March </w:t>
            </w:r>
            <w:r w:rsidR="0020743D" w:rsidRPr="00E70587">
              <w:rPr>
                <w:rFonts w:ascii="Arial" w:hAnsi="Arial" w:cs="Arial"/>
                <w:sz w:val="20"/>
              </w:rPr>
              <w:t>20</w:t>
            </w:r>
            <w:r w:rsidR="0020743D">
              <w:rPr>
                <w:rFonts w:ascii="Arial" w:hAnsi="Arial" w:cs="Arial"/>
                <w:sz w:val="20"/>
              </w:rPr>
              <w:t>20</w:t>
            </w:r>
            <w:r w:rsidRPr="00E70587">
              <w:rPr>
                <w:rFonts w:ascii="Arial" w:hAnsi="Arial" w:cs="Arial"/>
                <w:sz w:val="20"/>
              </w:rPr>
              <w:t xml:space="preserve">: 2,295 lacs) preference shares </w:t>
            </w:r>
          </w:p>
        </w:tc>
        <w:tc>
          <w:tcPr>
            <w:tcW w:w="0" w:type="auto"/>
          </w:tcPr>
          <w:p w14:paraId="2ED92866" w14:textId="77777777" w:rsidR="00CA33DC" w:rsidRPr="00E70587" w:rsidRDefault="00CA33DC" w:rsidP="009901E1">
            <w:pPr>
              <w:spacing w:line="280" w:lineRule="exact"/>
              <w:jc w:val="right"/>
              <w:rPr>
                <w:rFonts w:ascii="Arial" w:hAnsi="Arial" w:cs="Arial"/>
                <w:sz w:val="20"/>
              </w:rPr>
            </w:pPr>
            <w:r w:rsidRPr="00E70587">
              <w:rPr>
                <w:rFonts w:ascii="Arial" w:hAnsi="Arial" w:cs="Arial"/>
                <w:sz w:val="20"/>
              </w:rPr>
              <w:t>2,295.00</w:t>
            </w:r>
          </w:p>
        </w:tc>
        <w:tc>
          <w:tcPr>
            <w:tcW w:w="0" w:type="auto"/>
          </w:tcPr>
          <w:p w14:paraId="5BEF9311" w14:textId="77777777" w:rsidR="00CA33DC" w:rsidRPr="00E70587" w:rsidRDefault="00CA33DC" w:rsidP="009901E1">
            <w:pPr>
              <w:spacing w:line="280" w:lineRule="exact"/>
              <w:jc w:val="right"/>
              <w:rPr>
                <w:rFonts w:ascii="Arial" w:hAnsi="Arial" w:cs="Arial"/>
                <w:sz w:val="20"/>
              </w:rPr>
            </w:pPr>
            <w:r w:rsidRPr="00E70587">
              <w:rPr>
                <w:rFonts w:ascii="Arial" w:hAnsi="Arial" w:cs="Arial"/>
                <w:sz w:val="20"/>
              </w:rPr>
              <w:t>2,295.00</w:t>
            </w:r>
          </w:p>
        </w:tc>
      </w:tr>
    </w:tbl>
    <w:p w14:paraId="74904271" w14:textId="77777777" w:rsidR="006D294A" w:rsidRPr="00E70587" w:rsidRDefault="006D294A" w:rsidP="009901E1">
      <w:pPr>
        <w:spacing w:line="280" w:lineRule="exact"/>
        <w:rPr>
          <w:rFonts w:ascii="Arial" w:hAnsi="Arial" w:cs="Arial"/>
          <w:sz w:val="20"/>
        </w:rPr>
      </w:pPr>
    </w:p>
    <w:p w14:paraId="5D51D997" w14:textId="77777777" w:rsidR="00083A52" w:rsidRPr="00E70587" w:rsidRDefault="008A7BBE" w:rsidP="00CA33DC">
      <w:pPr>
        <w:pStyle w:val="Notesbodytext"/>
        <w:spacing w:after="0" w:line="280" w:lineRule="exact"/>
        <w:jc w:val="both"/>
        <w:rPr>
          <w:rFonts w:ascii="Arial" w:hAnsi="Arial"/>
          <w:b/>
          <w:color w:val="auto"/>
          <w:sz w:val="20"/>
        </w:rPr>
      </w:pPr>
      <w:r w:rsidRPr="00E70587">
        <w:rPr>
          <w:rFonts w:ascii="Arial" w:hAnsi="Arial"/>
          <w:b/>
          <w:color w:val="auto"/>
          <w:sz w:val="20"/>
        </w:rPr>
        <w:t>Details of shareholders holding more than 5% shares in the company</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574"/>
        <w:gridCol w:w="1317"/>
        <w:gridCol w:w="1425"/>
        <w:gridCol w:w="1466"/>
      </w:tblGrid>
      <w:tr w:rsidR="00CA33DC" w:rsidRPr="00E70587" w14:paraId="42F5B00D" w14:textId="77777777" w:rsidTr="00CA33DC">
        <w:tc>
          <w:tcPr>
            <w:tcW w:w="3780" w:type="dxa"/>
            <w:vMerge w:val="restart"/>
            <w:tcBorders>
              <w:top w:val="single" w:sz="4" w:space="0" w:color="auto"/>
            </w:tcBorders>
          </w:tcPr>
          <w:p w14:paraId="28156F77" w14:textId="77777777" w:rsidR="00CA33DC" w:rsidRPr="00E70587" w:rsidRDefault="00CA33DC" w:rsidP="009901E1">
            <w:pPr>
              <w:spacing w:line="280" w:lineRule="exact"/>
              <w:rPr>
                <w:rFonts w:ascii="Arial" w:hAnsi="Arial" w:cs="Arial"/>
                <w:b/>
                <w:sz w:val="20"/>
              </w:rPr>
            </w:pPr>
            <w:r w:rsidRPr="00E70587">
              <w:rPr>
                <w:rFonts w:ascii="Arial" w:hAnsi="Arial" w:cs="Arial"/>
                <w:b/>
                <w:sz w:val="20"/>
              </w:rPr>
              <w:t>Name of the shareholder</w:t>
            </w:r>
          </w:p>
        </w:tc>
        <w:tc>
          <w:tcPr>
            <w:tcW w:w="2880" w:type="dxa"/>
            <w:gridSpan w:val="2"/>
            <w:tcBorders>
              <w:top w:val="single" w:sz="4" w:space="0" w:color="auto"/>
            </w:tcBorders>
          </w:tcPr>
          <w:p w14:paraId="5961FA80" w14:textId="339AD15E" w:rsidR="00CA33DC" w:rsidRPr="00E70587" w:rsidRDefault="00CA33DC" w:rsidP="009901E1">
            <w:pPr>
              <w:spacing w:line="280" w:lineRule="exact"/>
              <w:jc w:val="center"/>
              <w:rPr>
                <w:rFonts w:ascii="Arial" w:hAnsi="Arial" w:cs="Arial"/>
                <w:b/>
                <w:sz w:val="20"/>
              </w:rPr>
            </w:pPr>
            <w:r w:rsidRPr="00E70587">
              <w:rPr>
                <w:rFonts w:ascii="Arial" w:hAnsi="Arial" w:cs="Arial"/>
                <w:b/>
                <w:sz w:val="20"/>
              </w:rPr>
              <w:t xml:space="preserve">As at 31 </w:t>
            </w:r>
            <w:r w:rsidR="008B730E" w:rsidRPr="00E70587">
              <w:rPr>
                <w:rFonts w:ascii="Arial" w:hAnsi="Arial" w:cs="Arial"/>
                <w:b/>
                <w:sz w:val="20"/>
              </w:rPr>
              <w:t xml:space="preserve">March </w:t>
            </w:r>
            <w:r w:rsidR="0020743D" w:rsidRPr="00E70587">
              <w:rPr>
                <w:rFonts w:ascii="Arial" w:hAnsi="Arial" w:cs="Arial"/>
                <w:b/>
                <w:sz w:val="20"/>
              </w:rPr>
              <w:t>20</w:t>
            </w:r>
            <w:r w:rsidR="0020743D">
              <w:rPr>
                <w:rFonts w:ascii="Arial" w:hAnsi="Arial" w:cs="Arial"/>
                <w:b/>
                <w:sz w:val="20"/>
              </w:rPr>
              <w:t>21</w:t>
            </w:r>
          </w:p>
        </w:tc>
        <w:tc>
          <w:tcPr>
            <w:tcW w:w="2880" w:type="dxa"/>
            <w:gridSpan w:val="2"/>
            <w:tcBorders>
              <w:top w:val="single" w:sz="4" w:space="0" w:color="auto"/>
            </w:tcBorders>
          </w:tcPr>
          <w:p w14:paraId="1ED3EB46" w14:textId="555EDF4F" w:rsidR="00CA33DC" w:rsidRPr="00E70587" w:rsidRDefault="00CA33DC" w:rsidP="009901E1">
            <w:pPr>
              <w:spacing w:line="280" w:lineRule="exact"/>
              <w:jc w:val="center"/>
              <w:rPr>
                <w:rFonts w:ascii="Arial" w:hAnsi="Arial" w:cs="Arial"/>
                <w:b/>
                <w:sz w:val="20"/>
              </w:rPr>
            </w:pPr>
            <w:r w:rsidRPr="00E70587">
              <w:rPr>
                <w:rFonts w:ascii="Arial" w:hAnsi="Arial" w:cs="Arial"/>
                <w:b/>
                <w:sz w:val="20"/>
              </w:rPr>
              <w:t xml:space="preserve">As at 31 March </w:t>
            </w:r>
            <w:r w:rsidR="0020743D" w:rsidRPr="00E70587">
              <w:rPr>
                <w:rFonts w:ascii="Arial" w:hAnsi="Arial" w:cs="Arial"/>
                <w:b/>
                <w:sz w:val="20"/>
              </w:rPr>
              <w:t>20</w:t>
            </w:r>
            <w:r w:rsidR="0020743D">
              <w:rPr>
                <w:rFonts w:ascii="Arial" w:hAnsi="Arial" w:cs="Arial"/>
                <w:b/>
                <w:sz w:val="20"/>
              </w:rPr>
              <w:t>20</w:t>
            </w:r>
          </w:p>
        </w:tc>
      </w:tr>
      <w:tr w:rsidR="00CA33DC" w:rsidRPr="00E70587" w14:paraId="2008A3A1" w14:textId="77777777" w:rsidTr="00CA33DC">
        <w:tc>
          <w:tcPr>
            <w:tcW w:w="3780" w:type="dxa"/>
            <w:vMerge/>
            <w:tcBorders>
              <w:bottom w:val="single" w:sz="4" w:space="0" w:color="auto"/>
            </w:tcBorders>
          </w:tcPr>
          <w:p w14:paraId="666FB178" w14:textId="77777777" w:rsidR="00CA33DC" w:rsidRPr="00E70587" w:rsidRDefault="00CA33DC" w:rsidP="009901E1">
            <w:pPr>
              <w:spacing w:line="280" w:lineRule="exact"/>
              <w:rPr>
                <w:rFonts w:ascii="Arial" w:hAnsi="Arial" w:cs="Arial"/>
                <w:b/>
                <w:sz w:val="20"/>
              </w:rPr>
            </w:pPr>
          </w:p>
        </w:tc>
        <w:tc>
          <w:tcPr>
            <w:tcW w:w="1568" w:type="dxa"/>
            <w:tcBorders>
              <w:bottom w:val="single" w:sz="4" w:space="0" w:color="auto"/>
            </w:tcBorders>
          </w:tcPr>
          <w:p w14:paraId="65F8451F" w14:textId="77777777" w:rsidR="00CA33DC" w:rsidRPr="00E70587" w:rsidRDefault="00CA33DC" w:rsidP="009901E1">
            <w:pPr>
              <w:spacing w:line="280" w:lineRule="exact"/>
              <w:jc w:val="center"/>
              <w:rPr>
                <w:rFonts w:ascii="Arial" w:hAnsi="Arial" w:cs="Arial"/>
                <w:b/>
                <w:sz w:val="20"/>
              </w:rPr>
            </w:pPr>
            <w:r w:rsidRPr="00E70587">
              <w:rPr>
                <w:rFonts w:ascii="Arial" w:hAnsi="Arial" w:cs="Arial"/>
                <w:b/>
                <w:sz w:val="20"/>
              </w:rPr>
              <w:t xml:space="preserve">No. in lacs </w:t>
            </w:r>
          </w:p>
        </w:tc>
        <w:tc>
          <w:tcPr>
            <w:tcW w:w="1312" w:type="dxa"/>
            <w:tcBorders>
              <w:bottom w:val="single" w:sz="4" w:space="0" w:color="auto"/>
            </w:tcBorders>
          </w:tcPr>
          <w:p w14:paraId="0080B21F" w14:textId="77777777" w:rsidR="00CA33DC" w:rsidRPr="00E70587" w:rsidRDefault="00CA33DC" w:rsidP="009901E1">
            <w:pPr>
              <w:spacing w:line="280" w:lineRule="exact"/>
              <w:jc w:val="center"/>
              <w:rPr>
                <w:rFonts w:ascii="Arial" w:hAnsi="Arial" w:cs="Arial"/>
                <w:b/>
                <w:sz w:val="20"/>
              </w:rPr>
            </w:pPr>
            <w:r w:rsidRPr="00E70587">
              <w:rPr>
                <w:rFonts w:ascii="Arial" w:hAnsi="Arial" w:cs="Arial"/>
                <w:b/>
                <w:sz w:val="20"/>
              </w:rPr>
              <w:t>% holding in the class</w:t>
            </w:r>
          </w:p>
        </w:tc>
        <w:tc>
          <w:tcPr>
            <w:tcW w:w="1420" w:type="dxa"/>
            <w:tcBorders>
              <w:bottom w:val="single" w:sz="4" w:space="0" w:color="auto"/>
            </w:tcBorders>
          </w:tcPr>
          <w:p w14:paraId="643E0C67" w14:textId="77777777" w:rsidR="00CA33DC" w:rsidRPr="00E70587" w:rsidRDefault="00CA33DC" w:rsidP="009901E1">
            <w:pPr>
              <w:spacing w:line="280" w:lineRule="exact"/>
              <w:jc w:val="center"/>
              <w:rPr>
                <w:rFonts w:ascii="Arial" w:hAnsi="Arial" w:cs="Arial"/>
                <w:b/>
                <w:sz w:val="20"/>
              </w:rPr>
            </w:pPr>
            <w:r w:rsidRPr="00E70587">
              <w:rPr>
                <w:rFonts w:ascii="Arial" w:hAnsi="Arial" w:cs="Arial"/>
                <w:b/>
                <w:sz w:val="20"/>
              </w:rPr>
              <w:t xml:space="preserve">No. in lacs </w:t>
            </w:r>
          </w:p>
        </w:tc>
        <w:tc>
          <w:tcPr>
            <w:tcW w:w="1460" w:type="dxa"/>
            <w:tcBorders>
              <w:bottom w:val="single" w:sz="4" w:space="0" w:color="auto"/>
            </w:tcBorders>
          </w:tcPr>
          <w:p w14:paraId="3B6EADA7" w14:textId="77777777" w:rsidR="00CA33DC" w:rsidRPr="00E70587" w:rsidRDefault="00CA33DC" w:rsidP="009901E1">
            <w:pPr>
              <w:spacing w:line="280" w:lineRule="exact"/>
              <w:jc w:val="center"/>
              <w:rPr>
                <w:rFonts w:ascii="Arial" w:hAnsi="Arial" w:cs="Arial"/>
                <w:b/>
                <w:sz w:val="20"/>
              </w:rPr>
            </w:pPr>
            <w:r w:rsidRPr="00E70587">
              <w:rPr>
                <w:rFonts w:ascii="Arial" w:hAnsi="Arial" w:cs="Arial"/>
                <w:b/>
                <w:sz w:val="20"/>
              </w:rPr>
              <w:t>% holding in the class</w:t>
            </w:r>
          </w:p>
        </w:tc>
      </w:tr>
      <w:tr w:rsidR="00CA33DC" w:rsidRPr="00E70587" w14:paraId="7845AFD7" w14:textId="77777777" w:rsidTr="00CA33DC">
        <w:tc>
          <w:tcPr>
            <w:tcW w:w="3780" w:type="dxa"/>
          </w:tcPr>
          <w:p w14:paraId="067A27AA" w14:textId="77777777" w:rsidR="00CA33DC" w:rsidRPr="00E70587" w:rsidRDefault="00CA33DC" w:rsidP="009901E1">
            <w:pPr>
              <w:spacing w:line="280" w:lineRule="exact"/>
              <w:rPr>
                <w:rFonts w:ascii="Arial" w:hAnsi="Arial" w:cs="Arial"/>
                <w:i/>
                <w:sz w:val="20"/>
              </w:rPr>
            </w:pPr>
            <w:r w:rsidRPr="00E70587">
              <w:rPr>
                <w:rFonts w:ascii="Arial" w:hAnsi="Arial" w:cs="Arial"/>
                <w:i/>
                <w:sz w:val="20"/>
              </w:rPr>
              <w:t xml:space="preserve">Equity shares of </w:t>
            </w:r>
            <w:r w:rsidRPr="00E70587">
              <w:rPr>
                <w:rFonts w:ascii="Arial" w:hAnsi="Arial" w:cs="Arial"/>
                <w:sz w:val="20"/>
              </w:rPr>
              <w:t>INR</w:t>
            </w:r>
            <w:r w:rsidRPr="00E70587">
              <w:rPr>
                <w:rFonts w:ascii="Arial" w:hAnsi="Arial" w:cs="Arial"/>
                <w:i/>
                <w:sz w:val="20"/>
              </w:rPr>
              <w:t>1 each fully paid</w:t>
            </w:r>
          </w:p>
        </w:tc>
        <w:tc>
          <w:tcPr>
            <w:tcW w:w="1568" w:type="dxa"/>
          </w:tcPr>
          <w:p w14:paraId="175065E0" w14:textId="77777777" w:rsidR="00CA33DC" w:rsidRPr="00E70587" w:rsidRDefault="00CA33DC" w:rsidP="009901E1">
            <w:pPr>
              <w:spacing w:line="280" w:lineRule="exact"/>
              <w:jc w:val="right"/>
              <w:rPr>
                <w:rFonts w:ascii="Arial" w:hAnsi="Arial" w:cs="Arial"/>
                <w:sz w:val="20"/>
              </w:rPr>
            </w:pPr>
          </w:p>
        </w:tc>
        <w:tc>
          <w:tcPr>
            <w:tcW w:w="1312" w:type="dxa"/>
          </w:tcPr>
          <w:p w14:paraId="0260EFEF" w14:textId="77777777" w:rsidR="00CA33DC" w:rsidRPr="00E70587" w:rsidRDefault="00CA33DC" w:rsidP="009901E1">
            <w:pPr>
              <w:spacing w:line="280" w:lineRule="exact"/>
              <w:jc w:val="right"/>
              <w:rPr>
                <w:rFonts w:ascii="Arial" w:hAnsi="Arial" w:cs="Arial"/>
                <w:sz w:val="20"/>
              </w:rPr>
            </w:pPr>
          </w:p>
        </w:tc>
        <w:tc>
          <w:tcPr>
            <w:tcW w:w="1420" w:type="dxa"/>
          </w:tcPr>
          <w:p w14:paraId="5BE16815" w14:textId="77777777" w:rsidR="00CA33DC" w:rsidRPr="00E70587" w:rsidRDefault="00CA33DC" w:rsidP="009901E1">
            <w:pPr>
              <w:spacing w:line="280" w:lineRule="exact"/>
              <w:jc w:val="right"/>
              <w:rPr>
                <w:rFonts w:ascii="Arial" w:hAnsi="Arial" w:cs="Arial"/>
                <w:sz w:val="20"/>
              </w:rPr>
            </w:pPr>
          </w:p>
        </w:tc>
        <w:tc>
          <w:tcPr>
            <w:tcW w:w="1460" w:type="dxa"/>
          </w:tcPr>
          <w:p w14:paraId="7162D9AD" w14:textId="77777777" w:rsidR="00CA33DC" w:rsidRPr="00E70587" w:rsidRDefault="00CA33DC" w:rsidP="009901E1">
            <w:pPr>
              <w:spacing w:line="280" w:lineRule="exact"/>
              <w:jc w:val="right"/>
              <w:rPr>
                <w:rFonts w:ascii="Arial" w:hAnsi="Arial" w:cs="Arial"/>
                <w:sz w:val="20"/>
              </w:rPr>
            </w:pPr>
          </w:p>
        </w:tc>
      </w:tr>
      <w:tr w:rsidR="00CA33DC" w:rsidRPr="00E70587" w14:paraId="76FCFD59" w14:textId="77777777" w:rsidTr="00CA33DC">
        <w:tc>
          <w:tcPr>
            <w:tcW w:w="3780" w:type="dxa"/>
          </w:tcPr>
          <w:p w14:paraId="2477BDD3" w14:textId="77777777" w:rsidR="00CA33DC" w:rsidRPr="00E70587" w:rsidRDefault="00CA33DC" w:rsidP="009901E1">
            <w:pPr>
              <w:spacing w:line="280" w:lineRule="exact"/>
              <w:rPr>
                <w:rFonts w:ascii="Arial" w:hAnsi="Arial" w:cs="Arial"/>
                <w:sz w:val="20"/>
              </w:rPr>
            </w:pPr>
            <w:r w:rsidRPr="00E70587">
              <w:rPr>
                <w:rFonts w:ascii="Arial" w:hAnsi="Arial" w:cs="Arial"/>
                <w:sz w:val="20"/>
              </w:rPr>
              <w:t>S.J. Limited, holding company</w:t>
            </w:r>
          </w:p>
        </w:tc>
        <w:tc>
          <w:tcPr>
            <w:tcW w:w="1568" w:type="dxa"/>
          </w:tcPr>
          <w:p w14:paraId="20B9FEBA" w14:textId="77777777" w:rsidR="00CA33DC" w:rsidRPr="00E70587" w:rsidRDefault="00CA33DC" w:rsidP="009901E1">
            <w:pPr>
              <w:spacing w:line="280" w:lineRule="exact"/>
              <w:jc w:val="right"/>
              <w:rPr>
                <w:rFonts w:ascii="Arial" w:hAnsi="Arial" w:cs="Arial"/>
                <w:sz w:val="20"/>
              </w:rPr>
            </w:pPr>
            <w:r w:rsidRPr="00E70587">
              <w:rPr>
                <w:rFonts w:ascii="Arial" w:hAnsi="Arial" w:cs="Arial"/>
                <w:sz w:val="20"/>
              </w:rPr>
              <w:t>20,093.18</w:t>
            </w:r>
          </w:p>
        </w:tc>
        <w:tc>
          <w:tcPr>
            <w:tcW w:w="1312" w:type="dxa"/>
            <w:vAlign w:val="bottom"/>
          </w:tcPr>
          <w:p w14:paraId="1A6DEC75" w14:textId="77777777" w:rsidR="00CA33DC" w:rsidRPr="00E70587" w:rsidRDefault="00CA33DC" w:rsidP="009901E1">
            <w:pPr>
              <w:spacing w:line="280" w:lineRule="exact"/>
              <w:jc w:val="right"/>
              <w:rPr>
                <w:rFonts w:ascii="Arial" w:hAnsi="Arial" w:cs="Arial"/>
                <w:sz w:val="20"/>
              </w:rPr>
            </w:pPr>
            <w:r w:rsidRPr="00E70587">
              <w:rPr>
                <w:rFonts w:ascii="Arial" w:hAnsi="Arial" w:cs="Arial"/>
                <w:sz w:val="20"/>
              </w:rPr>
              <w:t>51%</w:t>
            </w:r>
          </w:p>
        </w:tc>
        <w:tc>
          <w:tcPr>
            <w:tcW w:w="1420" w:type="dxa"/>
            <w:vAlign w:val="bottom"/>
          </w:tcPr>
          <w:p w14:paraId="0614F18A" w14:textId="77777777" w:rsidR="00CA33DC" w:rsidRPr="00E70587" w:rsidRDefault="00CA33DC" w:rsidP="009901E1">
            <w:pPr>
              <w:spacing w:line="280" w:lineRule="exact"/>
              <w:jc w:val="right"/>
              <w:rPr>
                <w:rFonts w:ascii="Arial" w:hAnsi="Arial" w:cs="Arial"/>
                <w:sz w:val="20"/>
              </w:rPr>
            </w:pPr>
            <w:r w:rsidRPr="00E70587">
              <w:rPr>
                <w:rFonts w:ascii="Arial" w:hAnsi="Arial" w:cs="Arial"/>
                <w:sz w:val="20"/>
              </w:rPr>
              <w:t>20,093.18</w:t>
            </w:r>
          </w:p>
        </w:tc>
        <w:tc>
          <w:tcPr>
            <w:tcW w:w="1460" w:type="dxa"/>
            <w:vAlign w:val="bottom"/>
          </w:tcPr>
          <w:p w14:paraId="6C82F4FA" w14:textId="77777777" w:rsidR="00CA33DC" w:rsidRPr="00E70587" w:rsidRDefault="00F67C3B" w:rsidP="00F67C3B">
            <w:pPr>
              <w:spacing w:line="280" w:lineRule="exact"/>
              <w:jc w:val="right"/>
              <w:rPr>
                <w:rFonts w:ascii="Arial" w:hAnsi="Arial" w:cs="Arial"/>
                <w:sz w:val="20"/>
              </w:rPr>
            </w:pPr>
            <w:r w:rsidRPr="00E70587">
              <w:rPr>
                <w:rFonts w:ascii="Arial" w:hAnsi="Arial" w:cs="Arial"/>
                <w:sz w:val="20"/>
              </w:rPr>
              <w:t>57.58</w:t>
            </w:r>
            <w:r w:rsidR="00CA33DC" w:rsidRPr="00E70587">
              <w:rPr>
                <w:rFonts w:ascii="Arial" w:hAnsi="Arial" w:cs="Arial"/>
                <w:sz w:val="20"/>
              </w:rPr>
              <w:t>%</w:t>
            </w:r>
          </w:p>
        </w:tc>
      </w:tr>
      <w:tr w:rsidR="00CA33DC" w:rsidRPr="00E70587" w14:paraId="2D8B68F2" w14:textId="77777777" w:rsidTr="00CA33DC">
        <w:tc>
          <w:tcPr>
            <w:tcW w:w="3780" w:type="dxa"/>
          </w:tcPr>
          <w:p w14:paraId="62903A23" w14:textId="77777777" w:rsidR="00CA33DC" w:rsidRPr="00E70587" w:rsidDel="002E7453" w:rsidRDefault="00CA33DC" w:rsidP="009901E1">
            <w:pPr>
              <w:spacing w:line="280" w:lineRule="exact"/>
              <w:rPr>
                <w:rFonts w:ascii="Arial" w:hAnsi="Arial" w:cs="Arial"/>
                <w:sz w:val="20"/>
              </w:rPr>
            </w:pPr>
            <w:r w:rsidRPr="00E70587">
              <w:rPr>
                <w:rFonts w:ascii="Arial" w:hAnsi="Arial" w:cs="Arial"/>
                <w:sz w:val="20"/>
              </w:rPr>
              <w:t>International Fires P.L.C, an enterprise with significant influence</w:t>
            </w:r>
          </w:p>
        </w:tc>
        <w:tc>
          <w:tcPr>
            <w:tcW w:w="1568" w:type="dxa"/>
          </w:tcPr>
          <w:p w14:paraId="521345D4" w14:textId="77777777" w:rsidR="00CA33DC" w:rsidRPr="00E70587" w:rsidRDefault="00CA33DC" w:rsidP="009901E1">
            <w:pPr>
              <w:spacing w:line="280" w:lineRule="exact"/>
              <w:jc w:val="right"/>
              <w:rPr>
                <w:rFonts w:ascii="Arial" w:hAnsi="Arial" w:cs="Arial"/>
                <w:sz w:val="20"/>
              </w:rPr>
            </w:pPr>
            <w:r w:rsidRPr="00E70587">
              <w:rPr>
                <w:rFonts w:ascii="Arial" w:hAnsi="Arial" w:cs="Arial"/>
                <w:sz w:val="20"/>
              </w:rPr>
              <w:t>8,462.69</w:t>
            </w:r>
          </w:p>
        </w:tc>
        <w:tc>
          <w:tcPr>
            <w:tcW w:w="1312" w:type="dxa"/>
          </w:tcPr>
          <w:p w14:paraId="486AAC2F" w14:textId="77777777" w:rsidR="00CA33DC" w:rsidRPr="00E70587" w:rsidRDefault="00CA33DC" w:rsidP="009901E1">
            <w:pPr>
              <w:spacing w:line="280" w:lineRule="exact"/>
              <w:jc w:val="right"/>
              <w:rPr>
                <w:rFonts w:ascii="Arial" w:hAnsi="Arial" w:cs="Arial"/>
                <w:sz w:val="20"/>
              </w:rPr>
            </w:pPr>
            <w:r w:rsidRPr="00E70587">
              <w:rPr>
                <w:rFonts w:ascii="Arial" w:hAnsi="Arial" w:cs="Arial"/>
                <w:sz w:val="20"/>
              </w:rPr>
              <w:t>21.48%</w:t>
            </w:r>
          </w:p>
        </w:tc>
        <w:tc>
          <w:tcPr>
            <w:tcW w:w="1420" w:type="dxa"/>
          </w:tcPr>
          <w:p w14:paraId="3F5C5C91" w14:textId="77777777" w:rsidR="00CA33DC" w:rsidRPr="00E70587" w:rsidRDefault="00CA33DC" w:rsidP="009901E1">
            <w:pPr>
              <w:spacing w:line="280" w:lineRule="exact"/>
              <w:jc w:val="right"/>
              <w:rPr>
                <w:rFonts w:ascii="Arial" w:hAnsi="Arial" w:cs="Arial"/>
                <w:sz w:val="20"/>
              </w:rPr>
            </w:pPr>
            <w:r w:rsidRPr="00E70587">
              <w:rPr>
                <w:rFonts w:ascii="Arial" w:hAnsi="Arial" w:cs="Arial"/>
                <w:sz w:val="20"/>
              </w:rPr>
              <w:t>8,462.69</w:t>
            </w:r>
          </w:p>
        </w:tc>
        <w:tc>
          <w:tcPr>
            <w:tcW w:w="1460" w:type="dxa"/>
          </w:tcPr>
          <w:p w14:paraId="55580A2E" w14:textId="77777777" w:rsidR="00CA33DC" w:rsidRPr="00E70587" w:rsidRDefault="00CA33DC" w:rsidP="00F67C3B">
            <w:pPr>
              <w:spacing w:line="280" w:lineRule="exact"/>
              <w:jc w:val="right"/>
              <w:rPr>
                <w:rFonts w:ascii="Arial" w:hAnsi="Arial" w:cs="Arial"/>
                <w:sz w:val="20"/>
              </w:rPr>
            </w:pPr>
            <w:r w:rsidRPr="00E70587">
              <w:rPr>
                <w:rFonts w:ascii="Arial" w:hAnsi="Arial" w:cs="Arial"/>
                <w:sz w:val="20"/>
              </w:rPr>
              <w:t>2</w:t>
            </w:r>
            <w:r w:rsidR="00F67C3B" w:rsidRPr="00E70587">
              <w:rPr>
                <w:rFonts w:ascii="Arial" w:hAnsi="Arial" w:cs="Arial"/>
                <w:sz w:val="20"/>
              </w:rPr>
              <w:t>4.25</w:t>
            </w:r>
            <w:r w:rsidRPr="00E70587">
              <w:rPr>
                <w:rFonts w:ascii="Arial" w:hAnsi="Arial" w:cs="Arial"/>
                <w:sz w:val="20"/>
              </w:rPr>
              <w:t>%</w:t>
            </w:r>
          </w:p>
        </w:tc>
      </w:tr>
      <w:tr w:rsidR="00CA33DC" w:rsidRPr="00E70587" w14:paraId="3B371751" w14:textId="77777777" w:rsidTr="00CA33DC">
        <w:tc>
          <w:tcPr>
            <w:tcW w:w="3780" w:type="dxa"/>
          </w:tcPr>
          <w:p w14:paraId="5845C469" w14:textId="77777777" w:rsidR="00CA33DC" w:rsidRPr="00E70587" w:rsidRDefault="00CA33DC" w:rsidP="009901E1">
            <w:pPr>
              <w:spacing w:line="280" w:lineRule="exact"/>
              <w:rPr>
                <w:rFonts w:ascii="Arial" w:hAnsi="Arial" w:cs="Arial"/>
                <w:sz w:val="20"/>
              </w:rPr>
            </w:pPr>
          </w:p>
        </w:tc>
        <w:tc>
          <w:tcPr>
            <w:tcW w:w="1568" w:type="dxa"/>
          </w:tcPr>
          <w:p w14:paraId="078CC857" w14:textId="77777777" w:rsidR="00CA33DC" w:rsidRPr="00E70587" w:rsidRDefault="00CA33DC" w:rsidP="009901E1">
            <w:pPr>
              <w:spacing w:line="280" w:lineRule="exact"/>
              <w:jc w:val="right"/>
              <w:rPr>
                <w:rFonts w:ascii="Arial" w:hAnsi="Arial" w:cs="Arial"/>
                <w:sz w:val="20"/>
              </w:rPr>
            </w:pPr>
          </w:p>
        </w:tc>
        <w:tc>
          <w:tcPr>
            <w:tcW w:w="1312" w:type="dxa"/>
          </w:tcPr>
          <w:p w14:paraId="3EEE5D10" w14:textId="77777777" w:rsidR="00CA33DC" w:rsidRPr="00E70587" w:rsidRDefault="00CA33DC" w:rsidP="009901E1">
            <w:pPr>
              <w:spacing w:line="280" w:lineRule="exact"/>
              <w:jc w:val="right"/>
              <w:rPr>
                <w:rFonts w:ascii="Arial" w:hAnsi="Arial" w:cs="Arial"/>
                <w:sz w:val="20"/>
              </w:rPr>
            </w:pPr>
          </w:p>
        </w:tc>
        <w:tc>
          <w:tcPr>
            <w:tcW w:w="1420" w:type="dxa"/>
          </w:tcPr>
          <w:p w14:paraId="59751623" w14:textId="77777777" w:rsidR="00CA33DC" w:rsidRPr="00E70587" w:rsidRDefault="00CA33DC" w:rsidP="009901E1">
            <w:pPr>
              <w:spacing w:line="280" w:lineRule="exact"/>
              <w:jc w:val="right"/>
              <w:rPr>
                <w:rFonts w:ascii="Arial" w:hAnsi="Arial" w:cs="Arial"/>
                <w:sz w:val="20"/>
              </w:rPr>
            </w:pPr>
          </w:p>
        </w:tc>
        <w:tc>
          <w:tcPr>
            <w:tcW w:w="1460" w:type="dxa"/>
          </w:tcPr>
          <w:p w14:paraId="7BDF290F" w14:textId="77777777" w:rsidR="00CA33DC" w:rsidRPr="00E70587" w:rsidRDefault="00CA33DC" w:rsidP="009901E1">
            <w:pPr>
              <w:spacing w:line="280" w:lineRule="exact"/>
              <w:jc w:val="right"/>
              <w:rPr>
                <w:rFonts w:ascii="Arial" w:hAnsi="Arial" w:cs="Arial"/>
                <w:sz w:val="20"/>
              </w:rPr>
            </w:pPr>
          </w:p>
        </w:tc>
      </w:tr>
      <w:tr w:rsidR="00CA33DC" w:rsidRPr="00E70587" w14:paraId="02FF5DDD" w14:textId="77777777" w:rsidTr="00CA3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tcPr>
          <w:p w14:paraId="4B86436F" w14:textId="77777777" w:rsidR="00CA33DC" w:rsidRPr="00E70587" w:rsidRDefault="00CA33DC" w:rsidP="009901E1">
            <w:pPr>
              <w:spacing w:line="280" w:lineRule="exact"/>
              <w:rPr>
                <w:rFonts w:ascii="Arial" w:hAnsi="Arial" w:cs="Arial"/>
                <w:i/>
                <w:sz w:val="20"/>
              </w:rPr>
            </w:pPr>
            <w:r w:rsidRPr="00E70587">
              <w:rPr>
                <w:rFonts w:ascii="Arial" w:hAnsi="Arial" w:cs="Arial"/>
                <w:i/>
                <w:sz w:val="20"/>
              </w:rPr>
              <w:lastRenderedPageBreak/>
              <w:t xml:space="preserve">Preference shares of </w:t>
            </w:r>
            <w:r w:rsidRPr="00E70587">
              <w:rPr>
                <w:rFonts w:ascii="Arial" w:hAnsi="Arial" w:cs="Arial"/>
                <w:sz w:val="20"/>
              </w:rPr>
              <w:t>INR</w:t>
            </w:r>
            <w:r w:rsidRPr="00E70587">
              <w:rPr>
                <w:rFonts w:ascii="Arial" w:hAnsi="Arial" w:cs="Arial"/>
                <w:i/>
                <w:sz w:val="20"/>
              </w:rPr>
              <w:t>1 each fully paid</w:t>
            </w:r>
          </w:p>
        </w:tc>
        <w:tc>
          <w:tcPr>
            <w:tcW w:w="1568" w:type="dxa"/>
            <w:tcBorders>
              <w:top w:val="nil"/>
              <w:left w:val="nil"/>
              <w:bottom w:val="nil"/>
              <w:right w:val="nil"/>
            </w:tcBorders>
          </w:tcPr>
          <w:p w14:paraId="78D5DE53" w14:textId="77777777" w:rsidR="00CA33DC" w:rsidRPr="00E70587" w:rsidRDefault="00CA33DC" w:rsidP="009901E1">
            <w:pPr>
              <w:spacing w:line="280" w:lineRule="exact"/>
              <w:jc w:val="right"/>
              <w:rPr>
                <w:rFonts w:ascii="Arial" w:hAnsi="Arial" w:cs="Arial"/>
                <w:i/>
                <w:sz w:val="20"/>
              </w:rPr>
            </w:pPr>
          </w:p>
        </w:tc>
        <w:tc>
          <w:tcPr>
            <w:tcW w:w="1312" w:type="dxa"/>
            <w:tcBorders>
              <w:top w:val="nil"/>
              <w:left w:val="nil"/>
              <w:bottom w:val="nil"/>
              <w:right w:val="nil"/>
            </w:tcBorders>
          </w:tcPr>
          <w:p w14:paraId="3FBF10A9" w14:textId="77777777" w:rsidR="00CA33DC" w:rsidRPr="00E70587" w:rsidRDefault="00CA33DC" w:rsidP="009901E1">
            <w:pPr>
              <w:spacing w:line="280" w:lineRule="exact"/>
              <w:jc w:val="right"/>
              <w:rPr>
                <w:rFonts w:ascii="Arial" w:hAnsi="Arial" w:cs="Arial"/>
                <w:i/>
                <w:sz w:val="20"/>
              </w:rPr>
            </w:pPr>
          </w:p>
        </w:tc>
        <w:tc>
          <w:tcPr>
            <w:tcW w:w="1420" w:type="dxa"/>
            <w:tcBorders>
              <w:top w:val="nil"/>
              <w:left w:val="nil"/>
              <w:bottom w:val="nil"/>
              <w:right w:val="nil"/>
            </w:tcBorders>
          </w:tcPr>
          <w:p w14:paraId="1FEEFCA3" w14:textId="77777777" w:rsidR="00CA33DC" w:rsidRPr="00E70587" w:rsidRDefault="00CA33DC" w:rsidP="009901E1">
            <w:pPr>
              <w:spacing w:line="280" w:lineRule="exact"/>
              <w:jc w:val="right"/>
              <w:rPr>
                <w:rFonts w:ascii="Arial" w:hAnsi="Arial" w:cs="Arial"/>
                <w:i/>
                <w:sz w:val="20"/>
              </w:rPr>
            </w:pPr>
          </w:p>
        </w:tc>
        <w:tc>
          <w:tcPr>
            <w:tcW w:w="1460" w:type="dxa"/>
            <w:tcBorders>
              <w:top w:val="nil"/>
              <w:left w:val="nil"/>
              <w:bottom w:val="nil"/>
              <w:right w:val="nil"/>
            </w:tcBorders>
          </w:tcPr>
          <w:p w14:paraId="2E5EB981" w14:textId="77777777" w:rsidR="00CA33DC" w:rsidRPr="00E70587" w:rsidRDefault="00CA33DC" w:rsidP="009901E1">
            <w:pPr>
              <w:spacing w:line="280" w:lineRule="exact"/>
              <w:jc w:val="right"/>
              <w:rPr>
                <w:rFonts w:ascii="Arial" w:hAnsi="Arial" w:cs="Arial"/>
                <w:i/>
                <w:sz w:val="20"/>
              </w:rPr>
            </w:pPr>
          </w:p>
        </w:tc>
      </w:tr>
      <w:tr w:rsidR="00CA33DC" w:rsidRPr="00E70587" w14:paraId="287BA708" w14:textId="77777777" w:rsidTr="00CA3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tcPr>
          <w:p w14:paraId="19C08C27" w14:textId="77777777" w:rsidR="00CA33DC" w:rsidRPr="00E70587" w:rsidRDefault="00CA33DC" w:rsidP="009901E1">
            <w:pPr>
              <w:spacing w:line="280" w:lineRule="exact"/>
              <w:rPr>
                <w:rFonts w:ascii="Arial" w:hAnsi="Arial" w:cs="Arial"/>
                <w:sz w:val="20"/>
              </w:rPr>
            </w:pPr>
            <w:r w:rsidRPr="00E70587">
              <w:rPr>
                <w:rFonts w:ascii="Arial" w:hAnsi="Arial" w:cs="Arial"/>
                <w:sz w:val="20"/>
              </w:rPr>
              <w:t>S.J. Limited, holding company</w:t>
            </w:r>
          </w:p>
        </w:tc>
        <w:tc>
          <w:tcPr>
            <w:tcW w:w="1568" w:type="dxa"/>
            <w:tcBorders>
              <w:top w:val="nil"/>
              <w:left w:val="nil"/>
              <w:bottom w:val="nil"/>
              <w:right w:val="nil"/>
            </w:tcBorders>
          </w:tcPr>
          <w:p w14:paraId="0ACD75BC" w14:textId="77777777" w:rsidR="00CA33DC" w:rsidRPr="00E70587" w:rsidRDefault="004B3B50" w:rsidP="009901E1">
            <w:pPr>
              <w:spacing w:line="280" w:lineRule="exact"/>
              <w:jc w:val="right"/>
              <w:rPr>
                <w:rFonts w:ascii="Arial" w:hAnsi="Arial" w:cs="Arial"/>
                <w:sz w:val="20"/>
              </w:rPr>
            </w:pPr>
            <w:r w:rsidRPr="00E70587">
              <w:rPr>
                <w:rFonts w:ascii="Arial" w:hAnsi="Arial" w:cs="Arial"/>
                <w:sz w:val="20"/>
              </w:rPr>
              <w:t>209</w:t>
            </w:r>
          </w:p>
        </w:tc>
        <w:tc>
          <w:tcPr>
            <w:tcW w:w="1312" w:type="dxa"/>
            <w:tcBorders>
              <w:top w:val="nil"/>
              <w:left w:val="nil"/>
              <w:bottom w:val="nil"/>
              <w:right w:val="nil"/>
            </w:tcBorders>
          </w:tcPr>
          <w:p w14:paraId="072A754F" w14:textId="77777777" w:rsidR="00CA33DC" w:rsidRPr="00E70587" w:rsidRDefault="00CA33DC" w:rsidP="009901E1">
            <w:pPr>
              <w:spacing w:line="280" w:lineRule="exact"/>
              <w:jc w:val="right"/>
              <w:rPr>
                <w:rFonts w:ascii="Arial" w:hAnsi="Arial" w:cs="Arial"/>
                <w:sz w:val="20"/>
              </w:rPr>
            </w:pPr>
            <w:r w:rsidRPr="00E70587">
              <w:rPr>
                <w:rFonts w:ascii="Arial" w:hAnsi="Arial" w:cs="Arial"/>
                <w:sz w:val="20"/>
              </w:rPr>
              <w:t>51%</w:t>
            </w:r>
          </w:p>
        </w:tc>
        <w:tc>
          <w:tcPr>
            <w:tcW w:w="1420" w:type="dxa"/>
            <w:tcBorders>
              <w:top w:val="nil"/>
              <w:left w:val="nil"/>
              <w:bottom w:val="nil"/>
              <w:right w:val="nil"/>
            </w:tcBorders>
          </w:tcPr>
          <w:p w14:paraId="02E2FA2C" w14:textId="77777777" w:rsidR="00CA33DC" w:rsidRPr="00E70587" w:rsidRDefault="004B3B50" w:rsidP="009901E1">
            <w:pPr>
              <w:spacing w:line="280" w:lineRule="exact"/>
              <w:jc w:val="right"/>
              <w:rPr>
                <w:rFonts w:ascii="Arial" w:hAnsi="Arial" w:cs="Arial"/>
                <w:sz w:val="20"/>
              </w:rPr>
            </w:pPr>
            <w:r w:rsidRPr="00E70587">
              <w:rPr>
                <w:rFonts w:ascii="Arial" w:hAnsi="Arial" w:cs="Arial"/>
                <w:sz w:val="20"/>
              </w:rPr>
              <w:t>209</w:t>
            </w:r>
          </w:p>
        </w:tc>
        <w:tc>
          <w:tcPr>
            <w:tcW w:w="1460" w:type="dxa"/>
            <w:tcBorders>
              <w:top w:val="nil"/>
              <w:left w:val="nil"/>
              <w:bottom w:val="nil"/>
              <w:right w:val="nil"/>
            </w:tcBorders>
          </w:tcPr>
          <w:p w14:paraId="58A40C60" w14:textId="77777777" w:rsidR="00CA33DC" w:rsidRPr="00E70587" w:rsidRDefault="00CA33DC" w:rsidP="009901E1">
            <w:pPr>
              <w:spacing w:line="280" w:lineRule="exact"/>
              <w:jc w:val="right"/>
              <w:rPr>
                <w:rFonts w:ascii="Arial" w:hAnsi="Arial" w:cs="Arial"/>
                <w:sz w:val="20"/>
              </w:rPr>
            </w:pPr>
            <w:r w:rsidRPr="00E70587">
              <w:rPr>
                <w:rFonts w:ascii="Arial" w:hAnsi="Arial" w:cs="Arial"/>
                <w:sz w:val="20"/>
              </w:rPr>
              <w:t>51%</w:t>
            </w:r>
          </w:p>
        </w:tc>
      </w:tr>
    </w:tbl>
    <w:p w14:paraId="2AC39475" w14:textId="77777777" w:rsidR="008A7BBE" w:rsidRPr="00E70587" w:rsidRDefault="008A7BBE" w:rsidP="009901E1">
      <w:pPr>
        <w:spacing w:line="280" w:lineRule="exact"/>
        <w:rPr>
          <w:rFonts w:ascii="Arial" w:hAnsi="Arial" w:cs="Arial"/>
          <w:sz w:val="20"/>
        </w:rPr>
      </w:pPr>
    </w:p>
    <w:p w14:paraId="2C2308F9" w14:textId="77777777" w:rsidR="00083A52" w:rsidRPr="00E70587" w:rsidRDefault="008A7BBE" w:rsidP="00CA33DC">
      <w:pPr>
        <w:pStyle w:val="Notesbodytext"/>
        <w:spacing w:after="0" w:line="280" w:lineRule="exact"/>
        <w:jc w:val="both"/>
        <w:rPr>
          <w:rFonts w:ascii="Arial" w:hAnsi="Arial"/>
          <w:b/>
          <w:color w:val="auto"/>
          <w:sz w:val="20"/>
        </w:rPr>
      </w:pPr>
      <w:r w:rsidRPr="00E70587">
        <w:rPr>
          <w:rFonts w:ascii="Arial" w:hAnsi="Arial"/>
          <w:b/>
          <w:color w:val="auto"/>
          <w:sz w:val="20"/>
        </w:rPr>
        <w:t xml:space="preserve">Aggregate number of </w:t>
      </w:r>
      <w:r w:rsidR="00883AA7" w:rsidRPr="00E70587">
        <w:rPr>
          <w:rFonts w:ascii="Arial" w:hAnsi="Arial"/>
          <w:b/>
          <w:color w:val="auto"/>
          <w:sz w:val="20"/>
        </w:rPr>
        <w:t xml:space="preserve">equity shares issued as </w:t>
      </w:r>
      <w:r w:rsidRPr="00E70587">
        <w:rPr>
          <w:rFonts w:ascii="Arial" w:hAnsi="Arial"/>
          <w:b/>
          <w:color w:val="auto"/>
          <w:sz w:val="20"/>
        </w:rPr>
        <w:t>bonus, shares issued for consideration other than cash and shares bought back during the period of five years immediately preceding the reporting date:</w:t>
      </w:r>
    </w:p>
    <w:p w14:paraId="571C0256" w14:textId="77777777" w:rsidR="00EA47A8" w:rsidRPr="00E70587" w:rsidRDefault="00EA47A8" w:rsidP="009901E1">
      <w:pPr>
        <w:spacing w:line="280" w:lineRule="exact"/>
        <w:rPr>
          <w:rFonts w:ascii="Arial" w:hAnsi="Arial" w:cs="Arial"/>
          <w:sz w:val="20"/>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843"/>
        <w:gridCol w:w="1701"/>
      </w:tblGrid>
      <w:tr w:rsidR="00330EAA" w:rsidRPr="00E70587" w14:paraId="1548A127" w14:textId="77777777" w:rsidTr="00330EAA">
        <w:tc>
          <w:tcPr>
            <w:tcW w:w="5954" w:type="dxa"/>
            <w:tcBorders>
              <w:top w:val="single" w:sz="4" w:space="0" w:color="auto"/>
            </w:tcBorders>
          </w:tcPr>
          <w:p w14:paraId="68927AD3" w14:textId="77777777" w:rsidR="00330EAA" w:rsidRPr="00E70587" w:rsidRDefault="00330EAA" w:rsidP="009901E1">
            <w:pPr>
              <w:spacing w:line="280" w:lineRule="exact"/>
              <w:rPr>
                <w:rFonts w:ascii="Arial" w:hAnsi="Arial" w:cs="Arial"/>
                <w:b/>
                <w:sz w:val="20"/>
              </w:rPr>
            </w:pPr>
          </w:p>
        </w:tc>
        <w:tc>
          <w:tcPr>
            <w:tcW w:w="1843" w:type="dxa"/>
            <w:tcBorders>
              <w:top w:val="single" w:sz="4" w:space="0" w:color="auto"/>
            </w:tcBorders>
          </w:tcPr>
          <w:p w14:paraId="567EEBD5" w14:textId="33A9C393" w:rsidR="00330EAA" w:rsidRPr="00E70587" w:rsidRDefault="00330EAA" w:rsidP="009901E1">
            <w:pPr>
              <w:spacing w:line="280" w:lineRule="exact"/>
              <w:jc w:val="center"/>
              <w:rPr>
                <w:rFonts w:ascii="Arial" w:hAnsi="Arial" w:cs="Arial"/>
                <w:b/>
                <w:sz w:val="20"/>
              </w:rPr>
            </w:pPr>
            <w:r w:rsidRPr="00E70587">
              <w:rPr>
                <w:rFonts w:ascii="Arial" w:hAnsi="Arial" w:cs="Arial"/>
                <w:b/>
                <w:sz w:val="20"/>
              </w:rPr>
              <w:t xml:space="preserve">31 March </w:t>
            </w:r>
            <w:r w:rsidR="0020743D" w:rsidRPr="00E70587">
              <w:rPr>
                <w:rFonts w:ascii="Arial" w:hAnsi="Arial" w:cs="Arial"/>
                <w:b/>
                <w:sz w:val="20"/>
              </w:rPr>
              <w:t>20</w:t>
            </w:r>
            <w:r w:rsidR="0020743D">
              <w:rPr>
                <w:rFonts w:ascii="Arial" w:hAnsi="Arial" w:cs="Arial"/>
                <w:b/>
                <w:sz w:val="20"/>
              </w:rPr>
              <w:t>21</w:t>
            </w:r>
          </w:p>
        </w:tc>
        <w:tc>
          <w:tcPr>
            <w:tcW w:w="1701" w:type="dxa"/>
            <w:tcBorders>
              <w:top w:val="single" w:sz="4" w:space="0" w:color="auto"/>
            </w:tcBorders>
          </w:tcPr>
          <w:p w14:paraId="5E2A3BE5" w14:textId="12C0AB22" w:rsidR="00330EAA" w:rsidRPr="00E70587" w:rsidRDefault="00330EAA" w:rsidP="009901E1">
            <w:pPr>
              <w:spacing w:line="280" w:lineRule="exact"/>
              <w:jc w:val="center"/>
              <w:rPr>
                <w:rFonts w:ascii="Arial" w:hAnsi="Arial" w:cs="Arial"/>
                <w:b/>
                <w:sz w:val="20"/>
              </w:rPr>
            </w:pPr>
            <w:r w:rsidRPr="00E70587">
              <w:rPr>
                <w:rFonts w:ascii="Arial" w:hAnsi="Arial" w:cs="Arial"/>
                <w:b/>
                <w:sz w:val="20"/>
              </w:rPr>
              <w:t xml:space="preserve">31 March </w:t>
            </w:r>
            <w:r w:rsidR="0020743D" w:rsidRPr="00E70587">
              <w:rPr>
                <w:rFonts w:ascii="Arial" w:hAnsi="Arial" w:cs="Arial"/>
                <w:b/>
                <w:sz w:val="20"/>
              </w:rPr>
              <w:t>20</w:t>
            </w:r>
            <w:r w:rsidR="0020743D">
              <w:rPr>
                <w:rFonts w:ascii="Arial" w:hAnsi="Arial" w:cs="Arial"/>
                <w:b/>
                <w:sz w:val="20"/>
              </w:rPr>
              <w:t>20</w:t>
            </w:r>
          </w:p>
        </w:tc>
      </w:tr>
      <w:tr w:rsidR="00330EAA" w:rsidRPr="00E70587" w14:paraId="31433349" w14:textId="77777777" w:rsidTr="00330EAA">
        <w:tc>
          <w:tcPr>
            <w:tcW w:w="5954" w:type="dxa"/>
            <w:tcBorders>
              <w:bottom w:val="single" w:sz="4" w:space="0" w:color="auto"/>
            </w:tcBorders>
          </w:tcPr>
          <w:p w14:paraId="1E5B0A4B" w14:textId="77777777" w:rsidR="00330EAA" w:rsidRPr="00E70587" w:rsidRDefault="00330EAA" w:rsidP="009901E1">
            <w:pPr>
              <w:spacing w:line="280" w:lineRule="exact"/>
              <w:rPr>
                <w:rFonts w:ascii="Arial" w:hAnsi="Arial" w:cs="Arial"/>
                <w:b/>
                <w:sz w:val="20"/>
              </w:rPr>
            </w:pPr>
          </w:p>
        </w:tc>
        <w:tc>
          <w:tcPr>
            <w:tcW w:w="1843" w:type="dxa"/>
            <w:tcBorders>
              <w:bottom w:val="single" w:sz="4" w:space="0" w:color="auto"/>
            </w:tcBorders>
          </w:tcPr>
          <w:p w14:paraId="25A6B0C5" w14:textId="77777777" w:rsidR="00330EAA" w:rsidRPr="00E70587" w:rsidRDefault="00330EAA" w:rsidP="009901E1">
            <w:pPr>
              <w:spacing w:line="280" w:lineRule="exact"/>
              <w:jc w:val="center"/>
              <w:rPr>
                <w:rFonts w:ascii="Arial" w:hAnsi="Arial" w:cs="Arial"/>
                <w:b/>
                <w:sz w:val="20"/>
              </w:rPr>
            </w:pPr>
            <w:r w:rsidRPr="00E70587">
              <w:rPr>
                <w:rFonts w:ascii="Arial" w:hAnsi="Arial" w:cs="Arial"/>
                <w:b/>
                <w:sz w:val="20"/>
              </w:rPr>
              <w:t>No. in lacs</w:t>
            </w:r>
          </w:p>
        </w:tc>
        <w:tc>
          <w:tcPr>
            <w:tcW w:w="1701" w:type="dxa"/>
            <w:tcBorders>
              <w:bottom w:val="single" w:sz="4" w:space="0" w:color="auto"/>
            </w:tcBorders>
          </w:tcPr>
          <w:p w14:paraId="06D84106" w14:textId="77777777" w:rsidR="00330EAA" w:rsidRPr="00E70587" w:rsidRDefault="00330EAA" w:rsidP="009901E1">
            <w:pPr>
              <w:spacing w:line="280" w:lineRule="exact"/>
              <w:jc w:val="center"/>
              <w:rPr>
                <w:rFonts w:ascii="Arial" w:hAnsi="Arial" w:cs="Arial"/>
                <w:b/>
                <w:sz w:val="20"/>
              </w:rPr>
            </w:pPr>
            <w:r w:rsidRPr="00E70587">
              <w:rPr>
                <w:rFonts w:ascii="Arial" w:hAnsi="Arial" w:cs="Arial"/>
                <w:b/>
                <w:sz w:val="20"/>
              </w:rPr>
              <w:t>No. in lacs</w:t>
            </w:r>
          </w:p>
        </w:tc>
      </w:tr>
      <w:tr w:rsidR="00330EAA" w:rsidRPr="00E70587" w14:paraId="21EBAA40" w14:textId="77777777" w:rsidTr="00330EAA">
        <w:tc>
          <w:tcPr>
            <w:tcW w:w="5954" w:type="dxa"/>
            <w:tcBorders>
              <w:top w:val="single" w:sz="4" w:space="0" w:color="auto"/>
            </w:tcBorders>
          </w:tcPr>
          <w:p w14:paraId="7A134285" w14:textId="77777777" w:rsidR="00330EAA" w:rsidRPr="00E70587" w:rsidRDefault="00330EAA" w:rsidP="009901E1">
            <w:pPr>
              <w:spacing w:line="280" w:lineRule="exact"/>
              <w:rPr>
                <w:rFonts w:ascii="Arial" w:hAnsi="Arial" w:cs="Arial"/>
                <w:sz w:val="20"/>
              </w:rPr>
            </w:pPr>
            <w:r w:rsidRPr="00E70587">
              <w:rPr>
                <w:rFonts w:ascii="Arial" w:hAnsi="Arial" w:cs="Arial"/>
                <w:sz w:val="20"/>
              </w:rPr>
              <w:t>Equity shares allotted as fully paid bonus shares by capitalization of securities premium</w:t>
            </w:r>
          </w:p>
        </w:tc>
        <w:tc>
          <w:tcPr>
            <w:tcW w:w="1843" w:type="dxa"/>
            <w:tcBorders>
              <w:top w:val="single" w:sz="4" w:space="0" w:color="auto"/>
            </w:tcBorders>
          </w:tcPr>
          <w:p w14:paraId="4FEBE1B3" w14:textId="77777777" w:rsidR="00330EAA" w:rsidRPr="00E70587" w:rsidRDefault="00330EAA" w:rsidP="00E64675">
            <w:pPr>
              <w:spacing w:line="280" w:lineRule="exact"/>
              <w:jc w:val="right"/>
              <w:rPr>
                <w:rFonts w:ascii="Arial" w:hAnsi="Arial" w:cs="Arial"/>
                <w:sz w:val="20"/>
              </w:rPr>
            </w:pPr>
            <w:r w:rsidRPr="00E70587">
              <w:rPr>
                <w:rFonts w:ascii="Arial" w:hAnsi="Arial" w:cs="Arial"/>
                <w:sz w:val="20"/>
              </w:rPr>
              <w:t>500</w:t>
            </w:r>
          </w:p>
        </w:tc>
        <w:tc>
          <w:tcPr>
            <w:tcW w:w="1701" w:type="dxa"/>
            <w:tcBorders>
              <w:top w:val="single" w:sz="4" w:space="0" w:color="auto"/>
            </w:tcBorders>
          </w:tcPr>
          <w:p w14:paraId="273E73C2" w14:textId="77777777" w:rsidR="00330EAA" w:rsidRPr="00E70587" w:rsidRDefault="00330EAA" w:rsidP="00E64675">
            <w:pPr>
              <w:spacing w:line="280" w:lineRule="exact"/>
              <w:jc w:val="right"/>
              <w:rPr>
                <w:rFonts w:ascii="Arial" w:hAnsi="Arial" w:cs="Arial"/>
                <w:sz w:val="20"/>
              </w:rPr>
            </w:pPr>
            <w:r w:rsidRPr="00E70587">
              <w:rPr>
                <w:rFonts w:ascii="Arial" w:hAnsi="Arial" w:cs="Arial"/>
                <w:sz w:val="20"/>
              </w:rPr>
              <w:t>500</w:t>
            </w:r>
          </w:p>
        </w:tc>
      </w:tr>
      <w:tr w:rsidR="00330EAA" w:rsidRPr="00E70587" w14:paraId="2F817F2E" w14:textId="77777777" w:rsidTr="00330EAA">
        <w:tc>
          <w:tcPr>
            <w:tcW w:w="5954" w:type="dxa"/>
          </w:tcPr>
          <w:p w14:paraId="68EF2BBE" w14:textId="77777777" w:rsidR="00330EAA" w:rsidRPr="00E70587" w:rsidRDefault="00330EAA" w:rsidP="009901E1">
            <w:pPr>
              <w:spacing w:line="280" w:lineRule="exact"/>
              <w:rPr>
                <w:rFonts w:ascii="Arial" w:hAnsi="Arial" w:cs="Arial"/>
                <w:sz w:val="20"/>
              </w:rPr>
            </w:pPr>
            <w:r w:rsidRPr="00E70587">
              <w:rPr>
                <w:rFonts w:ascii="Arial" w:hAnsi="Arial" w:cs="Arial"/>
                <w:sz w:val="20"/>
              </w:rPr>
              <w:t>Equity shares issued for acquisition of Extinguishers Limited refer note 36</w:t>
            </w:r>
          </w:p>
        </w:tc>
        <w:tc>
          <w:tcPr>
            <w:tcW w:w="1843" w:type="dxa"/>
          </w:tcPr>
          <w:p w14:paraId="3A6E17B4" w14:textId="77777777" w:rsidR="00330EAA" w:rsidRPr="00E70587" w:rsidRDefault="00330EAA" w:rsidP="00E64675">
            <w:pPr>
              <w:spacing w:line="280" w:lineRule="exact"/>
              <w:jc w:val="right"/>
              <w:rPr>
                <w:rFonts w:ascii="Arial" w:hAnsi="Arial" w:cs="Arial"/>
                <w:sz w:val="20"/>
              </w:rPr>
            </w:pPr>
            <w:r w:rsidRPr="00E70587">
              <w:rPr>
                <w:rFonts w:ascii="Arial" w:hAnsi="Arial" w:cs="Arial"/>
                <w:sz w:val="20"/>
              </w:rPr>
              <w:t>4,500</w:t>
            </w:r>
          </w:p>
        </w:tc>
        <w:tc>
          <w:tcPr>
            <w:tcW w:w="1701" w:type="dxa"/>
          </w:tcPr>
          <w:p w14:paraId="2C901BA6" w14:textId="77777777" w:rsidR="00330EAA" w:rsidRPr="00E70587" w:rsidRDefault="00330EAA" w:rsidP="00E64675">
            <w:pPr>
              <w:spacing w:line="280" w:lineRule="exact"/>
              <w:jc w:val="right"/>
              <w:rPr>
                <w:rFonts w:ascii="Arial" w:hAnsi="Arial" w:cs="Arial"/>
                <w:sz w:val="20"/>
              </w:rPr>
            </w:pPr>
            <w:r w:rsidRPr="00E70587">
              <w:rPr>
                <w:rFonts w:ascii="Arial" w:hAnsi="Arial" w:cs="Arial"/>
                <w:sz w:val="20"/>
              </w:rPr>
              <w:t>-</w:t>
            </w:r>
          </w:p>
        </w:tc>
      </w:tr>
    </w:tbl>
    <w:p w14:paraId="15F8D351" w14:textId="77777777" w:rsidR="008A7BBE" w:rsidRPr="00E70587" w:rsidRDefault="008A7BBE" w:rsidP="009901E1">
      <w:pPr>
        <w:spacing w:line="280" w:lineRule="exact"/>
        <w:rPr>
          <w:rFonts w:ascii="Arial" w:hAnsi="Arial" w:cs="Arial"/>
          <w:sz w:val="20"/>
        </w:rPr>
      </w:pPr>
    </w:p>
    <w:tbl>
      <w:tblPr>
        <w:tblW w:w="9576" w:type="dxa"/>
        <w:tblLook w:val="0000" w:firstRow="0" w:lastRow="0" w:firstColumn="0" w:lastColumn="0" w:noHBand="0" w:noVBand="0"/>
      </w:tblPr>
      <w:tblGrid>
        <w:gridCol w:w="9576"/>
      </w:tblGrid>
      <w:tr w:rsidR="00CA33DC" w:rsidRPr="00E70587" w14:paraId="393E01AB" w14:textId="77777777" w:rsidTr="00CA33DC">
        <w:tc>
          <w:tcPr>
            <w:tcW w:w="0" w:type="auto"/>
          </w:tcPr>
          <w:p w14:paraId="05CF8878" w14:textId="77777777" w:rsidR="00CA33DC" w:rsidRPr="00E70587" w:rsidRDefault="00CA33DC" w:rsidP="00CA33DC">
            <w:pPr>
              <w:spacing w:line="280" w:lineRule="exact"/>
              <w:jc w:val="both"/>
              <w:rPr>
                <w:rFonts w:ascii="Arial" w:hAnsi="Arial" w:cs="Arial"/>
                <w:b/>
                <w:sz w:val="20"/>
              </w:rPr>
            </w:pPr>
            <w:r w:rsidRPr="00E70587">
              <w:rPr>
                <w:rFonts w:ascii="Arial" w:hAnsi="Arial" w:cs="Arial"/>
                <w:b/>
                <w:sz w:val="20"/>
              </w:rPr>
              <w:t>Shares reserved for issue under options</w:t>
            </w:r>
          </w:p>
          <w:p w14:paraId="05B3265C" w14:textId="77777777" w:rsidR="00CA33DC" w:rsidRPr="00E70587" w:rsidRDefault="00CA33DC" w:rsidP="00CA33DC">
            <w:pPr>
              <w:spacing w:line="280" w:lineRule="exact"/>
              <w:jc w:val="both"/>
              <w:rPr>
                <w:rFonts w:ascii="Arial" w:hAnsi="Arial" w:cs="Arial"/>
                <w:sz w:val="20"/>
              </w:rPr>
            </w:pPr>
            <w:r w:rsidRPr="00E70587">
              <w:rPr>
                <w:rFonts w:ascii="Arial" w:hAnsi="Arial" w:cs="Arial"/>
                <w:sz w:val="20"/>
              </w:rPr>
              <w:t>For details of shares reserved for issue under the Share based payment plan of the company, please refer note 41.</w:t>
            </w:r>
          </w:p>
          <w:p w14:paraId="44D344D4" w14:textId="77777777" w:rsidR="00CA33DC" w:rsidRPr="00E70587" w:rsidRDefault="00CA33DC" w:rsidP="00CA33DC">
            <w:pPr>
              <w:spacing w:line="280" w:lineRule="exact"/>
              <w:jc w:val="both"/>
              <w:rPr>
                <w:rFonts w:ascii="Arial" w:hAnsi="Arial" w:cs="Arial"/>
                <w:sz w:val="20"/>
              </w:rPr>
            </w:pPr>
          </w:p>
          <w:p w14:paraId="780455B3" w14:textId="77777777" w:rsidR="00CA33DC" w:rsidRPr="00E70587" w:rsidRDefault="00CA33DC" w:rsidP="00CA33DC">
            <w:pPr>
              <w:spacing w:line="280" w:lineRule="exact"/>
              <w:jc w:val="both"/>
              <w:rPr>
                <w:rFonts w:ascii="Arial" w:hAnsi="Arial" w:cs="Arial"/>
                <w:sz w:val="20"/>
              </w:rPr>
            </w:pPr>
            <w:r w:rsidRPr="00E70587">
              <w:rPr>
                <w:rFonts w:ascii="Arial" w:hAnsi="Arial" w:cs="Arial"/>
                <w:sz w:val="20"/>
              </w:rPr>
              <w:t xml:space="preserve">For details of shares reserved for issue on conversion of Convertible Preference Shares, please refer </w:t>
            </w:r>
            <w:r w:rsidR="00CF76D0" w:rsidRPr="00E70587">
              <w:rPr>
                <w:rFonts w:ascii="Arial" w:hAnsi="Arial" w:cs="Arial"/>
                <w:sz w:val="20"/>
              </w:rPr>
              <w:t xml:space="preserve">note related to </w:t>
            </w:r>
            <w:r w:rsidRPr="00E70587">
              <w:rPr>
                <w:rFonts w:ascii="Arial" w:hAnsi="Arial" w:cs="Arial"/>
                <w:sz w:val="20"/>
              </w:rPr>
              <w:t>terms of conversion/ redemption of preference shares.</w:t>
            </w:r>
          </w:p>
          <w:p w14:paraId="5958A851" w14:textId="77777777" w:rsidR="00CA33DC" w:rsidRPr="00E70587" w:rsidRDefault="00CA33DC" w:rsidP="00CA33DC">
            <w:pPr>
              <w:spacing w:line="280" w:lineRule="exact"/>
              <w:jc w:val="both"/>
              <w:rPr>
                <w:rFonts w:ascii="Arial" w:hAnsi="Arial" w:cs="Arial"/>
                <w:b/>
                <w:sz w:val="20"/>
              </w:rPr>
            </w:pPr>
          </w:p>
        </w:tc>
      </w:tr>
    </w:tbl>
    <w:p w14:paraId="1AD2D996" w14:textId="77777777" w:rsidR="00CA33DC" w:rsidRPr="00E70587" w:rsidRDefault="00CA33DC" w:rsidP="00CA33DC">
      <w:pPr>
        <w:pStyle w:val="ViralheadingL2"/>
        <w:keepNext w:val="0"/>
        <w:spacing w:before="0" w:after="0" w:line="280" w:lineRule="exact"/>
        <w:outlineLvl w:val="9"/>
        <w:rPr>
          <w:rFonts w:ascii="Arial" w:hAnsi="Arial" w:cs="Arial"/>
          <w:b w:val="0"/>
          <w:sz w:val="20"/>
          <w:szCs w:val="20"/>
        </w:rPr>
      </w:pPr>
    </w:p>
    <w:p w14:paraId="25F20884" w14:textId="77777777" w:rsidR="009849EE" w:rsidRPr="00E70587" w:rsidRDefault="006D294A" w:rsidP="00F53123">
      <w:pPr>
        <w:pStyle w:val="ViralheadingL2"/>
        <w:keepNext w:val="0"/>
        <w:numPr>
          <w:ilvl w:val="0"/>
          <w:numId w:val="8"/>
        </w:numPr>
        <w:spacing w:before="0" w:after="0" w:line="280" w:lineRule="exact"/>
        <w:ind w:left="720" w:hanging="720"/>
        <w:outlineLvl w:val="9"/>
        <w:rPr>
          <w:rFonts w:ascii="Arial" w:hAnsi="Arial" w:cs="Arial"/>
          <w:sz w:val="20"/>
          <w:szCs w:val="20"/>
        </w:rPr>
      </w:pPr>
      <w:bookmarkStart w:id="6" w:name="_Hlk54272268"/>
      <w:r w:rsidRPr="00E70587">
        <w:rPr>
          <w:rFonts w:ascii="Arial" w:hAnsi="Arial" w:cs="Arial"/>
          <w:sz w:val="20"/>
          <w:szCs w:val="20"/>
        </w:rPr>
        <w:t xml:space="preserve">Other equity </w:t>
      </w:r>
    </w:p>
    <w:p w14:paraId="513D6C32" w14:textId="77777777" w:rsidR="00CA33DC" w:rsidRPr="00E70587" w:rsidRDefault="00CA33DC" w:rsidP="00CA33DC">
      <w:pPr>
        <w:pStyle w:val="Notesbodytext"/>
        <w:spacing w:after="0" w:line="280" w:lineRule="exact"/>
        <w:jc w:val="both"/>
        <w:rPr>
          <w:rFonts w:ascii="Arial" w:hAnsi="Arial"/>
          <w:color w:val="auto"/>
          <w:sz w:val="20"/>
        </w:rPr>
      </w:pPr>
    </w:p>
    <w:p w14:paraId="3C6C9581" w14:textId="52B84F8A" w:rsidR="00B82F96" w:rsidRPr="00E70587" w:rsidRDefault="0049095E" w:rsidP="00CA33DC">
      <w:pPr>
        <w:pStyle w:val="Notesbodytext"/>
        <w:spacing w:after="0" w:line="280" w:lineRule="exact"/>
        <w:jc w:val="both"/>
        <w:rPr>
          <w:rFonts w:ascii="Arial" w:hAnsi="Arial"/>
          <w:b/>
          <w:color w:val="auto"/>
          <w:sz w:val="20"/>
        </w:rPr>
      </w:pPr>
      <w:r>
        <w:rPr>
          <w:rFonts w:ascii="Arial" w:hAnsi="Arial"/>
          <w:b/>
          <w:bCs/>
          <w:sz w:val="20"/>
          <w:lang w:eastAsia="en-IN"/>
        </w:rPr>
        <w:t>Securities</w:t>
      </w:r>
      <w:r w:rsidRPr="00E70587">
        <w:rPr>
          <w:rFonts w:ascii="Arial" w:hAnsi="Arial"/>
          <w:b/>
          <w:bCs/>
          <w:sz w:val="20"/>
          <w:lang w:eastAsia="en-IN"/>
        </w:rPr>
        <w:t xml:space="preserve"> </w:t>
      </w:r>
      <w:r w:rsidR="00B82F96" w:rsidRPr="00E70587">
        <w:rPr>
          <w:rFonts w:ascii="Arial" w:hAnsi="Arial"/>
          <w:b/>
          <w:color w:val="auto"/>
          <w:sz w:val="20"/>
        </w:rPr>
        <w:t>premium</w:t>
      </w:r>
    </w:p>
    <w:tbl>
      <w:tblPr>
        <w:tblW w:w="9576" w:type="dxa"/>
        <w:tblBorders>
          <w:bottom w:val="single" w:sz="4" w:space="0" w:color="auto"/>
        </w:tblBorders>
        <w:tblLayout w:type="fixed"/>
        <w:tblCellMar>
          <w:left w:w="72" w:type="dxa"/>
          <w:right w:w="72" w:type="dxa"/>
        </w:tblCellMar>
        <w:tblLook w:val="01E0" w:firstRow="1" w:lastRow="1" w:firstColumn="1" w:lastColumn="1" w:noHBand="0" w:noVBand="0"/>
      </w:tblPr>
      <w:tblGrid>
        <w:gridCol w:w="8054"/>
        <w:gridCol w:w="1522"/>
      </w:tblGrid>
      <w:tr w:rsidR="00F10D51" w:rsidRPr="00E70587" w14:paraId="22B62BAD" w14:textId="77777777" w:rsidTr="00F10D51">
        <w:trPr>
          <w:trHeight w:val="20"/>
        </w:trPr>
        <w:tc>
          <w:tcPr>
            <w:tcW w:w="8100" w:type="dxa"/>
            <w:vAlign w:val="bottom"/>
          </w:tcPr>
          <w:p w14:paraId="2CB03973" w14:textId="77777777" w:rsidR="00F10D51" w:rsidRPr="00E70587" w:rsidRDefault="00F10D51" w:rsidP="009901E1">
            <w:pPr>
              <w:pStyle w:val="Notesitalicheading"/>
              <w:spacing w:line="280" w:lineRule="exact"/>
              <w:rPr>
                <w:rFonts w:ascii="Arial" w:hAnsi="Arial"/>
                <w:i w:val="0"/>
                <w:color w:val="auto"/>
                <w:sz w:val="20"/>
              </w:rPr>
            </w:pPr>
          </w:p>
        </w:tc>
        <w:tc>
          <w:tcPr>
            <w:tcW w:w="1530" w:type="dxa"/>
            <w:tcBorders>
              <w:top w:val="nil"/>
              <w:bottom w:val="single" w:sz="4" w:space="0" w:color="auto"/>
            </w:tcBorders>
            <w:vAlign w:val="center"/>
          </w:tcPr>
          <w:p w14:paraId="7F98C478" w14:textId="77777777" w:rsidR="00F10D51" w:rsidRPr="00E70587" w:rsidRDefault="00F10D51" w:rsidP="009901E1">
            <w:pPr>
              <w:pStyle w:val="Tablecolumnheading"/>
              <w:spacing w:line="280" w:lineRule="exact"/>
              <w:ind w:right="87"/>
              <w:rPr>
                <w:rFonts w:ascii="Arial" w:hAnsi="Arial"/>
                <w:color w:val="auto"/>
                <w:sz w:val="20"/>
                <w:szCs w:val="20"/>
                <w:lang w:val="en-IN"/>
              </w:rPr>
            </w:pPr>
            <w:r w:rsidRPr="00E70587">
              <w:rPr>
                <w:rFonts w:ascii="Arial" w:hAnsi="Arial"/>
                <w:color w:val="auto"/>
                <w:sz w:val="20"/>
                <w:szCs w:val="20"/>
                <w:lang w:val="en-IN"/>
              </w:rPr>
              <w:t>INR Lacs</w:t>
            </w:r>
          </w:p>
        </w:tc>
      </w:tr>
      <w:tr w:rsidR="00F10D51" w:rsidRPr="00E70587" w14:paraId="18D24F6F" w14:textId="77777777" w:rsidTr="00F10D51">
        <w:trPr>
          <w:trHeight w:val="20"/>
        </w:trPr>
        <w:tc>
          <w:tcPr>
            <w:tcW w:w="8100" w:type="dxa"/>
            <w:tcMar>
              <w:top w:w="28" w:type="dxa"/>
              <w:left w:w="108" w:type="dxa"/>
              <w:right w:w="108" w:type="dxa"/>
            </w:tcMar>
            <w:vAlign w:val="bottom"/>
          </w:tcPr>
          <w:p w14:paraId="41B65DE5" w14:textId="0471EAD5" w:rsidR="00F10D51" w:rsidRPr="00E70587" w:rsidRDefault="00F10D51"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1 April </w:t>
            </w:r>
            <w:r w:rsidR="00E330F3" w:rsidRPr="00E70587">
              <w:rPr>
                <w:rFonts w:ascii="Arial" w:hAnsi="Arial" w:cs="Arial"/>
                <w:b/>
                <w:sz w:val="20"/>
                <w:lang w:val="en-IN"/>
              </w:rPr>
              <w:t>201</w:t>
            </w:r>
            <w:r w:rsidR="00E330F3">
              <w:rPr>
                <w:rFonts w:ascii="Arial" w:hAnsi="Arial" w:cs="Arial"/>
                <w:b/>
                <w:sz w:val="20"/>
                <w:lang w:val="en-IN"/>
              </w:rPr>
              <w:t>9</w:t>
            </w:r>
          </w:p>
        </w:tc>
        <w:tc>
          <w:tcPr>
            <w:tcW w:w="1530" w:type="dxa"/>
            <w:tcMar>
              <w:top w:w="28" w:type="dxa"/>
              <w:left w:w="108" w:type="dxa"/>
              <w:right w:w="108" w:type="dxa"/>
            </w:tcMar>
            <w:vAlign w:val="center"/>
          </w:tcPr>
          <w:p w14:paraId="0C3CF010" w14:textId="77777777" w:rsidR="00F10D51" w:rsidRPr="00E70587" w:rsidRDefault="00F10D51" w:rsidP="009901E1">
            <w:pPr>
              <w:pStyle w:val="tabletext"/>
              <w:overflowPunct w:val="0"/>
              <w:autoSpaceDE w:val="0"/>
              <w:autoSpaceDN w:val="0"/>
              <w:adjustRightInd w:val="0"/>
              <w:spacing w:line="280" w:lineRule="exact"/>
              <w:ind w:right="87"/>
              <w:jc w:val="right"/>
              <w:textAlignment w:val="baseline"/>
              <w:rPr>
                <w:rFonts w:ascii="Arial" w:hAnsi="Arial" w:cs="Arial"/>
                <w:b/>
                <w:sz w:val="20"/>
                <w:lang w:val="en-IN"/>
              </w:rPr>
            </w:pPr>
            <w:r w:rsidRPr="00E70587">
              <w:rPr>
                <w:rFonts w:ascii="Arial" w:hAnsi="Arial" w:cs="Arial"/>
                <w:b/>
                <w:sz w:val="20"/>
                <w:lang w:val="en-IN"/>
              </w:rPr>
              <w:t>Nil</w:t>
            </w:r>
          </w:p>
        </w:tc>
      </w:tr>
      <w:tr w:rsidR="00F10D51" w:rsidRPr="00E70587" w14:paraId="09FA2AAD" w14:textId="77777777" w:rsidTr="00F10D51">
        <w:trPr>
          <w:trHeight w:val="20"/>
        </w:trPr>
        <w:tc>
          <w:tcPr>
            <w:tcW w:w="8100" w:type="dxa"/>
            <w:tcMar>
              <w:top w:w="28" w:type="dxa"/>
              <w:left w:w="108" w:type="dxa"/>
              <w:right w:w="108" w:type="dxa"/>
            </w:tcMar>
            <w:vAlign w:val="bottom"/>
          </w:tcPr>
          <w:p w14:paraId="573E22F3" w14:textId="214A98B1" w:rsidR="00F10D51" w:rsidRPr="00E70587" w:rsidRDefault="00F10D51"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8B730E" w:rsidRPr="00E70587">
              <w:rPr>
                <w:rFonts w:ascii="Arial" w:hAnsi="Arial" w:cs="Arial"/>
                <w:b/>
                <w:sz w:val="20"/>
                <w:lang w:val="en-IN"/>
              </w:rPr>
              <w:t xml:space="preserve">March </w:t>
            </w:r>
            <w:r w:rsidR="00E330F3" w:rsidRPr="00E70587">
              <w:rPr>
                <w:rFonts w:ascii="Arial" w:hAnsi="Arial" w:cs="Arial"/>
                <w:b/>
                <w:sz w:val="20"/>
                <w:lang w:val="en-IN"/>
              </w:rPr>
              <w:t>20</w:t>
            </w:r>
            <w:r w:rsidR="00E330F3">
              <w:rPr>
                <w:rFonts w:ascii="Arial" w:hAnsi="Arial" w:cs="Arial"/>
                <w:b/>
                <w:sz w:val="20"/>
                <w:lang w:val="en-IN"/>
              </w:rPr>
              <w:t>20</w:t>
            </w:r>
          </w:p>
        </w:tc>
        <w:tc>
          <w:tcPr>
            <w:tcW w:w="1530" w:type="dxa"/>
            <w:tcMar>
              <w:top w:w="28" w:type="dxa"/>
              <w:left w:w="108" w:type="dxa"/>
              <w:right w:w="108" w:type="dxa"/>
            </w:tcMar>
            <w:vAlign w:val="center"/>
          </w:tcPr>
          <w:p w14:paraId="05CFA503" w14:textId="77777777" w:rsidR="00F10D51" w:rsidRPr="00E70587" w:rsidRDefault="00F10D51" w:rsidP="009901E1">
            <w:pPr>
              <w:pStyle w:val="tabletext"/>
              <w:overflowPunct w:val="0"/>
              <w:autoSpaceDE w:val="0"/>
              <w:autoSpaceDN w:val="0"/>
              <w:adjustRightInd w:val="0"/>
              <w:spacing w:line="280" w:lineRule="exact"/>
              <w:ind w:right="87"/>
              <w:jc w:val="right"/>
              <w:textAlignment w:val="baseline"/>
              <w:rPr>
                <w:rFonts w:ascii="Arial" w:hAnsi="Arial" w:cs="Arial"/>
                <w:b/>
                <w:sz w:val="20"/>
                <w:lang w:val="en-IN"/>
              </w:rPr>
            </w:pPr>
            <w:r w:rsidRPr="00E70587">
              <w:rPr>
                <w:rFonts w:ascii="Arial" w:hAnsi="Arial" w:cs="Arial"/>
                <w:b/>
                <w:sz w:val="20"/>
                <w:lang w:val="en-IN"/>
              </w:rPr>
              <w:t>Nil</w:t>
            </w:r>
          </w:p>
        </w:tc>
      </w:tr>
      <w:tr w:rsidR="00F10D51" w:rsidRPr="00E70587" w14:paraId="6BFFDD23" w14:textId="77777777" w:rsidTr="00F10D51">
        <w:trPr>
          <w:trHeight w:val="20"/>
        </w:trPr>
        <w:tc>
          <w:tcPr>
            <w:tcW w:w="8100" w:type="dxa"/>
            <w:tcMar>
              <w:top w:w="28" w:type="dxa"/>
              <w:left w:w="108" w:type="dxa"/>
              <w:right w:w="108" w:type="dxa"/>
            </w:tcMar>
            <w:vAlign w:val="bottom"/>
          </w:tcPr>
          <w:p w14:paraId="5D43E65E" w14:textId="689871BD" w:rsidR="00F10D51" w:rsidRPr="00E70587" w:rsidRDefault="00F10D51"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Increase on 1 November </w:t>
            </w:r>
            <w:r w:rsidR="00E330F3" w:rsidRPr="00E70587">
              <w:rPr>
                <w:rFonts w:ascii="Arial" w:hAnsi="Arial" w:cs="Arial"/>
                <w:sz w:val="20"/>
                <w:lang w:val="en-IN"/>
              </w:rPr>
              <w:t>20</w:t>
            </w:r>
            <w:r w:rsidR="00E330F3">
              <w:rPr>
                <w:rFonts w:ascii="Arial" w:hAnsi="Arial" w:cs="Arial"/>
                <w:sz w:val="20"/>
                <w:lang w:val="en-IN"/>
              </w:rPr>
              <w:t>20</w:t>
            </w:r>
            <w:r w:rsidR="00E330F3" w:rsidRPr="00E70587">
              <w:rPr>
                <w:rFonts w:ascii="Arial" w:hAnsi="Arial" w:cs="Arial"/>
                <w:sz w:val="20"/>
                <w:lang w:val="en-IN"/>
              </w:rPr>
              <w:t xml:space="preserve"> </w:t>
            </w:r>
            <w:r w:rsidRPr="00E70587">
              <w:rPr>
                <w:rFonts w:ascii="Arial" w:hAnsi="Arial" w:cs="Arial"/>
                <w:sz w:val="20"/>
                <w:lang w:val="en-IN"/>
              </w:rPr>
              <w:t>because of issuance of share capital for the acquisition of Extinguishers Limited (Note 36)</w:t>
            </w:r>
          </w:p>
        </w:tc>
        <w:tc>
          <w:tcPr>
            <w:tcW w:w="1530" w:type="dxa"/>
            <w:tcMar>
              <w:top w:w="28" w:type="dxa"/>
              <w:left w:w="108" w:type="dxa"/>
              <w:right w:w="108" w:type="dxa"/>
            </w:tcMar>
            <w:vAlign w:val="center"/>
          </w:tcPr>
          <w:p w14:paraId="10E994D8" w14:textId="77777777" w:rsidR="00F10D51" w:rsidRPr="00E70587" w:rsidRDefault="00F10D51" w:rsidP="009901E1">
            <w:pPr>
              <w:overflowPunct/>
              <w:spacing w:line="280" w:lineRule="exact"/>
              <w:ind w:right="-3"/>
              <w:jc w:val="right"/>
              <w:textAlignment w:val="auto"/>
              <w:rPr>
                <w:rFonts w:ascii="Arial" w:hAnsi="Arial" w:cs="Arial"/>
                <w:sz w:val="20"/>
                <w:lang w:eastAsia="en-GB"/>
              </w:rPr>
            </w:pPr>
            <w:r w:rsidRPr="00E70587">
              <w:rPr>
                <w:rFonts w:ascii="Arial" w:hAnsi="Arial" w:cs="Arial"/>
                <w:sz w:val="20"/>
                <w:lang w:eastAsia="en-GB"/>
              </w:rPr>
              <w:t xml:space="preserve"> 8,466</w:t>
            </w:r>
          </w:p>
        </w:tc>
      </w:tr>
      <w:tr w:rsidR="00F10D51" w:rsidRPr="00E70587" w14:paraId="3C6B4C89" w14:textId="77777777" w:rsidTr="00F10D51">
        <w:trPr>
          <w:trHeight w:val="20"/>
        </w:trPr>
        <w:tc>
          <w:tcPr>
            <w:tcW w:w="8100" w:type="dxa"/>
            <w:tcMar>
              <w:top w:w="28" w:type="dxa"/>
              <w:left w:w="108" w:type="dxa"/>
              <w:right w:w="108" w:type="dxa"/>
            </w:tcMar>
            <w:vAlign w:val="bottom"/>
          </w:tcPr>
          <w:p w14:paraId="51D36A2B" w14:textId="77777777" w:rsidR="00F10D51" w:rsidRPr="00E70587" w:rsidRDefault="00F10D51"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Decrease due to transaction costs for issued share capital</w:t>
            </w:r>
          </w:p>
        </w:tc>
        <w:tc>
          <w:tcPr>
            <w:tcW w:w="1530" w:type="dxa"/>
            <w:tcBorders>
              <w:bottom w:val="single" w:sz="4" w:space="0" w:color="auto"/>
            </w:tcBorders>
            <w:tcMar>
              <w:top w:w="28" w:type="dxa"/>
              <w:left w:w="108" w:type="dxa"/>
              <w:right w:w="0" w:type="dxa"/>
            </w:tcMar>
            <w:vAlign w:val="center"/>
          </w:tcPr>
          <w:p w14:paraId="369CE789" w14:textId="77777777" w:rsidR="00F10D51" w:rsidRPr="00E70587" w:rsidRDefault="00F10D51" w:rsidP="009901E1">
            <w:pPr>
              <w:overflowPunct/>
              <w:spacing w:line="280" w:lineRule="exact"/>
              <w:ind w:right="87"/>
              <w:jc w:val="right"/>
              <w:textAlignment w:val="auto"/>
              <w:rPr>
                <w:rFonts w:ascii="Arial" w:hAnsi="Arial" w:cs="Arial"/>
                <w:sz w:val="20"/>
                <w:lang w:eastAsia="en-GB"/>
              </w:rPr>
            </w:pPr>
            <w:r w:rsidRPr="00E70587">
              <w:rPr>
                <w:rFonts w:ascii="Arial" w:hAnsi="Arial" w:cs="Arial"/>
                <w:sz w:val="20"/>
                <w:lang w:eastAsia="en-GB"/>
              </w:rPr>
              <w:t xml:space="preserve">(58) </w:t>
            </w:r>
          </w:p>
        </w:tc>
      </w:tr>
      <w:tr w:rsidR="00F10D51" w:rsidRPr="00E70587" w14:paraId="49674A72" w14:textId="77777777" w:rsidTr="00F10D51">
        <w:trPr>
          <w:trHeight w:val="20"/>
        </w:trPr>
        <w:tc>
          <w:tcPr>
            <w:tcW w:w="8100" w:type="dxa"/>
            <w:tcBorders>
              <w:bottom w:val="nil"/>
            </w:tcBorders>
            <w:tcMar>
              <w:top w:w="28" w:type="dxa"/>
              <w:left w:w="108" w:type="dxa"/>
              <w:right w:w="108" w:type="dxa"/>
            </w:tcMar>
            <w:vAlign w:val="bottom"/>
          </w:tcPr>
          <w:p w14:paraId="7B63EE78" w14:textId="3B5051C7" w:rsidR="00F10D51" w:rsidRPr="00E70587" w:rsidRDefault="00F10D51"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E1202D" w:rsidRPr="00E70587">
              <w:rPr>
                <w:rFonts w:ascii="Arial" w:hAnsi="Arial" w:cs="Arial"/>
                <w:b/>
                <w:sz w:val="20"/>
                <w:lang w:val="en-IN"/>
              </w:rPr>
              <w:t xml:space="preserve">March </w:t>
            </w:r>
            <w:r w:rsidR="00E330F3" w:rsidRPr="00E70587">
              <w:rPr>
                <w:rFonts w:ascii="Arial" w:hAnsi="Arial" w:cs="Arial"/>
                <w:b/>
                <w:sz w:val="20"/>
                <w:lang w:val="en-IN"/>
              </w:rPr>
              <w:t>20</w:t>
            </w:r>
            <w:r w:rsidR="00E330F3">
              <w:rPr>
                <w:rFonts w:ascii="Arial" w:hAnsi="Arial" w:cs="Arial"/>
                <w:b/>
                <w:sz w:val="20"/>
                <w:lang w:val="en-IN"/>
              </w:rPr>
              <w:t>21</w:t>
            </w:r>
          </w:p>
        </w:tc>
        <w:tc>
          <w:tcPr>
            <w:tcW w:w="1530" w:type="dxa"/>
            <w:tcBorders>
              <w:top w:val="single" w:sz="4" w:space="0" w:color="auto"/>
              <w:bottom w:val="nil"/>
            </w:tcBorders>
            <w:tcMar>
              <w:top w:w="28" w:type="dxa"/>
              <w:left w:w="108" w:type="dxa"/>
              <w:right w:w="108" w:type="dxa"/>
            </w:tcMar>
            <w:vAlign w:val="center"/>
          </w:tcPr>
          <w:p w14:paraId="43C07578" w14:textId="77777777" w:rsidR="00F10D51" w:rsidRPr="00E70587" w:rsidRDefault="00F10D51" w:rsidP="00915156">
            <w:pPr>
              <w:pStyle w:val="tabletext"/>
              <w:overflowPunct w:val="0"/>
              <w:autoSpaceDE w:val="0"/>
              <w:autoSpaceDN w:val="0"/>
              <w:adjustRightInd w:val="0"/>
              <w:spacing w:line="280" w:lineRule="exact"/>
              <w:ind w:left="57" w:right="-3"/>
              <w:jc w:val="right"/>
              <w:textAlignment w:val="baseline"/>
              <w:rPr>
                <w:rFonts w:ascii="Arial" w:hAnsi="Arial" w:cs="Arial"/>
                <w:b/>
                <w:sz w:val="20"/>
                <w:lang w:val="en-IN"/>
              </w:rPr>
            </w:pPr>
            <w:r w:rsidRPr="00E70587">
              <w:rPr>
                <w:rFonts w:ascii="Arial" w:hAnsi="Arial" w:cs="Arial"/>
                <w:b/>
                <w:sz w:val="20"/>
                <w:lang w:val="en-IN"/>
              </w:rPr>
              <w:t xml:space="preserve"> 8</w:t>
            </w:r>
            <w:r w:rsidR="00915156" w:rsidRPr="00E70587">
              <w:rPr>
                <w:rFonts w:ascii="Arial" w:hAnsi="Arial" w:cs="Arial"/>
                <w:b/>
                <w:sz w:val="20"/>
                <w:lang w:val="en-IN"/>
              </w:rPr>
              <w:t>,</w:t>
            </w:r>
            <w:r w:rsidRPr="00E70587">
              <w:rPr>
                <w:rFonts w:ascii="Arial" w:hAnsi="Arial" w:cs="Arial"/>
                <w:b/>
                <w:sz w:val="20"/>
                <w:lang w:val="en-IN"/>
              </w:rPr>
              <w:t>408</w:t>
            </w:r>
          </w:p>
        </w:tc>
      </w:tr>
    </w:tbl>
    <w:p w14:paraId="1A9FC6B1" w14:textId="77777777" w:rsidR="00FB0C73" w:rsidRDefault="00FB0C73" w:rsidP="00F10D51">
      <w:pPr>
        <w:pStyle w:val="Notesbodytext"/>
        <w:spacing w:after="0" w:line="280" w:lineRule="exact"/>
        <w:jc w:val="both"/>
        <w:rPr>
          <w:rFonts w:ascii="Arial" w:hAnsi="Arial"/>
          <w:color w:val="auto"/>
          <w:sz w:val="20"/>
        </w:rPr>
      </w:pPr>
    </w:p>
    <w:p w14:paraId="22635778" w14:textId="77777777" w:rsidR="00657499" w:rsidRPr="00E70587" w:rsidRDefault="00657499" w:rsidP="00F10D51">
      <w:pPr>
        <w:pStyle w:val="Notesbodytext"/>
        <w:spacing w:after="0" w:line="280" w:lineRule="exact"/>
        <w:jc w:val="both"/>
        <w:rPr>
          <w:rFonts w:ascii="Arial" w:hAnsi="Arial"/>
          <w:color w:val="auto"/>
          <w:sz w:val="20"/>
        </w:rPr>
      </w:pPr>
    </w:p>
    <w:tbl>
      <w:tblPr>
        <w:tblW w:w="9576" w:type="dxa"/>
        <w:tblBorders>
          <w:bottom w:val="single" w:sz="4" w:space="0" w:color="auto"/>
        </w:tblBorders>
        <w:tblLayout w:type="fixed"/>
        <w:tblCellMar>
          <w:left w:w="72" w:type="dxa"/>
          <w:right w:w="72" w:type="dxa"/>
        </w:tblCellMar>
        <w:tblLook w:val="01E0" w:firstRow="1" w:lastRow="1" w:firstColumn="1" w:lastColumn="1" w:noHBand="0" w:noVBand="0"/>
      </w:tblPr>
      <w:tblGrid>
        <w:gridCol w:w="6595"/>
        <w:gridCol w:w="1445"/>
        <w:gridCol w:w="1536"/>
      </w:tblGrid>
      <w:tr w:rsidR="00F10D51" w:rsidRPr="00E70587" w14:paraId="3BD7905F" w14:textId="77777777" w:rsidTr="00F10D51">
        <w:tc>
          <w:tcPr>
            <w:tcW w:w="6570" w:type="dxa"/>
            <w:vAlign w:val="bottom"/>
          </w:tcPr>
          <w:p w14:paraId="7E962E84" w14:textId="77777777" w:rsidR="00F10D51" w:rsidRPr="00E70587" w:rsidRDefault="00F10D51" w:rsidP="009901E1">
            <w:pPr>
              <w:pStyle w:val="Notesitalicheading"/>
              <w:spacing w:line="280" w:lineRule="exact"/>
              <w:rPr>
                <w:rFonts w:ascii="Arial" w:hAnsi="Arial"/>
                <w:i w:val="0"/>
                <w:color w:val="auto"/>
                <w:sz w:val="20"/>
              </w:rPr>
            </w:pPr>
            <w:r w:rsidRPr="00E70587">
              <w:rPr>
                <w:rFonts w:ascii="Arial" w:hAnsi="Arial"/>
                <w:i w:val="0"/>
                <w:color w:val="auto"/>
                <w:sz w:val="20"/>
              </w:rPr>
              <w:t>Treasury shares</w:t>
            </w:r>
          </w:p>
          <w:p w14:paraId="62838353" w14:textId="77777777" w:rsidR="00F10D51" w:rsidRPr="00E70587" w:rsidRDefault="00F10D51" w:rsidP="009901E1">
            <w:pPr>
              <w:pStyle w:val="Notesitalicheading"/>
              <w:spacing w:line="280" w:lineRule="exact"/>
              <w:rPr>
                <w:rFonts w:ascii="Arial" w:hAnsi="Arial"/>
                <w:i w:val="0"/>
                <w:color w:val="auto"/>
                <w:sz w:val="20"/>
              </w:rPr>
            </w:pPr>
          </w:p>
        </w:tc>
        <w:tc>
          <w:tcPr>
            <w:tcW w:w="1440" w:type="dxa"/>
            <w:tcBorders>
              <w:top w:val="nil"/>
              <w:bottom w:val="single" w:sz="4" w:space="0" w:color="auto"/>
            </w:tcBorders>
            <w:vAlign w:val="bottom"/>
          </w:tcPr>
          <w:p w14:paraId="6A51ED47" w14:textId="77777777" w:rsidR="00F10D51" w:rsidRPr="00E70587" w:rsidRDefault="00F10D51"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No in Lacs</w:t>
            </w:r>
          </w:p>
        </w:tc>
        <w:tc>
          <w:tcPr>
            <w:tcW w:w="1530" w:type="dxa"/>
            <w:tcBorders>
              <w:top w:val="nil"/>
              <w:bottom w:val="single" w:sz="4" w:space="0" w:color="auto"/>
            </w:tcBorders>
            <w:vAlign w:val="bottom"/>
          </w:tcPr>
          <w:p w14:paraId="6408ACBC" w14:textId="77777777" w:rsidR="00F10D51" w:rsidRPr="00E70587" w:rsidRDefault="00F10D51"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r>
      <w:tr w:rsidR="00F10D51" w:rsidRPr="00E70587" w14:paraId="39E17A62" w14:textId="77777777" w:rsidTr="00F10D51">
        <w:tc>
          <w:tcPr>
            <w:tcW w:w="6570" w:type="dxa"/>
            <w:tcMar>
              <w:top w:w="28" w:type="dxa"/>
              <w:left w:w="108" w:type="dxa"/>
              <w:right w:w="108" w:type="dxa"/>
            </w:tcMar>
            <w:vAlign w:val="bottom"/>
          </w:tcPr>
          <w:p w14:paraId="57CA71D0" w14:textId="135E0B46" w:rsidR="00F10D51" w:rsidRPr="00E70587" w:rsidRDefault="00F10D51"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1 April </w:t>
            </w:r>
            <w:r w:rsidR="001F1546" w:rsidRPr="00E70587">
              <w:rPr>
                <w:rFonts w:ascii="Arial" w:hAnsi="Arial" w:cs="Arial"/>
                <w:b/>
                <w:sz w:val="20"/>
                <w:lang w:val="en-IN"/>
              </w:rPr>
              <w:t>201</w:t>
            </w:r>
            <w:r w:rsidR="001F1546">
              <w:rPr>
                <w:rFonts w:ascii="Arial" w:hAnsi="Arial" w:cs="Arial"/>
                <w:b/>
                <w:sz w:val="20"/>
                <w:lang w:val="en-IN"/>
              </w:rPr>
              <w:t>9</w:t>
            </w:r>
          </w:p>
        </w:tc>
        <w:tc>
          <w:tcPr>
            <w:tcW w:w="1440" w:type="dxa"/>
            <w:tcBorders>
              <w:top w:val="single" w:sz="4" w:space="0" w:color="auto"/>
              <w:bottom w:val="nil"/>
            </w:tcBorders>
            <w:tcMar>
              <w:top w:w="28" w:type="dxa"/>
              <w:left w:w="108" w:type="dxa"/>
              <w:right w:w="108" w:type="dxa"/>
            </w:tcMar>
          </w:tcPr>
          <w:p w14:paraId="0C7D2895" w14:textId="77777777" w:rsidR="00F10D51" w:rsidRPr="00E70587" w:rsidRDefault="00F10D51"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603</w:t>
            </w:r>
          </w:p>
        </w:tc>
        <w:tc>
          <w:tcPr>
            <w:tcW w:w="1530" w:type="dxa"/>
            <w:tcBorders>
              <w:top w:val="single" w:sz="4" w:space="0" w:color="auto"/>
              <w:bottom w:val="nil"/>
            </w:tcBorders>
            <w:tcMar>
              <w:top w:w="28" w:type="dxa"/>
              <w:left w:w="108" w:type="dxa"/>
              <w:right w:w="108" w:type="dxa"/>
            </w:tcMar>
          </w:tcPr>
          <w:p w14:paraId="388AA4CF" w14:textId="77777777" w:rsidR="00F10D51" w:rsidRPr="00E70587" w:rsidRDefault="00F10D51"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1,393</w:t>
            </w:r>
          </w:p>
        </w:tc>
      </w:tr>
      <w:tr w:rsidR="00F10D51" w:rsidRPr="00E70587" w14:paraId="767EB22C" w14:textId="77777777" w:rsidTr="00F10D51">
        <w:tc>
          <w:tcPr>
            <w:tcW w:w="6570" w:type="dxa"/>
            <w:tcMar>
              <w:top w:w="28" w:type="dxa"/>
              <w:left w:w="108" w:type="dxa"/>
              <w:right w:w="108" w:type="dxa"/>
            </w:tcMar>
            <w:vAlign w:val="bottom"/>
          </w:tcPr>
          <w:p w14:paraId="1A20CBA2" w14:textId="77777777" w:rsidR="00F10D51" w:rsidRPr="00E70587" w:rsidRDefault="00F10D51" w:rsidP="009901E1">
            <w:pPr>
              <w:spacing w:line="280" w:lineRule="exact"/>
              <w:rPr>
                <w:rFonts w:ascii="Arial" w:hAnsi="Arial" w:cs="Arial"/>
                <w:sz w:val="20"/>
              </w:rPr>
            </w:pPr>
            <w:r w:rsidRPr="00E70587">
              <w:rPr>
                <w:rFonts w:ascii="Arial" w:hAnsi="Arial" w:cs="Arial"/>
                <w:sz w:val="20"/>
              </w:rPr>
              <w:t xml:space="preserve">Issued for cash on exercise of share options </w:t>
            </w:r>
          </w:p>
        </w:tc>
        <w:tc>
          <w:tcPr>
            <w:tcW w:w="1440" w:type="dxa"/>
            <w:tcBorders>
              <w:bottom w:val="single" w:sz="4" w:space="0" w:color="auto"/>
            </w:tcBorders>
            <w:tcMar>
              <w:top w:w="28" w:type="dxa"/>
              <w:left w:w="108" w:type="dxa"/>
              <w:right w:w="28" w:type="dxa"/>
            </w:tcMar>
          </w:tcPr>
          <w:p w14:paraId="7730CB02" w14:textId="77777777" w:rsidR="00F10D51" w:rsidRPr="00E70587" w:rsidRDefault="00F10D51"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(117)</w:t>
            </w:r>
          </w:p>
        </w:tc>
        <w:tc>
          <w:tcPr>
            <w:tcW w:w="1530" w:type="dxa"/>
            <w:tcBorders>
              <w:bottom w:val="single" w:sz="4" w:space="0" w:color="auto"/>
            </w:tcBorders>
            <w:tcMar>
              <w:top w:w="28" w:type="dxa"/>
              <w:left w:w="108" w:type="dxa"/>
              <w:right w:w="28" w:type="dxa"/>
            </w:tcMar>
          </w:tcPr>
          <w:p w14:paraId="25E8FEAB" w14:textId="77777777" w:rsidR="00F10D51" w:rsidRPr="00E70587" w:rsidRDefault="00F10D51"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(216)</w:t>
            </w:r>
          </w:p>
        </w:tc>
      </w:tr>
      <w:tr w:rsidR="00F10D51" w:rsidRPr="00E70587" w14:paraId="7FBFE849" w14:textId="77777777" w:rsidTr="00F10D51">
        <w:tc>
          <w:tcPr>
            <w:tcW w:w="6570" w:type="dxa"/>
            <w:tcMar>
              <w:top w:w="28" w:type="dxa"/>
              <w:left w:w="108" w:type="dxa"/>
              <w:right w:w="108" w:type="dxa"/>
            </w:tcMar>
            <w:vAlign w:val="bottom"/>
          </w:tcPr>
          <w:p w14:paraId="758629D5" w14:textId="3CBFDCCC" w:rsidR="00F10D51" w:rsidRPr="00E70587" w:rsidRDefault="00F10D51"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8B730E" w:rsidRPr="00E70587">
              <w:rPr>
                <w:rFonts w:ascii="Arial" w:hAnsi="Arial" w:cs="Arial"/>
                <w:b/>
                <w:sz w:val="20"/>
                <w:lang w:val="en-IN"/>
              </w:rPr>
              <w:t xml:space="preserve">March </w:t>
            </w:r>
            <w:r w:rsidR="001F1546" w:rsidRPr="00E70587">
              <w:rPr>
                <w:rFonts w:ascii="Arial" w:hAnsi="Arial" w:cs="Arial"/>
                <w:b/>
                <w:sz w:val="20"/>
                <w:lang w:val="en-IN"/>
              </w:rPr>
              <w:t>20</w:t>
            </w:r>
            <w:r w:rsidR="001F1546">
              <w:rPr>
                <w:rFonts w:ascii="Arial" w:hAnsi="Arial" w:cs="Arial"/>
                <w:b/>
                <w:sz w:val="20"/>
                <w:lang w:val="en-IN"/>
              </w:rPr>
              <w:t>20</w:t>
            </w:r>
            <w:r w:rsidR="001F1546" w:rsidRPr="00E70587">
              <w:rPr>
                <w:rFonts w:ascii="Arial" w:hAnsi="Arial" w:cs="Arial"/>
                <w:b/>
                <w:sz w:val="20"/>
                <w:lang w:val="en-IN"/>
              </w:rPr>
              <w:t xml:space="preserve"> </w:t>
            </w:r>
          </w:p>
        </w:tc>
        <w:tc>
          <w:tcPr>
            <w:tcW w:w="1440" w:type="dxa"/>
            <w:tcBorders>
              <w:top w:val="single" w:sz="4" w:space="0" w:color="auto"/>
              <w:bottom w:val="nil"/>
            </w:tcBorders>
            <w:tcMar>
              <w:top w:w="28" w:type="dxa"/>
              <w:left w:w="108" w:type="dxa"/>
              <w:right w:w="108" w:type="dxa"/>
            </w:tcMar>
          </w:tcPr>
          <w:p w14:paraId="36FFC74A" w14:textId="77777777" w:rsidR="00F10D51" w:rsidRPr="00E70587" w:rsidRDefault="00F10D51"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486</w:t>
            </w:r>
          </w:p>
        </w:tc>
        <w:tc>
          <w:tcPr>
            <w:tcW w:w="1530" w:type="dxa"/>
            <w:tcBorders>
              <w:top w:val="single" w:sz="4" w:space="0" w:color="auto"/>
              <w:bottom w:val="nil"/>
            </w:tcBorders>
            <w:tcMar>
              <w:top w:w="28" w:type="dxa"/>
              <w:left w:w="108" w:type="dxa"/>
              <w:right w:w="108" w:type="dxa"/>
            </w:tcMar>
          </w:tcPr>
          <w:p w14:paraId="0D8D45EA" w14:textId="77777777" w:rsidR="00F10D51" w:rsidRPr="00E70587" w:rsidRDefault="00F10D51"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1,177</w:t>
            </w:r>
          </w:p>
        </w:tc>
      </w:tr>
      <w:tr w:rsidR="00F10D51" w:rsidRPr="00E70587" w14:paraId="16501ED0" w14:textId="77777777" w:rsidTr="00F10D51">
        <w:tc>
          <w:tcPr>
            <w:tcW w:w="6570" w:type="dxa"/>
            <w:tcBorders>
              <w:bottom w:val="nil"/>
            </w:tcBorders>
            <w:tcMar>
              <w:top w:w="28" w:type="dxa"/>
              <w:left w:w="108" w:type="dxa"/>
              <w:right w:w="108" w:type="dxa"/>
            </w:tcMar>
            <w:vAlign w:val="bottom"/>
          </w:tcPr>
          <w:p w14:paraId="003F4743" w14:textId="77777777" w:rsidR="00F10D51" w:rsidRPr="00E70587" w:rsidRDefault="00F10D51" w:rsidP="009901E1">
            <w:pPr>
              <w:spacing w:line="280" w:lineRule="exact"/>
              <w:rPr>
                <w:rFonts w:ascii="Arial" w:hAnsi="Arial" w:cs="Arial"/>
                <w:sz w:val="20"/>
              </w:rPr>
            </w:pPr>
            <w:r w:rsidRPr="00E70587">
              <w:rPr>
                <w:rFonts w:ascii="Arial" w:hAnsi="Arial" w:cs="Arial"/>
                <w:sz w:val="20"/>
              </w:rPr>
              <w:t xml:space="preserve">Issued for cash on exercise of share options </w:t>
            </w:r>
          </w:p>
        </w:tc>
        <w:tc>
          <w:tcPr>
            <w:tcW w:w="1440" w:type="dxa"/>
            <w:tcBorders>
              <w:bottom w:val="single" w:sz="4" w:space="0" w:color="auto"/>
            </w:tcBorders>
            <w:tcMar>
              <w:top w:w="28" w:type="dxa"/>
              <w:left w:w="108" w:type="dxa"/>
              <w:right w:w="28" w:type="dxa"/>
            </w:tcMar>
          </w:tcPr>
          <w:p w14:paraId="169D89DE" w14:textId="77777777" w:rsidR="00F10D51" w:rsidRPr="00E70587" w:rsidRDefault="00F10D51"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(135)</w:t>
            </w:r>
          </w:p>
        </w:tc>
        <w:tc>
          <w:tcPr>
            <w:tcW w:w="1530" w:type="dxa"/>
            <w:tcBorders>
              <w:bottom w:val="single" w:sz="4" w:space="0" w:color="auto"/>
            </w:tcBorders>
            <w:tcMar>
              <w:top w:w="28" w:type="dxa"/>
              <w:left w:w="108" w:type="dxa"/>
              <w:right w:w="28" w:type="dxa"/>
            </w:tcMar>
          </w:tcPr>
          <w:p w14:paraId="34BEC9CA" w14:textId="77777777" w:rsidR="00F10D51" w:rsidRPr="00E70587" w:rsidRDefault="00F10D51"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(263)</w:t>
            </w:r>
          </w:p>
        </w:tc>
      </w:tr>
      <w:tr w:rsidR="00F10D51" w:rsidRPr="00E70587" w14:paraId="13E31BE0" w14:textId="77777777" w:rsidTr="00F10D51">
        <w:tc>
          <w:tcPr>
            <w:tcW w:w="6570" w:type="dxa"/>
            <w:tcBorders>
              <w:bottom w:val="nil"/>
            </w:tcBorders>
            <w:tcMar>
              <w:top w:w="28" w:type="dxa"/>
              <w:left w:w="108" w:type="dxa"/>
              <w:right w:w="108" w:type="dxa"/>
            </w:tcMar>
            <w:vAlign w:val="bottom"/>
          </w:tcPr>
          <w:p w14:paraId="1ABAC1BE" w14:textId="278653C1" w:rsidR="00F10D51" w:rsidRPr="00E70587" w:rsidRDefault="00F10D51"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E1202D" w:rsidRPr="00E70587">
              <w:rPr>
                <w:rFonts w:ascii="Arial" w:hAnsi="Arial" w:cs="Arial"/>
                <w:b/>
                <w:sz w:val="20"/>
                <w:lang w:val="en-IN"/>
              </w:rPr>
              <w:t xml:space="preserve">March </w:t>
            </w:r>
            <w:r w:rsidR="001F1546" w:rsidRPr="00E70587">
              <w:rPr>
                <w:rFonts w:ascii="Arial" w:hAnsi="Arial" w:cs="Arial"/>
                <w:b/>
                <w:sz w:val="20"/>
                <w:lang w:val="en-IN"/>
              </w:rPr>
              <w:t>20</w:t>
            </w:r>
            <w:r w:rsidR="001F1546">
              <w:rPr>
                <w:rFonts w:ascii="Arial" w:hAnsi="Arial" w:cs="Arial"/>
                <w:b/>
                <w:sz w:val="20"/>
                <w:lang w:val="en-IN"/>
              </w:rPr>
              <w:t>21</w:t>
            </w:r>
          </w:p>
        </w:tc>
        <w:tc>
          <w:tcPr>
            <w:tcW w:w="1440" w:type="dxa"/>
            <w:tcBorders>
              <w:top w:val="single" w:sz="4" w:space="0" w:color="auto"/>
              <w:bottom w:val="double" w:sz="4" w:space="0" w:color="auto"/>
            </w:tcBorders>
            <w:tcMar>
              <w:top w:w="28" w:type="dxa"/>
              <w:left w:w="108" w:type="dxa"/>
              <w:right w:w="108" w:type="dxa"/>
            </w:tcMar>
          </w:tcPr>
          <w:p w14:paraId="09A76800" w14:textId="77777777" w:rsidR="00F10D51" w:rsidRPr="00E70587" w:rsidRDefault="00F10D51"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351</w:t>
            </w:r>
          </w:p>
        </w:tc>
        <w:tc>
          <w:tcPr>
            <w:tcW w:w="1530" w:type="dxa"/>
            <w:tcBorders>
              <w:top w:val="single" w:sz="4" w:space="0" w:color="auto"/>
              <w:bottom w:val="double" w:sz="4" w:space="0" w:color="auto"/>
            </w:tcBorders>
            <w:tcMar>
              <w:top w:w="28" w:type="dxa"/>
              <w:left w:w="108" w:type="dxa"/>
              <w:right w:w="108" w:type="dxa"/>
            </w:tcMar>
          </w:tcPr>
          <w:p w14:paraId="764D7089" w14:textId="77777777" w:rsidR="00F10D51" w:rsidRPr="00E70587" w:rsidRDefault="00F10D51"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914</w:t>
            </w:r>
          </w:p>
        </w:tc>
      </w:tr>
    </w:tbl>
    <w:p w14:paraId="0AB12DA1" w14:textId="77777777" w:rsidR="00062000" w:rsidRPr="00E70587" w:rsidRDefault="00062000" w:rsidP="009901E1">
      <w:pPr>
        <w:spacing w:line="280" w:lineRule="exact"/>
        <w:rPr>
          <w:rFonts w:ascii="Arial" w:hAnsi="Arial" w:cs="Arial"/>
          <w:sz w:val="20"/>
        </w:rPr>
      </w:pPr>
    </w:p>
    <w:tbl>
      <w:tblPr>
        <w:tblW w:w="9576" w:type="dxa"/>
        <w:tblLook w:val="0000" w:firstRow="0" w:lastRow="0" w:firstColumn="0" w:lastColumn="0" w:noHBand="0" w:noVBand="0"/>
      </w:tblPr>
      <w:tblGrid>
        <w:gridCol w:w="9576"/>
      </w:tblGrid>
      <w:tr w:rsidR="00F10D51" w:rsidRPr="00E70587" w14:paraId="6FDDA38D" w14:textId="77777777" w:rsidTr="00F10D51">
        <w:tc>
          <w:tcPr>
            <w:tcW w:w="0" w:type="auto"/>
          </w:tcPr>
          <w:p w14:paraId="4A303761" w14:textId="77777777" w:rsidR="00F10D51" w:rsidRPr="00E70587" w:rsidRDefault="00F10D51" w:rsidP="00F10D51">
            <w:pPr>
              <w:pStyle w:val="tabletext"/>
              <w:overflowPunct w:val="0"/>
              <w:autoSpaceDE w:val="0"/>
              <w:autoSpaceDN w:val="0"/>
              <w:adjustRightInd w:val="0"/>
              <w:spacing w:line="280" w:lineRule="exact"/>
              <w:ind w:left="6"/>
              <w:jc w:val="both"/>
              <w:textAlignment w:val="baseline"/>
              <w:rPr>
                <w:rFonts w:ascii="Arial" w:hAnsi="Arial" w:cs="Arial"/>
                <w:sz w:val="20"/>
                <w:lang w:val="en-IN"/>
              </w:rPr>
            </w:pPr>
            <w:r w:rsidRPr="00E70587">
              <w:rPr>
                <w:rFonts w:ascii="Arial" w:hAnsi="Arial" w:cs="Arial"/>
                <w:sz w:val="20"/>
                <w:lang w:val="en-IN"/>
              </w:rPr>
              <w:t>Share options exercised in each respective year have been settled using the treasury shares of the Group. The reduction in the treasury share equity component is equal to the cost incurred to acquire the shares, on a weighted average basis. Any excess of the cash received from employees over the reduction in treasury shares is recognised in the retained earnings.</w:t>
            </w:r>
          </w:p>
          <w:p w14:paraId="36C95F6D" w14:textId="77777777" w:rsidR="00F10D51" w:rsidRPr="00E70587" w:rsidRDefault="00F10D51" w:rsidP="00F10D51">
            <w:pPr>
              <w:pStyle w:val="Notesitalicheading"/>
              <w:spacing w:line="280" w:lineRule="exact"/>
              <w:ind w:left="6"/>
              <w:jc w:val="both"/>
              <w:rPr>
                <w:rFonts w:ascii="Arial" w:hAnsi="Arial"/>
                <w:i w:val="0"/>
                <w:color w:val="auto"/>
                <w:sz w:val="20"/>
              </w:rPr>
            </w:pPr>
          </w:p>
          <w:p w14:paraId="0E366FD8" w14:textId="77777777" w:rsidR="00BB29EA" w:rsidRDefault="00BB29EA" w:rsidP="00F10D51">
            <w:pPr>
              <w:pStyle w:val="Notesitalicheading"/>
              <w:spacing w:line="280" w:lineRule="exact"/>
              <w:ind w:left="6"/>
              <w:jc w:val="both"/>
              <w:rPr>
                <w:rFonts w:ascii="Arial" w:hAnsi="Arial"/>
                <w:i w:val="0"/>
                <w:color w:val="auto"/>
                <w:sz w:val="20"/>
              </w:rPr>
            </w:pPr>
          </w:p>
          <w:p w14:paraId="0C8767EC" w14:textId="77777777" w:rsidR="00BB29EA" w:rsidRDefault="00BB29EA" w:rsidP="00F10D51">
            <w:pPr>
              <w:pStyle w:val="Notesitalicheading"/>
              <w:spacing w:line="280" w:lineRule="exact"/>
              <w:ind w:left="6"/>
              <w:jc w:val="both"/>
              <w:rPr>
                <w:rFonts w:ascii="Arial" w:hAnsi="Arial"/>
                <w:i w:val="0"/>
                <w:color w:val="auto"/>
                <w:sz w:val="20"/>
              </w:rPr>
            </w:pPr>
          </w:p>
          <w:p w14:paraId="665EB49C" w14:textId="15522CA5" w:rsidR="00F10D51" w:rsidRPr="00E70587" w:rsidRDefault="00F10D51" w:rsidP="00F10D51">
            <w:pPr>
              <w:pStyle w:val="Notesitalicheading"/>
              <w:spacing w:line="280" w:lineRule="exact"/>
              <w:ind w:left="6"/>
              <w:jc w:val="both"/>
              <w:rPr>
                <w:rFonts w:ascii="Arial" w:hAnsi="Arial"/>
                <w:i w:val="0"/>
                <w:color w:val="auto"/>
                <w:sz w:val="20"/>
              </w:rPr>
            </w:pPr>
            <w:r w:rsidRPr="00E70587">
              <w:rPr>
                <w:rFonts w:ascii="Arial" w:hAnsi="Arial"/>
                <w:i w:val="0"/>
                <w:color w:val="auto"/>
                <w:sz w:val="20"/>
              </w:rPr>
              <w:lastRenderedPageBreak/>
              <w:t>Share option schemes/ SBP reserve</w:t>
            </w:r>
          </w:p>
          <w:p w14:paraId="5A43A09C" w14:textId="77777777" w:rsidR="00F10D51" w:rsidRPr="00E70587" w:rsidRDefault="00F10D51" w:rsidP="00F10D51">
            <w:pPr>
              <w:spacing w:line="280" w:lineRule="exact"/>
              <w:ind w:left="6"/>
              <w:jc w:val="both"/>
              <w:rPr>
                <w:rFonts w:ascii="Arial" w:hAnsi="Arial" w:cs="Arial"/>
                <w:sz w:val="20"/>
              </w:rPr>
            </w:pPr>
          </w:p>
          <w:p w14:paraId="6F7555A3" w14:textId="77777777" w:rsidR="00F10D51" w:rsidRPr="00E70587" w:rsidRDefault="00F10D51" w:rsidP="00F10D51">
            <w:pPr>
              <w:spacing w:line="280" w:lineRule="exact"/>
              <w:ind w:left="6"/>
              <w:jc w:val="both"/>
              <w:rPr>
                <w:rFonts w:ascii="Arial" w:hAnsi="Arial" w:cs="Arial"/>
                <w:sz w:val="20"/>
              </w:rPr>
            </w:pPr>
            <w:r w:rsidRPr="00E70587">
              <w:rPr>
                <w:rFonts w:ascii="Arial" w:hAnsi="Arial" w:cs="Arial"/>
                <w:sz w:val="20"/>
              </w:rPr>
              <w:t>The Group has two share option schemes under which options to subscribe for the Group’s shares have been granted to certain executives and senior employees.</w:t>
            </w:r>
          </w:p>
          <w:p w14:paraId="03634DAC" w14:textId="77777777" w:rsidR="00F10D51" w:rsidRPr="00E70587" w:rsidRDefault="00F10D51" w:rsidP="00F10D51">
            <w:pPr>
              <w:spacing w:line="280" w:lineRule="exact"/>
              <w:ind w:left="6"/>
              <w:jc w:val="both"/>
              <w:rPr>
                <w:rFonts w:ascii="Arial" w:hAnsi="Arial" w:cs="Arial"/>
                <w:sz w:val="20"/>
              </w:rPr>
            </w:pPr>
          </w:p>
          <w:p w14:paraId="13A771EA" w14:textId="77777777" w:rsidR="00F10D51" w:rsidRPr="00E70587" w:rsidRDefault="00F10D51" w:rsidP="00F10D51">
            <w:pPr>
              <w:spacing w:line="280" w:lineRule="exact"/>
              <w:ind w:left="6"/>
              <w:jc w:val="both"/>
              <w:rPr>
                <w:rFonts w:ascii="Arial" w:hAnsi="Arial" w:cs="Arial"/>
                <w:sz w:val="20"/>
              </w:rPr>
            </w:pPr>
            <w:r w:rsidRPr="00E70587">
              <w:rPr>
                <w:rFonts w:ascii="Arial" w:hAnsi="Arial" w:cs="Arial"/>
                <w:sz w:val="20"/>
              </w:rPr>
              <w:t>The share-based payment reserve is used to recognise the value of equity-settled share-based payments provided to employees, including key management personnel, as part of their remuneration. Refer to Note 41 for further details of these plans.</w:t>
            </w:r>
          </w:p>
          <w:p w14:paraId="19C9DADA" w14:textId="77777777" w:rsidR="00F10D51" w:rsidRPr="00E70587" w:rsidRDefault="00F10D51" w:rsidP="00F10D51">
            <w:pPr>
              <w:spacing w:line="280" w:lineRule="exact"/>
              <w:ind w:left="6"/>
              <w:jc w:val="both"/>
              <w:rPr>
                <w:rFonts w:ascii="Arial" w:hAnsi="Arial" w:cs="Arial"/>
                <w:sz w:val="20"/>
              </w:rPr>
            </w:pPr>
          </w:p>
        </w:tc>
      </w:tr>
    </w:tbl>
    <w:p w14:paraId="24D84791" w14:textId="77777777" w:rsidR="00FB0C73" w:rsidRPr="00E70587" w:rsidRDefault="00FB0C73" w:rsidP="00F10D51">
      <w:pPr>
        <w:pStyle w:val="Notesbodytext"/>
        <w:spacing w:after="0" w:line="280" w:lineRule="exact"/>
        <w:jc w:val="both"/>
        <w:rPr>
          <w:rFonts w:ascii="Arial" w:hAnsi="Arial"/>
          <w:color w:val="auto"/>
          <w:sz w:val="20"/>
        </w:rPr>
      </w:pPr>
    </w:p>
    <w:tbl>
      <w:tblPr>
        <w:tblW w:w="9576" w:type="dxa"/>
        <w:tblLayout w:type="fixed"/>
        <w:tblLook w:val="01E0" w:firstRow="1" w:lastRow="1" w:firstColumn="1" w:lastColumn="1" w:noHBand="0" w:noVBand="0"/>
      </w:tblPr>
      <w:tblGrid>
        <w:gridCol w:w="6956"/>
        <w:gridCol w:w="2620"/>
      </w:tblGrid>
      <w:tr w:rsidR="00F10D51" w:rsidRPr="00E70587" w14:paraId="07CD73E4" w14:textId="77777777" w:rsidTr="00F10D51">
        <w:tc>
          <w:tcPr>
            <w:tcW w:w="6996" w:type="dxa"/>
          </w:tcPr>
          <w:p w14:paraId="183E5C85" w14:textId="77777777" w:rsidR="00F10D51" w:rsidRPr="00E70587" w:rsidRDefault="00F67C3B" w:rsidP="009901E1">
            <w:pPr>
              <w:pStyle w:val="Notesitalicheading"/>
              <w:spacing w:line="280" w:lineRule="exact"/>
              <w:rPr>
                <w:rFonts w:ascii="Arial" w:hAnsi="Arial"/>
                <w:i w:val="0"/>
                <w:color w:val="auto"/>
                <w:sz w:val="20"/>
              </w:rPr>
            </w:pPr>
            <w:r w:rsidRPr="00E70587">
              <w:rPr>
                <w:rFonts w:ascii="Arial" w:hAnsi="Arial"/>
                <w:i w:val="0"/>
                <w:color w:val="auto"/>
                <w:sz w:val="20"/>
              </w:rPr>
              <w:t>SBP reserve</w:t>
            </w:r>
          </w:p>
        </w:tc>
        <w:tc>
          <w:tcPr>
            <w:tcW w:w="2634" w:type="dxa"/>
            <w:tcMar>
              <w:left w:w="57" w:type="dxa"/>
            </w:tcMar>
            <w:vAlign w:val="bottom"/>
          </w:tcPr>
          <w:p w14:paraId="2B7021CD" w14:textId="77777777" w:rsidR="00F10D51" w:rsidRPr="00E70587" w:rsidRDefault="00F10D51"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Share-based payments </w:t>
            </w:r>
          </w:p>
        </w:tc>
      </w:tr>
      <w:tr w:rsidR="00F10D51" w:rsidRPr="00E70587" w14:paraId="3CFCDE07" w14:textId="77777777" w:rsidTr="00F10D51">
        <w:tc>
          <w:tcPr>
            <w:tcW w:w="6996" w:type="dxa"/>
            <w:tcMar>
              <w:left w:w="28" w:type="dxa"/>
            </w:tcMar>
            <w:vAlign w:val="bottom"/>
          </w:tcPr>
          <w:p w14:paraId="6FE3B111" w14:textId="77777777" w:rsidR="00F10D51" w:rsidRPr="00E70587" w:rsidRDefault="00F10D51"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p>
        </w:tc>
        <w:tc>
          <w:tcPr>
            <w:tcW w:w="2634" w:type="dxa"/>
            <w:vAlign w:val="bottom"/>
          </w:tcPr>
          <w:p w14:paraId="0D0CBEB5" w14:textId="77777777" w:rsidR="00F10D51" w:rsidRPr="00E70587" w:rsidRDefault="00F10D51" w:rsidP="009901E1">
            <w:pPr>
              <w:pStyle w:val="Tablecolumnheading"/>
              <w:spacing w:line="280" w:lineRule="exact"/>
              <w:ind w:left="284"/>
              <w:rPr>
                <w:rFonts w:ascii="Arial" w:hAnsi="Arial"/>
                <w:color w:val="auto"/>
                <w:sz w:val="20"/>
                <w:szCs w:val="20"/>
                <w:lang w:val="en-IN"/>
              </w:rPr>
            </w:pPr>
            <w:r w:rsidRPr="00E70587">
              <w:rPr>
                <w:rFonts w:ascii="Arial" w:hAnsi="Arial"/>
                <w:color w:val="auto"/>
                <w:sz w:val="20"/>
                <w:szCs w:val="20"/>
                <w:lang w:val="en-IN"/>
              </w:rPr>
              <w:t>INR Lacs</w:t>
            </w:r>
          </w:p>
        </w:tc>
      </w:tr>
      <w:tr w:rsidR="00F10D51" w:rsidRPr="00E70587" w14:paraId="33889EBB" w14:textId="77777777" w:rsidTr="00F10D51">
        <w:tc>
          <w:tcPr>
            <w:tcW w:w="6996" w:type="dxa"/>
            <w:vAlign w:val="bottom"/>
          </w:tcPr>
          <w:p w14:paraId="4BDE75D4" w14:textId="6747DE30" w:rsidR="00F10D51" w:rsidRPr="00E70587" w:rsidRDefault="00F10D51" w:rsidP="009901E1">
            <w:pPr>
              <w:spacing w:line="280" w:lineRule="exact"/>
              <w:rPr>
                <w:rFonts w:ascii="Arial" w:hAnsi="Arial" w:cs="Arial"/>
                <w:b/>
                <w:sz w:val="20"/>
              </w:rPr>
            </w:pPr>
            <w:r w:rsidRPr="00E70587">
              <w:rPr>
                <w:rFonts w:ascii="Arial" w:hAnsi="Arial" w:cs="Arial"/>
                <w:b/>
                <w:sz w:val="20"/>
              </w:rPr>
              <w:t xml:space="preserve">As at 1 April </w:t>
            </w:r>
            <w:r w:rsidR="00D96B42" w:rsidRPr="00E70587">
              <w:rPr>
                <w:rFonts w:ascii="Arial" w:hAnsi="Arial" w:cs="Arial"/>
                <w:b/>
                <w:sz w:val="20"/>
              </w:rPr>
              <w:t>201</w:t>
            </w:r>
            <w:r w:rsidR="00D96B42">
              <w:rPr>
                <w:rFonts w:ascii="Arial" w:hAnsi="Arial" w:cs="Arial"/>
                <w:b/>
                <w:sz w:val="20"/>
              </w:rPr>
              <w:t>9</w:t>
            </w:r>
          </w:p>
        </w:tc>
        <w:tc>
          <w:tcPr>
            <w:tcW w:w="2634" w:type="dxa"/>
            <w:tcMar>
              <w:left w:w="108" w:type="dxa"/>
            </w:tcMar>
          </w:tcPr>
          <w:p w14:paraId="305B2434" w14:textId="77777777" w:rsidR="00F10D51" w:rsidRPr="00E70587" w:rsidRDefault="00F10D51"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609</w:t>
            </w:r>
          </w:p>
        </w:tc>
      </w:tr>
      <w:tr w:rsidR="00F10D51" w:rsidRPr="00E70587" w14:paraId="35DB38E5" w14:textId="77777777" w:rsidTr="00F10D51">
        <w:tc>
          <w:tcPr>
            <w:tcW w:w="6996" w:type="dxa"/>
            <w:vAlign w:val="bottom"/>
          </w:tcPr>
          <w:p w14:paraId="1B3E3C7C" w14:textId="77777777" w:rsidR="00F10D51" w:rsidRPr="00E70587" w:rsidRDefault="00B776DE" w:rsidP="009901E1">
            <w:pPr>
              <w:spacing w:line="280" w:lineRule="exact"/>
              <w:rPr>
                <w:rFonts w:ascii="Arial" w:hAnsi="Arial" w:cs="Arial"/>
                <w:sz w:val="20"/>
              </w:rPr>
            </w:pPr>
            <w:r w:rsidRPr="00E70587">
              <w:rPr>
                <w:rFonts w:ascii="Arial" w:hAnsi="Arial" w:cs="Arial"/>
                <w:sz w:val="20"/>
              </w:rPr>
              <w:t>Add: Compensation options granted during the year</w:t>
            </w:r>
          </w:p>
        </w:tc>
        <w:tc>
          <w:tcPr>
            <w:tcW w:w="2634" w:type="dxa"/>
            <w:tcMar>
              <w:left w:w="108" w:type="dxa"/>
            </w:tcMar>
          </w:tcPr>
          <w:p w14:paraId="3DA31EA3" w14:textId="77777777" w:rsidR="00F10D51" w:rsidRPr="00E70587" w:rsidRDefault="00F10D51"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536</w:t>
            </w:r>
          </w:p>
        </w:tc>
      </w:tr>
      <w:tr w:rsidR="00F67C3B" w:rsidRPr="00E70587" w14:paraId="724B8CE8" w14:textId="77777777" w:rsidTr="00F10D51">
        <w:tc>
          <w:tcPr>
            <w:tcW w:w="6996" w:type="dxa"/>
            <w:vAlign w:val="bottom"/>
          </w:tcPr>
          <w:p w14:paraId="36226F53" w14:textId="77777777" w:rsidR="00F67C3B" w:rsidRPr="00E70587" w:rsidRDefault="00B776DE" w:rsidP="009901E1">
            <w:pPr>
              <w:spacing w:line="280" w:lineRule="exact"/>
              <w:rPr>
                <w:rFonts w:ascii="Arial" w:hAnsi="Arial" w:cs="Arial"/>
                <w:sz w:val="20"/>
              </w:rPr>
            </w:pPr>
            <w:r w:rsidRPr="00E70587">
              <w:rPr>
                <w:rFonts w:ascii="Arial" w:hAnsi="Arial" w:cs="Arial"/>
                <w:sz w:val="20"/>
              </w:rPr>
              <w:t>Less: transferred to capital reserve on exercise of stock options</w:t>
            </w:r>
          </w:p>
        </w:tc>
        <w:tc>
          <w:tcPr>
            <w:tcW w:w="2634" w:type="dxa"/>
            <w:tcMar>
              <w:left w:w="108" w:type="dxa"/>
            </w:tcMar>
          </w:tcPr>
          <w:p w14:paraId="62159D97" w14:textId="77777777" w:rsidR="00F67C3B" w:rsidRPr="00E70587" w:rsidRDefault="00B776DE"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(94)</w:t>
            </w:r>
          </w:p>
        </w:tc>
      </w:tr>
      <w:tr w:rsidR="00F10D51" w:rsidRPr="00E70587" w14:paraId="09ED46E4" w14:textId="77777777" w:rsidTr="00F10D51">
        <w:tc>
          <w:tcPr>
            <w:tcW w:w="6996" w:type="dxa"/>
            <w:vAlign w:val="bottom"/>
          </w:tcPr>
          <w:p w14:paraId="5769A56D" w14:textId="4B23D7CA" w:rsidR="00F10D51" w:rsidRPr="00E70587" w:rsidRDefault="00F10D51" w:rsidP="009901E1">
            <w:pPr>
              <w:pStyle w:val="tabletext"/>
              <w:spacing w:line="280" w:lineRule="exact"/>
              <w:rPr>
                <w:rFonts w:ascii="Arial" w:hAnsi="Arial" w:cs="Arial"/>
                <w:b/>
                <w:sz w:val="20"/>
                <w:lang w:val="en-IN"/>
              </w:rPr>
            </w:pPr>
            <w:r w:rsidRPr="00E70587">
              <w:rPr>
                <w:rFonts w:ascii="Arial" w:hAnsi="Arial" w:cs="Arial"/>
                <w:b/>
                <w:sz w:val="20"/>
                <w:lang w:val="en-IN"/>
              </w:rPr>
              <w:t xml:space="preserve">At 31 </w:t>
            </w:r>
            <w:r w:rsidR="008B730E" w:rsidRPr="00E70587">
              <w:rPr>
                <w:rFonts w:ascii="Arial" w:hAnsi="Arial" w:cs="Arial"/>
                <w:b/>
                <w:sz w:val="20"/>
                <w:lang w:val="en-IN"/>
              </w:rPr>
              <w:t xml:space="preserve">March </w:t>
            </w:r>
            <w:r w:rsidR="00D96B42" w:rsidRPr="00E70587">
              <w:rPr>
                <w:rFonts w:ascii="Arial" w:hAnsi="Arial" w:cs="Arial"/>
                <w:b/>
                <w:sz w:val="20"/>
                <w:lang w:val="en-IN"/>
              </w:rPr>
              <w:t>20</w:t>
            </w:r>
            <w:r w:rsidR="00D96B42">
              <w:rPr>
                <w:rFonts w:ascii="Arial" w:hAnsi="Arial" w:cs="Arial"/>
                <w:b/>
                <w:sz w:val="20"/>
                <w:lang w:val="en-IN"/>
              </w:rPr>
              <w:t>20</w:t>
            </w:r>
          </w:p>
        </w:tc>
        <w:tc>
          <w:tcPr>
            <w:tcW w:w="2634" w:type="dxa"/>
            <w:tcMar>
              <w:left w:w="108" w:type="dxa"/>
            </w:tcMar>
          </w:tcPr>
          <w:p w14:paraId="0AFC3E43" w14:textId="77777777" w:rsidR="00F10D51" w:rsidRPr="00E70587" w:rsidRDefault="00F10D51" w:rsidP="00E46F2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w:t>
            </w:r>
            <w:r w:rsidR="00B776DE" w:rsidRPr="00E70587">
              <w:rPr>
                <w:rFonts w:ascii="Arial" w:hAnsi="Arial" w:cs="Arial"/>
                <w:b/>
                <w:bCs/>
                <w:sz w:val="20"/>
                <w:lang w:eastAsia="en-GB"/>
              </w:rPr>
              <w:t>05</w:t>
            </w:r>
            <w:r w:rsidR="00E46F21" w:rsidRPr="00E70587">
              <w:rPr>
                <w:rFonts w:ascii="Arial" w:hAnsi="Arial" w:cs="Arial"/>
                <w:b/>
                <w:bCs/>
                <w:sz w:val="20"/>
                <w:lang w:eastAsia="en-GB"/>
              </w:rPr>
              <w:t>1</w:t>
            </w:r>
          </w:p>
        </w:tc>
      </w:tr>
      <w:tr w:rsidR="00F10D51" w:rsidRPr="00E70587" w14:paraId="1D46AF26" w14:textId="77777777" w:rsidTr="00F10D51">
        <w:tc>
          <w:tcPr>
            <w:tcW w:w="6996" w:type="dxa"/>
            <w:vAlign w:val="bottom"/>
          </w:tcPr>
          <w:p w14:paraId="6EC5554B" w14:textId="77777777" w:rsidR="00F10D51" w:rsidRPr="00E70587" w:rsidRDefault="00B776DE" w:rsidP="009901E1">
            <w:pPr>
              <w:pStyle w:val="tabletext"/>
              <w:spacing w:line="280" w:lineRule="exact"/>
              <w:rPr>
                <w:rFonts w:ascii="Arial" w:hAnsi="Arial" w:cs="Arial"/>
                <w:sz w:val="20"/>
                <w:lang w:val="en-IN"/>
              </w:rPr>
            </w:pPr>
            <w:r w:rsidRPr="00E70587">
              <w:rPr>
                <w:rFonts w:ascii="Arial" w:hAnsi="Arial" w:cs="Arial"/>
                <w:sz w:val="20"/>
              </w:rPr>
              <w:t>Add: Compensation options granted during the year</w:t>
            </w:r>
          </w:p>
        </w:tc>
        <w:tc>
          <w:tcPr>
            <w:tcW w:w="2634" w:type="dxa"/>
            <w:tcMar>
              <w:left w:w="108" w:type="dxa"/>
            </w:tcMar>
          </w:tcPr>
          <w:p w14:paraId="23660E7E" w14:textId="77777777" w:rsidR="00F10D51" w:rsidRPr="00E70587" w:rsidRDefault="00F10D51"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553</w:t>
            </w:r>
          </w:p>
        </w:tc>
      </w:tr>
      <w:tr w:rsidR="00F67C3B" w:rsidRPr="00E70587" w14:paraId="6F98DE64" w14:textId="77777777" w:rsidTr="00F10D51">
        <w:tc>
          <w:tcPr>
            <w:tcW w:w="6996" w:type="dxa"/>
            <w:vAlign w:val="bottom"/>
          </w:tcPr>
          <w:p w14:paraId="3BBA0133" w14:textId="77777777" w:rsidR="00F67C3B" w:rsidRPr="00E70587" w:rsidRDefault="00B776DE" w:rsidP="009901E1">
            <w:pPr>
              <w:pStyle w:val="tabletext"/>
              <w:spacing w:line="280" w:lineRule="exact"/>
              <w:rPr>
                <w:rFonts w:ascii="Arial" w:hAnsi="Arial" w:cs="Arial"/>
                <w:sz w:val="20"/>
                <w:lang w:val="en-IN"/>
              </w:rPr>
            </w:pPr>
            <w:r w:rsidRPr="00E70587">
              <w:rPr>
                <w:rFonts w:ascii="Arial" w:hAnsi="Arial" w:cs="Arial"/>
                <w:sz w:val="20"/>
                <w:lang w:val="en-IN"/>
              </w:rPr>
              <w:t>Less: transferred to capital reserve on exercise of stock options</w:t>
            </w:r>
          </w:p>
        </w:tc>
        <w:tc>
          <w:tcPr>
            <w:tcW w:w="2634" w:type="dxa"/>
            <w:tcMar>
              <w:left w:w="108" w:type="dxa"/>
            </w:tcMar>
          </w:tcPr>
          <w:p w14:paraId="69CCC470" w14:textId="77777777" w:rsidR="00F67C3B" w:rsidRPr="00E70587" w:rsidRDefault="00B776DE"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(128)</w:t>
            </w:r>
          </w:p>
        </w:tc>
      </w:tr>
      <w:tr w:rsidR="00F10D51" w:rsidRPr="00E70587" w14:paraId="6B57A965" w14:textId="77777777" w:rsidTr="00F10D51">
        <w:tc>
          <w:tcPr>
            <w:tcW w:w="6996" w:type="dxa"/>
            <w:vAlign w:val="bottom"/>
          </w:tcPr>
          <w:p w14:paraId="56989D22" w14:textId="391A3FFE" w:rsidR="00F10D51" w:rsidRPr="00E70587" w:rsidRDefault="00F10D51"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E1202D" w:rsidRPr="00E70587">
              <w:rPr>
                <w:rFonts w:ascii="Arial" w:hAnsi="Arial" w:cs="Arial"/>
                <w:b/>
                <w:sz w:val="20"/>
                <w:lang w:val="en-IN"/>
              </w:rPr>
              <w:t xml:space="preserve">March </w:t>
            </w:r>
            <w:r w:rsidR="00D96B42" w:rsidRPr="00E70587">
              <w:rPr>
                <w:rFonts w:ascii="Arial" w:hAnsi="Arial" w:cs="Arial"/>
                <w:b/>
                <w:sz w:val="20"/>
                <w:lang w:val="en-IN"/>
              </w:rPr>
              <w:t>20</w:t>
            </w:r>
            <w:r w:rsidR="00D96B42">
              <w:rPr>
                <w:rFonts w:ascii="Arial" w:hAnsi="Arial" w:cs="Arial"/>
                <w:b/>
                <w:sz w:val="20"/>
                <w:lang w:val="en-IN"/>
              </w:rPr>
              <w:t>21</w:t>
            </w:r>
          </w:p>
        </w:tc>
        <w:tc>
          <w:tcPr>
            <w:tcW w:w="2634" w:type="dxa"/>
            <w:tcMar>
              <w:left w:w="108" w:type="dxa"/>
            </w:tcMar>
          </w:tcPr>
          <w:p w14:paraId="37D11677" w14:textId="77777777" w:rsidR="00F10D51" w:rsidRPr="00E70587" w:rsidRDefault="00F10D51" w:rsidP="00B776DE">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w:t>
            </w:r>
            <w:r w:rsidR="00B776DE" w:rsidRPr="00E70587">
              <w:rPr>
                <w:rFonts w:ascii="Arial" w:hAnsi="Arial" w:cs="Arial"/>
                <w:b/>
                <w:bCs/>
                <w:sz w:val="20"/>
                <w:lang w:eastAsia="en-GB"/>
              </w:rPr>
              <w:t>476</w:t>
            </w:r>
          </w:p>
        </w:tc>
      </w:tr>
    </w:tbl>
    <w:p w14:paraId="1D0A838D" w14:textId="77777777" w:rsidR="00B776DE" w:rsidRPr="00E70587" w:rsidRDefault="00B776DE" w:rsidP="00F10D51">
      <w:pPr>
        <w:pStyle w:val="Notesbodytext"/>
        <w:spacing w:after="0" w:line="280" w:lineRule="exact"/>
        <w:jc w:val="both"/>
        <w:rPr>
          <w:rFonts w:ascii="Arial" w:hAnsi="Arial"/>
          <w:color w:val="auto"/>
          <w:sz w:val="20"/>
        </w:rPr>
      </w:pPr>
    </w:p>
    <w:tbl>
      <w:tblPr>
        <w:tblW w:w="9576" w:type="dxa"/>
        <w:tblLook w:val="0000" w:firstRow="0" w:lastRow="0" w:firstColumn="0" w:lastColumn="0" w:noHBand="0" w:noVBand="0"/>
      </w:tblPr>
      <w:tblGrid>
        <w:gridCol w:w="9576"/>
      </w:tblGrid>
      <w:tr w:rsidR="00F10D51" w:rsidRPr="00E70587" w14:paraId="7C95E874" w14:textId="77777777" w:rsidTr="00F10D51">
        <w:tc>
          <w:tcPr>
            <w:tcW w:w="0" w:type="auto"/>
          </w:tcPr>
          <w:p w14:paraId="57115CBD" w14:textId="77777777" w:rsidR="00D403B9" w:rsidRDefault="00D403B9" w:rsidP="00D403B9">
            <w:pPr>
              <w:pStyle w:val="Notesitalicheading"/>
              <w:spacing w:line="280" w:lineRule="exact"/>
              <w:rPr>
                <w:rFonts w:ascii="Arial" w:hAnsi="Arial"/>
                <w:i w:val="0"/>
                <w:color w:val="auto"/>
                <w:sz w:val="20"/>
              </w:rPr>
            </w:pPr>
          </w:p>
          <w:p w14:paraId="60BF7F03" w14:textId="77777777" w:rsidR="00D403B9" w:rsidRDefault="00D403B9" w:rsidP="00D403B9">
            <w:pPr>
              <w:pStyle w:val="Notesitalicheading"/>
              <w:spacing w:line="280" w:lineRule="exact"/>
              <w:rPr>
                <w:rFonts w:ascii="Arial" w:hAnsi="Arial"/>
                <w:i w:val="0"/>
                <w:color w:val="auto"/>
                <w:sz w:val="20"/>
              </w:rPr>
            </w:pPr>
          </w:p>
          <w:p w14:paraId="4A5732E3" w14:textId="3F15C46C" w:rsidR="00F10D51" w:rsidRPr="00E70587" w:rsidRDefault="00F10D51" w:rsidP="00D403B9">
            <w:pPr>
              <w:pStyle w:val="Notesitalicheading"/>
              <w:spacing w:line="280" w:lineRule="exact"/>
              <w:rPr>
                <w:rFonts w:ascii="Arial" w:hAnsi="Arial"/>
                <w:sz w:val="20"/>
              </w:rPr>
            </w:pPr>
            <w:r w:rsidRPr="00E70587">
              <w:rPr>
                <w:rFonts w:ascii="Arial" w:hAnsi="Arial"/>
                <w:i w:val="0"/>
                <w:color w:val="auto"/>
                <w:sz w:val="20"/>
              </w:rPr>
              <w:t>Debenture Redemption Reserve (DRR)</w:t>
            </w:r>
          </w:p>
          <w:p w14:paraId="0E480935" w14:textId="1E0AE24F" w:rsidR="00F10D51" w:rsidRPr="00E70587" w:rsidRDefault="00F10D51" w:rsidP="001C2B71">
            <w:pPr>
              <w:spacing w:line="280" w:lineRule="exact"/>
              <w:ind w:left="6"/>
              <w:jc w:val="both"/>
              <w:rPr>
                <w:rFonts w:ascii="Arial" w:hAnsi="Arial" w:cs="Arial"/>
                <w:sz w:val="20"/>
              </w:rPr>
            </w:pPr>
          </w:p>
        </w:tc>
      </w:tr>
    </w:tbl>
    <w:p w14:paraId="1E039ECE" w14:textId="77777777" w:rsidR="007073C4" w:rsidRPr="00E70587" w:rsidRDefault="007073C4" w:rsidP="00F10D51">
      <w:pPr>
        <w:pStyle w:val="Notesbodytext"/>
        <w:spacing w:after="0" w:line="280" w:lineRule="exact"/>
        <w:jc w:val="both"/>
        <w:rPr>
          <w:rFonts w:ascii="Arial" w:hAnsi="Arial"/>
          <w:color w:val="auto"/>
          <w:sz w:val="20"/>
        </w:rPr>
      </w:pPr>
    </w:p>
    <w:tbl>
      <w:tblPr>
        <w:tblW w:w="9576" w:type="dxa"/>
        <w:tblBorders>
          <w:bottom w:val="single" w:sz="4" w:space="0" w:color="auto"/>
        </w:tblBorders>
        <w:tblLayout w:type="fixed"/>
        <w:tblCellMar>
          <w:left w:w="72" w:type="dxa"/>
          <w:right w:w="72" w:type="dxa"/>
        </w:tblCellMar>
        <w:tblLook w:val="01E0" w:firstRow="1" w:lastRow="1" w:firstColumn="1" w:lastColumn="1" w:noHBand="0" w:noVBand="0"/>
      </w:tblPr>
      <w:tblGrid>
        <w:gridCol w:w="6595"/>
        <w:gridCol w:w="1445"/>
        <w:gridCol w:w="1536"/>
      </w:tblGrid>
      <w:tr w:rsidR="00F10D51" w:rsidRPr="00E70587" w14:paraId="586689EB" w14:textId="77777777" w:rsidTr="00810261">
        <w:tc>
          <w:tcPr>
            <w:tcW w:w="6570" w:type="dxa"/>
            <w:vAlign w:val="bottom"/>
          </w:tcPr>
          <w:p w14:paraId="0BF017A3" w14:textId="77777777" w:rsidR="00F10D51" w:rsidRPr="00E70587" w:rsidRDefault="00F10D51" w:rsidP="00F10D51">
            <w:pPr>
              <w:pStyle w:val="Notesitalicheading"/>
              <w:spacing w:line="280" w:lineRule="exact"/>
              <w:rPr>
                <w:rFonts w:ascii="Arial" w:hAnsi="Arial"/>
                <w:i w:val="0"/>
                <w:color w:val="auto"/>
                <w:sz w:val="20"/>
              </w:rPr>
            </w:pPr>
          </w:p>
        </w:tc>
        <w:tc>
          <w:tcPr>
            <w:tcW w:w="1440" w:type="dxa"/>
            <w:tcBorders>
              <w:top w:val="nil"/>
              <w:bottom w:val="nil"/>
            </w:tcBorders>
            <w:vAlign w:val="bottom"/>
          </w:tcPr>
          <w:p w14:paraId="14C770AE" w14:textId="77777777" w:rsidR="00F10D51" w:rsidRPr="00E70587" w:rsidRDefault="00F10D51" w:rsidP="009901E1">
            <w:pPr>
              <w:pStyle w:val="Tablecolumnheading"/>
              <w:spacing w:line="280" w:lineRule="exact"/>
              <w:rPr>
                <w:rFonts w:ascii="Arial" w:hAnsi="Arial"/>
                <w:color w:val="auto"/>
                <w:sz w:val="20"/>
                <w:szCs w:val="20"/>
                <w:lang w:val="en-IN"/>
              </w:rPr>
            </w:pPr>
          </w:p>
        </w:tc>
        <w:tc>
          <w:tcPr>
            <w:tcW w:w="1530" w:type="dxa"/>
            <w:tcBorders>
              <w:top w:val="nil"/>
              <w:bottom w:val="single" w:sz="4" w:space="0" w:color="auto"/>
            </w:tcBorders>
            <w:vAlign w:val="bottom"/>
          </w:tcPr>
          <w:p w14:paraId="423A79FC" w14:textId="77777777" w:rsidR="00F10D51" w:rsidRPr="00E70587" w:rsidRDefault="00F10D51"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r>
      <w:tr w:rsidR="00F10D51" w:rsidRPr="00E70587" w14:paraId="69D895E6" w14:textId="77777777" w:rsidTr="00810261">
        <w:tc>
          <w:tcPr>
            <w:tcW w:w="6570" w:type="dxa"/>
            <w:tcMar>
              <w:top w:w="28" w:type="dxa"/>
              <w:left w:w="108" w:type="dxa"/>
              <w:right w:w="108" w:type="dxa"/>
            </w:tcMar>
            <w:vAlign w:val="bottom"/>
          </w:tcPr>
          <w:p w14:paraId="70C5E03F" w14:textId="2298B63C" w:rsidR="00F10D51" w:rsidRPr="00E70587" w:rsidRDefault="00F10D51"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1 April </w:t>
            </w:r>
            <w:r w:rsidR="00D96B42" w:rsidRPr="00E70587">
              <w:rPr>
                <w:rFonts w:ascii="Arial" w:hAnsi="Arial" w:cs="Arial"/>
                <w:b/>
                <w:sz w:val="20"/>
                <w:lang w:val="en-IN"/>
              </w:rPr>
              <w:t>201</w:t>
            </w:r>
            <w:r w:rsidR="00D96B42">
              <w:rPr>
                <w:rFonts w:ascii="Arial" w:hAnsi="Arial" w:cs="Arial"/>
                <w:b/>
                <w:sz w:val="20"/>
                <w:lang w:val="en-IN"/>
              </w:rPr>
              <w:t>9</w:t>
            </w:r>
          </w:p>
        </w:tc>
        <w:tc>
          <w:tcPr>
            <w:tcW w:w="1440" w:type="dxa"/>
            <w:tcBorders>
              <w:top w:val="nil"/>
              <w:bottom w:val="nil"/>
            </w:tcBorders>
            <w:tcMar>
              <w:top w:w="28" w:type="dxa"/>
              <w:left w:w="108" w:type="dxa"/>
              <w:right w:w="108" w:type="dxa"/>
            </w:tcMar>
          </w:tcPr>
          <w:p w14:paraId="7238D5F5" w14:textId="77777777" w:rsidR="00F10D51" w:rsidRPr="00E70587" w:rsidRDefault="00F10D51" w:rsidP="009901E1">
            <w:pPr>
              <w:overflowPunct/>
              <w:spacing w:line="280" w:lineRule="exact"/>
              <w:jc w:val="right"/>
              <w:textAlignment w:val="auto"/>
              <w:rPr>
                <w:rFonts w:ascii="Arial" w:hAnsi="Arial" w:cs="Arial"/>
                <w:b/>
                <w:bCs/>
                <w:sz w:val="20"/>
                <w:lang w:eastAsia="en-GB"/>
              </w:rPr>
            </w:pPr>
          </w:p>
        </w:tc>
        <w:tc>
          <w:tcPr>
            <w:tcW w:w="1530" w:type="dxa"/>
            <w:tcBorders>
              <w:top w:val="single" w:sz="4" w:space="0" w:color="auto"/>
              <w:bottom w:val="nil"/>
            </w:tcBorders>
            <w:tcMar>
              <w:top w:w="28" w:type="dxa"/>
              <w:left w:w="108" w:type="dxa"/>
              <w:right w:w="108" w:type="dxa"/>
            </w:tcMar>
          </w:tcPr>
          <w:p w14:paraId="097508A0" w14:textId="77777777" w:rsidR="00F10D51" w:rsidRPr="00E70587" w:rsidRDefault="00F10D51"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1,520</w:t>
            </w:r>
          </w:p>
        </w:tc>
      </w:tr>
      <w:tr w:rsidR="00F10D51" w:rsidRPr="00E70587" w14:paraId="391AC4E7" w14:textId="77777777" w:rsidTr="00810261">
        <w:tc>
          <w:tcPr>
            <w:tcW w:w="6570" w:type="dxa"/>
            <w:tcMar>
              <w:top w:w="28" w:type="dxa"/>
              <w:left w:w="108" w:type="dxa"/>
              <w:right w:w="108" w:type="dxa"/>
            </w:tcMar>
            <w:vAlign w:val="bottom"/>
          </w:tcPr>
          <w:p w14:paraId="34FB861A" w14:textId="77777777" w:rsidR="00F10D51" w:rsidRPr="00E70587" w:rsidRDefault="00F10D51" w:rsidP="009901E1">
            <w:pPr>
              <w:spacing w:line="280" w:lineRule="exact"/>
              <w:rPr>
                <w:rFonts w:ascii="Arial" w:hAnsi="Arial" w:cs="Arial"/>
                <w:sz w:val="20"/>
              </w:rPr>
            </w:pPr>
            <w:r w:rsidRPr="00E70587">
              <w:rPr>
                <w:rFonts w:ascii="Arial" w:hAnsi="Arial" w:cs="Arial"/>
                <w:sz w:val="20"/>
              </w:rPr>
              <w:t xml:space="preserve">Changes during the period </w:t>
            </w:r>
          </w:p>
        </w:tc>
        <w:tc>
          <w:tcPr>
            <w:tcW w:w="1440" w:type="dxa"/>
            <w:tcBorders>
              <w:bottom w:val="nil"/>
            </w:tcBorders>
            <w:tcMar>
              <w:top w:w="28" w:type="dxa"/>
              <w:left w:w="108" w:type="dxa"/>
              <w:right w:w="28" w:type="dxa"/>
            </w:tcMar>
          </w:tcPr>
          <w:p w14:paraId="30545C5A" w14:textId="77777777" w:rsidR="00F10D51" w:rsidRPr="00E70587" w:rsidRDefault="00F10D51" w:rsidP="009901E1">
            <w:pPr>
              <w:overflowPunct/>
              <w:spacing w:line="280" w:lineRule="exact"/>
              <w:jc w:val="right"/>
              <w:textAlignment w:val="auto"/>
              <w:rPr>
                <w:rFonts w:ascii="Arial" w:hAnsi="Arial" w:cs="Arial"/>
                <w:sz w:val="20"/>
                <w:lang w:eastAsia="en-GB"/>
              </w:rPr>
            </w:pPr>
          </w:p>
        </w:tc>
        <w:tc>
          <w:tcPr>
            <w:tcW w:w="1530" w:type="dxa"/>
            <w:tcBorders>
              <w:bottom w:val="single" w:sz="4" w:space="0" w:color="auto"/>
            </w:tcBorders>
            <w:tcMar>
              <w:top w:w="28" w:type="dxa"/>
              <w:left w:w="108" w:type="dxa"/>
              <w:right w:w="28" w:type="dxa"/>
            </w:tcMar>
          </w:tcPr>
          <w:p w14:paraId="2F67B86C" w14:textId="77777777" w:rsidR="00F10D51" w:rsidRPr="00E70587" w:rsidRDefault="00F10D51"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 </w:t>
            </w:r>
          </w:p>
        </w:tc>
      </w:tr>
      <w:tr w:rsidR="00F10D51" w:rsidRPr="00E70587" w14:paraId="47786178" w14:textId="77777777" w:rsidTr="00810261">
        <w:tc>
          <w:tcPr>
            <w:tcW w:w="6570" w:type="dxa"/>
            <w:tcMar>
              <w:top w:w="28" w:type="dxa"/>
              <w:left w:w="108" w:type="dxa"/>
              <w:right w:w="108" w:type="dxa"/>
            </w:tcMar>
            <w:vAlign w:val="bottom"/>
          </w:tcPr>
          <w:p w14:paraId="53009833" w14:textId="5FBF5CDB" w:rsidR="00F10D51" w:rsidRPr="00E70587" w:rsidRDefault="00F10D51"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8B730E" w:rsidRPr="00E70587">
              <w:rPr>
                <w:rFonts w:ascii="Arial" w:hAnsi="Arial" w:cs="Arial"/>
                <w:b/>
                <w:sz w:val="20"/>
                <w:lang w:val="en-IN"/>
              </w:rPr>
              <w:t xml:space="preserve">March </w:t>
            </w:r>
            <w:r w:rsidR="00D96B42" w:rsidRPr="00E70587">
              <w:rPr>
                <w:rFonts w:ascii="Arial" w:hAnsi="Arial" w:cs="Arial"/>
                <w:b/>
                <w:sz w:val="20"/>
                <w:lang w:val="en-IN"/>
              </w:rPr>
              <w:t>20</w:t>
            </w:r>
            <w:r w:rsidR="00D96B42">
              <w:rPr>
                <w:rFonts w:ascii="Arial" w:hAnsi="Arial" w:cs="Arial"/>
                <w:b/>
                <w:sz w:val="20"/>
                <w:lang w:val="en-IN"/>
              </w:rPr>
              <w:t>20</w:t>
            </w:r>
            <w:r w:rsidR="00D96B42" w:rsidRPr="00E70587">
              <w:rPr>
                <w:rFonts w:ascii="Arial" w:hAnsi="Arial" w:cs="Arial"/>
                <w:b/>
                <w:sz w:val="20"/>
                <w:lang w:val="en-IN"/>
              </w:rPr>
              <w:t xml:space="preserve"> </w:t>
            </w:r>
          </w:p>
        </w:tc>
        <w:tc>
          <w:tcPr>
            <w:tcW w:w="1440" w:type="dxa"/>
            <w:tcBorders>
              <w:top w:val="nil"/>
              <w:bottom w:val="nil"/>
            </w:tcBorders>
            <w:tcMar>
              <w:top w:w="28" w:type="dxa"/>
              <w:left w:w="108" w:type="dxa"/>
              <w:right w:w="108" w:type="dxa"/>
            </w:tcMar>
          </w:tcPr>
          <w:p w14:paraId="58DBC4E7" w14:textId="77777777" w:rsidR="00F10D51" w:rsidRPr="00E70587" w:rsidRDefault="00F10D51" w:rsidP="009901E1">
            <w:pPr>
              <w:overflowPunct/>
              <w:spacing w:line="280" w:lineRule="exact"/>
              <w:jc w:val="right"/>
              <w:textAlignment w:val="auto"/>
              <w:rPr>
                <w:rFonts w:ascii="Arial" w:hAnsi="Arial" w:cs="Arial"/>
                <w:b/>
                <w:bCs/>
                <w:sz w:val="20"/>
                <w:lang w:eastAsia="en-GB"/>
              </w:rPr>
            </w:pPr>
          </w:p>
        </w:tc>
        <w:tc>
          <w:tcPr>
            <w:tcW w:w="1530" w:type="dxa"/>
            <w:tcBorders>
              <w:top w:val="single" w:sz="4" w:space="0" w:color="auto"/>
              <w:bottom w:val="nil"/>
            </w:tcBorders>
            <w:tcMar>
              <w:top w:w="28" w:type="dxa"/>
              <w:left w:w="108" w:type="dxa"/>
              <w:right w:w="108" w:type="dxa"/>
            </w:tcMar>
          </w:tcPr>
          <w:p w14:paraId="021DACBC" w14:textId="77777777" w:rsidR="00F10D51" w:rsidRPr="00E70587" w:rsidRDefault="00F10D51"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1,520</w:t>
            </w:r>
          </w:p>
        </w:tc>
      </w:tr>
      <w:tr w:rsidR="00F10D51" w:rsidRPr="00E70587" w14:paraId="0874D1D4" w14:textId="77777777" w:rsidTr="00810261">
        <w:tc>
          <w:tcPr>
            <w:tcW w:w="6570" w:type="dxa"/>
            <w:tcBorders>
              <w:bottom w:val="nil"/>
            </w:tcBorders>
            <w:tcMar>
              <w:top w:w="28" w:type="dxa"/>
              <w:left w:w="108" w:type="dxa"/>
              <w:right w:w="108" w:type="dxa"/>
            </w:tcMar>
            <w:vAlign w:val="bottom"/>
          </w:tcPr>
          <w:p w14:paraId="704002C6" w14:textId="77777777" w:rsidR="00F10D51" w:rsidRPr="00E70587" w:rsidRDefault="00F10D51" w:rsidP="009901E1">
            <w:pPr>
              <w:spacing w:line="280" w:lineRule="exact"/>
              <w:rPr>
                <w:rFonts w:ascii="Arial" w:hAnsi="Arial" w:cs="Arial"/>
                <w:sz w:val="20"/>
              </w:rPr>
            </w:pPr>
            <w:r w:rsidRPr="00E70587">
              <w:rPr>
                <w:rFonts w:ascii="Arial" w:hAnsi="Arial" w:cs="Arial"/>
                <w:sz w:val="20"/>
              </w:rPr>
              <w:t xml:space="preserve">Changes during the period </w:t>
            </w:r>
          </w:p>
        </w:tc>
        <w:tc>
          <w:tcPr>
            <w:tcW w:w="1440" w:type="dxa"/>
            <w:tcBorders>
              <w:bottom w:val="nil"/>
            </w:tcBorders>
            <w:tcMar>
              <w:top w:w="28" w:type="dxa"/>
              <w:left w:w="108" w:type="dxa"/>
              <w:right w:w="28" w:type="dxa"/>
            </w:tcMar>
          </w:tcPr>
          <w:p w14:paraId="62B75007" w14:textId="77777777" w:rsidR="00F10D51" w:rsidRPr="00E70587" w:rsidRDefault="00F10D51" w:rsidP="009901E1">
            <w:pPr>
              <w:overflowPunct/>
              <w:spacing w:line="280" w:lineRule="exact"/>
              <w:jc w:val="right"/>
              <w:textAlignment w:val="auto"/>
              <w:rPr>
                <w:rFonts w:ascii="Arial" w:hAnsi="Arial" w:cs="Arial"/>
                <w:sz w:val="20"/>
                <w:lang w:eastAsia="en-GB"/>
              </w:rPr>
            </w:pPr>
          </w:p>
        </w:tc>
        <w:tc>
          <w:tcPr>
            <w:tcW w:w="1530" w:type="dxa"/>
            <w:tcBorders>
              <w:bottom w:val="single" w:sz="4" w:space="0" w:color="auto"/>
            </w:tcBorders>
            <w:tcMar>
              <w:top w:w="28" w:type="dxa"/>
              <w:left w:w="108" w:type="dxa"/>
              <w:right w:w="28" w:type="dxa"/>
            </w:tcMar>
          </w:tcPr>
          <w:p w14:paraId="2D85FE2D" w14:textId="77777777" w:rsidR="00F10D51" w:rsidRPr="00E70587" w:rsidRDefault="00F10D51"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F10D51" w:rsidRPr="00E70587" w14:paraId="25783401" w14:textId="77777777" w:rsidTr="00810261">
        <w:tc>
          <w:tcPr>
            <w:tcW w:w="6570" w:type="dxa"/>
            <w:tcBorders>
              <w:bottom w:val="nil"/>
            </w:tcBorders>
            <w:tcMar>
              <w:top w:w="28" w:type="dxa"/>
              <w:left w:w="108" w:type="dxa"/>
              <w:right w:w="108" w:type="dxa"/>
            </w:tcMar>
            <w:vAlign w:val="bottom"/>
          </w:tcPr>
          <w:p w14:paraId="04A25E74" w14:textId="4B5A1958" w:rsidR="00F10D51" w:rsidRPr="00E70587" w:rsidRDefault="00F10D51"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E1202D" w:rsidRPr="00E70587">
              <w:rPr>
                <w:rFonts w:ascii="Arial" w:hAnsi="Arial" w:cs="Arial"/>
                <w:b/>
                <w:sz w:val="20"/>
                <w:lang w:val="en-IN"/>
              </w:rPr>
              <w:t xml:space="preserve">March </w:t>
            </w:r>
            <w:r w:rsidR="00D96B42" w:rsidRPr="00E70587">
              <w:rPr>
                <w:rFonts w:ascii="Arial" w:hAnsi="Arial" w:cs="Arial"/>
                <w:b/>
                <w:sz w:val="20"/>
                <w:lang w:val="en-IN"/>
              </w:rPr>
              <w:t>20</w:t>
            </w:r>
            <w:r w:rsidR="00D96B42">
              <w:rPr>
                <w:rFonts w:ascii="Arial" w:hAnsi="Arial" w:cs="Arial"/>
                <w:b/>
                <w:sz w:val="20"/>
                <w:lang w:val="en-IN"/>
              </w:rPr>
              <w:t>21</w:t>
            </w:r>
          </w:p>
        </w:tc>
        <w:tc>
          <w:tcPr>
            <w:tcW w:w="1440" w:type="dxa"/>
            <w:tcBorders>
              <w:top w:val="nil"/>
              <w:bottom w:val="nil"/>
            </w:tcBorders>
            <w:tcMar>
              <w:top w:w="28" w:type="dxa"/>
              <w:left w:w="108" w:type="dxa"/>
              <w:right w:w="108" w:type="dxa"/>
            </w:tcMar>
          </w:tcPr>
          <w:p w14:paraId="640E309A" w14:textId="77777777" w:rsidR="00F10D51" w:rsidRPr="00E70587" w:rsidRDefault="00F10D51" w:rsidP="009901E1">
            <w:pPr>
              <w:overflowPunct/>
              <w:spacing w:line="280" w:lineRule="exact"/>
              <w:jc w:val="right"/>
              <w:textAlignment w:val="auto"/>
              <w:rPr>
                <w:rFonts w:ascii="Arial" w:hAnsi="Arial" w:cs="Arial"/>
                <w:b/>
                <w:bCs/>
                <w:sz w:val="20"/>
                <w:lang w:eastAsia="en-GB"/>
              </w:rPr>
            </w:pPr>
          </w:p>
        </w:tc>
        <w:tc>
          <w:tcPr>
            <w:tcW w:w="1530" w:type="dxa"/>
            <w:tcBorders>
              <w:top w:val="single" w:sz="4" w:space="0" w:color="auto"/>
              <w:bottom w:val="double" w:sz="4" w:space="0" w:color="auto"/>
            </w:tcBorders>
            <w:tcMar>
              <w:top w:w="28" w:type="dxa"/>
              <w:left w:w="108" w:type="dxa"/>
              <w:right w:w="108" w:type="dxa"/>
            </w:tcMar>
          </w:tcPr>
          <w:p w14:paraId="0F6B6116" w14:textId="77777777" w:rsidR="00F10D51" w:rsidRPr="00E70587" w:rsidRDefault="00F10D51"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1,520</w:t>
            </w:r>
          </w:p>
        </w:tc>
      </w:tr>
    </w:tbl>
    <w:p w14:paraId="0F6FC7E2" w14:textId="77777777" w:rsidR="007073C4" w:rsidRDefault="007073C4" w:rsidP="00F10D51">
      <w:pPr>
        <w:pStyle w:val="Notesbodytext"/>
        <w:spacing w:after="0" w:line="280" w:lineRule="exact"/>
        <w:jc w:val="both"/>
        <w:rPr>
          <w:rFonts w:ascii="Arial" w:hAnsi="Arial"/>
          <w:color w:val="auto"/>
          <w:sz w:val="20"/>
        </w:rPr>
      </w:pPr>
    </w:p>
    <w:p w14:paraId="3B7A1C2F" w14:textId="77777777" w:rsidR="00657499" w:rsidRDefault="00657499" w:rsidP="00F10D51">
      <w:pPr>
        <w:pStyle w:val="Notesbodytext"/>
        <w:spacing w:after="0" w:line="280" w:lineRule="exact"/>
        <w:jc w:val="both"/>
        <w:rPr>
          <w:rFonts w:ascii="Arial" w:hAnsi="Arial"/>
          <w:color w:val="auto"/>
          <w:sz w:val="20"/>
        </w:rPr>
      </w:pPr>
    </w:p>
    <w:tbl>
      <w:tblPr>
        <w:tblW w:w="9576" w:type="dxa"/>
        <w:tblLook w:val="0000" w:firstRow="0" w:lastRow="0" w:firstColumn="0" w:lastColumn="0" w:noHBand="0" w:noVBand="0"/>
      </w:tblPr>
      <w:tblGrid>
        <w:gridCol w:w="9576"/>
      </w:tblGrid>
      <w:tr w:rsidR="00F10D51" w:rsidRPr="00E70587" w14:paraId="768087AB" w14:textId="77777777" w:rsidTr="00F10D51">
        <w:tc>
          <w:tcPr>
            <w:tcW w:w="0" w:type="auto"/>
            <w:shd w:val="clear" w:color="auto" w:fill="C1C1C1" w:themeFill="background1" w:themeFillTint="66"/>
          </w:tcPr>
          <w:p w14:paraId="4E53E172" w14:textId="77777777" w:rsidR="00F10D51" w:rsidRPr="00E70587" w:rsidRDefault="00F10D51" w:rsidP="006D2883">
            <w:pPr>
              <w:spacing w:line="280" w:lineRule="exact"/>
              <w:ind w:left="6"/>
              <w:jc w:val="both"/>
              <w:rPr>
                <w:rFonts w:ascii="Arial" w:hAnsi="Arial" w:cs="Arial"/>
                <w:b/>
                <w:sz w:val="20"/>
              </w:rPr>
            </w:pPr>
            <w:r w:rsidRPr="00E70587">
              <w:rPr>
                <w:rFonts w:ascii="Arial" w:hAnsi="Arial" w:cs="Arial"/>
                <w:b/>
                <w:sz w:val="20"/>
              </w:rPr>
              <w:t>Authors’ Note</w:t>
            </w:r>
          </w:p>
          <w:p w14:paraId="02FCC309" w14:textId="77777777" w:rsidR="00F10D51" w:rsidRPr="00E70587" w:rsidRDefault="00F10D51" w:rsidP="006D2883">
            <w:pPr>
              <w:spacing w:line="280" w:lineRule="exact"/>
              <w:ind w:left="6"/>
              <w:jc w:val="both"/>
              <w:rPr>
                <w:rFonts w:ascii="Arial" w:hAnsi="Arial" w:cs="Arial"/>
                <w:b/>
                <w:sz w:val="20"/>
              </w:rPr>
            </w:pPr>
          </w:p>
          <w:p w14:paraId="35D2E3F9" w14:textId="77777777" w:rsidR="00F10D51" w:rsidRPr="00E70587" w:rsidRDefault="00F10D51" w:rsidP="00CF76D0">
            <w:pPr>
              <w:spacing w:line="280" w:lineRule="exact"/>
              <w:ind w:left="6"/>
              <w:jc w:val="both"/>
              <w:rPr>
                <w:rFonts w:ascii="Arial" w:hAnsi="Arial" w:cs="Arial"/>
                <w:sz w:val="20"/>
              </w:rPr>
            </w:pPr>
            <w:r w:rsidRPr="00E70587">
              <w:rPr>
                <w:rFonts w:ascii="Arial" w:hAnsi="Arial" w:cs="Arial"/>
                <w:sz w:val="20"/>
              </w:rPr>
              <w:t>According to the Companies (Share capital and Debentures) Rules, 2014</w:t>
            </w:r>
            <w:r w:rsidR="006D2883" w:rsidRPr="00E70587">
              <w:rPr>
                <w:rFonts w:ascii="Arial" w:hAnsi="Arial" w:cs="Arial"/>
                <w:sz w:val="20"/>
              </w:rPr>
              <w:t xml:space="preserve"> (as amended)</w:t>
            </w:r>
            <w:r w:rsidRPr="00E70587">
              <w:rPr>
                <w:rFonts w:ascii="Arial" w:hAnsi="Arial" w:cs="Arial"/>
                <w:sz w:val="20"/>
              </w:rPr>
              <w:t xml:space="preserve">, </w:t>
            </w:r>
            <w:r w:rsidR="006D2883" w:rsidRPr="00E70587">
              <w:rPr>
                <w:rFonts w:ascii="Arial" w:hAnsi="Arial" w:cs="Arial"/>
                <w:sz w:val="20"/>
              </w:rPr>
              <w:t xml:space="preserve">a company </w:t>
            </w:r>
            <w:r w:rsidRPr="00E70587">
              <w:rPr>
                <w:rFonts w:ascii="Arial" w:hAnsi="Arial" w:cs="Arial"/>
                <w:sz w:val="20"/>
              </w:rPr>
              <w:t>should on or before the 30</w:t>
            </w:r>
            <w:r w:rsidRPr="00E70587">
              <w:rPr>
                <w:rFonts w:ascii="Arial" w:hAnsi="Arial" w:cs="Arial"/>
                <w:sz w:val="20"/>
                <w:vertAlign w:val="superscript"/>
              </w:rPr>
              <w:t>th</w:t>
            </w:r>
            <w:r w:rsidRPr="00E70587">
              <w:rPr>
                <w:rFonts w:ascii="Arial" w:hAnsi="Arial" w:cs="Arial"/>
                <w:sz w:val="20"/>
              </w:rPr>
              <w:t xml:space="preserve"> day of April in each year, invest or deposit, a sum which shall not be less than fifteen percent of the amount of its debentures maturing during the year ending on the 31st day of March of the next year, in the prescribed manner laid down in the rules. </w:t>
            </w:r>
            <w:r w:rsidR="006D2883" w:rsidRPr="00E70587">
              <w:rPr>
                <w:rFonts w:ascii="Arial" w:hAnsi="Arial" w:cs="Arial"/>
                <w:sz w:val="20"/>
              </w:rPr>
              <w:t>Till reporting date, the company was not required to make any such deposit/ investment.</w:t>
            </w:r>
          </w:p>
        </w:tc>
      </w:tr>
      <w:tr w:rsidR="00B776DE" w:rsidRPr="00E70587" w14:paraId="341E4CEC" w14:textId="77777777" w:rsidTr="00E64675">
        <w:tblPrEx>
          <w:tblCellMar>
            <w:left w:w="57" w:type="dxa"/>
            <w:right w:w="57" w:type="dxa"/>
          </w:tblCellMar>
        </w:tblPrEx>
        <w:tc>
          <w:tcPr>
            <w:tcW w:w="9995" w:type="dxa"/>
          </w:tcPr>
          <w:p w14:paraId="17A871B1" w14:textId="2ABBB539" w:rsidR="00B776DE" w:rsidRPr="00E70587" w:rsidRDefault="00B776DE" w:rsidP="00E64675">
            <w:pPr>
              <w:spacing w:line="240" w:lineRule="atLeast"/>
              <w:rPr>
                <w:rFonts w:ascii="Arial" w:hAnsi="Arial" w:cs="Arial"/>
                <w:i/>
                <w:sz w:val="20"/>
              </w:rPr>
            </w:pPr>
          </w:p>
        </w:tc>
      </w:tr>
    </w:tbl>
    <w:p w14:paraId="0979C75D" w14:textId="77777777" w:rsidR="00B776DE" w:rsidRPr="00E70587" w:rsidRDefault="00B776DE" w:rsidP="00F10D51">
      <w:pPr>
        <w:pStyle w:val="Notesbodytext"/>
        <w:spacing w:after="0" w:line="280" w:lineRule="exact"/>
        <w:jc w:val="both"/>
        <w:rPr>
          <w:rFonts w:ascii="Arial" w:hAnsi="Arial"/>
          <w:color w:val="auto"/>
          <w:sz w:val="20"/>
        </w:rPr>
      </w:pPr>
    </w:p>
    <w:tbl>
      <w:tblPr>
        <w:tblW w:w="9597" w:type="dxa"/>
        <w:tblLayout w:type="fixed"/>
        <w:tblCellMar>
          <w:left w:w="57" w:type="dxa"/>
          <w:right w:w="57" w:type="dxa"/>
        </w:tblCellMar>
        <w:tblLook w:val="0000" w:firstRow="0" w:lastRow="0" w:firstColumn="0" w:lastColumn="0" w:noHBand="0" w:noVBand="0"/>
      </w:tblPr>
      <w:tblGrid>
        <w:gridCol w:w="7887"/>
        <w:gridCol w:w="1710"/>
      </w:tblGrid>
      <w:tr w:rsidR="00B776DE" w:rsidRPr="00E70587" w14:paraId="5F6B246B" w14:textId="77777777" w:rsidTr="00B776DE">
        <w:tc>
          <w:tcPr>
            <w:tcW w:w="7887" w:type="dxa"/>
            <w:shd w:val="clear" w:color="auto" w:fill="auto"/>
            <w:vAlign w:val="bottom"/>
          </w:tcPr>
          <w:p w14:paraId="1FE1F528" w14:textId="77777777" w:rsidR="00B776DE" w:rsidRPr="00E70587" w:rsidRDefault="00B776DE" w:rsidP="00DF7985">
            <w:pPr>
              <w:pStyle w:val="Notesitalicheading"/>
              <w:spacing w:line="280" w:lineRule="exact"/>
              <w:rPr>
                <w:rFonts w:ascii="Arial" w:hAnsi="Arial"/>
                <w:i w:val="0"/>
                <w:sz w:val="20"/>
              </w:rPr>
            </w:pPr>
            <w:r w:rsidRPr="00E70587">
              <w:rPr>
                <w:rFonts w:ascii="Arial" w:hAnsi="Arial"/>
                <w:i w:val="0"/>
                <w:sz w:val="20"/>
              </w:rPr>
              <w:t>Capital Reserve</w:t>
            </w:r>
          </w:p>
        </w:tc>
        <w:tc>
          <w:tcPr>
            <w:tcW w:w="1710" w:type="dxa"/>
            <w:tcBorders>
              <w:top w:val="single" w:sz="2" w:space="0" w:color="000000" w:themeColor="text1"/>
              <w:bottom w:val="single" w:sz="2" w:space="0" w:color="000000" w:themeColor="text1"/>
            </w:tcBorders>
            <w:shd w:val="clear" w:color="auto" w:fill="auto"/>
          </w:tcPr>
          <w:p w14:paraId="3A86C61D" w14:textId="77777777" w:rsidR="00B776DE" w:rsidRPr="00E70587" w:rsidRDefault="00B776DE" w:rsidP="00DF7985">
            <w:pPr>
              <w:spacing w:before="40" w:after="40"/>
              <w:jc w:val="center"/>
              <w:rPr>
                <w:rFonts w:ascii="Arial" w:hAnsi="Arial" w:cs="Arial"/>
                <w:sz w:val="20"/>
              </w:rPr>
            </w:pPr>
            <w:r w:rsidRPr="00E70587">
              <w:rPr>
                <w:rFonts w:ascii="Arial" w:hAnsi="Arial" w:cs="Arial"/>
                <w:sz w:val="20"/>
              </w:rPr>
              <w:t>INR lacs</w:t>
            </w:r>
          </w:p>
        </w:tc>
      </w:tr>
      <w:tr w:rsidR="00B776DE" w:rsidRPr="00E70587" w14:paraId="45C8C86D" w14:textId="77777777" w:rsidTr="00B776DE">
        <w:tc>
          <w:tcPr>
            <w:tcW w:w="7887" w:type="dxa"/>
            <w:shd w:val="clear" w:color="auto" w:fill="auto"/>
            <w:vAlign w:val="bottom"/>
          </w:tcPr>
          <w:p w14:paraId="2C610D91" w14:textId="7E2422D8" w:rsidR="00B776DE" w:rsidRPr="00E70587" w:rsidRDefault="00B776DE" w:rsidP="00DF7985">
            <w:pPr>
              <w:pStyle w:val="tabletext"/>
              <w:overflowPunct w:val="0"/>
              <w:autoSpaceDE w:val="0"/>
              <w:autoSpaceDN w:val="0"/>
              <w:adjustRightInd w:val="0"/>
              <w:spacing w:before="40" w:after="40" w:line="240" w:lineRule="auto"/>
              <w:textAlignment w:val="baseline"/>
              <w:rPr>
                <w:rFonts w:ascii="Arial" w:hAnsi="Arial" w:cs="Arial"/>
                <w:b/>
                <w:sz w:val="20"/>
                <w:lang w:val="en-IN"/>
              </w:rPr>
            </w:pPr>
            <w:r w:rsidRPr="00E70587">
              <w:rPr>
                <w:rFonts w:ascii="Arial" w:hAnsi="Arial" w:cs="Arial"/>
                <w:b/>
                <w:sz w:val="20"/>
                <w:lang w:val="en-IN"/>
              </w:rPr>
              <w:t xml:space="preserve">At 1 April </w:t>
            </w:r>
            <w:r w:rsidR="00020786" w:rsidRPr="00E70587">
              <w:rPr>
                <w:rFonts w:ascii="Arial" w:hAnsi="Arial" w:cs="Arial"/>
                <w:b/>
                <w:sz w:val="20"/>
                <w:lang w:val="en-IN"/>
              </w:rPr>
              <w:t>201</w:t>
            </w:r>
            <w:r w:rsidR="00020786">
              <w:rPr>
                <w:rFonts w:ascii="Arial" w:hAnsi="Arial" w:cs="Arial"/>
                <w:b/>
                <w:sz w:val="20"/>
                <w:lang w:val="en-IN"/>
              </w:rPr>
              <w:t>9</w:t>
            </w:r>
          </w:p>
        </w:tc>
        <w:tc>
          <w:tcPr>
            <w:tcW w:w="1710" w:type="dxa"/>
            <w:tcBorders>
              <w:top w:val="single" w:sz="2" w:space="0" w:color="000000" w:themeColor="text1"/>
            </w:tcBorders>
            <w:shd w:val="clear" w:color="auto" w:fill="auto"/>
          </w:tcPr>
          <w:p w14:paraId="22522E59" w14:textId="77777777" w:rsidR="00B776DE" w:rsidRPr="00E70587" w:rsidRDefault="00B776DE" w:rsidP="00DF7985">
            <w:pPr>
              <w:spacing w:before="40" w:after="40"/>
              <w:jc w:val="right"/>
              <w:rPr>
                <w:rFonts w:ascii="Arial" w:hAnsi="Arial" w:cs="Arial"/>
                <w:b/>
                <w:bCs/>
                <w:sz w:val="20"/>
                <w:lang w:eastAsia="en-GB"/>
              </w:rPr>
            </w:pPr>
            <w:r w:rsidRPr="00E70587">
              <w:rPr>
                <w:rFonts w:ascii="Arial" w:hAnsi="Arial" w:cs="Arial"/>
                <w:b/>
                <w:bCs/>
                <w:sz w:val="20"/>
                <w:lang w:eastAsia="en-GB"/>
              </w:rPr>
              <w:t>-</w:t>
            </w:r>
          </w:p>
        </w:tc>
      </w:tr>
      <w:tr w:rsidR="00810261" w:rsidRPr="00E70587" w14:paraId="4FD7B9F6" w14:textId="77777777" w:rsidTr="00E64675">
        <w:tc>
          <w:tcPr>
            <w:tcW w:w="7887" w:type="dxa"/>
            <w:shd w:val="clear" w:color="auto" w:fill="auto"/>
            <w:vAlign w:val="bottom"/>
          </w:tcPr>
          <w:p w14:paraId="42BDCB00" w14:textId="77777777" w:rsidR="00810261" w:rsidRPr="00E70587" w:rsidRDefault="007A512B" w:rsidP="004B6BE0">
            <w:pPr>
              <w:spacing w:before="40" w:after="40"/>
              <w:rPr>
                <w:rFonts w:ascii="Arial" w:hAnsi="Arial" w:cs="Arial"/>
                <w:sz w:val="20"/>
              </w:rPr>
            </w:pPr>
            <w:r w:rsidRPr="00E70587">
              <w:rPr>
                <w:rFonts w:ascii="Arial" w:hAnsi="Arial" w:cs="Arial"/>
                <w:sz w:val="20"/>
              </w:rPr>
              <w:t xml:space="preserve">Add: amount </w:t>
            </w:r>
            <w:r w:rsidR="004B6BE0" w:rsidRPr="00E70587">
              <w:rPr>
                <w:rFonts w:ascii="Arial" w:hAnsi="Arial" w:cs="Arial"/>
                <w:sz w:val="20"/>
              </w:rPr>
              <w:t>arising</w:t>
            </w:r>
            <w:r w:rsidR="00810261" w:rsidRPr="00E70587">
              <w:rPr>
                <w:rFonts w:ascii="Arial" w:hAnsi="Arial" w:cs="Arial"/>
                <w:sz w:val="20"/>
              </w:rPr>
              <w:t xml:space="preserve"> on exercise of share options</w:t>
            </w:r>
            <w:r w:rsidRPr="00E70587">
              <w:rPr>
                <w:rFonts w:ascii="Arial" w:hAnsi="Arial" w:cs="Arial"/>
                <w:sz w:val="20"/>
              </w:rPr>
              <w:t xml:space="preserve"> (including transfer from SBP reserve)</w:t>
            </w:r>
          </w:p>
        </w:tc>
        <w:tc>
          <w:tcPr>
            <w:tcW w:w="1710" w:type="dxa"/>
            <w:tcBorders>
              <w:bottom w:val="single" w:sz="2" w:space="0" w:color="000000" w:themeColor="text1"/>
            </w:tcBorders>
            <w:shd w:val="clear" w:color="auto" w:fill="auto"/>
            <w:vAlign w:val="center"/>
          </w:tcPr>
          <w:p w14:paraId="06218AD5" w14:textId="77777777" w:rsidR="00810261" w:rsidRPr="00E70587" w:rsidRDefault="00810261" w:rsidP="00DF7985">
            <w:pPr>
              <w:spacing w:before="40" w:after="40"/>
              <w:jc w:val="right"/>
              <w:rPr>
                <w:rFonts w:ascii="Arial" w:hAnsi="Arial" w:cs="Arial"/>
                <w:sz w:val="20"/>
                <w:lang w:eastAsia="en-GB"/>
              </w:rPr>
            </w:pPr>
            <w:r w:rsidRPr="00E70587">
              <w:rPr>
                <w:rFonts w:ascii="Arial" w:hAnsi="Arial" w:cs="Arial"/>
                <w:color w:val="000000"/>
                <w:sz w:val="20"/>
              </w:rPr>
              <w:t>238</w:t>
            </w:r>
          </w:p>
        </w:tc>
      </w:tr>
      <w:tr w:rsidR="00810261" w:rsidRPr="00E70587" w14:paraId="7D234538" w14:textId="77777777" w:rsidTr="00E64675">
        <w:tc>
          <w:tcPr>
            <w:tcW w:w="7887" w:type="dxa"/>
            <w:shd w:val="clear" w:color="auto" w:fill="auto"/>
            <w:vAlign w:val="bottom"/>
          </w:tcPr>
          <w:p w14:paraId="2205EF21" w14:textId="4D7B7FE2" w:rsidR="00810261" w:rsidRPr="00E70587" w:rsidRDefault="00810261" w:rsidP="00DF7985">
            <w:pPr>
              <w:pStyle w:val="tabletext"/>
              <w:overflowPunct w:val="0"/>
              <w:autoSpaceDE w:val="0"/>
              <w:autoSpaceDN w:val="0"/>
              <w:adjustRightInd w:val="0"/>
              <w:spacing w:before="40" w:after="40" w:line="240" w:lineRule="auto"/>
              <w:textAlignment w:val="baseline"/>
              <w:rPr>
                <w:rFonts w:ascii="Arial" w:hAnsi="Arial" w:cs="Arial"/>
                <w:b/>
                <w:sz w:val="20"/>
                <w:lang w:val="en-IN"/>
              </w:rPr>
            </w:pPr>
            <w:r w:rsidRPr="00E70587">
              <w:rPr>
                <w:rFonts w:ascii="Arial" w:hAnsi="Arial" w:cs="Arial"/>
                <w:b/>
                <w:sz w:val="20"/>
                <w:lang w:val="en-IN"/>
              </w:rPr>
              <w:t xml:space="preserve">At 31 </w:t>
            </w:r>
            <w:r w:rsidR="008B730E" w:rsidRPr="00E70587">
              <w:rPr>
                <w:rFonts w:ascii="Arial" w:hAnsi="Arial" w:cs="Arial"/>
                <w:b/>
                <w:sz w:val="20"/>
                <w:lang w:val="en-IN"/>
              </w:rPr>
              <w:t xml:space="preserve">March </w:t>
            </w:r>
            <w:r w:rsidR="00020786" w:rsidRPr="00E70587">
              <w:rPr>
                <w:rFonts w:ascii="Arial" w:hAnsi="Arial" w:cs="Arial"/>
                <w:b/>
                <w:sz w:val="20"/>
                <w:lang w:val="en-IN"/>
              </w:rPr>
              <w:t>20</w:t>
            </w:r>
            <w:r w:rsidR="00020786">
              <w:rPr>
                <w:rFonts w:ascii="Arial" w:hAnsi="Arial" w:cs="Arial"/>
                <w:b/>
                <w:sz w:val="20"/>
                <w:lang w:val="en-IN"/>
              </w:rPr>
              <w:t>20</w:t>
            </w:r>
            <w:r w:rsidR="00020786" w:rsidRPr="00E70587">
              <w:rPr>
                <w:rFonts w:ascii="Arial" w:hAnsi="Arial" w:cs="Arial"/>
                <w:b/>
                <w:sz w:val="20"/>
                <w:lang w:val="en-IN"/>
              </w:rPr>
              <w:t xml:space="preserve"> </w:t>
            </w:r>
          </w:p>
        </w:tc>
        <w:tc>
          <w:tcPr>
            <w:tcW w:w="1710" w:type="dxa"/>
            <w:tcBorders>
              <w:top w:val="single" w:sz="2" w:space="0" w:color="000000" w:themeColor="text1"/>
            </w:tcBorders>
            <w:shd w:val="clear" w:color="auto" w:fill="auto"/>
            <w:vAlign w:val="center"/>
          </w:tcPr>
          <w:p w14:paraId="58B399E1" w14:textId="77777777" w:rsidR="00810261" w:rsidRPr="00E70587" w:rsidRDefault="00810261" w:rsidP="00DF7985">
            <w:pPr>
              <w:spacing w:before="40" w:after="40"/>
              <w:jc w:val="right"/>
              <w:rPr>
                <w:rFonts w:ascii="Arial" w:hAnsi="Arial" w:cs="Arial"/>
                <w:b/>
                <w:bCs/>
                <w:sz w:val="20"/>
                <w:lang w:eastAsia="en-GB"/>
              </w:rPr>
            </w:pPr>
            <w:r w:rsidRPr="00E70587">
              <w:rPr>
                <w:rFonts w:ascii="Arial" w:hAnsi="Arial" w:cs="Arial"/>
                <w:b/>
                <w:bCs/>
                <w:color w:val="000000"/>
                <w:sz w:val="20"/>
              </w:rPr>
              <w:t>238</w:t>
            </w:r>
          </w:p>
        </w:tc>
      </w:tr>
      <w:tr w:rsidR="00810261" w:rsidRPr="00E70587" w14:paraId="3EEB9F4B" w14:textId="77777777" w:rsidTr="00E64675">
        <w:tc>
          <w:tcPr>
            <w:tcW w:w="7887" w:type="dxa"/>
            <w:shd w:val="clear" w:color="auto" w:fill="auto"/>
            <w:vAlign w:val="bottom"/>
          </w:tcPr>
          <w:p w14:paraId="4D23788B" w14:textId="77777777" w:rsidR="00810261" w:rsidRPr="00E70587" w:rsidRDefault="00810261" w:rsidP="004B6BE0">
            <w:pPr>
              <w:spacing w:before="40" w:after="40"/>
              <w:rPr>
                <w:rFonts w:ascii="Arial" w:hAnsi="Arial" w:cs="Arial"/>
                <w:sz w:val="20"/>
              </w:rPr>
            </w:pPr>
            <w:r w:rsidRPr="00E70587">
              <w:rPr>
                <w:rFonts w:ascii="Arial" w:hAnsi="Arial" w:cs="Arial"/>
                <w:sz w:val="20"/>
              </w:rPr>
              <w:t xml:space="preserve">Add: </w:t>
            </w:r>
            <w:r w:rsidR="007A512B" w:rsidRPr="00E70587">
              <w:rPr>
                <w:rFonts w:ascii="Arial" w:hAnsi="Arial" w:cs="Arial"/>
                <w:sz w:val="20"/>
              </w:rPr>
              <w:t xml:space="preserve">amount </w:t>
            </w:r>
            <w:r w:rsidR="004B6BE0" w:rsidRPr="00E70587">
              <w:rPr>
                <w:rFonts w:ascii="Arial" w:hAnsi="Arial" w:cs="Arial"/>
                <w:sz w:val="20"/>
              </w:rPr>
              <w:t>arising</w:t>
            </w:r>
            <w:r w:rsidR="007A512B" w:rsidRPr="00E70587">
              <w:rPr>
                <w:rFonts w:ascii="Arial" w:hAnsi="Arial" w:cs="Arial"/>
                <w:sz w:val="20"/>
              </w:rPr>
              <w:t xml:space="preserve"> on exercise of share options (including transfer from SBP reserve)</w:t>
            </w:r>
          </w:p>
        </w:tc>
        <w:tc>
          <w:tcPr>
            <w:tcW w:w="1710" w:type="dxa"/>
            <w:shd w:val="clear" w:color="auto" w:fill="auto"/>
            <w:vAlign w:val="center"/>
          </w:tcPr>
          <w:p w14:paraId="64D4486E" w14:textId="77777777" w:rsidR="00810261" w:rsidRPr="00E70587" w:rsidRDefault="00810261" w:rsidP="00DF7985">
            <w:pPr>
              <w:spacing w:before="40" w:after="40"/>
              <w:jc w:val="right"/>
              <w:rPr>
                <w:rFonts w:ascii="Arial" w:hAnsi="Arial" w:cs="Arial"/>
                <w:sz w:val="20"/>
                <w:lang w:eastAsia="en-GB"/>
              </w:rPr>
            </w:pPr>
            <w:r w:rsidRPr="00E70587">
              <w:rPr>
                <w:rFonts w:ascii="Arial" w:hAnsi="Arial" w:cs="Arial"/>
                <w:color w:val="000000"/>
                <w:sz w:val="20"/>
              </w:rPr>
              <w:t>180</w:t>
            </w:r>
          </w:p>
        </w:tc>
      </w:tr>
      <w:tr w:rsidR="00810261" w:rsidRPr="00E70587" w14:paraId="1945E33E" w14:textId="77777777" w:rsidTr="00E64675">
        <w:tc>
          <w:tcPr>
            <w:tcW w:w="7887" w:type="dxa"/>
            <w:shd w:val="clear" w:color="auto" w:fill="auto"/>
            <w:vAlign w:val="bottom"/>
          </w:tcPr>
          <w:p w14:paraId="704AD955" w14:textId="77777777" w:rsidR="00810261" w:rsidRPr="00E70587" w:rsidRDefault="00810261" w:rsidP="00DF7985">
            <w:pPr>
              <w:spacing w:before="40" w:after="40"/>
              <w:rPr>
                <w:rFonts w:ascii="Arial" w:hAnsi="Arial" w:cs="Arial"/>
                <w:sz w:val="20"/>
              </w:rPr>
            </w:pPr>
            <w:r w:rsidRPr="00E70587">
              <w:rPr>
                <w:rFonts w:ascii="Arial" w:hAnsi="Arial" w:cs="Arial"/>
                <w:sz w:val="20"/>
              </w:rPr>
              <w:t xml:space="preserve">Less: amount utilized on acquisition of non-controlling interest </w:t>
            </w:r>
          </w:p>
        </w:tc>
        <w:tc>
          <w:tcPr>
            <w:tcW w:w="1710" w:type="dxa"/>
            <w:tcBorders>
              <w:bottom w:val="single" w:sz="2" w:space="0" w:color="000000" w:themeColor="text1"/>
            </w:tcBorders>
            <w:shd w:val="clear" w:color="auto" w:fill="auto"/>
            <w:vAlign w:val="center"/>
          </w:tcPr>
          <w:p w14:paraId="028090F6" w14:textId="77777777" w:rsidR="00810261" w:rsidRPr="00E70587" w:rsidRDefault="00810261" w:rsidP="00DF7985">
            <w:pPr>
              <w:spacing w:before="40" w:after="40"/>
              <w:jc w:val="right"/>
              <w:rPr>
                <w:rFonts w:ascii="Arial" w:hAnsi="Arial" w:cs="Arial"/>
                <w:sz w:val="20"/>
                <w:lang w:eastAsia="en-GB"/>
              </w:rPr>
            </w:pPr>
            <w:r w:rsidRPr="00E70587">
              <w:rPr>
                <w:rFonts w:ascii="Arial" w:hAnsi="Arial" w:cs="Arial"/>
                <w:color w:val="000000"/>
                <w:sz w:val="20"/>
              </w:rPr>
              <w:t>(342)</w:t>
            </w:r>
          </w:p>
        </w:tc>
      </w:tr>
      <w:tr w:rsidR="00810261" w:rsidRPr="00E70587" w14:paraId="4B37DE9B" w14:textId="77777777" w:rsidTr="00E64675">
        <w:tc>
          <w:tcPr>
            <w:tcW w:w="7887" w:type="dxa"/>
            <w:shd w:val="clear" w:color="auto" w:fill="auto"/>
            <w:vAlign w:val="bottom"/>
          </w:tcPr>
          <w:p w14:paraId="292B8C02" w14:textId="15E5CFC7" w:rsidR="00810261" w:rsidRPr="00E70587" w:rsidRDefault="00810261" w:rsidP="00DF7985">
            <w:pPr>
              <w:pStyle w:val="tabletext"/>
              <w:overflowPunct w:val="0"/>
              <w:autoSpaceDE w:val="0"/>
              <w:autoSpaceDN w:val="0"/>
              <w:adjustRightInd w:val="0"/>
              <w:spacing w:before="40" w:after="40" w:line="240" w:lineRule="auto"/>
              <w:textAlignment w:val="baseline"/>
              <w:rPr>
                <w:rFonts w:ascii="Arial" w:hAnsi="Arial" w:cs="Arial"/>
                <w:b/>
                <w:sz w:val="20"/>
                <w:lang w:val="en-IN"/>
              </w:rPr>
            </w:pPr>
            <w:r w:rsidRPr="00E70587">
              <w:rPr>
                <w:rFonts w:ascii="Arial" w:hAnsi="Arial" w:cs="Arial"/>
                <w:b/>
                <w:sz w:val="20"/>
                <w:lang w:val="en-IN"/>
              </w:rPr>
              <w:t xml:space="preserve">At 31 </w:t>
            </w:r>
            <w:r w:rsidR="00E1202D" w:rsidRPr="00E70587">
              <w:rPr>
                <w:rFonts w:ascii="Arial" w:hAnsi="Arial" w:cs="Arial"/>
                <w:b/>
                <w:sz w:val="20"/>
                <w:lang w:val="en-IN"/>
              </w:rPr>
              <w:t xml:space="preserve">March </w:t>
            </w:r>
            <w:r w:rsidR="00020786" w:rsidRPr="00E70587">
              <w:rPr>
                <w:rFonts w:ascii="Arial" w:hAnsi="Arial" w:cs="Arial"/>
                <w:b/>
                <w:sz w:val="20"/>
                <w:lang w:val="en-IN"/>
              </w:rPr>
              <w:t>20</w:t>
            </w:r>
            <w:r w:rsidR="00020786">
              <w:rPr>
                <w:rFonts w:ascii="Arial" w:hAnsi="Arial" w:cs="Arial"/>
                <w:b/>
                <w:sz w:val="20"/>
                <w:lang w:val="en-IN"/>
              </w:rPr>
              <w:t>21</w:t>
            </w:r>
          </w:p>
        </w:tc>
        <w:tc>
          <w:tcPr>
            <w:tcW w:w="1710" w:type="dxa"/>
            <w:tcBorders>
              <w:top w:val="single" w:sz="2" w:space="0" w:color="000000" w:themeColor="text1"/>
              <w:bottom w:val="double" w:sz="4" w:space="0" w:color="auto"/>
            </w:tcBorders>
            <w:shd w:val="clear" w:color="auto" w:fill="auto"/>
            <w:vAlign w:val="center"/>
          </w:tcPr>
          <w:p w14:paraId="06A6E1FA" w14:textId="77777777" w:rsidR="00810261" w:rsidRPr="00E70587" w:rsidRDefault="00810261" w:rsidP="00DF7985">
            <w:pPr>
              <w:spacing w:before="40" w:after="40"/>
              <w:jc w:val="right"/>
              <w:rPr>
                <w:rFonts w:ascii="Arial" w:hAnsi="Arial" w:cs="Arial"/>
                <w:b/>
                <w:bCs/>
                <w:sz w:val="20"/>
                <w:lang w:eastAsia="en-GB"/>
              </w:rPr>
            </w:pPr>
            <w:r w:rsidRPr="00E70587">
              <w:rPr>
                <w:rFonts w:ascii="Arial" w:hAnsi="Arial" w:cs="Arial"/>
                <w:b/>
                <w:bCs/>
                <w:color w:val="000000"/>
                <w:sz w:val="20"/>
              </w:rPr>
              <w:t>76</w:t>
            </w:r>
          </w:p>
        </w:tc>
      </w:tr>
    </w:tbl>
    <w:p w14:paraId="3963AF49" w14:textId="71FB4295" w:rsidR="00B776DE" w:rsidRDefault="00B776DE" w:rsidP="00F10D51">
      <w:pPr>
        <w:pStyle w:val="Notesbodytext"/>
        <w:spacing w:after="0" w:line="280" w:lineRule="exact"/>
        <w:jc w:val="both"/>
        <w:rPr>
          <w:rFonts w:ascii="Arial" w:hAnsi="Arial"/>
          <w:color w:val="auto"/>
          <w:sz w:val="20"/>
        </w:rPr>
      </w:pPr>
    </w:p>
    <w:p w14:paraId="4048483B" w14:textId="77777777" w:rsidR="009B7D78" w:rsidRPr="00E70587" w:rsidRDefault="009B7D78" w:rsidP="009B7D78">
      <w:pPr>
        <w:pStyle w:val="Notesbodytext"/>
        <w:spacing w:after="0" w:line="280" w:lineRule="exact"/>
        <w:jc w:val="both"/>
        <w:rPr>
          <w:rFonts w:ascii="Arial" w:hAnsi="Arial"/>
          <w:b/>
          <w:color w:val="auto"/>
          <w:sz w:val="20"/>
        </w:rPr>
      </w:pPr>
      <w:r w:rsidRPr="00E70587">
        <w:rPr>
          <w:rFonts w:ascii="Arial" w:hAnsi="Arial"/>
          <w:b/>
          <w:color w:val="auto"/>
          <w:sz w:val="20"/>
        </w:rPr>
        <w:lastRenderedPageBreak/>
        <w:t>Other reserves</w:t>
      </w:r>
    </w:p>
    <w:tbl>
      <w:tblPr>
        <w:tblW w:w="9633" w:type="dxa"/>
        <w:tblBorders>
          <w:bottom w:val="single" w:sz="4" w:space="0" w:color="auto"/>
        </w:tblBorders>
        <w:tblLayout w:type="fixed"/>
        <w:tblCellMar>
          <w:left w:w="72" w:type="dxa"/>
          <w:right w:w="72" w:type="dxa"/>
        </w:tblCellMar>
        <w:tblLook w:val="01E0" w:firstRow="1" w:lastRow="1" w:firstColumn="1" w:lastColumn="1" w:noHBand="0" w:noVBand="0"/>
      </w:tblPr>
      <w:tblGrid>
        <w:gridCol w:w="6237"/>
        <w:gridCol w:w="1698"/>
        <w:gridCol w:w="1698"/>
      </w:tblGrid>
      <w:tr w:rsidR="00D5134A" w:rsidRPr="00E70587" w14:paraId="654B4CC0" w14:textId="77777777" w:rsidTr="000A2ED4">
        <w:trPr>
          <w:trHeight w:val="20"/>
        </w:trPr>
        <w:tc>
          <w:tcPr>
            <w:tcW w:w="6237" w:type="dxa"/>
            <w:vAlign w:val="bottom"/>
          </w:tcPr>
          <w:p w14:paraId="3007C891" w14:textId="77777777" w:rsidR="00D5134A" w:rsidRPr="00E70587" w:rsidRDefault="00D5134A" w:rsidP="009B7D78">
            <w:pPr>
              <w:pStyle w:val="Notesitalicheading"/>
              <w:spacing w:line="280" w:lineRule="exact"/>
              <w:rPr>
                <w:rFonts w:ascii="Arial" w:hAnsi="Arial"/>
                <w:i w:val="0"/>
                <w:color w:val="auto"/>
                <w:sz w:val="20"/>
              </w:rPr>
            </w:pPr>
          </w:p>
        </w:tc>
        <w:tc>
          <w:tcPr>
            <w:tcW w:w="1698" w:type="dxa"/>
            <w:tcBorders>
              <w:top w:val="nil"/>
              <w:bottom w:val="single" w:sz="4" w:space="0" w:color="auto"/>
            </w:tcBorders>
            <w:vAlign w:val="center"/>
          </w:tcPr>
          <w:p w14:paraId="35A620F1" w14:textId="2C60D47E" w:rsidR="00D5134A" w:rsidRPr="00E70587" w:rsidRDefault="00D5134A" w:rsidP="009B7D78">
            <w:pPr>
              <w:pStyle w:val="Tablecolumnheading"/>
              <w:spacing w:line="280" w:lineRule="exact"/>
              <w:ind w:right="87"/>
              <w:rPr>
                <w:rFonts w:ascii="Arial" w:hAnsi="Arial"/>
                <w:color w:val="auto"/>
                <w:sz w:val="20"/>
                <w:szCs w:val="20"/>
                <w:lang w:val="en-IN"/>
              </w:rPr>
            </w:pPr>
            <w:r w:rsidRPr="00E70587">
              <w:rPr>
                <w:rFonts w:ascii="Arial" w:hAnsi="Arial"/>
                <w:sz w:val="20"/>
                <w:lang w:val="en-IN"/>
              </w:rPr>
              <w:t xml:space="preserve">31 March </w:t>
            </w:r>
            <w:r w:rsidR="00020786" w:rsidRPr="00E70587">
              <w:rPr>
                <w:rFonts w:ascii="Arial" w:hAnsi="Arial"/>
                <w:sz w:val="20"/>
                <w:lang w:val="en-IN"/>
              </w:rPr>
              <w:t>20</w:t>
            </w:r>
            <w:r w:rsidR="00020786">
              <w:rPr>
                <w:rFonts w:ascii="Arial" w:hAnsi="Arial"/>
                <w:sz w:val="20"/>
                <w:lang w:val="en-IN"/>
              </w:rPr>
              <w:t>21</w:t>
            </w:r>
          </w:p>
        </w:tc>
        <w:tc>
          <w:tcPr>
            <w:tcW w:w="1698" w:type="dxa"/>
            <w:tcBorders>
              <w:top w:val="nil"/>
              <w:bottom w:val="single" w:sz="4" w:space="0" w:color="auto"/>
            </w:tcBorders>
            <w:vAlign w:val="center"/>
          </w:tcPr>
          <w:p w14:paraId="414A9538" w14:textId="19C4BF64" w:rsidR="00D5134A" w:rsidRPr="00E70587" w:rsidRDefault="00D5134A" w:rsidP="009B7D78">
            <w:pPr>
              <w:pStyle w:val="Tablecolumnheading"/>
              <w:spacing w:line="280" w:lineRule="exact"/>
              <w:ind w:right="87"/>
              <w:rPr>
                <w:rFonts w:ascii="Arial" w:hAnsi="Arial"/>
                <w:color w:val="auto"/>
                <w:sz w:val="20"/>
                <w:szCs w:val="20"/>
                <w:lang w:val="en-IN"/>
              </w:rPr>
            </w:pPr>
            <w:r w:rsidRPr="00E70587">
              <w:rPr>
                <w:rFonts w:ascii="Arial" w:hAnsi="Arial"/>
                <w:sz w:val="20"/>
                <w:lang w:val="en-IN"/>
              </w:rPr>
              <w:t xml:space="preserve">31 March </w:t>
            </w:r>
            <w:r w:rsidR="00020786" w:rsidRPr="00E70587">
              <w:rPr>
                <w:rFonts w:ascii="Arial" w:hAnsi="Arial"/>
                <w:sz w:val="20"/>
                <w:lang w:val="en-IN"/>
              </w:rPr>
              <w:t>20</w:t>
            </w:r>
            <w:r w:rsidR="00020786">
              <w:rPr>
                <w:rFonts w:ascii="Arial" w:hAnsi="Arial"/>
                <w:sz w:val="20"/>
                <w:lang w:val="en-IN"/>
              </w:rPr>
              <w:t>20</w:t>
            </w:r>
          </w:p>
        </w:tc>
      </w:tr>
      <w:tr w:rsidR="00D5134A" w:rsidRPr="00E70587" w14:paraId="2CF9F873" w14:textId="77777777" w:rsidTr="000A2ED4">
        <w:trPr>
          <w:trHeight w:val="20"/>
        </w:trPr>
        <w:tc>
          <w:tcPr>
            <w:tcW w:w="6237" w:type="dxa"/>
            <w:tcMar>
              <w:top w:w="28" w:type="dxa"/>
              <w:left w:w="108" w:type="dxa"/>
              <w:right w:w="108" w:type="dxa"/>
            </w:tcMar>
            <w:vAlign w:val="bottom"/>
          </w:tcPr>
          <w:p w14:paraId="14CC3F90" w14:textId="77777777" w:rsidR="00D5134A" w:rsidRPr="00E70587" w:rsidRDefault="00D5134A" w:rsidP="009B7D78">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698" w:type="dxa"/>
            <w:tcMar>
              <w:top w:w="28" w:type="dxa"/>
              <w:left w:w="108" w:type="dxa"/>
              <w:right w:w="108" w:type="dxa"/>
            </w:tcMar>
          </w:tcPr>
          <w:p w14:paraId="7AAF3AAB" w14:textId="77777777" w:rsidR="00D5134A" w:rsidRPr="00E70587" w:rsidRDefault="00D5134A" w:rsidP="009B7D78">
            <w:pPr>
              <w:pStyle w:val="tabletext"/>
              <w:overflowPunct w:val="0"/>
              <w:autoSpaceDE w:val="0"/>
              <w:autoSpaceDN w:val="0"/>
              <w:adjustRightInd w:val="0"/>
              <w:spacing w:line="280" w:lineRule="exact"/>
              <w:ind w:right="87"/>
              <w:jc w:val="right"/>
              <w:textAlignment w:val="baseline"/>
              <w:rPr>
                <w:rFonts w:ascii="Arial" w:hAnsi="Arial" w:cs="Arial"/>
                <w:b/>
                <w:sz w:val="20"/>
                <w:lang w:val="en-IN"/>
              </w:rPr>
            </w:pPr>
            <w:r w:rsidRPr="00E70587">
              <w:rPr>
                <w:rFonts w:ascii="Arial" w:hAnsi="Arial" w:cs="Arial"/>
                <w:b/>
                <w:sz w:val="20"/>
                <w:lang w:val="en-IN"/>
              </w:rPr>
              <w:t>INR lacs</w:t>
            </w:r>
          </w:p>
        </w:tc>
        <w:tc>
          <w:tcPr>
            <w:tcW w:w="1698" w:type="dxa"/>
          </w:tcPr>
          <w:p w14:paraId="2F6ABDA4" w14:textId="77777777" w:rsidR="00D5134A" w:rsidRPr="00E70587" w:rsidRDefault="00D5134A" w:rsidP="009B7D78">
            <w:pPr>
              <w:pStyle w:val="tabletext"/>
              <w:overflowPunct w:val="0"/>
              <w:autoSpaceDE w:val="0"/>
              <w:autoSpaceDN w:val="0"/>
              <w:adjustRightInd w:val="0"/>
              <w:spacing w:line="280" w:lineRule="exact"/>
              <w:ind w:right="87"/>
              <w:jc w:val="right"/>
              <w:textAlignment w:val="baseline"/>
              <w:rPr>
                <w:rFonts w:ascii="Arial" w:hAnsi="Arial" w:cs="Arial"/>
                <w:b/>
                <w:sz w:val="20"/>
                <w:lang w:val="en-IN"/>
              </w:rPr>
            </w:pPr>
            <w:r w:rsidRPr="00E70587">
              <w:rPr>
                <w:rFonts w:ascii="Arial" w:hAnsi="Arial" w:cs="Arial"/>
                <w:b/>
                <w:sz w:val="20"/>
                <w:lang w:val="en-IN"/>
              </w:rPr>
              <w:t>INR lacs</w:t>
            </w:r>
          </w:p>
        </w:tc>
      </w:tr>
      <w:tr w:rsidR="00D5134A" w:rsidRPr="00E70587" w14:paraId="27152575" w14:textId="77777777" w:rsidTr="000A2ED4">
        <w:trPr>
          <w:trHeight w:val="20"/>
        </w:trPr>
        <w:tc>
          <w:tcPr>
            <w:tcW w:w="6237" w:type="dxa"/>
            <w:tcMar>
              <w:top w:w="28" w:type="dxa"/>
              <w:left w:w="108" w:type="dxa"/>
              <w:right w:w="108" w:type="dxa"/>
            </w:tcMar>
            <w:vAlign w:val="bottom"/>
          </w:tcPr>
          <w:p w14:paraId="0CBD0C47" w14:textId="77777777" w:rsidR="00D5134A" w:rsidRPr="00E70587" w:rsidRDefault="00D5134A" w:rsidP="00640334">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SBP reserve</w:t>
            </w:r>
          </w:p>
        </w:tc>
        <w:tc>
          <w:tcPr>
            <w:tcW w:w="1698" w:type="dxa"/>
            <w:tcMar>
              <w:top w:w="28" w:type="dxa"/>
              <w:left w:w="108" w:type="dxa"/>
              <w:right w:w="108" w:type="dxa"/>
            </w:tcMar>
            <w:vAlign w:val="center"/>
          </w:tcPr>
          <w:p w14:paraId="4B8CB19F" w14:textId="77777777" w:rsidR="00D5134A" w:rsidRPr="00E70587" w:rsidRDefault="00D5134A" w:rsidP="009B7D78">
            <w:pPr>
              <w:overflowPunct/>
              <w:spacing w:line="280" w:lineRule="exact"/>
              <w:ind w:right="-3"/>
              <w:jc w:val="right"/>
              <w:textAlignment w:val="auto"/>
              <w:rPr>
                <w:rFonts w:ascii="Arial" w:hAnsi="Arial" w:cs="Arial"/>
                <w:sz w:val="20"/>
                <w:lang w:eastAsia="en-GB"/>
              </w:rPr>
            </w:pPr>
            <w:r w:rsidRPr="00E70587">
              <w:rPr>
                <w:rFonts w:ascii="Arial" w:hAnsi="Arial" w:cs="Arial"/>
                <w:color w:val="000000"/>
                <w:sz w:val="20"/>
                <w:lang w:eastAsia="en-GB"/>
              </w:rPr>
              <w:t>1,476</w:t>
            </w:r>
          </w:p>
        </w:tc>
        <w:tc>
          <w:tcPr>
            <w:tcW w:w="1698" w:type="dxa"/>
            <w:vAlign w:val="center"/>
          </w:tcPr>
          <w:p w14:paraId="6F86F295" w14:textId="77777777" w:rsidR="00D5134A" w:rsidRPr="00E70587" w:rsidRDefault="00D5134A" w:rsidP="00315CA4">
            <w:pPr>
              <w:overflowPunct/>
              <w:spacing w:line="280" w:lineRule="exact"/>
              <w:ind w:right="-3"/>
              <w:jc w:val="right"/>
              <w:textAlignment w:val="auto"/>
              <w:rPr>
                <w:rFonts w:ascii="Arial" w:hAnsi="Arial" w:cs="Arial"/>
                <w:sz w:val="20"/>
                <w:lang w:eastAsia="en-GB"/>
              </w:rPr>
            </w:pPr>
            <w:r w:rsidRPr="00E70587">
              <w:rPr>
                <w:rFonts w:ascii="Arial" w:hAnsi="Arial" w:cs="Arial"/>
                <w:color w:val="000000"/>
                <w:sz w:val="20"/>
                <w:lang w:eastAsia="en-GB"/>
              </w:rPr>
              <w:t>1,</w:t>
            </w:r>
            <w:r w:rsidR="00315CA4" w:rsidRPr="00E70587">
              <w:rPr>
                <w:rFonts w:ascii="Arial" w:hAnsi="Arial" w:cs="Arial"/>
                <w:color w:val="000000"/>
                <w:sz w:val="20"/>
                <w:lang w:eastAsia="en-GB"/>
              </w:rPr>
              <w:t>051</w:t>
            </w:r>
          </w:p>
        </w:tc>
      </w:tr>
      <w:tr w:rsidR="00D5134A" w:rsidRPr="00E70587" w14:paraId="6C9B2687" w14:textId="77777777" w:rsidTr="000A2ED4">
        <w:trPr>
          <w:trHeight w:val="20"/>
        </w:trPr>
        <w:tc>
          <w:tcPr>
            <w:tcW w:w="6237" w:type="dxa"/>
            <w:tcMar>
              <w:top w:w="28" w:type="dxa"/>
              <w:left w:w="108" w:type="dxa"/>
              <w:right w:w="108" w:type="dxa"/>
            </w:tcMar>
            <w:vAlign w:val="bottom"/>
          </w:tcPr>
          <w:p w14:paraId="714ABF8F" w14:textId="77777777" w:rsidR="00D5134A" w:rsidRPr="00E70587" w:rsidRDefault="00D5134A" w:rsidP="00640334">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Debenture redemption reserve</w:t>
            </w:r>
          </w:p>
        </w:tc>
        <w:tc>
          <w:tcPr>
            <w:tcW w:w="1698" w:type="dxa"/>
            <w:tcMar>
              <w:top w:w="28" w:type="dxa"/>
              <w:left w:w="108" w:type="dxa"/>
              <w:right w:w="108" w:type="dxa"/>
            </w:tcMar>
            <w:vAlign w:val="center"/>
          </w:tcPr>
          <w:p w14:paraId="5BA3CAC8" w14:textId="77777777" w:rsidR="00D5134A" w:rsidRPr="00E70587" w:rsidRDefault="00D5134A" w:rsidP="009B7D78">
            <w:pPr>
              <w:overflowPunct/>
              <w:spacing w:line="280" w:lineRule="exact"/>
              <w:ind w:right="-3"/>
              <w:jc w:val="right"/>
              <w:textAlignment w:val="auto"/>
              <w:rPr>
                <w:rFonts w:ascii="Arial" w:hAnsi="Arial" w:cs="Arial"/>
                <w:sz w:val="20"/>
                <w:lang w:eastAsia="en-GB"/>
              </w:rPr>
            </w:pPr>
            <w:r w:rsidRPr="00E70587">
              <w:rPr>
                <w:rFonts w:ascii="Arial" w:hAnsi="Arial" w:cs="Arial"/>
                <w:color w:val="000000"/>
                <w:sz w:val="20"/>
                <w:lang w:eastAsia="en-GB"/>
              </w:rPr>
              <w:t>1,520</w:t>
            </w:r>
          </w:p>
        </w:tc>
        <w:tc>
          <w:tcPr>
            <w:tcW w:w="1698" w:type="dxa"/>
            <w:vAlign w:val="center"/>
          </w:tcPr>
          <w:p w14:paraId="35A741FC" w14:textId="77777777" w:rsidR="00D5134A" w:rsidRPr="00E70587" w:rsidRDefault="00D5134A" w:rsidP="00640334">
            <w:pPr>
              <w:overflowPunct/>
              <w:spacing w:line="280" w:lineRule="exact"/>
              <w:ind w:right="-3"/>
              <w:jc w:val="right"/>
              <w:textAlignment w:val="auto"/>
              <w:rPr>
                <w:rFonts w:ascii="Arial" w:hAnsi="Arial" w:cs="Arial"/>
                <w:sz w:val="20"/>
                <w:lang w:eastAsia="en-GB"/>
              </w:rPr>
            </w:pPr>
            <w:r w:rsidRPr="00E70587">
              <w:rPr>
                <w:rFonts w:ascii="Arial" w:hAnsi="Arial" w:cs="Arial"/>
                <w:color w:val="000000"/>
                <w:sz w:val="20"/>
                <w:lang w:eastAsia="en-GB"/>
              </w:rPr>
              <w:t>1,520</w:t>
            </w:r>
          </w:p>
        </w:tc>
      </w:tr>
      <w:tr w:rsidR="00D5134A" w:rsidRPr="00E70587" w14:paraId="173447A2" w14:textId="77777777" w:rsidTr="000A2ED4">
        <w:trPr>
          <w:trHeight w:val="20"/>
        </w:trPr>
        <w:tc>
          <w:tcPr>
            <w:tcW w:w="6237" w:type="dxa"/>
            <w:tcMar>
              <w:top w:w="28" w:type="dxa"/>
              <w:left w:w="108" w:type="dxa"/>
              <w:right w:w="108" w:type="dxa"/>
            </w:tcMar>
            <w:vAlign w:val="bottom"/>
          </w:tcPr>
          <w:p w14:paraId="1721FBE9" w14:textId="77777777" w:rsidR="00D5134A" w:rsidRPr="00E70587" w:rsidRDefault="00D5134A" w:rsidP="00640334">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Capital reserve</w:t>
            </w:r>
          </w:p>
        </w:tc>
        <w:tc>
          <w:tcPr>
            <w:tcW w:w="1698" w:type="dxa"/>
            <w:tcMar>
              <w:top w:w="28" w:type="dxa"/>
              <w:left w:w="108" w:type="dxa"/>
              <w:right w:w="108" w:type="dxa"/>
            </w:tcMar>
            <w:vAlign w:val="center"/>
          </w:tcPr>
          <w:p w14:paraId="0DC9DEA8" w14:textId="77777777" w:rsidR="00D5134A" w:rsidRPr="00E70587" w:rsidRDefault="00D5134A" w:rsidP="009B7D78">
            <w:pPr>
              <w:overflowPunct/>
              <w:spacing w:line="280" w:lineRule="exact"/>
              <w:ind w:right="-3"/>
              <w:jc w:val="right"/>
              <w:textAlignment w:val="auto"/>
              <w:rPr>
                <w:rFonts w:ascii="Arial" w:hAnsi="Arial" w:cs="Arial"/>
                <w:sz w:val="20"/>
                <w:lang w:eastAsia="en-GB"/>
              </w:rPr>
            </w:pPr>
            <w:r w:rsidRPr="00E70587">
              <w:rPr>
                <w:rFonts w:ascii="Arial" w:hAnsi="Arial" w:cs="Arial"/>
                <w:color w:val="000000"/>
                <w:sz w:val="20"/>
                <w:lang w:eastAsia="en-GB"/>
              </w:rPr>
              <w:t>76</w:t>
            </w:r>
          </w:p>
        </w:tc>
        <w:tc>
          <w:tcPr>
            <w:tcW w:w="1698" w:type="dxa"/>
            <w:vAlign w:val="center"/>
          </w:tcPr>
          <w:p w14:paraId="146F91AD" w14:textId="77777777" w:rsidR="00D5134A" w:rsidRPr="00E70587" w:rsidRDefault="00D5134A" w:rsidP="00640334">
            <w:pPr>
              <w:overflowPunct/>
              <w:spacing w:line="280" w:lineRule="exact"/>
              <w:ind w:right="-3"/>
              <w:jc w:val="right"/>
              <w:textAlignment w:val="auto"/>
              <w:rPr>
                <w:rFonts w:ascii="Arial" w:hAnsi="Arial" w:cs="Arial"/>
                <w:sz w:val="20"/>
                <w:lang w:eastAsia="en-GB"/>
              </w:rPr>
            </w:pPr>
            <w:r w:rsidRPr="00E70587">
              <w:rPr>
                <w:rFonts w:ascii="Arial" w:hAnsi="Arial" w:cs="Arial"/>
                <w:color w:val="000000"/>
                <w:sz w:val="20"/>
                <w:lang w:eastAsia="en-GB"/>
              </w:rPr>
              <w:t>238</w:t>
            </w:r>
          </w:p>
        </w:tc>
      </w:tr>
      <w:tr w:rsidR="00D5134A" w:rsidRPr="00E70587" w14:paraId="4143E46B" w14:textId="77777777" w:rsidTr="000A2ED4">
        <w:trPr>
          <w:trHeight w:val="20"/>
        </w:trPr>
        <w:tc>
          <w:tcPr>
            <w:tcW w:w="6237" w:type="dxa"/>
            <w:tcMar>
              <w:top w:w="28" w:type="dxa"/>
              <w:left w:w="108" w:type="dxa"/>
              <w:right w:w="108" w:type="dxa"/>
            </w:tcMar>
            <w:vAlign w:val="bottom"/>
          </w:tcPr>
          <w:p w14:paraId="4BACC4A7" w14:textId="2BEF1C19" w:rsidR="00D5134A" w:rsidRPr="00E70587" w:rsidRDefault="00320183" w:rsidP="009B7D78">
            <w:pPr>
              <w:pStyle w:val="tabletext"/>
              <w:overflowPunct w:val="0"/>
              <w:autoSpaceDE w:val="0"/>
              <w:autoSpaceDN w:val="0"/>
              <w:adjustRightInd w:val="0"/>
              <w:spacing w:line="280" w:lineRule="exact"/>
              <w:textAlignment w:val="baseline"/>
              <w:rPr>
                <w:rFonts w:ascii="Arial" w:hAnsi="Arial" w:cs="Arial"/>
                <w:sz w:val="20"/>
                <w:lang w:val="en-IN"/>
              </w:rPr>
            </w:pPr>
            <w:r w:rsidRPr="00320183">
              <w:rPr>
                <w:rFonts w:ascii="Arial" w:hAnsi="Arial" w:cs="Arial"/>
                <w:sz w:val="20"/>
                <w:lang w:val="en-IN"/>
              </w:rPr>
              <w:t>Effective portion of cash flow hedges</w:t>
            </w:r>
          </w:p>
        </w:tc>
        <w:tc>
          <w:tcPr>
            <w:tcW w:w="1698" w:type="dxa"/>
            <w:tcMar>
              <w:top w:w="28" w:type="dxa"/>
              <w:left w:w="108" w:type="dxa"/>
              <w:right w:w="108" w:type="dxa"/>
            </w:tcMar>
            <w:vAlign w:val="center"/>
          </w:tcPr>
          <w:p w14:paraId="3E011A5A" w14:textId="0F15AA7A" w:rsidR="00D5134A" w:rsidRPr="00E70587" w:rsidRDefault="00D5134A" w:rsidP="009B7D78">
            <w:pPr>
              <w:overflowPunct/>
              <w:spacing w:line="280" w:lineRule="exact"/>
              <w:ind w:right="-3"/>
              <w:jc w:val="right"/>
              <w:textAlignment w:val="auto"/>
              <w:rPr>
                <w:rFonts w:ascii="Arial" w:hAnsi="Arial" w:cs="Arial"/>
                <w:sz w:val="20"/>
                <w:lang w:eastAsia="en-GB"/>
              </w:rPr>
            </w:pPr>
            <w:r w:rsidRPr="00E70587">
              <w:rPr>
                <w:rFonts w:ascii="Arial" w:hAnsi="Arial" w:cs="Arial"/>
                <w:sz w:val="20"/>
                <w:lang w:eastAsia="en-GB"/>
              </w:rPr>
              <w:t>(1,</w:t>
            </w:r>
            <w:r w:rsidR="0065327D" w:rsidRPr="00E70587">
              <w:rPr>
                <w:rFonts w:ascii="Arial" w:hAnsi="Arial" w:cs="Arial"/>
                <w:sz w:val="20"/>
                <w:lang w:eastAsia="en-GB"/>
              </w:rPr>
              <w:t>0</w:t>
            </w:r>
            <w:r w:rsidR="0065327D">
              <w:rPr>
                <w:rFonts w:ascii="Arial" w:hAnsi="Arial" w:cs="Arial"/>
                <w:sz w:val="20"/>
                <w:lang w:eastAsia="en-GB"/>
              </w:rPr>
              <w:t>12</w:t>
            </w:r>
            <w:r w:rsidRPr="00E70587">
              <w:rPr>
                <w:rFonts w:ascii="Arial" w:hAnsi="Arial" w:cs="Arial"/>
                <w:sz w:val="20"/>
                <w:lang w:eastAsia="en-GB"/>
              </w:rPr>
              <w:t>)</w:t>
            </w:r>
          </w:p>
        </w:tc>
        <w:tc>
          <w:tcPr>
            <w:tcW w:w="1698" w:type="dxa"/>
          </w:tcPr>
          <w:p w14:paraId="4B5CC6D0" w14:textId="77777777" w:rsidR="00D5134A" w:rsidRPr="00E70587" w:rsidRDefault="00D5134A" w:rsidP="00640334">
            <w:pPr>
              <w:overflowPunct/>
              <w:spacing w:line="280" w:lineRule="exact"/>
              <w:ind w:right="-3"/>
              <w:jc w:val="right"/>
              <w:textAlignment w:val="auto"/>
              <w:rPr>
                <w:rFonts w:ascii="Arial" w:hAnsi="Arial" w:cs="Arial"/>
                <w:sz w:val="20"/>
                <w:lang w:eastAsia="en-GB"/>
              </w:rPr>
            </w:pPr>
            <w:r w:rsidRPr="00E70587">
              <w:rPr>
                <w:rFonts w:ascii="Arial" w:hAnsi="Arial" w:cs="Arial"/>
                <w:sz w:val="20"/>
                <w:lang w:eastAsia="en-GB"/>
              </w:rPr>
              <w:t>(126)</w:t>
            </w:r>
          </w:p>
        </w:tc>
      </w:tr>
      <w:tr w:rsidR="004861B6" w:rsidRPr="00E70587" w14:paraId="6FA34212" w14:textId="77777777" w:rsidTr="000A2ED4">
        <w:trPr>
          <w:trHeight w:val="20"/>
        </w:trPr>
        <w:tc>
          <w:tcPr>
            <w:tcW w:w="6237" w:type="dxa"/>
            <w:tcMar>
              <w:top w:w="28" w:type="dxa"/>
              <w:left w:w="108" w:type="dxa"/>
              <w:right w:w="108" w:type="dxa"/>
            </w:tcMar>
            <w:vAlign w:val="bottom"/>
          </w:tcPr>
          <w:p w14:paraId="5AA72C60" w14:textId="49B479DB" w:rsidR="004861B6" w:rsidRPr="001241B1" w:rsidRDefault="004861B6" w:rsidP="001241B1">
            <w:pPr>
              <w:pStyle w:val="tabletext"/>
              <w:spacing w:line="280" w:lineRule="exact"/>
              <w:rPr>
                <w:rFonts w:ascii="Arial" w:hAnsi="Arial" w:cs="Arial"/>
                <w:sz w:val="20"/>
                <w:lang w:val="en-IN"/>
              </w:rPr>
            </w:pPr>
            <w:r w:rsidRPr="004861B6">
              <w:rPr>
                <w:rFonts w:ascii="Arial" w:hAnsi="Arial" w:cs="Arial"/>
                <w:sz w:val="20"/>
                <w:lang w:val="en-IN"/>
              </w:rPr>
              <w:t>Cost of cash flow hedges</w:t>
            </w:r>
          </w:p>
        </w:tc>
        <w:tc>
          <w:tcPr>
            <w:tcW w:w="1698" w:type="dxa"/>
            <w:tcBorders>
              <w:bottom w:val="nil"/>
            </w:tcBorders>
            <w:tcMar>
              <w:top w:w="28" w:type="dxa"/>
              <w:left w:w="108" w:type="dxa"/>
              <w:right w:w="0" w:type="dxa"/>
            </w:tcMar>
            <w:vAlign w:val="center"/>
          </w:tcPr>
          <w:p w14:paraId="5A5E57E2" w14:textId="2ABDD03E" w:rsidR="004861B6" w:rsidRDefault="0065327D" w:rsidP="009B7D78">
            <w:pPr>
              <w:overflowPunct/>
              <w:spacing w:line="280" w:lineRule="exact"/>
              <w:ind w:right="87"/>
              <w:jc w:val="right"/>
              <w:textAlignment w:val="auto"/>
              <w:rPr>
                <w:rFonts w:ascii="Arial" w:hAnsi="Arial" w:cs="Arial"/>
                <w:sz w:val="20"/>
                <w:lang w:eastAsia="en-GB"/>
              </w:rPr>
            </w:pPr>
            <w:r>
              <w:rPr>
                <w:rFonts w:ascii="Arial" w:hAnsi="Arial" w:cs="Arial"/>
                <w:sz w:val="20"/>
                <w:lang w:eastAsia="en-GB"/>
              </w:rPr>
              <w:t>(36)</w:t>
            </w:r>
          </w:p>
        </w:tc>
        <w:tc>
          <w:tcPr>
            <w:tcW w:w="1698" w:type="dxa"/>
            <w:tcBorders>
              <w:bottom w:val="nil"/>
            </w:tcBorders>
          </w:tcPr>
          <w:p w14:paraId="705E605A" w14:textId="0FA355FF" w:rsidR="004861B6" w:rsidRDefault="0065327D" w:rsidP="009B7D78">
            <w:pPr>
              <w:overflowPunct/>
              <w:spacing w:line="280" w:lineRule="exact"/>
              <w:ind w:right="87"/>
              <w:jc w:val="right"/>
              <w:textAlignment w:val="auto"/>
              <w:rPr>
                <w:rFonts w:ascii="Arial" w:hAnsi="Arial" w:cs="Arial"/>
                <w:sz w:val="20"/>
                <w:lang w:eastAsia="en-GB"/>
              </w:rPr>
            </w:pPr>
            <w:r>
              <w:rPr>
                <w:rFonts w:ascii="Arial" w:hAnsi="Arial" w:cs="Arial"/>
                <w:sz w:val="20"/>
                <w:lang w:eastAsia="en-GB"/>
              </w:rPr>
              <w:t>-</w:t>
            </w:r>
          </w:p>
        </w:tc>
      </w:tr>
      <w:tr w:rsidR="001241B1" w:rsidRPr="00E70587" w14:paraId="4C61CDCB" w14:textId="77777777" w:rsidTr="000A2ED4">
        <w:trPr>
          <w:trHeight w:val="20"/>
        </w:trPr>
        <w:tc>
          <w:tcPr>
            <w:tcW w:w="6237" w:type="dxa"/>
            <w:tcMar>
              <w:top w:w="28" w:type="dxa"/>
              <w:left w:w="108" w:type="dxa"/>
              <w:right w:w="108" w:type="dxa"/>
            </w:tcMar>
            <w:vAlign w:val="bottom"/>
          </w:tcPr>
          <w:p w14:paraId="5A78FC1D" w14:textId="478B3F66" w:rsidR="001241B1" w:rsidRPr="00E70587" w:rsidRDefault="001241B1" w:rsidP="001241B1">
            <w:pPr>
              <w:pStyle w:val="tabletext"/>
              <w:spacing w:line="280" w:lineRule="exact"/>
              <w:rPr>
                <w:rFonts w:ascii="Arial" w:hAnsi="Arial" w:cs="Arial"/>
                <w:sz w:val="20"/>
                <w:lang w:val="en-IN"/>
              </w:rPr>
            </w:pPr>
            <w:r w:rsidRPr="001241B1">
              <w:rPr>
                <w:rFonts w:ascii="Arial" w:hAnsi="Arial" w:cs="Arial"/>
                <w:sz w:val="20"/>
                <w:lang w:val="en-IN"/>
              </w:rPr>
              <w:t>Equity instruments through Other Comprehensive Income</w:t>
            </w:r>
          </w:p>
        </w:tc>
        <w:tc>
          <w:tcPr>
            <w:tcW w:w="1698" w:type="dxa"/>
            <w:tcBorders>
              <w:bottom w:val="nil"/>
            </w:tcBorders>
            <w:tcMar>
              <w:top w:w="28" w:type="dxa"/>
              <w:left w:w="108" w:type="dxa"/>
              <w:right w:w="0" w:type="dxa"/>
            </w:tcMar>
            <w:vAlign w:val="center"/>
          </w:tcPr>
          <w:p w14:paraId="6E6CDB85" w14:textId="46AB9748" w:rsidR="001241B1" w:rsidRPr="00E70587" w:rsidRDefault="00D30D6A" w:rsidP="009B7D78">
            <w:pPr>
              <w:overflowPunct/>
              <w:spacing w:line="280" w:lineRule="exact"/>
              <w:ind w:right="87"/>
              <w:jc w:val="right"/>
              <w:textAlignment w:val="auto"/>
              <w:rPr>
                <w:rFonts w:ascii="Arial" w:hAnsi="Arial" w:cs="Arial"/>
                <w:sz w:val="20"/>
                <w:lang w:eastAsia="en-GB"/>
              </w:rPr>
            </w:pPr>
            <w:r>
              <w:rPr>
                <w:rFonts w:ascii="Arial" w:hAnsi="Arial" w:cs="Arial"/>
                <w:sz w:val="20"/>
                <w:lang w:eastAsia="en-GB"/>
              </w:rPr>
              <w:t>(13)</w:t>
            </w:r>
          </w:p>
        </w:tc>
        <w:tc>
          <w:tcPr>
            <w:tcW w:w="1698" w:type="dxa"/>
            <w:tcBorders>
              <w:bottom w:val="nil"/>
            </w:tcBorders>
          </w:tcPr>
          <w:p w14:paraId="612E683D" w14:textId="0BB6452E" w:rsidR="001241B1" w:rsidRPr="00E70587" w:rsidRDefault="00772ED3" w:rsidP="009B7D78">
            <w:pPr>
              <w:overflowPunct/>
              <w:spacing w:line="280" w:lineRule="exact"/>
              <w:ind w:right="87"/>
              <w:jc w:val="right"/>
              <w:textAlignment w:val="auto"/>
              <w:rPr>
                <w:rFonts w:ascii="Arial" w:hAnsi="Arial" w:cs="Arial"/>
                <w:sz w:val="20"/>
                <w:lang w:eastAsia="en-GB"/>
              </w:rPr>
            </w:pPr>
            <w:r>
              <w:rPr>
                <w:rFonts w:ascii="Arial" w:hAnsi="Arial" w:cs="Arial"/>
                <w:sz w:val="20"/>
                <w:lang w:eastAsia="en-GB"/>
              </w:rPr>
              <w:t>-</w:t>
            </w:r>
          </w:p>
        </w:tc>
      </w:tr>
      <w:tr w:rsidR="00D5134A" w:rsidRPr="00E70587" w14:paraId="5A7434FD" w14:textId="77777777" w:rsidTr="000A2ED4">
        <w:trPr>
          <w:trHeight w:val="20"/>
        </w:trPr>
        <w:tc>
          <w:tcPr>
            <w:tcW w:w="6237" w:type="dxa"/>
            <w:tcMar>
              <w:top w:w="28" w:type="dxa"/>
              <w:left w:w="108" w:type="dxa"/>
              <w:right w:w="108" w:type="dxa"/>
            </w:tcMar>
            <w:vAlign w:val="bottom"/>
          </w:tcPr>
          <w:p w14:paraId="649EA1F4" w14:textId="4D39B10F" w:rsidR="00D5134A" w:rsidRPr="00E70587" w:rsidRDefault="00E144BF" w:rsidP="00E144BF">
            <w:pPr>
              <w:pStyle w:val="tabletext"/>
              <w:spacing w:line="280" w:lineRule="exact"/>
              <w:rPr>
                <w:rFonts w:ascii="Arial" w:hAnsi="Arial" w:cs="Arial"/>
                <w:sz w:val="20"/>
                <w:lang w:val="en-IN"/>
              </w:rPr>
            </w:pPr>
            <w:r w:rsidRPr="00E144BF">
              <w:rPr>
                <w:rFonts w:ascii="Arial" w:hAnsi="Arial" w:cs="Arial"/>
                <w:sz w:val="20"/>
                <w:lang w:val="en-IN"/>
              </w:rPr>
              <w:t>Debt instruments through Other Comprehensive Income</w:t>
            </w:r>
          </w:p>
        </w:tc>
        <w:tc>
          <w:tcPr>
            <w:tcW w:w="1698" w:type="dxa"/>
            <w:tcBorders>
              <w:bottom w:val="nil"/>
            </w:tcBorders>
            <w:tcMar>
              <w:top w:w="28" w:type="dxa"/>
              <w:left w:w="108" w:type="dxa"/>
              <w:right w:w="0" w:type="dxa"/>
            </w:tcMar>
            <w:vAlign w:val="center"/>
          </w:tcPr>
          <w:p w14:paraId="34B7F99D" w14:textId="394A62C4" w:rsidR="00D5134A" w:rsidRPr="00E70587" w:rsidRDefault="00D5134A" w:rsidP="009B7D78">
            <w:pPr>
              <w:overflowPunct/>
              <w:spacing w:line="280" w:lineRule="exact"/>
              <w:ind w:right="87"/>
              <w:jc w:val="right"/>
              <w:textAlignment w:val="auto"/>
              <w:rPr>
                <w:rFonts w:ascii="Arial" w:hAnsi="Arial" w:cs="Arial"/>
                <w:sz w:val="20"/>
                <w:lang w:eastAsia="en-GB"/>
              </w:rPr>
            </w:pPr>
            <w:r w:rsidRPr="00E70587">
              <w:rPr>
                <w:rFonts w:ascii="Arial" w:hAnsi="Arial" w:cs="Arial"/>
                <w:sz w:val="20"/>
                <w:lang w:eastAsia="en-GB"/>
              </w:rPr>
              <w:t>(</w:t>
            </w:r>
            <w:r w:rsidR="00D30D6A" w:rsidRPr="00E70587">
              <w:rPr>
                <w:rFonts w:ascii="Arial" w:hAnsi="Arial" w:cs="Arial"/>
                <w:sz w:val="20"/>
                <w:lang w:eastAsia="en-GB"/>
              </w:rPr>
              <w:t>1</w:t>
            </w:r>
            <w:r w:rsidR="00D30D6A">
              <w:rPr>
                <w:rFonts w:ascii="Arial" w:hAnsi="Arial" w:cs="Arial"/>
                <w:sz w:val="20"/>
                <w:lang w:eastAsia="en-GB"/>
              </w:rPr>
              <w:t>38</w:t>
            </w:r>
            <w:r w:rsidRPr="00E70587">
              <w:rPr>
                <w:rFonts w:ascii="Arial" w:hAnsi="Arial" w:cs="Arial"/>
                <w:sz w:val="20"/>
                <w:lang w:eastAsia="en-GB"/>
              </w:rPr>
              <w:t>)</w:t>
            </w:r>
          </w:p>
        </w:tc>
        <w:tc>
          <w:tcPr>
            <w:tcW w:w="1698" w:type="dxa"/>
            <w:tcBorders>
              <w:bottom w:val="nil"/>
            </w:tcBorders>
          </w:tcPr>
          <w:p w14:paraId="10EFCC10" w14:textId="75BBDCA1" w:rsidR="00D5134A" w:rsidRPr="00E70587" w:rsidRDefault="00772ED3" w:rsidP="009B7D78">
            <w:pPr>
              <w:overflowPunct/>
              <w:spacing w:line="280" w:lineRule="exact"/>
              <w:ind w:right="87"/>
              <w:jc w:val="right"/>
              <w:textAlignment w:val="auto"/>
              <w:rPr>
                <w:rFonts w:ascii="Arial" w:hAnsi="Arial" w:cs="Arial"/>
                <w:sz w:val="20"/>
                <w:lang w:eastAsia="en-GB"/>
              </w:rPr>
            </w:pPr>
            <w:r>
              <w:rPr>
                <w:rFonts w:ascii="Arial" w:hAnsi="Arial" w:cs="Arial"/>
                <w:sz w:val="20"/>
                <w:lang w:eastAsia="en-GB"/>
              </w:rPr>
              <w:t>3</w:t>
            </w:r>
          </w:p>
        </w:tc>
      </w:tr>
      <w:tr w:rsidR="00D5134A" w:rsidRPr="00E70587" w14:paraId="5E6138A2" w14:textId="77777777" w:rsidTr="000A2ED4">
        <w:trPr>
          <w:trHeight w:val="20"/>
        </w:trPr>
        <w:tc>
          <w:tcPr>
            <w:tcW w:w="6237" w:type="dxa"/>
            <w:tcMar>
              <w:top w:w="28" w:type="dxa"/>
              <w:left w:w="108" w:type="dxa"/>
              <w:right w:w="108" w:type="dxa"/>
            </w:tcMar>
            <w:vAlign w:val="bottom"/>
          </w:tcPr>
          <w:p w14:paraId="3721AA13" w14:textId="430C0E1D" w:rsidR="00D5134A" w:rsidRPr="00E70587" w:rsidRDefault="0004040D" w:rsidP="009B7D78">
            <w:pPr>
              <w:pStyle w:val="tabletext"/>
              <w:spacing w:line="280" w:lineRule="exact"/>
              <w:rPr>
                <w:rFonts w:ascii="Arial" w:hAnsi="Arial" w:cs="Arial"/>
                <w:sz w:val="20"/>
                <w:lang w:val="en-IN"/>
              </w:rPr>
            </w:pPr>
            <w:r w:rsidRPr="0004040D">
              <w:rPr>
                <w:rFonts w:ascii="Arial" w:hAnsi="Arial" w:cs="Arial"/>
                <w:sz w:val="20"/>
                <w:lang w:val="en-IN"/>
              </w:rPr>
              <w:t>Exchange differences on translating the financial statements of a foreign operation</w:t>
            </w:r>
          </w:p>
        </w:tc>
        <w:tc>
          <w:tcPr>
            <w:tcW w:w="1698" w:type="dxa"/>
            <w:tcBorders>
              <w:bottom w:val="nil"/>
            </w:tcBorders>
            <w:tcMar>
              <w:top w:w="28" w:type="dxa"/>
              <w:left w:w="108" w:type="dxa"/>
              <w:right w:w="0" w:type="dxa"/>
            </w:tcMar>
            <w:vAlign w:val="center"/>
          </w:tcPr>
          <w:p w14:paraId="21865E6A" w14:textId="77777777" w:rsidR="00D5134A" w:rsidRPr="00E70587" w:rsidRDefault="00D5134A" w:rsidP="009B7D78">
            <w:pPr>
              <w:overflowPunct/>
              <w:spacing w:line="280" w:lineRule="exact"/>
              <w:ind w:right="87"/>
              <w:jc w:val="right"/>
              <w:textAlignment w:val="auto"/>
              <w:rPr>
                <w:rFonts w:ascii="Arial" w:hAnsi="Arial" w:cs="Arial"/>
                <w:sz w:val="20"/>
                <w:lang w:eastAsia="en-GB"/>
              </w:rPr>
            </w:pPr>
            <w:r w:rsidRPr="00E70587">
              <w:rPr>
                <w:rFonts w:ascii="Arial" w:hAnsi="Arial" w:cs="Arial"/>
                <w:sz w:val="20"/>
                <w:lang w:eastAsia="en-GB"/>
              </w:rPr>
              <w:t>(302)</w:t>
            </w:r>
          </w:p>
        </w:tc>
        <w:tc>
          <w:tcPr>
            <w:tcW w:w="1698" w:type="dxa"/>
            <w:tcBorders>
              <w:bottom w:val="nil"/>
            </w:tcBorders>
          </w:tcPr>
          <w:p w14:paraId="3AE0D53C" w14:textId="77777777" w:rsidR="00D5134A" w:rsidRPr="00E70587" w:rsidRDefault="00D5134A" w:rsidP="009B7D78">
            <w:pPr>
              <w:overflowPunct/>
              <w:spacing w:line="280" w:lineRule="exact"/>
              <w:ind w:right="87"/>
              <w:jc w:val="right"/>
              <w:textAlignment w:val="auto"/>
              <w:rPr>
                <w:rFonts w:ascii="Arial" w:hAnsi="Arial" w:cs="Arial"/>
                <w:sz w:val="20"/>
                <w:lang w:eastAsia="en-GB"/>
              </w:rPr>
            </w:pPr>
            <w:r w:rsidRPr="00E70587">
              <w:rPr>
                <w:rFonts w:ascii="Arial" w:hAnsi="Arial" w:cs="Arial"/>
                <w:sz w:val="20"/>
                <w:lang w:eastAsia="en-GB"/>
              </w:rPr>
              <w:t>(211)</w:t>
            </w:r>
          </w:p>
        </w:tc>
      </w:tr>
      <w:tr w:rsidR="00D5134A" w:rsidRPr="00E70587" w14:paraId="795D20C5" w14:textId="77777777" w:rsidTr="000A2ED4">
        <w:trPr>
          <w:trHeight w:val="20"/>
        </w:trPr>
        <w:tc>
          <w:tcPr>
            <w:tcW w:w="6237" w:type="dxa"/>
            <w:tcMar>
              <w:top w:w="28" w:type="dxa"/>
              <w:left w:w="108" w:type="dxa"/>
              <w:right w:w="108" w:type="dxa"/>
            </w:tcMar>
            <w:vAlign w:val="bottom"/>
          </w:tcPr>
          <w:p w14:paraId="52C696E3" w14:textId="77777777" w:rsidR="00D5134A" w:rsidRPr="00E70587" w:rsidRDefault="00D5134A" w:rsidP="009B7D78">
            <w:pPr>
              <w:pStyle w:val="tabletext"/>
              <w:spacing w:line="280" w:lineRule="exact"/>
              <w:rPr>
                <w:rFonts w:ascii="Arial" w:hAnsi="Arial" w:cs="Arial"/>
                <w:sz w:val="20"/>
                <w:lang w:val="en-IN"/>
              </w:rPr>
            </w:pPr>
            <w:r w:rsidRPr="00E70587">
              <w:rPr>
                <w:rFonts w:ascii="Arial" w:hAnsi="Arial" w:cs="Arial"/>
                <w:sz w:val="20"/>
                <w:lang w:val="en-IN"/>
              </w:rPr>
              <w:t>Asset revaluation surplus</w:t>
            </w:r>
          </w:p>
        </w:tc>
        <w:tc>
          <w:tcPr>
            <w:tcW w:w="1698" w:type="dxa"/>
            <w:tcBorders>
              <w:bottom w:val="nil"/>
            </w:tcBorders>
            <w:tcMar>
              <w:top w:w="28" w:type="dxa"/>
              <w:left w:w="108" w:type="dxa"/>
              <w:right w:w="0" w:type="dxa"/>
            </w:tcMar>
            <w:vAlign w:val="center"/>
          </w:tcPr>
          <w:p w14:paraId="27975BDB" w14:textId="77777777" w:rsidR="00D5134A" w:rsidRPr="00E70587" w:rsidRDefault="00D5134A" w:rsidP="009B7D78">
            <w:pPr>
              <w:overflowPunct/>
              <w:spacing w:line="280" w:lineRule="exact"/>
              <w:ind w:right="87"/>
              <w:jc w:val="right"/>
              <w:textAlignment w:val="auto"/>
              <w:rPr>
                <w:rFonts w:ascii="Arial" w:hAnsi="Arial" w:cs="Arial"/>
                <w:sz w:val="20"/>
                <w:lang w:eastAsia="en-GB"/>
              </w:rPr>
            </w:pPr>
            <w:r w:rsidRPr="00E70587">
              <w:rPr>
                <w:rFonts w:ascii="Arial" w:hAnsi="Arial" w:cs="Arial"/>
                <w:sz w:val="20"/>
                <w:lang w:eastAsia="en-GB"/>
              </w:rPr>
              <w:t>922</w:t>
            </w:r>
          </w:p>
        </w:tc>
        <w:tc>
          <w:tcPr>
            <w:tcW w:w="1698" w:type="dxa"/>
            <w:tcBorders>
              <w:bottom w:val="nil"/>
            </w:tcBorders>
          </w:tcPr>
          <w:p w14:paraId="74ABAEC8" w14:textId="77777777" w:rsidR="00D5134A" w:rsidRPr="00E70587" w:rsidRDefault="00D5134A" w:rsidP="009B7D78">
            <w:pPr>
              <w:overflowPunct/>
              <w:spacing w:line="280" w:lineRule="exact"/>
              <w:ind w:right="87"/>
              <w:jc w:val="right"/>
              <w:textAlignment w:val="auto"/>
              <w:rPr>
                <w:rFonts w:ascii="Arial" w:hAnsi="Arial" w:cs="Arial"/>
                <w:sz w:val="20"/>
                <w:lang w:eastAsia="en-GB"/>
              </w:rPr>
            </w:pPr>
            <w:r w:rsidRPr="00E70587">
              <w:rPr>
                <w:rFonts w:ascii="Arial" w:hAnsi="Arial" w:cs="Arial"/>
                <w:sz w:val="20"/>
                <w:lang w:eastAsia="en-GB"/>
              </w:rPr>
              <w:t>-</w:t>
            </w:r>
          </w:p>
        </w:tc>
      </w:tr>
      <w:tr w:rsidR="00D5134A" w:rsidRPr="00E70587" w14:paraId="3036A508" w14:textId="77777777" w:rsidTr="000A2ED4">
        <w:trPr>
          <w:trHeight w:val="20"/>
        </w:trPr>
        <w:tc>
          <w:tcPr>
            <w:tcW w:w="6237" w:type="dxa"/>
            <w:tcBorders>
              <w:bottom w:val="nil"/>
            </w:tcBorders>
            <w:tcMar>
              <w:top w:w="28" w:type="dxa"/>
              <w:left w:w="108" w:type="dxa"/>
              <w:right w:w="108" w:type="dxa"/>
            </w:tcMar>
            <w:vAlign w:val="bottom"/>
          </w:tcPr>
          <w:p w14:paraId="04BF17FC" w14:textId="77777777" w:rsidR="00D5134A" w:rsidRPr="00E70587" w:rsidRDefault="00D5134A" w:rsidP="009B7D78">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w:t>
            </w:r>
          </w:p>
        </w:tc>
        <w:tc>
          <w:tcPr>
            <w:tcW w:w="1698" w:type="dxa"/>
            <w:tcBorders>
              <w:top w:val="single" w:sz="4" w:space="0" w:color="auto"/>
              <w:bottom w:val="single" w:sz="4" w:space="0" w:color="auto"/>
            </w:tcBorders>
            <w:tcMar>
              <w:top w:w="28" w:type="dxa"/>
              <w:left w:w="108" w:type="dxa"/>
              <w:right w:w="108" w:type="dxa"/>
            </w:tcMar>
            <w:vAlign w:val="center"/>
          </w:tcPr>
          <w:p w14:paraId="3207E01C" w14:textId="77777777" w:rsidR="00D5134A" w:rsidRPr="00E70587" w:rsidRDefault="00D5134A" w:rsidP="00315CA4">
            <w:pPr>
              <w:pStyle w:val="tabletext"/>
              <w:overflowPunct w:val="0"/>
              <w:autoSpaceDE w:val="0"/>
              <w:autoSpaceDN w:val="0"/>
              <w:adjustRightInd w:val="0"/>
              <w:spacing w:line="280" w:lineRule="exact"/>
              <w:ind w:left="57" w:right="-3"/>
              <w:jc w:val="right"/>
              <w:textAlignment w:val="baseline"/>
              <w:rPr>
                <w:rFonts w:ascii="Arial" w:hAnsi="Arial" w:cs="Arial"/>
                <w:b/>
                <w:sz w:val="20"/>
                <w:lang w:val="en-IN"/>
              </w:rPr>
            </w:pPr>
            <w:r w:rsidRPr="00E70587">
              <w:rPr>
                <w:rFonts w:ascii="Arial" w:hAnsi="Arial" w:cs="Arial"/>
                <w:b/>
                <w:bCs/>
                <w:color w:val="000000"/>
                <w:sz w:val="20"/>
              </w:rPr>
              <w:t>2,</w:t>
            </w:r>
            <w:r w:rsidR="00315CA4" w:rsidRPr="00E70587">
              <w:rPr>
                <w:rFonts w:ascii="Arial" w:hAnsi="Arial" w:cs="Arial"/>
                <w:b/>
                <w:bCs/>
                <w:color w:val="000000"/>
                <w:sz w:val="20"/>
              </w:rPr>
              <w:t>493</w:t>
            </w:r>
          </w:p>
        </w:tc>
        <w:tc>
          <w:tcPr>
            <w:tcW w:w="1698" w:type="dxa"/>
            <w:tcBorders>
              <w:top w:val="single" w:sz="4" w:space="0" w:color="auto"/>
              <w:bottom w:val="single" w:sz="4" w:space="0" w:color="auto"/>
            </w:tcBorders>
            <w:vAlign w:val="center"/>
          </w:tcPr>
          <w:p w14:paraId="732D6989" w14:textId="77777777" w:rsidR="00D5134A" w:rsidRPr="00E70587" w:rsidRDefault="00D5134A" w:rsidP="009B7D78">
            <w:pPr>
              <w:pStyle w:val="tabletext"/>
              <w:overflowPunct w:val="0"/>
              <w:autoSpaceDE w:val="0"/>
              <w:autoSpaceDN w:val="0"/>
              <w:adjustRightInd w:val="0"/>
              <w:spacing w:line="280" w:lineRule="exact"/>
              <w:ind w:left="57" w:right="-3"/>
              <w:jc w:val="right"/>
              <w:textAlignment w:val="baseline"/>
              <w:rPr>
                <w:rFonts w:ascii="Arial" w:hAnsi="Arial" w:cs="Arial"/>
                <w:b/>
                <w:sz w:val="20"/>
                <w:lang w:val="en-IN"/>
              </w:rPr>
            </w:pPr>
            <w:r w:rsidRPr="00E70587">
              <w:rPr>
                <w:rFonts w:ascii="Arial" w:hAnsi="Arial" w:cs="Arial"/>
                <w:b/>
                <w:bCs/>
                <w:color w:val="000000"/>
                <w:sz w:val="20"/>
              </w:rPr>
              <w:t>2,476</w:t>
            </w:r>
          </w:p>
        </w:tc>
      </w:tr>
    </w:tbl>
    <w:p w14:paraId="3B65EBEA" w14:textId="77777777" w:rsidR="009B7D78" w:rsidRPr="00E70587" w:rsidRDefault="009B7D78" w:rsidP="00F10D51">
      <w:pPr>
        <w:pStyle w:val="Notesbodytext"/>
        <w:spacing w:after="0" w:line="280" w:lineRule="exact"/>
        <w:jc w:val="both"/>
        <w:rPr>
          <w:rFonts w:ascii="Arial" w:hAnsi="Arial"/>
          <w:color w:val="auto"/>
          <w:sz w:val="20"/>
        </w:rPr>
      </w:pPr>
    </w:p>
    <w:p w14:paraId="501838D6" w14:textId="77777777" w:rsidR="000535EA" w:rsidRPr="00E70587" w:rsidRDefault="006868AD" w:rsidP="009901E1">
      <w:pPr>
        <w:spacing w:line="280" w:lineRule="exact"/>
        <w:rPr>
          <w:rFonts w:ascii="Arial" w:hAnsi="Arial" w:cs="Arial"/>
          <w:sz w:val="20"/>
        </w:rPr>
      </w:pPr>
      <w:r w:rsidRPr="00E70587">
        <w:rPr>
          <w:rFonts w:ascii="Arial" w:hAnsi="Arial" w:cs="Arial"/>
          <w:sz w:val="20"/>
        </w:rPr>
        <w:t>The disaggregation of changes in OCI by each type of reserves in equity is disclosed in note 32.</w:t>
      </w:r>
    </w:p>
    <w:p w14:paraId="4C4958DC" w14:textId="77777777" w:rsidR="006868AD" w:rsidRDefault="006868AD" w:rsidP="00D403B9">
      <w:pPr>
        <w:pStyle w:val="ViralheadingL2"/>
        <w:keepNext w:val="0"/>
        <w:spacing w:before="0" w:after="0" w:line="280" w:lineRule="exact"/>
        <w:outlineLvl w:val="9"/>
        <w:rPr>
          <w:rFonts w:ascii="Arial" w:hAnsi="Arial" w:cs="Arial"/>
          <w:sz w:val="20"/>
        </w:rPr>
      </w:pPr>
    </w:p>
    <w:p w14:paraId="649F2CBD" w14:textId="473462B4" w:rsidR="00D403B9" w:rsidRPr="00C55B89" w:rsidRDefault="00D403B9" w:rsidP="00D403B9">
      <w:pPr>
        <w:pStyle w:val="Heading1"/>
        <w:numPr>
          <w:ilvl w:val="0"/>
          <w:numId w:val="0"/>
        </w:numPr>
        <w:spacing w:before="60" w:line="240" w:lineRule="atLeast"/>
        <w:ind w:left="425" w:hanging="425"/>
        <w:rPr>
          <w:rFonts w:ascii="Arial" w:hAnsi="Arial"/>
          <w:color w:val="auto"/>
          <w:sz w:val="20"/>
        </w:rPr>
      </w:pPr>
      <w:bookmarkStart w:id="7" w:name="_Toc528249502"/>
      <w:bookmarkEnd w:id="6"/>
      <w:r w:rsidRPr="00C55B89">
        <w:rPr>
          <w:rFonts w:ascii="Arial" w:hAnsi="Arial"/>
          <w:color w:val="auto"/>
          <w:sz w:val="20"/>
        </w:rPr>
        <w:t>Nature and purpose of reserves</w:t>
      </w:r>
      <w:bookmarkEnd w:id="7"/>
    </w:p>
    <w:tbl>
      <w:tblPr>
        <w:tblW w:w="0" w:type="auto"/>
        <w:tblCellMar>
          <w:left w:w="0" w:type="dxa"/>
          <w:right w:w="0" w:type="dxa"/>
        </w:tblCellMar>
        <w:tblLook w:val="04A0" w:firstRow="1" w:lastRow="0" w:firstColumn="1" w:lastColumn="0" w:noHBand="0" w:noVBand="1"/>
      </w:tblPr>
      <w:tblGrid>
        <w:gridCol w:w="9218"/>
      </w:tblGrid>
      <w:tr w:rsidR="00C55B89" w:rsidRPr="00C55B89" w14:paraId="7090AB75" w14:textId="77777777" w:rsidTr="006535F4">
        <w:trPr>
          <w:trHeight w:val="316"/>
        </w:trPr>
        <w:tc>
          <w:tcPr>
            <w:tcW w:w="9218" w:type="dxa"/>
            <w:hideMark/>
          </w:tcPr>
          <w:p w14:paraId="49843922" w14:textId="3D3DE6DE" w:rsidR="00D403B9" w:rsidRPr="00C55B89" w:rsidRDefault="00D403B9" w:rsidP="00E466DD">
            <w:pPr>
              <w:pStyle w:val="Heading1"/>
              <w:numPr>
                <w:ilvl w:val="1"/>
                <w:numId w:val="43"/>
              </w:numPr>
              <w:spacing w:before="60" w:line="240" w:lineRule="atLeast"/>
              <w:rPr>
                <w:rFonts w:ascii="Arial" w:hAnsi="Arial"/>
                <w:color w:val="auto"/>
                <w:sz w:val="20"/>
              </w:rPr>
            </w:pPr>
            <w:bookmarkStart w:id="8" w:name="_Toc526364170"/>
            <w:bookmarkStart w:id="9" w:name="_Toc528249503"/>
            <w:r w:rsidRPr="00C55B89">
              <w:rPr>
                <w:rFonts w:ascii="Arial" w:hAnsi="Arial"/>
                <w:color w:val="auto"/>
                <w:sz w:val="20"/>
              </w:rPr>
              <w:t>Securities premium</w:t>
            </w:r>
            <w:bookmarkEnd w:id="8"/>
            <w:bookmarkEnd w:id="9"/>
          </w:p>
        </w:tc>
      </w:tr>
      <w:tr w:rsidR="00C55B89" w:rsidRPr="00C55B89" w14:paraId="43139330" w14:textId="77777777" w:rsidTr="006535F4">
        <w:trPr>
          <w:trHeight w:val="510"/>
        </w:trPr>
        <w:tc>
          <w:tcPr>
            <w:tcW w:w="9218" w:type="dxa"/>
            <w:hideMark/>
          </w:tcPr>
          <w:p w14:paraId="790EAD19" w14:textId="3280A5CC" w:rsidR="00D403B9" w:rsidRPr="00C55B89" w:rsidRDefault="00D403B9" w:rsidP="006535F4">
            <w:pPr>
              <w:pStyle w:val="TableParagraph"/>
              <w:spacing w:after="120" w:line="240" w:lineRule="atLeast"/>
              <w:ind w:right="187"/>
              <w:rPr>
                <w:rFonts w:ascii="Arial" w:eastAsia="Times New Roman" w:hAnsi="Arial" w:cs="Arial"/>
                <w:sz w:val="20"/>
                <w:szCs w:val="20"/>
              </w:rPr>
            </w:pPr>
            <w:r w:rsidRPr="00C55B89">
              <w:rPr>
                <w:rFonts w:ascii="Arial" w:eastAsia="Times New Roman" w:hAnsi="Arial" w:cs="Arial"/>
                <w:sz w:val="20"/>
                <w:szCs w:val="20"/>
              </w:rPr>
              <w:t>Securities premium is used to record the premium on issue of shares. The reserve can be utilised only for limited purposes such as issuance of bonus shares in accordance with the provisions of the Companies Act, 2013.</w:t>
            </w:r>
          </w:p>
        </w:tc>
      </w:tr>
      <w:tr w:rsidR="00C55B89" w:rsidRPr="00C55B89" w14:paraId="72B45920" w14:textId="77777777" w:rsidTr="006535F4">
        <w:trPr>
          <w:trHeight w:val="1112"/>
        </w:trPr>
        <w:tc>
          <w:tcPr>
            <w:tcW w:w="9218" w:type="dxa"/>
            <w:hideMark/>
          </w:tcPr>
          <w:p w14:paraId="6102830F" w14:textId="24F9C6FD" w:rsidR="00D403B9" w:rsidRPr="00C55B89" w:rsidRDefault="00F93617" w:rsidP="00E466DD">
            <w:pPr>
              <w:pStyle w:val="Heading1"/>
              <w:numPr>
                <w:ilvl w:val="1"/>
                <w:numId w:val="43"/>
              </w:numPr>
              <w:rPr>
                <w:rFonts w:ascii="Arial" w:hAnsi="Arial"/>
                <w:color w:val="auto"/>
                <w:sz w:val="20"/>
              </w:rPr>
            </w:pPr>
            <w:bookmarkStart w:id="10" w:name="_Toc526364171"/>
            <w:bookmarkStart w:id="11" w:name="_Toc528249504"/>
            <w:r>
              <w:rPr>
                <w:rFonts w:ascii="Arial" w:hAnsi="Arial"/>
                <w:color w:val="auto"/>
                <w:sz w:val="20"/>
              </w:rPr>
              <w:t>E</w:t>
            </w:r>
            <w:r w:rsidR="00D403B9" w:rsidRPr="00C55B89">
              <w:rPr>
                <w:rFonts w:ascii="Arial" w:hAnsi="Arial"/>
                <w:color w:val="auto"/>
                <w:sz w:val="20"/>
              </w:rPr>
              <w:t>quity in</w:t>
            </w:r>
            <w:bookmarkEnd w:id="10"/>
            <w:bookmarkEnd w:id="11"/>
            <w:r>
              <w:rPr>
                <w:rFonts w:ascii="Arial" w:hAnsi="Arial"/>
                <w:color w:val="auto"/>
                <w:sz w:val="20"/>
              </w:rPr>
              <w:t>struments through Other comprehensive income</w:t>
            </w:r>
          </w:p>
          <w:p w14:paraId="386AC27F" w14:textId="6F038C55" w:rsidR="00D403B9" w:rsidRPr="00C55B89" w:rsidRDefault="00D403B9" w:rsidP="006535F4">
            <w:pPr>
              <w:pStyle w:val="TableParagraph"/>
              <w:spacing w:after="120" w:line="240" w:lineRule="atLeast"/>
              <w:ind w:right="187"/>
              <w:rPr>
                <w:rFonts w:ascii="Arial" w:eastAsia="Times New Roman" w:hAnsi="Arial" w:cs="Arial"/>
                <w:sz w:val="20"/>
                <w:szCs w:val="20"/>
              </w:rPr>
            </w:pPr>
            <w:r w:rsidRPr="00C55B89">
              <w:rPr>
                <w:rFonts w:ascii="Arial" w:eastAsia="Times New Roman" w:hAnsi="Arial" w:cs="Arial"/>
                <w:sz w:val="20"/>
                <w:szCs w:val="20"/>
              </w:rPr>
              <w:t>The Group has elected to recognise changes in the fair value of certain investments in equity securities in other comprehensive income. These changes are accumulated within the FV</w:t>
            </w:r>
            <w:r w:rsidR="00F57FC4" w:rsidRPr="00C55B89">
              <w:rPr>
                <w:rFonts w:ascii="Arial" w:eastAsia="Times New Roman" w:hAnsi="Arial" w:cs="Arial"/>
                <w:sz w:val="20"/>
                <w:szCs w:val="20"/>
              </w:rPr>
              <w:t>T</w:t>
            </w:r>
            <w:r w:rsidRPr="00C55B89">
              <w:rPr>
                <w:rFonts w:ascii="Arial" w:eastAsia="Times New Roman" w:hAnsi="Arial" w:cs="Arial"/>
                <w:sz w:val="20"/>
                <w:szCs w:val="20"/>
              </w:rPr>
              <w:t>OCI equity investments reserve within equity. The Group transfers amounts from this reserve to retained earnings when the relevant equity securities are derecognised.</w:t>
            </w:r>
          </w:p>
        </w:tc>
      </w:tr>
      <w:tr w:rsidR="00C55B89" w:rsidRPr="00C55B89" w14:paraId="05486FC8" w14:textId="77777777" w:rsidTr="006535F4">
        <w:trPr>
          <w:trHeight w:val="1112"/>
        </w:trPr>
        <w:tc>
          <w:tcPr>
            <w:tcW w:w="9218" w:type="dxa"/>
          </w:tcPr>
          <w:p w14:paraId="0BCC1C69" w14:textId="1C6E4D3B" w:rsidR="00D403B9" w:rsidRPr="00F93617" w:rsidRDefault="00F93617" w:rsidP="00F93617">
            <w:pPr>
              <w:pStyle w:val="Heading1"/>
              <w:numPr>
                <w:ilvl w:val="1"/>
                <w:numId w:val="43"/>
              </w:numPr>
              <w:rPr>
                <w:rFonts w:ascii="Arial" w:hAnsi="Arial"/>
                <w:color w:val="auto"/>
                <w:sz w:val="20"/>
              </w:rPr>
            </w:pPr>
            <w:bookmarkStart w:id="12" w:name="_Toc526364172"/>
            <w:r>
              <w:rPr>
                <w:rFonts w:ascii="Arial" w:hAnsi="Arial"/>
                <w:color w:val="auto"/>
                <w:sz w:val="20"/>
              </w:rPr>
              <w:t>D</w:t>
            </w:r>
            <w:r w:rsidR="00D403B9" w:rsidRPr="00C55B89">
              <w:rPr>
                <w:rFonts w:ascii="Arial" w:hAnsi="Arial"/>
                <w:color w:val="auto"/>
                <w:sz w:val="20"/>
              </w:rPr>
              <w:t xml:space="preserve">ebt </w:t>
            </w:r>
            <w:r w:rsidRPr="00C55B89">
              <w:rPr>
                <w:rFonts w:ascii="Arial" w:hAnsi="Arial"/>
                <w:color w:val="auto"/>
                <w:sz w:val="20"/>
              </w:rPr>
              <w:t>in</w:t>
            </w:r>
            <w:r>
              <w:rPr>
                <w:rFonts w:ascii="Arial" w:hAnsi="Arial"/>
                <w:color w:val="auto"/>
                <w:sz w:val="20"/>
              </w:rPr>
              <w:t>struments</w:t>
            </w:r>
            <w:r w:rsidRPr="00C55B89" w:rsidDel="00F93617">
              <w:rPr>
                <w:rFonts w:ascii="Arial" w:hAnsi="Arial"/>
                <w:color w:val="auto"/>
                <w:sz w:val="20"/>
              </w:rPr>
              <w:t xml:space="preserve"> </w:t>
            </w:r>
            <w:bookmarkEnd w:id="12"/>
            <w:r>
              <w:rPr>
                <w:rFonts w:ascii="Arial" w:hAnsi="Arial"/>
                <w:color w:val="auto"/>
                <w:sz w:val="20"/>
              </w:rPr>
              <w:t>through Other comprehensive income</w:t>
            </w:r>
          </w:p>
          <w:p w14:paraId="306A9E52" w14:textId="77777777" w:rsidR="00D403B9" w:rsidRPr="00C55B89" w:rsidRDefault="00D403B9" w:rsidP="006535F4">
            <w:pPr>
              <w:pStyle w:val="TableParagraph"/>
              <w:spacing w:after="120" w:line="240" w:lineRule="atLeast"/>
              <w:ind w:right="187"/>
              <w:rPr>
                <w:rFonts w:ascii="Arial" w:eastAsia="Times New Roman" w:hAnsi="Arial" w:cs="Arial"/>
                <w:b/>
                <w:sz w:val="20"/>
                <w:szCs w:val="20"/>
              </w:rPr>
            </w:pPr>
            <w:r w:rsidRPr="00C55B89">
              <w:rPr>
                <w:rFonts w:ascii="Arial" w:eastAsia="Times New Roman" w:hAnsi="Arial" w:cs="Arial"/>
                <w:sz w:val="20"/>
                <w:szCs w:val="20"/>
              </w:rPr>
              <w:t>The Group recognises changes in the fair value of debt instruments held with business objective of collect and sell in other comprehensive income. These changes are accumulated within the FVOCI debt investments reserve within equity. The Group transfers amounts from this reserve to the statement of profit and loss when the debt instrument is sold. Any impairment loss on such instruments is reclassified immediately to the statement of profit and loss.</w:t>
            </w:r>
          </w:p>
        </w:tc>
      </w:tr>
      <w:tr w:rsidR="00C55B89" w:rsidRPr="00C55B89" w14:paraId="25F89DCB" w14:textId="77777777" w:rsidTr="006535F4">
        <w:trPr>
          <w:trHeight w:val="2200"/>
        </w:trPr>
        <w:tc>
          <w:tcPr>
            <w:tcW w:w="9218" w:type="dxa"/>
            <w:hideMark/>
          </w:tcPr>
          <w:p w14:paraId="46F503C7" w14:textId="757DFAB5" w:rsidR="00D403B9" w:rsidRPr="00C55B89" w:rsidRDefault="00A24547" w:rsidP="00E466DD">
            <w:pPr>
              <w:pStyle w:val="EYnumlevel2"/>
              <w:numPr>
                <w:ilvl w:val="1"/>
                <w:numId w:val="43"/>
              </w:numPr>
              <w:spacing w:before="0"/>
              <w:rPr>
                <w:rFonts w:ascii="Arial" w:hAnsi="Arial" w:cs="Arial"/>
                <w:color w:val="auto"/>
                <w:sz w:val="20"/>
                <w:szCs w:val="20"/>
              </w:rPr>
            </w:pPr>
            <w:bookmarkStart w:id="13" w:name="_Toc526364173"/>
            <w:r>
              <w:rPr>
                <w:rFonts w:ascii="Arial" w:hAnsi="Arial" w:cs="Arial"/>
                <w:color w:val="auto"/>
                <w:sz w:val="20"/>
                <w:szCs w:val="20"/>
              </w:rPr>
              <w:t>Effective portion of c</w:t>
            </w:r>
            <w:r w:rsidR="00D403B9" w:rsidRPr="00C55B89">
              <w:rPr>
                <w:rFonts w:ascii="Arial" w:hAnsi="Arial" w:cs="Arial"/>
                <w:color w:val="auto"/>
                <w:sz w:val="20"/>
                <w:szCs w:val="20"/>
              </w:rPr>
              <w:t>ash flow hedg</w:t>
            </w:r>
            <w:r>
              <w:rPr>
                <w:rFonts w:ascii="Arial" w:hAnsi="Arial" w:cs="Arial"/>
                <w:color w:val="auto"/>
                <w:sz w:val="20"/>
                <w:szCs w:val="20"/>
              </w:rPr>
              <w:t>es</w:t>
            </w:r>
            <w:bookmarkEnd w:id="13"/>
          </w:p>
          <w:p w14:paraId="409EC501" w14:textId="0ACE33A2" w:rsidR="00434A18" w:rsidRPr="00C55B89" w:rsidRDefault="00D403B9" w:rsidP="006535F4">
            <w:pPr>
              <w:pStyle w:val="TableParagraph"/>
              <w:spacing w:after="200" w:line="240" w:lineRule="atLeast"/>
              <w:ind w:right="187"/>
              <w:rPr>
                <w:rFonts w:ascii="Arial" w:eastAsia="Times New Roman" w:hAnsi="Arial" w:cs="Arial"/>
                <w:sz w:val="20"/>
                <w:szCs w:val="20"/>
              </w:rPr>
            </w:pPr>
            <w:r w:rsidRPr="00C55B89">
              <w:rPr>
                <w:rFonts w:ascii="Arial" w:eastAsia="Times New Roman" w:hAnsi="Arial" w:cs="Arial"/>
                <w:sz w:val="20"/>
                <w:szCs w:val="20"/>
              </w:rPr>
              <w:t xml:space="preserve">The Group uses hedging instruments as part of its management of foreign currency risk and interest rate risk associated on borrowings. For hedging foreign currency and interest rate risk, the Group uses foreign currency forward contracts, cross currency swaps, foreign currency option contracts and interest rate swaps. To the extent these hedges are effective, the change in fair value of the hedging instrument is recognised in the cash flow hedging reserve. Amounts recognised in the cash flow hedging reserve is reclassified to the statement of profit </w:t>
            </w:r>
            <w:r w:rsidR="00F57FC4" w:rsidRPr="00C55B89">
              <w:rPr>
                <w:rFonts w:ascii="Arial" w:eastAsia="Times New Roman" w:hAnsi="Arial" w:cs="Arial"/>
                <w:sz w:val="20"/>
                <w:szCs w:val="20"/>
              </w:rPr>
              <w:t>and</w:t>
            </w:r>
            <w:r w:rsidRPr="00C55B89">
              <w:rPr>
                <w:rFonts w:ascii="Arial" w:eastAsia="Times New Roman" w:hAnsi="Arial" w:cs="Arial"/>
                <w:sz w:val="20"/>
                <w:szCs w:val="20"/>
              </w:rPr>
              <w:t xml:space="preserve"> loss when the hedged item affects profit or loss (</w:t>
            </w:r>
            <w:proofErr w:type="gramStart"/>
            <w:r w:rsidRPr="00C55B89">
              <w:rPr>
                <w:rFonts w:ascii="Arial" w:eastAsia="Times New Roman" w:hAnsi="Arial" w:cs="Arial"/>
                <w:sz w:val="20"/>
                <w:szCs w:val="20"/>
              </w:rPr>
              <w:t>e.g.</w:t>
            </w:r>
            <w:proofErr w:type="gramEnd"/>
            <w:r w:rsidRPr="00C55B89">
              <w:rPr>
                <w:rFonts w:ascii="Arial" w:eastAsia="Times New Roman" w:hAnsi="Arial" w:cs="Arial"/>
                <w:sz w:val="20"/>
                <w:szCs w:val="20"/>
              </w:rPr>
              <w:t xml:space="preserve"> interest payments). </w:t>
            </w:r>
          </w:p>
        </w:tc>
      </w:tr>
      <w:tr w:rsidR="00C55B89" w:rsidRPr="00C55B89" w14:paraId="7CB59045" w14:textId="77777777" w:rsidTr="006535F4">
        <w:trPr>
          <w:trHeight w:val="312"/>
        </w:trPr>
        <w:tc>
          <w:tcPr>
            <w:tcW w:w="9218" w:type="dxa"/>
            <w:hideMark/>
          </w:tcPr>
          <w:p w14:paraId="4B897512" w14:textId="380B1DDC" w:rsidR="00434A18" w:rsidRDefault="00434A18" w:rsidP="00E466DD">
            <w:pPr>
              <w:pStyle w:val="EYnumlevel2"/>
              <w:numPr>
                <w:ilvl w:val="1"/>
                <w:numId w:val="43"/>
              </w:numPr>
              <w:rPr>
                <w:rFonts w:ascii="Arial" w:hAnsi="Arial" w:cs="Arial"/>
                <w:color w:val="auto"/>
                <w:sz w:val="20"/>
                <w:szCs w:val="20"/>
              </w:rPr>
            </w:pPr>
            <w:bookmarkStart w:id="14" w:name="_Toc526364175"/>
            <w:r>
              <w:rPr>
                <w:rFonts w:ascii="Arial" w:hAnsi="Arial" w:cs="Arial"/>
                <w:color w:val="auto"/>
                <w:sz w:val="20"/>
                <w:szCs w:val="20"/>
              </w:rPr>
              <w:t>Cost of cash flow hedges</w:t>
            </w:r>
          </w:p>
          <w:p w14:paraId="109E2615" w14:textId="77777777" w:rsidR="002B3DCD" w:rsidRPr="002B3DCD" w:rsidRDefault="002B3DCD" w:rsidP="002B3DCD">
            <w:pPr>
              <w:pStyle w:val="TableParagraph"/>
              <w:spacing w:after="120" w:line="240" w:lineRule="atLeast"/>
              <w:ind w:right="187"/>
              <w:rPr>
                <w:rFonts w:ascii="Arial" w:eastAsia="Times New Roman" w:hAnsi="Arial" w:cs="Arial"/>
                <w:sz w:val="20"/>
                <w:szCs w:val="20"/>
              </w:rPr>
            </w:pPr>
            <w:r w:rsidRPr="002B3DCD">
              <w:rPr>
                <w:rFonts w:ascii="Arial" w:eastAsia="Times New Roman" w:hAnsi="Arial" w:cs="Arial"/>
                <w:sz w:val="20"/>
                <w:szCs w:val="20"/>
              </w:rPr>
              <w:t xml:space="preserve">The Group designates the spot component of foreign currency forward contracts and the intrinsic value of foreign currency option contracts as hedging instruments in cash flow hedge relationships. Such amount is recognised in OCI and amortised to the statement of profit and loss on a rational basis. </w:t>
            </w:r>
          </w:p>
          <w:p w14:paraId="1D85616F" w14:textId="1E27B245" w:rsidR="002B3DCD" w:rsidRPr="002B3DCD" w:rsidRDefault="002B3DCD" w:rsidP="002B3DCD">
            <w:pPr>
              <w:pStyle w:val="EYnumlevel2"/>
              <w:numPr>
                <w:ilvl w:val="0"/>
                <w:numId w:val="0"/>
              </w:numPr>
              <w:rPr>
                <w:rFonts w:ascii="Arial" w:hAnsi="Arial" w:cs="Arial"/>
                <w:b w:val="0"/>
                <w:color w:val="auto"/>
                <w:sz w:val="20"/>
                <w:szCs w:val="20"/>
                <w:lang w:val="en-IN"/>
              </w:rPr>
            </w:pPr>
            <w:r w:rsidRPr="002B3DCD">
              <w:rPr>
                <w:rFonts w:ascii="Arial" w:hAnsi="Arial" w:cs="Arial"/>
                <w:b w:val="0"/>
                <w:color w:val="auto"/>
                <w:sz w:val="20"/>
                <w:szCs w:val="20"/>
                <w:lang w:val="en-IN"/>
              </w:rPr>
              <w:lastRenderedPageBreak/>
              <w:t>The Group also excludes from the designation the foreign currency basis spread element of the swap, which is recognised in OCI and amortised to statement of profit and loss on a rational basis.</w:t>
            </w:r>
          </w:p>
          <w:p w14:paraId="3253EBCD" w14:textId="77777777" w:rsidR="002B3DCD" w:rsidRDefault="002B3DCD" w:rsidP="002B3DCD">
            <w:pPr>
              <w:pStyle w:val="EYnumlevel2"/>
              <w:numPr>
                <w:ilvl w:val="0"/>
                <w:numId w:val="0"/>
              </w:numPr>
              <w:rPr>
                <w:rFonts w:ascii="Arial" w:hAnsi="Arial" w:cs="Arial"/>
                <w:color w:val="auto"/>
                <w:sz w:val="20"/>
                <w:szCs w:val="20"/>
              </w:rPr>
            </w:pPr>
          </w:p>
          <w:p w14:paraId="77907A6D" w14:textId="32F71265" w:rsidR="00D403B9" w:rsidRPr="00C55B89" w:rsidRDefault="00D403B9" w:rsidP="00E466DD">
            <w:pPr>
              <w:pStyle w:val="EYnumlevel2"/>
              <w:numPr>
                <w:ilvl w:val="1"/>
                <w:numId w:val="43"/>
              </w:numPr>
              <w:rPr>
                <w:rFonts w:ascii="Arial" w:hAnsi="Arial" w:cs="Arial"/>
                <w:color w:val="auto"/>
                <w:sz w:val="20"/>
                <w:szCs w:val="20"/>
              </w:rPr>
            </w:pPr>
            <w:r w:rsidRPr="00C55B89">
              <w:rPr>
                <w:rFonts w:ascii="Arial" w:hAnsi="Arial" w:cs="Arial"/>
                <w:color w:val="auto"/>
                <w:sz w:val="20"/>
                <w:szCs w:val="20"/>
              </w:rPr>
              <w:t>Debenture redemption reserve</w:t>
            </w:r>
            <w:bookmarkEnd w:id="14"/>
          </w:p>
        </w:tc>
      </w:tr>
      <w:tr w:rsidR="00C55B89" w:rsidRPr="00C55B89" w14:paraId="4DEFA41C" w14:textId="77777777" w:rsidTr="006535F4">
        <w:trPr>
          <w:trHeight w:val="403"/>
        </w:trPr>
        <w:tc>
          <w:tcPr>
            <w:tcW w:w="9218" w:type="dxa"/>
            <w:hideMark/>
          </w:tcPr>
          <w:p w14:paraId="5C6C9DD4" w14:textId="5686F823" w:rsidR="00BB29EA" w:rsidRPr="00C55B89" w:rsidRDefault="00D403B9" w:rsidP="006535F4">
            <w:pPr>
              <w:pStyle w:val="TableParagraph"/>
              <w:spacing w:after="200" w:line="240" w:lineRule="atLeast"/>
              <w:ind w:right="187"/>
              <w:rPr>
                <w:rFonts w:ascii="Arial" w:eastAsia="Times New Roman" w:hAnsi="Arial" w:cs="Arial"/>
                <w:sz w:val="20"/>
                <w:szCs w:val="20"/>
              </w:rPr>
            </w:pPr>
            <w:r w:rsidRPr="00C55B89">
              <w:rPr>
                <w:rFonts w:ascii="Arial" w:eastAsia="Times New Roman" w:hAnsi="Arial" w:cs="Arial"/>
                <w:sz w:val="20"/>
                <w:szCs w:val="20"/>
              </w:rPr>
              <w:lastRenderedPageBreak/>
              <w:t>The Group has issued redeemable non-convertible debentures. Accordingly, the Companies (Share capital and Debentures) Rules, 2014 (as amended), require the company to create DRR out of profits of the company available for payment of dividend. DRR is required to be created for an amount which is equal to 25% of the value of debentures issued. Though the DRR is required to be created over the life of debentures, the Group has upfront created DRR out of retained earnings for an amount which is higher than the minimum required (31 March 20</w:t>
            </w:r>
            <w:r w:rsidR="00D45439" w:rsidRPr="00C55B89">
              <w:rPr>
                <w:rFonts w:ascii="Arial" w:eastAsia="Times New Roman" w:hAnsi="Arial" w:cs="Arial"/>
                <w:sz w:val="20"/>
                <w:szCs w:val="20"/>
              </w:rPr>
              <w:t>21</w:t>
            </w:r>
            <w:r w:rsidRPr="00C55B89">
              <w:rPr>
                <w:rFonts w:ascii="Arial" w:eastAsia="Times New Roman" w:hAnsi="Arial" w:cs="Arial"/>
                <w:sz w:val="20"/>
                <w:szCs w:val="20"/>
              </w:rPr>
              <w:t>: 26.72% and 31 March 20</w:t>
            </w:r>
            <w:r w:rsidR="00D45439" w:rsidRPr="00C55B89">
              <w:rPr>
                <w:rFonts w:ascii="Arial" w:eastAsia="Times New Roman" w:hAnsi="Arial" w:cs="Arial"/>
                <w:sz w:val="20"/>
                <w:szCs w:val="20"/>
              </w:rPr>
              <w:t>20</w:t>
            </w:r>
            <w:r w:rsidRPr="00C55B89">
              <w:rPr>
                <w:rFonts w:ascii="Arial" w:eastAsia="Times New Roman" w:hAnsi="Arial" w:cs="Arial"/>
                <w:sz w:val="20"/>
                <w:szCs w:val="20"/>
              </w:rPr>
              <w:t>: 26.72%).</w:t>
            </w:r>
          </w:p>
        </w:tc>
      </w:tr>
      <w:tr w:rsidR="00C55B89" w:rsidRPr="00C55B89" w14:paraId="0F97F0D1" w14:textId="77777777" w:rsidTr="006535F4">
        <w:trPr>
          <w:trHeight w:val="403"/>
        </w:trPr>
        <w:tc>
          <w:tcPr>
            <w:tcW w:w="9218" w:type="dxa"/>
          </w:tcPr>
          <w:p w14:paraId="7D7794B1" w14:textId="77777777" w:rsidR="00D403B9" w:rsidRPr="00C55B89" w:rsidRDefault="00D403B9" w:rsidP="00E466DD">
            <w:pPr>
              <w:pStyle w:val="EYnumlevel2"/>
              <w:numPr>
                <w:ilvl w:val="1"/>
                <w:numId w:val="43"/>
              </w:numPr>
              <w:rPr>
                <w:rFonts w:ascii="Arial" w:hAnsi="Arial" w:cs="Arial"/>
                <w:color w:val="auto"/>
                <w:sz w:val="20"/>
                <w:szCs w:val="20"/>
              </w:rPr>
            </w:pPr>
            <w:bookmarkStart w:id="15" w:name="_Toc526364176"/>
            <w:r w:rsidRPr="00C55B89">
              <w:rPr>
                <w:rFonts w:ascii="Arial" w:hAnsi="Arial" w:cs="Arial"/>
                <w:color w:val="auto"/>
                <w:sz w:val="20"/>
                <w:szCs w:val="20"/>
              </w:rPr>
              <w:t>General reserve</w:t>
            </w:r>
            <w:bookmarkEnd w:id="15"/>
          </w:p>
          <w:p w14:paraId="6F90584A" w14:textId="77777777" w:rsidR="00D403B9" w:rsidRPr="00C55B89" w:rsidRDefault="00D403B9" w:rsidP="006535F4">
            <w:pPr>
              <w:pStyle w:val="TableParagraph"/>
              <w:spacing w:after="200" w:line="240" w:lineRule="atLeast"/>
              <w:ind w:right="187"/>
              <w:rPr>
                <w:rFonts w:ascii="Arial" w:eastAsia="Times New Roman" w:hAnsi="Arial" w:cs="Arial"/>
                <w:sz w:val="20"/>
                <w:szCs w:val="20"/>
              </w:rPr>
            </w:pPr>
            <w:r w:rsidRPr="00C55B89">
              <w:rPr>
                <w:rFonts w:ascii="Arial" w:eastAsia="Times New Roman" w:hAnsi="Arial" w:cs="Arial"/>
                <w:sz w:val="20"/>
                <w:szCs w:val="20"/>
              </w:rPr>
              <w:t>Under the erstwhile Companies Act 1956, general reserve was created through an annual transfer of net income at a specified percentage in accordance with applicable regulations. The purpose of these transfers was to ensure that if a dividend distribution in a given year is more than 10% of the paid-up capital of the Company for that year, then the total dividend distribution is less than the total distributable results for that year. Consequent to introduction of Companies Act 2013, the requirement to mandatorily transfer a specified percentage of the net profit to general reserve has been withdrawn. However, the amount previously transferred to the general reserve can be utilised only in accordance with the specific requirements of Companies Act, 2013.</w:t>
            </w:r>
          </w:p>
        </w:tc>
      </w:tr>
      <w:tr w:rsidR="00C55B89" w:rsidRPr="00C55B89" w14:paraId="20E88F01" w14:textId="77777777" w:rsidTr="006535F4">
        <w:trPr>
          <w:trHeight w:val="403"/>
        </w:trPr>
        <w:tc>
          <w:tcPr>
            <w:tcW w:w="9218" w:type="dxa"/>
          </w:tcPr>
          <w:p w14:paraId="52FE44FC" w14:textId="41D20D66" w:rsidR="00D403B9" w:rsidRPr="00C55B89" w:rsidRDefault="00635319" w:rsidP="00E466DD">
            <w:pPr>
              <w:pStyle w:val="EYnumlevel2"/>
              <w:numPr>
                <w:ilvl w:val="1"/>
                <w:numId w:val="43"/>
              </w:numPr>
              <w:rPr>
                <w:rFonts w:ascii="Arial" w:hAnsi="Arial" w:cs="Arial"/>
                <w:color w:val="auto"/>
                <w:sz w:val="20"/>
                <w:szCs w:val="20"/>
              </w:rPr>
            </w:pPr>
            <w:r w:rsidRPr="00635319">
              <w:rPr>
                <w:rFonts w:ascii="Arial" w:hAnsi="Arial" w:cs="Arial"/>
                <w:color w:val="auto"/>
                <w:sz w:val="20"/>
                <w:szCs w:val="20"/>
              </w:rPr>
              <w:t>Exchange differences on translating the financial statements of a foreign operation</w:t>
            </w:r>
          </w:p>
          <w:p w14:paraId="7FA96730" w14:textId="3258D168" w:rsidR="00D403B9" w:rsidRPr="00C55B89" w:rsidRDefault="00D403B9" w:rsidP="006535F4">
            <w:pPr>
              <w:pStyle w:val="TableParagraph"/>
              <w:spacing w:after="120" w:line="240" w:lineRule="atLeast"/>
              <w:ind w:right="187"/>
              <w:rPr>
                <w:rFonts w:ascii="Arial" w:eastAsia="Times New Roman" w:hAnsi="Arial" w:cs="Arial"/>
                <w:sz w:val="20"/>
                <w:szCs w:val="20"/>
              </w:rPr>
            </w:pPr>
            <w:r w:rsidRPr="00C55B89">
              <w:rPr>
                <w:rFonts w:ascii="Arial" w:eastAsia="Times New Roman" w:hAnsi="Arial" w:cs="Arial"/>
                <w:sz w:val="20"/>
                <w:szCs w:val="20"/>
              </w:rPr>
              <w:t xml:space="preserve">Exchange differences arising on translation of the foreign operations are recognised in other comprehensive income as described in accounting policy and accumulated in a separate reserve within equity. The cumulative amount is reclassified to profit </w:t>
            </w:r>
            <w:r w:rsidR="00CD5159">
              <w:rPr>
                <w:rFonts w:ascii="Arial" w:eastAsia="Times New Roman" w:hAnsi="Arial" w:cs="Arial"/>
                <w:sz w:val="20"/>
                <w:szCs w:val="20"/>
              </w:rPr>
              <w:t>or</w:t>
            </w:r>
            <w:r w:rsidRPr="00C55B89">
              <w:rPr>
                <w:rFonts w:ascii="Arial" w:eastAsia="Times New Roman" w:hAnsi="Arial" w:cs="Arial"/>
                <w:sz w:val="20"/>
                <w:szCs w:val="20"/>
              </w:rPr>
              <w:t xml:space="preserve"> loss when the net investment is disposed-off.</w:t>
            </w:r>
          </w:p>
        </w:tc>
      </w:tr>
      <w:tr w:rsidR="00C55B89" w:rsidRPr="00C55B89" w14:paraId="28B55FA3" w14:textId="77777777" w:rsidTr="006535F4">
        <w:trPr>
          <w:trHeight w:val="403"/>
        </w:trPr>
        <w:tc>
          <w:tcPr>
            <w:tcW w:w="9218" w:type="dxa"/>
          </w:tcPr>
          <w:p w14:paraId="14C2E8DD" w14:textId="77777777" w:rsidR="00D403B9" w:rsidRPr="00C55B89" w:rsidRDefault="00D403B9" w:rsidP="00E466DD">
            <w:pPr>
              <w:pStyle w:val="EYnumlevel2"/>
              <w:numPr>
                <w:ilvl w:val="1"/>
                <w:numId w:val="43"/>
              </w:numPr>
              <w:rPr>
                <w:rFonts w:ascii="Arial" w:hAnsi="Arial" w:cs="Arial"/>
                <w:color w:val="auto"/>
                <w:sz w:val="20"/>
                <w:szCs w:val="20"/>
              </w:rPr>
            </w:pPr>
            <w:r w:rsidRPr="00C55B89">
              <w:rPr>
                <w:rFonts w:ascii="Arial" w:hAnsi="Arial" w:cs="Arial"/>
                <w:color w:val="auto"/>
                <w:sz w:val="20"/>
                <w:szCs w:val="20"/>
              </w:rPr>
              <w:t>Share based payment reserve</w:t>
            </w:r>
          </w:p>
          <w:p w14:paraId="146C356A" w14:textId="324A5BFC" w:rsidR="00D403B9" w:rsidRPr="00C55B89" w:rsidRDefault="00D403B9" w:rsidP="006535F4">
            <w:pPr>
              <w:pStyle w:val="TableParagraph"/>
              <w:spacing w:before="39"/>
              <w:ind w:left="111" w:right="484"/>
              <w:rPr>
                <w:rFonts w:ascii="Arial" w:eastAsia="Times New Roman" w:hAnsi="Arial" w:cs="Arial"/>
                <w:sz w:val="20"/>
                <w:szCs w:val="20"/>
              </w:rPr>
            </w:pPr>
            <w:r w:rsidRPr="00C55B89">
              <w:rPr>
                <w:rFonts w:ascii="Arial" w:eastAsia="Times New Roman" w:hAnsi="Arial" w:cs="Arial"/>
                <w:sz w:val="20"/>
                <w:szCs w:val="20"/>
              </w:rPr>
              <w:t>The share options</w:t>
            </w:r>
            <w:r w:rsidR="00F57FC4" w:rsidRPr="00C55B89">
              <w:rPr>
                <w:rFonts w:ascii="Arial" w:eastAsia="Times New Roman" w:hAnsi="Arial" w:cs="Arial"/>
                <w:sz w:val="20"/>
                <w:szCs w:val="20"/>
              </w:rPr>
              <w:t>-</w:t>
            </w:r>
            <w:r w:rsidRPr="00C55B89">
              <w:rPr>
                <w:rFonts w:ascii="Arial" w:eastAsia="Times New Roman" w:hAnsi="Arial" w:cs="Arial"/>
                <w:sz w:val="20"/>
                <w:szCs w:val="20"/>
              </w:rPr>
              <w:t>based payment reserve is used to recognise the grant date fair value of options issued to employees under Employee stock option plan.</w:t>
            </w:r>
          </w:p>
          <w:p w14:paraId="1649CFCB" w14:textId="77777777" w:rsidR="00D403B9" w:rsidRPr="00C55B89" w:rsidRDefault="00D403B9" w:rsidP="00D403B9">
            <w:pPr>
              <w:pStyle w:val="EYnumlevel2"/>
              <w:numPr>
                <w:ilvl w:val="0"/>
                <w:numId w:val="0"/>
              </w:numPr>
              <w:ind w:left="567" w:hanging="567"/>
              <w:rPr>
                <w:rFonts w:ascii="Arial" w:hAnsi="Arial" w:cs="Arial"/>
                <w:color w:val="auto"/>
                <w:sz w:val="20"/>
                <w:szCs w:val="20"/>
              </w:rPr>
            </w:pPr>
          </w:p>
        </w:tc>
      </w:tr>
      <w:tr w:rsidR="00D403B9" w:rsidRPr="00C55B89" w14:paraId="094B7303" w14:textId="77777777" w:rsidTr="006535F4">
        <w:trPr>
          <w:trHeight w:val="403"/>
        </w:trPr>
        <w:tc>
          <w:tcPr>
            <w:tcW w:w="9218" w:type="dxa"/>
          </w:tcPr>
          <w:p w14:paraId="5122AF3B" w14:textId="77777777" w:rsidR="00D403B9" w:rsidRPr="00C55B89" w:rsidRDefault="00D403B9" w:rsidP="00E466DD">
            <w:pPr>
              <w:pStyle w:val="EYnumlevel2"/>
              <w:numPr>
                <w:ilvl w:val="1"/>
                <w:numId w:val="43"/>
              </w:numPr>
              <w:rPr>
                <w:rFonts w:ascii="Arial" w:hAnsi="Arial" w:cs="Arial"/>
                <w:color w:val="auto"/>
                <w:sz w:val="20"/>
                <w:szCs w:val="20"/>
              </w:rPr>
            </w:pPr>
            <w:r w:rsidRPr="00C55B89">
              <w:rPr>
                <w:rFonts w:ascii="Arial" w:hAnsi="Arial" w:cs="Arial"/>
                <w:color w:val="auto"/>
                <w:sz w:val="20"/>
                <w:szCs w:val="20"/>
              </w:rPr>
              <w:t>Capital reserve</w:t>
            </w:r>
          </w:p>
          <w:p w14:paraId="3AA93B0F" w14:textId="180F5CF7" w:rsidR="00D403B9" w:rsidRPr="00C55B89" w:rsidRDefault="00D403B9" w:rsidP="00D403B9">
            <w:pPr>
              <w:pStyle w:val="EYnumlevel2"/>
              <w:numPr>
                <w:ilvl w:val="0"/>
                <w:numId w:val="0"/>
              </w:numPr>
              <w:ind w:left="142"/>
              <w:rPr>
                <w:rFonts w:ascii="Arial" w:hAnsi="Arial" w:cs="Arial"/>
                <w:color w:val="auto"/>
                <w:sz w:val="20"/>
                <w:szCs w:val="20"/>
              </w:rPr>
            </w:pPr>
            <w:r w:rsidRPr="00C55B89">
              <w:rPr>
                <w:rFonts w:ascii="Arial" w:hAnsi="Arial" w:cs="Arial"/>
                <w:b w:val="0"/>
                <w:color w:val="auto"/>
                <w:sz w:val="20"/>
                <w:szCs w:val="20"/>
                <w:lang w:val="en-IN"/>
              </w:rPr>
              <w:t>The Group recognizes profit or loss on purchase, sale, issue or cancellation of the Group’s own equity instruments to capital reserve</w:t>
            </w:r>
          </w:p>
        </w:tc>
      </w:tr>
    </w:tbl>
    <w:p w14:paraId="3285F97D" w14:textId="646AAA28" w:rsidR="00D403B9" w:rsidRPr="00C55B89" w:rsidRDefault="00D403B9" w:rsidP="009901E1">
      <w:pPr>
        <w:spacing w:line="280" w:lineRule="exact"/>
        <w:rPr>
          <w:rFonts w:ascii="Arial" w:hAnsi="Arial" w:cs="Arial"/>
          <w:b/>
          <w:sz w:val="20"/>
        </w:rPr>
      </w:pPr>
    </w:p>
    <w:p w14:paraId="798E5548" w14:textId="44F35309" w:rsidR="00E2535C" w:rsidRDefault="00E2535C">
      <w:pPr>
        <w:overflowPunct/>
        <w:autoSpaceDE/>
        <w:autoSpaceDN/>
        <w:adjustRightInd/>
        <w:spacing w:line="240" w:lineRule="auto"/>
        <w:textAlignment w:val="auto"/>
        <w:rPr>
          <w:rFonts w:ascii="Arial" w:hAnsi="Arial" w:cs="Arial"/>
          <w:sz w:val="20"/>
        </w:rPr>
      </w:pPr>
      <w:r>
        <w:rPr>
          <w:rFonts w:ascii="Arial" w:hAnsi="Arial" w:cs="Arial"/>
          <w:sz w:val="20"/>
        </w:rPr>
        <w:br w:type="page"/>
      </w:r>
    </w:p>
    <w:p w14:paraId="45C5620D" w14:textId="77777777" w:rsidR="00D403B9" w:rsidRPr="00E70587" w:rsidRDefault="00D403B9" w:rsidP="009901E1">
      <w:pPr>
        <w:spacing w:line="280" w:lineRule="exact"/>
        <w:rPr>
          <w:rFonts w:ascii="Arial" w:hAnsi="Arial" w:cs="Arial"/>
          <w:sz w:val="20"/>
        </w:rPr>
      </w:pPr>
    </w:p>
    <w:p w14:paraId="34E2D813" w14:textId="77777777" w:rsidR="00FB0C73" w:rsidRPr="00E70587" w:rsidRDefault="006D2883"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Distributions made and proposed</w:t>
      </w:r>
    </w:p>
    <w:tbl>
      <w:tblPr>
        <w:tblW w:w="9576" w:type="dxa"/>
        <w:tblLook w:val="01E0" w:firstRow="1" w:lastRow="1" w:firstColumn="1" w:lastColumn="1" w:noHBand="0" w:noVBand="0"/>
      </w:tblPr>
      <w:tblGrid>
        <w:gridCol w:w="7474"/>
        <w:gridCol w:w="1040"/>
        <w:gridCol w:w="1062"/>
      </w:tblGrid>
      <w:tr w:rsidR="006D2883" w:rsidRPr="00E70587" w14:paraId="60892B60" w14:textId="77777777" w:rsidTr="006D2883">
        <w:tc>
          <w:tcPr>
            <w:tcW w:w="0" w:type="auto"/>
            <w:shd w:val="clear" w:color="auto" w:fill="auto"/>
          </w:tcPr>
          <w:p w14:paraId="7D8816CF" w14:textId="77777777" w:rsidR="006D2883" w:rsidRPr="00E70587" w:rsidRDefault="006D2883"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0" w:type="auto"/>
            <w:tcBorders>
              <w:bottom w:val="single" w:sz="4" w:space="0" w:color="auto"/>
            </w:tcBorders>
            <w:shd w:val="clear" w:color="auto" w:fill="auto"/>
            <w:vAlign w:val="bottom"/>
          </w:tcPr>
          <w:p w14:paraId="52124A05" w14:textId="77777777" w:rsidR="00AD666B" w:rsidRDefault="006D2883"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March</w:t>
            </w:r>
          </w:p>
          <w:p w14:paraId="68DFEF18" w14:textId="69B792AF" w:rsidR="006D2883" w:rsidRPr="00E70587" w:rsidRDefault="00AD666B"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20</w:t>
            </w:r>
            <w:r>
              <w:rPr>
                <w:rFonts w:ascii="Arial" w:hAnsi="Arial"/>
                <w:color w:val="auto"/>
                <w:sz w:val="20"/>
                <w:szCs w:val="20"/>
                <w:lang w:val="en-IN"/>
              </w:rPr>
              <w:t>21</w:t>
            </w:r>
          </w:p>
        </w:tc>
        <w:tc>
          <w:tcPr>
            <w:tcW w:w="0" w:type="auto"/>
            <w:tcBorders>
              <w:bottom w:val="single" w:sz="4" w:space="0" w:color="auto"/>
            </w:tcBorders>
            <w:shd w:val="clear" w:color="auto" w:fill="auto"/>
            <w:vAlign w:val="bottom"/>
          </w:tcPr>
          <w:p w14:paraId="51A9ADAF" w14:textId="77777777" w:rsidR="00AD666B" w:rsidRDefault="006D2883"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March</w:t>
            </w:r>
          </w:p>
          <w:p w14:paraId="71E45B22" w14:textId="42832FFF" w:rsidR="006D2883" w:rsidRPr="00E70587" w:rsidRDefault="00AD666B"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20</w:t>
            </w:r>
            <w:r>
              <w:rPr>
                <w:rFonts w:ascii="Arial" w:hAnsi="Arial"/>
                <w:color w:val="auto"/>
                <w:sz w:val="20"/>
                <w:szCs w:val="20"/>
                <w:lang w:val="en-IN"/>
              </w:rPr>
              <w:t>20</w:t>
            </w:r>
          </w:p>
        </w:tc>
      </w:tr>
      <w:tr w:rsidR="006D2883" w:rsidRPr="00E70587" w14:paraId="009B43DB" w14:textId="77777777" w:rsidTr="006D2883">
        <w:tc>
          <w:tcPr>
            <w:tcW w:w="0" w:type="auto"/>
          </w:tcPr>
          <w:p w14:paraId="0951DDD1" w14:textId="77777777" w:rsidR="006D2883" w:rsidRPr="00E70587" w:rsidRDefault="006D2883" w:rsidP="009901E1">
            <w:pPr>
              <w:pStyle w:val="000Normal"/>
              <w:spacing w:before="0" w:after="0" w:line="280" w:lineRule="exact"/>
              <w:jc w:val="right"/>
              <w:rPr>
                <w:rFonts w:ascii="Arial" w:hAnsi="Arial" w:cs="Arial"/>
                <w:b/>
                <w:sz w:val="20"/>
              </w:rPr>
            </w:pPr>
          </w:p>
        </w:tc>
        <w:tc>
          <w:tcPr>
            <w:tcW w:w="0" w:type="auto"/>
            <w:tcBorders>
              <w:top w:val="single" w:sz="4" w:space="0" w:color="auto"/>
            </w:tcBorders>
          </w:tcPr>
          <w:p w14:paraId="24B74988" w14:textId="77777777" w:rsidR="006D2883" w:rsidRPr="00E70587" w:rsidRDefault="006D2883"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0" w:type="auto"/>
            <w:tcBorders>
              <w:top w:val="single" w:sz="4" w:space="0" w:color="auto"/>
            </w:tcBorders>
          </w:tcPr>
          <w:p w14:paraId="268CBF7F" w14:textId="77777777" w:rsidR="006D2883" w:rsidRPr="00E70587" w:rsidRDefault="006D2883"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6D2883" w:rsidRPr="00E70587" w14:paraId="4263627A" w14:textId="77777777" w:rsidTr="006D2883">
        <w:tc>
          <w:tcPr>
            <w:tcW w:w="0" w:type="auto"/>
            <w:tcMar>
              <w:top w:w="28" w:type="dxa"/>
            </w:tcMar>
          </w:tcPr>
          <w:p w14:paraId="5F86DE6E" w14:textId="3DD51D1B" w:rsidR="006D2883" w:rsidRPr="00E70587" w:rsidRDefault="00031CD5" w:rsidP="009901E1">
            <w:pPr>
              <w:pStyle w:val="tabletext"/>
              <w:overflowPunct w:val="0"/>
              <w:autoSpaceDE w:val="0"/>
              <w:autoSpaceDN w:val="0"/>
              <w:adjustRightInd w:val="0"/>
              <w:spacing w:line="280" w:lineRule="exact"/>
              <w:textAlignment w:val="baseline"/>
              <w:rPr>
                <w:rFonts w:ascii="Arial" w:hAnsi="Arial" w:cs="Arial"/>
                <w:sz w:val="20"/>
                <w:lang w:val="en-IN"/>
              </w:rPr>
            </w:pPr>
            <w:r>
              <w:rPr>
                <w:rFonts w:ascii="Arial" w:hAnsi="Arial" w:cs="Arial"/>
                <w:b/>
                <w:sz w:val="20"/>
                <w:lang w:val="en-IN"/>
              </w:rPr>
              <w:t>D</w:t>
            </w:r>
            <w:r w:rsidR="006D2883" w:rsidRPr="00E70587">
              <w:rPr>
                <w:rFonts w:ascii="Arial" w:hAnsi="Arial" w:cs="Arial"/>
                <w:b/>
                <w:sz w:val="20"/>
                <w:lang w:val="en-IN"/>
              </w:rPr>
              <w:t>ividends on Equity shares declared and paid:</w:t>
            </w:r>
          </w:p>
        </w:tc>
        <w:tc>
          <w:tcPr>
            <w:tcW w:w="0" w:type="auto"/>
            <w:tcMar>
              <w:top w:w="28" w:type="dxa"/>
            </w:tcMar>
          </w:tcPr>
          <w:p w14:paraId="541012CE" w14:textId="77777777" w:rsidR="006D2883" w:rsidRPr="00E70587" w:rsidRDefault="006D2883"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0" w:type="auto"/>
            <w:tcMar>
              <w:top w:w="28" w:type="dxa"/>
            </w:tcMar>
          </w:tcPr>
          <w:p w14:paraId="07AE3CE9" w14:textId="77777777" w:rsidR="006D2883" w:rsidRPr="00E70587" w:rsidRDefault="006D2883" w:rsidP="009901E1">
            <w:pPr>
              <w:pStyle w:val="tabletext"/>
              <w:overflowPunct w:val="0"/>
              <w:autoSpaceDE w:val="0"/>
              <w:autoSpaceDN w:val="0"/>
              <w:adjustRightInd w:val="0"/>
              <w:spacing w:line="280" w:lineRule="exact"/>
              <w:textAlignment w:val="baseline"/>
              <w:rPr>
                <w:rFonts w:ascii="Arial" w:hAnsi="Arial" w:cs="Arial"/>
                <w:sz w:val="20"/>
                <w:lang w:val="en-IN"/>
              </w:rPr>
            </w:pPr>
          </w:p>
        </w:tc>
      </w:tr>
      <w:tr w:rsidR="006D2883" w:rsidRPr="00E70587" w14:paraId="6A7D7B3D" w14:textId="77777777" w:rsidTr="006D2883">
        <w:tc>
          <w:tcPr>
            <w:tcW w:w="0" w:type="auto"/>
            <w:tcMar>
              <w:top w:w="28" w:type="dxa"/>
            </w:tcMar>
          </w:tcPr>
          <w:p w14:paraId="79C5C61F" w14:textId="7A0350F4" w:rsidR="006D2883" w:rsidRPr="00E70587" w:rsidRDefault="006D2883"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Final dividend for 31 </w:t>
            </w:r>
            <w:r w:rsidR="008B730E" w:rsidRPr="00E70587">
              <w:rPr>
                <w:rFonts w:ascii="Arial" w:hAnsi="Arial" w:cs="Arial"/>
                <w:sz w:val="20"/>
                <w:lang w:val="en-IN"/>
              </w:rPr>
              <w:t xml:space="preserve">March </w:t>
            </w:r>
            <w:r w:rsidR="00AD666B" w:rsidRPr="00E70587">
              <w:rPr>
                <w:rFonts w:ascii="Arial" w:hAnsi="Arial" w:cs="Arial"/>
                <w:sz w:val="20"/>
                <w:lang w:val="en-IN"/>
              </w:rPr>
              <w:t>20</w:t>
            </w:r>
            <w:r w:rsidR="00AD666B">
              <w:rPr>
                <w:rFonts w:ascii="Arial" w:hAnsi="Arial" w:cs="Arial"/>
                <w:sz w:val="20"/>
                <w:lang w:val="en-IN"/>
              </w:rPr>
              <w:t>21</w:t>
            </w:r>
            <w:r w:rsidRPr="00E70587">
              <w:rPr>
                <w:rFonts w:ascii="Arial" w:hAnsi="Arial" w:cs="Arial"/>
                <w:sz w:val="20"/>
                <w:lang w:val="en-IN"/>
              </w:rPr>
              <w:t>: INR 0.05 per share</w:t>
            </w:r>
            <w:r w:rsidR="00AD666B">
              <w:rPr>
                <w:rFonts w:ascii="Arial" w:hAnsi="Arial" w:cs="Arial"/>
                <w:sz w:val="20"/>
                <w:lang w:val="en-IN"/>
              </w:rPr>
              <w:t xml:space="preserve"> </w:t>
            </w:r>
            <w:r w:rsidRPr="00E70587">
              <w:rPr>
                <w:rFonts w:ascii="Arial" w:hAnsi="Arial" w:cs="Arial"/>
                <w:sz w:val="20"/>
                <w:lang w:val="en-IN"/>
              </w:rPr>
              <w:t xml:space="preserve">(31 March </w:t>
            </w:r>
            <w:r w:rsidR="00AD666B" w:rsidRPr="00E70587">
              <w:rPr>
                <w:rFonts w:ascii="Arial" w:hAnsi="Arial" w:cs="Arial"/>
                <w:sz w:val="20"/>
                <w:lang w:val="en-IN"/>
              </w:rPr>
              <w:t>20</w:t>
            </w:r>
            <w:r w:rsidR="00AD666B">
              <w:rPr>
                <w:rFonts w:ascii="Arial" w:hAnsi="Arial" w:cs="Arial"/>
                <w:sz w:val="20"/>
                <w:lang w:val="en-IN"/>
              </w:rPr>
              <w:t>20</w:t>
            </w:r>
            <w:r w:rsidRPr="00E70587">
              <w:rPr>
                <w:rFonts w:ascii="Arial" w:hAnsi="Arial" w:cs="Arial"/>
                <w:sz w:val="20"/>
                <w:lang w:val="en-IN"/>
              </w:rPr>
              <w:t>: INR 0.035 per share)</w:t>
            </w:r>
          </w:p>
        </w:tc>
        <w:tc>
          <w:tcPr>
            <w:tcW w:w="0" w:type="auto"/>
            <w:tcMar>
              <w:top w:w="28" w:type="dxa"/>
            </w:tcMar>
            <w:vAlign w:val="center"/>
          </w:tcPr>
          <w:p w14:paraId="334E915E" w14:textId="6C459BBF" w:rsidR="006D2883" w:rsidRPr="00E70587" w:rsidRDefault="006D2883" w:rsidP="009901E1">
            <w:pPr>
              <w:spacing w:line="280" w:lineRule="exact"/>
              <w:jc w:val="right"/>
              <w:rPr>
                <w:rFonts w:ascii="Arial" w:hAnsi="Arial" w:cs="Arial"/>
                <w:sz w:val="20"/>
              </w:rPr>
            </w:pPr>
            <w:r w:rsidRPr="00E70587">
              <w:rPr>
                <w:rFonts w:ascii="Arial" w:hAnsi="Arial" w:cs="Arial"/>
                <w:sz w:val="20"/>
              </w:rPr>
              <w:t>1,</w:t>
            </w:r>
            <w:r w:rsidR="00792E0E">
              <w:rPr>
                <w:rFonts w:ascii="Arial" w:hAnsi="Arial" w:cs="Arial"/>
                <w:sz w:val="20"/>
              </w:rPr>
              <w:t>948</w:t>
            </w:r>
            <w:r w:rsidRPr="00E70587">
              <w:rPr>
                <w:rFonts w:ascii="Arial" w:hAnsi="Arial" w:cs="Arial"/>
                <w:sz w:val="20"/>
              </w:rPr>
              <w:t xml:space="preserve"> </w:t>
            </w:r>
          </w:p>
        </w:tc>
        <w:tc>
          <w:tcPr>
            <w:tcW w:w="0" w:type="auto"/>
            <w:tcMar>
              <w:top w:w="28" w:type="dxa"/>
            </w:tcMar>
            <w:vAlign w:val="center"/>
          </w:tcPr>
          <w:p w14:paraId="682B9199" w14:textId="77777777" w:rsidR="006D2883" w:rsidRPr="00E70587" w:rsidRDefault="006D2883" w:rsidP="009901E1">
            <w:pPr>
              <w:spacing w:line="280" w:lineRule="exact"/>
              <w:jc w:val="right"/>
              <w:rPr>
                <w:rFonts w:ascii="Arial" w:hAnsi="Arial" w:cs="Arial"/>
                <w:sz w:val="20"/>
              </w:rPr>
            </w:pPr>
            <w:r w:rsidRPr="00E70587">
              <w:rPr>
                <w:rFonts w:ascii="Arial" w:hAnsi="Arial" w:cs="Arial"/>
                <w:sz w:val="20"/>
              </w:rPr>
              <w:t xml:space="preserve">1,221 </w:t>
            </w:r>
          </w:p>
        </w:tc>
      </w:tr>
      <w:tr w:rsidR="006D2883" w:rsidRPr="00E70587" w14:paraId="49445D73" w14:textId="77777777" w:rsidTr="006D2883">
        <w:tc>
          <w:tcPr>
            <w:tcW w:w="0" w:type="auto"/>
            <w:tcMar>
              <w:top w:w="28" w:type="dxa"/>
            </w:tcMar>
          </w:tcPr>
          <w:p w14:paraId="6AEDB923" w14:textId="77777777" w:rsidR="006D2883" w:rsidRPr="00E70587" w:rsidRDefault="006D2883"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Dividend distribution tax on final dividend</w:t>
            </w:r>
          </w:p>
        </w:tc>
        <w:tc>
          <w:tcPr>
            <w:tcW w:w="0" w:type="auto"/>
            <w:tcMar>
              <w:top w:w="28" w:type="dxa"/>
            </w:tcMar>
            <w:vAlign w:val="center"/>
          </w:tcPr>
          <w:p w14:paraId="3CE455B9" w14:textId="4574D902" w:rsidR="006D2883" w:rsidRPr="00E70587" w:rsidRDefault="00792E0E" w:rsidP="009901E1">
            <w:pPr>
              <w:spacing w:line="280" w:lineRule="exact"/>
              <w:jc w:val="right"/>
              <w:rPr>
                <w:rFonts w:ascii="Arial" w:hAnsi="Arial" w:cs="Arial"/>
                <w:sz w:val="20"/>
              </w:rPr>
            </w:pPr>
            <w:r>
              <w:rPr>
                <w:rFonts w:ascii="Arial" w:hAnsi="Arial" w:cs="Arial"/>
                <w:sz w:val="20"/>
              </w:rPr>
              <w:t>-</w:t>
            </w:r>
          </w:p>
        </w:tc>
        <w:tc>
          <w:tcPr>
            <w:tcW w:w="0" w:type="auto"/>
            <w:tcMar>
              <w:top w:w="28" w:type="dxa"/>
            </w:tcMar>
            <w:vAlign w:val="center"/>
          </w:tcPr>
          <w:p w14:paraId="1EB9642A" w14:textId="77777777" w:rsidR="006D2883" w:rsidRPr="00E70587" w:rsidRDefault="006D2883" w:rsidP="009901E1">
            <w:pPr>
              <w:spacing w:line="280" w:lineRule="exact"/>
              <w:jc w:val="right"/>
              <w:rPr>
                <w:rFonts w:ascii="Arial" w:hAnsi="Arial" w:cs="Arial"/>
                <w:sz w:val="20"/>
              </w:rPr>
            </w:pPr>
            <w:r w:rsidRPr="00E70587">
              <w:rPr>
                <w:rFonts w:ascii="Arial" w:hAnsi="Arial" w:cs="Arial"/>
                <w:sz w:val="20"/>
              </w:rPr>
              <w:t>127</w:t>
            </w:r>
          </w:p>
        </w:tc>
      </w:tr>
      <w:tr w:rsidR="006D2883" w:rsidRPr="00E70587" w14:paraId="77BDCBF2" w14:textId="77777777" w:rsidTr="006D2883">
        <w:tc>
          <w:tcPr>
            <w:tcW w:w="0" w:type="auto"/>
            <w:tcMar>
              <w:top w:w="28" w:type="dxa"/>
            </w:tcMar>
          </w:tcPr>
          <w:p w14:paraId="5EC1D579" w14:textId="193E1BCB" w:rsidR="006D2883" w:rsidRPr="00E70587" w:rsidRDefault="006D2883"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Interim dividend for 31 </w:t>
            </w:r>
            <w:r w:rsidR="00E1202D" w:rsidRPr="00E70587">
              <w:rPr>
                <w:rFonts w:ascii="Arial" w:hAnsi="Arial" w:cs="Arial"/>
                <w:sz w:val="20"/>
                <w:lang w:val="en-IN"/>
              </w:rPr>
              <w:t xml:space="preserve">March </w:t>
            </w:r>
            <w:r w:rsidR="00AD666B" w:rsidRPr="00E70587">
              <w:rPr>
                <w:rFonts w:ascii="Arial" w:hAnsi="Arial" w:cs="Arial"/>
                <w:sz w:val="20"/>
                <w:lang w:val="en-IN"/>
              </w:rPr>
              <w:t>20</w:t>
            </w:r>
            <w:r w:rsidR="00AD666B">
              <w:rPr>
                <w:rFonts w:ascii="Arial" w:hAnsi="Arial" w:cs="Arial"/>
                <w:sz w:val="20"/>
                <w:lang w:val="en-IN"/>
              </w:rPr>
              <w:t>21</w:t>
            </w:r>
            <w:r w:rsidRPr="00E70587">
              <w:rPr>
                <w:rFonts w:ascii="Arial" w:hAnsi="Arial" w:cs="Arial"/>
                <w:sz w:val="20"/>
                <w:lang w:val="en-IN"/>
              </w:rPr>
              <w:t xml:space="preserve">: INR 0.041 per share (31 </w:t>
            </w:r>
            <w:r w:rsidR="008B730E" w:rsidRPr="00E70587">
              <w:rPr>
                <w:rFonts w:ascii="Arial" w:hAnsi="Arial" w:cs="Arial"/>
                <w:sz w:val="20"/>
                <w:lang w:val="en-IN"/>
              </w:rPr>
              <w:t xml:space="preserve">March </w:t>
            </w:r>
            <w:r w:rsidR="00AD666B" w:rsidRPr="00E70587">
              <w:rPr>
                <w:rFonts w:ascii="Arial" w:hAnsi="Arial" w:cs="Arial"/>
                <w:sz w:val="20"/>
                <w:lang w:val="en-IN"/>
              </w:rPr>
              <w:t>20</w:t>
            </w:r>
            <w:r w:rsidR="00AD666B">
              <w:rPr>
                <w:rFonts w:ascii="Arial" w:hAnsi="Arial" w:cs="Arial"/>
                <w:sz w:val="20"/>
                <w:lang w:val="en-IN"/>
              </w:rPr>
              <w:t>20</w:t>
            </w:r>
            <w:r w:rsidRPr="00E70587">
              <w:rPr>
                <w:rFonts w:ascii="Arial" w:hAnsi="Arial" w:cs="Arial"/>
                <w:sz w:val="20"/>
                <w:lang w:val="en-IN"/>
              </w:rPr>
              <w:t>: INR 0.039 per share)</w:t>
            </w:r>
          </w:p>
        </w:tc>
        <w:tc>
          <w:tcPr>
            <w:tcW w:w="0" w:type="auto"/>
            <w:tcMar>
              <w:top w:w="28" w:type="dxa"/>
            </w:tcMar>
            <w:vAlign w:val="center"/>
          </w:tcPr>
          <w:p w14:paraId="4D2774D9" w14:textId="7EBD0C0A" w:rsidR="006D2883" w:rsidRPr="00E70587" w:rsidRDefault="006D2883" w:rsidP="009901E1">
            <w:pPr>
              <w:spacing w:line="280" w:lineRule="exact"/>
              <w:jc w:val="right"/>
              <w:rPr>
                <w:rFonts w:ascii="Arial" w:hAnsi="Arial" w:cs="Arial"/>
                <w:sz w:val="20"/>
              </w:rPr>
            </w:pPr>
            <w:r w:rsidRPr="00E70587">
              <w:rPr>
                <w:rFonts w:ascii="Arial" w:hAnsi="Arial" w:cs="Arial"/>
                <w:sz w:val="20"/>
              </w:rPr>
              <w:t>1,</w:t>
            </w:r>
            <w:r w:rsidR="00792E0E">
              <w:rPr>
                <w:rFonts w:ascii="Arial" w:hAnsi="Arial" w:cs="Arial"/>
                <w:sz w:val="20"/>
              </w:rPr>
              <w:t>602</w:t>
            </w:r>
          </w:p>
        </w:tc>
        <w:tc>
          <w:tcPr>
            <w:tcW w:w="0" w:type="auto"/>
            <w:tcMar>
              <w:top w:w="28" w:type="dxa"/>
            </w:tcMar>
            <w:vAlign w:val="center"/>
          </w:tcPr>
          <w:p w14:paraId="7DBA8644" w14:textId="77777777" w:rsidR="006D2883" w:rsidRPr="00E70587" w:rsidRDefault="006D2883" w:rsidP="009901E1">
            <w:pPr>
              <w:spacing w:line="280" w:lineRule="exact"/>
              <w:jc w:val="right"/>
              <w:rPr>
                <w:rFonts w:ascii="Arial" w:hAnsi="Arial" w:cs="Arial"/>
                <w:sz w:val="20"/>
              </w:rPr>
            </w:pPr>
            <w:r w:rsidRPr="00E70587">
              <w:rPr>
                <w:rFonts w:ascii="Arial" w:hAnsi="Arial" w:cs="Arial"/>
                <w:sz w:val="20"/>
              </w:rPr>
              <w:t xml:space="preserve">1,370 </w:t>
            </w:r>
          </w:p>
        </w:tc>
      </w:tr>
      <w:tr w:rsidR="006D2883" w:rsidRPr="00E70587" w14:paraId="3FF0D40B" w14:textId="77777777" w:rsidTr="006D2883">
        <w:tc>
          <w:tcPr>
            <w:tcW w:w="0" w:type="auto"/>
            <w:tcMar>
              <w:top w:w="28" w:type="dxa"/>
            </w:tcMar>
          </w:tcPr>
          <w:p w14:paraId="4745FCD3" w14:textId="77777777" w:rsidR="006D2883" w:rsidRPr="00E70587" w:rsidRDefault="006D2883"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Dividend distribution tax on interim dividend</w:t>
            </w:r>
          </w:p>
        </w:tc>
        <w:tc>
          <w:tcPr>
            <w:tcW w:w="0" w:type="auto"/>
            <w:tcBorders>
              <w:bottom w:val="single" w:sz="4" w:space="0" w:color="auto"/>
            </w:tcBorders>
            <w:tcMar>
              <w:top w:w="28" w:type="dxa"/>
            </w:tcMar>
            <w:vAlign w:val="center"/>
          </w:tcPr>
          <w:p w14:paraId="6300F282" w14:textId="3583DEE8" w:rsidR="006D2883" w:rsidRPr="00E70587" w:rsidRDefault="00792E0E" w:rsidP="009901E1">
            <w:pPr>
              <w:spacing w:line="280" w:lineRule="exact"/>
              <w:jc w:val="right"/>
              <w:rPr>
                <w:rFonts w:ascii="Arial" w:hAnsi="Arial" w:cs="Arial"/>
                <w:sz w:val="20"/>
              </w:rPr>
            </w:pPr>
            <w:r>
              <w:rPr>
                <w:rFonts w:ascii="Arial" w:hAnsi="Arial" w:cs="Arial"/>
                <w:sz w:val="20"/>
              </w:rPr>
              <w:t>-</w:t>
            </w:r>
          </w:p>
        </w:tc>
        <w:tc>
          <w:tcPr>
            <w:tcW w:w="0" w:type="auto"/>
            <w:tcBorders>
              <w:bottom w:val="single" w:sz="4" w:space="0" w:color="auto"/>
            </w:tcBorders>
            <w:tcMar>
              <w:top w:w="28" w:type="dxa"/>
            </w:tcMar>
            <w:vAlign w:val="center"/>
          </w:tcPr>
          <w:p w14:paraId="3664467C" w14:textId="77777777" w:rsidR="006D2883" w:rsidRPr="00E70587" w:rsidRDefault="006D2883" w:rsidP="009901E1">
            <w:pPr>
              <w:spacing w:line="280" w:lineRule="exact"/>
              <w:jc w:val="right"/>
              <w:rPr>
                <w:rFonts w:ascii="Arial" w:hAnsi="Arial" w:cs="Arial"/>
                <w:sz w:val="20"/>
              </w:rPr>
            </w:pPr>
            <w:r w:rsidRPr="00E70587">
              <w:rPr>
                <w:rFonts w:ascii="Arial" w:hAnsi="Arial" w:cs="Arial"/>
                <w:sz w:val="20"/>
              </w:rPr>
              <w:t>162</w:t>
            </w:r>
          </w:p>
        </w:tc>
      </w:tr>
      <w:tr w:rsidR="006D2883" w:rsidRPr="00E70587" w14:paraId="0494B37C" w14:textId="77777777" w:rsidTr="006D2883">
        <w:tc>
          <w:tcPr>
            <w:tcW w:w="0" w:type="auto"/>
            <w:tcMar>
              <w:top w:w="28" w:type="dxa"/>
            </w:tcMar>
          </w:tcPr>
          <w:p w14:paraId="15039166" w14:textId="77777777" w:rsidR="006D2883" w:rsidRPr="00E70587" w:rsidRDefault="006D2883"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0" w:type="auto"/>
            <w:tcBorders>
              <w:top w:val="single" w:sz="4" w:space="0" w:color="auto"/>
              <w:bottom w:val="single" w:sz="4" w:space="0" w:color="auto"/>
            </w:tcBorders>
            <w:tcMar>
              <w:top w:w="28" w:type="dxa"/>
            </w:tcMar>
            <w:vAlign w:val="center"/>
          </w:tcPr>
          <w:p w14:paraId="44EDC302" w14:textId="77777777" w:rsidR="006D2883" w:rsidRPr="00E70587" w:rsidRDefault="006D2883" w:rsidP="009901E1">
            <w:pPr>
              <w:spacing w:line="280" w:lineRule="exact"/>
              <w:jc w:val="right"/>
              <w:rPr>
                <w:rFonts w:ascii="Arial" w:hAnsi="Arial" w:cs="Arial"/>
                <w:b/>
                <w:bCs/>
                <w:sz w:val="20"/>
              </w:rPr>
            </w:pPr>
            <w:r w:rsidRPr="00E70587">
              <w:rPr>
                <w:rFonts w:ascii="Arial" w:hAnsi="Arial" w:cs="Arial"/>
                <w:b/>
                <w:bCs/>
                <w:sz w:val="20"/>
              </w:rPr>
              <w:t>3,550</w:t>
            </w:r>
          </w:p>
        </w:tc>
        <w:tc>
          <w:tcPr>
            <w:tcW w:w="0" w:type="auto"/>
            <w:tcBorders>
              <w:top w:val="single" w:sz="4" w:space="0" w:color="auto"/>
              <w:bottom w:val="single" w:sz="4" w:space="0" w:color="auto"/>
            </w:tcBorders>
            <w:tcMar>
              <w:top w:w="28" w:type="dxa"/>
            </w:tcMar>
            <w:vAlign w:val="center"/>
          </w:tcPr>
          <w:p w14:paraId="705EEC1B" w14:textId="77777777" w:rsidR="006D2883" w:rsidRPr="00E70587" w:rsidRDefault="006D2883" w:rsidP="009901E1">
            <w:pPr>
              <w:spacing w:line="280" w:lineRule="exact"/>
              <w:jc w:val="right"/>
              <w:rPr>
                <w:rFonts w:ascii="Arial" w:hAnsi="Arial" w:cs="Arial"/>
                <w:b/>
                <w:bCs/>
                <w:sz w:val="20"/>
              </w:rPr>
            </w:pPr>
            <w:r w:rsidRPr="00E70587">
              <w:rPr>
                <w:rFonts w:ascii="Arial" w:hAnsi="Arial" w:cs="Arial"/>
                <w:b/>
                <w:bCs/>
                <w:sz w:val="20"/>
              </w:rPr>
              <w:t>2,880</w:t>
            </w:r>
          </w:p>
        </w:tc>
      </w:tr>
      <w:tr w:rsidR="006D2883" w:rsidRPr="00E70587" w14:paraId="6F4A9B3E" w14:textId="77777777" w:rsidTr="006D2883">
        <w:tc>
          <w:tcPr>
            <w:tcW w:w="0" w:type="auto"/>
            <w:tcMar>
              <w:top w:w="28" w:type="dxa"/>
            </w:tcMar>
          </w:tcPr>
          <w:p w14:paraId="57B65045" w14:textId="77777777" w:rsidR="006D2883" w:rsidRPr="00E70587" w:rsidRDefault="006D2883"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Proposed dividends on Equity shares:</w:t>
            </w:r>
          </w:p>
        </w:tc>
        <w:tc>
          <w:tcPr>
            <w:tcW w:w="0" w:type="auto"/>
            <w:tcBorders>
              <w:top w:val="single" w:sz="4" w:space="0" w:color="auto"/>
            </w:tcBorders>
            <w:tcMar>
              <w:top w:w="28" w:type="dxa"/>
            </w:tcMar>
          </w:tcPr>
          <w:p w14:paraId="08325810" w14:textId="77777777" w:rsidR="006D2883" w:rsidRPr="00E70587" w:rsidRDefault="006D2883"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0" w:type="auto"/>
            <w:tcBorders>
              <w:top w:val="single" w:sz="4" w:space="0" w:color="auto"/>
            </w:tcBorders>
            <w:tcMar>
              <w:top w:w="28" w:type="dxa"/>
            </w:tcMar>
          </w:tcPr>
          <w:p w14:paraId="0E690DFF" w14:textId="77777777" w:rsidR="006D2883" w:rsidRPr="00E70587" w:rsidRDefault="006D2883" w:rsidP="009901E1">
            <w:pPr>
              <w:pStyle w:val="tabletext"/>
              <w:overflowPunct w:val="0"/>
              <w:autoSpaceDE w:val="0"/>
              <w:autoSpaceDN w:val="0"/>
              <w:adjustRightInd w:val="0"/>
              <w:spacing w:line="280" w:lineRule="exact"/>
              <w:textAlignment w:val="baseline"/>
              <w:rPr>
                <w:rFonts w:ascii="Arial" w:hAnsi="Arial" w:cs="Arial"/>
                <w:sz w:val="20"/>
                <w:lang w:val="en-IN"/>
              </w:rPr>
            </w:pPr>
          </w:p>
        </w:tc>
      </w:tr>
      <w:tr w:rsidR="006D2883" w:rsidRPr="00E70587" w14:paraId="64523885" w14:textId="77777777" w:rsidTr="006D2883">
        <w:tc>
          <w:tcPr>
            <w:tcW w:w="0" w:type="auto"/>
          </w:tcPr>
          <w:p w14:paraId="1C328ECA" w14:textId="261A8F18" w:rsidR="006D2883" w:rsidRPr="00E70587" w:rsidRDefault="006D2883" w:rsidP="009901E1">
            <w:pPr>
              <w:pStyle w:val="tabletext"/>
              <w:overflowPunct w:val="0"/>
              <w:autoSpaceDE w:val="0"/>
              <w:autoSpaceDN w:val="0"/>
              <w:adjustRightInd w:val="0"/>
              <w:spacing w:line="280" w:lineRule="exact"/>
              <w:textAlignment w:val="baseline"/>
              <w:rPr>
                <w:rFonts w:ascii="Arial" w:hAnsi="Arial" w:cs="Arial"/>
                <w:spacing w:val="-3"/>
                <w:sz w:val="20"/>
                <w:lang w:val="en-IN"/>
              </w:rPr>
            </w:pPr>
            <w:r w:rsidRPr="00E70587">
              <w:rPr>
                <w:rFonts w:ascii="Arial" w:hAnsi="Arial" w:cs="Arial"/>
                <w:spacing w:val="-3"/>
                <w:sz w:val="20"/>
                <w:lang w:val="en-IN"/>
              </w:rPr>
              <w:t xml:space="preserve">Final cash dividend for 31 </w:t>
            </w:r>
            <w:r w:rsidR="00E1202D" w:rsidRPr="00E70587">
              <w:rPr>
                <w:rFonts w:ascii="Arial" w:hAnsi="Arial" w:cs="Arial"/>
                <w:spacing w:val="-3"/>
                <w:sz w:val="20"/>
                <w:lang w:val="en-IN"/>
              </w:rPr>
              <w:t xml:space="preserve">March </w:t>
            </w:r>
            <w:r w:rsidR="00AD666B" w:rsidRPr="00E70587">
              <w:rPr>
                <w:rFonts w:ascii="Arial" w:hAnsi="Arial" w:cs="Arial"/>
                <w:spacing w:val="-3"/>
                <w:sz w:val="20"/>
                <w:lang w:val="en-IN"/>
              </w:rPr>
              <w:t>20</w:t>
            </w:r>
            <w:r w:rsidR="00AD666B">
              <w:rPr>
                <w:rFonts w:ascii="Arial" w:hAnsi="Arial" w:cs="Arial"/>
                <w:spacing w:val="-3"/>
                <w:sz w:val="20"/>
                <w:lang w:val="en-IN"/>
              </w:rPr>
              <w:t>21</w:t>
            </w:r>
            <w:r w:rsidRPr="00E70587">
              <w:rPr>
                <w:rFonts w:ascii="Arial" w:hAnsi="Arial" w:cs="Arial"/>
                <w:spacing w:val="-3"/>
                <w:sz w:val="20"/>
                <w:lang w:val="en-IN"/>
              </w:rPr>
              <w:t>:</w:t>
            </w:r>
            <w:r w:rsidRPr="00E70587">
              <w:rPr>
                <w:rFonts w:ascii="Arial" w:hAnsi="Arial" w:cs="Arial"/>
                <w:sz w:val="20"/>
                <w:lang w:val="en-IN"/>
              </w:rPr>
              <w:t xml:space="preserve"> INR 0.</w:t>
            </w:r>
            <w:r w:rsidRPr="00E70587">
              <w:rPr>
                <w:rFonts w:ascii="Arial" w:hAnsi="Arial" w:cs="Arial"/>
                <w:spacing w:val="-3"/>
                <w:sz w:val="20"/>
                <w:lang w:val="en-IN"/>
              </w:rPr>
              <w:t>0</w:t>
            </w:r>
            <w:r w:rsidR="00792E0E">
              <w:rPr>
                <w:rFonts w:ascii="Arial" w:hAnsi="Arial" w:cs="Arial"/>
                <w:spacing w:val="-3"/>
                <w:sz w:val="20"/>
                <w:lang w:val="en-IN"/>
              </w:rPr>
              <w:t>5</w:t>
            </w:r>
            <w:r w:rsidRPr="00E70587">
              <w:rPr>
                <w:rFonts w:ascii="Arial" w:hAnsi="Arial" w:cs="Arial"/>
                <w:spacing w:val="-3"/>
                <w:sz w:val="20"/>
                <w:lang w:val="en-IN"/>
              </w:rPr>
              <w:t xml:space="preserve"> per share (31 </w:t>
            </w:r>
            <w:r w:rsidR="008B730E" w:rsidRPr="00E70587">
              <w:rPr>
                <w:rFonts w:ascii="Arial" w:hAnsi="Arial" w:cs="Arial"/>
                <w:spacing w:val="-3"/>
                <w:sz w:val="20"/>
                <w:lang w:val="en-IN"/>
              </w:rPr>
              <w:t xml:space="preserve">March </w:t>
            </w:r>
            <w:r w:rsidR="00AD666B" w:rsidRPr="00E70587">
              <w:rPr>
                <w:rFonts w:ascii="Arial" w:hAnsi="Arial" w:cs="Arial"/>
                <w:spacing w:val="-3"/>
                <w:sz w:val="20"/>
                <w:lang w:val="en-IN"/>
              </w:rPr>
              <w:t>20</w:t>
            </w:r>
            <w:r w:rsidR="00AD666B">
              <w:rPr>
                <w:rFonts w:ascii="Arial" w:hAnsi="Arial" w:cs="Arial"/>
                <w:spacing w:val="-3"/>
                <w:sz w:val="20"/>
                <w:lang w:val="en-IN"/>
              </w:rPr>
              <w:t>20</w:t>
            </w:r>
            <w:r w:rsidRPr="00E70587">
              <w:rPr>
                <w:rFonts w:ascii="Arial" w:hAnsi="Arial" w:cs="Arial"/>
                <w:spacing w:val="-3"/>
                <w:sz w:val="20"/>
                <w:lang w:val="en-IN"/>
              </w:rPr>
              <w:t xml:space="preserve">: </w:t>
            </w:r>
            <w:r w:rsidRPr="00E70587">
              <w:rPr>
                <w:rFonts w:ascii="Arial" w:hAnsi="Arial" w:cs="Arial"/>
                <w:sz w:val="20"/>
                <w:lang w:val="en-IN"/>
              </w:rPr>
              <w:t>INR 0.</w:t>
            </w:r>
            <w:r w:rsidRPr="00E70587">
              <w:rPr>
                <w:rFonts w:ascii="Arial" w:hAnsi="Arial" w:cs="Arial"/>
                <w:spacing w:val="-3"/>
                <w:sz w:val="20"/>
                <w:lang w:val="en-IN"/>
              </w:rPr>
              <w:t>050 per share)</w:t>
            </w:r>
          </w:p>
        </w:tc>
        <w:tc>
          <w:tcPr>
            <w:tcW w:w="0" w:type="auto"/>
            <w:tcMar>
              <w:top w:w="28" w:type="dxa"/>
            </w:tcMar>
          </w:tcPr>
          <w:p w14:paraId="5A9C9933" w14:textId="63F06089" w:rsidR="006D2883" w:rsidRPr="00E70587" w:rsidRDefault="006D2883"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1,</w:t>
            </w:r>
            <w:r w:rsidR="00792E0E">
              <w:rPr>
                <w:rFonts w:ascii="Arial" w:hAnsi="Arial" w:cs="Arial"/>
                <w:sz w:val="20"/>
                <w:lang w:val="en-IN"/>
              </w:rPr>
              <w:t>957</w:t>
            </w:r>
          </w:p>
        </w:tc>
        <w:tc>
          <w:tcPr>
            <w:tcW w:w="0" w:type="auto"/>
          </w:tcPr>
          <w:p w14:paraId="44AE0DBF" w14:textId="77777777" w:rsidR="006D2883" w:rsidRPr="00E70587" w:rsidRDefault="006D2883"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1,745</w:t>
            </w:r>
          </w:p>
        </w:tc>
      </w:tr>
      <w:tr w:rsidR="006D2883" w:rsidRPr="00E70587" w14:paraId="1AAB510C" w14:textId="77777777" w:rsidTr="006D2883">
        <w:tc>
          <w:tcPr>
            <w:tcW w:w="0" w:type="auto"/>
          </w:tcPr>
          <w:p w14:paraId="414F21E1" w14:textId="77777777" w:rsidR="006D2883" w:rsidRPr="00E70587" w:rsidRDefault="006D2883"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Dividend distribution tax on proposed dividend</w:t>
            </w:r>
          </w:p>
        </w:tc>
        <w:tc>
          <w:tcPr>
            <w:tcW w:w="0" w:type="auto"/>
            <w:tcBorders>
              <w:bottom w:val="single" w:sz="4" w:space="0" w:color="auto"/>
            </w:tcBorders>
            <w:tcMar>
              <w:top w:w="28" w:type="dxa"/>
            </w:tcMar>
          </w:tcPr>
          <w:p w14:paraId="13D38D3B" w14:textId="17B4594A" w:rsidR="006D2883" w:rsidRPr="00E70587" w:rsidRDefault="00792E0E"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w:t>
            </w:r>
          </w:p>
        </w:tc>
        <w:tc>
          <w:tcPr>
            <w:tcW w:w="0" w:type="auto"/>
            <w:tcBorders>
              <w:bottom w:val="single" w:sz="4" w:space="0" w:color="auto"/>
            </w:tcBorders>
          </w:tcPr>
          <w:p w14:paraId="35DDD7C4" w14:textId="77777777" w:rsidR="006D2883" w:rsidRPr="00E70587" w:rsidRDefault="006D2883"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203</w:t>
            </w:r>
          </w:p>
        </w:tc>
      </w:tr>
      <w:tr w:rsidR="006D2883" w:rsidRPr="00E70587" w14:paraId="5AC2B1EB" w14:textId="77777777" w:rsidTr="006D2883">
        <w:tc>
          <w:tcPr>
            <w:tcW w:w="0" w:type="auto"/>
          </w:tcPr>
          <w:p w14:paraId="395100D7" w14:textId="77777777" w:rsidR="006D2883" w:rsidRPr="00E70587" w:rsidRDefault="006D2883" w:rsidP="009901E1">
            <w:pPr>
              <w:pStyle w:val="tabletext"/>
              <w:overflowPunct w:val="0"/>
              <w:autoSpaceDE w:val="0"/>
              <w:autoSpaceDN w:val="0"/>
              <w:adjustRightInd w:val="0"/>
              <w:spacing w:line="280" w:lineRule="exact"/>
              <w:textAlignment w:val="baseline"/>
              <w:rPr>
                <w:rFonts w:ascii="Arial" w:hAnsi="Arial" w:cs="Arial"/>
                <w:spacing w:val="-3"/>
                <w:sz w:val="20"/>
                <w:lang w:val="en-IN"/>
              </w:rPr>
            </w:pPr>
          </w:p>
        </w:tc>
        <w:tc>
          <w:tcPr>
            <w:tcW w:w="0" w:type="auto"/>
            <w:tcBorders>
              <w:top w:val="single" w:sz="4" w:space="0" w:color="auto"/>
              <w:bottom w:val="double" w:sz="4" w:space="0" w:color="auto"/>
            </w:tcBorders>
            <w:tcMar>
              <w:top w:w="28" w:type="dxa"/>
            </w:tcMar>
          </w:tcPr>
          <w:p w14:paraId="739A1CE2" w14:textId="77777777" w:rsidR="006D2883" w:rsidRPr="00E70587" w:rsidRDefault="006D2883"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1,957</w:t>
            </w:r>
          </w:p>
        </w:tc>
        <w:tc>
          <w:tcPr>
            <w:tcW w:w="0" w:type="auto"/>
            <w:tcBorders>
              <w:top w:val="single" w:sz="4" w:space="0" w:color="auto"/>
              <w:bottom w:val="double" w:sz="4" w:space="0" w:color="auto"/>
            </w:tcBorders>
          </w:tcPr>
          <w:p w14:paraId="7A52EFB3" w14:textId="77777777" w:rsidR="006D2883" w:rsidRPr="00E70587" w:rsidRDefault="006D2883" w:rsidP="00315CA4">
            <w:pPr>
              <w:pStyle w:val="tabletext"/>
              <w:overflowPunct w:val="0"/>
              <w:autoSpaceDE w:val="0"/>
              <w:autoSpaceDN w:val="0"/>
              <w:adjustRightInd w:val="0"/>
              <w:spacing w:line="280" w:lineRule="exact"/>
              <w:ind w:left="227"/>
              <w:jc w:val="right"/>
              <w:textAlignment w:val="baseline"/>
              <w:rPr>
                <w:rFonts w:ascii="Arial" w:hAnsi="Arial" w:cs="Arial"/>
                <w:b/>
                <w:sz w:val="20"/>
                <w:lang w:val="en-IN"/>
              </w:rPr>
            </w:pPr>
            <w:r w:rsidRPr="00E70587">
              <w:rPr>
                <w:rFonts w:ascii="Arial" w:hAnsi="Arial" w:cs="Arial"/>
                <w:b/>
                <w:sz w:val="20"/>
                <w:lang w:val="en-IN"/>
              </w:rPr>
              <w:t>1,</w:t>
            </w:r>
            <w:r w:rsidR="00315CA4" w:rsidRPr="00E70587">
              <w:rPr>
                <w:rFonts w:ascii="Arial" w:hAnsi="Arial" w:cs="Arial"/>
                <w:b/>
                <w:sz w:val="20"/>
                <w:lang w:val="en-IN"/>
              </w:rPr>
              <w:t>948</w:t>
            </w:r>
          </w:p>
        </w:tc>
      </w:tr>
    </w:tbl>
    <w:p w14:paraId="7A306301" w14:textId="77777777" w:rsidR="00062000" w:rsidRPr="00E70587" w:rsidRDefault="00062000" w:rsidP="009901E1">
      <w:pPr>
        <w:pStyle w:val="Body0"/>
        <w:spacing w:after="0" w:line="280" w:lineRule="exact"/>
        <w:jc w:val="both"/>
        <w:rPr>
          <w:rFonts w:ascii="Arial" w:hAnsi="Arial"/>
          <w:color w:val="auto"/>
          <w:sz w:val="20"/>
        </w:rPr>
      </w:pPr>
    </w:p>
    <w:tbl>
      <w:tblPr>
        <w:tblW w:w="9576" w:type="dxa"/>
        <w:tblLook w:val="0000" w:firstRow="0" w:lastRow="0" w:firstColumn="0" w:lastColumn="0" w:noHBand="0" w:noVBand="0"/>
      </w:tblPr>
      <w:tblGrid>
        <w:gridCol w:w="9576"/>
      </w:tblGrid>
      <w:tr w:rsidR="006D2883" w:rsidRPr="00E70587" w14:paraId="62B252BA" w14:textId="77777777" w:rsidTr="006D2883">
        <w:tc>
          <w:tcPr>
            <w:tcW w:w="0" w:type="auto"/>
          </w:tcPr>
          <w:p w14:paraId="13DCDE54" w14:textId="7CD22679" w:rsidR="00655797" w:rsidRDefault="006D2883" w:rsidP="006D5AD0">
            <w:pPr>
              <w:pStyle w:val="Body0"/>
              <w:spacing w:line="280" w:lineRule="exact"/>
              <w:jc w:val="both"/>
              <w:rPr>
                <w:rFonts w:ascii="Arial" w:hAnsi="Arial"/>
                <w:color w:val="auto"/>
                <w:sz w:val="20"/>
              </w:rPr>
            </w:pPr>
            <w:r w:rsidRPr="00E85C25">
              <w:rPr>
                <w:rFonts w:ascii="Arial" w:hAnsi="Arial"/>
                <w:color w:val="auto"/>
                <w:sz w:val="20"/>
              </w:rPr>
              <w:t>Proposed dividend</w:t>
            </w:r>
            <w:r w:rsidR="00474D3D" w:rsidRPr="00E85C25">
              <w:rPr>
                <w:rFonts w:ascii="Arial" w:hAnsi="Arial"/>
                <w:color w:val="auto"/>
                <w:sz w:val="20"/>
              </w:rPr>
              <w:t>s</w:t>
            </w:r>
            <w:r w:rsidRPr="00E85C25">
              <w:rPr>
                <w:rFonts w:ascii="Arial" w:hAnsi="Arial"/>
                <w:color w:val="auto"/>
                <w:sz w:val="20"/>
              </w:rPr>
              <w:t xml:space="preserve"> on equity shares are subject to approval at the annual general meeting and are not recognised as a liability as at 31 March.</w:t>
            </w:r>
            <w:r w:rsidR="006D5AD0" w:rsidRPr="00E85C25">
              <w:rPr>
                <w:rFonts w:ascii="Arial" w:hAnsi="Arial"/>
                <w:color w:val="auto"/>
                <w:sz w:val="20"/>
              </w:rPr>
              <w:t xml:space="preserve"> </w:t>
            </w:r>
          </w:p>
          <w:p w14:paraId="2D530703" w14:textId="2BD6CA3D" w:rsidR="006D2883" w:rsidRDefault="002C67FA" w:rsidP="006D5AD0">
            <w:pPr>
              <w:pStyle w:val="Body0"/>
              <w:spacing w:line="280" w:lineRule="exact"/>
              <w:jc w:val="both"/>
              <w:rPr>
                <w:rFonts w:ascii="Arial" w:hAnsi="Arial"/>
                <w:color w:val="auto"/>
                <w:sz w:val="20"/>
              </w:rPr>
            </w:pPr>
            <w:r w:rsidRPr="002C67FA">
              <w:rPr>
                <w:rFonts w:ascii="Arial" w:hAnsi="Arial"/>
                <w:color w:val="auto"/>
                <w:sz w:val="20"/>
              </w:rPr>
              <w:t xml:space="preserve">With effect from 1 April 2020, the Dividend Distribution Tax (‘DDT’) </w:t>
            </w:r>
            <w:r w:rsidR="00623A22">
              <w:rPr>
                <w:rFonts w:ascii="Arial" w:hAnsi="Arial"/>
                <w:color w:val="auto"/>
                <w:sz w:val="20"/>
              </w:rPr>
              <w:t xml:space="preserve">payable by the company under section 115O of Income Tax Act </w:t>
            </w:r>
            <w:r w:rsidRPr="002C67FA">
              <w:rPr>
                <w:rFonts w:ascii="Arial" w:hAnsi="Arial"/>
                <w:color w:val="auto"/>
                <w:sz w:val="20"/>
              </w:rPr>
              <w:t xml:space="preserve">was abolished and a withholding tax was introduced on the payment of dividend. As a result, dividend is now </w:t>
            </w:r>
            <w:r w:rsidR="00623A22">
              <w:rPr>
                <w:rFonts w:ascii="Arial" w:hAnsi="Arial"/>
                <w:color w:val="auto"/>
                <w:sz w:val="20"/>
              </w:rPr>
              <w:t>taxable</w:t>
            </w:r>
            <w:r w:rsidRPr="002C67FA">
              <w:rPr>
                <w:rFonts w:ascii="Arial" w:hAnsi="Arial"/>
                <w:color w:val="auto"/>
                <w:sz w:val="20"/>
              </w:rPr>
              <w:t xml:space="preserve"> in the hands of the recipient.</w:t>
            </w:r>
          </w:p>
          <w:p w14:paraId="3397D425" w14:textId="77777777" w:rsidR="006D2883" w:rsidRPr="00E70587" w:rsidRDefault="006D2883" w:rsidP="00E776D5">
            <w:pPr>
              <w:pStyle w:val="Body0"/>
              <w:spacing w:after="0" w:line="280" w:lineRule="exact"/>
              <w:jc w:val="both"/>
              <w:rPr>
                <w:rFonts w:ascii="Arial" w:hAnsi="Arial"/>
                <w:color w:val="auto"/>
                <w:sz w:val="20"/>
              </w:rPr>
            </w:pPr>
          </w:p>
        </w:tc>
      </w:tr>
    </w:tbl>
    <w:p w14:paraId="2EBF09D3" w14:textId="541B13A4" w:rsidR="00E2535C" w:rsidRDefault="00E2535C" w:rsidP="009901E1">
      <w:pPr>
        <w:pStyle w:val="Notesbodytext"/>
        <w:spacing w:after="0" w:line="280" w:lineRule="exact"/>
        <w:ind w:right="251"/>
        <w:jc w:val="both"/>
        <w:rPr>
          <w:rFonts w:ascii="Arial" w:hAnsi="Arial"/>
          <w:color w:val="auto"/>
          <w:sz w:val="20"/>
        </w:rPr>
      </w:pPr>
    </w:p>
    <w:p w14:paraId="2DCD50AC" w14:textId="77777777" w:rsidR="00E2535C" w:rsidRDefault="00E2535C">
      <w:pPr>
        <w:overflowPunct/>
        <w:autoSpaceDE/>
        <w:autoSpaceDN/>
        <w:adjustRightInd/>
        <w:spacing w:line="240" w:lineRule="auto"/>
        <w:textAlignment w:val="auto"/>
        <w:rPr>
          <w:rFonts w:ascii="Arial" w:hAnsi="Arial" w:cs="Arial"/>
          <w:sz w:val="20"/>
        </w:rPr>
      </w:pPr>
      <w:r>
        <w:rPr>
          <w:rFonts w:ascii="Arial" w:hAnsi="Arial"/>
          <w:sz w:val="20"/>
        </w:rPr>
        <w:br w:type="page"/>
      </w:r>
    </w:p>
    <w:p w14:paraId="415AD145" w14:textId="77777777" w:rsidR="00FB0C73" w:rsidRPr="00E70587" w:rsidRDefault="00FB0C73" w:rsidP="009901E1">
      <w:pPr>
        <w:pStyle w:val="Notesbodytext"/>
        <w:spacing w:after="0" w:line="280" w:lineRule="exact"/>
        <w:ind w:right="251"/>
        <w:jc w:val="both"/>
        <w:rPr>
          <w:rFonts w:ascii="Arial" w:hAnsi="Arial"/>
          <w:color w:val="auto"/>
          <w:sz w:val="20"/>
        </w:rPr>
      </w:pPr>
    </w:p>
    <w:p w14:paraId="71E8B8EB" w14:textId="77777777" w:rsidR="00D9764D" w:rsidRPr="00E70587" w:rsidRDefault="002A3CB1"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B</w:t>
      </w:r>
      <w:r w:rsidR="00D9764D" w:rsidRPr="00E70587">
        <w:rPr>
          <w:rFonts w:ascii="Arial" w:hAnsi="Arial" w:cs="Arial"/>
          <w:sz w:val="20"/>
          <w:szCs w:val="20"/>
        </w:rPr>
        <w:t>orrowings</w:t>
      </w:r>
    </w:p>
    <w:p w14:paraId="080B0457" w14:textId="77777777" w:rsidR="004D44D2" w:rsidRPr="00E70587" w:rsidRDefault="004D44D2" w:rsidP="009901E1">
      <w:pPr>
        <w:spacing w:line="280" w:lineRule="exact"/>
        <w:rPr>
          <w:rFonts w:ascii="Arial" w:hAnsi="Arial" w:cs="Arial"/>
          <w:sz w:val="20"/>
        </w:rPr>
      </w:pPr>
    </w:p>
    <w:tbl>
      <w:tblPr>
        <w:tblW w:w="9426" w:type="dxa"/>
        <w:tblLayout w:type="fixed"/>
        <w:tblLook w:val="01E0" w:firstRow="1" w:lastRow="1" w:firstColumn="1" w:lastColumn="1" w:noHBand="0" w:noVBand="0"/>
      </w:tblPr>
      <w:tblGrid>
        <w:gridCol w:w="2977"/>
        <w:gridCol w:w="1701"/>
        <w:gridCol w:w="1418"/>
        <w:gridCol w:w="1665"/>
        <w:gridCol w:w="1665"/>
      </w:tblGrid>
      <w:tr w:rsidR="00330EAA" w:rsidRPr="00E70587" w14:paraId="572BA956" w14:textId="77777777" w:rsidTr="00330EAA">
        <w:trPr>
          <w:tblHeader/>
        </w:trPr>
        <w:tc>
          <w:tcPr>
            <w:tcW w:w="2977" w:type="dxa"/>
            <w:vAlign w:val="center"/>
          </w:tcPr>
          <w:p w14:paraId="29B21F8D" w14:textId="77777777" w:rsidR="00330EAA" w:rsidRPr="00E70587" w:rsidRDefault="00330EAA" w:rsidP="00474D3D">
            <w:pPr>
              <w:pStyle w:val="tabletxtsubtotal"/>
              <w:pBdr>
                <w:bottom w:val="none" w:sz="0" w:space="0" w:color="auto"/>
              </w:pBdr>
              <w:tabs>
                <w:tab w:val="clear" w:pos="782"/>
              </w:tabs>
              <w:spacing w:line="280" w:lineRule="exact"/>
              <w:rPr>
                <w:rFonts w:ascii="Arial" w:hAnsi="Arial" w:cs="Arial"/>
                <w:sz w:val="20"/>
              </w:rPr>
            </w:pPr>
          </w:p>
        </w:tc>
        <w:tc>
          <w:tcPr>
            <w:tcW w:w="1701" w:type="dxa"/>
            <w:tcBorders>
              <w:bottom w:val="single" w:sz="4" w:space="0" w:color="auto"/>
            </w:tcBorders>
            <w:tcMar>
              <w:left w:w="57" w:type="dxa"/>
            </w:tcMar>
            <w:vAlign w:val="bottom"/>
          </w:tcPr>
          <w:p w14:paraId="31712290" w14:textId="77777777" w:rsidR="00330EAA" w:rsidRPr="00E70587" w:rsidRDefault="00330EAA" w:rsidP="00474D3D">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Effective interest rate</w:t>
            </w:r>
          </w:p>
        </w:tc>
        <w:tc>
          <w:tcPr>
            <w:tcW w:w="1418" w:type="dxa"/>
            <w:tcBorders>
              <w:bottom w:val="single" w:sz="4" w:space="0" w:color="auto"/>
            </w:tcBorders>
            <w:tcMar>
              <w:left w:w="28" w:type="dxa"/>
            </w:tcMar>
            <w:vAlign w:val="bottom"/>
          </w:tcPr>
          <w:p w14:paraId="5C47CCF2" w14:textId="77777777" w:rsidR="00330EAA" w:rsidRPr="00E70587" w:rsidRDefault="00330EAA" w:rsidP="00474D3D">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Maturity</w:t>
            </w:r>
          </w:p>
        </w:tc>
        <w:tc>
          <w:tcPr>
            <w:tcW w:w="1665" w:type="dxa"/>
            <w:tcBorders>
              <w:bottom w:val="single" w:sz="4" w:space="0" w:color="auto"/>
            </w:tcBorders>
            <w:vAlign w:val="bottom"/>
          </w:tcPr>
          <w:p w14:paraId="498E4990" w14:textId="4930243B" w:rsidR="00330EAA" w:rsidRPr="00E70587" w:rsidRDefault="00330EAA" w:rsidP="00474D3D">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EE4FD0" w:rsidRPr="00E70587">
              <w:rPr>
                <w:rFonts w:ascii="Arial" w:hAnsi="Arial"/>
                <w:color w:val="auto"/>
                <w:sz w:val="20"/>
                <w:szCs w:val="20"/>
                <w:lang w:val="en-IN"/>
              </w:rPr>
              <w:t>20</w:t>
            </w:r>
            <w:r w:rsidR="00EE4FD0">
              <w:rPr>
                <w:rFonts w:ascii="Arial" w:hAnsi="Arial"/>
                <w:color w:val="auto"/>
                <w:sz w:val="20"/>
                <w:szCs w:val="20"/>
                <w:lang w:val="en-IN"/>
              </w:rPr>
              <w:t>21</w:t>
            </w:r>
          </w:p>
        </w:tc>
        <w:tc>
          <w:tcPr>
            <w:tcW w:w="1665" w:type="dxa"/>
            <w:tcBorders>
              <w:bottom w:val="single" w:sz="4" w:space="0" w:color="auto"/>
            </w:tcBorders>
            <w:vAlign w:val="bottom"/>
          </w:tcPr>
          <w:p w14:paraId="72A8F77F" w14:textId="56EAD2C2" w:rsidR="00330EAA" w:rsidRPr="00E70587" w:rsidRDefault="00330EAA" w:rsidP="00474D3D">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EE4FD0" w:rsidRPr="00E70587">
              <w:rPr>
                <w:rFonts w:ascii="Arial" w:hAnsi="Arial"/>
                <w:color w:val="auto"/>
                <w:sz w:val="20"/>
                <w:szCs w:val="20"/>
                <w:lang w:val="en-IN"/>
              </w:rPr>
              <w:t>20</w:t>
            </w:r>
            <w:r w:rsidR="00EE4FD0">
              <w:rPr>
                <w:rFonts w:ascii="Arial" w:hAnsi="Arial"/>
                <w:color w:val="auto"/>
                <w:sz w:val="20"/>
                <w:szCs w:val="20"/>
                <w:lang w:val="en-IN"/>
              </w:rPr>
              <w:t>20</w:t>
            </w:r>
          </w:p>
        </w:tc>
      </w:tr>
      <w:tr w:rsidR="00330EAA" w:rsidRPr="00E70587" w14:paraId="38E25625" w14:textId="77777777" w:rsidTr="00330EAA">
        <w:tc>
          <w:tcPr>
            <w:tcW w:w="2977" w:type="dxa"/>
            <w:tcMar>
              <w:left w:w="28" w:type="dxa"/>
            </w:tcMar>
            <w:vAlign w:val="center"/>
          </w:tcPr>
          <w:p w14:paraId="410C3F27"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rPr>
            </w:pPr>
          </w:p>
        </w:tc>
        <w:tc>
          <w:tcPr>
            <w:tcW w:w="1701" w:type="dxa"/>
            <w:vAlign w:val="bottom"/>
          </w:tcPr>
          <w:p w14:paraId="0DDF9F20" w14:textId="77777777" w:rsidR="00330EAA" w:rsidRPr="00E70587" w:rsidRDefault="00330EAA" w:rsidP="00474D3D">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w:t>
            </w:r>
          </w:p>
        </w:tc>
        <w:tc>
          <w:tcPr>
            <w:tcW w:w="1418" w:type="dxa"/>
            <w:tcMar>
              <w:left w:w="28" w:type="dxa"/>
            </w:tcMar>
            <w:vAlign w:val="bottom"/>
          </w:tcPr>
          <w:p w14:paraId="56E84DF0" w14:textId="77777777" w:rsidR="00330EAA" w:rsidRPr="00E70587" w:rsidRDefault="00330EAA" w:rsidP="00474D3D">
            <w:pPr>
              <w:pStyle w:val="Tablecolumnheading"/>
              <w:spacing w:line="280" w:lineRule="exact"/>
              <w:rPr>
                <w:rFonts w:ascii="Arial" w:hAnsi="Arial"/>
                <w:color w:val="auto"/>
                <w:sz w:val="20"/>
                <w:szCs w:val="20"/>
                <w:lang w:val="en-IN"/>
              </w:rPr>
            </w:pPr>
          </w:p>
        </w:tc>
        <w:tc>
          <w:tcPr>
            <w:tcW w:w="1665" w:type="dxa"/>
            <w:vAlign w:val="center"/>
          </w:tcPr>
          <w:p w14:paraId="2902DCAF" w14:textId="77777777" w:rsidR="00330EAA" w:rsidRPr="00E70587" w:rsidRDefault="00330EAA" w:rsidP="00474D3D">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665" w:type="dxa"/>
            <w:vAlign w:val="center"/>
          </w:tcPr>
          <w:p w14:paraId="6DD90003" w14:textId="77777777" w:rsidR="00330EAA" w:rsidRPr="00E70587" w:rsidRDefault="00330EAA" w:rsidP="00474D3D">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330EAA" w:rsidRPr="00E70587" w14:paraId="6BD8C44C" w14:textId="77777777" w:rsidTr="00330EAA">
        <w:tc>
          <w:tcPr>
            <w:tcW w:w="2977" w:type="dxa"/>
            <w:tcMar>
              <w:left w:w="28" w:type="dxa"/>
            </w:tcMar>
            <w:vAlign w:val="center"/>
          </w:tcPr>
          <w:p w14:paraId="5E0FA860"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Non-current Borrowings</w:t>
            </w:r>
          </w:p>
        </w:tc>
        <w:tc>
          <w:tcPr>
            <w:tcW w:w="1701" w:type="dxa"/>
            <w:vAlign w:val="center"/>
          </w:tcPr>
          <w:p w14:paraId="19BB4A09" w14:textId="77777777" w:rsidR="00330EAA" w:rsidRPr="00E70587" w:rsidRDefault="00330EAA" w:rsidP="00DC73E1">
            <w:pPr>
              <w:pStyle w:val="Tablecolumnheading"/>
              <w:spacing w:line="280" w:lineRule="exact"/>
              <w:rPr>
                <w:rFonts w:ascii="Arial" w:hAnsi="Arial"/>
                <w:b w:val="0"/>
                <w:color w:val="auto"/>
                <w:sz w:val="20"/>
                <w:szCs w:val="20"/>
                <w:lang w:val="en-IN"/>
              </w:rPr>
            </w:pPr>
          </w:p>
        </w:tc>
        <w:tc>
          <w:tcPr>
            <w:tcW w:w="1418" w:type="dxa"/>
            <w:tcMar>
              <w:left w:w="28" w:type="dxa"/>
            </w:tcMar>
            <w:vAlign w:val="center"/>
          </w:tcPr>
          <w:p w14:paraId="411408F8" w14:textId="77777777" w:rsidR="00330EAA" w:rsidRPr="00E70587" w:rsidRDefault="00330EAA" w:rsidP="00DC73E1">
            <w:pPr>
              <w:pStyle w:val="Tablecolumnheading"/>
              <w:spacing w:line="280" w:lineRule="exact"/>
              <w:rPr>
                <w:rFonts w:ascii="Arial" w:hAnsi="Arial"/>
                <w:b w:val="0"/>
                <w:color w:val="auto"/>
                <w:sz w:val="20"/>
                <w:szCs w:val="20"/>
                <w:lang w:val="en-IN"/>
              </w:rPr>
            </w:pPr>
          </w:p>
        </w:tc>
        <w:tc>
          <w:tcPr>
            <w:tcW w:w="1665" w:type="dxa"/>
            <w:vAlign w:val="center"/>
          </w:tcPr>
          <w:p w14:paraId="38A8F9CC" w14:textId="77777777" w:rsidR="00330EAA" w:rsidRPr="00E70587" w:rsidRDefault="00330EAA" w:rsidP="00DC73E1">
            <w:pPr>
              <w:pStyle w:val="Tablecolumnheading"/>
              <w:spacing w:line="280" w:lineRule="exact"/>
              <w:rPr>
                <w:rFonts w:ascii="Arial" w:hAnsi="Arial"/>
                <w:color w:val="auto"/>
                <w:sz w:val="20"/>
                <w:szCs w:val="20"/>
                <w:lang w:val="en-IN"/>
              </w:rPr>
            </w:pPr>
          </w:p>
        </w:tc>
        <w:tc>
          <w:tcPr>
            <w:tcW w:w="1665" w:type="dxa"/>
            <w:vAlign w:val="center"/>
          </w:tcPr>
          <w:p w14:paraId="4583C992" w14:textId="77777777" w:rsidR="00330EAA" w:rsidRPr="00E70587" w:rsidRDefault="00330EAA" w:rsidP="00DC73E1">
            <w:pPr>
              <w:pStyle w:val="Tablecolumnheading"/>
              <w:spacing w:line="280" w:lineRule="exact"/>
              <w:rPr>
                <w:rFonts w:ascii="Arial" w:hAnsi="Arial"/>
                <w:color w:val="auto"/>
                <w:sz w:val="20"/>
                <w:szCs w:val="20"/>
                <w:lang w:val="en-IN"/>
              </w:rPr>
            </w:pPr>
          </w:p>
        </w:tc>
      </w:tr>
      <w:tr w:rsidR="00330EAA" w:rsidRPr="00E70587" w14:paraId="3536D21E" w14:textId="77777777" w:rsidTr="00330EAA">
        <w:tc>
          <w:tcPr>
            <w:tcW w:w="2977" w:type="dxa"/>
            <w:tcMar>
              <w:left w:w="28" w:type="dxa"/>
            </w:tcMar>
            <w:vAlign w:val="center"/>
          </w:tcPr>
          <w:p w14:paraId="75EF84C7"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Debentures</w:t>
            </w:r>
          </w:p>
        </w:tc>
        <w:tc>
          <w:tcPr>
            <w:tcW w:w="1701" w:type="dxa"/>
            <w:vAlign w:val="center"/>
          </w:tcPr>
          <w:p w14:paraId="00C5B92A" w14:textId="77777777" w:rsidR="00330EAA" w:rsidRPr="00E70587" w:rsidRDefault="00330EAA" w:rsidP="00DC73E1">
            <w:pPr>
              <w:pStyle w:val="Tablecolumnheading"/>
              <w:spacing w:line="280" w:lineRule="exact"/>
              <w:rPr>
                <w:rFonts w:ascii="Arial" w:hAnsi="Arial"/>
                <w:b w:val="0"/>
                <w:color w:val="auto"/>
                <w:sz w:val="20"/>
                <w:szCs w:val="20"/>
                <w:lang w:val="en-IN"/>
              </w:rPr>
            </w:pPr>
          </w:p>
        </w:tc>
        <w:tc>
          <w:tcPr>
            <w:tcW w:w="1418" w:type="dxa"/>
            <w:tcMar>
              <w:left w:w="28" w:type="dxa"/>
            </w:tcMar>
            <w:vAlign w:val="center"/>
          </w:tcPr>
          <w:p w14:paraId="3C5D1EE7" w14:textId="77777777" w:rsidR="00330EAA" w:rsidRPr="00E70587" w:rsidRDefault="00330EAA" w:rsidP="00DC73E1">
            <w:pPr>
              <w:pStyle w:val="Tablecolumnheading"/>
              <w:spacing w:line="280" w:lineRule="exact"/>
              <w:rPr>
                <w:rFonts w:ascii="Arial" w:hAnsi="Arial"/>
                <w:b w:val="0"/>
                <w:color w:val="auto"/>
                <w:sz w:val="20"/>
                <w:szCs w:val="20"/>
                <w:lang w:val="en-IN"/>
              </w:rPr>
            </w:pPr>
          </w:p>
        </w:tc>
        <w:tc>
          <w:tcPr>
            <w:tcW w:w="1665" w:type="dxa"/>
            <w:vAlign w:val="center"/>
          </w:tcPr>
          <w:p w14:paraId="5B7768EC" w14:textId="77777777" w:rsidR="00330EAA" w:rsidRPr="00E70587" w:rsidRDefault="00330EAA" w:rsidP="00DC73E1">
            <w:pPr>
              <w:pStyle w:val="Tablecolumnheading"/>
              <w:spacing w:line="280" w:lineRule="exact"/>
              <w:rPr>
                <w:rFonts w:ascii="Arial" w:hAnsi="Arial"/>
                <w:color w:val="auto"/>
                <w:sz w:val="20"/>
                <w:szCs w:val="20"/>
                <w:lang w:val="en-IN"/>
              </w:rPr>
            </w:pPr>
          </w:p>
        </w:tc>
        <w:tc>
          <w:tcPr>
            <w:tcW w:w="1665" w:type="dxa"/>
            <w:vAlign w:val="center"/>
          </w:tcPr>
          <w:p w14:paraId="0F010559" w14:textId="77777777" w:rsidR="00330EAA" w:rsidRPr="00E70587" w:rsidRDefault="00330EAA" w:rsidP="00DC73E1">
            <w:pPr>
              <w:pStyle w:val="Tablecolumnheading"/>
              <w:spacing w:line="280" w:lineRule="exact"/>
              <w:rPr>
                <w:rFonts w:ascii="Arial" w:hAnsi="Arial"/>
                <w:color w:val="auto"/>
                <w:sz w:val="20"/>
                <w:szCs w:val="20"/>
                <w:lang w:val="en-IN"/>
              </w:rPr>
            </w:pPr>
          </w:p>
        </w:tc>
      </w:tr>
      <w:tr w:rsidR="00330EAA" w:rsidRPr="00E70587" w14:paraId="4C1A848B" w14:textId="77777777" w:rsidTr="00330EAA">
        <w:tc>
          <w:tcPr>
            <w:tcW w:w="2977" w:type="dxa"/>
            <w:tcMar>
              <w:left w:w="28" w:type="dxa"/>
            </w:tcMar>
            <w:vAlign w:val="center"/>
          </w:tcPr>
          <w:p w14:paraId="132797E0"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sz w:val="20"/>
                <w:lang w:val="en-IN"/>
              </w:rPr>
              <w:t>8% debentures (unsecured)</w:t>
            </w:r>
          </w:p>
        </w:tc>
        <w:tc>
          <w:tcPr>
            <w:tcW w:w="1701" w:type="dxa"/>
            <w:vAlign w:val="center"/>
          </w:tcPr>
          <w:p w14:paraId="70FA3115"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8.2</w:t>
            </w:r>
          </w:p>
        </w:tc>
        <w:tc>
          <w:tcPr>
            <w:tcW w:w="1418" w:type="dxa"/>
            <w:tcMar>
              <w:left w:w="28" w:type="dxa"/>
            </w:tcMar>
            <w:vAlign w:val="center"/>
          </w:tcPr>
          <w:p w14:paraId="4939E21F" w14:textId="7E8A9327" w:rsidR="00330EAA" w:rsidRPr="00EE326D" w:rsidRDefault="005E3C3D" w:rsidP="0010492C">
            <w:pPr>
              <w:pStyle w:val="Tablecolumnheading"/>
              <w:spacing w:line="280" w:lineRule="exact"/>
              <w:rPr>
                <w:rFonts w:ascii="Arial" w:hAnsi="Arial"/>
                <w:b w:val="0"/>
                <w:color w:val="auto"/>
                <w:sz w:val="20"/>
                <w:szCs w:val="20"/>
                <w:lang w:val="en-IN"/>
              </w:rPr>
            </w:pPr>
            <w:r w:rsidRPr="00EE326D">
              <w:rPr>
                <w:rFonts w:ascii="Arial" w:hAnsi="Arial"/>
                <w:b w:val="0"/>
                <w:color w:val="auto"/>
                <w:sz w:val="20"/>
                <w:szCs w:val="20"/>
                <w:lang w:val="en-IN"/>
              </w:rPr>
              <w:t>2023</w:t>
            </w:r>
            <w:r w:rsidR="00330EAA" w:rsidRPr="00EE326D">
              <w:rPr>
                <w:rFonts w:ascii="Arial" w:hAnsi="Arial"/>
                <w:b w:val="0"/>
                <w:color w:val="auto"/>
                <w:sz w:val="20"/>
                <w:szCs w:val="20"/>
                <w:lang w:val="en-IN"/>
              </w:rPr>
              <w:t>-</w:t>
            </w:r>
            <w:r w:rsidR="00C82B2E" w:rsidRPr="00EE326D">
              <w:rPr>
                <w:rFonts w:ascii="Arial" w:hAnsi="Arial"/>
                <w:b w:val="0"/>
                <w:color w:val="auto"/>
                <w:sz w:val="20"/>
                <w:szCs w:val="20"/>
                <w:lang w:val="en-IN"/>
              </w:rPr>
              <w:t>2027</w:t>
            </w:r>
          </w:p>
        </w:tc>
        <w:tc>
          <w:tcPr>
            <w:tcW w:w="1665" w:type="dxa"/>
            <w:vAlign w:val="center"/>
          </w:tcPr>
          <w:p w14:paraId="4CA4A3E4" w14:textId="77777777" w:rsidR="00330EAA" w:rsidRPr="00E70587" w:rsidRDefault="00330EAA" w:rsidP="00DC73E1">
            <w:pPr>
              <w:pStyle w:val="Tablecolumnheading"/>
              <w:spacing w:line="280" w:lineRule="exact"/>
              <w:rPr>
                <w:rFonts w:ascii="Arial" w:hAnsi="Arial"/>
                <w:color w:val="auto"/>
                <w:sz w:val="20"/>
                <w:szCs w:val="20"/>
                <w:lang w:val="en-IN"/>
              </w:rPr>
            </w:pPr>
            <w:r w:rsidRPr="00E70587">
              <w:rPr>
                <w:rFonts w:ascii="Arial" w:hAnsi="Arial"/>
                <w:b w:val="0"/>
                <w:color w:val="auto"/>
                <w:sz w:val="20"/>
                <w:szCs w:val="20"/>
                <w:lang w:val="en-IN"/>
              </w:rPr>
              <w:t>5,677</w:t>
            </w:r>
          </w:p>
        </w:tc>
        <w:tc>
          <w:tcPr>
            <w:tcW w:w="1665" w:type="dxa"/>
            <w:vAlign w:val="center"/>
          </w:tcPr>
          <w:p w14:paraId="6330397E" w14:textId="77777777" w:rsidR="00330EAA" w:rsidRPr="00E70587" w:rsidRDefault="00330EAA" w:rsidP="00DC73E1">
            <w:pPr>
              <w:pStyle w:val="Tablecolumnheading"/>
              <w:spacing w:line="280" w:lineRule="exact"/>
              <w:rPr>
                <w:rFonts w:ascii="Arial" w:hAnsi="Arial"/>
                <w:color w:val="auto"/>
                <w:sz w:val="20"/>
                <w:szCs w:val="20"/>
                <w:lang w:val="en-IN"/>
              </w:rPr>
            </w:pPr>
            <w:r w:rsidRPr="00E70587">
              <w:rPr>
                <w:rFonts w:ascii="Arial" w:hAnsi="Arial"/>
                <w:b w:val="0"/>
                <w:color w:val="auto"/>
                <w:sz w:val="20"/>
                <w:szCs w:val="20"/>
                <w:lang w:val="en-IN"/>
              </w:rPr>
              <w:t xml:space="preserve">5,677 </w:t>
            </w:r>
          </w:p>
        </w:tc>
      </w:tr>
      <w:tr w:rsidR="00330EAA" w:rsidRPr="00E70587" w14:paraId="170840AA" w14:textId="77777777" w:rsidTr="00330EAA">
        <w:tc>
          <w:tcPr>
            <w:tcW w:w="2977" w:type="dxa"/>
            <w:tcMar>
              <w:left w:w="28" w:type="dxa"/>
            </w:tcMar>
            <w:vAlign w:val="center"/>
          </w:tcPr>
          <w:p w14:paraId="305BA64F"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rPr>
            </w:pPr>
          </w:p>
        </w:tc>
        <w:tc>
          <w:tcPr>
            <w:tcW w:w="1701" w:type="dxa"/>
            <w:vAlign w:val="center"/>
          </w:tcPr>
          <w:p w14:paraId="4707E80F" w14:textId="77777777" w:rsidR="00330EAA" w:rsidRPr="00E70587" w:rsidRDefault="00330EAA" w:rsidP="00DC73E1">
            <w:pPr>
              <w:pStyle w:val="Tablecolumnheading"/>
              <w:spacing w:line="280" w:lineRule="exact"/>
              <w:rPr>
                <w:rFonts w:ascii="Arial" w:hAnsi="Arial"/>
                <w:b w:val="0"/>
                <w:color w:val="auto"/>
                <w:sz w:val="20"/>
                <w:szCs w:val="20"/>
                <w:lang w:val="en-IN"/>
              </w:rPr>
            </w:pPr>
          </w:p>
        </w:tc>
        <w:tc>
          <w:tcPr>
            <w:tcW w:w="1418" w:type="dxa"/>
            <w:tcMar>
              <w:left w:w="28" w:type="dxa"/>
            </w:tcMar>
            <w:vAlign w:val="center"/>
          </w:tcPr>
          <w:p w14:paraId="155E6C9B" w14:textId="77777777" w:rsidR="00330EAA" w:rsidRPr="00EE326D" w:rsidRDefault="00330EAA" w:rsidP="00DC73E1">
            <w:pPr>
              <w:pStyle w:val="Tablecolumnheading"/>
              <w:spacing w:line="280" w:lineRule="exact"/>
              <w:rPr>
                <w:rFonts w:ascii="Arial" w:hAnsi="Arial"/>
                <w:b w:val="0"/>
                <w:color w:val="auto"/>
                <w:sz w:val="20"/>
                <w:szCs w:val="20"/>
                <w:lang w:val="en-IN"/>
              </w:rPr>
            </w:pPr>
          </w:p>
        </w:tc>
        <w:tc>
          <w:tcPr>
            <w:tcW w:w="1665" w:type="dxa"/>
            <w:vAlign w:val="center"/>
          </w:tcPr>
          <w:p w14:paraId="62793206" w14:textId="77777777" w:rsidR="00330EAA" w:rsidRPr="00E70587" w:rsidRDefault="00330EAA" w:rsidP="00DC73E1">
            <w:pPr>
              <w:pStyle w:val="Tablecolumnheading"/>
              <w:spacing w:line="280" w:lineRule="exact"/>
              <w:rPr>
                <w:rFonts w:ascii="Arial" w:hAnsi="Arial"/>
                <w:b w:val="0"/>
                <w:color w:val="auto"/>
                <w:sz w:val="20"/>
                <w:szCs w:val="20"/>
                <w:lang w:val="en-IN"/>
              </w:rPr>
            </w:pPr>
          </w:p>
        </w:tc>
        <w:tc>
          <w:tcPr>
            <w:tcW w:w="1665" w:type="dxa"/>
            <w:vAlign w:val="center"/>
          </w:tcPr>
          <w:p w14:paraId="5E810777" w14:textId="77777777" w:rsidR="00330EAA" w:rsidRPr="00E70587" w:rsidRDefault="00330EAA" w:rsidP="00DC73E1">
            <w:pPr>
              <w:pStyle w:val="Tablecolumnheading"/>
              <w:spacing w:line="280" w:lineRule="exact"/>
              <w:rPr>
                <w:rFonts w:ascii="Arial" w:hAnsi="Arial"/>
                <w:b w:val="0"/>
                <w:color w:val="auto"/>
                <w:sz w:val="20"/>
                <w:szCs w:val="20"/>
                <w:lang w:val="en-IN"/>
              </w:rPr>
            </w:pPr>
          </w:p>
        </w:tc>
      </w:tr>
      <w:tr w:rsidR="00330EAA" w:rsidRPr="00E70587" w:rsidDel="002A3CB1" w14:paraId="6D4B61BE" w14:textId="77777777" w:rsidTr="00330EAA">
        <w:tc>
          <w:tcPr>
            <w:tcW w:w="2977" w:type="dxa"/>
            <w:tcMar>
              <w:left w:w="28" w:type="dxa"/>
            </w:tcMar>
            <w:vAlign w:val="center"/>
          </w:tcPr>
          <w:p w14:paraId="32A58AD5" w14:textId="77777777" w:rsidR="00330EAA" w:rsidRPr="00E70587" w:rsidDel="002A3CB1"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Term Loan</w:t>
            </w:r>
          </w:p>
        </w:tc>
        <w:tc>
          <w:tcPr>
            <w:tcW w:w="1701" w:type="dxa"/>
            <w:vAlign w:val="center"/>
          </w:tcPr>
          <w:p w14:paraId="13CBD563" w14:textId="77777777" w:rsidR="00330EAA" w:rsidRPr="00E70587" w:rsidDel="002A3CB1" w:rsidRDefault="00330EAA" w:rsidP="00DC73E1">
            <w:pPr>
              <w:pStyle w:val="Tablecolumnheading"/>
              <w:spacing w:line="280" w:lineRule="exact"/>
              <w:rPr>
                <w:rFonts w:ascii="Arial" w:hAnsi="Arial"/>
                <w:b w:val="0"/>
                <w:color w:val="auto"/>
                <w:sz w:val="20"/>
                <w:szCs w:val="20"/>
                <w:lang w:val="en-IN"/>
              </w:rPr>
            </w:pPr>
          </w:p>
        </w:tc>
        <w:tc>
          <w:tcPr>
            <w:tcW w:w="1418" w:type="dxa"/>
            <w:tcMar>
              <w:left w:w="28" w:type="dxa"/>
            </w:tcMar>
            <w:vAlign w:val="center"/>
          </w:tcPr>
          <w:p w14:paraId="0DC5FFCC" w14:textId="77777777" w:rsidR="00330EAA" w:rsidRPr="00EE326D" w:rsidDel="002A3CB1" w:rsidRDefault="00330EAA" w:rsidP="00DC73E1">
            <w:pPr>
              <w:pStyle w:val="Tablecolumnheading"/>
              <w:spacing w:line="280" w:lineRule="exact"/>
              <w:rPr>
                <w:rFonts w:ascii="Arial" w:hAnsi="Arial"/>
                <w:b w:val="0"/>
                <w:color w:val="auto"/>
                <w:sz w:val="20"/>
                <w:szCs w:val="20"/>
                <w:lang w:val="en-IN"/>
              </w:rPr>
            </w:pPr>
          </w:p>
        </w:tc>
        <w:tc>
          <w:tcPr>
            <w:tcW w:w="1665" w:type="dxa"/>
            <w:vAlign w:val="center"/>
          </w:tcPr>
          <w:p w14:paraId="7FF2FDDC" w14:textId="77777777" w:rsidR="00330EAA" w:rsidRPr="00E70587" w:rsidDel="002A3CB1" w:rsidRDefault="00330EAA" w:rsidP="00DC73E1">
            <w:pPr>
              <w:pStyle w:val="Tablecolumnheading"/>
              <w:spacing w:line="280" w:lineRule="exact"/>
              <w:rPr>
                <w:rFonts w:ascii="Arial" w:hAnsi="Arial"/>
                <w:b w:val="0"/>
                <w:color w:val="auto"/>
                <w:sz w:val="20"/>
                <w:szCs w:val="20"/>
                <w:lang w:val="en-IN"/>
              </w:rPr>
            </w:pPr>
          </w:p>
        </w:tc>
        <w:tc>
          <w:tcPr>
            <w:tcW w:w="1665" w:type="dxa"/>
            <w:vAlign w:val="center"/>
          </w:tcPr>
          <w:p w14:paraId="2801EF70" w14:textId="77777777" w:rsidR="00330EAA" w:rsidRPr="00E70587" w:rsidDel="002A3CB1" w:rsidRDefault="00330EAA" w:rsidP="00DC73E1">
            <w:pPr>
              <w:pStyle w:val="Tablecolumnheading"/>
              <w:spacing w:line="280" w:lineRule="exact"/>
              <w:rPr>
                <w:rFonts w:ascii="Arial" w:hAnsi="Arial"/>
                <w:b w:val="0"/>
                <w:color w:val="auto"/>
                <w:sz w:val="20"/>
                <w:szCs w:val="20"/>
                <w:lang w:val="en-IN"/>
              </w:rPr>
            </w:pPr>
          </w:p>
        </w:tc>
      </w:tr>
      <w:tr w:rsidR="00330EAA" w:rsidRPr="00E70587" w:rsidDel="002A3CB1" w14:paraId="5C40727C" w14:textId="77777777" w:rsidTr="00330EAA">
        <w:tc>
          <w:tcPr>
            <w:tcW w:w="2977" w:type="dxa"/>
            <w:tcMar>
              <w:left w:w="28" w:type="dxa"/>
            </w:tcMar>
            <w:vAlign w:val="center"/>
          </w:tcPr>
          <w:p w14:paraId="7FF1AFDA" w14:textId="77777777" w:rsidR="00330EAA" w:rsidRPr="00E70587" w:rsidDel="002A3CB1"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From Bank</w:t>
            </w:r>
          </w:p>
        </w:tc>
        <w:tc>
          <w:tcPr>
            <w:tcW w:w="1701" w:type="dxa"/>
            <w:vAlign w:val="center"/>
          </w:tcPr>
          <w:p w14:paraId="75F44BE2" w14:textId="77777777" w:rsidR="00330EAA" w:rsidRPr="00E70587" w:rsidDel="002A3CB1" w:rsidRDefault="00330EAA" w:rsidP="00DC73E1">
            <w:pPr>
              <w:pStyle w:val="Tablecolumnheading"/>
              <w:spacing w:line="280" w:lineRule="exact"/>
              <w:rPr>
                <w:rFonts w:ascii="Arial" w:hAnsi="Arial"/>
                <w:b w:val="0"/>
                <w:color w:val="auto"/>
                <w:sz w:val="20"/>
                <w:szCs w:val="20"/>
                <w:lang w:val="en-IN"/>
              </w:rPr>
            </w:pPr>
          </w:p>
        </w:tc>
        <w:tc>
          <w:tcPr>
            <w:tcW w:w="1418" w:type="dxa"/>
            <w:tcMar>
              <w:left w:w="28" w:type="dxa"/>
            </w:tcMar>
            <w:vAlign w:val="center"/>
          </w:tcPr>
          <w:p w14:paraId="38100986" w14:textId="77777777" w:rsidR="00330EAA" w:rsidRPr="00EE326D" w:rsidDel="002A3CB1" w:rsidRDefault="00330EAA" w:rsidP="00DC73E1">
            <w:pPr>
              <w:pStyle w:val="Tablecolumnheading"/>
              <w:spacing w:line="280" w:lineRule="exact"/>
              <w:rPr>
                <w:rFonts w:ascii="Arial" w:hAnsi="Arial"/>
                <w:b w:val="0"/>
                <w:color w:val="auto"/>
                <w:sz w:val="20"/>
                <w:szCs w:val="20"/>
                <w:lang w:val="en-IN"/>
              </w:rPr>
            </w:pPr>
          </w:p>
        </w:tc>
        <w:tc>
          <w:tcPr>
            <w:tcW w:w="1665" w:type="dxa"/>
            <w:vAlign w:val="center"/>
          </w:tcPr>
          <w:p w14:paraId="5A4A2D39" w14:textId="77777777" w:rsidR="00330EAA" w:rsidRPr="00E70587" w:rsidDel="002A3CB1" w:rsidRDefault="00330EAA" w:rsidP="00DC73E1">
            <w:pPr>
              <w:pStyle w:val="Tablecolumnheading"/>
              <w:spacing w:line="280" w:lineRule="exact"/>
              <w:rPr>
                <w:rFonts w:ascii="Arial" w:hAnsi="Arial"/>
                <w:b w:val="0"/>
                <w:color w:val="auto"/>
                <w:sz w:val="20"/>
                <w:szCs w:val="20"/>
                <w:lang w:val="en-IN"/>
              </w:rPr>
            </w:pPr>
          </w:p>
        </w:tc>
        <w:tc>
          <w:tcPr>
            <w:tcW w:w="1665" w:type="dxa"/>
            <w:vAlign w:val="center"/>
          </w:tcPr>
          <w:p w14:paraId="6AB5D1D9" w14:textId="77777777" w:rsidR="00330EAA" w:rsidRPr="00E70587" w:rsidDel="002A3CB1" w:rsidRDefault="00330EAA" w:rsidP="00DC73E1">
            <w:pPr>
              <w:pStyle w:val="Tablecolumnheading"/>
              <w:spacing w:line="280" w:lineRule="exact"/>
              <w:rPr>
                <w:rFonts w:ascii="Arial" w:hAnsi="Arial"/>
                <w:b w:val="0"/>
                <w:color w:val="auto"/>
                <w:sz w:val="20"/>
                <w:szCs w:val="20"/>
                <w:lang w:val="en-IN"/>
              </w:rPr>
            </w:pPr>
          </w:p>
        </w:tc>
      </w:tr>
      <w:tr w:rsidR="00330EAA" w:rsidRPr="00E70587" w14:paraId="57F1DBEC" w14:textId="77777777" w:rsidTr="00330EAA">
        <w:tc>
          <w:tcPr>
            <w:tcW w:w="2977" w:type="dxa"/>
            <w:tcMar>
              <w:left w:w="28" w:type="dxa"/>
            </w:tcMar>
            <w:vAlign w:val="center"/>
          </w:tcPr>
          <w:p w14:paraId="2F74D42B"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Secured bank loan </w:t>
            </w:r>
          </w:p>
        </w:tc>
        <w:tc>
          <w:tcPr>
            <w:tcW w:w="1701" w:type="dxa"/>
            <w:vAlign w:val="center"/>
          </w:tcPr>
          <w:p w14:paraId="2FFC3649"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MIBOR + 2.0</w:t>
            </w:r>
          </w:p>
        </w:tc>
        <w:tc>
          <w:tcPr>
            <w:tcW w:w="1418" w:type="dxa"/>
            <w:tcMar>
              <w:left w:w="28" w:type="dxa"/>
            </w:tcMar>
            <w:vAlign w:val="center"/>
          </w:tcPr>
          <w:p w14:paraId="79BB5EFD" w14:textId="253C2A78" w:rsidR="00330EAA" w:rsidRPr="00EE326D" w:rsidRDefault="00330EAA" w:rsidP="0010492C">
            <w:pPr>
              <w:pStyle w:val="Tablecolumnheading"/>
              <w:spacing w:line="280" w:lineRule="exact"/>
              <w:rPr>
                <w:rFonts w:ascii="Arial" w:hAnsi="Arial"/>
                <w:b w:val="0"/>
                <w:color w:val="auto"/>
                <w:sz w:val="20"/>
                <w:szCs w:val="20"/>
                <w:lang w:val="en-IN"/>
              </w:rPr>
            </w:pPr>
            <w:r w:rsidRPr="00EE326D">
              <w:rPr>
                <w:rFonts w:ascii="Arial" w:hAnsi="Arial"/>
                <w:b w:val="0"/>
                <w:color w:val="auto"/>
                <w:sz w:val="20"/>
                <w:szCs w:val="20"/>
                <w:lang w:val="en-IN"/>
              </w:rPr>
              <w:t xml:space="preserve">31 July </w:t>
            </w:r>
            <w:r w:rsidR="005E3C3D" w:rsidRPr="00EE326D">
              <w:rPr>
                <w:rFonts w:ascii="Arial" w:hAnsi="Arial"/>
                <w:b w:val="0"/>
                <w:color w:val="auto"/>
                <w:sz w:val="20"/>
                <w:szCs w:val="20"/>
                <w:lang w:val="en-IN"/>
              </w:rPr>
              <w:t>2025</w:t>
            </w:r>
          </w:p>
        </w:tc>
        <w:tc>
          <w:tcPr>
            <w:tcW w:w="1665" w:type="dxa"/>
            <w:vAlign w:val="center"/>
          </w:tcPr>
          <w:p w14:paraId="24381343"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6,658</w:t>
            </w:r>
          </w:p>
        </w:tc>
        <w:tc>
          <w:tcPr>
            <w:tcW w:w="1665" w:type="dxa"/>
            <w:vAlign w:val="center"/>
          </w:tcPr>
          <w:p w14:paraId="1647B4DA"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 xml:space="preserve">6,280 </w:t>
            </w:r>
          </w:p>
        </w:tc>
      </w:tr>
      <w:tr w:rsidR="00330EAA" w:rsidRPr="00E70587" w14:paraId="70E05F7F" w14:textId="77777777" w:rsidTr="00330EAA">
        <w:tc>
          <w:tcPr>
            <w:tcW w:w="2977" w:type="dxa"/>
            <w:tcMar>
              <w:left w:w="28" w:type="dxa"/>
            </w:tcMar>
            <w:vAlign w:val="center"/>
          </w:tcPr>
          <w:p w14:paraId="748EC692"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8.25% secured loan of USD 67.4</w:t>
            </w:r>
          </w:p>
        </w:tc>
        <w:tc>
          <w:tcPr>
            <w:tcW w:w="1701" w:type="dxa"/>
            <w:vAlign w:val="center"/>
          </w:tcPr>
          <w:p w14:paraId="2464C714"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*MIBOR + 0.2</w:t>
            </w:r>
          </w:p>
        </w:tc>
        <w:tc>
          <w:tcPr>
            <w:tcW w:w="1418" w:type="dxa"/>
            <w:tcMar>
              <w:left w:w="28" w:type="dxa"/>
            </w:tcMar>
            <w:vAlign w:val="center"/>
          </w:tcPr>
          <w:p w14:paraId="4935FD71" w14:textId="1035F545" w:rsidR="00330EAA" w:rsidRPr="00EE326D" w:rsidRDefault="00330EAA" w:rsidP="0010492C">
            <w:pPr>
              <w:pStyle w:val="Tablecolumnheading"/>
              <w:spacing w:line="280" w:lineRule="exact"/>
              <w:rPr>
                <w:rFonts w:ascii="Arial" w:hAnsi="Arial"/>
                <w:b w:val="0"/>
                <w:color w:val="auto"/>
                <w:sz w:val="20"/>
                <w:szCs w:val="20"/>
                <w:lang w:val="en-IN"/>
              </w:rPr>
            </w:pPr>
            <w:r w:rsidRPr="00EE326D">
              <w:rPr>
                <w:rFonts w:ascii="Arial" w:hAnsi="Arial"/>
                <w:b w:val="0"/>
                <w:color w:val="auto"/>
                <w:sz w:val="20"/>
                <w:szCs w:val="20"/>
                <w:lang w:val="en-IN"/>
              </w:rPr>
              <w:t xml:space="preserve">31 May </w:t>
            </w:r>
            <w:r w:rsidR="005E3C3D" w:rsidRPr="00EE326D">
              <w:rPr>
                <w:rFonts w:ascii="Arial" w:hAnsi="Arial"/>
                <w:b w:val="0"/>
                <w:color w:val="auto"/>
                <w:sz w:val="20"/>
                <w:szCs w:val="20"/>
                <w:lang w:val="en-IN"/>
              </w:rPr>
              <w:t>2025</w:t>
            </w:r>
          </w:p>
        </w:tc>
        <w:tc>
          <w:tcPr>
            <w:tcW w:w="1665" w:type="dxa"/>
            <w:vAlign w:val="center"/>
          </w:tcPr>
          <w:p w14:paraId="3748B437"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 xml:space="preserve">4,044 </w:t>
            </w:r>
          </w:p>
        </w:tc>
        <w:tc>
          <w:tcPr>
            <w:tcW w:w="1665" w:type="dxa"/>
            <w:vAlign w:val="center"/>
          </w:tcPr>
          <w:p w14:paraId="7B36657D"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 xml:space="preserve"> -</w:t>
            </w:r>
          </w:p>
        </w:tc>
      </w:tr>
      <w:tr w:rsidR="00330EAA" w:rsidRPr="00E70587" w14:paraId="77028FC9" w14:textId="77777777" w:rsidTr="00330EAA">
        <w:tc>
          <w:tcPr>
            <w:tcW w:w="2977" w:type="dxa"/>
            <w:tcMar>
              <w:left w:w="28" w:type="dxa"/>
            </w:tcMar>
            <w:vAlign w:val="center"/>
          </w:tcPr>
          <w:p w14:paraId="6ABC8B56" w14:textId="77777777" w:rsidR="00330EAA" w:rsidRPr="00E70587" w:rsidRDefault="00330EAA" w:rsidP="0005253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INR 10,456 bank loan (unsecured) (note 21)</w:t>
            </w:r>
          </w:p>
        </w:tc>
        <w:tc>
          <w:tcPr>
            <w:tcW w:w="1701" w:type="dxa"/>
            <w:vAlign w:val="center"/>
          </w:tcPr>
          <w:p w14:paraId="5E3A5A5A"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7.5</w:t>
            </w:r>
          </w:p>
        </w:tc>
        <w:tc>
          <w:tcPr>
            <w:tcW w:w="1418" w:type="dxa"/>
            <w:tcMar>
              <w:left w:w="28" w:type="dxa"/>
            </w:tcMar>
            <w:vAlign w:val="center"/>
          </w:tcPr>
          <w:p w14:paraId="7FA90F0D" w14:textId="010F09F9" w:rsidR="00330EAA" w:rsidRPr="00EE326D" w:rsidRDefault="00330EAA" w:rsidP="0010492C">
            <w:pPr>
              <w:pStyle w:val="Tablecolumnheading"/>
              <w:spacing w:line="280" w:lineRule="exact"/>
              <w:rPr>
                <w:rFonts w:ascii="Arial" w:hAnsi="Arial"/>
                <w:b w:val="0"/>
                <w:color w:val="auto"/>
                <w:sz w:val="20"/>
                <w:szCs w:val="20"/>
                <w:lang w:val="en-IN"/>
              </w:rPr>
            </w:pPr>
            <w:r w:rsidRPr="00EE326D">
              <w:rPr>
                <w:rFonts w:ascii="Arial" w:hAnsi="Arial"/>
                <w:b w:val="0"/>
                <w:color w:val="auto"/>
                <w:sz w:val="20"/>
                <w:szCs w:val="20"/>
                <w:lang w:val="en-IN"/>
              </w:rPr>
              <w:t xml:space="preserve">31 March </w:t>
            </w:r>
            <w:r w:rsidR="005E3C3D" w:rsidRPr="00EE326D">
              <w:rPr>
                <w:rFonts w:ascii="Arial" w:hAnsi="Arial"/>
                <w:b w:val="0"/>
                <w:color w:val="auto"/>
                <w:sz w:val="20"/>
                <w:szCs w:val="20"/>
                <w:lang w:val="en-IN"/>
              </w:rPr>
              <w:t>2023</w:t>
            </w:r>
          </w:p>
        </w:tc>
        <w:tc>
          <w:tcPr>
            <w:tcW w:w="1665" w:type="dxa"/>
            <w:vAlign w:val="center"/>
          </w:tcPr>
          <w:p w14:paraId="13B35631"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w:t>
            </w:r>
          </w:p>
        </w:tc>
        <w:tc>
          <w:tcPr>
            <w:tcW w:w="1665" w:type="dxa"/>
            <w:vAlign w:val="center"/>
          </w:tcPr>
          <w:p w14:paraId="61FE6200"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 xml:space="preserve"> 10,456 </w:t>
            </w:r>
          </w:p>
        </w:tc>
      </w:tr>
      <w:tr w:rsidR="00330EAA" w:rsidRPr="00E70587" w14:paraId="27C1B92C" w14:textId="77777777" w:rsidTr="00330EAA">
        <w:tc>
          <w:tcPr>
            <w:tcW w:w="2977" w:type="dxa"/>
            <w:tcMar>
              <w:left w:w="28" w:type="dxa"/>
            </w:tcMar>
            <w:vAlign w:val="center"/>
          </w:tcPr>
          <w:p w14:paraId="3853008A"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INR 3,960 bank loan (unsecured)</w:t>
            </w:r>
          </w:p>
        </w:tc>
        <w:tc>
          <w:tcPr>
            <w:tcW w:w="1701" w:type="dxa"/>
            <w:vAlign w:val="center"/>
          </w:tcPr>
          <w:p w14:paraId="634884F9"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MIBOR + 0.5</w:t>
            </w:r>
          </w:p>
        </w:tc>
        <w:tc>
          <w:tcPr>
            <w:tcW w:w="1418" w:type="dxa"/>
            <w:tcMar>
              <w:left w:w="28" w:type="dxa"/>
            </w:tcMar>
            <w:vAlign w:val="center"/>
          </w:tcPr>
          <w:p w14:paraId="7022324D" w14:textId="38FE47E2" w:rsidR="00330EAA" w:rsidRPr="00EE326D" w:rsidRDefault="00330EAA" w:rsidP="0010492C">
            <w:pPr>
              <w:pStyle w:val="Tablecolumnheading"/>
              <w:spacing w:line="280" w:lineRule="exact"/>
              <w:rPr>
                <w:rFonts w:ascii="Arial" w:hAnsi="Arial"/>
                <w:b w:val="0"/>
                <w:color w:val="auto"/>
                <w:sz w:val="20"/>
                <w:szCs w:val="20"/>
                <w:lang w:val="en-IN"/>
              </w:rPr>
            </w:pPr>
            <w:r w:rsidRPr="00EE326D">
              <w:rPr>
                <w:rFonts w:ascii="Arial" w:hAnsi="Arial"/>
                <w:b w:val="0"/>
                <w:color w:val="auto"/>
                <w:sz w:val="20"/>
                <w:szCs w:val="20"/>
                <w:lang w:val="en-IN"/>
              </w:rPr>
              <w:t xml:space="preserve">31 March </w:t>
            </w:r>
            <w:r w:rsidR="005E3C3D" w:rsidRPr="00EE326D">
              <w:rPr>
                <w:rFonts w:ascii="Arial" w:hAnsi="Arial"/>
                <w:b w:val="0"/>
                <w:color w:val="auto"/>
                <w:sz w:val="20"/>
                <w:szCs w:val="20"/>
                <w:lang w:val="en-IN"/>
              </w:rPr>
              <w:t>2023</w:t>
            </w:r>
          </w:p>
        </w:tc>
        <w:tc>
          <w:tcPr>
            <w:tcW w:w="1665" w:type="dxa"/>
            <w:vAlign w:val="center"/>
          </w:tcPr>
          <w:p w14:paraId="6AF098C0"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 xml:space="preserve">3,740 </w:t>
            </w:r>
          </w:p>
        </w:tc>
        <w:tc>
          <w:tcPr>
            <w:tcW w:w="1665" w:type="dxa"/>
            <w:vAlign w:val="center"/>
          </w:tcPr>
          <w:p w14:paraId="2B20E36E"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 xml:space="preserve">3,740 </w:t>
            </w:r>
          </w:p>
        </w:tc>
      </w:tr>
      <w:tr w:rsidR="00330EAA" w:rsidRPr="00E70587" w14:paraId="547E435E" w14:textId="77777777" w:rsidTr="00330EAA">
        <w:tc>
          <w:tcPr>
            <w:tcW w:w="2977" w:type="dxa"/>
            <w:tcMar>
              <w:left w:w="28" w:type="dxa"/>
            </w:tcMar>
            <w:vAlign w:val="center"/>
          </w:tcPr>
          <w:p w14:paraId="4DE98807" w14:textId="77777777" w:rsidR="00330EAA" w:rsidRPr="00E70587" w:rsidRDefault="00330EAA" w:rsidP="0005253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INR 4,950 bank loan (unsecured)</w:t>
            </w:r>
          </w:p>
          <w:p w14:paraId="1314537B" w14:textId="77777777" w:rsidR="00330EAA" w:rsidRPr="00E70587" w:rsidRDefault="00330EAA" w:rsidP="00052535">
            <w:pPr>
              <w:pStyle w:val="tabletext"/>
              <w:overflowPunct w:val="0"/>
              <w:autoSpaceDE w:val="0"/>
              <w:autoSpaceDN w:val="0"/>
              <w:adjustRightInd w:val="0"/>
              <w:spacing w:line="280" w:lineRule="exact"/>
              <w:textAlignment w:val="baseline"/>
              <w:rPr>
                <w:rFonts w:ascii="Arial" w:hAnsi="Arial" w:cs="Arial"/>
                <w:sz w:val="20"/>
                <w:lang w:val="en-IN"/>
              </w:rPr>
            </w:pPr>
          </w:p>
        </w:tc>
        <w:tc>
          <w:tcPr>
            <w:tcW w:w="1701" w:type="dxa"/>
            <w:vAlign w:val="center"/>
          </w:tcPr>
          <w:p w14:paraId="0DD34E7C"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MIBOR + 1.1</w:t>
            </w:r>
          </w:p>
        </w:tc>
        <w:tc>
          <w:tcPr>
            <w:tcW w:w="1418" w:type="dxa"/>
            <w:tcMar>
              <w:left w:w="28" w:type="dxa"/>
            </w:tcMar>
            <w:vAlign w:val="center"/>
          </w:tcPr>
          <w:p w14:paraId="7E769261" w14:textId="5ECB8485" w:rsidR="00330EAA" w:rsidRPr="00EE326D" w:rsidRDefault="005E3C3D" w:rsidP="0010492C">
            <w:pPr>
              <w:pStyle w:val="Tablecolumnheading"/>
              <w:spacing w:line="280" w:lineRule="exact"/>
              <w:rPr>
                <w:rFonts w:ascii="Arial" w:hAnsi="Arial"/>
                <w:b w:val="0"/>
                <w:color w:val="auto"/>
                <w:sz w:val="20"/>
                <w:szCs w:val="20"/>
                <w:lang w:val="en-IN"/>
              </w:rPr>
            </w:pPr>
            <w:r w:rsidRPr="00EE326D">
              <w:rPr>
                <w:rFonts w:ascii="Arial" w:hAnsi="Arial"/>
                <w:b w:val="0"/>
                <w:color w:val="auto"/>
                <w:sz w:val="20"/>
                <w:szCs w:val="20"/>
                <w:lang w:val="en-IN"/>
              </w:rPr>
              <w:t>2022</w:t>
            </w:r>
            <w:r w:rsidR="00330EAA" w:rsidRPr="00EE326D">
              <w:rPr>
                <w:rFonts w:ascii="Arial" w:hAnsi="Arial"/>
                <w:b w:val="0"/>
                <w:color w:val="auto"/>
                <w:sz w:val="20"/>
                <w:szCs w:val="20"/>
                <w:lang w:val="en-IN"/>
              </w:rPr>
              <w:t>-</w:t>
            </w:r>
            <w:r w:rsidRPr="00EE326D">
              <w:rPr>
                <w:rFonts w:ascii="Arial" w:hAnsi="Arial"/>
                <w:b w:val="0"/>
                <w:color w:val="auto"/>
                <w:sz w:val="20"/>
                <w:szCs w:val="20"/>
                <w:lang w:val="en-IN"/>
              </w:rPr>
              <w:t>2024</w:t>
            </w:r>
          </w:p>
        </w:tc>
        <w:tc>
          <w:tcPr>
            <w:tcW w:w="1665" w:type="dxa"/>
            <w:vAlign w:val="center"/>
          </w:tcPr>
          <w:p w14:paraId="25DAA14E" w14:textId="77777777" w:rsidR="00330EAA" w:rsidRPr="00E70587" w:rsidRDefault="00330EAA" w:rsidP="00DC73E1">
            <w:pPr>
              <w:spacing w:line="280" w:lineRule="exact"/>
              <w:jc w:val="right"/>
              <w:rPr>
                <w:rFonts w:ascii="Arial" w:hAnsi="Arial" w:cs="Arial"/>
                <w:sz w:val="20"/>
              </w:rPr>
            </w:pPr>
            <w:r w:rsidRPr="00E70587">
              <w:rPr>
                <w:rFonts w:ascii="Arial" w:hAnsi="Arial" w:cs="Arial"/>
                <w:sz w:val="20"/>
              </w:rPr>
              <w:t xml:space="preserve"> 4,475 </w:t>
            </w:r>
          </w:p>
        </w:tc>
        <w:tc>
          <w:tcPr>
            <w:tcW w:w="1665" w:type="dxa"/>
            <w:vAlign w:val="center"/>
          </w:tcPr>
          <w:p w14:paraId="4F6AEFCC" w14:textId="77777777" w:rsidR="00330EAA" w:rsidRPr="00E70587" w:rsidRDefault="00330EAA" w:rsidP="00DC73E1">
            <w:pPr>
              <w:spacing w:line="280" w:lineRule="exact"/>
              <w:jc w:val="right"/>
              <w:rPr>
                <w:rFonts w:ascii="Arial" w:hAnsi="Arial" w:cs="Arial"/>
                <w:sz w:val="20"/>
              </w:rPr>
            </w:pPr>
            <w:r w:rsidRPr="00E70587">
              <w:rPr>
                <w:rFonts w:ascii="Arial" w:hAnsi="Arial" w:cs="Arial"/>
                <w:sz w:val="20"/>
              </w:rPr>
              <w:t xml:space="preserve"> 4,013 </w:t>
            </w:r>
          </w:p>
        </w:tc>
      </w:tr>
      <w:tr w:rsidR="00330EAA" w:rsidRPr="00E70587" w14:paraId="38C65F63" w14:textId="77777777" w:rsidTr="00330EAA">
        <w:tc>
          <w:tcPr>
            <w:tcW w:w="2977" w:type="dxa"/>
            <w:tcMar>
              <w:left w:w="28" w:type="dxa"/>
            </w:tcMar>
            <w:vAlign w:val="center"/>
          </w:tcPr>
          <w:p w14:paraId="0AEB5A53"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INR 2,700 bank loan (secured)</w:t>
            </w:r>
          </w:p>
        </w:tc>
        <w:tc>
          <w:tcPr>
            <w:tcW w:w="1701" w:type="dxa"/>
            <w:vAlign w:val="center"/>
          </w:tcPr>
          <w:p w14:paraId="01F4C838"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MIBOR + 0.5</w:t>
            </w:r>
          </w:p>
        </w:tc>
        <w:tc>
          <w:tcPr>
            <w:tcW w:w="1418" w:type="dxa"/>
            <w:tcMar>
              <w:left w:w="28" w:type="dxa"/>
            </w:tcMar>
            <w:vAlign w:val="center"/>
          </w:tcPr>
          <w:p w14:paraId="26B1CA50" w14:textId="40A7C9A5" w:rsidR="00330EAA" w:rsidRPr="00EE326D" w:rsidRDefault="00330EAA" w:rsidP="00B61850">
            <w:pPr>
              <w:pStyle w:val="Tablecolumnheading"/>
              <w:spacing w:line="280" w:lineRule="exact"/>
              <w:rPr>
                <w:rFonts w:ascii="Arial" w:hAnsi="Arial"/>
                <w:b w:val="0"/>
                <w:color w:val="auto"/>
                <w:sz w:val="20"/>
                <w:szCs w:val="20"/>
                <w:lang w:val="en-IN"/>
              </w:rPr>
            </w:pPr>
            <w:r w:rsidRPr="00EE326D">
              <w:rPr>
                <w:rFonts w:ascii="Arial" w:hAnsi="Arial"/>
                <w:b w:val="0"/>
                <w:color w:val="auto"/>
                <w:sz w:val="20"/>
                <w:szCs w:val="20"/>
                <w:lang w:val="en-IN"/>
              </w:rPr>
              <w:t xml:space="preserve">1 Nov </w:t>
            </w:r>
            <w:r w:rsidR="008E24BF" w:rsidRPr="00EE326D">
              <w:rPr>
                <w:rFonts w:ascii="Arial" w:hAnsi="Arial"/>
                <w:b w:val="0"/>
                <w:color w:val="auto"/>
                <w:sz w:val="20"/>
                <w:szCs w:val="20"/>
                <w:lang w:val="en-IN"/>
              </w:rPr>
              <w:t>2020</w:t>
            </w:r>
          </w:p>
        </w:tc>
        <w:tc>
          <w:tcPr>
            <w:tcW w:w="1665" w:type="dxa"/>
            <w:vAlign w:val="center"/>
          </w:tcPr>
          <w:p w14:paraId="0DAB1ADC" w14:textId="77777777" w:rsidR="00330EAA" w:rsidRPr="00E70587" w:rsidRDefault="00330EAA" w:rsidP="00DC73E1">
            <w:pPr>
              <w:spacing w:line="280" w:lineRule="exact"/>
              <w:jc w:val="right"/>
              <w:rPr>
                <w:rFonts w:ascii="Arial" w:hAnsi="Arial" w:cs="Arial"/>
                <w:sz w:val="20"/>
              </w:rPr>
            </w:pPr>
            <w:r w:rsidRPr="00E70587">
              <w:rPr>
                <w:rFonts w:ascii="Arial" w:hAnsi="Arial" w:cs="Arial"/>
                <w:b/>
                <w:sz w:val="20"/>
              </w:rPr>
              <w:t>-</w:t>
            </w:r>
          </w:p>
        </w:tc>
        <w:tc>
          <w:tcPr>
            <w:tcW w:w="1665" w:type="dxa"/>
            <w:vAlign w:val="center"/>
          </w:tcPr>
          <w:p w14:paraId="78323273" w14:textId="77777777" w:rsidR="00330EAA" w:rsidRPr="00E70587" w:rsidRDefault="00330EAA" w:rsidP="00DC73E1">
            <w:pPr>
              <w:spacing w:line="280" w:lineRule="exact"/>
              <w:jc w:val="right"/>
              <w:rPr>
                <w:rFonts w:ascii="Arial" w:hAnsi="Arial" w:cs="Arial"/>
                <w:sz w:val="20"/>
              </w:rPr>
            </w:pPr>
            <w:r w:rsidRPr="00E70587">
              <w:rPr>
                <w:rFonts w:ascii="Arial" w:hAnsi="Arial" w:cs="Arial"/>
                <w:sz w:val="20"/>
              </w:rPr>
              <w:t xml:space="preserve">2,443 </w:t>
            </w:r>
          </w:p>
        </w:tc>
      </w:tr>
      <w:tr w:rsidR="00330EAA" w:rsidRPr="00E70587" w14:paraId="51008CF6" w14:textId="77777777" w:rsidTr="00330EAA">
        <w:tc>
          <w:tcPr>
            <w:tcW w:w="2977" w:type="dxa"/>
            <w:tcMar>
              <w:left w:w="28" w:type="dxa"/>
            </w:tcMar>
            <w:vAlign w:val="center"/>
          </w:tcPr>
          <w:p w14:paraId="2D462B50"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From other parties</w:t>
            </w:r>
          </w:p>
        </w:tc>
        <w:tc>
          <w:tcPr>
            <w:tcW w:w="1701" w:type="dxa"/>
            <w:vAlign w:val="center"/>
          </w:tcPr>
          <w:p w14:paraId="77F86770" w14:textId="77777777" w:rsidR="00330EAA" w:rsidRPr="00E70587" w:rsidRDefault="00330EAA" w:rsidP="00DC73E1">
            <w:pPr>
              <w:pStyle w:val="Tablecolumnheading"/>
              <w:spacing w:line="280" w:lineRule="exact"/>
              <w:rPr>
                <w:rFonts w:ascii="Arial" w:hAnsi="Arial"/>
                <w:b w:val="0"/>
                <w:color w:val="auto"/>
                <w:sz w:val="20"/>
                <w:szCs w:val="20"/>
                <w:lang w:val="en-IN"/>
              </w:rPr>
            </w:pPr>
          </w:p>
        </w:tc>
        <w:tc>
          <w:tcPr>
            <w:tcW w:w="1418" w:type="dxa"/>
            <w:tcMar>
              <w:left w:w="28" w:type="dxa"/>
            </w:tcMar>
            <w:vAlign w:val="center"/>
          </w:tcPr>
          <w:p w14:paraId="0FA5298E" w14:textId="77777777" w:rsidR="00330EAA" w:rsidRPr="00EE326D" w:rsidRDefault="00330EAA" w:rsidP="00DC73E1">
            <w:pPr>
              <w:pStyle w:val="Tablecolumnheading"/>
              <w:spacing w:line="280" w:lineRule="exact"/>
              <w:rPr>
                <w:rFonts w:ascii="Arial" w:hAnsi="Arial"/>
                <w:b w:val="0"/>
                <w:color w:val="auto"/>
                <w:sz w:val="20"/>
                <w:szCs w:val="20"/>
                <w:lang w:val="en-IN"/>
              </w:rPr>
            </w:pPr>
          </w:p>
        </w:tc>
        <w:tc>
          <w:tcPr>
            <w:tcW w:w="1665" w:type="dxa"/>
            <w:vAlign w:val="center"/>
          </w:tcPr>
          <w:p w14:paraId="4E37D56C" w14:textId="77777777" w:rsidR="00330EAA" w:rsidRPr="00E70587" w:rsidRDefault="00330EAA" w:rsidP="00DC73E1">
            <w:pPr>
              <w:spacing w:line="280" w:lineRule="exact"/>
              <w:jc w:val="right"/>
              <w:rPr>
                <w:rFonts w:ascii="Arial" w:hAnsi="Arial" w:cs="Arial"/>
                <w:sz w:val="20"/>
              </w:rPr>
            </w:pPr>
          </w:p>
        </w:tc>
        <w:tc>
          <w:tcPr>
            <w:tcW w:w="1665" w:type="dxa"/>
            <w:vAlign w:val="center"/>
          </w:tcPr>
          <w:p w14:paraId="4F0369D9" w14:textId="77777777" w:rsidR="00330EAA" w:rsidRPr="00E70587" w:rsidRDefault="00330EAA" w:rsidP="00DC73E1">
            <w:pPr>
              <w:spacing w:line="280" w:lineRule="exact"/>
              <w:jc w:val="right"/>
              <w:rPr>
                <w:rFonts w:ascii="Arial" w:hAnsi="Arial" w:cs="Arial"/>
                <w:sz w:val="20"/>
              </w:rPr>
            </w:pPr>
          </w:p>
        </w:tc>
      </w:tr>
      <w:tr w:rsidR="00330EAA" w:rsidRPr="00E70587" w14:paraId="1644CE33" w14:textId="77777777" w:rsidTr="00330EAA">
        <w:tc>
          <w:tcPr>
            <w:tcW w:w="2977" w:type="dxa"/>
            <w:tcMar>
              <w:left w:w="28" w:type="dxa"/>
            </w:tcMar>
            <w:vAlign w:val="center"/>
          </w:tcPr>
          <w:p w14:paraId="1D2C9F1F"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Loan from a third-party investor in Fire Equipment Test Lab Limited (unsecured)</w:t>
            </w:r>
          </w:p>
        </w:tc>
        <w:tc>
          <w:tcPr>
            <w:tcW w:w="1701" w:type="dxa"/>
            <w:vAlign w:val="center"/>
          </w:tcPr>
          <w:p w14:paraId="53E1355D"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11.0</w:t>
            </w:r>
          </w:p>
        </w:tc>
        <w:tc>
          <w:tcPr>
            <w:tcW w:w="1418" w:type="dxa"/>
            <w:tcMar>
              <w:left w:w="28" w:type="dxa"/>
            </w:tcMar>
            <w:vAlign w:val="center"/>
          </w:tcPr>
          <w:p w14:paraId="01C9071B" w14:textId="7FEF84EC" w:rsidR="00330EAA" w:rsidRPr="00EE326D" w:rsidRDefault="00330EAA" w:rsidP="0010492C">
            <w:pPr>
              <w:pStyle w:val="Tablecolumnheading"/>
              <w:spacing w:line="280" w:lineRule="exact"/>
              <w:rPr>
                <w:rFonts w:ascii="Arial" w:hAnsi="Arial"/>
                <w:b w:val="0"/>
                <w:color w:val="auto"/>
                <w:sz w:val="20"/>
                <w:szCs w:val="20"/>
                <w:lang w:val="en-IN"/>
              </w:rPr>
            </w:pPr>
            <w:r w:rsidRPr="00EE326D">
              <w:rPr>
                <w:rFonts w:ascii="Arial" w:hAnsi="Arial"/>
                <w:b w:val="0"/>
                <w:color w:val="auto"/>
                <w:sz w:val="20"/>
                <w:szCs w:val="20"/>
                <w:lang w:val="en-IN"/>
              </w:rPr>
              <w:t xml:space="preserve">1 January </w:t>
            </w:r>
            <w:r w:rsidR="008E24BF" w:rsidRPr="00EE326D">
              <w:rPr>
                <w:rFonts w:ascii="Arial" w:hAnsi="Arial"/>
                <w:b w:val="0"/>
                <w:color w:val="auto"/>
                <w:sz w:val="20"/>
                <w:szCs w:val="20"/>
                <w:lang w:val="en-IN"/>
              </w:rPr>
              <w:t>202</w:t>
            </w:r>
            <w:r w:rsidR="00C82B2E" w:rsidRPr="00EE326D">
              <w:rPr>
                <w:rFonts w:ascii="Arial" w:hAnsi="Arial"/>
                <w:b w:val="0"/>
                <w:color w:val="auto"/>
                <w:sz w:val="20"/>
                <w:szCs w:val="20"/>
                <w:lang w:val="en-IN"/>
              </w:rPr>
              <w:t>2</w:t>
            </w:r>
          </w:p>
        </w:tc>
        <w:tc>
          <w:tcPr>
            <w:tcW w:w="1665" w:type="dxa"/>
            <w:vAlign w:val="center"/>
          </w:tcPr>
          <w:p w14:paraId="182253E1"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 xml:space="preserve">5,400 </w:t>
            </w:r>
          </w:p>
        </w:tc>
        <w:tc>
          <w:tcPr>
            <w:tcW w:w="1665" w:type="dxa"/>
            <w:vAlign w:val="center"/>
          </w:tcPr>
          <w:p w14:paraId="77F893A3"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 xml:space="preserve"> -</w:t>
            </w:r>
          </w:p>
        </w:tc>
      </w:tr>
      <w:tr w:rsidR="00330EAA" w:rsidRPr="00E70587" w14:paraId="6B45D3C3" w14:textId="77777777" w:rsidTr="00330EAA">
        <w:tc>
          <w:tcPr>
            <w:tcW w:w="2977" w:type="dxa"/>
            <w:tcMar>
              <w:left w:w="28" w:type="dxa"/>
            </w:tcMar>
            <w:vAlign w:val="center"/>
          </w:tcPr>
          <w:p w14:paraId="68A74946"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rPr>
            </w:pPr>
          </w:p>
        </w:tc>
        <w:tc>
          <w:tcPr>
            <w:tcW w:w="1701" w:type="dxa"/>
            <w:vAlign w:val="center"/>
          </w:tcPr>
          <w:p w14:paraId="74B2FEF5" w14:textId="77777777" w:rsidR="00330EAA" w:rsidRPr="00E70587" w:rsidRDefault="00330EAA" w:rsidP="00DC73E1">
            <w:pPr>
              <w:pStyle w:val="Tablecolumnheading"/>
              <w:spacing w:line="280" w:lineRule="exact"/>
              <w:rPr>
                <w:rFonts w:ascii="Arial" w:hAnsi="Arial"/>
                <w:b w:val="0"/>
                <w:color w:val="auto"/>
                <w:sz w:val="20"/>
                <w:szCs w:val="20"/>
                <w:lang w:val="en-IN"/>
              </w:rPr>
            </w:pPr>
          </w:p>
        </w:tc>
        <w:tc>
          <w:tcPr>
            <w:tcW w:w="1418" w:type="dxa"/>
            <w:tcMar>
              <w:left w:w="28" w:type="dxa"/>
            </w:tcMar>
            <w:vAlign w:val="center"/>
          </w:tcPr>
          <w:p w14:paraId="11EBF8DD" w14:textId="77777777" w:rsidR="00330EAA" w:rsidRPr="00EE326D" w:rsidRDefault="00330EAA" w:rsidP="00DC73E1">
            <w:pPr>
              <w:pStyle w:val="Tablecolumnheading"/>
              <w:spacing w:line="280" w:lineRule="exact"/>
              <w:rPr>
                <w:rFonts w:ascii="Arial" w:hAnsi="Arial"/>
                <w:b w:val="0"/>
                <w:color w:val="auto"/>
                <w:sz w:val="20"/>
                <w:szCs w:val="20"/>
                <w:lang w:val="en-IN"/>
              </w:rPr>
            </w:pPr>
          </w:p>
        </w:tc>
        <w:tc>
          <w:tcPr>
            <w:tcW w:w="1665" w:type="dxa"/>
            <w:vAlign w:val="center"/>
          </w:tcPr>
          <w:p w14:paraId="24B6F381" w14:textId="77777777" w:rsidR="00330EAA" w:rsidRPr="00E70587" w:rsidRDefault="00330EAA" w:rsidP="00DC73E1">
            <w:pPr>
              <w:pStyle w:val="Tablecolumnheading"/>
              <w:spacing w:line="280" w:lineRule="exact"/>
              <w:rPr>
                <w:rFonts w:ascii="Arial" w:hAnsi="Arial"/>
                <w:b w:val="0"/>
                <w:color w:val="auto"/>
                <w:sz w:val="20"/>
                <w:szCs w:val="20"/>
                <w:lang w:val="en-IN"/>
              </w:rPr>
            </w:pPr>
          </w:p>
        </w:tc>
        <w:tc>
          <w:tcPr>
            <w:tcW w:w="1665" w:type="dxa"/>
            <w:vAlign w:val="center"/>
          </w:tcPr>
          <w:p w14:paraId="19A85EB4" w14:textId="77777777" w:rsidR="00330EAA" w:rsidRPr="00E70587" w:rsidRDefault="00330EAA" w:rsidP="00DC73E1">
            <w:pPr>
              <w:pStyle w:val="Tablecolumnheading"/>
              <w:spacing w:line="280" w:lineRule="exact"/>
              <w:rPr>
                <w:rFonts w:ascii="Arial" w:hAnsi="Arial"/>
                <w:b w:val="0"/>
                <w:color w:val="auto"/>
                <w:sz w:val="20"/>
                <w:szCs w:val="20"/>
                <w:lang w:val="en-IN"/>
              </w:rPr>
            </w:pPr>
          </w:p>
        </w:tc>
      </w:tr>
      <w:tr w:rsidR="00330EAA" w:rsidRPr="00E70587" w14:paraId="55FC220D" w14:textId="77777777" w:rsidTr="00330EAA">
        <w:tc>
          <w:tcPr>
            <w:tcW w:w="2977" w:type="dxa"/>
            <w:tcMar>
              <w:left w:w="28" w:type="dxa"/>
            </w:tcMar>
            <w:vAlign w:val="center"/>
          </w:tcPr>
          <w:p w14:paraId="7F4570CA"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rPr>
            </w:pPr>
          </w:p>
        </w:tc>
        <w:tc>
          <w:tcPr>
            <w:tcW w:w="1701" w:type="dxa"/>
            <w:vAlign w:val="center"/>
          </w:tcPr>
          <w:p w14:paraId="2604F74F" w14:textId="77777777" w:rsidR="00330EAA" w:rsidRPr="00E70587" w:rsidRDefault="00330EAA" w:rsidP="00DC73E1">
            <w:pPr>
              <w:pStyle w:val="Tablecolumnheading"/>
              <w:spacing w:line="280" w:lineRule="exact"/>
              <w:rPr>
                <w:rFonts w:ascii="Arial" w:hAnsi="Arial"/>
                <w:b w:val="0"/>
                <w:color w:val="auto"/>
                <w:sz w:val="20"/>
                <w:szCs w:val="20"/>
                <w:lang w:val="en-IN"/>
              </w:rPr>
            </w:pPr>
          </w:p>
        </w:tc>
        <w:tc>
          <w:tcPr>
            <w:tcW w:w="1418" w:type="dxa"/>
            <w:tcMar>
              <w:left w:w="28" w:type="dxa"/>
            </w:tcMar>
            <w:vAlign w:val="center"/>
          </w:tcPr>
          <w:p w14:paraId="27906A57" w14:textId="77777777" w:rsidR="00330EAA" w:rsidRPr="00EE326D" w:rsidRDefault="00330EAA" w:rsidP="00DC73E1">
            <w:pPr>
              <w:pStyle w:val="Tablecolumnheading"/>
              <w:spacing w:line="280" w:lineRule="exact"/>
              <w:rPr>
                <w:rFonts w:ascii="Arial" w:hAnsi="Arial"/>
                <w:b w:val="0"/>
                <w:color w:val="auto"/>
                <w:sz w:val="20"/>
                <w:szCs w:val="20"/>
                <w:lang w:val="en-IN"/>
              </w:rPr>
            </w:pPr>
          </w:p>
        </w:tc>
        <w:tc>
          <w:tcPr>
            <w:tcW w:w="1665" w:type="dxa"/>
            <w:vAlign w:val="center"/>
          </w:tcPr>
          <w:p w14:paraId="6A4C60DF" w14:textId="77777777" w:rsidR="00330EAA" w:rsidRPr="00E70587" w:rsidRDefault="00330EAA" w:rsidP="00DC73E1">
            <w:pPr>
              <w:pStyle w:val="Tablecolumnheading"/>
              <w:spacing w:line="280" w:lineRule="exact"/>
              <w:rPr>
                <w:rFonts w:ascii="Arial" w:hAnsi="Arial"/>
                <w:b w:val="0"/>
                <w:color w:val="auto"/>
                <w:sz w:val="20"/>
                <w:szCs w:val="20"/>
                <w:lang w:val="en-IN"/>
              </w:rPr>
            </w:pPr>
          </w:p>
        </w:tc>
        <w:tc>
          <w:tcPr>
            <w:tcW w:w="1665" w:type="dxa"/>
            <w:vAlign w:val="center"/>
          </w:tcPr>
          <w:p w14:paraId="0F2D3FFA" w14:textId="77777777" w:rsidR="00330EAA" w:rsidRPr="00E70587" w:rsidRDefault="00330EAA" w:rsidP="00DC73E1">
            <w:pPr>
              <w:pStyle w:val="Tablecolumnheading"/>
              <w:spacing w:line="280" w:lineRule="exact"/>
              <w:rPr>
                <w:rFonts w:ascii="Arial" w:hAnsi="Arial"/>
                <w:b w:val="0"/>
                <w:color w:val="auto"/>
                <w:sz w:val="20"/>
                <w:szCs w:val="20"/>
                <w:lang w:val="en-IN"/>
              </w:rPr>
            </w:pPr>
          </w:p>
        </w:tc>
      </w:tr>
      <w:tr w:rsidR="00330EAA" w:rsidRPr="00E70587" w14:paraId="022DFF75" w14:textId="77777777" w:rsidTr="00330EAA">
        <w:tc>
          <w:tcPr>
            <w:tcW w:w="2977" w:type="dxa"/>
            <w:tcMar>
              <w:left w:w="28" w:type="dxa"/>
            </w:tcMar>
            <w:vAlign w:val="center"/>
          </w:tcPr>
          <w:p w14:paraId="44B32A75"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Liability component of compound financial instrument</w:t>
            </w:r>
          </w:p>
        </w:tc>
        <w:tc>
          <w:tcPr>
            <w:tcW w:w="1701" w:type="dxa"/>
            <w:vAlign w:val="center"/>
          </w:tcPr>
          <w:p w14:paraId="2870AD43" w14:textId="77777777" w:rsidR="00330EAA" w:rsidRPr="00E70587" w:rsidRDefault="00330EAA" w:rsidP="00DC73E1">
            <w:pPr>
              <w:pStyle w:val="Tablecolumnheading"/>
              <w:spacing w:line="280" w:lineRule="exact"/>
              <w:rPr>
                <w:rFonts w:ascii="Arial" w:hAnsi="Arial"/>
                <w:b w:val="0"/>
                <w:color w:val="auto"/>
                <w:sz w:val="20"/>
                <w:szCs w:val="20"/>
                <w:lang w:val="en-IN"/>
              </w:rPr>
            </w:pPr>
          </w:p>
        </w:tc>
        <w:tc>
          <w:tcPr>
            <w:tcW w:w="1418" w:type="dxa"/>
            <w:tcMar>
              <w:left w:w="28" w:type="dxa"/>
            </w:tcMar>
            <w:vAlign w:val="center"/>
          </w:tcPr>
          <w:p w14:paraId="05B3A641" w14:textId="77777777" w:rsidR="00330EAA" w:rsidRPr="00EE326D" w:rsidRDefault="00330EAA" w:rsidP="00DC73E1">
            <w:pPr>
              <w:pStyle w:val="Tablecolumnheading"/>
              <w:spacing w:line="280" w:lineRule="exact"/>
              <w:rPr>
                <w:rFonts w:ascii="Arial" w:hAnsi="Arial"/>
                <w:b w:val="0"/>
                <w:color w:val="auto"/>
                <w:sz w:val="20"/>
                <w:szCs w:val="20"/>
                <w:lang w:val="en-IN"/>
              </w:rPr>
            </w:pPr>
          </w:p>
        </w:tc>
        <w:tc>
          <w:tcPr>
            <w:tcW w:w="1665" w:type="dxa"/>
            <w:vAlign w:val="center"/>
          </w:tcPr>
          <w:p w14:paraId="57FDC6F5" w14:textId="77777777" w:rsidR="00330EAA" w:rsidRPr="00E70587" w:rsidRDefault="00330EAA" w:rsidP="00DC73E1">
            <w:pPr>
              <w:pStyle w:val="Tablecolumnheading"/>
              <w:spacing w:line="280" w:lineRule="exact"/>
              <w:rPr>
                <w:rFonts w:ascii="Arial" w:hAnsi="Arial"/>
                <w:b w:val="0"/>
                <w:color w:val="auto"/>
                <w:sz w:val="20"/>
                <w:szCs w:val="20"/>
                <w:lang w:val="en-IN"/>
              </w:rPr>
            </w:pPr>
          </w:p>
        </w:tc>
        <w:tc>
          <w:tcPr>
            <w:tcW w:w="1665" w:type="dxa"/>
            <w:vAlign w:val="center"/>
          </w:tcPr>
          <w:p w14:paraId="3DC67973" w14:textId="77777777" w:rsidR="00330EAA" w:rsidRPr="00E70587" w:rsidRDefault="00330EAA" w:rsidP="00DC73E1">
            <w:pPr>
              <w:pStyle w:val="Tablecolumnheading"/>
              <w:spacing w:line="280" w:lineRule="exact"/>
              <w:rPr>
                <w:rFonts w:ascii="Arial" w:hAnsi="Arial"/>
                <w:b w:val="0"/>
                <w:color w:val="auto"/>
                <w:sz w:val="20"/>
                <w:szCs w:val="20"/>
                <w:lang w:val="en-IN"/>
              </w:rPr>
            </w:pPr>
          </w:p>
        </w:tc>
      </w:tr>
      <w:tr w:rsidR="00330EAA" w:rsidRPr="00E70587" w14:paraId="0878C8EA" w14:textId="77777777" w:rsidTr="00330EAA">
        <w:tc>
          <w:tcPr>
            <w:tcW w:w="2977" w:type="dxa"/>
            <w:tcMar>
              <w:left w:w="28" w:type="dxa"/>
            </w:tcMar>
            <w:vAlign w:val="center"/>
          </w:tcPr>
          <w:p w14:paraId="39ADD457"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Convertible preference shares (unsecured)</w:t>
            </w:r>
          </w:p>
        </w:tc>
        <w:tc>
          <w:tcPr>
            <w:tcW w:w="1701" w:type="dxa"/>
            <w:vAlign w:val="center"/>
          </w:tcPr>
          <w:p w14:paraId="5CB7E738"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11.6</w:t>
            </w:r>
          </w:p>
        </w:tc>
        <w:tc>
          <w:tcPr>
            <w:tcW w:w="1418" w:type="dxa"/>
            <w:tcMar>
              <w:left w:w="28" w:type="dxa"/>
            </w:tcMar>
            <w:vAlign w:val="center"/>
          </w:tcPr>
          <w:p w14:paraId="162E497B" w14:textId="77777777" w:rsidR="00330EAA" w:rsidRPr="00EE326D" w:rsidRDefault="00330EAA" w:rsidP="0010492C">
            <w:pPr>
              <w:pStyle w:val="Tablecolumnheading"/>
              <w:spacing w:line="280" w:lineRule="exact"/>
              <w:rPr>
                <w:rFonts w:ascii="Arial" w:hAnsi="Arial"/>
                <w:b w:val="0"/>
                <w:color w:val="auto"/>
                <w:sz w:val="20"/>
                <w:szCs w:val="20"/>
                <w:lang w:val="en-IN"/>
              </w:rPr>
            </w:pPr>
            <w:r w:rsidRPr="00EE326D">
              <w:rPr>
                <w:rFonts w:ascii="Arial" w:hAnsi="Arial"/>
                <w:b w:val="0"/>
                <w:color w:val="auto"/>
                <w:sz w:val="20"/>
                <w:szCs w:val="20"/>
                <w:lang w:val="en-IN"/>
              </w:rPr>
              <w:t>2021-2023</w:t>
            </w:r>
          </w:p>
        </w:tc>
        <w:tc>
          <w:tcPr>
            <w:tcW w:w="1665" w:type="dxa"/>
            <w:vAlign w:val="center"/>
          </w:tcPr>
          <w:p w14:paraId="08C5AA03"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 xml:space="preserve">5,000 </w:t>
            </w:r>
          </w:p>
        </w:tc>
        <w:tc>
          <w:tcPr>
            <w:tcW w:w="1665" w:type="dxa"/>
            <w:vAlign w:val="center"/>
          </w:tcPr>
          <w:p w14:paraId="2217DCA7" w14:textId="77777777" w:rsidR="00330EAA" w:rsidRPr="00E70587" w:rsidRDefault="00330EAA" w:rsidP="00DC73E1">
            <w:pPr>
              <w:pStyle w:val="Tablecolumnheading"/>
              <w:spacing w:line="280" w:lineRule="exact"/>
              <w:rPr>
                <w:rFonts w:ascii="Arial" w:hAnsi="Arial"/>
                <w:b w:val="0"/>
                <w:color w:val="auto"/>
                <w:sz w:val="20"/>
                <w:szCs w:val="20"/>
                <w:lang w:val="en-IN"/>
              </w:rPr>
            </w:pPr>
            <w:r w:rsidRPr="00E70587">
              <w:rPr>
                <w:rFonts w:ascii="Arial" w:hAnsi="Arial"/>
                <w:b w:val="0"/>
                <w:color w:val="auto"/>
                <w:sz w:val="20"/>
                <w:szCs w:val="20"/>
                <w:lang w:val="en-IN"/>
              </w:rPr>
              <w:t xml:space="preserve">4,759 </w:t>
            </w:r>
          </w:p>
        </w:tc>
      </w:tr>
      <w:tr w:rsidR="00330EAA" w:rsidRPr="00E70587" w14:paraId="696E9986" w14:textId="77777777" w:rsidTr="00330EAA">
        <w:tc>
          <w:tcPr>
            <w:tcW w:w="2977" w:type="dxa"/>
            <w:tcMar>
              <w:left w:w="28" w:type="dxa"/>
            </w:tcMar>
            <w:vAlign w:val="center"/>
          </w:tcPr>
          <w:p w14:paraId="1CC06F1C"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b/>
                <w:sz w:val="20"/>
                <w:lang w:val="en-IN"/>
              </w:rPr>
            </w:pPr>
            <w:bookmarkStart w:id="16" w:name="_Hlk55311554"/>
            <w:r w:rsidRPr="00E70587">
              <w:rPr>
                <w:rFonts w:ascii="Arial" w:hAnsi="Arial" w:cs="Arial"/>
                <w:b/>
                <w:sz w:val="20"/>
                <w:lang w:val="en-IN"/>
              </w:rPr>
              <w:t>Total non-current borrowings</w:t>
            </w:r>
          </w:p>
        </w:tc>
        <w:tc>
          <w:tcPr>
            <w:tcW w:w="1701" w:type="dxa"/>
            <w:vAlign w:val="center"/>
          </w:tcPr>
          <w:p w14:paraId="1D733E32" w14:textId="77777777" w:rsidR="00330EAA" w:rsidRPr="00E70587" w:rsidRDefault="00330EAA" w:rsidP="00DC73E1">
            <w:pPr>
              <w:pStyle w:val="Tablecolumnheading"/>
              <w:spacing w:line="280" w:lineRule="exact"/>
              <w:rPr>
                <w:rFonts w:ascii="Arial" w:hAnsi="Arial"/>
                <w:color w:val="auto"/>
                <w:sz w:val="20"/>
                <w:szCs w:val="20"/>
                <w:lang w:val="en-IN"/>
              </w:rPr>
            </w:pPr>
          </w:p>
        </w:tc>
        <w:tc>
          <w:tcPr>
            <w:tcW w:w="1418" w:type="dxa"/>
            <w:tcMar>
              <w:left w:w="28" w:type="dxa"/>
            </w:tcMar>
            <w:vAlign w:val="center"/>
          </w:tcPr>
          <w:p w14:paraId="6925C067" w14:textId="77777777" w:rsidR="00330EAA" w:rsidRPr="00EE326D" w:rsidRDefault="00330EAA" w:rsidP="00DC73E1">
            <w:pPr>
              <w:pStyle w:val="Tablecolumnheading"/>
              <w:spacing w:line="280" w:lineRule="exact"/>
              <w:rPr>
                <w:rFonts w:ascii="Arial" w:hAnsi="Arial"/>
                <w:color w:val="auto"/>
                <w:sz w:val="20"/>
                <w:szCs w:val="20"/>
                <w:lang w:val="en-IN"/>
              </w:rPr>
            </w:pPr>
          </w:p>
        </w:tc>
        <w:tc>
          <w:tcPr>
            <w:tcW w:w="1665" w:type="dxa"/>
            <w:tcBorders>
              <w:top w:val="single" w:sz="4" w:space="0" w:color="auto"/>
            </w:tcBorders>
            <w:vAlign w:val="center"/>
          </w:tcPr>
          <w:p w14:paraId="6853311E" w14:textId="681351A4" w:rsidR="00330EAA" w:rsidRPr="00E70587" w:rsidRDefault="003C0AD6" w:rsidP="00DC73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3</w:t>
            </w:r>
            <w:r w:rsidR="00C23109">
              <w:rPr>
                <w:rFonts w:ascii="Arial" w:hAnsi="Arial"/>
                <w:color w:val="auto"/>
                <w:sz w:val="20"/>
                <w:szCs w:val="20"/>
                <w:lang w:val="en-IN"/>
              </w:rPr>
              <w:t>4,994</w:t>
            </w:r>
          </w:p>
        </w:tc>
        <w:tc>
          <w:tcPr>
            <w:tcW w:w="1665" w:type="dxa"/>
            <w:tcBorders>
              <w:top w:val="single" w:sz="4" w:space="0" w:color="auto"/>
            </w:tcBorders>
            <w:vAlign w:val="center"/>
          </w:tcPr>
          <w:p w14:paraId="5A9035D9" w14:textId="73C05427" w:rsidR="00330EAA" w:rsidRPr="00E70587" w:rsidRDefault="00C23109" w:rsidP="00DC73E1">
            <w:pPr>
              <w:pStyle w:val="Tablecolumnheading"/>
              <w:spacing w:line="280" w:lineRule="exact"/>
              <w:rPr>
                <w:rFonts w:ascii="Arial" w:hAnsi="Arial"/>
                <w:color w:val="auto"/>
                <w:sz w:val="20"/>
                <w:szCs w:val="20"/>
                <w:lang w:val="en-IN"/>
              </w:rPr>
            </w:pPr>
            <w:r>
              <w:rPr>
                <w:rFonts w:ascii="Arial" w:hAnsi="Arial"/>
                <w:color w:val="auto"/>
                <w:sz w:val="20"/>
                <w:szCs w:val="20"/>
                <w:lang w:val="en-IN"/>
              </w:rPr>
              <w:t>37</w:t>
            </w:r>
            <w:r w:rsidR="00330EAA" w:rsidRPr="00E70587">
              <w:rPr>
                <w:rFonts w:ascii="Arial" w:hAnsi="Arial"/>
                <w:color w:val="auto"/>
                <w:sz w:val="20"/>
                <w:szCs w:val="20"/>
                <w:lang w:val="en-IN"/>
              </w:rPr>
              <w:t>,</w:t>
            </w:r>
            <w:r>
              <w:rPr>
                <w:rFonts w:ascii="Arial" w:hAnsi="Arial"/>
                <w:color w:val="auto"/>
                <w:sz w:val="20"/>
                <w:szCs w:val="20"/>
                <w:lang w:val="en-IN"/>
              </w:rPr>
              <w:t>368</w:t>
            </w:r>
          </w:p>
        </w:tc>
      </w:tr>
      <w:bookmarkEnd w:id="16"/>
      <w:tr w:rsidR="00330EAA" w:rsidRPr="00E70587" w14:paraId="4DA28708" w14:textId="77777777" w:rsidTr="00330EAA">
        <w:tc>
          <w:tcPr>
            <w:tcW w:w="2977" w:type="dxa"/>
            <w:tcMar>
              <w:left w:w="28" w:type="dxa"/>
            </w:tcMar>
            <w:vAlign w:val="center"/>
          </w:tcPr>
          <w:p w14:paraId="5304A5C3"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701" w:type="dxa"/>
            <w:vAlign w:val="center"/>
          </w:tcPr>
          <w:p w14:paraId="7457FBE2" w14:textId="77777777" w:rsidR="00330EAA" w:rsidRPr="00E70587" w:rsidRDefault="00330EAA" w:rsidP="00DC73E1">
            <w:pPr>
              <w:pStyle w:val="Tablecolumnheading"/>
              <w:spacing w:line="280" w:lineRule="exact"/>
              <w:rPr>
                <w:rFonts w:ascii="Arial" w:hAnsi="Arial"/>
                <w:color w:val="auto"/>
                <w:sz w:val="20"/>
                <w:szCs w:val="20"/>
                <w:lang w:val="en-IN"/>
              </w:rPr>
            </w:pPr>
          </w:p>
        </w:tc>
        <w:tc>
          <w:tcPr>
            <w:tcW w:w="1418" w:type="dxa"/>
            <w:tcMar>
              <w:left w:w="28" w:type="dxa"/>
            </w:tcMar>
            <w:vAlign w:val="center"/>
          </w:tcPr>
          <w:p w14:paraId="6E670955" w14:textId="77777777" w:rsidR="00330EAA" w:rsidRPr="00EE326D" w:rsidRDefault="00330EAA" w:rsidP="00DC73E1">
            <w:pPr>
              <w:pStyle w:val="Tablecolumnheading"/>
              <w:spacing w:line="280" w:lineRule="exact"/>
              <w:rPr>
                <w:rFonts w:ascii="Arial" w:hAnsi="Arial"/>
                <w:color w:val="auto"/>
                <w:sz w:val="20"/>
                <w:szCs w:val="20"/>
                <w:lang w:val="en-IN"/>
              </w:rPr>
            </w:pPr>
          </w:p>
        </w:tc>
        <w:tc>
          <w:tcPr>
            <w:tcW w:w="1665" w:type="dxa"/>
            <w:tcBorders>
              <w:top w:val="single" w:sz="4" w:space="0" w:color="auto"/>
            </w:tcBorders>
            <w:vAlign w:val="center"/>
          </w:tcPr>
          <w:p w14:paraId="01DDE204" w14:textId="77777777" w:rsidR="00330EAA" w:rsidRPr="00E70587" w:rsidRDefault="00330EAA" w:rsidP="00DC73E1">
            <w:pPr>
              <w:pStyle w:val="Tablecolumnheading"/>
              <w:spacing w:line="280" w:lineRule="exact"/>
              <w:rPr>
                <w:rFonts w:ascii="Arial" w:hAnsi="Arial"/>
                <w:color w:val="auto"/>
                <w:sz w:val="20"/>
                <w:szCs w:val="20"/>
                <w:lang w:val="en-IN"/>
              </w:rPr>
            </w:pPr>
          </w:p>
        </w:tc>
        <w:tc>
          <w:tcPr>
            <w:tcW w:w="1665" w:type="dxa"/>
            <w:tcBorders>
              <w:top w:val="single" w:sz="4" w:space="0" w:color="auto"/>
            </w:tcBorders>
            <w:vAlign w:val="center"/>
          </w:tcPr>
          <w:p w14:paraId="383468BA" w14:textId="77777777" w:rsidR="00330EAA" w:rsidRPr="00E70587" w:rsidRDefault="00330EAA" w:rsidP="00DC73E1">
            <w:pPr>
              <w:pStyle w:val="Tablecolumnheading"/>
              <w:spacing w:line="280" w:lineRule="exact"/>
              <w:rPr>
                <w:rFonts w:ascii="Arial" w:hAnsi="Arial"/>
                <w:color w:val="auto"/>
                <w:sz w:val="20"/>
                <w:szCs w:val="20"/>
                <w:lang w:val="en-IN"/>
              </w:rPr>
            </w:pPr>
          </w:p>
        </w:tc>
      </w:tr>
      <w:tr w:rsidR="00330EAA" w:rsidRPr="00E70587" w14:paraId="1666D391" w14:textId="77777777" w:rsidTr="00330EAA">
        <w:tc>
          <w:tcPr>
            <w:tcW w:w="2977" w:type="dxa"/>
            <w:vAlign w:val="center"/>
          </w:tcPr>
          <w:p w14:paraId="6F23181E" w14:textId="77777777" w:rsidR="00330EAA" w:rsidRPr="00E70587" w:rsidRDefault="00330EAA" w:rsidP="00BC09BA">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eastAsia="ru-RU"/>
              </w:rPr>
              <w:t>Current borrowings</w:t>
            </w:r>
          </w:p>
        </w:tc>
        <w:tc>
          <w:tcPr>
            <w:tcW w:w="1701" w:type="dxa"/>
            <w:tcMar>
              <w:left w:w="28" w:type="dxa"/>
            </w:tcMar>
            <w:vAlign w:val="center"/>
          </w:tcPr>
          <w:p w14:paraId="30612B6A" w14:textId="77777777" w:rsidR="00330EAA" w:rsidRPr="00E70587" w:rsidRDefault="00330EAA" w:rsidP="00DC73E1">
            <w:pPr>
              <w:pStyle w:val="tabletext"/>
              <w:spacing w:line="280" w:lineRule="exact"/>
              <w:jc w:val="right"/>
              <w:rPr>
                <w:rFonts w:ascii="Arial" w:hAnsi="Arial" w:cs="Arial"/>
                <w:sz w:val="20"/>
                <w:lang w:val="en-IN"/>
              </w:rPr>
            </w:pPr>
          </w:p>
        </w:tc>
        <w:tc>
          <w:tcPr>
            <w:tcW w:w="1418" w:type="dxa"/>
            <w:vAlign w:val="center"/>
          </w:tcPr>
          <w:p w14:paraId="1ACB465F" w14:textId="77777777" w:rsidR="00330EAA" w:rsidRPr="00EE326D" w:rsidRDefault="00330EAA" w:rsidP="00DC73E1">
            <w:pPr>
              <w:pStyle w:val="tabletext"/>
              <w:spacing w:line="280" w:lineRule="exact"/>
              <w:jc w:val="right"/>
              <w:rPr>
                <w:rFonts w:ascii="Arial" w:hAnsi="Arial" w:cs="Arial"/>
                <w:sz w:val="20"/>
                <w:lang w:val="en-IN"/>
              </w:rPr>
            </w:pPr>
          </w:p>
        </w:tc>
        <w:tc>
          <w:tcPr>
            <w:tcW w:w="1665" w:type="dxa"/>
            <w:vAlign w:val="center"/>
          </w:tcPr>
          <w:p w14:paraId="03575B38" w14:textId="77777777" w:rsidR="00330EAA" w:rsidRPr="00E70587" w:rsidRDefault="00330EAA" w:rsidP="00DC73E1">
            <w:pPr>
              <w:pStyle w:val="tabletext"/>
              <w:spacing w:line="280" w:lineRule="exact"/>
              <w:jc w:val="right"/>
              <w:rPr>
                <w:rFonts w:ascii="Arial" w:hAnsi="Arial" w:cs="Arial"/>
                <w:sz w:val="20"/>
                <w:lang w:val="en-IN"/>
              </w:rPr>
            </w:pPr>
          </w:p>
        </w:tc>
        <w:tc>
          <w:tcPr>
            <w:tcW w:w="1665" w:type="dxa"/>
            <w:vAlign w:val="center"/>
          </w:tcPr>
          <w:p w14:paraId="4953295E" w14:textId="77777777" w:rsidR="00330EAA" w:rsidRPr="00E70587" w:rsidRDefault="00330EAA" w:rsidP="00DC73E1">
            <w:pPr>
              <w:pStyle w:val="tabletext"/>
              <w:spacing w:line="280" w:lineRule="exact"/>
              <w:jc w:val="right"/>
              <w:rPr>
                <w:rFonts w:ascii="Arial" w:hAnsi="Arial" w:cs="Arial"/>
                <w:sz w:val="20"/>
                <w:lang w:val="en-IN"/>
              </w:rPr>
            </w:pPr>
          </w:p>
        </w:tc>
      </w:tr>
      <w:tr w:rsidR="00330EAA" w:rsidRPr="00E70587" w14:paraId="7611C257" w14:textId="77777777" w:rsidTr="00330EAA">
        <w:tc>
          <w:tcPr>
            <w:tcW w:w="2977" w:type="dxa"/>
            <w:vAlign w:val="bottom"/>
          </w:tcPr>
          <w:p w14:paraId="6670C0AE"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eastAsia="ru-RU"/>
              </w:rPr>
            </w:pPr>
          </w:p>
        </w:tc>
        <w:tc>
          <w:tcPr>
            <w:tcW w:w="1701" w:type="dxa"/>
            <w:vAlign w:val="center"/>
          </w:tcPr>
          <w:p w14:paraId="0E9CC5A1" w14:textId="77777777" w:rsidR="00330EAA" w:rsidRPr="00E70587" w:rsidRDefault="00330EAA" w:rsidP="00DC73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18" w:type="dxa"/>
            <w:tcMar>
              <w:left w:w="28" w:type="dxa"/>
            </w:tcMar>
            <w:vAlign w:val="center"/>
          </w:tcPr>
          <w:p w14:paraId="2F5672FA" w14:textId="77777777" w:rsidR="00330EAA" w:rsidRPr="00EE326D" w:rsidRDefault="00330EAA" w:rsidP="00DC73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665" w:type="dxa"/>
            <w:vAlign w:val="center"/>
          </w:tcPr>
          <w:p w14:paraId="2285B138" w14:textId="77777777" w:rsidR="00330EAA" w:rsidRPr="00E70587" w:rsidRDefault="00330EAA" w:rsidP="00DC73E1">
            <w:pPr>
              <w:overflowPunct/>
              <w:spacing w:line="280" w:lineRule="exact"/>
              <w:jc w:val="right"/>
              <w:textAlignment w:val="auto"/>
              <w:rPr>
                <w:rFonts w:ascii="Arial" w:hAnsi="Arial" w:cs="Arial"/>
                <w:sz w:val="20"/>
                <w:lang w:eastAsia="en-GB"/>
              </w:rPr>
            </w:pPr>
          </w:p>
        </w:tc>
        <w:tc>
          <w:tcPr>
            <w:tcW w:w="1665" w:type="dxa"/>
            <w:vAlign w:val="center"/>
          </w:tcPr>
          <w:p w14:paraId="7DEC875C" w14:textId="77777777" w:rsidR="00330EAA" w:rsidRPr="00E70587" w:rsidRDefault="00330EAA" w:rsidP="00DC73E1">
            <w:pPr>
              <w:overflowPunct/>
              <w:spacing w:line="280" w:lineRule="exact"/>
              <w:jc w:val="right"/>
              <w:textAlignment w:val="auto"/>
              <w:rPr>
                <w:rFonts w:ascii="Arial" w:hAnsi="Arial" w:cs="Arial"/>
                <w:sz w:val="20"/>
                <w:lang w:eastAsia="en-GB"/>
              </w:rPr>
            </w:pPr>
          </w:p>
        </w:tc>
      </w:tr>
      <w:tr w:rsidR="00330EAA" w:rsidRPr="00E70587" w14:paraId="26B2C076" w14:textId="77777777" w:rsidTr="00330EAA">
        <w:tc>
          <w:tcPr>
            <w:tcW w:w="2977" w:type="dxa"/>
            <w:vAlign w:val="bottom"/>
          </w:tcPr>
          <w:p w14:paraId="22596F6E"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eastAsia="ru-RU"/>
              </w:rPr>
            </w:pPr>
            <w:r w:rsidRPr="00E70587">
              <w:rPr>
                <w:rFonts w:ascii="Arial" w:hAnsi="Arial" w:cs="Arial"/>
                <w:b/>
                <w:sz w:val="20"/>
                <w:lang w:val="en-IN" w:eastAsia="ru-RU"/>
              </w:rPr>
              <w:t>Loan repayable On Demand (from bank)</w:t>
            </w:r>
          </w:p>
        </w:tc>
        <w:tc>
          <w:tcPr>
            <w:tcW w:w="1701" w:type="dxa"/>
            <w:vAlign w:val="center"/>
          </w:tcPr>
          <w:p w14:paraId="5C14911F" w14:textId="77777777" w:rsidR="00330EAA" w:rsidRPr="00E70587" w:rsidRDefault="00330EAA" w:rsidP="00DC73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18" w:type="dxa"/>
            <w:tcMar>
              <w:left w:w="28" w:type="dxa"/>
            </w:tcMar>
            <w:vAlign w:val="center"/>
          </w:tcPr>
          <w:p w14:paraId="1C103B04" w14:textId="77777777" w:rsidR="00330EAA" w:rsidRPr="00EE326D" w:rsidRDefault="00330EAA" w:rsidP="00DC73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665" w:type="dxa"/>
            <w:vAlign w:val="center"/>
          </w:tcPr>
          <w:p w14:paraId="35B4B962" w14:textId="77777777" w:rsidR="00330EAA" w:rsidRPr="00E70587" w:rsidRDefault="00330EAA" w:rsidP="00DC73E1">
            <w:pPr>
              <w:overflowPunct/>
              <w:spacing w:line="280" w:lineRule="exact"/>
              <w:jc w:val="right"/>
              <w:textAlignment w:val="auto"/>
              <w:rPr>
                <w:rFonts w:ascii="Arial" w:hAnsi="Arial" w:cs="Arial"/>
                <w:sz w:val="20"/>
                <w:lang w:eastAsia="en-GB"/>
              </w:rPr>
            </w:pPr>
          </w:p>
        </w:tc>
        <w:tc>
          <w:tcPr>
            <w:tcW w:w="1665" w:type="dxa"/>
            <w:vAlign w:val="center"/>
          </w:tcPr>
          <w:p w14:paraId="7138AF87" w14:textId="77777777" w:rsidR="00330EAA" w:rsidRPr="00E70587" w:rsidRDefault="00330EAA" w:rsidP="00DC73E1">
            <w:pPr>
              <w:overflowPunct/>
              <w:spacing w:line="280" w:lineRule="exact"/>
              <w:jc w:val="right"/>
              <w:textAlignment w:val="auto"/>
              <w:rPr>
                <w:rFonts w:ascii="Arial" w:hAnsi="Arial" w:cs="Arial"/>
                <w:sz w:val="20"/>
                <w:lang w:eastAsia="en-GB"/>
              </w:rPr>
            </w:pPr>
          </w:p>
        </w:tc>
      </w:tr>
      <w:tr w:rsidR="00330EAA" w:rsidRPr="00E70587" w14:paraId="671382E2" w14:textId="77777777" w:rsidTr="00330EAA">
        <w:tc>
          <w:tcPr>
            <w:tcW w:w="2977" w:type="dxa"/>
            <w:vAlign w:val="bottom"/>
          </w:tcPr>
          <w:p w14:paraId="328E306E"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eastAsia="ru-RU"/>
              </w:rPr>
            </w:pPr>
            <w:r w:rsidRPr="00E70587">
              <w:rPr>
                <w:rFonts w:ascii="Arial" w:hAnsi="Arial" w:cs="Arial"/>
                <w:sz w:val="20"/>
                <w:lang w:val="en-IN" w:eastAsia="ru-RU"/>
              </w:rPr>
              <w:t>Bank overdrafts (</w:t>
            </w:r>
            <w:r w:rsidRPr="00E70587">
              <w:rPr>
                <w:rFonts w:ascii="Arial" w:hAnsi="Arial" w:cs="Arial"/>
                <w:sz w:val="20"/>
                <w:lang w:val="en-IN"/>
              </w:rPr>
              <w:t>secured)</w:t>
            </w:r>
          </w:p>
        </w:tc>
        <w:tc>
          <w:tcPr>
            <w:tcW w:w="1701" w:type="dxa"/>
            <w:vAlign w:val="center"/>
          </w:tcPr>
          <w:p w14:paraId="13E4C355" w14:textId="77777777" w:rsidR="00330EAA" w:rsidRPr="00E70587" w:rsidRDefault="00330EAA" w:rsidP="00DC73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MIBOR + 1.0</w:t>
            </w:r>
          </w:p>
        </w:tc>
        <w:tc>
          <w:tcPr>
            <w:tcW w:w="1418" w:type="dxa"/>
            <w:tcMar>
              <w:left w:w="28" w:type="dxa"/>
            </w:tcMar>
            <w:vAlign w:val="center"/>
          </w:tcPr>
          <w:p w14:paraId="4A263F69" w14:textId="77777777" w:rsidR="00330EAA" w:rsidRPr="00EE326D" w:rsidRDefault="00330EAA" w:rsidP="00DC73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E326D">
              <w:rPr>
                <w:rFonts w:ascii="Arial" w:hAnsi="Arial" w:cs="Arial"/>
                <w:sz w:val="20"/>
                <w:lang w:val="en-IN"/>
              </w:rPr>
              <w:t>On demand</w:t>
            </w:r>
          </w:p>
        </w:tc>
        <w:tc>
          <w:tcPr>
            <w:tcW w:w="1665" w:type="dxa"/>
            <w:vAlign w:val="center"/>
          </w:tcPr>
          <w:p w14:paraId="385B8D71" w14:textId="77777777" w:rsidR="00330EAA" w:rsidRPr="00E70587" w:rsidRDefault="00330EAA" w:rsidP="00DC73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1,739 </w:t>
            </w:r>
          </w:p>
        </w:tc>
        <w:tc>
          <w:tcPr>
            <w:tcW w:w="1665" w:type="dxa"/>
            <w:vAlign w:val="center"/>
          </w:tcPr>
          <w:p w14:paraId="2B4DE9EA" w14:textId="77777777" w:rsidR="00330EAA" w:rsidRPr="00E70587" w:rsidRDefault="00330EAA" w:rsidP="00DC73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4,770 </w:t>
            </w:r>
          </w:p>
        </w:tc>
      </w:tr>
      <w:tr w:rsidR="00330EAA" w:rsidRPr="00E70587" w14:paraId="1C5389CB" w14:textId="77777777" w:rsidTr="00330EAA">
        <w:tc>
          <w:tcPr>
            <w:tcW w:w="2977" w:type="dxa"/>
            <w:vAlign w:val="bottom"/>
          </w:tcPr>
          <w:p w14:paraId="7290FFE0"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eastAsia="ru-RU"/>
              </w:rPr>
            </w:pPr>
          </w:p>
        </w:tc>
        <w:tc>
          <w:tcPr>
            <w:tcW w:w="1701" w:type="dxa"/>
            <w:vAlign w:val="center"/>
          </w:tcPr>
          <w:p w14:paraId="3FB5242B" w14:textId="77777777" w:rsidR="00330EAA" w:rsidRPr="00E70587" w:rsidRDefault="00330EAA" w:rsidP="00DC73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18" w:type="dxa"/>
            <w:tcMar>
              <w:left w:w="28" w:type="dxa"/>
            </w:tcMar>
            <w:vAlign w:val="center"/>
          </w:tcPr>
          <w:p w14:paraId="23395FC3" w14:textId="77777777" w:rsidR="00330EAA" w:rsidRPr="00EE326D" w:rsidRDefault="00330EAA" w:rsidP="00DC73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665" w:type="dxa"/>
            <w:vAlign w:val="center"/>
          </w:tcPr>
          <w:p w14:paraId="6B1B8305" w14:textId="77777777" w:rsidR="00330EAA" w:rsidRPr="00E70587" w:rsidRDefault="00330EAA" w:rsidP="00DC73E1">
            <w:pPr>
              <w:overflowPunct/>
              <w:spacing w:line="280" w:lineRule="exact"/>
              <w:jc w:val="right"/>
              <w:textAlignment w:val="auto"/>
              <w:rPr>
                <w:rFonts w:ascii="Arial" w:hAnsi="Arial" w:cs="Arial"/>
                <w:sz w:val="20"/>
                <w:lang w:eastAsia="en-GB"/>
              </w:rPr>
            </w:pPr>
          </w:p>
        </w:tc>
        <w:tc>
          <w:tcPr>
            <w:tcW w:w="1665" w:type="dxa"/>
            <w:vAlign w:val="center"/>
          </w:tcPr>
          <w:p w14:paraId="197E4616" w14:textId="77777777" w:rsidR="00330EAA" w:rsidRPr="00E70587" w:rsidRDefault="00330EAA" w:rsidP="00DC73E1">
            <w:pPr>
              <w:overflowPunct/>
              <w:spacing w:line="280" w:lineRule="exact"/>
              <w:jc w:val="right"/>
              <w:textAlignment w:val="auto"/>
              <w:rPr>
                <w:rFonts w:ascii="Arial" w:hAnsi="Arial" w:cs="Arial"/>
                <w:sz w:val="20"/>
                <w:lang w:eastAsia="en-GB"/>
              </w:rPr>
            </w:pPr>
          </w:p>
        </w:tc>
      </w:tr>
      <w:tr w:rsidR="00330EAA" w:rsidRPr="00E70587" w14:paraId="74E5F359" w14:textId="77777777" w:rsidTr="00330EAA">
        <w:tc>
          <w:tcPr>
            <w:tcW w:w="2977" w:type="dxa"/>
            <w:vAlign w:val="bottom"/>
          </w:tcPr>
          <w:p w14:paraId="4BD9F561" w14:textId="7A30E03D"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eastAsia="ru-RU"/>
              </w:rPr>
            </w:pPr>
            <w:r w:rsidRPr="00E70587">
              <w:rPr>
                <w:rFonts w:ascii="Arial" w:hAnsi="Arial" w:cs="Arial"/>
                <w:b/>
                <w:sz w:val="20"/>
                <w:lang w:val="en-IN" w:eastAsia="ru-RU"/>
              </w:rPr>
              <w:t xml:space="preserve">Current maturity of </w:t>
            </w:r>
            <w:r w:rsidR="0084008B" w:rsidRPr="00E70587">
              <w:rPr>
                <w:rFonts w:ascii="Arial" w:hAnsi="Arial" w:cs="Arial"/>
                <w:b/>
                <w:sz w:val="20"/>
                <w:lang w:val="en-IN" w:eastAsia="ru-RU"/>
              </w:rPr>
              <w:t>long-term</w:t>
            </w:r>
            <w:r w:rsidRPr="00E70587">
              <w:rPr>
                <w:rFonts w:ascii="Arial" w:hAnsi="Arial" w:cs="Arial"/>
                <w:b/>
                <w:sz w:val="20"/>
                <w:lang w:val="en-IN" w:eastAsia="ru-RU"/>
              </w:rPr>
              <w:t xml:space="preserve"> loans</w:t>
            </w:r>
          </w:p>
        </w:tc>
        <w:tc>
          <w:tcPr>
            <w:tcW w:w="1701" w:type="dxa"/>
            <w:vAlign w:val="center"/>
          </w:tcPr>
          <w:p w14:paraId="03A772C4" w14:textId="77777777" w:rsidR="00330EAA" w:rsidRPr="00E70587" w:rsidRDefault="00330EAA" w:rsidP="00DC73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18" w:type="dxa"/>
            <w:tcMar>
              <w:left w:w="28" w:type="dxa"/>
            </w:tcMar>
            <w:vAlign w:val="center"/>
          </w:tcPr>
          <w:p w14:paraId="49EA8B97" w14:textId="77777777" w:rsidR="00330EAA" w:rsidRPr="00EE326D" w:rsidRDefault="00330EAA" w:rsidP="00DC73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665" w:type="dxa"/>
            <w:vAlign w:val="center"/>
          </w:tcPr>
          <w:p w14:paraId="45F9F726" w14:textId="77777777" w:rsidR="00330EAA" w:rsidRPr="00E70587" w:rsidRDefault="00330EAA" w:rsidP="00DC73E1">
            <w:pPr>
              <w:overflowPunct/>
              <w:spacing w:line="280" w:lineRule="exact"/>
              <w:jc w:val="right"/>
              <w:textAlignment w:val="auto"/>
              <w:rPr>
                <w:rFonts w:ascii="Arial" w:hAnsi="Arial" w:cs="Arial"/>
                <w:sz w:val="20"/>
                <w:lang w:eastAsia="en-GB"/>
              </w:rPr>
            </w:pPr>
          </w:p>
        </w:tc>
        <w:tc>
          <w:tcPr>
            <w:tcW w:w="1665" w:type="dxa"/>
            <w:vAlign w:val="center"/>
          </w:tcPr>
          <w:p w14:paraId="218B37BC" w14:textId="77777777" w:rsidR="00330EAA" w:rsidRPr="00E70587" w:rsidRDefault="00330EAA" w:rsidP="00DC73E1">
            <w:pPr>
              <w:overflowPunct/>
              <w:spacing w:line="280" w:lineRule="exact"/>
              <w:jc w:val="right"/>
              <w:textAlignment w:val="auto"/>
              <w:rPr>
                <w:rFonts w:ascii="Arial" w:hAnsi="Arial" w:cs="Arial"/>
                <w:sz w:val="20"/>
                <w:lang w:eastAsia="en-GB"/>
              </w:rPr>
            </w:pPr>
          </w:p>
        </w:tc>
      </w:tr>
      <w:tr w:rsidR="00330EAA" w:rsidRPr="00E70587" w14:paraId="08BC26FC" w14:textId="77777777" w:rsidTr="00330EAA">
        <w:tc>
          <w:tcPr>
            <w:tcW w:w="2977" w:type="dxa"/>
            <w:vAlign w:val="bottom"/>
          </w:tcPr>
          <w:p w14:paraId="34B5852F"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eastAsia="ru-RU"/>
              </w:rPr>
            </w:pPr>
            <w:r w:rsidRPr="00E70587">
              <w:rPr>
                <w:rFonts w:ascii="Arial" w:hAnsi="Arial" w:cs="Arial"/>
                <w:sz w:val="20"/>
                <w:lang w:val="en-IN" w:eastAsia="ru-RU"/>
              </w:rPr>
              <w:t xml:space="preserve">INR </w:t>
            </w:r>
            <w:r w:rsidRPr="00E70587">
              <w:rPr>
                <w:rFonts w:ascii="Arial" w:hAnsi="Arial" w:cs="Arial"/>
                <w:sz w:val="20"/>
                <w:lang w:val="en-IN"/>
              </w:rPr>
              <w:t>27,00,00,000</w:t>
            </w:r>
            <w:r w:rsidRPr="00E70587">
              <w:rPr>
                <w:rFonts w:ascii="Arial" w:hAnsi="Arial" w:cs="Arial"/>
                <w:sz w:val="20"/>
                <w:lang w:val="en-IN" w:eastAsia="ru-RU"/>
              </w:rPr>
              <w:t xml:space="preserve"> bank loan(secured)</w:t>
            </w:r>
          </w:p>
        </w:tc>
        <w:tc>
          <w:tcPr>
            <w:tcW w:w="1701" w:type="dxa"/>
            <w:vAlign w:val="center"/>
          </w:tcPr>
          <w:p w14:paraId="32C32CA0" w14:textId="77777777" w:rsidR="00330EAA" w:rsidRPr="00E70587" w:rsidRDefault="00330EAA" w:rsidP="00DC73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MIBOR + 0.5</w:t>
            </w:r>
          </w:p>
        </w:tc>
        <w:tc>
          <w:tcPr>
            <w:tcW w:w="1418" w:type="dxa"/>
            <w:tcMar>
              <w:left w:w="0" w:type="dxa"/>
            </w:tcMar>
            <w:vAlign w:val="center"/>
          </w:tcPr>
          <w:p w14:paraId="0493B3B8" w14:textId="40177707" w:rsidR="00330EAA" w:rsidRPr="00EE326D" w:rsidRDefault="00330EAA" w:rsidP="00DC73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E326D">
              <w:rPr>
                <w:rFonts w:ascii="Arial" w:hAnsi="Arial" w:cs="Arial"/>
                <w:sz w:val="20"/>
                <w:lang w:val="en-IN"/>
              </w:rPr>
              <w:t xml:space="preserve">1 November </w:t>
            </w:r>
            <w:r w:rsidR="00C82B2E" w:rsidRPr="00EE326D">
              <w:rPr>
                <w:rFonts w:ascii="Arial" w:hAnsi="Arial" w:cs="Arial"/>
                <w:sz w:val="20"/>
                <w:lang w:val="en-IN"/>
              </w:rPr>
              <w:t>2021</w:t>
            </w:r>
          </w:p>
        </w:tc>
        <w:tc>
          <w:tcPr>
            <w:tcW w:w="1665" w:type="dxa"/>
            <w:vAlign w:val="center"/>
          </w:tcPr>
          <w:p w14:paraId="31625929" w14:textId="77777777" w:rsidR="00330EAA" w:rsidRPr="00E70587" w:rsidRDefault="00330EAA" w:rsidP="00DC73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2,540</w:t>
            </w:r>
          </w:p>
        </w:tc>
        <w:tc>
          <w:tcPr>
            <w:tcW w:w="1665" w:type="dxa"/>
            <w:vAlign w:val="center"/>
          </w:tcPr>
          <w:p w14:paraId="25034008" w14:textId="77777777" w:rsidR="00330EAA" w:rsidRPr="00E70587" w:rsidRDefault="00330EAA" w:rsidP="00DC73E1">
            <w:pPr>
              <w:spacing w:line="280" w:lineRule="exact"/>
              <w:jc w:val="right"/>
              <w:rPr>
                <w:rFonts w:ascii="Arial" w:hAnsi="Arial" w:cs="Arial"/>
                <w:sz w:val="20"/>
              </w:rPr>
            </w:pPr>
            <w:r w:rsidRPr="00E70587">
              <w:rPr>
                <w:rFonts w:ascii="Arial" w:hAnsi="Arial" w:cs="Arial"/>
                <w:sz w:val="20"/>
              </w:rPr>
              <w:t>-</w:t>
            </w:r>
          </w:p>
        </w:tc>
      </w:tr>
      <w:tr w:rsidR="00330EAA" w:rsidRPr="00E70587" w14:paraId="46F2690D" w14:textId="77777777" w:rsidTr="00315CA4">
        <w:tc>
          <w:tcPr>
            <w:tcW w:w="2977" w:type="dxa"/>
            <w:vAlign w:val="bottom"/>
          </w:tcPr>
          <w:p w14:paraId="35304E3D"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sz w:val="20"/>
                <w:lang w:val="en-IN" w:eastAsia="ru-RU"/>
              </w:rPr>
            </w:pPr>
            <w:r w:rsidRPr="00E70587">
              <w:rPr>
                <w:rFonts w:ascii="Arial" w:hAnsi="Arial" w:cs="Arial"/>
                <w:sz w:val="20"/>
                <w:lang w:val="en-IN" w:eastAsia="ru-RU"/>
              </w:rPr>
              <w:t>Third party loan (unsecured)</w:t>
            </w:r>
          </w:p>
        </w:tc>
        <w:tc>
          <w:tcPr>
            <w:tcW w:w="1701" w:type="dxa"/>
            <w:vAlign w:val="center"/>
          </w:tcPr>
          <w:p w14:paraId="193658F2" w14:textId="77777777" w:rsidR="00330EAA" w:rsidRPr="00E70587" w:rsidRDefault="00330EAA" w:rsidP="00DC73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MIBOR + 0.5</w:t>
            </w:r>
          </w:p>
        </w:tc>
        <w:tc>
          <w:tcPr>
            <w:tcW w:w="1418" w:type="dxa"/>
            <w:shd w:val="clear" w:color="auto" w:fill="auto"/>
            <w:tcMar>
              <w:left w:w="28" w:type="dxa"/>
            </w:tcMar>
            <w:vAlign w:val="center"/>
          </w:tcPr>
          <w:p w14:paraId="54FF0D23" w14:textId="6A746239" w:rsidR="00330EAA" w:rsidRPr="00EE326D" w:rsidRDefault="00330EAA" w:rsidP="00D5134A">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E326D">
              <w:rPr>
                <w:rFonts w:ascii="Arial" w:hAnsi="Arial" w:cs="Arial"/>
                <w:sz w:val="20"/>
                <w:lang w:val="en-IN"/>
              </w:rPr>
              <w:t xml:space="preserve">31 March </w:t>
            </w:r>
            <w:r w:rsidR="00C82B2E" w:rsidRPr="00EE326D">
              <w:rPr>
                <w:rFonts w:ascii="Arial" w:hAnsi="Arial" w:cs="Arial"/>
                <w:sz w:val="20"/>
                <w:lang w:val="en-IN"/>
              </w:rPr>
              <w:t xml:space="preserve">2019 </w:t>
            </w:r>
            <w:r w:rsidRPr="00EE326D">
              <w:rPr>
                <w:rFonts w:ascii="Arial" w:hAnsi="Arial" w:cs="Arial"/>
                <w:sz w:val="20"/>
                <w:lang w:val="en-IN"/>
              </w:rPr>
              <w:t xml:space="preserve">&amp; </w:t>
            </w:r>
            <w:r w:rsidR="00C82B2E" w:rsidRPr="00EE326D">
              <w:rPr>
                <w:rFonts w:ascii="Arial" w:hAnsi="Arial" w:cs="Arial"/>
                <w:sz w:val="20"/>
                <w:lang w:val="en-IN"/>
              </w:rPr>
              <w:t>2020</w:t>
            </w:r>
          </w:p>
        </w:tc>
        <w:tc>
          <w:tcPr>
            <w:tcW w:w="1665" w:type="dxa"/>
            <w:tcBorders>
              <w:bottom w:val="single" w:sz="4" w:space="0" w:color="auto"/>
            </w:tcBorders>
            <w:vAlign w:val="center"/>
          </w:tcPr>
          <w:p w14:paraId="57A7CDA8" w14:textId="77777777" w:rsidR="00330EAA" w:rsidRPr="00E70587" w:rsidRDefault="00330EAA" w:rsidP="00DC73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c>
          <w:tcPr>
            <w:tcW w:w="1665" w:type="dxa"/>
            <w:tcBorders>
              <w:bottom w:val="single" w:sz="4" w:space="0" w:color="auto"/>
            </w:tcBorders>
            <w:vAlign w:val="center"/>
          </w:tcPr>
          <w:p w14:paraId="5B898CFB" w14:textId="77777777" w:rsidR="00330EAA" w:rsidRPr="00E70587" w:rsidRDefault="00330EAA" w:rsidP="00DC73E1">
            <w:pPr>
              <w:pStyle w:val="tabletext"/>
              <w:spacing w:line="280" w:lineRule="exact"/>
              <w:jc w:val="right"/>
              <w:rPr>
                <w:rFonts w:ascii="Arial" w:hAnsi="Arial" w:cs="Arial"/>
                <w:sz w:val="20"/>
                <w:lang w:val="en-IN"/>
              </w:rPr>
            </w:pPr>
            <w:r w:rsidRPr="00E70587">
              <w:rPr>
                <w:rFonts w:ascii="Arial" w:hAnsi="Arial" w:cs="Arial"/>
                <w:sz w:val="20"/>
                <w:lang w:val="en-IN"/>
              </w:rPr>
              <w:t>133</w:t>
            </w:r>
          </w:p>
        </w:tc>
      </w:tr>
      <w:tr w:rsidR="00330EAA" w:rsidRPr="00E70587" w14:paraId="40E4B13E" w14:textId="77777777" w:rsidTr="00330EAA">
        <w:tc>
          <w:tcPr>
            <w:tcW w:w="2977" w:type="dxa"/>
            <w:vAlign w:val="bottom"/>
          </w:tcPr>
          <w:p w14:paraId="5CB4F8D4"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eastAsia="ru-RU"/>
              </w:rPr>
              <w:t xml:space="preserve">Total </w:t>
            </w:r>
            <w:r w:rsidRPr="00E70587">
              <w:rPr>
                <w:rFonts w:ascii="Arial" w:hAnsi="Arial" w:cs="Arial"/>
                <w:b/>
                <w:sz w:val="20"/>
                <w:lang w:val="en-IN"/>
              </w:rPr>
              <w:t>current borrowings</w:t>
            </w:r>
          </w:p>
        </w:tc>
        <w:tc>
          <w:tcPr>
            <w:tcW w:w="1701" w:type="dxa"/>
            <w:vAlign w:val="center"/>
          </w:tcPr>
          <w:p w14:paraId="25BAC671" w14:textId="77777777" w:rsidR="00330EAA" w:rsidRPr="00E70587" w:rsidRDefault="00330EAA" w:rsidP="00DC73E1">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418" w:type="dxa"/>
            <w:vAlign w:val="center"/>
          </w:tcPr>
          <w:p w14:paraId="095BA656" w14:textId="77777777" w:rsidR="00330EAA" w:rsidRPr="00EE326D" w:rsidRDefault="00330EAA" w:rsidP="00DC73E1">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665" w:type="dxa"/>
            <w:tcBorders>
              <w:top w:val="single" w:sz="4" w:space="0" w:color="auto"/>
              <w:bottom w:val="double" w:sz="4" w:space="0" w:color="auto"/>
            </w:tcBorders>
            <w:vAlign w:val="center"/>
          </w:tcPr>
          <w:p w14:paraId="1C08D715" w14:textId="0DE91F38" w:rsidR="00330EAA" w:rsidRPr="00E70587" w:rsidRDefault="00383764" w:rsidP="00DC73E1">
            <w:pPr>
              <w:pStyle w:val="tabletext"/>
              <w:overflowPunct w:val="0"/>
              <w:autoSpaceDE w:val="0"/>
              <w:autoSpaceDN w:val="0"/>
              <w:adjustRightInd w:val="0"/>
              <w:spacing w:line="280" w:lineRule="exact"/>
              <w:jc w:val="right"/>
              <w:textAlignment w:val="baseline"/>
              <w:rPr>
                <w:rFonts w:ascii="Arial" w:hAnsi="Arial" w:cs="Arial"/>
                <w:b/>
                <w:sz w:val="20"/>
                <w:lang w:val="en-IN"/>
              </w:rPr>
            </w:pPr>
            <w:r>
              <w:rPr>
                <w:rFonts w:ascii="Arial" w:hAnsi="Arial" w:cs="Arial"/>
                <w:b/>
                <w:sz w:val="20"/>
                <w:lang w:val="en-IN"/>
              </w:rPr>
              <w:t>4</w:t>
            </w:r>
            <w:r w:rsidR="00775DA2">
              <w:rPr>
                <w:rFonts w:ascii="Arial" w:hAnsi="Arial" w:cs="Arial"/>
                <w:b/>
                <w:sz w:val="20"/>
                <w:lang w:val="en-IN"/>
              </w:rPr>
              <w:t>,</w:t>
            </w:r>
            <w:r>
              <w:rPr>
                <w:rFonts w:ascii="Arial" w:hAnsi="Arial" w:cs="Arial"/>
                <w:b/>
                <w:sz w:val="20"/>
                <w:lang w:val="en-IN"/>
              </w:rPr>
              <w:t>279</w:t>
            </w:r>
          </w:p>
        </w:tc>
        <w:tc>
          <w:tcPr>
            <w:tcW w:w="1665" w:type="dxa"/>
            <w:tcBorders>
              <w:top w:val="single" w:sz="4" w:space="0" w:color="auto"/>
              <w:bottom w:val="double" w:sz="4" w:space="0" w:color="auto"/>
            </w:tcBorders>
            <w:vAlign w:val="center"/>
          </w:tcPr>
          <w:p w14:paraId="1A30100E" w14:textId="435F5A25" w:rsidR="00330EAA" w:rsidRPr="00E70587" w:rsidRDefault="00383764" w:rsidP="00DC73E1">
            <w:pPr>
              <w:pStyle w:val="tabletext"/>
              <w:overflowPunct w:val="0"/>
              <w:autoSpaceDE w:val="0"/>
              <w:autoSpaceDN w:val="0"/>
              <w:adjustRightInd w:val="0"/>
              <w:spacing w:line="280" w:lineRule="exact"/>
              <w:jc w:val="right"/>
              <w:textAlignment w:val="baseline"/>
              <w:rPr>
                <w:rFonts w:ascii="Arial" w:hAnsi="Arial" w:cs="Arial"/>
                <w:b/>
                <w:sz w:val="20"/>
                <w:lang w:val="en-IN"/>
              </w:rPr>
            </w:pPr>
            <w:r>
              <w:rPr>
                <w:rFonts w:ascii="Arial" w:hAnsi="Arial" w:cs="Arial"/>
                <w:b/>
                <w:sz w:val="20"/>
                <w:lang w:val="en-IN"/>
              </w:rPr>
              <w:t>4,903</w:t>
            </w:r>
          </w:p>
        </w:tc>
      </w:tr>
      <w:tr w:rsidR="00330EAA" w:rsidRPr="00E70587" w14:paraId="0A8A7CF1" w14:textId="77777777" w:rsidTr="00330EAA">
        <w:tc>
          <w:tcPr>
            <w:tcW w:w="2977" w:type="dxa"/>
            <w:vAlign w:val="bottom"/>
          </w:tcPr>
          <w:p w14:paraId="20706E4B" w14:textId="77777777" w:rsidR="00330EAA" w:rsidRPr="00E70587" w:rsidRDefault="00330EAA" w:rsidP="00315CA4">
            <w:pPr>
              <w:pStyle w:val="tabletext"/>
              <w:overflowPunct w:val="0"/>
              <w:autoSpaceDE w:val="0"/>
              <w:autoSpaceDN w:val="0"/>
              <w:adjustRightInd w:val="0"/>
              <w:spacing w:line="280" w:lineRule="exact"/>
              <w:textAlignment w:val="baseline"/>
              <w:rPr>
                <w:rFonts w:ascii="Arial" w:hAnsi="Arial" w:cs="Arial"/>
                <w:b/>
                <w:sz w:val="20"/>
                <w:lang w:val="en-IN" w:eastAsia="ru-RU"/>
              </w:rPr>
            </w:pPr>
            <w:bookmarkStart w:id="17" w:name="_Hlk55311578"/>
            <w:r w:rsidRPr="00E70587">
              <w:rPr>
                <w:rFonts w:ascii="Arial" w:hAnsi="Arial" w:cs="Arial"/>
                <w:b/>
                <w:sz w:val="20"/>
                <w:lang w:val="en-IN" w:eastAsia="ru-RU"/>
              </w:rPr>
              <w:lastRenderedPageBreak/>
              <w:t xml:space="preserve">Less: Amount clubbed under “other </w:t>
            </w:r>
            <w:r w:rsidR="00315CA4" w:rsidRPr="00E70587">
              <w:rPr>
                <w:rFonts w:ascii="Arial" w:hAnsi="Arial" w:cs="Arial"/>
                <w:b/>
                <w:sz w:val="20"/>
                <w:lang w:val="en-IN" w:eastAsia="ru-RU"/>
              </w:rPr>
              <w:t xml:space="preserve">financial </w:t>
            </w:r>
            <w:r w:rsidRPr="00E70587">
              <w:rPr>
                <w:rFonts w:ascii="Arial" w:hAnsi="Arial" w:cs="Arial"/>
                <w:b/>
                <w:sz w:val="20"/>
                <w:lang w:val="en-IN" w:eastAsia="ru-RU"/>
              </w:rPr>
              <w:t>liabilities”</w:t>
            </w:r>
          </w:p>
        </w:tc>
        <w:tc>
          <w:tcPr>
            <w:tcW w:w="1701" w:type="dxa"/>
            <w:vAlign w:val="center"/>
          </w:tcPr>
          <w:p w14:paraId="1443F3C3" w14:textId="77777777" w:rsidR="00330EAA" w:rsidRPr="00E70587" w:rsidRDefault="00330EAA" w:rsidP="00DC73E1">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418" w:type="dxa"/>
            <w:vAlign w:val="center"/>
          </w:tcPr>
          <w:p w14:paraId="0DEB4261" w14:textId="77777777" w:rsidR="00330EAA" w:rsidRPr="00EE326D" w:rsidRDefault="00330EAA" w:rsidP="00DC73E1">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665" w:type="dxa"/>
            <w:tcBorders>
              <w:top w:val="single" w:sz="4" w:space="0" w:color="auto"/>
              <w:bottom w:val="double" w:sz="4" w:space="0" w:color="auto"/>
            </w:tcBorders>
            <w:vAlign w:val="center"/>
          </w:tcPr>
          <w:p w14:paraId="155E421B" w14:textId="3C121D20" w:rsidR="00330EAA" w:rsidRPr="00E70587" w:rsidRDefault="00C23109" w:rsidP="00DC73E1">
            <w:pPr>
              <w:pStyle w:val="tabletext"/>
              <w:overflowPunct w:val="0"/>
              <w:autoSpaceDE w:val="0"/>
              <w:autoSpaceDN w:val="0"/>
              <w:adjustRightInd w:val="0"/>
              <w:spacing w:line="280" w:lineRule="exact"/>
              <w:jc w:val="right"/>
              <w:textAlignment w:val="baseline"/>
              <w:rPr>
                <w:rFonts w:ascii="Arial" w:hAnsi="Arial" w:cs="Arial"/>
                <w:b/>
                <w:sz w:val="20"/>
                <w:lang w:val="en-IN"/>
              </w:rPr>
            </w:pPr>
            <w:r>
              <w:rPr>
                <w:rFonts w:ascii="Arial" w:hAnsi="Arial" w:cs="Arial"/>
                <w:b/>
                <w:sz w:val="20"/>
                <w:lang w:val="en-IN"/>
              </w:rPr>
              <w:t>2</w:t>
            </w:r>
            <w:r w:rsidR="00FD3A93">
              <w:rPr>
                <w:rFonts w:ascii="Arial" w:hAnsi="Arial" w:cs="Arial"/>
                <w:b/>
                <w:sz w:val="20"/>
                <w:lang w:val="en-IN"/>
              </w:rPr>
              <w:t>,</w:t>
            </w:r>
            <w:r>
              <w:rPr>
                <w:rFonts w:ascii="Arial" w:hAnsi="Arial" w:cs="Arial"/>
                <w:b/>
                <w:sz w:val="20"/>
                <w:lang w:val="en-IN"/>
              </w:rPr>
              <w:t>540</w:t>
            </w:r>
          </w:p>
        </w:tc>
        <w:tc>
          <w:tcPr>
            <w:tcW w:w="1665" w:type="dxa"/>
            <w:tcBorders>
              <w:top w:val="single" w:sz="4" w:space="0" w:color="auto"/>
              <w:bottom w:val="double" w:sz="4" w:space="0" w:color="auto"/>
            </w:tcBorders>
            <w:vAlign w:val="center"/>
          </w:tcPr>
          <w:p w14:paraId="5C1AC87E" w14:textId="1DF42CBE" w:rsidR="00330EAA" w:rsidRPr="00E70587" w:rsidRDefault="00C23109" w:rsidP="00DC73E1">
            <w:pPr>
              <w:pStyle w:val="tabletext"/>
              <w:overflowPunct w:val="0"/>
              <w:autoSpaceDE w:val="0"/>
              <w:autoSpaceDN w:val="0"/>
              <w:adjustRightInd w:val="0"/>
              <w:spacing w:line="280" w:lineRule="exact"/>
              <w:jc w:val="right"/>
              <w:textAlignment w:val="baseline"/>
              <w:rPr>
                <w:rFonts w:ascii="Arial" w:hAnsi="Arial" w:cs="Arial"/>
                <w:b/>
                <w:sz w:val="20"/>
                <w:lang w:val="en-IN"/>
              </w:rPr>
            </w:pPr>
            <w:r>
              <w:rPr>
                <w:rFonts w:ascii="Arial" w:hAnsi="Arial" w:cs="Arial"/>
                <w:b/>
                <w:sz w:val="20"/>
                <w:lang w:val="en-IN"/>
              </w:rPr>
              <w:t>133</w:t>
            </w:r>
          </w:p>
        </w:tc>
      </w:tr>
      <w:tr w:rsidR="00330EAA" w:rsidRPr="00E70587" w14:paraId="058F16BB" w14:textId="77777777" w:rsidTr="00330EAA">
        <w:tc>
          <w:tcPr>
            <w:tcW w:w="2977" w:type="dxa"/>
            <w:vAlign w:val="bottom"/>
          </w:tcPr>
          <w:p w14:paraId="7DE7E3FE" w14:textId="77777777" w:rsidR="00330EAA" w:rsidRPr="00E70587" w:rsidRDefault="00330EAA" w:rsidP="00474D3D">
            <w:pPr>
              <w:pStyle w:val="tabletext"/>
              <w:overflowPunct w:val="0"/>
              <w:autoSpaceDE w:val="0"/>
              <w:autoSpaceDN w:val="0"/>
              <w:adjustRightInd w:val="0"/>
              <w:spacing w:line="280" w:lineRule="exact"/>
              <w:textAlignment w:val="baseline"/>
              <w:rPr>
                <w:rFonts w:ascii="Arial" w:hAnsi="Arial" w:cs="Arial"/>
                <w:b/>
                <w:sz w:val="20"/>
                <w:lang w:val="en-IN" w:eastAsia="ru-RU"/>
              </w:rPr>
            </w:pPr>
            <w:bookmarkStart w:id="18" w:name="_Hlk55311568"/>
            <w:bookmarkEnd w:id="17"/>
            <w:r w:rsidRPr="00E70587">
              <w:rPr>
                <w:rFonts w:ascii="Arial" w:hAnsi="Arial" w:cs="Arial"/>
                <w:b/>
                <w:sz w:val="20"/>
                <w:lang w:val="en-IN" w:eastAsia="ru-RU"/>
              </w:rPr>
              <w:t>Net current borrowings</w:t>
            </w:r>
          </w:p>
        </w:tc>
        <w:tc>
          <w:tcPr>
            <w:tcW w:w="1701" w:type="dxa"/>
            <w:vAlign w:val="center"/>
          </w:tcPr>
          <w:p w14:paraId="44227B30" w14:textId="77777777" w:rsidR="00330EAA" w:rsidRPr="00E70587" w:rsidRDefault="00330EAA" w:rsidP="00052535">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418" w:type="dxa"/>
            <w:vAlign w:val="center"/>
          </w:tcPr>
          <w:p w14:paraId="79DCBA46" w14:textId="77777777" w:rsidR="00330EAA" w:rsidRPr="00E70587" w:rsidRDefault="00330EAA" w:rsidP="00052535">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665" w:type="dxa"/>
            <w:tcBorders>
              <w:top w:val="single" w:sz="4" w:space="0" w:color="auto"/>
              <w:bottom w:val="double" w:sz="4" w:space="0" w:color="auto"/>
            </w:tcBorders>
            <w:vAlign w:val="center"/>
          </w:tcPr>
          <w:p w14:paraId="23E30778" w14:textId="77777777" w:rsidR="00330EAA" w:rsidRPr="00E70587" w:rsidRDefault="00330EAA" w:rsidP="00052535">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1,739</w:t>
            </w:r>
          </w:p>
        </w:tc>
        <w:tc>
          <w:tcPr>
            <w:tcW w:w="1665" w:type="dxa"/>
            <w:tcBorders>
              <w:top w:val="single" w:sz="4" w:space="0" w:color="auto"/>
              <w:bottom w:val="double" w:sz="4" w:space="0" w:color="auto"/>
            </w:tcBorders>
            <w:vAlign w:val="center"/>
          </w:tcPr>
          <w:p w14:paraId="57A239C5" w14:textId="77777777" w:rsidR="00330EAA" w:rsidRPr="00E70587" w:rsidRDefault="00330EAA" w:rsidP="00052535">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4,770</w:t>
            </w:r>
          </w:p>
        </w:tc>
      </w:tr>
    </w:tbl>
    <w:bookmarkEnd w:id="18"/>
    <w:p w14:paraId="5D67C771" w14:textId="77777777" w:rsidR="00D9764D" w:rsidRPr="00E70587" w:rsidRDefault="00D9764D" w:rsidP="009901E1">
      <w:pPr>
        <w:pStyle w:val="tabletxtsubtotal"/>
        <w:pBdr>
          <w:bottom w:val="none" w:sz="0" w:space="0" w:color="auto"/>
        </w:pBdr>
        <w:tabs>
          <w:tab w:val="clear" w:pos="782"/>
        </w:tabs>
        <w:spacing w:line="280" w:lineRule="exact"/>
        <w:ind w:left="-80"/>
        <w:rPr>
          <w:rFonts w:ascii="Arial" w:hAnsi="Arial" w:cs="Arial"/>
          <w:sz w:val="20"/>
        </w:rPr>
      </w:pPr>
      <w:r w:rsidRPr="00E70587">
        <w:rPr>
          <w:rFonts w:ascii="Arial" w:hAnsi="Arial" w:cs="Arial"/>
          <w:sz w:val="20"/>
        </w:rPr>
        <w:t>* Includes the effects of related interest rate swaps.</w:t>
      </w:r>
    </w:p>
    <w:p w14:paraId="715B2D23" w14:textId="77777777" w:rsidR="00940B81" w:rsidRPr="00E70587" w:rsidRDefault="00940B81" w:rsidP="009901E1">
      <w:pPr>
        <w:pStyle w:val="Notesbodytext"/>
        <w:spacing w:after="0" w:line="280" w:lineRule="exact"/>
        <w:rPr>
          <w:rFonts w:ascii="Arial" w:hAnsi="Arial"/>
          <w:bCs/>
          <w:color w:val="auto"/>
          <w:sz w:val="20"/>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1620"/>
        <w:gridCol w:w="1710"/>
      </w:tblGrid>
      <w:tr w:rsidR="00315CA4" w:rsidRPr="00E70587" w14:paraId="47323515" w14:textId="77777777" w:rsidTr="00315CA4">
        <w:tc>
          <w:tcPr>
            <w:tcW w:w="6120" w:type="dxa"/>
          </w:tcPr>
          <w:p w14:paraId="51DF97EB" w14:textId="77777777" w:rsidR="00315CA4" w:rsidRPr="00E70587" w:rsidRDefault="00315CA4" w:rsidP="009901E1">
            <w:pPr>
              <w:pStyle w:val="Notesbodytext"/>
              <w:spacing w:after="0" w:line="280" w:lineRule="exact"/>
              <w:rPr>
                <w:rFonts w:ascii="Arial" w:hAnsi="Arial"/>
                <w:bCs/>
                <w:color w:val="auto"/>
                <w:sz w:val="20"/>
              </w:rPr>
            </w:pPr>
            <w:r w:rsidRPr="00E70587">
              <w:rPr>
                <w:rFonts w:ascii="Arial" w:hAnsi="Arial"/>
                <w:bCs/>
                <w:color w:val="auto"/>
                <w:sz w:val="20"/>
              </w:rPr>
              <w:t>Aggregate Secured loans</w:t>
            </w:r>
          </w:p>
        </w:tc>
        <w:tc>
          <w:tcPr>
            <w:tcW w:w="1620" w:type="dxa"/>
          </w:tcPr>
          <w:p w14:paraId="09D3E41F" w14:textId="353C5A53" w:rsidR="00315CA4" w:rsidRPr="00E70587" w:rsidRDefault="00326F21" w:rsidP="00315CA4">
            <w:pPr>
              <w:spacing w:line="280" w:lineRule="exact"/>
              <w:jc w:val="right"/>
              <w:rPr>
                <w:rFonts w:ascii="Arial" w:hAnsi="Arial" w:cs="Arial"/>
                <w:sz w:val="20"/>
              </w:rPr>
            </w:pPr>
            <w:r>
              <w:rPr>
                <w:rFonts w:ascii="Arial" w:hAnsi="Arial" w:cs="Arial"/>
                <w:sz w:val="20"/>
              </w:rPr>
              <w:t>14,981</w:t>
            </w:r>
          </w:p>
        </w:tc>
        <w:tc>
          <w:tcPr>
            <w:tcW w:w="1710" w:type="dxa"/>
          </w:tcPr>
          <w:p w14:paraId="20E33342" w14:textId="6761FE63" w:rsidR="00315CA4" w:rsidRPr="00E70587" w:rsidRDefault="002D2929" w:rsidP="00315CA4">
            <w:pPr>
              <w:spacing w:line="280" w:lineRule="exact"/>
              <w:jc w:val="right"/>
              <w:rPr>
                <w:rFonts w:ascii="Arial" w:hAnsi="Arial" w:cs="Arial"/>
                <w:sz w:val="20"/>
              </w:rPr>
            </w:pPr>
            <w:r>
              <w:rPr>
                <w:rFonts w:ascii="Arial" w:hAnsi="Arial" w:cs="Arial"/>
                <w:sz w:val="20"/>
              </w:rPr>
              <w:t>13,493</w:t>
            </w:r>
          </w:p>
        </w:tc>
      </w:tr>
      <w:tr w:rsidR="00315CA4" w:rsidRPr="00E70587" w14:paraId="24C0C8B6" w14:textId="77777777" w:rsidTr="00315CA4">
        <w:tc>
          <w:tcPr>
            <w:tcW w:w="6120" w:type="dxa"/>
          </w:tcPr>
          <w:p w14:paraId="6C2B32C1" w14:textId="77777777" w:rsidR="00315CA4" w:rsidRPr="00E70587" w:rsidRDefault="00315CA4" w:rsidP="009901E1">
            <w:pPr>
              <w:pStyle w:val="Notesbodytext"/>
              <w:spacing w:after="0" w:line="280" w:lineRule="exact"/>
              <w:rPr>
                <w:rFonts w:ascii="Arial" w:hAnsi="Arial"/>
                <w:b/>
                <w:bCs/>
                <w:color w:val="auto"/>
                <w:sz w:val="20"/>
              </w:rPr>
            </w:pPr>
            <w:r w:rsidRPr="00E70587">
              <w:rPr>
                <w:rFonts w:ascii="Arial" w:hAnsi="Arial"/>
                <w:bCs/>
                <w:color w:val="auto"/>
                <w:sz w:val="20"/>
              </w:rPr>
              <w:t>Aggregate Unsecured loans</w:t>
            </w:r>
          </w:p>
        </w:tc>
        <w:tc>
          <w:tcPr>
            <w:tcW w:w="1620" w:type="dxa"/>
          </w:tcPr>
          <w:p w14:paraId="504704EE" w14:textId="35690CCF" w:rsidR="00315CA4" w:rsidRPr="00E70587" w:rsidRDefault="00315CA4" w:rsidP="00315CA4">
            <w:pPr>
              <w:spacing w:line="280" w:lineRule="exact"/>
              <w:jc w:val="right"/>
              <w:rPr>
                <w:rFonts w:ascii="Arial" w:hAnsi="Arial" w:cs="Arial"/>
                <w:sz w:val="20"/>
              </w:rPr>
            </w:pPr>
            <w:r w:rsidRPr="00E70587">
              <w:rPr>
                <w:rFonts w:ascii="Arial" w:hAnsi="Arial" w:cs="Arial"/>
                <w:sz w:val="20"/>
              </w:rPr>
              <w:t xml:space="preserve"> 24,</w:t>
            </w:r>
            <w:r w:rsidR="00C4634E">
              <w:rPr>
                <w:rFonts w:ascii="Arial" w:hAnsi="Arial" w:cs="Arial"/>
                <w:sz w:val="20"/>
              </w:rPr>
              <w:t>292</w:t>
            </w:r>
          </w:p>
        </w:tc>
        <w:tc>
          <w:tcPr>
            <w:tcW w:w="1710" w:type="dxa"/>
          </w:tcPr>
          <w:p w14:paraId="4F95112D" w14:textId="1A1D29CF" w:rsidR="00315CA4" w:rsidRPr="00E70587" w:rsidRDefault="00315CA4" w:rsidP="00315CA4">
            <w:pPr>
              <w:spacing w:line="280" w:lineRule="exact"/>
              <w:jc w:val="right"/>
              <w:rPr>
                <w:rFonts w:ascii="Arial" w:hAnsi="Arial" w:cs="Arial"/>
                <w:sz w:val="20"/>
              </w:rPr>
            </w:pPr>
            <w:r w:rsidRPr="00E70587">
              <w:rPr>
                <w:rFonts w:ascii="Arial" w:hAnsi="Arial" w:cs="Arial"/>
                <w:sz w:val="20"/>
              </w:rPr>
              <w:t xml:space="preserve"> 28,</w:t>
            </w:r>
            <w:r w:rsidR="00C4634E">
              <w:rPr>
                <w:rFonts w:ascii="Arial" w:hAnsi="Arial" w:cs="Arial"/>
                <w:sz w:val="20"/>
              </w:rPr>
              <w:t>778</w:t>
            </w:r>
            <w:r w:rsidR="00C4634E" w:rsidRPr="00E70587">
              <w:rPr>
                <w:rFonts w:ascii="Arial" w:hAnsi="Arial" w:cs="Arial"/>
                <w:sz w:val="20"/>
              </w:rPr>
              <w:t xml:space="preserve"> </w:t>
            </w:r>
          </w:p>
        </w:tc>
      </w:tr>
    </w:tbl>
    <w:p w14:paraId="12E0AE09" w14:textId="77777777" w:rsidR="00125BE3" w:rsidRPr="00E70587" w:rsidRDefault="00125BE3" w:rsidP="009901E1">
      <w:pPr>
        <w:pStyle w:val="Notesbodytext"/>
        <w:spacing w:after="0" w:line="280" w:lineRule="exact"/>
        <w:rPr>
          <w:rFonts w:ascii="Arial" w:hAnsi="Arial"/>
          <w:color w:val="auto"/>
          <w:sz w:val="20"/>
        </w:rPr>
      </w:pPr>
    </w:p>
    <w:tbl>
      <w:tblPr>
        <w:tblW w:w="9576" w:type="dxa"/>
        <w:tblLook w:val="0000" w:firstRow="0" w:lastRow="0" w:firstColumn="0" w:lastColumn="0" w:noHBand="0" w:noVBand="0"/>
      </w:tblPr>
      <w:tblGrid>
        <w:gridCol w:w="9576"/>
      </w:tblGrid>
      <w:tr w:rsidR="00474D3D" w:rsidRPr="00E70587" w14:paraId="2693253B" w14:textId="77777777" w:rsidTr="00474D3D">
        <w:tc>
          <w:tcPr>
            <w:tcW w:w="0" w:type="auto"/>
          </w:tcPr>
          <w:p w14:paraId="5081406C" w14:textId="77777777" w:rsidR="00474D3D" w:rsidRPr="00E70587" w:rsidRDefault="00474D3D" w:rsidP="00474D3D">
            <w:pPr>
              <w:pStyle w:val="Greybox"/>
              <w:shd w:val="clear" w:color="auto" w:fill="C1C1C1" w:themeFill="background1" w:themeFillTint="66"/>
              <w:spacing w:line="280" w:lineRule="exact"/>
              <w:jc w:val="both"/>
              <w:rPr>
                <w:rFonts w:ascii="Arial" w:hAnsi="Arial"/>
                <w:b/>
                <w:color w:val="auto"/>
                <w:sz w:val="20"/>
              </w:rPr>
            </w:pPr>
            <w:r w:rsidRPr="00E70587">
              <w:rPr>
                <w:rFonts w:ascii="Arial" w:hAnsi="Arial"/>
                <w:b/>
                <w:color w:val="auto"/>
                <w:sz w:val="20"/>
              </w:rPr>
              <w:t>Authors’ note</w:t>
            </w:r>
          </w:p>
          <w:p w14:paraId="09914F12" w14:textId="77777777" w:rsidR="00474D3D" w:rsidRPr="00E70587" w:rsidRDefault="00474D3D" w:rsidP="00BC09BA">
            <w:pPr>
              <w:pStyle w:val="Greybox"/>
              <w:shd w:val="clear" w:color="auto" w:fill="C1C1C1" w:themeFill="background1" w:themeFillTint="66"/>
              <w:spacing w:line="280" w:lineRule="exact"/>
              <w:jc w:val="both"/>
              <w:rPr>
                <w:rFonts w:ascii="Arial" w:hAnsi="Arial"/>
                <w:color w:val="auto"/>
                <w:sz w:val="20"/>
              </w:rPr>
            </w:pPr>
            <w:r w:rsidRPr="00E70587">
              <w:rPr>
                <w:rFonts w:ascii="Arial" w:hAnsi="Arial"/>
                <w:color w:val="auto"/>
                <w:sz w:val="20"/>
              </w:rPr>
              <w:t xml:space="preserve">Ind-AS 107 only requires disclosure of information that enables users of the financial statements to evaluate the significance of financial instruments for its financial position and performance. As the Group has a significant </w:t>
            </w:r>
            <w:proofErr w:type="gramStart"/>
            <w:r w:rsidRPr="00E70587">
              <w:rPr>
                <w:rFonts w:ascii="Arial" w:hAnsi="Arial"/>
                <w:color w:val="auto"/>
                <w:sz w:val="20"/>
              </w:rPr>
              <w:t>amount</w:t>
            </w:r>
            <w:proofErr w:type="gramEnd"/>
            <w:r w:rsidRPr="00E70587">
              <w:rPr>
                <w:rFonts w:ascii="Arial" w:hAnsi="Arial"/>
                <w:color w:val="auto"/>
                <w:sz w:val="20"/>
              </w:rPr>
              <w:t xml:space="preserve"> of borrowings on its balance sheet, it has decided to provide detailed information to the users of the financial statements about the effective interest rate as well as the maturity of the loans</w:t>
            </w:r>
            <w:r w:rsidR="00745C36" w:rsidRPr="00E70587">
              <w:rPr>
                <w:rFonts w:ascii="Arial" w:hAnsi="Arial"/>
                <w:color w:val="auto"/>
                <w:sz w:val="20"/>
              </w:rPr>
              <w:t>. Ind AS compliant Schedule III requires specific disclosure</w:t>
            </w:r>
            <w:r w:rsidR="00E64675" w:rsidRPr="00E70587">
              <w:rPr>
                <w:rFonts w:ascii="Arial" w:hAnsi="Arial"/>
                <w:color w:val="auto"/>
                <w:sz w:val="20"/>
              </w:rPr>
              <w:t>s,</w:t>
            </w:r>
            <w:r w:rsidR="00745C36" w:rsidRPr="00E70587">
              <w:rPr>
                <w:rFonts w:ascii="Arial" w:hAnsi="Arial"/>
                <w:color w:val="auto"/>
                <w:sz w:val="20"/>
              </w:rPr>
              <w:t xml:space="preserve"> e.g.</w:t>
            </w:r>
            <w:r w:rsidR="00E64675" w:rsidRPr="00E70587">
              <w:rPr>
                <w:rFonts w:ascii="Arial" w:hAnsi="Arial"/>
                <w:color w:val="auto"/>
                <w:sz w:val="20"/>
              </w:rPr>
              <w:t>,</w:t>
            </w:r>
            <w:r w:rsidR="00745C36" w:rsidRPr="00E70587">
              <w:rPr>
                <w:rFonts w:ascii="Arial" w:hAnsi="Arial"/>
                <w:color w:val="auto"/>
                <w:sz w:val="20"/>
              </w:rPr>
              <w:t xml:space="preserve"> for terms of loans/ bonds/ debentures.</w:t>
            </w:r>
          </w:p>
        </w:tc>
      </w:tr>
    </w:tbl>
    <w:p w14:paraId="76080B0B" w14:textId="77777777" w:rsidR="00125BE3" w:rsidRPr="00E70587" w:rsidRDefault="00125BE3" w:rsidP="00474D3D">
      <w:pPr>
        <w:pStyle w:val="Notesbodytext"/>
        <w:spacing w:after="0" w:line="280" w:lineRule="exact"/>
        <w:rPr>
          <w:rFonts w:ascii="Arial" w:hAnsi="Arial"/>
          <w:b/>
          <w:color w:val="auto"/>
          <w:sz w:val="20"/>
        </w:rPr>
      </w:pPr>
    </w:p>
    <w:tbl>
      <w:tblPr>
        <w:tblW w:w="9576" w:type="dxa"/>
        <w:tblLook w:val="0000" w:firstRow="0" w:lastRow="0" w:firstColumn="0" w:lastColumn="0" w:noHBand="0" w:noVBand="0"/>
      </w:tblPr>
      <w:tblGrid>
        <w:gridCol w:w="9576"/>
      </w:tblGrid>
      <w:tr w:rsidR="00474D3D" w:rsidRPr="00E70587" w14:paraId="59B49133" w14:textId="77777777" w:rsidTr="00474D3D">
        <w:tc>
          <w:tcPr>
            <w:tcW w:w="0" w:type="auto"/>
          </w:tcPr>
          <w:p w14:paraId="2D9C9132" w14:textId="77777777" w:rsidR="00E36422" w:rsidRPr="00E70587" w:rsidRDefault="00474D3D" w:rsidP="00DC73E1">
            <w:pPr>
              <w:pStyle w:val="Notesbodytext"/>
              <w:spacing w:after="0" w:line="280" w:lineRule="exact"/>
              <w:jc w:val="both"/>
              <w:rPr>
                <w:rFonts w:ascii="Arial" w:hAnsi="Arial"/>
                <w:color w:val="auto"/>
                <w:sz w:val="20"/>
              </w:rPr>
            </w:pPr>
            <w:r w:rsidRPr="00E70587">
              <w:rPr>
                <w:rFonts w:ascii="Arial" w:hAnsi="Arial"/>
                <w:b/>
                <w:color w:val="auto"/>
                <w:sz w:val="20"/>
              </w:rPr>
              <w:br w:type="page"/>
            </w:r>
          </w:p>
          <w:p w14:paraId="6A7AE9BA" w14:textId="77777777" w:rsidR="00474D3D" w:rsidRPr="00E70587" w:rsidRDefault="00474D3D" w:rsidP="00474D3D">
            <w:pPr>
              <w:pStyle w:val="Notesbodytext"/>
              <w:spacing w:after="0" w:line="280" w:lineRule="exact"/>
              <w:jc w:val="both"/>
              <w:rPr>
                <w:rFonts w:ascii="Arial" w:hAnsi="Arial"/>
                <w:b/>
                <w:color w:val="auto"/>
                <w:sz w:val="20"/>
              </w:rPr>
            </w:pPr>
            <w:r w:rsidRPr="00E70587">
              <w:rPr>
                <w:rFonts w:ascii="Arial" w:hAnsi="Arial"/>
                <w:b/>
                <w:color w:val="auto"/>
                <w:sz w:val="20"/>
              </w:rPr>
              <w:t>8% debentures</w:t>
            </w:r>
          </w:p>
          <w:p w14:paraId="0865781D" w14:textId="77777777" w:rsidR="00E36422" w:rsidRPr="00E70587" w:rsidRDefault="00E36422" w:rsidP="00474D3D">
            <w:pPr>
              <w:pStyle w:val="Notesbodytext"/>
              <w:spacing w:after="0" w:line="280" w:lineRule="exact"/>
              <w:jc w:val="both"/>
              <w:rPr>
                <w:rFonts w:ascii="Arial" w:hAnsi="Arial"/>
                <w:color w:val="auto"/>
                <w:sz w:val="20"/>
              </w:rPr>
            </w:pPr>
          </w:p>
          <w:p w14:paraId="37BDA775" w14:textId="6BD99E0C" w:rsidR="00474D3D" w:rsidRPr="00E70587" w:rsidRDefault="00474D3D" w:rsidP="00474D3D">
            <w:pPr>
              <w:pStyle w:val="Notesbodytext"/>
              <w:spacing w:after="0" w:line="280" w:lineRule="exact"/>
              <w:jc w:val="both"/>
              <w:rPr>
                <w:rFonts w:ascii="Arial" w:hAnsi="Arial"/>
                <w:color w:val="auto"/>
                <w:sz w:val="20"/>
              </w:rPr>
            </w:pPr>
            <w:r w:rsidRPr="00E70587">
              <w:rPr>
                <w:rFonts w:ascii="Arial" w:hAnsi="Arial"/>
                <w:color w:val="auto"/>
                <w:sz w:val="20"/>
              </w:rPr>
              <w:t xml:space="preserve">The 8% debentures are repayable in equal annual instalments of INR </w:t>
            </w:r>
            <w:r w:rsidR="00E36422" w:rsidRPr="00E70587">
              <w:rPr>
                <w:rFonts w:ascii="Arial" w:hAnsi="Arial"/>
                <w:color w:val="auto"/>
                <w:sz w:val="20"/>
              </w:rPr>
              <w:t xml:space="preserve">630 lacs each </w:t>
            </w:r>
            <w:r w:rsidRPr="00E70587">
              <w:rPr>
                <w:rFonts w:ascii="Arial" w:hAnsi="Arial"/>
                <w:color w:val="auto"/>
                <w:sz w:val="20"/>
              </w:rPr>
              <w:t xml:space="preserve">commencing on 1 April </w:t>
            </w:r>
            <w:r w:rsidR="00EE326D" w:rsidRPr="00E70587">
              <w:rPr>
                <w:rFonts w:ascii="Arial" w:hAnsi="Arial"/>
                <w:color w:val="auto"/>
                <w:sz w:val="20"/>
              </w:rPr>
              <w:t>202</w:t>
            </w:r>
            <w:r w:rsidR="00EE326D">
              <w:rPr>
                <w:rFonts w:ascii="Arial" w:hAnsi="Arial"/>
                <w:color w:val="auto"/>
                <w:sz w:val="20"/>
              </w:rPr>
              <w:t>3</w:t>
            </w:r>
            <w:r w:rsidRPr="00E70587">
              <w:rPr>
                <w:rFonts w:ascii="Arial" w:hAnsi="Arial"/>
                <w:color w:val="auto"/>
                <w:sz w:val="20"/>
              </w:rPr>
              <w:t>.</w:t>
            </w:r>
          </w:p>
          <w:p w14:paraId="01CE12D1" w14:textId="77777777" w:rsidR="00474D3D" w:rsidRPr="00E70587" w:rsidRDefault="00474D3D" w:rsidP="00E36422">
            <w:pPr>
              <w:pStyle w:val="Notesbodytext"/>
              <w:spacing w:after="0" w:line="280" w:lineRule="exact"/>
              <w:jc w:val="both"/>
              <w:rPr>
                <w:rFonts w:ascii="Arial" w:hAnsi="Arial"/>
                <w:b/>
                <w:color w:val="auto"/>
                <w:sz w:val="20"/>
              </w:rPr>
            </w:pPr>
          </w:p>
        </w:tc>
      </w:tr>
      <w:tr w:rsidR="00474D3D" w:rsidRPr="00E70587" w14:paraId="5FF0CF83" w14:textId="77777777" w:rsidTr="00474D3D">
        <w:tc>
          <w:tcPr>
            <w:tcW w:w="0" w:type="auto"/>
          </w:tcPr>
          <w:p w14:paraId="7F3330FC" w14:textId="77777777" w:rsidR="00474D3D" w:rsidRPr="00E70587" w:rsidRDefault="00474D3D" w:rsidP="00E36422">
            <w:pPr>
              <w:pStyle w:val="Notesbodytext"/>
              <w:spacing w:after="0" w:line="280" w:lineRule="exact"/>
              <w:jc w:val="both"/>
              <w:rPr>
                <w:rFonts w:ascii="Arial" w:hAnsi="Arial"/>
                <w:color w:val="auto"/>
                <w:sz w:val="20"/>
              </w:rPr>
            </w:pPr>
            <w:r w:rsidRPr="00E70587">
              <w:rPr>
                <w:rFonts w:ascii="Arial" w:hAnsi="Arial"/>
                <w:b/>
                <w:color w:val="auto"/>
                <w:sz w:val="20"/>
              </w:rPr>
              <w:t>Secured bank loan</w:t>
            </w:r>
          </w:p>
          <w:p w14:paraId="69EB341F" w14:textId="77777777" w:rsidR="00E36422" w:rsidRPr="00E70587" w:rsidRDefault="00E36422" w:rsidP="00E36422">
            <w:pPr>
              <w:pStyle w:val="Notesbodytext"/>
              <w:spacing w:after="0" w:line="280" w:lineRule="exact"/>
              <w:jc w:val="both"/>
              <w:rPr>
                <w:rFonts w:ascii="Arial" w:hAnsi="Arial"/>
                <w:color w:val="auto"/>
                <w:sz w:val="20"/>
              </w:rPr>
            </w:pPr>
          </w:p>
          <w:p w14:paraId="7F3B7DC6" w14:textId="16B3E8DE" w:rsidR="00474D3D" w:rsidRPr="00E70587" w:rsidRDefault="00474D3D" w:rsidP="00E36422">
            <w:pPr>
              <w:pStyle w:val="Notesbodytext"/>
              <w:spacing w:after="0" w:line="280" w:lineRule="exact"/>
              <w:jc w:val="both"/>
              <w:rPr>
                <w:rFonts w:ascii="Arial" w:hAnsi="Arial"/>
                <w:color w:val="auto"/>
                <w:sz w:val="20"/>
              </w:rPr>
            </w:pPr>
            <w:r w:rsidRPr="00E70587">
              <w:rPr>
                <w:rFonts w:ascii="Arial" w:hAnsi="Arial"/>
                <w:color w:val="auto"/>
                <w:sz w:val="20"/>
              </w:rPr>
              <w:t xml:space="preserve">This loan has been drawn down under a six-year multi-option facility (MOF). The loan is repayable within 12 months after the reporting </w:t>
            </w:r>
            <w:r w:rsidR="00EE326D" w:rsidRPr="00E70587">
              <w:rPr>
                <w:rFonts w:ascii="Arial" w:hAnsi="Arial"/>
                <w:color w:val="auto"/>
                <w:sz w:val="20"/>
              </w:rPr>
              <w:t>date but</w:t>
            </w:r>
            <w:r w:rsidRPr="00E70587">
              <w:rPr>
                <w:rFonts w:ascii="Arial" w:hAnsi="Arial"/>
                <w:color w:val="auto"/>
                <w:sz w:val="20"/>
              </w:rPr>
              <w:t xml:space="preserve"> has been classified as long term because the Group expects and has the discretion to exercise its rights under the MOF to refinance this funding. Such immediate replacement funding is available until 31 July </w:t>
            </w:r>
            <w:r w:rsidR="00EE326D" w:rsidRPr="00E70587">
              <w:rPr>
                <w:rFonts w:ascii="Arial" w:hAnsi="Arial"/>
                <w:color w:val="auto"/>
                <w:sz w:val="20"/>
              </w:rPr>
              <w:t>202</w:t>
            </w:r>
            <w:r w:rsidR="00EE326D">
              <w:rPr>
                <w:rFonts w:ascii="Arial" w:hAnsi="Arial"/>
                <w:color w:val="auto"/>
                <w:sz w:val="20"/>
              </w:rPr>
              <w:t>5</w:t>
            </w:r>
            <w:r w:rsidRPr="00E70587">
              <w:rPr>
                <w:rFonts w:ascii="Arial" w:hAnsi="Arial"/>
                <w:color w:val="auto"/>
                <w:sz w:val="20"/>
              </w:rPr>
              <w:t xml:space="preserve">. The facility is secured by a first charge over certain of the Group’s land and buildings, with a carrying value of INR </w:t>
            </w:r>
            <w:r w:rsidR="00052535" w:rsidRPr="00E70587">
              <w:rPr>
                <w:rFonts w:ascii="Arial" w:hAnsi="Arial"/>
                <w:color w:val="auto"/>
                <w:sz w:val="20"/>
              </w:rPr>
              <w:t>9</w:t>
            </w:r>
            <w:r w:rsidR="00D5134A" w:rsidRPr="00E70587">
              <w:rPr>
                <w:rFonts w:ascii="Arial" w:hAnsi="Arial"/>
                <w:color w:val="auto"/>
                <w:sz w:val="20"/>
              </w:rPr>
              <w:t>,</w:t>
            </w:r>
            <w:r w:rsidR="00052535" w:rsidRPr="00E70587">
              <w:rPr>
                <w:rFonts w:ascii="Arial" w:hAnsi="Arial"/>
                <w:color w:val="auto"/>
                <w:sz w:val="20"/>
              </w:rPr>
              <w:t>000</w:t>
            </w:r>
            <w:r w:rsidRPr="00E70587">
              <w:rPr>
                <w:rFonts w:ascii="Arial" w:hAnsi="Arial"/>
                <w:color w:val="auto"/>
                <w:sz w:val="20"/>
              </w:rPr>
              <w:t xml:space="preserve"> (31 </w:t>
            </w:r>
            <w:r w:rsidR="008B730E" w:rsidRPr="00E70587">
              <w:rPr>
                <w:rFonts w:ascii="Arial" w:hAnsi="Arial"/>
                <w:color w:val="auto"/>
                <w:sz w:val="20"/>
              </w:rPr>
              <w:t xml:space="preserve">March </w:t>
            </w:r>
            <w:r w:rsidR="00B83DE7" w:rsidRPr="00E70587">
              <w:rPr>
                <w:rFonts w:ascii="Arial" w:hAnsi="Arial"/>
                <w:color w:val="auto"/>
                <w:sz w:val="20"/>
              </w:rPr>
              <w:t>20</w:t>
            </w:r>
            <w:r w:rsidR="00B83DE7">
              <w:rPr>
                <w:rFonts w:ascii="Arial" w:hAnsi="Arial"/>
                <w:color w:val="auto"/>
                <w:sz w:val="20"/>
              </w:rPr>
              <w:t>20</w:t>
            </w:r>
            <w:r w:rsidRPr="00E70587">
              <w:rPr>
                <w:rFonts w:ascii="Arial" w:hAnsi="Arial"/>
                <w:color w:val="auto"/>
                <w:sz w:val="20"/>
              </w:rPr>
              <w:t>: INR 9</w:t>
            </w:r>
            <w:r w:rsidR="00D5134A" w:rsidRPr="00E70587">
              <w:rPr>
                <w:rFonts w:ascii="Arial" w:hAnsi="Arial"/>
                <w:color w:val="auto"/>
                <w:sz w:val="20"/>
              </w:rPr>
              <w:t>,</w:t>
            </w:r>
            <w:r w:rsidR="00052535" w:rsidRPr="00E70587">
              <w:rPr>
                <w:rFonts w:ascii="Arial" w:hAnsi="Arial"/>
                <w:color w:val="auto"/>
                <w:sz w:val="20"/>
              </w:rPr>
              <w:t>0</w:t>
            </w:r>
            <w:r w:rsidRPr="00E70587">
              <w:rPr>
                <w:rFonts w:ascii="Arial" w:hAnsi="Arial"/>
                <w:color w:val="auto"/>
                <w:sz w:val="20"/>
              </w:rPr>
              <w:t>00).</w:t>
            </w:r>
          </w:p>
          <w:p w14:paraId="28550014" w14:textId="77777777" w:rsidR="00474D3D" w:rsidRPr="00E70587" w:rsidRDefault="00474D3D" w:rsidP="00E36422">
            <w:pPr>
              <w:pStyle w:val="Notesbodytext"/>
              <w:spacing w:after="0" w:line="280" w:lineRule="exact"/>
              <w:jc w:val="both"/>
              <w:rPr>
                <w:rFonts w:ascii="Arial" w:hAnsi="Arial"/>
                <w:b/>
                <w:color w:val="auto"/>
                <w:sz w:val="20"/>
              </w:rPr>
            </w:pPr>
          </w:p>
        </w:tc>
      </w:tr>
      <w:tr w:rsidR="00474D3D" w:rsidRPr="00E70587" w14:paraId="46FD530D" w14:textId="77777777" w:rsidTr="00474D3D">
        <w:tc>
          <w:tcPr>
            <w:tcW w:w="0" w:type="auto"/>
          </w:tcPr>
          <w:p w14:paraId="3455C309" w14:textId="77777777" w:rsidR="00474D3D" w:rsidRPr="00E70587" w:rsidRDefault="00474D3D" w:rsidP="009901E1">
            <w:pPr>
              <w:pStyle w:val="Notesbodytext"/>
              <w:spacing w:after="0" w:line="280" w:lineRule="exact"/>
              <w:jc w:val="both"/>
              <w:rPr>
                <w:rFonts w:ascii="Arial" w:hAnsi="Arial"/>
                <w:b/>
                <w:color w:val="auto"/>
                <w:sz w:val="20"/>
              </w:rPr>
            </w:pPr>
            <w:r w:rsidRPr="00E70587">
              <w:rPr>
                <w:rFonts w:ascii="Arial" w:hAnsi="Arial"/>
                <w:b/>
                <w:color w:val="auto"/>
                <w:sz w:val="20"/>
              </w:rPr>
              <w:t>8.25% secured loan in USD</w:t>
            </w:r>
          </w:p>
          <w:p w14:paraId="59280011" w14:textId="77777777" w:rsidR="00E36422" w:rsidRPr="00E70587" w:rsidRDefault="00E36422" w:rsidP="009901E1">
            <w:pPr>
              <w:pStyle w:val="Notesbodytext"/>
              <w:spacing w:after="0" w:line="280" w:lineRule="exact"/>
              <w:jc w:val="both"/>
              <w:rPr>
                <w:rFonts w:ascii="Arial" w:hAnsi="Arial"/>
                <w:color w:val="auto"/>
                <w:sz w:val="20"/>
              </w:rPr>
            </w:pPr>
          </w:p>
          <w:p w14:paraId="6E97772C" w14:textId="0B7F98E7" w:rsidR="00474D3D" w:rsidRPr="00E70587" w:rsidRDefault="00474D3D" w:rsidP="009901E1">
            <w:pPr>
              <w:pStyle w:val="Notesbodytext"/>
              <w:spacing w:after="0" w:line="280" w:lineRule="exact"/>
              <w:jc w:val="both"/>
              <w:rPr>
                <w:rFonts w:ascii="Arial" w:hAnsi="Arial"/>
                <w:color w:val="auto"/>
                <w:sz w:val="20"/>
              </w:rPr>
            </w:pPr>
            <w:r w:rsidRPr="00E70587">
              <w:rPr>
                <w:rFonts w:ascii="Arial" w:hAnsi="Arial"/>
                <w:color w:val="auto"/>
                <w:sz w:val="20"/>
              </w:rPr>
              <w:t xml:space="preserve">The loan is secured by a first charge over certain of the Group’s land and buildings with a carrying value of INR </w:t>
            </w:r>
            <w:r w:rsidR="00052535" w:rsidRPr="00E70587">
              <w:rPr>
                <w:rFonts w:ascii="Arial" w:hAnsi="Arial"/>
                <w:color w:val="auto"/>
                <w:sz w:val="20"/>
              </w:rPr>
              <w:t>4</w:t>
            </w:r>
            <w:r w:rsidR="00D5134A" w:rsidRPr="00E70587">
              <w:rPr>
                <w:rFonts w:ascii="Arial" w:hAnsi="Arial"/>
                <w:color w:val="auto"/>
                <w:sz w:val="20"/>
              </w:rPr>
              <w:t>,</w:t>
            </w:r>
            <w:r w:rsidR="00052535" w:rsidRPr="00E70587">
              <w:rPr>
                <w:rFonts w:ascii="Arial" w:hAnsi="Arial"/>
                <w:color w:val="auto"/>
                <w:sz w:val="20"/>
              </w:rPr>
              <w:t>320</w:t>
            </w:r>
            <w:r w:rsidRPr="00E70587">
              <w:rPr>
                <w:rFonts w:ascii="Arial" w:hAnsi="Arial"/>
                <w:color w:val="auto"/>
                <w:sz w:val="20"/>
              </w:rPr>
              <w:t xml:space="preserve"> (31 </w:t>
            </w:r>
            <w:r w:rsidR="008B730E" w:rsidRPr="00E70587">
              <w:rPr>
                <w:rFonts w:ascii="Arial" w:hAnsi="Arial"/>
                <w:color w:val="auto"/>
                <w:sz w:val="20"/>
              </w:rPr>
              <w:t xml:space="preserve">March </w:t>
            </w:r>
            <w:r w:rsidR="00B83DE7" w:rsidRPr="00E70587">
              <w:rPr>
                <w:rFonts w:ascii="Arial" w:hAnsi="Arial"/>
                <w:color w:val="auto"/>
                <w:sz w:val="20"/>
              </w:rPr>
              <w:t>20</w:t>
            </w:r>
            <w:r w:rsidR="00B83DE7">
              <w:rPr>
                <w:rFonts w:ascii="Arial" w:hAnsi="Arial"/>
                <w:color w:val="auto"/>
                <w:sz w:val="20"/>
              </w:rPr>
              <w:t>20</w:t>
            </w:r>
            <w:r w:rsidRPr="00E70587">
              <w:rPr>
                <w:rFonts w:ascii="Arial" w:hAnsi="Arial"/>
                <w:color w:val="auto"/>
                <w:sz w:val="20"/>
              </w:rPr>
              <w:t>: Nil).</w:t>
            </w:r>
          </w:p>
          <w:p w14:paraId="43C3BB82" w14:textId="77777777" w:rsidR="00474D3D" w:rsidRPr="00E70587" w:rsidRDefault="00474D3D" w:rsidP="009901E1">
            <w:pPr>
              <w:pStyle w:val="Notesbodytext"/>
              <w:spacing w:after="0" w:line="280" w:lineRule="exact"/>
              <w:jc w:val="both"/>
              <w:rPr>
                <w:rFonts w:ascii="Arial" w:hAnsi="Arial"/>
                <w:b/>
                <w:color w:val="auto"/>
                <w:sz w:val="20"/>
              </w:rPr>
            </w:pPr>
          </w:p>
        </w:tc>
      </w:tr>
      <w:tr w:rsidR="00474D3D" w:rsidRPr="00E70587" w14:paraId="268923EC" w14:textId="77777777" w:rsidTr="00474D3D">
        <w:tc>
          <w:tcPr>
            <w:tcW w:w="0" w:type="auto"/>
          </w:tcPr>
          <w:p w14:paraId="7F67F7FB" w14:textId="77777777" w:rsidR="00474D3D" w:rsidRPr="00E70587" w:rsidRDefault="00474D3D" w:rsidP="009901E1">
            <w:pPr>
              <w:pStyle w:val="Notesbodytext"/>
              <w:spacing w:after="0" w:line="280" w:lineRule="exact"/>
              <w:jc w:val="both"/>
              <w:rPr>
                <w:rFonts w:ascii="Arial" w:hAnsi="Arial"/>
                <w:b/>
                <w:color w:val="auto"/>
                <w:sz w:val="20"/>
              </w:rPr>
            </w:pPr>
            <w:r w:rsidRPr="00E70587">
              <w:rPr>
                <w:rFonts w:ascii="Arial" w:hAnsi="Arial"/>
                <w:b/>
                <w:color w:val="auto"/>
                <w:sz w:val="20"/>
              </w:rPr>
              <w:t>INR 10</w:t>
            </w:r>
            <w:r w:rsidR="00D5134A" w:rsidRPr="00E70587">
              <w:rPr>
                <w:rFonts w:ascii="Arial" w:hAnsi="Arial"/>
                <w:b/>
                <w:color w:val="auto"/>
                <w:sz w:val="20"/>
              </w:rPr>
              <w:t>,</w:t>
            </w:r>
            <w:r w:rsidRPr="00E70587">
              <w:rPr>
                <w:rFonts w:ascii="Arial" w:hAnsi="Arial"/>
                <w:b/>
                <w:color w:val="auto"/>
                <w:sz w:val="20"/>
              </w:rPr>
              <w:t>456 bank loan</w:t>
            </w:r>
          </w:p>
          <w:p w14:paraId="52A1455A" w14:textId="77777777" w:rsidR="00E36422" w:rsidRPr="00E70587" w:rsidRDefault="00E36422" w:rsidP="009901E1">
            <w:pPr>
              <w:pStyle w:val="Notesbodytext"/>
              <w:spacing w:after="0" w:line="280" w:lineRule="exact"/>
              <w:jc w:val="both"/>
              <w:rPr>
                <w:rFonts w:ascii="Arial" w:hAnsi="Arial"/>
                <w:color w:val="auto"/>
                <w:sz w:val="20"/>
              </w:rPr>
            </w:pPr>
          </w:p>
          <w:p w14:paraId="0FEE8090" w14:textId="39199648" w:rsidR="00474D3D" w:rsidRPr="00E70587" w:rsidRDefault="00745C36" w:rsidP="009901E1">
            <w:pPr>
              <w:pStyle w:val="Notesbodytext"/>
              <w:spacing w:after="0" w:line="280" w:lineRule="exact"/>
              <w:jc w:val="both"/>
              <w:rPr>
                <w:rFonts w:ascii="Arial" w:hAnsi="Arial"/>
                <w:color w:val="auto"/>
                <w:sz w:val="20"/>
              </w:rPr>
            </w:pPr>
            <w:r w:rsidRPr="00E70587">
              <w:rPr>
                <w:rFonts w:ascii="Arial" w:hAnsi="Arial"/>
                <w:color w:val="auto"/>
                <w:sz w:val="20"/>
              </w:rPr>
              <w:t xml:space="preserve">This loan is unsecured and is repayable in full on 31 March </w:t>
            </w:r>
            <w:r w:rsidR="00233231" w:rsidRPr="00E70587">
              <w:rPr>
                <w:rFonts w:ascii="Arial" w:hAnsi="Arial"/>
                <w:color w:val="auto"/>
                <w:sz w:val="20"/>
              </w:rPr>
              <w:t>202</w:t>
            </w:r>
            <w:r w:rsidR="00233231">
              <w:rPr>
                <w:rFonts w:ascii="Arial" w:hAnsi="Arial"/>
                <w:color w:val="auto"/>
                <w:sz w:val="20"/>
              </w:rPr>
              <w:t>3</w:t>
            </w:r>
            <w:r w:rsidRPr="00E70587">
              <w:rPr>
                <w:rFonts w:ascii="Arial" w:hAnsi="Arial"/>
                <w:color w:val="auto"/>
                <w:sz w:val="20"/>
              </w:rPr>
              <w:t xml:space="preserve">. </w:t>
            </w:r>
            <w:r w:rsidR="00474D3D" w:rsidRPr="00E70587">
              <w:rPr>
                <w:rFonts w:ascii="Arial" w:hAnsi="Arial"/>
                <w:color w:val="auto"/>
                <w:sz w:val="20"/>
              </w:rPr>
              <w:t>This loan has been transferred to the net balance of the discontinued operations</w:t>
            </w:r>
            <w:r w:rsidR="006868AD" w:rsidRPr="00E70587">
              <w:rPr>
                <w:rFonts w:ascii="Arial" w:hAnsi="Arial"/>
                <w:color w:val="auto"/>
                <w:sz w:val="20"/>
              </w:rPr>
              <w:t xml:space="preserve"> (note 21)</w:t>
            </w:r>
            <w:r w:rsidR="00474D3D" w:rsidRPr="00E70587">
              <w:rPr>
                <w:rFonts w:ascii="Arial" w:hAnsi="Arial"/>
                <w:color w:val="auto"/>
                <w:sz w:val="20"/>
              </w:rPr>
              <w:t>.</w:t>
            </w:r>
          </w:p>
          <w:p w14:paraId="4BC6D93F" w14:textId="77777777" w:rsidR="00474D3D" w:rsidRPr="00E70587" w:rsidRDefault="00474D3D" w:rsidP="009901E1">
            <w:pPr>
              <w:pStyle w:val="Notesbodytext"/>
              <w:spacing w:after="0" w:line="280" w:lineRule="exact"/>
              <w:jc w:val="both"/>
              <w:rPr>
                <w:rFonts w:ascii="Arial" w:hAnsi="Arial"/>
                <w:b/>
                <w:color w:val="auto"/>
                <w:sz w:val="20"/>
              </w:rPr>
            </w:pPr>
          </w:p>
        </w:tc>
      </w:tr>
      <w:tr w:rsidR="00474D3D" w:rsidRPr="00E70587" w14:paraId="4CABF8DA" w14:textId="77777777" w:rsidTr="00474D3D">
        <w:tc>
          <w:tcPr>
            <w:tcW w:w="0" w:type="auto"/>
          </w:tcPr>
          <w:p w14:paraId="7633ECFF" w14:textId="77777777" w:rsidR="00474D3D" w:rsidRPr="00E70587" w:rsidRDefault="00474D3D" w:rsidP="009901E1">
            <w:pPr>
              <w:pStyle w:val="Notesbodytext"/>
              <w:spacing w:after="0" w:line="280" w:lineRule="exact"/>
              <w:jc w:val="both"/>
              <w:rPr>
                <w:rFonts w:ascii="Arial" w:hAnsi="Arial"/>
                <w:b/>
                <w:color w:val="auto"/>
                <w:sz w:val="20"/>
              </w:rPr>
            </w:pPr>
            <w:r w:rsidRPr="00E70587">
              <w:rPr>
                <w:rFonts w:ascii="Arial" w:hAnsi="Arial"/>
                <w:b/>
                <w:color w:val="auto"/>
                <w:sz w:val="20"/>
              </w:rPr>
              <w:t>INR 3</w:t>
            </w:r>
            <w:r w:rsidR="00D5134A" w:rsidRPr="00E70587">
              <w:rPr>
                <w:rFonts w:ascii="Arial" w:hAnsi="Arial"/>
                <w:b/>
                <w:color w:val="auto"/>
                <w:sz w:val="20"/>
              </w:rPr>
              <w:t>,</w:t>
            </w:r>
            <w:r w:rsidRPr="00E70587">
              <w:rPr>
                <w:rFonts w:ascii="Arial" w:hAnsi="Arial"/>
                <w:b/>
                <w:color w:val="auto"/>
                <w:sz w:val="20"/>
              </w:rPr>
              <w:t>960 bank loan</w:t>
            </w:r>
          </w:p>
          <w:p w14:paraId="4117F1CA" w14:textId="77777777" w:rsidR="00E36422" w:rsidRPr="00E70587" w:rsidRDefault="00E36422" w:rsidP="009901E1">
            <w:pPr>
              <w:pStyle w:val="Notesbodytext"/>
              <w:spacing w:after="0" w:line="280" w:lineRule="exact"/>
              <w:jc w:val="both"/>
              <w:rPr>
                <w:rFonts w:ascii="Arial" w:hAnsi="Arial"/>
                <w:color w:val="auto"/>
                <w:sz w:val="20"/>
              </w:rPr>
            </w:pPr>
          </w:p>
          <w:p w14:paraId="4EA3B5AA" w14:textId="25A7231F" w:rsidR="00474D3D" w:rsidRPr="00E70587" w:rsidRDefault="00474D3D" w:rsidP="009901E1">
            <w:pPr>
              <w:pStyle w:val="Notesbodytext"/>
              <w:spacing w:after="0" w:line="280" w:lineRule="exact"/>
              <w:jc w:val="both"/>
              <w:rPr>
                <w:rFonts w:ascii="Arial" w:hAnsi="Arial"/>
                <w:color w:val="auto"/>
                <w:sz w:val="20"/>
              </w:rPr>
            </w:pPr>
            <w:r w:rsidRPr="00E70587">
              <w:rPr>
                <w:rFonts w:ascii="Arial" w:hAnsi="Arial"/>
                <w:color w:val="auto"/>
                <w:sz w:val="20"/>
              </w:rPr>
              <w:t xml:space="preserve">This loan is unsecured and is repayable in full on 31 March </w:t>
            </w:r>
            <w:r w:rsidR="008B730E" w:rsidRPr="00E70587">
              <w:rPr>
                <w:rFonts w:ascii="Arial" w:hAnsi="Arial"/>
                <w:color w:val="auto"/>
                <w:sz w:val="20"/>
              </w:rPr>
              <w:t>202</w:t>
            </w:r>
            <w:r w:rsidR="007524CC">
              <w:rPr>
                <w:rFonts w:ascii="Arial" w:hAnsi="Arial"/>
                <w:color w:val="auto"/>
                <w:sz w:val="20"/>
              </w:rPr>
              <w:t>3</w:t>
            </w:r>
            <w:r w:rsidRPr="00E70587">
              <w:rPr>
                <w:rFonts w:ascii="Arial" w:hAnsi="Arial"/>
                <w:color w:val="auto"/>
                <w:sz w:val="20"/>
              </w:rPr>
              <w:t>.</w:t>
            </w:r>
          </w:p>
          <w:p w14:paraId="797D0815" w14:textId="77777777" w:rsidR="00474D3D" w:rsidRPr="00E70587" w:rsidRDefault="00474D3D" w:rsidP="009901E1">
            <w:pPr>
              <w:pStyle w:val="Notesbodytext"/>
              <w:spacing w:after="0" w:line="280" w:lineRule="exact"/>
              <w:jc w:val="both"/>
              <w:rPr>
                <w:rFonts w:ascii="Arial" w:hAnsi="Arial"/>
                <w:b/>
                <w:color w:val="auto"/>
                <w:sz w:val="20"/>
              </w:rPr>
            </w:pPr>
          </w:p>
        </w:tc>
      </w:tr>
      <w:tr w:rsidR="00474D3D" w:rsidRPr="00E70587" w14:paraId="61EA8C7D" w14:textId="77777777" w:rsidTr="00474D3D">
        <w:tc>
          <w:tcPr>
            <w:tcW w:w="0" w:type="auto"/>
          </w:tcPr>
          <w:p w14:paraId="7C769A55" w14:textId="77777777" w:rsidR="00474D3D" w:rsidRPr="00E70587" w:rsidRDefault="00474D3D" w:rsidP="009901E1">
            <w:pPr>
              <w:pStyle w:val="Notesbodytext"/>
              <w:spacing w:after="0" w:line="280" w:lineRule="exact"/>
              <w:jc w:val="both"/>
              <w:rPr>
                <w:rFonts w:ascii="Arial" w:hAnsi="Arial"/>
                <w:b/>
                <w:color w:val="auto"/>
                <w:sz w:val="20"/>
              </w:rPr>
            </w:pPr>
            <w:r w:rsidRPr="00E70587">
              <w:rPr>
                <w:rFonts w:ascii="Arial" w:hAnsi="Arial"/>
                <w:b/>
                <w:color w:val="auto"/>
                <w:sz w:val="20"/>
              </w:rPr>
              <w:t>INR 4</w:t>
            </w:r>
            <w:r w:rsidR="00D5134A" w:rsidRPr="00E70587">
              <w:rPr>
                <w:rFonts w:ascii="Arial" w:hAnsi="Arial"/>
                <w:b/>
                <w:color w:val="auto"/>
                <w:sz w:val="20"/>
              </w:rPr>
              <w:t>,</w:t>
            </w:r>
            <w:r w:rsidRPr="00E70587">
              <w:rPr>
                <w:rFonts w:ascii="Arial" w:hAnsi="Arial"/>
                <w:b/>
                <w:color w:val="auto"/>
                <w:sz w:val="20"/>
              </w:rPr>
              <w:t>950 bank loan</w:t>
            </w:r>
          </w:p>
          <w:p w14:paraId="6D0BB898" w14:textId="77777777" w:rsidR="00E36422" w:rsidRPr="00E70587" w:rsidRDefault="00E36422" w:rsidP="009901E1">
            <w:pPr>
              <w:pStyle w:val="Notesbodytext"/>
              <w:spacing w:after="0" w:line="280" w:lineRule="exact"/>
              <w:jc w:val="both"/>
              <w:rPr>
                <w:rFonts w:ascii="Arial" w:hAnsi="Arial"/>
                <w:color w:val="auto"/>
                <w:sz w:val="20"/>
              </w:rPr>
            </w:pPr>
          </w:p>
          <w:p w14:paraId="75B59A06" w14:textId="0E5D9DAE" w:rsidR="00474D3D" w:rsidRPr="00E70587" w:rsidRDefault="00474D3D" w:rsidP="009901E1">
            <w:pPr>
              <w:pStyle w:val="Notesbodytext"/>
              <w:spacing w:after="0" w:line="280" w:lineRule="exact"/>
              <w:jc w:val="both"/>
              <w:rPr>
                <w:rFonts w:ascii="Arial" w:hAnsi="Arial"/>
                <w:color w:val="auto"/>
                <w:sz w:val="20"/>
              </w:rPr>
            </w:pPr>
            <w:r w:rsidRPr="00E70587">
              <w:rPr>
                <w:rFonts w:ascii="Arial" w:hAnsi="Arial"/>
                <w:color w:val="auto"/>
                <w:sz w:val="20"/>
              </w:rPr>
              <w:t>The Group increased its borrowings under this loan contract by INR 450 during the reporting period. This loan is repayable in two instalments of INR 2</w:t>
            </w:r>
            <w:r w:rsidR="00D5134A" w:rsidRPr="00E70587">
              <w:rPr>
                <w:rFonts w:ascii="Arial" w:hAnsi="Arial"/>
                <w:color w:val="auto"/>
                <w:sz w:val="20"/>
              </w:rPr>
              <w:t>,</w:t>
            </w:r>
            <w:r w:rsidRPr="00E70587">
              <w:rPr>
                <w:rFonts w:ascii="Arial" w:hAnsi="Arial"/>
                <w:color w:val="auto"/>
                <w:sz w:val="20"/>
              </w:rPr>
              <w:t xml:space="preserve">250 due on 31 </w:t>
            </w:r>
            <w:r w:rsidR="0032674D">
              <w:rPr>
                <w:rFonts w:ascii="Arial" w:hAnsi="Arial"/>
                <w:color w:val="auto"/>
                <w:sz w:val="20"/>
              </w:rPr>
              <w:t>March</w:t>
            </w:r>
            <w:r w:rsidR="0032674D" w:rsidRPr="00E70587">
              <w:rPr>
                <w:rFonts w:ascii="Arial" w:hAnsi="Arial"/>
                <w:color w:val="auto"/>
                <w:sz w:val="20"/>
              </w:rPr>
              <w:t xml:space="preserve"> 202</w:t>
            </w:r>
            <w:r w:rsidR="0032674D">
              <w:rPr>
                <w:rFonts w:ascii="Arial" w:hAnsi="Arial"/>
                <w:color w:val="auto"/>
                <w:sz w:val="20"/>
              </w:rPr>
              <w:t>2</w:t>
            </w:r>
            <w:r w:rsidR="0032674D" w:rsidRPr="00E70587">
              <w:rPr>
                <w:rFonts w:ascii="Arial" w:hAnsi="Arial"/>
                <w:color w:val="auto"/>
                <w:sz w:val="20"/>
              </w:rPr>
              <w:t xml:space="preserve"> </w:t>
            </w:r>
            <w:r w:rsidRPr="00E70587">
              <w:rPr>
                <w:rFonts w:ascii="Arial" w:hAnsi="Arial"/>
                <w:color w:val="auto"/>
                <w:sz w:val="20"/>
              </w:rPr>
              <w:t>and INR 2</w:t>
            </w:r>
            <w:r w:rsidR="00D5134A" w:rsidRPr="00E70587">
              <w:rPr>
                <w:rFonts w:ascii="Arial" w:hAnsi="Arial"/>
                <w:color w:val="auto"/>
                <w:sz w:val="20"/>
              </w:rPr>
              <w:t>,</w:t>
            </w:r>
            <w:r w:rsidRPr="00E70587">
              <w:rPr>
                <w:rFonts w:ascii="Arial" w:hAnsi="Arial"/>
                <w:color w:val="auto"/>
                <w:sz w:val="20"/>
              </w:rPr>
              <w:t xml:space="preserve">700 due on 31 </w:t>
            </w:r>
            <w:r w:rsidR="0032674D">
              <w:rPr>
                <w:rFonts w:ascii="Arial" w:hAnsi="Arial"/>
                <w:color w:val="auto"/>
                <w:sz w:val="20"/>
              </w:rPr>
              <w:t>March</w:t>
            </w:r>
            <w:r w:rsidR="0032674D" w:rsidRPr="00E70587">
              <w:rPr>
                <w:rFonts w:ascii="Arial" w:hAnsi="Arial"/>
                <w:color w:val="auto"/>
                <w:sz w:val="20"/>
              </w:rPr>
              <w:t xml:space="preserve"> 202</w:t>
            </w:r>
            <w:r w:rsidR="0032674D">
              <w:rPr>
                <w:rFonts w:ascii="Arial" w:hAnsi="Arial"/>
                <w:color w:val="auto"/>
                <w:sz w:val="20"/>
              </w:rPr>
              <w:t>4</w:t>
            </w:r>
            <w:r w:rsidRPr="00E70587">
              <w:rPr>
                <w:rFonts w:ascii="Arial" w:hAnsi="Arial"/>
                <w:color w:val="auto"/>
                <w:sz w:val="20"/>
              </w:rPr>
              <w:t>.</w:t>
            </w:r>
          </w:p>
          <w:p w14:paraId="52E2CD4B" w14:textId="77777777" w:rsidR="00474D3D" w:rsidRPr="00E70587" w:rsidRDefault="00474D3D" w:rsidP="009901E1">
            <w:pPr>
              <w:pStyle w:val="Notesbodytext"/>
              <w:spacing w:after="0" w:line="280" w:lineRule="exact"/>
              <w:jc w:val="both"/>
              <w:rPr>
                <w:rFonts w:ascii="Arial" w:hAnsi="Arial"/>
                <w:b/>
                <w:color w:val="auto"/>
                <w:sz w:val="20"/>
              </w:rPr>
            </w:pPr>
          </w:p>
        </w:tc>
      </w:tr>
      <w:tr w:rsidR="00474D3D" w:rsidRPr="00E70587" w14:paraId="24217258" w14:textId="77777777" w:rsidTr="00474D3D">
        <w:tc>
          <w:tcPr>
            <w:tcW w:w="0" w:type="auto"/>
          </w:tcPr>
          <w:p w14:paraId="7E1C73DE" w14:textId="77777777" w:rsidR="00474D3D" w:rsidRPr="00E70587" w:rsidRDefault="00474D3D" w:rsidP="009901E1">
            <w:pPr>
              <w:pStyle w:val="Notesbodytext"/>
              <w:spacing w:after="0" w:line="280" w:lineRule="exact"/>
              <w:jc w:val="both"/>
              <w:rPr>
                <w:rFonts w:ascii="Arial" w:hAnsi="Arial"/>
                <w:b/>
                <w:color w:val="auto"/>
                <w:sz w:val="20"/>
              </w:rPr>
            </w:pPr>
            <w:r w:rsidRPr="00E70587">
              <w:rPr>
                <w:rFonts w:ascii="Arial" w:hAnsi="Arial"/>
                <w:b/>
                <w:color w:val="auto"/>
                <w:sz w:val="20"/>
              </w:rPr>
              <w:lastRenderedPageBreak/>
              <w:t>INR 2</w:t>
            </w:r>
            <w:r w:rsidR="00D5134A" w:rsidRPr="00E70587">
              <w:rPr>
                <w:rFonts w:ascii="Arial" w:hAnsi="Arial"/>
                <w:b/>
                <w:color w:val="auto"/>
                <w:sz w:val="20"/>
              </w:rPr>
              <w:t>,</w:t>
            </w:r>
            <w:r w:rsidRPr="00E70587">
              <w:rPr>
                <w:rFonts w:ascii="Arial" w:hAnsi="Arial"/>
                <w:b/>
                <w:color w:val="auto"/>
                <w:sz w:val="20"/>
              </w:rPr>
              <w:t>700 bank loan</w:t>
            </w:r>
          </w:p>
          <w:p w14:paraId="24961166" w14:textId="77777777" w:rsidR="004626F6" w:rsidRPr="00E70587" w:rsidRDefault="004626F6" w:rsidP="009901E1">
            <w:pPr>
              <w:pStyle w:val="Notesbodytext"/>
              <w:spacing w:after="0" w:line="280" w:lineRule="exact"/>
              <w:jc w:val="both"/>
              <w:rPr>
                <w:rFonts w:ascii="Arial" w:hAnsi="Arial"/>
                <w:color w:val="auto"/>
                <w:sz w:val="20"/>
              </w:rPr>
            </w:pPr>
          </w:p>
          <w:p w14:paraId="2C263260" w14:textId="3876CC77" w:rsidR="00474D3D" w:rsidRPr="00E70587" w:rsidRDefault="00474D3D" w:rsidP="009901E1">
            <w:pPr>
              <w:pStyle w:val="Notesbodytext"/>
              <w:spacing w:after="0" w:line="280" w:lineRule="exact"/>
              <w:jc w:val="both"/>
              <w:rPr>
                <w:rFonts w:ascii="Arial" w:hAnsi="Arial"/>
                <w:color w:val="auto"/>
                <w:sz w:val="20"/>
              </w:rPr>
            </w:pPr>
            <w:r w:rsidRPr="00E70587">
              <w:rPr>
                <w:rFonts w:ascii="Arial" w:hAnsi="Arial"/>
                <w:color w:val="auto"/>
                <w:sz w:val="20"/>
              </w:rPr>
              <w:t xml:space="preserve">This loan is unsecured and is repayable in full on 1 November </w:t>
            </w:r>
            <w:r w:rsidR="00F83A8F" w:rsidRPr="00E70587">
              <w:rPr>
                <w:rFonts w:ascii="Arial" w:hAnsi="Arial"/>
                <w:color w:val="auto"/>
                <w:sz w:val="20"/>
              </w:rPr>
              <w:t>20</w:t>
            </w:r>
            <w:r w:rsidR="00F83A8F">
              <w:rPr>
                <w:rFonts w:ascii="Arial" w:hAnsi="Arial"/>
                <w:color w:val="auto"/>
                <w:sz w:val="20"/>
              </w:rPr>
              <w:t>20</w:t>
            </w:r>
            <w:r w:rsidRPr="00E70587">
              <w:rPr>
                <w:rFonts w:ascii="Arial" w:hAnsi="Arial"/>
                <w:color w:val="auto"/>
                <w:sz w:val="20"/>
              </w:rPr>
              <w:t>.</w:t>
            </w:r>
          </w:p>
          <w:p w14:paraId="506748D1" w14:textId="77777777" w:rsidR="00474D3D" w:rsidRPr="00E70587" w:rsidRDefault="00474D3D" w:rsidP="009901E1">
            <w:pPr>
              <w:pStyle w:val="Notesbodytext"/>
              <w:spacing w:after="0" w:line="280" w:lineRule="exact"/>
              <w:jc w:val="both"/>
              <w:rPr>
                <w:rFonts w:ascii="Arial" w:hAnsi="Arial"/>
                <w:color w:val="auto"/>
                <w:sz w:val="20"/>
              </w:rPr>
            </w:pPr>
          </w:p>
          <w:p w14:paraId="25615FC1" w14:textId="77777777" w:rsidR="00474D3D" w:rsidRPr="00E70587" w:rsidRDefault="00474D3D" w:rsidP="009901E1">
            <w:pPr>
              <w:pStyle w:val="Notesbodytext"/>
              <w:spacing w:after="0" w:line="280" w:lineRule="exact"/>
              <w:jc w:val="both"/>
              <w:rPr>
                <w:rFonts w:ascii="Arial" w:hAnsi="Arial"/>
                <w:b/>
                <w:color w:val="auto"/>
                <w:sz w:val="20"/>
              </w:rPr>
            </w:pPr>
            <w:r w:rsidRPr="00E70587">
              <w:rPr>
                <w:rFonts w:ascii="Arial" w:hAnsi="Arial"/>
                <w:b/>
                <w:color w:val="auto"/>
                <w:sz w:val="20"/>
              </w:rPr>
              <w:t>Bank overdrafts</w:t>
            </w:r>
          </w:p>
          <w:p w14:paraId="23A3432F" w14:textId="77777777" w:rsidR="00E36422" w:rsidRPr="00E70587" w:rsidRDefault="00E36422" w:rsidP="009901E1">
            <w:pPr>
              <w:pStyle w:val="Notesbodytext"/>
              <w:spacing w:after="0" w:line="280" w:lineRule="exact"/>
              <w:jc w:val="both"/>
              <w:rPr>
                <w:rFonts w:ascii="Arial" w:hAnsi="Arial"/>
                <w:color w:val="auto"/>
                <w:sz w:val="20"/>
              </w:rPr>
            </w:pPr>
          </w:p>
          <w:p w14:paraId="49553445" w14:textId="77777777" w:rsidR="00474D3D" w:rsidRPr="00E70587" w:rsidRDefault="00474D3D" w:rsidP="009901E1">
            <w:pPr>
              <w:pStyle w:val="Notesbodytext"/>
              <w:spacing w:after="0" w:line="280" w:lineRule="exact"/>
              <w:jc w:val="both"/>
              <w:rPr>
                <w:rFonts w:ascii="Arial" w:hAnsi="Arial"/>
                <w:color w:val="auto"/>
                <w:sz w:val="20"/>
              </w:rPr>
            </w:pPr>
            <w:r w:rsidRPr="00E70587">
              <w:rPr>
                <w:rFonts w:ascii="Arial" w:hAnsi="Arial"/>
                <w:color w:val="auto"/>
                <w:sz w:val="20"/>
              </w:rPr>
              <w:t>The bank overdrafts are secured by a portion of the Group’s short-term deposits.</w:t>
            </w:r>
          </w:p>
          <w:p w14:paraId="64C31EDE" w14:textId="77777777" w:rsidR="00CF76D0" w:rsidRPr="00E70587" w:rsidRDefault="00CF76D0" w:rsidP="009901E1">
            <w:pPr>
              <w:pStyle w:val="Notesbodytext"/>
              <w:spacing w:after="0" w:line="280" w:lineRule="exact"/>
              <w:jc w:val="both"/>
              <w:rPr>
                <w:rFonts w:ascii="Arial" w:hAnsi="Arial"/>
                <w:color w:val="auto"/>
                <w:sz w:val="20"/>
              </w:rPr>
            </w:pPr>
          </w:p>
          <w:p w14:paraId="2C8428C1" w14:textId="77777777" w:rsidR="004626F6" w:rsidRPr="00E70587" w:rsidRDefault="004626F6" w:rsidP="004626F6">
            <w:pPr>
              <w:pStyle w:val="Notesbodytext"/>
              <w:spacing w:after="0" w:line="280" w:lineRule="exact"/>
              <w:jc w:val="both"/>
              <w:rPr>
                <w:rFonts w:ascii="Arial" w:hAnsi="Arial"/>
                <w:b/>
                <w:color w:val="auto"/>
                <w:sz w:val="20"/>
              </w:rPr>
            </w:pPr>
            <w:r w:rsidRPr="00E70587">
              <w:rPr>
                <w:rFonts w:ascii="Arial" w:hAnsi="Arial"/>
                <w:b/>
                <w:color w:val="auto"/>
                <w:sz w:val="20"/>
              </w:rPr>
              <w:t>Third party loan</w:t>
            </w:r>
          </w:p>
          <w:p w14:paraId="651C427D" w14:textId="77777777" w:rsidR="004626F6" w:rsidRPr="00E70587" w:rsidRDefault="004626F6" w:rsidP="004626F6">
            <w:pPr>
              <w:pStyle w:val="Notesbodytext"/>
              <w:spacing w:after="0" w:line="280" w:lineRule="exact"/>
              <w:jc w:val="both"/>
              <w:rPr>
                <w:rFonts w:ascii="Arial" w:hAnsi="Arial"/>
                <w:color w:val="auto"/>
                <w:sz w:val="20"/>
              </w:rPr>
            </w:pPr>
          </w:p>
          <w:p w14:paraId="082F8F1A" w14:textId="40EEC4C3" w:rsidR="004626F6" w:rsidRPr="00E70587" w:rsidRDefault="004626F6" w:rsidP="004626F6">
            <w:pPr>
              <w:pStyle w:val="Notesbodytext"/>
              <w:spacing w:after="0" w:line="280" w:lineRule="exact"/>
              <w:jc w:val="both"/>
              <w:rPr>
                <w:rFonts w:ascii="Arial" w:hAnsi="Arial"/>
                <w:color w:val="auto"/>
                <w:sz w:val="20"/>
              </w:rPr>
            </w:pPr>
            <w:r w:rsidRPr="00E70587">
              <w:rPr>
                <w:rFonts w:ascii="Arial" w:hAnsi="Arial"/>
                <w:color w:val="auto"/>
                <w:sz w:val="20"/>
              </w:rPr>
              <w:t xml:space="preserve">This loan is unsecured and is repayable in on 31 </w:t>
            </w:r>
            <w:r w:rsidR="008B730E" w:rsidRPr="00E70587">
              <w:rPr>
                <w:rFonts w:ascii="Arial" w:hAnsi="Arial"/>
                <w:color w:val="auto"/>
                <w:sz w:val="20"/>
              </w:rPr>
              <w:t>March 201</w:t>
            </w:r>
            <w:r w:rsidR="00264EC6">
              <w:rPr>
                <w:rFonts w:ascii="Arial" w:hAnsi="Arial"/>
                <w:color w:val="auto"/>
                <w:sz w:val="20"/>
              </w:rPr>
              <w:t>9</w:t>
            </w:r>
            <w:r w:rsidRPr="00E70587">
              <w:rPr>
                <w:rFonts w:ascii="Arial" w:hAnsi="Arial"/>
                <w:color w:val="auto"/>
                <w:sz w:val="20"/>
              </w:rPr>
              <w:t xml:space="preserve"> and </w:t>
            </w:r>
            <w:r w:rsidR="00264EC6" w:rsidRPr="00E70587">
              <w:rPr>
                <w:rFonts w:ascii="Arial" w:hAnsi="Arial"/>
                <w:color w:val="auto"/>
                <w:sz w:val="20"/>
              </w:rPr>
              <w:t>20</w:t>
            </w:r>
            <w:r w:rsidR="00264EC6">
              <w:rPr>
                <w:rFonts w:ascii="Arial" w:hAnsi="Arial"/>
                <w:color w:val="auto"/>
                <w:sz w:val="20"/>
              </w:rPr>
              <w:t>20</w:t>
            </w:r>
            <w:r w:rsidRPr="00E70587">
              <w:rPr>
                <w:rFonts w:ascii="Arial" w:hAnsi="Arial"/>
                <w:color w:val="auto"/>
                <w:sz w:val="20"/>
              </w:rPr>
              <w:t>.</w:t>
            </w:r>
          </w:p>
          <w:p w14:paraId="23919C2F" w14:textId="77777777" w:rsidR="004626F6" w:rsidRPr="00E70587" w:rsidRDefault="004626F6" w:rsidP="009901E1">
            <w:pPr>
              <w:pStyle w:val="Notesbodytext"/>
              <w:spacing w:after="0" w:line="280" w:lineRule="exact"/>
              <w:jc w:val="both"/>
              <w:rPr>
                <w:rFonts w:ascii="Arial" w:hAnsi="Arial"/>
                <w:b/>
                <w:color w:val="auto"/>
                <w:sz w:val="20"/>
              </w:rPr>
            </w:pPr>
          </w:p>
        </w:tc>
      </w:tr>
      <w:tr w:rsidR="00DC73E1" w:rsidRPr="00E70587" w14:paraId="7CEC53E2" w14:textId="77777777" w:rsidTr="00474D3D">
        <w:tc>
          <w:tcPr>
            <w:tcW w:w="0" w:type="auto"/>
          </w:tcPr>
          <w:p w14:paraId="322C6772" w14:textId="77777777" w:rsidR="00DC73E1" w:rsidRPr="00E70587" w:rsidRDefault="00DC73E1" w:rsidP="00DC73E1">
            <w:pPr>
              <w:pStyle w:val="Notesbodytext"/>
              <w:spacing w:after="0" w:line="280" w:lineRule="exact"/>
              <w:jc w:val="both"/>
              <w:rPr>
                <w:rFonts w:ascii="Arial" w:hAnsi="Arial"/>
                <w:b/>
                <w:color w:val="auto"/>
                <w:sz w:val="20"/>
              </w:rPr>
            </w:pPr>
            <w:r w:rsidRPr="00E70587">
              <w:rPr>
                <w:rFonts w:ascii="Arial" w:hAnsi="Arial"/>
                <w:b/>
                <w:color w:val="auto"/>
                <w:sz w:val="20"/>
              </w:rPr>
              <w:t>Convertible preference shares</w:t>
            </w:r>
          </w:p>
          <w:p w14:paraId="6C895335" w14:textId="77777777" w:rsidR="00DC73E1" w:rsidRPr="00E70587" w:rsidRDefault="00DC73E1" w:rsidP="00DC73E1">
            <w:pPr>
              <w:pStyle w:val="Notesbodytext"/>
              <w:spacing w:after="0" w:line="280" w:lineRule="exact"/>
              <w:jc w:val="both"/>
              <w:rPr>
                <w:rFonts w:ascii="Arial" w:hAnsi="Arial"/>
                <w:color w:val="auto"/>
                <w:sz w:val="20"/>
              </w:rPr>
            </w:pPr>
          </w:p>
          <w:p w14:paraId="6B4A0D70" w14:textId="1C9548CF" w:rsidR="00DC73E1" w:rsidRPr="00E70587" w:rsidRDefault="00DC73E1" w:rsidP="00DC73E1">
            <w:pPr>
              <w:pStyle w:val="Notesbodytext"/>
              <w:spacing w:after="0" w:line="280" w:lineRule="exact"/>
              <w:jc w:val="both"/>
              <w:rPr>
                <w:rFonts w:ascii="Arial" w:hAnsi="Arial"/>
                <w:color w:val="auto"/>
                <w:sz w:val="20"/>
              </w:rPr>
            </w:pPr>
            <w:r w:rsidRPr="00E70587">
              <w:rPr>
                <w:rFonts w:ascii="Arial" w:hAnsi="Arial"/>
                <w:color w:val="auto"/>
                <w:sz w:val="20"/>
              </w:rPr>
              <w:t xml:space="preserve">At 31 </w:t>
            </w:r>
            <w:r w:rsidR="00E1202D" w:rsidRPr="00E70587">
              <w:rPr>
                <w:rFonts w:ascii="Arial" w:hAnsi="Arial"/>
                <w:color w:val="auto"/>
                <w:sz w:val="20"/>
              </w:rPr>
              <w:t xml:space="preserve">March </w:t>
            </w:r>
            <w:r w:rsidR="00440D61" w:rsidRPr="00E70587">
              <w:rPr>
                <w:rFonts w:ascii="Arial" w:hAnsi="Arial"/>
                <w:color w:val="auto"/>
                <w:sz w:val="20"/>
              </w:rPr>
              <w:t>20</w:t>
            </w:r>
            <w:r w:rsidR="00440D61">
              <w:rPr>
                <w:rFonts w:ascii="Arial" w:hAnsi="Arial"/>
                <w:color w:val="auto"/>
                <w:sz w:val="20"/>
              </w:rPr>
              <w:t>21</w:t>
            </w:r>
            <w:r w:rsidR="00440D61" w:rsidRPr="00E70587">
              <w:rPr>
                <w:rFonts w:ascii="Arial" w:hAnsi="Arial"/>
                <w:color w:val="auto"/>
                <w:sz w:val="20"/>
              </w:rPr>
              <w:t xml:space="preserve"> </w:t>
            </w:r>
            <w:r w:rsidR="00D5134A" w:rsidRPr="00E70587">
              <w:rPr>
                <w:rFonts w:ascii="Arial" w:hAnsi="Arial"/>
                <w:color w:val="auto"/>
                <w:sz w:val="20"/>
              </w:rPr>
              <w:t>and</w:t>
            </w:r>
            <w:r w:rsidRPr="00E70587">
              <w:rPr>
                <w:rFonts w:ascii="Arial" w:hAnsi="Arial"/>
                <w:color w:val="auto"/>
                <w:sz w:val="20"/>
              </w:rPr>
              <w:t xml:space="preserve"> 31 </w:t>
            </w:r>
            <w:r w:rsidR="008B730E" w:rsidRPr="00E70587">
              <w:rPr>
                <w:rFonts w:ascii="Arial" w:hAnsi="Arial"/>
                <w:color w:val="auto"/>
                <w:sz w:val="20"/>
              </w:rPr>
              <w:t xml:space="preserve">March </w:t>
            </w:r>
            <w:r w:rsidR="00440D61" w:rsidRPr="00E70587">
              <w:rPr>
                <w:rFonts w:ascii="Arial" w:hAnsi="Arial"/>
                <w:color w:val="auto"/>
                <w:sz w:val="20"/>
              </w:rPr>
              <w:t>20</w:t>
            </w:r>
            <w:r w:rsidR="00440D61">
              <w:rPr>
                <w:rFonts w:ascii="Arial" w:hAnsi="Arial"/>
                <w:color w:val="auto"/>
                <w:sz w:val="20"/>
              </w:rPr>
              <w:t>20</w:t>
            </w:r>
            <w:r w:rsidRPr="00E70587">
              <w:rPr>
                <w:rFonts w:ascii="Arial" w:hAnsi="Arial"/>
                <w:color w:val="auto"/>
                <w:sz w:val="20"/>
              </w:rPr>
              <w:t xml:space="preserve">, there were INR 4,500 lac convertible preference shares in issue. Each share has a par value of INR 1 and is convertible at the option of the shareholders into Equity shares of the parent of the Group starting from 1 April </w:t>
            </w:r>
            <w:r w:rsidR="003E0E19" w:rsidRPr="00E70587">
              <w:rPr>
                <w:rFonts w:ascii="Arial" w:hAnsi="Arial"/>
                <w:color w:val="auto"/>
                <w:sz w:val="20"/>
              </w:rPr>
              <w:t>202</w:t>
            </w:r>
            <w:r w:rsidR="003E0E19">
              <w:rPr>
                <w:rFonts w:ascii="Arial" w:hAnsi="Arial"/>
                <w:color w:val="auto"/>
                <w:sz w:val="20"/>
              </w:rPr>
              <w:t>3</w:t>
            </w:r>
            <w:r w:rsidR="003E0E19" w:rsidRPr="00E70587">
              <w:rPr>
                <w:rFonts w:ascii="Arial" w:hAnsi="Arial"/>
                <w:color w:val="auto"/>
                <w:sz w:val="20"/>
              </w:rPr>
              <w:t xml:space="preserve"> </w:t>
            </w:r>
            <w:r w:rsidRPr="00E70587">
              <w:rPr>
                <w:rFonts w:ascii="Arial" w:hAnsi="Arial"/>
                <w:color w:val="auto"/>
                <w:sz w:val="20"/>
              </w:rPr>
              <w:t xml:space="preserve">on the basis of one equity share for every three preference shares held. Any preference shares not converted will be redeemed on 31 March </w:t>
            </w:r>
            <w:r w:rsidR="003E0E19" w:rsidRPr="00E70587">
              <w:rPr>
                <w:rFonts w:ascii="Arial" w:hAnsi="Arial"/>
                <w:color w:val="auto"/>
                <w:sz w:val="20"/>
              </w:rPr>
              <w:t>202</w:t>
            </w:r>
            <w:r w:rsidR="003E0E19">
              <w:rPr>
                <w:rFonts w:ascii="Arial" w:hAnsi="Arial"/>
                <w:color w:val="auto"/>
                <w:sz w:val="20"/>
              </w:rPr>
              <w:t>5</w:t>
            </w:r>
            <w:r w:rsidR="003E0E19" w:rsidRPr="00E70587">
              <w:rPr>
                <w:rFonts w:ascii="Arial" w:hAnsi="Arial"/>
                <w:color w:val="auto"/>
                <w:sz w:val="20"/>
              </w:rPr>
              <w:t xml:space="preserve"> </w:t>
            </w:r>
            <w:r w:rsidRPr="00E70587">
              <w:rPr>
                <w:rFonts w:ascii="Arial" w:hAnsi="Arial"/>
                <w:color w:val="auto"/>
                <w:sz w:val="20"/>
              </w:rPr>
              <w:t xml:space="preserve">at a price of INR 1.20 per share. The preference shares carry a dividend of 7% per annum, payable half-yearly in arrears on 30 June and 31 December. The dividend rights are non-cumulative. The preference shares rank ahead of the equity shares in the event of a liquidation. The presentation of the </w:t>
            </w:r>
            <w:r w:rsidR="00CF76D0" w:rsidRPr="00E70587">
              <w:rPr>
                <w:rFonts w:ascii="Arial" w:hAnsi="Arial"/>
                <w:color w:val="auto"/>
                <w:sz w:val="20"/>
              </w:rPr>
              <w:t xml:space="preserve">liability and </w:t>
            </w:r>
            <w:r w:rsidRPr="00E70587">
              <w:rPr>
                <w:rFonts w:ascii="Arial" w:hAnsi="Arial"/>
                <w:color w:val="auto"/>
                <w:sz w:val="20"/>
              </w:rPr>
              <w:t>equity portion</w:t>
            </w:r>
            <w:r w:rsidR="00CF76D0" w:rsidRPr="00E70587">
              <w:rPr>
                <w:rFonts w:ascii="Arial" w:hAnsi="Arial"/>
                <w:color w:val="auto"/>
                <w:sz w:val="20"/>
              </w:rPr>
              <w:t>s</w:t>
            </w:r>
            <w:r w:rsidRPr="00E70587">
              <w:rPr>
                <w:rFonts w:ascii="Arial" w:hAnsi="Arial"/>
                <w:color w:val="auto"/>
                <w:sz w:val="20"/>
              </w:rPr>
              <w:t xml:space="preserve"> of these shares is explained in </w:t>
            </w:r>
            <w:r w:rsidR="00CF76D0" w:rsidRPr="00E70587">
              <w:rPr>
                <w:rFonts w:ascii="Arial" w:hAnsi="Arial"/>
                <w:color w:val="auto"/>
                <w:sz w:val="20"/>
              </w:rPr>
              <w:t xml:space="preserve">the </w:t>
            </w:r>
            <w:r w:rsidRPr="00E70587">
              <w:rPr>
                <w:rFonts w:ascii="Arial" w:hAnsi="Arial"/>
                <w:color w:val="auto"/>
                <w:sz w:val="20"/>
              </w:rPr>
              <w:t>summary of significant accounting polic</w:t>
            </w:r>
            <w:r w:rsidR="00CF76D0" w:rsidRPr="00E70587">
              <w:rPr>
                <w:rFonts w:ascii="Arial" w:hAnsi="Arial"/>
                <w:color w:val="auto"/>
                <w:sz w:val="20"/>
              </w:rPr>
              <w:t>ies</w:t>
            </w:r>
            <w:r w:rsidRPr="00E70587">
              <w:rPr>
                <w:rFonts w:ascii="Arial" w:hAnsi="Arial"/>
                <w:color w:val="auto"/>
                <w:sz w:val="20"/>
              </w:rPr>
              <w:t>.</w:t>
            </w:r>
          </w:p>
          <w:p w14:paraId="12F28531" w14:textId="77777777" w:rsidR="00DC73E1" w:rsidRPr="00E70587" w:rsidRDefault="00DC73E1" w:rsidP="009901E1">
            <w:pPr>
              <w:pStyle w:val="Notesbodytext"/>
              <w:spacing w:after="0" w:line="280" w:lineRule="exact"/>
              <w:jc w:val="both"/>
              <w:rPr>
                <w:rFonts w:ascii="Arial" w:hAnsi="Arial"/>
                <w:b/>
                <w:color w:val="auto"/>
                <w:sz w:val="20"/>
              </w:rPr>
            </w:pPr>
          </w:p>
        </w:tc>
      </w:tr>
      <w:tr w:rsidR="00410A74" w:rsidRPr="00E70587" w14:paraId="463E9228" w14:textId="77777777" w:rsidTr="00474D3D">
        <w:tc>
          <w:tcPr>
            <w:tcW w:w="0" w:type="auto"/>
          </w:tcPr>
          <w:p w14:paraId="115AEFF4" w14:textId="77777777" w:rsidR="00410A74" w:rsidRPr="00E70587" w:rsidRDefault="00410A74" w:rsidP="00DC73E1">
            <w:pPr>
              <w:pStyle w:val="Notesbodytext"/>
              <w:spacing w:after="0" w:line="280" w:lineRule="exact"/>
              <w:jc w:val="both"/>
              <w:rPr>
                <w:rFonts w:ascii="Arial" w:hAnsi="Arial"/>
                <w:b/>
                <w:color w:val="auto"/>
                <w:sz w:val="20"/>
              </w:rPr>
            </w:pPr>
            <w:r w:rsidRPr="00E70587">
              <w:rPr>
                <w:rFonts w:ascii="Arial" w:hAnsi="Arial"/>
                <w:b/>
                <w:color w:val="auto"/>
                <w:sz w:val="20"/>
              </w:rPr>
              <w:t>Loan covenants</w:t>
            </w:r>
          </w:p>
          <w:p w14:paraId="68B41803" w14:textId="77777777" w:rsidR="00410A74" w:rsidRPr="00E70587" w:rsidRDefault="00410A74" w:rsidP="00DC73E1">
            <w:pPr>
              <w:pStyle w:val="Notesbodytext"/>
              <w:spacing w:after="0" w:line="280" w:lineRule="exact"/>
              <w:jc w:val="both"/>
              <w:rPr>
                <w:rFonts w:ascii="Arial" w:hAnsi="Arial"/>
                <w:color w:val="auto"/>
                <w:sz w:val="20"/>
              </w:rPr>
            </w:pPr>
          </w:p>
          <w:p w14:paraId="600A2A04" w14:textId="77777777" w:rsidR="00410A74" w:rsidRPr="00E70587" w:rsidRDefault="00410A74" w:rsidP="00DC73E1">
            <w:pPr>
              <w:pStyle w:val="Notesbodytext"/>
              <w:spacing w:after="0" w:line="280" w:lineRule="exact"/>
              <w:jc w:val="both"/>
              <w:rPr>
                <w:rFonts w:ascii="Arial" w:hAnsi="Arial"/>
                <w:color w:val="auto"/>
                <w:sz w:val="20"/>
              </w:rPr>
            </w:pPr>
            <w:r w:rsidRPr="00E70587">
              <w:rPr>
                <w:rFonts w:ascii="Arial" w:hAnsi="Arial"/>
                <w:color w:val="auto"/>
                <w:sz w:val="20"/>
              </w:rPr>
              <w:t>Bank loans contain certain debt covenants relating to limitation on indebtedness, debt-equity ratio, net Borrowings to EBITDA ratio and debt service coverage ratio. The limitation on indebtedness covenant gets suspended if the Group meets certain prescribed criteria. The debt covenant related to limitation on indebtedness remained suspended as of the date of the authorisation of the financial statements. The Group has also satisfied all other debt covenants prescribed in the terms of bank loan.</w:t>
            </w:r>
          </w:p>
          <w:p w14:paraId="00FAD01F" w14:textId="77777777" w:rsidR="00410A74" w:rsidRPr="00E70587" w:rsidRDefault="00410A74" w:rsidP="00DC73E1">
            <w:pPr>
              <w:pStyle w:val="Notesbodytext"/>
              <w:spacing w:after="0" w:line="280" w:lineRule="exact"/>
              <w:jc w:val="both"/>
              <w:rPr>
                <w:rFonts w:ascii="Arial" w:hAnsi="Arial"/>
                <w:color w:val="auto"/>
                <w:sz w:val="20"/>
              </w:rPr>
            </w:pPr>
          </w:p>
          <w:p w14:paraId="22F2589F" w14:textId="2616E52C" w:rsidR="00410A74" w:rsidRPr="00E70587" w:rsidRDefault="00410A74" w:rsidP="00DC73E1">
            <w:pPr>
              <w:pStyle w:val="Notesbodytext"/>
              <w:spacing w:after="0" w:line="280" w:lineRule="exact"/>
              <w:jc w:val="both"/>
              <w:rPr>
                <w:rFonts w:ascii="Arial" w:hAnsi="Arial"/>
                <w:color w:val="auto"/>
                <w:sz w:val="20"/>
              </w:rPr>
            </w:pPr>
            <w:r w:rsidRPr="00E70587">
              <w:rPr>
                <w:rFonts w:ascii="Arial" w:hAnsi="Arial"/>
                <w:color w:val="auto"/>
                <w:sz w:val="20"/>
              </w:rPr>
              <w:t>The other loans do not carry any debt covenant.</w:t>
            </w:r>
          </w:p>
        </w:tc>
      </w:tr>
    </w:tbl>
    <w:p w14:paraId="6979E82D" w14:textId="5E5C7266" w:rsidR="00BA7B18" w:rsidRDefault="00BA7B18" w:rsidP="009901E1">
      <w:pPr>
        <w:pStyle w:val="Notesbodytext"/>
        <w:spacing w:after="0" w:line="280" w:lineRule="exact"/>
        <w:jc w:val="both"/>
        <w:rPr>
          <w:rFonts w:ascii="Arial" w:hAnsi="Arial"/>
          <w:color w:val="auto"/>
          <w:sz w:val="20"/>
        </w:rPr>
      </w:pPr>
    </w:p>
    <w:p w14:paraId="0ACF5C13" w14:textId="77777777" w:rsidR="005E3688" w:rsidRPr="0043355D" w:rsidRDefault="005E3688" w:rsidP="0043355D">
      <w:pPr>
        <w:pStyle w:val="Notesbodytext"/>
        <w:shd w:val="clear" w:color="auto" w:fill="C1C1C1" w:themeFill="background2" w:themeFillTint="66"/>
        <w:spacing w:line="280" w:lineRule="exact"/>
        <w:jc w:val="both"/>
        <w:rPr>
          <w:rFonts w:ascii="Arial" w:hAnsi="Arial"/>
          <w:b/>
          <w:bCs/>
          <w:color w:val="auto"/>
          <w:sz w:val="20"/>
        </w:rPr>
      </w:pPr>
      <w:r w:rsidRPr="0043355D">
        <w:rPr>
          <w:rFonts w:ascii="Arial" w:hAnsi="Arial"/>
          <w:b/>
          <w:bCs/>
          <w:color w:val="auto"/>
          <w:sz w:val="20"/>
        </w:rPr>
        <w:t xml:space="preserve">Covid-19 commentary </w:t>
      </w:r>
    </w:p>
    <w:p w14:paraId="63E1BAB6" w14:textId="33B169C3" w:rsidR="005E3688" w:rsidRPr="005E3688" w:rsidRDefault="005E3688" w:rsidP="0043355D">
      <w:pPr>
        <w:pStyle w:val="Notesbodytext"/>
        <w:shd w:val="clear" w:color="auto" w:fill="C1C1C1" w:themeFill="background2" w:themeFillTint="66"/>
        <w:spacing w:line="280" w:lineRule="exact"/>
        <w:jc w:val="both"/>
        <w:rPr>
          <w:rFonts w:ascii="Arial" w:hAnsi="Arial"/>
          <w:color w:val="auto"/>
          <w:sz w:val="20"/>
        </w:rPr>
      </w:pPr>
      <w:r w:rsidRPr="005E3688">
        <w:rPr>
          <w:rFonts w:ascii="Arial" w:hAnsi="Arial"/>
          <w:color w:val="auto"/>
          <w:sz w:val="20"/>
        </w:rPr>
        <w:t>Entities may obtain additional financing, amend the terms of existing debt agreements or obtain waivers if they no longer satisfy debt covenants. In such cases, they will need to consider the guidance provided in I</w:t>
      </w:r>
      <w:r w:rsidR="00090232">
        <w:rPr>
          <w:rFonts w:ascii="Arial" w:hAnsi="Arial"/>
          <w:color w:val="auto"/>
          <w:sz w:val="20"/>
        </w:rPr>
        <w:t>nd AS</w:t>
      </w:r>
      <w:r w:rsidRPr="005E3688">
        <w:rPr>
          <w:rFonts w:ascii="Arial" w:hAnsi="Arial"/>
          <w:color w:val="auto"/>
          <w:sz w:val="20"/>
        </w:rPr>
        <w:t xml:space="preserve"> </w:t>
      </w:r>
      <w:r w:rsidR="00090232">
        <w:rPr>
          <w:rFonts w:ascii="Arial" w:hAnsi="Arial"/>
          <w:color w:val="auto"/>
          <w:sz w:val="20"/>
        </w:rPr>
        <w:t>10</w:t>
      </w:r>
      <w:r w:rsidRPr="005E3688">
        <w:rPr>
          <w:rFonts w:ascii="Arial" w:hAnsi="Arial"/>
          <w:color w:val="auto"/>
          <w:sz w:val="20"/>
        </w:rPr>
        <w:t xml:space="preserve">9 to determine whether any changes to existing contractual arrangements represent a substantial modification or, potentially, a contract extinguishment, which would have accounting implications in each case. </w:t>
      </w:r>
    </w:p>
    <w:p w14:paraId="65C4B82C" w14:textId="77777777" w:rsidR="005E3688" w:rsidRPr="005E3688" w:rsidRDefault="005E3688" w:rsidP="0043355D">
      <w:pPr>
        <w:pStyle w:val="Notesbodytext"/>
        <w:shd w:val="clear" w:color="auto" w:fill="C1C1C1" w:themeFill="background2" w:themeFillTint="66"/>
        <w:spacing w:line="280" w:lineRule="exact"/>
        <w:jc w:val="both"/>
        <w:rPr>
          <w:rFonts w:ascii="Arial" w:hAnsi="Arial"/>
          <w:color w:val="auto"/>
          <w:sz w:val="20"/>
        </w:rPr>
      </w:pPr>
      <w:r w:rsidRPr="005E3688">
        <w:rPr>
          <w:rFonts w:ascii="Arial" w:hAnsi="Arial"/>
          <w:color w:val="auto"/>
          <w:sz w:val="20"/>
        </w:rPr>
        <w:t xml:space="preserve">Guarantees </w:t>
      </w:r>
    </w:p>
    <w:p w14:paraId="5430E8BA" w14:textId="5CD40128" w:rsidR="005E3688" w:rsidRPr="005E3688" w:rsidRDefault="005E3688" w:rsidP="0043355D">
      <w:pPr>
        <w:pStyle w:val="Notesbodytext"/>
        <w:shd w:val="clear" w:color="auto" w:fill="C1C1C1" w:themeFill="background2" w:themeFillTint="66"/>
        <w:spacing w:line="280" w:lineRule="exact"/>
        <w:jc w:val="both"/>
        <w:rPr>
          <w:rFonts w:ascii="Arial" w:hAnsi="Arial"/>
          <w:color w:val="auto"/>
          <w:sz w:val="20"/>
        </w:rPr>
      </w:pPr>
      <w:r w:rsidRPr="005E3688">
        <w:rPr>
          <w:rFonts w:ascii="Arial" w:hAnsi="Arial"/>
          <w:color w:val="auto"/>
          <w:sz w:val="20"/>
        </w:rPr>
        <w:t>Where guarantees are issued by governments for a below market rate fee, entities will have to assess whether this constitutes a government grant to be accounted for and disclosed in accordance with I</w:t>
      </w:r>
      <w:r w:rsidR="00090232">
        <w:rPr>
          <w:rFonts w:ascii="Arial" w:hAnsi="Arial"/>
          <w:color w:val="auto"/>
          <w:sz w:val="20"/>
        </w:rPr>
        <w:t xml:space="preserve">nd </w:t>
      </w:r>
      <w:r w:rsidRPr="005E3688">
        <w:rPr>
          <w:rFonts w:ascii="Arial" w:hAnsi="Arial"/>
          <w:color w:val="auto"/>
          <w:sz w:val="20"/>
        </w:rPr>
        <w:t>AS 20 (Refer to Note 2.3(f). In performing such</w:t>
      </w:r>
      <w:r w:rsidR="00090232">
        <w:rPr>
          <w:rFonts w:ascii="Arial" w:hAnsi="Arial"/>
          <w:color w:val="auto"/>
          <w:sz w:val="20"/>
        </w:rPr>
        <w:t xml:space="preserve"> </w:t>
      </w:r>
      <w:r w:rsidRPr="005E3688">
        <w:rPr>
          <w:rFonts w:ascii="Arial" w:hAnsi="Arial"/>
          <w:color w:val="auto"/>
          <w:sz w:val="20"/>
        </w:rPr>
        <w:t xml:space="preserve">an assessment, entities will need to consider the level of the interest rate offered to the borrower on the guaranteed loan and whether the economics of the overall transaction are providing a benefit to the lender, the borrower or to both. For example, if a benefit to a lender from a below market-rate fee on a guarantee is required to be partially offset by a reduction in the interest earned on the loan to the borrower, the value of any government grant to the lender may be reduced or eliminated.  In such a case, the value of the grant accrues mainly to the borrower in the form of a </w:t>
      </w:r>
      <w:r w:rsidR="00090232" w:rsidRPr="005E3688">
        <w:rPr>
          <w:rFonts w:ascii="Arial" w:hAnsi="Arial"/>
          <w:color w:val="auto"/>
          <w:sz w:val="20"/>
        </w:rPr>
        <w:t>below market</w:t>
      </w:r>
      <w:r w:rsidRPr="005E3688">
        <w:rPr>
          <w:rFonts w:ascii="Arial" w:hAnsi="Arial"/>
          <w:color w:val="auto"/>
          <w:sz w:val="20"/>
        </w:rPr>
        <w:t xml:space="preserve">-rate loan relative to the borrower’s credit risk.  </w:t>
      </w:r>
    </w:p>
    <w:p w14:paraId="1B9D89E6" w14:textId="2B01848F" w:rsidR="005E3688" w:rsidRDefault="005E3688" w:rsidP="0043355D">
      <w:pPr>
        <w:pStyle w:val="Notesbodytext"/>
        <w:shd w:val="clear" w:color="auto" w:fill="C1C1C1" w:themeFill="background2" w:themeFillTint="66"/>
        <w:spacing w:line="280" w:lineRule="exact"/>
        <w:jc w:val="both"/>
        <w:rPr>
          <w:rFonts w:ascii="Arial" w:hAnsi="Arial"/>
          <w:color w:val="auto"/>
          <w:sz w:val="20"/>
        </w:rPr>
      </w:pPr>
      <w:r w:rsidRPr="005E3688">
        <w:rPr>
          <w:rFonts w:ascii="Arial" w:hAnsi="Arial"/>
          <w:color w:val="auto"/>
          <w:sz w:val="20"/>
        </w:rPr>
        <w:lastRenderedPageBreak/>
        <w:t>Where such guarantees are provided at below market rates by holding companies or other group entities, the initial benefit provided may need to be accounted for as an equity transaction between group entities.</w:t>
      </w:r>
    </w:p>
    <w:p w14:paraId="231AB088" w14:textId="7A6C009C" w:rsidR="005E3688" w:rsidRDefault="005E3688" w:rsidP="009901E1">
      <w:pPr>
        <w:pStyle w:val="Notesbodytext"/>
        <w:spacing w:after="0" w:line="280" w:lineRule="exact"/>
        <w:jc w:val="both"/>
        <w:rPr>
          <w:rFonts w:ascii="Arial" w:hAnsi="Arial"/>
          <w:color w:val="auto"/>
          <w:sz w:val="20"/>
        </w:rPr>
      </w:pPr>
    </w:p>
    <w:p w14:paraId="1C6059D5" w14:textId="77777777" w:rsidR="005E3688" w:rsidRPr="00E70587" w:rsidRDefault="005E3688" w:rsidP="009901E1">
      <w:pPr>
        <w:pStyle w:val="Notesbodytext"/>
        <w:spacing w:after="0" w:line="280" w:lineRule="exact"/>
        <w:jc w:val="both"/>
        <w:rPr>
          <w:rFonts w:ascii="Arial" w:hAnsi="Arial"/>
          <w:color w:val="auto"/>
          <w:sz w:val="20"/>
        </w:rPr>
      </w:pPr>
    </w:p>
    <w:p w14:paraId="04CCEE34" w14:textId="77777777" w:rsidR="00310DB8" w:rsidRPr="00E70587" w:rsidRDefault="004F35E1"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 xml:space="preserve">Other </w:t>
      </w:r>
      <w:r w:rsidR="00E36422" w:rsidRPr="00E70587">
        <w:rPr>
          <w:rFonts w:ascii="Arial" w:hAnsi="Arial" w:cs="Arial"/>
          <w:sz w:val="20"/>
          <w:szCs w:val="20"/>
        </w:rPr>
        <w:t xml:space="preserve">financial </w:t>
      </w:r>
      <w:r w:rsidR="00310DB8" w:rsidRPr="00E70587">
        <w:rPr>
          <w:rFonts w:ascii="Arial" w:hAnsi="Arial" w:cs="Arial"/>
          <w:sz w:val="20"/>
          <w:szCs w:val="20"/>
        </w:rPr>
        <w:t>liabilities</w:t>
      </w:r>
    </w:p>
    <w:p w14:paraId="44DAEAED" w14:textId="77777777" w:rsidR="00E36422" w:rsidRPr="00E70587" w:rsidRDefault="00E36422" w:rsidP="00E36422">
      <w:pPr>
        <w:pStyle w:val="Notesbodytext"/>
        <w:spacing w:after="0" w:line="280" w:lineRule="exact"/>
        <w:jc w:val="both"/>
        <w:rPr>
          <w:rFonts w:ascii="Arial" w:hAnsi="Arial"/>
          <w:color w:val="auto"/>
          <w:sz w:val="20"/>
        </w:rPr>
      </w:pPr>
    </w:p>
    <w:tbl>
      <w:tblPr>
        <w:tblW w:w="9497" w:type="dxa"/>
        <w:tblLayout w:type="fixed"/>
        <w:tblLook w:val="01E0" w:firstRow="1" w:lastRow="1" w:firstColumn="1" w:lastColumn="1" w:noHBand="0" w:noVBand="0"/>
      </w:tblPr>
      <w:tblGrid>
        <w:gridCol w:w="6237"/>
        <w:gridCol w:w="1589"/>
        <w:gridCol w:w="1671"/>
      </w:tblGrid>
      <w:tr w:rsidR="00330EAA" w:rsidRPr="00E70587" w14:paraId="36FDA119" w14:textId="77777777" w:rsidTr="000A2ED4">
        <w:trPr>
          <w:tblHeader/>
        </w:trPr>
        <w:tc>
          <w:tcPr>
            <w:tcW w:w="6237" w:type="dxa"/>
            <w:tcMar>
              <w:top w:w="28" w:type="dxa"/>
            </w:tcMar>
          </w:tcPr>
          <w:p w14:paraId="1D735C1E" w14:textId="77777777" w:rsidR="00330EAA" w:rsidRPr="00E70587" w:rsidDel="00CF2D45" w:rsidRDefault="00330EAA" w:rsidP="009901E1">
            <w:pPr>
              <w:pStyle w:val="Tablecolumnheading"/>
              <w:spacing w:line="280" w:lineRule="exact"/>
              <w:rPr>
                <w:rFonts w:ascii="Arial" w:hAnsi="Arial"/>
                <w:color w:val="auto"/>
                <w:sz w:val="20"/>
                <w:szCs w:val="20"/>
                <w:lang w:val="en-IN"/>
              </w:rPr>
            </w:pPr>
          </w:p>
        </w:tc>
        <w:tc>
          <w:tcPr>
            <w:tcW w:w="1589" w:type="dxa"/>
            <w:tcBorders>
              <w:bottom w:val="single" w:sz="4" w:space="0" w:color="auto"/>
            </w:tcBorders>
            <w:tcMar>
              <w:top w:w="28" w:type="dxa"/>
            </w:tcMar>
            <w:vAlign w:val="bottom"/>
          </w:tcPr>
          <w:p w14:paraId="6DA1B274" w14:textId="576296C2"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3E0E19" w:rsidRPr="00E70587">
              <w:rPr>
                <w:rFonts w:ascii="Arial" w:hAnsi="Arial"/>
                <w:color w:val="auto"/>
                <w:sz w:val="20"/>
                <w:szCs w:val="20"/>
                <w:lang w:val="en-IN"/>
              </w:rPr>
              <w:t>20</w:t>
            </w:r>
            <w:r w:rsidR="003E0E19">
              <w:rPr>
                <w:rFonts w:ascii="Arial" w:hAnsi="Arial"/>
                <w:color w:val="auto"/>
                <w:sz w:val="20"/>
                <w:szCs w:val="20"/>
                <w:lang w:val="en-IN"/>
              </w:rPr>
              <w:t>21</w:t>
            </w:r>
          </w:p>
        </w:tc>
        <w:tc>
          <w:tcPr>
            <w:tcW w:w="1671" w:type="dxa"/>
            <w:tcBorders>
              <w:bottom w:val="single" w:sz="4" w:space="0" w:color="auto"/>
            </w:tcBorders>
            <w:tcMar>
              <w:top w:w="28" w:type="dxa"/>
            </w:tcMar>
            <w:vAlign w:val="bottom"/>
          </w:tcPr>
          <w:p w14:paraId="6F47F7E3" w14:textId="7C3E7F24"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3E0E19" w:rsidRPr="00E70587">
              <w:rPr>
                <w:rFonts w:ascii="Arial" w:hAnsi="Arial"/>
                <w:color w:val="auto"/>
                <w:sz w:val="20"/>
                <w:szCs w:val="20"/>
                <w:lang w:val="en-IN"/>
              </w:rPr>
              <w:t>20</w:t>
            </w:r>
            <w:r w:rsidR="003E0E19">
              <w:rPr>
                <w:rFonts w:ascii="Arial" w:hAnsi="Arial"/>
                <w:color w:val="auto"/>
                <w:sz w:val="20"/>
                <w:szCs w:val="20"/>
                <w:lang w:val="en-IN"/>
              </w:rPr>
              <w:t>20</w:t>
            </w:r>
          </w:p>
        </w:tc>
      </w:tr>
      <w:tr w:rsidR="00330EAA" w:rsidRPr="00E70587" w14:paraId="6370A807" w14:textId="77777777" w:rsidTr="000A2ED4">
        <w:trPr>
          <w:tblHeader/>
        </w:trPr>
        <w:tc>
          <w:tcPr>
            <w:tcW w:w="6237" w:type="dxa"/>
            <w:tcMar>
              <w:top w:w="28" w:type="dxa"/>
            </w:tcMar>
          </w:tcPr>
          <w:p w14:paraId="3B1A09A2"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589" w:type="dxa"/>
            <w:tcBorders>
              <w:top w:val="single" w:sz="4" w:space="0" w:color="auto"/>
            </w:tcBorders>
            <w:tcMar>
              <w:top w:w="28" w:type="dxa"/>
            </w:tcMar>
          </w:tcPr>
          <w:p w14:paraId="70F0659D" w14:textId="77777777"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671" w:type="dxa"/>
            <w:tcBorders>
              <w:top w:val="single" w:sz="4" w:space="0" w:color="auto"/>
            </w:tcBorders>
            <w:tcMar>
              <w:top w:w="28" w:type="dxa"/>
            </w:tcMar>
          </w:tcPr>
          <w:p w14:paraId="5177291A" w14:textId="77777777"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330EAA" w:rsidRPr="00E70587" w14:paraId="7270BD9D" w14:textId="77777777" w:rsidTr="000A2ED4">
        <w:tc>
          <w:tcPr>
            <w:tcW w:w="6237" w:type="dxa"/>
            <w:tcMar>
              <w:top w:w="28" w:type="dxa"/>
            </w:tcMar>
          </w:tcPr>
          <w:p w14:paraId="73EB0FB9"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Financial liabilities at fair value through OCI</w:t>
            </w:r>
          </w:p>
        </w:tc>
        <w:tc>
          <w:tcPr>
            <w:tcW w:w="1589" w:type="dxa"/>
            <w:tcMar>
              <w:top w:w="28" w:type="dxa"/>
            </w:tcMar>
          </w:tcPr>
          <w:p w14:paraId="1BC71DBA" w14:textId="77777777" w:rsidR="00330EAA" w:rsidRPr="00E70587" w:rsidRDefault="00330EAA" w:rsidP="009901E1">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c>
          <w:tcPr>
            <w:tcW w:w="1671" w:type="dxa"/>
            <w:tcMar>
              <w:top w:w="28" w:type="dxa"/>
            </w:tcMar>
          </w:tcPr>
          <w:p w14:paraId="40CC233D" w14:textId="77777777" w:rsidR="00330EAA" w:rsidRPr="00E70587" w:rsidRDefault="00330EAA" w:rsidP="009901E1">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r>
      <w:tr w:rsidR="00330EAA" w:rsidRPr="00E70587" w14:paraId="6FB23D05" w14:textId="77777777" w:rsidTr="000A2ED4">
        <w:tc>
          <w:tcPr>
            <w:tcW w:w="6237" w:type="dxa"/>
            <w:tcMar>
              <w:top w:w="28" w:type="dxa"/>
            </w:tcMar>
          </w:tcPr>
          <w:p w14:paraId="6A2723CC"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sz w:val="20"/>
                <w:lang w:val="en-IN"/>
              </w:rPr>
              <w:t>Cash flow hedges</w:t>
            </w:r>
          </w:p>
        </w:tc>
        <w:tc>
          <w:tcPr>
            <w:tcW w:w="1589" w:type="dxa"/>
            <w:tcMar>
              <w:top w:w="28" w:type="dxa"/>
            </w:tcMar>
          </w:tcPr>
          <w:p w14:paraId="7A953B5F" w14:textId="77777777" w:rsidR="00330EAA" w:rsidRPr="00E70587" w:rsidRDefault="00330EAA" w:rsidP="009901E1">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c>
          <w:tcPr>
            <w:tcW w:w="1671" w:type="dxa"/>
            <w:tcMar>
              <w:top w:w="28" w:type="dxa"/>
            </w:tcMar>
          </w:tcPr>
          <w:p w14:paraId="4A13ABCA" w14:textId="77777777" w:rsidR="00330EAA" w:rsidRPr="00E70587" w:rsidRDefault="00330EAA" w:rsidP="009901E1">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r>
      <w:tr w:rsidR="00330EAA" w:rsidRPr="00E70587" w14:paraId="3601681C" w14:textId="77777777" w:rsidTr="000A2ED4">
        <w:tc>
          <w:tcPr>
            <w:tcW w:w="6237" w:type="dxa"/>
            <w:tcMar>
              <w:top w:w="28" w:type="dxa"/>
            </w:tcMar>
          </w:tcPr>
          <w:p w14:paraId="23DBE473" w14:textId="77777777" w:rsidR="00330EAA" w:rsidRPr="00E70587" w:rsidRDefault="00330EAA" w:rsidP="009901E1">
            <w:pPr>
              <w:pStyle w:val="tabletext"/>
              <w:overflowPunct w:val="0"/>
              <w:autoSpaceDE w:val="0"/>
              <w:autoSpaceDN w:val="0"/>
              <w:adjustRightInd w:val="0"/>
              <w:spacing w:line="280" w:lineRule="exact"/>
              <w:ind w:left="142"/>
              <w:textAlignment w:val="baseline"/>
              <w:rPr>
                <w:rFonts w:ascii="Arial" w:hAnsi="Arial" w:cs="Arial"/>
                <w:b/>
                <w:sz w:val="20"/>
                <w:lang w:val="en-IN"/>
              </w:rPr>
            </w:pPr>
            <w:r w:rsidRPr="00E70587">
              <w:rPr>
                <w:rFonts w:ascii="Arial" w:hAnsi="Arial" w:cs="Arial"/>
                <w:sz w:val="20"/>
                <w:lang w:val="en-IN"/>
              </w:rPr>
              <w:t>Foreign exchange forward contracts</w:t>
            </w:r>
          </w:p>
        </w:tc>
        <w:tc>
          <w:tcPr>
            <w:tcW w:w="1589" w:type="dxa"/>
            <w:tcMar>
              <w:top w:w="28" w:type="dxa"/>
            </w:tcMar>
          </w:tcPr>
          <w:p w14:paraId="45D7DE87"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306 </w:t>
            </w:r>
          </w:p>
        </w:tc>
        <w:tc>
          <w:tcPr>
            <w:tcW w:w="1671" w:type="dxa"/>
            <w:tcMar>
              <w:top w:w="28" w:type="dxa"/>
            </w:tcMar>
          </w:tcPr>
          <w:p w14:paraId="0580B737"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457 </w:t>
            </w:r>
          </w:p>
        </w:tc>
      </w:tr>
      <w:tr w:rsidR="00330EAA" w:rsidRPr="00E70587" w14:paraId="0AD301B1" w14:textId="77777777" w:rsidTr="000A2ED4">
        <w:tc>
          <w:tcPr>
            <w:tcW w:w="6237" w:type="dxa"/>
            <w:tcMar>
              <w:top w:w="28" w:type="dxa"/>
            </w:tcMar>
          </w:tcPr>
          <w:p w14:paraId="6F03DDAD" w14:textId="77777777" w:rsidR="00330EAA" w:rsidRPr="00E70587" w:rsidRDefault="00330EAA" w:rsidP="009901E1">
            <w:pPr>
              <w:pStyle w:val="tabletext"/>
              <w:overflowPunct w:val="0"/>
              <w:autoSpaceDE w:val="0"/>
              <w:autoSpaceDN w:val="0"/>
              <w:adjustRightInd w:val="0"/>
              <w:spacing w:line="280" w:lineRule="exact"/>
              <w:ind w:left="142"/>
              <w:textAlignment w:val="baseline"/>
              <w:rPr>
                <w:rFonts w:ascii="Arial" w:hAnsi="Arial" w:cs="Arial"/>
                <w:b/>
                <w:sz w:val="20"/>
                <w:lang w:val="en-IN"/>
              </w:rPr>
            </w:pPr>
            <w:r w:rsidRPr="00E70587">
              <w:rPr>
                <w:rFonts w:ascii="Arial" w:hAnsi="Arial" w:cs="Arial"/>
                <w:sz w:val="20"/>
                <w:lang w:val="en-IN"/>
              </w:rPr>
              <w:t xml:space="preserve">Commodity forward contracts </w:t>
            </w:r>
          </w:p>
        </w:tc>
        <w:tc>
          <w:tcPr>
            <w:tcW w:w="1589" w:type="dxa"/>
            <w:tcBorders>
              <w:bottom w:val="single" w:sz="4" w:space="0" w:color="auto"/>
            </w:tcBorders>
            <w:tcMar>
              <w:top w:w="28" w:type="dxa"/>
            </w:tcMar>
          </w:tcPr>
          <w:p w14:paraId="025C1815"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1,764 </w:t>
            </w:r>
          </w:p>
        </w:tc>
        <w:tc>
          <w:tcPr>
            <w:tcW w:w="1671" w:type="dxa"/>
            <w:tcBorders>
              <w:bottom w:val="single" w:sz="4" w:space="0" w:color="auto"/>
            </w:tcBorders>
            <w:tcMar>
              <w:top w:w="28" w:type="dxa"/>
            </w:tcMar>
          </w:tcPr>
          <w:p w14:paraId="22149634"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330EAA" w:rsidRPr="00E70587" w14:paraId="2FFE12E4" w14:textId="77777777" w:rsidTr="000A2ED4">
        <w:tc>
          <w:tcPr>
            <w:tcW w:w="6237" w:type="dxa"/>
            <w:tcMar>
              <w:top w:w="28" w:type="dxa"/>
            </w:tcMar>
          </w:tcPr>
          <w:p w14:paraId="5BF4A1A4"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Total financial liabilities at fair value through OCI </w:t>
            </w:r>
          </w:p>
        </w:tc>
        <w:tc>
          <w:tcPr>
            <w:tcW w:w="1589" w:type="dxa"/>
            <w:tcBorders>
              <w:top w:val="single" w:sz="4" w:space="0" w:color="auto"/>
              <w:bottom w:val="single" w:sz="4" w:space="0" w:color="auto"/>
            </w:tcBorders>
            <w:tcMar>
              <w:top w:w="28" w:type="dxa"/>
            </w:tcMar>
          </w:tcPr>
          <w:p w14:paraId="52E9EF36" w14:textId="77777777" w:rsidR="00330EAA" w:rsidRPr="00E70587" w:rsidRDefault="00330EA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2,070</w:t>
            </w:r>
          </w:p>
        </w:tc>
        <w:tc>
          <w:tcPr>
            <w:tcW w:w="1671" w:type="dxa"/>
            <w:tcBorders>
              <w:top w:val="single" w:sz="4" w:space="0" w:color="auto"/>
              <w:bottom w:val="single" w:sz="4" w:space="0" w:color="auto"/>
            </w:tcBorders>
            <w:tcMar>
              <w:top w:w="28" w:type="dxa"/>
            </w:tcMar>
          </w:tcPr>
          <w:p w14:paraId="738AD443" w14:textId="77777777" w:rsidR="00330EAA" w:rsidRPr="00E70587" w:rsidRDefault="00330EA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457</w:t>
            </w:r>
          </w:p>
        </w:tc>
      </w:tr>
      <w:tr w:rsidR="00330EAA" w:rsidRPr="00E70587" w14:paraId="293536C9" w14:textId="77777777" w:rsidTr="000A2ED4">
        <w:tc>
          <w:tcPr>
            <w:tcW w:w="6237" w:type="dxa"/>
            <w:tcMar>
              <w:top w:w="28" w:type="dxa"/>
            </w:tcMar>
          </w:tcPr>
          <w:p w14:paraId="412774BE"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589" w:type="dxa"/>
            <w:tcBorders>
              <w:top w:val="single" w:sz="4" w:space="0" w:color="auto"/>
            </w:tcBorders>
            <w:tcMar>
              <w:top w:w="28" w:type="dxa"/>
            </w:tcMar>
          </w:tcPr>
          <w:p w14:paraId="21B6748B" w14:textId="77777777" w:rsidR="00330EAA" w:rsidRPr="00E70587" w:rsidRDefault="00330EAA" w:rsidP="009901E1">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c>
          <w:tcPr>
            <w:tcW w:w="1671" w:type="dxa"/>
            <w:tcBorders>
              <w:top w:val="single" w:sz="4" w:space="0" w:color="auto"/>
            </w:tcBorders>
            <w:tcMar>
              <w:top w:w="28" w:type="dxa"/>
            </w:tcMar>
          </w:tcPr>
          <w:p w14:paraId="6FA1B1F7" w14:textId="77777777" w:rsidR="00330EAA" w:rsidRPr="00E70587" w:rsidRDefault="00330EAA" w:rsidP="009901E1">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r>
      <w:tr w:rsidR="00330EAA" w:rsidRPr="00E70587" w14:paraId="33244F30" w14:textId="77777777" w:rsidTr="000A2ED4">
        <w:tc>
          <w:tcPr>
            <w:tcW w:w="6237" w:type="dxa"/>
            <w:tcMar>
              <w:top w:w="28" w:type="dxa"/>
            </w:tcMar>
          </w:tcPr>
          <w:p w14:paraId="79837FC7" w14:textId="04A09326" w:rsidR="00330EAA" w:rsidRPr="00E70587" w:rsidDel="00CF2D45"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Financial liabilities at fair value through profit </w:t>
            </w:r>
            <w:r w:rsidR="00CD5159">
              <w:rPr>
                <w:rFonts w:ascii="Arial" w:hAnsi="Arial" w:cs="Arial"/>
                <w:b/>
                <w:sz w:val="20"/>
                <w:lang w:val="en-IN"/>
              </w:rPr>
              <w:t>or</w:t>
            </w:r>
            <w:r w:rsidR="003E0E19" w:rsidRPr="00E70587">
              <w:rPr>
                <w:rFonts w:ascii="Arial" w:hAnsi="Arial" w:cs="Arial"/>
                <w:b/>
                <w:sz w:val="20"/>
                <w:lang w:val="en-IN"/>
              </w:rPr>
              <w:t xml:space="preserve"> </w:t>
            </w:r>
            <w:r w:rsidRPr="00E70587">
              <w:rPr>
                <w:rFonts w:ascii="Arial" w:hAnsi="Arial" w:cs="Arial"/>
                <w:b/>
                <w:sz w:val="20"/>
                <w:lang w:val="en-IN"/>
              </w:rPr>
              <w:t>loss</w:t>
            </w:r>
          </w:p>
        </w:tc>
        <w:tc>
          <w:tcPr>
            <w:tcW w:w="1589" w:type="dxa"/>
            <w:tcMar>
              <w:top w:w="28" w:type="dxa"/>
            </w:tcMar>
          </w:tcPr>
          <w:p w14:paraId="44C9EF6D" w14:textId="77777777" w:rsidR="00330EAA" w:rsidRPr="00E70587" w:rsidRDefault="00330EAA" w:rsidP="009901E1">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c>
          <w:tcPr>
            <w:tcW w:w="1671" w:type="dxa"/>
            <w:tcMar>
              <w:top w:w="28" w:type="dxa"/>
            </w:tcMar>
          </w:tcPr>
          <w:p w14:paraId="11F30570" w14:textId="77777777" w:rsidR="00330EAA" w:rsidRPr="00E70587" w:rsidRDefault="00330EAA" w:rsidP="009901E1">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r>
      <w:tr w:rsidR="00330EAA" w:rsidRPr="00E70587" w14:paraId="5939EAF3" w14:textId="77777777" w:rsidTr="000A2ED4">
        <w:tc>
          <w:tcPr>
            <w:tcW w:w="6237" w:type="dxa"/>
            <w:tcMar>
              <w:top w:w="28" w:type="dxa"/>
            </w:tcMar>
          </w:tcPr>
          <w:p w14:paraId="12FEB271"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Contingent consideration (Note 36)</w:t>
            </w:r>
          </w:p>
        </w:tc>
        <w:tc>
          <w:tcPr>
            <w:tcW w:w="1589" w:type="dxa"/>
          </w:tcPr>
          <w:p w14:paraId="50104FE6"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1,930 </w:t>
            </w:r>
          </w:p>
        </w:tc>
        <w:tc>
          <w:tcPr>
            <w:tcW w:w="1671" w:type="dxa"/>
          </w:tcPr>
          <w:p w14:paraId="1CD602E6"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330EAA" w:rsidRPr="00E70587" w14:paraId="3460F861" w14:textId="77777777" w:rsidTr="000A2ED4">
        <w:tc>
          <w:tcPr>
            <w:tcW w:w="6237" w:type="dxa"/>
            <w:tcMar>
              <w:top w:w="28" w:type="dxa"/>
            </w:tcMar>
          </w:tcPr>
          <w:p w14:paraId="1DF74B5D" w14:textId="77777777" w:rsidR="00330EAA" w:rsidRPr="00E70587" w:rsidDel="00CF2D45"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Fair value hedges</w:t>
            </w:r>
          </w:p>
        </w:tc>
        <w:tc>
          <w:tcPr>
            <w:tcW w:w="1589" w:type="dxa"/>
          </w:tcPr>
          <w:p w14:paraId="3312F585" w14:textId="77777777" w:rsidR="00330EAA" w:rsidRPr="00E70587" w:rsidRDefault="00330EAA" w:rsidP="009901E1">
            <w:pPr>
              <w:overflowPunct/>
              <w:spacing w:line="280" w:lineRule="exact"/>
              <w:jc w:val="right"/>
              <w:textAlignment w:val="auto"/>
              <w:rPr>
                <w:rFonts w:ascii="Arial" w:hAnsi="Arial" w:cs="Arial"/>
                <w:sz w:val="20"/>
                <w:lang w:eastAsia="en-GB"/>
              </w:rPr>
            </w:pPr>
          </w:p>
        </w:tc>
        <w:tc>
          <w:tcPr>
            <w:tcW w:w="1671" w:type="dxa"/>
          </w:tcPr>
          <w:p w14:paraId="7961B4C6" w14:textId="77777777" w:rsidR="00330EAA" w:rsidRPr="00E70587" w:rsidRDefault="00330EAA" w:rsidP="009901E1">
            <w:pPr>
              <w:overflowPunct/>
              <w:spacing w:line="280" w:lineRule="exact"/>
              <w:jc w:val="right"/>
              <w:textAlignment w:val="auto"/>
              <w:rPr>
                <w:rFonts w:ascii="Arial" w:hAnsi="Arial" w:cs="Arial"/>
                <w:sz w:val="20"/>
                <w:lang w:eastAsia="en-GB"/>
              </w:rPr>
            </w:pPr>
          </w:p>
        </w:tc>
      </w:tr>
      <w:tr w:rsidR="00330EAA" w:rsidRPr="00E70587" w14:paraId="07BE18E5" w14:textId="77777777" w:rsidTr="000A2ED4">
        <w:tc>
          <w:tcPr>
            <w:tcW w:w="6237" w:type="dxa"/>
            <w:tcMar>
              <w:top w:w="28" w:type="dxa"/>
            </w:tcMar>
          </w:tcPr>
          <w:p w14:paraId="0725832C" w14:textId="77777777" w:rsidR="00330EAA" w:rsidRPr="00E70587" w:rsidDel="00CF2D45" w:rsidRDefault="00330EAA"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Interest rate swaps</w:t>
            </w:r>
          </w:p>
        </w:tc>
        <w:tc>
          <w:tcPr>
            <w:tcW w:w="1589" w:type="dxa"/>
          </w:tcPr>
          <w:p w14:paraId="4525F1F8"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62 </w:t>
            </w:r>
          </w:p>
        </w:tc>
        <w:tc>
          <w:tcPr>
            <w:tcW w:w="1671" w:type="dxa"/>
          </w:tcPr>
          <w:p w14:paraId="5BC09FC4"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330EAA" w:rsidRPr="00E70587" w14:paraId="699B65BD" w14:textId="77777777" w:rsidTr="000A2ED4">
        <w:tc>
          <w:tcPr>
            <w:tcW w:w="6237" w:type="dxa"/>
            <w:tcMar>
              <w:top w:w="28" w:type="dxa"/>
            </w:tcMar>
          </w:tcPr>
          <w:p w14:paraId="22CDB1E1" w14:textId="77777777" w:rsidR="00330EAA" w:rsidRPr="00E70587" w:rsidDel="00CF2D45"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Derivatives not designated as hedges</w:t>
            </w:r>
          </w:p>
        </w:tc>
        <w:tc>
          <w:tcPr>
            <w:tcW w:w="1589" w:type="dxa"/>
          </w:tcPr>
          <w:p w14:paraId="482DD06A" w14:textId="77777777" w:rsidR="00330EAA" w:rsidRPr="00E70587" w:rsidRDefault="00330EAA" w:rsidP="009901E1">
            <w:pPr>
              <w:overflowPunct/>
              <w:spacing w:line="280" w:lineRule="exact"/>
              <w:jc w:val="right"/>
              <w:textAlignment w:val="auto"/>
              <w:rPr>
                <w:rFonts w:ascii="Arial" w:hAnsi="Arial" w:cs="Arial"/>
                <w:sz w:val="20"/>
                <w:lang w:eastAsia="en-GB"/>
              </w:rPr>
            </w:pPr>
          </w:p>
        </w:tc>
        <w:tc>
          <w:tcPr>
            <w:tcW w:w="1671" w:type="dxa"/>
          </w:tcPr>
          <w:p w14:paraId="20A15DE2" w14:textId="77777777" w:rsidR="00330EAA" w:rsidRPr="00E70587" w:rsidRDefault="00330EAA" w:rsidP="009901E1">
            <w:pPr>
              <w:overflowPunct/>
              <w:spacing w:line="280" w:lineRule="exact"/>
              <w:jc w:val="right"/>
              <w:textAlignment w:val="auto"/>
              <w:rPr>
                <w:rFonts w:ascii="Arial" w:hAnsi="Arial" w:cs="Arial"/>
                <w:sz w:val="20"/>
                <w:lang w:eastAsia="en-GB"/>
              </w:rPr>
            </w:pPr>
          </w:p>
        </w:tc>
      </w:tr>
      <w:tr w:rsidR="00330EAA" w:rsidRPr="00E70587" w14:paraId="31B82782" w14:textId="77777777" w:rsidTr="000A2ED4">
        <w:tc>
          <w:tcPr>
            <w:tcW w:w="6237" w:type="dxa"/>
            <w:tcMar>
              <w:top w:w="28" w:type="dxa"/>
            </w:tcMar>
          </w:tcPr>
          <w:p w14:paraId="099AFE2C" w14:textId="77777777" w:rsidR="00330EAA" w:rsidRPr="00E70587" w:rsidDel="00CF2D45" w:rsidRDefault="00330EAA"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Foreign exchange forward contracts</w:t>
            </w:r>
          </w:p>
        </w:tc>
        <w:tc>
          <w:tcPr>
            <w:tcW w:w="1589" w:type="dxa"/>
          </w:tcPr>
          <w:p w14:paraId="1A1590CA"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1,296 </w:t>
            </w:r>
          </w:p>
        </w:tc>
        <w:tc>
          <w:tcPr>
            <w:tcW w:w="1671" w:type="dxa"/>
          </w:tcPr>
          <w:p w14:paraId="48604EB4"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330EAA" w:rsidRPr="00E70587" w14:paraId="04B166D9" w14:textId="77777777" w:rsidTr="000A2ED4">
        <w:tc>
          <w:tcPr>
            <w:tcW w:w="6237" w:type="dxa"/>
            <w:tcMar>
              <w:top w:w="28" w:type="dxa"/>
            </w:tcMar>
          </w:tcPr>
          <w:p w14:paraId="00D07116" w14:textId="77777777" w:rsidR="00330EAA" w:rsidRPr="00E70587" w:rsidDel="00CF2D45" w:rsidRDefault="00330EAA"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Embedded derivatives</w:t>
            </w:r>
          </w:p>
        </w:tc>
        <w:tc>
          <w:tcPr>
            <w:tcW w:w="1589" w:type="dxa"/>
            <w:tcBorders>
              <w:bottom w:val="single" w:sz="4" w:space="0" w:color="auto"/>
            </w:tcBorders>
          </w:tcPr>
          <w:p w14:paraId="578EF7B6"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1,408 </w:t>
            </w:r>
          </w:p>
        </w:tc>
        <w:tc>
          <w:tcPr>
            <w:tcW w:w="1671" w:type="dxa"/>
            <w:tcBorders>
              <w:bottom w:val="single" w:sz="4" w:space="0" w:color="auto"/>
            </w:tcBorders>
          </w:tcPr>
          <w:p w14:paraId="22C1ED18"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330EAA" w:rsidRPr="00E70587" w14:paraId="55F18CC9" w14:textId="77777777" w:rsidTr="000A2ED4">
        <w:tc>
          <w:tcPr>
            <w:tcW w:w="6237" w:type="dxa"/>
            <w:tcMar>
              <w:top w:w="28" w:type="dxa"/>
            </w:tcMar>
          </w:tcPr>
          <w:p w14:paraId="24C33DFE" w14:textId="1F39D114" w:rsidR="00330EAA" w:rsidRPr="00E70587" w:rsidDel="00CF2D45"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Total financial liabilities at fair value through profit </w:t>
            </w:r>
            <w:r w:rsidR="00CD5159">
              <w:rPr>
                <w:rFonts w:ascii="Arial" w:hAnsi="Arial" w:cs="Arial"/>
                <w:b/>
                <w:sz w:val="20"/>
                <w:lang w:val="en-IN"/>
              </w:rPr>
              <w:t>or</w:t>
            </w:r>
            <w:r w:rsidR="00F7241A" w:rsidRPr="00E70587">
              <w:rPr>
                <w:rFonts w:ascii="Arial" w:hAnsi="Arial" w:cs="Arial"/>
                <w:b/>
                <w:sz w:val="20"/>
                <w:lang w:val="en-IN"/>
              </w:rPr>
              <w:t xml:space="preserve"> </w:t>
            </w:r>
            <w:r w:rsidRPr="00E70587">
              <w:rPr>
                <w:rFonts w:ascii="Arial" w:hAnsi="Arial" w:cs="Arial"/>
                <w:b/>
                <w:sz w:val="20"/>
                <w:lang w:val="en-IN"/>
              </w:rPr>
              <w:t>loss</w:t>
            </w:r>
          </w:p>
        </w:tc>
        <w:tc>
          <w:tcPr>
            <w:tcW w:w="1589" w:type="dxa"/>
            <w:tcBorders>
              <w:top w:val="single" w:sz="4" w:space="0" w:color="auto"/>
              <w:bottom w:val="single" w:sz="4" w:space="0" w:color="auto"/>
            </w:tcBorders>
          </w:tcPr>
          <w:p w14:paraId="712E04B9" w14:textId="77777777" w:rsidR="00330EAA" w:rsidRPr="00E70587" w:rsidRDefault="00330EA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4,696</w:t>
            </w:r>
          </w:p>
        </w:tc>
        <w:tc>
          <w:tcPr>
            <w:tcW w:w="1671" w:type="dxa"/>
            <w:tcBorders>
              <w:top w:val="single" w:sz="4" w:space="0" w:color="auto"/>
              <w:bottom w:val="single" w:sz="4" w:space="0" w:color="auto"/>
            </w:tcBorders>
          </w:tcPr>
          <w:p w14:paraId="0D782A0A" w14:textId="77777777" w:rsidR="00330EAA" w:rsidRPr="00E70587" w:rsidRDefault="00330EA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w:t>
            </w:r>
          </w:p>
        </w:tc>
      </w:tr>
      <w:tr w:rsidR="00330EAA" w:rsidRPr="00E70587" w14:paraId="709D0728" w14:textId="77777777" w:rsidTr="000A2ED4">
        <w:tc>
          <w:tcPr>
            <w:tcW w:w="6237" w:type="dxa"/>
            <w:tcMar>
              <w:top w:w="28" w:type="dxa"/>
            </w:tcMar>
          </w:tcPr>
          <w:p w14:paraId="2EB2DBFA" w14:textId="77777777" w:rsidR="00330EAA" w:rsidRPr="00E70587" w:rsidDel="00CF2D45"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589" w:type="dxa"/>
            <w:tcBorders>
              <w:top w:val="single" w:sz="4" w:space="0" w:color="auto"/>
            </w:tcBorders>
          </w:tcPr>
          <w:p w14:paraId="1EADE14F" w14:textId="77777777" w:rsidR="00330EAA" w:rsidRPr="00E70587" w:rsidRDefault="00330EAA" w:rsidP="009901E1">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c>
          <w:tcPr>
            <w:tcW w:w="1671" w:type="dxa"/>
            <w:tcBorders>
              <w:top w:val="single" w:sz="4" w:space="0" w:color="auto"/>
            </w:tcBorders>
          </w:tcPr>
          <w:p w14:paraId="0FA96539" w14:textId="77777777" w:rsidR="00330EAA" w:rsidRPr="00E70587" w:rsidRDefault="00330EAA" w:rsidP="009901E1">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r>
      <w:tr w:rsidR="00330EAA" w:rsidRPr="00E70587" w14:paraId="3FA986EE" w14:textId="77777777" w:rsidTr="000A2ED4">
        <w:tc>
          <w:tcPr>
            <w:tcW w:w="6237" w:type="dxa"/>
            <w:tcMar>
              <w:top w:w="28" w:type="dxa"/>
            </w:tcMar>
          </w:tcPr>
          <w:p w14:paraId="5328865C" w14:textId="77777777" w:rsidR="00330EAA" w:rsidRPr="00E70587" w:rsidDel="00CF2D45"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Other financial liabilities at amortised cost</w:t>
            </w:r>
          </w:p>
        </w:tc>
        <w:tc>
          <w:tcPr>
            <w:tcW w:w="1589" w:type="dxa"/>
            <w:tcMar>
              <w:top w:w="28" w:type="dxa"/>
            </w:tcMar>
          </w:tcPr>
          <w:p w14:paraId="54B768F0" w14:textId="77777777" w:rsidR="00330EAA" w:rsidRPr="00E70587" w:rsidRDefault="00330EAA" w:rsidP="009901E1">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c>
          <w:tcPr>
            <w:tcW w:w="1671" w:type="dxa"/>
            <w:tcMar>
              <w:top w:w="28" w:type="dxa"/>
            </w:tcMar>
          </w:tcPr>
          <w:p w14:paraId="1B41A026" w14:textId="77777777" w:rsidR="00330EAA" w:rsidRPr="00E70587" w:rsidRDefault="00330EAA" w:rsidP="009901E1">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r>
      <w:tr w:rsidR="00330EAA" w:rsidRPr="00E70587" w14:paraId="6D2C9898" w14:textId="77777777" w:rsidTr="000A2ED4">
        <w:tc>
          <w:tcPr>
            <w:tcW w:w="6237" w:type="dxa"/>
            <w:tcMar>
              <w:top w:w="28" w:type="dxa"/>
            </w:tcMar>
          </w:tcPr>
          <w:p w14:paraId="65AA29FB" w14:textId="77777777" w:rsidR="00330EAA" w:rsidRPr="00E70587" w:rsidDel="00CF2D45"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Financial guarantee contracts</w:t>
            </w:r>
          </w:p>
        </w:tc>
        <w:tc>
          <w:tcPr>
            <w:tcW w:w="1589" w:type="dxa"/>
          </w:tcPr>
          <w:p w14:paraId="4C197400"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157 </w:t>
            </w:r>
          </w:p>
        </w:tc>
        <w:tc>
          <w:tcPr>
            <w:tcW w:w="1671" w:type="dxa"/>
          </w:tcPr>
          <w:p w14:paraId="0783FA79"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88 </w:t>
            </w:r>
          </w:p>
        </w:tc>
      </w:tr>
      <w:tr w:rsidR="00330EAA" w:rsidRPr="00E70587" w14:paraId="26201642" w14:textId="77777777" w:rsidTr="000A2ED4">
        <w:tc>
          <w:tcPr>
            <w:tcW w:w="6237" w:type="dxa"/>
            <w:tcMar>
              <w:top w:w="28" w:type="dxa"/>
            </w:tcMar>
          </w:tcPr>
          <w:p w14:paraId="62E6F89A" w14:textId="0816AF8E" w:rsidR="00330EAA" w:rsidRPr="00E70587" w:rsidRDefault="00330EAA" w:rsidP="006868AD">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eastAsia="ru-RU"/>
              </w:rPr>
              <w:t xml:space="preserve">Current maturity of </w:t>
            </w:r>
            <w:r w:rsidR="00F7241A" w:rsidRPr="00E70587">
              <w:rPr>
                <w:rFonts w:ascii="Arial" w:hAnsi="Arial" w:cs="Arial"/>
                <w:sz w:val="20"/>
                <w:lang w:val="en-IN" w:eastAsia="ru-RU"/>
              </w:rPr>
              <w:t>long-term</w:t>
            </w:r>
            <w:r w:rsidRPr="00E70587">
              <w:rPr>
                <w:rFonts w:ascii="Arial" w:hAnsi="Arial" w:cs="Arial"/>
                <w:sz w:val="20"/>
                <w:lang w:val="en-IN" w:eastAsia="ru-RU"/>
              </w:rPr>
              <w:t xml:space="preserve"> loans (refer note 14)</w:t>
            </w:r>
          </w:p>
        </w:tc>
        <w:tc>
          <w:tcPr>
            <w:tcW w:w="1589" w:type="dxa"/>
          </w:tcPr>
          <w:p w14:paraId="51DC0FAD"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rPr>
              <w:t>2,540</w:t>
            </w:r>
          </w:p>
        </w:tc>
        <w:tc>
          <w:tcPr>
            <w:tcW w:w="1671" w:type="dxa"/>
          </w:tcPr>
          <w:p w14:paraId="025230A0"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rPr>
              <w:t>133</w:t>
            </w:r>
          </w:p>
        </w:tc>
      </w:tr>
      <w:tr w:rsidR="00330EAA" w:rsidRPr="00E70587" w14:paraId="3813C995" w14:textId="77777777" w:rsidTr="000A2ED4">
        <w:tc>
          <w:tcPr>
            <w:tcW w:w="6237" w:type="dxa"/>
            <w:tcMar>
              <w:top w:w="28" w:type="dxa"/>
            </w:tcMar>
          </w:tcPr>
          <w:p w14:paraId="34DF05FE"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other financial liabilities at amortised cost</w:t>
            </w:r>
          </w:p>
        </w:tc>
        <w:tc>
          <w:tcPr>
            <w:tcW w:w="1589" w:type="dxa"/>
            <w:tcBorders>
              <w:top w:val="single" w:sz="4" w:space="0" w:color="auto"/>
            </w:tcBorders>
          </w:tcPr>
          <w:p w14:paraId="6AF5C36D" w14:textId="74EAE518" w:rsidR="00330EAA" w:rsidRPr="00E70587" w:rsidRDefault="00822A12" w:rsidP="009901E1">
            <w:pPr>
              <w:overflowPunct/>
              <w:spacing w:line="280" w:lineRule="exact"/>
              <w:jc w:val="right"/>
              <w:textAlignment w:val="auto"/>
              <w:rPr>
                <w:rFonts w:ascii="Arial" w:hAnsi="Arial" w:cs="Arial"/>
                <w:b/>
                <w:bCs/>
                <w:sz w:val="20"/>
                <w:lang w:eastAsia="en-GB"/>
              </w:rPr>
            </w:pPr>
            <w:r>
              <w:rPr>
                <w:rFonts w:ascii="Arial" w:hAnsi="Arial" w:cs="Arial"/>
                <w:b/>
                <w:bCs/>
                <w:sz w:val="20"/>
                <w:lang w:eastAsia="en-GB"/>
              </w:rPr>
              <w:t>2,697</w:t>
            </w:r>
          </w:p>
        </w:tc>
        <w:tc>
          <w:tcPr>
            <w:tcW w:w="1671" w:type="dxa"/>
            <w:tcBorders>
              <w:top w:val="single" w:sz="4" w:space="0" w:color="auto"/>
            </w:tcBorders>
          </w:tcPr>
          <w:p w14:paraId="71572AD9" w14:textId="7263ADAC" w:rsidR="00330EAA" w:rsidRPr="00E70587" w:rsidRDefault="00822A12" w:rsidP="009901E1">
            <w:pPr>
              <w:overflowPunct/>
              <w:spacing w:line="280" w:lineRule="exact"/>
              <w:jc w:val="right"/>
              <w:textAlignment w:val="auto"/>
              <w:rPr>
                <w:rFonts w:ascii="Arial" w:hAnsi="Arial" w:cs="Arial"/>
                <w:b/>
                <w:bCs/>
                <w:sz w:val="20"/>
                <w:lang w:eastAsia="en-GB"/>
              </w:rPr>
            </w:pPr>
            <w:r>
              <w:rPr>
                <w:rFonts w:ascii="Arial" w:hAnsi="Arial" w:cs="Arial"/>
                <w:b/>
                <w:bCs/>
                <w:sz w:val="20"/>
                <w:lang w:eastAsia="en-GB"/>
              </w:rPr>
              <w:t>221</w:t>
            </w:r>
          </w:p>
        </w:tc>
      </w:tr>
      <w:tr w:rsidR="00330EAA" w:rsidRPr="00E70587" w14:paraId="7FD756CA" w14:textId="77777777" w:rsidTr="000A2ED4">
        <w:tc>
          <w:tcPr>
            <w:tcW w:w="6237" w:type="dxa"/>
            <w:tcMar>
              <w:top w:w="28" w:type="dxa"/>
            </w:tcMar>
          </w:tcPr>
          <w:p w14:paraId="6A29319E"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589" w:type="dxa"/>
            <w:tcBorders>
              <w:bottom w:val="single" w:sz="4" w:space="0" w:color="auto"/>
            </w:tcBorders>
          </w:tcPr>
          <w:p w14:paraId="49616818" w14:textId="77777777" w:rsidR="00330EAA" w:rsidRPr="00E70587" w:rsidRDefault="00330EAA" w:rsidP="009901E1">
            <w:pPr>
              <w:overflowPunct/>
              <w:spacing w:line="280" w:lineRule="exact"/>
              <w:jc w:val="right"/>
              <w:textAlignment w:val="auto"/>
              <w:rPr>
                <w:rFonts w:ascii="Arial" w:hAnsi="Arial" w:cs="Arial"/>
                <w:b/>
                <w:bCs/>
                <w:sz w:val="20"/>
                <w:lang w:eastAsia="en-GB"/>
              </w:rPr>
            </w:pPr>
          </w:p>
        </w:tc>
        <w:tc>
          <w:tcPr>
            <w:tcW w:w="1671" w:type="dxa"/>
            <w:tcBorders>
              <w:bottom w:val="single" w:sz="4" w:space="0" w:color="auto"/>
            </w:tcBorders>
          </w:tcPr>
          <w:p w14:paraId="38E33790" w14:textId="77777777" w:rsidR="00330EAA" w:rsidRPr="00E70587" w:rsidRDefault="00330EAA" w:rsidP="009901E1">
            <w:pPr>
              <w:overflowPunct/>
              <w:spacing w:line="280" w:lineRule="exact"/>
              <w:jc w:val="right"/>
              <w:textAlignment w:val="auto"/>
              <w:rPr>
                <w:rFonts w:ascii="Arial" w:hAnsi="Arial" w:cs="Arial"/>
                <w:b/>
                <w:bCs/>
                <w:sz w:val="20"/>
                <w:lang w:eastAsia="en-GB"/>
              </w:rPr>
            </w:pPr>
          </w:p>
        </w:tc>
      </w:tr>
      <w:tr w:rsidR="00330EAA" w:rsidRPr="00E70587" w14:paraId="21383C1B" w14:textId="77777777" w:rsidTr="000A2ED4">
        <w:tc>
          <w:tcPr>
            <w:tcW w:w="6237" w:type="dxa"/>
            <w:tcMar>
              <w:top w:w="28" w:type="dxa"/>
            </w:tcMar>
          </w:tcPr>
          <w:p w14:paraId="03298E87"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other financial liabilities</w:t>
            </w:r>
          </w:p>
        </w:tc>
        <w:tc>
          <w:tcPr>
            <w:tcW w:w="1589" w:type="dxa"/>
            <w:tcBorders>
              <w:top w:val="single" w:sz="4" w:space="0" w:color="auto"/>
              <w:bottom w:val="single" w:sz="4" w:space="0" w:color="auto"/>
            </w:tcBorders>
          </w:tcPr>
          <w:p w14:paraId="6C4D905B" w14:textId="0692247F" w:rsidR="00330EAA" w:rsidRPr="00E70587" w:rsidRDefault="00822A12" w:rsidP="009901E1">
            <w:pPr>
              <w:overflowPunct/>
              <w:spacing w:line="280" w:lineRule="exact"/>
              <w:jc w:val="right"/>
              <w:textAlignment w:val="auto"/>
              <w:rPr>
                <w:rFonts w:ascii="Arial" w:hAnsi="Arial" w:cs="Arial"/>
                <w:b/>
                <w:bCs/>
                <w:sz w:val="20"/>
                <w:lang w:eastAsia="en-GB"/>
              </w:rPr>
            </w:pPr>
            <w:r>
              <w:rPr>
                <w:rFonts w:ascii="Arial" w:hAnsi="Arial" w:cs="Arial"/>
                <w:b/>
                <w:bCs/>
                <w:sz w:val="20"/>
                <w:lang w:eastAsia="en-GB"/>
              </w:rPr>
              <w:t>9,463</w:t>
            </w:r>
          </w:p>
        </w:tc>
        <w:tc>
          <w:tcPr>
            <w:tcW w:w="1671" w:type="dxa"/>
            <w:tcBorders>
              <w:top w:val="single" w:sz="4" w:space="0" w:color="auto"/>
              <w:bottom w:val="single" w:sz="4" w:space="0" w:color="auto"/>
            </w:tcBorders>
          </w:tcPr>
          <w:p w14:paraId="76A7DF8E" w14:textId="2F8EDC6D" w:rsidR="00330EAA" w:rsidRPr="00E70587" w:rsidRDefault="00593DC5" w:rsidP="009901E1">
            <w:pPr>
              <w:overflowPunct/>
              <w:spacing w:line="280" w:lineRule="exact"/>
              <w:jc w:val="right"/>
              <w:textAlignment w:val="auto"/>
              <w:rPr>
                <w:rFonts w:ascii="Arial" w:hAnsi="Arial" w:cs="Arial"/>
                <w:b/>
                <w:bCs/>
                <w:sz w:val="20"/>
                <w:lang w:eastAsia="en-GB"/>
              </w:rPr>
            </w:pPr>
            <w:r>
              <w:rPr>
                <w:rFonts w:ascii="Arial" w:hAnsi="Arial" w:cs="Arial"/>
                <w:b/>
                <w:bCs/>
                <w:sz w:val="20"/>
                <w:lang w:eastAsia="en-GB"/>
              </w:rPr>
              <w:t>678</w:t>
            </w:r>
          </w:p>
        </w:tc>
      </w:tr>
      <w:tr w:rsidR="00330EAA" w:rsidRPr="00E70587" w14:paraId="03C80F7F" w14:textId="77777777" w:rsidTr="000A2ED4">
        <w:tc>
          <w:tcPr>
            <w:tcW w:w="6237" w:type="dxa"/>
            <w:tcMar>
              <w:top w:w="28" w:type="dxa"/>
            </w:tcMar>
          </w:tcPr>
          <w:p w14:paraId="0566927B"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589" w:type="dxa"/>
            <w:tcBorders>
              <w:top w:val="single" w:sz="4" w:space="0" w:color="auto"/>
            </w:tcBorders>
          </w:tcPr>
          <w:p w14:paraId="4B0E34C7" w14:textId="77777777" w:rsidR="00330EAA" w:rsidRPr="00E70587" w:rsidRDefault="00330EAA" w:rsidP="009901E1">
            <w:pPr>
              <w:overflowPunct/>
              <w:spacing w:line="280" w:lineRule="exact"/>
              <w:jc w:val="right"/>
              <w:textAlignment w:val="auto"/>
              <w:rPr>
                <w:rFonts w:ascii="Arial" w:hAnsi="Arial" w:cs="Arial"/>
                <w:b/>
                <w:bCs/>
                <w:sz w:val="20"/>
                <w:lang w:eastAsia="en-GB"/>
              </w:rPr>
            </w:pPr>
          </w:p>
        </w:tc>
        <w:tc>
          <w:tcPr>
            <w:tcW w:w="1671" w:type="dxa"/>
            <w:tcBorders>
              <w:top w:val="single" w:sz="4" w:space="0" w:color="auto"/>
            </w:tcBorders>
          </w:tcPr>
          <w:p w14:paraId="2FAD71A3" w14:textId="4AC14EA1" w:rsidR="00330EAA" w:rsidRDefault="00330EAA" w:rsidP="009901E1">
            <w:pPr>
              <w:overflowPunct/>
              <w:spacing w:line="280" w:lineRule="exact"/>
              <w:jc w:val="right"/>
              <w:textAlignment w:val="auto"/>
              <w:rPr>
                <w:rFonts w:ascii="Arial" w:hAnsi="Arial" w:cs="Arial"/>
                <w:b/>
                <w:bCs/>
                <w:sz w:val="20"/>
                <w:lang w:eastAsia="en-GB"/>
              </w:rPr>
            </w:pPr>
          </w:p>
          <w:p w14:paraId="7B0B83B1" w14:textId="0B0DE8ED" w:rsidR="006F657F" w:rsidRPr="00E70587" w:rsidRDefault="006F657F" w:rsidP="009901E1">
            <w:pPr>
              <w:overflowPunct/>
              <w:spacing w:line="280" w:lineRule="exact"/>
              <w:jc w:val="right"/>
              <w:textAlignment w:val="auto"/>
              <w:rPr>
                <w:rFonts w:ascii="Arial" w:hAnsi="Arial" w:cs="Arial"/>
                <w:b/>
                <w:bCs/>
                <w:sz w:val="20"/>
                <w:lang w:eastAsia="en-GB"/>
              </w:rPr>
            </w:pPr>
          </w:p>
        </w:tc>
      </w:tr>
      <w:tr w:rsidR="00330EAA" w:rsidRPr="00E70587" w14:paraId="6BB5FA02" w14:textId="77777777" w:rsidTr="000A2ED4">
        <w:tc>
          <w:tcPr>
            <w:tcW w:w="6237" w:type="dxa"/>
            <w:tcMar>
              <w:top w:w="28" w:type="dxa"/>
            </w:tcMar>
          </w:tcPr>
          <w:p w14:paraId="2D0727B8"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bookmarkStart w:id="19" w:name="_Hlk55311865"/>
            <w:r w:rsidRPr="00E70587">
              <w:rPr>
                <w:rFonts w:ascii="Arial" w:hAnsi="Arial" w:cs="Arial"/>
                <w:b/>
                <w:sz w:val="20"/>
                <w:lang w:val="en-IN"/>
              </w:rPr>
              <w:t xml:space="preserve">Total current </w:t>
            </w:r>
          </w:p>
        </w:tc>
        <w:tc>
          <w:tcPr>
            <w:tcW w:w="1589" w:type="dxa"/>
          </w:tcPr>
          <w:p w14:paraId="068B9A9C" w14:textId="16AB1598" w:rsidR="00330EAA" w:rsidRPr="00E70587" w:rsidRDefault="00330EA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8,</w:t>
            </w:r>
            <w:r w:rsidR="00822A12">
              <w:rPr>
                <w:rFonts w:ascii="Arial" w:hAnsi="Arial" w:cs="Arial"/>
                <w:b/>
                <w:bCs/>
                <w:sz w:val="20"/>
                <w:lang w:eastAsia="en-GB"/>
              </w:rPr>
              <w:t>012</w:t>
            </w:r>
          </w:p>
        </w:tc>
        <w:tc>
          <w:tcPr>
            <w:tcW w:w="1671" w:type="dxa"/>
          </w:tcPr>
          <w:p w14:paraId="34B70134" w14:textId="3C683373" w:rsidR="00330EAA" w:rsidRPr="00E70587" w:rsidRDefault="00593DC5" w:rsidP="009901E1">
            <w:pPr>
              <w:overflowPunct/>
              <w:spacing w:line="280" w:lineRule="exact"/>
              <w:jc w:val="right"/>
              <w:textAlignment w:val="auto"/>
              <w:rPr>
                <w:rFonts w:ascii="Arial" w:hAnsi="Arial" w:cs="Arial"/>
                <w:b/>
                <w:bCs/>
                <w:sz w:val="20"/>
                <w:lang w:eastAsia="en-GB"/>
              </w:rPr>
            </w:pPr>
            <w:r>
              <w:rPr>
                <w:rFonts w:ascii="Arial" w:hAnsi="Arial" w:cs="Arial"/>
                <w:b/>
                <w:bCs/>
                <w:sz w:val="20"/>
                <w:lang w:eastAsia="en-GB"/>
              </w:rPr>
              <w:t>678</w:t>
            </w:r>
          </w:p>
        </w:tc>
      </w:tr>
      <w:bookmarkEnd w:id="19"/>
      <w:tr w:rsidR="00330EAA" w:rsidRPr="00E70587" w14:paraId="2B0DB840" w14:textId="77777777" w:rsidTr="000A2ED4">
        <w:tc>
          <w:tcPr>
            <w:tcW w:w="6237" w:type="dxa"/>
            <w:tcMar>
              <w:top w:w="28" w:type="dxa"/>
            </w:tcMar>
          </w:tcPr>
          <w:p w14:paraId="3F4521ED"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non-current</w:t>
            </w:r>
          </w:p>
        </w:tc>
        <w:tc>
          <w:tcPr>
            <w:tcW w:w="1589" w:type="dxa"/>
          </w:tcPr>
          <w:p w14:paraId="5A335D09" w14:textId="77777777" w:rsidR="00330EAA" w:rsidRPr="00E70587" w:rsidRDefault="00330EA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1,451 </w:t>
            </w:r>
          </w:p>
        </w:tc>
        <w:tc>
          <w:tcPr>
            <w:tcW w:w="1671" w:type="dxa"/>
          </w:tcPr>
          <w:p w14:paraId="7F84F73C" w14:textId="77777777" w:rsidR="00330EAA" w:rsidRPr="00E70587" w:rsidRDefault="00330EA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w:t>
            </w:r>
          </w:p>
        </w:tc>
      </w:tr>
    </w:tbl>
    <w:p w14:paraId="4862480A" w14:textId="77777777" w:rsidR="0071328A" w:rsidRPr="00E70587" w:rsidRDefault="0071328A" w:rsidP="009901E1">
      <w:pPr>
        <w:pStyle w:val="Notesitalicheading"/>
        <w:spacing w:line="280" w:lineRule="exact"/>
        <w:jc w:val="both"/>
        <w:rPr>
          <w:rFonts w:ascii="Arial" w:hAnsi="Arial"/>
          <w:b w:val="0"/>
          <w:i w:val="0"/>
          <w:color w:val="auto"/>
          <w:sz w:val="20"/>
        </w:rPr>
      </w:pPr>
    </w:p>
    <w:tbl>
      <w:tblPr>
        <w:tblW w:w="9576" w:type="dxa"/>
        <w:tblLook w:val="0000" w:firstRow="0" w:lastRow="0" w:firstColumn="0" w:lastColumn="0" w:noHBand="0" w:noVBand="0"/>
      </w:tblPr>
      <w:tblGrid>
        <w:gridCol w:w="9576"/>
      </w:tblGrid>
      <w:tr w:rsidR="00E36422" w:rsidRPr="00E70587" w14:paraId="0B574480" w14:textId="77777777" w:rsidTr="00E36422">
        <w:tc>
          <w:tcPr>
            <w:tcW w:w="0" w:type="auto"/>
          </w:tcPr>
          <w:p w14:paraId="7D728AD6" w14:textId="77777777" w:rsidR="00E6647F" w:rsidRPr="00E70587" w:rsidRDefault="00E6647F" w:rsidP="00E36422">
            <w:pPr>
              <w:pStyle w:val="Notesbodytext"/>
              <w:spacing w:after="0" w:line="280" w:lineRule="exact"/>
              <w:jc w:val="both"/>
              <w:rPr>
                <w:rFonts w:ascii="Arial" w:hAnsi="Arial"/>
                <w:b/>
                <w:color w:val="auto"/>
                <w:sz w:val="20"/>
              </w:rPr>
            </w:pPr>
            <w:r w:rsidRPr="00E70587">
              <w:rPr>
                <w:rFonts w:ascii="Arial" w:hAnsi="Arial"/>
                <w:b/>
                <w:color w:val="auto"/>
                <w:sz w:val="20"/>
              </w:rPr>
              <w:t>Financial liabilities at fair value through OCI</w:t>
            </w:r>
          </w:p>
          <w:p w14:paraId="2E452077" w14:textId="77777777" w:rsidR="00E6647F" w:rsidRPr="00E70587" w:rsidRDefault="00E6647F" w:rsidP="00E36422">
            <w:pPr>
              <w:pStyle w:val="Notesbodytext"/>
              <w:spacing w:after="0" w:line="280" w:lineRule="exact"/>
              <w:jc w:val="both"/>
              <w:rPr>
                <w:rFonts w:ascii="Arial" w:hAnsi="Arial"/>
                <w:color w:val="auto"/>
                <w:sz w:val="20"/>
              </w:rPr>
            </w:pPr>
          </w:p>
          <w:p w14:paraId="2CFB3E49" w14:textId="4CAA4D97" w:rsidR="00E36422" w:rsidRPr="00E70587" w:rsidRDefault="00E36422" w:rsidP="00E36422">
            <w:pPr>
              <w:pStyle w:val="Notesbodytext"/>
              <w:spacing w:after="0" w:line="280" w:lineRule="exact"/>
              <w:jc w:val="both"/>
              <w:rPr>
                <w:rFonts w:ascii="Arial" w:hAnsi="Arial"/>
                <w:color w:val="auto"/>
                <w:sz w:val="20"/>
              </w:rPr>
            </w:pPr>
            <w:r w:rsidRPr="00E70587">
              <w:rPr>
                <w:rFonts w:ascii="Arial" w:hAnsi="Arial"/>
                <w:color w:val="auto"/>
                <w:sz w:val="20"/>
              </w:rPr>
              <w:t>Financial liabilities at fair value through OCI reflect the change in fair value of foreign exchange forward contracts, designated as cash flow hedges to hedge highly probable future purchases in GBP.</w:t>
            </w:r>
            <w:r w:rsidR="00083B55" w:rsidRPr="00E70587">
              <w:rPr>
                <w:rFonts w:ascii="Arial" w:hAnsi="Arial"/>
                <w:color w:val="auto"/>
                <w:sz w:val="20"/>
              </w:rPr>
              <w:t xml:space="preserve"> </w:t>
            </w:r>
            <w:r w:rsidRPr="00E70587">
              <w:rPr>
                <w:rFonts w:ascii="Arial" w:hAnsi="Arial"/>
                <w:color w:val="auto"/>
                <w:sz w:val="20"/>
              </w:rPr>
              <w:t xml:space="preserve">Financial liabilities at fair value through OCI also include the change in fair value of commodity forward contracts contracted during 31 </w:t>
            </w:r>
            <w:r w:rsidR="00E1202D" w:rsidRPr="00E70587">
              <w:rPr>
                <w:rFonts w:ascii="Arial" w:hAnsi="Arial"/>
                <w:color w:val="auto"/>
                <w:sz w:val="20"/>
              </w:rPr>
              <w:t xml:space="preserve">March </w:t>
            </w:r>
            <w:r w:rsidR="00F7241A" w:rsidRPr="00E70587">
              <w:rPr>
                <w:rFonts w:ascii="Arial" w:hAnsi="Arial"/>
                <w:color w:val="auto"/>
                <w:sz w:val="20"/>
              </w:rPr>
              <w:t>20</w:t>
            </w:r>
            <w:r w:rsidR="00F7241A">
              <w:rPr>
                <w:rFonts w:ascii="Arial" w:hAnsi="Arial"/>
                <w:color w:val="auto"/>
                <w:sz w:val="20"/>
              </w:rPr>
              <w:t>21</w:t>
            </w:r>
            <w:r w:rsidRPr="00E70587">
              <w:rPr>
                <w:rFonts w:ascii="Arial" w:hAnsi="Arial"/>
                <w:color w:val="auto"/>
                <w:sz w:val="20"/>
              </w:rPr>
              <w:t xml:space="preserve">. The Group is exposed to changes in the price of copper on its forecast copper purchases. The forward contracts do not result in physical delivery of </w:t>
            </w:r>
            <w:r w:rsidR="00F7241A" w:rsidRPr="00E70587">
              <w:rPr>
                <w:rFonts w:ascii="Arial" w:hAnsi="Arial"/>
                <w:color w:val="auto"/>
                <w:sz w:val="20"/>
              </w:rPr>
              <w:t>copper but</w:t>
            </w:r>
            <w:r w:rsidRPr="00E70587">
              <w:rPr>
                <w:rFonts w:ascii="Arial" w:hAnsi="Arial"/>
                <w:color w:val="auto"/>
                <w:sz w:val="20"/>
              </w:rPr>
              <w:t xml:space="preserve"> are designated as cash flow hedges to offset the effect of price changes in copper. The Group hedges approximately 45% of its expected copper purchases in the next reporting period. The remaining volume of copper purchases is exposed to price volatility.</w:t>
            </w:r>
          </w:p>
          <w:p w14:paraId="3D91542E" w14:textId="77777777" w:rsidR="00E36422" w:rsidRPr="00E70587" w:rsidRDefault="00E36422" w:rsidP="00E36422">
            <w:pPr>
              <w:pStyle w:val="Notesbodytext"/>
              <w:spacing w:after="0" w:line="280" w:lineRule="exact"/>
              <w:jc w:val="both"/>
              <w:rPr>
                <w:rFonts w:ascii="Arial" w:hAnsi="Arial"/>
                <w:i/>
                <w:color w:val="auto"/>
                <w:sz w:val="20"/>
              </w:rPr>
            </w:pPr>
          </w:p>
        </w:tc>
      </w:tr>
      <w:tr w:rsidR="00CF76D0" w:rsidRPr="00E70587" w14:paraId="1B020620" w14:textId="77777777" w:rsidTr="00CF76D0">
        <w:tc>
          <w:tcPr>
            <w:tcW w:w="0" w:type="auto"/>
          </w:tcPr>
          <w:p w14:paraId="2DEBA989" w14:textId="77777777" w:rsidR="00CF76D0" w:rsidRPr="00E70587" w:rsidRDefault="00CF76D0" w:rsidP="00CF76D0">
            <w:pPr>
              <w:pStyle w:val="Notesbodytext"/>
              <w:spacing w:after="0" w:line="280" w:lineRule="exact"/>
              <w:jc w:val="both"/>
              <w:rPr>
                <w:rFonts w:ascii="Arial" w:hAnsi="Arial"/>
                <w:b/>
                <w:color w:val="auto"/>
                <w:sz w:val="20"/>
              </w:rPr>
            </w:pPr>
            <w:r w:rsidRPr="00E70587">
              <w:rPr>
                <w:rFonts w:ascii="Arial" w:hAnsi="Arial"/>
                <w:b/>
                <w:color w:val="auto"/>
                <w:sz w:val="20"/>
              </w:rPr>
              <w:t>Contingent consideration</w:t>
            </w:r>
          </w:p>
          <w:p w14:paraId="44D3A7BD" w14:textId="77777777" w:rsidR="00CF76D0" w:rsidRPr="00E70587" w:rsidRDefault="00CF76D0" w:rsidP="00CF76D0">
            <w:pPr>
              <w:pStyle w:val="Notesbodytext"/>
              <w:spacing w:after="0" w:line="280" w:lineRule="exact"/>
              <w:jc w:val="both"/>
              <w:rPr>
                <w:rFonts w:ascii="Arial" w:hAnsi="Arial"/>
                <w:color w:val="auto"/>
                <w:sz w:val="20"/>
              </w:rPr>
            </w:pPr>
          </w:p>
          <w:p w14:paraId="06D6D5A1" w14:textId="2FE5D3CB" w:rsidR="00CF76D0" w:rsidRPr="00E70587" w:rsidRDefault="00CF76D0" w:rsidP="00CF76D0">
            <w:pPr>
              <w:pStyle w:val="Notesbodytext"/>
              <w:spacing w:after="0" w:line="280" w:lineRule="exact"/>
              <w:jc w:val="both"/>
              <w:rPr>
                <w:rFonts w:ascii="Arial" w:hAnsi="Arial"/>
                <w:color w:val="auto"/>
                <w:sz w:val="20"/>
              </w:rPr>
            </w:pPr>
            <w:r w:rsidRPr="00E70587">
              <w:rPr>
                <w:rFonts w:ascii="Arial" w:hAnsi="Arial"/>
                <w:color w:val="auto"/>
                <w:sz w:val="20"/>
              </w:rPr>
              <w:lastRenderedPageBreak/>
              <w:t xml:space="preserve">As part of the purchase agreement with the previous owner of Extinguishers Limited, a contingent consideration has been agreed. This consideration is dependent on the profit before tax of Extinguishers Limited during a </w:t>
            </w:r>
            <w:r w:rsidR="00F7241A" w:rsidRPr="00E70587">
              <w:rPr>
                <w:rFonts w:ascii="Arial" w:hAnsi="Arial"/>
                <w:color w:val="auto"/>
                <w:sz w:val="20"/>
              </w:rPr>
              <w:t>12-month</w:t>
            </w:r>
            <w:r w:rsidRPr="00E70587">
              <w:rPr>
                <w:rFonts w:ascii="Arial" w:hAnsi="Arial"/>
                <w:color w:val="auto"/>
                <w:sz w:val="20"/>
              </w:rPr>
              <w:t xml:space="preserve"> period. The fair value of the contingent consideration at the acquisition date was INR 1</w:t>
            </w:r>
            <w:r w:rsidR="00D5134A" w:rsidRPr="00E70587">
              <w:rPr>
                <w:rFonts w:ascii="Arial" w:hAnsi="Arial"/>
                <w:color w:val="auto"/>
                <w:sz w:val="20"/>
              </w:rPr>
              <w:t>,</w:t>
            </w:r>
            <w:r w:rsidRPr="00E70587">
              <w:rPr>
                <w:rFonts w:ascii="Arial" w:hAnsi="Arial"/>
                <w:color w:val="auto"/>
                <w:sz w:val="20"/>
              </w:rPr>
              <w:t>285</w:t>
            </w:r>
            <w:r w:rsidR="00D7250E">
              <w:rPr>
                <w:rFonts w:ascii="Arial" w:hAnsi="Arial"/>
                <w:color w:val="auto"/>
                <w:sz w:val="20"/>
              </w:rPr>
              <w:t xml:space="preserve"> lacs</w:t>
            </w:r>
            <w:r w:rsidRPr="00E70587">
              <w:rPr>
                <w:rFonts w:ascii="Arial" w:hAnsi="Arial"/>
                <w:color w:val="auto"/>
                <w:sz w:val="20"/>
              </w:rPr>
              <w:t>. The fair value increased to INR 1</w:t>
            </w:r>
            <w:r w:rsidR="00D5134A" w:rsidRPr="00E70587">
              <w:rPr>
                <w:rFonts w:ascii="Arial" w:hAnsi="Arial"/>
                <w:color w:val="auto"/>
                <w:sz w:val="20"/>
              </w:rPr>
              <w:t>,</w:t>
            </w:r>
            <w:r w:rsidRPr="00E70587">
              <w:rPr>
                <w:rFonts w:ascii="Arial" w:hAnsi="Arial"/>
                <w:color w:val="auto"/>
                <w:sz w:val="20"/>
              </w:rPr>
              <w:t xml:space="preserve">930 </w:t>
            </w:r>
            <w:r w:rsidR="00D7250E">
              <w:rPr>
                <w:rFonts w:ascii="Arial" w:hAnsi="Arial"/>
                <w:color w:val="auto"/>
                <w:sz w:val="20"/>
              </w:rPr>
              <w:t>lacs</w:t>
            </w:r>
            <w:r w:rsidR="00D7250E" w:rsidRPr="00E70587">
              <w:rPr>
                <w:rFonts w:ascii="Arial" w:hAnsi="Arial"/>
                <w:color w:val="auto"/>
                <w:sz w:val="20"/>
              </w:rPr>
              <w:t xml:space="preserve"> </w:t>
            </w:r>
            <w:r w:rsidRPr="00E70587">
              <w:rPr>
                <w:rFonts w:ascii="Arial" w:hAnsi="Arial"/>
                <w:color w:val="auto"/>
                <w:sz w:val="20"/>
              </w:rPr>
              <w:t xml:space="preserve">as at 31 </w:t>
            </w:r>
            <w:r w:rsidR="00E1202D" w:rsidRPr="00E70587">
              <w:rPr>
                <w:rFonts w:ascii="Arial" w:hAnsi="Arial"/>
                <w:color w:val="auto"/>
                <w:sz w:val="20"/>
              </w:rPr>
              <w:t xml:space="preserve">March </w:t>
            </w:r>
            <w:r w:rsidR="00F7241A" w:rsidRPr="00E70587">
              <w:rPr>
                <w:rFonts w:ascii="Arial" w:hAnsi="Arial"/>
                <w:color w:val="auto"/>
                <w:sz w:val="20"/>
              </w:rPr>
              <w:t>20</w:t>
            </w:r>
            <w:r w:rsidR="00F7241A">
              <w:rPr>
                <w:rFonts w:ascii="Arial" w:hAnsi="Arial"/>
                <w:color w:val="auto"/>
                <w:sz w:val="20"/>
              </w:rPr>
              <w:t>21</w:t>
            </w:r>
            <w:r w:rsidR="00F7241A" w:rsidRPr="00E70587">
              <w:rPr>
                <w:rFonts w:ascii="Arial" w:hAnsi="Arial"/>
                <w:color w:val="auto"/>
                <w:sz w:val="20"/>
              </w:rPr>
              <w:t xml:space="preserve"> </w:t>
            </w:r>
            <w:r w:rsidRPr="00E70587">
              <w:rPr>
                <w:rFonts w:ascii="Arial" w:hAnsi="Arial"/>
                <w:color w:val="auto"/>
                <w:sz w:val="20"/>
              </w:rPr>
              <w:t xml:space="preserve">due to a significantly enhanced performance compared to budget. The contingent consideration is due for final measurement and payment to the former shareholders on 31 October </w:t>
            </w:r>
            <w:r w:rsidR="00F7241A" w:rsidRPr="00E70587">
              <w:rPr>
                <w:rFonts w:ascii="Arial" w:hAnsi="Arial"/>
                <w:color w:val="auto"/>
                <w:sz w:val="20"/>
              </w:rPr>
              <w:t>20</w:t>
            </w:r>
            <w:r w:rsidR="00F7241A">
              <w:rPr>
                <w:rFonts w:ascii="Arial" w:hAnsi="Arial"/>
                <w:color w:val="auto"/>
                <w:sz w:val="20"/>
              </w:rPr>
              <w:t>21</w:t>
            </w:r>
            <w:r w:rsidRPr="00E70587">
              <w:rPr>
                <w:rFonts w:ascii="Arial" w:hAnsi="Arial"/>
                <w:color w:val="auto"/>
                <w:sz w:val="20"/>
              </w:rPr>
              <w:t>.</w:t>
            </w:r>
          </w:p>
          <w:p w14:paraId="7ACE3E67" w14:textId="77777777" w:rsidR="00E6647F" w:rsidRPr="00E70587" w:rsidRDefault="00E6647F" w:rsidP="00CF76D0">
            <w:pPr>
              <w:pStyle w:val="Notesbodytext"/>
              <w:spacing w:after="0" w:line="280" w:lineRule="exact"/>
              <w:jc w:val="both"/>
              <w:rPr>
                <w:rFonts w:ascii="Arial" w:hAnsi="Arial"/>
                <w:color w:val="auto"/>
                <w:sz w:val="20"/>
              </w:rPr>
            </w:pPr>
          </w:p>
          <w:p w14:paraId="553CE91B" w14:textId="77777777" w:rsidR="00E6647F" w:rsidRPr="00E70587" w:rsidRDefault="00E6647F" w:rsidP="00CF76D0">
            <w:pPr>
              <w:pStyle w:val="Notesbodytext"/>
              <w:spacing w:after="0" w:line="280" w:lineRule="exact"/>
              <w:jc w:val="both"/>
              <w:rPr>
                <w:rFonts w:ascii="Arial" w:hAnsi="Arial"/>
                <w:b/>
                <w:color w:val="auto"/>
                <w:sz w:val="20"/>
              </w:rPr>
            </w:pPr>
            <w:r w:rsidRPr="00E70587">
              <w:rPr>
                <w:rFonts w:ascii="Arial" w:hAnsi="Arial"/>
                <w:b/>
                <w:color w:val="auto"/>
                <w:sz w:val="20"/>
              </w:rPr>
              <w:t>Interest rate swap</w:t>
            </w:r>
          </w:p>
          <w:p w14:paraId="1CC79C09" w14:textId="77777777" w:rsidR="00E6647F" w:rsidRPr="00E70587" w:rsidRDefault="00E6647F" w:rsidP="00CF76D0">
            <w:pPr>
              <w:pStyle w:val="Notesbodytext"/>
              <w:spacing w:after="0" w:line="280" w:lineRule="exact"/>
              <w:jc w:val="both"/>
              <w:rPr>
                <w:rFonts w:ascii="Arial" w:hAnsi="Arial"/>
                <w:color w:val="auto"/>
                <w:sz w:val="20"/>
              </w:rPr>
            </w:pPr>
          </w:p>
          <w:p w14:paraId="30B9B5F9" w14:textId="18CF2523" w:rsidR="00E6647F" w:rsidRPr="00E70587" w:rsidRDefault="00E6647F" w:rsidP="00E6647F">
            <w:pPr>
              <w:pStyle w:val="Notesbodytext"/>
              <w:spacing w:after="0" w:line="280" w:lineRule="exact"/>
              <w:jc w:val="both"/>
              <w:rPr>
                <w:rFonts w:ascii="Arial" w:hAnsi="Arial"/>
                <w:color w:val="auto"/>
                <w:sz w:val="20"/>
              </w:rPr>
            </w:pPr>
            <w:r w:rsidRPr="00E70587">
              <w:rPr>
                <w:rFonts w:ascii="Arial" w:hAnsi="Arial"/>
                <w:color w:val="auto"/>
                <w:sz w:val="20"/>
              </w:rPr>
              <w:t xml:space="preserve">The Group had an interest rate swap agreement whereby the Group receives a fixed rate of interest of 8.25% and pays interest at a variable rate. The swap is being used to hedge the exposure to changes in the fair value of its fixed rate secured loan. The decrease in fair value of the interest rate swap has been recognised in finance costs and offset with a similar gain on the bank borrowings. The ineffectiveness recognised in </w:t>
            </w:r>
            <w:r w:rsidR="00F7241A" w:rsidRPr="00E70587">
              <w:rPr>
                <w:rFonts w:ascii="Arial" w:hAnsi="Arial"/>
                <w:color w:val="auto"/>
                <w:sz w:val="20"/>
              </w:rPr>
              <w:t>20</w:t>
            </w:r>
            <w:r w:rsidR="00F7241A">
              <w:rPr>
                <w:rFonts w:ascii="Arial" w:hAnsi="Arial"/>
                <w:color w:val="auto"/>
                <w:sz w:val="20"/>
              </w:rPr>
              <w:t>20</w:t>
            </w:r>
            <w:r w:rsidR="00F7241A" w:rsidRPr="00E70587">
              <w:rPr>
                <w:rFonts w:ascii="Arial" w:hAnsi="Arial"/>
                <w:color w:val="auto"/>
                <w:sz w:val="20"/>
              </w:rPr>
              <w:t xml:space="preserve"> </w:t>
            </w:r>
            <w:r w:rsidRPr="00E70587">
              <w:rPr>
                <w:rFonts w:ascii="Arial" w:hAnsi="Arial"/>
                <w:color w:val="auto"/>
                <w:sz w:val="20"/>
              </w:rPr>
              <w:t>was immaterial.</w:t>
            </w:r>
          </w:p>
          <w:p w14:paraId="5F86EDD8" w14:textId="77777777" w:rsidR="00E6647F" w:rsidRPr="00E70587" w:rsidRDefault="00E6647F" w:rsidP="00E6647F">
            <w:pPr>
              <w:pStyle w:val="Notesbodytext"/>
              <w:spacing w:after="0" w:line="280" w:lineRule="exact"/>
              <w:jc w:val="both"/>
              <w:rPr>
                <w:rFonts w:ascii="Arial" w:hAnsi="Arial"/>
                <w:color w:val="auto"/>
                <w:sz w:val="20"/>
              </w:rPr>
            </w:pPr>
          </w:p>
          <w:p w14:paraId="565F4FE2" w14:textId="77777777" w:rsidR="00E6647F" w:rsidRPr="00E70587" w:rsidRDefault="00E6647F" w:rsidP="00E6647F">
            <w:pPr>
              <w:pStyle w:val="Notesbodytext"/>
              <w:spacing w:after="0" w:line="280" w:lineRule="exact"/>
              <w:jc w:val="both"/>
              <w:rPr>
                <w:rFonts w:ascii="Arial" w:hAnsi="Arial"/>
                <w:b/>
                <w:sz w:val="20"/>
              </w:rPr>
            </w:pPr>
            <w:r w:rsidRPr="00E70587">
              <w:rPr>
                <w:rFonts w:ascii="Arial" w:hAnsi="Arial"/>
                <w:b/>
                <w:sz w:val="20"/>
              </w:rPr>
              <w:t>Foreign exchange forward contracts</w:t>
            </w:r>
          </w:p>
          <w:p w14:paraId="218877D5" w14:textId="77777777" w:rsidR="00E6647F" w:rsidRPr="00E70587" w:rsidRDefault="00E6647F" w:rsidP="00E6647F">
            <w:pPr>
              <w:pStyle w:val="Notesbodytext"/>
              <w:spacing w:after="0" w:line="280" w:lineRule="exact"/>
              <w:jc w:val="both"/>
              <w:rPr>
                <w:rFonts w:ascii="Arial" w:hAnsi="Arial"/>
                <w:color w:val="auto"/>
                <w:sz w:val="20"/>
              </w:rPr>
            </w:pPr>
          </w:p>
          <w:p w14:paraId="0B69DAFB" w14:textId="77777777" w:rsidR="00E6647F" w:rsidRPr="00E70587" w:rsidRDefault="00E6647F" w:rsidP="00E6647F">
            <w:pPr>
              <w:pStyle w:val="Notesbodytext"/>
              <w:spacing w:after="0" w:line="280" w:lineRule="exact"/>
              <w:jc w:val="both"/>
              <w:rPr>
                <w:rFonts w:ascii="Arial" w:hAnsi="Arial"/>
                <w:color w:val="auto"/>
                <w:sz w:val="20"/>
              </w:rPr>
            </w:pPr>
            <w:r w:rsidRPr="00E70587">
              <w:rPr>
                <w:rFonts w:ascii="Arial" w:hAnsi="Arial"/>
                <w:color w:val="auto"/>
                <w:sz w:val="20"/>
              </w:rPr>
              <w:t>While the Group entered into other foreign exchange forward contracts with the intention of reducing the foreign exchange risk of expected sales and purchases, these other contracts are not designated in hedge relationships and are measured at fair value through profit or loss.</w:t>
            </w:r>
          </w:p>
          <w:p w14:paraId="7702964A" w14:textId="77777777" w:rsidR="00E6647F" w:rsidRPr="00E70587" w:rsidRDefault="00E6647F" w:rsidP="00E6647F">
            <w:pPr>
              <w:pStyle w:val="Notesbodytext"/>
              <w:spacing w:after="0" w:line="280" w:lineRule="exact"/>
              <w:jc w:val="both"/>
              <w:rPr>
                <w:rFonts w:ascii="Arial" w:hAnsi="Arial"/>
                <w:color w:val="auto"/>
                <w:sz w:val="20"/>
              </w:rPr>
            </w:pPr>
          </w:p>
          <w:p w14:paraId="394C7D2F" w14:textId="77777777" w:rsidR="00E6647F" w:rsidRPr="00E70587" w:rsidRDefault="00E6647F" w:rsidP="00E6647F">
            <w:pPr>
              <w:pStyle w:val="Notesbodytext"/>
              <w:spacing w:after="0" w:line="280" w:lineRule="exact"/>
              <w:jc w:val="both"/>
              <w:rPr>
                <w:rFonts w:ascii="Arial" w:hAnsi="Arial"/>
                <w:b/>
                <w:color w:val="auto"/>
                <w:sz w:val="20"/>
              </w:rPr>
            </w:pPr>
            <w:r w:rsidRPr="00E70587">
              <w:rPr>
                <w:rFonts w:ascii="Arial" w:hAnsi="Arial"/>
                <w:b/>
                <w:color w:val="auto"/>
                <w:sz w:val="20"/>
              </w:rPr>
              <w:t>Embedded derivatives</w:t>
            </w:r>
          </w:p>
          <w:p w14:paraId="466B47EB" w14:textId="77777777" w:rsidR="00E6647F" w:rsidRPr="00E70587" w:rsidRDefault="00E6647F" w:rsidP="00E6647F">
            <w:pPr>
              <w:pStyle w:val="Notesbodytext"/>
              <w:spacing w:after="0" w:line="280" w:lineRule="exact"/>
              <w:jc w:val="both"/>
              <w:rPr>
                <w:rFonts w:ascii="Arial" w:hAnsi="Arial"/>
                <w:color w:val="auto"/>
                <w:sz w:val="20"/>
              </w:rPr>
            </w:pPr>
          </w:p>
          <w:p w14:paraId="1CB2E607" w14:textId="77777777" w:rsidR="00E6647F" w:rsidRPr="00E70587" w:rsidRDefault="00E6647F" w:rsidP="00E6647F">
            <w:pPr>
              <w:pStyle w:val="Notesbodytext"/>
              <w:spacing w:after="0" w:line="280" w:lineRule="exact"/>
              <w:jc w:val="both"/>
              <w:rPr>
                <w:rFonts w:ascii="Arial" w:hAnsi="Arial"/>
                <w:color w:val="auto"/>
                <w:sz w:val="20"/>
              </w:rPr>
            </w:pPr>
            <w:r w:rsidRPr="00E70587">
              <w:rPr>
                <w:rFonts w:ascii="Arial" w:hAnsi="Arial"/>
                <w:color w:val="auto"/>
                <w:sz w:val="20"/>
              </w:rPr>
              <w:t>The Group entered into long-term sale contracts with customers in US. The functional currency of the customer is USD. The selling prices in these contracts are fixed and set in Canadian dollars (CAD). These contracts require physical delivery and will be held for the purpose of the delivery of the commodity in accordance with the buyers’ expected sale requirements. The contracts have embedded foreign exchange derivatives that are required to be separated.</w:t>
            </w:r>
          </w:p>
          <w:p w14:paraId="162F645A" w14:textId="77777777" w:rsidR="00E6647F" w:rsidRPr="00E70587" w:rsidRDefault="00E6647F" w:rsidP="00E6647F">
            <w:pPr>
              <w:pStyle w:val="Notesbodytext"/>
              <w:spacing w:after="0" w:line="280" w:lineRule="exact"/>
              <w:jc w:val="both"/>
              <w:rPr>
                <w:rFonts w:ascii="Arial" w:hAnsi="Arial"/>
                <w:color w:val="auto"/>
                <w:sz w:val="20"/>
              </w:rPr>
            </w:pPr>
          </w:p>
          <w:p w14:paraId="332980F3" w14:textId="77777777" w:rsidR="00E6647F" w:rsidRPr="00E70587" w:rsidRDefault="00E6647F" w:rsidP="00E6647F">
            <w:pPr>
              <w:pStyle w:val="Notesbodytext"/>
              <w:spacing w:after="0" w:line="280" w:lineRule="exact"/>
              <w:jc w:val="both"/>
              <w:rPr>
                <w:rFonts w:ascii="Arial" w:hAnsi="Arial"/>
                <w:color w:val="auto"/>
                <w:sz w:val="20"/>
              </w:rPr>
            </w:pPr>
            <w:r w:rsidRPr="00E70587">
              <w:rPr>
                <w:rFonts w:ascii="Arial" w:hAnsi="Arial"/>
                <w:color w:val="auto"/>
                <w:sz w:val="20"/>
              </w:rPr>
              <w:t>The Group also entered into various purchase contracts for brass and chrome (for which there is an active market) with a number of suppliers in South Africa and Russia. The prices in these purchase contracts are linked to the price of electricity. The contracts have embedded commodity swaps that are required to be separated. The embedded foreign currency and commodity derivatives have been separated and are carried at fair value through profit or loss.</w:t>
            </w:r>
          </w:p>
          <w:p w14:paraId="5A44C337" w14:textId="77777777" w:rsidR="00CF76D0" w:rsidRPr="00E70587" w:rsidRDefault="00CF76D0" w:rsidP="001A5495">
            <w:pPr>
              <w:pStyle w:val="Notesbodytext"/>
              <w:spacing w:after="0" w:line="280" w:lineRule="exact"/>
              <w:jc w:val="both"/>
              <w:rPr>
                <w:rFonts w:ascii="Arial" w:hAnsi="Arial"/>
                <w:color w:val="auto"/>
                <w:sz w:val="20"/>
              </w:rPr>
            </w:pPr>
          </w:p>
        </w:tc>
      </w:tr>
    </w:tbl>
    <w:p w14:paraId="37B1B7BE" w14:textId="77777777" w:rsidR="00D9764D" w:rsidRPr="00E70587" w:rsidRDefault="00D9764D" w:rsidP="009901E1">
      <w:pPr>
        <w:pStyle w:val="Notesitalicheading"/>
        <w:spacing w:line="280" w:lineRule="exact"/>
        <w:jc w:val="both"/>
        <w:rPr>
          <w:rFonts w:ascii="Arial" w:hAnsi="Arial"/>
          <w:b w:val="0"/>
          <w:i w:val="0"/>
          <w:color w:val="auto"/>
          <w:sz w:val="20"/>
        </w:rPr>
      </w:pPr>
    </w:p>
    <w:p w14:paraId="37E2BDC1" w14:textId="77777777" w:rsidR="00023EEB" w:rsidRPr="00E70587" w:rsidRDefault="00023EEB" w:rsidP="00023EEB">
      <w:pPr>
        <w:overflowPunct/>
        <w:autoSpaceDE/>
        <w:autoSpaceDN/>
        <w:adjustRightInd/>
        <w:spacing w:line="240" w:lineRule="auto"/>
        <w:jc w:val="both"/>
        <w:textAlignment w:val="auto"/>
        <w:rPr>
          <w:rFonts w:ascii="Arial" w:hAnsi="Arial" w:cs="Arial"/>
          <w:b/>
          <w:bCs/>
          <w:color w:val="000000"/>
          <w:sz w:val="20"/>
          <w:lang w:eastAsia="en-IN"/>
        </w:rPr>
      </w:pPr>
      <w:r w:rsidRPr="00E70587">
        <w:rPr>
          <w:rFonts w:ascii="Arial" w:hAnsi="Arial" w:cs="Arial"/>
          <w:b/>
          <w:bCs/>
          <w:color w:val="000000"/>
          <w:sz w:val="20"/>
          <w:szCs w:val="18"/>
          <w:lang w:eastAsia="en-IN"/>
        </w:rPr>
        <w:t>Break up of financial liabilities carried at amortised cost</w:t>
      </w:r>
    </w:p>
    <w:p w14:paraId="109664C4" w14:textId="77777777" w:rsidR="00023EEB" w:rsidRPr="00E70587" w:rsidRDefault="00023EEB" w:rsidP="009901E1">
      <w:pPr>
        <w:pStyle w:val="Notesitalicheading"/>
        <w:spacing w:line="280" w:lineRule="exact"/>
        <w:jc w:val="both"/>
        <w:rPr>
          <w:rFonts w:ascii="Arial" w:hAnsi="Arial"/>
          <w:b w:val="0"/>
          <w:i w:val="0"/>
          <w:color w:val="auto"/>
          <w:sz w:val="20"/>
        </w:rPr>
      </w:pPr>
    </w:p>
    <w:tbl>
      <w:tblPr>
        <w:tblW w:w="9498" w:type="dxa"/>
        <w:tblLook w:val="04A0" w:firstRow="1" w:lastRow="0" w:firstColumn="1" w:lastColumn="0" w:noHBand="0" w:noVBand="1"/>
      </w:tblPr>
      <w:tblGrid>
        <w:gridCol w:w="5954"/>
        <w:gridCol w:w="1772"/>
        <w:gridCol w:w="1772"/>
      </w:tblGrid>
      <w:tr w:rsidR="000A2ED4" w:rsidRPr="00E70587" w14:paraId="64D98596" w14:textId="77777777" w:rsidTr="00BB6300">
        <w:trPr>
          <w:trHeight w:val="270"/>
        </w:trPr>
        <w:tc>
          <w:tcPr>
            <w:tcW w:w="5954" w:type="dxa"/>
            <w:tcBorders>
              <w:top w:val="nil"/>
              <w:left w:val="nil"/>
              <w:bottom w:val="nil"/>
              <w:right w:val="nil"/>
            </w:tcBorders>
            <w:shd w:val="clear" w:color="auto" w:fill="auto"/>
            <w:vAlign w:val="center"/>
            <w:hideMark/>
          </w:tcPr>
          <w:p w14:paraId="74A469E6" w14:textId="77777777" w:rsidR="000A2ED4" w:rsidRPr="00E70587" w:rsidRDefault="000A2ED4" w:rsidP="000A2ED4">
            <w:pPr>
              <w:overflowPunct/>
              <w:autoSpaceDE/>
              <w:autoSpaceDN/>
              <w:adjustRightInd/>
              <w:spacing w:line="240" w:lineRule="auto"/>
              <w:jc w:val="right"/>
              <w:textAlignment w:val="auto"/>
              <w:rPr>
                <w:rFonts w:ascii="Arial" w:hAnsi="Arial" w:cs="Arial"/>
                <w:color w:val="000000"/>
                <w:sz w:val="20"/>
                <w:lang w:eastAsia="en-IN"/>
              </w:rPr>
            </w:pPr>
          </w:p>
        </w:tc>
        <w:tc>
          <w:tcPr>
            <w:tcW w:w="1772" w:type="dxa"/>
            <w:tcBorders>
              <w:top w:val="nil"/>
              <w:left w:val="nil"/>
              <w:bottom w:val="single" w:sz="8" w:space="0" w:color="000000"/>
              <w:right w:val="nil"/>
            </w:tcBorders>
            <w:shd w:val="clear" w:color="auto" w:fill="auto"/>
            <w:vAlign w:val="bottom"/>
            <w:hideMark/>
          </w:tcPr>
          <w:p w14:paraId="627F8D52" w14:textId="5DD06523" w:rsidR="000A2ED4" w:rsidRPr="00E70587" w:rsidRDefault="000A2ED4" w:rsidP="000A2ED4">
            <w:pPr>
              <w:overflowPunct/>
              <w:autoSpaceDE/>
              <w:autoSpaceDN/>
              <w:adjustRightInd/>
              <w:spacing w:line="240" w:lineRule="auto"/>
              <w:jc w:val="center"/>
              <w:textAlignment w:val="auto"/>
              <w:rPr>
                <w:rFonts w:ascii="Arial" w:hAnsi="Arial" w:cs="Arial"/>
                <w:b/>
                <w:bCs/>
                <w:color w:val="000000"/>
                <w:sz w:val="20"/>
                <w:lang w:eastAsia="en-IN"/>
              </w:rPr>
            </w:pPr>
            <w:r w:rsidRPr="00E70587">
              <w:rPr>
                <w:rFonts w:ascii="Arial" w:hAnsi="Arial"/>
                <w:b/>
                <w:sz w:val="20"/>
              </w:rPr>
              <w:t xml:space="preserve">31 March </w:t>
            </w:r>
            <w:r w:rsidR="00CB751A" w:rsidRPr="00E70587">
              <w:rPr>
                <w:rFonts w:ascii="Arial" w:hAnsi="Arial"/>
                <w:b/>
                <w:sz w:val="20"/>
              </w:rPr>
              <w:t>20</w:t>
            </w:r>
            <w:r w:rsidR="00CB751A">
              <w:rPr>
                <w:rFonts w:ascii="Arial" w:hAnsi="Arial"/>
                <w:b/>
                <w:sz w:val="20"/>
              </w:rPr>
              <w:t>21</w:t>
            </w:r>
          </w:p>
        </w:tc>
        <w:tc>
          <w:tcPr>
            <w:tcW w:w="1772" w:type="dxa"/>
            <w:tcBorders>
              <w:top w:val="nil"/>
              <w:left w:val="nil"/>
              <w:bottom w:val="single" w:sz="8" w:space="0" w:color="000000"/>
              <w:right w:val="nil"/>
            </w:tcBorders>
            <w:shd w:val="clear" w:color="auto" w:fill="auto"/>
            <w:vAlign w:val="bottom"/>
            <w:hideMark/>
          </w:tcPr>
          <w:p w14:paraId="525D6ADD" w14:textId="1EC4DD1D" w:rsidR="000A2ED4" w:rsidRPr="00E70587" w:rsidRDefault="000A2ED4" w:rsidP="000A2ED4">
            <w:pPr>
              <w:overflowPunct/>
              <w:autoSpaceDE/>
              <w:autoSpaceDN/>
              <w:adjustRightInd/>
              <w:spacing w:line="240" w:lineRule="auto"/>
              <w:jc w:val="center"/>
              <w:textAlignment w:val="auto"/>
              <w:rPr>
                <w:rFonts w:ascii="Arial" w:hAnsi="Arial" w:cs="Arial"/>
                <w:b/>
                <w:bCs/>
                <w:color w:val="000000"/>
                <w:sz w:val="20"/>
                <w:lang w:eastAsia="en-IN"/>
              </w:rPr>
            </w:pPr>
            <w:r w:rsidRPr="00E70587">
              <w:rPr>
                <w:rFonts w:ascii="Arial" w:hAnsi="Arial"/>
                <w:b/>
                <w:sz w:val="20"/>
              </w:rPr>
              <w:t xml:space="preserve">31 March </w:t>
            </w:r>
            <w:r w:rsidR="00CB751A" w:rsidRPr="00E70587">
              <w:rPr>
                <w:rFonts w:ascii="Arial" w:hAnsi="Arial"/>
                <w:b/>
                <w:sz w:val="20"/>
              </w:rPr>
              <w:t>20</w:t>
            </w:r>
            <w:r w:rsidR="00CB751A">
              <w:rPr>
                <w:rFonts w:ascii="Arial" w:hAnsi="Arial"/>
                <w:b/>
                <w:sz w:val="20"/>
              </w:rPr>
              <w:t>20</w:t>
            </w:r>
          </w:p>
        </w:tc>
      </w:tr>
      <w:tr w:rsidR="00330EAA" w:rsidRPr="00E70587" w14:paraId="40249A48" w14:textId="77777777" w:rsidTr="000A2ED4">
        <w:trPr>
          <w:trHeight w:val="270"/>
        </w:trPr>
        <w:tc>
          <w:tcPr>
            <w:tcW w:w="5954" w:type="dxa"/>
            <w:tcBorders>
              <w:top w:val="nil"/>
              <w:left w:val="nil"/>
              <w:bottom w:val="nil"/>
              <w:right w:val="nil"/>
            </w:tcBorders>
            <w:shd w:val="clear" w:color="auto" w:fill="auto"/>
            <w:vAlign w:val="center"/>
            <w:hideMark/>
          </w:tcPr>
          <w:p w14:paraId="07E6BB84" w14:textId="77777777" w:rsidR="00330EAA" w:rsidRPr="00E70587" w:rsidRDefault="00330EAA" w:rsidP="00023EEB">
            <w:pPr>
              <w:overflowPunct/>
              <w:autoSpaceDE/>
              <w:autoSpaceDN/>
              <w:adjustRightInd/>
              <w:spacing w:line="240" w:lineRule="auto"/>
              <w:jc w:val="right"/>
              <w:textAlignment w:val="auto"/>
              <w:rPr>
                <w:rFonts w:ascii="Arial" w:hAnsi="Arial" w:cs="Arial"/>
                <w:color w:val="000000"/>
                <w:sz w:val="20"/>
                <w:lang w:eastAsia="en-IN"/>
              </w:rPr>
            </w:pPr>
          </w:p>
        </w:tc>
        <w:tc>
          <w:tcPr>
            <w:tcW w:w="1772" w:type="dxa"/>
            <w:tcBorders>
              <w:top w:val="nil"/>
              <w:left w:val="nil"/>
              <w:bottom w:val="single" w:sz="8" w:space="0" w:color="000000"/>
              <w:right w:val="nil"/>
            </w:tcBorders>
            <w:shd w:val="clear" w:color="auto" w:fill="auto"/>
            <w:vAlign w:val="center"/>
            <w:hideMark/>
          </w:tcPr>
          <w:p w14:paraId="39B45945" w14:textId="77777777" w:rsidR="00330EAA" w:rsidRPr="00E70587" w:rsidRDefault="00330EAA" w:rsidP="00023EEB">
            <w:pPr>
              <w:overflowPunct/>
              <w:autoSpaceDE/>
              <w:autoSpaceDN/>
              <w:adjustRightInd/>
              <w:spacing w:line="240" w:lineRule="auto"/>
              <w:jc w:val="center"/>
              <w:textAlignment w:val="auto"/>
              <w:rPr>
                <w:rFonts w:ascii="Arial" w:hAnsi="Arial" w:cs="Arial"/>
                <w:b/>
                <w:color w:val="000000"/>
                <w:sz w:val="20"/>
                <w:lang w:eastAsia="en-IN"/>
              </w:rPr>
            </w:pPr>
            <w:r w:rsidRPr="00E70587">
              <w:rPr>
                <w:rFonts w:ascii="Arial" w:hAnsi="Arial" w:cs="Calibri"/>
                <w:b/>
                <w:color w:val="000000"/>
                <w:sz w:val="20"/>
                <w:szCs w:val="18"/>
                <w:lang w:val="en-US" w:eastAsia="en-IN"/>
              </w:rPr>
              <w:t>INR lacs</w:t>
            </w:r>
          </w:p>
        </w:tc>
        <w:tc>
          <w:tcPr>
            <w:tcW w:w="1772" w:type="dxa"/>
            <w:tcBorders>
              <w:top w:val="nil"/>
              <w:left w:val="nil"/>
              <w:bottom w:val="single" w:sz="8" w:space="0" w:color="000000"/>
              <w:right w:val="nil"/>
            </w:tcBorders>
            <w:shd w:val="clear" w:color="auto" w:fill="auto"/>
            <w:vAlign w:val="center"/>
            <w:hideMark/>
          </w:tcPr>
          <w:p w14:paraId="56D18D3F" w14:textId="77777777" w:rsidR="00330EAA" w:rsidRPr="00E70587" w:rsidRDefault="00330EAA" w:rsidP="00023EEB">
            <w:pPr>
              <w:overflowPunct/>
              <w:autoSpaceDE/>
              <w:autoSpaceDN/>
              <w:adjustRightInd/>
              <w:spacing w:line="240" w:lineRule="auto"/>
              <w:jc w:val="center"/>
              <w:textAlignment w:val="auto"/>
              <w:rPr>
                <w:rFonts w:ascii="Arial" w:hAnsi="Arial" w:cs="Arial"/>
                <w:b/>
                <w:color w:val="000000"/>
                <w:sz w:val="20"/>
                <w:lang w:eastAsia="en-IN"/>
              </w:rPr>
            </w:pPr>
            <w:r w:rsidRPr="00E70587">
              <w:rPr>
                <w:rFonts w:ascii="Arial" w:hAnsi="Arial" w:cs="Calibri"/>
                <w:b/>
                <w:color w:val="000000"/>
                <w:sz w:val="20"/>
                <w:szCs w:val="18"/>
                <w:lang w:val="en-US" w:eastAsia="en-IN"/>
              </w:rPr>
              <w:t>INR lacs</w:t>
            </w:r>
          </w:p>
        </w:tc>
      </w:tr>
      <w:tr w:rsidR="00330EAA" w:rsidRPr="00E70587" w14:paraId="3E80E99E" w14:textId="77777777" w:rsidTr="000A2ED4">
        <w:trPr>
          <w:trHeight w:val="255"/>
        </w:trPr>
        <w:tc>
          <w:tcPr>
            <w:tcW w:w="5954" w:type="dxa"/>
            <w:tcBorders>
              <w:top w:val="nil"/>
              <w:left w:val="nil"/>
              <w:bottom w:val="nil"/>
              <w:right w:val="nil"/>
            </w:tcBorders>
            <w:shd w:val="clear" w:color="auto" w:fill="auto"/>
            <w:vAlign w:val="center"/>
            <w:hideMark/>
          </w:tcPr>
          <w:p w14:paraId="573F8150" w14:textId="77777777" w:rsidR="00330EAA" w:rsidRPr="00E70587" w:rsidRDefault="00330EAA" w:rsidP="00023EEB">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szCs w:val="18"/>
                <w:lang w:eastAsia="en-IN"/>
              </w:rPr>
              <w:t>Borrowings (non-current) (note 14)</w:t>
            </w:r>
          </w:p>
        </w:tc>
        <w:tc>
          <w:tcPr>
            <w:tcW w:w="1772" w:type="dxa"/>
            <w:tcBorders>
              <w:top w:val="nil"/>
              <w:left w:val="nil"/>
              <w:bottom w:val="nil"/>
              <w:right w:val="nil"/>
            </w:tcBorders>
            <w:shd w:val="clear" w:color="auto" w:fill="auto"/>
            <w:vAlign w:val="center"/>
            <w:hideMark/>
          </w:tcPr>
          <w:p w14:paraId="3A50CD01" w14:textId="5BE098D4" w:rsidR="00330EAA" w:rsidRPr="00E70587" w:rsidRDefault="00330EAA" w:rsidP="00023EE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Calibri"/>
                <w:color w:val="000000"/>
                <w:sz w:val="20"/>
                <w:szCs w:val="18"/>
                <w:lang w:val="en-US" w:eastAsia="en-IN"/>
              </w:rPr>
              <w:t>3</w:t>
            </w:r>
            <w:r w:rsidR="00B7658C">
              <w:rPr>
                <w:rFonts w:ascii="Arial" w:hAnsi="Arial" w:cs="Calibri"/>
                <w:color w:val="000000"/>
                <w:sz w:val="20"/>
                <w:szCs w:val="18"/>
                <w:lang w:val="en-US" w:eastAsia="en-IN"/>
              </w:rPr>
              <w:t>9</w:t>
            </w:r>
            <w:r w:rsidRPr="00E70587">
              <w:rPr>
                <w:rFonts w:ascii="Arial" w:hAnsi="Arial" w:cs="Calibri"/>
                <w:color w:val="000000"/>
                <w:sz w:val="20"/>
                <w:szCs w:val="18"/>
                <w:lang w:val="en-US" w:eastAsia="en-IN"/>
              </w:rPr>
              <w:t>,</w:t>
            </w:r>
            <w:r w:rsidR="00B7658C">
              <w:rPr>
                <w:rFonts w:ascii="Arial" w:hAnsi="Arial" w:cs="Calibri"/>
                <w:color w:val="000000"/>
                <w:sz w:val="20"/>
                <w:szCs w:val="18"/>
                <w:lang w:val="en-US" w:eastAsia="en-IN"/>
              </w:rPr>
              <w:t>865</w:t>
            </w:r>
          </w:p>
        </w:tc>
        <w:tc>
          <w:tcPr>
            <w:tcW w:w="1772" w:type="dxa"/>
            <w:tcBorders>
              <w:top w:val="nil"/>
              <w:left w:val="nil"/>
              <w:bottom w:val="nil"/>
              <w:right w:val="nil"/>
            </w:tcBorders>
            <w:shd w:val="clear" w:color="auto" w:fill="auto"/>
            <w:vAlign w:val="center"/>
            <w:hideMark/>
          </w:tcPr>
          <w:p w14:paraId="48D56B44" w14:textId="76D09C65" w:rsidR="00330EAA" w:rsidRPr="00E70587" w:rsidRDefault="00B7658C" w:rsidP="00023EEB">
            <w:pPr>
              <w:overflowPunct/>
              <w:autoSpaceDE/>
              <w:autoSpaceDN/>
              <w:adjustRightInd/>
              <w:spacing w:line="240" w:lineRule="auto"/>
              <w:jc w:val="right"/>
              <w:textAlignment w:val="auto"/>
              <w:rPr>
                <w:rFonts w:ascii="Arial" w:hAnsi="Arial" w:cs="Arial"/>
                <w:color w:val="000000"/>
                <w:sz w:val="20"/>
                <w:lang w:eastAsia="en-IN"/>
              </w:rPr>
            </w:pPr>
            <w:r>
              <w:rPr>
                <w:rFonts w:ascii="Arial" w:hAnsi="Arial" w:cs="Calibri"/>
                <w:color w:val="000000"/>
                <w:sz w:val="20"/>
                <w:szCs w:val="18"/>
                <w:lang w:val="en-US" w:eastAsia="en-IN"/>
              </w:rPr>
              <w:t>41</w:t>
            </w:r>
            <w:r w:rsidR="00330EAA" w:rsidRPr="00E70587">
              <w:rPr>
                <w:rFonts w:ascii="Arial" w:hAnsi="Arial" w:cs="Calibri"/>
                <w:color w:val="000000"/>
                <w:sz w:val="20"/>
                <w:szCs w:val="18"/>
                <w:lang w:val="en-US" w:eastAsia="en-IN"/>
              </w:rPr>
              <w:t>,</w:t>
            </w:r>
            <w:r>
              <w:rPr>
                <w:rFonts w:ascii="Arial" w:hAnsi="Arial" w:cs="Calibri"/>
                <w:color w:val="000000"/>
                <w:sz w:val="20"/>
                <w:szCs w:val="18"/>
                <w:lang w:val="en-US" w:eastAsia="en-IN"/>
              </w:rPr>
              <w:t>963</w:t>
            </w:r>
          </w:p>
        </w:tc>
      </w:tr>
      <w:tr w:rsidR="00CB751A" w:rsidRPr="00E70587" w14:paraId="39E8D984" w14:textId="77777777" w:rsidTr="000A2ED4">
        <w:trPr>
          <w:trHeight w:val="255"/>
        </w:trPr>
        <w:tc>
          <w:tcPr>
            <w:tcW w:w="5954" w:type="dxa"/>
            <w:tcBorders>
              <w:top w:val="nil"/>
              <w:left w:val="nil"/>
              <w:bottom w:val="nil"/>
              <w:right w:val="nil"/>
            </w:tcBorders>
            <w:shd w:val="clear" w:color="auto" w:fill="auto"/>
            <w:vAlign w:val="center"/>
          </w:tcPr>
          <w:p w14:paraId="583DFDBC" w14:textId="2C75B5C3" w:rsidR="00CB751A" w:rsidRPr="00E70587" w:rsidRDefault="00CB751A" w:rsidP="00023EEB">
            <w:pPr>
              <w:overflowPunct/>
              <w:autoSpaceDE/>
              <w:autoSpaceDN/>
              <w:adjustRightInd/>
              <w:spacing w:line="240" w:lineRule="auto"/>
              <w:textAlignment w:val="auto"/>
              <w:rPr>
                <w:rFonts w:ascii="Arial" w:hAnsi="Arial" w:cs="Arial"/>
                <w:color w:val="000000"/>
                <w:sz w:val="20"/>
                <w:szCs w:val="18"/>
                <w:lang w:eastAsia="en-IN"/>
              </w:rPr>
            </w:pPr>
            <w:r>
              <w:rPr>
                <w:rFonts w:ascii="Arial" w:hAnsi="Arial" w:cs="Arial"/>
                <w:color w:val="000000"/>
                <w:sz w:val="20"/>
                <w:szCs w:val="18"/>
                <w:lang w:eastAsia="en-IN"/>
              </w:rPr>
              <w:t xml:space="preserve">Non-current lease liabilities (note </w:t>
            </w:r>
            <w:r w:rsidR="006114BA">
              <w:rPr>
                <w:rFonts w:ascii="Arial" w:hAnsi="Arial" w:cs="Arial"/>
                <w:color w:val="000000"/>
                <w:sz w:val="20"/>
                <w:szCs w:val="18"/>
                <w:lang w:eastAsia="en-IN"/>
              </w:rPr>
              <w:t>42</w:t>
            </w:r>
            <w:r>
              <w:rPr>
                <w:rFonts w:ascii="Arial" w:hAnsi="Arial" w:cs="Arial"/>
                <w:color w:val="000000"/>
                <w:sz w:val="20"/>
                <w:szCs w:val="18"/>
                <w:lang w:eastAsia="en-IN"/>
              </w:rPr>
              <w:t>)</w:t>
            </w:r>
          </w:p>
        </w:tc>
        <w:tc>
          <w:tcPr>
            <w:tcW w:w="1772" w:type="dxa"/>
            <w:tcBorders>
              <w:top w:val="nil"/>
              <w:left w:val="nil"/>
              <w:bottom w:val="nil"/>
              <w:right w:val="nil"/>
            </w:tcBorders>
            <w:shd w:val="clear" w:color="auto" w:fill="auto"/>
            <w:vAlign w:val="center"/>
          </w:tcPr>
          <w:p w14:paraId="5D3BFAAC" w14:textId="40464905" w:rsidR="00CB751A" w:rsidRPr="00E70587" w:rsidRDefault="0092208F" w:rsidP="00023EEB">
            <w:pPr>
              <w:overflowPunct/>
              <w:autoSpaceDE/>
              <w:autoSpaceDN/>
              <w:adjustRightInd/>
              <w:spacing w:line="240" w:lineRule="auto"/>
              <w:jc w:val="right"/>
              <w:textAlignment w:val="auto"/>
              <w:rPr>
                <w:rFonts w:ascii="Arial" w:hAnsi="Arial" w:cs="Calibri"/>
                <w:color w:val="000000"/>
                <w:sz w:val="20"/>
                <w:szCs w:val="18"/>
                <w:lang w:val="en-US" w:eastAsia="en-IN"/>
              </w:rPr>
            </w:pPr>
            <w:r>
              <w:rPr>
                <w:rFonts w:ascii="Arial" w:hAnsi="Arial" w:cs="Calibri"/>
                <w:color w:val="000000"/>
                <w:sz w:val="20"/>
                <w:szCs w:val="18"/>
                <w:lang w:val="en-US" w:eastAsia="en-IN"/>
              </w:rPr>
              <w:t>4,871</w:t>
            </w:r>
          </w:p>
        </w:tc>
        <w:tc>
          <w:tcPr>
            <w:tcW w:w="1772" w:type="dxa"/>
            <w:tcBorders>
              <w:top w:val="nil"/>
              <w:left w:val="nil"/>
              <w:bottom w:val="nil"/>
              <w:right w:val="nil"/>
            </w:tcBorders>
            <w:shd w:val="clear" w:color="auto" w:fill="auto"/>
            <w:vAlign w:val="center"/>
          </w:tcPr>
          <w:p w14:paraId="610C8F78" w14:textId="44C3708A" w:rsidR="00CB751A" w:rsidRPr="00E70587" w:rsidRDefault="0092208F" w:rsidP="00023EEB">
            <w:pPr>
              <w:overflowPunct/>
              <w:autoSpaceDE/>
              <w:autoSpaceDN/>
              <w:adjustRightInd/>
              <w:spacing w:line="240" w:lineRule="auto"/>
              <w:jc w:val="right"/>
              <w:textAlignment w:val="auto"/>
              <w:rPr>
                <w:rFonts w:ascii="Arial" w:hAnsi="Arial" w:cs="Calibri"/>
                <w:color w:val="000000"/>
                <w:sz w:val="20"/>
                <w:szCs w:val="18"/>
                <w:lang w:val="en-US" w:eastAsia="en-IN"/>
              </w:rPr>
            </w:pPr>
            <w:r>
              <w:rPr>
                <w:rFonts w:ascii="Arial" w:hAnsi="Arial" w:cs="Calibri"/>
                <w:color w:val="000000"/>
                <w:sz w:val="20"/>
                <w:szCs w:val="18"/>
                <w:lang w:val="en-US" w:eastAsia="en-IN"/>
              </w:rPr>
              <w:t>4,595</w:t>
            </w:r>
          </w:p>
        </w:tc>
      </w:tr>
      <w:tr w:rsidR="00330EAA" w:rsidRPr="00E70587" w14:paraId="0B107D5E" w14:textId="77777777" w:rsidTr="000A2ED4">
        <w:trPr>
          <w:trHeight w:val="255"/>
        </w:trPr>
        <w:tc>
          <w:tcPr>
            <w:tcW w:w="5954" w:type="dxa"/>
            <w:tcBorders>
              <w:top w:val="nil"/>
              <w:left w:val="nil"/>
              <w:bottom w:val="nil"/>
              <w:right w:val="nil"/>
            </w:tcBorders>
            <w:shd w:val="clear" w:color="auto" w:fill="auto"/>
            <w:vAlign w:val="center"/>
            <w:hideMark/>
          </w:tcPr>
          <w:p w14:paraId="728F2B09" w14:textId="77777777" w:rsidR="00330EAA" w:rsidRPr="00E70587" w:rsidRDefault="00330EAA" w:rsidP="00023EEB">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szCs w:val="18"/>
                <w:lang w:eastAsia="en-IN"/>
              </w:rPr>
              <w:t>Borrowings (current) (note 14)</w:t>
            </w:r>
          </w:p>
        </w:tc>
        <w:tc>
          <w:tcPr>
            <w:tcW w:w="1772" w:type="dxa"/>
            <w:tcBorders>
              <w:top w:val="nil"/>
              <w:left w:val="nil"/>
              <w:bottom w:val="nil"/>
              <w:right w:val="nil"/>
            </w:tcBorders>
            <w:shd w:val="clear" w:color="auto" w:fill="auto"/>
            <w:vAlign w:val="center"/>
            <w:hideMark/>
          </w:tcPr>
          <w:p w14:paraId="7972F3E6" w14:textId="77777777" w:rsidR="00330EAA" w:rsidRPr="00E70587" w:rsidRDefault="00330EAA" w:rsidP="00023EE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Calibri"/>
                <w:color w:val="000000"/>
                <w:sz w:val="20"/>
                <w:szCs w:val="18"/>
                <w:lang w:val="en-US" w:eastAsia="en-IN"/>
              </w:rPr>
              <w:t>1,739</w:t>
            </w:r>
          </w:p>
        </w:tc>
        <w:tc>
          <w:tcPr>
            <w:tcW w:w="1772" w:type="dxa"/>
            <w:tcBorders>
              <w:top w:val="nil"/>
              <w:left w:val="nil"/>
              <w:bottom w:val="nil"/>
              <w:right w:val="nil"/>
            </w:tcBorders>
            <w:shd w:val="clear" w:color="auto" w:fill="auto"/>
            <w:vAlign w:val="center"/>
            <w:hideMark/>
          </w:tcPr>
          <w:p w14:paraId="4A03B3AB" w14:textId="77777777" w:rsidR="00330EAA" w:rsidRPr="00E70587" w:rsidRDefault="00330EAA" w:rsidP="00023EE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Calibri"/>
                <w:color w:val="000000"/>
                <w:sz w:val="20"/>
                <w:szCs w:val="18"/>
                <w:lang w:val="en-US" w:eastAsia="en-IN"/>
              </w:rPr>
              <w:t>4,770</w:t>
            </w:r>
          </w:p>
        </w:tc>
      </w:tr>
      <w:tr w:rsidR="00330EAA" w:rsidRPr="00E70587" w14:paraId="38482FD3" w14:textId="77777777" w:rsidTr="000A2ED4">
        <w:trPr>
          <w:trHeight w:val="255"/>
        </w:trPr>
        <w:tc>
          <w:tcPr>
            <w:tcW w:w="5954" w:type="dxa"/>
            <w:tcBorders>
              <w:top w:val="nil"/>
              <w:left w:val="nil"/>
              <w:bottom w:val="nil"/>
              <w:right w:val="nil"/>
            </w:tcBorders>
            <w:shd w:val="clear" w:color="auto" w:fill="auto"/>
            <w:vAlign w:val="center"/>
            <w:hideMark/>
          </w:tcPr>
          <w:p w14:paraId="12A63540" w14:textId="53D148B2" w:rsidR="00330EAA" w:rsidRPr="00E70587" w:rsidRDefault="00330EAA" w:rsidP="00023EEB">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val="en-US" w:eastAsia="en-IN"/>
              </w:rPr>
              <w:t>Current maturity of long</w:t>
            </w:r>
            <w:r w:rsidR="00EF724C">
              <w:rPr>
                <w:rFonts w:ascii="Arial" w:hAnsi="Arial" w:cs="Arial"/>
                <w:color w:val="000000"/>
                <w:sz w:val="20"/>
                <w:lang w:val="en-US" w:eastAsia="en-IN"/>
              </w:rPr>
              <w:t>-</w:t>
            </w:r>
            <w:r w:rsidRPr="00E70587">
              <w:rPr>
                <w:rFonts w:ascii="Arial" w:hAnsi="Arial" w:cs="Arial"/>
                <w:color w:val="000000"/>
                <w:sz w:val="20"/>
                <w:lang w:val="en-US" w:eastAsia="en-IN"/>
              </w:rPr>
              <w:t>term loans (note 14)</w:t>
            </w:r>
          </w:p>
        </w:tc>
        <w:tc>
          <w:tcPr>
            <w:tcW w:w="1772" w:type="dxa"/>
            <w:tcBorders>
              <w:top w:val="nil"/>
              <w:left w:val="nil"/>
              <w:bottom w:val="nil"/>
              <w:right w:val="nil"/>
            </w:tcBorders>
            <w:shd w:val="clear" w:color="auto" w:fill="auto"/>
            <w:vAlign w:val="center"/>
            <w:hideMark/>
          </w:tcPr>
          <w:p w14:paraId="0D559146" w14:textId="77777777" w:rsidR="00330EAA" w:rsidRPr="00E70587" w:rsidRDefault="00330EAA" w:rsidP="00023EE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szCs w:val="18"/>
                <w:lang w:val="en-US" w:eastAsia="en-IN"/>
              </w:rPr>
              <w:t>2,540</w:t>
            </w:r>
          </w:p>
        </w:tc>
        <w:tc>
          <w:tcPr>
            <w:tcW w:w="1772" w:type="dxa"/>
            <w:tcBorders>
              <w:top w:val="nil"/>
              <w:left w:val="nil"/>
              <w:bottom w:val="nil"/>
              <w:right w:val="nil"/>
            </w:tcBorders>
            <w:shd w:val="clear" w:color="auto" w:fill="auto"/>
            <w:vAlign w:val="center"/>
            <w:hideMark/>
          </w:tcPr>
          <w:p w14:paraId="26B2E6AD" w14:textId="77777777" w:rsidR="00330EAA" w:rsidRPr="00E70587" w:rsidRDefault="00330EAA" w:rsidP="00023EE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szCs w:val="18"/>
                <w:lang w:val="en-US" w:eastAsia="en-IN"/>
              </w:rPr>
              <w:t>133</w:t>
            </w:r>
          </w:p>
        </w:tc>
      </w:tr>
      <w:tr w:rsidR="00330EAA" w:rsidRPr="00E70587" w14:paraId="5E5658D7" w14:textId="77777777" w:rsidTr="000A2ED4">
        <w:trPr>
          <w:trHeight w:val="255"/>
        </w:trPr>
        <w:tc>
          <w:tcPr>
            <w:tcW w:w="5954" w:type="dxa"/>
            <w:tcBorders>
              <w:top w:val="nil"/>
              <w:left w:val="nil"/>
              <w:bottom w:val="nil"/>
              <w:right w:val="nil"/>
            </w:tcBorders>
            <w:shd w:val="clear" w:color="auto" w:fill="auto"/>
            <w:vAlign w:val="center"/>
            <w:hideMark/>
          </w:tcPr>
          <w:p w14:paraId="445F753D" w14:textId="51B083C7" w:rsidR="00330EAA" w:rsidRPr="00E70587" w:rsidRDefault="00330EAA" w:rsidP="00023EEB">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val="en-US" w:eastAsia="en-IN"/>
              </w:rPr>
              <w:t xml:space="preserve">Current lease </w:t>
            </w:r>
            <w:r w:rsidR="00DA6416">
              <w:rPr>
                <w:rFonts w:ascii="Arial" w:hAnsi="Arial" w:cs="Arial"/>
                <w:color w:val="000000"/>
                <w:sz w:val="20"/>
                <w:lang w:val="en-US" w:eastAsia="en-IN"/>
              </w:rPr>
              <w:t xml:space="preserve">liabilities </w:t>
            </w:r>
            <w:r w:rsidRPr="00E70587">
              <w:rPr>
                <w:rFonts w:ascii="Arial" w:hAnsi="Arial" w:cs="Arial"/>
                <w:color w:val="000000"/>
                <w:sz w:val="20"/>
                <w:lang w:val="en-US" w:eastAsia="en-IN"/>
              </w:rPr>
              <w:t xml:space="preserve">(note </w:t>
            </w:r>
            <w:r w:rsidR="006114BA">
              <w:rPr>
                <w:rFonts w:ascii="Arial" w:hAnsi="Arial" w:cs="Arial"/>
                <w:color w:val="000000"/>
                <w:sz w:val="20"/>
                <w:lang w:val="en-US" w:eastAsia="en-IN"/>
              </w:rPr>
              <w:t>42</w:t>
            </w:r>
            <w:r w:rsidRPr="00E70587">
              <w:rPr>
                <w:rFonts w:ascii="Arial" w:hAnsi="Arial" w:cs="Arial"/>
                <w:color w:val="000000"/>
                <w:sz w:val="20"/>
                <w:lang w:val="en-US" w:eastAsia="en-IN"/>
              </w:rPr>
              <w:t>)</w:t>
            </w:r>
          </w:p>
        </w:tc>
        <w:tc>
          <w:tcPr>
            <w:tcW w:w="1772" w:type="dxa"/>
            <w:tcBorders>
              <w:top w:val="nil"/>
              <w:left w:val="nil"/>
              <w:bottom w:val="nil"/>
              <w:right w:val="nil"/>
            </w:tcBorders>
            <w:shd w:val="clear" w:color="auto" w:fill="auto"/>
            <w:vAlign w:val="center"/>
            <w:hideMark/>
          </w:tcPr>
          <w:p w14:paraId="1D2178DC" w14:textId="7BBC564F" w:rsidR="00330EAA" w:rsidRPr="00E70587" w:rsidRDefault="0092208F" w:rsidP="00023EEB">
            <w:pPr>
              <w:overflowPunct/>
              <w:autoSpaceDE/>
              <w:autoSpaceDN/>
              <w:adjustRightInd/>
              <w:spacing w:line="240" w:lineRule="auto"/>
              <w:jc w:val="right"/>
              <w:textAlignment w:val="auto"/>
              <w:rPr>
                <w:rFonts w:ascii="Arial" w:hAnsi="Arial" w:cs="Arial"/>
                <w:color w:val="000000"/>
                <w:sz w:val="20"/>
                <w:lang w:eastAsia="en-IN"/>
              </w:rPr>
            </w:pPr>
            <w:r>
              <w:rPr>
                <w:rFonts w:ascii="Arial" w:hAnsi="Arial" w:cs="Arial"/>
                <w:color w:val="000000"/>
                <w:sz w:val="20"/>
                <w:lang w:eastAsia="en-IN"/>
              </w:rPr>
              <w:t>819</w:t>
            </w:r>
            <w:r w:rsidR="00330EAA" w:rsidRPr="00E70587">
              <w:rPr>
                <w:rFonts w:ascii="Arial" w:hAnsi="Arial" w:cs="Arial"/>
                <w:color w:val="000000"/>
                <w:sz w:val="20"/>
                <w:lang w:eastAsia="en-IN"/>
              </w:rPr>
              <w:t xml:space="preserve"> </w:t>
            </w:r>
          </w:p>
        </w:tc>
        <w:tc>
          <w:tcPr>
            <w:tcW w:w="1772" w:type="dxa"/>
            <w:tcBorders>
              <w:top w:val="nil"/>
              <w:left w:val="nil"/>
              <w:bottom w:val="nil"/>
              <w:right w:val="nil"/>
            </w:tcBorders>
            <w:shd w:val="clear" w:color="auto" w:fill="auto"/>
            <w:vAlign w:val="center"/>
            <w:hideMark/>
          </w:tcPr>
          <w:p w14:paraId="28263F47" w14:textId="03481FEC" w:rsidR="00330EAA" w:rsidRPr="00E70587" w:rsidRDefault="0092208F" w:rsidP="00023EEB">
            <w:pPr>
              <w:overflowPunct/>
              <w:autoSpaceDE/>
              <w:autoSpaceDN/>
              <w:adjustRightInd/>
              <w:spacing w:line="240" w:lineRule="auto"/>
              <w:jc w:val="right"/>
              <w:textAlignment w:val="auto"/>
              <w:rPr>
                <w:rFonts w:ascii="Arial" w:hAnsi="Arial" w:cs="Arial"/>
                <w:color w:val="000000"/>
                <w:sz w:val="20"/>
                <w:lang w:eastAsia="en-IN"/>
              </w:rPr>
            </w:pPr>
            <w:r>
              <w:rPr>
                <w:rFonts w:ascii="Arial" w:hAnsi="Arial" w:cs="Arial"/>
                <w:color w:val="000000"/>
                <w:sz w:val="20"/>
                <w:lang w:eastAsia="en-IN"/>
              </w:rPr>
              <w:t>753</w:t>
            </w:r>
            <w:r w:rsidR="00330EAA" w:rsidRPr="00E70587">
              <w:rPr>
                <w:rFonts w:ascii="Arial" w:hAnsi="Arial" w:cs="Arial"/>
                <w:color w:val="000000"/>
                <w:sz w:val="20"/>
                <w:lang w:eastAsia="en-IN"/>
              </w:rPr>
              <w:t xml:space="preserve"> </w:t>
            </w:r>
          </w:p>
        </w:tc>
      </w:tr>
      <w:tr w:rsidR="00330EAA" w:rsidRPr="00E70587" w14:paraId="49A2E294" w14:textId="77777777" w:rsidTr="000A2ED4">
        <w:trPr>
          <w:trHeight w:val="255"/>
        </w:trPr>
        <w:tc>
          <w:tcPr>
            <w:tcW w:w="5954" w:type="dxa"/>
            <w:tcBorders>
              <w:top w:val="nil"/>
              <w:left w:val="nil"/>
              <w:bottom w:val="nil"/>
              <w:right w:val="nil"/>
            </w:tcBorders>
            <w:shd w:val="clear" w:color="auto" w:fill="auto"/>
            <w:vAlign w:val="center"/>
            <w:hideMark/>
          </w:tcPr>
          <w:p w14:paraId="319B05F9" w14:textId="77777777" w:rsidR="00330EAA" w:rsidRPr="00E70587" w:rsidRDefault="00330EAA" w:rsidP="00023EEB">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szCs w:val="18"/>
                <w:lang w:eastAsia="en-IN"/>
              </w:rPr>
              <w:t>Trade payables (note 20A)</w:t>
            </w:r>
          </w:p>
        </w:tc>
        <w:tc>
          <w:tcPr>
            <w:tcW w:w="1772" w:type="dxa"/>
            <w:tcBorders>
              <w:top w:val="nil"/>
              <w:left w:val="nil"/>
              <w:bottom w:val="nil"/>
              <w:right w:val="nil"/>
            </w:tcBorders>
            <w:shd w:val="clear" w:color="auto" w:fill="auto"/>
            <w:vAlign w:val="center"/>
            <w:hideMark/>
          </w:tcPr>
          <w:p w14:paraId="23410171" w14:textId="77777777" w:rsidR="00330EAA" w:rsidRPr="00E70587" w:rsidRDefault="00315CA4" w:rsidP="00315CA4">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Calibri"/>
                <w:color w:val="000000"/>
                <w:sz w:val="20"/>
                <w:szCs w:val="18"/>
                <w:lang w:val="en-US" w:eastAsia="en-IN"/>
              </w:rPr>
              <w:t>27</w:t>
            </w:r>
            <w:r w:rsidR="00330EAA" w:rsidRPr="00E70587">
              <w:rPr>
                <w:rFonts w:ascii="Arial" w:hAnsi="Arial" w:cs="Calibri"/>
                <w:color w:val="000000"/>
                <w:sz w:val="20"/>
                <w:szCs w:val="18"/>
                <w:lang w:val="en-US" w:eastAsia="en-IN"/>
              </w:rPr>
              <w:t>,</w:t>
            </w:r>
            <w:r w:rsidRPr="00E70587">
              <w:rPr>
                <w:rFonts w:ascii="Arial" w:hAnsi="Arial" w:cs="Calibri"/>
                <w:color w:val="000000"/>
                <w:sz w:val="20"/>
                <w:szCs w:val="18"/>
                <w:lang w:val="en-US" w:eastAsia="en-IN"/>
              </w:rPr>
              <w:t>866</w:t>
            </w:r>
          </w:p>
        </w:tc>
        <w:tc>
          <w:tcPr>
            <w:tcW w:w="1772" w:type="dxa"/>
            <w:tcBorders>
              <w:top w:val="nil"/>
              <w:left w:val="nil"/>
              <w:bottom w:val="nil"/>
              <w:right w:val="nil"/>
            </w:tcBorders>
            <w:shd w:val="clear" w:color="auto" w:fill="auto"/>
            <w:vAlign w:val="center"/>
            <w:hideMark/>
          </w:tcPr>
          <w:p w14:paraId="0FE119AE" w14:textId="77777777" w:rsidR="00330EAA" w:rsidRPr="00E70587" w:rsidRDefault="00315CA4" w:rsidP="00315CA4">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Calibri"/>
                <w:color w:val="000000"/>
                <w:sz w:val="20"/>
                <w:szCs w:val="18"/>
                <w:lang w:val="en-US" w:eastAsia="en-IN"/>
              </w:rPr>
              <w:t>30</w:t>
            </w:r>
            <w:r w:rsidR="00330EAA" w:rsidRPr="00E70587">
              <w:rPr>
                <w:rFonts w:ascii="Arial" w:hAnsi="Arial" w:cs="Calibri"/>
                <w:color w:val="000000"/>
                <w:sz w:val="20"/>
                <w:szCs w:val="18"/>
                <w:lang w:val="en-US" w:eastAsia="en-IN"/>
              </w:rPr>
              <w:t>,</w:t>
            </w:r>
            <w:r w:rsidRPr="00E70587">
              <w:rPr>
                <w:rFonts w:ascii="Arial" w:hAnsi="Arial" w:cs="Calibri"/>
                <w:color w:val="000000"/>
                <w:sz w:val="20"/>
                <w:szCs w:val="18"/>
                <w:lang w:val="en-US" w:eastAsia="en-IN"/>
              </w:rPr>
              <w:t>168</w:t>
            </w:r>
          </w:p>
        </w:tc>
      </w:tr>
      <w:tr w:rsidR="00330EAA" w:rsidRPr="00E70587" w14:paraId="747ADF54" w14:textId="77777777" w:rsidTr="000A2ED4">
        <w:trPr>
          <w:trHeight w:val="270"/>
        </w:trPr>
        <w:tc>
          <w:tcPr>
            <w:tcW w:w="5954" w:type="dxa"/>
            <w:tcBorders>
              <w:top w:val="nil"/>
              <w:left w:val="nil"/>
              <w:bottom w:val="nil"/>
              <w:right w:val="nil"/>
            </w:tcBorders>
            <w:shd w:val="clear" w:color="auto" w:fill="auto"/>
            <w:vAlign w:val="center"/>
            <w:hideMark/>
          </w:tcPr>
          <w:p w14:paraId="08DB34B7" w14:textId="77777777" w:rsidR="00330EAA" w:rsidRPr="00E70587" w:rsidRDefault="00330EAA" w:rsidP="00023EEB">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szCs w:val="18"/>
                <w:lang w:eastAsia="en-IN"/>
              </w:rPr>
              <w:t>Other Payables (Note 20B)</w:t>
            </w:r>
          </w:p>
        </w:tc>
        <w:tc>
          <w:tcPr>
            <w:tcW w:w="1772" w:type="dxa"/>
            <w:tcBorders>
              <w:top w:val="nil"/>
              <w:left w:val="nil"/>
              <w:bottom w:val="single" w:sz="8" w:space="0" w:color="auto"/>
              <w:right w:val="nil"/>
            </w:tcBorders>
            <w:shd w:val="clear" w:color="auto" w:fill="auto"/>
            <w:vAlign w:val="center"/>
            <w:hideMark/>
          </w:tcPr>
          <w:p w14:paraId="5C820800" w14:textId="77777777" w:rsidR="00330EAA" w:rsidRPr="00E70587" w:rsidRDefault="00330EAA" w:rsidP="00315CA4">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szCs w:val="18"/>
                <w:lang w:val="en-US" w:eastAsia="en-IN"/>
              </w:rPr>
              <w:t>3,</w:t>
            </w:r>
            <w:r w:rsidR="00315CA4" w:rsidRPr="00E70587">
              <w:rPr>
                <w:rFonts w:ascii="Arial" w:hAnsi="Arial" w:cs="Arial"/>
                <w:color w:val="000000"/>
                <w:sz w:val="20"/>
                <w:szCs w:val="18"/>
                <w:lang w:val="en-US" w:eastAsia="en-IN"/>
              </w:rPr>
              <w:t>376</w:t>
            </w:r>
          </w:p>
        </w:tc>
        <w:tc>
          <w:tcPr>
            <w:tcW w:w="1772" w:type="dxa"/>
            <w:tcBorders>
              <w:top w:val="nil"/>
              <w:left w:val="nil"/>
              <w:bottom w:val="single" w:sz="8" w:space="0" w:color="auto"/>
              <w:right w:val="nil"/>
            </w:tcBorders>
            <w:shd w:val="clear" w:color="auto" w:fill="auto"/>
            <w:vAlign w:val="center"/>
            <w:hideMark/>
          </w:tcPr>
          <w:p w14:paraId="0379D8B2" w14:textId="77777777" w:rsidR="00330EAA" w:rsidRPr="00E70587" w:rsidRDefault="00330EAA" w:rsidP="00023EE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szCs w:val="18"/>
                <w:lang w:val="en-US" w:eastAsia="en-IN"/>
              </w:rPr>
              <w:t>3,173</w:t>
            </w:r>
          </w:p>
        </w:tc>
      </w:tr>
      <w:tr w:rsidR="00330EAA" w:rsidRPr="00E70587" w14:paraId="74F2D74A" w14:textId="77777777" w:rsidTr="000A2ED4">
        <w:trPr>
          <w:trHeight w:val="270"/>
        </w:trPr>
        <w:tc>
          <w:tcPr>
            <w:tcW w:w="5954" w:type="dxa"/>
            <w:tcBorders>
              <w:top w:val="nil"/>
              <w:left w:val="nil"/>
              <w:bottom w:val="nil"/>
              <w:right w:val="nil"/>
            </w:tcBorders>
            <w:shd w:val="clear" w:color="auto" w:fill="auto"/>
            <w:vAlign w:val="center"/>
            <w:hideMark/>
          </w:tcPr>
          <w:p w14:paraId="28D6A256" w14:textId="77777777" w:rsidR="00330EAA" w:rsidRPr="00E70587" w:rsidRDefault="00330EAA" w:rsidP="00023EEB">
            <w:pPr>
              <w:overflowPunct/>
              <w:autoSpaceDE/>
              <w:autoSpaceDN/>
              <w:adjustRightInd/>
              <w:spacing w:line="240" w:lineRule="auto"/>
              <w:textAlignment w:val="auto"/>
              <w:rPr>
                <w:rFonts w:ascii="Arial" w:hAnsi="Arial" w:cs="Arial"/>
                <w:b/>
                <w:bCs/>
                <w:color w:val="000000"/>
                <w:sz w:val="20"/>
                <w:lang w:eastAsia="en-IN"/>
              </w:rPr>
            </w:pPr>
            <w:r w:rsidRPr="00E70587">
              <w:rPr>
                <w:rFonts w:ascii="Arial" w:hAnsi="Arial" w:cs="Arial"/>
                <w:b/>
                <w:bCs/>
                <w:color w:val="000000"/>
                <w:sz w:val="20"/>
                <w:szCs w:val="18"/>
                <w:lang w:eastAsia="en-IN"/>
              </w:rPr>
              <w:t>Total financial liabilities carried at amortised cost</w:t>
            </w:r>
          </w:p>
        </w:tc>
        <w:tc>
          <w:tcPr>
            <w:tcW w:w="1772" w:type="dxa"/>
            <w:tcBorders>
              <w:top w:val="nil"/>
              <w:left w:val="nil"/>
              <w:bottom w:val="double" w:sz="6" w:space="0" w:color="auto"/>
              <w:right w:val="nil"/>
            </w:tcBorders>
            <w:shd w:val="clear" w:color="auto" w:fill="auto"/>
            <w:vAlign w:val="center"/>
            <w:hideMark/>
          </w:tcPr>
          <w:p w14:paraId="4D1E8ACB" w14:textId="0EA90EEB" w:rsidR="00330EAA" w:rsidRPr="00E70587" w:rsidRDefault="00EF724C" w:rsidP="00023EEB">
            <w:pPr>
              <w:overflowPunct/>
              <w:autoSpaceDE/>
              <w:autoSpaceDN/>
              <w:adjustRightInd/>
              <w:spacing w:line="240" w:lineRule="auto"/>
              <w:jc w:val="right"/>
              <w:textAlignment w:val="auto"/>
              <w:rPr>
                <w:rFonts w:ascii="Arial" w:hAnsi="Arial" w:cs="Arial"/>
                <w:b/>
                <w:bCs/>
                <w:color w:val="000000"/>
                <w:sz w:val="20"/>
                <w:lang w:eastAsia="en-IN"/>
              </w:rPr>
            </w:pPr>
            <w:r>
              <w:rPr>
                <w:rFonts w:ascii="Arial" w:hAnsi="Arial" w:cs="Arial"/>
                <w:b/>
                <w:bCs/>
                <w:color w:val="000000"/>
                <w:sz w:val="20"/>
                <w:lang w:val="en-US" w:eastAsia="en-IN"/>
              </w:rPr>
              <w:t>81</w:t>
            </w:r>
            <w:r w:rsidR="00315CA4" w:rsidRPr="00E70587">
              <w:rPr>
                <w:rFonts w:ascii="Arial" w:hAnsi="Arial" w:cs="Arial"/>
                <w:b/>
                <w:bCs/>
                <w:color w:val="000000"/>
                <w:sz w:val="20"/>
                <w:lang w:val="en-US" w:eastAsia="en-IN"/>
              </w:rPr>
              <w:t>,</w:t>
            </w:r>
            <w:r>
              <w:rPr>
                <w:rFonts w:ascii="Arial" w:hAnsi="Arial" w:cs="Arial"/>
                <w:b/>
                <w:bCs/>
                <w:color w:val="000000"/>
                <w:sz w:val="20"/>
                <w:lang w:val="en-US" w:eastAsia="en-IN"/>
              </w:rPr>
              <w:t>076</w:t>
            </w:r>
          </w:p>
        </w:tc>
        <w:tc>
          <w:tcPr>
            <w:tcW w:w="1772" w:type="dxa"/>
            <w:tcBorders>
              <w:top w:val="nil"/>
              <w:left w:val="nil"/>
              <w:bottom w:val="double" w:sz="6" w:space="0" w:color="auto"/>
              <w:right w:val="nil"/>
            </w:tcBorders>
            <w:shd w:val="clear" w:color="auto" w:fill="auto"/>
            <w:vAlign w:val="center"/>
            <w:hideMark/>
          </w:tcPr>
          <w:p w14:paraId="27BF6783" w14:textId="06AE14B3" w:rsidR="00330EAA" w:rsidRPr="00E70587" w:rsidRDefault="00EF724C" w:rsidP="00023EEB">
            <w:pPr>
              <w:overflowPunct/>
              <w:autoSpaceDE/>
              <w:autoSpaceDN/>
              <w:adjustRightInd/>
              <w:spacing w:line="240" w:lineRule="auto"/>
              <w:jc w:val="right"/>
              <w:textAlignment w:val="auto"/>
              <w:rPr>
                <w:rFonts w:ascii="Arial" w:hAnsi="Arial" w:cs="Arial"/>
                <w:b/>
                <w:bCs/>
                <w:color w:val="000000"/>
                <w:sz w:val="20"/>
                <w:lang w:eastAsia="en-IN"/>
              </w:rPr>
            </w:pPr>
            <w:r>
              <w:rPr>
                <w:rFonts w:ascii="Arial" w:hAnsi="Arial" w:cs="Arial"/>
                <w:b/>
                <w:bCs/>
                <w:color w:val="000000"/>
                <w:sz w:val="20"/>
                <w:lang w:val="en-US" w:eastAsia="en-IN"/>
              </w:rPr>
              <w:t>85,555</w:t>
            </w:r>
          </w:p>
        </w:tc>
      </w:tr>
    </w:tbl>
    <w:p w14:paraId="233A35C2" w14:textId="77777777" w:rsidR="00023EEB" w:rsidRPr="00E70587" w:rsidRDefault="00023EEB" w:rsidP="009901E1">
      <w:pPr>
        <w:pStyle w:val="Notesitalicheading"/>
        <w:spacing w:line="280" w:lineRule="exact"/>
        <w:jc w:val="both"/>
        <w:rPr>
          <w:rFonts w:ascii="Arial" w:hAnsi="Arial"/>
          <w:b w:val="0"/>
          <w:i w:val="0"/>
          <w:color w:val="auto"/>
          <w:sz w:val="20"/>
        </w:rPr>
      </w:pPr>
    </w:p>
    <w:p w14:paraId="0B2D2155" w14:textId="77777777" w:rsidR="00FB0C73" w:rsidRPr="00E70587" w:rsidRDefault="00E36422"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Provisions</w:t>
      </w:r>
    </w:p>
    <w:p w14:paraId="5D6462CA" w14:textId="77777777" w:rsidR="00E36422" w:rsidRPr="00E70587" w:rsidRDefault="00E36422" w:rsidP="00D403B9">
      <w:pPr>
        <w:pStyle w:val="ViralheadingL2"/>
        <w:keepNext w:val="0"/>
        <w:spacing w:before="0" w:after="0" w:line="280" w:lineRule="exact"/>
        <w:ind w:left="2160"/>
        <w:outlineLvl w:val="9"/>
        <w:rPr>
          <w:rFonts w:ascii="Arial" w:hAnsi="Arial" w:cs="Arial"/>
          <w:b w:val="0"/>
          <w:sz w:val="20"/>
          <w:szCs w:val="20"/>
        </w:rPr>
      </w:pPr>
    </w:p>
    <w:tbl>
      <w:tblPr>
        <w:tblW w:w="5149" w:type="pct"/>
        <w:tblCellMar>
          <w:left w:w="72" w:type="dxa"/>
          <w:right w:w="72" w:type="dxa"/>
        </w:tblCellMar>
        <w:tblLook w:val="01E0" w:firstRow="1" w:lastRow="1" w:firstColumn="1" w:lastColumn="1" w:noHBand="0" w:noVBand="0"/>
      </w:tblPr>
      <w:tblGrid>
        <w:gridCol w:w="1778"/>
        <w:gridCol w:w="1155"/>
        <w:gridCol w:w="1380"/>
        <w:gridCol w:w="1920"/>
        <w:gridCol w:w="1357"/>
        <w:gridCol w:w="1201"/>
        <w:gridCol w:w="848"/>
      </w:tblGrid>
      <w:tr w:rsidR="00E36422" w:rsidRPr="00E70587" w14:paraId="0ACC746B" w14:textId="77777777" w:rsidTr="00CD21BB">
        <w:trPr>
          <w:trHeight w:val="786"/>
        </w:trPr>
        <w:tc>
          <w:tcPr>
            <w:tcW w:w="922" w:type="pct"/>
            <w:vAlign w:val="center"/>
          </w:tcPr>
          <w:p w14:paraId="6F2EBFF6" w14:textId="77777777" w:rsidR="00E36422" w:rsidRPr="00E70587" w:rsidRDefault="00E36422" w:rsidP="009901E1">
            <w:pPr>
              <w:pStyle w:val="tabletxteyg"/>
              <w:tabs>
                <w:tab w:val="clear" w:pos="9739"/>
              </w:tabs>
              <w:spacing w:before="0" w:after="0" w:line="280" w:lineRule="exact"/>
              <w:jc w:val="center"/>
              <w:rPr>
                <w:rFonts w:ascii="Arial" w:hAnsi="Arial" w:cs="Arial"/>
                <w:color w:val="auto"/>
                <w:sz w:val="20"/>
              </w:rPr>
            </w:pPr>
          </w:p>
        </w:tc>
        <w:tc>
          <w:tcPr>
            <w:tcW w:w="599" w:type="pct"/>
            <w:tcBorders>
              <w:bottom w:val="single" w:sz="4" w:space="0" w:color="auto"/>
            </w:tcBorders>
            <w:tcMar>
              <w:left w:w="28" w:type="dxa"/>
              <w:right w:w="28" w:type="dxa"/>
            </w:tcMar>
            <w:vAlign w:val="center"/>
          </w:tcPr>
          <w:p w14:paraId="6F8745BD" w14:textId="77777777" w:rsidR="00E36422" w:rsidRPr="00E70587" w:rsidRDefault="009F5CEC" w:rsidP="00E36422">
            <w:pPr>
              <w:pStyle w:val="Tablecolumnheading"/>
              <w:spacing w:line="280" w:lineRule="exact"/>
              <w:jc w:val="center"/>
              <w:rPr>
                <w:rFonts w:ascii="Arial" w:hAnsi="Arial"/>
                <w:color w:val="auto"/>
                <w:sz w:val="20"/>
                <w:szCs w:val="20"/>
                <w:lang w:val="en-IN"/>
              </w:rPr>
            </w:pPr>
            <w:r>
              <w:rPr>
                <w:rFonts w:ascii="Arial" w:hAnsi="Arial"/>
                <w:color w:val="auto"/>
                <w:sz w:val="20"/>
                <w:szCs w:val="20"/>
                <w:lang w:val="en-IN"/>
              </w:rPr>
              <w:t>Assurance-type</w:t>
            </w:r>
            <w:r w:rsidRPr="00E70587">
              <w:rPr>
                <w:rFonts w:ascii="Arial" w:hAnsi="Arial"/>
                <w:color w:val="auto"/>
                <w:sz w:val="20"/>
                <w:szCs w:val="20"/>
                <w:lang w:val="en-IN"/>
              </w:rPr>
              <w:t xml:space="preserve"> </w:t>
            </w:r>
            <w:r w:rsidR="00E36422" w:rsidRPr="00E70587">
              <w:rPr>
                <w:rFonts w:ascii="Arial" w:hAnsi="Arial"/>
                <w:color w:val="auto"/>
                <w:sz w:val="20"/>
                <w:szCs w:val="20"/>
                <w:lang w:val="en-IN"/>
              </w:rPr>
              <w:t>Warranties</w:t>
            </w:r>
          </w:p>
        </w:tc>
        <w:tc>
          <w:tcPr>
            <w:tcW w:w="716" w:type="pct"/>
            <w:tcBorders>
              <w:bottom w:val="single" w:sz="4" w:space="0" w:color="auto"/>
            </w:tcBorders>
            <w:tcMar>
              <w:left w:w="28" w:type="dxa"/>
              <w:right w:w="28" w:type="dxa"/>
            </w:tcMar>
            <w:vAlign w:val="center"/>
          </w:tcPr>
          <w:p w14:paraId="338B49CA" w14:textId="77777777" w:rsidR="00E36422" w:rsidRPr="00E70587" w:rsidRDefault="00E36422" w:rsidP="009901E1">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Restructuring</w:t>
            </w:r>
          </w:p>
        </w:tc>
        <w:tc>
          <w:tcPr>
            <w:tcW w:w="996" w:type="pct"/>
            <w:tcBorders>
              <w:bottom w:val="single" w:sz="4" w:space="0" w:color="auto"/>
            </w:tcBorders>
            <w:tcMar>
              <w:left w:w="28" w:type="dxa"/>
              <w:right w:w="28" w:type="dxa"/>
            </w:tcMar>
            <w:vAlign w:val="center"/>
          </w:tcPr>
          <w:p w14:paraId="019A940B" w14:textId="77777777" w:rsidR="00E36422" w:rsidRPr="00E70587" w:rsidRDefault="00E36422" w:rsidP="00BC09BA">
            <w:pPr>
              <w:pStyle w:val="Tablecolumnheading"/>
              <w:spacing w:line="280" w:lineRule="exact"/>
              <w:ind w:left="62" w:right="62"/>
              <w:jc w:val="center"/>
              <w:rPr>
                <w:rFonts w:ascii="Arial" w:hAnsi="Arial"/>
                <w:color w:val="auto"/>
                <w:sz w:val="20"/>
                <w:szCs w:val="20"/>
                <w:lang w:val="en-IN"/>
              </w:rPr>
            </w:pPr>
            <w:r w:rsidRPr="00E70587">
              <w:rPr>
                <w:rFonts w:ascii="Arial" w:hAnsi="Arial"/>
                <w:color w:val="auto"/>
                <w:sz w:val="20"/>
                <w:szCs w:val="20"/>
                <w:lang w:val="en-IN"/>
              </w:rPr>
              <w:t>Decommissioning</w:t>
            </w:r>
          </w:p>
        </w:tc>
        <w:tc>
          <w:tcPr>
            <w:tcW w:w="704" w:type="pct"/>
            <w:tcBorders>
              <w:bottom w:val="single" w:sz="4" w:space="0" w:color="auto"/>
            </w:tcBorders>
            <w:tcMar>
              <w:left w:w="28" w:type="dxa"/>
              <w:right w:w="28" w:type="dxa"/>
            </w:tcMar>
            <w:vAlign w:val="center"/>
          </w:tcPr>
          <w:p w14:paraId="222E0C51" w14:textId="5F5CDABE" w:rsidR="00E36422" w:rsidRPr="00E70587" w:rsidRDefault="00E36422" w:rsidP="009901E1">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 xml:space="preserve">Onerous </w:t>
            </w:r>
            <w:r w:rsidR="00CD21BB">
              <w:rPr>
                <w:rFonts w:ascii="Arial" w:hAnsi="Arial"/>
                <w:color w:val="auto"/>
                <w:sz w:val="20"/>
                <w:szCs w:val="20"/>
                <w:lang w:val="en-IN"/>
              </w:rPr>
              <w:t>contract</w:t>
            </w:r>
          </w:p>
        </w:tc>
        <w:tc>
          <w:tcPr>
            <w:tcW w:w="623" w:type="pct"/>
            <w:tcBorders>
              <w:bottom w:val="single" w:sz="4" w:space="0" w:color="auto"/>
            </w:tcBorders>
            <w:tcMar>
              <w:left w:w="28" w:type="dxa"/>
              <w:right w:w="28" w:type="dxa"/>
            </w:tcMar>
            <w:vAlign w:val="center"/>
          </w:tcPr>
          <w:p w14:paraId="5B9B3A3F" w14:textId="77777777" w:rsidR="00E36422" w:rsidRPr="00E70587" w:rsidRDefault="00E36422" w:rsidP="009901E1">
            <w:pPr>
              <w:pStyle w:val="Tablecolumnheading"/>
              <w:spacing w:line="280" w:lineRule="exact"/>
              <w:ind w:right="79"/>
              <w:jc w:val="center"/>
              <w:rPr>
                <w:rFonts w:ascii="Arial" w:hAnsi="Arial"/>
                <w:color w:val="auto"/>
                <w:sz w:val="20"/>
                <w:szCs w:val="20"/>
                <w:lang w:val="en-IN"/>
              </w:rPr>
            </w:pPr>
            <w:r w:rsidRPr="00E70587">
              <w:rPr>
                <w:rFonts w:ascii="Arial" w:hAnsi="Arial"/>
                <w:color w:val="auto"/>
                <w:sz w:val="20"/>
                <w:szCs w:val="20"/>
                <w:lang w:val="en-IN"/>
              </w:rPr>
              <w:t>Contingent liability</w:t>
            </w:r>
          </w:p>
          <w:p w14:paraId="6D16586A" w14:textId="08409482" w:rsidR="00E36422" w:rsidRPr="00E70587" w:rsidRDefault="00E36422" w:rsidP="009901E1">
            <w:pPr>
              <w:pStyle w:val="Tablecolumnheading"/>
              <w:spacing w:line="280" w:lineRule="exact"/>
              <w:ind w:right="79"/>
              <w:jc w:val="center"/>
              <w:rPr>
                <w:rFonts w:ascii="Arial" w:hAnsi="Arial"/>
                <w:color w:val="auto"/>
                <w:sz w:val="20"/>
                <w:szCs w:val="20"/>
                <w:lang w:val="en-IN"/>
              </w:rPr>
            </w:pPr>
            <w:r w:rsidRPr="00E70587">
              <w:rPr>
                <w:rFonts w:ascii="Arial" w:hAnsi="Arial"/>
                <w:color w:val="auto"/>
                <w:sz w:val="20"/>
                <w:szCs w:val="20"/>
                <w:lang w:val="en-IN"/>
              </w:rPr>
              <w:t xml:space="preserve">(Note </w:t>
            </w:r>
            <w:r w:rsidR="00B83F60" w:rsidRPr="00E70587">
              <w:rPr>
                <w:rFonts w:ascii="Arial" w:hAnsi="Arial"/>
                <w:color w:val="auto"/>
                <w:sz w:val="20"/>
                <w:szCs w:val="20"/>
                <w:lang w:val="en-IN"/>
              </w:rPr>
              <w:t>4</w:t>
            </w:r>
            <w:r w:rsidR="00B83F60">
              <w:rPr>
                <w:rFonts w:ascii="Arial" w:hAnsi="Arial"/>
                <w:color w:val="auto"/>
                <w:sz w:val="20"/>
                <w:szCs w:val="20"/>
                <w:lang w:val="en-IN"/>
              </w:rPr>
              <w:t>3</w:t>
            </w:r>
            <w:r w:rsidRPr="00E70587">
              <w:rPr>
                <w:rFonts w:ascii="Arial" w:hAnsi="Arial"/>
                <w:color w:val="auto"/>
                <w:sz w:val="20"/>
                <w:szCs w:val="20"/>
                <w:lang w:val="en-IN"/>
              </w:rPr>
              <w:t>)</w:t>
            </w:r>
          </w:p>
        </w:tc>
        <w:tc>
          <w:tcPr>
            <w:tcW w:w="440" w:type="pct"/>
            <w:tcBorders>
              <w:bottom w:val="single" w:sz="4" w:space="0" w:color="auto"/>
            </w:tcBorders>
            <w:tcMar>
              <w:left w:w="28" w:type="dxa"/>
              <w:right w:w="28" w:type="dxa"/>
            </w:tcMar>
            <w:vAlign w:val="center"/>
          </w:tcPr>
          <w:p w14:paraId="0D4AD4A5" w14:textId="77777777" w:rsidR="00E36422" w:rsidRPr="00E70587" w:rsidRDefault="00E36422" w:rsidP="009901E1">
            <w:pPr>
              <w:pStyle w:val="Tablecolumnheading"/>
              <w:spacing w:line="280" w:lineRule="exact"/>
              <w:ind w:right="98"/>
              <w:jc w:val="center"/>
              <w:rPr>
                <w:rFonts w:ascii="Arial" w:hAnsi="Arial"/>
                <w:color w:val="auto"/>
                <w:sz w:val="20"/>
                <w:szCs w:val="20"/>
                <w:lang w:val="en-IN"/>
              </w:rPr>
            </w:pPr>
            <w:r w:rsidRPr="00E70587">
              <w:rPr>
                <w:rFonts w:ascii="Arial" w:hAnsi="Arial"/>
                <w:color w:val="auto"/>
                <w:sz w:val="20"/>
                <w:szCs w:val="20"/>
                <w:lang w:val="en-IN"/>
              </w:rPr>
              <w:t>Total</w:t>
            </w:r>
          </w:p>
        </w:tc>
      </w:tr>
      <w:tr w:rsidR="00E36422" w:rsidRPr="00E70587" w14:paraId="6A0748A1" w14:textId="77777777" w:rsidTr="00CD21BB">
        <w:trPr>
          <w:trHeight w:val="527"/>
        </w:trPr>
        <w:tc>
          <w:tcPr>
            <w:tcW w:w="922" w:type="pct"/>
            <w:tcMar>
              <w:left w:w="57" w:type="dxa"/>
            </w:tcMar>
            <w:vAlign w:val="center"/>
          </w:tcPr>
          <w:p w14:paraId="609AE25E" w14:textId="77777777" w:rsidR="00E36422" w:rsidRPr="00E70587" w:rsidRDefault="00E36422"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599" w:type="pct"/>
            <w:vAlign w:val="bottom"/>
          </w:tcPr>
          <w:p w14:paraId="30EB2483" w14:textId="77777777" w:rsidR="00E36422" w:rsidRPr="00E70587" w:rsidRDefault="00E36422"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INR Lacs</w:t>
            </w:r>
          </w:p>
        </w:tc>
        <w:tc>
          <w:tcPr>
            <w:tcW w:w="716" w:type="pct"/>
            <w:vAlign w:val="bottom"/>
          </w:tcPr>
          <w:p w14:paraId="47E492CD" w14:textId="77777777" w:rsidR="00E36422" w:rsidRPr="00E70587" w:rsidRDefault="00E36422"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INR Lacs</w:t>
            </w:r>
          </w:p>
        </w:tc>
        <w:tc>
          <w:tcPr>
            <w:tcW w:w="996" w:type="pct"/>
            <w:vAlign w:val="bottom"/>
          </w:tcPr>
          <w:p w14:paraId="26E09AD1" w14:textId="77777777" w:rsidR="00E36422" w:rsidRPr="00E70587" w:rsidRDefault="00E36422"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INR Lacs</w:t>
            </w:r>
          </w:p>
        </w:tc>
        <w:tc>
          <w:tcPr>
            <w:tcW w:w="704" w:type="pct"/>
            <w:vAlign w:val="bottom"/>
          </w:tcPr>
          <w:p w14:paraId="119FFD53" w14:textId="77777777" w:rsidR="00E36422" w:rsidRPr="00E70587" w:rsidRDefault="00E36422"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INR Lacs</w:t>
            </w:r>
          </w:p>
        </w:tc>
        <w:tc>
          <w:tcPr>
            <w:tcW w:w="623" w:type="pct"/>
            <w:vAlign w:val="bottom"/>
          </w:tcPr>
          <w:p w14:paraId="41C611E0" w14:textId="77777777" w:rsidR="00E36422" w:rsidRPr="00E70587" w:rsidRDefault="00E36422"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INR Lacs</w:t>
            </w:r>
          </w:p>
        </w:tc>
        <w:tc>
          <w:tcPr>
            <w:tcW w:w="440" w:type="pct"/>
            <w:vAlign w:val="bottom"/>
          </w:tcPr>
          <w:p w14:paraId="66A8851B" w14:textId="77777777" w:rsidR="00E36422" w:rsidRPr="00E70587" w:rsidRDefault="00E36422"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INR Lacs</w:t>
            </w:r>
          </w:p>
        </w:tc>
      </w:tr>
      <w:tr w:rsidR="00E36422" w:rsidRPr="00E70587" w14:paraId="26CFB253" w14:textId="77777777" w:rsidTr="00CD21BB">
        <w:trPr>
          <w:trHeight w:val="259"/>
        </w:trPr>
        <w:tc>
          <w:tcPr>
            <w:tcW w:w="922" w:type="pct"/>
            <w:tcMar>
              <w:left w:w="57" w:type="dxa"/>
            </w:tcMar>
            <w:vAlign w:val="center"/>
          </w:tcPr>
          <w:p w14:paraId="347A30F0" w14:textId="308DF0FB" w:rsidR="00E36422" w:rsidRPr="00E70587" w:rsidRDefault="00E36422"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1 April </w:t>
            </w:r>
            <w:r w:rsidR="00BE3490" w:rsidRPr="00E70587">
              <w:rPr>
                <w:rFonts w:ascii="Arial" w:hAnsi="Arial" w:cs="Arial"/>
                <w:b/>
                <w:sz w:val="20"/>
                <w:lang w:val="en-IN"/>
              </w:rPr>
              <w:t>20</w:t>
            </w:r>
            <w:r w:rsidR="00CD21BB">
              <w:rPr>
                <w:rFonts w:ascii="Arial" w:hAnsi="Arial" w:cs="Arial"/>
                <w:b/>
                <w:sz w:val="20"/>
                <w:lang w:val="en-IN"/>
              </w:rPr>
              <w:t>20</w:t>
            </w:r>
          </w:p>
        </w:tc>
        <w:tc>
          <w:tcPr>
            <w:tcW w:w="599" w:type="pct"/>
          </w:tcPr>
          <w:p w14:paraId="4EB448F8"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315 </w:t>
            </w:r>
          </w:p>
        </w:tc>
        <w:tc>
          <w:tcPr>
            <w:tcW w:w="716" w:type="pct"/>
          </w:tcPr>
          <w:p w14:paraId="75602D81"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996" w:type="pct"/>
          </w:tcPr>
          <w:p w14:paraId="05BE9EC9"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704" w:type="pct"/>
          </w:tcPr>
          <w:p w14:paraId="7CDE2E4D"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623" w:type="pct"/>
          </w:tcPr>
          <w:p w14:paraId="72A34365"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440" w:type="pct"/>
          </w:tcPr>
          <w:p w14:paraId="7C5D6A9B"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 315 </w:t>
            </w:r>
          </w:p>
        </w:tc>
      </w:tr>
      <w:tr w:rsidR="00E36422" w:rsidRPr="00E70587" w14:paraId="4C45DD45" w14:textId="77777777" w:rsidTr="00CD21BB">
        <w:trPr>
          <w:trHeight w:val="786"/>
        </w:trPr>
        <w:tc>
          <w:tcPr>
            <w:tcW w:w="922" w:type="pct"/>
            <w:tcMar>
              <w:left w:w="57" w:type="dxa"/>
              <w:right w:w="108" w:type="dxa"/>
            </w:tcMar>
            <w:vAlign w:val="center"/>
          </w:tcPr>
          <w:p w14:paraId="08F8D0EE" w14:textId="77777777" w:rsidR="00E36422" w:rsidRPr="00E70587" w:rsidRDefault="00E36422" w:rsidP="009901E1">
            <w:pPr>
              <w:pStyle w:val="tabletext"/>
              <w:overflowPunct w:val="0"/>
              <w:autoSpaceDE w:val="0"/>
              <w:autoSpaceDN w:val="0"/>
              <w:adjustRightInd w:val="0"/>
              <w:spacing w:line="280" w:lineRule="exact"/>
              <w:ind w:right="-76"/>
              <w:textAlignment w:val="baseline"/>
              <w:rPr>
                <w:rFonts w:ascii="Arial" w:hAnsi="Arial" w:cs="Arial"/>
                <w:sz w:val="20"/>
                <w:lang w:val="en-IN"/>
              </w:rPr>
            </w:pPr>
            <w:r w:rsidRPr="00E70587">
              <w:rPr>
                <w:rFonts w:ascii="Arial" w:hAnsi="Arial" w:cs="Arial"/>
                <w:sz w:val="20"/>
                <w:lang w:val="en-IN"/>
              </w:rPr>
              <w:t>Acquisition of a subsidiary (Note 36)</w:t>
            </w:r>
          </w:p>
        </w:tc>
        <w:tc>
          <w:tcPr>
            <w:tcW w:w="599" w:type="pct"/>
          </w:tcPr>
          <w:p w14:paraId="4C73E578"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716" w:type="pct"/>
          </w:tcPr>
          <w:p w14:paraId="1537107A"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900 </w:t>
            </w:r>
          </w:p>
        </w:tc>
        <w:tc>
          <w:tcPr>
            <w:tcW w:w="996" w:type="pct"/>
          </w:tcPr>
          <w:p w14:paraId="7C7FD0AA"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2,160 </w:t>
            </w:r>
          </w:p>
        </w:tc>
        <w:tc>
          <w:tcPr>
            <w:tcW w:w="704" w:type="pct"/>
          </w:tcPr>
          <w:p w14:paraId="4E74FA60"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720 </w:t>
            </w:r>
          </w:p>
        </w:tc>
        <w:tc>
          <w:tcPr>
            <w:tcW w:w="623" w:type="pct"/>
          </w:tcPr>
          <w:p w14:paraId="78B60F03"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684 </w:t>
            </w:r>
          </w:p>
        </w:tc>
        <w:tc>
          <w:tcPr>
            <w:tcW w:w="440" w:type="pct"/>
          </w:tcPr>
          <w:p w14:paraId="7B6AD3A2" w14:textId="77777777" w:rsidR="00E36422" w:rsidRPr="00E70587" w:rsidRDefault="00E36422" w:rsidP="009901E1">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 xml:space="preserve">4,464 </w:t>
            </w:r>
          </w:p>
        </w:tc>
      </w:tr>
      <w:tr w:rsidR="00E36422" w:rsidRPr="00E70587" w14:paraId="5585E570" w14:textId="77777777" w:rsidTr="00CD21BB">
        <w:trPr>
          <w:trHeight w:val="527"/>
        </w:trPr>
        <w:tc>
          <w:tcPr>
            <w:tcW w:w="922" w:type="pct"/>
            <w:tcMar>
              <w:left w:w="57" w:type="dxa"/>
              <w:right w:w="74" w:type="dxa"/>
            </w:tcMar>
            <w:vAlign w:val="center"/>
          </w:tcPr>
          <w:p w14:paraId="2F467DCE" w14:textId="77777777" w:rsidR="00E36422" w:rsidRPr="00E70587" w:rsidRDefault="00E3642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Arising during </w:t>
            </w:r>
            <w:r w:rsidRPr="00E70587">
              <w:rPr>
                <w:rFonts w:ascii="Arial" w:hAnsi="Arial" w:cs="Arial"/>
                <w:sz w:val="20"/>
                <w:lang w:val="en-IN"/>
              </w:rPr>
              <w:br/>
              <w:t>the year</w:t>
            </w:r>
          </w:p>
        </w:tc>
        <w:tc>
          <w:tcPr>
            <w:tcW w:w="599" w:type="pct"/>
            <w:tcMar>
              <w:left w:w="28" w:type="dxa"/>
              <w:right w:w="74" w:type="dxa"/>
            </w:tcMar>
          </w:tcPr>
          <w:p w14:paraId="3E55043B"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385 </w:t>
            </w:r>
          </w:p>
        </w:tc>
        <w:tc>
          <w:tcPr>
            <w:tcW w:w="716" w:type="pct"/>
            <w:tcMar>
              <w:left w:w="57" w:type="dxa"/>
              <w:right w:w="74" w:type="dxa"/>
            </w:tcMar>
          </w:tcPr>
          <w:p w14:paraId="5E900E58"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47 </w:t>
            </w:r>
          </w:p>
        </w:tc>
        <w:tc>
          <w:tcPr>
            <w:tcW w:w="996" w:type="pct"/>
            <w:tcMar>
              <w:left w:w="57" w:type="dxa"/>
              <w:right w:w="74" w:type="dxa"/>
            </w:tcMar>
          </w:tcPr>
          <w:p w14:paraId="578327AD"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704" w:type="pct"/>
            <w:tcMar>
              <w:left w:w="28" w:type="dxa"/>
              <w:right w:w="74" w:type="dxa"/>
            </w:tcMar>
          </w:tcPr>
          <w:p w14:paraId="5D95EC4A"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623" w:type="pct"/>
            <w:tcMar>
              <w:left w:w="57" w:type="dxa"/>
              <w:right w:w="74" w:type="dxa"/>
            </w:tcMar>
          </w:tcPr>
          <w:p w14:paraId="5B96C7EB"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36 </w:t>
            </w:r>
          </w:p>
        </w:tc>
        <w:tc>
          <w:tcPr>
            <w:tcW w:w="440" w:type="pct"/>
            <w:tcMar>
              <w:top w:w="28" w:type="dxa"/>
              <w:left w:w="28" w:type="dxa"/>
              <w:right w:w="74" w:type="dxa"/>
            </w:tcMar>
          </w:tcPr>
          <w:p w14:paraId="428077EF" w14:textId="77777777" w:rsidR="00E36422" w:rsidRPr="00E70587" w:rsidRDefault="00E36422" w:rsidP="009901E1">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 xml:space="preserve">468 </w:t>
            </w:r>
          </w:p>
        </w:tc>
      </w:tr>
      <w:tr w:rsidR="00E36422" w:rsidRPr="00E70587" w14:paraId="560AF2F2" w14:textId="77777777" w:rsidTr="00CD21BB">
        <w:trPr>
          <w:trHeight w:val="259"/>
        </w:trPr>
        <w:tc>
          <w:tcPr>
            <w:tcW w:w="922" w:type="pct"/>
            <w:tcMar>
              <w:left w:w="57" w:type="dxa"/>
            </w:tcMar>
            <w:vAlign w:val="bottom"/>
          </w:tcPr>
          <w:p w14:paraId="0CBFDCD2" w14:textId="77777777" w:rsidR="00E36422" w:rsidRPr="00E70587" w:rsidRDefault="00E3642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Utilised</w:t>
            </w:r>
          </w:p>
        </w:tc>
        <w:tc>
          <w:tcPr>
            <w:tcW w:w="599" w:type="pct"/>
            <w:tcMar>
              <w:left w:w="108" w:type="dxa"/>
              <w:right w:w="0" w:type="dxa"/>
            </w:tcMar>
          </w:tcPr>
          <w:p w14:paraId="378723AE"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(122) </w:t>
            </w:r>
          </w:p>
        </w:tc>
        <w:tc>
          <w:tcPr>
            <w:tcW w:w="716" w:type="pct"/>
            <w:tcMar>
              <w:left w:w="108" w:type="dxa"/>
              <w:right w:w="28" w:type="dxa"/>
            </w:tcMar>
          </w:tcPr>
          <w:p w14:paraId="56709750"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(104) </w:t>
            </w:r>
          </w:p>
        </w:tc>
        <w:tc>
          <w:tcPr>
            <w:tcW w:w="996" w:type="pct"/>
            <w:tcMar>
              <w:left w:w="28" w:type="dxa"/>
              <w:right w:w="74" w:type="dxa"/>
            </w:tcMar>
          </w:tcPr>
          <w:p w14:paraId="3869AE61"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704" w:type="pct"/>
            <w:tcMar>
              <w:left w:w="28" w:type="dxa"/>
              <w:right w:w="0" w:type="dxa"/>
            </w:tcMar>
          </w:tcPr>
          <w:p w14:paraId="4953A2AB"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(36) </w:t>
            </w:r>
          </w:p>
        </w:tc>
        <w:tc>
          <w:tcPr>
            <w:tcW w:w="623" w:type="pct"/>
            <w:tcMar>
              <w:left w:w="28" w:type="dxa"/>
              <w:right w:w="74" w:type="dxa"/>
            </w:tcMar>
          </w:tcPr>
          <w:p w14:paraId="28945563"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440" w:type="pct"/>
            <w:tcMar>
              <w:top w:w="28" w:type="dxa"/>
              <w:left w:w="28" w:type="dxa"/>
              <w:right w:w="0" w:type="dxa"/>
            </w:tcMar>
          </w:tcPr>
          <w:p w14:paraId="5D9C7395" w14:textId="77777777" w:rsidR="00E36422" w:rsidRPr="00E70587" w:rsidRDefault="00E36422" w:rsidP="009901E1">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 xml:space="preserve">(262) </w:t>
            </w:r>
          </w:p>
        </w:tc>
      </w:tr>
      <w:tr w:rsidR="00E36422" w:rsidRPr="00E70587" w14:paraId="5E0608D0" w14:textId="77777777" w:rsidTr="00CD21BB">
        <w:trPr>
          <w:trHeight w:val="527"/>
        </w:trPr>
        <w:tc>
          <w:tcPr>
            <w:tcW w:w="922" w:type="pct"/>
            <w:tcMar>
              <w:left w:w="57" w:type="dxa"/>
            </w:tcMar>
            <w:vAlign w:val="bottom"/>
          </w:tcPr>
          <w:p w14:paraId="7D170341" w14:textId="77777777" w:rsidR="00E36422" w:rsidRPr="00E70587" w:rsidRDefault="00E3642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Unused amounts reversed</w:t>
            </w:r>
          </w:p>
        </w:tc>
        <w:tc>
          <w:tcPr>
            <w:tcW w:w="599" w:type="pct"/>
            <w:tcMar>
              <w:left w:w="108" w:type="dxa"/>
              <w:right w:w="0" w:type="dxa"/>
            </w:tcMar>
          </w:tcPr>
          <w:p w14:paraId="76E4D08B"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(11) </w:t>
            </w:r>
          </w:p>
        </w:tc>
        <w:tc>
          <w:tcPr>
            <w:tcW w:w="716" w:type="pct"/>
            <w:tcMar>
              <w:left w:w="108" w:type="dxa"/>
              <w:right w:w="28" w:type="dxa"/>
            </w:tcMar>
          </w:tcPr>
          <w:p w14:paraId="43214F1F"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(11) </w:t>
            </w:r>
          </w:p>
        </w:tc>
        <w:tc>
          <w:tcPr>
            <w:tcW w:w="996" w:type="pct"/>
            <w:tcMar>
              <w:left w:w="28" w:type="dxa"/>
              <w:right w:w="74" w:type="dxa"/>
            </w:tcMar>
          </w:tcPr>
          <w:p w14:paraId="6FE51E04"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704" w:type="pct"/>
            <w:tcMar>
              <w:top w:w="28" w:type="dxa"/>
              <w:left w:w="28" w:type="dxa"/>
              <w:right w:w="74" w:type="dxa"/>
            </w:tcMar>
          </w:tcPr>
          <w:p w14:paraId="43BD83C7"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623" w:type="pct"/>
            <w:tcMar>
              <w:left w:w="57" w:type="dxa"/>
              <w:right w:w="74" w:type="dxa"/>
            </w:tcMar>
          </w:tcPr>
          <w:p w14:paraId="58753ABD"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440" w:type="pct"/>
            <w:tcMar>
              <w:top w:w="28" w:type="dxa"/>
              <w:left w:w="108" w:type="dxa"/>
              <w:right w:w="0" w:type="dxa"/>
            </w:tcMar>
          </w:tcPr>
          <w:p w14:paraId="245B4F83" w14:textId="77777777" w:rsidR="00E36422" w:rsidRPr="00E70587" w:rsidRDefault="00E36422" w:rsidP="009901E1">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 xml:space="preserve">(22) </w:t>
            </w:r>
          </w:p>
        </w:tc>
      </w:tr>
      <w:tr w:rsidR="00E36422" w:rsidRPr="00E70587" w14:paraId="7A7A794B" w14:textId="77777777" w:rsidTr="00CD21BB">
        <w:trPr>
          <w:trHeight w:val="1046"/>
        </w:trPr>
        <w:tc>
          <w:tcPr>
            <w:tcW w:w="922" w:type="pct"/>
            <w:tcMar>
              <w:left w:w="57" w:type="dxa"/>
            </w:tcMar>
            <w:vAlign w:val="bottom"/>
          </w:tcPr>
          <w:p w14:paraId="288D048E" w14:textId="77777777" w:rsidR="00E36422" w:rsidRPr="00E70587" w:rsidRDefault="00E3642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Unwinding of discount and changes in the discount rate </w:t>
            </w:r>
          </w:p>
        </w:tc>
        <w:tc>
          <w:tcPr>
            <w:tcW w:w="599" w:type="pct"/>
            <w:tcBorders>
              <w:bottom w:val="single" w:sz="4" w:space="0" w:color="auto"/>
            </w:tcBorders>
          </w:tcPr>
          <w:p w14:paraId="44F49221"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7 </w:t>
            </w:r>
          </w:p>
        </w:tc>
        <w:tc>
          <w:tcPr>
            <w:tcW w:w="716" w:type="pct"/>
            <w:tcBorders>
              <w:bottom w:val="single" w:sz="4" w:space="0" w:color="auto"/>
            </w:tcBorders>
          </w:tcPr>
          <w:p w14:paraId="7596CDF5"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21 </w:t>
            </w:r>
          </w:p>
        </w:tc>
        <w:tc>
          <w:tcPr>
            <w:tcW w:w="996" w:type="pct"/>
            <w:tcBorders>
              <w:bottom w:val="single" w:sz="4" w:space="0" w:color="auto"/>
            </w:tcBorders>
          </w:tcPr>
          <w:p w14:paraId="35682545"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38 </w:t>
            </w:r>
          </w:p>
        </w:tc>
        <w:tc>
          <w:tcPr>
            <w:tcW w:w="704" w:type="pct"/>
            <w:tcBorders>
              <w:bottom w:val="single" w:sz="4" w:space="0" w:color="auto"/>
            </w:tcBorders>
          </w:tcPr>
          <w:p w14:paraId="776A85E1"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11 </w:t>
            </w:r>
          </w:p>
        </w:tc>
        <w:tc>
          <w:tcPr>
            <w:tcW w:w="623" w:type="pct"/>
            <w:tcBorders>
              <w:bottom w:val="single" w:sz="4" w:space="0" w:color="auto"/>
            </w:tcBorders>
          </w:tcPr>
          <w:p w14:paraId="4C9F0352"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440" w:type="pct"/>
            <w:tcBorders>
              <w:bottom w:val="single" w:sz="4" w:space="0" w:color="auto"/>
            </w:tcBorders>
          </w:tcPr>
          <w:p w14:paraId="0B4F40ED" w14:textId="77777777" w:rsidR="00E36422" w:rsidRPr="00E70587" w:rsidRDefault="00E36422" w:rsidP="009901E1">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 xml:space="preserve">77 </w:t>
            </w:r>
          </w:p>
        </w:tc>
      </w:tr>
      <w:tr w:rsidR="00E36422" w:rsidRPr="00E70587" w14:paraId="3109394F" w14:textId="77777777" w:rsidTr="00CD21BB">
        <w:trPr>
          <w:trHeight w:val="310"/>
        </w:trPr>
        <w:tc>
          <w:tcPr>
            <w:tcW w:w="922" w:type="pct"/>
            <w:tcMar>
              <w:left w:w="57" w:type="dxa"/>
              <w:right w:w="28" w:type="dxa"/>
            </w:tcMar>
            <w:vAlign w:val="center"/>
          </w:tcPr>
          <w:p w14:paraId="478C3119" w14:textId="50629809" w:rsidR="00E36422" w:rsidRPr="00E70587" w:rsidRDefault="00E36422" w:rsidP="009901E1">
            <w:pPr>
              <w:pStyle w:val="tabletext"/>
              <w:overflowPunct w:val="0"/>
              <w:autoSpaceDE w:val="0"/>
              <w:autoSpaceDN w:val="0"/>
              <w:adjustRightInd w:val="0"/>
              <w:spacing w:line="280" w:lineRule="exact"/>
              <w:ind w:right="-32"/>
              <w:textAlignment w:val="baseline"/>
              <w:rPr>
                <w:rFonts w:ascii="Arial" w:hAnsi="Arial" w:cs="Arial"/>
                <w:b/>
                <w:spacing w:val="-4"/>
                <w:sz w:val="20"/>
                <w:lang w:val="en-IN"/>
              </w:rPr>
            </w:pPr>
            <w:r w:rsidRPr="00E70587">
              <w:rPr>
                <w:rFonts w:ascii="Arial" w:hAnsi="Arial" w:cs="Arial"/>
                <w:b/>
                <w:spacing w:val="-4"/>
                <w:sz w:val="20"/>
                <w:lang w:val="en-IN"/>
              </w:rPr>
              <w:t xml:space="preserve">At 31 </w:t>
            </w:r>
            <w:r w:rsidR="00E1202D" w:rsidRPr="00E70587">
              <w:rPr>
                <w:rFonts w:ascii="Arial" w:hAnsi="Arial" w:cs="Arial"/>
                <w:b/>
                <w:spacing w:val="-4"/>
                <w:sz w:val="20"/>
                <w:lang w:val="en-IN"/>
              </w:rPr>
              <w:t>March 20</w:t>
            </w:r>
            <w:r w:rsidR="00CD21BB">
              <w:rPr>
                <w:rFonts w:ascii="Arial" w:hAnsi="Arial" w:cs="Arial"/>
                <w:b/>
                <w:spacing w:val="-4"/>
                <w:sz w:val="20"/>
                <w:lang w:val="en-IN"/>
              </w:rPr>
              <w:t>21</w:t>
            </w:r>
          </w:p>
        </w:tc>
        <w:tc>
          <w:tcPr>
            <w:tcW w:w="599" w:type="pct"/>
            <w:tcBorders>
              <w:top w:val="single" w:sz="4" w:space="0" w:color="auto"/>
              <w:bottom w:val="double" w:sz="4" w:space="0" w:color="auto"/>
            </w:tcBorders>
          </w:tcPr>
          <w:p w14:paraId="684479DA"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574 </w:t>
            </w:r>
          </w:p>
        </w:tc>
        <w:tc>
          <w:tcPr>
            <w:tcW w:w="716" w:type="pct"/>
            <w:tcBorders>
              <w:top w:val="single" w:sz="4" w:space="0" w:color="auto"/>
              <w:bottom w:val="double" w:sz="4" w:space="0" w:color="auto"/>
            </w:tcBorders>
          </w:tcPr>
          <w:p w14:paraId="26037E02"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 853 </w:t>
            </w:r>
          </w:p>
        </w:tc>
        <w:tc>
          <w:tcPr>
            <w:tcW w:w="996" w:type="pct"/>
            <w:tcBorders>
              <w:top w:val="single" w:sz="4" w:space="0" w:color="auto"/>
              <w:bottom w:val="double" w:sz="4" w:space="0" w:color="auto"/>
            </w:tcBorders>
          </w:tcPr>
          <w:p w14:paraId="6F05D616"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2,198 </w:t>
            </w:r>
          </w:p>
        </w:tc>
        <w:tc>
          <w:tcPr>
            <w:tcW w:w="704" w:type="pct"/>
            <w:tcBorders>
              <w:top w:val="single" w:sz="4" w:space="0" w:color="auto"/>
              <w:bottom w:val="double" w:sz="4" w:space="0" w:color="auto"/>
            </w:tcBorders>
          </w:tcPr>
          <w:p w14:paraId="4DF2EF25"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695 </w:t>
            </w:r>
          </w:p>
        </w:tc>
        <w:tc>
          <w:tcPr>
            <w:tcW w:w="623" w:type="pct"/>
            <w:tcBorders>
              <w:top w:val="single" w:sz="4" w:space="0" w:color="auto"/>
              <w:bottom w:val="double" w:sz="4" w:space="0" w:color="auto"/>
            </w:tcBorders>
          </w:tcPr>
          <w:p w14:paraId="7BCD40AB"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720 </w:t>
            </w:r>
          </w:p>
        </w:tc>
        <w:tc>
          <w:tcPr>
            <w:tcW w:w="440" w:type="pct"/>
            <w:tcBorders>
              <w:top w:val="single" w:sz="4" w:space="0" w:color="auto"/>
              <w:bottom w:val="double" w:sz="4" w:space="0" w:color="auto"/>
            </w:tcBorders>
          </w:tcPr>
          <w:p w14:paraId="0C36E559"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 5,040 </w:t>
            </w:r>
          </w:p>
        </w:tc>
      </w:tr>
      <w:tr w:rsidR="00E36422" w:rsidRPr="00E70587" w14:paraId="2D78C4DB" w14:textId="77777777" w:rsidTr="00CD21BB">
        <w:trPr>
          <w:trHeight w:val="527"/>
        </w:trPr>
        <w:tc>
          <w:tcPr>
            <w:tcW w:w="922" w:type="pct"/>
            <w:tcMar>
              <w:left w:w="57" w:type="dxa"/>
            </w:tcMar>
            <w:vAlign w:val="bottom"/>
          </w:tcPr>
          <w:p w14:paraId="49E86B75" w14:textId="77777777" w:rsidR="00E36422" w:rsidRPr="00E70587" w:rsidRDefault="00E3642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Current </w:t>
            </w:r>
          </w:p>
        </w:tc>
        <w:tc>
          <w:tcPr>
            <w:tcW w:w="599" w:type="pct"/>
            <w:tcBorders>
              <w:top w:val="double" w:sz="4" w:space="0" w:color="auto"/>
            </w:tcBorders>
          </w:tcPr>
          <w:p w14:paraId="746F4696"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256 </w:t>
            </w:r>
          </w:p>
        </w:tc>
        <w:tc>
          <w:tcPr>
            <w:tcW w:w="716" w:type="pct"/>
            <w:tcBorders>
              <w:top w:val="double" w:sz="4" w:space="0" w:color="auto"/>
            </w:tcBorders>
          </w:tcPr>
          <w:p w14:paraId="6BF3D596"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185 </w:t>
            </w:r>
          </w:p>
        </w:tc>
        <w:tc>
          <w:tcPr>
            <w:tcW w:w="996" w:type="pct"/>
            <w:tcBorders>
              <w:top w:val="double" w:sz="4" w:space="0" w:color="auto"/>
            </w:tcBorders>
          </w:tcPr>
          <w:p w14:paraId="0455C751"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704" w:type="pct"/>
            <w:tcBorders>
              <w:top w:val="double" w:sz="4" w:space="0" w:color="auto"/>
            </w:tcBorders>
          </w:tcPr>
          <w:p w14:paraId="69CC3096"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369 </w:t>
            </w:r>
          </w:p>
        </w:tc>
        <w:tc>
          <w:tcPr>
            <w:tcW w:w="623" w:type="pct"/>
            <w:tcBorders>
              <w:top w:val="double" w:sz="4" w:space="0" w:color="auto"/>
            </w:tcBorders>
          </w:tcPr>
          <w:p w14:paraId="5970D33E"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720 </w:t>
            </w:r>
          </w:p>
        </w:tc>
        <w:tc>
          <w:tcPr>
            <w:tcW w:w="440" w:type="pct"/>
            <w:tcBorders>
              <w:top w:val="double" w:sz="4" w:space="0" w:color="auto"/>
            </w:tcBorders>
          </w:tcPr>
          <w:p w14:paraId="5864C8D0"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 1,530 </w:t>
            </w:r>
          </w:p>
        </w:tc>
      </w:tr>
      <w:tr w:rsidR="00E36422" w:rsidRPr="00E70587" w14:paraId="52E91AD0" w14:textId="77777777" w:rsidTr="00CD21BB">
        <w:trPr>
          <w:trHeight w:val="527"/>
        </w:trPr>
        <w:tc>
          <w:tcPr>
            <w:tcW w:w="922" w:type="pct"/>
            <w:tcMar>
              <w:left w:w="57" w:type="dxa"/>
            </w:tcMar>
            <w:vAlign w:val="bottom"/>
          </w:tcPr>
          <w:p w14:paraId="0D24D19D" w14:textId="77777777" w:rsidR="00E36422" w:rsidRPr="00E70587" w:rsidRDefault="00E3642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Non-current</w:t>
            </w:r>
          </w:p>
        </w:tc>
        <w:tc>
          <w:tcPr>
            <w:tcW w:w="599" w:type="pct"/>
          </w:tcPr>
          <w:p w14:paraId="588A3585" w14:textId="77777777" w:rsidR="00E36422" w:rsidRPr="00E70587" w:rsidRDefault="00315CA4" w:rsidP="00315CA4">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318 </w:t>
            </w:r>
          </w:p>
        </w:tc>
        <w:tc>
          <w:tcPr>
            <w:tcW w:w="716" w:type="pct"/>
          </w:tcPr>
          <w:p w14:paraId="49342614"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 668 </w:t>
            </w:r>
          </w:p>
        </w:tc>
        <w:tc>
          <w:tcPr>
            <w:tcW w:w="996" w:type="pct"/>
          </w:tcPr>
          <w:p w14:paraId="70A5A348"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2,198 </w:t>
            </w:r>
          </w:p>
        </w:tc>
        <w:tc>
          <w:tcPr>
            <w:tcW w:w="704" w:type="pct"/>
          </w:tcPr>
          <w:p w14:paraId="1D75EF14"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326 </w:t>
            </w:r>
          </w:p>
        </w:tc>
        <w:tc>
          <w:tcPr>
            <w:tcW w:w="623" w:type="pct"/>
          </w:tcPr>
          <w:p w14:paraId="506197B9"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w:t>
            </w:r>
          </w:p>
        </w:tc>
        <w:tc>
          <w:tcPr>
            <w:tcW w:w="440" w:type="pct"/>
          </w:tcPr>
          <w:p w14:paraId="4B067CA8"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 3,510 </w:t>
            </w:r>
          </w:p>
        </w:tc>
      </w:tr>
    </w:tbl>
    <w:p w14:paraId="53B678F9" w14:textId="77777777" w:rsidR="00FB0C73" w:rsidRPr="00E70587" w:rsidRDefault="00FB0C73" w:rsidP="009901E1">
      <w:pPr>
        <w:pStyle w:val="Notesbodytext"/>
        <w:spacing w:after="0" w:line="280" w:lineRule="exact"/>
        <w:rPr>
          <w:rFonts w:ascii="Arial" w:hAnsi="Arial"/>
          <w:color w:val="auto"/>
          <w:sz w:val="20"/>
        </w:rPr>
      </w:pPr>
    </w:p>
    <w:tbl>
      <w:tblPr>
        <w:tblW w:w="9426" w:type="dxa"/>
        <w:tblLayout w:type="fixed"/>
        <w:tblLook w:val="01E0" w:firstRow="1" w:lastRow="1" w:firstColumn="1" w:lastColumn="1" w:noHBand="0" w:noVBand="0"/>
      </w:tblPr>
      <w:tblGrid>
        <w:gridCol w:w="5812"/>
        <w:gridCol w:w="1807"/>
        <w:gridCol w:w="1807"/>
      </w:tblGrid>
      <w:tr w:rsidR="00E36422" w:rsidRPr="00E70587" w14:paraId="35E7E59D" w14:textId="77777777" w:rsidTr="000A2ED4">
        <w:tc>
          <w:tcPr>
            <w:tcW w:w="5812" w:type="dxa"/>
          </w:tcPr>
          <w:p w14:paraId="1A4BD960" w14:textId="77777777" w:rsidR="00E36422" w:rsidRPr="00E70587" w:rsidRDefault="00E36422" w:rsidP="009901E1">
            <w:pPr>
              <w:pStyle w:val="Tablecolumnheading"/>
              <w:spacing w:line="280" w:lineRule="exact"/>
              <w:rPr>
                <w:rFonts w:ascii="Arial" w:hAnsi="Arial"/>
                <w:color w:val="auto"/>
                <w:sz w:val="20"/>
                <w:szCs w:val="20"/>
                <w:lang w:val="en-IN"/>
              </w:rPr>
            </w:pPr>
          </w:p>
        </w:tc>
        <w:tc>
          <w:tcPr>
            <w:tcW w:w="1807" w:type="dxa"/>
            <w:tcBorders>
              <w:bottom w:val="single" w:sz="8" w:space="0" w:color="auto"/>
            </w:tcBorders>
            <w:tcMar>
              <w:left w:w="0" w:type="dxa"/>
              <w:right w:w="85" w:type="dxa"/>
            </w:tcMar>
            <w:vAlign w:val="bottom"/>
          </w:tcPr>
          <w:p w14:paraId="6ADF0772" w14:textId="716F7CB7" w:rsidR="00E36422" w:rsidRPr="00E70587" w:rsidRDefault="00F27F33" w:rsidP="009901E1">
            <w:pPr>
              <w:pStyle w:val="Tablecolumnheading"/>
              <w:spacing w:line="280" w:lineRule="exact"/>
              <w:rPr>
                <w:rFonts w:ascii="Arial" w:hAnsi="Arial"/>
                <w:color w:val="auto"/>
                <w:sz w:val="20"/>
                <w:szCs w:val="20"/>
                <w:lang w:val="en-IN"/>
              </w:rPr>
            </w:pPr>
            <w:r>
              <w:rPr>
                <w:rFonts w:ascii="Arial" w:hAnsi="Arial"/>
                <w:color w:val="auto"/>
                <w:sz w:val="20"/>
                <w:szCs w:val="20"/>
                <w:lang w:val="en-IN"/>
              </w:rPr>
              <w:t>Assurance</w:t>
            </w:r>
            <w:r w:rsidR="00D537EA">
              <w:rPr>
                <w:rFonts w:ascii="Arial" w:hAnsi="Arial"/>
                <w:color w:val="auto"/>
                <w:sz w:val="20"/>
                <w:szCs w:val="20"/>
                <w:lang w:val="en-IN"/>
              </w:rPr>
              <w:t xml:space="preserve"> type warranties</w:t>
            </w:r>
          </w:p>
        </w:tc>
        <w:tc>
          <w:tcPr>
            <w:tcW w:w="1807" w:type="dxa"/>
            <w:tcBorders>
              <w:bottom w:val="single" w:sz="8" w:space="0" w:color="auto"/>
            </w:tcBorders>
            <w:vAlign w:val="bottom"/>
          </w:tcPr>
          <w:p w14:paraId="092D9CE0" w14:textId="77777777" w:rsidR="00E36422" w:rsidRPr="00E70587" w:rsidRDefault="00E36422"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Total</w:t>
            </w:r>
          </w:p>
        </w:tc>
      </w:tr>
      <w:tr w:rsidR="00E36422" w:rsidRPr="00E70587" w14:paraId="0A997554" w14:textId="77777777" w:rsidTr="000A2ED4">
        <w:tc>
          <w:tcPr>
            <w:tcW w:w="5812" w:type="dxa"/>
          </w:tcPr>
          <w:p w14:paraId="1C608045" w14:textId="77777777" w:rsidR="00E36422" w:rsidRPr="00E70587" w:rsidRDefault="00E36422" w:rsidP="009901E1">
            <w:pPr>
              <w:pStyle w:val="tabletxteyg"/>
              <w:tabs>
                <w:tab w:val="clear" w:pos="9739"/>
              </w:tabs>
              <w:spacing w:before="0" w:after="0" w:line="280" w:lineRule="exact"/>
              <w:rPr>
                <w:rFonts w:ascii="Arial" w:hAnsi="Arial" w:cs="Arial"/>
                <w:color w:val="auto"/>
                <w:sz w:val="20"/>
              </w:rPr>
            </w:pPr>
          </w:p>
        </w:tc>
        <w:tc>
          <w:tcPr>
            <w:tcW w:w="1807" w:type="dxa"/>
            <w:tcBorders>
              <w:top w:val="single" w:sz="8" w:space="0" w:color="auto"/>
            </w:tcBorders>
          </w:tcPr>
          <w:p w14:paraId="3D258E70" w14:textId="77777777" w:rsidR="00E36422" w:rsidRPr="00E70587" w:rsidRDefault="00E36422"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807" w:type="dxa"/>
            <w:tcBorders>
              <w:top w:val="single" w:sz="8" w:space="0" w:color="auto"/>
            </w:tcBorders>
          </w:tcPr>
          <w:p w14:paraId="64D64171" w14:textId="77777777" w:rsidR="00E36422" w:rsidRPr="00E70587" w:rsidRDefault="00E36422"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r>
      <w:tr w:rsidR="00E36422" w:rsidRPr="00E70587" w14:paraId="637C87DA" w14:textId="77777777" w:rsidTr="000A2ED4">
        <w:tc>
          <w:tcPr>
            <w:tcW w:w="5812" w:type="dxa"/>
            <w:tcMar>
              <w:left w:w="57" w:type="dxa"/>
            </w:tcMar>
            <w:vAlign w:val="center"/>
          </w:tcPr>
          <w:p w14:paraId="3C36D2DC" w14:textId="5D106473" w:rsidR="00E36422" w:rsidRPr="00E70587" w:rsidRDefault="00E36422"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1 April </w:t>
            </w:r>
            <w:r w:rsidR="00565019" w:rsidRPr="00E70587">
              <w:rPr>
                <w:rFonts w:ascii="Arial" w:hAnsi="Arial" w:cs="Arial"/>
                <w:b/>
                <w:sz w:val="20"/>
                <w:lang w:val="en-IN"/>
              </w:rPr>
              <w:t>201</w:t>
            </w:r>
            <w:r w:rsidR="00CD21BB">
              <w:rPr>
                <w:rFonts w:ascii="Arial" w:hAnsi="Arial" w:cs="Arial"/>
                <w:b/>
                <w:sz w:val="20"/>
                <w:lang w:val="en-IN"/>
              </w:rPr>
              <w:t>9</w:t>
            </w:r>
          </w:p>
        </w:tc>
        <w:tc>
          <w:tcPr>
            <w:tcW w:w="1807" w:type="dxa"/>
          </w:tcPr>
          <w:p w14:paraId="1E44165E"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180 </w:t>
            </w:r>
          </w:p>
        </w:tc>
        <w:tc>
          <w:tcPr>
            <w:tcW w:w="1807" w:type="dxa"/>
          </w:tcPr>
          <w:p w14:paraId="351AE2D3"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 180 </w:t>
            </w:r>
          </w:p>
        </w:tc>
      </w:tr>
      <w:tr w:rsidR="00E36422" w:rsidRPr="00E70587" w14:paraId="2981232C" w14:textId="77777777" w:rsidTr="000A2ED4">
        <w:tc>
          <w:tcPr>
            <w:tcW w:w="5812" w:type="dxa"/>
            <w:tcMar>
              <w:left w:w="57" w:type="dxa"/>
              <w:right w:w="74" w:type="dxa"/>
            </w:tcMar>
            <w:vAlign w:val="center"/>
          </w:tcPr>
          <w:p w14:paraId="3B748FCF" w14:textId="77777777" w:rsidR="00E36422" w:rsidRPr="00E70587" w:rsidRDefault="00E3642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Arising during the year</w:t>
            </w:r>
          </w:p>
        </w:tc>
        <w:tc>
          <w:tcPr>
            <w:tcW w:w="1807" w:type="dxa"/>
            <w:tcBorders>
              <w:bottom w:val="single" w:sz="4" w:space="0" w:color="auto"/>
            </w:tcBorders>
            <w:tcMar>
              <w:left w:w="28" w:type="dxa"/>
              <w:right w:w="74" w:type="dxa"/>
            </w:tcMar>
          </w:tcPr>
          <w:p w14:paraId="01BDDB55"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135 </w:t>
            </w:r>
          </w:p>
        </w:tc>
        <w:tc>
          <w:tcPr>
            <w:tcW w:w="1807" w:type="dxa"/>
            <w:tcBorders>
              <w:bottom w:val="single" w:sz="4" w:space="0" w:color="auto"/>
            </w:tcBorders>
            <w:tcMar>
              <w:top w:w="28" w:type="dxa"/>
              <w:left w:w="28" w:type="dxa"/>
              <w:right w:w="74" w:type="dxa"/>
            </w:tcMar>
          </w:tcPr>
          <w:p w14:paraId="6B940B44" w14:textId="77777777" w:rsidR="00E36422" w:rsidRPr="00E70587" w:rsidRDefault="00E3642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135 </w:t>
            </w:r>
          </w:p>
        </w:tc>
      </w:tr>
      <w:tr w:rsidR="00E36422" w:rsidRPr="00E70587" w14:paraId="3BC7ECA0" w14:textId="77777777" w:rsidTr="000A2ED4">
        <w:tc>
          <w:tcPr>
            <w:tcW w:w="5812" w:type="dxa"/>
            <w:tcMar>
              <w:left w:w="57" w:type="dxa"/>
              <w:right w:w="28" w:type="dxa"/>
            </w:tcMar>
            <w:vAlign w:val="center"/>
          </w:tcPr>
          <w:p w14:paraId="5A2F15F1" w14:textId="382CB2AB" w:rsidR="00E36422" w:rsidRPr="00E70587" w:rsidRDefault="00E36422"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31 </w:t>
            </w:r>
            <w:r w:rsidR="008B730E" w:rsidRPr="00E70587">
              <w:rPr>
                <w:rFonts w:ascii="Arial" w:hAnsi="Arial" w:cs="Arial"/>
                <w:b/>
                <w:sz w:val="20"/>
                <w:lang w:val="en-IN"/>
              </w:rPr>
              <w:t>March 20</w:t>
            </w:r>
            <w:r w:rsidR="00CD21BB">
              <w:rPr>
                <w:rFonts w:ascii="Arial" w:hAnsi="Arial" w:cs="Arial"/>
                <w:b/>
                <w:sz w:val="20"/>
                <w:lang w:val="en-IN"/>
              </w:rPr>
              <w:t>20</w:t>
            </w:r>
          </w:p>
        </w:tc>
        <w:tc>
          <w:tcPr>
            <w:tcW w:w="1807" w:type="dxa"/>
            <w:tcBorders>
              <w:top w:val="single" w:sz="4" w:space="0" w:color="auto"/>
              <w:bottom w:val="double" w:sz="4" w:space="0" w:color="auto"/>
            </w:tcBorders>
          </w:tcPr>
          <w:p w14:paraId="5B6998EA"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315 </w:t>
            </w:r>
          </w:p>
        </w:tc>
        <w:tc>
          <w:tcPr>
            <w:tcW w:w="1807" w:type="dxa"/>
            <w:tcBorders>
              <w:top w:val="single" w:sz="4" w:space="0" w:color="auto"/>
              <w:bottom w:val="double" w:sz="4" w:space="0" w:color="auto"/>
            </w:tcBorders>
          </w:tcPr>
          <w:p w14:paraId="7D1C2517" w14:textId="77777777" w:rsidR="00E36422" w:rsidRPr="00E70587" w:rsidRDefault="00E3642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 315 </w:t>
            </w:r>
          </w:p>
        </w:tc>
      </w:tr>
      <w:tr w:rsidR="00C91F57" w:rsidRPr="00E70587" w14:paraId="1E7F2AD6" w14:textId="77777777" w:rsidTr="000A2ED4">
        <w:tblPrEx>
          <w:tblCellMar>
            <w:left w:w="72" w:type="dxa"/>
            <w:right w:w="72" w:type="dxa"/>
          </w:tblCellMar>
        </w:tblPrEx>
        <w:tc>
          <w:tcPr>
            <w:tcW w:w="5812" w:type="dxa"/>
            <w:tcMar>
              <w:left w:w="57" w:type="dxa"/>
              <w:right w:w="28" w:type="dxa"/>
            </w:tcMar>
            <w:vAlign w:val="center"/>
          </w:tcPr>
          <w:p w14:paraId="7FCD86F8" w14:textId="77777777" w:rsidR="00C91F57" w:rsidRPr="00E70587" w:rsidRDefault="00C91F57" w:rsidP="00C91F57">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Current</w:t>
            </w:r>
          </w:p>
        </w:tc>
        <w:tc>
          <w:tcPr>
            <w:tcW w:w="1807" w:type="dxa"/>
          </w:tcPr>
          <w:p w14:paraId="0ABFD7ED" w14:textId="77777777" w:rsidR="00C91F57" w:rsidRPr="00E70587" w:rsidRDefault="00C91F57" w:rsidP="00C91F57">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176 </w:t>
            </w:r>
          </w:p>
        </w:tc>
        <w:tc>
          <w:tcPr>
            <w:tcW w:w="1807" w:type="dxa"/>
          </w:tcPr>
          <w:p w14:paraId="7CCB4E13" w14:textId="77777777" w:rsidR="00C91F57" w:rsidRPr="00E70587" w:rsidRDefault="00C91F57" w:rsidP="00C91F57">
            <w:pPr>
              <w:overflowPunct/>
              <w:spacing w:line="280" w:lineRule="exact"/>
              <w:jc w:val="right"/>
              <w:textAlignment w:val="auto"/>
              <w:rPr>
                <w:rFonts w:ascii="Arial" w:hAnsi="Arial" w:cs="Arial"/>
                <w:sz w:val="20"/>
                <w:lang w:eastAsia="en-GB"/>
              </w:rPr>
            </w:pPr>
          </w:p>
        </w:tc>
      </w:tr>
      <w:tr w:rsidR="00C91F57" w:rsidRPr="00E70587" w14:paraId="37C64D1D" w14:textId="77777777" w:rsidTr="000A2ED4">
        <w:tblPrEx>
          <w:tblCellMar>
            <w:left w:w="72" w:type="dxa"/>
            <w:right w:w="72" w:type="dxa"/>
          </w:tblCellMar>
        </w:tblPrEx>
        <w:tc>
          <w:tcPr>
            <w:tcW w:w="5812" w:type="dxa"/>
            <w:tcMar>
              <w:left w:w="57" w:type="dxa"/>
              <w:right w:w="28" w:type="dxa"/>
            </w:tcMar>
            <w:vAlign w:val="center"/>
          </w:tcPr>
          <w:p w14:paraId="0F9B1801" w14:textId="77777777" w:rsidR="00C91F57" w:rsidRPr="00E70587" w:rsidRDefault="00C91F57" w:rsidP="00C91F57">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Non-current </w:t>
            </w:r>
          </w:p>
        </w:tc>
        <w:tc>
          <w:tcPr>
            <w:tcW w:w="1807" w:type="dxa"/>
          </w:tcPr>
          <w:p w14:paraId="4BF4A40C" w14:textId="77777777" w:rsidR="00C91F57" w:rsidRPr="00E70587" w:rsidRDefault="00C91F57" w:rsidP="00C91F57">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139 </w:t>
            </w:r>
          </w:p>
        </w:tc>
        <w:tc>
          <w:tcPr>
            <w:tcW w:w="1807" w:type="dxa"/>
          </w:tcPr>
          <w:p w14:paraId="0346375B" w14:textId="77777777" w:rsidR="00C91F57" w:rsidRPr="00E70587" w:rsidRDefault="00C91F57" w:rsidP="00C91F57">
            <w:pPr>
              <w:overflowPunct/>
              <w:spacing w:line="280" w:lineRule="exact"/>
              <w:jc w:val="right"/>
              <w:textAlignment w:val="auto"/>
              <w:rPr>
                <w:rFonts w:ascii="Arial" w:hAnsi="Arial" w:cs="Arial"/>
                <w:sz w:val="20"/>
                <w:lang w:eastAsia="en-GB"/>
              </w:rPr>
            </w:pPr>
          </w:p>
        </w:tc>
      </w:tr>
    </w:tbl>
    <w:p w14:paraId="4D892E13" w14:textId="77777777" w:rsidR="001411F1" w:rsidRPr="00E70587" w:rsidRDefault="001411F1" w:rsidP="00E36422">
      <w:pPr>
        <w:spacing w:line="280" w:lineRule="exact"/>
        <w:rPr>
          <w:rFonts w:ascii="Arial" w:hAnsi="Arial" w:cs="Arial"/>
          <w:sz w:val="20"/>
        </w:rPr>
      </w:pPr>
    </w:p>
    <w:tbl>
      <w:tblPr>
        <w:tblW w:w="9576" w:type="dxa"/>
        <w:tblLook w:val="0000" w:firstRow="0" w:lastRow="0" w:firstColumn="0" w:lastColumn="0" w:noHBand="0" w:noVBand="0"/>
      </w:tblPr>
      <w:tblGrid>
        <w:gridCol w:w="9576"/>
      </w:tblGrid>
      <w:tr w:rsidR="00E36422" w:rsidRPr="00E70587" w14:paraId="5DB74BF1" w14:textId="77777777" w:rsidTr="00E36422">
        <w:tc>
          <w:tcPr>
            <w:tcW w:w="0" w:type="auto"/>
          </w:tcPr>
          <w:p w14:paraId="22B965E5" w14:textId="25CF222A" w:rsidR="00E36422" w:rsidRPr="00E70587" w:rsidRDefault="00D403B9" w:rsidP="00E36422">
            <w:pPr>
              <w:pStyle w:val="tabletext"/>
              <w:overflowPunct w:val="0"/>
              <w:autoSpaceDE w:val="0"/>
              <w:autoSpaceDN w:val="0"/>
              <w:adjustRightInd w:val="0"/>
              <w:spacing w:line="280" w:lineRule="exact"/>
              <w:textAlignment w:val="baseline"/>
              <w:rPr>
                <w:rFonts w:ascii="Arial" w:hAnsi="Arial" w:cs="Arial"/>
                <w:b/>
                <w:sz w:val="20"/>
                <w:lang w:val="en-IN" w:eastAsia="en-IN"/>
              </w:rPr>
            </w:pPr>
            <w:r>
              <w:rPr>
                <w:rFonts w:ascii="Arial" w:hAnsi="Arial" w:cs="Arial"/>
                <w:b/>
                <w:sz w:val="20"/>
                <w:lang w:val="en-IN" w:eastAsia="en-IN"/>
              </w:rPr>
              <w:t>Assurance type</w:t>
            </w:r>
            <w:r w:rsidRPr="00E70587">
              <w:rPr>
                <w:rFonts w:ascii="Arial" w:hAnsi="Arial" w:cs="Arial"/>
                <w:b/>
                <w:sz w:val="20"/>
                <w:lang w:val="en-IN" w:eastAsia="en-IN"/>
              </w:rPr>
              <w:t xml:space="preserve"> </w:t>
            </w:r>
            <w:r w:rsidR="00E36422" w:rsidRPr="00E70587">
              <w:rPr>
                <w:rFonts w:ascii="Arial" w:hAnsi="Arial" w:cs="Arial"/>
                <w:b/>
                <w:sz w:val="20"/>
                <w:lang w:val="en-IN" w:eastAsia="en-IN"/>
              </w:rPr>
              <w:t>warranties</w:t>
            </w:r>
          </w:p>
          <w:p w14:paraId="3D86D79C" w14:textId="77777777" w:rsidR="00E36422" w:rsidRPr="00E70587" w:rsidRDefault="00E36422" w:rsidP="009901E1">
            <w:pPr>
              <w:pStyle w:val="IAStext"/>
              <w:overflowPunct w:val="0"/>
              <w:autoSpaceDE w:val="0"/>
              <w:autoSpaceDN w:val="0"/>
              <w:adjustRightInd w:val="0"/>
              <w:spacing w:line="280" w:lineRule="exact"/>
              <w:jc w:val="both"/>
              <w:textAlignment w:val="baseline"/>
              <w:rPr>
                <w:rFonts w:ascii="Arial" w:hAnsi="Arial" w:cs="Arial"/>
                <w:i w:val="0"/>
                <w:sz w:val="20"/>
                <w:lang w:val="en-IN"/>
              </w:rPr>
            </w:pPr>
          </w:p>
          <w:p w14:paraId="790A5835" w14:textId="77777777" w:rsidR="00E36422" w:rsidRPr="00E70587" w:rsidRDefault="00E36422" w:rsidP="009901E1">
            <w:pPr>
              <w:pStyle w:val="IAStext"/>
              <w:overflowPunct w:val="0"/>
              <w:autoSpaceDE w:val="0"/>
              <w:autoSpaceDN w:val="0"/>
              <w:adjustRightInd w:val="0"/>
              <w:spacing w:line="280" w:lineRule="exact"/>
              <w:jc w:val="both"/>
              <w:textAlignment w:val="baseline"/>
              <w:rPr>
                <w:rFonts w:ascii="Arial" w:hAnsi="Arial" w:cs="Arial"/>
                <w:i w:val="0"/>
                <w:sz w:val="20"/>
                <w:lang w:val="en-IN"/>
              </w:rPr>
            </w:pPr>
            <w:r w:rsidRPr="00E70587">
              <w:rPr>
                <w:rFonts w:ascii="Arial" w:hAnsi="Arial" w:cs="Arial"/>
                <w:i w:val="0"/>
                <w:sz w:val="20"/>
                <w:lang w:val="en-IN"/>
              </w:rPr>
              <w:t>A provision is recognised for expected warranty claims on products sold during the last two years, based on past experience of the level of repairs and returns. It is expected that most of these costs will be incurred in the next financial year and all will have been incurred within two years after the reporting date. Assumptions used to calculate the provision for warranties were based on current sales levels and current information available about returns based on the two-year warranty period for all products sold.</w:t>
            </w:r>
          </w:p>
          <w:p w14:paraId="1CE6CF9C" w14:textId="77777777" w:rsidR="00E36422" w:rsidRPr="00E70587" w:rsidRDefault="00E36422" w:rsidP="00E36422">
            <w:pPr>
              <w:pStyle w:val="Heading4"/>
              <w:spacing w:before="0" w:after="0" w:line="280" w:lineRule="exact"/>
              <w:jc w:val="both"/>
              <w:rPr>
                <w:rFonts w:ascii="Arial" w:hAnsi="Arial" w:cs="Arial"/>
                <w:szCs w:val="20"/>
              </w:rPr>
            </w:pPr>
          </w:p>
        </w:tc>
      </w:tr>
      <w:tr w:rsidR="00E36422" w:rsidRPr="00E70587" w14:paraId="53AD7532" w14:textId="77777777" w:rsidTr="00E36422">
        <w:tc>
          <w:tcPr>
            <w:tcW w:w="0" w:type="auto"/>
          </w:tcPr>
          <w:p w14:paraId="5BE94633" w14:textId="77777777" w:rsidR="00E36422" w:rsidRPr="00E70587" w:rsidRDefault="00E36422" w:rsidP="00E36422">
            <w:pPr>
              <w:pStyle w:val="tabletext"/>
              <w:overflowPunct w:val="0"/>
              <w:autoSpaceDE w:val="0"/>
              <w:autoSpaceDN w:val="0"/>
              <w:adjustRightInd w:val="0"/>
              <w:spacing w:line="280" w:lineRule="exact"/>
              <w:textAlignment w:val="baseline"/>
              <w:rPr>
                <w:rFonts w:ascii="Arial" w:hAnsi="Arial" w:cs="Arial"/>
                <w:b/>
                <w:sz w:val="20"/>
                <w:lang w:val="en-IN" w:eastAsia="en-IN"/>
              </w:rPr>
            </w:pPr>
            <w:r w:rsidRPr="00E70587">
              <w:rPr>
                <w:rFonts w:ascii="Arial" w:hAnsi="Arial" w:cs="Arial"/>
                <w:b/>
                <w:sz w:val="20"/>
                <w:lang w:val="en-IN" w:eastAsia="en-IN"/>
              </w:rPr>
              <w:t>Restructuring</w:t>
            </w:r>
          </w:p>
          <w:p w14:paraId="1F36F0B7" w14:textId="77777777" w:rsidR="00E36422" w:rsidRPr="00E70587" w:rsidRDefault="00E36422" w:rsidP="009901E1">
            <w:pPr>
              <w:pStyle w:val="Notesbodytext"/>
              <w:spacing w:after="0" w:line="280" w:lineRule="exact"/>
              <w:jc w:val="both"/>
              <w:rPr>
                <w:rFonts w:ascii="Arial" w:hAnsi="Arial"/>
                <w:color w:val="auto"/>
                <w:sz w:val="20"/>
              </w:rPr>
            </w:pPr>
          </w:p>
          <w:p w14:paraId="19BD5C52" w14:textId="43EB9A8A" w:rsidR="00E36422" w:rsidRPr="00E70587" w:rsidRDefault="00E36422" w:rsidP="00E36422">
            <w:pPr>
              <w:pStyle w:val="Notesbodytext"/>
              <w:spacing w:after="0" w:line="280" w:lineRule="exact"/>
              <w:jc w:val="both"/>
              <w:rPr>
                <w:rFonts w:ascii="Arial" w:hAnsi="Arial"/>
                <w:color w:val="auto"/>
                <w:sz w:val="20"/>
              </w:rPr>
            </w:pPr>
            <w:r w:rsidRPr="00E70587">
              <w:rPr>
                <w:rFonts w:ascii="Arial" w:hAnsi="Arial"/>
                <w:color w:val="auto"/>
                <w:sz w:val="20"/>
              </w:rPr>
              <w:t xml:space="preserve">Extinguishers Limited recorded a restructuring provision prior to the Group’s acquisition. The provision relates principally to the elimination of certain of its product lines. The restructuring plan was drawn up and announced to the employees of Extinguishers Limited in April </w:t>
            </w:r>
            <w:r w:rsidR="003B447F" w:rsidRPr="00E70587">
              <w:rPr>
                <w:rFonts w:ascii="Arial" w:hAnsi="Arial"/>
                <w:color w:val="auto"/>
                <w:sz w:val="20"/>
              </w:rPr>
              <w:t>20</w:t>
            </w:r>
            <w:r w:rsidR="003B447F">
              <w:rPr>
                <w:rFonts w:ascii="Arial" w:hAnsi="Arial"/>
                <w:color w:val="auto"/>
                <w:sz w:val="20"/>
              </w:rPr>
              <w:t>20</w:t>
            </w:r>
            <w:r w:rsidR="003B447F" w:rsidRPr="00E70587">
              <w:rPr>
                <w:rFonts w:ascii="Arial" w:hAnsi="Arial"/>
                <w:color w:val="auto"/>
                <w:sz w:val="20"/>
              </w:rPr>
              <w:t xml:space="preserve"> </w:t>
            </w:r>
            <w:r w:rsidRPr="00E70587">
              <w:rPr>
                <w:rFonts w:ascii="Arial" w:hAnsi="Arial"/>
                <w:color w:val="auto"/>
                <w:sz w:val="20"/>
              </w:rPr>
              <w:t xml:space="preserve">when the provision was recognised in its financial statements. The restructuring is expected to be completed by 31 March </w:t>
            </w:r>
            <w:r w:rsidR="003B447F" w:rsidRPr="00E70587">
              <w:rPr>
                <w:rFonts w:ascii="Arial" w:hAnsi="Arial"/>
                <w:color w:val="auto"/>
                <w:sz w:val="20"/>
              </w:rPr>
              <w:t>20</w:t>
            </w:r>
            <w:r w:rsidR="003B447F">
              <w:rPr>
                <w:rFonts w:ascii="Arial" w:hAnsi="Arial"/>
                <w:color w:val="auto"/>
                <w:sz w:val="20"/>
              </w:rPr>
              <w:t>23</w:t>
            </w:r>
            <w:r w:rsidRPr="00E70587">
              <w:rPr>
                <w:rFonts w:ascii="Arial" w:hAnsi="Arial"/>
                <w:color w:val="auto"/>
                <w:sz w:val="20"/>
              </w:rPr>
              <w:t>.</w:t>
            </w:r>
          </w:p>
          <w:p w14:paraId="108B8657" w14:textId="77777777" w:rsidR="00E36422" w:rsidRPr="00E70587" w:rsidRDefault="00E36422" w:rsidP="00E36422">
            <w:pPr>
              <w:pStyle w:val="Notesbodytext"/>
              <w:spacing w:after="0" w:line="280" w:lineRule="exact"/>
              <w:jc w:val="both"/>
              <w:rPr>
                <w:rFonts w:ascii="Arial" w:hAnsi="Arial"/>
                <w:color w:val="auto"/>
                <w:sz w:val="20"/>
              </w:rPr>
            </w:pPr>
          </w:p>
        </w:tc>
      </w:tr>
      <w:tr w:rsidR="00E36422" w:rsidRPr="00E70587" w14:paraId="7ABECBF6" w14:textId="77777777" w:rsidTr="00E36422">
        <w:tc>
          <w:tcPr>
            <w:tcW w:w="0" w:type="auto"/>
          </w:tcPr>
          <w:p w14:paraId="4075E4D8" w14:textId="77777777" w:rsidR="00E36422" w:rsidRPr="00E70587" w:rsidRDefault="00E36422" w:rsidP="00E36422">
            <w:pPr>
              <w:pStyle w:val="tabletext"/>
              <w:overflowPunct w:val="0"/>
              <w:autoSpaceDE w:val="0"/>
              <w:autoSpaceDN w:val="0"/>
              <w:adjustRightInd w:val="0"/>
              <w:spacing w:line="280" w:lineRule="exact"/>
              <w:textAlignment w:val="baseline"/>
              <w:rPr>
                <w:rFonts w:ascii="Arial" w:hAnsi="Arial" w:cs="Arial"/>
                <w:b/>
                <w:sz w:val="20"/>
                <w:lang w:val="en-IN" w:eastAsia="en-IN"/>
              </w:rPr>
            </w:pPr>
            <w:r w:rsidRPr="00E70587">
              <w:rPr>
                <w:rFonts w:ascii="Arial" w:hAnsi="Arial" w:cs="Arial"/>
                <w:b/>
                <w:sz w:val="20"/>
                <w:lang w:val="en-IN" w:eastAsia="en-IN"/>
              </w:rPr>
              <w:t>Decommissioning</w:t>
            </w:r>
          </w:p>
          <w:p w14:paraId="05D8F89B" w14:textId="77777777" w:rsidR="00E36422" w:rsidRPr="00E70587" w:rsidRDefault="00E36422" w:rsidP="009901E1">
            <w:pPr>
              <w:pStyle w:val="Notesbodytext"/>
              <w:spacing w:after="0" w:line="280" w:lineRule="exact"/>
              <w:jc w:val="both"/>
              <w:rPr>
                <w:rFonts w:ascii="Arial" w:hAnsi="Arial"/>
                <w:color w:val="auto"/>
                <w:sz w:val="20"/>
              </w:rPr>
            </w:pPr>
          </w:p>
          <w:p w14:paraId="6FC60662" w14:textId="1A26A1FF" w:rsidR="00E36422" w:rsidRPr="00E70587" w:rsidRDefault="00E36422" w:rsidP="00E36422">
            <w:pPr>
              <w:pStyle w:val="Notesbodytext"/>
              <w:spacing w:after="0" w:line="280" w:lineRule="exact"/>
              <w:jc w:val="both"/>
              <w:rPr>
                <w:rFonts w:ascii="Arial" w:hAnsi="Arial"/>
                <w:color w:val="auto"/>
                <w:sz w:val="20"/>
              </w:rPr>
            </w:pPr>
            <w:r w:rsidRPr="00E70587">
              <w:rPr>
                <w:rFonts w:ascii="Arial" w:hAnsi="Arial"/>
                <w:color w:val="auto"/>
                <w:sz w:val="20"/>
              </w:rPr>
              <w:lastRenderedPageBreak/>
              <w:t xml:space="preserve">A provision has been recognised for decommissioning costs associated with a factory owned by Extinguishers Limited. The Group is committed to decommissioning the site as a result of the construction of the manufacturing facility for the production of </w:t>
            </w:r>
            <w:r w:rsidR="00176145" w:rsidRPr="00E70587">
              <w:rPr>
                <w:rFonts w:ascii="Arial" w:hAnsi="Arial"/>
                <w:color w:val="auto"/>
                <w:sz w:val="20"/>
              </w:rPr>
              <w:t>fire-retardant</w:t>
            </w:r>
            <w:r w:rsidRPr="00E70587">
              <w:rPr>
                <w:rFonts w:ascii="Arial" w:hAnsi="Arial"/>
                <w:color w:val="auto"/>
                <w:sz w:val="20"/>
              </w:rPr>
              <w:t xml:space="preserve"> fabrics.</w:t>
            </w:r>
          </w:p>
          <w:p w14:paraId="1AEFC0A9" w14:textId="77777777" w:rsidR="00E36422" w:rsidRPr="00E70587" w:rsidRDefault="00E36422" w:rsidP="00E36422">
            <w:pPr>
              <w:pStyle w:val="Notesbodytext"/>
              <w:spacing w:after="0" w:line="280" w:lineRule="exact"/>
              <w:jc w:val="both"/>
              <w:rPr>
                <w:rFonts w:ascii="Arial" w:hAnsi="Arial"/>
                <w:color w:val="auto"/>
                <w:sz w:val="20"/>
              </w:rPr>
            </w:pPr>
          </w:p>
        </w:tc>
      </w:tr>
      <w:tr w:rsidR="00E36422" w:rsidRPr="00E70587" w14:paraId="265A3B80" w14:textId="77777777" w:rsidTr="00E36422">
        <w:tc>
          <w:tcPr>
            <w:tcW w:w="0" w:type="auto"/>
          </w:tcPr>
          <w:p w14:paraId="04A3A1E5" w14:textId="57216790" w:rsidR="00E36422" w:rsidRPr="00E70587" w:rsidRDefault="00176145" w:rsidP="00E36422">
            <w:pPr>
              <w:pStyle w:val="tabletext"/>
              <w:overflowPunct w:val="0"/>
              <w:autoSpaceDE w:val="0"/>
              <w:autoSpaceDN w:val="0"/>
              <w:adjustRightInd w:val="0"/>
              <w:spacing w:line="280" w:lineRule="exact"/>
              <w:textAlignment w:val="baseline"/>
              <w:rPr>
                <w:rFonts w:ascii="Arial" w:hAnsi="Arial" w:cs="Arial"/>
                <w:b/>
                <w:sz w:val="20"/>
                <w:lang w:val="en-IN" w:eastAsia="en-IN"/>
              </w:rPr>
            </w:pPr>
            <w:r>
              <w:rPr>
                <w:rFonts w:ascii="Arial" w:hAnsi="Arial" w:cs="Arial"/>
                <w:b/>
                <w:sz w:val="20"/>
                <w:lang w:val="en-IN" w:eastAsia="en-IN"/>
              </w:rPr>
              <w:lastRenderedPageBreak/>
              <w:t>Onerous contract</w:t>
            </w:r>
          </w:p>
          <w:p w14:paraId="148675AE" w14:textId="77777777" w:rsidR="00E36422" w:rsidRPr="00E70587" w:rsidRDefault="00E36422" w:rsidP="009901E1">
            <w:pPr>
              <w:pStyle w:val="Notesbodytext"/>
              <w:spacing w:after="0" w:line="280" w:lineRule="exact"/>
              <w:jc w:val="both"/>
              <w:rPr>
                <w:rFonts w:ascii="Arial" w:hAnsi="Arial"/>
                <w:color w:val="auto"/>
                <w:sz w:val="20"/>
              </w:rPr>
            </w:pPr>
          </w:p>
          <w:p w14:paraId="055D637D" w14:textId="378ED46F" w:rsidR="00E36422" w:rsidRPr="00E70587" w:rsidRDefault="00E36422" w:rsidP="009901E1">
            <w:pPr>
              <w:pStyle w:val="Notesbodytext"/>
              <w:spacing w:after="0" w:line="280" w:lineRule="exact"/>
              <w:jc w:val="both"/>
              <w:rPr>
                <w:rFonts w:ascii="Arial" w:hAnsi="Arial"/>
                <w:color w:val="auto"/>
                <w:sz w:val="20"/>
              </w:rPr>
            </w:pPr>
            <w:r w:rsidRPr="00E70587">
              <w:rPr>
                <w:rFonts w:ascii="Arial" w:hAnsi="Arial"/>
                <w:color w:val="auto"/>
                <w:sz w:val="20"/>
              </w:rPr>
              <w:t>On acquisition of Extinguishers Limited, a provision was recognised for the fact that the agreed upon lease payments on the lease were significantly higher than the market rate at acquisition. The provision has been calculated based on the difference between the market rate and the rate paid.</w:t>
            </w:r>
          </w:p>
          <w:p w14:paraId="6ABE6CA1" w14:textId="77777777" w:rsidR="00E36422" w:rsidRPr="00E70587" w:rsidRDefault="00E36422" w:rsidP="009901E1">
            <w:pPr>
              <w:pStyle w:val="Notesbodytext"/>
              <w:spacing w:after="0" w:line="280" w:lineRule="exact"/>
              <w:rPr>
                <w:rFonts w:ascii="Arial" w:hAnsi="Arial"/>
                <w:color w:val="auto"/>
                <w:sz w:val="20"/>
              </w:rPr>
            </w:pPr>
          </w:p>
        </w:tc>
      </w:tr>
    </w:tbl>
    <w:p w14:paraId="6EA95D43" w14:textId="77777777" w:rsidR="002E4A62" w:rsidRPr="00E70587" w:rsidRDefault="002E4A62" w:rsidP="002E4A62">
      <w:pPr>
        <w:pStyle w:val="ViralheadingL2"/>
        <w:keepNext w:val="0"/>
        <w:spacing w:before="0" w:after="0" w:line="280" w:lineRule="exact"/>
        <w:outlineLvl w:val="9"/>
        <w:rPr>
          <w:rFonts w:ascii="Arial" w:hAnsi="Arial" w:cs="Arial"/>
          <w:b w:val="0"/>
          <w:sz w:val="20"/>
          <w:szCs w:val="20"/>
        </w:rPr>
      </w:pPr>
    </w:p>
    <w:p w14:paraId="726BC348" w14:textId="77777777" w:rsidR="00FB0C73" w:rsidRPr="00E70587" w:rsidRDefault="00FB0C73"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Government grants</w:t>
      </w:r>
    </w:p>
    <w:p w14:paraId="2B2F8962" w14:textId="77777777" w:rsidR="002E4A62" w:rsidRPr="00E70587" w:rsidRDefault="002E4A62" w:rsidP="002E4A62">
      <w:pPr>
        <w:pStyle w:val="ViralheadingL2"/>
        <w:keepNext w:val="0"/>
        <w:spacing w:before="0" w:after="0" w:line="280" w:lineRule="exact"/>
        <w:outlineLvl w:val="9"/>
        <w:rPr>
          <w:rFonts w:ascii="Arial" w:hAnsi="Arial" w:cs="Arial"/>
          <w:b w:val="0"/>
          <w:sz w:val="20"/>
          <w:szCs w:val="20"/>
        </w:rPr>
      </w:pPr>
    </w:p>
    <w:tbl>
      <w:tblPr>
        <w:tblW w:w="9607" w:type="dxa"/>
        <w:tblLayout w:type="fixed"/>
        <w:tblLook w:val="01E0" w:firstRow="1" w:lastRow="1" w:firstColumn="1" w:lastColumn="1" w:noHBand="0" w:noVBand="0"/>
      </w:tblPr>
      <w:tblGrid>
        <w:gridCol w:w="6379"/>
        <w:gridCol w:w="1614"/>
        <w:gridCol w:w="1614"/>
      </w:tblGrid>
      <w:tr w:rsidR="00330EAA" w:rsidRPr="00E70587" w14:paraId="3FE228EF" w14:textId="77777777" w:rsidTr="000A2ED4">
        <w:tc>
          <w:tcPr>
            <w:tcW w:w="6379" w:type="dxa"/>
            <w:shd w:val="clear" w:color="auto" w:fill="auto"/>
          </w:tcPr>
          <w:p w14:paraId="59B6418D" w14:textId="77777777" w:rsidR="00330EAA" w:rsidRPr="00E70587" w:rsidRDefault="00330EAA" w:rsidP="009901E1">
            <w:pPr>
              <w:pStyle w:val="000Normal"/>
              <w:spacing w:before="0" w:after="0" w:line="280" w:lineRule="exact"/>
              <w:rPr>
                <w:rFonts w:ascii="Arial" w:hAnsi="Arial" w:cs="Arial"/>
                <w:sz w:val="20"/>
              </w:rPr>
            </w:pPr>
          </w:p>
        </w:tc>
        <w:tc>
          <w:tcPr>
            <w:tcW w:w="1614" w:type="dxa"/>
            <w:tcBorders>
              <w:bottom w:val="single" w:sz="4" w:space="0" w:color="auto"/>
            </w:tcBorders>
            <w:shd w:val="clear" w:color="auto" w:fill="auto"/>
            <w:vAlign w:val="center"/>
          </w:tcPr>
          <w:p w14:paraId="3FFDACF8" w14:textId="7D7866FC" w:rsidR="00330EAA" w:rsidRPr="00E70587" w:rsidRDefault="00330EAA" w:rsidP="00FD2D3F">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 xml:space="preserve">31 March </w:t>
            </w:r>
            <w:r w:rsidR="00720D8A" w:rsidRPr="00E70587">
              <w:rPr>
                <w:rFonts w:ascii="Arial" w:hAnsi="Arial"/>
                <w:color w:val="auto"/>
                <w:sz w:val="20"/>
                <w:szCs w:val="20"/>
                <w:lang w:val="en-IN"/>
              </w:rPr>
              <w:t>20</w:t>
            </w:r>
            <w:r w:rsidR="00720D8A">
              <w:rPr>
                <w:rFonts w:ascii="Arial" w:hAnsi="Arial"/>
                <w:color w:val="auto"/>
                <w:sz w:val="20"/>
                <w:szCs w:val="20"/>
                <w:lang w:val="en-IN"/>
              </w:rPr>
              <w:t>21</w:t>
            </w:r>
          </w:p>
        </w:tc>
        <w:tc>
          <w:tcPr>
            <w:tcW w:w="1614" w:type="dxa"/>
            <w:tcBorders>
              <w:bottom w:val="single" w:sz="4" w:space="0" w:color="auto"/>
            </w:tcBorders>
            <w:shd w:val="clear" w:color="auto" w:fill="auto"/>
            <w:vAlign w:val="center"/>
          </w:tcPr>
          <w:p w14:paraId="01E16B68" w14:textId="0F13C863" w:rsidR="00330EAA" w:rsidRPr="00E70587" w:rsidRDefault="00330EAA" w:rsidP="00FD2D3F">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 xml:space="preserve">31 March </w:t>
            </w:r>
            <w:r w:rsidR="00720D8A" w:rsidRPr="00E70587">
              <w:rPr>
                <w:rFonts w:ascii="Arial" w:hAnsi="Arial"/>
                <w:color w:val="auto"/>
                <w:sz w:val="20"/>
                <w:szCs w:val="20"/>
                <w:lang w:val="en-IN"/>
              </w:rPr>
              <w:t>20</w:t>
            </w:r>
            <w:r w:rsidR="00720D8A">
              <w:rPr>
                <w:rFonts w:ascii="Arial" w:hAnsi="Arial"/>
                <w:color w:val="auto"/>
                <w:sz w:val="20"/>
                <w:szCs w:val="20"/>
                <w:lang w:val="en-IN"/>
              </w:rPr>
              <w:t>20</w:t>
            </w:r>
          </w:p>
        </w:tc>
      </w:tr>
      <w:tr w:rsidR="00330EAA" w:rsidRPr="00E70587" w14:paraId="19824956" w14:textId="77777777" w:rsidTr="000A2ED4">
        <w:tc>
          <w:tcPr>
            <w:tcW w:w="6379" w:type="dxa"/>
          </w:tcPr>
          <w:p w14:paraId="62491C7C" w14:textId="77777777" w:rsidR="00330EAA" w:rsidRPr="00E70587" w:rsidRDefault="00330EAA" w:rsidP="009901E1">
            <w:pPr>
              <w:pStyle w:val="000Normal"/>
              <w:spacing w:before="0" w:after="0" w:line="280" w:lineRule="exact"/>
              <w:jc w:val="right"/>
              <w:rPr>
                <w:rFonts w:ascii="Arial" w:hAnsi="Arial" w:cs="Arial"/>
                <w:b/>
                <w:sz w:val="20"/>
              </w:rPr>
            </w:pPr>
          </w:p>
        </w:tc>
        <w:tc>
          <w:tcPr>
            <w:tcW w:w="1614" w:type="dxa"/>
            <w:tcBorders>
              <w:top w:val="single" w:sz="4" w:space="0" w:color="auto"/>
            </w:tcBorders>
            <w:vAlign w:val="center"/>
          </w:tcPr>
          <w:p w14:paraId="29D6B2B7" w14:textId="77777777" w:rsidR="00330EAA" w:rsidRPr="00E70587" w:rsidRDefault="00330EAA" w:rsidP="00FD2D3F">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c>
          <w:tcPr>
            <w:tcW w:w="1614" w:type="dxa"/>
            <w:tcBorders>
              <w:top w:val="single" w:sz="4" w:space="0" w:color="auto"/>
            </w:tcBorders>
            <w:vAlign w:val="center"/>
          </w:tcPr>
          <w:p w14:paraId="2C92DF03" w14:textId="77777777" w:rsidR="00330EAA" w:rsidRPr="00E70587" w:rsidRDefault="00330EAA" w:rsidP="00FD2D3F">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r>
      <w:tr w:rsidR="00330EAA" w:rsidRPr="00E70587" w14:paraId="5F564988" w14:textId="77777777" w:rsidTr="000A2ED4">
        <w:tc>
          <w:tcPr>
            <w:tcW w:w="6379" w:type="dxa"/>
          </w:tcPr>
          <w:p w14:paraId="36443A84"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At 1 April</w:t>
            </w:r>
          </w:p>
        </w:tc>
        <w:tc>
          <w:tcPr>
            <w:tcW w:w="1614" w:type="dxa"/>
          </w:tcPr>
          <w:p w14:paraId="72859E5C" w14:textId="77777777" w:rsidR="00330EAA" w:rsidRPr="00E70587" w:rsidRDefault="00330EAA" w:rsidP="009901E1">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2,792</w:t>
            </w:r>
          </w:p>
        </w:tc>
        <w:tc>
          <w:tcPr>
            <w:tcW w:w="1614" w:type="dxa"/>
          </w:tcPr>
          <w:p w14:paraId="0B192969" w14:textId="77777777" w:rsidR="00330EAA" w:rsidRPr="00E70587" w:rsidRDefault="00330EAA" w:rsidP="009901E1">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2,610</w:t>
            </w:r>
          </w:p>
        </w:tc>
      </w:tr>
      <w:tr w:rsidR="00330EAA" w:rsidRPr="00E70587" w14:paraId="283EDAE6" w14:textId="77777777" w:rsidTr="000A2ED4">
        <w:tc>
          <w:tcPr>
            <w:tcW w:w="6379" w:type="dxa"/>
          </w:tcPr>
          <w:p w14:paraId="0C4FBC94"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Received during the year</w:t>
            </w:r>
          </w:p>
        </w:tc>
        <w:tc>
          <w:tcPr>
            <w:tcW w:w="1614" w:type="dxa"/>
          </w:tcPr>
          <w:p w14:paraId="6A0228E5"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5,311</w:t>
            </w:r>
          </w:p>
        </w:tc>
        <w:tc>
          <w:tcPr>
            <w:tcW w:w="1614" w:type="dxa"/>
          </w:tcPr>
          <w:p w14:paraId="6FE7BCB2"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1,156</w:t>
            </w:r>
          </w:p>
        </w:tc>
      </w:tr>
      <w:tr w:rsidR="00330EAA" w:rsidRPr="00E70587" w14:paraId="549A9A8B" w14:textId="77777777" w:rsidTr="000A2ED4">
        <w:tc>
          <w:tcPr>
            <w:tcW w:w="6379" w:type="dxa"/>
          </w:tcPr>
          <w:p w14:paraId="0E606221"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Released to the statement of profit and loss</w:t>
            </w:r>
          </w:p>
        </w:tc>
        <w:tc>
          <w:tcPr>
            <w:tcW w:w="1614" w:type="dxa"/>
            <w:tcBorders>
              <w:bottom w:val="single" w:sz="4" w:space="0" w:color="auto"/>
            </w:tcBorders>
            <w:tcMar>
              <w:right w:w="28" w:type="dxa"/>
            </w:tcMar>
          </w:tcPr>
          <w:p w14:paraId="22A144C9"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(1,895)</w:t>
            </w:r>
          </w:p>
        </w:tc>
        <w:tc>
          <w:tcPr>
            <w:tcW w:w="1614" w:type="dxa"/>
            <w:tcBorders>
              <w:bottom w:val="single" w:sz="4" w:space="0" w:color="auto"/>
            </w:tcBorders>
            <w:tcMar>
              <w:right w:w="28" w:type="dxa"/>
            </w:tcMar>
          </w:tcPr>
          <w:p w14:paraId="1FD8A0B9"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(974)</w:t>
            </w:r>
          </w:p>
        </w:tc>
      </w:tr>
      <w:tr w:rsidR="00330EAA" w:rsidRPr="00E70587" w14:paraId="00B735EA" w14:textId="77777777" w:rsidTr="000A2ED4">
        <w:tc>
          <w:tcPr>
            <w:tcW w:w="6379" w:type="dxa"/>
          </w:tcPr>
          <w:p w14:paraId="4A27AF52"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At 31 March</w:t>
            </w:r>
          </w:p>
        </w:tc>
        <w:tc>
          <w:tcPr>
            <w:tcW w:w="1614" w:type="dxa"/>
            <w:tcBorders>
              <w:top w:val="single" w:sz="4" w:space="0" w:color="auto"/>
              <w:bottom w:val="double" w:sz="4" w:space="0" w:color="auto"/>
            </w:tcBorders>
          </w:tcPr>
          <w:p w14:paraId="6F7DBB0C" w14:textId="77777777" w:rsidR="00330EAA" w:rsidRPr="00E70587" w:rsidRDefault="00330EA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6,208</w:t>
            </w:r>
          </w:p>
        </w:tc>
        <w:tc>
          <w:tcPr>
            <w:tcW w:w="1614" w:type="dxa"/>
            <w:tcBorders>
              <w:top w:val="single" w:sz="4" w:space="0" w:color="auto"/>
              <w:bottom w:val="double" w:sz="4" w:space="0" w:color="auto"/>
            </w:tcBorders>
          </w:tcPr>
          <w:p w14:paraId="457DA888" w14:textId="77777777" w:rsidR="00330EAA" w:rsidRPr="00E70587" w:rsidRDefault="00330EA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2,792</w:t>
            </w:r>
          </w:p>
        </w:tc>
      </w:tr>
      <w:tr w:rsidR="00330EAA" w:rsidRPr="00E70587" w14:paraId="47440AA3" w14:textId="77777777" w:rsidTr="000A2ED4">
        <w:tc>
          <w:tcPr>
            <w:tcW w:w="6379" w:type="dxa"/>
          </w:tcPr>
          <w:p w14:paraId="0F9BF095"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614" w:type="dxa"/>
            <w:tcBorders>
              <w:top w:val="double" w:sz="4" w:space="0" w:color="auto"/>
            </w:tcBorders>
          </w:tcPr>
          <w:p w14:paraId="6C693BCD" w14:textId="77777777" w:rsidR="00330EAA" w:rsidRPr="00E70587" w:rsidRDefault="00330EAA" w:rsidP="009901E1">
            <w:pPr>
              <w:overflowPunct/>
              <w:spacing w:line="280" w:lineRule="exact"/>
              <w:jc w:val="right"/>
              <w:textAlignment w:val="auto"/>
              <w:rPr>
                <w:rFonts w:ascii="Arial" w:hAnsi="Arial" w:cs="Arial"/>
                <w:sz w:val="20"/>
                <w:lang w:eastAsia="en-GB"/>
              </w:rPr>
            </w:pPr>
          </w:p>
        </w:tc>
        <w:tc>
          <w:tcPr>
            <w:tcW w:w="1614" w:type="dxa"/>
            <w:tcBorders>
              <w:top w:val="double" w:sz="4" w:space="0" w:color="auto"/>
            </w:tcBorders>
          </w:tcPr>
          <w:p w14:paraId="1C280B3E" w14:textId="77777777" w:rsidR="00330EAA" w:rsidRPr="00E70587" w:rsidRDefault="00330EAA" w:rsidP="009901E1">
            <w:pPr>
              <w:overflowPunct/>
              <w:spacing w:line="280" w:lineRule="exact"/>
              <w:jc w:val="right"/>
              <w:textAlignment w:val="auto"/>
              <w:rPr>
                <w:rFonts w:ascii="Arial" w:hAnsi="Arial" w:cs="Arial"/>
                <w:sz w:val="20"/>
                <w:lang w:eastAsia="en-GB"/>
              </w:rPr>
            </w:pPr>
          </w:p>
        </w:tc>
      </w:tr>
      <w:tr w:rsidR="00330EAA" w:rsidRPr="00E70587" w14:paraId="7FF9F8DA" w14:textId="77777777" w:rsidTr="000A2ED4">
        <w:tc>
          <w:tcPr>
            <w:tcW w:w="6379" w:type="dxa"/>
          </w:tcPr>
          <w:p w14:paraId="1858E323"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14" w:type="dxa"/>
          </w:tcPr>
          <w:p w14:paraId="250E79FA" w14:textId="77777777" w:rsidR="00330EAA" w:rsidRPr="00E70587" w:rsidRDefault="00330EAA" w:rsidP="009901E1">
            <w:pPr>
              <w:overflowPunct/>
              <w:spacing w:line="280" w:lineRule="exact"/>
              <w:jc w:val="right"/>
              <w:textAlignment w:val="auto"/>
              <w:rPr>
                <w:rFonts w:ascii="Arial" w:hAnsi="Arial" w:cs="Arial"/>
                <w:sz w:val="20"/>
                <w:lang w:eastAsia="en-GB"/>
              </w:rPr>
            </w:pPr>
          </w:p>
        </w:tc>
        <w:tc>
          <w:tcPr>
            <w:tcW w:w="1614" w:type="dxa"/>
          </w:tcPr>
          <w:p w14:paraId="376A3181" w14:textId="77777777" w:rsidR="00330EAA" w:rsidRPr="00E70587" w:rsidRDefault="00330EAA" w:rsidP="009901E1">
            <w:pPr>
              <w:overflowPunct/>
              <w:spacing w:line="280" w:lineRule="exact"/>
              <w:jc w:val="right"/>
              <w:textAlignment w:val="auto"/>
              <w:rPr>
                <w:rFonts w:ascii="Arial" w:hAnsi="Arial" w:cs="Arial"/>
                <w:sz w:val="20"/>
                <w:lang w:eastAsia="en-GB"/>
              </w:rPr>
            </w:pPr>
          </w:p>
        </w:tc>
      </w:tr>
      <w:tr w:rsidR="00330EAA" w:rsidRPr="00E70587" w14:paraId="645040A1" w14:textId="77777777" w:rsidTr="000A2ED4">
        <w:tc>
          <w:tcPr>
            <w:tcW w:w="6379" w:type="dxa"/>
          </w:tcPr>
          <w:p w14:paraId="33CCBEFA"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Current</w:t>
            </w:r>
          </w:p>
        </w:tc>
        <w:tc>
          <w:tcPr>
            <w:tcW w:w="1614" w:type="dxa"/>
          </w:tcPr>
          <w:p w14:paraId="50C7595B"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268</w:t>
            </w:r>
          </w:p>
        </w:tc>
        <w:tc>
          <w:tcPr>
            <w:tcW w:w="1614" w:type="dxa"/>
          </w:tcPr>
          <w:p w14:paraId="0ABBDE6A"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272</w:t>
            </w:r>
          </w:p>
        </w:tc>
      </w:tr>
      <w:tr w:rsidR="00330EAA" w:rsidRPr="00E70587" w14:paraId="066EB42F" w14:textId="77777777" w:rsidTr="000A2ED4">
        <w:tc>
          <w:tcPr>
            <w:tcW w:w="6379" w:type="dxa"/>
          </w:tcPr>
          <w:p w14:paraId="75CC3C33"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Non-current</w:t>
            </w:r>
          </w:p>
        </w:tc>
        <w:tc>
          <w:tcPr>
            <w:tcW w:w="1614" w:type="dxa"/>
            <w:tcBorders>
              <w:bottom w:val="single" w:sz="4" w:space="0" w:color="auto"/>
            </w:tcBorders>
          </w:tcPr>
          <w:p w14:paraId="372E56F5"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5,940</w:t>
            </w:r>
          </w:p>
        </w:tc>
        <w:tc>
          <w:tcPr>
            <w:tcW w:w="1614" w:type="dxa"/>
            <w:tcBorders>
              <w:bottom w:val="single" w:sz="4" w:space="0" w:color="auto"/>
            </w:tcBorders>
          </w:tcPr>
          <w:p w14:paraId="07CAB42C"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2,520</w:t>
            </w:r>
          </w:p>
        </w:tc>
      </w:tr>
      <w:tr w:rsidR="00330EAA" w:rsidRPr="00E70587" w14:paraId="449F085B" w14:textId="77777777" w:rsidTr="000A2ED4">
        <w:tc>
          <w:tcPr>
            <w:tcW w:w="6379" w:type="dxa"/>
          </w:tcPr>
          <w:p w14:paraId="60032B64"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14" w:type="dxa"/>
            <w:tcBorders>
              <w:top w:val="single" w:sz="4" w:space="0" w:color="auto"/>
              <w:bottom w:val="double" w:sz="4" w:space="0" w:color="auto"/>
            </w:tcBorders>
          </w:tcPr>
          <w:p w14:paraId="74A47DA2" w14:textId="77777777" w:rsidR="00330EAA" w:rsidRPr="00E70587" w:rsidRDefault="00330EA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6,208</w:t>
            </w:r>
          </w:p>
        </w:tc>
        <w:tc>
          <w:tcPr>
            <w:tcW w:w="1614" w:type="dxa"/>
            <w:tcBorders>
              <w:top w:val="single" w:sz="4" w:space="0" w:color="auto"/>
              <w:bottom w:val="double" w:sz="4" w:space="0" w:color="auto"/>
            </w:tcBorders>
          </w:tcPr>
          <w:p w14:paraId="657495AD" w14:textId="77777777" w:rsidR="00330EAA" w:rsidRPr="00E70587" w:rsidRDefault="00330EA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2,792</w:t>
            </w:r>
          </w:p>
        </w:tc>
      </w:tr>
    </w:tbl>
    <w:p w14:paraId="2410643A" w14:textId="77777777" w:rsidR="00FB0C73" w:rsidRPr="00E70587" w:rsidRDefault="00FB0C73" w:rsidP="002E4A62">
      <w:pPr>
        <w:pStyle w:val="ViralheadingL2"/>
        <w:keepNext w:val="0"/>
        <w:spacing w:before="0" w:after="0" w:line="280" w:lineRule="exact"/>
        <w:outlineLvl w:val="9"/>
        <w:rPr>
          <w:rFonts w:ascii="Arial" w:hAnsi="Arial" w:cs="Arial"/>
          <w:b w:val="0"/>
          <w:sz w:val="20"/>
          <w:szCs w:val="20"/>
        </w:rPr>
      </w:pPr>
    </w:p>
    <w:p w14:paraId="23E1BE64" w14:textId="17419F70" w:rsidR="00FB0C73" w:rsidRDefault="00FB0C73" w:rsidP="002E4A62">
      <w:pPr>
        <w:pStyle w:val="ViralheadingL2"/>
        <w:keepNext w:val="0"/>
        <w:spacing w:before="0" w:after="0" w:line="280" w:lineRule="exact"/>
        <w:jc w:val="both"/>
        <w:outlineLvl w:val="9"/>
        <w:rPr>
          <w:rFonts w:ascii="Arial" w:hAnsi="Arial" w:cs="Arial"/>
          <w:b w:val="0"/>
          <w:sz w:val="20"/>
          <w:szCs w:val="20"/>
        </w:rPr>
      </w:pPr>
      <w:r w:rsidRPr="00E70587">
        <w:rPr>
          <w:rFonts w:ascii="Arial" w:hAnsi="Arial" w:cs="Arial"/>
          <w:b w:val="0"/>
          <w:sz w:val="20"/>
          <w:szCs w:val="20"/>
        </w:rPr>
        <w:t>Government grants have been received for the purchase of certain items of property, plant and equipment. There are no unfulfilled conditions or contingencies attached to these grants.</w:t>
      </w:r>
    </w:p>
    <w:p w14:paraId="4B8E4F46" w14:textId="4E35FE4D" w:rsidR="00E94FA5" w:rsidRDefault="00E94FA5" w:rsidP="002E4A62">
      <w:pPr>
        <w:pStyle w:val="ViralheadingL2"/>
        <w:keepNext w:val="0"/>
        <w:spacing w:before="0" w:after="0" w:line="280" w:lineRule="exact"/>
        <w:jc w:val="both"/>
        <w:outlineLvl w:val="9"/>
        <w:rPr>
          <w:rFonts w:ascii="Arial" w:hAnsi="Arial" w:cs="Arial"/>
          <w:b w:val="0"/>
          <w:sz w:val="20"/>
          <w:szCs w:val="20"/>
        </w:rPr>
      </w:pPr>
    </w:p>
    <w:p w14:paraId="307BD484" w14:textId="09EF006E" w:rsidR="00E94FA5" w:rsidRPr="00947A9C" w:rsidRDefault="00E94FA5" w:rsidP="00947A9C">
      <w:pPr>
        <w:pStyle w:val="ViralheadingL2"/>
        <w:shd w:val="clear" w:color="auto" w:fill="C1C1C1" w:themeFill="background2" w:themeFillTint="66"/>
        <w:spacing w:line="280" w:lineRule="exact"/>
        <w:jc w:val="both"/>
        <w:rPr>
          <w:rFonts w:ascii="Arial" w:hAnsi="Arial" w:cs="Arial"/>
          <w:bCs w:val="0"/>
          <w:sz w:val="20"/>
          <w:szCs w:val="20"/>
        </w:rPr>
      </w:pPr>
      <w:r w:rsidRPr="00947A9C">
        <w:rPr>
          <w:rFonts w:ascii="Arial" w:hAnsi="Arial" w:cs="Arial"/>
          <w:bCs w:val="0"/>
          <w:sz w:val="20"/>
          <w:szCs w:val="20"/>
        </w:rPr>
        <w:t xml:space="preserve">Covid-19 commentary </w:t>
      </w:r>
    </w:p>
    <w:p w14:paraId="30F02F96" w14:textId="77777777" w:rsidR="00E94FA5" w:rsidRPr="00E94FA5" w:rsidRDefault="00E94FA5" w:rsidP="00947A9C">
      <w:pPr>
        <w:pStyle w:val="ViralheadingL2"/>
        <w:shd w:val="clear" w:color="auto" w:fill="C1C1C1" w:themeFill="background2" w:themeFillTint="66"/>
        <w:spacing w:line="280" w:lineRule="exact"/>
        <w:jc w:val="both"/>
        <w:rPr>
          <w:rFonts w:ascii="Arial" w:hAnsi="Arial" w:cs="Arial"/>
          <w:b w:val="0"/>
          <w:sz w:val="20"/>
          <w:szCs w:val="20"/>
        </w:rPr>
      </w:pPr>
    </w:p>
    <w:p w14:paraId="3E84EFD0" w14:textId="70271916" w:rsidR="00E94FA5" w:rsidRPr="00E94FA5" w:rsidRDefault="00E94FA5" w:rsidP="00947A9C">
      <w:pPr>
        <w:pStyle w:val="ViralheadingL2"/>
        <w:shd w:val="clear" w:color="auto" w:fill="C1C1C1" w:themeFill="background2" w:themeFillTint="66"/>
        <w:spacing w:line="280" w:lineRule="exact"/>
        <w:jc w:val="both"/>
        <w:rPr>
          <w:rFonts w:ascii="Arial" w:hAnsi="Arial" w:cs="Arial"/>
          <w:b w:val="0"/>
          <w:sz w:val="20"/>
          <w:szCs w:val="20"/>
        </w:rPr>
      </w:pPr>
      <w:r w:rsidRPr="00E94FA5">
        <w:rPr>
          <w:rFonts w:ascii="Arial" w:hAnsi="Arial" w:cs="Arial"/>
          <w:b w:val="0"/>
          <w:sz w:val="20"/>
          <w:szCs w:val="20"/>
        </w:rPr>
        <w:t>In an attempt to mitigate the impact of the Covid-19 pandemic, governments in many countries have introduced measures to aid entities. These measures include direct subsidies, tax exemptions, tax reductions and credits, extended expiry period of unused tax losses, reduction of public levies, rental reductions or deferrals and low interest loans. Whilst some of these measures meet the definition of government grants under I</w:t>
      </w:r>
      <w:r w:rsidR="00947A9C">
        <w:rPr>
          <w:rFonts w:ascii="Arial" w:hAnsi="Arial" w:cs="Arial"/>
          <w:b w:val="0"/>
          <w:sz w:val="20"/>
          <w:szCs w:val="20"/>
        </w:rPr>
        <w:t xml:space="preserve">nd </w:t>
      </w:r>
      <w:r w:rsidRPr="00E94FA5">
        <w:rPr>
          <w:rFonts w:ascii="Arial" w:hAnsi="Arial" w:cs="Arial"/>
          <w:b w:val="0"/>
          <w:sz w:val="20"/>
          <w:szCs w:val="20"/>
        </w:rPr>
        <w:t>AS 20 Accounting for Government Grants and Disclosure of Government Assistance, others do not. Accordingly, entities should analyse all facts and circumstances carefully to apply the appropriate relevant accounting standards which may include, for instance, I</w:t>
      </w:r>
      <w:r w:rsidR="00947A9C">
        <w:rPr>
          <w:rFonts w:ascii="Arial" w:hAnsi="Arial" w:cs="Arial"/>
          <w:b w:val="0"/>
          <w:sz w:val="20"/>
          <w:szCs w:val="20"/>
        </w:rPr>
        <w:t>nd A</w:t>
      </w:r>
      <w:r w:rsidRPr="00E94FA5">
        <w:rPr>
          <w:rFonts w:ascii="Arial" w:hAnsi="Arial" w:cs="Arial"/>
          <w:b w:val="0"/>
          <w:sz w:val="20"/>
          <w:szCs w:val="20"/>
        </w:rPr>
        <w:t xml:space="preserve">S </w:t>
      </w:r>
      <w:r w:rsidR="00947A9C">
        <w:rPr>
          <w:rFonts w:ascii="Arial" w:hAnsi="Arial" w:cs="Arial"/>
          <w:b w:val="0"/>
          <w:sz w:val="20"/>
          <w:szCs w:val="20"/>
        </w:rPr>
        <w:t>10</w:t>
      </w:r>
      <w:r w:rsidRPr="00E94FA5">
        <w:rPr>
          <w:rFonts w:ascii="Arial" w:hAnsi="Arial" w:cs="Arial"/>
          <w:b w:val="0"/>
          <w:sz w:val="20"/>
          <w:szCs w:val="20"/>
        </w:rPr>
        <w:t>9 Financial Instruments, I</w:t>
      </w:r>
      <w:r w:rsidR="00947A9C">
        <w:rPr>
          <w:rFonts w:ascii="Arial" w:hAnsi="Arial" w:cs="Arial"/>
          <w:b w:val="0"/>
          <w:sz w:val="20"/>
          <w:szCs w:val="20"/>
        </w:rPr>
        <w:t xml:space="preserve">nd </w:t>
      </w:r>
      <w:r w:rsidRPr="00E94FA5">
        <w:rPr>
          <w:rFonts w:ascii="Arial" w:hAnsi="Arial" w:cs="Arial"/>
          <w:b w:val="0"/>
          <w:sz w:val="20"/>
          <w:szCs w:val="20"/>
        </w:rPr>
        <w:t>AS 12 Income Taxes, I</w:t>
      </w:r>
      <w:r w:rsidR="00947A9C">
        <w:rPr>
          <w:rFonts w:ascii="Arial" w:hAnsi="Arial" w:cs="Arial"/>
          <w:b w:val="0"/>
          <w:sz w:val="20"/>
          <w:szCs w:val="20"/>
        </w:rPr>
        <w:t xml:space="preserve">nd </w:t>
      </w:r>
      <w:r w:rsidRPr="00E94FA5">
        <w:rPr>
          <w:rFonts w:ascii="Arial" w:hAnsi="Arial" w:cs="Arial"/>
          <w:b w:val="0"/>
          <w:sz w:val="20"/>
          <w:szCs w:val="20"/>
        </w:rPr>
        <w:t xml:space="preserve">AS 37 Provisions, Contingent Liabilities and Contingent Assets and </w:t>
      </w:r>
      <w:r w:rsidR="00947A9C" w:rsidRPr="00947A9C">
        <w:rPr>
          <w:rFonts w:ascii="Arial" w:hAnsi="Arial" w:cs="Arial"/>
          <w:b w:val="0"/>
          <w:sz w:val="20"/>
          <w:szCs w:val="20"/>
        </w:rPr>
        <w:t xml:space="preserve">Appendix C to Ind AS 37 </w:t>
      </w:r>
      <w:r w:rsidRPr="00E94FA5">
        <w:rPr>
          <w:rFonts w:ascii="Arial" w:hAnsi="Arial" w:cs="Arial"/>
          <w:b w:val="0"/>
          <w:sz w:val="20"/>
          <w:szCs w:val="20"/>
        </w:rPr>
        <w:t xml:space="preserve">Levies.  </w:t>
      </w:r>
    </w:p>
    <w:p w14:paraId="32ADDFD0" w14:textId="77777777" w:rsidR="00947A9C" w:rsidRDefault="00947A9C" w:rsidP="00947A9C">
      <w:pPr>
        <w:pStyle w:val="ViralheadingL2"/>
        <w:shd w:val="clear" w:color="auto" w:fill="C1C1C1" w:themeFill="background2" w:themeFillTint="66"/>
        <w:spacing w:line="280" w:lineRule="exact"/>
        <w:jc w:val="both"/>
        <w:rPr>
          <w:rFonts w:ascii="Arial" w:hAnsi="Arial" w:cs="Arial"/>
          <w:b w:val="0"/>
          <w:sz w:val="20"/>
          <w:szCs w:val="20"/>
        </w:rPr>
      </w:pPr>
    </w:p>
    <w:p w14:paraId="0CF0E1C5" w14:textId="171F9BEF" w:rsidR="00E94FA5" w:rsidRPr="00E94FA5" w:rsidRDefault="00E94FA5" w:rsidP="00947A9C">
      <w:pPr>
        <w:pStyle w:val="ViralheadingL2"/>
        <w:shd w:val="clear" w:color="auto" w:fill="C1C1C1" w:themeFill="background2" w:themeFillTint="66"/>
        <w:spacing w:line="280" w:lineRule="exact"/>
        <w:jc w:val="both"/>
        <w:rPr>
          <w:rFonts w:ascii="Arial" w:hAnsi="Arial" w:cs="Arial"/>
          <w:b w:val="0"/>
          <w:sz w:val="20"/>
          <w:szCs w:val="20"/>
        </w:rPr>
      </w:pPr>
      <w:r w:rsidRPr="00E94FA5">
        <w:rPr>
          <w:rFonts w:ascii="Arial" w:hAnsi="Arial" w:cs="Arial"/>
          <w:b w:val="0"/>
          <w:sz w:val="20"/>
          <w:szCs w:val="20"/>
        </w:rPr>
        <w:t>I</w:t>
      </w:r>
      <w:r w:rsidR="00947A9C">
        <w:rPr>
          <w:rFonts w:ascii="Arial" w:hAnsi="Arial" w:cs="Arial"/>
          <w:b w:val="0"/>
          <w:sz w:val="20"/>
          <w:szCs w:val="20"/>
        </w:rPr>
        <w:t xml:space="preserve">nd </w:t>
      </w:r>
      <w:r w:rsidRPr="00E94FA5">
        <w:rPr>
          <w:rFonts w:ascii="Arial" w:hAnsi="Arial" w:cs="Arial"/>
          <w:b w:val="0"/>
          <w:sz w:val="20"/>
          <w:szCs w:val="20"/>
        </w:rPr>
        <w:t xml:space="preserve">AS 20 requires entities to disclose the following information:  </w:t>
      </w:r>
    </w:p>
    <w:p w14:paraId="1EED3515" w14:textId="4C78273F" w:rsidR="00E94FA5" w:rsidRPr="00E94FA5" w:rsidRDefault="00E94FA5" w:rsidP="00947A9C">
      <w:pPr>
        <w:pStyle w:val="ViralheadingL2"/>
        <w:shd w:val="clear" w:color="auto" w:fill="C1C1C1" w:themeFill="background2" w:themeFillTint="66"/>
        <w:spacing w:line="280" w:lineRule="exact"/>
        <w:jc w:val="both"/>
        <w:rPr>
          <w:rFonts w:ascii="Arial" w:hAnsi="Arial" w:cs="Arial"/>
          <w:b w:val="0"/>
          <w:sz w:val="20"/>
          <w:szCs w:val="20"/>
        </w:rPr>
      </w:pPr>
      <w:r w:rsidRPr="00E94FA5">
        <w:rPr>
          <w:rFonts w:ascii="Arial" w:hAnsi="Arial" w:cs="Arial"/>
          <w:b w:val="0"/>
          <w:sz w:val="20"/>
          <w:szCs w:val="20"/>
        </w:rPr>
        <w:t xml:space="preserve">• The accounting policy adopted for government grants, including methods of presentation adopted in the financial statements </w:t>
      </w:r>
    </w:p>
    <w:p w14:paraId="3CEF94EA" w14:textId="114D9AC4" w:rsidR="00E94FA5" w:rsidRPr="00E94FA5" w:rsidRDefault="00E94FA5" w:rsidP="00947A9C">
      <w:pPr>
        <w:pStyle w:val="ViralheadingL2"/>
        <w:shd w:val="clear" w:color="auto" w:fill="C1C1C1" w:themeFill="background2" w:themeFillTint="66"/>
        <w:spacing w:line="280" w:lineRule="exact"/>
        <w:jc w:val="both"/>
        <w:rPr>
          <w:rFonts w:ascii="Arial" w:hAnsi="Arial" w:cs="Arial"/>
          <w:b w:val="0"/>
          <w:sz w:val="20"/>
          <w:szCs w:val="20"/>
        </w:rPr>
      </w:pPr>
      <w:r w:rsidRPr="00E94FA5">
        <w:rPr>
          <w:rFonts w:ascii="Arial" w:hAnsi="Arial" w:cs="Arial"/>
          <w:b w:val="0"/>
          <w:sz w:val="20"/>
          <w:szCs w:val="20"/>
        </w:rPr>
        <w:t xml:space="preserve">• The nature and extent of government grants recognised in the financial statements and an indication of other forms of government assistance from which the entity has directly benefited </w:t>
      </w:r>
    </w:p>
    <w:p w14:paraId="0869BECC" w14:textId="4E309BAA" w:rsidR="00E94FA5" w:rsidRPr="00E70587" w:rsidRDefault="00E94FA5" w:rsidP="00947A9C">
      <w:pPr>
        <w:pStyle w:val="ViralheadingL2"/>
        <w:keepNext w:val="0"/>
        <w:shd w:val="clear" w:color="auto" w:fill="C1C1C1" w:themeFill="background2" w:themeFillTint="66"/>
        <w:spacing w:before="0" w:after="0" w:line="280" w:lineRule="exact"/>
        <w:jc w:val="both"/>
        <w:outlineLvl w:val="9"/>
        <w:rPr>
          <w:rFonts w:ascii="Arial" w:hAnsi="Arial" w:cs="Arial"/>
          <w:b w:val="0"/>
          <w:sz w:val="20"/>
          <w:szCs w:val="20"/>
        </w:rPr>
      </w:pPr>
      <w:r w:rsidRPr="00E94FA5">
        <w:rPr>
          <w:rFonts w:ascii="Arial" w:hAnsi="Arial" w:cs="Arial"/>
          <w:b w:val="0"/>
          <w:sz w:val="20"/>
          <w:szCs w:val="20"/>
        </w:rPr>
        <w:t>• Unfulfilled conditions and other contingencies attaching to government assistance that has been recognised</w:t>
      </w:r>
    </w:p>
    <w:p w14:paraId="2651DA72" w14:textId="77777777" w:rsidR="00FB0C73" w:rsidRPr="00E70587" w:rsidRDefault="00FB0C73" w:rsidP="002E4A62">
      <w:pPr>
        <w:pStyle w:val="ViralheadingL2"/>
        <w:keepNext w:val="0"/>
        <w:spacing w:before="0" w:after="0" w:line="280" w:lineRule="exact"/>
        <w:jc w:val="both"/>
        <w:outlineLvl w:val="9"/>
        <w:rPr>
          <w:rFonts w:ascii="Arial" w:hAnsi="Arial" w:cs="Arial"/>
          <w:b w:val="0"/>
          <w:sz w:val="20"/>
          <w:szCs w:val="20"/>
        </w:rPr>
      </w:pPr>
    </w:p>
    <w:p w14:paraId="2D361245" w14:textId="77777777" w:rsidR="00FB0C73" w:rsidRPr="00E70587" w:rsidRDefault="00C91F57"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Contract liability</w:t>
      </w:r>
    </w:p>
    <w:p w14:paraId="0E67A627" w14:textId="77777777" w:rsidR="002E4A62" w:rsidRPr="00E70587" w:rsidRDefault="002E4A62" w:rsidP="002E4A62">
      <w:pPr>
        <w:pStyle w:val="ViralheadingL2"/>
        <w:keepNext w:val="0"/>
        <w:spacing w:before="0" w:after="0" w:line="280" w:lineRule="exact"/>
        <w:outlineLvl w:val="9"/>
        <w:rPr>
          <w:rFonts w:ascii="Arial" w:hAnsi="Arial" w:cs="Arial"/>
          <w:b w:val="0"/>
          <w:sz w:val="20"/>
          <w:szCs w:val="20"/>
        </w:rPr>
      </w:pPr>
    </w:p>
    <w:tbl>
      <w:tblPr>
        <w:tblW w:w="9574" w:type="dxa"/>
        <w:tblLayout w:type="fixed"/>
        <w:tblLook w:val="01E0" w:firstRow="1" w:lastRow="1" w:firstColumn="1" w:lastColumn="1" w:noHBand="0" w:noVBand="0"/>
      </w:tblPr>
      <w:tblGrid>
        <w:gridCol w:w="6379"/>
        <w:gridCol w:w="1597"/>
        <w:gridCol w:w="1598"/>
      </w:tblGrid>
      <w:tr w:rsidR="00C91F57" w:rsidRPr="00E70587" w14:paraId="042E34E5" w14:textId="77777777" w:rsidTr="000A2ED4">
        <w:tc>
          <w:tcPr>
            <w:tcW w:w="6379" w:type="dxa"/>
            <w:shd w:val="clear" w:color="auto" w:fill="auto"/>
          </w:tcPr>
          <w:p w14:paraId="395DEBC7" w14:textId="77777777" w:rsidR="00C91F57" w:rsidRPr="00E70587" w:rsidRDefault="00C91F57" w:rsidP="009901E1">
            <w:pPr>
              <w:pStyle w:val="000Normal"/>
              <w:spacing w:before="0" w:after="0" w:line="280" w:lineRule="exact"/>
              <w:rPr>
                <w:rFonts w:ascii="Arial" w:hAnsi="Arial" w:cs="Arial"/>
                <w:sz w:val="20"/>
              </w:rPr>
            </w:pPr>
          </w:p>
        </w:tc>
        <w:tc>
          <w:tcPr>
            <w:tcW w:w="1597" w:type="dxa"/>
            <w:tcBorders>
              <w:bottom w:val="single" w:sz="4" w:space="0" w:color="auto"/>
            </w:tcBorders>
            <w:shd w:val="clear" w:color="auto" w:fill="auto"/>
            <w:vAlign w:val="bottom"/>
          </w:tcPr>
          <w:p w14:paraId="632B0151" w14:textId="04FB34BE" w:rsidR="00C91F57" w:rsidRPr="00E70587" w:rsidRDefault="00C91F5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C64A03" w:rsidRPr="00E70587">
              <w:rPr>
                <w:rFonts w:ascii="Arial" w:hAnsi="Arial"/>
                <w:color w:val="auto"/>
                <w:sz w:val="20"/>
                <w:szCs w:val="20"/>
                <w:lang w:val="en-IN"/>
              </w:rPr>
              <w:t>20</w:t>
            </w:r>
            <w:r w:rsidR="00C64A03">
              <w:rPr>
                <w:rFonts w:ascii="Arial" w:hAnsi="Arial"/>
                <w:color w:val="auto"/>
                <w:sz w:val="20"/>
                <w:szCs w:val="20"/>
                <w:lang w:val="en-IN"/>
              </w:rPr>
              <w:t>21</w:t>
            </w:r>
          </w:p>
        </w:tc>
        <w:tc>
          <w:tcPr>
            <w:tcW w:w="1598" w:type="dxa"/>
            <w:tcBorders>
              <w:bottom w:val="single" w:sz="4" w:space="0" w:color="auto"/>
            </w:tcBorders>
            <w:shd w:val="clear" w:color="auto" w:fill="auto"/>
            <w:vAlign w:val="bottom"/>
          </w:tcPr>
          <w:p w14:paraId="03DE59F8" w14:textId="34230809" w:rsidR="00C91F57" w:rsidRPr="00E70587" w:rsidRDefault="00C91F5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31 March 20</w:t>
            </w:r>
            <w:r w:rsidR="00C64A03">
              <w:rPr>
                <w:rFonts w:ascii="Arial" w:hAnsi="Arial"/>
                <w:color w:val="auto"/>
                <w:sz w:val="20"/>
                <w:szCs w:val="20"/>
                <w:lang w:val="en-IN"/>
              </w:rPr>
              <w:t>20</w:t>
            </w:r>
          </w:p>
        </w:tc>
      </w:tr>
      <w:tr w:rsidR="00C91F57" w:rsidRPr="00E70587" w14:paraId="391E6A55" w14:textId="77777777" w:rsidTr="000A2ED4">
        <w:tc>
          <w:tcPr>
            <w:tcW w:w="6379" w:type="dxa"/>
          </w:tcPr>
          <w:p w14:paraId="7BAFF8B3" w14:textId="77777777" w:rsidR="00C91F57" w:rsidRPr="00E70587" w:rsidRDefault="00C91F57" w:rsidP="009901E1">
            <w:pPr>
              <w:pStyle w:val="000Normal"/>
              <w:spacing w:before="0" w:after="0" w:line="280" w:lineRule="exact"/>
              <w:jc w:val="right"/>
              <w:rPr>
                <w:rFonts w:ascii="Arial" w:hAnsi="Arial" w:cs="Arial"/>
                <w:b/>
                <w:sz w:val="20"/>
              </w:rPr>
            </w:pPr>
          </w:p>
        </w:tc>
        <w:tc>
          <w:tcPr>
            <w:tcW w:w="1597" w:type="dxa"/>
            <w:tcBorders>
              <w:top w:val="single" w:sz="4" w:space="0" w:color="auto"/>
            </w:tcBorders>
          </w:tcPr>
          <w:p w14:paraId="28E4DE1E" w14:textId="77777777" w:rsidR="00C91F57" w:rsidRPr="00E70587" w:rsidRDefault="00C91F5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598" w:type="dxa"/>
            <w:tcBorders>
              <w:top w:val="single" w:sz="4" w:space="0" w:color="auto"/>
            </w:tcBorders>
          </w:tcPr>
          <w:p w14:paraId="6F29FEBC" w14:textId="77777777" w:rsidR="00C91F57" w:rsidRPr="00E70587" w:rsidRDefault="00C91F5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B06472" w:rsidRPr="00E70587" w14:paraId="465E3662" w14:textId="77777777" w:rsidTr="000A2ED4">
        <w:tc>
          <w:tcPr>
            <w:tcW w:w="6379" w:type="dxa"/>
          </w:tcPr>
          <w:p w14:paraId="5EE2186B" w14:textId="77777777" w:rsidR="00B06472" w:rsidRPr="00E70587" w:rsidDel="00B06472" w:rsidRDefault="00B06472" w:rsidP="00B1100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Installation services (</w:t>
            </w:r>
            <w:proofErr w:type="spellStart"/>
            <w:r w:rsidRPr="00E70587">
              <w:rPr>
                <w:rFonts w:ascii="Arial" w:hAnsi="Arial" w:cs="Arial"/>
                <w:sz w:val="20"/>
                <w:lang w:val="en-IN"/>
              </w:rPr>
              <w:t>i</w:t>
            </w:r>
            <w:proofErr w:type="spellEnd"/>
            <w:r w:rsidRPr="00E70587">
              <w:rPr>
                <w:rFonts w:ascii="Arial" w:hAnsi="Arial" w:cs="Arial"/>
                <w:sz w:val="20"/>
                <w:lang w:val="en-IN"/>
              </w:rPr>
              <w:t>)</w:t>
            </w:r>
          </w:p>
        </w:tc>
        <w:tc>
          <w:tcPr>
            <w:tcW w:w="1597" w:type="dxa"/>
            <w:vAlign w:val="center"/>
          </w:tcPr>
          <w:p w14:paraId="22CF9D09" w14:textId="77777777" w:rsidR="00B06472" w:rsidRPr="00E70587" w:rsidDel="00B06472" w:rsidRDefault="00B06472" w:rsidP="00B11003">
            <w:pPr>
              <w:overflowPunct/>
              <w:spacing w:line="280" w:lineRule="exact"/>
              <w:jc w:val="right"/>
              <w:textAlignment w:val="auto"/>
              <w:rPr>
                <w:b/>
                <w:bCs/>
                <w:color w:val="000000"/>
                <w:sz w:val="20"/>
              </w:rPr>
            </w:pPr>
            <w:r w:rsidRPr="00E70587">
              <w:rPr>
                <w:rFonts w:ascii="Arial" w:hAnsi="Arial"/>
                <w:b/>
                <w:bCs/>
                <w:color w:val="000000"/>
                <w:sz w:val="20"/>
              </w:rPr>
              <w:t>332</w:t>
            </w:r>
          </w:p>
        </w:tc>
        <w:tc>
          <w:tcPr>
            <w:tcW w:w="1598" w:type="dxa"/>
            <w:vAlign w:val="center"/>
          </w:tcPr>
          <w:p w14:paraId="11C825C8" w14:textId="77777777" w:rsidR="00B06472" w:rsidRPr="00E70587" w:rsidDel="00B06472" w:rsidRDefault="00B06472" w:rsidP="00B11003">
            <w:pPr>
              <w:overflowPunct/>
              <w:spacing w:line="280" w:lineRule="exact"/>
              <w:jc w:val="right"/>
              <w:textAlignment w:val="auto"/>
              <w:rPr>
                <w:b/>
                <w:bCs/>
                <w:color w:val="000000"/>
                <w:sz w:val="20"/>
              </w:rPr>
            </w:pPr>
            <w:r w:rsidRPr="00E70587">
              <w:rPr>
                <w:rFonts w:ascii="Arial" w:hAnsi="Arial"/>
                <w:b/>
                <w:bCs/>
                <w:color w:val="000000"/>
                <w:sz w:val="20"/>
              </w:rPr>
              <w:t>200</w:t>
            </w:r>
          </w:p>
        </w:tc>
      </w:tr>
      <w:tr w:rsidR="00FB71AE" w:rsidRPr="00E70587" w14:paraId="0FDE48CF" w14:textId="77777777" w:rsidTr="000A2ED4">
        <w:tc>
          <w:tcPr>
            <w:tcW w:w="6379" w:type="dxa"/>
          </w:tcPr>
          <w:p w14:paraId="27592771" w14:textId="77777777" w:rsidR="00FB71AE" w:rsidRPr="00E70587" w:rsidRDefault="00FB71AE" w:rsidP="001B5D48">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Arising from customer </w:t>
            </w:r>
            <w:r w:rsidR="00BB6E55" w:rsidRPr="00E70587">
              <w:rPr>
                <w:rFonts w:ascii="Arial" w:hAnsi="Arial" w:cs="Arial"/>
                <w:sz w:val="20"/>
                <w:lang w:val="en-IN"/>
              </w:rPr>
              <w:t>loyalty</w:t>
            </w:r>
            <w:r w:rsidRPr="00E70587">
              <w:rPr>
                <w:rFonts w:ascii="Arial" w:hAnsi="Arial" w:cs="Arial"/>
                <w:sz w:val="20"/>
                <w:lang w:val="en-IN"/>
              </w:rPr>
              <w:t xml:space="preserve"> programme (ii)</w:t>
            </w:r>
          </w:p>
        </w:tc>
        <w:tc>
          <w:tcPr>
            <w:tcW w:w="1597" w:type="dxa"/>
            <w:vAlign w:val="center"/>
          </w:tcPr>
          <w:p w14:paraId="224AEBBA" w14:textId="77777777" w:rsidR="00FB71AE" w:rsidRPr="00E70587" w:rsidRDefault="00FB71AE" w:rsidP="00B4641D">
            <w:pPr>
              <w:overflowPunct/>
              <w:spacing w:line="280" w:lineRule="exact"/>
              <w:jc w:val="right"/>
              <w:textAlignment w:val="auto"/>
              <w:rPr>
                <w:rFonts w:ascii="Arial" w:hAnsi="Arial" w:cs="Arial"/>
                <w:b/>
                <w:bCs/>
                <w:sz w:val="20"/>
                <w:lang w:eastAsia="en-GB"/>
              </w:rPr>
            </w:pPr>
            <w:r w:rsidRPr="00E70587">
              <w:rPr>
                <w:rFonts w:ascii="Arial" w:hAnsi="Arial" w:cs="Arial"/>
                <w:b/>
                <w:bCs/>
                <w:color w:val="000000"/>
                <w:sz w:val="20"/>
              </w:rPr>
              <w:t xml:space="preserve"> </w:t>
            </w:r>
            <w:r w:rsidR="00B4641D" w:rsidRPr="00E70587">
              <w:rPr>
                <w:rFonts w:ascii="Arial" w:hAnsi="Arial" w:cs="Arial"/>
                <w:b/>
                <w:bCs/>
                <w:color w:val="000000"/>
                <w:sz w:val="20"/>
              </w:rPr>
              <w:t>1</w:t>
            </w:r>
            <w:r w:rsidRPr="00E70587">
              <w:rPr>
                <w:rFonts w:ascii="Arial" w:hAnsi="Arial" w:cs="Arial"/>
                <w:b/>
                <w:bCs/>
                <w:color w:val="000000"/>
                <w:sz w:val="20"/>
              </w:rPr>
              <w:t>,</w:t>
            </w:r>
            <w:r w:rsidR="00B4641D" w:rsidRPr="00E70587">
              <w:rPr>
                <w:rFonts w:ascii="Arial" w:hAnsi="Arial" w:cs="Arial"/>
                <w:b/>
                <w:bCs/>
                <w:color w:val="000000"/>
                <w:sz w:val="20"/>
              </w:rPr>
              <w:t>828</w:t>
            </w:r>
          </w:p>
        </w:tc>
        <w:tc>
          <w:tcPr>
            <w:tcW w:w="1598" w:type="dxa"/>
            <w:vAlign w:val="center"/>
          </w:tcPr>
          <w:p w14:paraId="2F41F199" w14:textId="77777777" w:rsidR="00FB71AE" w:rsidRPr="00E70587" w:rsidRDefault="00FB71AE" w:rsidP="00FB71AE">
            <w:pPr>
              <w:overflowPunct/>
              <w:spacing w:line="280" w:lineRule="exact"/>
              <w:jc w:val="right"/>
              <w:textAlignment w:val="auto"/>
              <w:rPr>
                <w:rFonts w:ascii="Arial" w:hAnsi="Arial" w:cs="Arial"/>
                <w:b/>
                <w:bCs/>
                <w:sz w:val="20"/>
                <w:lang w:eastAsia="en-GB"/>
              </w:rPr>
            </w:pPr>
            <w:r w:rsidRPr="00E70587">
              <w:rPr>
                <w:rFonts w:ascii="Arial" w:hAnsi="Arial" w:cs="Arial"/>
                <w:b/>
                <w:bCs/>
                <w:color w:val="000000"/>
                <w:sz w:val="20"/>
              </w:rPr>
              <w:t>1,</w:t>
            </w:r>
            <w:r w:rsidR="00B4641D" w:rsidRPr="00E70587">
              <w:rPr>
                <w:rFonts w:ascii="Arial" w:hAnsi="Arial" w:cs="Arial"/>
                <w:b/>
                <w:bCs/>
                <w:color w:val="000000"/>
                <w:sz w:val="20"/>
              </w:rPr>
              <w:t>868</w:t>
            </w:r>
          </w:p>
        </w:tc>
      </w:tr>
      <w:tr w:rsidR="00FB71AE" w:rsidRPr="00E70587" w14:paraId="68EC48AC" w14:textId="77777777" w:rsidTr="000A2ED4">
        <w:tc>
          <w:tcPr>
            <w:tcW w:w="6379" w:type="dxa"/>
            <w:vAlign w:val="center"/>
          </w:tcPr>
          <w:p w14:paraId="5D9BF8F3" w14:textId="77777777" w:rsidR="00FB71AE" w:rsidRPr="00E70587" w:rsidRDefault="00FB71AE" w:rsidP="00FB71AE">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w:t>
            </w:r>
          </w:p>
        </w:tc>
        <w:tc>
          <w:tcPr>
            <w:tcW w:w="1597" w:type="dxa"/>
            <w:tcBorders>
              <w:top w:val="single" w:sz="4" w:space="0" w:color="auto"/>
              <w:bottom w:val="double" w:sz="4" w:space="0" w:color="auto"/>
            </w:tcBorders>
            <w:vAlign w:val="center"/>
          </w:tcPr>
          <w:p w14:paraId="43AA749E" w14:textId="77777777" w:rsidR="00FB71AE" w:rsidRPr="00E70587" w:rsidRDefault="00FB71AE" w:rsidP="00FB71AE">
            <w:pPr>
              <w:overflowPunct/>
              <w:spacing w:line="280" w:lineRule="exact"/>
              <w:jc w:val="right"/>
              <w:textAlignment w:val="auto"/>
              <w:rPr>
                <w:rFonts w:ascii="Arial" w:hAnsi="Arial" w:cs="Arial"/>
                <w:b/>
                <w:bCs/>
                <w:sz w:val="20"/>
                <w:lang w:eastAsia="en-GB"/>
              </w:rPr>
            </w:pPr>
            <w:r w:rsidRPr="00E70587">
              <w:rPr>
                <w:rFonts w:ascii="Arial" w:hAnsi="Arial" w:cs="Arial"/>
                <w:b/>
                <w:bCs/>
                <w:color w:val="000000"/>
                <w:sz w:val="20"/>
              </w:rPr>
              <w:t xml:space="preserve"> 2,160</w:t>
            </w:r>
          </w:p>
        </w:tc>
        <w:tc>
          <w:tcPr>
            <w:tcW w:w="1598" w:type="dxa"/>
            <w:tcBorders>
              <w:top w:val="single" w:sz="4" w:space="0" w:color="auto"/>
              <w:bottom w:val="double" w:sz="4" w:space="0" w:color="auto"/>
            </w:tcBorders>
            <w:vAlign w:val="center"/>
          </w:tcPr>
          <w:p w14:paraId="7D48B247" w14:textId="77777777" w:rsidR="00FB71AE" w:rsidRPr="00E70587" w:rsidRDefault="00FB71AE" w:rsidP="00FB71AE">
            <w:pPr>
              <w:overflowPunct/>
              <w:spacing w:line="280" w:lineRule="exact"/>
              <w:jc w:val="right"/>
              <w:textAlignment w:val="auto"/>
              <w:rPr>
                <w:rFonts w:ascii="Arial" w:hAnsi="Arial" w:cs="Arial"/>
                <w:b/>
                <w:bCs/>
                <w:sz w:val="20"/>
                <w:lang w:eastAsia="en-GB"/>
              </w:rPr>
            </w:pPr>
            <w:r w:rsidRPr="00E70587">
              <w:rPr>
                <w:rFonts w:ascii="Arial" w:hAnsi="Arial" w:cs="Arial"/>
                <w:b/>
                <w:bCs/>
                <w:color w:val="000000"/>
                <w:sz w:val="20"/>
              </w:rPr>
              <w:t>2,068</w:t>
            </w:r>
          </w:p>
        </w:tc>
      </w:tr>
      <w:tr w:rsidR="00FB71AE" w:rsidRPr="00E70587" w14:paraId="2D65D9AF" w14:textId="77777777" w:rsidTr="000A2ED4">
        <w:tc>
          <w:tcPr>
            <w:tcW w:w="6379" w:type="dxa"/>
          </w:tcPr>
          <w:p w14:paraId="4BACEA7E" w14:textId="77777777" w:rsidR="00FB71AE" w:rsidRPr="00E70587" w:rsidRDefault="00FB71AE" w:rsidP="00FB71AE">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Current</w:t>
            </w:r>
          </w:p>
        </w:tc>
        <w:tc>
          <w:tcPr>
            <w:tcW w:w="1597" w:type="dxa"/>
            <w:vAlign w:val="center"/>
          </w:tcPr>
          <w:p w14:paraId="43ACAEDA" w14:textId="77777777" w:rsidR="00FB71AE" w:rsidRPr="00E70587" w:rsidRDefault="00FB71AE" w:rsidP="00FB71AE">
            <w:pPr>
              <w:overflowPunct/>
              <w:spacing w:line="280" w:lineRule="exact"/>
              <w:jc w:val="right"/>
              <w:textAlignment w:val="auto"/>
              <w:rPr>
                <w:rFonts w:ascii="Arial" w:hAnsi="Arial" w:cs="Arial"/>
                <w:sz w:val="20"/>
                <w:lang w:eastAsia="en-GB"/>
              </w:rPr>
            </w:pPr>
            <w:r w:rsidRPr="00E70587">
              <w:rPr>
                <w:rFonts w:ascii="Arial" w:hAnsi="Arial" w:cs="Arial"/>
                <w:color w:val="000000"/>
                <w:sz w:val="20"/>
              </w:rPr>
              <w:t>272</w:t>
            </w:r>
          </w:p>
        </w:tc>
        <w:tc>
          <w:tcPr>
            <w:tcW w:w="1598" w:type="dxa"/>
            <w:vAlign w:val="center"/>
          </w:tcPr>
          <w:p w14:paraId="52BCBB2F" w14:textId="77777777" w:rsidR="00FB71AE" w:rsidRPr="00E70587" w:rsidRDefault="00FB71AE" w:rsidP="00FB71AE">
            <w:pPr>
              <w:overflowPunct/>
              <w:spacing w:line="280" w:lineRule="exact"/>
              <w:jc w:val="right"/>
              <w:textAlignment w:val="auto"/>
              <w:rPr>
                <w:rFonts w:ascii="Arial" w:hAnsi="Arial" w:cs="Arial"/>
                <w:sz w:val="20"/>
                <w:lang w:eastAsia="en-GB"/>
              </w:rPr>
            </w:pPr>
            <w:r w:rsidRPr="00E70587">
              <w:rPr>
                <w:rFonts w:ascii="Arial" w:hAnsi="Arial" w:cs="Arial"/>
                <w:color w:val="000000"/>
                <w:sz w:val="20"/>
              </w:rPr>
              <w:t>229</w:t>
            </w:r>
          </w:p>
        </w:tc>
      </w:tr>
      <w:tr w:rsidR="00FB71AE" w:rsidRPr="00E70587" w14:paraId="095A3E28" w14:textId="77777777" w:rsidTr="000A2ED4">
        <w:tc>
          <w:tcPr>
            <w:tcW w:w="6379" w:type="dxa"/>
          </w:tcPr>
          <w:p w14:paraId="375CDFB9" w14:textId="77777777" w:rsidR="00FB71AE" w:rsidRPr="00E70587" w:rsidRDefault="00FB71AE" w:rsidP="00FB71AE">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Non-current</w:t>
            </w:r>
          </w:p>
        </w:tc>
        <w:tc>
          <w:tcPr>
            <w:tcW w:w="1597" w:type="dxa"/>
            <w:tcBorders>
              <w:bottom w:val="single" w:sz="4" w:space="0" w:color="auto"/>
            </w:tcBorders>
            <w:vAlign w:val="center"/>
          </w:tcPr>
          <w:p w14:paraId="00FF8B30" w14:textId="77777777" w:rsidR="00FB71AE" w:rsidRPr="00E70587" w:rsidRDefault="00FB71AE" w:rsidP="00FB71AE">
            <w:pPr>
              <w:overflowPunct/>
              <w:spacing w:line="280" w:lineRule="exact"/>
              <w:jc w:val="right"/>
              <w:textAlignment w:val="auto"/>
              <w:rPr>
                <w:rFonts w:ascii="Arial" w:hAnsi="Arial" w:cs="Arial"/>
                <w:sz w:val="20"/>
                <w:lang w:eastAsia="en-GB"/>
              </w:rPr>
            </w:pPr>
            <w:r w:rsidRPr="00E70587">
              <w:rPr>
                <w:rFonts w:ascii="Arial" w:hAnsi="Arial" w:cs="Arial"/>
                <w:color w:val="000000"/>
                <w:sz w:val="20"/>
              </w:rPr>
              <w:t xml:space="preserve"> 1,888</w:t>
            </w:r>
          </w:p>
        </w:tc>
        <w:tc>
          <w:tcPr>
            <w:tcW w:w="1598" w:type="dxa"/>
            <w:tcBorders>
              <w:bottom w:val="single" w:sz="4" w:space="0" w:color="auto"/>
            </w:tcBorders>
            <w:vAlign w:val="center"/>
          </w:tcPr>
          <w:p w14:paraId="668B4EC8" w14:textId="77777777" w:rsidR="00FB71AE" w:rsidRPr="00E70587" w:rsidRDefault="00FB71AE" w:rsidP="00FB71AE">
            <w:pPr>
              <w:overflowPunct/>
              <w:spacing w:line="280" w:lineRule="exact"/>
              <w:jc w:val="right"/>
              <w:textAlignment w:val="auto"/>
              <w:rPr>
                <w:rFonts w:ascii="Arial" w:hAnsi="Arial" w:cs="Arial"/>
                <w:sz w:val="20"/>
                <w:lang w:eastAsia="en-GB"/>
              </w:rPr>
            </w:pPr>
            <w:r w:rsidRPr="00E70587">
              <w:rPr>
                <w:rFonts w:ascii="Arial" w:hAnsi="Arial" w:cs="Arial"/>
                <w:color w:val="000000"/>
                <w:sz w:val="20"/>
              </w:rPr>
              <w:t>1,839</w:t>
            </w:r>
          </w:p>
        </w:tc>
      </w:tr>
    </w:tbl>
    <w:p w14:paraId="660F27E5" w14:textId="77777777" w:rsidR="00D40BA8" w:rsidRPr="00E70587" w:rsidRDefault="00D40BA8" w:rsidP="009901E1">
      <w:pPr>
        <w:pStyle w:val="IAStext"/>
        <w:spacing w:line="280" w:lineRule="exact"/>
        <w:jc w:val="both"/>
        <w:rPr>
          <w:rFonts w:ascii="Arial" w:hAnsi="Arial" w:cs="Arial"/>
          <w:i w:val="0"/>
          <w:sz w:val="20"/>
          <w:lang w:val="en-IN"/>
        </w:rPr>
      </w:pPr>
    </w:p>
    <w:tbl>
      <w:tblPr>
        <w:tblW w:w="9576" w:type="dxa"/>
        <w:tblLook w:val="0000" w:firstRow="0" w:lastRow="0" w:firstColumn="0" w:lastColumn="0" w:noHBand="0" w:noVBand="0"/>
      </w:tblPr>
      <w:tblGrid>
        <w:gridCol w:w="9576"/>
      </w:tblGrid>
      <w:tr w:rsidR="002E4A62" w:rsidRPr="00E70587" w14:paraId="327AB5BD" w14:textId="77777777" w:rsidTr="002E4A62">
        <w:tc>
          <w:tcPr>
            <w:tcW w:w="0" w:type="auto"/>
          </w:tcPr>
          <w:p w14:paraId="6E7A7233" w14:textId="77777777" w:rsidR="00583189" w:rsidRPr="00E70587" w:rsidRDefault="00B06472" w:rsidP="00E466DD">
            <w:pPr>
              <w:pStyle w:val="Default"/>
              <w:numPr>
                <w:ilvl w:val="0"/>
                <w:numId w:val="40"/>
              </w:numPr>
              <w:spacing w:line="280" w:lineRule="exact"/>
              <w:ind w:left="342" w:hanging="342"/>
              <w:jc w:val="both"/>
              <w:rPr>
                <w:rFonts w:ascii="Arial" w:hAnsi="Arial" w:cs="Arial"/>
                <w:color w:val="auto"/>
                <w:sz w:val="20"/>
                <w:szCs w:val="20"/>
                <w:lang w:val="en-IN" w:eastAsia="en-US"/>
              </w:rPr>
            </w:pPr>
            <w:r w:rsidRPr="00E70587">
              <w:rPr>
                <w:rFonts w:ascii="Arial" w:hAnsi="Arial" w:cs="Arial"/>
                <w:color w:val="auto"/>
                <w:sz w:val="20"/>
                <w:szCs w:val="20"/>
                <w:lang w:val="en-IN" w:eastAsia="en-US"/>
              </w:rPr>
              <w:t xml:space="preserve">Revenue relating to </w:t>
            </w:r>
            <w:r w:rsidR="00583189" w:rsidRPr="00E70587">
              <w:rPr>
                <w:rFonts w:ascii="Arial" w:hAnsi="Arial" w:cs="Arial"/>
                <w:color w:val="auto"/>
                <w:sz w:val="20"/>
                <w:szCs w:val="20"/>
                <w:lang w:val="en-IN" w:eastAsia="en-US"/>
              </w:rPr>
              <w:t>Installation</w:t>
            </w:r>
            <w:r w:rsidRPr="00E70587">
              <w:rPr>
                <w:rFonts w:ascii="Arial" w:hAnsi="Arial" w:cs="Arial"/>
                <w:color w:val="auto"/>
                <w:sz w:val="20"/>
                <w:szCs w:val="20"/>
                <w:lang w:val="en-IN" w:eastAsia="en-US"/>
              </w:rPr>
              <w:t xml:space="preserve"> services is recognised over time although the customer pays up-front in full for these services. A contract liability is recognised for revenue relating to the installation services at the time of the initial sales transaction and is released over the service period. </w:t>
            </w:r>
          </w:p>
          <w:p w14:paraId="6A7C11F3" w14:textId="77777777" w:rsidR="00583189" w:rsidRPr="00E70587" w:rsidRDefault="00583189" w:rsidP="00647360">
            <w:pPr>
              <w:pStyle w:val="Default"/>
              <w:spacing w:line="280" w:lineRule="exact"/>
              <w:ind w:left="342" w:hanging="342"/>
              <w:jc w:val="both"/>
              <w:rPr>
                <w:rFonts w:ascii="Arial" w:hAnsi="Arial" w:cs="Arial"/>
                <w:color w:val="auto"/>
                <w:sz w:val="20"/>
                <w:szCs w:val="20"/>
                <w:lang w:val="en-IN" w:eastAsia="en-US"/>
              </w:rPr>
            </w:pPr>
          </w:p>
          <w:p w14:paraId="34C98832" w14:textId="4AF643BB" w:rsidR="002E4A62" w:rsidRPr="00E70587" w:rsidRDefault="00583189" w:rsidP="00E466DD">
            <w:pPr>
              <w:pStyle w:val="Default"/>
              <w:numPr>
                <w:ilvl w:val="0"/>
                <w:numId w:val="40"/>
              </w:numPr>
              <w:spacing w:line="280" w:lineRule="exact"/>
              <w:ind w:left="342" w:hanging="342"/>
              <w:jc w:val="both"/>
            </w:pPr>
            <w:r w:rsidRPr="00E70587">
              <w:rPr>
                <w:rFonts w:ascii="Arial" w:hAnsi="Arial" w:cs="Arial"/>
                <w:color w:val="auto"/>
                <w:sz w:val="20"/>
                <w:szCs w:val="20"/>
                <w:lang w:val="en-IN" w:eastAsia="en-US"/>
              </w:rPr>
              <w:t xml:space="preserve">A contract liability arises in respect of the Group's </w:t>
            </w:r>
            <w:r w:rsidR="00A9395C" w:rsidRPr="00E70587">
              <w:rPr>
                <w:rFonts w:ascii="Arial" w:hAnsi="Arial" w:cs="Arial"/>
                <w:color w:val="auto"/>
                <w:sz w:val="20"/>
                <w:szCs w:val="20"/>
                <w:lang w:val="en-IN" w:eastAsia="en-US"/>
              </w:rPr>
              <w:t>G</w:t>
            </w:r>
            <w:r w:rsidR="00A9395C">
              <w:rPr>
                <w:rFonts w:ascii="Arial" w:hAnsi="Arial" w:cs="Arial"/>
                <w:color w:val="auto"/>
                <w:sz w:val="20"/>
                <w:szCs w:val="20"/>
                <w:lang w:val="en-IN" w:eastAsia="en-US"/>
              </w:rPr>
              <w:t>ood</w:t>
            </w:r>
            <w:r w:rsidR="00295393">
              <w:rPr>
                <w:rFonts w:ascii="Arial" w:hAnsi="Arial" w:cs="Arial"/>
                <w:color w:val="auto"/>
                <w:sz w:val="20"/>
                <w:szCs w:val="20"/>
                <w:lang w:val="en-IN" w:eastAsia="en-US"/>
              </w:rPr>
              <w:t>-</w:t>
            </w:r>
            <w:r w:rsidRPr="00E70587">
              <w:rPr>
                <w:rFonts w:ascii="Arial" w:hAnsi="Arial" w:cs="Arial"/>
                <w:color w:val="auto"/>
                <w:sz w:val="20"/>
                <w:szCs w:val="20"/>
                <w:lang w:val="en-IN" w:eastAsia="en-US"/>
              </w:rPr>
              <w:t xml:space="preserve">Points Scheme as these points provide a benefit to customers that they would not receive without entering into a purchase contract and the promise to provide loyalty points to the customer is therefore a separate performance obligation. A contract liability is recognised for revenue relating to the loyalty points at the time of the initial sales transaction. </w:t>
            </w:r>
          </w:p>
        </w:tc>
      </w:tr>
    </w:tbl>
    <w:p w14:paraId="289AE9C1" w14:textId="77777777" w:rsidR="00A70A26" w:rsidRDefault="00A70A26" w:rsidP="009901E1">
      <w:pPr>
        <w:pStyle w:val="tabletext"/>
        <w:overflowPunct w:val="0"/>
        <w:autoSpaceDE w:val="0"/>
        <w:autoSpaceDN w:val="0"/>
        <w:adjustRightInd w:val="0"/>
        <w:spacing w:line="280" w:lineRule="exact"/>
        <w:jc w:val="both"/>
        <w:textAlignment w:val="baseline"/>
        <w:rPr>
          <w:rFonts w:ascii="Arial" w:hAnsi="Arial" w:cs="Arial"/>
          <w:b/>
          <w:sz w:val="20"/>
          <w:lang w:val="en-IN"/>
        </w:rPr>
      </w:pPr>
    </w:p>
    <w:p w14:paraId="5A065FA3" w14:textId="77758C1E" w:rsidR="00D9764D" w:rsidRDefault="006523AE" w:rsidP="009901E1">
      <w:pPr>
        <w:pStyle w:val="tabletext"/>
        <w:overflowPunct w:val="0"/>
        <w:autoSpaceDE w:val="0"/>
        <w:autoSpaceDN w:val="0"/>
        <w:adjustRightInd w:val="0"/>
        <w:spacing w:line="280" w:lineRule="exact"/>
        <w:jc w:val="both"/>
        <w:textAlignment w:val="baseline"/>
        <w:rPr>
          <w:rFonts w:ascii="Arial" w:hAnsi="Arial" w:cs="Arial"/>
          <w:b/>
          <w:sz w:val="20"/>
          <w:lang w:val="en-IN"/>
        </w:rPr>
      </w:pPr>
      <w:r w:rsidRPr="006523AE">
        <w:rPr>
          <w:rFonts w:ascii="Arial" w:hAnsi="Arial" w:cs="Arial"/>
          <w:b/>
          <w:sz w:val="20"/>
          <w:lang w:val="en-IN"/>
        </w:rPr>
        <w:t>Good</w:t>
      </w:r>
      <w:r w:rsidR="00295393">
        <w:rPr>
          <w:rFonts w:ascii="Arial" w:hAnsi="Arial" w:cs="Arial"/>
          <w:b/>
          <w:sz w:val="20"/>
          <w:lang w:val="en-IN"/>
        </w:rPr>
        <w:t>-</w:t>
      </w:r>
      <w:r w:rsidRPr="006523AE">
        <w:rPr>
          <w:rFonts w:ascii="Arial" w:hAnsi="Arial" w:cs="Arial"/>
          <w:b/>
          <w:sz w:val="20"/>
          <w:lang w:val="en-IN"/>
        </w:rPr>
        <w:t>Points transactions</w:t>
      </w:r>
    </w:p>
    <w:p w14:paraId="418FD7D7" w14:textId="77777777" w:rsidR="006523AE" w:rsidRDefault="006523AE" w:rsidP="009901E1">
      <w:pPr>
        <w:pStyle w:val="tabletext"/>
        <w:overflowPunct w:val="0"/>
        <w:autoSpaceDE w:val="0"/>
        <w:autoSpaceDN w:val="0"/>
        <w:adjustRightInd w:val="0"/>
        <w:spacing w:line="280" w:lineRule="exact"/>
        <w:jc w:val="both"/>
        <w:textAlignment w:val="baseline"/>
        <w:rPr>
          <w:rFonts w:ascii="Arial" w:hAnsi="Arial" w:cs="Arial"/>
          <w:b/>
          <w:sz w:val="20"/>
          <w:lang w:val="en-IN"/>
        </w:rPr>
      </w:pPr>
    </w:p>
    <w:tbl>
      <w:tblPr>
        <w:tblW w:w="9574" w:type="dxa"/>
        <w:tblLayout w:type="fixed"/>
        <w:tblLook w:val="01E0" w:firstRow="1" w:lastRow="1" w:firstColumn="1" w:lastColumn="1" w:noHBand="0" w:noVBand="0"/>
      </w:tblPr>
      <w:tblGrid>
        <w:gridCol w:w="6379"/>
        <w:gridCol w:w="1597"/>
        <w:gridCol w:w="1598"/>
      </w:tblGrid>
      <w:tr w:rsidR="006523AE" w:rsidRPr="00E70587" w14:paraId="5D5EB205" w14:textId="77777777" w:rsidTr="00394212">
        <w:tc>
          <w:tcPr>
            <w:tcW w:w="6379" w:type="dxa"/>
            <w:shd w:val="clear" w:color="auto" w:fill="auto"/>
          </w:tcPr>
          <w:p w14:paraId="465834F6" w14:textId="77777777" w:rsidR="006523AE" w:rsidRPr="00E70587" w:rsidRDefault="006523AE" w:rsidP="00394212">
            <w:pPr>
              <w:pStyle w:val="000Normal"/>
              <w:spacing w:before="0" w:after="0" w:line="280" w:lineRule="exact"/>
              <w:rPr>
                <w:rFonts w:ascii="Arial" w:hAnsi="Arial" w:cs="Arial"/>
                <w:sz w:val="20"/>
              </w:rPr>
            </w:pPr>
          </w:p>
        </w:tc>
        <w:tc>
          <w:tcPr>
            <w:tcW w:w="1597" w:type="dxa"/>
            <w:tcBorders>
              <w:bottom w:val="single" w:sz="4" w:space="0" w:color="auto"/>
            </w:tcBorders>
            <w:shd w:val="clear" w:color="auto" w:fill="auto"/>
            <w:vAlign w:val="bottom"/>
          </w:tcPr>
          <w:p w14:paraId="40F4A3C0" w14:textId="64912730" w:rsidR="006523AE" w:rsidRPr="00E70587" w:rsidRDefault="006523AE" w:rsidP="0039421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C64A03" w:rsidRPr="00E70587">
              <w:rPr>
                <w:rFonts w:ascii="Arial" w:hAnsi="Arial"/>
                <w:color w:val="auto"/>
                <w:sz w:val="20"/>
                <w:szCs w:val="20"/>
                <w:lang w:val="en-IN"/>
              </w:rPr>
              <w:t>20</w:t>
            </w:r>
            <w:r w:rsidR="00C64A03">
              <w:rPr>
                <w:rFonts w:ascii="Arial" w:hAnsi="Arial"/>
                <w:color w:val="auto"/>
                <w:sz w:val="20"/>
                <w:szCs w:val="20"/>
                <w:lang w:val="en-IN"/>
              </w:rPr>
              <w:t>21</w:t>
            </w:r>
          </w:p>
        </w:tc>
        <w:tc>
          <w:tcPr>
            <w:tcW w:w="1598" w:type="dxa"/>
            <w:tcBorders>
              <w:bottom w:val="single" w:sz="4" w:space="0" w:color="auto"/>
            </w:tcBorders>
            <w:shd w:val="clear" w:color="auto" w:fill="auto"/>
            <w:vAlign w:val="bottom"/>
          </w:tcPr>
          <w:p w14:paraId="043AC330" w14:textId="2F993681" w:rsidR="006523AE" w:rsidRPr="00E70587" w:rsidRDefault="006523AE" w:rsidP="0039421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C64A03" w:rsidRPr="00E70587">
              <w:rPr>
                <w:rFonts w:ascii="Arial" w:hAnsi="Arial"/>
                <w:color w:val="auto"/>
                <w:sz w:val="20"/>
                <w:szCs w:val="20"/>
                <w:lang w:val="en-IN"/>
              </w:rPr>
              <w:t>20</w:t>
            </w:r>
            <w:r w:rsidR="00C64A03">
              <w:rPr>
                <w:rFonts w:ascii="Arial" w:hAnsi="Arial"/>
                <w:color w:val="auto"/>
                <w:sz w:val="20"/>
                <w:szCs w:val="20"/>
                <w:lang w:val="en-IN"/>
              </w:rPr>
              <w:t>20</w:t>
            </w:r>
          </w:p>
        </w:tc>
      </w:tr>
      <w:tr w:rsidR="006523AE" w:rsidRPr="00E70587" w14:paraId="6F97D207" w14:textId="77777777" w:rsidTr="00394212">
        <w:tc>
          <w:tcPr>
            <w:tcW w:w="6379" w:type="dxa"/>
          </w:tcPr>
          <w:p w14:paraId="14E062C1" w14:textId="77777777" w:rsidR="006523AE" w:rsidRPr="00E70587" w:rsidRDefault="006523AE" w:rsidP="00394212">
            <w:pPr>
              <w:pStyle w:val="000Normal"/>
              <w:spacing w:before="0" w:after="0" w:line="280" w:lineRule="exact"/>
              <w:jc w:val="right"/>
              <w:rPr>
                <w:rFonts w:ascii="Arial" w:hAnsi="Arial" w:cs="Arial"/>
                <w:b/>
                <w:sz w:val="20"/>
              </w:rPr>
            </w:pPr>
          </w:p>
        </w:tc>
        <w:tc>
          <w:tcPr>
            <w:tcW w:w="1597" w:type="dxa"/>
            <w:tcBorders>
              <w:top w:val="single" w:sz="4" w:space="0" w:color="auto"/>
            </w:tcBorders>
          </w:tcPr>
          <w:p w14:paraId="7F394008" w14:textId="77777777" w:rsidR="006523AE" w:rsidRPr="00E70587" w:rsidRDefault="006523AE" w:rsidP="0039421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598" w:type="dxa"/>
            <w:tcBorders>
              <w:top w:val="single" w:sz="4" w:space="0" w:color="auto"/>
            </w:tcBorders>
          </w:tcPr>
          <w:p w14:paraId="525A5C68" w14:textId="77777777" w:rsidR="006523AE" w:rsidRPr="00E70587" w:rsidRDefault="006523AE" w:rsidP="0039421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6523AE" w:rsidRPr="00E70587" w14:paraId="0C2CB90F" w14:textId="77777777" w:rsidTr="00394212">
        <w:tc>
          <w:tcPr>
            <w:tcW w:w="6379" w:type="dxa"/>
          </w:tcPr>
          <w:p w14:paraId="2E6144FD" w14:textId="77777777" w:rsidR="006523AE" w:rsidRPr="00E70587" w:rsidDel="00B06472" w:rsidRDefault="006523AE" w:rsidP="00394212">
            <w:pPr>
              <w:pStyle w:val="tabletext"/>
              <w:overflowPunct w:val="0"/>
              <w:autoSpaceDE w:val="0"/>
              <w:autoSpaceDN w:val="0"/>
              <w:adjustRightInd w:val="0"/>
              <w:spacing w:line="280" w:lineRule="exact"/>
              <w:textAlignment w:val="baseline"/>
              <w:rPr>
                <w:rFonts w:ascii="Arial" w:hAnsi="Arial" w:cs="Arial"/>
                <w:sz w:val="20"/>
                <w:lang w:val="en-IN"/>
              </w:rPr>
            </w:pPr>
            <w:r>
              <w:rPr>
                <w:rFonts w:ascii="Arial" w:hAnsi="Arial" w:cs="Arial"/>
                <w:sz w:val="20"/>
                <w:lang w:val="en-IN"/>
              </w:rPr>
              <w:t>At 1 April</w:t>
            </w:r>
          </w:p>
        </w:tc>
        <w:tc>
          <w:tcPr>
            <w:tcW w:w="1597" w:type="dxa"/>
            <w:vAlign w:val="center"/>
          </w:tcPr>
          <w:p w14:paraId="64A06DDB" w14:textId="77777777" w:rsidR="006523AE" w:rsidRPr="00E70587" w:rsidDel="00B06472" w:rsidRDefault="006523AE" w:rsidP="00394212">
            <w:pPr>
              <w:overflowPunct/>
              <w:spacing w:line="280" w:lineRule="exact"/>
              <w:jc w:val="right"/>
              <w:textAlignment w:val="auto"/>
              <w:rPr>
                <w:b/>
                <w:bCs/>
                <w:color w:val="000000"/>
                <w:sz w:val="20"/>
              </w:rPr>
            </w:pPr>
            <w:r>
              <w:rPr>
                <w:rFonts w:ascii="Arial" w:hAnsi="Arial"/>
                <w:b/>
                <w:bCs/>
                <w:color w:val="000000"/>
                <w:sz w:val="20"/>
              </w:rPr>
              <w:t>1,868</w:t>
            </w:r>
          </w:p>
        </w:tc>
        <w:tc>
          <w:tcPr>
            <w:tcW w:w="1598" w:type="dxa"/>
            <w:vAlign w:val="center"/>
          </w:tcPr>
          <w:p w14:paraId="79A3637D" w14:textId="77777777" w:rsidR="006523AE" w:rsidRPr="00E70587" w:rsidDel="00B06472" w:rsidRDefault="006523AE" w:rsidP="00394212">
            <w:pPr>
              <w:overflowPunct/>
              <w:spacing w:line="280" w:lineRule="exact"/>
              <w:jc w:val="right"/>
              <w:textAlignment w:val="auto"/>
              <w:rPr>
                <w:b/>
                <w:bCs/>
                <w:color w:val="000000"/>
                <w:sz w:val="20"/>
              </w:rPr>
            </w:pPr>
            <w:r>
              <w:rPr>
                <w:rFonts w:ascii="Arial" w:hAnsi="Arial"/>
                <w:b/>
                <w:bCs/>
                <w:color w:val="000000"/>
                <w:sz w:val="20"/>
              </w:rPr>
              <w:t>1,575</w:t>
            </w:r>
          </w:p>
        </w:tc>
      </w:tr>
      <w:tr w:rsidR="006523AE" w:rsidRPr="00E70587" w14:paraId="2423F5D0" w14:textId="77777777" w:rsidTr="00394212">
        <w:tc>
          <w:tcPr>
            <w:tcW w:w="6379" w:type="dxa"/>
          </w:tcPr>
          <w:p w14:paraId="2AC437A9" w14:textId="77777777" w:rsidR="006523AE" w:rsidRPr="00E70587" w:rsidRDefault="006523AE" w:rsidP="00394212">
            <w:pPr>
              <w:pStyle w:val="tabletext"/>
              <w:overflowPunct w:val="0"/>
              <w:autoSpaceDE w:val="0"/>
              <w:autoSpaceDN w:val="0"/>
              <w:adjustRightInd w:val="0"/>
              <w:spacing w:line="280" w:lineRule="exact"/>
              <w:textAlignment w:val="baseline"/>
              <w:rPr>
                <w:rFonts w:ascii="Arial" w:hAnsi="Arial" w:cs="Arial"/>
                <w:sz w:val="20"/>
                <w:lang w:val="en-IN"/>
              </w:rPr>
            </w:pPr>
            <w:r w:rsidRPr="006523AE">
              <w:rPr>
                <w:rFonts w:ascii="Arial" w:hAnsi="Arial" w:cs="Arial"/>
                <w:sz w:val="20"/>
                <w:lang w:val="en-IN"/>
              </w:rPr>
              <w:t>Deferred during the year</w:t>
            </w:r>
          </w:p>
        </w:tc>
        <w:tc>
          <w:tcPr>
            <w:tcW w:w="1597" w:type="dxa"/>
            <w:vAlign w:val="center"/>
          </w:tcPr>
          <w:p w14:paraId="4498259C" w14:textId="77777777" w:rsidR="006523AE" w:rsidRPr="00E70587" w:rsidRDefault="006523AE" w:rsidP="006523AE">
            <w:pPr>
              <w:overflowPunct/>
              <w:spacing w:line="280" w:lineRule="exact"/>
              <w:jc w:val="right"/>
              <w:textAlignment w:val="auto"/>
              <w:rPr>
                <w:rFonts w:ascii="Arial" w:hAnsi="Arial" w:cs="Arial"/>
                <w:b/>
                <w:bCs/>
                <w:sz w:val="20"/>
                <w:lang w:eastAsia="en-GB"/>
              </w:rPr>
            </w:pPr>
            <w:r w:rsidRPr="00E70587">
              <w:rPr>
                <w:rFonts w:ascii="Arial" w:hAnsi="Arial" w:cs="Arial"/>
                <w:b/>
                <w:bCs/>
                <w:color w:val="000000"/>
                <w:sz w:val="20"/>
              </w:rPr>
              <w:t xml:space="preserve"> </w:t>
            </w:r>
            <w:r>
              <w:rPr>
                <w:rFonts w:ascii="Arial" w:hAnsi="Arial" w:cs="Arial"/>
                <w:b/>
                <w:bCs/>
                <w:color w:val="000000"/>
                <w:sz w:val="20"/>
              </w:rPr>
              <w:t>568</w:t>
            </w:r>
          </w:p>
        </w:tc>
        <w:tc>
          <w:tcPr>
            <w:tcW w:w="1598" w:type="dxa"/>
            <w:vAlign w:val="center"/>
          </w:tcPr>
          <w:p w14:paraId="1BE7BBFF" w14:textId="77777777" w:rsidR="006523AE" w:rsidRPr="00E70587" w:rsidRDefault="006523AE" w:rsidP="00394212">
            <w:pPr>
              <w:overflowPunct/>
              <w:spacing w:line="280" w:lineRule="exact"/>
              <w:jc w:val="right"/>
              <w:textAlignment w:val="auto"/>
              <w:rPr>
                <w:rFonts w:ascii="Arial" w:hAnsi="Arial" w:cs="Arial"/>
                <w:b/>
                <w:bCs/>
                <w:sz w:val="20"/>
                <w:lang w:eastAsia="en-GB"/>
              </w:rPr>
            </w:pPr>
            <w:r>
              <w:rPr>
                <w:rFonts w:ascii="Arial" w:hAnsi="Arial" w:cs="Arial"/>
                <w:b/>
                <w:bCs/>
                <w:color w:val="000000"/>
                <w:sz w:val="20"/>
              </w:rPr>
              <w:t>583</w:t>
            </w:r>
          </w:p>
        </w:tc>
      </w:tr>
      <w:tr w:rsidR="006523AE" w:rsidRPr="00E70587" w14:paraId="62B570B2" w14:textId="77777777" w:rsidTr="00394212">
        <w:tc>
          <w:tcPr>
            <w:tcW w:w="6379" w:type="dxa"/>
          </w:tcPr>
          <w:p w14:paraId="1299EDAE" w14:textId="77777777" w:rsidR="006523AE" w:rsidRPr="006523AE" w:rsidRDefault="006523AE" w:rsidP="00394212">
            <w:pPr>
              <w:pStyle w:val="tabletext"/>
              <w:overflowPunct w:val="0"/>
              <w:autoSpaceDE w:val="0"/>
              <w:autoSpaceDN w:val="0"/>
              <w:adjustRightInd w:val="0"/>
              <w:spacing w:line="280" w:lineRule="exact"/>
              <w:textAlignment w:val="baseline"/>
              <w:rPr>
                <w:rFonts w:ascii="Arial" w:hAnsi="Arial" w:cs="Arial"/>
                <w:sz w:val="20"/>
                <w:lang w:val="en-IN"/>
              </w:rPr>
            </w:pPr>
            <w:r w:rsidRPr="006523AE">
              <w:rPr>
                <w:rFonts w:ascii="Arial" w:hAnsi="Arial" w:cs="Arial"/>
                <w:sz w:val="20"/>
                <w:lang w:val="en-IN"/>
              </w:rPr>
              <w:t>Recognised as revenue during the year</w:t>
            </w:r>
          </w:p>
        </w:tc>
        <w:tc>
          <w:tcPr>
            <w:tcW w:w="1597" w:type="dxa"/>
            <w:vAlign w:val="center"/>
          </w:tcPr>
          <w:p w14:paraId="363FD9C5" w14:textId="77777777" w:rsidR="006523AE" w:rsidRPr="00E70587" w:rsidRDefault="006523AE" w:rsidP="00394212">
            <w:pPr>
              <w:overflowPunct/>
              <w:spacing w:line="280" w:lineRule="exact"/>
              <w:jc w:val="right"/>
              <w:textAlignment w:val="auto"/>
              <w:rPr>
                <w:rFonts w:ascii="Arial" w:hAnsi="Arial" w:cs="Arial"/>
                <w:b/>
                <w:bCs/>
                <w:color w:val="000000"/>
                <w:sz w:val="20"/>
              </w:rPr>
            </w:pPr>
            <w:r>
              <w:rPr>
                <w:rFonts w:ascii="Arial" w:hAnsi="Arial" w:cs="Arial"/>
                <w:b/>
                <w:bCs/>
                <w:color w:val="000000"/>
                <w:sz w:val="20"/>
              </w:rPr>
              <w:t>(608)</w:t>
            </w:r>
          </w:p>
        </w:tc>
        <w:tc>
          <w:tcPr>
            <w:tcW w:w="1598" w:type="dxa"/>
            <w:vAlign w:val="center"/>
          </w:tcPr>
          <w:p w14:paraId="4A921ED3" w14:textId="77777777" w:rsidR="006523AE" w:rsidRPr="00E70587" w:rsidRDefault="006523AE" w:rsidP="00394212">
            <w:pPr>
              <w:overflowPunct/>
              <w:spacing w:line="280" w:lineRule="exact"/>
              <w:jc w:val="right"/>
              <w:textAlignment w:val="auto"/>
              <w:rPr>
                <w:rFonts w:ascii="Arial" w:hAnsi="Arial" w:cs="Arial"/>
                <w:b/>
                <w:bCs/>
                <w:color w:val="000000"/>
                <w:sz w:val="20"/>
              </w:rPr>
            </w:pPr>
            <w:r>
              <w:rPr>
                <w:rFonts w:ascii="Arial" w:hAnsi="Arial" w:cs="Arial"/>
                <w:b/>
                <w:bCs/>
                <w:color w:val="000000"/>
                <w:sz w:val="20"/>
              </w:rPr>
              <w:t>(290)</w:t>
            </w:r>
          </w:p>
        </w:tc>
      </w:tr>
      <w:tr w:rsidR="006523AE" w:rsidRPr="00E70587" w14:paraId="58D7943B" w14:textId="77777777" w:rsidTr="00394212">
        <w:tc>
          <w:tcPr>
            <w:tcW w:w="6379" w:type="dxa"/>
            <w:vAlign w:val="center"/>
          </w:tcPr>
          <w:p w14:paraId="65B15A04" w14:textId="77777777" w:rsidR="006523AE" w:rsidRPr="00E70587" w:rsidRDefault="006523AE" w:rsidP="00394212">
            <w:pPr>
              <w:pStyle w:val="tabletext"/>
              <w:overflowPunct w:val="0"/>
              <w:autoSpaceDE w:val="0"/>
              <w:autoSpaceDN w:val="0"/>
              <w:adjustRightInd w:val="0"/>
              <w:spacing w:line="280" w:lineRule="exact"/>
              <w:textAlignment w:val="baseline"/>
              <w:rPr>
                <w:rFonts w:ascii="Arial" w:hAnsi="Arial" w:cs="Arial"/>
                <w:b/>
                <w:sz w:val="20"/>
                <w:lang w:val="en-IN"/>
              </w:rPr>
            </w:pPr>
            <w:r>
              <w:rPr>
                <w:rFonts w:ascii="Arial" w:hAnsi="Arial" w:cs="Arial"/>
                <w:b/>
                <w:sz w:val="20"/>
                <w:lang w:val="en-IN"/>
              </w:rPr>
              <w:t>At 31 March</w:t>
            </w:r>
          </w:p>
        </w:tc>
        <w:tc>
          <w:tcPr>
            <w:tcW w:w="1597" w:type="dxa"/>
            <w:tcBorders>
              <w:top w:val="single" w:sz="4" w:space="0" w:color="auto"/>
              <w:bottom w:val="double" w:sz="4" w:space="0" w:color="auto"/>
            </w:tcBorders>
            <w:vAlign w:val="center"/>
          </w:tcPr>
          <w:p w14:paraId="5FD7473C" w14:textId="77777777" w:rsidR="006523AE" w:rsidRPr="00E70587" w:rsidRDefault="006523AE" w:rsidP="00394212">
            <w:pPr>
              <w:overflowPunct/>
              <w:spacing w:line="280" w:lineRule="exact"/>
              <w:jc w:val="right"/>
              <w:textAlignment w:val="auto"/>
              <w:rPr>
                <w:rFonts w:ascii="Arial" w:hAnsi="Arial" w:cs="Arial"/>
                <w:b/>
                <w:bCs/>
                <w:sz w:val="20"/>
                <w:lang w:eastAsia="en-GB"/>
              </w:rPr>
            </w:pPr>
            <w:r>
              <w:rPr>
                <w:rFonts w:ascii="Arial" w:hAnsi="Arial" w:cs="Arial"/>
                <w:b/>
                <w:bCs/>
                <w:color w:val="000000"/>
                <w:sz w:val="20"/>
              </w:rPr>
              <w:t>1,828</w:t>
            </w:r>
          </w:p>
        </w:tc>
        <w:tc>
          <w:tcPr>
            <w:tcW w:w="1598" w:type="dxa"/>
            <w:tcBorders>
              <w:top w:val="single" w:sz="4" w:space="0" w:color="auto"/>
              <w:bottom w:val="double" w:sz="4" w:space="0" w:color="auto"/>
            </w:tcBorders>
            <w:vAlign w:val="center"/>
          </w:tcPr>
          <w:p w14:paraId="60D4A555" w14:textId="77777777" w:rsidR="006523AE" w:rsidRPr="00E70587" w:rsidRDefault="006523AE" w:rsidP="00394212">
            <w:pPr>
              <w:overflowPunct/>
              <w:spacing w:line="280" w:lineRule="exact"/>
              <w:jc w:val="right"/>
              <w:textAlignment w:val="auto"/>
              <w:rPr>
                <w:rFonts w:ascii="Arial" w:hAnsi="Arial" w:cs="Arial"/>
                <w:b/>
                <w:bCs/>
                <w:sz w:val="20"/>
                <w:lang w:eastAsia="en-GB"/>
              </w:rPr>
            </w:pPr>
            <w:r>
              <w:rPr>
                <w:rFonts w:ascii="Arial" w:hAnsi="Arial" w:cs="Arial"/>
                <w:b/>
                <w:bCs/>
                <w:color w:val="000000"/>
                <w:sz w:val="20"/>
              </w:rPr>
              <w:t>1,8</w:t>
            </w:r>
            <w:r w:rsidRPr="00E70587">
              <w:rPr>
                <w:rFonts w:ascii="Arial" w:hAnsi="Arial" w:cs="Arial"/>
                <w:b/>
                <w:bCs/>
                <w:color w:val="000000"/>
                <w:sz w:val="20"/>
              </w:rPr>
              <w:t>68</w:t>
            </w:r>
          </w:p>
        </w:tc>
      </w:tr>
      <w:tr w:rsidR="006523AE" w:rsidRPr="00E70587" w14:paraId="45D1A28A" w14:textId="77777777" w:rsidTr="00394212">
        <w:tc>
          <w:tcPr>
            <w:tcW w:w="6379" w:type="dxa"/>
          </w:tcPr>
          <w:p w14:paraId="615E79EB" w14:textId="77777777" w:rsidR="006523AE" w:rsidRPr="00E70587" w:rsidRDefault="006523AE" w:rsidP="0039421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Current</w:t>
            </w:r>
          </w:p>
        </w:tc>
        <w:tc>
          <w:tcPr>
            <w:tcW w:w="1597" w:type="dxa"/>
            <w:vAlign w:val="center"/>
          </w:tcPr>
          <w:p w14:paraId="00780816" w14:textId="77777777" w:rsidR="006523AE" w:rsidRPr="00E70587" w:rsidRDefault="006523AE" w:rsidP="00394212">
            <w:pPr>
              <w:overflowPunct/>
              <w:spacing w:line="280" w:lineRule="exact"/>
              <w:jc w:val="right"/>
              <w:textAlignment w:val="auto"/>
              <w:rPr>
                <w:rFonts w:ascii="Arial" w:hAnsi="Arial" w:cs="Arial"/>
                <w:sz w:val="20"/>
                <w:lang w:eastAsia="en-GB"/>
              </w:rPr>
            </w:pPr>
            <w:r>
              <w:rPr>
                <w:rFonts w:ascii="Arial" w:hAnsi="Arial" w:cs="Arial"/>
                <w:color w:val="000000"/>
                <w:sz w:val="20"/>
              </w:rPr>
              <w:t>13</w:t>
            </w:r>
            <w:r w:rsidRPr="00E70587">
              <w:rPr>
                <w:rFonts w:ascii="Arial" w:hAnsi="Arial" w:cs="Arial"/>
                <w:color w:val="000000"/>
                <w:sz w:val="20"/>
              </w:rPr>
              <w:t>2</w:t>
            </w:r>
          </w:p>
        </w:tc>
        <w:tc>
          <w:tcPr>
            <w:tcW w:w="1598" w:type="dxa"/>
            <w:vAlign w:val="center"/>
          </w:tcPr>
          <w:p w14:paraId="17DAF40F" w14:textId="77777777" w:rsidR="006523AE" w:rsidRPr="00E70587" w:rsidRDefault="006523AE" w:rsidP="00394212">
            <w:pPr>
              <w:overflowPunct/>
              <w:spacing w:line="280" w:lineRule="exact"/>
              <w:jc w:val="right"/>
              <w:textAlignment w:val="auto"/>
              <w:rPr>
                <w:rFonts w:ascii="Arial" w:hAnsi="Arial" w:cs="Arial"/>
                <w:sz w:val="20"/>
                <w:lang w:eastAsia="en-GB"/>
              </w:rPr>
            </w:pPr>
            <w:r>
              <w:rPr>
                <w:rFonts w:ascii="Arial" w:hAnsi="Arial" w:cs="Arial"/>
                <w:color w:val="000000"/>
                <w:sz w:val="20"/>
              </w:rPr>
              <w:t>11</w:t>
            </w:r>
            <w:r w:rsidRPr="00E70587">
              <w:rPr>
                <w:rFonts w:ascii="Arial" w:hAnsi="Arial" w:cs="Arial"/>
                <w:color w:val="000000"/>
                <w:sz w:val="20"/>
              </w:rPr>
              <w:t>9</w:t>
            </w:r>
          </w:p>
        </w:tc>
      </w:tr>
      <w:tr w:rsidR="006523AE" w:rsidRPr="00E70587" w14:paraId="75119373" w14:textId="77777777" w:rsidTr="00394212">
        <w:tc>
          <w:tcPr>
            <w:tcW w:w="6379" w:type="dxa"/>
          </w:tcPr>
          <w:p w14:paraId="16556B3A" w14:textId="77777777" w:rsidR="006523AE" w:rsidRPr="00E70587" w:rsidRDefault="006523AE" w:rsidP="0039421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Non-current</w:t>
            </w:r>
          </w:p>
        </w:tc>
        <w:tc>
          <w:tcPr>
            <w:tcW w:w="1597" w:type="dxa"/>
            <w:tcBorders>
              <w:bottom w:val="single" w:sz="4" w:space="0" w:color="auto"/>
            </w:tcBorders>
            <w:vAlign w:val="center"/>
          </w:tcPr>
          <w:p w14:paraId="65FF5F31" w14:textId="77777777" w:rsidR="006523AE" w:rsidRPr="00E70587" w:rsidRDefault="006523AE" w:rsidP="00394212">
            <w:pPr>
              <w:overflowPunct/>
              <w:spacing w:line="280" w:lineRule="exact"/>
              <w:jc w:val="right"/>
              <w:textAlignment w:val="auto"/>
              <w:rPr>
                <w:rFonts w:ascii="Arial" w:hAnsi="Arial" w:cs="Arial"/>
                <w:sz w:val="20"/>
                <w:lang w:eastAsia="en-GB"/>
              </w:rPr>
            </w:pPr>
            <w:r>
              <w:rPr>
                <w:rFonts w:ascii="Arial" w:hAnsi="Arial" w:cs="Arial"/>
                <w:color w:val="000000"/>
                <w:sz w:val="20"/>
              </w:rPr>
              <w:t xml:space="preserve"> 1,696</w:t>
            </w:r>
          </w:p>
        </w:tc>
        <w:tc>
          <w:tcPr>
            <w:tcW w:w="1598" w:type="dxa"/>
            <w:tcBorders>
              <w:bottom w:val="single" w:sz="4" w:space="0" w:color="auto"/>
            </w:tcBorders>
            <w:vAlign w:val="center"/>
          </w:tcPr>
          <w:p w14:paraId="10F3D3D0" w14:textId="77777777" w:rsidR="006523AE" w:rsidRPr="00E70587" w:rsidRDefault="006523AE" w:rsidP="00394212">
            <w:pPr>
              <w:overflowPunct/>
              <w:spacing w:line="280" w:lineRule="exact"/>
              <w:jc w:val="right"/>
              <w:textAlignment w:val="auto"/>
              <w:rPr>
                <w:rFonts w:ascii="Arial" w:hAnsi="Arial" w:cs="Arial"/>
                <w:sz w:val="20"/>
                <w:lang w:eastAsia="en-GB"/>
              </w:rPr>
            </w:pPr>
            <w:r>
              <w:rPr>
                <w:rFonts w:ascii="Arial" w:hAnsi="Arial" w:cs="Arial"/>
                <w:color w:val="000000"/>
                <w:sz w:val="20"/>
              </w:rPr>
              <w:t>1,749</w:t>
            </w:r>
          </w:p>
        </w:tc>
      </w:tr>
    </w:tbl>
    <w:p w14:paraId="3E528828" w14:textId="77777777" w:rsidR="006523AE" w:rsidRPr="006523AE" w:rsidRDefault="006523AE" w:rsidP="009901E1">
      <w:pPr>
        <w:pStyle w:val="tabletext"/>
        <w:overflowPunct w:val="0"/>
        <w:autoSpaceDE w:val="0"/>
        <w:autoSpaceDN w:val="0"/>
        <w:adjustRightInd w:val="0"/>
        <w:spacing w:line="280" w:lineRule="exact"/>
        <w:jc w:val="both"/>
        <w:textAlignment w:val="baseline"/>
        <w:rPr>
          <w:rFonts w:ascii="Arial" w:hAnsi="Arial" w:cs="Arial"/>
          <w:b/>
          <w:sz w:val="20"/>
          <w:lang w:val="en-IN"/>
        </w:rPr>
      </w:pPr>
    </w:p>
    <w:p w14:paraId="7F3E373A" w14:textId="77777777" w:rsidR="002E4A62" w:rsidRPr="00E70587" w:rsidRDefault="002E4A62"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Income tax</w:t>
      </w:r>
    </w:p>
    <w:p w14:paraId="10D99DF7" w14:textId="77777777" w:rsidR="002E4A62" w:rsidRPr="00E70587" w:rsidRDefault="002E4A62"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078DC3CE" w14:textId="4982B5D8" w:rsidR="002E4A62" w:rsidRPr="00E70587" w:rsidRDefault="002E4A62"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r w:rsidRPr="00E70587">
        <w:rPr>
          <w:rFonts w:ascii="Arial" w:hAnsi="Arial" w:cs="Arial"/>
          <w:sz w:val="20"/>
          <w:lang w:val="en-IN"/>
        </w:rPr>
        <w:t xml:space="preserve">The major components of income tax expense for the years ended 31 </w:t>
      </w:r>
      <w:r w:rsidR="00E1202D" w:rsidRPr="00E70587">
        <w:rPr>
          <w:rFonts w:ascii="Arial" w:hAnsi="Arial" w:cs="Arial"/>
          <w:sz w:val="20"/>
          <w:lang w:val="en-IN"/>
        </w:rPr>
        <w:t xml:space="preserve">March </w:t>
      </w:r>
      <w:r w:rsidR="000B2FBE" w:rsidRPr="00E70587">
        <w:rPr>
          <w:rFonts w:ascii="Arial" w:hAnsi="Arial" w:cs="Arial"/>
          <w:sz w:val="20"/>
          <w:lang w:val="en-IN"/>
        </w:rPr>
        <w:t>20</w:t>
      </w:r>
      <w:r w:rsidR="000B2FBE">
        <w:rPr>
          <w:rFonts w:ascii="Arial" w:hAnsi="Arial" w:cs="Arial"/>
          <w:sz w:val="20"/>
          <w:lang w:val="en-IN"/>
        </w:rPr>
        <w:t>21</w:t>
      </w:r>
      <w:r w:rsidR="000B2FBE" w:rsidRPr="00E70587">
        <w:rPr>
          <w:rFonts w:ascii="Arial" w:hAnsi="Arial" w:cs="Arial"/>
          <w:sz w:val="20"/>
          <w:lang w:val="en-IN"/>
        </w:rPr>
        <w:t xml:space="preserve"> </w:t>
      </w:r>
      <w:r w:rsidRPr="00E70587">
        <w:rPr>
          <w:rFonts w:ascii="Arial" w:hAnsi="Arial" w:cs="Arial"/>
          <w:sz w:val="20"/>
          <w:lang w:val="en-IN"/>
        </w:rPr>
        <w:t xml:space="preserve">and 31 </w:t>
      </w:r>
      <w:r w:rsidR="008B730E" w:rsidRPr="00E70587">
        <w:rPr>
          <w:rFonts w:ascii="Arial" w:hAnsi="Arial" w:cs="Arial"/>
          <w:sz w:val="20"/>
          <w:lang w:val="en-IN"/>
        </w:rPr>
        <w:t xml:space="preserve">March </w:t>
      </w:r>
      <w:r w:rsidR="000B2FBE" w:rsidRPr="00E70587">
        <w:rPr>
          <w:rFonts w:ascii="Arial" w:hAnsi="Arial" w:cs="Arial"/>
          <w:sz w:val="20"/>
          <w:lang w:val="en-IN"/>
        </w:rPr>
        <w:t>20</w:t>
      </w:r>
      <w:r w:rsidR="000B2FBE">
        <w:rPr>
          <w:rFonts w:ascii="Arial" w:hAnsi="Arial" w:cs="Arial"/>
          <w:sz w:val="20"/>
          <w:lang w:val="en-IN"/>
        </w:rPr>
        <w:t>20</w:t>
      </w:r>
      <w:r w:rsidR="000B2FBE" w:rsidRPr="00E70587">
        <w:rPr>
          <w:rFonts w:ascii="Arial" w:hAnsi="Arial" w:cs="Arial"/>
          <w:sz w:val="20"/>
          <w:lang w:val="en-IN"/>
        </w:rPr>
        <w:t xml:space="preserve"> </w:t>
      </w:r>
      <w:r w:rsidRPr="00E70587">
        <w:rPr>
          <w:rFonts w:ascii="Arial" w:hAnsi="Arial" w:cs="Arial"/>
          <w:sz w:val="20"/>
          <w:lang w:val="en-IN"/>
        </w:rPr>
        <w:t>are:</w:t>
      </w:r>
    </w:p>
    <w:p w14:paraId="649D7CB7" w14:textId="77777777" w:rsidR="00001A3B" w:rsidRPr="00E70587" w:rsidRDefault="00001A3B"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08C6723E" w14:textId="77777777" w:rsidR="00965568" w:rsidRPr="00E70587" w:rsidRDefault="00D9764D" w:rsidP="002E4A62">
      <w:pPr>
        <w:pStyle w:val="tabletext"/>
        <w:overflowPunct w:val="0"/>
        <w:autoSpaceDE w:val="0"/>
        <w:autoSpaceDN w:val="0"/>
        <w:adjustRightInd w:val="0"/>
        <w:spacing w:line="280" w:lineRule="exact"/>
        <w:jc w:val="both"/>
        <w:textAlignment w:val="baseline"/>
        <w:rPr>
          <w:rFonts w:ascii="Arial" w:hAnsi="Arial" w:cs="Arial"/>
          <w:b/>
          <w:sz w:val="20"/>
          <w:lang w:val="en-IN"/>
        </w:rPr>
      </w:pPr>
      <w:r w:rsidRPr="00E70587">
        <w:rPr>
          <w:rFonts w:ascii="Arial" w:hAnsi="Arial" w:cs="Arial"/>
          <w:b/>
          <w:sz w:val="20"/>
          <w:lang w:val="en-IN"/>
        </w:rPr>
        <w:t xml:space="preserve">Consolidated statement of profit </w:t>
      </w:r>
      <w:r w:rsidR="00965568" w:rsidRPr="00E70587">
        <w:rPr>
          <w:rFonts w:ascii="Arial" w:hAnsi="Arial" w:cs="Arial"/>
          <w:b/>
          <w:sz w:val="20"/>
          <w:lang w:val="en-IN"/>
        </w:rPr>
        <w:t xml:space="preserve">and </w:t>
      </w:r>
      <w:r w:rsidRPr="00E70587">
        <w:rPr>
          <w:rFonts w:ascii="Arial" w:hAnsi="Arial" w:cs="Arial"/>
          <w:b/>
          <w:sz w:val="20"/>
          <w:lang w:val="en-IN"/>
        </w:rPr>
        <w:t>loss</w:t>
      </w:r>
      <w:r w:rsidR="00297624" w:rsidRPr="00E70587">
        <w:rPr>
          <w:rFonts w:ascii="Arial" w:hAnsi="Arial" w:cs="Arial"/>
          <w:b/>
          <w:sz w:val="20"/>
          <w:lang w:val="en-IN"/>
        </w:rPr>
        <w:t>:</w:t>
      </w:r>
    </w:p>
    <w:p w14:paraId="40196E5E" w14:textId="77777777" w:rsidR="00001A3B" w:rsidRPr="00E70587" w:rsidRDefault="00001A3B"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2AABEEAE" w14:textId="744AAF88" w:rsidR="00D9764D" w:rsidRPr="00E70587" w:rsidRDefault="00965568" w:rsidP="002E4A62">
      <w:pPr>
        <w:pStyle w:val="tabletext"/>
        <w:overflowPunct w:val="0"/>
        <w:autoSpaceDE w:val="0"/>
        <w:autoSpaceDN w:val="0"/>
        <w:adjustRightInd w:val="0"/>
        <w:spacing w:line="280" w:lineRule="exact"/>
        <w:jc w:val="both"/>
        <w:textAlignment w:val="baseline"/>
        <w:rPr>
          <w:rFonts w:ascii="Arial" w:hAnsi="Arial" w:cs="Arial"/>
          <w:i/>
          <w:sz w:val="20"/>
          <w:lang w:val="en-IN"/>
        </w:rPr>
      </w:pPr>
      <w:r w:rsidRPr="00E70587">
        <w:rPr>
          <w:rFonts w:ascii="Arial" w:hAnsi="Arial" w:cs="Arial"/>
          <w:i/>
          <w:sz w:val="20"/>
          <w:lang w:val="en-IN"/>
        </w:rPr>
        <w:t xml:space="preserve">Profit </w:t>
      </w:r>
      <w:r w:rsidR="00CD5159">
        <w:rPr>
          <w:rFonts w:ascii="Arial" w:hAnsi="Arial" w:cs="Arial"/>
          <w:i/>
          <w:sz w:val="20"/>
          <w:lang w:val="en-IN"/>
        </w:rPr>
        <w:t>or</w:t>
      </w:r>
      <w:r w:rsidR="00B03255" w:rsidRPr="00E70587">
        <w:rPr>
          <w:rFonts w:ascii="Arial" w:hAnsi="Arial" w:cs="Arial"/>
          <w:i/>
          <w:sz w:val="20"/>
          <w:lang w:val="en-IN"/>
        </w:rPr>
        <w:t xml:space="preserve"> </w:t>
      </w:r>
      <w:r w:rsidRPr="00E70587">
        <w:rPr>
          <w:rFonts w:ascii="Arial" w:hAnsi="Arial" w:cs="Arial"/>
          <w:i/>
          <w:sz w:val="20"/>
          <w:lang w:val="en-IN"/>
        </w:rPr>
        <w:t>loss section</w:t>
      </w:r>
    </w:p>
    <w:tbl>
      <w:tblPr>
        <w:tblW w:w="9576" w:type="dxa"/>
        <w:tblLayout w:type="fixed"/>
        <w:tblLook w:val="01E0" w:firstRow="1" w:lastRow="1" w:firstColumn="1" w:lastColumn="1" w:noHBand="0" w:noVBand="0"/>
      </w:tblPr>
      <w:tblGrid>
        <w:gridCol w:w="5963"/>
        <w:gridCol w:w="1716"/>
        <w:gridCol w:w="1897"/>
      </w:tblGrid>
      <w:tr w:rsidR="002E4A62" w:rsidRPr="00E70587" w14:paraId="1735740E" w14:textId="77777777" w:rsidTr="002E4A62">
        <w:tc>
          <w:tcPr>
            <w:tcW w:w="5940" w:type="dxa"/>
            <w:shd w:val="clear" w:color="auto" w:fill="auto"/>
          </w:tcPr>
          <w:p w14:paraId="20F05D95" w14:textId="77777777" w:rsidR="002E4A62" w:rsidRPr="00E70587" w:rsidRDefault="002E4A62" w:rsidP="009901E1">
            <w:pPr>
              <w:pStyle w:val="000Normal"/>
              <w:spacing w:before="0" w:after="0" w:line="280" w:lineRule="exact"/>
              <w:rPr>
                <w:rFonts w:ascii="Arial" w:hAnsi="Arial" w:cs="Arial"/>
                <w:sz w:val="20"/>
              </w:rPr>
            </w:pPr>
          </w:p>
        </w:tc>
        <w:tc>
          <w:tcPr>
            <w:tcW w:w="1710" w:type="dxa"/>
            <w:tcBorders>
              <w:bottom w:val="single" w:sz="4" w:space="0" w:color="auto"/>
            </w:tcBorders>
            <w:shd w:val="clear" w:color="auto" w:fill="auto"/>
          </w:tcPr>
          <w:p w14:paraId="4042E4D6" w14:textId="703CE133" w:rsidR="002E4A62" w:rsidRPr="00E70587" w:rsidRDefault="002E4A62"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0B2FBE" w:rsidRPr="00E70587">
              <w:rPr>
                <w:rFonts w:ascii="Arial" w:hAnsi="Arial"/>
                <w:color w:val="auto"/>
                <w:sz w:val="20"/>
                <w:szCs w:val="20"/>
                <w:lang w:val="en-IN"/>
              </w:rPr>
              <w:t>20</w:t>
            </w:r>
            <w:r w:rsidR="000B2FBE">
              <w:rPr>
                <w:rFonts w:ascii="Arial" w:hAnsi="Arial"/>
                <w:color w:val="auto"/>
                <w:sz w:val="20"/>
                <w:szCs w:val="20"/>
                <w:lang w:val="en-IN"/>
              </w:rPr>
              <w:t>21</w:t>
            </w:r>
          </w:p>
        </w:tc>
        <w:tc>
          <w:tcPr>
            <w:tcW w:w="1890" w:type="dxa"/>
            <w:tcBorders>
              <w:bottom w:val="single" w:sz="4" w:space="0" w:color="auto"/>
            </w:tcBorders>
            <w:shd w:val="clear" w:color="auto" w:fill="auto"/>
          </w:tcPr>
          <w:p w14:paraId="6151B910" w14:textId="6A9857D6" w:rsidR="002E4A62" w:rsidRPr="00E70587" w:rsidRDefault="002E4A62"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0B2FBE" w:rsidRPr="00E70587">
              <w:rPr>
                <w:rFonts w:ascii="Arial" w:hAnsi="Arial"/>
                <w:color w:val="auto"/>
                <w:sz w:val="20"/>
                <w:szCs w:val="20"/>
                <w:lang w:val="en-IN"/>
              </w:rPr>
              <w:t>20</w:t>
            </w:r>
            <w:r w:rsidR="000B2FBE">
              <w:rPr>
                <w:rFonts w:ascii="Arial" w:hAnsi="Arial"/>
                <w:color w:val="auto"/>
                <w:sz w:val="20"/>
                <w:szCs w:val="20"/>
                <w:lang w:val="en-IN"/>
              </w:rPr>
              <w:t>20</w:t>
            </w:r>
          </w:p>
        </w:tc>
      </w:tr>
      <w:tr w:rsidR="002E4A62" w:rsidRPr="00E70587" w14:paraId="7043E0F4" w14:textId="77777777" w:rsidTr="002E4A62">
        <w:tc>
          <w:tcPr>
            <w:tcW w:w="5940" w:type="dxa"/>
          </w:tcPr>
          <w:p w14:paraId="78B1FD5F" w14:textId="77777777" w:rsidR="002E4A62" w:rsidRPr="00E70587" w:rsidRDefault="002E4A62" w:rsidP="009901E1">
            <w:pPr>
              <w:pStyle w:val="000Normal"/>
              <w:spacing w:before="0" w:after="0" w:line="280" w:lineRule="exact"/>
              <w:jc w:val="right"/>
              <w:rPr>
                <w:rFonts w:ascii="Arial" w:hAnsi="Arial" w:cs="Arial"/>
                <w:b/>
                <w:sz w:val="20"/>
              </w:rPr>
            </w:pPr>
          </w:p>
        </w:tc>
        <w:tc>
          <w:tcPr>
            <w:tcW w:w="1710" w:type="dxa"/>
            <w:tcBorders>
              <w:top w:val="single" w:sz="4" w:space="0" w:color="auto"/>
            </w:tcBorders>
            <w:vAlign w:val="bottom"/>
          </w:tcPr>
          <w:p w14:paraId="5F521FDE" w14:textId="77777777" w:rsidR="002E4A62" w:rsidRPr="00E70587" w:rsidRDefault="002E4A62"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90" w:type="dxa"/>
            <w:tcBorders>
              <w:top w:val="single" w:sz="4" w:space="0" w:color="auto"/>
            </w:tcBorders>
            <w:vAlign w:val="bottom"/>
          </w:tcPr>
          <w:p w14:paraId="6C9D7950" w14:textId="77777777" w:rsidR="002E4A62" w:rsidRPr="00E70587" w:rsidRDefault="002E4A62"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2E4A62" w:rsidRPr="00E70587" w14:paraId="5BED67BC" w14:textId="77777777" w:rsidTr="002E4A62">
        <w:tc>
          <w:tcPr>
            <w:tcW w:w="5940" w:type="dxa"/>
            <w:tcMar>
              <w:top w:w="28" w:type="dxa"/>
            </w:tcMar>
          </w:tcPr>
          <w:p w14:paraId="7719EA3F" w14:textId="77777777" w:rsidR="002E4A62" w:rsidRPr="00E70587" w:rsidRDefault="002E4A62" w:rsidP="009901E1">
            <w:pPr>
              <w:pStyle w:val="Notesitalicheading"/>
              <w:spacing w:line="280" w:lineRule="exact"/>
              <w:rPr>
                <w:rFonts w:ascii="Arial" w:hAnsi="Arial"/>
                <w:color w:val="auto"/>
                <w:sz w:val="20"/>
              </w:rPr>
            </w:pPr>
            <w:r w:rsidRPr="00E70587">
              <w:rPr>
                <w:rFonts w:ascii="Arial" w:hAnsi="Arial"/>
                <w:color w:val="auto"/>
                <w:sz w:val="20"/>
              </w:rPr>
              <w:t>Current income tax:</w:t>
            </w:r>
          </w:p>
        </w:tc>
        <w:tc>
          <w:tcPr>
            <w:tcW w:w="1710" w:type="dxa"/>
            <w:tcMar>
              <w:top w:w="28" w:type="dxa"/>
            </w:tcMar>
          </w:tcPr>
          <w:p w14:paraId="383C6B99"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890" w:type="dxa"/>
            <w:tcMar>
              <w:top w:w="28" w:type="dxa"/>
            </w:tcMar>
          </w:tcPr>
          <w:p w14:paraId="00F8980A"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p>
        </w:tc>
      </w:tr>
      <w:tr w:rsidR="002E4A62" w:rsidRPr="00E70587" w14:paraId="0290723A" w14:textId="77777777" w:rsidTr="002E4A62">
        <w:tc>
          <w:tcPr>
            <w:tcW w:w="5940" w:type="dxa"/>
            <w:tcMar>
              <w:top w:w="28" w:type="dxa"/>
            </w:tcMar>
          </w:tcPr>
          <w:p w14:paraId="3DB188AA"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Current income tax charge</w:t>
            </w:r>
          </w:p>
        </w:tc>
        <w:tc>
          <w:tcPr>
            <w:tcW w:w="1710" w:type="dxa"/>
            <w:tcMar>
              <w:top w:w="28" w:type="dxa"/>
              <w:right w:w="108" w:type="dxa"/>
            </w:tcMar>
          </w:tcPr>
          <w:p w14:paraId="5ED4C03E" w14:textId="77777777"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5,288</w:t>
            </w:r>
          </w:p>
        </w:tc>
        <w:tc>
          <w:tcPr>
            <w:tcW w:w="1890" w:type="dxa"/>
            <w:tcMar>
              <w:top w:w="28" w:type="dxa"/>
            </w:tcMar>
          </w:tcPr>
          <w:p w14:paraId="22DFE63D" w14:textId="77777777"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4,658</w:t>
            </w:r>
          </w:p>
        </w:tc>
      </w:tr>
      <w:tr w:rsidR="002E4A62" w:rsidRPr="00E70587" w14:paraId="7BFBAC0F" w14:textId="77777777" w:rsidTr="002E4A62">
        <w:tc>
          <w:tcPr>
            <w:tcW w:w="5940" w:type="dxa"/>
          </w:tcPr>
          <w:p w14:paraId="7A7ADA28"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Adjustments in respect of current income tax of previous year</w:t>
            </w:r>
          </w:p>
        </w:tc>
        <w:tc>
          <w:tcPr>
            <w:tcW w:w="1710" w:type="dxa"/>
            <w:tcMar>
              <w:top w:w="28" w:type="dxa"/>
              <w:right w:w="57" w:type="dxa"/>
            </w:tcMar>
          </w:tcPr>
          <w:p w14:paraId="56102E7D" w14:textId="77777777"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(32)</w:t>
            </w:r>
          </w:p>
        </w:tc>
        <w:tc>
          <w:tcPr>
            <w:tcW w:w="1890" w:type="dxa"/>
            <w:tcMar>
              <w:right w:w="57" w:type="dxa"/>
            </w:tcMar>
          </w:tcPr>
          <w:p w14:paraId="45D448DA" w14:textId="77777777"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(79)</w:t>
            </w:r>
          </w:p>
        </w:tc>
      </w:tr>
      <w:tr w:rsidR="002E4A62" w:rsidRPr="00E70587" w14:paraId="3126B7A4" w14:textId="77777777" w:rsidTr="002E4A62">
        <w:tc>
          <w:tcPr>
            <w:tcW w:w="5940" w:type="dxa"/>
            <w:tcMar>
              <w:top w:w="28" w:type="dxa"/>
            </w:tcMar>
          </w:tcPr>
          <w:p w14:paraId="0104A5A0" w14:textId="77777777" w:rsidR="002E4A62" w:rsidRPr="00E70587" w:rsidRDefault="002E4A62" w:rsidP="009901E1">
            <w:pPr>
              <w:pStyle w:val="Notesitalicheading"/>
              <w:spacing w:line="280" w:lineRule="exact"/>
              <w:rPr>
                <w:rFonts w:ascii="Arial" w:hAnsi="Arial"/>
                <w:color w:val="auto"/>
                <w:sz w:val="20"/>
              </w:rPr>
            </w:pPr>
            <w:r w:rsidRPr="00E70587">
              <w:rPr>
                <w:rFonts w:ascii="Arial" w:hAnsi="Arial"/>
                <w:color w:val="auto"/>
                <w:sz w:val="20"/>
              </w:rPr>
              <w:t>Deferred tax:</w:t>
            </w:r>
          </w:p>
        </w:tc>
        <w:tc>
          <w:tcPr>
            <w:tcW w:w="1710" w:type="dxa"/>
            <w:tcMar>
              <w:top w:w="28" w:type="dxa"/>
            </w:tcMar>
          </w:tcPr>
          <w:p w14:paraId="2A52AD70" w14:textId="77777777" w:rsidR="002E4A62" w:rsidRPr="00E70587" w:rsidRDefault="002E4A62" w:rsidP="009901E1">
            <w:pPr>
              <w:overflowPunct/>
              <w:spacing w:line="280" w:lineRule="exact"/>
              <w:jc w:val="right"/>
              <w:textAlignment w:val="auto"/>
              <w:rPr>
                <w:rFonts w:ascii="Arial" w:hAnsi="Arial" w:cs="Arial"/>
                <w:sz w:val="20"/>
                <w:lang w:eastAsia="en-GB"/>
              </w:rPr>
            </w:pPr>
          </w:p>
        </w:tc>
        <w:tc>
          <w:tcPr>
            <w:tcW w:w="1890" w:type="dxa"/>
            <w:tcMar>
              <w:top w:w="28" w:type="dxa"/>
            </w:tcMar>
          </w:tcPr>
          <w:p w14:paraId="40D47203" w14:textId="77777777" w:rsidR="002E4A62" w:rsidRPr="00E70587" w:rsidRDefault="002E4A62" w:rsidP="009901E1">
            <w:pPr>
              <w:overflowPunct/>
              <w:spacing w:line="280" w:lineRule="exact"/>
              <w:jc w:val="right"/>
              <w:textAlignment w:val="auto"/>
              <w:rPr>
                <w:rFonts w:ascii="Arial" w:hAnsi="Arial" w:cs="Arial"/>
                <w:sz w:val="20"/>
                <w:lang w:eastAsia="en-GB"/>
              </w:rPr>
            </w:pPr>
          </w:p>
        </w:tc>
      </w:tr>
      <w:tr w:rsidR="002E4A62" w:rsidRPr="00E70587" w14:paraId="79E78F1B" w14:textId="77777777" w:rsidTr="002E4A62">
        <w:tc>
          <w:tcPr>
            <w:tcW w:w="5940" w:type="dxa"/>
            <w:tcMar>
              <w:top w:w="28" w:type="dxa"/>
            </w:tcMar>
          </w:tcPr>
          <w:p w14:paraId="355FE8F1"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Relating to origination and reversal of temporary differences</w:t>
            </w:r>
          </w:p>
        </w:tc>
        <w:tc>
          <w:tcPr>
            <w:tcW w:w="1710" w:type="dxa"/>
            <w:tcBorders>
              <w:bottom w:val="single" w:sz="4" w:space="0" w:color="auto"/>
            </w:tcBorders>
            <w:tcMar>
              <w:top w:w="28" w:type="dxa"/>
              <w:right w:w="108" w:type="dxa"/>
            </w:tcMar>
          </w:tcPr>
          <w:p w14:paraId="3B7841A3" w14:textId="716EA5C0" w:rsidR="002E4A62" w:rsidRPr="00E70587" w:rsidRDefault="009F71C2" w:rsidP="009901E1">
            <w:pPr>
              <w:overflowPunct/>
              <w:spacing w:line="280" w:lineRule="exact"/>
              <w:jc w:val="right"/>
              <w:textAlignment w:val="auto"/>
              <w:rPr>
                <w:rFonts w:ascii="Arial" w:hAnsi="Arial" w:cs="Arial"/>
                <w:sz w:val="20"/>
                <w:lang w:eastAsia="en-GB"/>
              </w:rPr>
            </w:pPr>
            <w:r>
              <w:rPr>
                <w:rFonts w:ascii="Arial" w:hAnsi="Arial" w:cs="Arial"/>
                <w:sz w:val="20"/>
                <w:lang w:eastAsia="en-GB"/>
              </w:rPr>
              <w:t>4</w:t>
            </w:r>
            <w:r w:rsidRPr="00E70587">
              <w:rPr>
                <w:rFonts w:ascii="Arial" w:hAnsi="Arial" w:cs="Arial"/>
                <w:sz w:val="20"/>
                <w:lang w:eastAsia="en-GB"/>
              </w:rPr>
              <w:t>2</w:t>
            </w:r>
            <w:r>
              <w:rPr>
                <w:rFonts w:ascii="Arial" w:hAnsi="Arial" w:cs="Arial"/>
                <w:sz w:val="20"/>
                <w:lang w:eastAsia="en-GB"/>
              </w:rPr>
              <w:t>1</w:t>
            </w:r>
          </w:p>
        </w:tc>
        <w:tc>
          <w:tcPr>
            <w:tcW w:w="1890" w:type="dxa"/>
            <w:tcBorders>
              <w:bottom w:val="single" w:sz="4" w:space="0" w:color="auto"/>
            </w:tcBorders>
            <w:tcMar>
              <w:top w:w="28" w:type="dxa"/>
              <w:right w:w="57" w:type="dxa"/>
            </w:tcMar>
          </w:tcPr>
          <w:p w14:paraId="0F7AED20" w14:textId="3CD99E00"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r w:rsidR="002E1FBD" w:rsidRPr="00E70587">
              <w:rPr>
                <w:rFonts w:ascii="Arial" w:hAnsi="Arial" w:cs="Arial"/>
                <w:sz w:val="20"/>
                <w:lang w:eastAsia="en-GB"/>
              </w:rPr>
              <w:t>56</w:t>
            </w:r>
            <w:r w:rsidR="00603FEE">
              <w:rPr>
                <w:rFonts w:ascii="Arial" w:hAnsi="Arial" w:cs="Arial"/>
                <w:sz w:val="20"/>
                <w:lang w:eastAsia="en-GB"/>
              </w:rPr>
              <w:t>0</w:t>
            </w:r>
            <w:r w:rsidRPr="00E70587">
              <w:rPr>
                <w:rFonts w:ascii="Arial" w:hAnsi="Arial" w:cs="Arial"/>
                <w:sz w:val="20"/>
                <w:lang w:eastAsia="en-GB"/>
              </w:rPr>
              <w:t>)</w:t>
            </w:r>
          </w:p>
        </w:tc>
      </w:tr>
      <w:tr w:rsidR="002E4A62" w:rsidRPr="00E70587" w14:paraId="1601D16E" w14:textId="77777777" w:rsidTr="002E4A62">
        <w:tc>
          <w:tcPr>
            <w:tcW w:w="5940" w:type="dxa"/>
            <w:tcMar>
              <w:top w:w="28" w:type="dxa"/>
            </w:tcMar>
            <w:vAlign w:val="center"/>
          </w:tcPr>
          <w:p w14:paraId="4369FEA3" w14:textId="038F4B88"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Income tax expense reported in the statement of profit </w:t>
            </w:r>
            <w:r w:rsidR="00F86D7D">
              <w:rPr>
                <w:rFonts w:ascii="Arial" w:hAnsi="Arial" w:cs="Arial"/>
                <w:b/>
                <w:sz w:val="20"/>
                <w:lang w:val="en-IN"/>
              </w:rPr>
              <w:t>and</w:t>
            </w:r>
            <w:r w:rsidR="00F86D7D" w:rsidRPr="00E70587">
              <w:rPr>
                <w:rFonts w:ascii="Arial" w:hAnsi="Arial" w:cs="Arial"/>
                <w:b/>
                <w:sz w:val="20"/>
                <w:lang w:val="en-IN"/>
              </w:rPr>
              <w:t xml:space="preserve"> </w:t>
            </w:r>
            <w:r w:rsidRPr="00E70587">
              <w:rPr>
                <w:rFonts w:ascii="Arial" w:hAnsi="Arial" w:cs="Arial"/>
                <w:b/>
                <w:sz w:val="20"/>
                <w:lang w:val="en-IN"/>
              </w:rPr>
              <w:t>loss</w:t>
            </w:r>
          </w:p>
        </w:tc>
        <w:tc>
          <w:tcPr>
            <w:tcW w:w="1710" w:type="dxa"/>
            <w:tcBorders>
              <w:top w:val="single" w:sz="4" w:space="0" w:color="auto"/>
              <w:bottom w:val="double" w:sz="4" w:space="0" w:color="auto"/>
            </w:tcBorders>
            <w:tcMar>
              <w:top w:w="28" w:type="dxa"/>
              <w:right w:w="108" w:type="dxa"/>
            </w:tcMar>
          </w:tcPr>
          <w:p w14:paraId="545A888F" w14:textId="2B51589B" w:rsidR="002E4A62" w:rsidRPr="00E70587" w:rsidRDefault="002E4A6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5,</w:t>
            </w:r>
            <w:r w:rsidR="009F71C2">
              <w:rPr>
                <w:rFonts w:ascii="Arial" w:hAnsi="Arial" w:cs="Arial"/>
                <w:b/>
                <w:bCs/>
                <w:sz w:val="20"/>
                <w:lang w:eastAsia="en-GB"/>
              </w:rPr>
              <w:t>677</w:t>
            </w:r>
          </w:p>
        </w:tc>
        <w:tc>
          <w:tcPr>
            <w:tcW w:w="1890" w:type="dxa"/>
            <w:tcBorders>
              <w:top w:val="single" w:sz="4" w:space="0" w:color="auto"/>
              <w:bottom w:val="double" w:sz="4" w:space="0" w:color="auto"/>
            </w:tcBorders>
            <w:tcMar>
              <w:top w:w="28" w:type="dxa"/>
            </w:tcMar>
          </w:tcPr>
          <w:p w14:paraId="3035AB85" w14:textId="6AC0EEA0" w:rsidR="002E4A62" w:rsidRPr="00E70587" w:rsidRDefault="002E4A6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4,</w:t>
            </w:r>
            <w:r w:rsidR="002E1FBD" w:rsidRPr="00E70587">
              <w:rPr>
                <w:rFonts w:ascii="Arial" w:hAnsi="Arial" w:cs="Arial"/>
                <w:b/>
                <w:bCs/>
                <w:sz w:val="20"/>
                <w:lang w:eastAsia="en-GB"/>
              </w:rPr>
              <w:t>01</w:t>
            </w:r>
            <w:r w:rsidR="00603FEE">
              <w:rPr>
                <w:rFonts w:ascii="Arial" w:hAnsi="Arial" w:cs="Arial"/>
                <w:b/>
                <w:bCs/>
                <w:sz w:val="20"/>
                <w:lang w:eastAsia="en-GB"/>
              </w:rPr>
              <w:t>9</w:t>
            </w:r>
          </w:p>
        </w:tc>
      </w:tr>
    </w:tbl>
    <w:p w14:paraId="5ECC20B5" w14:textId="77777777" w:rsidR="00D9764D" w:rsidRPr="00E70587" w:rsidRDefault="00D9764D"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580F9EFD" w14:textId="77777777" w:rsidR="00D9764D" w:rsidRPr="00E70587" w:rsidRDefault="00D9764D" w:rsidP="002E4A62">
      <w:pPr>
        <w:pStyle w:val="tabletext"/>
        <w:overflowPunct w:val="0"/>
        <w:autoSpaceDE w:val="0"/>
        <w:autoSpaceDN w:val="0"/>
        <w:adjustRightInd w:val="0"/>
        <w:spacing w:line="280" w:lineRule="exact"/>
        <w:jc w:val="both"/>
        <w:textAlignment w:val="baseline"/>
        <w:rPr>
          <w:rFonts w:ascii="Arial" w:hAnsi="Arial" w:cs="Arial"/>
          <w:i/>
          <w:sz w:val="20"/>
          <w:u w:val="single"/>
          <w:lang w:val="en-IN"/>
        </w:rPr>
      </w:pPr>
      <w:r w:rsidRPr="00E70587">
        <w:rPr>
          <w:rFonts w:ascii="Arial" w:hAnsi="Arial" w:cs="Arial"/>
          <w:i/>
          <w:sz w:val="20"/>
          <w:u w:val="single"/>
          <w:lang w:val="en-IN"/>
        </w:rPr>
        <w:t>OCI</w:t>
      </w:r>
      <w:r w:rsidR="00965568" w:rsidRPr="00E70587">
        <w:rPr>
          <w:rFonts w:ascii="Arial" w:hAnsi="Arial" w:cs="Arial"/>
          <w:i/>
          <w:sz w:val="20"/>
          <w:u w:val="single"/>
          <w:lang w:val="en-IN"/>
        </w:rPr>
        <w:t xml:space="preserve"> section</w:t>
      </w:r>
    </w:p>
    <w:p w14:paraId="6A532494" w14:textId="77777777" w:rsidR="00001A3B" w:rsidRPr="00E70587" w:rsidRDefault="00001A3B"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12AF2559" w14:textId="77777777" w:rsidR="00297624" w:rsidRPr="00E70587" w:rsidRDefault="00D9764D"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r w:rsidRPr="00E70587">
        <w:rPr>
          <w:rFonts w:ascii="Arial" w:hAnsi="Arial" w:cs="Arial"/>
          <w:sz w:val="20"/>
          <w:lang w:val="en-IN"/>
        </w:rPr>
        <w:t>Deferred tax related to items recognised in OCI during in the year:</w:t>
      </w:r>
    </w:p>
    <w:tbl>
      <w:tblPr>
        <w:tblW w:w="9576" w:type="dxa"/>
        <w:tblLayout w:type="fixed"/>
        <w:tblLook w:val="01E0" w:firstRow="1" w:lastRow="1" w:firstColumn="1" w:lastColumn="1" w:noHBand="0" w:noVBand="0"/>
      </w:tblPr>
      <w:tblGrid>
        <w:gridCol w:w="5962"/>
        <w:gridCol w:w="1807"/>
        <w:gridCol w:w="1807"/>
      </w:tblGrid>
      <w:tr w:rsidR="002E4A62" w:rsidRPr="00E70587" w14:paraId="7BF29335" w14:textId="77777777" w:rsidTr="002E4A62">
        <w:tc>
          <w:tcPr>
            <w:tcW w:w="5940" w:type="dxa"/>
            <w:shd w:val="clear" w:color="auto" w:fill="auto"/>
          </w:tcPr>
          <w:p w14:paraId="64388A2B" w14:textId="77777777" w:rsidR="002E4A62" w:rsidRPr="00E70587" w:rsidRDefault="002E4A62" w:rsidP="009901E1">
            <w:pPr>
              <w:pStyle w:val="000Normal"/>
              <w:spacing w:before="0" w:after="0" w:line="280" w:lineRule="exact"/>
              <w:rPr>
                <w:rFonts w:ascii="Arial" w:hAnsi="Arial" w:cs="Arial"/>
                <w:sz w:val="20"/>
              </w:rPr>
            </w:pPr>
          </w:p>
        </w:tc>
        <w:tc>
          <w:tcPr>
            <w:tcW w:w="1800" w:type="dxa"/>
            <w:tcBorders>
              <w:bottom w:val="single" w:sz="4" w:space="0" w:color="auto"/>
            </w:tcBorders>
            <w:shd w:val="clear" w:color="auto" w:fill="auto"/>
          </w:tcPr>
          <w:p w14:paraId="68196E5B" w14:textId="068F526F" w:rsidR="002E4A62" w:rsidRPr="00E70587" w:rsidRDefault="002E4A62"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F86D7D" w:rsidRPr="00E70587">
              <w:rPr>
                <w:rFonts w:ascii="Arial" w:hAnsi="Arial"/>
                <w:color w:val="auto"/>
                <w:sz w:val="20"/>
                <w:szCs w:val="20"/>
                <w:lang w:val="en-IN"/>
              </w:rPr>
              <w:t>20</w:t>
            </w:r>
            <w:r w:rsidR="00F86D7D">
              <w:rPr>
                <w:rFonts w:ascii="Arial" w:hAnsi="Arial"/>
                <w:color w:val="auto"/>
                <w:sz w:val="20"/>
                <w:szCs w:val="20"/>
                <w:lang w:val="en-IN"/>
              </w:rPr>
              <w:t>21</w:t>
            </w:r>
          </w:p>
        </w:tc>
        <w:tc>
          <w:tcPr>
            <w:tcW w:w="1800" w:type="dxa"/>
            <w:tcBorders>
              <w:bottom w:val="single" w:sz="4" w:space="0" w:color="auto"/>
            </w:tcBorders>
            <w:shd w:val="clear" w:color="auto" w:fill="auto"/>
          </w:tcPr>
          <w:p w14:paraId="32AB97FD" w14:textId="435A2BCA" w:rsidR="002E4A62" w:rsidRPr="00E70587" w:rsidRDefault="002E4A62"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F86D7D" w:rsidRPr="00E70587">
              <w:rPr>
                <w:rFonts w:ascii="Arial" w:hAnsi="Arial"/>
                <w:color w:val="auto"/>
                <w:sz w:val="20"/>
                <w:szCs w:val="20"/>
                <w:lang w:val="en-IN"/>
              </w:rPr>
              <w:t>20</w:t>
            </w:r>
            <w:r w:rsidR="00F86D7D">
              <w:rPr>
                <w:rFonts w:ascii="Arial" w:hAnsi="Arial"/>
                <w:color w:val="auto"/>
                <w:sz w:val="20"/>
                <w:szCs w:val="20"/>
                <w:lang w:val="en-IN"/>
              </w:rPr>
              <w:t>20</w:t>
            </w:r>
          </w:p>
        </w:tc>
      </w:tr>
      <w:tr w:rsidR="002E4A62" w:rsidRPr="00E70587" w14:paraId="2A859AA0" w14:textId="77777777" w:rsidTr="002E4A62">
        <w:tc>
          <w:tcPr>
            <w:tcW w:w="5940" w:type="dxa"/>
          </w:tcPr>
          <w:p w14:paraId="24065157" w14:textId="77777777" w:rsidR="002E4A62" w:rsidRPr="00E70587" w:rsidRDefault="002E4A62" w:rsidP="009901E1">
            <w:pPr>
              <w:pStyle w:val="000Normal"/>
              <w:spacing w:before="0" w:after="0" w:line="280" w:lineRule="exact"/>
              <w:jc w:val="right"/>
              <w:rPr>
                <w:rFonts w:ascii="Arial" w:hAnsi="Arial" w:cs="Arial"/>
                <w:b/>
                <w:sz w:val="20"/>
              </w:rPr>
            </w:pPr>
          </w:p>
        </w:tc>
        <w:tc>
          <w:tcPr>
            <w:tcW w:w="1800" w:type="dxa"/>
            <w:tcBorders>
              <w:top w:val="single" w:sz="4" w:space="0" w:color="auto"/>
            </w:tcBorders>
            <w:vAlign w:val="bottom"/>
          </w:tcPr>
          <w:p w14:paraId="216B3E77" w14:textId="77777777" w:rsidR="002E4A62" w:rsidRPr="00E70587" w:rsidRDefault="002E4A62"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00" w:type="dxa"/>
            <w:tcBorders>
              <w:top w:val="single" w:sz="4" w:space="0" w:color="auto"/>
            </w:tcBorders>
            <w:vAlign w:val="bottom"/>
          </w:tcPr>
          <w:p w14:paraId="2A481620" w14:textId="77777777" w:rsidR="002E4A62" w:rsidRPr="00E70587" w:rsidRDefault="002E4A62"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2E4A62" w:rsidRPr="00E70587" w14:paraId="60705E4F" w14:textId="77777777" w:rsidTr="002E4A62">
        <w:tc>
          <w:tcPr>
            <w:tcW w:w="5940" w:type="dxa"/>
            <w:tcMar>
              <w:top w:w="28" w:type="dxa"/>
            </w:tcMar>
          </w:tcPr>
          <w:p w14:paraId="6289AD29"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Net (gain)/loss on revaluation of cash flow hedges</w:t>
            </w:r>
          </w:p>
        </w:tc>
        <w:tc>
          <w:tcPr>
            <w:tcW w:w="1800" w:type="dxa"/>
            <w:tcMar>
              <w:top w:w="28" w:type="dxa"/>
              <w:right w:w="108" w:type="dxa"/>
            </w:tcMar>
          </w:tcPr>
          <w:p w14:paraId="56C4F135" w14:textId="754EB873" w:rsidR="002E4A62" w:rsidRPr="00E70587" w:rsidRDefault="00A02636" w:rsidP="009901E1">
            <w:pPr>
              <w:overflowPunct/>
              <w:spacing w:line="280" w:lineRule="exact"/>
              <w:jc w:val="right"/>
              <w:textAlignment w:val="auto"/>
              <w:rPr>
                <w:rFonts w:ascii="Arial" w:hAnsi="Arial" w:cs="Arial"/>
                <w:sz w:val="20"/>
                <w:lang w:eastAsia="en-GB"/>
              </w:rPr>
            </w:pPr>
            <w:r>
              <w:rPr>
                <w:rFonts w:ascii="Arial" w:hAnsi="Arial" w:cs="Arial"/>
                <w:sz w:val="20"/>
                <w:lang w:eastAsia="en-GB"/>
              </w:rPr>
              <w:t>477</w:t>
            </w:r>
          </w:p>
        </w:tc>
        <w:tc>
          <w:tcPr>
            <w:tcW w:w="1800" w:type="dxa"/>
            <w:tcMar>
              <w:top w:w="28" w:type="dxa"/>
              <w:right w:w="57" w:type="dxa"/>
            </w:tcMar>
          </w:tcPr>
          <w:p w14:paraId="5C666CFF" w14:textId="77777777"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(16)</w:t>
            </w:r>
          </w:p>
        </w:tc>
      </w:tr>
      <w:tr w:rsidR="00521F0A" w:rsidRPr="00E70587" w14:paraId="1172F6CC" w14:textId="77777777" w:rsidTr="002E4A62">
        <w:tc>
          <w:tcPr>
            <w:tcW w:w="5940" w:type="dxa"/>
            <w:tcMar>
              <w:top w:w="28" w:type="dxa"/>
            </w:tcMar>
          </w:tcPr>
          <w:p w14:paraId="22A0B941" w14:textId="1546001E" w:rsidR="00521F0A" w:rsidRPr="00E70587" w:rsidRDefault="00521F0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521F0A">
              <w:rPr>
                <w:rFonts w:ascii="Arial" w:hAnsi="Arial" w:cs="Arial"/>
                <w:sz w:val="20"/>
                <w:lang w:val="en-IN"/>
              </w:rPr>
              <w:t>Net (gain)/loss on revaluation of cost of cash flow hedges</w:t>
            </w:r>
          </w:p>
        </w:tc>
        <w:tc>
          <w:tcPr>
            <w:tcW w:w="1800" w:type="dxa"/>
            <w:tcMar>
              <w:top w:w="28" w:type="dxa"/>
              <w:right w:w="108" w:type="dxa"/>
            </w:tcMar>
          </w:tcPr>
          <w:p w14:paraId="0AEFCA82" w14:textId="206F38B5" w:rsidR="00521F0A" w:rsidRPr="00E70587" w:rsidDel="0026226D" w:rsidRDefault="002A0FD3" w:rsidP="009901E1">
            <w:pPr>
              <w:overflowPunct/>
              <w:spacing w:line="280" w:lineRule="exact"/>
              <w:jc w:val="right"/>
              <w:textAlignment w:val="auto"/>
              <w:rPr>
                <w:rFonts w:ascii="Arial" w:hAnsi="Arial" w:cs="Arial"/>
                <w:sz w:val="20"/>
                <w:lang w:eastAsia="en-GB"/>
              </w:rPr>
            </w:pPr>
            <w:r>
              <w:rPr>
                <w:rFonts w:ascii="Arial" w:hAnsi="Arial" w:cs="Arial"/>
                <w:sz w:val="20"/>
                <w:lang w:eastAsia="en-GB"/>
              </w:rPr>
              <w:t>1</w:t>
            </w:r>
            <w:r w:rsidR="007E26FB">
              <w:rPr>
                <w:rFonts w:ascii="Arial" w:hAnsi="Arial" w:cs="Arial"/>
                <w:sz w:val="20"/>
                <w:lang w:eastAsia="en-GB"/>
              </w:rPr>
              <w:t>7</w:t>
            </w:r>
          </w:p>
        </w:tc>
        <w:tc>
          <w:tcPr>
            <w:tcW w:w="1800" w:type="dxa"/>
            <w:tcMar>
              <w:top w:w="28" w:type="dxa"/>
              <w:right w:w="57" w:type="dxa"/>
            </w:tcMar>
          </w:tcPr>
          <w:p w14:paraId="2C38932D" w14:textId="39B68321" w:rsidR="00521F0A" w:rsidRPr="00E70587" w:rsidRDefault="00CD1491" w:rsidP="009901E1">
            <w:pPr>
              <w:overflowPunct/>
              <w:spacing w:line="280" w:lineRule="exact"/>
              <w:jc w:val="right"/>
              <w:textAlignment w:val="auto"/>
              <w:rPr>
                <w:rFonts w:ascii="Arial" w:hAnsi="Arial" w:cs="Arial"/>
                <w:sz w:val="20"/>
                <w:lang w:eastAsia="en-GB"/>
              </w:rPr>
            </w:pPr>
            <w:r>
              <w:rPr>
                <w:rFonts w:ascii="Arial" w:hAnsi="Arial" w:cs="Arial"/>
                <w:sz w:val="20"/>
                <w:lang w:eastAsia="en-GB"/>
              </w:rPr>
              <w:t>-</w:t>
            </w:r>
          </w:p>
        </w:tc>
      </w:tr>
      <w:tr w:rsidR="002E4A62" w:rsidRPr="00E70587" w14:paraId="70900E44" w14:textId="77777777" w:rsidTr="002E4A62">
        <w:tc>
          <w:tcPr>
            <w:tcW w:w="5940" w:type="dxa"/>
            <w:tcMar>
              <w:top w:w="28" w:type="dxa"/>
            </w:tcMar>
          </w:tcPr>
          <w:p w14:paraId="51DED736" w14:textId="68070C56"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Unrealised (gain)/loss on FVTOCI </w:t>
            </w:r>
            <w:r w:rsidR="0013705A">
              <w:rPr>
                <w:rFonts w:ascii="Arial" w:hAnsi="Arial" w:cs="Arial"/>
                <w:sz w:val="20"/>
                <w:lang w:val="en-IN"/>
              </w:rPr>
              <w:t>debt instruments</w:t>
            </w:r>
          </w:p>
        </w:tc>
        <w:tc>
          <w:tcPr>
            <w:tcW w:w="1800" w:type="dxa"/>
            <w:tcMar>
              <w:top w:w="28" w:type="dxa"/>
              <w:right w:w="108" w:type="dxa"/>
            </w:tcMar>
          </w:tcPr>
          <w:p w14:paraId="6CF31CA3" w14:textId="7171231E" w:rsidR="002E4A62" w:rsidRPr="00E70587" w:rsidRDefault="0026226D" w:rsidP="009901E1">
            <w:pPr>
              <w:overflowPunct/>
              <w:spacing w:line="280" w:lineRule="exact"/>
              <w:jc w:val="right"/>
              <w:textAlignment w:val="auto"/>
              <w:rPr>
                <w:rFonts w:ascii="Arial" w:hAnsi="Arial" w:cs="Arial"/>
                <w:sz w:val="20"/>
                <w:lang w:eastAsia="en-GB"/>
              </w:rPr>
            </w:pPr>
            <w:r>
              <w:rPr>
                <w:rFonts w:ascii="Arial" w:hAnsi="Arial" w:cs="Arial"/>
                <w:sz w:val="20"/>
                <w:lang w:eastAsia="en-GB"/>
              </w:rPr>
              <w:t>27</w:t>
            </w:r>
          </w:p>
        </w:tc>
        <w:tc>
          <w:tcPr>
            <w:tcW w:w="1800" w:type="dxa"/>
            <w:tcMar>
              <w:top w:w="28" w:type="dxa"/>
              <w:right w:w="57" w:type="dxa"/>
            </w:tcMar>
          </w:tcPr>
          <w:p w14:paraId="459E9A3E" w14:textId="77777777"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w:t>
            </w:r>
          </w:p>
        </w:tc>
      </w:tr>
      <w:tr w:rsidR="0013705A" w:rsidRPr="00E70587" w14:paraId="036E5AC1" w14:textId="77777777" w:rsidTr="002E4A62">
        <w:tc>
          <w:tcPr>
            <w:tcW w:w="5940" w:type="dxa"/>
            <w:tcMar>
              <w:top w:w="28" w:type="dxa"/>
            </w:tcMar>
          </w:tcPr>
          <w:p w14:paraId="15B40CB7" w14:textId="2EEE1742" w:rsidR="0013705A" w:rsidRPr="00E70587" w:rsidRDefault="0013705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Unrealised loss on FVTOCI </w:t>
            </w:r>
            <w:r>
              <w:rPr>
                <w:rFonts w:ascii="Arial" w:hAnsi="Arial" w:cs="Arial"/>
                <w:sz w:val="20"/>
                <w:lang w:val="en-IN"/>
              </w:rPr>
              <w:t>equity instruments</w:t>
            </w:r>
          </w:p>
        </w:tc>
        <w:tc>
          <w:tcPr>
            <w:tcW w:w="1800" w:type="dxa"/>
            <w:tcMar>
              <w:top w:w="28" w:type="dxa"/>
              <w:right w:w="28" w:type="dxa"/>
            </w:tcMar>
          </w:tcPr>
          <w:p w14:paraId="37589655" w14:textId="06E5EF09" w:rsidR="0013705A" w:rsidRPr="00E70587" w:rsidRDefault="0026226D" w:rsidP="0026226D">
            <w:pPr>
              <w:overflowPunct/>
              <w:spacing w:line="280" w:lineRule="exact"/>
              <w:jc w:val="center"/>
              <w:textAlignment w:val="auto"/>
              <w:rPr>
                <w:rFonts w:ascii="Arial" w:hAnsi="Arial" w:cs="Arial"/>
                <w:sz w:val="20"/>
                <w:lang w:eastAsia="en-GB"/>
              </w:rPr>
            </w:pPr>
            <w:r>
              <w:rPr>
                <w:rFonts w:ascii="Arial" w:hAnsi="Arial" w:cs="Arial"/>
                <w:sz w:val="20"/>
                <w:lang w:eastAsia="en-GB"/>
              </w:rPr>
              <w:t xml:space="preserve">                        5</w:t>
            </w:r>
          </w:p>
        </w:tc>
        <w:tc>
          <w:tcPr>
            <w:tcW w:w="1800" w:type="dxa"/>
          </w:tcPr>
          <w:p w14:paraId="5C8C0A27" w14:textId="7E77A8B4" w:rsidR="0013705A" w:rsidRPr="00E70587" w:rsidRDefault="0026226D" w:rsidP="009901E1">
            <w:pPr>
              <w:overflowPunct/>
              <w:spacing w:line="280" w:lineRule="exact"/>
              <w:jc w:val="right"/>
              <w:textAlignment w:val="auto"/>
              <w:rPr>
                <w:rFonts w:ascii="Arial" w:hAnsi="Arial" w:cs="Arial"/>
                <w:sz w:val="20"/>
                <w:lang w:eastAsia="en-GB"/>
              </w:rPr>
            </w:pPr>
            <w:r>
              <w:rPr>
                <w:rFonts w:ascii="Arial" w:hAnsi="Arial" w:cs="Arial"/>
                <w:sz w:val="20"/>
                <w:lang w:eastAsia="en-GB"/>
              </w:rPr>
              <w:t>-</w:t>
            </w:r>
          </w:p>
        </w:tc>
      </w:tr>
      <w:tr w:rsidR="002E4A62" w:rsidRPr="00E70587" w14:paraId="41C7F38E" w14:textId="77777777" w:rsidTr="002E4A62">
        <w:tc>
          <w:tcPr>
            <w:tcW w:w="5940" w:type="dxa"/>
            <w:tcMar>
              <w:top w:w="28" w:type="dxa"/>
            </w:tcMar>
          </w:tcPr>
          <w:p w14:paraId="61804D6C"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Net gain on revaluation of land and buildings</w:t>
            </w:r>
          </w:p>
        </w:tc>
        <w:tc>
          <w:tcPr>
            <w:tcW w:w="1800" w:type="dxa"/>
            <w:tcMar>
              <w:top w:w="28" w:type="dxa"/>
              <w:right w:w="28" w:type="dxa"/>
            </w:tcMar>
          </w:tcPr>
          <w:p w14:paraId="122718DB" w14:textId="77777777"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(457)</w:t>
            </w:r>
          </w:p>
        </w:tc>
        <w:tc>
          <w:tcPr>
            <w:tcW w:w="1800" w:type="dxa"/>
          </w:tcPr>
          <w:p w14:paraId="00F13D43" w14:textId="77777777"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6535F4" w:rsidRPr="00850BB8" w14:paraId="32C14926" w14:textId="77777777" w:rsidTr="002E4A62">
        <w:tc>
          <w:tcPr>
            <w:tcW w:w="5940" w:type="dxa"/>
            <w:tcMar>
              <w:top w:w="28" w:type="dxa"/>
            </w:tcMar>
          </w:tcPr>
          <w:p w14:paraId="56557083" w14:textId="340348EF" w:rsidR="006535F4" w:rsidRPr="00850BB8" w:rsidRDefault="006535F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850BB8">
              <w:rPr>
                <w:rFonts w:ascii="Arial" w:hAnsi="Arial" w:cs="Arial"/>
                <w:color w:val="000000"/>
                <w:sz w:val="20"/>
                <w:lang w:val="en-IN"/>
              </w:rPr>
              <w:t>Net share of profit/loss of an investment in associate</w:t>
            </w:r>
          </w:p>
        </w:tc>
        <w:tc>
          <w:tcPr>
            <w:tcW w:w="1800" w:type="dxa"/>
            <w:tcMar>
              <w:top w:w="28" w:type="dxa"/>
              <w:right w:w="28" w:type="dxa"/>
            </w:tcMar>
          </w:tcPr>
          <w:p w14:paraId="26CA411B" w14:textId="7D11D4AF" w:rsidR="006535F4" w:rsidRPr="00850BB8" w:rsidRDefault="006535F4" w:rsidP="009901E1">
            <w:pPr>
              <w:overflowPunct/>
              <w:spacing w:line="280" w:lineRule="exact"/>
              <w:jc w:val="right"/>
              <w:textAlignment w:val="auto"/>
              <w:rPr>
                <w:rFonts w:ascii="Arial" w:hAnsi="Arial" w:cs="Arial"/>
                <w:sz w:val="20"/>
                <w:lang w:eastAsia="en-GB"/>
              </w:rPr>
            </w:pPr>
            <w:r w:rsidRPr="00850BB8">
              <w:rPr>
                <w:rFonts w:ascii="Arial" w:hAnsi="Arial" w:cs="Arial"/>
                <w:sz w:val="20"/>
                <w:lang w:eastAsia="en-GB"/>
              </w:rPr>
              <w:t>-</w:t>
            </w:r>
          </w:p>
        </w:tc>
        <w:tc>
          <w:tcPr>
            <w:tcW w:w="1800" w:type="dxa"/>
          </w:tcPr>
          <w:p w14:paraId="38305F35" w14:textId="301931F0" w:rsidR="006535F4" w:rsidRPr="00850BB8" w:rsidRDefault="006535F4" w:rsidP="009901E1">
            <w:pPr>
              <w:overflowPunct/>
              <w:spacing w:line="280" w:lineRule="exact"/>
              <w:jc w:val="right"/>
              <w:textAlignment w:val="auto"/>
              <w:rPr>
                <w:rFonts w:ascii="Arial" w:hAnsi="Arial" w:cs="Arial"/>
                <w:sz w:val="20"/>
                <w:lang w:eastAsia="en-GB"/>
              </w:rPr>
            </w:pPr>
            <w:r w:rsidRPr="00850BB8">
              <w:rPr>
                <w:rFonts w:ascii="Arial" w:hAnsi="Arial" w:cs="Arial"/>
                <w:sz w:val="20"/>
                <w:lang w:eastAsia="en-GB"/>
              </w:rPr>
              <w:t>-</w:t>
            </w:r>
          </w:p>
        </w:tc>
      </w:tr>
      <w:tr w:rsidR="002E4A62" w:rsidRPr="00E70587" w14:paraId="6BEA2453" w14:textId="77777777" w:rsidTr="002E4A62">
        <w:tc>
          <w:tcPr>
            <w:tcW w:w="5940" w:type="dxa"/>
            <w:tcMar>
              <w:top w:w="28" w:type="dxa"/>
            </w:tcMar>
          </w:tcPr>
          <w:p w14:paraId="2ED75B9D"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Net gain on hedge of net investment</w:t>
            </w:r>
          </w:p>
        </w:tc>
        <w:tc>
          <w:tcPr>
            <w:tcW w:w="1800" w:type="dxa"/>
            <w:tcMar>
              <w:top w:w="28" w:type="dxa"/>
              <w:right w:w="28" w:type="dxa"/>
            </w:tcMar>
          </w:tcPr>
          <w:p w14:paraId="16E270DA" w14:textId="77777777"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(149)</w:t>
            </w:r>
          </w:p>
        </w:tc>
        <w:tc>
          <w:tcPr>
            <w:tcW w:w="1800" w:type="dxa"/>
          </w:tcPr>
          <w:p w14:paraId="0810145F" w14:textId="77777777"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2E4A62" w:rsidRPr="00E70587" w14:paraId="308A2105" w14:textId="77777777" w:rsidTr="002E4A62">
        <w:tc>
          <w:tcPr>
            <w:tcW w:w="5940" w:type="dxa"/>
            <w:tcMar>
              <w:top w:w="28" w:type="dxa"/>
            </w:tcMar>
          </w:tcPr>
          <w:p w14:paraId="10807D9D"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Net loss/(gain) on remeasurements of defined benefit plans</w:t>
            </w:r>
          </w:p>
        </w:tc>
        <w:tc>
          <w:tcPr>
            <w:tcW w:w="1800" w:type="dxa"/>
            <w:tcBorders>
              <w:bottom w:val="single" w:sz="4" w:space="0" w:color="auto"/>
            </w:tcBorders>
            <w:tcMar>
              <w:top w:w="28" w:type="dxa"/>
              <w:right w:w="28" w:type="dxa"/>
            </w:tcMar>
          </w:tcPr>
          <w:p w14:paraId="2C5FB472" w14:textId="77777777"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(202)</w:t>
            </w:r>
          </w:p>
        </w:tc>
        <w:tc>
          <w:tcPr>
            <w:tcW w:w="1800" w:type="dxa"/>
            <w:tcBorders>
              <w:bottom w:val="single" w:sz="4" w:space="0" w:color="auto"/>
            </w:tcBorders>
            <w:tcMar>
              <w:top w:w="28" w:type="dxa"/>
              <w:right w:w="108" w:type="dxa"/>
            </w:tcMar>
          </w:tcPr>
          <w:p w14:paraId="6E9A4D08" w14:textId="77777777"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209</w:t>
            </w:r>
          </w:p>
        </w:tc>
      </w:tr>
      <w:tr w:rsidR="002E4A62" w:rsidRPr="00E70587" w14:paraId="38B16326" w14:textId="77777777" w:rsidTr="002E4A62">
        <w:tc>
          <w:tcPr>
            <w:tcW w:w="5940" w:type="dxa"/>
            <w:vAlign w:val="center"/>
          </w:tcPr>
          <w:p w14:paraId="3E21930F"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Income tax charged to OCI</w:t>
            </w:r>
          </w:p>
        </w:tc>
        <w:tc>
          <w:tcPr>
            <w:tcW w:w="1800" w:type="dxa"/>
            <w:tcBorders>
              <w:top w:val="single" w:sz="4" w:space="0" w:color="auto"/>
              <w:bottom w:val="double" w:sz="4" w:space="0" w:color="auto"/>
            </w:tcBorders>
            <w:tcMar>
              <w:top w:w="28" w:type="dxa"/>
              <w:right w:w="28" w:type="dxa"/>
            </w:tcMar>
          </w:tcPr>
          <w:p w14:paraId="291382EA" w14:textId="1C5D3AF9" w:rsidR="002E4A62" w:rsidRPr="00E70587" w:rsidRDefault="002E4A6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w:t>
            </w:r>
            <w:r w:rsidR="00A02636">
              <w:rPr>
                <w:rFonts w:ascii="Arial" w:hAnsi="Arial" w:cs="Arial"/>
                <w:b/>
                <w:bCs/>
                <w:sz w:val="20"/>
                <w:lang w:eastAsia="en-GB"/>
              </w:rPr>
              <w:t>28</w:t>
            </w:r>
            <w:r w:rsidR="007E26FB">
              <w:rPr>
                <w:rFonts w:ascii="Arial" w:hAnsi="Arial" w:cs="Arial"/>
                <w:b/>
                <w:bCs/>
                <w:sz w:val="20"/>
                <w:lang w:eastAsia="en-GB"/>
              </w:rPr>
              <w:t>2</w:t>
            </w:r>
            <w:r w:rsidRPr="00E70587">
              <w:rPr>
                <w:rFonts w:ascii="Arial" w:hAnsi="Arial" w:cs="Arial"/>
                <w:b/>
                <w:bCs/>
                <w:sz w:val="20"/>
                <w:lang w:eastAsia="en-GB"/>
              </w:rPr>
              <w:t>)</w:t>
            </w:r>
          </w:p>
        </w:tc>
        <w:tc>
          <w:tcPr>
            <w:tcW w:w="1800" w:type="dxa"/>
            <w:tcBorders>
              <w:top w:val="single" w:sz="4" w:space="0" w:color="auto"/>
              <w:bottom w:val="double" w:sz="4" w:space="0" w:color="auto"/>
            </w:tcBorders>
          </w:tcPr>
          <w:p w14:paraId="6C920407" w14:textId="77777777" w:rsidR="002E4A62" w:rsidRPr="00E70587" w:rsidRDefault="002E4A6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191</w:t>
            </w:r>
          </w:p>
        </w:tc>
      </w:tr>
    </w:tbl>
    <w:p w14:paraId="08358425" w14:textId="77777777" w:rsidR="00125BE3" w:rsidRPr="00E70587" w:rsidRDefault="00125BE3" w:rsidP="009901E1">
      <w:pPr>
        <w:pStyle w:val="Greybox"/>
        <w:shd w:val="clear" w:color="auto" w:fill="auto"/>
        <w:spacing w:line="280" w:lineRule="exact"/>
        <w:jc w:val="both"/>
        <w:rPr>
          <w:rFonts w:ascii="Arial" w:hAnsi="Arial"/>
          <w:b/>
          <w:color w:val="auto"/>
          <w:sz w:val="20"/>
          <w:lang w:eastAsia="en-IN"/>
        </w:rPr>
      </w:pPr>
    </w:p>
    <w:tbl>
      <w:tblPr>
        <w:tblW w:w="9576" w:type="dxa"/>
        <w:tblLook w:val="0000" w:firstRow="0" w:lastRow="0" w:firstColumn="0" w:lastColumn="0" w:noHBand="0" w:noVBand="0"/>
      </w:tblPr>
      <w:tblGrid>
        <w:gridCol w:w="9576"/>
      </w:tblGrid>
      <w:tr w:rsidR="002E4A62" w:rsidRPr="00E70587" w14:paraId="7F452DC8" w14:textId="77777777" w:rsidTr="002E4A62">
        <w:tc>
          <w:tcPr>
            <w:tcW w:w="0" w:type="auto"/>
          </w:tcPr>
          <w:p w14:paraId="081B4308" w14:textId="77777777" w:rsidR="002E4A62" w:rsidRPr="00E70587" w:rsidRDefault="002E4A62" w:rsidP="009901E1">
            <w:pPr>
              <w:pStyle w:val="Greybox"/>
              <w:shd w:val="clear" w:color="auto" w:fill="C1C1C1" w:themeFill="background1" w:themeFillTint="66"/>
              <w:spacing w:line="280" w:lineRule="exact"/>
              <w:jc w:val="both"/>
              <w:rPr>
                <w:rFonts w:ascii="Arial" w:hAnsi="Arial"/>
                <w:b/>
                <w:color w:val="auto"/>
                <w:sz w:val="20"/>
              </w:rPr>
            </w:pPr>
            <w:r w:rsidRPr="00E70587">
              <w:rPr>
                <w:rFonts w:ascii="Arial" w:hAnsi="Arial"/>
                <w:b/>
                <w:color w:val="auto"/>
                <w:sz w:val="20"/>
                <w:lang w:eastAsia="en-IN"/>
              </w:rPr>
              <w:t>Authors’ note</w:t>
            </w:r>
          </w:p>
          <w:p w14:paraId="18E7373E" w14:textId="77777777" w:rsidR="00001A3B" w:rsidRPr="00E70587" w:rsidRDefault="00001A3B" w:rsidP="009901E1">
            <w:pPr>
              <w:pStyle w:val="Greybox"/>
              <w:shd w:val="clear" w:color="auto" w:fill="C1C1C1" w:themeFill="background1" w:themeFillTint="66"/>
              <w:spacing w:line="280" w:lineRule="exact"/>
              <w:jc w:val="both"/>
              <w:rPr>
                <w:rFonts w:ascii="Arial" w:hAnsi="Arial"/>
                <w:color w:val="auto"/>
                <w:sz w:val="20"/>
              </w:rPr>
            </w:pPr>
          </w:p>
          <w:p w14:paraId="793EF4E0" w14:textId="77777777" w:rsidR="002E4A62" w:rsidRPr="00E70587" w:rsidRDefault="002E4A62" w:rsidP="009901E1">
            <w:pPr>
              <w:pStyle w:val="Greybox"/>
              <w:shd w:val="clear" w:color="auto" w:fill="C1C1C1" w:themeFill="background1" w:themeFillTint="66"/>
              <w:spacing w:line="280" w:lineRule="exact"/>
              <w:jc w:val="both"/>
              <w:rPr>
                <w:rFonts w:ascii="Arial" w:hAnsi="Arial"/>
                <w:b/>
                <w:color w:val="auto"/>
                <w:sz w:val="20"/>
                <w:lang w:eastAsia="en-IN"/>
              </w:rPr>
            </w:pPr>
            <w:r w:rsidRPr="00E70587">
              <w:rPr>
                <w:rFonts w:ascii="Arial" w:hAnsi="Arial"/>
                <w:color w:val="auto"/>
                <w:sz w:val="20"/>
              </w:rPr>
              <w:t>Deferred taxes related to the revaluation of land and buildings have been calculated on the basis of recovery by sale at the tax rate of the jurisdiction in which they are located (30% of the total revaluation of INR 15,22,80,000, see Note 14). For simplicity, it is assumed that tax rate applicable in India is 30%</w:t>
            </w:r>
          </w:p>
        </w:tc>
      </w:tr>
    </w:tbl>
    <w:p w14:paraId="1BFA4DF7" w14:textId="77777777" w:rsidR="00D06181" w:rsidRPr="00E70587" w:rsidRDefault="00D06181"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6C8DBD64" w14:textId="5C11F749" w:rsidR="00D9764D" w:rsidRPr="00E70587" w:rsidRDefault="00D9764D" w:rsidP="002E4A62">
      <w:pPr>
        <w:pStyle w:val="tabletext"/>
        <w:overflowPunct w:val="0"/>
        <w:autoSpaceDE w:val="0"/>
        <w:autoSpaceDN w:val="0"/>
        <w:adjustRightInd w:val="0"/>
        <w:spacing w:line="280" w:lineRule="exact"/>
        <w:jc w:val="both"/>
        <w:textAlignment w:val="baseline"/>
        <w:rPr>
          <w:rFonts w:ascii="Arial" w:hAnsi="Arial" w:cs="Arial"/>
          <w:b/>
          <w:sz w:val="20"/>
          <w:lang w:val="en-IN"/>
        </w:rPr>
      </w:pPr>
      <w:r w:rsidRPr="00E70587">
        <w:rPr>
          <w:rFonts w:ascii="Arial" w:hAnsi="Arial" w:cs="Arial"/>
          <w:b/>
          <w:sz w:val="20"/>
          <w:lang w:val="en-IN"/>
        </w:rPr>
        <w:t xml:space="preserve">Reconciliation of tax expense and the accounting profit multiplied by </w:t>
      </w:r>
      <w:r w:rsidR="009B18E2" w:rsidRPr="00E70587">
        <w:rPr>
          <w:rFonts w:ascii="Arial" w:hAnsi="Arial" w:cs="Arial"/>
          <w:b/>
          <w:sz w:val="20"/>
          <w:lang w:val="en-IN"/>
        </w:rPr>
        <w:t>India</w:t>
      </w:r>
      <w:r w:rsidRPr="00E70587">
        <w:rPr>
          <w:rFonts w:ascii="Arial" w:hAnsi="Arial" w:cs="Arial"/>
          <w:b/>
          <w:sz w:val="20"/>
          <w:lang w:val="en-IN"/>
        </w:rPr>
        <w:t xml:space="preserve">’s domestic tax rate for 31 </w:t>
      </w:r>
      <w:r w:rsidR="008B730E" w:rsidRPr="00E70587">
        <w:rPr>
          <w:rFonts w:ascii="Arial" w:hAnsi="Arial" w:cs="Arial"/>
          <w:b/>
          <w:sz w:val="20"/>
          <w:lang w:val="en-IN"/>
        </w:rPr>
        <w:t xml:space="preserve">March </w:t>
      </w:r>
      <w:r w:rsidR="00B03255" w:rsidRPr="00E70587">
        <w:rPr>
          <w:rFonts w:ascii="Arial" w:hAnsi="Arial" w:cs="Arial"/>
          <w:b/>
          <w:sz w:val="20"/>
          <w:lang w:val="en-IN"/>
        </w:rPr>
        <w:t>20</w:t>
      </w:r>
      <w:r w:rsidR="00B03255">
        <w:rPr>
          <w:rFonts w:ascii="Arial" w:hAnsi="Arial" w:cs="Arial"/>
          <w:b/>
          <w:sz w:val="20"/>
          <w:lang w:val="en-IN"/>
        </w:rPr>
        <w:t>20</w:t>
      </w:r>
      <w:r w:rsidR="00B03255" w:rsidRPr="00E70587">
        <w:rPr>
          <w:rFonts w:ascii="Arial" w:hAnsi="Arial" w:cs="Arial"/>
          <w:b/>
          <w:sz w:val="20"/>
          <w:lang w:val="en-IN"/>
        </w:rPr>
        <w:t xml:space="preserve"> </w:t>
      </w:r>
      <w:r w:rsidRPr="00E70587">
        <w:rPr>
          <w:rFonts w:ascii="Arial" w:hAnsi="Arial" w:cs="Arial"/>
          <w:b/>
          <w:sz w:val="20"/>
          <w:lang w:val="en-IN"/>
        </w:rPr>
        <w:t xml:space="preserve">and 31 </w:t>
      </w:r>
      <w:r w:rsidR="00E1202D" w:rsidRPr="00E70587">
        <w:rPr>
          <w:rFonts w:ascii="Arial" w:hAnsi="Arial" w:cs="Arial"/>
          <w:b/>
          <w:sz w:val="20"/>
          <w:lang w:val="en-IN"/>
        </w:rPr>
        <w:t xml:space="preserve">March </w:t>
      </w:r>
      <w:r w:rsidR="00B03255" w:rsidRPr="00E70587">
        <w:rPr>
          <w:rFonts w:ascii="Arial" w:hAnsi="Arial" w:cs="Arial"/>
          <w:b/>
          <w:sz w:val="20"/>
          <w:lang w:val="en-IN"/>
        </w:rPr>
        <w:t>20</w:t>
      </w:r>
      <w:r w:rsidR="00B03255">
        <w:rPr>
          <w:rFonts w:ascii="Arial" w:hAnsi="Arial" w:cs="Arial"/>
          <w:b/>
          <w:sz w:val="20"/>
          <w:lang w:val="en-IN"/>
        </w:rPr>
        <w:t>21</w:t>
      </w:r>
      <w:r w:rsidRPr="00E70587">
        <w:rPr>
          <w:rFonts w:ascii="Arial" w:hAnsi="Arial" w:cs="Arial"/>
          <w:b/>
          <w:sz w:val="20"/>
          <w:lang w:val="en-IN"/>
        </w:rPr>
        <w:t>:</w:t>
      </w:r>
    </w:p>
    <w:p w14:paraId="14A79C2B" w14:textId="77777777" w:rsidR="00D9764D" w:rsidRPr="00E70587" w:rsidRDefault="00D9764D"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p>
    <w:tbl>
      <w:tblPr>
        <w:tblW w:w="9576" w:type="dxa"/>
        <w:tblLayout w:type="fixed"/>
        <w:tblLook w:val="01E0" w:firstRow="1" w:lastRow="1" w:firstColumn="1" w:lastColumn="1" w:noHBand="0" w:noVBand="0"/>
      </w:tblPr>
      <w:tblGrid>
        <w:gridCol w:w="5962"/>
        <w:gridCol w:w="1807"/>
        <w:gridCol w:w="1807"/>
      </w:tblGrid>
      <w:tr w:rsidR="002E4A62" w:rsidRPr="00E70587" w14:paraId="6FE161C0" w14:textId="77777777" w:rsidTr="002E4A62">
        <w:tc>
          <w:tcPr>
            <w:tcW w:w="5940" w:type="dxa"/>
          </w:tcPr>
          <w:p w14:paraId="7D1ED464" w14:textId="77777777" w:rsidR="002E4A62" w:rsidRPr="00E70587" w:rsidRDefault="002E4A62" w:rsidP="009901E1">
            <w:pPr>
              <w:pStyle w:val="000Normal"/>
              <w:spacing w:before="0" w:after="0" w:line="280" w:lineRule="exact"/>
              <w:jc w:val="right"/>
              <w:rPr>
                <w:rFonts w:ascii="Arial" w:hAnsi="Arial" w:cs="Arial"/>
                <w:b/>
                <w:sz w:val="20"/>
              </w:rPr>
            </w:pPr>
          </w:p>
        </w:tc>
        <w:tc>
          <w:tcPr>
            <w:tcW w:w="1800" w:type="dxa"/>
            <w:vAlign w:val="bottom"/>
          </w:tcPr>
          <w:p w14:paraId="22C6F811" w14:textId="38489EE9" w:rsidR="002E4A62" w:rsidRPr="00E70587" w:rsidRDefault="002E4A62"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 xml:space="preserve">31 </w:t>
            </w:r>
            <w:r w:rsidR="00E1202D" w:rsidRPr="00E70587">
              <w:rPr>
                <w:rFonts w:ascii="Arial" w:hAnsi="Arial" w:cs="Arial"/>
                <w:b/>
                <w:sz w:val="20"/>
                <w:lang w:val="en-IN"/>
              </w:rPr>
              <w:t xml:space="preserve">March </w:t>
            </w:r>
            <w:r w:rsidR="00B03255" w:rsidRPr="00E70587">
              <w:rPr>
                <w:rFonts w:ascii="Arial" w:hAnsi="Arial" w:cs="Arial"/>
                <w:b/>
                <w:sz w:val="20"/>
                <w:lang w:val="en-IN"/>
              </w:rPr>
              <w:t>20</w:t>
            </w:r>
            <w:r w:rsidR="00B03255">
              <w:rPr>
                <w:rFonts w:ascii="Arial" w:hAnsi="Arial" w:cs="Arial"/>
                <w:b/>
                <w:sz w:val="20"/>
                <w:lang w:val="en-IN"/>
              </w:rPr>
              <w:t>21</w:t>
            </w:r>
          </w:p>
        </w:tc>
        <w:tc>
          <w:tcPr>
            <w:tcW w:w="1800" w:type="dxa"/>
            <w:vAlign w:val="bottom"/>
          </w:tcPr>
          <w:p w14:paraId="462761D7" w14:textId="55051FFE" w:rsidR="002E4A62" w:rsidRPr="00E70587" w:rsidRDefault="002E4A62"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 xml:space="preserve">31 </w:t>
            </w:r>
            <w:r w:rsidR="008B730E" w:rsidRPr="00E70587">
              <w:rPr>
                <w:rFonts w:ascii="Arial" w:hAnsi="Arial" w:cs="Arial"/>
                <w:b/>
                <w:sz w:val="20"/>
                <w:lang w:val="en-IN"/>
              </w:rPr>
              <w:t xml:space="preserve">March </w:t>
            </w:r>
            <w:r w:rsidR="00B03255" w:rsidRPr="00E70587">
              <w:rPr>
                <w:rFonts w:ascii="Arial" w:hAnsi="Arial" w:cs="Arial"/>
                <w:b/>
                <w:sz w:val="20"/>
                <w:lang w:val="en-IN"/>
              </w:rPr>
              <w:t>20</w:t>
            </w:r>
            <w:r w:rsidR="00B03255">
              <w:rPr>
                <w:rFonts w:ascii="Arial" w:hAnsi="Arial" w:cs="Arial"/>
                <w:b/>
                <w:sz w:val="20"/>
                <w:lang w:val="en-IN"/>
              </w:rPr>
              <w:t>20</w:t>
            </w:r>
          </w:p>
        </w:tc>
      </w:tr>
      <w:tr w:rsidR="002E4A62" w:rsidRPr="00E70587" w14:paraId="1342B3C8" w14:textId="77777777" w:rsidTr="002E4A62">
        <w:tc>
          <w:tcPr>
            <w:tcW w:w="5940" w:type="dxa"/>
          </w:tcPr>
          <w:p w14:paraId="346FEB20" w14:textId="77777777" w:rsidR="002E4A62" w:rsidRPr="00E70587" w:rsidRDefault="002E4A62" w:rsidP="009901E1">
            <w:pPr>
              <w:pStyle w:val="000Normal"/>
              <w:spacing w:before="0" w:after="0" w:line="280" w:lineRule="exact"/>
              <w:jc w:val="right"/>
              <w:rPr>
                <w:rFonts w:ascii="Arial" w:hAnsi="Arial" w:cs="Arial"/>
                <w:b/>
                <w:sz w:val="20"/>
              </w:rPr>
            </w:pPr>
          </w:p>
        </w:tc>
        <w:tc>
          <w:tcPr>
            <w:tcW w:w="1800" w:type="dxa"/>
            <w:tcBorders>
              <w:top w:val="single" w:sz="4" w:space="0" w:color="auto"/>
            </w:tcBorders>
            <w:vAlign w:val="bottom"/>
          </w:tcPr>
          <w:p w14:paraId="449C0583" w14:textId="77777777" w:rsidR="002E4A62" w:rsidRPr="00E70587" w:rsidRDefault="002E4A62"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INR Lacs</w:t>
            </w:r>
          </w:p>
        </w:tc>
        <w:tc>
          <w:tcPr>
            <w:tcW w:w="1800" w:type="dxa"/>
            <w:tcBorders>
              <w:top w:val="single" w:sz="4" w:space="0" w:color="auto"/>
            </w:tcBorders>
            <w:vAlign w:val="bottom"/>
          </w:tcPr>
          <w:p w14:paraId="308C5918" w14:textId="77777777" w:rsidR="002E4A62" w:rsidRPr="00E70587" w:rsidRDefault="002E4A62"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INR Lacs</w:t>
            </w:r>
          </w:p>
        </w:tc>
      </w:tr>
      <w:tr w:rsidR="002E4A62" w:rsidRPr="00E70587" w14:paraId="03A5B57F" w14:textId="77777777" w:rsidTr="002E4A62">
        <w:tc>
          <w:tcPr>
            <w:tcW w:w="5940" w:type="dxa"/>
            <w:tcMar>
              <w:top w:w="28" w:type="dxa"/>
            </w:tcMar>
            <w:vAlign w:val="center"/>
          </w:tcPr>
          <w:p w14:paraId="00F7ACC4"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Accounting profit before tax from continuing operations</w:t>
            </w:r>
          </w:p>
        </w:tc>
        <w:tc>
          <w:tcPr>
            <w:tcW w:w="1800" w:type="dxa"/>
            <w:tcMar>
              <w:top w:w="28" w:type="dxa"/>
            </w:tcMar>
            <w:vAlign w:val="center"/>
          </w:tcPr>
          <w:p w14:paraId="38AB9C04" w14:textId="77777777" w:rsidR="002E4A62" w:rsidRPr="00E70587" w:rsidRDefault="002E4A62" w:rsidP="00770F33">
            <w:pPr>
              <w:spacing w:line="280" w:lineRule="exact"/>
              <w:jc w:val="right"/>
              <w:rPr>
                <w:rFonts w:ascii="Arial" w:hAnsi="Arial" w:cs="Arial"/>
                <w:sz w:val="20"/>
              </w:rPr>
            </w:pPr>
            <w:r w:rsidRPr="00E70587">
              <w:rPr>
                <w:rFonts w:ascii="Arial" w:hAnsi="Arial" w:cs="Arial"/>
                <w:sz w:val="20"/>
              </w:rPr>
              <w:t>19,</w:t>
            </w:r>
            <w:r w:rsidR="00770F33" w:rsidRPr="00E70587">
              <w:rPr>
                <w:rFonts w:ascii="Arial" w:hAnsi="Arial" w:cs="Arial"/>
                <w:sz w:val="20"/>
              </w:rPr>
              <w:t>996</w:t>
            </w:r>
          </w:p>
        </w:tc>
        <w:tc>
          <w:tcPr>
            <w:tcW w:w="1800" w:type="dxa"/>
            <w:tcMar>
              <w:top w:w="28" w:type="dxa"/>
            </w:tcMar>
            <w:vAlign w:val="center"/>
          </w:tcPr>
          <w:p w14:paraId="2A8D23DE" w14:textId="77777777" w:rsidR="002E4A62" w:rsidRPr="00E70587" w:rsidRDefault="00770F33" w:rsidP="009901E1">
            <w:pPr>
              <w:spacing w:line="280" w:lineRule="exact"/>
              <w:jc w:val="right"/>
              <w:rPr>
                <w:rFonts w:ascii="Arial" w:hAnsi="Arial" w:cs="Arial"/>
                <w:sz w:val="20"/>
              </w:rPr>
            </w:pPr>
            <w:r w:rsidRPr="00E70587">
              <w:rPr>
                <w:rFonts w:ascii="Arial" w:hAnsi="Arial" w:cs="Arial"/>
                <w:sz w:val="20"/>
              </w:rPr>
              <w:t>14,649</w:t>
            </w:r>
          </w:p>
        </w:tc>
      </w:tr>
      <w:tr w:rsidR="002E4A62" w:rsidRPr="00E70587" w14:paraId="6B75AA43" w14:textId="77777777" w:rsidTr="002E4A62">
        <w:tc>
          <w:tcPr>
            <w:tcW w:w="5940" w:type="dxa"/>
            <w:tcMar>
              <w:top w:w="28" w:type="dxa"/>
            </w:tcMar>
            <w:vAlign w:val="center"/>
          </w:tcPr>
          <w:p w14:paraId="0730854F"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Profit/(loss) before tax from a discontinued operation</w:t>
            </w:r>
          </w:p>
        </w:tc>
        <w:tc>
          <w:tcPr>
            <w:tcW w:w="1800" w:type="dxa"/>
            <w:tcBorders>
              <w:bottom w:val="single" w:sz="4" w:space="0" w:color="auto"/>
            </w:tcBorders>
            <w:tcMar>
              <w:top w:w="28" w:type="dxa"/>
            </w:tcMar>
            <w:vAlign w:val="center"/>
          </w:tcPr>
          <w:p w14:paraId="6B76D5B4" w14:textId="77777777" w:rsidR="002E4A62" w:rsidRPr="00E70587" w:rsidRDefault="002E4A62" w:rsidP="009901E1">
            <w:pPr>
              <w:spacing w:line="280" w:lineRule="exact"/>
              <w:jc w:val="right"/>
              <w:rPr>
                <w:rFonts w:ascii="Arial" w:hAnsi="Arial" w:cs="Arial"/>
                <w:sz w:val="20"/>
              </w:rPr>
            </w:pPr>
            <w:r w:rsidRPr="00E70587">
              <w:rPr>
                <w:rFonts w:ascii="Arial" w:hAnsi="Arial" w:cs="Arial"/>
                <w:sz w:val="20"/>
              </w:rPr>
              <w:t>383</w:t>
            </w:r>
          </w:p>
        </w:tc>
        <w:tc>
          <w:tcPr>
            <w:tcW w:w="1800" w:type="dxa"/>
            <w:tcBorders>
              <w:bottom w:val="single" w:sz="4" w:space="0" w:color="auto"/>
            </w:tcBorders>
            <w:tcMar>
              <w:top w:w="28" w:type="dxa"/>
              <w:right w:w="57" w:type="dxa"/>
            </w:tcMar>
            <w:vAlign w:val="center"/>
          </w:tcPr>
          <w:p w14:paraId="48F14876" w14:textId="77777777" w:rsidR="002E4A62" w:rsidRPr="00E70587" w:rsidRDefault="002E4A62" w:rsidP="009901E1">
            <w:pPr>
              <w:spacing w:line="280" w:lineRule="exact"/>
              <w:jc w:val="right"/>
              <w:rPr>
                <w:rFonts w:ascii="Arial" w:hAnsi="Arial" w:cs="Arial"/>
                <w:sz w:val="20"/>
              </w:rPr>
            </w:pPr>
            <w:r w:rsidRPr="00E70587">
              <w:rPr>
                <w:rFonts w:ascii="Arial" w:hAnsi="Arial" w:cs="Arial"/>
                <w:sz w:val="20"/>
              </w:rPr>
              <w:t>(347)</w:t>
            </w:r>
          </w:p>
        </w:tc>
      </w:tr>
      <w:tr w:rsidR="002E4A62" w:rsidRPr="00E70587" w14:paraId="649A0BE2" w14:textId="77777777" w:rsidTr="002E4A62">
        <w:tc>
          <w:tcPr>
            <w:tcW w:w="5940" w:type="dxa"/>
            <w:tcMar>
              <w:top w:w="28" w:type="dxa"/>
            </w:tcMar>
            <w:vAlign w:val="center"/>
          </w:tcPr>
          <w:p w14:paraId="1C11AC8D"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Accounting profit before income tax</w:t>
            </w:r>
          </w:p>
        </w:tc>
        <w:tc>
          <w:tcPr>
            <w:tcW w:w="1800" w:type="dxa"/>
            <w:tcBorders>
              <w:top w:val="single" w:sz="4" w:space="0" w:color="auto"/>
            </w:tcBorders>
            <w:tcMar>
              <w:top w:w="28" w:type="dxa"/>
            </w:tcMar>
            <w:vAlign w:val="center"/>
          </w:tcPr>
          <w:p w14:paraId="6D155963" w14:textId="77777777" w:rsidR="002E4A62" w:rsidRPr="00E70587" w:rsidRDefault="002E4A62" w:rsidP="00770F33">
            <w:pPr>
              <w:spacing w:line="280" w:lineRule="exact"/>
              <w:jc w:val="right"/>
              <w:rPr>
                <w:rFonts w:ascii="Arial" w:hAnsi="Arial" w:cs="Arial"/>
                <w:b/>
                <w:bCs/>
                <w:sz w:val="20"/>
              </w:rPr>
            </w:pPr>
            <w:r w:rsidRPr="00E70587">
              <w:rPr>
                <w:rFonts w:ascii="Arial" w:hAnsi="Arial" w:cs="Arial"/>
                <w:b/>
                <w:bCs/>
                <w:sz w:val="20"/>
              </w:rPr>
              <w:t>20,</w:t>
            </w:r>
            <w:r w:rsidR="00770F33" w:rsidRPr="00E70587">
              <w:rPr>
                <w:rFonts w:ascii="Arial" w:hAnsi="Arial" w:cs="Arial"/>
                <w:b/>
                <w:bCs/>
                <w:sz w:val="20"/>
              </w:rPr>
              <w:t>379</w:t>
            </w:r>
          </w:p>
        </w:tc>
        <w:tc>
          <w:tcPr>
            <w:tcW w:w="1800" w:type="dxa"/>
            <w:tcBorders>
              <w:top w:val="single" w:sz="4" w:space="0" w:color="auto"/>
            </w:tcBorders>
            <w:tcMar>
              <w:top w:w="28" w:type="dxa"/>
            </w:tcMar>
            <w:vAlign w:val="center"/>
          </w:tcPr>
          <w:p w14:paraId="671325B2" w14:textId="77777777" w:rsidR="002E4A62" w:rsidRPr="00E70587" w:rsidRDefault="00770F33" w:rsidP="009901E1">
            <w:pPr>
              <w:spacing w:line="280" w:lineRule="exact"/>
              <w:jc w:val="right"/>
              <w:rPr>
                <w:rFonts w:ascii="Arial" w:hAnsi="Arial" w:cs="Arial"/>
                <w:b/>
                <w:bCs/>
                <w:sz w:val="20"/>
              </w:rPr>
            </w:pPr>
            <w:r w:rsidRPr="00E70587">
              <w:rPr>
                <w:rFonts w:ascii="Arial" w:hAnsi="Arial" w:cs="Arial"/>
                <w:b/>
                <w:bCs/>
                <w:sz w:val="20"/>
              </w:rPr>
              <w:t>14,302</w:t>
            </w:r>
          </w:p>
        </w:tc>
      </w:tr>
      <w:tr w:rsidR="002E4A62" w:rsidRPr="00E70587" w14:paraId="08211A63" w14:textId="77777777" w:rsidTr="002E4A62">
        <w:tc>
          <w:tcPr>
            <w:tcW w:w="5940" w:type="dxa"/>
            <w:tcMar>
              <w:top w:w="28" w:type="dxa"/>
            </w:tcMar>
            <w:vAlign w:val="center"/>
          </w:tcPr>
          <w:p w14:paraId="04C6BE5D" w14:textId="40A93AD3"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At India’s statutory income tax rate of 30% (31 </w:t>
            </w:r>
            <w:r w:rsidR="008B730E" w:rsidRPr="00E70587">
              <w:rPr>
                <w:rFonts w:ascii="Arial" w:hAnsi="Arial" w:cs="Arial"/>
                <w:sz w:val="20"/>
                <w:lang w:val="en-IN"/>
              </w:rPr>
              <w:t xml:space="preserve">March </w:t>
            </w:r>
            <w:r w:rsidR="00FB1542" w:rsidRPr="00E70587">
              <w:rPr>
                <w:rFonts w:ascii="Arial" w:hAnsi="Arial" w:cs="Arial"/>
                <w:sz w:val="20"/>
                <w:lang w:val="en-IN"/>
              </w:rPr>
              <w:t>20</w:t>
            </w:r>
            <w:r w:rsidR="00FB1542">
              <w:rPr>
                <w:rFonts w:ascii="Arial" w:hAnsi="Arial" w:cs="Arial"/>
                <w:sz w:val="20"/>
                <w:lang w:val="en-IN"/>
              </w:rPr>
              <w:t>20</w:t>
            </w:r>
            <w:r w:rsidRPr="00E70587">
              <w:rPr>
                <w:rFonts w:ascii="Arial" w:hAnsi="Arial" w:cs="Arial"/>
                <w:sz w:val="20"/>
                <w:lang w:val="en-IN"/>
              </w:rPr>
              <w:t>: 30%)</w:t>
            </w:r>
          </w:p>
        </w:tc>
        <w:tc>
          <w:tcPr>
            <w:tcW w:w="1800" w:type="dxa"/>
            <w:tcMar>
              <w:top w:w="28" w:type="dxa"/>
            </w:tcMar>
            <w:vAlign w:val="center"/>
          </w:tcPr>
          <w:p w14:paraId="5781A06B" w14:textId="77777777" w:rsidR="002E4A62" w:rsidRPr="00E70587" w:rsidRDefault="001F32A6" w:rsidP="009901E1">
            <w:pPr>
              <w:spacing w:line="280" w:lineRule="exact"/>
              <w:jc w:val="right"/>
              <w:rPr>
                <w:rFonts w:ascii="Arial" w:hAnsi="Arial" w:cs="Arial"/>
                <w:sz w:val="20"/>
              </w:rPr>
            </w:pPr>
            <w:r w:rsidRPr="00E70587">
              <w:rPr>
                <w:rFonts w:ascii="Arial" w:hAnsi="Arial" w:cs="Arial"/>
                <w:sz w:val="20"/>
              </w:rPr>
              <w:t>6,113</w:t>
            </w:r>
          </w:p>
        </w:tc>
        <w:tc>
          <w:tcPr>
            <w:tcW w:w="1800" w:type="dxa"/>
            <w:tcMar>
              <w:top w:w="28" w:type="dxa"/>
            </w:tcMar>
            <w:vAlign w:val="center"/>
          </w:tcPr>
          <w:p w14:paraId="22F41046" w14:textId="77777777" w:rsidR="002E4A62" w:rsidRPr="00E70587" w:rsidRDefault="00770F33" w:rsidP="009901E1">
            <w:pPr>
              <w:spacing w:line="280" w:lineRule="exact"/>
              <w:jc w:val="right"/>
              <w:rPr>
                <w:rFonts w:ascii="Arial" w:hAnsi="Arial" w:cs="Arial"/>
                <w:sz w:val="20"/>
              </w:rPr>
            </w:pPr>
            <w:r w:rsidRPr="00E70587">
              <w:rPr>
                <w:rFonts w:ascii="Arial" w:hAnsi="Arial" w:cs="Arial"/>
                <w:sz w:val="20"/>
              </w:rPr>
              <w:t>4,290</w:t>
            </w:r>
          </w:p>
        </w:tc>
      </w:tr>
      <w:tr w:rsidR="002E4A62" w:rsidRPr="00E70587" w14:paraId="29444D6F" w14:textId="77777777" w:rsidTr="002E4A62">
        <w:tc>
          <w:tcPr>
            <w:tcW w:w="5940" w:type="dxa"/>
            <w:vAlign w:val="center"/>
          </w:tcPr>
          <w:p w14:paraId="78FDE9FB"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Adjustments in respect of current income tax of previous years</w:t>
            </w:r>
          </w:p>
        </w:tc>
        <w:tc>
          <w:tcPr>
            <w:tcW w:w="1800" w:type="dxa"/>
            <w:tcMar>
              <w:top w:w="28" w:type="dxa"/>
              <w:right w:w="57" w:type="dxa"/>
            </w:tcMar>
            <w:vAlign w:val="center"/>
          </w:tcPr>
          <w:p w14:paraId="40062DDB" w14:textId="77777777" w:rsidR="002E4A62" w:rsidRPr="00E70587" w:rsidRDefault="002E4A62" w:rsidP="009901E1">
            <w:pPr>
              <w:spacing w:line="280" w:lineRule="exact"/>
              <w:jc w:val="right"/>
              <w:rPr>
                <w:rFonts w:ascii="Arial" w:hAnsi="Arial" w:cs="Arial"/>
                <w:sz w:val="20"/>
              </w:rPr>
            </w:pPr>
            <w:r w:rsidRPr="00E70587">
              <w:rPr>
                <w:rFonts w:ascii="Arial" w:hAnsi="Arial" w:cs="Arial"/>
                <w:sz w:val="20"/>
              </w:rPr>
              <w:t>(32)</w:t>
            </w:r>
          </w:p>
        </w:tc>
        <w:tc>
          <w:tcPr>
            <w:tcW w:w="1800" w:type="dxa"/>
            <w:tcMar>
              <w:right w:w="57" w:type="dxa"/>
            </w:tcMar>
            <w:vAlign w:val="center"/>
          </w:tcPr>
          <w:p w14:paraId="481A0526" w14:textId="77777777" w:rsidR="002E4A62" w:rsidRPr="00E70587" w:rsidRDefault="002E4A62" w:rsidP="009901E1">
            <w:pPr>
              <w:spacing w:line="280" w:lineRule="exact"/>
              <w:jc w:val="right"/>
              <w:rPr>
                <w:rFonts w:ascii="Arial" w:hAnsi="Arial" w:cs="Arial"/>
                <w:sz w:val="20"/>
              </w:rPr>
            </w:pPr>
            <w:r w:rsidRPr="00E70587">
              <w:rPr>
                <w:rFonts w:ascii="Arial" w:hAnsi="Arial" w:cs="Arial"/>
                <w:sz w:val="20"/>
              </w:rPr>
              <w:t>(79)</w:t>
            </w:r>
          </w:p>
        </w:tc>
      </w:tr>
      <w:tr w:rsidR="002E4A62" w:rsidRPr="00E70587" w14:paraId="6FFF8C7F" w14:textId="77777777" w:rsidTr="002E4A62">
        <w:tc>
          <w:tcPr>
            <w:tcW w:w="5940" w:type="dxa"/>
            <w:vAlign w:val="center"/>
          </w:tcPr>
          <w:p w14:paraId="3C5B71DE"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Government grants exempted from tax </w:t>
            </w:r>
          </w:p>
        </w:tc>
        <w:tc>
          <w:tcPr>
            <w:tcW w:w="1800" w:type="dxa"/>
            <w:tcMar>
              <w:top w:w="28" w:type="dxa"/>
              <w:right w:w="57" w:type="dxa"/>
            </w:tcMar>
            <w:vAlign w:val="center"/>
          </w:tcPr>
          <w:p w14:paraId="1B2C239F" w14:textId="77777777" w:rsidR="002E4A62" w:rsidRPr="00E70587" w:rsidRDefault="002E4A62" w:rsidP="001F32A6">
            <w:pPr>
              <w:spacing w:line="280" w:lineRule="exact"/>
              <w:jc w:val="right"/>
              <w:rPr>
                <w:rFonts w:ascii="Arial" w:hAnsi="Arial" w:cs="Arial"/>
                <w:sz w:val="20"/>
              </w:rPr>
            </w:pPr>
            <w:r w:rsidRPr="00E70587">
              <w:rPr>
                <w:rFonts w:ascii="Arial" w:hAnsi="Arial" w:cs="Arial"/>
                <w:sz w:val="20"/>
              </w:rPr>
              <w:t>(</w:t>
            </w:r>
            <w:r w:rsidR="001F32A6" w:rsidRPr="00E70587">
              <w:rPr>
                <w:rFonts w:ascii="Arial" w:hAnsi="Arial" w:cs="Arial"/>
                <w:sz w:val="20"/>
              </w:rPr>
              <w:t>567</w:t>
            </w:r>
            <w:r w:rsidRPr="00E70587">
              <w:rPr>
                <w:rFonts w:ascii="Arial" w:hAnsi="Arial" w:cs="Arial"/>
                <w:sz w:val="20"/>
              </w:rPr>
              <w:t>)</w:t>
            </w:r>
          </w:p>
        </w:tc>
        <w:tc>
          <w:tcPr>
            <w:tcW w:w="1800" w:type="dxa"/>
            <w:tcMar>
              <w:right w:w="57" w:type="dxa"/>
            </w:tcMar>
            <w:vAlign w:val="center"/>
          </w:tcPr>
          <w:p w14:paraId="075F59AA" w14:textId="77777777" w:rsidR="002E4A62" w:rsidRPr="00E70587" w:rsidRDefault="002E4A62" w:rsidP="009901E1">
            <w:pPr>
              <w:spacing w:line="280" w:lineRule="exact"/>
              <w:jc w:val="right"/>
              <w:rPr>
                <w:rFonts w:ascii="Arial" w:hAnsi="Arial" w:cs="Arial"/>
                <w:sz w:val="20"/>
              </w:rPr>
            </w:pPr>
            <w:r w:rsidRPr="00E70587">
              <w:rPr>
                <w:rFonts w:ascii="Arial" w:hAnsi="Arial" w:cs="Arial"/>
                <w:sz w:val="20"/>
              </w:rPr>
              <w:t>(292)</w:t>
            </w:r>
          </w:p>
        </w:tc>
      </w:tr>
      <w:tr w:rsidR="002E4A62" w:rsidRPr="00E70587" w:rsidDel="00AE4145" w14:paraId="5D2D7120" w14:textId="77777777" w:rsidTr="002E4A62">
        <w:tc>
          <w:tcPr>
            <w:tcW w:w="5940" w:type="dxa"/>
            <w:vAlign w:val="center"/>
          </w:tcPr>
          <w:p w14:paraId="39BDD7C0"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Utilisation of previously unrecognised tax losses</w:t>
            </w:r>
          </w:p>
        </w:tc>
        <w:tc>
          <w:tcPr>
            <w:tcW w:w="1800" w:type="dxa"/>
            <w:tcMar>
              <w:top w:w="28" w:type="dxa"/>
              <w:right w:w="57" w:type="dxa"/>
            </w:tcMar>
            <w:vAlign w:val="center"/>
          </w:tcPr>
          <w:p w14:paraId="430AC514" w14:textId="77777777" w:rsidR="002E4A62" w:rsidRPr="00E70587" w:rsidRDefault="002E4A62" w:rsidP="009901E1">
            <w:pPr>
              <w:spacing w:line="280" w:lineRule="exact"/>
              <w:jc w:val="right"/>
              <w:rPr>
                <w:rFonts w:ascii="Arial" w:hAnsi="Arial" w:cs="Arial"/>
                <w:sz w:val="20"/>
              </w:rPr>
            </w:pPr>
            <w:r w:rsidRPr="00E70587">
              <w:rPr>
                <w:rFonts w:ascii="Arial" w:hAnsi="Arial" w:cs="Arial"/>
                <w:sz w:val="20"/>
              </w:rPr>
              <w:t>(416)</w:t>
            </w:r>
          </w:p>
        </w:tc>
        <w:tc>
          <w:tcPr>
            <w:tcW w:w="1800" w:type="dxa"/>
            <w:tcMar>
              <w:right w:w="57" w:type="dxa"/>
            </w:tcMar>
            <w:vAlign w:val="center"/>
          </w:tcPr>
          <w:p w14:paraId="0F37726D" w14:textId="77777777" w:rsidR="002E4A62" w:rsidRPr="00E70587" w:rsidRDefault="002E4A62" w:rsidP="009901E1">
            <w:pPr>
              <w:spacing w:line="280" w:lineRule="exact"/>
              <w:jc w:val="right"/>
              <w:rPr>
                <w:rFonts w:ascii="Arial" w:hAnsi="Arial" w:cs="Arial"/>
                <w:sz w:val="20"/>
              </w:rPr>
            </w:pPr>
            <w:r w:rsidRPr="00E70587">
              <w:rPr>
                <w:rFonts w:ascii="Arial" w:hAnsi="Arial" w:cs="Arial"/>
                <w:sz w:val="20"/>
              </w:rPr>
              <w:t>(160)</w:t>
            </w:r>
          </w:p>
        </w:tc>
      </w:tr>
      <w:tr w:rsidR="002E4A62" w:rsidRPr="00E70587" w14:paraId="0346069F" w14:textId="77777777" w:rsidTr="002E4A62">
        <w:tc>
          <w:tcPr>
            <w:tcW w:w="5940" w:type="dxa"/>
            <w:tcMar>
              <w:top w:w="28" w:type="dxa"/>
            </w:tcMar>
            <w:vAlign w:val="center"/>
          </w:tcPr>
          <w:p w14:paraId="3359B4F0"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Share of results of associates and joint ventures</w:t>
            </w:r>
          </w:p>
        </w:tc>
        <w:tc>
          <w:tcPr>
            <w:tcW w:w="1800" w:type="dxa"/>
            <w:tcMar>
              <w:top w:w="28" w:type="dxa"/>
            </w:tcMar>
            <w:vAlign w:val="center"/>
          </w:tcPr>
          <w:p w14:paraId="137F2CA3" w14:textId="77777777" w:rsidR="002E4A62" w:rsidRPr="00E70587" w:rsidRDefault="002E4A62" w:rsidP="009901E1">
            <w:pPr>
              <w:spacing w:line="280" w:lineRule="exact"/>
              <w:jc w:val="right"/>
              <w:rPr>
                <w:rFonts w:ascii="Arial" w:hAnsi="Arial" w:cs="Arial"/>
                <w:sz w:val="20"/>
              </w:rPr>
            </w:pPr>
            <w:r w:rsidRPr="00E70587">
              <w:rPr>
                <w:rFonts w:ascii="Arial" w:hAnsi="Arial" w:cs="Arial"/>
                <w:sz w:val="20"/>
              </w:rPr>
              <w:t>(563)</w:t>
            </w:r>
          </w:p>
        </w:tc>
        <w:tc>
          <w:tcPr>
            <w:tcW w:w="1800" w:type="dxa"/>
            <w:tcMar>
              <w:top w:w="28" w:type="dxa"/>
            </w:tcMar>
            <w:vAlign w:val="center"/>
          </w:tcPr>
          <w:p w14:paraId="10E02DB4" w14:textId="77777777" w:rsidR="002E4A62" w:rsidRPr="00E70587" w:rsidRDefault="002E4A62" w:rsidP="009901E1">
            <w:pPr>
              <w:spacing w:line="280" w:lineRule="exact"/>
              <w:jc w:val="right"/>
              <w:rPr>
                <w:rFonts w:ascii="Arial" w:hAnsi="Arial" w:cs="Arial"/>
                <w:sz w:val="20"/>
              </w:rPr>
            </w:pPr>
            <w:r w:rsidRPr="00E70587">
              <w:rPr>
                <w:rFonts w:ascii="Arial" w:hAnsi="Arial" w:cs="Arial"/>
                <w:sz w:val="20"/>
              </w:rPr>
              <w:t>(553)</w:t>
            </w:r>
          </w:p>
        </w:tc>
      </w:tr>
      <w:tr w:rsidR="002E4A62" w:rsidRPr="00E70587" w14:paraId="39564CED" w14:textId="77777777" w:rsidTr="002E4A62">
        <w:tc>
          <w:tcPr>
            <w:tcW w:w="5940" w:type="dxa"/>
            <w:tcMar>
              <w:top w:w="28" w:type="dxa"/>
            </w:tcMar>
            <w:vAlign w:val="center"/>
          </w:tcPr>
          <w:p w14:paraId="3078A607"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Non-deductible expenses for tax purposes:</w:t>
            </w:r>
          </w:p>
        </w:tc>
        <w:tc>
          <w:tcPr>
            <w:tcW w:w="1800" w:type="dxa"/>
            <w:tcMar>
              <w:top w:w="28" w:type="dxa"/>
            </w:tcMar>
            <w:vAlign w:val="center"/>
          </w:tcPr>
          <w:p w14:paraId="1F863117" w14:textId="77777777" w:rsidR="002E4A62" w:rsidRPr="00E70587" w:rsidRDefault="002E4A62" w:rsidP="009901E1">
            <w:pPr>
              <w:spacing w:line="280" w:lineRule="exact"/>
              <w:ind w:firstLineChars="100" w:firstLine="200"/>
              <w:jc w:val="right"/>
              <w:rPr>
                <w:rFonts w:ascii="Arial" w:hAnsi="Arial" w:cs="Arial"/>
                <w:sz w:val="20"/>
              </w:rPr>
            </w:pPr>
          </w:p>
        </w:tc>
        <w:tc>
          <w:tcPr>
            <w:tcW w:w="1800" w:type="dxa"/>
            <w:tcMar>
              <w:top w:w="28" w:type="dxa"/>
            </w:tcMar>
            <w:vAlign w:val="center"/>
          </w:tcPr>
          <w:p w14:paraId="7A1601F7" w14:textId="77777777" w:rsidR="002E4A62" w:rsidRPr="00E70587" w:rsidRDefault="002E4A62" w:rsidP="009901E1">
            <w:pPr>
              <w:spacing w:line="280" w:lineRule="exact"/>
              <w:ind w:firstLineChars="100" w:firstLine="200"/>
              <w:jc w:val="right"/>
              <w:rPr>
                <w:rFonts w:ascii="Arial" w:hAnsi="Arial" w:cs="Arial"/>
                <w:sz w:val="20"/>
              </w:rPr>
            </w:pPr>
          </w:p>
        </w:tc>
      </w:tr>
      <w:tr w:rsidR="002E4A62" w:rsidRPr="00E70587" w14:paraId="4478FB4C" w14:textId="77777777" w:rsidTr="002E4A62">
        <w:tc>
          <w:tcPr>
            <w:tcW w:w="5940" w:type="dxa"/>
            <w:tcMar>
              <w:top w:w="28" w:type="dxa"/>
            </w:tcMar>
            <w:vAlign w:val="center"/>
          </w:tcPr>
          <w:p w14:paraId="3ED20507" w14:textId="77777777" w:rsidR="002E4A62" w:rsidRPr="00E70587" w:rsidRDefault="002E4A62" w:rsidP="006868AD">
            <w:pPr>
              <w:pStyle w:val="tabletext"/>
              <w:overflowPunct w:val="0"/>
              <w:autoSpaceDE w:val="0"/>
              <w:autoSpaceDN w:val="0"/>
              <w:adjustRightInd w:val="0"/>
              <w:spacing w:line="280" w:lineRule="exact"/>
              <w:ind w:left="90" w:hanging="90"/>
              <w:textAlignment w:val="baseline"/>
              <w:rPr>
                <w:rFonts w:ascii="Arial" w:hAnsi="Arial" w:cs="Arial"/>
                <w:sz w:val="20"/>
                <w:lang w:val="en-IN"/>
              </w:rPr>
            </w:pPr>
            <w:r w:rsidRPr="00E70587">
              <w:rPr>
                <w:rFonts w:ascii="Arial" w:hAnsi="Arial" w:cs="Arial"/>
                <w:sz w:val="20"/>
                <w:lang w:val="en-IN"/>
              </w:rPr>
              <w:t xml:space="preserve">Impairment of goodwill </w:t>
            </w:r>
          </w:p>
        </w:tc>
        <w:tc>
          <w:tcPr>
            <w:tcW w:w="1800" w:type="dxa"/>
            <w:tcMar>
              <w:top w:w="28" w:type="dxa"/>
            </w:tcMar>
            <w:vAlign w:val="center"/>
          </w:tcPr>
          <w:p w14:paraId="1A17AAB9" w14:textId="77777777" w:rsidR="002E4A62" w:rsidRPr="00E70587" w:rsidRDefault="002E4A62" w:rsidP="009901E1">
            <w:pPr>
              <w:spacing w:line="280" w:lineRule="exact"/>
              <w:jc w:val="right"/>
              <w:rPr>
                <w:rFonts w:ascii="Arial" w:hAnsi="Arial" w:cs="Arial"/>
                <w:sz w:val="20"/>
              </w:rPr>
            </w:pPr>
            <w:r w:rsidRPr="00E70587">
              <w:rPr>
                <w:rFonts w:ascii="Arial" w:hAnsi="Arial" w:cs="Arial"/>
                <w:sz w:val="20"/>
              </w:rPr>
              <w:t>108</w:t>
            </w:r>
          </w:p>
        </w:tc>
        <w:tc>
          <w:tcPr>
            <w:tcW w:w="1800" w:type="dxa"/>
            <w:tcMar>
              <w:top w:w="28" w:type="dxa"/>
            </w:tcMar>
            <w:vAlign w:val="center"/>
          </w:tcPr>
          <w:p w14:paraId="18FD3222" w14:textId="77777777" w:rsidR="002E4A62" w:rsidRPr="00E70587" w:rsidRDefault="002E4A62" w:rsidP="009901E1">
            <w:pPr>
              <w:spacing w:line="280" w:lineRule="exact"/>
              <w:jc w:val="right"/>
              <w:rPr>
                <w:rFonts w:ascii="Arial" w:hAnsi="Arial" w:cs="Arial"/>
                <w:sz w:val="20"/>
              </w:rPr>
            </w:pPr>
            <w:r w:rsidRPr="00E70587">
              <w:rPr>
                <w:rFonts w:ascii="Arial" w:hAnsi="Arial" w:cs="Arial"/>
                <w:sz w:val="20"/>
              </w:rPr>
              <w:t>-</w:t>
            </w:r>
          </w:p>
        </w:tc>
      </w:tr>
      <w:tr w:rsidR="002E4A62" w:rsidRPr="00E70587" w14:paraId="1A607675" w14:textId="77777777" w:rsidTr="002E4A62">
        <w:tc>
          <w:tcPr>
            <w:tcW w:w="5940" w:type="dxa"/>
            <w:tcMar>
              <w:top w:w="28" w:type="dxa"/>
            </w:tcMar>
            <w:vAlign w:val="center"/>
          </w:tcPr>
          <w:p w14:paraId="704D6E3E" w14:textId="77777777" w:rsidR="002E4A62" w:rsidRPr="00E70587" w:rsidRDefault="002E4A62" w:rsidP="006868AD">
            <w:pPr>
              <w:pStyle w:val="tabletext"/>
              <w:overflowPunct w:val="0"/>
              <w:autoSpaceDE w:val="0"/>
              <w:autoSpaceDN w:val="0"/>
              <w:adjustRightInd w:val="0"/>
              <w:spacing w:line="280" w:lineRule="exact"/>
              <w:ind w:left="90" w:hanging="90"/>
              <w:textAlignment w:val="baseline"/>
              <w:rPr>
                <w:rFonts w:ascii="Arial" w:hAnsi="Arial" w:cs="Arial"/>
                <w:sz w:val="20"/>
                <w:lang w:val="en-IN"/>
              </w:rPr>
            </w:pPr>
            <w:r w:rsidRPr="00E70587">
              <w:rPr>
                <w:rFonts w:ascii="Arial" w:hAnsi="Arial" w:cs="Arial"/>
                <w:sz w:val="20"/>
                <w:lang w:val="en-IN"/>
              </w:rPr>
              <w:t>Contingent consideration re-measurement (Note 36)</w:t>
            </w:r>
          </w:p>
        </w:tc>
        <w:tc>
          <w:tcPr>
            <w:tcW w:w="1800" w:type="dxa"/>
            <w:tcMar>
              <w:top w:w="28" w:type="dxa"/>
            </w:tcMar>
            <w:vAlign w:val="center"/>
          </w:tcPr>
          <w:p w14:paraId="658B4658" w14:textId="77777777" w:rsidR="002E4A62" w:rsidRPr="00E70587" w:rsidRDefault="002E4A62" w:rsidP="009901E1">
            <w:pPr>
              <w:spacing w:line="280" w:lineRule="exact"/>
              <w:jc w:val="right"/>
              <w:rPr>
                <w:rFonts w:ascii="Arial" w:hAnsi="Arial" w:cs="Arial"/>
                <w:sz w:val="20"/>
              </w:rPr>
            </w:pPr>
            <w:r w:rsidRPr="00E70587">
              <w:rPr>
                <w:rFonts w:ascii="Arial" w:hAnsi="Arial" w:cs="Arial"/>
                <w:sz w:val="20"/>
              </w:rPr>
              <w:t>193</w:t>
            </w:r>
          </w:p>
        </w:tc>
        <w:tc>
          <w:tcPr>
            <w:tcW w:w="1800" w:type="dxa"/>
            <w:tcMar>
              <w:top w:w="28" w:type="dxa"/>
            </w:tcMar>
            <w:vAlign w:val="center"/>
          </w:tcPr>
          <w:p w14:paraId="2B1687B2" w14:textId="77777777" w:rsidR="002E4A62" w:rsidRPr="00E70587" w:rsidRDefault="002E4A62" w:rsidP="009901E1">
            <w:pPr>
              <w:spacing w:line="280" w:lineRule="exact"/>
              <w:jc w:val="right"/>
              <w:rPr>
                <w:rFonts w:ascii="Arial" w:hAnsi="Arial" w:cs="Arial"/>
                <w:sz w:val="20"/>
              </w:rPr>
            </w:pPr>
            <w:r w:rsidRPr="00E70587">
              <w:rPr>
                <w:rFonts w:ascii="Arial" w:hAnsi="Arial" w:cs="Arial"/>
                <w:sz w:val="20"/>
              </w:rPr>
              <w:t>-</w:t>
            </w:r>
          </w:p>
        </w:tc>
      </w:tr>
      <w:tr w:rsidR="002E4A62" w:rsidRPr="00E70587" w14:paraId="338662D0" w14:textId="77777777" w:rsidTr="002E4A62">
        <w:tc>
          <w:tcPr>
            <w:tcW w:w="5940" w:type="dxa"/>
            <w:tcMar>
              <w:top w:w="28" w:type="dxa"/>
            </w:tcMar>
            <w:vAlign w:val="center"/>
          </w:tcPr>
          <w:p w14:paraId="01AD223A" w14:textId="0EF013A3" w:rsidR="002E4A62" w:rsidRPr="00E70587" w:rsidRDefault="004153D8" w:rsidP="006868AD">
            <w:pPr>
              <w:pStyle w:val="tabletext"/>
              <w:overflowPunct w:val="0"/>
              <w:autoSpaceDE w:val="0"/>
              <w:autoSpaceDN w:val="0"/>
              <w:adjustRightInd w:val="0"/>
              <w:spacing w:line="280" w:lineRule="exact"/>
              <w:ind w:left="90" w:hanging="90"/>
              <w:textAlignment w:val="baseline"/>
              <w:rPr>
                <w:rFonts w:ascii="Arial" w:hAnsi="Arial" w:cs="Arial"/>
                <w:sz w:val="20"/>
                <w:lang w:val="en-IN"/>
              </w:rPr>
            </w:pPr>
            <w:r>
              <w:rPr>
                <w:rFonts w:ascii="Arial" w:hAnsi="Arial" w:cs="Arial"/>
                <w:sz w:val="20"/>
                <w:lang w:val="en-IN"/>
              </w:rPr>
              <w:t>Impact of change in tax rate for future period*</w:t>
            </w:r>
          </w:p>
        </w:tc>
        <w:tc>
          <w:tcPr>
            <w:tcW w:w="1800" w:type="dxa"/>
            <w:tcMar>
              <w:top w:w="28" w:type="dxa"/>
            </w:tcMar>
            <w:vAlign w:val="center"/>
          </w:tcPr>
          <w:p w14:paraId="6A06B5A1" w14:textId="2B2E1A46" w:rsidR="002E4A62" w:rsidRPr="00E70587" w:rsidRDefault="002E4A62" w:rsidP="009901E1">
            <w:pPr>
              <w:spacing w:line="280" w:lineRule="exact"/>
              <w:jc w:val="right"/>
              <w:rPr>
                <w:rFonts w:ascii="Arial" w:hAnsi="Arial" w:cs="Arial"/>
                <w:sz w:val="20"/>
              </w:rPr>
            </w:pPr>
            <w:r w:rsidRPr="00E70587">
              <w:rPr>
                <w:rFonts w:ascii="Arial" w:hAnsi="Arial" w:cs="Arial"/>
                <w:sz w:val="20"/>
              </w:rPr>
              <w:t>1</w:t>
            </w:r>
            <w:r w:rsidR="008C0F3A">
              <w:rPr>
                <w:rFonts w:ascii="Arial" w:hAnsi="Arial" w:cs="Arial"/>
                <w:sz w:val="20"/>
              </w:rPr>
              <w:t>4</w:t>
            </w:r>
          </w:p>
        </w:tc>
        <w:tc>
          <w:tcPr>
            <w:tcW w:w="1800" w:type="dxa"/>
            <w:tcMar>
              <w:top w:w="28" w:type="dxa"/>
            </w:tcMar>
            <w:vAlign w:val="center"/>
          </w:tcPr>
          <w:p w14:paraId="1E72C1ED" w14:textId="77777777" w:rsidR="002E4A62" w:rsidRPr="00E70587" w:rsidRDefault="002E4A62" w:rsidP="009901E1">
            <w:pPr>
              <w:spacing w:line="280" w:lineRule="exact"/>
              <w:jc w:val="right"/>
              <w:rPr>
                <w:rFonts w:ascii="Arial" w:hAnsi="Arial" w:cs="Arial"/>
                <w:sz w:val="20"/>
              </w:rPr>
            </w:pPr>
            <w:r w:rsidRPr="00E70587">
              <w:rPr>
                <w:rFonts w:ascii="Arial" w:hAnsi="Arial" w:cs="Arial"/>
                <w:sz w:val="20"/>
              </w:rPr>
              <w:t>-</w:t>
            </w:r>
          </w:p>
        </w:tc>
      </w:tr>
      <w:tr w:rsidR="002E4A62" w:rsidRPr="00E70587" w14:paraId="4C4657D1" w14:textId="77777777" w:rsidTr="002E4A62">
        <w:tc>
          <w:tcPr>
            <w:tcW w:w="5940" w:type="dxa"/>
            <w:tcMar>
              <w:top w:w="28" w:type="dxa"/>
            </w:tcMar>
            <w:vAlign w:val="center"/>
          </w:tcPr>
          <w:p w14:paraId="45898481"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Effect of higher tax rates in the United States</w:t>
            </w:r>
          </w:p>
        </w:tc>
        <w:tc>
          <w:tcPr>
            <w:tcW w:w="1800" w:type="dxa"/>
            <w:tcBorders>
              <w:bottom w:val="single" w:sz="4" w:space="0" w:color="auto"/>
            </w:tcBorders>
            <w:tcMar>
              <w:top w:w="28" w:type="dxa"/>
            </w:tcMar>
            <w:vAlign w:val="center"/>
          </w:tcPr>
          <w:p w14:paraId="47AD1285" w14:textId="22B2C2E7" w:rsidR="002E4A62" w:rsidRPr="00E70587" w:rsidRDefault="00DD5AF7" w:rsidP="009901E1">
            <w:pPr>
              <w:spacing w:line="280" w:lineRule="exact"/>
              <w:jc w:val="right"/>
              <w:rPr>
                <w:rFonts w:ascii="Arial" w:hAnsi="Arial" w:cs="Arial"/>
                <w:sz w:val="20"/>
              </w:rPr>
            </w:pPr>
            <w:r>
              <w:rPr>
                <w:rFonts w:ascii="Arial" w:hAnsi="Arial" w:cs="Arial"/>
                <w:sz w:val="20"/>
              </w:rPr>
              <w:t>8</w:t>
            </w:r>
            <w:r w:rsidRPr="00E70587">
              <w:rPr>
                <w:rFonts w:ascii="Arial" w:hAnsi="Arial" w:cs="Arial"/>
                <w:sz w:val="20"/>
              </w:rPr>
              <w:t>1</w:t>
            </w:r>
            <w:r>
              <w:rPr>
                <w:rFonts w:ascii="Arial" w:hAnsi="Arial" w:cs="Arial"/>
                <w:sz w:val="20"/>
              </w:rPr>
              <w:t>4</w:t>
            </w:r>
          </w:p>
        </w:tc>
        <w:tc>
          <w:tcPr>
            <w:tcW w:w="1800" w:type="dxa"/>
            <w:tcBorders>
              <w:bottom w:val="single" w:sz="4" w:space="0" w:color="auto"/>
            </w:tcBorders>
            <w:tcMar>
              <w:top w:w="28" w:type="dxa"/>
            </w:tcMar>
            <w:vAlign w:val="center"/>
          </w:tcPr>
          <w:p w14:paraId="55AC40FF" w14:textId="78E65C57" w:rsidR="002E4A62" w:rsidRPr="00E70587" w:rsidRDefault="00DD5AF7" w:rsidP="00913D50">
            <w:pPr>
              <w:spacing w:line="280" w:lineRule="exact"/>
              <w:jc w:val="right"/>
              <w:rPr>
                <w:rFonts w:ascii="Arial" w:hAnsi="Arial" w:cs="Arial"/>
                <w:sz w:val="20"/>
              </w:rPr>
            </w:pPr>
            <w:r w:rsidRPr="00E70587">
              <w:rPr>
                <w:rFonts w:ascii="Arial" w:hAnsi="Arial" w:cs="Arial"/>
                <w:sz w:val="20"/>
              </w:rPr>
              <w:t>80</w:t>
            </w:r>
            <w:r w:rsidR="00603FEE">
              <w:rPr>
                <w:rFonts w:ascii="Arial" w:hAnsi="Arial" w:cs="Arial"/>
                <w:sz w:val="20"/>
              </w:rPr>
              <w:t>4</w:t>
            </w:r>
          </w:p>
        </w:tc>
      </w:tr>
      <w:tr w:rsidR="002E4A62" w:rsidRPr="00E70587" w14:paraId="75EF8A75" w14:textId="77777777" w:rsidTr="002E4A62">
        <w:tc>
          <w:tcPr>
            <w:tcW w:w="5940" w:type="dxa"/>
            <w:tcMar>
              <w:top w:w="28" w:type="dxa"/>
            </w:tcMar>
            <w:vAlign w:val="center"/>
          </w:tcPr>
          <w:p w14:paraId="41A3DD52" w14:textId="387170B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At the effective income tax rate of 27% (31 </w:t>
            </w:r>
            <w:r w:rsidR="008B730E" w:rsidRPr="00E70587">
              <w:rPr>
                <w:rFonts w:ascii="Arial" w:hAnsi="Arial" w:cs="Arial"/>
                <w:b/>
                <w:sz w:val="20"/>
                <w:lang w:val="en-IN"/>
              </w:rPr>
              <w:t xml:space="preserve">March </w:t>
            </w:r>
            <w:r w:rsidR="00BA11CD" w:rsidRPr="00E70587">
              <w:rPr>
                <w:rFonts w:ascii="Arial" w:hAnsi="Arial" w:cs="Arial"/>
                <w:b/>
                <w:sz w:val="20"/>
                <w:lang w:val="en-IN"/>
              </w:rPr>
              <w:t>20</w:t>
            </w:r>
            <w:r w:rsidR="00BA11CD">
              <w:rPr>
                <w:rFonts w:ascii="Arial" w:hAnsi="Arial" w:cs="Arial"/>
                <w:b/>
                <w:sz w:val="20"/>
                <w:lang w:val="en-IN"/>
              </w:rPr>
              <w:t>20</w:t>
            </w:r>
            <w:r w:rsidRPr="00E70587">
              <w:rPr>
                <w:rFonts w:ascii="Arial" w:hAnsi="Arial" w:cs="Arial"/>
                <w:b/>
                <w:sz w:val="20"/>
                <w:lang w:val="en-IN"/>
              </w:rPr>
              <w:t>: 28%)</w:t>
            </w:r>
          </w:p>
        </w:tc>
        <w:tc>
          <w:tcPr>
            <w:tcW w:w="1800" w:type="dxa"/>
            <w:tcBorders>
              <w:top w:val="single" w:sz="4" w:space="0" w:color="auto"/>
              <w:bottom w:val="single" w:sz="4" w:space="0" w:color="auto"/>
            </w:tcBorders>
            <w:tcMar>
              <w:top w:w="28" w:type="dxa"/>
            </w:tcMar>
            <w:vAlign w:val="center"/>
          </w:tcPr>
          <w:p w14:paraId="466E57F3" w14:textId="10A39EB6" w:rsidR="002E4A62" w:rsidRPr="00E70587" w:rsidRDefault="001F32A6" w:rsidP="00770F33">
            <w:pPr>
              <w:spacing w:line="280" w:lineRule="exact"/>
              <w:jc w:val="right"/>
              <w:rPr>
                <w:rFonts w:ascii="Arial" w:hAnsi="Arial" w:cs="Arial"/>
                <w:b/>
                <w:bCs/>
                <w:sz w:val="20"/>
              </w:rPr>
            </w:pPr>
            <w:r w:rsidRPr="00E70587">
              <w:rPr>
                <w:rFonts w:ascii="Arial" w:hAnsi="Arial" w:cs="Arial"/>
                <w:b/>
                <w:bCs/>
                <w:sz w:val="20"/>
              </w:rPr>
              <w:t>5,</w:t>
            </w:r>
            <w:r w:rsidR="00DD5AF7">
              <w:rPr>
                <w:rFonts w:ascii="Arial" w:hAnsi="Arial" w:cs="Arial"/>
                <w:b/>
                <w:bCs/>
                <w:sz w:val="20"/>
              </w:rPr>
              <w:t>664</w:t>
            </w:r>
          </w:p>
        </w:tc>
        <w:tc>
          <w:tcPr>
            <w:tcW w:w="1800" w:type="dxa"/>
            <w:tcBorders>
              <w:top w:val="single" w:sz="4" w:space="0" w:color="auto"/>
              <w:bottom w:val="single" w:sz="4" w:space="0" w:color="auto"/>
            </w:tcBorders>
            <w:tcMar>
              <w:top w:w="28" w:type="dxa"/>
            </w:tcMar>
            <w:vAlign w:val="center"/>
          </w:tcPr>
          <w:p w14:paraId="1230D1DB" w14:textId="700C5CE5" w:rsidR="002E4A62" w:rsidRPr="00E70587" w:rsidRDefault="002E4A62" w:rsidP="00770F33">
            <w:pPr>
              <w:spacing w:line="280" w:lineRule="exact"/>
              <w:jc w:val="right"/>
              <w:rPr>
                <w:rFonts w:ascii="Arial" w:hAnsi="Arial" w:cs="Arial"/>
                <w:b/>
                <w:bCs/>
                <w:sz w:val="20"/>
              </w:rPr>
            </w:pPr>
            <w:r w:rsidRPr="00E70587">
              <w:rPr>
                <w:rFonts w:ascii="Arial" w:hAnsi="Arial" w:cs="Arial"/>
                <w:b/>
                <w:bCs/>
                <w:sz w:val="20"/>
              </w:rPr>
              <w:t>4,</w:t>
            </w:r>
            <w:r w:rsidR="00DD5AF7" w:rsidRPr="00E70587">
              <w:rPr>
                <w:rFonts w:ascii="Arial" w:hAnsi="Arial" w:cs="Arial"/>
                <w:b/>
                <w:bCs/>
                <w:sz w:val="20"/>
              </w:rPr>
              <w:t>0</w:t>
            </w:r>
            <w:r w:rsidR="00603FEE">
              <w:rPr>
                <w:rFonts w:ascii="Arial" w:hAnsi="Arial" w:cs="Arial"/>
                <w:b/>
                <w:bCs/>
                <w:sz w:val="20"/>
              </w:rPr>
              <w:t>10</w:t>
            </w:r>
          </w:p>
        </w:tc>
      </w:tr>
      <w:tr w:rsidR="002E4A62" w:rsidRPr="00E70587" w14:paraId="4E2454CD" w14:textId="77777777" w:rsidTr="002E4A62">
        <w:tc>
          <w:tcPr>
            <w:tcW w:w="5940" w:type="dxa"/>
            <w:tcMar>
              <w:top w:w="28" w:type="dxa"/>
            </w:tcMar>
            <w:vAlign w:val="center"/>
          </w:tcPr>
          <w:p w14:paraId="019FAAC9"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Income tax expense reported in the statement of profit and loss</w:t>
            </w:r>
          </w:p>
        </w:tc>
        <w:tc>
          <w:tcPr>
            <w:tcW w:w="1800" w:type="dxa"/>
            <w:tcBorders>
              <w:top w:val="single" w:sz="4" w:space="0" w:color="auto"/>
            </w:tcBorders>
            <w:tcMar>
              <w:top w:w="28" w:type="dxa"/>
            </w:tcMar>
            <w:vAlign w:val="center"/>
          </w:tcPr>
          <w:p w14:paraId="6567934B" w14:textId="2554A08C" w:rsidR="002E4A62" w:rsidRPr="00E70587" w:rsidRDefault="002E4A62" w:rsidP="009901E1">
            <w:pPr>
              <w:spacing w:line="280" w:lineRule="exact"/>
              <w:jc w:val="right"/>
              <w:rPr>
                <w:rFonts w:ascii="Arial" w:hAnsi="Arial" w:cs="Arial"/>
                <w:sz w:val="20"/>
              </w:rPr>
            </w:pPr>
            <w:r w:rsidRPr="00E70587">
              <w:rPr>
                <w:rFonts w:ascii="Arial" w:hAnsi="Arial" w:cs="Arial"/>
                <w:sz w:val="20"/>
              </w:rPr>
              <w:t>5,</w:t>
            </w:r>
            <w:r w:rsidR="00433EE8">
              <w:rPr>
                <w:rFonts w:ascii="Arial" w:hAnsi="Arial" w:cs="Arial"/>
                <w:sz w:val="20"/>
              </w:rPr>
              <w:t>677</w:t>
            </w:r>
          </w:p>
        </w:tc>
        <w:tc>
          <w:tcPr>
            <w:tcW w:w="1800" w:type="dxa"/>
            <w:tcBorders>
              <w:top w:val="single" w:sz="4" w:space="0" w:color="auto"/>
            </w:tcBorders>
            <w:tcMar>
              <w:top w:w="28" w:type="dxa"/>
            </w:tcMar>
            <w:vAlign w:val="center"/>
          </w:tcPr>
          <w:p w14:paraId="518A9FE1" w14:textId="3A9FEF4E" w:rsidR="002E4A62" w:rsidRPr="00E70587" w:rsidRDefault="002E4A62" w:rsidP="00770F33">
            <w:pPr>
              <w:spacing w:line="280" w:lineRule="exact"/>
              <w:jc w:val="right"/>
              <w:rPr>
                <w:rFonts w:ascii="Arial" w:hAnsi="Arial" w:cs="Arial"/>
                <w:sz w:val="20"/>
              </w:rPr>
            </w:pPr>
            <w:r w:rsidRPr="00E70587">
              <w:rPr>
                <w:rFonts w:ascii="Arial" w:hAnsi="Arial" w:cs="Arial"/>
                <w:sz w:val="20"/>
              </w:rPr>
              <w:t>4,</w:t>
            </w:r>
            <w:r w:rsidR="00433EE8" w:rsidRPr="00E70587">
              <w:rPr>
                <w:rFonts w:ascii="Arial" w:hAnsi="Arial" w:cs="Arial"/>
                <w:sz w:val="20"/>
              </w:rPr>
              <w:t>01</w:t>
            </w:r>
            <w:r w:rsidR="00603FEE">
              <w:rPr>
                <w:rFonts w:ascii="Arial" w:hAnsi="Arial" w:cs="Arial"/>
                <w:sz w:val="20"/>
              </w:rPr>
              <w:t>9</w:t>
            </w:r>
          </w:p>
        </w:tc>
      </w:tr>
      <w:tr w:rsidR="002E4A62" w:rsidRPr="00E70587" w14:paraId="5A676DA2" w14:textId="77777777" w:rsidTr="002E4A62">
        <w:tc>
          <w:tcPr>
            <w:tcW w:w="5940" w:type="dxa"/>
            <w:tcMar>
              <w:top w:w="28" w:type="dxa"/>
            </w:tcMar>
            <w:vAlign w:val="center"/>
          </w:tcPr>
          <w:p w14:paraId="62D6230C"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Income tax attributable to a discontinued operation</w:t>
            </w:r>
          </w:p>
        </w:tc>
        <w:tc>
          <w:tcPr>
            <w:tcW w:w="1800" w:type="dxa"/>
            <w:tcBorders>
              <w:bottom w:val="single" w:sz="4" w:space="0" w:color="auto"/>
            </w:tcBorders>
            <w:tcMar>
              <w:top w:w="28" w:type="dxa"/>
            </w:tcMar>
            <w:vAlign w:val="center"/>
          </w:tcPr>
          <w:p w14:paraId="4C0B76C0" w14:textId="77777777" w:rsidR="002E4A62" w:rsidRPr="00E70587" w:rsidRDefault="002E4A62" w:rsidP="009901E1">
            <w:pPr>
              <w:spacing w:line="280" w:lineRule="exact"/>
              <w:jc w:val="right"/>
              <w:rPr>
                <w:rFonts w:ascii="Arial" w:hAnsi="Arial" w:cs="Arial"/>
                <w:sz w:val="20"/>
              </w:rPr>
            </w:pPr>
            <w:r w:rsidRPr="00E70587">
              <w:rPr>
                <w:rFonts w:ascii="Arial" w:hAnsi="Arial" w:cs="Arial"/>
                <w:sz w:val="20"/>
              </w:rPr>
              <w:t>(13)</w:t>
            </w:r>
          </w:p>
        </w:tc>
        <w:tc>
          <w:tcPr>
            <w:tcW w:w="1800" w:type="dxa"/>
            <w:tcBorders>
              <w:bottom w:val="single" w:sz="4" w:space="0" w:color="auto"/>
            </w:tcBorders>
            <w:tcMar>
              <w:top w:w="28" w:type="dxa"/>
            </w:tcMar>
            <w:vAlign w:val="center"/>
          </w:tcPr>
          <w:p w14:paraId="6ED77319" w14:textId="77777777" w:rsidR="002E4A62" w:rsidRPr="00E70587" w:rsidRDefault="002E4A62" w:rsidP="009901E1">
            <w:pPr>
              <w:spacing w:line="280" w:lineRule="exact"/>
              <w:jc w:val="right"/>
              <w:rPr>
                <w:rFonts w:ascii="Arial" w:hAnsi="Arial" w:cs="Arial"/>
                <w:sz w:val="20"/>
              </w:rPr>
            </w:pPr>
            <w:r w:rsidRPr="00E70587">
              <w:rPr>
                <w:rFonts w:ascii="Arial" w:hAnsi="Arial" w:cs="Arial"/>
                <w:sz w:val="20"/>
              </w:rPr>
              <w:t>(9)</w:t>
            </w:r>
          </w:p>
        </w:tc>
      </w:tr>
      <w:tr w:rsidR="002E4A62" w:rsidRPr="00E70587" w14:paraId="5D64274D" w14:textId="77777777" w:rsidTr="002E4A62">
        <w:tc>
          <w:tcPr>
            <w:tcW w:w="5940" w:type="dxa"/>
            <w:tcMar>
              <w:top w:w="28" w:type="dxa"/>
            </w:tcMar>
            <w:vAlign w:val="center"/>
          </w:tcPr>
          <w:p w14:paraId="4CE5BAE4"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800" w:type="dxa"/>
            <w:tcBorders>
              <w:top w:val="single" w:sz="4" w:space="0" w:color="auto"/>
              <w:bottom w:val="double" w:sz="4" w:space="0" w:color="auto"/>
            </w:tcBorders>
            <w:tcMar>
              <w:top w:w="28" w:type="dxa"/>
            </w:tcMar>
            <w:vAlign w:val="center"/>
          </w:tcPr>
          <w:p w14:paraId="243F8AE8" w14:textId="24AC5203" w:rsidR="002E4A62" w:rsidRPr="00E70587" w:rsidRDefault="002E4A62" w:rsidP="009901E1">
            <w:pPr>
              <w:spacing w:line="280" w:lineRule="exact"/>
              <w:jc w:val="right"/>
              <w:rPr>
                <w:rFonts w:ascii="Arial" w:hAnsi="Arial" w:cs="Arial"/>
                <w:b/>
                <w:bCs/>
                <w:sz w:val="20"/>
              </w:rPr>
            </w:pPr>
            <w:r w:rsidRPr="00E70587">
              <w:rPr>
                <w:rFonts w:ascii="Arial" w:hAnsi="Arial" w:cs="Arial"/>
                <w:b/>
                <w:bCs/>
                <w:sz w:val="20"/>
              </w:rPr>
              <w:t>5,</w:t>
            </w:r>
            <w:r w:rsidR="00433EE8">
              <w:rPr>
                <w:rFonts w:ascii="Arial" w:hAnsi="Arial" w:cs="Arial"/>
                <w:b/>
                <w:bCs/>
                <w:sz w:val="20"/>
              </w:rPr>
              <w:t>664</w:t>
            </w:r>
          </w:p>
        </w:tc>
        <w:tc>
          <w:tcPr>
            <w:tcW w:w="1800" w:type="dxa"/>
            <w:tcBorders>
              <w:top w:val="single" w:sz="4" w:space="0" w:color="auto"/>
              <w:bottom w:val="double" w:sz="4" w:space="0" w:color="auto"/>
            </w:tcBorders>
            <w:tcMar>
              <w:top w:w="28" w:type="dxa"/>
            </w:tcMar>
            <w:vAlign w:val="center"/>
          </w:tcPr>
          <w:p w14:paraId="34C0A419" w14:textId="01D30C4B" w:rsidR="002E4A62" w:rsidRPr="00E70587" w:rsidRDefault="002E4A62" w:rsidP="00770F33">
            <w:pPr>
              <w:spacing w:line="280" w:lineRule="exact"/>
              <w:jc w:val="right"/>
              <w:rPr>
                <w:rFonts w:ascii="Arial" w:hAnsi="Arial" w:cs="Arial"/>
                <w:b/>
                <w:bCs/>
                <w:sz w:val="20"/>
              </w:rPr>
            </w:pPr>
            <w:r w:rsidRPr="00E70587">
              <w:rPr>
                <w:rFonts w:ascii="Arial" w:hAnsi="Arial" w:cs="Arial"/>
                <w:b/>
                <w:bCs/>
                <w:sz w:val="20"/>
              </w:rPr>
              <w:t>4,</w:t>
            </w:r>
            <w:r w:rsidR="00433EE8" w:rsidRPr="00E70587">
              <w:rPr>
                <w:rFonts w:ascii="Arial" w:hAnsi="Arial" w:cs="Arial"/>
                <w:b/>
                <w:bCs/>
                <w:sz w:val="20"/>
              </w:rPr>
              <w:t>0</w:t>
            </w:r>
            <w:r w:rsidR="00603FEE">
              <w:rPr>
                <w:rFonts w:ascii="Arial" w:hAnsi="Arial" w:cs="Arial"/>
                <w:b/>
                <w:bCs/>
                <w:sz w:val="20"/>
              </w:rPr>
              <w:t>10</w:t>
            </w:r>
          </w:p>
        </w:tc>
      </w:tr>
    </w:tbl>
    <w:p w14:paraId="6644951B" w14:textId="7D443773" w:rsidR="00D9764D" w:rsidRDefault="00D9764D" w:rsidP="00900B72">
      <w:pPr>
        <w:pStyle w:val="tabletext"/>
        <w:overflowPunct w:val="0"/>
        <w:autoSpaceDE w:val="0"/>
        <w:autoSpaceDN w:val="0"/>
        <w:adjustRightInd w:val="0"/>
        <w:spacing w:line="240" w:lineRule="auto"/>
        <w:jc w:val="both"/>
        <w:textAlignment w:val="baseline"/>
        <w:rPr>
          <w:rFonts w:ascii="Arial" w:hAnsi="Arial" w:cs="Arial"/>
          <w:sz w:val="20"/>
          <w:lang w:val="en-IN"/>
        </w:rPr>
      </w:pPr>
    </w:p>
    <w:p w14:paraId="103D135F" w14:textId="3F48421E" w:rsidR="004153D8" w:rsidRPr="005B695C" w:rsidRDefault="004153D8" w:rsidP="00900B72">
      <w:pPr>
        <w:spacing w:line="240" w:lineRule="auto"/>
        <w:rPr>
          <w:rFonts w:ascii="EYInterstate" w:hAnsi="EYInterstate"/>
        </w:rPr>
      </w:pPr>
      <w:r>
        <w:rPr>
          <w:rFonts w:ascii="Arial" w:hAnsi="Arial" w:cs="Arial"/>
          <w:sz w:val="20"/>
        </w:rPr>
        <w:t>*</w:t>
      </w:r>
      <w:r w:rsidRPr="004153D8">
        <w:rPr>
          <w:szCs w:val="18"/>
        </w:rPr>
        <w:t xml:space="preserve"> </w:t>
      </w:r>
      <w:r w:rsidRPr="00900B72">
        <w:rPr>
          <w:rFonts w:ascii="Arial" w:hAnsi="Arial" w:cs="Arial"/>
          <w:sz w:val="20"/>
        </w:rPr>
        <w:t>The Group continues to pay income tax under older tax regime and have not opted for lower tax rate pursuant to Taxation Law (Amendment) Ordinance, 2019</w:t>
      </w:r>
      <w:r w:rsidR="00BC7CC1">
        <w:rPr>
          <w:rFonts w:ascii="Arial" w:hAnsi="Arial" w:cs="Arial"/>
          <w:sz w:val="20"/>
        </w:rPr>
        <w:t>,</w:t>
      </w:r>
      <w:r w:rsidRPr="00900B72">
        <w:rPr>
          <w:rFonts w:ascii="Arial" w:hAnsi="Arial" w:cs="Arial"/>
          <w:sz w:val="20"/>
        </w:rPr>
        <w:t xml:space="preserve"> considering the accumulated MAT credit, losses and other benefits under the Income Tax Act, 1961. The Group plans to opt for lower tax regime once these benefits are utilised which is expected by financial year ending 202</w:t>
      </w:r>
      <w:r w:rsidR="00900B72">
        <w:rPr>
          <w:rFonts w:ascii="Arial" w:hAnsi="Arial" w:cs="Arial"/>
          <w:sz w:val="20"/>
        </w:rPr>
        <w:t>4</w:t>
      </w:r>
      <w:r w:rsidRPr="00900B72">
        <w:rPr>
          <w:rFonts w:ascii="Arial" w:hAnsi="Arial" w:cs="Arial"/>
          <w:sz w:val="20"/>
        </w:rPr>
        <w:t>. Accordingly, deferred tax asset on temporary differences which are expected to reverse after financial year ending 202</w:t>
      </w:r>
      <w:r w:rsidR="00900B72">
        <w:rPr>
          <w:rFonts w:ascii="Arial" w:hAnsi="Arial" w:cs="Arial"/>
          <w:sz w:val="20"/>
        </w:rPr>
        <w:t>4</w:t>
      </w:r>
      <w:r w:rsidRPr="00900B72">
        <w:rPr>
          <w:rFonts w:ascii="Arial" w:hAnsi="Arial" w:cs="Arial"/>
          <w:sz w:val="20"/>
        </w:rPr>
        <w:t xml:space="preserve"> have been reversed in the current financial year amounting to INR </w:t>
      </w:r>
      <w:r w:rsidR="00900B72">
        <w:rPr>
          <w:rFonts w:ascii="Arial" w:hAnsi="Arial" w:cs="Arial"/>
          <w:sz w:val="20"/>
        </w:rPr>
        <w:t>14</w:t>
      </w:r>
      <w:r w:rsidRPr="00900B72">
        <w:rPr>
          <w:rFonts w:ascii="Arial" w:hAnsi="Arial" w:cs="Arial"/>
          <w:sz w:val="20"/>
        </w:rPr>
        <w:t xml:space="preserve"> lacs. Accordingly, deferred tax assets have been decreased by INR </w:t>
      </w:r>
      <w:r w:rsidR="00900B72">
        <w:rPr>
          <w:rFonts w:ascii="Arial" w:hAnsi="Arial" w:cs="Arial"/>
          <w:sz w:val="20"/>
        </w:rPr>
        <w:t>14</w:t>
      </w:r>
      <w:r w:rsidRPr="00900B72">
        <w:rPr>
          <w:rFonts w:ascii="Arial" w:hAnsi="Arial" w:cs="Arial"/>
          <w:sz w:val="20"/>
        </w:rPr>
        <w:t xml:space="preserve"> and the tax charge for the year have increased by INR </w:t>
      </w:r>
      <w:r w:rsidR="00900B72">
        <w:rPr>
          <w:rFonts w:ascii="Arial" w:hAnsi="Arial" w:cs="Arial"/>
          <w:sz w:val="20"/>
        </w:rPr>
        <w:t>14</w:t>
      </w:r>
      <w:r w:rsidRPr="00900B72">
        <w:rPr>
          <w:rFonts w:ascii="Arial" w:hAnsi="Arial" w:cs="Arial"/>
          <w:sz w:val="20"/>
        </w:rPr>
        <w:t xml:space="preserve"> lacs.</w:t>
      </w:r>
    </w:p>
    <w:p w14:paraId="121CDF88" w14:textId="6B1071D0" w:rsidR="00DE1031" w:rsidRDefault="00DE1031">
      <w:pPr>
        <w:overflowPunct/>
        <w:autoSpaceDE/>
        <w:autoSpaceDN/>
        <w:adjustRightInd/>
        <w:spacing w:line="240" w:lineRule="auto"/>
        <w:textAlignment w:val="auto"/>
        <w:rPr>
          <w:rFonts w:ascii="EYInterstate" w:hAnsi="EYInterstate"/>
          <w:b/>
        </w:rPr>
      </w:pPr>
      <w:r>
        <w:rPr>
          <w:rFonts w:ascii="EYInterstate" w:hAnsi="EYInterstate"/>
          <w:b/>
        </w:rPr>
        <w:br w:type="page"/>
      </w:r>
    </w:p>
    <w:p w14:paraId="70EB18EB" w14:textId="77777777" w:rsidR="004153D8" w:rsidRDefault="004153D8" w:rsidP="004153D8">
      <w:pPr>
        <w:rPr>
          <w:rFonts w:ascii="EYInterstate" w:hAnsi="EYInterstate"/>
          <w:b/>
        </w:rPr>
      </w:pPr>
    </w:p>
    <w:tbl>
      <w:tblPr>
        <w:tblStyle w:val="TableGrid"/>
        <w:tblW w:w="0" w:type="auto"/>
        <w:shd w:val="clear" w:color="auto" w:fill="C1C1C1" w:themeFill="background1" w:themeFillTint="66"/>
        <w:tblLook w:val="04A0" w:firstRow="1" w:lastRow="0" w:firstColumn="1" w:lastColumn="0" w:noHBand="0" w:noVBand="1"/>
      </w:tblPr>
      <w:tblGrid>
        <w:gridCol w:w="9360"/>
      </w:tblGrid>
      <w:tr w:rsidR="004153D8" w:rsidRPr="004153D8" w14:paraId="33C1BBC3" w14:textId="77777777" w:rsidTr="004153D8">
        <w:tc>
          <w:tcPr>
            <w:tcW w:w="10468" w:type="dxa"/>
            <w:tcBorders>
              <w:top w:val="nil"/>
              <w:left w:val="nil"/>
              <w:bottom w:val="nil"/>
              <w:right w:val="nil"/>
            </w:tcBorders>
            <w:shd w:val="clear" w:color="auto" w:fill="C1C1C1" w:themeFill="background1" w:themeFillTint="66"/>
          </w:tcPr>
          <w:p w14:paraId="78B82AD6" w14:textId="400FE1ED" w:rsidR="004153D8" w:rsidRPr="004153D8" w:rsidRDefault="004153D8" w:rsidP="005F283E">
            <w:pPr>
              <w:rPr>
                <w:rFonts w:ascii="Arial" w:hAnsi="Arial" w:cs="Arial"/>
                <w:b/>
                <w:sz w:val="20"/>
                <w:szCs w:val="22"/>
              </w:rPr>
            </w:pPr>
            <w:r>
              <w:rPr>
                <w:rFonts w:ascii="Arial" w:hAnsi="Arial" w:cs="Arial"/>
                <w:b/>
                <w:sz w:val="20"/>
                <w:szCs w:val="22"/>
              </w:rPr>
              <w:t>Author’s Note</w:t>
            </w:r>
          </w:p>
          <w:p w14:paraId="4C504A0E" w14:textId="77777777" w:rsidR="004153D8" w:rsidRPr="004153D8" w:rsidRDefault="004153D8" w:rsidP="005F283E">
            <w:pPr>
              <w:rPr>
                <w:rFonts w:ascii="Arial" w:hAnsi="Arial" w:cs="Arial"/>
                <w:b/>
                <w:sz w:val="20"/>
                <w:szCs w:val="22"/>
              </w:rPr>
            </w:pPr>
          </w:p>
          <w:p w14:paraId="3F35CDBB" w14:textId="77777777" w:rsidR="004153D8" w:rsidRPr="004153D8" w:rsidRDefault="004153D8" w:rsidP="005F283E">
            <w:pPr>
              <w:rPr>
                <w:rFonts w:ascii="Arial" w:hAnsi="Arial" w:cs="Arial"/>
                <w:b/>
                <w:sz w:val="20"/>
                <w:szCs w:val="22"/>
              </w:rPr>
            </w:pPr>
            <w:r w:rsidRPr="004153D8">
              <w:rPr>
                <w:rFonts w:ascii="Arial" w:hAnsi="Arial" w:cs="Arial"/>
                <w:b/>
                <w:sz w:val="20"/>
                <w:szCs w:val="22"/>
              </w:rPr>
              <w:t>In case where the Group would have opted for lower tax rate, the disclosure would be given as follows;</w:t>
            </w:r>
          </w:p>
          <w:p w14:paraId="0E226630" w14:textId="77777777" w:rsidR="004153D8" w:rsidRPr="004153D8" w:rsidRDefault="004153D8" w:rsidP="005F283E">
            <w:pPr>
              <w:rPr>
                <w:rFonts w:ascii="Arial" w:hAnsi="Arial" w:cs="Arial"/>
                <w:b/>
                <w:sz w:val="20"/>
                <w:szCs w:val="22"/>
              </w:rPr>
            </w:pPr>
          </w:p>
          <w:p w14:paraId="58B6FE73" w14:textId="77777777" w:rsidR="004153D8" w:rsidRPr="004153D8" w:rsidRDefault="004153D8" w:rsidP="005F283E">
            <w:pPr>
              <w:rPr>
                <w:rFonts w:ascii="Arial" w:hAnsi="Arial" w:cs="Arial"/>
                <w:sz w:val="20"/>
                <w:szCs w:val="22"/>
                <w:lang w:val="en-GB"/>
              </w:rPr>
            </w:pPr>
            <w:r w:rsidRPr="004153D8">
              <w:rPr>
                <w:rFonts w:ascii="Arial" w:hAnsi="Arial" w:cs="Arial"/>
                <w:sz w:val="20"/>
                <w:szCs w:val="22"/>
                <w:lang w:val="en-GB"/>
              </w:rPr>
              <w:t xml:space="preserve">The Group elected to exercise the option permitted under section 115BAA of the Income Tax Act, 1961 as introduced by the Taxation Laws (Amendment) Ordinance, 2019. Accordingly, the Group has recognised Provision for Income Tax for the year and re-measured its Deferred tax asset (or/and deferred tax liability) basis the rate prescribed in the said section. Accordingly, deferred tax asset (or/and deferred tax liability) have reduced by INR </w:t>
            </w:r>
            <w:proofErr w:type="spellStart"/>
            <w:r w:rsidRPr="004153D8">
              <w:rPr>
                <w:rFonts w:ascii="Arial" w:hAnsi="Arial" w:cs="Arial"/>
                <w:sz w:val="20"/>
                <w:szCs w:val="22"/>
                <w:lang w:val="en-GB"/>
              </w:rPr>
              <w:t>xxxx</w:t>
            </w:r>
            <w:proofErr w:type="spellEnd"/>
            <w:r w:rsidRPr="004153D8">
              <w:rPr>
                <w:rFonts w:ascii="Arial" w:hAnsi="Arial" w:cs="Arial"/>
                <w:sz w:val="20"/>
                <w:szCs w:val="22"/>
                <w:lang w:val="en-GB"/>
              </w:rPr>
              <w:t xml:space="preserve">. The tax charge or (credit) for the year have increased/ (decreased) by INR </w:t>
            </w:r>
            <w:proofErr w:type="spellStart"/>
            <w:r w:rsidRPr="004153D8">
              <w:rPr>
                <w:rFonts w:ascii="Arial" w:hAnsi="Arial" w:cs="Arial"/>
                <w:sz w:val="20"/>
                <w:szCs w:val="22"/>
                <w:lang w:val="en-GB"/>
              </w:rPr>
              <w:t>xxxx</w:t>
            </w:r>
            <w:proofErr w:type="spellEnd"/>
            <w:r w:rsidRPr="004153D8">
              <w:rPr>
                <w:rFonts w:ascii="Arial" w:hAnsi="Arial" w:cs="Arial"/>
                <w:sz w:val="20"/>
                <w:szCs w:val="22"/>
                <w:lang w:val="en-GB"/>
              </w:rPr>
              <w:t>.</w:t>
            </w:r>
          </w:p>
          <w:p w14:paraId="7F4C78C3" w14:textId="77777777" w:rsidR="004153D8" w:rsidRPr="004153D8" w:rsidRDefault="004153D8" w:rsidP="005F283E">
            <w:pPr>
              <w:rPr>
                <w:rFonts w:ascii="Arial" w:hAnsi="Arial" w:cs="Arial"/>
                <w:b/>
                <w:sz w:val="20"/>
                <w:szCs w:val="22"/>
              </w:rPr>
            </w:pPr>
          </w:p>
        </w:tc>
      </w:tr>
    </w:tbl>
    <w:p w14:paraId="53B9B030" w14:textId="5D71C283" w:rsidR="00B25BBF" w:rsidRDefault="00B25BBF"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703FF474" w14:textId="6091F050" w:rsidR="00DE1031" w:rsidRDefault="00DE1031"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59BD15BC" w14:textId="45F7C3FC" w:rsidR="00DE1031" w:rsidRDefault="00DE1031"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55ADDE42" w14:textId="77777777" w:rsidR="00DE1031" w:rsidRDefault="00DE1031" w:rsidP="00DE1031">
      <w:pPr>
        <w:pStyle w:val="tabletext"/>
        <w:shd w:val="clear" w:color="auto" w:fill="C1C1C1" w:themeFill="background2" w:themeFillTint="66"/>
        <w:spacing w:line="280" w:lineRule="exact"/>
        <w:jc w:val="both"/>
        <w:rPr>
          <w:rFonts w:ascii="Arial" w:hAnsi="Arial" w:cs="Arial"/>
          <w:sz w:val="20"/>
          <w:lang w:val="en-IN"/>
        </w:rPr>
      </w:pPr>
      <w:r w:rsidRPr="006C3CDE">
        <w:rPr>
          <w:rFonts w:ascii="Arial" w:hAnsi="Arial" w:cs="Arial"/>
          <w:b/>
          <w:bCs/>
          <w:sz w:val="20"/>
          <w:lang w:val="en-IN"/>
        </w:rPr>
        <w:t>Covid-19 commentary</w:t>
      </w:r>
    </w:p>
    <w:p w14:paraId="0A34755A" w14:textId="77777777" w:rsidR="00DE1031" w:rsidRPr="006C3CDE" w:rsidRDefault="00DE1031" w:rsidP="00DE1031">
      <w:pPr>
        <w:pStyle w:val="tabletext"/>
        <w:shd w:val="clear" w:color="auto" w:fill="C1C1C1" w:themeFill="background2" w:themeFillTint="66"/>
        <w:spacing w:line="280" w:lineRule="exact"/>
        <w:jc w:val="both"/>
        <w:rPr>
          <w:rFonts w:ascii="Arial" w:hAnsi="Arial" w:cs="Arial"/>
          <w:sz w:val="20"/>
          <w:lang w:val="en-IN"/>
        </w:rPr>
      </w:pPr>
      <w:r w:rsidRPr="006C3CDE">
        <w:rPr>
          <w:rFonts w:ascii="Arial" w:hAnsi="Arial" w:cs="Arial"/>
          <w:sz w:val="20"/>
          <w:lang w:val="en-IN"/>
        </w:rPr>
        <w:t xml:space="preserve"> </w:t>
      </w:r>
    </w:p>
    <w:p w14:paraId="1986BC57" w14:textId="77777777" w:rsidR="00DE1031" w:rsidRDefault="00DE1031" w:rsidP="00DE1031">
      <w:pPr>
        <w:pStyle w:val="tabletext"/>
        <w:shd w:val="clear" w:color="auto" w:fill="C1C1C1" w:themeFill="background2" w:themeFillTint="66"/>
        <w:spacing w:line="280" w:lineRule="exact"/>
        <w:jc w:val="both"/>
        <w:rPr>
          <w:rFonts w:ascii="Arial" w:hAnsi="Arial" w:cs="Arial"/>
          <w:sz w:val="20"/>
          <w:lang w:val="en-IN"/>
        </w:rPr>
      </w:pPr>
      <w:r w:rsidRPr="00B25BBF">
        <w:rPr>
          <w:rFonts w:ascii="Arial" w:hAnsi="Arial" w:cs="Arial"/>
          <w:sz w:val="20"/>
          <w:lang w:val="en-IN"/>
        </w:rPr>
        <w:t xml:space="preserve">Current income tax </w:t>
      </w:r>
    </w:p>
    <w:p w14:paraId="60F40363" w14:textId="77777777" w:rsidR="00DE1031" w:rsidRPr="00B25BBF" w:rsidRDefault="00DE1031" w:rsidP="00DE1031">
      <w:pPr>
        <w:pStyle w:val="tabletext"/>
        <w:shd w:val="clear" w:color="auto" w:fill="C1C1C1" w:themeFill="background2" w:themeFillTint="66"/>
        <w:spacing w:line="280" w:lineRule="exact"/>
        <w:jc w:val="both"/>
        <w:rPr>
          <w:rFonts w:ascii="Arial" w:hAnsi="Arial" w:cs="Arial"/>
          <w:sz w:val="20"/>
          <w:lang w:val="en-IN"/>
        </w:rPr>
      </w:pPr>
    </w:p>
    <w:p w14:paraId="0C32C622" w14:textId="77777777" w:rsidR="00DE1031" w:rsidRPr="00B25BBF" w:rsidRDefault="00DE1031" w:rsidP="00DE1031">
      <w:pPr>
        <w:pStyle w:val="tabletext"/>
        <w:shd w:val="clear" w:color="auto" w:fill="C1C1C1" w:themeFill="background2" w:themeFillTint="66"/>
        <w:spacing w:line="280" w:lineRule="exact"/>
        <w:jc w:val="both"/>
        <w:rPr>
          <w:rFonts w:ascii="Arial" w:hAnsi="Arial" w:cs="Arial"/>
          <w:sz w:val="20"/>
          <w:lang w:val="en-IN"/>
        </w:rPr>
      </w:pPr>
      <w:r w:rsidRPr="00B25BBF">
        <w:rPr>
          <w:rFonts w:ascii="Arial" w:hAnsi="Arial" w:cs="Arial"/>
          <w:sz w:val="20"/>
          <w:lang w:val="en-IN"/>
        </w:rPr>
        <w:t xml:space="preserve">Good Group’s taxation is based on a consistent rate of 30% for both 2020 and 2019.  </w:t>
      </w:r>
    </w:p>
    <w:p w14:paraId="12E7BFAD" w14:textId="77777777" w:rsidR="00DE1031" w:rsidRPr="00B25BBF" w:rsidRDefault="00DE1031" w:rsidP="00DE1031">
      <w:pPr>
        <w:pStyle w:val="tabletext"/>
        <w:shd w:val="clear" w:color="auto" w:fill="C1C1C1" w:themeFill="background2" w:themeFillTint="66"/>
        <w:spacing w:line="280" w:lineRule="exact"/>
        <w:jc w:val="both"/>
        <w:rPr>
          <w:rFonts w:ascii="Arial" w:hAnsi="Arial" w:cs="Arial"/>
          <w:sz w:val="20"/>
          <w:lang w:val="en-IN"/>
        </w:rPr>
      </w:pPr>
      <w:r w:rsidRPr="00B25BBF">
        <w:rPr>
          <w:rFonts w:ascii="Arial" w:hAnsi="Arial" w:cs="Arial"/>
          <w:sz w:val="20"/>
          <w:lang w:val="en-IN"/>
        </w:rPr>
        <w:t xml:space="preserve">As a measure to assist entities during the Covid-19 pandemic, economic stimulus packages in some jurisdictions have included income tax concessions and other rebates. If entities are active in such a jurisdiction, the following disclosures may also be impacted: </w:t>
      </w:r>
    </w:p>
    <w:p w14:paraId="5FB10199" w14:textId="77777777" w:rsidR="00DE1031" w:rsidRPr="00B25BBF" w:rsidRDefault="00DE1031" w:rsidP="00DE1031">
      <w:pPr>
        <w:pStyle w:val="tabletext"/>
        <w:shd w:val="clear" w:color="auto" w:fill="C1C1C1" w:themeFill="background2" w:themeFillTint="66"/>
        <w:spacing w:line="280" w:lineRule="exact"/>
        <w:jc w:val="both"/>
        <w:rPr>
          <w:rFonts w:ascii="Arial" w:hAnsi="Arial" w:cs="Arial"/>
          <w:sz w:val="20"/>
          <w:lang w:val="en-IN"/>
        </w:rPr>
      </w:pPr>
      <w:r w:rsidRPr="00B25BBF">
        <w:rPr>
          <w:rFonts w:ascii="Arial" w:hAnsi="Arial" w:cs="Arial"/>
          <w:sz w:val="20"/>
          <w:lang w:val="en-IN"/>
        </w:rPr>
        <w:t xml:space="preserve">• An explanation of changes in the applicable tax rate compared to the prior period </w:t>
      </w:r>
    </w:p>
    <w:p w14:paraId="24973BCD" w14:textId="77777777" w:rsidR="00DE1031" w:rsidRPr="00B25BBF" w:rsidRDefault="00DE1031" w:rsidP="00DE1031">
      <w:pPr>
        <w:pStyle w:val="tabletext"/>
        <w:shd w:val="clear" w:color="auto" w:fill="C1C1C1" w:themeFill="background2" w:themeFillTint="66"/>
        <w:spacing w:line="280" w:lineRule="exact"/>
        <w:jc w:val="both"/>
        <w:rPr>
          <w:rFonts w:ascii="Arial" w:hAnsi="Arial" w:cs="Arial"/>
          <w:sz w:val="20"/>
          <w:lang w:val="en-IN"/>
        </w:rPr>
      </w:pPr>
      <w:r w:rsidRPr="00B25BBF">
        <w:rPr>
          <w:rFonts w:ascii="Arial" w:hAnsi="Arial" w:cs="Arial"/>
          <w:sz w:val="20"/>
          <w:lang w:val="en-IN"/>
        </w:rPr>
        <w:t xml:space="preserve">• The amount and expiry date of any tax losses carried forward </w:t>
      </w:r>
    </w:p>
    <w:p w14:paraId="58DDEC8E" w14:textId="77777777" w:rsidR="00DE1031" w:rsidRPr="00B25BBF" w:rsidRDefault="00DE1031" w:rsidP="00DE1031">
      <w:pPr>
        <w:pStyle w:val="tabletext"/>
        <w:shd w:val="clear" w:color="auto" w:fill="C1C1C1" w:themeFill="background2" w:themeFillTint="66"/>
        <w:spacing w:line="280" w:lineRule="exact"/>
        <w:jc w:val="both"/>
        <w:rPr>
          <w:rFonts w:ascii="Arial" w:hAnsi="Arial" w:cs="Arial"/>
          <w:sz w:val="20"/>
          <w:lang w:val="en-IN"/>
        </w:rPr>
      </w:pPr>
      <w:r w:rsidRPr="00B25BBF">
        <w:rPr>
          <w:rFonts w:ascii="Arial" w:hAnsi="Arial" w:cs="Arial"/>
          <w:sz w:val="20"/>
          <w:lang w:val="en-IN"/>
        </w:rPr>
        <w:t xml:space="preserve">• The nature of evidence supporting the recognition of deferred tax assets when the entity has suffered a loss in the current period  </w:t>
      </w:r>
    </w:p>
    <w:p w14:paraId="54C8EF8F" w14:textId="77777777" w:rsidR="00DE1031" w:rsidRPr="00B25BBF" w:rsidRDefault="00DE1031" w:rsidP="00DE1031">
      <w:pPr>
        <w:pStyle w:val="tabletext"/>
        <w:shd w:val="clear" w:color="auto" w:fill="C1C1C1" w:themeFill="background2" w:themeFillTint="66"/>
        <w:spacing w:line="280" w:lineRule="exact"/>
        <w:jc w:val="both"/>
        <w:rPr>
          <w:rFonts w:ascii="Arial" w:hAnsi="Arial" w:cs="Arial"/>
          <w:sz w:val="20"/>
          <w:lang w:val="en-IN"/>
        </w:rPr>
      </w:pPr>
      <w:r w:rsidRPr="00B25BBF">
        <w:rPr>
          <w:rFonts w:ascii="Arial" w:hAnsi="Arial" w:cs="Arial"/>
          <w:sz w:val="20"/>
          <w:lang w:val="en-IN"/>
        </w:rPr>
        <w:t xml:space="preserve">Business disruption resulting from the Covid-19 pandemic may lead to an entity recognising asset impairments or forecasting future losses. These circumstances may introduce new uncertainties that an entity must consider in its analysis of the recoverability of deferred tax assets. Entities should update their projections of income for recent events. Tax losses that were otherwise expected to be utilised in the near term should be reviewed to determine if they might expire unutilised and how this would impact management's judgement on the amount of deferred tax asset to be recognised. Entities should further </w:t>
      </w:r>
    </w:p>
    <w:p w14:paraId="3B9B10F9" w14:textId="77777777" w:rsidR="00DE1031" w:rsidRPr="00B25BBF" w:rsidRDefault="00DE1031" w:rsidP="00DE1031">
      <w:pPr>
        <w:pStyle w:val="tabletext"/>
        <w:shd w:val="clear" w:color="auto" w:fill="C1C1C1" w:themeFill="background2" w:themeFillTint="66"/>
        <w:spacing w:line="280" w:lineRule="exact"/>
        <w:jc w:val="both"/>
        <w:rPr>
          <w:rFonts w:ascii="Arial" w:hAnsi="Arial" w:cs="Arial"/>
          <w:sz w:val="20"/>
          <w:lang w:val="en-IN"/>
        </w:rPr>
      </w:pPr>
      <w:r w:rsidRPr="00B25BBF">
        <w:rPr>
          <w:rFonts w:ascii="Arial" w:hAnsi="Arial" w:cs="Arial"/>
          <w:sz w:val="20"/>
          <w:lang w:val="en-IN"/>
        </w:rPr>
        <w:t xml:space="preserve">consider whether they need to provide additional financial statement disclosures to more fully explain the use of estimates or management's judgement in reaching its conclusions on the amount of unrecognised deferred tax assets. </w:t>
      </w:r>
    </w:p>
    <w:p w14:paraId="46E6F9FF" w14:textId="77777777" w:rsidR="00DE1031" w:rsidRDefault="00DE1031" w:rsidP="00DE1031">
      <w:pPr>
        <w:pStyle w:val="tabletext"/>
        <w:shd w:val="clear" w:color="auto" w:fill="C1C1C1" w:themeFill="background2" w:themeFillTint="66"/>
        <w:spacing w:line="280" w:lineRule="exact"/>
        <w:jc w:val="both"/>
        <w:rPr>
          <w:rFonts w:ascii="Arial" w:hAnsi="Arial" w:cs="Arial"/>
          <w:sz w:val="20"/>
          <w:lang w:val="en-IN"/>
        </w:rPr>
      </w:pPr>
    </w:p>
    <w:p w14:paraId="261187CD" w14:textId="77777777" w:rsidR="00DE1031" w:rsidRPr="00B25BBF" w:rsidRDefault="00DE1031" w:rsidP="00DE1031">
      <w:pPr>
        <w:pStyle w:val="tabletext"/>
        <w:shd w:val="clear" w:color="auto" w:fill="C1C1C1" w:themeFill="background2" w:themeFillTint="66"/>
        <w:spacing w:line="280" w:lineRule="exact"/>
        <w:jc w:val="both"/>
        <w:rPr>
          <w:rFonts w:ascii="Arial" w:hAnsi="Arial" w:cs="Arial"/>
          <w:sz w:val="20"/>
          <w:lang w:val="en-IN"/>
        </w:rPr>
      </w:pPr>
      <w:r w:rsidRPr="00B25BBF">
        <w:rPr>
          <w:rFonts w:ascii="Arial" w:hAnsi="Arial" w:cs="Arial"/>
          <w:sz w:val="20"/>
          <w:lang w:val="en-IN"/>
        </w:rPr>
        <w:t xml:space="preserve">Entities should also consider the disclosure of any significant judgements or estimates made when determining the appropriate accounting for the matters described above. Such judgements may include whether the tax laws were substantively enacted as of the reporting date, and the determination of the accounting for income tax credits.  </w:t>
      </w:r>
    </w:p>
    <w:p w14:paraId="099386FD" w14:textId="77777777" w:rsidR="00DE1031" w:rsidRDefault="00DE1031" w:rsidP="00DE1031">
      <w:pPr>
        <w:pStyle w:val="tabletext"/>
        <w:shd w:val="clear" w:color="auto" w:fill="C1C1C1" w:themeFill="background2" w:themeFillTint="66"/>
        <w:spacing w:line="280" w:lineRule="exact"/>
        <w:jc w:val="both"/>
        <w:rPr>
          <w:rFonts w:ascii="Arial" w:hAnsi="Arial" w:cs="Arial"/>
          <w:sz w:val="20"/>
          <w:lang w:val="en-IN"/>
        </w:rPr>
      </w:pPr>
    </w:p>
    <w:p w14:paraId="7BAE3E45" w14:textId="77777777" w:rsidR="00DE1031" w:rsidRDefault="00DE1031" w:rsidP="00DE1031">
      <w:pPr>
        <w:pStyle w:val="tabletext"/>
        <w:shd w:val="clear" w:color="auto" w:fill="C1C1C1" w:themeFill="background2" w:themeFillTint="66"/>
        <w:spacing w:line="280" w:lineRule="exact"/>
        <w:jc w:val="both"/>
        <w:rPr>
          <w:rFonts w:ascii="Arial" w:hAnsi="Arial" w:cs="Arial"/>
          <w:sz w:val="20"/>
          <w:lang w:val="en-IN"/>
        </w:rPr>
      </w:pPr>
      <w:r w:rsidRPr="00B25BBF">
        <w:rPr>
          <w:rFonts w:ascii="Arial" w:hAnsi="Arial" w:cs="Arial"/>
          <w:sz w:val="20"/>
          <w:lang w:val="en-IN"/>
        </w:rPr>
        <w:t xml:space="preserve">In applying judgement, entities should consider </w:t>
      </w:r>
      <w:r>
        <w:rPr>
          <w:rFonts w:ascii="Arial" w:hAnsi="Arial" w:cs="Arial"/>
          <w:sz w:val="20"/>
          <w:lang w:val="en-IN"/>
        </w:rPr>
        <w:t>Appendix C to Ind AS 12</w:t>
      </w:r>
      <w:r w:rsidRPr="00B25BBF">
        <w:rPr>
          <w:rFonts w:ascii="Arial" w:hAnsi="Arial" w:cs="Arial"/>
          <w:sz w:val="20"/>
          <w:lang w:val="en-IN"/>
        </w:rPr>
        <w:t xml:space="preserve"> Uncertainty over Income Tax Treatments. Although </w:t>
      </w:r>
      <w:r>
        <w:rPr>
          <w:rFonts w:ascii="Arial" w:hAnsi="Arial" w:cs="Arial"/>
          <w:sz w:val="20"/>
          <w:lang w:val="en-IN"/>
        </w:rPr>
        <w:t>Appendix C to Ind AS 12</w:t>
      </w:r>
      <w:r w:rsidRPr="00B25BBF">
        <w:rPr>
          <w:rFonts w:ascii="Arial" w:hAnsi="Arial" w:cs="Arial"/>
          <w:sz w:val="20"/>
          <w:lang w:val="en-IN"/>
        </w:rPr>
        <w:t xml:space="preserve"> was not specifically developed to deal with a scenario such as the covid-19 pandemic, it, nonetheless, provides helpful guidance to consider in accounting for the uncertainties that exist with respect to the application of complex tax legislation that was newly issued in response to the pandemic. It requires an entity to consider whether it is probable that a taxation authority will accept an uncertain tax treatment. If the entity concludes that the position is not probable of being accepted, the effect of the uncertainty needs to be reflected in the entity’s accounting for income taxes.</w:t>
      </w:r>
    </w:p>
    <w:p w14:paraId="6697DD44" w14:textId="77777777" w:rsidR="00DE1031" w:rsidRDefault="00DE1031" w:rsidP="00DE1031">
      <w:pPr>
        <w:pStyle w:val="tabletext"/>
        <w:shd w:val="clear" w:color="auto" w:fill="C1C1C1" w:themeFill="background2" w:themeFillTint="66"/>
        <w:overflowPunct w:val="0"/>
        <w:autoSpaceDE w:val="0"/>
        <w:autoSpaceDN w:val="0"/>
        <w:adjustRightInd w:val="0"/>
        <w:spacing w:line="280" w:lineRule="exact"/>
        <w:jc w:val="both"/>
        <w:textAlignment w:val="baseline"/>
        <w:rPr>
          <w:rFonts w:ascii="Arial" w:hAnsi="Arial" w:cs="Arial"/>
          <w:sz w:val="20"/>
          <w:lang w:val="en-IN"/>
        </w:rPr>
      </w:pPr>
    </w:p>
    <w:p w14:paraId="4D266999" w14:textId="77777777" w:rsidR="00DE1031" w:rsidRDefault="00DE1031"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55605F0D" w14:textId="4578955E" w:rsidR="00026CB4" w:rsidRDefault="00026CB4">
      <w:pPr>
        <w:overflowPunct/>
        <w:autoSpaceDE/>
        <w:autoSpaceDN/>
        <w:adjustRightInd/>
        <w:spacing w:line="240" w:lineRule="auto"/>
        <w:textAlignment w:val="auto"/>
        <w:rPr>
          <w:rFonts w:ascii="Arial" w:hAnsi="Arial" w:cs="Arial"/>
          <w:sz w:val="20"/>
        </w:rPr>
      </w:pPr>
      <w:r>
        <w:rPr>
          <w:rFonts w:ascii="Arial" w:hAnsi="Arial" w:cs="Arial"/>
          <w:sz w:val="20"/>
        </w:rPr>
        <w:br w:type="page"/>
      </w:r>
    </w:p>
    <w:p w14:paraId="3E070AB2" w14:textId="77777777" w:rsidR="00B25BBF" w:rsidRDefault="00B25BBF"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7019085E" w14:textId="77777777" w:rsidR="00D9764D" w:rsidRPr="00E70587" w:rsidRDefault="00D9764D" w:rsidP="002E4A62">
      <w:pPr>
        <w:pStyle w:val="tabletext"/>
        <w:overflowPunct w:val="0"/>
        <w:autoSpaceDE w:val="0"/>
        <w:autoSpaceDN w:val="0"/>
        <w:adjustRightInd w:val="0"/>
        <w:spacing w:line="280" w:lineRule="exact"/>
        <w:jc w:val="both"/>
        <w:textAlignment w:val="baseline"/>
        <w:rPr>
          <w:rFonts w:ascii="Arial" w:hAnsi="Arial" w:cs="Arial"/>
          <w:b/>
          <w:sz w:val="20"/>
          <w:lang w:val="en-IN"/>
        </w:rPr>
      </w:pPr>
      <w:r w:rsidRPr="00E70587">
        <w:rPr>
          <w:rFonts w:ascii="Arial" w:hAnsi="Arial" w:cs="Arial"/>
          <w:b/>
          <w:sz w:val="20"/>
          <w:lang w:val="en-IN"/>
        </w:rPr>
        <w:t>Deferred tax</w:t>
      </w:r>
    </w:p>
    <w:tbl>
      <w:tblPr>
        <w:tblStyle w:val="TableGrid"/>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559"/>
        <w:gridCol w:w="1562"/>
        <w:gridCol w:w="1698"/>
        <w:gridCol w:w="1842"/>
      </w:tblGrid>
      <w:tr w:rsidR="00583189" w:rsidRPr="00E70587" w14:paraId="34B957BC" w14:textId="77777777" w:rsidTr="00FB710F">
        <w:trPr>
          <w:tblHeader/>
        </w:trPr>
        <w:tc>
          <w:tcPr>
            <w:tcW w:w="3119" w:type="dxa"/>
          </w:tcPr>
          <w:p w14:paraId="0B62FD01" w14:textId="77777777" w:rsidR="00583189" w:rsidRPr="00E70587" w:rsidRDefault="00583189" w:rsidP="009901E1">
            <w:pPr>
              <w:spacing w:line="280" w:lineRule="exact"/>
              <w:rPr>
                <w:rFonts w:ascii="Arial" w:hAnsi="Arial" w:cs="Arial"/>
                <w:b/>
                <w:sz w:val="20"/>
              </w:rPr>
            </w:pPr>
            <w:r w:rsidRPr="00E70587">
              <w:rPr>
                <w:rFonts w:ascii="Arial" w:hAnsi="Arial" w:cs="Arial"/>
                <w:b/>
                <w:sz w:val="20"/>
              </w:rPr>
              <w:t>Deferred tax relates to the following:</w:t>
            </w:r>
          </w:p>
        </w:tc>
        <w:tc>
          <w:tcPr>
            <w:tcW w:w="3121" w:type="dxa"/>
            <w:gridSpan w:val="2"/>
          </w:tcPr>
          <w:p w14:paraId="6F90D6C4" w14:textId="77777777" w:rsidR="00583189" w:rsidRPr="00E70587" w:rsidRDefault="00583189" w:rsidP="009901E1">
            <w:pPr>
              <w:spacing w:line="280" w:lineRule="exact"/>
              <w:jc w:val="center"/>
              <w:rPr>
                <w:rFonts w:ascii="Arial" w:hAnsi="Arial" w:cs="Arial"/>
                <w:b/>
                <w:sz w:val="20"/>
              </w:rPr>
            </w:pPr>
            <w:r w:rsidRPr="00E70587">
              <w:rPr>
                <w:rFonts w:ascii="Arial" w:hAnsi="Arial" w:cs="Arial"/>
                <w:b/>
                <w:sz w:val="20"/>
              </w:rPr>
              <w:t>Consolidated Balance Sheet</w:t>
            </w:r>
          </w:p>
        </w:tc>
        <w:tc>
          <w:tcPr>
            <w:tcW w:w="3535" w:type="dxa"/>
            <w:gridSpan w:val="2"/>
          </w:tcPr>
          <w:p w14:paraId="228C2161" w14:textId="77777777" w:rsidR="00583189" w:rsidRPr="00E70587" w:rsidRDefault="00583189" w:rsidP="009901E1">
            <w:pPr>
              <w:spacing w:line="280" w:lineRule="exact"/>
              <w:jc w:val="center"/>
              <w:rPr>
                <w:rFonts w:ascii="Arial" w:hAnsi="Arial" w:cs="Arial"/>
                <w:b/>
                <w:sz w:val="20"/>
              </w:rPr>
            </w:pPr>
            <w:r w:rsidRPr="00E70587">
              <w:rPr>
                <w:rFonts w:ascii="Arial" w:hAnsi="Arial" w:cs="Arial"/>
                <w:b/>
                <w:sz w:val="20"/>
              </w:rPr>
              <w:t xml:space="preserve">Consolidated </w:t>
            </w:r>
            <w:r w:rsidRPr="00E70587">
              <w:rPr>
                <w:rFonts w:ascii="Arial" w:hAnsi="Arial" w:cs="Arial"/>
                <w:b/>
                <w:sz w:val="20"/>
              </w:rPr>
              <w:br/>
              <w:t>statement of profit and loss</w:t>
            </w:r>
          </w:p>
          <w:p w14:paraId="74E94999" w14:textId="77777777" w:rsidR="00583189" w:rsidRPr="00E70587" w:rsidRDefault="00583189" w:rsidP="009901E1">
            <w:pPr>
              <w:spacing w:line="280" w:lineRule="exact"/>
              <w:jc w:val="center"/>
              <w:rPr>
                <w:rFonts w:ascii="Arial" w:hAnsi="Arial" w:cs="Arial"/>
                <w:sz w:val="20"/>
              </w:rPr>
            </w:pPr>
          </w:p>
        </w:tc>
      </w:tr>
      <w:tr w:rsidR="00583189" w:rsidRPr="00E70587" w14:paraId="4E291BEE" w14:textId="77777777" w:rsidTr="00FB710F">
        <w:trPr>
          <w:tblHeader/>
        </w:trPr>
        <w:tc>
          <w:tcPr>
            <w:tcW w:w="3119" w:type="dxa"/>
          </w:tcPr>
          <w:p w14:paraId="4567A987" w14:textId="77777777" w:rsidR="00583189" w:rsidRPr="00E70587" w:rsidRDefault="00583189" w:rsidP="009901E1">
            <w:pPr>
              <w:spacing w:line="280" w:lineRule="exact"/>
              <w:rPr>
                <w:rFonts w:ascii="Arial" w:hAnsi="Arial" w:cs="Arial"/>
                <w:sz w:val="20"/>
              </w:rPr>
            </w:pPr>
          </w:p>
        </w:tc>
        <w:tc>
          <w:tcPr>
            <w:tcW w:w="1559" w:type="dxa"/>
            <w:tcBorders>
              <w:bottom w:val="single" w:sz="4" w:space="0" w:color="auto"/>
            </w:tcBorders>
          </w:tcPr>
          <w:p w14:paraId="34DF7EE7" w14:textId="188B4C80" w:rsidR="00583189" w:rsidRPr="00E70587" w:rsidRDefault="00583189" w:rsidP="00CE1007">
            <w:pPr>
              <w:spacing w:line="280" w:lineRule="exact"/>
              <w:ind w:right="-106"/>
              <w:jc w:val="center"/>
              <w:rPr>
                <w:rFonts w:ascii="Arial" w:hAnsi="Arial" w:cs="Arial"/>
                <w:b/>
                <w:sz w:val="20"/>
              </w:rPr>
            </w:pPr>
            <w:r w:rsidRPr="00E70587">
              <w:rPr>
                <w:rFonts w:ascii="Arial" w:hAnsi="Arial" w:cs="Arial"/>
                <w:b/>
                <w:sz w:val="20"/>
              </w:rPr>
              <w:t xml:space="preserve">31 March </w:t>
            </w:r>
            <w:r w:rsidR="00FB710F" w:rsidRPr="00E70587">
              <w:rPr>
                <w:rFonts w:ascii="Arial" w:hAnsi="Arial" w:cs="Arial"/>
                <w:b/>
                <w:sz w:val="20"/>
              </w:rPr>
              <w:t>20</w:t>
            </w:r>
            <w:r w:rsidR="00FB710F">
              <w:rPr>
                <w:rFonts w:ascii="Arial" w:hAnsi="Arial" w:cs="Arial"/>
                <w:b/>
                <w:sz w:val="20"/>
              </w:rPr>
              <w:t>21</w:t>
            </w:r>
          </w:p>
        </w:tc>
        <w:tc>
          <w:tcPr>
            <w:tcW w:w="1562" w:type="dxa"/>
            <w:tcBorders>
              <w:bottom w:val="single" w:sz="4" w:space="0" w:color="auto"/>
            </w:tcBorders>
          </w:tcPr>
          <w:p w14:paraId="7D143C1B" w14:textId="33028745" w:rsidR="00583189" w:rsidRPr="00E70587" w:rsidRDefault="00583189" w:rsidP="00CE1007">
            <w:pPr>
              <w:spacing w:line="280" w:lineRule="exact"/>
              <w:ind w:right="-105"/>
              <w:jc w:val="center"/>
              <w:rPr>
                <w:rFonts w:ascii="Arial" w:hAnsi="Arial" w:cs="Arial"/>
                <w:b/>
                <w:sz w:val="20"/>
              </w:rPr>
            </w:pPr>
            <w:r w:rsidRPr="00E70587">
              <w:rPr>
                <w:rFonts w:ascii="Arial" w:hAnsi="Arial" w:cs="Arial"/>
                <w:b/>
                <w:sz w:val="20"/>
              </w:rPr>
              <w:t xml:space="preserve">31 March </w:t>
            </w:r>
            <w:r w:rsidR="00FB710F" w:rsidRPr="00E70587">
              <w:rPr>
                <w:rFonts w:ascii="Arial" w:hAnsi="Arial" w:cs="Arial"/>
                <w:b/>
                <w:sz w:val="20"/>
              </w:rPr>
              <w:t>20</w:t>
            </w:r>
            <w:r w:rsidR="00FB710F">
              <w:rPr>
                <w:rFonts w:ascii="Arial" w:hAnsi="Arial" w:cs="Arial"/>
                <w:b/>
                <w:sz w:val="20"/>
              </w:rPr>
              <w:t>20</w:t>
            </w:r>
          </w:p>
        </w:tc>
        <w:tc>
          <w:tcPr>
            <w:tcW w:w="1698" w:type="dxa"/>
            <w:tcBorders>
              <w:bottom w:val="single" w:sz="4" w:space="0" w:color="auto"/>
            </w:tcBorders>
          </w:tcPr>
          <w:p w14:paraId="0C52CFFF" w14:textId="030C3876" w:rsidR="00583189" w:rsidRPr="00E70587" w:rsidRDefault="00583189" w:rsidP="009901E1">
            <w:pPr>
              <w:spacing w:line="280" w:lineRule="exact"/>
              <w:jc w:val="center"/>
              <w:rPr>
                <w:rFonts w:ascii="Arial" w:hAnsi="Arial" w:cs="Arial"/>
                <w:b/>
                <w:sz w:val="20"/>
              </w:rPr>
            </w:pPr>
            <w:r w:rsidRPr="00E70587">
              <w:rPr>
                <w:rFonts w:ascii="Arial" w:hAnsi="Arial" w:cs="Arial"/>
                <w:b/>
                <w:sz w:val="20"/>
              </w:rPr>
              <w:t xml:space="preserve">31 March </w:t>
            </w:r>
            <w:r w:rsidR="00FB710F" w:rsidRPr="00E70587">
              <w:rPr>
                <w:rFonts w:ascii="Arial" w:hAnsi="Arial" w:cs="Arial"/>
                <w:b/>
                <w:sz w:val="20"/>
              </w:rPr>
              <w:t>20</w:t>
            </w:r>
            <w:r w:rsidR="00FB710F">
              <w:rPr>
                <w:rFonts w:ascii="Arial" w:hAnsi="Arial" w:cs="Arial"/>
                <w:b/>
                <w:sz w:val="20"/>
              </w:rPr>
              <w:t>21</w:t>
            </w:r>
          </w:p>
        </w:tc>
        <w:tc>
          <w:tcPr>
            <w:tcW w:w="1842" w:type="dxa"/>
            <w:tcBorders>
              <w:bottom w:val="single" w:sz="4" w:space="0" w:color="auto"/>
            </w:tcBorders>
          </w:tcPr>
          <w:p w14:paraId="60022A99" w14:textId="06DECAE8" w:rsidR="00583189" w:rsidRPr="00E70587" w:rsidRDefault="00583189" w:rsidP="009901E1">
            <w:pPr>
              <w:spacing w:line="280" w:lineRule="exact"/>
              <w:jc w:val="center"/>
              <w:rPr>
                <w:rFonts w:ascii="Arial" w:hAnsi="Arial" w:cs="Arial"/>
                <w:b/>
                <w:sz w:val="20"/>
              </w:rPr>
            </w:pPr>
            <w:r w:rsidRPr="00E70587">
              <w:rPr>
                <w:rFonts w:ascii="Arial" w:hAnsi="Arial" w:cs="Arial"/>
                <w:b/>
                <w:sz w:val="20"/>
              </w:rPr>
              <w:t xml:space="preserve">31 March </w:t>
            </w:r>
            <w:r w:rsidR="00FB710F" w:rsidRPr="00E70587">
              <w:rPr>
                <w:rFonts w:ascii="Arial" w:hAnsi="Arial" w:cs="Arial"/>
                <w:b/>
                <w:sz w:val="20"/>
              </w:rPr>
              <w:t>20</w:t>
            </w:r>
            <w:r w:rsidR="00FB710F">
              <w:rPr>
                <w:rFonts w:ascii="Arial" w:hAnsi="Arial" w:cs="Arial"/>
                <w:b/>
                <w:sz w:val="20"/>
              </w:rPr>
              <w:t>20</w:t>
            </w:r>
          </w:p>
        </w:tc>
      </w:tr>
      <w:tr w:rsidR="00583189" w:rsidRPr="00E70587" w14:paraId="5BA3D9AF" w14:textId="77777777" w:rsidTr="00FB710F">
        <w:trPr>
          <w:tblHeader/>
        </w:trPr>
        <w:tc>
          <w:tcPr>
            <w:tcW w:w="3119" w:type="dxa"/>
          </w:tcPr>
          <w:p w14:paraId="1A2145F7" w14:textId="77777777" w:rsidR="00583189" w:rsidRPr="00E70587" w:rsidRDefault="00583189" w:rsidP="009901E1">
            <w:pPr>
              <w:spacing w:line="280" w:lineRule="exact"/>
              <w:rPr>
                <w:rFonts w:ascii="Arial" w:hAnsi="Arial" w:cs="Arial"/>
                <w:sz w:val="20"/>
              </w:rPr>
            </w:pPr>
          </w:p>
        </w:tc>
        <w:tc>
          <w:tcPr>
            <w:tcW w:w="1559" w:type="dxa"/>
            <w:tcBorders>
              <w:top w:val="single" w:sz="4" w:space="0" w:color="auto"/>
            </w:tcBorders>
          </w:tcPr>
          <w:p w14:paraId="0985D9AB" w14:textId="77777777" w:rsidR="00583189" w:rsidRPr="00E70587" w:rsidRDefault="00583189" w:rsidP="009901E1">
            <w:pPr>
              <w:spacing w:line="280" w:lineRule="exact"/>
              <w:jc w:val="center"/>
              <w:rPr>
                <w:rFonts w:ascii="Arial" w:hAnsi="Arial" w:cs="Arial"/>
                <w:b/>
                <w:sz w:val="20"/>
              </w:rPr>
            </w:pPr>
            <w:r w:rsidRPr="00E70587">
              <w:rPr>
                <w:rFonts w:ascii="Arial" w:hAnsi="Arial" w:cs="Arial"/>
                <w:b/>
                <w:sz w:val="20"/>
              </w:rPr>
              <w:t>INR Lacs</w:t>
            </w:r>
          </w:p>
        </w:tc>
        <w:tc>
          <w:tcPr>
            <w:tcW w:w="1562" w:type="dxa"/>
            <w:tcBorders>
              <w:top w:val="single" w:sz="4" w:space="0" w:color="auto"/>
            </w:tcBorders>
          </w:tcPr>
          <w:p w14:paraId="6EFC2CCA" w14:textId="77777777" w:rsidR="00583189" w:rsidRPr="00E70587" w:rsidRDefault="00583189" w:rsidP="009901E1">
            <w:pPr>
              <w:spacing w:line="280" w:lineRule="exact"/>
              <w:jc w:val="center"/>
              <w:rPr>
                <w:rFonts w:ascii="Arial" w:hAnsi="Arial" w:cs="Arial"/>
                <w:b/>
                <w:sz w:val="20"/>
              </w:rPr>
            </w:pPr>
            <w:r w:rsidRPr="00E70587">
              <w:rPr>
                <w:rFonts w:ascii="Arial" w:hAnsi="Arial" w:cs="Arial"/>
                <w:b/>
                <w:sz w:val="20"/>
              </w:rPr>
              <w:t>INR Lacs</w:t>
            </w:r>
          </w:p>
        </w:tc>
        <w:tc>
          <w:tcPr>
            <w:tcW w:w="1698" w:type="dxa"/>
            <w:tcBorders>
              <w:top w:val="single" w:sz="4" w:space="0" w:color="auto"/>
            </w:tcBorders>
          </w:tcPr>
          <w:p w14:paraId="5B4F4003" w14:textId="77777777" w:rsidR="00583189" w:rsidRPr="00E70587" w:rsidRDefault="00583189" w:rsidP="009901E1">
            <w:pPr>
              <w:spacing w:line="280" w:lineRule="exact"/>
              <w:jc w:val="center"/>
              <w:rPr>
                <w:rFonts w:ascii="Arial" w:hAnsi="Arial" w:cs="Arial"/>
                <w:b/>
                <w:sz w:val="20"/>
              </w:rPr>
            </w:pPr>
            <w:r w:rsidRPr="00E70587">
              <w:rPr>
                <w:rFonts w:ascii="Arial" w:hAnsi="Arial" w:cs="Arial"/>
                <w:b/>
                <w:sz w:val="20"/>
              </w:rPr>
              <w:t>INR Lacs</w:t>
            </w:r>
          </w:p>
        </w:tc>
        <w:tc>
          <w:tcPr>
            <w:tcW w:w="1842" w:type="dxa"/>
            <w:tcBorders>
              <w:top w:val="single" w:sz="4" w:space="0" w:color="auto"/>
            </w:tcBorders>
          </w:tcPr>
          <w:p w14:paraId="0A578C09" w14:textId="77777777" w:rsidR="00583189" w:rsidRPr="00E70587" w:rsidRDefault="00583189" w:rsidP="009901E1">
            <w:pPr>
              <w:spacing w:line="280" w:lineRule="exact"/>
              <w:jc w:val="center"/>
              <w:rPr>
                <w:rFonts w:ascii="Arial" w:hAnsi="Arial" w:cs="Arial"/>
                <w:b/>
                <w:sz w:val="20"/>
              </w:rPr>
            </w:pPr>
            <w:r w:rsidRPr="00E70587">
              <w:rPr>
                <w:rFonts w:ascii="Arial" w:hAnsi="Arial" w:cs="Arial"/>
                <w:b/>
                <w:sz w:val="20"/>
              </w:rPr>
              <w:t>INR Lacs</w:t>
            </w:r>
          </w:p>
        </w:tc>
      </w:tr>
      <w:tr w:rsidR="00583189" w:rsidRPr="00E70587" w14:paraId="47E013DA" w14:textId="77777777" w:rsidTr="00FB710F">
        <w:tc>
          <w:tcPr>
            <w:tcW w:w="3119" w:type="dxa"/>
          </w:tcPr>
          <w:p w14:paraId="37E2F30E" w14:textId="77777777" w:rsidR="00583189" w:rsidRPr="00E70587" w:rsidRDefault="00583189" w:rsidP="009901E1">
            <w:pPr>
              <w:spacing w:line="280" w:lineRule="exact"/>
              <w:rPr>
                <w:rFonts w:ascii="Arial" w:hAnsi="Arial" w:cs="Arial"/>
                <w:sz w:val="20"/>
              </w:rPr>
            </w:pPr>
            <w:r w:rsidRPr="00E70587">
              <w:rPr>
                <w:rFonts w:ascii="Arial" w:hAnsi="Arial" w:cs="Arial"/>
                <w:sz w:val="20"/>
              </w:rPr>
              <w:t>Accelerated depreciation for tax purposes</w:t>
            </w:r>
          </w:p>
        </w:tc>
        <w:tc>
          <w:tcPr>
            <w:tcW w:w="1559" w:type="dxa"/>
            <w:vAlign w:val="center"/>
          </w:tcPr>
          <w:p w14:paraId="189329D1" w14:textId="1CB954CD"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r w:rsidR="00C56600">
              <w:rPr>
                <w:rFonts w:ascii="Arial" w:hAnsi="Arial" w:cs="Arial"/>
                <w:sz w:val="20"/>
                <w:lang w:eastAsia="en-GB"/>
              </w:rPr>
              <w:t>5</w:t>
            </w:r>
            <w:r w:rsidRPr="00E70587">
              <w:rPr>
                <w:rFonts w:ascii="Arial" w:hAnsi="Arial" w:cs="Arial"/>
                <w:sz w:val="20"/>
                <w:lang w:eastAsia="en-GB"/>
              </w:rPr>
              <w:t>,</w:t>
            </w:r>
            <w:r w:rsidR="00C56600">
              <w:rPr>
                <w:rFonts w:ascii="Arial" w:hAnsi="Arial" w:cs="Arial"/>
                <w:sz w:val="20"/>
                <w:lang w:eastAsia="en-GB"/>
              </w:rPr>
              <w:t>109</w:t>
            </w:r>
            <w:r w:rsidRPr="00E70587">
              <w:rPr>
                <w:rFonts w:ascii="Arial" w:hAnsi="Arial" w:cs="Arial"/>
                <w:sz w:val="20"/>
                <w:lang w:eastAsia="en-GB"/>
              </w:rPr>
              <w:t>)</w:t>
            </w:r>
          </w:p>
        </w:tc>
        <w:tc>
          <w:tcPr>
            <w:tcW w:w="1562" w:type="dxa"/>
            <w:vAlign w:val="center"/>
          </w:tcPr>
          <w:p w14:paraId="60B80693" w14:textId="0CF6F875"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w:t>
            </w:r>
            <w:r w:rsidR="00C56600">
              <w:rPr>
                <w:rFonts w:ascii="Arial" w:hAnsi="Arial" w:cs="Arial"/>
                <w:sz w:val="20"/>
                <w:lang w:eastAsia="en-GB"/>
              </w:rPr>
              <w:t>59</w:t>
            </w:r>
            <w:r w:rsidR="00C56600" w:rsidRPr="00E70587">
              <w:rPr>
                <w:rFonts w:ascii="Arial" w:hAnsi="Arial" w:cs="Arial"/>
                <w:sz w:val="20"/>
                <w:lang w:eastAsia="en-GB"/>
              </w:rPr>
              <w:t>0</w:t>
            </w:r>
            <w:r w:rsidRPr="00E70587">
              <w:rPr>
                <w:rFonts w:ascii="Arial" w:hAnsi="Arial" w:cs="Arial"/>
                <w:sz w:val="20"/>
                <w:lang w:eastAsia="en-GB"/>
              </w:rPr>
              <w:t>)</w:t>
            </w:r>
          </w:p>
        </w:tc>
        <w:tc>
          <w:tcPr>
            <w:tcW w:w="1698" w:type="dxa"/>
            <w:vAlign w:val="center"/>
          </w:tcPr>
          <w:p w14:paraId="0EE11277" w14:textId="79A65044" w:rsidR="00583189" w:rsidRPr="00E70587" w:rsidRDefault="00C56600" w:rsidP="00315CA4">
            <w:pPr>
              <w:overflowPunct/>
              <w:spacing w:line="280" w:lineRule="exact"/>
              <w:jc w:val="right"/>
              <w:textAlignment w:val="auto"/>
              <w:rPr>
                <w:rFonts w:ascii="Arial" w:hAnsi="Arial" w:cs="Arial"/>
                <w:sz w:val="20"/>
                <w:lang w:eastAsia="en-GB"/>
              </w:rPr>
            </w:pPr>
            <w:r>
              <w:rPr>
                <w:rFonts w:ascii="Arial" w:hAnsi="Arial" w:cs="Arial"/>
                <w:sz w:val="20"/>
                <w:lang w:eastAsia="en-GB"/>
              </w:rPr>
              <w:t>904</w:t>
            </w:r>
          </w:p>
        </w:tc>
        <w:tc>
          <w:tcPr>
            <w:tcW w:w="1842" w:type="dxa"/>
            <w:vAlign w:val="center"/>
          </w:tcPr>
          <w:p w14:paraId="6B8E29A2" w14:textId="7C624C41"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r w:rsidR="00681E82" w:rsidRPr="00E70587">
              <w:rPr>
                <w:rFonts w:ascii="Arial" w:hAnsi="Arial" w:cs="Arial"/>
                <w:sz w:val="20"/>
                <w:lang w:eastAsia="en-GB"/>
              </w:rPr>
              <w:t>2</w:t>
            </w:r>
            <w:r w:rsidR="00EA61FE">
              <w:rPr>
                <w:rFonts w:ascii="Arial" w:hAnsi="Arial" w:cs="Arial"/>
                <w:sz w:val="20"/>
                <w:lang w:eastAsia="en-GB"/>
              </w:rPr>
              <w:t>4</w:t>
            </w:r>
            <w:r w:rsidR="00603FEE">
              <w:rPr>
                <w:rFonts w:ascii="Arial" w:hAnsi="Arial" w:cs="Arial"/>
                <w:sz w:val="20"/>
                <w:lang w:eastAsia="en-GB"/>
              </w:rPr>
              <w:t>7</w:t>
            </w:r>
            <w:r w:rsidRPr="00E70587">
              <w:rPr>
                <w:rFonts w:ascii="Arial" w:hAnsi="Arial" w:cs="Arial"/>
                <w:sz w:val="20"/>
                <w:lang w:eastAsia="en-GB"/>
              </w:rPr>
              <w:t>)</w:t>
            </w:r>
          </w:p>
        </w:tc>
      </w:tr>
      <w:tr w:rsidR="00583189" w:rsidRPr="00E70587" w14:paraId="1B32E435" w14:textId="77777777" w:rsidTr="00FB710F">
        <w:tc>
          <w:tcPr>
            <w:tcW w:w="3119" w:type="dxa"/>
          </w:tcPr>
          <w:p w14:paraId="7A667087" w14:textId="77777777" w:rsidR="00583189" w:rsidRPr="00E70587" w:rsidRDefault="00583189" w:rsidP="009901E1">
            <w:pPr>
              <w:pStyle w:val="tabletext"/>
              <w:spacing w:line="280" w:lineRule="exact"/>
              <w:rPr>
                <w:rFonts w:ascii="Arial" w:hAnsi="Arial" w:cs="Arial"/>
                <w:sz w:val="20"/>
                <w:lang w:val="en-IN"/>
              </w:rPr>
            </w:pPr>
            <w:r w:rsidRPr="00E70587">
              <w:rPr>
                <w:rFonts w:ascii="Arial" w:hAnsi="Arial" w:cs="Arial"/>
                <w:sz w:val="20"/>
                <w:lang w:val="en-IN"/>
              </w:rPr>
              <w:t>Revaluations of land and buildings to fair value</w:t>
            </w:r>
          </w:p>
        </w:tc>
        <w:tc>
          <w:tcPr>
            <w:tcW w:w="1559" w:type="dxa"/>
            <w:vAlign w:val="center"/>
          </w:tcPr>
          <w:p w14:paraId="46F7DF2F" w14:textId="77777777" w:rsidR="00583189" w:rsidRPr="00E70587" w:rsidRDefault="00583189" w:rsidP="00315CA4">
            <w:pPr>
              <w:spacing w:line="280" w:lineRule="exact"/>
              <w:jc w:val="right"/>
              <w:rPr>
                <w:rFonts w:ascii="Arial" w:hAnsi="Arial" w:cs="Arial"/>
                <w:sz w:val="20"/>
              </w:rPr>
            </w:pPr>
            <w:r w:rsidRPr="00E70587">
              <w:rPr>
                <w:rFonts w:ascii="Arial" w:hAnsi="Arial" w:cs="Arial"/>
                <w:sz w:val="20"/>
              </w:rPr>
              <w:t>(2,851)</w:t>
            </w:r>
          </w:p>
        </w:tc>
        <w:tc>
          <w:tcPr>
            <w:tcW w:w="1562" w:type="dxa"/>
            <w:vAlign w:val="center"/>
          </w:tcPr>
          <w:p w14:paraId="2E39D688" w14:textId="77777777" w:rsidR="00583189" w:rsidRPr="00E70587" w:rsidRDefault="00583189" w:rsidP="00315CA4">
            <w:pPr>
              <w:spacing w:line="280" w:lineRule="exact"/>
              <w:jc w:val="right"/>
              <w:rPr>
                <w:rFonts w:ascii="Arial" w:hAnsi="Arial" w:cs="Arial"/>
                <w:sz w:val="20"/>
              </w:rPr>
            </w:pPr>
            <w:r w:rsidRPr="00E70587">
              <w:rPr>
                <w:rFonts w:ascii="Arial" w:hAnsi="Arial" w:cs="Arial"/>
                <w:sz w:val="20"/>
              </w:rPr>
              <w:t>(2,560)</w:t>
            </w:r>
          </w:p>
        </w:tc>
        <w:tc>
          <w:tcPr>
            <w:tcW w:w="1698" w:type="dxa"/>
            <w:vAlign w:val="center"/>
          </w:tcPr>
          <w:p w14:paraId="7BE7EBAE" w14:textId="77777777" w:rsidR="00583189" w:rsidRPr="00E70587" w:rsidRDefault="00583189" w:rsidP="00315CA4">
            <w:pPr>
              <w:spacing w:line="280" w:lineRule="exact"/>
              <w:jc w:val="right"/>
              <w:rPr>
                <w:rFonts w:ascii="Arial" w:hAnsi="Arial" w:cs="Arial"/>
                <w:sz w:val="20"/>
              </w:rPr>
            </w:pPr>
            <w:r w:rsidRPr="00E70587">
              <w:rPr>
                <w:rFonts w:ascii="Arial" w:hAnsi="Arial" w:cs="Arial"/>
                <w:sz w:val="20"/>
              </w:rPr>
              <w:t>(166)</w:t>
            </w:r>
          </w:p>
        </w:tc>
        <w:tc>
          <w:tcPr>
            <w:tcW w:w="1842" w:type="dxa"/>
            <w:vAlign w:val="center"/>
          </w:tcPr>
          <w:p w14:paraId="0B496EF8" w14:textId="77777777" w:rsidR="00583189" w:rsidRPr="00E70587" w:rsidRDefault="00583189" w:rsidP="00315CA4">
            <w:pPr>
              <w:spacing w:line="280" w:lineRule="exact"/>
              <w:jc w:val="right"/>
              <w:rPr>
                <w:rFonts w:ascii="Arial" w:hAnsi="Arial" w:cs="Arial"/>
                <w:sz w:val="20"/>
              </w:rPr>
            </w:pPr>
            <w:r w:rsidRPr="00E70587">
              <w:rPr>
                <w:rFonts w:ascii="Arial" w:hAnsi="Arial" w:cs="Arial"/>
                <w:sz w:val="20"/>
              </w:rPr>
              <w:t>(162)</w:t>
            </w:r>
          </w:p>
        </w:tc>
      </w:tr>
      <w:tr w:rsidR="00583189" w:rsidRPr="00E70587" w14:paraId="1E88F3CC" w14:textId="77777777" w:rsidTr="00FB710F">
        <w:tc>
          <w:tcPr>
            <w:tcW w:w="3119" w:type="dxa"/>
          </w:tcPr>
          <w:p w14:paraId="0A697D01" w14:textId="77777777" w:rsidR="00583189" w:rsidRPr="00E70587" w:rsidRDefault="00583189" w:rsidP="009901E1">
            <w:pPr>
              <w:pStyle w:val="tabletext"/>
              <w:spacing w:line="280" w:lineRule="exact"/>
              <w:rPr>
                <w:rFonts w:ascii="Arial" w:hAnsi="Arial" w:cs="Arial"/>
                <w:sz w:val="20"/>
                <w:lang w:val="en-IN"/>
              </w:rPr>
            </w:pPr>
            <w:r w:rsidRPr="00E70587">
              <w:rPr>
                <w:rFonts w:ascii="Arial" w:hAnsi="Arial" w:cs="Arial"/>
                <w:sz w:val="20"/>
                <w:lang w:val="en-IN"/>
              </w:rPr>
              <w:t>Revaluations of FVTOCI investments to fair value</w:t>
            </w:r>
          </w:p>
        </w:tc>
        <w:tc>
          <w:tcPr>
            <w:tcW w:w="1559" w:type="dxa"/>
            <w:vAlign w:val="center"/>
          </w:tcPr>
          <w:p w14:paraId="0BED483D"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31</w:t>
            </w:r>
          </w:p>
        </w:tc>
        <w:tc>
          <w:tcPr>
            <w:tcW w:w="1562" w:type="dxa"/>
            <w:vAlign w:val="center"/>
          </w:tcPr>
          <w:p w14:paraId="28F8FA78"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w:t>
            </w:r>
          </w:p>
        </w:tc>
        <w:tc>
          <w:tcPr>
            <w:tcW w:w="1698" w:type="dxa"/>
            <w:vAlign w:val="center"/>
          </w:tcPr>
          <w:p w14:paraId="72AD8ACF"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42" w:type="dxa"/>
            <w:vAlign w:val="center"/>
          </w:tcPr>
          <w:p w14:paraId="06B31067"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583189" w:rsidRPr="00E70587" w14:paraId="5E7EE977" w14:textId="77777777" w:rsidTr="00FB710F">
        <w:tc>
          <w:tcPr>
            <w:tcW w:w="3119" w:type="dxa"/>
          </w:tcPr>
          <w:p w14:paraId="06FD8B51" w14:textId="77777777" w:rsidR="00583189" w:rsidRPr="00E70587" w:rsidRDefault="00583189" w:rsidP="009901E1">
            <w:pPr>
              <w:pStyle w:val="tabletext"/>
              <w:spacing w:line="280" w:lineRule="exact"/>
              <w:rPr>
                <w:rFonts w:ascii="Arial" w:hAnsi="Arial" w:cs="Arial"/>
                <w:sz w:val="20"/>
                <w:lang w:val="en-IN"/>
              </w:rPr>
            </w:pPr>
            <w:r w:rsidRPr="00E70587">
              <w:rPr>
                <w:rFonts w:ascii="Arial" w:hAnsi="Arial" w:cs="Arial"/>
                <w:sz w:val="20"/>
                <w:lang w:val="en-IN"/>
              </w:rPr>
              <w:t>Revaluation of a hedged loan to fair value</w:t>
            </w:r>
          </w:p>
        </w:tc>
        <w:tc>
          <w:tcPr>
            <w:tcW w:w="1559" w:type="dxa"/>
            <w:vAlign w:val="center"/>
          </w:tcPr>
          <w:p w14:paraId="47D64A5D"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(20)</w:t>
            </w:r>
          </w:p>
        </w:tc>
        <w:tc>
          <w:tcPr>
            <w:tcW w:w="1562" w:type="dxa"/>
            <w:vAlign w:val="center"/>
          </w:tcPr>
          <w:p w14:paraId="02EFA483"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698" w:type="dxa"/>
            <w:vAlign w:val="center"/>
          </w:tcPr>
          <w:p w14:paraId="3E86D715"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20</w:t>
            </w:r>
          </w:p>
        </w:tc>
        <w:tc>
          <w:tcPr>
            <w:tcW w:w="1842" w:type="dxa"/>
            <w:vAlign w:val="center"/>
          </w:tcPr>
          <w:p w14:paraId="55F621E3"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583189" w:rsidRPr="00E70587" w14:paraId="6E3DB00D" w14:textId="77777777" w:rsidTr="00FB710F">
        <w:tc>
          <w:tcPr>
            <w:tcW w:w="3119" w:type="dxa"/>
            <w:vAlign w:val="center"/>
          </w:tcPr>
          <w:p w14:paraId="45CF5891" w14:textId="77777777" w:rsidR="00583189" w:rsidRPr="00E70587" w:rsidRDefault="00583189" w:rsidP="009901E1">
            <w:pPr>
              <w:pStyle w:val="tabletext"/>
              <w:spacing w:line="280" w:lineRule="exact"/>
              <w:rPr>
                <w:rFonts w:ascii="Arial" w:hAnsi="Arial" w:cs="Arial"/>
                <w:sz w:val="20"/>
                <w:lang w:val="en-IN"/>
              </w:rPr>
            </w:pPr>
            <w:r w:rsidRPr="00E70587">
              <w:rPr>
                <w:rFonts w:ascii="Arial" w:hAnsi="Arial" w:cs="Arial"/>
                <w:sz w:val="20"/>
                <w:lang w:val="en-IN"/>
              </w:rPr>
              <w:t>Net gain on hedge of a net investment</w:t>
            </w:r>
          </w:p>
        </w:tc>
        <w:tc>
          <w:tcPr>
            <w:tcW w:w="1559" w:type="dxa"/>
            <w:vAlign w:val="center"/>
          </w:tcPr>
          <w:p w14:paraId="3E858074"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(149)</w:t>
            </w:r>
          </w:p>
        </w:tc>
        <w:tc>
          <w:tcPr>
            <w:tcW w:w="1562" w:type="dxa"/>
            <w:vAlign w:val="center"/>
          </w:tcPr>
          <w:p w14:paraId="229DAA73"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698" w:type="dxa"/>
            <w:vAlign w:val="center"/>
          </w:tcPr>
          <w:p w14:paraId="15A0BC1F"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42" w:type="dxa"/>
            <w:vAlign w:val="center"/>
          </w:tcPr>
          <w:p w14:paraId="525DA988"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583189" w:rsidRPr="00E70587" w14:paraId="6F81165B" w14:textId="77777777" w:rsidTr="00FB710F">
        <w:tc>
          <w:tcPr>
            <w:tcW w:w="3119" w:type="dxa"/>
          </w:tcPr>
          <w:p w14:paraId="4F97E745" w14:textId="77777777" w:rsidR="00583189" w:rsidRPr="00E70587" w:rsidRDefault="00583189" w:rsidP="009901E1">
            <w:pPr>
              <w:pStyle w:val="tabletext"/>
              <w:spacing w:line="280" w:lineRule="exact"/>
              <w:rPr>
                <w:rFonts w:ascii="Arial" w:hAnsi="Arial" w:cs="Arial"/>
                <w:sz w:val="20"/>
                <w:lang w:val="en-IN"/>
              </w:rPr>
            </w:pPr>
            <w:r w:rsidRPr="00E70587">
              <w:rPr>
                <w:rFonts w:ascii="Arial" w:hAnsi="Arial" w:cs="Arial"/>
                <w:sz w:val="20"/>
                <w:lang w:val="en-IN"/>
              </w:rPr>
              <w:t xml:space="preserve">Share based payments </w:t>
            </w:r>
          </w:p>
        </w:tc>
        <w:tc>
          <w:tcPr>
            <w:tcW w:w="1559" w:type="dxa"/>
            <w:vAlign w:val="center"/>
          </w:tcPr>
          <w:p w14:paraId="11902859"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92</w:t>
            </w:r>
          </w:p>
        </w:tc>
        <w:tc>
          <w:tcPr>
            <w:tcW w:w="1562" w:type="dxa"/>
            <w:vAlign w:val="center"/>
          </w:tcPr>
          <w:p w14:paraId="62688F7C"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180</w:t>
            </w:r>
          </w:p>
        </w:tc>
        <w:tc>
          <w:tcPr>
            <w:tcW w:w="1698" w:type="dxa"/>
            <w:vAlign w:val="center"/>
          </w:tcPr>
          <w:p w14:paraId="605567E1"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88</w:t>
            </w:r>
          </w:p>
        </w:tc>
        <w:tc>
          <w:tcPr>
            <w:tcW w:w="1842" w:type="dxa"/>
            <w:vAlign w:val="center"/>
          </w:tcPr>
          <w:p w14:paraId="477F08CA"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583189" w:rsidRPr="00E70587" w14:paraId="3047AC03" w14:textId="77777777" w:rsidTr="00FB710F">
        <w:tc>
          <w:tcPr>
            <w:tcW w:w="3119" w:type="dxa"/>
          </w:tcPr>
          <w:p w14:paraId="46438D41" w14:textId="77777777" w:rsidR="00583189" w:rsidRPr="00E70587" w:rsidRDefault="00583189" w:rsidP="009901E1">
            <w:pPr>
              <w:pStyle w:val="tabletext"/>
              <w:spacing w:line="280" w:lineRule="exact"/>
              <w:rPr>
                <w:rFonts w:ascii="Arial" w:hAnsi="Arial" w:cs="Arial"/>
                <w:sz w:val="20"/>
                <w:lang w:val="en-IN"/>
              </w:rPr>
            </w:pPr>
            <w:r w:rsidRPr="00E70587">
              <w:rPr>
                <w:rFonts w:ascii="Arial" w:hAnsi="Arial" w:cs="Arial"/>
                <w:sz w:val="20"/>
                <w:lang w:val="en-IN"/>
              </w:rPr>
              <w:t>Post-employment medical benefits</w:t>
            </w:r>
          </w:p>
        </w:tc>
        <w:tc>
          <w:tcPr>
            <w:tcW w:w="1559" w:type="dxa"/>
            <w:vAlign w:val="center"/>
          </w:tcPr>
          <w:p w14:paraId="288EDB8B"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184</w:t>
            </w:r>
          </w:p>
        </w:tc>
        <w:tc>
          <w:tcPr>
            <w:tcW w:w="1562" w:type="dxa"/>
            <w:vAlign w:val="center"/>
          </w:tcPr>
          <w:p w14:paraId="0B8930AD"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107</w:t>
            </w:r>
          </w:p>
        </w:tc>
        <w:tc>
          <w:tcPr>
            <w:tcW w:w="1698" w:type="dxa"/>
            <w:vAlign w:val="center"/>
          </w:tcPr>
          <w:p w14:paraId="291D13C6"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(77)</w:t>
            </w:r>
          </w:p>
        </w:tc>
        <w:tc>
          <w:tcPr>
            <w:tcW w:w="1842" w:type="dxa"/>
            <w:vAlign w:val="center"/>
          </w:tcPr>
          <w:p w14:paraId="5B8C4BE0"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(59)</w:t>
            </w:r>
          </w:p>
        </w:tc>
      </w:tr>
      <w:tr w:rsidR="00583189" w:rsidRPr="00E70587" w14:paraId="69A73B31" w14:textId="77777777" w:rsidTr="00FB710F">
        <w:tc>
          <w:tcPr>
            <w:tcW w:w="3119" w:type="dxa"/>
          </w:tcPr>
          <w:p w14:paraId="489ECE8C" w14:textId="77777777" w:rsidR="00583189" w:rsidRPr="00E70587" w:rsidRDefault="00583189" w:rsidP="009901E1">
            <w:pPr>
              <w:pStyle w:val="tabletext"/>
              <w:spacing w:line="280" w:lineRule="exact"/>
              <w:rPr>
                <w:rFonts w:ascii="Arial" w:hAnsi="Arial" w:cs="Arial"/>
                <w:sz w:val="20"/>
                <w:lang w:val="en-IN"/>
              </w:rPr>
            </w:pPr>
            <w:r w:rsidRPr="00E70587">
              <w:rPr>
                <w:rFonts w:ascii="Arial" w:hAnsi="Arial" w:cs="Arial"/>
                <w:sz w:val="20"/>
                <w:lang w:val="en-IN"/>
              </w:rPr>
              <w:t>Gratuity</w:t>
            </w:r>
          </w:p>
        </w:tc>
        <w:tc>
          <w:tcPr>
            <w:tcW w:w="1559" w:type="dxa"/>
            <w:vAlign w:val="center"/>
          </w:tcPr>
          <w:p w14:paraId="0F66BA70"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1,46</w:t>
            </w:r>
            <w:r w:rsidR="00913D50" w:rsidRPr="00E70587">
              <w:rPr>
                <w:rFonts w:ascii="Arial" w:hAnsi="Arial" w:cs="Arial"/>
                <w:sz w:val="20"/>
                <w:lang w:eastAsia="en-GB"/>
              </w:rPr>
              <w:t>1</w:t>
            </w:r>
          </w:p>
        </w:tc>
        <w:tc>
          <w:tcPr>
            <w:tcW w:w="1562" w:type="dxa"/>
            <w:vAlign w:val="center"/>
          </w:tcPr>
          <w:p w14:paraId="730B0B8A"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1,503</w:t>
            </w:r>
          </w:p>
        </w:tc>
        <w:tc>
          <w:tcPr>
            <w:tcW w:w="1698" w:type="dxa"/>
            <w:vAlign w:val="center"/>
          </w:tcPr>
          <w:p w14:paraId="09C69776"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(164)</w:t>
            </w:r>
          </w:p>
        </w:tc>
        <w:tc>
          <w:tcPr>
            <w:tcW w:w="1842" w:type="dxa"/>
            <w:vAlign w:val="center"/>
          </w:tcPr>
          <w:p w14:paraId="22AD33C1"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99</w:t>
            </w:r>
          </w:p>
        </w:tc>
      </w:tr>
      <w:tr w:rsidR="00583189" w:rsidRPr="00E70587" w14:paraId="643DE777" w14:textId="77777777" w:rsidTr="00FB710F">
        <w:tc>
          <w:tcPr>
            <w:tcW w:w="3119" w:type="dxa"/>
          </w:tcPr>
          <w:p w14:paraId="4F96BCF6" w14:textId="77777777" w:rsidR="00583189" w:rsidRPr="00E70587" w:rsidRDefault="00583189" w:rsidP="009901E1">
            <w:pPr>
              <w:pStyle w:val="tabletext"/>
              <w:spacing w:line="280" w:lineRule="exact"/>
              <w:rPr>
                <w:rFonts w:ascii="Arial" w:hAnsi="Arial" w:cs="Arial"/>
                <w:sz w:val="20"/>
                <w:lang w:val="en-IN"/>
              </w:rPr>
            </w:pPr>
            <w:r w:rsidRPr="00E70587">
              <w:rPr>
                <w:rFonts w:ascii="Arial" w:hAnsi="Arial" w:cs="Arial"/>
                <w:sz w:val="20"/>
                <w:lang w:val="en-IN"/>
              </w:rPr>
              <w:t>Revaluation of an interest rate swap (fair value hedge) to fair value</w:t>
            </w:r>
          </w:p>
        </w:tc>
        <w:tc>
          <w:tcPr>
            <w:tcW w:w="1559" w:type="dxa"/>
            <w:vAlign w:val="center"/>
          </w:tcPr>
          <w:p w14:paraId="64DC145D"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20</w:t>
            </w:r>
          </w:p>
        </w:tc>
        <w:tc>
          <w:tcPr>
            <w:tcW w:w="1562" w:type="dxa"/>
            <w:vAlign w:val="center"/>
          </w:tcPr>
          <w:p w14:paraId="6A061C4F"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698" w:type="dxa"/>
            <w:vAlign w:val="center"/>
          </w:tcPr>
          <w:p w14:paraId="0778EB74"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(20)</w:t>
            </w:r>
          </w:p>
        </w:tc>
        <w:tc>
          <w:tcPr>
            <w:tcW w:w="1842" w:type="dxa"/>
            <w:vAlign w:val="center"/>
          </w:tcPr>
          <w:p w14:paraId="44ED7212"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583189" w:rsidRPr="00E70587" w14:paraId="6D5288FB" w14:textId="77777777" w:rsidTr="00FB710F">
        <w:tc>
          <w:tcPr>
            <w:tcW w:w="3119" w:type="dxa"/>
          </w:tcPr>
          <w:p w14:paraId="35E5B2A6" w14:textId="77777777" w:rsidR="00583189" w:rsidRPr="00E70587" w:rsidRDefault="00583189" w:rsidP="009901E1">
            <w:pPr>
              <w:pStyle w:val="tabletext"/>
              <w:spacing w:line="280" w:lineRule="exact"/>
              <w:rPr>
                <w:rFonts w:ascii="Arial" w:hAnsi="Arial" w:cs="Arial"/>
                <w:sz w:val="20"/>
                <w:lang w:val="en-IN"/>
              </w:rPr>
            </w:pPr>
            <w:r w:rsidRPr="00E70587">
              <w:rPr>
                <w:rFonts w:ascii="Arial" w:hAnsi="Arial" w:cs="Arial"/>
                <w:sz w:val="20"/>
                <w:lang w:val="en-IN"/>
              </w:rPr>
              <w:t>Revaluation of cash flow hedges</w:t>
            </w:r>
          </w:p>
        </w:tc>
        <w:tc>
          <w:tcPr>
            <w:tcW w:w="1559" w:type="dxa"/>
            <w:vAlign w:val="center"/>
          </w:tcPr>
          <w:p w14:paraId="48034BCB"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450</w:t>
            </w:r>
          </w:p>
        </w:tc>
        <w:tc>
          <w:tcPr>
            <w:tcW w:w="1562" w:type="dxa"/>
            <w:vAlign w:val="center"/>
          </w:tcPr>
          <w:p w14:paraId="417F7B25"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56</w:t>
            </w:r>
          </w:p>
        </w:tc>
        <w:tc>
          <w:tcPr>
            <w:tcW w:w="1698" w:type="dxa"/>
            <w:vAlign w:val="center"/>
          </w:tcPr>
          <w:p w14:paraId="52A41075"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42" w:type="dxa"/>
            <w:vAlign w:val="center"/>
          </w:tcPr>
          <w:p w14:paraId="7B18466C"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583189" w:rsidRPr="00E70587" w14:paraId="5A4BDB32" w14:textId="77777777" w:rsidTr="00FB710F">
        <w:tc>
          <w:tcPr>
            <w:tcW w:w="3119" w:type="dxa"/>
          </w:tcPr>
          <w:p w14:paraId="125DE6D1" w14:textId="77777777" w:rsidR="00583189" w:rsidRPr="00E70587" w:rsidRDefault="00583189" w:rsidP="009901E1">
            <w:pPr>
              <w:pStyle w:val="tabletext"/>
              <w:spacing w:line="280" w:lineRule="exact"/>
              <w:rPr>
                <w:rFonts w:ascii="Arial" w:hAnsi="Arial" w:cs="Arial"/>
                <w:sz w:val="20"/>
                <w:lang w:val="en-IN"/>
              </w:rPr>
            </w:pPr>
            <w:r w:rsidRPr="00E70587">
              <w:rPr>
                <w:rFonts w:ascii="Arial" w:hAnsi="Arial" w:cs="Arial"/>
                <w:sz w:val="20"/>
                <w:lang w:val="en-IN"/>
              </w:rPr>
              <w:t>Deferred revenue on customer loyalty programmes</w:t>
            </w:r>
          </w:p>
        </w:tc>
        <w:tc>
          <w:tcPr>
            <w:tcW w:w="1559" w:type="dxa"/>
            <w:vAlign w:val="center"/>
          </w:tcPr>
          <w:p w14:paraId="376CAD7A"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130</w:t>
            </w:r>
          </w:p>
        </w:tc>
        <w:tc>
          <w:tcPr>
            <w:tcW w:w="1562" w:type="dxa"/>
            <w:vAlign w:val="center"/>
          </w:tcPr>
          <w:p w14:paraId="5F47FB15"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117</w:t>
            </w:r>
          </w:p>
        </w:tc>
        <w:tc>
          <w:tcPr>
            <w:tcW w:w="1698" w:type="dxa"/>
            <w:vAlign w:val="center"/>
          </w:tcPr>
          <w:p w14:paraId="677845B2"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(11)</w:t>
            </w:r>
          </w:p>
        </w:tc>
        <w:tc>
          <w:tcPr>
            <w:tcW w:w="1842" w:type="dxa"/>
            <w:vAlign w:val="center"/>
          </w:tcPr>
          <w:p w14:paraId="0C169B2E"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(20)</w:t>
            </w:r>
          </w:p>
        </w:tc>
      </w:tr>
      <w:tr w:rsidR="00A25B04" w:rsidRPr="00E70587" w14:paraId="7E64B4C2" w14:textId="77777777" w:rsidTr="00FB710F">
        <w:tc>
          <w:tcPr>
            <w:tcW w:w="3119" w:type="dxa"/>
          </w:tcPr>
          <w:p w14:paraId="287E3A77" w14:textId="2546D4FC" w:rsidR="00A25B04" w:rsidRPr="00E70587" w:rsidRDefault="00A25B04" w:rsidP="009901E1">
            <w:pPr>
              <w:pStyle w:val="tabletext"/>
              <w:spacing w:line="280" w:lineRule="exact"/>
              <w:rPr>
                <w:rFonts w:ascii="Arial" w:hAnsi="Arial" w:cs="Arial"/>
                <w:sz w:val="20"/>
                <w:lang w:val="en-IN"/>
              </w:rPr>
            </w:pPr>
            <w:r>
              <w:rPr>
                <w:rFonts w:ascii="Arial" w:hAnsi="Arial" w:cs="Arial"/>
                <w:sz w:val="20"/>
                <w:lang w:val="en-IN"/>
              </w:rPr>
              <w:t>Leases</w:t>
            </w:r>
          </w:p>
        </w:tc>
        <w:tc>
          <w:tcPr>
            <w:tcW w:w="1559" w:type="dxa"/>
            <w:vAlign w:val="center"/>
          </w:tcPr>
          <w:p w14:paraId="0D959ED5" w14:textId="77EA0487" w:rsidR="00A25B04" w:rsidRPr="00E70587" w:rsidRDefault="00C85EDD" w:rsidP="00315CA4">
            <w:pPr>
              <w:overflowPunct/>
              <w:spacing w:line="280" w:lineRule="exact"/>
              <w:jc w:val="right"/>
              <w:textAlignment w:val="auto"/>
              <w:rPr>
                <w:rFonts w:ascii="Arial" w:hAnsi="Arial" w:cs="Arial"/>
                <w:sz w:val="20"/>
                <w:lang w:eastAsia="en-GB"/>
              </w:rPr>
            </w:pPr>
            <w:r>
              <w:rPr>
                <w:rFonts w:ascii="Arial" w:hAnsi="Arial" w:cs="Arial"/>
                <w:sz w:val="20"/>
                <w:lang w:eastAsia="en-GB"/>
              </w:rPr>
              <w:t>137</w:t>
            </w:r>
          </w:p>
        </w:tc>
        <w:tc>
          <w:tcPr>
            <w:tcW w:w="1562" w:type="dxa"/>
            <w:vAlign w:val="center"/>
          </w:tcPr>
          <w:p w14:paraId="3FFAFC50" w14:textId="6853ED08" w:rsidR="00A25B04" w:rsidRPr="00E70587" w:rsidRDefault="00C85EDD" w:rsidP="00315CA4">
            <w:pPr>
              <w:overflowPunct/>
              <w:spacing w:line="280" w:lineRule="exact"/>
              <w:jc w:val="right"/>
              <w:textAlignment w:val="auto"/>
              <w:rPr>
                <w:rFonts w:ascii="Arial" w:hAnsi="Arial" w:cs="Arial"/>
                <w:sz w:val="20"/>
                <w:lang w:eastAsia="en-GB"/>
              </w:rPr>
            </w:pPr>
            <w:r>
              <w:rPr>
                <w:rFonts w:ascii="Arial" w:hAnsi="Arial" w:cs="Arial"/>
                <w:sz w:val="20"/>
                <w:lang w:eastAsia="en-GB"/>
              </w:rPr>
              <w:t>130</w:t>
            </w:r>
          </w:p>
        </w:tc>
        <w:tc>
          <w:tcPr>
            <w:tcW w:w="1698" w:type="dxa"/>
            <w:vAlign w:val="center"/>
          </w:tcPr>
          <w:p w14:paraId="1AAE65FA" w14:textId="373FC554" w:rsidR="00A25B04" w:rsidRPr="00E70587" w:rsidRDefault="00C85EDD" w:rsidP="00315CA4">
            <w:pPr>
              <w:overflowPunct/>
              <w:spacing w:line="280" w:lineRule="exact"/>
              <w:jc w:val="right"/>
              <w:textAlignment w:val="auto"/>
              <w:rPr>
                <w:rFonts w:ascii="Arial" w:hAnsi="Arial" w:cs="Arial"/>
                <w:sz w:val="20"/>
                <w:lang w:eastAsia="en-GB"/>
              </w:rPr>
            </w:pPr>
            <w:r>
              <w:rPr>
                <w:rFonts w:ascii="Arial" w:hAnsi="Arial" w:cs="Arial"/>
                <w:sz w:val="20"/>
                <w:lang w:eastAsia="en-GB"/>
              </w:rPr>
              <w:t>(7)</w:t>
            </w:r>
          </w:p>
        </w:tc>
        <w:tc>
          <w:tcPr>
            <w:tcW w:w="1842" w:type="dxa"/>
            <w:vAlign w:val="center"/>
          </w:tcPr>
          <w:p w14:paraId="2F8AE44A" w14:textId="6770B924" w:rsidR="00A25B04" w:rsidRPr="00E70587" w:rsidRDefault="00C85EDD" w:rsidP="00315CA4">
            <w:pPr>
              <w:overflowPunct/>
              <w:spacing w:line="280" w:lineRule="exact"/>
              <w:jc w:val="right"/>
              <w:textAlignment w:val="auto"/>
              <w:rPr>
                <w:rFonts w:ascii="Arial" w:hAnsi="Arial" w:cs="Arial"/>
                <w:sz w:val="20"/>
                <w:lang w:eastAsia="en-GB"/>
              </w:rPr>
            </w:pPr>
            <w:r>
              <w:rPr>
                <w:rFonts w:ascii="Arial" w:hAnsi="Arial" w:cs="Arial"/>
                <w:sz w:val="20"/>
                <w:lang w:eastAsia="en-GB"/>
              </w:rPr>
              <w:t>(36)</w:t>
            </w:r>
          </w:p>
        </w:tc>
      </w:tr>
      <w:tr w:rsidR="00583189" w:rsidRPr="00E70587" w14:paraId="180B8339" w14:textId="77777777" w:rsidTr="00FB710F">
        <w:tc>
          <w:tcPr>
            <w:tcW w:w="3119" w:type="dxa"/>
          </w:tcPr>
          <w:p w14:paraId="2B2502CE" w14:textId="77777777" w:rsidR="00583189" w:rsidRPr="00E70587" w:rsidRDefault="00583189" w:rsidP="009901E1">
            <w:pPr>
              <w:pStyle w:val="tabletext"/>
              <w:spacing w:line="280" w:lineRule="exact"/>
              <w:rPr>
                <w:rFonts w:ascii="Arial" w:hAnsi="Arial" w:cs="Arial"/>
                <w:sz w:val="20"/>
                <w:lang w:val="en-IN"/>
              </w:rPr>
            </w:pPr>
            <w:r w:rsidRPr="00E70587">
              <w:rPr>
                <w:rFonts w:ascii="Arial" w:hAnsi="Arial" w:cs="Arial"/>
                <w:sz w:val="20"/>
                <w:lang w:val="en-IN"/>
              </w:rPr>
              <w:t>Convertible preference shares</w:t>
            </w:r>
          </w:p>
        </w:tc>
        <w:tc>
          <w:tcPr>
            <w:tcW w:w="1559" w:type="dxa"/>
            <w:vAlign w:val="center"/>
          </w:tcPr>
          <w:p w14:paraId="45E9530E"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164</w:t>
            </w:r>
          </w:p>
        </w:tc>
        <w:tc>
          <w:tcPr>
            <w:tcW w:w="1562" w:type="dxa"/>
            <w:vAlign w:val="center"/>
          </w:tcPr>
          <w:p w14:paraId="23241F19"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99</w:t>
            </w:r>
          </w:p>
        </w:tc>
        <w:tc>
          <w:tcPr>
            <w:tcW w:w="1698" w:type="dxa"/>
            <w:vAlign w:val="center"/>
          </w:tcPr>
          <w:p w14:paraId="3BC9C1D9"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(65)</w:t>
            </w:r>
          </w:p>
        </w:tc>
        <w:tc>
          <w:tcPr>
            <w:tcW w:w="1842" w:type="dxa"/>
            <w:vAlign w:val="center"/>
          </w:tcPr>
          <w:p w14:paraId="461E6B69"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(56)</w:t>
            </w:r>
          </w:p>
        </w:tc>
      </w:tr>
      <w:tr w:rsidR="00583189" w:rsidRPr="00E70587" w14:paraId="4453B213" w14:textId="77777777" w:rsidTr="00FB710F">
        <w:tc>
          <w:tcPr>
            <w:tcW w:w="3119" w:type="dxa"/>
          </w:tcPr>
          <w:p w14:paraId="0CB5E0A6" w14:textId="77777777" w:rsidR="00583189" w:rsidRPr="00E70587" w:rsidRDefault="00583189" w:rsidP="00BF7116">
            <w:pPr>
              <w:pStyle w:val="tabletext"/>
              <w:spacing w:line="280" w:lineRule="exact"/>
              <w:rPr>
                <w:rFonts w:ascii="Arial" w:hAnsi="Arial" w:cs="Arial"/>
                <w:sz w:val="20"/>
                <w:lang w:val="en-IN"/>
              </w:rPr>
            </w:pPr>
            <w:r w:rsidRPr="00E70587">
              <w:rPr>
                <w:rFonts w:ascii="Arial" w:hAnsi="Arial" w:cs="Arial"/>
                <w:sz w:val="20"/>
                <w:lang w:val="en-IN"/>
              </w:rPr>
              <w:t>Losses available for offsetting against future taxable income</w:t>
            </w:r>
          </w:p>
        </w:tc>
        <w:tc>
          <w:tcPr>
            <w:tcW w:w="1559" w:type="dxa"/>
            <w:vAlign w:val="center"/>
          </w:tcPr>
          <w:p w14:paraId="387809F6"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689</w:t>
            </w:r>
          </w:p>
        </w:tc>
        <w:tc>
          <w:tcPr>
            <w:tcW w:w="1562" w:type="dxa"/>
            <w:vAlign w:val="center"/>
          </w:tcPr>
          <w:p w14:paraId="7022EB0C"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657</w:t>
            </w:r>
          </w:p>
        </w:tc>
        <w:tc>
          <w:tcPr>
            <w:tcW w:w="1698" w:type="dxa"/>
            <w:vAlign w:val="center"/>
          </w:tcPr>
          <w:p w14:paraId="06A00C8C"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(32)</w:t>
            </w:r>
          </w:p>
        </w:tc>
        <w:tc>
          <w:tcPr>
            <w:tcW w:w="1842" w:type="dxa"/>
            <w:vAlign w:val="center"/>
          </w:tcPr>
          <w:p w14:paraId="450DFA9A"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(79)</w:t>
            </w:r>
          </w:p>
        </w:tc>
      </w:tr>
      <w:tr w:rsidR="00583189" w:rsidRPr="00E70587" w14:paraId="25B22080" w14:textId="77777777" w:rsidTr="00FB710F">
        <w:tc>
          <w:tcPr>
            <w:tcW w:w="3119" w:type="dxa"/>
          </w:tcPr>
          <w:p w14:paraId="59E34B5B" w14:textId="77777777" w:rsidR="00583189" w:rsidRPr="00E70587" w:rsidRDefault="00583189" w:rsidP="001043D3">
            <w:pPr>
              <w:pStyle w:val="tabletext"/>
              <w:spacing w:line="280" w:lineRule="exact"/>
              <w:rPr>
                <w:rFonts w:ascii="Arial" w:hAnsi="Arial" w:cs="Arial"/>
                <w:sz w:val="20"/>
                <w:lang w:val="en-IN"/>
              </w:rPr>
            </w:pPr>
            <w:r w:rsidRPr="001F30A5">
              <w:rPr>
                <w:rFonts w:ascii="Arial" w:hAnsi="Arial"/>
                <w:color w:val="000000"/>
                <w:sz w:val="20"/>
                <w:lang w:val="en-IN"/>
              </w:rPr>
              <w:t>Impairment on FVTOCI debt instruments</w:t>
            </w:r>
          </w:p>
        </w:tc>
        <w:tc>
          <w:tcPr>
            <w:tcW w:w="1559" w:type="dxa"/>
            <w:tcBorders>
              <w:bottom w:val="single" w:sz="4" w:space="0" w:color="auto"/>
            </w:tcBorders>
            <w:vAlign w:val="center"/>
          </w:tcPr>
          <w:p w14:paraId="7FCED4B2"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49</w:t>
            </w:r>
          </w:p>
        </w:tc>
        <w:tc>
          <w:tcPr>
            <w:tcW w:w="1562" w:type="dxa"/>
            <w:tcBorders>
              <w:bottom w:val="single" w:sz="4" w:space="0" w:color="auto"/>
            </w:tcBorders>
            <w:vAlign w:val="center"/>
          </w:tcPr>
          <w:p w14:paraId="3CC2AD6C"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698" w:type="dxa"/>
            <w:tcBorders>
              <w:bottom w:val="single" w:sz="4" w:space="0" w:color="auto"/>
            </w:tcBorders>
            <w:vAlign w:val="center"/>
          </w:tcPr>
          <w:p w14:paraId="1383CC59"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(49)</w:t>
            </w:r>
          </w:p>
        </w:tc>
        <w:tc>
          <w:tcPr>
            <w:tcW w:w="1842" w:type="dxa"/>
            <w:tcBorders>
              <w:bottom w:val="single" w:sz="4" w:space="0" w:color="auto"/>
            </w:tcBorders>
            <w:vAlign w:val="center"/>
          </w:tcPr>
          <w:p w14:paraId="42432A14" w14:textId="77777777" w:rsidR="00583189" w:rsidRPr="00E70587" w:rsidRDefault="00583189" w:rsidP="00315CA4">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583189" w:rsidRPr="00E70587" w14:paraId="471AA901" w14:textId="77777777" w:rsidTr="00FB710F">
        <w:tc>
          <w:tcPr>
            <w:tcW w:w="3119" w:type="dxa"/>
            <w:vAlign w:val="center"/>
          </w:tcPr>
          <w:p w14:paraId="3D95A32B" w14:textId="77777777" w:rsidR="00583189" w:rsidRPr="00E70587" w:rsidRDefault="00583189" w:rsidP="001043D3">
            <w:pPr>
              <w:pStyle w:val="tabletext"/>
              <w:spacing w:line="280" w:lineRule="exact"/>
              <w:rPr>
                <w:rFonts w:ascii="Arial" w:hAnsi="Arial" w:cs="Arial"/>
                <w:b/>
                <w:sz w:val="20"/>
                <w:lang w:val="en-IN"/>
              </w:rPr>
            </w:pPr>
            <w:r w:rsidRPr="00E70587">
              <w:rPr>
                <w:rFonts w:ascii="Arial" w:hAnsi="Arial" w:cs="Arial"/>
                <w:b/>
                <w:sz w:val="20"/>
                <w:lang w:val="en-IN"/>
              </w:rPr>
              <w:t>Deferred tax expense/(income)</w:t>
            </w:r>
          </w:p>
        </w:tc>
        <w:tc>
          <w:tcPr>
            <w:tcW w:w="1559" w:type="dxa"/>
            <w:tcBorders>
              <w:top w:val="single" w:sz="4" w:space="0" w:color="auto"/>
            </w:tcBorders>
            <w:vAlign w:val="center"/>
          </w:tcPr>
          <w:p w14:paraId="30A18C34" w14:textId="77777777" w:rsidR="00583189" w:rsidRPr="00E70587" w:rsidRDefault="00583189" w:rsidP="00315CA4">
            <w:pPr>
              <w:pStyle w:val="tabletext"/>
              <w:spacing w:line="280" w:lineRule="exact"/>
              <w:ind w:left="113"/>
              <w:jc w:val="right"/>
              <w:rPr>
                <w:rFonts w:ascii="Arial" w:hAnsi="Arial" w:cs="Arial"/>
                <w:sz w:val="20"/>
                <w:lang w:val="en-IN"/>
              </w:rPr>
            </w:pPr>
          </w:p>
        </w:tc>
        <w:tc>
          <w:tcPr>
            <w:tcW w:w="1562" w:type="dxa"/>
            <w:tcBorders>
              <w:top w:val="single" w:sz="4" w:space="0" w:color="auto"/>
            </w:tcBorders>
            <w:vAlign w:val="center"/>
          </w:tcPr>
          <w:p w14:paraId="408C69BA" w14:textId="77777777" w:rsidR="00583189" w:rsidRPr="00E70587" w:rsidRDefault="00583189" w:rsidP="00315CA4">
            <w:pPr>
              <w:pStyle w:val="tabletext"/>
              <w:spacing w:line="280" w:lineRule="exact"/>
              <w:ind w:left="113"/>
              <w:jc w:val="right"/>
              <w:rPr>
                <w:rFonts w:ascii="Arial" w:hAnsi="Arial" w:cs="Arial"/>
                <w:sz w:val="20"/>
                <w:lang w:val="en-IN"/>
              </w:rPr>
            </w:pPr>
          </w:p>
        </w:tc>
        <w:tc>
          <w:tcPr>
            <w:tcW w:w="1698" w:type="dxa"/>
            <w:tcBorders>
              <w:top w:val="single" w:sz="4" w:space="0" w:color="auto"/>
            </w:tcBorders>
            <w:vAlign w:val="center"/>
          </w:tcPr>
          <w:p w14:paraId="65C0DF4E" w14:textId="62145279" w:rsidR="00583189" w:rsidRPr="00E70587" w:rsidRDefault="00F77FF7" w:rsidP="00315CA4">
            <w:pPr>
              <w:pStyle w:val="tabletext"/>
              <w:spacing w:line="280" w:lineRule="exact"/>
              <w:ind w:left="113"/>
              <w:jc w:val="right"/>
              <w:rPr>
                <w:rFonts w:ascii="Arial" w:hAnsi="Arial" w:cs="Arial"/>
                <w:b/>
                <w:sz w:val="20"/>
                <w:lang w:val="en-IN"/>
              </w:rPr>
            </w:pPr>
            <w:r>
              <w:rPr>
                <w:rFonts w:ascii="Arial" w:hAnsi="Arial" w:cs="Arial"/>
                <w:b/>
                <w:sz w:val="20"/>
                <w:lang w:val="en-IN"/>
              </w:rPr>
              <w:t>4</w:t>
            </w:r>
            <w:r w:rsidRPr="00E70587">
              <w:rPr>
                <w:rFonts w:ascii="Arial" w:hAnsi="Arial" w:cs="Arial"/>
                <w:b/>
                <w:sz w:val="20"/>
                <w:lang w:val="en-IN"/>
              </w:rPr>
              <w:t>2</w:t>
            </w:r>
            <w:r>
              <w:rPr>
                <w:rFonts w:ascii="Arial" w:hAnsi="Arial" w:cs="Arial"/>
                <w:b/>
                <w:sz w:val="20"/>
                <w:lang w:val="en-IN"/>
              </w:rPr>
              <w:t>1</w:t>
            </w:r>
          </w:p>
        </w:tc>
        <w:tc>
          <w:tcPr>
            <w:tcW w:w="1842" w:type="dxa"/>
            <w:tcBorders>
              <w:top w:val="single" w:sz="4" w:space="0" w:color="auto"/>
            </w:tcBorders>
            <w:vAlign w:val="center"/>
          </w:tcPr>
          <w:p w14:paraId="3343B244" w14:textId="40ACC559" w:rsidR="00583189" w:rsidRPr="00E70587" w:rsidRDefault="00583189" w:rsidP="00315CA4">
            <w:pPr>
              <w:pStyle w:val="tabletext"/>
              <w:spacing w:line="280" w:lineRule="exact"/>
              <w:ind w:left="113"/>
              <w:jc w:val="right"/>
              <w:rPr>
                <w:rFonts w:ascii="Arial" w:hAnsi="Arial" w:cs="Arial"/>
                <w:b/>
                <w:sz w:val="20"/>
                <w:lang w:val="en-IN"/>
              </w:rPr>
            </w:pPr>
            <w:r w:rsidRPr="00E70587">
              <w:rPr>
                <w:rFonts w:ascii="Arial" w:hAnsi="Arial" w:cs="Arial"/>
                <w:b/>
                <w:sz w:val="20"/>
                <w:lang w:val="en-IN"/>
              </w:rPr>
              <w:t>(</w:t>
            </w:r>
            <w:r w:rsidR="00681E82" w:rsidRPr="00E70587">
              <w:rPr>
                <w:rFonts w:ascii="Arial" w:hAnsi="Arial" w:cs="Arial"/>
                <w:b/>
                <w:sz w:val="20"/>
                <w:lang w:val="en-IN"/>
              </w:rPr>
              <w:t>56</w:t>
            </w:r>
            <w:r w:rsidR="00603FEE">
              <w:rPr>
                <w:rFonts w:ascii="Arial" w:hAnsi="Arial" w:cs="Arial"/>
                <w:b/>
                <w:sz w:val="20"/>
                <w:lang w:val="en-IN"/>
              </w:rPr>
              <w:t>0</w:t>
            </w:r>
            <w:r w:rsidRPr="00E70587">
              <w:rPr>
                <w:rFonts w:ascii="Arial" w:hAnsi="Arial" w:cs="Arial"/>
                <w:b/>
                <w:sz w:val="20"/>
                <w:lang w:val="en-IN"/>
              </w:rPr>
              <w:t>)</w:t>
            </w:r>
          </w:p>
        </w:tc>
      </w:tr>
      <w:tr w:rsidR="00583189" w:rsidRPr="00E70587" w14:paraId="326AB5B0" w14:textId="77777777" w:rsidTr="00FB710F">
        <w:tc>
          <w:tcPr>
            <w:tcW w:w="3119" w:type="dxa"/>
            <w:vAlign w:val="center"/>
          </w:tcPr>
          <w:p w14:paraId="64D25E15" w14:textId="77777777" w:rsidR="00583189" w:rsidRPr="00E70587" w:rsidRDefault="00583189" w:rsidP="001043D3">
            <w:pPr>
              <w:pStyle w:val="tabletext"/>
              <w:spacing w:line="280" w:lineRule="exact"/>
              <w:rPr>
                <w:rFonts w:ascii="Arial" w:hAnsi="Arial" w:cs="Arial"/>
                <w:b/>
                <w:sz w:val="20"/>
                <w:lang w:val="en-IN"/>
              </w:rPr>
            </w:pPr>
            <w:r w:rsidRPr="00E70587">
              <w:rPr>
                <w:rFonts w:ascii="Arial" w:hAnsi="Arial" w:cs="Arial"/>
                <w:b/>
                <w:sz w:val="20"/>
                <w:lang w:val="en-IN"/>
              </w:rPr>
              <w:t>Net deferred tax assets/(liabilities)</w:t>
            </w:r>
          </w:p>
        </w:tc>
        <w:tc>
          <w:tcPr>
            <w:tcW w:w="1559" w:type="dxa"/>
            <w:vAlign w:val="center"/>
          </w:tcPr>
          <w:p w14:paraId="757039D8" w14:textId="77777777" w:rsidR="00583189" w:rsidRPr="00E70587" w:rsidRDefault="00583189" w:rsidP="00315CA4">
            <w:pPr>
              <w:pStyle w:val="tabletext"/>
              <w:spacing w:line="280" w:lineRule="exact"/>
              <w:ind w:left="57"/>
              <w:jc w:val="right"/>
              <w:rPr>
                <w:rFonts w:ascii="Arial" w:hAnsi="Arial" w:cs="Arial"/>
                <w:b/>
                <w:sz w:val="20"/>
                <w:lang w:val="en-IN"/>
              </w:rPr>
            </w:pPr>
            <w:r w:rsidRPr="00E70587">
              <w:rPr>
                <w:rFonts w:ascii="Arial" w:hAnsi="Arial" w:cs="Arial"/>
                <w:b/>
                <w:sz w:val="20"/>
                <w:lang w:val="en-IN"/>
              </w:rPr>
              <w:t>(4,</w:t>
            </w:r>
            <w:r w:rsidR="00647360" w:rsidRPr="00E70587">
              <w:rPr>
                <w:rFonts w:ascii="Arial" w:hAnsi="Arial" w:cs="Arial"/>
                <w:b/>
                <w:sz w:val="20"/>
                <w:lang w:val="en-IN"/>
              </w:rPr>
              <w:t>72</w:t>
            </w:r>
            <w:r w:rsidR="00913D50" w:rsidRPr="00E70587">
              <w:rPr>
                <w:rFonts w:ascii="Arial" w:hAnsi="Arial" w:cs="Arial"/>
                <w:b/>
                <w:sz w:val="20"/>
                <w:lang w:val="en-IN"/>
              </w:rPr>
              <w:t>2</w:t>
            </w:r>
            <w:r w:rsidRPr="00E70587">
              <w:rPr>
                <w:rFonts w:ascii="Arial" w:hAnsi="Arial" w:cs="Arial"/>
                <w:b/>
                <w:sz w:val="20"/>
                <w:lang w:val="en-IN"/>
              </w:rPr>
              <w:t>)</w:t>
            </w:r>
          </w:p>
        </w:tc>
        <w:tc>
          <w:tcPr>
            <w:tcW w:w="1562" w:type="dxa"/>
            <w:vAlign w:val="center"/>
          </w:tcPr>
          <w:p w14:paraId="6D681B16" w14:textId="77777777" w:rsidR="00583189" w:rsidRPr="00E70587" w:rsidRDefault="00583189" w:rsidP="00315CA4">
            <w:pPr>
              <w:pStyle w:val="tabletext"/>
              <w:spacing w:line="280" w:lineRule="exact"/>
              <w:ind w:left="113"/>
              <w:jc w:val="right"/>
              <w:rPr>
                <w:rFonts w:ascii="Arial" w:hAnsi="Arial" w:cs="Arial"/>
                <w:b/>
                <w:sz w:val="20"/>
                <w:lang w:val="en-IN"/>
              </w:rPr>
            </w:pPr>
            <w:r w:rsidRPr="00E70587">
              <w:rPr>
                <w:rFonts w:ascii="Arial" w:hAnsi="Arial" w:cs="Arial"/>
                <w:b/>
                <w:sz w:val="20"/>
                <w:lang w:val="en-IN"/>
              </w:rPr>
              <w:t>(1,303)</w:t>
            </w:r>
          </w:p>
        </w:tc>
        <w:tc>
          <w:tcPr>
            <w:tcW w:w="1698" w:type="dxa"/>
            <w:vAlign w:val="center"/>
          </w:tcPr>
          <w:p w14:paraId="4DE41281" w14:textId="77777777" w:rsidR="00583189" w:rsidRPr="00E70587" w:rsidRDefault="00583189" w:rsidP="00315CA4">
            <w:pPr>
              <w:pStyle w:val="tabletext"/>
              <w:spacing w:line="280" w:lineRule="exact"/>
              <w:jc w:val="right"/>
              <w:rPr>
                <w:rFonts w:ascii="Arial" w:hAnsi="Arial" w:cs="Arial"/>
                <w:sz w:val="20"/>
                <w:lang w:val="en-IN"/>
              </w:rPr>
            </w:pPr>
          </w:p>
        </w:tc>
        <w:tc>
          <w:tcPr>
            <w:tcW w:w="1842" w:type="dxa"/>
            <w:vAlign w:val="center"/>
          </w:tcPr>
          <w:p w14:paraId="41A6ADEA" w14:textId="77777777" w:rsidR="00583189" w:rsidRPr="00E70587" w:rsidRDefault="00583189" w:rsidP="00315CA4">
            <w:pPr>
              <w:pStyle w:val="tabletext"/>
              <w:spacing w:line="280" w:lineRule="exact"/>
              <w:jc w:val="right"/>
              <w:rPr>
                <w:rFonts w:ascii="Arial" w:hAnsi="Arial" w:cs="Arial"/>
                <w:sz w:val="20"/>
                <w:lang w:val="en-IN"/>
              </w:rPr>
            </w:pPr>
          </w:p>
        </w:tc>
      </w:tr>
    </w:tbl>
    <w:p w14:paraId="42C8E5F2" w14:textId="77777777" w:rsidR="002E4A62" w:rsidRPr="00E70587" w:rsidRDefault="002E4A62"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843"/>
        <w:gridCol w:w="1842"/>
      </w:tblGrid>
      <w:tr w:rsidR="00583189" w:rsidRPr="00E70587" w14:paraId="35053B95" w14:textId="77777777" w:rsidTr="00583189">
        <w:tc>
          <w:tcPr>
            <w:tcW w:w="5954" w:type="dxa"/>
          </w:tcPr>
          <w:p w14:paraId="302A59EB" w14:textId="77777777" w:rsidR="00583189" w:rsidRPr="00E70587" w:rsidRDefault="00583189" w:rsidP="009901E1">
            <w:pPr>
              <w:spacing w:line="280" w:lineRule="exact"/>
              <w:rPr>
                <w:rFonts w:ascii="Arial" w:hAnsi="Arial" w:cs="Arial"/>
                <w:b/>
                <w:sz w:val="20"/>
              </w:rPr>
            </w:pPr>
            <w:r w:rsidRPr="00E70587">
              <w:rPr>
                <w:rFonts w:ascii="Arial" w:hAnsi="Arial" w:cs="Arial"/>
                <w:b/>
                <w:sz w:val="20"/>
              </w:rPr>
              <w:t>Reflected in the balance sheet as follows:</w:t>
            </w:r>
          </w:p>
        </w:tc>
        <w:tc>
          <w:tcPr>
            <w:tcW w:w="1843" w:type="dxa"/>
            <w:vAlign w:val="bottom"/>
          </w:tcPr>
          <w:p w14:paraId="63C86084" w14:textId="77777777" w:rsidR="00583189" w:rsidRPr="00E70587" w:rsidRDefault="00583189" w:rsidP="009901E1">
            <w:pPr>
              <w:spacing w:line="280" w:lineRule="exact"/>
              <w:jc w:val="right"/>
              <w:rPr>
                <w:rFonts w:ascii="Arial" w:hAnsi="Arial" w:cs="Arial"/>
                <w:sz w:val="20"/>
              </w:rPr>
            </w:pPr>
          </w:p>
        </w:tc>
        <w:tc>
          <w:tcPr>
            <w:tcW w:w="1842" w:type="dxa"/>
            <w:vAlign w:val="bottom"/>
          </w:tcPr>
          <w:p w14:paraId="192B811F" w14:textId="77777777" w:rsidR="00583189" w:rsidRPr="00E70587" w:rsidRDefault="00583189" w:rsidP="009901E1">
            <w:pPr>
              <w:spacing w:line="280" w:lineRule="exact"/>
              <w:jc w:val="right"/>
              <w:rPr>
                <w:rFonts w:ascii="Arial" w:hAnsi="Arial" w:cs="Arial"/>
                <w:sz w:val="20"/>
              </w:rPr>
            </w:pPr>
          </w:p>
        </w:tc>
      </w:tr>
      <w:tr w:rsidR="00583189" w:rsidRPr="00E70587" w14:paraId="5555D7C7" w14:textId="77777777" w:rsidTr="00583189">
        <w:tc>
          <w:tcPr>
            <w:tcW w:w="5954" w:type="dxa"/>
          </w:tcPr>
          <w:p w14:paraId="24CB9B3F" w14:textId="77777777" w:rsidR="00583189" w:rsidRPr="00E70587" w:rsidRDefault="00583189" w:rsidP="009901E1">
            <w:pPr>
              <w:pStyle w:val="tabletext"/>
              <w:spacing w:line="280" w:lineRule="exact"/>
              <w:rPr>
                <w:rFonts w:ascii="Arial" w:hAnsi="Arial" w:cs="Arial"/>
                <w:b/>
                <w:sz w:val="20"/>
                <w:lang w:val="en-IN"/>
              </w:rPr>
            </w:pPr>
          </w:p>
        </w:tc>
        <w:tc>
          <w:tcPr>
            <w:tcW w:w="1843" w:type="dxa"/>
            <w:vAlign w:val="bottom"/>
          </w:tcPr>
          <w:p w14:paraId="320F8ABE" w14:textId="3F1BB58F" w:rsidR="00583189" w:rsidRPr="00E70587" w:rsidRDefault="00583189" w:rsidP="009901E1">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 xml:space="preserve">31 March </w:t>
            </w:r>
            <w:r w:rsidR="00035EF7" w:rsidRPr="00E70587">
              <w:rPr>
                <w:rFonts w:ascii="Arial" w:hAnsi="Arial" w:cs="Arial"/>
                <w:b/>
                <w:sz w:val="20"/>
                <w:lang w:eastAsia="en-GB"/>
              </w:rPr>
              <w:t>20</w:t>
            </w:r>
            <w:r w:rsidR="00035EF7">
              <w:rPr>
                <w:rFonts w:ascii="Arial" w:hAnsi="Arial" w:cs="Arial"/>
                <w:b/>
                <w:sz w:val="20"/>
                <w:lang w:eastAsia="en-GB"/>
              </w:rPr>
              <w:t>21</w:t>
            </w:r>
          </w:p>
        </w:tc>
        <w:tc>
          <w:tcPr>
            <w:tcW w:w="1842" w:type="dxa"/>
            <w:vAlign w:val="bottom"/>
          </w:tcPr>
          <w:p w14:paraId="194A601C" w14:textId="2510FAB4" w:rsidR="00583189" w:rsidRPr="00E70587" w:rsidRDefault="00583189" w:rsidP="00001A3B">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 xml:space="preserve">31 March </w:t>
            </w:r>
            <w:r w:rsidR="00035EF7" w:rsidRPr="00E70587">
              <w:rPr>
                <w:rFonts w:ascii="Arial" w:hAnsi="Arial" w:cs="Arial"/>
                <w:b/>
                <w:sz w:val="20"/>
                <w:lang w:eastAsia="en-GB"/>
              </w:rPr>
              <w:t>20</w:t>
            </w:r>
            <w:r w:rsidR="00035EF7">
              <w:rPr>
                <w:rFonts w:ascii="Arial" w:hAnsi="Arial" w:cs="Arial"/>
                <w:b/>
                <w:sz w:val="20"/>
                <w:lang w:eastAsia="en-GB"/>
              </w:rPr>
              <w:t>20</w:t>
            </w:r>
          </w:p>
        </w:tc>
      </w:tr>
      <w:tr w:rsidR="00583189" w:rsidRPr="00E70587" w14:paraId="29AC0C85" w14:textId="77777777" w:rsidTr="00583189">
        <w:tc>
          <w:tcPr>
            <w:tcW w:w="5954" w:type="dxa"/>
          </w:tcPr>
          <w:p w14:paraId="5943E3AE" w14:textId="77777777" w:rsidR="00583189" w:rsidRPr="00E70587" w:rsidRDefault="00583189" w:rsidP="009901E1">
            <w:pPr>
              <w:pStyle w:val="tabletext"/>
              <w:spacing w:line="280" w:lineRule="exact"/>
              <w:rPr>
                <w:rFonts w:ascii="Arial" w:hAnsi="Arial" w:cs="Arial"/>
                <w:b/>
                <w:sz w:val="20"/>
                <w:lang w:val="en-IN"/>
              </w:rPr>
            </w:pPr>
          </w:p>
        </w:tc>
        <w:tc>
          <w:tcPr>
            <w:tcW w:w="1843" w:type="dxa"/>
            <w:vAlign w:val="bottom"/>
          </w:tcPr>
          <w:p w14:paraId="1C8263C1" w14:textId="77777777" w:rsidR="00583189" w:rsidRPr="00E70587" w:rsidRDefault="00583189" w:rsidP="009901E1">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INR Lacs</w:t>
            </w:r>
          </w:p>
        </w:tc>
        <w:tc>
          <w:tcPr>
            <w:tcW w:w="1842" w:type="dxa"/>
            <w:vAlign w:val="bottom"/>
          </w:tcPr>
          <w:p w14:paraId="513998E9" w14:textId="77777777" w:rsidR="00583189" w:rsidRPr="00E70587" w:rsidRDefault="00583189" w:rsidP="00001A3B">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INR Lacs</w:t>
            </w:r>
          </w:p>
        </w:tc>
      </w:tr>
      <w:tr w:rsidR="00583189" w:rsidRPr="00E70587" w14:paraId="50475CE6" w14:textId="77777777" w:rsidTr="00583189">
        <w:tc>
          <w:tcPr>
            <w:tcW w:w="5954" w:type="dxa"/>
          </w:tcPr>
          <w:p w14:paraId="4869170B" w14:textId="77777777" w:rsidR="00583189" w:rsidRPr="00E70587" w:rsidRDefault="00583189" w:rsidP="009901E1">
            <w:pPr>
              <w:pStyle w:val="tabletext"/>
              <w:spacing w:line="280" w:lineRule="exact"/>
              <w:rPr>
                <w:rFonts w:ascii="Arial" w:hAnsi="Arial" w:cs="Arial"/>
                <w:sz w:val="20"/>
                <w:lang w:val="en-IN"/>
              </w:rPr>
            </w:pPr>
            <w:r w:rsidRPr="00E70587">
              <w:rPr>
                <w:rFonts w:ascii="Arial" w:hAnsi="Arial" w:cs="Arial"/>
                <w:sz w:val="20"/>
                <w:lang w:val="en-IN"/>
              </w:rPr>
              <w:t>Deferred tax assets</w:t>
            </w:r>
          </w:p>
        </w:tc>
        <w:tc>
          <w:tcPr>
            <w:tcW w:w="1843" w:type="dxa"/>
            <w:vAlign w:val="bottom"/>
          </w:tcPr>
          <w:p w14:paraId="02A5DAD7" w14:textId="77777777" w:rsidR="00583189" w:rsidRPr="00E70587" w:rsidRDefault="00583189"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689</w:t>
            </w:r>
          </w:p>
        </w:tc>
        <w:tc>
          <w:tcPr>
            <w:tcW w:w="1842" w:type="dxa"/>
            <w:vAlign w:val="bottom"/>
          </w:tcPr>
          <w:p w14:paraId="2FC9156A" w14:textId="77777777" w:rsidR="00583189" w:rsidRPr="00E70587" w:rsidRDefault="00583189"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657</w:t>
            </w:r>
          </w:p>
        </w:tc>
      </w:tr>
      <w:tr w:rsidR="00583189" w:rsidRPr="00E70587" w14:paraId="5D857564" w14:textId="77777777" w:rsidTr="00583189">
        <w:tc>
          <w:tcPr>
            <w:tcW w:w="5954" w:type="dxa"/>
          </w:tcPr>
          <w:p w14:paraId="5CC3C8C8" w14:textId="77777777" w:rsidR="00583189" w:rsidRPr="00E70587" w:rsidRDefault="00583189" w:rsidP="009901E1">
            <w:pPr>
              <w:pStyle w:val="tabletext"/>
              <w:spacing w:line="280" w:lineRule="exact"/>
              <w:rPr>
                <w:rFonts w:ascii="Arial" w:hAnsi="Arial" w:cs="Arial"/>
                <w:sz w:val="20"/>
                <w:lang w:val="en-IN"/>
              </w:rPr>
            </w:pPr>
            <w:r w:rsidRPr="00E70587">
              <w:rPr>
                <w:rFonts w:ascii="Arial" w:hAnsi="Arial" w:cs="Arial"/>
                <w:sz w:val="20"/>
                <w:lang w:val="en-IN"/>
              </w:rPr>
              <w:t>Deferred tax liabilities:</w:t>
            </w:r>
          </w:p>
        </w:tc>
        <w:tc>
          <w:tcPr>
            <w:tcW w:w="1843" w:type="dxa"/>
            <w:vAlign w:val="bottom"/>
          </w:tcPr>
          <w:p w14:paraId="5DFA89B4" w14:textId="77777777" w:rsidR="00583189" w:rsidRPr="00E70587" w:rsidRDefault="00583189" w:rsidP="009901E1">
            <w:pPr>
              <w:overflowPunct/>
              <w:spacing w:line="280" w:lineRule="exact"/>
              <w:jc w:val="right"/>
              <w:textAlignment w:val="auto"/>
              <w:rPr>
                <w:rFonts w:ascii="Arial" w:hAnsi="Arial" w:cs="Arial"/>
                <w:sz w:val="20"/>
                <w:lang w:eastAsia="en-GB"/>
              </w:rPr>
            </w:pPr>
          </w:p>
        </w:tc>
        <w:tc>
          <w:tcPr>
            <w:tcW w:w="1842" w:type="dxa"/>
            <w:vAlign w:val="bottom"/>
          </w:tcPr>
          <w:p w14:paraId="6F81B18E" w14:textId="77777777" w:rsidR="00583189" w:rsidRPr="00E70587" w:rsidRDefault="00583189" w:rsidP="009901E1">
            <w:pPr>
              <w:overflowPunct/>
              <w:spacing w:line="280" w:lineRule="exact"/>
              <w:jc w:val="right"/>
              <w:textAlignment w:val="auto"/>
              <w:rPr>
                <w:rFonts w:ascii="Arial" w:hAnsi="Arial" w:cs="Arial"/>
                <w:sz w:val="20"/>
                <w:lang w:eastAsia="en-GB"/>
              </w:rPr>
            </w:pPr>
          </w:p>
        </w:tc>
      </w:tr>
      <w:tr w:rsidR="00583189" w:rsidRPr="00E70587" w14:paraId="4E3F8E01" w14:textId="77777777" w:rsidTr="00583189">
        <w:tc>
          <w:tcPr>
            <w:tcW w:w="5954" w:type="dxa"/>
          </w:tcPr>
          <w:p w14:paraId="63F5713E" w14:textId="77777777" w:rsidR="00583189" w:rsidRPr="00E70587" w:rsidRDefault="00583189" w:rsidP="00CC6E31">
            <w:pPr>
              <w:pStyle w:val="tabletext"/>
              <w:spacing w:line="280" w:lineRule="exact"/>
              <w:ind w:left="318"/>
              <w:rPr>
                <w:rFonts w:ascii="Arial" w:hAnsi="Arial" w:cs="Arial"/>
                <w:sz w:val="20"/>
                <w:lang w:val="en-IN"/>
              </w:rPr>
            </w:pPr>
            <w:r w:rsidRPr="00E70587">
              <w:rPr>
                <w:rFonts w:ascii="Arial" w:hAnsi="Arial" w:cs="Arial"/>
                <w:sz w:val="20"/>
                <w:lang w:val="en-IN"/>
              </w:rPr>
              <w:t>Continuing operations</w:t>
            </w:r>
          </w:p>
        </w:tc>
        <w:tc>
          <w:tcPr>
            <w:tcW w:w="1843" w:type="dxa"/>
            <w:vAlign w:val="bottom"/>
          </w:tcPr>
          <w:p w14:paraId="5A063149" w14:textId="77777777" w:rsidR="00583189" w:rsidRPr="00E70587" w:rsidRDefault="00583189" w:rsidP="00CC6E3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(5,276)</w:t>
            </w:r>
          </w:p>
        </w:tc>
        <w:tc>
          <w:tcPr>
            <w:tcW w:w="1842" w:type="dxa"/>
            <w:vAlign w:val="bottom"/>
          </w:tcPr>
          <w:p w14:paraId="3A9DAE96" w14:textId="77777777" w:rsidR="00583189" w:rsidRPr="00E70587" w:rsidRDefault="00583189" w:rsidP="00CC6E3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(1,960)</w:t>
            </w:r>
          </w:p>
        </w:tc>
      </w:tr>
      <w:tr w:rsidR="00583189" w:rsidRPr="00E70587" w14:paraId="44CB69EA" w14:textId="77777777" w:rsidTr="00583189">
        <w:tc>
          <w:tcPr>
            <w:tcW w:w="5954" w:type="dxa"/>
          </w:tcPr>
          <w:p w14:paraId="77378A36" w14:textId="77777777" w:rsidR="00583189" w:rsidRPr="00E70587" w:rsidRDefault="00583189" w:rsidP="009901E1">
            <w:pPr>
              <w:pStyle w:val="tabletext"/>
              <w:spacing w:line="280" w:lineRule="exact"/>
              <w:ind w:left="318"/>
              <w:rPr>
                <w:rFonts w:ascii="Arial" w:hAnsi="Arial" w:cs="Arial"/>
                <w:sz w:val="20"/>
                <w:lang w:val="en-IN"/>
              </w:rPr>
            </w:pPr>
            <w:r w:rsidRPr="00E70587">
              <w:rPr>
                <w:rFonts w:ascii="Arial" w:hAnsi="Arial" w:cs="Arial"/>
                <w:sz w:val="20"/>
                <w:lang w:val="en-IN"/>
              </w:rPr>
              <w:t>Discontinued operations</w:t>
            </w:r>
          </w:p>
        </w:tc>
        <w:tc>
          <w:tcPr>
            <w:tcW w:w="1843" w:type="dxa"/>
            <w:tcBorders>
              <w:bottom w:val="single" w:sz="4" w:space="0" w:color="auto"/>
            </w:tcBorders>
            <w:vAlign w:val="bottom"/>
          </w:tcPr>
          <w:p w14:paraId="28BE2F42" w14:textId="77777777" w:rsidR="00583189" w:rsidRPr="00E70587" w:rsidRDefault="00583189"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(135)</w:t>
            </w:r>
          </w:p>
        </w:tc>
        <w:tc>
          <w:tcPr>
            <w:tcW w:w="1842" w:type="dxa"/>
            <w:tcBorders>
              <w:bottom w:val="single" w:sz="4" w:space="0" w:color="auto"/>
            </w:tcBorders>
            <w:vAlign w:val="bottom"/>
          </w:tcPr>
          <w:p w14:paraId="2327B159" w14:textId="2DEE3902" w:rsidR="00583189" w:rsidRPr="00E70587" w:rsidRDefault="00372305" w:rsidP="009901E1">
            <w:pPr>
              <w:overflowPunct/>
              <w:spacing w:line="280" w:lineRule="exact"/>
              <w:jc w:val="right"/>
              <w:textAlignment w:val="auto"/>
              <w:rPr>
                <w:rFonts w:ascii="Arial" w:hAnsi="Arial" w:cs="Arial"/>
                <w:sz w:val="20"/>
                <w:lang w:eastAsia="en-GB"/>
              </w:rPr>
            </w:pPr>
            <w:r>
              <w:rPr>
                <w:rFonts w:ascii="Arial" w:hAnsi="Arial" w:cs="Arial"/>
                <w:sz w:val="20"/>
                <w:lang w:eastAsia="en-GB"/>
              </w:rPr>
              <w:t>-</w:t>
            </w:r>
          </w:p>
        </w:tc>
      </w:tr>
      <w:tr w:rsidR="00583189" w:rsidRPr="00E70587" w14:paraId="5DD9FDC9" w14:textId="77777777" w:rsidTr="00583189">
        <w:tc>
          <w:tcPr>
            <w:tcW w:w="5954" w:type="dxa"/>
            <w:vAlign w:val="center"/>
          </w:tcPr>
          <w:p w14:paraId="4AAB13E5" w14:textId="77777777" w:rsidR="00583189" w:rsidRPr="00E70587" w:rsidRDefault="00583189" w:rsidP="00CC6E31">
            <w:pPr>
              <w:pStyle w:val="tabletext"/>
              <w:spacing w:line="280" w:lineRule="exact"/>
              <w:rPr>
                <w:rFonts w:ascii="Arial" w:hAnsi="Arial" w:cs="Arial"/>
                <w:b/>
                <w:sz w:val="20"/>
                <w:lang w:val="en-IN"/>
              </w:rPr>
            </w:pPr>
            <w:r w:rsidRPr="00E70587">
              <w:rPr>
                <w:rFonts w:ascii="Arial" w:hAnsi="Arial" w:cs="Arial"/>
                <w:b/>
                <w:sz w:val="20"/>
                <w:lang w:val="en-IN"/>
              </w:rPr>
              <w:t>Deferred tax liabilities, net</w:t>
            </w:r>
          </w:p>
        </w:tc>
        <w:tc>
          <w:tcPr>
            <w:tcW w:w="1843" w:type="dxa"/>
            <w:tcBorders>
              <w:top w:val="single" w:sz="4" w:space="0" w:color="auto"/>
              <w:bottom w:val="double" w:sz="4" w:space="0" w:color="auto"/>
            </w:tcBorders>
            <w:vAlign w:val="bottom"/>
          </w:tcPr>
          <w:p w14:paraId="20270286" w14:textId="77777777" w:rsidR="00583189" w:rsidRPr="00E70587" w:rsidRDefault="00583189" w:rsidP="00CC6E3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(4,722)</w:t>
            </w:r>
          </w:p>
        </w:tc>
        <w:tc>
          <w:tcPr>
            <w:tcW w:w="1842" w:type="dxa"/>
            <w:tcBorders>
              <w:top w:val="single" w:sz="4" w:space="0" w:color="auto"/>
              <w:bottom w:val="double" w:sz="4" w:space="0" w:color="auto"/>
            </w:tcBorders>
            <w:vAlign w:val="bottom"/>
          </w:tcPr>
          <w:p w14:paraId="1398895A" w14:textId="77777777" w:rsidR="00583189" w:rsidRPr="00E70587" w:rsidRDefault="00583189" w:rsidP="00CC6E3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(1,303)</w:t>
            </w:r>
          </w:p>
        </w:tc>
      </w:tr>
    </w:tbl>
    <w:p w14:paraId="0EE9FBC9" w14:textId="48B6B118" w:rsidR="00D9764D" w:rsidRDefault="00D9764D"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2C1F2647" w14:textId="77777777" w:rsidR="00E06B4E" w:rsidRPr="00E70587" w:rsidRDefault="00E06B4E"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p>
    <w:tbl>
      <w:tblPr>
        <w:tblW w:w="9576" w:type="dxa"/>
        <w:tblBorders>
          <w:bottom w:val="double" w:sz="4" w:space="0" w:color="auto"/>
        </w:tblBorders>
        <w:tblLayout w:type="fixed"/>
        <w:tblLook w:val="01E0" w:firstRow="1" w:lastRow="1" w:firstColumn="1" w:lastColumn="1" w:noHBand="0" w:noVBand="0"/>
      </w:tblPr>
      <w:tblGrid>
        <w:gridCol w:w="5963"/>
        <w:gridCol w:w="1716"/>
        <w:gridCol w:w="1897"/>
      </w:tblGrid>
      <w:tr w:rsidR="002E4A62" w:rsidRPr="00E70587" w14:paraId="26084CFB" w14:textId="77777777" w:rsidTr="002E4A62">
        <w:tc>
          <w:tcPr>
            <w:tcW w:w="5940" w:type="dxa"/>
          </w:tcPr>
          <w:p w14:paraId="416D19D9"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Reconciliation of deferred tax liabilities, net</w:t>
            </w:r>
          </w:p>
        </w:tc>
        <w:tc>
          <w:tcPr>
            <w:tcW w:w="1710" w:type="dxa"/>
            <w:tcBorders>
              <w:bottom w:val="single" w:sz="4" w:space="0" w:color="auto"/>
            </w:tcBorders>
            <w:shd w:val="clear" w:color="auto" w:fill="auto"/>
            <w:tcMar>
              <w:left w:w="57" w:type="dxa"/>
            </w:tcMar>
            <w:vAlign w:val="bottom"/>
          </w:tcPr>
          <w:p w14:paraId="11856CC8" w14:textId="176E975F" w:rsidR="002E4A62" w:rsidRPr="00E70587" w:rsidRDefault="002E4A62" w:rsidP="009901E1">
            <w:pPr>
              <w:pStyle w:val="tabletext"/>
              <w:overflowPunct w:val="0"/>
              <w:autoSpaceDE w:val="0"/>
              <w:autoSpaceDN w:val="0"/>
              <w:adjustRightInd w:val="0"/>
              <w:spacing w:line="280" w:lineRule="exact"/>
              <w:ind w:left="113"/>
              <w:jc w:val="right"/>
              <w:textAlignment w:val="baseline"/>
              <w:rPr>
                <w:rFonts w:ascii="Arial" w:hAnsi="Arial" w:cs="Arial"/>
                <w:b/>
                <w:sz w:val="20"/>
                <w:lang w:val="en-IN"/>
              </w:rPr>
            </w:pPr>
            <w:r w:rsidRPr="00E70587">
              <w:rPr>
                <w:rFonts w:ascii="Arial" w:hAnsi="Arial" w:cs="Arial"/>
                <w:b/>
                <w:sz w:val="20"/>
                <w:lang w:val="en-IN"/>
              </w:rPr>
              <w:t xml:space="preserve">31 </w:t>
            </w:r>
            <w:r w:rsidR="00E1202D" w:rsidRPr="00E70587">
              <w:rPr>
                <w:rFonts w:ascii="Arial" w:hAnsi="Arial" w:cs="Arial"/>
                <w:b/>
                <w:sz w:val="20"/>
                <w:lang w:val="en-IN"/>
              </w:rPr>
              <w:t xml:space="preserve">March </w:t>
            </w:r>
            <w:r w:rsidR="00035EF7" w:rsidRPr="00E70587">
              <w:rPr>
                <w:rFonts w:ascii="Arial" w:hAnsi="Arial" w:cs="Arial"/>
                <w:b/>
                <w:sz w:val="20"/>
                <w:lang w:val="en-IN"/>
              </w:rPr>
              <w:t>20</w:t>
            </w:r>
            <w:r w:rsidR="00035EF7">
              <w:rPr>
                <w:rFonts w:ascii="Arial" w:hAnsi="Arial" w:cs="Arial"/>
                <w:b/>
                <w:sz w:val="20"/>
                <w:lang w:val="en-IN"/>
              </w:rPr>
              <w:t>21</w:t>
            </w:r>
          </w:p>
        </w:tc>
        <w:tc>
          <w:tcPr>
            <w:tcW w:w="1890" w:type="dxa"/>
            <w:tcBorders>
              <w:bottom w:val="single" w:sz="4" w:space="0" w:color="auto"/>
            </w:tcBorders>
            <w:shd w:val="clear" w:color="auto" w:fill="auto"/>
            <w:tcMar>
              <w:left w:w="57" w:type="dxa"/>
            </w:tcMar>
            <w:vAlign w:val="bottom"/>
          </w:tcPr>
          <w:p w14:paraId="46AAEB0E" w14:textId="08B1D209" w:rsidR="002E4A62" w:rsidRPr="00E70587" w:rsidRDefault="002E4A62" w:rsidP="009901E1">
            <w:pPr>
              <w:pStyle w:val="tabletext"/>
              <w:overflowPunct w:val="0"/>
              <w:autoSpaceDE w:val="0"/>
              <w:autoSpaceDN w:val="0"/>
              <w:adjustRightInd w:val="0"/>
              <w:spacing w:line="280" w:lineRule="exact"/>
              <w:ind w:left="113"/>
              <w:jc w:val="right"/>
              <w:textAlignment w:val="baseline"/>
              <w:rPr>
                <w:rFonts w:ascii="Arial" w:hAnsi="Arial" w:cs="Arial"/>
                <w:b/>
                <w:sz w:val="20"/>
                <w:lang w:val="en-IN"/>
              </w:rPr>
            </w:pPr>
            <w:r w:rsidRPr="00E70587">
              <w:rPr>
                <w:rFonts w:ascii="Arial" w:hAnsi="Arial" w:cs="Arial"/>
                <w:b/>
                <w:sz w:val="20"/>
                <w:lang w:val="en-IN"/>
              </w:rPr>
              <w:t xml:space="preserve">31 </w:t>
            </w:r>
            <w:r w:rsidR="008B730E" w:rsidRPr="00E70587">
              <w:rPr>
                <w:rFonts w:ascii="Arial" w:hAnsi="Arial" w:cs="Arial"/>
                <w:b/>
                <w:sz w:val="20"/>
                <w:lang w:val="en-IN"/>
              </w:rPr>
              <w:t xml:space="preserve">March </w:t>
            </w:r>
            <w:r w:rsidR="00035EF7" w:rsidRPr="00E70587">
              <w:rPr>
                <w:rFonts w:ascii="Arial" w:hAnsi="Arial" w:cs="Arial"/>
                <w:b/>
                <w:sz w:val="20"/>
                <w:lang w:val="en-IN"/>
              </w:rPr>
              <w:t>20</w:t>
            </w:r>
            <w:r w:rsidR="00035EF7">
              <w:rPr>
                <w:rFonts w:ascii="Arial" w:hAnsi="Arial" w:cs="Arial"/>
                <w:b/>
                <w:sz w:val="20"/>
                <w:lang w:val="en-IN"/>
              </w:rPr>
              <w:t>20</w:t>
            </w:r>
          </w:p>
        </w:tc>
      </w:tr>
      <w:tr w:rsidR="002E4A62" w:rsidRPr="00E70587" w14:paraId="3CBE05D5" w14:textId="77777777" w:rsidTr="002E4A62">
        <w:tc>
          <w:tcPr>
            <w:tcW w:w="5940" w:type="dxa"/>
          </w:tcPr>
          <w:p w14:paraId="277E0B4F"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710" w:type="dxa"/>
            <w:tcBorders>
              <w:top w:val="single" w:sz="4" w:space="0" w:color="auto"/>
              <w:bottom w:val="nil"/>
            </w:tcBorders>
            <w:shd w:val="clear" w:color="auto" w:fill="auto"/>
          </w:tcPr>
          <w:p w14:paraId="29848C2C" w14:textId="77777777" w:rsidR="002E4A62" w:rsidRPr="00E70587" w:rsidRDefault="002E4A62" w:rsidP="00BB4BC9">
            <w:pPr>
              <w:pStyle w:val="tabletext"/>
              <w:overflowPunct w:val="0"/>
              <w:autoSpaceDE w:val="0"/>
              <w:autoSpaceDN w:val="0"/>
              <w:adjustRightInd w:val="0"/>
              <w:spacing w:line="280" w:lineRule="exact"/>
              <w:ind w:left="113"/>
              <w:jc w:val="right"/>
              <w:textAlignment w:val="baseline"/>
              <w:rPr>
                <w:rFonts w:ascii="Arial" w:hAnsi="Arial" w:cs="Arial"/>
                <w:b/>
                <w:sz w:val="20"/>
                <w:lang w:val="en-IN"/>
              </w:rPr>
            </w:pPr>
            <w:r w:rsidRPr="00E70587">
              <w:rPr>
                <w:rFonts w:ascii="Arial" w:hAnsi="Arial" w:cs="Arial"/>
                <w:b/>
                <w:sz w:val="20"/>
                <w:lang w:val="en-IN"/>
              </w:rPr>
              <w:t>INR Lacs</w:t>
            </w:r>
          </w:p>
        </w:tc>
        <w:tc>
          <w:tcPr>
            <w:tcW w:w="1890" w:type="dxa"/>
            <w:tcBorders>
              <w:top w:val="single" w:sz="4" w:space="0" w:color="auto"/>
              <w:bottom w:val="nil"/>
            </w:tcBorders>
            <w:shd w:val="clear" w:color="auto" w:fill="auto"/>
          </w:tcPr>
          <w:p w14:paraId="5D024FD8" w14:textId="77777777" w:rsidR="002E4A62" w:rsidRPr="00E70587" w:rsidRDefault="002E4A62" w:rsidP="00BB4BC9">
            <w:pPr>
              <w:pStyle w:val="tabletext"/>
              <w:overflowPunct w:val="0"/>
              <w:autoSpaceDE w:val="0"/>
              <w:autoSpaceDN w:val="0"/>
              <w:adjustRightInd w:val="0"/>
              <w:spacing w:line="280" w:lineRule="exact"/>
              <w:ind w:left="113"/>
              <w:jc w:val="right"/>
              <w:textAlignment w:val="baseline"/>
              <w:rPr>
                <w:rFonts w:ascii="Arial" w:hAnsi="Arial" w:cs="Arial"/>
                <w:b/>
                <w:sz w:val="20"/>
                <w:lang w:val="en-IN"/>
              </w:rPr>
            </w:pPr>
            <w:r w:rsidRPr="00E70587">
              <w:rPr>
                <w:rFonts w:ascii="Arial" w:hAnsi="Arial" w:cs="Arial"/>
                <w:b/>
                <w:sz w:val="20"/>
                <w:lang w:val="en-IN"/>
              </w:rPr>
              <w:t>INR Lacs</w:t>
            </w:r>
          </w:p>
        </w:tc>
      </w:tr>
      <w:tr w:rsidR="002E4A62" w:rsidRPr="00E70587" w14:paraId="44D803D2" w14:textId="77777777" w:rsidTr="002E4A62">
        <w:tc>
          <w:tcPr>
            <w:tcW w:w="5940" w:type="dxa"/>
          </w:tcPr>
          <w:p w14:paraId="60F29997"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Opening balance as of 1 April</w:t>
            </w:r>
          </w:p>
        </w:tc>
        <w:tc>
          <w:tcPr>
            <w:tcW w:w="1710" w:type="dxa"/>
            <w:tcBorders>
              <w:top w:val="nil"/>
              <w:bottom w:val="nil"/>
            </w:tcBorders>
            <w:shd w:val="clear" w:color="auto" w:fill="auto"/>
            <w:tcMar>
              <w:left w:w="57" w:type="dxa"/>
              <w:right w:w="28" w:type="dxa"/>
            </w:tcMar>
          </w:tcPr>
          <w:p w14:paraId="55FB0E32" w14:textId="77777777" w:rsidR="002E4A62" w:rsidRPr="00E70587" w:rsidRDefault="002E4A6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(1,303) </w:t>
            </w:r>
          </w:p>
        </w:tc>
        <w:tc>
          <w:tcPr>
            <w:tcW w:w="1890" w:type="dxa"/>
            <w:tcBorders>
              <w:top w:val="nil"/>
              <w:bottom w:val="nil"/>
            </w:tcBorders>
            <w:shd w:val="clear" w:color="auto" w:fill="auto"/>
            <w:tcMar>
              <w:left w:w="57" w:type="dxa"/>
              <w:right w:w="28" w:type="dxa"/>
            </w:tcMar>
          </w:tcPr>
          <w:p w14:paraId="1B5C73ED" w14:textId="28D3516D" w:rsidR="002E4A62" w:rsidRPr="00E70587" w:rsidRDefault="002E4A6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w:t>
            </w:r>
            <w:r w:rsidR="009338FF" w:rsidRPr="00E70587">
              <w:rPr>
                <w:rFonts w:ascii="Arial" w:hAnsi="Arial" w:cs="Arial"/>
                <w:b/>
                <w:bCs/>
                <w:sz w:val="20"/>
                <w:lang w:eastAsia="en-GB"/>
              </w:rPr>
              <w:t>37</w:t>
            </w:r>
            <w:r w:rsidR="009338FF">
              <w:rPr>
                <w:rFonts w:ascii="Arial" w:hAnsi="Arial" w:cs="Arial"/>
                <w:b/>
                <w:bCs/>
                <w:sz w:val="20"/>
                <w:lang w:eastAsia="en-GB"/>
              </w:rPr>
              <w:t>0</w:t>
            </w:r>
            <w:r w:rsidRPr="00E70587">
              <w:rPr>
                <w:rFonts w:ascii="Arial" w:hAnsi="Arial" w:cs="Arial"/>
                <w:b/>
                <w:bCs/>
                <w:sz w:val="20"/>
                <w:lang w:eastAsia="en-GB"/>
              </w:rPr>
              <w:t xml:space="preserve">) </w:t>
            </w:r>
          </w:p>
        </w:tc>
      </w:tr>
      <w:tr w:rsidR="002E4A62" w:rsidRPr="00E70587" w14:paraId="6FF32D89" w14:textId="77777777" w:rsidTr="002E4A62">
        <w:tc>
          <w:tcPr>
            <w:tcW w:w="5940" w:type="dxa"/>
          </w:tcPr>
          <w:p w14:paraId="2E175606" w14:textId="77777777" w:rsidR="002E4A62" w:rsidRPr="00E70587" w:rsidRDefault="002E4A62" w:rsidP="009901E1">
            <w:pPr>
              <w:spacing w:line="280" w:lineRule="exact"/>
              <w:rPr>
                <w:rFonts w:ascii="Arial" w:hAnsi="Arial" w:cs="Arial"/>
                <w:sz w:val="20"/>
              </w:rPr>
            </w:pPr>
            <w:r w:rsidRPr="00E70587">
              <w:rPr>
                <w:rFonts w:ascii="Arial" w:hAnsi="Arial" w:cs="Arial"/>
                <w:sz w:val="20"/>
              </w:rPr>
              <w:lastRenderedPageBreak/>
              <w:t xml:space="preserve">Tax income/(expense) during the period </w:t>
            </w:r>
            <w:r w:rsidRPr="00E70587">
              <w:rPr>
                <w:rFonts w:ascii="Arial" w:hAnsi="Arial" w:cs="Arial"/>
                <w:sz w:val="20"/>
              </w:rPr>
              <w:br/>
              <w:t>recognised in profit or loss</w:t>
            </w:r>
          </w:p>
        </w:tc>
        <w:tc>
          <w:tcPr>
            <w:tcW w:w="1710" w:type="dxa"/>
            <w:tcBorders>
              <w:top w:val="nil"/>
            </w:tcBorders>
            <w:shd w:val="clear" w:color="auto" w:fill="auto"/>
            <w:tcMar>
              <w:left w:w="57" w:type="dxa"/>
              <w:right w:w="28" w:type="dxa"/>
            </w:tcMar>
          </w:tcPr>
          <w:p w14:paraId="504BE9A3" w14:textId="4DE7983D"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r w:rsidR="00F77FF7">
              <w:rPr>
                <w:rFonts w:ascii="Arial" w:hAnsi="Arial" w:cs="Arial"/>
                <w:sz w:val="20"/>
                <w:lang w:eastAsia="en-GB"/>
              </w:rPr>
              <w:t>4</w:t>
            </w:r>
            <w:r w:rsidR="00F77FF7" w:rsidRPr="00E70587">
              <w:rPr>
                <w:rFonts w:ascii="Arial" w:hAnsi="Arial" w:cs="Arial"/>
                <w:sz w:val="20"/>
                <w:lang w:eastAsia="en-GB"/>
              </w:rPr>
              <w:t>2</w:t>
            </w:r>
            <w:r w:rsidR="00F77FF7">
              <w:rPr>
                <w:rFonts w:ascii="Arial" w:hAnsi="Arial" w:cs="Arial"/>
                <w:sz w:val="20"/>
                <w:lang w:eastAsia="en-GB"/>
              </w:rPr>
              <w:t>1</w:t>
            </w:r>
            <w:r w:rsidRPr="00E70587">
              <w:rPr>
                <w:rFonts w:ascii="Arial" w:hAnsi="Arial" w:cs="Arial"/>
                <w:sz w:val="20"/>
                <w:lang w:eastAsia="en-GB"/>
              </w:rPr>
              <w:t xml:space="preserve">) </w:t>
            </w:r>
          </w:p>
        </w:tc>
        <w:tc>
          <w:tcPr>
            <w:tcW w:w="1890" w:type="dxa"/>
            <w:tcBorders>
              <w:top w:val="nil"/>
            </w:tcBorders>
            <w:shd w:val="clear" w:color="auto" w:fill="auto"/>
            <w:tcMar>
              <w:left w:w="57" w:type="dxa"/>
            </w:tcMar>
          </w:tcPr>
          <w:p w14:paraId="0B4EFAAB" w14:textId="48C84D9A" w:rsidR="002E4A62" w:rsidRPr="00E70587" w:rsidRDefault="00603FEE"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56</w:t>
            </w:r>
            <w:r>
              <w:rPr>
                <w:rFonts w:ascii="Arial" w:hAnsi="Arial" w:cs="Arial"/>
                <w:sz w:val="20"/>
                <w:lang w:eastAsia="en-GB"/>
              </w:rPr>
              <w:t>0</w:t>
            </w:r>
            <w:r w:rsidRPr="00E70587">
              <w:rPr>
                <w:rFonts w:ascii="Arial" w:hAnsi="Arial" w:cs="Arial"/>
                <w:sz w:val="20"/>
                <w:lang w:eastAsia="en-GB"/>
              </w:rPr>
              <w:t xml:space="preserve"> </w:t>
            </w:r>
          </w:p>
        </w:tc>
      </w:tr>
      <w:tr w:rsidR="002E4A62" w:rsidRPr="00E70587" w14:paraId="702FBCDE" w14:textId="77777777" w:rsidTr="002E4A62">
        <w:tc>
          <w:tcPr>
            <w:tcW w:w="5940" w:type="dxa"/>
          </w:tcPr>
          <w:p w14:paraId="5F26E28B"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Tax income/(expense) during the period </w:t>
            </w:r>
            <w:r w:rsidRPr="00E70587">
              <w:rPr>
                <w:rFonts w:ascii="Arial" w:hAnsi="Arial" w:cs="Arial"/>
                <w:sz w:val="20"/>
                <w:lang w:val="en-IN"/>
              </w:rPr>
              <w:br/>
              <w:t>recognised in OCI</w:t>
            </w:r>
          </w:p>
        </w:tc>
        <w:tc>
          <w:tcPr>
            <w:tcW w:w="1710" w:type="dxa"/>
            <w:shd w:val="clear" w:color="auto" w:fill="auto"/>
            <w:tcMar>
              <w:left w:w="57" w:type="dxa"/>
              <w:right w:w="28" w:type="dxa"/>
            </w:tcMar>
          </w:tcPr>
          <w:p w14:paraId="71CDDF69" w14:textId="4755E6EF"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r w:rsidR="00F77FF7">
              <w:rPr>
                <w:rFonts w:ascii="Arial" w:hAnsi="Arial" w:cs="Arial"/>
                <w:sz w:val="20"/>
                <w:lang w:eastAsia="en-GB"/>
              </w:rPr>
              <w:t>2</w:t>
            </w:r>
            <w:r w:rsidR="000C1A28" w:rsidRPr="00E70587">
              <w:rPr>
                <w:rFonts w:ascii="Arial" w:hAnsi="Arial" w:cs="Arial"/>
                <w:sz w:val="20"/>
                <w:lang w:eastAsia="en-GB"/>
              </w:rPr>
              <w:t>8</w:t>
            </w:r>
            <w:r w:rsidR="00F77FF7">
              <w:rPr>
                <w:rFonts w:ascii="Arial" w:hAnsi="Arial" w:cs="Arial"/>
                <w:sz w:val="20"/>
                <w:lang w:eastAsia="en-GB"/>
              </w:rPr>
              <w:t>2</w:t>
            </w:r>
            <w:r w:rsidRPr="00E70587">
              <w:rPr>
                <w:rFonts w:ascii="Arial" w:hAnsi="Arial" w:cs="Arial"/>
                <w:sz w:val="20"/>
                <w:lang w:eastAsia="en-GB"/>
              </w:rPr>
              <w:t xml:space="preserve">) </w:t>
            </w:r>
          </w:p>
        </w:tc>
        <w:tc>
          <w:tcPr>
            <w:tcW w:w="1890" w:type="dxa"/>
            <w:shd w:val="clear" w:color="auto" w:fill="auto"/>
          </w:tcPr>
          <w:p w14:paraId="0200B516" w14:textId="77777777"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191 </w:t>
            </w:r>
          </w:p>
        </w:tc>
      </w:tr>
      <w:tr w:rsidR="002E4A62" w:rsidRPr="00E70587" w14:paraId="67529D39" w14:textId="77777777" w:rsidTr="002E4A62">
        <w:tc>
          <w:tcPr>
            <w:tcW w:w="5940" w:type="dxa"/>
          </w:tcPr>
          <w:p w14:paraId="726D9379"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Discontinued operation</w:t>
            </w:r>
          </w:p>
        </w:tc>
        <w:tc>
          <w:tcPr>
            <w:tcW w:w="1710" w:type="dxa"/>
            <w:shd w:val="clear" w:color="auto" w:fill="auto"/>
            <w:tcMar>
              <w:left w:w="57" w:type="dxa"/>
            </w:tcMar>
          </w:tcPr>
          <w:p w14:paraId="70BF7F6B" w14:textId="3D2CF979" w:rsidR="002E4A62" w:rsidRPr="00E70587" w:rsidRDefault="000C1A28" w:rsidP="009901E1">
            <w:pPr>
              <w:overflowPunct/>
              <w:spacing w:line="280" w:lineRule="exact"/>
              <w:jc w:val="right"/>
              <w:textAlignment w:val="auto"/>
              <w:rPr>
                <w:rFonts w:ascii="Arial" w:hAnsi="Arial" w:cs="Arial"/>
                <w:sz w:val="20"/>
                <w:lang w:eastAsia="en-GB"/>
              </w:rPr>
            </w:pPr>
            <w:r>
              <w:rPr>
                <w:rFonts w:ascii="Arial" w:hAnsi="Arial" w:cs="Arial"/>
                <w:sz w:val="20"/>
                <w:lang w:eastAsia="en-GB"/>
              </w:rPr>
              <w:t>4</w:t>
            </w:r>
            <w:r w:rsidRPr="00E70587">
              <w:rPr>
                <w:rFonts w:ascii="Arial" w:hAnsi="Arial" w:cs="Arial"/>
                <w:sz w:val="20"/>
                <w:lang w:eastAsia="en-GB"/>
              </w:rPr>
              <w:t xml:space="preserve"> </w:t>
            </w:r>
          </w:p>
        </w:tc>
        <w:tc>
          <w:tcPr>
            <w:tcW w:w="1890" w:type="dxa"/>
            <w:shd w:val="clear" w:color="auto" w:fill="auto"/>
            <w:tcMar>
              <w:left w:w="57" w:type="dxa"/>
            </w:tcMar>
          </w:tcPr>
          <w:p w14:paraId="7D880C73" w14:textId="77777777"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r>
      <w:tr w:rsidR="002E4A62" w:rsidRPr="00E70587" w14:paraId="0E0F93A7" w14:textId="77777777" w:rsidTr="002E4A62">
        <w:tc>
          <w:tcPr>
            <w:tcW w:w="5940" w:type="dxa"/>
            <w:tcBorders>
              <w:bottom w:val="nil"/>
            </w:tcBorders>
          </w:tcPr>
          <w:p w14:paraId="676680E0"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Deferred taxes acquired in business combinations</w:t>
            </w:r>
          </w:p>
        </w:tc>
        <w:tc>
          <w:tcPr>
            <w:tcW w:w="1710" w:type="dxa"/>
            <w:tcBorders>
              <w:bottom w:val="single" w:sz="4" w:space="0" w:color="auto"/>
            </w:tcBorders>
            <w:shd w:val="clear" w:color="auto" w:fill="auto"/>
            <w:tcMar>
              <w:left w:w="57" w:type="dxa"/>
              <w:right w:w="28" w:type="dxa"/>
            </w:tcMar>
          </w:tcPr>
          <w:p w14:paraId="626B042A" w14:textId="77777777"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(2,720) </w:t>
            </w:r>
          </w:p>
        </w:tc>
        <w:tc>
          <w:tcPr>
            <w:tcW w:w="1890" w:type="dxa"/>
            <w:tcBorders>
              <w:bottom w:val="single" w:sz="4" w:space="0" w:color="auto"/>
            </w:tcBorders>
            <w:shd w:val="clear" w:color="auto" w:fill="auto"/>
            <w:tcMar>
              <w:left w:w="57" w:type="dxa"/>
              <w:right w:w="28" w:type="dxa"/>
            </w:tcMar>
          </w:tcPr>
          <w:p w14:paraId="3E8BA396" w14:textId="77777777" w:rsidR="002E4A62" w:rsidRPr="00E70587" w:rsidRDefault="002E4A62"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(684) </w:t>
            </w:r>
          </w:p>
        </w:tc>
      </w:tr>
      <w:tr w:rsidR="002E4A62" w:rsidRPr="00E70587" w14:paraId="48F1A40D" w14:textId="77777777" w:rsidTr="002E4A62">
        <w:tc>
          <w:tcPr>
            <w:tcW w:w="5940" w:type="dxa"/>
            <w:tcBorders>
              <w:bottom w:val="nil"/>
            </w:tcBorders>
            <w:vAlign w:val="center"/>
          </w:tcPr>
          <w:p w14:paraId="06A01F33" w14:textId="77777777" w:rsidR="002E4A62" w:rsidRPr="00E70587" w:rsidRDefault="002E4A62"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Closing balance as at 31 March</w:t>
            </w:r>
          </w:p>
        </w:tc>
        <w:tc>
          <w:tcPr>
            <w:tcW w:w="1710" w:type="dxa"/>
            <w:tcBorders>
              <w:top w:val="single" w:sz="4" w:space="0" w:color="auto"/>
              <w:bottom w:val="double" w:sz="4" w:space="0" w:color="auto"/>
            </w:tcBorders>
            <w:shd w:val="clear" w:color="auto" w:fill="auto"/>
            <w:tcMar>
              <w:left w:w="57" w:type="dxa"/>
              <w:right w:w="28" w:type="dxa"/>
            </w:tcMar>
          </w:tcPr>
          <w:p w14:paraId="47D99D7A" w14:textId="77777777" w:rsidR="002E4A62" w:rsidRPr="00E70587" w:rsidRDefault="002E4A62" w:rsidP="00770F33">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(4,</w:t>
            </w:r>
            <w:r w:rsidR="00770F33" w:rsidRPr="00E70587">
              <w:rPr>
                <w:rFonts w:ascii="Arial" w:hAnsi="Arial" w:cs="Arial"/>
                <w:b/>
                <w:bCs/>
                <w:sz w:val="20"/>
                <w:lang w:eastAsia="en-GB"/>
              </w:rPr>
              <w:t>722</w:t>
            </w:r>
            <w:r w:rsidRPr="00E70587">
              <w:rPr>
                <w:rFonts w:ascii="Arial" w:hAnsi="Arial" w:cs="Arial"/>
                <w:b/>
                <w:bCs/>
                <w:sz w:val="20"/>
                <w:lang w:eastAsia="en-GB"/>
              </w:rPr>
              <w:t xml:space="preserve">) </w:t>
            </w:r>
          </w:p>
        </w:tc>
        <w:tc>
          <w:tcPr>
            <w:tcW w:w="1890" w:type="dxa"/>
            <w:tcBorders>
              <w:top w:val="single" w:sz="4" w:space="0" w:color="auto"/>
              <w:bottom w:val="double" w:sz="4" w:space="0" w:color="auto"/>
            </w:tcBorders>
            <w:shd w:val="clear" w:color="auto" w:fill="auto"/>
            <w:tcMar>
              <w:left w:w="57" w:type="dxa"/>
              <w:right w:w="28" w:type="dxa"/>
            </w:tcMar>
          </w:tcPr>
          <w:p w14:paraId="027B22C5" w14:textId="77777777" w:rsidR="002E4A62" w:rsidRPr="00E70587" w:rsidRDefault="002E4A62"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(1,303) </w:t>
            </w:r>
          </w:p>
        </w:tc>
      </w:tr>
    </w:tbl>
    <w:p w14:paraId="792F614F" w14:textId="77777777" w:rsidR="00D9764D" w:rsidRPr="00E70587" w:rsidRDefault="00D9764D" w:rsidP="002E4A62">
      <w:pPr>
        <w:pStyle w:val="tabletext"/>
        <w:overflowPunct w:val="0"/>
        <w:autoSpaceDE w:val="0"/>
        <w:autoSpaceDN w:val="0"/>
        <w:adjustRightInd w:val="0"/>
        <w:spacing w:line="280" w:lineRule="exact"/>
        <w:jc w:val="both"/>
        <w:textAlignment w:val="baseline"/>
        <w:rPr>
          <w:rFonts w:ascii="Arial" w:hAnsi="Arial" w:cs="Arial"/>
          <w:sz w:val="20"/>
          <w:lang w:val="en-IN"/>
        </w:rPr>
      </w:pPr>
    </w:p>
    <w:tbl>
      <w:tblPr>
        <w:tblW w:w="9576" w:type="dxa"/>
        <w:tblLook w:val="0000" w:firstRow="0" w:lastRow="0" w:firstColumn="0" w:lastColumn="0" w:noHBand="0" w:noVBand="0"/>
      </w:tblPr>
      <w:tblGrid>
        <w:gridCol w:w="9576"/>
      </w:tblGrid>
      <w:tr w:rsidR="002E4A62" w:rsidRPr="00E70587" w14:paraId="12CDEB5F" w14:textId="77777777" w:rsidTr="002E4A62">
        <w:tc>
          <w:tcPr>
            <w:tcW w:w="0" w:type="auto"/>
          </w:tcPr>
          <w:p w14:paraId="43586ADC" w14:textId="4BEABF66" w:rsidR="009263E7" w:rsidRPr="009263E7" w:rsidRDefault="009263E7" w:rsidP="009263E7">
            <w:pPr>
              <w:pStyle w:val="IAStext"/>
              <w:shd w:val="clear" w:color="auto" w:fill="C1C1C1" w:themeFill="background1" w:themeFillTint="66"/>
              <w:spacing w:line="280" w:lineRule="exact"/>
              <w:jc w:val="both"/>
              <w:rPr>
                <w:rFonts w:ascii="Arial" w:hAnsi="Arial" w:cs="Arial"/>
                <w:b/>
                <w:bCs/>
                <w:i w:val="0"/>
                <w:sz w:val="20"/>
                <w:lang w:val="en-IN"/>
              </w:rPr>
            </w:pPr>
            <w:r w:rsidRPr="009263E7">
              <w:rPr>
                <w:rFonts w:ascii="Arial" w:hAnsi="Arial" w:cs="Arial"/>
                <w:b/>
                <w:bCs/>
                <w:i w:val="0"/>
                <w:sz w:val="20"/>
                <w:lang w:val="en-IN"/>
              </w:rPr>
              <w:t>Author’s Note</w:t>
            </w:r>
          </w:p>
          <w:p w14:paraId="02E44423" w14:textId="77777777" w:rsidR="009263E7" w:rsidRDefault="009263E7" w:rsidP="009263E7">
            <w:pPr>
              <w:pStyle w:val="IAStext"/>
              <w:shd w:val="clear" w:color="auto" w:fill="C1C1C1" w:themeFill="background1" w:themeFillTint="66"/>
              <w:spacing w:line="280" w:lineRule="exact"/>
              <w:jc w:val="both"/>
              <w:rPr>
                <w:rFonts w:ascii="Arial" w:hAnsi="Arial" w:cs="Arial"/>
                <w:i w:val="0"/>
                <w:sz w:val="20"/>
                <w:lang w:val="en-IN"/>
              </w:rPr>
            </w:pPr>
          </w:p>
          <w:p w14:paraId="7C782CD4" w14:textId="56D39A5D" w:rsidR="009263E7" w:rsidRDefault="009263E7" w:rsidP="009263E7">
            <w:pPr>
              <w:pStyle w:val="IAStext"/>
              <w:shd w:val="clear" w:color="auto" w:fill="C1C1C1" w:themeFill="background1" w:themeFillTint="66"/>
              <w:spacing w:line="280" w:lineRule="exact"/>
              <w:jc w:val="both"/>
              <w:rPr>
                <w:rFonts w:ascii="Arial" w:hAnsi="Arial" w:cs="Arial"/>
                <w:i w:val="0"/>
                <w:sz w:val="20"/>
                <w:lang w:val="en-IN"/>
              </w:rPr>
            </w:pPr>
            <w:r w:rsidRPr="009263E7">
              <w:rPr>
                <w:rFonts w:ascii="Arial" w:hAnsi="Arial" w:cs="Arial"/>
                <w:i w:val="0"/>
                <w:sz w:val="20"/>
                <w:lang w:val="en-IN"/>
              </w:rPr>
              <w:t>Although not specifically required by Ind AS 1 or Ind AS 12, the reconciliation of the net deferred tax liability may be helpful. As in some other disclosures included in this note, the cross reference with the amounts from which they are derived is not direct. Nevertheless, the reasonableness of each balance may be obtained from the respective notes by applying a 30% tax rate. The exception being the accelerated depreciation for tax purposes whose change during the year is mainly explained by the acquisition of Extinguishers Limited (see Note 36).</w:t>
            </w:r>
          </w:p>
          <w:p w14:paraId="630C1A17" w14:textId="77777777" w:rsidR="009263E7" w:rsidRDefault="009263E7" w:rsidP="009901E1">
            <w:pPr>
              <w:pStyle w:val="IAStext"/>
              <w:spacing w:line="280" w:lineRule="exact"/>
              <w:jc w:val="both"/>
              <w:rPr>
                <w:rFonts w:ascii="Arial" w:hAnsi="Arial" w:cs="Arial"/>
                <w:i w:val="0"/>
                <w:sz w:val="20"/>
                <w:lang w:val="en-IN"/>
              </w:rPr>
            </w:pPr>
          </w:p>
          <w:p w14:paraId="29B51BB2" w14:textId="7546FBC0" w:rsidR="00001A3B" w:rsidRPr="00E70587" w:rsidRDefault="002E4A62" w:rsidP="009901E1">
            <w:pPr>
              <w:pStyle w:val="IAStext"/>
              <w:spacing w:line="280" w:lineRule="exact"/>
              <w:jc w:val="both"/>
              <w:rPr>
                <w:rFonts w:ascii="Arial" w:hAnsi="Arial" w:cs="Arial"/>
                <w:i w:val="0"/>
                <w:sz w:val="20"/>
                <w:u w:val="words"/>
                <w:lang w:val="en-IN"/>
              </w:rPr>
            </w:pPr>
            <w:r w:rsidRPr="00E70587">
              <w:rPr>
                <w:rFonts w:ascii="Arial" w:hAnsi="Arial" w:cs="Arial"/>
                <w:i w:val="0"/>
                <w:sz w:val="20"/>
                <w:lang w:val="en-IN"/>
              </w:rPr>
              <w:t>The Group offsets tax assets and liabilities if and only if it has a legally enforceable right to set off current tax assets and current tax liabilities and the deferred tax assets and deferred tax liabilities relate to income taxes levied by the same tax authority.</w:t>
            </w:r>
          </w:p>
          <w:p w14:paraId="23F44938" w14:textId="77777777" w:rsidR="002E4A62" w:rsidRPr="00E70587" w:rsidRDefault="002E4A62" w:rsidP="009901E1">
            <w:pPr>
              <w:pStyle w:val="IAStext"/>
              <w:spacing w:line="280" w:lineRule="exact"/>
              <w:jc w:val="both"/>
              <w:rPr>
                <w:rFonts w:ascii="Arial" w:hAnsi="Arial" w:cs="Arial"/>
                <w:i w:val="0"/>
                <w:sz w:val="20"/>
                <w:lang w:val="en-IN"/>
              </w:rPr>
            </w:pPr>
          </w:p>
          <w:p w14:paraId="6DA99CBE" w14:textId="10324689" w:rsidR="002E4A62" w:rsidRPr="00E70587" w:rsidRDefault="002E4A62" w:rsidP="009901E1">
            <w:pPr>
              <w:pStyle w:val="Notesbodytext"/>
              <w:spacing w:after="0" w:line="280" w:lineRule="exact"/>
              <w:jc w:val="both"/>
              <w:rPr>
                <w:rFonts w:ascii="Arial" w:hAnsi="Arial"/>
                <w:color w:val="auto"/>
                <w:sz w:val="20"/>
              </w:rPr>
            </w:pPr>
            <w:r w:rsidRPr="00E70587">
              <w:rPr>
                <w:rFonts w:ascii="Arial" w:hAnsi="Arial"/>
                <w:color w:val="auto"/>
                <w:sz w:val="20"/>
              </w:rPr>
              <w:t>The Group has tax losses which arose in India of INR 76</w:t>
            </w:r>
            <w:r w:rsidR="00583189" w:rsidRPr="00E70587">
              <w:rPr>
                <w:rFonts w:ascii="Arial" w:hAnsi="Arial"/>
                <w:color w:val="auto"/>
                <w:sz w:val="20"/>
              </w:rPr>
              <w:t>9</w:t>
            </w:r>
            <w:r w:rsidRPr="00E70587">
              <w:rPr>
                <w:rFonts w:ascii="Arial" w:hAnsi="Arial"/>
                <w:color w:val="auto"/>
                <w:sz w:val="20"/>
              </w:rPr>
              <w:t xml:space="preserve"> (31 </w:t>
            </w:r>
            <w:r w:rsidR="008B730E" w:rsidRPr="00E70587">
              <w:rPr>
                <w:rFonts w:ascii="Arial" w:hAnsi="Arial"/>
                <w:color w:val="auto"/>
                <w:sz w:val="20"/>
              </w:rPr>
              <w:t xml:space="preserve">March </w:t>
            </w:r>
            <w:r w:rsidR="00DB4638" w:rsidRPr="00E70587">
              <w:rPr>
                <w:rFonts w:ascii="Arial" w:hAnsi="Arial"/>
                <w:color w:val="auto"/>
                <w:sz w:val="20"/>
              </w:rPr>
              <w:t>20</w:t>
            </w:r>
            <w:r w:rsidR="00DB4638">
              <w:rPr>
                <w:rFonts w:ascii="Arial" w:hAnsi="Arial"/>
                <w:color w:val="auto"/>
                <w:sz w:val="20"/>
              </w:rPr>
              <w:t>20</w:t>
            </w:r>
            <w:r w:rsidRPr="00E70587">
              <w:rPr>
                <w:rFonts w:ascii="Arial" w:hAnsi="Arial"/>
                <w:color w:val="auto"/>
                <w:sz w:val="20"/>
              </w:rPr>
              <w:t>: INR 2</w:t>
            </w:r>
            <w:r w:rsidR="00583189" w:rsidRPr="00E70587">
              <w:rPr>
                <w:rFonts w:ascii="Arial" w:hAnsi="Arial"/>
                <w:color w:val="auto"/>
                <w:sz w:val="20"/>
              </w:rPr>
              <w:t>,</w:t>
            </w:r>
            <w:r w:rsidRPr="00E70587">
              <w:rPr>
                <w:rFonts w:ascii="Arial" w:hAnsi="Arial"/>
                <w:color w:val="auto"/>
                <w:sz w:val="20"/>
              </w:rPr>
              <w:t xml:space="preserve">156,) that are available for offsetting for eight years against future taxable profits of the companies in which the losses arose. </w:t>
            </w:r>
            <w:r w:rsidR="00FD2D3F" w:rsidRPr="00E70587">
              <w:rPr>
                <w:rFonts w:ascii="Arial" w:hAnsi="Arial"/>
                <w:color w:val="auto"/>
                <w:sz w:val="20"/>
              </w:rPr>
              <w:t xml:space="preserve">Majority of these losses </w:t>
            </w:r>
            <w:r w:rsidRPr="00E70587">
              <w:rPr>
                <w:rFonts w:ascii="Arial" w:hAnsi="Arial"/>
                <w:color w:val="auto"/>
                <w:sz w:val="20"/>
              </w:rPr>
              <w:t xml:space="preserve">will expire in March </w:t>
            </w:r>
            <w:r w:rsidR="00DB4638" w:rsidRPr="00E70587">
              <w:rPr>
                <w:rFonts w:ascii="Arial" w:hAnsi="Arial"/>
                <w:color w:val="auto"/>
                <w:sz w:val="20"/>
              </w:rPr>
              <w:t>202</w:t>
            </w:r>
            <w:r w:rsidR="00DB4638">
              <w:rPr>
                <w:rFonts w:ascii="Arial" w:hAnsi="Arial"/>
                <w:color w:val="auto"/>
                <w:sz w:val="20"/>
              </w:rPr>
              <w:t>6</w:t>
            </w:r>
            <w:r w:rsidRPr="00E70587">
              <w:rPr>
                <w:rFonts w:ascii="Arial" w:hAnsi="Arial"/>
                <w:color w:val="auto"/>
                <w:sz w:val="20"/>
              </w:rPr>
              <w:t>.</w:t>
            </w:r>
          </w:p>
          <w:p w14:paraId="1EEF1618" w14:textId="77777777" w:rsidR="002E4A62" w:rsidRPr="00E70587" w:rsidRDefault="002E4A62" w:rsidP="009901E1">
            <w:pPr>
              <w:pStyle w:val="Notesbodytext"/>
              <w:spacing w:after="0" w:line="280" w:lineRule="exact"/>
              <w:jc w:val="both"/>
              <w:rPr>
                <w:rFonts w:ascii="Arial" w:hAnsi="Arial"/>
                <w:color w:val="auto"/>
                <w:sz w:val="20"/>
              </w:rPr>
            </w:pPr>
          </w:p>
          <w:p w14:paraId="552F4DF1" w14:textId="77777777" w:rsidR="002E4A62" w:rsidRPr="00E70587" w:rsidRDefault="002E4A62" w:rsidP="009901E1">
            <w:pPr>
              <w:pStyle w:val="IAStext"/>
              <w:spacing w:line="280" w:lineRule="exact"/>
              <w:jc w:val="both"/>
              <w:rPr>
                <w:rFonts w:ascii="Arial" w:hAnsi="Arial" w:cs="Arial"/>
                <w:i w:val="0"/>
                <w:sz w:val="20"/>
                <w:lang w:val="en-IN"/>
              </w:rPr>
            </w:pPr>
            <w:r w:rsidRPr="00E70587">
              <w:rPr>
                <w:rFonts w:ascii="Arial" w:hAnsi="Arial" w:cs="Arial"/>
                <w:i w:val="0"/>
                <w:sz w:val="20"/>
                <w:lang w:val="en-IN"/>
              </w:rPr>
              <w:t>Deferred tax assets have not been recognised in respect of these losses as they may not be used to offset taxable profits elsewhere in the Group, they have arisen in subsidiaries that have been loss-making for some time, and there are no other tax planning opportunities or other evidence of recoverability in the near future. If the Group were able to recognise all unrecognised deferred tax assets, the profit would increase by INR 230</w:t>
            </w:r>
          </w:p>
        </w:tc>
      </w:tr>
      <w:tr w:rsidR="002E4A62" w:rsidRPr="00E70587" w14:paraId="38957A1E" w14:textId="77777777" w:rsidTr="002E4A62">
        <w:tc>
          <w:tcPr>
            <w:tcW w:w="0" w:type="auto"/>
          </w:tcPr>
          <w:p w14:paraId="00CB66AB" w14:textId="77777777" w:rsidR="002E4A62" w:rsidRPr="00E70587" w:rsidRDefault="002E4A62" w:rsidP="009901E1">
            <w:pPr>
              <w:spacing w:line="280" w:lineRule="exact"/>
              <w:rPr>
                <w:rFonts w:ascii="Arial" w:hAnsi="Arial" w:cs="Arial"/>
                <w:sz w:val="20"/>
              </w:rPr>
            </w:pPr>
          </w:p>
          <w:p w14:paraId="162E68B8" w14:textId="77506DAF" w:rsidR="002E4A62" w:rsidRPr="00E70587" w:rsidRDefault="002E4A62" w:rsidP="009901E1">
            <w:pPr>
              <w:pStyle w:val="Notesbodytext"/>
              <w:spacing w:after="0" w:line="280" w:lineRule="exact"/>
              <w:jc w:val="both"/>
              <w:rPr>
                <w:rFonts w:ascii="Arial" w:hAnsi="Arial"/>
                <w:color w:val="auto"/>
                <w:sz w:val="20"/>
              </w:rPr>
            </w:pPr>
            <w:r w:rsidRPr="00E70587">
              <w:rPr>
                <w:rFonts w:ascii="Arial" w:hAnsi="Arial"/>
                <w:color w:val="auto"/>
                <w:sz w:val="20"/>
              </w:rPr>
              <w:t xml:space="preserve">At 31 </w:t>
            </w:r>
            <w:r w:rsidR="00E1202D" w:rsidRPr="00E70587">
              <w:rPr>
                <w:rFonts w:ascii="Arial" w:hAnsi="Arial"/>
                <w:color w:val="auto"/>
                <w:sz w:val="20"/>
              </w:rPr>
              <w:t xml:space="preserve">March </w:t>
            </w:r>
            <w:r w:rsidR="00DB4638" w:rsidRPr="00E70587">
              <w:rPr>
                <w:rFonts w:ascii="Arial" w:hAnsi="Arial"/>
                <w:color w:val="auto"/>
                <w:sz w:val="20"/>
              </w:rPr>
              <w:t>20</w:t>
            </w:r>
            <w:r w:rsidR="00DB4638">
              <w:rPr>
                <w:rFonts w:ascii="Arial" w:hAnsi="Arial"/>
                <w:color w:val="auto"/>
                <w:sz w:val="20"/>
              </w:rPr>
              <w:t>21</w:t>
            </w:r>
            <w:r w:rsidRPr="00E70587">
              <w:rPr>
                <w:rFonts w:ascii="Arial" w:hAnsi="Arial"/>
                <w:color w:val="auto"/>
                <w:sz w:val="20"/>
              </w:rPr>
              <w:t xml:space="preserve">, there was no recognised deferred tax liability (31 </w:t>
            </w:r>
            <w:r w:rsidR="008B730E" w:rsidRPr="00E70587">
              <w:rPr>
                <w:rFonts w:ascii="Arial" w:hAnsi="Arial"/>
                <w:color w:val="auto"/>
                <w:sz w:val="20"/>
              </w:rPr>
              <w:t xml:space="preserve">March </w:t>
            </w:r>
            <w:r w:rsidR="00DB4638" w:rsidRPr="00E70587">
              <w:rPr>
                <w:rFonts w:ascii="Arial" w:hAnsi="Arial"/>
                <w:color w:val="auto"/>
                <w:sz w:val="20"/>
              </w:rPr>
              <w:t>20</w:t>
            </w:r>
            <w:r w:rsidR="00DB4638">
              <w:rPr>
                <w:rFonts w:ascii="Arial" w:hAnsi="Arial"/>
                <w:color w:val="auto"/>
                <w:sz w:val="20"/>
              </w:rPr>
              <w:t>20</w:t>
            </w:r>
            <w:r w:rsidRPr="00E70587">
              <w:rPr>
                <w:rFonts w:ascii="Arial" w:hAnsi="Arial"/>
                <w:color w:val="auto"/>
                <w:sz w:val="20"/>
              </w:rPr>
              <w:t xml:space="preserve">: INR Nil) for taxes that would be payable on the unremitted earnings of certain of the Group’s subsidiaries, associate or joint venture. The Group has determined that undistributed profits of its subsidiaries, joint venture or associate will not be distributed in the foreseeable future. The Group has an agreement with its associate that the profits of the associate will not be distributed until it obtains the consent of the Group. The parent does not foresee giving such a consent being given at the reporting date. Furthermore, the Group’s joint venture will not distribute its profits until it obtains the consent from all venture partners. </w:t>
            </w:r>
          </w:p>
          <w:p w14:paraId="0D740FF9" w14:textId="77777777" w:rsidR="002E4A62" w:rsidRPr="00E70587" w:rsidRDefault="002E4A62" w:rsidP="009901E1">
            <w:pPr>
              <w:pStyle w:val="Notesbodytext"/>
              <w:spacing w:after="0" w:line="280" w:lineRule="exact"/>
              <w:jc w:val="both"/>
              <w:rPr>
                <w:rFonts w:ascii="Arial" w:hAnsi="Arial"/>
                <w:i/>
                <w:color w:val="auto"/>
                <w:sz w:val="20"/>
              </w:rPr>
            </w:pPr>
          </w:p>
        </w:tc>
      </w:tr>
      <w:tr w:rsidR="002E4A62" w:rsidRPr="00E70587" w14:paraId="3D2D06D2" w14:textId="77777777" w:rsidTr="002E4A62">
        <w:tc>
          <w:tcPr>
            <w:tcW w:w="0" w:type="auto"/>
          </w:tcPr>
          <w:p w14:paraId="597AAB00" w14:textId="638CB900" w:rsidR="002E4A62" w:rsidRPr="00E70587" w:rsidRDefault="002E4A62" w:rsidP="009901E1">
            <w:pPr>
              <w:pStyle w:val="Notesbodytext"/>
              <w:spacing w:after="0" w:line="280" w:lineRule="exact"/>
              <w:jc w:val="both"/>
              <w:rPr>
                <w:rFonts w:ascii="Arial" w:hAnsi="Arial"/>
                <w:color w:val="auto"/>
                <w:sz w:val="20"/>
              </w:rPr>
            </w:pPr>
            <w:r w:rsidRPr="00E70587">
              <w:rPr>
                <w:rFonts w:ascii="Arial" w:hAnsi="Arial"/>
                <w:color w:val="auto"/>
                <w:sz w:val="20"/>
              </w:rPr>
              <w:t>The temporary differences associated with investments in subsidiaries, associate and joint venture, for which a deferred tax liability has not been recognised, aggregate to INR 3</w:t>
            </w:r>
            <w:r w:rsidR="00583189" w:rsidRPr="00E70587">
              <w:rPr>
                <w:rFonts w:ascii="Arial" w:hAnsi="Arial"/>
                <w:color w:val="auto"/>
                <w:sz w:val="20"/>
              </w:rPr>
              <w:t>,</w:t>
            </w:r>
            <w:r w:rsidRPr="00E70587">
              <w:rPr>
                <w:rFonts w:ascii="Arial" w:hAnsi="Arial"/>
                <w:color w:val="auto"/>
                <w:sz w:val="20"/>
              </w:rPr>
              <w:t xml:space="preserve">141 (31 </w:t>
            </w:r>
            <w:r w:rsidR="008B730E" w:rsidRPr="00E70587">
              <w:rPr>
                <w:rFonts w:ascii="Arial" w:hAnsi="Arial"/>
                <w:color w:val="auto"/>
                <w:sz w:val="20"/>
              </w:rPr>
              <w:t xml:space="preserve">March </w:t>
            </w:r>
            <w:r w:rsidR="00DB4638" w:rsidRPr="00E70587">
              <w:rPr>
                <w:rFonts w:ascii="Arial" w:hAnsi="Arial"/>
                <w:color w:val="auto"/>
                <w:sz w:val="20"/>
              </w:rPr>
              <w:t>20</w:t>
            </w:r>
            <w:r w:rsidR="00DB4638">
              <w:rPr>
                <w:rFonts w:ascii="Arial" w:hAnsi="Arial"/>
                <w:color w:val="auto"/>
                <w:sz w:val="20"/>
              </w:rPr>
              <w:t>20</w:t>
            </w:r>
            <w:r w:rsidRPr="00E70587">
              <w:rPr>
                <w:rFonts w:ascii="Arial" w:hAnsi="Arial"/>
                <w:color w:val="auto"/>
                <w:sz w:val="20"/>
              </w:rPr>
              <w:t>: INR 2</w:t>
            </w:r>
            <w:r w:rsidR="00583189" w:rsidRPr="00E70587">
              <w:rPr>
                <w:rFonts w:ascii="Arial" w:hAnsi="Arial"/>
                <w:color w:val="auto"/>
                <w:sz w:val="20"/>
              </w:rPr>
              <w:t>,</w:t>
            </w:r>
            <w:r w:rsidRPr="00E70587">
              <w:rPr>
                <w:rFonts w:ascii="Arial" w:hAnsi="Arial"/>
                <w:color w:val="auto"/>
                <w:sz w:val="20"/>
              </w:rPr>
              <w:t>624).</w:t>
            </w:r>
          </w:p>
          <w:p w14:paraId="51FEF5EB" w14:textId="77777777" w:rsidR="002E4A62" w:rsidRPr="00E70587" w:rsidRDefault="002E4A62" w:rsidP="009901E1">
            <w:pPr>
              <w:pStyle w:val="Notesbodytext"/>
              <w:spacing w:after="0" w:line="280" w:lineRule="exact"/>
              <w:jc w:val="both"/>
              <w:rPr>
                <w:rFonts w:ascii="Arial" w:hAnsi="Arial"/>
                <w:color w:val="auto"/>
                <w:sz w:val="20"/>
              </w:rPr>
            </w:pPr>
          </w:p>
        </w:tc>
      </w:tr>
      <w:tr w:rsidR="002E4A62" w:rsidRPr="00E70587" w14:paraId="537B27D5" w14:textId="77777777" w:rsidTr="002E4A62">
        <w:tc>
          <w:tcPr>
            <w:tcW w:w="0" w:type="auto"/>
          </w:tcPr>
          <w:p w14:paraId="036B86F3" w14:textId="5A5875A0" w:rsidR="002E4A62" w:rsidRPr="00E70587" w:rsidRDefault="002E4A62" w:rsidP="009901E1">
            <w:pPr>
              <w:pStyle w:val="Notesbodytext"/>
              <w:spacing w:after="0" w:line="280" w:lineRule="exact"/>
              <w:jc w:val="both"/>
              <w:rPr>
                <w:rFonts w:ascii="Arial" w:hAnsi="Arial"/>
                <w:color w:val="auto"/>
                <w:sz w:val="20"/>
              </w:rPr>
            </w:pPr>
            <w:r w:rsidRPr="00E70587">
              <w:rPr>
                <w:rFonts w:ascii="Arial" w:hAnsi="Arial"/>
                <w:color w:val="auto"/>
                <w:sz w:val="20"/>
              </w:rPr>
              <w:t xml:space="preserve">During the year ended 31 </w:t>
            </w:r>
            <w:r w:rsidR="00E1202D" w:rsidRPr="00E70587">
              <w:rPr>
                <w:rFonts w:ascii="Arial" w:hAnsi="Arial"/>
                <w:color w:val="auto"/>
                <w:sz w:val="20"/>
              </w:rPr>
              <w:t xml:space="preserve">March </w:t>
            </w:r>
            <w:r w:rsidR="00DB4638" w:rsidRPr="00E70587">
              <w:rPr>
                <w:rFonts w:ascii="Arial" w:hAnsi="Arial"/>
                <w:color w:val="auto"/>
                <w:sz w:val="20"/>
              </w:rPr>
              <w:t>20</w:t>
            </w:r>
            <w:r w:rsidR="00DB4638">
              <w:rPr>
                <w:rFonts w:ascii="Arial" w:hAnsi="Arial"/>
                <w:color w:val="auto"/>
                <w:sz w:val="20"/>
              </w:rPr>
              <w:t>21</w:t>
            </w:r>
            <w:r w:rsidR="00DB4638" w:rsidRPr="00E70587">
              <w:rPr>
                <w:rFonts w:ascii="Arial" w:hAnsi="Arial"/>
                <w:color w:val="auto"/>
                <w:sz w:val="20"/>
              </w:rPr>
              <w:t xml:space="preserve"> </w:t>
            </w:r>
            <w:r w:rsidRPr="00E70587">
              <w:rPr>
                <w:rFonts w:ascii="Arial" w:hAnsi="Arial"/>
                <w:color w:val="auto"/>
                <w:sz w:val="20"/>
              </w:rPr>
              <w:t xml:space="preserve">and 31 </w:t>
            </w:r>
            <w:r w:rsidR="008B730E" w:rsidRPr="00E70587">
              <w:rPr>
                <w:rFonts w:ascii="Arial" w:hAnsi="Arial"/>
                <w:color w:val="auto"/>
                <w:sz w:val="20"/>
              </w:rPr>
              <w:t xml:space="preserve">March </w:t>
            </w:r>
            <w:r w:rsidR="00DB4638" w:rsidRPr="00E70587">
              <w:rPr>
                <w:rFonts w:ascii="Arial" w:hAnsi="Arial"/>
                <w:color w:val="auto"/>
                <w:sz w:val="20"/>
              </w:rPr>
              <w:t>20</w:t>
            </w:r>
            <w:r w:rsidR="00DB4638">
              <w:rPr>
                <w:rFonts w:ascii="Arial" w:hAnsi="Arial"/>
                <w:color w:val="auto"/>
                <w:sz w:val="20"/>
              </w:rPr>
              <w:t>20</w:t>
            </w:r>
            <w:r w:rsidRPr="00E70587">
              <w:rPr>
                <w:rFonts w:ascii="Arial" w:hAnsi="Arial"/>
                <w:color w:val="auto"/>
                <w:sz w:val="20"/>
              </w:rPr>
              <w:t>, the parent company has paid dividend to its shareholders. This has resulted in payment of dividend distribution tax (DDT) to the taxation authorities</w:t>
            </w:r>
            <w:r w:rsidR="00C24191">
              <w:rPr>
                <w:rFonts w:ascii="Arial" w:hAnsi="Arial"/>
                <w:color w:val="auto"/>
                <w:sz w:val="20"/>
              </w:rPr>
              <w:t xml:space="preserve"> except in case of 31 March 2021</w:t>
            </w:r>
            <w:r w:rsidRPr="00E70587">
              <w:rPr>
                <w:rFonts w:ascii="Arial" w:hAnsi="Arial"/>
                <w:color w:val="auto"/>
                <w:sz w:val="20"/>
              </w:rPr>
              <w:t>. The group believes that dividend distribution tax represents additional payment to taxation authority on behalf of the shareholders. Hence dividend distribution tax paid is charged to equity</w:t>
            </w:r>
            <w:r w:rsidR="00001A3B" w:rsidRPr="00E70587">
              <w:rPr>
                <w:rFonts w:ascii="Arial" w:hAnsi="Arial"/>
                <w:color w:val="auto"/>
                <w:sz w:val="20"/>
              </w:rPr>
              <w:t>.</w:t>
            </w:r>
          </w:p>
          <w:p w14:paraId="4F24D7E4" w14:textId="77777777" w:rsidR="00001A3B" w:rsidRPr="00E70587" w:rsidRDefault="00001A3B" w:rsidP="009901E1">
            <w:pPr>
              <w:pStyle w:val="Notesbodytext"/>
              <w:spacing w:after="0" w:line="280" w:lineRule="exact"/>
              <w:jc w:val="both"/>
              <w:rPr>
                <w:rFonts w:ascii="Arial" w:hAnsi="Arial"/>
                <w:color w:val="auto"/>
                <w:sz w:val="20"/>
              </w:rPr>
            </w:pPr>
          </w:p>
        </w:tc>
      </w:tr>
    </w:tbl>
    <w:p w14:paraId="22C5F2B8" w14:textId="5E7B3AFF" w:rsidR="005729D1" w:rsidRPr="005729D1" w:rsidRDefault="005729D1" w:rsidP="005729D1">
      <w:pPr>
        <w:pStyle w:val="Notesbodytext"/>
        <w:shd w:val="clear" w:color="auto" w:fill="C1C1C1" w:themeFill="background1" w:themeFillTint="66"/>
        <w:spacing w:line="280" w:lineRule="exact"/>
        <w:rPr>
          <w:rFonts w:ascii="Arial" w:hAnsi="Arial"/>
          <w:b/>
          <w:bCs/>
          <w:color w:val="auto"/>
          <w:sz w:val="20"/>
        </w:rPr>
      </w:pPr>
      <w:r w:rsidRPr="005729D1">
        <w:rPr>
          <w:rFonts w:ascii="Arial" w:hAnsi="Arial"/>
          <w:b/>
          <w:bCs/>
          <w:color w:val="auto"/>
          <w:sz w:val="20"/>
        </w:rPr>
        <w:t>Author’s Note</w:t>
      </w:r>
    </w:p>
    <w:p w14:paraId="2247CBF9" w14:textId="1EFD3D49" w:rsidR="00591B28" w:rsidRDefault="005729D1" w:rsidP="005729D1">
      <w:pPr>
        <w:pStyle w:val="Notesbodytext"/>
        <w:shd w:val="clear" w:color="auto" w:fill="C1C1C1" w:themeFill="background1" w:themeFillTint="66"/>
        <w:spacing w:after="0" w:line="280" w:lineRule="exact"/>
        <w:rPr>
          <w:rFonts w:ascii="Arial" w:hAnsi="Arial"/>
          <w:color w:val="auto"/>
          <w:sz w:val="20"/>
        </w:rPr>
      </w:pPr>
      <w:r w:rsidRPr="005729D1">
        <w:rPr>
          <w:rFonts w:ascii="Arial" w:hAnsi="Arial"/>
          <w:color w:val="auto"/>
          <w:sz w:val="20"/>
        </w:rPr>
        <w:t xml:space="preserve">Ind AS 1.61 requires an entity to separately disclose the line items that are included in the amount expected to be recovered or settled both within 12 months and more than 12 months after the reporting </w:t>
      </w:r>
      <w:r w:rsidRPr="005729D1">
        <w:rPr>
          <w:rFonts w:ascii="Arial" w:hAnsi="Arial"/>
          <w:color w:val="auto"/>
          <w:sz w:val="20"/>
        </w:rPr>
        <w:lastRenderedPageBreak/>
        <w:t>date for each line item that combines such amounts. Deferred tax assets and liabilities may be considered one example for items combining such amounts. However, Ind AS 1.56, in contrast, does not permit to present deferred tax items as current.</w:t>
      </w:r>
    </w:p>
    <w:p w14:paraId="7E27E19A" w14:textId="5B06C3CF" w:rsidR="005729D1" w:rsidRDefault="005729D1" w:rsidP="009901E1">
      <w:pPr>
        <w:pStyle w:val="Notesbodytext"/>
        <w:spacing w:after="0" w:line="280" w:lineRule="exact"/>
        <w:rPr>
          <w:rFonts w:ascii="Arial" w:hAnsi="Arial"/>
          <w:color w:val="auto"/>
          <w:sz w:val="20"/>
        </w:rPr>
      </w:pPr>
    </w:p>
    <w:p w14:paraId="2D92C793" w14:textId="77777777" w:rsidR="005729D1" w:rsidRPr="00E70587" w:rsidRDefault="005729D1" w:rsidP="009901E1">
      <w:pPr>
        <w:pStyle w:val="Notesbodytext"/>
        <w:spacing w:after="0" w:line="280" w:lineRule="exact"/>
        <w:rPr>
          <w:rFonts w:ascii="Arial" w:hAnsi="Arial"/>
          <w:color w:val="auto"/>
          <w:sz w:val="20"/>
        </w:rPr>
      </w:pPr>
    </w:p>
    <w:p w14:paraId="3371BF38" w14:textId="77777777" w:rsidR="00FB0C73" w:rsidRPr="00E70587" w:rsidRDefault="00FB0C73"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 xml:space="preserve">Trade and other payables </w:t>
      </w:r>
    </w:p>
    <w:p w14:paraId="2DC1980B" w14:textId="77777777" w:rsidR="00BC09BA" w:rsidRPr="00E70587" w:rsidRDefault="00BC09BA" w:rsidP="00BB4BC9">
      <w:pPr>
        <w:pStyle w:val="Notesbodytext"/>
        <w:spacing w:after="0" w:line="280" w:lineRule="exact"/>
        <w:rPr>
          <w:rFonts w:ascii="Arial" w:hAnsi="Arial"/>
          <w:sz w:val="20"/>
        </w:rPr>
      </w:pPr>
    </w:p>
    <w:p w14:paraId="76F2A985" w14:textId="77777777" w:rsidR="00BC09BA" w:rsidRPr="00E70587" w:rsidRDefault="00265AAC" w:rsidP="00BC09BA">
      <w:pPr>
        <w:pStyle w:val="ViralheadingL2"/>
        <w:keepNext w:val="0"/>
        <w:spacing w:before="0" w:after="0" w:line="280" w:lineRule="exact"/>
        <w:outlineLvl w:val="9"/>
        <w:rPr>
          <w:rFonts w:ascii="Arial" w:hAnsi="Arial" w:cs="Arial"/>
          <w:sz w:val="20"/>
          <w:szCs w:val="20"/>
        </w:rPr>
      </w:pPr>
      <w:r w:rsidRPr="00E70587">
        <w:rPr>
          <w:rFonts w:ascii="Arial" w:hAnsi="Arial" w:cs="Arial"/>
          <w:sz w:val="20"/>
          <w:szCs w:val="20"/>
        </w:rPr>
        <w:t xml:space="preserve">A. </w:t>
      </w:r>
      <w:r w:rsidR="00BC09BA" w:rsidRPr="00E70587">
        <w:rPr>
          <w:rFonts w:ascii="Arial" w:hAnsi="Arial" w:cs="Arial"/>
          <w:sz w:val="20"/>
          <w:szCs w:val="20"/>
        </w:rPr>
        <w:t>Trade payable</w:t>
      </w:r>
      <w:r w:rsidR="00745C36" w:rsidRPr="00E70587">
        <w:rPr>
          <w:rFonts w:ascii="Arial" w:hAnsi="Arial" w:cs="Arial"/>
          <w:sz w:val="20"/>
          <w:szCs w:val="20"/>
        </w:rPr>
        <w:t>s</w:t>
      </w:r>
    </w:p>
    <w:p w14:paraId="565E571D" w14:textId="6AC83EFB" w:rsidR="00FB0C73" w:rsidRDefault="00FB0C73" w:rsidP="009901E1">
      <w:pPr>
        <w:spacing w:line="280" w:lineRule="exact"/>
        <w:rPr>
          <w:rFonts w:ascii="Arial" w:hAnsi="Arial" w:cs="Arial"/>
          <w:sz w:val="20"/>
        </w:rPr>
      </w:pPr>
    </w:p>
    <w:tbl>
      <w:tblPr>
        <w:tblW w:w="9568" w:type="dxa"/>
        <w:tblLayout w:type="fixed"/>
        <w:tblLook w:val="01E0" w:firstRow="1" w:lastRow="1" w:firstColumn="1" w:lastColumn="1" w:noHBand="0" w:noVBand="0"/>
      </w:tblPr>
      <w:tblGrid>
        <w:gridCol w:w="5954"/>
        <w:gridCol w:w="1807"/>
        <w:gridCol w:w="1807"/>
      </w:tblGrid>
      <w:tr w:rsidR="00DE3B56" w:rsidRPr="00E70587" w14:paraId="5F9D73B8" w14:textId="77777777" w:rsidTr="000B03B1">
        <w:tc>
          <w:tcPr>
            <w:tcW w:w="5954" w:type="dxa"/>
            <w:shd w:val="clear" w:color="auto" w:fill="auto"/>
          </w:tcPr>
          <w:p w14:paraId="6A72F0AF" w14:textId="77777777" w:rsidR="00DE3B56" w:rsidRPr="00E70587" w:rsidRDefault="00DE3B56" w:rsidP="005F283E">
            <w:pPr>
              <w:pStyle w:val="000Normal"/>
              <w:spacing w:before="0" w:after="0" w:line="280" w:lineRule="exact"/>
              <w:rPr>
                <w:rFonts w:ascii="Arial" w:hAnsi="Arial" w:cs="Arial"/>
                <w:sz w:val="20"/>
              </w:rPr>
            </w:pPr>
          </w:p>
        </w:tc>
        <w:tc>
          <w:tcPr>
            <w:tcW w:w="1807" w:type="dxa"/>
            <w:tcBorders>
              <w:bottom w:val="single" w:sz="4" w:space="0" w:color="auto"/>
            </w:tcBorders>
            <w:shd w:val="clear" w:color="auto" w:fill="auto"/>
            <w:vAlign w:val="bottom"/>
          </w:tcPr>
          <w:p w14:paraId="568858EB" w14:textId="77777777" w:rsidR="00DE3B56" w:rsidRPr="00E70587" w:rsidRDefault="00DE3B56" w:rsidP="005F283E">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31 March 20</w:t>
            </w:r>
            <w:r>
              <w:rPr>
                <w:rFonts w:ascii="Arial" w:hAnsi="Arial"/>
                <w:color w:val="auto"/>
                <w:sz w:val="20"/>
                <w:szCs w:val="20"/>
                <w:lang w:val="en-IN"/>
              </w:rPr>
              <w:t>21</w:t>
            </w:r>
          </w:p>
        </w:tc>
        <w:tc>
          <w:tcPr>
            <w:tcW w:w="1807" w:type="dxa"/>
            <w:tcBorders>
              <w:bottom w:val="single" w:sz="4" w:space="0" w:color="auto"/>
            </w:tcBorders>
            <w:shd w:val="clear" w:color="auto" w:fill="auto"/>
            <w:vAlign w:val="bottom"/>
          </w:tcPr>
          <w:p w14:paraId="47C80610" w14:textId="77777777" w:rsidR="00DE3B56" w:rsidRPr="00E70587" w:rsidRDefault="00DE3B56" w:rsidP="005F283E">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31 March 20</w:t>
            </w:r>
            <w:r>
              <w:rPr>
                <w:rFonts w:ascii="Arial" w:hAnsi="Arial"/>
                <w:color w:val="auto"/>
                <w:sz w:val="20"/>
                <w:szCs w:val="20"/>
                <w:lang w:val="en-IN"/>
              </w:rPr>
              <w:t>20</w:t>
            </w:r>
          </w:p>
        </w:tc>
      </w:tr>
      <w:tr w:rsidR="000B03B1" w:rsidRPr="00E70587" w14:paraId="503D29ED" w14:textId="77777777" w:rsidTr="000B03B1">
        <w:tc>
          <w:tcPr>
            <w:tcW w:w="5954" w:type="dxa"/>
            <w:shd w:val="clear" w:color="auto" w:fill="auto"/>
          </w:tcPr>
          <w:p w14:paraId="366D46DE" w14:textId="77777777" w:rsidR="00DE3B56" w:rsidRPr="00DE3B56" w:rsidRDefault="00DE3B56" w:rsidP="00DE3B56">
            <w:pPr>
              <w:pStyle w:val="000Normal"/>
              <w:spacing w:before="0" w:after="0" w:line="280" w:lineRule="exact"/>
              <w:rPr>
                <w:rFonts w:ascii="Arial" w:hAnsi="Arial" w:cs="Arial"/>
                <w:sz w:val="20"/>
              </w:rPr>
            </w:pPr>
          </w:p>
        </w:tc>
        <w:tc>
          <w:tcPr>
            <w:tcW w:w="1807" w:type="dxa"/>
            <w:tcBorders>
              <w:top w:val="single" w:sz="4" w:space="0" w:color="auto"/>
              <w:bottom w:val="single" w:sz="4" w:space="0" w:color="auto"/>
            </w:tcBorders>
            <w:shd w:val="clear" w:color="auto" w:fill="auto"/>
            <w:vAlign w:val="bottom"/>
          </w:tcPr>
          <w:p w14:paraId="19447124" w14:textId="77777777" w:rsidR="00DE3B56" w:rsidRPr="00E70587" w:rsidRDefault="00DE3B56" w:rsidP="005F283E">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07" w:type="dxa"/>
            <w:tcBorders>
              <w:top w:val="single" w:sz="4" w:space="0" w:color="auto"/>
              <w:bottom w:val="single" w:sz="4" w:space="0" w:color="auto"/>
            </w:tcBorders>
            <w:shd w:val="clear" w:color="auto" w:fill="auto"/>
            <w:vAlign w:val="bottom"/>
          </w:tcPr>
          <w:p w14:paraId="71B53849" w14:textId="77777777" w:rsidR="00DE3B56" w:rsidRPr="00E70587" w:rsidRDefault="00DE3B56" w:rsidP="005F283E">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0B03B1" w:rsidRPr="00E70587" w14:paraId="72055813" w14:textId="77777777" w:rsidTr="000B03B1">
        <w:tc>
          <w:tcPr>
            <w:tcW w:w="5954" w:type="dxa"/>
            <w:shd w:val="clear" w:color="auto" w:fill="auto"/>
          </w:tcPr>
          <w:p w14:paraId="557E4808" w14:textId="77777777" w:rsidR="00DE3B56" w:rsidRPr="00E70587" w:rsidRDefault="00DE3B56" w:rsidP="00DE3B56">
            <w:pPr>
              <w:pStyle w:val="000Normal"/>
              <w:rPr>
                <w:rFonts w:ascii="Arial" w:hAnsi="Arial" w:cs="Arial"/>
                <w:sz w:val="20"/>
              </w:rPr>
            </w:pPr>
            <w:r w:rsidRPr="00E70587">
              <w:rPr>
                <w:rFonts w:ascii="Arial" w:hAnsi="Arial" w:cs="Arial"/>
                <w:sz w:val="20"/>
              </w:rPr>
              <w:t>Trade payables</w:t>
            </w:r>
          </w:p>
        </w:tc>
        <w:tc>
          <w:tcPr>
            <w:tcW w:w="1807" w:type="dxa"/>
            <w:tcBorders>
              <w:top w:val="single" w:sz="4" w:space="0" w:color="auto"/>
            </w:tcBorders>
            <w:shd w:val="clear" w:color="auto" w:fill="auto"/>
            <w:vAlign w:val="bottom"/>
          </w:tcPr>
          <w:p w14:paraId="689E3A10" w14:textId="3B5BB713" w:rsidR="00DE3B56" w:rsidRPr="00DE3B56" w:rsidRDefault="00DE3B56" w:rsidP="00DE3B56">
            <w:pPr>
              <w:pStyle w:val="Tablecolumnheading"/>
              <w:rPr>
                <w:rFonts w:ascii="Arial" w:hAnsi="Arial"/>
                <w:color w:val="auto"/>
                <w:sz w:val="20"/>
                <w:szCs w:val="20"/>
                <w:lang w:val="en-IN"/>
              </w:rPr>
            </w:pPr>
          </w:p>
        </w:tc>
        <w:tc>
          <w:tcPr>
            <w:tcW w:w="1807" w:type="dxa"/>
            <w:tcBorders>
              <w:top w:val="single" w:sz="4" w:space="0" w:color="auto"/>
            </w:tcBorders>
            <w:shd w:val="clear" w:color="auto" w:fill="auto"/>
            <w:vAlign w:val="bottom"/>
          </w:tcPr>
          <w:p w14:paraId="19266BE1" w14:textId="3B958887" w:rsidR="00DE3B56" w:rsidRPr="00DE3B56" w:rsidRDefault="00DE3B56" w:rsidP="00DE3B56">
            <w:pPr>
              <w:pStyle w:val="Tablecolumnheading"/>
              <w:rPr>
                <w:rFonts w:ascii="Arial" w:hAnsi="Arial"/>
                <w:color w:val="auto"/>
                <w:sz w:val="20"/>
                <w:szCs w:val="20"/>
                <w:lang w:val="en-IN"/>
              </w:rPr>
            </w:pPr>
          </w:p>
        </w:tc>
      </w:tr>
      <w:tr w:rsidR="000B03B1" w:rsidRPr="00E70587" w14:paraId="2A2DC11C" w14:textId="77777777" w:rsidTr="000B03B1">
        <w:tc>
          <w:tcPr>
            <w:tcW w:w="5954" w:type="dxa"/>
            <w:shd w:val="clear" w:color="auto" w:fill="auto"/>
          </w:tcPr>
          <w:p w14:paraId="6B8618ED" w14:textId="0D2335F7" w:rsidR="000B03B1" w:rsidRPr="000B03B1" w:rsidRDefault="000B03B1" w:rsidP="00E466DD">
            <w:pPr>
              <w:pStyle w:val="000Normal"/>
              <w:numPr>
                <w:ilvl w:val="0"/>
                <w:numId w:val="53"/>
              </w:numPr>
              <w:rPr>
                <w:rFonts w:ascii="Arial" w:hAnsi="Arial" w:cs="Arial"/>
                <w:color w:val="000000"/>
                <w:sz w:val="20"/>
              </w:rPr>
            </w:pPr>
            <w:r w:rsidRPr="005A5BA8">
              <w:rPr>
                <w:rFonts w:ascii="Arial" w:hAnsi="Arial" w:cs="Arial"/>
                <w:color w:val="000000"/>
                <w:sz w:val="20"/>
              </w:rPr>
              <w:t xml:space="preserve">total outstanding dues of micro enterprises and small enterprises (refer note 20 </w:t>
            </w:r>
            <w:r w:rsidR="003406DD">
              <w:rPr>
                <w:rFonts w:ascii="Arial" w:hAnsi="Arial" w:cs="Arial"/>
                <w:color w:val="000000"/>
                <w:sz w:val="20"/>
              </w:rPr>
              <w:t>C</w:t>
            </w:r>
            <w:r w:rsidRPr="005A5BA8">
              <w:rPr>
                <w:rFonts w:ascii="Arial" w:hAnsi="Arial" w:cs="Arial"/>
                <w:color w:val="000000"/>
                <w:sz w:val="20"/>
              </w:rPr>
              <w:t xml:space="preserve"> for details of dues to micro and small enterprises)</w:t>
            </w:r>
          </w:p>
        </w:tc>
        <w:tc>
          <w:tcPr>
            <w:tcW w:w="1807" w:type="dxa"/>
            <w:shd w:val="clear" w:color="auto" w:fill="auto"/>
            <w:vAlign w:val="bottom"/>
          </w:tcPr>
          <w:p w14:paraId="12773D0D" w14:textId="718FD5E7" w:rsidR="000B03B1" w:rsidRPr="003406DD" w:rsidRDefault="003406DD" w:rsidP="00DE3B56">
            <w:pPr>
              <w:pStyle w:val="Tablecolumnheading"/>
              <w:rPr>
                <w:rFonts w:ascii="Arial" w:hAnsi="Arial"/>
                <w:b w:val="0"/>
                <w:bCs/>
                <w:color w:val="auto"/>
                <w:sz w:val="20"/>
                <w:szCs w:val="20"/>
                <w:lang w:val="en-IN"/>
              </w:rPr>
            </w:pPr>
            <w:r w:rsidRPr="003406DD">
              <w:rPr>
                <w:rFonts w:ascii="Arial" w:hAnsi="Arial"/>
                <w:b w:val="0"/>
                <w:bCs/>
                <w:color w:val="auto"/>
                <w:sz w:val="20"/>
                <w:szCs w:val="20"/>
                <w:lang w:val="en-IN"/>
              </w:rPr>
              <w:t>42</w:t>
            </w:r>
          </w:p>
        </w:tc>
        <w:tc>
          <w:tcPr>
            <w:tcW w:w="1807" w:type="dxa"/>
            <w:shd w:val="clear" w:color="auto" w:fill="auto"/>
            <w:vAlign w:val="bottom"/>
          </w:tcPr>
          <w:p w14:paraId="036DE66E" w14:textId="4E6C2330" w:rsidR="000B03B1" w:rsidRPr="003406DD" w:rsidRDefault="003406DD" w:rsidP="00DE3B56">
            <w:pPr>
              <w:pStyle w:val="Tablecolumnheading"/>
              <w:rPr>
                <w:rFonts w:ascii="Arial" w:hAnsi="Arial"/>
                <w:b w:val="0"/>
                <w:bCs/>
                <w:color w:val="auto"/>
                <w:sz w:val="20"/>
                <w:szCs w:val="20"/>
                <w:lang w:val="en-IN"/>
              </w:rPr>
            </w:pPr>
            <w:r w:rsidRPr="003406DD">
              <w:rPr>
                <w:rFonts w:ascii="Arial" w:hAnsi="Arial"/>
                <w:b w:val="0"/>
                <w:bCs/>
                <w:color w:val="auto"/>
                <w:sz w:val="20"/>
                <w:szCs w:val="20"/>
                <w:lang w:val="en-IN"/>
              </w:rPr>
              <w:t>12</w:t>
            </w:r>
          </w:p>
        </w:tc>
      </w:tr>
      <w:tr w:rsidR="00DE3B56" w:rsidRPr="00E70587" w14:paraId="1A6413C2" w14:textId="77777777" w:rsidTr="000B03B1">
        <w:tc>
          <w:tcPr>
            <w:tcW w:w="5954" w:type="dxa"/>
            <w:shd w:val="clear" w:color="auto" w:fill="auto"/>
          </w:tcPr>
          <w:p w14:paraId="5210B9BA" w14:textId="71A1E3AD" w:rsidR="005A5BA8" w:rsidRPr="005A5BA8" w:rsidRDefault="005A5BA8" w:rsidP="00E466DD">
            <w:pPr>
              <w:pStyle w:val="000Normal"/>
              <w:numPr>
                <w:ilvl w:val="0"/>
                <w:numId w:val="53"/>
              </w:numPr>
              <w:rPr>
                <w:rFonts w:ascii="Arial" w:hAnsi="Arial" w:cs="Arial"/>
                <w:sz w:val="20"/>
              </w:rPr>
            </w:pPr>
            <w:r w:rsidRPr="005A5BA8">
              <w:rPr>
                <w:rFonts w:ascii="Arial" w:hAnsi="Arial" w:cs="Arial"/>
                <w:color w:val="000000"/>
                <w:sz w:val="20"/>
              </w:rPr>
              <w:t>total outstanding dues of creditors other than micro enterprises and small enterprises</w:t>
            </w:r>
          </w:p>
        </w:tc>
        <w:tc>
          <w:tcPr>
            <w:tcW w:w="1807" w:type="dxa"/>
            <w:tcBorders>
              <w:bottom w:val="single" w:sz="4" w:space="0" w:color="auto"/>
            </w:tcBorders>
            <w:shd w:val="clear" w:color="auto" w:fill="auto"/>
            <w:vAlign w:val="bottom"/>
          </w:tcPr>
          <w:p w14:paraId="66B1F2E7" w14:textId="41656F4E" w:rsidR="00DE3B56" w:rsidRPr="003406DD" w:rsidRDefault="003406DD" w:rsidP="00DE3B56">
            <w:pPr>
              <w:pStyle w:val="Tablecolumnheading"/>
              <w:rPr>
                <w:rFonts w:ascii="Arial" w:hAnsi="Arial"/>
                <w:b w:val="0"/>
                <w:bCs/>
                <w:color w:val="auto"/>
                <w:sz w:val="20"/>
                <w:szCs w:val="20"/>
                <w:lang w:val="en-IN"/>
              </w:rPr>
            </w:pPr>
            <w:r w:rsidRPr="003406DD">
              <w:rPr>
                <w:rFonts w:ascii="Arial" w:hAnsi="Arial"/>
                <w:b w:val="0"/>
                <w:bCs/>
                <w:color w:val="auto"/>
                <w:sz w:val="20"/>
                <w:szCs w:val="20"/>
                <w:lang w:val="en-IN"/>
              </w:rPr>
              <w:t>27,824</w:t>
            </w:r>
            <w:r w:rsidR="00DE3B56" w:rsidRPr="003406DD">
              <w:rPr>
                <w:rFonts w:ascii="Arial" w:hAnsi="Arial"/>
                <w:b w:val="0"/>
                <w:bCs/>
                <w:color w:val="auto"/>
                <w:sz w:val="20"/>
                <w:szCs w:val="20"/>
                <w:lang w:val="en-IN"/>
              </w:rPr>
              <w:t xml:space="preserve"> </w:t>
            </w:r>
          </w:p>
        </w:tc>
        <w:tc>
          <w:tcPr>
            <w:tcW w:w="1807" w:type="dxa"/>
            <w:tcBorders>
              <w:bottom w:val="single" w:sz="4" w:space="0" w:color="auto"/>
            </w:tcBorders>
            <w:shd w:val="clear" w:color="auto" w:fill="auto"/>
            <w:vAlign w:val="bottom"/>
          </w:tcPr>
          <w:p w14:paraId="53C07C0E" w14:textId="1C7694A6" w:rsidR="00DE3B56" w:rsidRPr="003406DD" w:rsidRDefault="00DE3B56" w:rsidP="00DE3B56">
            <w:pPr>
              <w:pStyle w:val="Tablecolumnheading"/>
              <w:rPr>
                <w:rFonts w:ascii="Arial" w:hAnsi="Arial"/>
                <w:b w:val="0"/>
                <w:bCs/>
                <w:color w:val="auto"/>
                <w:sz w:val="20"/>
                <w:szCs w:val="20"/>
                <w:lang w:val="en-IN"/>
              </w:rPr>
            </w:pPr>
            <w:r w:rsidRPr="003406DD">
              <w:rPr>
                <w:rFonts w:ascii="Arial" w:hAnsi="Arial"/>
                <w:b w:val="0"/>
                <w:bCs/>
                <w:color w:val="auto"/>
                <w:sz w:val="20"/>
                <w:szCs w:val="20"/>
                <w:lang w:val="en-IN"/>
              </w:rPr>
              <w:t xml:space="preserve"> </w:t>
            </w:r>
            <w:r w:rsidR="003406DD" w:rsidRPr="003406DD">
              <w:rPr>
                <w:rFonts w:ascii="Arial" w:hAnsi="Arial"/>
                <w:b w:val="0"/>
                <w:bCs/>
                <w:color w:val="auto"/>
                <w:sz w:val="20"/>
                <w:szCs w:val="20"/>
                <w:lang w:val="en-IN"/>
              </w:rPr>
              <w:t>30,156</w:t>
            </w:r>
            <w:r w:rsidRPr="003406DD">
              <w:rPr>
                <w:rFonts w:ascii="Arial" w:hAnsi="Arial"/>
                <w:b w:val="0"/>
                <w:bCs/>
                <w:color w:val="auto"/>
                <w:sz w:val="20"/>
                <w:szCs w:val="20"/>
                <w:lang w:val="en-IN"/>
              </w:rPr>
              <w:t xml:space="preserve"> </w:t>
            </w:r>
          </w:p>
        </w:tc>
      </w:tr>
      <w:tr w:rsidR="00DE3B56" w:rsidRPr="00E70587" w14:paraId="2652A9EB" w14:textId="77777777" w:rsidTr="00DE3B56">
        <w:tc>
          <w:tcPr>
            <w:tcW w:w="5954" w:type="dxa"/>
            <w:shd w:val="clear" w:color="auto" w:fill="auto"/>
          </w:tcPr>
          <w:p w14:paraId="0C56B7D2" w14:textId="77777777" w:rsidR="00DE3B56" w:rsidRPr="00E70587" w:rsidRDefault="00DE3B56" w:rsidP="00DE3B56">
            <w:pPr>
              <w:pStyle w:val="000Normal"/>
              <w:rPr>
                <w:rFonts w:ascii="Arial" w:hAnsi="Arial" w:cs="Arial"/>
                <w:sz w:val="20"/>
              </w:rPr>
            </w:pPr>
          </w:p>
        </w:tc>
        <w:tc>
          <w:tcPr>
            <w:tcW w:w="1807" w:type="dxa"/>
            <w:tcBorders>
              <w:bottom w:val="single" w:sz="4" w:space="0" w:color="auto"/>
            </w:tcBorders>
            <w:shd w:val="clear" w:color="auto" w:fill="auto"/>
            <w:vAlign w:val="bottom"/>
          </w:tcPr>
          <w:p w14:paraId="75D6AB8F" w14:textId="77777777" w:rsidR="00DE3B56" w:rsidRPr="00DE3B56" w:rsidRDefault="00DE3B56" w:rsidP="00DE3B56">
            <w:pPr>
              <w:pStyle w:val="Tablecolumnheading"/>
              <w:rPr>
                <w:rFonts w:ascii="Arial" w:hAnsi="Arial"/>
                <w:color w:val="auto"/>
                <w:sz w:val="20"/>
                <w:szCs w:val="20"/>
                <w:lang w:val="en-IN"/>
              </w:rPr>
            </w:pPr>
            <w:r w:rsidRPr="00DE3B56">
              <w:rPr>
                <w:rFonts w:ascii="Arial" w:hAnsi="Arial"/>
                <w:color w:val="auto"/>
                <w:sz w:val="20"/>
                <w:szCs w:val="20"/>
                <w:lang w:val="en-IN"/>
              </w:rPr>
              <w:t>27,866</w:t>
            </w:r>
          </w:p>
        </w:tc>
        <w:tc>
          <w:tcPr>
            <w:tcW w:w="1807" w:type="dxa"/>
            <w:tcBorders>
              <w:bottom w:val="single" w:sz="4" w:space="0" w:color="auto"/>
            </w:tcBorders>
            <w:shd w:val="clear" w:color="auto" w:fill="auto"/>
            <w:vAlign w:val="bottom"/>
          </w:tcPr>
          <w:p w14:paraId="47807699" w14:textId="77777777" w:rsidR="00DE3B56" w:rsidRPr="00DE3B56" w:rsidRDefault="00DE3B56" w:rsidP="00DE3B56">
            <w:pPr>
              <w:pStyle w:val="Tablecolumnheading"/>
              <w:rPr>
                <w:rFonts w:ascii="Arial" w:hAnsi="Arial"/>
                <w:color w:val="auto"/>
                <w:sz w:val="20"/>
                <w:szCs w:val="20"/>
                <w:lang w:val="en-IN"/>
              </w:rPr>
            </w:pPr>
            <w:r w:rsidRPr="00DE3B56">
              <w:rPr>
                <w:rFonts w:ascii="Arial" w:hAnsi="Arial"/>
                <w:color w:val="auto"/>
                <w:sz w:val="20"/>
                <w:szCs w:val="20"/>
                <w:lang w:val="en-IN"/>
              </w:rPr>
              <w:t>30,168</w:t>
            </w:r>
          </w:p>
        </w:tc>
      </w:tr>
      <w:tr w:rsidR="000A2ED4" w:rsidRPr="00E70587" w14:paraId="038B72F1" w14:textId="77777777" w:rsidTr="000B03B1">
        <w:tc>
          <w:tcPr>
            <w:tcW w:w="5954" w:type="dxa"/>
            <w:shd w:val="clear" w:color="auto" w:fill="auto"/>
          </w:tcPr>
          <w:p w14:paraId="3B8E4A03" w14:textId="77777777" w:rsidR="00DE3B56" w:rsidRDefault="00DE3B56" w:rsidP="009901E1">
            <w:pPr>
              <w:pStyle w:val="000Normal"/>
              <w:spacing w:before="0" w:after="0" w:line="280" w:lineRule="exact"/>
              <w:rPr>
                <w:rFonts w:ascii="Arial" w:hAnsi="Arial" w:cs="Arial"/>
                <w:sz w:val="20"/>
              </w:rPr>
            </w:pPr>
          </w:p>
          <w:p w14:paraId="7C40E0DA" w14:textId="54EDA2E0" w:rsidR="00DE3B56" w:rsidRPr="00E70587" w:rsidRDefault="00DE3B56" w:rsidP="009901E1">
            <w:pPr>
              <w:pStyle w:val="000Normal"/>
              <w:spacing w:before="0" w:after="0" w:line="280" w:lineRule="exact"/>
              <w:rPr>
                <w:rFonts w:ascii="Arial" w:hAnsi="Arial" w:cs="Arial"/>
                <w:sz w:val="20"/>
              </w:rPr>
            </w:pPr>
          </w:p>
        </w:tc>
        <w:tc>
          <w:tcPr>
            <w:tcW w:w="1807" w:type="dxa"/>
            <w:tcBorders>
              <w:bottom w:val="single" w:sz="4" w:space="0" w:color="auto"/>
            </w:tcBorders>
            <w:shd w:val="clear" w:color="auto" w:fill="auto"/>
            <w:vAlign w:val="bottom"/>
          </w:tcPr>
          <w:p w14:paraId="5FFF0BEC" w14:textId="0EA55D82"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DB4638" w:rsidRPr="00E70587">
              <w:rPr>
                <w:rFonts w:ascii="Arial" w:hAnsi="Arial"/>
                <w:color w:val="auto"/>
                <w:sz w:val="20"/>
                <w:szCs w:val="20"/>
                <w:lang w:val="en-IN"/>
              </w:rPr>
              <w:t>20</w:t>
            </w:r>
            <w:r w:rsidR="00DB4638">
              <w:rPr>
                <w:rFonts w:ascii="Arial" w:hAnsi="Arial"/>
                <w:color w:val="auto"/>
                <w:sz w:val="20"/>
                <w:szCs w:val="20"/>
                <w:lang w:val="en-IN"/>
              </w:rPr>
              <w:t>21</w:t>
            </w:r>
          </w:p>
        </w:tc>
        <w:tc>
          <w:tcPr>
            <w:tcW w:w="1807" w:type="dxa"/>
            <w:tcBorders>
              <w:bottom w:val="single" w:sz="4" w:space="0" w:color="auto"/>
            </w:tcBorders>
            <w:shd w:val="clear" w:color="auto" w:fill="auto"/>
            <w:vAlign w:val="bottom"/>
          </w:tcPr>
          <w:p w14:paraId="567938F8" w14:textId="79010AA8"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DB4638" w:rsidRPr="00E70587">
              <w:rPr>
                <w:rFonts w:ascii="Arial" w:hAnsi="Arial"/>
                <w:color w:val="auto"/>
                <w:sz w:val="20"/>
                <w:szCs w:val="20"/>
                <w:lang w:val="en-IN"/>
              </w:rPr>
              <w:t>20</w:t>
            </w:r>
            <w:r w:rsidR="00DB4638">
              <w:rPr>
                <w:rFonts w:ascii="Arial" w:hAnsi="Arial"/>
                <w:color w:val="auto"/>
                <w:sz w:val="20"/>
                <w:szCs w:val="20"/>
                <w:lang w:val="en-IN"/>
              </w:rPr>
              <w:t>20</w:t>
            </w:r>
          </w:p>
        </w:tc>
      </w:tr>
      <w:tr w:rsidR="000A2ED4" w:rsidRPr="00E70587" w14:paraId="6759CC1A" w14:textId="77777777" w:rsidTr="000B03B1">
        <w:tc>
          <w:tcPr>
            <w:tcW w:w="5954" w:type="dxa"/>
          </w:tcPr>
          <w:p w14:paraId="17C529CC" w14:textId="77777777" w:rsidR="000A2ED4" w:rsidRPr="00E70587" w:rsidRDefault="000A2ED4" w:rsidP="009901E1">
            <w:pPr>
              <w:pStyle w:val="000Normal"/>
              <w:spacing w:before="0" w:after="0" w:line="280" w:lineRule="exact"/>
              <w:jc w:val="right"/>
              <w:rPr>
                <w:rFonts w:ascii="Arial" w:hAnsi="Arial" w:cs="Arial"/>
                <w:b/>
                <w:sz w:val="20"/>
              </w:rPr>
            </w:pPr>
          </w:p>
        </w:tc>
        <w:tc>
          <w:tcPr>
            <w:tcW w:w="1807" w:type="dxa"/>
            <w:tcBorders>
              <w:top w:val="single" w:sz="4" w:space="0" w:color="auto"/>
              <w:bottom w:val="single" w:sz="4" w:space="0" w:color="auto"/>
            </w:tcBorders>
          </w:tcPr>
          <w:p w14:paraId="01E12AF7" w14:textId="77777777"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07" w:type="dxa"/>
            <w:tcBorders>
              <w:top w:val="single" w:sz="4" w:space="0" w:color="auto"/>
              <w:bottom w:val="single" w:sz="4" w:space="0" w:color="auto"/>
            </w:tcBorders>
          </w:tcPr>
          <w:p w14:paraId="3639ED85" w14:textId="77777777"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0A2ED4" w:rsidRPr="00E70587" w14:paraId="5146DFC9" w14:textId="77777777" w:rsidTr="000B03B1">
        <w:tc>
          <w:tcPr>
            <w:tcW w:w="5954" w:type="dxa"/>
            <w:tcMar>
              <w:top w:w="28" w:type="dxa"/>
            </w:tcMar>
          </w:tcPr>
          <w:p w14:paraId="7AF7E88B" w14:textId="77777777" w:rsidR="000A2ED4" w:rsidRPr="00E70587" w:rsidRDefault="000A2ED4" w:rsidP="00FB71AE">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Trade payables</w:t>
            </w:r>
          </w:p>
        </w:tc>
        <w:tc>
          <w:tcPr>
            <w:tcW w:w="1807" w:type="dxa"/>
            <w:tcBorders>
              <w:top w:val="single" w:sz="4" w:space="0" w:color="auto"/>
            </w:tcBorders>
            <w:tcMar>
              <w:top w:w="28" w:type="dxa"/>
            </w:tcMar>
          </w:tcPr>
          <w:p w14:paraId="13A11A4E" w14:textId="77777777" w:rsidR="000A2ED4" w:rsidRPr="00E70587" w:rsidRDefault="000A2ED4" w:rsidP="00FB71AE">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27,794</w:t>
            </w:r>
          </w:p>
        </w:tc>
        <w:tc>
          <w:tcPr>
            <w:tcW w:w="1807" w:type="dxa"/>
            <w:tcBorders>
              <w:top w:val="single" w:sz="4" w:space="0" w:color="auto"/>
            </w:tcBorders>
            <w:tcMar>
              <w:top w:w="28" w:type="dxa"/>
            </w:tcMar>
          </w:tcPr>
          <w:p w14:paraId="267AD4EA" w14:textId="77777777" w:rsidR="000A2ED4" w:rsidRPr="00E70587" w:rsidRDefault="000A2ED4" w:rsidP="00FB71AE">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30,128</w:t>
            </w:r>
          </w:p>
        </w:tc>
      </w:tr>
      <w:tr w:rsidR="000A2ED4" w:rsidRPr="00E70587" w14:paraId="70AD83B0" w14:textId="77777777" w:rsidTr="000A2ED4">
        <w:tc>
          <w:tcPr>
            <w:tcW w:w="5954" w:type="dxa"/>
            <w:tcMar>
              <w:top w:w="28" w:type="dxa"/>
            </w:tcMar>
          </w:tcPr>
          <w:p w14:paraId="27040680" w14:textId="77777777" w:rsidR="000A2ED4" w:rsidRPr="00E70587" w:rsidRDefault="000A2ED4" w:rsidP="00FB71AE">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Related parties </w:t>
            </w:r>
          </w:p>
        </w:tc>
        <w:tc>
          <w:tcPr>
            <w:tcW w:w="1807" w:type="dxa"/>
            <w:tcBorders>
              <w:bottom w:val="single" w:sz="4" w:space="0" w:color="auto"/>
            </w:tcBorders>
            <w:tcMar>
              <w:top w:w="28" w:type="dxa"/>
            </w:tcMar>
          </w:tcPr>
          <w:p w14:paraId="607A263A" w14:textId="77777777" w:rsidR="000A2ED4" w:rsidRPr="00E70587" w:rsidRDefault="000A2ED4" w:rsidP="00FB71AE">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72 </w:t>
            </w:r>
          </w:p>
        </w:tc>
        <w:tc>
          <w:tcPr>
            <w:tcW w:w="1807" w:type="dxa"/>
            <w:tcBorders>
              <w:bottom w:val="single" w:sz="4" w:space="0" w:color="auto"/>
            </w:tcBorders>
            <w:tcMar>
              <w:top w:w="28" w:type="dxa"/>
            </w:tcMar>
          </w:tcPr>
          <w:p w14:paraId="49197515" w14:textId="77777777" w:rsidR="000A2ED4" w:rsidRPr="00E70587" w:rsidRDefault="000A2ED4" w:rsidP="00FB71AE">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40 </w:t>
            </w:r>
          </w:p>
        </w:tc>
      </w:tr>
      <w:tr w:rsidR="000A2ED4" w:rsidRPr="00E70587" w14:paraId="02F50F6E" w14:textId="77777777" w:rsidTr="000A2ED4">
        <w:tc>
          <w:tcPr>
            <w:tcW w:w="5954" w:type="dxa"/>
            <w:tcMar>
              <w:top w:w="28" w:type="dxa"/>
            </w:tcMar>
          </w:tcPr>
          <w:p w14:paraId="4BA1E7B4" w14:textId="77777777" w:rsidR="000A2ED4" w:rsidRPr="00E70587" w:rsidRDefault="000A2ED4" w:rsidP="00FB71AE">
            <w:pPr>
              <w:pStyle w:val="tabletext"/>
              <w:overflowPunct w:val="0"/>
              <w:autoSpaceDE w:val="0"/>
              <w:autoSpaceDN w:val="0"/>
              <w:adjustRightInd w:val="0"/>
              <w:spacing w:line="280" w:lineRule="exact"/>
              <w:textAlignment w:val="baseline"/>
              <w:rPr>
                <w:rFonts w:ascii="Arial" w:hAnsi="Arial" w:cs="Arial"/>
                <w:sz w:val="20"/>
                <w:lang w:val="en-IN"/>
              </w:rPr>
            </w:pPr>
          </w:p>
        </w:tc>
        <w:tc>
          <w:tcPr>
            <w:tcW w:w="1807" w:type="dxa"/>
            <w:tcBorders>
              <w:top w:val="single" w:sz="4" w:space="0" w:color="auto"/>
              <w:bottom w:val="double" w:sz="4" w:space="0" w:color="auto"/>
            </w:tcBorders>
            <w:tcMar>
              <w:top w:w="28" w:type="dxa"/>
            </w:tcMar>
          </w:tcPr>
          <w:p w14:paraId="1D42CC78" w14:textId="77777777" w:rsidR="000A2ED4" w:rsidRPr="00E70587" w:rsidRDefault="000A2ED4" w:rsidP="00FB71AE">
            <w:pPr>
              <w:overflowPunct/>
              <w:spacing w:line="280" w:lineRule="exact"/>
              <w:jc w:val="right"/>
              <w:textAlignment w:val="auto"/>
              <w:rPr>
                <w:rFonts w:ascii="Arial" w:hAnsi="Arial" w:cs="Arial"/>
                <w:b/>
                <w:bCs/>
                <w:sz w:val="20"/>
                <w:lang w:eastAsia="en-GB"/>
              </w:rPr>
            </w:pPr>
            <w:r w:rsidRPr="00E70587">
              <w:rPr>
                <w:rFonts w:ascii="Arial" w:hAnsi="Arial" w:cs="Arial"/>
                <w:b/>
                <w:sz w:val="20"/>
              </w:rPr>
              <w:t>27,866</w:t>
            </w:r>
          </w:p>
        </w:tc>
        <w:tc>
          <w:tcPr>
            <w:tcW w:w="1807" w:type="dxa"/>
            <w:tcBorders>
              <w:top w:val="single" w:sz="4" w:space="0" w:color="auto"/>
              <w:bottom w:val="double" w:sz="4" w:space="0" w:color="auto"/>
            </w:tcBorders>
            <w:tcMar>
              <w:top w:w="28" w:type="dxa"/>
            </w:tcMar>
          </w:tcPr>
          <w:p w14:paraId="26AAD689" w14:textId="77777777" w:rsidR="000A2ED4" w:rsidRPr="00E70587" w:rsidRDefault="000A2ED4" w:rsidP="00FB71AE">
            <w:pPr>
              <w:overflowPunct/>
              <w:spacing w:line="280" w:lineRule="exact"/>
              <w:jc w:val="right"/>
              <w:textAlignment w:val="auto"/>
              <w:rPr>
                <w:rFonts w:ascii="Arial" w:hAnsi="Arial" w:cs="Arial"/>
                <w:b/>
                <w:bCs/>
                <w:sz w:val="20"/>
                <w:lang w:eastAsia="en-GB"/>
              </w:rPr>
            </w:pPr>
            <w:r w:rsidRPr="00E70587">
              <w:rPr>
                <w:rFonts w:ascii="Arial" w:hAnsi="Arial" w:cs="Arial"/>
                <w:b/>
                <w:sz w:val="20"/>
              </w:rPr>
              <w:t>30,168</w:t>
            </w:r>
          </w:p>
        </w:tc>
      </w:tr>
    </w:tbl>
    <w:p w14:paraId="0E5D9148" w14:textId="77777777" w:rsidR="00FB0C73" w:rsidRPr="00E70587" w:rsidRDefault="00FB0C73" w:rsidP="009901E1">
      <w:pPr>
        <w:pStyle w:val="Notesbodytext"/>
        <w:spacing w:after="0" w:line="280" w:lineRule="exact"/>
        <w:rPr>
          <w:rFonts w:ascii="Arial" w:hAnsi="Arial"/>
          <w:color w:val="auto"/>
          <w:sz w:val="20"/>
        </w:rPr>
      </w:pPr>
    </w:p>
    <w:p w14:paraId="369B31FA" w14:textId="77777777" w:rsidR="00BC09BA" w:rsidRPr="00E70587" w:rsidRDefault="00265AAC" w:rsidP="009901E1">
      <w:pPr>
        <w:pStyle w:val="Notesbodytext"/>
        <w:spacing w:after="0" w:line="280" w:lineRule="exact"/>
        <w:rPr>
          <w:rFonts w:ascii="Arial" w:hAnsi="Arial"/>
          <w:b/>
          <w:color w:val="auto"/>
          <w:sz w:val="20"/>
        </w:rPr>
      </w:pPr>
      <w:r w:rsidRPr="00E70587">
        <w:rPr>
          <w:rFonts w:ascii="Arial" w:hAnsi="Arial"/>
          <w:b/>
          <w:color w:val="auto"/>
          <w:sz w:val="20"/>
        </w:rPr>
        <w:t xml:space="preserve">B. </w:t>
      </w:r>
      <w:r w:rsidR="00BC09BA" w:rsidRPr="00E70587">
        <w:rPr>
          <w:rFonts w:ascii="Arial" w:hAnsi="Arial"/>
          <w:b/>
          <w:color w:val="auto"/>
          <w:sz w:val="20"/>
        </w:rPr>
        <w:t>Other payable</w:t>
      </w:r>
      <w:r w:rsidR="00745C36" w:rsidRPr="00E70587">
        <w:rPr>
          <w:rFonts w:ascii="Arial" w:hAnsi="Arial"/>
          <w:b/>
          <w:color w:val="auto"/>
          <w:sz w:val="20"/>
        </w:rPr>
        <w:t>s</w:t>
      </w:r>
    </w:p>
    <w:p w14:paraId="7AD924D9" w14:textId="77777777" w:rsidR="00BC09BA" w:rsidRPr="00E70587" w:rsidRDefault="00BC09BA" w:rsidP="009901E1">
      <w:pPr>
        <w:pStyle w:val="Notesbodytext"/>
        <w:spacing w:after="0" w:line="280" w:lineRule="exact"/>
        <w:rPr>
          <w:rFonts w:ascii="Arial" w:hAnsi="Arial"/>
          <w:color w:val="auto"/>
          <w:sz w:val="20"/>
        </w:rPr>
      </w:pPr>
    </w:p>
    <w:tbl>
      <w:tblPr>
        <w:tblW w:w="9156" w:type="dxa"/>
        <w:tblLayout w:type="fixed"/>
        <w:tblLook w:val="01E0" w:firstRow="1" w:lastRow="1" w:firstColumn="1" w:lastColumn="1" w:noHBand="0" w:noVBand="0"/>
      </w:tblPr>
      <w:tblGrid>
        <w:gridCol w:w="5954"/>
        <w:gridCol w:w="1601"/>
        <w:gridCol w:w="1601"/>
      </w:tblGrid>
      <w:tr w:rsidR="000A2ED4" w:rsidRPr="00E70587" w14:paraId="0104FBC0" w14:textId="77777777" w:rsidTr="000A2ED4">
        <w:tc>
          <w:tcPr>
            <w:tcW w:w="5954" w:type="dxa"/>
            <w:vAlign w:val="center"/>
          </w:tcPr>
          <w:p w14:paraId="7767A1A6" w14:textId="77777777" w:rsidR="000A2ED4" w:rsidRPr="00E70587" w:rsidRDefault="000A2ED4" w:rsidP="00DF7985">
            <w:pPr>
              <w:spacing w:before="40" w:after="40"/>
              <w:jc w:val="right"/>
              <w:rPr>
                <w:rFonts w:ascii="Arial" w:hAnsi="Arial" w:cs="Arial"/>
                <w:color w:val="000000" w:themeColor="text1"/>
                <w:sz w:val="20"/>
              </w:rPr>
            </w:pPr>
          </w:p>
        </w:tc>
        <w:tc>
          <w:tcPr>
            <w:tcW w:w="1601" w:type="dxa"/>
            <w:tcBorders>
              <w:bottom w:val="single" w:sz="2" w:space="0" w:color="000000" w:themeColor="text1"/>
            </w:tcBorders>
            <w:tcMar>
              <w:right w:w="108" w:type="dxa"/>
            </w:tcMar>
            <w:vAlign w:val="center"/>
          </w:tcPr>
          <w:p w14:paraId="5DB15138" w14:textId="3802C558" w:rsidR="000A2ED4" w:rsidRPr="00E70587" w:rsidRDefault="000A2ED4" w:rsidP="00DF7985">
            <w:pPr>
              <w:spacing w:before="40" w:after="40"/>
              <w:jc w:val="center"/>
              <w:rPr>
                <w:rFonts w:ascii="Arial" w:hAnsi="Arial" w:cs="Arial"/>
                <w:color w:val="000000" w:themeColor="text1"/>
                <w:sz w:val="20"/>
              </w:rPr>
            </w:pPr>
            <w:r w:rsidRPr="00E70587">
              <w:rPr>
                <w:rFonts w:ascii="Arial" w:hAnsi="Arial" w:cs="Arial"/>
                <w:b/>
                <w:color w:val="000000" w:themeColor="text1"/>
                <w:sz w:val="20"/>
              </w:rPr>
              <w:t xml:space="preserve">31 March </w:t>
            </w:r>
            <w:r w:rsidR="003C1EBB" w:rsidRPr="00E70587">
              <w:rPr>
                <w:rFonts w:ascii="Arial" w:hAnsi="Arial" w:cs="Arial"/>
                <w:b/>
                <w:color w:val="000000" w:themeColor="text1"/>
                <w:sz w:val="20"/>
              </w:rPr>
              <w:t>20</w:t>
            </w:r>
            <w:r w:rsidR="003C1EBB">
              <w:rPr>
                <w:rFonts w:ascii="Arial" w:hAnsi="Arial" w:cs="Arial"/>
                <w:b/>
                <w:color w:val="000000" w:themeColor="text1"/>
                <w:sz w:val="20"/>
              </w:rPr>
              <w:t>21</w:t>
            </w:r>
          </w:p>
        </w:tc>
        <w:tc>
          <w:tcPr>
            <w:tcW w:w="1601" w:type="dxa"/>
            <w:tcBorders>
              <w:bottom w:val="single" w:sz="2" w:space="0" w:color="000000" w:themeColor="text1"/>
            </w:tcBorders>
            <w:tcMar>
              <w:right w:w="108" w:type="dxa"/>
            </w:tcMar>
            <w:vAlign w:val="center"/>
          </w:tcPr>
          <w:p w14:paraId="7685AB2E" w14:textId="5D59939D" w:rsidR="000A2ED4" w:rsidRPr="00E70587" w:rsidRDefault="000A2ED4" w:rsidP="00DF7985">
            <w:pPr>
              <w:spacing w:before="40" w:after="40"/>
              <w:jc w:val="center"/>
              <w:rPr>
                <w:rFonts w:ascii="Arial" w:hAnsi="Arial" w:cs="Arial"/>
                <w:color w:val="000000" w:themeColor="text1"/>
                <w:sz w:val="20"/>
              </w:rPr>
            </w:pPr>
            <w:r w:rsidRPr="00E70587">
              <w:rPr>
                <w:rFonts w:ascii="Arial" w:hAnsi="Arial" w:cs="Arial"/>
                <w:b/>
                <w:color w:val="000000" w:themeColor="text1"/>
                <w:sz w:val="20"/>
              </w:rPr>
              <w:t xml:space="preserve">31 March </w:t>
            </w:r>
            <w:r w:rsidR="003C1EBB" w:rsidRPr="00E70587">
              <w:rPr>
                <w:rFonts w:ascii="Arial" w:hAnsi="Arial" w:cs="Arial"/>
                <w:b/>
                <w:color w:val="000000" w:themeColor="text1"/>
                <w:sz w:val="20"/>
              </w:rPr>
              <w:t>20</w:t>
            </w:r>
            <w:r w:rsidR="003C1EBB">
              <w:rPr>
                <w:rFonts w:ascii="Arial" w:hAnsi="Arial" w:cs="Arial"/>
                <w:b/>
                <w:color w:val="000000" w:themeColor="text1"/>
                <w:sz w:val="20"/>
              </w:rPr>
              <w:t>20</w:t>
            </w:r>
          </w:p>
        </w:tc>
      </w:tr>
      <w:tr w:rsidR="000A2ED4" w:rsidRPr="00E70587" w14:paraId="12146023" w14:textId="77777777" w:rsidTr="000A2ED4">
        <w:tc>
          <w:tcPr>
            <w:tcW w:w="5954" w:type="dxa"/>
            <w:vAlign w:val="center"/>
          </w:tcPr>
          <w:p w14:paraId="373AA7ED" w14:textId="77777777" w:rsidR="000A2ED4" w:rsidRPr="00E70587" w:rsidRDefault="000A2ED4" w:rsidP="00DF7985">
            <w:pPr>
              <w:spacing w:before="40" w:after="40"/>
              <w:jc w:val="right"/>
              <w:rPr>
                <w:rFonts w:ascii="Arial" w:hAnsi="Arial" w:cs="Arial"/>
                <w:color w:val="000000" w:themeColor="text1"/>
                <w:sz w:val="20"/>
              </w:rPr>
            </w:pPr>
          </w:p>
        </w:tc>
        <w:tc>
          <w:tcPr>
            <w:tcW w:w="1601" w:type="dxa"/>
            <w:tcBorders>
              <w:top w:val="single" w:sz="2" w:space="0" w:color="000000" w:themeColor="text1"/>
              <w:bottom w:val="single" w:sz="2" w:space="0" w:color="000000" w:themeColor="text1"/>
            </w:tcBorders>
            <w:tcMar>
              <w:right w:w="108" w:type="dxa"/>
            </w:tcMar>
            <w:vAlign w:val="center"/>
          </w:tcPr>
          <w:p w14:paraId="60490B42" w14:textId="77777777" w:rsidR="000A2ED4" w:rsidRPr="00E70587" w:rsidRDefault="000A2ED4" w:rsidP="00DF7985">
            <w:pPr>
              <w:spacing w:before="40" w:after="40"/>
              <w:jc w:val="center"/>
              <w:rPr>
                <w:rFonts w:ascii="Arial" w:hAnsi="Arial" w:cs="Arial"/>
                <w:color w:val="000000" w:themeColor="text1"/>
                <w:sz w:val="20"/>
              </w:rPr>
            </w:pPr>
            <w:r w:rsidRPr="00E70587">
              <w:rPr>
                <w:rFonts w:ascii="Arial" w:hAnsi="Arial" w:cs="Arial"/>
                <w:color w:val="000000" w:themeColor="text1"/>
                <w:sz w:val="20"/>
              </w:rPr>
              <w:t>INR lacs</w:t>
            </w:r>
          </w:p>
        </w:tc>
        <w:tc>
          <w:tcPr>
            <w:tcW w:w="1601" w:type="dxa"/>
            <w:tcBorders>
              <w:top w:val="single" w:sz="2" w:space="0" w:color="000000" w:themeColor="text1"/>
              <w:bottom w:val="single" w:sz="2" w:space="0" w:color="000000" w:themeColor="text1"/>
            </w:tcBorders>
            <w:tcMar>
              <w:right w:w="108" w:type="dxa"/>
            </w:tcMar>
            <w:vAlign w:val="center"/>
          </w:tcPr>
          <w:p w14:paraId="6D41D850" w14:textId="77777777" w:rsidR="000A2ED4" w:rsidRPr="00E70587" w:rsidRDefault="000A2ED4" w:rsidP="00DF7985">
            <w:pPr>
              <w:spacing w:before="40" w:after="40"/>
              <w:jc w:val="center"/>
              <w:rPr>
                <w:rFonts w:ascii="Arial" w:hAnsi="Arial" w:cs="Arial"/>
                <w:color w:val="000000" w:themeColor="text1"/>
                <w:sz w:val="20"/>
              </w:rPr>
            </w:pPr>
            <w:r w:rsidRPr="00E70587">
              <w:rPr>
                <w:rFonts w:ascii="Arial" w:hAnsi="Arial" w:cs="Arial"/>
                <w:color w:val="000000" w:themeColor="text1"/>
                <w:sz w:val="20"/>
              </w:rPr>
              <w:t>INR lacs</w:t>
            </w:r>
          </w:p>
        </w:tc>
      </w:tr>
      <w:tr w:rsidR="000A2ED4" w:rsidRPr="00E70587" w14:paraId="7ED5796E" w14:textId="77777777" w:rsidTr="000A2ED4">
        <w:tc>
          <w:tcPr>
            <w:tcW w:w="5954" w:type="dxa"/>
          </w:tcPr>
          <w:p w14:paraId="32B8E7EC" w14:textId="77777777" w:rsidR="000A2ED4" w:rsidRPr="00E70587" w:rsidRDefault="000A2ED4" w:rsidP="00DF7985">
            <w:pPr>
              <w:pStyle w:val="tabletext"/>
              <w:overflowPunct w:val="0"/>
              <w:autoSpaceDE w:val="0"/>
              <w:autoSpaceDN w:val="0"/>
              <w:adjustRightInd w:val="0"/>
              <w:spacing w:before="40" w:after="40" w:line="240" w:lineRule="auto"/>
              <w:textAlignment w:val="baseline"/>
              <w:rPr>
                <w:rFonts w:ascii="Arial" w:hAnsi="Arial" w:cs="Arial"/>
                <w:color w:val="000000"/>
                <w:sz w:val="20"/>
                <w:lang w:val="en-IN"/>
              </w:rPr>
            </w:pPr>
            <w:r w:rsidRPr="00E70587">
              <w:rPr>
                <w:rFonts w:ascii="Arial" w:hAnsi="Arial" w:cs="Arial"/>
                <w:color w:val="000000"/>
                <w:sz w:val="20"/>
                <w:lang w:val="en-IN"/>
              </w:rPr>
              <w:t>Other payables</w:t>
            </w:r>
          </w:p>
        </w:tc>
        <w:tc>
          <w:tcPr>
            <w:tcW w:w="1601" w:type="dxa"/>
            <w:tcBorders>
              <w:top w:val="single" w:sz="2" w:space="0" w:color="000000" w:themeColor="text1"/>
            </w:tcBorders>
            <w:tcMar>
              <w:right w:w="108" w:type="dxa"/>
            </w:tcMar>
            <w:vAlign w:val="center"/>
          </w:tcPr>
          <w:p w14:paraId="7AA60DF7" w14:textId="77777777" w:rsidR="000A2ED4" w:rsidRPr="00E70587" w:rsidRDefault="000A2ED4" w:rsidP="00DF7985">
            <w:pPr>
              <w:spacing w:before="40" w:after="40"/>
              <w:jc w:val="right"/>
              <w:rPr>
                <w:rFonts w:ascii="Arial" w:hAnsi="Arial" w:cs="Arial"/>
                <w:sz w:val="20"/>
              </w:rPr>
            </w:pPr>
            <w:r w:rsidRPr="00E70587">
              <w:rPr>
                <w:rFonts w:ascii="Arial" w:hAnsi="Arial" w:cs="Arial"/>
                <w:color w:val="000000"/>
                <w:sz w:val="20"/>
              </w:rPr>
              <w:t>3,299</w:t>
            </w:r>
          </w:p>
        </w:tc>
        <w:tc>
          <w:tcPr>
            <w:tcW w:w="1601" w:type="dxa"/>
            <w:tcBorders>
              <w:top w:val="single" w:sz="2" w:space="0" w:color="000000" w:themeColor="text1"/>
            </w:tcBorders>
            <w:tcMar>
              <w:right w:w="108" w:type="dxa"/>
            </w:tcMar>
            <w:vAlign w:val="center"/>
          </w:tcPr>
          <w:p w14:paraId="4F72B6A3" w14:textId="77777777" w:rsidR="000A2ED4" w:rsidRPr="00E70587" w:rsidRDefault="000A2ED4" w:rsidP="00DF7985">
            <w:pPr>
              <w:spacing w:before="40" w:after="40"/>
              <w:jc w:val="right"/>
              <w:rPr>
                <w:rFonts w:ascii="Arial" w:hAnsi="Arial" w:cs="Arial"/>
                <w:sz w:val="20"/>
              </w:rPr>
            </w:pPr>
            <w:r w:rsidRPr="00E70587">
              <w:rPr>
                <w:rFonts w:ascii="Arial" w:hAnsi="Arial" w:cs="Arial"/>
                <w:color w:val="000000"/>
                <w:sz w:val="20"/>
              </w:rPr>
              <w:t>2,689</w:t>
            </w:r>
          </w:p>
        </w:tc>
      </w:tr>
      <w:tr w:rsidR="000A2ED4" w:rsidRPr="00E70587" w14:paraId="68661946" w14:textId="77777777" w:rsidTr="000A2ED4">
        <w:tc>
          <w:tcPr>
            <w:tcW w:w="5954" w:type="dxa"/>
          </w:tcPr>
          <w:p w14:paraId="5EA07894" w14:textId="77777777" w:rsidR="000A2ED4" w:rsidRPr="00E70587" w:rsidRDefault="000A2ED4" w:rsidP="00DF7985">
            <w:pPr>
              <w:pStyle w:val="tabletext"/>
              <w:overflowPunct w:val="0"/>
              <w:autoSpaceDE w:val="0"/>
              <w:autoSpaceDN w:val="0"/>
              <w:adjustRightInd w:val="0"/>
              <w:spacing w:before="40" w:after="40" w:line="240" w:lineRule="auto"/>
              <w:textAlignment w:val="baseline"/>
              <w:rPr>
                <w:rFonts w:ascii="Arial" w:hAnsi="Arial" w:cs="Arial"/>
                <w:color w:val="000000"/>
                <w:sz w:val="20"/>
                <w:lang w:val="en-IN"/>
              </w:rPr>
            </w:pPr>
            <w:r w:rsidRPr="00E70587">
              <w:rPr>
                <w:rFonts w:ascii="Arial" w:hAnsi="Arial" w:cs="Arial"/>
                <w:color w:val="000000"/>
                <w:sz w:val="20"/>
                <w:lang w:val="en-IN"/>
              </w:rPr>
              <w:t>Interest payable</w:t>
            </w:r>
          </w:p>
        </w:tc>
        <w:tc>
          <w:tcPr>
            <w:tcW w:w="1601" w:type="dxa"/>
            <w:tcMar>
              <w:right w:w="108" w:type="dxa"/>
            </w:tcMar>
            <w:vAlign w:val="center"/>
          </w:tcPr>
          <w:p w14:paraId="4D3EBD47" w14:textId="77777777" w:rsidR="000A2ED4" w:rsidRPr="00E70587" w:rsidRDefault="000A2ED4" w:rsidP="00DF7985">
            <w:pPr>
              <w:spacing w:before="40" w:after="40"/>
              <w:jc w:val="right"/>
              <w:rPr>
                <w:rFonts w:ascii="Arial" w:hAnsi="Arial" w:cs="Arial"/>
                <w:sz w:val="20"/>
              </w:rPr>
            </w:pPr>
            <w:r w:rsidRPr="00E70587">
              <w:rPr>
                <w:rFonts w:ascii="Arial" w:hAnsi="Arial" w:cs="Arial"/>
                <w:color w:val="000000"/>
                <w:sz w:val="20"/>
              </w:rPr>
              <w:t>7</w:t>
            </w:r>
            <w:r w:rsidR="00CD269F" w:rsidRPr="00E70587">
              <w:rPr>
                <w:rFonts w:ascii="Arial" w:hAnsi="Arial" w:cs="Arial"/>
                <w:color w:val="000000"/>
                <w:sz w:val="20"/>
              </w:rPr>
              <w:t>8</w:t>
            </w:r>
          </w:p>
        </w:tc>
        <w:tc>
          <w:tcPr>
            <w:tcW w:w="1601" w:type="dxa"/>
            <w:tcMar>
              <w:right w:w="108" w:type="dxa"/>
            </w:tcMar>
            <w:vAlign w:val="center"/>
          </w:tcPr>
          <w:p w14:paraId="7AF01BC4" w14:textId="77777777" w:rsidR="000A2ED4" w:rsidRPr="00E70587" w:rsidRDefault="000A2ED4" w:rsidP="00DF7985">
            <w:pPr>
              <w:spacing w:before="40" w:after="40"/>
              <w:jc w:val="right"/>
              <w:rPr>
                <w:rFonts w:ascii="Arial" w:hAnsi="Arial" w:cs="Arial"/>
                <w:sz w:val="20"/>
              </w:rPr>
            </w:pPr>
            <w:r w:rsidRPr="00E70587">
              <w:rPr>
                <w:rFonts w:ascii="Arial" w:hAnsi="Arial" w:cs="Arial"/>
                <w:color w:val="000000"/>
                <w:sz w:val="20"/>
              </w:rPr>
              <w:t>484</w:t>
            </w:r>
          </w:p>
        </w:tc>
      </w:tr>
      <w:tr w:rsidR="000A2ED4" w:rsidRPr="00E70587" w14:paraId="6F8B1BD3" w14:textId="77777777" w:rsidTr="000A2ED4">
        <w:tc>
          <w:tcPr>
            <w:tcW w:w="5954" w:type="dxa"/>
            <w:vAlign w:val="center"/>
          </w:tcPr>
          <w:p w14:paraId="2FE48200" w14:textId="77777777" w:rsidR="000A2ED4" w:rsidRPr="00E70587" w:rsidRDefault="000A2ED4" w:rsidP="00DF7985">
            <w:pPr>
              <w:pStyle w:val="tabletext"/>
              <w:spacing w:before="40" w:after="40" w:line="240" w:lineRule="auto"/>
              <w:rPr>
                <w:rFonts w:ascii="Arial" w:hAnsi="Arial" w:cs="Arial"/>
                <w:b/>
                <w:color w:val="000000"/>
                <w:sz w:val="20"/>
                <w:lang w:val="en-IN"/>
              </w:rPr>
            </w:pPr>
          </w:p>
        </w:tc>
        <w:tc>
          <w:tcPr>
            <w:tcW w:w="1601" w:type="dxa"/>
            <w:tcBorders>
              <w:top w:val="single" w:sz="2" w:space="0" w:color="000000" w:themeColor="text1"/>
              <w:bottom w:val="double" w:sz="4" w:space="0" w:color="auto"/>
            </w:tcBorders>
            <w:tcMar>
              <w:right w:w="108" w:type="dxa"/>
            </w:tcMar>
            <w:vAlign w:val="center"/>
          </w:tcPr>
          <w:p w14:paraId="6C5BFF3B" w14:textId="77777777" w:rsidR="000A2ED4" w:rsidRPr="00E70587" w:rsidRDefault="000A2ED4" w:rsidP="00770F33">
            <w:pPr>
              <w:spacing w:before="40" w:after="40"/>
              <w:jc w:val="right"/>
              <w:rPr>
                <w:rFonts w:ascii="Arial" w:hAnsi="Arial" w:cs="Arial"/>
                <w:b/>
                <w:bCs/>
                <w:sz w:val="20"/>
              </w:rPr>
            </w:pPr>
            <w:r w:rsidRPr="00E70587">
              <w:rPr>
                <w:rFonts w:ascii="Arial" w:hAnsi="Arial" w:cs="Arial"/>
                <w:b/>
                <w:bCs/>
                <w:color w:val="000000"/>
                <w:sz w:val="20"/>
              </w:rPr>
              <w:t>3,</w:t>
            </w:r>
            <w:r w:rsidR="00770F33" w:rsidRPr="00E70587">
              <w:rPr>
                <w:rFonts w:ascii="Arial" w:hAnsi="Arial" w:cs="Arial"/>
                <w:b/>
                <w:bCs/>
                <w:color w:val="000000"/>
                <w:sz w:val="20"/>
              </w:rPr>
              <w:t>37</w:t>
            </w:r>
            <w:r w:rsidR="00CD269F" w:rsidRPr="00E70587">
              <w:rPr>
                <w:rFonts w:ascii="Arial" w:hAnsi="Arial" w:cs="Arial"/>
                <w:b/>
                <w:bCs/>
                <w:color w:val="000000"/>
                <w:sz w:val="20"/>
              </w:rPr>
              <w:t>7</w:t>
            </w:r>
          </w:p>
        </w:tc>
        <w:tc>
          <w:tcPr>
            <w:tcW w:w="1601" w:type="dxa"/>
            <w:tcBorders>
              <w:top w:val="single" w:sz="2" w:space="0" w:color="000000" w:themeColor="text1"/>
              <w:bottom w:val="double" w:sz="4" w:space="0" w:color="auto"/>
            </w:tcBorders>
            <w:tcMar>
              <w:right w:w="108" w:type="dxa"/>
            </w:tcMar>
            <w:vAlign w:val="center"/>
          </w:tcPr>
          <w:p w14:paraId="205B7458" w14:textId="77777777" w:rsidR="000A2ED4" w:rsidRPr="00E70587" w:rsidRDefault="000A2ED4" w:rsidP="00DF7985">
            <w:pPr>
              <w:spacing w:before="40" w:after="40"/>
              <w:jc w:val="right"/>
              <w:rPr>
                <w:rFonts w:ascii="Arial" w:hAnsi="Arial" w:cs="Arial"/>
                <w:b/>
                <w:bCs/>
                <w:sz w:val="20"/>
              </w:rPr>
            </w:pPr>
            <w:r w:rsidRPr="00E70587">
              <w:rPr>
                <w:rFonts w:ascii="Arial" w:hAnsi="Arial" w:cs="Arial"/>
                <w:b/>
                <w:bCs/>
                <w:color w:val="000000"/>
                <w:sz w:val="20"/>
              </w:rPr>
              <w:t>3,173</w:t>
            </w:r>
          </w:p>
        </w:tc>
      </w:tr>
    </w:tbl>
    <w:p w14:paraId="276D0CA8" w14:textId="77777777" w:rsidR="00196131" w:rsidRPr="00E70587" w:rsidRDefault="00196131" w:rsidP="00196131">
      <w:pPr>
        <w:pStyle w:val="Notesbulletpoint"/>
        <w:numPr>
          <w:ilvl w:val="0"/>
          <w:numId w:val="0"/>
        </w:numPr>
        <w:spacing w:after="0" w:line="280" w:lineRule="exact"/>
        <w:rPr>
          <w:rFonts w:ascii="Arial" w:hAnsi="Arial"/>
          <w:color w:val="auto"/>
          <w:sz w:val="20"/>
        </w:rPr>
      </w:pPr>
      <w:r w:rsidRPr="00E70587">
        <w:rPr>
          <w:rFonts w:ascii="Arial" w:hAnsi="Arial"/>
          <w:color w:val="auto"/>
          <w:sz w:val="20"/>
        </w:rPr>
        <w:t>Terms and conditions of the above financial liabilities:</w:t>
      </w:r>
    </w:p>
    <w:p w14:paraId="1D8B6306" w14:textId="77777777" w:rsidR="00196131" w:rsidRPr="00E70587" w:rsidRDefault="00196131" w:rsidP="00196131">
      <w:pPr>
        <w:pStyle w:val="Notesbulletpoint"/>
        <w:spacing w:before="120" w:after="0" w:line="280" w:lineRule="exact"/>
        <w:rPr>
          <w:rFonts w:ascii="Arial" w:hAnsi="Arial"/>
          <w:color w:val="auto"/>
          <w:sz w:val="20"/>
        </w:rPr>
      </w:pPr>
      <w:r w:rsidRPr="00E70587">
        <w:rPr>
          <w:rFonts w:ascii="Arial" w:hAnsi="Arial"/>
          <w:color w:val="auto"/>
          <w:sz w:val="20"/>
        </w:rPr>
        <w:t>Trade payables are non-interest bearing and are normally settled on 60-day terms</w:t>
      </w:r>
    </w:p>
    <w:p w14:paraId="0762966E" w14:textId="77777777" w:rsidR="00196131" w:rsidRPr="00E70587" w:rsidRDefault="00196131" w:rsidP="00196131">
      <w:pPr>
        <w:pStyle w:val="Notesbulletpoint"/>
        <w:spacing w:before="120" w:after="0" w:line="280" w:lineRule="exact"/>
        <w:rPr>
          <w:rFonts w:ascii="Arial" w:hAnsi="Arial"/>
          <w:color w:val="auto"/>
          <w:sz w:val="20"/>
        </w:rPr>
      </w:pPr>
      <w:r w:rsidRPr="00E70587">
        <w:rPr>
          <w:rFonts w:ascii="Arial" w:hAnsi="Arial"/>
          <w:color w:val="auto"/>
          <w:sz w:val="20"/>
        </w:rPr>
        <w:t>Other payables are non-interest bearing and have an average term of six months</w:t>
      </w:r>
    </w:p>
    <w:p w14:paraId="6C31A4BE" w14:textId="77777777" w:rsidR="00196131" w:rsidRPr="00E70587" w:rsidRDefault="00196131" w:rsidP="00196131">
      <w:pPr>
        <w:pStyle w:val="Notesbulletpoint"/>
        <w:spacing w:before="120" w:after="0" w:line="280" w:lineRule="exact"/>
        <w:rPr>
          <w:rFonts w:ascii="Arial" w:hAnsi="Arial"/>
          <w:color w:val="auto"/>
          <w:sz w:val="20"/>
        </w:rPr>
      </w:pPr>
      <w:r w:rsidRPr="00E70587">
        <w:rPr>
          <w:rFonts w:ascii="Arial" w:hAnsi="Arial"/>
          <w:color w:val="auto"/>
          <w:sz w:val="20"/>
        </w:rPr>
        <w:t>Interest payable is normally settled quarterly throughout the financial year</w:t>
      </w:r>
    </w:p>
    <w:p w14:paraId="478A025C" w14:textId="1241BDB0" w:rsidR="00196131" w:rsidRPr="00E70587" w:rsidRDefault="00196131" w:rsidP="00196131">
      <w:pPr>
        <w:pStyle w:val="Notesbulletpoint"/>
        <w:spacing w:before="120" w:after="0" w:line="280" w:lineRule="exact"/>
        <w:rPr>
          <w:rFonts w:ascii="Arial" w:hAnsi="Arial"/>
          <w:color w:val="auto"/>
          <w:sz w:val="20"/>
        </w:rPr>
      </w:pPr>
      <w:r w:rsidRPr="00E70587">
        <w:rPr>
          <w:rFonts w:ascii="Arial" w:hAnsi="Arial"/>
          <w:color w:val="auto"/>
          <w:sz w:val="20"/>
        </w:rPr>
        <w:t>For terms and conditions with related parties, refer to Note 4</w:t>
      </w:r>
      <w:r w:rsidR="00B83F60">
        <w:rPr>
          <w:rFonts w:ascii="Arial" w:hAnsi="Arial"/>
          <w:color w:val="auto"/>
          <w:sz w:val="20"/>
        </w:rPr>
        <w:t>4</w:t>
      </w:r>
    </w:p>
    <w:p w14:paraId="14896EA6" w14:textId="77777777" w:rsidR="00196131" w:rsidRPr="00E70587" w:rsidRDefault="00196131" w:rsidP="00196131">
      <w:pPr>
        <w:pStyle w:val="IAStext"/>
        <w:spacing w:line="280" w:lineRule="exact"/>
        <w:rPr>
          <w:rFonts w:ascii="Arial" w:hAnsi="Arial" w:cs="Arial"/>
          <w:i w:val="0"/>
          <w:sz w:val="20"/>
          <w:lang w:val="en-IN"/>
        </w:rPr>
      </w:pPr>
    </w:p>
    <w:p w14:paraId="77668701" w14:textId="30E4B31F" w:rsidR="00196131" w:rsidRDefault="00196131" w:rsidP="00196131">
      <w:pPr>
        <w:pStyle w:val="IAStext"/>
        <w:spacing w:line="280" w:lineRule="exact"/>
        <w:rPr>
          <w:rFonts w:ascii="Arial" w:hAnsi="Arial" w:cs="Arial"/>
          <w:i w:val="0"/>
          <w:sz w:val="20"/>
          <w:lang w:val="en-IN"/>
        </w:rPr>
      </w:pPr>
      <w:r w:rsidRPr="00E70587">
        <w:rPr>
          <w:rFonts w:ascii="Arial" w:hAnsi="Arial" w:cs="Arial"/>
          <w:i w:val="0"/>
          <w:sz w:val="20"/>
          <w:lang w:val="en-IN"/>
        </w:rPr>
        <w:t>For explanations on the Group’s credit risk management processes, refer to Note 4</w:t>
      </w:r>
      <w:r w:rsidR="00B83F60">
        <w:rPr>
          <w:rFonts w:ascii="Arial" w:hAnsi="Arial" w:cs="Arial"/>
          <w:i w:val="0"/>
          <w:sz w:val="20"/>
          <w:lang w:val="en-IN"/>
        </w:rPr>
        <w:t>9</w:t>
      </w:r>
      <w:r w:rsidRPr="00E70587">
        <w:rPr>
          <w:rFonts w:ascii="Arial" w:hAnsi="Arial" w:cs="Arial"/>
          <w:i w:val="0"/>
          <w:sz w:val="20"/>
          <w:lang w:val="en-IN"/>
        </w:rPr>
        <w:t>.</w:t>
      </w:r>
    </w:p>
    <w:p w14:paraId="46B74EE9" w14:textId="79973093" w:rsidR="00BC09BA" w:rsidRDefault="00BC09BA" w:rsidP="009901E1">
      <w:pPr>
        <w:pStyle w:val="Notesbodytext"/>
        <w:spacing w:after="0" w:line="280" w:lineRule="exact"/>
        <w:rPr>
          <w:rFonts w:ascii="Arial" w:hAnsi="Arial"/>
          <w:color w:val="auto"/>
          <w:sz w:val="20"/>
        </w:rPr>
      </w:pPr>
    </w:p>
    <w:tbl>
      <w:tblPr>
        <w:tblW w:w="9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1890"/>
        <w:gridCol w:w="1710"/>
        <w:gridCol w:w="467"/>
      </w:tblGrid>
      <w:tr w:rsidR="00196131" w:rsidRPr="00196131" w14:paraId="4CEA788C" w14:textId="77777777" w:rsidTr="003720E5">
        <w:trPr>
          <w:gridAfter w:val="1"/>
          <w:wAfter w:w="468" w:type="dxa"/>
          <w:cantSplit/>
        </w:trPr>
        <w:tc>
          <w:tcPr>
            <w:tcW w:w="9269" w:type="dxa"/>
            <w:gridSpan w:val="3"/>
            <w:tcBorders>
              <w:top w:val="nil"/>
              <w:left w:val="nil"/>
              <w:bottom w:val="nil"/>
              <w:right w:val="nil"/>
            </w:tcBorders>
          </w:tcPr>
          <w:p w14:paraId="110A22EC" w14:textId="51C1983F" w:rsidR="00196131" w:rsidRPr="00196131" w:rsidRDefault="00196131" w:rsidP="006114BA">
            <w:pPr>
              <w:overflowPunct/>
              <w:autoSpaceDE/>
              <w:autoSpaceDN/>
              <w:adjustRightInd/>
              <w:spacing w:before="60" w:after="120" w:line="280" w:lineRule="exact"/>
              <w:ind w:left="-111"/>
              <w:textAlignment w:val="auto"/>
              <w:outlineLvl w:val="1"/>
              <w:rPr>
                <w:rFonts w:ascii="Arial" w:hAnsi="Arial" w:cs="Arial"/>
                <w:b/>
                <w:sz w:val="20"/>
              </w:rPr>
            </w:pPr>
            <w:bookmarkStart w:id="20" w:name="_Toc35786619"/>
            <w:r w:rsidRPr="00196131">
              <w:rPr>
                <w:rFonts w:ascii="Arial" w:hAnsi="Arial" w:cs="Arial"/>
                <w:b/>
                <w:sz w:val="20"/>
              </w:rPr>
              <w:t>C. Details of dues to micro and small enterprises as defined under the MSMED Act, 2006</w:t>
            </w:r>
            <w:bookmarkEnd w:id="20"/>
          </w:p>
        </w:tc>
      </w:tr>
      <w:tr w:rsidR="00196131" w:rsidRPr="00196131" w14:paraId="6A6E4F77" w14:textId="77777777" w:rsidTr="003720E5">
        <w:trPr>
          <w:gridAfter w:val="1"/>
          <w:wAfter w:w="467" w:type="dxa"/>
          <w:cantSplit/>
        </w:trPr>
        <w:tc>
          <w:tcPr>
            <w:tcW w:w="5670" w:type="dxa"/>
            <w:tcBorders>
              <w:top w:val="nil"/>
              <w:left w:val="nil"/>
              <w:bottom w:val="nil"/>
              <w:right w:val="nil"/>
            </w:tcBorders>
          </w:tcPr>
          <w:p w14:paraId="5A1F7145" w14:textId="77777777" w:rsidR="00196131" w:rsidRPr="00196131" w:rsidRDefault="00196131" w:rsidP="005F283E">
            <w:pPr>
              <w:spacing w:line="280" w:lineRule="exact"/>
              <w:jc w:val="both"/>
              <w:rPr>
                <w:rFonts w:ascii="Arial" w:hAnsi="Arial" w:cs="Arial"/>
                <w:sz w:val="20"/>
              </w:rPr>
            </w:pPr>
          </w:p>
        </w:tc>
        <w:tc>
          <w:tcPr>
            <w:tcW w:w="1890" w:type="dxa"/>
            <w:tcBorders>
              <w:top w:val="single" w:sz="4" w:space="0" w:color="auto"/>
              <w:left w:val="nil"/>
              <w:bottom w:val="single" w:sz="4" w:space="0" w:color="auto"/>
              <w:right w:val="nil"/>
            </w:tcBorders>
          </w:tcPr>
          <w:p w14:paraId="034938D0" w14:textId="5F2BAE70" w:rsidR="00196131" w:rsidRPr="00196131" w:rsidRDefault="00196131" w:rsidP="005F283E">
            <w:pPr>
              <w:spacing w:line="280" w:lineRule="exact"/>
              <w:jc w:val="center"/>
              <w:rPr>
                <w:rFonts w:ascii="Arial" w:hAnsi="Arial" w:cs="Arial"/>
                <w:b/>
                <w:sz w:val="20"/>
              </w:rPr>
            </w:pPr>
            <w:r w:rsidRPr="00196131">
              <w:rPr>
                <w:rFonts w:ascii="Arial" w:hAnsi="Arial" w:cs="Arial"/>
                <w:b/>
                <w:sz w:val="20"/>
              </w:rPr>
              <w:t>31 March 202</w:t>
            </w:r>
            <w:r>
              <w:rPr>
                <w:rFonts w:ascii="Arial" w:hAnsi="Arial" w:cs="Arial"/>
                <w:b/>
                <w:sz w:val="20"/>
              </w:rPr>
              <w:t>1</w:t>
            </w:r>
          </w:p>
        </w:tc>
        <w:tc>
          <w:tcPr>
            <w:tcW w:w="1710" w:type="dxa"/>
            <w:tcBorders>
              <w:top w:val="single" w:sz="4" w:space="0" w:color="auto"/>
              <w:left w:val="nil"/>
              <w:bottom w:val="single" w:sz="4" w:space="0" w:color="auto"/>
              <w:right w:val="nil"/>
            </w:tcBorders>
          </w:tcPr>
          <w:p w14:paraId="2B1547C0" w14:textId="79AEF783" w:rsidR="00196131" w:rsidRPr="00196131" w:rsidRDefault="00196131" w:rsidP="005F283E">
            <w:pPr>
              <w:spacing w:line="280" w:lineRule="exact"/>
              <w:jc w:val="center"/>
              <w:rPr>
                <w:rFonts w:ascii="Arial" w:hAnsi="Arial" w:cs="Arial"/>
                <w:b/>
                <w:sz w:val="20"/>
              </w:rPr>
            </w:pPr>
            <w:r w:rsidRPr="00196131">
              <w:rPr>
                <w:rFonts w:ascii="Arial" w:hAnsi="Arial" w:cs="Arial"/>
                <w:b/>
                <w:sz w:val="20"/>
              </w:rPr>
              <w:t>31 March 20</w:t>
            </w:r>
            <w:r>
              <w:rPr>
                <w:rFonts w:ascii="Arial" w:hAnsi="Arial" w:cs="Arial"/>
                <w:b/>
                <w:sz w:val="20"/>
              </w:rPr>
              <w:t>20</w:t>
            </w:r>
          </w:p>
        </w:tc>
      </w:tr>
      <w:tr w:rsidR="00196131" w:rsidRPr="00196131" w14:paraId="4CCFB7B9" w14:textId="77777777" w:rsidTr="003720E5">
        <w:trPr>
          <w:gridAfter w:val="1"/>
          <w:wAfter w:w="467" w:type="dxa"/>
          <w:cantSplit/>
        </w:trPr>
        <w:tc>
          <w:tcPr>
            <w:tcW w:w="5670" w:type="dxa"/>
            <w:tcBorders>
              <w:top w:val="nil"/>
              <w:left w:val="nil"/>
              <w:bottom w:val="nil"/>
              <w:right w:val="nil"/>
            </w:tcBorders>
          </w:tcPr>
          <w:p w14:paraId="24EB7A59" w14:textId="77777777" w:rsidR="00196131" w:rsidRPr="00196131" w:rsidRDefault="00196131" w:rsidP="005F283E">
            <w:pPr>
              <w:spacing w:line="280" w:lineRule="exact"/>
              <w:jc w:val="both"/>
              <w:rPr>
                <w:rFonts w:ascii="Arial" w:hAnsi="Arial" w:cs="Arial"/>
                <w:sz w:val="20"/>
              </w:rPr>
            </w:pPr>
          </w:p>
        </w:tc>
        <w:tc>
          <w:tcPr>
            <w:tcW w:w="1890" w:type="dxa"/>
            <w:tcBorders>
              <w:top w:val="single" w:sz="4" w:space="0" w:color="auto"/>
              <w:left w:val="nil"/>
              <w:bottom w:val="single" w:sz="4" w:space="0" w:color="auto"/>
              <w:right w:val="nil"/>
            </w:tcBorders>
          </w:tcPr>
          <w:p w14:paraId="78C1744E" w14:textId="52BA601E" w:rsidR="00196131" w:rsidRPr="00196131" w:rsidRDefault="00196131" w:rsidP="005F283E">
            <w:pPr>
              <w:spacing w:line="280" w:lineRule="exact"/>
              <w:jc w:val="center"/>
              <w:rPr>
                <w:rFonts w:ascii="Arial" w:hAnsi="Arial" w:cs="Arial"/>
                <w:b/>
                <w:sz w:val="20"/>
              </w:rPr>
            </w:pPr>
            <w:r w:rsidRPr="00196131">
              <w:rPr>
                <w:rFonts w:ascii="Arial" w:hAnsi="Arial" w:cs="Arial"/>
                <w:b/>
                <w:sz w:val="20"/>
              </w:rPr>
              <w:t xml:space="preserve">INR </w:t>
            </w:r>
            <w:r>
              <w:rPr>
                <w:rFonts w:ascii="Arial" w:hAnsi="Arial" w:cs="Arial"/>
                <w:b/>
                <w:sz w:val="20"/>
              </w:rPr>
              <w:t>lacs</w:t>
            </w:r>
          </w:p>
        </w:tc>
        <w:tc>
          <w:tcPr>
            <w:tcW w:w="1710" w:type="dxa"/>
            <w:tcBorders>
              <w:top w:val="single" w:sz="4" w:space="0" w:color="auto"/>
              <w:left w:val="nil"/>
              <w:bottom w:val="single" w:sz="4" w:space="0" w:color="auto"/>
              <w:right w:val="nil"/>
            </w:tcBorders>
          </w:tcPr>
          <w:p w14:paraId="3097DB95" w14:textId="72FA05FA" w:rsidR="00196131" w:rsidRPr="00196131" w:rsidRDefault="00196131" w:rsidP="005F283E">
            <w:pPr>
              <w:spacing w:line="280" w:lineRule="exact"/>
              <w:jc w:val="center"/>
              <w:rPr>
                <w:rFonts w:ascii="Arial" w:hAnsi="Arial" w:cs="Arial"/>
                <w:b/>
                <w:sz w:val="20"/>
              </w:rPr>
            </w:pPr>
            <w:r w:rsidRPr="00196131">
              <w:rPr>
                <w:rFonts w:ascii="Arial" w:hAnsi="Arial" w:cs="Arial"/>
                <w:b/>
                <w:sz w:val="20"/>
              </w:rPr>
              <w:t xml:space="preserve">INR </w:t>
            </w:r>
            <w:r>
              <w:rPr>
                <w:rFonts w:ascii="Arial" w:hAnsi="Arial" w:cs="Arial"/>
                <w:b/>
                <w:sz w:val="20"/>
              </w:rPr>
              <w:t>lacs</w:t>
            </w:r>
          </w:p>
        </w:tc>
      </w:tr>
      <w:tr w:rsidR="00196131" w:rsidRPr="00196131" w14:paraId="75FA7955" w14:textId="77777777" w:rsidTr="003720E5">
        <w:trPr>
          <w:gridAfter w:val="1"/>
          <w:wAfter w:w="467" w:type="dxa"/>
          <w:cantSplit/>
        </w:trPr>
        <w:tc>
          <w:tcPr>
            <w:tcW w:w="5670" w:type="dxa"/>
            <w:tcBorders>
              <w:top w:val="nil"/>
              <w:left w:val="nil"/>
              <w:bottom w:val="nil"/>
              <w:right w:val="nil"/>
            </w:tcBorders>
          </w:tcPr>
          <w:p w14:paraId="57C810D1" w14:textId="77777777" w:rsidR="00196131" w:rsidRPr="00196131" w:rsidRDefault="00196131" w:rsidP="005F283E">
            <w:pPr>
              <w:spacing w:line="280" w:lineRule="exact"/>
              <w:rPr>
                <w:rFonts w:ascii="Arial" w:hAnsi="Arial" w:cs="Arial"/>
                <w:sz w:val="20"/>
              </w:rPr>
            </w:pPr>
            <w:r w:rsidRPr="00196131">
              <w:rPr>
                <w:rFonts w:ascii="Arial" w:hAnsi="Arial" w:cs="Arial"/>
                <w:sz w:val="20"/>
              </w:rPr>
              <w:t>The principal amount and the interest due thereon remaining unpaid to any supplier as at the end of each accounting year</w:t>
            </w:r>
          </w:p>
        </w:tc>
        <w:tc>
          <w:tcPr>
            <w:tcW w:w="1890" w:type="dxa"/>
            <w:tcBorders>
              <w:top w:val="single" w:sz="4" w:space="0" w:color="auto"/>
              <w:left w:val="nil"/>
              <w:bottom w:val="nil"/>
              <w:right w:val="nil"/>
            </w:tcBorders>
            <w:vAlign w:val="bottom"/>
          </w:tcPr>
          <w:p w14:paraId="313A0F3F" w14:textId="77777777" w:rsidR="00196131" w:rsidRPr="00196131" w:rsidRDefault="00196131" w:rsidP="005F283E">
            <w:pPr>
              <w:spacing w:line="280" w:lineRule="exact"/>
              <w:jc w:val="both"/>
              <w:rPr>
                <w:rFonts w:ascii="Arial" w:hAnsi="Arial" w:cs="Arial"/>
                <w:sz w:val="20"/>
              </w:rPr>
            </w:pPr>
          </w:p>
        </w:tc>
        <w:tc>
          <w:tcPr>
            <w:tcW w:w="1710" w:type="dxa"/>
            <w:tcBorders>
              <w:top w:val="single" w:sz="4" w:space="0" w:color="auto"/>
              <w:left w:val="nil"/>
              <w:bottom w:val="nil"/>
              <w:right w:val="nil"/>
            </w:tcBorders>
            <w:vAlign w:val="bottom"/>
          </w:tcPr>
          <w:p w14:paraId="1B67BE41" w14:textId="77777777" w:rsidR="00196131" w:rsidRPr="00196131" w:rsidRDefault="00196131" w:rsidP="005F283E">
            <w:pPr>
              <w:spacing w:line="280" w:lineRule="exact"/>
              <w:jc w:val="both"/>
              <w:rPr>
                <w:rFonts w:ascii="Arial" w:hAnsi="Arial" w:cs="Arial"/>
                <w:sz w:val="20"/>
              </w:rPr>
            </w:pPr>
          </w:p>
        </w:tc>
      </w:tr>
      <w:tr w:rsidR="00196131" w:rsidRPr="00196131" w14:paraId="14F3068C" w14:textId="77777777" w:rsidTr="003720E5">
        <w:trPr>
          <w:gridAfter w:val="1"/>
          <w:wAfter w:w="467" w:type="dxa"/>
          <w:cantSplit/>
        </w:trPr>
        <w:tc>
          <w:tcPr>
            <w:tcW w:w="5670" w:type="dxa"/>
            <w:tcBorders>
              <w:top w:val="nil"/>
              <w:left w:val="nil"/>
              <w:bottom w:val="nil"/>
              <w:right w:val="nil"/>
            </w:tcBorders>
          </w:tcPr>
          <w:p w14:paraId="250DBB26" w14:textId="77777777" w:rsidR="00196131" w:rsidRPr="00196131" w:rsidRDefault="00196131" w:rsidP="005F283E">
            <w:pPr>
              <w:spacing w:line="280" w:lineRule="exact"/>
              <w:ind w:left="720"/>
              <w:rPr>
                <w:rFonts w:ascii="Arial" w:hAnsi="Arial" w:cs="Arial"/>
                <w:sz w:val="20"/>
              </w:rPr>
            </w:pPr>
            <w:r w:rsidRPr="00196131">
              <w:rPr>
                <w:rFonts w:ascii="Arial" w:hAnsi="Arial" w:cs="Arial"/>
                <w:sz w:val="20"/>
              </w:rPr>
              <w:t>Principal amount due to micro and small enterprises</w:t>
            </w:r>
          </w:p>
        </w:tc>
        <w:tc>
          <w:tcPr>
            <w:tcW w:w="1890" w:type="dxa"/>
            <w:tcBorders>
              <w:top w:val="nil"/>
              <w:left w:val="nil"/>
              <w:bottom w:val="nil"/>
              <w:right w:val="nil"/>
            </w:tcBorders>
            <w:vAlign w:val="bottom"/>
          </w:tcPr>
          <w:p w14:paraId="1AD171A8" w14:textId="77777777" w:rsidR="00196131" w:rsidRPr="00196131" w:rsidRDefault="00196131" w:rsidP="005F283E">
            <w:pPr>
              <w:spacing w:line="280" w:lineRule="exact"/>
              <w:jc w:val="right"/>
              <w:rPr>
                <w:rFonts w:ascii="Arial" w:hAnsi="Arial" w:cs="Arial"/>
                <w:sz w:val="20"/>
              </w:rPr>
            </w:pPr>
            <w:r w:rsidRPr="00196131">
              <w:rPr>
                <w:rFonts w:ascii="Arial" w:hAnsi="Arial" w:cs="Arial"/>
                <w:sz w:val="20"/>
              </w:rPr>
              <w:t>42</w:t>
            </w:r>
          </w:p>
        </w:tc>
        <w:tc>
          <w:tcPr>
            <w:tcW w:w="1710" w:type="dxa"/>
            <w:tcBorders>
              <w:top w:val="nil"/>
              <w:left w:val="nil"/>
              <w:bottom w:val="nil"/>
              <w:right w:val="nil"/>
            </w:tcBorders>
            <w:vAlign w:val="bottom"/>
          </w:tcPr>
          <w:p w14:paraId="7001ED21" w14:textId="77777777" w:rsidR="00196131" w:rsidRPr="00196131" w:rsidRDefault="00196131" w:rsidP="005F283E">
            <w:pPr>
              <w:spacing w:line="280" w:lineRule="exact"/>
              <w:jc w:val="right"/>
              <w:rPr>
                <w:rFonts w:ascii="Arial" w:hAnsi="Arial" w:cs="Arial"/>
                <w:sz w:val="20"/>
              </w:rPr>
            </w:pPr>
            <w:r w:rsidRPr="00196131">
              <w:rPr>
                <w:rFonts w:ascii="Arial" w:hAnsi="Arial" w:cs="Arial"/>
                <w:sz w:val="20"/>
              </w:rPr>
              <w:t>12</w:t>
            </w:r>
          </w:p>
        </w:tc>
      </w:tr>
      <w:tr w:rsidR="00196131" w:rsidRPr="00196131" w14:paraId="03395008" w14:textId="77777777" w:rsidTr="003720E5">
        <w:trPr>
          <w:gridAfter w:val="1"/>
          <w:wAfter w:w="467" w:type="dxa"/>
          <w:cantSplit/>
        </w:trPr>
        <w:tc>
          <w:tcPr>
            <w:tcW w:w="5670" w:type="dxa"/>
            <w:tcBorders>
              <w:top w:val="nil"/>
              <w:left w:val="nil"/>
              <w:bottom w:val="nil"/>
              <w:right w:val="nil"/>
            </w:tcBorders>
          </w:tcPr>
          <w:p w14:paraId="4A4EF091" w14:textId="77777777" w:rsidR="00196131" w:rsidRPr="00196131" w:rsidRDefault="00196131" w:rsidP="005F283E">
            <w:pPr>
              <w:spacing w:line="280" w:lineRule="exact"/>
              <w:ind w:left="720"/>
              <w:rPr>
                <w:rFonts w:ascii="Arial" w:hAnsi="Arial" w:cs="Arial"/>
                <w:sz w:val="20"/>
              </w:rPr>
            </w:pPr>
            <w:r w:rsidRPr="00196131">
              <w:rPr>
                <w:rFonts w:ascii="Arial" w:hAnsi="Arial" w:cs="Arial"/>
                <w:sz w:val="20"/>
              </w:rPr>
              <w:t>Interest due on above</w:t>
            </w:r>
          </w:p>
        </w:tc>
        <w:tc>
          <w:tcPr>
            <w:tcW w:w="1890" w:type="dxa"/>
            <w:tcBorders>
              <w:top w:val="nil"/>
              <w:left w:val="nil"/>
              <w:bottom w:val="single" w:sz="4" w:space="0" w:color="auto"/>
              <w:right w:val="nil"/>
            </w:tcBorders>
            <w:vAlign w:val="bottom"/>
          </w:tcPr>
          <w:p w14:paraId="516FBDFF" w14:textId="77777777" w:rsidR="00196131" w:rsidRPr="00196131" w:rsidRDefault="00196131" w:rsidP="005F283E">
            <w:pPr>
              <w:spacing w:line="280" w:lineRule="exact"/>
              <w:jc w:val="right"/>
              <w:rPr>
                <w:rFonts w:ascii="Arial" w:hAnsi="Arial" w:cs="Arial"/>
                <w:sz w:val="20"/>
              </w:rPr>
            </w:pPr>
            <w:r w:rsidRPr="00196131">
              <w:rPr>
                <w:rFonts w:ascii="Arial" w:hAnsi="Arial" w:cs="Arial"/>
                <w:sz w:val="20"/>
              </w:rPr>
              <w:t>-</w:t>
            </w:r>
          </w:p>
        </w:tc>
        <w:tc>
          <w:tcPr>
            <w:tcW w:w="1710" w:type="dxa"/>
            <w:tcBorders>
              <w:top w:val="nil"/>
              <w:left w:val="nil"/>
              <w:bottom w:val="single" w:sz="4" w:space="0" w:color="auto"/>
              <w:right w:val="nil"/>
            </w:tcBorders>
            <w:vAlign w:val="bottom"/>
          </w:tcPr>
          <w:p w14:paraId="46D8B8E0" w14:textId="77777777" w:rsidR="00196131" w:rsidRPr="00196131" w:rsidRDefault="00196131" w:rsidP="005F283E">
            <w:pPr>
              <w:spacing w:line="280" w:lineRule="exact"/>
              <w:jc w:val="right"/>
              <w:rPr>
                <w:rFonts w:ascii="Arial" w:hAnsi="Arial" w:cs="Arial"/>
                <w:sz w:val="20"/>
              </w:rPr>
            </w:pPr>
            <w:r w:rsidRPr="00196131">
              <w:rPr>
                <w:rFonts w:ascii="Arial" w:hAnsi="Arial" w:cs="Arial"/>
                <w:sz w:val="20"/>
              </w:rPr>
              <w:t>-</w:t>
            </w:r>
          </w:p>
        </w:tc>
      </w:tr>
      <w:tr w:rsidR="00196131" w:rsidRPr="00196131" w14:paraId="6761A3FE" w14:textId="77777777" w:rsidTr="003720E5">
        <w:trPr>
          <w:gridAfter w:val="1"/>
          <w:wAfter w:w="467" w:type="dxa"/>
          <w:cantSplit/>
        </w:trPr>
        <w:tc>
          <w:tcPr>
            <w:tcW w:w="5670" w:type="dxa"/>
            <w:tcBorders>
              <w:top w:val="nil"/>
              <w:left w:val="nil"/>
              <w:bottom w:val="nil"/>
              <w:right w:val="nil"/>
            </w:tcBorders>
          </w:tcPr>
          <w:p w14:paraId="48BFF08A" w14:textId="77777777" w:rsidR="00196131" w:rsidRPr="00196131" w:rsidRDefault="00196131" w:rsidP="005F283E">
            <w:pPr>
              <w:spacing w:line="280" w:lineRule="exact"/>
              <w:rPr>
                <w:rFonts w:ascii="Arial" w:hAnsi="Arial" w:cs="Arial"/>
                <w:sz w:val="20"/>
              </w:rPr>
            </w:pPr>
          </w:p>
        </w:tc>
        <w:tc>
          <w:tcPr>
            <w:tcW w:w="1890" w:type="dxa"/>
            <w:tcBorders>
              <w:top w:val="single" w:sz="4" w:space="0" w:color="auto"/>
              <w:left w:val="nil"/>
              <w:bottom w:val="single" w:sz="4" w:space="0" w:color="auto"/>
              <w:right w:val="nil"/>
            </w:tcBorders>
            <w:vAlign w:val="bottom"/>
          </w:tcPr>
          <w:p w14:paraId="067BA95E" w14:textId="77777777" w:rsidR="00196131" w:rsidRPr="00196131" w:rsidRDefault="00196131" w:rsidP="005F283E">
            <w:pPr>
              <w:spacing w:line="280" w:lineRule="exact"/>
              <w:jc w:val="right"/>
              <w:rPr>
                <w:rFonts w:ascii="Arial" w:hAnsi="Arial" w:cs="Arial"/>
                <w:sz w:val="20"/>
              </w:rPr>
            </w:pPr>
            <w:r w:rsidRPr="00196131">
              <w:rPr>
                <w:rFonts w:ascii="Arial" w:hAnsi="Arial" w:cs="Arial"/>
                <w:sz w:val="20"/>
              </w:rPr>
              <w:t>42</w:t>
            </w:r>
          </w:p>
        </w:tc>
        <w:tc>
          <w:tcPr>
            <w:tcW w:w="1710" w:type="dxa"/>
            <w:tcBorders>
              <w:top w:val="single" w:sz="4" w:space="0" w:color="auto"/>
              <w:left w:val="nil"/>
              <w:bottom w:val="single" w:sz="4" w:space="0" w:color="auto"/>
              <w:right w:val="nil"/>
            </w:tcBorders>
            <w:vAlign w:val="bottom"/>
          </w:tcPr>
          <w:p w14:paraId="511D2D5A" w14:textId="77777777" w:rsidR="00196131" w:rsidRPr="00196131" w:rsidRDefault="00196131" w:rsidP="005F283E">
            <w:pPr>
              <w:spacing w:line="280" w:lineRule="exact"/>
              <w:jc w:val="right"/>
              <w:rPr>
                <w:rFonts w:ascii="Arial" w:hAnsi="Arial" w:cs="Arial"/>
                <w:sz w:val="20"/>
              </w:rPr>
            </w:pPr>
            <w:r w:rsidRPr="00196131">
              <w:rPr>
                <w:rFonts w:ascii="Arial" w:hAnsi="Arial" w:cs="Arial"/>
                <w:sz w:val="20"/>
              </w:rPr>
              <w:t>12</w:t>
            </w:r>
          </w:p>
        </w:tc>
      </w:tr>
      <w:tr w:rsidR="00196131" w:rsidRPr="00196131" w14:paraId="65932DDE" w14:textId="77777777" w:rsidTr="003720E5">
        <w:trPr>
          <w:gridAfter w:val="1"/>
          <w:wAfter w:w="467" w:type="dxa"/>
          <w:cantSplit/>
        </w:trPr>
        <w:tc>
          <w:tcPr>
            <w:tcW w:w="5670" w:type="dxa"/>
            <w:tcBorders>
              <w:top w:val="nil"/>
              <w:left w:val="nil"/>
              <w:bottom w:val="nil"/>
              <w:right w:val="nil"/>
            </w:tcBorders>
          </w:tcPr>
          <w:p w14:paraId="27DD405C" w14:textId="77777777" w:rsidR="00196131" w:rsidRPr="00196131" w:rsidRDefault="00196131" w:rsidP="005F283E">
            <w:pPr>
              <w:spacing w:line="280" w:lineRule="exact"/>
              <w:rPr>
                <w:rFonts w:ascii="Arial" w:hAnsi="Arial" w:cs="Arial"/>
                <w:sz w:val="20"/>
              </w:rPr>
            </w:pPr>
          </w:p>
        </w:tc>
        <w:tc>
          <w:tcPr>
            <w:tcW w:w="1890" w:type="dxa"/>
            <w:tcBorders>
              <w:top w:val="single" w:sz="4" w:space="0" w:color="auto"/>
              <w:left w:val="nil"/>
              <w:bottom w:val="single" w:sz="4" w:space="0" w:color="auto"/>
              <w:right w:val="nil"/>
            </w:tcBorders>
            <w:vAlign w:val="bottom"/>
          </w:tcPr>
          <w:p w14:paraId="6619906C" w14:textId="77777777" w:rsidR="00196131" w:rsidRDefault="00196131" w:rsidP="005F283E">
            <w:pPr>
              <w:spacing w:line="280" w:lineRule="exact"/>
              <w:jc w:val="right"/>
              <w:rPr>
                <w:rFonts w:ascii="Arial" w:hAnsi="Arial" w:cs="Arial"/>
                <w:sz w:val="20"/>
              </w:rPr>
            </w:pPr>
          </w:p>
          <w:p w14:paraId="525748F8" w14:textId="77777777" w:rsidR="00591B28" w:rsidRDefault="00591B28" w:rsidP="00591B28">
            <w:pPr>
              <w:spacing w:line="280" w:lineRule="exact"/>
              <w:rPr>
                <w:rFonts w:ascii="Arial" w:hAnsi="Arial" w:cs="Arial"/>
                <w:sz w:val="20"/>
              </w:rPr>
            </w:pPr>
          </w:p>
          <w:p w14:paraId="6DFAD147" w14:textId="69EFCD1A" w:rsidR="003720E5" w:rsidRPr="00196131" w:rsidRDefault="003720E5" w:rsidP="003720E5">
            <w:pPr>
              <w:spacing w:line="280" w:lineRule="exact"/>
              <w:rPr>
                <w:rFonts w:ascii="Arial" w:hAnsi="Arial" w:cs="Arial"/>
                <w:sz w:val="20"/>
              </w:rPr>
            </w:pPr>
          </w:p>
        </w:tc>
        <w:tc>
          <w:tcPr>
            <w:tcW w:w="1710" w:type="dxa"/>
            <w:tcBorders>
              <w:top w:val="single" w:sz="4" w:space="0" w:color="auto"/>
              <w:left w:val="nil"/>
              <w:bottom w:val="single" w:sz="4" w:space="0" w:color="auto"/>
              <w:right w:val="nil"/>
            </w:tcBorders>
            <w:vAlign w:val="bottom"/>
          </w:tcPr>
          <w:p w14:paraId="4A3B720D" w14:textId="77777777" w:rsidR="00196131" w:rsidRPr="00196131" w:rsidRDefault="00196131" w:rsidP="005F283E">
            <w:pPr>
              <w:spacing w:line="280" w:lineRule="exact"/>
              <w:jc w:val="right"/>
              <w:rPr>
                <w:rFonts w:ascii="Arial" w:hAnsi="Arial" w:cs="Arial"/>
                <w:sz w:val="20"/>
              </w:rPr>
            </w:pPr>
          </w:p>
        </w:tc>
      </w:tr>
      <w:tr w:rsidR="00196131" w:rsidRPr="00196131" w14:paraId="61963375" w14:textId="77777777" w:rsidTr="003720E5">
        <w:trPr>
          <w:gridAfter w:val="1"/>
          <w:wAfter w:w="467" w:type="dxa"/>
          <w:cantSplit/>
        </w:trPr>
        <w:tc>
          <w:tcPr>
            <w:tcW w:w="5670" w:type="dxa"/>
            <w:tcBorders>
              <w:top w:val="nil"/>
              <w:left w:val="nil"/>
              <w:bottom w:val="nil"/>
              <w:right w:val="nil"/>
            </w:tcBorders>
          </w:tcPr>
          <w:p w14:paraId="5A5392FC" w14:textId="77777777" w:rsidR="00196131" w:rsidRPr="00196131" w:rsidRDefault="00196131" w:rsidP="005F283E">
            <w:pPr>
              <w:spacing w:line="280" w:lineRule="exact"/>
              <w:jc w:val="both"/>
              <w:rPr>
                <w:rFonts w:ascii="Arial" w:hAnsi="Arial" w:cs="Arial"/>
                <w:sz w:val="20"/>
              </w:rPr>
            </w:pPr>
          </w:p>
        </w:tc>
        <w:tc>
          <w:tcPr>
            <w:tcW w:w="1890" w:type="dxa"/>
            <w:tcBorders>
              <w:top w:val="single" w:sz="4" w:space="0" w:color="auto"/>
              <w:left w:val="nil"/>
              <w:bottom w:val="single" w:sz="4" w:space="0" w:color="auto"/>
              <w:right w:val="nil"/>
            </w:tcBorders>
          </w:tcPr>
          <w:p w14:paraId="533AB89E" w14:textId="4C8176AF" w:rsidR="00196131" w:rsidRPr="00196131" w:rsidRDefault="00196131" w:rsidP="005F283E">
            <w:pPr>
              <w:spacing w:line="280" w:lineRule="exact"/>
              <w:jc w:val="center"/>
              <w:rPr>
                <w:rFonts w:ascii="Arial" w:hAnsi="Arial" w:cs="Arial"/>
                <w:b/>
                <w:sz w:val="20"/>
              </w:rPr>
            </w:pPr>
            <w:r w:rsidRPr="00196131">
              <w:rPr>
                <w:rFonts w:ascii="Arial" w:hAnsi="Arial" w:cs="Arial"/>
                <w:b/>
                <w:sz w:val="20"/>
              </w:rPr>
              <w:t>31 March 202</w:t>
            </w:r>
            <w:r>
              <w:rPr>
                <w:rFonts w:ascii="Arial" w:hAnsi="Arial" w:cs="Arial"/>
                <w:b/>
                <w:sz w:val="20"/>
              </w:rPr>
              <w:t>1</w:t>
            </w:r>
          </w:p>
        </w:tc>
        <w:tc>
          <w:tcPr>
            <w:tcW w:w="1710" w:type="dxa"/>
            <w:tcBorders>
              <w:top w:val="single" w:sz="4" w:space="0" w:color="auto"/>
              <w:left w:val="nil"/>
              <w:bottom w:val="single" w:sz="4" w:space="0" w:color="auto"/>
              <w:right w:val="nil"/>
            </w:tcBorders>
          </w:tcPr>
          <w:p w14:paraId="0EC974E5" w14:textId="73863DFE" w:rsidR="00196131" w:rsidRPr="00196131" w:rsidRDefault="00196131" w:rsidP="005F283E">
            <w:pPr>
              <w:spacing w:line="280" w:lineRule="exact"/>
              <w:jc w:val="center"/>
              <w:rPr>
                <w:rFonts w:ascii="Arial" w:hAnsi="Arial" w:cs="Arial"/>
                <w:b/>
                <w:sz w:val="20"/>
              </w:rPr>
            </w:pPr>
            <w:r w:rsidRPr="00196131">
              <w:rPr>
                <w:rFonts w:ascii="Arial" w:hAnsi="Arial" w:cs="Arial"/>
                <w:b/>
                <w:sz w:val="20"/>
              </w:rPr>
              <w:t>31 March 20</w:t>
            </w:r>
            <w:r>
              <w:rPr>
                <w:rFonts w:ascii="Arial" w:hAnsi="Arial" w:cs="Arial"/>
                <w:b/>
                <w:sz w:val="20"/>
              </w:rPr>
              <w:t>20</w:t>
            </w:r>
          </w:p>
        </w:tc>
      </w:tr>
      <w:tr w:rsidR="00196131" w:rsidRPr="00196131" w14:paraId="63A17470" w14:textId="77777777" w:rsidTr="003720E5">
        <w:trPr>
          <w:gridAfter w:val="1"/>
          <w:wAfter w:w="467" w:type="dxa"/>
          <w:cantSplit/>
        </w:trPr>
        <w:tc>
          <w:tcPr>
            <w:tcW w:w="5670" w:type="dxa"/>
            <w:tcBorders>
              <w:top w:val="nil"/>
              <w:left w:val="nil"/>
              <w:bottom w:val="nil"/>
              <w:right w:val="nil"/>
            </w:tcBorders>
          </w:tcPr>
          <w:p w14:paraId="5A40E72B" w14:textId="77777777" w:rsidR="00196131" w:rsidRPr="00196131" w:rsidRDefault="00196131" w:rsidP="00196131">
            <w:pPr>
              <w:spacing w:line="280" w:lineRule="exact"/>
              <w:jc w:val="both"/>
              <w:rPr>
                <w:rFonts w:ascii="Arial" w:hAnsi="Arial" w:cs="Arial"/>
                <w:sz w:val="20"/>
              </w:rPr>
            </w:pPr>
          </w:p>
        </w:tc>
        <w:tc>
          <w:tcPr>
            <w:tcW w:w="1890" w:type="dxa"/>
            <w:tcBorders>
              <w:top w:val="single" w:sz="4" w:space="0" w:color="auto"/>
              <w:left w:val="nil"/>
              <w:bottom w:val="single" w:sz="4" w:space="0" w:color="auto"/>
              <w:right w:val="nil"/>
            </w:tcBorders>
          </w:tcPr>
          <w:p w14:paraId="06F14A65" w14:textId="067A008D" w:rsidR="00196131" w:rsidRPr="00196131" w:rsidRDefault="00196131" w:rsidP="00196131">
            <w:pPr>
              <w:spacing w:line="280" w:lineRule="exact"/>
              <w:jc w:val="center"/>
              <w:rPr>
                <w:rFonts w:ascii="Arial" w:hAnsi="Arial" w:cs="Arial"/>
                <w:b/>
                <w:sz w:val="20"/>
              </w:rPr>
            </w:pPr>
            <w:r w:rsidRPr="00196131">
              <w:rPr>
                <w:rFonts w:ascii="Arial" w:hAnsi="Arial" w:cs="Arial"/>
                <w:b/>
                <w:sz w:val="20"/>
              </w:rPr>
              <w:t xml:space="preserve">INR </w:t>
            </w:r>
            <w:r>
              <w:rPr>
                <w:rFonts w:ascii="Arial" w:hAnsi="Arial" w:cs="Arial"/>
                <w:b/>
                <w:sz w:val="20"/>
              </w:rPr>
              <w:t>lacs</w:t>
            </w:r>
          </w:p>
        </w:tc>
        <w:tc>
          <w:tcPr>
            <w:tcW w:w="1710" w:type="dxa"/>
            <w:tcBorders>
              <w:top w:val="single" w:sz="4" w:space="0" w:color="auto"/>
              <w:left w:val="nil"/>
              <w:bottom w:val="single" w:sz="4" w:space="0" w:color="auto"/>
              <w:right w:val="nil"/>
            </w:tcBorders>
          </w:tcPr>
          <w:p w14:paraId="71BFBC23" w14:textId="07A56559" w:rsidR="00196131" w:rsidRPr="00196131" w:rsidRDefault="00196131" w:rsidP="00196131">
            <w:pPr>
              <w:spacing w:line="280" w:lineRule="exact"/>
              <w:jc w:val="center"/>
              <w:rPr>
                <w:rFonts w:ascii="Arial" w:hAnsi="Arial" w:cs="Arial"/>
                <w:b/>
                <w:sz w:val="20"/>
              </w:rPr>
            </w:pPr>
            <w:r w:rsidRPr="00196131">
              <w:rPr>
                <w:rFonts w:ascii="Arial" w:hAnsi="Arial" w:cs="Arial"/>
                <w:b/>
                <w:sz w:val="20"/>
              </w:rPr>
              <w:t xml:space="preserve">INR </w:t>
            </w:r>
            <w:r>
              <w:rPr>
                <w:rFonts w:ascii="Arial" w:hAnsi="Arial" w:cs="Arial"/>
                <w:b/>
                <w:sz w:val="20"/>
              </w:rPr>
              <w:t>lacs</w:t>
            </w:r>
          </w:p>
        </w:tc>
      </w:tr>
      <w:tr w:rsidR="00196131" w:rsidRPr="00196131" w14:paraId="0FCB3310" w14:textId="77777777" w:rsidTr="003720E5">
        <w:trPr>
          <w:gridAfter w:val="1"/>
          <w:wAfter w:w="467" w:type="dxa"/>
          <w:cantSplit/>
        </w:trPr>
        <w:tc>
          <w:tcPr>
            <w:tcW w:w="5670" w:type="dxa"/>
            <w:tcBorders>
              <w:top w:val="nil"/>
              <w:left w:val="nil"/>
              <w:bottom w:val="nil"/>
              <w:right w:val="nil"/>
            </w:tcBorders>
          </w:tcPr>
          <w:p w14:paraId="43FCD1EA" w14:textId="77777777" w:rsidR="00196131" w:rsidRPr="00196131" w:rsidRDefault="00196131" w:rsidP="005F283E">
            <w:pPr>
              <w:spacing w:line="280" w:lineRule="exact"/>
              <w:rPr>
                <w:rFonts w:ascii="Arial" w:hAnsi="Arial" w:cs="Arial"/>
                <w:sz w:val="20"/>
              </w:rPr>
            </w:pPr>
            <w:r w:rsidRPr="00196131">
              <w:rPr>
                <w:rFonts w:ascii="Arial" w:hAnsi="Arial" w:cs="Arial"/>
                <w:sz w:val="20"/>
              </w:rPr>
              <w:t>The amount of interest paid by the buyer in terms of section 16 of the MSMED Act 2006 along with the amounts of the payment made to the supplier beyond the appointed day during each accounting year</w:t>
            </w:r>
          </w:p>
        </w:tc>
        <w:tc>
          <w:tcPr>
            <w:tcW w:w="1890" w:type="dxa"/>
            <w:tcBorders>
              <w:top w:val="single" w:sz="4" w:space="0" w:color="auto"/>
              <w:left w:val="nil"/>
              <w:bottom w:val="nil"/>
              <w:right w:val="nil"/>
            </w:tcBorders>
            <w:vAlign w:val="center"/>
          </w:tcPr>
          <w:p w14:paraId="550DE70E" w14:textId="77777777" w:rsidR="00196131" w:rsidRPr="00196131" w:rsidRDefault="00196131" w:rsidP="005F283E">
            <w:pPr>
              <w:spacing w:line="240" w:lineRule="auto"/>
              <w:jc w:val="right"/>
              <w:rPr>
                <w:rFonts w:ascii="Arial" w:hAnsi="Arial" w:cs="Arial"/>
                <w:color w:val="000000"/>
                <w:sz w:val="20"/>
              </w:rPr>
            </w:pPr>
            <w:r w:rsidRPr="00196131">
              <w:rPr>
                <w:rFonts w:ascii="Arial" w:hAnsi="Arial" w:cs="Arial"/>
                <w:color w:val="000000"/>
                <w:sz w:val="20"/>
              </w:rPr>
              <w:t>1</w:t>
            </w:r>
          </w:p>
        </w:tc>
        <w:tc>
          <w:tcPr>
            <w:tcW w:w="1710" w:type="dxa"/>
            <w:tcBorders>
              <w:top w:val="single" w:sz="4" w:space="0" w:color="auto"/>
              <w:left w:val="nil"/>
              <w:bottom w:val="nil"/>
              <w:right w:val="nil"/>
            </w:tcBorders>
            <w:vAlign w:val="center"/>
          </w:tcPr>
          <w:p w14:paraId="1165F741" w14:textId="77777777" w:rsidR="00196131" w:rsidRPr="00196131" w:rsidRDefault="00196131" w:rsidP="005F283E">
            <w:pPr>
              <w:spacing w:line="240" w:lineRule="auto"/>
              <w:jc w:val="right"/>
              <w:rPr>
                <w:rFonts w:ascii="Arial" w:hAnsi="Arial" w:cs="Arial"/>
                <w:color w:val="000000"/>
                <w:sz w:val="20"/>
              </w:rPr>
            </w:pPr>
            <w:r w:rsidRPr="00196131">
              <w:rPr>
                <w:rFonts w:ascii="Arial" w:hAnsi="Arial" w:cs="Arial"/>
                <w:color w:val="000000"/>
                <w:sz w:val="20"/>
              </w:rPr>
              <w:t>-</w:t>
            </w:r>
          </w:p>
        </w:tc>
      </w:tr>
      <w:tr w:rsidR="00196131" w:rsidRPr="00196131" w14:paraId="62BED74B" w14:textId="77777777" w:rsidTr="003720E5">
        <w:trPr>
          <w:gridAfter w:val="1"/>
          <w:wAfter w:w="467" w:type="dxa"/>
          <w:cantSplit/>
        </w:trPr>
        <w:tc>
          <w:tcPr>
            <w:tcW w:w="5670" w:type="dxa"/>
            <w:tcBorders>
              <w:top w:val="nil"/>
              <w:left w:val="nil"/>
              <w:bottom w:val="nil"/>
              <w:right w:val="nil"/>
            </w:tcBorders>
          </w:tcPr>
          <w:p w14:paraId="01729401" w14:textId="77777777" w:rsidR="00196131" w:rsidRPr="00196131" w:rsidRDefault="00196131" w:rsidP="005F283E">
            <w:pPr>
              <w:spacing w:line="280" w:lineRule="exact"/>
              <w:rPr>
                <w:rFonts w:ascii="Arial" w:hAnsi="Arial" w:cs="Arial"/>
                <w:sz w:val="20"/>
              </w:rPr>
            </w:pPr>
            <w:r w:rsidRPr="00196131">
              <w:rPr>
                <w:rFonts w:ascii="Arial" w:hAnsi="Arial" w:cs="Arial"/>
                <w:sz w:val="20"/>
              </w:rPr>
              <w:t>The amount of interest due and payable for the period of delay in making payment (which have been paid but beyond the appointed day during the year) but without adding the interest specified under the MSMED Act 2006.</w:t>
            </w:r>
          </w:p>
        </w:tc>
        <w:tc>
          <w:tcPr>
            <w:tcW w:w="1890" w:type="dxa"/>
            <w:tcBorders>
              <w:top w:val="nil"/>
              <w:left w:val="nil"/>
              <w:bottom w:val="nil"/>
              <w:right w:val="nil"/>
            </w:tcBorders>
            <w:vAlign w:val="center"/>
          </w:tcPr>
          <w:p w14:paraId="23A49DC4" w14:textId="77777777" w:rsidR="00196131" w:rsidRPr="00196131" w:rsidRDefault="00196131" w:rsidP="005F283E">
            <w:pPr>
              <w:spacing w:line="240" w:lineRule="auto"/>
              <w:jc w:val="right"/>
              <w:rPr>
                <w:rFonts w:ascii="Arial" w:hAnsi="Arial" w:cs="Arial"/>
                <w:color w:val="000000"/>
                <w:sz w:val="20"/>
              </w:rPr>
            </w:pPr>
            <w:r w:rsidRPr="00196131">
              <w:rPr>
                <w:rFonts w:ascii="Arial" w:hAnsi="Arial" w:cs="Arial"/>
                <w:color w:val="000000"/>
                <w:sz w:val="20"/>
              </w:rPr>
              <w:t>-</w:t>
            </w:r>
          </w:p>
        </w:tc>
        <w:tc>
          <w:tcPr>
            <w:tcW w:w="1710" w:type="dxa"/>
            <w:tcBorders>
              <w:top w:val="nil"/>
              <w:left w:val="nil"/>
              <w:bottom w:val="nil"/>
              <w:right w:val="nil"/>
            </w:tcBorders>
            <w:vAlign w:val="center"/>
          </w:tcPr>
          <w:p w14:paraId="7D4532E8" w14:textId="77777777" w:rsidR="00196131" w:rsidRPr="00196131" w:rsidRDefault="00196131" w:rsidP="005F283E">
            <w:pPr>
              <w:spacing w:line="240" w:lineRule="auto"/>
              <w:jc w:val="right"/>
              <w:rPr>
                <w:rFonts w:ascii="Arial" w:hAnsi="Arial" w:cs="Arial"/>
                <w:color w:val="000000"/>
                <w:sz w:val="20"/>
              </w:rPr>
            </w:pPr>
            <w:r w:rsidRPr="00196131">
              <w:rPr>
                <w:rFonts w:ascii="Arial" w:hAnsi="Arial" w:cs="Arial"/>
                <w:color w:val="000000"/>
                <w:sz w:val="20"/>
              </w:rPr>
              <w:t>-</w:t>
            </w:r>
          </w:p>
        </w:tc>
      </w:tr>
      <w:tr w:rsidR="00196131" w:rsidRPr="00196131" w14:paraId="7BDAAD53" w14:textId="77777777" w:rsidTr="003720E5">
        <w:trPr>
          <w:gridAfter w:val="1"/>
          <w:wAfter w:w="467" w:type="dxa"/>
          <w:cantSplit/>
        </w:trPr>
        <w:tc>
          <w:tcPr>
            <w:tcW w:w="5670" w:type="dxa"/>
            <w:tcBorders>
              <w:top w:val="nil"/>
              <w:left w:val="nil"/>
              <w:bottom w:val="nil"/>
              <w:right w:val="nil"/>
            </w:tcBorders>
          </w:tcPr>
          <w:p w14:paraId="4E5634C8" w14:textId="77777777" w:rsidR="00196131" w:rsidRPr="00196131" w:rsidRDefault="00196131" w:rsidP="005F283E">
            <w:pPr>
              <w:spacing w:line="280" w:lineRule="exact"/>
              <w:rPr>
                <w:rFonts w:ascii="Arial" w:hAnsi="Arial" w:cs="Arial"/>
                <w:sz w:val="20"/>
              </w:rPr>
            </w:pPr>
            <w:r w:rsidRPr="00196131">
              <w:rPr>
                <w:rFonts w:ascii="Arial" w:hAnsi="Arial" w:cs="Arial"/>
                <w:sz w:val="20"/>
              </w:rPr>
              <w:t>The amount of interest accrued and remaining unpaid at the end of each accounting year</w:t>
            </w:r>
          </w:p>
        </w:tc>
        <w:tc>
          <w:tcPr>
            <w:tcW w:w="1890" w:type="dxa"/>
            <w:tcBorders>
              <w:top w:val="nil"/>
              <w:left w:val="nil"/>
              <w:bottom w:val="nil"/>
              <w:right w:val="nil"/>
            </w:tcBorders>
            <w:vAlign w:val="center"/>
          </w:tcPr>
          <w:p w14:paraId="5C33C302" w14:textId="77777777" w:rsidR="00196131" w:rsidRPr="00196131" w:rsidRDefault="00196131" w:rsidP="005F283E">
            <w:pPr>
              <w:spacing w:line="240" w:lineRule="auto"/>
              <w:jc w:val="right"/>
              <w:rPr>
                <w:rFonts w:ascii="Arial" w:hAnsi="Arial" w:cs="Arial"/>
                <w:color w:val="000000"/>
                <w:sz w:val="20"/>
              </w:rPr>
            </w:pPr>
            <w:r w:rsidRPr="00196131">
              <w:rPr>
                <w:rFonts w:ascii="Arial" w:hAnsi="Arial" w:cs="Arial"/>
                <w:color w:val="000000"/>
                <w:sz w:val="20"/>
              </w:rPr>
              <w:t>-</w:t>
            </w:r>
          </w:p>
        </w:tc>
        <w:tc>
          <w:tcPr>
            <w:tcW w:w="1710" w:type="dxa"/>
            <w:tcBorders>
              <w:top w:val="nil"/>
              <w:left w:val="nil"/>
              <w:bottom w:val="nil"/>
              <w:right w:val="nil"/>
            </w:tcBorders>
            <w:vAlign w:val="center"/>
          </w:tcPr>
          <w:p w14:paraId="48CD0236" w14:textId="77777777" w:rsidR="00196131" w:rsidRPr="00196131" w:rsidRDefault="00196131" w:rsidP="005F283E">
            <w:pPr>
              <w:spacing w:line="240" w:lineRule="auto"/>
              <w:jc w:val="right"/>
              <w:rPr>
                <w:rFonts w:ascii="Arial" w:hAnsi="Arial" w:cs="Arial"/>
                <w:color w:val="000000"/>
                <w:sz w:val="20"/>
              </w:rPr>
            </w:pPr>
            <w:r w:rsidRPr="00196131">
              <w:rPr>
                <w:rFonts w:ascii="Arial" w:hAnsi="Arial" w:cs="Arial"/>
                <w:color w:val="000000"/>
                <w:sz w:val="20"/>
              </w:rPr>
              <w:t>-</w:t>
            </w:r>
          </w:p>
        </w:tc>
      </w:tr>
      <w:tr w:rsidR="00196131" w:rsidRPr="00196131" w14:paraId="6DF1CE7B" w14:textId="77777777" w:rsidTr="003720E5">
        <w:trPr>
          <w:gridAfter w:val="1"/>
          <w:wAfter w:w="467" w:type="dxa"/>
          <w:cantSplit/>
        </w:trPr>
        <w:tc>
          <w:tcPr>
            <w:tcW w:w="5670" w:type="dxa"/>
            <w:tcBorders>
              <w:top w:val="nil"/>
              <w:left w:val="nil"/>
              <w:bottom w:val="single" w:sz="4" w:space="0" w:color="auto"/>
              <w:right w:val="nil"/>
            </w:tcBorders>
          </w:tcPr>
          <w:p w14:paraId="0F3855F2" w14:textId="77777777" w:rsidR="00196131" w:rsidRPr="00196131" w:rsidRDefault="00196131" w:rsidP="005F283E">
            <w:pPr>
              <w:spacing w:line="280" w:lineRule="exact"/>
              <w:rPr>
                <w:rFonts w:ascii="Arial" w:hAnsi="Arial" w:cs="Arial"/>
                <w:sz w:val="20"/>
              </w:rPr>
            </w:pPr>
            <w:r w:rsidRPr="00196131">
              <w:rPr>
                <w:rFonts w:ascii="Arial" w:hAnsi="Arial" w:cs="Arial"/>
                <w:sz w:val="20"/>
              </w:rPr>
              <w:t>The amount of further interest remaining due and payable even in the succeeding years, until such date when the interest dues as above are actually paid to the small enterprise for the purpose of disallowance as a deductible expenditure under section 23 of the MSMED Act 2006</w:t>
            </w:r>
          </w:p>
        </w:tc>
        <w:tc>
          <w:tcPr>
            <w:tcW w:w="1890" w:type="dxa"/>
            <w:tcBorders>
              <w:top w:val="nil"/>
              <w:left w:val="nil"/>
              <w:bottom w:val="single" w:sz="4" w:space="0" w:color="auto"/>
              <w:right w:val="nil"/>
            </w:tcBorders>
            <w:vAlign w:val="center"/>
          </w:tcPr>
          <w:p w14:paraId="7F45E413" w14:textId="77777777" w:rsidR="00196131" w:rsidRPr="00196131" w:rsidRDefault="00196131" w:rsidP="005F283E">
            <w:pPr>
              <w:spacing w:line="240" w:lineRule="auto"/>
              <w:jc w:val="right"/>
              <w:rPr>
                <w:rFonts w:ascii="Arial" w:hAnsi="Arial" w:cs="Arial"/>
                <w:color w:val="000000"/>
                <w:sz w:val="20"/>
              </w:rPr>
            </w:pPr>
            <w:r w:rsidRPr="00196131">
              <w:rPr>
                <w:rFonts w:ascii="Arial" w:hAnsi="Arial" w:cs="Arial"/>
                <w:color w:val="000000"/>
                <w:sz w:val="20"/>
              </w:rPr>
              <w:t>-</w:t>
            </w:r>
          </w:p>
        </w:tc>
        <w:tc>
          <w:tcPr>
            <w:tcW w:w="1710" w:type="dxa"/>
            <w:tcBorders>
              <w:top w:val="nil"/>
              <w:left w:val="nil"/>
              <w:bottom w:val="single" w:sz="4" w:space="0" w:color="auto"/>
              <w:right w:val="nil"/>
            </w:tcBorders>
            <w:vAlign w:val="center"/>
          </w:tcPr>
          <w:p w14:paraId="374BB1D3" w14:textId="77777777" w:rsidR="00196131" w:rsidRPr="00196131" w:rsidRDefault="00196131" w:rsidP="005F283E">
            <w:pPr>
              <w:spacing w:line="240" w:lineRule="auto"/>
              <w:jc w:val="right"/>
              <w:rPr>
                <w:rFonts w:ascii="Arial" w:hAnsi="Arial" w:cs="Arial"/>
                <w:color w:val="000000"/>
                <w:sz w:val="20"/>
              </w:rPr>
            </w:pPr>
            <w:r w:rsidRPr="00196131">
              <w:rPr>
                <w:rFonts w:ascii="Arial" w:hAnsi="Arial" w:cs="Arial"/>
                <w:color w:val="000000"/>
                <w:sz w:val="20"/>
              </w:rPr>
              <w:t>-</w:t>
            </w:r>
          </w:p>
        </w:tc>
      </w:tr>
      <w:tr w:rsidR="00001A3B" w:rsidRPr="00196131" w14:paraId="3BB39E51" w14:textId="77777777" w:rsidTr="00372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37" w:type="dxa"/>
            <w:gridSpan w:val="4"/>
          </w:tcPr>
          <w:p w14:paraId="5FE0E47F" w14:textId="77777777" w:rsidR="00196131" w:rsidRPr="00196131" w:rsidRDefault="00196131" w:rsidP="00001A3B">
            <w:pPr>
              <w:pStyle w:val="Notesbulletpoint"/>
              <w:numPr>
                <w:ilvl w:val="0"/>
                <w:numId w:val="0"/>
              </w:numPr>
              <w:spacing w:after="0" w:line="280" w:lineRule="exact"/>
              <w:rPr>
                <w:rFonts w:ascii="Arial" w:hAnsi="Arial"/>
                <w:color w:val="auto"/>
                <w:sz w:val="20"/>
              </w:rPr>
            </w:pPr>
          </w:p>
          <w:p w14:paraId="62463D89" w14:textId="77777777" w:rsidR="00001A3B" w:rsidRPr="00196131" w:rsidRDefault="00001A3B" w:rsidP="00196131">
            <w:pPr>
              <w:rPr>
                <w:rFonts w:ascii="Arial" w:hAnsi="Arial" w:cs="Arial"/>
                <w:sz w:val="20"/>
              </w:rPr>
            </w:pPr>
          </w:p>
        </w:tc>
      </w:tr>
      <w:tr w:rsidR="00001A3B" w:rsidRPr="00196131" w14:paraId="2B6A7E1B" w14:textId="77777777" w:rsidTr="00372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37" w:type="dxa"/>
            <w:gridSpan w:val="4"/>
            <w:shd w:val="clear" w:color="auto" w:fill="C1C1C1" w:themeFill="background1" w:themeFillTint="66"/>
          </w:tcPr>
          <w:p w14:paraId="74CD5254" w14:textId="77777777" w:rsidR="00001A3B" w:rsidRPr="00196131" w:rsidRDefault="00001A3B" w:rsidP="009901E1">
            <w:pPr>
              <w:pStyle w:val="Notesbulletpoint"/>
              <w:numPr>
                <w:ilvl w:val="0"/>
                <w:numId w:val="0"/>
              </w:numPr>
              <w:spacing w:after="0" w:line="280" w:lineRule="exact"/>
              <w:rPr>
                <w:rFonts w:ascii="Arial" w:hAnsi="Arial"/>
                <w:b/>
                <w:color w:val="auto"/>
                <w:sz w:val="20"/>
              </w:rPr>
            </w:pPr>
            <w:r w:rsidRPr="00196131">
              <w:rPr>
                <w:rFonts w:ascii="Arial" w:hAnsi="Arial"/>
                <w:b/>
                <w:color w:val="auto"/>
                <w:sz w:val="20"/>
              </w:rPr>
              <w:t>Authors’ note</w:t>
            </w:r>
          </w:p>
          <w:p w14:paraId="03DC569B" w14:textId="77777777" w:rsidR="00001A3B" w:rsidRPr="00196131" w:rsidRDefault="00001A3B" w:rsidP="00001A3B">
            <w:pPr>
              <w:pStyle w:val="Notesbulletpoint"/>
              <w:numPr>
                <w:ilvl w:val="0"/>
                <w:numId w:val="0"/>
              </w:numPr>
              <w:spacing w:after="0" w:line="280" w:lineRule="exact"/>
              <w:jc w:val="both"/>
              <w:rPr>
                <w:rFonts w:ascii="Arial" w:hAnsi="Arial"/>
                <w:color w:val="auto"/>
                <w:sz w:val="20"/>
              </w:rPr>
            </w:pPr>
          </w:p>
          <w:p w14:paraId="36F335FA" w14:textId="23368E1C" w:rsidR="00001A3B" w:rsidRPr="00196131" w:rsidRDefault="0032051D" w:rsidP="00AB42F4">
            <w:pPr>
              <w:pStyle w:val="Notesbulletpoint"/>
              <w:numPr>
                <w:ilvl w:val="0"/>
                <w:numId w:val="0"/>
              </w:numPr>
              <w:spacing w:after="0" w:line="280" w:lineRule="exact"/>
              <w:jc w:val="both"/>
              <w:rPr>
                <w:rFonts w:ascii="Arial" w:hAnsi="Arial"/>
                <w:color w:val="auto"/>
                <w:sz w:val="20"/>
              </w:rPr>
            </w:pPr>
            <w:r w:rsidRPr="00196131">
              <w:rPr>
                <w:rFonts w:ascii="Arial" w:hAnsi="Arial"/>
                <w:color w:val="auto"/>
                <w:sz w:val="20"/>
              </w:rPr>
              <w:t>According to Part III of Guidance Note on Division II of Schedule III of the Companies Act, 2013 - General Instructions for Preparation of Consolidated Financial Statements, Disclosures required as per the MSMED Act, 2006 are not relevant at CFS level and hence, may be dispensed with.</w:t>
            </w:r>
          </w:p>
        </w:tc>
      </w:tr>
    </w:tbl>
    <w:p w14:paraId="2F7493D2" w14:textId="77777777" w:rsidR="00001A3B" w:rsidRPr="00E70587" w:rsidRDefault="00001A3B" w:rsidP="00B447A2">
      <w:pPr>
        <w:pStyle w:val="Notesbodytext"/>
        <w:spacing w:after="0" w:line="280" w:lineRule="exact"/>
        <w:rPr>
          <w:rFonts w:ascii="Arial" w:hAnsi="Arial"/>
          <w:color w:val="auto"/>
          <w:sz w:val="20"/>
        </w:rPr>
      </w:pPr>
    </w:p>
    <w:p w14:paraId="2657BA1B" w14:textId="77777777" w:rsidR="00F375C7" w:rsidRPr="00E70587" w:rsidRDefault="00F375C7"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Discontinued operations</w:t>
      </w:r>
    </w:p>
    <w:p w14:paraId="0E8B56FB" w14:textId="77777777" w:rsidR="00B447A2" w:rsidRPr="00E70587" w:rsidRDefault="00B447A2" w:rsidP="00B447A2">
      <w:pPr>
        <w:pStyle w:val="Notesbodytext"/>
        <w:spacing w:after="0" w:line="280" w:lineRule="exact"/>
        <w:jc w:val="both"/>
        <w:rPr>
          <w:rFonts w:ascii="Arial" w:hAnsi="Arial"/>
          <w:color w:val="auto"/>
          <w:sz w:val="20"/>
        </w:rPr>
      </w:pPr>
    </w:p>
    <w:p w14:paraId="1294A55E" w14:textId="69A6E8A7" w:rsidR="00F375C7" w:rsidRPr="00E70587" w:rsidRDefault="00F375C7" w:rsidP="00B447A2">
      <w:pPr>
        <w:pStyle w:val="Notesbodytext"/>
        <w:spacing w:after="0" w:line="280" w:lineRule="exact"/>
        <w:jc w:val="both"/>
        <w:rPr>
          <w:rFonts w:ascii="Arial" w:hAnsi="Arial"/>
          <w:color w:val="auto"/>
          <w:sz w:val="20"/>
        </w:rPr>
      </w:pPr>
      <w:r w:rsidRPr="00E70587">
        <w:rPr>
          <w:rFonts w:ascii="Arial" w:hAnsi="Arial"/>
          <w:color w:val="auto"/>
          <w:sz w:val="20"/>
        </w:rPr>
        <w:t xml:space="preserve">On 1 October </w:t>
      </w:r>
      <w:r w:rsidR="002C5BE6" w:rsidRPr="00E70587">
        <w:rPr>
          <w:rFonts w:ascii="Arial" w:hAnsi="Arial"/>
          <w:color w:val="auto"/>
          <w:sz w:val="20"/>
        </w:rPr>
        <w:t>20</w:t>
      </w:r>
      <w:r w:rsidR="002C5BE6">
        <w:rPr>
          <w:rFonts w:ascii="Arial" w:hAnsi="Arial"/>
          <w:color w:val="auto"/>
          <w:sz w:val="20"/>
        </w:rPr>
        <w:t>20</w:t>
      </w:r>
      <w:r w:rsidRPr="00E70587">
        <w:rPr>
          <w:rFonts w:ascii="Arial" w:hAnsi="Arial"/>
          <w:color w:val="auto"/>
          <w:sz w:val="20"/>
        </w:rPr>
        <w:t xml:space="preserve">, the Group publicly announced the decision of its Board of Directors to </w:t>
      </w:r>
      <w:r w:rsidR="009B2D09">
        <w:rPr>
          <w:rFonts w:ascii="Arial" w:hAnsi="Arial"/>
          <w:color w:val="auto"/>
          <w:sz w:val="20"/>
        </w:rPr>
        <w:t>sell</w:t>
      </w:r>
      <w:r w:rsidR="009B2D09" w:rsidRPr="00E70587">
        <w:rPr>
          <w:rFonts w:ascii="Arial" w:hAnsi="Arial"/>
          <w:color w:val="auto"/>
          <w:sz w:val="20"/>
        </w:rPr>
        <w:t xml:space="preserve"> </w:t>
      </w:r>
      <w:r w:rsidRPr="00E70587">
        <w:rPr>
          <w:rFonts w:ascii="Arial" w:hAnsi="Arial"/>
          <w:color w:val="auto"/>
          <w:sz w:val="20"/>
        </w:rPr>
        <w:t xml:space="preserve">the shares of H Limited, a wholly owned subsidiary, to shareholders of Illustration (India) Limited (the Company). At 31 </w:t>
      </w:r>
      <w:r w:rsidR="00E1202D" w:rsidRPr="00E70587">
        <w:rPr>
          <w:rFonts w:ascii="Arial" w:hAnsi="Arial"/>
          <w:color w:val="auto"/>
          <w:sz w:val="20"/>
        </w:rPr>
        <w:t xml:space="preserve">March </w:t>
      </w:r>
      <w:r w:rsidR="002C5BE6" w:rsidRPr="00E70587">
        <w:rPr>
          <w:rFonts w:ascii="Arial" w:hAnsi="Arial"/>
          <w:color w:val="auto"/>
          <w:sz w:val="20"/>
        </w:rPr>
        <w:t>20</w:t>
      </w:r>
      <w:r w:rsidR="002C5BE6">
        <w:rPr>
          <w:rFonts w:ascii="Arial" w:hAnsi="Arial"/>
          <w:color w:val="auto"/>
          <w:sz w:val="20"/>
        </w:rPr>
        <w:t>21</w:t>
      </w:r>
      <w:r w:rsidRPr="00E70587">
        <w:rPr>
          <w:rFonts w:ascii="Arial" w:hAnsi="Arial"/>
          <w:color w:val="auto"/>
          <w:sz w:val="20"/>
        </w:rPr>
        <w:t xml:space="preserve">, H Limited was classified as a disposal group held for </w:t>
      </w:r>
      <w:r w:rsidR="004B4199">
        <w:rPr>
          <w:rFonts w:ascii="Arial" w:hAnsi="Arial"/>
          <w:color w:val="auto"/>
          <w:sz w:val="20"/>
        </w:rPr>
        <w:t>sale</w:t>
      </w:r>
      <w:r w:rsidR="004B4199" w:rsidRPr="00E70587">
        <w:rPr>
          <w:rFonts w:ascii="Arial" w:hAnsi="Arial"/>
          <w:color w:val="auto"/>
          <w:sz w:val="20"/>
        </w:rPr>
        <w:t xml:space="preserve"> </w:t>
      </w:r>
      <w:r w:rsidRPr="00E70587">
        <w:rPr>
          <w:rFonts w:ascii="Arial" w:hAnsi="Arial"/>
          <w:color w:val="auto"/>
          <w:sz w:val="20"/>
        </w:rPr>
        <w:t xml:space="preserve">to equity holders of the parent and as a discontinued operation. The business of H Limited represented the Group’s Rubber Equipment operating segment until 1 October </w:t>
      </w:r>
      <w:r w:rsidR="002C5BE6" w:rsidRPr="00E70587">
        <w:rPr>
          <w:rFonts w:ascii="Arial" w:hAnsi="Arial"/>
          <w:color w:val="auto"/>
          <w:sz w:val="20"/>
        </w:rPr>
        <w:t>20</w:t>
      </w:r>
      <w:r w:rsidR="002C5BE6">
        <w:rPr>
          <w:rFonts w:ascii="Arial" w:hAnsi="Arial"/>
          <w:color w:val="auto"/>
          <w:sz w:val="20"/>
        </w:rPr>
        <w:t>20</w:t>
      </w:r>
      <w:r w:rsidRPr="00E70587">
        <w:rPr>
          <w:rFonts w:ascii="Arial" w:hAnsi="Arial"/>
          <w:color w:val="auto"/>
          <w:sz w:val="20"/>
        </w:rPr>
        <w:t xml:space="preserve">. Being a discontinued operation, that segment is no longer presented in the segment note. On 14 November </w:t>
      </w:r>
      <w:r w:rsidR="002C5BE6" w:rsidRPr="00E70587">
        <w:rPr>
          <w:rFonts w:ascii="Arial" w:hAnsi="Arial"/>
          <w:color w:val="auto"/>
          <w:sz w:val="20"/>
        </w:rPr>
        <w:t>20</w:t>
      </w:r>
      <w:r w:rsidR="002C5BE6">
        <w:rPr>
          <w:rFonts w:ascii="Arial" w:hAnsi="Arial"/>
          <w:color w:val="auto"/>
          <w:sz w:val="20"/>
        </w:rPr>
        <w:t>20</w:t>
      </w:r>
      <w:r w:rsidRPr="00E70587">
        <w:rPr>
          <w:rFonts w:ascii="Arial" w:hAnsi="Arial"/>
          <w:color w:val="auto"/>
          <w:sz w:val="20"/>
        </w:rPr>
        <w:t xml:space="preserve">, the shareholders of the Company approved the plan to </w:t>
      </w:r>
      <w:r w:rsidR="009B2D09">
        <w:rPr>
          <w:rFonts w:ascii="Arial" w:hAnsi="Arial"/>
          <w:color w:val="auto"/>
          <w:sz w:val="20"/>
        </w:rPr>
        <w:t>sell</w:t>
      </w:r>
      <w:r w:rsidRPr="00E70587">
        <w:rPr>
          <w:rFonts w:ascii="Arial" w:hAnsi="Arial"/>
          <w:color w:val="auto"/>
          <w:sz w:val="20"/>
        </w:rPr>
        <w:t xml:space="preserve">. The </w:t>
      </w:r>
      <w:r w:rsidR="009B2D09">
        <w:rPr>
          <w:rFonts w:ascii="Arial" w:hAnsi="Arial"/>
          <w:color w:val="auto"/>
          <w:sz w:val="20"/>
        </w:rPr>
        <w:t>sale</w:t>
      </w:r>
      <w:r w:rsidR="009B2D09" w:rsidRPr="00E70587">
        <w:rPr>
          <w:rFonts w:ascii="Arial" w:hAnsi="Arial"/>
          <w:color w:val="auto"/>
          <w:sz w:val="20"/>
        </w:rPr>
        <w:t xml:space="preserve"> </w:t>
      </w:r>
      <w:r w:rsidRPr="00E70587">
        <w:rPr>
          <w:rFonts w:ascii="Arial" w:hAnsi="Arial"/>
          <w:color w:val="auto"/>
          <w:sz w:val="20"/>
        </w:rPr>
        <w:t xml:space="preserve">of H Limited is expected to be completed by 28 May </w:t>
      </w:r>
      <w:r w:rsidR="002C5BE6" w:rsidRPr="00E70587">
        <w:rPr>
          <w:rFonts w:ascii="Arial" w:hAnsi="Arial"/>
          <w:color w:val="auto"/>
          <w:sz w:val="20"/>
        </w:rPr>
        <w:t>20</w:t>
      </w:r>
      <w:r w:rsidR="002C5BE6">
        <w:rPr>
          <w:rFonts w:ascii="Arial" w:hAnsi="Arial"/>
          <w:color w:val="auto"/>
          <w:sz w:val="20"/>
        </w:rPr>
        <w:t>21</w:t>
      </w:r>
      <w:r w:rsidRPr="00E70587">
        <w:rPr>
          <w:rFonts w:ascii="Arial" w:hAnsi="Arial"/>
          <w:color w:val="auto"/>
          <w:sz w:val="20"/>
        </w:rPr>
        <w:t>.</w:t>
      </w:r>
    </w:p>
    <w:p w14:paraId="6B98B3E1" w14:textId="77777777" w:rsidR="00310DB8" w:rsidRPr="00E70587" w:rsidRDefault="00310DB8" w:rsidP="009901E1">
      <w:pPr>
        <w:pStyle w:val="Notesbodytext"/>
        <w:spacing w:after="0" w:line="280" w:lineRule="exact"/>
        <w:rPr>
          <w:rFonts w:ascii="Arial" w:hAnsi="Arial"/>
          <w:color w:val="auto"/>
          <w:sz w:val="20"/>
        </w:rPr>
      </w:pPr>
    </w:p>
    <w:p w14:paraId="5C39A96F" w14:textId="77777777" w:rsidR="00310DB8" w:rsidRPr="00E70587" w:rsidRDefault="00310DB8" w:rsidP="00B447A2">
      <w:pPr>
        <w:pStyle w:val="Notesbodytext"/>
        <w:spacing w:after="0" w:line="280" w:lineRule="exact"/>
        <w:rPr>
          <w:rFonts w:ascii="Arial" w:hAnsi="Arial"/>
          <w:b/>
          <w:sz w:val="20"/>
        </w:rPr>
      </w:pPr>
      <w:r w:rsidRPr="00E70587">
        <w:rPr>
          <w:rFonts w:ascii="Arial" w:hAnsi="Arial"/>
          <w:b/>
          <w:sz w:val="20"/>
        </w:rPr>
        <w:t xml:space="preserve">The </w:t>
      </w:r>
      <w:r w:rsidRPr="00E70587">
        <w:rPr>
          <w:rFonts w:ascii="Arial" w:hAnsi="Arial"/>
          <w:b/>
          <w:color w:val="auto"/>
          <w:sz w:val="20"/>
        </w:rPr>
        <w:t>results</w:t>
      </w:r>
      <w:r w:rsidRPr="00E70587">
        <w:rPr>
          <w:rFonts w:ascii="Arial" w:hAnsi="Arial"/>
          <w:b/>
          <w:sz w:val="20"/>
        </w:rPr>
        <w:t xml:space="preserve"> of H Limited for the year are presented below:</w:t>
      </w:r>
    </w:p>
    <w:p w14:paraId="2B25FA57" w14:textId="77777777" w:rsidR="00B447A2" w:rsidRPr="00E70587" w:rsidRDefault="00B447A2" w:rsidP="00B447A2">
      <w:pPr>
        <w:pStyle w:val="Notesbodytext"/>
        <w:spacing w:after="0" w:line="280" w:lineRule="exact"/>
        <w:rPr>
          <w:rFonts w:ascii="Arial" w:hAnsi="Arial"/>
          <w:i/>
          <w:sz w:val="20"/>
        </w:rPr>
      </w:pPr>
    </w:p>
    <w:tbl>
      <w:tblPr>
        <w:tblW w:w="9576" w:type="dxa"/>
        <w:tblLayout w:type="fixed"/>
        <w:tblLook w:val="01E0" w:firstRow="1" w:lastRow="1" w:firstColumn="1" w:lastColumn="1" w:noHBand="0" w:noVBand="0"/>
      </w:tblPr>
      <w:tblGrid>
        <w:gridCol w:w="6053"/>
        <w:gridCol w:w="1716"/>
        <w:gridCol w:w="1807"/>
      </w:tblGrid>
      <w:tr w:rsidR="00F375C7" w:rsidRPr="00E70587" w14:paraId="753693D6" w14:textId="77777777" w:rsidTr="009A5E2F">
        <w:tc>
          <w:tcPr>
            <w:tcW w:w="6030" w:type="dxa"/>
            <w:shd w:val="clear" w:color="auto" w:fill="auto"/>
          </w:tcPr>
          <w:p w14:paraId="6B01AE79" w14:textId="77777777" w:rsidR="00F375C7" w:rsidRPr="00E70587" w:rsidRDefault="00F375C7" w:rsidP="009901E1">
            <w:pPr>
              <w:pStyle w:val="000Normal"/>
              <w:spacing w:before="0" w:after="0" w:line="280" w:lineRule="exact"/>
              <w:rPr>
                <w:rFonts w:ascii="Arial" w:hAnsi="Arial" w:cs="Arial"/>
                <w:sz w:val="20"/>
              </w:rPr>
            </w:pPr>
          </w:p>
        </w:tc>
        <w:tc>
          <w:tcPr>
            <w:tcW w:w="1710" w:type="dxa"/>
            <w:tcBorders>
              <w:bottom w:val="single" w:sz="4" w:space="0" w:color="auto"/>
            </w:tcBorders>
            <w:shd w:val="clear" w:color="auto" w:fill="auto"/>
            <w:tcMar>
              <w:right w:w="108" w:type="dxa"/>
            </w:tcMar>
            <w:vAlign w:val="bottom"/>
          </w:tcPr>
          <w:p w14:paraId="3A8F541D" w14:textId="43382D87" w:rsidR="00F375C7" w:rsidRPr="00E70587" w:rsidRDefault="00F375C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March 20</w:t>
            </w:r>
            <w:r w:rsidR="000940CC">
              <w:rPr>
                <w:rFonts w:ascii="Arial" w:hAnsi="Arial"/>
                <w:color w:val="auto"/>
                <w:sz w:val="20"/>
                <w:szCs w:val="20"/>
                <w:lang w:val="en-IN"/>
              </w:rPr>
              <w:t>21</w:t>
            </w:r>
          </w:p>
        </w:tc>
        <w:tc>
          <w:tcPr>
            <w:tcW w:w="1800" w:type="dxa"/>
            <w:tcBorders>
              <w:bottom w:val="single" w:sz="4" w:space="0" w:color="auto"/>
            </w:tcBorders>
            <w:shd w:val="clear" w:color="auto" w:fill="auto"/>
            <w:tcMar>
              <w:right w:w="108" w:type="dxa"/>
            </w:tcMar>
            <w:vAlign w:val="bottom"/>
          </w:tcPr>
          <w:p w14:paraId="279AB5A0" w14:textId="5D376C3B" w:rsidR="00F375C7" w:rsidRPr="00E70587" w:rsidRDefault="00F375C7" w:rsidP="009901E1">
            <w:pPr>
              <w:pStyle w:val="Tablecolumnheading"/>
              <w:spacing w:line="280" w:lineRule="exact"/>
              <w:ind w:right="63"/>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March 20</w:t>
            </w:r>
            <w:r w:rsidR="000940CC">
              <w:rPr>
                <w:rFonts w:ascii="Arial" w:hAnsi="Arial"/>
                <w:color w:val="auto"/>
                <w:sz w:val="20"/>
                <w:szCs w:val="20"/>
                <w:lang w:val="en-IN"/>
              </w:rPr>
              <w:t>20</w:t>
            </w:r>
          </w:p>
        </w:tc>
      </w:tr>
      <w:tr w:rsidR="00F375C7" w:rsidRPr="00E70587" w14:paraId="150D18B5" w14:textId="77777777" w:rsidTr="009A5E2F">
        <w:tc>
          <w:tcPr>
            <w:tcW w:w="6030" w:type="dxa"/>
          </w:tcPr>
          <w:p w14:paraId="49D27B58" w14:textId="77777777" w:rsidR="00F375C7" w:rsidRPr="00E70587" w:rsidRDefault="00F375C7" w:rsidP="009901E1">
            <w:pPr>
              <w:pStyle w:val="000Normal"/>
              <w:spacing w:before="0" w:after="0" w:line="280" w:lineRule="exact"/>
              <w:jc w:val="right"/>
              <w:rPr>
                <w:rFonts w:ascii="Arial" w:hAnsi="Arial" w:cs="Arial"/>
                <w:b/>
                <w:sz w:val="20"/>
              </w:rPr>
            </w:pPr>
          </w:p>
        </w:tc>
        <w:tc>
          <w:tcPr>
            <w:tcW w:w="1710" w:type="dxa"/>
            <w:tcBorders>
              <w:top w:val="single" w:sz="4" w:space="0" w:color="auto"/>
            </w:tcBorders>
            <w:tcMar>
              <w:right w:w="108" w:type="dxa"/>
            </w:tcMar>
          </w:tcPr>
          <w:p w14:paraId="2AD2A986" w14:textId="77777777" w:rsidR="00F375C7" w:rsidRPr="00E70587" w:rsidRDefault="00F375C7" w:rsidP="00B447A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00" w:type="dxa"/>
            <w:tcBorders>
              <w:top w:val="single" w:sz="4" w:space="0" w:color="auto"/>
            </w:tcBorders>
            <w:tcMar>
              <w:right w:w="108" w:type="dxa"/>
            </w:tcMar>
          </w:tcPr>
          <w:p w14:paraId="6EBE4940" w14:textId="77777777" w:rsidR="00F375C7" w:rsidRPr="00E70587" w:rsidRDefault="00F375C7" w:rsidP="00B447A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F375C7" w:rsidRPr="00E70587" w14:paraId="76DD753A" w14:textId="77777777" w:rsidTr="009A5E2F">
        <w:tc>
          <w:tcPr>
            <w:tcW w:w="6030" w:type="dxa"/>
            <w:tcMar>
              <w:top w:w="28" w:type="dxa"/>
            </w:tcMar>
          </w:tcPr>
          <w:p w14:paraId="3279A65B" w14:textId="29C886B2"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Revenue</w:t>
            </w:r>
            <w:r w:rsidR="00895040">
              <w:rPr>
                <w:rFonts w:ascii="Arial" w:hAnsi="Arial" w:cs="Arial"/>
                <w:sz w:val="20"/>
                <w:lang w:val="en-IN"/>
              </w:rPr>
              <w:t xml:space="preserve"> from contract with customers</w:t>
            </w:r>
          </w:p>
        </w:tc>
        <w:tc>
          <w:tcPr>
            <w:tcW w:w="1710" w:type="dxa"/>
            <w:tcMar>
              <w:top w:w="28" w:type="dxa"/>
              <w:right w:w="108" w:type="dxa"/>
            </w:tcMar>
            <w:vAlign w:val="bottom"/>
          </w:tcPr>
          <w:p w14:paraId="7FEFB949" w14:textId="77777777" w:rsidR="00F375C7" w:rsidRPr="00E70587" w:rsidRDefault="00F375C7" w:rsidP="009901E1">
            <w:pPr>
              <w:spacing w:line="280" w:lineRule="exact"/>
              <w:jc w:val="right"/>
              <w:rPr>
                <w:rFonts w:ascii="Arial" w:hAnsi="Arial" w:cs="Arial"/>
                <w:sz w:val="20"/>
              </w:rPr>
            </w:pPr>
            <w:r w:rsidRPr="00E70587">
              <w:rPr>
                <w:rFonts w:ascii="Arial" w:hAnsi="Arial" w:cs="Arial"/>
                <w:sz w:val="20"/>
              </w:rPr>
              <w:t>77,056</w:t>
            </w:r>
          </w:p>
        </w:tc>
        <w:tc>
          <w:tcPr>
            <w:tcW w:w="1800" w:type="dxa"/>
            <w:tcMar>
              <w:top w:w="28" w:type="dxa"/>
              <w:right w:w="108" w:type="dxa"/>
            </w:tcMar>
            <w:vAlign w:val="bottom"/>
          </w:tcPr>
          <w:p w14:paraId="2AA4299F" w14:textId="77777777" w:rsidR="00F375C7" w:rsidRPr="00E70587" w:rsidRDefault="00F375C7" w:rsidP="009901E1">
            <w:pPr>
              <w:spacing w:line="280" w:lineRule="exact"/>
              <w:ind w:right="152"/>
              <w:jc w:val="right"/>
              <w:rPr>
                <w:rFonts w:ascii="Arial" w:hAnsi="Arial" w:cs="Arial"/>
                <w:sz w:val="20"/>
              </w:rPr>
            </w:pPr>
            <w:r w:rsidRPr="00E70587">
              <w:rPr>
                <w:rFonts w:ascii="Arial" w:hAnsi="Arial" w:cs="Arial"/>
                <w:sz w:val="20"/>
              </w:rPr>
              <w:t>81,371</w:t>
            </w:r>
          </w:p>
        </w:tc>
      </w:tr>
      <w:tr w:rsidR="00F375C7" w:rsidRPr="00E70587" w14:paraId="17B7FF90" w14:textId="77777777" w:rsidTr="009A5E2F">
        <w:tc>
          <w:tcPr>
            <w:tcW w:w="6030" w:type="dxa"/>
          </w:tcPr>
          <w:p w14:paraId="28E72251"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Expenses</w:t>
            </w:r>
          </w:p>
        </w:tc>
        <w:tc>
          <w:tcPr>
            <w:tcW w:w="1710" w:type="dxa"/>
            <w:tcMar>
              <w:top w:w="28" w:type="dxa"/>
              <w:right w:w="28" w:type="dxa"/>
            </w:tcMar>
            <w:vAlign w:val="bottom"/>
          </w:tcPr>
          <w:p w14:paraId="461C34CC" w14:textId="77777777" w:rsidR="00F375C7" w:rsidRPr="00E70587" w:rsidRDefault="00F375C7" w:rsidP="009901E1">
            <w:pPr>
              <w:spacing w:line="280" w:lineRule="exact"/>
              <w:jc w:val="right"/>
              <w:rPr>
                <w:rFonts w:ascii="Arial" w:hAnsi="Arial" w:cs="Arial"/>
                <w:sz w:val="20"/>
              </w:rPr>
            </w:pPr>
            <w:r w:rsidRPr="00E70587">
              <w:rPr>
                <w:rFonts w:ascii="Arial" w:hAnsi="Arial" w:cs="Arial"/>
                <w:sz w:val="20"/>
              </w:rPr>
              <w:t>(75,530)</w:t>
            </w:r>
          </w:p>
        </w:tc>
        <w:tc>
          <w:tcPr>
            <w:tcW w:w="1800" w:type="dxa"/>
            <w:tcMar>
              <w:right w:w="28" w:type="dxa"/>
            </w:tcMar>
            <w:vAlign w:val="bottom"/>
          </w:tcPr>
          <w:p w14:paraId="432258DD" w14:textId="77777777" w:rsidR="00F375C7" w:rsidRPr="00E70587" w:rsidRDefault="00F375C7" w:rsidP="009901E1">
            <w:pPr>
              <w:spacing w:line="280" w:lineRule="exact"/>
              <w:ind w:right="152"/>
              <w:jc w:val="right"/>
              <w:rPr>
                <w:rFonts w:ascii="Arial" w:hAnsi="Arial" w:cs="Arial"/>
                <w:sz w:val="20"/>
              </w:rPr>
            </w:pPr>
            <w:r w:rsidRPr="00E70587">
              <w:rPr>
                <w:rFonts w:ascii="Arial" w:hAnsi="Arial" w:cs="Arial"/>
                <w:sz w:val="20"/>
              </w:rPr>
              <w:t>(80,784)</w:t>
            </w:r>
          </w:p>
        </w:tc>
      </w:tr>
      <w:tr w:rsidR="00F375C7" w:rsidRPr="00E70587" w14:paraId="688986D5" w14:textId="77777777" w:rsidTr="009A5E2F">
        <w:tc>
          <w:tcPr>
            <w:tcW w:w="6030" w:type="dxa"/>
            <w:tcMar>
              <w:top w:w="28" w:type="dxa"/>
            </w:tcMar>
          </w:tcPr>
          <w:p w14:paraId="08D3F2A9"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Finance costs</w:t>
            </w:r>
          </w:p>
        </w:tc>
        <w:tc>
          <w:tcPr>
            <w:tcW w:w="1710" w:type="dxa"/>
            <w:tcMar>
              <w:top w:w="28" w:type="dxa"/>
              <w:right w:w="28" w:type="dxa"/>
            </w:tcMar>
            <w:vAlign w:val="bottom"/>
          </w:tcPr>
          <w:p w14:paraId="4610EB7A" w14:textId="77777777" w:rsidR="00F375C7" w:rsidRPr="00E70587" w:rsidRDefault="00F375C7" w:rsidP="009901E1">
            <w:pPr>
              <w:spacing w:line="280" w:lineRule="exact"/>
              <w:jc w:val="right"/>
              <w:rPr>
                <w:rFonts w:ascii="Arial" w:hAnsi="Arial" w:cs="Arial"/>
                <w:sz w:val="20"/>
              </w:rPr>
            </w:pPr>
            <w:r w:rsidRPr="00E70587">
              <w:rPr>
                <w:rFonts w:ascii="Arial" w:hAnsi="Arial" w:cs="Arial"/>
                <w:sz w:val="20"/>
              </w:rPr>
              <w:t>(945)</w:t>
            </w:r>
          </w:p>
        </w:tc>
        <w:tc>
          <w:tcPr>
            <w:tcW w:w="1800" w:type="dxa"/>
            <w:tcMar>
              <w:top w:w="28" w:type="dxa"/>
              <w:right w:w="28" w:type="dxa"/>
            </w:tcMar>
            <w:vAlign w:val="bottom"/>
          </w:tcPr>
          <w:p w14:paraId="12267600" w14:textId="77777777" w:rsidR="00F375C7" w:rsidRPr="00E70587" w:rsidRDefault="00F375C7" w:rsidP="009901E1">
            <w:pPr>
              <w:spacing w:line="280" w:lineRule="exact"/>
              <w:ind w:right="152"/>
              <w:jc w:val="right"/>
              <w:rPr>
                <w:rFonts w:ascii="Arial" w:hAnsi="Arial" w:cs="Arial"/>
                <w:sz w:val="20"/>
              </w:rPr>
            </w:pPr>
            <w:r w:rsidRPr="00E70587">
              <w:rPr>
                <w:rFonts w:ascii="Arial" w:hAnsi="Arial" w:cs="Arial"/>
                <w:sz w:val="20"/>
              </w:rPr>
              <w:t>(934)</w:t>
            </w:r>
          </w:p>
        </w:tc>
      </w:tr>
      <w:tr w:rsidR="00F375C7" w:rsidRPr="00E70587" w14:paraId="013792C7" w14:textId="77777777" w:rsidTr="009A5E2F">
        <w:tc>
          <w:tcPr>
            <w:tcW w:w="6030" w:type="dxa"/>
            <w:tcMar>
              <w:top w:w="28" w:type="dxa"/>
            </w:tcMar>
            <w:vAlign w:val="bottom"/>
          </w:tcPr>
          <w:p w14:paraId="7F06995A" w14:textId="77777777" w:rsidR="00F375C7" w:rsidRPr="00E70587" w:rsidRDefault="00F375C7" w:rsidP="00B447A2">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Impairment loss recognised on the re-measurement to fair value less costs to sell </w:t>
            </w:r>
          </w:p>
        </w:tc>
        <w:tc>
          <w:tcPr>
            <w:tcW w:w="1710" w:type="dxa"/>
            <w:tcBorders>
              <w:bottom w:val="single" w:sz="4" w:space="0" w:color="auto"/>
            </w:tcBorders>
            <w:tcMar>
              <w:top w:w="28" w:type="dxa"/>
              <w:right w:w="28" w:type="dxa"/>
            </w:tcMar>
            <w:vAlign w:val="bottom"/>
          </w:tcPr>
          <w:p w14:paraId="3B361B30" w14:textId="77777777" w:rsidR="00F375C7" w:rsidRPr="00E70587" w:rsidRDefault="00F375C7" w:rsidP="009901E1">
            <w:pPr>
              <w:spacing w:line="280" w:lineRule="exact"/>
              <w:jc w:val="right"/>
              <w:rPr>
                <w:rFonts w:ascii="Arial" w:hAnsi="Arial" w:cs="Arial"/>
                <w:sz w:val="20"/>
              </w:rPr>
            </w:pPr>
            <w:r w:rsidRPr="00E70587">
              <w:rPr>
                <w:rFonts w:ascii="Arial" w:hAnsi="Arial" w:cs="Arial"/>
                <w:sz w:val="20"/>
              </w:rPr>
              <w:t>(198)</w:t>
            </w:r>
          </w:p>
        </w:tc>
        <w:tc>
          <w:tcPr>
            <w:tcW w:w="1800" w:type="dxa"/>
            <w:tcBorders>
              <w:bottom w:val="single" w:sz="4" w:space="0" w:color="auto"/>
            </w:tcBorders>
            <w:tcMar>
              <w:top w:w="28" w:type="dxa"/>
              <w:right w:w="108" w:type="dxa"/>
            </w:tcMar>
            <w:vAlign w:val="bottom"/>
          </w:tcPr>
          <w:p w14:paraId="25BDE644" w14:textId="77777777" w:rsidR="00F375C7" w:rsidRPr="00E70587" w:rsidRDefault="00F375C7" w:rsidP="009901E1">
            <w:pPr>
              <w:spacing w:line="280" w:lineRule="exact"/>
              <w:ind w:right="152"/>
              <w:jc w:val="right"/>
              <w:rPr>
                <w:rFonts w:ascii="Arial" w:hAnsi="Arial" w:cs="Arial"/>
                <w:sz w:val="20"/>
              </w:rPr>
            </w:pPr>
            <w:r w:rsidRPr="00E70587">
              <w:rPr>
                <w:rFonts w:ascii="Arial" w:hAnsi="Arial" w:cs="Arial"/>
                <w:sz w:val="20"/>
              </w:rPr>
              <w:t>-</w:t>
            </w:r>
          </w:p>
        </w:tc>
      </w:tr>
      <w:tr w:rsidR="00F375C7" w:rsidRPr="00E70587" w14:paraId="5F4EC9FA" w14:textId="77777777" w:rsidTr="009A5E2F">
        <w:tc>
          <w:tcPr>
            <w:tcW w:w="6030" w:type="dxa"/>
            <w:tcMar>
              <w:top w:w="28" w:type="dxa"/>
            </w:tcMar>
          </w:tcPr>
          <w:p w14:paraId="4C068820"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Profit/(loss) before tax from a discontinued operation</w:t>
            </w:r>
          </w:p>
        </w:tc>
        <w:tc>
          <w:tcPr>
            <w:tcW w:w="1710" w:type="dxa"/>
            <w:tcBorders>
              <w:top w:val="single" w:sz="4" w:space="0" w:color="auto"/>
            </w:tcBorders>
            <w:tcMar>
              <w:top w:w="28" w:type="dxa"/>
              <w:right w:w="108" w:type="dxa"/>
            </w:tcMar>
            <w:vAlign w:val="bottom"/>
          </w:tcPr>
          <w:p w14:paraId="31A1176F" w14:textId="77777777" w:rsidR="00F375C7" w:rsidRPr="00E70587" w:rsidRDefault="00F375C7" w:rsidP="009901E1">
            <w:pPr>
              <w:spacing w:line="280" w:lineRule="exact"/>
              <w:jc w:val="right"/>
              <w:rPr>
                <w:rFonts w:ascii="Arial" w:hAnsi="Arial" w:cs="Arial"/>
                <w:b/>
                <w:sz w:val="20"/>
              </w:rPr>
            </w:pPr>
            <w:r w:rsidRPr="00E70587">
              <w:rPr>
                <w:rFonts w:ascii="Arial" w:hAnsi="Arial" w:cs="Arial"/>
                <w:b/>
                <w:sz w:val="20"/>
              </w:rPr>
              <w:t>383</w:t>
            </w:r>
          </w:p>
        </w:tc>
        <w:tc>
          <w:tcPr>
            <w:tcW w:w="1800" w:type="dxa"/>
            <w:tcBorders>
              <w:top w:val="single" w:sz="4" w:space="0" w:color="auto"/>
            </w:tcBorders>
            <w:tcMar>
              <w:top w:w="28" w:type="dxa"/>
              <w:right w:w="28" w:type="dxa"/>
            </w:tcMar>
            <w:vAlign w:val="bottom"/>
          </w:tcPr>
          <w:p w14:paraId="0C0CBA2B" w14:textId="77777777" w:rsidR="00F375C7" w:rsidRPr="00E70587" w:rsidRDefault="00F375C7" w:rsidP="009901E1">
            <w:pPr>
              <w:spacing w:line="280" w:lineRule="exact"/>
              <w:ind w:right="152"/>
              <w:jc w:val="right"/>
              <w:rPr>
                <w:rFonts w:ascii="Arial" w:hAnsi="Arial" w:cs="Arial"/>
                <w:b/>
                <w:sz w:val="20"/>
              </w:rPr>
            </w:pPr>
            <w:r w:rsidRPr="00E70587">
              <w:rPr>
                <w:rFonts w:ascii="Arial" w:hAnsi="Arial" w:cs="Arial"/>
                <w:b/>
                <w:sz w:val="20"/>
              </w:rPr>
              <w:t>(347)</w:t>
            </w:r>
          </w:p>
        </w:tc>
      </w:tr>
      <w:tr w:rsidR="00F375C7" w:rsidRPr="00E70587" w14:paraId="6939BA0A" w14:textId="77777777" w:rsidTr="009A5E2F">
        <w:tc>
          <w:tcPr>
            <w:tcW w:w="6030" w:type="dxa"/>
            <w:tcMar>
              <w:top w:w="28" w:type="dxa"/>
            </w:tcMar>
          </w:tcPr>
          <w:p w14:paraId="6CA76B29"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Tax (expenses)/income:</w:t>
            </w:r>
          </w:p>
        </w:tc>
        <w:tc>
          <w:tcPr>
            <w:tcW w:w="1710" w:type="dxa"/>
            <w:tcMar>
              <w:top w:w="28" w:type="dxa"/>
            </w:tcMar>
            <w:vAlign w:val="bottom"/>
          </w:tcPr>
          <w:p w14:paraId="6DC700F3" w14:textId="77777777" w:rsidR="00F375C7" w:rsidRPr="00E70587" w:rsidRDefault="00F375C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800" w:type="dxa"/>
            <w:tcMar>
              <w:top w:w="28" w:type="dxa"/>
            </w:tcMar>
            <w:vAlign w:val="bottom"/>
          </w:tcPr>
          <w:p w14:paraId="067C4A44" w14:textId="77777777" w:rsidR="00F375C7" w:rsidRPr="00E70587" w:rsidRDefault="00F375C7" w:rsidP="009901E1">
            <w:pPr>
              <w:pStyle w:val="tabletext"/>
              <w:overflowPunct w:val="0"/>
              <w:autoSpaceDE w:val="0"/>
              <w:autoSpaceDN w:val="0"/>
              <w:adjustRightInd w:val="0"/>
              <w:spacing w:line="280" w:lineRule="exact"/>
              <w:ind w:right="152"/>
              <w:jc w:val="right"/>
              <w:textAlignment w:val="baseline"/>
              <w:rPr>
                <w:rFonts w:ascii="Arial" w:hAnsi="Arial" w:cs="Arial"/>
                <w:sz w:val="20"/>
                <w:lang w:val="en-IN"/>
              </w:rPr>
            </w:pPr>
          </w:p>
        </w:tc>
      </w:tr>
      <w:tr w:rsidR="00F375C7" w:rsidRPr="00E70587" w14:paraId="4233527A" w14:textId="77777777" w:rsidTr="009A5E2F">
        <w:tc>
          <w:tcPr>
            <w:tcW w:w="6030" w:type="dxa"/>
            <w:tcMar>
              <w:top w:w="28" w:type="dxa"/>
            </w:tcMar>
            <w:vAlign w:val="bottom"/>
          </w:tcPr>
          <w:p w14:paraId="66A2F955" w14:textId="77777777" w:rsidR="00F375C7" w:rsidRPr="00E70587" w:rsidRDefault="00F375C7"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Related to current pre-tax profit/(loss)</w:t>
            </w:r>
          </w:p>
        </w:tc>
        <w:tc>
          <w:tcPr>
            <w:tcW w:w="1710" w:type="dxa"/>
            <w:tcMar>
              <w:top w:w="28" w:type="dxa"/>
              <w:right w:w="108" w:type="dxa"/>
            </w:tcMar>
            <w:vAlign w:val="bottom"/>
          </w:tcPr>
          <w:p w14:paraId="15441AB5" w14:textId="77777777" w:rsidR="00F375C7" w:rsidRPr="00E70587" w:rsidRDefault="00F375C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9</w:t>
            </w:r>
          </w:p>
        </w:tc>
        <w:tc>
          <w:tcPr>
            <w:tcW w:w="1800" w:type="dxa"/>
            <w:tcMar>
              <w:top w:w="28" w:type="dxa"/>
              <w:right w:w="108" w:type="dxa"/>
            </w:tcMar>
            <w:vAlign w:val="bottom"/>
          </w:tcPr>
          <w:p w14:paraId="70C149A6" w14:textId="77777777" w:rsidR="00F375C7" w:rsidRPr="00E70587" w:rsidRDefault="00F375C7" w:rsidP="009901E1">
            <w:pPr>
              <w:pStyle w:val="tabletext"/>
              <w:overflowPunct w:val="0"/>
              <w:autoSpaceDE w:val="0"/>
              <w:autoSpaceDN w:val="0"/>
              <w:adjustRightInd w:val="0"/>
              <w:spacing w:line="280" w:lineRule="exact"/>
              <w:ind w:right="152"/>
              <w:jc w:val="right"/>
              <w:textAlignment w:val="baseline"/>
              <w:rPr>
                <w:rFonts w:ascii="Arial" w:hAnsi="Arial" w:cs="Arial"/>
                <w:sz w:val="20"/>
                <w:lang w:val="en-IN"/>
              </w:rPr>
            </w:pPr>
            <w:r w:rsidRPr="00E70587">
              <w:rPr>
                <w:rFonts w:ascii="Arial" w:hAnsi="Arial" w:cs="Arial"/>
                <w:sz w:val="20"/>
                <w:lang w:val="en-IN"/>
              </w:rPr>
              <w:t>9</w:t>
            </w:r>
          </w:p>
        </w:tc>
      </w:tr>
      <w:tr w:rsidR="00F375C7" w:rsidRPr="00E70587" w14:paraId="6B181C4E" w14:textId="77777777" w:rsidTr="00B447A2">
        <w:tc>
          <w:tcPr>
            <w:tcW w:w="6030" w:type="dxa"/>
            <w:tcMar>
              <w:top w:w="28" w:type="dxa"/>
            </w:tcMar>
            <w:vAlign w:val="bottom"/>
          </w:tcPr>
          <w:p w14:paraId="45EFDED2" w14:textId="77777777" w:rsidR="00F375C7" w:rsidRPr="00E70587" w:rsidRDefault="00F375C7"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lastRenderedPageBreak/>
              <w:t>Related to measurement to fair value less costs of disposal (deferred tax)</w:t>
            </w:r>
          </w:p>
        </w:tc>
        <w:tc>
          <w:tcPr>
            <w:tcW w:w="1710" w:type="dxa"/>
            <w:tcBorders>
              <w:bottom w:val="single" w:sz="4" w:space="0" w:color="auto"/>
            </w:tcBorders>
            <w:tcMar>
              <w:top w:w="28" w:type="dxa"/>
              <w:right w:w="108" w:type="dxa"/>
            </w:tcMar>
            <w:vAlign w:val="bottom"/>
          </w:tcPr>
          <w:p w14:paraId="1E440997" w14:textId="77777777" w:rsidR="00F375C7" w:rsidRPr="00E70587" w:rsidRDefault="00F375C7" w:rsidP="009901E1">
            <w:pPr>
              <w:pStyle w:val="tabletext"/>
              <w:overflowPunct w:val="0"/>
              <w:autoSpaceDE w:val="0"/>
              <w:autoSpaceDN w:val="0"/>
              <w:adjustRightInd w:val="0"/>
              <w:spacing w:line="280" w:lineRule="exact"/>
              <w:ind w:left="57"/>
              <w:jc w:val="right"/>
              <w:textAlignment w:val="baseline"/>
              <w:rPr>
                <w:rFonts w:ascii="Arial" w:hAnsi="Arial" w:cs="Arial"/>
                <w:sz w:val="20"/>
                <w:lang w:val="en-IN"/>
              </w:rPr>
            </w:pPr>
            <w:r w:rsidRPr="00E70587">
              <w:rPr>
                <w:rFonts w:ascii="Arial" w:hAnsi="Arial" w:cs="Arial"/>
                <w:sz w:val="20"/>
                <w:lang w:val="en-IN"/>
              </w:rPr>
              <w:t>4</w:t>
            </w:r>
          </w:p>
        </w:tc>
        <w:tc>
          <w:tcPr>
            <w:tcW w:w="1800" w:type="dxa"/>
            <w:tcBorders>
              <w:bottom w:val="single" w:sz="4" w:space="0" w:color="auto"/>
            </w:tcBorders>
            <w:tcMar>
              <w:top w:w="28" w:type="dxa"/>
              <w:right w:w="108" w:type="dxa"/>
            </w:tcMar>
            <w:vAlign w:val="bottom"/>
          </w:tcPr>
          <w:p w14:paraId="33309D87" w14:textId="77777777" w:rsidR="00F375C7" w:rsidRPr="00E70587" w:rsidRDefault="00770F33" w:rsidP="009901E1">
            <w:pPr>
              <w:pStyle w:val="tabletext"/>
              <w:overflowPunct w:val="0"/>
              <w:autoSpaceDE w:val="0"/>
              <w:autoSpaceDN w:val="0"/>
              <w:adjustRightInd w:val="0"/>
              <w:spacing w:line="280" w:lineRule="exact"/>
              <w:ind w:left="170" w:right="152"/>
              <w:jc w:val="right"/>
              <w:textAlignment w:val="baseline"/>
              <w:rPr>
                <w:rFonts w:ascii="Arial" w:hAnsi="Arial" w:cs="Arial"/>
                <w:sz w:val="20"/>
                <w:lang w:val="en-IN"/>
              </w:rPr>
            </w:pPr>
            <w:r w:rsidRPr="00E70587">
              <w:rPr>
                <w:rFonts w:ascii="Arial" w:hAnsi="Arial" w:cs="Arial"/>
                <w:sz w:val="20"/>
                <w:lang w:val="en-IN"/>
              </w:rPr>
              <w:t>-</w:t>
            </w:r>
          </w:p>
        </w:tc>
      </w:tr>
      <w:tr w:rsidR="00F375C7" w:rsidRPr="00E70587" w14:paraId="035F615A" w14:textId="77777777" w:rsidTr="00B447A2">
        <w:tc>
          <w:tcPr>
            <w:tcW w:w="6030" w:type="dxa"/>
            <w:tcMar>
              <w:top w:w="28" w:type="dxa"/>
            </w:tcMar>
          </w:tcPr>
          <w:p w14:paraId="1702DB7E"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Profit/(loss) for the year from a discontinued operation</w:t>
            </w:r>
          </w:p>
        </w:tc>
        <w:tc>
          <w:tcPr>
            <w:tcW w:w="1710" w:type="dxa"/>
            <w:tcBorders>
              <w:top w:val="single" w:sz="4" w:space="0" w:color="auto"/>
              <w:bottom w:val="single" w:sz="4" w:space="0" w:color="auto"/>
            </w:tcBorders>
            <w:tcMar>
              <w:top w:w="28" w:type="dxa"/>
              <w:right w:w="108" w:type="dxa"/>
            </w:tcMar>
            <w:vAlign w:val="bottom"/>
          </w:tcPr>
          <w:p w14:paraId="63AB2DB0" w14:textId="77777777" w:rsidR="00F375C7" w:rsidRPr="00E70587" w:rsidRDefault="00F375C7" w:rsidP="009901E1">
            <w:pPr>
              <w:pStyle w:val="tabletext"/>
              <w:overflowPunct w:val="0"/>
              <w:autoSpaceDE w:val="0"/>
              <w:autoSpaceDN w:val="0"/>
              <w:adjustRightInd w:val="0"/>
              <w:spacing w:line="280" w:lineRule="exact"/>
              <w:ind w:left="57"/>
              <w:jc w:val="right"/>
              <w:textAlignment w:val="baseline"/>
              <w:rPr>
                <w:rFonts w:ascii="Arial" w:hAnsi="Arial" w:cs="Arial"/>
                <w:b/>
                <w:sz w:val="20"/>
                <w:lang w:val="en-IN"/>
              </w:rPr>
            </w:pPr>
            <w:r w:rsidRPr="00E70587">
              <w:rPr>
                <w:rFonts w:ascii="Arial" w:hAnsi="Arial" w:cs="Arial"/>
                <w:b/>
                <w:sz w:val="20"/>
                <w:lang w:val="en-IN"/>
              </w:rPr>
              <w:t>396</w:t>
            </w:r>
          </w:p>
        </w:tc>
        <w:tc>
          <w:tcPr>
            <w:tcW w:w="1800" w:type="dxa"/>
            <w:tcBorders>
              <w:top w:val="single" w:sz="4" w:space="0" w:color="auto"/>
              <w:bottom w:val="single" w:sz="4" w:space="0" w:color="auto"/>
            </w:tcBorders>
            <w:tcMar>
              <w:top w:w="28" w:type="dxa"/>
              <w:left w:w="57" w:type="dxa"/>
              <w:right w:w="28" w:type="dxa"/>
            </w:tcMar>
            <w:vAlign w:val="bottom"/>
          </w:tcPr>
          <w:p w14:paraId="3904ACA1" w14:textId="77777777" w:rsidR="00F375C7" w:rsidRPr="00E70587" w:rsidRDefault="00F375C7" w:rsidP="009901E1">
            <w:pPr>
              <w:pStyle w:val="tabletext"/>
              <w:spacing w:line="280" w:lineRule="exact"/>
              <w:ind w:left="232" w:right="152"/>
              <w:jc w:val="right"/>
              <w:rPr>
                <w:rFonts w:ascii="Arial" w:hAnsi="Arial" w:cs="Arial"/>
                <w:b/>
                <w:sz w:val="20"/>
                <w:lang w:val="en-IN"/>
              </w:rPr>
            </w:pPr>
            <w:r w:rsidRPr="00E70587">
              <w:rPr>
                <w:rFonts w:ascii="Arial" w:hAnsi="Arial" w:cs="Arial"/>
                <w:b/>
                <w:sz w:val="20"/>
                <w:lang w:val="en-IN"/>
              </w:rPr>
              <w:t>(338)</w:t>
            </w:r>
          </w:p>
        </w:tc>
      </w:tr>
    </w:tbl>
    <w:p w14:paraId="7D266A65" w14:textId="77777777" w:rsidR="00576AD8" w:rsidRPr="00E70587" w:rsidRDefault="00576AD8" w:rsidP="009901E1">
      <w:pPr>
        <w:spacing w:line="280" w:lineRule="exact"/>
        <w:rPr>
          <w:rFonts w:ascii="Arial" w:hAnsi="Arial" w:cs="Arial"/>
          <w:sz w:val="20"/>
        </w:rPr>
      </w:pPr>
    </w:p>
    <w:p w14:paraId="45CCA771" w14:textId="5E0A93B9" w:rsidR="00B447A2" w:rsidRPr="00E70587" w:rsidRDefault="00B447A2" w:rsidP="009901E1">
      <w:pPr>
        <w:pStyle w:val="IAStext"/>
        <w:spacing w:line="280" w:lineRule="exact"/>
        <w:rPr>
          <w:rFonts w:ascii="Arial" w:hAnsi="Arial" w:cs="Arial"/>
          <w:sz w:val="20"/>
          <w:lang w:val="en-IN"/>
        </w:rPr>
      </w:pPr>
      <w:r w:rsidRPr="00E70587">
        <w:rPr>
          <w:rFonts w:ascii="Arial" w:hAnsi="Arial" w:cs="Arial"/>
          <w:b/>
          <w:i w:val="0"/>
          <w:sz w:val="20"/>
          <w:lang w:val="en-IN"/>
        </w:rPr>
        <w:t xml:space="preserve">The major classes of assets and liabilities of H Limited classified as held for </w:t>
      </w:r>
      <w:r w:rsidR="004B4199">
        <w:rPr>
          <w:rFonts w:ascii="Arial" w:hAnsi="Arial" w:cs="Arial"/>
          <w:b/>
          <w:i w:val="0"/>
          <w:sz w:val="20"/>
          <w:lang w:val="en-IN"/>
        </w:rPr>
        <w:t>sale</w:t>
      </w:r>
      <w:r w:rsidR="004B4199" w:rsidRPr="00E70587">
        <w:rPr>
          <w:rFonts w:ascii="Arial" w:hAnsi="Arial" w:cs="Arial"/>
          <w:b/>
          <w:i w:val="0"/>
          <w:sz w:val="20"/>
          <w:lang w:val="en-IN"/>
        </w:rPr>
        <w:t xml:space="preserve"> </w:t>
      </w:r>
      <w:r w:rsidRPr="00E70587">
        <w:rPr>
          <w:rFonts w:ascii="Arial" w:hAnsi="Arial" w:cs="Arial"/>
          <w:b/>
          <w:i w:val="0"/>
          <w:sz w:val="20"/>
          <w:lang w:val="en-IN"/>
        </w:rPr>
        <w:t xml:space="preserve">to equity holders of the parent as at 31 </w:t>
      </w:r>
      <w:r w:rsidR="00E1202D" w:rsidRPr="00E70587">
        <w:rPr>
          <w:rFonts w:ascii="Arial" w:hAnsi="Arial" w:cs="Arial"/>
          <w:b/>
          <w:i w:val="0"/>
          <w:sz w:val="20"/>
          <w:lang w:val="en-IN"/>
        </w:rPr>
        <w:t>March 20</w:t>
      </w:r>
      <w:r w:rsidR="002C5BE6">
        <w:rPr>
          <w:rFonts w:ascii="Arial" w:hAnsi="Arial" w:cs="Arial"/>
          <w:b/>
          <w:i w:val="0"/>
          <w:sz w:val="20"/>
          <w:lang w:val="en-IN"/>
        </w:rPr>
        <w:t>21</w:t>
      </w:r>
      <w:r w:rsidR="004C4FC8" w:rsidRPr="00E70587">
        <w:rPr>
          <w:rFonts w:ascii="Arial" w:hAnsi="Arial" w:cs="Arial"/>
          <w:b/>
          <w:i w:val="0"/>
          <w:sz w:val="20"/>
          <w:lang w:val="en-IN"/>
        </w:rPr>
        <w:t xml:space="preserve"> </w:t>
      </w:r>
      <w:r w:rsidRPr="00E70587">
        <w:rPr>
          <w:rFonts w:ascii="Arial" w:hAnsi="Arial" w:cs="Arial"/>
          <w:b/>
          <w:i w:val="0"/>
          <w:sz w:val="20"/>
          <w:lang w:val="en-IN"/>
        </w:rPr>
        <w:t>are, as follows:</w:t>
      </w:r>
    </w:p>
    <w:p w14:paraId="5740728A" w14:textId="77777777" w:rsidR="00310DB8" w:rsidRPr="00E70587" w:rsidRDefault="00310DB8" w:rsidP="00B447A2">
      <w:pPr>
        <w:spacing w:line="280" w:lineRule="exact"/>
        <w:rPr>
          <w:rFonts w:ascii="Arial" w:hAnsi="Arial" w:cs="Arial"/>
          <w:sz w:val="20"/>
        </w:rPr>
      </w:pPr>
    </w:p>
    <w:tbl>
      <w:tblPr>
        <w:tblW w:w="9576" w:type="dxa"/>
        <w:tblLayout w:type="fixed"/>
        <w:tblLook w:val="01E0" w:firstRow="1" w:lastRow="1" w:firstColumn="1" w:lastColumn="1" w:noHBand="0" w:noVBand="0"/>
      </w:tblPr>
      <w:tblGrid>
        <w:gridCol w:w="6053"/>
        <w:gridCol w:w="1716"/>
        <w:gridCol w:w="1807"/>
      </w:tblGrid>
      <w:tr w:rsidR="00F375C7" w:rsidRPr="00E70587" w14:paraId="21C48333" w14:textId="77777777" w:rsidTr="009A5E2F">
        <w:trPr>
          <w:tblHeader/>
        </w:trPr>
        <w:tc>
          <w:tcPr>
            <w:tcW w:w="6030" w:type="dxa"/>
            <w:shd w:val="clear" w:color="auto" w:fill="auto"/>
          </w:tcPr>
          <w:p w14:paraId="5E7705D4" w14:textId="77777777" w:rsidR="00F375C7" w:rsidRPr="00E70587" w:rsidRDefault="00F375C7" w:rsidP="009901E1">
            <w:pPr>
              <w:pStyle w:val="000Normal"/>
              <w:spacing w:before="0" w:after="0" w:line="280" w:lineRule="exact"/>
              <w:rPr>
                <w:rFonts w:ascii="Arial" w:hAnsi="Arial" w:cs="Arial"/>
                <w:sz w:val="20"/>
              </w:rPr>
            </w:pPr>
          </w:p>
        </w:tc>
        <w:tc>
          <w:tcPr>
            <w:tcW w:w="1710" w:type="dxa"/>
            <w:tcBorders>
              <w:bottom w:val="single" w:sz="4" w:space="0" w:color="auto"/>
            </w:tcBorders>
            <w:shd w:val="clear" w:color="auto" w:fill="auto"/>
            <w:tcMar>
              <w:right w:w="108" w:type="dxa"/>
            </w:tcMar>
            <w:vAlign w:val="bottom"/>
          </w:tcPr>
          <w:p w14:paraId="17276CDC" w14:textId="56D20C8D" w:rsidR="00F375C7" w:rsidRPr="00E70587" w:rsidRDefault="00F375C7" w:rsidP="00770F33">
            <w:pPr>
              <w:pStyle w:val="tabletext"/>
              <w:overflowPunct w:val="0"/>
              <w:autoSpaceDE w:val="0"/>
              <w:autoSpaceDN w:val="0"/>
              <w:adjustRightInd w:val="0"/>
              <w:spacing w:line="280" w:lineRule="exact"/>
              <w:ind w:right="29"/>
              <w:jc w:val="right"/>
              <w:textAlignment w:val="baseline"/>
              <w:rPr>
                <w:rFonts w:ascii="Arial" w:hAnsi="Arial" w:cs="Arial"/>
                <w:b/>
                <w:sz w:val="20"/>
                <w:lang w:val="en-IN"/>
              </w:rPr>
            </w:pPr>
            <w:r w:rsidRPr="00E70587">
              <w:rPr>
                <w:rFonts w:ascii="Arial" w:hAnsi="Arial" w:cs="Arial"/>
                <w:b/>
                <w:sz w:val="20"/>
                <w:lang w:val="en-IN"/>
              </w:rPr>
              <w:t xml:space="preserve">31 </w:t>
            </w:r>
            <w:r w:rsidR="00E1202D" w:rsidRPr="00E70587">
              <w:rPr>
                <w:rFonts w:ascii="Arial" w:hAnsi="Arial" w:cs="Arial"/>
                <w:b/>
                <w:sz w:val="20"/>
                <w:lang w:val="en-IN"/>
              </w:rPr>
              <w:t>March 20</w:t>
            </w:r>
            <w:r w:rsidR="000940CC">
              <w:rPr>
                <w:rFonts w:ascii="Arial" w:hAnsi="Arial" w:cs="Arial"/>
                <w:b/>
                <w:sz w:val="20"/>
                <w:lang w:val="en-IN"/>
              </w:rPr>
              <w:t>21</w:t>
            </w:r>
          </w:p>
        </w:tc>
        <w:tc>
          <w:tcPr>
            <w:tcW w:w="1800" w:type="dxa"/>
            <w:tcBorders>
              <w:bottom w:val="single" w:sz="4" w:space="0" w:color="auto"/>
            </w:tcBorders>
            <w:shd w:val="clear" w:color="auto" w:fill="auto"/>
            <w:tcMar>
              <w:right w:w="108" w:type="dxa"/>
            </w:tcMar>
            <w:vAlign w:val="bottom"/>
          </w:tcPr>
          <w:p w14:paraId="5E87FB67" w14:textId="53387016" w:rsidR="00F375C7" w:rsidRPr="00E70587" w:rsidRDefault="00F375C7" w:rsidP="00770F33">
            <w:pPr>
              <w:pStyle w:val="tabletext"/>
              <w:overflowPunct w:val="0"/>
              <w:autoSpaceDE w:val="0"/>
              <w:autoSpaceDN w:val="0"/>
              <w:adjustRightInd w:val="0"/>
              <w:spacing w:line="280" w:lineRule="exact"/>
              <w:ind w:right="29"/>
              <w:jc w:val="right"/>
              <w:textAlignment w:val="baseline"/>
              <w:rPr>
                <w:rFonts w:ascii="Arial" w:hAnsi="Arial" w:cs="Arial"/>
                <w:b/>
                <w:sz w:val="20"/>
                <w:lang w:val="en-IN"/>
              </w:rPr>
            </w:pPr>
            <w:r w:rsidRPr="00E70587">
              <w:rPr>
                <w:rFonts w:ascii="Arial" w:hAnsi="Arial" w:cs="Arial"/>
                <w:b/>
                <w:sz w:val="20"/>
                <w:lang w:val="en-IN"/>
              </w:rPr>
              <w:t xml:space="preserve">31 </w:t>
            </w:r>
            <w:r w:rsidR="008B730E" w:rsidRPr="00E70587">
              <w:rPr>
                <w:rFonts w:ascii="Arial" w:hAnsi="Arial" w:cs="Arial"/>
                <w:b/>
                <w:sz w:val="20"/>
                <w:lang w:val="en-IN"/>
              </w:rPr>
              <w:t>March 20</w:t>
            </w:r>
            <w:r w:rsidR="000940CC">
              <w:rPr>
                <w:rFonts w:ascii="Arial" w:hAnsi="Arial" w:cs="Arial"/>
                <w:b/>
                <w:sz w:val="20"/>
                <w:lang w:val="en-IN"/>
              </w:rPr>
              <w:t>20</w:t>
            </w:r>
          </w:p>
        </w:tc>
      </w:tr>
      <w:tr w:rsidR="00F375C7" w:rsidRPr="00E70587" w14:paraId="5F17DE74" w14:textId="77777777" w:rsidTr="009A5E2F">
        <w:trPr>
          <w:tblHeader/>
        </w:trPr>
        <w:tc>
          <w:tcPr>
            <w:tcW w:w="6030" w:type="dxa"/>
          </w:tcPr>
          <w:p w14:paraId="0AE9FAC5" w14:textId="77777777" w:rsidR="00F375C7" w:rsidRPr="00E70587" w:rsidRDefault="00F375C7" w:rsidP="009901E1">
            <w:pPr>
              <w:pStyle w:val="000Normal"/>
              <w:spacing w:before="0" w:after="0" w:line="280" w:lineRule="exact"/>
              <w:jc w:val="right"/>
              <w:rPr>
                <w:rFonts w:ascii="Arial" w:hAnsi="Arial" w:cs="Arial"/>
                <w:b/>
                <w:sz w:val="20"/>
              </w:rPr>
            </w:pPr>
          </w:p>
        </w:tc>
        <w:tc>
          <w:tcPr>
            <w:tcW w:w="1710" w:type="dxa"/>
            <w:tcBorders>
              <w:top w:val="single" w:sz="4" w:space="0" w:color="auto"/>
            </w:tcBorders>
            <w:tcMar>
              <w:right w:w="108" w:type="dxa"/>
            </w:tcMar>
          </w:tcPr>
          <w:p w14:paraId="4D4616BB" w14:textId="77777777" w:rsidR="00F375C7" w:rsidRPr="00E70587" w:rsidRDefault="00F375C7" w:rsidP="00770F33">
            <w:pPr>
              <w:pStyle w:val="tabletext"/>
              <w:overflowPunct w:val="0"/>
              <w:autoSpaceDE w:val="0"/>
              <w:autoSpaceDN w:val="0"/>
              <w:adjustRightInd w:val="0"/>
              <w:spacing w:line="280" w:lineRule="exact"/>
              <w:ind w:right="29"/>
              <w:jc w:val="right"/>
              <w:textAlignment w:val="baseline"/>
              <w:rPr>
                <w:rFonts w:ascii="Arial" w:hAnsi="Arial" w:cs="Arial"/>
                <w:b/>
                <w:sz w:val="20"/>
                <w:lang w:val="en-IN"/>
              </w:rPr>
            </w:pPr>
            <w:r w:rsidRPr="00E70587">
              <w:rPr>
                <w:rFonts w:ascii="Arial" w:hAnsi="Arial" w:cs="Arial"/>
                <w:b/>
                <w:sz w:val="20"/>
                <w:lang w:val="en-IN"/>
              </w:rPr>
              <w:t>INR Lacs</w:t>
            </w:r>
          </w:p>
        </w:tc>
        <w:tc>
          <w:tcPr>
            <w:tcW w:w="1800" w:type="dxa"/>
            <w:tcBorders>
              <w:top w:val="single" w:sz="4" w:space="0" w:color="auto"/>
            </w:tcBorders>
            <w:tcMar>
              <w:right w:w="108" w:type="dxa"/>
            </w:tcMar>
          </w:tcPr>
          <w:p w14:paraId="14E2E27F" w14:textId="77777777" w:rsidR="00F375C7" w:rsidRPr="00E70587" w:rsidRDefault="00F375C7" w:rsidP="00770F33">
            <w:pPr>
              <w:pStyle w:val="tabletext"/>
              <w:overflowPunct w:val="0"/>
              <w:autoSpaceDE w:val="0"/>
              <w:autoSpaceDN w:val="0"/>
              <w:adjustRightInd w:val="0"/>
              <w:spacing w:line="280" w:lineRule="exact"/>
              <w:ind w:right="29"/>
              <w:jc w:val="right"/>
              <w:textAlignment w:val="baseline"/>
              <w:rPr>
                <w:rFonts w:ascii="Arial" w:hAnsi="Arial" w:cs="Arial"/>
                <w:b/>
                <w:sz w:val="20"/>
                <w:lang w:val="en-IN"/>
              </w:rPr>
            </w:pPr>
            <w:r w:rsidRPr="00E70587">
              <w:rPr>
                <w:rFonts w:ascii="Arial" w:hAnsi="Arial" w:cs="Arial"/>
                <w:b/>
                <w:sz w:val="20"/>
                <w:lang w:val="en-IN"/>
              </w:rPr>
              <w:t>INR Lacs</w:t>
            </w:r>
          </w:p>
        </w:tc>
      </w:tr>
      <w:tr w:rsidR="00F375C7" w:rsidRPr="00E70587" w14:paraId="21FF246B" w14:textId="77777777" w:rsidTr="009A5E2F">
        <w:tc>
          <w:tcPr>
            <w:tcW w:w="6030" w:type="dxa"/>
            <w:tcMar>
              <w:top w:w="28" w:type="dxa"/>
            </w:tcMar>
          </w:tcPr>
          <w:p w14:paraId="31BDEA73" w14:textId="77777777" w:rsidR="00F375C7" w:rsidRPr="00E70587" w:rsidRDefault="00F375C7" w:rsidP="009901E1">
            <w:pPr>
              <w:pStyle w:val="Notesitalicheading"/>
              <w:spacing w:line="280" w:lineRule="exact"/>
              <w:rPr>
                <w:rFonts w:ascii="Arial" w:hAnsi="Arial"/>
                <w:color w:val="auto"/>
                <w:sz w:val="20"/>
              </w:rPr>
            </w:pPr>
            <w:r w:rsidRPr="00E70587">
              <w:rPr>
                <w:rFonts w:ascii="Arial" w:hAnsi="Arial"/>
                <w:color w:val="auto"/>
                <w:sz w:val="20"/>
              </w:rPr>
              <w:t>Assets</w:t>
            </w:r>
          </w:p>
        </w:tc>
        <w:tc>
          <w:tcPr>
            <w:tcW w:w="1710" w:type="dxa"/>
            <w:tcMar>
              <w:top w:w="28" w:type="dxa"/>
              <w:right w:w="108" w:type="dxa"/>
            </w:tcMar>
          </w:tcPr>
          <w:p w14:paraId="5DD7FD3D" w14:textId="77777777" w:rsidR="00F375C7" w:rsidRPr="00E70587" w:rsidRDefault="00F375C7" w:rsidP="00770F33">
            <w:pPr>
              <w:pStyle w:val="tabletext"/>
              <w:overflowPunct w:val="0"/>
              <w:autoSpaceDE w:val="0"/>
              <w:autoSpaceDN w:val="0"/>
              <w:adjustRightInd w:val="0"/>
              <w:spacing w:line="280" w:lineRule="exact"/>
              <w:ind w:right="29"/>
              <w:jc w:val="right"/>
              <w:textAlignment w:val="baseline"/>
              <w:rPr>
                <w:rFonts w:ascii="Arial" w:hAnsi="Arial" w:cs="Arial"/>
                <w:sz w:val="20"/>
                <w:lang w:val="en-IN"/>
              </w:rPr>
            </w:pPr>
          </w:p>
        </w:tc>
        <w:tc>
          <w:tcPr>
            <w:tcW w:w="1800" w:type="dxa"/>
            <w:tcMar>
              <w:top w:w="28" w:type="dxa"/>
            </w:tcMar>
          </w:tcPr>
          <w:p w14:paraId="421B0798" w14:textId="77777777" w:rsidR="00F375C7" w:rsidRPr="00E70587" w:rsidRDefault="00F375C7" w:rsidP="00770F33">
            <w:pPr>
              <w:pStyle w:val="tabletext"/>
              <w:overflowPunct w:val="0"/>
              <w:autoSpaceDE w:val="0"/>
              <w:autoSpaceDN w:val="0"/>
              <w:adjustRightInd w:val="0"/>
              <w:spacing w:line="280" w:lineRule="exact"/>
              <w:ind w:right="29"/>
              <w:jc w:val="right"/>
              <w:textAlignment w:val="baseline"/>
              <w:rPr>
                <w:rFonts w:ascii="Arial" w:hAnsi="Arial" w:cs="Arial"/>
                <w:sz w:val="20"/>
                <w:lang w:val="en-IN"/>
              </w:rPr>
            </w:pPr>
          </w:p>
        </w:tc>
      </w:tr>
      <w:tr w:rsidR="00F375C7" w:rsidRPr="00E70587" w14:paraId="59AB804E" w14:textId="77777777" w:rsidTr="009A5E2F">
        <w:tc>
          <w:tcPr>
            <w:tcW w:w="6030" w:type="dxa"/>
            <w:tcMar>
              <w:top w:w="28" w:type="dxa"/>
            </w:tcMar>
          </w:tcPr>
          <w:p w14:paraId="5424DA50" w14:textId="77777777" w:rsidR="00F375C7" w:rsidRPr="00E70587" w:rsidRDefault="00F375C7" w:rsidP="006868AD">
            <w:pPr>
              <w:spacing w:line="280" w:lineRule="exact"/>
              <w:rPr>
                <w:rFonts w:ascii="Arial" w:hAnsi="Arial" w:cs="Arial"/>
                <w:sz w:val="20"/>
              </w:rPr>
            </w:pPr>
            <w:r w:rsidRPr="00E70587">
              <w:rPr>
                <w:rFonts w:ascii="Arial" w:hAnsi="Arial" w:cs="Arial"/>
                <w:sz w:val="20"/>
              </w:rPr>
              <w:t xml:space="preserve">Intangible assets (Note </w:t>
            </w:r>
            <w:r w:rsidR="006868AD" w:rsidRPr="00E70587">
              <w:rPr>
                <w:rFonts w:ascii="Arial" w:hAnsi="Arial" w:cs="Arial"/>
                <w:sz w:val="20"/>
              </w:rPr>
              <w:t>5</w:t>
            </w:r>
            <w:r w:rsidRPr="00E70587">
              <w:rPr>
                <w:rFonts w:ascii="Arial" w:hAnsi="Arial" w:cs="Arial"/>
                <w:sz w:val="20"/>
              </w:rPr>
              <w:t>)</w:t>
            </w:r>
          </w:p>
        </w:tc>
        <w:tc>
          <w:tcPr>
            <w:tcW w:w="1710" w:type="dxa"/>
            <w:tcMar>
              <w:top w:w="28" w:type="dxa"/>
              <w:right w:w="108" w:type="dxa"/>
            </w:tcMar>
          </w:tcPr>
          <w:p w14:paraId="24D806CE"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243</w:t>
            </w:r>
          </w:p>
        </w:tc>
        <w:tc>
          <w:tcPr>
            <w:tcW w:w="1800" w:type="dxa"/>
          </w:tcPr>
          <w:p w14:paraId="0E89DB37"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w:t>
            </w:r>
          </w:p>
        </w:tc>
      </w:tr>
      <w:tr w:rsidR="00F375C7" w:rsidRPr="00E70587" w14:paraId="09E5927C" w14:textId="77777777" w:rsidTr="009A5E2F">
        <w:tc>
          <w:tcPr>
            <w:tcW w:w="6030" w:type="dxa"/>
            <w:tcMar>
              <w:top w:w="28" w:type="dxa"/>
            </w:tcMar>
          </w:tcPr>
          <w:p w14:paraId="23661A70" w14:textId="77777777" w:rsidR="00F375C7" w:rsidRPr="00E70587" w:rsidRDefault="00F375C7" w:rsidP="006868AD">
            <w:pPr>
              <w:spacing w:line="280" w:lineRule="exact"/>
              <w:rPr>
                <w:rFonts w:ascii="Arial" w:hAnsi="Arial" w:cs="Arial"/>
                <w:sz w:val="20"/>
              </w:rPr>
            </w:pPr>
            <w:r w:rsidRPr="00E70587">
              <w:rPr>
                <w:rFonts w:ascii="Arial" w:hAnsi="Arial" w:cs="Arial"/>
                <w:sz w:val="20"/>
              </w:rPr>
              <w:t xml:space="preserve">Property, plant and equipment (Note </w:t>
            </w:r>
            <w:r w:rsidR="006868AD" w:rsidRPr="00E70587">
              <w:rPr>
                <w:rFonts w:ascii="Arial" w:hAnsi="Arial" w:cs="Arial"/>
                <w:sz w:val="20"/>
              </w:rPr>
              <w:t>3</w:t>
            </w:r>
            <w:r w:rsidRPr="00E70587">
              <w:rPr>
                <w:rFonts w:ascii="Arial" w:hAnsi="Arial" w:cs="Arial"/>
                <w:sz w:val="20"/>
              </w:rPr>
              <w:t>)</w:t>
            </w:r>
          </w:p>
        </w:tc>
        <w:tc>
          <w:tcPr>
            <w:tcW w:w="1710" w:type="dxa"/>
            <w:tcMar>
              <w:top w:w="28" w:type="dxa"/>
              <w:right w:w="108" w:type="dxa"/>
            </w:tcMar>
          </w:tcPr>
          <w:p w14:paraId="1F10F5F5"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8,347</w:t>
            </w:r>
          </w:p>
        </w:tc>
        <w:tc>
          <w:tcPr>
            <w:tcW w:w="1800" w:type="dxa"/>
          </w:tcPr>
          <w:p w14:paraId="68B8857A"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w:t>
            </w:r>
          </w:p>
        </w:tc>
      </w:tr>
      <w:tr w:rsidR="00F375C7" w:rsidRPr="00E70587" w14:paraId="2A3C7A6A" w14:textId="77777777" w:rsidTr="009A5E2F">
        <w:tc>
          <w:tcPr>
            <w:tcW w:w="6030" w:type="dxa"/>
            <w:tcMar>
              <w:top w:w="28" w:type="dxa"/>
            </w:tcMar>
          </w:tcPr>
          <w:p w14:paraId="47314782" w14:textId="77777777" w:rsidR="00F375C7" w:rsidRPr="00E70587" w:rsidRDefault="00F375C7" w:rsidP="009901E1">
            <w:pPr>
              <w:spacing w:line="280" w:lineRule="exact"/>
              <w:rPr>
                <w:rFonts w:ascii="Arial" w:hAnsi="Arial" w:cs="Arial"/>
                <w:sz w:val="20"/>
              </w:rPr>
            </w:pPr>
            <w:r w:rsidRPr="00E70587">
              <w:rPr>
                <w:rFonts w:ascii="Arial" w:hAnsi="Arial" w:cs="Arial"/>
                <w:sz w:val="20"/>
              </w:rPr>
              <w:t>Trade receivable</w:t>
            </w:r>
          </w:p>
        </w:tc>
        <w:tc>
          <w:tcPr>
            <w:tcW w:w="1710" w:type="dxa"/>
            <w:tcMar>
              <w:top w:w="28" w:type="dxa"/>
              <w:right w:w="108" w:type="dxa"/>
            </w:tcMar>
          </w:tcPr>
          <w:p w14:paraId="4891235D"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12,564</w:t>
            </w:r>
          </w:p>
        </w:tc>
        <w:tc>
          <w:tcPr>
            <w:tcW w:w="1800" w:type="dxa"/>
          </w:tcPr>
          <w:p w14:paraId="03067829"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w:t>
            </w:r>
          </w:p>
        </w:tc>
      </w:tr>
      <w:tr w:rsidR="00F375C7" w:rsidRPr="00E70587" w14:paraId="46E9BCE0" w14:textId="77777777" w:rsidTr="009A5E2F">
        <w:tc>
          <w:tcPr>
            <w:tcW w:w="6030" w:type="dxa"/>
            <w:tcMar>
              <w:top w:w="28" w:type="dxa"/>
            </w:tcMar>
          </w:tcPr>
          <w:p w14:paraId="6D30ECDB" w14:textId="77777777" w:rsidR="00F375C7" w:rsidRPr="00E70587" w:rsidRDefault="00F375C7" w:rsidP="009901E1">
            <w:pPr>
              <w:spacing w:line="280" w:lineRule="exact"/>
              <w:rPr>
                <w:rFonts w:ascii="Arial" w:hAnsi="Arial" w:cs="Arial"/>
                <w:sz w:val="20"/>
              </w:rPr>
            </w:pPr>
            <w:r w:rsidRPr="00E70587">
              <w:rPr>
                <w:rFonts w:ascii="Arial" w:hAnsi="Arial" w:cs="Arial"/>
                <w:sz w:val="20"/>
              </w:rPr>
              <w:t>Equity shares – unquoted</w:t>
            </w:r>
          </w:p>
        </w:tc>
        <w:tc>
          <w:tcPr>
            <w:tcW w:w="1710" w:type="dxa"/>
            <w:tcMar>
              <w:top w:w="28" w:type="dxa"/>
              <w:right w:w="108" w:type="dxa"/>
            </w:tcMar>
          </w:tcPr>
          <w:p w14:paraId="08FB6ED2"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914</w:t>
            </w:r>
          </w:p>
        </w:tc>
        <w:tc>
          <w:tcPr>
            <w:tcW w:w="1800" w:type="dxa"/>
          </w:tcPr>
          <w:p w14:paraId="30D71913"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w:t>
            </w:r>
          </w:p>
        </w:tc>
      </w:tr>
      <w:tr w:rsidR="00F375C7" w:rsidRPr="00E70587" w14:paraId="7A33D64F" w14:textId="77777777" w:rsidTr="009A5E2F">
        <w:tc>
          <w:tcPr>
            <w:tcW w:w="6030" w:type="dxa"/>
            <w:tcMar>
              <w:top w:w="28" w:type="dxa"/>
            </w:tcMar>
          </w:tcPr>
          <w:p w14:paraId="0FFFC873" w14:textId="77777777" w:rsidR="00F375C7" w:rsidRPr="00E70587" w:rsidRDefault="00F375C7" w:rsidP="006868AD">
            <w:pPr>
              <w:spacing w:line="280" w:lineRule="exact"/>
              <w:rPr>
                <w:rFonts w:ascii="Arial" w:hAnsi="Arial" w:cs="Arial"/>
                <w:sz w:val="20"/>
              </w:rPr>
            </w:pPr>
            <w:r w:rsidRPr="00E70587">
              <w:rPr>
                <w:rFonts w:ascii="Arial" w:hAnsi="Arial" w:cs="Arial"/>
                <w:sz w:val="20"/>
              </w:rPr>
              <w:t xml:space="preserve">Cash and </w:t>
            </w:r>
            <w:r w:rsidR="001110CD" w:rsidRPr="00E70587">
              <w:rPr>
                <w:rFonts w:ascii="Arial" w:hAnsi="Arial" w:cs="Arial"/>
                <w:sz w:val="20"/>
              </w:rPr>
              <w:t>cash equivalents</w:t>
            </w:r>
            <w:r w:rsidRPr="00E70587">
              <w:rPr>
                <w:rFonts w:ascii="Arial" w:hAnsi="Arial" w:cs="Arial"/>
                <w:sz w:val="20"/>
              </w:rPr>
              <w:t xml:space="preserve"> (Note </w:t>
            </w:r>
            <w:r w:rsidR="006868AD" w:rsidRPr="00E70587">
              <w:rPr>
                <w:rFonts w:ascii="Arial" w:hAnsi="Arial" w:cs="Arial"/>
                <w:sz w:val="20"/>
              </w:rPr>
              <w:t>10</w:t>
            </w:r>
            <w:r w:rsidRPr="00E70587">
              <w:rPr>
                <w:rFonts w:ascii="Arial" w:hAnsi="Arial" w:cs="Arial"/>
                <w:sz w:val="20"/>
              </w:rPr>
              <w:t>)</w:t>
            </w:r>
          </w:p>
        </w:tc>
        <w:tc>
          <w:tcPr>
            <w:tcW w:w="1710" w:type="dxa"/>
            <w:tcBorders>
              <w:bottom w:val="single" w:sz="4" w:space="0" w:color="auto"/>
            </w:tcBorders>
            <w:tcMar>
              <w:top w:w="28" w:type="dxa"/>
              <w:right w:w="108" w:type="dxa"/>
            </w:tcMar>
          </w:tcPr>
          <w:p w14:paraId="62B9ACE8"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2,329</w:t>
            </w:r>
          </w:p>
        </w:tc>
        <w:tc>
          <w:tcPr>
            <w:tcW w:w="1800" w:type="dxa"/>
            <w:tcBorders>
              <w:bottom w:val="single" w:sz="4" w:space="0" w:color="auto"/>
            </w:tcBorders>
          </w:tcPr>
          <w:p w14:paraId="082B24EA"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w:t>
            </w:r>
          </w:p>
        </w:tc>
      </w:tr>
      <w:tr w:rsidR="00F375C7" w:rsidRPr="00E70587" w14:paraId="5C4FF41F" w14:textId="77777777" w:rsidTr="009A5E2F">
        <w:tc>
          <w:tcPr>
            <w:tcW w:w="6030" w:type="dxa"/>
            <w:tcMar>
              <w:top w:w="28" w:type="dxa"/>
            </w:tcMar>
          </w:tcPr>
          <w:p w14:paraId="31B18278" w14:textId="3730E74A" w:rsidR="00F375C7" w:rsidRPr="00E70587" w:rsidRDefault="00F375C7" w:rsidP="009901E1">
            <w:pPr>
              <w:spacing w:line="280" w:lineRule="exact"/>
              <w:rPr>
                <w:rFonts w:ascii="Arial" w:hAnsi="Arial" w:cs="Arial"/>
                <w:b/>
                <w:sz w:val="20"/>
              </w:rPr>
            </w:pPr>
            <w:r w:rsidRPr="00E70587">
              <w:rPr>
                <w:rFonts w:ascii="Arial" w:hAnsi="Arial" w:cs="Arial"/>
                <w:b/>
                <w:sz w:val="20"/>
              </w:rPr>
              <w:t xml:space="preserve">Assets classified as held for </w:t>
            </w:r>
            <w:r w:rsidR="004B4199">
              <w:rPr>
                <w:rFonts w:ascii="Arial" w:hAnsi="Arial" w:cs="Arial"/>
                <w:b/>
                <w:sz w:val="20"/>
              </w:rPr>
              <w:t>sale</w:t>
            </w:r>
            <w:r w:rsidR="004B4199" w:rsidRPr="00E70587">
              <w:rPr>
                <w:rFonts w:ascii="Arial" w:hAnsi="Arial" w:cs="Arial"/>
                <w:b/>
                <w:sz w:val="20"/>
              </w:rPr>
              <w:t xml:space="preserve"> </w:t>
            </w:r>
          </w:p>
        </w:tc>
        <w:tc>
          <w:tcPr>
            <w:tcW w:w="1710" w:type="dxa"/>
            <w:tcBorders>
              <w:top w:val="single" w:sz="4" w:space="0" w:color="auto"/>
            </w:tcBorders>
            <w:tcMar>
              <w:top w:w="28" w:type="dxa"/>
              <w:right w:w="108" w:type="dxa"/>
            </w:tcMar>
          </w:tcPr>
          <w:p w14:paraId="01E7137C" w14:textId="77777777" w:rsidR="00F375C7" w:rsidRPr="00E70587" w:rsidRDefault="00F375C7" w:rsidP="00770F33">
            <w:pPr>
              <w:overflowPunct/>
              <w:spacing w:line="280" w:lineRule="exact"/>
              <w:ind w:right="29"/>
              <w:jc w:val="right"/>
              <w:textAlignment w:val="auto"/>
              <w:rPr>
                <w:rFonts w:ascii="Arial" w:hAnsi="Arial" w:cs="Arial"/>
                <w:b/>
                <w:sz w:val="20"/>
                <w:lang w:eastAsia="en-GB"/>
              </w:rPr>
            </w:pPr>
            <w:r w:rsidRPr="00E70587">
              <w:rPr>
                <w:rFonts w:ascii="Arial" w:hAnsi="Arial" w:cs="Arial"/>
                <w:b/>
                <w:sz w:val="20"/>
                <w:lang w:eastAsia="en-GB"/>
              </w:rPr>
              <w:t>24,397</w:t>
            </w:r>
          </w:p>
        </w:tc>
        <w:tc>
          <w:tcPr>
            <w:tcW w:w="1800" w:type="dxa"/>
            <w:tcBorders>
              <w:top w:val="single" w:sz="4" w:space="0" w:color="auto"/>
            </w:tcBorders>
          </w:tcPr>
          <w:p w14:paraId="18E32004" w14:textId="77777777" w:rsidR="00F375C7" w:rsidRPr="00E70587" w:rsidRDefault="00F375C7" w:rsidP="00770F33">
            <w:pPr>
              <w:overflowPunct/>
              <w:spacing w:line="280" w:lineRule="exact"/>
              <w:ind w:right="29"/>
              <w:jc w:val="right"/>
              <w:textAlignment w:val="auto"/>
              <w:rPr>
                <w:rFonts w:ascii="Arial" w:hAnsi="Arial" w:cs="Arial"/>
                <w:b/>
                <w:sz w:val="20"/>
                <w:lang w:eastAsia="en-GB"/>
              </w:rPr>
            </w:pPr>
            <w:r w:rsidRPr="00E70587">
              <w:rPr>
                <w:rFonts w:ascii="Arial" w:hAnsi="Arial" w:cs="Arial"/>
                <w:b/>
                <w:sz w:val="20"/>
                <w:lang w:eastAsia="en-GB"/>
              </w:rPr>
              <w:t>-</w:t>
            </w:r>
          </w:p>
        </w:tc>
      </w:tr>
      <w:tr w:rsidR="00F375C7" w:rsidRPr="00E70587" w14:paraId="7B7D87AD" w14:textId="77777777" w:rsidTr="009A5E2F">
        <w:tc>
          <w:tcPr>
            <w:tcW w:w="6030" w:type="dxa"/>
            <w:tcMar>
              <w:top w:w="28" w:type="dxa"/>
            </w:tcMar>
          </w:tcPr>
          <w:p w14:paraId="025542B9"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710" w:type="dxa"/>
            <w:tcMar>
              <w:top w:w="28" w:type="dxa"/>
              <w:right w:w="108" w:type="dxa"/>
            </w:tcMar>
          </w:tcPr>
          <w:p w14:paraId="1BED778B" w14:textId="77777777" w:rsidR="00F375C7" w:rsidRPr="00E70587" w:rsidRDefault="00F375C7" w:rsidP="00770F33">
            <w:pPr>
              <w:overflowPunct/>
              <w:spacing w:line="280" w:lineRule="exact"/>
              <w:ind w:right="29"/>
              <w:textAlignment w:val="auto"/>
              <w:rPr>
                <w:rFonts w:ascii="Arial" w:hAnsi="Arial" w:cs="Arial"/>
                <w:sz w:val="20"/>
                <w:lang w:eastAsia="en-GB"/>
              </w:rPr>
            </w:pPr>
          </w:p>
        </w:tc>
        <w:tc>
          <w:tcPr>
            <w:tcW w:w="1800" w:type="dxa"/>
          </w:tcPr>
          <w:p w14:paraId="000FDC28"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p>
        </w:tc>
      </w:tr>
      <w:tr w:rsidR="00F375C7" w:rsidRPr="00E70587" w14:paraId="79168440" w14:textId="77777777" w:rsidTr="009A5E2F">
        <w:tc>
          <w:tcPr>
            <w:tcW w:w="6030" w:type="dxa"/>
            <w:tcMar>
              <w:top w:w="28" w:type="dxa"/>
            </w:tcMar>
          </w:tcPr>
          <w:p w14:paraId="19CAEAF1" w14:textId="77777777" w:rsidR="00F375C7" w:rsidRPr="00E70587" w:rsidRDefault="00F375C7" w:rsidP="009901E1">
            <w:pPr>
              <w:pStyle w:val="Notesitalicheading"/>
              <w:spacing w:line="280" w:lineRule="exact"/>
              <w:rPr>
                <w:rFonts w:ascii="Arial" w:hAnsi="Arial"/>
                <w:color w:val="auto"/>
                <w:sz w:val="20"/>
              </w:rPr>
            </w:pPr>
            <w:r w:rsidRPr="00E70587">
              <w:rPr>
                <w:rFonts w:ascii="Arial" w:hAnsi="Arial"/>
                <w:color w:val="auto"/>
                <w:sz w:val="20"/>
              </w:rPr>
              <w:t>Liabilities</w:t>
            </w:r>
          </w:p>
        </w:tc>
        <w:tc>
          <w:tcPr>
            <w:tcW w:w="1710" w:type="dxa"/>
            <w:tcMar>
              <w:top w:w="28" w:type="dxa"/>
              <w:right w:w="108" w:type="dxa"/>
            </w:tcMar>
          </w:tcPr>
          <w:p w14:paraId="18A3E0D1" w14:textId="77777777" w:rsidR="00F375C7" w:rsidRPr="00E70587" w:rsidRDefault="00F375C7" w:rsidP="00770F33">
            <w:pPr>
              <w:overflowPunct/>
              <w:spacing w:line="280" w:lineRule="exact"/>
              <w:ind w:right="29"/>
              <w:textAlignment w:val="auto"/>
              <w:rPr>
                <w:rFonts w:ascii="Arial" w:hAnsi="Arial" w:cs="Arial"/>
                <w:sz w:val="20"/>
                <w:lang w:eastAsia="en-GB"/>
              </w:rPr>
            </w:pPr>
          </w:p>
        </w:tc>
        <w:tc>
          <w:tcPr>
            <w:tcW w:w="1800" w:type="dxa"/>
          </w:tcPr>
          <w:p w14:paraId="61F46D6B"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p>
        </w:tc>
      </w:tr>
      <w:tr w:rsidR="00F375C7" w:rsidRPr="00E70587" w14:paraId="5CD8504B" w14:textId="77777777" w:rsidTr="009A5E2F">
        <w:tc>
          <w:tcPr>
            <w:tcW w:w="6030" w:type="dxa"/>
            <w:tcMar>
              <w:top w:w="28" w:type="dxa"/>
            </w:tcMar>
          </w:tcPr>
          <w:p w14:paraId="6FDC780B"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Trade payable</w:t>
            </w:r>
          </w:p>
        </w:tc>
        <w:tc>
          <w:tcPr>
            <w:tcW w:w="1710" w:type="dxa"/>
            <w:tcMar>
              <w:top w:w="0" w:type="dxa"/>
              <w:right w:w="0" w:type="dxa"/>
            </w:tcMar>
          </w:tcPr>
          <w:p w14:paraId="77F6344E"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(13,034)</w:t>
            </w:r>
          </w:p>
        </w:tc>
        <w:tc>
          <w:tcPr>
            <w:tcW w:w="1800" w:type="dxa"/>
          </w:tcPr>
          <w:p w14:paraId="3B418D59"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w:t>
            </w:r>
          </w:p>
        </w:tc>
      </w:tr>
      <w:tr w:rsidR="00F375C7" w:rsidRPr="00E70587" w14:paraId="423E70FC" w14:textId="77777777" w:rsidTr="009A5E2F">
        <w:tc>
          <w:tcPr>
            <w:tcW w:w="6030" w:type="dxa"/>
            <w:tcMar>
              <w:top w:w="28" w:type="dxa"/>
            </w:tcMar>
          </w:tcPr>
          <w:p w14:paraId="718D3997"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Deferred tax liability</w:t>
            </w:r>
          </w:p>
        </w:tc>
        <w:tc>
          <w:tcPr>
            <w:tcW w:w="1710" w:type="dxa"/>
            <w:tcMar>
              <w:top w:w="0" w:type="dxa"/>
              <w:right w:w="0" w:type="dxa"/>
            </w:tcMar>
          </w:tcPr>
          <w:p w14:paraId="51E748B8"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(135)</w:t>
            </w:r>
          </w:p>
        </w:tc>
        <w:tc>
          <w:tcPr>
            <w:tcW w:w="1800" w:type="dxa"/>
          </w:tcPr>
          <w:p w14:paraId="30DDA638"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w:t>
            </w:r>
          </w:p>
        </w:tc>
      </w:tr>
      <w:tr w:rsidR="00F375C7" w:rsidRPr="00E70587" w14:paraId="7F2006DC" w14:textId="77777777" w:rsidTr="009A5E2F">
        <w:tc>
          <w:tcPr>
            <w:tcW w:w="6030" w:type="dxa"/>
            <w:tcMar>
              <w:top w:w="28" w:type="dxa"/>
            </w:tcMar>
          </w:tcPr>
          <w:p w14:paraId="708147B0" w14:textId="77777777" w:rsidR="00F375C7" w:rsidRPr="00E70587" w:rsidRDefault="006868AD" w:rsidP="006868AD">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Borrowings</w:t>
            </w:r>
            <w:r w:rsidR="00F375C7" w:rsidRPr="00E70587">
              <w:rPr>
                <w:rFonts w:ascii="Arial" w:hAnsi="Arial" w:cs="Arial"/>
                <w:sz w:val="20"/>
                <w:lang w:val="en-IN"/>
              </w:rPr>
              <w:t xml:space="preserve"> (Note </w:t>
            </w:r>
            <w:r w:rsidRPr="00E70587">
              <w:rPr>
                <w:rFonts w:ascii="Arial" w:hAnsi="Arial" w:cs="Arial"/>
                <w:sz w:val="20"/>
                <w:lang w:val="en-IN"/>
              </w:rPr>
              <w:t>14</w:t>
            </w:r>
            <w:r w:rsidR="00F375C7" w:rsidRPr="00E70587">
              <w:rPr>
                <w:rFonts w:ascii="Arial" w:hAnsi="Arial" w:cs="Arial"/>
                <w:sz w:val="20"/>
                <w:lang w:val="en-IN"/>
              </w:rPr>
              <w:t>)</w:t>
            </w:r>
          </w:p>
        </w:tc>
        <w:tc>
          <w:tcPr>
            <w:tcW w:w="1710" w:type="dxa"/>
            <w:tcBorders>
              <w:bottom w:val="single" w:sz="4" w:space="0" w:color="auto"/>
            </w:tcBorders>
            <w:tcMar>
              <w:top w:w="0" w:type="dxa"/>
              <w:right w:w="0" w:type="dxa"/>
            </w:tcMar>
          </w:tcPr>
          <w:p w14:paraId="2AA82A78"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(10,456)</w:t>
            </w:r>
          </w:p>
        </w:tc>
        <w:tc>
          <w:tcPr>
            <w:tcW w:w="1800" w:type="dxa"/>
            <w:tcBorders>
              <w:bottom w:val="single" w:sz="4" w:space="0" w:color="auto"/>
            </w:tcBorders>
          </w:tcPr>
          <w:p w14:paraId="1071F711"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w:t>
            </w:r>
          </w:p>
        </w:tc>
      </w:tr>
      <w:tr w:rsidR="00F375C7" w:rsidRPr="00E70587" w14:paraId="3E58AD13" w14:textId="77777777" w:rsidTr="009A5E2F">
        <w:tc>
          <w:tcPr>
            <w:tcW w:w="6030" w:type="dxa"/>
            <w:tcMar>
              <w:top w:w="28" w:type="dxa"/>
            </w:tcMar>
          </w:tcPr>
          <w:p w14:paraId="0AB43543" w14:textId="6A25DFEA"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Liabilities directly associated with assets classified as held for </w:t>
            </w:r>
            <w:r w:rsidR="004B4199">
              <w:rPr>
                <w:rFonts w:ascii="Arial" w:hAnsi="Arial" w:cs="Arial"/>
                <w:b/>
                <w:sz w:val="20"/>
                <w:lang w:val="en-IN"/>
              </w:rPr>
              <w:t>sale</w:t>
            </w:r>
            <w:r w:rsidR="004B4199" w:rsidRPr="00E70587">
              <w:rPr>
                <w:rFonts w:ascii="Arial" w:hAnsi="Arial" w:cs="Arial"/>
                <w:b/>
                <w:sz w:val="20"/>
                <w:lang w:val="en-IN"/>
              </w:rPr>
              <w:t xml:space="preserve"> </w:t>
            </w:r>
          </w:p>
        </w:tc>
        <w:tc>
          <w:tcPr>
            <w:tcW w:w="1710" w:type="dxa"/>
            <w:tcBorders>
              <w:top w:val="single" w:sz="4" w:space="0" w:color="auto"/>
              <w:bottom w:val="single" w:sz="4" w:space="0" w:color="auto"/>
            </w:tcBorders>
            <w:tcMar>
              <w:top w:w="0" w:type="dxa"/>
              <w:right w:w="0" w:type="dxa"/>
            </w:tcMar>
          </w:tcPr>
          <w:p w14:paraId="3E6C1140" w14:textId="77777777" w:rsidR="00F375C7" w:rsidRPr="00E70587" w:rsidRDefault="00F375C7" w:rsidP="00770F33">
            <w:pPr>
              <w:overflowPunct/>
              <w:spacing w:line="280" w:lineRule="exact"/>
              <w:ind w:right="29"/>
              <w:jc w:val="right"/>
              <w:textAlignment w:val="auto"/>
              <w:rPr>
                <w:rFonts w:ascii="Arial" w:hAnsi="Arial" w:cs="Arial"/>
                <w:b/>
                <w:sz w:val="20"/>
                <w:lang w:eastAsia="en-GB"/>
              </w:rPr>
            </w:pPr>
            <w:r w:rsidRPr="00E70587">
              <w:rPr>
                <w:rFonts w:ascii="Arial" w:hAnsi="Arial" w:cs="Arial"/>
                <w:b/>
                <w:sz w:val="20"/>
                <w:lang w:eastAsia="en-GB"/>
              </w:rPr>
              <w:t>(23,625)</w:t>
            </w:r>
          </w:p>
        </w:tc>
        <w:tc>
          <w:tcPr>
            <w:tcW w:w="1800" w:type="dxa"/>
            <w:tcBorders>
              <w:top w:val="single" w:sz="4" w:space="0" w:color="auto"/>
              <w:bottom w:val="single" w:sz="4" w:space="0" w:color="auto"/>
            </w:tcBorders>
          </w:tcPr>
          <w:p w14:paraId="52DE89C8" w14:textId="77777777" w:rsidR="00F375C7" w:rsidRPr="00E70587" w:rsidRDefault="00F375C7" w:rsidP="00770F33">
            <w:pPr>
              <w:overflowPunct/>
              <w:spacing w:line="280" w:lineRule="exact"/>
              <w:ind w:right="29"/>
              <w:jc w:val="right"/>
              <w:textAlignment w:val="auto"/>
              <w:rPr>
                <w:rFonts w:ascii="Arial" w:hAnsi="Arial" w:cs="Arial"/>
                <w:b/>
                <w:sz w:val="20"/>
                <w:lang w:eastAsia="en-GB"/>
              </w:rPr>
            </w:pPr>
            <w:r w:rsidRPr="00E70587">
              <w:rPr>
                <w:rFonts w:ascii="Arial" w:hAnsi="Arial" w:cs="Arial"/>
                <w:b/>
                <w:sz w:val="20"/>
                <w:lang w:eastAsia="en-GB"/>
              </w:rPr>
              <w:t>-</w:t>
            </w:r>
          </w:p>
        </w:tc>
      </w:tr>
      <w:tr w:rsidR="00F375C7" w:rsidRPr="00E70587" w14:paraId="37F14086" w14:textId="77777777" w:rsidTr="009A5E2F">
        <w:tc>
          <w:tcPr>
            <w:tcW w:w="6030" w:type="dxa"/>
            <w:tcMar>
              <w:top w:w="28" w:type="dxa"/>
            </w:tcMar>
          </w:tcPr>
          <w:p w14:paraId="6AF48F8F"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Net assets directly associated with disposal group</w:t>
            </w:r>
          </w:p>
        </w:tc>
        <w:tc>
          <w:tcPr>
            <w:tcW w:w="1710" w:type="dxa"/>
            <w:tcBorders>
              <w:top w:val="single" w:sz="4" w:space="0" w:color="auto"/>
            </w:tcBorders>
            <w:tcMar>
              <w:top w:w="28" w:type="dxa"/>
              <w:right w:w="108" w:type="dxa"/>
            </w:tcMar>
          </w:tcPr>
          <w:p w14:paraId="4334631A" w14:textId="77777777" w:rsidR="00F375C7" w:rsidRPr="00E70587" w:rsidRDefault="00F375C7" w:rsidP="00770F33">
            <w:pPr>
              <w:overflowPunct/>
              <w:spacing w:line="280" w:lineRule="exact"/>
              <w:ind w:right="29"/>
              <w:jc w:val="right"/>
              <w:textAlignment w:val="auto"/>
              <w:rPr>
                <w:rFonts w:ascii="Arial" w:hAnsi="Arial" w:cs="Arial"/>
                <w:b/>
                <w:bCs/>
                <w:sz w:val="20"/>
                <w:lang w:eastAsia="en-GB"/>
              </w:rPr>
            </w:pPr>
            <w:r w:rsidRPr="00E70587">
              <w:rPr>
                <w:rFonts w:ascii="Arial" w:hAnsi="Arial" w:cs="Arial"/>
                <w:b/>
                <w:bCs/>
                <w:sz w:val="20"/>
                <w:lang w:eastAsia="en-GB"/>
              </w:rPr>
              <w:t>772</w:t>
            </w:r>
          </w:p>
        </w:tc>
        <w:tc>
          <w:tcPr>
            <w:tcW w:w="1800" w:type="dxa"/>
            <w:tcBorders>
              <w:top w:val="single" w:sz="4" w:space="0" w:color="auto"/>
            </w:tcBorders>
          </w:tcPr>
          <w:p w14:paraId="4BCAA38D"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w:t>
            </w:r>
          </w:p>
        </w:tc>
      </w:tr>
      <w:tr w:rsidR="00F375C7" w:rsidRPr="00E70587" w14:paraId="20A4FBFB" w14:textId="77777777" w:rsidTr="009A5E2F">
        <w:tc>
          <w:tcPr>
            <w:tcW w:w="6030" w:type="dxa"/>
            <w:tcMar>
              <w:top w:w="28" w:type="dxa"/>
            </w:tcMar>
          </w:tcPr>
          <w:p w14:paraId="3D452886" w14:textId="77777777" w:rsidR="00F375C7" w:rsidRPr="00E70587" w:rsidDel="008E4967" w:rsidRDefault="00F375C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Amounts included in accumulated OCI:</w:t>
            </w:r>
          </w:p>
        </w:tc>
        <w:tc>
          <w:tcPr>
            <w:tcW w:w="1710" w:type="dxa"/>
            <w:tcMar>
              <w:top w:w="28" w:type="dxa"/>
              <w:right w:w="108" w:type="dxa"/>
            </w:tcMar>
          </w:tcPr>
          <w:p w14:paraId="21308056"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p>
        </w:tc>
        <w:tc>
          <w:tcPr>
            <w:tcW w:w="1800" w:type="dxa"/>
          </w:tcPr>
          <w:p w14:paraId="5CB82D0C"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p>
        </w:tc>
      </w:tr>
      <w:tr w:rsidR="00F375C7" w:rsidRPr="00E70587" w14:paraId="5497BF35" w14:textId="77777777" w:rsidTr="009A5E2F">
        <w:tc>
          <w:tcPr>
            <w:tcW w:w="6030" w:type="dxa"/>
            <w:tcMar>
              <w:top w:w="28" w:type="dxa"/>
            </w:tcMar>
            <w:vAlign w:val="bottom"/>
          </w:tcPr>
          <w:p w14:paraId="74637EC2"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FVTOCI reserve </w:t>
            </w:r>
          </w:p>
        </w:tc>
        <w:tc>
          <w:tcPr>
            <w:tcW w:w="1710" w:type="dxa"/>
            <w:tcMar>
              <w:top w:w="28" w:type="dxa"/>
              <w:right w:w="108" w:type="dxa"/>
            </w:tcMar>
          </w:tcPr>
          <w:p w14:paraId="2802C99F"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119</w:t>
            </w:r>
          </w:p>
        </w:tc>
        <w:tc>
          <w:tcPr>
            <w:tcW w:w="1800" w:type="dxa"/>
          </w:tcPr>
          <w:p w14:paraId="0DFD9708"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w:t>
            </w:r>
          </w:p>
        </w:tc>
      </w:tr>
      <w:tr w:rsidR="00F375C7" w:rsidRPr="00E70587" w14:paraId="0C0F3815" w14:textId="77777777" w:rsidTr="009A5E2F">
        <w:tc>
          <w:tcPr>
            <w:tcW w:w="6030" w:type="dxa"/>
            <w:tcMar>
              <w:top w:w="28" w:type="dxa"/>
            </w:tcMar>
          </w:tcPr>
          <w:p w14:paraId="5C8F4206"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Deferred tax on FVTOCI reserve</w:t>
            </w:r>
          </w:p>
        </w:tc>
        <w:tc>
          <w:tcPr>
            <w:tcW w:w="1710" w:type="dxa"/>
            <w:tcBorders>
              <w:bottom w:val="single" w:sz="4" w:space="0" w:color="auto"/>
            </w:tcBorders>
            <w:tcMar>
              <w:top w:w="0" w:type="dxa"/>
              <w:right w:w="0" w:type="dxa"/>
            </w:tcMar>
          </w:tcPr>
          <w:p w14:paraId="7EE4BDFD"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(36)</w:t>
            </w:r>
          </w:p>
        </w:tc>
        <w:tc>
          <w:tcPr>
            <w:tcW w:w="1800" w:type="dxa"/>
            <w:tcBorders>
              <w:bottom w:val="single" w:sz="4" w:space="0" w:color="auto"/>
            </w:tcBorders>
          </w:tcPr>
          <w:p w14:paraId="28597CA3"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w:t>
            </w:r>
          </w:p>
        </w:tc>
      </w:tr>
      <w:tr w:rsidR="00F375C7" w:rsidRPr="00E70587" w14:paraId="09D2E24B" w14:textId="77777777" w:rsidTr="009A5E2F">
        <w:tc>
          <w:tcPr>
            <w:tcW w:w="6030" w:type="dxa"/>
            <w:tcMar>
              <w:top w:w="28" w:type="dxa"/>
            </w:tcMar>
          </w:tcPr>
          <w:p w14:paraId="3EE74051" w14:textId="4A0C12A3"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Reserve of disposal group classified as held for </w:t>
            </w:r>
            <w:r w:rsidR="004B4199">
              <w:rPr>
                <w:rFonts w:ascii="Arial" w:hAnsi="Arial" w:cs="Arial"/>
                <w:b/>
                <w:sz w:val="20"/>
                <w:lang w:val="en-IN"/>
              </w:rPr>
              <w:t>sale</w:t>
            </w:r>
            <w:r w:rsidR="004B4199" w:rsidRPr="00E70587">
              <w:rPr>
                <w:rFonts w:ascii="Arial" w:hAnsi="Arial" w:cs="Arial"/>
                <w:b/>
                <w:sz w:val="20"/>
                <w:lang w:val="en-IN"/>
              </w:rPr>
              <w:t xml:space="preserve"> </w:t>
            </w:r>
          </w:p>
        </w:tc>
        <w:tc>
          <w:tcPr>
            <w:tcW w:w="1710" w:type="dxa"/>
            <w:tcBorders>
              <w:top w:val="single" w:sz="4" w:space="0" w:color="auto"/>
              <w:bottom w:val="double" w:sz="4" w:space="0" w:color="auto"/>
            </w:tcBorders>
            <w:tcMar>
              <w:top w:w="28" w:type="dxa"/>
              <w:right w:w="108" w:type="dxa"/>
            </w:tcMar>
          </w:tcPr>
          <w:p w14:paraId="489B303A" w14:textId="77777777" w:rsidR="00F375C7" w:rsidRPr="00E70587" w:rsidRDefault="00F375C7" w:rsidP="00770F33">
            <w:pPr>
              <w:overflowPunct/>
              <w:spacing w:line="280" w:lineRule="exact"/>
              <w:ind w:right="29"/>
              <w:jc w:val="right"/>
              <w:textAlignment w:val="auto"/>
              <w:rPr>
                <w:rFonts w:ascii="Arial" w:hAnsi="Arial" w:cs="Arial"/>
                <w:b/>
                <w:bCs/>
                <w:sz w:val="20"/>
                <w:lang w:eastAsia="en-GB"/>
              </w:rPr>
            </w:pPr>
            <w:r w:rsidRPr="00E70587">
              <w:rPr>
                <w:rFonts w:ascii="Arial" w:hAnsi="Arial" w:cs="Arial"/>
                <w:b/>
                <w:bCs/>
                <w:sz w:val="20"/>
                <w:lang w:eastAsia="en-GB"/>
              </w:rPr>
              <w:t>83</w:t>
            </w:r>
          </w:p>
        </w:tc>
        <w:tc>
          <w:tcPr>
            <w:tcW w:w="1800" w:type="dxa"/>
            <w:tcBorders>
              <w:top w:val="single" w:sz="4" w:space="0" w:color="auto"/>
              <w:bottom w:val="double" w:sz="4" w:space="0" w:color="auto"/>
            </w:tcBorders>
          </w:tcPr>
          <w:p w14:paraId="049601E2"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w:t>
            </w:r>
          </w:p>
        </w:tc>
      </w:tr>
      <w:tr w:rsidR="00F375C7" w:rsidRPr="00E70587" w14:paraId="40FF88E2" w14:textId="77777777" w:rsidTr="009A5E2F">
        <w:tc>
          <w:tcPr>
            <w:tcW w:w="6030" w:type="dxa"/>
            <w:tcMar>
              <w:top w:w="28" w:type="dxa"/>
            </w:tcMar>
          </w:tcPr>
          <w:p w14:paraId="7A400AA5"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710" w:type="dxa"/>
            <w:tcBorders>
              <w:top w:val="double" w:sz="4" w:space="0" w:color="auto"/>
            </w:tcBorders>
            <w:tcMar>
              <w:top w:w="28" w:type="dxa"/>
              <w:right w:w="108" w:type="dxa"/>
            </w:tcMar>
          </w:tcPr>
          <w:p w14:paraId="05E54D03" w14:textId="77777777" w:rsidR="00F375C7" w:rsidRPr="00E70587" w:rsidRDefault="00F375C7" w:rsidP="00770F33">
            <w:pPr>
              <w:overflowPunct/>
              <w:spacing w:line="280" w:lineRule="exact"/>
              <w:ind w:right="29"/>
              <w:jc w:val="right"/>
              <w:textAlignment w:val="auto"/>
              <w:rPr>
                <w:rFonts w:ascii="Arial" w:hAnsi="Arial" w:cs="Arial"/>
                <w:b/>
                <w:bCs/>
                <w:sz w:val="20"/>
                <w:lang w:eastAsia="en-GB"/>
              </w:rPr>
            </w:pPr>
          </w:p>
        </w:tc>
        <w:tc>
          <w:tcPr>
            <w:tcW w:w="1800" w:type="dxa"/>
            <w:tcBorders>
              <w:top w:val="double" w:sz="4" w:space="0" w:color="auto"/>
            </w:tcBorders>
          </w:tcPr>
          <w:p w14:paraId="48C82350"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p>
        </w:tc>
      </w:tr>
      <w:tr w:rsidR="00F375C7" w:rsidRPr="00E70587" w14:paraId="1F56BB91" w14:textId="77777777" w:rsidTr="009A5E2F">
        <w:tc>
          <w:tcPr>
            <w:tcW w:w="6030" w:type="dxa"/>
            <w:tcMar>
              <w:top w:w="28" w:type="dxa"/>
            </w:tcMar>
          </w:tcPr>
          <w:p w14:paraId="26331142"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br w:type="page"/>
              <w:t>The net cash flows incurred by H Limited are, as follows:</w:t>
            </w:r>
          </w:p>
        </w:tc>
        <w:tc>
          <w:tcPr>
            <w:tcW w:w="1710" w:type="dxa"/>
            <w:tcMar>
              <w:top w:w="28" w:type="dxa"/>
              <w:right w:w="108" w:type="dxa"/>
            </w:tcMar>
          </w:tcPr>
          <w:p w14:paraId="1029CB93" w14:textId="77777777" w:rsidR="00F375C7" w:rsidRPr="00E70587" w:rsidRDefault="00F375C7" w:rsidP="00770F33">
            <w:pPr>
              <w:overflowPunct/>
              <w:spacing w:line="280" w:lineRule="exact"/>
              <w:ind w:right="29"/>
              <w:jc w:val="right"/>
              <w:textAlignment w:val="auto"/>
              <w:rPr>
                <w:rFonts w:ascii="Arial" w:hAnsi="Arial" w:cs="Arial"/>
                <w:b/>
                <w:bCs/>
                <w:sz w:val="20"/>
                <w:lang w:eastAsia="en-GB"/>
              </w:rPr>
            </w:pPr>
          </w:p>
        </w:tc>
        <w:tc>
          <w:tcPr>
            <w:tcW w:w="1800" w:type="dxa"/>
          </w:tcPr>
          <w:p w14:paraId="2E737B87"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p>
        </w:tc>
      </w:tr>
      <w:tr w:rsidR="00F375C7" w:rsidRPr="00E70587" w14:paraId="5C7CC63F" w14:textId="77777777" w:rsidTr="009A5E2F">
        <w:tc>
          <w:tcPr>
            <w:tcW w:w="6030" w:type="dxa"/>
            <w:tcMar>
              <w:top w:w="28" w:type="dxa"/>
            </w:tcMar>
          </w:tcPr>
          <w:p w14:paraId="5D667521"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Operating</w:t>
            </w:r>
          </w:p>
        </w:tc>
        <w:tc>
          <w:tcPr>
            <w:tcW w:w="1710" w:type="dxa"/>
            <w:tcMar>
              <w:top w:w="0" w:type="dxa"/>
              <w:right w:w="0" w:type="dxa"/>
            </w:tcMar>
          </w:tcPr>
          <w:p w14:paraId="3EA84975"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(1,999)</w:t>
            </w:r>
          </w:p>
        </w:tc>
        <w:tc>
          <w:tcPr>
            <w:tcW w:w="1800" w:type="dxa"/>
            <w:tcMar>
              <w:top w:w="28" w:type="dxa"/>
              <w:right w:w="108" w:type="dxa"/>
            </w:tcMar>
          </w:tcPr>
          <w:p w14:paraId="5916D882"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3,293</w:t>
            </w:r>
          </w:p>
        </w:tc>
      </w:tr>
      <w:tr w:rsidR="00F375C7" w:rsidRPr="00E70587" w14:paraId="402D0200" w14:textId="77777777" w:rsidTr="009A5E2F">
        <w:tc>
          <w:tcPr>
            <w:tcW w:w="6030" w:type="dxa"/>
            <w:tcMar>
              <w:top w:w="28" w:type="dxa"/>
            </w:tcMar>
          </w:tcPr>
          <w:p w14:paraId="39CE429E"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Investing</w:t>
            </w:r>
          </w:p>
        </w:tc>
        <w:tc>
          <w:tcPr>
            <w:tcW w:w="1710" w:type="dxa"/>
            <w:tcMar>
              <w:top w:w="28" w:type="dxa"/>
              <w:right w:w="108" w:type="dxa"/>
            </w:tcMar>
          </w:tcPr>
          <w:p w14:paraId="38DE782C" w14:textId="75FF852C" w:rsidR="00F375C7" w:rsidRPr="00E70587" w:rsidRDefault="0003655C" w:rsidP="00770F33">
            <w:pPr>
              <w:overflowPunct/>
              <w:spacing w:line="280" w:lineRule="exact"/>
              <w:ind w:right="29"/>
              <w:jc w:val="right"/>
              <w:textAlignment w:val="auto"/>
              <w:rPr>
                <w:rFonts w:ascii="Arial" w:hAnsi="Arial" w:cs="Arial"/>
                <w:sz w:val="20"/>
                <w:lang w:eastAsia="en-GB"/>
              </w:rPr>
            </w:pPr>
            <w:r>
              <w:rPr>
                <w:rFonts w:ascii="Arial" w:hAnsi="Arial" w:cs="Arial"/>
                <w:sz w:val="20"/>
                <w:lang w:eastAsia="en-GB"/>
              </w:rPr>
              <w:t>-</w:t>
            </w:r>
          </w:p>
        </w:tc>
        <w:tc>
          <w:tcPr>
            <w:tcW w:w="1800" w:type="dxa"/>
            <w:tcMar>
              <w:top w:w="28" w:type="dxa"/>
            </w:tcMar>
          </w:tcPr>
          <w:p w14:paraId="49B5027B" w14:textId="66A4EA29" w:rsidR="00F375C7" w:rsidRPr="00E70587" w:rsidRDefault="0003655C" w:rsidP="00770F33">
            <w:pPr>
              <w:overflowPunct/>
              <w:spacing w:line="280" w:lineRule="exact"/>
              <w:ind w:right="29"/>
              <w:jc w:val="right"/>
              <w:textAlignment w:val="auto"/>
              <w:rPr>
                <w:rFonts w:ascii="Arial" w:hAnsi="Arial" w:cs="Arial"/>
                <w:sz w:val="20"/>
                <w:lang w:eastAsia="en-GB"/>
              </w:rPr>
            </w:pPr>
            <w:r>
              <w:rPr>
                <w:rFonts w:ascii="Arial" w:hAnsi="Arial" w:cs="Arial"/>
                <w:sz w:val="20"/>
                <w:lang w:eastAsia="en-GB"/>
              </w:rPr>
              <w:t>-</w:t>
            </w:r>
          </w:p>
        </w:tc>
      </w:tr>
      <w:tr w:rsidR="00F375C7" w:rsidRPr="00E70587" w14:paraId="16716497" w14:textId="77777777" w:rsidTr="009A5E2F">
        <w:tc>
          <w:tcPr>
            <w:tcW w:w="6030" w:type="dxa"/>
          </w:tcPr>
          <w:p w14:paraId="19B28142"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Financing</w:t>
            </w:r>
          </w:p>
        </w:tc>
        <w:tc>
          <w:tcPr>
            <w:tcW w:w="1710" w:type="dxa"/>
            <w:tcBorders>
              <w:bottom w:val="single" w:sz="4" w:space="0" w:color="auto"/>
            </w:tcBorders>
            <w:tcMar>
              <w:top w:w="0" w:type="dxa"/>
              <w:right w:w="0" w:type="dxa"/>
            </w:tcMar>
          </w:tcPr>
          <w:p w14:paraId="701590D9"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(436)</w:t>
            </w:r>
          </w:p>
        </w:tc>
        <w:tc>
          <w:tcPr>
            <w:tcW w:w="1800" w:type="dxa"/>
            <w:tcBorders>
              <w:bottom w:val="single" w:sz="4" w:space="0" w:color="auto"/>
            </w:tcBorders>
            <w:tcMar>
              <w:top w:w="0" w:type="dxa"/>
              <w:right w:w="0" w:type="dxa"/>
            </w:tcMar>
          </w:tcPr>
          <w:p w14:paraId="0662C6CD" w14:textId="77777777" w:rsidR="00F375C7" w:rsidRPr="00E70587" w:rsidRDefault="00F375C7" w:rsidP="00770F33">
            <w:pPr>
              <w:overflowPunct/>
              <w:spacing w:line="280" w:lineRule="exact"/>
              <w:ind w:right="29"/>
              <w:jc w:val="right"/>
              <w:textAlignment w:val="auto"/>
              <w:rPr>
                <w:rFonts w:ascii="Arial" w:hAnsi="Arial" w:cs="Arial"/>
                <w:sz w:val="20"/>
                <w:lang w:eastAsia="en-GB"/>
              </w:rPr>
            </w:pPr>
            <w:r w:rsidRPr="00E70587">
              <w:rPr>
                <w:rFonts w:ascii="Arial" w:hAnsi="Arial" w:cs="Arial"/>
                <w:sz w:val="20"/>
                <w:lang w:eastAsia="en-GB"/>
              </w:rPr>
              <w:t>(436)</w:t>
            </w:r>
          </w:p>
        </w:tc>
      </w:tr>
      <w:tr w:rsidR="00F375C7" w:rsidRPr="00E70587" w14:paraId="3B26F97C" w14:textId="77777777" w:rsidTr="009A5E2F">
        <w:tc>
          <w:tcPr>
            <w:tcW w:w="6030" w:type="dxa"/>
            <w:tcMar>
              <w:top w:w="28" w:type="dxa"/>
            </w:tcMar>
          </w:tcPr>
          <w:p w14:paraId="172CBE96"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Net cash (outflow)/inflow</w:t>
            </w:r>
          </w:p>
        </w:tc>
        <w:tc>
          <w:tcPr>
            <w:tcW w:w="1710" w:type="dxa"/>
            <w:tcBorders>
              <w:top w:val="single" w:sz="4" w:space="0" w:color="auto"/>
              <w:bottom w:val="double" w:sz="4" w:space="0" w:color="auto"/>
            </w:tcBorders>
            <w:tcMar>
              <w:top w:w="0" w:type="dxa"/>
              <w:right w:w="0" w:type="dxa"/>
            </w:tcMar>
          </w:tcPr>
          <w:p w14:paraId="2A985025" w14:textId="77777777" w:rsidR="00F375C7" w:rsidRPr="00E70587" w:rsidRDefault="00F375C7" w:rsidP="00770F33">
            <w:pPr>
              <w:overflowPunct/>
              <w:spacing w:line="280" w:lineRule="exact"/>
              <w:ind w:right="29"/>
              <w:jc w:val="right"/>
              <w:textAlignment w:val="auto"/>
              <w:rPr>
                <w:rFonts w:ascii="Arial" w:hAnsi="Arial" w:cs="Arial"/>
                <w:b/>
                <w:bCs/>
                <w:sz w:val="20"/>
                <w:lang w:eastAsia="en-GB"/>
              </w:rPr>
            </w:pPr>
            <w:r w:rsidRPr="00E70587">
              <w:rPr>
                <w:rFonts w:ascii="Arial" w:hAnsi="Arial" w:cs="Arial"/>
                <w:b/>
                <w:bCs/>
                <w:sz w:val="20"/>
                <w:lang w:eastAsia="en-GB"/>
              </w:rPr>
              <w:t>(2,435)</w:t>
            </w:r>
          </w:p>
        </w:tc>
        <w:tc>
          <w:tcPr>
            <w:tcW w:w="1800" w:type="dxa"/>
            <w:tcBorders>
              <w:top w:val="single" w:sz="4" w:space="0" w:color="auto"/>
              <w:bottom w:val="double" w:sz="4" w:space="0" w:color="auto"/>
            </w:tcBorders>
            <w:tcMar>
              <w:top w:w="28" w:type="dxa"/>
              <w:right w:w="108" w:type="dxa"/>
            </w:tcMar>
          </w:tcPr>
          <w:p w14:paraId="30475224" w14:textId="77777777" w:rsidR="00F375C7" w:rsidRPr="00E70587" w:rsidRDefault="00F375C7" w:rsidP="00770F33">
            <w:pPr>
              <w:overflowPunct/>
              <w:spacing w:line="280" w:lineRule="exact"/>
              <w:ind w:right="29"/>
              <w:jc w:val="right"/>
              <w:textAlignment w:val="auto"/>
              <w:rPr>
                <w:rFonts w:ascii="Arial" w:hAnsi="Arial" w:cs="Arial"/>
                <w:b/>
                <w:bCs/>
                <w:sz w:val="20"/>
                <w:lang w:eastAsia="en-GB"/>
              </w:rPr>
            </w:pPr>
            <w:r w:rsidRPr="00E70587">
              <w:rPr>
                <w:rFonts w:ascii="Arial" w:hAnsi="Arial" w:cs="Arial"/>
                <w:b/>
                <w:bCs/>
                <w:sz w:val="20"/>
                <w:lang w:eastAsia="en-GB"/>
              </w:rPr>
              <w:t>2,857</w:t>
            </w:r>
          </w:p>
        </w:tc>
      </w:tr>
    </w:tbl>
    <w:p w14:paraId="613DCBAF" w14:textId="77777777" w:rsidR="00310DB8" w:rsidRPr="00E70587" w:rsidRDefault="00310DB8" w:rsidP="009901E1">
      <w:pPr>
        <w:spacing w:line="280" w:lineRule="exact"/>
        <w:rPr>
          <w:rFonts w:ascii="Arial" w:hAnsi="Arial" w:cs="Arial"/>
          <w:sz w:val="20"/>
        </w:rPr>
      </w:pPr>
    </w:p>
    <w:tbl>
      <w:tblPr>
        <w:tblW w:w="9576" w:type="dxa"/>
        <w:tblLayout w:type="fixed"/>
        <w:tblLook w:val="01E0" w:firstRow="1" w:lastRow="1" w:firstColumn="1" w:lastColumn="1" w:noHBand="0" w:noVBand="0"/>
      </w:tblPr>
      <w:tblGrid>
        <w:gridCol w:w="6053"/>
        <w:gridCol w:w="1716"/>
        <w:gridCol w:w="1807"/>
      </w:tblGrid>
      <w:tr w:rsidR="00F375C7" w:rsidRPr="00E70587" w14:paraId="437BF3D6" w14:textId="77777777" w:rsidTr="009A5E2F">
        <w:tc>
          <w:tcPr>
            <w:tcW w:w="6030" w:type="dxa"/>
            <w:tcMar>
              <w:top w:w="28" w:type="dxa"/>
            </w:tcMar>
          </w:tcPr>
          <w:p w14:paraId="1ABBD6E9" w14:textId="77777777" w:rsidR="00F375C7" w:rsidRPr="00E70587" w:rsidRDefault="00F375C7" w:rsidP="009901E1">
            <w:pPr>
              <w:pStyle w:val="Notesitalicheading"/>
              <w:spacing w:line="280" w:lineRule="exact"/>
              <w:rPr>
                <w:rFonts w:ascii="Arial" w:hAnsi="Arial"/>
                <w:i w:val="0"/>
                <w:color w:val="auto"/>
                <w:sz w:val="20"/>
              </w:rPr>
            </w:pPr>
            <w:r w:rsidRPr="00E70587">
              <w:rPr>
                <w:rFonts w:ascii="Arial" w:hAnsi="Arial"/>
                <w:i w:val="0"/>
                <w:color w:val="auto"/>
                <w:sz w:val="20"/>
              </w:rPr>
              <w:t>Earnings per share:</w:t>
            </w:r>
          </w:p>
        </w:tc>
        <w:tc>
          <w:tcPr>
            <w:tcW w:w="1710" w:type="dxa"/>
            <w:tcBorders>
              <w:bottom w:val="single" w:sz="4" w:space="0" w:color="auto"/>
            </w:tcBorders>
            <w:tcMar>
              <w:top w:w="28" w:type="dxa"/>
            </w:tcMar>
          </w:tcPr>
          <w:p w14:paraId="3330766C" w14:textId="4C33D001" w:rsidR="00F375C7" w:rsidRPr="00E70587" w:rsidRDefault="00F375C7" w:rsidP="000940CC">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March 20</w:t>
            </w:r>
            <w:r w:rsidR="000940CC">
              <w:rPr>
                <w:rFonts w:ascii="Arial" w:hAnsi="Arial"/>
                <w:color w:val="auto"/>
                <w:sz w:val="20"/>
                <w:szCs w:val="20"/>
                <w:lang w:val="en-IN"/>
              </w:rPr>
              <w:t>21</w:t>
            </w:r>
          </w:p>
        </w:tc>
        <w:tc>
          <w:tcPr>
            <w:tcW w:w="1800" w:type="dxa"/>
            <w:tcBorders>
              <w:bottom w:val="single" w:sz="4" w:space="0" w:color="auto"/>
            </w:tcBorders>
            <w:tcMar>
              <w:top w:w="28" w:type="dxa"/>
            </w:tcMar>
          </w:tcPr>
          <w:p w14:paraId="653BD58A" w14:textId="7ABF9991" w:rsidR="00F375C7" w:rsidRPr="00E70587" w:rsidRDefault="00F375C7" w:rsidP="000940CC">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March 20</w:t>
            </w:r>
            <w:r w:rsidR="000940CC">
              <w:rPr>
                <w:rFonts w:ascii="Arial" w:hAnsi="Arial"/>
                <w:color w:val="auto"/>
                <w:sz w:val="20"/>
                <w:szCs w:val="20"/>
                <w:lang w:val="en-IN"/>
              </w:rPr>
              <w:t>20</w:t>
            </w:r>
          </w:p>
        </w:tc>
      </w:tr>
      <w:tr w:rsidR="00F375C7" w:rsidRPr="00E70587" w14:paraId="47F3AD90" w14:textId="77777777" w:rsidTr="009A5E2F">
        <w:tc>
          <w:tcPr>
            <w:tcW w:w="6030" w:type="dxa"/>
            <w:tcMar>
              <w:top w:w="28" w:type="dxa"/>
            </w:tcMar>
          </w:tcPr>
          <w:p w14:paraId="05463761"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Basic, profit/(loss) for the year from discontinued operation</w:t>
            </w:r>
          </w:p>
        </w:tc>
        <w:tc>
          <w:tcPr>
            <w:tcW w:w="1710" w:type="dxa"/>
            <w:tcBorders>
              <w:top w:val="single" w:sz="4" w:space="0" w:color="auto"/>
            </w:tcBorders>
            <w:tcMar>
              <w:top w:w="28" w:type="dxa"/>
              <w:right w:w="108" w:type="dxa"/>
            </w:tcMar>
          </w:tcPr>
          <w:p w14:paraId="71C74785" w14:textId="77777777" w:rsidR="00F375C7" w:rsidRPr="00E70587" w:rsidRDefault="00F375C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0.01</w:t>
            </w:r>
          </w:p>
        </w:tc>
        <w:tc>
          <w:tcPr>
            <w:tcW w:w="1800" w:type="dxa"/>
            <w:tcBorders>
              <w:top w:val="single" w:sz="4" w:space="0" w:color="auto"/>
            </w:tcBorders>
            <w:tcMar>
              <w:top w:w="0" w:type="dxa"/>
              <w:right w:w="57" w:type="dxa"/>
            </w:tcMar>
          </w:tcPr>
          <w:p w14:paraId="050FBDDE" w14:textId="77777777" w:rsidR="00F375C7" w:rsidRPr="00E70587" w:rsidRDefault="00F375C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0.01)</w:t>
            </w:r>
          </w:p>
        </w:tc>
      </w:tr>
      <w:tr w:rsidR="00F375C7" w:rsidRPr="00E70587" w14:paraId="645A6113" w14:textId="77777777" w:rsidTr="009A5E2F">
        <w:tc>
          <w:tcPr>
            <w:tcW w:w="6030" w:type="dxa"/>
            <w:tcMar>
              <w:top w:w="28" w:type="dxa"/>
            </w:tcMar>
          </w:tcPr>
          <w:p w14:paraId="6A5644D4"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Diluted, profit/(loss) for the year from discontinued operation</w:t>
            </w:r>
          </w:p>
        </w:tc>
        <w:tc>
          <w:tcPr>
            <w:tcW w:w="1710" w:type="dxa"/>
            <w:tcMar>
              <w:top w:w="28" w:type="dxa"/>
              <w:right w:w="108" w:type="dxa"/>
            </w:tcMar>
          </w:tcPr>
          <w:p w14:paraId="0A9B58DA" w14:textId="77777777" w:rsidR="00F375C7" w:rsidRPr="00E70587" w:rsidRDefault="00F375C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0.01</w:t>
            </w:r>
          </w:p>
        </w:tc>
        <w:tc>
          <w:tcPr>
            <w:tcW w:w="1800" w:type="dxa"/>
            <w:tcMar>
              <w:top w:w="0" w:type="dxa"/>
              <w:right w:w="57" w:type="dxa"/>
            </w:tcMar>
          </w:tcPr>
          <w:p w14:paraId="04AC62E3" w14:textId="77777777" w:rsidR="00F375C7" w:rsidRPr="00E70587" w:rsidRDefault="00F375C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0.01)</w:t>
            </w:r>
          </w:p>
        </w:tc>
      </w:tr>
    </w:tbl>
    <w:p w14:paraId="7A4B0218" w14:textId="77777777" w:rsidR="00B447A2" w:rsidRPr="00E70587" w:rsidRDefault="00B447A2" w:rsidP="00B447A2">
      <w:pPr>
        <w:pStyle w:val="tabletext"/>
        <w:spacing w:line="280" w:lineRule="exact"/>
        <w:jc w:val="both"/>
        <w:rPr>
          <w:rFonts w:ascii="Arial" w:hAnsi="Arial" w:cs="Arial"/>
          <w:sz w:val="20"/>
          <w:lang w:val="en-IN"/>
        </w:rPr>
      </w:pPr>
    </w:p>
    <w:p w14:paraId="2A9C5E03" w14:textId="23733C66" w:rsidR="00B447A2" w:rsidRDefault="00B447A2" w:rsidP="00B447A2">
      <w:pPr>
        <w:spacing w:line="280" w:lineRule="exact"/>
        <w:jc w:val="both"/>
        <w:rPr>
          <w:rFonts w:ascii="Arial" w:hAnsi="Arial" w:cs="Arial"/>
          <w:sz w:val="20"/>
        </w:rPr>
      </w:pPr>
      <w:r w:rsidRPr="00E70587">
        <w:rPr>
          <w:rFonts w:ascii="Arial" w:hAnsi="Arial" w:cs="Arial"/>
          <w:sz w:val="20"/>
        </w:rPr>
        <w:t>Interest-bearing liabilities comprise a fixed rate bank loan of INR 10</w:t>
      </w:r>
      <w:r w:rsidR="00063B18" w:rsidRPr="00E70587">
        <w:rPr>
          <w:rFonts w:ascii="Arial" w:hAnsi="Arial" w:cs="Arial"/>
          <w:sz w:val="20"/>
        </w:rPr>
        <w:t>,</w:t>
      </w:r>
      <w:r w:rsidRPr="00E70587">
        <w:rPr>
          <w:rFonts w:ascii="Arial" w:hAnsi="Arial" w:cs="Arial"/>
          <w:sz w:val="20"/>
        </w:rPr>
        <w:t xml:space="preserve">456 having an effective interest rate of 7.5% that is repayable in full on 31 March </w:t>
      </w:r>
      <w:r w:rsidR="00E15C9A" w:rsidRPr="00E70587">
        <w:rPr>
          <w:rFonts w:ascii="Arial" w:hAnsi="Arial" w:cs="Arial"/>
          <w:sz w:val="20"/>
        </w:rPr>
        <w:t>202</w:t>
      </w:r>
      <w:r w:rsidR="00E15C9A">
        <w:rPr>
          <w:rFonts w:ascii="Arial" w:hAnsi="Arial" w:cs="Arial"/>
          <w:sz w:val="20"/>
        </w:rPr>
        <w:t>3</w:t>
      </w:r>
      <w:r w:rsidRPr="00E70587">
        <w:rPr>
          <w:rFonts w:ascii="Arial" w:hAnsi="Arial" w:cs="Arial"/>
          <w:sz w:val="20"/>
        </w:rPr>
        <w:t>.</w:t>
      </w:r>
    </w:p>
    <w:p w14:paraId="56108504" w14:textId="21BB96DB" w:rsidR="000860C1" w:rsidRDefault="000860C1" w:rsidP="00B447A2">
      <w:pPr>
        <w:spacing w:line="280" w:lineRule="exact"/>
        <w:jc w:val="both"/>
        <w:rPr>
          <w:rFonts w:ascii="Arial" w:hAnsi="Arial" w:cs="Arial"/>
          <w:sz w:val="20"/>
        </w:rPr>
      </w:pPr>
    </w:p>
    <w:p w14:paraId="34971CD0" w14:textId="1AACDFEC" w:rsidR="000860C1" w:rsidRPr="000860C1" w:rsidRDefault="000860C1" w:rsidP="000860C1">
      <w:pPr>
        <w:shd w:val="clear" w:color="auto" w:fill="C1C1C1" w:themeFill="background1" w:themeFillTint="66"/>
        <w:spacing w:line="280" w:lineRule="exact"/>
        <w:jc w:val="both"/>
        <w:rPr>
          <w:rFonts w:ascii="Arial" w:hAnsi="Arial" w:cs="Arial"/>
          <w:b/>
          <w:bCs/>
          <w:sz w:val="20"/>
        </w:rPr>
      </w:pPr>
      <w:r w:rsidRPr="000860C1">
        <w:rPr>
          <w:rFonts w:ascii="Arial" w:hAnsi="Arial" w:cs="Arial"/>
          <w:b/>
          <w:bCs/>
          <w:sz w:val="20"/>
        </w:rPr>
        <w:t>Author’s Note</w:t>
      </w:r>
    </w:p>
    <w:p w14:paraId="3CF8DE54" w14:textId="77777777" w:rsidR="000860C1" w:rsidRDefault="000860C1" w:rsidP="000860C1">
      <w:pPr>
        <w:shd w:val="clear" w:color="auto" w:fill="C1C1C1" w:themeFill="background1" w:themeFillTint="66"/>
        <w:spacing w:line="280" w:lineRule="exact"/>
        <w:jc w:val="both"/>
        <w:rPr>
          <w:rFonts w:ascii="Arial" w:hAnsi="Arial" w:cs="Arial"/>
          <w:sz w:val="20"/>
        </w:rPr>
      </w:pPr>
    </w:p>
    <w:p w14:paraId="5F0A47DA" w14:textId="3A15A2F5" w:rsidR="000860C1" w:rsidRDefault="000860C1" w:rsidP="000860C1">
      <w:pPr>
        <w:shd w:val="clear" w:color="auto" w:fill="C1C1C1" w:themeFill="background1" w:themeFillTint="66"/>
        <w:spacing w:line="280" w:lineRule="exact"/>
        <w:jc w:val="both"/>
        <w:rPr>
          <w:rFonts w:ascii="Arial" w:hAnsi="Arial" w:cs="Arial"/>
          <w:sz w:val="20"/>
        </w:rPr>
      </w:pPr>
      <w:r w:rsidRPr="000860C1">
        <w:rPr>
          <w:rFonts w:ascii="Arial" w:hAnsi="Arial" w:cs="Arial"/>
          <w:sz w:val="20"/>
        </w:rPr>
        <w:t>Ind AS 105 specifies certain disclosures required in respect of discontinued operations and non-current assets held for sale. Ind AS 105.5B states that the requirements of other standards do not apply to discontinued operations, unless the other standards specify disclosures that are applicable to them.</w:t>
      </w:r>
    </w:p>
    <w:p w14:paraId="6B1959D5" w14:textId="77777777" w:rsidR="000860C1" w:rsidRPr="000860C1" w:rsidRDefault="000860C1" w:rsidP="000860C1">
      <w:pPr>
        <w:shd w:val="clear" w:color="auto" w:fill="C1C1C1" w:themeFill="background1" w:themeFillTint="66"/>
        <w:spacing w:line="280" w:lineRule="exact"/>
        <w:jc w:val="both"/>
        <w:rPr>
          <w:rFonts w:ascii="Arial" w:hAnsi="Arial" w:cs="Arial"/>
          <w:sz w:val="20"/>
        </w:rPr>
      </w:pPr>
    </w:p>
    <w:p w14:paraId="28735F2C" w14:textId="751711BC" w:rsidR="000860C1" w:rsidRDefault="000860C1" w:rsidP="000860C1">
      <w:pPr>
        <w:shd w:val="clear" w:color="auto" w:fill="C1C1C1" w:themeFill="background1" w:themeFillTint="66"/>
        <w:spacing w:line="280" w:lineRule="exact"/>
        <w:jc w:val="both"/>
        <w:rPr>
          <w:rFonts w:ascii="Arial" w:hAnsi="Arial" w:cs="Arial"/>
          <w:sz w:val="20"/>
        </w:rPr>
      </w:pPr>
      <w:r w:rsidRPr="000860C1">
        <w:rPr>
          <w:rFonts w:ascii="Arial" w:hAnsi="Arial" w:cs="Arial"/>
          <w:sz w:val="20"/>
        </w:rPr>
        <w:lastRenderedPageBreak/>
        <w:t>In Ind AS 112.B17, the standard further clarified that disclosures specified in Ind AS 112.B10-B16 are not required when an entity’s interest in a subsidiary, a joint venture or an associate (or a portion of its interest in a joint venture or an associate) is classified as held for sale in accordance with Ind AS 105. However, it remains silent as to the other disclosures beyond Ind AS 112.B10-B16. The Group has taken the view that in light of Ind AS 105.5B, there is no requirement to provide any other Ind AS 112 disclosures, since Ind AS 112 does not explicitly require such disclosures, and it considers in this particular case that the disclosures made, in accordance with Ind AS 105, provide users with the relevant information.</w:t>
      </w:r>
    </w:p>
    <w:p w14:paraId="1110518F" w14:textId="77777777" w:rsidR="000860C1" w:rsidRPr="000860C1" w:rsidRDefault="000860C1" w:rsidP="000860C1">
      <w:pPr>
        <w:shd w:val="clear" w:color="auto" w:fill="C1C1C1" w:themeFill="background1" w:themeFillTint="66"/>
        <w:spacing w:line="280" w:lineRule="exact"/>
        <w:jc w:val="both"/>
        <w:rPr>
          <w:rFonts w:ascii="Arial" w:hAnsi="Arial" w:cs="Arial"/>
          <w:sz w:val="20"/>
        </w:rPr>
      </w:pPr>
    </w:p>
    <w:p w14:paraId="721BB60A" w14:textId="03C05FBA" w:rsidR="000860C1" w:rsidRDefault="000860C1" w:rsidP="000860C1">
      <w:pPr>
        <w:shd w:val="clear" w:color="auto" w:fill="C1C1C1" w:themeFill="background1" w:themeFillTint="66"/>
        <w:spacing w:line="280" w:lineRule="exact"/>
        <w:jc w:val="both"/>
        <w:rPr>
          <w:rFonts w:ascii="Arial" w:hAnsi="Arial" w:cs="Arial"/>
          <w:sz w:val="20"/>
        </w:rPr>
      </w:pPr>
      <w:r w:rsidRPr="000860C1">
        <w:rPr>
          <w:rFonts w:ascii="Arial" w:hAnsi="Arial" w:cs="Arial"/>
          <w:sz w:val="20"/>
        </w:rPr>
        <w:t>Ind AS 33.68A provides an option to present the earnings per share from discontinued operations in either on the face of the statement of profit or loss or in the notes. The Group has opted to present the earnings per share from discontinued operations both on the face of statement of profit and loss and in the notes.</w:t>
      </w:r>
    </w:p>
    <w:p w14:paraId="06251DFE" w14:textId="77777777" w:rsidR="005F283E" w:rsidRPr="00E70587" w:rsidRDefault="005F283E" w:rsidP="000860C1">
      <w:pPr>
        <w:shd w:val="clear" w:color="auto" w:fill="C1C1C1" w:themeFill="background1" w:themeFillTint="66"/>
        <w:spacing w:line="280" w:lineRule="exact"/>
        <w:jc w:val="both"/>
        <w:rPr>
          <w:rFonts w:ascii="Arial" w:hAnsi="Arial" w:cs="Arial"/>
          <w:sz w:val="20"/>
        </w:rPr>
      </w:pPr>
    </w:p>
    <w:p w14:paraId="4BCF6657" w14:textId="77777777" w:rsidR="00B447A2" w:rsidRPr="00E70587" w:rsidRDefault="00B447A2" w:rsidP="00B447A2">
      <w:pPr>
        <w:spacing w:line="280" w:lineRule="exact"/>
        <w:jc w:val="both"/>
        <w:rPr>
          <w:rFonts w:ascii="Arial" w:hAnsi="Arial" w:cs="Arial"/>
          <w:sz w:val="20"/>
        </w:rPr>
      </w:pPr>
    </w:p>
    <w:p w14:paraId="6E95FBDB" w14:textId="432DA0A7" w:rsidR="00B447A2" w:rsidRPr="00E70587" w:rsidRDefault="00B447A2" w:rsidP="00B447A2">
      <w:pPr>
        <w:pStyle w:val="Notesbodytext"/>
        <w:spacing w:after="0" w:line="280" w:lineRule="exact"/>
        <w:jc w:val="both"/>
        <w:rPr>
          <w:rFonts w:ascii="Arial" w:hAnsi="Arial"/>
          <w:color w:val="auto"/>
          <w:sz w:val="20"/>
        </w:rPr>
      </w:pPr>
      <w:r w:rsidRPr="00E70587">
        <w:rPr>
          <w:rFonts w:ascii="Arial" w:hAnsi="Arial"/>
          <w:color w:val="auto"/>
          <w:sz w:val="20"/>
        </w:rPr>
        <w:t>Write-down of property, plant and equipment: Immediately before the classification of H Limited as a discontinued operation, the recoverable amount was estimated for certain items of property, plant and equipment and no impairment loss was identified. Following the classification, a write-down of INR 198 (net of tax INR 13</w:t>
      </w:r>
      <w:r w:rsidR="00063B18" w:rsidRPr="00E70587">
        <w:rPr>
          <w:rFonts w:ascii="Arial" w:hAnsi="Arial"/>
          <w:color w:val="auto"/>
          <w:sz w:val="20"/>
        </w:rPr>
        <w:t>9</w:t>
      </w:r>
      <w:r w:rsidRPr="00E70587">
        <w:rPr>
          <w:rFonts w:ascii="Arial" w:hAnsi="Arial"/>
          <w:color w:val="auto"/>
          <w:sz w:val="20"/>
        </w:rPr>
        <w:t xml:space="preserve">) was recognised on 1 October </w:t>
      </w:r>
      <w:r w:rsidR="00E15C9A" w:rsidRPr="00E70587">
        <w:rPr>
          <w:rFonts w:ascii="Arial" w:hAnsi="Arial"/>
          <w:color w:val="auto"/>
          <w:sz w:val="20"/>
        </w:rPr>
        <w:t>20</w:t>
      </w:r>
      <w:r w:rsidR="00E15C9A">
        <w:rPr>
          <w:rFonts w:ascii="Arial" w:hAnsi="Arial"/>
          <w:color w:val="auto"/>
          <w:sz w:val="20"/>
        </w:rPr>
        <w:t>20</w:t>
      </w:r>
      <w:r w:rsidR="00E15C9A" w:rsidRPr="00E70587">
        <w:rPr>
          <w:rFonts w:ascii="Arial" w:hAnsi="Arial"/>
          <w:color w:val="auto"/>
          <w:sz w:val="20"/>
        </w:rPr>
        <w:t xml:space="preserve"> </w:t>
      </w:r>
      <w:r w:rsidRPr="00E70587">
        <w:rPr>
          <w:rFonts w:ascii="Arial" w:hAnsi="Arial"/>
          <w:color w:val="auto"/>
          <w:sz w:val="20"/>
        </w:rPr>
        <w:t xml:space="preserve">to reduce the carrying amount of the assets in the disposal group to their fair value less costs to </w:t>
      </w:r>
      <w:r w:rsidR="001A2935">
        <w:rPr>
          <w:rFonts w:ascii="Arial" w:hAnsi="Arial"/>
          <w:color w:val="auto"/>
          <w:sz w:val="20"/>
        </w:rPr>
        <w:t>sell</w:t>
      </w:r>
      <w:r w:rsidRPr="00E70587">
        <w:rPr>
          <w:rFonts w:ascii="Arial" w:hAnsi="Arial"/>
          <w:color w:val="auto"/>
          <w:sz w:val="20"/>
        </w:rPr>
        <w:t xml:space="preserve">. This was recognised in discontinued operations in the statement of profit or loss. Fair value hierarchy disclosure is provided in Note </w:t>
      </w:r>
      <w:r w:rsidR="00B83F60" w:rsidRPr="00E70587">
        <w:rPr>
          <w:rFonts w:ascii="Arial" w:hAnsi="Arial"/>
          <w:color w:val="auto"/>
          <w:sz w:val="20"/>
        </w:rPr>
        <w:t>4</w:t>
      </w:r>
      <w:r w:rsidR="00B83F60">
        <w:rPr>
          <w:rFonts w:ascii="Arial" w:hAnsi="Arial"/>
          <w:color w:val="auto"/>
          <w:sz w:val="20"/>
        </w:rPr>
        <w:t>8</w:t>
      </w:r>
      <w:r w:rsidRPr="00E70587">
        <w:rPr>
          <w:rFonts w:ascii="Arial" w:hAnsi="Arial"/>
          <w:color w:val="auto"/>
          <w:sz w:val="20"/>
        </w:rPr>
        <w:t>.</w:t>
      </w:r>
    </w:p>
    <w:p w14:paraId="0AEC021D" w14:textId="77777777" w:rsidR="00B447A2" w:rsidRPr="00E70587" w:rsidRDefault="00B447A2" w:rsidP="00B447A2">
      <w:pPr>
        <w:pStyle w:val="IAStext"/>
        <w:spacing w:line="280" w:lineRule="exact"/>
        <w:jc w:val="both"/>
        <w:rPr>
          <w:rFonts w:ascii="Arial" w:hAnsi="Arial" w:cs="Arial"/>
          <w:i w:val="0"/>
          <w:sz w:val="20"/>
          <w:lang w:val="en-IN"/>
        </w:rPr>
      </w:pPr>
    </w:p>
    <w:p w14:paraId="1B19C843" w14:textId="48790800" w:rsidR="00B447A2" w:rsidRPr="00E70587" w:rsidRDefault="00B447A2" w:rsidP="00B447A2">
      <w:pPr>
        <w:pStyle w:val="IAStext"/>
        <w:spacing w:line="280" w:lineRule="exact"/>
        <w:jc w:val="both"/>
        <w:rPr>
          <w:rFonts w:ascii="Arial" w:hAnsi="Arial" w:cs="Arial"/>
          <w:i w:val="0"/>
          <w:sz w:val="20"/>
          <w:lang w:val="en-IN"/>
        </w:rPr>
      </w:pPr>
      <w:r w:rsidRPr="00E70587">
        <w:rPr>
          <w:rFonts w:ascii="Arial" w:hAnsi="Arial" w:cs="Arial"/>
          <w:i w:val="0"/>
          <w:sz w:val="20"/>
          <w:lang w:val="en-IN"/>
        </w:rPr>
        <w:t xml:space="preserve">As at 31 </w:t>
      </w:r>
      <w:r w:rsidR="00E1202D" w:rsidRPr="00E70587">
        <w:rPr>
          <w:rFonts w:ascii="Arial" w:hAnsi="Arial" w:cs="Arial"/>
          <w:i w:val="0"/>
          <w:sz w:val="20"/>
          <w:lang w:val="en-IN"/>
        </w:rPr>
        <w:t xml:space="preserve">March </w:t>
      </w:r>
      <w:r w:rsidR="00B47CAC" w:rsidRPr="00E70587">
        <w:rPr>
          <w:rFonts w:ascii="Arial" w:hAnsi="Arial" w:cs="Arial"/>
          <w:i w:val="0"/>
          <w:sz w:val="20"/>
          <w:lang w:val="en-IN"/>
        </w:rPr>
        <w:t>20</w:t>
      </w:r>
      <w:r w:rsidR="00B47CAC">
        <w:rPr>
          <w:rFonts w:ascii="Arial" w:hAnsi="Arial" w:cs="Arial"/>
          <w:i w:val="0"/>
          <w:sz w:val="20"/>
          <w:lang w:val="en-IN"/>
        </w:rPr>
        <w:t>21</w:t>
      </w:r>
      <w:r w:rsidRPr="00E70587">
        <w:rPr>
          <w:rFonts w:ascii="Arial" w:hAnsi="Arial" w:cs="Arial"/>
          <w:i w:val="0"/>
          <w:sz w:val="20"/>
          <w:lang w:val="en-IN"/>
        </w:rPr>
        <w:t>, there was no further write-down as the carrying amount of the disposal group did not fall below its fai</w:t>
      </w:r>
      <w:r w:rsidR="007D7F24" w:rsidRPr="00E70587">
        <w:rPr>
          <w:rFonts w:ascii="Arial" w:hAnsi="Arial" w:cs="Arial"/>
          <w:i w:val="0"/>
          <w:sz w:val="20"/>
          <w:lang w:val="en-IN"/>
        </w:rPr>
        <w:t>r value less costs of disposal.</w:t>
      </w:r>
    </w:p>
    <w:p w14:paraId="47246EE2" w14:textId="77777777" w:rsidR="007D7F24" w:rsidRPr="00E70587" w:rsidRDefault="007D7F24" w:rsidP="007D7F24">
      <w:pPr>
        <w:pStyle w:val="IAStext"/>
        <w:spacing w:line="280" w:lineRule="exact"/>
        <w:jc w:val="both"/>
        <w:rPr>
          <w:rFonts w:ascii="Arial" w:hAnsi="Arial" w:cs="Arial"/>
          <w:i w:val="0"/>
          <w:sz w:val="20"/>
          <w:lang w:val="en-IN"/>
        </w:rPr>
      </w:pPr>
    </w:p>
    <w:p w14:paraId="5BBEA4F3" w14:textId="10B54A03" w:rsidR="00B447A2" w:rsidRPr="00E70587" w:rsidRDefault="00B447A2" w:rsidP="00B447A2">
      <w:pPr>
        <w:pStyle w:val="IAStext"/>
        <w:spacing w:line="280" w:lineRule="exact"/>
        <w:jc w:val="both"/>
        <w:rPr>
          <w:rFonts w:ascii="Arial" w:hAnsi="Arial" w:cs="Arial"/>
          <w:sz w:val="20"/>
          <w:lang w:val="en-IN"/>
        </w:rPr>
      </w:pPr>
      <w:r w:rsidRPr="00E70587">
        <w:rPr>
          <w:rFonts w:ascii="Arial" w:hAnsi="Arial" w:cs="Arial"/>
          <w:i w:val="0"/>
          <w:sz w:val="20"/>
          <w:lang w:val="en-IN"/>
        </w:rPr>
        <w:t>The discontinued operation includes an investment in unquoted equity shares (Level 3 in the fair value</w:t>
      </w:r>
      <w:r w:rsidR="007D7F24" w:rsidRPr="00E70587">
        <w:rPr>
          <w:rFonts w:ascii="Arial" w:hAnsi="Arial" w:cs="Arial"/>
          <w:i w:val="0"/>
          <w:sz w:val="20"/>
          <w:lang w:val="en-IN"/>
        </w:rPr>
        <w:t xml:space="preserve"> </w:t>
      </w:r>
      <w:r w:rsidRPr="00E70587">
        <w:rPr>
          <w:rFonts w:ascii="Arial" w:hAnsi="Arial" w:cs="Arial"/>
          <w:i w:val="0"/>
          <w:sz w:val="20"/>
          <w:lang w:val="en-IN"/>
        </w:rPr>
        <w:t>hierarchy) of Test Ltd with a carrying amount of INR 914. The collaboration with Test Ltd is closely related with the discontinued operation of H Limited and was therefore reclassified as part of the discontinued operation. These are classified as an FVTOCI financial asset and carried at fair value</w:t>
      </w:r>
      <w:r w:rsidR="007D7F24" w:rsidRPr="00E70587">
        <w:rPr>
          <w:rFonts w:ascii="Arial" w:hAnsi="Arial" w:cs="Arial"/>
          <w:i w:val="0"/>
          <w:sz w:val="20"/>
          <w:lang w:val="en-IN"/>
        </w:rPr>
        <w:t xml:space="preserve"> </w:t>
      </w:r>
      <w:r w:rsidRPr="00E70587">
        <w:rPr>
          <w:rFonts w:ascii="Arial" w:hAnsi="Arial" w:cs="Arial"/>
          <w:i w:val="0"/>
          <w:sz w:val="20"/>
          <w:lang w:val="en-IN"/>
        </w:rPr>
        <w:t xml:space="preserve">through OCI. The Group did not pledge the financial asset nor receive any collateral for it. As at the reporting date, </w:t>
      </w:r>
      <w:r w:rsidR="007D7F24" w:rsidRPr="00E70587">
        <w:rPr>
          <w:rFonts w:ascii="Arial" w:hAnsi="Arial" w:cs="Arial"/>
          <w:i w:val="0"/>
          <w:sz w:val="20"/>
          <w:lang w:val="en-IN"/>
        </w:rPr>
        <w:t xml:space="preserve">the </w:t>
      </w:r>
      <w:r w:rsidRPr="00E70587">
        <w:rPr>
          <w:rFonts w:ascii="Arial" w:hAnsi="Arial" w:cs="Arial"/>
          <w:i w:val="0"/>
          <w:sz w:val="20"/>
          <w:lang w:val="en-IN"/>
        </w:rPr>
        <w:t xml:space="preserve">carrying amount equals the fair value of the instrument. For details on the recognition, measurement valuation techniques and inputs used for these assets, refer Note 2, </w:t>
      </w:r>
      <w:r w:rsidR="00B83F60" w:rsidRPr="00E70587">
        <w:rPr>
          <w:rFonts w:ascii="Arial" w:hAnsi="Arial" w:cs="Arial"/>
          <w:i w:val="0"/>
          <w:sz w:val="20"/>
          <w:lang w:val="en-IN"/>
        </w:rPr>
        <w:t>4</w:t>
      </w:r>
      <w:r w:rsidR="00B83F60">
        <w:rPr>
          <w:rFonts w:ascii="Arial" w:hAnsi="Arial" w:cs="Arial"/>
          <w:i w:val="0"/>
          <w:sz w:val="20"/>
          <w:lang w:val="en-IN"/>
        </w:rPr>
        <w:t>7</w:t>
      </w:r>
      <w:r w:rsidR="00B83F60" w:rsidRPr="00E70587">
        <w:rPr>
          <w:rFonts w:ascii="Arial" w:hAnsi="Arial" w:cs="Arial"/>
          <w:i w:val="0"/>
          <w:sz w:val="20"/>
          <w:lang w:val="en-IN"/>
        </w:rPr>
        <w:t xml:space="preserve"> </w:t>
      </w:r>
      <w:r w:rsidRPr="00E70587">
        <w:rPr>
          <w:rFonts w:ascii="Arial" w:hAnsi="Arial" w:cs="Arial"/>
          <w:i w:val="0"/>
          <w:sz w:val="20"/>
          <w:lang w:val="en-IN"/>
        </w:rPr>
        <w:t xml:space="preserve">and </w:t>
      </w:r>
      <w:r w:rsidR="00B83F60" w:rsidRPr="00E70587">
        <w:rPr>
          <w:rFonts w:ascii="Arial" w:hAnsi="Arial" w:cs="Arial"/>
          <w:i w:val="0"/>
          <w:sz w:val="20"/>
          <w:lang w:val="en-IN"/>
        </w:rPr>
        <w:t>4</w:t>
      </w:r>
      <w:r w:rsidR="00B83F60">
        <w:rPr>
          <w:rFonts w:ascii="Arial" w:hAnsi="Arial" w:cs="Arial"/>
          <w:i w:val="0"/>
          <w:sz w:val="20"/>
          <w:lang w:val="en-IN"/>
        </w:rPr>
        <w:t>8</w:t>
      </w:r>
      <w:r w:rsidRPr="00E70587">
        <w:rPr>
          <w:rFonts w:ascii="Arial" w:hAnsi="Arial" w:cs="Arial"/>
          <w:i w:val="0"/>
          <w:sz w:val="20"/>
          <w:lang w:val="en-IN"/>
        </w:rPr>
        <w:t>.</w:t>
      </w:r>
    </w:p>
    <w:p w14:paraId="3BCAD7BE" w14:textId="77777777" w:rsidR="00310DB8" w:rsidRPr="00E70587" w:rsidRDefault="00310DB8" w:rsidP="00B447A2">
      <w:pPr>
        <w:pStyle w:val="IAStext"/>
        <w:spacing w:line="280" w:lineRule="exact"/>
        <w:jc w:val="both"/>
        <w:rPr>
          <w:rFonts w:ascii="Arial" w:hAnsi="Arial" w:cs="Arial"/>
          <w:i w:val="0"/>
          <w:sz w:val="20"/>
          <w:lang w:val="en-IN"/>
        </w:rPr>
      </w:pPr>
    </w:p>
    <w:p w14:paraId="6FC36937" w14:textId="77777777" w:rsidR="00310DB8" w:rsidRPr="00E70587" w:rsidRDefault="00310DB8" w:rsidP="00B447A2">
      <w:pPr>
        <w:pStyle w:val="IAStext"/>
        <w:spacing w:line="280" w:lineRule="exact"/>
        <w:jc w:val="both"/>
        <w:rPr>
          <w:rFonts w:ascii="Arial" w:hAnsi="Arial" w:cs="Arial"/>
          <w:b/>
          <w:sz w:val="20"/>
          <w:lang w:val="en-IN"/>
        </w:rPr>
      </w:pPr>
      <w:r w:rsidRPr="00E70587">
        <w:rPr>
          <w:rFonts w:ascii="Arial" w:hAnsi="Arial" w:cs="Arial"/>
          <w:b/>
          <w:sz w:val="20"/>
          <w:lang w:val="en-IN"/>
        </w:rPr>
        <w:t>Reconciliation of fair value measurement of the investment in unquoted equity shares:</w:t>
      </w:r>
    </w:p>
    <w:p w14:paraId="36A850FA" w14:textId="77777777" w:rsidR="007D7F24" w:rsidRPr="00E70587" w:rsidRDefault="007D7F24" w:rsidP="007D7F24">
      <w:pPr>
        <w:pStyle w:val="IAStext"/>
        <w:spacing w:line="280" w:lineRule="exact"/>
        <w:jc w:val="both"/>
        <w:rPr>
          <w:rFonts w:ascii="Arial" w:hAnsi="Arial" w:cs="Arial"/>
          <w:i w:val="0"/>
          <w:sz w:val="20"/>
          <w:lang w:val="en-IN"/>
        </w:rPr>
      </w:pPr>
    </w:p>
    <w:tbl>
      <w:tblPr>
        <w:tblStyle w:val="TableGrid"/>
        <w:tblW w:w="9576" w:type="dxa"/>
        <w:tblLook w:val="04A0" w:firstRow="1" w:lastRow="0" w:firstColumn="1" w:lastColumn="0" w:noHBand="0" w:noVBand="1"/>
      </w:tblPr>
      <w:tblGrid>
        <w:gridCol w:w="7995"/>
        <w:gridCol w:w="1581"/>
      </w:tblGrid>
      <w:tr w:rsidR="007D7F24" w:rsidRPr="00E70587" w14:paraId="4740C265" w14:textId="77777777" w:rsidTr="007D7F24">
        <w:tc>
          <w:tcPr>
            <w:tcW w:w="0" w:type="auto"/>
            <w:tcBorders>
              <w:top w:val="nil"/>
              <w:left w:val="nil"/>
              <w:bottom w:val="nil"/>
              <w:right w:val="nil"/>
            </w:tcBorders>
            <w:noWrap/>
          </w:tcPr>
          <w:p w14:paraId="7237532B" w14:textId="77777777" w:rsidR="007D7F24" w:rsidRPr="00E70587" w:rsidRDefault="007D7F24" w:rsidP="009901E1">
            <w:pPr>
              <w:spacing w:line="280" w:lineRule="exact"/>
              <w:rPr>
                <w:rFonts w:ascii="Arial" w:hAnsi="Arial" w:cs="Arial"/>
                <w:b/>
                <w:bCs/>
                <w:sz w:val="20"/>
              </w:rPr>
            </w:pPr>
          </w:p>
        </w:tc>
        <w:tc>
          <w:tcPr>
            <w:tcW w:w="0" w:type="auto"/>
            <w:tcBorders>
              <w:top w:val="nil"/>
              <w:left w:val="nil"/>
              <w:bottom w:val="single" w:sz="4" w:space="0" w:color="auto"/>
              <w:right w:val="nil"/>
            </w:tcBorders>
            <w:noWrap/>
            <w:vAlign w:val="bottom"/>
          </w:tcPr>
          <w:p w14:paraId="4F7E9C58" w14:textId="77777777" w:rsidR="007D7F24" w:rsidRPr="00E70587" w:rsidRDefault="007D7F24" w:rsidP="009901E1">
            <w:pPr>
              <w:spacing w:line="280" w:lineRule="exact"/>
              <w:jc w:val="right"/>
              <w:rPr>
                <w:rFonts w:ascii="Arial" w:hAnsi="Arial" w:cs="Arial"/>
                <w:b/>
                <w:sz w:val="20"/>
              </w:rPr>
            </w:pPr>
            <w:r w:rsidRPr="00E70587">
              <w:rPr>
                <w:rFonts w:ascii="Arial" w:hAnsi="Arial" w:cs="Arial"/>
                <w:b/>
                <w:sz w:val="20"/>
              </w:rPr>
              <w:t>INR Lacs</w:t>
            </w:r>
          </w:p>
        </w:tc>
      </w:tr>
      <w:tr w:rsidR="007D7F24" w:rsidRPr="00E70587" w14:paraId="002C22B6" w14:textId="77777777" w:rsidTr="007D7F24">
        <w:tc>
          <w:tcPr>
            <w:tcW w:w="0" w:type="auto"/>
            <w:tcBorders>
              <w:top w:val="nil"/>
              <w:left w:val="nil"/>
              <w:bottom w:val="nil"/>
              <w:right w:val="nil"/>
            </w:tcBorders>
            <w:noWrap/>
            <w:hideMark/>
          </w:tcPr>
          <w:p w14:paraId="1A6E8226" w14:textId="15E5226B" w:rsidR="007D7F24" w:rsidRPr="00E70587" w:rsidRDefault="007D7F24" w:rsidP="009901E1">
            <w:pPr>
              <w:spacing w:line="280" w:lineRule="exact"/>
              <w:rPr>
                <w:rFonts w:ascii="Arial" w:hAnsi="Arial" w:cs="Arial"/>
                <w:b/>
                <w:bCs/>
                <w:sz w:val="20"/>
              </w:rPr>
            </w:pPr>
            <w:r w:rsidRPr="00E70587">
              <w:rPr>
                <w:rFonts w:ascii="Arial" w:hAnsi="Arial" w:cs="Arial"/>
                <w:b/>
                <w:sz w:val="20"/>
              </w:rPr>
              <w:t xml:space="preserve">Opening balance as at 1 April </w:t>
            </w:r>
            <w:r w:rsidR="00B47CAC" w:rsidRPr="00E70587">
              <w:rPr>
                <w:rFonts w:ascii="Arial" w:hAnsi="Arial" w:cs="Arial"/>
                <w:b/>
                <w:sz w:val="20"/>
              </w:rPr>
              <w:t>201</w:t>
            </w:r>
            <w:r w:rsidR="00B47CAC">
              <w:rPr>
                <w:rFonts w:ascii="Arial" w:hAnsi="Arial" w:cs="Arial"/>
                <w:b/>
                <w:sz w:val="20"/>
              </w:rPr>
              <w:t>9</w:t>
            </w:r>
          </w:p>
        </w:tc>
        <w:tc>
          <w:tcPr>
            <w:tcW w:w="0" w:type="auto"/>
            <w:tcBorders>
              <w:top w:val="nil"/>
              <w:left w:val="nil"/>
              <w:bottom w:val="nil"/>
              <w:right w:val="nil"/>
            </w:tcBorders>
            <w:noWrap/>
            <w:hideMark/>
          </w:tcPr>
          <w:p w14:paraId="1C839D09" w14:textId="77777777" w:rsidR="007D7F24" w:rsidRPr="00E70587" w:rsidRDefault="00BE51A8" w:rsidP="00BE51A8">
            <w:pPr>
              <w:spacing w:line="280" w:lineRule="exact"/>
              <w:jc w:val="right"/>
              <w:rPr>
                <w:rFonts w:ascii="Arial" w:hAnsi="Arial" w:cs="Arial"/>
                <w:b/>
                <w:sz w:val="20"/>
              </w:rPr>
            </w:pPr>
            <w:r w:rsidRPr="00E70587">
              <w:rPr>
                <w:rFonts w:ascii="Arial" w:hAnsi="Arial" w:cs="Arial"/>
                <w:sz w:val="20"/>
              </w:rPr>
              <w:t>914</w:t>
            </w:r>
          </w:p>
        </w:tc>
      </w:tr>
      <w:tr w:rsidR="007D7F24" w:rsidRPr="00E70587" w14:paraId="630621CB" w14:textId="77777777" w:rsidTr="007D7F24">
        <w:tc>
          <w:tcPr>
            <w:tcW w:w="0" w:type="auto"/>
            <w:tcBorders>
              <w:top w:val="nil"/>
              <w:left w:val="nil"/>
              <w:bottom w:val="nil"/>
              <w:right w:val="nil"/>
            </w:tcBorders>
            <w:hideMark/>
          </w:tcPr>
          <w:p w14:paraId="383C5BB0" w14:textId="77777777" w:rsidR="007D7F24" w:rsidRPr="00E70587" w:rsidRDefault="007D7F24" w:rsidP="009901E1">
            <w:pPr>
              <w:pStyle w:val="tabletext"/>
              <w:spacing w:line="280" w:lineRule="exact"/>
              <w:rPr>
                <w:rFonts w:ascii="Arial" w:hAnsi="Arial" w:cs="Arial"/>
                <w:sz w:val="20"/>
                <w:lang w:val="en-IN"/>
              </w:rPr>
            </w:pPr>
            <w:r w:rsidRPr="00E70587">
              <w:rPr>
                <w:rFonts w:ascii="Arial" w:hAnsi="Arial" w:cs="Arial"/>
                <w:sz w:val="20"/>
                <w:lang w:val="en-IN"/>
              </w:rPr>
              <w:t>Sales</w:t>
            </w:r>
          </w:p>
        </w:tc>
        <w:tc>
          <w:tcPr>
            <w:tcW w:w="0" w:type="auto"/>
            <w:tcBorders>
              <w:top w:val="nil"/>
              <w:left w:val="nil"/>
              <w:bottom w:val="nil"/>
              <w:right w:val="nil"/>
            </w:tcBorders>
            <w:noWrap/>
            <w:hideMark/>
          </w:tcPr>
          <w:p w14:paraId="7E9631EC" w14:textId="77777777" w:rsidR="007D7F24" w:rsidRPr="00E70587" w:rsidRDefault="007D7F24" w:rsidP="009901E1">
            <w:pPr>
              <w:pStyle w:val="tabletext"/>
              <w:spacing w:line="280" w:lineRule="exact"/>
              <w:jc w:val="right"/>
              <w:rPr>
                <w:rFonts w:ascii="Arial" w:hAnsi="Arial" w:cs="Arial"/>
                <w:sz w:val="20"/>
                <w:lang w:val="en-IN"/>
              </w:rPr>
            </w:pPr>
            <w:r w:rsidRPr="00E70587">
              <w:rPr>
                <w:rFonts w:ascii="Arial" w:hAnsi="Arial" w:cs="Arial"/>
                <w:sz w:val="20"/>
                <w:lang w:val="en-IN"/>
              </w:rPr>
              <w:t>—</w:t>
            </w:r>
          </w:p>
        </w:tc>
      </w:tr>
      <w:tr w:rsidR="007D7F24" w:rsidRPr="00E70587" w14:paraId="168FC372" w14:textId="77777777" w:rsidTr="007D7F24">
        <w:tc>
          <w:tcPr>
            <w:tcW w:w="0" w:type="auto"/>
            <w:tcBorders>
              <w:top w:val="nil"/>
              <w:left w:val="nil"/>
              <w:bottom w:val="nil"/>
              <w:right w:val="nil"/>
            </w:tcBorders>
            <w:hideMark/>
          </w:tcPr>
          <w:p w14:paraId="7D4B5AB5" w14:textId="77777777" w:rsidR="007D7F24" w:rsidRPr="00E70587" w:rsidRDefault="007D7F24" w:rsidP="009901E1">
            <w:pPr>
              <w:pStyle w:val="tabletext"/>
              <w:spacing w:line="280" w:lineRule="exact"/>
              <w:rPr>
                <w:rFonts w:ascii="Arial" w:hAnsi="Arial" w:cs="Arial"/>
                <w:sz w:val="20"/>
                <w:lang w:val="en-IN"/>
              </w:rPr>
            </w:pPr>
            <w:r w:rsidRPr="00E70587">
              <w:rPr>
                <w:rFonts w:ascii="Arial" w:hAnsi="Arial" w:cs="Arial"/>
                <w:sz w:val="20"/>
                <w:lang w:val="en-IN"/>
              </w:rPr>
              <w:t>Purchases</w:t>
            </w:r>
          </w:p>
        </w:tc>
        <w:tc>
          <w:tcPr>
            <w:tcW w:w="0" w:type="auto"/>
            <w:tcBorders>
              <w:top w:val="nil"/>
              <w:left w:val="nil"/>
              <w:bottom w:val="nil"/>
              <w:right w:val="nil"/>
            </w:tcBorders>
            <w:noWrap/>
            <w:hideMark/>
          </w:tcPr>
          <w:p w14:paraId="4EE3DC85" w14:textId="77777777" w:rsidR="007D7F24" w:rsidRPr="00E70587" w:rsidRDefault="007D7F24" w:rsidP="009901E1">
            <w:pPr>
              <w:pStyle w:val="tabletext"/>
              <w:spacing w:line="280" w:lineRule="exact"/>
              <w:jc w:val="right"/>
              <w:rPr>
                <w:rFonts w:ascii="Arial" w:hAnsi="Arial" w:cs="Arial"/>
                <w:sz w:val="20"/>
                <w:lang w:val="en-IN"/>
              </w:rPr>
            </w:pPr>
            <w:r w:rsidRPr="00E70587">
              <w:rPr>
                <w:rFonts w:ascii="Arial" w:hAnsi="Arial" w:cs="Arial"/>
                <w:sz w:val="20"/>
                <w:lang w:val="en-IN"/>
              </w:rPr>
              <w:t>—</w:t>
            </w:r>
          </w:p>
        </w:tc>
      </w:tr>
      <w:tr w:rsidR="007D7F24" w:rsidRPr="00E70587" w14:paraId="0982E9C0" w14:textId="77777777" w:rsidTr="007D7F24">
        <w:tc>
          <w:tcPr>
            <w:tcW w:w="0" w:type="auto"/>
            <w:tcBorders>
              <w:top w:val="nil"/>
              <w:left w:val="nil"/>
              <w:bottom w:val="nil"/>
              <w:right w:val="nil"/>
            </w:tcBorders>
            <w:shd w:val="clear" w:color="auto" w:fill="auto"/>
            <w:hideMark/>
          </w:tcPr>
          <w:p w14:paraId="244999D3" w14:textId="77777777" w:rsidR="007D7F24" w:rsidRPr="00E70587" w:rsidRDefault="007D7F24" w:rsidP="009901E1">
            <w:pPr>
              <w:pStyle w:val="tabletext"/>
              <w:spacing w:line="280" w:lineRule="exact"/>
              <w:rPr>
                <w:rFonts w:ascii="Arial" w:hAnsi="Arial" w:cs="Arial"/>
                <w:sz w:val="20"/>
                <w:lang w:val="en-IN"/>
              </w:rPr>
            </w:pPr>
            <w:r w:rsidRPr="00E70587">
              <w:rPr>
                <w:rFonts w:ascii="Arial" w:hAnsi="Arial" w:cs="Arial"/>
                <w:sz w:val="20"/>
                <w:lang w:val="en-IN"/>
              </w:rPr>
              <w:t>Total gains and losses recognised in OCI</w:t>
            </w:r>
          </w:p>
        </w:tc>
        <w:tc>
          <w:tcPr>
            <w:tcW w:w="0" w:type="auto"/>
            <w:tcBorders>
              <w:top w:val="nil"/>
              <w:left w:val="nil"/>
              <w:bottom w:val="nil"/>
              <w:right w:val="nil"/>
            </w:tcBorders>
            <w:shd w:val="clear" w:color="auto" w:fill="auto"/>
            <w:noWrap/>
            <w:hideMark/>
          </w:tcPr>
          <w:p w14:paraId="369EE9FA" w14:textId="77777777" w:rsidR="007D7F24" w:rsidRPr="00E70587" w:rsidRDefault="00BE51A8" w:rsidP="009901E1">
            <w:pPr>
              <w:pStyle w:val="tabletext"/>
              <w:spacing w:line="280" w:lineRule="exact"/>
              <w:jc w:val="right"/>
              <w:rPr>
                <w:rFonts w:ascii="Arial" w:hAnsi="Arial" w:cs="Arial"/>
                <w:sz w:val="20"/>
                <w:lang w:val="en-IN"/>
              </w:rPr>
            </w:pPr>
            <w:r w:rsidRPr="00E70587">
              <w:rPr>
                <w:rFonts w:ascii="Arial" w:hAnsi="Arial" w:cs="Arial"/>
                <w:sz w:val="20"/>
                <w:lang w:val="en-IN"/>
              </w:rPr>
              <w:t>-</w:t>
            </w:r>
          </w:p>
        </w:tc>
      </w:tr>
      <w:tr w:rsidR="007D7F24" w:rsidRPr="00E70587" w14:paraId="2F8D3FD0" w14:textId="77777777" w:rsidTr="007D7F24">
        <w:tc>
          <w:tcPr>
            <w:tcW w:w="0" w:type="auto"/>
            <w:tcBorders>
              <w:top w:val="nil"/>
              <w:left w:val="nil"/>
              <w:bottom w:val="nil"/>
              <w:right w:val="nil"/>
            </w:tcBorders>
            <w:hideMark/>
          </w:tcPr>
          <w:p w14:paraId="7E4E1AA0" w14:textId="7FB2C462" w:rsidR="007D7F24" w:rsidRPr="00E70587" w:rsidRDefault="007D7F24" w:rsidP="009901E1">
            <w:pPr>
              <w:pStyle w:val="tabletext"/>
              <w:spacing w:line="280" w:lineRule="exact"/>
              <w:rPr>
                <w:rFonts w:ascii="Arial" w:hAnsi="Arial" w:cs="Arial"/>
                <w:b/>
                <w:sz w:val="20"/>
                <w:lang w:val="en-IN"/>
              </w:rPr>
            </w:pPr>
            <w:r w:rsidRPr="00E70587">
              <w:rPr>
                <w:rFonts w:ascii="Arial" w:hAnsi="Arial" w:cs="Arial"/>
                <w:b/>
                <w:sz w:val="20"/>
                <w:lang w:val="en-IN"/>
              </w:rPr>
              <w:t xml:space="preserve">Opening balance as at 1 April </w:t>
            </w:r>
            <w:r w:rsidR="00B47CAC" w:rsidRPr="00E70587">
              <w:rPr>
                <w:rFonts w:ascii="Arial" w:hAnsi="Arial" w:cs="Arial"/>
                <w:b/>
                <w:sz w:val="20"/>
                <w:lang w:val="en-IN"/>
              </w:rPr>
              <w:t>20</w:t>
            </w:r>
            <w:r w:rsidR="00B47CAC">
              <w:rPr>
                <w:rFonts w:ascii="Arial" w:hAnsi="Arial" w:cs="Arial"/>
                <w:b/>
                <w:sz w:val="20"/>
                <w:lang w:val="en-IN"/>
              </w:rPr>
              <w:t>20</w:t>
            </w:r>
            <w:r w:rsidR="00B47CAC" w:rsidRPr="00E70587">
              <w:rPr>
                <w:rFonts w:ascii="Arial" w:hAnsi="Arial" w:cs="Arial"/>
                <w:b/>
                <w:sz w:val="20"/>
                <w:lang w:val="en-IN"/>
              </w:rPr>
              <w:t xml:space="preserve"> </w:t>
            </w:r>
            <w:r w:rsidRPr="00E70587">
              <w:rPr>
                <w:rFonts w:ascii="Arial" w:hAnsi="Arial" w:cs="Arial"/>
                <w:b/>
                <w:sz w:val="20"/>
                <w:lang w:val="en-IN"/>
              </w:rPr>
              <w:t xml:space="preserve">and 1 October </w:t>
            </w:r>
            <w:r w:rsidR="00B47CAC" w:rsidRPr="00E70587">
              <w:rPr>
                <w:rFonts w:ascii="Arial" w:hAnsi="Arial" w:cs="Arial"/>
                <w:b/>
                <w:sz w:val="20"/>
                <w:lang w:val="en-IN"/>
              </w:rPr>
              <w:t>20</w:t>
            </w:r>
            <w:r w:rsidR="00B47CAC">
              <w:rPr>
                <w:rFonts w:ascii="Arial" w:hAnsi="Arial" w:cs="Arial"/>
                <w:b/>
                <w:sz w:val="20"/>
                <w:lang w:val="en-IN"/>
              </w:rPr>
              <w:t>20</w:t>
            </w:r>
          </w:p>
        </w:tc>
        <w:tc>
          <w:tcPr>
            <w:tcW w:w="0" w:type="auto"/>
            <w:tcBorders>
              <w:top w:val="nil"/>
              <w:left w:val="nil"/>
              <w:bottom w:val="nil"/>
              <w:right w:val="nil"/>
            </w:tcBorders>
            <w:noWrap/>
            <w:hideMark/>
          </w:tcPr>
          <w:p w14:paraId="15606EF4" w14:textId="77777777" w:rsidR="007D7F24" w:rsidRPr="00E70587" w:rsidRDefault="00BE51A8" w:rsidP="00BE51A8">
            <w:pPr>
              <w:pStyle w:val="tabletext"/>
              <w:spacing w:line="280" w:lineRule="exact"/>
              <w:jc w:val="right"/>
              <w:rPr>
                <w:rFonts w:ascii="Arial" w:hAnsi="Arial" w:cs="Arial"/>
                <w:b/>
                <w:sz w:val="20"/>
                <w:lang w:val="en-IN"/>
              </w:rPr>
            </w:pPr>
            <w:r w:rsidRPr="00E70587">
              <w:rPr>
                <w:rFonts w:ascii="Arial" w:hAnsi="Arial" w:cs="Arial"/>
                <w:b/>
                <w:sz w:val="20"/>
                <w:lang w:val="en-IN"/>
              </w:rPr>
              <w:t>914</w:t>
            </w:r>
          </w:p>
        </w:tc>
      </w:tr>
      <w:tr w:rsidR="007D7F24" w:rsidRPr="00E70587" w14:paraId="62B89D98" w14:textId="77777777" w:rsidTr="007D7F24">
        <w:tc>
          <w:tcPr>
            <w:tcW w:w="0" w:type="auto"/>
            <w:tcBorders>
              <w:top w:val="nil"/>
              <w:left w:val="nil"/>
              <w:bottom w:val="nil"/>
              <w:right w:val="nil"/>
            </w:tcBorders>
            <w:hideMark/>
          </w:tcPr>
          <w:p w14:paraId="58D5D8BE" w14:textId="77777777" w:rsidR="007D7F24" w:rsidRPr="00E70587" w:rsidRDefault="007D7F24" w:rsidP="009901E1">
            <w:pPr>
              <w:pStyle w:val="tabletext"/>
              <w:spacing w:line="280" w:lineRule="exact"/>
              <w:rPr>
                <w:rFonts w:ascii="Arial" w:hAnsi="Arial" w:cs="Arial"/>
                <w:sz w:val="20"/>
                <w:lang w:val="en-IN"/>
              </w:rPr>
            </w:pPr>
            <w:r w:rsidRPr="00E70587">
              <w:rPr>
                <w:rFonts w:ascii="Arial" w:hAnsi="Arial" w:cs="Arial"/>
                <w:sz w:val="20"/>
                <w:lang w:val="en-IN"/>
              </w:rPr>
              <w:t>Sales</w:t>
            </w:r>
          </w:p>
        </w:tc>
        <w:tc>
          <w:tcPr>
            <w:tcW w:w="0" w:type="auto"/>
            <w:tcBorders>
              <w:top w:val="nil"/>
              <w:left w:val="nil"/>
              <w:bottom w:val="nil"/>
              <w:right w:val="nil"/>
            </w:tcBorders>
            <w:noWrap/>
            <w:hideMark/>
          </w:tcPr>
          <w:p w14:paraId="1EE8C41F" w14:textId="77777777" w:rsidR="007D7F24" w:rsidRPr="00E70587" w:rsidRDefault="007D7F24" w:rsidP="009901E1">
            <w:pPr>
              <w:pStyle w:val="tabletext"/>
              <w:spacing w:line="280" w:lineRule="exact"/>
              <w:jc w:val="right"/>
              <w:rPr>
                <w:rFonts w:ascii="Arial" w:hAnsi="Arial" w:cs="Arial"/>
                <w:sz w:val="20"/>
                <w:lang w:val="en-IN"/>
              </w:rPr>
            </w:pPr>
            <w:r w:rsidRPr="00E70587">
              <w:rPr>
                <w:rFonts w:ascii="Arial" w:hAnsi="Arial" w:cs="Arial"/>
                <w:sz w:val="20"/>
                <w:lang w:val="en-IN"/>
              </w:rPr>
              <w:t>—</w:t>
            </w:r>
          </w:p>
        </w:tc>
      </w:tr>
      <w:tr w:rsidR="007D7F24" w:rsidRPr="00E70587" w14:paraId="339520EA" w14:textId="77777777" w:rsidTr="007D7F24">
        <w:tc>
          <w:tcPr>
            <w:tcW w:w="0" w:type="auto"/>
            <w:tcBorders>
              <w:top w:val="nil"/>
              <w:left w:val="nil"/>
              <w:bottom w:val="nil"/>
              <w:right w:val="nil"/>
            </w:tcBorders>
            <w:hideMark/>
          </w:tcPr>
          <w:p w14:paraId="5F82C33B" w14:textId="77777777" w:rsidR="007D7F24" w:rsidRPr="00E70587" w:rsidRDefault="007D7F24" w:rsidP="009901E1">
            <w:pPr>
              <w:pStyle w:val="tabletext"/>
              <w:spacing w:line="280" w:lineRule="exact"/>
              <w:rPr>
                <w:rFonts w:ascii="Arial" w:hAnsi="Arial" w:cs="Arial"/>
                <w:sz w:val="20"/>
                <w:lang w:val="en-IN"/>
              </w:rPr>
            </w:pPr>
            <w:r w:rsidRPr="00E70587">
              <w:rPr>
                <w:rFonts w:ascii="Arial" w:hAnsi="Arial" w:cs="Arial"/>
                <w:sz w:val="20"/>
                <w:lang w:val="en-IN"/>
              </w:rPr>
              <w:t>Purchases</w:t>
            </w:r>
          </w:p>
        </w:tc>
        <w:tc>
          <w:tcPr>
            <w:tcW w:w="0" w:type="auto"/>
            <w:tcBorders>
              <w:top w:val="nil"/>
              <w:left w:val="nil"/>
              <w:bottom w:val="nil"/>
              <w:right w:val="nil"/>
            </w:tcBorders>
            <w:noWrap/>
            <w:hideMark/>
          </w:tcPr>
          <w:p w14:paraId="3688A7AB" w14:textId="77777777" w:rsidR="007D7F24" w:rsidRPr="00E70587" w:rsidRDefault="007D7F24" w:rsidP="009901E1">
            <w:pPr>
              <w:pStyle w:val="tabletext"/>
              <w:spacing w:line="280" w:lineRule="exact"/>
              <w:jc w:val="right"/>
              <w:rPr>
                <w:rFonts w:ascii="Arial" w:hAnsi="Arial" w:cs="Arial"/>
                <w:sz w:val="20"/>
                <w:lang w:val="en-IN"/>
              </w:rPr>
            </w:pPr>
            <w:r w:rsidRPr="00E70587">
              <w:rPr>
                <w:rFonts w:ascii="Arial" w:hAnsi="Arial" w:cs="Arial"/>
                <w:sz w:val="20"/>
                <w:lang w:val="en-IN"/>
              </w:rPr>
              <w:t>—</w:t>
            </w:r>
          </w:p>
        </w:tc>
      </w:tr>
      <w:tr w:rsidR="007D7F24" w:rsidRPr="00E70587" w14:paraId="29A03988" w14:textId="77777777" w:rsidTr="007D7F24">
        <w:tc>
          <w:tcPr>
            <w:tcW w:w="0" w:type="auto"/>
            <w:tcBorders>
              <w:top w:val="nil"/>
              <w:left w:val="nil"/>
              <w:bottom w:val="nil"/>
              <w:right w:val="nil"/>
            </w:tcBorders>
            <w:shd w:val="clear" w:color="auto" w:fill="auto"/>
            <w:hideMark/>
          </w:tcPr>
          <w:p w14:paraId="7B1C8A05" w14:textId="77777777" w:rsidR="007D7F24" w:rsidRPr="00E70587" w:rsidRDefault="007D7F24" w:rsidP="009901E1">
            <w:pPr>
              <w:pStyle w:val="tabletext"/>
              <w:spacing w:line="280" w:lineRule="exact"/>
              <w:rPr>
                <w:rFonts w:ascii="Arial" w:hAnsi="Arial" w:cs="Arial"/>
                <w:sz w:val="20"/>
                <w:lang w:val="en-IN"/>
              </w:rPr>
            </w:pPr>
            <w:r w:rsidRPr="00E70587">
              <w:rPr>
                <w:rFonts w:ascii="Arial" w:hAnsi="Arial" w:cs="Arial"/>
                <w:sz w:val="20"/>
                <w:lang w:val="en-IN"/>
              </w:rPr>
              <w:t>Total gains and losses recognised in OCI</w:t>
            </w:r>
          </w:p>
        </w:tc>
        <w:tc>
          <w:tcPr>
            <w:tcW w:w="0" w:type="auto"/>
            <w:tcBorders>
              <w:top w:val="nil"/>
              <w:left w:val="nil"/>
              <w:bottom w:val="nil"/>
              <w:right w:val="nil"/>
            </w:tcBorders>
            <w:shd w:val="clear" w:color="auto" w:fill="auto"/>
            <w:noWrap/>
            <w:hideMark/>
          </w:tcPr>
          <w:p w14:paraId="10E7D9EE" w14:textId="77777777" w:rsidR="007D7F24" w:rsidRPr="00E70587" w:rsidRDefault="007D7F24" w:rsidP="009901E1">
            <w:pPr>
              <w:pStyle w:val="tabletext"/>
              <w:spacing w:line="280" w:lineRule="exact"/>
              <w:jc w:val="right"/>
              <w:rPr>
                <w:rFonts w:ascii="Arial" w:hAnsi="Arial" w:cs="Arial"/>
                <w:sz w:val="20"/>
                <w:lang w:val="en-IN"/>
              </w:rPr>
            </w:pPr>
            <w:r w:rsidRPr="00E70587">
              <w:rPr>
                <w:rFonts w:ascii="Arial" w:hAnsi="Arial" w:cs="Arial"/>
                <w:sz w:val="20"/>
                <w:lang w:val="en-IN"/>
              </w:rPr>
              <w:t>—</w:t>
            </w:r>
          </w:p>
        </w:tc>
      </w:tr>
      <w:tr w:rsidR="007D7F24" w:rsidRPr="00E70587" w14:paraId="2C254C23" w14:textId="77777777" w:rsidTr="007D7F24">
        <w:tc>
          <w:tcPr>
            <w:tcW w:w="0" w:type="auto"/>
            <w:tcBorders>
              <w:top w:val="nil"/>
              <w:left w:val="nil"/>
              <w:bottom w:val="nil"/>
              <w:right w:val="nil"/>
            </w:tcBorders>
            <w:noWrap/>
            <w:vAlign w:val="center"/>
            <w:hideMark/>
          </w:tcPr>
          <w:p w14:paraId="02CBE77C" w14:textId="0824E275" w:rsidR="007D7F24" w:rsidRPr="00E70587" w:rsidRDefault="007D7F24" w:rsidP="009901E1">
            <w:pPr>
              <w:pStyle w:val="tabletext"/>
              <w:spacing w:line="280" w:lineRule="exact"/>
              <w:rPr>
                <w:rFonts w:ascii="Arial" w:hAnsi="Arial" w:cs="Arial"/>
                <w:b/>
                <w:sz w:val="20"/>
                <w:lang w:val="en-IN"/>
              </w:rPr>
            </w:pPr>
            <w:r w:rsidRPr="00E70587">
              <w:rPr>
                <w:rFonts w:ascii="Arial" w:hAnsi="Arial" w:cs="Arial"/>
                <w:b/>
                <w:sz w:val="20"/>
                <w:lang w:val="en-IN"/>
              </w:rPr>
              <w:t xml:space="preserve">Closing balance as at 31 </w:t>
            </w:r>
            <w:r w:rsidR="00E1202D" w:rsidRPr="00E70587">
              <w:rPr>
                <w:rFonts w:ascii="Arial" w:hAnsi="Arial" w:cs="Arial"/>
                <w:b/>
                <w:sz w:val="20"/>
                <w:lang w:val="en-IN"/>
              </w:rPr>
              <w:t xml:space="preserve">March </w:t>
            </w:r>
            <w:r w:rsidR="00B47CAC" w:rsidRPr="00E70587">
              <w:rPr>
                <w:rFonts w:ascii="Arial" w:hAnsi="Arial" w:cs="Arial"/>
                <w:b/>
                <w:sz w:val="20"/>
                <w:lang w:val="en-IN"/>
              </w:rPr>
              <w:t>20</w:t>
            </w:r>
            <w:r w:rsidR="00B47CAC">
              <w:rPr>
                <w:rFonts w:ascii="Arial" w:hAnsi="Arial" w:cs="Arial"/>
                <w:b/>
                <w:sz w:val="20"/>
                <w:lang w:val="en-IN"/>
              </w:rPr>
              <w:t>21</w:t>
            </w:r>
          </w:p>
        </w:tc>
        <w:tc>
          <w:tcPr>
            <w:tcW w:w="0" w:type="auto"/>
            <w:tcBorders>
              <w:top w:val="nil"/>
              <w:left w:val="nil"/>
              <w:bottom w:val="nil"/>
              <w:right w:val="nil"/>
            </w:tcBorders>
            <w:noWrap/>
            <w:vAlign w:val="center"/>
            <w:hideMark/>
          </w:tcPr>
          <w:p w14:paraId="637C21B0" w14:textId="77777777" w:rsidR="007D7F24" w:rsidRPr="00E70587" w:rsidRDefault="00BE51A8" w:rsidP="00BE51A8">
            <w:pPr>
              <w:pStyle w:val="tabletext"/>
              <w:spacing w:line="280" w:lineRule="exact"/>
              <w:jc w:val="right"/>
              <w:rPr>
                <w:rFonts w:ascii="Arial" w:hAnsi="Arial" w:cs="Arial"/>
                <w:b/>
                <w:sz w:val="20"/>
                <w:lang w:val="en-IN"/>
              </w:rPr>
            </w:pPr>
            <w:r w:rsidRPr="00E70587">
              <w:rPr>
                <w:rFonts w:ascii="Arial" w:hAnsi="Arial" w:cs="Arial"/>
                <w:b/>
                <w:sz w:val="20"/>
                <w:lang w:val="en-IN"/>
              </w:rPr>
              <w:t>914</w:t>
            </w:r>
          </w:p>
        </w:tc>
      </w:tr>
    </w:tbl>
    <w:p w14:paraId="2DE6941D" w14:textId="77777777" w:rsidR="0046059F" w:rsidRPr="00E70587" w:rsidRDefault="0046059F" w:rsidP="007D7F24">
      <w:pPr>
        <w:pStyle w:val="IAStext"/>
        <w:spacing w:line="280" w:lineRule="exact"/>
        <w:jc w:val="both"/>
        <w:rPr>
          <w:rFonts w:ascii="Arial" w:hAnsi="Arial" w:cs="Arial"/>
          <w:i w:val="0"/>
          <w:sz w:val="20"/>
          <w:lang w:val="en-IN"/>
        </w:rPr>
      </w:pPr>
    </w:p>
    <w:tbl>
      <w:tblPr>
        <w:tblW w:w="9576" w:type="dxa"/>
        <w:tblLook w:val="0000" w:firstRow="0" w:lastRow="0" w:firstColumn="0" w:lastColumn="0" w:noHBand="0" w:noVBand="0"/>
      </w:tblPr>
      <w:tblGrid>
        <w:gridCol w:w="9576"/>
      </w:tblGrid>
      <w:tr w:rsidR="00F375C7" w:rsidRPr="00E70587" w14:paraId="1D88B247" w14:textId="77777777" w:rsidTr="00063B18">
        <w:tc>
          <w:tcPr>
            <w:tcW w:w="0" w:type="auto"/>
            <w:tcBorders>
              <w:bottom w:val="single" w:sz="4" w:space="0" w:color="auto"/>
            </w:tcBorders>
          </w:tcPr>
          <w:p w14:paraId="01CCD543" w14:textId="32BBED75" w:rsidR="00063B18" w:rsidRPr="00E70587" w:rsidRDefault="00F375C7" w:rsidP="00077540">
            <w:pPr>
              <w:pStyle w:val="Commentarybody"/>
              <w:spacing w:after="0" w:line="280" w:lineRule="exact"/>
              <w:ind w:right="30"/>
              <w:jc w:val="both"/>
              <w:rPr>
                <w:rFonts w:ascii="Arial" w:hAnsi="Arial"/>
                <w:sz w:val="20"/>
              </w:rPr>
            </w:pPr>
            <w:r w:rsidRPr="00E70587">
              <w:rPr>
                <w:rFonts w:ascii="Arial" w:hAnsi="Arial"/>
                <w:sz w:val="20"/>
                <w:lang w:val="en-IN"/>
              </w:rPr>
              <w:t>There were no gains or losses recognised in profit or loss or in OCI with respect to these assets.</w:t>
            </w:r>
            <w:r w:rsidR="00063B18" w:rsidRPr="00E70587">
              <w:rPr>
                <w:rFonts w:ascii="Arial" w:hAnsi="Arial"/>
                <w:sz w:val="20"/>
              </w:rPr>
              <w:t xml:space="preserve"> Furthermore, the Group did not recognise any gain or loss in OCI, as the valuation of the equity</w:t>
            </w:r>
            <w:r w:rsidR="001B5D48" w:rsidRPr="00E70587">
              <w:rPr>
                <w:rFonts w:ascii="Arial" w:hAnsi="Arial"/>
                <w:sz w:val="20"/>
              </w:rPr>
              <w:t xml:space="preserve"> instrument as of 31 March, </w:t>
            </w:r>
            <w:r w:rsidR="00203CD4" w:rsidRPr="00E70587">
              <w:rPr>
                <w:rFonts w:ascii="Arial" w:hAnsi="Arial"/>
                <w:sz w:val="20"/>
              </w:rPr>
              <w:t>20</w:t>
            </w:r>
            <w:r w:rsidR="00203CD4">
              <w:rPr>
                <w:rFonts w:ascii="Arial" w:hAnsi="Arial"/>
                <w:sz w:val="20"/>
              </w:rPr>
              <w:t>21</w:t>
            </w:r>
            <w:r w:rsidR="00203CD4" w:rsidRPr="00E70587">
              <w:rPr>
                <w:rFonts w:ascii="Arial" w:hAnsi="Arial"/>
                <w:sz w:val="20"/>
              </w:rPr>
              <w:t xml:space="preserve"> </w:t>
            </w:r>
            <w:r w:rsidR="00063B18" w:rsidRPr="00E70587">
              <w:rPr>
                <w:rFonts w:ascii="Arial" w:hAnsi="Arial"/>
                <w:sz w:val="20"/>
              </w:rPr>
              <w:t>did not differ significantly from last year’s valuation.</w:t>
            </w:r>
          </w:p>
          <w:p w14:paraId="2A1E0BB6" w14:textId="77777777" w:rsidR="00FD2D3F" w:rsidRPr="00E70587" w:rsidRDefault="00FD2D3F" w:rsidP="00077540">
            <w:pPr>
              <w:pStyle w:val="Commentarybody"/>
              <w:spacing w:after="0" w:line="280" w:lineRule="exact"/>
              <w:ind w:right="30"/>
              <w:rPr>
                <w:rFonts w:ascii="Arial" w:hAnsi="Arial"/>
                <w:sz w:val="20"/>
                <w:lang w:val="en-IN"/>
              </w:rPr>
            </w:pPr>
          </w:p>
          <w:p w14:paraId="5DB40A94" w14:textId="77777777" w:rsidR="00F375C7" w:rsidRPr="00E70587" w:rsidRDefault="00F375C7" w:rsidP="00077540">
            <w:pPr>
              <w:pStyle w:val="IAStext"/>
              <w:spacing w:line="280" w:lineRule="exact"/>
              <w:rPr>
                <w:rFonts w:ascii="Arial" w:hAnsi="Arial" w:cs="Arial"/>
                <w:i w:val="0"/>
                <w:sz w:val="20"/>
                <w:lang w:val="en-IN"/>
              </w:rPr>
            </w:pPr>
            <w:r w:rsidRPr="00E70587">
              <w:rPr>
                <w:rFonts w:ascii="Arial" w:hAnsi="Arial" w:cs="Arial"/>
                <w:i w:val="0"/>
                <w:sz w:val="20"/>
                <w:lang w:val="en-IN"/>
              </w:rPr>
              <w:t>Refer to Note 48 for details on the nature and extent of risks arising from financial instruments</w:t>
            </w:r>
          </w:p>
          <w:p w14:paraId="5F06A8DB" w14:textId="77777777" w:rsidR="00077540" w:rsidRPr="00E70587" w:rsidRDefault="00077540" w:rsidP="00077540"/>
        </w:tc>
      </w:tr>
      <w:tr w:rsidR="00063B18" w:rsidRPr="00E70587" w14:paraId="65B62AE3" w14:textId="77777777" w:rsidTr="00077540">
        <w:tc>
          <w:tcPr>
            <w:tcW w:w="0" w:type="auto"/>
            <w:tcBorders>
              <w:top w:val="single" w:sz="4" w:space="0" w:color="auto"/>
              <w:left w:val="single" w:sz="4" w:space="0" w:color="auto"/>
              <w:bottom w:val="single" w:sz="4" w:space="0" w:color="auto"/>
              <w:right w:val="single" w:sz="4" w:space="0" w:color="auto"/>
            </w:tcBorders>
            <w:shd w:val="clear" w:color="auto" w:fill="E0E0E0" w:themeFill="background2" w:themeFillTint="33"/>
          </w:tcPr>
          <w:p w14:paraId="202C03AB" w14:textId="77777777" w:rsidR="00063B18" w:rsidRPr="00E70587" w:rsidRDefault="00063B18" w:rsidP="00077540">
            <w:pPr>
              <w:spacing w:line="280" w:lineRule="exact"/>
              <w:rPr>
                <w:rFonts w:ascii="Arial" w:hAnsi="Arial" w:cs="Arial"/>
                <w:b/>
                <w:sz w:val="20"/>
              </w:rPr>
            </w:pPr>
            <w:r w:rsidRPr="00E70587">
              <w:rPr>
                <w:rFonts w:ascii="Arial" w:hAnsi="Arial" w:cs="Arial"/>
                <w:b/>
                <w:sz w:val="20"/>
              </w:rPr>
              <w:t>Commentary</w:t>
            </w:r>
          </w:p>
          <w:p w14:paraId="53958199" w14:textId="77777777" w:rsidR="00077540" w:rsidRPr="00E70587" w:rsidRDefault="00077540" w:rsidP="00077540">
            <w:pPr>
              <w:spacing w:line="280" w:lineRule="exact"/>
              <w:rPr>
                <w:rFonts w:ascii="Arial" w:hAnsi="Arial" w:cs="Arial"/>
                <w:b/>
                <w:sz w:val="20"/>
              </w:rPr>
            </w:pPr>
          </w:p>
          <w:p w14:paraId="2999B98D" w14:textId="77777777" w:rsidR="00063B18" w:rsidRPr="00E70587" w:rsidRDefault="00063B18" w:rsidP="00077540">
            <w:pPr>
              <w:pStyle w:val="Commentarybody"/>
              <w:spacing w:after="0" w:line="280" w:lineRule="exact"/>
              <w:ind w:right="30"/>
              <w:rPr>
                <w:rFonts w:ascii="Arial" w:hAnsi="Arial"/>
                <w:sz w:val="20"/>
              </w:rPr>
            </w:pPr>
            <w:r w:rsidRPr="00E70587">
              <w:rPr>
                <w:rFonts w:ascii="Arial" w:hAnsi="Arial"/>
                <w:sz w:val="20"/>
              </w:rPr>
              <w:lastRenderedPageBreak/>
              <w:t>Ind AS 105.5B clarifies that disclosure requirements in other Ind ASs do not apply to non-current assets held for sale (or disposal groups) unless those Ind ASs explicitly refer to these assets and disposal groups. However, Ind AS 105.5B(b) states that disclosure requirements continue to apply for assets and liabilities that are not within the scope of the measurement requirements of Ind AS 105, but within the disposal group. The illustration above reflects this circumstance, as the unquoted equity instrument is a financial instrument as defined in Ind AS 109 and is, therefore, scoped out of the measurement requirements of Ind AS 105.</w:t>
            </w:r>
          </w:p>
          <w:p w14:paraId="09703071" w14:textId="77777777" w:rsidR="00077540" w:rsidRPr="00E70587" w:rsidRDefault="00077540" w:rsidP="00077540">
            <w:pPr>
              <w:pStyle w:val="Commentarybody"/>
              <w:spacing w:after="0" w:line="280" w:lineRule="exact"/>
              <w:ind w:right="30"/>
              <w:rPr>
                <w:rFonts w:ascii="Arial" w:hAnsi="Arial"/>
                <w:sz w:val="20"/>
              </w:rPr>
            </w:pPr>
          </w:p>
          <w:p w14:paraId="2FFF06D7" w14:textId="0569CDFB" w:rsidR="00063B18" w:rsidRPr="00E70587" w:rsidRDefault="00063B18" w:rsidP="00077540">
            <w:pPr>
              <w:pStyle w:val="Commentarybody"/>
              <w:spacing w:after="0" w:line="280" w:lineRule="exact"/>
              <w:ind w:right="30"/>
              <w:rPr>
                <w:rFonts w:ascii="Arial" w:hAnsi="Arial"/>
                <w:i/>
                <w:sz w:val="20"/>
                <w:lang w:val="en-IN"/>
              </w:rPr>
            </w:pPr>
            <w:r w:rsidRPr="00E70587">
              <w:rPr>
                <w:rFonts w:ascii="Arial" w:hAnsi="Arial"/>
                <w:sz w:val="20"/>
              </w:rPr>
              <w:t>Whilst, the assets of discontinuing operations are non-recurring under Ind AS 113.93(a), financial assets of the discontinuing operations are recurring since they are required to be measured at fair value at the end of each reporting period</w:t>
            </w:r>
          </w:p>
        </w:tc>
      </w:tr>
    </w:tbl>
    <w:p w14:paraId="18983CEE" w14:textId="2C1C7A3C" w:rsidR="00310DB8" w:rsidRDefault="00310DB8" w:rsidP="007D7F24">
      <w:pPr>
        <w:pStyle w:val="IAStext"/>
        <w:spacing w:line="280" w:lineRule="exact"/>
        <w:jc w:val="both"/>
        <w:rPr>
          <w:rFonts w:ascii="Arial" w:hAnsi="Arial" w:cs="Arial"/>
          <w:i w:val="0"/>
          <w:sz w:val="20"/>
          <w:lang w:val="en-IN"/>
        </w:rPr>
      </w:pPr>
    </w:p>
    <w:p w14:paraId="5B8A0BD0" w14:textId="77777777" w:rsidR="0017026A" w:rsidRPr="0017026A" w:rsidRDefault="0017026A" w:rsidP="0017026A"/>
    <w:p w14:paraId="2366309B" w14:textId="77777777" w:rsidR="00BF7DA5" w:rsidRPr="00E70587" w:rsidRDefault="007525A8"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 xml:space="preserve">Revenue from </w:t>
      </w:r>
      <w:r w:rsidR="00063B18" w:rsidRPr="00E70587">
        <w:rPr>
          <w:rFonts w:ascii="Arial" w:hAnsi="Arial" w:cs="Arial"/>
          <w:sz w:val="20"/>
          <w:szCs w:val="20"/>
        </w:rPr>
        <w:t>contract</w:t>
      </w:r>
      <w:r w:rsidR="001B5D48" w:rsidRPr="00E70587">
        <w:rPr>
          <w:rFonts w:ascii="Arial" w:hAnsi="Arial" w:cs="Arial"/>
          <w:sz w:val="20"/>
          <w:szCs w:val="20"/>
        </w:rPr>
        <w:t>s</w:t>
      </w:r>
      <w:r w:rsidR="00063B18" w:rsidRPr="00E70587">
        <w:rPr>
          <w:rFonts w:ascii="Arial" w:hAnsi="Arial" w:cs="Arial"/>
          <w:sz w:val="20"/>
          <w:szCs w:val="20"/>
        </w:rPr>
        <w:t xml:space="preserve"> with customers</w:t>
      </w:r>
    </w:p>
    <w:p w14:paraId="2263825A" w14:textId="77777777" w:rsidR="00A50498" w:rsidRPr="00E70587" w:rsidRDefault="00A50498" w:rsidP="006672D2">
      <w:pPr>
        <w:overflowPunct/>
        <w:autoSpaceDE/>
        <w:autoSpaceDN/>
        <w:adjustRightInd/>
        <w:spacing w:line="280" w:lineRule="exact"/>
        <w:textAlignment w:val="auto"/>
        <w:rPr>
          <w:rFonts w:ascii="Arial" w:hAnsi="Arial" w:cs="Arial"/>
          <w:b/>
          <w:bCs/>
          <w:iCs/>
          <w:sz w:val="20"/>
        </w:rPr>
      </w:pPr>
    </w:p>
    <w:tbl>
      <w:tblPr>
        <w:tblW w:w="9360" w:type="dxa"/>
        <w:tblLayout w:type="fixed"/>
        <w:tblLook w:val="01E0" w:firstRow="1" w:lastRow="1" w:firstColumn="1" w:lastColumn="1" w:noHBand="0" w:noVBand="0"/>
      </w:tblPr>
      <w:tblGrid>
        <w:gridCol w:w="5594"/>
        <w:gridCol w:w="1896"/>
        <w:gridCol w:w="1870"/>
      </w:tblGrid>
      <w:tr w:rsidR="007525A8" w:rsidRPr="00E70587" w14:paraId="466A4ADE" w14:textId="77777777" w:rsidTr="00770F33">
        <w:tc>
          <w:tcPr>
            <w:tcW w:w="5594" w:type="dxa"/>
            <w:shd w:val="clear" w:color="auto" w:fill="auto"/>
          </w:tcPr>
          <w:p w14:paraId="5E8C7A94" w14:textId="77777777" w:rsidR="007525A8" w:rsidRPr="00E70587" w:rsidRDefault="007525A8" w:rsidP="006672D2">
            <w:pPr>
              <w:pStyle w:val="tabletext"/>
              <w:spacing w:line="280" w:lineRule="exact"/>
              <w:rPr>
                <w:rFonts w:ascii="Arial" w:hAnsi="Arial" w:cs="Arial"/>
                <w:sz w:val="20"/>
                <w:lang w:val="en-IN"/>
              </w:rPr>
            </w:pPr>
          </w:p>
        </w:tc>
        <w:tc>
          <w:tcPr>
            <w:tcW w:w="1896" w:type="dxa"/>
            <w:shd w:val="clear" w:color="auto" w:fill="auto"/>
          </w:tcPr>
          <w:p w14:paraId="4E476F55" w14:textId="6E9164DD" w:rsidR="007525A8" w:rsidRPr="00E70587" w:rsidRDefault="007525A8" w:rsidP="006672D2">
            <w:pPr>
              <w:pStyle w:val="tabletext"/>
              <w:spacing w:line="280" w:lineRule="exact"/>
              <w:jc w:val="right"/>
              <w:rPr>
                <w:rFonts w:ascii="Arial" w:hAnsi="Arial" w:cs="Arial"/>
                <w:b/>
                <w:sz w:val="20"/>
                <w:lang w:val="en-IN"/>
              </w:rPr>
            </w:pPr>
            <w:r w:rsidRPr="00E70587">
              <w:rPr>
                <w:rFonts w:ascii="Arial" w:hAnsi="Arial" w:cs="Arial"/>
                <w:b/>
                <w:sz w:val="20"/>
                <w:lang w:val="en-IN"/>
              </w:rPr>
              <w:t xml:space="preserve">31 </w:t>
            </w:r>
            <w:r w:rsidR="00E1202D" w:rsidRPr="00E70587">
              <w:rPr>
                <w:rFonts w:ascii="Arial" w:hAnsi="Arial" w:cs="Arial"/>
                <w:b/>
                <w:sz w:val="20"/>
                <w:lang w:val="en-IN"/>
              </w:rPr>
              <w:t xml:space="preserve">March </w:t>
            </w:r>
            <w:r w:rsidR="00291F60" w:rsidRPr="00E70587">
              <w:rPr>
                <w:rFonts w:ascii="Arial" w:hAnsi="Arial" w:cs="Arial"/>
                <w:b/>
                <w:sz w:val="20"/>
                <w:lang w:val="en-IN"/>
              </w:rPr>
              <w:t>20</w:t>
            </w:r>
            <w:r w:rsidR="00291F60">
              <w:rPr>
                <w:rFonts w:ascii="Arial" w:hAnsi="Arial" w:cs="Arial"/>
                <w:b/>
                <w:sz w:val="20"/>
                <w:lang w:val="en-IN"/>
              </w:rPr>
              <w:t>21</w:t>
            </w:r>
          </w:p>
        </w:tc>
        <w:tc>
          <w:tcPr>
            <w:tcW w:w="1870" w:type="dxa"/>
            <w:shd w:val="clear" w:color="auto" w:fill="auto"/>
            <w:tcMar>
              <w:right w:w="108" w:type="dxa"/>
            </w:tcMar>
          </w:tcPr>
          <w:p w14:paraId="2586FB7A" w14:textId="5AD75770" w:rsidR="007525A8" w:rsidRPr="00E70587" w:rsidRDefault="007525A8" w:rsidP="006672D2">
            <w:pPr>
              <w:spacing w:line="280" w:lineRule="exact"/>
              <w:jc w:val="right"/>
              <w:rPr>
                <w:rFonts w:ascii="Arial" w:hAnsi="Arial" w:cs="Arial"/>
                <w:b/>
                <w:sz w:val="20"/>
              </w:rPr>
            </w:pPr>
            <w:r w:rsidRPr="00E70587">
              <w:rPr>
                <w:rFonts w:ascii="Arial" w:hAnsi="Arial" w:cs="Arial"/>
                <w:b/>
                <w:sz w:val="20"/>
              </w:rPr>
              <w:t xml:space="preserve">31 </w:t>
            </w:r>
            <w:r w:rsidR="008B730E" w:rsidRPr="00E70587">
              <w:rPr>
                <w:rFonts w:ascii="Arial" w:hAnsi="Arial" w:cs="Arial"/>
                <w:b/>
                <w:sz w:val="20"/>
              </w:rPr>
              <w:t xml:space="preserve">March </w:t>
            </w:r>
            <w:r w:rsidR="00291F60" w:rsidRPr="00E70587">
              <w:rPr>
                <w:rFonts w:ascii="Arial" w:hAnsi="Arial" w:cs="Arial"/>
                <w:b/>
                <w:sz w:val="20"/>
              </w:rPr>
              <w:t>20</w:t>
            </w:r>
            <w:r w:rsidR="00291F60">
              <w:rPr>
                <w:rFonts w:ascii="Arial" w:hAnsi="Arial" w:cs="Arial"/>
                <w:b/>
                <w:sz w:val="20"/>
              </w:rPr>
              <w:t>20</w:t>
            </w:r>
          </w:p>
        </w:tc>
      </w:tr>
      <w:tr w:rsidR="007525A8" w:rsidRPr="00E70587" w14:paraId="48A4450C" w14:textId="77777777" w:rsidTr="00770F33">
        <w:tc>
          <w:tcPr>
            <w:tcW w:w="5594" w:type="dxa"/>
            <w:shd w:val="clear" w:color="auto" w:fill="auto"/>
          </w:tcPr>
          <w:p w14:paraId="76C6EE6D" w14:textId="77777777" w:rsidR="007525A8" w:rsidRPr="00E70587" w:rsidRDefault="007525A8" w:rsidP="006672D2">
            <w:pPr>
              <w:pStyle w:val="tabletext"/>
              <w:spacing w:line="280" w:lineRule="exact"/>
              <w:rPr>
                <w:rFonts w:ascii="Arial" w:hAnsi="Arial" w:cs="Arial"/>
                <w:sz w:val="20"/>
                <w:lang w:val="en-IN"/>
              </w:rPr>
            </w:pPr>
          </w:p>
        </w:tc>
        <w:tc>
          <w:tcPr>
            <w:tcW w:w="1896" w:type="dxa"/>
            <w:shd w:val="clear" w:color="auto" w:fill="auto"/>
          </w:tcPr>
          <w:p w14:paraId="48B5CC40" w14:textId="77777777" w:rsidR="007525A8" w:rsidRPr="00E70587" w:rsidRDefault="007525A8" w:rsidP="006672D2">
            <w:pPr>
              <w:pStyle w:val="tabletext"/>
              <w:spacing w:line="280" w:lineRule="exact"/>
              <w:jc w:val="right"/>
              <w:rPr>
                <w:rFonts w:ascii="Arial" w:hAnsi="Arial" w:cs="Arial"/>
                <w:b/>
                <w:sz w:val="20"/>
                <w:lang w:val="en-IN"/>
              </w:rPr>
            </w:pPr>
            <w:r w:rsidRPr="00E70587">
              <w:rPr>
                <w:rFonts w:ascii="Arial" w:hAnsi="Arial" w:cs="Arial"/>
                <w:b/>
                <w:sz w:val="20"/>
                <w:lang w:val="en-IN"/>
              </w:rPr>
              <w:t>INR Lacs</w:t>
            </w:r>
          </w:p>
        </w:tc>
        <w:tc>
          <w:tcPr>
            <w:tcW w:w="1870" w:type="dxa"/>
            <w:shd w:val="clear" w:color="auto" w:fill="auto"/>
            <w:tcMar>
              <w:right w:w="108" w:type="dxa"/>
            </w:tcMar>
          </w:tcPr>
          <w:p w14:paraId="01698873" w14:textId="77777777" w:rsidR="007525A8" w:rsidRPr="00E70587" w:rsidRDefault="007525A8" w:rsidP="006672D2">
            <w:pPr>
              <w:spacing w:line="280" w:lineRule="exact"/>
              <w:jc w:val="right"/>
              <w:rPr>
                <w:rFonts w:ascii="Arial" w:hAnsi="Arial" w:cs="Arial"/>
                <w:b/>
                <w:sz w:val="20"/>
              </w:rPr>
            </w:pPr>
            <w:r w:rsidRPr="00E70587">
              <w:rPr>
                <w:rFonts w:ascii="Arial" w:hAnsi="Arial" w:cs="Arial"/>
                <w:b/>
                <w:sz w:val="20"/>
              </w:rPr>
              <w:t>INR Lacs</w:t>
            </w:r>
          </w:p>
        </w:tc>
      </w:tr>
      <w:tr w:rsidR="000B7A36" w:rsidRPr="00E70587" w14:paraId="4BA38C5F" w14:textId="77777777" w:rsidTr="00770F33">
        <w:tc>
          <w:tcPr>
            <w:tcW w:w="5594" w:type="dxa"/>
            <w:vAlign w:val="center"/>
          </w:tcPr>
          <w:p w14:paraId="60F9A9B6" w14:textId="77777777" w:rsidR="000B7A36" w:rsidRPr="00E70587" w:rsidRDefault="000B7A36" w:rsidP="00705011">
            <w:pPr>
              <w:pStyle w:val="tabletext"/>
              <w:spacing w:line="280" w:lineRule="exact"/>
              <w:jc w:val="both"/>
              <w:rPr>
                <w:rFonts w:ascii="Arial" w:hAnsi="Arial" w:cs="Arial"/>
                <w:b/>
                <w:sz w:val="20"/>
                <w:lang w:val="en-IN"/>
              </w:rPr>
            </w:pPr>
            <w:r w:rsidRPr="00E70587">
              <w:rPr>
                <w:rFonts w:ascii="Arial" w:hAnsi="Arial" w:cs="Arial"/>
                <w:b/>
                <w:sz w:val="20"/>
                <w:lang w:val="en-IN"/>
              </w:rPr>
              <w:t xml:space="preserve">Sale of </w:t>
            </w:r>
            <w:r w:rsidR="002803CC" w:rsidRPr="00E70587">
              <w:rPr>
                <w:rFonts w:ascii="Arial" w:hAnsi="Arial" w:cs="Arial"/>
                <w:b/>
                <w:sz w:val="20"/>
                <w:lang w:val="en-IN"/>
              </w:rPr>
              <w:t xml:space="preserve">products </w:t>
            </w:r>
          </w:p>
        </w:tc>
        <w:tc>
          <w:tcPr>
            <w:tcW w:w="1896" w:type="dxa"/>
            <w:vAlign w:val="bottom"/>
          </w:tcPr>
          <w:p w14:paraId="64F093F1" w14:textId="77777777" w:rsidR="000B7A36" w:rsidRPr="00E70587" w:rsidRDefault="000B7A36" w:rsidP="009A5E2F">
            <w:pPr>
              <w:pStyle w:val="tabletext"/>
              <w:spacing w:line="280" w:lineRule="exact"/>
              <w:jc w:val="right"/>
              <w:rPr>
                <w:rFonts w:ascii="Arial" w:hAnsi="Arial" w:cs="Arial"/>
                <w:b/>
                <w:sz w:val="20"/>
                <w:lang w:val="en-IN"/>
              </w:rPr>
            </w:pPr>
          </w:p>
        </w:tc>
        <w:tc>
          <w:tcPr>
            <w:tcW w:w="1870" w:type="dxa"/>
            <w:tcMar>
              <w:right w:w="108" w:type="dxa"/>
            </w:tcMar>
            <w:vAlign w:val="bottom"/>
          </w:tcPr>
          <w:p w14:paraId="7C6862CF" w14:textId="77777777" w:rsidR="000B7A36" w:rsidRPr="00E70587" w:rsidRDefault="000B7A36" w:rsidP="009A5E2F">
            <w:pPr>
              <w:spacing w:line="280" w:lineRule="exact"/>
              <w:jc w:val="right"/>
              <w:rPr>
                <w:rFonts w:ascii="Arial" w:hAnsi="Arial" w:cs="Arial"/>
                <w:b/>
                <w:sz w:val="20"/>
              </w:rPr>
            </w:pPr>
          </w:p>
        </w:tc>
      </w:tr>
      <w:tr w:rsidR="00FB71AE" w:rsidRPr="00E70587" w14:paraId="6E228343" w14:textId="77777777" w:rsidTr="00BB6300">
        <w:tc>
          <w:tcPr>
            <w:tcW w:w="5594" w:type="dxa"/>
            <w:vAlign w:val="center"/>
          </w:tcPr>
          <w:p w14:paraId="5C4CE503" w14:textId="77777777" w:rsidR="00FB71AE" w:rsidRPr="00E70587" w:rsidRDefault="00FB71AE" w:rsidP="00FB71AE">
            <w:pPr>
              <w:pStyle w:val="tabletext"/>
              <w:spacing w:line="280" w:lineRule="exact"/>
              <w:jc w:val="both"/>
              <w:rPr>
                <w:rFonts w:ascii="Arial" w:hAnsi="Arial" w:cs="Arial"/>
                <w:sz w:val="20"/>
                <w:lang w:val="en-IN"/>
              </w:rPr>
            </w:pPr>
            <w:r w:rsidRPr="00E70587">
              <w:rPr>
                <w:rFonts w:ascii="Arial" w:hAnsi="Arial" w:cs="Arial"/>
                <w:sz w:val="20"/>
                <w:lang w:val="en-IN"/>
              </w:rPr>
              <w:t>Sale of goods</w:t>
            </w:r>
          </w:p>
        </w:tc>
        <w:tc>
          <w:tcPr>
            <w:tcW w:w="1896" w:type="dxa"/>
            <w:vAlign w:val="bottom"/>
          </w:tcPr>
          <w:p w14:paraId="0CFA8F64" w14:textId="77777777" w:rsidR="00FB71AE" w:rsidRPr="00E70587" w:rsidRDefault="00FB71AE" w:rsidP="00FB71AE">
            <w:pPr>
              <w:pStyle w:val="tabletext"/>
              <w:spacing w:line="280" w:lineRule="exact"/>
              <w:jc w:val="right"/>
              <w:rPr>
                <w:rFonts w:ascii="Arial" w:hAnsi="Arial" w:cs="Arial"/>
                <w:sz w:val="20"/>
                <w:lang w:val="en-IN"/>
              </w:rPr>
            </w:pPr>
            <w:r w:rsidRPr="00E70587">
              <w:rPr>
                <w:rFonts w:ascii="Arial" w:hAnsi="Arial" w:cs="Arial"/>
                <w:sz w:val="20"/>
                <w:lang w:val="en-IN"/>
              </w:rPr>
              <w:t>2,88,993</w:t>
            </w:r>
          </w:p>
        </w:tc>
        <w:tc>
          <w:tcPr>
            <w:tcW w:w="1870" w:type="dxa"/>
            <w:tcMar>
              <w:right w:w="108" w:type="dxa"/>
            </w:tcMar>
          </w:tcPr>
          <w:p w14:paraId="035BA701" w14:textId="77777777" w:rsidR="00FB71AE" w:rsidRPr="00E70587" w:rsidRDefault="00FB71AE" w:rsidP="00FB71AE">
            <w:pPr>
              <w:spacing w:line="280" w:lineRule="exact"/>
              <w:jc w:val="right"/>
              <w:rPr>
                <w:rFonts w:ascii="Arial" w:hAnsi="Arial" w:cs="Arial"/>
                <w:sz w:val="20"/>
              </w:rPr>
            </w:pPr>
            <w:r w:rsidRPr="00E70587">
              <w:rPr>
                <w:rFonts w:ascii="Arial" w:hAnsi="Arial" w:cs="Arial"/>
                <w:sz w:val="20"/>
              </w:rPr>
              <w:t xml:space="preserve"> 2,56,231 </w:t>
            </w:r>
          </w:p>
        </w:tc>
      </w:tr>
      <w:tr w:rsidR="00FB71AE" w:rsidRPr="00E70587" w14:paraId="7F6A025D" w14:textId="77777777" w:rsidTr="00BB6300">
        <w:tc>
          <w:tcPr>
            <w:tcW w:w="5594" w:type="dxa"/>
          </w:tcPr>
          <w:p w14:paraId="3D12A07E" w14:textId="77777777" w:rsidR="00FB71AE" w:rsidRPr="00E70587" w:rsidRDefault="00FB71AE" w:rsidP="00BB6E55">
            <w:pPr>
              <w:pStyle w:val="tabletext"/>
              <w:spacing w:line="280" w:lineRule="exact"/>
              <w:jc w:val="both"/>
              <w:rPr>
                <w:rFonts w:ascii="Arial" w:hAnsi="Arial" w:cs="Arial"/>
                <w:sz w:val="20"/>
                <w:lang w:val="en-IN"/>
              </w:rPr>
            </w:pPr>
            <w:r w:rsidRPr="00E70587">
              <w:rPr>
                <w:rFonts w:ascii="Arial" w:hAnsi="Arial" w:cs="Arial"/>
                <w:sz w:val="20"/>
                <w:lang w:val="en-IN"/>
              </w:rPr>
              <w:t>Revenue</w:t>
            </w:r>
            <w:r w:rsidR="00BB6E55">
              <w:rPr>
                <w:rFonts w:ascii="Arial" w:hAnsi="Arial" w:cs="Arial"/>
                <w:sz w:val="20"/>
                <w:lang w:val="en-IN"/>
              </w:rPr>
              <w:t xml:space="preserve"> from redemption of Good Points</w:t>
            </w:r>
          </w:p>
        </w:tc>
        <w:tc>
          <w:tcPr>
            <w:tcW w:w="1896" w:type="dxa"/>
            <w:tcBorders>
              <w:bottom w:val="single" w:sz="4" w:space="0" w:color="auto"/>
            </w:tcBorders>
            <w:vAlign w:val="bottom"/>
          </w:tcPr>
          <w:p w14:paraId="0EA3E50F" w14:textId="77777777" w:rsidR="00FB71AE" w:rsidRPr="00E70587" w:rsidRDefault="00FB71AE" w:rsidP="00FB71AE">
            <w:pPr>
              <w:pStyle w:val="tabletext"/>
              <w:spacing w:line="280" w:lineRule="exact"/>
              <w:jc w:val="right"/>
              <w:rPr>
                <w:rFonts w:ascii="Arial" w:hAnsi="Arial" w:cs="Arial"/>
                <w:sz w:val="20"/>
                <w:lang w:val="en-IN"/>
              </w:rPr>
            </w:pPr>
            <w:r w:rsidRPr="00E70587">
              <w:rPr>
                <w:rFonts w:ascii="Arial" w:hAnsi="Arial" w:cs="Arial"/>
                <w:sz w:val="20"/>
                <w:lang w:val="en-IN"/>
              </w:rPr>
              <w:t>2,475</w:t>
            </w:r>
          </w:p>
        </w:tc>
        <w:tc>
          <w:tcPr>
            <w:tcW w:w="1870" w:type="dxa"/>
            <w:tcBorders>
              <w:bottom w:val="single" w:sz="4" w:space="0" w:color="auto"/>
            </w:tcBorders>
            <w:tcMar>
              <w:right w:w="108" w:type="dxa"/>
            </w:tcMar>
          </w:tcPr>
          <w:p w14:paraId="4097176A" w14:textId="77777777" w:rsidR="00FB71AE" w:rsidRPr="00E70587" w:rsidRDefault="00FB71AE" w:rsidP="00FB71AE">
            <w:pPr>
              <w:spacing w:line="280" w:lineRule="exact"/>
              <w:jc w:val="right"/>
              <w:rPr>
                <w:rFonts w:ascii="Arial" w:hAnsi="Arial" w:cs="Arial"/>
                <w:sz w:val="20"/>
              </w:rPr>
            </w:pPr>
            <w:r w:rsidRPr="00E70587">
              <w:rPr>
                <w:rFonts w:ascii="Arial" w:hAnsi="Arial" w:cs="Arial"/>
                <w:sz w:val="20"/>
              </w:rPr>
              <w:t xml:space="preserve"> 1,261 </w:t>
            </w:r>
          </w:p>
        </w:tc>
      </w:tr>
      <w:tr w:rsidR="002803CC" w:rsidRPr="00E70587" w14:paraId="619771D2" w14:textId="77777777" w:rsidTr="00770F33">
        <w:tc>
          <w:tcPr>
            <w:tcW w:w="5594" w:type="dxa"/>
            <w:vAlign w:val="center"/>
          </w:tcPr>
          <w:p w14:paraId="20E9A738" w14:textId="77777777" w:rsidR="002803CC" w:rsidRPr="00E70587" w:rsidRDefault="002803CC" w:rsidP="002803CC">
            <w:pPr>
              <w:pStyle w:val="tabletext"/>
              <w:spacing w:line="280" w:lineRule="exact"/>
              <w:jc w:val="both"/>
              <w:rPr>
                <w:rFonts w:ascii="Arial" w:hAnsi="Arial" w:cs="Arial"/>
                <w:b/>
                <w:sz w:val="20"/>
                <w:lang w:val="en-IN"/>
              </w:rPr>
            </w:pPr>
            <w:r w:rsidRPr="00E70587">
              <w:rPr>
                <w:rFonts w:ascii="Arial" w:hAnsi="Arial" w:cs="Arial"/>
                <w:b/>
                <w:sz w:val="20"/>
                <w:lang w:val="en-IN"/>
              </w:rPr>
              <w:t>Total sale of products</w:t>
            </w:r>
          </w:p>
        </w:tc>
        <w:tc>
          <w:tcPr>
            <w:tcW w:w="1896" w:type="dxa"/>
            <w:tcBorders>
              <w:top w:val="single" w:sz="4" w:space="0" w:color="auto"/>
            </w:tcBorders>
            <w:vAlign w:val="bottom"/>
          </w:tcPr>
          <w:p w14:paraId="3EC0C584" w14:textId="77777777" w:rsidR="002803CC" w:rsidRPr="00E70587" w:rsidRDefault="002803CC" w:rsidP="009A5E2F">
            <w:pPr>
              <w:pStyle w:val="tabletext"/>
              <w:spacing w:line="280" w:lineRule="exact"/>
              <w:jc w:val="right"/>
              <w:rPr>
                <w:rFonts w:ascii="Arial" w:hAnsi="Arial" w:cs="Arial"/>
                <w:b/>
                <w:sz w:val="20"/>
                <w:lang w:val="en-IN"/>
              </w:rPr>
            </w:pPr>
            <w:r w:rsidRPr="00E70587">
              <w:rPr>
                <w:rFonts w:ascii="Arial" w:hAnsi="Arial" w:cs="Arial"/>
                <w:b/>
                <w:sz w:val="20"/>
                <w:lang w:val="en-IN"/>
              </w:rPr>
              <w:t>2,91,468</w:t>
            </w:r>
          </w:p>
        </w:tc>
        <w:tc>
          <w:tcPr>
            <w:tcW w:w="1870" w:type="dxa"/>
            <w:tcBorders>
              <w:top w:val="single" w:sz="4" w:space="0" w:color="auto"/>
            </w:tcBorders>
            <w:tcMar>
              <w:right w:w="108" w:type="dxa"/>
            </w:tcMar>
            <w:vAlign w:val="bottom"/>
          </w:tcPr>
          <w:p w14:paraId="04663F4F" w14:textId="77777777" w:rsidR="002803CC" w:rsidRPr="00E70587" w:rsidRDefault="002803CC" w:rsidP="00077540">
            <w:pPr>
              <w:spacing w:line="280" w:lineRule="exact"/>
              <w:jc w:val="right"/>
              <w:rPr>
                <w:rFonts w:ascii="Arial" w:hAnsi="Arial" w:cs="Arial"/>
                <w:b/>
                <w:sz w:val="20"/>
              </w:rPr>
            </w:pPr>
            <w:r w:rsidRPr="00E70587">
              <w:rPr>
                <w:rFonts w:ascii="Arial" w:hAnsi="Arial" w:cs="Arial"/>
                <w:b/>
                <w:sz w:val="20"/>
              </w:rPr>
              <w:t>2,57,</w:t>
            </w:r>
            <w:r w:rsidR="00077540" w:rsidRPr="00E70587">
              <w:rPr>
                <w:rFonts w:ascii="Arial" w:hAnsi="Arial" w:cs="Arial"/>
                <w:b/>
                <w:sz w:val="20"/>
              </w:rPr>
              <w:t>492</w:t>
            </w:r>
          </w:p>
        </w:tc>
      </w:tr>
      <w:tr w:rsidR="002803CC" w:rsidRPr="00E70587" w14:paraId="48F5B450" w14:textId="77777777" w:rsidTr="00770F33">
        <w:tc>
          <w:tcPr>
            <w:tcW w:w="5594" w:type="dxa"/>
          </w:tcPr>
          <w:p w14:paraId="09F66101" w14:textId="77777777" w:rsidR="002803CC" w:rsidRPr="00E70587" w:rsidRDefault="002803CC" w:rsidP="006672D2">
            <w:pPr>
              <w:pStyle w:val="tabletext"/>
              <w:spacing w:line="280" w:lineRule="exact"/>
              <w:jc w:val="both"/>
              <w:rPr>
                <w:rFonts w:ascii="Arial" w:hAnsi="Arial" w:cs="Arial"/>
                <w:sz w:val="20"/>
                <w:lang w:val="en-IN"/>
              </w:rPr>
            </w:pPr>
          </w:p>
        </w:tc>
        <w:tc>
          <w:tcPr>
            <w:tcW w:w="1896" w:type="dxa"/>
            <w:vAlign w:val="bottom"/>
          </w:tcPr>
          <w:p w14:paraId="4BF4236D" w14:textId="77777777" w:rsidR="002803CC" w:rsidRPr="00E70587" w:rsidRDefault="002803CC" w:rsidP="009A5E2F">
            <w:pPr>
              <w:pStyle w:val="tabletext"/>
              <w:spacing w:line="280" w:lineRule="exact"/>
              <w:jc w:val="right"/>
              <w:rPr>
                <w:rFonts w:ascii="Arial" w:hAnsi="Arial" w:cs="Arial"/>
                <w:sz w:val="20"/>
                <w:lang w:val="en-IN"/>
              </w:rPr>
            </w:pPr>
          </w:p>
        </w:tc>
        <w:tc>
          <w:tcPr>
            <w:tcW w:w="1870" w:type="dxa"/>
            <w:tcMar>
              <w:right w:w="108" w:type="dxa"/>
            </w:tcMar>
            <w:vAlign w:val="bottom"/>
          </w:tcPr>
          <w:p w14:paraId="6FFFF20C" w14:textId="77777777" w:rsidR="002803CC" w:rsidRPr="00E70587" w:rsidRDefault="002803CC" w:rsidP="009A5E2F">
            <w:pPr>
              <w:spacing w:line="280" w:lineRule="exact"/>
              <w:jc w:val="right"/>
              <w:rPr>
                <w:rFonts w:ascii="Arial" w:hAnsi="Arial" w:cs="Arial"/>
                <w:sz w:val="20"/>
              </w:rPr>
            </w:pPr>
          </w:p>
        </w:tc>
      </w:tr>
      <w:tr w:rsidR="002803CC" w:rsidRPr="00E70587" w14:paraId="63D55D64" w14:textId="77777777" w:rsidTr="00770F33">
        <w:tc>
          <w:tcPr>
            <w:tcW w:w="5594" w:type="dxa"/>
          </w:tcPr>
          <w:p w14:paraId="151347F1" w14:textId="77777777" w:rsidR="002803CC" w:rsidRPr="00E70587" w:rsidRDefault="002803CC" w:rsidP="006672D2">
            <w:pPr>
              <w:pStyle w:val="tabletext"/>
              <w:spacing w:line="280" w:lineRule="exact"/>
              <w:jc w:val="both"/>
              <w:rPr>
                <w:rFonts w:ascii="Arial" w:hAnsi="Arial" w:cs="Arial"/>
                <w:sz w:val="20"/>
                <w:lang w:val="en-IN"/>
              </w:rPr>
            </w:pPr>
            <w:r w:rsidRPr="00E70587">
              <w:rPr>
                <w:rFonts w:ascii="Arial" w:hAnsi="Arial" w:cs="Arial"/>
                <w:sz w:val="20"/>
                <w:lang w:val="en-IN"/>
              </w:rPr>
              <w:t>Rendering of services</w:t>
            </w:r>
          </w:p>
        </w:tc>
        <w:tc>
          <w:tcPr>
            <w:tcW w:w="1896" w:type="dxa"/>
            <w:vAlign w:val="bottom"/>
          </w:tcPr>
          <w:p w14:paraId="1FBBAB17" w14:textId="77777777" w:rsidR="002803CC" w:rsidRPr="00E70587" w:rsidRDefault="002803CC" w:rsidP="009A5E2F">
            <w:pPr>
              <w:pStyle w:val="tabletext"/>
              <w:spacing w:line="280" w:lineRule="exact"/>
              <w:jc w:val="right"/>
              <w:rPr>
                <w:rFonts w:ascii="Arial" w:hAnsi="Arial" w:cs="Arial"/>
                <w:sz w:val="20"/>
                <w:lang w:val="en-IN"/>
              </w:rPr>
            </w:pPr>
            <w:r w:rsidRPr="00E70587">
              <w:rPr>
                <w:rFonts w:ascii="Arial" w:hAnsi="Arial" w:cs="Arial"/>
                <w:sz w:val="20"/>
                <w:lang w:val="en-IN"/>
              </w:rPr>
              <w:t>30,836</w:t>
            </w:r>
          </w:p>
        </w:tc>
        <w:tc>
          <w:tcPr>
            <w:tcW w:w="1870" w:type="dxa"/>
            <w:tcMar>
              <w:right w:w="108" w:type="dxa"/>
            </w:tcMar>
            <w:vAlign w:val="bottom"/>
          </w:tcPr>
          <w:p w14:paraId="7D9F5038" w14:textId="77777777" w:rsidR="002803CC" w:rsidRPr="00E70587" w:rsidRDefault="00A8389F" w:rsidP="009A5E2F">
            <w:pPr>
              <w:spacing w:line="280" w:lineRule="exact"/>
              <w:jc w:val="right"/>
              <w:rPr>
                <w:rFonts w:ascii="Arial" w:hAnsi="Arial" w:cs="Arial"/>
                <w:sz w:val="20"/>
              </w:rPr>
            </w:pPr>
            <w:r w:rsidRPr="00E70587">
              <w:rPr>
                <w:rFonts w:ascii="Arial" w:hAnsi="Arial" w:cs="Arial"/>
                <w:sz w:val="20"/>
              </w:rPr>
              <w:t>28,433</w:t>
            </w:r>
          </w:p>
        </w:tc>
      </w:tr>
      <w:tr w:rsidR="002803CC" w:rsidRPr="00E70587" w14:paraId="01717462" w14:textId="77777777" w:rsidTr="00770F33">
        <w:tc>
          <w:tcPr>
            <w:tcW w:w="5594" w:type="dxa"/>
            <w:vAlign w:val="center"/>
          </w:tcPr>
          <w:p w14:paraId="0B6CB8A5" w14:textId="77777777" w:rsidR="002803CC" w:rsidRPr="00E70587" w:rsidRDefault="002803CC" w:rsidP="00063B18">
            <w:pPr>
              <w:pStyle w:val="tabletext"/>
              <w:overflowPunct w:val="0"/>
              <w:autoSpaceDE w:val="0"/>
              <w:autoSpaceDN w:val="0"/>
              <w:adjustRightInd w:val="0"/>
              <w:spacing w:line="280" w:lineRule="exact"/>
              <w:jc w:val="both"/>
              <w:textAlignment w:val="baseline"/>
              <w:rPr>
                <w:rFonts w:ascii="Arial" w:hAnsi="Arial" w:cs="Arial"/>
                <w:sz w:val="20"/>
                <w:lang w:val="en-IN"/>
              </w:rPr>
            </w:pPr>
            <w:r w:rsidRPr="00E70587">
              <w:rPr>
                <w:rFonts w:ascii="Arial" w:hAnsi="Arial" w:cs="Arial"/>
                <w:b/>
                <w:bCs/>
                <w:sz w:val="20"/>
                <w:lang w:val="en-IN"/>
              </w:rPr>
              <w:t>Total</w:t>
            </w:r>
            <w:r w:rsidR="00063B18" w:rsidRPr="00E70587">
              <w:rPr>
                <w:rFonts w:ascii="Arial" w:hAnsi="Arial" w:cs="Arial"/>
                <w:b/>
                <w:bCs/>
                <w:sz w:val="20"/>
                <w:lang w:val="en-IN"/>
              </w:rPr>
              <w:t xml:space="preserve"> revenue from contract with customers</w:t>
            </w:r>
          </w:p>
        </w:tc>
        <w:tc>
          <w:tcPr>
            <w:tcW w:w="1896" w:type="dxa"/>
            <w:vAlign w:val="bottom"/>
          </w:tcPr>
          <w:p w14:paraId="64F45A52" w14:textId="77777777" w:rsidR="002803CC" w:rsidRPr="00E70587" w:rsidRDefault="00063B18" w:rsidP="009A5E2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b/>
                <w:bCs/>
                <w:sz w:val="20"/>
                <w:lang w:val="en-IN"/>
              </w:rPr>
              <w:t>3,22,304</w:t>
            </w:r>
          </w:p>
        </w:tc>
        <w:tc>
          <w:tcPr>
            <w:tcW w:w="1870" w:type="dxa"/>
            <w:tcMar>
              <w:right w:w="108" w:type="dxa"/>
            </w:tcMar>
            <w:vAlign w:val="bottom"/>
          </w:tcPr>
          <w:p w14:paraId="0D39E777" w14:textId="77777777" w:rsidR="002803CC" w:rsidRPr="00E70587" w:rsidRDefault="00063B18" w:rsidP="00077540">
            <w:pPr>
              <w:spacing w:line="280" w:lineRule="exact"/>
              <w:ind w:right="-18"/>
              <w:jc w:val="right"/>
              <w:rPr>
                <w:rFonts w:ascii="Arial" w:hAnsi="Arial" w:cs="Arial"/>
                <w:sz w:val="20"/>
              </w:rPr>
            </w:pPr>
            <w:r w:rsidRPr="00E70587">
              <w:rPr>
                <w:rFonts w:ascii="Arial" w:hAnsi="Arial" w:cs="Arial"/>
                <w:b/>
                <w:bCs/>
                <w:sz w:val="20"/>
              </w:rPr>
              <w:t>2,8</w:t>
            </w:r>
            <w:r w:rsidR="00A8389F" w:rsidRPr="00E70587">
              <w:rPr>
                <w:rFonts w:ascii="Arial" w:hAnsi="Arial" w:cs="Arial"/>
                <w:b/>
                <w:bCs/>
                <w:sz w:val="20"/>
              </w:rPr>
              <w:t>5</w:t>
            </w:r>
            <w:r w:rsidRPr="00E70587">
              <w:rPr>
                <w:rFonts w:ascii="Arial" w:hAnsi="Arial" w:cs="Arial"/>
                <w:b/>
                <w:bCs/>
                <w:sz w:val="20"/>
              </w:rPr>
              <w:t>,</w:t>
            </w:r>
            <w:r w:rsidR="00A8389F" w:rsidRPr="00E70587">
              <w:rPr>
                <w:rFonts w:ascii="Arial" w:hAnsi="Arial" w:cs="Arial"/>
                <w:b/>
                <w:bCs/>
                <w:sz w:val="20"/>
              </w:rPr>
              <w:t>92</w:t>
            </w:r>
            <w:r w:rsidR="00077540" w:rsidRPr="00E70587">
              <w:rPr>
                <w:rFonts w:ascii="Arial" w:hAnsi="Arial" w:cs="Arial"/>
                <w:b/>
                <w:bCs/>
                <w:sz w:val="20"/>
              </w:rPr>
              <w:t>5</w:t>
            </w:r>
          </w:p>
        </w:tc>
      </w:tr>
    </w:tbl>
    <w:p w14:paraId="788A9742" w14:textId="77777777" w:rsidR="0056423E" w:rsidRPr="00E70587" w:rsidRDefault="0056423E" w:rsidP="00BE10CC">
      <w:pPr>
        <w:overflowPunct/>
        <w:autoSpaceDE/>
        <w:autoSpaceDN/>
        <w:adjustRightInd/>
        <w:spacing w:line="280" w:lineRule="exact"/>
        <w:jc w:val="both"/>
        <w:textAlignment w:val="auto"/>
        <w:rPr>
          <w:rFonts w:ascii="Arial" w:hAnsi="Arial" w:cs="Arial"/>
          <w:sz w:val="20"/>
        </w:rPr>
      </w:pPr>
    </w:p>
    <w:p w14:paraId="77A7C37F" w14:textId="77777777" w:rsidR="0056423E" w:rsidRPr="00E70587" w:rsidRDefault="0056423E" w:rsidP="00BE10CC">
      <w:pPr>
        <w:overflowPunct/>
        <w:autoSpaceDE/>
        <w:autoSpaceDN/>
        <w:adjustRightInd/>
        <w:spacing w:line="280" w:lineRule="exact"/>
        <w:jc w:val="both"/>
        <w:textAlignment w:val="auto"/>
        <w:rPr>
          <w:rFonts w:ascii="Arial" w:hAnsi="Arial" w:cs="Arial"/>
          <w:sz w:val="20"/>
        </w:rPr>
      </w:pPr>
    </w:p>
    <w:p w14:paraId="7A03D6F2" w14:textId="07E3AE5C" w:rsidR="00BE10CC" w:rsidRDefault="00BE10CC" w:rsidP="00BE10CC">
      <w:pPr>
        <w:spacing w:line="280" w:lineRule="exact"/>
        <w:jc w:val="both"/>
        <w:rPr>
          <w:rFonts w:ascii="Arial" w:hAnsi="Arial" w:cs="Arial"/>
          <w:sz w:val="20"/>
        </w:rPr>
      </w:pPr>
      <w:r w:rsidRPr="00E70587">
        <w:rPr>
          <w:rFonts w:ascii="Arial" w:hAnsi="Arial" w:cs="Arial"/>
          <w:sz w:val="20"/>
        </w:rPr>
        <w:t xml:space="preserve">As at reporting date, the aggregate amount of transaction price allocated to unsatisfied, or partially satisfied, performance obligations </w:t>
      </w:r>
      <w:r w:rsidR="003D63D3" w:rsidRPr="00E70587">
        <w:rPr>
          <w:rFonts w:ascii="Arial" w:hAnsi="Arial" w:cs="Arial"/>
          <w:sz w:val="20"/>
        </w:rPr>
        <w:t>are</w:t>
      </w:r>
      <w:r w:rsidRPr="00E70587">
        <w:rPr>
          <w:rFonts w:ascii="Arial" w:hAnsi="Arial" w:cs="Arial"/>
          <w:sz w:val="20"/>
        </w:rPr>
        <w:t xml:space="preserve"> INR 22,328 Lacs</w:t>
      </w:r>
      <w:r w:rsidR="0017026A">
        <w:rPr>
          <w:rFonts w:ascii="Arial" w:hAnsi="Arial" w:cs="Arial"/>
          <w:sz w:val="20"/>
        </w:rPr>
        <w:t xml:space="preserve"> (2019-20: 21,398)</w:t>
      </w:r>
      <w:r w:rsidRPr="00E70587">
        <w:rPr>
          <w:rFonts w:ascii="Arial" w:hAnsi="Arial" w:cs="Arial"/>
          <w:sz w:val="20"/>
        </w:rPr>
        <w:t xml:space="preserve">. The </w:t>
      </w:r>
      <w:r w:rsidR="00E8464A" w:rsidRPr="00E70587">
        <w:rPr>
          <w:rFonts w:ascii="Arial" w:hAnsi="Arial" w:cs="Arial"/>
          <w:sz w:val="20"/>
        </w:rPr>
        <w:t xml:space="preserve">management expects that 60% of the transaction price allocated to unsatisfied contracts as of March </w:t>
      </w:r>
      <w:r w:rsidR="00CA0CAE" w:rsidRPr="00E70587">
        <w:rPr>
          <w:rFonts w:ascii="Arial" w:hAnsi="Arial" w:cs="Arial"/>
          <w:sz w:val="20"/>
        </w:rPr>
        <w:t>20</w:t>
      </w:r>
      <w:r w:rsidR="00CA0CAE">
        <w:rPr>
          <w:rFonts w:ascii="Arial" w:hAnsi="Arial" w:cs="Arial"/>
          <w:sz w:val="20"/>
        </w:rPr>
        <w:t>21</w:t>
      </w:r>
      <w:r w:rsidR="00CA0CAE" w:rsidRPr="00E70587">
        <w:rPr>
          <w:rFonts w:ascii="Arial" w:hAnsi="Arial" w:cs="Arial"/>
          <w:sz w:val="20"/>
        </w:rPr>
        <w:t xml:space="preserve"> </w:t>
      </w:r>
      <w:r w:rsidR="00E8464A" w:rsidRPr="00E70587">
        <w:rPr>
          <w:rFonts w:ascii="Arial" w:hAnsi="Arial" w:cs="Arial"/>
          <w:sz w:val="20"/>
        </w:rPr>
        <w:t xml:space="preserve">will be recognised in FY </w:t>
      </w:r>
      <w:r w:rsidR="00CA0CAE" w:rsidRPr="00E70587">
        <w:rPr>
          <w:rFonts w:ascii="Arial" w:hAnsi="Arial" w:cs="Arial"/>
          <w:sz w:val="20"/>
        </w:rPr>
        <w:t>20</w:t>
      </w:r>
      <w:r w:rsidR="00CA0CAE">
        <w:rPr>
          <w:rFonts w:ascii="Arial" w:hAnsi="Arial" w:cs="Arial"/>
          <w:sz w:val="20"/>
        </w:rPr>
        <w:t>21</w:t>
      </w:r>
      <w:r w:rsidR="001B5D48" w:rsidRPr="00E70587">
        <w:rPr>
          <w:rFonts w:ascii="Arial" w:hAnsi="Arial" w:cs="Arial"/>
          <w:sz w:val="20"/>
        </w:rPr>
        <w:t>-</w:t>
      </w:r>
      <w:r w:rsidR="00CA0CAE" w:rsidRPr="00E70587">
        <w:rPr>
          <w:rFonts w:ascii="Arial" w:hAnsi="Arial" w:cs="Arial"/>
          <w:sz w:val="20"/>
        </w:rPr>
        <w:t>2</w:t>
      </w:r>
      <w:r w:rsidR="00CA0CAE">
        <w:rPr>
          <w:rFonts w:ascii="Arial" w:hAnsi="Arial" w:cs="Arial"/>
          <w:sz w:val="20"/>
        </w:rPr>
        <w:t>2</w:t>
      </w:r>
      <w:r w:rsidR="00CA0CAE" w:rsidRPr="00E70587">
        <w:rPr>
          <w:rFonts w:ascii="Arial" w:hAnsi="Arial" w:cs="Arial"/>
          <w:sz w:val="20"/>
        </w:rPr>
        <w:t xml:space="preserve"> </w:t>
      </w:r>
      <w:proofErr w:type="gramStart"/>
      <w:r w:rsidR="0017026A">
        <w:rPr>
          <w:rFonts w:ascii="Arial" w:hAnsi="Arial" w:cs="Arial"/>
          <w:sz w:val="20"/>
        </w:rPr>
        <w:t>i.e.</w:t>
      </w:r>
      <w:proofErr w:type="gramEnd"/>
      <w:r w:rsidR="0017026A">
        <w:rPr>
          <w:rFonts w:ascii="Arial" w:hAnsi="Arial" w:cs="Arial"/>
          <w:sz w:val="20"/>
        </w:rPr>
        <w:t xml:space="preserve"> </w:t>
      </w:r>
      <w:r w:rsidR="00E8464A" w:rsidRPr="00E70587">
        <w:rPr>
          <w:rFonts w:ascii="Arial" w:hAnsi="Arial" w:cs="Arial"/>
          <w:sz w:val="20"/>
        </w:rPr>
        <w:t xml:space="preserve">INR 13,397 </w:t>
      </w:r>
      <w:r w:rsidR="0017026A">
        <w:rPr>
          <w:rFonts w:ascii="Arial" w:hAnsi="Arial" w:cs="Arial"/>
          <w:sz w:val="20"/>
        </w:rPr>
        <w:t xml:space="preserve">(2019-20: in FY 2022-23 i.e. 12,907) </w:t>
      </w:r>
      <w:r w:rsidR="00E8464A" w:rsidRPr="00E70587">
        <w:rPr>
          <w:rFonts w:ascii="Arial" w:hAnsi="Arial" w:cs="Arial"/>
          <w:sz w:val="20"/>
        </w:rPr>
        <w:t>and ba</w:t>
      </w:r>
      <w:r w:rsidR="001B5D48" w:rsidRPr="00E70587">
        <w:rPr>
          <w:rFonts w:ascii="Arial" w:hAnsi="Arial" w:cs="Arial"/>
          <w:sz w:val="20"/>
        </w:rPr>
        <w:t xml:space="preserve">lance will be recognised in FY </w:t>
      </w:r>
      <w:r w:rsidR="00CA0CAE" w:rsidRPr="00E70587">
        <w:rPr>
          <w:rFonts w:ascii="Arial" w:hAnsi="Arial" w:cs="Arial"/>
          <w:sz w:val="20"/>
        </w:rPr>
        <w:t>202</w:t>
      </w:r>
      <w:r w:rsidR="00CA0CAE">
        <w:rPr>
          <w:rFonts w:ascii="Arial" w:hAnsi="Arial" w:cs="Arial"/>
          <w:sz w:val="20"/>
        </w:rPr>
        <w:t>2</w:t>
      </w:r>
      <w:r w:rsidR="001B5D48" w:rsidRPr="00E70587">
        <w:rPr>
          <w:rFonts w:ascii="Arial" w:hAnsi="Arial" w:cs="Arial"/>
          <w:sz w:val="20"/>
        </w:rPr>
        <w:t>-</w:t>
      </w:r>
      <w:r w:rsidR="00CA0CAE" w:rsidRPr="00E70587">
        <w:rPr>
          <w:rFonts w:ascii="Arial" w:hAnsi="Arial" w:cs="Arial"/>
          <w:sz w:val="20"/>
        </w:rPr>
        <w:t>2</w:t>
      </w:r>
      <w:r w:rsidR="00CA0CAE">
        <w:rPr>
          <w:rFonts w:ascii="Arial" w:hAnsi="Arial" w:cs="Arial"/>
          <w:sz w:val="20"/>
        </w:rPr>
        <w:t>3</w:t>
      </w:r>
      <w:r w:rsidR="00CA0CAE" w:rsidRPr="00E70587">
        <w:rPr>
          <w:rFonts w:ascii="Arial" w:hAnsi="Arial" w:cs="Arial"/>
          <w:sz w:val="20"/>
        </w:rPr>
        <w:t xml:space="preserve"> </w:t>
      </w:r>
      <w:r w:rsidR="0017026A">
        <w:rPr>
          <w:rFonts w:ascii="Arial" w:hAnsi="Arial" w:cs="Arial"/>
          <w:sz w:val="20"/>
        </w:rPr>
        <w:t xml:space="preserve">i.e. </w:t>
      </w:r>
      <w:r w:rsidR="00E8464A" w:rsidRPr="00E70587">
        <w:rPr>
          <w:rFonts w:ascii="Arial" w:hAnsi="Arial" w:cs="Arial"/>
          <w:sz w:val="20"/>
        </w:rPr>
        <w:t>INR 8,931</w:t>
      </w:r>
      <w:r w:rsidR="0017026A">
        <w:rPr>
          <w:rFonts w:ascii="Arial" w:hAnsi="Arial" w:cs="Arial"/>
          <w:sz w:val="20"/>
        </w:rPr>
        <w:t xml:space="preserve"> (2019-20: in FY 2023-24 i.e. 8,491)</w:t>
      </w:r>
      <w:r w:rsidR="00E8464A" w:rsidRPr="00E70587">
        <w:rPr>
          <w:rFonts w:ascii="Arial" w:hAnsi="Arial" w:cs="Arial"/>
          <w:sz w:val="20"/>
        </w:rPr>
        <w:t>.</w:t>
      </w:r>
    </w:p>
    <w:p w14:paraId="2029117B" w14:textId="7E1A8DFB" w:rsidR="009842E9" w:rsidRDefault="009842E9" w:rsidP="00BE10CC">
      <w:pPr>
        <w:spacing w:line="280" w:lineRule="exact"/>
        <w:jc w:val="both"/>
        <w:rPr>
          <w:rFonts w:ascii="Arial" w:hAnsi="Arial" w:cs="Arial"/>
          <w:sz w:val="20"/>
        </w:rPr>
      </w:pPr>
    </w:p>
    <w:p w14:paraId="5BC5CCF2" w14:textId="77777777" w:rsidR="0017026A" w:rsidRDefault="0017026A" w:rsidP="00BE10CC">
      <w:pPr>
        <w:spacing w:line="280" w:lineRule="exact"/>
        <w:jc w:val="both"/>
        <w:rPr>
          <w:rFonts w:ascii="Arial" w:hAnsi="Arial" w:cs="Arial"/>
          <w:sz w:val="20"/>
        </w:rPr>
      </w:pPr>
    </w:p>
    <w:p w14:paraId="028AE5DA" w14:textId="77777777" w:rsidR="0017026A" w:rsidRDefault="0017026A" w:rsidP="00BE10CC">
      <w:pPr>
        <w:spacing w:line="280" w:lineRule="exact"/>
        <w:jc w:val="both"/>
        <w:rPr>
          <w:rFonts w:ascii="Arial" w:hAnsi="Arial" w:cs="Arial"/>
          <w:sz w:val="20"/>
        </w:rPr>
      </w:pPr>
    </w:p>
    <w:p w14:paraId="10C2385A" w14:textId="4A4ED40E" w:rsidR="00A42DB5" w:rsidRPr="00A42DB5" w:rsidRDefault="00A42DB5" w:rsidP="00A42DB5">
      <w:pPr>
        <w:shd w:val="clear" w:color="auto" w:fill="C1C1C1" w:themeFill="background1" w:themeFillTint="66"/>
        <w:spacing w:line="280" w:lineRule="exact"/>
        <w:jc w:val="both"/>
        <w:rPr>
          <w:rFonts w:ascii="Arial" w:hAnsi="Arial" w:cs="Arial"/>
          <w:b/>
          <w:bCs/>
          <w:sz w:val="20"/>
        </w:rPr>
      </w:pPr>
      <w:r w:rsidRPr="00A42DB5">
        <w:rPr>
          <w:rFonts w:ascii="Arial" w:hAnsi="Arial" w:cs="Arial"/>
          <w:b/>
          <w:bCs/>
          <w:sz w:val="20"/>
        </w:rPr>
        <w:t>Author’s Note</w:t>
      </w:r>
    </w:p>
    <w:p w14:paraId="2A02D7DE" w14:textId="77777777" w:rsidR="00A42DB5" w:rsidRDefault="00A42DB5" w:rsidP="00A42DB5">
      <w:pPr>
        <w:shd w:val="clear" w:color="auto" w:fill="C1C1C1" w:themeFill="background1" w:themeFillTint="66"/>
        <w:spacing w:line="280" w:lineRule="exact"/>
        <w:jc w:val="both"/>
        <w:rPr>
          <w:rFonts w:ascii="Arial" w:hAnsi="Arial" w:cs="Arial"/>
          <w:sz w:val="20"/>
        </w:rPr>
      </w:pPr>
    </w:p>
    <w:p w14:paraId="29899CC3" w14:textId="4D2A0516" w:rsidR="00A42DB5" w:rsidRDefault="00A42DB5" w:rsidP="00A42DB5">
      <w:pPr>
        <w:shd w:val="clear" w:color="auto" w:fill="C1C1C1" w:themeFill="background1" w:themeFillTint="66"/>
        <w:spacing w:line="280" w:lineRule="exact"/>
        <w:jc w:val="both"/>
        <w:rPr>
          <w:rFonts w:ascii="Arial" w:hAnsi="Arial" w:cs="Arial"/>
          <w:sz w:val="20"/>
        </w:rPr>
      </w:pPr>
      <w:r w:rsidRPr="00A42DB5">
        <w:rPr>
          <w:rFonts w:ascii="Arial" w:hAnsi="Arial" w:cs="Arial"/>
          <w:sz w:val="20"/>
        </w:rPr>
        <w:t xml:space="preserve">As a practical expedient provided in Ind AS 115.121, an entity can decide not to disclose the amount of the remaining performance obligations for contracts with original expected duration of less than one year or those that meet the requirements of the right to invoice practical expedient in Ind AS 115.B16. If an entity uses this practical expedient, it is required to qualitatively disclose that fact. </w:t>
      </w:r>
    </w:p>
    <w:p w14:paraId="6011FB53" w14:textId="77777777" w:rsidR="00A42DB5" w:rsidRPr="00A42DB5" w:rsidRDefault="00A42DB5" w:rsidP="00A42DB5">
      <w:pPr>
        <w:shd w:val="clear" w:color="auto" w:fill="C1C1C1" w:themeFill="background1" w:themeFillTint="66"/>
        <w:spacing w:line="280" w:lineRule="exact"/>
        <w:jc w:val="both"/>
        <w:rPr>
          <w:rFonts w:ascii="Arial" w:hAnsi="Arial" w:cs="Arial"/>
          <w:sz w:val="20"/>
        </w:rPr>
      </w:pPr>
    </w:p>
    <w:p w14:paraId="21A02251" w14:textId="1F4FB89D" w:rsidR="00A42DB5" w:rsidRDefault="00A42DB5" w:rsidP="00A42DB5">
      <w:pPr>
        <w:shd w:val="clear" w:color="auto" w:fill="C1C1C1" w:themeFill="background1" w:themeFillTint="66"/>
        <w:spacing w:line="280" w:lineRule="exact"/>
        <w:jc w:val="both"/>
        <w:rPr>
          <w:rFonts w:ascii="Arial" w:hAnsi="Arial" w:cs="Arial"/>
          <w:sz w:val="20"/>
        </w:rPr>
      </w:pPr>
      <w:r w:rsidRPr="00A42DB5">
        <w:rPr>
          <w:rFonts w:ascii="Arial" w:hAnsi="Arial" w:cs="Arial"/>
          <w:sz w:val="20"/>
        </w:rPr>
        <w:t>The Group used a quantitative approach to disclose information about remaining performance obligations. The Group did not use any practical expedients available in Ind AS 115.</w:t>
      </w:r>
    </w:p>
    <w:p w14:paraId="2223F034" w14:textId="57C2B63C" w:rsidR="00A42DB5" w:rsidRDefault="00A42DB5" w:rsidP="00BE10CC">
      <w:pPr>
        <w:spacing w:line="280" w:lineRule="exact"/>
        <w:jc w:val="both"/>
        <w:rPr>
          <w:rFonts w:ascii="Arial" w:hAnsi="Arial" w:cs="Arial"/>
          <w:sz w:val="20"/>
        </w:rPr>
      </w:pPr>
    </w:p>
    <w:p w14:paraId="44E977D0" w14:textId="379FB3F1" w:rsidR="009842E9" w:rsidRPr="00E70587" w:rsidRDefault="009842E9" w:rsidP="009842E9">
      <w:pPr>
        <w:pStyle w:val="Default"/>
        <w:jc w:val="both"/>
        <w:rPr>
          <w:rFonts w:ascii="Arial" w:hAnsi="Arial" w:cs="Arial"/>
          <w:sz w:val="20"/>
          <w:szCs w:val="20"/>
        </w:rPr>
      </w:pPr>
      <w:r w:rsidRPr="00E70587">
        <w:rPr>
          <w:rFonts w:ascii="Arial" w:hAnsi="Arial" w:cs="Arial"/>
          <w:sz w:val="20"/>
          <w:szCs w:val="20"/>
        </w:rPr>
        <w:t>Set out below is the disaggregation of the Group's revenue from contracts with customers</w:t>
      </w:r>
      <w:r>
        <w:rPr>
          <w:rFonts w:ascii="Arial" w:hAnsi="Arial" w:cs="Arial"/>
          <w:sz w:val="20"/>
          <w:szCs w:val="20"/>
          <w:lang w:val="en-US"/>
        </w:rPr>
        <w:t xml:space="preserve"> and reconciliation to profit </w:t>
      </w:r>
      <w:r w:rsidR="00CC0BDD">
        <w:rPr>
          <w:rFonts w:ascii="Arial" w:hAnsi="Arial" w:cs="Arial"/>
          <w:sz w:val="20"/>
          <w:szCs w:val="20"/>
          <w:lang w:val="en-US"/>
        </w:rPr>
        <w:t>or</w:t>
      </w:r>
      <w:r>
        <w:rPr>
          <w:rFonts w:ascii="Arial" w:hAnsi="Arial" w:cs="Arial"/>
          <w:sz w:val="20"/>
          <w:szCs w:val="20"/>
          <w:lang w:val="en-US"/>
        </w:rPr>
        <w:t xml:space="preserve"> loss account</w:t>
      </w:r>
      <w:r w:rsidRPr="00E70587">
        <w:rPr>
          <w:rFonts w:ascii="Arial" w:hAnsi="Arial" w:cs="Arial"/>
          <w:sz w:val="20"/>
          <w:szCs w:val="20"/>
        </w:rPr>
        <w:t xml:space="preserve">: </w:t>
      </w:r>
    </w:p>
    <w:p w14:paraId="4BA64832" w14:textId="77777777" w:rsidR="009842E9" w:rsidRPr="00E70587" w:rsidRDefault="009842E9" w:rsidP="009842E9">
      <w:pPr>
        <w:rPr>
          <w:rFonts w:ascii="Arial" w:eastAsia="Tahoma" w:hAnsi="Arial" w:cs="Arial"/>
          <w:b/>
          <w:color w:val="000000"/>
          <w:spacing w:val="12"/>
          <w:sz w:val="20"/>
        </w:rPr>
      </w:pPr>
    </w:p>
    <w:tbl>
      <w:tblPr>
        <w:tblW w:w="8926" w:type="dxa"/>
        <w:tblLayout w:type="fixed"/>
        <w:tblCellMar>
          <w:left w:w="0" w:type="dxa"/>
          <w:right w:w="0" w:type="dxa"/>
        </w:tblCellMar>
        <w:tblLook w:val="04A0" w:firstRow="1" w:lastRow="0" w:firstColumn="1" w:lastColumn="0" w:noHBand="0" w:noVBand="1"/>
      </w:tblPr>
      <w:tblGrid>
        <w:gridCol w:w="3539"/>
        <w:gridCol w:w="1346"/>
        <w:gridCol w:w="1347"/>
        <w:gridCol w:w="1347"/>
        <w:gridCol w:w="1347"/>
      </w:tblGrid>
      <w:tr w:rsidR="009842E9" w:rsidRPr="00E70587" w14:paraId="72A28AB2" w14:textId="77777777" w:rsidTr="00131CF4">
        <w:trPr>
          <w:trHeight w:hRule="exact" w:val="542"/>
        </w:trPr>
        <w:tc>
          <w:tcPr>
            <w:tcW w:w="3539" w:type="dxa"/>
            <w:vMerge w:val="restart"/>
          </w:tcPr>
          <w:p w14:paraId="452C73A4" w14:textId="77777777" w:rsidR="009842E9" w:rsidRPr="00E70587" w:rsidRDefault="009842E9" w:rsidP="00131CF4">
            <w:pPr>
              <w:ind w:left="216"/>
              <w:rPr>
                <w:rFonts w:ascii="Arial" w:eastAsia="Tahoma" w:hAnsi="Arial" w:cs="Arial"/>
                <w:b/>
                <w:color w:val="000000"/>
                <w:sz w:val="20"/>
              </w:rPr>
            </w:pPr>
            <w:r w:rsidRPr="00E70587">
              <w:rPr>
                <w:rFonts w:ascii="Arial" w:eastAsia="Tahoma" w:hAnsi="Arial" w:cs="Arial"/>
                <w:b/>
                <w:color w:val="000000"/>
                <w:sz w:val="20"/>
              </w:rPr>
              <w:t>Segments</w:t>
            </w:r>
          </w:p>
        </w:tc>
        <w:tc>
          <w:tcPr>
            <w:tcW w:w="5387" w:type="dxa"/>
            <w:gridSpan w:val="4"/>
          </w:tcPr>
          <w:p w14:paraId="555D2D5F" w14:textId="77777777" w:rsidR="009842E9" w:rsidRPr="00E70587" w:rsidRDefault="009842E9" w:rsidP="00131CF4">
            <w:pPr>
              <w:ind w:left="80" w:right="142"/>
              <w:jc w:val="center"/>
              <w:rPr>
                <w:rFonts w:ascii="Arial" w:eastAsia="Tahoma" w:hAnsi="Arial" w:cs="Arial"/>
                <w:b/>
                <w:color w:val="000000"/>
                <w:sz w:val="20"/>
              </w:rPr>
            </w:pPr>
            <w:r w:rsidRPr="00E70587">
              <w:rPr>
                <w:rFonts w:ascii="Arial" w:eastAsia="Tahoma" w:hAnsi="Arial" w:cs="Arial"/>
                <w:b/>
                <w:color w:val="000000"/>
                <w:sz w:val="20"/>
              </w:rPr>
              <w:t>For the year ended 31 March 20</w:t>
            </w:r>
            <w:r>
              <w:rPr>
                <w:rFonts w:ascii="Arial" w:eastAsia="Tahoma" w:hAnsi="Arial" w:cs="Arial"/>
                <w:b/>
                <w:color w:val="000000"/>
                <w:sz w:val="20"/>
              </w:rPr>
              <w:t>21</w:t>
            </w:r>
          </w:p>
        </w:tc>
      </w:tr>
      <w:tr w:rsidR="009842E9" w:rsidRPr="00E70587" w14:paraId="6D21D7C7" w14:textId="77777777" w:rsidTr="00131CF4">
        <w:trPr>
          <w:trHeight w:hRule="exact" w:val="456"/>
        </w:trPr>
        <w:tc>
          <w:tcPr>
            <w:tcW w:w="3539" w:type="dxa"/>
            <w:vMerge/>
          </w:tcPr>
          <w:p w14:paraId="60AFD229" w14:textId="77777777" w:rsidR="009842E9" w:rsidRPr="00E70587" w:rsidRDefault="009842E9" w:rsidP="00131CF4">
            <w:pPr>
              <w:rPr>
                <w:rFonts w:ascii="Arial" w:hAnsi="Arial" w:cs="Arial"/>
                <w:sz w:val="20"/>
              </w:rPr>
            </w:pPr>
          </w:p>
        </w:tc>
        <w:tc>
          <w:tcPr>
            <w:tcW w:w="1346" w:type="dxa"/>
            <w:vAlign w:val="center"/>
          </w:tcPr>
          <w:p w14:paraId="541E66B4" w14:textId="77777777" w:rsidR="009842E9" w:rsidRPr="00E70587" w:rsidRDefault="009842E9" w:rsidP="00131CF4">
            <w:pPr>
              <w:ind w:left="80"/>
              <w:jc w:val="center"/>
              <w:rPr>
                <w:rFonts w:ascii="Arial" w:eastAsia="Tahoma" w:hAnsi="Arial" w:cs="Arial"/>
                <w:b/>
                <w:color w:val="000000"/>
                <w:sz w:val="20"/>
              </w:rPr>
            </w:pPr>
            <w:r w:rsidRPr="00E70587">
              <w:rPr>
                <w:rFonts w:ascii="Arial" w:eastAsia="Tahoma" w:hAnsi="Arial" w:cs="Arial"/>
                <w:b/>
                <w:color w:val="000000"/>
                <w:sz w:val="20"/>
              </w:rPr>
              <w:t>Fire prevention equipment</w:t>
            </w:r>
          </w:p>
        </w:tc>
        <w:tc>
          <w:tcPr>
            <w:tcW w:w="1347" w:type="dxa"/>
            <w:vAlign w:val="center"/>
          </w:tcPr>
          <w:p w14:paraId="2D56F23D" w14:textId="77777777" w:rsidR="009842E9" w:rsidRPr="00E70587" w:rsidRDefault="009842E9" w:rsidP="00131CF4">
            <w:pPr>
              <w:jc w:val="center"/>
              <w:rPr>
                <w:rFonts w:ascii="Arial" w:eastAsia="Tahoma" w:hAnsi="Arial" w:cs="Arial"/>
                <w:b/>
                <w:color w:val="000000"/>
                <w:sz w:val="20"/>
              </w:rPr>
            </w:pPr>
            <w:r w:rsidRPr="00E70587">
              <w:rPr>
                <w:rFonts w:ascii="Arial" w:eastAsia="Tahoma" w:hAnsi="Arial" w:cs="Arial"/>
                <w:b/>
                <w:color w:val="000000"/>
                <w:sz w:val="20"/>
              </w:rPr>
              <w:t>Electronics</w:t>
            </w:r>
          </w:p>
        </w:tc>
        <w:tc>
          <w:tcPr>
            <w:tcW w:w="1347" w:type="dxa"/>
            <w:vAlign w:val="center"/>
          </w:tcPr>
          <w:p w14:paraId="7B97E8BF" w14:textId="77777777" w:rsidR="009842E9" w:rsidRPr="00E70587" w:rsidRDefault="009842E9" w:rsidP="00131CF4">
            <w:pPr>
              <w:jc w:val="center"/>
              <w:rPr>
                <w:rFonts w:ascii="Arial" w:eastAsia="Tahoma" w:hAnsi="Arial" w:cs="Arial"/>
                <w:b/>
                <w:color w:val="000000"/>
                <w:sz w:val="20"/>
              </w:rPr>
            </w:pPr>
            <w:r w:rsidRPr="00E70587">
              <w:rPr>
                <w:rFonts w:ascii="Arial" w:eastAsia="Tahoma" w:hAnsi="Arial" w:cs="Arial"/>
                <w:b/>
                <w:color w:val="000000"/>
                <w:sz w:val="20"/>
              </w:rPr>
              <w:t>Investment properties</w:t>
            </w:r>
          </w:p>
        </w:tc>
        <w:tc>
          <w:tcPr>
            <w:tcW w:w="1347" w:type="dxa"/>
            <w:vAlign w:val="center"/>
          </w:tcPr>
          <w:p w14:paraId="0DC8D862" w14:textId="77777777" w:rsidR="009842E9" w:rsidRPr="00E70587" w:rsidRDefault="009842E9" w:rsidP="00131CF4">
            <w:pPr>
              <w:jc w:val="center"/>
              <w:rPr>
                <w:rFonts w:ascii="Arial" w:eastAsia="Tahoma" w:hAnsi="Arial" w:cs="Arial"/>
                <w:b/>
                <w:color w:val="000000"/>
                <w:sz w:val="20"/>
              </w:rPr>
            </w:pPr>
            <w:r w:rsidRPr="00E70587">
              <w:rPr>
                <w:rFonts w:ascii="Arial" w:eastAsia="Tahoma" w:hAnsi="Arial" w:cs="Arial"/>
                <w:b/>
                <w:color w:val="000000"/>
                <w:sz w:val="20"/>
              </w:rPr>
              <w:t>Total</w:t>
            </w:r>
          </w:p>
        </w:tc>
      </w:tr>
      <w:tr w:rsidR="009842E9" w:rsidRPr="00E70587" w14:paraId="7D365523" w14:textId="77777777" w:rsidTr="00131CF4">
        <w:trPr>
          <w:trHeight w:hRule="exact" w:val="254"/>
        </w:trPr>
        <w:tc>
          <w:tcPr>
            <w:tcW w:w="3539" w:type="dxa"/>
            <w:tcBorders>
              <w:bottom w:val="single" w:sz="4" w:space="0" w:color="auto"/>
            </w:tcBorders>
            <w:vAlign w:val="center"/>
          </w:tcPr>
          <w:p w14:paraId="465FE5A1" w14:textId="77777777" w:rsidR="009842E9" w:rsidRPr="00E70587" w:rsidRDefault="009842E9" w:rsidP="00131CF4">
            <w:pPr>
              <w:ind w:left="115"/>
              <w:rPr>
                <w:rFonts w:ascii="Arial" w:eastAsia="Tahoma" w:hAnsi="Arial" w:cs="Arial"/>
                <w:b/>
                <w:color w:val="000000"/>
                <w:sz w:val="20"/>
              </w:rPr>
            </w:pPr>
            <w:r w:rsidRPr="00E70587">
              <w:rPr>
                <w:rFonts w:ascii="Arial" w:eastAsia="Tahoma" w:hAnsi="Arial" w:cs="Arial"/>
                <w:b/>
                <w:color w:val="000000"/>
                <w:sz w:val="20"/>
              </w:rPr>
              <w:t>Type of goods or service</w:t>
            </w:r>
          </w:p>
        </w:tc>
        <w:tc>
          <w:tcPr>
            <w:tcW w:w="1346" w:type="dxa"/>
            <w:tcBorders>
              <w:bottom w:val="single" w:sz="4" w:space="0" w:color="auto"/>
            </w:tcBorders>
            <w:vAlign w:val="center"/>
          </w:tcPr>
          <w:p w14:paraId="67F92089" w14:textId="77777777" w:rsidR="009842E9" w:rsidRPr="00E70587" w:rsidRDefault="009842E9" w:rsidP="00131CF4">
            <w:pPr>
              <w:ind w:left="80"/>
              <w:jc w:val="center"/>
              <w:rPr>
                <w:rFonts w:ascii="Arial" w:eastAsia="Tahoma" w:hAnsi="Arial" w:cs="Arial"/>
                <w:b/>
                <w:color w:val="000000"/>
                <w:sz w:val="20"/>
              </w:rPr>
            </w:pPr>
            <w:r w:rsidRPr="00E70587">
              <w:rPr>
                <w:rFonts w:ascii="Arial" w:eastAsia="Tahoma" w:hAnsi="Arial" w:cs="Arial"/>
                <w:b/>
                <w:color w:val="000000"/>
                <w:sz w:val="20"/>
              </w:rPr>
              <w:t>INR Lacs</w:t>
            </w:r>
          </w:p>
        </w:tc>
        <w:tc>
          <w:tcPr>
            <w:tcW w:w="1347" w:type="dxa"/>
            <w:tcBorders>
              <w:bottom w:val="single" w:sz="4" w:space="0" w:color="auto"/>
            </w:tcBorders>
            <w:vAlign w:val="center"/>
          </w:tcPr>
          <w:p w14:paraId="5B6219CF" w14:textId="77777777" w:rsidR="009842E9" w:rsidRPr="00E70587" w:rsidRDefault="009842E9" w:rsidP="00131CF4">
            <w:pPr>
              <w:ind w:left="80"/>
              <w:jc w:val="center"/>
              <w:rPr>
                <w:rFonts w:ascii="Arial" w:eastAsia="Tahoma" w:hAnsi="Arial" w:cs="Arial"/>
                <w:b/>
                <w:color w:val="000000"/>
                <w:sz w:val="20"/>
              </w:rPr>
            </w:pPr>
            <w:r w:rsidRPr="00E70587">
              <w:rPr>
                <w:rFonts w:ascii="Arial" w:eastAsia="Tahoma" w:hAnsi="Arial" w:cs="Arial"/>
                <w:b/>
                <w:color w:val="000000"/>
                <w:sz w:val="20"/>
              </w:rPr>
              <w:t>INR Lacs</w:t>
            </w:r>
          </w:p>
        </w:tc>
        <w:tc>
          <w:tcPr>
            <w:tcW w:w="1347" w:type="dxa"/>
            <w:tcBorders>
              <w:bottom w:val="single" w:sz="4" w:space="0" w:color="auto"/>
            </w:tcBorders>
            <w:vAlign w:val="center"/>
          </w:tcPr>
          <w:p w14:paraId="5D850592" w14:textId="77777777" w:rsidR="009842E9" w:rsidRPr="00E70587" w:rsidRDefault="009842E9" w:rsidP="00131CF4">
            <w:pPr>
              <w:ind w:left="80"/>
              <w:jc w:val="center"/>
              <w:rPr>
                <w:rFonts w:ascii="Arial" w:eastAsia="Tahoma" w:hAnsi="Arial" w:cs="Arial"/>
                <w:b/>
                <w:color w:val="000000"/>
                <w:sz w:val="20"/>
              </w:rPr>
            </w:pPr>
            <w:r w:rsidRPr="00E70587">
              <w:rPr>
                <w:rFonts w:ascii="Arial" w:eastAsia="Tahoma" w:hAnsi="Arial" w:cs="Arial"/>
                <w:b/>
                <w:color w:val="000000"/>
                <w:sz w:val="20"/>
              </w:rPr>
              <w:t>INR Lacs</w:t>
            </w:r>
          </w:p>
        </w:tc>
        <w:tc>
          <w:tcPr>
            <w:tcW w:w="1347" w:type="dxa"/>
            <w:tcBorders>
              <w:bottom w:val="single" w:sz="4" w:space="0" w:color="auto"/>
            </w:tcBorders>
            <w:vAlign w:val="center"/>
          </w:tcPr>
          <w:p w14:paraId="5333970B" w14:textId="77777777" w:rsidR="009842E9" w:rsidRPr="00E70587" w:rsidRDefault="009842E9" w:rsidP="00131CF4">
            <w:pPr>
              <w:ind w:left="80"/>
              <w:jc w:val="center"/>
              <w:rPr>
                <w:rFonts w:ascii="Arial" w:eastAsia="Tahoma" w:hAnsi="Arial" w:cs="Arial"/>
                <w:b/>
                <w:color w:val="000000"/>
                <w:sz w:val="20"/>
              </w:rPr>
            </w:pPr>
            <w:r w:rsidRPr="00E70587">
              <w:rPr>
                <w:rFonts w:ascii="Arial" w:eastAsia="Tahoma" w:hAnsi="Arial" w:cs="Arial"/>
                <w:b/>
                <w:color w:val="000000"/>
                <w:sz w:val="20"/>
              </w:rPr>
              <w:t>INR Lacs</w:t>
            </w:r>
          </w:p>
        </w:tc>
      </w:tr>
      <w:tr w:rsidR="009842E9" w:rsidRPr="00E70587" w14:paraId="28C33E14" w14:textId="77777777" w:rsidTr="00131CF4">
        <w:trPr>
          <w:trHeight w:hRule="exact" w:val="264"/>
        </w:trPr>
        <w:tc>
          <w:tcPr>
            <w:tcW w:w="3539" w:type="dxa"/>
            <w:tcBorders>
              <w:top w:val="single" w:sz="4" w:space="0" w:color="auto"/>
            </w:tcBorders>
            <w:vAlign w:val="center"/>
          </w:tcPr>
          <w:p w14:paraId="286D1F3F" w14:textId="77777777" w:rsidR="009842E9" w:rsidRPr="00E70587" w:rsidRDefault="009842E9" w:rsidP="00131CF4">
            <w:pPr>
              <w:ind w:left="115"/>
              <w:rPr>
                <w:rFonts w:ascii="Arial" w:eastAsia="Verdana" w:hAnsi="Arial" w:cs="Arial"/>
                <w:color w:val="000000"/>
                <w:sz w:val="20"/>
              </w:rPr>
            </w:pPr>
            <w:r w:rsidRPr="00E70587">
              <w:rPr>
                <w:rFonts w:ascii="Arial" w:eastAsia="Verdana" w:hAnsi="Arial" w:cs="Arial"/>
                <w:color w:val="000000"/>
                <w:sz w:val="20"/>
              </w:rPr>
              <w:t>Sale of fire prevention equipment</w:t>
            </w:r>
          </w:p>
        </w:tc>
        <w:tc>
          <w:tcPr>
            <w:tcW w:w="1346" w:type="dxa"/>
            <w:tcBorders>
              <w:top w:val="single" w:sz="4" w:space="0" w:color="auto"/>
            </w:tcBorders>
            <w:vAlign w:val="center"/>
          </w:tcPr>
          <w:p w14:paraId="7D546D5A"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1,86,795</w:t>
            </w:r>
          </w:p>
        </w:tc>
        <w:tc>
          <w:tcPr>
            <w:tcW w:w="1347" w:type="dxa"/>
            <w:tcBorders>
              <w:top w:val="single" w:sz="4" w:space="0" w:color="auto"/>
            </w:tcBorders>
            <w:vAlign w:val="center"/>
          </w:tcPr>
          <w:p w14:paraId="2AF4221D" w14:textId="6F451662" w:rsidR="009842E9" w:rsidRPr="00E70587" w:rsidRDefault="008A6B58" w:rsidP="00131CF4">
            <w:pPr>
              <w:ind w:right="206"/>
              <w:jc w:val="right"/>
              <w:rPr>
                <w:rFonts w:ascii="Arial" w:eastAsia="Verdana" w:hAnsi="Arial" w:cs="Arial"/>
                <w:color w:val="000000"/>
                <w:sz w:val="20"/>
              </w:rPr>
            </w:pPr>
            <w:r>
              <w:rPr>
                <w:rFonts w:ascii="Arial" w:eastAsia="Verdana" w:hAnsi="Arial" w:cs="Arial"/>
                <w:color w:val="000000"/>
                <w:sz w:val="20"/>
              </w:rPr>
              <w:t>-</w:t>
            </w:r>
          </w:p>
        </w:tc>
        <w:tc>
          <w:tcPr>
            <w:tcW w:w="1347" w:type="dxa"/>
            <w:tcBorders>
              <w:top w:val="single" w:sz="4" w:space="0" w:color="auto"/>
            </w:tcBorders>
          </w:tcPr>
          <w:p w14:paraId="72CD754B" w14:textId="4878A483" w:rsidR="009842E9" w:rsidRPr="00E70587" w:rsidRDefault="008A6B58" w:rsidP="00131CF4">
            <w:pPr>
              <w:ind w:right="206"/>
              <w:jc w:val="right"/>
              <w:rPr>
                <w:rFonts w:ascii="Arial" w:eastAsia="Tahoma" w:hAnsi="Arial" w:cs="Arial"/>
                <w:b/>
                <w:color w:val="000000"/>
                <w:sz w:val="20"/>
              </w:rPr>
            </w:pPr>
            <w:r>
              <w:rPr>
                <w:rFonts w:ascii="Arial" w:eastAsia="Tahoma" w:hAnsi="Arial" w:cs="Arial"/>
                <w:b/>
                <w:color w:val="000000"/>
                <w:sz w:val="20"/>
              </w:rPr>
              <w:t>-</w:t>
            </w:r>
          </w:p>
        </w:tc>
        <w:tc>
          <w:tcPr>
            <w:tcW w:w="1347" w:type="dxa"/>
            <w:tcBorders>
              <w:top w:val="single" w:sz="4" w:space="0" w:color="auto"/>
            </w:tcBorders>
            <w:vAlign w:val="center"/>
          </w:tcPr>
          <w:p w14:paraId="4F19B861"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1,86,795</w:t>
            </w:r>
          </w:p>
        </w:tc>
      </w:tr>
      <w:tr w:rsidR="009842E9" w:rsidRPr="00E70587" w14:paraId="23861361" w14:textId="77777777" w:rsidTr="00131CF4">
        <w:trPr>
          <w:trHeight w:hRule="exact" w:val="284"/>
        </w:trPr>
        <w:tc>
          <w:tcPr>
            <w:tcW w:w="3539" w:type="dxa"/>
            <w:vAlign w:val="center"/>
          </w:tcPr>
          <w:p w14:paraId="65313AC3" w14:textId="77777777" w:rsidR="009842E9" w:rsidRPr="00E70587" w:rsidRDefault="009842E9" w:rsidP="00131CF4">
            <w:pPr>
              <w:ind w:left="115"/>
              <w:rPr>
                <w:rFonts w:ascii="Arial" w:eastAsia="Verdana" w:hAnsi="Arial" w:cs="Arial"/>
                <w:color w:val="000000"/>
                <w:sz w:val="20"/>
              </w:rPr>
            </w:pPr>
            <w:r w:rsidRPr="00E70587">
              <w:rPr>
                <w:rFonts w:ascii="Arial" w:eastAsia="Verdana" w:hAnsi="Arial" w:cs="Arial"/>
                <w:color w:val="000000"/>
                <w:sz w:val="20"/>
              </w:rPr>
              <w:lastRenderedPageBreak/>
              <w:t>Sale of electronics equipment</w:t>
            </w:r>
          </w:p>
        </w:tc>
        <w:tc>
          <w:tcPr>
            <w:tcW w:w="1346" w:type="dxa"/>
            <w:vAlign w:val="center"/>
          </w:tcPr>
          <w:p w14:paraId="2CA83F34" w14:textId="574C199E" w:rsidR="009842E9" w:rsidRPr="00E70587" w:rsidRDefault="008A6B58" w:rsidP="00131CF4">
            <w:pPr>
              <w:ind w:right="206"/>
              <w:jc w:val="right"/>
              <w:rPr>
                <w:rFonts w:ascii="Arial" w:eastAsia="Verdana" w:hAnsi="Arial" w:cs="Arial"/>
                <w:color w:val="000000"/>
                <w:sz w:val="20"/>
              </w:rPr>
            </w:pPr>
            <w:r>
              <w:rPr>
                <w:rFonts w:ascii="Arial" w:eastAsia="Verdana" w:hAnsi="Arial" w:cs="Arial"/>
                <w:color w:val="000000"/>
                <w:sz w:val="20"/>
              </w:rPr>
              <w:t>-</w:t>
            </w:r>
          </w:p>
        </w:tc>
        <w:tc>
          <w:tcPr>
            <w:tcW w:w="1347" w:type="dxa"/>
            <w:vAlign w:val="center"/>
          </w:tcPr>
          <w:p w14:paraId="4D8D8B1A"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1,04,673</w:t>
            </w:r>
          </w:p>
        </w:tc>
        <w:tc>
          <w:tcPr>
            <w:tcW w:w="1347" w:type="dxa"/>
          </w:tcPr>
          <w:p w14:paraId="4A1E3CC9" w14:textId="1D7FAF0C" w:rsidR="009842E9" w:rsidRPr="00E70587" w:rsidRDefault="008A6B58" w:rsidP="00131CF4">
            <w:pPr>
              <w:ind w:right="206"/>
              <w:jc w:val="right"/>
              <w:rPr>
                <w:rFonts w:ascii="Arial" w:eastAsia="Tahoma" w:hAnsi="Arial" w:cs="Arial"/>
                <w:b/>
                <w:color w:val="000000"/>
                <w:sz w:val="20"/>
              </w:rPr>
            </w:pPr>
            <w:r>
              <w:rPr>
                <w:rFonts w:ascii="Arial" w:eastAsia="Tahoma" w:hAnsi="Arial" w:cs="Arial"/>
                <w:b/>
                <w:color w:val="000000"/>
                <w:sz w:val="20"/>
              </w:rPr>
              <w:t>-</w:t>
            </w:r>
          </w:p>
        </w:tc>
        <w:tc>
          <w:tcPr>
            <w:tcW w:w="1347" w:type="dxa"/>
            <w:vAlign w:val="center"/>
          </w:tcPr>
          <w:p w14:paraId="050ECAC8"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1,04,673</w:t>
            </w:r>
          </w:p>
        </w:tc>
      </w:tr>
      <w:tr w:rsidR="009842E9" w:rsidRPr="00E70587" w14:paraId="26BC9461" w14:textId="77777777" w:rsidTr="00131CF4">
        <w:trPr>
          <w:trHeight w:val="351"/>
        </w:trPr>
        <w:tc>
          <w:tcPr>
            <w:tcW w:w="3539" w:type="dxa"/>
            <w:vAlign w:val="center"/>
          </w:tcPr>
          <w:p w14:paraId="69A236F8" w14:textId="77777777" w:rsidR="009842E9" w:rsidRPr="00E70587" w:rsidRDefault="009842E9" w:rsidP="00131CF4">
            <w:pPr>
              <w:ind w:left="115"/>
              <w:rPr>
                <w:rFonts w:ascii="Arial" w:eastAsia="Verdana" w:hAnsi="Arial" w:cs="Arial"/>
                <w:color w:val="000000"/>
                <w:sz w:val="20"/>
              </w:rPr>
            </w:pPr>
            <w:r w:rsidRPr="00E70587">
              <w:rPr>
                <w:rFonts w:ascii="Arial" w:eastAsia="Verdana" w:hAnsi="Arial" w:cs="Arial"/>
                <w:color w:val="000000"/>
                <w:sz w:val="20"/>
              </w:rPr>
              <w:t>Installation services</w:t>
            </w:r>
          </w:p>
        </w:tc>
        <w:tc>
          <w:tcPr>
            <w:tcW w:w="1346" w:type="dxa"/>
            <w:vAlign w:val="center"/>
          </w:tcPr>
          <w:p w14:paraId="0F23B3EB"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30,836</w:t>
            </w:r>
          </w:p>
        </w:tc>
        <w:tc>
          <w:tcPr>
            <w:tcW w:w="1347" w:type="dxa"/>
            <w:vAlign w:val="center"/>
          </w:tcPr>
          <w:p w14:paraId="67BA0075" w14:textId="79D493AF" w:rsidR="009842E9" w:rsidRPr="00E70587" w:rsidRDefault="008A6B58" w:rsidP="00131CF4">
            <w:pPr>
              <w:ind w:right="206"/>
              <w:jc w:val="right"/>
              <w:rPr>
                <w:rFonts w:ascii="Arial" w:eastAsia="Tahoma" w:hAnsi="Arial" w:cs="Arial"/>
                <w:b/>
                <w:color w:val="000000"/>
                <w:sz w:val="20"/>
              </w:rPr>
            </w:pPr>
            <w:r>
              <w:rPr>
                <w:rFonts w:ascii="Arial" w:eastAsia="Tahoma" w:hAnsi="Arial" w:cs="Arial"/>
                <w:b/>
                <w:color w:val="000000"/>
                <w:sz w:val="20"/>
              </w:rPr>
              <w:t>-</w:t>
            </w:r>
          </w:p>
        </w:tc>
        <w:tc>
          <w:tcPr>
            <w:tcW w:w="1347" w:type="dxa"/>
            <w:vAlign w:val="center"/>
          </w:tcPr>
          <w:p w14:paraId="65B06A49" w14:textId="6B32911D" w:rsidR="009842E9" w:rsidRPr="00E70587" w:rsidRDefault="008A6B58" w:rsidP="00131CF4">
            <w:pPr>
              <w:ind w:right="206"/>
              <w:jc w:val="right"/>
              <w:rPr>
                <w:rFonts w:ascii="Arial" w:eastAsia="Tahoma" w:hAnsi="Arial" w:cs="Arial"/>
                <w:b/>
                <w:color w:val="000000"/>
                <w:sz w:val="20"/>
              </w:rPr>
            </w:pPr>
            <w:r>
              <w:rPr>
                <w:rFonts w:ascii="Arial" w:eastAsia="Tahoma" w:hAnsi="Arial" w:cs="Arial"/>
                <w:b/>
                <w:color w:val="000000"/>
                <w:sz w:val="20"/>
              </w:rPr>
              <w:t>-</w:t>
            </w:r>
          </w:p>
        </w:tc>
        <w:tc>
          <w:tcPr>
            <w:tcW w:w="1347" w:type="dxa"/>
            <w:vAlign w:val="center"/>
          </w:tcPr>
          <w:p w14:paraId="3BEA4DEF"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30,836</w:t>
            </w:r>
          </w:p>
        </w:tc>
      </w:tr>
      <w:tr w:rsidR="009842E9" w:rsidRPr="00E70587" w14:paraId="7C6D441C" w14:textId="77777777" w:rsidTr="00131CF4">
        <w:trPr>
          <w:trHeight w:hRule="exact" w:val="289"/>
        </w:trPr>
        <w:tc>
          <w:tcPr>
            <w:tcW w:w="3539" w:type="dxa"/>
            <w:vAlign w:val="center"/>
          </w:tcPr>
          <w:p w14:paraId="2B951CD0" w14:textId="77777777" w:rsidR="009842E9" w:rsidRPr="00E70587" w:rsidRDefault="009842E9" w:rsidP="00131CF4">
            <w:pPr>
              <w:ind w:left="115"/>
              <w:rPr>
                <w:rFonts w:ascii="Arial" w:eastAsia="Verdana" w:hAnsi="Arial" w:cs="Arial"/>
                <w:color w:val="000000"/>
                <w:sz w:val="20"/>
              </w:rPr>
            </w:pPr>
            <w:r w:rsidRPr="00E70587">
              <w:rPr>
                <w:rFonts w:ascii="Arial" w:eastAsia="Verdana" w:hAnsi="Arial" w:cs="Arial"/>
                <w:color w:val="000000"/>
                <w:sz w:val="20"/>
              </w:rPr>
              <w:t>Income from investment properties</w:t>
            </w:r>
          </w:p>
          <w:p w14:paraId="127F2DA9" w14:textId="77777777" w:rsidR="009842E9" w:rsidRPr="00E70587" w:rsidRDefault="009842E9" w:rsidP="00131CF4">
            <w:pPr>
              <w:ind w:left="115"/>
              <w:rPr>
                <w:rFonts w:ascii="Arial" w:eastAsia="Verdana" w:hAnsi="Arial" w:cs="Arial"/>
                <w:color w:val="000000"/>
                <w:sz w:val="20"/>
              </w:rPr>
            </w:pPr>
          </w:p>
        </w:tc>
        <w:tc>
          <w:tcPr>
            <w:tcW w:w="1346" w:type="dxa"/>
            <w:vAlign w:val="center"/>
          </w:tcPr>
          <w:p w14:paraId="3407548F" w14:textId="0DF5FF26" w:rsidR="009842E9" w:rsidRPr="00E70587" w:rsidRDefault="008A6B58" w:rsidP="00131CF4">
            <w:pPr>
              <w:ind w:right="206"/>
              <w:jc w:val="right"/>
              <w:rPr>
                <w:rFonts w:ascii="Arial" w:eastAsia="Tahoma" w:hAnsi="Arial" w:cs="Arial"/>
                <w:b/>
                <w:color w:val="000000"/>
                <w:sz w:val="20"/>
              </w:rPr>
            </w:pPr>
            <w:r>
              <w:rPr>
                <w:rFonts w:ascii="Arial" w:eastAsia="Tahoma" w:hAnsi="Arial" w:cs="Arial"/>
                <w:b/>
                <w:color w:val="000000"/>
                <w:sz w:val="20"/>
              </w:rPr>
              <w:t>-</w:t>
            </w:r>
          </w:p>
        </w:tc>
        <w:tc>
          <w:tcPr>
            <w:tcW w:w="1347" w:type="dxa"/>
            <w:vAlign w:val="center"/>
          </w:tcPr>
          <w:p w14:paraId="1843B337" w14:textId="314A00CA" w:rsidR="009842E9" w:rsidRPr="00E70587" w:rsidRDefault="008A6B58" w:rsidP="00131CF4">
            <w:pPr>
              <w:ind w:right="206"/>
              <w:jc w:val="right"/>
              <w:rPr>
                <w:rFonts w:ascii="Arial" w:eastAsia="Tahoma" w:hAnsi="Arial" w:cs="Arial"/>
                <w:b/>
                <w:color w:val="000000"/>
                <w:sz w:val="20"/>
              </w:rPr>
            </w:pPr>
            <w:r>
              <w:rPr>
                <w:rFonts w:ascii="Arial" w:eastAsia="Tahoma" w:hAnsi="Arial" w:cs="Arial"/>
                <w:b/>
                <w:color w:val="000000"/>
                <w:sz w:val="20"/>
              </w:rPr>
              <w:t>-</w:t>
            </w:r>
          </w:p>
        </w:tc>
        <w:tc>
          <w:tcPr>
            <w:tcW w:w="1347" w:type="dxa"/>
            <w:vAlign w:val="center"/>
          </w:tcPr>
          <w:p w14:paraId="783F0078"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Verdana" w:hAnsi="Arial" w:cs="Arial"/>
                <w:color w:val="000000"/>
                <w:sz w:val="20"/>
              </w:rPr>
              <w:t>2,527</w:t>
            </w:r>
          </w:p>
        </w:tc>
        <w:tc>
          <w:tcPr>
            <w:tcW w:w="1347" w:type="dxa"/>
            <w:vAlign w:val="center"/>
          </w:tcPr>
          <w:p w14:paraId="24020457"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Verdana" w:hAnsi="Arial" w:cs="Arial"/>
                <w:color w:val="000000"/>
                <w:sz w:val="20"/>
              </w:rPr>
              <w:t>2,527</w:t>
            </w:r>
          </w:p>
        </w:tc>
      </w:tr>
      <w:tr w:rsidR="009842E9" w:rsidRPr="00E70587" w14:paraId="64DD8A87" w14:textId="77777777" w:rsidTr="00131CF4">
        <w:trPr>
          <w:trHeight w:hRule="exact" w:val="423"/>
        </w:trPr>
        <w:tc>
          <w:tcPr>
            <w:tcW w:w="3539" w:type="dxa"/>
            <w:vAlign w:val="center"/>
          </w:tcPr>
          <w:p w14:paraId="06DAE375" w14:textId="77777777" w:rsidR="009842E9" w:rsidRPr="00E70587" w:rsidRDefault="009842E9" w:rsidP="00131CF4">
            <w:pPr>
              <w:ind w:left="115"/>
              <w:rPr>
                <w:rFonts w:ascii="Arial" w:eastAsia="Tahoma" w:hAnsi="Arial" w:cs="Arial"/>
                <w:b/>
                <w:color w:val="000000"/>
                <w:sz w:val="20"/>
              </w:rPr>
            </w:pPr>
            <w:r w:rsidRPr="00E70587">
              <w:rPr>
                <w:rFonts w:ascii="Arial" w:eastAsia="Tahoma" w:hAnsi="Arial" w:cs="Arial"/>
                <w:b/>
                <w:color w:val="000000"/>
                <w:sz w:val="20"/>
              </w:rPr>
              <w:t>Total revenue from contracts with customers</w:t>
            </w:r>
          </w:p>
        </w:tc>
        <w:tc>
          <w:tcPr>
            <w:tcW w:w="1346" w:type="dxa"/>
            <w:vAlign w:val="center"/>
          </w:tcPr>
          <w:p w14:paraId="1654A798"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2,17,631</w:t>
            </w:r>
          </w:p>
        </w:tc>
        <w:tc>
          <w:tcPr>
            <w:tcW w:w="1347" w:type="dxa"/>
            <w:vAlign w:val="center"/>
          </w:tcPr>
          <w:p w14:paraId="48AE2C83"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1,04,673</w:t>
            </w:r>
          </w:p>
        </w:tc>
        <w:tc>
          <w:tcPr>
            <w:tcW w:w="1347" w:type="dxa"/>
          </w:tcPr>
          <w:p w14:paraId="03A13885" w14:textId="77777777" w:rsidR="00131CF4" w:rsidRDefault="00131CF4" w:rsidP="00131CF4">
            <w:pPr>
              <w:ind w:right="206"/>
              <w:jc w:val="right"/>
              <w:rPr>
                <w:rFonts w:ascii="Arial" w:eastAsia="Tahoma" w:hAnsi="Arial" w:cs="Arial"/>
                <w:b/>
                <w:color w:val="000000"/>
                <w:sz w:val="20"/>
              </w:rPr>
            </w:pPr>
          </w:p>
          <w:p w14:paraId="5CEE8391" w14:textId="6D341F4A"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2,527</w:t>
            </w:r>
          </w:p>
        </w:tc>
        <w:tc>
          <w:tcPr>
            <w:tcW w:w="1347" w:type="dxa"/>
            <w:vAlign w:val="center"/>
          </w:tcPr>
          <w:p w14:paraId="453A33AF"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3,24,831</w:t>
            </w:r>
          </w:p>
        </w:tc>
      </w:tr>
      <w:tr w:rsidR="009842E9" w:rsidRPr="00E70587" w14:paraId="56D2FBB9" w14:textId="77777777" w:rsidTr="00131CF4">
        <w:trPr>
          <w:trHeight w:hRule="exact" w:val="340"/>
        </w:trPr>
        <w:tc>
          <w:tcPr>
            <w:tcW w:w="3539" w:type="dxa"/>
            <w:vAlign w:val="center"/>
          </w:tcPr>
          <w:p w14:paraId="22184199" w14:textId="77777777" w:rsidR="009842E9" w:rsidRPr="00E70587" w:rsidRDefault="009842E9" w:rsidP="00131CF4">
            <w:pPr>
              <w:ind w:left="115"/>
              <w:rPr>
                <w:rFonts w:ascii="Arial" w:eastAsia="Tahoma" w:hAnsi="Arial" w:cs="Arial"/>
                <w:b/>
                <w:color w:val="000000"/>
                <w:sz w:val="20"/>
              </w:rPr>
            </w:pPr>
            <w:r w:rsidRPr="00E70587">
              <w:rPr>
                <w:rFonts w:ascii="Arial" w:eastAsia="Tahoma" w:hAnsi="Arial" w:cs="Arial"/>
                <w:b/>
                <w:color w:val="000000"/>
                <w:sz w:val="20"/>
              </w:rPr>
              <w:t>Geographical markets</w:t>
            </w:r>
          </w:p>
        </w:tc>
        <w:tc>
          <w:tcPr>
            <w:tcW w:w="1346" w:type="dxa"/>
          </w:tcPr>
          <w:p w14:paraId="17995B48" w14:textId="77777777" w:rsidR="009842E9" w:rsidRPr="00E70587" w:rsidRDefault="009842E9" w:rsidP="00131CF4">
            <w:pPr>
              <w:ind w:right="206"/>
              <w:jc w:val="right"/>
              <w:rPr>
                <w:rFonts w:ascii="Arial" w:eastAsia="Verdana" w:hAnsi="Arial" w:cs="Arial"/>
                <w:color w:val="000000"/>
                <w:sz w:val="20"/>
              </w:rPr>
            </w:pPr>
          </w:p>
        </w:tc>
        <w:tc>
          <w:tcPr>
            <w:tcW w:w="1347" w:type="dxa"/>
          </w:tcPr>
          <w:p w14:paraId="714FA4AE" w14:textId="77777777" w:rsidR="009842E9" w:rsidRPr="00E70587" w:rsidRDefault="009842E9" w:rsidP="00131CF4">
            <w:pPr>
              <w:ind w:right="206"/>
              <w:jc w:val="right"/>
              <w:rPr>
                <w:rFonts w:ascii="Arial" w:eastAsia="Verdana" w:hAnsi="Arial" w:cs="Arial"/>
                <w:color w:val="000000"/>
                <w:sz w:val="20"/>
              </w:rPr>
            </w:pPr>
          </w:p>
        </w:tc>
        <w:tc>
          <w:tcPr>
            <w:tcW w:w="1347" w:type="dxa"/>
          </w:tcPr>
          <w:p w14:paraId="176DAB03" w14:textId="77777777" w:rsidR="009842E9" w:rsidRPr="00E70587" w:rsidRDefault="009842E9" w:rsidP="00131CF4">
            <w:pPr>
              <w:ind w:right="206"/>
              <w:jc w:val="right"/>
              <w:rPr>
                <w:rFonts w:ascii="Arial" w:eastAsia="Verdana" w:hAnsi="Arial" w:cs="Arial"/>
                <w:color w:val="000000"/>
                <w:sz w:val="20"/>
              </w:rPr>
            </w:pPr>
          </w:p>
        </w:tc>
        <w:tc>
          <w:tcPr>
            <w:tcW w:w="1347" w:type="dxa"/>
          </w:tcPr>
          <w:p w14:paraId="6546590C" w14:textId="77777777" w:rsidR="009842E9" w:rsidRPr="00E70587" w:rsidRDefault="009842E9" w:rsidP="00131CF4">
            <w:pPr>
              <w:ind w:right="206"/>
              <w:jc w:val="right"/>
              <w:rPr>
                <w:rFonts w:ascii="Arial" w:eastAsia="Verdana" w:hAnsi="Arial" w:cs="Arial"/>
                <w:color w:val="000000"/>
                <w:sz w:val="20"/>
              </w:rPr>
            </w:pPr>
          </w:p>
        </w:tc>
      </w:tr>
      <w:tr w:rsidR="009842E9" w:rsidRPr="00E70587" w14:paraId="1597414F" w14:textId="77777777" w:rsidTr="00131CF4">
        <w:trPr>
          <w:trHeight w:hRule="exact" w:val="284"/>
        </w:trPr>
        <w:tc>
          <w:tcPr>
            <w:tcW w:w="3539" w:type="dxa"/>
            <w:vAlign w:val="center"/>
          </w:tcPr>
          <w:p w14:paraId="770FC44A" w14:textId="77777777" w:rsidR="009842E9" w:rsidRPr="00E70587" w:rsidRDefault="009842E9" w:rsidP="00131CF4">
            <w:pPr>
              <w:ind w:left="115"/>
              <w:rPr>
                <w:rFonts w:ascii="Arial" w:eastAsia="Verdana" w:hAnsi="Arial" w:cs="Arial"/>
                <w:color w:val="000000"/>
                <w:sz w:val="20"/>
              </w:rPr>
            </w:pPr>
            <w:r w:rsidRPr="00E70587">
              <w:rPr>
                <w:rFonts w:ascii="Arial" w:eastAsia="Verdana" w:hAnsi="Arial" w:cs="Arial"/>
                <w:color w:val="000000"/>
                <w:sz w:val="20"/>
              </w:rPr>
              <w:t>India</w:t>
            </w:r>
          </w:p>
        </w:tc>
        <w:tc>
          <w:tcPr>
            <w:tcW w:w="1346" w:type="dxa"/>
            <w:vAlign w:val="center"/>
          </w:tcPr>
          <w:p w14:paraId="32EA5427"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1,75,631</w:t>
            </w:r>
          </w:p>
        </w:tc>
        <w:tc>
          <w:tcPr>
            <w:tcW w:w="1347" w:type="dxa"/>
            <w:vAlign w:val="center"/>
          </w:tcPr>
          <w:p w14:paraId="62AB2D04"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82,793</w:t>
            </w:r>
          </w:p>
        </w:tc>
        <w:tc>
          <w:tcPr>
            <w:tcW w:w="1347" w:type="dxa"/>
          </w:tcPr>
          <w:p w14:paraId="5BEACBEB"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Verdana" w:hAnsi="Arial" w:cs="Arial"/>
                <w:color w:val="000000"/>
                <w:sz w:val="20"/>
              </w:rPr>
              <w:t>2,527</w:t>
            </w:r>
          </w:p>
        </w:tc>
        <w:tc>
          <w:tcPr>
            <w:tcW w:w="1347" w:type="dxa"/>
            <w:vAlign w:val="center"/>
          </w:tcPr>
          <w:p w14:paraId="599DCB90"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2,60,951</w:t>
            </w:r>
          </w:p>
        </w:tc>
      </w:tr>
      <w:tr w:rsidR="009842E9" w:rsidRPr="00E70587" w14:paraId="7A570AAD" w14:textId="77777777" w:rsidTr="00131CF4">
        <w:trPr>
          <w:trHeight w:hRule="exact" w:val="307"/>
        </w:trPr>
        <w:tc>
          <w:tcPr>
            <w:tcW w:w="3539" w:type="dxa"/>
            <w:vAlign w:val="center"/>
          </w:tcPr>
          <w:p w14:paraId="66B1400D" w14:textId="77777777" w:rsidR="009842E9" w:rsidRPr="00E70587" w:rsidRDefault="009842E9" w:rsidP="00131CF4">
            <w:pPr>
              <w:ind w:left="115"/>
              <w:rPr>
                <w:rFonts w:ascii="Arial" w:eastAsia="Verdana" w:hAnsi="Arial" w:cs="Arial"/>
                <w:color w:val="000000"/>
                <w:sz w:val="20"/>
              </w:rPr>
            </w:pPr>
            <w:r w:rsidRPr="00E70587">
              <w:rPr>
                <w:rFonts w:ascii="Arial" w:eastAsia="Verdana" w:hAnsi="Arial" w:cs="Arial"/>
                <w:color w:val="000000"/>
                <w:sz w:val="20"/>
              </w:rPr>
              <w:t>Outside India</w:t>
            </w:r>
          </w:p>
        </w:tc>
        <w:tc>
          <w:tcPr>
            <w:tcW w:w="1346" w:type="dxa"/>
            <w:vAlign w:val="center"/>
          </w:tcPr>
          <w:p w14:paraId="38F31016"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42,000</w:t>
            </w:r>
          </w:p>
        </w:tc>
        <w:tc>
          <w:tcPr>
            <w:tcW w:w="1347" w:type="dxa"/>
            <w:vAlign w:val="center"/>
          </w:tcPr>
          <w:p w14:paraId="5FBCDBE8"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21,880</w:t>
            </w:r>
          </w:p>
        </w:tc>
        <w:tc>
          <w:tcPr>
            <w:tcW w:w="1347" w:type="dxa"/>
          </w:tcPr>
          <w:p w14:paraId="6B4D2ACC" w14:textId="5B0209AD" w:rsidR="009842E9" w:rsidRPr="00E70587" w:rsidRDefault="00131CF4" w:rsidP="00131CF4">
            <w:pPr>
              <w:ind w:right="206"/>
              <w:jc w:val="right"/>
              <w:rPr>
                <w:rFonts w:ascii="Arial" w:eastAsia="Tahoma" w:hAnsi="Arial" w:cs="Arial"/>
                <w:b/>
                <w:color w:val="000000"/>
                <w:sz w:val="20"/>
              </w:rPr>
            </w:pPr>
            <w:r>
              <w:rPr>
                <w:rFonts w:ascii="Arial" w:eastAsia="Tahoma" w:hAnsi="Arial" w:cs="Arial"/>
                <w:b/>
                <w:color w:val="000000"/>
                <w:sz w:val="20"/>
              </w:rPr>
              <w:t>-</w:t>
            </w:r>
          </w:p>
        </w:tc>
        <w:tc>
          <w:tcPr>
            <w:tcW w:w="1347" w:type="dxa"/>
            <w:vAlign w:val="center"/>
          </w:tcPr>
          <w:p w14:paraId="0A6FB3F2"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63,880</w:t>
            </w:r>
          </w:p>
        </w:tc>
      </w:tr>
      <w:tr w:rsidR="009842E9" w:rsidRPr="00E70587" w14:paraId="10D0385C" w14:textId="77777777" w:rsidTr="00131CF4">
        <w:trPr>
          <w:trHeight w:hRule="exact" w:val="451"/>
        </w:trPr>
        <w:tc>
          <w:tcPr>
            <w:tcW w:w="3539" w:type="dxa"/>
            <w:vAlign w:val="center"/>
          </w:tcPr>
          <w:p w14:paraId="78417ECA" w14:textId="77777777" w:rsidR="009842E9" w:rsidRPr="00E70587" w:rsidRDefault="009842E9" w:rsidP="00131CF4">
            <w:pPr>
              <w:ind w:left="115"/>
              <w:rPr>
                <w:rFonts w:ascii="Arial" w:eastAsia="Tahoma" w:hAnsi="Arial" w:cs="Arial"/>
                <w:b/>
                <w:color w:val="000000"/>
                <w:sz w:val="20"/>
              </w:rPr>
            </w:pPr>
            <w:r w:rsidRPr="00E70587">
              <w:rPr>
                <w:rFonts w:ascii="Arial" w:eastAsia="Tahoma" w:hAnsi="Arial" w:cs="Arial"/>
                <w:b/>
                <w:color w:val="000000"/>
                <w:sz w:val="20"/>
              </w:rPr>
              <w:t>Total revenue from contracts with customers</w:t>
            </w:r>
          </w:p>
        </w:tc>
        <w:tc>
          <w:tcPr>
            <w:tcW w:w="1346" w:type="dxa"/>
            <w:vAlign w:val="center"/>
          </w:tcPr>
          <w:p w14:paraId="03A9F39D"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2,17,631</w:t>
            </w:r>
          </w:p>
        </w:tc>
        <w:tc>
          <w:tcPr>
            <w:tcW w:w="1347" w:type="dxa"/>
            <w:vAlign w:val="center"/>
          </w:tcPr>
          <w:p w14:paraId="29F374A0"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1,04,673</w:t>
            </w:r>
          </w:p>
        </w:tc>
        <w:tc>
          <w:tcPr>
            <w:tcW w:w="1347" w:type="dxa"/>
          </w:tcPr>
          <w:p w14:paraId="7BCDE681"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Verdana" w:hAnsi="Arial" w:cs="Arial"/>
                <w:b/>
                <w:color w:val="000000"/>
                <w:sz w:val="20"/>
              </w:rPr>
              <w:t>2</w:t>
            </w:r>
            <w:r w:rsidRPr="00E70587">
              <w:rPr>
                <w:rFonts w:ascii="Arial" w:eastAsia="Tahoma" w:hAnsi="Arial" w:cs="Arial"/>
                <w:b/>
                <w:color w:val="000000"/>
                <w:sz w:val="20"/>
              </w:rPr>
              <w:t>,527</w:t>
            </w:r>
          </w:p>
        </w:tc>
        <w:tc>
          <w:tcPr>
            <w:tcW w:w="1347" w:type="dxa"/>
            <w:vAlign w:val="center"/>
          </w:tcPr>
          <w:p w14:paraId="2510CE8A"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3,24,831</w:t>
            </w:r>
          </w:p>
        </w:tc>
      </w:tr>
      <w:tr w:rsidR="009842E9" w:rsidRPr="00E70587" w14:paraId="0032B807" w14:textId="77777777" w:rsidTr="00131CF4">
        <w:trPr>
          <w:trHeight w:hRule="exact" w:val="331"/>
        </w:trPr>
        <w:tc>
          <w:tcPr>
            <w:tcW w:w="3539" w:type="dxa"/>
            <w:vAlign w:val="center"/>
          </w:tcPr>
          <w:p w14:paraId="1F0EEC0E" w14:textId="77777777" w:rsidR="009842E9" w:rsidRPr="00E70587" w:rsidRDefault="009842E9" w:rsidP="00131CF4">
            <w:pPr>
              <w:ind w:left="115"/>
              <w:rPr>
                <w:rFonts w:ascii="Arial" w:eastAsia="Tahoma" w:hAnsi="Arial" w:cs="Arial"/>
                <w:b/>
                <w:color w:val="000000"/>
                <w:sz w:val="20"/>
              </w:rPr>
            </w:pPr>
            <w:r w:rsidRPr="00E70587">
              <w:rPr>
                <w:rFonts w:ascii="Arial" w:eastAsia="Tahoma" w:hAnsi="Arial" w:cs="Arial"/>
                <w:b/>
                <w:color w:val="000000"/>
                <w:sz w:val="20"/>
              </w:rPr>
              <w:t>Timing of revenue recognition</w:t>
            </w:r>
          </w:p>
        </w:tc>
        <w:tc>
          <w:tcPr>
            <w:tcW w:w="1346" w:type="dxa"/>
          </w:tcPr>
          <w:p w14:paraId="1A828544" w14:textId="77777777" w:rsidR="009842E9" w:rsidRPr="00E70587" w:rsidRDefault="009842E9" w:rsidP="00131CF4">
            <w:pPr>
              <w:ind w:right="206"/>
              <w:jc w:val="right"/>
              <w:rPr>
                <w:rFonts w:ascii="Arial" w:eastAsia="Verdana" w:hAnsi="Arial" w:cs="Arial"/>
                <w:color w:val="000000"/>
                <w:sz w:val="20"/>
              </w:rPr>
            </w:pPr>
          </w:p>
        </w:tc>
        <w:tc>
          <w:tcPr>
            <w:tcW w:w="1347" w:type="dxa"/>
          </w:tcPr>
          <w:p w14:paraId="1C3F53AD" w14:textId="77777777" w:rsidR="009842E9" w:rsidRPr="00E70587" w:rsidRDefault="009842E9" w:rsidP="00131CF4">
            <w:pPr>
              <w:ind w:right="206"/>
              <w:jc w:val="right"/>
              <w:rPr>
                <w:rFonts w:ascii="Arial" w:eastAsia="Verdana" w:hAnsi="Arial" w:cs="Arial"/>
                <w:color w:val="000000"/>
                <w:sz w:val="20"/>
              </w:rPr>
            </w:pPr>
          </w:p>
        </w:tc>
        <w:tc>
          <w:tcPr>
            <w:tcW w:w="1347" w:type="dxa"/>
          </w:tcPr>
          <w:p w14:paraId="4479E2BF" w14:textId="77777777" w:rsidR="009842E9" w:rsidRPr="00E70587" w:rsidRDefault="009842E9" w:rsidP="00131CF4">
            <w:pPr>
              <w:ind w:right="206"/>
              <w:jc w:val="right"/>
              <w:rPr>
                <w:rFonts w:ascii="Arial" w:eastAsia="Verdana" w:hAnsi="Arial" w:cs="Arial"/>
                <w:color w:val="000000"/>
                <w:sz w:val="20"/>
              </w:rPr>
            </w:pPr>
          </w:p>
        </w:tc>
        <w:tc>
          <w:tcPr>
            <w:tcW w:w="1347" w:type="dxa"/>
          </w:tcPr>
          <w:p w14:paraId="12FC9D7E" w14:textId="77777777" w:rsidR="009842E9" w:rsidRPr="00E70587" w:rsidRDefault="009842E9" w:rsidP="00131CF4">
            <w:pPr>
              <w:ind w:right="206"/>
              <w:jc w:val="right"/>
              <w:rPr>
                <w:rFonts w:ascii="Arial" w:eastAsia="Verdana" w:hAnsi="Arial" w:cs="Arial"/>
                <w:color w:val="000000"/>
                <w:sz w:val="20"/>
              </w:rPr>
            </w:pPr>
          </w:p>
        </w:tc>
      </w:tr>
      <w:tr w:rsidR="009842E9" w:rsidRPr="00E70587" w14:paraId="65B6D8B5" w14:textId="77777777" w:rsidTr="00131CF4">
        <w:trPr>
          <w:trHeight w:hRule="exact" w:val="288"/>
        </w:trPr>
        <w:tc>
          <w:tcPr>
            <w:tcW w:w="3539" w:type="dxa"/>
            <w:vAlign w:val="center"/>
          </w:tcPr>
          <w:p w14:paraId="34CAA26F" w14:textId="77777777" w:rsidR="009842E9" w:rsidRPr="00E70587" w:rsidRDefault="009842E9" w:rsidP="00131CF4">
            <w:pPr>
              <w:ind w:left="115"/>
              <w:rPr>
                <w:rFonts w:ascii="Arial" w:eastAsia="Verdana" w:hAnsi="Arial" w:cs="Arial"/>
                <w:color w:val="000000"/>
                <w:sz w:val="20"/>
              </w:rPr>
            </w:pPr>
            <w:r w:rsidRPr="00E70587">
              <w:rPr>
                <w:rFonts w:ascii="Arial" w:eastAsia="Verdana" w:hAnsi="Arial" w:cs="Arial"/>
                <w:color w:val="000000"/>
                <w:sz w:val="20"/>
              </w:rPr>
              <w:t>Goods transferred at a point in time</w:t>
            </w:r>
          </w:p>
        </w:tc>
        <w:tc>
          <w:tcPr>
            <w:tcW w:w="1346" w:type="dxa"/>
            <w:vAlign w:val="center"/>
          </w:tcPr>
          <w:p w14:paraId="5CC65783"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1,86,795</w:t>
            </w:r>
          </w:p>
        </w:tc>
        <w:tc>
          <w:tcPr>
            <w:tcW w:w="1347" w:type="dxa"/>
            <w:vAlign w:val="center"/>
          </w:tcPr>
          <w:p w14:paraId="401826FD"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1,04,673</w:t>
            </w:r>
          </w:p>
        </w:tc>
        <w:tc>
          <w:tcPr>
            <w:tcW w:w="1347" w:type="dxa"/>
            <w:vAlign w:val="center"/>
          </w:tcPr>
          <w:p w14:paraId="799C8F0C"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Verdana" w:hAnsi="Arial" w:cs="Arial"/>
                <w:color w:val="000000"/>
                <w:sz w:val="20"/>
              </w:rPr>
              <w:t>2,527</w:t>
            </w:r>
          </w:p>
        </w:tc>
        <w:tc>
          <w:tcPr>
            <w:tcW w:w="1347" w:type="dxa"/>
            <w:vAlign w:val="center"/>
          </w:tcPr>
          <w:p w14:paraId="0628C915"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2,93,995</w:t>
            </w:r>
          </w:p>
        </w:tc>
      </w:tr>
      <w:tr w:rsidR="009842E9" w:rsidRPr="00E70587" w14:paraId="79559DC2" w14:textId="77777777" w:rsidTr="00131CF4">
        <w:trPr>
          <w:trHeight w:hRule="exact" w:val="302"/>
        </w:trPr>
        <w:tc>
          <w:tcPr>
            <w:tcW w:w="3539" w:type="dxa"/>
            <w:vAlign w:val="center"/>
          </w:tcPr>
          <w:p w14:paraId="32A48CCB" w14:textId="77777777" w:rsidR="009842E9" w:rsidRPr="00E70587" w:rsidRDefault="009842E9" w:rsidP="00131CF4">
            <w:pPr>
              <w:ind w:left="115"/>
              <w:rPr>
                <w:rFonts w:ascii="Arial" w:eastAsia="Verdana" w:hAnsi="Arial" w:cs="Arial"/>
                <w:color w:val="000000"/>
                <w:sz w:val="20"/>
              </w:rPr>
            </w:pPr>
            <w:r w:rsidRPr="00E70587">
              <w:rPr>
                <w:rFonts w:ascii="Arial" w:eastAsia="Verdana" w:hAnsi="Arial" w:cs="Arial"/>
                <w:color w:val="000000"/>
                <w:sz w:val="20"/>
              </w:rPr>
              <w:t>Services transferred over time</w:t>
            </w:r>
          </w:p>
        </w:tc>
        <w:tc>
          <w:tcPr>
            <w:tcW w:w="1346" w:type="dxa"/>
            <w:vAlign w:val="center"/>
          </w:tcPr>
          <w:p w14:paraId="6DBA16F1"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30,836</w:t>
            </w:r>
          </w:p>
        </w:tc>
        <w:tc>
          <w:tcPr>
            <w:tcW w:w="1347" w:type="dxa"/>
            <w:vAlign w:val="center"/>
          </w:tcPr>
          <w:p w14:paraId="170F1B88"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w:t>
            </w:r>
          </w:p>
        </w:tc>
        <w:tc>
          <w:tcPr>
            <w:tcW w:w="1347" w:type="dxa"/>
          </w:tcPr>
          <w:p w14:paraId="399FED2C" w14:textId="783A16FF" w:rsidR="009842E9" w:rsidRPr="00E70587" w:rsidRDefault="00131CF4" w:rsidP="00131CF4">
            <w:pPr>
              <w:ind w:right="206"/>
              <w:jc w:val="right"/>
              <w:rPr>
                <w:rFonts w:ascii="Arial" w:eastAsia="Tahoma" w:hAnsi="Arial" w:cs="Arial"/>
                <w:b/>
                <w:color w:val="000000"/>
                <w:sz w:val="20"/>
              </w:rPr>
            </w:pPr>
            <w:r>
              <w:rPr>
                <w:rFonts w:ascii="Arial" w:eastAsia="Tahoma" w:hAnsi="Arial" w:cs="Arial"/>
                <w:b/>
                <w:color w:val="000000"/>
                <w:sz w:val="20"/>
              </w:rPr>
              <w:t>-</w:t>
            </w:r>
          </w:p>
        </w:tc>
        <w:tc>
          <w:tcPr>
            <w:tcW w:w="1347" w:type="dxa"/>
            <w:vAlign w:val="center"/>
          </w:tcPr>
          <w:p w14:paraId="475A96BD"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30,836</w:t>
            </w:r>
          </w:p>
        </w:tc>
      </w:tr>
      <w:tr w:rsidR="009842E9" w:rsidRPr="00E70587" w14:paraId="7873F45B" w14:textId="77777777" w:rsidTr="00131CF4">
        <w:trPr>
          <w:trHeight w:hRule="exact" w:val="510"/>
        </w:trPr>
        <w:tc>
          <w:tcPr>
            <w:tcW w:w="3539" w:type="dxa"/>
            <w:vAlign w:val="center"/>
          </w:tcPr>
          <w:p w14:paraId="64921828" w14:textId="77777777" w:rsidR="009842E9" w:rsidRPr="00E70587" w:rsidRDefault="009842E9" w:rsidP="00131CF4">
            <w:pPr>
              <w:ind w:left="115"/>
              <w:rPr>
                <w:rFonts w:ascii="Arial" w:eastAsia="Tahoma" w:hAnsi="Arial" w:cs="Arial"/>
                <w:b/>
                <w:color w:val="000000"/>
                <w:sz w:val="20"/>
              </w:rPr>
            </w:pPr>
            <w:r w:rsidRPr="00E70587">
              <w:rPr>
                <w:rFonts w:ascii="Arial" w:eastAsia="Tahoma" w:hAnsi="Arial" w:cs="Arial"/>
                <w:b/>
                <w:color w:val="000000"/>
                <w:sz w:val="20"/>
              </w:rPr>
              <w:t>Total revenue from contracts with customers</w:t>
            </w:r>
          </w:p>
        </w:tc>
        <w:tc>
          <w:tcPr>
            <w:tcW w:w="1346" w:type="dxa"/>
            <w:vAlign w:val="center"/>
          </w:tcPr>
          <w:p w14:paraId="53B599F6"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2,17,631</w:t>
            </w:r>
          </w:p>
        </w:tc>
        <w:tc>
          <w:tcPr>
            <w:tcW w:w="1347" w:type="dxa"/>
            <w:vAlign w:val="center"/>
          </w:tcPr>
          <w:p w14:paraId="78E04DA0"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1,04,673</w:t>
            </w:r>
          </w:p>
        </w:tc>
        <w:tc>
          <w:tcPr>
            <w:tcW w:w="1347" w:type="dxa"/>
          </w:tcPr>
          <w:p w14:paraId="41A4AF76" w14:textId="77777777" w:rsidR="00AA1F36" w:rsidRDefault="00AA1F36" w:rsidP="00131CF4">
            <w:pPr>
              <w:ind w:right="206"/>
              <w:jc w:val="right"/>
              <w:rPr>
                <w:rFonts w:ascii="Arial" w:eastAsia="Tahoma" w:hAnsi="Arial" w:cs="Arial"/>
                <w:b/>
                <w:color w:val="000000"/>
                <w:sz w:val="20"/>
              </w:rPr>
            </w:pPr>
          </w:p>
          <w:p w14:paraId="500EFC78" w14:textId="125E2B02"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2,527</w:t>
            </w:r>
          </w:p>
        </w:tc>
        <w:tc>
          <w:tcPr>
            <w:tcW w:w="1347" w:type="dxa"/>
            <w:vAlign w:val="center"/>
          </w:tcPr>
          <w:p w14:paraId="69F85F7B"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3,24,831</w:t>
            </w:r>
          </w:p>
        </w:tc>
      </w:tr>
      <w:tr w:rsidR="00131CF4" w:rsidRPr="00E70587" w14:paraId="38EE172C" w14:textId="77777777" w:rsidTr="00131CF4">
        <w:trPr>
          <w:trHeight w:hRule="exact" w:val="510"/>
        </w:trPr>
        <w:tc>
          <w:tcPr>
            <w:tcW w:w="3539" w:type="dxa"/>
            <w:vAlign w:val="center"/>
          </w:tcPr>
          <w:p w14:paraId="054B5B21" w14:textId="77777777" w:rsidR="00131CF4" w:rsidRPr="00E70587" w:rsidRDefault="00131CF4" w:rsidP="00131CF4">
            <w:pPr>
              <w:ind w:left="115"/>
              <w:rPr>
                <w:rFonts w:ascii="Arial" w:eastAsia="Tahoma" w:hAnsi="Arial" w:cs="Arial"/>
                <w:b/>
                <w:color w:val="000000"/>
                <w:sz w:val="20"/>
              </w:rPr>
            </w:pPr>
          </w:p>
        </w:tc>
        <w:tc>
          <w:tcPr>
            <w:tcW w:w="1346" w:type="dxa"/>
            <w:vAlign w:val="center"/>
          </w:tcPr>
          <w:p w14:paraId="36F3B524" w14:textId="77777777" w:rsidR="00131CF4" w:rsidRPr="00E70587" w:rsidRDefault="00131CF4" w:rsidP="00131CF4">
            <w:pPr>
              <w:ind w:right="206"/>
              <w:jc w:val="right"/>
              <w:rPr>
                <w:rFonts w:ascii="Arial" w:eastAsia="Tahoma" w:hAnsi="Arial" w:cs="Arial"/>
                <w:b/>
                <w:color w:val="000000"/>
                <w:sz w:val="20"/>
              </w:rPr>
            </w:pPr>
          </w:p>
        </w:tc>
        <w:tc>
          <w:tcPr>
            <w:tcW w:w="1347" w:type="dxa"/>
            <w:vAlign w:val="center"/>
          </w:tcPr>
          <w:p w14:paraId="3E78E9BD" w14:textId="77777777" w:rsidR="00131CF4" w:rsidRPr="00E70587" w:rsidRDefault="00131CF4" w:rsidP="00131CF4">
            <w:pPr>
              <w:ind w:right="206"/>
              <w:jc w:val="right"/>
              <w:rPr>
                <w:rFonts w:ascii="Arial" w:eastAsia="Tahoma" w:hAnsi="Arial" w:cs="Arial"/>
                <w:b/>
                <w:color w:val="000000"/>
                <w:sz w:val="20"/>
              </w:rPr>
            </w:pPr>
          </w:p>
        </w:tc>
        <w:tc>
          <w:tcPr>
            <w:tcW w:w="1347" w:type="dxa"/>
          </w:tcPr>
          <w:p w14:paraId="3FABD253" w14:textId="77777777" w:rsidR="00131CF4" w:rsidRPr="00E70587" w:rsidRDefault="00131CF4" w:rsidP="00131CF4">
            <w:pPr>
              <w:ind w:right="206"/>
              <w:jc w:val="right"/>
              <w:rPr>
                <w:rFonts w:ascii="Arial" w:eastAsia="Tahoma" w:hAnsi="Arial" w:cs="Arial"/>
                <w:b/>
                <w:color w:val="000000"/>
                <w:sz w:val="20"/>
              </w:rPr>
            </w:pPr>
          </w:p>
        </w:tc>
        <w:tc>
          <w:tcPr>
            <w:tcW w:w="1347" w:type="dxa"/>
            <w:vAlign w:val="center"/>
          </w:tcPr>
          <w:p w14:paraId="3DB08BC0" w14:textId="77777777" w:rsidR="00131CF4" w:rsidRPr="00E70587" w:rsidRDefault="00131CF4" w:rsidP="00131CF4">
            <w:pPr>
              <w:ind w:right="206"/>
              <w:jc w:val="right"/>
              <w:rPr>
                <w:rFonts w:ascii="Arial" w:eastAsia="Tahoma" w:hAnsi="Arial" w:cs="Arial"/>
                <w:b/>
                <w:color w:val="000000"/>
                <w:sz w:val="20"/>
              </w:rPr>
            </w:pPr>
          </w:p>
        </w:tc>
      </w:tr>
    </w:tbl>
    <w:p w14:paraId="13723EDF" w14:textId="77777777" w:rsidR="009842E9" w:rsidRPr="00E70587" w:rsidRDefault="009842E9" w:rsidP="009842E9">
      <w:pPr>
        <w:rPr>
          <w:rFonts w:ascii="Arial" w:hAnsi="Arial" w:cs="Arial"/>
          <w:sz w:val="20"/>
        </w:rPr>
      </w:pPr>
    </w:p>
    <w:p w14:paraId="20E2B593" w14:textId="77777777" w:rsidR="009842E9" w:rsidRPr="00E70587" w:rsidRDefault="009842E9" w:rsidP="009842E9">
      <w:pPr>
        <w:rPr>
          <w:rFonts w:ascii="Arial" w:hAnsi="Arial" w:cs="Arial"/>
          <w:sz w:val="20"/>
        </w:rPr>
      </w:pPr>
    </w:p>
    <w:tbl>
      <w:tblPr>
        <w:tblW w:w="8908" w:type="dxa"/>
        <w:tblLayout w:type="fixed"/>
        <w:tblCellMar>
          <w:left w:w="0" w:type="dxa"/>
          <w:right w:w="0" w:type="dxa"/>
        </w:tblCellMar>
        <w:tblLook w:val="04A0" w:firstRow="1" w:lastRow="0" w:firstColumn="1" w:lastColumn="0" w:noHBand="0" w:noVBand="1"/>
      </w:tblPr>
      <w:tblGrid>
        <w:gridCol w:w="3539"/>
        <w:gridCol w:w="1342"/>
        <w:gridCol w:w="1342"/>
        <w:gridCol w:w="1342"/>
        <w:gridCol w:w="1343"/>
      </w:tblGrid>
      <w:tr w:rsidR="009842E9" w:rsidRPr="00E70587" w14:paraId="6A1A8845" w14:textId="77777777" w:rsidTr="00131CF4">
        <w:trPr>
          <w:trHeight w:hRule="exact" w:val="554"/>
        </w:trPr>
        <w:tc>
          <w:tcPr>
            <w:tcW w:w="3539" w:type="dxa"/>
            <w:vMerge w:val="restart"/>
          </w:tcPr>
          <w:p w14:paraId="345C8399" w14:textId="77777777" w:rsidR="009842E9" w:rsidRPr="00E70587" w:rsidRDefault="009842E9" w:rsidP="00131CF4">
            <w:pPr>
              <w:ind w:left="216"/>
              <w:rPr>
                <w:rFonts w:ascii="Arial" w:eastAsia="Tahoma" w:hAnsi="Arial" w:cs="Arial"/>
                <w:b/>
                <w:color w:val="000000"/>
                <w:sz w:val="20"/>
              </w:rPr>
            </w:pPr>
            <w:r w:rsidRPr="00E70587">
              <w:rPr>
                <w:rFonts w:ascii="Arial" w:eastAsia="Tahoma" w:hAnsi="Arial" w:cs="Arial"/>
                <w:b/>
                <w:color w:val="000000"/>
                <w:sz w:val="20"/>
              </w:rPr>
              <w:t>Segments</w:t>
            </w:r>
          </w:p>
        </w:tc>
        <w:tc>
          <w:tcPr>
            <w:tcW w:w="5369" w:type="dxa"/>
            <w:gridSpan w:val="4"/>
          </w:tcPr>
          <w:p w14:paraId="5C314B17" w14:textId="77777777" w:rsidR="009842E9" w:rsidRPr="00E70587" w:rsidRDefault="009842E9" w:rsidP="00131CF4">
            <w:pPr>
              <w:ind w:left="80" w:right="142"/>
              <w:jc w:val="center"/>
              <w:rPr>
                <w:rFonts w:ascii="Arial" w:eastAsia="Tahoma" w:hAnsi="Arial" w:cs="Arial"/>
                <w:i/>
                <w:color w:val="000000"/>
                <w:sz w:val="20"/>
              </w:rPr>
            </w:pPr>
            <w:r w:rsidRPr="00E70587">
              <w:rPr>
                <w:rFonts w:ascii="Arial" w:eastAsia="Tahoma" w:hAnsi="Arial" w:cs="Arial"/>
                <w:b/>
                <w:color w:val="000000"/>
                <w:sz w:val="20"/>
              </w:rPr>
              <w:t>For the year ended 31 March 20</w:t>
            </w:r>
            <w:r>
              <w:rPr>
                <w:rFonts w:ascii="Arial" w:eastAsia="Tahoma" w:hAnsi="Arial" w:cs="Arial"/>
                <w:b/>
                <w:color w:val="000000"/>
                <w:sz w:val="20"/>
              </w:rPr>
              <w:t>20</w:t>
            </w:r>
          </w:p>
        </w:tc>
      </w:tr>
      <w:tr w:rsidR="009842E9" w:rsidRPr="00E70587" w14:paraId="0253FA1C" w14:textId="77777777" w:rsidTr="00131CF4">
        <w:trPr>
          <w:trHeight w:hRule="exact" w:val="456"/>
        </w:trPr>
        <w:tc>
          <w:tcPr>
            <w:tcW w:w="3539" w:type="dxa"/>
            <w:vMerge/>
          </w:tcPr>
          <w:p w14:paraId="16EAB3E2" w14:textId="77777777" w:rsidR="009842E9" w:rsidRPr="00E70587" w:rsidRDefault="009842E9" w:rsidP="00131CF4">
            <w:pPr>
              <w:rPr>
                <w:rFonts w:ascii="Arial" w:hAnsi="Arial" w:cs="Arial"/>
                <w:sz w:val="20"/>
              </w:rPr>
            </w:pPr>
          </w:p>
        </w:tc>
        <w:tc>
          <w:tcPr>
            <w:tcW w:w="1342" w:type="dxa"/>
          </w:tcPr>
          <w:p w14:paraId="45039F65" w14:textId="77777777" w:rsidR="009842E9" w:rsidRPr="00E70587" w:rsidRDefault="009842E9" w:rsidP="00131CF4">
            <w:pPr>
              <w:ind w:left="80"/>
              <w:jc w:val="center"/>
              <w:rPr>
                <w:rFonts w:ascii="Arial" w:eastAsia="Tahoma" w:hAnsi="Arial" w:cs="Arial"/>
                <w:b/>
                <w:color w:val="000000"/>
                <w:sz w:val="20"/>
              </w:rPr>
            </w:pPr>
            <w:r w:rsidRPr="00E70587">
              <w:rPr>
                <w:rFonts w:ascii="Arial" w:eastAsia="Tahoma" w:hAnsi="Arial" w:cs="Arial"/>
                <w:b/>
                <w:color w:val="000000"/>
                <w:sz w:val="20"/>
              </w:rPr>
              <w:t>Fire prevention equipment</w:t>
            </w:r>
          </w:p>
        </w:tc>
        <w:tc>
          <w:tcPr>
            <w:tcW w:w="1342" w:type="dxa"/>
            <w:vAlign w:val="bottom"/>
          </w:tcPr>
          <w:p w14:paraId="3706CBAB" w14:textId="77777777" w:rsidR="009842E9" w:rsidRPr="00E70587" w:rsidRDefault="009842E9" w:rsidP="00131CF4">
            <w:pPr>
              <w:ind w:left="80"/>
              <w:jc w:val="center"/>
              <w:rPr>
                <w:rFonts w:ascii="Arial" w:eastAsia="Tahoma" w:hAnsi="Arial" w:cs="Arial"/>
                <w:b/>
                <w:color w:val="000000"/>
                <w:sz w:val="20"/>
              </w:rPr>
            </w:pPr>
            <w:r w:rsidRPr="00E70587">
              <w:rPr>
                <w:rFonts w:ascii="Arial" w:eastAsia="Tahoma" w:hAnsi="Arial" w:cs="Arial"/>
                <w:b/>
                <w:color w:val="000000"/>
                <w:sz w:val="20"/>
              </w:rPr>
              <w:t>Electronics</w:t>
            </w:r>
          </w:p>
        </w:tc>
        <w:tc>
          <w:tcPr>
            <w:tcW w:w="1342" w:type="dxa"/>
          </w:tcPr>
          <w:p w14:paraId="1AC04121" w14:textId="77777777" w:rsidR="009842E9" w:rsidRPr="00E70587" w:rsidRDefault="009842E9" w:rsidP="00131CF4">
            <w:pPr>
              <w:ind w:left="80"/>
              <w:jc w:val="center"/>
              <w:rPr>
                <w:rFonts w:ascii="Arial" w:eastAsia="Tahoma" w:hAnsi="Arial" w:cs="Arial"/>
                <w:b/>
                <w:color w:val="000000"/>
                <w:sz w:val="20"/>
              </w:rPr>
            </w:pPr>
            <w:r w:rsidRPr="00E70587">
              <w:rPr>
                <w:rFonts w:ascii="Arial" w:eastAsia="Tahoma" w:hAnsi="Arial" w:cs="Arial"/>
                <w:b/>
                <w:color w:val="000000"/>
                <w:sz w:val="20"/>
              </w:rPr>
              <w:t>Investment properties</w:t>
            </w:r>
          </w:p>
        </w:tc>
        <w:tc>
          <w:tcPr>
            <w:tcW w:w="1343" w:type="dxa"/>
            <w:vAlign w:val="bottom"/>
          </w:tcPr>
          <w:p w14:paraId="5C8F58F1" w14:textId="77777777" w:rsidR="009842E9" w:rsidRPr="00E70587" w:rsidRDefault="009842E9" w:rsidP="00131CF4">
            <w:pPr>
              <w:ind w:left="80"/>
              <w:jc w:val="center"/>
              <w:rPr>
                <w:rFonts w:ascii="Arial" w:eastAsia="Tahoma" w:hAnsi="Arial" w:cs="Arial"/>
                <w:b/>
                <w:color w:val="000000"/>
                <w:sz w:val="20"/>
              </w:rPr>
            </w:pPr>
            <w:r w:rsidRPr="00E70587">
              <w:rPr>
                <w:rFonts w:ascii="Arial" w:eastAsia="Tahoma" w:hAnsi="Arial" w:cs="Arial"/>
                <w:b/>
                <w:color w:val="000000"/>
                <w:sz w:val="20"/>
              </w:rPr>
              <w:t>Total</w:t>
            </w:r>
          </w:p>
        </w:tc>
      </w:tr>
      <w:tr w:rsidR="009842E9" w:rsidRPr="00E70587" w14:paraId="5C962D59" w14:textId="77777777" w:rsidTr="00131CF4">
        <w:trPr>
          <w:trHeight w:hRule="exact" w:val="254"/>
        </w:trPr>
        <w:tc>
          <w:tcPr>
            <w:tcW w:w="3539" w:type="dxa"/>
            <w:tcBorders>
              <w:bottom w:val="single" w:sz="4" w:space="0" w:color="auto"/>
            </w:tcBorders>
            <w:vAlign w:val="center"/>
          </w:tcPr>
          <w:p w14:paraId="6AAEAE81" w14:textId="77777777" w:rsidR="009842E9" w:rsidRPr="00E70587" w:rsidRDefault="009842E9" w:rsidP="00131CF4">
            <w:pPr>
              <w:ind w:left="115"/>
              <w:rPr>
                <w:rFonts w:ascii="Arial" w:eastAsia="Tahoma" w:hAnsi="Arial" w:cs="Arial"/>
                <w:b/>
                <w:color w:val="000000"/>
                <w:sz w:val="20"/>
              </w:rPr>
            </w:pPr>
            <w:r w:rsidRPr="00E70587">
              <w:rPr>
                <w:rFonts w:ascii="Arial" w:eastAsia="Tahoma" w:hAnsi="Arial" w:cs="Arial"/>
                <w:b/>
                <w:color w:val="000000"/>
                <w:sz w:val="20"/>
              </w:rPr>
              <w:t>Type of goods or service</w:t>
            </w:r>
          </w:p>
        </w:tc>
        <w:tc>
          <w:tcPr>
            <w:tcW w:w="1342" w:type="dxa"/>
            <w:tcBorders>
              <w:bottom w:val="single" w:sz="4" w:space="0" w:color="auto"/>
            </w:tcBorders>
            <w:vAlign w:val="center"/>
          </w:tcPr>
          <w:p w14:paraId="4A697CC2" w14:textId="77777777" w:rsidR="009842E9" w:rsidRPr="00E70587" w:rsidRDefault="009842E9" w:rsidP="00131CF4">
            <w:pPr>
              <w:ind w:left="80"/>
              <w:jc w:val="center"/>
              <w:rPr>
                <w:rFonts w:ascii="Arial" w:eastAsia="Tahoma" w:hAnsi="Arial" w:cs="Arial"/>
                <w:b/>
                <w:color w:val="000000"/>
                <w:sz w:val="20"/>
              </w:rPr>
            </w:pPr>
            <w:r w:rsidRPr="00E70587">
              <w:rPr>
                <w:rFonts w:ascii="Arial" w:eastAsia="Tahoma" w:hAnsi="Arial" w:cs="Arial"/>
                <w:b/>
                <w:color w:val="000000"/>
                <w:sz w:val="20"/>
              </w:rPr>
              <w:t>INR Lacs</w:t>
            </w:r>
          </w:p>
        </w:tc>
        <w:tc>
          <w:tcPr>
            <w:tcW w:w="1342" w:type="dxa"/>
            <w:tcBorders>
              <w:bottom w:val="single" w:sz="4" w:space="0" w:color="auto"/>
            </w:tcBorders>
            <w:vAlign w:val="center"/>
          </w:tcPr>
          <w:p w14:paraId="4BE3EC8D" w14:textId="77777777" w:rsidR="009842E9" w:rsidRPr="00E70587" w:rsidRDefault="009842E9" w:rsidP="00131CF4">
            <w:pPr>
              <w:ind w:left="80"/>
              <w:jc w:val="center"/>
              <w:rPr>
                <w:rFonts w:ascii="Arial" w:eastAsia="Tahoma" w:hAnsi="Arial" w:cs="Arial"/>
                <w:b/>
                <w:color w:val="000000"/>
                <w:sz w:val="20"/>
              </w:rPr>
            </w:pPr>
            <w:r w:rsidRPr="00E70587">
              <w:rPr>
                <w:rFonts w:ascii="Arial" w:eastAsia="Tahoma" w:hAnsi="Arial" w:cs="Arial"/>
                <w:b/>
                <w:color w:val="000000"/>
                <w:sz w:val="20"/>
              </w:rPr>
              <w:t>INR Lacs</w:t>
            </w:r>
          </w:p>
        </w:tc>
        <w:tc>
          <w:tcPr>
            <w:tcW w:w="1342" w:type="dxa"/>
            <w:tcBorders>
              <w:bottom w:val="single" w:sz="4" w:space="0" w:color="auto"/>
            </w:tcBorders>
          </w:tcPr>
          <w:p w14:paraId="01F6C168" w14:textId="77777777" w:rsidR="009842E9" w:rsidRPr="00E70587" w:rsidRDefault="009842E9" w:rsidP="00131CF4">
            <w:pPr>
              <w:ind w:left="80"/>
              <w:jc w:val="center"/>
              <w:rPr>
                <w:rFonts w:ascii="Arial" w:eastAsia="Tahoma" w:hAnsi="Arial" w:cs="Arial"/>
                <w:b/>
                <w:color w:val="000000"/>
                <w:sz w:val="20"/>
              </w:rPr>
            </w:pPr>
            <w:r w:rsidRPr="00E70587">
              <w:rPr>
                <w:rFonts w:ascii="Arial" w:eastAsia="Tahoma" w:hAnsi="Arial" w:cs="Arial"/>
                <w:b/>
                <w:color w:val="000000"/>
                <w:sz w:val="20"/>
              </w:rPr>
              <w:t>INR Lacs</w:t>
            </w:r>
          </w:p>
        </w:tc>
        <w:tc>
          <w:tcPr>
            <w:tcW w:w="1343" w:type="dxa"/>
            <w:tcBorders>
              <w:bottom w:val="single" w:sz="4" w:space="0" w:color="auto"/>
            </w:tcBorders>
            <w:vAlign w:val="center"/>
          </w:tcPr>
          <w:p w14:paraId="726660A2" w14:textId="77777777" w:rsidR="009842E9" w:rsidRPr="00E70587" w:rsidRDefault="009842E9" w:rsidP="00131CF4">
            <w:pPr>
              <w:ind w:left="80"/>
              <w:jc w:val="center"/>
              <w:rPr>
                <w:rFonts w:ascii="Arial" w:eastAsia="Tahoma" w:hAnsi="Arial" w:cs="Arial"/>
                <w:b/>
                <w:color w:val="000000"/>
                <w:sz w:val="20"/>
              </w:rPr>
            </w:pPr>
            <w:r w:rsidRPr="00E70587">
              <w:rPr>
                <w:rFonts w:ascii="Arial" w:eastAsia="Tahoma" w:hAnsi="Arial" w:cs="Arial"/>
                <w:b/>
                <w:color w:val="000000"/>
                <w:sz w:val="20"/>
              </w:rPr>
              <w:t>INR Lacs</w:t>
            </w:r>
          </w:p>
        </w:tc>
      </w:tr>
      <w:tr w:rsidR="009842E9" w:rsidRPr="00E70587" w14:paraId="4C35EBE8" w14:textId="77777777" w:rsidTr="00131CF4">
        <w:trPr>
          <w:trHeight w:hRule="exact" w:val="264"/>
        </w:trPr>
        <w:tc>
          <w:tcPr>
            <w:tcW w:w="3539" w:type="dxa"/>
            <w:tcBorders>
              <w:top w:val="single" w:sz="4" w:space="0" w:color="auto"/>
            </w:tcBorders>
            <w:vAlign w:val="center"/>
          </w:tcPr>
          <w:p w14:paraId="0856A1E7" w14:textId="77777777" w:rsidR="009842E9" w:rsidRPr="00E70587" w:rsidRDefault="009842E9" w:rsidP="00131CF4">
            <w:pPr>
              <w:ind w:left="115"/>
              <w:rPr>
                <w:rFonts w:ascii="Arial" w:eastAsia="Verdana" w:hAnsi="Arial" w:cs="Arial"/>
                <w:color w:val="000000"/>
                <w:sz w:val="20"/>
              </w:rPr>
            </w:pPr>
            <w:r w:rsidRPr="00E70587">
              <w:rPr>
                <w:rFonts w:ascii="Arial" w:eastAsia="Verdana" w:hAnsi="Arial" w:cs="Arial"/>
                <w:color w:val="000000"/>
                <w:sz w:val="20"/>
              </w:rPr>
              <w:t>Sale of fire prevention equipment</w:t>
            </w:r>
          </w:p>
        </w:tc>
        <w:tc>
          <w:tcPr>
            <w:tcW w:w="1342" w:type="dxa"/>
            <w:tcBorders>
              <w:top w:val="single" w:sz="4" w:space="0" w:color="auto"/>
            </w:tcBorders>
            <w:vAlign w:val="center"/>
          </w:tcPr>
          <w:p w14:paraId="7E8DC3FA" w14:textId="77777777" w:rsidR="009842E9" w:rsidRPr="00E70587" w:rsidRDefault="009842E9" w:rsidP="00131CF4">
            <w:pPr>
              <w:ind w:right="64"/>
              <w:jc w:val="right"/>
              <w:rPr>
                <w:rFonts w:ascii="Arial" w:eastAsia="Verdana" w:hAnsi="Arial" w:cs="Arial"/>
                <w:color w:val="000000"/>
                <w:sz w:val="20"/>
              </w:rPr>
            </w:pPr>
            <w:r w:rsidRPr="00E70587">
              <w:rPr>
                <w:rFonts w:ascii="Arial" w:eastAsia="Verdana" w:hAnsi="Arial" w:cs="Arial"/>
                <w:color w:val="000000"/>
                <w:sz w:val="20"/>
              </w:rPr>
              <w:t>1,60,562</w:t>
            </w:r>
          </w:p>
        </w:tc>
        <w:tc>
          <w:tcPr>
            <w:tcW w:w="1342" w:type="dxa"/>
            <w:tcBorders>
              <w:top w:val="single" w:sz="4" w:space="0" w:color="auto"/>
            </w:tcBorders>
            <w:vAlign w:val="center"/>
          </w:tcPr>
          <w:p w14:paraId="1FA43C58" w14:textId="77777777" w:rsidR="009842E9" w:rsidRPr="00E70587" w:rsidRDefault="009842E9" w:rsidP="00131CF4">
            <w:pPr>
              <w:ind w:right="206"/>
              <w:jc w:val="right"/>
              <w:rPr>
                <w:rFonts w:ascii="Arial" w:eastAsia="Verdana" w:hAnsi="Arial" w:cs="Arial"/>
                <w:color w:val="000000"/>
                <w:sz w:val="20"/>
              </w:rPr>
            </w:pPr>
            <w:r>
              <w:rPr>
                <w:rFonts w:ascii="Arial" w:eastAsia="Verdana" w:hAnsi="Arial" w:cs="Arial"/>
                <w:color w:val="000000"/>
                <w:sz w:val="20"/>
              </w:rPr>
              <w:t>-</w:t>
            </w:r>
          </w:p>
        </w:tc>
        <w:tc>
          <w:tcPr>
            <w:tcW w:w="1342" w:type="dxa"/>
            <w:tcBorders>
              <w:top w:val="single" w:sz="4" w:space="0" w:color="auto"/>
            </w:tcBorders>
          </w:tcPr>
          <w:p w14:paraId="7AABAC72" w14:textId="77777777" w:rsidR="009842E9" w:rsidRPr="00E70587" w:rsidRDefault="009842E9" w:rsidP="00131CF4">
            <w:pPr>
              <w:ind w:right="206"/>
              <w:jc w:val="right"/>
              <w:rPr>
                <w:rFonts w:ascii="Arial" w:eastAsia="Tahoma" w:hAnsi="Arial" w:cs="Arial"/>
                <w:b/>
                <w:color w:val="000000"/>
                <w:sz w:val="20"/>
              </w:rPr>
            </w:pPr>
            <w:r>
              <w:rPr>
                <w:rFonts w:ascii="Arial" w:eastAsia="Tahoma" w:hAnsi="Arial" w:cs="Arial"/>
                <w:b/>
                <w:color w:val="000000"/>
                <w:sz w:val="20"/>
              </w:rPr>
              <w:t>-</w:t>
            </w:r>
          </w:p>
        </w:tc>
        <w:tc>
          <w:tcPr>
            <w:tcW w:w="1343" w:type="dxa"/>
            <w:tcBorders>
              <w:top w:val="single" w:sz="4" w:space="0" w:color="auto"/>
            </w:tcBorders>
            <w:vAlign w:val="center"/>
          </w:tcPr>
          <w:p w14:paraId="27037F43" w14:textId="77777777" w:rsidR="009842E9" w:rsidRPr="00E70587" w:rsidRDefault="009842E9" w:rsidP="00131CF4">
            <w:pPr>
              <w:jc w:val="right"/>
              <w:rPr>
                <w:rFonts w:ascii="Arial" w:eastAsia="Verdana" w:hAnsi="Arial" w:cs="Arial"/>
                <w:color w:val="000000"/>
                <w:sz w:val="20"/>
              </w:rPr>
            </w:pPr>
            <w:r w:rsidRPr="00E70587">
              <w:rPr>
                <w:rFonts w:ascii="Arial" w:eastAsia="Verdana" w:hAnsi="Arial" w:cs="Arial"/>
                <w:color w:val="000000"/>
                <w:sz w:val="20"/>
              </w:rPr>
              <w:t>1,60,562</w:t>
            </w:r>
          </w:p>
        </w:tc>
      </w:tr>
      <w:tr w:rsidR="009842E9" w:rsidRPr="00E70587" w14:paraId="6456C376" w14:textId="77777777" w:rsidTr="00131CF4">
        <w:trPr>
          <w:trHeight w:hRule="exact" w:val="284"/>
        </w:trPr>
        <w:tc>
          <w:tcPr>
            <w:tcW w:w="3539" w:type="dxa"/>
            <w:vAlign w:val="center"/>
          </w:tcPr>
          <w:p w14:paraId="4BA7F075" w14:textId="77777777" w:rsidR="009842E9" w:rsidRPr="00E70587" w:rsidRDefault="009842E9" w:rsidP="00131CF4">
            <w:pPr>
              <w:ind w:left="115"/>
              <w:rPr>
                <w:rFonts w:ascii="Arial" w:eastAsia="Verdana" w:hAnsi="Arial" w:cs="Arial"/>
                <w:color w:val="000000"/>
                <w:sz w:val="20"/>
              </w:rPr>
            </w:pPr>
            <w:r w:rsidRPr="00E70587">
              <w:rPr>
                <w:rFonts w:ascii="Arial" w:eastAsia="Verdana" w:hAnsi="Arial" w:cs="Arial"/>
                <w:color w:val="000000"/>
                <w:sz w:val="20"/>
              </w:rPr>
              <w:t>Sale of electronics equipment</w:t>
            </w:r>
          </w:p>
        </w:tc>
        <w:tc>
          <w:tcPr>
            <w:tcW w:w="1342" w:type="dxa"/>
            <w:vAlign w:val="center"/>
          </w:tcPr>
          <w:p w14:paraId="04C095CB" w14:textId="77777777" w:rsidR="009842E9" w:rsidRPr="00E70587" w:rsidRDefault="009842E9" w:rsidP="00131CF4">
            <w:pPr>
              <w:ind w:right="206"/>
              <w:jc w:val="right"/>
              <w:rPr>
                <w:rFonts w:ascii="Arial" w:eastAsia="Verdana" w:hAnsi="Arial" w:cs="Arial"/>
                <w:color w:val="000000"/>
                <w:sz w:val="20"/>
              </w:rPr>
            </w:pPr>
            <w:r>
              <w:rPr>
                <w:rFonts w:ascii="Arial" w:eastAsia="Verdana" w:hAnsi="Arial" w:cs="Arial"/>
                <w:color w:val="000000"/>
                <w:sz w:val="20"/>
              </w:rPr>
              <w:t>-</w:t>
            </w:r>
          </w:p>
        </w:tc>
        <w:tc>
          <w:tcPr>
            <w:tcW w:w="1342" w:type="dxa"/>
            <w:vAlign w:val="center"/>
          </w:tcPr>
          <w:p w14:paraId="6B3F45B0"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96,929</w:t>
            </w:r>
          </w:p>
        </w:tc>
        <w:tc>
          <w:tcPr>
            <w:tcW w:w="1342" w:type="dxa"/>
          </w:tcPr>
          <w:p w14:paraId="756172EF" w14:textId="77777777" w:rsidR="009842E9" w:rsidRPr="00E70587" w:rsidRDefault="009842E9" w:rsidP="00131CF4">
            <w:pPr>
              <w:ind w:right="206"/>
              <w:jc w:val="right"/>
              <w:rPr>
                <w:rFonts w:ascii="Arial" w:eastAsia="Tahoma" w:hAnsi="Arial" w:cs="Arial"/>
                <w:b/>
                <w:color w:val="000000"/>
                <w:sz w:val="20"/>
              </w:rPr>
            </w:pPr>
            <w:r>
              <w:rPr>
                <w:rFonts w:ascii="Arial" w:eastAsia="Tahoma" w:hAnsi="Arial" w:cs="Arial"/>
                <w:b/>
                <w:color w:val="000000"/>
                <w:sz w:val="20"/>
              </w:rPr>
              <w:t>-</w:t>
            </w:r>
          </w:p>
        </w:tc>
        <w:tc>
          <w:tcPr>
            <w:tcW w:w="1343" w:type="dxa"/>
            <w:vAlign w:val="center"/>
          </w:tcPr>
          <w:p w14:paraId="368340B9" w14:textId="77777777" w:rsidR="009842E9" w:rsidRPr="00E70587" w:rsidRDefault="009842E9" w:rsidP="00131CF4">
            <w:pPr>
              <w:jc w:val="right"/>
              <w:rPr>
                <w:rFonts w:ascii="Arial" w:eastAsia="Verdana" w:hAnsi="Arial" w:cs="Arial"/>
                <w:color w:val="000000"/>
                <w:sz w:val="20"/>
              </w:rPr>
            </w:pPr>
            <w:r w:rsidRPr="00E70587">
              <w:rPr>
                <w:rFonts w:ascii="Arial" w:eastAsia="Verdana" w:hAnsi="Arial" w:cs="Arial"/>
                <w:color w:val="000000"/>
                <w:sz w:val="20"/>
              </w:rPr>
              <w:t>96,929</w:t>
            </w:r>
          </w:p>
        </w:tc>
      </w:tr>
      <w:tr w:rsidR="009842E9" w:rsidRPr="00E70587" w14:paraId="1ACF2BEF" w14:textId="77777777" w:rsidTr="00131CF4">
        <w:trPr>
          <w:trHeight w:val="351"/>
        </w:trPr>
        <w:tc>
          <w:tcPr>
            <w:tcW w:w="3539" w:type="dxa"/>
            <w:vAlign w:val="center"/>
          </w:tcPr>
          <w:p w14:paraId="6F955FEE" w14:textId="77777777" w:rsidR="009842E9" w:rsidRPr="00E70587" w:rsidRDefault="009842E9" w:rsidP="00131CF4">
            <w:pPr>
              <w:ind w:left="115"/>
              <w:rPr>
                <w:rFonts w:ascii="Arial" w:eastAsia="Verdana" w:hAnsi="Arial" w:cs="Arial"/>
                <w:color w:val="000000"/>
                <w:sz w:val="20"/>
              </w:rPr>
            </w:pPr>
            <w:r w:rsidRPr="00E70587">
              <w:rPr>
                <w:rFonts w:ascii="Arial" w:eastAsia="Verdana" w:hAnsi="Arial" w:cs="Arial"/>
                <w:color w:val="000000"/>
                <w:sz w:val="20"/>
              </w:rPr>
              <w:t>Installation services</w:t>
            </w:r>
          </w:p>
        </w:tc>
        <w:tc>
          <w:tcPr>
            <w:tcW w:w="1342" w:type="dxa"/>
            <w:vAlign w:val="center"/>
          </w:tcPr>
          <w:p w14:paraId="508E1409" w14:textId="77777777" w:rsidR="009842E9" w:rsidRPr="00E70587" w:rsidRDefault="009842E9" w:rsidP="00131CF4">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rPr>
              <w:t xml:space="preserve"> 28,433 </w:t>
            </w:r>
          </w:p>
          <w:p w14:paraId="75A390BB" w14:textId="77777777" w:rsidR="009842E9" w:rsidRPr="00E70587" w:rsidRDefault="009842E9" w:rsidP="00131CF4">
            <w:pPr>
              <w:ind w:right="206"/>
              <w:jc w:val="right"/>
              <w:rPr>
                <w:rFonts w:ascii="Arial" w:eastAsia="Verdana" w:hAnsi="Arial" w:cs="Arial"/>
                <w:color w:val="000000"/>
                <w:sz w:val="20"/>
              </w:rPr>
            </w:pPr>
          </w:p>
        </w:tc>
        <w:tc>
          <w:tcPr>
            <w:tcW w:w="1342" w:type="dxa"/>
            <w:vAlign w:val="center"/>
          </w:tcPr>
          <w:p w14:paraId="1EF4529E" w14:textId="77777777" w:rsidR="009842E9" w:rsidRPr="00E70587" w:rsidRDefault="009842E9" w:rsidP="00131CF4">
            <w:pPr>
              <w:ind w:right="206"/>
              <w:jc w:val="right"/>
              <w:rPr>
                <w:rFonts w:ascii="Arial" w:eastAsia="Tahoma" w:hAnsi="Arial" w:cs="Arial"/>
                <w:b/>
                <w:color w:val="000000"/>
                <w:sz w:val="20"/>
              </w:rPr>
            </w:pPr>
            <w:r>
              <w:rPr>
                <w:rFonts w:ascii="Arial" w:eastAsia="Tahoma" w:hAnsi="Arial" w:cs="Arial"/>
                <w:b/>
                <w:color w:val="000000"/>
                <w:sz w:val="20"/>
              </w:rPr>
              <w:t>-</w:t>
            </w:r>
          </w:p>
        </w:tc>
        <w:tc>
          <w:tcPr>
            <w:tcW w:w="1342" w:type="dxa"/>
            <w:vAlign w:val="center"/>
          </w:tcPr>
          <w:p w14:paraId="1E123478" w14:textId="77777777" w:rsidR="009842E9" w:rsidRPr="00E70587" w:rsidRDefault="009842E9" w:rsidP="00131CF4">
            <w:pPr>
              <w:ind w:right="206"/>
              <w:jc w:val="right"/>
              <w:rPr>
                <w:rFonts w:ascii="Arial" w:eastAsia="Tahoma" w:hAnsi="Arial" w:cs="Arial"/>
                <w:b/>
                <w:color w:val="000000"/>
                <w:sz w:val="20"/>
              </w:rPr>
            </w:pPr>
            <w:r>
              <w:rPr>
                <w:rFonts w:ascii="Arial" w:eastAsia="Tahoma" w:hAnsi="Arial" w:cs="Arial"/>
                <w:b/>
                <w:color w:val="000000"/>
                <w:sz w:val="20"/>
              </w:rPr>
              <w:t>-</w:t>
            </w:r>
          </w:p>
        </w:tc>
        <w:tc>
          <w:tcPr>
            <w:tcW w:w="1343" w:type="dxa"/>
            <w:vAlign w:val="center"/>
          </w:tcPr>
          <w:p w14:paraId="3B73947E" w14:textId="77777777" w:rsidR="009842E9" w:rsidRPr="00E70587" w:rsidRDefault="009842E9" w:rsidP="00131CF4">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rPr>
              <w:t xml:space="preserve"> 28,433 </w:t>
            </w:r>
          </w:p>
          <w:p w14:paraId="5C1488C1" w14:textId="77777777" w:rsidR="009842E9" w:rsidRPr="00E70587" w:rsidRDefault="009842E9" w:rsidP="00131CF4">
            <w:pPr>
              <w:ind w:right="206"/>
              <w:jc w:val="right"/>
              <w:rPr>
                <w:rFonts w:ascii="Arial" w:eastAsia="Verdana" w:hAnsi="Arial" w:cs="Arial"/>
                <w:color w:val="000000"/>
                <w:sz w:val="20"/>
              </w:rPr>
            </w:pPr>
          </w:p>
        </w:tc>
      </w:tr>
      <w:tr w:rsidR="009842E9" w:rsidRPr="00E70587" w14:paraId="1F760180" w14:textId="77777777" w:rsidTr="00131CF4">
        <w:trPr>
          <w:trHeight w:hRule="exact" w:val="289"/>
        </w:trPr>
        <w:tc>
          <w:tcPr>
            <w:tcW w:w="3539" w:type="dxa"/>
            <w:vAlign w:val="center"/>
          </w:tcPr>
          <w:p w14:paraId="18D51ECF" w14:textId="77777777" w:rsidR="009842E9" w:rsidRPr="00E70587" w:rsidRDefault="009842E9" w:rsidP="00131CF4">
            <w:pPr>
              <w:ind w:left="115"/>
              <w:rPr>
                <w:rFonts w:ascii="Arial" w:eastAsia="Verdana" w:hAnsi="Arial" w:cs="Arial"/>
                <w:color w:val="000000"/>
                <w:sz w:val="20"/>
              </w:rPr>
            </w:pPr>
            <w:r w:rsidRPr="00E70587">
              <w:rPr>
                <w:rFonts w:ascii="Arial" w:eastAsia="Verdana" w:hAnsi="Arial" w:cs="Arial"/>
                <w:color w:val="000000"/>
                <w:sz w:val="20"/>
              </w:rPr>
              <w:t>Income from investment properties</w:t>
            </w:r>
          </w:p>
          <w:p w14:paraId="430B9A67" w14:textId="77777777" w:rsidR="009842E9" w:rsidRPr="00E70587" w:rsidRDefault="009842E9" w:rsidP="00131CF4">
            <w:pPr>
              <w:ind w:left="115"/>
              <w:rPr>
                <w:rFonts w:ascii="Arial" w:eastAsia="Verdana" w:hAnsi="Arial" w:cs="Arial"/>
                <w:color w:val="000000"/>
                <w:sz w:val="20"/>
              </w:rPr>
            </w:pPr>
          </w:p>
        </w:tc>
        <w:tc>
          <w:tcPr>
            <w:tcW w:w="1342" w:type="dxa"/>
            <w:vAlign w:val="center"/>
          </w:tcPr>
          <w:p w14:paraId="2F2F4BE4" w14:textId="77777777" w:rsidR="009842E9" w:rsidRPr="00E70587" w:rsidRDefault="009842E9" w:rsidP="00131CF4">
            <w:pPr>
              <w:ind w:right="206"/>
              <w:jc w:val="right"/>
              <w:rPr>
                <w:rFonts w:ascii="Arial" w:eastAsia="Tahoma" w:hAnsi="Arial" w:cs="Arial"/>
                <w:b/>
                <w:color w:val="000000"/>
                <w:sz w:val="20"/>
              </w:rPr>
            </w:pPr>
            <w:r>
              <w:rPr>
                <w:rFonts w:ascii="Arial" w:eastAsia="Tahoma" w:hAnsi="Arial" w:cs="Arial"/>
                <w:b/>
                <w:color w:val="000000"/>
                <w:sz w:val="20"/>
              </w:rPr>
              <w:t>-</w:t>
            </w:r>
          </w:p>
        </w:tc>
        <w:tc>
          <w:tcPr>
            <w:tcW w:w="1342" w:type="dxa"/>
            <w:vAlign w:val="center"/>
          </w:tcPr>
          <w:p w14:paraId="447F47F0" w14:textId="77777777" w:rsidR="009842E9" w:rsidRPr="00E70587" w:rsidRDefault="009842E9" w:rsidP="00131CF4">
            <w:pPr>
              <w:ind w:right="206"/>
              <w:jc w:val="right"/>
              <w:rPr>
                <w:rFonts w:ascii="Arial" w:eastAsia="Tahoma" w:hAnsi="Arial" w:cs="Arial"/>
                <w:b/>
                <w:color w:val="000000"/>
                <w:sz w:val="20"/>
              </w:rPr>
            </w:pPr>
            <w:r>
              <w:rPr>
                <w:rFonts w:ascii="Arial" w:eastAsia="Tahoma" w:hAnsi="Arial" w:cs="Arial"/>
                <w:b/>
                <w:color w:val="000000"/>
                <w:sz w:val="20"/>
              </w:rPr>
              <w:t>-</w:t>
            </w:r>
          </w:p>
        </w:tc>
        <w:tc>
          <w:tcPr>
            <w:tcW w:w="1342" w:type="dxa"/>
            <w:vAlign w:val="center"/>
          </w:tcPr>
          <w:p w14:paraId="61F7A16B"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Verdana" w:hAnsi="Arial" w:cs="Arial"/>
                <w:color w:val="000000"/>
                <w:sz w:val="20"/>
              </w:rPr>
              <w:t>2,479</w:t>
            </w:r>
          </w:p>
        </w:tc>
        <w:tc>
          <w:tcPr>
            <w:tcW w:w="1343" w:type="dxa"/>
            <w:vAlign w:val="center"/>
          </w:tcPr>
          <w:p w14:paraId="73F880E7" w14:textId="77777777" w:rsidR="009842E9" w:rsidRPr="00E70587" w:rsidRDefault="009842E9" w:rsidP="00131CF4">
            <w:pPr>
              <w:jc w:val="right"/>
              <w:rPr>
                <w:rFonts w:ascii="Arial" w:eastAsia="Tahoma" w:hAnsi="Arial" w:cs="Arial"/>
                <w:b/>
                <w:color w:val="000000"/>
                <w:sz w:val="20"/>
              </w:rPr>
            </w:pPr>
            <w:r w:rsidRPr="00E70587">
              <w:rPr>
                <w:rFonts w:ascii="Arial" w:eastAsia="Verdana" w:hAnsi="Arial" w:cs="Arial"/>
                <w:color w:val="000000"/>
                <w:sz w:val="20"/>
              </w:rPr>
              <w:t>2,479</w:t>
            </w:r>
          </w:p>
        </w:tc>
      </w:tr>
      <w:tr w:rsidR="009842E9" w:rsidRPr="00E70587" w14:paraId="621CEE7A" w14:textId="77777777" w:rsidTr="00131CF4">
        <w:trPr>
          <w:trHeight w:hRule="exact" w:val="281"/>
        </w:trPr>
        <w:tc>
          <w:tcPr>
            <w:tcW w:w="3539" w:type="dxa"/>
            <w:vAlign w:val="center"/>
          </w:tcPr>
          <w:p w14:paraId="0D244E6A" w14:textId="77777777" w:rsidR="009842E9" w:rsidRPr="00E70587" w:rsidRDefault="009842E9" w:rsidP="00131CF4">
            <w:pPr>
              <w:ind w:left="115"/>
              <w:rPr>
                <w:rFonts w:ascii="Arial" w:eastAsia="Tahoma" w:hAnsi="Arial" w:cs="Arial"/>
                <w:b/>
                <w:color w:val="000000"/>
                <w:sz w:val="20"/>
              </w:rPr>
            </w:pPr>
            <w:r w:rsidRPr="00E70587">
              <w:rPr>
                <w:rFonts w:ascii="Arial" w:eastAsia="Tahoma" w:hAnsi="Arial" w:cs="Arial"/>
                <w:b/>
                <w:color w:val="000000"/>
                <w:sz w:val="20"/>
              </w:rPr>
              <w:t>Total revenue from contracts with customers</w:t>
            </w:r>
          </w:p>
        </w:tc>
        <w:tc>
          <w:tcPr>
            <w:tcW w:w="1342" w:type="dxa"/>
            <w:vAlign w:val="center"/>
          </w:tcPr>
          <w:p w14:paraId="44E0F3DA" w14:textId="77777777" w:rsidR="009842E9" w:rsidRPr="00E70587" w:rsidRDefault="009842E9" w:rsidP="00131CF4">
            <w:pPr>
              <w:overflowPunct/>
              <w:autoSpaceDE/>
              <w:autoSpaceDN/>
              <w:adjustRightInd/>
              <w:spacing w:line="240" w:lineRule="auto"/>
              <w:jc w:val="right"/>
              <w:textAlignment w:val="auto"/>
              <w:rPr>
                <w:rFonts w:ascii="Arial" w:hAnsi="Arial" w:cs="Arial"/>
                <w:b/>
                <w:color w:val="000000"/>
                <w:sz w:val="20"/>
                <w:lang w:eastAsia="en-IN"/>
              </w:rPr>
            </w:pPr>
            <w:r w:rsidRPr="00E70587">
              <w:rPr>
                <w:rFonts w:ascii="Arial" w:hAnsi="Arial" w:cs="Arial"/>
                <w:b/>
                <w:color w:val="000000"/>
                <w:sz w:val="20"/>
              </w:rPr>
              <w:t>1,88,995</w:t>
            </w:r>
          </w:p>
        </w:tc>
        <w:tc>
          <w:tcPr>
            <w:tcW w:w="1342" w:type="dxa"/>
            <w:vAlign w:val="center"/>
          </w:tcPr>
          <w:p w14:paraId="04F7C6A5"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96,929</w:t>
            </w:r>
          </w:p>
        </w:tc>
        <w:tc>
          <w:tcPr>
            <w:tcW w:w="1342" w:type="dxa"/>
          </w:tcPr>
          <w:p w14:paraId="308C5041"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Verdana" w:hAnsi="Arial" w:cs="Arial"/>
                <w:b/>
                <w:color w:val="000000"/>
                <w:sz w:val="20"/>
              </w:rPr>
              <w:t>2,479</w:t>
            </w:r>
          </w:p>
        </w:tc>
        <w:tc>
          <w:tcPr>
            <w:tcW w:w="1343" w:type="dxa"/>
            <w:vAlign w:val="center"/>
          </w:tcPr>
          <w:p w14:paraId="11EF9CD1" w14:textId="77777777" w:rsidR="009842E9" w:rsidRPr="00E70587" w:rsidRDefault="009842E9" w:rsidP="00131CF4">
            <w:pPr>
              <w:overflowPunct/>
              <w:autoSpaceDE/>
              <w:autoSpaceDN/>
              <w:adjustRightInd/>
              <w:spacing w:line="240" w:lineRule="auto"/>
              <w:jc w:val="right"/>
              <w:textAlignment w:val="auto"/>
              <w:rPr>
                <w:rFonts w:ascii="Arial" w:hAnsi="Arial" w:cs="Arial"/>
                <w:b/>
                <w:bCs/>
                <w:color w:val="000000"/>
                <w:sz w:val="20"/>
                <w:lang w:eastAsia="en-IN"/>
              </w:rPr>
            </w:pPr>
            <w:r w:rsidRPr="00E70587">
              <w:rPr>
                <w:rFonts w:ascii="Arial" w:hAnsi="Arial" w:cs="Arial"/>
                <w:b/>
                <w:bCs/>
                <w:color w:val="000000"/>
                <w:sz w:val="20"/>
              </w:rPr>
              <w:t>2,88,403</w:t>
            </w:r>
          </w:p>
          <w:p w14:paraId="305FB12E" w14:textId="77777777" w:rsidR="009842E9" w:rsidRPr="00E70587" w:rsidRDefault="009842E9" w:rsidP="00131CF4">
            <w:pPr>
              <w:ind w:right="206"/>
              <w:jc w:val="right"/>
              <w:rPr>
                <w:rFonts w:ascii="Arial" w:eastAsia="Tahoma" w:hAnsi="Arial" w:cs="Arial"/>
                <w:b/>
                <w:color w:val="000000"/>
                <w:sz w:val="20"/>
              </w:rPr>
            </w:pPr>
          </w:p>
        </w:tc>
      </w:tr>
      <w:tr w:rsidR="009842E9" w:rsidRPr="00E70587" w14:paraId="2AD97D16" w14:textId="77777777" w:rsidTr="00131CF4">
        <w:trPr>
          <w:trHeight w:hRule="exact" w:val="340"/>
        </w:trPr>
        <w:tc>
          <w:tcPr>
            <w:tcW w:w="3539" w:type="dxa"/>
            <w:vAlign w:val="center"/>
          </w:tcPr>
          <w:p w14:paraId="0AF5A414" w14:textId="77777777" w:rsidR="009842E9" w:rsidRPr="00E70587" w:rsidRDefault="009842E9" w:rsidP="00131CF4">
            <w:pPr>
              <w:ind w:left="115"/>
              <w:rPr>
                <w:rFonts w:ascii="Arial" w:eastAsia="Tahoma" w:hAnsi="Arial" w:cs="Arial"/>
                <w:b/>
                <w:color w:val="000000"/>
                <w:sz w:val="20"/>
              </w:rPr>
            </w:pPr>
            <w:r w:rsidRPr="00E70587">
              <w:rPr>
                <w:rFonts w:ascii="Arial" w:eastAsia="Tahoma" w:hAnsi="Arial" w:cs="Arial"/>
                <w:b/>
                <w:color w:val="000000"/>
                <w:sz w:val="20"/>
              </w:rPr>
              <w:t>Geographical markets</w:t>
            </w:r>
          </w:p>
        </w:tc>
        <w:tc>
          <w:tcPr>
            <w:tcW w:w="1342" w:type="dxa"/>
          </w:tcPr>
          <w:p w14:paraId="0CA43A02" w14:textId="77777777" w:rsidR="009842E9" w:rsidRPr="00E70587" w:rsidRDefault="009842E9" w:rsidP="00131CF4">
            <w:pPr>
              <w:ind w:right="206"/>
              <w:jc w:val="right"/>
              <w:rPr>
                <w:rFonts w:ascii="Arial" w:eastAsia="Verdana" w:hAnsi="Arial" w:cs="Arial"/>
                <w:color w:val="000000"/>
                <w:sz w:val="20"/>
              </w:rPr>
            </w:pPr>
          </w:p>
        </w:tc>
        <w:tc>
          <w:tcPr>
            <w:tcW w:w="1342" w:type="dxa"/>
          </w:tcPr>
          <w:p w14:paraId="13520EAF" w14:textId="77777777" w:rsidR="009842E9" w:rsidRPr="00E70587" w:rsidRDefault="009842E9" w:rsidP="00131CF4">
            <w:pPr>
              <w:ind w:right="206"/>
              <w:jc w:val="right"/>
              <w:rPr>
                <w:rFonts w:ascii="Arial" w:eastAsia="Verdana" w:hAnsi="Arial" w:cs="Arial"/>
                <w:color w:val="000000"/>
                <w:sz w:val="20"/>
              </w:rPr>
            </w:pPr>
          </w:p>
        </w:tc>
        <w:tc>
          <w:tcPr>
            <w:tcW w:w="1342" w:type="dxa"/>
          </w:tcPr>
          <w:p w14:paraId="4E0A0CA4" w14:textId="77777777" w:rsidR="009842E9" w:rsidRPr="00E70587" w:rsidRDefault="009842E9" w:rsidP="00131CF4">
            <w:pPr>
              <w:ind w:right="206"/>
              <w:jc w:val="right"/>
              <w:rPr>
                <w:rFonts w:ascii="Arial" w:eastAsia="Verdana" w:hAnsi="Arial" w:cs="Arial"/>
                <w:color w:val="000000"/>
                <w:sz w:val="20"/>
              </w:rPr>
            </w:pPr>
          </w:p>
        </w:tc>
        <w:tc>
          <w:tcPr>
            <w:tcW w:w="1343" w:type="dxa"/>
          </w:tcPr>
          <w:p w14:paraId="7293CAD7" w14:textId="77777777" w:rsidR="009842E9" w:rsidRPr="00E70587" w:rsidRDefault="009842E9" w:rsidP="00131CF4">
            <w:pPr>
              <w:ind w:right="206"/>
              <w:jc w:val="right"/>
              <w:rPr>
                <w:rFonts w:ascii="Arial" w:eastAsia="Verdana" w:hAnsi="Arial" w:cs="Arial"/>
                <w:color w:val="000000"/>
                <w:sz w:val="20"/>
              </w:rPr>
            </w:pPr>
          </w:p>
        </w:tc>
      </w:tr>
      <w:tr w:rsidR="009842E9" w:rsidRPr="00E70587" w14:paraId="53F7312D" w14:textId="77777777" w:rsidTr="00131CF4">
        <w:trPr>
          <w:trHeight w:hRule="exact" w:val="284"/>
        </w:trPr>
        <w:tc>
          <w:tcPr>
            <w:tcW w:w="3539" w:type="dxa"/>
            <w:vAlign w:val="center"/>
          </w:tcPr>
          <w:p w14:paraId="74A08CE1" w14:textId="77777777" w:rsidR="009842E9" w:rsidRPr="00E70587" w:rsidRDefault="009842E9" w:rsidP="00131CF4">
            <w:pPr>
              <w:ind w:left="115"/>
              <w:rPr>
                <w:rFonts w:ascii="Arial" w:eastAsia="Verdana" w:hAnsi="Arial" w:cs="Arial"/>
                <w:color w:val="000000"/>
                <w:sz w:val="20"/>
              </w:rPr>
            </w:pPr>
            <w:r w:rsidRPr="00E70587">
              <w:rPr>
                <w:rFonts w:ascii="Arial" w:eastAsia="Verdana" w:hAnsi="Arial" w:cs="Arial"/>
                <w:color w:val="000000"/>
                <w:sz w:val="20"/>
              </w:rPr>
              <w:t>India</w:t>
            </w:r>
          </w:p>
        </w:tc>
        <w:tc>
          <w:tcPr>
            <w:tcW w:w="1342" w:type="dxa"/>
            <w:vAlign w:val="center"/>
          </w:tcPr>
          <w:p w14:paraId="4E49966A" w14:textId="77777777" w:rsidR="009842E9" w:rsidRPr="00E70587" w:rsidRDefault="009842E9" w:rsidP="00131CF4">
            <w:pPr>
              <w:overflowPunct/>
              <w:autoSpaceDE/>
              <w:autoSpaceDN/>
              <w:adjustRightInd/>
              <w:spacing w:line="240" w:lineRule="auto"/>
              <w:jc w:val="right"/>
              <w:textAlignment w:val="auto"/>
              <w:rPr>
                <w:rFonts w:ascii="Arial" w:hAnsi="Arial" w:cs="Arial"/>
                <w:b/>
                <w:bCs/>
                <w:color w:val="000000"/>
                <w:sz w:val="20"/>
                <w:lang w:eastAsia="en-IN"/>
              </w:rPr>
            </w:pPr>
            <w:r w:rsidRPr="00E70587">
              <w:rPr>
                <w:rFonts w:ascii="Arial" w:eastAsia="Tahoma" w:hAnsi="Arial" w:cs="Arial"/>
                <w:b/>
                <w:bCs/>
                <w:color w:val="000000"/>
                <w:sz w:val="20"/>
              </w:rPr>
              <w:t>1,53,988</w:t>
            </w:r>
          </w:p>
          <w:p w14:paraId="781C31F4" w14:textId="77777777" w:rsidR="009842E9" w:rsidRPr="00E70587" w:rsidRDefault="009842E9" w:rsidP="00131CF4">
            <w:pPr>
              <w:ind w:right="206"/>
              <w:jc w:val="right"/>
              <w:rPr>
                <w:rFonts w:ascii="Arial" w:eastAsia="Verdana" w:hAnsi="Arial" w:cs="Arial"/>
                <w:color w:val="000000"/>
                <w:sz w:val="20"/>
              </w:rPr>
            </w:pPr>
          </w:p>
        </w:tc>
        <w:tc>
          <w:tcPr>
            <w:tcW w:w="1342" w:type="dxa"/>
            <w:vAlign w:val="center"/>
          </w:tcPr>
          <w:p w14:paraId="6CB5487C"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75,723</w:t>
            </w:r>
          </w:p>
        </w:tc>
        <w:tc>
          <w:tcPr>
            <w:tcW w:w="1342" w:type="dxa"/>
          </w:tcPr>
          <w:p w14:paraId="01AABE27"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Verdana" w:hAnsi="Arial" w:cs="Arial"/>
                <w:color w:val="000000"/>
                <w:sz w:val="20"/>
              </w:rPr>
              <w:t>2,479</w:t>
            </w:r>
          </w:p>
        </w:tc>
        <w:tc>
          <w:tcPr>
            <w:tcW w:w="1343" w:type="dxa"/>
            <w:vAlign w:val="center"/>
          </w:tcPr>
          <w:p w14:paraId="0E4D9073" w14:textId="77777777" w:rsidR="009842E9" w:rsidRPr="00E70587" w:rsidRDefault="009842E9" w:rsidP="00131CF4">
            <w:pPr>
              <w:overflowPunct/>
              <w:autoSpaceDE/>
              <w:autoSpaceDN/>
              <w:adjustRightInd/>
              <w:spacing w:line="240" w:lineRule="auto"/>
              <w:jc w:val="right"/>
              <w:textAlignment w:val="auto"/>
              <w:rPr>
                <w:rFonts w:ascii="Arial" w:hAnsi="Arial" w:cs="Arial"/>
                <w:b/>
                <w:bCs/>
                <w:color w:val="000000"/>
                <w:sz w:val="20"/>
                <w:lang w:eastAsia="en-IN"/>
              </w:rPr>
            </w:pPr>
            <w:r w:rsidRPr="00E70587">
              <w:rPr>
                <w:rFonts w:ascii="Arial" w:eastAsia="Tahoma" w:hAnsi="Arial" w:cs="Arial"/>
                <w:b/>
                <w:bCs/>
                <w:color w:val="000000"/>
                <w:sz w:val="20"/>
              </w:rPr>
              <w:t>2,24,523</w:t>
            </w:r>
          </w:p>
          <w:p w14:paraId="50AB3AAF" w14:textId="77777777" w:rsidR="009842E9" w:rsidRPr="00E70587" w:rsidRDefault="009842E9" w:rsidP="00131CF4">
            <w:pPr>
              <w:jc w:val="right"/>
              <w:rPr>
                <w:rFonts w:ascii="Arial" w:eastAsia="Tahoma" w:hAnsi="Arial" w:cs="Arial"/>
                <w:b/>
                <w:color w:val="000000"/>
                <w:sz w:val="20"/>
              </w:rPr>
            </w:pPr>
          </w:p>
        </w:tc>
      </w:tr>
      <w:tr w:rsidR="009842E9" w:rsidRPr="00E70587" w14:paraId="1127A7DA" w14:textId="77777777" w:rsidTr="00131CF4">
        <w:trPr>
          <w:trHeight w:hRule="exact" w:val="307"/>
        </w:trPr>
        <w:tc>
          <w:tcPr>
            <w:tcW w:w="3539" w:type="dxa"/>
            <w:vAlign w:val="center"/>
          </w:tcPr>
          <w:p w14:paraId="4D2670E0" w14:textId="77777777" w:rsidR="009842E9" w:rsidRPr="00E70587" w:rsidRDefault="009842E9" w:rsidP="00131CF4">
            <w:pPr>
              <w:ind w:left="115"/>
              <w:rPr>
                <w:rFonts w:ascii="Arial" w:eastAsia="Verdana" w:hAnsi="Arial" w:cs="Arial"/>
                <w:color w:val="000000"/>
                <w:sz w:val="20"/>
              </w:rPr>
            </w:pPr>
            <w:r w:rsidRPr="00E70587">
              <w:rPr>
                <w:rFonts w:ascii="Arial" w:eastAsia="Verdana" w:hAnsi="Arial" w:cs="Arial"/>
                <w:color w:val="000000"/>
                <w:sz w:val="20"/>
              </w:rPr>
              <w:t>Outside India</w:t>
            </w:r>
          </w:p>
        </w:tc>
        <w:tc>
          <w:tcPr>
            <w:tcW w:w="1342" w:type="dxa"/>
            <w:vAlign w:val="center"/>
          </w:tcPr>
          <w:p w14:paraId="56C51FEF" w14:textId="77777777" w:rsidR="009842E9" w:rsidRPr="00E70587" w:rsidRDefault="009842E9" w:rsidP="00131CF4">
            <w:pPr>
              <w:ind w:right="64"/>
              <w:jc w:val="right"/>
              <w:rPr>
                <w:rFonts w:ascii="Arial" w:eastAsia="Verdana" w:hAnsi="Arial" w:cs="Arial"/>
                <w:color w:val="000000"/>
                <w:sz w:val="20"/>
              </w:rPr>
            </w:pPr>
            <w:r w:rsidRPr="00E70587">
              <w:rPr>
                <w:rFonts w:ascii="Arial" w:eastAsia="Verdana" w:hAnsi="Arial" w:cs="Arial"/>
                <w:color w:val="000000"/>
                <w:sz w:val="20"/>
              </w:rPr>
              <w:t>35,007</w:t>
            </w:r>
          </w:p>
        </w:tc>
        <w:tc>
          <w:tcPr>
            <w:tcW w:w="1342" w:type="dxa"/>
            <w:vAlign w:val="center"/>
          </w:tcPr>
          <w:p w14:paraId="6366F681"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21,206</w:t>
            </w:r>
          </w:p>
        </w:tc>
        <w:tc>
          <w:tcPr>
            <w:tcW w:w="1342" w:type="dxa"/>
          </w:tcPr>
          <w:p w14:paraId="000B952C" w14:textId="77777777" w:rsidR="009842E9" w:rsidRPr="00E70587" w:rsidRDefault="009842E9" w:rsidP="00131CF4">
            <w:pPr>
              <w:ind w:right="206"/>
              <w:jc w:val="right"/>
              <w:rPr>
                <w:rFonts w:ascii="Arial" w:eastAsia="Tahoma" w:hAnsi="Arial" w:cs="Arial"/>
                <w:b/>
                <w:color w:val="000000"/>
                <w:sz w:val="20"/>
              </w:rPr>
            </w:pPr>
            <w:r>
              <w:rPr>
                <w:rFonts w:ascii="Arial" w:eastAsia="Tahoma" w:hAnsi="Arial" w:cs="Arial"/>
                <w:b/>
                <w:color w:val="000000"/>
                <w:sz w:val="20"/>
              </w:rPr>
              <w:t>-</w:t>
            </w:r>
          </w:p>
        </w:tc>
        <w:tc>
          <w:tcPr>
            <w:tcW w:w="1343" w:type="dxa"/>
            <w:vAlign w:val="center"/>
          </w:tcPr>
          <w:p w14:paraId="57667873" w14:textId="77777777" w:rsidR="009842E9" w:rsidRPr="00E70587" w:rsidRDefault="009842E9" w:rsidP="00131CF4">
            <w:pPr>
              <w:jc w:val="right"/>
              <w:rPr>
                <w:rFonts w:ascii="Arial" w:eastAsia="Tahoma" w:hAnsi="Arial" w:cs="Arial"/>
                <w:b/>
                <w:color w:val="000000"/>
                <w:sz w:val="20"/>
              </w:rPr>
            </w:pPr>
            <w:r w:rsidRPr="00E70587">
              <w:rPr>
                <w:rFonts w:ascii="Arial" w:eastAsia="Tahoma" w:hAnsi="Arial" w:cs="Arial"/>
                <w:b/>
                <w:color w:val="000000"/>
                <w:sz w:val="20"/>
              </w:rPr>
              <w:t>63,880</w:t>
            </w:r>
          </w:p>
        </w:tc>
      </w:tr>
      <w:tr w:rsidR="009842E9" w:rsidRPr="00E70587" w14:paraId="0ACEC68D" w14:textId="77777777" w:rsidTr="00A44B24">
        <w:trPr>
          <w:trHeight w:hRule="exact" w:val="492"/>
        </w:trPr>
        <w:tc>
          <w:tcPr>
            <w:tcW w:w="3539" w:type="dxa"/>
            <w:vAlign w:val="center"/>
          </w:tcPr>
          <w:p w14:paraId="395F0FAB" w14:textId="77777777" w:rsidR="009842E9" w:rsidRPr="00E70587" w:rsidRDefault="009842E9" w:rsidP="00131CF4">
            <w:pPr>
              <w:ind w:left="115"/>
              <w:rPr>
                <w:rFonts w:ascii="Arial" w:eastAsia="Tahoma" w:hAnsi="Arial" w:cs="Arial"/>
                <w:b/>
                <w:color w:val="000000"/>
                <w:sz w:val="20"/>
              </w:rPr>
            </w:pPr>
            <w:r w:rsidRPr="00E70587">
              <w:rPr>
                <w:rFonts w:ascii="Arial" w:eastAsia="Tahoma" w:hAnsi="Arial" w:cs="Arial"/>
                <w:b/>
                <w:color w:val="000000"/>
                <w:sz w:val="20"/>
              </w:rPr>
              <w:t>Total revenue from contracts with customers</w:t>
            </w:r>
          </w:p>
        </w:tc>
        <w:tc>
          <w:tcPr>
            <w:tcW w:w="1342" w:type="dxa"/>
            <w:vAlign w:val="center"/>
          </w:tcPr>
          <w:p w14:paraId="0EE8D2D0" w14:textId="77777777" w:rsidR="009842E9" w:rsidRPr="00E70587" w:rsidRDefault="009842E9" w:rsidP="00131CF4">
            <w:pPr>
              <w:ind w:right="64"/>
              <w:jc w:val="right"/>
              <w:rPr>
                <w:rFonts w:ascii="Arial" w:eastAsia="Tahoma" w:hAnsi="Arial" w:cs="Arial"/>
                <w:b/>
                <w:color w:val="000000"/>
                <w:sz w:val="20"/>
              </w:rPr>
            </w:pPr>
            <w:r w:rsidRPr="00E70587">
              <w:rPr>
                <w:rFonts w:ascii="Arial" w:hAnsi="Arial" w:cs="Arial"/>
                <w:b/>
                <w:color w:val="000000"/>
                <w:sz w:val="20"/>
              </w:rPr>
              <w:t>1,88,995</w:t>
            </w:r>
          </w:p>
        </w:tc>
        <w:tc>
          <w:tcPr>
            <w:tcW w:w="1342" w:type="dxa"/>
            <w:vAlign w:val="center"/>
          </w:tcPr>
          <w:p w14:paraId="14EC382D"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96,929</w:t>
            </w:r>
          </w:p>
        </w:tc>
        <w:tc>
          <w:tcPr>
            <w:tcW w:w="1342" w:type="dxa"/>
          </w:tcPr>
          <w:p w14:paraId="4533DC2E"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Verdana" w:hAnsi="Arial" w:cs="Arial"/>
                <w:b/>
                <w:color w:val="000000"/>
                <w:sz w:val="20"/>
              </w:rPr>
              <w:t>2,479</w:t>
            </w:r>
          </w:p>
        </w:tc>
        <w:tc>
          <w:tcPr>
            <w:tcW w:w="1343" w:type="dxa"/>
            <w:vAlign w:val="center"/>
          </w:tcPr>
          <w:p w14:paraId="7192B5A3" w14:textId="77777777" w:rsidR="009842E9" w:rsidRPr="00E70587" w:rsidRDefault="009842E9" w:rsidP="00131CF4">
            <w:pPr>
              <w:overflowPunct/>
              <w:autoSpaceDE/>
              <w:autoSpaceDN/>
              <w:adjustRightInd/>
              <w:spacing w:line="240" w:lineRule="auto"/>
              <w:jc w:val="right"/>
              <w:textAlignment w:val="auto"/>
              <w:rPr>
                <w:rFonts w:ascii="Arial" w:hAnsi="Arial" w:cs="Arial"/>
                <w:b/>
                <w:bCs/>
                <w:color w:val="000000"/>
                <w:sz w:val="20"/>
                <w:lang w:eastAsia="en-IN"/>
              </w:rPr>
            </w:pPr>
            <w:r w:rsidRPr="00E70587">
              <w:rPr>
                <w:rFonts w:ascii="Arial" w:hAnsi="Arial" w:cs="Arial"/>
                <w:b/>
                <w:bCs/>
                <w:color w:val="000000"/>
                <w:sz w:val="20"/>
              </w:rPr>
              <w:t>2,88,403</w:t>
            </w:r>
          </w:p>
          <w:p w14:paraId="244F21C2" w14:textId="77777777" w:rsidR="009842E9" w:rsidRPr="00E70587" w:rsidRDefault="009842E9" w:rsidP="00131CF4">
            <w:pPr>
              <w:ind w:right="206"/>
              <w:jc w:val="right"/>
              <w:rPr>
                <w:rFonts w:ascii="Arial" w:eastAsia="Tahoma" w:hAnsi="Arial" w:cs="Arial"/>
                <w:b/>
                <w:color w:val="000000"/>
                <w:sz w:val="20"/>
              </w:rPr>
            </w:pPr>
          </w:p>
        </w:tc>
      </w:tr>
      <w:tr w:rsidR="009842E9" w:rsidRPr="00E70587" w14:paraId="0512597E" w14:textId="77777777" w:rsidTr="00131CF4">
        <w:trPr>
          <w:trHeight w:hRule="exact" w:val="331"/>
        </w:trPr>
        <w:tc>
          <w:tcPr>
            <w:tcW w:w="3539" w:type="dxa"/>
            <w:vAlign w:val="center"/>
          </w:tcPr>
          <w:p w14:paraId="39A3D61B" w14:textId="77777777" w:rsidR="009842E9" w:rsidRPr="00E70587" w:rsidRDefault="009842E9" w:rsidP="00131CF4">
            <w:pPr>
              <w:ind w:left="115"/>
              <w:rPr>
                <w:rFonts w:ascii="Arial" w:eastAsia="Tahoma" w:hAnsi="Arial" w:cs="Arial"/>
                <w:b/>
                <w:color w:val="000000"/>
                <w:sz w:val="20"/>
              </w:rPr>
            </w:pPr>
            <w:r w:rsidRPr="00E70587">
              <w:rPr>
                <w:rFonts w:ascii="Arial" w:eastAsia="Tahoma" w:hAnsi="Arial" w:cs="Arial"/>
                <w:b/>
                <w:color w:val="000000"/>
                <w:sz w:val="20"/>
              </w:rPr>
              <w:t>Timing of revenue recognition</w:t>
            </w:r>
          </w:p>
        </w:tc>
        <w:tc>
          <w:tcPr>
            <w:tcW w:w="1342" w:type="dxa"/>
          </w:tcPr>
          <w:p w14:paraId="5D599D34" w14:textId="77777777" w:rsidR="009842E9" w:rsidRPr="00E70587" w:rsidRDefault="009842E9" w:rsidP="00131CF4">
            <w:pPr>
              <w:ind w:right="206"/>
              <w:jc w:val="right"/>
              <w:rPr>
                <w:rFonts w:ascii="Arial" w:eastAsia="Verdana" w:hAnsi="Arial" w:cs="Arial"/>
                <w:color w:val="000000"/>
                <w:sz w:val="20"/>
              </w:rPr>
            </w:pPr>
          </w:p>
        </w:tc>
        <w:tc>
          <w:tcPr>
            <w:tcW w:w="1342" w:type="dxa"/>
          </w:tcPr>
          <w:p w14:paraId="51F0B419" w14:textId="77777777" w:rsidR="009842E9" w:rsidRPr="00E70587" w:rsidRDefault="009842E9" w:rsidP="00131CF4">
            <w:pPr>
              <w:ind w:right="206"/>
              <w:jc w:val="right"/>
              <w:rPr>
                <w:rFonts w:ascii="Arial" w:eastAsia="Verdana" w:hAnsi="Arial" w:cs="Arial"/>
                <w:color w:val="000000"/>
                <w:sz w:val="20"/>
              </w:rPr>
            </w:pPr>
          </w:p>
        </w:tc>
        <w:tc>
          <w:tcPr>
            <w:tcW w:w="1342" w:type="dxa"/>
          </w:tcPr>
          <w:p w14:paraId="1A3A059E" w14:textId="77777777" w:rsidR="009842E9" w:rsidRPr="00E70587" w:rsidRDefault="009842E9" w:rsidP="00131CF4">
            <w:pPr>
              <w:ind w:right="206"/>
              <w:jc w:val="right"/>
              <w:rPr>
                <w:rFonts w:ascii="Arial" w:eastAsia="Verdana" w:hAnsi="Arial" w:cs="Arial"/>
                <w:color w:val="000000"/>
                <w:sz w:val="20"/>
              </w:rPr>
            </w:pPr>
          </w:p>
        </w:tc>
        <w:tc>
          <w:tcPr>
            <w:tcW w:w="1343" w:type="dxa"/>
          </w:tcPr>
          <w:p w14:paraId="3EF62C68" w14:textId="77777777" w:rsidR="009842E9" w:rsidRPr="00E70587" w:rsidRDefault="009842E9" w:rsidP="00131CF4">
            <w:pPr>
              <w:ind w:right="206"/>
              <w:jc w:val="right"/>
              <w:rPr>
                <w:rFonts w:ascii="Arial" w:eastAsia="Verdana" w:hAnsi="Arial" w:cs="Arial"/>
                <w:color w:val="000000"/>
                <w:sz w:val="20"/>
              </w:rPr>
            </w:pPr>
          </w:p>
        </w:tc>
      </w:tr>
      <w:tr w:rsidR="009842E9" w:rsidRPr="00E70587" w14:paraId="4CE46058" w14:textId="77777777" w:rsidTr="00131CF4">
        <w:trPr>
          <w:trHeight w:hRule="exact" w:val="288"/>
        </w:trPr>
        <w:tc>
          <w:tcPr>
            <w:tcW w:w="3539" w:type="dxa"/>
            <w:vAlign w:val="center"/>
          </w:tcPr>
          <w:p w14:paraId="2BFFE3BB" w14:textId="77777777" w:rsidR="009842E9" w:rsidRPr="00E70587" w:rsidRDefault="009842E9" w:rsidP="00131CF4">
            <w:pPr>
              <w:ind w:left="115"/>
              <w:rPr>
                <w:rFonts w:ascii="Arial" w:eastAsia="Verdana" w:hAnsi="Arial" w:cs="Arial"/>
                <w:color w:val="000000"/>
                <w:sz w:val="20"/>
              </w:rPr>
            </w:pPr>
            <w:r w:rsidRPr="00E70587">
              <w:rPr>
                <w:rFonts w:ascii="Arial" w:eastAsia="Verdana" w:hAnsi="Arial" w:cs="Arial"/>
                <w:color w:val="000000"/>
                <w:sz w:val="20"/>
              </w:rPr>
              <w:t>Goods transferred at a point in time</w:t>
            </w:r>
          </w:p>
        </w:tc>
        <w:tc>
          <w:tcPr>
            <w:tcW w:w="1342" w:type="dxa"/>
            <w:vAlign w:val="center"/>
          </w:tcPr>
          <w:p w14:paraId="12D0562D" w14:textId="77777777" w:rsidR="009842E9" w:rsidRPr="00E70587" w:rsidRDefault="009842E9" w:rsidP="00131CF4">
            <w:pPr>
              <w:overflowPunct/>
              <w:autoSpaceDE/>
              <w:autoSpaceDN/>
              <w:adjustRightInd/>
              <w:spacing w:line="240" w:lineRule="auto"/>
              <w:jc w:val="right"/>
              <w:textAlignment w:val="auto"/>
              <w:rPr>
                <w:rFonts w:ascii="Arial" w:hAnsi="Arial" w:cs="Arial"/>
                <w:b/>
                <w:bCs/>
                <w:color w:val="000000"/>
                <w:sz w:val="20"/>
                <w:lang w:eastAsia="en-IN"/>
              </w:rPr>
            </w:pPr>
            <w:r w:rsidRPr="00E70587">
              <w:rPr>
                <w:rFonts w:ascii="Arial" w:eastAsia="Tahoma" w:hAnsi="Arial" w:cs="Arial"/>
                <w:b/>
                <w:bCs/>
                <w:color w:val="000000"/>
                <w:sz w:val="20"/>
              </w:rPr>
              <w:t>1,59,228</w:t>
            </w:r>
          </w:p>
          <w:p w14:paraId="5D86BCA2" w14:textId="77777777" w:rsidR="009842E9" w:rsidRPr="00E70587" w:rsidRDefault="009842E9" w:rsidP="00131CF4">
            <w:pPr>
              <w:ind w:right="206"/>
              <w:jc w:val="right"/>
              <w:rPr>
                <w:rFonts w:ascii="Arial" w:eastAsia="Verdana" w:hAnsi="Arial" w:cs="Arial"/>
                <w:color w:val="000000"/>
                <w:sz w:val="20"/>
              </w:rPr>
            </w:pPr>
          </w:p>
        </w:tc>
        <w:tc>
          <w:tcPr>
            <w:tcW w:w="1342" w:type="dxa"/>
            <w:vAlign w:val="center"/>
          </w:tcPr>
          <w:p w14:paraId="14FF8D36"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96,929</w:t>
            </w:r>
          </w:p>
        </w:tc>
        <w:tc>
          <w:tcPr>
            <w:tcW w:w="1342" w:type="dxa"/>
          </w:tcPr>
          <w:p w14:paraId="2AD91BD9"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Verdana" w:hAnsi="Arial" w:cs="Arial"/>
                <w:color w:val="000000"/>
                <w:sz w:val="20"/>
              </w:rPr>
              <w:t>2,479</w:t>
            </w:r>
          </w:p>
        </w:tc>
        <w:tc>
          <w:tcPr>
            <w:tcW w:w="1343" w:type="dxa"/>
            <w:vAlign w:val="center"/>
          </w:tcPr>
          <w:p w14:paraId="660E1564" w14:textId="77777777" w:rsidR="009842E9" w:rsidRPr="00E70587" w:rsidRDefault="009842E9" w:rsidP="00131CF4">
            <w:pPr>
              <w:overflowPunct/>
              <w:autoSpaceDE/>
              <w:autoSpaceDN/>
              <w:adjustRightInd/>
              <w:spacing w:line="240" w:lineRule="auto"/>
              <w:jc w:val="right"/>
              <w:textAlignment w:val="auto"/>
              <w:rPr>
                <w:rFonts w:ascii="Arial" w:hAnsi="Arial" w:cs="Arial"/>
                <w:b/>
                <w:bCs/>
                <w:color w:val="000000"/>
                <w:sz w:val="20"/>
                <w:lang w:eastAsia="en-IN"/>
              </w:rPr>
            </w:pPr>
            <w:r w:rsidRPr="00E70587">
              <w:rPr>
                <w:rFonts w:ascii="Arial" w:eastAsia="Tahoma" w:hAnsi="Arial" w:cs="Arial"/>
                <w:b/>
                <w:bCs/>
                <w:color w:val="000000"/>
                <w:sz w:val="20"/>
              </w:rPr>
              <w:t>2,58,636</w:t>
            </w:r>
          </w:p>
          <w:p w14:paraId="45579B0F" w14:textId="77777777" w:rsidR="009842E9" w:rsidRPr="00E70587" w:rsidRDefault="009842E9" w:rsidP="00131CF4">
            <w:pPr>
              <w:ind w:right="206"/>
              <w:jc w:val="right"/>
              <w:rPr>
                <w:rFonts w:ascii="Arial" w:eastAsia="Tahoma" w:hAnsi="Arial" w:cs="Arial"/>
                <w:b/>
                <w:color w:val="000000"/>
                <w:sz w:val="20"/>
              </w:rPr>
            </w:pPr>
          </w:p>
        </w:tc>
      </w:tr>
      <w:tr w:rsidR="009842E9" w:rsidRPr="00E70587" w14:paraId="644A8131" w14:textId="77777777" w:rsidTr="00131CF4">
        <w:trPr>
          <w:trHeight w:hRule="exact" w:val="302"/>
        </w:trPr>
        <w:tc>
          <w:tcPr>
            <w:tcW w:w="3539" w:type="dxa"/>
            <w:vAlign w:val="center"/>
          </w:tcPr>
          <w:p w14:paraId="7050FE43" w14:textId="77777777" w:rsidR="009842E9" w:rsidRPr="00E70587" w:rsidRDefault="009842E9" w:rsidP="00131CF4">
            <w:pPr>
              <w:ind w:left="115"/>
              <w:rPr>
                <w:rFonts w:ascii="Arial" w:eastAsia="Verdana" w:hAnsi="Arial" w:cs="Arial"/>
                <w:color w:val="000000"/>
                <w:sz w:val="20"/>
              </w:rPr>
            </w:pPr>
            <w:r w:rsidRPr="00E70587">
              <w:rPr>
                <w:rFonts w:ascii="Arial" w:eastAsia="Verdana" w:hAnsi="Arial" w:cs="Arial"/>
                <w:color w:val="000000"/>
                <w:sz w:val="20"/>
              </w:rPr>
              <w:t>Services transferred over time</w:t>
            </w:r>
          </w:p>
        </w:tc>
        <w:tc>
          <w:tcPr>
            <w:tcW w:w="1342" w:type="dxa"/>
            <w:vAlign w:val="center"/>
          </w:tcPr>
          <w:p w14:paraId="6E373890" w14:textId="77777777" w:rsidR="009842E9" w:rsidRPr="00E70587" w:rsidRDefault="009842E9" w:rsidP="00131CF4">
            <w:pPr>
              <w:ind w:right="64"/>
              <w:jc w:val="right"/>
              <w:rPr>
                <w:rFonts w:ascii="Arial" w:eastAsia="Verdana" w:hAnsi="Arial" w:cs="Arial"/>
                <w:color w:val="000000"/>
                <w:sz w:val="20"/>
              </w:rPr>
            </w:pPr>
            <w:r w:rsidRPr="00E70587">
              <w:rPr>
                <w:rFonts w:ascii="Arial" w:eastAsia="Verdana" w:hAnsi="Arial" w:cs="Arial"/>
                <w:color w:val="000000"/>
                <w:sz w:val="20"/>
              </w:rPr>
              <w:t>29,767</w:t>
            </w:r>
          </w:p>
        </w:tc>
        <w:tc>
          <w:tcPr>
            <w:tcW w:w="1342" w:type="dxa"/>
            <w:vAlign w:val="center"/>
          </w:tcPr>
          <w:p w14:paraId="5781DFA0" w14:textId="77777777" w:rsidR="009842E9" w:rsidRPr="00E70587" w:rsidRDefault="009842E9" w:rsidP="00131CF4">
            <w:pPr>
              <w:ind w:right="206"/>
              <w:jc w:val="right"/>
              <w:rPr>
                <w:rFonts w:ascii="Arial" w:eastAsia="Verdana" w:hAnsi="Arial" w:cs="Arial"/>
                <w:color w:val="000000"/>
                <w:sz w:val="20"/>
              </w:rPr>
            </w:pPr>
            <w:r w:rsidRPr="00E70587">
              <w:rPr>
                <w:rFonts w:ascii="Arial" w:eastAsia="Verdana" w:hAnsi="Arial" w:cs="Arial"/>
                <w:color w:val="000000"/>
                <w:sz w:val="20"/>
              </w:rPr>
              <w:t>-</w:t>
            </w:r>
          </w:p>
        </w:tc>
        <w:tc>
          <w:tcPr>
            <w:tcW w:w="1342" w:type="dxa"/>
          </w:tcPr>
          <w:p w14:paraId="2C6CEBF2" w14:textId="77777777" w:rsidR="009842E9" w:rsidRPr="00E70587" w:rsidRDefault="009842E9" w:rsidP="00131CF4">
            <w:pPr>
              <w:ind w:right="206"/>
              <w:jc w:val="right"/>
              <w:rPr>
                <w:rFonts w:ascii="Arial" w:eastAsia="Tahoma" w:hAnsi="Arial" w:cs="Arial"/>
                <w:b/>
                <w:color w:val="000000"/>
                <w:sz w:val="20"/>
              </w:rPr>
            </w:pPr>
            <w:r>
              <w:rPr>
                <w:rFonts w:ascii="Arial" w:eastAsia="Tahoma" w:hAnsi="Arial" w:cs="Arial"/>
                <w:b/>
                <w:color w:val="000000"/>
                <w:sz w:val="20"/>
              </w:rPr>
              <w:t>-</w:t>
            </w:r>
          </w:p>
        </w:tc>
        <w:tc>
          <w:tcPr>
            <w:tcW w:w="1343" w:type="dxa"/>
            <w:vAlign w:val="center"/>
          </w:tcPr>
          <w:p w14:paraId="69A46F30" w14:textId="77777777" w:rsidR="009842E9" w:rsidRPr="00E70587" w:rsidRDefault="009842E9" w:rsidP="00131CF4">
            <w:pPr>
              <w:jc w:val="right"/>
              <w:rPr>
                <w:rFonts w:ascii="Arial" w:eastAsia="Verdana" w:hAnsi="Arial" w:cs="Arial"/>
                <w:color w:val="000000"/>
                <w:sz w:val="20"/>
              </w:rPr>
            </w:pPr>
            <w:r w:rsidRPr="00E70587">
              <w:rPr>
                <w:rFonts w:ascii="Arial" w:eastAsia="Verdana" w:hAnsi="Arial" w:cs="Arial"/>
                <w:color w:val="000000"/>
                <w:sz w:val="20"/>
              </w:rPr>
              <w:t>29,767</w:t>
            </w:r>
          </w:p>
        </w:tc>
      </w:tr>
      <w:tr w:rsidR="009842E9" w:rsidRPr="00E70587" w14:paraId="3D3D1811" w14:textId="77777777" w:rsidTr="00131CF4">
        <w:trPr>
          <w:trHeight w:hRule="exact" w:val="610"/>
        </w:trPr>
        <w:tc>
          <w:tcPr>
            <w:tcW w:w="3539" w:type="dxa"/>
            <w:vAlign w:val="center"/>
          </w:tcPr>
          <w:p w14:paraId="194B1F34" w14:textId="77777777" w:rsidR="009842E9" w:rsidRPr="00E70587" w:rsidRDefault="009842E9" w:rsidP="00131CF4">
            <w:pPr>
              <w:ind w:left="115"/>
              <w:rPr>
                <w:rFonts w:ascii="Arial" w:eastAsia="Tahoma" w:hAnsi="Arial" w:cs="Arial"/>
                <w:b/>
                <w:color w:val="000000"/>
                <w:sz w:val="20"/>
              </w:rPr>
            </w:pPr>
            <w:r w:rsidRPr="00E70587">
              <w:rPr>
                <w:rFonts w:ascii="Arial" w:eastAsia="Tahoma" w:hAnsi="Arial" w:cs="Arial"/>
                <w:b/>
                <w:color w:val="000000"/>
                <w:sz w:val="20"/>
              </w:rPr>
              <w:t>Total revenue from contracts with customers</w:t>
            </w:r>
          </w:p>
        </w:tc>
        <w:tc>
          <w:tcPr>
            <w:tcW w:w="1342" w:type="dxa"/>
            <w:vAlign w:val="center"/>
          </w:tcPr>
          <w:p w14:paraId="71F8BEAB" w14:textId="77777777" w:rsidR="009842E9" w:rsidRPr="00E70587" w:rsidRDefault="009842E9" w:rsidP="00131CF4">
            <w:pPr>
              <w:ind w:right="64"/>
              <w:jc w:val="right"/>
              <w:rPr>
                <w:rFonts w:ascii="Arial" w:eastAsia="Tahoma" w:hAnsi="Arial" w:cs="Arial"/>
                <w:b/>
                <w:color w:val="000000"/>
                <w:sz w:val="20"/>
              </w:rPr>
            </w:pPr>
            <w:r w:rsidRPr="00E70587">
              <w:rPr>
                <w:rFonts w:ascii="Arial" w:hAnsi="Arial" w:cs="Arial"/>
                <w:b/>
                <w:color w:val="000000"/>
                <w:sz w:val="20"/>
              </w:rPr>
              <w:t>1,88,995</w:t>
            </w:r>
          </w:p>
        </w:tc>
        <w:tc>
          <w:tcPr>
            <w:tcW w:w="1342" w:type="dxa"/>
            <w:vAlign w:val="center"/>
          </w:tcPr>
          <w:p w14:paraId="6EB78979"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Tahoma" w:hAnsi="Arial" w:cs="Arial"/>
                <w:b/>
                <w:color w:val="000000"/>
                <w:sz w:val="20"/>
              </w:rPr>
              <w:t>96,929</w:t>
            </w:r>
          </w:p>
        </w:tc>
        <w:tc>
          <w:tcPr>
            <w:tcW w:w="1342" w:type="dxa"/>
          </w:tcPr>
          <w:p w14:paraId="1221E1C5" w14:textId="77777777" w:rsidR="009842E9" w:rsidRDefault="009842E9" w:rsidP="00131CF4">
            <w:pPr>
              <w:ind w:right="206"/>
              <w:jc w:val="right"/>
              <w:rPr>
                <w:rFonts w:ascii="Arial" w:eastAsia="Verdana" w:hAnsi="Arial" w:cs="Arial"/>
                <w:b/>
                <w:color w:val="000000"/>
                <w:sz w:val="20"/>
              </w:rPr>
            </w:pPr>
          </w:p>
          <w:p w14:paraId="38DEEAF4" w14:textId="77777777" w:rsidR="009842E9" w:rsidRPr="00E70587" w:rsidRDefault="009842E9" w:rsidP="00131CF4">
            <w:pPr>
              <w:ind w:right="206"/>
              <w:jc w:val="right"/>
              <w:rPr>
                <w:rFonts w:ascii="Arial" w:eastAsia="Tahoma" w:hAnsi="Arial" w:cs="Arial"/>
                <w:b/>
                <w:color w:val="000000"/>
                <w:sz w:val="20"/>
              </w:rPr>
            </w:pPr>
            <w:r w:rsidRPr="00E70587">
              <w:rPr>
                <w:rFonts w:ascii="Arial" w:eastAsia="Verdana" w:hAnsi="Arial" w:cs="Arial"/>
                <w:b/>
                <w:color w:val="000000"/>
                <w:sz w:val="20"/>
              </w:rPr>
              <w:t>2,479</w:t>
            </w:r>
          </w:p>
        </w:tc>
        <w:tc>
          <w:tcPr>
            <w:tcW w:w="1343" w:type="dxa"/>
            <w:vAlign w:val="center"/>
          </w:tcPr>
          <w:p w14:paraId="5AE868CF" w14:textId="77777777" w:rsidR="009842E9" w:rsidRDefault="009842E9" w:rsidP="00131CF4">
            <w:pPr>
              <w:overflowPunct/>
              <w:autoSpaceDE/>
              <w:autoSpaceDN/>
              <w:adjustRightInd/>
              <w:spacing w:line="240" w:lineRule="auto"/>
              <w:jc w:val="right"/>
              <w:textAlignment w:val="auto"/>
              <w:rPr>
                <w:rFonts w:ascii="Arial" w:hAnsi="Arial" w:cs="Arial"/>
                <w:b/>
                <w:bCs/>
                <w:color w:val="000000"/>
                <w:sz w:val="20"/>
              </w:rPr>
            </w:pPr>
          </w:p>
          <w:p w14:paraId="2109A2B2" w14:textId="77777777" w:rsidR="009842E9" w:rsidRPr="00E70587" w:rsidRDefault="009842E9" w:rsidP="00131CF4">
            <w:pPr>
              <w:overflowPunct/>
              <w:autoSpaceDE/>
              <w:autoSpaceDN/>
              <w:adjustRightInd/>
              <w:spacing w:line="240" w:lineRule="auto"/>
              <w:jc w:val="right"/>
              <w:textAlignment w:val="auto"/>
              <w:rPr>
                <w:rFonts w:ascii="Arial" w:hAnsi="Arial" w:cs="Arial"/>
                <w:b/>
                <w:bCs/>
                <w:color w:val="000000"/>
                <w:sz w:val="20"/>
                <w:lang w:eastAsia="en-IN"/>
              </w:rPr>
            </w:pPr>
            <w:r w:rsidRPr="00E70587">
              <w:rPr>
                <w:rFonts w:ascii="Arial" w:hAnsi="Arial" w:cs="Arial"/>
                <w:b/>
                <w:bCs/>
                <w:color w:val="000000"/>
                <w:sz w:val="20"/>
              </w:rPr>
              <w:t>2,88,403</w:t>
            </w:r>
          </w:p>
          <w:p w14:paraId="09B343CF" w14:textId="77777777" w:rsidR="009842E9" w:rsidRPr="00E70587" w:rsidRDefault="009842E9" w:rsidP="00131CF4">
            <w:pPr>
              <w:ind w:right="206"/>
              <w:jc w:val="right"/>
              <w:rPr>
                <w:rFonts w:ascii="Arial" w:eastAsia="Tahoma" w:hAnsi="Arial" w:cs="Arial"/>
                <w:b/>
                <w:color w:val="000000"/>
                <w:sz w:val="20"/>
              </w:rPr>
            </w:pPr>
          </w:p>
        </w:tc>
      </w:tr>
    </w:tbl>
    <w:p w14:paraId="6BD12308" w14:textId="77777777" w:rsidR="009842E9" w:rsidRPr="00E70587" w:rsidRDefault="009842E9" w:rsidP="009842E9">
      <w:pPr>
        <w:rPr>
          <w:rFonts w:ascii="Arial" w:hAnsi="Arial" w:cs="Arial"/>
          <w:sz w:val="20"/>
        </w:rPr>
      </w:pPr>
    </w:p>
    <w:tbl>
      <w:tblPr>
        <w:tblW w:w="8671" w:type="dxa"/>
        <w:tblInd w:w="108" w:type="dxa"/>
        <w:tblLook w:val="04A0" w:firstRow="1" w:lastRow="0" w:firstColumn="1" w:lastColumn="0" w:noHBand="0" w:noVBand="1"/>
      </w:tblPr>
      <w:tblGrid>
        <w:gridCol w:w="6119"/>
        <w:gridCol w:w="1276"/>
        <w:gridCol w:w="1276"/>
      </w:tblGrid>
      <w:tr w:rsidR="009842E9" w:rsidRPr="005618A0" w14:paraId="3597C8C4" w14:textId="77777777" w:rsidTr="00131CF4">
        <w:trPr>
          <w:trHeight w:val="315"/>
        </w:trPr>
        <w:tc>
          <w:tcPr>
            <w:tcW w:w="8671" w:type="dxa"/>
            <w:gridSpan w:val="3"/>
            <w:shd w:val="clear" w:color="auto" w:fill="auto"/>
            <w:vAlign w:val="center"/>
          </w:tcPr>
          <w:p w14:paraId="464912BE" w14:textId="39400D62" w:rsidR="005618A0" w:rsidRDefault="005618A0" w:rsidP="00131CF4">
            <w:pPr>
              <w:overflowPunct/>
              <w:autoSpaceDE/>
              <w:autoSpaceDN/>
              <w:adjustRightInd/>
              <w:spacing w:line="240" w:lineRule="auto"/>
              <w:textAlignment w:val="auto"/>
              <w:rPr>
                <w:rFonts w:ascii="Arial" w:hAnsi="Arial" w:cs="Arial"/>
                <w:sz w:val="20"/>
                <w:lang w:eastAsia="en-IN"/>
              </w:rPr>
            </w:pPr>
          </w:p>
          <w:p w14:paraId="694E3866" w14:textId="78D68C0D" w:rsidR="0017026A" w:rsidRDefault="0017026A" w:rsidP="00131CF4">
            <w:pPr>
              <w:overflowPunct/>
              <w:autoSpaceDE/>
              <w:autoSpaceDN/>
              <w:adjustRightInd/>
              <w:spacing w:line="240" w:lineRule="auto"/>
              <w:textAlignment w:val="auto"/>
              <w:rPr>
                <w:rFonts w:ascii="Arial" w:hAnsi="Arial" w:cs="Arial"/>
                <w:sz w:val="20"/>
                <w:lang w:eastAsia="en-IN"/>
              </w:rPr>
            </w:pPr>
          </w:p>
          <w:p w14:paraId="59C7B73F" w14:textId="5DCDD4B6" w:rsidR="0017026A" w:rsidRDefault="0017026A" w:rsidP="00131CF4">
            <w:pPr>
              <w:overflowPunct/>
              <w:autoSpaceDE/>
              <w:autoSpaceDN/>
              <w:adjustRightInd/>
              <w:spacing w:line="240" w:lineRule="auto"/>
              <w:textAlignment w:val="auto"/>
              <w:rPr>
                <w:rFonts w:ascii="Arial" w:hAnsi="Arial" w:cs="Arial"/>
                <w:sz w:val="20"/>
                <w:lang w:eastAsia="en-IN"/>
              </w:rPr>
            </w:pPr>
          </w:p>
          <w:p w14:paraId="3C662861" w14:textId="3627D80C" w:rsidR="0017026A" w:rsidRDefault="0017026A" w:rsidP="00131CF4">
            <w:pPr>
              <w:overflowPunct/>
              <w:autoSpaceDE/>
              <w:autoSpaceDN/>
              <w:adjustRightInd/>
              <w:spacing w:line="240" w:lineRule="auto"/>
              <w:textAlignment w:val="auto"/>
              <w:rPr>
                <w:rFonts w:ascii="Arial" w:hAnsi="Arial" w:cs="Arial"/>
                <w:sz w:val="20"/>
                <w:lang w:eastAsia="en-IN"/>
              </w:rPr>
            </w:pPr>
          </w:p>
          <w:p w14:paraId="319810CA" w14:textId="31C8D35A" w:rsidR="0017026A" w:rsidRDefault="0017026A" w:rsidP="00131CF4">
            <w:pPr>
              <w:overflowPunct/>
              <w:autoSpaceDE/>
              <w:autoSpaceDN/>
              <w:adjustRightInd/>
              <w:spacing w:line="240" w:lineRule="auto"/>
              <w:textAlignment w:val="auto"/>
              <w:rPr>
                <w:rFonts w:ascii="Arial" w:hAnsi="Arial" w:cs="Arial"/>
                <w:sz w:val="20"/>
                <w:lang w:eastAsia="en-IN"/>
              </w:rPr>
            </w:pPr>
          </w:p>
          <w:p w14:paraId="0060DF7E" w14:textId="77777777" w:rsidR="0017026A" w:rsidRPr="005618A0" w:rsidRDefault="0017026A" w:rsidP="00131CF4">
            <w:pPr>
              <w:overflowPunct/>
              <w:autoSpaceDE/>
              <w:autoSpaceDN/>
              <w:adjustRightInd/>
              <w:spacing w:line="240" w:lineRule="auto"/>
              <w:textAlignment w:val="auto"/>
              <w:rPr>
                <w:rFonts w:ascii="Arial" w:hAnsi="Arial" w:cs="Arial"/>
                <w:sz w:val="20"/>
                <w:lang w:eastAsia="en-IN"/>
              </w:rPr>
            </w:pPr>
          </w:p>
          <w:p w14:paraId="5139E876" w14:textId="4CD5EF45" w:rsidR="009842E9" w:rsidRPr="005618A0" w:rsidRDefault="009842E9" w:rsidP="00131CF4">
            <w:pPr>
              <w:overflowPunct/>
              <w:autoSpaceDE/>
              <w:autoSpaceDN/>
              <w:adjustRightInd/>
              <w:spacing w:line="240" w:lineRule="auto"/>
              <w:textAlignment w:val="auto"/>
              <w:rPr>
                <w:rFonts w:ascii="Arial" w:hAnsi="Arial" w:cs="Arial"/>
                <w:sz w:val="20"/>
                <w:lang w:eastAsia="en-IN"/>
              </w:rPr>
            </w:pPr>
            <w:r w:rsidRPr="005618A0">
              <w:rPr>
                <w:rFonts w:ascii="Arial" w:hAnsi="Arial" w:cs="Arial"/>
                <w:sz w:val="20"/>
                <w:lang w:eastAsia="en-IN"/>
              </w:rPr>
              <w:t>Significant changes in contract asset and contract liability during the period are as follows</w:t>
            </w:r>
          </w:p>
        </w:tc>
      </w:tr>
      <w:tr w:rsidR="009842E9" w:rsidRPr="005618A0" w14:paraId="20C5585B" w14:textId="77777777" w:rsidTr="00131CF4">
        <w:trPr>
          <w:trHeight w:val="315"/>
        </w:trPr>
        <w:tc>
          <w:tcPr>
            <w:tcW w:w="6119" w:type="dxa"/>
            <w:shd w:val="clear" w:color="auto" w:fill="auto"/>
            <w:vAlign w:val="center"/>
          </w:tcPr>
          <w:p w14:paraId="1AFDCF23"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p>
        </w:tc>
        <w:tc>
          <w:tcPr>
            <w:tcW w:w="1276" w:type="dxa"/>
            <w:tcBorders>
              <w:bottom w:val="single" w:sz="4" w:space="0" w:color="auto"/>
            </w:tcBorders>
            <w:shd w:val="clear" w:color="auto" w:fill="auto"/>
            <w:vAlign w:val="center"/>
          </w:tcPr>
          <w:p w14:paraId="16003394"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p>
        </w:tc>
        <w:tc>
          <w:tcPr>
            <w:tcW w:w="1276" w:type="dxa"/>
            <w:tcBorders>
              <w:bottom w:val="single" w:sz="4" w:space="0" w:color="auto"/>
            </w:tcBorders>
            <w:shd w:val="clear" w:color="auto" w:fill="auto"/>
            <w:vAlign w:val="center"/>
          </w:tcPr>
          <w:p w14:paraId="20C781A5"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p>
        </w:tc>
      </w:tr>
      <w:tr w:rsidR="009842E9" w:rsidRPr="005618A0" w14:paraId="1E1397D7" w14:textId="77777777" w:rsidTr="00131CF4">
        <w:trPr>
          <w:trHeight w:val="315"/>
        </w:trPr>
        <w:tc>
          <w:tcPr>
            <w:tcW w:w="6119" w:type="dxa"/>
            <w:shd w:val="clear" w:color="auto" w:fill="auto"/>
            <w:vAlign w:val="center"/>
            <w:hideMark/>
          </w:tcPr>
          <w:p w14:paraId="4DDB647D"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r w:rsidRPr="005618A0">
              <w:rPr>
                <w:rFonts w:ascii="Arial" w:hAnsi="Arial" w:cs="Arial"/>
                <w:sz w:val="20"/>
                <w:lang w:eastAsia="en-IN"/>
              </w:rPr>
              <w:t> </w:t>
            </w:r>
          </w:p>
        </w:tc>
        <w:tc>
          <w:tcPr>
            <w:tcW w:w="1276" w:type="dxa"/>
            <w:tcBorders>
              <w:bottom w:val="single" w:sz="4" w:space="0" w:color="auto"/>
            </w:tcBorders>
            <w:shd w:val="clear" w:color="auto" w:fill="auto"/>
            <w:vAlign w:val="center"/>
            <w:hideMark/>
          </w:tcPr>
          <w:p w14:paraId="74AAE98C" w14:textId="77777777" w:rsidR="009842E9" w:rsidRPr="005618A0" w:rsidRDefault="009842E9" w:rsidP="00131CF4">
            <w:pPr>
              <w:overflowPunct/>
              <w:autoSpaceDE/>
              <w:autoSpaceDN/>
              <w:adjustRightInd/>
              <w:spacing w:line="240" w:lineRule="auto"/>
              <w:jc w:val="center"/>
              <w:textAlignment w:val="auto"/>
              <w:rPr>
                <w:rFonts w:ascii="Arial" w:hAnsi="Arial" w:cs="Arial"/>
                <w:sz w:val="20"/>
                <w:lang w:eastAsia="en-IN"/>
              </w:rPr>
            </w:pPr>
            <w:r w:rsidRPr="005618A0">
              <w:rPr>
                <w:rFonts w:ascii="Arial" w:hAnsi="Arial" w:cs="Arial"/>
                <w:b/>
                <w:sz w:val="20"/>
                <w:lang w:eastAsia="en-IN"/>
              </w:rPr>
              <w:t>2020-21</w:t>
            </w:r>
          </w:p>
        </w:tc>
        <w:tc>
          <w:tcPr>
            <w:tcW w:w="1276" w:type="dxa"/>
            <w:tcBorders>
              <w:bottom w:val="single" w:sz="4" w:space="0" w:color="auto"/>
            </w:tcBorders>
            <w:shd w:val="clear" w:color="auto" w:fill="auto"/>
            <w:vAlign w:val="center"/>
            <w:hideMark/>
          </w:tcPr>
          <w:p w14:paraId="5BCE8D67" w14:textId="77777777" w:rsidR="009842E9" w:rsidRPr="005618A0" w:rsidRDefault="009842E9" w:rsidP="00131CF4">
            <w:pPr>
              <w:overflowPunct/>
              <w:autoSpaceDE/>
              <w:autoSpaceDN/>
              <w:adjustRightInd/>
              <w:spacing w:line="240" w:lineRule="auto"/>
              <w:jc w:val="center"/>
              <w:textAlignment w:val="auto"/>
              <w:rPr>
                <w:rFonts w:ascii="Arial" w:hAnsi="Arial" w:cs="Arial"/>
                <w:sz w:val="20"/>
                <w:lang w:eastAsia="en-IN"/>
              </w:rPr>
            </w:pPr>
            <w:r w:rsidRPr="005618A0">
              <w:rPr>
                <w:rFonts w:ascii="Arial" w:hAnsi="Arial" w:cs="Arial"/>
                <w:b/>
                <w:sz w:val="20"/>
                <w:lang w:eastAsia="en-IN"/>
              </w:rPr>
              <w:t>2019-20</w:t>
            </w:r>
          </w:p>
        </w:tc>
      </w:tr>
      <w:tr w:rsidR="009842E9" w:rsidRPr="005618A0" w14:paraId="15DF5EBA" w14:textId="77777777" w:rsidTr="00131CF4">
        <w:trPr>
          <w:trHeight w:val="315"/>
        </w:trPr>
        <w:tc>
          <w:tcPr>
            <w:tcW w:w="6119" w:type="dxa"/>
            <w:shd w:val="clear" w:color="auto" w:fill="auto"/>
            <w:vAlign w:val="center"/>
            <w:hideMark/>
          </w:tcPr>
          <w:p w14:paraId="70B4CA66"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r w:rsidRPr="005618A0">
              <w:rPr>
                <w:rFonts w:ascii="Arial" w:hAnsi="Arial" w:cs="Arial"/>
                <w:sz w:val="20"/>
                <w:lang w:eastAsia="en-IN"/>
              </w:rPr>
              <w:t>Contract Assets (including right of return assets)</w:t>
            </w:r>
          </w:p>
        </w:tc>
        <w:tc>
          <w:tcPr>
            <w:tcW w:w="1276" w:type="dxa"/>
            <w:tcBorders>
              <w:top w:val="single" w:sz="4" w:space="0" w:color="auto"/>
            </w:tcBorders>
            <w:shd w:val="clear" w:color="auto" w:fill="auto"/>
            <w:vAlign w:val="bottom"/>
            <w:hideMark/>
          </w:tcPr>
          <w:p w14:paraId="62C5AD34"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 xml:space="preserve"> 4,698 </w:t>
            </w:r>
          </w:p>
        </w:tc>
        <w:tc>
          <w:tcPr>
            <w:tcW w:w="1276" w:type="dxa"/>
            <w:tcBorders>
              <w:top w:val="single" w:sz="4" w:space="0" w:color="auto"/>
            </w:tcBorders>
            <w:shd w:val="clear" w:color="auto" w:fill="auto"/>
            <w:vAlign w:val="bottom"/>
            <w:hideMark/>
          </w:tcPr>
          <w:p w14:paraId="5492915C"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 xml:space="preserve"> 4,945 </w:t>
            </w:r>
          </w:p>
        </w:tc>
      </w:tr>
      <w:tr w:rsidR="009842E9" w:rsidRPr="005618A0" w14:paraId="214C439B" w14:textId="77777777" w:rsidTr="00131CF4">
        <w:trPr>
          <w:trHeight w:val="315"/>
        </w:trPr>
        <w:tc>
          <w:tcPr>
            <w:tcW w:w="6119" w:type="dxa"/>
            <w:shd w:val="clear" w:color="auto" w:fill="auto"/>
            <w:vAlign w:val="center"/>
            <w:hideMark/>
          </w:tcPr>
          <w:p w14:paraId="3541B30E"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r w:rsidRPr="005618A0">
              <w:rPr>
                <w:rFonts w:ascii="Arial" w:hAnsi="Arial" w:cs="Arial"/>
                <w:sz w:val="20"/>
                <w:lang w:eastAsia="en-IN"/>
              </w:rPr>
              <w:t>Contract Liabilities (including refund liabilities)</w:t>
            </w:r>
          </w:p>
        </w:tc>
        <w:tc>
          <w:tcPr>
            <w:tcW w:w="1276" w:type="dxa"/>
            <w:shd w:val="clear" w:color="auto" w:fill="auto"/>
            <w:vAlign w:val="center"/>
            <w:hideMark/>
          </w:tcPr>
          <w:p w14:paraId="347EDD61"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 xml:space="preserve"> 4,464 </w:t>
            </w:r>
          </w:p>
          <w:p w14:paraId="01FF9C0C"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p>
        </w:tc>
        <w:tc>
          <w:tcPr>
            <w:tcW w:w="1276" w:type="dxa"/>
            <w:shd w:val="clear" w:color="auto" w:fill="auto"/>
            <w:vAlign w:val="center"/>
            <w:hideMark/>
          </w:tcPr>
          <w:p w14:paraId="4612289D"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 xml:space="preserve"> 4,493 </w:t>
            </w:r>
          </w:p>
          <w:p w14:paraId="41ACE7FA"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p>
        </w:tc>
      </w:tr>
      <w:tr w:rsidR="009842E9" w:rsidRPr="005618A0" w14:paraId="5BCB2FC8" w14:textId="77777777" w:rsidTr="00131CF4">
        <w:trPr>
          <w:trHeight w:val="315"/>
        </w:trPr>
        <w:tc>
          <w:tcPr>
            <w:tcW w:w="6119" w:type="dxa"/>
            <w:shd w:val="clear" w:color="auto" w:fill="auto"/>
            <w:vAlign w:val="center"/>
            <w:hideMark/>
          </w:tcPr>
          <w:p w14:paraId="05CA465D" w14:textId="77777777" w:rsidR="009842E9" w:rsidRPr="005618A0" w:rsidRDefault="009842E9" w:rsidP="00131CF4">
            <w:pPr>
              <w:overflowPunct/>
              <w:autoSpaceDE/>
              <w:autoSpaceDN/>
              <w:adjustRightInd/>
              <w:spacing w:line="240" w:lineRule="auto"/>
              <w:textAlignment w:val="auto"/>
              <w:rPr>
                <w:rFonts w:ascii="Arial" w:hAnsi="Arial" w:cs="Arial"/>
                <w:b/>
                <w:bCs/>
                <w:sz w:val="20"/>
                <w:lang w:eastAsia="en-IN"/>
              </w:rPr>
            </w:pPr>
            <w:r w:rsidRPr="005618A0">
              <w:rPr>
                <w:rFonts w:ascii="Arial" w:hAnsi="Arial" w:cs="Arial"/>
                <w:b/>
                <w:bCs/>
                <w:sz w:val="20"/>
                <w:lang w:eastAsia="en-IN"/>
              </w:rPr>
              <w:t>Revenue recognised in the period from:</w:t>
            </w:r>
          </w:p>
        </w:tc>
        <w:tc>
          <w:tcPr>
            <w:tcW w:w="1276" w:type="dxa"/>
            <w:shd w:val="clear" w:color="auto" w:fill="auto"/>
            <w:vAlign w:val="center"/>
            <w:hideMark/>
          </w:tcPr>
          <w:p w14:paraId="3BFA01FA" w14:textId="77777777" w:rsidR="009842E9" w:rsidRPr="005618A0" w:rsidRDefault="009842E9" w:rsidP="00131CF4">
            <w:pPr>
              <w:overflowPunct/>
              <w:autoSpaceDE/>
              <w:autoSpaceDN/>
              <w:adjustRightInd/>
              <w:spacing w:line="240" w:lineRule="auto"/>
              <w:textAlignment w:val="auto"/>
              <w:rPr>
                <w:rFonts w:ascii="Arial" w:hAnsi="Arial" w:cs="Arial"/>
                <w:b/>
                <w:bCs/>
                <w:sz w:val="20"/>
                <w:lang w:eastAsia="en-IN"/>
              </w:rPr>
            </w:pPr>
            <w:r w:rsidRPr="005618A0">
              <w:rPr>
                <w:rFonts w:ascii="Arial" w:hAnsi="Arial" w:cs="Arial"/>
                <w:b/>
                <w:bCs/>
                <w:sz w:val="20"/>
                <w:lang w:eastAsia="en-IN"/>
              </w:rPr>
              <w:t> </w:t>
            </w:r>
          </w:p>
        </w:tc>
        <w:tc>
          <w:tcPr>
            <w:tcW w:w="1276" w:type="dxa"/>
            <w:shd w:val="clear" w:color="auto" w:fill="auto"/>
            <w:vAlign w:val="center"/>
            <w:hideMark/>
          </w:tcPr>
          <w:p w14:paraId="012AA366"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r w:rsidRPr="005618A0">
              <w:rPr>
                <w:rFonts w:ascii="Arial" w:hAnsi="Arial" w:cs="Arial"/>
                <w:sz w:val="20"/>
                <w:lang w:eastAsia="en-IN"/>
              </w:rPr>
              <w:t> </w:t>
            </w:r>
          </w:p>
        </w:tc>
      </w:tr>
      <w:tr w:rsidR="009842E9" w:rsidRPr="005618A0" w14:paraId="64A051A0" w14:textId="77777777" w:rsidTr="00131CF4">
        <w:trPr>
          <w:trHeight w:val="525"/>
        </w:trPr>
        <w:tc>
          <w:tcPr>
            <w:tcW w:w="6119" w:type="dxa"/>
            <w:shd w:val="clear" w:color="auto" w:fill="auto"/>
            <w:vAlign w:val="center"/>
            <w:hideMark/>
          </w:tcPr>
          <w:p w14:paraId="1CF5008C"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r w:rsidRPr="005618A0">
              <w:rPr>
                <w:rFonts w:ascii="Arial" w:hAnsi="Arial" w:cs="Arial"/>
                <w:sz w:val="20"/>
                <w:lang w:eastAsia="en-IN"/>
              </w:rPr>
              <w:lastRenderedPageBreak/>
              <w:t>Amounts included in contract liability at the beginning of the period</w:t>
            </w:r>
          </w:p>
        </w:tc>
        <w:tc>
          <w:tcPr>
            <w:tcW w:w="1276" w:type="dxa"/>
            <w:shd w:val="clear" w:color="auto" w:fill="auto"/>
            <w:vAlign w:val="center"/>
            <w:hideMark/>
          </w:tcPr>
          <w:p w14:paraId="7E22C795"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3,819</w:t>
            </w:r>
          </w:p>
        </w:tc>
        <w:tc>
          <w:tcPr>
            <w:tcW w:w="1276" w:type="dxa"/>
            <w:shd w:val="clear" w:color="auto" w:fill="auto"/>
            <w:vAlign w:val="center"/>
            <w:hideMark/>
          </w:tcPr>
          <w:p w14:paraId="174F9F56"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2,580</w:t>
            </w:r>
          </w:p>
        </w:tc>
      </w:tr>
      <w:tr w:rsidR="009842E9" w:rsidRPr="005618A0" w14:paraId="527E99EF" w14:textId="77777777" w:rsidTr="00131CF4">
        <w:trPr>
          <w:trHeight w:val="525"/>
        </w:trPr>
        <w:tc>
          <w:tcPr>
            <w:tcW w:w="6119" w:type="dxa"/>
            <w:shd w:val="clear" w:color="auto" w:fill="auto"/>
            <w:vAlign w:val="center"/>
            <w:hideMark/>
          </w:tcPr>
          <w:p w14:paraId="7568477B" w14:textId="6AD1975E" w:rsidR="009842E9" w:rsidRPr="005618A0" w:rsidRDefault="009842E9" w:rsidP="00131CF4">
            <w:pPr>
              <w:overflowPunct/>
              <w:autoSpaceDE/>
              <w:autoSpaceDN/>
              <w:adjustRightInd/>
              <w:spacing w:line="240" w:lineRule="auto"/>
              <w:textAlignment w:val="auto"/>
              <w:rPr>
                <w:rFonts w:ascii="Arial" w:hAnsi="Arial" w:cs="Arial"/>
                <w:sz w:val="20"/>
                <w:lang w:eastAsia="en-IN"/>
              </w:rPr>
            </w:pPr>
            <w:r w:rsidRPr="005618A0">
              <w:rPr>
                <w:rFonts w:ascii="Arial" w:hAnsi="Arial" w:cs="Arial"/>
                <w:sz w:val="20"/>
                <w:lang w:eastAsia="en-IN"/>
              </w:rPr>
              <w:t xml:space="preserve">Performance obligations satisfied in previous </w:t>
            </w:r>
            <w:r w:rsidR="00590E47">
              <w:rPr>
                <w:rFonts w:ascii="Arial" w:hAnsi="Arial" w:cs="Arial"/>
                <w:sz w:val="20"/>
                <w:lang w:eastAsia="en-IN"/>
              </w:rPr>
              <w:t>years</w:t>
            </w:r>
          </w:p>
        </w:tc>
        <w:tc>
          <w:tcPr>
            <w:tcW w:w="1276" w:type="dxa"/>
            <w:shd w:val="clear" w:color="auto" w:fill="auto"/>
            <w:vAlign w:val="center"/>
            <w:hideMark/>
          </w:tcPr>
          <w:p w14:paraId="3C8B2A27"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3,709</w:t>
            </w:r>
          </w:p>
        </w:tc>
        <w:tc>
          <w:tcPr>
            <w:tcW w:w="1276" w:type="dxa"/>
            <w:shd w:val="clear" w:color="auto" w:fill="auto"/>
            <w:vAlign w:val="center"/>
            <w:hideMark/>
          </w:tcPr>
          <w:p w14:paraId="41DCE65F"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2,678</w:t>
            </w:r>
          </w:p>
        </w:tc>
      </w:tr>
    </w:tbl>
    <w:p w14:paraId="5DE45458" w14:textId="77777777" w:rsidR="009842E9" w:rsidRPr="005618A0" w:rsidRDefault="009842E9" w:rsidP="009842E9">
      <w:pPr>
        <w:pStyle w:val="ViralheadingL2"/>
        <w:keepNext w:val="0"/>
        <w:spacing w:before="0" w:after="0" w:line="280" w:lineRule="exact"/>
        <w:outlineLvl w:val="9"/>
        <w:rPr>
          <w:rFonts w:ascii="Arial" w:hAnsi="Arial" w:cs="Arial"/>
          <w:b w:val="0"/>
          <w:sz w:val="20"/>
          <w:szCs w:val="20"/>
        </w:rPr>
      </w:pPr>
    </w:p>
    <w:p w14:paraId="1B848ABD" w14:textId="77777777" w:rsidR="009842E9" w:rsidRPr="005618A0" w:rsidRDefault="009842E9" w:rsidP="009842E9">
      <w:pPr>
        <w:overflowPunct/>
        <w:autoSpaceDE/>
        <w:autoSpaceDN/>
        <w:adjustRightInd/>
        <w:spacing w:line="240" w:lineRule="auto"/>
        <w:jc w:val="both"/>
        <w:textAlignment w:val="auto"/>
        <w:rPr>
          <w:rFonts w:ascii="Arial" w:hAnsi="Arial" w:cs="Arial"/>
          <w:sz w:val="20"/>
          <w:lang w:eastAsia="en-IN"/>
        </w:rPr>
      </w:pPr>
      <w:r w:rsidRPr="005618A0">
        <w:rPr>
          <w:rFonts w:ascii="Arial" w:hAnsi="Arial" w:cs="Arial"/>
          <w:sz w:val="20"/>
          <w:lang w:eastAsia="en-IN"/>
        </w:rPr>
        <w:t xml:space="preserve">We receive payments from customers based on a billing schedule, as established in our contracts. Contract asset relates to our conditional right to consideration for our completed performance under the contract. Accounts receivable are recognised when the right to consideration becomes unconditional. Contract liability relates to payments received in advance of performance under the contract. Contract liabilities are recognised as revenue as (or when) we perform under the contract. </w:t>
      </w:r>
    </w:p>
    <w:p w14:paraId="46CB352C" w14:textId="77777777" w:rsidR="009842E9" w:rsidRPr="005618A0" w:rsidRDefault="009842E9" w:rsidP="009842E9">
      <w:pPr>
        <w:overflowPunct/>
        <w:autoSpaceDE/>
        <w:autoSpaceDN/>
        <w:adjustRightInd/>
        <w:spacing w:line="240" w:lineRule="auto"/>
        <w:jc w:val="both"/>
        <w:textAlignment w:val="auto"/>
        <w:rPr>
          <w:rFonts w:ascii="Arial" w:hAnsi="Arial" w:cs="Arial"/>
          <w:color w:val="58595B"/>
          <w:sz w:val="20"/>
          <w:lang w:eastAsia="en-IN"/>
        </w:rPr>
      </w:pPr>
    </w:p>
    <w:p w14:paraId="7CC3C1E1" w14:textId="01FD7787" w:rsidR="009842E9" w:rsidRPr="009D3692" w:rsidRDefault="009D3692" w:rsidP="009D3692">
      <w:pPr>
        <w:pStyle w:val="ViralheadingL2"/>
        <w:keepNext w:val="0"/>
        <w:shd w:val="clear" w:color="auto" w:fill="C1C1C1" w:themeFill="background1" w:themeFillTint="66"/>
        <w:spacing w:before="0" w:after="0" w:line="280" w:lineRule="exact"/>
        <w:outlineLvl w:val="9"/>
        <w:rPr>
          <w:rFonts w:ascii="Arial" w:hAnsi="Arial" w:cs="Arial"/>
          <w:bCs w:val="0"/>
          <w:sz w:val="20"/>
          <w:szCs w:val="20"/>
        </w:rPr>
      </w:pPr>
      <w:r w:rsidRPr="009D3692">
        <w:rPr>
          <w:rFonts w:ascii="Arial" w:hAnsi="Arial" w:cs="Arial"/>
          <w:bCs w:val="0"/>
          <w:sz w:val="20"/>
          <w:szCs w:val="20"/>
        </w:rPr>
        <w:t>Author’s Note</w:t>
      </w:r>
    </w:p>
    <w:p w14:paraId="3A721C52" w14:textId="77777777" w:rsidR="009D3692" w:rsidRDefault="009D3692" w:rsidP="009D3692">
      <w:pPr>
        <w:pStyle w:val="ViralheadingL2"/>
        <w:shd w:val="clear" w:color="auto" w:fill="C1C1C1" w:themeFill="background1" w:themeFillTint="66"/>
        <w:spacing w:line="120" w:lineRule="auto"/>
        <w:rPr>
          <w:rFonts w:ascii="Arial" w:hAnsi="Arial" w:cs="Arial"/>
          <w:b w:val="0"/>
          <w:sz w:val="20"/>
          <w:szCs w:val="20"/>
        </w:rPr>
      </w:pPr>
    </w:p>
    <w:p w14:paraId="4597395B" w14:textId="24608FF7" w:rsidR="009D3692" w:rsidRDefault="009D3692" w:rsidP="009D3692">
      <w:pPr>
        <w:pStyle w:val="ViralheadingL2"/>
        <w:shd w:val="clear" w:color="auto" w:fill="C1C1C1" w:themeFill="background1" w:themeFillTint="66"/>
        <w:spacing w:line="280" w:lineRule="exact"/>
        <w:rPr>
          <w:rFonts w:ascii="Arial" w:hAnsi="Arial" w:cs="Arial"/>
          <w:b w:val="0"/>
          <w:sz w:val="20"/>
          <w:szCs w:val="20"/>
        </w:rPr>
      </w:pPr>
      <w:r w:rsidRPr="009D3692">
        <w:rPr>
          <w:rFonts w:ascii="Arial" w:hAnsi="Arial" w:cs="Arial"/>
          <w:b w:val="0"/>
          <w:sz w:val="20"/>
          <w:szCs w:val="20"/>
        </w:rPr>
        <w:t>Ind AS 115.116 requires the disclosure of the opening balances of receivables, contract assets and contract liabilities from contracts with customers, if not otherwise separately presented or disclosed.</w:t>
      </w:r>
    </w:p>
    <w:p w14:paraId="5550137E" w14:textId="77777777" w:rsidR="009D3692" w:rsidRPr="009D3692" w:rsidRDefault="009D3692" w:rsidP="009D3692">
      <w:pPr>
        <w:pStyle w:val="ViralheadingL2"/>
        <w:shd w:val="clear" w:color="auto" w:fill="C1C1C1" w:themeFill="background1" w:themeFillTint="66"/>
        <w:spacing w:line="120" w:lineRule="auto"/>
        <w:rPr>
          <w:rFonts w:ascii="Arial" w:hAnsi="Arial" w:cs="Arial"/>
          <w:b w:val="0"/>
          <w:sz w:val="20"/>
          <w:szCs w:val="20"/>
        </w:rPr>
      </w:pPr>
    </w:p>
    <w:p w14:paraId="55804048" w14:textId="1EF1DE4B" w:rsidR="009D3692" w:rsidRDefault="009D3692" w:rsidP="009D3692">
      <w:pPr>
        <w:pStyle w:val="ViralheadingL2"/>
        <w:shd w:val="clear" w:color="auto" w:fill="C1C1C1" w:themeFill="background1" w:themeFillTint="66"/>
        <w:spacing w:line="280" w:lineRule="exact"/>
        <w:rPr>
          <w:rFonts w:ascii="Arial" w:hAnsi="Arial" w:cs="Arial"/>
          <w:b w:val="0"/>
          <w:sz w:val="20"/>
          <w:szCs w:val="20"/>
        </w:rPr>
      </w:pPr>
      <w:r w:rsidRPr="009D3692">
        <w:rPr>
          <w:rFonts w:ascii="Arial" w:hAnsi="Arial" w:cs="Arial"/>
          <w:b w:val="0"/>
          <w:sz w:val="20"/>
          <w:szCs w:val="20"/>
        </w:rPr>
        <w:t xml:space="preserve">The </w:t>
      </w:r>
      <w:r>
        <w:rPr>
          <w:rFonts w:ascii="Arial" w:hAnsi="Arial" w:cs="Arial"/>
          <w:b w:val="0"/>
          <w:sz w:val="20"/>
          <w:szCs w:val="20"/>
        </w:rPr>
        <w:t>entity may</w:t>
      </w:r>
      <w:r w:rsidRPr="009D3692">
        <w:rPr>
          <w:rFonts w:ascii="Arial" w:hAnsi="Arial" w:cs="Arial"/>
          <w:b w:val="0"/>
          <w:sz w:val="20"/>
          <w:szCs w:val="20"/>
        </w:rPr>
        <w:t xml:space="preserve"> disclose its receivables arising from contracts with customers separately from other receivables. It will be necessary for entities that have material receivables from non-Ind AS 115 contracts to separate these balances for disclosure purposes. For example, an entity may have accounts receivable relating to leasing contracts that would need to be disclosed separately from accounts receivable related to contracts with customers. </w:t>
      </w:r>
    </w:p>
    <w:p w14:paraId="235C2EC2" w14:textId="77777777" w:rsidR="009D3692" w:rsidRPr="009D3692" w:rsidRDefault="009D3692" w:rsidP="009D3692">
      <w:pPr>
        <w:pStyle w:val="ViralheadingL2"/>
        <w:shd w:val="clear" w:color="auto" w:fill="C1C1C1" w:themeFill="background1" w:themeFillTint="66"/>
        <w:spacing w:line="120" w:lineRule="auto"/>
        <w:rPr>
          <w:rFonts w:ascii="Arial" w:hAnsi="Arial" w:cs="Arial"/>
          <w:b w:val="0"/>
          <w:sz w:val="20"/>
          <w:szCs w:val="20"/>
        </w:rPr>
      </w:pPr>
    </w:p>
    <w:p w14:paraId="342EFD66" w14:textId="73DF30A2" w:rsidR="009D3692" w:rsidRDefault="009D3692" w:rsidP="009D3692">
      <w:pPr>
        <w:pStyle w:val="ViralheadingL2"/>
        <w:shd w:val="clear" w:color="auto" w:fill="C1C1C1" w:themeFill="background1" w:themeFillTint="66"/>
        <w:spacing w:line="280" w:lineRule="exact"/>
        <w:rPr>
          <w:rFonts w:ascii="Arial" w:hAnsi="Arial" w:cs="Arial"/>
          <w:b w:val="0"/>
          <w:sz w:val="20"/>
          <w:szCs w:val="20"/>
        </w:rPr>
      </w:pPr>
      <w:r w:rsidRPr="009D3692">
        <w:rPr>
          <w:rFonts w:ascii="Arial" w:hAnsi="Arial" w:cs="Arial"/>
          <w:b w:val="0"/>
          <w:sz w:val="20"/>
          <w:szCs w:val="20"/>
        </w:rPr>
        <w:t xml:space="preserve">Ind AS 115.116 also requires disclosure of ‘revenue recognised in the reporting period that was included in the contract liability balance at the beginning of the period’ and ‘revenue recognised in the reporting period from performance obligations satisfied (or partially satisfied) in previous periods’. Entities can also present this in a tabular or narrative format. </w:t>
      </w:r>
    </w:p>
    <w:p w14:paraId="5459B8B4" w14:textId="77777777" w:rsidR="009D3692" w:rsidRPr="009D3692" w:rsidRDefault="009D3692" w:rsidP="009D3692">
      <w:pPr>
        <w:pStyle w:val="ViralheadingL2"/>
        <w:shd w:val="clear" w:color="auto" w:fill="C1C1C1" w:themeFill="background1" w:themeFillTint="66"/>
        <w:spacing w:line="120" w:lineRule="auto"/>
        <w:rPr>
          <w:rFonts w:ascii="Arial" w:hAnsi="Arial" w:cs="Arial"/>
          <w:b w:val="0"/>
          <w:sz w:val="20"/>
          <w:szCs w:val="20"/>
        </w:rPr>
      </w:pPr>
    </w:p>
    <w:p w14:paraId="622F52B7" w14:textId="09BBF379" w:rsidR="009D3692" w:rsidRDefault="009D3692" w:rsidP="009D3692">
      <w:pPr>
        <w:pStyle w:val="ViralheadingL2"/>
        <w:keepNext w:val="0"/>
        <w:shd w:val="clear" w:color="auto" w:fill="C1C1C1" w:themeFill="background1" w:themeFillTint="66"/>
        <w:spacing w:before="0" w:after="0" w:line="280" w:lineRule="exact"/>
        <w:outlineLvl w:val="9"/>
        <w:rPr>
          <w:rFonts w:ascii="Arial" w:hAnsi="Arial" w:cs="Arial"/>
          <w:b w:val="0"/>
          <w:sz w:val="20"/>
          <w:szCs w:val="20"/>
        </w:rPr>
      </w:pPr>
      <w:r w:rsidRPr="009D3692">
        <w:rPr>
          <w:rFonts w:ascii="Arial" w:hAnsi="Arial" w:cs="Arial"/>
          <w:b w:val="0"/>
          <w:sz w:val="20"/>
          <w:szCs w:val="20"/>
        </w:rPr>
        <w:t>The Group provided qualitative and quantitative disclosures of its contact balances and changes on those balances during the period. Entities are permitted to disclose information about contract balances, and changes therein, as they deem to be most appropriate, which would include a combination of tabular and narrative information.</w:t>
      </w:r>
    </w:p>
    <w:p w14:paraId="28CCE015" w14:textId="77777777" w:rsidR="009D3692" w:rsidRPr="005618A0" w:rsidRDefault="009D3692" w:rsidP="009842E9">
      <w:pPr>
        <w:pStyle w:val="ViralheadingL2"/>
        <w:keepNext w:val="0"/>
        <w:spacing w:before="0" w:after="0" w:line="280" w:lineRule="exact"/>
        <w:outlineLvl w:val="9"/>
        <w:rPr>
          <w:rFonts w:ascii="Arial" w:hAnsi="Arial" w:cs="Arial"/>
          <w:b w:val="0"/>
          <w:sz w:val="20"/>
          <w:szCs w:val="20"/>
        </w:rPr>
      </w:pPr>
    </w:p>
    <w:p w14:paraId="7CF1E054" w14:textId="77777777" w:rsidR="009842E9" w:rsidRPr="005618A0" w:rsidRDefault="009842E9" w:rsidP="009842E9">
      <w:pPr>
        <w:overflowPunct/>
        <w:autoSpaceDE/>
        <w:autoSpaceDN/>
        <w:adjustRightInd/>
        <w:spacing w:line="240" w:lineRule="auto"/>
        <w:textAlignment w:val="auto"/>
        <w:rPr>
          <w:rFonts w:ascii="Arial" w:eastAsia="Tahoma" w:hAnsi="Arial" w:cs="Arial"/>
          <w:b/>
          <w:color w:val="000000"/>
          <w:sz w:val="20"/>
        </w:rPr>
      </w:pPr>
      <w:r w:rsidRPr="005618A0">
        <w:rPr>
          <w:rFonts w:ascii="Arial" w:eastAsia="Tahoma" w:hAnsi="Arial" w:cs="Arial"/>
          <w:b/>
          <w:color w:val="000000"/>
          <w:sz w:val="20"/>
        </w:rPr>
        <w:t>Movement in Contract Assets (Current)</w:t>
      </w:r>
    </w:p>
    <w:p w14:paraId="6637DFA3" w14:textId="77777777" w:rsidR="009842E9" w:rsidRPr="005618A0" w:rsidRDefault="009842E9" w:rsidP="009842E9">
      <w:pPr>
        <w:pStyle w:val="ViralheadingL2"/>
        <w:keepNext w:val="0"/>
        <w:spacing w:before="0" w:after="0" w:line="280" w:lineRule="exact"/>
        <w:outlineLvl w:val="9"/>
        <w:rPr>
          <w:rFonts w:ascii="Arial" w:eastAsia="Tahoma" w:hAnsi="Arial" w:cs="Arial"/>
          <w:bCs w:val="0"/>
          <w:color w:val="000000"/>
          <w:sz w:val="20"/>
          <w:szCs w:val="20"/>
        </w:rPr>
      </w:pPr>
    </w:p>
    <w:tbl>
      <w:tblPr>
        <w:tblW w:w="8671" w:type="dxa"/>
        <w:tblInd w:w="108" w:type="dxa"/>
        <w:tblLook w:val="04A0" w:firstRow="1" w:lastRow="0" w:firstColumn="1" w:lastColumn="0" w:noHBand="0" w:noVBand="1"/>
      </w:tblPr>
      <w:tblGrid>
        <w:gridCol w:w="6119"/>
        <w:gridCol w:w="1276"/>
        <w:gridCol w:w="1276"/>
      </w:tblGrid>
      <w:tr w:rsidR="009842E9" w:rsidRPr="005618A0" w14:paraId="1511F579" w14:textId="77777777" w:rsidTr="00131CF4">
        <w:trPr>
          <w:trHeight w:val="315"/>
        </w:trPr>
        <w:tc>
          <w:tcPr>
            <w:tcW w:w="6119" w:type="dxa"/>
            <w:shd w:val="clear" w:color="auto" w:fill="auto"/>
            <w:vAlign w:val="center"/>
            <w:hideMark/>
          </w:tcPr>
          <w:p w14:paraId="088B6A6D" w14:textId="77777777" w:rsidR="009842E9" w:rsidRPr="005618A0" w:rsidRDefault="009842E9" w:rsidP="00131CF4">
            <w:pPr>
              <w:overflowPunct/>
              <w:autoSpaceDE/>
              <w:autoSpaceDN/>
              <w:adjustRightInd/>
              <w:spacing w:line="240" w:lineRule="auto"/>
              <w:textAlignment w:val="auto"/>
              <w:rPr>
                <w:rFonts w:ascii="Arial" w:hAnsi="Arial" w:cs="Arial"/>
                <w:color w:val="58595B"/>
                <w:sz w:val="20"/>
                <w:lang w:eastAsia="en-IN"/>
              </w:rPr>
            </w:pPr>
          </w:p>
        </w:tc>
        <w:tc>
          <w:tcPr>
            <w:tcW w:w="1276" w:type="dxa"/>
            <w:tcBorders>
              <w:bottom w:val="single" w:sz="4" w:space="0" w:color="auto"/>
            </w:tcBorders>
            <w:shd w:val="clear" w:color="auto" w:fill="auto"/>
            <w:vAlign w:val="center"/>
            <w:hideMark/>
          </w:tcPr>
          <w:p w14:paraId="677E94E3" w14:textId="77777777" w:rsidR="009842E9" w:rsidRPr="005618A0" w:rsidRDefault="009842E9" w:rsidP="00131CF4">
            <w:pPr>
              <w:overflowPunct/>
              <w:autoSpaceDE/>
              <w:autoSpaceDN/>
              <w:adjustRightInd/>
              <w:spacing w:line="240" w:lineRule="auto"/>
              <w:jc w:val="center"/>
              <w:textAlignment w:val="auto"/>
              <w:rPr>
                <w:rFonts w:ascii="Arial" w:hAnsi="Arial" w:cs="Arial"/>
                <w:b/>
                <w:color w:val="58595B"/>
                <w:sz w:val="20"/>
                <w:lang w:eastAsia="en-IN"/>
              </w:rPr>
            </w:pPr>
            <w:r w:rsidRPr="005618A0">
              <w:rPr>
                <w:rFonts w:ascii="Arial" w:hAnsi="Arial" w:cs="Arial"/>
                <w:b/>
                <w:color w:val="58595B"/>
                <w:sz w:val="20"/>
                <w:lang w:eastAsia="en-IN"/>
              </w:rPr>
              <w:t>2020-21</w:t>
            </w:r>
          </w:p>
        </w:tc>
        <w:tc>
          <w:tcPr>
            <w:tcW w:w="1276" w:type="dxa"/>
            <w:tcBorders>
              <w:bottom w:val="single" w:sz="4" w:space="0" w:color="auto"/>
            </w:tcBorders>
            <w:shd w:val="clear" w:color="auto" w:fill="auto"/>
            <w:vAlign w:val="center"/>
            <w:hideMark/>
          </w:tcPr>
          <w:p w14:paraId="7E22B8A1" w14:textId="77777777" w:rsidR="009842E9" w:rsidRPr="005618A0" w:rsidRDefault="009842E9" w:rsidP="00131CF4">
            <w:pPr>
              <w:overflowPunct/>
              <w:autoSpaceDE/>
              <w:autoSpaceDN/>
              <w:adjustRightInd/>
              <w:spacing w:line="240" w:lineRule="auto"/>
              <w:jc w:val="center"/>
              <w:textAlignment w:val="auto"/>
              <w:rPr>
                <w:rFonts w:ascii="Arial" w:hAnsi="Arial" w:cs="Arial"/>
                <w:b/>
                <w:color w:val="58595B"/>
                <w:sz w:val="20"/>
                <w:lang w:eastAsia="en-IN"/>
              </w:rPr>
            </w:pPr>
            <w:r w:rsidRPr="005618A0">
              <w:rPr>
                <w:rFonts w:ascii="Arial" w:hAnsi="Arial" w:cs="Arial"/>
                <w:b/>
                <w:color w:val="58595B"/>
                <w:sz w:val="20"/>
                <w:lang w:eastAsia="en-IN"/>
              </w:rPr>
              <w:t>2019-20</w:t>
            </w:r>
          </w:p>
        </w:tc>
      </w:tr>
      <w:tr w:rsidR="009842E9" w:rsidRPr="005618A0" w14:paraId="78B12113" w14:textId="77777777" w:rsidTr="00131CF4">
        <w:trPr>
          <w:trHeight w:val="315"/>
        </w:trPr>
        <w:tc>
          <w:tcPr>
            <w:tcW w:w="6119" w:type="dxa"/>
            <w:shd w:val="clear" w:color="auto" w:fill="auto"/>
            <w:vAlign w:val="center"/>
            <w:hideMark/>
          </w:tcPr>
          <w:p w14:paraId="6D02D588"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r w:rsidRPr="005618A0">
              <w:rPr>
                <w:rFonts w:ascii="Arial" w:hAnsi="Arial" w:cs="Arial"/>
                <w:sz w:val="20"/>
                <w:lang w:eastAsia="en-IN"/>
              </w:rPr>
              <w:t>Contract Assets at the beginning of the year</w:t>
            </w:r>
          </w:p>
        </w:tc>
        <w:tc>
          <w:tcPr>
            <w:tcW w:w="1276" w:type="dxa"/>
            <w:tcBorders>
              <w:top w:val="single" w:sz="4" w:space="0" w:color="auto"/>
            </w:tcBorders>
            <w:shd w:val="clear" w:color="auto" w:fill="auto"/>
            <w:vAlign w:val="center"/>
            <w:hideMark/>
          </w:tcPr>
          <w:p w14:paraId="20C6B38D"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4,945</w:t>
            </w:r>
          </w:p>
        </w:tc>
        <w:tc>
          <w:tcPr>
            <w:tcW w:w="1276" w:type="dxa"/>
            <w:tcBorders>
              <w:top w:val="single" w:sz="4" w:space="0" w:color="auto"/>
            </w:tcBorders>
            <w:shd w:val="clear" w:color="auto" w:fill="auto"/>
            <w:vAlign w:val="center"/>
            <w:hideMark/>
          </w:tcPr>
          <w:p w14:paraId="01E2E67E"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4,120</w:t>
            </w:r>
          </w:p>
        </w:tc>
      </w:tr>
      <w:tr w:rsidR="009842E9" w:rsidRPr="005618A0" w14:paraId="74596CD4" w14:textId="77777777" w:rsidTr="00131CF4">
        <w:trPr>
          <w:trHeight w:val="1035"/>
        </w:trPr>
        <w:tc>
          <w:tcPr>
            <w:tcW w:w="6119" w:type="dxa"/>
            <w:shd w:val="clear" w:color="auto" w:fill="auto"/>
            <w:vAlign w:val="center"/>
            <w:hideMark/>
          </w:tcPr>
          <w:p w14:paraId="3E4EC3AD"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r w:rsidRPr="005618A0">
              <w:rPr>
                <w:rFonts w:ascii="Arial" w:hAnsi="Arial" w:cs="Arial"/>
                <w:sz w:val="20"/>
                <w:lang w:eastAsia="en-IN"/>
              </w:rPr>
              <w:t>Transfers from contract assets recognised at the beginning of the period to receivables and increase/ (decrease) as a result of changes in the measure of progress</w:t>
            </w:r>
          </w:p>
        </w:tc>
        <w:tc>
          <w:tcPr>
            <w:tcW w:w="1276" w:type="dxa"/>
            <w:shd w:val="clear" w:color="auto" w:fill="auto"/>
            <w:vAlign w:val="center"/>
            <w:hideMark/>
          </w:tcPr>
          <w:p w14:paraId="6EB5924C"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(247)</w:t>
            </w:r>
          </w:p>
        </w:tc>
        <w:tc>
          <w:tcPr>
            <w:tcW w:w="1276" w:type="dxa"/>
            <w:shd w:val="clear" w:color="auto" w:fill="auto"/>
            <w:vAlign w:val="center"/>
            <w:hideMark/>
          </w:tcPr>
          <w:p w14:paraId="46BA4E44"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825</w:t>
            </w:r>
          </w:p>
        </w:tc>
      </w:tr>
      <w:tr w:rsidR="009842E9" w:rsidRPr="005618A0" w14:paraId="0D9AD97A" w14:textId="77777777" w:rsidTr="00131CF4">
        <w:trPr>
          <w:trHeight w:val="315"/>
        </w:trPr>
        <w:tc>
          <w:tcPr>
            <w:tcW w:w="6119" w:type="dxa"/>
            <w:shd w:val="clear" w:color="auto" w:fill="auto"/>
            <w:vAlign w:val="center"/>
            <w:hideMark/>
          </w:tcPr>
          <w:p w14:paraId="25B0F0F6"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r w:rsidRPr="005618A0">
              <w:rPr>
                <w:rFonts w:ascii="Arial" w:hAnsi="Arial" w:cs="Arial"/>
                <w:sz w:val="20"/>
                <w:lang w:eastAsia="en-IN"/>
              </w:rPr>
              <w:t>Contract assets as at 31 March</w:t>
            </w:r>
          </w:p>
        </w:tc>
        <w:tc>
          <w:tcPr>
            <w:tcW w:w="1276" w:type="dxa"/>
            <w:shd w:val="clear" w:color="auto" w:fill="auto"/>
            <w:vAlign w:val="center"/>
            <w:hideMark/>
          </w:tcPr>
          <w:p w14:paraId="1018CF3B"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4,698</w:t>
            </w:r>
          </w:p>
        </w:tc>
        <w:tc>
          <w:tcPr>
            <w:tcW w:w="1276" w:type="dxa"/>
            <w:shd w:val="clear" w:color="auto" w:fill="auto"/>
            <w:vAlign w:val="center"/>
            <w:hideMark/>
          </w:tcPr>
          <w:p w14:paraId="22D2D750"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4,945</w:t>
            </w:r>
          </w:p>
        </w:tc>
      </w:tr>
    </w:tbl>
    <w:p w14:paraId="0895E6C1" w14:textId="1F6A964E" w:rsidR="009842E9" w:rsidRDefault="009842E9" w:rsidP="009842E9">
      <w:pPr>
        <w:pStyle w:val="ViralheadingL2"/>
        <w:keepNext w:val="0"/>
        <w:spacing w:before="0" w:after="0" w:line="280" w:lineRule="exact"/>
        <w:outlineLvl w:val="9"/>
        <w:rPr>
          <w:rFonts w:ascii="Arial" w:hAnsi="Arial" w:cs="Arial"/>
          <w:b w:val="0"/>
          <w:sz w:val="20"/>
          <w:szCs w:val="20"/>
        </w:rPr>
      </w:pPr>
    </w:p>
    <w:p w14:paraId="79C22DE3" w14:textId="3E47B8CF" w:rsidR="009842E9" w:rsidRPr="005618A0" w:rsidRDefault="009842E9" w:rsidP="009842E9">
      <w:pPr>
        <w:overflowPunct/>
        <w:autoSpaceDE/>
        <w:autoSpaceDN/>
        <w:adjustRightInd/>
        <w:spacing w:line="240" w:lineRule="auto"/>
        <w:textAlignment w:val="auto"/>
        <w:rPr>
          <w:rFonts w:ascii="Arial" w:hAnsi="Arial" w:cs="Arial"/>
          <w:sz w:val="20"/>
          <w:lang w:eastAsia="en-IN"/>
        </w:rPr>
      </w:pPr>
      <w:r w:rsidRPr="005618A0">
        <w:rPr>
          <w:rFonts w:ascii="Arial" w:eastAsia="Tahoma" w:hAnsi="Arial" w:cs="Arial"/>
          <w:b/>
          <w:sz w:val="20"/>
        </w:rPr>
        <w:t>Movement in Contract Liabilities</w:t>
      </w:r>
    </w:p>
    <w:p w14:paraId="29674B03" w14:textId="77777777" w:rsidR="009842E9" w:rsidRPr="005618A0" w:rsidRDefault="009842E9" w:rsidP="009842E9">
      <w:pPr>
        <w:pStyle w:val="ViralheadingL2"/>
        <w:keepNext w:val="0"/>
        <w:spacing w:before="0" w:after="0" w:line="280" w:lineRule="exact"/>
        <w:outlineLvl w:val="9"/>
        <w:rPr>
          <w:rFonts w:ascii="Arial" w:hAnsi="Arial" w:cs="Arial"/>
          <w:b w:val="0"/>
          <w:sz w:val="20"/>
          <w:szCs w:val="20"/>
        </w:rPr>
      </w:pPr>
    </w:p>
    <w:tbl>
      <w:tblPr>
        <w:tblW w:w="9240" w:type="dxa"/>
        <w:tblInd w:w="108" w:type="dxa"/>
        <w:tblLook w:val="04A0" w:firstRow="1" w:lastRow="0" w:firstColumn="1" w:lastColumn="0" w:noHBand="0" w:noVBand="1"/>
      </w:tblPr>
      <w:tblGrid>
        <w:gridCol w:w="4985"/>
        <w:gridCol w:w="1015"/>
        <w:gridCol w:w="1080"/>
        <w:gridCol w:w="990"/>
        <w:gridCol w:w="1170"/>
      </w:tblGrid>
      <w:tr w:rsidR="009842E9" w:rsidRPr="005618A0" w14:paraId="2B747992" w14:textId="77777777" w:rsidTr="00131CF4">
        <w:trPr>
          <w:trHeight w:val="315"/>
        </w:trPr>
        <w:tc>
          <w:tcPr>
            <w:tcW w:w="4985" w:type="dxa"/>
            <w:shd w:val="clear" w:color="auto" w:fill="auto"/>
            <w:vAlign w:val="center"/>
            <w:hideMark/>
          </w:tcPr>
          <w:p w14:paraId="7AB57B24"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r w:rsidRPr="005618A0">
              <w:rPr>
                <w:rFonts w:ascii="Arial" w:hAnsi="Arial" w:cs="Arial"/>
                <w:sz w:val="20"/>
                <w:lang w:eastAsia="en-IN"/>
              </w:rPr>
              <w:t> </w:t>
            </w:r>
          </w:p>
        </w:tc>
        <w:tc>
          <w:tcPr>
            <w:tcW w:w="2095" w:type="dxa"/>
            <w:gridSpan w:val="2"/>
            <w:shd w:val="clear" w:color="auto" w:fill="auto"/>
            <w:vAlign w:val="center"/>
            <w:hideMark/>
          </w:tcPr>
          <w:p w14:paraId="1F42181B" w14:textId="77777777" w:rsidR="009842E9" w:rsidRPr="005618A0" w:rsidRDefault="009842E9" w:rsidP="00131CF4">
            <w:pPr>
              <w:overflowPunct/>
              <w:autoSpaceDE/>
              <w:autoSpaceDN/>
              <w:adjustRightInd/>
              <w:spacing w:line="240" w:lineRule="auto"/>
              <w:jc w:val="center"/>
              <w:textAlignment w:val="auto"/>
              <w:rPr>
                <w:rFonts w:ascii="Arial" w:hAnsi="Arial" w:cs="Arial"/>
                <w:b/>
                <w:sz w:val="20"/>
                <w:lang w:eastAsia="en-IN"/>
              </w:rPr>
            </w:pPr>
            <w:r w:rsidRPr="005618A0">
              <w:rPr>
                <w:rFonts w:ascii="Arial" w:hAnsi="Arial" w:cs="Arial"/>
                <w:b/>
                <w:sz w:val="20"/>
                <w:lang w:eastAsia="en-IN"/>
              </w:rPr>
              <w:t>Current</w:t>
            </w:r>
          </w:p>
        </w:tc>
        <w:tc>
          <w:tcPr>
            <w:tcW w:w="2160" w:type="dxa"/>
            <w:gridSpan w:val="2"/>
            <w:shd w:val="clear" w:color="auto" w:fill="auto"/>
            <w:vAlign w:val="center"/>
            <w:hideMark/>
          </w:tcPr>
          <w:p w14:paraId="45A37962" w14:textId="77777777" w:rsidR="009842E9" w:rsidRPr="005618A0" w:rsidRDefault="009842E9" w:rsidP="00131CF4">
            <w:pPr>
              <w:overflowPunct/>
              <w:autoSpaceDE/>
              <w:autoSpaceDN/>
              <w:adjustRightInd/>
              <w:spacing w:line="240" w:lineRule="auto"/>
              <w:jc w:val="center"/>
              <w:textAlignment w:val="auto"/>
              <w:rPr>
                <w:rFonts w:ascii="Arial" w:hAnsi="Arial" w:cs="Arial"/>
                <w:b/>
                <w:sz w:val="20"/>
                <w:lang w:eastAsia="en-IN"/>
              </w:rPr>
            </w:pPr>
            <w:r w:rsidRPr="005618A0">
              <w:rPr>
                <w:rFonts w:ascii="Arial" w:hAnsi="Arial" w:cs="Arial"/>
                <w:b/>
                <w:sz w:val="20"/>
                <w:lang w:eastAsia="en-IN"/>
              </w:rPr>
              <w:t>Non-current</w:t>
            </w:r>
          </w:p>
        </w:tc>
      </w:tr>
      <w:tr w:rsidR="009842E9" w:rsidRPr="005618A0" w14:paraId="0F173375" w14:textId="77777777" w:rsidTr="00131CF4">
        <w:trPr>
          <w:trHeight w:val="315"/>
        </w:trPr>
        <w:tc>
          <w:tcPr>
            <w:tcW w:w="4985" w:type="dxa"/>
            <w:shd w:val="clear" w:color="auto" w:fill="auto"/>
            <w:vAlign w:val="center"/>
            <w:hideMark/>
          </w:tcPr>
          <w:p w14:paraId="2E68AF21"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r w:rsidRPr="005618A0">
              <w:rPr>
                <w:rFonts w:ascii="Arial" w:hAnsi="Arial" w:cs="Arial"/>
                <w:sz w:val="20"/>
                <w:lang w:eastAsia="en-IN"/>
              </w:rPr>
              <w:t> </w:t>
            </w:r>
          </w:p>
        </w:tc>
        <w:tc>
          <w:tcPr>
            <w:tcW w:w="1015" w:type="dxa"/>
            <w:tcBorders>
              <w:bottom w:val="single" w:sz="4" w:space="0" w:color="auto"/>
            </w:tcBorders>
            <w:shd w:val="clear" w:color="auto" w:fill="auto"/>
            <w:vAlign w:val="center"/>
            <w:hideMark/>
          </w:tcPr>
          <w:p w14:paraId="01135DB5" w14:textId="77777777" w:rsidR="009842E9" w:rsidRPr="005618A0" w:rsidRDefault="009842E9" w:rsidP="00131CF4">
            <w:pPr>
              <w:overflowPunct/>
              <w:autoSpaceDE/>
              <w:autoSpaceDN/>
              <w:adjustRightInd/>
              <w:spacing w:line="240" w:lineRule="auto"/>
              <w:ind w:left="-47" w:firstLine="47"/>
              <w:jc w:val="center"/>
              <w:textAlignment w:val="auto"/>
              <w:rPr>
                <w:rFonts w:ascii="Arial" w:hAnsi="Arial" w:cs="Arial"/>
                <w:b/>
                <w:sz w:val="20"/>
                <w:lang w:eastAsia="en-IN"/>
              </w:rPr>
            </w:pPr>
            <w:r w:rsidRPr="005618A0">
              <w:rPr>
                <w:rFonts w:ascii="Arial" w:hAnsi="Arial" w:cs="Arial"/>
                <w:b/>
                <w:sz w:val="20"/>
                <w:lang w:eastAsia="en-IN"/>
              </w:rPr>
              <w:t>2020-21</w:t>
            </w:r>
          </w:p>
        </w:tc>
        <w:tc>
          <w:tcPr>
            <w:tcW w:w="1080" w:type="dxa"/>
            <w:tcBorders>
              <w:bottom w:val="single" w:sz="4" w:space="0" w:color="auto"/>
            </w:tcBorders>
            <w:shd w:val="clear" w:color="auto" w:fill="auto"/>
            <w:vAlign w:val="center"/>
            <w:hideMark/>
          </w:tcPr>
          <w:p w14:paraId="5EFE9EA0" w14:textId="77777777" w:rsidR="009842E9" w:rsidRPr="005618A0" w:rsidRDefault="009842E9" w:rsidP="00131CF4">
            <w:pPr>
              <w:overflowPunct/>
              <w:autoSpaceDE/>
              <w:autoSpaceDN/>
              <w:adjustRightInd/>
              <w:spacing w:line="240" w:lineRule="auto"/>
              <w:jc w:val="center"/>
              <w:textAlignment w:val="auto"/>
              <w:rPr>
                <w:rFonts w:ascii="Arial" w:hAnsi="Arial" w:cs="Arial"/>
                <w:b/>
                <w:sz w:val="20"/>
                <w:lang w:eastAsia="en-IN"/>
              </w:rPr>
            </w:pPr>
            <w:r w:rsidRPr="005618A0">
              <w:rPr>
                <w:rFonts w:ascii="Arial" w:hAnsi="Arial" w:cs="Arial"/>
                <w:b/>
                <w:sz w:val="20"/>
                <w:lang w:eastAsia="en-IN"/>
              </w:rPr>
              <w:t>2019-20</w:t>
            </w:r>
          </w:p>
        </w:tc>
        <w:tc>
          <w:tcPr>
            <w:tcW w:w="990" w:type="dxa"/>
            <w:tcBorders>
              <w:bottom w:val="single" w:sz="4" w:space="0" w:color="auto"/>
            </w:tcBorders>
            <w:shd w:val="clear" w:color="auto" w:fill="auto"/>
            <w:vAlign w:val="center"/>
            <w:hideMark/>
          </w:tcPr>
          <w:p w14:paraId="691850F7" w14:textId="77777777" w:rsidR="009842E9" w:rsidRPr="005618A0" w:rsidRDefault="009842E9" w:rsidP="00131CF4">
            <w:pPr>
              <w:overflowPunct/>
              <w:autoSpaceDE/>
              <w:autoSpaceDN/>
              <w:adjustRightInd/>
              <w:spacing w:line="240" w:lineRule="auto"/>
              <w:jc w:val="center"/>
              <w:textAlignment w:val="auto"/>
              <w:rPr>
                <w:rFonts w:ascii="Arial" w:hAnsi="Arial" w:cs="Arial"/>
                <w:b/>
                <w:sz w:val="20"/>
                <w:lang w:eastAsia="en-IN"/>
              </w:rPr>
            </w:pPr>
            <w:r w:rsidRPr="005618A0">
              <w:rPr>
                <w:rFonts w:ascii="Arial" w:hAnsi="Arial" w:cs="Arial"/>
                <w:b/>
                <w:sz w:val="20"/>
                <w:lang w:eastAsia="en-IN"/>
              </w:rPr>
              <w:t>2020-21</w:t>
            </w:r>
          </w:p>
        </w:tc>
        <w:tc>
          <w:tcPr>
            <w:tcW w:w="1170" w:type="dxa"/>
            <w:tcBorders>
              <w:bottom w:val="single" w:sz="4" w:space="0" w:color="auto"/>
            </w:tcBorders>
            <w:shd w:val="clear" w:color="auto" w:fill="auto"/>
            <w:vAlign w:val="center"/>
            <w:hideMark/>
          </w:tcPr>
          <w:p w14:paraId="64E70E29" w14:textId="77777777" w:rsidR="009842E9" w:rsidRPr="005618A0" w:rsidRDefault="009842E9" w:rsidP="00131CF4">
            <w:pPr>
              <w:overflowPunct/>
              <w:autoSpaceDE/>
              <w:autoSpaceDN/>
              <w:adjustRightInd/>
              <w:spacing w:line="240" w:lineRule="auto"/>
              <w:jc w:val="center"/>
              <w:textAlignment w:val="auto"/>
              <w:rPr>
                <w:rFonts w:ascii="Arial" w:hAnsi="Arial" w:cs="Arial"/>
                <w:b/>
                <w:sz w:val="20"/>
                <w:lang w:eastAsia="en-IN"/>
              </w:rPr>
            </w:pPr>
            <w:r w:rsidRPr="005618A0">
              <w:rPr>
                <w:rFonts w:ascii="Arial" w:hAnsi="Arial" w:cs="Arial"/>
                <w:b/>
                <w:sz w:val="20"/>
                <w:lang w:eastAsia="en-IN"/>
              </w:rPr>
              <w:t>2019-20</w:t>
            </w:r>
          </w:p>
        </w:tc>
      </w:tr>
      <w:tr w:rsidR="009842E9" w:rsidRPr="005618A0" w14:paraId="776161DC" w14:textId="77777777" w:rsidTr="00131CF4">
        <w:trPr>
          <w:trHeight w:val="315"/>
        </w:trPr>
        <w:tc>
          <w:tcPr>
            <w:tcW w:w="4985" w:type="dxa"/>
            <w:shd w:val="clear" w:color="auto" w:fill="auto"/>
            <w:vAlign w:val="center"/>
            <w:hideMark/>
          </w:tcPr>
          <w:p w14:paraId="081DCCF3"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r w:rsidRPr="005618A0">
              <w:rPr>
                <w:rFonts w:ascii="Arial" w:hAnsi="Arial" w:cs="Arial"/>
                <w:sz w:val="20"/>
                <w:lang w:eastAsia="en-IN"/>
              </w:rPr>
              <w:t>Contract liability at the beginning of the year</w:t>
            </w:r>
          </w:p>
        </w:tc>
        <w:tc>
          <w:tcPr>
            <w:tcW w:w="1015" w:type="dxa"/>
            <w:tcBorders>
              <w:top w:val="single" w:sz="4" w:space="0" w:color="auto"/>
            </w:tcBorders>
            <w:shd w:val="clear" w:color="auto" w:fill="auto"/>
            <w:vAlign w:val="center"/>
            <w:hideMark/>
          </w:tcPr>
          <w:p w14:paraId="7A4C37A7"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2,654</w:t>
            </w:r>
          </w:p>
        </w:tc>
        <w:tc>
          <w:tcPr>
            <w:tcW w:w="1080" w:type="dxa"/>
            <w:tcBorders>
              <w:top w:val="single" w:sz="4" w:space="0" w:color="auto"/>
            </w:tcBorders>
            <w:shd w:val="clear" w:color="auto" w:fill="auto"/>
            <w:vAlign w:val="center"/>
            <w:hideMark/>
          </w:tcPr>
          <w:p w14:paraId="58FFF668"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3,093</w:t>
            </w:r>
          </w:p>
        </w:tc>
        <w:tc>
          <w:tcPr>
            <w:tcW w:w="990" w:type="dxa"/>
            <w:tcBorders>
              <w:top w:val="single" w:sz="4" w:space="0" w:color="auto"/>
            </w:tcBorders>
            <w:shd w:val="clear" w:color="auto" w:fill="auto"/>
            <w:vAlign w:val="center"/>
            <w:hideMark/>
          </w:tcPr>
          <w:p w14:paraId="6E9CCD9E"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1,839</w:t>
            </w:r>
          </w:p>
        </w:tc>
        <w:tc>
          <w:tcPr>
            <w:tcW w:w="1170" w:type="dxa"/>
            <w:tcBorders>
              <w:top w:val="single" w:sz="4" w:space="0" w:color="auto"/>
            </w:tcBorders>
            <w:shd w:val="clear" w:color="auto" w:fill="auto"/>
            <w:vAlign w:val="center"/>
            <w:hideMark/>
          </w:tcPr>
          <w:p w14:paraId="10891E70"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347</w:t>
            </w:r>
          </w:p>
        </w:tc>
      </w:tr>
      <w:tr w:rsidR="009842E9" w:rsidRPr="005618A0" w14:paraId="1024BCAC" w14:textId="77777777" w:rsidTr="00131CF4">
        <w:trPr>
          <w:trHeight w:val="765"/>
        </w:trPr>
        <w:tc>
          <w:tcPr>
            <w:tcW w:w="4985" w:type="dxa"/>
            <w:shd w:val="clear" w:color="auto" w:fill="auto"/>
            <w:vAlign w:val="center"/>
            <w:hideMark/>
          </w:tcPr>
          <w:p w14:paraId="6DF43772"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r w:rsidRPr="005618A0">
              <w:rPr>
                <w:rFonts w:ascii="Arial" w:hAnsi="Arial" w:cs="Arial"/>
                <w:sz w:val="20"/>
                <w:lang w:eastAsia="en-IN"/>
              </w:rPr>
              <w:t>Increase due to cash received and decrease as a result of changes in the measure of progress, change in estimate</w:t>
            </w:r>
          </w:p>
        </w:tc>
        <w:tc>
          <w:tcPr>
            <w:tcW w:w="1015" w:type="dxa"/>
            <w:shd w:val="clear" w:color="auto" w:fill="auto"/>
            <w:vAlign w:val="center"/>
            <w:hideMark/>
          </w:tcPr>
          <w:p w14:paraId="4CFFFA70"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(1,114)</w:t>
            </w:r>
          </w:p>
        </w:tc>
        <w:tc>
          <w:tcPr>
            <w:tcW w:w="1080" w:type="dxa"/>
            <w:shd w:val="clear" w:color="auto" w:fill="auto"/>
            <w:vAlign w:val="center"/>
            <w:hideMark/>
          </w:tcPr>
          <w:p w14:paraId="1337756E"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(463)</w:t>
            </w:r>
          </w:p>
        </w:tc>
        <w:tc>
          <w:tcPr>
            <w:tcW w:w="990" w:type="dxa"/>
            <w:shd w:val="clear" w:color="auto" w:fill="auto"/>
            <w:vAlign w:val="center"/>
            <w:hideMark/>
          </w:tcPr>
          <w:p w14:paraId="51A0AF2A"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41</w:t>
            </w:r>
          </w:p>
        </w:tc>
        <w:tc>
          <w:tcPr>
            <w:tcW w:w="1170" w:type="dxa"/>
            <w:shd w:val="clear" w:color="auto" w:fill="auto"/>
            <w:vAlign w:val="center"/>
            <w:hideMark/>
          </w:tcPr>
          <w:p w14:paraId="1C6CAC8F"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1,486</w:t>
            </w:r>
          </w:p>
        </w:tc>
      </w:tr>
      <w:tr w:rsidR="009842E9" w:rsidRPr="005618A0" w14:paraId="285B5886" w14:textId="77777777" w:rsidTr="00131CF4">
        <w:trPr>
          <w:trHeight w:val="525"/>
        </w:trPr>
        <w:tc>
          <w:tcPr>
            <w:tcW w:w="4985" w:type="dxa"/>
            <w:shd w:val="clear" w:color="auto" w:fill="auto"/>
            <w:vAlign w:val="center"/>
            <w:hideMark/>
          </w:tcPr>
          <w:p w14:paraId="6C66DA57"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r w:rsidRPr="005618A0">
              <w:rPr>
                <w:rFonts w:ascii="Arial" w:hAnsi="Arial" w:cs="Arial"/>
                <w:sz w:val="20"/>
                <w:lang w:eastAsia="en-IN"/>
              </w:rPr>
              <w:t>Changes due to reclassification from deferred income</w:t>
            </w:r>
          </w:p>
        </w:tc>
        <w:tc>
          <w:tcPr>
            <w:tcW w:w="1015" w:type="dxa"/>
            <w:shd w:val="clear" w:color="auto" w:fill="auto"/>
            <w:vAlign w:val="center"/>
            <w:hideMark/>
          </w:tcPr>
          <w:p w14:paraId="40D31CDD"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1,036</w:t>
            </w:r>
          </w:p>
        </w:tc>
        <w:tc>
          <w:tcPr>
            <w:tcW w:w="1080" w:type="dxa"/>
            <w:shd w:val="clear" w:color="auto" w:fill="auto"/>
            <w:vAlign w:val="center"/>
            <w:hideMark/>
          </w:tcPr>
          <w:p w14:paraId="7E071B6E"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24</w:t>
            </w:r>
          </w:p>
        </w:tc>
        <w:tc>
          <w:tcPr>
            <w:tcW w:w="990" w:type="dxa"/>
            <w:shd w:val="clear" w:color="auto" w:fill="auto"/>
            <w:vAlign w:val="center"/>
            <w:hideMark/>
          </w:tcPr>
          <w:p w14:paraId="71B4404C"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8</w:t>
            </w:r>
          </w:p>
        </w:tc>
        <w:tc>
          <w:tcPr>
            <w:tcW w:w="1170" w:type="dxa"/>
            <w:shd w:val="clear" w:color="auto" w:fill="auto"/>
            <w:vAlign w:val="center"/>
            <w:hideMark/>
          </w:tcPr>
          <w:p w14:paraId="2B138ED5"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6</w:t>
            </w:r>
          </w:p>
        </w:tc>
      </w:tr>
      <w:tr w:rsidR="009842E9" w:rsidRPr="005618A0" w14:paraId="0C096B28" w14:textId="77777777" w:rsidTr="00131CF4">
        <w:trPr>
          <w:trHeight w:val="315"/>
        </w:trPr>
        <w:tc>
          <w:tcPr>
            <w:tcW w:w="4985" w:type="dxa"/>
            <w:shd w:val="clear" w:color="auto" w:fill="auto"/>
            <w:vAlign w:val="center"/>
            <w:hideMark/>
          </w:tcPr>
          <w:p w14:paraId="535FC9AC" w14:textId="77777777" w:rsidR="009842E9" w:rsidRPr="005618A0" w:rsidRDefault="009842E9" w:rsidP="00131CF4">
            <w:pPr>
              <w:overflowPunct/>
              <w:autoSpaceDE/>
              <w:autoSpaceDN/>
              <w:adjustRightInd/>
              <w:spacing w:line="240" w:lineRule="auto"/>
              <w:textAlignment w:val="auto"/>
              <w:rPr>
                <w:rFonts w:ascii="Arial" w:hAnsi="Arial" w:cs="Arial"/>
                <w:sz w:val="20"/>
                <w:lang w:eastAsia="en-IN"/>
              </w:rPr>
            </w:pPr>
            <w:r w:rsidRPr="005618A0">
              <w:rPr>
                <w:rFonts w:ascii="Arial" w:hAnsi="Arial" w:cs="Arial"/>
                <w:sz w:val="20"/>
                <w:lang w:eastAsia="en-IN"/>
              </w:rPr>
              <w:t>Contract assets as at 31 March</w:t>
            </w:r>
          </w:p>
        </w:tc>
        <w:tc>
          <w:tcPr>
            <w:tcW w:w="1015" w:type="dxa"/>
            <w:shd w:val="clear" w:color="auto" w:fill="auto"/>
            <w:vAlign w:val="center"/>
            <w:hideMark/>
          </w:tcPr>
          <w:p w14:paraId="1CC89FC8"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2,576</w:t>
            </w:r>
          </w:p>
        </w:tc>
        <w:tc>
          <w:tcPr>
            <w:tcW w:w="1080" w:type="dxa"/>
            <w:shd w:val="clear" w:color="auto" w:fill="auto"/>
            <w:vAlign w:val="center"/>
            <w:hideMark/>
          </w:tcPr>
          <w:p w14:paraId="57A67C65"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2,654</w:t>
            </w:r>
          </w:p>
        </w:tc>
        <w:tc>
          <w:tcPr>
            <w:tcW w:w="990" w:type="dxa"/>
            <w:shd w:val="clear" w:color="auto" w:fill="auto"/>
            <w:vAlign w:val="center"/>
            <w:hideMark/>
          </w:tcPr>
          <w:p w14:paraId="28FF0622"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1,888</w:t>
            </w:r>
          </w:p>
        </w:tc>
        <w:tc>
          <w:tcPr>
            <w:tcW w:w="1170" w:type="dxa"/>
            <w:shd w:val="clear" w:color="auto" w:fill="auto"/>
            <w:vAlign w:val="center"/>
            <w:hideMark/>
          </w:tcPr>
          <w:p w14:paraId="5A9B1F37" w14:textId="77777777" w:rsidR="009842E9" w:rsidRPr="005618A0" w:rsidRDefault="009842E9" w:rsidP="00131CF4">
            <w:pPr>
              <w:overflowPunct/>
              <w:autoSpaceDE/>
              <w:autoSpaceDN/>
              <w:adjustRightInd/>
              <w:spacing w:line="240" w:lineRule="auto"/>
              <w:jc w:val="right"/>
              <w:textAlignment w:val="auto"/>
              <w:rPr>
                <w:rFonts w:ascii="Arial" w:hAnsi="Arial" w:cs="Arial"/>
                <w:sz w:val="20"/>
                <w:lang w:eastAsia="en-IN"/>
              </w:rPr>
            </w:pPr>
            <w:r w:rsidRPr="005618A0">
              <w:rPr>
                <w:rFonts w:ascii="Arial" w:hAnsi="Arial" w:cs="Arial"/>
                <w:sz w:val="20"/>
              </w:rPr>
              <w:t>1,839</w:t>
            </w:r>
          </w:p>
        </w:tc>
      </w:tr>
    </w:tbl>
    <w:p w14:paraId="60609FC4" w14:textId="447D10AC" w:rsidR="009842E9" w:rsidRDefault="009842E9" w:rsidP="009842E9">
      <w:pPr>
        <w:pStyle w:val="ViralheadingL2"/>
        <w:keepNext w:val="0"/>
        <w:spacing w:before="0" w:after="0" w:line="280" w:lineRule="exact"/>
        <w:outlineLvl w:val="9"/>
        <w:rPr>
          <w:rFonts w:ascii="Arial" w:hAnsi="Arial" w:cs="Arial"/>
          <w:b w:val="0"/>
          <w:sz w:val="20"/>
          <w:szCs w:val="20"/>
        </w:rPr>
      </w:pPr>
    </w:p>
    <w:p w14:paraId="0CF56C48" w14:textId="77777777" w:rsidR="0017026A" w:rsidRPr="005618A0" w:rsidRDefault="0017026A" w:rsidP="009842E9">
      <w:pPr>
        <w:pStyle w:val="ViralheadingL2"/>
        <w:keepNext w:val="0"/>
        <w:spacing w:before="0" w:after="0" w:line="280" w:lineRule="exact"/>
        <w:outlineLvl w:val="9"/>
        <w:rPr>
          <w:rFonts w:ascii="Arial" w:hAnsi="Arial" w:cs="Arial"/>
          <w:b w:val="0"/>
          <w:sz w:val="20"/>
          <w:szCs w:val="20"/>
        </w:rPr>
      </w:pPr>
    </w:p>
    <w:p w14:paraId="75DE11EB" w14:textId="77777777" w:rsidR="009842E9" w:rsidRPr="005618A0" w:rsidRDefault="009842E9" w:rsidP="009842E9">
      <w:pPr>
        <w:pStyle w:val="IAStext"/>
        <w:spacing w:line="280" w:lineRule="exact"/>
        <w:jc w:val="both"/>
        <w:rPr>
          <w:rFonts w:ascii="Arial" w:hAnsi="Arial" w:cs="Arial"/>
          <w:i w:val="0"/>
          <w:sz w:val="20"/>
          <w:lang w:val="en-IN"/>
        </w:rPr>
      </w:pPr>
      <w:r w:rsidRPr="005618A0">
        <w:rPr>
          <w:rFonts w:ascii="Arial" w:hAnsi="Arial" w:cs="Arial"/>
          <w:i w:val="0"/>
          <w:sz w:val="20"/>
          <w:lang w:val="en-IN"/>
        </w:rPr>
        <w:t>Reconciling the amount of revenue recognised in the statement of profit and loss with the contracted price</w:t>
      </w:r>
    </w:p>
    <w:p w14:paraId="63625DE7" w14:textId="3D252B12" w:rsidR="009842E9" w:rsidRDefault="009842E9" w:rsidP="009842E9">
      <w:pPr>
        <w:pStyle w:val="ViralheadingL2"/>
        <w:keepNext w:val="0"/>
        <w:spacing w:before="0" w:after="0" w:line="280" w:lineRule="exact"/>
        <w:outlineLvl w:val="9"/>
        <w:rPr>
          <w:rFonts w:ascii="Arial" w:hAnsi="Arial" w:cs="Arial"/>
          <w:b w:val="0"/>
          <w:sz w:val="20"/>
          <w:szCs w:val="20"/>
        </w:rPr>
      </w:pPr>
    </w:p>
    <w:p w14:paraId="55F21E31" w14:textId="77777777" w:rsidR="0017026A" w:rsidRPr="005618A0" w:rsidRDefault="0017026A" w:rsidP="009842E9">
      <w:pPr>
        <w:pStyle w:val="ViralheadingL2"/>
        <w:keepNext w:val="0"/>
        <w:spacing w:before="0" w:after="0" w:line="280" w:lineRule="exact"/>
        <w:outlineLvl w:val="9"/>
        <w:rPr>
          <w:rFonts w:ascii="Arial" w:hAnsi="Arial" w:cs="Arial"/>
          <w:b w:val="0"/>
          <w:sz w:val="20"/>
          <w:szCs w:val="20"/>
        </w:rPr>
      </w:pPr>
    </w:p>
    <w:tbl>
      <w:tblPr>
        <w:tblStyle w:val="TableGrid"/>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873"/>
        <w:gridCol w:w="1873"/>
      </w:tblGrid>
      <w:tr w:rsidR="009842E9" w:rsidRPr="005618A0" w14:paraId="36AD5046" w14:textId="77777777" w:rsidTr="00131CF4">
        <w:tc>
          <w:tcPr>
            <w:tcW w:w="5670" w:type="dxa"/>
          </w:tcPr>
          <w:p w14:paraId="4FB958BC" w14:textId="77777777" w:rsidR="009842E9" w:rsidRPr="005618A0" w:rsidRDefault="009842E9" w:rsidP="00131CF4">
            <w:pPr>
              <w:pStyle w:val="ViralheadingL2"/>
              <w:keepNext w:val="0"/>
              <w:spacing w:before="0" w:after="0" w:line="280" w:lineRule="exact"/>
              <w:rPr>
                <w:rFonts w:ascii="Arial" w:hAnsi="Arial" w:cs="Arial"/>
                <w:sz w:val="20"/>
                <w:szCs w:val="20"/>
              </w:rPr>
            </w:pPr>
            <w:r w:rsidRPr="005618A0">
              <w:rPr>
                <w:rFonts w:ascii="Arial" w:hAnsi="Arial" w:cs="Arial"/>
                <w:sz w:val="20"/>
                <w:szCs w:val="20"/>
              </w:rPr>
              <w:t>Particulars</w:t>
            </w:r>
          </w:p>
        </w:tc>
        <w:tc>
          <w:tcPr>
            <w:tcW w:w="1873" w:type="dxa"/>
            <w:tcBorders>
              <w:bottom w:val="single" w:sz="4" w:space="0" w:color="auto"/>
            </w:tcBorders>
            <w:vAlign w:val="center"/>
          </w:tcPr>
          <w:p w14:paraId="148DFAC4" w14:textId="77777777" w:rsidR="009842E9" w:rsidRPr="005618A0" w:rsidRDefault="009842E9" w:rsidP="00131CF4">
            <w:pPr>
              <w:pStyle w:val="ViralheadingL2"/>
              <w:keepNext w:val="0"/>
              <w:spacing w:before="0" w:after="0" w:line="280" w:lineRule="exact"/>
              <w:jc w:val="center"/>
              <w:rPr>
                <w:rFonts w:ascii="Arial" w:hAnsi="Arial" w:cs="Arial"/>
                <w:bCs w:val="0"/>
                <w:sz w:val="20"/>
                <w:szCs w:val="20"/>
              </w:rPr>
            </w:pPr>
            <w:r w:rsidRPr="005618A0">
              <w:rPr>
                <w:rFonts w:ascii="Arial" w:hAnsi="Arial" w:cs="Arial"/>
                <w:bCs w:val="0"/>
                <w:color w:val="58595B"/>
                <w:sz w:val="20"/>
                <w:szCs w:val="20"/>
                <w:lang w:eastAsia="en-IN"/>
              </w:rPr>
              <w:t>2020-21</w:t>
            </w:r>
          </w:p>
        </w:tc>
        <w:tc>
          <w:tcPr>
            <w:tcW w:w="1873" w:type="dxa"/>
            <w:tcBorders>
              <w:bottom w:val="single" w:sz="4" w:space="0" w:color="auto"/>
            </w:tcBorders>
            <w:vAlign w:val="center"/>
          </w:tcPr>
          <w:p w14:paraId="25D9FC35" w14:textId="77777777" w:rsidR="009842E9" w:rsidRPr="005618A0" w:rsidRDefault="009842E9" w:rsidP="00131CF4">
            <w:pPr>
              <w:pStyle w:val="ViralheadingL2"/>
              <w:keepNext w:val="0"/>
              <w:spacing w:before="0" w:after="0" w:line="280" w:lineRule="exact"/>
              <w:jc w:val="center"/>
              <w:rPr>
                <w:rFonts w:ascii="Arial" w:hAnsi="Arial" w:cs="Arial"/>
                <w:bCs w:val="0"/>
                <w:sz w:val="20"/>
                <w:szCs w:val="20"/>
              </w:rPr>
            </w:pPr>
            <w:r w:rsidRPr="005618A0">
              <w:rPr>
                <w:rFonts w:ascii="Arial" w:hAnsi="Arial" w:cs="Arial"/>
                <w:bCs w:val="0"/>
                <w:color w:val="58595B"/>
                <w:sz w:val="20"/>
                <w:szCs w:val="20"/>
                <w:lang w:eastAsia="en-IN"/>
              </w:rPr>
              <w:t>2019-20</w:t>
            </w:r>
          </w:p>
        </w:tc>
      </w:tr>
      <w:tr w:rsidR="009842E9" w:rsidRPr="005618A0" w14:paraId="55B682C9" w14:textId="77777777" w:rsidTr="00131CF4">
        <w:tc>
          <w:tcPr>
            <w:tcW w:w="5670" w:type="dxa"/>
          </w:tcPr>
          <w:p w14:paraId="31ED7129" w14:textId="77777777" w:rsidR="009842E9" w:rsidRPr="005618A0" w:rsidRDefault="009842E9" w:rsidP="00131CF4">
            <w:pPr>
              <w:pStyle w:val="ViralheadingL2"/>
              <w:keepNext w:val="0"/>
              <w:spacing w:before="0" w:after="0" w:line="280" w:lineRule="exact"/>
              <w:rPr>
                <w:rFonts w:ascii="Arial" w:hAnsi="Arial" w:cs="Arial"/>
                <w:b w:val="0"/>
                <w:sz w:val="20"/>
                <w:szCs w:val="20"/>
              </w:rPr>
            </w:pPr>
            <w:r w:rsidRPr="005618A0">
              <w:rPr>
                <w:rFonts w:ascii="Arial" w:hAnsi="Arial" w:cs="Arial"/>
                <w:b w:val="0"/>
                <w:sz w:val="20"/>
                <w:szCs w:val="20"/>
              </w:rPr>
              <w:t>Revenue as per Contract</w:t>
            </w:r>
          </w:p>
        </w:tc>
        <w:tc>
          <w:tcPr>
            <w:tcW w:w="1873" w:type="dxa"/>
            <w:tcBorders>
              <w:top w:val="single" w:sz="4" w:space="0" w:color="auto"/>
            </w:tcBorders>
          </w:tcPr>
          <w:p w14:paraId="7D1B02AA" w14:textId="77777777" w:rsidR="009842E9" w:rsidRPr="005618A0" w:rsidRDefault="009842E9" w:rsidP="00131CF4">
            <w:pPr>
              <w:pStyle w:val="ViralheadingL2"/>
              <w:keepNext w:val="0"/>
              <w:spacing w:before="0" w:after="0" w:line="280" w:lineRule="exact"/>
              <w:jc w:val="right"/>
              <w:rPr>
                <w:rFonts w:ascii="Arial" w:hAnsi="Arial" w:cs="Arial"/>
                <w:b w:val="0"/>
                <w:sz w:val="20"/>
                <w:szCs w:val="20"/>
              </w:rPr>
            </w:pPr>
            <w:r w:rsidRPr="005618A0">
              <w:rPr>
                <w:rFonts w:ascii="Arial" w:hAnsi="Arial" w:cs="Arial"/>
                <w:b w:val="0"/>
                <w:sz w:val="20"/>
                <w:szCs w:val="20"/>
              </w:rPr>
              <w:t>3,70,001</w:t>
            </w:r>
          </w:p>
        </w:tc>
        <w:tc>
          <w:tcPr>
            <w:tcW w:w="1873" w:type="dxa"/>
            <w:tcBorders>
              <w:top w:val="single" w:sz="4" w:space="0" w:color="auto"/>
            </w:tcBorders>
          </w:tcPr>
          <w:p w14:paraId="10422C9F" w14:textId="77777777" w:rsidR="009842E9" w:rsidRPr="005618A0" w:rsidRDefault="009842E9" w:rsidP="00131CF4">
            <w:pPr>
              <w:pStyle w:val="ViralheadingL2"/>
              <w:keepNext w:val="0"/>
              <w:spacing w:before="0" w:after="0" w:line="280" w:lineRule="exact"/>
              <w:jc w:val="right"/>
              <w:rPr>
                <w:rFonts w:ascii="Arial" w:hAnsi="Arial" w:cs="Arial"/>
                <w:b w:val="0"/>
                <w:sz w:val="20"/>
                <w:szCs w:val="20"/>
              </w:rPr>
            </w:pPr>
            <w:r w:rsidRPr="005618A0">
              <w:rPr>
                <w:rFonts w:ascii="Arial" w:hAnsi="Arial" w:cs="Arial"/>
                <w:b w:val="0"/>
                <w:sz w:val="20"/>
                <w:szCs w:val="20"/>
              </w:rPr>
              <w:t>3,20,904</w:t>
            </w:r>
          </w:p>
        </w:tc>
      </w:tr>
      <w:tr w:rsidR="009842E9" w:rsidRPr="005618A0" w14:paraId="1F7DF249" w14:textId="77777777" w:rsidTr="00131CF4">
        <w:tc>
          <w:tcPr>
            <w:tcW w:w="5670" w:type="dxa"/>
          </w:tcPr>
          <w:p w14:paraId="55C44D9B" w14:textId="77777777" w:rsidR="009842E9" w:rsidRPr="005618A0" w:rsidRDefault="009842E9" w:rsidP="00131CF4">
            <w:pPr>
              <w:pStyle w:val="ViralheadingL2"/>
              <w:keepNext w:val="0"/>
              <w:spacing w:before="0" w:after="0" w:line="280" w:lineRule="exact"/>
              <w:rPr>
                <w:rFonts w:ascii="Arial" w:hAnsi="Arial" w:cs="Arial"/>
                <w:sz w:val="20"/>
                <w:szCs w:val="20"/>
              </w:rPr>
            </w:pPr>
            <w:r w:rsidRPr="005618A0">
              <w:rPr>
                <w:rFonts w:ascii="Arial" w:hAnsi="Arial" w:cs="Arial"/>
                <w:sz w:val="20"/>
                <w:szCs w:val="20"/>
              </w:rPr>
              <w:t>Adjustments</w:t>
            </w:r>
          </w:p>
        </w:tc>
        <w:tc>
          <w:tcPr>
            <w:tcW w:w="1873" w:type="dxa"/>
          </w:tcPr>
          <w:p w14:paraId="66E2256C" w14:textId="77777777" w:rsidR="009842E9" w:rsidRPr="005618A0" w:rsidRDefault="009842E9" w:rsidP="00131CF4">
            <w:pPr>
              <w:pStyle w:val="ViralheadingL2"/>
              <w:keepNext w:val="0"/>
              <w:spacing w:before="0" w:after="0" w:line="280" w:lineRule="exact"/>
              <w:jc w:val="right"/>
              <w:rPr>
                <w:rFonts w:ascii="Arial" w:hAnsi="Arial" w:cs="Arial"/>
                <w:b w:val="0"/>
                <w:sz w:val="20"/>
                <w:szCs w:val="20"/>
              </w:rPr>
            </w:pPr>
          </w:p>
        </w:tc>
        <w:tc>
          <w:tcPr>
            <w:tcW w:w="1873" w:type="dxa"/>
          </w:tcPr>
          <w:p w14:paraId="0CC29294" w14:textId="77777777" w:rsidR="009842E9" w:rsidRPr="005618A0" w:rsidRDefault="009842E9" w:rsidP="00131CF4">
            <w:pPr>
              <w:pStyle w:val="ViralheadingL2"/>
              <w:keepNext w:val="0"/>
              <w:spacing w:before="0" w:after="0" w:line="280" w:lineRule="exact"/>
              <w:jc w:val="right"/>
              <w:rPr>
                <w:rFonts w:ascii="Arial" w:hAnsi="Arial" w:cs="Arial"/>
                <w:b w:val="0"/>
                <w:sz w:val="20"/>
                <w:szCs w:val="20"/>
              </w:rPr>
            </w:pPr>
          </w:p>
        </w:tc>
      </w:tr>
      <w:tr w:rsidR="009842E9" w:rsidRPr="005618A0" w14:paraId="45966300" w14:textId="77777777" w:rsidTr="00131CF4">
        <w:tc>
          <w:tcPr>
            <w:tcW w:w="5670" w:type="dxa"/>
          </w:tcPr>
          <w:p w14:paraId="3DC4AF0A" w14:textId="77777777" w:rsidR="009842E9" w:rsidRPr="005618A0" w:rsidRDefault="009842E9" w:rsidP="00131CF4">
            <w:pPr>
              <w:pStyle w:val="ViralheadingL2"/>
              <w:keepNext w:val="0"/>
              <w:spacing w:before="0" w:after="0" w:line="280" w:lineRule="exact"/>
              <w:rPr>
                <w:rFonts w:ascii="Arial" w:hAnsi="Arial" w:cs="Arial"/>
                <w:b w:val="0"/>
                <w:sz w:val="20"/>
                <w:szCs w:val="20"/>
              </w:rPr>
            </w:pPr>
            <w:r w:rsidRPr="005618A0">
              <w:rPr>
                <w:rFonts w:ascii="Arial" w:hAnsi="Arial" w:cs="Arial"/>
                <w:b w:val="0"/>
                <w:sz w:val="20"/>
                <w:szCs w:val="20"/>
              </w:rPr>
              <w:t>Extended warranties</w:t>
            </w:r>
          </w:p>
        </w:tc>
        <w:tc>
          <w:tcPr>
            <w:tcW w:w="1873" w:type="dxa"/>
          </w:tcPr>
          <w:p w14:paraId="3D7BE847" w14:textId="77777777" w:rsidR="009842E9" w:rsidRPr="005618A0" w:rsidRDefault="009842E9" w:rsidP="00131CF4">
            <w:pPr>
              <w:pStyle w:val="ViralheadingL2"/>
              <w:keepNext w:val="0"/>
              <w:spacing w:before="0" w:after="0" w:line="280" w:lineRule="exact"/>
              <w:jc w:val="right"/>
              <w:rPr>
                <w:rFonts w:ascii="Arial" w:hAnsi="Arial" w:cs="Arial"/>
                <w:b w:val="0"/>
                <w:sz w:val="20"/>
                <w:szCs w:val="20"/>
              </w:rPr>
            </w:pPr>
            <w:r w:rsidRPr="005618A0">
              <w:rPr>
                <w:rFonts w:ascii="Arial" w:hAnsi="Arial" w:cs="Arial"/>
                <w:b w:val="0"/>
                <w:sz w:val="20"/>
                <w:szCs w:val="20"/>
              </w:rPr>
              <w:t>(1,210)</w:t>
            </w:r>
          </w:p>
        </w:tc>
        <w:tc>
          <w:tcPr>
            <w:tcW w:w="1873" w:type="dxa"/>
          </w:tcPr>
          <w:p w14:paraId="558AB6DF" w14:textId="77777777" w:rsidR="009842E9" w:rsidRPr="005618A0" w:rsidRDefault="009842E9" w:rsidP="00131CF4">
            <w:pPr>
              <w:pStyle w:val="ViralheadingL2"/>
              <w:keepNext w:val="0"/>
              <w:spacing w:before="0" w:after="0" w:line="280" w:lineRule="exact"/>
              <w:jc w:val="right"/>
              <w:rPr>
                <w:rFonts w:ascii="Arial" w:hAnsi="Arial" w:cs="Arial"/>
                <w:b w:val="0"/>
                <w:sz w:val="20"/>
                <w:szCs w:val="20"/>
              </w:rPr>
            </w:pPr>
            <w:r w:rsidRPr="005618A0">
              <w:rPr>
                <w:rFonts w:ascii="Arial" w:hAnsi="Arial" w:cs="Arial"/>
                <w:b w:val="0"/>
                <w:sz w:val="20"/>
                <w:szCs w:val="20"/>
              </w:rPr>
              <w:t>(1,101)</w:t>
            </w:r>
          </w:p>
        </w:tc>
      </w:tr>
      <w:tr w:rsidR="009842E9" w:rsidRPr="005618A0" w14:paraId="3762676A" w14:textId="77777777" w:rsidTr="00131CF4">
        <w:tc>
          <w:tcPr>
            <w:tcW w:w="5670" w:type="dxa"/>
          </w:tcPr>
          <w:p w14:paraId="3560D69C" w14:textId="77777777" w:rsidR="009842E9" w:rsidRPr="005618A0" w:rsidRDefault="009842E9" w:rsidP="00131CF4">
            <w:pPr>
              <w:pStyle w:val="ViralheadingL2"/>
              <w:keepNext w:val="0"/>
              <w:spacing w:before="0" w:after="0" w:line="280" w:lineRule="exact"/>
              <w:rPr>
                <w:rFonts w:ascii="Arial" w:hAnsi="Arial" w:cs="Arial"/>
                <w:b w:val="0"/>
                <w:sz w:val="20"/>
                <w:szCs w:val="20"/>
              </w:rPr>
            </w:pPr>
            <w:r w:rsidRPr="005618A0">
              <w:rPr>
                <w:rFonts w:ascii="Arial" w:hAnsi="Arial" w:cs="Arial"/>
                <w:b w:val="0"/>
                <w:sz w:val="20"/>
                <w:szCs w:val="20"/>
              </w:rPr>
              <w:t>Loyalty points</w:t>
            </w:r>
          </w:p>
        </w:tc>
        <w:tc>
          <w:tcPr>
            <w:tcW w:w="1873" w:type="dxa"/>
          </w:tcPr>
          <w:p w14:paraId="5F15EFD1" w14:textId="77777777" w:rsidR="009842E9" w:rsidRPr="005618A0" w:rsidRDefault="009842E9" w:rsidP="00131CF4">
            <w:pPr>
              <w:pStyle w:val="ViralheadingL2"/>
              <w:keepNext w:val="0"/>
              <w:spacing w:before="0" w:after="0" w:line="280" w:lineRule="exact"/>
              <w:jc w:val="right"/>
              <w:rPr>
                <w:rFonts w:ascii="Arial" w:hAnsi="Arial" w:cs="Arial"/>
                <w:b w:val="0"/>
                <w:sz w:val="20"/>
                <w:szCs w:val="20"/>
              </w:rPr>
            </w:pPr>
            <w:r w:rsidRPr="005618A0">
              <w:rPr>
                <w:rFonts w:ascii="Arial" w:hAnsi="Arial" w:cs="Arial"/>
                <w:b w:val="0"/>
                <w:sz w:val="20"/>
                <w:szCs w:val="20"/>
              </w:rPr>
              <w:t>(1,010)</w:t>
            </w:r>
          </w:p>
        </w:tc>
        <w:tc>
          <w:tcPr>
            <w:tcW w:w="1873" w:type="dxa"/>
          </w:tcPr>
          <w:p w14:paraId="679E1A43" w14:textId="77777777" w:rsidR="009842E9" w:rsidRPr="005618A0" w:rsidRDefault="009842E9" w:rsidP="00131CF4">
            <w:pPr>
              <w:pStyle w:val="ViralheadingL2"/>
              <w:keepNext w:val="0"/>
              <w:spacing w:before="0" w:after="0" w:line="280" w:lineRule="exact"/>
              <w:jc w:val="right"/>
              <w:rPr>
                <w:rFonts w:ascii="Arial" w:hAnsi="Arial" w:cs="Arial"/>
                <w:b w:val="0"/>
                <w:sz w:val="20"/>
                <w:szCs w:val="20"/>
              </w:rPr>
            </w:pPr>
            <w:r w:rsidRPr="005618A0">
              <w:rPr>
                <w:rFonts w:ascii="Arial" w:hAnsi="Arial" w:cs="Arial"/>
                <w:b w:val="0"/>
                <w:sz w:val="20"/>
                <w:szCs w:val="20"/>
              </w:rPr>
              <w:t>(856)</w:t>
            </w:r>
          </w:p>
        </w:tc>
      </w:tr>
      <w:tr w:rsidR="009842E9" w:rsidRPr="005618A0" w14:paraId="098AAB20" w14:textId="77777777" w:rsidTr="00131CF4">
        <w:tc>
          <w:tcPr>
            <w:tcW w:w="5670" w:type="dxa"/>
          </w:tcPr>
          <w:p w14:paraId="552616A3" w14:textId="77777777" w:rsidR="009842E9" w:rsidRPr="005618A0" w:rsidRDefault="009842E9" w:rsidP="00131CF4">
            <w:pPr>
              <w:pStyle w:val="ViralheadingL2"/>
              <w:keepNext w:val="0"/>
              <w:spacing w:before="0" w:after="0" w:line="280" w:lineRule="exact"/>
              <w:rPr>
                <w:rFonts w:ascii="Arial" w:hAnsi="Arial" w:cs="Arial"/>
                <w:b w:val="0"/>
                <w:sz w:val="20"/>
                <w:szCs w:val="20"/>
              </w:rPr>
            </w:pPr>
            <w:r w:rsidRPr="005618A0">
              <w:rPr>
                <w:rFonts w:ascii="Arial" w:hAnsi="Arial" w:cs="Arial"/>
                <w:b w:val="0"/>
                <w:sz w:val="20"/>
                <w:szCs w:val="20"/>
              </w:rPr>
              <w:t>Sales return</w:t>
            </w:r>
          </w:p>
        </w:tc>
        <w:tc>
          <w:tcPr>
            <w:tcW w:w="1873" w:type="dxa"/>
          </w:tcPr>
          <w:p w14:paraId="313F4FD8" w14:textId="77777777" w:rsidR="009842E9" w:rsidRPr="005618A0" w:rsidRDefault="009842E9" w:rsidP="00131CF4">
            <w:pPr>
              <w:pStyle w:val="ViralheadingL2"/>
              <w:keepNext w:val="0"/>
              <w:spacing w:before="0" w:after="0" w:line="280" w:lineRule="exact"/>
              <w:jc w:val="right"/>
              <w:rPr>
                <w:rFonts w:ascii="Arial" w:hAnsi="Arial" w:cs="Arial"/>
                <w:b w:val="0"/>
                <w:sz w:val="20"/>
                <w:szCs w:val="20"/>
              </w:rPr>
            </w:pPr>
            <w:r w:rsidRPr="005618A0">
              <w:rPr>
                <w:rFonts w:ascii="Arial" w:hAnsi="Arial" w:cs="Arial"/>
                <w:b w:val="0"/>
                <w:sz w:val="20"/>
                <w:szCs w:val="20"/>
              </w:rPr>
              <w:t>(24,277)</w:t>
            </w:r>
          </w:p>
        </w:tc>
        <w:tc>
          <w:tcPr>
            <w:tcW w:w="1873" w:type="dxa"/>
          </w:tcPr>
          <w:p w14:paraId="64E6E922" w14:textId="77777777" w:rsidR="009842E9" w:rsidRPr="005618A0" w:rsidRDefault="009842E9" w:rsidP="00131CF4">
            <w:pPr>
              <w:pStyle w:val="ViralheadingL2"/>
              <w:keepNext w:val="0"/>
              <w:spacing w:before="0" w:after="0" w:line="280" w:lineRule="exact"/>
              <w:jc w:val="right"/>
              <w:rPr>
                <w:rFonts w:ascii="Arial" w:hAnsi="Arial" w:cs="Arial"/>
                <w:b w:val="0"/>
                <w:sz w:val="20"/>
                <w:szCs w:val="20"/>
              </w:rPr>
            </w:pPr>
            <w:r w:rsidRPr="005618A0">
              <w:rPr>
                <w:rFonts w:ascii="Arial" w:hAnsi="Arial" w:cs="Arial"/>
                <w:b w:val="0"/>
                <w:sz w:val="20"/>
                <w:szCs w:val="20"/>
              </w:rPr>
              <w:t>(12,988)</w:t>
            </w:r>
          </w:p>
        </w:tc>
      </w:tr>
      <w:tr w:rsidR="009842E9" w:rsidRPr="005618A0" w14:paraId="270E3D02" w14:textId="77777777" w:rsidTr="00131CF4">
        <w:tc>
          <w:tcPr>
            <w:tcW w:w="5670" w:type="dxa"/>
          </w:tcPr>
          <w:p w14:paraId="27D3A213" w14:textId="77777777" w:rsidR="009842E9" w:rsidRPr="005618A0" w:rsidRDefault="009842E9" w:rsidP="00131CF4">
            <w:pPr>
              <w:pStyle w:val="ViralheadingL2"/>
              <w:keepNext w:val="0"/>
              <w:spacing w:before="0" w:after="0" w:line="280" w:lineRule="exact"/>
              <w:rPr>
                <w:rFonts w:ascii="Arial" w:hAnsi="Arial" w:cs="Arial"/>
                <w:b w:val="0"/>
                <w:sz w:val="20"/>
                <w:szCs w:val="20"/>
              </w:rPr>
            </w:pPr>
            <w:r w:rsidRPr="005618A0">
              <w:rPr>
                <w:rFonts w:ascii="Arial" w:hAnsi="Arial" w:cs="Arial"/>
                <w:b w:val="0"/>
                <w:sz w:val="20"/>
                <w:szCs w:val="20"/>
              </w:rPr>
              <w:t>Discount</w:t>
            </w:r>
          </w:p>
        </w:tc>
        <w:tc>
          <w:tcPr>
            <w:tcW w:w="1873" w:type="dxa"/>
          </w:tcPr>
          <w:p w14:paraId="7CFD7642" w14:textId="77777777" w:rsidR="009842E9" w:rsidRPr="005618A0" w:rsidRDefault="009842E9" w:rsidP="00131CF4">
            <w:pPr>
              <w:pStyle w:val="ViralheadingL2"/>
              <w:keepNext w:val="0"/>
              <w:spacing w:before="0" w:after="0" w:line="280" w:lineRule="exact"/>
              <w:jc w:val="right"/>
              <w:rPr>
                <w:rFonts w:ascii="Arial" w:hAnsi="Arial" w:cs="Arial"/>
                <w:b w:val="0"/>
                <w:sz w:val="20"/>
                <w:szCs w:val="20"/>
              </w:rPr>
            </w:pPr>
            <w:r w:rsidRPr="005618A0">
              <w:rPr>
                <w:rFonts w:ascii="Arial" w:hAnsi="Arial" w:cs="Arial"/>
                <w:b w:val="0"/>
                <w:sz w:val="20"/>
                <w:szCs w:val="20"/>
              </w:rPr>
              <w:t>(21,200)</w:t>
            </w:r>
          </w:p>
        </w:tc>
        <w:tc>
          <w:tcPr>
            <w:tcW w:w="1873" w:type="dxa"/>
          </w:tcPr>
          <w:p w14:paraId="22AECD7F" w14:textId="77777777" w:rsidR="009842E9" w:rsidRPr="005618A0" w:rsidRDefault="009842E9" w:rsidP="00131CF4">
            <w:pPr>
              <w:pStyle w:val="ViralheadingL2"/>
              <w:keepNext w:val="0"/>
              <w:spacing w:before="0" w:after="0" w:line="280" w:lineRule="exact"/>
              <w:jc w:val="right"/>
              <w:rPr>
                <w:rFonts w:ascii="Arial" w:hAnsi="Arial" w:cs="Arial"/>
                <w:b w:val="0"/>
                <w:sz w:val="20"/>
                <w:szCs w:val="20"/>
              </w:rPr>
            </w:pPr>
            <w:r w:rsidRPr="005618A0">
              <w:rPr>
                <w:rFonts w:ascii="Arial" w:hAnsi="Arial" w:cs="Arial"/>
                <w:b w:val="0"/>
                <w:sz w:val="20"/>
                <w:szCs w:val="20"/>
              </w:rPr>
              <w:t>(20,034)</w:t>
            </w:r>
          </w:p>
        </w:tc>
      </w:tr>
      <w:tr w:rsidR="009842E9" w:rsidRPr="005618A0" w14:paraId="3A96A734" w14:textId="77777777" w:rsidTr="00131CF4">
        <w:tc>
          <w:tcPr>
            <w:tcW w:w="5670" w:type="dxa"/>
          </w:tcPr>
          <w:p w14:paraId="68472E38" w14:textId="77777777" w:rsidR="009842E9" w:rsidRPr="005618A0" w:rsidRDefault="009842E9" w:rsidP="00131CF4">
            <w:pPr>
              <w:pStyle w:val="ViralheadingL2"/>
              <w:keepNext w:val="0"/>
              <w:spacing w:before="0" w:after="0" w:line="280" w:lineRule="exact"/>
              <w:rPr>
                <w:rFonts w:ascii="Arial" w:hAnsi="Arial" w:cs="Arial"/>
                <w:sz w:val="20"/>
                <w:szCs w:val="20"/>
              </w:rPr>
            </w:pPr>
            <w:r w:rsidRPr="005618A0">
              <w:rPr>
                <w:rFonts w:ascii="Arial" w:hAnsi="Arial" w:cs="Arial"/>
                <w:sz w:val="20"/>
                <w:szCs w:val="20"/>
              </w:rPr>
              <w:t>Revenue from contract with customers</w:t>
            </w:r>
          </w:p>
        </w:tc>
        <w:tc>
          <w:tcPr>
            <w:tcW w:w="1873" w:type="dxa"/>
          </w:tcPr>
          <w:p w14:paraId="0DC518E7" w14:textId="77777777" w:rsidR="009842E9" w:rsidRPr="005618A0" w:rsidRDefault="009842E9" w:rsidP="00131CF4">
            <w:pPr>
              <w:pStyle w:val="ViralheadingL2"/>
              <w:keepNext w:val="0"/>
              <w:spacing w:before="0" w:after="0" w:line="280" w:lineRule="exact"/>
              <w:jc w:val="right"/>
              <w:rPr>
                <w:rFonts w:ascii="Arial" w:hAnsi="Arial" w:cs="Arial"/>
                <w:b w:val="0"/>
                <w:sz w:val="20"/>
                <w:szCs w:val="20"/>
              </w:rPr>
            </w:pPr>
            <w:r w:rsidRPr="005618A0">
              <w:rPr>
                <w:rFonts w:ascii="Arial" w:hAnsi="Arial" w:cs="Arial"/>
                <w:b w:val="0"/>
                <w:sz w:val="20"/>
                <w:szCs w:val="20"/>
              </w:rPr>
              <w:t>3,22,304</w:t>
            </w:r>
          </w:p>
        </w:tc>
        <w:tc>
          <w:tcPr>
            <w:tcW w:w="1873" w:type="dxa"/>
          </w:tcPr>
          <w:p w14:paraId="5D590160" w14:textId="77777777" w:rsidR="009842E9" w:rsidRPr="005618A0" w:rsidRDefault="009842E9" w:rsidP="00131CF4">
            <w:pPr>
              <w:pStyle w:val="ViralheadingL2"/>
              <w:keepNext w:val="0"/>
              <w:spacing w:before="0" w:after="0" w:line="280" w:lineRule="exact"/>
              <w:jc w:val="right"/>
              <w:rPr>
                <w:rFonts w:ascii="Arial" w:hAnsi="Arial" w:cs="Arial"/>
                <w:b w:val="0"/>
                <w:sz w:val="20"/>
                <w:szCs w:val="20"/>
              </w:rPr>
            </w:pPr>
            <w:r w:rsidRPr="005618A0">
              <w:rPr>
                <w:rFonts w:ascii="Arial" w:hAnsi="Arial" w:cs="Arial"/>
                <w:b w:val="0"/>
                <w:sz w:val="20"/>
                <w:szCs w:val="20"/>
              </w:rPr>
              <w:t>2,85,925</w:t>
            </w:r>
          </w:p>
        </w:tc>
      </w:tr>
    </w:tbl>
    <w:p w14:paraId="40993BE0" w14:textId="5E55CC1C" w:rsidR="009842E9" w:rsidRDefault="009842E9" w:rsidP="009842E9">
      <w:pPr>
        <w:pStyle w:val="ViralheadingL2"/>
        <w:keepNext w:val="0"/>
        <w:spacing w:before="0" w:after="0" w:line="280" w:lineRule="exact"/>
        <w:outlineLvl w:val="9"/>
        <w:rPr>
          <w:rFonts w:ascii="Arial" w:hAnsi="Arial" w:cs="Arial"/>
          <w:b w:val="0"/>
          <w:sz w:val="19"/>
          <w:szCs w:val="19"/>
        </w:rPr>
      </w:pPr>
    </w:p>
    <w:p w14:paraId="1C842DB5" w14:textId="77777777" w:rsidR="0017026A" w:rsidRDefault="0017026A" w:rsidP="009842E9">
      <w:pPr>
        <w:pStyle w:val="ViralheadingL2"/>
        <w:keepNext w:val="0"/>
        <w:spacing w:before="0" w:after="0" w:line="280" w:lineRule="exact"/>
        <w:outlineLvl w:val="9"/>
        <w:rPr>
          <w:rFonts w:ascii="Arial" w:hAnsi="Arial" w:cs="Arial"/>
          <w:b w:val="0"/>
          <w:sz w:val="19"/>
          <w:szCs w:val="19"/>
        </w:rPr>
      </w:pPr>
    </w:p>
    <w:p w14:paraId="519ACCE0" w14:textId="77777777" w:rsidR="009842E9" w:rsidRPr="005618A0" w:rsidRDefault="009842E9" w:rsidP="009842E9">
      <w:pPr>
        <w:pStyle w:val="ViralheadingL2"/>
        <w:spacing w:line="280" w:lineRule="exact"/>
        <w:rPr>
          <w:rFonts w:ascii="Arial" w:hAnsi="Arial" w:cs="Arial"/>
          <w:sz w:val="20"/>
          <w:szCs w:val="20"/>
        </w:rPr>
      </w:pPr>
      <w:r w:rsidRPr="005618A0">
        <w:rPr>
          <w:rFonts w:ascii="Arial" w:hAnsi="Arial" w:cs="Arial"/>
          <w:sz w:val="20"/>
          <w:szCs w:val="20"/>
        </w:rPr>
        <w:t>Performance obligation - Information about the Group’s performance obligations are summarised below:</w:t>
      </w:r>
    </w:p>
    <w:p w14:paraId="3AB298AC" w14:textId="15DA42F0" w:rsidR="009842E9" w:rsidRDefault="009842E9" w:rsidP="009842E9">
      <w:pPr>
        <w:pStyle w:val="ViralheadingL2"/>
        <w:spacing w:line="280" w:lineRule="exact"/>
        <w:rPr>
          <w:rFonts w:ascii="Arial" w:hAnsi="Arial" w:cs="Arial"/>
          <w:b w:val="0"/>
          <w:sz w:val="20"/>
          <w:szCs w:val="20"/>
        </w:rPr>
      </w:pPr>
    </w:p>
    <w:p w14:paraId="71469DEB" w14:textId="77777777" w:rsidR="0017026A" w:rsidRPr="005618A0" w:rsidRDefault="0017026A" w:rsidP="009842E9">
      <w:pPr>
        <w:pStyle w:val="ViralheadingL2"/>
        <w:spacing w:line="280" w:lineRule="exact"/>
        <w:rPr>
          <w:rFonts w:ascii="Arial" w:hAnsi="Arial" w:cs="Arial"/>
          <w:b w:val="0"/>
          <w:sz w:val="20"/>
          <w:szCs w:val="20"/>
        </w:rPr>
      </w:pPr>
    </w:p>
    <w:p w14:paraId="7097DC84" w14:textId="77777777" w:rsidR="009842E9" w:rsidRPr="005618A0" w:rsidRDefault="009842E9" w:rsidP="009842E9">
      <w:pPr>
        <w:pStyle w:val="ViralheadingL2"/>
        <w:spacing w:line="280" w:lineRule="exact"/>
        <w:rPr>
          <w:rFonts w:ascii="Arial" w:hAnsi="Arial" w:cs="Arial"/>
          <w:sz w:val="20"/>
          <w:szCs w:val="20"/>
        </w:rPr>
      </w:pPr>
      <w:r w:rsidRPr="005618A0">
        <w:rPr>
          <w:rFonts w:ascii="Arial" w:hAnsi="Arial" w:cs="Arial"/>
          <w:sz w:val="20"/>
          <w:szCs w:val="20"/>
        </w:rPr>
        <w:t xml:space="preserve">Fire prevention equipment </w:t>
      </w:r>
    </w:p>
    <w:p w14:paraId="0CF3B296" w14:textId="77777777" w:rsidR="009842E9" w:rsidRPr="005618A0" w:rsidRDefault="009842E9" w:rsidP="009842E9">
      <w:pPr>
        <w:pStyle w:val="ViralheadingL2"/>
        <w:spacing w:line="280" w:lineRule="exact"/>
        <w:rPr>
          <w:rFonts w:ascii="Arial" w:hAnsi="Arial" w:cs="Arial"/>
          <w:b w:val="0"/>
          <w:sz w:val="20"/>
          <w:szCs w:val="20"/>
        </w:rPr>
      </w:pPr>
    </w:p>
    <w:p w14:paraId="7C16D711" w14:textId="77777777" w:rsidR="009842E9" w:rsidRPr="005618A0" w:rsidRDefault="009842E9" w:rsidP="009842E9">
      <w:pPr>
        <w:pStyle w:val="ViralheadingL2"/>
        <w:spacing w:line="280" w:lineRule="exact"/>
        <w:rPr>
          <w:rFonts w:ascii="Arial" w:hAnsi="Arial" w:cs="Arial"/>
          <w:b w:val="0"/>
          <w:sz w:val="20"/>
          <w:szCs w:val="20"/>
        </w:rPr>
      </w:pPr>
      <w:r w:rsidRPr="005618A0">
        <w:rPr>
          <w:rFonts w:ascii="Arial" w:hAnsi="Arial" w:cs="Arial"/>
          <w:b w:val="0"/>
          <w:sz w:val="20"/>
          <w:szCs w:val="20"/>
        </w:rPr>
        <w:t xml:space="preserve">The performance obligation is satisfied upon delivery of the equipment and payment is generally due within 30 to 90 days from delivery. </w:t>
      </w:r>
    </w:p>
    <w:p w14:paraId="13459852" w14:textId="77777777" w:rsidR="009842E9" w:rsidRPr="005618A0" w:rsidRDefault="009842E9" w:rsidP="009842E9">
      <w:pPr>
        <w:pStyle w:val="ViralheadingL2"/>
        <w:spacing w:line="280" w:lineRule="exact"/>
        <w:rPr>
          <w:rFonts w:ascii="Arial" w:hAnsi="Arial" w:cs="Arial"/>
          <w:b w:val="0"/>
          <w:sz w:val="20"/>
          <w:szCs w:val="20"/>
        </w:rPr>
      </w:pPr>
    </w:p>
    <w:p w14:paraId="6FF1400D" w14:textId="77777777" w:rsidR="009842E9" w:rsidRPr="005618A0" w:rsidRDefault="009842E9" w:rsidP="009842E9">
      <w:pPr>
        <w:pStyle w:val="ViralheadingL2"/>
        <w:spacing w:line="280" w:lineRule="exact"/>
        <w:rPr>
          <w:rFonts w:ascii="Arial" w:hAnsi="Arial" w:cs="Arial"/>
          <w:b w:val="0"/>
          <w:sz w:val="20"/>
          <w:szCs w:val="20"/>
        </w:rPr>
      </w:pPr>
      <w:r w:rsidRPr="005618A0">
        <w:rPr>
          <w:rFonts w:ascii="Arial" w:hAnsi="Arial" w:cs="Arial"/>
          <w:b w:val="0"/>
          <w:sz w:val="20"/>
          <w:szCs w:val="20"/>
        </w:rPr>
        <w:t xml:space="preserve">The performance obligation to deliver fire prevention equipment with a manufacturing lead time of two years has two alternative payment options. The customer can pay the transaction price equal to the cash selling price upon delivery of the equipment or pay a lower transaction price upon signing the contract. There is a significant financing component for those contracts where the customer elected to pay in advance. </w:t>
      </w:r>
    </w:p>
    <w:p w14:paraId="153330C1" w14:textId="77777777" w:rsidR="009842E9" w:rsidRPr="005618A0" w:rsidRDefault="009842E9" w:rsidP="009842E9">
      <w:pPr>
        <w:pStyle w:val="ViralheadingL2"/>
        <w:spacing w:line="280" w:lineRule="exact"/>
        <w:rPr>
          <w:rFonts w:ascii="Arial" w:hAnsi="Arial" w:cs="Arial"/>
          <w:b w:val="0"/>
          <w:sz w:val="20"/>
          <w:szCs w:val="20"/>
        </w:rPr>
      </w:pPr>
    </w:p>
    <w:p w14:paraId="67E223AB" w14:textId="77777777" w:rsidR="009842E9" w:rsidRPr="005618A0" w:rsidRDefault="009842E9" w:rsidP="009842E9">
      <w:pPr>
        <w:pStyle w:val="ViralheadingL2"/>
        <w:spacing w:line="280" w:lineRule="exact"/>
        <w:rPr>
          <w:rFonts w:ascii="Arial" w:hAnsi="Arial" w:cs="Arial"/>
          <w:b w:val="0"/>
          <w:sz w:val="20"/>
          <w:szCs w:val="20"/>
        </w:rPr>
      </w:pPr>
      <w:r w:rsidRPr="005618A0">
        <w:rPr>
          <w:rFonts w:ascii="Arial" w:hAnsi="Arial" w:cs="Arial"/>
          <w:b w:val="0"/>
          <w:sz w:val="20"/>
          <w:szCs w:val="20"/>
        </w:rPr>
        <w:t xml:space="preserve">In some contracts, a one-year warranty beyond fixing the defects that existed at the time of sale is provided to customers. The warranty is accounted for as a separate performance obligation and a portion </w:t>
      </w:r>
      <w:r w:rsidRPr="005618A0">
        <w:rPr>
          <w:rFonts w:ascii="Arial" w:hAnsi="Arial" w:cs="Arial"/>
          <w:b w:val="0"/>
          <w:sz w:val="20"/>
          <w:szCs w:val="20"/>
        </w:rPr>
        <w:lastRenderedPageBreak/>
        <w:t>of the transaction price is allocated. The performance obligation for the warranty service is satisfied over one-year based on time elapsed.</w:t>
      </w:r>
    </w:p>
    <w:p w14:paraId="697F42DE" w14:textId="77777777" w:rsidR="009842E9" w:rsidRPr="005618A0" w:rsidRDefault="009842E9" w:rsidP="009842E9">
      <w:pPr>
        <w:pStyle w:val="ViralheadingL2"/>
        <w:spacing w:line="280" w:lineRule="exact"/>
        <w:rPr>
          <w:rFonts w:ascii="Arial" w:hAnsi="Arial" w:cs="Arial"/>
          <w:b w:val="0"/>
          <w:sz w:val="20"/>
          <w:szCs w:val="20"/>
        </w:rPr>
      </w:pPr>
    </w:p>
    <w:p w14:paraId="52352021" w14:textId="77777777" w:rsidR="009842E9" w:rsidRPr="005618A0" w:rsidRDefault="009842E9" w:rsidP="009842E9">
      <w:pPr>
        <w:pStyle w:val="ViralheadingL2"/>
        <w:spacing w:line="280" w:lineRule="exact"/>
        <w:rPr>
          <w:rFonts w:ascii="Arial" w:hAnsi="Arial" w:cs="Arial"/>
          <w:sz w:val="20"/>
          <w:szCs w:val="20"/>
        </w:rPr>
      </w:pPr>
      <w:r w:rsidRPr="005618A0">
        <w:rPr>
          <w:rFonts w:ascii="Arial" w:hAnsi="Arial" w:cs="Arial"/>
          <w:sz w:val="20"/>
          <w:szCs w:val="20"/>
        </w:rPr>
        <w:t xml:space="preserve">Electronics equipment </w:t>
      </w:r>
    </w:p>
    <w:p w14:paraId="5B1E77E4" w14:textId="77777777" w:rsidR="009842E9" w:rsidRPr="005618A0" w:rsidRDefault="009842E9" w:rsidP="009842E9">
      <w:pPr>
        <w:pStyle w:val="ViralheadingL2"/>
        <w:spacing w:line="280" w:lineRule="exact"/>
        <w:rPr>
          <w:rFonts w:ascii="Arial" w:hAnsi="Arial" w:cs="Arial"/>
          <w:b w:val="0"/>
          <w:sz w:val="20"/>
          <w:szCs w:val="20"/>
        </w:rPr>
      </w:pPr>
    </w:p>
    <w:p w14:paraId="3AEA40DE" w14:textId="77777777" w:rsidR="009842E9" w:rsidRPr="005618A0" w:rsidRDefault="009842E9" w:rsidP="009842E9">
      <w:pPr>
        <w:pStyle w:val="ViralheadingL2"/>
        <w:spacing w:line="280" w:lineRule="exact"/>
        <w:rPr>
          <w:rFonts w:ascii="Arial" w:hAnsi="Arial" w:cs="Arial"/>
          <w:b w:val="0"/>
          <w:sz w:val="20"/>
          <w:szCs w:val="20"/>
        </w:rPr>
      </w:pPr>
      <w:r w:rsidRPr="005618A0">
        <w:rPr>
          <w:rFonts w:ascii="Arial" w:hAnsi="Arial" w:cs="Arial"/>
          <w:b w:val="0"/>
          <w:sz w:val="20"/>
          <w:szCs w:val="20"/>
        </w:rPr>
        <w:t xml:space="preserve">The performance obligation is satisfied upon delivery of the equipment and payment is generally due within 30 to 90 days from delivery. Some contracts provide customers with a right of return and volume rebates which give rise to variable consideration subject to constraint. </w:t>
      </w:r>
    </w:p>
    <w:p w14:paraId="47C752B9" w14:textId="77777777" w:rsidR="009842E9" w:rsidRPr="005618A0" w:rsidRDefault="009842E9" w:rsidP="009842E9">
      <w:pPr>
        <w:pStyle w:val="ViralheadingL2"/>
        <w:spacing w:line="280" w:lineRule="exact"/>
        <w:rPr>
          <w:rFonts w:ascii="Arial" w:hAnsi="Arial" w:cs="Arial"/>
          <w:b w:val="0"/>
          <w:sz w:val="20"/>
          <w:szCs w:val="20"/>
        </w:rPr>
      </w:pPr>
    </w:p>
    <w:p w14:paraId="44BD6763" w14:textId="77777777" w:rsidR="009842E9" w:rsidRPr="005618A0" w:rsidRDefault="009842E9" w:rsidP="009842E9">
      <w:pPr>
        <w:pStyle w:val="ViralheadingL2"/>
        <w:spacing w:line="280" w:lineRule="exact"/>
        <w:rPr>
          <w:rFonts w:ascii="Arial" w:hAnsi="Arial" w:cs="Arial"/>
          <w:b w:val="0"/>
          <w:sz w:val="20"/>
          <w:szCs w:val="20"/>
        </w:rPr>
      </w:pPr>
      <w:r w:rsidRPr="005618A0">
        <w:rPr>
          <w:rFonts w:ascii="Arial" w:hAnsi="Arial" w:cs="Arial"/>
          <w:b w:val="0"/>
          <w:sz w:val="20"/>
          <w:szCs w:val="20"/>
        </w:rPr>
        <w:t>Customers are entitled to loyalty points which results in allocation of a portion of the transaction price to the loyalty points. Revenue is recognised when the points are redeemed.</w:t>
      </w:r>
    </w:p>
    <w:p w14:paraId="3134152F" w14:textId="77777777" w:rsidR="009842E9" w:rsidRPr="005618A0" w:rsidRDefault="009842E9" w:rsidP="009842E9">
      <w:pPr>
        <w:pStyle w:val="ViralheadingL2"/>
        <w:spacing w:line="280" w:lineRule="exact"/>
        <w:rPr>
          <w:rFonts w:ascii="Arial" w:hAnsi="Arial" w:cs="Arial"/>
          <w:b w:val="0"/>
          <w:sz w:val="20"/>
          <w:szCs w:val="20"/>
        </w:rPr>
      </w:pPr>
    </w:p>
    <w:p w14:paraId="361D8C35" w14:textId="77777777" w:rsidR="009842E9" w:rsidRPr="005618A0" w:rsidRDefault="009842E9" w:rsidP="009842E9">
      <w:pPr>
        <w:pStyle w:val="ViralheadingL2"/>
        <w:spacing w:line="280" w:lineRule="exact"/>
        <w:rPr>
          <w:rFonts w:ascii="Arial" w:hAnsi="Arial" w:cs="Arial"/>
          <w:b w:val="0"/>
          <w:sz w:val="20"/>
          <w:szCs w:val="20"/>
        </w:rPr>
      </w:pPr>
      <w:r w:rsidRPr="005618A0">
        <w:rPr>
          <w:rFonts w:ascii="Arial" w:hAnsi="Arial" w:cs="Arial"/>
          <w:b w:val="0"/>
          <w:sz w:val="20"/>
          <w:szCs w:val="20"/>
        </w:rPr>
        <w:t>In addition, the Group updates its estimates of the points that will be redeemed on a quarterly basis and any adjustments to the contract liability balance are charged against revenue.</w:t>
      </w:r>
    </w:p>
    <w:p w14:paraId="2698A8D1" w14:textId="77777777" w:rsidR="009842E9" w:rsidRPr="005618A0" w:rsidRDefault="009842E9" w:rsidP="009842E9">
      <w:pPr>
        <w:pStyle w:val="ViralheadingL2"/>
        <w:spacing w:line="280" w:lineRule="exact"/>
        <w:rPr>
          <w:rFonts w:ascii="Arial" w:hAnsi="Arial" w:cs="Arial"/>
          <w:b w:val="0"/>
          <w:sz w:val="20"/>
          <w:szCs w:val="20"/>
        </w:rPr>
      </w:pPr>
    </w:p>
    <w:p w14:paraId="4991326A" w14:textId="77777777" w:rsidR="009842E9" w:rsidRPr="005618A0" w:rsidRDefault="009842E9" w:rsidP="009842E9">
      <w:pPr>
        <w:pStyle w:val="ViralheadingL2"/>
        <w:spacing w:line="280" w:lineRule="exact"/>
        <w:rPr>
          <w:rFonts w:ascii="Arial" w:hAnsi="Arial" w:cs="Arial"/>
          <w:sz w:val="20"/>
          <w:szCs w:val="20"/>
        </w:rPr>
      </w:pPr>
      <w:r w:rsidRPr="005618A0">
        <w:rPr>
          <w:rFonts w:ascii="Arial" w:hAnsi="Arial" w:cs="Arial"/>
          <w:sz w:val="20"/>
          <w:szCs w:val="20"/>
        </w:rPr>
        <w:t xml:space="preserve">Installation services </w:t>
      </w:r>
    </w:p>
    <w:p w14:paraId="6247FA33" w14:textId="77777777" w:rsidR="009842E9" w:rsidRPr="005618A0" w:rsidRDefault="009842E9" w:rsidP="009842E9">
      <w:pPr>
        <w:pStyle w:val="ViralheadingL2"/>
        <w:spacing w:line="280" w:lineRule="exact"/>
        <w:rPr>
          <w:rFonts w:ascii="Arial" w:hAnsi="Arial" w:cs="Arial"/>
          <w:b w:val="0"/>
          <w:sz w:val="20"/>
          <w:szCs w:val="20"/>
        </w:rPr>
      </w:pPr>
    </w:p>
    <w:p w14:paraId="7E5673BB" w14:textId="77777777" w:rsidR="009842E9" w:rsidRPr="005618A0" w:rsidRDefault="009842E9" w:rsidP="009842E9">
      <w:pPr>
        <w:pStyle w:val="ViralheadingL2"/>
        <w:spacing w:line="280" w:lineRule="exact"/>
        <w:rPr>
          <w:rFonts w:ascii="Arial" w:hAnsi="Arial" w:cs="Arial"/>
          <w:b w:val="0"/>
          <w:sz w:val="20"/>
          <w:szCs w:val="20"/>
        </w:rPr>
      </w:pPr>
      <w:r w:rsidRPr="005618A0">
        <w:rPr>
          <w:rFonts w:ascii="Arial" w:hAnsi="Arial" w:cs="Arial"/>
          <w:b w:val="0"/>
          <w:sz w:val="20"/>
          <w:szCs w:val="20"/>
        </w:rPr>
        <w:t xml:space="preserve">The performance obligation is satisfied over-time and payment is generally due upon completion of installation and acceptance of the customer. In some contracts, short-term advances are required before the installation service is provided. </w:t>
      </w:r>
    </w:p>
    <w:p w14:paraId="55A2BAC7" w14:textId="77777777" w:rsidR="009842E9" w:rsidRPr="005618A0" w:rsidRDefault="009842E9" w:rsidP="009842E9">
      <w:pPr>
        <w:pStyle w:val="ViralheadingL2"/>
        <w:spacing w:line="280" w:lineRule="exact"/>
        <w:rPr>
          <w:rFonts w:ascii="Arial" w:hAnsi="Arial" w:cs="Arial"/>
          <w:b w:val="0"/>
          <w:sz w:val="20"/>
          <w:szCs w:val="20"/>
        </w:rPr>
      </w:pPr>
    </w:p>
    <w:p w14:paraId="5EE44938" w14:textId="77777777" w:rsidR="009842E9" w:rsidRPr="005618A0" w:rsidRDefault="009842E9" w:rsidP="009842E9">
      <w:pPr>
        <w:pStyle w:val="ViralheadingL2"/>
        <w:spacing w:line="280" w:lineRule="exact"/>
        <w:rPr>
          <w:rFonts w:ascii="Arial" w:hAnsi="Arial" w:cs="Arial"/>
          <w:sz w:val="20"/>
          <w:szCs w:val="20"/>
        </w:rPr>
      </w:pPr>
      <w:r w:rsidRPr="005618A0">
        <w:rPr>
          <w:rFonts w:ascii="Arial" w:hAnsi="Arial" w:cs="Arial"/>
          <w:sz w:val="20"/>
          <w:szCs w:val="20"/>
        </w:rPr>
        <w:t xml:space="preserve">Procurement services </w:t>
      </w:r>
    </w:p>
    <w:p w14:paraId="76D9DCE1" w14:textId="77777777" w:rsidR="009842E9" w:rsidRPr="005618A0" w:rsidRDefault="009842E9" w:rsidP="009842E9">
      <w:pPr>
        <w:pStyle w:val="ViralheadingL2"/>
        <w:spacing w:line="280" w:lineRule="exact"/>
        <w:rPr>
          <w:rFonts w:ascii="Arial" w:hAnsi="Arial" w:cs="Arial"/>
          <w:b w:val="0"/>
          <w:sz w:val="20"/>
          <w:szCs w:val="20"/>
        </w:rPr>
      </w:pPr>
    </w:p>
    <w:p w14:paraId="1EFBA764" w14:textId="77777777" w:rsidR="009842E9" w:rsidRPr="005618A0" w:rsidRDefault="009842E9" w:rsidP="009842E9">
      <w:pPr>
        <w:pStyle w:val="ViralheadingL2"/>
        <w:spacing w:line="280" w:lineRule="exact"/>
        <w:rPr>
          <w:rFonts w:ascii="Arial" w:hAnsi="Arial" w:cs="Arial"/>
          <w:b w:val="0"/>
          <w:sz w:val="20"/>
          <w:szCs w:val="20"/>
        </w:rPr>
      </w:pPr>
      <w:r w:rsidRPr="005618A0">
        <w:rPr>
          <w:rFonts w:ascii="Arial" w:hAnsi="Arial" w:cs="Arial"/>
          <w:b w:val="0"/>
          <w:sz w:val="20"/>
          <w:szCs w:val="20"/>
        </w:rPr>
        <w:t>There are contracts with customers to acquire, on their behalf, special fire prevention equipment produced by foreign suppliers. The Group is acting as agent in these arrangements. The performance obligation is satisfied and payment is due upon receipt of the equipment by the customer.</w:t>
      </w:r>
    </w:p>
    <w:p w14:paraId="37516059" w14:textId="77777777" w:rsidR="009842E9" w:rsidRPr="005618A0" w:rsidRDefault="009842E9" w:rsidP="009842E9">
      <w:pPr>
        <w:pStyle w:val="ViralheadingL2"/>
        <w:spacing w:line="280" w:lineRule="exact"/>
        <w:rPr>
          <w:rFonts w:ascii="Arial" w:hAnsi="Arial" w:cs="Arial"/>
          <w:b w:val="0"/>
          <w:sz w:val="20"/>
          <w:szCs w:val="20"/>
        </w:rPr>
      </w:pPr>
    </w:p>
    <w:tbl>
      <w:tblPr>
        <w:tblW w:w="10852" w:type="dxa"/>
        <w:tblInd w:w="57" w:type="dxa"/>
        <w:tblLayout w:type="fixed"/>
        <w:tblCellMar>
          <w:left w:w="57" w:type="dxa"/>
          <w:right w:w="57" w:type="dxa"/>
        </w:tblCellMar>
        <w:tblLook w:val="0000" w:firstRow="0" w:lastRow="0" w:firstColumn="0" w:lastColumn="0" w:noHBand="0" w:noVBand="0"/>
      </w:tblPr>
      <w:tblGrid>
        <w:gridCol w:w="9827"/>
        <w:gridCol w:w="1025"/>
      </w:tblGrid>
      <w:tr w:rsidR="009842E9" w:rsidRPr="005618A0" w14:paraId="5B1353F4" w14:textId="77777777" w:rsidTr="00131CF4">
        <w:tc>
          <w:tcPr>
            <w:tcW w:w="9827" w:type="dxa"/>
            <w:shd w:val="clear" w:color="auto" w:fill="E0E0E0" w:themeFill="background1" w:themeFillTint="33"/>
            <w:vAlign w:val="center"/>
          </w:tcPr>
          <w:p w14:paraId="47EA18F0" w14:textId="77777777" w:rsidR="009842E9" w:rsidRPr="005618A0" w:rsidRDefault="009842E9" w:rsidP="00131CF4">
            <w:pPr>
              <w:spacing w:before="120"/>
              <w:rPr>
                <w:rFonts w:ascii="Arial" w:hAnsi="Arial" w:cs="Arial"/>
                <w:b/>
                <w:sz w:val="20"/>
              </w:rPr>
            </w:pPr>
            <w:r w:rsidRPr="005618A0">
              <w:rPr>
                <w:rFonts w:ascii="Arial" w:hAnsi="Arial" w:cs="Arial"/>
                <w:b/>
                <w:sz w:val="20"/>
              </w:rPr>
              <w:t xml:space="preserve">Commentary </w:t>
            </w:r>
          </w:p>
          <w:p w14:paraId="7ACB8A86" w14:textId="77777777" w:rsidR="009842E9" w:rsidRPr="005618A0" w:rsidRDefault="009842E9" w:rsidP="00131CF4">
            <w:pPr>
              <w:spacing w:line="240" w:lineRule="exact"/>
              <w:rPr>
                <w:rFonts w:ascii="Arial" w:hAnsi="Arial" w:cs="Arial"/>
                <w:sz w:val="20"/>
              </w:rPr>
            </w:pPr>
            <w:r w:rsidRPr="005618A0">
              <w:rPr>
                <w:rFonts w:ascii="Arial" w:hAnsi="Arial" w:cs="Arial"/>
                <w:sz w:val="20"/>
              </w:rPr>
              <w:t xml:space="preserve">Ind AS 115 requires an entity to provide more descriptive information about its performance obligations. Ind AS 115.119 requires an entity to include a description of all of the following: </w:t>
            </w:r>
          </w:p>
          <w:p w14:paraId="6D8E20A0" w14:textId="77777777" w:rsidR="009842E9" w:rsidRPr="005618A0" w:rsidRDefault="009842E9" w:rsidP="00E466DD">
            <w:pPr>
              <w:pStyle w:val="ListParagraph"/>
              <w:numPr>
                <w:ilvl w:val="0"/>
                <w:numId w:val="44"/>
              </w:numPr>
              <w:spacing w:before="60" w:line="240" w:lineRule="exact"/>
              <w:ind w:left="432"/>
              <w:contextualSpacing w:val="0"/>
              <w:rPr>
                <w:rFonts w:ascii="Arial" w:hAnsi="Arial" w:cs="Arial"/>
                <w:sz w:val="20"/>
              </w:rPr>
            </w:pPr>
            <w:r w:rsidRPr="005618A0">
              <w:rPr>
                <w:rFonts w:ascii="Arial" w:hAnsi="Arial" w:cs="Arial"/>
                <w:sz w:val="20"/>
              </w:rPr>
              <w:t xml:space="preserve">When the entity typically satisfies its performance obligations (for example, upon shipment, upon delivery, as services are rendered or upon completion of service), including when performance obligations are satisfied in a bill-and-hold arrangement </w:t>
            </w:r>
          </w:p>
          <w:p w14:paraId="00869456" w14:textId="77777777" w:rsidR="009842E9" w:rsidRPr="005618A0" w:rsidRDefault="009842E9" w:rsidP="00E466DD">
            <w:pPr>
              <w:pStyle w:val="ListParagraph"/>
              <w:numPr>
                <w:ilvl w:val="0"/>
                <w:numId w:val="44"/>
              </w:numPr>
              <w:spacing w:before="60" w:line="240" w:lineRule="exact"/>
              <w:ind w:left="432"/>
              <w:contextualSpacing w:val="0"/>
              <w:rPr>
                <w:rFonts w:ascii="Arial" w:hAnsi="Arial" w:cs="Arial"/>
                <w:sz w:val="20"/>
              </w:rPr>
            </w:pPr>
            <w:r w:rsidRPr="005618A0">
              <w:rPr>
                <w:rFonts w:ascii="Arial" w:hAnsi="Arial" w:cs="Arial"/>
                <w:sz w:val="20"/>
              </w:rPr>
              <w:t xml:space="preserve">The significant payment terms (for example, when payment is typically due, whether the contract has a significant financing component, whether the amount of consideration is variable and whether the estimate of variable consideration is typically constrained in accordance with Ind AS 115.56-58) </w:t>
            </w:r>
          </w:p>
          <w:p w14:paraId="45F5649C" w14:textId="77777777" w:rsidR="009842E9" w:rsidRPr="005618A0" w:rsidRDefault="009842E9" w:rsidP="00E466DD">
            <w:pPr>
              <w:pStyle w:val="ListParagraph"/>
              <w:numPr>
                <w:ilvl w:val="0"/>
                <w:numId w:val="44"/>
              </w:numPr>
              <w:spacing w:before="60" w:line="240" w:lineRule="exact"/>
              <w:ind w:left="432"/>
              <w:contextualSpacing w:val="0"/>
              <w:rPr>
                <w:rFonts w:ascii="Arial" w:hAnsi="Arial" w:cs="Arial"/>
                <w:sz w:val="20"/>
              </w:rPr>
            </w:pPr>
            <w:r w:rsidRPr="005618A0">
              <w:rPr>
                <w:rFonts w:ascii="Arial" w:hAnsi="Arial" w:cs="Arial"/>
                <w:sz w:val="20"/>
              </w:rPr>
              <w:t xml:space="preserve">The nature of the goods or services that the entity has promised to transfer, highlighting any performance obligations to arrange for another party to transfer goods or services (i.e., if the entity is acting as an agent) </w:t>
            </w:r>
          </w:p>
          <w:p w14:paraId="72218571" w14:textId="77777777" w:rsidR="009842E9" w:rsidRPr="005618A0" w:rsidRDefault="009842E9" w:rsidP="00E466DD">
            <w:pPr>
              <w:pStyle w:val="ListParagraph"/>
              <w:numPr>
                <w:ilvl w:val="0"/>
                <w:numId w:val="44"/>
              </w:numPr>
              <w:spacing w:before="60" w:line="240" w:lineRule="exact"/>
              <w:ind w:left="432"/>
              <w:contextualSpacing w:val="0"/>
              <w:rPr>
                <w:rFonts w:ascii="Arial" w:hAnsi="Arial" w:cs="Arial"/>
                <w:sz w:val="20"/>
              </w:rPr>
            </w:pPr>
            <w:r w:rsidRPr="005618A0">
              <w:rPr>
                <w:rFonts w:ascii="Arial" w:hAnsi="Arial" w:cs="Arial"/>
                <w:sz w:val="20"/>
              </w:rPr>
              <w:t xml:space="preserve">Obligations for returns, refunds and other similar obligations </w:t>
            </w:r>
          </w:p>
          <w:p w14:paraId="0B094461" w14:textId="77777777" w:rsidR="009842E9" w:rsidRPr="005618A0" w:rsidRDefault="009842E9" w:rsidP="00E466DD">
            <w:pPr>
              <w:pStyle w:val="ListParagraph"/>
              <w:numPr>
                <w:ilvl w:val="0"/>
                <w:numId w:val="44"/>
              </w:numPr>
              <w:spacing w:before="60" w:line="240" w:lineRule="exact"/>
              <w:ind w:left="432"/>
              <w:contextualSpacing w:val="0"/>
              <w:rPr>
                <w:rFonts w:ascii="Arial" w:hAnsi="Arial" w:cs="Arial"/>
                <w:sz w:val="20"/>
              </w:rPr>
            </w:pPr>
            <w:r w:rsidRPr="005618A0">
              <w:rPr>
                <w:rFonts w:ascii="Arial" w:hAnsi="Arial" w:cs="Arial"/>
                <w:sz w:val="20"/>
              </w:rPr>
              <w:t xml:space="preserve">Types of warranties and related obligations </w:t>
            </w:r>
          </w:p>
          <w:p w14:paraId="7D90E852" w14:textId="77777777" w:rsidR="009842E9" w:rsidRPr="005618A0" w:rsidRDefault="009842E9" w:rsidP="00131CF4">
            <w:pPr>
              <w:spacing w:before="120" w:line="240" w:lineRule="exact"/>
              <w:rPr>
                <w:rFonts w:ascii="Arial" w:hAnsi="Arial" w:cs="Arial"/>
                <w:sz w:val="20"/>
              </w:rPr>
            </w:pPr>
            <w:r w:rsidRPr="005618A0">
              <w:rPr>
                <w:rFonts w:ascii="Arial" w:hAnsi="Arial" w:cs="Arial"/>
                <w:sz w:val="20"/>
              </w:rPr>
              <w:t>The Group provided this required information in this section of the notes for illustrative purposes. Most of this information is also included in the disclosure of significant accounting policies. This is one way that entities can comply with the disclosure requirement of Ind AS 115.119. Entities may also decide to disclose this required information as part of its disclosure of significant accounting policies.</w:t>
            </w:r>
          </w:p>
        </w:tc>
        <w:tc>
          <w:tcPr>
            <w:tcW w:w="1025" w:type="dxa"/>
            <w:shd w:val="clear" w:color="auto" w:fill="auto"/>
          </w:tcPr>
          <w:p w14:paraId="3B2D7CA3" w14:textId="77777777" w:rsidR="009842E9" w:rsidRPr="005618A0" w:rsidRDefault="009842E9" w:rsidP="00131CF4">
            <w:pPr>
              <w:pStyle w:val="IAStext"/>
              <w:jc w:val="right"/>
              <w:rPr>
                <w:rFonts w:ascii="Arial" w:hAnsi="Arial" w:cs="Arial"/>
                <w:i w:val="0"/>
                <w:sz w:val="20"/>
              </w:rPr>
            </w:pPr>
          </w:p>
        </w:tc>
      </w:tr>
    </w:tbl>
    <w:p w14:paraId="0F889036" w14:textId="67CAE06D" w:rsidR="009842E9" w:rsidRDefault="009842E9" w:rsidP="009842E9">
      <w:pPr>
        <w:pStyle w:val="ViralheadingL2"/>
        <w:spacing w:line="280" w:lineRule="exact"/>
        <w:rPr>
          <w:rFonts w:ascii="Arial" w:hAnsi="Arial" w:cs="Arial"/>
          <w:b w:val="0"/>
          <w:sz w:val="20"/>
          <w:szCs w:val="20"/>
        </w:rPr>
      </w:pPr>
    </w:p>
    <w:p w14:paraId="6D10A071" w14:textId="31E81001" w:rsidR="0052106D" w:rsidRDefault="0052106D" w:rsidP="009842E9">
      <w:pPr>
        <w:pStyle w:val="ViralheadingL2"/>
        <w:spacing w:line="280" w:lineRule="exact"/>
        <w:rPr>
          <w:rFonts w:ascii="Arial" w:hAnsi="Arial" w:cs="Arial"/>
          <w:b w:val="0"/>
          <w:sz w:val="20"/>
          <w:szCs w:val="20"/>
        </w:rPr>
      </w:pPr>
    </w:p>
    <w:p w14:paraId="4CC19D07" w14:textId="77777777" w:rsidR="0052106D" w:rsidRPr="0052106D" w:rsidRDefault="0052106D" w:rsidP="0052106D">
      <w:pPr>
        <w:pStyle w:val="ViralheadingL2"/>
        <w:shd w:val="clear" w:color="auto" w:fill="A2A2A2" w:themeFill="background2" w:themeFillTint="99"/>
        <w:spacing w:line="280" w:lineRule="exact"/>
        <w:rPr>
          <w:rFonts w:ascii="Arial" w:hAnsi="Arial" w:cs="Arial"/>
          <w:bCs w:val="0"/>
          <w:sz w:val="20"/>
          <w:szCs w:val="20"/>
        </w:rPr>
      </w:pPr>
      <w:r w:rsidRPr="0052106D">
        <w:rPr>
          <w:rFonts w:ascii="Arial" w:hAnsi="Arial" w:cs="Arial"/>
          <w:bCs w:val="0"/>
          <w:sz w:val="20"/>
          <w:szCs w:val="20"/>
        </w:rPr>
        <w:t xml:space="preserve">Covid-19 commentary </w:t>
      </w:r>
    </w:p>
    <w:p w14:paraId="2EBAC111" w14:textId="3C2B6C64" w:rsidR="0052106D" w:rsidRPr="005618A0" w:rsidRDefault="0052106D" w:rsidP="0052106D">
      <w:pPr>
        <w:pStyle w:val="ViralheadingL2"/>
        <w:shd w:val="clear" w:color="auto" w:fill="A2A2A2" w:themeFill="background2" w:themeFillTint="99"/>
        <w:spacing w:line="280" w:lineRule="exact"/>
        <w:rPr>
          <w:rFonts w:ascii="Arial" w:hAnsi="Arial" w:cs="Arial"/>
          <w:b w:val="0"/>
          <w:sz w:val="20"/>
          <w:szCs w:val="20"/>
        </w:rPr>
      </w:pPr>
      <w:r w:rsidRPr="0052106D">
        <w:rPr>
          <w:rFonts w:ascii="Arial" w:hAnsi="Arial" w:cs="Arial"/>
          <w:b w:val="0"/>
          <w:sz w:val="20"/>
          <w:szCs w:val="20"/>
        </w:rPr>
        <w:t xml:space="preserve">Entities may need to use significant judgement to determine the effect of uncertainties related to the Covid-19 </w:t>
      </w:r>
      <w:r w:rsidR="005E4D18" w:rsidRPr="0052106D">
        <w:rPr>
          <w:rFonts w:ascii="Arial" w:hAnsi="Arial" w:cs="Arial"/>
          <w:b w:val="0"/>
          <w:sz w:val="20"/>
          <w:szCs w:val="20"/>
        </w:rPr>
        <w:t>pandemic on</w:t>
      </w:r>
      <w:r w:rsidRPr="0052106D">
        <w:rPr>
          <w:rFonts w:ascii="Arial" w:hAnsi="Arial" w:cs="Arial"/>
          <w:b w:val="0"/>
          <w:sz w:val="20"/>
          <w:szCs w:val="20"/>
        </w:rPr>
        <w:t xml:space="preserve"> their revenue accounting, e.g., estimates of variable consideration (including the constraint) and provide appropriate disclosures of these judgements. Decisions made in response to the outbreak (e.g., modifying contracts, continuing transacting with customers despite collectability concerns, revising pricing) may need to be disclosed.  Entities may </w:t>
      </w:r>
      <w:r w:rsidR="005E4D18" w:rsidRPr="0052106D">
        <w:rPr>
          <w:rFonts w:ascii="Arial" w:hAnsi="Arial" w:cs="Arial"/>
          <w:b w:val="0"/>
          <w:sz w:val="20"/>
          <w:szCs w:val="20"/>
        </w:rPr>
        <w:t>also need</w:t>
      </w:r>
      <w:r w:rsidRPr="0052106D">
        <w:rPr>
          <w:rFonts w:ascii="Arial" w:hAnsi="Arial" w:cs="Arial"/>
          <w:b w:val="0"/>
          <w:sz w:val="20"/>
          <w:szCs w:val="20"/>
        </w:rPr>
        <w:t xml:space="preserve"> to consider the impact of delays in deliveries due to lockdowns and the impact of volume rebate estimations due to lower sales during the year.</w:t>
      </w:r>
    </w:p>
    <w:p w14:paraId="7613BF12" w14:textId="77777777" w:rsidR="003D63D3" w:rsidRPr="00E70587" w:rsidRDefault="003D63D3" w:rsidP="006672D2">
      <w:pPr>
        <w:overflowPunct/>
        <w:autoSpaceDE/>
        <w:autoSpaceDN/>
        <w:adjustRightInd/>
        <w:spacing w:line="280" w:lineRule="exact"/>
        <w:textAlignment w:val="auto"/>
        <w:rPr>
          <w:rFonts w:ascii="Arial" w:hAnsi="Arial" w:cs="Arial"/>
          <w:sz w:val="20"/>
        </w:rPr>
      </w:pPr>
    </w:p>
    <w:p w14:paraId="14DFAF60" w14:textId="77777777" w:rsidR="004A5874" w:rsidRPr="00E70587" w:rsidRDefault="00B247D1"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Other income</w:t>
      </w:r>
    </w:p>
    <w:p w14:paraId="6457C35A" w14:textId="77777777" w:rsidR="006672D2" w:rsidRPr="00E70587" w:rsidRDefault="006672D2" w:rsidP="006672D2">
      <w:pPr>
        <w:pStyle w:val="ViralheadingL2"/>
        <w:keepNext w:val="0"/>
        <w:spacing w:before="0" w:after="0" w:line="280" w:lineRule="exact"/>
        <w:outlineLvl w:val="9"/>
        <w:rPr>
          <w:rFonts w:ascii="Arial" w:hAnsi="Arial" w:cs="Arial"/>
          <w:b w:val="0"/>
          <w:sz w:val="20"/>
          <w:szCs w:val="20"/>
        </w:rPr>
      </w:pPr>
    </w:p>
    <w:tbl>
      <w:tblPr>
        <w:tblW w:w="9450" w:type="dxa"/>
        <w:tblLayout w:type="fixed"/>
        <w:tblLook w:val="01E0" w:firstRow="1" w:lastRow="1" w:firstColumn="1" w:lastColumn="1" w:noHBand="0" w:noVBand="0"/>
      </w:tblPr>
      <w:tblGrid>
        <w:gridCol w:w="6053"/>
        <w:gridCol w:w="1597"/>
        <w:gridCol w:w="1800"/>
      </w:tblGrid>
      <w:tr w:rsidR="00F375C7" w:rsidRPr="00E70587" w14:paraId="09476193" w14:textId="77777777" w:rsidTr="00770F33">
        <w:trPr>
          <w:trHeight w:val="20"/>
        </w:trPr>
        <w:tc>
          <w:tcPr>
            <w:tcW w:w="6053" w:type="dxa"/>
            <w:shd w:val="clear" w:color="auto" w:fill="auto"/>
          </w:tcPr>
          <w:p w14:paraId="15EE34DD" w14:textId="77777777" w:rsidR="00F375C7" w:rsidRPr="00E70587" w:rsidRDefault="00F375C7" w:rsidP="009A5E2F">
            <w:pPr>
              <w:pStyle w:val="000Normal"/>
              <w:spacing w:before="0" w:after="0" w:line="280" w:lineRule="exact"/>
              <w:rPr>
                <w:rFonts w:ascii="Arial" w:hAnsi="Arial" w:cs="Arial"/>
                <w:sz w:val="20"/>
              </w:rPr>
            </w:pPr>
          </w:p>
        </w:tc>
        <w:tc>
          <w:tcPr>
            <w:tcW w:w="1597" w:type="dxa"/>
            <w:tcBorders>
              <w:bottom w:val="single" w:sz="4" w:space="0" w:color="auto"/>
            </w:tcBorders>
            <w:shd w:val="clear" w:color="auto" w:fill="auto"/>
          </w:tcPr>
          <w:p w14:paraId="6E6EADD1" w14:textId="44A4B85E"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AB78BE" w:rsidRPr="00E70587">
              <w:rPr>
                <w:rFonts w:ascii="Arial" w:hAnsi="Arial"/>
                <w:color w:val="auto"/>
                <w:sz w:val="20"/>
                <w:szCs w:val="20"/>
                <w:lang w:val="en-IN"/>
              </w:rPr>
              <w:t>20</w:t>
            </w:r>
            <w:r w:rsidR="00AB78BE">
              <w:rPr>
                <w:rFonts w:ascii="Arial" w:hAnsi="Arial"/>
                <w:color w:val="auto"/>
                <w:sz w:val="20"/>
                <w:szCs w:val="20"/>
                <w:lang w:val="en-IN"/>
              </w:rPr>
              <w:t>21</w:t>
            </w:r>
          </w:p>
        </w:tc>
        <w:tc>
          <w:tcPr>
            <w:tcW w:w="1800" w:type="dxa"/>
            <w:tcBorders>
              <w:bottom w:val="single" w:sz="4" w:space="0" w:color="auto"/>
            </w:tcBorders>
            <w:shd w:val="clear" w:color="auto" w:fill="auto"/>
          </w:tcPr>
          <w:p w14:paraId="270F1939" w14:textId="7E41C9C8"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AB78BE" w:rsidRPr="00E70587">
              <w:rPr>
                <w:rFonts w:ascii="Arial" w:hAnsi="Arial"/>
                <w:color w:val="auto"/>
                <w:sz w:val="20"/>
                <w:szCs w:val="20"/>
                <w:lang w:val="en-IN"/>
              </w:rPr>
              <w:t>20</w:t>
            </w:r>
            <w:r w:rsidR="00AB78BE">
              <w:rPr>
                <w:rFonts w:ascii="Arial" w:hAnsi="Arial"/>
                <w:color w:val="auto"/>
                <w:sz w:val="20"/>
                <w:szCs w:val="20"/>
                <w:lang w:val="en-IN"/>
              </w:rPr>
              <w:t>20</w:t>
            </w:r>
          </w:p>
        </w:tc>
      </w:tr>
      <w:tr w:rsidR="00F375C7" w:rsidRPr="00E70587" w14:paraId="4408A7EB" w14:textId="77777777" w:rsidTr="00770F33">
        <w:trPr>
          <w:trHeight w:val="20"/>
        </w:trPr>
        <w:tc>
          <w:tcPr>
            <w:tcW w:w="6053" w:type="dxa"/>
          </w:tcPr>
          <w:p w14:paraId="1276EAEB" w14:textId="77777777" w:rsidR="00F375C7" w:rsidRPr="00E70587" w:rsidRDefault="00F375C7" w:rsidP="009A5E2F">
            <w:pPr>
              <w:pStyle w:val="000Normal"/>
              <w:spacing w:before="0" w:after="0" w:line="280" w:lineRule="exact"/>
              <w:jc w:val="right"/>
              <w:rPr>
                <w:rFonts w:ascii="Arial" w:hAnsi="Arial" w:cs="Arial"/>
                <w:b/>
                <w:sz w:val="20"/>
              </w:rPr>
            </w:pPr>
          </w:p>
        </w:tc>
        <w:tc>
          <w:tcPr>
            <w:tcW w:w="1597" w:type="dxa"/>
            <w:tcBorders>
              <w:top w:val="single" w:sz="4" w:space="0" w:color="auto"/>
            </w:tcBorders>
          </w:tcPr>
          <w:p w14:paraId="771EFAC8" w14:textId="77777777" w:rsidR="00F375C7" w:rsidRPr="00E70587" w:rsidRDefault="00F375C7" w:rsidP="00AB78BE">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c>
          <w:tcPr>
            <w:tcW w:w="1800" w:type="dxa"/>
            <w:tcBorders>
              <w:top w:val="single" w:sz="4" w:space="0" w:color="auto"/>
            </w:tcBorders>
          </w:tcPr>
          <w:p w14:paraId="7A87BA72" w14:textId="77777777" w:rsidR="00F375C7" w:rsidRPr="00E70587" w:rsidRDefault="00F375C7" w:rsidP="009A5E2F">
            <w:pPr>
              <w:pStyle w:val="Tablecolumnheading"/>
              <w:spacing w:line="280" w:lineRule="exact"/>
              <w:ind w:right="149"/>
              <w:rPr>
                <w:rFonts w:ascii="Arial" w:hAnsi="Arial"/>
                <w:color w:val="auto"/>
                <w:sz w:val="20"/>
                <w:szCs w:val="20"/>
                <w:lang w:val="en-IN"/>
              </w:rPr>
            </w:pPr>
            <w:r w:rsidRPr="00E70587">
              <w:rPr>
                <w:rFonts w:ascii="Arial" w:hAnsi="Arial"/>
                <w:color w:val="auto"/>
                <w:sz w:val="20"/>
                <w:szCs w:val="20"/>
                <w:lang w:val="en-IN"/>
              </w:rPr>
              <w:t>INR Lacs</w:t>
            </w:r>
          </w:p>
        </w:tc>
      </w:tr>
      <w:tr w:rsidR="002803CC" w:rsidRPr="00E70587" w14:paraId="5765665F" w14:textId="77777777" w:rsidTr="00770F33">
        <w:trPr>
          <w:trHeight w:val="20"/>
        </w:trPr>
        <w:tc>
          <w:tcPr>
            <w:tcW w:w="6053" w:type="dxa"/>
          </w:tcPr>
          <w:p w14:paraId="1B1EA9A1" w14:textId="77777777" w:rsidR="002803CC" w:rsidRPr="00E70587" w:rsidRDefault="002803CC" w:rsidP="002803CC">
            <w:pPr>
              <w:pStyle w:val="000Normal"/>
              <w:spacing w:before="0" w:after="0" w:line="280" w:lineRule="exact"/>
              <w:jc w:val="left"/>
              <w:rPr>
                <w:rFonts w:ascii="Arial" w:hAnsi="Arial" w:cs="Arial"/>
                <w:b/>
                <w:sz w:val="20"/>
              </w:rPr>
            </w:pPr>
            <w:r w:rsidRPr="00E70587">
              <w:rPr>
                <w:rFonts w:ascii="Arial" w:hAnsi="Arial" w:cs="Arial"/>
                <w:b/>
                <w:sz w:val="20"/>
              </w:rPr>
              <w:t>Other non-operating income</w:t>
            </w:r>
          </w:p>
        </w:tc>
        <w:tc>
          <w:tcPr>
            <w:tcW w:w="1597" w:type="dxa"/>
          </w:tcPr>
          <w:p w14:paraId="025E555E" w14:textId="77777777" w:rsidR="002803CC" w:rsidRPr="00E70587" w:rsidRDefault="002803CC" w:rsidP="009A5E2F">
            <w:pPr>
              <w:pStyle w:val="Tablecolumnheading"/>
              <w:spacing w:line="280" w:lineRule="exact"/>
              <w:jc w:val="left"/>
              <w:rPr>
                <w:rFonts w:ascii="Arial" w:hAnsi="Arial"/>
                <w:color w:val="auto"/>
                <w:sz w:val="20"/>
                <w:szCs w:val="20"/>
                <w:lang w:val="en-IN"/>
              </w:rPr>
            </w:pPr>
          </w:p>
        </w:tc>
        <w:tc>
          <w:tcPr>
            <w:tcW w:w="1800" w:type="dxa"/>
          </w:tcPr>
          <w:p w14:paraId="77FD9C62" w14:textId="77777777" w:rsidR="002803CC" w:rsidRPr="00E70587" w:rsidRDefault="002803CC" w:rsidP="009A5E2F">
            <w:pPr>
              <w:pStyle w:val="Tablecolumnheading"/>
              <w:spacing w:line="280" w:lineRule="exact"/>
              <w:ind w:right="149"/>
              <w:rPr>
                <w:rFonts w:ascii="Arial" w:hAnsi="Arial"/>
                <w:color w:val="auto"/>
                <w:sz w:val="20"/>
                <w:szCs w:val="20"/>
                <w:lang w:val="en-IN"/>
              </w:rPr>
            </w:pPr>
          </w:p>
        </w:tc>
      </w:tr>
      <w:tr w:rsidR="00F375C7" w:rsidRPr="00E70587" w14:paraId="112B415C" w14:textId="77777777" w:rsidTr="00770F33">
        <w:trPr>
          <w:trHeight w:val="20"/>
        </w:trPr>
        <w:tc>
          <w:tcPr>
            <w:tcW w:w="6053" w:type="dxa"/>
            <w:tcMar>
              <w:top w:w="28" w:type="dxa"/>
            </w:tcMar>
            <w:vAlign w:val="bottom"/>
          </w:tcPr>
          <w:p w14:paraId="68152459" w14:textId="77777777" w:rsidR="00F375C7" w:rsidRPr="00E70587" w:rsidRDefault="00F375C7" w:rsidP="002803CC">
            <w:pPr>
              <w:pStyle w:val="tabletext"/>
              <w:overflowPunct w:val="0"/>
              <w:autoSpaceDE w:val="0"/>
              <w:autoSpaceDN w:val="0"/>
              <w:adjustRightInd w:val="0"/>
              <w:spacing w:line="280" w:lineRule="exact"/>
              <w:ind w:left="450"/>
              <w:textAlignment w:val="baseline"/>
              <w:rPr>
                <w:rFonts w:ascii="Arial" w:hAnsi="Arial" w:cs="Arial"/>
                <w:sz w:val="20"/>
                <w:lang w:val="en-IN"/>
              </w:rPr>
            </w:pPr>
            <w:r w:rsidRPr="00E70587">
              <w:rPr>
                <w:rFonts w:ascii="Arial" w:hAnsi="Arial" w:cs="Arial"/>
                <w:sz w:val="20"/>
                <w:lang w:val="en-IN"/>
              </w:rPr>
              <w:t xml:space="preserve">Government grants (Note </w:t>
            </w:r>
            <w:r w:rsidR="002803CC" w:rsidRPr="00E70587">
              <w:rPr>
                <w:rFonts w:ascii="Arial" w:hAnsi="Arial" w:cs="Arial"/>
                <w:sz w:val="20"/>
                <w:lang w:val="en-IN"/>
              </w:rPr>
              <w:t>17</w:t>
            </w:r>
            <w:r w:rsidRPr="00E70587">
              <w:rPr>
                <w:rFonts w:ascii="Arial" w:hAnsi="Arial" w:cs="Arial"/>
                <w:sz w:val="20"/>
                <w:lang w:val="en-IN"/>
              </w:rPr>
              <w:t>)</w:t>
            </w:r>
          </w:p>
        </w:tc>
        <w:tc>
          <w:tcPr>
            <w:tcW w:w="1597" w:type="dxa"/>
            <w:tcMar>
              <w:top w:w="28" w:type="dxa"/>
            </w:tcMar>
            <w:vAlign w:val="center"/>
          </w:tcPr>
          <w:p w14:paraId="0E20625F" w14:textId="77777777" w:rsidR="00F375C7" w:rsidRPr="00E70587" w:rsidRDefault="00F375C7" w:rsidP="009A5E2F">
            <w:pPr>
              <w:spacing w:line="280" w:lineRule="exact"/>
              <w:jc w:val="right"/>
              <w:rPr>
                <w:rFonts w:ascii="Arial" w:hAnsi="Arial" w:cs="Arial"/>
                <w:sz w:val="20"/>
              </w:rPr>
            </w:pPr>
            <w:r w:rsidRPr="00E70587">
              <w:rPr>
                <w:rFonts w:ascii="Arial" w:hAnsi="Arial" w:cs="Arial"/>
                <w:sz w:val="20"/>
              </w:rPr>
              <w:t xml:space="preserve">1,895 </w:t>
            </w:r>
          </w:p>
        </w:tc>
        <w:tc>
          <w:tcPr>
            <w:tcW w:w="1800" w:type="dxa"/>
            <w:tcMar>
              <w:top w:w="28" w:type="dxa"/>
            </w:tcMar>
            <w:vAlign w:val="center"/>
          </w:tcPr>
          <w:p w14:paraId="0B6A898B" w14:textId="77777777" w:rsidR="00F375C7" w:rsidRPr="00E70587" w:rsidRDefault="00F375C7" w:rsidP="009A5E2F">
            <w:pPr>
              <w:spacing w:line="280" w:lineRule="exact"/>
              <w:ind w:right="166"/>
              <w:jc w:val="right"/>
              <w:rPr>
                <w:rFonts w:ascii="Arial" w:hAnsi="Arial" w:cs="Arial"/>
                <w:sz w:val="20"/>
              </w:rPr>
            </w:pPr>
            <w:r w:rsidRPr="00E70587">
              <w:rPr>
                <w:rFonts w:ascii="Arial" w:hAnsi="Arial" w:cs="Arial"/>
                <w:sz w:val="20"/>
              </w:rPr>
              <w:t xml:space="preserve">974 </w:t>
            </w:r>
          </w:p>
        </w:tc>
      </w:tr>
      <w:tr w:rsidR="00F375C7" w:rsidRPr="00E70587" w14:paraId="00E3EECB" w14:textId="77777777" w:rsidTr="00770F33">
        <w:trPr>
          <w:trHeight w:val="20"/>
        </w:trPr>
        <w:tc>
          <w:tcPr>
            <w:tcW w:w="6053" w:type="dxa"/>
            <w:tcMar>
              <w:top w:w="28" w:type="dxa"/>
            </w:tcMar>
            <w:vAlign w:val="bottom"/>
          </w:tcPr>
          <w:p w14:paraId="4377322D" w14:textId="3CE7037B" w:rsidR="00F375C7" w:rsidRPr="00E70587" w:rsidRDefault="00F375C7" w:rsidP="002803CC">
            <w:pPr>
              <w:pStyle w:val="tabletext"/>
              <w:overflowPunct w:val="0"/>
              <w:autoSpaceDE w:val="0"/>
              <w:autoSpaceDN w:val="0"/>
              <w:adjustRightInd w:val="0"/>
              <w:spacing w:line="280" w:lineRule="exact"/>
              <w:ind w:left="450"/>
              <w:textAlignment w:val="baseline"/>
              <w:rPr>
                <w:rFonts w:ascii="Arial" w:hAnsi="Arial" w:cs="Arial"/>
                <w:sz w:val="20"/>
                <w:lang w:val="en-IN"/>
              </w:rPr>
            </w:pPr>
            <w:r w:rsidRPr="00E70587">
              <w:rPr>
                <w:rFonts w:ascii="Arial" w:hAnsi="Arial" w:cs="Arial"/>
                <w:sz w:val="20"/>
                <w:lang w:val="en-IN"/>
              </w:rPr>
              <w:t xml:space="preserve">Fair value gain on financial instruments at fair value through profit </w:t>
            </w:r>
            <w:r w:rsidR="00CD5159">
              <w:rPr>
                <w:rFonts w:ascii="Arial" w:hAnsi="Arial" w:cs="Arial"/>
                <w:sz w:val="20"/>
                <w:lang w:val="en-IN"/>
              </w:rPr>
              <w:t>or</w:t>
            </w:r>
            <w:r w:rsidR="001E4077" w:rsidRPr="00E70587">
              <w:rPr>
                <w:rFonts w:ascii="Arial" w:hAnsi="Arial" w:cs="Arial"/>
                <w:sz w:val="20"/>
                <w:lang w:val="en-IN"/>
              </w:rPr>
              <w:t xml:space="preserve"> </w:t>
            </w:r>
            <w:r w:rsidRPr="00E70587">
              <w:rPr>
                <w:rFonts w:ascii="Arial" w:hAnsi="Arial" w:cs="Arial"/>
                <w:sz w:val="20"/>
                <w:lang w:val="en-IN"/>
              </w:rPr>
              <w:t>loss</w:t>
            </w:r>
          </w:p>
        </w:tc>
        <w:tc>
          <w:tcPr>
            <w:tcW w:w="1597" w:type="dxa"/>
            <w:tcMar>
              <w:top w:w="28" w:type="dxa"/>
            </w:tcMar>
            <w:vAlign w:val="center"/>
          </w:tcPr>
          <w:p w14:paraId="4ECCB453" w14:textId="77777777" w:rsidR="00F375C7" w:rsidRPr="00E70587" w:rsidRDefault="00F375C7" w:rsidP="009A5E2F">
            <w:pPr>
              <w:spacing w:line="280" w:lineRule="exact"/>
              <w:jc w:val="right"/>
              <w:rPr>
                <w:rFonts w:ascii="Arial" w:hAnsi="Arial" w:cs="Arial"/>
                <w:sz w:val="20"/>
              </w:rPr>
            </w:pPr>
            <w:r w:rsidRPr="00E70587">
              <w:rPr>
                <w:rFonts w:ascii="Arial" w:hAnsi="Arial" w:cs="Arial"/>
                <w:sz w:val="20"/>
              </w:rPr>
              <w:t xml:space="preserve">1,530 </w:t>
            </w:r>
          </w:p>
        </w:tc>
        <w:tc>
          <w:tcPr>
            <w:tcW w:w="1800" w:type="dxa"/>
            <w:tcMar>
              <w:top w:w="28" w:type="dxa"/>
            </w:tcMar>
            <w:vAlign w:val="center"/>
          </w:tcPr>
          <w:p w14:paraId="1E2EB509" w14:textId="77777777" w:rsidR="00F375C7" w:rsidRPr="00E70587" w:rsidRDefault="00F375C7" w:rsidP="009A5E2F">
            <w:pPr>
              <w:spacing w:line="280" w:lineRule="exact"/>
              <w:ind w:right="166"/>
              <w:jc w:val="right"/>
              <w:rPr>
                <w:rFonts w:ascii="Arial" w:hAnsi="Arial" w:cs="Arial"/>
                <w:sz w:val="20"/>
              </w:rPr>
            </w:pPr>
            <w:r w:rsidRPr="00E70587">
              <w:rPr>
                <w:rFonts w:ascii="Arial" w:hAnsi="Arial" w:cs="Arial"/>
                <w:sz w:val="20"/>
              </w:rPr>
              <w:t>-</w:t>
            </w:r>
          </w:p>
        </w:tc>
      </w:tr>
      <w:tr w:rsidR="00F375C7" w:rsidRPr="00E70587" w14:paraId="6E41EEB8" w14:textId="77777777" w:rsidTr="00770F33">
        <w:trPr>
          <w:trHeight w:val="20"/>
        </w:trPr>
        <w:tc>
          <w:tcPr>
            <w:tcW w:w="6053" w:type="dxa"/>
            <w:tcMar>
              <w:top w:w="28" w:type="dxa"/>
            </w:tcMar>
            <w:vAlign w:val="bottom"/>
          </w:tcPr>
          <w:p w14:paraId="434C9107" w14:textId="77777777" w:rsidR="00F375C7" w:rsidRPr="00E70587" w:rsidRDefault="00F375C7" w:rsidP="002803CC">
            <w:pPr>
              <w:pStyle w:val="tabletext"/>
              <w:overflowPunct w:val="0"/>
              <w:autoSpaceDE w:val="0"/>
              <w:autoSpaceDN w:val="0"/>
              <w:adjustRightInd w:val="0"/>
              <w:spacing w:line="280" w:lineRule="exact"/>
              <w:ind w:left="450"/>
              <w:textAlignment w:val="baseline"/>
              <w:rPr>
                <w:rFonts w:ascii="Arial" w:hAnsi="Arial" w:cs="Arial"/>
                <w:sz w:val="20"/>
                <w:lang w:val="en-IN"/>
              </w:rPr>
            </w:pPr>
            <w:r w:rsidRPr="00E70587">
              <w:rPr>
                <w:rFonts w:ascii="Arial" w:hAnsi="Arial" w:cs="Arial"/>
                <w:sz w:val="20"/>
                <w:lang w:val="en-IN"/>
              </w:rPr>
              <w:t>Net gain on disposal of property, plant and equipment</w:t>
            </w:r>
          </w:p>
        </w:tc>
        <w:tc>
          <w:tcPr>
            <w:tcW w:w="1597" w:type="dxa"/>
            <w:tcMar>
              <w:top w:w="28" w:type="dxa"/>
            </w:tcMar>
            <w:vAlign w:val="center"/>
          </w:tcPr>
          <w:p w14:paraId="6B64849F" w14:textId="77777777" w:rsidR="00F375C7" w:rsidRPr="00E70587" w:rsidRDefault="00F375C7" w:rsidP="009A5E2F">
            <w:pPr>
              <w:spacing w:line="280" w:lineRule="exact"/>
              <w:ind w:firstLineChars="200" w:firstLine="400"/>
              <w:jc w:val="right"/>
              <w:rPr>
                <w:rFonts w:ascii="Arial" w:hAnsi="Arial" w:cs="Arial"/>
                <w:sz w:val="20"/>
              </w:rPr>
            </w:pPr>
            <w:r w:rsidRPr="00E70587">
              <w:rPr>
                <w:rFonts w:ascii="Arial" w:hAnsi="Arial" w:cs="Arial"/>
                <w:sz w:val="20"/>
              </w:rPr>
              <w:t xml:space="preserve">958 </w:t>
            </w:r>
          </w:p>
        </w:tc>
        <w:tc>
          <w:tcPr>
            <w:tcW w:w="1800" w:type="dxa"/>
            <w:tcMar>
              <w:top w:w="28" w:type="dxa"/>
            </w:tcMar>
            <w:vAlign w:val="center"/>
          </w:tcPr>
          <w:p w14:paraId="0A40AD38" w14:textId="77777777" w:rsidR="00F375C7" w:rsidRPr="00E70587" w:rsidRDefault="00F375C7" w:rsidP="009A5E2F">
            <w:pPr>
              <w:spacing w:line="280" w:lineRule="exact"/>
              <w:ind w:right="166" w:firstLineChars="200" w:firstLine="400"/>
              <w:jc w:val="right"/>
              <w:rPr>
                <w:rFonts w:ascii="Arial" w:hAnsi="Arial" w:cs="Arial"/>
                <w:sz w:val="20"/>
              </w:rPr>
            </w:pPr>
            <w:r w:rsidRPr="00E70587">
              <w:rPr>
                <w:rFonts w:ascii="Arial" w:hAnsi="Arial" w:cs="Arial"/>
                <w:sz w:val="20"/>
              </w:rPr>
              <w:t>3,612</w:t>
            </w:r>
          </w:p>
        </w:tc>
      </w:tr>
      <w:tr w:rsidR="00F375C7" w:rsidRPr="00E70587" w14:paraId="02468D78" w14:textId="77777777" w:rsidTr="00770F33">
        <w:trPr>
          <w:trHeight w:val="20"/>
        </w:trPr>
        <w:tc>
          <w:tcPr>
            <w:tcW w:w="6053" w:type="dxa"/>
            <w:tcMar>
              <w:top w:w="28" w:type="dxa"/>
            </w:tcMar>
            <w:vAlign w:val="bottom"/>
          </w:tcPr>
          <w:p w14:paraId="726FFD94"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597" w:type="dxa"/>
            <w:tcBorders>
              <w:top w:val="single" w:sz="4" w:space="0" w:color="auto"/>
              <w:bottom w:val="double" w:sz="4" w:space="0" w:color="auto"/>
            </w:tcBorders>
            <w:tcMar>
              <w:top w:w="28" w:type="dxa"/>
            </w:tcMar>
            <w:vAlign w:val="center"/>
          </w:tcPr>
          <w:p w14:paraId="4D6016F8" w14:textId="77777777" w:rsidR="00F375C7" w:rsidRPr="00E70587" w:rsidRDefault="00F375C7" w:rsidP="009A5E2F">
            <w:pPr>
              <w:spacing w:line="280" w:lineRule="exact"/>
              <w:ind w:firstLineChars="200" w:firstLine="402"/>
              <w:jc w:val="right"/>
              <w:rPr>
                <w:rFonts w:ascii="Arial" w:hAnsi="Arial" w:cs="Arial"/>
                <w:b/>
                <w:bCs/>
                <w:sz w:val="20"/>
              </w:rPr>
            </w:pPr>
            <w:r w:rsidRPr="00E70587">
              <w:rPr>
                <w:rFonts w:ascii="Arial" w:hAnsi="Arial" w:cs="Arial"/>
                <w:b/>
                <w:bCs/>
                <w:sz w:val="20"/>
              </w:rPr>
              <w:t>4,383</w:t>
            </w:r>
          </w:p>
        </w:tc>
        <w:tc>
          <w:tcPr>
            <w:tcW w:w="1800" w:type="dxa"/>
            <w:tcBorders>
              <w:top w:val="single" w:sz="4" w:space="0" w:color="auto"/>
              <w:bottom w:val="double" w:sz="4" w:space="0" w:color="auto"/>
            </w:tcBorders>
            <w:tcMar>
              <w:top w:w="28" w:type="dxa"/>
            </w:tcMar>
            <w:vAlign w:val="center"/>
          </w:tcPr>
          <w:p w14:paraId="7A5DF9D6" w14:textId="77777777" w:rsidR="00F375C7" w:rsidRPr="00E70587" w:rsidRDefault="00F375C7" w:rsidP="009A5E2F">
            <w:pPr>
              <w:spacing w:line="280" w:lineRule="exact"/>
              <w:ind w:right="166"/>
              <w:jc w:val="right"/>
              <w:rPr>
                <w:rFonts w:ascii="Arial" w:hAnsi="Arial" w:cs="Arial"/>
                <w:b/>
                <w:bCs/>
                <w:sz w:val="20"/>
              </w:rPr>
            </w:pPr>
            <w:r w:rsidRPr="00E70587">
              <w:rPr>
                <w:rFonts w:ascii="Arial" w:hAnsi="Arial" w:cs="Arial"/>
                <w:b/>
                <w:bCs/>
                <w:sz w:val="20"/>
              </w:rPr>
              <w:t>4,586</w:t>
            </w:r>
          </w:p>
        </w:tc>
      </w:tr>
    </w:tbl>
    <w:p w14:paraId="67ADD87B" w14:textId="6DC2B33F" w:rsidR="001F43BD" w:rsidRDefault="001F43BD" w:rsidP="009901E1">
      <w:pPr>
        <w:spacing w:line="280" w:lineRule="exact"/>
        <w:rPr>
          <w:rFonts w:ascii="Arial" w:hAnsi="Arial" w:cs="Arial"/>
          <w:sz w:val="20"/>
        </w:rPr>
      </w:pPr>
    </w:p>
    <w:p w14:paraId="02B9D211" w14:textId="77777777" w:rsidR="00A137F8" w:rsidRPr="00E70587" w:rsidRDefault="00A137F8" w:rsidP="00A137F8">
      <w:pPr>
        <w:pStyle w:val="Notesbodytext"/>
        <w:spacing w:after="0" w:line="280" w:lineRule="exact"/>
        <w:ind w:right="64"/>
        <w:jc w:val="both"/>
        <w:rPr>
          <w:rFonts w:ascii="Arial" w:hAnsi="Arial"/>
          <w:color w:val="auto"/>
          <w:sz w:val="20"/>
        </w:rPr>
      </w:pPr>
      <w:r w:rsidRPr="00E70587">
        <w:rPr>
          <w:rFonts w:ascii="Arial" w:hAnsi="Arial"/>
          <w:color w:val="auto"/>
          <w:sz w:val="20"/>
        </w:rPr>
        <w:t>Government grants have been received for the purchase of certain items of property, plant and equipment. There are no unfulfilled conditions or contingencies attached to these grants.</w:t>
      </w:r>
    </w:p>
    <w:p w14:paraId="2DBC7BF1" w14:textId="77777777" w:rsidR="00A137F8" w:rsidRPr="00E70587" w:rsidRDefault="00A137F8" w:rsidP="00A137F8">
      <w:pPr>
        <w:pStyle w:val="Notesbodytext"/>
        <w:spacing w:after="0" w:line="280" w:lineRule="exact"/>
        <w:ind w:right="64"/>
        <w:jc w:val="both"/>
        <w:rPr>
          <w:rFonts w:ascii="Arial" w:hAnsi="Arial"/>
          <w:color w:val="auto"/>
          <w:sz w:val="20"/>
        </w:rPr>
      </w:pPr>
    </w:p>
    <w:p w14:paraId="32EB9503" w14:textId="07A2B00B" w:rsidR="00A137F8" w:rsidRPr="00E70587" w:rsidRDefault="00A137F8" w:rsidP="00A137F8">
      <w:pPr>
        <w:pStyle w:val="Notesbodytext"/>
        <w:spacing w:after="0" w:line="280" w:lineRule="exact"/>
        <w:ind w:right="64"/>
        <w:jc w:val="both"/>
        <w:rPr>
          <w:rFonts w:ascii="Arial" w:hAnsi="Arial"/>
          <w:color w:val="auto"/>
          <w:spacing w:val="-2"/>
          <w:sz w:val="20"/>
        </w:rPr>
      </w:pPr>
      <w:r w:rsidRPr="00E70587">
        <w:rPr>
          <w:rFonts w:ascii="Arial" w:hAnsi="Arial"/>
          <w:color w:val="auto"/>
          <w:spacing w:val="-2"/>
          <w:sz w:val="20"/>
        </w:rPr>
        <w:t xml:space="preserve">Net gain on financial instruments at fair value through profit </w:t>
      </w:r>
      <w:r w:rsidR="00CC0BDD">
        <w:rPr>
          <w:rFonts w:ascii="Arial" w:hAnsi="Arial"/>
          <w:color w:val="auto"/>
          <w:spacing w:val="-2"/>
          <w:sz w:val="20"/>
        </w:rPr>
        <w:t>or</w:t>
      </w:r>
      <w:r w:rsidRPr="00E70587">
        <w:rPr>
          <w:rFonts w:ascii="Arial" w:hAnsi="Arial"/>
          <w:color w:val="auto"/>
          <w:spacing w:val="-2"/>
          <w:sz w:val="20"/>
        </w:rPr>
        <w:t xml:space="preserve"> loss relate to foreign exchange forward contracts that did not qualify for hedge accounting and embedded derivatives, which have been separated.</w:t>
      </w:r>
    </w:p>
    <w:p w14:paraId="12C05102" w14:textId="77777777" w:rsidR="00A137F8" w:rsidRPr="00E70587" w:rsidRDefault="00A137F8" w:rsidP="00A137F8">
      <w:pPr>
        <w:pStyle w:val="Notesbodytext"/>
        <w:spacing w:after="0" w:line="280" w:lineRule="exact"/>
        <w:ind w:right="64"/>
        <w:jc w:val="both"/>
        <w:rPr>
          <w:rFonts w:ascii="Arial" w:hAnsi="Arial"/>
          <w:color w:val="auto"/>
          <w:spacing w:val="-2"/>
          <w:sz w:val="20"/>
        </w:rPr>
      </w:pPr>
    </w:p>
    <w:p w14:paraId="76F0870D" w14:textId="77777777" w:rsidR="00A137F8" w:rsidRDefault="00A137F8" w:rsidP="00A137F8">
      <w:pPr>
        <w:pStyle w:val="Notesbodytext"/>
        <w:spacing w:after="0" w:line="280" w:lineRule="exact"/>
        <w:ind w:right="64"/>
        <w:jc w:val="both"/>
        <w:rPr>
          <w:rFonts w:ascii="Arial" w:hAnsi="Arial"/>
          <w:color w:val="auto"/>
          <w:sz w:val="20"/>
        </w:rPr>
      </w:pPr>
      <w:r w:rsidRPr="00E70587">
        <w:rPr>
          <w:rFonts w:ascii="Arial" w:hAnsi="Arial"/>
          <w:color w:val="auto"/>
          <w:sz w:val="20"/>
        </w:rPr>
        <w:t>No ineffectiveness has been recognised on foreign exchange and interest rate hedges.</w:t>
      </w:r>
    </w:p>
    <w:p w14:paraId="616378E9" w14:textId="262E8C51" w:rsidR="00A137F8" w:rsidRDefault="000E557B" w:rsidP="000E557B">
      <w:pPr>
        <w:tabs>
          <w:tab w:val="left" w:pos="1440"/>
        </w:tabs>
        <w:spacing w:line="280" w:lineRule="exact"/>
        <w:rPr>
          <w:rFonts w:ascii="Arial" w:hAnsi="Arial" w:cs="Arial"/>
          <w:sz w:val="20"/>
        </w:rPr>
      </w:pPr>
      <w:r>
        <w:rPr>
          <w:rFonts w:ascii="Arial" w:hAnsi="Arial" w:cs="Arial"/>
          <w:sz w:val="20"/>
        </w:rPr>
        <w:tab/>
      </w:r>
    </w:p>
    <w:p w14:paraId="05CC1E7A" w14:textId="77777777" w:rsidR="00A137F8" w:rsidRPr="00E70587" w:rsidRDefault="00A137F8" w:rsidP="009901E1">
      <w:pPr>
        <w:spacing w:line="280" w:lineRule="exact"/>
        <w:rPr>
          <w:rFonts w:ascii="Arial" w:hAnsi="Arial" w:cs="Arial"/>
          <w:sz w:val="20"/>
        </w:rPr>
      </w:pPr>
    </w:p>
    <w:p w14:paraId="46B78127" w14:textId="77777777" w:rsidR="006672D2" w:rsidRPr="00E70587" w:rsidRDefault="006672D2" w:rsidP="009901E1">
      <w:pPr>
        <w:spacing w:line="280" w:lineRule="exact"/>
        <w:rPr>
          <w:rFonts w:ascii="Arial" w:hAnsi="Arial" w:cs="Arial"/>
          <w:sz w:val="20"/>
        </w:rPr>
      </w:pPr>
    </w:p>
    <w:p w14:paraId="08E2A14B" w14:textId="77777777" w:rsidR="005E318F" w:rsidRPr="00E70587" w:rsidRDefault="003276AD"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 xml:space="preserve">Finance </w:t>
      </w:r>
      <w:r w:rsidR="005E318F" w:rsidRPr="00E70587">
        <w:rPr>
          <w:rFonts w:ascii="Arial" w:hAnsi="Arial" w:cs="Arial"/>
          <w:sz w:val="20"/>
          <w:szCs w:val="20"/>
        </w:rPr>
        <w:t>income</w:t>
      </w:r>
    </w:p>
    <w:p w14:paraId="795271D7" w14:textId="77777777" w:rsidR="00EB5A57" w:rsidRPr="00E70587" w:rsidRDefault="00EB5A57" w:rsidP="00EB5A57">
      <w:pPr>
        <w:pStyle w:val="ViralheadingL2"/>
        <w:keepNext w:val="0"/>
        <w:spacing w:before="0" w:after="0" w:line="280" w:lineRule="exact"/>
        <w:outlineLvl w:val="9"/>
        <w:rPr>
          <w:rFonts w:ascii="Arial" w:hAnsi="Arial" w:cs="Arial"/>
          <w:sz w:val="20"/>
          <w:szCs w:val="20"/>
        </w:rPr>
      </w:pPr>
    </w:p>
    <w:tbl>
      <w:tblPr>
        <w:tblW w:w="9576" w:type="dxa"/>
        <w:tblLayout w:type="fixed"/>
        <w:tblLook w:val="01E0" w:firstRow="1" w:lastRow="1" w:firstColumn="1" w:lastColumn="1" w:noHBand="0" w:noVBand="0"/>
      </w:tblPr>
      <w:tblGrid>
        <w:gridCol w:w="6053"/>
        <w:gridCol w:w="1807"/>
        <w:gridCol w:w="1716"/>
      </w:tblGrid>
      <w:tr w:rsidR="00F375C7" w:rsidRPr="00E70587" w14:paraId="1D3CE0CB" w14:textId="77777777" w:rsidTr="009A5E2F">
        <w:trPr>
          <w:trHeight w:val="20"/>
        </w:trPr>
        <w:tc>
          <w:tcPr>
            <w:tcW w:w="6030" w:type="dxa"/>
            <w:shd w:val="clear" w:color="auto" w:fill="auto"/>
          </w:tcPr>
          <w:p w14:paraId="6AE63CC3" w14:textId="77777777" w:rsidR="00F375C7" w:rsidRPr="00E70587" w:rsidRDefault="00F375C7" w:rsidP="009A5E2F">
            <w:pPr>
              <w:pStyle w:val="000Normal"/>
              <w:spacing w:before="0" w:after="0" w:line="280" w:lineRule="exact"/>
              <w:rPr>
                <w:rFonts w:ascii="Arial" w:hAnsi="Arial" w:cs="Arial"/>
                <w:sz w:val="20"/>
              </w:rPr>
            </w:pPr>
          </w:p>
        </w:tc>
        <w:tc>
          <w:tcPr>
            <w:tcW w:w="1800" w:type="dxa"/>
            <w:tcBorders>
              <w:bottom w:val="single" w:sz="4" w:space="0" w:color="auto"/>
            </w:tcBorders>
            <w:shd w:val="clear" w:color="auto" w:fill="auto"/>
          </w:tcPr>
          <w:p w14:paraId="1DB60831" w14:textId="057D490C"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04147E" w:rsidRPr="00E70587">
              <w:rPr>
                <w:rFonts w:ascii="Arial" w:hAnsi="Arial"/>
                <w:color w:val="auto"/>
                <w:sz w:val="20"/>
                <w:szCs w:val="20"/>
                <w:lang w:val="en-IN"/>
              </w:rPr>
              <w:t>20</w:t>
            </w:r>
            <w:r w:rsidR="0004147E">
              <w:rPr>
                <w:rFonts w:ascii="Arial" w:hAnsi="Arial"/>
                <w:color w:val="auto"/>
                <w:sz w:val="20"/>
                <w:szCs w:val="20"/>
                <w:lang w:val="en-IN"/>
              </w:rPr>
              <w:t>21</w:t>
            </w:r>
          </w:p>
        </w:tc>
        <w:tc>
          <w:tcPr>
            <w:tcW w:w="1710" w:type="dxa"/>
            <w:tcBorders>
              <w:bottom w:val="single" w:sz="4" w:space="0" w:color="auto"/>
            </w:tcBorders>
            <w:shd w:val="clear" w:color="auto" w:fill="auto"/>
          </w:tcPr>
          <w:p w14:paraId="6B65034F" w14:textId="32681027" w:rsidR="00F375C7" w:rsidRPr="00E70587" w:rsidRDefault="00F375C7" w:rsidP="009A5E2F">
            <w:pPr>
              <w:pStyle w:val="Tablecolumnheading"/>
              <w:spacing w:line="280" w:lineRule="exact"/>
              <w:ind w:right="-90"/>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04147E" w:rsidRPr="00E70587">
              <w:rPr>
                <w:rFonts w:ascii="Arial" w:hAnsi="Arial"/>
                <w:color w:val="auto"/>
                <w:sz w:val="20"/>
                <w:szCs w:val="20"/>
                <w:lang w:val="en-IN"/>
              </w:rPr>
              <w:t>20</w:t>
            </w:r>
            <w:r w:rsidR="0004147E">
              <w:rPr>
                <w:rFonts w:ascii="Arial" w:hAnsi="Arial"/>
                <w:color w:val="auto"/>
                <w:sz w:val="20"/>
                <w:szCs w:val="20"/>
                <w:lang w:val="en-IN"/>
              </w:rPr>
              <w:t>20</w:t>
            </w:r>
          </w:p>
        </w:tc>
      </w:tr>
      <w:tr w:rsidR="00F375C7" w:rsidRPr="00E70587" w14:paraId="53373FB6" w14:textId="77777777" w:rsidTr="009A5E2F">
        <w:trPr>
          <w:trHeight w:val="20"/>
        </w:trPr>
        <w:tc>
          <w:tcPr>
            <w:tcW w:w="6030" w:type="dxa"/>
          </w:tcPr>
          <w:p w14:paraId="43887F39" w14:textId="77777777" w:rsidR="00F375C7" w:rsidRPr="00E70587" w:rsidRDefault="00F375C7" w:rsidP="009A5E2F">
            <w:pPr>
              <w:pStyle w:val="000Normal"/>
              <w:spacing w:before="0" w:after="0" w:line="280" w:lineRule="exact"/>
              <w:jc w:val="right"/>
              <w:rPr>
                <w:rFonts w:ascii="Arial" w:hAnsi="Arial" w:cs="Arial"/>
                <w:b/>
                <w:sz w:val="20"/>
              </w:rPr>
            </w:pPr>
          </w:p>
        </w:tc>
        <w:tc>
          <w:tcPr>
            <w:tcW w:w="1800" w:type="dxa"/>
            <w:tcBorders>
              <w:top w:val="single" w:sz="4" w:space="0" w:color="auto"/>
            </w:tcBorders>
          </w:tcPr>
          <w:p w14:paraId="66857F60" w14:textId="77777777" w:rsidR="00F375C7" w:rsidRPr="00E70587" w:rsidRDefault="00F375C7" w:rsidP="0004147E">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c>
          <w:tcPr>
            <w:tcW w:w="1710" w:type="dxa"/>
            <w:tcBorders>
              <w:top w:val="single" w:sz="4" w:space="0" w:color="auto"/>
            </w:tcBorders>
          </w:tcPr>
          <w:p w14:paraId="2A7485A1" w14:textId="77777777" w:rsidR="00F375C7" w:rsidRPr="00E70587" w:rsidRDefault="00F375C7" w:rsidP="009A5E2F">
            <w:pPr>
              <w:pStyle w:val="Tablecolumnheading"/>
              <w:spacing w:line="280" w:lineRule="exact"/>
              <w:ind w:right="149"/>
              <w:rPr>
                <w:rFonts w:ascii="Arial" w:hAnsi="Arial"/>
                <w:color w:val="auto"/>
                <w:sz w:val="20"/>
                <w:szCs w:val="20"/>
                <w:lang w:val="en-IN"/>
              </w:rPr>
            </w:pPr>
            <w:r w:rsidRPr="00E70587">
              <w:rPr>
                <w:rFonts w:ascii="Arial" w:hAnsi="Arial"/>
                <w:color w:val="auto"/>
                <w:sz w:val="20"/>
                <w:szCs w:val="20"/>
                <w:lang w:val="en-IN"/>
              </w:rPr>
              <w:t>INR Lacs</w:t>
            </w:r>
          </w:p>
        </w:tc>
      </w:tr>
      <w:tr w:rsidR="00F375C7" w:rsidRPr="00E70587" w14:paraId="40E53415" w14:textId="77777777" w:rsidTr="009A5E2F">
        <w:trPr>
          <w:trHeight w:val="20"/>
        </w:trPr>
        <w:tc>
          <w:tcPr>
            <w:tcW w:w="6030" w:type="dxa"/>
            <w:tcMar>
              <w:top w:w="28" w:type="dxa"/>
            </w:tcMar>
            <w:vAlign w:val="bottom"/>
          </w:tcPr>
          <w:p w14:paraId="09941B3D"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sz w:val="20"/>
                <w:lang w:val="en-IN"/>
              </w:rPr>
              <w:t xml:space="preserve">Interest income on a loan to an associate </w:t>
            </w:r>
          </w:p>
        </w:tc>
        <w:tc>
          <w:tcPr>
            <w:tcW w:w="1800" w:type="dxa"/>
            <w:tcMar>
              <w:top w:w="28" w:type="dxa"/>
            </w:tcMar>
            <w:vAlign w:val="center"/>
          </w:tcPr>
          <w:p w14:paraId="11E598C7" w14:textId="77777777" w:rsidR="00F375C7" w:rsidRPr="00E70587" w:rsidRDefault="00F375C7" w:rsidP="009A5E2F">
            <w:pPr>
              <w:spacing w:line="280" w:lineRule="exact"/>
              <w:jc w:val="right"/>
              <w:rPr>
                <w:rFonts w:ascii="Arial" w:hAnsi="Arial" w:cs="Arial"/>
                <w:sz w:val="20"/>
              </w:rPr>
            </w:pPr>
            <w:r w:rsidRPr="00E70587">
              <w:rPr>
                <w:rFonts w:ascii="Arial" w:hAnsi="Arial" w:cs="Arial"/>
                <w:sz w:val="20"/>
              </w:rPr>
              <w:t xml:space="preserve">36 </w:t>
            </w:r>
          </w:p>
        </w:tc>
        <w:tc>
          <w:tcPr>
            <w:tcW w:w="1710" w:type="dxa"/>
            <w:tcMar>
              <w:top w:w="28" w:type="dxa"/>
            </w:tcMar>
            <w:vAlign w:val="center"/>
          </w:tcPr>
          <w:p w14:paraId="3022C4D0" w14:textId="77777777" w:rsidR="00F375C7" w:rsidRPr="00E70587" w:rsidRDefault="00F375C7" w:rsidP="009A5E2F">
            <w:pPr>
              <w:spacing w:line="280" w:lineRule="exact"/>
              <w:ind w:right="149"/>
              <w:jc w:val="right"/>
              <w:rPr>
                <w:rFonts w:ascii="Arial" w:hAnsi="Arial" w:cs="Arial"/>
                <w:sz w:val="20"/>
              </w:rPr>
            </w:pPr>
            <w:r w:rsidRPr="00E70587">
              <w:rPr>
                <w:rFonts w:ascii="Arial" w:hAnsi="Arial" w:cs="Arial"/>
                <w:sz w:val="20"/>
              </w:rPr>
              <w:t>-</w:t>
            </w:r>
          </w:p>
        </w:tc>
      </w:tr>
      <w:tr w:rsidR="00F375C7" w:rsidRPr="00E70587" w14:paraId="0754E198" w14:textId="77777777" w:rsidTr="009A5E2F">
        <w:trPr>
          <w:trHeight w:val="20"/>
        </w:trPr>
        <w:tc>
          <w:tcPr>
            <w:tcW w:w="6030" w:type="dxa"/>
            <w:tcMar>
              <w:top w:w="28" w:type="dxa"/>
            </w:tcMar>
            <w:vAlign w:val="bottom"/>
          </w:tcPr>
          <w:p w14:paraId="340BDF46"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sz w:val="20"/>
                <w:lang w:val="en-IN"/>
              </w:rPr>
              <w:t>Interest income from FVTOCI debt investments</w:t>
            </w:r>
          </w:p>
        </w:tc>
        <w:tc>
          <w:tcPr>
            <w:tcW w:w="1800" w:type="dxa"/>
            <w:tcMar>
              <w:top w:w="28" w:type="dxa"/>
            </w:tcMar>
            <w:vAlign w:val="center"/>
          </w:tcPr>
          <w:p w14:paraId="46814B82" w14:textId="77777777" w:rsidR="00F375C7" w:rsidRPr="00E70587" w:rsidRDefault="00F375C7" w:rsidP="009A5E2F">
            <w:pPr>
              <w:spacing w:line="280" w:lineRule="exact"/>
              <w:jc w:val="right"/>
              <w:rPr>
                <w:rFonts w:ascii="Arial" w:hAnsi="Arial" w:cs="Arial"/>
                <w:sz w:val="20"/>
              </w:rPr>
            </w:pPr>
            <w:r w:rsidRPr="00E70587">
              <w:rPr>
                <w:rFonts w:ascii="Arial" w:hAnsi="Arial" w:cs="Arial"/>
                <w:sz w:val="20"/>
              </w:rPr>
              <w:t xml:space="preserve">569 </w:t>
            </w:r>
          </w:p>
        </w:tc>
        <w:tc>
          <w:tcPr>
            <w:tcW w:w="1710" w:type="dxa"/>
            <w:tcMar>
              <w:top w:w="28" w:type="dxa"/>
            </w:tcMar>
            <w:vAlign w:val="center"/>
          </w:tcPr>
          <w:p w14:paraId="693A9437" w14:textId="77777777" w:rsidR="00F375C7" w:rsidRPr="00E70587" w:rsidRDefault="00F375C7" w:rsidP="009A5E2F">
            <w:pPr>
              <w:spacing w:line="280" w:lineRule="exact"/>
              <w:ind w:right="149"/>
              <w:jc w:val="right"/>
              <w:rPr>
                <w:rFonts w:ascii="Arial" w:hAnsi="Arial" w:cs="Arial"/>
                <w:sz w:val="20"/>
              </w:rPr>
            </w:pPr>
            <w:r w:rsidRPr="00E70587">
              <w:rPr>
                <w:rFonts w:ascii="Arial" w:hAnsi="Arial" w:cs="Arial"/>
                <w:sz w:val="20"/>
              </w:rPr>
              <w:t xml:space="preserve">380 </w:t>
            </w:r>
          </w:p>
        </w:tc>
      </w:tr>
      <w:tr w:rsidR="00F375C7" w:rsidRPr="00E70587" w14:paraId="52AE0A8E" w14:textId="77777777" w:rsidTr="009A5E2F">
        <w:trPr>
          <w:trHeight w:val="20"/>
        </w:trPr>
        <w:tc>
          <w:tcPr>
            <w:tcW w:w="6030" w:type="dxa"/>
            <w:tcMar>
              <w:top w:w="28" w:type="dxa"/>
            </w:tcMar>
            <w:vAlign w:val="bottom"/>
          </w:tcPr>
          <w:p w14:paraId="5E5F2F00"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800" w:type="dxa"/>
            <w:tcBorders>
              <w:top w:val="single" w:sz="4" w:space="0" w:color="auto"/>
              <w:bottom w:val="double" w:sz="4" w:space="0" w:color="auto"/>
            </w:tcBorders>
            <w:tcMar>
              <w:top w:w="28" w:type="dxa"/>
            </w:tcMar>
            <w:vAlign w:val="center"/>
          </w:tcPr>
          <w:p w14:paraId="049B0857" w14:textId="77777777" w:rsidR="00F375C7" w:rsidRPr="00E70587" w:rsidRDefault="00F375C7" w:rsidP="009A5E2F">
            <w:pPr>
              <w:spacing w:line="280" w:lineRule="exact"/>
              <w:ind w:firstLineChars="200" w:firstLine="402"/>
              <w:jc w:val="right"/>
              <w:rPr>
                <w:rFonts w:ascii="Arial" w:hAnsi="Arial" w:cs="Arial"/>
                <w:b/>
                <w:bCs/>
                <w:sz w:val="20"/>
              </w:rPr>
            </w:pPr>
            <w:r w:rsidRPr="00E70587">
              <w:rPr>
                <w:rFonts w:ascii="Arial" w:hAnsi="Arial" w:cs="Arial"/>
                <w:b/>
                <w:bCs/>
                <w:sz w:val="20"/>
              </w:rPr>
              <w:t>605</w:t>
            </w:r>
          </w:p>
        </w:tc>
        <w:tc>
          <w:tcPr>
            <w:tcW w:w="1710" w:type="dxa"/>
            <w:tcBorders>
              <w:top w:val="single" w:sz="4" w:space="0" w:color="auto"/>
              <w:bottom w:val="double" w:sz="4" w:space="0" w:color="auto"/>
            </w:tcBorders>
            <w:tcMar>
              <w:top w:w="28" w:type="dxa"/>
            </w:tcMar>
            <w:vAlign w:val="center"/>
          </w:tcPr>
          <w:p w14:paraId="4A9BB650" w14:textId="77777777" w:rsidR="00F375C7" w:rsidRPr="00E70587" w:rsidRDefault="00F375C7" w:rsidP="009A5E2F">
            <w:pPr>
              <w:spacing w:line="280" w:lineRule="exact"/>
              <w:ind w:right="162"/>
              <w:jc w:val="right"/>
              <w:rPr>
                <w:rFonts w:ascii="Arial" w:hAnsi="Arial" w:cs="Arial"/>
                <w:b/>
                <w:bCs/>
                <w:sz w:val="20"/>
              </w:rPr>
            </w:pPr>
            <w:r w:rsidRPr="00E70587">
              <w:rPr>
                <w:rFonts w:ascii="Arial" w:hAnsi="Arial" w:cs="Arial"/>
                <w:b/>
                <w:bCs/>
                <w:sz w:val="20"/>
              </w:rPr>
              <w:t>380</w:t>
            </w:r>
          </w:p>
        </w:tc>
      </w:tr>
    </w:tbl>
    <w:p w14:paraId="79D7CE36" w14:textId="77777777" w:rsidR="005E318F" w:rsidRPr="00E70587" w:rsidRDefault="005E318F" w:rsidP="009901E1">
      <w:pPr>
        <w:spacing w:line="280" w:lineRule="exact"/>
        <w:rPr>
          <w:rFonts w:ascii="Arial" w:hAnsi="Arial" w:cs="Arial"/>
          <w:sz w:val="20"/>
        </w:rPr>
      </w:pPr>
    </w:p>
    <w:p w14:paraId="670EEBA5" w14:textId="77777777" w:rsidR="00B247D1" w:rsidRPr="00E70587" w:rsidRDefault="00B247D1"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Cost of raw material and components consumed</w:t>
      </w:r>
    </w:p>
    <w:p w14:paraId="427306DD" w14:textId="77777777" w:rsidR="003F77B0" w:rsidRPr="00E70587" w:rsidRDefault="003F77B0" w:rsidP="003F77B0">
      <w:pPr>
        <w:pStyle w:val="ViralheadingL2"/>
        <w:keepNext w:val="0"/>
        <w:spacing w:before="0" w:after="0" w:line="280" w:lineRule="exact"/>
        <w:outlineLvl w:val="9"/>
        <w:rPr>
          <w:rFonts w:ascii="Arial" w:hAnsi="Arial" w:cs="Arial"/>
          <w:b w:val="0"/>
          <w:sz w:val="20"/>
          <w:szCs w:val="20"/>
        </w:rPr>
      </w:pPr>
    </w:p>
    <w:p w14:paraId="51DB11AB" w14:textId="77777777" w:rsidR="00A50498" w:rsidRPr="00E70587" w:rsidRDefault="00A50498" w:rsidP="00E466DD">
      <w:pPr>
        <w:pStyle w:val="Notesbodytext"/>
        <w:numPr>
          <w:ilvl w:val="0"/>
          <w:numId w:val="23"/>
        </w:numPr>
        <w:spacing w:after="0" w:line="280" w:lineRule="exact"/>
        <w:ind w:left="720" w:hanging="720"/>
        <w:rPr>
          <w:rFonts w:ascii="Arial" w:hAnsi="Arial"/>
          <w:b/>
          <w:color w:val="auto"/>
          <w:sz w:val="20"/>
        </w:rPr>
      </w:pPr>
      <w:r w:rsidRPr="00E70587">
        <w:rPr>
          <w:rFonts w:ascii="Arial" w:hAnsi="Arial"/>
          <w:b/>
          <w:color w:val="auto"/>
          <w:sz w:val="20"/>
        </w:rPr>
        <w:t>Raw material and traded goods</w:t>
      </w:r>
    </w:p>
    <w:p w14:paraId="5C41AE9A" w14:textId="77777777" w:rsidR="00EB5A57" w:rsidRPr="00E70587" w:rsidRDefault="00EB5A57" w:rsidP="00EB5A57">
      <w:pPr>
        <w:pStyle w:val="Notesbodytext"/>
        <w:spacing w:after="0" w:line="280" w:lineRule="exact"/>
        <w:rPr>
          <w:rFonts w:ascii="Arial" w:hAnsi="Arial"/>
          <w:b/>
          <w:color w:val="auto"/>
          <w:sz w:val="20"/>
        </w:rPr>
      </w:pPr>
    </w:p>
    <w:tbl>
      <w:tblPr>
        <w:tblW w:w="9576" w:type="dxa"/>
        <w:tblLayout w:type="fixed"/>
        <w:tblLook w:val="01E0" w:firstRow="1" w:lastRow="1" w:firstColumn="1" w:lastColumn="1" w:noHBand="0" w:noVBand="0"/>
      </w:tblPr>
      <w:tblGrid>
        <w:gridCol w:w="6053"/>
        <w:gridCol w:w="1807"/>
        <w:gridCol w:w="1716"/>
      </w:tblGrid>
      <w:tr w:rsidR="00F375C7" w:rsidRPr="00E70587" w14:paraId="69F0672B" w14:textId="77777777" w:rsidTr="00EB721F">
        <w:tc>
          <w:tcPr>
            <w:tcW w:w="6053" w:type="dxa"/>
            <w:shd w:val="clear" w:color="auto" w:fill="auto"/>
          </w:tcPr>
          <w:p w14:paraId="5ED42FD9" w14:textId="77777777" w:rsidR="00F375C7" w:rsidRPr="00E70587" w:rsidRDefault="00F375C7" w:rsidP="009A5E2F">
            <w:pPr>
              <w:pStyle w:val="000Normal"/>
              <w:spacing w:before="0" w:after="0" w:line="280" w:lineRule="exact"/>
              <w:rPr>
                <w:rFonts w:ascii="Arial" w:hAnsi="Arial" w:cs="Arial"/>
                <w:sz w:val="20"/>
              </w:rPr>
            </w:pPr>
          </w:p>
        </w:tc>
        <w:tc>
          <w:tcPr>
            <w:tcW w:w="1807" w:type="dxa"/>
            <w:tcBorders>
              <w:bottom w:val="single" w:sz="4" w:space="0" w:color="auto"/>
            </w:tcBorders>
            <w:shd w:val="clear" w:color="auto" w:fill="auto"/>
          </w:tcPr>
          <w:p w14:paraId="0D3C72E0" w14:textId="5D4063E2"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04147E" w:rsidRPr="00E70587">
              <w:rPr>
                <w:rFonts w:ascii="Arial" w:hAnsi="Arial"/>
                <w:color w:val="auto"/>
                <w:sz w:val="20"/>
                <w:szCs w:val="20"/>
                <w:lang w:val="en-IN"/>
              </w:rPr>
              <w:t>20</w:t>
            </w:r>
            <w:r w:rsidR="0004147E">
              <w:rPr>
                <w:rFonts w:ascii="Arial" w:hAnsi="Arial"/>
                <w:color w:val="auto"/>
                <w:sz w:val="20"/>
                <w:szCs w:val="20"/>
                <w:lang w:val="en-IN"/>
              </w:rPr>
              <w:t>21</w:t>
            </w:r>
          </w:p>
        </w:tc>
        <w:tc>
          <w:tcPr>
            <w:tcW w:w="1716" w:type="dxa"/>
            <w:tcBorders>
              <w:bottom w:val="single" w:sz="4" w:space="0" w:color="auto"/>
            </w:tcBorders>
            <w:shd w:val="clear" w:color="auto" w:fill="auto"/>
          </w:tcPr>
          <w:p w14:paraId="630FA316" w14:textId="0A44CC64"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04147E" w:rsidRPr="00E70587">
              <w:rPr>
                <w:rFonts w:ascii="Arial" w:hAnsi="Arial"/>
                <w:color w:val="auto"/>
                <w:sz w:val="20"/>
                <w:szCs w:val="20"/>
                <w:lang w:val="en-IN"/>
              </w:rPr>
              <w:t>20</w:t>
            </w:r>
            <w:r w:rsidR="0004147E">
              <w:rPr>
                <w:rFonts w:ascii="Arial" w:hAnsi="Arial"/>
                <w:color w:val="auto"/>
                <w:sz w:val="20"/>
                <w:szCs w:val="20"/>
                <w:lang w:val="en-IN"/>
              </w:rPr>
              <w:t>20</w:t>
            </w:r>
          </w:p>
        </w:tc>
      </w:tr>
      <w:tr w:rsidR="00F375C7" w:rsidRPr="00E70587" w14:paraId="62BDE483" w14:textId="77777777" w:rsidTr="00EB721F">
        <w:tc>
          <w:tcPr>
            <w:tcW w:w="6053" w:type="dxa"/>
          </w:tcPr>
          <w:p w14:paraId="46B2D734" w14:textId="77777777" w:rsidR="00F375C7" w:rsidRPr="00E70587" w:rsidRDefault="00F375C7" w:rsidP="009A5E2F">
            <w:pPr>
              <w:pStyle w:val="000Normal"/>
              <w:spacing w:before="0" w:after="0" w:line="280" w:lineRule="exact"/>
              <w:jc w:val="right"/>
              <w:rPr>
                <w:rFonts w:ascii="Arial" w:hAnsi="Arial" w:cs="Arial"/>
                <w:b/>
                <w:sz w:val="20"/>
              </w:rPr>
            </w:pPr>
          </w:p>
        </w:tc>
        <w:tc>
          <w:tcPr>
            <w:tcW w:w="1807" w:type="dxa"/>
            <w:tcBorders>
              <w:top w:val="single" w:sz="4" w:space="0" w:color="auto"/>
            </w:tcBorders>
          </w:tcPr>
          <w:p w14:paraId="55F6C606" w14:textId="77777777" w:rsidR="00F375C7" w:rsidRPr="00E70587" w:rsidRDefault="00F375C7" w:rsidP="0004147E">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c>
          <w:tcPr>
            <w:tcW w:w="1716" w:type="dxa"/>
            <w:tcBorders>
              <w:top w:val="single" w:sz="4" w:space="0" w:color="auto"/>
            </w:tcBorders>
          </w:tcPr>
          <w:p w14:paraId="7717AFBD" w14:textId="77777777" w:rsidR="00F375C7" w:rsidRPr="00E70587" w:rsidRDefault="00F375C7" w:rsidP="0004147E">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r>
      <w:tr w:rsidR="0099652B" w:rsidRPr="00E70587" w14:paraId="12F60EB0" w14:textId="77777777" w:rsidTr="00435A50">
        <w:tc>
          <w:tcPr>
            <w:tcW w:w="6053" w:type="dxa"/>
            <w:tcMar>
              <w:top w:w="28" w:type="dxa"/>
            </w:tcMar>
          </w:tcPr>
          <w:p w14:paraId="29F4635D" w14:textId="77777777" w:rsidR="0099652B" w:rsidRPr="00E70587" w:rsidRDefault="0099652B" w:rsidP="0099652B">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Inventory at the beginning of the year</w:t>
            </w:r>
          </w:p>
        </w:tc>
        <w:tc>
          <w:tcPr>
            <w:tcW w:w="1807" w:type="dxa"/>
            <w:tcMar>
              <w:top w:w="28" w:type="dxa"/>
              <w:right w:w="0" w:type="dxa"/>
            </w:tcMar>
          </w:tcPr>
          <w:p w14:paraId="1F949E3C" w14:textId="0C61D267" w:rsidR="0099652B" w:rsidRPr="00E70587" w:rsidRDefault="0099652B" w:rsidP="0099652B">
            <w:pPr>
              <w:spacing w:line="280" w:lineRule="exact"/>
              <w:ind w:right="82"/>
              <w:jc w:val="right"/>
              <w:rPr>
                <w:rFonts w:ascii="Arial" w:hAnsi="Arial" w:cs="Arial"/>
                <w:sz w:val="20"/>
              </w:rPr>
            </w:pPr>
            <w:r w:rsidRPr="00E70587">
              <w:rPr>
                <w:rFonts w:ascii="Arial" w:hAnsi="Arial" w:cs="Arial"/>
                <w:sz w:val="20"/>
              </w:rPr>
              <w:t xml:space="preserve"> 12,</w:t>
            </w:r>
            <w:r w:rsidR="0034493F">
              <w:rPr>
                <w:rFonts w:ascii="Arial" w:hAnsi="Arial" w:cs="Arial"/>
                <w:sz w:val="20"/>
              </w:rPr>
              <w:t>845</w:t>
            </w:r>
            <w:r w:rsidR="0034493F" w:rsidRPr="00E70587">
              <w:rPr>
                <w:rFonts w:ascii="Arial" w:hAnsi="Arial" w:cs="Arial"/>
                <w:sz w:val="20"/>
              </w:rPr>
              <w:t xml:space="preserve"> </w:t>
            </w:r>
          </w:p>
        </w:tc>
        <w:tc>
          <w:tcPr>
            <w:tcW w:w="1716" w:type="dxa"/>
            <w:tcMar>
              <w:top w:w="28" w:type="dxa"/>
              <w:right w:w="28" w:type="dxa"/>
            </w:tcMar>
          </w:tcPr>
          <w:p w14:paraId="23872729" w14:textId="77777777" w:rsidR="0099652B" w:rsidRPr="00E70587" w:rsidRDefault="0099652B" w:rsidP="0099652B">
            <w:pPr>
              <w:spacing w:line="280" w:lineRule="exact"/>
              <w:ind w:right="82"/>
              <w:jc w:val="right"/>
              <w:rPr>
                <w:rFonts w:ascii="Arial" w:hAnsi="Arial" w:cs="Arial"/>
                <w:sz w:val="20"/>
              </w:rPr>
            </w:pPr>
            <w:r w:rsidRPr="00E70587">
              <w:rPr>
                <w:rFonts w:ascii="Arial" w:hAnsi="Arial" w:cs="Arial"/>
                <w:sz w:val="20"/>
              </w:rPr>
              <w:t xml:space="preserve"> 14,384 </w:t>
            </w:r>
          </w:p>
        </w:tc>
      </w:tr>
      <w:tr w:rsidR="0099652B" w:rsidRPr="00E70587" w14:paraId="02C750FB" w14:textId="77777777" w:rsidTr="00435A50">
        <w:tc>
          <w:tcPr>
            <w:tcW w:w="6053" w:type="dxa"/>
          </w:tcPr>
          <w:p w14:paraId="049E31A9" w14:textId="77777777" w:rsidR="0099652B" w:rsidRPr="00E70587" w:rsidRDefault="0099652B" w:rsidP="0099652B">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Add: Purchases</w:t>
            </w:r>
          </w:p>
        </w:tc>
        <w:tc>
          <w:tcPr>
            <w:tcW w:w="1807" w:type="dxa"/>
            <w:tcBorders>
              <w:bottom w:val="single" w:sz="4" w:space="0" w:color="auto"/>
            </w:tcBorders>
            <w:tcMar>
              <w:top w:w="28" w:type="dxa"/>
              <w:right w:w="0" w:type="dxa"/>
            </w:tcMar>
          </w:tcPr>
          <w:p w14:paraId="43E3CAF4" w14:textId="77777777" w:rsidR="0099652B" w:rsidRPr="00E70587" w:rsidRDefault="0099652B" w:rsidP="0099652B">
            <w:pPr>
              <w:overflowPunct/>
              <w:spacing w:line="280" w:lineRule="exact"/>
              <w:ind w:right="82"/>
              <w:jc w:val="right"/>
              <w:textAlignment w:val="auto"/>
              <w:rPr>
                <w:rFonts w:ascii="Arial" w:hAnsi="Arial" w:cs="Arial"/>
                <w:sz w:val="20"/>
                <w:lang w:eastAsia="en-GB"/>
              </w:rPr>
            </w:pPr>
            <w:r w:rsidRPr="00E70587">
              <w:rPr>
                <w:rFonts w:ascii="Arial" w:hAnsi="Arial" w:cs="Arial"/>
                <w:sz w:val="20"/>
              </w:rPr>
              <w:t xml:space="preserve"> 1,47,778 </w:t>
            </w:r>
          </w:p>
        </w:tc>
        <w:tc>
          <w:tcPr>
            <w:tcW w:w="1716" w:type="dxa"/>
            <w:tcBorders>
              <w:bottom w:val="single" w:sz="4" w:space="0" w:color="auto"/>
            </w:tcBorders>
            <w:tcMar>
              <w:top w:w="28" w:type="dxa"/>
              <w:right w:w="0" w:type="dxa"/>
            </w:tcMar>
          </w:tcPr>
          <w:p w14:paraId="14EDD314" w14:textId="77777777" w:rsidR="0099652B" w:rsidRPr="00E70587" w:rsidRDefault="00FB71AE" w:rsidP="0099652B">
            <w:pPr>
              <w:spacing w:line="280" w:lineRule="exact"/>
              <w:ind w:right="82"/>
              <w:jc w:val="right"/>
              <w:rPr>
                <w:rFonts w:ascii="Arial" w:hAnsi="Arial" w:cs="Arial"/>
                <w:sz w:val="20"/>
              </w:rPr>
            </w:pPr>
            <w:r w:rsidRPr="00E70587">
              <w:rPr>
                <w:rFonts w:ascii="Arial" w:hAnsi="Arial" w:cs="Arial"/>
                <w:sz w:val="20"/>
              </w:rPr>
              <w:t>1,45,741</w:t>
            </w:r>
          </w:p>
        </w:tc>
      </w:tr>
      <w:tr w:rsidR="0099652B" w:rsidRPr="00E70587" w14:paraId="7CE00F16" w14:textId="77777777" w:rsidTr="00435A50">
        <w:tc>
          <w:tcPr>
            <w:tcW w:w="6053" w:type="dxa"/>
          </w:tcPr>
          <w:p w14:paraId="337A4ED4" w14:textId="77777777" w:rsidR="0099652B" w:rsidRPr="00E70587" w:rsidRDefault="0099652B" w:rsidP="0099652B">
            <w:pPr>
              <w:pStyle w:val="tabletext"/>
              <w:overflowPunct w:val="0"/>
              <w:autoSpaceDE w:val="0"/>
              <w:autoSpaceDN w:val="0"/>
              <w:adjustRightInd w:val="0"/>
              <w:spacing w:line="280" w:lineRule="exact"/>
              <w:textAlignment w:val="baseline"/>
              <w:rPr>
                <w:rFonts w:ascii="Arial" w:hAnsi="Arial" w:cs="Arial"/>
                <w:sz w:val="20"/>
                <w:lang w:val="en-IN"/>
              </w:rPr>
            </w:pPr>
          </w:p>
        </w:tc>
        <w:tc>
          <w:tcPr>
            <w:tcW w:w="1807" w:type="dxa"/>
            <w:tcBorders>
              <w:top w:val="single" w:sz="4" w:space="0" w:color="auto"/>
            </w:tcBorders>
            <w:tcMar>
              <w:top w:w="28" w:type="dxa"/>
              <w:right w:w="0" w:type="dxa"/>
            </w:tcMar>
          </w:tcPr>
          <w:p w14:paraId="762EE3D8" w14:textId="77777777" w:rsidR="0099652B" w:rsidRPr="00E70587" w:rsidRDefault="0099652B" w:rsidP="00077540">
            <w:pPr>
              <w:overflowPunct/>
              <w:spacing w:line="280" w:lineRule="exact"/>
              <w:ind w:right="82"/>
              <w:jc w:val="right"/>
              <w:textAlignment w:val="auto"/>
              <w:rPr>
                <w:rFonts w:ascii="Arial" w:hAnsi="Arial" w:cs="Arial"/>
                <w:b/>
                <w:bCs/>
                <w:sz w:val="20"/>
                <w:lang w:eastAsia="en-GB"/>
              </w:rPr>
            </w:pPr>
            <w:r w:rsidRPr="00E70587">
              <w:rPr>
                <w:rFonts w:ascii="Arial" w:hAnsi="Arial" w:cs="Arial"/>
                <w:b/>
                <w:sz w:val="20"/>
              </w:rPr>
              <w:t xml:space="preserve"> 1,60,</w:t>
            </w:r>
            <w:r w:rsidR="00077540" w:rsidRPr="00E70587">
              <w:rPr>
                <w:rFonts w:ascii="Arial" w:hAnsi="Arial" w:cs="Arial"/>
                <w:b/>
                <w:sz w:val="20"/>
              </w:rPr>
              <w:t xml:space="preserve">542 </w:t>
            </w:r>
          </w:p>
        </w:tc>
        <w:tc>
          <w:tcPr>
            <w:tcW w:w="1716" w:type="dxa"/>
            <w:tcBorders>
              <w:top w:val="single" w:sz="4" w:space="0" w:color="auto"/>
            </w:tcBorders>
            <w:tcMar>
              <w:top w:w="28" w:type="dxa"/>
              <w:right w:w="0" w:type="dxa"/>
            </w:tcMar>
          </w:tcPr>
          <w:p w14:paraId="7FE7DB96" w14:textId="77777777" w:rsidR="0099652B" w:rsidRPr="00E70587" w:rsidRDefault="0099652B" w:rsidP="00073466">
            <w:pPr>
              <w:spacing w:line="280" w:lineRule="exact"/>
              <w:ind w:right="82"/>
              <w:jc w:val="right"/>
              <w:rPr>
                <w:rFonts w:ascii="Arial" w:hAnsi="Arial" w:cs="Arial"/>
                <w:b/>
                <w:bCs/>
                <w:sz w:val="20"/>
              </w:rPr>
            </w:pPr>
            <w:r w:rsidRPr="00E70587">
              <w:rPr>
                <w:rFonts w:ascii="Arial" w:hAnsi="Arial" w:cs="Arial"/>
                <w:b/>
                <w:sz w:val="20"/>
              </w:rPr>
              <w:t xml:space="preserve"> 1,60,</w:t>
            </w:r>
            <w:r w:rsidR="00FB71AE" w:rsidRPr="00E70587">
              <w:rPr>
                <w:rFonts w:ascii="Arial" w:hAnsi="Arial" w:cs="Arial"/>
                <w:b/>
                <w:sz w:val="20"/>
              </w:rPr>
              <w:t>12</w:t>
            </w:r>
            <w:r w:rsidR="00073466" w:rsidRPr="00E70587">
              <w:rPr>
                <w:rFonts w:ascii="Arial" w:hAnsi="Arial" w:cs="Arial"/>
                <w:b/>
                <w:sz w:val="20"/>
              </w:rPr>
              <w:t>5</w:t>
            </w:r>
            <w:r w:rsidR="00FB71AE" w:rsidRPr="00E70587">
              <w:rPr>
                <w:rFonts w:ascii="Arial" w:hAnsi="Arial" w:cs="Arial"/>
                <w:b/>
                <w:sz w:val="20"/>
              </w:rPr>
              <w:t xml:space="preserve"> </w:t>
            </w:r>
          </w:p>
        </w:tc>
      </w:tr>
      <w:tr w:rsidR="0099652B" w:rsidRPr="00E70587" w14:paraId="453223AE" w14:textId="77777777" w:rsidTr="00435A50">
        <w:tc>
          <w:tcPr>
            <w:tcW w:w="6053" w:type="dxa"/>
          </w:tcPr>
          <w:p w14:paraId="3AAFBA1A" w14:textId="77777777" w:rsidR="0099652B" w:rsidRPr="00E70587" w:rsidRDefault="0099652B" w:rsidP="0099652B">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lastRenderedPageBreak/>
              <w:t>Less: inventory at the end of the year</w:t>
            </w:r>
          </w:p>
        </w:tc>
        <w:tc>
          <w:tcPr>
            <w:tcW w:w="1807" w:type="dxa"/>
            <w:tcBorders>
              <w:bottom w:val="single" w:sz="4" w:space="0" w:color="auto"/>
            </w:tcBorders>
            <w:tcMar>
              <w:top w:w="28" w:type="dxa"/>
              <w:right w:w="0" w:type="dxa"/>
            </w:tcMar>
          </w:tcPr>
          <w:p w14:paraId="02833BB6" w14:textId="77777777" w:rsidR="0099652B" w:rsidRPr="00E70587" w:rsidRDefault="0099652B" w:rsidP="0099652B">
            <w:pPr>
              <w:spacing w:line="280" w:lineRule="exact"/>
              <w:ind w:right="82"/>
              <w:jc w:val="right"/>
              <w:rPr>
                <w:rFonts w:ascii="Arial" w:hAnsi="Arial" w:cs="Arial"/>
                <w:sz w:val="20"/>
              </w:rPr>
            </w:pPr>
            <w:r w:rsidRPr="00E70587">
              <w:rPr>
                <w:rFonts w:ascii="Arial" w:hAnsi="Arial" w:cs="Arial"/>
                <w:sz w:val="20"/>
              </w:rPr>
              <w:t xml:space="preserve"> 9,432 </w:t>
            </w:r>
          </w:p>
        </w:tc>
        <w:tc>
          <w:tcPr>
            <w:tcW w:w="1716" w:type="dxa"/>
            <w:tcBorders>
              <w:bottom w:val="single" w:sz="4" w:space="0" w:color="auto"/>
            </w:tcBorders>
          </w:tcPr>
          <w:p w14:paraId="7F96546F" w14:textId="1FD16421" w:rsidR="0099652B" w:rsidRPr="00E70587" w:rsidRDefault="0099652B" w:rsidP="0099652B">
            <w:pPr>
              <w:spacing w:line="280" w:lineRule="exact"/>
              <w:jc w:val="right"/>
              <w:rPr>
                <w:rFonts w:ascii="Arial" w:hAnsi="Arial" w:cs="Arial"/>
                <w:sz w:val="20"/>
              </w:rPr>
            </w:pPr>
            <w:r w:rsidRPr="00E70587">
              <w:rPr>
                <w:rFonts w:ascii="Arial" w:hAnsi="Arial" w:cs="Arial"/>
                <w:sz w:val="20"/>
              </w:rPr>
              <w:t xml:space="preserve"> 12,</w:t>
            </w:r>
            <w:r w:rsidR="0034493F">
              <w:rPr>
                <w:rFonts w:ascii="Arial" w:hAnsi="Arial" w:cs="Arial"/>
                <w:sz w:val="20"/>
              </w:rPr>
              <w:t>845</w:t>
            </w:r>
            <w:r w:rsidR="0034493F" w:rsidRPr="00E70587">
              <w:rPr>
                <w:rFonts w:ascii="Arial" w:hAnsi="Arial" w:cs="Arial"/>
                <w:sz w:val="20"/>
              </w:rPr>
              <w:t xml:space="preserve"> </w:t>
            </w:r>
          </w:p>
        </w:tc>
      </w:tr>
      <w:tr w:rsidR="0099652B" w:rsidRPr="00E70587" w14:paraId="00CA4A25" w14:textId="77777777" w:rsidTr="00435A50">
        <w:tc>
          <w:tcPr>
            <w:tcW w:w="6053" w:type="dxa"/>
          </w:tcPr>
          <w:p w14:paraId="2F8FB6A2" w14:textId="77777777" w:rsidR="0099652B" w:rsidRPr="00E70587" w:rsidRDefault="0099652B" w:rsidP="0099652B">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sz w:val="20"/>
                <w:lang w:val="en-IN"/>
              </w:rPr>
              <w:t>Cost of raw material and components consumed</w:t>
            </w:r>
          </w:p>
        </w:tc>
        <w:tc>
          <w:tcPr>
            <w:tcW w:w="1807" w:type="dxa"/>
            <w:tcBorders>
              <w:top w:val="single" w:sz="4" w:space="0" w:color="auto"/>
              <w:bottom w:val="double" w:sz="4" w:space="0" w:color="auto"/>
            </w:tcBorders>
            <w:tcMar>
              <w:top w:w="28" w:type="dxa"/>
              <w:right w:w="0" w:type="dxa"/>
            </w:tcMar>
          </w:tcPr>
          <w:p w14:paraId="375E3853" w14:textId="3EFB0DFF" w:rsidR="0099652B" w:rsidRPr="00E70587" w:rsidRDefault="0099652B" w:rsidP="00077540">
            <w:pPr>
              <w:spacing w:line="280" w:lineRule="exact"/>
              <w:ind w:right="82"/>
              <w:jc w:val="right"/>
              <w:rPr>
                <w:rFonts w:ascii="Arial" w:hAnsi="Arial" w:cs="Arial"/>
                <w:b/>
                <w:bCs/>
                <w:sz w:val="20"/>
              </w:rPr>
            </w:pPr>
            <w:r w:rsidRPr="00E70587">
              <w:rPr>
                <w:rFonts w:ascii="Arial" w:hAnsi="Arial" w:cs="Arial"/>
                <w:sz w:val="20"/>
              </w:rPr>
              <w:t xml:space="preserve"> </w:t>
            </w:r>
            <w:r w:rsidRPr="00E70587">
              <w:rPr>
                <w:rFonts w:ascii="Arial" w:hAnsi="Arial" w:cs="Arial"/>
                <w:b/>
                <w:sz w:val="20"/>
              </w:rPr>
              <w:t>1,51,</w:t>
            </w:r>
            <w:r w:rsidR="0034493F" w:rsidRPr="00E70587">
              <w:rPr>
                <w:rFonts w:ascii="Arial" w:hAnsi="Arial" w:cs="Arial"/>
                <w:b/>
                <w:sz w:val="20"/>
              </w:rPr>
              <w:t>1</w:t>
            </w:r>
            <w:r w:rsidR="0034493F">
              <w:rPr>
                <w:rFonts w:ascii="Arial" w:hAnsi="Arial" w:cs="Arial"/>
                <w:b/>
                <w:sz w:val="20"/>
              </w:rPr>
              <w:t>91</w:t>
            </w:r>
            <w:r w:rsidR="0034493F" w:rsidRPr="00E70587">
              <w:rPr>
                <w:rFonts w:ascii="Arial" w:hAnsi="Arial" w:cs="Arial"/>
                <w:b/>
                <w:sz w:val="20"/>
              </w:rPr>
              <w:t xml:space="preserve"> </w:t>
            </w:r>
          </w:p>
        </w:tc>
        <w:tc>
          <w:tcPr>
            <w:tcW w:w="1716" w:type="dxa"/>
            <w:tcBorders>
              <w:top w:val="single" w:sz="4" w:space="0" w:color="auto"/>
              <w:bottom w:val="double" w:sz="4" w:space="0" w:color="auto"/>
            </w:tcBorders>
            <w:tcMar>
              <w:top w:w="28" w:type="dxa"/>
              <w:right w:w="0" w:type="dxa"/>
            </w:tcMar>
          </w:tcPr>
          <w:p w14:paraId="34A388F7" w14:textId="4054B878" w:rsidR="0099652B" w:rsidRPr="00E70587" w:rsidRDefault="0099652B" w:rsidP="00073466">
            <w:pPr>
              <w:spacing w:line="280" w:lineRule="exact"/>
              <w:ind w:right="82"/>
              <w:jc w:val="right"/>
              <w:rPr>
                <w:rFonts w:ascii="Arial" w:hAnsi="Arial" w:cs="Arial"/>
                <w:b/>
                <w:bCs/>
                <w:sz w:val="20"/>
              </w:rPr>
            </w:pPr>
            <w:r w:rsidRPr="00E70587">
              <w:rPr>
                <w:rFonts w:ascii="Arial" w:hAnsi="Arial" w:cs="Arial"/>
                <w:b/>
                <w:sz w:val="20"/>
              </w:rPr>
              <w:t xml:space="preserve"> 1,47,</w:t>
            </w:r>
            <w:r w:rsidR="0034493F">
              <w:rPr>
                <w:rFonts w:ascii="Arial" w:hAnsi="Arial" w:cs="Arial"/>
                <w:b/>
                <w:sz w:val="20"/>
              </w:rPr>
              <w:t>280</w:t>
            </w:r>
            <w:r w:rsidR="0034493F" w:rsidRPr="00E70587">
              <w:rPr>
                <w:rFonts w:ascii="Arial" w:hAnsi="Arial" w:cs="Arial"/>
                <w:b/>
                <w:sz w:val="20"/>
              </w:rPr>
              <w:t xml:space="preserve"> </w:t>
            </w:r>
          </w:p>
        </w:tc>
      </w:tr>
    </w:tbl>
    <w:p w14:paraId="6B8B1BD2" w14:textId="77777777" w:rsidR="00675AFB" w:rsidRPr="00E70587" w:rsidRDefault="00675AFB" w:rsidP="009901E1">
      <w:pPr>
        <w:spacing w:line="280" w:lineRule="exact"/>
        <w:rPr>
          <w:rFonts w:ascii="Arial" w:hAnsi="Arial" w:cs="Arial"/>
          <w:sz w:val="20"/>
        </w:rPr>
      </w:pPr>
    </w:p>
    <w:p w14:paraId="52B731D6" w14:textId="77777777" w:rsidR="003276AD" w:rsidRPr="00E70587" w:rsidRDefault="00C66505" w:rsidP="00E466DD">
      <w:pPr>
        <w:pStyle w:val="Notesbodytext"/>
        <w:numPr>
          <w:ilvl w:val="0"/>
          <w:numId w:val="23"/>
        </w:numPr>
        <w:spacing w:after="0" w:line="280" w:lineRule="exact"/>
        <w:ind w:left="720" w:hanging="720"/>
        <w:rPr>
          <w:rFonts w:ascii="Arial" w:hAnsi="Arial"/>
          <w:b/>
          <w:color w:val="auto"/>
          <w:sz w:val="20"/>
        </w:rPr>
      </w:pPr>
      <w:r w:rsidRPr="00E70587">
        <w:rPr>
          <w:rFonts w:ascii="Arial" w:hAnsi="Arial"/>
          <w:b/>
          <w:color w:val="auto"/>
          <w:sz w:val="20"/>
        </w:rPr>
        <w:t xml:space="preserve">Cost </w:t>
      </w:r>
      <w:r w:rsidR="003276AD" w:rsidRPr="00E70587">
        <w:rPr>
          <w:rFonts w:ascii="Arial" w:hAnsi="Arial"/>
          <w:b/>
          <w:color w:val="auto"/>
          <w:sz w:val="20"/>
        </w:rPr>
        <w:t>of traded goods</w:t>
      </w:r>
      <w:r w:rsidR="00EB5A57" w:rsidRPr="00E70587">
        <w:rPr>
          <w:rFonts w:ascii="Arial" w:hAnsi="Arial"/>
          <w:b/>
          <w:color w:val="auto"/>
          <w:sz w:val="20"/>
        </w:rPr>
        <w:t xml:space="preserve"> sold</w:t>
      </w:r>
    </w:p>
    <w:tbl>
      <w:tblPr>
        <w:tblW w:w="9576" w:type="dxa"/>
        <w:tblLayout w:type="fixed"/>
        <w:tblLook w:val="01E0" w:firstRow="1" w:lastRow="1" w:firstColumn="1" w:lastColumn="1" w:noHBand="0" w:noVBand="0"/>
      </w:tblPr>
      <w:tblGrid>
        <w:gridCol w:w="5963"/>
        <w:gridCol w:w="1897"/>
        <w:gridCol w:w="1716"/>
      </w:tblGrid>
      <w:tr w:rsidR="00F375C7" w:rsidRPr="00E70587" w14:paraId="64CE7C26" w14:textId="77777777" w:rsidTr="009A5E2F">
        <w:tc>
          <w:tcPr>
            <w:tcW w:w="5940" w:type="dxa"/>
            <w:shd w:val="clear" w:color="auto" w:fill="auto"/>
          </w:tcPr>
          <w:p w14:paraId="58FFCF5C" w14:textId="77777777" w:rsidR="00F375C7" w:rsidRPr="00E70587" w:rsidRDefault="00F375C7" w:rsidP="009A5E2F">
            <w:pPr>
              <w:pStyle w:val="000Normal"/>
              <w:spacing w:before="0" w:after="0" w:line="280" w:lineRule="exact"/>
              <w:rPr>
                <w:rFonts w:ascii="Arial" w:hAnsi="Arial" w:cs="Arial"/>
                <w:sz w:val="20"/>
              </w:rPr>
            </w:pPr>
          </w:p>
        </w:tc>
        <w:tc>
          <w:tcPr>
            <w:tcW w:w="1890" w:type="dxa"/>
            <w:tcBorders>
              <w:bottom w:val="single" w:sz="4" w:space="0" w:color="auto"/>
            </w:tcBorders>
            <w:shd w:val="clear" w:color="auto" w:fill="auto"/>
          </w:tcPr>
          <w:p w14:paraId="68C2D67C" w14:textId="0D359C5A"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04147E" w:rsidRPr="00E70587">
              <w:rPr>
                <w:rFonts w:ascii="Arial" w:hAnsi="Arial"/>
                <w:color w:val="auto"/>
                <w:sz w:val="20"/>
                <w:szCs w:val="20"/>
                <w:lang w:val="en-IN"/>
              </w:rPr>
              <w:t>20</w:t>
            </w:r>
            <w:r w:rsidR="0004147E">
              <w:rPr>
                <w:rFonts w:ascii="Arial" w:hAnsi="Arial"/>
                <w:color w:val="auto"/>
                <w:sz w:val="20"/>
                <w:szCs w:val="20"/>
                <w:lang w:val="en-IN"/>
              </w:rPr>
              <w:t>21</w:t>
            </w:r>
          </w:p>
        </w:tc>
        <w:tc>
          <w:tcPr>
            <w:tcW w:w="1710" w:type="dxa"/>
            <w:tcBorders>
              <w:bottom w:val="single" w:sz="4" w:space="0" w:color="auto"/>
            </w:tcBorders>
            <w:shd w:val="clear" w:color="auto" w:fill="auto"/>
          </w:tcPr>
          <w:p w14:paraId="15AB39A0" w14:textId="5CBBEA7B"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04147E" w:rsidRPr="00E70587">
              <w:rPr>
                <w:rFonts w:ascii="Arial" w:hAnsi="Arial"/>
                <w:color w:val="auto"/>
                <w:sz w:val="20"/>
                <w:szCs w:val="20"/>
                <w:lang w:val="en-IN"/>
              </w:rPr>
              <w:t>20</w:t>
            </w:r>
            <w:r w:rsidR="0004147E">
              <w:rPr>
                <w:rFonts w:ascii="Arial" w:hAnsi="Arial"/>
                <w:color w:val="auto"/>
                <w:sz w:val="20"/>
                <w:szCs w:val="20"/>
                <w:lang w:val="en-IN"/>
              </w:rPr>
              <w:t>20</w:t>
            </w:r>
          </w:p>
        </w:tc>
      </w:tr>
      <w:tr w:rsidR="00F375C7" w:rsidRPr="00E70587" w14:paraId="5AFDA540" w14:textId="77777777" w:rsidTr="009A5E2F">
        <w:tc>
          <w:tcPr>
            <w:tcW w:w="5940" w:type="dxa"/>
          </w:tcPr>
          <w:p w14:paraId="607DB384" w14:textId="77777777" w:rsidR="00F375C7" w:rsidRPr="00E70587" w:rsidRDefault="00F375C7" w:rsidP="009A5E2F">
            <w:pPr>
              <w:pStyle w:val="000Normal"/>
              <w:spacing w:before="0" w:after="0" w:line="280" w:lineRule="exact"/>
              <w:jc w:val="right"/>
              <w:rPr>
                <w:rFonts w:ascii="Arial" w:hAnsi="Arial" w:cs="Arial"/>
                <w:b/>
                <w:sz w:val="20"/>
              </w:rPr>
            </w:pPr>
          </w:p>
        </w:tc>
        <w:tc>
          <w:tcPr>
            <w:tcW w:w="1890" w:type="dxa"/>
            <w:tcBorders>
              <w:top w:val="single" w:sz="4" w:space="0" w:color="auto"/>
            </w:tcBorders>
          </w:tcPr>
          <w:p w14:paraId="515CB681" w14:textId="77777777" w:rsidR="00F375C7" w:rsidRPr="00E70587" w:rsidRDefault="00F375C7" w:rsidP="0004147E">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c>
          <w:tcPr>
            <w:tcW w:w="1710" w:type="dxa"/>
            <w:tcBorders>
              <w:top w:val="single" w:sz="4" w:space="0" w:color="auto"/>
            </w:tcBorders>
          </w:tcPr>
          <w:p w14:paraId="6CD24DC0" w14:textId="77777777" w:rsidR="00F375C7" w:rsidRPr="00E70587" w:rsidRDefault="00F375C7" w:rsidP="0004147E">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r>
      <w:tr w:rsidR="00F375C7" w:rsidRPr="00E70587" w14:paraId="5850D056" w14:textId="77777777" w:rsidTr="009A5E2F">
        <w:tc>
          <w:tcPr>
            <w:tcW w:w="5940" w:type="dxa"/>
            <w:tcMar>
              <w:top w:w="28" w:type="dxa"/>
            </w:tcMar>
          </w:tcPr>
          <w:p w14:paraId="4FB974AC"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Inventory at the beginning of the year</w:t>
            </w:r>
          </w:p>
        </w:tc>
        <w:tc>
          <w:tcPr>
            <w:tcW w:w="1890" w:type="dxa"/>
            <w:tcMar>
              <w:top w:w="28" w:type="dxa"/>
              <w:right w:w="0" w:type="dxa"/>
            </w:tcMar>
          </w:tcPr>
          <w:p w14:paraId="18BDBDF5" w14:textId="77777777" w:rsidR="00F375C7" w:rsidRPr="00E70587" w:rsidRDefault="00F375C7" w:rsidP="009A5E2F">
            <w:pPr>
              <w:spacing w:line="280" w:lineRule="exact"/>
              <w:jc w:val="right"/>
              <w:rPr>
                <w:rFonts w:ascii="Arial" w:hAnsi="Arial" w:cs="Arial"/>
                <w:sz w:val="20"/>
              </w:rPr>
            </w:pPr>
            <w:r w:rsidRPr="00E70587">
              <w:rPr>
                <w:rFonts w:ascii="Arial" w:hAnsi="Arial" w:cs="Arial"/>
                <w:sz w:val="20"/>
              </w:rPr>
              <w:t>-</w:t>
            </w:r>
          </w:p>
        </w:tc>
        <w:tc>
          <w:tcPr>
            <w:tcW w:w="1710" w:type="dxa"/>
            <w:tcMar>
              <w:top w:w="28" w:type="dxa"/>
              <w:right w:w="28" w:type="dxa"/>
            </w:tcMar>
          </w:tcPr>
          <w:p w14:paraId="422D20D1" w14:textId="77777777" w:rsidR="00F375C7" w:rsidRPr="00E70587" w:rsidRDefault="00F375C7" w:rsidP="009A5E2F">
            <w:pPr>
              <w:spacing w:line="280" w:lineRule="exact"/>
              <w:jc w:val="right"/>
              <w:rPr>
                <w:rFonts w:ascii="Arial" w:hAnsi="Arial" w:cs="Arial"/>
                <w:sz w:val="20"/>
              </w:rPr>
            </w:pPr>
            <w:r w:rsidRPr="00E70587">
              <w:rPr>
                <w:rFonts w:ascii="Arial" w:hAnsi="Arial" w:cs="Arial"/>
                <w:sz w:val="20"/>
              </w:rPr>
              <w:t>-</w:t>
            </w:r>
          </w:p>
        </w:tc>
      </w:tr>
      <w:tr w:rsidR="00F375C7" w:rsidRPr="00E70587" w14:paraId="0B19D74D" w14:textId="77777777" w:rsidTr="009A5E2F">
        <w:tc>
          <w:tcPr>
            <w:tcW w:w="5940" w:type="dxa"/>
          </w:tcPr>
          <w:p w14:paraId="2F5547FD"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Add: Purchases</w:t>
            </w:r>
          </w:p>
        </w:tc>
        <w:tc>
          <w:tcPr>
            <w:tcW w:w="1890" w:type="dxa"/>
            <w:tcBorders>
              <w:bottom w:val="single" w:sz="4" w:space="0" w:color="auto"/>
            </w:tcBorders>
            <w:tcMar>
              <w:top w:w="28" w:type="dxa"/>
              <w:right w:w="0" w:type="dxa"/>
            </w:tcMar>
          </w:tcPr>
          <w:p w14:paraId="75B77918" w14:textId="77777777" w:rsidR="00F375C7" w:rsidRPr="00E70587" w:rsidRDefault="00200091" w:rsidP="009A5E2F">
            <w:pPr>
              <w:overflowPunct/>
              <w:spacing w:line="280" w:lineRule="exact"/>
              <w:ind w:right="180"/>
              <w:jc w:val="right"/>
              <w:textAlignment w:val="auto"/>
              <w:rPr>
                <w:rFonts w:ascii="Arial" w:hAnsi="Arial" w:cs="Arial"/>
                <w:sz w:val="20"/>
                <w:lang w:eastAsia="en-GB"/>
              </w:rPr>
            </w:pPr>
            <w:r w:rsidRPr="00E70587">
              <w:rPr>
                <w:rFonts w:ascii="Arial" w:hAnsi="Arial" w:cs="Arial"/>
                <w:sz w:val="20"/>
                <w:lang w:eastAsia="en-GB"/>
              </w:rPr>
              <w:t>73</w:t>
            </w:r>
            <w:r w:rsidR="00F375C7" w:rsidRPr="00E70587">
              <w:rPr>
                <w:rFonts w:ascii="Arial" w:hAnsi="Arial" w:cs="Arial"/>
                <w:sz w:val="20"/>
                <w:lang w:eastAsia="en-GB"/>
              </w:rPr>
              <w:t xml:space="preserve">,215 </w:t>
            </w:r>
          </w:p>
        </w:tc>
        <w:tc>
          <w:tcPr>
            <w:tcW w:w="1710" w:type="dxa"/>
            <w:tcBorders>
              <w:bottom w:val="single" w:sz="4" w:space="0" w:color="auto"/>
            </w:tcBorders>
            <w:tcMar>
              <w:top w:w="28" w:type="dxa"/>
              <w:right w:w="0" w:type="dxa"/>
            </w:tcMar>
          </w:tcPr>
          <w:p w14:paraId="1AAD72CD" w14:textId="77777777" w:rsidR="00F375C7" w:rsidRPr="00E70587" w:rsidRDefault="00F375C7" w:rsidP="009A5E2F">
            <w:pPr>
              <w:overflowPunct/>
              <w:spacing w:line="280" w:lineRule="exact"/>
              <w:ind w:right="81"/>
              <w:jc w:val="right"/>
              <w:textAlignment w:val="auto"/>
              <w:rPr>
                <w:rFonts w:ascii="Arial" w:hAnsi="Arial" w:cs="Arial"/>
                <w:sz w:val="20"/>
                <w:lang w:eastAsia="en-GB"/>
              </w:rPr>
            </w:pPr>
            <w:r w:rsidRPr="00E70587">
              <w:rPr>
                <w:rFonts w:ascii="Arial" w:hAnsi="Arial" w:cs="Arial"/>
                <w:sz w:val="20"/>
                <w:lang w:eastAsia="en-GB"/>
              </w:rPr>
              <w:t xml:space="preserve">38,758 </w:t>
            </w:r>
          </w:p>
        </w:tc>
      </w:tr>
      <w:tr w:rsidR="00F375C7" w:rsidRPr="00E70587" w14:paraId="0CB2C39A" w14:textId="77777777" w:rsidTr="009A5E2F">
        <w:tc>
          <w:tcPr>
            <w:tcW w:w="5940" w:type="dxa"/>
          </w:tcPr>
          <w:p w14:paraId="79655A9E"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p>
        </w:tc>
        <w:tc>
          <w:tcPr>
            <w:tcW w:w="1890" w:type="dxa"/>
            <w:tcBorders>
              <w:top w:val="single" w:sz="4" w:space="0" w:color="auto"/>
            </w:tcBorders>
            <w:tcMar>
              <w:top w:w="28" w:type="dxa"/>
              <w:right w:w="0" w:type="dxa"/>
            </w:tcMar>
          </w:tcPr>
          <w:p w14:paraId="405261B3" w14:textId="77777777" w:rsidR="00F375C7" w:rsidRPr="00E70587" w:rsidRDefault="00200091" w:rsidP="009A5E2F">
            <w:pPr>
              <w:overflowPunct/>
              <w:spacing w:line="280" w:lineRule="exact"/>
              <w:ind w:right="180"/>
              <w:jc w:val="right"/>
              <w:textAlignment w:val="auto"/>
              <w:rPr>
                <w:rFonts w:ascii="Arial" w:hAnsi="Arial" w:cs="Arial"/>
                <w:b/>
                <w:sz w:val="20"/>
                <w:lang w:eastAsia="en-GB"/>
              </w:rPr>
            </w:pPr>
            <w:r w:rsidRPr="00E70587">
              <w:rPr>
                <w:rFonts w:ascii="Arial" w:hAnsi="Arial" w:cs="Arial"/>
                <w:b/>
                <w:sz w:val="20"/>
                <w:lang w:eastAsia="en-GB"/>
              </w:rPr>
              <w:t>73</w:t>
            </w:r>
            <w:r w:rsidR="00F375C7" w:rsidRPr="00E70587">
              <w:rPr>
                <w:rFonts w:ascii="Arial" w:hAnsi="Arial" w:cs="Arial"/>
                <w:b/>
                <w:sz w:val="20"/>
                <w:lang w:eastAsia="en-GB"/>
              </w:rPr>
              <w:t xml:space="preserve">,215 </w:t>
            </w:r>
          </w:p>
        </w:tc>
        <w:tc>
          <w:tcPr>
            <w:tcW w:w="1710" w:type="dxa"/>
            <w:tcBorders>
              <w:top w:val="single" w:sz="4" w:space="0" w:color="auto"/>
            </w:tcBorders>
            <w:tcMar>
              <w:top w:w="28" w:type="dxa"/>
              <w:right w:w="0" w:type="dxa"/>
            </w:tcMar>
          </w:tcPr>
          <w:p w14:paraId="337AE512" w14:textId="77777777" w:rsidR="00F375C7" w:rsidRPr="00E70587" w:rsidRDefault="00F375C7" w:rsidP="009A5E2F">
            <w:pPr>
              <w:overflowPunct/>
              <w:spacing w:line="280" w:lineRule="exact"/>
              <w:ind w:right="81"/>
              <w:jc w:val="right"/>
              <w:textAlignment w:val="auto"/>
              <w:rPr>
                <w:rFonts w:ascii="Arial" w:hAnsi="Arial" w:cs="Arial"/>
                <w:b/>
                <w:sz w:val="20"/>
                <w:lang w:eastAsia="en-GB"/>
              </w:rPr>
            </w:pPr>
            <w:r w:rsidRPr="00E70587">
              <w:rPr>
                <w:rFonts w:ascii="Arial" w:hAnsi="Arial" w:cs="Arial"/>
                <w:b/>
                <w:sz w:val="20"/>
                <w:lang w:eastAsia="en-GB"/>
              </w:rPr>
              <w:t xml:space="preserve">38,758 </w:t>
            </w:r>
          </w:p>
        </w:tc>
      </w:tr>
      <w:tr w:rsidR="00F375C7" w:rsidRPr="00E70587" w14:paraId="0338C585" w14:textId="77777777" w:rsidTr="009A5E2F">
        <w:tc>
          <w:tcPr>
            <w:tcW w:w="5940" w:type="dxa"/>
          </w:tcPr>
          <w:p w14:paraId="4106992D"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Less: inventory at the end of the year</w:t>
            </w:r>
          </w:p>
        </w:tc>
        <w:tc>
          <w:tcPr>
            <w:tcW w:w="1890" w:type="dxa"/>
            <w:tcBorders>
              <w:bottom w:val="single" w:sz="4" w:space="0" w:color="auto"/>
            </w:tcBorders>
            <w:tcMar>
              <w:top w:w="28" w:type="dxa"/>
              <w:right w:w="0" w:type="dxa"/>
            </w:tcMar>
            <w:vAlign w:val="center"/>
          </w:tcPr>
          <w:p w14:paraId="352F2FF6" w14:textId="77777777" w:rsidR="00F375C7" w:rsidRPr="00E70587" w:rsidRDefault="00F375C7" w:rsidP="009A5E2F">
            <w:pPr>
              <w:spacing w:line="280" w:lineRule="exact"/>
              <w:ind w:right="180"/>
              <w:jc w:val="right"/>
              <w:rPr>
                <w:rFonts w:ascii="Arial" w:hAnsi="Arial" w:cs="Arial"/>
                <w:sz w:val="20"/>
              </w:rPr>
            </w:pPr>
            <w:r w:rsidRPr="00E70587">
              <w:rPr>
                <w:rFonts w:ascii="Arial" w:hAnsi="Arial" w:cs="Arial"/>
                <w:sz w:val="20"/>
              </w:rPr>
              <w:t>-</w:t>
            </w:r>
          </w:p>
        </w:tc>
        <w:tc>
          <w:tcPr>
            <w:tcW w:w="1710" w:type="dxa"/>
            <w:tcBorders>
              <w:bottom w:val="single" w:sz="4" w:space="0" w:color="auto"/>
            </w:tcBorders>
            <w:vAlign w:val="center"/>
          </w:tcPr>
          <w:p w14:paraId="6E4FB752" w14:textId="77777777" w:rsidR="00F375C7" w:rsidRPr="00E70587" w:rsidRDefault="00F375C7" w:rsidP="009A5E2F">
            <w:pPr>
              <w:spacing w:line="280" w:lineRule="exact"/>
              <w:ind w:right="81"/>
              <w:jc w:val="right"/>
              <w:rPr>
                <w:rFonts w:ascii="Arial" w:hAnsi="Arial" w:cs="Arial"/>
                <w:sz w:val="20"/>
              </w:rPr>
            </w:pPr>
            <w:r w:rsidRPr="00E70587">
              <w:rPr>
                <w:rFonts w:ascii="Arial" w:hAnsi="Arial" w:cs="Arial"/>
                <w:sz w:val="20"/>
              </w:rPr>
              <w:t>-</w:t>
            </w:r>
          </w:p>
        </w:tc>
      </w:tr>
      <w:tr w:rsidR="00F375C7" w:rsidRPr="00E70587" w14:paraId="4020505A" w14:textId="77777777" w:rsidTr="009A5E2F">
        <w:tc>
          <w:tcPr>
            <w:tcW w:w="5940" w:type="dxa"/>
          </w:tcPr>
          <w:p w14:paraId="33FE3531" w14:textId="77777777" w:rsidR="00F375C7" w:rsidRPr="00E70587" w:rsidRDefault="00F375C7" w:rsidP="00217FE8">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Cost of traded</w:t>
            </w:r>
            <w:r w:rsidR="00217FE8" w:rsidRPr="00E70587">
              <w:rPr>
                <w:rFonts w:ascii="Arial" w:hAnsi="Arial" w:cs="Arial"/>
                <w:b/>
                <w:sz w:val="20"/>
                <w:lang w:val="en-IN"/>
              </w:rPr>
              <w:t xml:space="preserve"> goods sold</w:t>
            </w:r>
          </w:p>
        </w:tc>
        <w:tc>
          <w:tcPr>
            <w:tcW w:w="1890" w:type="dxa"/>
            <w:tcBorders>
              <w:top w:val="single" w:sz="4" w:space="0" w:color="auto"/>
              <w:bottom w:val="double" w:sz="4" w:space="0" w:color="auto"/>
            </w:tcBorders>
            <w:tcMar>
              <w:top w:w="28" w:type="dxa"/>
              <w:right w:w="0" w:type="dxa"/>
            </w:tcMar>
          </w:tcPr>
          <w:p w14:paraId="3A4B6348" w14:textId="77777777" w:rsidR="00F375C7" w:rsidRPr="00E70587" w:rsidRDefault="00200091" w:rsidP="009A5E2F">
            <w:pPr>
              <w:overflowPunct/>
              <w:spacing w:line="280" w:lineRule="exact"/>
              <w:ind w:right="180"/>
              <w:jc w:val="right"/>
              <w:textAlignment w:val="auto"/>
              <w:rPr>
                <w:rFonts w:ascii="Arial" w:hAnsi="Arial" w:cs="Arial"/>
                <w:b/>
                <w:sz w:val="20"/>
                <w:lang w:eastAsia="en-GB"/>
              </w:rPr>
            </w:pPr>
            <w:r w:rsidRPr="00E70587">
              <w:rPr>
                <w:rFonts w:ascii="Arial" w:hAnsi="Arial" w:cs="Arial"/>
                <w:b/>
                <w:sz w:val="20"/>
                <w:lang w:eastAsia="en-GB"/>
              </w:rPr>
              <w:t>73</w:t>
            </w:r>
            <w:r w:rsidR="00F375C7" w:rsidRPr="00E70587">
              <w:rPr>
                <w:rFonts w:ascii="Arial" w:hAnsi="Arial" w:cs="Arial"/>
                <w:b/>
                <w:sz w:val="20"/>
                <w:lang w:eastAsia="en-GB"/>
              </w:rPr>
              <w:t xml:space="preserve">,215 </w:t>
            </w:r>
          </w:p>
        </w:tc>
        <w:tc>
          <w:tcPr>
            <w:tcW w:w="1710" w:type="dxa"/>
            <w:tcBorders>
              <w:top w:val="single" w:sz="4" w:space="0" w:color="auto"/>
              <w:bottom w:val="double" w:sz="4" w:space="0" w:color="auto"/>
            </w:tcBorders>
            <w:tcMar>
              <w:top w:w="28" w:type="dxa"/>
              <w:right w:w="0" w:type="dxa"/>
            </w:tcMar>
          </w:tcPr>
          <w:p w14:paraId="792CA0C3" w14:textId="77777777" w:rsidR="00F375C7" w:rsidRPr="00E70587" w:rsidRDefault="00F375C7" w:rsidP="009A5E2F">
            <w:pPr>
              <w:overflowPunct/>
              <w:spacing w:line="280" w:lineRule="exact"/>
              <w:ind w:right="81"/>
              <w:jc w:val="right"/>
              <w:textAlignment w:val="auto"/>
              <w:rPr>
                <w:rFonts w:ascii="Arial" w:hAnsi="Arial" w:cs="Arial"/>
                <w:b/>
                <w:sz w:val="20"/>
                <w:lang w:eastAsia="en-GB"/>
              </w:rPr>
            </w:pPr>
            <w:r w:rsidRPr="00E70587">
              <w:rPr>
                <w:rFonts w:ascii="Arial" w:hAnsi="Arial" w:cs="Arial"/>
                <w:b/>
                <w:sz w:val="20"/>
                <w:lang w:eastAsia="en-GB"/>
              </w:rPr>
              <w:t xml:space="preserve">38,758 </w:t>
            </w:r>
          </w:p>
        </w:tc>
      </w:tr>
    </w:tbl>
    <w:p w14:paraId="32B75BBF" w14:textId="77777777" w:rsidR="003276AD" w:rsidRPr="00E70587" w:rsidRDefault="003276AD" w:rsidP="009901E1">
      <w:pPr>
        <w:spacing w:line="280" w:lineRule="exact"/>
        <w:rPr>
          <w:rFonts w:ascii="Arial" w:hAnsi="Arial" w:cs="Arial"/>
          <w:sz w:val="20"/>
        </w:rPr>
      </w:pPr>
    </w:p>
    <w:p w14:paraId="3F477A11" w14:textId="77777777" w:rsidR="00B247D1" w:rsidRPr="00E70587" w:rsidRDefault="00B247D1"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Employee benefits expense</w:t>
      </w:r>
    </w:p>
    <w:p w14:paraId="3422A330" w14:textId="77777777" w:rsidR="00EB5A57" w:rsidRPr="00E70587" w:rsidRDefault="00EB5A57" w:rsidP="00EB5A57">
      <w:pPr>
        <w:pStyle w:val="ViralheadingL2"/>
        <w:keepNext w:val="0"/>
        <w:spacing w:before="0" w:after="0" w:line="280" w:lineRule="exact"/>
        <w:outlineLvl w:val="9"/>
        <w:rPr>
          <w:rFonts w:ascii="Arial" w:hAnsi="Arial" w:cs="Arial"/>
          <w:sz w:val="20"/>
          <w:szCs w:val="20"/>
        </w:rPr>
      </w:pPr>
    </w:p>
    <w:tbl>
      <w:tblPr>
        <w:tblW w:w="9576" w:type="dxa"/>
        <w:tblLayout w:type="fixed"/>
        <w:tblLook w:val="01E0" w:firstRow="1" w:lastRow="1" w:firstColumn="1" w:lastColumn="1" w:noHBand="0" w:noVBand="0"/>
      </w:tblPr>
      <w:tblGrid>
        <w:gridCol w:w="5963"/>
        <w:gridCol w:w="1897"/>
        <w:gridCol w:w="1716"/>
      </w:tblGrid>
      <w:tr w:rsidR="00F375C7" w:rsidRPr="00E70587" w14:paraId="588C4562" w14:textId="77777777" w:rsidTr="009A5E2F">
        <w:tc>
          <w:tcPr>
            <w:tcW w:w="5940" w:type="dxa"/>
            <w:shd w:val="clear" w:color="auto" w:fill="auto"/>
          </w:tcPr>
          <w:p w14:paraId="2FDB2714" w14:textId="77777777" w:rsidR="00F375C7" w:rsidRPr="00E70587" w:rsidRDefault="00F375C7" w:rsidP="009A5E2F">
            <w:pPr>
              <w:pStyle w:val="000Normal"/>
              <w:spacing w:before="0" w:after="0" w:line="280" w:lineRule="exact"/>
              <w:rPr>
                <w:rFonts w:ascii="Arial" w:hAnsi="Arial" w:cs="Arial"/>
                <w:sz w:val="20"/>
              </w:rPr>
            </w:pPr>
          </w:p>
        </w:tc>
        <w:tc>
          <w:tcPr>
            <w:tcW w:w="1890" w:type="dxa"/>
            <w:tcBorders>
              <w:bottom w:val="single" w:sz="4" w:space="0" w:color="auto"/>
            </w:tcBorders>
            <w:shd w:val="clear" w:color="auto" w:fill="auto"/>
          </w:tcPr>
          <w:p w14:paraId="0576FE6A" w14:textId="301F5CF5"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04147E" w:rsidRPr="00E70587">
              <w:rPr>
                <w:rFonts w:ascii="Arial" w:hAnsi="Arial"/>
                <w:color w:val="auto"/>
                <w:sz w:val="20"/>
                <w:szCs w:val="20"/>
                <w:lang w:val="en-IN"/>
              </w:rPr>
              <w:t>20</w:t>
            </w:r>
            <w:r w:rsidR="0004147E">
              <w:rPr>
                <w:rFonts w:ascii="Arial" w:hAnsi="Arial"/>
                <w:color w:val="auto"/>
                <w:sz w:val="20"/>
                <w:szCs w:val="20"/>
                <w:lang w:val="en-IN"/>
              </w:rPr>
              <w:t>21</w:t>
            </w:r>
          </w:p>
        </w:tc>
        <w:tc>
          <w:tcPr>
            <w:tcW w:w="1710" w:type="dxa"/>
            <w:tcBorders>
              <w:bottom w:val="single" w:sz="4" w:space="0" w:color="auto"/>
            </w:tcBorders>
            <w:shd w:val="clear" w:color="auto" w:fill="auto"/>
          </w:tcPr>
          <w:p w14:paraId="410ADB4F" w14:textId="3E3DE88A"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04147E" w:rsidRPr="00E70587">
              <w:rPr>
                <w:rFonts w:ascii="Arial" w:hAnsi="Arial"/>
                <w:color w:val="auto"/>
                <w:sz w:val="20"/>
                <w:szCs w:val="20"/>
                <w:lang w:val="en-IN"/>
              </w:rPr>
              <w:t>20</w:t>
            </w:r>
            <w:r w:rsidR="0004147E">
              <w:rPr>
                <w:rFonts w:ascii="Arial" w:hAnsi="Arial"/>
                <w:color w:val="auto"/>
                <w:sz w:val="20"/>
                <w:szCs w:val="20"/>
                <w:lang w:val="en-IN"/>
              </w:rPr>
              <w:t>20</w:t>
            </w:r>
          </w:p>
        </w:tc>
      </w:tr>
      <w:tr w:rsidR="00F375C7" w:rsidRPr="00E70587" w14:paraId="03A65326" w14:textId="77777777" w:rsidTr="009A5E2F">
        <w:tc>
          <w:tcPr>
            <w:tcW w:w="5940" w:type="dxa"/>
          </w:tcPr>
          <w:p w14:paraId="184E98B8" w14:textId="77777777" w:rsidR="00F375C7" w:rsidRPr="00E70587" w:rsidRDefault="00F375C7" w:rsidP="009A5E2F">
            <w:pPr>
              <w:pStyle w:val="000Normal"/>
              <w:spacing w:before="0" w:after="0" w:line="280" w:lineRule="exact"/>
              <w:jc w:val="right"/>
              <w:rPr>
                <w:rFonts w:ascii="Arial" w:hAnsi="Arial" w:cs="Arial"/>
                <w:b/>
                <w:sz w:val="20"/>
              </w:rPr>
            </w:pPr>
          </w:p>
        </w:tc>
        <w:tc>
          <w:tcPr>
            <w:tcW w:w="1890" w:type="dxa"/>
            <w:tcBorders>
              <w:top w:val="single" w:sz="4" w:space="0" w:color="auto"/>
            </w:tcBorders>
          </w:tcPr>
          <w:p w14:paraId="1A4595B3" w14:textId="77777777" w:rsidR="00F375C7" w:rsidRPr="00E70587" w:rsidRDefault="00F375C7" w:rsidP="0004147E">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c>
          <w:tcPr>
            <w:tcW w:w="1710" w:type="dxa"/>
            <w:tcBorders>
              <w:top w:val="single" w:sz="4" w:space="0" w:color="auto"/>
            </w:tcBorders>
          </w:tcPr>
          <w:p w14:paraId="7A8CB91C" w14:textId="77777777" w:rsidR="00F375C7" w:rsidRPr="00E70587" w:rsidRDefault="00F375C7" w:rsidP="0004147E">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r>
      <w:tr w:rsidR="00F375C7" w:rsidRPr="00E70587" w14:paraId="306F7EA6" w14:textId="77777777" w:rsidTr="009A5E2F">
        <w:tc>
          <w:tcPr>
            <w:tcW w:w="5940" w:type="dxa"/>
            <w:tcMar>
              <w:top w:w="28" w:type="dxa"/>
            </w:tcMar>
            <w:vAlign w:val="center"/>
          </w:tcPr>
          <w:p w14:paraId="1ED0828B" w14:textId="77777777" w:rsidR="00F375C7" w:rsidRPr="00E70587" w:rsidRDefault="00F375C7" w:rsidP="009A5E2F">
            <w:pPr>
              <w:spacing w:line="280" w:lineRule="exact"/>
              <w:rPr>
                <w:rFonts w:ascii="Arial" w:hAnsi="Arial" w:cs="Arial"/>
                <w:sz w:val="20"/>
              </w:rPr>
            </w:pPr>
            <w:r w:rsidRPr="00E70587">
              <w:rPr>
                <w:rFonts w:ascii="Arial" w:hAnsi="Arial" w:cs="Arial"/>
                <w:sz w:val="20"/>
              </w:rPr>
              <w:t>Salaries, wages and bonus</w:t>
            </w:r>
          </w:p>
        </w:tc>
        <w:tc>
          <w:tcPr>
            <w:tcW w:w="1890" w:type="dxa"/>
            <w:tcMar>
              <w:top w:w="28" w:type="dxa"/>
              <w:right w:w="0" w:type="dxa"/>
            </w:tcMar>
          </w:tcPr>
          <w:p w14:paraId="402CC8A4" w14:textId="18C9721A" w:rsidR="00F375C7" w:rsidRPr="00E70587" w:rsidRDefault="005E233F" w:rsidP="009A5E2F">
            <w:pPr>
              <w:overflowPunct/>
              <w:spacing w:line="280" w:lineRule="exact"/>
              <w:ind w:right="90"/>
              <w:jc w:val="right"/>
              <w:textAlignment w:val="auto"/>
              <w:rPr>
                <w:rFonts w:ascii="Arial" w:hAnsi="Arial" w:cs="Arial"/>
                <w:sz w:val="20"/>
                <w:lang w:eastAsia="en-GB"/>
              </w:rPr>
            </w:pPr>
            <w:r w:rsidRPr="00E70587">
              <w:rPr>
                <w:rFonts w:ascii="Arial" w:hAnsi="Arial" w:cs="Arial"/>
                <w:sz w:val="20"/>
                <w:lang w:eastAsia="en-GB"/>
              </w:rPr>
              <w:t>5</w:t>
            </w:r>
            <w:r>
              <w:rPr>
                <w:rFonts w:ascii="Arial" w:hAnsi="Arial" w:cs="Arial"/>
                <w:sz w:val="20"/>
                <w:lang w:eastAsia="en-GB"/>
              </w:rPr>
              <w:t>0</w:t>
            </w:r>
            <w:r w:rsidR="00F375C7" w:rsidRPr="00E70587">
              <w:rPr>
                <w:rFonts w:ascii="Arial" w:hAnsi="Arial" w:cs="Arial"/>
                <w:sz w:val="20"/>
                <w:lang w:eastAsia="en-GB"/>
              </w:rPr>
              <w:t>,</w:t>
            </w:r>
            <w:r>
              <w:rPr>
                <w:rFonts w:ascii="Arial" w:hAnsi="Arial" w:cs="Arial"/>
                <w:sz w:val="20"/>
                <w:lang w:eastAsia="en-GB"/>
              </w:rPr>
              <w:t>505</w:t>
            </w:r>
          </w:p>
        </w:tc>
        <w:tc>
          <w:tcPr>
            <w:tcW w:w="1710" w:type="dxa"/>
            <w:tcMar>
              <w:top w:w="28" w:type="dxa"/>
              <w:right w:w="28" w:type="dxa"/>
            </w:tcMar>
          </w:tcPr>
          <w:p w14:paraId="111A139F" w14:textId="2466A60C" w:rsidR="00F375C7" w:rsidRPr="00E70587" w:rsidRDefault="00E61689" w:rsidP="009A5E2F">
            <w:pPr>
              <w:overflowPunct/>
              <w:spacing w:line="280" w:lineRule="exact"/>
              <w:ind w:right="63"/>
              <w:jc w:val="right"/>
              <w:textAlignment w:val="auto"/>
              <w:rPr>
                <w:rFonts w:ascii="Arial" w:hAnsi="Arial" w:cs="Arial"/>
                <w:sz w:val="20"/>
                <w:lang w:eastAsia="en-GB"/>
              </w:rPr>
            </w:pPr>
            <w:r>
              <w:rPr>
                <w:rFonts w:ascii="Arial" w:hAnsi="Arial" w:cs="Arial"/>
                <w:sz w:val="20"/>
                <w:lang w:eastAsia="en-GB"/>
              </w:rPr>
              <w:t>69</w:t>
            </w:r>
            <w:r w:rsidR="00F375C7" w:rsidRPr="00E70587">
              <w:rPr>
                <w:rFonts w:ascii="Arial" w:hAnsi="Arial" w:cs="Arial"/>
                <w:sz w:val="20"/>
                <w:lang w:eastAsia="en-GB"/>
              </w:rPr>
              <w:t>,</w:t>
            </w:r>
            <w:r>
              <w:rPr>
                <w:rFonts w:ascii="Arial" w:hAnsi="Arial" w:cs="Arial"/>
                <w:sz w:val="20"/>
                <w:lang w:eastAsia="en-GB"/>
              </w:rPr>
              <w:t>78</w:t>
            </w:r>
            <w:r w:rsidR="00814EBF">
              <w:rPr>
                <w:rFonts w:ascii="Arial" w:hAnsi="Arial" w:cs="Arial"/>
                <w:sz w:val="20"/>
                <w:lang w:eastAsia="en-GB"/>
              </w:rPr>
              <w:t>1</w:t>
            </w:r>
          </w:p>
        </w:tc>
      </w:tr>
      <w:tr w:rsidR="00F375C7" w:rsidRPr="00E70587" w14:paraId="4A60174F" w14:textId="77777777" w:rsidTr="009A5E2F">
        <w:tc>
          <w:tcPr>
            <w:tcW w:w="5940" w:type="dxa"/>
            <w:vAlign w:val="center"/>
          </w:tcPr>
          <w:p w14:paraId="405A6F83" w14:textId="77777777" w:rsidR="00F375C7" w:rsidRPr="00E70587" w:rsidRDefault="00F375C7" w:rsidP="009A5E2F">
            <w:pPr>
              <w:spacing w:line="280" w:lineRule="exact"/>
              <w:rPr>
                <w:rFonts w:ascii="Arial" w:hAnsi="Arial" w:cs="Arial"/>
                <w:sz w:val="20"/>
              </w:rPr>
            </w:pPr>
            <w:r w:rsidRPr="00E70587">
              <w:rPr>
                <w:rFonts w:ascii="Arial" w:hAnsi="Arial" w:cs="Arial"/>
                <w:sz w:val="20"/>
              </w:rPr>
              <w:t>Contribution to provident and other funds</w:t>
            </w:r>
          </w:p>
        </w:tc>
        <w:tc>
          <w:tcPr>
            <w:tcW w:w="1890" w:type="dxa"/>
            <w:tcMar>
              <w:top w:w="28" w:type="dxa"/>
              <w:right w:w="0" w:type="dxa"/>
            </w:tcMar>
          </w:tcPr>
          <w:p w14:paraId="6874B9D2" w14:textId="4E90E67C" w:rsidR="00F375C7" w:rsidRPr="00E70587" w:rsidRDefault="0043357B" w:rsidP="009A5E2F">
            <w:pPr>
              <w:overflowPunct/>
              <w:spacing w:line="280" w:lineRule="exact"/>
              <w:ind w:right="90"/>
              <w:jc w:val="right"/>
              <w:textAlignment w:val="auto"/>
              <w:rPr>
                <w:rFonts w:ascii="Arial" w:hAnsi="Arial" w:cs="Arial"/>
                <w:sz w:val="20"/>
                <w:lang w:eastAsia="en-GB"/>
              </w:rPr>
            </w:pPr>
            <w:r>
              <w:rPr>
                <w:rFonts w:ascii="Arial" w:hAnsi="Arial" w:cs="Arial"/>
                <w:sz w:val="20"/>
                <w:lang w:eastAsia="en-GB"/>
              </w:rPr>
              <w:t>5,607</w:t>
            </w:r>
          </w:p>
        </w:tc>
        <w:tc>
          <w:tcPr>
            <w:tcW w:w="1710" w:type="dxa"/>
            <w:tcMar>
              <w:top w:w="28" w:type="dxa"/>
              <w:right w:w="0" w:type="dxa"/>
            </w:tcMar>
          </w:tcPr>
          <w:p w14:paraId="6109A732" w14:textId="638EC17D" w:rsidR="00F375C7" w:rsidRPr="00E70587" w:rsidRDefault="0043357B" w:rsidP="009A5E2F">
            <w:pPr>
              <w:overflowPunct/>
              <w:spacing w:line="280" w:lineRule="exact"/>
              <w:ind w:right="63"/>
              <w:jc w:val="right"/>
              <w:textAlignment w:val="auto"/>
              <w:rPr>
                <w:rFonts w:ascii="Arial" w:hAnsi="Arial" w:cs="Arial"/>
                <w:sz w:val="20"/>
                <w:lang w:eastAsia="en-GB"/>
              </w:rPr>
            </w:pPr>
            <w:r>
              <w:rPr>
                <w:rFonts w:ascii="Arial" w:hAnsi="Arial" w:cs="Arial"/>
                <w:sz w:val="20"/>
                <w:lang w:eastAsia="en-GB"/>
              </w:rPr>
              <w:t>5,646</w:t>
            </w:r>
          </w:p>
        </w:tc>
      </w:tr>
      <w:tr w:rsidR="00F375C7" w:rsidRPr="00E70587" w14:paraId="76D02682" w14:textId="77777777" w:rsidTr="009A5E2F">
        <w:tc>
          <w:tcPr>
            <w:tcW w:w="5940" w:type="dxa"/>
            <w:vAlign w:val="center"/>
          </w:tcPr>
          <w:p w14:paraId="636B0BFC" w14:textId="7A642C0A" w:rsidR="00F375C7" w:rsidRPr="00E70587" w:rsidRDefault="00F375C7" w:rsidP="009A5E2F">
            <w:pPr>
              <w:spacing w:line="280" w:lineRule="exact"/>
              <w:rPr>
                <w:rFonts w:ascii="Arial" w:hAnsi="Arial" w:cs="Arial"/>
                <w:sz w:val="20"/>
              </w:rPr>
            </w:pPr>
            <w:r w:rsidRPr="00E70587">
              <w:rPr>
                <w:rFonts w:ascii="Arial" w:hAnsi="Arial" w:cs="Arial"/>
                <w:sz w:val="20"/>
              </w:rPr>
              <w:t>Employee stock option scheme</w:t>
            </w:r>
            <w:r w:rsidR="00CA058F">
              <w:rPr>
                <w:rFonts w:ascii="Arial" w:hAnsi="Arial" w:cs="Arial"/>
                <w:sz w:val="20"/>
              </w:rPr>
              <w:t xml:space="preserve"> (Note 41)</w:t>
            </w:r>
          </w:p>
        </w:tc>
        <w:tc>
          <w:tcPr>
            <w:tcW w:w="1890" w:type="dxa"/>
            <w:tcMar>
              <w:top w:w="28" w:type="dxa"/>
              <w:right w:w="0" w:type="dxa"/>
            </w:tcMar>
          </w:tcPr>
          <w:p w14:paraId="1CB7BE08" w14:textId="77777777" w:rsidR="00F375C7" w:rsidRPr="00E70587" w:rsidRDefault="00F375C7" w:rsidP="009A5E2F">
            <w:pPr>
              <w:overflowPunct/>
              <w:spacing w:line="280" w:lineRule="exact"/>
              <w:ind w:right="90"/>
              <w:jc w:val="right"/>
              <w:textAlignment w:val="auto"/>
              <w:rPr>
                <w:rFonts w:ascii="Arial" w:hAnsi="Arial" w:cs="Arial"/>
                <w:sz w:val="20"/>
                <w:lang w:eastAsia="en-GB"/>
              </w:rPr>
            </w:pPr>
            <w:r w:rsidRPr="00E70587">
              <w:rPr>
                <w:rFonts w:ascii="Arial" w:hAnsi="Arial" w:cs="Arial"/>
                <w:sz w:val="20"/>
                <w:lang w:eastAsia="en-GB"/>
              </w:rPr>
              <w:t>742</w:t>
            </w:r>
          </w:p>
        </w:tc>
        <w:tc>
          <w:tcPr>
            <w:tcW w:w="1710" w:type="dxa"/>
            <w:tcMar>
              <w:top w:w="28" w:type="dxa"/>
              <w:right w:w="0" w:type="dxa"/>
            </w:tcMar>
          </w:tcPr>
          <w:p w14:paraId="5001F992" w14:textId="76A1C38E" w:rsidR="00F375C7" w:rsidRPr="00E70587" w:rsidRDefault="00814EBF" w:rsidP="009A5E2F">
            <w:pPr>
              <w:overflowPunct/>
              <w:spacing w:line="280" w:lineRule="exact"/>
              <w:ind w:right="63"/>
              <w:jc w:val="right"/>
              <w:textAlignment w:val="auto"/>
              <w:rPr>
                <w:rFonts w:ascii="Arial" w:hAnsi="Arial" w:cs="Arial"/>
                <w:sz w:val="20"/>
                <w:lang w:eastAsia="en-GB"/>
              </w:rPr>
            </w:pPr>
            <w:r w:rsidRPr="00E70587">
              <w:rPr>
                <w:rFonts w:ascii="Arial" w:hAnsi="Arial" w:cs="Arial"/>
                <w:sz w:val="20"/>
                <w:lang w:eastAsia="en-GB"/>
              </w:rPr>
              <w:t>88</w:t>
            </w:r>
            <w:r>
              <w:rPr>
                <w:rFonts w:ascii="Arial" w:hAnsi="Arial" w:cs="Arial"/>
                <w:sz w:val="20"/>
                <w:lang w:eastAsia="en-GB"/>
              </w:rPr>
              <w:t>5</w:t>
            </w:r>
          </w:p>
        </w:tc>
      </w:tr>
      <w:tr w:rsidR="00F375C7" w:rsidRPr="00E70587" w14:paraId="19EC2D28" w14:textId="77777777" w:rsidTr="009A5E2F">
        <w:tc>
          <w:tcPr>
            <w:tcW w:w="5940" w:type="dxa"/>
            <w:vAlign w:val="center"/>
          </w:tcPr>
          <w:p w14:paraId="2A624C94" w14:textId="13E7591C" w:rsidR="00F375C7" w:rsidRPr="00E70587" w:rsidRDefault="00F375C7" w:rsidP="009A5E2F">
            <w:pPr>
              <w:spacing w:line="280" w:lineRule="exact"/>
              <w:rPr>
                <w:rFonts w:ascii="Arial" w:hAnsi="Arial" w:cs="Arial"/>
                <w:sz w:val="20"/>
              </w:rPr>
            </w:pPr>
            <w:r w:rsidRPr="00E70587">
              <w:rPr>
                <w:rFonts w:ascii="Arial" w:hAnsi="Arial" w:cs="Arial"/>
                <w:sz w:val="20"/>
              </w:rPr>
              <w:t xml:space="preserve">Gratuity expense </w:t>
            </w:r>
            <w:r w:rsidR="00F11F04">
              <w:rPr>
                <w:rFonts w:ascii="Arial" w:hAnsi="Arial" w:cs="Arial"/>
                <w:sz w:val="20"/>
              </w:rPr>
              <w:t xml:space="preserve">(Note </w:t>
            </w:r>
            <w:r w:rsidR="00CA058F">
              <w:rPr>
                <w:rFonts w:ascii="Arial" w:hAnsi="Arial" w:cs="Arial"/>
                <w:sz w:val="20"/>
              </w:rPr>
              <w:t>40)</w:t>
            </w:r>
          </w:p>
        </w:tc>
        <w:tc>
          <w:tcPr>
            <w:tcW w:w="1890" w:type="dxa"/>
            <w:tcMar>
              <w:top w:w="28" w:type="dxa"/>
              <w:right w:w="0" w:type="dxa"/>
            </w:tcMar>
          </w:tcPr>
          <w:p w14:paraId="18208D47" w14:textId="36D8150C" w:rsidR="00F375C7" w:rsidRPr="00E70587" w:rsidRDefault="0043357B" w:rsidP="009A5E2F">
            <w:pPr>
              <w:overflowPunct/>
              <w:spacing w:line="280" w:lineRule="exact"/>
              <w:ind w:right="90"/>
              <w:jc w:val="right"/>
              <w:textAlignment w:val="auto"/>
              <w:rPr>
                <w:rFonts w:ascii="Arial" w:hAnsi="Arial" w:cs="Arial"/>
                <w:sz w:val="20"/>
                <w:lang w:eastAsia="en-GB"/>
              </w:rPr>
            </w:pPr>
            <w:r w:rsidRPr="00E70587">
              <w:rPr>
                <w:rFonts w:ascii="Arial" w:hAnsi="Arial" w:cs="Arial"/>
                <w:sz w:val="20"/>
                <w:lang w:eastAsia="en-GB"/>
              </w:rPr>
              <w:t>2</w:t>
            </w:r>
            <w:r>
              <w:rPr>
                <w:rFonts w:ascii="Arial" w:hAnsi="Arial" w:cs="Arial"/>
                <w:sz w:val="20"/>
                <w:lang w:eastAsia="en-GB"/>
              </w:rPr>
              <w:t>,</w:t>
            </w:r>
            <w:r w:rsidRPr="00E70587">
              <w:rPr>
                <w:rFonts w:ascii="Arial" w:hAnsi="Arial" w:cs="Arial"/>
                <w:sz w:val="20"/>
                <w:lang w:eastAsia="en-GB"/>
              </w:rPr>
              <w:t>7</w:t>
            </w:r>
            <w:r>
              <w:rPr>
                <w:rFonts w:ascii="Arial" w:hAnsi="Arial" w:cs="Arial"/>
                <w:sz w:val="20"/>
                <w:lang w:eastAsia="en-GB"/>
              </w:rPr>
              <w:t>91</w:t>
            </w:r>
          </w:p>
        </w:tc>
        <w:tc>
          <w:tcPr>
            <w:tcW w:w="1710" w:type="dxa"/>
          </w:tcPr>
          <w:p w14:paraId="33D8A985" w14:textId="1AAC4DF2" w:rsidR="00F375C7" w:rsidRPr="00E70587" w:rsidRDefault="0043357B"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w:t>
            </w:r>
            <w:r>
              <w:rPr>
                <w:rFonts w:ascii="Arial" w:hAnsi="Arial" w:cs="Arial"/>
                <w:sz w:val="20"/>
                <w:lang w:eastAsia="en-GB"/>
              </w:rPr>
              <w:t>,482</w:t>
            </w:r>
          </w:p>
        </w:tc>
      </w:tr>
      <w:tr w:rsidR="00F375C7" w:rsidRPr="00E70587" w14:paraId="4950445B" w14:textId="77777777" w:rsidTr="009A5E2F">
        <w:tc>
          <w:tcPr>
            <w:tcW w:w="5940" w:type="dxa"/>
            <w:vAlign w:val="center"/>
          </w:tcPr>
          <w:p w14:paraId="148D2935" w14:textId="77777777" w:rsidR="00F375C7" w:rsidRPr="00E70587" w:rsidRDefault="00F375C7" w:rsidP="009A5E2F">
            <w:pPr>
              <w:spacing w:line="280" w:lineRule="exact"/>
              <w:rPr>
                <w:rFonts w:ascii="Arial" w:hAnsi="Arial" w:cs="Arial"/>
                <w:sz w:val="20"/>
              </w:rPr>
            </w:pPr>
            <w:r w:rsidRPr="00E70587">
              <w:rPr>
                <w:rFonts w:ascii="Arial" w:hAnsi="Arial" w:cs="Arial"/>
                <w:sz w:val="20"/>
              </w:rPr>
              <w:t>Staff welfare expenses</w:t>
            </w:r>
          </w:p>
        </w:tc>
        <w:tc>
          <w:tcPr>
            <w:tcW w:w="1890" w:type="dxa"/>
            <w:tcBorders>
              <w:bottom w:val="single" w:sz="4" w:space="0" w:color="auto"/>
            </w:tcBorders>
            <w:tcMar>
              <w:top w:w="28" w:type="dxa"/>
              <w:right w:w="0" w:type="dxa"/>
            </w:tcMar>
          </w:tcPr>
          <w:p w14:paraId="06728949" w14:textId="77777777" w:rsidR="00F375C7" w:rsidRPr="00E70587" w:rsidRDefault="00F375C7" w:rsidP="009A5E2F">
            <w:pPr>
              <w:overflowPunct/>
              <w:spacing w:line="280" w:lineRule="exact"/>
              <w:ind w:right="90"/>
              <w:jc w:val="right"/>
              <w:textAlignment w:val="auto"/>
              <w:rPr>
                <w:rFonts w:ascii="Arial" w:hAnsi="Arial" w:cs="Arial"/>
                <w:sz w:val="20"/>
                <w:lang w:eastAsia="en-GB"/>
              </w:rPr>
            </w:pPr>
            <w:r w:rsidRPr="00E70587">
              <w:rPr>
                <w:rFonts w:ascii="Arial" w:hAnsi="Arial" w:cs="Arial"/>
                <w:sz w:val="20"/>
                <w:lang w:eastAsia="en-GB"/>
              </w:rPr>
              <w:t>234</w:t>
            </w:r>
          </w:p>
        </w:tc>
        <w:tc>
          <w:tcPr>
            <w:tcW w:w="1710" w:type="dxa"/>
            <w:tcBorders>
              <w:bottom w:val="single" w:sz="4" w:space="0" w:color="auto"/>
            </w:tcBorders>
          </w:tcPr>
          <w:p w14:paraId="73095D61" w14:textId="77777777" w:rsidR="00F375C7" w:rsidRPr="00E70587" w:rsidRDefault="00F375C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232</w:t>
            </w:r>
          </w:p>
        </w:tc>
      </w:tr>
      <w:tr w:rsidR="00F375C7" w:rsidRPr="00E70587" w14:paraId="0FE13ADD" w14:textId="77777777" w:rsidTr="009A5E2F">
        <w:tc>
          <w:tcPr>
            <w:tcW w:w="5940" w:type="dxa"/>
          </w:tcPr>
          <w:p w14:paraId="275B231D"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p>
        </w:tc>
        <w:tc>
          <w:tcPr>
            <w:tcW w:w="1890" w:type="dxa"/>
            <w:tcBorders>
              <w:top w:val="single" w:sz="4" w:space="0" w:color="auto"/>
              <w:bottom w:val="double" w:sz="4" w:space="0" w:color="auto"/>
            </w:tcBorders>
            <w:tcMar>
              <w:top w:w="28" w:type="dxa"/>
              <w:right w:w="0" w:type="dxa"/>
            </w:tcMar>
          </w:tcPr>
          <w:p w14:paraId="6E5ED105" w14:textId="5A775513" w:rsidR="00F375C7" w:rsidRPr="00E70587" w:rsidRDefault="005E233F" w:rsidP="009A5E2F">
            <w:pPr>
              <w:overflowPunct/>
              <w:spacing w:line="280" w:lineRule="exact"/>
              <w:ind w:right="90"/>
              <w:jc w:val="right"/>
              <w:textAlignment w:val="auto"/>
              <w:rPr>
                <w:rFonts w:ascii="Arial" w:hAnsi="Arial" w:cs="Arial"/>
                <w:b/>
                <w:bCs/>
                <w:sz w:val="20"/>
                <w:lang w:eastAsia="en-GB"/>
              </w:rPr>
            </w:pPr>
            <w:r>
              <w:rPr>
                <w:rFonts w:ascii="Arial" w:hAnsi="Arial" w:cs="Arial"/>
                <w:b/>
                <w:bCs/>
                <w:sz w:val="20"/>
                <w:lang w:eastAsia="en-GB"/>
              </w:rPr>
              <w:t>59</w:t>
            </w:r>
            <w:r w:rsidR="00F375C7" w:rsidRPr="00E70587">
              <w:rPr>
                <w:rFonts w:ascii="Arial" w:hAnsi="Arial" w:cs="Arial"/>
                <w:b/>
                <w:bCs/>
                <w:sz w:val="20"/>
                <w:lang w:eastAsia="en-GB"/>
              </w:rPr>
              <w:t>,</w:t>
            </w:r>
            <w:r>
              <w:rPr>
                <w:rFonts w:ascii="Arial" w:hAnsi="Arial" w:cs="Arial"/>
                <w:b/>
                <w:bCs/>
                <w:sz w:val="20"/>
                <w:lang w:eastAsia="en-GB"/>
              </w:rPr>
              <w:t>879</w:t>
            </w:r>
          </w:p>
        </w:tc>
        <w:tc>
          <w:tcPr>
            <w:tcW w:w="1710" w:type="dxa"/>
            <w:tcBorders>
              <w:top w:val="single" w:sz="4" w:space="0" w:color="auto"/>
              <w:bottom w:val="double" w:sz="4" w:space="0" w:color="auto"/>
            </w:tcBorders>
          </w:tcPr>
          <w:p w14:paraId="4685A394" w14:textId="540BAB8B" w:rsidR="00F375C7" w:rsidRPr="00E70587" w:rsidRDefault="00E61689" w:rsidP="009A5E2F">
            <w:pPr>
              <w:overflowPunct/>
              <w:spacing w:line="280" w:lineRule="exact"/>
              <w:jc w:val="right"/>
              <w:textAlignment w:val="auto"/>
              <w:rPr>
                <w:rFonts w:ascii="Arial" w:hAnsi="Arial" w:cs="Arial"/>
                <w:b/>
                <w:bCs/>
                <w:sz w:val="20"/>
                <w:lang w:eastAsia="en-GB"/>
              </w:rPr>
            </w:pPr>
            <w:r>
              <w:rPr>
                <w:rFonts w:ascii="Arial" w:hAnsi="Arial" w:cs="Arial"/>
                <w:b/>
                <w:bCs/>
                <w:sz w:val="20"/>
                <w:lang w:eastAsia="en-GB"/>
              </w:rPr>
              <w:t>79</w:t>
            </w:r>
            <w:r w:rsidR="00F375C7" w:rsidRPr="00E70587">
              <w:rPr>
                <w:rFonts w:ascii="Arial" w:hAnsi="Arial" w:cs="Arial"/>
                <w:b/>
                <w:bCs/>
                <w:sz w:val="20"/>
                <w:lang w:eastAsia="en-GB"/>
              </w:rPr>
              <w:t>,</w:t>
            </w:r>
            <w:r>
              <w:rPr>
                <w:rFonts w:ascii="Arial" w:hAnsi="Arial" w:cs="Arial"/>
                <w:b/>
                <w:bCs/>
                <w:sz w:val="20"/>
                <w:lang w:eastAsia="en-GB"/>
              </w:rPr>
              <w:t>026</w:t>
            </w:r>
          </w:p>
        </w:tc>
      </w:tr>
    </w:tbl>
    <w:p w14:paraId="4E9BD872" w14:textId="39953639" w:rsidR="00EB5A57" w:rsidRDefault="00EB5A57" w:rsidP="00EB5A57">
      <w:pPr>
        <w:pStyle w:val="ViralheadingL2"/>
        <w:keepNext w:val="0"/>
        <w:spacing w:before="0" w:after="0" w:line="280" w:lineRule="exact"/>
        <w:outlineLvl w:val="9"/>
        <w:rPr>
          <w:rFonts w:ascii="Arial" w:hAnsi="Arial" w:cs="Arial"/>
          <w:b w:val="0"/>
          <w:sz w:val="20"/>
          <w:szCs w:val="20"/>
        </w:rPr>
      </w:pPr>
    </w:p>
    <w:p w14:paraId="2C4E01F3" w14:textId="5EC0D8CC" w:rsidR="00FB5B45" w:rsidRDefault="00FB5B45" w:rsidP="00EB5A57">
      <w:pPr>
        <w:pStyle w:val="ViralheadingL2"/>
        <w:keepNext w:val="0"/>
        <w:spacing w:before="0" w:after="0" w:line="280" w:lineRule="exact"/>
        <w:outlineLvl w:val="9"/>
        <w:rPr>
          <w:rFonts w:ascii="Arial" w:hAnsi="Arial" w:cs="Arial"/>
          <w:b w:val="0"/>
          <w:sz w:val="20"/>
          <w:szCs w:val="20"/>
        </w:rPr>
      </w:pPr>
      <w:r w:rsidRPr="00FB5B45">
        <w:rPr>
          <w:rFonts w:ascii="Arial" w:hAnsi="Arial" w:cs="Arial"/>
          <w:b w:val="0"/>
          <w:sz w:val="20"/>
          <w:szCs w:val="20"/>
        </w:rPr>
        <w:t xml:space="preserve">“The </w:t>
      </w:r>
      <w:r w:rsidR="00846B9B" w:rsidRPr="00846B9B">
        <w:rPr>
          <w:rFonts w:ascii="Arial" w:hAnsi="Arial" w:cs="Arial"/>
          <w:b w:val="0"/>
          <w:sz w:val="20"/>
          <w:szCs w:val="20"/>
        </w:rPr>
        <w:t xml:space="preserve">Code on Social Security </w:t>
      </w:r>
      <w:r w:rsidRPr="00FB5B45">
        <w:rPr>
          <w:rFonts w:ascii="Arial" w:hAnsi="Arial" w:cs="Arial"/>
          <w:b w:val="0"/>
          <w:sz w:val="20"/>
          <w:szCs w:val="20"/>
        </w:rPr>
        <w:t xml:space="preserve">2020, which received the Presidential </w:t>
      </w:r>
      <w:r w:rsidR="00377FBD">
        <w:rPr>
          <w:rFonts w:ascii="Arial" w:hAnsi="Arial" w:cs="Arial"/>
          <w:b w:val="0"/>
          <w:sz w:val="20"/>
          <w:szCs w:val="20"/>
        </w:rPr>
        <w:t>a</w:t>
      </w:r>
      <w:r w:rsidRPr="00FB5B45">
        <w:rPr>
          <w:rFonts w:ascii="Arial" w:hAnsi="Arial" w:cs="Arial"/>
          <w:b w:val="0"/>
          <w:sz w:val="20"/>
          <w:szCs w:val="20"/>
        </w:rPr>
        <w:t>ssent on 28 September</w:t>
      </w:r>
      <w:r>
        <w:rPr>
          <w:rFonts w:ascii="Arial" w:hAnsi="Arial" w:cs="Arial"/>
          <w:b w:val="0"/>
          <w:sz w:val="20"/>
          <w:szCs w:val="20"/>
        </w:rPr>
        <w:t xml:space="preserve"> </w:t>
      </w:r>
      <w:r w:rsidRPr="00FB5B45">
        <w:rPr>
          <w:rFonts w:ascii="Arial" w:hAnsi="Arial" w:cs="Arial"/>
          <w:b w:val="0"/>
          <w:sz w:val="20"/>
          <w:szCs w:val="20"/>
        </w:rPr>
        <w:t>2020, subsumes nine laws relating to social security, retirement and employee benefits, including the</w:t>
      </w:r>
      <w:r>
        <w:rPr>
          <w:rFonts w:ascii="Arial" w:hAnsi="Arial" w:cs="Arial"/>
          <w:b w:val="0"/>
          <w:sz w:val="20"/>
          <w:szCs w:val="20"/>
        </w:rPr>
        <w:t xml:space="preserve"> </w:t>
      </w:r>
      <w:r w:rsidRPr="00FB5B45">
        <w:rPr>
          <w:rFonts w:ascii="Arial" w:hAnsi="Arial" w:cs="Arial"/>
          <w:b w:val="0"/>
          <w:sz w:val="20"/>
          <w:szCs w:val="20"/>
        </w:rPr>
        <w:t>Employees Provident Fund and Miscellaneous Provisions Act, 1952 and the Payment of Gratuity Act,</w:t>
      </w:r>
      <w:r>
        <w:rPr>
          <w:rFonts w:ascii="Arial" w:hAnsi="Arial" w:cs="Arial"/>
          <w:b w:val="0"/>
          <w:sz w:val="20"/>
          <w:szCs w:val="20"/>
        </w:rPr>
        <w:t xml:space="preserve"> </w:t>
      </w:r>
      <w:r w:rsidRPr="00FB5B45">
        <w:rPr>
          <w:rFonts w:ascii="Arial" w:hAnsi="Arial" w:cs="Arial"/>
          <w:b w:val="0"/>
          <w:sz w:val="20"/>
          <w:szCs w:val="20"/>
        </w:rPr>
        <w:t>1972. The effective date of the Code is yet to be notified and related rules are yet to be framed.</w:t>
      </w:r>
      <w:r>
        <w:rPr>
          <w:rFonts w:ascii="Arial" w:hAnsi="Arial" w:cs="Arial"/>
          <w:b w:val="0"/>
          <w:sz w:val="20"/>
          <w:szCs w:val="20"/>
        </w:rPr>
        <w:t xml:space="preserve"> </w:t>
      </w:r>
      <w:r w:rsidRPr="00FB5B45">
        <w:rPr>
          <w:rFonts w:ascii="Arial" w:hAnsi="Arial" w:cs="Arial"/>
          <w:b w:val="0"/>
          <w:sz w:val="20"/>
          <w:szCs w:val="20"/>
        </w:rPr>
        <w:t xml:space="preserve">Depending on the effective date, there may be impact in the current </w:t>
      </w:r>
      <w:r w:rsidR="00421DB4">
        <w:rPr>
          <w:rFonts w:ascii="Arial" w:hAnsi="Arial" w:cs="Arial"/>
          <w:b w:val="0"/>
          <w:sz w:val="20"/>
          <w:szCs w:val="20"/>
        </w:rPr>
        <w:t>year</w:t>
      </w:r>
      <w:r w:rsidRPr="00FB5B45">
        <w:rPr>
          <w:rFonts w:ascii="Arial" w:hAnsi="Arial" w:cs="Arial"/>
          <w:b w:val="0"/>
          <w:sz w:val="20"/>
          <w:szCs w:val="20"/>
        </w:rPr>
        <w:t>.”</w:t>
      </w:r>
    </w:p>
    <w:p w14:paraId="249479B9" w14:textId="19B5AC7A" w:rsidR="00FB5B45" w:rsidRDefault="00FB5B45" w:rsidP="00EB5A57">
      <w:pPr>
        <w:pStyle w:val="ViralheadingL2"/>
        <w:keepNext w:val="0"/>
        <w:spacing w:before="0" w:after="0" w:line="280" w:lineRule="exact"/>
        <w:outlineLvl w:val="9"/>
        <w:rPr>
          <w:rFonts w:ascii="Arial" w:hAnsi="Arial" w:cs="Arial"/>
          <w:b w:val="0"/>
          <w:sz w:val="20"/>
          <w:szCs w:val="20"/>
        </w:rPr>
      </w:pPr>
    </w:p>
    <w:p w14:paraId="69A673BF" w14:textId="69ED186B" w:rsidR="00FB5B45" w:rsidRPr="007F1D33" w:rsidRDefault="007F1D33" w:rsidP="007F1D33">
      <w:pPr>
        <w:pStyle w:val="ViralheadingL2"/>
        <w:keepNext w:val="0"/>
        <w:shd w:val="clear" w:color="auto" w:fill="C1C1C1" w:themeFill="background2" w:themeFillTint="66"/>
        <w:spacing w:before="0" w:after="0" w:line="280" w:lineRule="exact"/>
        <w:outlineLvl w:val="9"/>
        <w:rPr>
          <w:rFonts w:ascii="Arial" w:hAnsi="Arial" w:cs="Arial"/>
          <w:bCs w:val="0"/>
          <w:sz w:val="20"/>
          <w:szCs w:val="20"/>
        </w:rPr>
      </w:pPr>
      <w:r w:rsidRPr="007F1D33">
        <w:rPr>
          <w:rFonts w:ascii="Arial" w:hAnsi="Arial" w:cs="Arial"/>
          <w:bCs w:val="0"/>
          <w:sz w:val="20"/>
          <w:szCs w:val="20"/>
        </w:rPr>
        <w:t>Author’s Note</w:t>
      </w:r>
    </w:p>
    <w:p w14:paraId="60A636EE" w14:textId="18080C4B" w:rsidR="007F1D33" w:rsidRDefault="007F1D33" w:rsidP="007F1D33">
      <w:pPr>
        <w:pStyle w:val="ViralheadingL2"/>
        <w:keepNext w:val="0"/>
        <w:shd w:val="clear" w:color="auto" w:fill="C1C1C1" w:themeFill="background2" w:themeFillTint="66"/>
        <w:spacing w:before="0" w:after="0" w:line="280" w:lineRule="exact"/>
        <w:outlineLvl w:val="9"/>
        <w:rPr>
          <w:rFonts w:ascii="Arial" w:hAnsi="Arial" w:cs="Arial"/>
          <w:b w:val="0"/>
          <w:sz w:val="20"/>
          <w:szCs w:val="20"/>
        </w:rPr>
      </w:pPr>
    </w:p>
    <w:p w14:paraId="07CC5E42" w14:textId="7A4E0ACE" w:rsidR="007F1D33" w:rsidRDefault="007F1D33" w:rsidP="007F1D33">
      <w:pPr>
        <w:pStyle w:val="ViralheadingL2"/>
        <w:keepNext w:val="0"/>
        <w:shd w:val="clear" w:color="auto" w:fill="C1C1C1" w:themeFill="background2" w:themeFillTint="66"/>
        <w:spacing w:before="0" w:after="0" w:line="280" w:lineRule="exact"/>
        <w:outlineLvl w:val="9"/>
        <w:rPr>
          <w:rFonts w:ascii="Arial" w:hAnsi="Arial" w:cs="Arial"/>
          <w:b w:val="0"/>
          <w:sz w:val="20"/>
          <w:szCs w:val="20"/>
        </w:rPr>
      </w:pPr>
      <w:r w:rsidRPr="007F1D33">
        <w:rPr>
          <w:rFonts w:ascii="Arial" w:hAnsi="Arial" w:cs="Arial"/>
          <w:b w:val="0"/>
          <w:sz w:val="20"/>
          <w:szCs w:val="20"/>
        </w:rPr>
        <w:t xml:space="preserve">The Code on Social Security, 2020 (‘Code) amended and consolidated the laws with the goal to extend social security to all employees and workers either in the organised or unorganised or any other sectors </w:t>
      </w:r>
      <w:r>
        <w:rPr>
          <w:rFonts w:ascii="Arial" w:hAnsi="Arial" w:cs="Arial"/>
          <w:b w:val="0"/>
          <w:sz w:val="20"/>
          <w:szCs w:val="20"/>
        </w:rPr>
        <w:t>Code. Also, t</w:t>
      </w:r>
      <w:r w:rsidRPr="007F1D33">
        <w:rPr>
          <w:rFonts w:ascii="Arial" w:hAnsi="Arial" w:cs="Arial"/>
          <w:b w:val="0"/>
          <w:sz w:val="20"/>
          <w:szCs w:val="20"/>
        </w:rPr>
        <w:t>he definition of “Wages” is broadly similar to the earlier definition in EPF Act, however, if excluded components (other than retirement benefits like gratuity) exceed 50% of remuneration or such other per cent. as may be notified by the Central Government, then the amount in excess of 50% or such other per cent will be deemed as remuneration and shall be added in “wages”.</w:t>
      </w:r>
    </w:p>
    <w:p w14:paraId="69D558DC" w14:textId="56381E6D" w:rsidR="007F1D33" w:rsidRDefault="007F1D33" w:rsidP="007F1D33">
      <w:pPr>
        <w:pStyle w:val="ViralheadingL2"/>
        <w:keepNext w:val="0"/>
        <w:shd w:val="clear" w:color="auto" w:fill="C1C1C1" w:themeFill="background2" w:themeFillTint="66"/>
        <w:spacing w:before="0" w:after="0" w:line="280" w:lineRule="exact"/>
        <w:outlineLvl w:val="9"/>
        <w:rPr>
          <w:rFonts w:ascii="Arial" w:hAnsi="Arial" w:cs="Arial"/>
          <w:b w:val="0"/>
          <w:sz w:val="20"/>
          <w:szCs w:val="20"/>
        </w:rPr>
      </w:pPr>
    </w:p>
    <w:p w14:paraId="41F410A4" w14:textId="1EC0F968" w:rsidR="007F1D33" w:rsidRDefault="007F1D33" w:rsidP="007F1D33">
      <w:pPr>
        <w:pStyle w:val="ViralheadingL2"/>
        <w:keepNext w:val="0"/>
        <w:shd w:val="clear" w:color="auto" w:fill="C1C1C1" w:themeFill="background2" w:themeFillTint="66"/>
        <w:spacing w:before="0" w:after="0" w:line="280" w:lineRule="exact"/>
        <w:outlineLvl w:val="9"/>
        <w:rPr>
          <w:rFonts w:ascii="Arial" w:hAnsi="Arial" w:cs="Arial"/>
          <w:b w:val="0"/>
          <w:sz w:val="20"/>
          <w:szCs w:val="20"/>
        </w:rPr>
      </w:pPr>
      <w:r>
        <w:rPr>
          <w:rFonts w:ascii="Arial" w:hAnsi="Arial" w:cs="Arial"/>
          <w:b w:val="0"/>
          <w:sz w:val="20"/>
          <w:szCs w:val="20"/>
        </w:rPr>
        <w:t xml:space="preserve">The changes </w:t>
      </w:r>
      <w:r w:rsidR="007D34E3">
        <w:rPr>
          <w:rFonts w:ascii="Arial" w:hAnsi="Arial" w:cs="Arial"/>
          <w:b w:val="0"/>
          <w:sz w:val="20"/>
          <w:szCs w:val="20"/>
        </w:rPr>
        <w:t>include</w:t>
      </w:r>
      <w:r>
        <w:rPr>
          <w:rFonts w:ascii="Arial" w:hAnsi="Arial" w:cs="Arial"/>
          <w:b w:val="0"/>
          <w:sz w:val="20"/>
          <w:szCs w:val="20"/>
        </w:rPr>
        <w:t xml:space="preserve"> but not limited to </w:t>
      </w:r>
      <w:r w:rsidRPr="007F1D33">
        <w:rPr>
          <w:rFonts w:ascii="Arial" w:hAnsi="Arial" w:cs="Arial"/>
          <w:b w:val="0"/>
          <w:sz w:val="20"/>
          <w:szCs w:val="20"/>
        </w:rPr>
        <w:t>Payment of Gratuity to fixed term employees on a pro rate basis, even if they have not rendered services for qualifying perio</w:t>
      </w:r>
      <w:r>
        <w:rPr>
          <w:rFonts w:ascii="Arial" w:hAnsi="Arial" w:cs="Arial"/>
          <w:b w:val="0"/>
          <w:sz w:val="20"/>
          <w:szCs w:val="20"/>
        </w:rPr>
        <w:t>d, w</w:t>
      </w:r>
      <w:r w:rsidRPr="007F1D33">
        <w:rPr>
          <w:rFonts w:ascii="Arial" w:hAnsi="Arial" w:cs="Arial"/>
          <w:b w:val="0"/>
          <w:sz w:val="20"/>
          <w:szCs w:val="20"/>
        </w:rPr>
        <w:t>elfare schemes for unorganised workers, gig workers and platform workers</w:t>
      </w:r>
      <w:r>
        <w:rPr>
          <w:rFonts w:ascii="Arial" w:hAnsi="Arial" w:cs="Arial"/>
          <w:b w:val="0"/>
          <w:sz w:val="20"/>
          <w:szCs w:val="20"/>
        </w:rPr>
        <w:t>.</w:t>
      </w:r>
    </w:p>
    <w:p w14:paraId="65F07B15" w14:textId="332202F8" w:rsidR="007F1D33" w:rsidRDefault="007F1D33" w:rsidP="007F1D33">
      <w:pPr>
        <w:pStyle w:val="ViralheadingL2"/>
        <w:keepNext w:val="0"/>
        <w:shd w:val="clear" w:color="auto" w:fill="C1C1C1" w:themeFill="background2" w:themeFillTint="66"/>
        <w:spacing w:before="0" w:after="0" w:line="280" w:lineRule="exact"/>
        <w:outlineLvl w:val="9"/>
        <w:rPr>
          <w:rFonts w:ascii="Arial" w:hAnsi="Arial" w:cs="Arial"/>
          <w:b w:val="0"/>
          <w:sz w:val="20"/>
          <w:szCs w:val="20"/>
        </w:rPr>
      </w:pPr>
    </w:p>
    <w:p w14:paraId="233F07A8" w14:textId="77777777" w:rsidR="007F1D33" w:rsidRDefault="007F1D33" w:rsidP="007F1D33">
      <w:pPr>
        <w:pStyle w:val="ViralheadingL2"/>
        <w:keepNext w:val="0"/>
        <w:shd w:val="clear" w:color="auto" w:fill="C1C1C1" w:themeFill="background2" w:themeFillTint="66"/>
        <w:spacing w:before="0" w:after="0" w:line="280" w:lineRule="exact"/>
        <w:outlineLvl w:val="9"/>
        <w:rPr>
          <w:rFonts w:ascii="Arial" w:hAnsi="Arial" w:cs="Arial"/>
          <w:b w:val="0"/>
          <w:sz w:val="20"/>
          <w:szCs w:val="20"/>
        </w:rPr>
      </w:pPr>
      <w:r w:rsidRPr="007F1D33">
        <w:rPr>
          <w:rFonts w:ascii="Arial" w:hAnsi="Arial" w:cs="Arial"/>
          <w:b w:val="0"/>
          <w:sz w:val="20"/>
          <w:szCs w:val="20"/>
        </w:rPr>
        <w:t>The changes brought about by the reforms may have an impact on the financial statements of the entity. However, whether the impact will be prospective or retrospective, is not yet clear.</w:t>
      </w:r>
      <w:r w:rsidRPr="007F1D33">
        <w:rPr>
          <w:rFonts w:ascii="EYInterstate Light" w:hAnsi="EYInterstate Light"/>
          <w:b w:val="0"/>
          <w:bCs w:val="0"/>
          <w:sz w:val="18"/>
          <w:szCs w:val="20"/>
        </w:rPr>
        <w:t xml:space="preserve"> </w:t>
      </w:r>
      <w:r w:rsidRPr="007F1D33">
        <w:rPr>
          <w:rFonts w:ascii="Arial" w:hAnsi="Arial" w:cs="Arial"/>
          <w:b w:val="0"/>
          <w:sz w:val="20"/>
          <w:szCs w:val="20"/>
        </w:rPr>
        <w:t>The rules relating to the Code are yet to be framed.</w:t>
      </w:r>
    </w:p>
    <w:p w14:paraId="24408AF5" w14:textId="77777777" w:rsidR="007F1D33" w:rsidRDefault="007F1D33" w:rsidP="007F1D33">
      <w:pPr>
        <w:pStyle w:val="ViralheadingL2"/>
        <w:keepNext w:val="0"/>
        <w:shd w:val="clear" w:color="auto" w:fill="C1C1C1" w:themeFill="background2" w:themeFillTint="66"/>
        <w:spacing w:before="0" w:after="0" w:line="280" w:lineRule="exact"/>
        <w:outlineLvl w:val="9"/>
        <w:rPr>
          <w:rFonts w:ascii="Arial" w:hAnsi="Arial" w:cs="Arial"/>
          <w:b w:val="0"/>
          <w:sz w:val="20"/>
          <w:szCs w:val="20"/>
        </w:rPr>
      </w:pPr>
    </w:p>
    <w:p w14:paraId="3AD8C2BB" w14:textId="312D9C6A" w:rsidR="007F1D33" w:rsidRDefault="007F1D33" w:rsidP="007F1D33">
      <w:pPr>
        <w:pStyle w:val="ViralheadingL2"/>
        <w:keepNext w:val="0"/>
        <w:shd w:val="clear" w:color="auto" w:fill="C1C1C1" w:themeFill="background2" w:themeFillTint="66"/>
        <w:spacing w:before="0" w:after="0" w:line="280" w:lineRule="exact"/>
        <w:outlineLvl w:val="9"/>
        <w:rPr>
          <w:rFonts w:ascii="Arial" w:hAnsi="Arial" w:cs="Arial"/>
          <w:b w:val="0"/>
          <w:sz w:val="20"/>
          <w:szCs w:val="20"/>
        </w:rPr>
      </w:pPr>
      <w:r w:rsidRPr="007F1D33">
        <w:rPr>
          <w:rFonts w:ascii="Arial" w:hAnsi="Arial" w:cs="Arial"/>
          <w:b w:val="0"/>
          <w:sz w:val="20"/>
          <w:szCs w:val="20"/>
        </w:rPr>
        <w:t xml:space="preserve">Considering the fact that as on the date of signing of the </w:t>
      </w:r>
      <w:r>
        <w:rPr>
          <w:rFonts w:ascii="Arial" w:hAnsi="Arial" w:cs="Arial"/>
          <w:b w:val="0"/>
          <w:sz w:val="20"/>
          <w:szCs w:val="20"/>
        </w:rPr>
        <w:t>financial statements</w:t>
      </w:r>
      <w:r w:rsidRPr="007F1D33">
        <w:rPr>
          <w:rFonts w:ascii="Arial" w:hAnsi="Arial" w:cs="Arial"/>
          <w:b w:val="0"/>
          <w:sz w:val="20"/>
          <w:szCs w:val="20"/>
        </w:rPr>
        <w:t xml:space="preserve">, the laws are not operationalised and hence there is no obligation to account for additional impact (if any), the company may choose to give the </w:t>
      </w:r>
      <w:r w:rsidR="00EE35CC">
        <w:rPr>
          <w:rFonts w:ascii="Arial" w:hAnsi="Arial" w:cs="Arial"/>
          <w:b w:val="0"/>
          <w:sz w:val="20"/>
          <w:szCs w:val="20"/>
        </w:rPr>
        <w:t>aforesaid</w:t>
      </w:r>
      <w:r w:rsidRPr="007F1D33">
        <w:rPr>
          <w:rFonts w:ascii="Arial" w:hAnsi="Arial" w:cs="Arial"/>
          <w:b w:val="0"/>
          <w:sz w:val="20"/>
          <w:szCs w:val="20"/>
        </w:rPr>
        <w:t xml:space="preserve"> disclosure</w:t>
      </w:r>
      <w:r w:rsidR="00586E13">
        <w:rPr>
          <w:rFonts w:ascii="Arial" w:hAnsi="Arial" w:cs="Arial"/>
          <w:b w:val="0"/>
          <w:sz w:val="20"/>
          <w:szCs w:val="20"/>
        </w:rPr>
        <w:t xml:space="preserve"> (as in Note 26 above)</w:t>
      </w:r>
      <w:r w:rsidRPr="007F1D33">
        <w:rPr>
          <w:rFonts w:ascii="Arial" w:hAnsi="Arial" w:cs="Arial"/>
          <w:b w:val="0"/>
          <w:sz w:val="20"/>
          <w:szCs w:val="20"/>
        </w:rPr>
        <w:t>. Impact, if any, will have to be assessed once the effective date is notified.</w:t>
      </w:r>
    </w:p>
    <w:p w14:paraId="0A450315" w14:textId="2C0299ED" w:rsidR="007F1D33" w:rsidRDefault="007F1D33" w:rsidP="00EB5A57">
      <w:pPr>
        <w:pStyle w:val="ViralheadingL2"/>
        <w:keepNext w:val="0"/>
        <w:spacing w:before="0" w:after="0" w:line="280" w:lineRule="exact"/>
        <w:outlineLvl w:val="9"/>
        <w:rPr>
          <w:rFonts w:ascii="Arial" w:hAnsi="Arial" w:cs="Arial"/>
          <w:b w:val="0"/>
          <w:sz w:val="20"/>
          <w:szCs w:val="20"/>
        </w:rPr>
      </w:pPr>
    </w:p>
    <w:p w14:paraId="4BCB750A" w14:textId="77777777" w:rsidR="00675AFB" w:rsidRPr="00E70587" w:rsidRDefault="00B247D1"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Depreciation and amortization expense</w:t>
      </w:r>
    </w:p>
    <w:p w14:paraId="5755E27D" w14:textId="77777777" w:rsidR="00EB5A57" w:rsidRPr="00E70587" w:rsidRDefault="00EB5A57" w:rsidP="00EB5A57">
      <w:pPr>
        <w:pStyle w:val="ViralheadingL2"/>
        <w:keepNext w:val="0"/>
        <w:spacing w:before="0" w:after="0" w:line="280" w:lineRule="exact"/>
        <w:outlineLvl w:val="9"/>
        <w:rPr>
          <w:rFonts w:ascii="Arial" w:hAnsi="Arial" w:cs="Arial"/>
          <w:b w:val="0"/>
          <w:sz w:val="20"/>
          <w:szCs w:val="20"/>
        </w:rPr>
      </w:pPr>
    </w:p>
    <w:tbl>
      <w:tblPr>
        <w:tblW w:w="9576" w:type="dxa"/>
        <w:tblLayout w:type="fixed"/>
        <w:tblLook w:val="01E0" w:firstRow="1" w:lastRow="1" w:firstColumn="1" w:lastColumn="1" w:noHBand="0" w:noVBand="0"/>
      </w:tblPr>
      <w:tblGrid>
        <w:gridCol w:w="5963"/>
        <w:gridCol w:w="1897"/>
        <w:gridCol w:w="1716"/>
      </w:tblGrid>
      <w:tr w:rsidR="00F375C7" w:rsidRPr="00E70587" w14:paraId="212C5EF8" w14:textId="77777777" w:rsidTr="00DA2A0F">
        <w:tc>
          <w:tcPr>
            <w:tcW w:w="5963" w:type="dxa"/>
            <w:shd w:val="clear" w:color="auto" w:fill="auto"/>
          </w:tcPr>
          <w:p w14:paraId="14DEB7CB" w14:textId="77777777" w:rsidR="00F375C7" w:rsidRPr="00E70587" w:rsidRDefault="00F375C7" w:rsidP="009A5E2F">
            <w:pPr>
              <w:pStyle w:val="000Normal"/>
              <w:spacing w:before="0" w:after="0" w:line="280" w:lineRule="exact"/>
              <w:rPr>
                <w:rFonts w:ascii="Arial" w:hAnsi="Arial" w:cs="Arial"/>
                <w:sz w:val="20"/>
              </w:rPr>
            </w:pPr>
          </w:p>
        </w:tc>
        <w:tc>
          <w:tcPr>
            <w:tcW w:w="1897" w:type="dxa"/>
            <w:tcBorders>
              <w:bottom w:val="single" w:sz="4" w:space="0" w:color="auto"/>
            </w:tcBorders>
            <w:shd w:val="clear" w:color="auto" w:fill="auto"/>
          </w:tcPr>
          <w:p w14:paraId="3F3DAD2E" w14:textId="2749FA21"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EB5969" w:rsidRPr="00E70587">
              <w:rPr>
                <w:rFonts w:ascii="Arial" w:hAnsi="Arial"/>
                <w:color w:val="auto"/>
                <w:sz w:val="20"/>
                <w:szCs w:val="20"/>
                <w:lang w:val="en-IN"/>
              </w:rPr>
              <w:t>20</w:t>
            </w:r>
            <w:r w:rsidR="00EB5969">
              <w:rPr>
                <w:rFonts w:ascii="Arial" w:hAnsi="Arial"/>
                <w:color w:val="auto"/>
                <w:sz w:val="20"/>
                <w:szCs w:val="20"/>
                <w:lang w:val="en-IN"/>
              </w:rPr>
              <w:t>21</w:t>
            </w:r>
          </w:p>
        </w:tc>
        <w:tc>
          <w:tcPr>
            <w:tcW w:w="1716" w:type="dxa"/>
            <w:tcBorders>
              <w:bottom w:val="single" w:sz="4" w:space="0" w:color="auto"/>
            </w:tcBorders>
            <w:shd w:val="clear" w:color="auto" w:fill="auto"/>
          </w:tcPr>
          <w:p w14:paraId="3C298DA9" w14:textId="5C0D8CAB"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EB5969" w:rsidRPr="00E70587">
              <w:rPr>
                <w:rFonts w:ascii="Arial" w:hAnsi="Arial"/>
                <w:color w:val="auto"/>
                <w:sz w:val="20"/>
                <w:szCs w:val="20"/>
                <w:lang w:val="en-IN"/>
              </w:rPr>
              <w:t>20</w:t>
            </w:r>
            <w:r w:rsidR="00EB5969">
              <w:rPr>
                <w:rFonts w:ascii="Arial" w:hAnsi="Arial"/>
                <w:color w:val="auto"/>
                <w:sz w:val="20"/>
                <w:szCs w:val="20"/>
                <w:lang w:val="en-IN"/>
              </w:rPr>
              <w:t>20</w:t>
            </w:r>
          </w:p>
        </w:tc>
      </w:tr>
      <w:tr w:rsidR="00F375C7" w:rsidRPr="00E70587" w14:paraId="15444EE4" w14:textId="77777777" w:rsidTr="00DA2A0F">
        <w:tc>
          <w:tcPr>
            <w:tcW w:w="5963" w:type="dxa"/>
          </w:tcPr>
          <w:p w14:paraId="3E440A04" w14:textId="77777777" w:rsidR="00F375C7" w:rsidRPr="00E70587" w:rsidRDefault="00F375C7" w:rsidP="009A5E2F">
            <w:pPr>
              <w:pStyle w:val="000Normal"/>
              <w:spacing w:before="0" w:after="0" w:line="280" w:lineRule="exact"/>
              <w:jc w:val="right"/>
              <w:rPr>
                <w:rFonts w:ascii="Arial" w:hAnsi="Arial" w:cs="Arial"/>
                <w:b/>
                <w:sz w:val="20"/>
              </w:rPr>
            </w:pPr>
          </w:p>
        </w:tc>
        <w:tc>
          <w:tcPr>
            <w:tcW w:w="1897" w:type="dxa"/>
            <w:tcBorders>
              <w:top w:val="single" w:sz="4" w:space="0" w:color="auto"/>
            </w:tcBorders>
          </w:tcPr>
          <w:p w14:paraId="5340FE97" w14:textId="77777777" w:rsidR="00F375C7" w:rsidRPr="00E70587" w:rsidRDefault="00F375C7" w:rsidP="0004147E">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c>
          <w:tcPr>
            <w:tcW w:w="1716" w:type="dxa"/>
            <w:tcBorders>
              <w:top w:val="single" w:sz="4" w:space="0" w:color="auto"/>
            </w:tcBorders>
          </w:tcPr>
          <w:p w14:paraId="7F73B71A" w14:textId="77777777" w:rsidR="00F375C7" w:rsidRPr="00E70587" w:rsidRDefault="00F375C7" w:rsidP="0004147E">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r>
      <w:tr w:rsidR="00F375C7" w:rsidRPr="00E70587" w14:paraId="5B80FDEA" w14:textId="77777777" w:rsidTr="00DA2A0F">
        <w:tc>
          <w:tcPr>
            <w:tcW w:w="5963" w:type="dxa"/>
            <w:tcMar>
              <w:top w:w="28" w:type="dxa"/>
            </w:tcMar>
            <w:vAlign w:val="bottom"/>
          </w:tcPr>
          <w:p w14:paraId="789350C6"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Depreciation of tangible assets</w:t>
            </w:r>
            <w:r w:rsidR="006868AD" w:rsidRPr="00E70587">
              <w:rPr>
                <w:rFonts w:ascii="Arial" w:hAnsi="Arial" w:cs="Arial"/>
                <w:sz w:val="20"/>
                <w:lang w:val="en-IN"/>
              </w:rPr>
              <w:t xml:space="preserve"> (note 3)</w:t>
            </w:r>
          </w:p>
        </w:tc>
        <w:tc>
          <w:tcPr>
            <w:tcW w:w="1897" w:type="dxa"/>
            <w:tcMar>
              <w:top w:w="28" w:type="dxa"/>
              <w:right w:w="0" w:type="dxa"/>
            </w:tcMar>
            <w:vAlign w:val="center"/>
          </w:tcPr>
          <w:p w14:paraId="468EB4DD" w14:textId="77777777" w:rsidR="00F375C7" w:rsidRPr="00E70587" w:rsidRDefault="00F375C7" w:rsidP="009A5E2F">
            <w:pPr>
              <w:spacing w:line="280" w:lineRule="exact"/>
              <w:ind w:right="108"/>
              <w:jc w:val="right"/>
              <w:rPr>
                <w:rFonts w:ascii="Arial" w:hAnsi="Arial" w:cs="Arial"/>
                <w:sz w:val="20"/>
              </w:rPr>
            </w:pPr>
            <w:r w:rsidRPr="00E70587">
              <w:rPr>
                <w:rFonts w:ascii="Arial" w:hAnsi="Arial" w:cs="Arial"/>
                <w:sz w:val="20"/>
              </w:rPr>
              <w:t>6,835</w:t>
            </w:r>
          </w:p>
        </w:tc>
        <w:tc>
          <w:tcPr>
            <w:tcW w:w="1716" w:type="dxa"/>
            <w:tcMar>
              <w:top w:w="28" w:type="dxa"/>
              <w:right w:w="28" w:type="dxa"/>
            </w:tcMar>
            <w:vAlign w:val="center"/>
          </w:tcPr>
          <w:p w14:paraId="6BBD62B7" w14:textId="77777777" w:rsidR="00F375C7" w:rsidRPr="00E70587" w:rsidRDefault="00F375C7" w:rsidP="009A5E2F">
            <w:pPr>
              <w:spacing w:line="280" w:lineRule="exact"/>
              <w:ind w:right="108"/>
              <w:jc w:val="right"/>
              <w:rPr>
                <w:rFonts w:ascii="Arial" w:hAnsi="Arial" w:cs="Arial"/>
                <w:sz w:val="20"/>
              </w:rPr>
            </w:pPr>
            <w:r w:rsidRPr="00E70587">
              <w:rPr>
                <w:rFonts w:ascii="Arial" w:hAnsi="Arial" w:cs="Arial"/>
                <w:sz w:val="20"/>
              </w:rPr>
              <w:t>5,548</w:t>
            </w:r>
          </w:p>
        </w:tc>
      </w:tr>
      <w:tr w:rsidR="00F375C7" w:rsidRPr="00E70587" w14:paraId="52D71E9E" w14:textId="77777777" w:rsidTr="00DA2A0F">
        <w:tc>
          <w:tcPr>
            <w:tcW w:w="5963" w:type="dxa"/>
            <w:vAlign w:val="bottom"/>
          </w:tcPr>
          <w:p w14:paraId="7E99E886"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Amortization of intangible assets</w:t>
            </w:r>
            <w:r w:rsidR="006868AD" w:rsidRPr="00E70587">
              <w:rPr>
                <w:rFonts w:ascii="Arial" w:hAnsi="Arial" w:cs="Arial"/>
                <w:sz w:val="20"/>
                <w:lang w:val="en-IN"/>
              </w:rPr>
              <w:t xml:space="preserve"> (note 5)</w:t>
            </w:r>
          </w:p>
        </w:tc>
        <w:tc>
          <w:tcPr>
            <w:tcW w:w="1897" w:type="dxa"/>
            <w:tcMar>
              <w:top w:w="28" w:type="dxa"/>
              <w:right w:w="0" w:type="dxa"/>
            </w:tcMar>
            <w:vAlign w:val="center"/>
          </w:tcPr>
          <w:p w14:paraId="717A59CF" w14:textId="77777777" w:rsidR="00F375C7" w:rsidRPr="00E70587" w:rsidRDefault="00F375C7" w:rsidP="009A5E2F">
            <w:pPr>
              <w:spacing w:line="280" w:lineRule="exact"/>
              <w:ind w:right="108"/>
              <w:jc w:val="right"/>
              <w:rPr>
                <w:rFonts w:ascii="Arial" w:hAnsi="Arial" w:cs="Arial"/>
                <w:sz w:val="20"/>
              </w:rPr>
            </w:pPr>
            <w:r w:rsidRPr="00E70587">
              <w:rPr>
                <w:rFonts w:ascii="Arial" w:hAnsi="Arial" w:cs="Arial"/>
                <w:sz w:val="20"/>
              </w:rPr>
              <w:t>225</w:t>
            </w:r>
          </w:p>
        </w:tc>
        <w:tc>
          <w:tcPr>
            <w:tcW w:w="1716" w:type="dxa"/>
            <w:tcMar>
              <w:top w:w="28" w:type="dxa"/>
              <w:right w:w="0" w:type="dxa"/>
            </w:tcMar>
            <w:vAlign w:val="center"/>
          </w:tcPr>
          <w:p w14:paraId="7DD44139" w14:textId="77777777" w:rsidR="00F375C7" w:rsidRPr="00E70587" w:rsidRDefault="00F375C7" w:rsidP="009A5E2F">
            <w:pPr>
              <w:spacing w:line="280" w:lineRule="exact"/>
              <w:ind w:right="108"/>
              <w:jc w:val="right"/>
              <w:rPr>
                <w:rFonts w:ascii="Arial" w:hAnsi="Arial" w:cs="Arial"/>
                <w:sz w:val="20"/>
              </w:rPr>
            </w:pPr>
            <w:r w:rsidRPr="00E70587">
              <w:rPr>
                <w:rFonts w:ascii="Arial" w:hAnsi="Arial" w:cs="Arial"/>
                <w:sz w:val="20"/>
              </w:rPr>
              <w:t>313</w:t>
            </w:r>
          </w:p>
        </w:tc>
      </w:tr>
      <w:tr w:rsidR="00F375C7" w:rsidRPr="00E70587" w14:paraId="6A0EA15E" w14:textId="77777777" w:rsidTr="00DA2A0F">
        <w:tc>
          <w:tcPr>
            <w:tcW w:w="5963" w:type="dxa"/>
            <w:vAlign w:val="bottom"/>
          </w:tcPr>
          <w:p w14:paraId="21BE776E"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Depreciation on Investment Properties</w:t>
            </w:r>
            <w:r w:rsidR="006868AD" w:rsidRPr="00E70587">
              <w:rPr>
                <w:rFonts w:ascii="Arial" w:hAnsi="Arial" w:cs="Arial"/>
                <w:sz w:val="20"/>
                <w:lang w:val="en-IN"/>
              </w:rPr>
              <w:t xml:space="preserve"> (note 4)</w:t>
            </w:r>
          </w:p>
        </w:tc>
        <w:tc>
          <w:tcPr>
            <w:tcW w:w="1897" w:type="dxa"/>
            <w:tcMar>
              <w:top w:w="28" w:type="dxa"/>
              <w:right w:w="0" w:type="dxa"/>
            </w:tcMar>
            <w:vAlign w:val="center"/>
          </w:tcPr>
          <w:p w14:paraId="22F87D3F" w14:textId="77777777" w:rsidR="00F375C7" w:rsidRPr="00E70587" w:rsidRDefault="00F375C7" w:rsidP="009A5E2F">
            <w:pPr>
              <w:spacing w:line="280" w:lineRule="exact"/>
              <w:ind w:right="108"/>
              <w:jc w:val="right"/>
              <w:rPr>
                <w:rFonts w:ascii="Arial" w:hAnsi="Arial" w:cs="Arial"/>
                <w:sz w:val="20"/>
              </w:rPr>
            </w:pPr>
            <w:r w:rsidRPr="00E70587">
              <w:rPr>
                <w:rFonts w:ascii="Arial" w:hAnsi="Arial" w:cs="Arial"/>
                <w:sz w:val="20"/>
              </w:rPr>
              <w:t>551</w:t>
            </w:r>
          </w:p>
        </w:tc>
        <w:tc>
          <w:tcPr>
            <w:tcW w:w="1716" w:type="dxa"/>
            <w:tcMar>
              <w:top w:w="28" w:type="dxa"/>
              <w:right w:w="0" w:type="dxa"/>
            </w:tcMar>
            <w:vAlign w:val="center"/>
          </w:tcPr>
          <w:p w14:paraId="31E99BE6" w14:textId="77777777" w:rsidR="00F375C7" w:rsidRPr="00E70587" w:rsidRDefault="00F375C7" w:rsidP="009A5E2F">
            <w:pPr>
              <w:spacing w:line="280" w:lineRule="exact"/>
              <w:ind w:right="108"/>
              <w:jc w:val="right"/>
              <w:rPr>
                <w:rFonts w:ascii="Arial" w:hAnsi="Arial" w:cs="Arial"/>
                <w:sz w:val="20"/>
              </w:rPr>
            </w:pPr>
            <w:r w:rsidRPr="00E70587">
              <w:rPr>
                <w:rFonts w:ascii="Arial" w:hAnsi="Arial" w:cs="Arial"/>
                <w:sz w:val="20"/>
              </w:rPr>
              <w:t>540</w:t>
            </w:r>
          </w:p>
        </w:tc>
      </w:tr>
      <w:tr w:rsidR="00DA2A0F" w:rsidRPr="00E70587" w14:paraId="7295ADF6" w14:textId="77777777" w:rsidTr="00DA2A0F">
        <w:tc>
          <w:tcPr>
            <w:tcW w:w="5963" w:type="dxa"/>
            <w:vAlign w:val="bottom"/>
          </w:tcPr>
          <w:p w14:paraId="13F95316" w14:textId="1FF39102" w:rsidR="00DA2A0F" w:rsidRPr="00E70587" w:rsidRDefault="00DA2A0F" w:rsidP="00DA2A0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Depreciation o</w:t>
            </w:r>
            <w:r>
              <w:rPr>
                <w:rFonts w:ascii="Arial" w:hAnsi="Arial" w:cs="Arial"/>
                <w:sz w:val="20"/>
                <w:lang w:val="en-IN"/>
              </w:rPr>
              <w:t>f</w:t>
            </w:r>
            <w:r w:rsidRPr="00E70587">
              <w:rPr>
                <w:rFonts w:ascii="Arial" w:hAnsi="Arial" w:cs="Arial"/>
                <w:sz w:val="20"/>
                <w:lang w:val="en-IN"/>
              </w:rPr>
              <w:t xml:space="preserve"> </w:t>
            </w:r>
            <w:r>
              <w:rPr>
                <w:rFonts w:ascii="Arial" w:hAnsi="Arial" w:cs="Arial"/>
                <w:sz w:val="20"/>
                <w:lang w:val="en-IN"/>
              </w:rPr>
              <w:t>Right-of-use assets</w:t>
            </w:r>
            <w:r w:rsidRPr="00E70587">
              <w:rPr>
                <w:rFonts w:ascii="Arial" w:hAnsi="Arial" w:cs="Arial"/>
                <w:sz w:val="20"/>
                <w:lang w:val="en-IN"/>
              </w:rPr>
              <w:t xml:space="preserve"> (note 4</w:t>
            </w:r>
            <w:r>
              <w:rPr>
                <w:rFonts w:ascii="Arial" w:hAnsi="Arial" w:cs="Arial"/>
                <w:sz w:val="20"/>
                <w:lang w:val="en-IN"/>
              </w:rPr>
              <w:t>2</w:t>
            </w:r>
            <w:r w:rsidRPr="00E70587">
              <w:rPr>
                <w:rFonts w:ascii="Arial" w:hAnsi="Arial" w:cs="Arial"/>
                <w:sz w:val="20"/>
                <w:lang w:val="en-IN"/>
              </w:rPr>
              <w:t>)</w:t>
            </w:r>
          </w:p>
        </w:tc>
        <w:tc>
          <w:tcPr>
            <w:tcW w:w="1897" w:type="dxa"/>
            <w:tcBorders>
              <w:bottom w:val="single" w:sz="4" w:space="0" w:color="auto"/>
            </w:tcBorders>
            <w:tcMar>
              <w:top w:w="28" w:type="dxa"/>
              <w:right w:w="0" w:type="dxa"/>
            </w:tcMar>
            <w:vAlign w:val="center"/>
          </w:tcPr>
          <w:p w14:paraId="5EF53D2B" w14:textId="11DB990A" w:rsidR="00DA2A0F" w:rsidRPr="00E70587" w:rsidRDefault="00895D6C" w:rsidP="00DA2A0F">
            <w:pPr>
              <w:spacing w:line="280" w:lineRule="exact"/>
              <w:ind w:right="108"/>
              <w:jc w:val="right"/>
              <w:rPr>
                <w:rFonts w:ascii="Arial" w:hAnsi="Arial" w:cs="Arial"/>
                <w:sz w:val="20"/>
              </w:rPr>
            </w:pPr>
            <w:r>
              <w:rPr>
                <w:rFonts w:ascii="Arial" w:hAnsi="Arial" w:cs="Arial"/>
                <w:sz w:val="20"/>
              </w:rPr>
              <w:t>781</w:t>
            </w:r>
          </w:p>
        </w:tc>
        <w:tc>
          <w:tcPr>
            <w:tcW w:w="1716" w:type="dxa"/>
            <w:tcBorders>
              <w:bottom w:val="single" w:sz="4" w:space="0" w:color="auto"/>
            </w:tcBorders>
            <w:tcMar>
              <w:top w:w="28" w:type="dxa"/>
              <w:right w:w="0" w:type="dxa"/>
            </w:tcMar>
            <w:vAlign w:val="center"/>
          </w:tcPr>
          <w:p w14:paraId="01389416" w14:textId="78CDBF40" w:rsidR="00DA2A0F" w:rsidRPr="00E70587" w:rsidRDefault="00895D6C" w:rsidP="00DA2A0F">
            <w:pPr>
              <w:spacing w:line="280" w:lineRule="exact"/>
              <w:ind w:right="108"/>
              <w:jc w:val="right"/>
              <w:rPr>
                <w:rFonts w:ascii="Arial" w:hAnsi="Arial" w:cs="Arial"/>
                <w:sz w:val="20"/>
              </w:rPr>
            </w:pPr>
            <w:r>
              <w:rPr>
                <w:rFonts w:ascii="Arial" w:hAnsi="Arial" w:cs="Arial"/>
                <w:sz w:val="20"/>
              </w:rPr>
              <w:t>740</w:t>
            </w:r>
          </w:p>
        </w:tc>
      </w:tr>
      <w:tr w:rsidR="00DA2A0F" w:rsidRPr="00E70587" w14:paraId="2618D3F4" w14:textId="77777777" w:rsidTr="00DA2A0F">
        <w:tc>
          <w:tcPr>
            <w:tcW w:w="5963" w:type="dxa"/>
            <w:vAlign w:val="center"/>
          </w:tcPr>
          <w:p w14:paraId="4E5172AE" w14:textId="594D265E" w:rsidR="00DA2A0F" w:rsidRPr="00E70587" w:rsidRDefault="00DA2A0F" w:rsidP="00DA2A0F">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897" w:type="dxa"/>
            <w:tcBorders>
              <w:top w:val="single" w:sz="4" w:space="0" w:color="auto"/>
              <w:bottom w:val="double" w:sz="4" w:space="0" w:color="auto"/>
            </w:tcBorders>
            <w:tcMar>
              <w:top w:w="28" w:type="dxa"/>
              <w:right w:w="0" w:type="dxa"/>
            </w:tcMar>
          </w:tcPr>
          <w:p w14:paraId="25A96DC1" w14:textId="6A3A435D" w:rsidR="00DA2A0F" w:rsidRPr="00E70587" w:rsidRDefault="00EB5969" w:rsidP="00DA2A0F">
            <w:pPr>
              <w:spacing w:line="280" w:lineRule="exact"/>
              <w:ind w:right="108"/>
              <w:jc w:val="right"/>
              <w:rPr>
                <w:rFonts w:ascii="Arial" w:hAnsi="Arial" w:cs="Arial"/>
                <w:b/>
                <w:sz w:val="20"/>
              </w:rPr>
            </w:pPr>
            <w:r>
              <w:rPr>
                <w:rFonts w:ascii="Arial" w:hAnsi="Arial" w:cs="Arial"/>
                <w:b/>
                <w:sz w:val="20"/>
              </w:rPr>
              <w:t>8</w:t>
            </w:r>
            <w:r w:rsidR="00DA2A0F" w:rsidRPr="00E70587">
              <w:rPr>
                <w:rFonts w:ascii="Arial" w:hAnsi="Arial" w:cs="Arial"/>
                <w:b/>
                <w:sz w:val="20"/>
              </w:rPr>
              <w:t>,</w:t>
            </w:r>
            <w:r>
              <w:rPr>
                <w:rFonts w:ascii="Arial" w:hAnsi="Arial" w:cs="Arial"/>
                <w:b/>
                <w:sz w:val="20"/>
              </w:rPr>
              <w:t>392</w:t>
            </w:r>
          </w:p>
        </w:tc>
        <w:tc>
          <w:tcPr>
            <w:tcW w:w="1716" w:type="dxa"/>
            <w:tcBorders>
              <w:top w:val="single" w:sz="4" w:space="0" w:color="auto"/>
              <w:bottom w:val="double" w:sz="4" w:space="0" w:color="auto"/>
            </w:tcBorders>
            <w:tcMar>
              <w:top w:w="28" w:type="dxa"/>
              <w:right w:w="0" w:type="dxa"/>
            </w:tcMar>
          </w:tcPr>
          <w:p w14:paraId="6FE45835" w14:textId="5891CD46" w:rsidR="00DA2A0F" w:rsidRPr="00E70587" w:rsidRDefault="00EB5969" w:rsidP="00DA2A0F">
            <w:pPr>
              <w:spacing w:line="280" w:lineRule="exact"/>
              <w:ind w:right="108"/>
              <w:jc w:val="right"/>
              <w:rPr>
                <w:rFonts w:ascii="Arial" w:hAnsi="Arial" w:cs="Arial"/>
                <w:b/>
                <w:sz w:val="20"/>
              </w:rPr>
            </w:pPr>
            <w:r>
              <w:rPr>
                <w:rFonts w:ascii="Arial" w:hAnsi="Arial" w:cs="Arial"/>
                <w:b/>
                <w:sz w:val="20"/>
              </w:rPr>
              <w:t>7</w:t>
            </w:r>
            <w:r w:rsidR="00DA2A0F" w:rsidRPr="00E70587">
              <w:rPr>
                <w:rFonts w:ascii="Arial" w:hAnsi="Arial" w:cs="Arial"/>
                <w:b/>
                <w:sz w:val="20"/>
              </w:rPr>
              <w:t>,</w:t>
            </w:r>
            <w:r>
              <w:rPr>
                <w:rFonts w:ascii="Arial" w:hAnsi="Arial" w:cs="Arial"/>
                <w:b/>
                <w:sz w:val="20"/>
              </w:rPr>
              <w:t>141</w:t>
            </w:r>
          </w:p>
        </w:tc>
      </w:tr>
    </w:tbl>
    <w:p w14:paraId="2188044B" w14:textId="77777777" w:rsidR="00675AFB" w:rsidRPr="00E70587" w:rsidRDefault="00675AFB" w:rsidP="009901E1">
      <w:pPr>
        <w:spacing w:line="280" w:lineRule="exact"/>
        <w:rPr>
          <w:rFonts w:ascii="Arial" w:hAnsi="Arial" w:cs="Arial"/>
          <w:b/>
          <w:sz w:val="20"/>
        </w:rPr>
      </w:pPr>
    </w:p>
    <w:p w14:paraId="7A19841D" w14:textId="77777777" w:rsidR="00B247D1" w:rsidRPr="00E70587" w:rsidRDefault="00B247D1"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Other expenses</w:t>
      </w:r>
    </w:p>
    <w:p w14:paraId="3FEE48B1" w14:textId="77777777" w:rsidR="00EB5A57" w:rsidRPr="00E70587" w:rsidRDefault="00EB5A57" w:rsidP="00EB5A57">
      <w:pPr>
        <w:pStyle w:val="ViralheadingL2"/>
        <w:keepNext w:val="0"/>
        <w:spacing w:before="0" w:after="0" w:line="280" w:lineRule="exact"/>
        <w:outlineLvl w:val="9"/>
        <w:rPr>
          <w:rFonts w:ascii="Arial" w:hAnsi="Arial" w:cs="Arial"/>
          <w:sz w:val="20"/>
          <w:szCs w:val="20"/>
        </w:rPr>
      </w:pPr>
    </w:p>
    <w:tbl>
      <w:tblPr>
        <w:tblW w:w="9576" w:type="dxa"/>
        <w:tblLayout w:type="fixed"/>
        <w:tblLook w:val="01E0" w:firstRow="1" w:lastRow="1" w:firstColumn="1" w:lastColumn="1" w:noHBand="0" w:noVBand="0"/>
      </w:tblPr>
      <w:tblGrid>
        <w:gridCol w:w="5872"/>
        <w:gridCol w:w="1807"/>
        <w:gridCol w:w="1897"/>
      </w:tblGrid>
      <w:tr w:rsidR="00F375C7" w:rsidRPr="00E70587" w14:paraId="7E3FE246" w14:textId="77777777" w:rsidTr="00217FE8">
        <w:tc>
          <w:tcPr>
            <w:tcW w:w="5872" w:type="dxa"/>
            <w:shd w:val="clear" w:color="auto" w:fill="auto"/>
          </w:tcPr>
          <w:p w14:paraId="33678764" w14:textId="77777777" w:rsidR="00F375C7" w:rsidRPr="00E70587" w:rsidRDefault="00F375C7" w:rsidP="009A5E2F">
            <w:pPr>
              <w:pStyle w:val="000Normal"/>
              <w:spacing w:before="0" w:after="0" w:line="280" w:lineRule="exact"/>
              <w:rPr>
                <w:rFonts w:ascii="Arial" w:hAnsi="Arial" w:cs="Arial"/>
                <w:sz w:val="20"/>
              </w:rPr>
            </w:pPr>
          </w:p>
        </w:tc>
        <w:tc>
          <w:tcPr>
            <w:tcW w:w="1807" w:type="dxa"/>
            <w:tcBorders>
              <w:bottom w:val="single" w:sz="4" w:space="0" w:color="auto"/>
            </w:tcBorders>
            <w:shd w:val="clear" w:color="auto" w:fill="auto"/>
          </w:tcPr>
          <w:p w14:paraId="25C1E00C" w14:textId="6C7CE8B1" w:rsidR="00F375C7" w:rsidRPr="00E70587" w:rsidRDefault="00F375C7" w:rsidP="001510A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04147E" w:rsidRPr="00E70587">
              <w:rPr>
                <w:rFonts w:ascii="Arial" w:hAnsi="Arial"/>
                <w:color w:val="auto"/>
                <w:sz w:val="20"/>
                <w:szCs w:val="20"/>
                <w:lang w:val="en-IN"/>
              </w:rPr>
              <w:t>20</w:t>
            </w:r>
            <w:r w:rsidR="0004147E">
              <w:rPr>
                <w:rFonts w:ascii="Arial" w:hAnsi="Arial"/>
                <w:color w:val="auto"/>
                <w:sz w:val="20"/>
                <w:szCs w:val="20"/>
                <w:lang w:val="en-IN"/>
              </w:rPr>
              <w:t>21</w:t>
            </w:r>
          </w:p>
        </w:tc>
        <w:tc>
          <w:tcPr>
            <w:tcW w:w="1897" w:type="dxa"/>
            <w:tcBorders>
              <w:bottom w:val="single" w:sz="4" w:space="0" w:color="auto"/>
            </w:tcBorders>
            <w:shd w:val="clear" w:color="auto" w:fill="auto"/>
          </w:tcPr>
          <w:p w14:paraId="19BCE23C" w14:textId="0EF7CE95" w:rsidR="00F375C7" w:rsidRPr="00E70587" w:rsidRDefault="00F375C7" w:rsidP="001510A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04147E" w:rsidRPr="00E70587">
              <w:rPr>
                <w:rFonts w:ascii="Arial" w:hAnsi="Arial"/>
                <w:color w:val="auto"/>
                <w:sz w:val="20"/>
                <w:szCs w:val="20"/>
                <w:lang w:val="en-IN"/>
              </w:rPr>
              <w:t>20</w:t>
            </w:r>
            <w:r w:rsidR="0004147E">
              <w:rPr>
                <w:rFonts w:ascii="Arial" w:hAnsi="Arial"/>
                <w:color w:val="auto"/>
                <w:sz w:val="20"/>
                <w:szCs w:val="20"/>
                <w:lang w:val="en-IN"/>
              </w:rPr>
              <w:t>20</w:t>
            </w:r>
          </w:p>
        </w:tc>
      </w:tr>
      <w:tr w:rsidR="00F375C7" w:rsidRPr="00E70587" w14:paraId="5A1DFCE3" w14:textId="77777777" w:rsidTr="00217FE8">
        <w:tc>
          <w:tcPr>
            <w:tcW w:w="5872" w:type="dxa"/>
          </w:tcPr>
          <w:p w14:paraId="73D88665" w14:textId="77777777" w:rsidR="00F375C7" w:rsidRPr="00E70587" w:rsidRDefault="00F375C7" w:rsidP="009A5E2F">
            <w:pPr>
              <w:pStyle w:val="000Normal"/>
              <w:spacing w:before="0" w:after="0" w:line="280" w:lineRule="exact"/>
              <w:jc w:val="right"/>
              <w:rPr>
                <w:rFonts w:ascii="Arial" w:hAnsi="Arial" w:cs="Arial"/>
                <w:b/>
                <w:sz w:val="20"/>
              </w:rPr>
            </w:pPr>
          </w:p>
        </w:tc>
        <w:tc>
          <w:tcPr>
            <w:tcW w:w="1807" w:type="dxa"/>
            <w:tcBorders>
              <w:top w:val="single" w:sz="4" w:space="0" w:color="auto"/>
            </w:tcBorders>
          </w:tcPr>
          <w:p w14:paraId="54A8D158" w14:textId="77777777" w:rsidR="00F375C7" w:rsidRPr="00E70587" w:rsidRDefault="00F375C7" w:rsidP="001510A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97" w:type="dxa"/>
            <w:tcBorders>
              <w:top w:val="single" w:sz="4" w:space="0" w:color="auto"/>
            </w:tcBorders>
          </w:tcPr>
          <w:p w14:paraId="6B73F229" w14:textId="77777777" w:rsidR="00F375C7" w:rsidRPr="00E70587" w:rsidRDefault="00F375C7" w:rsidP="001510A2">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F375C7" w:rsidRPr="00E70587" w14:paraId="47E54271" w14:textId="77777777" w:rsidTr="00217FE8">
        <w:tc>
          <w:tcPr>
            <w:tcW w:w="5872" w:type="dxa"/>
            <w:tcMar>
              <w:top w:w="28" w:type="dxa"/>
            </w:tcMar>
            <w:vAlign w:val="bottom"/>
          </w:tcPr>
          <w:p w14:paraId="4B7B832E"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Consumption of stores and spares</w:t>
            </w:r>
          </w:p>
        </w:tc>
        <w:tc>
          <w:tcPr>
            <w:tcW w:w="1807" w:type="dxa"/>
            <w:tcMar>
              <w:top w:w="28" w:type="dxa"/>
              <w:right w:w="0" w:type="dxa"/>
            </w:tcMar>
          </w:tcPr>
          <w:p w14:paraId="5C645912"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461</w:t>
            </w:r>
          </w:p>
        </w:tc>
        <w:tc>
          <w:tcPr>
            <w:tcW w:w="1897" w:type="dxa"/>
            <w:tcMar>
              <w:top w:w="28" w:type="dxa"/>
              <w:right w:w="28" w:type="dxa"/>
            </w:tcMar>
          </w:tcPr>
          <w:p w14:paraId="10B9EDD2"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225</w:t>
            </w:r>
          </w:p>
        </w:tc>
      </w:tr>
      <w:tr w:rsidR="00F375C7" w:rsidRPr="00E70587" w14:paraId="1E323A47" w14:textId="77777777" w:rsidTr="00217FE8">
        <w:tc>
          <w:tcPr>
            <w:tcW w:w="5872" w:type="dxa"/>
            <w:tcMar>
              <w:top w:w="28" w:type="dxa"/>
            </w:tcMar>
            <w:vAlign w:val="bottom"/>
          </w:tcPr>
          <w:p w14:paraId="4132C8E2"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Consumption of loose tools</w:t>
            </w:r>
          </w:p>
        </w:tc>
        <w:tc>
          <w:tcPr>
            <w:tcW w:w="1807" w:type="dxa"/>
            <w:tcMar>
              <w:top w:w="28" w:type="dxa"/>
              <w:right w:w="0" w:type="dxa"/>
            </w:tcMar>
          </w:tcPr>
          <w:p w14:paraId="54516C27"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292</w:t>
            </w:r>
          </w:p>
        </w:tc>
        <w:tc>
          <w:tcPr>
            <w:tcW w:w="1897" w:type="dxa"/>
            <w:tcMar>
              <w:top w:w="28" w:type="dxa"/>
              <w:right w:w="28" w:type="dxa"/>
            </w:tcMar>
          </w:tcPr>
          <w:p w14:paraId="52AEFD24"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115</w:t>
            </w:r>
          </w:p>
        </w:tc>
      </w:tr>
      <w:tr w:rsidR="00F375C7" w:rsidRPr="00E70587" w14:paraId="48249008" w14:textId="77777777" w:rsidTr="00217FE8">
        <w:tc>
          <w:tcPr>
            <w:tcW w:w="5872" w:type="dxa"/>
            <w:tcMar>
              <w:top w:w="28" w:type="dxa"/>
            </w:tcMar>
            <w:vAlign w:val="bottom"/>
          </w:tcPr>
          <w:p w14:paraId="07F2745D"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Sub-contracting expenses</w:t>
            </w:r>
            <w:r w:rsidRPr="00E70587" w:rsidDel="000F5F3B">
              <w:rPr>
                <w:rFonts w:ascii="Arial" w:hAnsi="Arial" w:cs="Arial"/>
                <w:sz w:val="20"/>
                <w:lang w:val="en-IN"/>
              </w:rPr>
              <w:t xml:space="preserve"> </w:t>
            </w:r>
          </w:p>
        </w:tc>
        <w:tc>
          <w:tcPr>
            <w:tcW w:w="1807" w:type="dxa"/>
            <w:tcMar>
              <w:top w:w="28" w:type="dxa"/>
              <w:right w:w="0" w:type="dxa"/>
            </w:tcMar>
          </w:tcPr>
          <w:p w14:paraId="7B66BA98"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781</w:t>
            </w:r>
          </w:p>
        </w:tc>
        <w:tc>
          <w:tcPr>
            <w:tcW w:w="1897" w:type="dxa"/>
            <w:tcMar>
              <w:top w:w="28" w:type="dxa"/>
              <w:right w:w="28" w:type="dxa"/>
            </w:tcMar>
          </w:tcPr>
          <w:p w14:paraId="2F115CDE"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405</w:t>
            </w:r>
          </w:p>
        </w:tc>
      </w:tr>
      <w:tr w:rsidR="00F375C7" w:rsidRPr="00E70587" w14:paraId="3FA7620C" w14:textId="77777777" w:rsidTr="00217FE8">
        <w:tc>
          <w:tcPr>
            <w:tcW w:w="5872" w:type="dxa"/>
            <w:tcMar>
              <w:top w:w="28" w:type="dxa"/>
            </w:tcMar>
            <w:vAlign w:val="bottom"/>
          </w:tcPr>
          <w:p w14:paraId="0D2490A4"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Customer service expenditure</w:t>
            </w:r>
          </w:p>
        </w:tc>
        <w:tc>
          <w:tcPr>
            <w:tcW w:w="1807" w:type="dxa"/>
            <w:tcMar>
              <w:top w:w="28" w:type="dxa"/>
              <w:right w:w="0" w:type="dxa"/>
            </w:tcMar>
          </w:tcPr>
          <w:p w14:paraId="4ECDA810"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58</w:t>
            </w:r>
          </w:p>
        </w:tc>
        <w:tc>
          <w:tcPr>
            <w:tcW w:w="1897" w:type="dxa"/>
            <w:tcMar>
              <w:top w:w="28" w:type="dxa"/>
              <w:right w:w="28" w:type="dxa"/>
            </w:tcMar>
          </w:tcPr>
          <w:p w14:paraId="42B54867"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38</w:t>
            </w:r>
          </w:p>
        </w:tc>
      </w:tr>
      <w:tr w:rsidR="00F375C7" w:rsidRPr="00E70587" w14:paraId="2E4E8BAD" w14:textId="77777777" w:rsidTr="00217FE8">
        <w:tc>
          <w:tcPr>
            <w:tcW w:w="5872" w:type="dxa"/>
            <w:tcMar>
              <w:top w:w="28" w:type="dxa"/>
            </w:tcMar>
            <w:vAlign w:val="bottom"/>
          </w:tcPr>
          <w:p w14:paraId="13693CE8"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Power and fuel</w:t>
            </w:r>
          </w:p>
        </w:tc>
        <w:tc>
          <w:tcPr>
            <w:tcW w:w="1807" w:type="dxa"/>
            <w:tcMar>
              <w:top w:w="28" w:type="dxa"/>
              <w:right w:w="0" w:type="dxa"/>
            </w:tcMar>
          </w:tcPr>
          <w:p w14:paraId="47523BE4"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717</w:t>
            </w:r>
          </w:p>
        </w:tc>
        <w:tc>
          <w:tcPr>
            <w:tcW w:w="1897" w:type="dxa"/>
            <w:tcMar>
              <w:top w:w="28" w:type="dxa"/>
              <w:right w:w="28" w:type="dxa"/>
            </w:tcMar>
          </w:tcPr>
          <w:p w14:paraId="38D068BA"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547</w:t>
            </w:r>
          </w:p>
        </w:tc>
      </w:tr>
      <w:tr w:rsidR="00F375C7" w:rsidRPr="00E70587" w14:paraId="4A3075F9" w14:textId="77777777" w:rsidTr="00217FE8">
        <w:tc>
          <w:tcPr>
            <w:tcW w:w="5872" w:type="dxa"/>
            <w:tcMar>
              <w:top w:w="28" w:type="dxa"/>
            </w:tcMar>
            <w:vAlign w:val="bottom"/>
          </w:tcPr>
          <w:p w14:paraId="1651391A"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Water charges</w:t>
            </w:r>
          </w:p>
        </w:tc>
        <w:tc>
          <w:tcPr>
            <w:tcW w:w="1807" w:type="dxa"/>
            <w:tcMar>
              <w:top w:w="28" w:type="dxa"/>
              <w:right w:w="0" w:type="dxa"/>
            </w:tcMar>
          </w:tcPr>
          <w:p w14:paraId="45085856"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261</w:t>
            </w:r>
          </w:p>
        </w:tc>
        <w:tc>
          <w:tcPr>
            <w:tcW w:w="1897" w:type="dxa"/>
            <w:tcMar>
              <w:top w:w="28" w:type="dxa"/>
              <w:right w:w="28" w:type="dxa"/>
            </w:tcMar>
          </w:tcPr>
          <w:p w14:paraId="6C31B66D"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189</w:t>
            </w:r>
          </w:p>
        </w:tc>
      </w:tr>
      <w:tr w:rsidR="00F375C7" w:rsidRPr="00E70587" w14:paraId="08D2B9C4" w14:textId="77777777" w:rsidTr="00217FE8">
        <w:tc>
          <w:tcPr>
            <w:tcW w:w="5872" w:type="dxa"/>
            <w:tcMar>
              <w:top w:w="28" w:type="dxa"/>
            </w:tcMar>
            <w:vAlign w:val="bottom"/>
          </w:tcPr>
          <w:p w14:paraId="402AAD65"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Freight and forwarding charges</w:t>
            </w:r>
          </w:p>
        </w:tc>
        <w:tc>
          <w:tcPr>
            <w:tcW w:w="1807" w:type="dxa"/>
            <w:tcMar>
              <w:top w:w="28" w:type="dxa"/>
              <w:right w:w="0" w:type="dxa"/>
            </w:tcMar>
          </w:tcPr>
          <w:p w14:paraId="404AD0A9"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707</w:t>
            </w:r>
          </w:p>
        </w:tc>
        <w:tc>
          <w:tcPr>
            <w:tcW w:w="1897" w:type="dxa"/>
            <w:tcMar>
              <w:top w:w="28" w:type="dxa"/>
              <w:right w:w="28" w:type="dxa"/>
            </w:tcMar>
          </w:tcPr>
          <w:p w14:paraId="1133BC7D"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526</w:t>
            </w:r>
          </w:p>
        </w:tc>
      </w:tr>
      <w:tr w:rsidR="00F375C7" w:rsidRPr="00E70587" w14:paraId="5003987D" w14:textId="77777777" w:rsidTr="00217FE8">
        <w:tc>
          <w:tcPr>
            <w:tcW w:w="5872" w:type="dxa"/>
            <w:tcMar>
              <w:top w:w="28" w:type="dxa"/>
            </w:tcMar>
            <w:vAlign w:val="bottom"/>
          </w:tcPr>
          <w:p w14:paraId="172D4A14" w14:textId="53BCDC68" w:rsidR="00F375C7" w:rsidRPr="00E70587" w:rsidRDefault="001D2D2F" w:rsidP="009A5E2F">
            <w:pPr>
              <w:pStyle w:val="tabletext"/>
              <w:overflowPunct w:val="0"/>
              <w:autoSpaceDE w:val="0"/>
              <w:autoSpaceDN w:val="0"/>
              <w:adjustRightInd w:val="0"/>
              <w:spacing w:line="280" w:lineRule="exact"/>
              <w:textAlignment w:val="baseline"/>
              <w:rPr>
                <w:rFonts w:ascii="Arial" w:hAnsi="Arial" w:cs="Arial"/>
                <w:sz w:val="20"/>
                <w:lang w:val="en-IN"/>
              </w:rPr>
            </w:pPr>
            <w:r>
              <w:rPr>
                <w:rFonts w:ascii="Arial" w:hAnsi="Arial" w:cs="Arial"/>
                <w:sz w:val="20"/>
                <w:lang w:val="en-IN"/>
              </w:rPr>
              <w:t>Expenses relating to leases of low value assets (Note 42)</w:t>
            </w:r>
          </w:p>
        </w:tc>
        <w:tc>
          <w:tcPr>
            <w:tcW w:w="1807" w:type="dxa"/>
            <w:tcMar>
              <w:top w:w="28" w:type="dxa"/>
              <w:right w:w="0" w:type="dxa"/>
            </w:tcMar>
          </w:tcPr>
          <w:p w14:paraId="3F7FABBF" w14:textId="0F60570E" w:rsidR="00F375C7" w:rsidRPr="00E70587" w:rsidRDefault="00C96A4D" w:rsidP="001510A2">
            <w:pPr>
              <w:overflowPunct/>
              <w:spacing w:line="280" w:lineRule="exact"/>
              <w:ind w:right="108"/>
              <w:jc w:val="right"/>
              <w:textAlignment w:val="auto"/>
              <w:rPr>
                <w:rFonts w:ascii="Arial" w:hAnsi="Arial" w:cs="Arial"/>
                <w:sz w:val="20"/>
                <w:lang w:eastAsia="en-GB"/>
              </w:rPr>
            </w:pPr>
            <w:r>
              <w:rPr>
                <w:rFonts w:ascii="Arial" w:hAnsi="Arial" w:cs="Arial"/>
                <w:sz w:val="20"/>
                <w:lang w:eastAsia="en-GB"/>
              </w:rPr>
              <w:t>32</w:t>
            </w:r>
          </w:p>
        </w:tc>
        <w:tc>
          <w:tcPr>
            <w:tcW w:w="1897" w:type="dxa"/>
            <w:tcMar>
              <w:top w:w="28" w:type="dxa"/>
              <w:right w:w="28" w:type="dxa"/>
            </w:tcMar>
          </w:tcPr>
          <w:p w14:paraId="1FEC86FF" w14:textId="7DF85C52" w:rsidR="00F375C7" w:rsidRPr="00E70587" w:rsidRDefault="00C96A4D" w:rsidP="001510A2">
            <w:pPr>
              <w:overflowPunct/>
              <w:spacing w:line="280" w:lineRule="exact"/>
              <w:ind w:right="108"/>
              <w:jc w:val="right"/>
              <w:textAlignment w:val="auto"/>
              <w:rPr>
                <w:rFonts w:ascii="Arial" w:hAnsi="Arial" w:cs="Arial"/>
                <w:sz w:val="20"/>
                <w:lang w:eastAsia="en-GB"/>
              </w:rPr>
            </w:pPr>
            <w:r>
              <w:rPr>
                <w:rFonts w:ascii="Arial" w:hAnsi="Arial" w:cs="Arial"/>
                <w:sz w:val="20"/>
                <w:lang w:eastAsia="en-GB"/>
              </w:rPr>
              <w:t>31</w:t>
            </w:r>
          </w:p>
        </w:tc>
      </w:tr>
      <w:tr w:rsidR="001D2D2F" w:rsidRPr="00E70587" w14:paraId="319A9907" w14:textId="77777777" w:rsidTr="00217FE8">
        <w:tc>
          <w:tcPr>
            <w:tcW w:w="5872" w:type="dxa"/>
            <w:tcMar>
              <w:top w:w="28" w:type="dxa"/>
            </w:tcMar>
            <w:vAlign w:val="bottom"/>
          </w:tcPr>
          <w:p w14:paraId="7859C770" w14:textId="387B7F91" w:rsidR="001D2D2F" w:rsidRPr="00E70587" w:rsidDel="001D2D2F" w:rsidRDefault="001D2D2F" w:rsidP="009A5E2F">
            <w:pPr>
              <w:pStyle w:val="tabletext"/>
              <w:overflowPunct w:val="0"/>
              <w:autoSpaceDE w:val="0"/>
              <w:autoSpaceDN w:val="0"/>
              <w:adjustRightInd w:val="0"/>
              <w:spacing w:line="280" w:lineRule="exact"/>
              <w:textAlignment w:val="baseline"/>
              <w:rPr>
                <w:rFonts w:ascii="Arial" w:hAnsi="Arial" w:cs="Arial"/>
                <w:sz w:val="20"/>
                <w:lang w:val="en-IN"/>
              </w:rPr>
            </w:pPr>
            <w:r>
              <w:rPr>
                <w:rFonts w:ascii="Arial" w:hAnsi="Arial" w:cs="Arial"/>
                <w:sz w:val="20"/>
                <w:lang w:val="en-IN"/>
              </w:rPr>
              <w:t>Expenses relating to short-term leases (Note 42)</w:t>
            </w:r>
          </w:p>
        </w:tc>
        <w:tc>
          <w:tcPr>
            <w:tcW w:w="1807" w:type="dxa"/>
            <w:tcMar>
              <w:top w:w="28" w:type="dxa"/>
              <w:right w:w="0" w:type="dxa"/>
            </w:tcMar>
          </w:tcPr>
          <w:p w14:paraId="2744F9AB" w14:textId="0227BC5E" w:rsidR="001D2D2F" w:rsidRPr="00E70587" w:rsidRDefault="00C96A4D" w:rsidP="001510A2">
            <w:pPr>
              <w:overflowPunct/>
              <w:spacing w:line="280" w:lineRule="exact"/>
              <w:ind w:right="108"/>
              <w:jc w:val="right"/>
              <w:textAlignment w:val="auto"/>
              <w:rPr>
                <w:rFonts w:ascii="Arial" w:hAnsi="Arial" w:cs="Arial"/>
                <w:sz w:val="20"/>
                <w:lang w:eastAsia="en-GB"/>
              </w:rPr>
            </w:pPr>
            <w:r>
              <w:rPr>
                <w:rFonts w:ascii="Arial" w:hAnsi="Arial" w:cs="Arial"/>
                <w:sz w:val="20"/>
                <w:lang w:eastAsia="en-GB"/>
              </w:rPr>
              <w:t>40</w:t>
            </w:r>
          </w:p>
        </w:tc>
        <w:tc>
          <w:tcPr>
            <w:tcW w:w="1897" w:type="dxa"/>
            <w:tcMar>
              <w:top w:w="28" w:type="dxa"/>
              <w:right w:w="28" w:type="dxa"/>
            </w:tcMar>
          </w:tcPr>
          <w:p w14:paraId="1C2AD0D7" w14:textId="3D31D08C" w:rsidR="001D2D2F" w:rsidRPr="00E70587" w:rsidRDefault="00C96A4D" w:rsidP="001510A2">
            <w:pPr>
              <w:overflowPunct/>
              <w:spacing w:line="280" w:lineRule="exact"/>
              <w:ind w:right="108"/>
              <w:jc w:val="right"/>
              <w:textAlignment w:val="auto"/>
              <w:rPr>
                <w:rFonts w:ascii="Arial" w:hAnsi="Arial" w:cs="Arial"/>
                <w:sz w:val="20"/>
                <w:lang w:eastAsia="en-GB"/>
              </w:rPr>
            </w:pPr>
            <w:r>
              <w:rPr>
                <w:rFonts w:ascii="Arial" w:hAnsi="Arial" w:cs="Arial"/>
                <w:sz w:val="20"/>
                <w:lang w:eastAsia="en-GB"/>
              </w:rPr>
              <w:t>38</w:t>
            </w:r>
          </w:p>
        </w:tc>
      </w:tr>
      <w:tr w:rsidR="001D2D2F" w:rsidRPr="00E70587" w14:paraId="65AE03D6" w14:textId="77777777" w:rsidTr="00217FE8">
        <w:tc>
          <w:tcPr>
            <w:tcW w:w="5872" w:type="dxa"/>
            <w:tcMar>
              <w:top w:w="28" w:type="dxa"/>
            </w:tcMar>
            <w:vAlign w:val="bottom"/>
          </w:tcPr>
          <w:p w14:paraId="66D40B65" w14:textId="44CEC5F2" w:rsidR="001D2D2F" w:rsidRPr="00E70587" w:rsidDel="001D2D2F" w:rsidRDefault="001D2D2F" w:rsidP="009A5E2F">
            <w:pPr>
              <w:pStyle w:val="tabletext"/>
              <w:overflowPunct w:val="0"/>
              <w:autoSpaceDE w:val="0"/>
              <w:autoSpaceDN w:val="0"/>
              <w:adjustRightInd w:val="0"/>
              <w:spacing w:line="280" w:lineRule="exact"/>
              <w:textAlignment w:val="baseline"/>
              <w:rPr>
                <w:rFonts w:ascii="Arial" w:hAnsi="Arial" w:cs="Arial"/>
                <w:sz w:val="20"/>
                <w:lang w:val="en-IN"/>
              </w:rPr>
            </w:pPr>
            <w:r>
              <w:rPr>
                <w:rFonts w:ascii="Arial" w:hAnsi="Arial" w:cs="Arial"/>
                <w:sz w:val="20"/>
                <w:lang w:val="en-IN"/>
              </w:rPr>
              <w:t>Variable lease payments (Note 42)</w:t>
            </w:r>
          </w:p>
        </w:tc>
        <w:tc>
          <w:tcPr>
            <w:tcW w:w="1807" w:type="dxa"/>
            <w:tcMar>
              <w:top w:w="28" w:type="dxa"/>
              <w:right w:w="0" w:type="dxa"/>
            </w:tcMar>
          </w:tcPr>
          <w:p w14:paraId="6FC61005" w14:textId="4F02D971" w:rsidR="001D2D2F" w:rsidRPr="00E70587" w:rsidRDefault="00C96A4D" w:rsidP="001510A2">
            <w:pPr>
              <w:overflowPunct/>
              <w:spacing w:line="280" w:lineRule="exact"/>
              <w:ind w:right="108"/>
              <w:jc w:val="right"/>
              <w:textAlignment w:val="auto"/>
              <w:rPr>
                <w:rFonts w:ascii="Arial" w:hAnsi="Arial" w:cs="Arial"/>
                <w:sz w:val="20"/>
                <w:lang w:eastAsia="en-GB"/>
              </w:rPr>
            </w:pPr>
            <w:r>
              <w:rPr>
                <w:rFonts w:ascii="Arial" w:hAnsi="Arial" w:cs="Arial"/>
                <w:sz w:val="20"/>
                <w:lang w:eastAsia="en-GB"/>
              </w:rPr>
              <w:t>128</w:t>
            </w:r>
          </w:p>
        </w:tc>
        <w:tc>
          <w:tcPr>
            <w:tcW w:w="1897" w:type="dxa"/>
            <w:tcMar>
              <w:top w:w="28" w:type="dxa"/>
              <w:right w:w="28" w:type="dxa"/>
            </w:tcMar>
          </w:tcPr>
          <w:p w14:paraId="1C618EBF" w14:textId="7B3594B6" w:rsidR="001D2D2F" w:rsidRPr="00E70587" w:rsidRDefault="00C96A4D" w:rsidP="001510A2">
            <w:pPr>
              <w:overflowPunct/>
              <w:spacing w:line="280" w:lineRule="exact"/>
              <w:ind w:right="108"/>
              <w:jc w:val="right"/>
              <w:textAlignment w:val="auto"/>
              <w:rPr>
                <w:rFonts w:ascii="Arial" w:hAnsi="Arial" w:cs="Arial"/>
                <w:sz w:val="20"/>
                <w:lang w:eastAsia="en-GB"/>
              </w:rPr>
            </w:pPr>
            <w:r>
              <w:rPr>
                <w:rFonts w:ascii="Arial" w:hAnsi="Arial" w:cs="Arial"/>
                <w:sz w:val="20"/>
                <w:lang w:eastAsia="en-GB"/>
              </w:rPr>
              <w:t>119</w:t>
            </w:r>
          </w:p>
        </w:tc>
      </w:tr>
      <w:tr w:rsidR="00F375C7" w:rsidRPr="00E70587" w14:paraId="50BB5E38" w14:textId="77777777" w:rsidTr="00217FE8">
        <w:tc>
          <w:tcPr>
            <w:tcW w:w="5872" w:type="dxa"/>
            <w:tcMar>
              <w:top w:w="28" w:type="dxa"/>
            </w:tcMar>
            <w:vAlign w:val="bottom"/>
          </w:tcPr>
          <w:p w14:paraId="34FDC190"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Rates and taxes</w:t>
            </w:r>
          </w:p>
        </w:tc>
        <w:tc>
          <w:tcPr>
            <w:tcW w:w="1807" w:type="dxa"/>
            <w:tcMar>
              <w:top w:w="28" w:type="dxa"/>
              <w:right w:w="0" w:type="dxa"/>
            </w:tcMar>
          </w:tcPr>
          <w:p w14:paraId="05F7761A" w14:textId="3BFAA462"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2</w:t>
            </w:r>
            <w:r w:rsidR="00424B18">
              <w:rPr>
                <w:rFonts w:ascii="Arial" w:hAnsi="Arial" w:cs="Arial"/>
                <w:sz w:val="20"/>
                <w:lang w:eastAsia="en-GB"/>
              </w:rPr>
              <w:t>7</w:t>
            </w:r>
            <w:r w:rsidRPr="00E70587">
              <w:rPr>
                <w:rFonts w:ascii="Arial" w:hAnsi="Arial" w:cs="Arial"/>
                <w:sz w:val="20"/>
                <w:lang w:eastAsia="en-GB"/>
              </w:rPr>
              <w:t>6</w:t>
            </w:r>
          </w:p>
        </w:tc>
        <w:tc>
          <w:tcPr>
            <w:tcW w:w="1897" w:type="dxa"/>
            <w:tcMar>
              <w:top w:w="28" w:type="dxa"/>
              <w:right w:w="28" w:type="dxa"/>
            </w:tcMar>
          </w:tcPr>
          <w:p w14:paraId="017A6D2F"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189</w:t>
            </w:r>
          </w:p>
        </w:tc>
      </w:tr>
      <w:tr w:rsidR="00F375C7" w:rsidRPr="00E70587" w14:paraId="0FA0AD14" w14:textId="77777777" w:rsidTr="00217FE8">
        <w:tc>
          <w:tcPr>
            <w:tcW w:w="5872" w:type="dxa"/>
            <w:tcMar>
              <w:top w:w="28" w:type="dxa"/>
            </w:tcMar>
            <w:vAlign w:val="bottom"/>
          </w:tcPr>
          <w:p w14:paraId="3F1A6263"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Insurance</w:t>
            </w:r>
          </w:p>
        </w:tc>
        <w:tc>
          <w:tcPr>
            <w:tcW w:w="1807" w:type="dxa"/>
            <w:tcMar>
              <w:top w:w="28" w:type="dxa"/>
              <w:right w:w="0" w:type="dxa"/>
            </w:tcMar>
          </w:tcPr>
          <w:p w14:paraId="723D3F50"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279</w:t>
            </w:r>
          </w:p>
        </w:tc>
        <w:tc>
          <w:tcPr>
            <w:tcW w:w="1897" w:type="dxa"/>
            <w:tcMar>
              <w:top w:w="28" w:type="dxa"/>
              <w:right w:w="28" w:type="dxa"/>
            </w:tcMar>
          </w:tcPr>
          <w:p w14:paraId="32B2C79D"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169</w:t>
            </w:r>
          </w:p>
        </w:tc>
      </w:tr>
      <w:tr w:rsidR="00F375C7" w:rsidRPr="00E70587" w14:paraId="5DB5367A" w14:textId="77777777" w:rsidTr="00217FE8">
        <w:tc>
          <w:tcPr>
            <w:tcW w:w="5872" w:type="dxa"/>
            <w:tcMar>
              <w:top w:w="28" w:type="dxa"/>
            </w:tcMar>
            <w:vAlign w:val="bottom"/>
          </w:tcPr>
          <w:p w14:paraId="221C7FFB"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Repairs and maintenance</w:t>
            </w:r>
          </w:p>
        </w:tc>
        <w:tc>
          <w:tcPr>
            <w:tcW w:w="1807" w:type="dxa"/>
            <w:tcMar>
              <w:top w:w="28" w:type="dxa"/>
              <w:right w:w="0" w:type="dxa"/>
            </w:tcMar>
          </w:tcPr>
          <w:p w14:paraId="3A667E00"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p>
        </w:tc>
        <w:tc>
          <w:tcPr>
            <w:tcW w:w="1897" w:type="dxa"/>
            <w:tcMar>
              <w:top w:w="28" w:type="dxa"/>
              <w:right w:w="28" w:type="dxa"/>
            </w:tcMar>
          </w:tcPr>
          <w:p w14:paraId="08FC9A39"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p>
        </w:tc>
      </w:tr>
      <w:tr w:rsidR="00F375C7" w:rsidRPr="00E70587" w14:paraId="39CA3911" w14:textId="77777777" w:rsidTr="00217FE8">
        <w:tc>
          <w:tcPr>
            <w:tcW w:w="5872" w:type="dxa"/>
            <w:tcMar>
              <w:top w:w="28" w:type="dxa"/>
            </w:tcMar>
            <w:vAlign w:val="bottom"/>
          </w:tcPr>
          <w:p w14:paraId="0BF7C1E3" w14:textId="77777777" w:rsidR="00F375C7" w:rsidRPr="00E70587" w:rsidRDefault="00F375C7" w:rsidP="009A5E2F">
            <w:pPr>
              <w:pStyle w:val="tabletext"/>
              <w:overflowPunct w:val="0"/>
              <w:autoSpaceDE w:val="0"/>
              <w:autoSpaceDN w:val="0"/>
              <w:adjustRightInd w:val="0"/>
              <w:spacing w:line="280" w:lineRule="exact"/>
              <w:ind w:left="450"/>
              <w:textAlignment w:val="baseline"/>
              <w:rPr>
                <w:rFonts w:ascii="Arial" w:hAnsi="Arial" w:cs="Arial"/>
                <w:sz w:val="20"/>
                <w:lang w:val="en-IN"/>
              </w:rPr>
            </w:pPr>
            <w:r w:rsidRPr="00E70587">
              <w:rPr>
                <w:rFonts w:ascii="Arial" w:hAnsi="Arial" w:cs="Arial"/>
                <w:sz w:val="20"/>
                <w:lang w:val="en-IN"/>
              </w:rPr>
              <w:t>Plant and machinery</w:t>
            </w:r>
          </w:p>
        </w:tc>
        <w:tc>
          <w:tcPr>
            <w:tcW w:w="1807" w:type="dxa"/>
            <w:tcMar>
              <w:top w:w="28" w:type="dxa"/>
              <w:right w:w="0" w:type="dxa"/>
            </w:tcMar>
          </w:tcPr>
          <w:p w14:paraId="3AD5D398"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140</w:t>
            </w:r>
          </w:p>
        </w:tc>
        <w:tc>
          <w:tcPr>
            <w:tcW w:w="1897" w:type="dxa"/>
            <w:tcMar>
              <w:top w:w="28" w:type="dxa"/>
              <w:right w:w="28" w:type="dxa"/>
            </w:tcMar>
          </w:tcPr>
          <w:p w14:paraId="3823358D"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85</w:t>
            </w:r>
          </w:p>
        </w:tc>
      </w:tr>
      <w:tr w:rsidR="00F375C7" w:rsidRPr="00E70587" w14:paraId="2D782100" w14:textId="77777777" w:rsidTr="00217FE8">
        <w:tc>
          <w:tcPr>
            <w:tcW w:w="5872" w:type="dxa"/>
            <w:tcMar>
              <w:top w:w="28" w:type="dxa"/>
            </w:tcMar>
            <w:vAlign w:val="bottom"/>
          </w:tcPr>
          <w:p w14:paraId="1DFC08A9" w14:textId="77777777" w:rsidR="00F375C7" w:rsidRPr="00E70587" w:rsidRDefault="00F375C7" w:rsidP="009A5E2F">
            <w:pPr>
              <w:pStyle w:val="tabletext"/>
              <w:overflowPunct w:val="0"/>
              <w:autoSpaceDE w:val="0"/>
              <w:autoSpaceDN w:val="0"/>
              <w:adjustRightInd w:val="0"/>
              <w:spacing w:line="280" w:lineRule="exact"/>
              <w:ind w:left="450"/>
              <w:textAlignment w:val="baseline"/>
              <w:rPr>
                <w:rFonts w:ascii="Arial" w:hAnsi="Arial" w:cs="Arial"/>
                <w:sz w:val="20"/>
                <w:lang w:val="en-IN"/>
              </w:rPr>
            </w:pPr>
            <w:r w:rsidRPr="00E70587">
              <w:rPr>
                <w:rFonts w:ascii="Arial" w:hAnsi="Arial" w:cs="Arial"/>
                <w:sz w:val="20"/>
                <w:lang w:val="en-IN"/>
              </w:rPr>
              <w:t>Buildings</w:t>
            </w:r>
          </w:p>
        </w:tc>
        <w:tc>
          <w:tcPr>
            <w:tcW w:w="1807" w:type="dxa"/>
            <w:tcMar>
              <w:top w:w="28" w:type="dxa"/>
              <w:right w:w="0" w:type="dxa"/>
            </w:tcMar>
          </w:tcPr>
          <w:p w14:paraId="68E4F9CF"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94</w:t>
            </w:r>
          </w:p>
        </w:tc>
        <w:tc>
          <w:tcPr>
            <w:tcW w:w="1897" w:type="dxa"/>
            <w:tcMar>
              <w:top w:w="28" w:type="dxa"/>
              <w:right w:w="28" w:type="dxa"/>
            </w:tcMar>
          </w:tcPr>
          <w:p w14:paraId="33505FCE"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61</w:t>
            </w:r>
          </w:p>
        </w:tc>
      </w:tr>
      <w:tr w:rsidR="00F375C7" w:rsidRPr="00E70587" w14:paraId="6BF70271" w14:textId="77777777" w:rsidTr="00217FE8">
        <w:tc>
          <w:tcPr>
            <w:tcW w:w="5872" w:type="dxa"/>
            <w:tcMar>
              <w:top w:w="28" w:type="dxa"/>
            </w:tcMar>
            <w:vAlign w:val="bottom"/>
          </w:tcPr>
          <w:p w14:paraId="7496DB8E" w14:textId="77777777" w:rsidR="00F375C7" w:rsidRPr="00E70587" w:rsidRDefault="00F375C7" w:rsidP="009A5E2F">
            <w:pPr>
              <w:pStyle w:val="tabletext"/>
              <w:overflowPunct w:val="0"/>
              <w:autoSpaceDE w:val="0"/>
              <w:autoSpaceDN w:val="0"/>
              <w:adjustRightInd w:val="0"/>
              <w:spacing w:line="280" w:lineRule="exact"/>
              <w:ind w:left="450"/>
              <w:textAlignment w:val="baseline"/>
              <w:rPr>
                <w:rFonts w:ascii="Arial" w:hAnsi="Arial" w:cs="Arial"/>
                <w:sz w:val="20"/>
                <w:lang w:val="en-IN"/>
              </w:rPr>
            </w:pPr>
            <w:r w:rsidRPr="00E70587">
              <w:rPr>
                <w:rFonts w:ascii="Arial" w:hAnsi="Arial" w:cs="Arial"/>
                <w:sz w:val="20"/>
                <w:lang w:val="en-IN"/>
              </w:rPr>
              <w:t>Others</w:t>
            </w:r>
          </w:p>
        </w:tc>
        <w:tc>
          <w:tcPr>
            <w:tcW w:w="1807" w:type="dxa"/>
            <w:tcMar>
              <w:top w:w="28" w:type="dxa"/>
              <w:right w:w="0" w:type="dxa"/>
            </w:tcMar>
          </w:tcPr>
          <w:p w14:paraId="5A71DFA1"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40</w:t>
            </w:r>
          </w:p>
        </w:tc>
        <w:tc>
          <w:tcPr>
            <w:tcW w:w="1897" w:type="dxa"/>
            <w:tcMar>
              <w:top w:w="28" w:type="dxa"/>
              <w:right w:w="28" w:type="dxa"/>
            </w:tcMar>
          </w:tcPr>
          <w:p w14:paraId="5D9D05DE" w14:textId="77777777" w:rsidR="00F375C7" w:rsidRPr="00E70587" w:rsidRDefault="00F375C7" w:rsidP="001510A2">
            <w:pPr>
              <w:overflowPunct/>
              <w:spacing w:line="280" w:lineRule="exact"/>
              <w:ind w:right="108"/>
              <w:jc w:val="right"/>
              <w:textAlignment w:val="auto"/>
              <w:rPr>
                <w:rFonts w:ascii="Arial" w:hAnsi="Arial" w:cs="Arial"/>
                <w:sz w:val="20"/>
                <w:lang w:eastAsia="en-GB"/>
              </w:rPr>
            </w:pPr>
            <w:r w:rsidRPr="00E70587">
              <w:rPr>
                <w:rFonts w:ascii="Arial" w:hAnsi="Arial" w:cs="Arial"/>
                <w:sz w:val="20"/>
                <w:lang w:eastAsia="en-GB"/>
              </w:rPr>
              <w:t>16</w:t>
            </w:r>
          </w:p>
        </w:tc>
      </w:tr>
      <w:tr w:rsidR="00F375C7" w:rsidRPr="00E70587" w14:paraId="00A740DF" w14:textId="77777777" w:rsidTr="00217FE8">
        <w:tc>
          <w:tcPr>
            <w:tcW w:w="5872" w:type="dxa"/>
            <w:tcMar>
              <w:top w:w="28" w:type="dxa"/>
            </w:tcMar>
            <w:vAlign w:val="bottom"/>
          </w:tcPr>
          <w:p w14:paraId="7E259F5C" w14:textId="60B59019"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CSR expenditure</w:t>
            </w:r>
            <w:r w:rsidR="00E44DF7">
              <w:rPr>
                <w:rFonts w:ascii="Arial" w:hAnsi="Arial" w:cs="Arial"/>
                <w:sz w:val="20"/>
                <w:lang w:val="en-IN"/>
              </w:rPr>
              <w:t xml:space="preserve"> </w:t>
            </w:r>
            <w:r w:rsidR="00E44DF7" w:rsidRPr="00E70587">
              <w:rPr>
                <w:rFonts w:ascii="Arial" w:hAnsi="Arial" w:cs="Arial"/>
                <w:sz w:val="20"/>
                <w:lang w:val="en-IN"/>
              </w:rPr>
              <w:t>(Refer details below)</w:t>
            </w:r>
          </w:p>
        </w:tc>
        <w:tc>
          <w:tcPr>
            <w:tcW w:w="1807" w:type="dxa"/>
            <w:tcMar>
              <w:top w:w="28" w:type="dxa"/>
              <w:right w:w="0" w:type="dxa"/>
            </w:tcMar>
          </w:tcPr>
          <w:p w14:paraId="045F856F"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409</w:t>
            </w:r>
          </w:p>
        </w:tc>
        <w:tc>
          <w:tcPr>
            <w:tcW w:w="1897" w:type="dxa"/>
            <w:tcMar>
              <w:top w:w="28" w:type="dxa"/>
              <w:right w:w="28" w:type="dxa"/>
            </w:tcMar>
          </w:tcPr>
          <w:p w14:paraId="5F8EB449"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320</w:t>
            </w:r>
          </w:p>
        </w:tc>
      </w:tr>
      <w:tr w:rsidR="00F375C7" w:rsidRPr="00E70587" w14:paraId="6CE13418" w14:textId="77777777" w:rsidTr="00217FE8">
        <w:tc>
          <w:tcPr>
            <w:tcW w:w="5872" w:type="dxa"/>
            <w:tcMar>
              <w:top w:w="28" w:type="dxa"/>
            </w:tcMar>
            <w:vAlign w:val="bottom"/>
          </w:tcPr>
          <w:p w14:paraId="2B705127"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Advertising and sales promotion</w:t>
            </w:r>
          </w:p>
        </w:tc>
        <w:tc>
          <w:tcPr>
            <w:tcW w:w="1807" w:type="dxa"/>
            <w:tcMar>
              <w:top w:w="28" w:type="dxa"/>
              <w:right w:w="0" w:type="dxa"/>
            </w:tcMar>
          </w:tcPr>
          <w:p w14:paraId="0EE60A1B"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421</w:t>
            </w:r>
          </w:p>
        </w:tc>
        <w:tc>
          <w:tcPr>
            <w:tcW w:w="1897" w:type="dxa"/>
            <w:tcMar>
              <w:top w:w="28" w:type="dxa"/>
              <w:right w:w="28" w:type="dxa"/>
            </w:tcMar>
          </w:tcPr>
          <w:p w14:paraId="2A1E70FC"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277</w:t>
            </w:r>
          </w:p>
        </w:tc>
      </w:tr>
      <w:tr w:rsidR="00F375C7" w:rsidRPr="00E70587" w14:paraId="38A50153" w14:textId="77777777" w:rsidTr="00217FE8">
        <w:tc>
          <w:tcPr>
            <w:tcW w:w="5872" w:type="dxa"/>
            <w:tcMar>
              <w:top w:w="28" w:type="dxa"/>
            </w:tcMar>
            <w:vAlign w:val="bottom"/>
          </w:tcPr>
          <w:p w14:paraId="16987C49"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Brokerage and discounts</w:t>
            </w:r>
          </w:p>
        </w:tc>
        <w:tc>
          <w:tcPr>
            <w:tcW w:w="1807" w:type="dxa"/>
            <w:tcMar>
              <w:top w:w="28" w:type="dxa"/>
              <w:right w:w="0" w:type="dxa"/>
            </w:tcMar>
          </w:tcPr>
          <w:p w14:paraId="72E4CC9D"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171</w:t>
            </w:r>
          </w:p>
        </w:tc>
        <w:tc>
          <w:tcPr>
            <w:tcW w:w="1897" w:type="dxa"/>
            <w:tcMar>
              <w:top w:w="28" w:type="dxa"/>
              <w:right w:w="28" w:type="dxa"/>
            </w:tcMar>
          </w:tcPr>
          <w:p w14:paraId="4E8AA9E8"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115</w:t>
            </w:r>
          </w:p>
        </w:tc>
      </w:tr>
      <w:tr w:rsidR="00F375C7" w:rsidRPr="00E70587" w14:paraId="7F992326" w14:textId="77777777" w:rsidTr="00217FE8">
        <w:tc>
          <w:tcPr>
            <w:tcW w:w="5872" w:type="dxa"/>
            <w:tcMar>
              <w:top w:w="28" w:type="dxa"/>
            </w:tcMar>
            <w:vAlign w:val="bottom"/>
          </w:tcPr>
          <w:p w14:paraId="2D30910A"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Sales Commission</w:t>
            </w:r>
          </w:p>
        </w:tc>
        <w:tc>
          <w:tcPr>
            <w:tcW w:w="1807" w:type="dxa"/>
            <w:tcMar>
              <w:top w:w="28" w:type="dxa"/>
              <w:right w:w="0" w:type="dxa"/>
            </w:tcMar>
          </w:tcPr>
          <w:p w14:paraId="3B38F5D7"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185</w:t>
            </w:r>
          </w:p>
        </w:tc>
        <w:tc>
          <w:tcPr>
            <w:tcW w:w="1897" w:type="dxa"/>
            <w:tcMar>
              <w:top w:w="28" w:type="dxa"/>
              <w:right w:w="28" w:type="dxa"/>
            </w:tcMar>
          </w:tcPr>
          <w:p w14:paraId="133BFE58"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149</w:t>
            </w:r>
          </w:p>
        </w:tc>
      </w:tr>
      <w:tr w:rsidR="00F375C7" w:rsidRPr="00E70587" w14:paraId="33122B8E" w14:textId="77777777" w:rsidTr="00217FE8">
        <w:tc>
          <w:tcPr>
            <w:tcW w:w="5872" w:type="dxa"/>
            <w:tcMar>
              <w:top w:w="28" w:type="dxa"/>
            </w:tcMar>
            <w:vAlign w:val="bottom"/>
          </w:tcPr>
          <w:p w14:paraId="30E656F3"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Travelling and conveyance</w:t>
            </w:r>
          </w:p>
        </w:tc>
        <w:tc>
          <w:tcPr>
            <w:tcW w:w="1807" w:type="dxa"/>
            <w:tcMar>
              <w:top w:w="28" w:type="dxa"/>
              <w:right w:w="0" w:type="dxa"/>
            </w:tcMar>
          </w:tcPr>
          <w:p w14:paraId="0FA282B8" w14:textId="09E8C300" w:rsidR="00F375C7" w:rsidRPr="00E70587" w:rsidRDefault="00F375C7" w:rsidP="007F07B4">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6</w:t>
            </w:r>
            <w:r w:rsidR="007F07B4">
              <w:rPr>
                <w:rFonts w:ascii="Arial" w:hAnsi="Arial" w:cs="Arial"/>
                <w:sz w:val="20"/>
                <w:lang w:eastAsia="en-GB"/>
              </w:rPr>
              <w:t>16</w:t>
            </w:r>
          </w:p>
        </w:tc>
        <w:tc>
          <w:tcPr>
            <w:tcW w:w="1897" w:type="dxa"/>
            <w:tcMar>
              <w:top w:w="28" w:type="dxa"/>
              <w:right w:w="28" w:type="dxa"/>
            </w:tcMar>
          </w:tcPr>
          <w:p w14:paraId="687D8989" w14:textId="418D99E9"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3</w:t>
            </w:r>
            <w:r w:rsidR="007F07B4">
              <w:rPr>
                <w:rFonts w:ascii="Arial" w:hAnsi="Arial" w:cs="Arial"/>
                <w:sz w:val="20"/>
                <w:lang w:eastAsia="en-GB"/>
              </w:rPr>
              <w:t>61</w:t>
            </w:r>
          </w:p>
        </w:tc>
      </w:tr>
      <w:tr w:rsidR="00F375C7" w:rsidRPr="00E70587" w14:paraId="16A61E6A" w14:textId="77777777" w:rsidTr="00217FE8">
        <w:tc>
          <w:tcPr>
            <w:tcW w:w="5872" w:type="dxa"/>
            <w:tcMar>
              <w:top w:w="28" w:type="dxa"/>
            </w:tcMar>
            <w:vAlign w:val="bottom"/>
          </w:tcPr>
          <w:p w14:paraId="5B1DB7CF"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Communication costs</w:t>
            </w:r>
          </w:p>
        </w:tc>
        <w:tc>
          <w:tcPr>
            <w:tcW w:w="1807" w:type="dxa"/>
            <w:tcMar>
              <w:top w:w="28" w:type="dxa"/>
              <w:right w:w="0" w:type="dxa"/>
            </w:tcMar>
          </w:tcPr>
          <w:p w14:paraId="1E215625"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387</w:t>
            </w:r>
          </w:p>
        </w:tc>
        <w:tc>
          <w:tcPr>
            <w:tcW w:w="1897" w:type="dxa"/>
            <w:tcMar>
              <w:top w:w="28" w:type="dxa"/>
              <w:right w:w="28" w:type="dxa"/>
            </w:tcMar>
          </w:tcPr>
          <w:p w14:paraId="7FF28A07"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277</w:t>
            </w:r>
          </w:p>
        </w:tc>
      </w:tr>
      <w:tr w:rsidR="00F375C7" w:rsidRPr="00E70587" w14:paraId="78843B64" w14:textId="77777777" w:rsidTr="00217FE8">
        <w:tc>
          <w:tcPr>
            <w:tcW w:w="5872" w:type="dxa"/>
            <w:tcMar>
              <w:top w:w="28" w:type="dxa"/>
            </w:tcMar>
            <w:vAlign w:val="bottom"/>
          </w:tcPr>
          <w:p w14:paraId="7DE98353"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Printing and stationery</w:t>
            </w:r>
          </w:p>
        </w:tc>
        <w:tc>
          <w:tcPr>
            <w:tcW w:w="1807" w:type="dxa"/>
            <w:tcMar>
              <w:top w:w="28" w:type="dxa"/>
              <w:right w:w="0" w:type="dxa"/>
            </w:tcMar>
          </w:tcPr>
          <w:p w14:paraId="025FF78D"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421</w:t>
            </w:r>
          </w:p>
        </w:tc>
        <w:tc>
          <w:tcPr>
            <w:tcW w:w="1897" w:type="dxa"/>
            <w:tcMar>
              <w:top w:w="28" w:type="dxa"/>
              <w:right w:w="28" w:type="dxa"/>
            </w:tcMar>
          </w:tcPr>
          <w:p w14:paraId="36A87B05"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261</w:t>
            </w:r>
          </w:p>
        </w:tc>
      </w:tr>
      <w:tr w:rsidR="00F375C7" w:rsidRPr="00E70587" w14:paraId="45DE7DCB" w14:textId="77777777" w:rsidTr="00217FE8">
        <w:tc>
          <w:tcPr>
            <w:tcW w:w="5872" w:type="dxa"/>
            <w:tcMar>
              <w:top w:w="28" w:type="dxa"/>
            </w:tcMar>
            <w:vAlign w:val="bottom"/>
          </w:tcPr>
          <w:p w14:paraId="03E7749A"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Legal and professional fees</w:t>
            </w:r>
          </w:p>
        </w:tc>
        <w:tc>
          <w:tcPr>
            <w:tcW w:w="1807" w:type="dxa"/>
            <w:tcMar>
              <w:top w:w="28" w:type="dxa"/>
              <w:right w:w="0" w:type="dxa"/>
            </w:tcMar>
          </w:tcPr>
          <w:p w14:paraId="6170E26E"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184</w:t>
            </w:r>
          </w:p>
        </w:tc>
        <w:tc>
          <w:tcPr>
            <w:tcW w:w="1897" w:type="dxa"/>
            <w:tcMar>
              <w:top w:w="28" w:type="dxa"/>
              <w:right w:w="28" w:type="dxa"/>
            </w:tcMar>
          </w:tcPr>
          <w:p w14:paraId="42AB6F6D"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97</w:t>
            </w:r>
          </w:p>
        </w:tc>
      </w:tr>
      <w:tr w:rsidR="00F375C7" w:rsidRPr="00E70587" w14:paraId="1C83B343" w14:textId="77777777" w:rsidTr="00217FE8">
        <w:tc>
          <w:tcPr>
            <w:tcW w:w="5872" w:type="dxa"/>
            <w:tcMar>
              <w:top w:w="28" w:type="dxa"/>
            </w:tcMar>
            <w:vAlign w:val="bottom"/>
          </w:tcPr>
          <w:p w14:paraId="038C9C62"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Directors’ sitting fees</w:t>
            </w:r>
          </w:p>
        </w:tc>
        <w:tc>
          <w:tcPr>
            <w:tcW w:w="1807" w:type="dxa"/>
            <w:tcMar>
              <w:top w:w="28" w:type="dxa"/>
              <w:right w:w="0" w:type="dxa"/>
            </w:tcMar>
          </w:tcPr>
          <w:p w14:paraId="44580197"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25</w:t>
            </w:r>
          </w:p>
        </w:tc>
        <w:tc>
          <w:tcPr>
            <w:tcW w:w="1897" w:type="dxa"/>
            <w:tcMar>
              <w:top w:w="28" w:type="dxa"/>
              <w:right w:w="28" w:type="dxa"/>
            </w:tcMar>
          </w:tcPr>
          <w:p w14:paraId="7F41DB36"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25</w:t>
            </w:r>
          </w:p>
        </w:tc>
      </w:tr>
      <w:tr w:rsidR="00F375C7" w:rsidRPr="00E70587" w14:paraId="22C5F5AD" w14:textId="77777777" w:rsidTr="00217FE8">
        <w:tc>
          <w:tcPr>
            <w:tcW w:w="5872" w:type="dxa"/>
            <w:tcMar>
              <w:top w:w="28" w:type="dxa"/>
            </w:tcMar>
            <w:vAlign w:val="bottom"/>
          </w:tcPr>
          <w:p w14:paraId="0380C292"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Payment to auditor (Refer details below)</w:t>
            </w:r>
          </w:p>
        </w:tc>
        <w:tc>
          <w:tcPr>
            <w:tcW w:w="1807" w:type="dxa"/>
            <w:tcMar>
              <w:top w:w="28" w:type="dxa"/>
              <w:right w:w="0" w:type="dxa"/>
            </w:tcMar>
          </w:tcPr>
          <w:p w14:paraId="7DB51B79"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324</w:t>
            </w:r>
          </w:p>
        </w:tc>
        <w:tc>
          <w:tcPr>
            <w:tcW w:w="1897" w:type="dxa"/>
            <w:tcMar>
              <w:top w:w="28" w:type="dxa"/>
              <w:right w:w="28" w:type="dxa"/>
            </w:tcMar>
          </w:tcPr>
          <w:p w14:paraId="27EBF941"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259</w:t>
            </w:r>
          </w:p>
        </w:tc>
      </w:tr>
      <w:tr w:rsidR="00F375C7" w:rsidRPr="00E70587" w14:paraId="7C876539" w14:textId="77777777" w:rsidTr="00217FE8">
        <w:tc>
          <w:tcPr>
            <w:tcW w:w="5872" w:type="dxa"/>
            <w:vAlign w:val="bottom"/>
          </w:tcPr>
          <w:p w14:paraId="1F6EB721"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Provision for warranties, restructuring, etc., (net of reversals)</w:t>
            </w:r>
          </w:p>
        </w:tc>
        <w:tc>
          <w:tcPr>
            <w:tcW w:w="1807" w:type="dxa"/>
            <w:tcMar>
              <w:top w:w="28" w:type="dxa"/>
              <w:right w:w="0" w:type="dxa"/>
            </w:tcMar>
          </w:tcPr>
          <w:p w14:paraId="75743930"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446</w:t>
            </w:r>
          </w:p>
        </w:tc>
        <w:tc>
          <w:tcPr>
            <w:tcW w:w="1897" w:type="dxa"/>
            <w:tcMar>
              <w:top w:w="28" w:type="dxa"/>
              <w:right w:w="0" w:type="dxa"/>
            </w:tcMar>
          </w:tcPr>
          <w:p w14:paraId="06C2DC3B"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135</w:t>
            </w:r>
          </w:p>
        </w:tc>
      </w:tr>
      <w:tr w:rsidR="00F375C7" w:rsidRPr="00E70587" w14:paraId="35AD4A7E" w14:textId="77777777" w:rsidTr="00217FE8">
        <w:tc>
          <w:tcPr>
            <w:tcW w:w="5872" w:type="dxa"/>
            <w:vAlign w:val="bottom"/>
          </w:tcPr>
          <w:p w14:paraId="714338D6"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Exchange differences (net)</w:t>
            </w:r>
          </w:p>
        </w:tc>
        <w:tc>
          <w:tcPr>
            <w:tcW w:w="1807" w:type="dxa"/>
            <w:tcMar>
              <w:top w:w="28" w:type="dxa"/>
              <w:right w:w="0" w:type="dxa"/>
            </w:tcMar>
          </w:tcPr>
          <w:p w14:paraId="3AE850C5"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22</w:t>
            </w:r>
          </w:p>
        </w:tc>
        <w:tc>
          <w:tcPr>
            <w:tcW w:w="1897" w:type="dxa"/>
            <w:tcMar>
              <w:top w:w="28" w:type="dxa"/>
              <w:right w:w="0" w:type="dxa"/>
            </w:tcMar>
          </w:tcPr>
          <w:p w14:paraId="7D6F661C"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38</w:t>
            </w:r>
          </w:p>
        </w:tc>
      </w:tr>
      <w:tr w:rsidR="00F375C7" w:rsidRPr="00E70587" w14:paraId="6916B05E" w14:textId="77777777" w:rsidTr="00217FE8">
        <w:tc>
          <w:tcPr>
            <w:tcW w:w="5872" w:type="dxa"/>
            <w:vAlign w:val="bottom"/>
          </w:tcPr>
          <w:p w14:paraId="540F833D" w14:textId="70566159" w:rsidR="00F375C7" w:rsidRPr="00E70587" w:rsidRDefault="00424B18" w:rsidP="009A5E2F">
            <w:pPr>
              <w:pStyle w:val="tabletext"/>
              <w:overflowPunct w:val="0"/>
              <w:autoSpaceDE w:val="0"/>
              <w:autoSpaceDN w:val="0"/>
              <w:adjustRightInd w:val="0"/>
              <w:spacing w:line="280" w:lineRule="exact"/>
              <w:textAlignment w:val="baseline"/>
              <w:rPr>
                <w:rFonts w:ascii="Arial" w:hAnsi="Arial" w:cs="Arial"/>
                <w:sz w:val="20"/>
                <w:lang w:val="en-IN"/>
              </w:rPr>
            </w:pPr>
            <w:r>
              <w:rPr>
                <w:rFonts w:ascii="Arial" w:hAnsi="Arial" w:cs="Arial"/>
                <w:sz w:val="20"/>
                <w:lang w:val="en-IN"/>
              </w:rPr>
              <w:t>Expected credit loss for trade receivables and contract asset</w:t>
            </w:r>
          </w:p>
        </w:tc>
        <w:tc>
          <w:tcPr>
            <w:tcW w:w="1807" w:type="dxa"/>
            <w:tcMar>
              <w:top w:w="28" w:type="dxa"/>
              <w:right w:w="0" w:type="dxa"/>
            </w:tcMar>
          </w:tcPr>
          <w:p w14:paraId="722A8F3A" w14:textId="3CE18E24" w:rsidR="00F375C7" w:rsidRPr="00E70587" w:rsidRDefault="007F07B4" w:rsidP="001510A2">
            <w:pPr>
              <w:overflowPunct/>
              <w:spacing w:line="280" w:lineRule="exact"/>
              <w:ind w:right="101"/>
              <w:jc w:val="right"/>
              <w:textAlignment w:val="auto"/>
              <w:rPr>
                <w:rFonts w:ascii="Arial" w:hAnsi="Arial" w:cs="Arial"/>
                <w:sz w:val="20"/>
                <w:lang w:eastAsia="en-GB"/>
              </w:rPr>
            </w:pPr>
            <w:r>
              <w:rPr>
                <w:rFonts w:ascii="Arial" w:hAnsi="Arial" w:cs="Arial"/>
                <w:sz w:val="20"/>
                <w:lang w:eastAsia="en-GB"/>
              </w:rPr>
              <w:t>37</w:t>
            </w:r>
          </w:p>
        </w:tc>
        <w:tc>
          <w:tcPr>
            <w:tcW w:w="1897" w:type="dxa"/>
            <w:tcMar>
              <w:top w:w="28" w:type="dxa"/>
              <w:right w:w="0" w:type="dxa"/>
            </w:tcMar>
          </w:tcPr>
          <w:p w14:paraId="65C59CA1" w14:textId="3416C9D4" w:rsidR="00F375C7" w:rsidRPr="00E70587" w:rsidRDefault="007F07B4" w:rsidP="001510A2">
            <w:pPr>
              <w:overflowPunct/>
              <w:spacing w:line="280" w:lineRule="exact"/>
              <w:ind w:right="101"/>
              <w:jc w:val="right"/>
              <w:textAlignment w:val="auto"/>
              <w:rPr>
                <w:rFonts w:ascii="Arial" w:hAnsi="Arial" w:cs="Arial"/>
                <w:sz w:val="20"/>
                <w:lang w:eastAsia="en-GB"/>
              </w:rPr>
            </w:pPr>
            <w:r>
              <w:rPr>
                <w:rFonts w:ascii="Arial" w:hAnsi="Arial" w:cs="Arial"/>
                <w:sz w:val="20"/>
                <w:lang w:eastAsia="en-GB"/>
              </w:rPr>
              <w:t>11</w:t>
            </w:r>
          </w:p>
        </w:tc>
      </w:tr>
      <w:tr w:rsidR="00F375C7" w:rsidRPr="00E70587" w14:paraId="556EA0B8" w14:textId="77777777" w:rsidTr="00217FE8">
        <w:tc>
          <w:tcPr>
            <w:tcW w:w="5872" w:type="dxa"/>
            <w:vAlign w:val="bottom"/>
          </w:tcPr>
          <w:p w14:paraId="2678E4DC"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Provision for doubtful debts and advances</w:t>
            </w:r>
          </w:p>
        </w:tc>
        <w:tc>
          <w:tcPr>
            <w:tcW w:w="1807" w:type="dxa"/>
            <w:tcMar>
              <w:top w:w="28" w:type="dxa"/>
              <w:right w:w="0" w:type="dxa"/>
            </w:tcMar>
          </w:tcPr>
          <w:p w14:paraId="06F0962E"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14</w:t>
            </w:r>
          </w:p>
        </w:tc>
        <w:tc>
          <w:tcPr>
            <w:tcW w:w="1897" w:type="dxa"/>
            <w:tcMar>
              <w:top w:w="28" w:type="dxa"/>
              <w:right w:w="0" w:type="dxa"/>
            </w:tcMar>
          </w:tcPr>
          <w:p w14:paraId="56BE1669"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22</w:t>
            </w:r>
          </w:p>
        </w:tc>
      </w:tr>
      <w:tr w:rsidR="00F375C7" w:rsidRPr="00E70587" w14:paraId="61748829" w14:textId="77777777" w:rsidTr="00217FE8">
        <w:tc>
          <w:tcPr>
            <w:tcW w:w="5872" w:type="dxa"/>
            <w:vAlign w:val="bottom"/>
          </w:tcPr>
          <w:p w14:paraId="1018A63D"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Loss on sale of fixed assets (net)</w:t>
            </w:r>
          </w:p>
        </w:tc>
        <w:tc>
          <w:tcPr>
            <w:tcW w:w="1807" w:type="dxa"/>
            <w:tcMar>
              <w:top w:w="28" w:type="dxa"/>
              <w:right w:w="0" w:type="dxa"/>
            </w:tcMar>
          </w:tcPr>
          <w:p w14:paraId="1CAE1B26"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2</w:t>
            </w:r>
          </w:p>
        </w:tc>
        <w:tc>
          <w:tcPr>
            <w:tcW w:w="1897" w:type="dxa"/>
            <w:tcMar>
              <w:top w:w="28" w:type="dxa"/>
              <w:right w:w="0" w:type="dxa"/>
            </w:tcMar>
          </w:tcPr>
          <w:p w14:paraId="5E5441FE"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4</w:t>
            </w:r>
          </w:p>
        </w:tc>
      </w:tr>
      <w:tr w:rsidR="00F375C7" w:rsidRPr="00E70587" w14:paraId="19BF0F8B" w14:textId="77777777" w:rsidTr="00841E38">
        <w:tc>
          <w:tcPr>
            <w:tcW w:w="5872" w:type="dxa"/>
            <w:vAlign w:val="bottom"/>
          </w:tcPr>
          <w:p w14:paraId="4E987365"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Miscellaneous expenses</w:t>
            </w:r>
          </w:p>
        </w:tc>
        <w:tc>
          <w:tcPr>
            <w:tcW w:w="1807" w:type="dxa"/>
            <w:tcMar>
              <w:top w:w="28" w:type="dxa"/>
              <w:right w:w="0" w:type="dxa"/>
            </w:tcMar>
          </w:tcPr>
          <w:p w14:paraId="498FD61D" w14:textId="77777777" w:rsidR="00F375C7" w:rsidRPr="00E70587" w:rsidRDefault="00200091"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rPr>
              <w:t>491</w:t>
            </w:r>
          </w:p>
        </w:tc>
        <w:tc>
          <w:tcPr>
            <w:tcW w:w="1897" w:type="dxa"/>
          </w:tcPr>
          <w:p w14:paraId="2E15EA02" w14:textId="77777777" w:rsidR="00F375C7" w:rsidRPr="00E70587" w:rsidRDefault="00183798" w:rsidP="001510A2">
            <w:pPr>
              <w:ind w:right="101"/>
              <w:jc w:val="right"/>
              <w:rPr>
                <w:rFonts w:ascii="Arial" w:hAnsi="Arial" w:cs="Arial"/>
                <w:color w:val="000000"/>
                <w:sz w:val="20"/>
              </w:rPr>
            </w:pPr>
            <w:r w:rsidRPr="00E70587">
              <w:rPr>
                <w:rFonts w:ascii="Arial" w:hAnsi="Arial" w:cs="Arial"/>
                <w:color w:val="000000"/>
                <w:sz w:val="20"/>
              </w:rPr>
              <w:t>1,67</w:t>
            </w:r>
            <w:r w:rsidR="00841E38" w:rsidRPr="00E70587">
              <w:rPr>
                <w:rFonts w:ascii="Arial" w:hAnsi="Arial" w:cs="Arial"/>
                <w:color w:val="000000"/>
                <w:sz w:val="20"/>
              </w:rPr>
              <w:t>6</w:t>
            </w:r>
          </w:p>
        </w:tc>
      </w:tr>
      <w:tr w:rsidR="00F375C7" w:rsidRPr="00E70587" w14:paraId="5B7DC6D5" w14:textId="77777777" w:rsidTr="00841E38">
        <w:tc>
          <w:tcPr>
            <w:tcW w:w="5872" w:type="dxa"/>
            <w:vAlign w:val="center"/>
          </w:tcPr>
          <w:p w14:paraId="51C3FF8B" w14:textId="6949A02E" w:rsidR="00F375C7" w:rsidRPr="00E70587" w:rsidRDefault="00F375C7" w:rsidP="009A5E2F">
            <w:pPr>
              <w:spacing w:line="280" w:lineRule="exact"/>
              <w:rPr>
                <w:rFonts w:ascii="Arial" w:hAnsi="Arial" w:cs="Arial"/>
                <w:sz w:val="20"/>
              </w:rPr>
            </w:pPr>
            <w:r w:rsidRPr="00E70587">
              <w:rPr>
                <w:rFonts w:ascii="Arial" w:hAnsi="Arial" w:cs="Arial"/>
                <w:sz w:val="20"/>
              </w:rPr>
              <w:lastRenderedPageBreak/>
              <w:t xml:space="preserve">Fair value loss on financial instruments at fair value through profit </w:t>
            </w:r>
            <w:r w:rsidR="00CD5159">
              <w:rPr>
                <w:rFonts w:ascii="Arial" w:hAnsi="Arial" w:cs="Arial"/>
                <w:sz w:val="20"/>
              </w:rPr>
              <w:t>or</w:t>
            </w:r>
            <w:r w:rsidR="001E4077" w:rsidRPr="00E70587">
              <w:rPr>
                <w:rFonts w:ascii="Arial" w:hAnsi="Arial" w:cs="Arial"/>
                <w:sz w:val="20"/>
              </w:rPr>
              <w:t xml:space="preserve"> </w:t>
            </w:r>
            <w:r w:rsidRPr="00E70587">
              <w:rPr>
                <w:rFonts w:ascii="Arial" w:hAnsi="Arial" w:cs="Arial"/>
                <w:sz w:val="20"/>
              </w:rPr>
              <w:t>loss</w:t>
            </w:r>
          </w:p>
        </w:tc>
        <w:tc>
          <w:tcPr>
            <w:tcW w:w="1807" w:type="dxa"/>
            <w:tcMar>
              <w:top w:w="28" w:type="dxa"/>
              <w:right w:w="0" w:type="dxa"/>
            </w:tcMar>
          </w:tcPr>
          <w:p w14:paraId="672F4C3D"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2,704</w:t>
            </w:r>
          </w:p>
        </w:tc>
        <w:tc>
          <w:tcPr>
            <w:tcW w:w="1897" w:type="dxa"/>
          </w:tcPr>
          <w:p w14:paraId="1C8CAAB6" w14:textId="77777777" w:rsidR="00F375C7" w:rsidRPr="00E70587" w:rsidRDefault="00F375C7" w:rsidP="001510A2">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w:t>
            </w:r>
          </w:p>
        </w:tc>
      </w:tr>
      <w:tr w:rsidR="00424B18" w:rsidRPr="00E70587" w14:paraId="3F78F8AE" w14:textId="77777777" w:rsidTr="00FF32A7">
        <w:tc>
          <w:tcPr>
            <w:tcW w:w="5872" w:type="dxa"/>
            <w:vAlign w:val="bottom"/>
          </w:tcPr>
          <w:p w14:paraId="6B82B8C0" w14:textId="74B1E216" w:rsidR="00424B18" w:rsidRPr="00E70587" w:rsidRDefault="00424B18" w:rsidP="00424B18">
            <w:pPr>
              <w:spacing w:line="280" w:lineRule="exact"/>
              <w:rPr>
                <w:rFonts w:ascii="Arial" w:hAnsi="Arial" w:cs="Arial"/>
                <w:sz w:val="20"/>
              </w:rPr>
            </w:pPr>
            <w:r w:rsidRPr="00424B18">
              <w:rPr>
                <w:rFonts w:ascii="Arial" w:hAnsi="Arial" w:cs="Arial"/>
                <w:sz w:val="20"/>
              </w:rPr>
              <w:t>Impairment of debt securities</w:t>
            </w:r>
          </w:p>
        </w:tc>
        <w:tc>
          <w:tcPr>
            <w:tcW w:w="1807" w:type="dxa"/>
            <w:tcMar>
              <w:top w:w="28" w:type="dxa"/>
              <w:right w:w="0" w:type="dxa"/>
            </w:tcMar>
          </w:tcPr>
          <w:p w14:paraId="10F69FAE" w14:textId="673B58DB" w:rsidR="00424B18" w:rsidRPr="00E70587" w:rsidRDefault="00424B18" w:rsidP="00424B18">
            <w:pPr>
              <w:overflowPunct/>
              <w:spacing w:line="280" w:lineRule="exact"/>
              <w:ind w:right="101"/>
              <w:jc w:val="right"/>
              <w:textAlignment w:val="auto"/>
              <w:rPr>
                <w:rFonts w:ascii="Arial" w:hAnsi="Arial" w:cs="Arial"/>
                <w:sz w:val="20"/>
                <w:lang w:eastAsia="en-GB"/>
              </w:rPr>
            </w:pPr>
            <w:r>
              <w:rPr>
                <w:rFonts w:ascii="Arial" w:hAnsi="Arial" w:cs="Arial"/>
                <w:sz w:val="20"/>
                <w:lang w:eastAsia="en-GB"/>
              </w:rPr>
              <w:t>10</w:t>
            </w:r>
          </w:p>
        </w:tc>
        <w:tc>
          <w:tcPr>
            <w:tcW w:w="1897" w:type="dxa"/>
          </w:tcPr>
          <w:p w14:paraId="6058887C" w14:textId="7899F05F" w:rsidR="00424B18" w:rsidRPr="00E70587" w:rsidRDefault="00424B18" w:rsidP="00424B18">
            <w:pPr>
              <w:overflowPunct/>
              <w:spacing w:line="280" w:lineRule="exact"/>
              <w:ind w:right="101"/>
              <w:jc w:val="right"/>
              <w:textAlignment w:val="auto"/>
              <w:rPr>
                <w:rFonts w:ascii="Arial" w:hAnsi="Arial" w:cs="Arial"/>
                <w:sz w:val="20"/>
                <w:lang w:eastAsia="en-GB"/>
              </w:rPr>
            </w:pPr>
            <w:r>
              <w:rPr>
                <w:rFonts w:ascii="Arial" w:hAnsi="Arial" w:cs="Arial"/>
                <w:sz w:val="20"/>
                <w:lang w:eastAsia="en-GB"/>
              </w:rPr>
              <w:t>-</w:t>
            </w:r>
          </w:p>
        </w:tc>
      </w:tr>
      <w:tr w:rsidR="00424B18" w:rsidRPr="00E70587" w14:paraId="49B2E622" w14:textId="77777777" w:rsidTr="00841E38">
        <w:tc>
          <w:tcPr>
            <w:tcW w:w="5872" w:type="dxa"/>
            <w:vAlign w:val="center"/>
          </w:tcPr>
          <w:p w14:paraId="0341B47F" w14:textId="77777777" w:rsidR="00424B18" w:rsidRPr="00E70587" w:rsidRDefault="00424B18" w:rsidP="00424B18">
            <w:pPr>
              <w:spacing w:line="280" w:lineRule="exact"/>
              <w:rPr>
                <w:rFonts w:ascii="Arial" w:hAnsi="Arial" w:cs="Arial"/>
                <w:sz w:val="20"/>
              </w:rPr>
            </w:pPr>
            <w:r w:rsidRPr="00E70587">
              <w:rPr>
                <w:rFonts w:ascii="Arial" w:hAnsi="Arial" w:cs="Arial"/>
                <w:sz w:val="20"/>
              </w:rPr>
              <w:t>Ineffectiveness on forward commodity contracts designated as cash flow hedges (Note 45)</w:t>
            </w:r>
          </w:p>
        </w:tc>
        <w:tc>
          <w:tcPr>
            <w:tcW w:w="1807" w:type="dxa"/>
            <w:tcBorders>
              <w:bottom w:val="single" w:sz="4" w:space="0" w:color="auto"/>
            </w:tcBorders>
            <w:tcMar>
              <w:top w:w="28" w:type="dxa"/>
              <w:right w:w="0" w:type="dxa"/>
            </w:tcMar>
          </w:tcPr>
          <w:p w14:paraId="0AB61AD2" w14:textId="77777777" w:rsidR="00424B18" w:rsidRPr="00E70587" w:rsidRDefault="00424B18" w:rsidP="00424B18">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117</w:t>
            </w:r>
          </w:p>
        </w:tc>
        <w:tc>
          <w:tcPr>
            <w:tcW w:w="1897" w:type="dxa"/>
            <w:tcBorders>
              <w:bottom w:val="single" w:sz="4" w:space="0" w:color="auto"/>
            </w:tcBorders>
          </w:tcPr>
          <w:p w14:paraId="072FA3FD" w14:textId="77777777" w:rsidR="00424B18" w:rsidRPr="00E70587" w:rsidRDefault="00424B18" w:rsidP="00424B18">
            <w:pPr>
              <w:overflowPunct/>
              <w:spacing w:line="280" w:lineRule="exact"/>
              <w:ind w:right="101"/>
              <w:jc w:val="right"/>
              <w:textAlignment w:val="auto"/>
              <w:rPr>
                <w:rFonts w:ascii="Arial" w:hAnsi="Arial" w:cs="Arial"/>
                <w:sz w:val="20"/>
                <w:lang w:eastAsia="en-GB"/>
              </w:rPr>
            </w:pPr>
            <w:r w:rsidRPr="00E70587">
              <w:rPr>
                <w:rFonts w:ascii="Arial" w:hAnsi="Arial" w:cs="Arial"/>
                <w:sz w:val="20"/>
                <w:lang w:eastAsia="en-GB"/>
              </w:rPr>
              <w:t>-</w:t>
            </w:r>
          </w:p>
        </w:tc>
      </w:tr>
      <w:tr w:rsidR="00424B18" w:rsidRPr="00E70587" w14:paraId="14867D2A" w14:textId="77777777" w:rsidTr="00217FE8">
        <w:tc>
          <w:tcPr>
            <w:tcW w:w="5872" w:type="dxa"/>
            <w:vAlign w:val="center"/>
          </w:tcPr>
          <w:p w14:paraId="6F339100" w14:textId="77777777" w:rsidR="00424B18" w:rsidRPr="00E70587" w:rsidRDefault="00424B18" w:rsidP="00424B18">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807" w:type="dxa"/>
            <w:tcBorders>
              <w:top w:val="single" w:sz="4" w:space="0" w:color="auto"/>
              <w:bottom w:val="double" w:sz="4" w:space="0" w:color="auto"/>
            </w:tcBorders>
            <w:tcMar>
              <w:top w:w="28" w:type="dxa"/>
              <w:right w:w="0" w:type="dxa"/>
            </w:tcMar>
            <w:vAlign w:val="center"/>
          </w:tcPr>
          <w:p w14:paraId="284EA077" w14:textId="48930091" w:rsidR="00424B18" w:rsidRPr="00E70587" w:rsidRDefault="00424B18" w:rsidP="00424B18">
            <w:pPr>
              <w:spacing w:line="280" w:lineRule="exact"/>
              <w:ind w:right="101"/>
              <w:jc w:val="right"/>
              <w:rPr>
                <w:rFonts w:ascii="Arial" w:hAnsi="Arial" w:cs="Arial"/>
                <w:b/>
                <w:sz w:val="20"/>
              </w:rPr>
            </w:pPr>
            <w:r w:rsidRPr="00E70587">
              <w:rPr>
                <w:rFonts w:ascii="Arial" w:hAnsi="Arial" w:cs="Arial"/>
                <w:b/>
                <w:bCs/>
                <w:color w:val="000000"/>
                <w:sz w:val="20"/>
              </w:rPr>
              <w:t>11,</w:t>
            </w:r>
            <w:r w:rsidR="00E66C80">
              <w:rPr>
                <w:rFonts w:ascii="Arial" w:hAnsi="Arial" w:cs="Arial"/>
                <w:b/>
                <w:bCs/>
                <w:color w:val="000000"/>
                <w:sz w:val="20"/>
              </w:rPr>
              <w:t>292</w:t>
            </w:r>
          </w:p>
        </w:tc>
        <w:tc>
          <w:tcPr>
            <w:tcW w:w="1897" w:type="dxa"/>
            <w:tcBorders>
              <w:top w:val="single" w:sz="4" w:space="0" w:color="auto"/>
              <w:bottom w:val="double" w:sz="4" w:space="0" w:color="auto"/>
            </w:tcBorders>
            <w:tcMar>
              <w:top w:w="28" w:type="dxa"/>
              <w:right w:w="0" w:type="dxa"/>
            </w:tcMar>
            <w:vAlign w:val="center"/>
          </w:tcPr>
          <w:p w14:paraId="6B6ECB9F" w14:textId="4A899E2E" w:rsidR="00424B18" w:rsidRPr="00E70587" w:rsidRDefault="00E66C80" w:rsidP="00424B18">
            <w:pPr>
              <w:spacing w:line="280" w:lineRule="exact"/>
              <w:ind w:right="101"/>
              <w:jc w:val="right"/>
              <w:rPr>
                <w:rFonts w:ascii="Arial" w:hAnsi="Arial" w:cs="Arial"/>
                <w:b/>
                <w:sz w:val="20"/>
              </w:rPr>
            </w:pPr>
            <w:r>
              <w:rPr>
                <w:rFonts w:ascii="Arial" w:hAnsi="Arial" w:cs="Arial"/>
                <w:b/>
                <w:bCs/>
                <w:color w:val="000000"/>
                <w:sz w:val="20"/>
              </w:rPr>
              <w:t>6,780</w:t>
            </w:r>
          </w:p>
        </w:tc>
      </w:tr>
      <w:tr w:rsidR="00424B18" w:rsidRPr="00E70587" w14:paraId="00DEDB0D" w14:textId="77777777" w:rsidTr="00217FE8">
        <w:tc>
          <w:tcPr>
            <w:tcW w:w="5872" w:type="dxa"/>
            <w:vAlign w:val="center"/>
          </w:tcPr>
          <w:p w14:paraId="067C650A" w14:textId="77777777" w:rsidR="00424B18" w:rsidRPr="00E70587" w:rsidRDefault="00424B18" w:rsidP="00424B18">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807" w:type="dxa"/>
            <w:tcBorders>
              <w:top w:val="double" w:sz="4" w:space="0" w:color="auto"/>
            </w:tcBorders>
            <w:tcMar>
              <w:top w:w="28" w:type="dxa"/>
              <w:right w:w="0" w:type="dxa"/>
            </w:tcMar>
          </w:tcPr>
          <w:p w14:paraId="6D3CED9F" w14:textId="77777777" w:rsidR="00424B18" w:rsidRPr="00E70587" w:rsidRDefault="00424B18" w:rsidP="00424B18">
            <w:pPr>
              <w:spacing w:line="280" w:lineRule="exact"/>
              <w:ind w:right="82"/>
              <w:jc w:val="right"/>
              <w:rPr>
                <w:rFonts w:ascii="Arial" w:hAnsi="Arial" w:cs="Arial"/>
                <w:b/>
                <w:sz w:val="20"/>
              </w:rPr>
            </w:pPr>
          </w:p>
        </w:tc>
        <w:tc>
          <w:tcPr>
            <w:tcW w:w="1897" w:type="dxa"/>
            <w:tcBorders>
              <w:top w:val="double" w:sz="4" w:space="0" w:color="auto"/>
            </w:tcBorders>
            <w:tcMar>
              <w:top w:w="28" w:type="dxa"/>
              <w:right w:w="0" w:type="dxa"/>
            </w:tcMar>
          </w:tcPr>
          <w:p w14:paraId="5574E76B" w14:textId="77777777" w:rsidR="00424B18" w:rsidRPr="00E70587" w:rsidRDefault="00424B18" w:rsidP="00424B18">
            <w:pPr>
              <w:spacing w:line="280" w:lineRule="exact"/>
              <w:jc w:val="right"/>
              <w:rPr>
                <w:rFonts w:ascii="Arial" w:hAnsi="Arial" w:cs="Arial"/>
                <w:b/>
                <w:sz w:val="20"/>
              </w:rPr>
            </w:pPr>
          </w:p>
        </w:tc>
      </w:tr>
      <w:tr w:rsidR="00424B18" w:rsidRPr="00E70587" w14:paraId="4B4F3FBF" w14:textId="77777777" w:rsidTr="00217FE8">
        <w:trPr>
          <w:gridAfter w:val="1"/>
          <w:wAfter w:w="1897" w:type="dxa"/>
        </w:trPr>
        <w:tc>
          <w:tcPr>
            <w:tcW w:w="5872" w:type="dxa"/>
            <w:tcMar>
              <w:right w:w="57" w:type="dxa"/>
            </w:tcMar>
          </w:tcPr>
          <w:p w14:paraId="008639C6" w14:textId="77777777" w:rsidR="00424B18" w:rsidRPr="00E70587" w:rsidRDefault="00424B18" w:rsidP="00424B18">
            <w:pPr>
              <w:pStyle w:val="tabletext"/>
              <w:overflowPunct w:val="0"/>
              <w:autoSpaceDE w:val="0"/>
              <w:autoSpaceDN w:val="0"/>
              <w:adjustRightInd w:val="0"/>
              <w:spacing w:line="280" w:lineRule="exact"/>
              <w:textAlignment w:val="baseline"/>
              <w:rPr>
                <w:rFonts w:ascii="Arial" w:hAnsi="Arial" w:cs="Arial"/>
                <w:lang w:val="en-IN"/>
              </w:rPr>
            </w:pPr>
            <w:r w:rsidRPr="00E70587">
              <w:rPr>
                <w:rFonts w:ascii="Arial" w:hAnsi="Arial" w:cs="Arial"/>
                <w:b/>
                <w:sz w:val="20"/>
                <w:lang w:val="en-IN"/>
              </w:rPr>
              <w:t>Payment to Auditors</w:t>
            </w:r>
          </w:p>
        </w:tc>
        <w:tc>
          <w:tcPr>
            <w:tcW w:w="1807" w:type="dxa"/>
          </w:tcPr>
          <w:p w14:paraId="38630F50" w14:textId="77777777" w:rsidR="00424B18" w:rsidRPr="00E70587" w:rsidRDefault="00424B18" w:rsidP="00424B18">
            <w:pPr>
              <w:pStyle w:val="Heading4"/>
              <w:spacing w:before="0" w:after="0" w:line="280" w:lineRule="exact"/>
              <w:jc w:val="right"/>
              <w:rPr>
                <w:rFonts w:ascii="Arial" w:hAnsi="Arial" w:cs="Arial"/>
                <w:szCs w:val="20"/>
              </w:rPr>
            </w:pPr>
          </w:p>
        </w:tc>
      </w:tr>
      <w:tr w:rsidR="00424B18" w:rsidRPr="00E70587" w14:paraId="262B90A5" w14:textId="77777777" w:rsidTr="00217FE8">
        <w:tc>
          <w:tcPr>
            <w:tcW w:w="5872" w:type="dxa"/>
            <w:shd w:val="clear" w:color="auto" w:fill="auto"/>
          </w:tcPr>
          <w:p w14:paraId="3A4D5F26" w14:textId="77777777" w:rsidR="00424B18" w:rsidRPr="00E70587" w:rsidRDefault="00424B18" w:rsidP="00424B18">
            <w:pPr>
              <w:pStyle w:val="000Normal"/>
              <w:spacing w:before="0" w:after="0" w:line="280" w:lineRule="exact"/>
              <w:rPr>
                <w:rFonts w:ascii="Arial" w:hAnsi="Arial" w:cs="Arial"/>
                <w:sz w:val="20"/>
              </w:rPr>
            </w:pPr>
          </w:p>
        </w:tc>
        <w:tc>
          <w:tcPr>
            <w:tcW w:w="1807" w:type="dxa"/>
            <w:tcBorders>
              <w:bottom w:val="single" w:sz="4" w:space="0" w:color="auto"/>
            </w:tcBorders>
            <w:shd w:val="clear" w:color="auto" w:fill="auto"/>
          </w:tcPr>
          <w:p w14:paraId="454809B3" w14:textId="1C862CF2" w:rsidR="00424B18" w:rsidRPr="00E70587" w:rsidRDefault="00424B18" w:rsidP="00424B1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6958C2" w:rsidRPr="00E70587">
              <w:rPr>
                <w:rFonts w:ascii="Arial" w:hAnsi="Arial"/>
                <w:color w:val="auto"/>
                <w:sz w:val="20"/>
                <w:szCs w:val="20"/>
                <w:lang w:val="en-IN"/>
              </w:rPr>
              <w:t>20</w:t>
            </w:r>
            <w:r w:rsidR="006958C2">
              <w:rPr>
                <w:rFonts w:ascii="Arial" w:hAnsi="Arial"/>
                <w:color w:val="auto"/>
                <w:sz w:val="20"/>
                <w:szCs w:val="20"/>
                <w:lang w:val="en-IN"/>
              </w:rPr>
              <w:t>21</w:t>
            </w:r>
          </w:p>
        </w:tc>
        <w:tc>
          <w:tcPr>
            <w:tcW w:w="1897" w:type="dxa"/>
            <w:tcBorders>
              <w:bottom w:val="single" w:sz="4" w:space="0" w:color="auto"/>
            </w:tcBorders>
            <w:shd w:val="clear" w:color="auto" w:fill="auto"/>
          </w:tcPr>
          <w:p w14:paraId="77A8EA25" w14:textId="6276F869" w:rsidR="00424B18" w:rsidRPr="00E70587" w:rsidRDefault="00424B18" w:rsidP="00424B1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6958C2" w:rsidRPr="00E70587">
              <w:rPr>
                <w:rFonts w:ascii="Arial" w:hAnsi="Arial"/>
                <w:color w:val="auto"/>
                <w:sz w:val="20"/>
                <w:szCs w:val="20"/>
                <w:lang w:val="en-IN"/>
              </w:rPr>
              <w:t>20</w:t>
            </w:r>
            <w:r w:rsidR="006958C2">
              <w:rPr>
                <w:rFonts w:ascii="Arial" w:hAnsi="Arial"/>
                <w:color w:val="auto"/>
                <w:sz w:val="20"/>
                <w:szCs w:val="20"/>
                <w:lang w:val="en-IN"/>
              </w:rPr>
              <w:t>20</w:t>
            </w:r>
          </w:p>
        </w:tc>
      </w:tr>
      <w:tr w:rsidR="00424B18" w:rsidRPr="00E70587" w14:paraId="5B740C1C" w14:textId="77777777" w:rsidTr="00217FE8">
        <w:tc>
          <w:tcPr>
            <w:tcW w:w="5872" w:type="dxa"/>
          </w:tcPr>
          <w:p w14:paraId="7058BF83" w14:textId="77777777" w:rsidR="00424B18" w:rsidRPr="00E70587" w:rsidRDefault="00424B18" w:rsidP="00424B18">
            <w:pPr>
              <w:pStyle w:val="000Normal"/>
              <w:spacing w:before="0" w:after="0" w:line="280" w:lineRule="exact"/>
              <w:jc w:val="right"/>
              <w:rPr>
                <w:rFonts w:ascii="Arial" w:hAnsi="Arial" w:cs="Arial"/>
                <w:b/>
                <w:sz w:val="20"/>
              </w:rPr>
            </w:pPr>
          </w:p>
        </w:tc>
        <w:tc>
          <w:tcPr>
            <w:tcW w:w="1807" w:type="dxa"/>
            <w:tcBorders>
              <w:top w:val="single" w:sz="4" w:space="0" w:color="auto"/>
            </w:tcBorders>
          </w:tcPr>
          <w:p w14:paraId="17B7FFED" w14:textId="77777777" w:rsidR="00424B18" w:rsidRPr="00E70587" w:rsidRDefault="00424B18" w:rsidP="00424B1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97" w:type="dxa"/>
            <w:tcBorders>
              <w:top w:val="single" w:sz="4" w:space="0" w:color="auto"/>
            </w:tcBorders>
          </w:tcPr>
          <w:p w14:paraId="08E1D9FA" w14:textId="77777777" w:rsidR="00424B18" w:rsidRPr="00E70587" w:rsidRDefault="00424B18" w:rsidP="00424B1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424B18" w:rsidRPr="00E70587" w14:paraId="12AF2BD9" w14:textId="77777777" w:rsidTr="00217FE8">
        <w:tc>
          <w:tcPr>
            <w:tcW w:w="5872" w:type="dxa"/>
            <w:tcMar>
              <w:top w:w="28" w:type="dxa"/>
            </w:tcMar>
            <w:vAlign w:val="bottom"/>
          </w:tcPr>
          <w:p w14:paraId="0E01622B" w14:textId="77777777" w:rsidR="00424B18" w:rsidRPr="00E70587" w:rsidRDefault="00424B18" w:rsidP="00424B18">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As auditor:</w:t>
            </w:r>
          </w:p>
        </w:tc>
        <w:tc>
          <w:tcPr>
            <w:tcW w:w="1807" w:type="dxa"/>
            <w:tcMar>
              <w:top w:w="28" w:type="dxa"/>
              <w:right w:w="0" w:type="dxa"/>
            </w:tcMar>
            <w:vAlign w:val="bottom"/>
          </w:tcPr>
          <w:p w14:paraId="661FD6D9" w14:textId="77777777" w:rsidR="00424B18" w:rsidRPr="00E70587" w:rsidRDefault="00424B18" w:rsidP="00424B18">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897" w:type="dxa"/>
            <w:tcMar>
              <w:top w:w="28" w:type="dxa"/>
              <w:right w:w="28" w:type="dxa"/>
            </w:tcMar>
            <w:vAlign w:val="bottom"/>
          </w:tcPr>
          <w:p w14:paraId="6E822AC1" w14:textId="77777777" w:rsidR="00424B18" w:rsidRPr="00E70587" w:rsidRDefault="00424B18" w:rsidP="00424B18">
            <w:pPr>
              <w:pStyle w:val="tabletext"/>
              <w:overflowPunct w:val="0"/>
              <w:autoSpaceDE w:val="0"/>
              <w:autoSpaceDN w:val="0"/>
              <w:adjustRightInd w:val="0"/>
              <w:spacing w:line="280" w:lineRule="exact"/>
              <w:ind w:right="-23"/>
              <w:jc w:val="right"/>
              <w:textAlignment w:val="baseline"/>
              <w:rPr>
                <w:rFonts w:ascii="Arial" w:hAnsi="Arial" w:cs="Arial"/>
                <w:sz w:val="20"/>
                <w:lang w:val="en-IN"/>
              </w:rPr>
            </w:pPr>
          </w:p>
        </w:tc>
      </w:tr>
      <w:tr w:rsidR="00424B18" w:rsidRPr="00E70587" w14:paraId="1378930F" w14:textId="77777777" w:rsidTr="00217FE8">
        <w:tc>
          <w:tcPr>
            <w:tcW w:w="5872" w:type="dxa"/>
            <w:tcMar>
              <w:top w:w="28" w:type="dxa"/>
            </w:tcMar>
            <w:vAlign w:val="bottom"/>
          </w:tcPr>
          <w:p w14:paraId="6531CF83" w14:textId="77777777" w:rsidR="00424B18" w:rsidRPr="00E70587" w:rsidRDefault="00424B18" w:rsidP="00424B18">
            <w:pPr>
              <w:pStyle w:val="tabletext"/>
              <w:overflowPunct w:val="0"/>
              <w:autoSpaceDE w:val="0"/>
              <w:autoSpaceDN w:val="0"/>
              <w:adjustRightInd w:val="0"/>
              <w:spacing w:line="280" w:lineRule="exact"/>
              <w:ind w:left="450"/>
              <w:textAlignment w:val="baseline"/>
              <w:rPr>
                <w:rFonts w:ascii="Arial" w:hAnsi="Arial" w:cs="Arial"/>
                <w:sz w:val="20"/>
                <w:lang w:val="en-IN"/>
              </w:rPr>
            </w:pPr>
            <w:r w:rsidRPr="00E70587">
              <w:rPr>
                <w:rFonts w:ascii="Arial" w:hAnsi="Arial" w:cs="Arial"/>
                <w:sz w:val="20"/>
                <w:lang w:val="en-IN"/>
              </w:rPr>
              <w:t>Audit fee</w:t>
            </w:r>
          </w:p>
        </w:tc>
        <w:tc>
          <w:tcPr>
            <w:tcW w:w="1807" w:type="dxa"/>
            <w:tcMar>
              <w:top w:w="28" w:type="dxa"/>
              <w:right w:w="0" w:type="dxa"/>
            </w:tcMar>
          </w:tcPr>
          <w:p w14:paraId="42F2D0D2" w14:textId="77777777" w:rsidR="00424B18" w:rsidRPr="00E70587" w:rsidRDefault="00424B18" w:rsidP="00424B18">
            <w:pPr>
              <w:overflowPunct/>
              <w:spacing w:line="280" w:lineRule="exact"/>
              <w:ind w:right="198"/>
              <w:jc w:val="right"/>
              <w:textAlignment w:val="auto"/>
              <w:rPr>
                <w:rFonts w:ascii="Arial" w:hAnsi="Arial" w:cs="Arial"/>
                <w:sz w:val="20"/>
                <w:lang w:eastAsia="en-GB"/>
              </w:rPr>
            </w:pPr>
            <w:r w:rsidRPr="00E70587">
              <w:rPr>
                <w:rFonts w:ascii="Arial" w:hAnsi="Arial" w:cs="Arial"/>
                <w:sz w:val="20"/>
                <w:lang w:eastAsia="en-GB"/>
              </w:rPr>
              <w:t>243</w:t>
            </w:r>
          </w:p>
        </w:tc>
        <w:tc>
          <w:tcPr>
            <w:tcW w:w="1897" w:type="dxa"/>
            <w:tcMar>
              <w:top w:w="28" w:type="dxa"/>
              <w:right w:w="28" w:type="dxa"/>
            </w:tcMar>
          </w:tcPr>
          <w:p w14:paraId="7841E845" w14:textId="77777777" w:rsidR="00424B18" w:rsidRPr="00E70587" w:rsidRDefault="00424B18" w:rsidP="00424B18">
            <w:pPr>
              <w:overflowPunct/>
              <w:spacing w:line="280" w:lineRule="exact"/>
              <w:ind w:right="198"/>
              <w:jc w:val="right"/>
              <w:textAlignment w:val="auto"/>
              <w:rPr>
                <w:rFonts w:ascii="Arial" w:hAnsi="Arial" w:cs="Arial"/>
                <w:sz w:val="20"/>
                <w:lang w:eastAsia="en-GB"/>
              </w:rPr>
            </w:pPr>
            <w:r w:rsidRPr="00E70587">
              <w:rPr>
                <w:rFonts w:ascii="Arial" w:hAnsi="Arial" w:cs="Arial"/>
                <w:sz w:val="20"/>
                <w:lang w:eastAsia="en-GB"/>
              </w:rPr>
              <w:t>188</w:t>
            </w:r>
          </w:p>
        </w:tc>
      </w:tr>
      <w:tr w:rsidR="00424B18" w:rsidRPr="00E70587" w14:paraId="5899F7E2" w14:textId="77777777" w:rsidTr="00217FE8">
        <w:tc>
          <w:tcPr>
            <w:tcW w:w="5872" w:type="dxa"/>
            <w:tcMar>
              <w:top w:w="28" w:type="dxa"/>
            </w:tcMar>
            <w:vAlign w:val="bottom"/>
          </w:tcPr>
          <w:p w14:paraId="13AE60D2" w14:textId="77777777" w:rsidR="00424B18" w:rsidRPr="00E70587" w:rsidRDefault="00424B18" w:rsidP="00424B18">
            <w:pPr>
              <w:pStyle w:val="tabletext"/>
              <w:overflowPunct w:val="0"/>
              <w:autoSpaceDE w:val="0"/>
              <w:autoSpaceDN w:val="0"/>
              <w:adjustRightInd w:val="0"/>
              <w:spacing w:line="280" w:lineRule="exact"/>
              <w:ind w:left="450"/>
              <w:textAlignment w:val="baseline"/>
              <w:rPr>
                <w:rFonts w:ascii="Arial" w:hAnsi="Arial" w:cs="Arial"/>
                <w:sz w:val="20"/>
                <w:lang w:val="en-IN"/>
              </w:rPr>
            </w:pPr>
            <w:r w:rsidRPr="00E70587">
              <w:rPr>
                <w:rFonts w:ascii="Arial" w:hAnsi="Arial" w:cs="Arial"/>
                <w:sz w:val="20"/>
                <w:lang w:val="en-IN"/>
              </w:rPr>
              <w:t>Tax audit fee</w:t>
            </w:r>
          </w:p>
        </w:tc>
        <w:tc>
          <w:tcPr>
            <w:tcW w:w="1807" w:type="dxa"/>
            <w:tcMar>
              <w:top w:w="28" w:type="dxa"/>
              <w:right w:w="0" w:type="dxa"/>
            </w:tcMar>
          </w:tcPr>
          <w:p w14:paraId="23C51EE0" w14:textId="77777777" w:rsidR="00424B18" w:rsidRPr="00E70587" w:rsidRDefault="00424B18" w:rsidP="00424B18">
            <w:pPr>
              <w:overflowPunct/>
              <w:spacing w:line="280" w:lineRule="exact"/>
              <w:ind w:right="198"/>
              <w:jc w:val="right"/>
              <w:textAlignment w:val="auto"/>
              <w:rPr>
                <w:rFonts w:ascii="Arial" w:hAnsi="Arial" w:cs="Arial"/>
                <w:sz w:val="20"/>
                <w:lang w:eastAsia="en-GB"/>
              </w:rPr>
            </w:pPr>
            <w:r w:rsidRPr="00E70587">
              <w:rPr>
                <w:rFonts w:ascii="Arial" w:hAnsi="Arial" w:cs="Arial"/>
                <w:sz w:val="20"/>
                <w:lang w:eastAsia="en-GB"/>
              </w:rPr>
              <w:t>18</w:t>
            </w:r>
          </w:p>
        </w:tc>
        <w:tc>
          <w:tcPr>
            <w:tcW w:w="1897" w:type="dxa"/>
            <w:tcMar>
              <w:top w:w="28" w:type="dxa"/>
              <w:right w:w="28" w:type="dxa"/>
            </w:tcMar>
          </w:tcPr>
          <w:p w14:paraId="5C3E2EE5" w14:textId="77777777" w:rsidR="00424B18" w:rsidRPr="00E70587" w:rsidRDefault="00424B18" w:rsidP="00424B18">
            <w:pPr>
              <w:overflowPunct/>
              <w:spacing w:line="280" w:lineRule="exact"/>
              <w:ind w:right="198"/>
              <w:jc w:val="right"/>
              <w:textAlignment w:val="auto"/>
              <w:rPr>
                <w:rFonts w:ascii="Arial" w:hAnsi="Arial" w:cs="Arial"/>
                <w:sz w:val="20"/>
                <w:lang w:eastAsia="en-GB"/>
              </w:rPr>
            </w:pPr>
            <w:r w:rsidRPr="00E70587">
              <w:rPr>
                <w:rFonts w:ascii="Arial" w:hAnsi="Arial" w:cs="Arial"/>
                <w:sz w:val="20"/>
                <w:lang w:eastAsia="en-GB"/>
              </w:rPr>
              <w:t>18</w:t>
            </w:r>
          </w:p>
        </w:tc>
      </w:tr>
      <w:tr w:rsidR="00424B18" w:rsidRPr="00E70587" w14:paraId="2A1FD5D9" w14:textId="77777777" w:rsidTr="00217FE8">
        <w:tc>
          <w:tcPr>
            <w:tcW w:w="5872" w:type="dxa"/>
            <w:tcMar>
              <w:top w:w="28" w:type="dxa"/>
            </w:tcMar>
            <w:vAlign w:val="bottom"/>
          </w:tcPr>
          <w:p w14:paraId="25C77A23" w14:textId="77777777" w:rsidR="00424B18" w:rsidRPr="00E70587" w:rsidRDefault="00424B18" w:rsidP="00424B18">
            <w:pPr>
              <w:pStyle w:val="tabletext"/>
              <w:overflowPunct w:val="0"/>
              <w:autoSpaceDE w:val="0"/>
              <w:autoSpaceDN w:val="0"/>
              <w:adjustRightInd w:val="0"/>
              <w:spacing w:line="280" w:lineRule="exact"/>
              <w:ind w:left="450"/>
              <w:textAlignment w:val="baseline"/>
              <w:rPr>
                <w:rFonts w:ascii="Arial" w:hAnsi="Arial" w:cs="Arial"/>
                <w:sz w:val="20"/>
                <w:lang w:val="en-IN"/>
              </w:rPr>
            </w:pPr>
            <w:r w:rsidRPr="00E70587">
              <w:rPr>
                <w:rFonts w:ascii="Arial" w:hAnsi="Arial" w:cs="Arial"/>
                <w:sz w:val="20"/>
                <w:lang w:val="en-IN"/>
              </w:rPr>
              <w:t>Limited review</w:t>
            </w:r>
          </w:p>
        </w:tc>
        <w:tc>
          <w:tcPr>
            <w:tcW w:w="1807" w:type="dxa"/>
            <w:tcMar>
              <w:top w:w="28" w:type="dxa"/>
              <w:right w:w="0" w:type="dxa"/>
            </w:tcMar>
          </w:tcPr>
          <w:p w14:paraId="70A54CCE" w14:textId="77777777" w:rsidR="00424B18" w:rsidRPr="00E70587" w:rsidRDefault="00424B18" w:rsidP="00424B18">
            <w:pPr>
              <w:overflowPunct/>
              <w:spacing w:line="280" w:lineRule="exact"/>
              <w:ind w:right="198"/>
              <w:jc w:val="right"/>
              <w:textAlignment w:val="auto"/>
              <w:rPr>
                <w:rFonts w:ascii="Arial" w:hAnsi="Arial" w:cs="Arial"/>
                <w:sz w:val="20"/>
                <w:lang w:eastAsia="en-GB"/>
              </w:rPr>
            </w:pPr>
            <w:r w:rsidRPr="00E70587">
              <w:rPr>
                <w:rFonts w:ascii="Arial" w:hAnsi="Arial" w:cs="Arial"/>
                <w:sz w:val="20"/>
                <w:lang w:eastAsia="en-GB"/>
              </w:rPr>
              <w:t>18</w:t>
            </w:r>
          </w:p>
        </w:tc>
        <w:tc>
          <w:tcPr>
            <w:tcW w:w="1897" w:type="dxa"/>
            <w:tcMar>
              <w:top w:w="28" w:type="dxa"/>
              <w:right w:w="28" w:type="dxa"/>
            </w:tcMar>
          </w:tcPr>
          <w:p w14:paraId="10806E9A" w14:textId="77777777" w:rsidR="00424B18" w:rsidRPr="00E70587" w:rsidRDefault="00424B18" w:rsidP="00424B18">
            <w:pPr>
              <w:overflowPunct/>
              <w:spacing w:line="280" w:lineRule="exact"/>
              <w:ind w:right="198"/>
              <w:jc w:val="right"/>
              <w:textAlignment w:val="auto"/>
              <w:rPr>
                <w:rFonts w:ascii="Arial" w:hAnsi="Arial" w:cs="Arial"/>
                <w:sz w:val="20"/>
                <w:lang w:eastAsia="en-GB"/>
              </w:rPr>
            </w:pPr>
            <w:r w:rsidRPr="00E70587">
              <w:rPr>
                <w:rFonts w:ascii="Arial" w:hAnsi="Arial" w:cs="Arial"/>
                <w:sz w:val="20"/>
                <w:lang w:eastAsia="en-GB"/>
              </w:rPr>
              <w:t>18</w:t>
            </w:r>
          </w:p>
        </w:tc>
      </w:tr>
      <w:tr w:rsidR="00424B18" w:rsidRPr="00E70587" w14:paraId="3DC6AA2A" w14:textId="77777777" w:rsidTr="00217FE8">
        <w:tc>
          <w:tcPr>
            <w:tcW w:w="5872" w:type="dxa"/>
            <w:tcMar>
              <w:top w:w="28" w:type="dxa"/>
            </w:tcMar>
            <w:vAlign w:val="bottom"/>
          </w:tcPr>
          <w:p w14:paraId="225BBFC0" w14:textId="77777777" w:rsidR="00424B18" w:rsidRPr="00E70587" w:rsidRDefault="00424B18" w:rsidP="00424B18">
            <w:pPr>
              <w:pStyle w:val="tabletext"/>
              <w:overflowPunct w:val="0"/>
              <w:autoSpaceDE w:val="0"/>
              <w:autoSpaceDN w:val="0"/>
              <w:adjustRightInd w:val="0"/>
              <w:spacing w:line="280" w:lineRule="exact"/>
              <w:ind w:left="450"/>
              <w:textAlignment w:val="baseline"/>
              <w:rPr>
                <w:rFonts w:ascii="Arial" w:hAnsi="Arial" w:cs="Arial"/>
                <w:sz w:val="20"/>
                <w:lang w:val="en-IN"/>
              </w:rPr>
            </w:pPr>
            <w:r w:rsidRPr="00E70587">
              <w:rPr>
                <w:rFonts w:ascii="Arial" w:hAnsi="Arial" w:cs="Arial"/>
                <w:sz w:val="20"/>
                <w:lang w:val="en-IN"/>
              </w:rPr>
              <w:t>In other capacity:</w:t>
            </w:r>
          </w:p>
        </w:tc>
        <w:tc>
          <w:tcPr>
            <w:tcW w:w="1807" w:type="dxa"/>
            <w:tcMar>
              <w:top w:w="28" w:type="dxa"/>
              <w:right w:w="0" w:type="dxa"/>
            </w:tcMar>
          </w:tcPr>
          <w:p w14:paraId="34D7DB07" w14:textId="77777777" w:rsidR="00424B18" w:rsidRPr="00E70587" w:rsidRDefault="00424B18" w:rsidP="00424B18">
            <w:pPr>
              <w:overflowPunct/>
              <w:spacing w:line="280" w:lineRule="exact"/>
              <w:ind w:right="198"/>
              <w:jc w:val="right"/>
              <w:textAlignment w:val="auto"/>
              <w:rPr>
                <w:rFonts w:ascii="Arial" w:hAnsi="Arial" w:cs="Arial"/>
                <w:sz w:val="20"/>
                <w:lang w:eastAsia="en-GB"/>
              </w:rPr>
            </w:pPr>
            <w:r w:rsidRPr="00E70587">
              <w:rPr>
                <w:rFonts w:ascii="Arial" w:hAnsi="Arial" w:cs="Arial"/>
                <w:sz w:val="20"/>
                <w:lang w:eastAsia="en-GB"/>
              </w:rPr>
              <w:t>-</w:t>
            </w:r>
          </w:p>
        </w:tc>
        <w:tc>
          <w:tcPr>
            <w:tcW w:w="1897" w:type="dxa"/>
            <w:tcMar>
              <w:top w:w="28" w:type="dxa"/>
              <w:right w:w="28" w:type="dxa"/>
            </w:tcMar>
          </w:tcPr>
          <w:p w14:paraId="57FA70CF" w14:textId="77777777" w:rsidR="00424B18" w:rsidRPr="00E70587" w:rsidRDefault="00424B18" w:rsidP="00424B18">
            <w:pPr>
              <w:overflowPunct/>
              <w:spacing w:line="280" w:lineRule="exact"/>
              <w:ind w:right="198"/>
              <w:jc w:val="right"/>
              <w:textAlignment w:val="auto"/>
              <w:rPr>
                <w:rFonts w:ascii="Arial" w:hAnsi="Arial" w:cs="Arial"/>
                <w:sz w:val="20"/>
                <w:lang w:eastAsia="en-GB"/>
              </w:rPr>
            </w:pPr>
            <w:r w:rsidRPr="00E70587">
              <w:rPr>
                <w:rFonts w:ascii="Arial" w:hAnsi="Arial" w:cs="Arial"/>
                <w:sz w:val="20"/>
                <w:lang w:eastAsia="en-GB"/>
              </w:rPr>
              <w:t>9</w:t>
            </w:r>
          </w:p>
        </w:tc>
      </w:tr>
      <w:tr w:rsidR="00424B18" w:rsidRPr="00E70587" w14:paraId="28ACA771" w14:textId="77777777" w:rsidTr="00217FE8">
        <w:tc>
          <w:tcPr>
            <w:tcW w:w="5872" w:type="dxa"/>
            <w:tcMar>
              <w:top w:w="28" w:type="dxa"/>
            </w:tcMar>
            <w:vAlign w:val="bottom"/>
          </w:tcPr>
          <w:p w14:paraId="097AD57E" w14:textId="77777777" w:rsidR="00424B18" w:rsidRPr="00E70587" w:rsidRDefault="00424B18" w:rsidP="00424B18">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Taxation matters</w:t>
            </w:r>
          </w:p>
        </w:tc>
        <w:tc>
          <w:tcPr>
            <w:tcW w:w="1807" w:type="dxa"/>
            <w:tcMar>
              <w:top w:w="28" w:type="dxa"/>
              <w:right w:w="0" w:type="dxa"/>
            </w:tcMar>
          </w:tcPr>
          <w:p w14:paraId="485CFA25" w14:textId="77777777" w:rsidR="00424B18" w:rsidRPr="00E70587" w:rsidRDefault="00424B18" w:rsidP="00424B18">
            <w:pPr>
              <w:overflowPunct/>
              <w:spacing w:line="280" w:lineRule="exact"/>
              <w:ind w:right="198"/>
              <w:jc w:val="right"/>
              <w:textAlignment w:val="auto"/>
              <w:rPr>
                <w:rFonts w:ascii="Arial" w:hAnsi="Arial" w:cs="Arial"/>
                <w:sz w:val="20"/>
                <w:lang w:eastAsia="en-GB"/>
              </w:rPr>
            </w:pPr>
          </w:p>
        </w:tc>
        <w:tc>
          <w:tcPr>
            <w:tcW w:w="1897" w:type="dxa"/>
            <w:tcMar>
              <w:top w:w="28" w:type="dxa"/>
              <w:right w:w="28" w:type="dxa"/>
            </w:tcMar>
          </w:tcPr>
          <w:p w14:paraId="31F54033" w14:textId="77777777" w:rsidR="00424B18" w:rsidRPr="00E70587" w:rsidRDefault="00424B18" w:rsidP="00424B18">
            <w:pPr>
              <w:overflowPunct/>
              <w:spacing w:line="280" w:lineRule="exact"/>
              <w:ind w:right="198"/>
              <w:jc w:val="right"/>
              <w:textAlignment w:val="auto"/>
              <w:rPr>
                <w:rFonts w:ascii="Arial" w:hAnsi="Arial" w:cs="Arial"/>
                <w:sz w:val="20"/>
                <w:lang w:eastAsia="en-GB"/>
              </w:rPr>
            </w:pPr>
          </w:p>
        </w:tc>
      </w:tr>
      <w:tr w:rsidR="00424B18" w:rsidRPr="00E70587" w14:paraId="34723388" w14:textId="77777777" w:rsidTr="00217FE8">
        <w:tc>
          <w:tcPr>
            <w:tcW w:w="5872" w:type="dxa"/>
            <w:tcMar>
              <w:top w:w="28" w:type="dxa"/>
            </w:tcMar>
            <w:vAlign w:val="bottom"/>
          </w:tcPr>
          <w:p w14:paraId="02A05566" w14:textId="77777777" w:rsidR="00424B18" w:rsidRPr="00E70587" w:rsidRDefault="00424B18" w:rsidP="00424B18">
            <w:pPr>
              <w:pStyle w:val="tabletext"/>
              <w:overflowPunct w:val="0"/>
              <w:autoSpaceDE w:val="0"/>
              <w:autoSpaceDN w:val="0"/>
              <w:adjustRightInd w:val="0"/>
              <w:spacing w:line="280" w:lineRule="exact"/>
              <w:ind w:left="450"/>
              <w:textAlignment w:val="baseline"/>
              <w:rPr>
                <w:rFonts w:ascii="Arial" w:hAnsi="Arial" w:cs="Arial"/>
                <w:sz w:val="20"/>
                <w:lang w:val="en-IN"/>
              </w:rPr>
            </w:pPr>
            <w:r w:rsidRPr="00E70587">
              <w:rPr>
                <w:rFonts w:ascii="Arial" w:hAnsi="Arial" w:cs="Arial"/>
                <w:sz w:val="20"/>
                <w:lang w:val="en-IN"/>
              </w:rPr>
              <w:t>Company law matters</w:t>
            </w:r>
          </w:p>
        </w:tc>
        <w:tc>
          <w:tcPr>
            <w:tcW w:w="1807" w:type="dxa"/>
            <w:tcMar>
              <w:top w:w="28" w:type="dxa"/>
              <w:right w:w="0" w:type="dxa"/>
            </w:tcMar>
          </w:tcPr>
          <w:p w14:paraId="5BF8D822" w14:textId="77777777" w:rsidR="00424B18" w:rsidRPr="00E70587" w:rsidRDefault="00424B18" w:rsidP="00424B18">
            <w:pPr>
              <w:overflowPunct/>
              <w:spacing w:line="280" w:lineRule="exact"/>
              <w:ind w:right="198"/>
              <w:jc w:val="right"/>
              <w:textAlignment w:val="auto"/>
              <w:rPr>
                <w:rFonts w:ascii="Arial" w:hAnsi="Arial" w:cs="Arial"/>
                <w:sz w:val="20"/>
                <w:lang w:eastAsia="en-GB"/>
              </w:rPr>
            </w:pPr>
            <w:r w:rsidRPr="00E70587">
              <w:rPr>
                <w:rFonts w:ascii="Arial" w:hAnsi="Arial" w:cs="Arial"/>
                <w:sz w:val="20"/>
                <w:lang w:eastAsia="en-GB"/>
              </w:rPr>
              <w:t>13</w:t>
            </w:r>
          </w:p>
        </w:tc>
        <w:tc>
          <w:tcPr>
            <w:tcW w:w="1897" w:type="dxa"/>
            <w:tcMar>
              <w:top w:w="28" w:type="dxa"/>
              <w:right w:w="28" w:type="dxa"/>
            </w:tcMar>
          </w:tcPr>
          <w:p w14:paraId="74888564" w14:textId="77777777" w:rsidR="00424B18" w:rsidRPr="00E70587" w:rsidRDefault="00424B18" w:rsidP="00424B18">
            <w:pPr>
              <w:overflowPunct/>
              <w:spacing w:line="280" w:lineRule="exact"/>
              <w:ind w:right="198"/>
              <w:jc w:val="right"/>
              <w:textAlignment w:val="auto"/>
              <w:rPr>
                <w:rFonts w:ascii="Arial" w:hAnsi="Arial" w:cs="Arial"/>
                <w:sz w:val="20"/>
                <w:lang w:eastAsia="en-GB"/>
              </w:rPr>
            </w:pPr>
            <w:r w:rsidRPr="00E70587">
              <w:rPr>
                <w:rFonts w:ascii="Arial" w:hAnsi="Arial" w:cs="Arial"/>
                <w:sz w:val="20"/>
                <w:lang w:eastAsia="en-GB"/>
              </w:rPr>
              <w:t>11</w:t>
            </w:r>
          </w:p>
        </w:tc>
      </w:tr>
      <w:tr w:rsidR="00424B18" w:rsidRPr="00E70587" w14:paraId="27D365C4" w14:textId="77777777" w:rsidTr="00217FE8">
        <w:tc>
          <w:tcPr>
            <w:tcW w:w="5872" w:type="dxa"/>
            <w:tcMar>
              <w:top w:w="28" w:type="dxa"/>
            </w:tcMar>
            <w:vAlign w:val="bottom"/>
          </w:tcPr>
          <w:p w14:paraId="1C2FB8F5" w14:textId="77777777" w:rsidR="00424B18" w:rsidRPr="00E70587" w:rsidRDefault="00424B18" w:rsidP="00424B18">
            <w:pPr>
              <w:pStyle w:val="tabletext"/>
              <w:overflowPunct w:val="0"/>
              <w:autoSpaceDE w:val="0"/>
              <w:autoSpaceDN w:val="0"/>
              <w:adjustRightInd w:val="0"/>
              <w:spacing w:line="280" w:lineRule="exact"/>
              <w:ind w:left="450"/>
              <w:textAlignment w:val="baseline"/>
              <w:rPr>
                <w:rFonts w:ascii="Arial" w:hAnsi="Arial" w:cs="Arial"/>
                <w:sz w:val="20"/>
                <w:lang w:val="en-IN"/>
              </w:rPr>
            </w:pPr>
            <w:r w:rsidRPr="00E70587">
              <w:rPr>
                <w:rFonts w:ascii="Arial" w:hAnsi="Arial" w:cs="Arial"/>
                <w:sz w:val="20"/>
                <w:lang w:val="en-IN"/>
              </w:rPr>
              <w:t>Other services (certification fees)</w:t>
            </w:r>
          </w:p>
        </w:tc>
        <w:tc>
          <w:tcPr>
            <w:tcW w:w="1807" w:type="dxa"/>
            <w:tcMar>
              <w:top w:w="28" w:type="dxa"/>
              <w:right w:w="0" w:type="dxa"/>
            </w:tcMar>
          </w:tcPr>
          <w:p w14:paraId="6DD74C98" w14:textId="77777777" w:rsidR="00424B18" w:rsidRPr="00E70587" w:rsidRDefault="00424B18" w:rsidP="00424B18">
            <w:pPr>
              <w:overflowPunct/>
              <w:spacing w:line="280" w:lineRule="exact"/>
              <w:ind w:right="198"/>
              <w:jc w:val="right"/>
              <w:textAlignment w:val="auto"/>
              <w:rPr>
                <w:rFonts w:ascii="Arial" w:hAnsi="Arial" w:cs="Arial"/>
                <w:sz w:val="20"/>
                <w:lang w:eastAsia="en-GB"/>
              </w:rPr>
            </w:pPr>
            <w:r w:rsidRPr="00E70587">
              <w:rPr>
                <w:rFonts w:ascii="Arial" w:hAnsi="Arial" w:cs="Arial"/>
                <w:sz w:val="20"/>
                <w:lang w:eastAsia="en-GB"/>
              </w:rPr>
              <w:t>18</w:t>
            </w:r>
          </w:p>
        </w:tc>
        <w:tc>
          <w:tcPr>
            <w:tcW w:w="1897" w:type="dxa"/>
            <w:tcMar>
              <w:top w:w="28" w:type="dxa"/>
              <w:right w:w="28" w:type="dxa"/>
            </w:tcMar>
          </w:tcPr>
          <w:p w14:paraId="77A248E5" w14:textId="77777777" w:rsidR="00424B18" w:rsidRPr="00E70587" w:rsidRDefault="00424B18" w:rsidP="00424B18">
            <w:pPr>
              <w:overflowPunct/>
              <w:spacing w:line="280" w:lineRule="exact"/>
              <w:ind w:right="198"/>
              <w:jc w:val="right"/>
              <w:textAlignment w:val="auto"/>
              <w:rPr>
                <w:rFonts w:ascii="Arial" w:hAnsi="Arial" w:cs="Arial"/>
                <w:sz w:val="20"/>
                <w:lang w:eastAsia="en-GB"/>
              </w:rPr>
            </w:pPr>
            <w:r w:rsidRPr="00E70587">
              <w:rPr>
                <w:rFonts w:ascii="Arial" w:hAnsi="Arial" w:cs="Arial"/>
                <w:sz w:val="20"/>
                <w:lang w:eastAsia="en-GB"/>
              </w:rPr>
              <w:t>4</w:t>
            </w:r>
          </w:p>
        </w:tc>
      </w:tr>
      <w:tr w:rsidR="00424B18" w:rsidRPr="00E70587" w14:paraId="4BA1F2C1" w14:textId="77777777" w:rsidTr="00217FE8">
        <w:tc>
          <w:tcPr>
            <w:tcW w:w="5872" w:type="dxa"/>
            <w:tcMar>
              <w:top w:w="28" w:type="dxa"/>
            </w:tcMar>
            <w:vAlign w:val="bottom"/>
          </w:tcPr>
          <w:p w14:paraId="73F3CB52" w14:textId="77777777" w:rsidR="00424B18" w:rsidRPr="00E70587" w:rsidRDefault="00424B18" w:rsidP="00424B18">
            <w:pPr>
              <w:pStyle w:val="tabletext"/>
              <w:overflowPunct w:val="0"/>
              <w:autoSpaceDE w:val="0"/>
              <w:autoSpaceDN w:val="0"/>
              <w:adjustRightInd w:val="0"/>
              <w:spacing w:line="280" w:lineRule="exact"/>
              <w:ind w:left="450"/>
              <w:textAlignment w:val="baseline"/>
              <w:rPr>
                <w:rFonts w:ascii="Arial" w:hAnsi="Arial" w:cs="Arial"/>
                <w:sz w:val="20"/>
                <w:lang w:val="en-IN"/>
              </w:rPr>
            </w:pPr>
            <w:r w:rsidRPr="00E70587">
              <w:rPr>
                <w:rFonts w:ascii="Arial" w:hAnsi="Arial" w:cs="Arial"/>
                <w:sz w:val="20"/>
                <w:lang w:val="en-IN"/>
              </w:rPr>
              <w:t>Reimbursement of expenses</w:t>
            </w:r>
          </w:p>
        </w:tc>
        <w:tc>
          <w:tcPr>
            <w:tcW w:w="1807" w:type="dxa"/>
            <w:tcBorders>
              <w:bottom w:val="single" w:sz="4" w:space="0" w:color="auto"/>
            </w:tcBorders>
            <w:tcMar>
              <w:top w:w="28" w:type="dxa"/>
              <w:right w:w="0" w:type="dxa"/>
            </w:tcMar>
          </w:tcPr>
          <w:p w14:paraId="6ACBEEB0" w14:textId="77777777" w:rsidR="00424B18" w:rsidRPr="00E70587" w:rsidRDefault="00424B18" w:rsidP="00424B18">
            <w:pPr>
              <w:overflowPunct/>
              <w:spacing w:line="280" w:lineRule="exact"/>
              <w:ind w:right="198"/>
              <w:jc w:val="right"/>
              <w:textAlignment w:val="auto"/>
              <w:rPr>
                <w:rFonts w:ascii="Arial" w:hAnsi="Arial" w:cs="Arial"/>
                <w:sz w:val="20"/>
                <w:lang w:eastAsia="en-GB"/>
              </w:rPr>
            </w:pPr>
            <w:r w:rsidRPr="00E70587">
              <w:rPr>
                <w:rFonts w:ascii="Arial" w:hAnsi="Arial" w:cs="Arial"/>
                <w:sz w:val="20"/>
                <w:lang w:eastAsia="en-GB"/>
              </w:rPr>
              <w:t>14</w:t>
            </w:r>
          </w:p>
        </w:tc>
        <w:tc>
          <w:tcPr>
            <w:tcW w:w="1897" w:type="dxa"/>
            <w:tcBorders>
              <w:bottom w:val="single" w:sz="4" w:space="0" w:color="auto"/>
            </w:tcBorders>
            <w:tcMar>
              <w:top w:w="28" w:type="dxa"/>
              <w:right w:w="28" w:type="dxa"/>
            </w:tcMar>
          </w:tcPr>
          <w:p w14:paraId="2C90D757" w14:textId="77777777" w:rsidR="00424B18" w:rsidRPr="00E70587" w:rsidRDefault="00424B18" w:rsidP="00424B18">
            <w:pPr>
              <w:overflowPunct/>
              <w:spacing w:line="280" w:lineRule="exact"/>
              <w:ind w:right="198"/>
              <w:jc w:val="right"/>
              <w:textAlignment w:val="auto"/>
              <w:rPr>
                <w:rFonts w:ascii="Arial" w:hAnsi="Arial" w:cs="Arial"/>
                <w:sz w:val="20"/>
                <w:lang w:eastAsia="en-GB"/>
              </w:rPr>
            </w:pPr>
            <w:r w:rsidRPr="00E70587">
              <w:rPr>
                <w:rFonts w:ascii="Arial" w:hAnsi="Arial" w:cs="Arial"/>
                <w:sz w:val="20"/>
                <w:lang w:eastAsia="en-GB"/>
              </w:rPr>
              <w:t>11</w:t>
            </w:r>
          </w:p>
        </w:tc>
      </w:tr>
      <w:tr w:rsidR="00424B18" w:rsidRPr="00E70587" w14:paraId="3A31AA35" w14:textId="77777777" w:rsidTr="00217FE8">
        <w:tc>
          <w:tcPr>
            <w:tcW w:w="5872" w:type="dxa"/>
            <w:tcMar>
              <w:top w:w="28" w:type="dxa"/>
            </w:tcMar>
            <w:vAlign w:val="bottom"/>
          </w:tcPr>
          <w:p w14:paraId="1EEAC143" w14:textId="77777777" w:rsidR="00424B18" w:rsidRPr="00E70587" w:rsidRDefault="00424B18" w:rsidP="00424B18">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807" w:type="dxa"/>
            <w:tcBorders>
              <w:top w:val="single" w:sz="4" w:space="0" w:color="auto"/>
              <w:bottom w:val="double" w:sz="4" w:space="0" w:color="auto"/>
            </w:tcBorders>
            <w:tcMar>
              <w:top w:w="28" w:type="dxa"/>
              <w:right w:w="0" w:type="dxa"/>
            </w:tcMar>
          </w:tcPr>
          <w:p w14:paraId="2F04F771" w14:textId="77777777" w:rsidR="00424B18" w:rsidRPr="00E70587" w:rsidRDefault="00424B18" w:rsidP="00424B18">
            <w:pPr>
              <w:overflowPunct/>
              <w:spacing w:line="280" w:lineRule="exact"/>
              <w:ind w:right="198"/>
              <w:jc w:val="right"/>
              <w:textAlignment w:val="auto"/>
              <w:rPr>
                <w:rFonts w:ascii="Arial" w:hAnsi="Arial" w:cs="Arial"/>
                <w:b/>
                <w:sz w:val="20"/>
                <w:lang w:eastAsia="en-GB"/>
              </w:rPr>
            </w:pPr>
            <w:r w:rsidRPr="00E70587">
              <w:rPr>
                <w:rFonts w:ascii="Arial" w:hAnsi="Arial" w:cs="Arial"/>
                <w:b/>
                <w:sz w:val="20"/>
                <w:lang w:eastAsia="en-GB"/>
              </w:rPr>
              <w:t>324</w:t>
            </w:r>
          </w:p>
        </w:tc>
        <w:tc>
          <w:tcPr>
            <w:tcW w:w="1897" w:type="dxa"/>
            <w:tcBorders>
              <w:top w:val="single" w:sz="4" w:space="0" w:color="auto"/>
              <w:bottom w:val="double" w:sz="4" w:space="0" w:color="auto"/>
            </w:tcBorders>
            <w:tcMar>
              <w:top w:w="28" w:type="dxa"/>
              <w:right w:w="28" w:type="dxa"/>
            </w:tcMar>
          </w:tcPr>
          <w:p w14:paraId="6C956431" w14:textId="77777777" w:rsidR="00424B18" w:rsidRPr="00E70587" w:rsidRDefault="00424B18" w:rsidP="00424B18">
            <w:pPr>
              <w:overflowPunct/>
              <w:spacing w:line="280" w:lineRule="exact"/>
              <w:ind w:right="198"/>
              <w:jc w:val="right"/>
              <w:textAlignment w:val="auto"/>
              <w:rPr>
                <w:rFonts w:ascii="Arial" w:hAnsi="Arial" w:cs="Arial"/>
                <w:b/>
                <w:sz w:val="20"/>
                <w:lang w:eastAsia="en-GB"/>
              </w:rPr>
            </w:pPr>
            <w:r w:rsidRPr="00E70587">
              <w:rPr>
                <w:rFonts w:ascii="Arial" w:hAnsi="Arial" w:cs="Arial"/>
                <w:b/>
                <w:sz w:val="20"/>
                <w:lang w:eastAsia="en-GB"/>
              </w:rPr>
              <w:t>259</w:t>
            </w:r>
          </w:p>
        </w:tc>
      </w:tr>
    </w:tbl>
    <w:p w14:paraId="1E5B7737" w14:textId="77777777" w:rsidR="00675AFB" w:rsidRPr="00E70587" w:rsidRDefault="00675AFB" w:rsidP="009901E1">
      <w:pPr>
        <w:spacing w:line="280" w:lineRule="exact"/>
        <w:rPr>
          <w:rFonts w:ascii="Arial" w:hAnsi="Arial" w:cs="Arial"/>
          <w:sz w:val="20"/>
        </w:rPr>
      </w:pPr>
    </w:p>
    <w:p w14:paraId="35F94928" w14:textId="77777777" w:rsidR="00EB5A57" w:rsidRPr="00E70587" w:rsidRDefault="00EB5A57" w:rsidP="009901E1">
      <w:pPr>
        <w:spacing w:line="280" w:lineRule="exact"/>
        <w:rPr>
          <w:rFonts w:ascii="Arial" w:hAnsi="Arial" w:cs="Arial"/>
          <w:b/>
          <w:sz w:val="20"/>
          <w:lang w:eastAsia="en-IN"/>
        </w:rPr>
      </w:pPr>
      <w:r w:rsidRPr="00E70587">
        <w:rPr>
          <w:rFonts w:ascii="Arial" w:hAnsi="Arial" w:cs="Arial"/>
          <w:b/>
          <w:sz w:val="20"/>
          <w:lang w:eastAsia="en-IN"/>
        </w:rPr>
        <w:t>Details of CSR expenditure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0"/>
        <w:gridCol w:w="1825"/>
        <w:gridCol w:w="1825"/>
      </w:tblGrid>
      <w:tr w:rsidR="00EB5A57" w:rsidRPr="00E70587" w14:paraId="1D66E38C" w14:textId="77777777" w:rsidTr="001E4077">
        <w:tc>
          <w:tcPr>
            <w:tcW w:w="5710" w:type="dxa"/>
          </w:tcPr>
          <w:p w14:paraId="377844A5" w14:textId="77777777" w:rsidR="00EB5A57" w:rsidRPr="00E70587" w:rsidRDefault="00EB5A57" w:rsidP="009901E1">
            <w:pPr>
              <w:spacing w:line="280" w:lineRule="exact"/>
              <w:rPr>
                <w:rFonts w:ascii="Arial" w:hAnsi="Arial" w:cs="Arial"/>
                <w:sz w:val="20"/>
              </w:rPr>
            </w:pPr>
          </w:p>
        </w:tc>
        <w:tc>
          <w:tcPr>
            <w:tcW w:w="1825" w:type="dxa"/>
            <w:tcBorders>
              <w:bottom w:val="single" w:sz="4" w:space="0" w:color="auto"/>
            </w:tcBorders>
          </w:tcPr>
          <w:p w14:paraId="1BEE41DD" w14:textId="0924AC57" w:rsidR="00EB5A57" w:rsidRPr="00E70587" w:rsidRDefault="00EB5A57" w:rsidP="00EB5A57">
            <w:pPr>
              <w:spacing w:line="280" w:lineRule="exact"/>
              <w:jc w:val="right"/>
              <w:rPr>
                <w:rFonts w:ascii="Arial" w:hAnsi="Arial" w:cs="Arial"/>
                <w:b/>
                <w:sz w:val="20"/>
              </w:rPr>
            </w:pPr>
            <w:r w:rsidRPr="00E70587">
              <w:rPr>
                <w:rFonts w:ascii="Arial" w:hAnsi="Arial"/>
                <w:b/>
                <w:sz w:val="20"/>
              </w:rPr>
              <w:t xml:space="preserve">31 </w:t>
            </w:r>
            <w:r w:rsidR="00E1202D" w:rsidRPr="00E70587">
              <w:rPr>
                <w:rFonts w:ascii="Arial" w:hAnsi="Arial"/>
                <w:b/>
                <w:sz w:val="20"/>
              </w:rPr>
              <w:t xml:space="preserve">March </w:t>
            </w:r>
            <w:r w:rsidR="006958C2" w:rsidRPr="00E70587">
              <w:rPr>
                <w:rFonts w:ascii="Arial" w:hAnsi="Arial"/>
                <w:b/>
                <w:sz w:val="20"/>
              </w:rPr>
              <w:t>20</w:t>
            </w:r>
            <w:r w:rsidR="006958C2">
              <w:rPr>
                <w:rFonts w:ascii="Arial" w:hAnsi="Arial"/>
                <w:b/>
                <w:sz w:val="20"/>
              </w:rPr>
              <w:t>21</w:t>
            </w:r>
          </w:p>
        </w:tc>
        <w:tc>
          <w:tcPr>
            <w:tcW w:w="1825" w:type="dxa"/>
            <w:tcBorders>
              <w:bottom w:val="single" w:sz="4" w:space="0" w:color="auto"/>
            </w:tcBorders>
          </w:tcPr>
          <w:p w14:paraId="1E617F8C" w14:textId="5EF43110" w:rsidR="00EB5A57" w:rsidRPr="00E70587" w:rsidRDefault="00EB5A57" w:rsidP="00EB5A57">
            <w:pPr>
              <w:spacing w:line="280" w:lineRule="exact"/>
              <w:jc w:val="right"/>
              <w:rPr>
                <w:rFonts w:ascii="Arial" w:hAnsi="Arial" w:cs="Arial"/>
                <w:b/>
                <w:sz w:val="20"/>
              </w:rPr>
            </w:pPr>
            <w:r w:rsidRPr="00E70587">
              <w:rPr>
                <w:rFonts w:ascii="Arial" w:hAnsi="Arial"/>
                <w:b/>
                <w:sz w:val="20"/>
              </w:rPr>
              <w:t xml:space="preserve">31 </w:t>
            </w:r>
            <w:r w:rsidR="008B730E" w:rsidRPr="00E70587">
              <w:rPr>
                <w:rFonts w:ascii="Arial" w:hAnsi="Arial"/>
                <w:b/>
                <w:sz w:val="20"/>
              </w:rPr>
              <w:t xml:space="preserve">March </w:t>
            </w:r>
            <w:r w:rsidR="006958C2" w:rsidRPr="00E70587">
              <w:rPr>
                <w:rFonts w:ascii="Arial" w:hAnsi="Arial"/>
                <w:b/>
                <w:sz w:val="20"/>
              </w:rPr>
              <w:t>20</w:t>
            </w:r>
            <w:r w:rsidR="006958C2">
              <w:rPr>
                <w:rFonts w:ascii="Arial" w:hAnsi="Arial"/>
                <w:b/>
                <w:sz w:val="20"/>
              </w:rPr>
              <w:t>20</w:t>
            </w:r>
          </w:p>
        </w:tc>
      </w:tr>
      <w:tr w:rsidR="00EB5A57" w:rsidRPr="00E70587" w14:paraId="2FEB3E93" w14:textId="77777777" w:rsidTr="001E4077">
        <w:tc>
          <w:tcPr>
            <w:tcW w:w="5710" w:type="dxa"/>
          </w:tcPr>
          <w:p w14:paraId="0F34227E" w14:textId="77777777" w:rsidR="00EB5A57" w:rsidRPr="00E70587" w:rsidRDefault="00EB5A57" w:rsidP="009901E1">
            <w:pPr>
              <w:spacing w:line="280" w:lineRule="exact"/>
              <w:rPr>
                <w:rFonts w:ascii="Arial" w:hAnsi="Arial" w:cs="Arial"/>
                <w:sz w:val="20"/>
              </w:rPr>
            </w:pPr>
          </w:p>
        </w:tc>
        <w:tc>
          <w:tcPr>
            <w:tcW w:w="1825" w:type="dxa"/>
            <w:tcBorders>
              <w:top w:val="single" w:sz="4" w:space="0" w:color="auto"/>
              <w:bottom w:val="single" w:sz="4" w:space="0" w:color="auto"/>
            </w:tcBorders>
          </w:tcPr>
          <w:p w14:paraId="5E1BEAD4" w14:textId="77777777" w:rsidR="00EB5A57" w:rsidRPr="00E70587" w:rsidRDefault="00EB5A57" w:rsidP="00EB5A57">
            <w:pPr>
              <w:spacing w:line="280" w:lineRule="exact"/>
              <w:jc w:val="right"/>
              <w:rPr>
                <w:rFonts w:ascii="Arial" w:hAnsi="Arial" w:cs="Arial"/>
                <w:b/>
                <w:sz w:val="20"/>
              </w:rPr>
            </w:pPr>
            <w:r w:rsidRPr="00E70587">
              <w:rPr>
                <w:rFonts w:ascii="Arial" w:hAnsi="Arial"/>
                <w:b/>
                <w:sz w:val="20"/>
              </w:rPr>
              <w:t>INR Lacs</w:t>
            </w:r>
          </w:p>
        </w:tc>
        <w:tc>
          <w:tcPr>
            <w:tcW w:w="1825" w:type="dxa"/>
            <w:tcBorders>
              <w:top w:val="single" w:sz="4" w:space="0" w:color="auto"/>
              <w:bottom w:val="single" w:sz="4" w:space="0" w:color="auto"/>
            </w:tcBorders>
          </w:tcPr>
          <w:p w14:paraId="700CA38D" w14:textId="77777777" w:rsidR="00EB5A57" w:rsidRPr="00E70587" w:rsidRDefault="00EB5A57" w:rsidP="00EB5A57">
            <w:pPr>
              <w:spacing w:line="280" w:lineRule="exact"/>
              <w:jc w:val="right"/>
              <w:rPr>
                <w:rFonts w:ascii="Arial" w:hAnsi="Arial" w:cs="Arial"/>
                <w:b/>
                <w:sz w:val="20"/>
              </w:rPr>
            </w:pPr>
            <w:r w:rsidRPr="00E70587">
              <w:rPr>
                <w:rFonts w:ascii="Arial" w:hAnsi="Arial"/>
                <w:b/>
                <w:sz w:val="20"/>
              </w:rPr>
              <w:t>INR Lacs</w:t>
            </w:r>
          </w:p>
        </w:tc>
      </w:tr>
      <w:tr w:rsidR="00EB5A57" w:rsidRPr="00E70587" w14:paraId="04077C89" w14:textId="77777777" w:rsidTr="001E4077">
        <w:tc>
          <w:tcPr>
            <w:tcW w:w="5710" w:type="dxa"/>
          </w:tcPr>
          <w:p w14:paraId="6ECC6C09" w14:textId="77777777" w:rsidR="00EB5A57" w:rsidRPr="00E70587" w:rsidRDefault="00EB5A57" w:rsidP="009901E1">
            <w:pPr>
              <w:spacing w:line="280" w:lineRule="exact"/>
              <w:rPr>
                <w:rFonts w:ascii="Arial" w:hAnsi="Arial" w:cs="Arial"/>
                <w:sz w:val="20"/>
              </w:rPr>
            </w:pPr>
            <w:r w:rsidRPr="00E70587">
              <w:rPr>
                <w:rFonts w:ascii="Arial" w:hAnsi="Arial" w:cs="Arial"/>
                <w:sz w:val="20"/>
                <w:lang w:eastAsia="en-IN"/>
              </w:rPr>
              <w:t>(a) Gross amount required to be spent by the group during the year</w:t>
            </w:r>
          </w:p>
        </w:tc>
        <w:tc>
          <w:tcPr>
            <w:tcW w:w="1825" w:type="dxa"/>
            <w:tcBorders>
              <w:top w:val="single" w:sz="4" w:space="0" w:color="auto"/>
            </w:tcBorders>
          </w:tcPr>
          <w:p w14:paraId="33597EEB" w14:textId="77777777" w:rsidR="00EB5A57" w:rsidRPr="00E70587" w:rsidRDefault="00EB5A57" w:rsidP="00EB5A57">
            <w:pPr>
              <w:spacing w:line="280" w:lineRule="exact"/>
              <w:jc w:val="right"/>
              <w:rPr>
                <w:rFonts w:ascii="Arial" w:hAnsi="Arial" w:cs="Arial"/>
                <w:sz w:val="20"/>
              </w:rPr>
            </w:pPr>
            <w:r w:rsidRPr="00E70587">
              <w:rPr>
                <w:rFonts w:ascii="Arial" w:hAnsi="Arial" w:cs="Arial"/>
                <w:sz w:val="20"/>
              </w:rPr>
              <w:t>409</w:t>
            </w:r>
          </w:p>
        </w:tc>
        <w:tc>
          <w:tcPr>
            <w:tcW w:w="1825" w:type="dxa"/>
            <w:tcBorders>
              <w:top w:val="single" w:sz="4" w:space="0" w:color="auto"/>
            </w:tcBorders>
          </w:tcPr>
          <w:p w14:paraId="0B66DBB6" w14:textId="77777777" w:rsidR="00EB5A57" w:rsidRPr="00E70587" w:rsidRDefault="00EB5A57" w:rsidP="00EB5A57">
            <w:pPr>
              <w:spacing w:line="280" w:lineRule="exact"/>
              <w:jc w:val="right"/>
              <w:rPr>
                <w:rFonts w:ascii="Arial" w:hAnsi="Arial" w:cs="Arial"/>
                <w:sz w:val="20"/>
              </w:rPr>
            </w:pPr>
            <w:r w:rsidRPr="00E70587">
              <w:rPr>
                <w:rFonts w:ascii="Arial" w:hAnsi="Arial" w:cs="Arial"/>
                <w:sz w:val="20"/>
              </w:rPr>
              <w:t>320</w:t>
            </w:r>
          </w:p>
        </w:tc>
      </w:tr>
      <w:tr w:rsidR="0009654B" w:rsidRPr="00E70587" w14:paraId="3F29A545" w14:textId="77777777" w:rsidTr="001E4077">
        <w:tc>
          <w:tcPr>
            <w:tcW w:w="5710" w:type="dxa"/>
            <w:vAlign w:val="center"/>
          </w:tcPr>
          <w:p w14:paraId="6C8570A4" w14:textId="4C8D8DD2" w:rsidR="0009654B" w:rsidRPr="00E70587" w:rsidRDefault="0009654B" w:rsidP="009901E1">
            <w:pPr>
              <w:spacing w:line="280" w:lineRule="exact"/>
              <w:rPr>
                <w:rFonts w:ascii="Arial" w:hAnsi="Arial" w:cs="Arial"/>
                <w:sz w:val="20"/>
                <w:lang w:eastAsia="en-IN"/>
              </w:rPr>
            </w:pPr>
            <w:r>
              <w:rPr>
                <w:rFonts w:ascii="Arial" w:hAnsi="Arial" w:cs="Arial"/>
                <w:sz w:val="20"/>
                <w:lang w:eastAsia="en-IN"/>
              </w:rPr>
              <w:t>(b) Amount approved by the Board to be spent during the year</w:t>
            </w:r>
          </w:p>
        </w:tc>
        <w:tc>
          <w:tcPr>
            <w:tcW w:w="1825" w:type="dxa"/>
          </w:tcPr>
          <w:p w14:paraId="563F32FF" w14:textId="6CE27A03" w:rsidR="0009654B" w:rsidRPr="00E70587" w:rsidRDefault="0009654B" w:rsidP="00EB5A57">
            <w:pPr>
              <w:spacing w:line="280" w:lineRule="exact"/>
              <w:jc w:val="right"/>
              <w:rPr>
                <w:rFonts w:ascii="Arial" w:hAnsi="Arial" w:cs="Arial"/>
                <w:sz w:val="20"/>
                <w:lang w:eastAsia="en-IN"/>
              </w:rPr>
            </w:pPr>
            <w:r>
              <w:rPr>
                <w:rFonts w:ascii="Arial" w:hAnsi="Arial" w:cs="Arial"/>
                <w:sz w:val="20"/>
                <w:lang w:eastAsia="en-IN"/>
              </w:rPr>
              <w:t>415</w:t>
            </w:r>
          </w:p>
        </w:tc>
        <w:tc>
          <w:tcPr>
            <w:tcW w:w="1825" w:type="dxa"/>
          </w:tcPr>
          <w:p w14:paraId="51943E5F" w14:textId="3782B2C3" w:rsidR="0009654B" w:rsidRPr="00E70587" w:rsidRDefault="0009654B" w:rsidP="00EB5A57">
            <w:pPr>
              <w:spacing w:line="280" w:lineRule="exact"/>
              <w:jc w:val="right"/>
              <w:rPr>
                <w:rFonts w:ascii="Arial" w:hAnsi="Arial" w:cs="Arial"/>
                <w:sz w:val="20"/>
                <w:lang w:eastAsia="en-IN"/>
              </w:rPr>
            </w:pPr>
            <w:r>
              <w:rPr>
                <w:rFonts w:ascii="Arial" w:hAnsi="Arial" w:cs="Arial"/>
                <w:sz w:val="20"/>
                <w:lang w:eastAsia="en-IN"/>
              </w:rPr>
              <w:t>330</w:t>
            </w:r>
          </w:p>
        </w:tc>
      </w:tr>
      <w:tr w:rsidR="00EB5A57" w:rsidRPr="00E70587" w14:paraId="66488862" w14:textId="77777777" w:rsidTr="001E4077">
        <w:tc>
          <w:tcPr>
            <w:tcW w:w="5710" w:type="dxa"/>
            <w:vAlign w:val="center"/>
          </w:tcPr>
          <w:p w14:paraId="2E4135B7" w14:textId="19F69D10" w:rsidR="00EB5A57" w:rsidRPr="00E70587" w:rsidRDefault="00EB5A57" w:rsidP="009901E1">
            <w:pPr>
              <w:spacing w:line="280" w:lineRule="exact"/>
              <w:rPr>
                <w:rFonts w:ascii="Arial" w:hAnsi="Arial" w:cs="Arial"/>
                <w:sz w:val="20"/>
                <w:lang w:eastAsia="en-IN"/>
              </w:rPr>
            </w:pPr>
            <w:r w:rsidRPr="00E70587">
              <w:rPr>
                <w:rFonts w:ascii="Arial" w:hAnsi="Arial" w:cs="Arial"/>
                <w:sz w:val="20"/>
                <w:lang w:eastAsia="en-IN"/>
              </w:rPr>
              <w:t>(</w:t>
            </w:r>
            <w:r w:rsidR="004559F7">
              <w:rPr>
                <w:rFonts w:ascii="Arial" w:hAnsi="Arial" w:cs="Arial"/>
                <w:sz w:val="20"/>
                <w:lang w:eastAsia="en-IN"/>
              </w:rPr>
              <w:t>c</w:t>
            </w:r>
            <w:r w:rsidRPr="00E70587">
              <w:rPr>
                <w:rFonts w:ascii="Arial" w:hAnsi="Arial" w:cs="Arial"/>
                <w:sz w:val="20"/>
                <w:lang w:eastAsia="en-IN"/>
              </w:rPr>
              <w:t xml:space="preserve">) Amount spent during the year ending on 31 </w:t>
            </w:r>
            <w:r w:rsidR="00E1202D" w:rsidRPr="00E70587">
              <w:rPr>
                <w:rFonts w:ascii="Arial" w:hAnsi="Arial" w:cs="Arial"/>
                <w:sz w:val="20"/>
                <w:lang w:eastAsia="en-IN"/>
              </w:rPr>
              <w:t xml:space="preserve">March </w:t>
            </w:r>
            <w:r w:rsidR="001E4077" w:rsidRPr="00E70587">
              <w:rPr>
                <w:rFonts w:ascii="Arial" w:hAnsi="Arial" w:cs="Arial"/>
                <w:sz w:val="20"/>
                <w:lang w:eastAsia="en-IN"/>
              </w:rPr>
              <w:t>20</w:t>
            </w:r>
            <w:r w:rsidR="001E4077">
              <w:rPr>
                <w:rFonts w:ascii="Arial" w:hAnsi="Arial" w:cs="Arial"/>
                <w:sz w:val="20"/>
                <w:lang w:eastAsia="en-IN"/>
              </w:rPr>
              <w:t>21 / 2020</w:t>
            </w:r>
            <w:r w:rsidRPr="00E70587">
              <w:rPr>
                <w:rFonts w:ascii="Arial" w:hAnsi="Arial" w:cs="Arial"/>
                <w:sz w:val="20"/>
                <w:lang w:eastAsia="en-IN"/>
              </w:rPr>
              <w:t>:</w:t>
            </w:r>
          </w:p>
        </w:tc>
        <w:tc>
          <w:tcPr>
            <w:tcW w:w="1825" w:type="dxa"/>
          </w:tcPr>
          <w:p w14:paraId="16B66BD3" w14:textId="77777777" w:rsidR="00EB5A57" w:rsidRPr="00E70587" w:rsidRDefault="00EB5A57" w:rsidP="00EB5A57">
            <w:pPr>
              <w:spacing w:line="280" w:lineRule="exact"/>
              <w:jc w:val="right"/>
              <w:rPr>
                <w:rFonts w:ascii="Arial" w:hAnsi="Arial" w:cs="Arial"/>
                <w:sz w:val="20"/>
                <w:lang w:eastAsia="en-IN"/>
              </w:rPr>
            </w:pPr>
            <w:r w:rsidRPr="00E70587">
              <w:rPr>
                <w:rFonts w:ascii="Arial" w:hAnsi="Arial" w:cs="Arial"/>
                <w:sz w:val="20"/>
                <w:lang w:eastAsia="en-IN"/>
              </w:rPr>
              <w:t>409</w:t>
            </w:r>
          </w:p>
        </w:tc>
        <w:tc>
          <w:tcPr>
            <w:tcW w:w="1825" w:type="dxa"/>
          </w:tcPr>
          <w:p w14:paraId="6F5335EC" w14:textId="77777777" w:rsidR="00EB5A57" w:rsidRPr="00E70587" w:rsidRDefault="00EB5A57" w:rsidP="00EB5A57">
            <w:pPr>
              <w:spacing w:line="280" w:lineRule="exact"/>
              <w:jc w:val="right"/>
              <w:rPr>
                <w:rFonts w:ascii="Arial" w:hAnsi="Arial" w:cs="Arial"/>
                <w:sz w:val="20"/>
                <w:lang w:eastAsia="en-IN"/>
              </w:rPr>
            </w:pPr>
            <w:r w:rsidRPr="00E70587">
              <w:rPr>
                <w:rFonts w:ascii="Arial" w:hAnsi="Arial" w:cs="Arial"/>
                <w:sz w:val="20"/>
                <w:lang w:eastAsia="en-IN"/>
              </w:rPr>
              <w:t>320</w:t>
            </w:r>
          </w:p>
        </w:tc>
      </w:tr>
      <w:tr w:rsidR="00EB5A57" w:rsidRPr="00E70587" w14:paraId="6B0C06F9" w14:textId="77777777" w:rsidTr="001E4077">
        <w:tc>
          <w:tcPr>
            <w:tcW w:w="5710" w:type="dxa"/>
            <w:vAlign w:val="center"/>
          </w:tcPr>
          <w:p w14:paraId="07A4F5F1" w14:textId="77777777" w:rsidR="00EB5A57" w:rsidRPr="00E70587" w:rsidRDefault="00EB5A57" w:rsidP="00EB5A57">
            <w:pPr>
              <w:spacing w:line="280" w:lineRule="exact"/>
              <w:ind w:left="288"/>
              <w:rPr>
                <w:rFonts w:ascii="Arial" w:hAnsi="Arial" w:cs="Arial"/>
                <w:sz w:val="20"/>
              </w:rPr>
            </w:pPr>
            <w:r w:rsidRPr="00E70587">
              <w:rPr>
                <w:rFonts w:ascii="Arial" w:hAnsi="Arial" w:cs="Arial"/>
                <w:sz w:val="20"/>
                <w:lang w:eastAsia="en-IN"/>
              </w:rPr>
              <w:t>(</w:t>
            </w:r>
            <w:proofErr w:type="spellStart"/>
            <w:r w:rsidRPr="00E70587">
              <w:rPr>
                <w:rFonts w:ascii="Arial" w:hAnsi="Arial" w:cs="Arial"/>
                <w:sz w:val="20"/>
                <w:lang w:eastAsia="en-IN"/>
              </w:rPr>
              <w:t>i</w:t>
            </w:r>
            <w:proofErr w:type="spellEnd"/>
            <w:r w:rsidRPr="00E70587">
              <w:rPr>
                <w:rFonts w:ascii="Arial" w:hAnsi="Arial" w:cs="Arial"/>
                <w:sz w:val="20"/>
                <w:lang w:eastAsia="en-IN"/>
              </w:rPr>
              <w:t>) Construction/acquisition of any asset</w:t>
            </w:r>
          </w:p>
        </w:tc>
        <w:tc>
          <w:tcPr>
            <w:tcW w:w="1825" w:type="dxa"/>
          </w:tcPr>
          <w:p w14:paraId="5E7BC5F6" w14:textId="77777777" w:rsidR="00EB5A57" w:rsidRPr="00E70587" w:rsidRDefault="00EB5A57" w:rsidP="00EB5A57">
            <w:pPr>
              <w:spacing w:line="280" w:lineRule="exact"/>
              <w:jc w:val="right"/>
              <w:rPr>
                <w:rFonts w:ascii="Arial" w:hAnsi="Arial" w:cs="Arial"/>
                <w:sz w:val="20"/>
              </w:rPr>
            </w:pPr>
            <w:r w:rsidRPr="00E70587">
              <w:rPr>
                <w:rFonts w:ascii="Arial" w:hAnsi="Arial" w:cs="Arial"/>
                <w:sz w:val="20"/>
              </w:rPr>
              <w:t>Nil</w:t>
            </w:r>
          </w:p>
        </w:tc>
        <w:tc>
          <w:tcPr>
            <w:tcW w:w="1825" w:type="dxa"/>
          </w:tcPr>
          <w:p w14:paraId="4D665D09" w14:textId="77777777" w:rsidR="00EB5A57" w:rsidRPr="00E70587" w:rsidRDefault="00EB5A57" w:rsidP="00EB5A57">
            <w:pPr>
              <w:spacing w:line="280" w:lineRule="exact"/>
              <w:jc w:val="right"/>
              <w:rPr>
                <w:rFonts w:ascii="Arial" w:hAnsi="Arial" w:cs="Arial"/>
                <w:sz w:val="20"/>
              </w:rPr>
            </w:pPr>
            <w:r w:rsidRPr="00E70587">
              <w:rPr>
                <w:rFonts w:ascii="Arial" w:hAnsi="Arial" w:cs="Arial"/>
                <w:sz w:val="20"/>
              </w:rPr>
              <w:t>Nil</w:t>
            </w:r>
          </w:p>
        </w:tc>
      </w:tr>
      <w:tr w:rsidR="001E4077" w:rsidRPr="00E70587" w14:paraId="386CCBF4" w14:textId="77777777" w:rsidTr="001E4077">
        <w:tc>
          <w:tcPr>
            <w:tcW w:w="5710" w:type="dxa"/>
            <w:vAlign w:val="center"/>
          </w:tcPr>
          <w:p w14:paraId="47745D17" w14:textId="77777777" w:rsidR="001E4077" w:rsidRPr="00E70587" w:rsidRDefault="001E4077" w:rsidP="001E4077">
            <w:pPr>
              <w:spacing w:line="280" w:lineRule="exact"/>
              <w:ind w:left="720"/>
              <w:rPr>
                <w:rFonts w:ascii="Arial" w:hAnsi="Arial" w:cs="Arial"/>
                <w:sz w:val="20"/>
                <w:lang w:eastAsia="en-IN"/>
              </w:rPr>
            </w:pPr>
            <w:r w:rsidRPr="00E70587">
              <w:rPr>
                <w:rFonts w:ascii="Arial" w:hAnsi="Arial" w:cs="Arial"/>
                <w:sz w:val="20"/>
                <w:lang w:eastAsia="en-IN"/>
              </w:rPr>
              <w:t>In cash</w:t>
            </w:r>
          </w:p>
        </w:tc>
        <w:tc>
          <w:tcPr>
            <w:tcW w:w="1825" w:type="dxa"/>
          </w:tcPr>
          <w:p w14:paraId="56242514" w14:textId="24F43B51" w:rsidR="001E4077" w:rsidRPr="00E70587" w:rsidRDefault="001E4077" w:rsidP="001E4077">
            <w:pPr>
              <w:spacing w:line="280" w:lineRule="exact"/>
              <w:jc w:val="right"/>
              <w:rPr>
                <w:rFonts w:ascii="Arial" w:hAnsi="Arial" w:cs="Arial"/>
                <w:sz w:val="20"/>
              </w:rPr>
            </w:pPr>
            <w:r>
              <w:rPr>
                <w:rFonts w:ascii="Arial" w:hAnsi="Arial" w:cs="Arial"/>
                <w:sz w:val="20"/>
              </w:rPr>
              <w:t>-</w:t>
            </w:r>
          </w:p>
        </w:tc>
        <w:tc>
          <w:tcPr>
            <w:tcW w:w="1825" w:type="dxa"/>
          </w:tcPr>
          <w:p w14:paraId="43AF556B" w14:textId="4894575C" w:rsidR="001E4077" w:rsidRPr="00E70587" w:rsidRDefault="001E4077" w:rsidP="001E4077">
            <w:pPr>
              <w:spacing w:line="280" w:lineRule="exact"/>
              <w:jc w:val="right"/>
              <w:rPr>
                <w:rFonts w:ascii="Arial" w:hAnsi="Arial" w:cs="Arial"/>
                <w:sz w:val="20"/>
              </w:rPr>
            </w:pPr>
            <w:r w:rsidRPr="00EA6B11">
              <w:rPr>
                <w:rFonts w:ascii="Arial" w:hAnsi="Arial" w:cs="Arial"/>
                <w:sz w:val="20"/>
              </w:rPr>
              <w:t>-</w:t>
            </w:r>
          </w:p>
        </w:tc>
      </w:tr>
      <w:tr w:rsidR="001E4077" w:rsidRPr="00E70587" w14:paraId="2EBADAE0" w14:textId="77777777" w:rsidTr="001E4077">
        <w:tc>
          <w:tcPr>
            <w:tcW w:w="5710" w:type="dxa"/>
            <w:vAlign w:val="center"/>
          </w:tcPr>
          <w:p w14:paraId="40D92090" w14:textId="77777777" w:rsidR="001E4077" w:rsidRPr="00E70587" w:rsidRDefault="001E4077" w:rsidP="001E4077">
            <w:pPr>
              <w:spacing w:line="280" w:lineRule="exact"/>
              <w:ind w:left="720"/>
              <w:rPr>
                <w:rFonts w:ascii="Arial" w:hAnsi="Arial" w:cs="Arial"/>
                <w:sz w:val="20"/>
                <w:lang w:eastAsia="en-IN"/>
              </w:rPr>
            </w:pPr>
            <w:r w:rsidRPr="00E70587">
              <w:rPr>
                <w:rFonts w:ascii="Arial" w:hAnsi="Arial" w:cs="Arial"/>
                <w:sz w:val="20"/>
                <w:lang w:eastAsia="en-IN"/>
              </w:rPr>
              <w:t>Yet to be paid in cash</w:t>
            </w:r>
          </w:p>
        </w:tc>
        <w:tc>
          <w:tcPr>
            <w:tcW w:w="1825" w:type="dxa"/>
          </w:tcPr>
          <w:p w14:paraId="64C314BE" w14:textId="7DE84274" w:rsidR="001E4077" w:rsidRPr="00E70587" w:rsidRDefault="001E4077" w:rsidP="001E4077">
            <w:pPr>
              <w:spacing w:line="280" w:lineRule="exact"/>
              <w:jc w:val="right"/>
              <w:rPr>
                <w:rFonts w:ascii="Arial" w:hAnsi="Arial" w:cs="Arial"/>
                <w:sz w:val="20"/>
              </w:rPr>
            </w:pPr>
            <w:r w:rsidRPr="00755A73">
              <w:rPr>
                <w:rFonts w:ascii="Arial" w:hAnsi="Arial" w:cs="Arial"/>
                <w:sz w:val="20"/>
              </w:rPr>
              <w:t>-</w:t>
            </w:r>
          </w:p>
        </w:tc>
        <w:tc>
          <w:tcPr>
            <w:tcW w:w="1825" w:type="dxa"/>
          </w:tcPr>
          <w:p w14:paraId="2AFFB476" w14:textId="524A5AC5" w:rsidR="001E4077" w:rsidRPr="00E70587" w:rsidRDefault="001E4077" w:rsidP="001E4077">
            <w:pPr>
              <w:spacing w:line="280" w:lineRule="exact"/>
              <w:jc w:val="right"/>
              <w:rPr>
                <w:rFonts w:ascii="Arial" w:hAnsi="Arial" w:cs="Arial"/>
                <w:sz w:val="20"/>
              </w:rPr>
            </w:pPr>
            <w:r w:rsidRPr="00EA6B11">
              <w:rPr>
                <w:rFonts w:ascii="Arial" w:hAnsi="Arial" w:cs="Arial"/>
                <w:sz w:val="20"/>
              </w:rPr>
              <w:t>-</w:t>
            </w:r>
          </w:p>
        </w:tc>
      </w:tr>
      <w:tr w:rsidR="001E4077" w:rsidRPr="00E70587" w14:paraId="3BC427A6" w14:textId="77777777" w:rsidTr="001E4077">
        <w:tc>
          <w:tcPr>
            <w:tcW w:w="5710" w:type="dxa"/>
            <w:vAlign w:val="center"/>
          </w:tcPr>
          <w:p w14:paraId="516B8C34" w14:textId="77777777" w:rsidR="001E4077" w:rsidRPr="00E70587" w:rsidRDefault="001E4077" w:rsidP="001E4077">
            <w:pPr>
              <w:spacing w:line="280" w:lineRule="exact"/>
              <w:ind w:left="720"/>
              <w:rPr>
                <w:rFonts w:ascii="Arial" w:hAnsi="Arial" w:cs="Arial"/>
                <w:sz w:val="20"/>
                <w:lang w:eastAsia="en-IN"/>
              </w:rPr>
            </w:pPr>
            <w:r w:rsidRPr="00E70587">
              <w:rPr>
                <w:rFonts w:ascii="Arial" w:hAnsi="Arial" w:cs="Arial"/>
                <w:sz w:val="20"/>
                <w:lang w:eastAsia="en-IN"/>
              </w:rPr>
              <w:t>Total</w:t>
            </w:r>
          </w:p>
        </w:tc>
        <w:tc>
          <w:tcPr>
            <w:tcW w:w="1825" w:type="dxa"/>
          </w:tcPr>
          <w:p w14:paraId="25EE9603" w14:textId="09891083" w:rsidR="001E4077" w:rsidRPr="00E70587" w:rsidRDefault="001E4077" w:rsidP="001E4077">
            <w:pPr>
              <w:spacing w:line="280" w:lineRule="exact"/>
              <w:jc w:val="right"/>
              <w:rPr>
                <w:rFonts w:ascii="Arial" w:hAnsi="Arial" w:cs="Arial"/>
                <w:sz w:val="20"/>
              </w:rPr>
            </w:pPr>
            <w:r w:rsidRPr="00755A73">
              <w:rPr>
                <w:rFonts w:ascii="Arial" w:hAnsi="Arial" w:cs="Arial"/>
                <w:sz w:val="20"/>
              </w:rPr>
              <w:t>-</w:t>
            </w:r>
          </w:p>
        </w:tc>
        <w:tc>
          <w:tcPr>
            <w:tcW w:w="1825" w:type="dxa"/>
          </w:tcPr>
          <w:p w14:paraId="4CFDB2E0" w14:textId="6A4B1601" w:rsidR="001E4077" w:rsidRPr="00E70587" w:rsidRDefault="001E4077" w:rsidP="001E4077">
            <w:pPr>
              <w:spacing w:line="280" w:lineRule="exact"/>
              <w:jc w:val="right"/>
              <w:rPr>
                <w:rFonts w:ascii="Arial" w:hAnsi="Arial" w:cs="Arial"/>
                <w:sz w:val="20"/>
              </w:rPr>
            </w:pPr>
            <w:r w:rsidRPr="00EA6B11">
              <w:rPr>
                <w:rFonts w:ascii="Arial" w:hAnsi="Arial" w:cs="Arial"/>
                <w:sz w:val="20"/>
              </w:rPr>
              <w:t>-</w:t>
            </w:r>
          </w:p>
        </w:tc>
      </w:tr>
      <w:tr w:rsidR="00EB5A57" w:rsidRPr="00E70587" w14:paraId="18E4963F" w14:textId="77777777" w:rsidTr="001E4077">
        <w:tc>
          <w:tcPr>
            <w:tcW w:w="5710" w:type="dxa"/>
            <w:vAlign w:val="center"/>
          </w:tcPr>
          <w:p w14:paraId="6F31D0D6" w14:textId="77777777" w:rsidR="00EB5A57" w:rsidRPr="00E70587" w:rsidRDefault="00EB5A57" w:rsidP="00EB5A57">
            <w:pPr>
              <w:spacing w:line="280" w:lineRule="exact"/>
              <w:ind w:left="288"/>
              <w:rPr>
                <w:rFonts w:ascii="Arial" w:hAnsi="Arial" w:cs="Arial"/>
                <w:sz w:val="20"/>
                <w:lang w:eastAsia="en-IN"/>
              </w:rPr>
            </w:pPr>
            <w:r w:rsidRPr="00E70587">
              <w:rPr>
                <w:rFonts w:ascii="Arial" w:hAnsi="Arial" w:cs="Arial"/>
                <w:sz w:val="20"/>
                <w:lang w:eastAsia="en-IN"/>
              </w:rPr>
              <w:t>(ii) On purposes other than (</w:t>
            </w:r>
            <w:proofErr w:type="spellStart"/>
            <w:r w:rsidRPr="00E70587">
              <w:rPr>
                <w:rFonts w:ascii="Arial" w:hAnsi="Arial" w:cs="Arial"/>
                <w:sz w:val="20"/>
                <w:lang w:eastAsia="en-IN"/>
              </w:rPr>
              <w:t>i</w:t>
            </w:r>
            <w:proofErr w:type="spellEnd"/>
            <w:r w:rsidRPr="00E70587">
              <w:rPr>
                <w:rFonts w:ascii="Arial" w:hAnsi="Arial" w:cs="Arial"/>
                <w:sz w:val="20"/>
                <w:lang w:eastAsia="en-IN"/>
              </w:rPr>
              <w:t>) above</w:t>
            </w:r>
          </w:p>
        </w:tc>
        <w:tc>
          <w:tcPr>
            <w:tcW w:w="1825" w:type="dxa"/>
          </w:tcPr>
          <w:p w14:paraId="65259129" w14:textId="77777777" w:rsidR="00EB5A57" w:rsidRPr="00E70587" w:rsidRDefault="00492C64" w:rsidP="00EB5A57">
            <w:pPr>
              <w:spacing w:line="280" w:lineRule="exact"/>
              <w:jc w:val="right"/>
              <w:rPr>
                <w:rFonts w:ascii="Arial" w:hAnsi="Arial" w:cs="Arial"/>
                <w:sz w:val="20"/>
              </w:rPr>
            </w:pPr>
            <w:r w:rsidRPr="00E70587">
              <w:rPr>
                <w:rFonts w:ascii="Arial" w:hAnsi="Arial" w:cs="Arial"/>
                <w:sz w:val="20"/>
              </w:rPr>
              <w:t>409</w:t>
            </w:r>
          </w:p>
        </w:tc>
        <w:tc>
          <w:tcPr>
            <w:tcW w:w="1825" w:type="dxa"/>
          </w:tcPr>
          <w:p w14:paraId="6D3EAFA1" w14:textId="77777777" w:rsidR="00EB5A57" w:rsidRPr="00E70587" w:rsidRDefault="00492C64" w:rsidP="00EB5A57">
            <w:pPr>
              <w:spacing w:line="280" w:lineRule="exact"/>
              <w:jc w:val="right"/>
              <w:rPr>
                <w:rFonts w:ascii="Arial" w:hAnsi="Arial" w:cs="Arial"/>
                <w:sz w:val="20"/>
              </w:rPr>
            </w:pPr>
            <w:r w:rsidRPr="00E70587">
              <w:rPr>
                <w:rFonts w:ascii="Arial" w:hAnsi="Arial" w:cs="Arial"/>
                <w:sz w:val="20"/>
              </w:rPr>
              <w:t>320</w:t>
            </w:r>
          </w:p>
        </w:tc>
      </w:tr>
      <w:tr w:rsidR="00EB5A57" w:rsidRPr="00E70587" w14:paraId="37A539AB" w14:textId="77777777" w:rsidTr="001E4077">
        <w:tc>
          <w:tcPr>
            <w:tcW w:w="5710" w:type="dxa"/>
            <w:vAlign w:val="center"/>
          </w:tcPr>
          <w:p w14:paraId="1464B1F3" w14:textId="77777777" w:rsidR="00EB5A57" w:rsidRPr="00E70587" w:rsidRDefault="00EB5A57" w:rsidP="00EB5A57">
            <w:pPr>
              <w:spacing w:line="280" w:lineRule="exact"/>
              <w:ind w:left="720"/>
              <w:rPr>
                <w:rFonts w:ascii="Arial" w:hAnsi="Arial" w:cs="Arial"/>
                <w:sz w:val="20"/>
                <w:lang w:eastAsia="en-IN"/>
              </w:rPr>
            </w:pPr>
            <w:r w:rsidRPr="00E70587">
              <w:rPr>
                <w:rFonts w:ascii="Arial" w:hAnsi="Arial" w:cs="Arial"/>
                <w:sz w:val="20"/>
                <w:lang w:eastAsia="en-IN"/>
              </w:rPr>
              <w:t>In cash</w:t>
            </w:r>
          </w:p>
        </w:tc>
        <w:tc>
          <w:tcPr>
            <w:tcW w:w="1825" w:type="dxa"/>
          </w:tcPr>
          <w:p w14:paraId="760B808E" w14:textId="77777777" w:rsidR="00EB5A57" w:rsidRPr="00E70587" w:rsidRDefault="00492C64" w:rsidP="00EB5A57">
            <w:pPr>
              <w:spacing w:line="280" w:lineRule="exact"/>
              <w:jc w:val="right"/>
              <w:rPr>
                <w:rFonts w:ascii="Arial" w:hAnsi="Arial" w:cs="Arial"/>
                <w:sz w:val="20"/>
              </w:rPr>
            </w:pPr>
            <w:r w:rsidRPr="00E70587">
              <w:rPr>
                <w:rFonts w:ascii="Arial" w:hAnsi="Arial" w:cs="Arial"/>
                <w:sz w:val="20"/>
              </w:rPr>
              <w:t>409</w:t>
            </w:r>
          </w:p>
        </w:tc>
        <w:tc>
          <w:tcPr>
            <w:tcW w:w="1825" w:type="dxa"/>
          </w:tcPr>
          <w:p w14:paraId="324FBA27" w14:textId="77777777" w:rsidR="00EB5A57" w:rsidRPr="00E70587" w:rsidRDefault="00492C64" w:rsidP="00EB5A57">
            <w:pPr>
              <w:spacing w:line="280" w:lineRule="exact"/>
              <w:jc w:val="right"/>
              <w:rPr>
                <w:rFonts w:ascii="Arial" w:hAnsi="Arial" w:cs="Arial"/>
                <w:sz w:val="20"/>
              </w:rPr>
            </w:pPr>
            <w:r w:rsidRPr="00E70587">
              <w:rPr>
                <w:rFonts w:ascii="Arial" w:hAnsi="Arial" w:cs="Arial"/>
                <w:sz w:val="20"/>
              </w:rPr>
              <w:t>320</w:t>
            </w:r>
          </w:p>
        </w:tc>
      </w:tr>
      <w:tr w:rsidR="00EB5A57" w:rsidRPr="00E70587" w14:paraId="2B298969" w14:textId="77777777" w:rsidTr="001E4077">
        <w:tc>
          <w:tcPr>
            <w:tcW w:w="5710" w:type="dxa"/>
            <w:vAlign w:val="center"/>
          </w:tcPr>
          <w:p w14:paraId="58A2243F" w14:textId="77777777" w:rsidR="00EB5A57" w:rsidRPr="00E70587" w:rsidRDefault="00EB5A57" w:rsidP="00EB5A57">
            <w:pPr>
              <w:spacing w:line="280" w:lineRule="exact"/>
              <w:ind w:left="720"/>
              <w:rPr>
                <w:rFonts w:ascii="Arial" w:hAnsi="Arial" w:cs="Arial"/>
                <w:sz w:val="20"/>
                <w:lang w:eastAsia="en-IN"/>
              </w:rPr>
            </w:pPr>
            <w:r w:rsidRPr="00E70587">
              <w:rPr>
                <w:rFonts w:ascii="Arial" w:hAnsi="Arial" w:cs="Arial"/>
                <w:sz w:val="20"/>
                <w:lang w:eastAsia="en-IN"/>
              </w:rPr>
              <w:t>Yet to be paid in cash</w:t>
            </w:r>
          </w:p>
        </w:tc>
        <w:tc>
          <w:tcPr>
            <w:tcW w:w="1825" w:type="dxa"/>
          </w:tcPr>
          <w:p w14:paraId="5F555788" w14:textId="77777777" w:rsidR="00EB5A57" w:rsidRPr="00E70587" w:rsidRDefault="00492C64" w:rsidP="00EB5A57">
            <w:pPr>
              <w:spacing w:line="280" w:lineRule="exact"/>
              <w:ind w:left="720"/>
              <w:jc w:val="right"/>
              <w:rPr>
                <w:rFonts w:ascii="Arial" w:hAnsi="Arial" w:cs="Arial"/>
                <w:sz w:val="20"/>
                <w:lang w:eastAsia="en-IN"/>
              </w:rPr>
            </w:pPr>
            <w:r w:rsidRPr="00E70587">
              <w:rPr>
                <w:rFonts w:ascii="Arial" w:hAnsi="Arial" w:cs="Arial"/>
                <w:sz w:val="20"/>
                <w:lang w:eastAsia="en-IN"/>
              </w:rPr>
              <w:t>-</w:t>
            </w:r>
          </w:p>
        </w:tc>
        <w:tc>
          <w:tcPr>
            <w:tcW w:w="1825" w:type="dxa"/>
          </w:tcPr>
          <w:p w14:paraId="680BE3A8" w14:textId="77777777" w:rsidR="00EB5A57" w:rsidRPr="00E70587" w:rsidRDefault="00492C64" w:rsidP="00EB5A57">
            <w:pPr>
              <w:spacing w:line="280" w:lineRule="exact"/>
              <w:ind w:left="720"/>
              <w:jc w:val="right"/>
              <w:rPr>
                <w:rFonts w:ascii="Arial" w:hAnsi="Arial" w:cs="Arial"/>
                <w:sz w:val="20"/>
                <w:lang w:eastAsia="en-IN"/>
              </w:rPr>
            </w:pPr>
            <w:r w:rsidRPr="00E70587">
              <w:rPr>
                <w:rFonts w:ascii="Arial" w:hAnsi="Arial" w:cs="Arial"/>
                <w:sz w:val="20"/>
                <w:lang w:eastAsia="en-IN"/>
              </w:rPr>
              <w:t>-</w:t>
            </w:r>
          </w:p>
        </w:tc>
      </w:tr>
      <w:tr w:rsidR="00EB5A57" w:rsidRPr="00E70587" w14:paraId="1EFD3988" w14:textId="77777777" w:rsidTr="001E4077">
        <w:tc>
          <w:tcPr>
            <w:tcW w:w="5710" w:type="dxa"/>
            <w:vAlign w:val="center"/>
          </w:tcPr>
          <w:p w14:paraId="738951C4" w14:textId="77777777" w:rsidR="00EB5A57" w:rsidRPr="00E70587" w:rsidRDefault="00EB5A57" w:rsidP="00EB5A57">
            <w:pPr>
              <w:spacing w:line="280" w:lineRule="exact"/>
              <w:ind w:left="720"/>
              <w:rPr>
                <w:rFonts w:ascii="Arial" w:hAnsi="Arial" w:cs="Arial"/>
                <w:sz w:val="20"/>
                <w:lang w:eastAsia="en-IN"/>
              </w:rPr>
            </w:pPr>
            <w:r w:rsidRPr="00E70587">
              <w:rPr>
                <w:rFonts w:ascii="Arial" w:hAnsi="Arial" w:cs="Arial"/>
                <w:sz w:val="20"/>
                <w:lang w:eastAsia="en-IN"/>
              </w:rPr>
              <w:t>Total</w:t>
            </w:r>
          </w:p>
        </w:tc>
        <w:tc>
          <w:tcPr>
            <w:tcW w:w="1825" w:type="dxa"/>
          </w:tcPr>
          <w:p w14:paraId="7612B71F" w14:textId="77777777" w:rsidR="00EB5A57" w:rsidRPr="00E70587" w:rsidRDefault="00492C64" w:rsidP="00EB5A57">
            <w:pPr>
              <w:spacing w:line="280" w:lineRule="exact"/>
              <w:ind w:left="720"/>
              <w:jc w:val="right"/>
              <w:rPr>
                <w:rFonts w:ascii="Arial" w:hAnsi="Arial" w:cs="Arial"/>
                <w:sz w:val="20"/>
                <w:lang w:eastAsia="en-IN"/>
              </w:rPr>
            </w:pPr>
            <w:r w:rsidRPr="00E70587">
              <w:rPr>
                <w:rFonts w:ascii="Arial" w:hAnsi="Arial" w:cs="Arial"/>
                <w:sz w:val="20"/>
                <w:lang w:eastAsia="en-IN"/>
              </w:rPr>
              <w:t>409</w:t>
            </w:r>
          </w:p>
        </w:tc>
        <w:tc>
          <w:tcPr>
            <w:tcW w:w="1825" w:type="dxa"/>
          </w:tcPr>
          <w:p w14:paraId="47082842" w14:textId="77777777" w:rsidR="00EB5A57" w:rsidRPr="00E70587" w:rsidRDefault="00492C64" w:rsidP="00EB5A57">
            <w:pPr>
              <w:spacing w:line="280" w:lineRule="exact"/>
              <w:ind w:left="720"/>
              <w:jc w:val="right"/>
              <w:rPr>
                <w:rFonts w:ascii="Arial" w:hAnsi="Arial" w:cs="Arial"/>
                <w:sz w:val="20"/>
                <w:lang w:eastAsia="en-IN"/>
              </w:rPr>
            </w:pPr>
            <w:r w:rsidRPr="00E70587">
              <w:rPr>
                <w:rFonts w:ascii="Arial" w:hAnsi="Arial" w:cs="Arial"/>
                <w:sz w:val="20"/>
                <w:lang w:eastAsia="en-IN"/>
              </w:rPr>
              <w:t>320</w:t>
            </w:r>
          </w:p>
        </w:tc>
      </w:tr>
    </w:tbl>
    <w:p w14:paraId="7394C9CE" w14:textId="7825A7B9" w:rsidR="00077540" w:rsidRDefault="00077540" w:rsidP="00077540">
      <w:pPr>
        <w:pStyle w:val="ViralheadingL2"/>
        <w:keepNext w:val="0"/>
        <w:spacing w:before="0" w:after="0" w:line="280" w:lineRule="exact"/>
        <w:outlineLvl w:val="9"/>
        <w:rPr>
          <w:rFonts w:ascii="Arial" w:hAnsi="Arial" w:cs="Arial"/>
          <w:sz w:val="20"/>
          <w:szCs w:val="20"/>
        </w:rPr>
      </w:pPr>
    </w:p>
    <w:tbl>
      <w:tblPr>
        <w:tblW w:w="10713" w:type="dxa"/>
        <w:tblInd w:w="57" w:type="dxa"/>
        <w:shd w:val="clear" w:color="auto" w:fill="C1C1C1" w:themeFill="background1" w:themeFillTint="66"/>
        <w:tblLayout w:type="fixed"/>
        <w:tblCellMar>
          <w:left w:w="57" w:type="dxa"/>
          <w:right w:w="57" w:type="dxa"/>
        </w:tblCellMar>
        <w:tblLook w:val="0000" w:firstRow="0" w:lastRow="0" w:firstColumn="0" w:lastColumn="0" w:noHBand="0" w:noVBand="0"/>
      </w:tblPr>
      <w:tblGrid>
        <w:gridCol w:w="9859"/>
        <w:gridCol w:w="854"/>
      </w:tblGrid>
      <w:tr w:rsidR="001E05C6" w:rsidRPr="00C308EF" w14:paraId="581BD291" w14:textId="77777777" w:rsidTr="001E05C6">
        <w:tc>
          <w:tcPr>
            <w:tcW w:w="9859" w:type="dxa"/>
            <w:shd w:val="clear" w:color="auto" w:fill="C1C1C1" w:themeFill="background1" w:themeFillTint="66"/>
          </w:tcPr>
          <w:p w14:paraId="2DE01853" w14:textId="32AE5EDE" w:rsidR="001E05C6" w:rsidRPr="001E05C6" w:rsidRDefault="001E05C6" w:rsidP="005F283E">
            <w:pPr>
              <w:tabs>
                <w:tab w:val="left" w:pos="2489"/>
              </w:tabs>
              <w:spacing w:before="40" w:after="40"/>
              <w:ind w:right="90"/>
              <w:rPr>
                <w:rFonts w:ascii="Arial" w:hAnsi="Arial" w:cs="Arial"/>
                <w:b/>
                <w:bCs/>
                <w:sz w:val="20"/>
              </w:rPr>
            </w:pPr>
            <w:r w:rsidRPr="001E05C6">
              <w:rPr>
                <w:rFonts w:ascii="Arial" w:hAnsi="Arial" w:cs="Arial"/>
                <w:b/>
                <w:bCs/>
                <w:sz w:val="20"/>
              </w:rPr>
              <w:t>Author’s Note</w:t>
            </w:r>
          </w:p>
          <w:p w14:paraId="667A3E1E" w14:textId="77777777" w:rsidR="001E05C6" w:rsidRPr="001E05C6" w:rsidRDefault="001E05C6" w:rsidP="005F283E">
            <w:pPr>
              <w:tabs>
                <w:tab w:val="left" w:pos="2489"/>
              </w:tabs>
              <w:spacing w:before="40" w:after="40"/>
              <w:ind w:right="90"/>
              <w:rPr>
                <w:rFonts w:ascii="Arial" w:hAnsi="Arial" w:cs="Arial"/>
                <w:b/>
                <w:bCs/>
                <w:sz w:val="20"/>
              </w:rPr>
            </w:pPr>
          </w:p>
          <w:p w14:paraId="0911F841"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The notes to accounts relating to CSR expenditure should also contain the following:</w:t>
            </w:r>
          </w:p>
          <w:p w14:paraId="116D8FC3" w14:textId="77777777" w:rsidR="001E05C6" w:rsidRPr="001E05C6" w:rsidRDefault="001E05C6" w:rsidP="00E466DD">
            <w:pPr>
              <w:pStyle w:val="ListParagraph"/>
              <w:numPr>
                <w:ilvl w:val="0"/>
                <w:numId w:val="52"/>
              </w:numPr>
              <w:tabs>
                <w:tab w:val="left" w:pos="2489"/>
                <w:tab w:val="left" w:pos="5843"/>
              </w:tabs>
              <w:spacing w:before="60"/>
              <w:ind w:left="418" w:right="86"/>
              <w:contextualSpacing w:val="0"/>
              <w:rPr>
                <w:rFonts w:ascii="Arial" w:hAnsi="Arial" w:cs="Arial"/>
                <w:sz w:val="20"/>
              </w:rPr>
            </w:pPr>
            <w:r w:rsidRPr="001E05C6">
              <w:rPr>
                <w:rFonts w:ascii="Arial" w:hAnsi="Arial" w:cs="Arial"/>
                <w:sz w:val="20"/>
              </w:rPr>
              <w:t xml:space="preserve">Details of related party transactions, e.g., contribution to a trust / society / section 8 company controlled by the company in relation to CSR expenditure as per Indian Accounting Standard (AS) 24, </w:t>
            </w:r>
            <w:r w:rsidRPr="001E05C6">
              <w:rPr>
                <w:rFonts w:ascii="Arial" w:hAnsi="Arial" w:cs="Arial"/>
                <w:i/>
                <w:iCs/>
                <w:sz w:val="20"/>
              </w:rPr>
              <w:t>Related Party Disclosures</w:t>
            </w:r>
            <w:r w:rsidRPr="001E05C6">
              <w:rPr>
                <w:rFonts w:ascii="Arial" w:hAnsi="Arial" w:cs="Arial"/>
                <w:sz w:val="20"/>
              </w:rPr>
              <w:t xml:space="preserve">. </w:t>
            </w:r>
          </w:p>
          <w:p w14:paraId="3330DD85" w14:textId="77777777" w:rsidR="001E05C6" w:rsidRPr="001E05C6" w:rsidRDefault="001E05C6" w:rsidP="00E466DD">
            <w:pPr>
              <w:pStyle w:val="ListParagraph"/>
              <w:numPr>
                <w:ilvl w:val="0"/>
                <w:numId w:val="52"/>
              </w:numPr>
              <w:tabs>
                <w:tab w:val="left" w:pos="2489"/>
                <w:tab w:val="left" w:pos="5843"/>
              </w:tabs>
              <w:spacing w:before="60"/>
              <w:ind w:left="418" w:right="86"/>
              <w:contextualSpacing w:val="0"/>
              <w:rPr>
                <w:rFonts w:ascii="Arial" w:hAnsi="Arial" w:cs="Arial"/>
                <w:sz w:val="20"/>
              </w:rPr>
            </w:pPr>
            <w:r w:rsidRPr="001E05C6">
              <w:rPr>
                <w:rFonts w:ascii="Arial" w:hAnsi="Arial" w:cs="Arial"/>
                <w:sz w:val="20"/>
              </w:rPr>
              <w:t>The Group has not given these disclosures as it does not have any such transactions.</w:t>
            </w:r>
          </w:p>
          <w:p w14:paraId="74AEFB33" w14:textId="77777777" w:rsidR="001E05C6" w:rsidRPr="001E05C6" w:rsidRDefault="001E05C6" w:rsidP="00E466DD">
            <w:pPr>
              <w:pStyle w:val="ListParagraph"/>
              <w:numPr>
                <w:ilvl w:val="0"/>
                <w:numId w:val="52"/>
              </w:numPr>
              <w:tabs>
                <w:tab w:val="left" w:pos="2489"/>
              </w:tabs>
              <w:spacing w:before="60"/>
              <w:ind w:left="418" w:right="86"/>
              <w:contextualSpacing w:val="0"/>
              <w:rPr>
                <w:rFonts w:ascii="Arial" w:hAnsi="Arial" w:cs="Arial"/>
                <w:sz w:val="20"/>
              </w:rPr>
            </w:pPr>
            <w:r w:rsidRPr="001E05C6">
              <w:rPr>
                <w:rFonts w:ascii="Arial" w:hAnsi="Arial" w:cs="Arial"/>
                <w:sz w:val="20"/>
              </w:rPr>
              <w:t>When the amendments to Section 135(5) and 135(6) to the Companies Act 2013 are made applicable, then the following details in the notes should also be made:</w:t>
            </w:r>
          </w:p>
          <w:tbl>
            <w:tblPr>
              <w:tblStyle w:val="TableGrid"/>
              <w:tblW w:w="0" w:type="auto"/>
              <w:tblLayout w:type="fixed"/>
              <w:tblLook w:val="04A0" w:firstRow="1" w:lastRow="0" w:firstColumn="1" w:lastColumn="0" w:noHBand="0" w:noVBand="1"/>
            </w:tblPr>
            <w:tblGrid>
              <w:gridCol w:w="1439"/>
              <w:gridCol w:w="3118"/>
              <w:gridCol w:w="2268"/>
              <w:gridCol w:w="1555"/>
              <w:gridCol w:w="1295"/>
            </w:tblGrid>
            <w:tr w:rsidR="001E05C6" w:rsidRPr="001E05C6" w14:paraId="11345B65" w14:textId="77777777" w:rsidTr="005F283E">
              <w:trPr>
                <w:trHeight w:val="43"/>
              </w:trPr>
              <w:tc>
                <w:tcPr>
                  <w:tcW w:w="9675" w:type="dxa"/>
                  <w:gridSpan w:val="5"/>
                </w:tcPr>
                <w:p w14:paraId="77E7C318" w14:textId="77777777" w:rsidR="001E05C6" w:rsidRPr="001E05C6" w:rsidRDefault="001E05C6" w:rsidP="005F283E">
                  <w:pPr>
                    <w:tabs>
                      <w:tab w:val="left" w:pos="2489"/>
                    </w:tabs>
                    <w:spacing w:before="40" w:after="40"/>
                    <w:ind w:right="90"/>
                    <w:jc w:val="center"/>
                    <w:rPr>
                      <w:rFonts w:ascii="Arial" w:hAnsi="Arial" w:cs="Arial"/>
                      <w:b/>
                      <w:bCs/>
                      <w:sz w:val="20"/>
                    </w:rPr>
                  </w:pPr>
                  <w:r w:rsidRPr="001E05C6">
                    <w:rPr>
                      <w:rFonts w:ascii="Arial" w:hAnsi="Arial" w:cs="Arial"/>
                      <w:b/>
                      <w:bCs/>
                      <w:sz w:val="20"/>
                    </w:rPr>
                    <w:t>In case of S. 135(5) unspent amount</w:t>
                  </w:r>
                </w:p>
              </w:tc>
            </w:tr>
            <w:tr w:rsidR="001E05C6" w:rsidRPr="001E05C6" w14:paraId="35849489" w14:textId="77777777" w:rsidTr="001E05C6">
              <w:trPr>
                <w:trHeight w:val="775"/>
              </w:trPr>
              <w:tc>
                <w:tcPr>
                  <w:tcW w:w="1439" w:type="dxa"/>
                </w:tcPr>
                <w:p w14:paraId="20A2E5EB"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lastRenderedPageBreak/>
                    <w:t xml:space="preserve">Opening </w:t>
                  </w:r>
                </w:p>
                <w:p w14:paraId="245B3300"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Balance </w:t>
                  </w:r>
                </w:p>
                <w:p w14:paraId="59C05D8A" w14:textId="77777777" w:rsidR="001E05C6" w:rsidRPr="001E05C6" w:rsidRDefault="001E05C6" w:rsidP="005F283E">
                  <w:pPr>
                    <w:tabs>
                      <w:tab w:val="left" w:pos="2489"/>
                    </w:tabs>
                    <w:spacing w:before="40" w:after="40"/>
                    <w:ind w:right="90"/>
                    <w:rPr>
                      <w:rFonts w:ascii="Arial" w:hAnsi="Arial" w:cs="Arial"/>
                      <w:sz w:val="20"/>
                    </w:rPr>
                  </w:pPr>
                </w:p>
              </w:tc>
              <w:tc>
                <w:tcPr>
                  <w:tcW w:w="3118" w:type="dxa"/>
                </w:tcPr>
                <w:p w14:paraId="43D16F78"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Amount deposited in Specified </w:t>
                  </w:r>
                </w:p>
                <w:p w14:paraId="54AE1D7E"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Fund of Sch. VII within 6 months</w:t>
                  </w:r>
                </w:p>
              </w:tc>
              <w:tc>
                <w:tcPr>
                  <w:tcW w:w="2268" w:type="dxa"/>
                </w:tcPr>
                <w:p w14:paraId="36AE4EE1"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Amount required to be spent during the year </w:t>
                  </w:r>
                </w:p>
                <w:p w14:paraId="5814DAFD" w14:textId="77777777" w:rsidR="001E05C6" w:rsidRPr="001E05C6" w:rsidRDefault="001E05C6" w:rsidP="005F283E">
                  <w:pPr>
                    <w:tabs>
                      <w:tab w:val="left" w:pos="2489"/>
                    </w:tabs>
                    <w:spacing w:before="40" w:after="40"/>
                    <w:ind w:right="90"/>
                    <w:rPr>
                      <w:rFonts w:ascii="Arial" w:hAnsi="Arial" w:cs="Arial"/>
                      <w:sz w:val="20"/>
                    </w:rPr>
                  </w:pPr>
                </w:p>
              </w:tc>
              <w:tc>
                <w:tcPr>
                  <w:tcW w:w="1555" w:type="dxa"/>
                </w:tcPr>
                <w:p w14:paraId="3322002A"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Amount spent during the year</w:t>
                  </w:r>
                </w:p>
              </w:tc>
              <w:tc>
                <w:tcPr>
                  <w:tcW w:w="1295" w:type="dxa"/>
                </w:tcPr>
                <w:p w14:paraId="3A6D2672"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Closing </w:t>
                  </w:r>
                </w:p>
                <w:p w14:paraId="0868BF6E"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Balance</w:t>
                  </w:r>
                </w:p>
              </w:tc>
            </w:tr>
            <w:tr w:rsidR="001E05C6" w:rsidRPr="001E05C6" w14:paraId="67355981" w14:textId="77777777" w:rsidTr="001E05C6">
              <w:tc>
                <w:tcPr>
                  <w:tcW w:w="1439" w:type="dxa"/>
                </w:tcPr>
                <w:p w14:paraId="3A4320BD" w14:textId="77777777" w:rsidR="001E05C6" w:rsidRPr="001E05C6" w:rsidRDefault="001E05C6" w:rsidP="005F283E">
                  <w:pPr>
                    <w:tabs>
                      <w:tab w:val="left" w:pos="2489"/>
                    </w:tabs>
                    <w:spacing w:before="40" w:after="40"/>
                    <w:ind w:right="90"/>
                    <w:rPr>
                      <w:rFonts w:ascii="Arial" w:hAnsi="Arial" w:cs="Arial"/>
                      <w:sz w:val="20"/>
                    </w:rPr>
                  </w:pPr>
                </w:p>
              </w:tc>
              <w:tc>
                <w:tcPr>
                  <w:tcW w:w="3118" w:type="dxa"/>
                </w:tcPr>
                <w:p w14:paraId="3C4BCBC0" w14:textId="77777777" w:rsidR="001E05C6" w:rsidRPr="001E05C6" w:rsidRDefault="001E05C6" w:rsidP="005F283E">
                  <w:pPr>
                    <w:tabs>
                      <w:tab w:val="left" w:pos="2489"/>
                    </w:tabs>
                    <w:spacing w:before="40" w:after="40"/>
                    <w:ind w:right="90"/>
                    <w:rPr>
                      <w:rFonts w:ascii="Arial" w:hAnsi="Arial" w:cs="Arial"/>
                      <w:sz w:val="20"/>
                    </w:rPr>
                  </w:pPr>
                </w:p>
              </w:tc>
              <w:tc>
                <w:tcPr>
                  <w:tcW w:w="2268" w:type="dxa"/>
                </w:tcPr>
                <w:p w14:paraId="42D45D77" w14:textId="77777777" w:rsidR="001E05C6" w:rsidRPr="001E05C6" w:rsidRDefault="001E05C6" w:rsidP="005F283E">
                  <w:pPr>
                    <w:tabs>
                      <w:tab w:val="left" w:pos="2489"/>
                    </w:tabs>
                    <w:spacing w:before="40" w:after="40"/>
                    <w:ind w:right="90"/>
                    <w:rPr>
                      <w:rFonts w:ascii="Arial" w:hAnsi="Arial" w:cs="Arial"/>
                      <w:sz w:val="20"/>
                    </w:rPr>
                  </w:pPr>
                </w:p>
              </w:tc>
              <w:tc>
                <w:tcPr>
                  <w:tcW w:w="1555" w:type="dxa"/>
                </w:tcPr>
                <w:p w14:paraId="68127A77" w14:textId="77777777" w:rsidR="001E05C6" w:rsidRPr="001E05C6" w:rsidRDefault="001E05C6" w:rsidP="005F283E">
                  <w:pPr>
                    <w:tabs>
                      <w:tab w:val="left" w:pos="2489"/>
                    </w:tabs>
                    <w:spacing w:before="40" w:after="40"/>
                    <w:ind w:right="90"/>
                    <w:rPr>
                      <w:rFonts w:ascii="Arial" w:hAnsi="Arial" w:cs="Arial"/>
                      <w:sz w:val="20"/>
                    </w:rPr>
                  </w:pPr>
                </w:p>
              </w:tc>
              <w:tc>
                <w:tcPr>
                  <w:tcW w:w="1295" w:type="dxa"/>
                </w:tcPr>
                <w:p w14:paraId="27F11813" w14:textId="77777777" w:rsidR="001E05C6" w:rsidRPr="001E05C6" w:rsidRDefault="001E05C6" w:rsidP="005F283E">
                  <w:pPr>
                    <w:tabs>
                      <w:tab w:val="left" w:pos="2489"/>
                    </w:tabs>
                    <w:spacing w:before="40" w:after="40"/>
                    <w:ind w:right="90"/>
                    <w:rPr>
                      <w:rFonts w:ascii="Arial" w:hAnsi="Arial" w:cs="Arial"/>
                      <w:sz w:val="20"/>
                    </w:rPr>
                  </w:pPr>
                </w:p>
              </w:tc>
            </w:tr>
          </w:tbl>
          <w:p w14:paraId="04B7AA72" w14:textId="77777777" w:rsidR="001E05C6" w:rsidRPr="001E05C6" w:rsidRDefault="001E05C6" w:rsidP="005F283E">
            <w:pPr>
              <w:tabs>
                <w:tab w:val="left" w:pos="2489"/>
              </w:tabs>
              <w:spacing w:before="40" w:after="40"/>
              <w:ind w:right="90"/>
              <w:rPr>
                <w:rFonts w:ascii="Arial" w:hAnsi="Arial" w:cs="Arial"/>
                <w:sz w:val="20"/>
              </w:rPr>
            </w:pPr>
          </w:p>
          <w:tbl>
            <w:tblPr>
              <w:tblStyle w:val="TableGrid"/>
              <w:tblW w:w="0" w:type="auto"/>
              <w:tblLayout w:type="fixed"/>
              <w:tblLook w:val="04A0" w:firstRow="1" w:lastRow="0" w:firstColumn="1" w:lastColumn="0" w:noHBand="0" w:noVBand="1"/>
            </w:tblPr>
            <w:tblGrid>
              <w:gridCol w:w="1439"/>
              <w:gridCol w:w="3685"/>
              <w:gridCol w:w="3256"/>
              <w:gridCol w:w="1295"/>
            </w:tblGrid>
            <w:tr w:rsidR="001E05C6" w:rsidRPr="001E05C6" w14:paraId="01A6B2AE" w14:textId="77777777" w:rsidTr="005F283E">
              <w:trPr>
                <w:trHeight w:val="43"/>
              </w:trPr>
              <w:tc>
                <w:tcPr>
                  <w:tcW w:w="9675" w:type="dxa"/>
                  <w:gridSpan w:val="4"/>
                </w:tcPr>
                <w:p w14:paraId="15127F34" w14:textId="77777777" w:rsidR="001E05C6" w:rsidRPr="001E05C6" w:rsidRDefault="001E05C6" w:rsidP="005F283E">
                  <w:pPr>
                    <w:tabs>
                      <w:tab w:val="left" w:pos="2489"/>
                    </w:tabs>
                    <w:spacing w:before="40" w:after="40"/>
                    <w:ind w:right="90"/>
                    <w:jc w:val="center"/>
                    <w:rPr>
                      <w:rFonts w:ascii="Arial" w:hAnsi="Arial" w:cs="Arial"/>
                      <w:b/>
                      <w:bCs/>
                      <w:sz w:val="20"/>
                    </w:rPr>
                  </w:pPr>
                  <w:r w:rsidRPr="001E05C6">
                    <w:rPr>
                      <w:rFonts w:ascii="Arial" w:hAnsi="Arial" w:cs="Arial"/>
                      <w:b/>
                      <w:bCs/>
                      <w:sz w:val="20"/>
                    </w:rPr>
                    <w:t>In case of S. 135(5) Excess amount spent</w:t>
                  </w:r>
                </w:p>
              </w:tc>
            </w:tr>
            <w:tr w:rsidR="001E05C6" w:rsidRPr="001E05C6" w14:paraId="1508EB2E" w14:textId="77777777" w:rsidTr="001E05C6">
              <w:trPr>
                <w:trHeight w:val="536"/>
              </w:trPr>
              <w:tc>
                <w:tcPr>
                  <w:tcW w:w="1439" w:type="dxa"/>
                </w:tcPr>
                <w:p w14:paraId="732166F1"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Opening </w:t>
                  </w:r>
                </w:p>
                <w:p w14:paraId="6377326C"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Balance </w:t>
                  </w:r>
                </w:p>
                <w:p w14:paraId="6ED63CD0" w14:textId="77777777" w:rsidR="001E05C6" w:rsidRPr="001E05C6" w:rsidRDefault="001E05C6" w:rsidP="005F283E">
                  <w:pPr>
                    <w:tabs>
                      <w:tab w:val="left" w:pos="2489"/>
                    </w:tabs>
                    <w:spacing w:before="40" w:after="40"/>
                    <w:ind w:right="90"/>
                    <w:rPr>
                      <w:rFonts w:ascii="Arial" w:hAnsi="Arial" w:cs="Arial"/>
                      <w:sz w:val="20"/>
                    </w:rPr>
                  </w:pPr>
                </w:p>
              </w:tc>
              <w:tc>
                <w:tcPr>
                  <w:tcW w:w="3685" w:type="dxa"/>
                </w:tcPr>
                <w:p w14:paraId="2BE7E0C3"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Amount required to be spent during the year </w:t>
                  </w:r>
                </w:p>
              </w:tc>
              <w:tc>
                <w:tcPr>
                  <w:tcW w:w="3256" w:type="dxa"/>
                </w:tcPr>
                <w:p w14:paraId="79A67393"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Amount spent during the year</w:t>
                  </w:r>
                </w:p>
              </w:tc>
              <w:tc>
                <w:tcPr>
                  <w:tcW w:w="1295" w:type="dxa"/>
                </w:tcPr>
                <w:p w14:paraId="01ACCD56"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Closing </w:t>
                  </w:r>
                </w:p>
                <w:p w14:paraId="5D4E0454"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Balance</w:t>
                  </w:r>
                </w:p>
              </w:tc>
            </w:tr>
            <w:tr w:rsidR="001E05C6" w:rsidRPr="001E05C6" w14:paraId="5E604004" w14:textId="77777777" w:rsidTr="001E05C6">
              <w:tc>
                <w:tcPr>
                  <w:tcW w:w="1439" w:type="dxa"/>
                </w:tcPr>
                <w:p w14:paraId="1232F3F8" w14:textId="77777777" w:rsidR="001E05C6" w:rsidRPr="001E05C6" w:rsidRDefault="001E05C6" w:rsidP="005F283E">
                  <w:pPr>
                    <w:tabs>
                      <w:tab w:val="left" w:pos="2489"/>
                    </w:tabs>
                    <w:spacing w:before="40" w:after="40"/>
                    <w:ind w:right="90"/>
                    <w:rPr>
                      <w:rFonts w:ascii="Arial" w:hAnsi="Arial" w:cs="Arial"/>
                      <w:sz w:val="20"/>
                    </w:rPr>
                  </w:pPr>
                </w:p>
              </w:tc>
              <w:tc>
                <w:tcPr>
                  <w:tcW w:w="3685" w:type="dxa"/>
                </w:tcPr>
                <w:p w14:paraId="47C623AC" w14:textId="77777777" w:rsidR="001E05C6" w:rsidRPr="001E05C6" w:rsidRDefault="001E05C6" w:rsidP="005F283E">
                  <w:pPr>
                    <w:tabs>
                      <w:tab w:val="left" w:pos="2489"/>
                    </w:tabs>
                    <w:spacing w:before="40" w:after="40"/>
                    <w:ind w:right="90"/>
                    <w:rPr>
                      <w:rFonts w:ascii="Arial" w:hAnsi="Arial" w:cs="Arial"/>
                      <w:sz w:val="20"/>
                    </w:rPr>
                  </w:pPr>
                </w:p>
              </w:tc>
              <w:tc>
                <w:tcPr>
                  <w:tcW w:w="3256" w:type="dxa"/>
                </w:tcPr>
                <w:p w14:paraId="17534844" w14:textId="77777777" w:rsidR="001E05C6" w:rsidRPr="001E05C6" w:rsidRDefault="001E05C6" w:rsidP="005F283E">
                  <w:pPr>
                    <w:tabs>
                      <w:tab w:val="left" w:pos="2489"/>
                    </w:tabs>
                    <w:spacing w:before="40" w:after="40"/>
                    <w:ind w:right="90"/>
                    <w:rPr>
                      <w:rFonts w:ascii="Arial" w:hAnsi="Arial" w:cs="Arial"/>
                      <w:sz w:val="20"/>
                    </w:rPr>
                  </w:pPr>
                </w:p>
              </w:tc>
              <w:tc>
                <w:tcPr>
                  <w:tcW w:w="1295" w:type="dxa"/>
                </w:tcPr>
                <w:p w14:paraId="710816D1" w14:textId="77777777" w:rsidR="001E05C6" w:rsidRPr="001E05C6" w:rsidRDefault="001E05C6" w:rsidP="005F283E">
                  <w:pPr>
                    <w:tabs>
                      <w:tab w:val="left" w:pos="2489"/>
                    </w:tabs>
                    <w:spacing w:before="40" w:after="40"/>
                    <w:ind w:right="90"/>
                    <w:rPr>
                      <w:rFonts w:ascii="Arial" w:hAnsi="Arial" w:cs="Arial"/>
                      <w:sz w:val="20"/>
                    </w:rPr>
                  </w:pPr>
                </w:p>
              </w:tc>
            </w:tr>
          </w:tbl>
          <w:p w14:paraId="2D84CF77" w14:textId="77777777" w:rsidR="001E05C6" w:rsidRPr="001E05C6" w:rsidRDefault="001E05C6" w:rsidP="005F283E">
            <w:pPr>
              <w:tabs>
                <w:tab w:val="left" w:pos="2489"/>
              </w:tabs>
              <w:spacing w:before="40" w:after="40"/>
              <w:ind w:right="90"/>
              <w:rPr>
                <w:rFonts w:ascii="Arial" w:hAnsi="Arial" w:cs="Arial"/>
                <w:sz w:val="20"/>
              </w:rPr>
            </w:pPr>
          </w:p>
          <w:p w14:paraId="5B17E54A" w14:textId="77777777" w:rsidR="001E05C6" w:rsidRPr="001E05C6" w:rsidRDefault="001E05C6" w:rsidP="005F283E">
            <w:pPr>
              <w:tabs>
                <w:tab w:val="left" w:pos="2489"/>
              </w:tabs>
              <w:spacing w:before="40" w:after="40"/>
              <w:ind w:right="90"/>
              <w:rPr>
                <w:rFonts w:ascii="Arial" w:hAnsi="Arial" w:cs="Arial"/>
                <w:b/>
                <w:bCs/>
                <w:sz w:val="20"/>
              </w:rPr>
            </w:pPr>
            <w:r w:rsidRPr="001E05C6">
              <w:rPr>
                <w:rFonts w:ascii="Arial" w:hAnsi="Arial" w:cs="Arial"/>
                <w:b/>
                <w:bCs/>
                <w:sz w:val="20"/>
              </w:rPr>
              <w:t>Details of ongoing projects along with</w:t>
            </w:r>
          </w:p>
          <w:tbl>
            <w:tblPr>
              <w:tblStyle w:val="TableGrid"/>
              <w:tblW w:w="0" w:type="auto"/>
              <w:tblLayout w:type="fixed"/>
              <w:tblLook w:val="04A0" w:firstRow="1" w:lastRow="0" w:firstColumn="1" w:lastColumn="0" w:noHBand="0" w:noVBand="1"/>
            </w:tblPr>
            <w:tblGrid>
              <w:gridCol w:w="1151"/>
              <w:gridCol w:w="1137"/>
              <w:gridCol w:w="1559"/>
              <w:gridCol w:w="1701"/>
              <w:gridCol w:w="1560"/>
              <w:gridCol w:w="1272"/>
              <w:gridCol w:w="1295"/>
            </w:tblGrid>
            <w:tr w:rsidR="001E05C6" w:rsidRPr="001E05C6" w14:paraId="08BE204F" w14:textId="77777777" w:rsidTr="005F283E">
              <w:trPr>
                <w:trHeight w:val="43"/>
              </w:trPr>
              <w:tc>
                <w:tcPr>
                  <w:tcW w:w="9675" w:type="dxa"/>
                  <w:gridSpan w:val="7"/>
                </w:tcPr>
                <w:p w14:paraId="3EC438A6" w14:textId="77777777" w:rsidR="001E05C6" w:rsidRPr="001E05C6" w:rsidRDefault="001E05C6" w:rsidP="005F283E">
                  <w:pPr>
                    <w:tabs>
                      <w:tab w:val="left" w:pos="2489"/>
                    </w:tabs>
                    <w:spacing w:before="40" w:after="40"/>
                    <w:ind w:right="90"/>
                    <w:jc w:val="center"/>
                    <w:rPr>
                      <w:rFonts w:ascii="Arial" w:hAnsi="Arial" w:cs="Arial"/>
                      <w:b/>
                      <w:bCs/>
                      <w:sz w:val="20"/>
                    </w:rPr>
                  </w:pPr>
                  <w:r w:rsidRPr="001E05C6">
                    <w:rPr>
                      <w:rFonts w:ascii="Arial" w:hAnsi="Arial" w:cs="Arial"/>
                      <w:b/>
                      <w:bCs/>
                      <w:sz w:val="20"/>
                    </w:rPr>
                    <w:t>In case of S. 135(6) (Ongoing Project) (to be given year-wise)</w:t>
                  </w:r>
                </w:p>
              </w:tc>
            </w:tr>
            <w:tr w:rsidR="001E05C6" w:rsidRPr="001E05C6" w14:paraId="5D7A26D6" w14:textId="77777777" w:rsidTr="005F283E">
              <w:trPr>
                <w:trHeight w:val="545"/>
              </w:trPr>
              <w:tc>
                <w:tcPr>
                  <w:tcW w:w="2288" w:type="dxa"/>
                  <w:gridSpan w:val="2"/>
                </w:tcPr>
                <w:p w14:paraId="00EA2EAD"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Opening Balance </w:t>
                  </w:r>
                </w:p>
                <w:p w14:paraId="330D4A43" w14:textId="77777777" w:rsidR="001E05C6" w:rsidRPr="001E05C6" w:rsidRDefault="001E05C6" w:rsidP="005F283E">
                  <w:pPr>
                    <w:tabs>
                      <w:tab w:val="left" w:pos="2489"/>
                    </w:tabs>
                    <w:spacing w:before="40" w:after="40"/>
                    <w:ind w:right="90"/>
                    <w:rPr>
                      <w:rFonts w:ascii="Arial" w:hAnsi="Arial" w:cs="Arial"/>
                      <w:sz w:val="20"/>
                    </w:rPr>
                  </w:pPr>
                </w:p>
              </w:tc>
              <w:tc>
                <w:tcPr>
                  <w:tcW w:w="1559" w:type="dxa"/>
                </w:tcPr>
                <w:p w14:paraId="1FE6B4A6"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Amount required to be spent during the year </w:t>
                  </w:r>
                </w:p>
              </w:tc>
              <w:tc>
                <w:tcPr>
                  <w:tcW w:w="3261" w:type="dxa"/>
                  <w:gridSpan w:val="2"/>
                </w:tcPr>
                <w:p w14:paraId="70AD0E25"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Amount spent during the year</w:t>
                  </w:r>
                </w:p>
              </w:tc>
              <w:tc>
                <w:tcPr>
                  <w:tcW w:w="2567" w:type="dxa"/>
                  <w:gridSpan w:val="2"/>
                </w:tcPr>
                <w:p w14:paraId="3A048EBA"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Closing </w:t>
                  </w:r>
                </w:p>
                <w:p w14:paraId="5BE43961"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Balance</w:t>
                  </w:r>
                </w:p>
              </w:tc>
            </w:tr>
            <w:tr w:rsidR="001E05C6" w:rsidRPr="001E05C6" w14:paraId="796143D7" w14:textId="77777777" w:rsidTr="001E05C6">
              <w:tc>
                <w:tcPr>
                  <w:tcW w:w="1151" w:type="dxa"/>
                </w:tcPr>
                <w:p w14:paraId="3230CF76"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With </w:t>
                  </w:r>
                </w:p>
                <w:p w14:paraId="1593B50A" w14:textId="77777777" w:rsidR="001E05C6" w:rsidRPr="001E05C6" w:rsidRDefault="001E05C6" w:rsidP="005F283E">
                  <w:pPr>
                    <w:tabs>
                      <w:tab w:val="left" w:pos="2489"/>
                    </w:tabs>
                    <w:spacing w:before="40" w:after="40"/>
                    <w:rPr>
                      <w:rFonts w:ascii="Arial" w:hAnsi="Arial" w:cs="Arial"/>
                      <w:sz w:val="20"/>
                    </w:rPr>
                  </w:pPr>
                  <w:r w:rsidRPr="001E05C6">
                    <w:rPr>
                      <w:rFonts w:ascii="Arial" w:hAnsi="Arial" w:cs="Arial"/>
                      <w:sz w:val="20"/>
                    </w:rPr>
                    <w:t xml:space="preserve">Company </w:t>
                  </w:r>
                </w:p>
                <w:p w14:paraId="5E950BEF" w14:textId="77777777" w:rsidR="001E05C6" w:rsidRPr="001E05C6" w:rsidRDefault="001E05C6" w:rsidP="005F283E">
                  <w:pPr>
                    <w:tabs>
                      <w:tab w:val="left" w:pos="2489"/>
                    </w:tabs>
                    <w:spacing w:before="40" w:after="40"/>
                    <w:ind w:right="90"/>
                    <w:rPr>
                      <w:rFonts w:ascii="Arial" w:hAnsi="Arial" w:cs="Arial"/>
                      <w:sz w:val="20"/>
                    </w:rPr>
                  </w:pPr>
                </w:p>
                <w:p w14:paraId="16F7BEB9" w14:textId="77777777" w:rsidR="001E05C6" w:rsidRPr="001E05C6" w:rsidRDefault="001E05C6" w:rsidP="005F283E">
                  <w:pPr>
                    <w:tabs>
                      <w:tab w:val="left" w:pos="2489"/>
                    </w:tabs>
                    <w:spacing w:before="40" w:after="40"/>
                    <w:ind w:right="90"/>
                    <w:rPr>
                      <w:rFonts w:ascii="Arial" w:hAnsi="Arial" w:cs="Arial"/>
                      <w:sz w:val="20"/>
                    </w:rPr>
                  </w:pPr>
                </w:p>
              </w:tc>
              <w:tc>
                <w:tcPr>
                  <w:tcW w:w="1137" w:type="dxa"/>
                </w:tcPr>
                <w:p w14:paraId="395C6C17"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In Separate CSR Unspent A/c</w:t>
                  </w:r>
                </w:p>
              </w:tc>
              <w:tc>
                <w:tcPr>
                  <w:tcW w:w="1559" w:type="dxa"/>
                </w:tcPr>
                <w:p w14:paraId="29AB80A1" w14:textId="77777777" w:rsidR="001E05C6" w:rsidRPr="001E05C6" w:rsidRDefault="001E05C6" w:rsidP="005F283E">
                  <w:pPr>
                    <w:tabs>
                      <w:tab w:val="left" w:pos="2489"/>
                    </w:tabs>
                    <w:spacing w:before="40" w:after="40"/>
                    <w:ind w:right="90"/>
                    <w:rPr>
                      <w:rFonts w:ascii="Arial" w:hAnsi="Arial" w:cs="Arial"/>
                      <w:sz w:val="20"/>
                    </w:rPr>
                  </w:pPr>
                </w:p>
              </w:tc>
              <w:tc>
                <w:tcPr>
                  <w:tcW w:w="1701" w:type="dxa"/>
                </w:tcPr>
                <w:p w14:paraId="337264E6"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From Company’s </w:t>
                  </w:r>
                </w:p>
                <w:p w14:paraId="46959F2D"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bank A/c </w:t>
                  </w:r>
                </w:p>
                <w:p w14:paraId="75085018" w14:textId="77777777" w:rsidR="001E05C6" w:rsidRPr="001E05C6" w:rsidRDefault="001E05C6" w:rsidP="005F283E">
                  <w:pPr>
                    <w:tabs>
                      <w:tab w:val="left" w:pos="2489"/>
                    </w:tabs>
                    <w:spacing w:before="40" w:after="40"/>
                    <w:ind w:right="90"/>
                    <w:rPr>
                      <w:rFonts w:ascii="Arial" w:hAnsi="Arial" w:cs="Arial"/>
                      <w:sz w:val="20"/>
                    </w:rPr>
                  </w:pPr>
                </w:p>
              </w:tc>
              <w:tc>
                <w:tcPr>
                  <w:tcW w:w="1560" w:type="dxa"/>
                </w:tcPr>
                <w:p w14:paraId="5AF5A540" w14:textId="77777777" w:rsidR="001E05C6" w:rsidRPr="001E05C6" w:rsidRDefault="001E05C6" w:rsidP="005F283E">
                  <w:pPr>
                    <w:tabs>
                      <w:tab w:val="left" w:pos="2489"/>
                    </w:tabs>
                    <w:spacing w:before="40" w:after="40"/>
                    <w:ind w:right="-107"/>
                    <w:rPr>
                      <w:rFonts w:ascii="Arial" w:hAnsi="Arial" w:cs="Arial"/>
                      <w:sz w:val="20"/>
                    </w:rPr>
                  </w:pPr>
                  <w:r w:rsidRPr="001E05C6">
                    <w:rPr>
                      <w:rFonts w:ascii="Arial" w:hAnsi="Arial" w:cs="Arial"/>
                      <w:sz w:val="20"/>
                    </w:rPr>
                    <w:t xml:space="preserve">From Separate CSR </w:t>
                  </w:r>
                </w:p>
                <w:p w14:paraId="1CD15DE5"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Unspent A/c</w:t>
                  </w:r>
                </w:p>
              </w:tc>
              <w:tc>
                <w:tcPr>
                  <w:tcW w:w="1272" w:type="dxa"/>
                </w:tcPr>
                <w:p w14:paraId="270BE545"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With </w:t>
                  </w:r>
                </w:p>
                <w:p w14:paraId="0E67620F"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Company </w:t>
                  </w:r>
                </w:p>
                <w:p w14:paraId="2F2992B2"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 </w:t>
                  </w:r>
                </w:p>
              </w:tc>
              <w:tc>
                <w:tcPr>
                  <w:tcW w:w="1295" w:type="dxa"/>
                </w:tcPr>
                <w:p w14:paraId="68ED87CF"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 xml:space="preserve">In Separate CSR </w:t>
                  </w:r>
                </w:p>
                <w:p w14:paraId="7B800589" w14:textId="77777777" w:rsidR="001E05C6" w:rsidRPr="001E05C6" w:rsidRDefault="001E05C6" w:rsidP="005F283E">
                  <w:pPr>
                    <w:tabs>
                      <w:tab w:val="left" w:pos="2489"/>
                    </w:tabs>
                    <w:spacing w:before="40" w:after="40"/>
                    <w:ind w:right="90"/>
                    <w:rPr>
                      <w:rFonts w:ascii="Arial" w:hAnsi="Arial" w:cs="Arial"/>
                      <w:sz w:val="20"/>
                    </w:rPr>
                  </w:pPr>
                  <w:r w:rsidRPr="001E05C6">
                    <w:rPr>
                      <w:rFonts w:ascii="Arial" w:hAnsi="Arial" w:cs="Arial"/>
                      <w:sz w:val="20"/>
                    </w:rPr>
                    <w:t>Unspent A/c</w:t>
                  </w:r>
                </w:p>
              </w:tc>
            </w:tr>
            <w:tr w:rsidR="001E05C6" w:rsidRPr="001E05C6" w14:paraId="4942EF0B" w14:textId="77777777" w:rsidTr="001E05C6">
              <w:tc>
                <w:tcPr>
                  <w:tcW w:w="1151" w:type="dxa"/>
                </w:tcPr>
                <w:p w14:paraId="23747EAD" w14:textId="77777777" w:rsidR="001E05C6" w:rsidRPr="001E05C6" w:rsidRDefault="001E05C6" w:rsidP="005F283E">
                  <w:pPr>
                    <w:tabs>
                      <w:tab w:val="left" w:pos="2489"/>
                    </w:tabs>
                    <w:spacing w:before="40" w:after="40"/>
                    <w:ind w:right="90"/>
                    <w:rPr>
                      <w:rFonts w:ascii="Arial" w:hAnsi="Arial" w:cs="Arial"/>
                      <w:sz w:val="20"/>
                    </w:rPr>
                  </w:pPr>
                </w:p>
              </w:tc>
              <w:tc>
                <w:tcPr>
                  <w:tcW w:w="1137" w:type="dxa"/>
                </w:tcPr>
                <w:p w14:paraId="472C7828" w14:textId="77777777" w:rsidR="001E05C6" w:rsidRPr="001E05C6" w:rsidRDefault="001E05C6" w:rsidP="005F283E">
                  <w:pPr>
                    <w:tabs>
                      <w:tab w:val="left" w:pos="2489"/>
                    </w:tabs>
                    <w:spacing w:before="40" w:after="40"/>
                    <w:ind w:right="90"/>
                    <w:rPr>
                      <w:rFonts w:ascii="Arial" w:hAnsi="Arial" w:cs="Arial"/>
                      <w:sz w:val="20"/>
                    </w:rPr>
                  </w:pPr>
                </w:p>
              </w:tc>
              <w:tc>
                <w:tcPr>
                  <w:tcW w:w="1559" w:type="dxa"/>
                </w:tcPr>
                <w:p w14:paraId="100A710C" w14:textId="77777777" w:rsidR="001E05C6" w:rsidRPr="001E05C6" w:rsidRDefault="001E05C6" w:rsidP="005F283E">
                  <w:pPr>
                    <w:tabs>
                      <w:tab w:val="left" w:pos="2489"/>
                    </w:tabs>
                    <w:spacing w:before="40" w:after="40"/>
                    <w:ind w:right="90"/>
                    <w:rPr>
                      <w:rFonts w:ascii="Arial" w:hAnsi="Arial" w:cs="Arial"/>
                      <w:sz w:val="20"/>
                    </w:rPr>
                  </w:pPr>
                </w:p>
              </w:tc>
              <w:tc>
                <w:tcPr>
                  <w:tcW w:w="1701" w:type="dxa"/>
                </w:tcPr>
                <w:p w14:paraId="7B9F9D04" w14:textId="77777777" w:rsidR="001E05C6" w:rsidRPr="001E05C6" w:rsidRDefault="001E05C6" w:rsidP="005F283E">
                  <w:pPr>
                    <w:tabs>
                      <w:tab w:val="left" w:pos="2489"/>
                    </w:tabs>
                    <w:spacing w:before="40" w:after="40"/>
                    <w:ind w:right="90"/>
                    <w:rPr>
                      <w:rFonts w:ascii="Arial" w:hAnsi="Arial" w:cs="Arial"/>
                      <w:sz w:val="20"/>
                    </w:rPr>
                  </w:pPr>
                </w:p>
              </w:tc>
              <w:tc>
                <w:tcPr>
                  <w:tcW w:w="1560" w:type="dxa"/>
                </w:tcPr>
                <w:p w14:paraId="3557A37B" w14:textId="77777777" w:rsidR="001E05C6" w:rsidRPr="001E05C6" w:rsidRDefault="001E05C6" w:rsidP="005F283E">
                  <w:pPr>
                    <w:tabs>
                      <w:tab w:val="left" w:pos="2489"/>
                    </w:tabs>
                    <w:spacing w:before="40" w:after="40"/>
                    <w:ind w:right="-107"/>
                    <w:rPr>
                      <w:rFonts w:ascii="Arial" w:hAnsi="Arial" w:cs="Arial"/>
                      <w:sz w:val="20"/>
                    </w:rPr>
                  </w:pPr>
                </w:p>
              </w:tc>
              <w:tc>
                <w:tcPr>
                  <w:tcW w:w="1272" w:type="dxa"/>
                </w:tcPr>
                <w:p w14:paraId="7E27776D" w14:textId="77777777" w:rsidR="001E05C6" w:rsidRPr="001E05C6" w:rsidRDefault="001E05C6" w:rsidP="005F283E">
                  <w:pPr>
                    <w:tabs>
                      <w:tab w:val="left" w:pos="2489"/>
                    </w:tabs>
                    <w:spacing w:before="40" w:after="40"/>
                    <w:ind w:right="90"/>
                    <w:rPr>
                      <w:rFonts w:ascii="Arial" w:hAnsi="Arial" w:cs="Arial"/>
                      <w:sz w:val="20"/>
                    </w:rPr>
                  </w:pPr>
                </w:p>
              </w:tc>
              <w:tc>
                <w:tcPr>
                  <w:tcW w:w="1295" w:type="dxa"/>
                </w:tcPr>
                <w:p w14:paraId="4B1D9752" w14:textId="77777777" w:rsidR="001E05C6" w:rsidRPr="001E05C6" w:rsidRDefault="001E05C6" w:rsidP="005F283E">
                  <w:pPr>
                    <w:tabs>
                      <w:tab w:val="left" w:pos="2489"/>
                    </w:tabs>
                    <w:spacing w:before="40" w:after="40"/>
                    <w:ind w:right="90"/>
                    <w:rPr>
                      <w:rFonts w:ascii="Arial" w:hAnsi="Arial" w:cs="Arial"/>
                      <w:sz w:val="20"/>
                    </w:rPr>
                  </w:pPr>
                </w:p>
              </w:tc>
            </w:tr>
          </w:tbl>
          <w:p w14:paraId="27D95310" w14:textId="77777777" w:rsidR="001E05C6" w:rsidRPr="00C308EF" w:rsidRDefault="001E05C6" w:rsidP="005F283E">
            <w:pPr>
              <w:tabs>
                <w:tab w:val="left" w:pos="2489"/>
              </w:tabs>
              <w:spacing w:before="40" w:after="40"/>
              <w:ind w:right="90"/>
              <w:rPr>
                <w:rFonts w:cs="Calibri"/>
                <w:szCs w:val="18"/>
              </w:rPr>
            </w:pPr>
          </w:p>
        </w:tc>
        <w:tc>
          <w:tcPr>
            <w:tcW w:w="854" w:type="dxa"/>
            <w:shd w:val="clear" w:color="auto" w:fill="C1C1C1" w:themeFill="background1" w:themeFillTint="66"/>
          </w:tcPr>
          <w:p w14:paraId="57544D06" w14:textId="77777777" w:rsidR="001E05C6" w:rsidRDefault="001E05C6" w:rsidP="005F283E">
            <w:pPr>
              <w:pStyle w:val="IAStext"/>
              <w:overflowPunct w:val="0"/>
              <w:autoSpaceDE w:val="0"/>
              <w:autoSpaceDN w:val="0"/>
              <w:adjustRightInd w:val="0"/>
              <w:spacing w:before="40" w:after="40" w:line="240" w:lineRule="auto"/>
              <w:jc w:val="right"/>
              <w:textAlignment w:val="baseline"/>
              <w:rPr>
                <w:rFonts w:cs="Arial"/>
                <w:color w:val="000000"/>
                <w:sz w:val="18"/>
                <w:szCs w:val="18"/>
              </w:rPr>
            </w:pPr>
          </w:p>
        </w:tc>
      </w:tr>
    </w:tbl>
    <w:p w14:paraId="1DA71512" w14:textId="77777777" w:rsidR="001E05C6" w:rsidRDefault="001E05C6" w:rsidP="00D768D8">
      <w:pPr>
        <w:tabs>
          <w:tab w:val="left" w:pos="2489"/>
        </w:tabs>
        <w:spacing w:before="40" w:after="40"/>
        <w:ind w:right="90"/>
        <w:rPr>
          <w:rFonts w:ascii="Arial" w:hAnsi="Arial" w:cs="Arial"/>
          <w:b/>
          <w:bCs/>
          <w:sz w:val="20"/>
        </w:rPr>
      </w:pPr>
    </w:p>
    <w:p w14:paraId="2E0ED4E7" w14:textId="77777777" w:rsidR="00B247D1" w:rsidRPr="00E70587" w:rsidRDefault="00B247D1"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Finance costs</w:t>
      </w:r>
    </w:p>
    <w:p w14:paraId="0A0A7F82" w14:textId="77777777" w:rsidR="00492C64" w:rsidRPr="00E70587" w:rsidRDefault="00492C64" w:rsidP="00492C64">
      <w:pPr>
        <w:pStyle w:val="ViralheadingL2"/>
        <w:keepNext w:val="0"/>
        <w:spacing w:before="0" w:after="0" w:line="280" w:lineRule="exact"/>
        <w:outlineLvl w:val="9"/>
        <w:rPr>
          <w:rFonts w:ascii="Arial" w:hAnsi="Arial" w:cs="Arial"/>
          <w:sz w:val="20"/>
          <w:szCs w:val="20"/>
        </w:rPr>
      </w:pPr>
    </w:p>
    <w:tbl>
      <w:tblPr>
        <w:tblW w:w="9576" w:type="dxa"/>
        <w:tblLayout w:type="fixed"/>
        <w:tblLook w:val="01E0" w:firstRow="1" w:lastRow="1" w:firstColumn="1" w:lastColumn="1" w:noHBand="0" w:noVBand="0"/>
      </w:tblPr>
      <w:tblGrid>
        <w:gridCol w:w="5872"/>
        <w:gridCol w:w="1807"/>
        <w:gridCol w:w="1897"/>
      </w:tblGrid>
      <w:tr w:rsidR="00F375C7" w:rsidRPr="00E70587" w14:paraId="5F587687" w14:textId="77777777" w:rsidTr="00BF7116">
        <w:tc>
          <w:tcPr>
            <w:tcW w:w="5872" w:type="dxa"/>
            <w:shd w:val="clear" w:color="auto" w:fill="auto"/>
          </w:tcPr>
          <w:p w14:paraId="4FCA4CAE" w14:textId="77777777" w:rsidR="00F375C7" w:rsidRPr="00E70587" w:rsidRDefault="00F375C7" w:rsidP="009A5E2F">
            <w:pPr>
              <w:pStyle w:val="000Normal"/>
              <w:spacing w:before="0" w:after="0" w:line="280" w:lineRule="exact"/>
              <w:rPr>
                <w:rFonts w:ascii="Arial" w:hAnsi="Arial" w:cs="Arial"/>
                <w:sz w:val="20"/>
              </w:rPr>
            </w:pPr>
          </w:p>
        </w:tc>
        <w:tc>
          <w:tcPr>
            <w:tcW w:w="1807" w:type="dxa"/>
            <w:tcBorders>
              <w:bottom w:val="single" w:sz="4" w:space="0" w:color="auto"/>
            </w:tcBorders>
            <w:shd w:val="clear" w:color="auto" w:fill="auto"/>
          </w:tcPr>
          <w:p w14:paraId="1EECA0BB" w14:textId="5D9808D7"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6958C2" w:rsidRPr="00E70587">
              <w:rPr>
                <w:rFonts w:ascii="Arial" w:hAnsi="Arial"/>
                <w:color w:val="auto"/>
                <w:sz w:val="20"/>
                <w:szCs w:val="20"/>
                <w:lang w:val="en-IN"/>
              </w:rPr>
              <w:t>20</w:t>
            </w:r>
            <w:r w:rsidR="006958C2">
              <w:rPr>
                <w:rFonts w:ascii="Arial" w:hAnsi="Arial"/>
                <w:color w:val="auto"/>
                <w:sz w:val="20"/>
                <w:szCs w:val="20"/>
                <w:lang w:val="en-IN"/>
              </w:rPr>
              <w:t>21</w:t>
            </w:r>
          </w:p>
        </w:tc>
        <w:tc>
          <w:tcPr>
            <w:tcW w:w="1897" w:type="dxa"/>
            <w:tcBorders>
              <w:bottom w:val="single" w:sz="4" w:space="0" w:color="auto"/>
            </w:tcBorders>
            <w:shd w:val="clear" w:color="auto" w:fill="auto"/>
          </w:tcPr>
          <w:p w14:paraId="76DEE086" w14:textId="2C981033"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6958C2" w:rsidRPr="00E70587">
              <w:rPr>
                <w:rFonts w:ascii="Arial" w:hAnsi="Arial"/>
                <w:color w:val="auto"/>
                <w:sz w:val="20"/>
                <w:szCs w:val="20"/>
                <w:lang w:val="en-IN"/>
              </w:rPr>
              <w:t>20</w:t>
            </w:r>
            <w:r w:rsidR="006958C2">
              <w:rPr>
                <w:rFonts w:ascii="Arial" w:hAnsi="Arial"/>
                <w:color w:val="auto"/>
                <w:sz w:val="20"/>
                <w:szCs w:val="20"/>
                <w:lang w:val="en-IN"/>
              </w:rPr>
              <w:t>20</w:t>
            </w:r>
          </w:p>
        </w:tc>
      </w:tr>
      <w:tr w:rsidR="00F375C7" w:rsidRPr="00E70587" w14:paraId="60F17B86" w14:textId="77777777" w:rsidTr="00BF7116">
        <w:tc>
          <w:tcPr>
            <w:tcW w:w="5872" w:type="dxa"/>
          </w:tcPr>
          <w:p w14:paraId="5FC81100" w14:textId="77777777" w:rsidR="00F375C7" w:rsidRPr="00E70587" w:rsidRDefault="00F375C7" w:rsidP="009A5E2F">
            <w:pPr>
              <w:pStyle w:val="000Normal"/>
              <w:spacing w:before="0" w:after="0" w:line="280" w:lineRule="exact"/>
              <w:jc w:val="right"/>
              <w:rPr>
                <w:rFonts w:ascii="Arial" w:hAnsi="Arial" w:cs="Arial"/>
                <w:b/>
                <w:sz w:val="20"/>
              </w:rPr>
            </w:pPr>
          </w:p>
        </w:tc>
        <w:tc>
          <w:tcPr>
            <w:tcW w:w="1807" w:type="dxa"/>
            <w:tcBorders>
              <w:top w:val="single" w:sz="4" w:space="0" w:color="auto"/>
            </w:tcBorders>
          </w:tcPr>
          <w:p w14:paraId="194125C9" w14:textId="77777777" w:rsidR="00F375C7" w:rsidRPr="00E70587" w:rsidRDefault="00F375C7" w:rsidP="006958C2">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c>
          <w:tcPr>
            <w:tcW w:w="1897" w:type="dxa"/>
            <w:tcBorders>
              <w:top w:val="single" w:sz="4" w:space="0" w:color="auto"/>
            </w:tcBorders>
          </w:tcPr>
          <w:p w14:paraId="7353625D" w14:textId="77777777" w:rsidR="00F375C7" w:rsidRPr="00E70587" w:rsidRDefault="00F375C7" w:rsidP="006958C2">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r>
      <w:tr w:rsidR="00F375C7" w:rsidRPr="00E70587" w14:paraId="7181036F" w14:textId="77777777" w:rsidTr="00BF7116">
        <w:tc>
          <w:tcPr>
            <w:tcW w:w="5872" w:type="dxa"/>
            <w:vAlign w:val="bottom"/>
          </w:tcPr>
          <w:p w14:paraId="2B1CB9B1"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Interest on debts and borrowings </w:t>
            </w:r>
          </w:p>
        </w:tc>
        <w:tc>
          <w:tcPr>
            <w:tcW w:w="1807" w:type="dxa"/>
            <w:tcMar>
              <w:top w:w="28" w:type="dxa"/>
              <w:right w:w="0" w:type="dxa"/>
            </w:tcMar>
          </w:tcPr>
          <w:p w14:paraId="080C985E" w14:textId="77777777" w:rsidR="00F375C7" w:rsidRPr="00E70587" w:rsidRDefault="00BF7116" w:rsidP="009A5E2F">
            <w:pPr>
              <w:overflowPunct/>
              <w:spacing w:line="280" w:lineRule="exact"/>
              <w:ind w:right="180"/>
              <w:jc w:val="right"/>
              <w:textAlignment w:val="auto"/>
              <w:rPr>
                <w:rFonts w:ascii="Arial" w:hAnsi="Arial" w:cs="Arial"/>
                <w:sz w:val="20"/>
                <w:lang w:eastAsia="en-GB"/>
              </w:rPr>
            </w:pPr>
            <w:r w:rsidRPr="00E70587">
              <w:rPr>
                <w:rFonts w:ascii="Arial" w:hAnsi="Arial" w:cs="Arial"/>
                <w:sz w:val="20"/>
                <w:lang w:eastAsia="en-GB"/>
              </w:rPr>
              <w:t>2,126</w:t>
            </w:r>
          </w:p>
        </w:tc>
        <w:tc>
          <w:tcPr>
            <w:tcW w:w="1897" w:type="dxa"/>
            <w:tcMar>
              <w:right w:w="0" w:type="dxa"/>
            </w:tcMar>
          </w:tcPr>
          <w:p w14:paraId="663DF230" w14:textId="77777777" w:rsidR="00F375C7" w:rsidRPr="00E70587" w:rsidRDefault="00F375C7" w:rsidP="009A5E2F">
            <w:pPr>
              <w:overflowPunct/>
              <w:spacing w:line="280" w:lineRule="exact"/>
              <w:ind w:right="180"/>
              <w:jc w:val="right"/>
              <w:textAlignment w:val="auto"/>
              <w:rPr>
                <w:rFonts w:ascii="Arial" w:hAnsi="Arial" w:cs="Arial"/>
                <w:sz w:val="20"/>
                <w:lang w:eastAsia="en-GB"/>
              </w:rPr>
            </w:pPr>
            <w:r w:rsidRPr="00E70587">
              <w:rPr>
                <w:rFonts w:ascii="Arial" w:hAnsi="Arial" w:cs="Arial"/>
                <w:sz w:val="20"/>
                <w:lang w:eastAsia="en-GB"/>
              </w:rPr>
              <w:t>1,948</w:t>
            </w:r>
          </w:p>
        </w:tc>
      </w:tr>
      <w:tr w:rsidR="00F375C7" w:rsidRPr="00E70587" w14:paraId="74B4693C" w14:textId="77777777" w:rsidTr="00BF7116">
        <w:tc>
          <w:tcPr>
            <w:tcW w:w="5872" w:type="dxa"/>
            <w:vAlign w:val="bottom"/>
          </w:tcPr>
          <w:p w14:paraId="7D6DBE05" w14:textId="31EE4F69" w:rsidR="00F375C7" w:rsidRPr="00E70587" w:rsidRDefault="00896C4A" w:rsidP="009A5E2F">
            <w:pPr>
              <w:pStyle w:val="tabletext"/>
              <w:overflowPunct w:val="0"/>
              <w:autoSpaceDE w:val="0"/>
              <w:autoSpaceDN w:val="0"/>
              <w:adjustRightInd w:val="0"/>
              <w:spacing w:line="280" w:lineRule="exact"/>
              <w:textAlignment w:val="baseline"/>
              <w:rPr>
                <w:rFonts w:ascii="Arial" w:hAnsi="Arial" w:cs="Arial"/>
                <w:sz w:val="20"/>
                <w:lang w:val="en-IN"/>
              </w:rPr>
            </w:pPr>
            <w:r>
              <w:rPr>
                <w:rFonts w:ascii="Arial" w:hAnsi="Arial" w:cs="Arial"/>
                <w:sz w:val="20"/>
                <w:lang w:val="en-IN"/>
              </w:rPr>
              <w:t>Interest on lease liabilities (Note 42)</w:t>
            </w:r>
          </w:p>
        </w:tc>
        <w:tc>
          <w:tcPr>
            <w:tcW w:w="1807" w:type="dxa"/>
            <w:tcMar>
              <w:top w:w="28" w:type="dxa"/>
              <w:right w:w="0" w:type="dxa"/>
            </w:tcMar>
          </w:tcPr>
          <w:p w14:paraId="761FBA07" w14:textId="1E69398D" w:rsidR="00F375C7" w:rsidRPr="00E70587" w:rsidRDefault="005520F9" w:rsidP="009A5E2F">
            <w:pPr>
              <w:overflowPunct/>
              <w:spacing w:line="280" w:lineRule="exact"/>
              <w:ind w:right="180"/>
              <w:jc w:val="right"/>
              <w:textAlignment w:val="auto"/>
              <w:rPr>
                <w:rFonts w:ascii="Arial" w:hAnsi="Arial" w:cs="Arial"/>
                <w:sz w:val="20"/>
                <w:lang w:eastAsia="en-GB"/>
              </w:rPr>
            </w:pPr>
            <w:r>
              <w:rPr>
                <w:rFonts w:ascii="Arial" w:hAnsi="Arial" w:cs="Arial"/>
                <w:sz w:val="20"/>
                <w:lang w:eastAsia="en-GB"/>
              </w:rPr>
              <w:t>320</w:t>
            </w:r>
          </w:p>
        </w:tc>
        <w:tc>
          <w:tcPr>
            <w:tcW w:w="1897" w:type="dxa"/>
            <w:tcMar>
              <w:right w:w="0" w:type="dxa"/>
            </w:tcMar>
          </w:tcPr>
          <w:p w14:paraId="3A309442" w14:textId="45D197DC" w:rsidR="00F375C7" w:rsidRPr="00E70587" w:rsidRDefault="005520F9" w:rsidP="009A5E2F">
            <w:pPr>
              <w:overflowPunct/>
              <w:spacing w:line="280" w:lineRule="exact"/>
              <w:ind w:right="180"/>
              <w:jc w:val="right"/>
              <w:textAlignment w:val="auto"/>
              <w:rPr>
                <w:rFonts w:ascii="Arial" w:hAnsi="Arial" w:cs="Arial"/>
                <w:sz w:val="20"/>
                <w:lang w:eastAsia="en-GB"/>
              </w:rPr>
            </w:pPr>
            <w:r>
              <w:rPr>
                <w:rFonts w:ascii="Arial" w:hAnsi="Arial" w:cs="Arial"/>
                <w:sz w:val="20"/>
                <w:lang w:eastAsia="en-GB"/>
              </w:rPr>
              <w:t>333</w:t>
            </w:r>
          </w:p>
        </w:tc>
      </w:tr>
      <w:tr w:rsidR="00F375C7" w:rsidRPr="00E70587" w14:paraId="21064414" w14:textId="77777777" w:rsidTr="00BF7116">
        <w:tc>
          <w:tcPr>
            <w:tcW w:w="5872" w:type="dxa"/>
            <w:vAlign w:val="bottom"/>
          </w:tcPr>
          <w:p w14:paraId="48362B04"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interest expense</w:t>
            </w:r>
          </w:p>
        </w:tc>
        <w:tc>
          <w:tcPr>
            <w:tcW w:w="1807" w:type="dxa"/>
            <w:tcMar>
              <w:top w:w="28" w:type="dxa"/>
              <w:right w:w="0" w:type="dxa"/>
            </w:tcMar>
          </w:tcPr>
          <w:p w14:paraId="611D1AFB" w14:textId="14BBB142" w:rsidR="00F375C7" w:rsidRPr="00E70587" w:rsidRDefault="00BF7116" w:rsidP="009A5E2F">
            <w:pPr>
              <w:overflowPunct/>
              <w:spacing w:line="280" w:lineRule="exact"/>
              <w:ind w:right="180"/>
              <w:jc w:val="right"/>
              <w:textAlignment w:val="auto"/>
              <w:rPr>
                <w:rFonts w:ascii="Arial" w:hAnsi="Arial" w:cs="Arial"/>
                <w:b/>
                <w:bCs/>
                <w:sz w:val="20"/>
                <w:lang w:eastAsia="en-GB"/>
              </w:rPr>
            </w:pPr>
            <w:r w:rsidRPr="00E70587">
              <w:rPr>
                <w:rFonts w:ascii="Arial" w:hAnsi="Arial" w:cs="Arial"/>
                <w:b/>
                <w:bCs/>
                <w:sz w:val="20"/>
                <w:lang w:eastAsia="en-GB"/>
              </w:rPr>
              <w:t>2,</w:t>
            </w:r>
            <w:r w:rsidR="006F3634">
              <w:rPr>
                <w:rFonts w:ascii="Arial" w:hAnsi="Arial" w:cs="Arial"/>
                <w:b/>
                <w:bCs/>
                <w:sz w:val="20"/>
                <w:lang w:eastAsia="en-GB"/>
              </w:rPr>
              <w:t>446</w:t>
            </w:r>
          </w:p>
        </w:tc>
        <w:tc>
          <w:tcPr>
            <w:tcW w:w="1897" w:type="dxa"/>
            <w:tcMar>
              <w:right w:w="0" w:type="dxa"/>
            </w:tcMar>
          </w:tcPr>
          <w:p w14:paraId="34A109EB" w14:textId="7F8BFEC0" w:rsidR="00F375C7" w:rsidRPr="00E70587" w:rsidRDefault="00F375C7" w:rsidP="009A5E2F">
            <w:pPr>
              <w:overflowPunct/>
              <w:spacing w:line="280" w:lineRule="exact"/>
              <w:ind w:right="180"/>
              <w:jc w:val="right"/>
              <w:textAlignment w:val="auto"/>
              <w:rPr>
                <w:rFonts w:ascii="Arial" w:hAnsi="Arial" w:cs="Arial"/>
                <w:b/>
                <w:bCs/>
                <w:sz w:val="20"/>
                <w:lang w:eastAsia="en-GB"/>
              </w:rPr>
            </w:pPr>
            <w:r w:rsidRPr="00E70587">
              <w:rPr>
                <w:rFonts w:ascii="Arial" w:hAnsi="Arial" w:cs="Arial"/>
                <w:b/>
                <w:bCs/>
                <w:sz w:val="20"/>
                <w:lang w:eastAsia="en-GB"/>
              </w:rPr>
              <w:t>2,</w:t>
            </w:r>
            <w:r w:rsidR="006F3634">
              <w:rPr>
                <w:rFonts w:ascii="Arial" w:hAnsi="Arial" w:cs="Arial"/>
                <w:b/>
                <w:bCs/>
                <w:sz w:val="20"/>
                <w:lang w:eastAsia="en-GB"/>
              </w:rPr>
              <w:t>281</w:t>
            </w:r>
          </w:p>
        </w:tc>
      </w:tr>
      <w:tr w:rsidR="00F375C7" w:rsidRPr="00E70587" w14:paraId="50E4D37C" w14:textId="77777777" w:rsidTr="00BF7116">
        <w:tc>
          <w:tcPr>
            <w:tcW w:w="5872" w:type="dxa"/>
            <w:vAlign w:val="bottom"/>
          </w:tcPr>
          <w:p w14:paraId="086E8697" w14:textId="77777777" w:rsidR="00F375C7" w:rsidRPr="00E70587" w:rsidRDefault="00F375C7" w:rsidP="006868AD">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Unwinding of discount and effect of changes in discount rate on provisions (Note </w:t>
            </w:r>
            <w:r w:rsidR="006868AD" w:rsidRPr="00E70587">
              <w:rPr>
                <w:rFonts w:ascii="Arial" w:hAnsi="Arial" w:cs="Arial"/>
                <w:sz w:val="20"/>
                <w:lang w:val="en-IN"/>
              </w:rPr>
              <w:t>16</w:t>
            </w:r>
            <w:r w:rsidRPr="00E70587">
              <w:rPr>
                <w:rFonts w:ascii="Arial" w:hAnsi="Arial" w:cs="Arial"/>
                <w:sz w:val="20"/>
                <w:lang w:val="en-IN"/>
              </w:rPr>
              <w:t>)</w:t>
            </w:r>
          </w:p>
        </w:tc>
        <w:tc>
          <w:tcPr>
            <w:tcW w:w="1807" w:type="dxa"/>
            <w:tcBorders>
              <w:bottom w:val="single" w:sz="4" w:space="0" w:color="auto"/>
            </w:tcBorders>
            <w:tcMar>
              <w:top w:w="28" w:type="dxa"/>
              <w:right w:w="0" w:type="dxa"/>
            </w:tcMar>
          </w:tcPr>
          <w:p w14:paraId="132E01BC" w14:textId="77777777" w:rsidR="00F375C7" w:rsidRPr="00E70587" w:rsidRDefault="00F375C7" w:rsidP="009A5E2F">
            <w:pPr>
              <w:overflowPunct/>
              <w:spacing w:line="280" w:lineRule="exact"/>
              <w:ind w:right="180"/>
              <w:jc w:val="right"/>
              <w:textAlignment w:val="auto"/>
              <w:rPr>
                <w:rFonts w:ascii="Arial" w:hAnsi="Arial" w:cs="Arial"/>
                <w:sz w:val="20"/>
                <w:lang w:eastAsia="en-GB"/>
              </w:rPr>
            </w:pPr>
            <w:r w:rsidRPr="00E70587">
              <w:rPr>
                <w:rFonts w:ascii="Arial" w:hAnsi="Arial" w:cs="Arial"/>
                <w:sz w:val="20"/>
                <w:lang w:eastAsia="en-GB"/>
              </w:rPr>
              <w:t>77</w:t>
            </w:r>
          </w:p>
        </w:tc>
        <w:tc>
          <w:tcPr>
            <w:tcW w:w="1897" w:type="dxa"/>
            <w:tcBorders>
              <w:bottom w:val="single" w:sz="4" w:space="0" w:color="auto"/>
            </w:tcBorders>
            <w:tcMar>
              <w:right w:w="0" w:type="dxa"/>
            </w:tcMar>
          </w:tcPr>
          <w:p w14:paraId="67054995" w14:textId="77777777" w:rsidR="00F375C7" w:rsidRPr="00E70587" w:rsidRDefault="00F375C7" w:rsidP="009A5E2F">
            <w:pPr>
              <w:overflowPunct/>
              <w:spacing w:line="280" w:lineRule="exact"/>
              <w:ind w:right="180"/>
              <w:jc w:val="right"/>
              <w:textAlignment w:val="auto"/>
              <w:rPr>
                <w:rFonts w:ascii="Arial" w:hAnsi="Arial" w:cs="Arial"/>
                <w:sz w:val="20"/>
                <w:lang w:eastAsia="en-GB"/>
              </w:rPr>
            </w:pPr>
            <w:r w:rsidRPr="00E70587">
              <w:rPr>
                <w:rFonts w:ascii="Arial" w:hAnsi="Arial" w:cs="Arial"/>
                <w:sz w:val="20"/>
                <w:lang w:eastAsia="en-GB"/>
              </w:rPr>
              <w:t>-</w:t>
            </w:r>
          </w:p>
        </w:tc>
      </w:tr>
      <w:tr w:rsidR="00F375C7" w:rsidRPr="00E70587" w14:paraId="06BC312F" w14:textId="77777777" w:rsidTr="00BF7116">
        <w:tc>
          <w:tcPr>
            <w:tcW w:w="5872" w:type="dxa"/>
            <w:vAlign w:val="center"/>
          </w:tcPr>
          <w:p w14:paraId="75922DA3"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finance costs</w:t>
            </w:r>
          </w:p>
        </w:tc>
        <w:tc>
          <w:tcPr>
            <w:tcW w:w="1807" w:type="dxa"/>
            <w:tcBorders>
              <w:top w:val="single" w:sz="4" w:space="0" w:color="auto"/>
            </w:tcBorders>
            <w:tcMar>
              <w:top w:w="28" w:type="dxa"/>
              <w:right w:w="0" w:type="dxa"/>
            </w:tcMar>
          </w:tcPr>
          <w:p w14:paraId="03EDAE25" w14:textId="38B8FA6B" w:rsidR="00F375C7" w:rsidRPr="00E70587" w:rsidRDefault="00F375C7" w:rsidP="009A5E2F">
            <w:pPr>
              <w:overflowPunct/>
              <w:spacing w:line="280" w:lineRule="exact"/>
              <w:ind w:right="180"/>
              <w:jc w:val="right"/>
              <w:textAlignment w:val="auto"/>
              <w:rPr>
                <w:rFonts w:ascii="Arial" w:hAnsi="Arial" w:cs="Arial"/>
                <w:b/>
                <w:bCs/>
                <w:sz w:val="20"/>
                <w:lang w:eastAsia="en-GB"/>
              </w:rPr>
            </w:pPr>
            <w:r w:rsidRPr="00E70587">
              <w:rPr>
                <w:rFonts w:ascii="Arial" w:hAnsi="Arial" w:cs="Arial"/>
                <w:b/>
                <w:bCs/>
                <w:sz w:val="20"/>
                <w:lang w:eastAsia="en-GB"/>
              </w:rPr>
              <w:t>2,</w:t>
            </w:r>
            <w:r w:rsidR="006F3634">
              <w:rPr>
                <w:rFonts w:ascii="Arial" w:hAnsi="Arial" w:cs="Arial"/>
                <w:b/>
                <w:bCs/>
                <w:sz w:val="20"/>
                <w:lang w:eastAsia="en-GB"/>
              </w:rPr>
              <w:t>523</w:t>
            </w:r>
          </w:p>
        </w:tc>
        <w:tc>
          <w:tcPr>
            <w:tcW w:w="1897" w:type="dxa"/>
            <w:tcBorders>
              <w:top w:val="single" w:sz="4" w:space="0" w:color="auto"/>
            </w:tcBorders>
            <w:tcMar>
              <w:right w:w="0" w:type="dxa"/>
            </w:tcMar>
          </w:tcPr>
          <w:p w14:paraId="503E7285" w14:textId="2B6BBFA7" w:rsidR="00F375C7" w:rsidRPr="00E70587" w:rsidRDefault="00F375C7" w:rsidP="009A5E2F">
            <w:pPr>
              <w:overflowPunct/>
              <w:spacing w:line="280" w:lineRule="exact"/>
              <w:ind w:right="180"/>
              <w:jc w:val="right"/>
              <w:textAlignment w:val="auto"/>
              <w:rPr>
                <w:rFonts w:ascii="Arial" w:hAnsi="Arial" w:cs="Arial"/>
                <w:b/>
                <w:bCs/>
                <w:sz w:val="20"/>
                <w:lang w:eastAsia="en-GB"/>
              </w:rPr>
            </w:pPr>
            <w:r w:rsidRPr="00E70587">
              <w:rPr>
                <w:rFonts w:ascii="Arial" w:hAnsi="Arial" w:cs="Arial"/>
                <w:b/>
                <w:bCs/>
                <w:sz w:val="20"/>
                <w:lang w:eastAsia="en-GB"/>
              </w:rPr>
              <w:t>2,</w:t>
            </w:r>
            <w:r w:rsidR="006F3634">
              <w:rPr>
                <w:rFonts w:ascii="Arial" w:hAnsi="Arial" w:cs="Arial"/>
                <w:b/>
                <w:bCs/>
                <w:sz w:val="20"/>
                <w:lang w:eastAsia="en-GB"/>
              </w:rPr>
              <w:t>281</w:t>
            </w:r>
          </w:p>
        </w:tc>
      </w:tr>
    </w:tbl>
    <w:p w14:paraId="7CB79BE2" w14:textId="77777777" w:rsidR="00675AFB" w:rsidRPr="00E70587" w:rsidRDefault="00675AFB" w:rsidP="009901E1">
      <w:pPr>
        <w:spacing w:line="280" w:lineRule="exact"/>
        <w:rPr>
          <w:rFonts w:ascii="Arial" w:hAnsi="Arial" w:cs="Arial"/>
          <w:sz w:val="20"/>
        </w:rPr>
      </w:pPr>
    </w:p>
    <w:p w14:paraId="2AE415B4" w14:textId="77777777" w:rsidR="00104DA4" w:rsidRPr="00E70587" w:rsidRDefault="00104DA4"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Exceptional items</w:t>
      </w:r>
    </w:p>
    <w:p w14:paraId="0B2163C0" w14:textId="77777777" w:rsidR="00492C64" w:rsidRPr="00E70587" w:rsidRDefault="00492C64" w:rsidP="00492C64">
      <w:pPr>
        <w:pStyle w:val="ViralheadingL2"/>
        <w:keepNext w:val="0"/>
        <w:spacing w:before="0" w:after="0" w:line="280" w:lineRule="exact"/>
        <w:outlineLvl w:val="9"/>
        <w:rPr>
          <w:rFonts w:ascii="Arial" w:hAnsi="Arial" w:cs="Arial"/>
          <w:sz w:val="20"/>
          <w:szCs w:val="20"/>
        </w:rPr>
      </w:pPr>
    </w:p>
    <w:tbl>
      <w:tblPr>
        <w:tblW w:w="9576" w:type="dxa"/>
        <w:tblLayout w:type="fixed"/>
        <w:tblLook w:val="01E0" w:firstRow="1" w:lastRow="1" w:firstColumn="1" w:lastColumn="1" w:noHBand="0" w:noVBand="0"/>
      </w:tblPr>
      <w:tblGrid>
        <w:gridCol w:w="5782"/>
        <w:gridCol w:w="1897"/>
        <w:gridCol w:w="1897"/>
      </w:tblGrid>
      <w:tr w:rsidR="00F375C7" w:rsidRPr="00E70587" w14:paraId="270EDAB0" w14:textId="77777777" w:rsidTr="009A5E2F">
        <w:tc>
          <w:tcPr>
            <w:tcW w:w="5760" w:type="dxa"/>
            <w:shd w:val="clear" w:color="auto" w:fill="auto"/>
          </w:tcPr>
          <w:p w14:paraId="1AFC698F" w14:textId="77777777" w:rsidR="00F375C7" w:rsidRPr="00E70587" w:rsidRDefault="00F375C7" w:rsidP="009A5E2F">
            <w:pPr>
              <w:pStyle w:val="000Normal"/>
              <w:spacing w:before="0" w:after="0" w:line="280" w:lineRule="exact"/>
              <w:rPr>
                <w:rFonts w:ascii="Arial" w:hAnsi="Arial" w:cs="Arial"/>
                <w:sz w:val="20"/>
              </w:rPr>
            </w:pPr>
          </w:p>
        </w:tc>
        <w:tc>
          <w:tcPr>
            <w:tcW w:w="1890" w:type="dxa"/>
            <w:tcBorders>
              <w:bottom w:val="single" w:sz="4" w:space="0" w:color="auto"/>
            </w:tcBorders>
            <w:shd w:val="clear" w:color="auto" w:fill="auto"/>
          </w:tcPr>
          <w:p w14:paraId="606A5E40" w14:textId="5FA428E8" w:rsidR="00F375C7" w:rsidRPr="00E70587" w:rsidRDefault="00F375C7" w:rsidP="009A5E2F">
            <w:pPr>
              <w:pStyle w:val="Tablecolumnheading"/>
              <w:spacing w:line="280" w:lineRule="exact"/>
              <w:ind w:right="180"/>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6958C2" w:rsidRPr="00E70587">
              <w:rPr>
                <w:rFonts w:ascii="Arial" w:hAnsi="Arial"/>
                <w:color w:val="auto"/>
                <w:sz w:val="20"/>
                <w:szCs w:val="20"/>
                <w:lang w:val="en-IN"/>
              </w:rPr>
              <w:t>20</w:t>
            </w:r>
            <w:r w:rsidR="006958C2">
              <w:rPr>
                <w:rFonts w:ascii="Arial" w:hAnsi="Arial"/>
                <w:color w:val="auto"/>
                <w:sz w:val="20"/>
                <w:szCs w:val="20"/>
                <w:lang w:val="en-IN"/>
              </w:rPr>
              <w:t>21</w:t>
            </w:r>
          </w:p>
        </w:tc>
        <w:tc>
          <w:tcPr>
            <w:tcW w:w="1890" w:type="dxa"/>
            <w:tcBorders>
              <w:bottom w:val="single" w:sz="4" w:space="0" w:color="auto"/>
            </w:tcBorders>
            <w:shd w:val="clear" w:color="auto" w:fill="auto"/>
          </w:tcPr>
          <w:p w14:paraId="6BAEAC24" w14:textId="37C231CF" w:rsidR="00F375C7" w:rsidRPr="00E70587" w:rsidRDefault="00F375C7" w:rsidP="009A5E2F">
            <w:pPr>
              <w:pStyle w:val="Tablecolumnheading"/>
              <w:spacing w:line="280" w:lineRule="exact"/>
              <w:ind w:right="180"/>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6958C2" w:rsidRPr="00E70587">
              <w:rPr>
                <w:rFonts w:ascii="Arial" w:hAnsi="Arial"/>
                <w:color w:val="auto"/>
                <w:sz w:val="20"/>
                <w:szCs w:val="20"/>
                <w:lang w:val="en-IN"/>
              </w:rPr>
              <w:t>20</w:t>
            </w:r>
            <w:r w:rsidR="006958C2">
              <w:rPr>
                <w:rFonts w:ascii="Arial" w:hAnsi="Arial"/>
                <w:color w:val="auto"/>
                <w:sz w:val="20"/>
                <w:szCs w:val="20"/>
                <w:lang w:val="en-IN"/>
              </w:rPr>
              <w:t>20</w:t>
            </w:r>
          </w:p>
        </w:tc>
      </w:tr>
      <w:tr w:rsidR="00F375C7" w:rsidRPr="00E70587" w14:paraId="492639F4" w14:textId="77777777" w:rsidTr="009A5E2F">
        <w:tc>
          <w:tcPr>
            <w:tcW w:w="5760" w:type="dxa"/>
          </w:tcPr>
          <w:p w14:paraId="7FE86448" w14:textId="77777777" w:rsidR="00F375C7" w:rsidRPr="00E70587" w:rsidRDefault="00F375C7" w:rsidP="009A5E2F">
            <w:pPr>
              <w:pStyle w:val="000Normal"/>
              <w:spacing w:before="0" w:after="0" w:line="280" w:lineRule="exact"/>
              <w:jc w:val="right"/>
              <w:rPr>
                <w:rFonts w:ascii="Arial" w:hAnsi="Arial" w:cs="Arial"/>
                <w:b/>
                <w:sz w:val="20"/>
              </w:rPr>
            </w:pPr>
          </w:p>
        </w:tc>
        <w:tc>
          <w:tcPr>
            <w:tcW w:w="1890" w:type="dxa"/>
            <w:tcBorders>
              <w:top w:val="single" w:sz="4" w:space="0" w:color="auto"/>
            </w:tcBorders>
          </w:tcPr>
          <w:p w14:paraId="115C0FE7" w14:textId="77777777" w:rsidR="00F375C7" w:rsidRPr="00E70587" w:rsidRDefault="00F375C7" w:rsidP="006958C2">
            <w:pPr>
              <w:pStyle w:val="Tablecolumnheading"/>
              <w:spacing w:line="280" w:lineRule="exact"/>
              <w:ind w:right="180"/>
              <w:jc w:val="center"/>
              <w:rPr>
                <w:rFonts w:ascii="Arial" w:hAnsi="Arial"/>
                <w:color w:val="auto"/>
                <w:sz w:val="20"/>
                <w:szCs w:val="20"/>
                <w:lang w:val="en-IN"/>
              </w:rPr>
            </w:pPr>
            <w:r w:rsidRPr="00E70587">
              <w:rPr>
                <w:rFonts w:ascii="Arial" w:hAnsi="Arial"/>
                <w:color w:val="auto"/>
                <w:sz w:val="20"/>
                <w:szCs w:val="20"/>
                <w:lang w:val="en-IN"/>
              </w:rPr>
              <w:t>INR Lacs</w:t>
            </w:r>
          </w:p>
        </w:tc>
        <w:tc>
          <w:tcPr>
            <w:tcW w:w="1890" w:type="dxa"/>
            <w:tcBorders>
              <w:top w:val="single" w:sz="4" w:space="0" w:color="auto"/>
            </w:tcBorders>
          </w:tcPr>
          <w:p w14:paraId="13DABA35" w14:textId="77777777" w:rsidR="00F375C7" w:rsidRPr="00E70587" w:rsidRDefault="00F375C7" w:rsidP="006958C2">
            <w:pPr>
              <w:pStyle w:val="Tablecolumnheading"/>
              <w:spacing w:line="280" w:lineRule="exact"/>
              <w:ind w:right="180"/>
              <w:jc w:val="center"/>
              <w:rPr>
                <w:rFonts w:ascii="Arial" w:hAnsi="Arial"/>
                <w:color w:val="auto"/>
                <w:sz w:val="20"/>
                <w:szCs w:val="20"/>
                <w:lang w:val="en-IN"/>
              </w:rPr>
            </w:pPr>
            <w:r w:rsidRPr="00E70587">
              <w:rPr>
                <w:rFonts w:ascii="Arial" w:hAnsi="Arial"/>
                <w:color w:val="auto"/>
                <w:sz w:val="20"/>
                <w:szCs w:val="20"/>
                <w:lang w:val="en-IN"/>
              </w:rPr>
              <w:t>INR Lacs</w:t>
            </w:r>
          </w:p>
        </w:tc>
      </w:tr>
      <w:tr w:rsidR="00F375C7" w:rsidRPr="00E70587" w14:paraId="12706750" w14:textId="77777777" w:rsidTr="009A5E2F">
        <w:tc>
          <w:tcPr>
            <w:tcW w:w="5760" w:type="dxa"/>
            <w:tcMar>
              <w:top w:w="28" w:type="dxa"/>
            </w:tcMar>
            <w:vAlign w:val="center"/>
          </w:tcPr>
          <w:p w14:paraId="5A8A100B" w14:textId="77777777" w:rsidR="00F375C7" w:rsidRPr="00E70587" w:rsidRDefault="00F375C7" w:rsidP="009A5E2F">
            <w:pPr>
              <w:spacing w:line="280" w:lineRule="exact"/>
              <w:rPr>
                <w:rFonts w:ascii="Arial" w:hAnsi="Arial" w:cs="Arial"/>
                <w:sz w:val="20"/>
              </w:rPr>
            </w:pPr>
            <w:r w:rsidRPr="00E70587">
              <w:rPr>
                <w:rFonts w:ascii="Arial" w:hAnsi="Arial" w:cs="Arial"/>
                <w:sz w:val="20"/>
              </w:rPr>
              <w:t>Bid defence costs</w:t>
            </w:r>
          </w:p>
        </w:tc>
        <w:tc>
          <w:tcPr>
            <w:tcW w:w="1890" w:type="dxa"/>
            <w:tcBorders>
              <w:bottom w:val="single" w:sz="4" w:space="0" w:color="auto"/>
            </w:tcBorders>
            <w:tcMar>
              <w:top w:w="28" w:type="dxa"/>
              <w:right w:w="0" w:type="dxa"/>
            </w:tcMar>
          </w:tcPr>
          <w:p w14:paraId="7D965DFE" w14:textId="77777777" w:rsidR="00F375C7" w:rsidRPr="00E70587" w:rsidRDefault="00F375C7" w:rsidP="009A5E2F">
            <w:pPr>
              <w:overflowPunct/>
              <w:spacing w:line="280" w:lineRule="exact"/>
              <w:ind w:right="180"/>
              <w:jc w:val="right"/>
              <w:textAlignment w:val="auto"/>
              <w:rPr>
                <w:rFonts w:ascii="Arial" w:hAnsi="Arial" w:cs="Arial"/>
                <w:sz w:val="20"/>
                <w:lang w:eastAsia="en-GB"/>
              </w:rPr>
            </w:pPr>
            <w:r w:rsidRPr="00E70587">
              <w:rPr>
                <w:rFonts w:ascii="Arial" w:hAnsi="Arial" w:cs="Arial"/>
                <w:sz w:val="20"/>
                <w:lang w:eastAsia="en-GB"/>
              </w:rPr>
              <w:t xml:space="preserve"> 2,142 </w:t>
            </w:r>
          </w:p>
        </w:tc>
        <w:tc>
          <w:tcPr>
            <w:tcW w:w="1890" w:type="dxa"/>
            <w:tcBorders>
              <w:bottom w:val="single" w:sz="4" w:space="0" w:color="auto"/>
            </w:tcBorders>
            <w:tcMar>
              <w:top w:w="28" w:type="dxa"/>
              <w:right w:w="28" w:type="dxa"/>
            </w:tcMar>
          </w:tcPr>
          <w:p w14:paraId="0CA0DDFA" w14:textId="77777777" w:rsidR="00F375C7" w:rsidRPr="00E70587" w:rsidRDefault="00F375C7" w:rsidP="009A5E2F">
            <w:pPr>
              <w:overflowPunct/>
              <w:spacing w:line="280" w:lineRule="exact"/>
              <w:ind w:right="180"/>
              <w:jc w:val="right"/>
              <w:textAlignment w:val="auto"/>
              <w:rPr>
                <w:rFonts w:ascii="Arial" w:hAnsi="Arial" w:cs="Arial"/>
                <w:sz w:val="20"/>
                <w:lang w:eastAsia="en-GB"/>
              </w:rPr>
            </w:pPr>
            <w:r w:rsidRPr="00E70587">
              <w:rPr>
                <w:rFonts w:ascii="Arial" w:hAnsi="Arial" w:cs="Arial"/>
                <w:sz w:val="20"/>
                <w:lang w:eastAsia="en-GB"/>
              </w:rPr>
              <w:t>-</w:t>
            </w:r>
          </w:p>
        </w:tc>
      </w:tr>
      <w:tr w:rsidR="00F375C7" w:rsidRPr="00E70587" w14:paraId="778248A6" w14:textId="77777777" w:rsidTr="009A5E2F">
        <w:tc>
          <w:tcPr>
            <w:tcW w:w="5760" w:type="dxa"/>
            <w:tcMar>
              <w:top w:w="28" w:type="dxa"/>
            </w:tcMar>
            <w:vAlign w:val="bottom"/>
          </w:tcPr>
          <w:p w14:paraId="7D3810F8"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890" w:type="dxa"/>
            <w:tcBorders>
              <w:top w:val="single" w:sz="4" w:space="0" w:color="auto"/>
              <w:bottom w:val="double" w:sz="4" w:space="0" w:color="auto"/>
            </w:tcBorders>
            <w:tcMar>
              <w:top w:w="28" w:type="dxa"/>
              <w:right w:w="0" w:type="dxa"/>
            </w:tcMar>
          </w:tcPr>
          <w:p w14:paraId="6AF0010A" w14:textId="77777777" w:rsidR="00F375C7" w:rsidRPr="00E70587" w:rsidRDefault="00F375C7" w:rsidP="009A5E2F">
            <w:pPr>
              <w:overflowPunct/>
              <w:spacing w:line="280" w:lineRule="exact"/>
              <w:ind w:right="180"/>
              <w:jc w:val="right"/>
              <w:textAlignment w:val="auto"/>
              <w:rPr>
                <w:rFonts w:ascii="Arial" w:hAnsi="Arial" w:cs="Arial"/>
                <w:b/>
                <w:sz w:val="20"/>
                <w:lang w:eastAsia="en-GB"/>
              </w:rPr>
            </w:pPr>
            <w:r w:rsidRPr="00E70587">
              <w:rPr>
                <w:rFonts w:ascii="Arial" w:hAnsi="Arial" w:cs="Arial"/>
                <w:b/>
                <w:sz w:val="20"/>
                <w:lang w:eastAsia="en-GB"/>
              </w:rPr>
              <w:t xml:space="preserve"> 2,142 </w:t>
            </w:r>
          </w:p>
        </w:tc>
        <w:tc>
          <w:tcPr>
            <w:tcW w:w="1890" w:type="dxa"/>
            <w:tcBorders>
              <w:top w:val="single" w:sz="4" w:space="0" w:color="auto"/>
              <w:bottom w:val="double" w:sz="4" w:space="0" w:color="auto"/>
            </w:tcBorders>
            <w:tcMar>
              <w:top w:w="28" w:type="dxa"/>
              <w:right w:w="28" w:type="dxa"/>
            </w:tcMar>
          </w:tcPr>
          <w:p w14:paraId="1464BBB8" w14:textId="77777777" w:rsidR="00F375C7" w:rsidRPr="00E70587" w:rsidRDefault="00F375C7" w:rsidP="009A5E2F">
            <w:pPr>
              <w:overflowPunct/>
              <w:spacing w:line="280" w:lineRule="exact"/>
              <w:ind w:right="180"/>
              <w:jc w:val="right"/>
              <w:textAlignment w:val="auto"/>
              <w:rPr>
                <w:rFonts w:ascii="Arial" w:hAnsi="Arial" w:cs="Arial"/>
                <w:b/>
                <w:sz w:val="20"/>
                <w:lang w:eastAsia="en-GB"/>
              </w:rPr>
            </w:pPr>
            <w:r w:rsidRPr="00E70587">
              <w:rPr>
                <w:rFonts w:ascii="Arial" w:hAnsi="Arial" w:cs="Arial"/>
                <w:b/>
                <w:sz w:val="20"/>
                <w:lang w:eastAsia="en-GB"/>
              </w:rPr>
              <w:t>-</w:t>
            </w:r>
          </w:p>
        </w:tc>
      </w:tr>
    </w:tbl>
    <w:p w14:paraId="5C29FB18" w14:textId="77777777" w:rsidR="00104DA4" w:rsidRPr="00E70587" w:rsidRDefault="00104DA4" w:rsidP="009901E1">
      <w:pPr>
        <w:pStyle w:val="tabletext"/>
        <w:overflowPunct w:val="0"/>
        <w:autoSpaceDE w:val="0"/>
        <w:autoSpaceDN w:val="0"/>
        <w:adjustRightInd w:val="0"/>
        <w:spacing w:line="280" w:lineRule="exact"/>
        <w:textAlignment w:val="baseline"/>
        <w:rPr>
          <w:rFonts w:ascii="Arial" w:hAnsi="Arial" w:cs="Arial"/>
          <w:sz w:val="20"/>
          <w:lang w:val="en-IN"/>
        </w:rPr>
      </w:pPr>
    </w:p>
    <w:tbl>
      <w:tblPr>
        <w:tblW w:w="9576" w:type="dxa"/>
        <w:tblLook w:val="0000" w:firstRow="0" w:lastRow="0" w:firstColumn="0" w:lastColumn="0" w:noHBand="0" w:noVBand="0"/>
      </w:tblPr>
      <w:tblGrid>
        <w:gridCol w:w="9576"/>
      </w:tblGrid>
      <w:tr w:rsidR="001E08E1" w:rsidRPr="00E70587" w14:paraId="02DF2A85" w14:textId="77777777" w:rsidTr="009A5E2F">
        <w:tc>
          <w:tcPr>
            <w:tcW w:w="0" w:type="auto"/>
          </w:tcPr>
          <w:p w14:paraId="5192AC0C" w14:textId="77777777" w:rsidR="001E08E1" w:rsidRPr="00E70587" w:rsidRDefault="001E08E1" w:rsidP="009A5E2F">
            <w:pPr>
              <w:pStyle w:val="tabletext"/>
              <w:overflowPunct w:val="0"/>
              <w:autoSpaceDE w:val="0"/>
              <w:autoSpaceDN w:val="0"/>
              <w:adjustRightInd w:val="0"/>
              <w:spacing w:line="280" w:lineRule="exact"/>
              <w:ind w:left="72"/>
              <w:textAlignment w:val="baseline"/>
              <w:rPr>
                <w:rFonts w:ascii="Arial" w:hAnsi="Arial" w:cs="Arial"/>
                <w:sz w:val="20"/>
                <w:lang w:val="en-IN"/>
              </w:rPr>
            </w:pPr>
            <w:r w:rsidRPr="00E70587">
              <w:rPr>
                <w:rFonts w:ascii="Arial" w:hAnsi="Arial" w:cs="Arial"/>
                <w:sz w:val="20"/>
                <w:lang w:val="en-IN"/>
              </w:rPr>
              <w:t>Bid defence costs were incurred in respect of obtaining advice in defending a hostile takeover bid by a competitor. The competitor did not proceed with the bid.</w:t>
            </w:r>
          </w:p>
        </w:tc>
      </w:tr>
    </w:tbl>
    <w:p w14:paraId="466EE1D8" w14:textId="77777777" w:rsidR="008474CA" w:rsidRPr="00E70587" w:rsidRDefault="008474CA" w:rsidP="009901E1">
      <w:pPr>
        <w:pStyle w:val="tabletext"/>
        <w:overflowPunct w:val="0"/>
        <w:autoSpaceDE w:val="0"/>
        <w:autoSpaceDN w:val="0"/>
        <w:adjustRightInd w:val="0"/>
        <w:spacing w:line="280" w:lineRule="exact"/>
        <w:textAlignment w:val="baseline"/>
        <w:rPr>
          <w:rFonts w:ascii="Arial" w:hAnsi="Arial" w:cs="Arial"/>
          <w:sz w:val="20"/>
          <w:lang w:val="en-IN"/>
        </w:rPr>
      </w:pPr>
    </w:p>
    <w:p w14:paraId="26DAF7C9" w14:textId="77777777" w:rsidR="00492C64" w:rsidRPr="00E70587" w:rsidRDefault="00492C64"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Research and development costs</w:t>
      </w:r>
    </w:p>
    <w:p w14:paraId="39609C1B" w14:textId="77777777" w:rsidR="00492C64" w:rsidRPr="00E70587" w:rsidRDefault="00492C64" w:rsidP="00492C64">
      <w:pPr>
        <w:spacing w:line="280" w:lineRule="exact"/>
        <w:jc w:val="both"/>
        <w:rPr>
          <w:rFonts w:ascii="Arial" w:hAnsi="Arial" w:cs="Arial"/>
          <w:sz w:val="20"/>
        </w:rPr>
      </w:pPr>
    </w:p>
    <w:p w14:paraId="4A519997" w14:textId="7CCE11D5" w:rsidR="00492C64" w:rsidRPr="00E70587" w:rsidRDefault="00492C64" w:rsidP="00492C64">
      <w:pPr>
        <w:spacing w:line="280" w:lineRule="exact"/>
        <w:jc w:val="both"/>
        <w:rPr>
          <w:rFonts w:ascii="Arial" w:hAnsi="Arial" w:cs="Arial"/>
          <w:sz w:val="20"/>
        </w:rPr>
      </w:pPr>
      <w:r w:rsidRPr="00E70587">
        <w:rPr>
          <w:rFonts w:ascii="Arial" w:hAnsi="Arial" w:cs="Arial"/>
          <w:sz w:val="20"/>
        </w:rPr>
        <w:t xml:space="preserve">The Group’s electronics business research and development concentrates on the development of internet-enabled safety equipment. Research and development costs that are not eligible for capitalisation have </w:t>
      </w:r>
      <w:r w:rsidRPr="00E70587">
        <w:rPr>
          <w:rFonts w:ascii="Arial" w:hAnsi="Arial" w:cs="Arial"/>
          <w:sz w:val="20"/>
        </w:rPr>
        <w:lastRenderedPageBreak/>
        <w:t xml:space="preserve">been expensed in the period incurred (during the year ended 31 </w:t>
      </w:r>
      <w:r w:rsidR="00E1202D" w:rsidRPr="00E70587">
        <w:rPr>
          <w:rFonts w:ascii="Arial" w:hAnsi="Arial" w:cs="Arial"/>
          <w:sz w:val="20"/>
        </w:rPr>
        <w:t xml:space="preserve">March </w:t>
      </w:r>
      <w:r w:rsidR="00012843" w:rsidRPr="00E70587">
        <w:rPr>
          <w:rFonts w:ascii="Arial" w:hAnsi="Arial" w:cs="Arial"/>
          <w:sz w:val="20"/>
        </w:rPr>
        <w:t>20</w:t>
      </w:r>
      <w:r w:rsidR="00012843">
        <w:rPr>
          <w:rFonts w:ascii="Arial" w:hAnsi="Arial" w:cs="Arial"/>
          <w:sz w:val="20"/>
        </w:rPr>
        <w:t>21</w:t>
      </w:r>
      <w:r w:rsidR="00012843" w:rsidRPr="00E70587">
        <w:rPr>
          <w:rFonts w:ascii="Arial" w:hAnsi="Arial" w:cs="Arial"/>
          <w:sz w:val="20"/>
        </w:rPr>
        <w:t xml:space="preserve"> </w:t>
      </w:r>
      <w:r w:rsidRPr="00E70587">
        <w:rPr>
          <w:rFonts w:ascii="Arial" w:hAnsi="Arial" w:cs="Arial"/>
          <w:sz w:val="20"/>
        </w:rPr>
        <w:t xml:space="preserve">this was an amount of INR 40 (31 </w:t>
      </w:r>
      <w:r w:rsidR="008B730E" w:rsidRPr="00E70587">
        <w:rPr>
          <w:rFonts w:ascii="Arial" w:hAnsi="Arial" w:cs="Arial"/>
          <w:sz w:val="20"/>
        </w:rPr>
        <w:t xml:space="preserve">March </w:t>
      </w:r>
      <w:r w:rsidR="00012843" w:rsidRPr="00E70587">
        <w:rPr>
          <w:rFonts w:ascii="Arial" w:hAnsi="Arial" w:cs="Arial"/>
          <w:sz w:val="20"/>
        </w:rPr>
        <w:t>20</w:t>
      </w:r>
      <w:r w:rsidR="00012843">
        <w:rPr>
          <w:rFonts w:ascii="Arial" w:hAnsi="Arial" w:cs="Arial"/>
          <w:sz w:val="20"/>
        </w:rPr>
        <w:t>20</w:t>
      </w:r>
      <w:r w:rsidRPr="00E70587">
        <w:rPr>
          <w:rFonts w:ascii="Arial" w:hAnsi="Arial" w:cs="Arial"/>
          <w:sz w:val="20"/>
        </w:rPr>
        <w:t>: INR 1</w:t>
      </w:r>
      <w:r w:rsidR="00E8464A" w:rsidRPr="00E70587">
        <w:rPr>
          <w:rFonts w:ascii="Arial" w:hAnsi="Arial" w:cs="Arial"/>
          <w:sz w:val="20"/>
        </w:rPr>
        <w:t>9</w:t>
      </w:r>
      <w:r w:rsidRPr="00E70587">
        <w:rPr>
          <w:rFonts w:ascii="Arial" w:hAnsi="Arial" w:cs="Arial"/>
          <w:sz w:val="20"/>
        </w:rPr>
        <w:t>)), and they are recognised in other expenses.</w:t>
      </w:r>
    </w:p>
    <w:p w14:paraId="377E1145" w14:textId="77777777" w:rsidR="00675AFB" w:rsidRPr="00E70587" w:rsidRDefault="00675AFB" w:rsidP="00492C64">
      <w:pPr>
        <w:spacing w:line="280" w:lineRule="exact"/>
        <w:jc w:val="both"/>
        <w:rPr>
          <w:rFonts w:ascii="Arial" w:hAnsi="Arial" w:cs="Arial"/>
          <w:sz w:val="20"/>
        </w:rPr>
      </w:pPr>
    </w:p>
    <w:p w14:paraId="7A694E9E" w14:textId="77777777" w:rsidR="00675AFB" w:rsidRPr="00E70587" w:rsidRDefault="00675AFB"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Components of other comprehensive income (OCI)</w:t>
      </w:r>
    </w:p>
    <w:p w14:paraId="34F9F956" w14:textId="77777777" w:rsidR="00492C64" w:rsidRPr="00E70587" w:rsidRDefault="00492C64" w:rsidP="00492C64">
      <w:pPr>
        <w:spacing w:line="280" w:lineRule="exact"/>
        <w:jc w:val="both"/>
        <w:rPr>
          <w:rFonts w:ascii="Arial" w:hAnsi="Arial" w:cs="Arial"/>
          <w:sz w:val="20"/>
        </w:rPr>
      </w:pPr>
    </w:p>
    <w:p w14:paraId="74DF2E7B" w14:textId="77777777" w:rsidR="008A271C" w:rsidRPr="00E70587" w:rsidRDefault="008A271C" w:rsidP="00492C64">
      <w:pPr>
        <w:spacing w:line="280" w:lineRule="exact"/>
        <w:jc w:val="both"/>
        <w:rPr>
          <w:rFonts w:ascii="Arial" w:hAnsi="Arial" w:cs="Arial"/>
          <w:sz w:val="20"/>
        </w:rPr>
      </w:pPr>
      <w:r w:rsidRPr="00E70587">
        <w:rPr>
          <w:rFonts w:ascii="Arial" w:hAnsi="Arial" w:cs="Arial"/>
          <w:sz w:val="20"/>
        </w:rPr>
        <w:t>The disaggregation of changes to OCI by each type of reserve in equity is shown below:</w:t>
      </w:r>
    </w:p>
    <w:p w14:paraId="31072782" w14:textId="77777777" w:rsidR="00077540" w:rsidRPr="00E70587" w:rsidRDefault="00077540" w:rsidP="00492C64">
      <w:pPr>
        <w:spacing w:line="280" w:lineRule="exact"/>
        <w:jc w:val="both"/>
        <w:rPr>
          <w:rFonts w:ascii="Arial" w:hAnsi="Arial" w:cs="Arial"/>
          <w:sz w:val="20"/>
        </w:rPr>
      </w:pPr>
    </w:p>
    <w:p w14:paraId="7A8385C2" w14:textId="088F2493" w:rsidR="008A271C" w:rsidRPr="00E70587" w:rsidRDefault="008A271C" w:rsidP="00492C64">
      <w:pPr>
        <w:spacing w:line="280" w:lineRule="exact"/>
        <w:jc w:val="both"/>
        <w:rPr>
          <w:rFonts w:ascii="Arial" w:hAnsi="Arial" w:cs="Arial"/>
          <w:b/>
          <w:sz w:val="20"/>
        </w:rPr>
      </w:pPr>
      <w:r w:rsidRPr="00E70587">
        <w:rPr>
          <w:rFonts w:ascii="Arial" w:hAnsi="Arial" w:cs="Arial"/>
          <w:b/>
          <w:sz w:val="20"/>
        </w:rPr>
        <w:t xml:space="preserve">During the year ended 31 </w:t>
      </w:r>
      <w:r w:rsidR="00E1202D" w:rsidRPr="00E70587">
        <w:rPr>
          <w:rFonts w:ascii="Arial" w:hAnsi="Arial" w:cs="Arial"/>
          <w:b/>
          <w:sz w:val="20"/>
        </w:rPr>
        <w:t xml:space="preserve">March </w:t>
      </w:r>
      <w:r w:rsidR="009C46B9" w:rsidRPr="00E70587">
        <w:rPr>
          <w:rFonts w:ascii="Arial" w:hAnsi="Arial" w:cs="Arial"/>
          <w:b/>
          <w:sz w:val="20"/>
        </w:rPr>
        <w:t>20</w:t>
      </w:r>
      <w:r w:rsidR="009C46B9">
        <w:rPr>
          <w:rFonts w:ascii="Arial" w:hAnsi="Arial" w:cs="Arial"/>
          <w:b/>
          <w:sz w:val="20"/>
        </w:rPr>
        <w:t>21</w:t>
      </w:r>
    </w:p>
    <w:p w14:paraId="22AF5405" w14:textId="77777777" w:rsidR="00492C64" w:rsidRPr="00E70587" w:rsidRDefault="00492C64" w:rsidP="00492C64">
      <w:pPr>
        <w:spacing w:line="280" w:lineRule="exact"/>
        <w:jc w:val="both"/>
        <w:rPr>
          <w:rFonts w:ascii="Arial" w:hAnsi="Arial" w:cs="Arial"/>
          <w:sz w:val="20"/>
        </w:rPr>
      </w:pPr>
    </w:p>
    <w:tbl>
      <w:tblPr>
        <w:tblStyle w:val="TableGrid"/>
        <w:tblW w:w="54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8"/>
        <w:gridCol w:w="1242"/>
        <w:gridCol w:w="1047"/>
        <w:gridCol w:w="1033"/>
        <w:gridCol w:w="969"/>
        <w:gridCol w:w="1387"/>
        <w:gridCol w:w="1246"/>
        <w:gridCol w:w="1110"/>
        <w:gridCol w:w="822"/>
      </w:tblGrid>
      <w:tr w:rsidR="009161D7" w:rsidRPr="00854635" w14:paraId="74332CDE" w14:textId="77777777" w:rsidTr="009161D7">
        <w:trPr>
          <w:trHeight w:val="2207"/>
        </w:trPr>
        <w:tc>
          <w:tcPr>
            <w:tcW w:w="678" w:type="pct"/>
            <w:shd w:val="clear" w:color="auto" w:fill="auto"/>
          </w:tcPr>
          <w:p w14:paraId="3B371710" w14:textId="77777777" w:rsidR="00854635" w:rsidRPr="00854635" w:rsidRDefault="00854635" w:rsidP="009A5E2F">
            <w:pPr>
              <w:pStyle w:val="Notesbodytext"/>
              <w:spacing w:after="0" w:line="280" w:lineRule="exact"/>
              <w:rPr>
                <w:rFonts w:ascii="Arial" w:hAnsi="Arial"/>
                <w:b/>
                <w:color w:val="auto"/>
                <w:sz w:val="17"/>
                <w:szCs w:val="17"/>
              </w:rPr>
            </w:pPr>
          </w:p>
        </w:tc>
        <w:tc>
          <w:tcPr>
            <w:tcW w:w="606" w:type="pct"/>
            <w:shd w:val="clear" w:color="auto" w:fill="auto"/>
            <w:vAlign w:val="bottom"/>
          </w:tcPr>
          <w:p w14:paraId="4B7C9315" w14:textId="767AC92E" w:rsidR="00854635" w:rsidRPr="00854635" w:rsidRDefault="00854635" w:rsidP="009A5E2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Effective portion of cash flow hedges</w:t>
            </w:r>
          </w:p>
        </w:tc>
        <w:tc>
          <w:tcPr>
            <w:tcW w:w="511" w:type="pct"/>
          </w:tcPr>
          <w:p w14:paraId="49208072" w14:textId="77777777" w:rsidR="00854635" w:rsidRDefault="00854635" w:rsidP="008D5ECF">
            <w:pPr>
              <w:pStyle w:val="Tablecolumnheading"/>
              <w:spacing w:line="280" w:lineRule="exact"/>
              <w:ind w:left="72"/>
              <w:rPr>
                <w:rFonts w:ascii="Arial" w:hAnsi="Arial"/>
                <w:color w:val="auto"/>
                <w:sz w:val="17"/>
                <w:szCs w:val="17"/>
                <w:lang w:val="en-IN"/>
              </w:rPr>
            </w:pPr>
          </w:p>
          <w:p w14:paraId="520B372F" w14:textId="77777777" w:rsidR="00854635" w:rsidRDefault="00854635" w:rsidP="008D5ECF">
            <w:pPr>
              <w:pStyle w:val="Tablecolumnheading"/>
              <w:spacing w:line="280" w:lineRule="exact"/>
              <w:ind w:left="72"/>
              <w:rPr>
                <w:rFonts w:ascii="Arial" w:hAnsi="Arial"/>
                <w:color w:val="auto"/>
                <w:sz w:val="17"/>
                <w:szCs w:val="17"/>
                <w:lang w:val="en-IN"/>
              </w:rPr>
            </w:pPr>
          </w:p>
          <w:p w14:paraId="139F59E5" w14:textId="77777777" w:rsidR="00854635" w:rsidRDefault="00854635" w:rsidP="008D5ECF">
            <w:pPr>
              <w:pStyle w:val="Tablecolumnheading"/>
              <w:spacing w:line="280" w:lineRule="exact"/>
              <w:ind w:left="72"/>
              <w:rPr>
                <w:rFonts w:ascii="Arial" w:hAnsi="Arial"/>
                <w:color w:val="auto"/>
                <w:sz w:val="17"/>
                <w:szCs w:val="17"/>
                <w:lang w:val="en-IN"/>
              </w:rPr>
            </w:pPr>
          </w:p>
          <w:p w14:paraId="7D93790A" w14:textId="77777777" w:rsidR="00854635" w:rsidRDefault="00854635" w:rsidP="008D5ECF">
            <w:pPr>
              <w:pStyle w:val="Tablecolumnheading"/>
              <w:spacing w:line="280" w:lineRule="exact"/>
              <w:ind w:left="72"/>
              <w:rPr>
                <w:rFonts w:ascii="Arial" w:hAnsi="Arial"/>
                <w:color w:val="auto"/>
                <w:sz w:val="17"/>
                <w:szCs w:val="17"/>
                <w:lang w:val="en-IN"/>
              </w:rPr>
            </w:pPr>
          </w:p>
          <w:p w14:paraId="76426E46" w14:textId="01F2F85D" w:rsidR="00854635" w:rsidRPr="00854635" w:rsidRDefault="00854635" w:rsidP="008D5ECF">
            <w:pPr>
              <w:pStyle w:val="Tablecolumnheading"/>
              <w:spacing w:line="280" w:lineRule="exact"/>
              <w:ind w:left="72"/>
              <w:rPr>
                <w:rFonts w:ascii="Arial" w:hAnsi="Arial"/>
                <w:color w:val="auto"/>
                <w:sz w:val="17"/>
                <w:szCs w:val="17"/>
                <w:lang w:val="en-IN"/>
              </w:rPr>
            </w:pPr>
            <w:r>
              <w:rPr>
                <w:rFonts w:ascii="Arial" w:hAnsi="Arial"/>
                <w:color w:val="auto"/>
                <w:sz w:val="17"/>
                <w:szCs w:val="17"/>
                <w:lang w:val="en-IN"/>
              </w:rPr>
              <w:t>Cost of cash flow hedges</w:t>
            </w:r>
          </w:p>
        </w:tc>
        <w:tc>
          <w:tcPr>
            <w:tcW w:w="504" w:type="pct"/>
            <w:shd w:val="clear" w:color="auto" w:fill="auto"/>
            <w:vAlign w:val="bottom"/>
          </w:tcPr>
          <w:p w14:paraId="453A9E3E" w14:textId="3FC7FD05" w:rsidR="00854635" w:rsidRPr="00854635" w:rsidRDefault="00854635" w:rsidP="008D5EC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Debt instruments</w:t>
            </w:r>
          </w:p>
          <w:p w14:paraId="74D57767" w14:textId="77777777" w:rsidR="00854635" w:rsidRPr="00854635" w:rsidRDefault="00854635" w:rsidP="008D5EC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through</w:t>
            </w:r>
          </w:p>
          <w:p w14:paraId="3C52A42D" w14:textId="77777777" w:rsidR="00854635" w:rsidRPr="00854635" w:rsidRDefault="00854635" w:rsidP="008D5EC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Other</w:t>
            </w:r>
          </w:p>
          <w:p w14:paraId="05237768" w14:textId="5F84E93D" w:rsidR="00854635" w:rsidRPr="00854635" w:rsidRDefault="00854635" w:rsidP="008D5EC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Comprehensive Income</w:t>
            </w:r>
          </w:p>
        </w:tc>
        <w:tc>
          <w:tcPr>
            <w:tcW w:w="473" w:type="pct"/>
          </w:tcPr>
          <w:p w14:paraId="72314FBF" w14:textId="77777777" w:rsidR="00854635" w:rsidRPr="00854635" w:rsidRDefault="00854635" w:rsidP="008D5EC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Equity instruments</w:t>
            </w:r>
          </w:p>
          <w:p w14:paraId="68CD48EC" w14:textId="77777777" w:rsidR="00854635" w:rsidRPr="00854635" w:rsidRDefault="00854635" w:rsidP="008D5EC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through</w:t>
            </w:r>
          </w:p>
          <w:p w14:paraId="26736D5D" w14:textId="77777777" w:rsidR="00854635" w:rsidRPr="00854635" w:rsidRDefault="00854635" w:rsidP="008D5EC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Other</w:t>
            </w:r>
          </w:p>
          <w:p w14:paraId="1AB5A702" w14:textId="35374447" w:rsidR="00854635" w:rsidRPr="00854635" w:rsidRDefault="00854635" w:rsidP="008D5EC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Comprehensive Income</w:t>
            </w:r>
          </w:p>
        </w:tc>
        <w:tc>
          <w:tcPr>
            <w:tcW w:w="677" w:type="pct"/>
            <w:shd w:val="clear" w:color="auto" w:fill="auto"/>
            <w:vAlign w:val="bottom"/>
          </w:tcPr>
          <w:p w14:paraId="3CA87E0A" w14:textId="08F4A8FF" w:rsidR="00854635" w:rsidRPr="00854635" w:rsidRDefault="00854635" w:rsidP="009A5E2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Exchange differences on translating the financial statements of a foreign operation</w:t>
            </w:r>
          </w:p>
        </w:tc>
        <w:tc>
          <w:tcPr>
            <w:tcW w:w="608" w:type="pct"/>
            <w:shd w:val="clear" w:color="auto" w:fill="auto"/>
            <w:vAlign w:val="bottom"/>
          </w:tcPr>
          <w:p w14:paraId="26F81462" w14:textId="77777777" w:rsidR="00854635" w:rsidRPr="00854635" w:rsidRDefault="00854635" w:rsidP="009A5E2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 xml:space="preserve">Revaluation reserve </w:t>
            </w:r>
          </w:p>
        </w:tc>
        <w:tc>
          <w:tcPr>
            <w:tcW w:w="542" w:type="pct"/>
          </w:tcPr>
          <w:p w14:paraId="5CEBF540" w14:textId="77777777" w:rsidR="00854635" w:rsidRPr="00854635" w:rsidRDefault="00854635" w:rsidP="009A5E2F">
            <w:pPr>
              <w:pStyle w:val="Tablecolumnheading"/>
              <w:spacing w:line="280" w:lineRule="exact"/>
              <w:ind w:left="72"/>
              <w:rPr>
                <w:rFonts w:ascii="Arial" w:hAnsi="Arial"/>
                <w:color w:val="auto"/>
                <w:sz w:val="17"/>
                <w:szCs w:val="17"/>
                <w:lang w:val="en-IN"/>
              </w:rPr>
            </w:pPr>
          </w:p>
          <w:p w14:paraId="21E1626D" w14:textId="77777777" w:rsidR="00854635" w:rsidRPr="00854635" w:rsidRDefault="00854635" w:rsidP="009A5E2F">
            <w:pPr>
              <w:pStyle w:val="Tablecolumnheading"/>
              <w:spacing w:line="280" w:lineRule="exact"/>
              <w:ind w:left="72"/>
              <w:rPr>
                <w:rFonts w:ascii="Arial" w:hAnsi="Arial"/>
                <w:color w:val="auto"/>
                <w:sz w:val="17"/>
                <w:szCs w:val="17"/>
                <w:lang w:val="en-IN"/>
              </w:rPr>
            </w:pPr>
          </w:p>
          <w:p w14:paraId="1632C9C6" w14:textId="464D6325" w:rsidR="00854635" w:rsidRPr="00854635" w:rsidRDefault="00854635" w:rsidP="009A5E2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Retained earnings</w:t>
            </w:r>
          </w:p>
        </w:tc>
        <w:tc>
          <w:tcPr>
            <w:tcW w:w="402" w:type="pct"/>
            <w:shd w:val="clear" w:color="auto" w:fill="auto"/>
            <w:vAlign w:val="bottom"/>
          </w:tcPr>
          <w:p w14:paraId="35736010" w14:textId="77777777" w:rsidR="00854635" w:rsidRPr="00854635" w:rsidRDefault="00854635" w:rsidP="009A5E2F">
            <w:pPr>
              <w:pStyle w:val="Tablecolumnheading"/>
              <w:spacing w:line="280" w:lineRule="exact"/>
              <w:ind w:left="72"/>
              <w:rPr>
                <w:rFonts w:ascii="Arial" w:hAnsi="Arial"/>
                <w:color w:val="auto"/>
                <w:sz w:val="17"/>
                <w:szCs w:val="17"/>
                <w:lang w:val="en-IN"/>
              </w:rPr>
            </w:pPr>
          </w:p>
          <w:p w14:paraId="263902F5" w14:textId="77777777" w:rsidR="00854635" w:rsidRPr="00854635" w:rsidRDefault="00854635" w:rsidP="009A5E2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Total</w:t>
            </w:r>
          </w:p>
        </w:tc>
      </w:tr>
      <w:tr w:rsidR="009161D7" w:rsidRPr="00854635" w14:paraId="5B8D8798" w14:textId="77777777" w:rsidTr="009161D7">
        <w:trPr>
          <w:trHeight w:val="656"/>
        </w:trPr>
        <w:tc>
          <w:tcPr>
            <w:tcW w:w="678" w:type="pct"/>
            <w:shd w:val="clear" w:color="auto" w:fill="auto"/>
          </w:tcPr>
          <w:p w14:paraId="6A4D45DE" w14:textId="77777777" w:rsidR="00854635" w:rsidRPr="00854635" w:rsidRDefault="00854635" w:rsidP="009A5E2F">
            <w:pPr>
              <w:pStyle w:val="Notesbodytext"/>
              <w:spacing w:after="0" w:line="280" w:lineRule="exact"/>
              <w:rPr>
                <w:rFonts w:ascii="Arial" w:hAnsi="Arial"/>
                <w:color w:val="auto"/>
                <w:sz w:val="17"/>
                <w:szCs w:val="17"/>
              </w:rPr>
            </w:pPr>
          </w:p>
        </w:tc>
        <w:tc>
          <w:tcPr>
            <w:tcW w:w="606" w:type="pct"/>
            <w:shd w:val="clear" w:color="auto" w:fill="auto"/>
            <w:vAlign w:val="center"/>
          </w:tcPr>
          <w:p w14:paraId="317E545A" w14:textId="77777777" w:rsidR="00854635" w:rsidRPr="00854635" w:rsidRDefault="00854635" w:rsidP="009A5E2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INR Lacs</w:t>
            </w:r>
          </w:p>
        </w:tc>
        <w:tc>
          <w:tcPr>
            <w:tcW w:w="511" w:type="pct"/>
          </w:tcPr>
          <w:p w14:paraId="781F546B" w14:textId="77777777" w:rsidR="00854635" w:rsidRDefault="00854635" w:rsidP="00854635">
            <w:pPr>
              <w:pStyle w:val="Tablecolumnheading"/>
              <w:spacing w:line="180" w:lineRule="auto"/>
              <w:ind w:left="74"/>
              <w:rPr>
                <w:rFonts w:ascii="Arial" w:hAnsi="Arial"/>
                <w:color w:val="auto"/>
                <w:sz w:val="17"/>
                <w:szCs w:val="17"/>
                <w:lang w:val="en-IN"/>
              </w:rPr>
            </w:pPr>
          </w:p>
          <w:p w14:paraId="630AA8AB" w14:textId="5318C3E0" w:rsidR="00854635" w:rsidRPr="00854635" w:rsidRDefault="00854635" w:rsidP="009A5E2F">
            <w:pPr>
              <w:pStyle w:val="Tablecolumnheading"/>
              <w:spacing w:line="280" w:lineRule="exact"/>
              <w:ind w:left="72"/>
              <w:rPr>
                <w:rFonts w:ascii="Arial" w:hAnsi="Arial"/>
                <w:color w:val="auto"/>
                <w:sz w:val="17"/>
                <w:szCs w:val="17"/>
                <w:lang w:val="en-IN"/>
              </w:rPr>
            </w:pPr>
            <w:r>
              <w:rPr>
                <w:rFonts w:ascii="Arial" w:hAnsi="Arial"/>
                <w:color w:val="auto"/>
                <w:sz w:val="17"/>
                <w:szCs w:val="17"/>
                <w:lang w:val="en-IN"/>
              </w:rPr>
              <w:t>INR Lacs</w:t>
            </w:r>
          </w:p>
        </w:tc>
        <w:tc>
          <w:tcPr>
            <w:tcW w:w="504" w:type="pct"/>
            <w:shd w:val="clear" w:color="auto" w:fill="auto"/>
            <w:vAlign w:val="center"/>
          </w:tcPr>
          <w:p w14:paraId="5676E074" w14:textId="6D8D5BE1" w:rsidR="00854635" w:rsidRPr="00854635" w:rsidRDefault="00854635" w:rsidP="009A5E2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INR Lacs</w:t>
            </w:r>
          </w:p>
        </w:tc>
        <w:tc>
          <w:tcPr>
            <w:tcW w:w="473" w:type="pct"/>
          </w:tcPr>
          <w:p w14:paraId="70FB8A1A" w14:textId="77777777" w:rsidR="00854635" w:rsidRPr="00854635" w:rsidRDefault="00854635" w:rsidP="00B44EA6">
            <w:pPr>
              <w:pStyle w:val="Tablecolumnheading"/>
              <w:spacing w:line="120" w:lineRule="auto"/>
              <w:ind w:left="74"/>
              <w:rPr>
                <w:rFonts w:ascii="Arial" w:hAnsi="Arial"/>
                <w:color w:val="auto"/>
                <w:sz w:val="17"/>
                <w:szCs w:val="17"/>
                <w:lang w:val="en-IN"/>
              </w:rPr>
            </w:pPr>
          </w:p>
          <w:p w14:paraId="0AF7F8B9" w14:textId="7BC5DEA6" w:rsidR="00854635" w:rsidRPr="00854635" w:rsidRDefault="00854635" w:rsidP="009A5E2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INR Lacs</w:t>
            </w:r>
          </w:p>
        </w:tc>
        <w:tc>
          <w:tcPr>
            <w:tcW w:w="677" w:type="pct"/>
            <w:shd w:val="clear" w:color="auto" w:fill="auto"/>
            <w:vAlign w:val="center"/>
          </w:tcPr>
          <w:p w14:paraId="298DA13A" w14:textId="45D4ACDA" w:rsidR="00854635" w:rsidRPr="00854635" w:rsidRDefault="00854635" w:rsidP="009A5E2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INR Lacs</w:t>
            </w:r>
          </w:p>
        </w:tc>
        <w:tc>
          <w:tcPr>
            <w:tcW w:w="608" w:type="pct"/>
            <w:shd w:val="clear" w:color="auto" w:fill="auto"/>
            <w:vAlign w:val="center"/>
          </w:tcPr>
          <w:p w14:paraId="396EF4CE" w14:textId="77777777" w:rsidR="00854635" w:rsidRPr="00854635" w:rsidRDefault="00854635" w:rsidP="009A5E2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INR Lacs</w:t>
            </w:r>
          </w:p>
        </w:tc>
        <w:tc>
          <w:tcPr>
            <w:tcW w:w="542" w:type="pct"/>
            <w:vAlign w:val="center"/>
          </w:tcPr>
          <w:p w14:paraId="70B2484B" w14:textId="77777777" w:rsidR="00854635" w:rsidRPr="00854635" w:rsidRDefault="00854635" w:rsidP="009A5E2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INR Lacs</w:t>
            </w:r>
          </w:p>
        </w:tc>
        <w:tc>
          <w:tcPr>
            <w:tcW w:w="402" w:type="pct"/>
            <w:shd w:val="clear" w:color="auto" w:fill="auto"/>
            <w:vAlign w:val="center"/>
          </w:tcPr>
          <w:p w14:paraId="028C4DB3" w14:textId="77777777" w:rsidR="00854635" w:rsidRPr="00854635" w:rsidRDefault="00854635" w:rsidP="009A5E2F">
            <w:pPr>
              <w:pStyle w:val="Tablecolumnheading"/>
              <w:spacing w:line="280" w:lineRule="exact"/>
              <w:ind w:left="72"/>
              <w:rPr>
                <w:rFonts w:ascii="Arial" w:hAnsi="Arial"/>
                <w:color w:val="auto"/>
                <w:sz w:val="17"/>
                <w:szCs w:val="17"/>
                <w:lang w:val="en-IN"/>
              </w:rPr>
            </w:pPr>
            <w:r w:rsidRPr="00854635">
              <w:rPr>
                <w:rFonts w:ascii="Arial" w:hAnsi="Arial"/>
                <w:color w:val="auto"/>
                <w:sz w:val="17"/>
                <w:szCs w:val="17"/>
                <w:lang w:val="en-IN"/>
              </w:rPr>
              <w:t>INR Lacs</w:t>
            </w:r>
          </w:p>
        </w:tc>
      </w:tr>
      <w:tr w:rsidR="009161D7" w:rsidRPr="00854635" w14:paraId="39892E36" w14:textId="77777777" w:rsidTr="009161D7">
        <w:trPr>
          <w:trHeight w:val="548"/>
        </w:trPr>
        <w:tc>
          <w:tcPr>
            <w:tcW w:w="678" w:type="pct"/>
            <w:shd w:val="clear" w:color="auto" w:fill="auto"/>
          </w:tcPr>
          <w:p w14:paraId="5F97BB92" w14:textId="77777777" w:rsidR="00854635" w:rsidRPr="00854635" w:rsidRDefault="00854635" w:rsidP="007A2704">
            <w:pPr>
              <w:pStyle w:val="Notesbodytext"/>
              <w:spacing w:after="0" w:line="280" w:lineRule="exact"/>
              <w:rPr>
                <w:rFonts w:ascii="Arial" w:hAnsi="Arial"/>
                <w:color w:val="auto"/>
                <w:sz w:val="17"/>
                <w:szCs w:val="17"/>
              </w:rPr>
            </w:pPr>
            <w:r w:rsidRPr="00854635">
              <w:rPr>
                <w:rFonts w:ascii="Arial" w:hAnsi="Arial"/>
                <w:color w:val="auto"/>
                <w:sz w:val="17"/>
                <w:szCs w:val="17"/>
              </w:rPr>
              <w:t>Net investment hedging</w:t>
            </w:r>
          </w:p>
        </w:tc>
        <w:tc>
          <w:tcPr>
            <w:tcW w:w="606" w:type="pct"/>
            <w:shd w:val="clear" w:color="auto" w:fill="auto"/>
            <w:vAlign w:val="center"/>
          </w:tcPr>
          <w:p w14:paraId="5B03A95A" w14:textId="77777777"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 xml:space="preserve"> -</w:t>
            </w:r>
          </w:p>
        </w:tc>
        <w:tc>
          <w:tcPr>
            <w:tcW w:w="511" w:type="pct"/>
          </w:tcPr>
          <w:p w14:paraId="29DD7124" w14:textId="77777777" w:rsidR="00854635" w:rsidRPr="00854635" w:rsidRDefault="00854635" w:rsidP="007A2704">
            <w:pPr>
              <w:spacing w:line="280" w:lineRule="exact"/>
              <w:ind w:left="72"/>
              <w:jc w:val="right"/>
              <w:rPr>
                <w:rFonts w:ascii="Arial" w:hAnsi="Arial" w:cs="Arial"/>
                <w:sz w:val="17"/>
                <w:szCs w:val="17"/>
              </w:rPr>
            </w:pPr>
          </w:p>
        </w:tc>
        <w:tc>
          <w:tcPr>
            <w:tcW w:w="504" w:type="pct"/>
            <w:shd w:val="clear" w:color="auto" w:fill="auto"/>
            <w:vAlign w:val="center"/>
          </w:tcPr>
          <w:p w14:paraId="3684CF51" w14:textId="2AF5918C"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473" w:type="pct"/>
            <w:vAlign w:val="center"/>
          </w:tcPr>
          <w:p w14:paraId="2D801814" w14:textId="536D5163"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677" w:type="pct"/>
            <w:shd w:val="clear" w:color="auto" w:fill="auto"/>
            <w:vAlign w:val="center"/>
          </w:tcPr>
          <w:p w14:paraId="2012264D" w14:textId="660D764B"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 xml:space="preserve"> 351 </w:t>
            </w:r>
          </w:p>
        </w:tc>
        <w:tc>
          <w:tcPr>
            <w:tcW w:w="608" w:type="pct"/>
            <w:shd w:val="clear" w:color="auto" w:fill="auto"/>
            <w:vAlign w:val="center"/>
          </w:tcPr>
          <w:p w14:paraId="73542393" w14:textId="77777777"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542" w:type="pct"/>
            <w:vAlign w:val="center"/>
          </w:tcPr>
          <w:p w14:paraId="7DE5A2CE" w14:textId="77777777" w:rsidR="00854635" w:rsidRPr="00854635" w:rsidRDefault="00854635" w:rsidP="007A2704">
            <w:pPr>
              <w:overflowPunct/>
              <w:spacing w:line="280" w:lineRule="exact"/>
              <w:jc w:val="right"/>
              <w:textAlignment w:val="auto"/>
              <w:rPr>
                <w:rFonts w:ascii="Arial" w:hAnsi="Arial" w:cs="Arial"/>
                <w:b/>
                <w:sz w:val="17"/>
                <w:szCs w:val="17"/>
                <w:lang w:eastAsia="en-GB"/>
              </w:rPr>
            </w:pPr>
          </w:p>
        </w:tc>
        <w:tc>
          <w:tcPr>
            <w:tcW w:w="402" w:type="pct"/>
            <w:shd w:val="clear" w:color="auto" w:fill="auto"/>
            <w:vAlign w:val="center"/>
          </w:tcPr>
          <w:p w14:paraId="6DA3A1F5" w14:textId="77777777" w:rsidR="00854635" w:rsidRPr="00854635" w:rsidRDefault="00854635" w:rsidP="007A2704">
            <w:pPr>
              <w:overflowPunct/>
              <w:spacing w:line="280" w:lineRule="exact"/>
              <w:jc w:val="right"/>
              <w:textAlignment w:val="auto"/>
              <w:rPr>
                <w:rFonts w:ascii="Arial" w:hAnsi="Arial" w:cs="Arial"/>
                <w:b/>
                <w:sz w:val="17"/>
                <w:szCs w:val="17"/>
                <w:lang w:eastAsia="en-GB"/>
              </w:rPr>
            </w:pPr>
            <w:r w:rsidRPr="00854635">
              <w:rPr>
                <w:rFonts w:ascii="Arial" w:hAnsi="Arial" w:cs="Arial"/>
                <w:b/>
                <w:sz w:val="17"/>
                <w:szCs w:val="17"/>
                <w:lang w:eastAsia="en-GB"/>
              </w:rPr>
              <w:t xml:space="preserve">351 </w:t>
            </w:r>
          </w:p>
        </w:tc>
      </w:tr>
      <w:tr w:rsidR="009161D7" w:rsidRPr="00854635" w14:paraId="20D62EEE" w14:textId="77777777" w:rsidTr="009161D7">
        <w:trPr>
          <w:trHeight w:val="1109"/>
        </w:trPr>
        <w:tc>
          <w:tcPr>
            <w:tcW w:w="678" w:type="pct"/>
            <w:shd w:val="clear" w:color="auto" w:fill="auto"/>
          </w:tcPr>
          <w:p w14:paraId="5EBEB158" w14:textId="77777777" w:rsidR="00854635" w:rsidRPr="00854635" w:rsidRDefault="00854635" w:rsidP="007A2704">
            <w:pPr>
              <w:pStyle w:val="Notesbodytext"/>
              <w:spacing w:after="0" w:line="280" w:lineRule="exact"/>
              <w:rPr>
                <w:rFonts w:ascii="Arial" w:hAnsi="Arial"/>
                <w:color w:val="auto"/>
                <w:sz w:val="17"/>
                <w:szCs w:val="17"/>
              </w:rPr>
            </w:pPr>
            <w:r w:rsidRPr="00854635">
              <w:rPr>
                <w:rFonts w:ascii="Arial" w:hAnsi="Arial"/>
                <w:color w:val="auto"/>
                <w:sz w:val="17"/>
                <w:szCs w:val="17"/>
              </w:rPr>
              <w:t>Foreign exchange translation differences</w:t>
            </w:r>
          </w:p>
        </w:tc>
        <w:tc>
          <w:tcPr>
            <w:tcW w:w="606" w:type="pct"/>
            <w:shd w:val="clear" w:color="auto" w:fill="auto"/>
            <w:vAlign w:val="center"/>
          </w:tcPr>
          <w:p w14:paraId="54A6741B" w14:textId="77777777"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 xml:space="preserve"> -</w:t>
            </w:r>
          </w:p>
        </w:tc>
        <w:tc>
          <w:tcPr>
            <w:tcW w:w="511" w:type="pct"/>
          </w:tcPr>
          <w:p w14:paraId="4E441F94" w14:textId="77777777" w:rsidR="00854635" w:rsidRPr="00854635" w:rsidRDefault="00854635" w:rsidP="007A2704">
            <w:pPr>
              <w:spacing w:line="280" w:lineRule="exact"/>
              <w:ind w:left="72"/>
              <w:jc w:val="right"/>
              <w:rPr>
                <w:rFonts w:ascii="Arial" w:hAnsi="Arial" w:cs="Arial"/>
                <w:sz w:val="17"/>
                <w:szCs w:val="17"/>
              </w:rPr>
            </w:pPr>
          </w:p>
        </w:tc>
        <w:tc>
          <w:tcPr>
            <w:tcW w:w="504" w:type="pct"/>
            <w:shd w:val="clear" w:color="auto" w:fill="auto"/>
            <w:vAlign w:val="center"/>
          </w:tcPr>
          <w:p w14:paraId="10C1024F" w14:textId="2F4A3E48"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473" w:type="pct"/>
            <w:vAlign w:val="center"/>
          </w:tcPr>
          <w:p w14:paraId="7B1A6415" w14:textId="23D826EC"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677" w:type="pct"/>
            <w:shd w:val="clear" w:color="auto" w:fill="auto"/>
            <w:vAlign w:val="center"/>
          </w:tcPr>
          <w:p w14:paraId="578243A6" w14:textId="26288245"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 xml:space="preserve"> (443) </w:t>
            </w:r>
          </w:p>
        </w:tc>
        <w:tc>
          <w:tcPr>
            <w:tcW w:w="608" w:type="pct"/>
            <w:shd w:val="clear" w:color="auto" w:fill="auto"/>
            <w:vAlign w:val="center"/>
          </w:tcPr>
          <w:p w14:paraId="3B6A24ED" w14:textId="77777777"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542" w:type="pct"/>
            <w:vAlign w:val="center"/>
          </w:tcPr>
          <w:p w14:paraId="721767F8" w14:textId="77777777" w:rsidR="00854635" w:rsidRPr="00854635" w:rsidRDefault="00854635" w:rsidP="007A2704">
            <w:pPr>
              <w:overflowPunct/>
              <w:spacing w:line="280" w:lineRule="exact"/>
              <w:jc w:val="right"/>
              <w:textAlignment w:val="auto"/>
              <w:rPr>
                <w:rFonts w:ascii="Arial" w:hAnsi="Arial" w:cs="Arial"/>
                <w:b/>
                <w:sz w:val="17"/>
                <w:szCs w:val="17"/>
                <w:lang w:eastAsia="en-GB"/>
              </w:rPr>
            </w:pPr>
          </w:p>
        </w:tc>
        <w:tc>
          <w:tcPr>
            <w:tcW w:w="402" w:type="pct"/>
            <w:shd w:val="clear" w:color="auto" w:fill="auto"/>
            <w:vAlign w:val="center"/>
          </w:tcPr>
          <w:p w14:paraId="06FC8710" w14:textId="77777777" w:rsidR="00854635" w:rsidRPr="00854635" w:rsidRDefault="00854635" w:rsidP="007A2704">
            <w:pPr>
              <w:overflowPunct/>
              <w:spacing w:line="280" w:lineRule="exact"/>
              <w:jc w:val="right"/>
              <w:textAlignment w:val="auto"/>
              <w:rPr>
                <w:rFonts w:ascii="Arial" w:hAnsi="Arial" w:cs="Arial"/>
                <w:b/>
                <w:sz w:val="17"/>
                <w:szCs w:val="17"/>
                <w:lang w:eastAsia="en-GB"/>
              </w:rPr>
            </w:pPr>
            <w:r w:rsidRPr="00854635">
              <w:rPr>
                <w:rFonts w:ascii="Arial" w:hAnsi="Arial" w:cs="Arial"/>
                <w:b/>
                <w:sz w:val="17"/>
                <w:szCs w:val="17"/>
                <w:lang w:eastAsia="en-GB"/>
              </w:rPr>
              <w:t xml:space="preserve"> (443) </w:t>
            </w:r>
          </w:p>
        </w:tc>
      </w:tr>
      <w:tr w:rsidR="009161D7" w:rsidRPr="00854635" w14:paraId="5DE3CE88" w14:textId="77777777" w:rsidTr="009161D7">
        <w:trPr>
          <w:trHeight w:val="829"/>
        </w:trPr>
        <w:tc>
          <w:tcPr>
            <w:tcW w:w="678" w:type="pct"/>
            <w:shd w:val="clear" w:color="auto" w:fill="auto"/>
            <w:vAlign w:val="bottom"/>
          </w:tcPr>
          <w:p w14:paraId="53D32A31" w14:textId="77777777" w:rsidR="00854635" w:rsidRPr="00854635" w:rsidRDefault="00854635" w:rsidP="007A2704">
            <w:pPr>
              <w:pStyle w:val="Notesbodytext"/>
              <w:spacing w:after="0" w:line="280" w:lineRule="exact"/>
              <w:rPr>
                <w:rFonts w:ascii="Arial" w:hAnsi="Arial"/>
                <w:color w:val="auto"/>
                <w:sz w:val="17"/>
                <w:szCs w:val="17"/>
              </w:rPr>
            </w:pPr>
            <w:r w:rsidRPr="00854635">
              <w:rPr>
                <w:rFonts w:ascii="Arial" w:hAnsi="Arial"/>
                <w:color w:val="auto"/>
                <w:sz w:val="17"/>
                <w:szCs w:val="17"/>
              </w:rPr>
              <w:t>Currency forward contracts</w:t>
            </w:r>
          </w:p>
        </w:tc>
        <w:tc>
          <w:tcPr>
            <w:tcW w:w="606" w:type="pct"/>
            <w:shd w:val="clear" w:color="auto" w:fill="auto"/>
            <w:vAlign w:val="center"/>
          </w:tcPr>
          <w:p w14:paraId="67066973" w14:textId="2D03FE54" w:rsidR="00854635" w:rsidRPr="00854635" w:rsidRDefault="002533B7" w:rsidP="007A2704">
            <w:pPr>
              <w:spacing w:line="280" w:lineRule="exact"/>
              <w:ind w:left="72"/>
              <w:jc w:val="right"/>
              <w:rPr>
                <w:rFonts w:ascii="Arial" w:hAnsi="Arial" w:cs="Arial"/>
                <w:sz w:val="17"/>
                <w:szCs w:val="17"/>
              </w:rPr>
            </w:pPr>
            <w:r>
              <w:rPr>
                <w:rFonts w:ascii="Arial" w:hAnsi="Arial" w:cs="Arial"/>
                <w:sz w:val="17"/>
                <w:szCs w:val="17"/>
              </w:rPr>
              <w:t>355</w:t>
            </w:r>
            <w:r w:rsidR="00854635" w:rsidRPr="00854635">
              <w:rPr>
                <w:rFonts w:ascii="Arial" w:hAnsi="Arial" w:cs="Arial"/>
                <w:sz w:val="17"/>
                <w:szCs w:val="17"/>
              </w:rPr>
              <w:t xml:space="preserve"> </w:t>
            </w:r>
          </w:p>
        </w:tc>
        <w:tc>
          <w:tcPr>
            <w:tcW w:w="511" w:type="pct"/>
          </w:tcPr>
          <w:p w14:paraId="1BA41C9A" w14:textId="77777777" w:rsidR="00854635" w:rsidRDefault="00854635" w:rsidP="007A2704">
            <w:pPr>
              <w:spacing w:line="280" w:lineRule="exact"/>
              <w:ind w:left="72"/>
              <w:jc w:val="right"/>
              <w:rPr>
                <w:rFonts w:ascii="Arial" w:hAnsi="Arial" w:cs="Arial"/>
                <w:sz w:val="17"/>
                <w:szCs w:val="17"/>
              </w:rPr>
            </w:pPr>
          </w:p>
          <w:p w14:paraId="0C604A4A" w14:textId="2EDD18D0" w:rsidR="002533B7" w:rsidRPr="00854635" w:rsidRDefault="002533B7" w:rsidP="007A2704">
            <w:pPr>
              <w:spacing w:line="280" w:lineRule="exact"/>
              <w:ind w:left="72"/>
              <w:jc w:val="right"/>
              <w:rPr>
                <w:rFonts w:ascii="Arial" w:hAnsi="Arial" w:cs="Arial"/>
                <w:sz w:val="17"/>
                <w:szCs w:val="17"/>
              </w:rPr>
            </w:pPr>
            <w:r>
              <w:rPr>
                <w:rFonts w:ascii="Arial" w:hAnsi="Arial" w:cs="Arial"/>
                <w:sz w:val="17"/>
                <w:szCs w:val="17"/>
              </w:rPr>
              <w:t>7</w:t>
            </w:r>
          </w:p>
        </w:tc>
        <w:tc>
          <w:tcPr>
            <w:tcW w:w="504" w:type="pct"/>
            <w:shd w:val="clear" w:color="auto" w:fill="auto"/>
            <w:vAlign w:val="center"/>
          </w:tcPr>
          <w:p w14:paraId="7C083DD6" w14:textId="267C5F49"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473" w:type="pct"/>
            <w:vAlign w:val="center"/>
          </w:tcPr>
          <w:p w14:paraId="1690210F" w14:textId="3659EB0D"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677" w:type="pct"/>
            <w:shd w:val="clear" w:color="auto" w:fill="auto"/>
            <w:vAlign w:val="center"/>
          </w:tcPr>
          <w:p w14:paraId="63392B82" w14:textId="3E7E83B9"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608" w:type="pct"/>
            <w:shd w:val="clear" w:color="auto" w:fill="auto"/>
            <w:vAlign w:val="center"/>
          </w:tcPr>
          <w:p w14:paraId="2347024E" w14:textId="77777777"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542" w:type="pct"/>
            <w:vAlign w:val="center"/>
          </w:tcPr>
          <w:p w14:paraId="76302946" w14:textId="77777777" w:rsidR="00854635" w:rsidRPr="00854635" w:rsidRDefault="00854635" w:rsidP="007A2704">
            <w:pPr>
              <w:overflowPunct/>
              <w:spacing w:line="280" w:lineRule="exact"/>
              <w:jc w:val="right"/>
              <w:textAlignment w:val="auto"/>
              <w:rPr>
                <w:rFonts w:ascii="Arial" w:hAnsi="Arial" w:cs="Arial"/>
                <w:b/>
                <w:sz w:val="17"/>
                <w:szCs w:val="17"/>
                <w:lang w:eastAsia="en-GB"/>
              </w:rPr>
            </w:pPr>
          </w:p>
        </w:tc>
        <w:tc>
          <w:tcPr>
            <w:tcW w:w="402" w:type="pct"/>
            <w:shd w:val="clear" w:color="auto" w:fill="auto"/>
            <w:vAlign w:val="center"/>
          </w:tcPr>
          <w:p w14:paraId="30AC5273" w14:textId="0D409F21" w:rsidR="00854635" w:rsidRPr="00854635" w:rsidRDefault="00854635" w:rsidP="007A2704">
            <w:pPr>
              <w:overflowPunct/>
              <w:spacing w:line="280" w:lineRule="exact"/>
              <w:jc w:val="right"/>
              <w:textAlignment w:val="auto"/>
              <w:rPr>
                <w:rFonts w:ascii="Arial" w:hAnsi="Arial" w:cs="Arial"/>
                <w:b/>
                <w:sz w:val="17"/>
                <w:szCs w:val="17"/>
                <w:lang w:eastAsia="en-GB"/>
              </w:rPr>
            </w:pPr>
            <w:r w:rsidRPr="00854635">
              <w:rPr>
                <w:rFonts w:ascii="Arial" w:hAnsi="Arial" w:cs="Arial"/>
                <w:b/>
                <w:sz w:val="17"/>
                <w:szCs w:val="17"/>
                <w:lang w:eastAsia="en-GB"/>
              </w:rPr>
              <w:t xml:space="preserve"> </w:t>
            </w:r>
            <w:r w:rsidR="00EB57F1">
              <w:rPr>
                <w:rFonts w:ascii="Arial" w:hAnsi="Arial" w:cs="Arial"/>
                <w:b/>
                <w:sz w:val="17"/>
                <w:szCs w:val="17"/>
                <w:lang w:eastAsia="en-GB"/>
              </w:rPr>
              <w:t>362</w:t>
            </w:r>
            <w:r w:rsidRPr="00854635">
              <w:rPr>
                <w:rFonts w:ascii="Arial" w:hAnsi="Arial" w:cs="Arial"/>
                <w:b/>
                <w:sz w:val="17"/>
                <w:szCs w:val="17"/>
                <w:lang w:eastAsia="en-GB"/>
              </w:rPr>
              <w:t xml:space="preserve"> </w:t>
            </w:r>
          </w:p>
        </w:tc>
      </w:tr>
      <w:tr w:rsidR="009161D7" w:rsidRPr="00854635" w14:paraId="4E5F0279" w14:textId="77777777" w:rsidTr="009161D7">
        <w:trPr>
          <w:trHeight w:val="829"/>
        </w:trPr>
        <w:tc>
          <w:tcPr>
            <w:tcW w:w="678" w:type="pct"/>
            <w:shd w:val="clear" w:color="auto" w:fill="auto"/>
            <w:vAlign w:val="bottom"/>
          </w:tcPr>
          <w:p w14:paraId="07771F8F" w14:textId="77777777" w:rsidR="00854635" w:rsidRPr="00854635" w:rsidRDefault="00854635" w:rsidP="007A2704">
            <w:pPr>
              <w:pStyle w:val="Notesbodytext"/>
              <w:spacing w:after="0" w:line="280" w:lineRule="exact"/>
              <w:rPr>
                <w:rFonts w:ascii="Arial" w:hAnsi="Arial"/>
                <w:color w:val="auto"/>
                <w:sz w:val="17"/>
                <w:szCs w:val="17"/>
              </w:rPr>
            </w:pPr>
            <w:r w:rsidRPr="00854635">
              <w:rPr>
                <w:rFonts w:ascii="Arial" w:hAnsi="Arial"/>
                <w:color w:val="auto"/>
                <w:sz w:val="17"/>
                <w:szCs w:val="17"/>
              </w:rPr>
              <w:t>Commodity forward contracts</w:t>
            </w:r>
          </w:p>
        </w:tc>
        <w:tc>
          <w:tcPr>
            <w:tcW w:w="606" w:type="pct"/>
            <w:shd w:val="clear" w:color="auto" w:fill="auto"/>
            <w:vAlign w:val="center"/>
          </w:tcPr>
          <w:p w14:paraId="000276DD" w14:textId="03257AD3"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r w:rsidR="00460399">
              <w:rPr>
                <w:rFonts w:ascii="Arial" w:hAnsi="Arial" w:cs="Arial"/>
                <w:sz w:val="17"/>
                <w:szCs w:val="17"/>
              </w:rPr>
              <w:t>1,111</w:t>
            </w:r>
            <w:r w:rsidRPr="00854635">
              <w:rPr>
                <w:rFonts w:ascii="Arial" w:hAnsi="Arial" w:cs="Arial"/>
                <w:sz w:val="17"/>
                <w:szCs w:val="17"/>
              </w:rPr>
              <w:t xml:space="preserve">) </w:t>
            </w:r>
          </w:p>
        </w:tc>
        <w:tc>
          <w:tcPr>
            <w:tcW w:w="511" w:type="pct"/>
          </w:tcPr>
          <w:p w14:paraId="154B632D" w14:textId="77777777" w:rsidR="00854635" w:rsidRDefault="00854635" w:rsidP="007A2704">
            <w:pPr>
              <w:spacing w:line="280" w:lineRule="exact"/>
              <w:ind w:left="72"/>
              <w:jc w:val="right"/>
              <w:rPr>
                <w:rFonts w:ascii="Arial" w:hAnsi="Arial" w:cs="Arial"/>
                <w:sz w:val="17"/>
                <w:szCs w:val="17"/>
              </w:rPr>
            </w:pPr>
          </w:p>
          <w:p w14:paraId="00EB4098" w14:textId="6F0FABB4" w:rsidR="002533B7" w:rsidRPr="00854635" w:rsidRDefault="00B15719" w:rsidP="007A2704">
            <w:pPr>
              <w:spacing w:line="280" w:lineRule="exact"/>
              <w:ind w:left="72"/>
              <w:jc w:val="right"/>
              <w:rPr>
                <w:rFonts w:ascii="Arial" w:hAnsi="Arial" w:cs="Arial"/>
                <w:sz w:val="17"/>
                <w:szCs w:val="17"/>
              </w:rPr>
            </w:pPr>
            <w:r>
              <w:rPr>
                <w:rFonts w:ascii="Arial" w:hAnsi="Arial" w:cs="Arial"/>
                <w:sz w:val="17"/>
                <w:szCs w:val="17"/>
              </w:rPr>
              <w:t>(</w:t>
            </w:r>
            <w:r w:rsidR="00460399">
              <w:rPr>
                <w:rFonts w:ascii="Arial" w:hAnsi="Arial" w:cs="Arial"/>
                <w:sz w:val="17"/>
                <w:szCs w:val="17"/>
              </w:rPr>
              <w:t>41</w:t>
            </w:r>
            <w:r>
              <w:rPr>
                <w:rFonts w:ascii="Arial" w:hAnsi="Arial" w:cs="Arial"/>
                <w:sz w:val="17"/>
                <w:szCs w:val="17"/>
              </w:rPr>
              <w:t>)</w:t>
            </w:r>
          </w:p>
        </w:tc>
        <w:tc>
          <w:tcPr>
            <w:tcW w:w="504" w:type="pct"/>
            <w:shd w:val="clear" w:color="auto" w:fill="auto"/>
            <w:vAlign w:val="center"/>
          </w:tcPr>
          <w:p w14:paraId="79969B74" w14:textId="650EB965"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473" w:type="pct"/>
            <w:vAlign w:val="center"/>
          </w:tcPr>
          <w:p w14:paraId="6602C96A" w14:textId="329B17DB"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677" w:type="pct"/>
            <w:shd w:val="clear" w:color="auto" w:fill="auto"/>
            <w:vAlign w:val="center"/>
          </w:tcPr>
          <w:p w14:paraId="21D6A090" w14:textId="3250EF8D"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608" w:type="pct"/>
            <w:shd w:val="clear" w:color="auto" w:fill="auto"/>
            <w:vAlign w:val="center"/>
          </w:tcPr>
          <w:p w14:paraId="41DA7979" w14:textId="77777777"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542" w:type="pct"/>
            <w:vAlign w:val="center"/>
          </w:tcPr>
          <w:p w14:paraId="7572E388" w14:textId="77777777" w:rsidR="00854635" w:rsidRPr="00854635" w:rsidRDefault="00854635" w:rsidP="007A2704">
            <w:pPr>
              <w:overflowPunct/>
              <w:spacing w:line="280" w:lineRule="exact"/>
              <w:jc w:val="right"/>
              <w:textAlignment w:val="auto"/>
              <w:rPr>
                <w:rFonts w:ascii="Arial" w:hAnsi="Arial" w:cs="Arial"/>
                <w:b/>
                <w:sz w:val="17"/>
                <w:szCs w:val="17"/>
                <w:lang w:eastAsia="en-GB"/>
              </w:rPr>
            </w:pPr>
          </w:p>
        </w:tc>
        <w:tc>
          <w:tcPr>
            <w:tcW w:w="402" w:type="pct"/>
            <w:shd w:val="clear" w:color="auto" w:fill="auto"/>
            <w:vAlign w:val="center"/>
          </w:tcPr>
          <w:p w14:paraId="538FCAAC" w14:textId="4FE5AF38" w:rsidR="00854635" w:rsidRPr="00854635" w:rsidRDefault="00854635" w:rsidP="007A2704">
            <w:pPr>
              <w:overflowPunct/>
              <w:spacing w:line="280" w:lineRule="exact"/>
              <w:jc w:val="right"/>
              <w:textAlignment w:val="auto"/>
              <w:rPr>
                <w:rFonts w:ascii="Arial" w:hAnsi="Arial" w:cs="Arial"/>
                <w:b/>
                <w:sz w:val="17"/>
                <w:szCs w:val="17"/>
                <w:lang w:eastAsia="en-GB"/>
              </w:rPr>
            </w:pPr>
            <w:r w:rsidRPr="00854635">
              <w:rPr>
                <w:rFonts w:ascii="Arial" w:hAnsi="Arial" w:cs="Arial"/>
                <w:b/>
                <w:sz w:val="17"/>
                <w:szCs w:val="17"/>
                <w:lang w:eastAsia="en-GB"/>
              </w:rPr>
              <w:t xml:space="preserve"> (</w:t>
            </w:r>
            <w:r w:rsidR="00EB57F1">
              <w:rPr>
                <w:rFonts w:ascii="Arial" w:hAnsi="Arial" w:cs="Arial"/>
                <w:b/>
                <w:sz w:val="17"/>
                <w:szCs w:val="17"/>
                <w:lang w:eastAsia="en-GB"/>
              </w:rPr>
              <w:t>1,152</w:t>
            </w:r>
            <w:r w:rsidRPr="00854635">
              <w:rPr>
                <w:rFonts w:ascii="Arial" w:hAnsi="Arial" w:cs="Arial"/>
                <w:b/>
                <w:sz w:val="17"/>
                <w:szCs w:val="17"/>
                <w:lang w:eastAsia="en-GB"/>
              </w:rPr>
              <w:t xml:space="preserve">) </w:t>
            </w:r>
          </w:p>
        </w:tc>
      </w:tr>
      <w:tr w:rsidR="009161D7" w:rsidRPr="00854635" w14:paraId="71A25E6B" w14:textId="77777777" w:rsidTr="009161D7">
        <w:trPr>
          <w:trHeight w:val="829"/>
        </w:trPr>
        <w:tc>
          <w:tcPr>
            <w:tcW w:w="678" w:type="pct"/>
            <w:shd w:val="clear" w:color="auto" w:fill="auto"/>
            <w:vAlign w:val="bottom"/>
          </w:tcPr>
          <w:p w14:paraId="2DEEBB91" w14:textId="397FC486" w:rsidR="00854635" w:rsidRPr="00854635" w:rsidRDefault="00854635" w:rsidP="007A2704">
            <w:pPr>
              <w:pStyle w:val="Notesbodytext"/>
              <w:spacing w:after="0" w:line="280" w:lineRule="exact"/>
              <w:rPr>
                <w:rFonts w:ascii="Arial" w:hAnsi="Arial"/>
                <w:color w:val="auto"/>
                <w:sz w:val="17"/>
                <w:szCs w:val="17"/>
              </w:rPr>
            </w:pPr>
            <w:r w:rsidRPr="00854635">
              <w:rPr>
                <w:rFonts w:ascii="Arial" w:hAnsi="Arial"/>
                <w:color w:val="auto"/>
                <w:sz w:val="17"/>
                <w:szCs w:val="17"/>
              </w:rPr>
              <w:t>Reclassified to statement of profit and loss</w:t>
            </w:r>
          </w:p>
        </w:tc>
        <w:tc>
          <w:tcPr>
            <w:tcW w:w="606" w:type="pct"/>
            <w:shd w:val="clear" w:color="auto" w:fill="auto"/>
            <w:vAlign w:val="center"/>
          </w:tcPr>
          <w:p w14:paraId="3A9E7AD3" w14:textId="75A3169A" w:rsidR="00854635" w:rsidRPr="00854635" w:rsidRDefault="00B15719" w:rsidP="007A2704">
            <w:pPr>
              <w:spacing w:line="280" w:lineRule="exact"/>
              <w:ind w:left="72"/>
              <w:jc w:val="right"/>
              <w:rPr>
                <w:rFonts w:ascii="Arial" w:hAnsi="Arial" w:cs="Arial"/>
                <w:sz w:val="17"/>
                <w:szCs w:val="17"/>
              </w:rPr>
            </w:pPr>
            <w:r>
              <w:rPr>
                <w:rFonts w:ascii="Arial" w:hAnsi="Arial" w:cs="Arial"/>
                <w:sz w:val="17"/>
                <w:szCs w:val="17"/>
              </w:rPr>
              <w:t>(</w:t>
            </w:r>
            <w:r w:rsidR="002533B7">
              <w:rPr>
                <w:rFonts w:ascii="Arial" w:hAnsi="Arial" w:cs="Arial"/>
                <w:sz w:val="17"/>
                <w:szCs w:val="17"/>
              </w:rPr>
              <w:t>356</w:t>
            </w:r>
            <w:r>
              <w:rPr>
                <w:rFonts w:ascii="Arial" w:hAnsi="Arial" w:cs="Arial"/>
                <w:sz w:val="17"/>
                <w:szCs w:val="17"/>
              </w:rPr>
              <w:t>)</w:t>
            </w:r>
            <w:r w:rsidR="002533B7" w:rsidRPr="00854635">
              <w:rPr>
                <w:rFonts w:ascii="Arial" w:hAnsi="Arial" w:cs="Arial"/>
                <w:sz w:val="17"/>
                <w:szCs w:val="17"/>
              </w:rPr>
              <w:t xml:space="preserve"> </w:t>
            </w:r>
          </w:p>
        </w:tc>
        <w:tc>
          <w:tcPr>
            <w:tcW w:w="511" w:type="pct"/>
          </w:tcPr>
          <w:p w14:paraId="567429CB" w14:textId="77777777" w:rsidR="00854635" w:rsidRDefault="00854635" w:rsidP="007A2704">
            <w:pPr>
              <w:spacing w:line="280" w:lineRule="exact"/>
              <w:ind w:left="72"/>
              <w:jc w:val="right"/>
              <w:rPr>
                <w:rFonts w:ascii="Arial" w:hAnsi="Arial" w:cs="Arial"/>
                <w:sz w:val="17"/>
                <w:szCs w:val="17"/>
              </w:rPr>
            </w:pPr>
          </w:p>
          <w:p w14:paraId="63D0FCAD" w14:textId="0D5EC9EA" w:rsidR="002533B7" w:rsidRPr="00854635" w:rsidRDefault="00B15719" w:rsidP="007A2704">
            <w:pPr>
              <w:spacing w:line="280" w:lineRule="exact"/>
              <w:ind w:left="72"/>
              <w:jc w:val="right"/>
              <w:rPr>
                <w:rFonts w:ascii="Arial" w:hAnsi="Arial" w:cs="Arial"/>
                <w:sz w:val="17"/>
                <w:szCs w:val="17"/>
              </w:rPr>
            </w:pPr>
            <w:r>
              <w:rPr>
                <w:rFonts w:ascii="Arial" w:hAnsi="Arial" w:cs="Arial"/>
                <w:sz w:val="17"/>
                <w:szCs w:val="17"/>
              </w:rPr>
              <w:t>(</w:t>
            </w:r>
            <w:r w:rsidR="00460399">
              <w:rPr>
                <w:rFonts w:ascii="Arial" w:hAnsi="Arial" w:cs="Arial"/>
                <w:sz w:val="17"/>
                <w:szCs w:val="17"/>
              </w:rPr>
              <w:t>6</w:t>
            </w:r>
            <w:r>
              <w:rPr>
                <w:rFonts w:ascii="Arial" w:hAnsi="Arial" w:cs="Arial"/>
                <w:sz w:val="17"/>
                <w:szCs w:val="17"/>
              </w:rPr>
              <w:t>)</w:t>
            </w:r>
          </w:p>
        </w:tc>
        <w:tc>
          <w:tcPr>
            <w:tcW w:w="504" w:type="pct"/>
            <w:shd w:val="clear" w:color="auto" w:fill="auto"/>
            <w:vAlign w:val="center"/>
          </w:tcPr>
          <w:p w14:paraId="6CDABFA0" w14:textId="5C19C615"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473" w:type="pct"/>
            <w:vAlign w:val="center"/>
          </w:tcPr>
          <w:p w14:paraId="590C8237" w14:textId="02EF0700"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677" w:type="pct"/>
            <w:shd w:val="clear" w:color="auto" w:fill="auto"/>
            <w:vAlign w:val="center"/>
          </w:tcPr>
          <w:p w14:paraId="1EF64833" w14:textId="13F5D581"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608" w:type="pct"/>
            <w:shd w:val="clear" w:color="auto" w:fill="auto"/>
            <w:vAlign w:val="center"/>
          </w:tcPr>
          <w:p w14:paraId="693C95BB" w14:textId="77777777"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542" w:type="pct"/>
            <w:vAlign w:val="center"/>
          </w:tcPr>
          <w:p w14:paraId="54491288" w14:textId="77777777" w:rsidR="00854635" w:rsidRPr="00854635" w:rsidRDefault="00854635" w:rsidP="007A2704">
            <w:pPr>
              <w:overflowPunct/>
              <w:spacing w:line="280" w:lineRule="exact"/>
              <w:jc w:val="right"/>
              <w:textAlignment w:val="auto"/>
              <w:rPr>
                <w:rFonts w:ascii="Arial" w:hAnsi="Arial" w:cs="Arial"/>
                <w:b/>
                <w:sz w:val="17"/>
                <w:szCs w:val="17"/>
                <w:lang w:eastAsia="en-GB"/>
              </w:rPr>
            </w:pPr>
          </w:p>
        </w:tc>
        <w:tc>
          <w:tcPr>
            <w:tcW w:w="402" w:type="pct"/>
            <w:shd w:val="clear" w:color="auto" w:fill="auto"/>
            <w:vAlign w:val="center"/>
          </w:tcPr>
          <w:p w14:paraId="1258BEF4" w14:textId="0CA70E8E" w:rsidR="00854635" w:rsidRPr="00854635" w:rsidRDefault="00EB57F1" w:rsidP="007A2704">
            <w:pPr>
              <w:overflowPunct/>
              <w:spacing w:line="280" w:lineRule="exact"/>
              <w:jc w:val="right"/>
              <w:textAlignment w:val="auto"/>
              <w:rPr>
                <w:rFonts w:ascii="Arial" w:hAnsi="Arial" w:cs="Arial"/>
                <w:b/>
                <w:sz w:val="17"/>
                <w:szCs w:val="17"/>
                <w:lang w:eastAsia="en-GB"/>
              </w:rPr>
            </w:pPr>
            <w:r>
              <w:rPr>
                <w:rFonts w:ascii="Arial" w:hAnsi="Arial" w:cs="Arial"/>
                <w:b/>
                <w:sz w:val="17"/>
                <w:szCs w:val="17"/>
                <w:lang w:eastAsia="en-GB"/>
              </w:rPr>
              <w:t>(362)</w:t>
            </w:r>
            <w:r w:rsidRPr="00854635">
              <w:rPr>
                <w:rFonts w:ascii="Arial" w:hAnsi="Arial" w:cs="Arial"/>
                <w:b/>
                <w:sz w:val="17"/>
                <w:szCs w:val="17"/>
                <w:lang w:eastAsia="en-GB"/>
              </w:rPr>
              <w:t xml:space="preserve"> </w:t>
            </w:r>
          </w:p>
        </w:tc>
      </w:tr>
      <w:tr w:rsidR="009161D7" w:rsidRPr="00854635" w14:paraId="4E85CEEF" w14:textId="77777777" w:rsidTr="009161D7">
        <w:trPr>
          <w:trHeight w:val="829"/>
        </w:trPr>
        <w:tc>
          <w:tcPr>
            <w:tcW w:w="678" w:type="pct"/>
            <w:shd w:val="clear" w:color="auto" w:fill="auto"/>
          </w:tcPr>
          <w:p w14:paraId="7D0D2F85" w14:textId="77777777" w:rsidR="00854635" w:rsidRPr="00854635" w:rsidRDefault="00854635" w:rsidP="007A2704">
            <w:pPr>
              <w:pStyle w:val="Notesbodytext"/>
              <w:spacing w:after="0" w:line="280" w:lineRule="exact"/>
              <w:rPr>
                <w:rFonts w:ascii="Arial" w:hAnsi="Arial"/>
                <w:color w:val="auto"/>
                <w:sz w:val="17"/>
                <w:szCs w:val="17"/>
              </w:rPr>
            </w:pPr>
            <w:r w:rsidRPr="00854635">
              <w:rPr>
                <w:rFonts w:ascii="Arial" w:hAnsi="Arial"/>
                <w:color w:val="auto"/>
                <w:sz w:val="17"/>
                <w:szCs w:val="17"/>
              </w:rPr>
              <w:t>Gain/(loss) on FVTOCI financial assets</w:t>
            </w:r>
          </w:p>
        </w:tc>
        <w:tc>
          <w:tcPr>
            <w:tcW w:w="606" w:type="pct"/>
            <w:shd w:val="clear" w:color="auto" w:fill="auto"/>
            <w:vAlign w:val="center"/>
          </w:tcPr>
          <w:p w14:paraId="7DE4FCDF" w14:textId="77777777"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 xml:space="preserve"> -</w:t>
            </w:r>
          </w:p>
        </w:tc>
        <w:tc>
          <w:tcPr>
            <w:tcW w:w="511" w:type="pct"/>
          </w:tcPr>
          <w:p w14:paraId="6C465C1C" w14:textId="77777777" w:rsidR="00854635" w:rsidRPr="00854635" w:rsidRDefault="00854635" w:rsidP="007A2704">
            <w:pPr>
              <w:spacing w:line="280" w:lineRule="exact"/>
              <w:ind w:left="72"/>
              <w:jc w:val="right"/>
              <w:rPr>
                <w:rFonts w:ascii="Arial" w:hAnsi="Arial" w:cs="Arial"/>
                <w:sz w:val="17"/>
                <w:szCs w:val="17"/>
              </w:rPr>
            </w:pPr>
          </w:p>
        </w:tc>
        <w:tc>
          <w:tcPr>
            <w:tcW w:w="504" w:type="pct"/>
            <w:shd w:val="clear" w:color="auto" w:fill="auto"/>
            <w:vAlign w:val="center"/>
          </w:tcPr>
          <w:p w14:paraId="54C5E515" w14:textId="7FE613C1"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 xml:space="preserve">(59) </w:t>
            </w:r>
          </w:p>
        </w:tc>
        <w:tc>
          <w:tcPr>
            <w:tcW w:w="473" w:type="pct"/>
          </w:tcPr>
          <w:p w14:paraId="5DD9DB79" w14:textId="77777777" w:rsidR="00854635" w:rsidRPr="00854635" w:rsidRDefault="00854635" w:rsidP="007A2704">
            <w:pPr>
              <w:spacing w:line="280" w:lineRule="exact"/>
              <w:ind w:left="72"/>
              <w:jc w:val="right"/>
              <w:rPr>
                <w:rFonts w:ascii="Arial" w:hAnsi="Arial" w:cs="Arial"/>
                <w:sz w:val="17"/>
                <w:szCs w:val="17"/>
              </w:rPr>
            </w:pPr>
          </w:p>
          <w:p w14:paraId="3892D0E2" w14:textId="7E13EF8C"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(13)</w:t>
            </w:r>
          </w:p>
        </w:tc>
        <w:tc>
          <w:tcPr>
            <w:tcW w:w="677" w:type="pct"/>
            <w:shd w:val="clear" w:color="auto" w:fill="auto"/>
            <w:vAlign w:val="center"/>
          </w:tcPr>
          <w:p w14:paraId="46F22A06" w14:textId="4FEC5557"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608" w:type="pct"/>
            <w:shd w:val="clear" w:color="auto" w:fill="auto"/>
            <w:vAlign w:val="center"/>
          </w:tcPr>
          <w:p w14:paraId="53430863" w14:textId="77777777"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542" w:type="pct"/>
            <w:vAlign w:val="center"/>
          </w:tcPr>
          <w:p w14:paraId="4DA5A07F" w14:textId="77777777" w:rsidR="00854635" w:rsidRPr="00854635" w:rsidRDefault="00854635" w:rsidP="007A2704">
            <w:pPr>
              <w:overflowPunct/>
              <w:spacing w:line="280" w:lineRule="exact"/>
              <w:jc w:val="right"/>
              <w:textAlignment w:val="auto"/>
              <w:rPr>
                <w:rFonts w:ascii="Arial" w:hAnsi="Arial" w:cs="Arial"/>
                <w:b/>
                <w:sz w:val="17"/>
                <w:szCs w:val="17"/>
                <w:lang w:eastAsia="en-GB"/>
              </w:rPr>
            </w:pPr>
          </w:p>
        </w:tc>
        <w:tc>
          <w:tcPr>
            <w:tcW w:w="402" w:type="pct"/>
            <w:shd w:val="clear" w:color="auto" w:fill="auto"/>
            <w:vAlign w:val="center"/>
          </w:tcPr>
          <w:p w14:paraId="660AFC81" w14:textId="77777777" w:rsidR="00854635" w:rsidRPr="00854635" w:rsidRDefault="00854635" w:rsidP="007A2704">
            <w:pPr>
              <w:overflowPunct/>
              <w:spacing w:line="280" w:lineRule="exact"/>
              <w:jc w:val="right"/>
              <w:textAlignment w:val="auto"/>
              <w:rPr>
                <w:rFonts w:ascii="Arial" w:hAnsi="Arial" w:cs="Arial"/>
                <w:b/>
                <w:sz w:val="17"/>
                <w:szCs w:val="17"/>
                <w:lang w:eastAsia="en-GB"/>
              </w:rPr>
            </w:pPr>
            <w:r w:rsidRPr="00854635">
              <w:rPr>
                <w:rFonts w:ascii="Arial" w:hAnsi="Arial" w:cs="Arial"/>
                <w:b/>
                <w:sz w:val="17"/>
                <w:szCs w:val="17"/>
                <w:lang w:eastAsia="en-GB"/>
              </w:rPr>
              <w:t xml:space="preserve">(72) </w:t>
            </w:r>
          </w:p>
        </w:tc>
      </w:tr>
      <w:tr w:rsidR="009161D7" w:rsidRPr="00854635" w14:paraId="21E71E23" w14:textId="77777777" w:rsidTr="009161D7">
        <w:trPr>
          <w:trHeight w:val="548"/>
        </w:trPr>
        <w:tc>
          <w:tcPr>
            <w:tcW w:w="678" w:type="pct"/>
            <w:shd w:val="clear" w:color="auto" w:fill="auto"/>
          </w:tcPr>
          <w:p w14:paraId="4EF35F71" w14:textId="39CB7AA2" w:rsidR="00854635" w:rsidRPr="00854635" w:rsidRDefault="00854635" w:rsidP="007A2704">
            <w:pPr>
              <w:pStyle w:val="Notesbodytext"/>
              <w:spacing w:after="0" w:line="280" w:lineRule="exact"/>
              <w:rPr>
                <w:rFonts w:ascii="Arial" w:hAnsi="Arial"/>
                <w:color w:val="auto"/>
                <w:sz w:val="17"/>
                <w:szCs w:val="17"/>
              </w:rPr>
            </w:pPr>
            <w:r w:rsidRPr="00854635">
              <w:rPr>
                <w:rFonts w:ascii="Arial" w:hAnsi="Arial"/>
                <w:sz w:val="17"/>
                <w:szCs w:val="17"/>
              </w:rPr>
              <w:t>Share of OCI of an associate</w:t>
            </w:r>
          </w:p>
        </w:tc>
        <w:tc>
          <w:tcPr>
            <w:tcW w:w="606" w:type="pct"/>
            <w:shd w:val="clear" w:color="auto" w:fill="auto"/>
            <w:vAlign w:val="center"/>
          </w:tcPr>
          <w:p w14:paraId="69A159AD" w14:textId="77777777" w:rsidR="00854635" w:rsidRPr="00854635" w:rsidRDefault="00854635" w:rsidP="007A2704">
            <w:pPr>
              <w:spacing w:line="280" w:lineRule="exact"/>
              <w:ind w:left="72"/>
              <w:jc w:val="right"/>
              <w:rPr>
                <w:rFonts w:ascii="Arial" w:hAnsi="Arial" w:cs="Arial"/>
                <w:sz w:val="17"/>
                <w:szCs w:val="17"/>
              </w:rPr>
            </w:pPr>
          </w:p>
        </w:tc>
        <w:tc>
          <w:tcPr>
            <w:tcW w:w="511" w:type="pct"/>
          </w:tcPr>
          <w:p w14:paraId="12982C99" w14:textId="77777777" w:rsidR="00854635" w:rsidRPr="00854635" w:rsidRDefault="00854635" w:rsidP="007A2704">
            <w:pPr>
              <w:spacing w:line="280" w:lineRule="exact"/>
              <w:ind w:left="72"/>
              <w:jc w:val="right"/>
              <w:rPr>
                <w:rFonts w:ascii="Arial" w:hAnsi="Arial" w:cs="Arial"/>
                <w:sz w:val="17"/>
                <w:szCs w:val="17"/>
              </w:rPr>
            </w:pPr>
          </w:p>
        </w:tc>
        <w:tc>
          <w:tcPr>
            <w:tcW w:w="504" w:type="pct"/>
            <w:shd w:val="clear" w:color="auto" w:fill="auto"/>
            <w:vAlign w:val="center"/>
          </w:tcPr>
          <w:p w14:paraId="6DFA23B4" w14:textId="62488160"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473" w:type="pct"/>
          </w:tcPr>
          <w:p w14:paraId="68CF9E3B" w14:textId="309FEC55"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677" w:type="pct"/>
            <w:shd w:val="clear" w:color="auto" w:fill="auto"/>
            <w:vAlign w:val="center"/>
          </w:tcPr>
          <w:p w14:paraId="303892C6" w14:textId="7364459D" w:rsidR="00854635" w:rsidRPr="00854635" w:rsidRDefault="00854635" w:rsidP="007A2704">
            <w:pPr>
              <w:spacing w:line="280" w:lineRule="exact"/>
              <w:ind w:left="72"/>
              <w:jc w:val="right"/>
              <w:rPr>
                <w:rFonts w:ascii="Arial" w:hAnsi="Arial" w:cs="Arial"/>
                <w:sz w:val="17"/>
                <w:szCs w:val="17"/>
              </w:rPr>
            </w:pPr>
          </w:p>
        </w:tc>
        <w:tc>
          <w:tcPr>
            <w:tcW w:w="608" w:type="pct"/>
            <w:shd w:val="clear" w:color="auto" w:fill="auto"/>
            <w:vAlign w:val="center"/>
          </w:tcPr>
          <w:p w14:paraId="05637C71" w14:textId="77777777" w:rsidR="00854635" w:rsidRPr="00854635" w:rsidRDefault="00854635" w:rsidP="007A2704">
            <w:pPr>
              <w:spacing w:line="280" w:lineRule="exact"/>
              <w:ind w:left="72"/>
              <w:jc w:val="right"/>
              <w:rPr>
                <w:rFonts w:ascii="Arial" w:hAnsi="Arial" w:cs="Arial"/>
                <w:sz w:val="17"/>
                <w:szCs w:val="17"/>
              </w:rPr>
            </w:pPr>
          </w:p>
        </w:tc>
        <w:tc>
          <w:tcPr>
            <w:tcW w:w="542" w:type="pct"/>
            <w:vAlign w:val="center"/>
          </w:tcPr>
          <w:p w14:paraId="54A9AB9A" w14:textId="77777777" w:rsidR="00854635" w:rsidRPr="00854635" w:rsidRDefault="00854635" w:rsidP="007A2704">
            <w:pPr>
              <w:overflowPunct/>
              <w:spacing w:line="280" w:lineRule="exact"/>
              <w:jc w:val="right"/>
              <w:textAlignment w:val="auto"/>
              <w:rPr>
                <w:rFonts w:ascii="Arial" w:hAnsi="Arial" w:cs="Arial"/>
                <w:b/>
                <w:sz w:val="17"/>
                <w:szCs w:val="17"/>
                <w:lang w:eastAsia="en-GB"/>
              </w:rPr>
            </w:pPr>
          </w:p>
        </w:tc>
        <w:tc>
          <w:tcPr>
            <w:tcW w:w="402" w:type="pct"/>
            <w:shd w:val="clear" w:color="auto" w:fill="auto"/>
            <w:vAlign w:val="center"/>
          </w:tcPr>
          <w:p w14:paraId="0C2927C3" w14:textId="77777777" w:rsidR="00854635" w:rsidRPr="00854635" w:rsidRDefault="00854635" w:rsidP="007A2704">
            <w:pPr>
              <w:overflowPunct/>
              <w:spacing w:line="280" w:lineRule="exact"/>
              <w:jc w:val="right"/>
              <w:textAlignment w:val="auto"/>
              <w:rPr>
                <w:rFonts w:ascii="Arial" w:hAnsi="Arial" w:cs="Arial"/>
                <w:b/>
                <w:sz w:val="17"/>
                <w:szCs w:val="17"/>
                <w:lang w:eastAsia="en-GB"/>
              </w:rPr>
            </w:pPr>
          </w:p>
        </w:tc>
      </w:tr>
      <w:tr w:rsidR="009161D7" w:rsidRPr="00854635" w14:paraId="54A1AFF2" w14:textId="77777777" w:rsidTr="009161D7">
        <w:trPr>
          <w:trHeight w:val="1378"/>
        </w:trPr>
        <w:tc>
          <w:tcPr>
            <w:tcW w:w="678" w:type="pct"/>
            <w:shd w:val="clear" w:color="auto" w:fill="auto"/>
          </w:tcPr>
          <w:p w14:paraId="7E607A24" w14:textId="77777777" w:rsidR="00854635" w:rsidRPr="00854635" w:rsidRDefault="00854635" w:rsidP="007A2704">
            <w:pPr>
              <w:pStyle w:val="Notesbodytext"/>
              <w:spacing w:after="0" w:line="280" w:lineRule="exact"/>
              <w:rPr>
                <w:rFonts w:ascii="Arial" w:hAnsi="Arial"/>
                <w:color w:val="auto"/>
                <w:sz w:val="17"/>
                <w:szCs w:val="17"/>
              </w:rPr>
            </w:pPr>
            <w:r w:rsidRPr="00854635">
              <w:rPr>
                <w:rFonts w:ascii="Arial" w:hAnsi="Arial"/>
                <w:color w:val="auto"/>
                <w:sz w:val="17"/>
                <w:szCs w:val="17"/>
              </w:rPr>
              <w:t>Re-measurement gains (losses) on defined benefit plans</w:t>
            </w:r>
          </w:p>
        </w:tc>
        <w:tc>
          <w:tcPr>
            <w:tcW w:w="606" w:type="pct"/>
            <w:shd w:val="clear" w:color="auto" w:fill="auto"/>
            <w:vAlign w:val="center"/>
          </w:tcPr>
          <w:p w14:paraId="563AB6AE" w14:textId="77777777" w:rsidR="00854635" w:rsidRPr="00854635" w:rsidRDefault="00854635" w:rsidP="007A2704">
            <w:pPr>
              <w:spacing w:line="280" w:lineRule="exact"/>
              <w:ind w:left="72"/>
              <w:jc w:val="right"/>
              <w:rPr>
                <w:rFonts w:ascii="Arial" w:hAnsi="Arial" w:cs="Arial"/>
                <w:sz w:val="17"/>
                <w:szCs w:val="17"/>
              </w:rPr>
            </w:pPr>
          </w:p>
        </w:tc>
        <w:tc>
          <w:tcPr>
            <w:tcW w:w="511" w:type="pct"/>
          </w:tcPr>
          <w:p w14:paraId="0A161502" w14:textId="77777777" w:rsidR="00854635" w:rsidRPr="00854635" w:rsidRDefault="00854635" w:rsidP="007A2704">
            <w:pPr>
              <w:spacing w:line="280" w:lineRule="exact"/>
              <w:ind w:left="72"/>
              <w:jc w:val="right"/>
              <w:rPr>
                <w:rFonts w:ascii="Arial" w:hAnsi="Arial" w:cs="Arial"/>
                <w:sz w:val="17"/>
                <w:szCs w:val="17"/>
              </w:rPr>
            </w:pPr>
          </w:p>
        </w:tc>
        <w:tc>
          <w:tcPr>
            <w:tcW w:w="504" w:type="pct"/>
            <w:shd w:val="clear" w:color="auto" w:fill="auto"/>
            <w:vAlign w:val="center"/>
          </w:tcPr>
          <w:p w14:paraId="257F17F1" w14:textId="72F3B28F" w:rsidR="00854635" w:rsidRPr="00854635" w:rsidRDefault="00854635" w:rsidP="007A2704">
            <w:pPr>
              <w:spacing w:line="280" w:lineRule="exact"/>
              <w:ind w:left="72"/>
              <w:jc w:val="right"/>
              <w:rPr>
                <w:rFonts w:ascii="Arial" w:hAnsi="Arial" w:cs="Arial"/>
                <w:sz w:val="17"/>
                <w:szCs w:val="17"/>
              </w:rPr>
            </w:pPr>
          </w:p>
        </w:tc>
        <w:tc>
          <w:tcPr>
            <w:tcW w:w="473" w:type="pct"/>
          </w:tcPr>
          <w:p w14:paraId="20BF14E5" w14:textId="023A3487"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677" w:type="pct"/>
            <w:shd w:val="clear" w:color="auto" w:fill="auto"/>
            <w:vAlign w:val="center"/>
          </w:tcPr>
          <w:p w14:paraId="17C62D27" w14:textId="7FF6238F" w:rsidR="00854635" w:rsidRPr="00854635" w:rsidRDefault="00854635" w:rsidP="007A2704">
            <w:pPr>
              <w:spacing w:line="280" w:lineRule="exact"/>
              <w:ind w:left="72"/>
              <w:jc w:val="right"/>
              <w:rPr>
                <w:rFonts w:ascii="Arial" w:hAnsi="Arial" w:cs="Arial"/>
                <w:sz w:val="17"/>
                <w:szCs w:val="17"/>
              </w:rPr>
            </w:pPr>
          </w:p>
        </w:tc>
        <w:tc>
          <w:tcPr>
            <w:tcW w:w="608" w:type="pct"/>
            <w:shd w:val="clear" w:color="auto" w:fill="auto"/>
            <w:vAlign w:val="center"/>
          </w:tcPr>
          <w:p w14:paraId="28BEF847" w14:textId="77777777" w:rsidR="00854635" w:rsidRPr="00854635" w:rsidRDefault="00854635" w:rsidP="007A2704">
            <w:pPr>
              <w:spacing w:line="280" w:lineRule="exact"/>
              <w:ind w:left="72"/>
              <w:jc w:val="right"/>
              <w:rPr>
                <w:rFonts w:ascii="Arial" w:hAnsi="Arial" w:cs="Arial"/>
                <w:sz w:val="17"/>
                <w:szCs w:val="17"/>
              </w:rPr>
            </w:pPr>
          </w:p>
        </w:tc>
        <w:tc>
          <w:tcPr>
            <w:tcW w:w="542" w:type="pct"/>
            <w:vAlign w:val="center"/>
          </w:tcPr>
          <w:p w14:paraId="41477DBB" w14:textId="3890DFD4" w:rsidR="00854635" w:rsidRPr="00854635" w:rsidRDefault="00854635" w:rsidP="007A2704">
            <w:pPr>
              <w:overflowPunct/>
              <w:spacing w:line="280" w:lineRule="exact"/>
              <w:jc w:val="right"/>
              <w:textAlignment w:val="auto"/>
              <w:rPr>
                <w:rFonts w:ascii="Arial" w:hAnsi="Arial" w:cs="Arial"/>
                <w:sz w:val="17"/>
                <w:szCs w:val="17"/>
                <w:lang w:eastAsia="en-GB"/>
              </w:rPr>
            </w:pPr>
            <w:r w:rsidRPr="00854635">
              <w:rPr>
                <w:rFonts w:ascii="Arial" w:hAnsi="Arial" w:cs="Arial"/>
                <w:sz w:val="17"/>
                <w:szCs w:val="17"/>
                <w:lang w:eastAsia="en-GB"/>
              </w:rPr>
              <w:t>462</w:t>
            </w:r>
          </w:p>
        </w:tc>
        <w:tc>
          <w:tcPr>
            <w:tcW w:w="402" w:type="pct"/>
            <w:shd w:val="clear" w:color="auto" w:fill="auto"/>
            <w:vAlign w:val="center"/>
          </w:tcPr>
          <w:p w14:paraId="6EAF42C7" w14:textId="28E7A6A7" w:rsidR="00854635" w:rsidRPr="00854635" w:rsidRDefault="00854635" w:rsidP="007A2704">
            <w:pPr>
              <w:overflowPunct/>
              <w:spacing w:line="280" w:lineRule="exact"/>
              <w:jc w:val="right"/>
              <w:textAlignment w:val="auto"/>
              <w:rPr>
                <w:rFonts w:ascii="Arial" w:hAnsi="Arial" w:cs="Arial"/>
                <w:b/>
                <w:sz w:val="17"/>
                <w:szCs w:val="17"/>
                <w:lang w:eastAsia="en-GB"/>
              </w:rPr>
            </w:pPr>
            <w:r w:rsidRPr="00854635">
              <w:rPr>
                <w:rFonts w:ascii="Arial" w:hAnsi="Arial" w:cs="Arial"/>
                <w:b/>
                <w:sz w:val="17"/>
                <w:szCs w:val="17"/>
                <w:lang w:eastAsia="en-GB"/>
              </w:rPr>
              <w:t>462</w:t>
            </w:r>
          </w:p>
        </w:tc>
      </w:tr>
      <w:tr w:rsidR="009161D7" w:rsidRPr="00854635" w14:paraId="795BE12A" w14:textId="77777777" w:rsidTr="009161D7">
        <w:trPr>
          <w:trHeight w:val="829"/>
        </w:trPr>
        <w:tc>
          <w:tcPr>
            <w:tcW w:w="678" w:type="pct"/>
            <w:shd w:val="clear" w:color="auto" w:fill="auto"/>
          </w:tcPr>
          <w:p w14:paraId="59E7C73B" w14:textId="77777777" w:rsidR="00854635" w:rsidRPr="00854635" w:rsidRDefault="00854635" w:rsidP="007A2704">
            <w:pPr>
              <w:pStyle w:val="Notesbodytext"/>
              <w:spacing w:after="0" w:line="280" w:lineRule="exact"/>
              <w:rPr>
                <w:rFonts w:ascii="Arial" w:hAnsi="Arial"/>
                <w:color w:val="auto"/>
                <w:sz w:val="17"/>
                <w:szCs w:val="17"/>
              </w:rPr>
            </w:pPr>
            <w:r w:rsidRPr="00854635">
              <w:rPr>
                <w:rFonts w:ascii="Arial" w:hAnsi="Arial"/>
                <w:color w:val="auto"/>
                <w:sz w:val="17"/>
                <w:szCs w:val="17"/>
              </w:rPr>
              <w:t>Revaluation of land and buildings</w:t>
            </w:r>
          </w:p>
        </w:tc>
        <w:tc>
          <w:tcPr>
            <w:tcW w:w="606" w:type="pct"/>
            <w:tcBorders>
              <w:bottom w:val="single" w:sz="4" w:space="0" w:color="auto"/>
            </w:tcBorders>
            <w:shd w:val="clear" w:color="auto" w:fill="auto"/>
            <w:vAlign w:val="center"/>
          </w:tcPr>
          <w:p w14:paraId="2BD306FD" w14:textId="77777777"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 xml:space="preserve"> -</w:t>
            </w:r>
          </w:p>
        </w:tc>
        <w:tc>
          <w:tcPr>
            <w:tcW w:w="511" w:type="pct"/>
            <w:tcBorders>
              <w:bottom w:val="single" w:sz="4" w:space="0" w:color="auto"/>
            </w:tcBorders>
          </w:tcPr>
          <w:p w14:paraId="4190CEF5" w14:textId="77777777" w:rsidR="00854635" w:rsidRPr="00854635" w:rsidRDefault="00854635" w:rsidP="007A2704">
            <w:pPr>
              <w:spacing w:line="280" w:lineRule="exact"/>
              <w:ind w:left="72"/>
              <w:jc w:val="right"/>
              <w:rPr>
                <w:rFonts w:ascii="Arial" w:hAnsi="Arial" w:cs="Arial"/>
                <w:sz w:val="17"/>
                <w:szCs w:val="17"/>
              </w:rPr>
            </w:pPr>
          </w:p>
        </w:tc>
        <w:tc>
          <w:tcPr>
            <w:tcW w:w="504" w:type="pct"/>
            <w:tcBorders>
              <w:bottom w:val="single" w:sz="4" w:space="0" w:color="auto"/>
            </w:tcBorders>
            <w:shd w:val="clear" w:color="auto" w:fill="auto"/>
            <w:vAlign w:val="center"/>
          </w:tcPr>
          <w:p w14:paraId="59BFE89B" w14:textId="0C30A75A"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473" w:type="pct"/>
            <w:tcBorders>
              <w:bottom w:val="single" w:sz="4" w:space="0" w:color="auto"/>
            </w:tcBorders>
          </w:tcPr>
          <w:p w14:paraId="2BC580F7" w14:textId="0DFDC2A3"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677" w:type="pct"/>
            <w:tcBorders>
              <w:bottom w:val="single" w:sz="4" w:space="0" w:color="auto"/>
            </w:tcBorders>
            <w:shd w:val="clear" w:color="auto" w:fill="auto"/>
            <w:vAlign w:val="center"/>
          </w:tcPr>
          <w:p w14:paraId="324B7433" w14:textId="5D91570D"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w:t>
            </w:r>
          </w:p>
        </w:tc>
        <w:tc>
          <w:tcPr>
            <w:tcW w:w="608" w:type="pct"/>
            <w:tcBorders>
              <w:bottom w:val="single" w:sz="4" w:space="0" w:color="auto"/>
            </w:tcBorders>
            <w:shd w:val="clear" w:color="auto" w:fill="auto"/>
            <w:vAlign w:val="center"/>
          </w:tcPr>
          <w:p w14:paraId="13B5A5F7" w14:textId="77777777" w:rsidR="00854635" w:rsidRPr="00854635" w:rsidRDefault="00854635" w:rsidP="007A2704">
            <w:pPr>
              <w:spacing w:line="280" w:lineRule="exact"/>
              <w:ind w:left="72"/>
              <w:jc w:val="right"/>
              <w:rPr>
                <w:rFonts w:ascii="Arial" w:hAnsi="Arial" w:cs="Arial"/>
                <w:sz w:val="17"/>
                <w:szCs w:val="17"/>
              </w:rPr>
            </w:pPr>
            <w:r w:rsidRPr="00854635">
              <w:rPr>
                <w:rFonts w:ascii="Arial" w:hAnsi="Arial" w:cs="Arial"/>
                <w:sz w:val="17"/>
                <w:szCs w:val="17"/>
              </w:rPr>
              <w:t xml:space="preserve">1,066 </w:t>
            </w:r>
          </w:p>
        </w:tc>
        <w:tc>
          <w:tcPr>
            <w:tcW w:w="542" w:type="pct"/>
            <w:tcBorders>
              <w:bottom w:val="single" w:sz="4" w:space="0" w:color="auto"/>
            </w:tcBorders>
            <w:vAlign w:val="center"/>
          </w:tcPr>
          <w:p w14:paraId="3AACBB9D" w14:textId="77777777" w:rsidR="00854635" w:rsidRPr="00854635" w:rsidRDefault="00854635" w:rsidP="007A2704">
            <w:pPr>
              <w:overflowPunct/>
              <w:spacing w:line="280" w:lineRule="exact"/>
              <w:jc w:val="right"/>
              <w:textAlignment w:val="auto"/>
              <w:rPr>
                <w:rFonts w:ascii="Arial" w:hAnsi="Arial" w:cs="Arial"/>
                <w:b/>
                <w:sz w:val="17"/>
                <w:szCs w:val="17"/>
                <w:lang w:eastAsia="en-GB"/>
              </w:rPr>
            </w:pPr>
          </w:p>
        </w:tc>
        <w:tc>
          <w:tcPr>
            <w:tcW w:w="402" w:type="pct"/>
            <w:tcBorders>
              <w:bottom w:val="single" w:sz="4" w:space="0" w:color="auto"/>
            </w:tcBorders>
            <w:shd w:val="clear" w:color="auto" w:fill="auto"/>
            <w:vAlign w:val="center"/>
          </w:tcPr>
          <w:p w14:paraId="0FA6496F" w14:textId="60B1675B" w:rsidR="00854635" w:rsidRPr="00854635" w:rsidRDefault="00854635" w:rsidP="007A2704">
            <w:pPr>
              <w:overflowPunct/>
              <w:spacing w:line="280" w:lineRule="exact"/>
              <w:jc w:val="right"/>
              <w:textAlignment w:val="auto"/>
              <w:rPr>
                <w:rFonts w:ascii="Arial" w:hAnsi="Arial" w:cs="Arial"/>
                <w:b/>
                <w:sz w:val="17"/>
                <w:szCs w:val="17"/>
                <w:lang w:eastAsia="en-GB"/>
              </w:rPr>
            </w:pPr>
            <w:r w:rsidRPr="00854635">
              <w:rPr>
                <w:rFonts w:ascii="Arial" w:hAnsi="Arial" w:cs="Arial"/>
                <w:b/>
                <w:sz w:val="17"/>
                <w:szCs w:val="17"/>
                <w:lang w:eastAsia="en-GB"/>
              </w:rPr>
              <w:t xml:space="preserve"> 1</w:t>
            </w:r>
            <w:r w:rsidR="00BA28E4">
              <w:rPr>
                <w:rFonts w:ascii="Arial" w:hAnsi="Arial" w:cs="Arial"/>
                <w:b/>
                <w:sz w:val="17"/>
                <w:szCs w:val="17"/>
                <w:lang w:eastAsia="en-GB"/>
              </w:rPr>
              <w:t>,</w:t>
            </w:r>
            <w:r w:rsidRPr="00854635">
              <w:rPr>
                <w:rFonts w:ascii="Arial" w:hAnsi="Arial" w:cs="Arial"/>
                <w:b/>
                <w:sz w:val="17"/>
                <w:szCs w:val="17"/>
                <w:lang w:eastAsia="en-GB"/>
              </w:rPr>
              <w:t>066</w:t>
            </w:r>
          </w:p>
        </w:tc>
      </w:tr>
      <w:tr w:rsidR="009161D7" w:rsidRPr="00854635" w14:paraId="7615207E" w14:textId="77777777" w:rsidTr="009161D7">
        <w:trPr>
          <w:trHeight w:val="280"/>
        </w:trPr>
        <w:tc>
          <w:tcPr>
            <w:tcW w:w="678" w:type="pct"/>
            <w:shd w:val="clear" w:color="auto" w:fill="auto"/>
          </w:tcPr>
          <w:p w14:paraId="54DA1127" w14:textId="77777777" w:rsidR="00854635" w:rsidRPr="00854635" w:rsidRDefault="00854635" w:rsidP="007A2704">
            <w:pPr>
              <w:pStyle w:val="Notesbodytext"/>
              <w:spacing w:after="0" w:line="280" w:lineRule="exact"/>
              <w:rPr>
                <w:rFonts w:ascii="Arial" w:hAnsi="Arial"/>
                <w:color w:val="auto"/>
                <w:sz w:val="17"/>
                <w:szCs w:val="17"/>
              </w:rPr>
            </w:pPr>
          </w:p>
        </w:tc>
        <w:tc>
          <w:tcPr>
            <w:tcW w:w="606" w:type="pct"/>
            <w:tcBorders>
              <w:top w:val="single" w:sz="4" w:space="0" w:color="auto"/>
              <w:bottom w:val="double" w:sz="4" w:space="0" w:color="auto"/>
            </w:tcBorders>
            <w:shd w:val="clear" w:color="auto" w:fill="auto"/>
            <w:vAlign w:val="bottom"/>
          </w:tcPr>
          <w:p w14:paraId="4CD0D99D" w14:textId="59F117F4" w:rsidR="00854635" w:rsidRPr="00854635" w:rsidRDefault="00854635" w:rsidP="007A2704">
            <w:pPr>
              <w:spacing w:line="280" w:lineRule="exact"/>
              <w:ind w:left="72"/>
              <w:jc w:val="right"/>
              <w:rPr>
                <w:rFonts w:ascii="Arial" w:hAnsi="Arial" w:cs="Arial"/>
                <w:b/>
                <w:sz w:val="17"/>
                <w:szCs w:val="17"/>
              </w:rPr>
            </w:pPr>
            <w:r w:rsidRPr="00854635">
              <w:rPr>
                <w:rFonts w:ascii="Arial" w:hAnsi="Arial" w:cs="Arial"/>
                <w:b/>
                <w:sz w:val="17"/>
                <w:szCs w:val="17"/>
              </w:rPr>
              <w:t>(</w:t>
            </w:r>
            <w:r w:rsidR="00460399">
              <w:rPr>
                <w:rFonts w:ascii="Arial" w:hAnsi="Arial" w:cs="Arial"/>
                <w:b/>
                <w:sz w:val="17"/>
                <w:szCs w:val="17"/>
              </w:rPr>
              <w:t>1,112</w:t>
            </w:r>
            <w:r w:rsidRPr="00854635">
              <w:rPr>
                <w:rFonts w:ascii="Arial" w:hAnsi="Arial" w:cs="Arial"/>
                <w:b/>
                <w:sz w:val="17"/>
                <w:szCs w:val="17"/>
              </w:rPr>
              <w:t xml:space="preserve">) </w:t>
            </w:r>
          </w:p>
        </w:tc>
        <w:tc>
          <w:tcPr>
            <w:tcW w:w="511" w:type="pct"/>
            <w:tcBorders>
              <w:top w:val="single" w:sz="4" w:space="0" w:color="auto"/>
              <w:bottom w:val="double" w:sz="4" w:space="0" w:color="auto"/>
            </w:tcBorders>
          </w:tcPr>
          <w:p w14:paraId="6D5EB23D" w14:textId="4BA10815" w:rsidR="00854635" w:rsidRPr="00854635" w:rsidRDefault="00A054E2" w:rsidP="007A2704">
            <w:pPr>
              <w:spacing w:line="280" w:lineRule="exact"/>
              <w:ind w:left="72"/>
              <w:jc w:val="right"/>
              <w:rPr>
                <w:rFonts w:ascii="Arial" w:hAnsi="Arial" w:cs="Arial"/>
                <w:b/>
                <w:sz w:val="17"/>
                <w:szCs w:val="17"/>
              </w:rPr>
            </w:pPr>
            <w:r>
              <w:rPr>
                <w:rFonts w:ascii="Arial" w:hAnsi="Arial" w:cs="Arial"/>
                <w:b/>
                <w:sz w:val="17"/>
                <w:szCs w:val="17"/>
              </w:rPr>
              <w:t>(</w:t>
            </w:r>
            <w:r w:rsidR="00460399">
              <w:rPr>
                <w:rFonts w:ascii="Arial" w:hAnsi="Arial" w:cs="Arial"/>
                <w:b/>
                <w:sz w:val="17"/>
                <w:szCs w:val="17"/>
              </w:rPr>
              <w:t>40</w:t>
            </w:r>
            <w:r>
              <w:rPr>
                <w:rFonts w:ascii="Arial" w:hAnsi="Arial" w:cs="Arial"/>
                <w:b/>
                <w:sz w:val="17"/>
                <w:szCs w:val="17"/>
              </w:rPr>
              <w:t>)</w:t>
            </w:r>
          </w:p>
        </w:tc>
        <w:tc>
          <w:tcPr>
            <w:tcW w:w="504" w:type="pct"/>
            <w:tcBorders>
              <w:top w:val="single" w:sz="4" w:space="0" w:color="auto"/>
              <w:bottom w:val="double" w:sz="4" w:space="0" w:color="auto"/>
            </w:tcBorders>
            <w:shd w:val="clear" w:color="auto" w:fill="auto"/>
            <w:vAlign w:val="bottom"/>
          </w:tcPr>
          <w:p w14:paraId="03392AB7" w14:textId="1130C9D4" w:rsidR="00854635" w:rsidRPr="00854635" w:rsidRDefault="00854635" w:rsidP="007A2704">
            <w:pPr>
              <w:spacing w:line="280" w:lineRule="exact"/>
              <w:ind w:left="72"/>
              <w:jc w:val="right"/>
              <w:rPr>
                <w:rFonts w:ascii="Arial" w:hAnsi="Arial" w:cs="Arial"/>
                <w:b/>
                <w:sz w:val="17"/>
                <w:szCs w:val="17"/>
              </w:rPr>
            </w:pPr>
            <w:r w:rsidRPr="00854635">
              <w:rPr>
                <w:rFonts w:ascii="Arial" w:hAnsi="Arial" w:cs="Arial"/>
                <w:b/>
                <w:sz w:val="17"/>
                <w:szCs w:val="17"/>
              </w:rPr>
              <w:t xml:space="preserve">(59) </w:t>
            </w:r>
          </w:p>
        </w:tc>
        <w:tc>
          <w:tcPr>
            <w:tcW w:w="473" w:type="pct"/>
            <w:tcBorders>
              <w:top w:val="single" w:sz="4" w:space="0" w:color="auto"/>
              <w:bottom w:val="double" w:sz="4" w:space="0" w:color="auto"/>
            </w:tcBorders>
          </w:tcPr>
          <w:p w14:paraId="0CF665E0" w14:textId="2AE2207A" w:rsidR="00854635" w:rsidRPr="00854635" w:rsidRDefault="00854635" w:rsidP="007A2704">
            <w:pPr>
              <w:spacing w:line="280" w:lineRule="exact"/>
              <w:ind w:left="72"/>
              <w:jc w:val="right"/>
              <w:rPr>
                <w:rFonts w:ascii="Arial" w:hAnsi="Arial" w:cs="Arial"/>
                <w:b/>
                <w:sz w:val="17"/>
                <w:szCs w:val="17"/>
              </w:rPr>
            </w:pPr>
            <w:r w:rsidRPr="00854635">
              <w:rPr>
                <w:rFonts w:ascii="Arial" w:hAnsi="Arial" w:cs="Arial"/>
                <w:b/>
                <w:sz w:val="17"/>
                <w:szCs w:val="17"/>
              </w:rPr>
              <w:t>(13)</w:t>
            </w:r>
          </w:p>
        </w:tc>
        <w:tc>
          <w:tcPr>
            <w:tcW w:w="677" w:type="pct"/>
            <w:tcBorders>
              <w:top w:val="single" w:sz="4" w:space="0" w:color="auto"/>
              <w:bottom w:val="double" w:sz="4" w:space="0" w:color="auto"/>
            </w:tcBorders>
            <w:shd w:val="clear" w:color="auto" w:fill="auto"/>
            <w:vAlign w:val="bottom"/>
          </w:tcPr>
          <w:p w14:paraId="43285751" w14:textId="52F14524" w:rsidR="00854635" w:rsidRPr="00854635" w:rsidRDefault="00854635" w:rsidP="007A2704">
            <w:pPr>
              <w:spacing w:line="280" w:lineRule="exact"/>
              <w:ind w:left="72"/>
              <w:jc w:val="right"/>
              <w:rPr>
                <w:rFonts w:ascii="Arial" w:hAnsi="Arial" w:cs="Arial"/>
                <w:b/>
                <w:sz w:val="17"/>
                <w:szCs w:val="17"/>
              </w:rPr>
            </w:pPr>
            <w:r w:rsidRPr="00854635">
              <w:rPr>
                <w:rFonts w:ascii="Arial" w:hAnsi="Arial" w:cs="Arial"/>
                <w:b/>
                <w:sz w:val="17"/>
                <w:szCs w:val="17"/>
              </w:rPr>
              <w:t xml:space="preserve">(92) </w:t>
            </w:r>
          </w:p>
        </w:tc>
        <w:tc>
          <w:tcPr>
            <w:tcW w:w="608" w:type="pct"/>
            <w:tcBorders>
              <w:top w:val="single" w:sz="4" w:space="0" w:color="auto"/>
              <w:bottom w:val="double" w:sz="4" w:space="0" w:color="auto"/>
            </w:tcBorders>
            <w:shd w:val="clear" w:color="auto" w:fill="auto"/>
            <w:vAlign w:val="bottom"/>
          </w:tcPr>
          <w:p w14:paraId="7DAA980A" w14:textId="77777777" w:rsidR="00854635" w:rsidRPr="00854635" w:rsidRDefault="00854635" w:rsidP="007A2704">
            <w:pPr>
              <w:spacing w:line="280" w:lineRule="exact"/>
              <w:ind w:left="72"/>
              <w:jc w:val="right"/>
              <w:rPr>
                <w:rFonts w:ascii="Arial" w:hAnsi="Arial" w:cs="Arial"/>
                <w:b/>
                <w:sz w:val="17"/>
                <w:szCs w:val="17"/>
              </w:rPr>
            </w:pPr>
            <w:r w:rsidRPr="00854635">
              <w:rPr>
                <w:rFonts w:ascii="Arial" w:hAnsi="Arial" w:cs="Arial"/>
                <w:b/>
                <w:sz w:val="17"/>
                <w:szCs w:val="17"/>
              </w:rPr>
              <w:t xml:space="preserve">1,066 </w:t>
            </w:r>
          </w:p>
        </w:tc>
        <w:tc>
          <w:tcPr>
            <w:tcW w:w="542" w:type="pct"/>
            <w:tcBorders>
              <w:top w:val="single" w:sz="4" w:space="0" w:color="auto"/>
              <w:bottom w:val="double" w:sz="4" w:space="0" w:color="auto"/>
            </w:tcBorders>
          </w:tcPr>
          <w:p w14:paraId="1497B1C5" w14:textId="17BB89DB" w:rsidR="00854635" w:rsidRPr="00854635" w:rsidRDefault="00854635" w:rsidP="007A2704">
            <w:pPr>
              <w:spacing w:line="280" w:lineRule="exact"/>
              <w:ind w:left="72"/>
              <w:jc w:val="right"/>
              <w:rPr>
                <w:rFonts w:ascii="Arial" w:hAnsi="Arial" w:cs="Arial"/>
                <w:b/>
                <w:sz w:val="17"/>
                <w:szCs w:val="17"/>
              </w:rPr>
            </w:pPr>
            <w:r w:rsidRPr="00854635">
              <w:rPr>
                <w:rFonts w:ascii="Arial" w:hAnsi="Arial" w:cs="Arial"/>
                <w:b/>
                <w:sz w:val="17"/>
                <w:szCs w:val="17"/>
              </w:rPr>
              <w:t>462</w:t>
            </w:r>
          </w:p>
        </w:tc>
        <w:tc>
          <w:tcPr>
            <w:tcW w:w="402" w:type="pct"/>
            <w:tcBorders>
              <w:top w:val="single" w:sz="4" w:space="0" w:color="auto"/>
              <w:bottom w:val="double" w:sz="4" w:space="0" w:color="auto"/>
            </w:tcBorders>
            <w:shd w:val="clear" w:color="auto" w:fill="auto"/>
            <w:vAlign w:val="bottom"/>
          </w:tcPr>
          <w:p w14:paraId="1A8B890B" w14:textId="0E145AC4" w:rsidR="00854635" w:rsidRPr="00854635" w:rsidRDefault="000434B8" w:rsidP="007A2704">
            <w:pPr>
              <w:spacing w:line="280" w:lineRule="exact"/>
              <w:ind w:left="72"/>
              <w:jc w:val="right"/>
              <w:rPr>
                <w:rFonts w:ascii="Arial" w:hAnsi="Arial" w:cs="Arial"/>
                <w:b/>
                <w:sz w:val="17"/>
                <w:szCs w:val="17"/>
              </w:rPr>
            </w:pPr>
            <w:r>
              <w:rPr>
                <w:rFonts w:ascii="Arial" w:hAnsi="Arial" w:cs="Arial"/>
                <w:b/>
                <w:sz w:val="17"/>
                <w:szCs w:val="17"/>
              </w:rPr>
              <w:t>21</w:t>
            </w:r>
            <w:r w:rsidRPr="00854635">
              <w:rPr>
                <w:rFonts w:ascii="Arial" w:hAnsi="Arial" w:cs="Arial"/>
                <w:b/>
                <w:sz w:val="17"/>
                <w:szCs w:val="17"/>
              </w:rPr>
              <w:t>2</w:t>
            </w:r>
          </w:p>
        </w:tc>
      </w:tr>
    </w:tbl>
    <w:p w14:paraId="238C7624" w14:textId="655FC968" w:rsidR="00BE6D9B" w:rsidRPr="006535F4" w:rsidRDefault="006535F4" w:rsidP="006535F4">
      <w:pPr>
        <w:overflowPunct/>
        <w:autoSpaceDE/>
        <w:autoSpaceDN/>
        <w:adjustRightInd/>
        <w:spacing w:line="280" w:lineRule="exact"/>
        <w:textAlignment w:val="auto"/>
        <w:rPr>
          <w:rFonts w:ascii="Arial" w:hAnsi="Arial" w:cs="Arial"/>
          <w:sz w:val="20"/>
        </w:rPr>
      </w:pPr>
      <w:r>
        <w:rPr>
          <w:szCs w:val="18"/>
        </w:rPr>
        <w:t>*</w:t>
      </w:r>
      <w:r w:rsidRPr="006535F4">
        <w:rPr>
          <w:szCs w:val="18"/>
        </w:rPr>
        <w:t>The net impact of item to be reclassified and not to be reclassified is Nil for share of OCI in associate.</w:t>
      </w:r>
    </w:p>
    <w:p w14:paraId="1BD3CF7B" w14:textId="6322D70D" w:rsidR="006535F4" w:rsidRDefault="006535F4" w:rsidP="009901E1">
      <w:pPr>
        <w:overflowPunct/>
        <w:autoSpaceDE/>
        <w:autoSpaceDN/>
        <w:adjustRightInd/>
        <w:spacing w:line="280" w:lineRule="exact"/>
        <w:textAlignment w:val="auto"/>
        <w:rPr>
          <w:rFonts w:ascii="Arial" w:hAnsi="Arial" w:cs="Arial"/>
          <w:b/>
          <w:sz w:val="20"/>
        </w:rPr>
      </w:pPr>
    </w:p>
    <w:p w14:paraId="4AA10B4D" w14:textId="77777777" w:rsidR="009161D7" w:rsidRDefault="009161D7" w:rsidP="009901E1">
      <w:pPr>
        <w:overflowPunct/>
        <w:autoSpaceDE/>
        <w:autoSpaceDN/>
        <w:adjustRightInd/>
        <w:spacing w:line="280" w:lineRule="exact"/>
        <w:textAlignment w:val="auto"/>
        <w:rPr>
          <w:rFonts w:ascii="Arial" w:hAnsi="Arial" w:cs="Arial"/>
          <w:b/>
          <w:sz w:val="20"/>
        </w:rPr>
      </w:pPr>
    </w:p>
    <w:p w14:paraId="5E9CFA00" w14:textId="3DEAD085" w:rsidR="008A271C" w:rsidRPr="00E70587" w:rsidRDefault="008A271C" w:rsidP="009901E1">
      <w:pPr>
        <w:overflowPunct/>
        <w:autoSpaceDE/>
        <w:autoSpaceDN/>
        <w:adjustRightInd/>
        <w:spacing w:line="280" w:lineRule="exact"/>
        <w:textAlignment w:val="auto"/>
        <w:rPr>
          <w:rFonts w:ascii="Arial" w:hAnsi="Arial" w:cs="Arial"/>
          <w:b/>
          <w:sz w:val="20"/>
        </w:rPr>
      </w:pPr>
      <w:r w:rsidRPr="00E70587">
        <w:rPr>
          <w:rFonts w:ascii="Arial" w:hAnsi="Arial" w:cs="Arial"/>
          <w:b/>
          <w:sz w:val="20"/>
        </w:rPr>
        <w:lastRenderedPageBreak/>
        <w:t xml:space="preserve">During the year ended 31 </w:t>
      </w:r>
      <w:r w:rsidR="008B730E" w:rsidRPr="00E70587">
        <w:rPr>
          <w:rFonts w:ascii="Arial" w:hAnsi="Arial" w:cs="Arial"/>
          <w:b/>
          <w:sz w:val="20"/>
        </w:rPr>
        <w:t xml:space="preserve">March </w:t>
      </w:r>
      <w:r w:rsidR="009C46B9" w:rsidRPr="00E70587">
        <w:rPr>
          <w:rFonts w:ascii="Arial" w:hAnsi="Arial" w:cs="Arial"/>
          <w:b/>
          <w:sz w:val="20"/>
        </w:rPr>
        <w:t>20</w:t>
      </w:r>
      <w:r w:rsidR="009C46B9">
        <w:rPr>
          <w:rFonts w:ascii="Arial" w:hAnsi="Arial" w:cs="Arial"/>
          <w:b/>
          <w:sz w:val="20"/>
        </w:rPr>
        <w:t>20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1483"/>
        <w:gridCol w:w="1717"/>
        <w:gridCol w:w="1560"/>
        <w:gridCol w:w="1331"/>
        <w:gridCol w:w="1329"/>
      </w:tblGrid>
      <w:tr w:rsidR="00DF7985" w:rsidRPr="00E70587" w14:paraId="0EB74B85" w14:textId="77777777" w:rsidTr="00BA690C">
        <w:tc>
          <w:tcPr>
            <w:tcW w:w="1057" w:type="pct"/>
            <w:vAlign w:val="center"/>
          </w:tcPr>
          <w:p w14:paraId="472FB14F" w14:textId="77777777" w:rsidR="00DF7985" w:rsidRPr="00E70587" w:rsidRDefault="00DF7985" w:rsidP="002860D1">
            <w:pPr>
              <w:pStyle w:val="Notesbodytext"/>
              <w:spacing w:after="0" w:line="280" w:lineRule="exact"/>
              <w:jc w:val="center"/>
              <w:rPr>
                <w:rFonts w:ascii="Arial" w:hAnsi="Arial"/>
                <w:b/>
                <w:color w:val="auto"/>
                <w:sz w:val="20"/>
              </w:rPr>
            </w:pPr>
          </w:p>
        </w:tc>
        <w:tc>
          <w:tcPr>
            <w:tcW w:w="813" w:type="pct"/>
            <w:vAlign w:val="center"/>
          </w:tcPr>
          <w:p w14:paraId="0BB1FF57" w14:textId="744E4472" w:rsidR="00DF7985" w:rsidRPr="00E70587" w:rsidRDefault="00320183" w:rsidP="002860D1">
            <w:pPr>
              <w:pStyle w:val="Tablecolumnheading"/>
              <w:spacing w:line="280" w:lineRule="exact"/>
              <w:jc w:val="center"/>
              <w:rPr>
                <w:rFonts w:ascii="Arial" w:hAnsi="Arial"/>
                <w:color w:val="auto"/>
                <w:sz w:val="20"/>
                <w:szCs w:val="20"/>
                <w:lang w:val="en-IN"/>
              </w:rPr>
            </w:pPr>
            <w:r w:rsidRPr="00320183">
              <w:rPr>
                <w:rFonts w:ascii="Arial" w:hAnsi="Arial"/>
                <w:color w:val="auto"/>
                <w:sz w:val="20"/>
                <w:szCs w:val="20"/>
                <w:lang w:val="en-IN"/>
              </w:rPr>
              <w:t>Effective portion of cash flow hedges</w:t>
            </w:r>
          </w:p>
        </w:tc>
        <w:tc>
          <w:tcPr>
            <w:tcW w:w="813" w:type="pct"/>
            <w:vAlign w:val="center"/>
          </w:tcPr>
          <w:p w14:paraId="3DBCCF97" w14:textId="77777777" w:rsidR="00003330" w:rsidRPr="00003330" w:rsidRDefault="00003330" w:rsidP="00003330">
            <w:pPr>
              <w:pStyle w:val="Tablecolumnheading"/>
              <w:spacing w:line="280" w:lineRule="exact"/>
              <w:jc w:val="center"/>
              <w:rPr>
                <w:rFonts w:ascii="Arial" w:hAnsi="Arial"/>
                <w:color w:val="auto"/>
                <w:sz w:val="20"/>
                <w:szCs w:val="20"/>
                <w:lang w:val="en-IN"/>
              </w:rPr>
            </w:pPr>
            <w:r w:rsidRPr="00003330">
              <w:rPr>
                <w:rFonts w:ascii="Arial" w:hAnsi="Arial"/>
                <w:color w:val="auto"/>
                <w:sz w:val="20"/>
                <w:szCs w:val="20"/>
                <w:lang w:val="en-IN"/>
              </w:rPr>
              <w:t>Debt instruments</w:t>
            </w:r>
          </w:p>
          <w:p w14:paraId="0F74B291" w14:textId="77777777" w:rsidR="00003330" w:rsidRPr="00003330" w:rsidRDefault="00003330" w:rsidP="00003330">
            <w:pPr>
              <w:pStyle w:val="Tablecolumnheading"/>
              <w:spacing w:line="280" w:lineRule="exact"/>
              <w:jc w:val="center"/>
              <w:rPr>
                <w:rFonts w:ascii="Arial" w:hAnsi="Arial"/>
                <w:color w:val="auto"/>
                <w:sz w:val="20"/>
                <w:szCs w:val="20"/>
                <w:lang w:val="en-IN"/>
              </w:rPr>
            </w:pPr>
            <w:r w:rsidRPr="00003330">
              <w:rPr>
                <w:rFonts w:ascii="Arial" w:hAnsi="Arial"/>
                <w:color w:val="auto"/>
                <w:sz w:val="20"/>
                <w:szCs w:val="20"/>
                <w:lang w:val="en-IN"/>
              </w:rPr>
              <w:t>through</w:t>
            </w:r>
          </w:p>
          <w:p w14:paraId="0AF32EEF" w14:textId="77777777" w:rsidR="00003330" w:rsidRPr="00003330" w:rsidRDefault="00003330" w:rsidP="00003330">
            <w:pPr>
              <w:pStyle w:val="Tablecolumnheading"/>
              <w:spacing w:line="280" w:lineRule="exact"/>
              <w:jc w:val="center"/>
              <w:rPr>
                <w:rFonts w:ascii="Arial" w:hAnsi="Arial"/>
                <w:color w:val="auto"/>
                <w:sz w:val="20"/>
                <w:szCs w:val="20"/>
                <w:lang w:val="en-IN"/>
              </w:rPr>
            </w:pPr>
            <w:r w:rsidRPr="00003330">
              <w:rPr>
                <w:rFonts w:ascii="Arial" w:hAnsi="Arial"/>
                <w:color w:val="auto"/>
                <w:sz w:val="20"/>
                <w:szCs w:val="20"/>
                <w:lang w:val="en-IN"/>
              </w:rPr>
              <w:t>Other</w:t>
            </w:r>
          </w:p>
          <w:p w14:paraId="469D65B3" w14:textId="79A4CA36" w:rsidR="00DF7985" w:rsidRPr="00E70587" w:rsidRDefault="00003330" w:rsidP="00003330">
            <w:pPr>
              <w:pStyle w:val="Tablecolumnheading"/>
              <w:spacing w:line="280" w:lineRule="exact"/>
              <w:jc w:val="center"/>
              <w:rPr>
                <w:rFonts w:ascii="Arial" w:hAnsi="Arial"/>
                <w:color w:val="auto"/>
                <w:sz w:val="20"/>
                <w:szCs w:val="20"/>
                <w:lang w:val="en-IN"/>
              </w:rPr>
            </w:pPr>
            <w:r w:rsidRPr="00003330">
              <w:rPr>
                <w:rFonts w:ascii="Arial" w:hAnsi="Arial"/>
                <w:color w:val="auto"/>
                <w:sz w:val="20"/>
                <w:szCs w:val="20"/>
                <w:lang w:val="en-IN"/>
              </w:rPr>
              <w:t>Comprehensive Income</w:t>
            </w:r>
          </w:p>
        </w:tc>
        <w:tc>
          <w:tcPr>
            <w:tcW w:w="854" w:type="pct"/>
            <w:vAlign w:val="center"/>
          </w:tcPr>
          <w:p w14:paraId="1F536D9B" w14:textId="41EE831C" w:rsidR="00DF7985" w:rsidRPr="00E70587" w:rsidRDefault="00635319" w:rsidP="002860D1">
            <w:pPr>
              <w:pStyle w:val="Tablecolumnheading"/>
              <w:spacing w:line="280" w:lineRule="exact"/>
              <w:jc w:val="center"/>
              <w:rPr>
                <w:rFonts w:ascii="Arial" w:hAnsi="Arial"/>
                <w:color w:val="auto"/>
                <w:sz w:val="20"/>
                <w:szCs w:val="20"/>
                <w:lang w:val="en-IN"/>
              </w:rPr>
            </w:pPr>
            <w:r w:rsidRPr="00635319">
              <w:rPr>
                <w:rFonts w:ascii="Arial" w:hAnsi="Arial"/>
                <w:color w:val="auto"/>
                <w:sz w:val="20"/>
                <w:szCs w:val="20"/>
                <w:lang w:val="en-IN"/>
              </w:rPr>
              <w:t>Exchange differences on translating the financial statements of a foreign operation</w:t>
            </w:r>
          </w:p>
        </w:tc>
        <w:tc>
          <w:tcPr>
            <w:tcW w:w="732" w:type="pct"/>
          </w:tcPr>
          <w:p w14:paraId="5EA08429" w14:textId="77777777" w:rsidR="00DF7985" w:rsidRPr="00E70587" w:rsidRDefault="00DF7985" w:rsidP="002860D1">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Retained earnings</w:t>
            </w:r>
          </w:p>
        </w:tc>
        <w:tc>
          <w:tcPr>
            <w:tcW w:w="732" w:type="pct"/>
            <w:vAlign w:val="center"/>
          </w:tcPr>
          <w:p w14:paraId="4EFB0338" w14:textId="77777777" w:rsidR="00DF7985" w:rsidRPr="00E70587" w:rsidRDefault="00DF7985" w:rsidP="002860D1">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Total</w:t>
            </w:r>
          </w:p>
        </w:tc>
      </w:tr>
      <w:tr w:rsidR="00DF7985" w:rsidRPr="00E70587" w14:paraId="6DDD882E" w14:textId="77777777" w:rsidTr="00F54B53">
        <w:tc>
          <w:tcPr>
            <w:tcW w:w="1057" w:type="pct"/>
          </w:tcPr>
          <w:p w14:paraId="28D8EE6E" w14:textId="77777777" w:rsidR="00DF7985" w:rsidRPr="00E70587" w:rsidRDefault="00DF7985" w:rsidP="009A5E2F">
            <w:pPr>
              <w:pStyle w:val="Notesbodytext"/>
              <w:spacing w:after="0" w:line="280" w:lineRule="exact"/>
              <w:rPr>
                <w:rFonts w:ascii="Arial" w:hAnsi="Arial"/>
                <w:color w:val="auto"/>
                <w:sz w:val="20"/>
              </w:rPr>
            </w:pPr>
          </w:p>
        </w:tc>
        <w:tc>
          <w:tcPr>
            <w:tcW w:w="813" w:type="pct"/>
            <w:vAlign w:val="bottom"/>
          </w:tcPr>
          <w:p w14:paraId="253FC5E2" w14:textId="77777777" w:rsidR="00DF7985" w:rsidRPr="00E70587" w:rsidRDefault="00DF7985"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813" w:type="pct"/>
            <w:vAlign w:val="bottom"/>
          </w:tcPr>
          <w:p w14:paraId="1A97335D" w14:textId="77777777" w:rsidR="00DF7985" w:rsidRPr="00E70587" w:rsidRDefault="00DF7985"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854" w:type="pct"/>
            <w:vAlign w:val="bottom"/>
          </w:tcPr>
          <w:p w14:paraId="359A3C78" w14:textId="77777777" w:rsidR="00DF7985" w:rsidRPr="00E70587" w:rsidRDefault="00DF7985" w:rsidP="009A5E2F">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732" w:type="pct"/>
            <w:vAlign w:val="center"/>
          </w:tcPr>
          <w:p w14:paraId="790E9E95" w14:textId="77777777" w:rsidR="00DF7985" w:rsidRPr="00E70587" w:rsidRDefault="00DF7985" w:rsidP="009A5E2F">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732" w:type="pct"/>
            <w:vAlign w:val="bottom"/>
          </w:tcPr>
          <w:p w14:paraId="40E6B5E9" w14:textId="77777777" w:rsidR="00DF7985" w:rsidRPr="00E70587" w:rsidRDefault="00DF7985" w:rsidP="009A5E2F">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r>
      <w:tr w:rsidR="00DF7985" w:rsidRPr="00E70587" w14:paraId="724E3B9F" w14:textId="77777777" w:rsidTr="00077540">
        <w:tc>
          <w:tcPr>
            <w:tcW w:w="1057" w:type="pct"/>
          </w:tcPr>
          <w:p w14:paraId="66BE3310" w14:textId="77777777" w:rsidR="00DF7985" w:rsidRPr="00E70587" w:rsidRDefault="00DF7985" w:rsidP="009A5E2F">
            <w:pPr>
              <w:pStyle w:val="Notesbodytext"/>
              <w:spacing w:after="0" w:line="280" w:lineRule="exact"/>
              <w:rPr>
                <w:rFonts w:ascii="Arial" w:hAnsi="Arial"/>
                <w:color w:val="auto"/>
                <w:sz w:val="20"/>
              </w:rPr>
            </w:pPr>
            <w:r w:rsidRPr="00E70587">
              <w:rPr>
                <w:rFonts w:ascii="Arial" w:hAnsi="Arial"/>
                <w:color w:val="auto"/>
                <w:sz w:val="20"/>
              </w:rPr>
              <w:t>Foreign exchange translation differences</w:t>
            </w:r>
          </w:p>
        </w:tc>
        <w:tc>
          <w:tcPr>
            <w:tcW w:w="813" w:type="pct"/>
            <w:vAlign w:val="center"/>
          </w:tcPr>
          <w:p w14:paraId="29B9CB73" w14:textId="77777777" w:rsidR="00DF7985" w:rsidRPr="00E70587" w:rsidRDefault="00DF7985" w:rsidP="00077540">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813" w:type="pct"/>
            <w:vAlign w:val="center"/>
          </w:tcPr>
          <w:p w14:paraId="57BEBE10" w14:textId="77777777" w:rsidR="00DF7985" w:rsidRPr="00E70587" w:rsidRDefault="00DF7985" w:rsidP="00077540">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854" w:type="pct"/>
            <w:vAlign w:val="center"/>
          </w:tcPr>
          <w:p w14:paraId="4B8E49FF" w14:textId="77777777" w:rsidR="00DF7985" w:rsidRPr="00E70587" w:rsidRDefault="00DF7985" w:rsidP="00077540">
            <w:pPr>
              <w:spacing w:line="280" w:lineRule="exact"/>
              <w:jc w:val="right"/>
              <w:rPr>
                <w:rFonts w:ascii="Arial" w:hAnsi="Arial" w:cs="Arial"/>
                <w:sz w:val="20"/>
                <w:lang w:eastAsia="en-GB"/>
              </w:rPr>
            </w:pPr>
            <w:r w:rsidRPr="00E70587">
              <w:rPr>
                <w:rFonts w:ascii="Arial" w:hAnsi="Arial" w:cs="Arial"/>
                <w:sz w:val="20"/>
              </w:rPr>
              <w:t xml:space="preserve"> (211) </w:t>
            </w:r>
          </w:p>
        </w:tc>
        <w:tc>
          <w:tcPr>
            <w:tcW w:w="732" w:type="pct"/>
            <w:vAlign w:val="center"/>
          </w:tcPr>
          <w:p w14:paraId="2CB9A1D7" w14:textId="77777777" w:rsidR="00DF7985" w:rsidRPr="00E70587" w:rsidRDefault="00DF7985" w:rsidP="00077540">
            <w:pPr>
              <w:overflowPunct/>
              <w:spacing w:line="280" w:lineRule="exact"/>
              <w:jc w:val="right"/>
              <w:textAlignment w:val="auto"/>
              <w:rPr>
                <w:rFonts w:ascii="Arial" w:hAnsi="Arial" w:cs="Arial"/>
                <w:b/>
                <w:sz w:val="20"/>
                <w:lang w:eastAsia="en-GB"/>
              </w:rPr>
            </w:pPr>
          </w:p>
        </w:tc>
        <w:tc>
          <w:tcPr>
            <w:tcW w:w="732" w:type="pct"/>
            <w:vAlign w:val="center"/>
          </w:tcPr>
          <w:p w14:paraId="688285A7" w14:textId="77777777" w:rsidR="00DF7985" w:rsidRPr="00E70587" w:rsidRDefault="00DF7985" w:rsidP="00077540">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 xml:space="preserve"> (211)</w:t>
            </w:r>
          </w:p>
        </w:tc>
      </w:tr>
      <w:tr w:rsidR="00DF7985" w:rsidRPr="00E70587" w14:paraId="4C518E69" w14:textId="77777777" w:rsidTr="00077540">
        <w:tc>
          <w:tcPr>
            <w:tcW w:w="1057" w:type="pct"/>
            <w:vAlign w:val="bottom"/>
          </w:tcPr>
          <w:p w14:paraId="3E522871" w14:textId="77777777" w:rsidR="00DF7985" w:rsidRPr="00E70587" w:rsidRDefault="00DF7985" w:rsidP="009A5E2F">
            <w:pPr>
              <w:pStyle w:val="Notesbodytext"/>
              <w:spacing w:after="0" w:line="280" w:lineRule="exact"/>
              <w:rPr>
                <w:rFonts w:ascii="Arial" w:hAnsi="Arial"/>
                <w:color w:val="auto"/>
                <w:sz w:val="20"/>
              </w:rPr>
            </w:pPr>
            <w:r w:rsidRPr="00E70587">
              <w:rPr>
                <w:rFonts w:ascii="Arial" w:hAnsi="Arial"/>
                <w:color w:val="auto"/>
                <w:sz w:val="20"/>
              </w:rPr>
              <w:t>Currency forward contracts</w:t>
            </w:r>
          </w:p>
        </w:tc>
        <w:tc>
          <w:tcPr>
            <w:tcW w:w="813" w:type="pct"/>
            <w:vAlign w:val="center"/>
          </w:tcPr>
          <w:p w14:paraId="70E63D42" w14:textId="77777777" w:rsidR="00DF7985" w:rsidRPr="00E70587" w:rsidRDefault="00DF7985" w:rsidP="00077540">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(477) </w:t>
            </w:r>
          </w:p>
        </w:tc>
        <w:tc>
          <w:tcPr>
            <w:tcW w:w="813" w:type="pct"/>
            <w:vAlign w:val="center"/>
          </w:tcPr>
          <w:p w14:paraId="4BC8EE62" w14:textId="77777777" w:rsidR="00DF7985" w:rsidRPr="00E70587" w:rsidRDefault="00DF7985" w:rsidP="00077540">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854" w:type="pct"/>
            <w:vAlign w:val="center"/>
          </w:tcPr>
          <w:p w14:paraId="766E0488" w14:textId="77777777" w:rsidR="00DF7985" w:rsidRPr="00E70587" w:rsidRDefault="00DF7985" w:rsidP="00077540">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732" w:type="pct"/>
            <w:vAlign w:val="center"/>
          </w:tcPr>
          <w:p w14:paraId="75B0DAED" w14:textId="77777777" w:rsidR="00DF7985" w:rsidRPr="00E70587" w:rsidRDefault="00DF7985" w:rsidP="00077540">
            <w:pPr>
              <w:overflowPunct/>
              <w:spacing w:line="280" w:lineRule="exact"/>
              <w:jc w:val="right"/>
              <w:textAlignment w:val="auto"/>
              <w:rPr>
                <w:rFonts w:ascii="Arial" w:hAnsi="Arial" w:cs="Arial"/>
                <w:b/>
                <w:sz w:val="20"/>
                <w:lang w:eastAsia="en-GB"/>
              </w:rPr>
            </w:pPr>
          </w:p>
        </w:tc>
        <w:tc>
          <w:tcPr>
            <w:tcW w:w="732" w:type="pct"/>
            <w:vAlign w:val="center"/>
          </w:tcPr>
          <w:p w14:paraId="1CCBAA50" w14:textId="77777777" w:rsidR="00DF7985" w:rsidRPr="00E70587" w:rsidRDefault="00DF7985" w:rsidP="00077540">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 xml:space="preserve"> (477) </w:t>
            </w:r>
          </w:p>
        </w:tc>
      </w:tr>
      <w:tr w:rsidR="00DF7985" w:rsidRPr="00E70587" w14:paraId="375F477E" w14:textId="77777777" w:rsidTr="00077540">
        <w:tc>
          <w:tcPr>
            <w:tcW w:w="1057" w:type="pct"/>
            <w:vAlign w:val="bottom"/>
          </w:tcPr>
          <w:p w14:paraId="6FD139B1" w14:textId="7628AEFF" w:rsidR="00DF7985" w:rsidRPr="00E70587" w:rsidRDefault="00DF7985" w:rsidP="009A5E2F">
            <w:pPr>
              <w:pStyle w:val="Notesbodytext"/>
              <w:spacing w:after="0" w:line="280" w:lineRule="exact"/>
              <w:rPr>
                <w:rFonts w:ascii="Arial" w:hAnsi="Arial"/>
                <w:color w:val="auto"/>
                <w:sz w:val="20"/>
              </w:rPr>
            </w:pPr>
            <w:r w:rsidRPr="00E70587">
              <w:rPr>
                <w:rFonts w:ascii="Arial" w:hAnsi="Arial"/>
                <w:color w:val="auto"/>
                <w:sz w:val="20"/>
              </w:rPr>
              <w:t xml:space="preserve">Reclassification to statement of profit </w:t>
            </w:r>
            <w:r w:rsidR="007736A6">
              <w:rPr>
                <w:rFonts w:ascii="Arial" w:hAnsi="Arial"/>
                <w:color w:val="auto"/>
                <w:sz w:val="20"/>
              </w:rPr>
              <w:t>and</w:t>
            </w:r>
            <w:r w:rsidR="007736A6" w:rsidRPr="00E70587">
              <w:rPr>
                <w:rFonts w:ascii="Arial" w:hAnsi="Arial"/>
                <w:color w:val="auto"/>
                <w:sz w:val="20"/>
              </w:rPr>
              <w:t xml:space="preserve"> </w:t>
            </w:r>
            <w:r w:rsidRPr="00E70587">
              <w:rPr>
                <w:rFonts w:ascii="Arial" w:hAnsi="Arial"/>
                <w:color w:val="auto"/>
                <w:sz w:val="20"/>
              </w:rPr>
              <w:t>loss</w:t>
            </w:r>
          </w:p>
        </w:tc>
        <w:tc>
          <w:tcPr>
            <w:tcW w:w="813" w:type="pct"/>
            <w:vAlign w:val="center"/>
          </w:tcPr>
          <w:p w14:paraId="489F3C8D" w14:textId="77777777" w:rsidR="00DF7985" w:rsidRPr="00E70587" w:rsidRDefault="00DF7985" w:rsidP="00077540">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520 </w:t>
            </w:r>
          </w:p>
        </w:tc>
        <w:tc>
          <w:tcPr>
            <w:tcW w:w="813" w:type="pct"/>
            <w:vAlign w:val="center"/>
          </w:tcPr>
          <w:p w14:paraId="1FE2D3CD" w14:textId="77777777" w:rsidR="00DF7985" w:rsidRPr="00E70587" w:rsidRDefault="00DF7985" w:rsidP="00077540">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854" w:type="pct"/>
            <w:vAlign w:val="center"/>
          </w:tcPr>
          <w:p w14:paraId="5BE42C7F" w14:textId="77777777" w:rsidR="00DF7985" w:rsidRPr="00E70587" w:rsidRDefault="00DF7985" w:rsidP="00077540">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732" w:type="pct"/>
            <w:vAlign w:val="center"/>
          </w:tcPr>
          <w:p w14:paraId="5B8BF9D9" w14:textId="77777777" w:rsidR="00DF7985" w:rsidRPr="00E70587" w:rsidRDefault="00DF7985" w:rsidP="00077540">
            <w:pPr>
              <w:overflowPunct/>
              <w:spacing w:line="280" w:lineRule="exact"/>
              <w:jc w:val="right"/>
              <w:textAlignment w:val="auto"/>
              <w:rPr>
                <w:rFonts w:ascii="Arial" w:hAnsi="Arial" w:cs="Arial"/>
                <w:b/>
                <w:sz w:val="20"/>
                <w:lang w:eastAsia="en-GB"/>
              </w:rPr>
            </w:pPr>
          </w:p>
        </w:tc>
        <w:tc>
          <w:tcPr>
            <w:tcW w:w="732" w:type="pct"/>
            <w:vAlign w:val="center"/>
          </w:tcPr>
          <w:p w14:paraId="23FCE163" w14:textId="77777777" w:rsidR="00DF7985" w:rsidRPr="00E70587" w:rsidRDefault="00DF7985" w:rsidP="00077540">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 xml:space="preserve">520 </w:t>
            </w:r>
          </w:p>
        </w:tc>
      </w:tr>
      <w:tr w:rsidR="00DF7985" w:rsidRPr="00E70587" w14:paraId="3E71E901" w14:textId="77777777" w:rsidTr="00077540">
        <w:tc>
          <w:tcPr>
            <w:tcW w:w="1057" w:type="pct"/>
          </w:tcPr>
          <w:p w14:paraId="5D466CE9" w14:textId="77777777" w:rsidR="00DF7985" w:rsidRPr="00E70587" w:rsidRDefault="00DF7985" w:rsidP="009A5E2F">
            <w:pPr>
              <w:pStyle w:val="Notesbodytext"/>
              <w:spacing w:after="0" w:line="280" w:lineRule="exact"/>
              <w:rPr>
                <w:rFonts w:ascii="Arial" w:hAnsi="Arial"/>
                <w:color w:val="auto"/>
                <w:sz w:val="20"/>
              </w:rPr>
            </w:pPr>
            <w:r w:rsidRPr="00E70587">
              <w:rPr>
                <w:rFonts w:ascii="Arial" w:hAnsi="Arial"/>
                <w:color w:val="auto"/>
                <w:sz w:val="20"/>
              </w:rPr>
              <w:t>Gain/(loss) on FVTOCI financial assets</w:t>
            </w:r>
          </w:p>
        </w:tc>
        <w:tc>
          <w:tcPr>
            <w:tcW w:w="813" w:type="pct"/>
            <w:vAlign w:val="center"/>
          </w:tcPr>
          <w:p w14:paraId="71CD1310" w14:textId="77777777" w:rsidR="00DF7985" w:rsidRPr="00E70587" w:rsidRDefault="00DF7985" w:rsidP="00077540">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813" w:type="pct"/>
            <w:vAlign w:val="center"/>
          </w:tcPr>
          <w:p w14:paraId="636146A5" w14:textId="11CE6713" w:rsidR="00DF7985" w:rsidRPr="00E70587" w:rsidRDefault="00DF7985" w:rsidP="00077540">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r w:rsidR="001B6B5C">
              <w:rPr>
                <w:rFonts w:ascii="Arial" w:hAnsi="Arial" w:cs="Arial"/>
                <w:sz w:val="20"/>
                <w:lang w:eastAsia="en-GB"/>
              </w:rPr>
              <w:t>3</w:t>
            </w:r>
            <w:r w:rsidRPr="00E70587">
              <w:rPr>
                <w:rFonts w:ascii="Arial" w:hAnsi="Arial" w:cs="Arial"/>
                <w:sz w:val="20"/>
                <w:lang w:eastAsia="en-GB"/>
              </w:rPr>
              <w:t xml:space="preserve"> </w:t>
            </w:r>
          </w:p>
        </w:tc>
        <w:tc>
          <w:tcPr>
            <w:tcW w:w="854" w:type="pct"/>
            <w:vAlign w:val="center"/>
          </w:tcPr>
          <w:p w14:paraId="25E00F45" w14:textId="77777777" w:rsidR="00DF7985" w:rsidRPr="00E70587" w:rsidRDefault="00DF7985" w:rsidP="00077540">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732" w:type="pct"/>
            <w:vAlign w:val="center"/>
          </w:tcPr>
          <w:p w14:paraId="1FB6900D" w14:textId="3654EFE3" w:rsidR="00DF7985" w:rsidRPr="00E70587" w:rsidRDefault="001B6B5C" w:rsidP="00077540">
            <w:pPr>
              <w:overflowPunct/>
              <w:spacing w:line="280" w:lineRule="exact"/>
              <w:jc w:val="right"/>
              <w:textAlignment w:val="auto"/>
              <w:rPr>
                <w:rFonts w:ascii="Arial" w:hAnsi="Arial" w:cs="Arial"/>
                <w:sz w:val="20"/>
                <w:lang w:eastAsia="en-GB"/>
              </w:rPr>
            </w:pPr>
            <w:r>
              <w:rPr>
                <w:rFonts w:ascii="Arial" w:hAnsi="Arial" w:cs="Arial"/>
                <w:sz w:val="20"/>
                <w:lang w:eastAsia="en-GB"/>
              </w:rPr>
              <w:t>-</w:t>
            </w:r>
          </w:p>
        </w:tc>
        <w:tc>
          <w:tcPr>
            <w:tcW w:w="732" w:type="pct"/>
            <w:vAlign w:val="center"/>
          </w:tcPr>
          <w:p w14:paraId="39C10F3A" w14:textId="1C0B07F8" w:rsidR="00DF7985" w:rsidRPr="00E70587" w:rsidRDefault="001B6B5C" w:rsidP="00077540">
            <w:pPr>
              <w:overflowPunct/>
              <w:spacing w:line="280" w:lineRule="exact"/>
              <w:jc w:val="right"/>
              <w:textAlignment w:val="auto"/>
              <w:rPr>
                <w:rFonts w:ascii="Arial" w:hAnsi="Arial" w:cs="Arial"/>
                <w:b/>
                <w:sz w:val="20"/>
                <w:lang w:eastAsia="en-GB"/>
              </w:rPr>
            </w:pPr>
            <w:r>
              <w:rPr>
                <w:rFonts w:ascii="Arial" w:hAnsi="Arial" w:cs="Arial"/>
                <w:b/>
                <w:sz w:val="20"/>
                <w:lang w:eastAsia="en-GB"/>
              </w:rPr>
              <w:t>3</w:t>
            </w:r>
          </w:p>
        </w:tc>
      </w:tr>
      <w:tr w:rsidR="00DF7985" w:rsidRPr="00E70587" w14:paraId="1E0F72FA" w14:textId="77777777" w:rsidTr="00077540">
        <w:tc>
          <w:tcPr>
            <w:tcW w:w="1057" w:type="pct"/>
          </w:tcPr>
          <w:p w14:paraId="3304A966" w14:textId="77777777" w:rsidR="00DF7985" w:rsidRPr="00E70587" w:rsidRDefault="00DF7985" w:rsidP="009A5E2F">
            <w:pPr>
              <w:pStyle w:val="Notesbodytext"/>
              <w:spacing w:after="0" w:line="280" w:lineRule="exact"/>
              <w:rPr>
                <w:rFonts w:ascii="Arial" w:hAnsi="Arial"/>
                <w:color w:val="auto"/>
                <w:sz w:val="20"/>
              </w:rPr>
            </w:pPr>
            <w:r w:rsidRPr="00E70587">
              <w:rPr>
                <w:rFonts w:ascii="Arial" w:hAnsi="Arial"/>
                <w:color w:val="auto"/>
                <w:sz w:val="20"/>
              </w:rPr>
              <w:t>Re-measurement gains (losses) on defined benefit plans</w:t>
            </w:r>
          </w:p>
        </w:tc>
        <w:tc>
          <w:tcPr>
            <w:tcW w:w="813" w:type="pct"/>
            <w:vAlign w:val="center"/>
          </w:tcPr>
          <w:p w14:paraId="54E38652" w14:textId="2C6C25B9" w:rsidR="00DF7985" w:rsidRPr="00E70587" w:rsidRDefault="001B6B5C" w:rsidP="00077540">
            <w:pPr>
              <w:overflowPunct/>
              <w:spacing w:line="280" w:lineRule="exact"/>
              <w:jc w:val="right"/>
              <w:textAlignment w:val="auto"/>
              <w:rPr>
                <w:rFonts w:ascii="Arial" w:hAnsi="Arial" w:cs="Arial"/>
                <w:sz w:val="20"/>
                <w:lang w:eastAsia="en-GB"/>
              </w:rPr>
            </w:pPr>
            <w:r>
              <w:rPr>
                <w:rFonts w:ascii="Arial" w:hAnsi="Arial" w:cs="Arial"/>
                <w:sz w:val="20"/>
                <w:lang w:eastAsia="en-GB"/>
              </w:rPr>
              <w:t>-</w:t>
            </w:r>
          </w:p>
        </w:tc>
        <w:tc>
          <w:tcPr>
            <w:tcW w:w="813" w:type="pct"/>
            <w:vAlign w:val="center"/>
          </w:tcPr>
          <w:p w14:paraId="37A4D094" w14:textId="4BF0077E" w:rsidR="00DF7985" w:rsidRPr="00E70587" w:rsidRDefault="001B6B5C" w:rsidP="00077540">
            <w:pPr>
              <w:overflowPunct/>
              <w:spacing w:line="280" w:lineRule="exact"/>
              <w:jc w:val="right"/>
              <w:textAlignment w:val="auto"/>
              <w:rPr>
                <w:rFonts w:ascii="Arial" w:hAnsi="Arial" w:cs="Arial"/>
                <w:sz w:val="20"/>
                <w:lang w:eastAsia="en-GB"/>
              </w:rPr>
            </w:pPr>
            <w:r>
              <w:rPr>
                <w:rFonts w:ascii="Arial" w:hAnsi="Arial" w:cs="Arial"/>
                <w:sz w:val="20"/>
                <w:lang w:eastAsia="en-GB"/>
              </w:rPr>
              <w:t>-</w:t>
            </w:r>
          </w:p>
        </w:tc>
        <w:tc>
          <w:tcPr>
            <w:tcW w:w="854" w:type="pct"/>
            <w:vAlign w:val="center"/>
          </w:tcPr>
          <w:p w14:paraId="48E2A0F8" w14:textId="525C4C15" w:rsidR="00DF7985" w:rsidRPr="00E70587" w:rsidRDefault="001B6B5C" w:rsidP="00077540">
            <w:pPr>
              <w:overflowPunct/>
              <w:spacing w:line="280" w:lineRule="exact"/>
              <w:jc w:val="right"/>
              <w:textAlignment w:val="auto"/>
              <w:rPr>
                <w:rFonts w:ascii="Arial" w:hAnsi="Arial" w:cs="Arial"/>
                <w:sz w:val="20"/>
                <w:lang w:eastAsia="en-GB"/>
              </w:rPr>
            </w:pPr>
            <w:r>
              <w:rPr>
                <w:rFonts w:ascii="Arial" w:hAnsi="Arial" w:cs="Arial"/>
                <w:sz w:val="20"/>
                <w:lang w:eastAsia="en-GB"/>
              </w:rPr>
              <w:t>-</w:t>
            </w:r>
          </w:p>
        </w:tc>
        <w:tc>
          <w:tcPr>
            <w:tcW w:w="732" w:type="pct"/>
            <w:vAlign w:val="center"/>
          </w:tcPr>
          <w:p w14:paraId="394636D1" w14:textId="3AFEAAA1" w:rsidR="00DF7985" w:rsidRPr="001B6B5C" w:rsidRDefault="001B6B5C" w:rsidP="00077540">
            <w:pPr>
              <w:overflowPunct/>
              <w:spacing w:line="280" w:lineRule="exact"/>
              <w:jc w:val="right"/>
              <w:textAlignment w:val="auto"/>
              <w:rPr>
                <w:rFonts w:ascii="Arial" w:hAnsi="Arial" w:cs="Arial"/>
                <w:bCs/>
                <w:sz w:val="20"/>
                <w:lang w:eastAsia="en-GB"/>
              </w:rPr>
            </w:pPr>
            <w:r w:rsidRPr="001B6B5C">
              <w:rPr>
                <w:rFonts w:ascii="Arial" w:hAnsi="Arial" w:cs="Arial"/>
                <w:bCs/>
                <w:sz w:val="20"/>
                <w:lang w:eastAsia="en-GB"/>
              </w:rPr>
              <w:t>(491)</w:t>
            </w:r>
          </w:p>
        </w:tc>
        <w:tc>
          <w:tcPr>
            <w:tcW w:w="732" w:type="pct"/>
            <w:vAlign w:val="center"/>
          </w:tcPr>
          <w:p w14:paraId="55B1B8E8" w14:textId="50D8EA91" w:rsidR="00DF7985" w:rsidRPr="00E70587" w:rsidRDefault="001B6B5C" w:rsidP="00077540">
            <w:pPr>
              <w:overflowPunct/>
              <w:spacing w:line="280" w:lineRule="exact"/>
              <w:jc w:val="right"/>
              <w:textAlignment w:val="auto"/>
              <w:rPr>
                <w:rFonts w:ascii="Arial" w:hAnsi="Arial" w:cs="Arial"/>
                <w:b/>
                <w:sz w:val="20"/>
                <w:lang w:eastAsia="en-GB"/>
              </w:rPr>
            </w:pPr>
            <w:r>
              <w:rPr>
                <w:rFonts w:ascii="Arial" w:hAnsi="Arial" w:cs="Arial"/>
                <w:b/>
                <w:sz w:val="20"/>
                <w:lang w:eastAsia="en-GB"/>
              </w:rPr>
              <w:t>(491)</w:t>
            </w:r>
          </w:p>
        </w:tc>
      </w:tr>
      <w:tr w:rsidR="00DF7985" w:rsidRPr="00E70587" w14:paraId="532EB095" w14:textId="77777777" w:rsidTr="00BA690C">
        <w:tc>
          <w:tcPr>
            <w:tcW w:w="1057" w:type="pct"/>
          </w:tcPr>
          <w:p w14:paraId="51BA9A5D" w14:textId="77777777" w:rsidR="00DF7985" w:rsidRPr="00E70587" w:rsidRDefault="00DF7985" w:rsidP="009A5E2F">
            <w:pPr>
              <w:pStyle w:val="Notesbodytext"/>
              <w:spacing w:after="0" w:line="280" w:lineRule="exact"/>
              <w:rPr>
                <w:rFonts w:ascii="Arial" w:hAnsi="Arial"/>
                <w:color w:val="auto"/>
                <w:sz w:val="20"/>
              </w:rPr>
            </w:pPr>
          </w:p>
        </w:tc>
        <w:tc>
          <w:tcPr>
            <w:tcW w:w="813" w:type="pct"/>
            <w:tcBorders>
              <w:top w:val="single" w:sz="4" w:space="0" w:color="auto"/>
              <w:bottom w:val="double" w:sz="4" w:space="0" w:color="auto"/>
            </w:tcBorders>
          </w:tcPr>
          <w:p w14:paraId="7EC0CECD" w14:textId="77777777" w:rsidR="00DF7985" w:rsidRPr="00E70587" w:rsidRDefault="00DF7985"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43 </w:t>
            </w:r>
          </w:p>
        </w:tc>
        <w:tc>
          <w:tcPr>
            <w:tcW w:w="813" w:type="pct"/>
            <w:tcBorders>
              <w:top w:val="single" w:sz="4" w:space="0" w:color="auto"/>
              <w:bottom w:val="double" w:sz="4" w:space="0" w:color="auto"/>
            </w:tcBorders>
          </w:tcPr>
          <w:p w14:paraId="45CA99B0" w14:textId="6E3D844A" w:rsidR="00DF7985" w:rsidRPr="00E70587" w:rsidRDefault="00DF7985"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r w:rsidR="001B6B5C">
              <w:rPr>
                <w:rFonts w:ascii="Arial" w:hAnsi="Arial" w:cs="Arial"/>
                <w:sz w:val="20"/>
                <w:lang w:eastAsia="en-GB"/>
              </w:rPr>
              <w:t>3</w:t>
            </w:r>
            <w:r w:rsidRPr="00E70587">
              <w:rPr>
                <w:rFonts w:ascii="Arial" w:hAnsi="Arial" w:cs="Arial"/>
                <w:sz w:val="20"/>
                <w:lang w:eastAsia="en-GB"/>
              </w:rPr>
              <w:t xml:space="preserve"> </w:t>
            </w:r>
          </w:p>
        </w:tc>
        <w:tc>
          <w:tcPr>
            <w:tcW w:w="854" w:type="pct"/>
            <w:tcBorders>
              <w:top w:val="single" w:sz="4" w:space="0" w:color="auto"/>
              <w:bottom w:val="double" w:sz="4" w:space="0" w:color="auto"/>
            </w:tcBorders>
          </w:tcPr>
          <w:p w14:paraId="0876E1AA" w14:textId="77777777" w:rsidR="00DF7985" w:rsidRPr="00E70587" w:rsidRDefault="00DF7985" w:rsidP="00077540">
            <w:pPr>
              <w:spacing w:line="280" w:lineRule="exact"/>
              <w:jc w:val="right"/>
              <w:rPr>
                <w:rFonts w:ascii="Arial" w:hAnsi="Arial" w:cs="Arial"/>
                <w:sz w:val="20"/>
                <w:lang w:eastAsia="en-GB"/>
              </w:rPr>
            </w:pPr>
            <w:r w:rsidRPr="00E70587">
              <w:rPr>
                <w:rFonts w:ascii="Arial" w:hAnsi="Arial" w:cs="Arial"/>
                <w:sz w:val="20"/>
              </w:rPr>
              <w:t xml:space="preserve"> (211) </w:t>
            </w:r>
          </w:p>
        </w:tc>
        <w:tc>
          <w:tcPr>
            <w:tcW w:w="732" w:type="pct"/>
            <w:tcBorders>
              <w:top w:val="single" w:sz="4" w:space="0" w:color="auto"/>
              <w:bottom w:val="double" w:sz="4" w:space="0" w:color="auto"/>
            </w:tcBorders>
          </w:tcPr>
          <w:p w14:paraId="53BBD960" w14:textId="77777777" w:rsidR="00DF7985" w:rsidRPr="00E70587" w:rsidRDefault="00DF7985" w:rsidP="009A5E2F">
            <w:pPr>
              <w:overflowPunct/>
              <w:spacing w:line="280" w:lineRule="exact"/>
              <w:jc w:val="right"/>
              <w:textAlignment w:val="auto"/>
              <w:rPr>
                <w:rFonts w:ascii="Arial" w:hAnsi="Arial" w:cs="Arial"/>
                <w:sz w:val="20"/>
                <w:lang w:eastAsia="en-GB"/>
              </w:rPr>
            </w:pPr>
            <w:r w:rsidRPr="00E70587">
              <w:rPr>
                <w:rFonts w:ascii="Arial" w:hAnsi="Arial" w:cs="Arial"/>
                <w:b/>
                <w:sz w:val="20"/>
                <w:lang w:eastAsia="en-GB"/>
              </w:rPr>
              <w:t>(491)</w:t>
            </w:r>
          </w:p>
        </w:tc>
        <w:tc>
          <w:tcPr>
            <w:tcW w:w="732" w:type="pct"/>
            <w:tcBorders>
              <w:top w:val="single" w:sz="4" w:space="0" w:color="auto"/>
              <w:bottom w:val="double" w:sz="4" w:space="0" w:color="auto"/>
            </w:tcBorders>
          </w:tcPr>
          <w:p w14:paraId="688F0E91" w14:textId="49090ADC" w:rsidR="00DF7985" w:rsidRPr="00E70587" w:rsidRDefault="00DF7985" w:rsidP="00DF7985">
            <w:pPr>
              <w:overflowPunct/>
              <w:spacing w:line="280" w:lineRule="exact"/>
              <w:jc w:val="right"/>
              <w:textAlignment w:val="auto"/>
              <w:rPr>
                <w:rFonts w:ascii="Arial" w:hAnsi="Arial" w:cs="Arial"/>
                <w:b/>
                <w:sz w:val="20"/>
                <w:lang w:eastAsia="en-GB"/>
              </w:rPr>
            </w:pPr>
            <w:r w:rsidRPr="00E70587">
              <w:rPr>
                <w:rFonts w:ascii="Arial" w:hAnsi="Arial" w:cs="Arial"/>
                <w:b/>
                <w:sz w:val="20"/>
                <w:lang w:eastAsia="en-GB"/>
              </w:rPr>
              <w:t>(65</w:t>
            </w:r>
            <w:r w:rsidR="001B6B5C">
              <w:rPr>
                <w:rFonts w:ascii="Arial" w:hAnsi="Arial" w:cs="Arial"/>
                <w:b/>
                <w:sz w:val="20"/>
                <w:lang w:eastAsia="en-GB"/>
              </w:rPr>
              <w:t>6</w:t>
            </w:r>
            <w:r w:rsidRPr="00E70587">
              <w:rPr>
                <w:rFonts w:ascii="Arial" w:hAnsi="Arial" w:cs="Arial"/>
                <w:b/>
                <w:sz w:val="20"/>
                <w:lang w:eastAsia="en-GB"/>
              </w:rPr>
              <w:t>)</w:t>
            </w:r>
          </w:p>
        </w:tc>
      </w:tr>
    </w:tbl>
    <w:p w14:paraId="41393126" w14:textId="77777777" w:rsidR="007D6845" w:rsidRPr="00E70587" w:rsidRDefault="007D6845" w:rsidP="00950163">
      <w:pPr>
        <w:pStyle w:val="Tablecolumnheading"/>
        <w:spacing w:line="280" w:lineRule="exact"/>
        <w:jc w:val="left"/>
        <w:rPr>
          <w:rFonts w:ascii="Arial" w:hAnsi="Arial"/>
          <w:b w:val="0"/>
          <w:color w:val="auto"/>
          <w:sz w:val="20"/>
          <w:szCs w:val="20"/>
          <w:lang w:val="en-IN"/>
        </w:rPr>
      </w:pPr>
    </w:p>
    <w:p w14:paraId="4A1F63A8" w14:textId="77777777" w:rsidR="00492C64" w:rsidRPr="00E70587" w:rsidRDefault="00492C64"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Earnings per share (EPS)</w:t>
      </w:r>
    </w:p>
    <w:p w14:paraId="313F109B" w14:textId="77777777" w:rsidR="00492C64" w:rsidRPr="00E70587" w:rsidRDefault="00492C64" w:rsidP="00BB4BC9">
      <w:pPr>
        <w:pStyle w:val="Body0"/>
        <w:spacing w:after="0" w:line="280" w:lineRule="exact"/>
        <w:jc w:val="both"/>
        <w:rPr>
          <w:rFonts w:ascii="Arial" w:hAnsi="Arial"/>
          <w:color w:val="auto"/>
          <w:sz w:val="20"/>
        </w:rPr>
      </w:pPr>
    </w:p>
    <w:p w14:paraId="5B6CC55A" w14:textId="77777777" w:rsidR="00492C64" w:rsidRPr="00E70587" w:rsidRDefault="00492C64" w:rsidP="00BB4BC9">
      <w:pPr>
        <w:pStyle w:val="Body0"/>
        <w:spacing w:after="0" w:line="280" w:lineRule="exact"/>
        <w:jc w:val="both"/>
        <w:rPr>
          <w:rFonts w:ascii="Arial" w:hAnsi="Arial"/>
          <w:color w:val="auto"/>
          <w:sz w:val="20"/>
        </w:rPr>
      </w:pPr>
      <w:r w:rsidRPr="00E70587">
        <w:rPr>
          <w:rFonts w:ascii="Arial" w:hAnsi="Arial"/>
          <w:color w:val="auto"/>
          <w:sz w:val="20"/>
        </w:rPr>
        <w:t>Basic EPS amounts are calculated by dividing the profit for the year attributable to equity holders of the parent by the weighted average number of Equity shares outstanding during the year.</w:t>
      </w:r>
    </w:p>
    <w:p w14:paraId="76DBECA0" w14:textId="77777777" w:rsidR="00492C64" w:rsidRPr="00E70587" w:rsidRDefault="00492C64" w:rsidP="00BB4BC9">
      <w:pPr>
        <w:pStyle w:val="Body0"/>
        <w:spacing w:after="0" w:line="280" w:lineRule="exact"/>
        <w:jc w:val="both"/>
        <w:rPr>
          <w:rFonts w:ascii="Arial" w:hAnsi="Arial"/>
          <w:color w:val="auto"/>
          <w:sz w:val="20"/>
        </w:rPr>
      </w:pPr>
    </w:p>
    <w:p w14:paraId="6E11BBA5" w14:textId="77777777" w:rsidR="00492C64" w:rsidRPr="00E70587" w:rsidRDefault="00492C64" w:rsidP="00BB4BC9">
      <w:pPr>
        <w:pStyle w:val="Body0"/>
        <w:spacing w:after="0" w:line="280" w:lineRule="exact"/>
        <w:jc w:val="both"/>
        <w:rPr>
          <w:rFonts w:ascii="Arial" w:hAnsi="Arial"/>
          <w:color w:val="auto"/>
          <w:sz w:val="20"/>
        </w:rPr>
      </w:pPr>
      <w:r w:rsidRPr="00E70587">
        <w:rPr>
          <w:rFonts w:ascii="Arial" w:hAnsi="Arial"/>
          <w:color w:val="auto"/>
          <w:sz w:val="20"/>
        </w:rPr>
        <w:t xml:space="preserve">Diluted EPS amounts are calculated by dividing the profit attributable to equity holders of the parent (after adjusting for interest on the convertible preference shares) by the weighted average number of Equity shares outstanding during the year plus the weighted average number of Equity shares that would be issued on conversion of all the dilutive potential Equity shares into Equity shares. </w:t>
      </w:r>
    </w:p>
    <w:p w14:paraId="39589D28" w14:textId="77777777" w:rsidR="00492C64" w:rsidRPr="00E70587" w:rsidRDefault="00492C64" w:rsidP="00BB4BC9">
      <w:pPr>
        <w:pStyle w:val="Body0"/>
        <w:spacing w:after="0" w:line="280" w:lineRule="exact"/>
        <w:jc w:val="both"/>
        <w:rPr>
          <w:rFonts w:ascii="Arial" w:hAnsi="Arial"/>
          <w:color w:val="auto"/>
          <w:sz w:val="20"/>
        </w:rPr>
      </w:pPr>
    </w:p>
    <w:p w14:paraId="1791D6E2" w14:textId="77777777" w:rsidR="00492C64" w:rsidRPr="00E70587" w:rsidRDefault="00492C64" w:rsidP="00BB4BC9">
      <w:pPr>
        <w:pStyle w:val="Body0"/>
        <w:spacing w:after="0" w:line="280" w:lineRule="exact"/>
        <w:jc w:val="both"/>
        <w:rPr>
          <w:rFonts w:ascii="Arial" w:hAnsi="Arial"/>
          <w:color w:val="auto"/>
          <w:sz w:val="20"/>
        </w:rPr>
      </w:pPr>
      <w:r w:rsidRPr="00E70587">
        <w:rPr>
          <w:rFonts w:ascii="Arial" w:hAnsi="Arial"/>
          <w:color w:val="auto"/>
          <w:sz w:val="20"/>
        </w:rPr>
        <w:t>The following reflects the income and share data used in the basic and diluted EPS computations</w:t>
      </w:r>
    </w:p>
    <w:p w14:paraId="50ED5D4A" w14:textId="77777777" w:rsidR="007D6845" w:rsidRPr="00E70587" w:rsidRDefault="007D6845" w:rsidP="00492C64">
      <w:pPr>
        <w:pStyle w:val="Body0"/>
        <w:spacing w:after="0" w:line="280" w:lineRule="exact"/>
        <w:jc w:val="both"/>
        <w:rPr>
          <w:rFonts w:ascii="Arial" w:hAnsi="Arial"/>
          <w:color w:val="auto"/>
          <w:sz w:val="20"/>
        </w:rPr>
      </w:pPr>
    </w:p>
    <w:tbl>
      <w:tblPr>
        <w:tblW w:w="9576" w:type="dxa"/>
        <w:tblLayout w:type="fixed"/>
        <w:tblLook w:val="01E0" w:firstRow="1" w:lastRow="1" w:firstColumn="1" w:lastColumn="1" w:noHBand="0" w:noVBand="0"/>
      </w:tblPr>
      <w:tblGrid>
        <w:gridCol w:w="5962"/>
        <w:gridCol w:w="1807"/>
        <w:gridCol w:w="1807"/>
      </w:tblGrid>
      <w:tr w:rsidR="00F375C7" w:rsidRPr="00E70587" w14:paraId="0690C70E" w14:textId="77777777" w:rsidTr="009A5E2F">
        <w:tc>
          <w:tcPr>
            <w:tcW w:w="5940" w:type="dxa"/>
            <w:shd w:val="clear" w:color="auto" w:fill="auto"/>
          </w:tcPr>
          <w:p w14:paraId="3D20BAC5" w14:textId="77777777" w:rsidR="00F375C7" w:rsidRPr="00E70587" w:rsidRDefault="00F375C7" w:rsidP="009A5E2F">
            <w:pPr>
              <w:pStyle w:val="000Normal"/>
              <w:spacing w:before="0" w:after="0" w:line="280" w:lineRule="exact"/>
              <w:rPr>
                <w:rFonts w:ascii="Arial" w:hAnsi="Arial" w:cs="Arial"/>
                <w:sz w:val="20"/>
              </w:rPr>
            </w:pPr>
          </w:p>
        </w:tc>
        <w:tc>
          <w:tcPr>
            <w:tcW w:w="1800" w:type="dxa"/>
            <w:tcBorders>
              <w:bottom w:val="single" w:sz="4" w:space="0" w:color="auto"/>
            </w:tcBorders>
            <w:shd w:val="clear" w:color="auto" w:fill="auto"/>
            <w:vAlign w:val="bottom"/>
          </w:tcPr>
          <w:p w14:paraId="2BA9FE12" w14:textId="7AF27D0C"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7736A6" w:rsidRPr="00E70587">
              <w:rPr>
                <w:rFonts w:ascii="Arial" w:hAnsi="Arial"/>
                <w:color w:val="auto"/>
                <w:sz w:val="20"/>
                <w:szCs w:val="20"/>
                <w:lang w:val="en-IN"/>
              </w:rPr>
              <w:t>20</w:t>
            </w:r>
            <w:r w:rsidR="007736A6">
              <w:rPr>
                <w:rFonts w:ascii="Arial" w:hAnsi="Arial"/>
                <w:color w:val="auto"/>
                <w:sz w:val="20"/>
                <w:szCs w:val="20"/>
                <w:lang w:val="en-IN"/>
              </w:rPr>
              <w:t>21</w:t>
            </w:r>
          </w:p>
        </w:tc>
        <w:tc>
          <w:tcPr>
            <w:tcW w:w="1800" w:type="dxa"/>
            <w:tcBorders>
              <w:bottom w:val="single" w:sz="4" w:space="0" w:color="auto"/>
            </w:tcBorders>
            <w:shd w:val="clear" w:color="auto" w:fill="auto"/>
            <w:vAlign w:val="bottom"/>
          </w:tcPr>
          <w:p w14:paraId="3384BE99" w14:textId="43B4417A"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7736A6" w:rsidRPr="00E70587">
              <w:rPr>
                <w:rFonts w:ascii="Arial" w:hAnsi="Arial"/>
                <w:color w:val="auto"/>
                <w:sz w:val="20"/>
                <w:szCs w:val="20"/>
                <w:lang w:val="en-IN"/>
              </w:rPr>
              <w:t>20</w:t>
            </w:r>
            <w:r w:rsidR="007736A6">
              <w:rPr>
                <w:rFonts w:ascii="Arial" w:hAnsi="Arial"/>
                <w:color w:val="auto"/>
                <w:sz w:val="20"/>
                <w:szCs w:val="20"/>
                <w:lang w:val="en-IN"/>
              </w:rPr>
              <w:t>20</w:t>
            </w:r>
          </w:p>
        </w:tc>
      </w:tr>
      <w:tr w:rsidR="00F375C7" w:rsidRPr="00E70587" w14:paraId="0F4AF582" w14:textId="77777777" w:rsidTr="009A5E2F">
        <w:tc>
          <w:tcPr>
            <w:tcW w:w="5940" w:type="dxa"/>
          </w:tcPr>
          <w:p w14:paraId="7B3124E5" w14:textId="77777777" w:rsidR="00F375C7" w:rsidRPr="00E70587" w:rsidRDefault="00F375C7" w:rsidP="009A5E2F">
            <w:pPr>
              <w:pStyle w:val="000Normal"/>
              <w:spacing w:before="0" w:after="0" w:line="280" w:lineRule="exact"/>
              <w:jc w:val="right"/>
              <w:rPr>
                <w:rFonts w:ascii="Arial" w:hAnsi="Arial" w:cs="Arial"/>
                <w:b/>
                <w:sz w:val="20"/>
              </w:rPr>
            </w:pPr>
          </w:p>
        </w:tc>
        <w:tc>
          <w:tcPr>
            <w:tcW w:w="1800" w:type="dxa"/>
            <w:tcBorders>
              <w:top w:val="single" w:sz="4" w:space="0" w:color="auto"/>
            </w:tcBorders>
          </w:tcPr>
          <w:p w14:paraId="276169F7" w14:textId="77777777"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00" w:type="dxa"/>
            <w:tcBorders>
              <w:top w:val="single" w:sz="4" w:space="0" w:color="auto"/>
            </w:tcBorders>
          </w:tcPr>
          <w:p w14:paraId="5F2AFD79" w14:textId="77777777" w:rsidR="00F375C7" w:rsidRPr="00E70587" w:rsidRDefault="00F375C7" w:rsidP="00092B6D">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r>
      <w:tr w:rsidR="00F375C7" w:rsidRPr="00E70587" w14:paraId="2422C888" w14:textId="77777777" w:rsidTr="009A5E2F">
        <w:tc>
          <w:tcPr>
            <w:tcW w:w="5940" w:type="dxa"/>
            <w:tcMar>
              <w:top w:w="28" w:type="dxa"/>
            </w:tcMar>
          </w:tcPr>
          <w:p w14:paraId="49B93AF1"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Profit attributable to equity holders of the parent: </w:t>
            </w:r>
          </w:p>
        </w:tc>
        <w:tc>
          <w:tcPr>
            <w:tcW w:w="1800" w:type="dxa"/>
            <w:tcMar>
              <w:top w:w="28" w:type="dxa"/>
            </w:tcMar>
            <w:vAlign w:val="bottom"/>
          </w:tcPr>
          <w:p w14:paraId="62170AA9" w14:textId="77777777" w:rsidR="00F375C7" w:rsidRPr="00E70587" w:rsidRDefault="00F375C7" w:rsidP="009A5E2F">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800" w:type="dxa"/>
            <w:tcMar>
              <w:top w:w="28" w:type="dxa"/>
            </w:tcMar>
            <w:vAlign w:val="bottom"/>
          </w:tcPr>
          <w:p w14:paraId="2900F0CE"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p>
        </w:tc>
      </w:tr>
      <w:tr w:rsidR="00F375C7" w:rsidRPr="00E70587" w14:paraId="3508F5A3" w14:textId="77777777" w:rsidTr="009A5E2F">
        <w:tc>
          <w:tcPr>
            <w:tcW w:w="5940" w:type="dxa"/>
            <w:tcMar>
              <w:top w:w="28" w:type="dxa"/>
            </w:tcMar>
          </w:tcPr>
          <w:p w14:paraId="6573DE00" w14:textId="77777777" w:rsidR="00F375C7" w:rsidRPr="00E70587" w:rsidRDefault="00F375C7" w:rsidP="009A5E2F">
            <w:pPr>
              <w:pStyle w:val="tabletext"/>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Continuing operations</w:t>
            </w:r>
          </w:p>
        </w:tc>
        <w:tc>
          <w:tcPr>
            <w:tcW w:w="1800" w:type="dxa"/>
            <w:tcMar>
              <w:top w:w="28" w:type="dxa"/>
            </w:tcMar>
          </w:tcPr>
          <w:p w14:paraId="2918829D" w14:textId="7540B292" w:rsidR="00F375C7" w:rsidRPr="00E70587" w:rsidRDefault="00F375C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13,</w:t>
            </w:r>
            <w:r w:rsidR="00BA28E4">
              <w:rPr>
                <w:rFonts w:ascii="Arial" w:hAnsi="Arial" w:cs="Arial"/>
                <w:sz w:val="20"/>
                <w:lang w:eastAsia="en-GB"/>
              </w:rPr>
              <w:t>875</w:t>
            </w:r>
            <w:r w:rsidR="00BA28E4" w:rsidRPr="00E70587">
              <w:rPr>
                <w:rFonts w:ascii="Arial" w:hAnsi="Arial" w:cs="Arial"/>
                <w:sz w:val="20"/>
                <w:lang w:eastAsia="en-GB"/>
              </w:rPr>
              <w:t xml:space="preserve"> </w:t>
            </w:r>
          </w:p>
        </w:tc>
        <w:tc>
          <w:tcPr>
            <w:tcW w:w="1800" w:type="dxa"/>
            <w:tcMar>
              <w:top w:w="28" w:type="dxa"/>
            </w:tcMar>
          </w:tcPr>
          <w:p w14:paraId="2C5787FE" w14:textId="412D6B95" w:rsidR="00F375C7" w:rsidRPr="00E70587" w:rsidRDefault="00F375C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1</w:t>
            </w:r>
            <w:r w:rsidR="00FB6603">
              <w:rPr>
                <w:rFonts w:ascii="Arial" w:hAnsi="Arial" w:cs="Arial"/>
                <w:sz w:val="20"/>
                <w:lang w:eastAsia="en-GB"/>
              </w:rPr>
              <w:t>0,</w:t>
            </w:r>
            <w:r w:rsidR="0015613D">
              <w:rPr>
                <w:rFonts w:ascii="Arial" w:hAnsi="Arial" w:cs="Arial"/>
                <w:sz w:val="20"/>
                <w:lang w:eastAsia="en-GB"/>
              </w:rPr>
              <w:t>200</w:t>
            </w:r>
            <w:r w:rsidR="0015613D" w:rsidRPr="00E70587">
              <w:rPr>
                <w:rFonts w:ascii="Arial" w:hAnsi="Arial" w:cs="Arial"/>
                <w:sz w:val="20"/>
                <w:lang w:eastAsia="en-GB"/>
              </w:rPr>
              <w:t xml:space="preserve"> </w:t>
            </w:r>
          </w:p>
        </w:tc>
      </w:tr>
      <w:tr w:rsidR="00F375C7" w:rsidRPr="00E70587" w14:paraId="1FC8F9F5" w14:textId="77777777" w:rsidTr="009A5E2F">
        <w:tc>
          <w:tcPr>
            <w:tcW w:w="5940" w:type="dxa"/>
            <w:tcMar>
              <w:top w:w="28" w:type="dxa"/>
            </w:tcMar>
          </w:tcPr>
          <w:p w14:paraId="33C44A4E" w14:textId="77777777" w:rsidR="00F375C7" w:rsidRPr="00E70587" w:rsidRDefault="00F375C7" w:rsidP="009A5E2F">
            <w:pPr>
              <w:pStyle w:val="tabletext"/>
              <w:overflowPunct w:val="0"/>
              <w:autoSpaceDE w:val="0"/>
              <w:autoSpaceDN w:val="0"/>
              <w:adjustRightInd w:val="0"/>
              <w:spacing w:line="280" w:lineRule="exact"/>
              <w:ind w:left="284"/>
              <w:textAlignment w:val="baseline"/>
              <w:rPr>
                <w:rFonts w:ascii="Arial" w:hAnsi="Arial" w:cs="Arial"/>
                <w:sz w:val="20"/>
                <w:lang w:val="en-IN"/>
              </w:rPr>
            </w:pPr>
            <w:r w:rsidRPr="00E70587">
              <w:rPr>
                <w:rFonts w:ascii="Arial" w:hAnsi="Arial" w:cs="Arial"/>
                <w:sz w:val="20"/>
                <w:lang w:val="en-IN"/>
              </w:rPr>
              <w:t>Discontinued operation</w:t>
            </w:r>
          </w:p>
        </w:tc>
        <w:tc>
          <w:tcPr>
            <w:tcW w:w="1800" w:type="dxa"/>
            <w:tcBorders>
              <w:bottom w:val="single" w:sz="4" w:space="0" w:color="auto"/>
            </w:tcBorders>
            <w:tcMar>
              <w:top w:w="28" w:type="dxa"/>
            </w:tcMar>
          </w:tcPr>
          <w:p w14:paraId="0C634EE2" w14:textId="77777777" w:rsidR="00F375C7" w:rsidRPr="00E70587" w:rsidRDefault="00F375C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396 </w:t>
            </w:r>
          </w:p>
        </w:tc>
        <w:tc>
          <w:tcPr>
            <w:tcW w:w="1800" w:type="dxa"/>
            <w:tcBorders>
              <w:bottom w:val="single" w:sz="4" w:space="0" w:color="auto"/>
            </w:tcBorders>
            <w:tcMar>
              <w:top w:w="28" w:type="dxa"/>
              <w:right w:w="0" w:type="dxa"/>
            </w:tcMar>
          </w:tcPr>
          <w:p w14:paraId="58D5DE96" w14:textId="77777777" w:rsidR="00F375C7" w:rsidRPr="00E70587" w:rsidRDefault="00F375C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(338) </w:t>
            </w:r>
          </w:p>
        </w:tc>
      </w:tr>
      <w:tr w:rsidR="00F375C7" w:rsidRPr="00E70587" w14:paraId="3C1CAC53" w14:textId="77777777" w:rsidTr="009A5E2F">
        <w:tc>
          <w:tcPr>
            <w:tcW w:w="5940" w:type="dxa"/>
            <w:tcMar>
              <w:top w:w="28" w:type="dxa"/>
            </w:tcMar>
          </w:tcPr>
          <w:p w14:paraId="7C2A0132"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Profit attributable to equity holders of the parent for basic earnings</w:t>
            </w:r>
          </w:p>
        </w:tc>
        <w:tc>
          <w:tcPr>
            <w:tcW w:w="1800" w:type="dxa"/>
            <w:tcBorders>
              <w:top w:val="single" w:sz="4" w:space="0" w:color="auto"/>
            </w:tcBorders>
            <w:tcMar>
              <w:top w:w="28" w:type="dxa"/>
            </w:tcMar>
          </w:tcPr>
          <w:p w14:paraId="727CC928" w14:textId="06851D15" w:rsidR="00F375C7" w:rsidRPr="00E70587" w:rsidRDefault="00F375C7" w:rsidP="009A5E2F">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14,</w:t>
            </w:r>
            <w:r w:rsidR="00BA28E4" w:rsidRPr="00E70587">
              <w:rPr>
                <w:rFonts w:ascii="Arial" w:hAnsi="Arial" w:cs="Arial"/>
                <w:b/>
                <w:bCs/>
                <w:sz w:val="20"/>
                <w:lang w:eastAsia="en-GB"/>
              </w:rPr>
              <w:t>2</w:t>
            </w:r>
            <w:r w:rsidR="00BA28E4">
              <w:rPr>
                <w:rFonts w:ascii="Arial" w:hAnsi="Arial" w:cs="Arial"/>
                <w:b/>
                <w:bCs/>
                <w:sz w:val="20"/>
                <w:lang w:eastAsia="en-GB"/>
              </w:rPr>
              <w:t>71</w:t>
            </w:r>
            <w:r w:rsidR="00BA28E4" w:rsidRPr="00E70587">
              <w:rPr>
                <w:rFonts w:ascii="Arial" w:hAnsi="Arial" w:cs="Arial"/>
                <w:b/>
                <w:bCs/>
                <w:sz w:val="20"/>
                <w:lang w:eastAsia="en-GB"/>
              </w:rPr>
              <w:t xml:space="preserve"> </w:t>
            </w:r>
          </w:p>
        </w:tc>
        <w:tc>
          <w:tcPr>
            <w:tcW w:w="1800" w:type="dxa"/>
            <w:tcBorders>
              <w:top w:val="single" w:sz="4" w:space="0" w:color="auto"/>
            </w:tcBorders>
            <w:tcMar>
              <w:top w:w="28" w:type="dxa"/>
            </w:tcMar>
          </w:tcPr>
          <w:p w14:paraId="383DF63F" w14:textId="67408D80" w:rsidR="00F375C7" w:rsidRPr="00E70587" w:rsidRDefault="00912F87" w:rsidP="009A5E2F">
            <w:pPr>
              <w:overflowPunct/>
              <w:spacing w:line="280" w:lineRule="exact"/>
              <w:jc w:val="right"/>
              <w:textAlignment w:val="auto"/>
              <w:rPr>
                <w:rFonts w:ascii="Arial" w:hAnsi="Arial" w:cs="Arial"/>
                <w:b/>
                <w:bCs/>
                <w:sz w:val="20"/>
                <w:lang w:eastAsia="en-GB"/>
              </w:rPr>
            </w:pPr>
            <w:r>
              <w:rPr>
                <w:rFonts w:ascii="Arial" w:hAnsi="Arial" w:cs="Arial"/>
                <w:b/>
                <w:bCs/>
                <w:sz w:val="20"/>
                <w:lang w:eastAsia="en-GB"/>
              </w:rPr>
              <w:t>9</w:t>
            </w:r>
            <w:r w:rsidR="00FB6603">
              <w:rPr>
                <w:rFonts w:ascii="Arial" w:hAnsi="Arial" w:cs="Arial"/>
                <w:b/>
                <w:bCs/>
                <w:sz w:val="20"/>
                <w:lang w:eastAsia="en-GB"/>
              </w:rPr>
              <w:t>,</w:t>
            </w:r>
            <w:r>
              <w:rPr>
                <w:rFonts w:ascii="Arial" w:hAnsi="Arial" w:cs="Arial"/>
                <w:b/>
                <w:bCs/>
                <w:sz w:val="20"/>
                <w:lang w:eastAsia="en-GB"/>
              </w:rPr>
              <w:t>862</w:t>
            </w:r>
            <w:r w:rsidRPr="00E70587">
              <w:rPr>
                <w:rFonts w:ascii="Arial" w:hAnsi="Arial" w:cs="Arial"/>
                <w:b/>
                <w:bCs/>
                <w:sz w:val="20"/>
                <w:lang w:eastAsia="en-GB"/>
              </w:rPr>
              <w:t xml:space="preserve"> </w:t>
            </w:r>
          </w:p>
        </w:tc>
      </w:tr>
      <w:tr w:rsidR="00F375C7" w:rsidRPr="00E70587" w14:paraId="5E054642" w14:textId="77777777" w:rsidTr="009A5E2F">
        <w:tc>
          <w:tcPr>
            <w:tcW w:w="5940" w:type="dxa"/>
            <w:tcMar>
              <w:top w:w="28" w:type="dxa"/>
            </w:tcMar>
          </w:tcPr>
          <w:p w14:paraId="330BB309"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Interest on convertible preference shares</w:t>
            </w:r>
          </w:p>
        </w:tc>
        <w:tc>
          <w:tcPr>
            <w:tcW w:w="1800" w:type="dxa"/>
            <w:tcBorders>
              <w:bottom w:val="single" w:sz="4" w:space="0" w:color="auto"/>
            </w:tcBorders>
            <w:tcMar>
              <w:top w:w="28" w:type="dxa"/>
            </w:tcMar>
          </w:tcPr>
          <w:p w14:paraId="62E033AA" w14:textId="77777777" w:rsidR="00F375C7" w:rsidRPr="00E70587" w:rsidRDefault="00F375C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444 </w:t>
            </w:r>
          </w:p>
        </w:tc>
        <w:tc>
          <w:tcPr>
            <w:tcW w:w="1800" w:type="dxa"/>
            <w:tcBorders>
              <w:bottom w:val="single" w:sz="4" w:space="0" w:color="auto"/>
            </w:tcBorders>
            <w:tcMar>
              <w:top w:w="28" w:type="dxa"/>
            </w:tcMar>
          </w:tcPr>
          <w:p w14:paraId="4E2AE0F7" w14:textId="77777777" w:rsidR="00F375C7" w:rsidRPr="00E70587" w:rsidRDefault="00F375C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428 </w:t>
            </w:r>
          </w:p>
        </w:tc>
      </w:tr>
      <w:tr w:rsidR="00F375C7" w:rsidRPr="00E70587" w14:paraId="2A82E7B3" w14:textId="77777777" w:rsidTr="009A5E2F">
        <w:tc>
          <w:tcPr>
            <w:tcW w:w="5940" w:type="dxa"/>
            <w:tcMar>
              <w:top w:w="28" w:type="dxa"/>
            </w:tcMar>
          </w:tcPr>
          <w:p w14:paraId="0B654CB6"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Profit attributable to equity holders of the parent adjusted for the effect of dilution</w:t>
            </w:r>
          </w:p>
        </w:tc>
        <w:tc>
          <w:tcPr>
            <w:tcW w:w="1800" w:type="dxa"/>
            <w:tcBorders>
              <w:top w:val="single" w:sz="4" w:space="0" w:color="auto"/>
              <w:bottom w:val="double" w:sz="4" w:space="0" w:color="auto"/>
            </w:tcBorders>
            <w:tcMar>
              <w:top w:w="28" w:type="dxa"/>
            </w:tcMar>
          </w:tcPr>
          <w:p w14:paraId="483CA9D3" w14:textId="328147A2" w:rsidR="00F375C7" w:rsidRPr="00E70587" w:rsidRDefault="00F375C7" w:rsidP="009A5E2F">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14,</w:t>
            </w:r>
            <w:r w:rsidR="00BA28E4" w:rsidRPr="00E70587">
              <w:rPr>
                <w:rFonts w:ascii="Arial" w:hAnsi="Arial" w:cs="Arial"/>
                <w:b/>
                <w:bCs/>
                <w:sz w:val="20"/>
                <w:lang w:eastAsia="en-GB"/>
              </w:rPr>
              <w:t>7</w:t>
            </w:r>
            <w:r w:rsidR="00BA28E4">
              <w:rPr>
                <w:rFonts w:ascii="Arial" w:hAnsi="Arial" w:cs="Arial"/>
                <w:b/>
                <w:bCs/>
                <w:sz w:val="20"/>
                <w:lang w:eastAsia="en-GB"/>
              </w:rPr>
              <w:t>15</w:t>
            </w:r>
            <w:r w:rsidR="00BA28E4" w:rsidRPr="00E70587">
              <w:rPr>
                <w:rFonts w:ascii="Arial" w:hAnsi="Arial" w:cs="Arial"/>
                <w:b/>
                <w:bCs/>
                <w:sz w:val="20"/>
                <w:lang w:eastAsia="en-GB"/>
              </w:rPr>
              <w:t xml:space="preserve"> </w:t>
            </w:r>
          </w:p>
        </w:tc>
        <w:tc>
          <w:tcPr>
            <w:tcW w:w="1800" w:type="dxa"/>
            <w:tcBorders>
              <w:top w:val="single" w:sz="4" w:space="0" w:color="auto"/>
              <w:bottom w:val="double" w:sz="4" w:space="0" w:color="auto"/>
            </w:tcBorders>
            <w:tcMar>
              <w:top w:w="28" w:type="dxa"/>
            </w:tcMar>
          </w:tcPr>
          <w:p w14:paraId="5A4BD6F9" w14:textId="0C91D400" w:rsidR="00F375C7" w:rsidRPr="00E70587" w:rsidRDefault="00F375C7" w:rsidP="009A5E2F">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w:t>
            </w:r>
            <w:r w:rsidR="00FB6603">
              <w:rPr>
                <w:rFonts w:ascii="Arial" w:hAnsi="Arial" w:cs="Arial"/>
                <w:b/>
                <w:bCs/>
                <w:sz w:val="20"/>
                <w:lang w:eastAsia="en-GB"/>
              </w:rPr>
              <w:t>0,</w:t>
            </w:r>
            <w:r w:rsidR="00D24802">
              <w:rPr>
                <w:rFonts w:ascii="Arial" w:hAnsi="Arial" w:cs="Arial"/>
                <w:b/>
                <w:bCs/>
                <w:sz w:val="20"/>
                <w:lang w:eastAsia="en-GB"/>
              </w:rPr>
              <w:t>290</w:t>
            </w:r>
            <w:r w:rsidR="00D24802" w:rsidRPr="00E70587">
              <w:rPr>
                <w:rFonts w:ascii="Arial" w:hAnsi="Arial" w:cs="Arial"/>
                <w:b/>
                <w:bCs/>
                <w:sz w:val="20"/>
                <w:lang w:eastAsia="en-GB"/>
              </w:rPr>
              <w:t xml:space="preserve"> </w:t>
            </w:r>
          </w:p>
        </w:tc>
      </w:tr>
    </w:tbl>
    <w:p w14:paraId="7AFF7E50" w14:textId="77777777" w:rsidR="00D91EC3" w:rsidRPr="00E70587" w:rsidRDefault="00D91EC3" w:rsidP="009901E1">
      <w:pPr>
        <w:pStyle w:val="Notesbodytext"/>
        <w:spacing w:after="0" w:line="280" w:lineRule="exact"/>
        <w:rPr>
          <w:rFonts w:ascii="Arial" w:hAnsi="Arial"/>
          <w:b/>
          <w:color w:val="auto"/>
          <w:sz w:val="20"/>
        </w:rPr>
      </w:pPr>
    </w:p>
    <w:tbl>
      <w:tblPr>
        <w:tblW w:w="9576" w:type="dxa"/>
        <w:tblLayout w:type="fixed"/>
        <w:tblLook w:val="01E0" w:firstRow="1" w:lastRow="1" w:firstColumn="1" w:lastColumn="1" w:noHBand="0" w:noVBand="0"/>
      </w:tblPr>
      <w:tblGrid>
        <w:gridCol w:w="5962"/>
        <w:gridCol w:w="1807"/>
        <w:gridCol w:w="1807"/>
      </w:tblGrid>
      <w:tr w:rsidR="00F375C7" w:rsidRPr="00E70587" w14:paraId="35E12601" w14:textId="77777777" w:rsidTr="009A5E2F">
        <w:tc>
          <w:tcPr>
            <w:tcW w:w="5940" w:type="dxa"/>
            <w:tcMar>
              <w:top w:w="28" w:type="dxa"/>
            </w:tcMar>
          </w:tcPr>
          <w:p w14:paraId="369DBD6C"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Weighted average number of Equity shares for basic EPS*</w:t>
            </w:r>
          </w:p>
        </w:tc>
        <w:tc>
          <w:tcPr>
            <w:tcW w:w="1800" w:type="dxa"/>
            <w:tcMar>
              <w:top w:w="28" w:type="dxa"/>
            </w:tcMar>
          </w:tcPr>
          <w:p w14:paraId="5C78A389" w14:textId="77777777" w:rsidR="00F375C7" w:rsidRPr="00E70587" w:rsidRDefault="00F375C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38,335 </w:t>
            </w:r>
          </w:p>
        </w:tc>
        <w:tc>
          <w:tcPr>
            <w:tcW w:w="1800" w:type="dxa"/>
            <w:tcMar>
              <w:top w:w="28" w:type="dxa"/>
            </w:tcMar>
          </w:tcPr>
          <w:p w14:paraId="1B26ADAA" w14:textId="77777777" w:rsidR="00F375C7" w:rsidRPr="00E70587" w:rsidRDefault="00F375C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35,215 </w:t>
            </w:r>
          </w:p>
        </w:tc>
      </w:tr>
      <w:tr w:rsidR="00F375C7" w:rsidRPr="00E70587" w14:paraId="26713E23" w14:textId="77777777" w:rsidTr="009A5E2F">
        <w:tc>
          <w:tcPr>
            <w:tcW w:w="5940" w:type="dxa"/>
            <w:tcMar>
              <w:top w:w="28" w:type="dxa"/>
            </w:tcMar>
          </w:tcPr>
          <w:p w14:paraId="197BC6A3"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lastRenderedPageBreak/>
              <w:t>Effect of dilution:</w:t>
            </w:r>
          </w:p>
        </w:tc>
        <w:tc>
          <w:tcPr>
            <w:tcW w:w="1800" w:type="dxa"/>
            <w:tcMar>
              <w:top w:w="28" w:type="dxa"/>
            </w:tcMar>
          </w:tcPr>
          <w:p w14:paraId="3C801FA0" w14:textId="77777777" w:rsidR="00F375C7" w:rsidRPr="00E70587" w:rsidRDefault="00F375C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1800" w:type="dxa"/>
            <w:tcMar>
              <w:top w:w="28" w:type="dxa"/>
            </w:tcMar>
          </w:tcPr>
          <w:p w14:paraId="1A4A10BF" w14:textId="77777777" w:rsidR="00F375C7" w:rsidRPr="00E70587" w:rsidRDefault="00F375C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r>
      <w:tr w:rsidR="00F375C7" w:rsidRPr="00E70587" w14:paraId="768AEA6F" w14:textId="77777777" w:rsidTr="009A5E2F">
        <w:tc>
          <w:tcPr>
            <w:tcW w:w="5940" w:type="dxa"/>
            <w:tcMar>
              <w:top w:w="28" w:type="dxa"/>
            </w:tcMar>
          </w:tcPr>
          <w:p w14:paraId="61699AE1" w14:textId="77777777" w:rsidR="00F375C7" w:rsidRPr="00E70587" w:rsidRDefault="00F375C7" w:rsidP="009A5E2F">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Share options</w:t>
            </w:r>
          </w:p>
        </w:tc>
        <w:tc>
          <w:tcPr>
            <w:tcW w:w="1800" w:type="dxa"/>
            <w:tcMar>
              <w:top w:w="28" w:type="dxa"/>
            </w:tcMar>
          </w:tcPr>
          <w:p w14:paraId="2B67A599" w14:textId="77777777" w:rsidR="00F375C7" w:rsidRPr="00E70587" w:rsidRDefault="00F375C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202 </w:t>
            </w:r>
          </w:p>
        </w:tc>
        <w:tc>
          <w:tcPr>
            <w:tcW w:w="1800" w:type="dxa"/>
            <w:tcMar>
              <w:top w:w="28" w:type="dxa"/>
            </w:tcMar>
          </w:tcPr>
          <w:p w14:paraId="42489BB9" w14:textId="77777777" w:rsidR="00F375C7" w:rsidRPr="00E70587" w:rsidRDefault="00F375C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319 </w:t>
            </w:r>
          </w:p>
        </w:tc>
      </w:tr>
      <w:tr w:rsidR="00F375C7" w:rsidRPr="00E70587" w14:paraId="7314BB9A" w14:textId="77777777" w:rsidTr="009A5E2F">
        <w:tc>
          <w:tcPr>
            <w:tcW w:w="5940" w:type="dxa"/>
            <w:tcMar>
              <w:top w:w="28" w:type="dxa"/>
            </w:tcMar>
          </w:tcPr>
          <w:p w14:paraId="4A50A98C" w14:textId="77777777" w:rsidR="00F375C7" w:rsidRPr="00E70587" w:rsidRDefault="00F375C7" w:rsidP="009A5E2F">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Convertible preference shares</w:t>
            </w:r>
          </w:p>
        </w:tc>
        <w:tc>
          <w:tcPr>
            <w:tcW w:w="1800" w:type="dxa"/>
            <w:tcBorders>
              <w:bottom w:val="single" w:sz="4" w:space="0" w:color="auto"/>
            </w:tcBorders>
            <w:tcMar>
              <w:top w:w="28" w:type="dxa"/>
            </w:tcMar>
          </w:tcPr>
          <w:p w14:paraId="13853834" w14:textId="77777777" w:rsidR="00F375C7" w:rsidRPr="00E70587" w:rsidRDefault="00F375C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1,499 </w:t>
            </w:r>
          </w:p>
        </w:tc>
        <w:tc>
          <w:tcPr>
            <w:tcW w:w="1800" w:type="dxa"/>
            <w:tcBorders>
              <w:bottom w:val="single" w:sz="4" w:space="0" w:color="auto"/>
            </w:tcBorders>
            <w:tcMar>
              <w:top w:w="28" w:type="dxa"/>
            </w:tcMar>
          </w:tcPr>
          <w:p w14:paraId="78C9DC48" w14:textId="77777777" w:rsidR="00F375C7" w:rsidRPr="00E70587" w:rsidRDefault="00F375C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1,499 </w:t>
            </w:r>
          </w:p>
        </w:tc>
      </w:tr>
      <w:tr w:rsidR="00F375C7" w:rsidRPr="00E70587" w14:paraId="44ACB1AD" w14:textId="77777777" w:rsidTr="009A5E2F">
        <w:tc>
          <w:tcPr>
            <w:tcW w:w="5940" w:type="dxa"/>
            <w:tcMar>
              <w:top w:w="28" w:type="dxa"/>
            </w:tcMar>
          </w:tcPr>
          <w:p w14:paraId="7D6DF01D"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Weighted average number of Equity shares adjusted for the effect of dilution *</w:t>
            </w:r>
          </w:p>
        </w:tc>
        <w:tc>
          <w:tcPr>
            <w:tcW w:w="1800" w:type="dxa"/>
            <w:tcBorders>
              <w:top w:val="single" w:sz="4" w:space="0" w:color="auto"/>
              <w:bottom w:val="double" w:sz="4" w:space="0" w:color="auto"/>
            </w:tcBorders>
            <w:tcMar>
              <w:top w:w="28" w:type="dxa"/>
            </w:tcMar>
          </w:tcPr>
          <w:p w14:paraId="7DA17B66" w14:textId="77777777" w:rsidR="00F375C7" w:rsidRPr="00E70587" w:rsidRDefault="00F375C7" w:rsidP="009A5E2F">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40,036 </w:t>
            </w:r>
          </w:p>
        </w:tc>
        <w:tc>
          <w:tcPr>
            <w:tcW w:w="1800" w:type="dxa"/>
            <w:tcBorders>
              <w:top w:val="single" w:sz="4" w:space="0" w:color="auto"/>
              <w:bottom w:val="double" w:sz="4" w:space="0" w:color="auto"/>
            </w:tcBorders>
            <w:tcMar>
              <w:top w:w="28" w:type="dxa"/>
            </w:tcMar>
          </w:tcPr>
          <w:p w14:paraId="3707E36E" w14:textId="77777777" w:rsidR="00F375C7" w:rsidRPr="00E70587" w:rsidRDefault="00F375C7" w:rsidP="009A5E2F">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37,033 </w:t>
            </w:r>
          </w:p>
        </w:tc>
      </w:tr>
    </w:tbl>
    <w:p w14:paraId="302914F6" w14:textId="77777777" w:rsidR="006D71FF" w:rsidRPr="00E70587" w:rsidRDefault="006D71FF" w:rsidP="009901E1">
      <w:pPr>
        <w:pStyle w:val="Notesbodytext"/>
        <w:spacing w:after="0" w:line="280" w:lineRule="exact"/>
        <w:rPr>
          <w:rFonts w:ascii="Arial" w:hAnsi="Arial"/>
          <w:color w:val="auto"/>
          <w:sz w:val="20"/>
        </w:rPr>
      </w:pPr>
    </w:p>
    <w:tbl>
      <w:tblPr>
        <w:tblW w:w="9566" w:type="dxa"/>
        <w:tblLook w:val="0000" w:firstRow="0" w:lastRow="0" w:firstColumn="0" w:lastColumn="0" w:noHBand="0" w:noVBand="0"/>
      </w:tblPr>
      <w:tblGrid>
        <w:gridCol w:w="9566"/>
      </w:tblGrid>
      <w:tr w:rsidR="00F375C7" w:rsidRPr="00E70587" w14:paraId="37777EBC" w14:textId="77777777" w:rsidTr="009A5E2F">
        <w:tc>
          <w:tcPr>
            <w:tcW w:w="0" w:type="auto"/>
          </w:tcPr>
          <w:p w14:paraId="3315F669" w14:textId="77777777" w:rsidR="00F375C7" w:rsidRPr="00E70587" w:rsidRDefault="00F375C7" w:rsidP="00492C64">
            <w:pPr>
              <w:pStyle w:val="Notesbodytext"/>
              <w:spacing w:after="0" w:line="280" w:lineRule="exact"/>
              <w:ind w:left="-18"/>
              <w:jc w:val="both"/>
              <w:rPr>
                <w:rFonts w:ascii="Arial" w:hAnsi="Arial"/>
                <w:color w:val="auto"/>
                <w:sz w:val="20"/>
              </w:rPr>
            </w:pPr>
            <w:r w:rsidRPr="00E70587">
              <w:rPr>
                <w:rFonts w:ascii="Arial" w:hAnsi="Arial"/>
                <w:color w:val="auto"/>
                <w:sz w:val="20"/>
              </w:rPr>
              <w:t>* The weighted average number of shares takes into account the weighted average effect of changes in</w:t>
            </w:r>
            <w:r w:rsidR="00492C64" w:rsidRPr="00E70587">
              <w:rPr>
                <w:rFonts w:ascii="Arial" w:hAnsi="Arial"/>
                <w:color w:val="auto"/>
                <w:sz w:val="20"/>
              </w:rPr>
              <w:t xml:space="preserve"> </w:t>
            </w:r>
            <w:r w:rsidRPr="00E70587">
              <w:rPr>
                <w:rFonts w:ascii="Arial" w:hAnsi="Arial"/>
                <w:color w:val="auto"/>
                <w:sz w:val="20"/>
              </w:rPr>
              <w:t>treasury share transactions during the year. There have been no other transactions involving Equity shares or potential Equity shares between the reporting date and the date of authorisation of these financial statements.</w:t>
            </w:r>
          </w:p>
          <w:p w14:paraId="6C9AFA33" w14:textId="77777777" w:rsidR="00492C64" w:rsidRPr="00E70587" w:rsidRDefault="00492C64" w:rsidP="00492C64">
            <w:pPr>
              <w:pStyle w:val="Notesbodytext"/>
              <w:spacing w:after="0" w:line="280" w:lineRule="exact"/>
              <w:ind w:left="-18"/>
              <w:jc w:val="both"/>
              <w:rPr>
                <w:rFonts w:ascii="Arial" w:hAnsi="Arial"/>
                <w:color w:val="auto"/>
                <w:sz w:val="20"/>
              </w:rPr>
            </w:pPr>
          </w:p>
          <w:p w14:paraId="107D717D" w14:textId="77777777" w:rsidR="00492C64" w:rsidRPr="00E70587" w:rsidRDefault="00F375C7" w:rsidP="00492C64">
            <w:pPr>
              <w:pStyle w:val="IAStext"/>
              <w:overflowPunct w:val="0"/>
              <w:autoSpaceDE w:val="0"/>
              <w:autoSpaceDN w:val="0"/>
              <w:adjustRightInd w:val="0"/>
              <w:spacing w:line="280" w:lineRule="exact"/>
              <w:ind w:left="-18"/>
              <w:jc w:val="both"/>
              <w:textAlignment w:val="baseline"/>
              <w:rPr>
                <w:rFonts w:ascii="Arial" w:hAnsi="Arial"/>
                <w:lang w:val="en-IN"/>
              </w:rPr>
            </w:pPr>
            <w:r w:rsidRPr="00E70587">
              <w:rPr>
                <w:rFonts w:ascii="Arial" w:hAnsi="Arial" w:cs="Arial"/>
                <w:i w:val="0"/>
                <w:sz w:val="20"/>
                <w:lang w:val="en-IN"/>
              </w:rPr>
              <w:t>To calculate the EPS for discontinued operation, the weighted average number of Equity shares for both the basic and diluted EPS is as per the table above. The following table provides the profit/(loss) amount used:</w:t>
            </w:r>
          </w:p>
        </w:tc>
      </w:tr>
    </w:tbl>
    <w:p w14:paraId="7E45C038" w14:textId="77777777" w:rsidR="00D91EC3" w:rsidRPr="00E70587" w:rsidRDefault="00D91EC3" w:rsidP="009901E1">
      <w:pPr>
        <w:pStyle w:val="IAStext"/>
        <w:overflowPunct w:val="0"/>
        <w:autoSpaceDE w:val="0"/>
        <w:autoSpaceDN w:val="0"/>
        <w:adjustRightInd w:val="0"/>
        <w:spacing w:line="280" w:lineRule="exact"/>
        <w:textAlignment w:val="baseline"/>
        <w:rPr>
          <w:rFonts w:ascii="Arial" w:hAnsi="Arial" w:cs="Arial"/>
          <w:i w:val="0"/>
          <w:sz w:val="20"/>
          <w:lang w:val="en-IN"/>
        </w:rPr>
      </w:pPr>
    </w:p>
    <w:tbl>
      <w:tblPr>
        <w:tblW w:w="9576" w:type="dxa"/>
        <w:tblLayout w:type="fixed"/>
        <w:tblLook w:val="01E0" w:firstRow="1" w:lastRow="1" w:firstColumn="1" w:lastColumn="1" w:noHBand="0" w:noVBand="0"/>
      </w:tblPr>
      <w:tblGrid>
        <w:gridCol w:w="5963"/>
        <w:gridCol w:w="1716"/>
        <w:gridCol w:w="1897"/>
      </w:tblGrid>
      <w:tr w:rsidR="00F375C7" w:rsidRPr="00E70587" w14:paraId="7AB2B27E" w14:textId="77777777" w:rsidTr="001B6B5C">
        <w:tc>
          <w:tcPr>
            <w:tcW w:w="5963" w:type="dxa"/>
            <w:tcMar>
              <w:top w:w="28" w:type="dxa"/>
            </w:tcMar>
            <w:vAlign w:val="bottom"/>
          </w:tcPr>
          <w:p w14:paraId="54EC20F3" w14:textId="77777777" w:rsidR="00F375C7" w:rsidRPr="00E70587" w:rsidRDefault="00F375C7" w:rsidP="009A5E2F">
            <w:pPr>
              <w:spacing w:line="280" w:lineRule="exact"/>
              <w:rPr>
                <w:rFonts w:ascii="Arial" w:hAnsi="Arial" w:cs="Arial"/>
                <w:sz w:val="20"/>
              </w:rPr>
            </w:pPr>
          </w:p>
        </w:tc>
        <w:tc>
          <w:tcPr>
            <w:tcW w:w="1716" w:type="dxa"/>
            <w:tcBorders>
              <w:bottom w:val="single" w:sz="4" w:space="0" w:color="auto"/>
            </w:tcBorders>
            <w:tcMar>
              <w:top w:w="28" w:type="dxa"/>
            </w:tcMar>
            <w:vAlign w:val="bottom"/>
          </w:tcPr>
          <w:p w14:paraId="01B8E6D1" w14:textId="517ECB55"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1A50FB" w:rsidRPr="00E70587">
              <w:rPr>
                <w:rFonts w:ascii="Arial" w:hAnsi="Arial"/>
                <w:color w:val="auto"/>
                <w:sz w:val="20"/>
                <w:szCs w:val="20"/>
                <w:lang w:val="en-IN"/>
              </w:rPr>
              <w:t>20</w:t>
            </w:r>
            <w:r w:rsidR="001A50FB">
              <w:rPr>
                <w:rFonts w:ascii="Arial" w:hAnsi="Arial"/>
                <w:color w:val="auto"/>
                <w:sz w:val="20"/>
                <w:szCs w:val="20"/>
                <w:lang w:val="en-IN"/>
              </w:rPr>
              <w:t>21</w:t>
            </w:r>
          </w:p>
        </w:tc>
        <w:tc>
          <w:tcPr>
            <w:tcW w:w="1897" w:type="dxa"/>
            <w:tcBorders>
              <w:bottom w:val="single" w:sz="4" w:space="0" w:color="auto"/>
            </w:tcBorders>
            <w:tcMar>
              <w:top w:w="28" w:type="dxa"/>
            </w:tcMar>
            <w:vAlign w:val="bottom"/>
          </w:tcPr>
          <w:p w14:paraId="2D7B9FEA" w14:textId="084B52B9"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1A50FB" w:rsidRPr="00E70587">
              <w:rPr>
                <w:rFonts w:ascii="Arial" w:hAnsi="Arial"/>
                <w:color w:val="auto"/>
                <w:sz w:val="20"/>
                <w:szCs w:val="20"/>
                <w:lang w:val="en-IN"/>
              </w:rPr>
              <w:t>20</w:t>
            </w:r>
            <w:r w:rsidR="001A50FB">
              <w:rPr>
                <w:rFonts w:ascii="Arial" w:hAnsi="Arial"/>
                <w:color w:val="auto"/>
                <w:sz w:val="20"/>
                <w:szCs w:val="20"/>
                <w:lang w:val="en-IN"/>
              </w:rPr>
              <w:t>20</w:t>
            </w:r>
          </w:p>
        </w:tc>
      </w:tr>
      <w:tr w:rsidR="00F375C7" w:rsidRPr="00E70587" w14:paraId="2D854CE1" w14:textId="77777777" w:rsidTr="001B6B5C">
        <w:tc>
          <w:tcPr>
            <w:tcW w:w="5963" w:type="dxa"/>
            <w:tcMar>
              <w:top w:w="28" w:type="dxa"/>
            </w:tcMar>
            <w:vAlign w:val="bottom"/>
          </w:tcPr>
          <w:p w14:paraId="34767E7D" w14:textId="77777777" w:rsidR="00F375C7" w:rsidRPr="00E70587" w:rsidRDefault="00F375C7" w:rsidP="009A5E2F">
            <w:pPr>
              <w:spacing w:line="280" w:lineRule="exact"/>
              <w:rPr>
                <w:rFonts w:ascii="Arial" w:hAnsi="Arial" w:cs="Arial"/>
                <w:sz w:val="20"/>
              </w:rPr>
            </w:pPr>
          </w:p>
        </w:tc>
        <w:tc>
          <w:tcPr>
            <w:tcW w:w="1716" w:type="dxa"/>
            <w:tcBorders>
              <w:top w:val="single" w:sz="4" w:space="0" w:color="auto"/>
            </w:tcBorders>
            <w:tcMar>
              <w:top w:w="28" w:type="dxa"/>
            </w:tcMar>
            <w:vAlign w:val="bottom"/>
          </w:tcPr>
          <w:p w14:paraId="40DF5ED9" w14:textId="77777777"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97" w:type="dxa"/>
            <w:tcBorders>
              <w:top w:val="single" w:sz="4" w:space="0" w:color="auto"/>
            </w:tcBorders>
            <w:tcMar>
              <w:top w:w="28" w:type="dxa"/>
            </w:tcMar>
            <w:vAlign w:val="bottom"/>
          </w:tcPr>
          <w:p w14:paraId="544671B7" w14:textId="77777777" w:rsidR="00F375C7" w:rsidRPr="00E70587" w:rsidRDefault="00F375C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F375C7" w:rsidRPr="00E70587" w14:paraId="77EDD8C7" w14:textId="77777777" w:rsidTr="001B6B5C">
        <w:tc>
          <w:tcPr>
            <w:tcW w:w="5963" w:type="dxa"/>
            <w:tcMar>
              <w:top w:w="28" w:type="dxa"/>
            </w:tcMar>
          </w:tcPr>
          <w:p w14:paraId="6DE30D95" w14:textId="77777777" w:rsidR="00F375C7" w:rsidRPr="00E70587" w:rsidRDefault="00F375C7" w:rsidP="009A5E2F">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Profit/(loss) attributable to equity holders of the parent from discontinued operation for the basic and diluted EPS calculations</w:t>
            </w:r>
          </w:p>
        </w:tc>
        <w:tc>
          <w:tcPr>
            <w:tcW w:w="1716" w:type="dxa"/>
            <w:tcMar>
              <w:top w:w="28" w:type="dxa"/>
            </w:tcMar>
            <w:vAlign w:val="bottom"/>
          </w:tcPr>
          <w:p w14:paraId="3A8CEFA9" w14:textId="77777777" w:rsidR="00F375C7" w:rsidRPr="00E70587" w:rsidRDefault="00F375C7" w:rsidP="009A5E2F">
            <w:pPr>
              <w:pStyle w:val="tabletext"/>
              <w:overflowPunct w:val="0"/>
              <w:autoSpaceDE w:val="0"/>
              <w:autoSpaceDN w:val="0"/>
              <w:adjustRightInd w:val="0"/>
              <w:spacing w:line="280" w:lineRule="exact"/>
              <w:ind w:left="227"/>
              <w:jc w:val="right"/>
              <w:textAlignment w:val="baseline"/>
              <w:rPr>
                <w:rFonts w:ascii="Arial" w:hAnsi="Arial" w:cs="Arial"/>
                <w:b/>
                <w:sz w:val="20"/>
                <w:lang w:val="en-IN"/>
              </w:rPr>
            </w:pPr>
            <w:r w:rsidRPr="00E70587">
              <w:rPr>
                <w:rFonts w:ascii="Arial" w:hAnsi="Arial" w:cs="Arial"/>
                <w:b/>
                <w:sz w:val="20"/>
                <w:lang w:val="en-IN"/>
              </w:rPr>
              <w:t>396</w:t>
            </w:r>
          </w:p>
        </w:tc>
        <w:tc>
          <w:tcPr>
            <w:tcW w:w="1897" w:type="dxa"/>
            <w:tcMar>
              <w:top w:w="28" w:type="dxa"/>
            </w:tcMar>
            <w:vAlign w:val="bottom"/>
          </w:tcPr>
          <w:p w14:paraId="4BD2FAD7" w14:textId="77777777" w:rsidR="00F375C7" w:rsidRPr="00E70587" w:rsidRDefault="00F375C7" w:rsidP="009A5E2F">
            <w:pPr>
              <w:pStyle w:val="tabletext"/>
              <w:overflowPunct w:val="0"/>
              <w:autoSpaceDE w:val="0"/>
              <w:autoSpaceDN w:val="0"/>
              <w:adjustRightInd w:val="0"/>
              <w:spacing w:line="280" w:lineRule="exact"/>
              <w:ind w:left="227"/>
              <w:jc w:val="right"/>
              <w:textAlignment w:val="baseline"/>
              <w:rPr>
                <w:rFonts w:ascii="Arial" w:hAnsi="Arial" w:cs="Arial"/>
                <w:b/>
                <w:sz w:val="20"/>
                <w:lang w:val="en-IN"/>
              </w:rPr>
            </w:pPr>
            <w:r w:rsidRPr="00E70587">
              <w:rPr>
                <w:rFonts w:ascii="Arial" w:hAnsi="Arial" w:cs="Arial"/>
                <w:b/>
                <w:sz w:val="20"/>
                <w:lang w:val="en-IN"/>
              </w:rPr>
              <w:t>(338)</w:t>
            </w:r>
          </w:p>
        </w:tc>
      </w:tr>
      <w:tr w:rsidR="00F375C7" w:rsidRPr="00E70587" w14:paraId="56D63B83" w14:textId="77777777" w:rsidTr="009A5E2F">
        <w:tblPrEx>
          <w:tblLook w:val="0000" w:firstRow="0" w:lastRow="0" w:firstColumn="0" w:lastColumn="0" w:noHBand="0" w:noVBand="0"/>
        </w:tblPrEx>
        <w:tc>
          <w:tcPr>
            <w:tcW w:w="9576" w:type="dxa"/>
            <w:gridSpan w:val="3"/>
          </w:tcPr>
          <w:p w14:paraId="65525A4D" w14:textId="77777777" w:rsidR="000340BC" w:rsidRDefault="000340BC" w:rsidP="000340BC">
            <w:pPr>
              <w:pStyle w:val="ViralheadingL2"/>
              <w:keepNext w:val="0"/>
              <w:spacing w:before="0" w:after="0" w:line="280" w:lineRule="exact"/>
              <w:ind w:left="720"/>
              <w:rPr>
                <w:rFonts w:ascii="Arial" w:hAnsi="Arial" w:cs="Arial"/>
                <w:sz w:val="20"/>
                <w:szCs w:val="20"/>
              </w:rPr>
            </w:pPr>
          </w:p>
          <w:p w14:paraId="3D788E40" w14:textId="3C961938" w:rsidR="00F375C7" w:rsidRPr="00E70587" w:rsidRDefault="00F375C7" w:rsidP="00F53123">
            <w:pPr>
              <w:pStyle w:val="ViralheadingL2"/>
              <w:keepNext w:val="0"/>
              <w:numPr>
                <w:ilvl w:val="0"/>
                <w:numId w:val="8"/>
              </w:numPr>
              <w:spacing w:before="0" w:after="0" w:line="280" w:lineRule="exact"/>
              <w:ind w:left="720" w:hanging="720"/>
              <w:rPr>
                <w:rFonts w:ascii="Arial" w:hAnsi="Arial" w:cs="Arial"/>
                <w:sz w:val="20"/>
                <w:szCs w:val="20"/>
              </w:rPr>
            </w:pPr>
            <w:r w:rsidRPr="00E70587">
              <w:rPr>
                <w:rFonts w:ascii="Arial" w:hAnsi="Arial" w:cs="Arial"/>
                <w:sz w:val="20"/>
                <w:szCs w:val="20"/>
              </w:rPr>
              <w:t>Significant accounting judgements, estimates and assumptions</w:t>
            </w:r>
          </w:p>
          <w:p w14:paraId="54F5F10F" w14:textId="77777777" w:rsidR="00F375C7" w:rsidRPr="00E70587" w:rsidRDefault="00F375C7" w:rsidP="009A5E2F">
            <w:pPr>
              <w:pStyle w:val="IAStext"/>
              <w:overflowPunct w:val="0"/>
              <w:autoSpaceDE w:val="0"/>
              <w:autoSpaceDN w:val="0"/>
              <w:adjustRightInd w:val="0"/>
              <w:spacing w:line="280" w:lineRule="exact"/>
              <w:jc w:val="both"/>
              <w:textAlignment w:val="baseline"/>
              <w:rPr>
                <w:rFonts w:ascii="Arial" w:hAnsi="Arial" w:cs="Arial"/>
                <w:i w:val="0"/>
                <w:sz w:val="20"/>
                <w:lang w:val="en-IN"/>
              </w:rPr>
            </w:pPr>
          </w:p>
          <w:p w14:paraId="7A2DB50C" w14:textId="77777777" w:rsidR="00F375C7" w:rsidRPr="00E70587" w:rsidRDefault="00F375C7" w:rsidP="00492C64">
            <w:pPr>
              <w:pStyle w:val="Notesbodytext"/>
              <w:spacing w:after="0" w:line="280" w:lineRule="exact"/>
              <w:jc w:val="both"/>
              <w:rPr>
                <w:rFonts w:ascii="Arial" w:hAnsi="Arial"/>
                <w:color w:val="auto"/>
                <w:sz w:val="20"/>
              </w:rPr>
            </w:pPr>
            <w:r w:rsidRPr="00E70587">
              <w:rPr>
                <w:rFonts w:ascii="Arial" w:hAnsi="Arial"/>
                <w:color w:val="auto"/>
                <w:sz w:val="20"/>
              </w:rPr>
              <w:t>The preparation of the Group’s consolidated financial statements requires management to make judgements, estimates and assumptions that affect the reported amounts of revenues, expenses, assets</w:t>
            </w:r>
            <w:r w:rsidR="00950163" w:rsidRPr="00E70587">
              <w:rPr>
                <w:rFonts w:ascii="Arial" w:hAnsi="Arial"/>
                <w:color w:val="auto"/>
                <w:sz w:val="20"/>
              </w:rPr>
              <w:t xml:space="preserve"> </w:t>
            </w:r>
            <w:r w:rsidRPr="00E70587">
              <w:rPr>
                <w:rFonts w:ascii="Arial" w:hAnsi="Arial"/>
                <w:color w:val="auto"/>
                <w:sz w:val="20"/>
              </w:rPr>
              <w:t>and</w:t>
            </w:r>
            <w:r w:rsidR="00492C64" w:rsidRPr="00E70587">
              <w:rPr>
                <w:rFonts w:ascii="Arial" w:hAnsi="Arial"/>
                <w:color w:val="auto"/>
                <w:sz w:val="20"/>
              </w:rPr>
              <w:t xml:space="preserve"> </w:t>
            </w:r>
            <w:r w:rsidRPr="00E70587">
              <w:rPr>
                <w:rFonts w:ascii="Arial" w:hAnsi="Arial"/>
                <w:color w:val="auto"/>
                <w:sz w:val="20"/>
              </w:rPr>
              <w:t>liabilities, and the accompanying disclosures, and the disclosure of contingent liabilities. Uncertainty about these assumptions and estimates could result in outcomes that require a material adjustment to the carrying amount of assets or liabilities affected in future periods</w:t>
            </w:r>
            <w:r w:rsidR="00492C64" w:rsidRPr="00E70587">
              <w:rPr>
                <w:rFonts w:ascii="Arial" w:hAnsi="Arial"/>
                <w:color w:val="auto"/>
                <w:sz w:val="20"/>
              </w:rPr>
              <w:t>.</w:t>
            </w:r>
          </w:p>
          <w:p w14:paraId="4332C8AB" w14:textId="77777777" w:rsidR="00492C64" w:rsidRDefault="00492C64" w:rsidP="00492C64">
            <w:pPr>
              <w:pStyle w:val="Notesbodytext"/>
              <w:spacing w:after="0" w:line="280" w:lineRule="exact"/>
              <w:jc w:val="both"/>
              <w:rPr>
                <w:rFonts w:ascii="Arial" w:hAnsi="Arial"/>
                <w:color w:val="auto"/>
                <w:sz w:val="20"/>
              </w:rPr>
            </w:pPr>
          </w:p>
          <w:p w14:paraId="46877D14" w14:textId="77777777" w:rsidR="00657499" w:rsidRPr="00E70587" w:rsidRDefault="00657499" w:rsidP="00492C64">
            <w:pPr>
              <w:pStyle w:val="Notesbodytext"/>
              <w:spacing w:after="0" w:line="280" w:lineRule="exact"/>
              <w:jc w:val="both"/>
              <w:rPr>
                <w:rFonts w:ascii="Arial" w:hAnsi="Arial"/>
                <w:color w:val="auto"/>
                <w:sz w:val="20"/>
              </w:rPr>
            </w:pPr>
          </w:p>
        </w:tc>
      </w:tr>
      <w:tr w:rsidR="0091529F" w:rsidRPr="0091529F" w14:paraId="3531789B" w14:textId="77777777" w:rsidTr="00FF32A7">
        <w:tblPrEx>
          <w:tblLook w:val="0000" w:firstRow="0" w:lastRow="0" w:firstColumn="0" w:lastColumn="0" w:noHBand="0" w:noVBand="0"/>
        </w:tblPrEx>
        <w:tc>
          <w:tcPr>
            <w:tcW w:w="9576" w:type="dxa"/>
            <w:gridSpan w:val="3"/>
            <w:vAlign w:val="center"/>
          </w:tcPr>
          <w:p w14:paraId="4A4AFBDF" w14:textId="77777777" w:rsidR="0091529F" w:rsidRPr="0091529F" w:rsidRDefault="0091529F" w:rsidP="0091529F">
            <w:pPr>
              <w:spacing w:before="80" w:after="80" w:line="240" w:lineRule="atLeast"/>
              <w:rPr>
                <w:rFonts w:ascii="Arial" w:hAnsi="Arial" w:cs="Arial"/>
                <w:b/>
                <w:sz w:val="20"/>
              </w:rPr>
            </w:pPr>
            <w:r w:rsidRPr="0091529F">
              <w:rPr>
                <w:rFonts w:ascii="Arial" w:hAnsi="Arial" w:cs="Arial"/>
                <w:b/>
                <w:sz w:val="20"/>
              </w:rPr>
              <w:t xml:space="preserve">Determining the lease term of contracts with renewal and termination options – Group as lessee </w:t>
            </w:r>
          </w:p>
          <w:p w14:paraId="4930AEE4" w14:textId="488B26B7" w:rsidR="0091529F" w:rsidRPr="0091529F" w:rsidRDefault="0091529F" w:rsidP="0091529F">
            <w:pPr>
              <w:pStyle w:val="Heading4"/>
              <w:keepNext w:val="0"/>
              <w:spacing w:before="0" w:after="0" w:line="280" w:lineRule="exact"/>
              <w:jc w:val="both"/>
              <w:rPr>
                <w:rFonts w:ascii="Arial" w:hAnsi="Arial" w:cs="Arial"/>
                <w:szCs w:val="20"/>
              </w:rPr>
            </w:pPr>
            <w:r w:rsidRPr="0091529F">
              <w:rPr>
                <w:rFonts w:ascii="Arial" w:hAnsi="Arial"/>
              </w:rPr>
              <w:t>The Group determines the lease term as the non-cancellable term of the lease, together with any periods covered by an option to extend the lease if it is reasonably certain to be exercised, or any periods covered by an option to terminate the lease, if it is reasonably certain not to be exercised.</w:t>
            </w:r>
          </w:p>
          <w:p w14:paraId="4250EA18" w14:textId="77777777" w:rsidR="0091529F" w:rsidRPr="0091529F" w:rsidRDefault="0091529F" w:rsidP="0091529F">
            <w:pPr>
              <w:pStyle w:val="Notesbodytext"/>
              <w:spacing w:after="0" w:line="280" w:lineRule="exact"/>
              <w:jc w:val="both"/>
              <w:rPr>
                <w:rFonts w:ascii="Arial" w:hAnsi="Arial"/>
                <w:color w:val="auto"/>
                <w:sz w:val="20"/>
              </w:rPr>
            </w:pPr>
          </w:p>
        </w:tc>
      </w:tr>
      <w:tr w:rsidR="0091529F" w:rsidRPr="0091529F" w14:paraId="1AE76E5F" w14:textId="77777777" w:rsidTr="00FF32A7">
        <w:tblPrEx>
          <w:tblLook w:val="0000" w:firstRow="0" w:lastRow="0" w:firstColumn="0" w:lastColumn="0" w:noHBand="0" w:noVBand="0"/>
        </w:tblPrEx>
        <w:tc>
          <w:tcPr>
            <w:tcW w:w="9576" w:type="dxa"/>
            <w:gridSpan w:val="3"/>
            <w:vAlign w:val="center"/>
          </w:tcPr>
          <w:p w14:paraId="7B2A2557" w14:textId="3BECD38A" w:rsidR="0091529F" w:rsidRPr="0091529F" w:rsidRDefault="0091529F" w:rsidP="0091529F">
            <w:pPr>
              <w:pStyle w:val="Notesbodytext"/>
              <w:spacing w:after="0" w:line="280" w:lineRule="exact"/>
              <w:jc w:val="both"/>
              <w:rPr>
                <w:rFonts w:ascii="Arial" w:hAnsi="Arial"/>
                <w:color w:val="auto"/>
                <w:sz w:val="20"/>
              </w:rPr>
            </w:pPr>
            <w:r w:rsidRPr="0091529F">
              <w:rPr>
                <w:rFonts w:ascii="Arial" w:hAnsi="Arial"/>
                <w:sz w:val="20"/>
              </w:rPr>
              <w:t>The Group has several lease contracts that include extension and termination options. The Group applies judgement in evaluating whether it is reasonably certain whether or not to exercise the option to renew or terminate the lease. That is, it considers all relevant factors that create an economic incentive for it to exercise either the renewal or termination. After the commencement date, the Group reassesses the lease term if there is a significant event or change in circumstances that is within its control and affects its ability to exercise or not to exercise the option to renew or to terminate (e.g., construction of significant leasehold improvements or significant customisation to the leased asset).</w:t>
            </w:r>
          </w:p>
        </w:tc>
      </w:tr>
      <w:tr w:rsidR="0091529F" w:rsidRPr="0091529F" w14:paraId="5D017EC9" w14:textId="77777777" w:rsidTr="00FF32A7">
        <w:tblPrEx>
          <w:tblLook w:val="0000" w:firstRow="0" w:lastRow="0" w:firstColumn="0" w:lastColumn="0" w:noHBand="0" w:noVBand="0"/>
        </w:tblPrEx>
        <w:tc>
          <w:tcPr>
            <w:tcW w:w="9576" w:type="dxa"/>
            <w:gridSpan w:val="3"/>
            <w:vAlign w:val="center"/>
          </w:tcPr>
          <w:p w14:paraId="4C6BC215" w14:textId="75736C50" w:rsidR="0091529F" w:rsidRPr="0091529F" w:rsidRDefault="0091529F" w:rsidP="0091529F">
            <w:pPr>
              <w:pStyle w:val="Notesbodytext"/>
              <w:spacing w:after="0" w:line="280" w:lineRule="exact"/>
              <w:rPr>
                <w:rFonts w:ascii="Arial" w:hAnsi="Arial"/>
                <w:color w:val="auto"/>
                <w:sz w:val="20"/>
              </w:rPr>
            </w:pPr>
            <w:r w:rsidRPr="0091529F">
              <w:rPr>
                <w:rFonts w:ascii="Arial" w:hAnsi="Arial"/>
                <w:sz w:val="20"/>
              </w:rPr>
              <w:t xml:space="preserve">The Group included the renewal period as part of the lease term for leases of plant and machinery with shorter non-cancellable period (i.e., three to five years). The Group typically exercises its option to renew for these leases because there will be a significant negative effect on production if a replacement asset is not readily available. The renewal periods for leases of plant and machinery with longer non-cancellable periods (i.e., 10 to 15 years) are not included as part of the lease term as these are not reasonably certain to be exercised. In addition, the renewal options for leases of motor vehicles are not included as part of the lease term because the Group typically leases motor vehicles for not more than five years and, </w:t>
            </w:r>
            <w:r w:rsidRPr="0091529F">
              <w:rPr>
                <w:rFonts w:ascii="Arial" w:hAnsi="Arial"/>
                <w:sz w:val="20"/>
              </w:rPr>
              <w:lastRenderedPageBreak/>
              <w:t>hence, is not exercising any renewal options. Furthermore, the periods covered by termination options are included as part of the lease term only when they are reasonably certain not to be exercised.</w:t>
            </w:r>
          </w:p>
        </w:tc>
      </w:tr>
      <w:tr w:rsidR="0091529F" w:rsidRPr="0091529F" w14:paraId="28DA22FF" w14:textId="77777777" w:rsidTr="00FF32A7">
        <w:tblPrEx>
          <w:tblLook w:val="0000" w:firstRow="0" w:lastRow="0" w:firstColumn="0" w:lastColumn="0" w:noHBand="0" w:noVBand="0"/>
        </w:tblPrEx>
        <w:tc>
          <w:tcPr>
            <w:tcW w:w="9576" w:type="dxa"/>
            <w:gridSpan w:val="3"/>
            <w:vAlign w:val="center"/>
          </w:tcPr>
          <w:p w14:paraId="62C63505" w14:textId="77777777" w:rsidR="0052513D" w:rsidRDefault="0052513D" w:rsidP="0091529F">
            <w:pPr>
              <w:pStyle w:val="Notesbodytext"/>
              <w:spacing w:after="0" w:line="280" w:lineRule="exact"/>
              <w:jc w:val="both"/>
              <w:rPr>
                <w:rFonts w:ascii="Arial" w:hAnsi="Arial"/>
                <w:sz w:val="20"/>
              </w:rPr>
            </w:pPr>
          </w:p>
          <w:p w14:paraId="28037CDE" w14:textId="27B70148" w:rsidR="0091529F" w:rsidRPr="0091529F" w:rsidRDefault="0091529F" w:rsidP="0091529F">
            <w:pPr>
              <w:pStyle w:val="Notesbodytext"/>
              <w:spacing w:after="0" w:line="280" w:lineRule="exact"/>
              <w:jc w:val="both"/>
              <w:rPr>
                <w:rFonts w:ascii="Arial" w:hAnsi="Arial"/>
                <w:color w:val="auto"/>
                <w:sz w:val="20"/>
              </w:rPr>
            </w:pPr>
            <w:r w:rsidRPr="0091529F">
              <w:rPr>
                <w:rFonts w:ascii="Arial" w:hAnsi="Arial"/>
                <w:sz w:val="20"/>
              </w:rPr>
              <w:t>Refer to Note 42 for information on potential future rental payments relating to periods following the exercise date of extension and termination options that are not included in the lease term.</w:t>
            </w:r>
          </w:p>
        </w:tc>
      </w:tr>
      <w:tr w:rsidR="0091529F" w:rsidRPr="0091529F" w14:paraId="2AD963C4" w14:textId="77777777" w:rsidTr="00FF32A7">
        <w:tblPrEx>
          <w:tblLook w:val="0000" w:firstRow="0" w:lastRow="0" w:firstColumn="0" w:lastColumn="0" w:noHBand="0" w:noVBand="0"/>
        </w:tblPrEx>
        <w:tc>
          <w:tcPr>
            <w:tcW w:w="9576" w:type="dxa"/>
            <w:gridSpan w:val="3"/>
            <w:vAlign w:val="center"/>
          </w:tcPr>
          <w:p w14:paraId="1F42867D" w14:textId="77777777" w:rsidR="0052513D" w:rsidRDefault="0052513D" w:rsidP="0091529F">
            <w:pPr>
              <w:spacing w:before="80" w:after="80" w:line="240" w:lineRule="atLeast"/>
              <w:rPr>
                <w:rFonts w:ascii="Arial" w:hAnsi="Arial" w:cs="Arial"/>
                <w:b/>
                <w:i/>
                <w:sz w:val="20"/>
              </w:rPr>
            </w:pPr>
          </w:p>
          <w:p w14:paraId="2AB9184E" w14:textId="7B985D5C" w:rsidR="0091529F" w:rsidRPr="0052513D" w:rsidRDefault="0091529F" w:rsidP="0091529F">
            <w:pPr>
              <w:spacing w:before="80" w:after="80" w:line="240" w:lineRule="atLeast"/>
              <w:rPr>
                <w:rFonts w:ascii="Arial" w:hAnsi="Arial" w:cs="Arial"/>
                <w:b/>
                <w:iCs/>
                <w:sz w:val="20"/>
              </w:rPr>
            </w:pPr>
            <w:r w:rsidRPr="0052513D">
              <w:rPr>
                <w:rFonts w:ascii="Arial" w:hAnsi="Arial" w:cs="Arial"/>
                <w:b/>
                <w:iCs/>
                <w:sz w:val="20"/>
              </w:rPr>
              <w:t>Property lease classification – Group as lessor</w:t>
            </w:r>
          </w:p>
          <w:p w14:paraId="7C3B65E1" w14:textId="7D730462" w:rsidR="0091529F" w:rsidRPr="0091529F" w:rsidRDefault="0091529F" w:rsidP="0091529F">
            <w:pPr>
              <w:pStyle w:val="Notesbodytext"/>
              <w:spacing w:after="0" w:line="280" w:lineRule="exact"/>
              <w:jc w:val="both"/>
              <w:rPr>
                <w:rFonts w:ascii="Arial" w:hAnsi="Arial"/>
                <w:color w:val="auto"/>
                <w:sz w:val="20"/>
              </w:rPr>
            </w:pPr>
            <w:r w:rsidRPr="0091529F">
              <w:rPr>
                <w:rFonts w:ascii="Arial" w:hAnsi="Arial"/>
                <w:sz w:val="20"/>
              </w:rPr>
              <w:t>The Group has entered into commercial property leases on its investment property portfolio. The Group has determined, based on an evaluation of the terms and conditions of the arrangements, such as the lease term not constituting a major part of the economic life of the commercial property and the present value of the minimum lease payments not amounting to substantially all of the fair value of the commercial property, that it retains substantially all the risks and rewards incidental to ownership of these properties and accounts for the contracts as operating leases.</w:t>
            </w:r>
          </w:p>
          <w:p w14:paraId="0B3FD4F5" w14:textId="77777777" w:rsidR="0091529F" w:rsidRPr="0091529F" w:rsidRDefault="0091529F" w:rsidP="0091529F">
            <w:pPr>
              <w:pStyle w:val="Notesbodytext"/>
              <w:spacing w:after="0" w:line="280" w:lineRule="exact"/>
              <w:jc w:val="both"/>
              <w:rPr>
                <w:rFonts w:ascii="Arial" w:hAnsi="Arial"/>
                <w:color w:val="auto"/>
                <w:sz w:val="20"/>
              </w:rPr>
            </w:pPr>
          </w:p>
        </w:tc>
      </w:tr>
      <w:tr w:rsidR="0091529F" w:rsidRPr="00E70587" w14:paraId="439151D5" w14:textId="77777777" w:rsidTr="0091529F">
        <w:tblPrEx>
          <w:tblLook w:val="0000" w:firstRow="0" w:lastRow="0" w:firstColumn="0" w:lastColumn="0" w:noHBand="0" w:noVBand="0"/>
        </w:tblPrEx>
        <w:tc>
          <w:tcPr>
            <w:tcW w:w="9576" w:type="dxa"/>
            <w:gridSpan w:val="3"/>
          </w:tcPr>
          <w:p w14:paraId="70D528D9" w14:textId="77777777" w:rsidR="0091529F" w:rsidRPr="00CF7837" w:rsidRDefault="0091529F" w:rsidP="0091529F">
            <w:pPr>
              <w:pStyle w:val="Heading5"/>
              <w:spacing w:before="0" w:after="0" w:line="280" w:lineRule="exact"/>
              <w:jc w:val="both"/>
              <w:rPr>
                <w:rFonts w:ascii="Arial" w:hAnsi="Arial" w:cs="Arial"/>
                <w:iCs w:val="0"/>
                <w:sz w:val="20"/>
                <w:szCs w:val="20"/>
              </w:rPr>
            </w:pPr>
            <w:r w:rsidRPr="00CF7837">
              <w:rPr>
                <w:rFonts w:ascii="Arial" w:hAnsi="Arial" w:cs="Arial"/>
                <w:iCs w:val="0"/>
                <w:sz w:val="20"/>
                <w:szCs w:val="20"/>
              </w:rPr>
              <w:t>Consolidation of entities in which the Group holds less than a majority of voting rights (de facto control)</w:t>
            </w:r>
          </w:p>
          <w:p w14:paraId="3C8CF415" w14:textId="77777777" w:rsidR="0091529F" w:rsidRPr="00E70587" w:rsidRDefault="0091529F" w:rsidP="0091529F">
            <w:pPr>
              <w:pStyle w:val="Notesbodytext"/>
              <w:spacing w:after="0" w:line="280" w:lineRule="exact"/>
              <w:jc w:val="both"/>
              <w:rPr>
                <w:rFonts w:ascii="Arial" w:hAnsi="Arial"/>
                <w:color w:val="auto"/>
                <w:sz w:val="20"/>
              </w:rPr>
            </w:pPr>
          </w:p>
          <w:p w14:paraId="067CAF29" w14:textId="13C88144" w:rsidR="0091529F" w:rsidRPr="00E70587"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 xml:space="preserve">The Group considers that it controls Electronics Limited even though it owns less than 50% of the voting rights. This is because the Group is the single largest shareholder of Electronics Limited with a 48% equity interest. The remaining 52% of the equity shares in Electronics Limited are widely held by many other shareholders, none of which individually hold more than 1% of the equity shares (as recorded in the company’s shareholders’ register from 1 </w:t>
            </w:r>
            <w:r>
              <w:rPr>
                <w:rFonts w:ascii="Arial" w:hAnsi="Arial"/>
                <w:color w:val="auto"/>
                <w:sz w:val="20"/>
              </w:rPr>
              <w:t>January</w:t>
            </w:r>
            <w:r w:rsidRPr="00E70587">
              <w:rPr>
                <w:rFonts w:ascii="Arial" w:hAnsi="Arial"/>
                <w:color w:val="auto"/>
                <w:sz w:val="20"/>
              </w:rPr>
              <w:t xml:space="preserve"> 201</w:t>
            </w:r>
            <w:r>
              <w:rPr>
                <w:rFonts w:ascii="Arial" w:hAnsi="Arial"/>
                <w:color w:val="auto"/>
                <w:sz w:val="20"/>
              </w:rPr>
              <w:t>1</w:t>
            </w:r>
            <w:r w:rsidRPr="00E70587">
              <w:rPr>
                <w:rFonts w:ascii="Arial" w:hAnsi="Arial"/>
                <w:color w:val="auto"/>
                <w:sz w:val="20"/>
              </w:rPr>
              <w:t xml:space="preserve"> to 31 March 20</w:t>
            </w:r>
            <w:r>
              <w:rPr>
                <w:rFonts w:ascii="Arial" w:hAnsi="Arial"/>
                <w:color w:val="auto"/>
                <w:sz w:val="20"/>
              </w:rPr>
              <w:t>21</w:t>
            </w:r>
            <w:r w:rsidRPr="00E70587">
              <w:rPr>
                <w:rFonts w:ascii="Arial" w:hAnsi="Arial"/>
                <w:color w:val="auto"/>
                <w:sz w:val="20"/>
              </w:rPr>
              <w:t>). Since 1 January 2011, which is the date of acquisition of Electronics Limited, there is no history of the other shareholders collaborating to exercise their votes collectively or to outvote the Group.</w:t>
            </w:r>
          </w:p>
          <w:p w14:paraId="78587016" w14:textId="6BAB82DE" w:rsidR="0091529F" w:rsidRDefault="0091529F" w:rsidP="0091529F">
            <w:pPr>
              <w:pStyle w:val="Notesbodytext"/>
              <w:spacing w:after="0" w:line="280" w:lineRule="exact"/>
              <w:jc w:val="both"/>
              <w:rPr>
                <w:rFonts w:ascii="Arial" w:hAnsi="Arial"/>
                <w:color w:val="auto"/>
                <w:sz w:val="20"/>
              </w:rPr>
            </w:pPr>
          </w:p>
          <w:p w14:paraId="2DC872B7" w14:textId="428B35C9" w:rsidR="00272D1A" w:rsidRPr="00272D1A" w:rsidRDefault="00272D1A" w:rsidP="00272D1A">
            <w:pPr>
              <w:pStyle w:val="Notesbodytext"/>
              <w:shd w:val="clear" w:color="auto" w:fill="C1C1C1" w:themeFill="background1" w:themeFillTint="66"/>
              <w:spacing w:after="0" w:line="280" w:lineRule="exact"/>
              <w:jc w:val="both"/>
              <w:rPr>
                <w:rFonts w:ascii="Arial" w:hAnsi="Arial"/>
                <w:b/>
                <w:bCs/>
                <w:color w:val="auto"/>
                <w:sz w:val="20"/>
              </w:rPr>
            </w:pPr>
            <w:r w:rsidRPr="00272D1A">
              <w:rPr>
                <w:rFonts w:ascii="Arial" w:hAnsi="Arial"/>
                <w:b/>
                <w:bCs/>
                <w:color w:val="auto"/>
                <w:sz w:val="20"/>
              </w:rPr>
              <w:t>Author’s Note</w:t>
            </w:r>
          </w:p>
          <w:p w14:paraId="6E28DCCA" w14:textId="77777777" w:rsidR="00272D1A" w:rsidRDefault="00272D1A" w:rsidP="00272D1A">
            <w:pPr>
              <w:pStyle w:val="Notesbodytext"/>
              <w:shd w:val="clear" w:color="auto" w:fill="C1C1C1" w:themeFill="background1" w:themeFillTint="66"/>
              <w:spacing w:after="0" w:line="280" w:lineRule="exact"/>
              <w:jc w:val="both"/>
              <w:rPr>
                <w:rFonts w:ascii="Arial" w:hAnsi="Arial"/>
                <w:color w:val="auto"/>
                <w:sz w:val="20"/>
              </w:rPr>
            </w:pPr>
          </w:p>
          <w:p w14:paraId="2004644B" w14:textId="1D9F6C92" w:rsidR="00272D1A" w:rsidRDefault="00272D1A" w:rsidP="00272D1A">
            <w:pPr>
              <w:shd w:val="clear" w:color="auto" w:fill="C1C1C1" w:themeFill="background1" w:themeFillTint="66"/>
              <w:spacing w:line="240" w:lineRule="atLeast"/>
              <w:rPr>
                <w:rFonts w:ascii="Arial" w:hAnsi="Arial" w:cs="Arial"/>
                <w:sz w:val="20"/>
              </w:rPr>
            </w:pPr>
            <w:r w:rsidRPr="00272D1A">
              <w:rPr>
                <w:rFonts w:ascii="Arial" w:hAnsi="Arial" w:cs="Arial"/>
                <w:sz w:val="20"/>
              </w:rPr>
              <w:t xml:space="preserve">Ind AS 1.22 requires an entity to disclose the judgements that management has made in the process of applying the entity's accounting policies that have the most significant effect on the amounts recognised in the financial statements. </w:t>
            </w:r>
          </w:p>
          <w:p w14:paraId="0814DE4E" w14:textId="77777777" w:rsidR="00E9016B" w:rsidRPr="00272D1A" w:rsidRDefault="00E9016B" w:rsidP="00272D1A">
            <w:pPr>
              <w:shd w:val="clear" w:color="auto" w:fill="C1C1C1" w:themeFill="background1" w:themeFillTint="66"/>
              <w:spacing w:line="240" w:lineRule="atLeast"/>
              <w:rPr>
                <w:rFonts w:ascii="Arial" w:hAnsi="Arial" w:cs="Arial"/>
                <w:sz w:val="20"/>
              </w:rPr>
            </w:pPr>
          </w:p>
          <w:p w14:paraId="638851AF" w14:textId="23A11D55" w:rsidR="00272D1A" w:rsidRDefault="00272D1A" w:rsidP="00272D1A">
            <w:pPr>
              <w:shd w:val="clear" w:color="auto" w:fill="C1C1C1" w:themeFill="background1" w:themeFillTint="66"/>
              <w:spacing w:line="240" w:lineRule="atLeast"/>
              <w:rPr>
                <w:rFonts w:ascii="Arial" w:hAnsi="Arial" w:cs="Arial"/>
                <w:sz w:val="20"/>
              </w:rPr>
            </w:pPr>
            <w:r w:rsidRPr="00272D1A">
              <w:rPr>
                <w:rFonts w:ascii="Arial" w:hAnsi="Arial" w:cs="Arial"/>
                <w:sz w:val="20"/>
              </w:rPr>
              <w:t xml:space="preserve">Ind AS 112 adds to the general requirements of Ind AS 1 by specifically requiring an entity to disclose all significant judgements and estimates made in determining the nature of its interest in another entity or arrangement, and in determining the type of joint arrangement in which it has an interest. Ind AS 112.7 requires that an entity disclose information about significant judgements and assumptions it has made (and changes to those judgements and assumptions) in determining that: </w:t>
            </w:r>
          </w:p>
          <w:p w14:paraId="76EF108B" w14:textId="77777777" w:rsidR="00E9016B" w:rsidRPr="00272D1A" w:rsidRDefault="00E9016B" w:rsidP="00272D1A">
            <w:pPr>
              <w:shd w:val="clear" w:color="auto" w:fill="C1C1C1" w:themeFill="background1" w:themeFillTint="66"/>
              <w:spacing w:line="240" w:lineRule="atLeast"/>
              <w:rPr>
                <w:rFonts w:ascii="Arial" w:hAnsi="Arial" w:cs="Arial"/>
                <w:sz w:val="20"/>
              </w:rPr>
            </w:pPr>
          </w:p>
          <w:p w14:paraId="7FB28880" w14:textId="12A89BF7" w:rsidR="00272D1A" w:rsidRPr="00272D1A" w:rsidRDefault="00272D1A" w:rsidP="00272D1A">
            <w:pPr>
              <w:shd w:val="clear" w:color="auto" w:fill="C1C1C1" w:themeFill="background1" w:themeFillTint="66"/>
              <w:spacing w:line="240" w:lineRule="atLeast"/>
              <w:rPr>
                <w:rFonts w:ascii="Arial" w:hAnsi="Arial" w:cs="Arial"/>
                <w:sz w:val="20"/>
              </w:rPr>
            </w:pPr>
            <w:r w:rsidRPr="00272D1A">
              <w:rPr>
                <w:rFonts w:ascii="Arial" w:hAnsi="Arial" w:cs="Arial"/>
                <w:sz w:val="20"/>
              </w:rPr>
              <w:t>-</w:t>
            </w:r>
            <w:r>
              <w:rPr>
                <w:rFonts w:ascii="Arial" w:hAnsi="Arial" w:cs="Arial"/>
                <w:sz w:val="20"/>
              </w:rPr>
              <w:t xml:space="preserve"> </w:t>
            </w:r>
            <w:r w:rsidRPr="00272D1A">
              <w:rPr>
                <w:rFonts w:ascii="Arial" w:hAnsi="Arial" w:cs="Arial"/>
                <w:sz w:val="20"/>
              </w:rPr>
              <w:t xml:space="preserve">It has control of another entity </w:t>
            </w:r>
          </w:p>
          <w:p w14:paraId="7F2BA635" w14:textId="140D9705" w:rsidR="00272D1A" w:rsidRPr="00272D1A" w:rsidRDefault="00272D1A" w:rsidP="00272D1A">
            <w:pPr>
              <w:shd w:val="clear" w:color="auto" w:fill="C1C1C1" w:themeFill="background1" w:themeFillTint="66"/>
              <w:spacing w:line="240" w:lineRule="atLeast"/>
              <w:rPr>
                <w:rFonts w:ascii="Arial" w:hAnsi="Arial" w:cs="Arial"/>
                <w:sz w:val="20"/>
              </w:rPr>
            </w:pPr>
            <w:r>
              <w:rPr>
                <w:rFonts w:ascii="Arial" w:hAnsi="Arial" w:cs="Arial"/>
                <w:sz w:val="20"/>
              </w:rPr>
              <w:t xml:space="preserve">- </w:t>
            </w:r>
            <w:r w:rsidRPr="00272D1A">
              <w:rPr>
                <w:rFonts w:ascii="Arial" w:hAnsi="Arial" w:cs="Arial"/>
                <w:sz w:val="20"/>
              </w:rPr>
              <w:t xml:space="preserve">It has joint control of an arrangement or significant influence over another entity </w:t>
            </w:r>
          </w:p>
          <w:p w14:paraId="48944E71" w14:textId="7804046F" w:rsidR="00272D1A" w:rsidRDefault="00272D1A" w:rsidP="00272D1A">
            <w:pPr>
              <w:shd w:val="clear" w:color="auto" w:fill="C1C1C1" w:themeFill="background1" w:themeFillTint="66"/>
              <w:spacing w:line="240" w:lineRule="atLeast"/>
              <w:rPr>
                <w:rFonts w:ascii="Arial" w:hAnsi="Arial" w:cs="Arial"/>
                <w:sz w:val="20"/>
              </w:rPr>
            </w:pPr>
            <w:r>
              <w:rPr>
                <w:rFonts w:ascii="Arial" w:hAnsi="Arial" w:cs="Arial"/>
                <w:sz w:val="20"/>
              </w:rPr>
              <w:t xml:space="preserve">- </w:t>
            </w:r>
            <w:r w:rsidRPr="00272D1A">
              <w:rPr>
                <w:rFonts w:ascii="Arial" w:hAnsi="Arial" w:cs="Arial"/>
                <w:sz w:val="20"/>
              </w:rPr>
              <w:t xml:space="preserve">The type of joint arrangement (i.e., joint operation or joint venture) when the arrangement has been structured through a separate vehicle </w:t>
            </w:r>
          </w:p>
          <w:p w14:paraId="4D2B00CC" w14:textId="77777777" w:rsidR="00E9016B" w:rsidRPr="00272D1A" w:rsidRDefault="00E9016B" w:rsidP="00272D1A">
            <w:pPr>
              <w:shd w:val="clear" w:color="auto" w:fill="C1C1C1" w:themeFill="background1" w:themeFillTint="66"/>
              <w:spacing w:line="240" w:lineRule="atLeast"/>
              <w:rPr>
                <w:rFonts w:ascii="Arial" w:hAnsi="Arial" w:cs="Arial"/>
                <w:sz w:val="20"/>
              </w:rPr>
            </w:pPr>
          </w:p>
          <w:p w14:paraId="7C922362" w14:textId="77777777" w:rsidR="00272D1A" w:rsidRPr="00272D1A" w:rsidRDefault="00272D1A" w:rsidP="00272D1A">
            <w:pPr>
              <w:shd w:val="clear" w:color="auto" w:fill="C1C1C1" w:themeFill="background1" w:themeFillTint="66"/>
              <w:spacing w:line="240" w:lineRule="atLeast"/>
              <w:rPr>
                <w:rFonts w:ascii="Arial" w:hAnsi="Arial" w:cs="Arial"/>
                <w:sz w:val="20"/>
              </w:rPr>
            </w:pPr>
            <w:r w:rsidRPr="00272D1A">
              <w:rPr>
                <w:rFonts w:ascii="Arial" w:hAnsi="Arial" w:cs="Arial"/>
                <w:sz w:val="20"/>
              </w:rPr>
              <w:t xml:space="preserve">An entity must disclose, for example, significant judgements and assumptions made in determining that </w:t>
            </w:r>
          </w:p>
          <w:p w14:paraId="0D645ABE" w14:textId="4B4D1129" w:rsidR="00272D1A" w:rsidRPr="00272D1A" w:rsidRDefault="00272D1A" w:rsidP="00272D1A">
            <w:pPr>
              <w:shd w:val="clear" w:color="auto" w:fill="C1C1C1" w:themeFill="background1" w:themeFillTint="66"/>
              <w:spacing w:line="240" w:lineRule="atLeast"/>
              <w:rPr>
                <w:rFonts w:ascii="Arial" w:hAnsi="Arial" w:cs="Arial"/>
                <w:sz w:val="20"/>
              </w:rPr>
            </w:pPr>
            <w:r w:rsidRPr="00272D1A">
              <w:rPr>
                <w:rFonts w:ascii="Arial" w:hAnsi="Arial" w:cs="Arial"/>
                <w:sz w:val="20"/>
              </w:rPr>
              <w:t>-</w:t>
            </w:r>
            <w:r>
              <w:rPr>
                <w:rFonts w:ascii="Arial" w:hAnsi="Arial" w:cs="Arial"/>
                <w:sz w:val="20"/>
              </w:rPr>
              <w:t xml:space="preserve"> </w:t>
            </w:r>
            <w:r w:rsidRPr="00272D1A">
              <w:rPr>
                <w:rFonts w:ascii="Arial" w:hAnsi="Arial" w:cs="Arial"/>
                <w:sz w:val="20"/>
              </w:rPr>
              <w:t xml:space="preserve">It does not control another entity even though it holds more than half of the voting rights of the other entity </w:t>
            </w:r>
          </w:p>
          <w:p w14:paraId="5DF9F37A" w14:textId="31CD7B2C" w:rsidR="00272D1A" w:rsidRPr="00272D1A" w:rsidRDefault="00272D1A" w:rsidP="00272D1A">
            <w:pPr>
              <w:shd w:val="clear" w:color="auto" w:fill="C1C1C1" w:themeFill="background1" w:themeFillTint="66"/>
              <w:spacing w:line="240" w:lineRule="atLeast"/>
              <w:rPr>
                <w:rFonts w:ascii="Arial" w:hAnsi="Arial" w:cs="Arial"/>
                <w:sz w:val="20"/>
              </w:rPr>
            </w:pPr>
            <w:r>
              <w:rPr>
                <w:rFonts w:ascii="Arial" w:hAnsi="Arial" w:cs="Arial"/>
                <w:sz w:val="20"/>
              </w:rPr>
              <w:t xml:space="preserve">- </w:t>
            </w:r>
            <w:r w:rsidRPr="00272D1A">
              <w:rPr>
                <w:rFonts w:ascii="Arial" w:hAnsi="Arial" w:cs="Arial"/>
                <w:sz w:val="20"/>
              </w:rPr>
              <w:t xml:space="preserve">It controls another entity even though it holds less than half of the voting rights of the other entity </w:t>
            </w:r>
          </w:p>
          <w:p w14:paraId="58FE81F6" w14:textId="0E2BD0E6" w:rsidR="00272D1A" w:rsidRPr="00272D1A" w:rsidRDefault="00272D1A" w:rsidP="00272D1A">
            <w:pPr>
              <w:shd w:val="clear" w:color="auto" w:fill="C1C1C1" w:themeFill="background1" w:themeFillTint="66"/>
              <w:spacing w:line="240" w:lineRule="atLeast"/>
              <w:rPr>
                <w:rFonts w:ascii="Arial" w:hAnsi="Arial" w:cs="Arial"/>
                <w:sz w:val="20"/>
              </w:rPr>
            </w:pPr>
            <w:r>
              <w:rPr>
                <w:rFonts w:ascii="Arial" w:hAnsi="Arial" w:cs="Arial"/>
                <w:sz w:val="20"/>
              </w:rPr>
              <w:t xml:space="preserve">- </w:t>
            </w:r>
            <w:r w:rsidRPr="00272D1A">
              <w:rPr>
                <w:rFonts w:ascii="Arial" w:hAnsi="Arial" w:cs="Arial"/>
                <w:sz w:val="20"/>
              </w:rPr>
              <w:t xml:space="preserve">It is an agent or principal as defined by Ind AS 110 </w:t>
            </w:r>
          </w:p>
          <w:p w14:paraId="36CC90C3" w14:textId="6968DD53" w:rsidR="00272D1A" w:rsidRPr="00272D1A" w:rsidRDefault="00272D1A" w:rsidP="00272D1A">
            <w:pPr>
              <w:shd w:val="clear" w:color="auto" w:fill="C1C1C1" w:themeFill="background1" w:themeFillTint="66"/>
              <w:spacing w:line="240" w:lineRule="atLeast"/>
              <w:rPr>
                <w:rFonts w:ascii="Arial" w:hAnsi="Arial" w:cs="Arial"/>
                <w:sz w:val="20"/>
              </w:rPr>
            </w:pPr>
            <w:r>
              <w:rPr>
                <w:rFonts w:ascii="Arial" w:hAnsi="Arial" w:cs="Arial"/>
                <w:sz w:val="20"/>
              </w:rPr>
              <w:t xml:space="preserve">- </w:t>
            </w:r>
            <w:r w:rsidRPr="00272D1A">
              <w:rPr>
                <w:rFonts w:ascii="Arial" w:hAnsi="Arial" w:cs="Arial"/>
                <w:sz w:val="20"/>
              </w:rPr>
              <w:t xml:space="preserve">It does not have significant influence even though it holds 20 per cent or more of the voting rights of another entity </w:t>
            </w:r>
          </w:p>
          <w:p w14:paraId="60DA4CE0" w14:textId="6533C531" w:rsidR="00272D1A" w:rsidRPr="00272D1A" w:rsidRDefault="00272D1A" w:rsidP="00272D1A">
            <w:pPr>
              <w:shd w:val="clear" w:color="auto" w:fill="C1C1C1" w:themeFill="background1" w:themeFillTint="66"/>
              <w:spacing w:line="240" w:lineRule="atLeast"/>
              <w:rPr>
                <w:rFonts w:ascii="Arial" w:hAnsi="Arial" w:cs="Arial"/>
                <w:sz w:val="20"/>
              </w:rPr>
            </w:pPr>
            <w:r>
              <w:rPr>
                <w:rFonts w:ascii="Arial" w:hAnsi="Arial" w:cs="Arial"/>
                <w:sz w:val="20"/>
              </w:rPr>
              <w:t xml:space="preserve">- </w:t>
            </w:r>
            <w:r w:rsidRPr="00272D1A">
              <w:rPr>
                <w:rFonts w:ascii="Arial" w:hAnsi="Arial" w:cs="Arial"/>
                <w:sz w:val="20"/>
              </w:rPr>
              <w:t xml:space="preserve">It has significant influence even though it holds less than 20 per cent of the voting rights of another entity </w:t>
            </w:r>
          </w:p>
          <w:p w14:paraId="49948985" w14:textId="77777777" w:rsidR="00E9016B" w:rsidRDefault="00E9016B" w:rsidP="00272D1A">
            <w:pPr>
              <w:shd w:val="clear" w:color="auto" w:fill="C1C1C1" w:themeFill="background1" w:themeFillTint="66"/>
              <w:spacing w:before="120" w:line="240" w:lineRule="atLeast"/>
              <w:rPr>
                <w:rFonts w:ascii="Arial" w:hAnsi="Arial" w:cs="Arial"/>
                <w:sz w:val="20"/>
              </w:rPr>
            </w:pPr>
          </w:p>
          <w:p w14:paraId="31C40485" w14:textId="6BCF9CA8" w:rsidR="00272D1A" w:rsidRDefault="00272D1A" w:rsidP="00272D1A">
            <w:pPr>
              <w:shd w:val="clear" w:color="auto" w:fill="C1C1C1" w:themeFill="background1" w:themeFillTint="66"/>
              <w:spacing w:before="120" w:line="240" w:lineRule="atLeast"/>
              <w:rPr>
                <w:rFonts w:ascii="Arial" w:hAnsi="Arial" w:cs="Arial"/>
                <w:sz w:val="20"/>
              </w:rPr>
            </w:pPr>
            <w:r w:rsidRPr="00272D1A">
              <w:rPr>
                <w:rFonts w:ascii="Arial" w:hAnsi="Arial" w:cs="Arial"/>
                <w:sz w:val="20"/>
              </w:rPr>
              <w:t>The Group assessed that it controls E</w:t>
            </w:r>
            <w:r w:rsidR="00D42E89">
              <w:rPr>
                <w:rFonts w:ascii="Arial" w:hAnsi="Arial" w:cs="Arial"/>
                <w:sz w:val="20"/>
              </w:rPr>
              <w:t>xtinguishers</w:t>
            </w:r>
            <w:r w:rsidRPr="00272D1A">
              <w:rPr>
                <w:rFonts w:ascii="Arial" w:hAnsi="Arial" w:cs="Arial"/>
                <w:sz w:val="20"/>
              </w:rPr>
              <w:t xml:space="preserve"> Limited, despite having less than a majority of the voting rights, based on the guidance under Ind AS110.B42. </w:t>
            </w:r>
          </w:p>
          <w:p w14:paraId="7B3914A3" w14:textId="77777777" w:rsidR="00E9016B" w:rsidRPr="00272D1A" w:rsidRDefault="00E9016B" w:rsidP="00272D1A">
            <w:pPr>
              <w:shd w:val="clear" w:color="auto" w:fill="C1C1C1" w:themeFill="background1" w:themeFillTint="66"/>
              <w:spacing w:before="120" w:line="240" w:lineRule="atLeast"/>
              <w:rPr>
                <w:rFonts w:ascii="Arial" w:hAnsi="Arial" w:cs="Arial"/>
                <w:sz w:val="20"/>
              </w:rPr>
            </w:pPr>
          </w:p>
          <w:p w14:paraId="47EE1F4F" w14:textId="57D9ADE5" w:rsidR="00272D1A" w:rsidRDefault="00272D1A" w:rsidP="00272D1A">
            <w:pPr>
              <w:shd w:val="clear" w:color="auto" w:fill="C1C1C1" w:themeFill="background1" w:themeFillTint="66"/>
              <w:spacing w:line="240" w:lineRule="atLeast"/>
              <w:rPr>
                <w:rFonts w:ascii="Arial" w:hAnsi="Arial" w:cs="Arial"/>
                <w:sz w:val="20"/>
              </w:rPr>
            </w:pPr>
            <w:r w:rsidRPr="00272D1A">
              <w:rPr>
                <w:rFonts w:ascii="Arial" w:hAnsi="Arial" w:cs="Arial"/>
                <w:sz w:val="20"/>
              </w:rPr>
              <w:t xml:space="preserve">The Group does not have any interest in unconsolidated structured entities. Interests in such entities require the disclosures under Ind AS 112.24-31. </w:t>
            </w:r>
          </w:p>
          <w:p w14:paraId="54F10D9F" w14:textId="77777777" w:rsidR="00E9016B" w:rsidRPr="00272D1A" w:rsidRDefault="00E9016B" w:rsidP="00272D1A">
            <w:pPr>
              <w:shd w:val="clear" w:color="auto" w:fill="C1C1C1" w:themeFill="background1" w:themeFillTint="66"/>
              <w:spacing w:line="240" w:lineRule="atLeast"/>
              <w:rPr>
                <w:rFonts w:ascii="Arial" w:hAnsi="Arial" w:cs="Arial"/>
                <w:sz w:val="20"/>
              </w:rPr>
            </w:pPr>
          </w:p>
          <w:p w14:paraId="1533EDFF" w14:textId="3EA46806" w:rsidR="00272D1A" w:rsidRDefault="00272D1A" w:rsidP="00272D1A">
            <w:pPr>
              <w:shd w:val="clear" w:color="auto" w:fill="C1C1C1" w:themeFill="background1" w:themeFillTint="66"/>
              <w:spacing w:line="240" w:lineRule="atLeast"/>
              <w:rPr>
                <w:rFonts w:ascii="Arial" w:hAnsi="Arial" w:cs="Arial"/>
                <w:sz w:val="20"/>
              </w:rPr>
            </w:pPr>
            <w:r w:rsidRPr="00272D1A">
              <w:rPr>
                <w:rFonts w:ascii="Arial" w:hAnsi="Arial" w:cs="Arial"/>
                <w:sz w:val="20"/>
              </w:rPr>
              <w:t xml:space="preserve">Ind AS 115.123 also adds to the general requirements of Ind AS 1 by requiring an entity to disclose the judgements, and changes in the judgements, made in applying the standard that significantly affect the determination of the amount and timing of revenue from contracts with customers. In particular, an entity must explain the judgements, and changes in the judgements, used in determining both the timing of satisfaction of performance obligations and the transaction price and the amounts allocated to performance obligations. The following are required by Ind AS 115: </w:t>
            </w:r>
          </w:p>
          <w:p w14:paraId="44379129" w14:textId="77777777" w:rsidR="00E9016B" w:rsidRPr="00272D1A" w:rsidRDefault="00E9016B" w:rsidP="00272D1A">
            <w:pPr>
              <w:shd w:val="clear" w:color="auto" w:fill="C1C1C1" w:themeFill="background1" w:themeFillTint="66"/>
              <w:spacing w:line="240" w:lineRule="atLeast"/>
              <w:rPr>
                <w:rFonts w:ascii="Arial" w:hAnsi="Arial" w:cs="Arial"/>
                <w:sz w:val="20"/>
              </w:rPr>
            </w:pPr>
          </w:p>
          <w:p w14:paraId="043E1061" w14:textId="7AF1D59F" w:rsidR="00272D1A" w:rsidRPr="00272D1A" w:rsidRDefault="00272D1A" w:rsidP="00272D1A">
            <w:pPr>
              <w:shd w:val="clear" w:color="auto" w:fill="C1C1C1" w:themeFill="background1" w:themeFillTint="66"/>
              <w:spacing w:line="240" w:lineRule="atLeast"/>
              <w:rPr>
                <w:rFonts w:ascii="Arial" w:hAnsi="Arial" w:cs="Arial"/>
                <w:sz w:val="20"/>
              </w:rPr>
            </w:pPr>
            <w:r w:rsidRPr="00272D1A">
              <w:rPr>
                <w:rFonts w:ascii="Arial" w:hAnsi="Arial" w:cs="Arial"/>
                <w:sz w:val="20"/>
              </w:rPr>
              <w:t>-</w:t>
            </w:r>
            <w:r>
              <w:rPr>
                <w:rFonts w:ascii="Arial" w:hAnsi="Arial" w:cs="Arial"/>
                <w:sz w:val="20"/>
              </w:rPr>
              <w:t xml:space="preserve"> </w:t>
            </w:r>
            <w:r w:rsidRPr="00272D1A">
              <w:rPr>
                <w:rFonts w:ascii="Arial" w:hAnsi="Arial" w:cs="Arial"/>
                <w:sz w:val="20"/>
              </w:rPr>
              <w:t xml:space="preserve">For performance obligations that an entity satisfies over time, the entity must disclose both the method used to recognise revenue and an explanation why the methods used provide a faithful depiction of the transfer of goods or services (Ind AS 115.124). </w:t>
            </w:r>
          </w:p>
          <w:p w14:paraId="53718149" w14:textId="77777777" w:rsidR="00272D1A" w:rsidRDefault="00272D1A" w:rsidP="00272D1A">
            <w:pPr>
              <w:shd w:val="clear" w:color="auto" w:fill="C1C1C1" w:themeFill="background1" w:themeFillTint="66"/>
              <w:spacing w:line="240" w:lineRule="atLeast"/>
              <w:rPr>
                <w:rFonts w:ascii="Arial" w:hAnsi="Arial" w:cs="Arial"/>
                <w:sz w:val="20"/>
              </w:rPr>
            </w:pPr>
            <w:r>
              <w:rPr>
                <w:rFonts w:ascii="Arial" w:hAnsi="Arial" w:cs="Arial"/>
                <w:sz w:val="20"/>
              </w:rPr>
              <w:t xml:space="preserve">- </w:t>
            </w:r>
            <w:r w:rsidRPr="00272D1A">
              <w:rPr>
                <w:rFonts w:ascii="Arial" w:hAnsi="Arial" w:cs="Arial"/>
                <w:sz w:val="20"/>
              </w:rPr>
              <w:t xml:space="preserve">For performance obligations satisfied at a point in time, the entity must disclose the significant judgements made in evaluating when a customer obtains control of promised goods or services (Ind AS 115.125). </w:t>
            </w:r>
          </w:p>
          <w:p w14:paraId="15239E4B" w14:textId="09C8A997" w:rsidR="00272D1A" w:rsidRPr="00272D1A" w:rsidRDefault="00272D1A" w:rsidP="00272D1A">
            <w:pPr>
              <w:shd w:val="clear" w:color="auto" w:fill="C1C1C1" w:themeFill="background1" w:themeFillTint="66"/>
              <w:spacing w:line="240" w:lineRule="atLeast"/>
              <w:rPr>
                <w:rFonts w:ascii="Arial" w:hAnsi="Arial" w:cs="Arial"/>
                <w:sz w:val="20"/>
              </w:rPr>
            </w:pPr>
            <w:r>
              <w:rPr>
                <w:rFonts w:ascii="Arial" w:hAnsi="Arial" w:cs="Arial"/>
                <w:sz w:val="20"/>
              </w:rPr>
              <w:t xml:space="preserve">- </w:t>
            </w:r>
            <w:r w:rsidRPr="00272D1A">
              <w:rPr>
                <w:rFonts w:ascii="Arial" w:hAnsi="Arial" w:cs="Arial"/>
                <w:sz w:val="20"/>
              </w:rPr>
              <w:t xml:space="preserve">An entity must disclose information about the methods, inputs and assumptions used to (Ind AS 115.126): </w:t>
            </w:r>
          </w:p>
          <w:p w14:paraId="127C670F" w14:textId="6D4C7C38" w:rsidR="00272D1A" w:rsidRPr="00272D1A" w:rsidRDefault="00272D1A" w:rsidP="00272D1A">
            <w:pPr>
              <w:shd w:val="clear" w:color="auto" w:fill="C1C1C1" w:themeFill="background1" w:themeFillTint="66"/>
              <w:spacing w:line="240" w:lineRule="atLeast"/>
              <w:rPr>
                <w:rFonts w:ascii="Arial" w:hAnsi="Arial" w:cs="Arial"/>
                <w:sz w:val="20"/>
              </w:rPr>
            </w:pPr>
            <w:r>
              <w:rPr>
                <w:rFonts w:ascii="Arial" w:hAnsi="Arial" w:cs="Arial"/>
                <w:sz w:val="20"/>
              </w:rPr>
              <w:t xml:space="preserve">- </w:t>
            </w:r>
            <w:r w:rsidRPr="00272D1A">
              <w:rPr>
                <w:rFonts w:ascii="Arial" w:hAnsi="Arial" w:cs="Arial"/>
                <w:sz w:val="20"/>
              </w:rPr>
              <w:t xml:space="preserve">Determine the transaction price, which includes, but is not limited to, estimating variable consideration, adjusting the consideration for the effects of the time value of money and measuring non-cash consideration </w:t>
            </w:r>
          </w:p>
          <w:p w14:paraId="498A6CB0" w14:textId="4BFCA1D1" w:rsidR="00272D1A" w:rsidRPr="00272D1A" w:rsidRDefault="00272D1A" w:rsidP="00272D1A">
            <w:pPr>
              <w:shd w:val="clear" w:color="auto" w:fill="C1C1C1" w:themeFill="background1" w:themeFillTint="66"/>
              <w:spacing w:line="240" w:lineRule="atLeast"/>
              <w:rPr>
                <w:rFonts w:ascii="Arial" w:hAnsi="Arial" w:cs="Arial"/>
                <w:sz w:val="20"/>
              </w:rPr>
            </w:pPr>
            <w:r>
              <w:rPr>
                <w:rFonts w:ascii="Arial" w:hAnsi="Arial" w:cs="Arial"/>
                <w:sz w:val="20"/>
              </w:rPr>
              <w:t xml:space="preserve">- </w:t>
            </w:r>
            <w:r w:rsidRPr="00272D1A">
              <w:rPr>
                <w:rFonts w:ascii="Arial" w:hAnsi="Arial" w:cs="Arial"/>
                <w:sz w:val="20"/>
              </w:rPr>
              <w:t xml:space="preserve">Assess whether an estimate of variable consideration is constrained </w:t>
            </w:r>
          </w:p>
          <w:p w14:paraId="5E78654A" w14:textId="36E1B03C" w:rsidR="00272D1A" w:rsidRPr="00272D1A" w:rsidRDefault="00272D1A" w:rsidP="00272D1A">
            <w:pPr>
              <w:shd w:val="clear" w:color="auto" w:fill="C1C1C1" w:themeFill="background1" w:themeFillTint="66"/>
              <w:spacing w:line="240" w:lineRule="atLeast"/>
              <w:rPr>
                <w:rFonts w:ascii="Arial" w:hAnsi="Arial" w:cs="Arial"/>
                <w:sz w:val="20"/>
              </w:rPr>
            </w:pPr>
            <w:r>
              <w:rPr>
                <w:rFonts w:ascii="Arial" w:hAnsi="Arial" w:cs="Arial"/>
                <w:sz w:val="20"/>
              </w:rPr>
              <w:t xml:space="preserve">- </w:t>
            </w:r>
            <w:r w:rsidRPr="00272D1A">
              <w:rPr>
                <w:rFonts w:ascii="Arial" w:hAnsi="Arial" w:cs="Arial"/>
                <w:sz w:val="20"/>
              </w:rPr>
              <w:t xml:space="preserve">Allocate the transaction price, including estimating stand-alone selling prices of promised goods or services and allocating discounts and variable consideration to a specific part of the contract (if applicable) </w:t>
            </w:r>
          </w:p>
          <w:p w14:paraId="4BD2C16B" w14:textId="22C8A9B6" w:rsidR="00272D1A" w:rsidRDefault="00272D1A" w:rsidP="00272D1A">
            <w:pPr>
              <w:shd w:val="clear" w:color="auto" w:fill="C1C1C1" w:themeFill="background1" w:themeFillTint="66"/>
              <w:spacing w:line="240" w:lineRule="atLeast"/>
              <w:rPr>
                <w:rFonts w:ascii="Arial" w:hAnsi="Arial" w:cs="Arial"/>
                <w:sz w:val="20"/>
              </w:rPr>
            </w:pPr>
            <w:r>
              <w:rPr>
                <w:rFonts w:ascii="Arial" w:hAnsi="Arial" w:cs="Arial"/>
                <w:sz w:val="20"/>
              </w:rPr>
              <w:t xml:space="preserve">- </w:t>
            </w:r>
            <w:r w:rsidRPr="00272D1A">
              <w:rPr>
                <w:rFonts w:ascii="Arial" w:hAnsi="Arial" w:cs="Arial"/>
                <w:sz w:val="20"/>
              </w:rPr>
              <w:t xml:space="preserve">Measure obligations for returns, refunds and other similar obligations </w:t>
            </w:r>
          </w:p>
          <w:p w14:paraId="07238077" w14:textId="77777777" w:rsidR="00E9016B" w:rsidRPr="00272D1A" w:rsidRDefault="00E9016B" w:rsidP="00272D1A">
            <w:pPr>
              <w:shd w:val="clear" w:color="auto" w:fill="C1C1C1" w:themeFill="background1" w:themeFillTint="66"/>
              <w:spacing w:line="240" w:lineRule="atLeast"/>
              <w:rPr>
                <w:rFonts w:ascii="Arial" w:hAnsi="Arial" w:cs="Arial"/>
                <w:sz w:val="20"/>
              </w:rPr>
            </w:pPr>
          </w:p>
          <w:p w14:paraId="29C48F04" w14:textId="6F52F12C" w:rsidR="00272D1A" w:rsidRPr="00272D1A" w:rsidRDefault="00272D1A" w:rsidP="00272D1A">
            <w:pPr>
              <w:pStyle w:val="Notesbodytext"/>
              <w:shd w:val="clear" w:color="auto" w:fill="C1C1C1" w:themeFill="background1" w:themeFillTint="66"/>
              <w:spacing w:after="0" w:line="280" w:lineRule="exact"/>
              <w:jc w:val="both"/>
              <w:rPr>
                <w:rFonts w:ascii="Arial" w:hAnsi="Arial"/>
                <w:color w:val="auto"/>
                <w:sz w:val="22"/>
                <w:szCs w:val="22"/>
              </w:rPr>
            </w:pPr>
            <w:r w:rsidRPr="00272D1A">
              <w:rPr>
                <w:rFonts w:ascii="Arial" w:hAnsi="Arial"/>
                <w:sz w:val="20"/>
              </w:rPr>
              <w:t>The Group disclosed those judgements that significantly affect the determination of the amount and timing of its revenue from contracts with customers. Some of the items listed in Ind AS 115.125-126 were considered not significant to the Group and did not warrant further disclosure. Entities will need to apply judgement to ensure the information disclosed is sufficient to meet the disclosure objective.</w:t>
            </w:r>
          </w:p>
          <w:p w14:paraId="05EEB433" w14:textId="3183C898" w:rsidR="00272D1A" w:rsidRDefault="00272D1A" w:rsidP="00272D1A">
            <w:pPr>
              <w:pStyle w:val="Notesbodytext"/>
              <w:shd w:val="clear" w:color="auto" w:fill="C1C1C1" w:themeFill="background1" w:themeFillTint="66"/>
              <w:spacing w:after="0" w:line="280" w:lineRule="exact"/>
              <w:jc w:val="both"/>
              <w:rPr>
                <w:rFonts w:ascii="Arial" w:hAnsi="Arial"/>
                <w:color w:val="auto"/>
                <w:sz w:val="20"/>
              </w:rPr>
            </w:pPr>
          </w:p>
          <w:p w14:paraId="27B32E4F" w14:textId="77777777" w:rsidR="00272D1A" w:rsidRPr="00E70587" w:rsidRDefault="00272D1A" w:rsidP="0091529F">
            <w:pPr>
              <w:pStyle w:val="Notesbodytext"/>
              <w:spacing w:after="0" w:line="280" w:lineRule="exact"/>
              <w:jc w:val="both"/>
              <w:rPr>
                <w:rFonts w:ascii="Arial" w:hAnsi="Arial"/>
                <w:color w:val="auto"/>
                <w:sz w:val="20"/>
              </w:rPr>
            </w:pPr>
          </w:p>
          <w:p w14:paraId="73D10508" w14:textId="77777777" w:rsidR="0091529F" w:rsidRPr="00E70587" w:rsidRDefault="0091529F" w:rsidP="0091529F">
            <w:pPr>
              <w:pStyle w:val="Heading4"/>
              <w:keepNext w:val="0"/>
              <w:spacing w:before="0" w:after="0" w:line="280" w:lineRule="exact"/>
              <w:jc w:val="both"/>
              <w:rPr>
                <w:rFonts w:ascii="Arial" w:hAnsi="Arial" w:cs="Arial"/>
                <w:szCs w:val="20"/>
              </w:rPr>
            </w:pPr>
            <w:r w:rsidRPr="00E70587">
              <w:rPr>
                <w:rFonts w:ascii="Arial" w:hAnsi="Arial" w:cs="Arial"/>
                <w:szCs w:val="20"/>
              </w:rPr>
              <w:t>Estimates and assumptions</w:t>
            </w:r>
          </w:p>
          <w:p w14:paraId="34BB0CA7" w14:textId="77777777" w:rsidR="0091529F" w:rsidRPr="00E70587" w:rsidRDefault="0091529F" w:rsidP="0091529F">
            <w:pPr>
              <w:pStyle w:val="Notesbodytext"/>
              <w:spacing w:after="0" w:line="280" w:lineRule="exact"/>
              <w:jc w:val="both"/>
              <w:rPr>
                <w:rFonts w:ascii="Arial" w:hAnsi="Arial"/>
                <w:color w:val="auto"/>
                <w:sz w:val="20"/>
              </w:rPr>
            </w:pPr>
          </w:p>
          <w:p w14:paraId="06E1292E" w14:textId="77777777" w:rsidR="0091529F" w:rsidRPr="00E70587"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The key assumptions concerning the future and other key sources of estimation uncertainty at the reporting date, that have a significant risk of causing a material adjustment to the carrying amounts of assets and liabilities within the next financial year, are described below. The Group based its assumptions and estimates on parameters available when the consolidated financial statements were prepared. Existing circumstances and assumptions about future developments, however, may change due to market changes or circumstances arising that are beyond the control of the Group. Such changes are reflected in the assumptions when they occur.</w:t>
            </w:r>
          </w:p>
          <w:p w14:paraId="06F57A45" w14:textId="77777777" w:rsidR="0091529F" w:rsidRPr="00E70587" w:rsidRDefault="0091529F" w:rsidP="0091529F">
            <w:pPr>
              <w:pStyle w:val="Notesitalicheading"/>
              <w:spacing w:line="280" w:lineRule="exact"/>
              <w:jc w:val="both"/>
              <w:rPr>
                <w:rFonts w:ascii="Arial" w:hAnsi="Arial"/>
                <w:b w:val="0"/>
                <w:i w:val="0"/>
                <w:color w:val="auto"/>
                <w:sz w:val="20"/>
              </w:rPr>
            </w:pPr>
          </w:p>
          <w:p w14:paraId="12605128" w14:textId="77777777" w:rsidR="0091529F" w:rsidRPr="00096874" w:rsidRDefault="0091529F" w:rsidP="0091529F">
            <w:pPr>
              <w:pStyle w:val="Notesitalicheading"/>
              <w:spacing w:line="280" w:lineRule="exact"/>
              <w:jc w:val="both"/>
              <w:rPr>
                <w:rFonts w:ascii="Arial" w:hAnsi="Arial"/>
                <w:i w:val="0"/>
                <w:iCs/>
                <w:color w:val="auto"/>
                <w:sz w:val="20"/>
              </w:rPr>
            </w:pPr>
            <w:r w:rsidRPr="00096874">
              <w:rPr>
                <w:rFonts w:ascii="Arial" w:hAnsi="Arial"/>
                <w:i w:val="0"/>
                <w:iCs/>
                <w:color w:val="auto"/>
                <w:sz w:val="20"/>
              </w:rPr>
              <w:t xml:space="preserve">Revaluation of property, plant and equipment </w:t>
            </w:r>
          </w:p>
          <w:p w14:paraId="141625D4" w14:textId="77777777" w:rsidR="0091529F" w:rsidRPr="00E70587" w:rsidRDefault="0091529F" w:rsidP="0091529F">
            <w:pPr>
              <w:pStyle w:val="Notesbodytext"/>
              <w:spacing w:after="0" w:line="280" w:lineRule="exact"/>
              <w:jc w:val="both"/>
              <w:rPr>
                <w:rFonts w:ascii="Arial" w:hAnsi="Arial"/>
                <w:color w:val="auto"/>
                <w:sz w:val="20"/>
              </w:rPr>
            </w:pPr>
          </w:p>
          <w:p w14:paraId="30B5F5A2" w14:textId="0E13CEF8" w:rsidR="0091529F" w:rsidRPr="00E70587"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The Group measures land and buildings classified as property, plant and equipment at revalued amounts with changes in fair value being recognised in OCI. The Group engaged an independent valuation specialist to assess fair value at 31 August 20</w:t>
            </w:r>
            <w:r>
              <w:rPr>
                <w:rFonts w:ascii="Arial" w:hAnsi="Arial"/>
                <w:color w:val="auto"/>
                <w:sz w:val="20"/>
              </w:rPr>
              <w:t>20</w:t>
            </w:r>
            <w:r w:rsidRPr="00E70587">
              <w:rPr>
                <w:rFonts w:ascii="Arial" w:hAnsi="Arial"/>
                <w:color w:val="auto"/>
                <w:sz w:val="20"/>
              </w:rPr>
              <w:t xml:space="preserve"> for revalued land and buildings. Land and buildings were valued by reference to market-based evidence, using comparable prices adjusted for specific market factors such as nature, location and condition of the property. The key assumptions used to determine fair value of the property and sensitivity analyses are provided in Note 3.</w:t>
            </w:r>
          </w:p>
          <w:p w14:paraId="4F9D037E" w14:textId="77777777" w:rsidR="0091529F" w:rsidRPr="00E70587" w:rsidRDefault="0091529F" w:rsidP="0091529F">
            <w:pPr>
              <w:pStyle w:val="Notesbodytext"/>
              <w:spacing w:after="0" w:line="280" w:lineRule="exact"/>
              <w:jc w:val="both"/>
              <w:rPr>
                <w:rFonts w:ascii="Arial" w:hAnsi="Arial"/>
                <w:color w:val="auto"/>
                <w:sz w:val="20"/>
              </w:rPr>
            </w:pPr>
          </w:p>
          <w:p w14:paraId="559BE917" w14:textId="77777777" w:rsidR="0091529F" w:rsidRPr="00E70587" w:rsidRDefault="0091529F" w:rsidP="0091529F">
            <w:pPr>
              <w:pStyle w:val="Notesitalicheading"/>
              <w:spacing w:line="280" w:lineRule="exact"/>
              <w:jc w:val="both"/>
              <w:rPr>
                <w:rFonts w:ascii="Arial" w:hAnsi="Arial"/>
                <w:color w:val="auto"/>
                <w:sz w:val="20"/>
              </w:rPr>
            </w:pPr>
            <w:r w:rsidRPr="00E70587">
              <w:rPr>
                <w:rFonts w:ascii="Arial" w:hAnsi="Arial"/>
                <w:color w:val="auto"/>
                <w:sz w:val="20"/>
              </w:rPr>
              <w:t>Impairment of non-financial assets</w:t>
            </w:r>
          </w:p>
          <w:p w14:paraId="5949FBE8" w14:textId="77777777" w:rsidR="0091529F" w:rsidRPr="00E70587" w:rsidRDefault="0091529F" w:rsidP="0091529F">
            <w:pPr>
              <w:pStyle w:val="Notesbodytext"/>
              <w:spacing w:after="0" w:line="280" w:lineRule="exact"/>
              <w:jc w:val="both"/>
              <w:rPr>
                <w:rFonts w:ascii="Arial" w:hAnsi="Arial"/>
                <w:color w:val="auto"/>
                <w:sz w:val="20"/>
              </w:rPr>
            </w:pPr>
          </w:p>
          <w:p w14:paraId="0651EA59" w14:textId="7EDD928A" w:rsidR="0091529F"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lastRenderedPageBreak/>
              <w:t>Impairment exists when the carrying value of an asset or cash generating unit exceeds its recoverable amount, which is the higher of its fair value less costs of disposal and its value in use. The fair value less costs of disposal calculation is based on available data from binding sales transactions, conducted at arm’s length, for similar assets or observable market prices less incremental costs for disposing of the asset. The value in use calculation is based on a DCF model. The cash flows are derived from the budget for the next five years and do not include restructuring activities that the Group is not yet committed to or significant future investments that will enhance the asset’s performance of the CGU</w:t>
            </w:r>
            <w:r w:rsidRPr="00E70587" w:rsidDel="00421702">
              <w:rPr>
                <w:rFonts w:ascii="Arial" w:hAnsi="Arial"/>
                <w:color w:val="auto"/>
                <w:sz w:val="20"/>
              </w:rPr>
              <w:t xml:space="preserve"> </w:t>
            </w:r>
            <w:r w:rsidRPr="00E70587">
              <w:rPr>
                <w:rFonts w:ascii="Arial" w:hAnsi="Arial"/>
                <w:color w:val="auto"/>
                <w:sz w:val="20"/>
              </w:rPr>
              <w:t>being tested. The recoverable amount is sensitive to the discount rate used for the DCF model as well as the expected future cash-inflows and the growth rate used for extrapolation purposes. These estimates are most relevant to goodwill and other intangibles with indefinite useful lives recognised by the Group. The key assumptions used to determine the recoverable amount for the different CGUs, including a sensitivity analysis, are disclosed and further explained in Note 6.</w:t>
            </w:r>
          </w:p>
          <w:p w14:paraId="154BB75D" w14:textId="14C62EC0" w:rsidR="00C45C61" w:rsidRDefault="00C45C61" w:rsidP="0091529F">
            <w:pPr>
              <w:pStyle w:val="Notesbodytext"/>
              <w:spacing w:after="0" w:line="280" w:lineRule="exact"/>
              <w:jc w:val="both"/>
              <w:rPr>
                <w:rFonts w:ascii="Arial" w:hAnsi="Arial"/>
                <w:color w:val="auto"/>
                <w:sz w:val="20"/>
              </w:rPr>
            </w:pPr>
          </w:p>
          <w:p w14:paraId="14145138" w14:textId="77777777" w:rsidR="00C45C61" w:rsidRPr="000D1E66" w:rsidRDefault="00C45C61" w:rsidP="000D1E66">
            <w:pPr>
              <w:pStyle w:val="Notesbodytext"/>
              <w:shd w:val="clear" w:color="auto" w:fill="A2A2A2" w:themeFill="background2" w:themeFillTint="99"/>
              <w:spacing w:line="280" w:lineRule="exact"/>
              <w:jc w:val="both"/>
              <w:rPr>
                <w:rFonts w:ascii="Arial" w:hAnsi="Arial"/>
                <w:b/>
                <w:bCs/>
                <w:color w:val="auto"/>
                <w:sz w:val="20"/>
              </w:rPr>
            </w:pPr>
            <w:r w:rsidRPr="000D1E66">
              <w:rPr>
                <w:rFonts w:ascii="Arial" w:hAnsi="Arial"/>
                <w:b/>
                <w:bCs/>
                <w:color w:val="auto"/>
                <w:sz w:val="20"/>
              </w:rPr>
              <w:t xml:space="preserve">Covid-19 commentary </w:t>
            </w:r>
          </w:p>
          <w:p w14:paraId="49A953CD" w14:textId="2B5C89C2" w:rsidR="00C45C61" w:rsidRPr="00C45C61" w:rsidRDefault="00C45C61" w:rsidP="000D1E66">
            <w:pPr>
              <w:pStyle w:val="Notesbodytext"/>
              <w:shd w:val="clear" w:color="auto" w:fill="A2A2A2" w:themeFill="background2" w:themeFillTint="99"/>
              <w:spacing w:line="280" w:lineRule="exact"/>
              <w:jc w:val="both"/>
              <w:rPr>
                <w:rFonts w:ascii="Arial" w:hAnsi="Arial"/>
                <w:color w:val="auto"/>
                <w:sz w:val="20"/>
              </w:rPr>
            </w:pPr>
            <w:r w:rsidRPr="00C45C61">
              <w:rPr>
                <w:rFonts w:ascii="Arial" w:hAnsi="Arial"/>
                <w:color w:val="auto"/>
                <w:sz w:val="20"/>
              </w:rPr>
              <w:t xml:space="preserve">As the current environment is uncertain, it is important that entities provide detailed disclosure of the assumptions made, the evidence they are based on and the impact of a change in the key assumptions (sensitivity analysis). </w:t>
            </w:r>
          </w:p>
          <w:p w14:paraId="36A405CE" w14:textId="181DA58E" w:rsidR="00C45C61" w:rsidRPr="00C45C61" w:rsidRDefault="00C45C61" w:rsidP="000D1E66">
            <w:pPr>
              <w:pStyle w:val="Notesbodytext"/>
              <w:shd w:val="clear" w:color="auto" w:fill="A2A2A2" w:themeFill="background2" w:themeFillTint="99"/>
              <w:spacing w:line="280" w:lineRule="exact"/>
              <w:jc w:val="both"/>
              <w:rPr>
                <w:rFonts w:ascii="Arial" w:hAnsi="Arial"/>
                <w:color w:val="auto"/>
                <w:sz w:val="20"/>
              </w:rPr>
            </w:pPr>
            <w:r w:rsidRPr="00C45C61">
              <w:rPr>
                <w:rFonts w:ascii="Arial" w:hAnsi="Arial"/>
                <w:color w:val="auto"/>
                <w:sz w:val="20"/>
              </w:rPr>
              <w:t xml:space="preserve">Given the inherent level of uncertainty and the sensitivity of judgements and estimates, disclosures of the key assumptions used, and judgements made in estimating recoverable amounts will be important.   </w:t>
            </w:r>
          </w:p>
          <w:p w14:paraId="66B63172" w14:textId="64146B21" w:rsidR="00C45C61" w:rsidRPr="00C45C61" w:rsidRDefault="00C45C61" w:rsidP="000D1E66">
            <w:pPr>
              <w:pStyle w:val="Notesbodytext"/>
              <w:shd w:val="clear" w:color="auto" w:fill="A2A2A2" w:themeFill="background2" w:themeFillTint="99"/>
              <w:spacing w:line="280" w:lineRule="exact"/>
              <w:jc w:val="both"/>
              <w:rPr>
                <w:rFonts w:ascii="Arial" w:hAnsi="Arial"/>
                <w:color w:val="auto"/>
                <w:sz w:val="20"/>
              </w:rPr>
            </w:pPr>
            <w:r w:rsidRPr="00C45C61">
              <w:rPr>
                <w:rFonts w:ascii="Arial" w:hAnsi="Arial"/>
                <w:color w:val="auto"/>
                <w:sz w:val="20"/>
              </w:rPr>
              <w:t xml:space="preserve">It is likely that the Covid-19 pandemic is a triggering event that requires an entity to perform an impairment test in accordance with IAS 36. Entities will need to assess the key assumptions used to determine the recoverable amount for the different CGUs. Key inputs to both the value in use and the fair value less cost of disposal models used to undertake the impairment assessment should be reassessed to factor in any impact. </w:t>
            </w:r>
          </w:p>
          <w:p w14:paraId="11FC2590" w14:textId="7E5EC2BA" w:rsidR="00C45C61" w:rsidRPr="00E70587" w:rsidRDefault="00C45C61" w:rsidP="000D1E66">
            <w:pPr>
              <w:pStyle w:val="Notesbodytext"/>
              <w:shd w:val="clear" w:color="auto" w:fill="A2A2A2" w:themeFill="background2" w:themeFillTint="99"/>
              <w:spacing w:line="280" w:lineRule="exact"/>
              <w:jc w:val="both"/>
              <w:rPr>
                <w:rFonts w:ascii="Arial" w:hAnsi="Arial"/>
                <w:color w:val="auto"/>
                <w:sz w:val="20"/>
              </w:rPr>
            </w:pPr>
            <w:r w:rsidRPr="00C45C61">
              <w:rPr>
                <w:rFonts w:ascii="Arial" w:hAnsi="Arial"/>
                <w:color w:val="auto"/>
                <w:sz w:val="20"/>
              </w:rPr>
              <w:t>The non-financial assets that are likely to be subject to such impairment triggers include: property, plant and equipment; intangible assets (including those with indefinite lives); goodwill; and inventories</w:t>
            </w:r>
          </w:p>
          <w:p w14:paraId="0F97FD80" w14:textId="77777777" w:rsidR="0091529F" w:rsidRPr="00E70587" w:rsidRDefault="0091529F" w:rsidP="0091529F">
            <w:pPr>
              <w:pStyle w:val="IAStext"/>
              <w:overflowPunct w:val="0"/>
              <w:autoSpaceDE w:val="0"/>
              <w:autoSpaceDN w:val="0"/>
              <w:adjustRightInd w:val="0"/>
              <w:spacing w:line="280" w:lineRule="exact"/>
              <w:jc w:val="both"/>
              <w:textAlignment w:val="baseline"/>
              <w:rPr>
                <w:rFonts w:ascii="Arial" w:hAnsi="Arial" w:cs="Arial"/>
                <w:sz w:val="20"/>
                <w:lang w:val="en-IN"/>
              </w:rPr>
            </w:pPr>
          </w:p>
          <w:p w14:paraId="54E4CE92" w14:textId="77777777" w:rsidR="0091529F" w:rsidRPr="00096874" w:rsidRDefault="0091529F" w:rsidP="0091529F">
            <w:pPr>
              <w:pStyle w:val="Notesitalicheading"/>
              <w:spacing w:line="280" w:lineRule="exact"/>
              <w:jc w:val="both"/>
              <w:rPr>
                <w:rFonts w:ascii="Arial" w:hAnsi="Arial"/>
                <w:i w:val="0"/>
                <w:iCs/>
                <w:color w:val="auto"/>
                <w:sz w:val="20"/>
              </w:rPr>
            </w:pPr>
            <w:r w:rsidRPr="00096874">
              <w:rPr>
                <w:rFonts w:ascii="Arial" w:hAnsi="Arial"/>
                <w:i w:val="0"/>
                <w:iCs/>
                <w:color w:val="auto"/>
                <w:sz w:val="20"/>
              </w:rPr>
              <w:t xml:space="preserve">Share-based payments </w:t>
            </w:r>
          </w:p>
          <w:p w14:paraId="68D5A448" w14:textId="77777777" w:rsidR="0091529F" w:rsidRPr="00E70587" w:rsidRDefault="0091529F" w:rsidP="0091529F">
            <w:pPr>
              <w:pStyle w:val="Notesbodytext"/>
              <w:spacing w:after="0" w:line="280" w:lineRule="exact"/>
              <w:jc w:val="both"/>
              <w:rPr>
                <w:rFonts w:ascii="Arial" w:hAnsi="Arial"/>
                <w:color w:val="auto"/>
                <w:sz w:val="20"/>
              </w:rPr>
            </w:pPr>
          </w:p>
          <w:p w14:paraId="670C57EA" w14:textId="28F7BB97" w:rsidR="0091529F" w:rsidRPr="00E70587"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The Group initially measures the cost of cash-settled transactions with employees using a binomial model to determine the fair value of the liability incurred. Estimating fair value for share-based payment transactions requires determination of the most appropriate valuation model, which is dependent on the terms and conditions of the grant. This estimate also requires determination of the most appropriate inputs to the valuation model including the expected life of the share option</w:t>
            </w:r>
            <w:r w:rsidRPr="00E70587">
              <w:rPr>
                <w:rFonts w:ascii="Arial" w:hAnsi="Arial"/>
                <w:b/>
                <w:color w:val="auto"/>
                <w:sz w:val="20"/>
              </w:rPr>
              <w:t>,</w:t>
            </w:r>
            <w:r w:rsidRPr="00E70587">
              <w:rPr>
                <w:rFonts w:ascii="Arial" w:hAnsi="Arial"/>
                <w:color w:val="auto"/>
                <w:sz w:val="20"/>
              </w:rPr>
              <w:t xml:space="preserve"> volatility and dividend yield and making assumptions about them. For cash-settled share-based payment transactions, the liability needs to be remeasured at the end of each reporting period up to the date of settlement, with any changes in fair value recognised in the profit </w:t>
            </w:r>
            <w:r w:rsidR="00CD5159">
              <w:rPr>
                <w:rFonts w:ascii="Arial" w:hAnsi="Arial"/>
                <w:color w:val="auto"/>
                <w:sz w:val="20"/>
              </w:rPr>
              <w:t>or</w:t>
            </w:r>
            <w:r w:rsidRPr="00E70587">
              <w:rPr>
                <w:rFonts w:ascii="Arial" w:hAnsi="Arial"/>
                <w:color w:val="auto"/>
                <w:sz w:val="20"/>
              </w:rPr>
              <w:t xml:space="preserve"> loss. This requires a reassessment of the estimates used at the end of each reporting period. The assumptions and models used for estimating fair value for share-based payment transactions are disclosed in Note 41.</w:t>
            </w:r>
          </w:p>
          <w:p w14:paraId="5F958C37" w14:textId="77777777" w:rsidR="0091529F" w:rsidRPr="00E70587" w:rsidRDefault="0091529F" w:rsidP="0091529F">
            <w:pPr>
              <w:pStyle w:val="Notesbodytext"/>
              <w:spacing w:after="0" w:line="280" w:lineRule="exact"/>
              <w:jc w:val="both"/>
              <w:rPr>
                <w:rFonts w:ascii="Arial" w:hAnsi="Arial"/>
                <w:color w:val="auto"/>
                <w:sz w:val="20"/>
              </w:rPr>
            </w:pPr>
          </w:p>
          <w:p w14:paraId="0730FC84" w14:textId="77777777" w:rsidR="0091529F" w:rsidRPr="00096874" w:rsidRDefault="0091529F" w:rsidP="0091529F">
            <w:pPr>
              <w:pStyle w:val="Notesitalicheading"/>
              <w:spacing w:line="280" w:lineRule="exact"/>
              <w:jc w:val="both"/>
              <w:rPr>
                <w:rFonts w:ascii="Arial" w:hAnsi="Arial"/>
                <w:i w:val="0"/>
                <w:iCs/>
                <w:color w:val="auto"/>
                <w:sz w:val="20"/>
              </w:rPr>
            </w:pPr>
            <w:r w:rsidRPr="00096874">
              <w:rPr>
                <w:rFonts w:ascii="Arial" w:hAnsi="Arial"/>
                <w:i w:val="0"/>
                <w:iCs/>
                <w:color w:val="auto"/>
                <w:sz w:val="20"/>
              </w:rPr>
              <w:t>Taxes</w:t>
            </w:r>
          </w:p>
          <w:p w14:paraId="7D5401F5" w14:textId="77777777" w:rsidR="0091529F" w:rsidRPr="00E70587" w:rsidRDefault="0091529F" w:rsidP="0091529F">
            <w:pPr>
              <w:pStyle w:val="Notesbodytext"/>
              <w:spacing w:after="0" w:line="280" w:lineRule="exact"/>
              <w:jc w:val="both"/>
              <w:rPr>
                <w:rFonts w:ascii="Arial" w:hAnsi="Arial"/>
                <w:color w:val="auto"/>
                <w:sz w:val="20"/>
              </w:rPr>
            </w:pPr>
          </w:p>
          <w:p w14:paraId="1ADC0213" w14:textId="77777777" w:rsidR="0091529F" w:rsidRPr="00E70587"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Deferred tax assets are recognised for unused tax losses to the extent that it is probable that taxable profit will be available against which the losses can be utilised. Significant management judgement is required to determine the amount of deferred tax assets that can be recognised, based upon the likely timing and the level of future taxable profits together with future tax planning strategies.</w:t>
            </w:r>
          </w:p>
          <w:p w14:paraId="0548664D" w14:textId="77777777" w:rsidR="0091529F" w:rsidRPr="00E70587" w:rsidRDefault="0091529F" w:rsidP="0091529F">
            <w:pPr>
              <w:pStyle w:val="Notesbodytext"/>
              <w:spacing w:after="0" w:line="280" w:lineRule="exact"/>
              <w:jc w:val="both"/>
              <w:rPr>
                <w:rFonts w:ascii="Arial" w:hAnsi="Arial"/>
                <w:color w:val="auto"/>
                <w:sz w:val="20"/>
              </w:rPr>
            </w:pPr>
          </w:p>
          <w:p w14:paraId="458951D1" w14:textId="42E44BE0" w:rsidR="0091529F" w:rsidRPr="00E70587"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The Group has INR 769 (31 March 20</w:t>
            </w:r>
            <w:r>
              <w:rPr>
                <w:rFonts w:ascii="Arial" w:hAnsi="Arial"/>
                <w:color w:val="auto"/>
                <w:sz w:val="20"/>
              </w:rPr>
              <w:t>20</w:t>
            </w:r>
            <w:r w:rsidRPr="00E70587">
              <w:rPr>
                <w:rFonts w:ascii="Arial" w:hAnsi="Arial"/>
                <w:color w:val="auto"/>
                <w:sz w:val="20"/>
              </w:rPr>
              <w:t xml:space="preserve">: INR 2,156) of tax losses carried forward. These losses relate to subsidiaries that have a history of losses, expire in 8 years and may not be used to offset taxable income </w:t>
            </w:r>
            <w:r w:rsidRPr="00E70587">
              <w:rPr>
                <w:rFonts w:ascii="Arial" w:hAnsi="Arial"/>
                <w:color w:val="auto"/>
                <w:sz w:val="20"/>
              </w:rPr>
              <w:lastRenderedPageBreak/>
              <w:t xml:space="preserve">elsewhere in the Group. The subsidiaries neither have any taxable temporary difference nor any tax planning opportunities available that could partly support the recognition of these losses as deferred tax assets. On this basis, the Group has determined that it cannot recognise deferred tax assets on the tax losses carried forward. </w:t>
            </w:r>
          </w:p>
          <w:p w14:paraId="4014A175" w14:textId="77777777" w:rsidR="0091529F" w:rsidRPr="00E70587" w:rsidRDefault="0091529F" w:rsidP="0091529F">
            <w:pPr>
              <w:pStyle w:val="Notesbodytext"/>
              <w:spacing w:after="0" w:line="280" w:lineRule="exact"/>
              <w:jc w:val="both"/>
              <w:rPr>
                <w:rFonts w:ascii="Arial" w:hAnsi="Arial"/>
                <w:color w:val="auto"/>
                <w:sz w:val="20"/>
              </w:rPr>
            </w:pPr>
          </w:p>
          <w:p w14:paraId="7282D9DF" w14:textId="77777777" w:rsidR="0091529F" w:rsidRPr="00E70587"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If the Group was able to recognise all unrecognised deferred tax assets, profit and equity would have increased by INR 230. Further details on taxes are disclosed in Note 19.</w:t>
            </w:r>
          </w:p>
          <w:p w14:paraId="20ED2E15" w14:textId="77777777" w:rsidR="0091529F" w:rsidRPr="00E70587" w:rsidRDefault="0091529F" w:rsidP="0091529F">
            <w:pPr>
              <w:pStyle w:val="Notesbodytext"/>
              <w:spacing w:after="0" w:line="280" w:lineRule="exact"/>
              <w:jc w:val="both"/>
              <w:rPr>
                <w:rFonts w:ascii="Arial" w:hAnsi="Arial"/>
                <w:color w:val="auto"/>
                <w:sz w:val="20"/>
              </w:rPr>
            </w:pPr>
          </w:p>
          <w:p w14:paraId="460DAF06" w14:textId="77777777" w:rsidR="0091529F" w:rsidRPr="00D347A4" w:rsidRDefault="0091529F" w:rsidP="0091529F">
            <w:pPr>
              <w:pStyle w:val="Notesitalicheading"/>
              <w:spacing w:line="280" w:lineRule="exact"/>
              <w:jc w:val="both"/>
              <w:rPr>
                <w:rFonts w:ascii="Arial" w:hAnsi="Arial"/>
                <w:i w:val="0"/>
                <w:iCs/>
                <w:color w:val="auto"/>
                <w:sz w:val="20"/>
              </w:rPr>
            </w:pPr>
            <w:r w:rsidRPr="00D347A4">
              <w:rPr>
                <w:rFonts w:ascii="Arial" w:hAnsi="Arial"/>
                <w:i w:val="0"/>
                <w:iCs/>
                <w:color w:val="auto"/>
                <w:sz w:val="20"/>
              </w:rPr>
              <w:t>Defined benefit plans (gratuity benefits)</w:t>
            </w:r>
          </w:p>
          <w:p w14:paraId="16005964" w14:textId="77777777" w:rsidR="0091529F" w:rsidRPr="00E70587" w:rsidRDefault="0091529F" w:rsidP="0091529F">
            <w:pPr>
              <w:pStyle w:val="Notesbodytext"/>
              <w:spacing w:after="0" w:line="280" w:lineRule="exact"/>
              <w:jc w:val="both"/>
              <w:rPr>
                <w:rFonts w:ascii="Arial" w:hAnsi="Arial"/>
                <w:color w:val="auto"/>
                <w:sz w:val="20"/>
              </w:rPr>
            </w:pPr>
          </w:p>
          <w:p w14:paraId="26720D7F" w14:textId="4B3F96CF" w:rsidR="0091529F" w:rsidRPr="00E70587" w:rsidDel="008F0129"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 xml:space="preserve">The cost of the defined benefit gratuity plan and other post-employment medical benefits and the present value of the gratuity obligation are determined using actuarial valuations. An actuarial valuation involves making various assumptions that may differ from actual developments in the future. These include the determination of the discount rate; future salary increases and mortality rates. Due to the complexities involved in the valuation and its long-term nature, a defined benefit obligation is highly sensitive to changes in these assumptions. All assumptions are reviewed at each reporting date. </w:t>
            </w:r>
          </w:p>
          <w:p w14:paraId="007C9583" w14:textId="77777777" w:rsidR="0091529F" w:rsidRPr="00E70587" w:rsidRDefault="0091529F" w:rsidP="0091529F">
            <w:pPr>
              <w:pStyle w:val="Notesbodytext"/>
              <w:spacing w:after="0" w:line="280" w:lineRule="exact"/>
              <w:jc w:val="both"/>
              <w:rPr>
                <w:rFonts w:ascii="Arial" w:hAnsi="Arial"/>
                <w:color w:val="auto"/>
                <w:sz w:val="20"/>
              </w:rPr>
            </w:pPr>
          </w:p>
          <w:p w14:paraId="468063EF" w14:textId="61895325" w:rsidR="0091529F" w:rsidRPr="00E70587"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 xml:space="preserve">The parameter most subject to change is the discount rate. In determining the appropriate discount rate for plans operated in India, the management considers the interest rates of government bonds </w:t>
            </w:r>
            <w:r w:rsidRPr="00424B18">
              <w:rPr>
                <w:rFonts w:ascii="Arial" w:hAnsi="Arial"/>
                <w:color w:val="auto"/>
                <w:sz w:val="20"/>
              </w:rPr>
              <w:t>where remaining maturity of such bond correspond to expected term of defined benefit obligation</w:t>
            </w:r>
            <w:r w:rsidRPr="00E70587">
              <w:rPr>
                <w:rFonts w:ascii="Arial" w:hAnsi="Arial"/>
                <w:color w:val="auto"/>
                <w:sz w:val="20"/>
              </w:rPr>
              <w:t xml:space="preserve">. For plans operated outside India, the management considers the interest rates of </w:t>
            </w:r>
            <w:proofErr w:type="gramStart"/>
            <w:r w:rsidRPr="00E70587">
              <w:rPr>
                <w:rFonts w:ascii="Arial" w:hAnsi="Arial"/>
                <w:color w:val="auto"/>
                <w:sz w:val="20"/>
              </w:rPr>
              <w:t>high quality</w:t>
            </w:r>
            <w:proofErr w:type="gramEnd"/>
            <w:r w:rsidRPr="00E70587">
              <w:rPr>
                <w:rFonts w:ascii="Arial" w:hAnsi="Arial"/>
                <w:color w:val="auto"/>
                <w:sz w:val="20"/>
              </w:rPr>
              <w:t xml:space="preserve"> corporate bonds in currencies consistent with the currencies of the post-employment benefit obligation with at least an ‘AA’ rating or above, as set by an internationally acknowledged rating agency, and extrapolated as needed along the yield curve to correspond with the expected term of the defined benefit obligation. The underlying bonds are further reviewed for quality. Those having excessive credit spreads are excluded from the analysis of bonds on which the discount rate is based, on the basis that they do not represent high quality corporate bonds.</w:t>
            </w:r>
          </w:p>
          <w:p w14:paraId="46869B25" w14:textId="77777777" w:rsidR="0091529F" w:rsidRPr="00E70587" w:rsidRDefault="0091529F" w:rsidP="0091529F">
            <w:pPr>
              <w:pStyle w:val="Notesbodytext"/>
              <w:spacing w:after="0" w:line="280" w:lineRule="exact"/>
              <w:jc w:val="both"/>
              <w:rPr>
                <w:rFonts w:ascii="Arial" w:hAnsi="Arial"/>
                <w:color w:val="auto"/>
                <w:sz w:val="20"/>
              </w:rPr>
            </w:pPr>
          </w:p>
          <w:p w14:paraId="34FABF25" w14:textId="77777777" w:rsidR="0091529F" w:rsidRPr="00E70587"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The mortality rate is based on publicly available mortality tables for the specific countries. Those mortality tables tend to change only at interval in response to demographic changes. Future salary increases and gratuity increases are based on expected future inflation rates for the respective countries.</w:t>
            </w:r>
          </w:p>
          <w:p w14:paraId="1283CD14" w14:textId="77777777" w:rsidR="0091529F" w:rsidRPr="00E70587" w:rsidRDefault="0091529F" w:rsidP="0091529F">
            <w:pPr>
              <w:pStyle w:val="Notesbodytext"/>
              <w:spacing w:after="0" w:line="280" w:lineRule="exact"/>
              <w:jc w:val="both"/>
              <w:rPr>
                <w:rFonts w:ascii="Arial" w:hAnsi="Arial"/>
                <w:color w:val="auto"/>
                <w:sz w:val="20"/>
              </w:rPr>
            </w:pPr>
          </w:p>
          <w:p w14:paraId="655F3B8D" w14:textId="77777777" w:rsidR="0091529F" w:rsidRPr="00E70587"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Further details about gratuity obligations are given in Note 40.</w:t>
            </w:r>
          </w:p>
          <w:p w14:paraId="117C6E69" w14:textId="77777777" w:rsidR="0091529F" w:rsidRPr="00E70587" w:rsidRDefault="0091529F" w:rsidP="0091529F">
            <w:pPr>
              <w:pStyle w:val="Notesbodytext"/>
              <w:spacing w:after="0" w:line="280" w:lineRule="exact"/>
              <w:jc w:val="both"/>
              <w:rPr>
                <w:rFonts w:ascii="Arial" w:hAnsi="Arial"/>
                <w:color w:val="auto"/>
                <w:sz w:val="20"/>
              </w:rPr>
            </w:pPr>
          </w:p>
          <w:p w14:paraId="6DA471FB" w14:textId="77777777" w:rsidR="0091529F" w:rsidRPr="00D347A4" w:rsidRDefault="0091529F" w:rsidP="0091529F">
            <w:pPr>
              <w:pStyle w:val="Notesitalicheading"/>
              <w:spacing w:line="280" w:lineRule="exact"/>
              <w:jc w:val="both"/>
              <w:rPr>
                <w:rFonts w:ascii="Arial" w:hAnsi="Arial"/>
                <w:i w:val="0"/>
                <w:iCs/>
                <w:color w:val="auto"/>
                <w:sz w:val="20"/>
              </w:rPr>
            </w:pPr>
            <w:r w:rsidRPr="00D347A4">
              <w:rPr>
                <w:rFonts w:ascii="Arial" w:hAnsi="Arial"/>
                <w:i w:val="0"/>
                <w:iCs/>
                <w:color w:val="auto"/>
                <w:sz w:val="20"/>
              </w:rPr>
              <w:t>Fair value measurement of financial instruments</w:t>
            </w:r>
          </w:p>
          <w:p w14:paraId="58B5A118" w14:textId="77777777" w:rsidR="0091529F" w:rsidRPr="00E70587" w:rsidRDefault="0091529F" w:rsidP="0091529F">
            <w:pPr>
              <w:pStyle w:val="Notesbodytext"/>
              <w:spacing w:after="0" w:line="280" w:lineRule="exact"/>
              <w:jc w:val="both"/>
              <w:rPr>
                <w:rFonts w:ascii="Arial" w:hAnsi="Arial"/>
                <w:color w:val="auto"/>
                <w:sz w:val="20"/>
              </w:rPr>
            </w:pPr>
          </w:p>
          <w:p w14:paraId="4AF1F9BF" w14:textId="77777777" w:rsidR="0091529F" w:rsidRPr="00E70587"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When the fair values of financial assets and financial liabilities recorded in the balance sheet cannot be measured based on quoted prices in active markets, their fair value is measured using valuation techniques including the DCF model. The inputs to these models are taken from observable markets where possible, but where this is not feasible, a degree of judgement is required in establishing fair values. Judgements include considerations of inputs such as liquidity risk, credit risk and volatility. Changes in assumptions about these factors could affect the reported fair value of financial instruments. See Note 47 for further disclosures.</w:t>
            </w:r>
          </w:p>
          <w:p w14:paraId="40070108" w14:textId="77777777" w:rsidR="0091529F" w:rsidRPr="00E70587" w:rsidRDefault="0091529F" w:rsidP="0091529F">
            <w:pPr>
              <w:pStyle w:val="Notesbodytext"/>
              <w:spacing w:after="0" w:line="280" w:lineRule="exact"/>
              <w:jc w:val="both"/>
              <w:rPr>
                <w:rFonts w:ascii="Arial" w:hAnsi="Arial"/>
                <w:color w:val="auto"/>
                <w:sz w:val="20"/>
              </w:rPr>
            </w:pPr>
          </w:p>
          <w:p w14:paraId="67BF7847" w14:textId="77777777" w:rsidR="0091529F" w:rsidRPr="00E70587"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Contingent consideration, resulting from business combinations, is valued at fair value at the acquisition date as part of the business combination. When the contingent consideration meets the definition of a financial liability, it is subsequently remeasured to fair value at each reporting date. The determination of the fair value is based on discounted cash flows. The key assumptions take into consideration the probability of meeting each performance target and the discount factor.</w:t>
            </w:r>
          </w:p>
          <w:p w14:paraId="37763CF8" w14:textId="77777777" w:rsidR="0091529F" w:rsidRPr="00E70587" w:rsidRDefault="0091529F" w:rsidP="0091529F">
            <w:pPr>
              <w:pStyle w:val="Notesbodytext"/>
              <w:spacing w:after="0" w:line="280" w:lineRule="exact"/>
              <w:jc w:val="both"/>
              <w:rPr>
                <w:rFonts w:ascii="Arial" w:hAnsi="Arial"/>
                <w:color w:val="auto"/>
                <w:sz w:val="20"/>
              </w:rPr>
            </w:pPr>
          </w:p>
          <w:p w14:paraId="4E0DD5A0" w14:textId="77777777" w:rsidR="0091529F" w:rsidRPr="00E70587"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lastRenderedPageBreak/>
              <w:t>As part of the accounting for the acquisition of Extinguishers Limited, contingent consideration with an estimated fair value of INR 1,285 was recognised at the acquisition date and remeasured to INR 1,929 as at the reporting date. Future developments may require further revisions to the estimate. The maximum consideration to be paid is INR 2,025. The contingent consideration is classified as other financial liability</w:t>
            </w:r>
          </w:p>
          <w:p w14:paraId="03C94BAC" w14:textId="77777777" w:rsidR="0091529F" w:rsidRPr="00E70587" w:rsidRDefault="0091529F" w:rsidP="0091529F">
            <w:pPr>
              <w:pStyle w:val="Notesbodytext"/>
              <w:spacing w:after="0" w:line="280" w:lineRule="exact"/>
              <w:jc w:val="both"/>
              <w:rPr>
                <w:rFonts w:ascii="Arial" w:hAnsi="Arial"/>
                <w:color w:val="auto"/>
                <w:sz w:val="20"/>
              </w:rPr>
            </w:pPr>
          </w:p>
          <w:p w14:paraId="5C68B237" w14:textId="77777777" w:rsidR="0091529F" w:rsidRPr="00E70587" w:rsidRDefault="0091529F" w:rsidP="0091529F">
            <w:pPr>
              <w:pStyle w:val="Notesitalicheading"/>
              <w:spacing w:line="280" w:lineRule="exact"/>
              <w:jc w:val="both"/>
              <w:rPr>
                <w:rFonts w:ascii="Arial" w:hAnsi="Arial"/>
                <w:color w:val="auto"/>
                <w:sz w:val="20"/>
              </w:rPr>
            </w:pPr>
            <w:r w:rsidRPr="00E70587">
              <w:rPr>
                <w:rFonts w:ascii="Arial" w:hAnsi="Arial"/>
                <w:color w:val="auto"/>
                <w:sz w:val="20"/>
              </w:rPr>
              <w:t>Intangible asset under development</w:t>
            </w:r>
          </w:p>
          <w:p w14:paraId="3789D2AE" w14:textId="77777777" w:rsidR="0091529F" w:rsidRPr="00E70587" w:rsidRDefault="0091529F" w:rsidP="0091529F">
            <w:pPr>
              <w:pStyle w:val="Notesbodytext"/>
              <w:spacing w:after="0" w:line="280" w:lineRule="exact"/>
              <w:jc w:val="both"/>
              <w:rPr>
                <w:rFonts w:ascii="Arial" w:hAnsi="Arial"/>
                <w:color w:val="auto"/>
                <w:sz w:val="20"/>
              </w:rPr>
            </w:pPr>
          </w:p>
          <w:p w14:paraId="3D6429DD" w14:textId="313C1D07" w:rsidR="0091529F" w:rsidRPr="00E70587"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The Group capitalises development costs for a project in accordance with the accounting policy. Initial capitalisation of costs is based on management’s judgement that technological and economic feasibility is confirmed, usually when a product development project has reached a defined milestone according to an established project management model. In determining the amounts to be capitalised, management makes assumptions regarding the expected future cash generation of the project, discount rates to be applied and the expected period of benefits. At 31 March 20</w:t>
            </w:r>
            <w:r>
              <w:rPr>
                <w:rFonts w:ascii="Arial" w:hAnsi="Arial"/>
                <w:color w:val="auto"/>
                <w:sz w:val="20"/>
              </w:rPr>
              <w:t>21</w:t>
            </w:r>
            <w:r w:rsidRPr="00E70587">
              <w:rPr>
                <w:rFonts w:ascii="Arial" w:hAnsi="Arial"/>
                <w:color w:val="auto"/>
                <w:sz w:val="20"/>
              </w:rPr>
              <w:t xml:space="preserve">, the carrying amount of capitalised development costs was INR </w:t>
            </w:r>
            <w:r w:rsidR="008935DC">
              <w:rPr>
                <w:rFonts w:ascii="Arial" w:hAnsi="Arial"/>
                <w:color w:val="auto"/>
                <w:sz w:val="20"/>
              </w:rPr>
              <w:t>1,759</w:t>
            </w:r>
            <w:r w:rsidRPr="00E70587">
              <w:rPr>
                <w:rFonts w:ascii="Arial" w:hAnsi="Arial"/>
                <w:color w:val="auto"/>
                <w:sz w:val="20"/>
              </w:rPr>
              <w:t xml:space="preserve"> (31 March 20</w:t>
            </w:r>
            <w:r>
              <w:rPr>
                <w:rFonts w:ascii="Arial" w:hAnsi="Arial"/>
                <w:color w:val="auto"/>
                <w:sz w:val="20"/>
              </w:rPr>
              <w:t>20</w:t>
            </w:r>
            <w:r w:rsidRPr="00E70587">
              <w:rPr>
                <w:rFonts w:ascii="Arial" w:hAnsi="Arial"/>
                <w:color w:val="auto"/>
                <w:sz w:val="20"/>
              </w:rPr>
              <w:t xml:space="preserve">: INR </w:t>
            </w:r>
            <w:r w:rsidR="008935DC">
              <w:rPr>
                <w:rFonts w:ascii="Arial" w:hAnsi="Arial"/>
                <w:color w:val="auto"/>
                <w:sz w:val="20"/>
              </w:rPr>
              <w:t>702</w:t>
            </w:r>
            <w:r w:rsidRPr="00E70587">
              <w:rPr>
                <w:rFonts w:ascii="Arial" w:hAnsi="Arial"/>
                <w:color w:val="auto"/>
                <w:sz w:val="20"/>
              </w:rPr>
              <w:t>).</w:t>
            </w:r>
          </w:p>
          <w:p w14:paraId="46A6D628" w14:textId="77777777" w:rsidR="0091529F" w:rsidRPr="00E70587" w:rsidRDefault="0091529F" w:rsidP="0091529F">
            <w:pPr>
              <w:pStyle w:val="Notesbodytext"/>
              <w:spacing w:after="0" w:line="280" w:lineRule="exact"/>
              <w:jc w:val="both"/>
              <w:rPr>
                <w:rFonts w:ascii="Arial" w:hAnsi="Arial"/>
                <w:color w:val="auto"/>
                <w:sz w:val="20"/>
              </w:rPr>
            </w:pPr>
          </w:p>
          <w:p w14:paraId="09729254" w14:textId="77777777" w:rsidR="0091529F" w:rsidRPr="00E70587"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This amount includes significant investment in the development of an innovative fire prevention system. Prior to being marketed, it will need to obtain a safety certificate issued by the relevant regulatory authorities. The innovative nature of the product gives rise to some uncertainty as to whether the certificate will be obtained.</w:t>
            </w:r>
          </w:p>
          <w:p w14:paraId="0B64532C" w14:textId="77777777" w:rsidR="0091529F" w:rsidRPr="00E70587" w:rsidRDefault="0091529F" w:rsidP="0091529F">
            <w:pPr>
              <w:pStyle w:val="Notesbodytext"/>
              <w:spacing w:after="0" w:line="280" w:lineRule="exact"/>
              <w:jc w:val="both"/>
              <w:rPr>
                <w:rFonts w:ascii="Arial" w:hAnsi="Arial"/>
                <w:color w:val="auto"/>
                <w:sz w:val="20"/>
              </w:rPr>
            </w:pPr>
          </w:p>
          <w:p w14:paraId="22D76A5F" w14:textId="77777777" w:rsidR="0091529F" w:rsidRPr="002A4097" w:rsidRDefault="0091529F" w:rsidP="0091529F">
            <w:pPr>
              <w:pStyle w:val="Notesitalicheading"/>
              <w:spacing w:line="280" w:lineRule="exact"/>
              <w:jc w:val="both"/>
              <w:rPr>
                <w:rFonts w:ascii="Arial" w:hAnsi="Arial"/>
                <w:i w:val="0"/>
                <w:iCs/>
                <w:color w:val="auto"/>
                <w:sz w:val="20"/>
              </w:rPr>
            </w:pPr>
            <w:r w:rsidRPr="002A4097">
              <w:rPr>
                <w:rFonts w:ascii="Arial" w:hAnsi="Arial"/>
                <w:i w:val="0"/>
                <w:iCs/>
                <w:color w:val="auto"/>
                <w:sz w:val="20"/>
              </w:rPr>
              <w:t>Provision for decommissioning</w:t>
            </w:r>
          </w:p>
          <w:p w14:paraId="3D187882" w14:textId="77777777" w:rsidR="0091529F" w:rsidRPr="00E70587" w:rsidRDefault="0091529F" w:rsidP="0091529F">
            <w:pPr>
              <w:pStyle w:val="Notesbodytext"/>
              <w:spacing w:after="0" w:line="280" w:lineRule="exact"/>
              <w:jc w:val="both"/>
              <w:rPr>
                <w:rFonts w:ascii="Arial" w:hAnsi="Arial"/>
                <w:color w:val="auto"/>
                <w:sz w:val="20"/>
              </w:rPr>
            </w:pPr>
          </w:p>
          <w:p w14:paraId="6ED3DD54" w14:textId="32E90B0B" w:rsidR="0091529F" w:rsidRPr="00E70587"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As part of the identification and measurement of assets and liabilities for the acquisition of Extinguishers Limited in October 20</w:t>
            </w:r>
            <w:r>
              <w:rPr>
                <w:rFonts w:ascii="Arial" w:hAnsi="Arial"/>
                <w:color w:val="auto"/>
                <w:sz w:val="20"/>
              </w:rPr>
              <w:t>20</w:t>
            </w:r>
            <w:r w:rsidRPr="00E70587">
              <w:rPr>
                <w:rFonts w:ascii="Arial" w:hAnsi="Arial"/>
                <w:color w:val="auto"/>
                <w:sz w:val="20"/>
              </w:rPr>
              <w:t>, the Group has recognised a provision for decommissioning obligations associated with a factory owned by Extinguishers Limited. In determining the fair value of the provision, assumptions and estimates are made in relation to discount rates, the expected cost to dismantle and remove the plant from the site and the expected timing of those costs. The carrying amount of the provision as at 31 March 20</w:t>
            </w:r>
            <w:r>
              <w:rPr>
                <w:rFonts w:ascii="Arial" w:hAnsi="Arial"/>
                <w:color w:val="auto"/>
                <w:sz w:val="20"/>
              </w:rPr>
              <w:t>21</w:t>
            </w:r>
            <w:r w:rsidRPr="00E70587">
              <w:rPr>
                <w:rFonts w:ascii="Arial" w:hAnsi="Arial"/>
                <w:color w:val="auto"/>
                <w:sz w:val="20"/>
              </w:rPr>
              <w:t xml:space="preserve"> was INR 2,198 (31 March 20</w:t>
            </w:r>
            <w:r>
              <w:rPr>
                <w:rFonts w:ascii="Arial" w:hAnsi="Arial"/>
                <w:color w:val="auto"/>
                <w:sz w:val="20"/>
              </w:rPr>
              <w:t>20</w:t>
            </w:r>
            <w:r w:rsidRPr="00E70587">
              <w:rPr>
                <w:rFonts w:ascii="Arial" w:hAnsi="Arial"/>
                <w:color w:val="auto"/>
                <w:sz w:val="20"/>
              </w:rPr>
              <w:t>: Nil). The Group estimates that the costs would be realised in 15 years’ time upon the expiration of the lease and calculates the provision using the DCF method based on the following assumptions:</w:t>
            </w:r>
          </w:p>
          <w:p w14:paraId="50DED201" w14:textId="77777777" w:rsidR="0091529F" w:rsidRPr="00E70587" w:rsidRDefault="0091529F" w:rsidP="0091529F">
            <w:pPr>
              <w:pStyle w:val="Notesbulletpoint"/>
              <w:spacing w:before="120" w:after="0" w:line="280" w:lineRule="exact"/>
              <w:ind w:left="720" w:hanging="720"/>
              <w:jc w:val="both"/>
              <w:rPr>
                <w:rFonts w:ascii="Arial" w:hAnsi="Arial"/>
                <w:color w:val="auto"/>
                <w:sz w:val="20"/>
              </w:rPr>
            </w:pPr>
            <w:r w:rsidRPr="00E70587">
              <w:rPr>
                <w:rFonts w:ascii="Arial" w:hAnsi="Arial"/>
                <w:color w:val="auto"/>
                <w:sz w:val="20"/>
              </w:rPr>
              <w:t>Estimated range of cost per square meter – INR 10 – INR 25 (INR 20)</w:t>
            </w:r>
          </w:p>
          <w:p w14:paraId="0F2B5F2F" w14:textId="77777777" w:rsidR="0091529F" w:rsidRPr="00E70587" w:rsidRDefault="0091529F" w:rsidP="0091529F">
            <w:pPr>
              <w:pStyle w:val="Notesbulletpoint"/>
              <w:spacing w:before="120" w:after="0" w:line="280" w:lineRule="exact"/>
              <w:ind w:left="720" w:hanging="720"/>
              <w:jc w:val="both"/>
              <w:rPr>
                <w:rFonts w:ascii="Arial" w:hAnsi="Arial"/>
                <w:color w:val="auto"/>
                <w:sz w:val="20"/>
              </w:rPr>
            </w:pPr>
            <w:r w:rsidRPr="00E70587">
              <w:rPr>
                <w:rFonts w:ascii="Arial" w:hAnsi="Arial"/>
                <w:color w:val="auto"/>
                <w:sz w:val="20"/>
              </w:rPr>
              <w:t>Discount rate – 14%</w:t>
            </w:r>
          </w:p>
          <w:p w14:paraId="0DEF5A5B" w14:textId="77777777" w:rsidR="0091529F" w:rsidRPr="00E70587" w:rsidRDefault="0091529F" w:rsidP="0091529F">
            <w:pPr>
              <w:pStyle w:val="Notesbodytext"/>
              <w:spacing w:after="0" w:line="280" w:lineRule="exact"/>
              <w:jc w:val="both"/>
              <w:rPr>
                <w:rFonts w:ascii="Arial" w:hAnsi="Arial"/>
                <w:color w:val="auto"/>
                <w:sz w:val="20"/>
              </w:rPr>
            </w:pPr>
          </w:p>
          <w:p w14:paraId="326A0517" w14:textId="77777777" w:rsidR="0091529F" w:rsidRDefault="0091529F" w:rsidP="0091529F">
            <w:pPr>
              <w:pStyle w:val="Notesbodytext"/>
              <w:spacing w:after="0" w:line="280" w:lineRule="exact"/>
              <w:jc w:val="both"/>
              <w:rPr>
                <w:rFonts w:ascii="Arial" w:hAnsi="Arial"/>
                <w:color w:val="auto"/>
                <w:sz w:val="20"/>
              </w:rPr>
            </w:pPr>
            <w:r w:rsidRPr="00E70587">
              <w:rPr>
                <w:rFonts w:ascii="Arial" w:hAnsi="Arial"/>
                <w:color w:val="auto"/>
                <w:sz w:val="20"/>
              </w:rPr>
              <w:t>If the estimated pre-tax discount rate used in the calculation had been 1% higher than management’s estimate, the carrying amount of the provision would have been INR 169 lower.</w:t>
            </w:r>
          </w:p>
          <w:p w14:paraId="28520764" w14:textId="77777777" w:rsidR="0091529F" w:rsidRPr="00E70587" w:rsidRDefault="0091529F" w:rsidP="0091529F">
            <w:pPr>
              <w:pStyle w:val="Notesbodytext"/>
              <w:spacing w:after="0" w:line="280" w:lineRule="exact"/>
              <w:jc w:val="both"/>
              <w:rPr>
                <w:rFonts w:ascii="Arial" w:hAnsi="Arial"/>
                <w:color w:val="auto"/>
                <w:sz w:val="20"/>
              </w:rPr>
            </w:pPr>
          </w:p>
          <w:p w14:paraId="6DF25E78" w14:textId="77777777" w:rsidR="0091529F" w:rsidRPr="001456AB" w:rsidRDefault="0091529F" w:rsidP="0091529F">
            <w:pPr>
              <w:pStyle w:val="Notesbodytext"/>
              <w:spacing w:line="280" w:lineRule="exact"/>
              <w:jc w:val="both"/>
              <w:rPr>
                <w:rFonts w:ascii="Arial" w:hAnsi="Arial" w:cs="Times New Roman"/>
                <w:b/>
                <w:color w:val="auto"/>
                <w:sz w:val="20"/>
              </w:rPr>
            </w:pPr>
            <w:r w:rsidRPr="001456AB">
              <w:rPr>
                <w:rFonts w:ascii="Arial" w:hAnsi="Arial" w:cs="Times New Roman"/>
                <w:b/>
                <w:color w:val="auto"/>
                <w:sz w:val="20"/>
              </w:rPr>
              <w:t>Estimating variable consideration for returns and volume rebates</w:t>
            </w:r>
          </w:p>
          <w:p w14:paraId="061F04F4" w14:textId="77777777" w:rsidR="0091529F" w:rsidRPr="001456AB" w:rsidRDefault="0091529F" w:rsidP="0091529F">
            <w:pPr>
              <w:pStyle w:val="Notesbodytext"/>
              <w:spacing w:line="280" w:lineRule="exact"/>
              <w:jc w:val="both"/>
              <w:rPr>
                <w:rFonts w:ascii="Arial" w:hAnsi="Arial" w:cs="Times New Roman"/>
                <w:color w:val="auto"/>
                <w:sz w:val="20"/>
              </w:rPr>
            </w:pPr>
            <w:r w:rsidRPr="001456AB">
              <w:rPr>
                <w:rFonts w:ascii="Arial" w:hAnsi="Arial" w:cs="Times New Roman"/>
                <w:color w:val="auto"/>
                <w:sz w:val="20"/>
              </w:rPr>
              <w:t>The Group estimates variable considerations to be included in the transaction price for the sale of electronics equipment with rights of return and volume rebates.</w:t>
            </w:r>
          </w:p>
          <w:p w14:paraId="6F0DB2B8" w14:textId="77777777" w:rsidR="0091529F" w:rsidRPr="001456AB" w:rsidRDefault="0091529F" w:rsidP="0091529F">
            <w:pPr>
              <w:pStyle w:val="Notesbodytext"/>
              <w:spacing w:line="280" w:lineRule="exact"/>
              <w:jc w:val="both"/>
              <w:rPr>
                <w:rFonts w:ascii="Arial" w:hAnsi="Arial" w:cs="Times New Roman"/>
                <w:color w:val="auto"/>
                <w:sz w:val="20"/>
              </w:rPr>
            </w:pPr>
            <w:r w:rsidRPr="001456AB">
              <w:rPr>
                <w:rFonts w:ascii="Arial" w:hAnsi="Arial" w:cs="Times New Roman"/>
                <w:color w:val="auto"/>
                <w:sz w:val="20"/>
              </w:rPr>
              <w:t>The Group developed a statistical model for forecasting sales returns. The model used the historical return data of each product to come up with expected return percentages. These percentages are applied to determine the expected value of the variable consideration. Any significant changes in experience as compared to historical return pattern will impact the expected return percentages estimated by the Group.</w:t>
            </w:r>
          </w:p>
          <w:p w14:paraId="7B8E31E1" w14:textId="77777777" w:rsidR="0091529F" w:rsidRPr="001456AB" w:rsidRDefault="0091529F" w:rsidP="0091529F">
            <w:pPr>
              <w:pStyle w:val="Notesbodytext"/>
              <w:spacing w:line="280" w:lineRule="exact"/>
              <w:jc w:val="both"/>
              <w:rPr>
                <w:rFonts w:ascii="Arial" w:hAnsi="Arial" w:cs="Times New Roman"/>
                <w:color w:val="auto"/>
                <w:sz w:val="20"/>
              </w:rPr>
            </w:pPr>
            <w:r w:rsidRPr="001456AB">
              <w:rPr>
                <w:rFonts w:ascii="Arial" w:hAnsi="Arial" w:cs="Times New Roman"/>
                <w:color w:val="auto"/>
                <w:sz w:val="20"/>
              </w:rPr>
              <w:t>The Group’s expected volume rebates are analysed on a per customer basis for contracts that are subject to a single volume threshold. Determining whether a customer will be likely entitled to rebate will depend on the customer’s historical rebates entitlement and accumulated purchases to date.</w:t>
            </w:r>
          </w:p>
          <w:p w14:paraId="191C7A74" w14:textId="77777777" w:rsidR="0091529F" w:rsidRDefault="0091529F" w:rsidP="0091529F">
            <w:pPr>
              <w:pStyle w:val="Notesbodytext"/>
              <w:spacing w:after="0" w:line="280" w:lineRule="exact"/>
              <w:jc w:val="both"/>
              <w:rPr>
                <w:rFonts w:ascii="Arial" w:hAnsi="Arial" w:cs="Times New Roman"/>
                <w:color w:val="auto"/>
                <w:sz w:val="20"/>
              </w:rPr>
            </w:pPr>
            <w:r w:rsidRPr="001456AB">
              <w:rPr>
                <w:rFonts w:ascii="Arial" w:hAnsi="Arial"/>
                <w:sz w:val="20"/>
              </w:rPr>
              <w:t xml:space="preserve">The Group applied a statistical model for estimating expected volume rebates for contracts with more than one volume threshold. The model uses the historical purchasing patterns and rebates entitlement of customers to determine the expected rebate percentages and the expected value of the variable </w:t>
            </w:r>
            <w:r w:rsidRPr="001456AB">
              <w:rPr>
                <w:rFonts w:ascii="Arial" w:hAnsi="Arial"/>
                <w:sz w:val="20"/>
              </w:rPr>
              <w:lastRenderedPageBreak/>
              <w:t>consideration. Any significant changes in experience as compared to historical purchasing patterns and rebate entitlements of customers will impact the expected rebate percentages estimated by the Group.</w:t>
            </w:r>
          </w:p>
          <w:p w14:paraId="74927566" w14:textId="50A03235" w:rsidR="0091529F" w:rsidRDefault="0091529F" w:rsidP="0091529F">
            <w:pPr>
              <w:pStyle w:val="Notesbodytext"/>
              <w:spacing w:after="0" w:line="280" w:lineRule="exact"/>
              <w:jc w:val="both"/>
              <w:rPr>
                <w:rFonts w:ascii="Arial" w:hAnsi="Arial" w:cs="Times New Roman"/>
                <w:color w:val="auto"/>
                <w:sz w:val="20"/>
              </w:rPr>
            </w:pPr>
            <w:r w:rsidRPr="001456AB">
              <w:rPr>
                <w:rFonts w:ascii="Arial" w:hAnsi="Arial" w:cs="Times New Roman"/>
                <w:color w:val="auto"/>
                <w:sz w:val="20"/>
              </w:rPr>
              <w:t xml:space="preserve">The Group updates its assessment of expected returns and volume rebates quarterly and the refund liabilities are adjusted accordingly. Estimates of expected returns and volume rebates are sensitive to changes in circumstances and the Group’s past experience regarding returns and rebate entitlements may not be representative of customers’ actual returns and rebate entitlements in the future. As at 31 </w:t>
            </w:r>
            <w:r>
              <w:rPr>
                <w:rFonts w:ascii="Arial" w:hAnsi="Arial" w:cs="Times New Roman"/>
                <w:color w:val="auto"/>
                <w:sz w:val="20"/>
              </w:rPr>
              <w:t>March 2021</w:t>
            </w:r>
            <w:r w:rsidRPr="001456AB">
              <w:rPr>
                <w:rFonts w:ascii="Arial" w:hAnsi="Arial" w:cs="Times New Roman"/>
                <w:color w:val="auto"/>
                <w:sz w:val="20"/>
              </w:rPr>
              <w:t xml:space="preserve">, the amount recognised as refund liabilities for the expected returns and volume rebates was </w:t>
            </w:r>
            <w:r>
              <w:rPr>
                <w:rFonts w:ascii="Arial" w:hAnsi="Arial" w:cs="Times New Roman"/>
                <w:color w:val="auto"/>
                <w:sz w:val="20"/>
              </w:rPr>
              <w:t>INR 2,304 lacs (31 March 2020</w:t>
            </w:r>
            <w:r w:rsidRPr="001456AB">
              <w:rPr>
                <w:rFonts w:ascii="Arial" w:hAnsi="Arial" w:cs="Times New Roman"/>
                <w:color w:val="auto"/>
                <w:sz w:val="20"/>
              </w:rPr>
              <w:t xml:space="preserve">: </w:t>
            </w:r>
            <w:r>
              <w:rPr>
                <w:rFonts w:ascii="Arial" w:hAnsi="Arial" w:cs="Times New Roman"/>
                <w:color w:val="auto"/>
                <w:sz w:val="20"/>
              </w:rPr>
              <w:t>INR 2,425 lacs</w:t>
            </w:r>
            <w:r w:rsidRPr="001456AB">
              <w:rPr>
                <w:rFonts w:ascii="Arial" w:hAnsi="Arial" w:cs="Times New Roman"/>
                <w:color w:val="auto"/>
                <w:sz w:val="20"/>
              </w:rPr>
              <w:t>).</w:t>
            </w:r>
          </w:p>
          <w:p w14:paraId="31AED247" w14:textId="77777777" w:rsidR="0091529F" w:rsidRDefault="0091529F" w:rsidP="0091529F">
            <w:pPr>
              <w:pStyle w:val="Notesbodytext"/>
              <w:spacing w:after="0" w:line="280" w:lineRule="exact"/>
              <w:jc w:val="both"/>
              <w:rPr>
                <w:rFonts w:ascii="Arial" w:hAnsi="Arial" w:cs="Times New Roman"/>
                <w:color w:val="auto"/>
                <w:sz w:val="20"/>
              </w:rPr>
            </w:pPr>
          </w:p>
          <w:p w14:paraId="1AC5A9F7" w14:textId="77777777" w:rsidR="0091529F" w:rsidRPr="00C955C9" w:rsidRDefault="0091529F" w:rsidP="0091529F">
            <w:pPr>
              <w:pStyle w:val="Notesbodytext"/>
              <w:spacing w:line="280" w:lineRule="exact"/>
              <w:jc w:val="both"/>
              <w:rPr>
                <w:rFonts w:ascii="Arial" w:hAnsi="Arial"/>
                <w:b/>
                <w:color w:val="auto"/>
                <w:sz w:val="20"/>
              </w:rPr>
            </w:pPr>
            <w:r w:rsidRPr="00C955C9">
              <w:rPr>
                <w:rFonts w:ascii="Arial" w:hAnsi="Arial"/>
                <w:b/>
                <w:color w:val="auto"/>
                <w:sz w:val="20"/>
              </w:rPr>
              <w:t xml:space="preserve">Estimating stand-alone selling price – </w:t>
            </w:r>
            <w:proofErr w:type="spellStart"/>
            <w:r w:rsidRPr="00C955C9">
              <w:rPr>
                <w:rFonts w:ascii="Arial" w:hAnsi="Arial"/>
                <w:b/>
                <w:color w:val="auto"/>
                <w:sz w:val="20"/>
              </w:rPr>
              <w:t>GoodPoints</w:t>
            </w:r>
            <w:proofErr w:type="spellEnd"/>
            <w:r w:rsidRPr="00C955C9">
              <w:rPr>
                <w:rFonts w:ascii="Arial" w:hAnsi="Arial"/>
                <w:b/>
                <w:color w:val="auto"/>
                <w:sz w:val="20"/>
              </w:rPr>
              <w:t xml:space="preserve"> loyalty programme</w:t>
            </w:r>
          </w:p>
          <w:p w14:paraId="2C1616BD" w14:textId="77777777" w:rsidR="0091529F" w:rsidRPr="00C955C9" w:rsidRDefault="0091529F" w:rsidP="0091529F">
            <w:pPr>
              <w:pStyle w:val="Notesbodytext"/>
              <w:spacing w:line="280" w:lineRule="exact"/>
              <w:jc w:val="both"/>
              <w:rPr>
                <w:rFonts w:ascii="Arial" w:hAnsi="Arial"/>
                <w:color w:val="auto"/>
                <w:sz w:val="20"/>
              </w:rPr>
            </w:pPr>
            <w:r w:rsidRPr="00C955C9">
              <w:rPr>
                <w:rFonts w:ascii="Arial" w:hAnsi="Arial"/>
                <w:color w:val="auto"/>
                <w:sz w:val="20"/>
              </w:rPr>
              <w:t xml:space="preserve">The Group estimates the stand-alone selling price of the loyalty points awarded under the </w:t>
            </w:r>
            <w:proofErr w:type="spellStart"/>
            <w:r w:rsidRPr="00C955C9">
              <w:rPr>
                <w:rFonts w:ascii="Arial" w:hAnsi="Arial"/>
                <w:color w:val="auto"/>
                <w:sz w:val="20"/>
              </w:rPr>
              <w:t>GoodPoints</w:t>
            </w:r>
            <w:proofErr w:type="spellEnd"/>
            <w:r w:rsidRPr="00C955C9">
              <w:rPr>
                <w:rFonts w:ascii="Arial" w:hAnsi="Arial"/>
                <w:color w:val="auto"/>
                <w:sz w:val="20"/>
              </w:rPr>
              <w:t xml:space="preserve"> programme. The stand-alone selling price of the loyalty points issued is calculated by multiplying to the estimated redemption rate and to the monetary value assigned to the loyalty points. In estimating the redemption rate, the Group considers breakage which represents the portion of the points issued that will never be redeemed. The Group applies statistical projection methods in its estimation using customers’ historical redemption patterns as the main input. The redemption rate is updated quarterly and the liability for the unredeemed points is adjusted accordingly. In estimating the value of the points issued, the Group considers the mix of products that will be available in the future in exchange for loyalty points and customers’ preferences. The Group ensures that the value assigned to the loyalty points is commensurate to the stand-alone selling price of the products eligible for redemption (i.e., the value of each point is equivalent to the stand-alone selling price of any products eligible for redemption divided by number of points required).</w:t>
            </w:r>
          </w:p>
          <w:p w14:paraId="29F3A7B0" w14:textId="240E62FD" w:rsidR="0091529F" w:rsidRDefault="0091529F" w:rsidP="0091529F">
            <w:pPr>
              <w:pStyle w:val="Notesbodytext"/>
              <w:spacing w:after="0" w:line="280" w:lineRule="exact"/>
              <w:jc w:val="both"/>
              <w:rPr>
                <w:rFonts w:ascii="Arial" w:hAnsi="Arial"/>
                <w:color w:val="auto"/>
                <w:sz w:val="20"/>
              </w:rPr>
            </w:pPr>
            <w:r w:rsidRPr="00C955C9">
              <w:rPr>
                <w:rFonts w:ascii="Arial" w:hAnsi="Arial"/>
                <w:color w:val="auto"/>
                <w:sz w:val="20"/>
              </w:rPr>
              <w:t xml:space="preserve">As points issued under the programme do not expire, estimates of the stand-alone selling price are subject to significant uncertainty. Any significant changes in customers’ redemption patterns will impact the estimated redemption rate. As at 31 </w:t>
            </w:r>
            <w:r>
              <w:rPr>
                <w:rFonts w:ascii="Arial" w:hAnsi="Arial"/>
                <w:color w:val="auto"/>
                <w:sz w:val="20"/>
              </w:rPr>
              <w:t>March 2021</w:t>
            </w:r>
            <w:r w:rsidRPr="00C955C9">
              <w:rPr>
                <w:rFonts w:ascii="Arial" w:hAnsi="Arial"/>
                <w:color w:val="auto"/>
                <w:sz w:val="20"/>
              </w:rPr>
              <w:t>, the estimated liabi</w:t>
            </w:r>
            <w:r>
              <w:rPr>
                <w:rFonts w:ascii="Arial" w:hAnsi="Arial"/>
                <w:color w:val="auto"/>
                <w:sz w:val="20"/>
              </w:rPr>
              <w:t>lity for unredeemed points was INR 1,828 lacs (31 March 2020: INR 1,868 lacs</w:t>
            </w:r>
            <w:r w:rsidRPr="00C955C9">
              <w:rPr>
                <w:rFonts w:ascii="Arial" w:hAnsi="Arial"/>
                <w:color w:val="auto"/>
                <w:sz w:val="20"/>
              </w:rPr>
              <w:t xml:space="preserve">). If the estimated redemption rate used had been higher by 1% than management’s estimate, the carrying amount of the estimated liability for unredeemed points as at 31 </w:t>
            </w:r>
            <w:r>
              <w:rPr>
                <w:rFonts w:ascii="Arial" w:hAnsi="Arial"/>
                <w:color w:val="auto"/>
                <w:sz w:val="20"/>
              </w:rPr>
              <w:t>March 20</w:t>
            </w:r>
            <w:r w:rsidR="009765AA">
              <w:rPr>
                <w:rFonts w:ascii="Arial" w:hAnsi="Arial"/>
                <w:color w:val="auto"/>
                <w:sz w:val="20"/>
              </w:rPr>
              <w:t>21</w:t>
            </w:r>
            <w:r w:rsidRPr="00C955C9">
              <w:rPr>
                <w:rFonts w:ascii="Arial" w:hAnsi="Arial"/>
                <w:color w:val="auto"/>
                <w:sz w:val="20"/>
              </w:rPr>
              <w:t xml:space="preserve"> would have been higher by </w:t>
            </w:r>
            <w:r>
              <w:rPr>
                <w:rFonts w:ascii="Arial" w:hAnsi="Arial"/>
                <w:color w:val="auto"/>
                <w:sz w:val="20"/>
              </w:rPr>
              <w:t>INR 600</w:t>
            </w:r>
            <w:r w:rsidRPr="00C955C9">
              <w:rPr>
                <w:rFonts w:ascii="Arial" w:hAnsi="Arial"/>
                <w:color w:val="auto"/>
                <w:sz w:val="20"/>
              </w:rPr>
              <w:t xml:space="preserve"> (</w:t>
            </w:r>
            <w:r w:rsidR="009765AA">
              <w:rPr>
                <w:rFonts w:ascii="Arial" w:hAnsi="Arial"/>
                <w:color w:val="auto"/>
                <w:sz w:val="20"/>
              </w:rPr>
              <w:t>31 March 2020</w:t>
            </w:r>
            <w:r w:rsidRPr="00C955C9">
              <w:rPr>
                <w:rFonts w:ascii="Arial" w:hAnsi="Arial"/>
                <w:color w:val="auto"/>
                <w:sz w:val="20"/>
              </w:rPr>
              <w:t xml:space="preserve">: </w:t>
            </w:r>
            <w:r>
              <w:rPr>
                <w:rFonts w:ascii="Arial" w:hAnsi="Arial"/>
                <w:color w:val="auto"/>
                <w:sz w:val="20"/>
              </w:rPr>
              <w:t>INR 400</w:t>
            </w:r>
            <w:r w:rsidRPr="00C955C9">
              <w:rPr>
                <w:rFonts w:ascii="Arial" w:hAnsi="Arial"/>
                <w:color w:val="auto"/>
                <w:sz w:val="20"/>
              </w:rPr>
              <w:t>).</w:t>
            </w:r>
          </w:p>
          <w:p w14:paraId="35FAFDA8" w14:textId="77777777" w:rsidR="003856FE" w:rsidRDefault="003856FE" w:rsidP="0091529F">
            <w:pPr>
              <w:pStyle w:val="Notesbodytext"/>
              <w:spacing w:after="0" w:line="280" w:lineRule="exact"/>
              <w:jc w:val="both"/>
            </w:pPr>
          </w:p>
          <w:p w14:paraId="10F461EF" w14:textId="77777777" w:rsidR="003856FE" w:rsidRPr="003856FE" w:rsidRDefault="003856FE" w:rsidP="003856FE">
            <w:pPr>
              <w:pStyle w:val="Notesbodytext"/>
              <w:shd w:val="clear" w:color="auto" w:fill="A2A2A2" w:themeFill="background2" w:themeFillTint="99"/>
              <w:spacing w:line="280" w:lineRule="exact"/>
              <w:jc w:val="both"/>
              <w:rPr>
                <w:rFonts w:ascii="Arial" w:hAnsi="Arial"/>
                <w:b/>
                <w:bCs/>
                <w:sz w:val="20"/>
                <w:szCs w:val="22"/>
              </w:rPr>
            </w:pPr>
            <w:r w:rsidRPr="003856FE">
              <w:rPr>
                <w:rFonts w:ascii="Arial" w:hAnsi="Arial"/>
                <w:b/>
                <w:bCs/>
                <w:sz w:val="20"/>
                <w:szCs w:val="22"/>
              </w:rPr>
              <w:t xml:space="preserve">Covid-19 commentary </w:t>
            </w:r>
          </w:p>
          <w:p w14:paraId="687AA177" w14:textId="14EAE06A" w:rsidR="003856FE" w:rsidRPr="00E70587" w:rsidRDefault="003856FE" w:rsidP="003856FE">
            <w:pPr>
              <w:pStyle w:val="Notesbodytext"/>
              <w:shd w:val="clear" w:color="auto" w:fill="A2A2A2" w:themeFill="background2" w:themeFillTint="99"/>
              <w:spacing w:line="280" w:lineRule="exact"/>
              <w:jc w:val="both"/>
            </w:pPr>
            <w:r w:rsidRPr="003856FE">
              <w:rPr>
                <w:rFonts w:ascii="Arial" w:hAnsi="Arial"/>
                <w:sz w:val="20"/>
                <w:szCs w:val="22"/>
              </w:rPr>
              <w:t>Given the level of uncertainty and the sensitivity of judgements and estimates, clear disclosure of the key assumptions used, and judgements made is particularly important in financial statements prepared during the Covid-19 pandemic. Entities should carefully scrutinise their existing judgements and estimates but may also find additional areas in which they will need to make judgements and estimates</w:t>
            </w:r>
            <w:r>
              <w:t>.</w:t>
            </w:r>
          </w:p>
        </w:tc>
      </w:tr>
      <w:tr w:rsidR="0091529F" w:rsidRPr="00E70587" w14:paraId="73CBB8BD" w14:textId="77777777" w:rsidTr="0091529F">
        <w:tblPrEx>
          <w:tblLook w:val="0000" w:firstRow="0" w:lastRow="0" w:firstColumn="0" w:lastColumn="0" w:noHBand="0" w:noVBand="0"/>
        </w:tblPrEx>
        <w:tc>
          <w:tcPr>
            <w:tcW w:w="9576" w:type="dxa"/>
            <w:gridSpan w:val="3"/>
          </w:tcPr>
          <w:p w14:paraId="3F6A8060" w14:textId="77777777" w:rsidR="0091529F" w:rsidRPr="00CF7837" w:rsidRDefault="0091529F" w:rsidP="0091529F">
            <w:pPr>
              <w:pStyle w:val="Heading5"/>
              <w:spacing w:before="0" w:after="0" w:line="280" w:lineRule="exact"/>
              <w:jc w:val="both"/>
              <w:rPr>
                <w:rFonts w:ascii="Arial" w:hAnsi="Arial" w:cs="Arial"/>
                <w:iCs w:val="0"/>
                <w:sz w:val="20"/>
                <w:szCs w:val="20"/>
              </w:rPr>
            </w:pPr>
          </w:p>
        </w:tc>
      </w:tr>
    </w:tbl>
    <w:p w14:paraId="6667E9E6" w14:textId="77777777" w:rsidR="00811B92" w:rsidRPr="00E70587" w:rsidRDefault="00811B92"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Group information</w:t>
      </w:r>
    </w:p>
    <w:p w14:paraId="3B850E26" w14:textId="77777777" w:rsidR="001E0201" w:rsidRPr="00E70587" w:rsidRDefault="001E0201" w:rsidP="001E0201">
      <w:pPr>
        <w:pStyle w:val="Notesbodytext"/>
        <w:spacing w:after="0" w:line="280" w:lineRule="exact"/>
        <w:rPr>
          <w:rFonts w:ascii="Arial" w:hAnsi="Arial"/>
          <w:bCs/>
          <w:color w:val="auto"/>
          <w:sz w:val="20"/>
        </w:rPr>
      </w:pPr>
    </w:p>
    <w:p w14:paraId="7A7C895D" w14:textId="77777777" w:rsidR="00811B92" w:rsidRPr="00E70587" w:rsidRDefault="00811B92" w:rsidP="001E0201">
      <w:pPr>
        <w:pStyle w:val="Notesbodytext"/>
        <w:spacing w:after="0" w:line="280" w:lineRule="exact"/>
        <w:rPr>
          <w:rFonts w:ascii="Arial" w:hAnsi="Arial"/>
          <w:color w:val="auto"/>
          <w:sz w:val="20"/>
        </w:rPr>
      </w:pPr>
      <w:r w:rsidRPr="00E70587">
        <w:rPr>
          <w:rFonts w:ascii="Arial" w:hAnsi="Arial"/>
          <w:b/>
          <w:bCs/>
          <w:color w:val="auto"/>
          <w:sz w:val="20"/>
        </w:rPr>
        <w:t>Information about subsidiaries</w:t>
      </w:r>
    </w:p>
    <w:p w14:paraId="16AEB285" w14:textId="77777777" w:rsidR="001E0201" w:rsidRPr="00E70587" w:rsidRDefault="001E0201" w:rsidP="001E0201">
      <w:pPr>
        <w:spacing w:line="280" w:lineRule="exact"/>
        <w:rPr>
          <w:rFonts w:ascii="Arial" w:hAnsi="Arial" w:cs="Arial"/>
          <w:sz w:val="20"/>
        </w:rPr>
      </w:pPr>
    </w:p>
    <w:p w14:paraId="47034400" w14:textId="77777777" w:rsidR="00811B92" w:rsidRPr="00E70587" w:rsidRDefault="00811B92" w:rsidP="001E0201">
      <w:pPr>
        <w:spacing w:line="280" w:lineRule="exact"/>
        <w:rPr>
          <w:rFonts w:ascii="Arial" w:hAnsi="Arial" w:cs="Arial"/>
          <w:sz w:val="20"/>
        </w:rPr>
      </w:pPr>
      <w:r w:rsidRPr="00E70587">
        <w:rPr>
          <w:rFonts w:ascii="Arial" w:hAnsi="Arial" w:cs="Arial"/>
          <w:sz w:val="20"/>
        </w:rPr>
        <w:t>The consolidated financial statements of the Group include:</w:t>
      </w:r>
    </w:p>
    <w:p w14:paraId="635489DE" w14:textId="77777777" w:rsidR="001E0201" w:rsidRPr="00E70587" w:rsidRDefault="001E0201" w:rsidP="001E0201">
      <w:pPr>
        <w:spacing w:line="280" w:lineRule="exact"/>
        <w:rPr>
          <w:rFonts w:ascii="Arial" w:hAnsi="Arial" w:cs="Arial"/>
          <w:sz w:val="20"/>
        </w:rPr>
      </w:pPr>
    </w:p>
    <w:tbl>
      <w:tblPr>
        <w:tblW w:w="9461" w:type="dxa"/>
        <w:tblLayout w:type="fixed"/>
        <w:tblCellMar>
          <w:left w:w="72" w:type="dxa"/>
          <w:right w:w="72" w:type="dxa"/>
        </w:tblCellMar>
        <w:tblLook w:val="01E0" w:firstRow="1" w:lastRow="1" w:firstColumn="1" w:lastColumn="1" w:noHBand="0" w:noVBand="0"/>
      </w:tblPr>
      <w:tblGrid>
        <w:gridCol w:w="2266"/>
        <w:gridCol w:w="2554"/>
        <w:gridCol w:w="1625"/>
        <w:gridCol w:w="1545"/>
        <w:gridCol w:w="1465"/>
        <w:gridCol w:w="6"/>
      </w:tblGrid>
      <w:tr w:rsidR="00330EAA" w:rsidRPr="00E70587" w14:paraId="6CC62EE0" w14:textId="77777777" w:rsidTr="000A2ED4">
        <w:tc>
          <w:tcPr>
            <w:tcW w:w="2266" w:type="dxa"/>
            <w:vAlign w:val="center"/>
          </w:tcPr>
          <w:p w14:paraId="3D39E9A2" w14:textId="77777777" w:rsidR="00330EAA" w:rsidRPr="00E70587" w:rsidRDefault="00330EAA" w:rsidP="009901E1">
            <w:pPr>
              <w:pStyle w:val="Tablecolumnheading"/>
              <w:spacing w:line="280" w:lineRule="exact"/>
              <w:rPr>
                <w:rFonts w:ascii="Arial" w:hAnsi="Arial"/>
                <w:color w:val="auto"/>
                <w:sz w:val="20"/>
                <w:szCs w:val="20"/>
                <w:lang w:val="en-IN"/>
              </w:rPr>
            </w:pPr>
          </w:p>
        </w:tc>
        <w:tc>
          <w:tcPr>
            <w:tcW w:w="2554" w:type="dxa"/>
            <w:vMerge w:val="restart"/>
            <w:vAlign w:val="center"/>
          </w:tcPr>
          <w:p w14:paraId="71C4B979" w14:textId="77777777"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Principal activities</w:t>
            </w:r>
          </w:p>
        </w:tc>
        <w:tc>
          <w:tcPr>
            <w:tcW w:w="1625" w:type="dxa"/>
            <w:vMerge w:val="restart"/>
            <w:vAlign w:val="center"/>
          </w:tcPr>
          <w:p w14:paraId="230C5E0E" w14:textId="77777777"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Country of incorporation</w:t>
            </w:r>
          </w:p>
        </w:tc>
        <w:tc>
          <w:tcPr>
            <w:tcW w:w="3016" w:type="dxa"/>
            <w:gridSpan w:val="3"/>
            <w:tcBorders>
              <w:bottom w:val="single" w:sz="4" w:space="0" w:color="auto"/>
            </w:tcBorders>
            <w:vAlign w:val="bottom"/>
          </w:tcPr>
          <w:p w14:paraId="2C8105BF" w14:textId="77777777" w:rsidR="00330EAA" w:rsidRPr="00E70587" w:rsidRDefault="00330EAA" w:rsidP="009901E1">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 equity interest</w:t>
            </w:r>
          </w:p>
        </w:tc>
      </w:tr>
      <w:tr w:rsidR="00330EAA" w:rsidRPr="00E70587" w14:paraId="39AC46E7" w14:textId="77777777" w:rsidTr="000A2ED4">
        <w:trPr>
          <w:gridAfter w:val="1"/>
          <w:wAfter w:w="6" w:type="dxa"/>
        </w:trPr>
        <w:tc>
          <w:tcPr>
            <w:tcW w:w="2266" w:type="dxa"/>
            <w:tcBorders>
              <w:bottom w:val="single" w:sz="4" w:space="0" w:color="auto"/>
            </w:tcBorders>
            <w:vAlign w:val="bottom"/>
          </w:tcPr>
          <w:p w14:paraId="0A0133F3" w14:textId="77777777" w:rsidR="00330EAA" w:rsidRPr="00E70587" w:rsidRDefault="00330EA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Name</w:t>
            </w:r>
          </w:p>
        </w:tc>
        <w:tc>
          <w:tcPr>
            <w:tcW w:w="2554" w:type="dxa"/>
            <w:vMerge/>
            <w:tcBorders>
              <w:bottom w:val="single" w:sz="4" w:space="0" w:color="auto"/>
            </w:tcBorders>
            <w:vAlign w:val="bottom"/>
          </w:tcPr>
          <w:p w14:paraId="6B32AC65" w14:textId="77777777" w:rsidR="00330EAA" w:rsidRPr="00E70587" w:rsidRDefault="00330EAA" w:rsidP="009901E1">
            <w:pPr>
              <w:pStyle w:val="Tablecolumnheading"/>
              <w:spacing w:line="280" w:lineRule="exact"/>
              <w:rPr>
                <w:rFonts w:ascii="Arial" w:hAnsi="Arial"/>
                <w:color w:val="auto"/>
                <w:sz w:val="20"/>
                <w:szCs w:val="20"/>
                <w:lang w:val="en-IN"/>
              </w:rPr>
            </w:pPr>
          </w:p>
        </w:tc>
        <w:tc>
          <w:tcPr>
            <w:tcW w:w="1625" w:type="dxa"/>
            <w:vMerge/>
            <w:tcBorders>
              <w:bottom w:val="single" w:sz="4" w:space="0" w:color="auto"/>
            </w:tcBorders>
            <w:vAlign w:val="bottom"/>
          </w:tcPr>
          <w:p w14:paraId="120C8499" w14:textId="77777777" w:rsidR="00330EAA" w:rsidRPr="00E70587" w:rsidRDefault="00330EAA" w:rsidP="009901E1">
            <w:pPr>
              <w:pStyle w:val="Tablecolumnheading"/>
              <w:spacing w:line="280" w:lineRule="exact"/>
              <w:jc w:val="left"/>
              <w:rPr>
                <w:rFonts w:ascii="Arial" w:hAnsi="Arial"/>
                <w:color w:val="auto"/>
                <w:sz w:val="20"/>
                <w:szCs w:val="20"/>
                <w:lang w:val="en-IN"/>
              </w:rPr>
            </w:pPr>
          </w:p>
        </w:tc>
        <w:tc>
          <w:tcPr>
            <w:tcW w:w="1545" w:type="dxa"/>
            <w:tcBorders>
              <w:top w:val="single" w:sz="4" w:space="0" w:color="auto"/>
              <w:bottom w:val="single" w:sz="4" w:space="0" w:color="auto"/>
            </w:tcBorders>
            <w:vAlign w:val="bottom"/>
          </w:tcPr>
          <w:p w14:paraId="05479643" w14:textId="56F850B6"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31 March 20</w:t>
            </w:r>
            <w:r w:rsidR="00471746">
              <w:rPr>
                <w:rFonts w:ascii="Arial" w:hAnsi="Arial"/>
                <w:color w:val="auto"/>
                <w:sz w:val="20"/>
                <w:szCs w:val="20"/>
                <w:lang w:val="en-IN"/>
              </w:rPr>
              <w:t>21</w:t>
            </w:r>
          </w:p>
        </w:tc>
        <w:tc>
          <w:tcPr>
            <w:tcW w:w="1465" w:type="dxa"/>
            <w:tcBorders>
              <w:top w:val="single" w:sz="4" w:space="0" w:color="auto"/>
              <w:bottom w:val="single" w:sz="4" w:space="0" w:color="auto"/>
            </w:tcBorders>
            <w:vAlign w:val="bottom"/>
          </w:tcPr>
          <w:p w14:paraId="265C300E" w14:textId="0F3D36EE"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31 March 20</w:t>
            </w:r>
            <w:r w:rsidR="00471746">
              <w:rPr>
                <w:rFonts w:ascii="Arial" w:hAnsi="Arial"/>
                <w:color w:val="auto"/>
                <w:sz w:val="20"/>
                <w:szCs w:val="20"/>
                <w:lang w:val="en-IN"/>
              </w:rPr>
              <w:t>20</w:t>
            </w:r>
          </w:p>
        </w:tc>
      </w:tr>
      <w:tr w:rsidR="00330EAA" w:rsidRPr="00E70587" w14:paraId="4EDC6791" w14:textId="77777777" w:rsidTr="000A2ED4">
        <w:trPr>
          <w:gridAfter w:val="1"/>
          <w:wAfter w:w="6" w:type="dxa"/>
        </w:trPr>
        <w:tc>
          <w:tcPr>
            <w:tcW w:w="2266" w:type="dxa"/>
            <w:tcMar>
              <w:top w:w="28" w:type="dxa"/>
              <w:left w:w="108" w:type="dxa"/>
              <w:right w:w="108" w:type="dxa"/>
            </w:tcMar>
            <w:vAlign w:val="center"/>
          </w:tcPr>
          <w:p w14:paraId="2128E024"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Extinguishers Limited</w:t>
            </w:r>
          </w:p>
        </w:tc>
        <w:tc>
          <w:tcPr>
            <w:tcW w:w="2554" w:type="dxa"/>
          </w:tcPr>
          <w:p w14:paraId="382B7ED9"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Fire prevention equipment</w:t>
            </w:r>
          </w:p>
        </w:tc>
        <w:tc>
          <w:tcPr>
            <w:tcW w:w="1625" w:type="dxa"/>
            <w:tcMar>
              <w:top w:w="28" w:type="dxa"/>
              <w:left w:w="108" w:type="dxa"/>
              <w:right w:w="108" w:type="dxa"/>
            </w:tcMar>
            <w:vAlign w:val="center"/>
          </w:tcPr>
          <w:p w14:paraId="77AE2664"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India</w:t>
            </w:r>
          </w:p>
        </w:tc>
        <w:tc>
          <w:tcPr>
            <w:tcW w:w="1545" w:type="dxa"/>
            <w:tcMar>
              <w:top w:w="28" w:type="dxa"/>
              <w:left w:w="108" w:type="dxa"/>
              <w:right w:w="108" w:type="dxa"/>
            </w:tcMar>
            <w:vAlign w:val="center"/>
          </w:tcPr>
          <w:p w14:paraId="6F03C92E"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 80</w:t>
            </w:r>
          </w:p>
        </w:tc>
        <w:tc>
          <w:tcPr>
            <w:tcW w:w="1465" w:type="dxa"/>
            <w:tcMar>
              <w:top w:w="28" w:type="dxa"/>
              <w:left w:w="108" w:type="dxa"/>
              <w:right w:w="108" w:type="dxa"/>
            </w:tcMar>
            <w:vAlign w:val="center"/>
          </w:tcPr>
          <w:p w14:paraId="7F49D77A"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r>
      <w:tr w:rsidR="00330EAA" w:rsidRPr="00E70587" w14:paraId="2BA02B52" w14:textId="77777777" w:rsidTr="000A2ED4">
        <w:trPr>
          <w:gridAfter w:val="1"/>
          <w:wAfter w:w="6" w:type="dxa"/>
        </w:trPr>
        <w:tc>
          <w:tcPr>
            <w:tcW w:w="2266" w:type="dxa"/>
            <w:tcMar>
              <w:top w:w="28" w:type="dxa"/>
              <w:left w:w="108" w:type="dxa"/>
              <w:right w:w="108" w:type="dxa"/>
            </w:tcMar>
            <w:vAlign w:val="center"/>
          </w:tcPr>
          <w:p w14:paraId="787E1671"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B Limited</w:t>
            </w:r>
          </w:p>
        </w:tc>
        <w:tc>
          <w:tcPr>
            <w:tcW w:w="2554" w:type="dxa"/>
          </w:tcPr>
          <w:p w14:paraId="182FD50E"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Fire prevention equipment</w:t>
            </w:r>
          </w:p>
        </w:tc>
        <w:tc>
          <w:tcPr>
            <w:tcW w:w="1625" w:type="dxa"/>
            <w:tcMar>
              <w:top w:w="28" w:type="dxa"/>
              <w:left w:w="108" w:type="dxa"/>
              <w:right w:w="108" w:type="dxa"/>
            </w:tcMar>
            <w:vAlign w:val="center"/>
          </w:tcPr>
          <w:p w14:paraId="7E0D320E"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India</w:t>
            </w:r>
          </w:p>
        </w:tc>
        <w:tc>
          <w:tcPr>
            <w:tcW w:w="1545" w:type="dxa"/>
            <w:tcMar>
              <w:top w:w="28" w:type="dxa"/>
              <w:left w:w="108" w:type="dxa"/>
              <w:right w:w="108" w:type="dxa"/>
            </w:tcMar>
            <w:vAlign w:val="center"/>
          </w:tcPr>
          <w:p w14:paraId="5B463739"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 95</w:t>
            </w:r>
          </w:p>
        </w:tc>
        <w:tc>
          <w:tcPr>
            <w:tcW w:w="1465" w:type="dxa"/>
            <w:tcMar>
              <w:top w:w="28" w:type="dxa"/>
              <w:left w:w="108" w:type="dxa"/>
              <w:right w:w="108" w:type="dxa"/>
            </w:tcMar>
            <w:vAlign w:val="center"/>
          </w:tcPr>
          <w:p w14:paraId="2FC17487"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 95</w:t>
            </w:r>
          </w:p>
        </w:tc>
      </w:tr>
      <w:tr w:rsidR="00330EAA" w:rsidRPr="00E70587" w14:paraId="3C6E715D" w14:textId="77777777" w:rsidTr="000A2ED4">
        <w:trPr>
          <w:gridAfter w:val="1"/>
          <w:wAfter w:w="6" w:type="dxa"/>
        </w:trPr>
        <w:tc>
          <w:tcPr>
            <w:tcW w:w="2266" w:type="dxa"/>
            <w:tcMar>
              <w:top w:w="28" w:type="dxa"/>
              <w:left w:w="108" w:type="dxa"/>
              <w:right w:w="108" w:type="dxa"/>
            </w:tcMar>
            <w:vAlign w:val="center"/>
          </w:tcPr>
          <w:p w14:paraId="3AAABF2F" w14:textId="77777777" w:rsidR="00330EAA" w:rsidRPr="00E70587" w:rsidRDefault="00330EAA" w:rsidP="009901E1">
            <w:pPr>
              <w:pStyle w:val="tabletext"/>
              <w:overflowPunct w:val="0"/>
              <w:autoSpaceDE w:val="0"/>
              <w:autoSpaceDN w:val="0"/>
              <w:adjustRightInd w:val="0"/>
              <w:spacing w:line="280" w:lineRule="exact"/>
              <w:ind w:right="-117"/>
              <w:textAlignment w:val="baseline"/>
              <w:rPr>
                <w:rFonts w:ascii="Arial" w:hAnsi="Arial" w:cs="Arial"/>
                <w:sz w:val="20"/>
                <w:lang w:val="en-IN"/>
              </w:rPr>
            </w:pPr>
            <w:r w:rsidRPr="00E70587">
              <w:rPr>
                <w:rFonts w:ascii="Arial" w:hAnsi="Arial" w:cs="Arial"/>
                <w:sz w:val="20"/>
                <w:lang w:val="en-IN"/>
              </w:rPr>
              <w:t>Fire Equipment Test Lab Limited</w:t>
            </w:r>
          </w:p>
        </w:tc>
        <w:tc>
          <w:tcPr>
            <w:tcW w:w="2554" w:type="dxa"/>
          </w:tcPr>
          <w:p w14:paraId="4375321C"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Fire prevention equipment</w:t>
            </w:r>
          </w:p>
        </w:tc>
        <w:tc>
          <w:tcPr>
            <w:tcW w:w="1625" w:type="dxa"/>
            <w:tcMar>
              <w:top w:w="28" w:type="dxa"/>
              <w:left w:w="108" w:type="dxa"/>
              <w:right w:w="108" w:type="dxa"/>
            </w:tcMar>
            <w:vAlign w:val="center"/>
          </w:tcPr>
          <w:p w14:paraId="02103351"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India</w:t>
            </w:r>
          </w:p>
        </w:tc>
        <w:tc>
          <w:tcPr>
            <w:tcW w:w="1545" w:type="dxa"/>
            <w:tcMar>
              <w:top w:w="28" w:type="dxa"/>
              <w:left w:w="108" w:type="dxa"/>
              <w:right w:w="108" w:type="dxa"/>
            </w:tcMar>
            <w:vAlign w:val="center"/>
          </w:tcPr>
          <w:p w14:paraId="428D676B"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100*</w:t>
            </w:r>
          </w:p>
        </w:tc>
        <w:tc>
          <w:tcPr>
            <w:tcW w:w="1465" w:type="dxa"/>
            <w:tcMar>
              <w:top w:w="28" w:type="dxa"/>
              <w:left w:w="108" w:type="dxa"/>
              <w:right w:w="108" w:type="dxa"/>
            </w:tcMar>
            <w:vAlign w:val="center"/>
          </w:tcPr>
          <w:p w14:paraId="45C5482B"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r>
      <w:tr w:rsidR="00330EAA" w:rsidRPr="00E70587" w14:paraId="61C17AA5" w14:textId="77777777" w:rsidTr="000A2ED4">
        <w:trPr>
          <w:gridAfter w:val="1"/>
          <w:wAfter w:w="6" w:type="dxa"/>
        </w:trPr>
        <w:tc>
          <w:tcPr>
            <w:tcW w:w="2266" w:type="dxa"/>
            <w:tcMar>
              <w:top w:w="28" w:type="dxa"/>
              <w:left w:w="108" w:type="dxa"/>
              <w:right w:w="108" w:type="dxa"/>
            </w:tcMar>
            <w:vAlign w:val="center"/>
          </w:tcPr>
          <w:p w14:paraId="73FFCB28"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Wireworks Inc.</w:t>
            </w:r>
          </w:p>
        </w:tc>
        <w:tc>
          <w:tcPr>
            <w:tcW w:w="2554" w:type="dxa"/>
          </w:tcPr>
          <w:p w14:paraId="3721BD96"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Fire prevention equipment</w:t>
            </w:r>
          </w:p>
        </w:tc>
        <w:tc>
          <w:tcPr>
            <w:tcW w:w="1625" w:type="dxa"/>
            <w:tcMar>
              <w:top w:w="28" w:type="dxa"/>
              <w:left w:w="108" w:type="dxa"/>
              <w:right w:w="108" w:type="dxa"/>
            </w:tcMar>
            <w:vAlign w:val="center"/>
          </w:tcPr>
          <w:p w14:paraId="2472E74E"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United States</w:t>
            </w:r>
          </w:p>
        </w:tc>
        <w:tc>
          <w:tcPr>
            <w:tcW w:w="1545" w:type="dxa"/>
            <w:tcMar>
              <w:top w:w="28" w:type="dxa"/>
              <w:left w:w="108" w:type="dxa"/>
              <w:right w:w="108" w:type="dxa"/>
            </w:tcMar>
            <w:vAlign w:val="center"/>
          </w:tcPr>
          <w:p w14:paraId="67205D92"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 98</w:t>
            </w:r>
          </w:p>
        </w:tc>
        <w:tc>
          <w:tcPr>
            <w:tcW w:w="1465" w:type="dxa"/>
            <w:tcMar>
              <w:top w:w="28" w:type="dxa"/>
              <w:left w:w="108" w:type="dxa"/>
              <w:right w:w="108" w:type="dxa"/>
            </w:tcMar>
            <w:vAlign w:val="center"/>
          </w:tcPr>
          <w:p w14:paraId="5FB299C1"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 98</w:t>
            </w:r>
          </w:p>
        </w:tc>
      </w:tr>
      <w:tr w:rsidR="00330EAA" w:rsidRPr="00E70587" w14:paraId="61A8AB68" w14:textId="77777777" w:rsidTr="000A2ED4">
        <w:trPr>
          <w:gridAfter w:val="1"/>
          <w:wAfter w:w="6" w:type="dxa"/>
        </w:trPr>
        <w:tc>
          <w:tcPr>
            <w:tcW w:w="2266" w:type="dxa"/>
            <w:tcMar>
              <w:top w:w="28" w:type="dxa"/>
              <w:left w:w="108" w:type="dxa"/>
              <w:right w:w="108" w:type="dxa"/>
            </w:tcMar>
            <w:vAlign w:val="center"/>
          </w:tcPr>
          <w:p w14:paraId="568AFD9B"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Sprinklers Inc.</w:t>
            </w:r>
          </w:p>
        </w:tc>
        <w:tc>
          <w:tcPr>
            <w:tcW w:w="2554" w:type="dxa"/>
          </w:tcPr>
          <w:p w14:paraId="2D301234"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Fire prevention equipment</w:t>
            </w:r>
          </w:p>
        </w:tc>
        <w:tc>
          <w:tcPr>
            <w:tcW w:w="1625" w:type="dxa"/>
            <w:tcMar>
              <w:top w:w="28" w:type="dxa"/>
              <w:left w:w="108" w:type="dxa"/>
              <w:right w:w="108" w:type="dxa"/>
            </w:tcMar>
            <w:vAlign w:val="center"/>
          </w:tcPr>
          <w:p w14:paraId="28372823"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United States</w:t>
            </w:r>
          </w:p>
        </w:tc>
        <w:tc>
          <w:tcPr>
            <w:tcW w:w="1545" w:type="dxa"/>
            <w:tcMar>
              <w:top w:w="28" w:type="dxa"/>
              <w:left w:w="108" w:type="dxa"/>
              <w:right w:w="108" w:type="dxa"/>
            </w:tcMar>
            <w:vAlign w:val="center"/>
          </w:tcPr>
          <w:p w14:paraId="670B98FC"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100</w:t>
            </w:r>
          </w:p>
        </w:tc>
        <w:tc>
          <w:tcPr>
            <w:tcW w:w="1465" w:type="dxa"/>
            <w:tcMar>
              <w:top w:w="28" w:type="dxa"/>
              <w:left w:w="108" w:type="dxa"/>
              <w:right w:w="108" w:type="dxa"/>
            </w:tcMar>
            <w:vAlign w:val="center"/>
          </w:tcPr>
          <w:p w14:paraId="42F8E652"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100</w:t>
            </w:r>
          </w:p>
        </w:tc>
      </w:tr>
      <w:tr w:rsidR="00330EAA" w:rsidRPr="00E70587" w14:paraId="60D32DE8" w14:textId="77777777" w:rsidTr="000A2ED4">
        <w:trPr>
          <w:gridAfter w:val="1"/>
          <w:wAfter w:w="6" w:type="dxa"/>
        </w:trPr>
        <w:tc>
          <w:tcPr>
            <w:tcW w:w="2266" w:type="dxa"/>
            <w:tcMar>
              <w:top w:w="28" w:type="dxa"/>
              <w:left w:w="108" w:type="dxa"/>
              <w:right w:w="108" w:type="dxa"/>
            </w:tcMar>
            <w:vAlign w:val="center"/>
          </w:tcPr>
          <w:p w14:paraId="1EC4A9E6"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lastRenderedPageBreak/>
              <w:t>Lightbulbs Limited</w:t>
            </w:r>
          </w:p>
        </w:tc>
        <w:tc>
          <w:tcPr>
            <w:tcW w:w="2554" w:type="dxa"/>
          </w:tcPr>
          <w:p w14:paraId="79B68C5B"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Electronics</w:t>
            </w:r>
          </w:p>
        </w:tc>
        <w:tc>
          <w:tcPr>
            <w:tcW w:w="1625" w:type="dxa"/>
            <w:tcMar>
              <w:top w:w="28" w:type="dxa"/>
              <w:left w:w="108" w:type="dxa"/>
              <w:right w:w="108" w:type="dxa"/>
            </w:tcMar>
            <w:vAlign w:val="center"/>
          </w:tcPr>
          <w:p w14:paraId="6B337AEA"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India</w:t>
            </w:r>
          </w:p>
        </w:tc>
        <w:tc>
          <w:tcPr>
            <w:tcW w:w="1545" w:type="dxa"/>
            <w:tcMar>
              <w:top w:w="28" w:type="dxa"/>
              <w:left w:w="108" w:type="dxa"/>
              <w:right w:w="108" w:type="dxa"/>
            </w:tcMar>
            <w:vAlign w:val="center"/>
          </w:tcPr>
          <w:p w14:paraId="30FF4697" w14:textId="77777777" w:rsidR="00330EAA" w:rsidRPr="00E70587" w:rsidRDefault="00330EAA" w:rsidP="00217FE8">
            <w:pPr>
              <w:pStyle w:val="tabletext"/>
              <w:overflowPunct w:val="0"/>
              <w:autoSpaceDE w:val="0"/>
              <w:autoSpaceDN w:val="0"/>
              <w:adjustRightInd w:val="0"/>
              <w:spacing w:line="280" w:lineRule="exact"/>
              <w:ind w:left="-190" w:right="-25"/>
              <w:jc w:val="right"/>
              <w:textAlignment w:val="baseline"/>
              <w:rPr>
                <w:rFonts w:ascii="Arial" w:hAnsi="Arial" w:cs="Arial"/>
                <w:sz w:val="20"/>
                <w:lang w:val="en-IN"/>
              </w:rPr>
            </w:pPr>
            <w:r w:rsidRPr="00E70587">
              <w:rPr>
                <w:rFonts w:ascii="Arial" w:hAnsi="Arial" w:cs="Arial"/>
                <w:sz w:val="20"/>
                <w:lang w:val="en-IN"/>
              </w:rPr>
              <w:t>87.4</w:t>
            </w:r>
          </w:p>
        </w:tc>
        <w:tc>
          <w:tcPr>
            <w:tcW w:w="1465" w:type="dxa"/>
            <w:tcMar>
              <w:top w:w="28" w:type="dxa"/>
              <w:left w:w="108" w:type="dxa"/>
              <w:right w:w="108" w:type="dxa"/>
            </w:tcMar>
            <w:vAlign w:val="center"/>
          </w:tcPr>
          <w:p w14:paraId="4C43D1C4"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 80</w:t>
            </w:r>
          </w:p>
        </w:tc>
      </w:tr>
      <w:tr w:rsidR="00330EAA" w:rsidRPr="00E70587" w14:paraId="32947F8A" w14:textId="77777777" w:rsidTr="000A2ED4">
        <w:trPr>
          <w:gridAfter w:val="1"/>
          <w:wAfter w:w="6" w:type="dxa"/>
        </w:trPr>
        <w:tc>
          <w:tcPr>
            <w:tcW w:w="2266" w:type="dxa"/>
            <w:tcMar>
              <w:top w:w="28" w:type="dxa"/>
              <w:left w:w="108" w:type="dxa"/>
              <w:right w:w="108" w:type="dxa"/>
            </w:tcMar>
            <w:vAlign w:val="center"/>
          </w:tcPr>
          <w:p w14:paraId="20951817"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H Limited</w:t>
            </w:r>
          </w:p>
        </w:tc>
        <w:tc>
          <w:tcPr>
            <w:tcW w:w="2554" w:type="dxa"/>
          </w:tcPr>
          <w:p w14:paraId="12C9F909"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Rubber equipment</w:t>
            </w:r>
          </w:p>
        </w:tc>
        <w:tc>
          <w:tcPr>
            <w:tcW w:w="1625" w:type="dxa"/>
            <w:tcMar>
              <w:top w:w="28" w:type="dxa"/>
              <w:left w:w="108" w:type="dxa"/>
              <w:right w:w="108" w:type="dxa"/>
            </w:tcMar>
            <w:vAlign w:val="center"/>
          </w:tcPr>
          <w:p w14:paraId="6963771A"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India</w:t>
            </w:r>
          </w:p>
        </w:tc>
        <w:tc>
          <w:tcPr>
            <w:tcW w:w="1545" w:type="dxa"/>
            <w:tcMar>
              <w:top w:w="28" w:type="dxa"/>
              <w:left w:w="108" w:type="dxa"/>
              <w:right w:w="108" w:type="dxa"/>
            </w:tcMar>
            <w:vAlign w:val="center"/>
          </w:tcPr>
          <w:p w14:paraId="27DD206D"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100</w:t>
            </w:r>
          </w:p>
        </w:tc>
        <w:tc>
          <w:tcPr>
            <w:tcW w:w="1465" w:type="dxa"/>
            <w:tcMar>
              <w:top w:w="28" w:type="dxa"/>
              <w:left w:w="108" w:type="dxa"/>
              <w:right w:w="108" w:type="dxa"/>
            </w:tcMar>
            <w:vAlign w:val="center"/>
          </w:tcPr>
          <w:p w14:paraId="6931B25D"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100</w:t>
            </w:r>
          </w:p>
        </w:tc>
      </w:tr>
      <w:tr w:rsidR="00330EAA" w:rsidRPr="00E70587" w14:paraId="3E47AB6E" w14:textId="77777777" w:rsidTr="000A2ED4">
        <w:trPr>
          <w:gridAfter w:val="1"/>
          <w:wAfter w:w="6" w:type="dxa"/>
        </w:trPr>
        <w:tc>
          <w:tcPr>
            <w:tcW w:w="2266" w:type="dxa"/>
            <w:tcMar>
              <w:top w:w="28" w:type="dxa"/>
              <w:left w:w="108" w:type="dxa"/>
              <w:right w:w="108" w:type="dxa"/>
            </w:tcMar>
            <w:vAlign w:val="center"/>
          </w:tcPr>
          <w:p w14:paraId="05ED9E3D"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Electronics Limited</w:t>
            </w:r>
          </w:p>
        </w:tc>
        <w:tc>
          <w:tcPr>
            <w:tcW w:w="2554" w:type="dxa"/>
          </w:tcPr>
          <w:p w14:paraId="07DC3A1E"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Electronics</w:t>
            </w:r>
          </w:p>
        </w:tc>
        <w:tc>
          <w:tcPr>
            <w:tcW w:w="1625" w:type="dxa"/>
            <w:tcMar>
              <w:top w:w="28" w:type="dxa"/>
              <w:left w:w="108" w:type="dxa"/>
              <w:right w:w="108" w:type="dxa"/>
            </w:tcMar>
            <w:vAlign w:val="center"/>
          </w:tcPr>
          <w:p w14:paraId="26AE4DF8" w14:textId="77777777" w:rsidR="00330EAA" w:rsidRPr="00E70587"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India</w:t>
            </w:r>
          </w:p>
        </w:tc>
        <w:tc>
          <w:tcPr>
            <w:tcW w:w="1545" w:type="dxa"/>
            <w:tcMar>
              <w:top w:w="28" w:type="dxa"/>
              <w:left w:w="108" w:type="dxa"/>
              <w:right w:w="108" w:type="dxa"/>
            </w:tcMar>
            <w:vAlign w:val="center"/>
          </w:tcPr>
          <w:p w14:paraId="07F1D7FF" w14:textId="77777777" w:rsidR="00330EAA" w:rsidRPr="00E70587" w:rsidDel="005B3D4D"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 48</w:t>
            </w:r>
          </w:p>
        </w:tc>
        <w:tc>
          <w:tcPr>
            <w:tcW w:w="1465" w:type="dxa"/>
            <w:vAlign w:val="center"/>
          </w:tcPr>
          <w:p w14:paraId="63F80E40" w14:textId="77777777" w:rsidR="00330EAA" w:rsidRPr="00E70587" w:rsidDel="005B3D4D" w:rsidRDefault="00330EAA" w:rsidP="00217FE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 48</w:t>
            </w:r>
          </w:p>
        </w:tc>
      </w:tr>
    </w:tbl>
    <w:p w14:paraId="5E88704D" w14:textId="77777777" w:rsidR="00B149EF" w:rsidRPr="00E70587" w:rsidRDefault="00B149EF" w:rsidP="009901E1">
      <w:pPr>
        <w:pStyle w:val="Notesitalicheading"/>
        <w:spacing w:line="280" w:lineRule="exact"/>
        <w:jc w:val="both"/>
        <w:rPr>
          <w:rFonts w:ascii="Arial" w:hAnsi="Arial"/>
          <w:i w:val="0"/>
          <w:color w:val="auto"/>
          <w:sz w:val="20"/>
        </w:rPr>
      </w:pPr>
    </w:p>
    <w:tbl>
      <w:tblPr>
        <w:tblW w:w="9576" w:type="dxa"/>
        <w:tblLook w:val="0000" w:firstRow="0" w:lastRow="0" w:firstColumn="0" w:lastColumn="0" w:noHBand="0" w:noVBand="0"/>
      </w:tblPr>
      <w:tblGrid>
        <w:gridCol w:w="9576"/>
      </w:tblGrid>
      <w:tr w:rsidR="00F375C7" w:rsidRPr="00E70587" w14:paraId="0FD4F468" w14:textId="77777777" w:rsidTr="009A5E2F">
        <w:tc>
          <w:tcPr>
            <w:tcW w:w="0" w:type="auto"/>
          </w:tcPr>
          <w:p w14:paraId="334935E8" w14:textId="77777777" w:rsidR="00F375C7" w:rsidRPr="00E70587" w:rsidRDefault="00F375C7" w:rsidP="001E0201">
            <w:pPr>
              <w:pStyle w:val="Notesitalicheading"/>
              <w:spacing w:line="280" w:lineRule="exact"/>
              <w:jc w:val="both"/>
              <w:rPr>
                <w:rFonts w:ascii="Arial" w:hAnsi="Arial"/>
                <w:i w:val="0"/>
                <w:color w:val="auto"/>
                <w:sz w:val="20"/>
              </w:rPr>
            </w:pPr>
            <w:r w:rsidRPr="00E70587">
              <w:rPr>
                <w:rFonts w:ascii="Arial" w:hAnsi="Arial"/>
                <w:i w:val="0"/>
                <w:color w:val="auto"/>
                <w:sz w:val="20"/>
              </w:rPr>
              <w:t xml:space="preserve">The holding </w:t>
            </w:r>
            <w:proofErr w:type="gramStart"/>
            <w:r w:rsidRPr="00E70587">
              <w:rPr>
                <w:rFonts w:ascii="Arial" w:hAnsi="Arial"/>
                <w:i w:val="0"/>
                <w:color w:val="auto"/>
                <w:sz w:val="20"/>
              </w:rPr>
              <w:t>company</w:t>
            </w:r>
            <w:proofErr w:type="gramEnd"/>
          </w:p>
          <w:p w14:paraId="1AA5C965" w14:textId="77777777" w:rsidR="001E0201" w:rsidRPr="00E70587" w:rsidRDefault="001E0201" w:rsidP="001E0201">
            <w:pPr>
              <w:pStyle w:val="Notesbodytext"/>
              <w:spacing w:after="0" w:line="280" w:lineRule="exact"/>
              <w:jc w:val="both"/>
              <w:rPr>
                <w:rFonts w:ascii="Arial" w:hAnsi="Arial"/>
                <w:color w:val="auto"/>
                <w:sz w:val="20"/>
              </w:rPr>
            </w:pPr>
          </w:p>
          <w:p w14:paraId="652BDF70" w14:textId="77777777" w:rsidR="00F375C7" w:rsidRPr="00E70587" w:rsidRDefault="00F375C7" w:rsidP="001E0201">
            <w:pPr>
              <w:pStyle w:val="Notesbodytext"/>
              <w:spacing w:after="0" w:line="280" w:lineRule="exact"/>
              <w:jc w:val="both"/>
              <w:rPr>
                <w:rFonts w:ascii="Arial" w:hAnsi="Arial"/>
                <w:color w:val="auto"/>
                <w:sz w:val="20"/>
              </w:rPr>
            </w:pPr>
            <w:r w:rsidRPr="00E70587">
              <w:rPr>
                <w:rFonts w:ascii="Arial" w:hAnsi="Arial"/>
                <w:color w:val="auto"/>
                <w:sz w:val="20"/>
              </w:rPr>
              <w:t>The next senior and the ultimate holding company of the Illustration (India) Limited is S.J. Limited which is based and listed in Mauritius.</w:t>
            </w:r>
          </w:p>
          <w:p w14:paraId="5F27AAEB" w14:textId="77777777" w:rsidR="00F375C7" w:rsidRPr="00E70587" w:rsidRDefault="00F375C7" w:rsidP="001E0201">
            <w:pPr>
              <w:pStyle w:val="Notesbodytext"/>
              <w:spacing w:after="0" w:line="280" w:lineRule="exact"/>
              <w:jc w:val="both"/>
              <w:rPr>
                <w:rFonts w:ascii="Arial" w:hAnsi="Arial"/>
                <w:i/>
                <w:color w:val="auto"/>
                <w:sz w:val="20"/>
              </w:rPr>
            </w:pPr>
          </w:p>
        </w:tc>
      </w:tr>
      <w:tr w:rsidR="00F375C7" w:rsidRPr="00E70587" w14:paraId="5E28ED8C" w14:textId="77777777" w:rsidTr="009A5E2F">
        <w:tc>
          <w:tcPr>
            <w:tcW w:w="0" w:type="auto"/>
          </w:tcPr>
          <w:p w14:paraId="77B0F6FF" w14:textId="77777777" w:rsidR="00F375C7" w:rsidRPr="00E70587" w:rsidRDefault="00F375C7" w:rsidP="001E0201">
            <w:pPr>
              <w:pStyle w:val="Notesitalicheading"/>
              <w:spacing w:line="280" w:lineRule="exact"/>
              <w:jc w:val="both"/>
              <w:rPr>
                <w:rFonts w:ascii="Arial" w:hAnsi="Arial"/>
                <w:i w:val="0"/>
                <w:color w:val="auto"/>
                <w:sz w:val="20"/>
              </w:rPr>
            </w:pPr>
            <w:r w:rsidRPr="00E70587">
              <w:rPr>
                <w:rFonts w:ascii="Arial" w:hAnsi="Arial"/>
                <w:i w:val="0"/>
                <w:color w:val="auto"/>
                <w:sz w:val="20"/>
              </w:rPr>
              <w:t>Entity with significant influence over the Group</w:t>
            </w:r>
          </w:p>
          <w:p w14:paraId="5B007DD6" w14:textId="77777777" w:rsidR="001E0201" w:rsidRPr="00E70587" w:rsidRDefault="001E0201" w:rsidP="001E0201">
            <w:pPr>
              <w:pStyle w:val="Notesbodytext"/>
              <w:spacing w:after="0" w:line="280" w:lineRule="exact"/>
              <w:jc w:val="both"/>
              <w:rPr>
                <w:rFonts w:ascii="Arial" w:hAnsi="Arial"/>
                <w:color w:val="auto"/>
                <w:sz w:val="20"/>
              </w:rPr>
            </w:pPr>
          </w:p>
          <w:p w14:paraId="3CE8557B" w14:textId="3A70EFA6" w:rsidR="00F375C7" w:rsidRPr="00E70587" w:rsidRDefault="00F375C7" w:rsidP="001E0201">
            <w:pPr>
              <w:pStyle w:val="Notesbodytext"/>
              <w:spacing w:after="0" w:line="280" w:lineRule="exact"/>
              <w:jc w:val="both"/>
              <w:rPr>
                <w:rFonts w:ascii="Arial" w:hAnsi="Arial"/>
                <w:color w:val="auto"/>
                <w:sz w:val="20"/>
              </w:rPr>
            </w:pPr>
            <w:r w:rsidRPr="00E70587">
              <w:rPr>
                <w:rFonts w:ascii="Arial" w:hAnsi="Arial"/>
                <w:color w:val="auto"/>
                <w:sz w:val="20"/>
              </w:rPr>
              <w:t xml:space="preserve">IF Limited owns 21.48% of the Equity shares in Illustration (India) Limited (31 </w:t>
            </w:r>
            <w:r w:rsidR="008B730E" w:rsidRPr="00E70587">
              <w:rPr>
                <w:rFonts w:ascii="Arial" w:hAnsi="Arial"/>
                <w:color w:val="auto"/>
                <w:sz w:val="20"/>
              </w:rPr>
              <w:t>March 20</w:t>
            </w:r>
            <w:r w:rsidR="00E706D9">
              <w:rPr>
                <w:rFonts w:ascii="Arial" w:hAnsi="Arial"/>
                <w:color w:val="auto"/>
                <w:sz w:val="20"/>
              </w:rPr>
              <w:t>20</w:t>
            </w:r>
            <w:r w:rsidRPr="00E70587">
              <w:rPr>
                <w:rFonts w:ascii="Arial" w:hAnsi="Arial"/>
                <w:color w:val="auto"/>
                <w:sz w:val="20"/>
              </w:rPr>
              <w:t>: 21.48%,).</w:t>
            </w:r>
          </w:p>
          <w:p w14:paraId="38242840" w14:textId="77777777" w:rsidR="00F375C7" w:rsidRPr="00E70587" w:rsidRDefault="00F375C7" w:rsidP="001E0201">
            <w:pPr>
              <w:pStyle w:val="Notesbodytext"/>
              <w:spacing w:after="0" w:line="280" w:lineRule="exact"/>
              <w:jc w:val="both"/>
              <w:rPr>
                <w:rFonts w:ascii="Arial" w:hAnsi="Arial"/>
                <w:i/>
                <w:color w:val="auto"/>
                <w:sz w:val="20"/>
              </w:rPr>
            </w:pPr>
          </w:p>
        </w:tc>
      </w:tr>
      <w:tr w:rsidR="00F375C7" w:rsidRPr="00E70587" w14:paraId="375AF373" w14:textId="77777777" w:rsidTr="009A5E2F">
        <w:tc>
          <w:tcPr>
            <w:tcW w:w="0" w:type="auto"/>
          </w:tcPr>
          <w:p w14:paraId="632E0CF1" w14:textId="77777777" w:rsidR="00F375C7" w:rsidRPr="00E70587" w:rsidRDefault="00F375C7" w:rsidP="001E0201">
            <w:pPr>
              <w:pStyle w:val="Notesitalicheading"/>
              <w:spacing w:line="280" w:lineRule="exact"/>
              <w:jc w:val="both"/>
              <w:rPr>
                <w:rFonts w:ascii="Arial" w:hAnsi="Arial"/>
                <w:i w:val="0"/>
                <w:color w:val="auto"/>
                <w:sz w:val="20"/>
              </w:rPr>
            </w:pPr>
            <w:r w:rsidRPr="00E70587">
              <w:rPr>
                <w:rFonts w:ascii="Arial" w:hAnsi="Arial"/>
                <w:i w:val="0"/>
                <w:color w:val="auto"/>
                <w:sz w:val="20"/>
              </w:rPr>
              <w:t>Associate</w:t>
            </w:r>
          </w:p>
          <w:p w14:paraId="78B367C4" w14:textId="77777777" w:rsidR="001E0201" w:rsidRPr="00E70587" w:rsidRDefault="001E0201" w:rsidP="001E0201">
            <w:pPr>
              <w:pStyle w:val="Notesbodytext"/>
              <w:spacing w:after="0" w:line="280" w:lineRule="exact"/>
              <w:jc w:val="both"/>
              <w:rPr>
                <w:rFonts w:ascii="Arial" w:hAnsi="Arial"/>
                <w:color w:val="auto"/>
                <w:sz w:val="20"/>
              </w:rPr>
            </w:pPr>
          </w:p>
          <w:p w14:paraId="15A0D1D4" w14:textId="19A68D12" w:rsidR="00F375C7" w:rsidRPr="00E70587" w:rsidRDefault="00F375C7" w:rsidP="001E0201">
            <w:pPr>
              <w:pStyle w:val="Notesbodytext"/>
              <w:spacing w:after="0" w:line="280" w:lineRule="exact"/>
              <w:jc w:val="both"/>
              <w:rPr>
                <w:rFonts w:ascii="Arial" w:hAnsi="Arial"/>
                <w:color w:val="auto"/>
                <w:sz w:val="20"/>
              </w:rPr>
            </w:pPr>
            <w:r w:rsidRPr="00E70587">
              <w:rPr>
                <w:rFonts w:ascii="Arial" w:hAnsi="Arial"/>
                <w:color w:val="auto"/>
                <w:sz w:val="20"/>
              </w:rPr>
              <w:t xml:space="preserve">The Group has a 25% interest in P Limited (31 </w:t>
            </w:r>
            <w:r w:rsidR="008B730E" w:rsidRPr="00E70587">
              <w:rPr>
                <w:rFonts w:ascii="Arial" w:hAnsi="Arial"/>
                <w:color w:val="auto"/>
                <w:sz w:val="20"/>
              </w:rPr>
              <w:t>March 20</w:t>
            </w:r>
            <w:r w:rsidR="00E706D9">
              <w:rPr>
                <w:rFonts w:ascii="Arial" w:hAnsi="Arial"/>
                <w:color w:val="auto"/>
                <w:sz w:val="20"/>
              </w:rPr>
              <w:t>20</w:t>
            </w:r>
            <w:r w:rsidRPr="00E70587">
              <w:rPr>
                <w:rFonts w:ascii="Arial" w:hAnsi="Arial"/>
                <w:color w:val="auto"/>
                <w:sz w:val="20"/>
              </w:rPr>
              <w:t>: 25%,).</w:t>
            </w:r>
          </w:p>
          <w:p w14:paraId="559E5CCC" w14:textId="77777777" w:rsidR="00F375C7" w:rsidRPr="00E70587" w:rsidRDefault="00F375C7" w:rsidP="001E0201">
            <w:pPr>
              <w:pStyle w:val="Notesbodytext"/>
              <w:spacing w:after="0" w:line="280" w:lineRule="exact"/>
              <w:jc w:val="both"/>
              <w:rPr>
                <w:rFonts w:ascii="Arial" w:hAnsi="Arial"/>
                <w:i/>
                <w:color w:val="auto"/>
                <w:sz w:val="20"/>
              </w:rPr>
            </w:pPr>
          </w:p>
        </w:tc>
      </w:tr>
      <w:tr w:rsidR="00F375C7" w:rsidRPr="00E70587" w14:paraId="498D9BE6" w14:textId="77777777" w:rsidTr="009A5E2F">
        <w:tc>
          <w:tcPr>
            <w:tcW w:w="0" w:type="auto"/>
          </w:tcPr>
          <w:p w14:paraId="373A477D" w14:textId="77777777" w:rsidR="00F375C7" w:rsidRPr="00E70587" w:rsidRDefault="00F375C7" w:rsidP="001E0201">
            <w:pPr>
              <w:pStyle w:val="Notesitalicheading"/>
              <w:spacing w:line="280" w:lineRule="exact"/>
              <w:jc w:val="both"/>
              <w:rPr>
                <w:rFonts w:ascii="Arial" w:hAnsi="Arial"/>
                <w:i w:val="0"/>
                <w:color w:val="auto"/>
                <w:sz w:val="20"/>
              </w:rPr>
            </w:pPr>
            <w:r w:rsidRPr="00E70587">
              <w:rPr>
                <w:rFonts w:ascii="Arial" w:hAnsi="Arial"/>
                <w:i w:val="0"/>
                <w:color w:val="auto"/>
                <w:sz w:val="20"/>
              </w:rPr>
              <w:t>Joint venture in which the Group is a joint venturer</w:t>
            </w:r>
          </w:p>
          <w:p w14:paraId="51D54F8A" w14:textId="77777777" w:rsidR="00217FE8" w:rsidRPr="00E70587" w:rsidRDefault="00217FE8" w:rsidP="001E0201">
            <w:pPr>
              <w:pStyle w:val="Notesbodytext"/>
              <w:spacing w:after="0" w:line="280" w:lineRule="exact"/>
              <w:jc w:val="both"/>
              <w:rPr>
                <w:rFonts w:ascii="Arial" w:hAnsi="Arial"/>
                <w:color w:val="auto"/>
                <w:sz w:val="20"/>
              </w:rPr>
            </w:pPr>
          </w:p>
          <w:p w14:paraId="7F5945C2" w14:textId="0922460A" w:rsidR="00F375C7" w:rsidRPr="00E70587" w:rsidRDefault="00F375C7" w:rsidP="001E0201">
            <w:pPr>
              <w:pStyle w:val="Notesbodytext"/>
              <w:spacing w:after="0" w:line="280" w:lineRule="exact"/>
              <w:jc w:val="both"/>
              <w:rPr>
                <w:rFonts w:ascii="Arial" w:hAnsi="Arial"/>
                <w:color w:val="auto"/>
                <w:sz w:val="20"/>
              </w:rPr>
            </w:pPr>
            <w:r w:rsidRPr="00E70587">
              <w:rPr>
                <w:rFonts w:ascii="Arial" w:hAnsi="Arial"/>
                <w:color w:val="auto"/>
                <w:sz w:val="20"/>
              </w:rPr>
              <w:t xml:space="preserve">The Group has a 50% interest in S Limited (31 </w:t>
            </w:r>
            <w:r w:rsidR="008B730E" w:rsidRPr="00E70587">
              <w:rPr>
                <w:rFonts w:ascii="Arial" w:hAnsi="Arial"/>
                <w:color w:val="auto"/>
                <w:sz w:val="20"/>
              </w:rPr>
              <w:t>March 20</w:t>
            </w:r>
            <w:r w:rsidR="00E706D9">
              <w:rPr>
                <w:rFonts w:ascii="Arial" w:hAnsi="Arial"/>
                <w:color w:val="auto"/>
                <w:sz w:val="20"/>
              </w:rPr>
              <w:t>20</w:t>
            </w:r>
            <w:r w:rsidRPr="00E70587">
              <w:rPr>
                <w:rFonts w:ascii="Arial" w:hAnsi="Arial"/>
                <w:color w:val="auto"/>
                <w:sz w:val="20"/>
              </w:rPr>
              <w:t>: 50%). For more details, refer to Note 38.</w:t>
            </w:r>
          </w:p>
          <w:p w14:paraId="1ED62182" w14:textId="77777777" w:rsidR="001E0201" w:rsidRPr="00E70587" w:rsidRDefault="001E0201" w:rsidP="001E0201">
            <w:pPr>
              <w:pStyle w:val="Notesbodytext"/>
              <w:spacing w:after="0" w:line="280" w:lineRule="exact"/>
              <w:jc w:val="both"/>
              <w:rPr>
                <w:rFonts w:ascii="Arial" w:hAnsi="Arial"/>
                <w:sz w:val="20"/>
              </w:rPr>
            </w:pPr>
          </w:p>
          <w:p w14:paraId="17D03FC9" w14:textId="77777777" w:rsidR="001E0201" w:rsidRPr="00E70587" w:rsidRDefault="001E0201" w:rsidP="001E0201">
            <w:pPr>
              <w:pStyle w:val="Notesbodytext"/>
              <w:spacing w:after="0" w:line="280" w:lineRule="exact"/>
              <w:jc w:val="both"/>
              <w:rPr>
                <w:rFonts w:ascii="Arial" w:hAnsi="Arial"/>
                <w:sz w:val="20"/>
              </w:rPr>
            </w:pPr>
            <w:r w:rsidRPr="00E70587">
              <w:rPr>
                <w:rFonts w:ascii="Arial" w:hAnsi="Arial"/>
                <w:sz w:val="20"/>
              </w:rPr>
              <w:t xml:space="preserve">*See Note </w:t>
            </w:r>
            <w:r w:rsidR="00217FE8" w:rsidRPr="00E70587">
              <w:rPr>
                <w:rFonts w:ascii="Arial" w:hAnsi="Arial"/>
                <w:sz w:val="20"/>
              </w:rPr>
              <w:t xml:space="preserve">34 </w:t>
            </w:r>
            <w:r w:rsidRPr="00E70587">
              <w:rPr>
                <w:rFonts w:ascii="Arial" w:hAnsi="Arial"/>
                <w:sz w:val="20"/>
              </w:rPr>
              <w:t>for details on interest held in Fire Equipment Test Lab Limited.</w:t>
            </w:r>
          </w:p>
          <w:p w14:paraId="2B2BC768" w14:textId="77777777" w:rsidR="000A643F" w:rsidRPr="00E70587" w:rsidRDefault="000A643F" w:rsidP="001E0201">
            <w:pPr>
              <w:pStyle w:val="Notesbodytext"/>
              <w:spacing w:after="0" w:line="280" w:lineRule="exact"/>
              <w:jc w:val="both"/>
              <w:rPr>
                <w:rFonts w:ascii="Arial" w:hAnsi="Arial"/>
                <w:i/>
                <w:color w:val="auto"/>
                <w:sz w:val="20"/>
              </w:rPr>
            </w:pPr>
          </w:p>
        </w:tc>
      </w:tr>
    </w:tbl>
    <w:p w14:paraId="58A2AC75" w14:textId="77777777" w:rsidR="001E0201" w:rsidRPr="00E70587" w:rsidRDefault="001E0201"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Business combinations and acquisition of non-controlling interests</w:t>
      </w:r>
      <w:r w:rsidRPr="00E70587">
        <w:rPr>
          <w:rFonts w:ascii="Arial" w:hAnsi="Arial" w:cs="Arial"/>
          <w:sz w:val="20"/>
          <w:szCs w:val="20"/>
        </w:rPr>
        <w:tab/>
      </w:r>
    </w:p>
    <w:p w14:paraId="73BEDF8A" w14:textId="77777777" w:rsidR="001E0201" w:rsidRPr="00E70587" w:rsidRDefault="001E0201" w:rsidP="001E0201">
      <w:pPr>
        <w:pStyle w:val="Notesitalicheading"/>
        <w:spacing w:line="280" w:lineRule="exact"/>
        <w:jc w:val="both"/>
        <w:rPr>
          <w:rFonts w:ascii="Arial" w:hAnsi="Arial"/>
          <w:b w:val="0"/>
          <w:i w:val="0"/>
          <w:iCs/>
          <w:color w:val="auto"/>
          <w:sz w:val="20"/>
        </w:rPr>
      </w:pPr>
    </w:p>
    <w:p w14:paraId="7C92A591" w14:textId="02E59520" w:rsidR="001E0201" w:rsidRPr="00E70587" w:rsidRDefault="001E0201" w:rsidP="001E0201">
      <w:pPr>
        <w:pStyle w:val="Notesitalicheading"/>
        <w:spacing w:line="280" w:lineRule="exact"/>
        <w:jc w:val="both"/>
        <w:rPr>
          <w:rFonts w:ascii="Arial" w:hAnsi="Arial"/>
          <w:iCs/>
          <w:color w:val="auto"/>
          <w:sz w:val="20"/>
        </w:rPr>
      </w:pPr>
      <w:r w:rsidRPr="00E70587">
        <w:rPr>
          <w:rFonts w:ascii="Arial" w:hAnsi="Arial"/>
          <w:iCs/>
          <w:color w:val="auto"/>
          <w:sz w:val="20"/>
        </w:rPr>
        <w:t xml:space="preserve">Acquisitions during the year ended 31 </w:t>
      </w:r>
      <w:r w:rsidR="00E1202D" w:rsidRPr="00E70587">
        <w:rPr>
          <w:rFonts w:ascii="Arial" w:hAnsi="Arial"/>
          <w:iCs/>
          <w:color w:val="auto"/>
          <w:sz w:val="20"/>
        </w:rPr>
        <w:t>March 20</w:t>
      </w:r>
      <w:r w:rsidR="00E706D9">
        <w:rPr>
          <w:rFonts w:ascii="Arial" w:hAnsi="Arial"/>
          <w:iCs/>
          <w:color w:val="auto"/>
          <w:sz w:val="20"/>
        </w:rPr>
        <w:t>21</w:t>
      </w:r>
    </w:p>
    <w:p w14:paraId="20E6B65F" w14:textId="77777777" w:rsidR="001E0201" w:rsidRPr="00E70587" w:rsidRDefault="001E0201" w:rsidP="001E0201">
      <w:pPr>
        <w:pStyle w:val="Notesitalicheading"/>
        <w:spacing w:line="280" w:lineRule="exact"/>
        <w:jc w:val="both"/>
        <w:rPr>
          <w:rFonts w:ascii="Arial" w:hAnsi="Arial"/>
          <w:iCs/>
          <w:color w:val="auto"/>
          <w:sz w:val="20"/>
        </w:rPr>
      </w:pPr>
    </w:p>
    <w:p w14:paraId="4DEF1661" w14:textId="77777777" w:rsidR="001E0201" w:rsidRPr="00E70587" w:rsidRDefault="001E0201" w:rsidP="001E0201">
      <w:pPr>
        <w:pStyle w:val="Notesitalicheading"/>
        <w:spacing w:line="280" w:lineRule="exact"/>
        <w:jc w:val="both"/>
        <w:rPr>
          <w:rFonts w:ascii="Arial" w:hAnsi="Arial"/>
          <w:iCs/>
          <w:color w:val="auto"/>
          <w:sz w:val="20"/>
        </w:rPr>
      </w:pPr>
      <w:r w:rsidRPr="00E70587">
        <w:rPr>
          <w:rFonts w:ascii="Arial" w:hAnsi="Arial"/>
          <w:iCs/>
          <w:color w:val="auto"/>
          <w:sz w:val="20"/>
        </w:rPr>
        <w:t>Acquisition of Extinguishers Limited</w:t>
      </w:r>
    </w:p>
    <w:p w14:paraId="683A6618" w14:textId="77777777" w:rsidR="001E0201" w:rsidRPr="00E70587" w:rsidRDefault="001E0201" w:rsidP="001E0201">
      <w:pPr>
        <w:pStyle w:val="Notesbodytext"/>
        <w:spacing w:after="0" w:line="280" w:lineRule="exact"/>
        <w:jc w:val="both"/>
        <w:rPr>
          <w:rFonts w:ascii="Arial" w:hAnsi="Arial"/>
          <w:color w:val="auto"/>
          <w:sz w:val="20"/>
        </w:rPr>
      </w:pPr>
    </w:p>
    <w:p w14:paraId="236BA546" w14:textId="3C969589" w:rsidR="001E0201" w:rsidRPr="00E70587" w:rsidRDefault="001E0201" w:rsidP="001E0201">
      <w:pPr>
        <w:pStyle w:val="Notesbodytext"/>
        <w:spacing w:after="0" w:line="280" w:lineRule="exact"/>
        <w:jc w:val="both"/>
        <w:rPr>
          <w:rFonts w:ascii="Arial" w:hAnsi="Arial"/>
          <w:color w:val="auto"/>
          <w:sz w:val="20"/>
        </w:rPr>
      </w:pPr>
      <w:r w:rsidRPr="00E70587">
        <w:rPr>
          <w:rFonts w:ascii="Arial" w:hAnsi="Arial"/>
          <w:color w:val="auto"/>
          <w:sz w:val="20"/>
        </w:rPr>
        <w:t xml:space="preserve">On 1 November </w:t>
      </w:r>
      <w:r w:rsidR="00BE3490" w:rsidRPr="00E70587">
        <w:rPr>
          <w:rFonts w:ascii="Arial" w:hAnsi="Arial"/>
          <w:color w:val="auto"/>
          <w:sz w:val="20"/>
        </w:rPr>
        <w:t>20</w:t>
      </w:r>
      <w:r w:rsidR="00E706D9">
        <w:rPr>
          <w:rFonts w:ascii="Arial" w:hAnsi="Arial"/>
          <w:color w:val="auto"/>
          <w:sz w:val="20"/>
        </w:rPr>
        <w:t>20</w:t>
      </w:r>
      <w:r w:rsidRPr="00E70587">
        <w:rPr>
          <w:rFonts w:ascii="Arial" w:hAnsi="Arial"/>
          <w:color w:val="auto"/>
          <w:sz w:val="20"/>
        </w:rPr>
        <w:t xml:space="preserve">, the Group acquired 80% of the voting shares of Extinguishers Limited, a non-listed company based in India and specialising in the manufacture of </w:t>
      </w:r>
      <w:proofErr w:type="gramStart"/>
      <w:r w:rsidRPr="00E70587">
        <w:rPr>
          <w:rFonts w:ascii="Arial" w:hAnsi="Arial"/>
          <w:color w:val="auto"/>
          <w:sz w:val="20"/>
        </w:rPr>
        <w:t>fire retardant</w:t>
      </w:r>
      <w:proofErr w:type="gramEnd"/>
      <w:r w:rsidRPr="00E70587">
        <w:rPr>
          <w:rFonts w:ascii="Arial" w:hAnsi="Arial"/>
          <w:color w:val="auto"/>
          <w:sz w:val="20"/>
        </w:rPr>
        <w:t xml:space="preserve"> fabrics, in exchange for the Group’s shares. The Group acquired Extinguishers Limited because it significantly enlarges the range of products in the fire prevention equipment segment that can be offered to its clients.</w:t>
      </w:r>
    </w:p>
    <w:p w14:paraId="73B04040" w14:textId="77777777" w:rsidR="001E0201" w:rsidRPr="00E70587" w:rsidRDefault="001E0201" w:rsidP="001E0201">
      <w:pPr>
        <w:pStyle w:val="Notesbodytext"/>
        <w:spacing w:after="0" w:line="280" w:lineRule="exact"/>
        <w:jc w:val="both"/>
        <w:rPr>
          <w:rFonts w:ascii="Arial" w:hAnsi="Arial"/>
          <w:color w:val="auto"/>
          <w:sz w:val="20"/>
        </w:rPr>
      </w:pPr>
    </w:p>
    <w:p w14:paraId="4B9DBE93" w14:textId="77777777" w:rsidR="001E0201" w:rsidRPr="00E70587" w:rsidRDefault="001E0201" w:rsidP="001E0201">
      <w:pPr>
        <w:pStyle w:val="Notesbodytext"/>
        <w:spacing w:after="0" w:line="280" w:lineRule="exact"/>
        <w:jc w:val="both"/>
        <w:rPr>
          <w:rFonts w:ascii="Arial" w:hAnsi="Arial"/>
          <w:i/>
          <w:color w:val="auto"/>
          <w:sz w:val="20"/>
        </w:rPr>
      </w:pPr>
      <w:r w:rsidRPr="00E70587">
        <w:rPr>
          <w:rFonts w:ascii="Arial" w:hAnsi="Arial"/>
          <w:color w:val="auto"/>
          <w:sz w:val="20"/>
        </w:rPr>
        <w:t xml:space="preserve">The Group has elected to measure the non-controlling interests in the acquiree at fair value. </w:t>
      </w:r>
    </w:p>
    <w:p w14:paraId="7DA4F9D2" w14:textId="77777777" w:rsidR="00BE6D9B" w:rsidRPr="00E70587" w:rsidRDefault="00BE6D9B" w:rsidP="001E0201">
      <w:pPr>
        <w:pStyle w:val="Tablecolumnheading"/>
        <w:spacing w:line="280" w:lineRule="exact"/>
        <w:jc w:val="both"/>
        <w:rPr>
          <w:rFonts w:ascii="Arial" w:hAnsi="Arial"/>
          <w:b w:val="0"/>
          <w:color w:val="auto"/>
          <w:sz w:val="20"/>
          <w:lang w:val="en-IN"/>
        </w:rPr>
      </w:pPr>
    </w:p>
    <w:p w14:paraId="3D10E71F" w14:textId="77777777" w:rsidR="00811B92" w:rsidRPr="00E70587" w:rsidRDefault="00811B92" w:rsidP="001E0201">
      <w:pPr>
        <w:pStyle w:val="Notesitalicheading"/>
        <w:spacing w:line="280" w:lineRule="exact"/>
        <w:jc w:val="both"/>
        <w:rPr>
          <w:rFonts w:ascii="Arial" w:hAnsi="Arial"/>
          <w:sz w:val="20"/>
        </w:rPr>
      </w:pPr>
      <w:r w:rsidRPr="00E70587">
        <w:rPr>
          <w:rFonts w:ascii="Arial" w:hAnsi="Arial"/>
          <w:iCs/>
          <w:color w:val="auto"/>
          <w:sz w:val="20"/>
        </w:rPr>
        <w:t>Assets</w:t>
      </w:r>
      <w:r w:rsidRPr="00E70587">
        <w:rPr>
          <w:rFonts w:ascii="Arial" w:hAnsi="Arial"/>
          <w:sz w:val="20"/>
        </w:rPr>
        <w:t xml:space="preserve"> acquired and liabilities assumed</w:t>
      </w:r>
    </w:p>
    <w:p w14:paraId="4C7F7796" w14:textId="77777777" w:rsidR="001E0201" w:rsidRPr="00E70587" w:rsidRDefault="001E0201" w:rsidP="001E0201">
      <w:pPr>
        <w:pStyle w:val="Notesitalicheading"/>
        <w:spacing w:line="280" w:lineRule="exact"/>
        <w:jc w:val="both"/>
        <w:rPr>
          <w:rFonts w:ascii="Arial" w:hAnsi="Arial"/>
          <w:b w:val="0"/>
          <w:i w:val="0"/>
          <w:color w:val="auto"/>
          <w:sz w:val="20"/>
        </w:rPr>
      </w:pPr>
    </w:p>
    <w:p w14:paraId="511BA1D6" w14:textId="77777777" w:rsidR="00811B92" w:rsidRPr="00E70587" w:rsidRDefault="00811B92" w:rsidP="001E0201">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 xml:space="preserve">The fair </w:t>
      </w:r>
      <w:r w:rsidRPr="00E70587">
        <w:rPr>
          <w:rFonts w:ascii="Arial" w:hAnsi="Arial"/>
          <w:b w:val="0"/>
          <w:i w:val="0"/>
          <w:iCs/>
          <w:color w:val="auto"/>
          <w:sz w:val="20"/>
        </w:rPr>
        <w:t>values</w:t>
      </w:r>
      <w:r w:rsidRPr="00E70587">
        <w:rPr>
          <w:rFonts w:ascii="Arial" w:hAnsi="Arial"/>
          <w:b w:val="0"/>
          <w:i w:val="0"/>
          <w:color w:val="auto"/>
          <w:sz w:val="20"/>
        </w:rPr>
        <w:t xml:space="preserve"> of the identifiable assets and liabilities of Extinguishers Limited as at the date of acquisition were:</w:t>
      </w:r>
    </w:p>
    <w:tbl>
      <w:tblPr>
        <w:tblW w:w="9576" w:type="dxa"/>
        <w:tblLayout w:type="fixed"/>
        <w:tblLook w:val="01E0" w:firstRow="1" w:lastRow="1" w:firstColumn="1" w:lastColumn="1" w:noHBand="0" w:noVBand="0"/>
      </w:tblPr>
      <w:tblGrid>
        <w:gridCol w:w="7679"/>
        <w:gridCol w:w="1897"/>
      </w:tblGrid>
      <w:tr w:rsidR="00F375C7" w:rsidRPr="00E70587" w14:paraId="4161D258" w14:textId="77777777" w:rsidTr="009A5E2F">
        <w:tc>
          <w:tcPr>
            <w:tcW w:w="7650" w:type="dxa"/>
            <w:shd w:val="clear" w:color="auto" w:fill="auto"/>
          </w:tcPr>
          <w:p w14:paraId="2C1C819C" w14:textId="77777777" w:rsidR="00F375C7" w:rsidRPr="00E70587" w:rsidRDefault="00F375C7" w:rsidP="009901E1">
            <w:pPr>
              <w:pStyle w:val="000Normal"/>
              <w:spacing w:before="0" w:after="0" w:line="280" w:lineRule="exact"/>
              <w:rPr>
                <w:rFonts w:ascii="Arial" w:hAnsi="Arial" w:cs="Arial"/>
                <w:sz w:val="20"/>
              </w:rPr>
            </w:pPr>
          </w:p>
        </w:tc>
        <w:tc>
          <w:tcPr>
            <w:tcW w:w="1890" w:type="dxa"/>
            <w:tcBorders>
              <w:bottom w:val="single" w:sz="4" w:space="0" w:color="auto"/>
            </w:tcBorders>
            <w:shd w:val="clear" w:color="auto" w:fill="auto"/>
          </w:tcPr>
          <w:p w14:paraId="5CA5029B" w14:textId="77777777" w:rsidR="00F375C7" w:rsidRPr="00E70587" w:rsidRDefault="00F375C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Fair value recognised on acquisition</w:t>
            </w:r>
          </w:p>
        </w:tc>
      </w:tr>
      <w:tr w:rsidR="00F375C7" w:rsidRPr="00E70587" w14:paraId="70277DB2" w14:textId="77777777" w:rsidTr="009A5E2F">
        <w:tc>
          <w:tcPr>
            <w:tcW w:w="7650" w:type="dxa"/>
          </w:tcPr>
          <w:p w14:paraId="60CF523C"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Assets</w:t>
            </w:r>
          </w:p>
        </w:tc>
        <w:tc>
          <w:tcPr>
            <w:tcW w:w="1890" w:type="dxa"/>
            <w:tcMar>
              <w:top w:w="28" w:type="dxa"/>
              <w:left w:w="85" w:type="dxa"/>
              <w:right w:w="142" w:type="dxa"/>
            </w:tcMar>
          </w:tcPr>
          <w:p w14:paraId="0C92A097" w14:textId="77777777" w:rsidR="00F375C7" w:rsidRPr="00E70587" w:rsidRDefault="00F375C7" w:rsidP="009901E1">
            <w:pPr>
              <w:pStyle w:val="tabletext"/>
              <w:overflowPunct w:val="0"/>
              <w:autoSpaceDE w:val="0"/>
              <w:autoSpaceDN w:val="0"/>
              <w:adjustRightInd w:val="0"/>
              <w:spacing w:line="280" w:lineRule="exact"/>
              <w:ind w:left="340"/>
              <w:jc w:val="right"/>
              <w:textAlignment w:val="baseline"/>
              <w:rPr>
                <w:rFonts w:ascii="Arial" w:hAnsi="Arial" w:cs="Arial"/>
                <w:b/>
                <w:sz w:val="20"/>
                <w:lang w:val="en-IN"/>
              </w:rPr>
            </w:pPr>
            <w:r w:rsidRPr="00E70587">
              <w:rPr>
                <w:rFonts w:ascii="Arial" w:hAnsi="Arial" w:cs="Arial"/>
                <w:b/>
                <w:sz w:val="20"/>
                <w:lang w:val="en-IN"/>
              </w:rPr>
              <w:t>INR Lacs</w:t>
            </w:r>
          </w:p>
        </w:tc>
      </w:tr>
      <w:tr w:rsidR="00F375C7" w:rsidRPr="00E70587" w14:paraId="5429F27A" w14:textId="77777777" w:rsidTr="009A5E2F">
        <w:tc>
          <w:tcPr>
            <w:tcW w:w="7650" w:type="dxa"/>
          </w:tcPr>
          <w:p w14:paraId="360E0263" w14:textId="77777777" w:rsidR="00F375C7" w:rsidRPr="00E70587" w:rsidRDefault="00F375C7" w:rsidP="00BA690C">
            <w:pPr>
              <w:pStyle w:val="tabletext"/>
              <w:spacing w:line="280" w:lineRule="exact"/>
              <w:rPr>
                <w:rFonts w:ascii="Arial" w:hAnsi="Arial" w:cs="Arial"/>
                <w:b/>
                <w:sz w:val="20"/>
                <w:lang w:val="en-IN"/>
              </w:rPr>
            </w:pPr>
            <w:r w:rsidRPr="00E70587">
              <w:rPr>
                <w:rFonts w:ascii="Arial" w:hAnsi="Arial" w:cs="Arial"/>
                <w:sz w:val="20"/>
                <w:lang w:val="en-IN"/>
              </w:rPr>
              <w:t xml:space="preserve">Property, plant and equipment (Note </w:t>
            </w:r>
            <w:r w:rsidR="00BA690C" w:rsidRPr="00E70587">
              <w:rPr>
                <w:rFonts w:ascii="Arial" w:hAnsi="Arial" w:cs="Arial"/>
                <w:sz w:val="20"/>
                <w:lang w:val="en-IN"/>
              </w:rPr>
              <w:t>3</w:t>
            </w:r>
            <w:r w:rsidRPr="00E70587">
              <w:rPr>
                <w:rFonts w:ascii="Arial" w:hAnsi="Arial" w:cs="Arial"/>
                <w:sz w:val="20"/>
                <w:lang w:val="en-IN"/>
              </w:rPr>
              <w:t>)</w:t>
            </w:r>
          </w:p>
        </w:tc>
        <w:tc>
          <w:tcPr>
            <w:tcW w:w="1890" w:type="dxa"/>
            <w:tcMar>
              <w:right w:w="108" w:type="dxa"/>
            </w:tcMar>
          </w:tcPr>
          <w:p w14:paraId="527E5905" w14:textId="77777777" w:rsidR="00F375C7" w:rsidRPr="00E70587" w:rsidRDefault="00F375C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12,676</w:t>
            </w:r>
          </w:p>
        </w:tc>
      </w:tr>
      <w:tr w:rsidR="006B3547" w:rsidRPr="00E70587" w14:paraId="158E9928" w14:textId="77777777" w:rsidTr="009A5E2F">
        <w:tc>
          <w:tcPr>
            <w:tcW w:w="7650" w:type="dxa"/>
          </w:tcPr>
          <w:p w14:paraId="4513022C" w14:textId="71B6D0D9" w:rsidR="006B3547" w:rsidRPr="00E70587" w:rsidRDefault="006B3547" w:rsidP="009901E1">
            <w:pPr>
              <w:pStyle w:val="tabletext"/>
              <w:spacing w:line="280" w:lineRule="exact"/>
              <w:rPr>
                <w:rFonts w:ascii="Arial" w:hAnsi="Arial" w:cs="Arial"/>
                <w:sz w:val="20"/>
                <w:lang w:val="en-IN"/>
              </w:rPr>
            </w:pPr>
            <w:r>
              <w:rPr>
                <w:rFonts w:ascii="Arial" w:hAnsi="Arial" w:cs="Arial"/>
                <w:sz w:val="20"/>
                <w:lang w:val="en-IN"/>
              </w:rPr>
              <w:t>Right-of-use assets</w:t>
            </w:r>
          </w:p>
        </w:tc>
        <w:tc>
          <w:tcPr>
            <w:tcW w:w="1890" w:type="dxa"/>
            <w:tcMar>
              <w:right w:w="108" w:type="dxa"/>
            </w:tcMar>
          </w:tcPr>
          <w:p w14:paraId="05472622" w14:textId="73DE5EDF" w:rsidR="006B3547" w:rsidRPr="00E70587" w:rsidRDefault="001A365A" w:rsidP="009901E1">
            <w:pPr>
              <w:overflowPunct/>
              <w:spacing w:line="280" w:lineRule="exact"/>
              <w:jc w:val="right"/>
              <w:textAlignment w:val="auto"/>
              <w:rPr>
                <w:rFonts w:ascii="Arial" w:hAnsi="Arial" w:cs="Arial"/>
                <w:sz w:val="20"/>
                <w:lang w:eastAsia="en-GB"/>
              </w:rPr>
            </w:pPr>
            <w:r>
              <w:rPr>
                <w:rFonts w:ascii="Arial" w:hAnsi="Arial" w:cs="Arial"/>
                <w:sz w:val="20"/>
                <w:lang w:eastAsia="en-GB"/>
              </w:rPr>
              <w:t>446</w:t>
            </w:r>
          </w:p>
        </w:tc>
      </w:tr>
      <w:tr w:rsidR="00F375C7" w:rsidRPr="00E70587" w14:paraId="7A1E1F38" w14:textId="77777777" w:rsidTr="009A5E2F">
        <w:tc>
          <w:tcPr>
            <w:tcW w:w="7650" w:type="dxa"/>
          </w:tcPr>
          <w:p w14:paraId="68480E1B" w14:textId="77777777" w:rsidR="00F375C7" w:rsidRPr="00E70587" w:rsidRDefault="00F375C7" w:rsidP="009901E1">
            <w:pPr>
              <w:pStyle w:val="tabletext"/>
              <w:spacing w:line="280" w:lineRule="exact"/>
              <w:rPr>
                <w:rFonts w:ascii="Arial" w:hAnsi="Arial" w:cs="Arial"/>
                <w:b/>
                <w:sz w:val="20"/>
                <w:lang w:val="en-IN"/>
              </w:rPr>
            </w:pPr>
            <w:r w:rsidRPr="00E70587">
              <w:rPr>
                <w:rFonts w:ascii="Arial" w:hAnsi="Arial" w:cs="Arial"/>
                <w:sz w:val="20"/>
                <w:lang w:val="en-IN"/>
              </w:rPr>
              <w:t>Cash and cash equivalents</w:t>
            </w:r>
          </w:p>
        </w:tc>
        <w:tc>
          <w:tcPr>
            <w:tcW w:w="1890" w:type="dxa"/>
            <w:tcMar>
              <w:right w:w="108" w:type="dxa"/>
            </w:tcMar>
          </w:tcPr>
          <w:p w14:paraId="2F520F35" w14:textId="77777777" w:rsidR="00F375C7" w:rsidRPr="00E70587" w:rsidRDefault="00F375C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414</w:t>
            </w:r>
          </w:p>
        </w:tc>
      </w:tr>
      <w:tr w:rsidR="00F375C7" w:rsidRPr="00E70587" w14:paraId="5843DE58" w14:textId="77777777" w:rsidTr="009A5E2F">
        <w:tc>
          <w:tcPr>
            <w:tcW w:w="7650" w:type="dxa"/>
          </w:tcPr>
          <w:p w14:paraId="70A0A5AC"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Trade receivables</w:t>
            </w:r>
          </w:p>
        </w:tc>
        <w:tc>
          <w:tcPr>
            <w:tcW w:w="1890" w:type="dxa"/>
            <w:tcMar>
              <w:top w:w="28" w:type="dxa"/>
              <w:left w:w="85" w:type="dxa"/>
              <w:right w:w="108" w:type="dxa"/>
            </w:tcMar>
          </w:tcPr>
          <w:p w14:paraId="5E009AEA" w14:textId="77777777" w:rsidR="00F375C7" w:rsidRPr="00E70587" w:rsidRDefault="00F375C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3,089</w:t>
            </w:r>
          </w:p>
        </w:tc>
      </w:tr>
      <w:tr w:rsidR="00F375C7" w:rsidRPr="00E70587" w14:paraId="08DB57E6" w14:textId="77777777" w:rsidTr="009A5E2F">
        <w:tc>
          <w:tcPr>
            <w:tcW w:w="7650" w:type="dxa"/>
          </w:tcPr>
          <w:p w14:paraId="3EB5BFEB"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Inventories</w:t>
            </w:r>
          </w:p>
        </w:tc>
        <w:tc>
          <w:tcPr>
            <w:tcW w:w="1890" w:type="dxa"/>
            <w:tcMar>
              <w:top w:w="28" w:type="dxa"/>
              <w:left w:w="85" w:type="dxa"/>
              <w:right w:w="108" w:type="dxa"/>
            </w:tcMar>
          </w:tcPr>
          <w:p w14:paraId="5D906E11" w14:textId="77F3895A" w:rsidR="00F375C7" w:rsidRPr="00E70587" w:rsidRDefault="001A365A" w:rsidP="009901E1">
            <w:pPr>
              <w:overflowPunct/>
              <w:spacing w:line="280" w:lineRule="exact"/>
              <w:jc w:val="right"/>
              <w:textAlignment w:val="auto"/>
              <w:rPr>
                <w:rFonts w:ascii="Arial" w:hAnsi="Arial" w:cs="Arial"/>
                <w:sz w:val="20"/>
                <w:lang w:eastAsia="en-GB"/>
              </w:rPr>
            </w:pPr>
            <w:r>
              <w:rPr>
                <w:rFonts w:ascii="Arial" w:hAnsi="Arial" w:cs="Arial"/>
                <w:sz w:val="20"/>
                <w:lang w:eastAsia="en-GB"/>
              </w:rPr>
              <w:t>5,994</w:t>
            </w:r>
          </w:p>
        </w:tc>
      </w:tr>
      <w:tr w:rsidR="00F375C7" w:rsidRPr="00E70587" w14:paraId="343FEC87" w14:textId="77777777" w:rsidTr="009A5E2F">
        <w:tc>
          <w:tcPr>
            <w:tcW w:w="7650" w:type="dxa"/>
          </w:tcPr>
          <w:p w14:paraId="61C7BE3C" w14:textId="77777777" w:rsidR="00F375C7" w:rsidRPr="00E70587" w:rsidRDefault="00F375C7" w:rsidP="00BA690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Patents and licences</w:t>
            </w:r>
            <w:r w:rsidR="00950163" w:rsidRPr="00E70587">
              <w:rPr>
                <w:rFonts w:ascii="Arial" w:hAnsi="Arial" w:cs="Arial"/>
                <w:sz w:val="20"/>
                <w:lang w:val="en-IN"/>
              </w:rPr>
              <w:t xml:space="preserve"> </w:t>
            </w:r>
            <w:r w:rsidRPr="00E70587">
              <w:rPr>
                <w:rFonts w:ascii="Arial" w:hAnsi="Arial" w:cs="Arial"/>
                <w:sz w:val="20"/>
                <w:lang w:val="en-IN"/>
              </w:rPr>
              <w:t xml:space="preserve">(Note </w:t>
            </w:r>
            <w:r w:rsidR="00BA690C" w:rsidRPr="00E70587">
              <w:rPr>
                <w:rFonts w:ascii="Arial" w:hAnsi="Arial" w:cs="Arial"/>
                <w:sz w:val="20"/>
                <w:lang w:val="en-IN"/>
              </w:rPr>
              <w:t>5</w:t>
            </w:r>
            <w:r w:rsidRPr="00E70587">
              <w:rPr>
                <w:rFonts w:ascii="Arial" w:hAnsi="Arial" w:cs="Arial"/>
                <w:sz w:val="20"/>
                <w:lang w:val="en-IN"/>
              </w:rPr>
              <w:t>)</w:t>
            </w:r>
          </w:p>
        </w:tc>
        <w:tc>
          <w:tcPr>
            <w:tcW w:w="1890" w:type="dxa"/>
            <w:tcBorders>
              <w:bottom w:val="single" w:sz="4" w:space="0" w:color="auto"/>
            </w:tcBorders>
            <w:tcMar>
              <w:top w:w="28" w:type="dxa"/>
              <w:left w:w="85" w:type="dxa"/>
              <w:right w:w="108" w:type="dxa"/>
            </w:tcMar>
          </w:tcPr>
          <w:p w14:paraId="46DA0007" w14:textId="77777777" w:rsidR="00F375C7" w:rsidRPr="00E70587" w:rsidRDefault="00F375C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2,160</w:t>
            </w:r>
          </w:p>
        </w:tc>
      </w:tr>
      <w:tr w:rsidR="00F375C7" w:rsidRPr="00E70587" w14:paraId="50A0FC24" w14:textId="77777777" w:rsidTr="009A5E2F">
        <w:tc>
          <w:tcPr>
            <w:tcW w:w="7650" w:type="dxa"/>
          </w:tcPr>
          <w:p w14:paraId="1361C4AC"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890" w:type="dxa"/>
            <w:tcBorders>
              <w:top w:val="single" w:sz="4" w:space="0" w:color="auto"/>
            </w:tcBorders>
            <w:tcMar>
              <w:top w:w="28" w:type="dxa"/>
              <w:left w:w="85" w:type="dxa"/>
              <w:right w:w="108" w:type="dxa"/>
            </w:tcMar>
          </w:tcPr>
          <w:p w14:paraId="28C2B4DB" w14:textId="77777777" w:rsidR="00F375C7" w:rsidRPr="00E70587" w:rsidRDefault="00F375C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24,779</w:t>
            </w:r>
          </w:p>
        </w:tc>
      </w:tr>
      <w:tr w:rsidR="00F375C7" w:rsidRPr="00E70587" w14:paraId="66CFB47B" w14:textId="77777777" w:rsidTr="009A5E2F">
        <w:tc>
          <w:tcPr>
            <w:tcW w:w="7650" w:type="dxa"/>
          </w:tcPr>
          <w:p w14:paraId="4AF5CEF7"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lastRenderedPageBreak/>
              <w:t>Liabilities</w:t>
            </w:r>
          </w:p>
        </w:tc>
        <w:tc>
          <w:tcPr>
            <w:tcW w:w="1890" w:type="dxa"/>
            <w:tcMar>
              <w:top w:w="28" w:type="dxa"/>
              <w:left w:w="85" w:type="dxa"/>
              <w:right w:w="0" w:type="dxa"/>
            </w:tcMar>
          </w:tcPr>
          <w:p w14:paraId="5311A40F" w14:textId="77777777" w:rsidR="00F375C7" w:rsidRPr="00E70587" w:rsidRDefault="00F375C7" w:rsidP="009901E1">
            <w:pPr>
              <w:spacing w:line="280" w:lineRule="exact"/>
              <w:jc w:val="right"/>
              <w:rPr>
                <w:rFonts w:ascii="Arial" w:hAnsi="Arial" w:cs="Arial"/>
                <w:sz w:val="20"/>
              </w:rPr>
            </w:pPr>
          </w:p>
        </w:tc>
      </w:tr>
      <w:tr w:rsidR="00F375C7" w:rsidRPr="00E70587" w14:paraId="20398183" w14:textId="77777777" w:rsidTr="009A5E2F">
        <w:tc>
          <w:tcPr>
            <w:tcW w:w="7650" w:type="dxa"/>
          </w:tcPr>
          <w:p w14:paraId="494BB524"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Trade payables</w:t>
            </w:r>
          </w:p>
        </w:tc>
        <w:tc>
          <w:tcPr>
            <w:tcW w:w="1890" w:type="dxa"/>
            <w:tcMar>
              <w:top w:w="28" w:type="dxa"/>
              <w:left w:w="85" w:type="dxa"/>
              <w:right w:w="28" w:type="dxa"/>
            </w:tcMar>
          </w:tcPr>
          <w:p w14:paraId="7870F37A" w14:textId="49D4B733" w:rsidR="00F375C7" w:rsidRPr="00E70587" w:rsidRDefault="00F375C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r w:rsidR="002E0482">
              <w:rPr>
                <w:rFonts w:ascii="Arial" w:hAnsi="Arial" w:cs="Arial"/>
                <w:sz w:val="20"/>
                <w:lang w:eastAsia="en-GB"/>
              </w:rPr>
              <w:t>3</w:t>
            </w:r>
            <w:r w:rsidRPr="00E70587">
              <w:rPr>
                <w:rFonts w:ascii="Arial" w:hAnsi="Arial" w:cs="Arial"/>
                <w:sz w:val="20"/>
                <w:lang w:eastAsia="en-GB"/>
              </w:rPr>
              <w:t>,</w:t>
            </w:r>
            <w:r w:rsidR="002E0482">
              <w:rPr>
                <w:rFonts w:ascii="Arial" w:hAnsi="Arial" w:cs="Arial"/>
                <w:sz w:val="20"/>
                <w:lang w:eastAsia="en-GB"/>
              </w:rPr>
              <w:t>692</w:t>
            </w:r>
            <w:r w:rsidRPr="00E70587">
              <w:rPr>
                <w:rFonts w:ascii="Arial" w:hAnsi="Arial" w:cs="Arial"/>
                <w:sz w:val="20"/>
                <w:lang w:eastAsia="en-GB"/>
              </w:rPr>
              <w:t>)</w:t>
            </w:r>
          </w:p>
        </w:tc>
      </w:tr>
      <w:tr w:rsidR="005A35E6" w:rsidRPr="00E70587" w14:paraId="553A4099" w14:textId="77777777" w:rsidTr="009A5E2F">
        <w:tc>
          <w:tcPr>
            <w:tcW w:w="7650" w:type="dxa"/>
          </w:tcPr>
          <w:p w14:paraId="305E9B44" w14:textId="42B8EAE8" w:rsidR="005A35E6" w:rsidRDefault="005A35E6" w:rsidP="009901E1">
            <w:pPr>
              <w:pStyle w:val="tabletext"/>
              <w:overflowPunct w:val="0"/>
              <w:autoSpaceDE w:val="0"/>
              <w:autoSpaceDN w:val="0"/>
              <w:adjustRightInd w:val="0"/>
              <w:spacing w:line="280" w:lineRule="exact"/>
              <w:textAlignment w:val="baseline"/>
              <w:rPr>
                <w:rFonts w:ascii="Arial" w:hAnsi="Arial" w:cs="Arial"/>
                <w:sz w:val="20"/>
                <w:lang w:val="en-IN"/>
              </w:rPr>
            </w:pPr>
            <w:r>
              <w:rPr>
                <w:rFonts w:ascii="Arial" w:hAnsi="Arial" w:cs="Arial"/>
                <w:sz w:val="20"/>
                <w:lang w:val="en-IN"/>
              </w:rPr>
              <w:t xml:space="preserve">Lease </w:t>
            </w:r>
            <w:r w:rsidR="003D69E6">
              <w:rPr>
                <w:rFonts w:ascii="Arial" w:hAnsi="Arial" w:cs="Arial"/>
                <w:sz w:val="20"/>
                <w:lang w:val="en-IN"/>
              </w:rPr>
              <w:t>liabilities</w:t>
            </w:r>
          </w:p>
        </w:tc>
        <w:tc>
          <w:tcPr>
            <w:tcW w:w="1890" w:type="dxa"/>
            <w:tcMar>
              <w:top w:w="28" w:type="dxa"/>
              <w:left w:w="85" w:type="dxa"/>
              <w:right w:w="28" w:type="dxa"/>
            </w:tcMar>
          </w:tcPr>
          <w:p w14:paraId="38775665" w14:textId="70CC4C79" w:rsidR="005A35E6" w:rsidRDefault="002E0482" w:rsidP="009901E1">
            <w:pPr>
              <w:overflowPunct/>
              <w:spacing w:line="280" w:lineRule="exact"/>
              <w:jc w:val="right"/>
              <w:textAlignment w:val="auto"/>
              <w:rPr>
                <w:rFonts w:ascii="Arial" w:hAnsi="Arial" w:cs="Arial"/>
                <w:sz w:val="20"/>
                <w:lang w:eastAsia="en-GB"/>
              </w:rPr>
            </w:pPr>
            <w:r>
              <w:rPr>
                <w:rFonts w:ascii="Arial" w:hAnsi="Arial" w:cs="Arial"/>
                <w:sz w:val="20"/>
                <w:lang w:eastAsia="en-GB"/>
              </w:rPr>
              <w:t>(383)</w:t>
            </w:r>
          </w:p>
        </w:tc>
      </w:tr>
      <w:tr w:rsidR="00806C1A" w:rsidRPr="00E70587" w14:paraId="38B88D07" w14:textId="77777777" w:rsidTr="009A5E2F">
        <w:tc>
          <w:tcPr>
            <w:tcW w:w="7650" w:type="dxa"/>
          </w:tcPr>
          <w:p w14:paraId="71C280C6" w14:textId="1B07211C" w:rsidR="00806C1A" w:rsidRPr="00E70587" w:rsidRDefault="00806C1A" w:rsidP="009901E1">
            <w:pPr>
              <w:pStyle w:val="tabletext"/>
              <w:overflowPunct w:val="0"/>
              <w:autoSpaceDE w:val="0"/>
              <w:autoSpaceDN w:val="0"/>
              <w:adjustRightInd w:val="0"/>
              <w:spacing w:line="280" w:lineRule="exact"/>
              <w:textAlignment w:val="baseline"/>
              <w:rPr>
                <w:rFonts w:ascii="Arial" w:hAnsi="Arial" w:cs="Arial"/>
                <w:sz w:val="20"/>
                <w:lang w:val="en-IN"/>
              </w:rPr>
            </w:pPr>
            <w:r>
              <w:rPr>
                <w:rFonts w:ascii="Arial" w:hAnsi="Arial" w:cs="Arial"/>
                <w:sz w:val="20"/>
                <w:lang w:val="en-IN"/>
              </w:rPr>
              <w:t>Contract liability</w:t>
            </w:r>
          </w:p>
        </w:tc>
        <w:tc>
          <w:tcPr>
            <w:tcW w:w="1890" w:type="dxa"/>
            <w:tcMar>
              <w:top w:w="28" w:type="dxa"/>
              <w:left w:w="85" w:type="dxa"/>
              <w:right w:w="28" w:type="dxa"/>
            </w:tcMar>
          </w:tcPr>
          <w:p w14:paraId="4DD32829" w14:textId="0D090E4F" w:rsidR="00806C1A" w:rsidRPr="00E70587" w:rsidRDefault="00806C1A" w:rsidP="009901E1">
            <w:pPr>
              <w:overflowPunct/>
              <w:spacing w:line="280" w:lineRule="exact"/>
              <w:jc w:val="right"/>
              <w:textAlignment w:val="auto"/>
              <w:rPr>
                <w:rFonts w:ascii="Arial" w:hAnsi="Arial" w:cs="Arial"/>
                <w:sz w:val="20"/>
                <w:lang w:eastAsia="en-GB"/>
              </w:rPr>
            </w:pPr>
            <w:r>
              <w:rPr>
                <w:rFonts w:ascii="Arial" w:hAnsi="Arial" w:cs="Arial"/>
                <w:sz w:val="20"/>
                <w:lang w:eastAsia="en-GB"/>
              </w:rPr>
              <w:t>(500)</w:t>
            </w:r>
          </w:p>
        </w:tc>
      </w:tr>
      <w:tr w:rsidR="00F375C7" w:rsidRPr="00E70587" w14:paraId="1A21234D" w14:textId="77777777" w:rsidTr="009A5E2F">
        <w:tc>
          <w:tcPr>
            <w:tcW w:w="7650" w:type="dxa"/>
          </w:tcPr>
          <w:p w14:paraId="592A5189"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Contingent liability (Note 42)</w:t>
            </w:r>
          </w:p>
        </w:tc>
        <w:tc>
          <w:tcPr>
            <w:tcW w:w="1890" w:type="dxa"/>
            <w:tcMar>
              <w:top w:w="28" w:type="dxa"/>
              <w:left w:w="85" w:type="dxa"/>
              <w:right w:w="28" w:type="dxa"/>
            </w:tcMar>
          </w:tcPr>
          <w:p w14:paraId="4786D188" w14:textId="77777777" w:rsidR="00F375C7" w:rsidRPr="00E70587" w:rsidRDefault="00F375C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(684)</w:t>
            </w:r>
          </w:p>
        </w:tc>
      </w:tr>
      <w:tr w:rsidR="00F375C7" w:rsidRPr="00E70587" w14:paraId="06848F74" w14:textId="77777777" w:rsidTr="009A5E2F">
        <w:tc>
          <w:tcPr>
            <w:tcW w:w="7650" w:type="dxa"/>
          </w:tcPr>
          <w:p w14:paraId="04541319" w14:textId="00850369" w:rsidR="00F375C7" w:rsidRPr="00E70587" w:rsidRDefault="00F375C7" w:rsidP="00BA690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Provision for onerous </w:t>
            </w:r>
            <w:r w:rsidR="0020071A">
              <w:rPr>
                <w:rFonts w:ascii="Arial" w:hAnsi="Arial" w:cs="Arial"/>
                <w:sz w:val="20"/>
                <w:lang w:val="en-IN"/>
              </w:rPr>
              <w:t>contract</w:t>
            </w:r>
            <w:r w:rsidRPr="00E70587">
              <w:rPr>
                <w:rFonts w:ascii="Arial" w:hAnsi="Arial" w:cs="Arial"/>
                <w:sz w:val="20"/>
                <w:lang w:val="en-IN"/>
              </w:rPr>
              <w:t xml:space="preserve"> (Note </w:t>
            </w:r>
            <w:r w:rsidR="00BA690C" w:rsidRPr="00E70587">
              <w:rPr>
                <w:rFonts w:ascii="Arial" w:hAnsi="Arial" w:cs="Arial"/>
                <w:sz w:val="20"/>
                <w:lang w:val="en-IN"/>
              </w:rPr>
              <w:t>16</w:t>
            </w:r>
            <w:r w:rsidRPr="00E70587">
              <w:rPr>
                <w:rFonts w:ascii="Arial" w:hAnsi="Arial" w:cs="Arial"/>
                <w:sz w:val="20"/>
                <w:lang w:val="en-IN"/>
              </w:rPr>
              <w:t>)</w:t>
            </w:r>
          </w:p>
        </w:tc>
        <w:tc>
          <w:tcPr>
            <w:tcW w:w="1890" w:type="dxa"/>
            <w:tcMar>
              <w:top w:w="28" w:type="dxa"/>
              <w:left w:w="85" w:type="dxa"/>
              <w:right w:w="28" w:type="dxa"/>
            </w:tcMar>
          </w:tcPr>
          <w:p w14:paraId="286D5C8F" w14:textId="77777777" w:rsidR="00F375C7" w:rsidRPr="00E70587" w:rsidRDefault="00F375C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(720)</w:t>
            </w:r>
          </w:p>
        </w:tc>
      </w:tr>
      <w:tr w:rsidR="00F375C7" w:rsidRPr="00E70587" w14:paraId="0B249C35" w14:textId="77777777" w:rsidTr="009A5E2F">
        <w:tc>
          <w:tcPr>
            <w:tcW w:w="7650" w:type="dxa"/>
          </w:tcPr>
          <w:p w14:paraId="267FFCC8" w14:textId="77777777" w:rsidR="00F375C7" w:rsidRPr="00E70587" w:rsidRDefault="00F375C7" w:rsidP="00BA690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Provision for restructuring (Note </w:t>
            </w:r>
            <w:r w:rsidR="00BA690C" w:rsidRPr="00E70587">
              <w:rPr>
                <w:rFonts w:ascii="Arial" w:hAnsi="Arial" w:cs="Arial"/>
                <w:sz w:val="20"/>
                <w:lang w:val="en-IN"/>
              </w:rPr>
              <w:t>16</w:t>
            </w:r>
            <w:r w:rsidRPr="00E70587">
              <w:rPr>
                <w:rFonts w:ascii="Arial" w:hAnsi="Arial" w:cs="Arial"/>
                <w:sz w:val="20"/>
                <w:lang w:val="en-IN"/>
              </w:rPr>
              <w:t>)</w:t>
            </w:r>
          </w:p>
        </w:tc>
        <w:tc>
          <w:tcPr>
            <w:tcW w:w="1890" w:type="dxa"/>
            <w:tcMar>
              <w:top w:w="28" w:type="dxa"/>
              <w:left w:w="108" w:type="dxa"/>
              <w:right w:w="28" w:type="dxa"/>
            </w:tcMar>
          </w:tcPr>
          <w:p w14:paraId="17113B82" w14:textId="09E08B7F" w:rsidR="00F375C7" w:rsidRPr="00E70587" w:rsidRDefault="00F375C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r w:rsidR="001642CA" w:rsidRPr="00E70587">
              <w:rPr>
                <w:rFonts w:ascii="Arial" w:hAnsi="Arial" w:cs="Arial"/>
                <w:sz w:val="20"/>
                <w:lang w:eastAsia="en-GB"/>
              </w:rPr>
              <w:t>9</w:t>
            </w:r>
            <w:r w:rsidR="00525587">
              <w:rPr>
                <w:rFonts w:ascii="Arial" w:hAnsi="Arial" w:cs="Arial"/>
                <w:sz w:val="20"/>
                <w:lang w:eastAsia="en-GB"/>
              </w:rPr>
              <w:t>0</w:t>
            </w:r>
            <w:r w:rsidR="001642CA" w:rsidRPr="00E70587">
              <w:rPr>
                <w:rFonts w:ascii="Arial" w:hAnsi="Arial" w:cs="Arial"/>
                <w:sz w:val="20"/>
                <w:lang w:eastAsia="en-GB"/>
              </w:rPr>
              <w:t>0</w:t>
            </w:r>
            <w:r w:rsidRPr="00E70587">
              <w:rPr>
                <w:rFonts w:ascii="Arial" w:hAnsi="Arial" w:cs="Arial"/>
                <w:sz w:val="20"/>
                <w:lang w:eastAsia="en-GB"/>
              </w:rPr>
              <w:t>)</w:t>
            </w:r>
          </w:p>
        </w:tc>
      </w:tr>
      <w:tr w:rsidR="00F375C7" w:rsidRPr="00E70587" w14:paraId="527EAC0F" w14:textId="77777777" w:rsidTr="009A5E2F">
        <w:tc>
          <w:tcPr>
            <w:tcW w:w="7650" w:type="dxa"/>
            <w:tcMar>
              <w:top w:w="28" w:type="dxa"/>
            </w:tcMar>
          </w:tcPr>
          <w:p w14:paraId="168956A7" w14:textId="77777777" w:rsidR="00F375C7" w:rsidRPr="00E70587" w:rsidRDefault="00F375C7" w:rsidP="00BA690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Provision for decommissioning costs (Note </w:t>
            </w:r>
            <w:r w:rsidR="00BA690C" w:rsidRPr="00E70587">
              <w:rPr>
                <w:rFonts w:ascii="Arial" w:hAnsi="Arial" w:cs="Arial"/>
                <w:sz w:val="20"/>
                <w:lang w:val="en-IN"/>
              </w:rPr>
              <w:t>16</w:t>
            </w:r>
            <w:r w:rsidRPr="00E70587">
              <w:rPr>
                <w:rFonts w:ascii="Arial" w:hAnsi="Arial" w:cs="Arial"/>
                <w:sz w:val="20"/>
                <w:lang w:val="en-IN"/>
              </w:rPr>
              <w:t>)</w:t>
            </w:r>
          </w:p>
        </w:tc>
        <w:tc>
          <w:tcPr>
            <w:tcW w:w="1890" w:type="dxa"/>
            <w:tcMar>
              <w:top w:w="28" w:type="dxa"/>
              <w:left w:w="108" w:type="dxa"/>
              <w:right w:w="28" w:type="dxa"/>
            </w:tcMar>
          </w:tcPr>
          <w:p w14:paraId="2DCDFD64" w14:textId="77777777" w:rsidR="00F375C7" w:rsidRPr="00E70587" w:rsidRDefault="00F375C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(2,160)</w:t>
            </w:r>
          </w:p>
        </w:tc>
      </w:tr>
      <w:tr w:rsidR="00F375C7" w:rsidRPr="00E70587" w14:paraId="436DABBC" w14:textId="77777777" w:rsidTr="009A5E2F">
        <w:tc>
          <w:tcPr>
            <w:tcW w:w="7650" w:type="dxa"/>
          </w:tcPr>
          <w:p w14:paraId="609BA745" w14:textId="77777777" w:rsidR="00F375C7" w:rsidRPr="00E70587" w:rsidRDefault="00F375C7" w:rsidP="00BA690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Deferred tax liability (Note </w:t>
            </w:r>
            <w:r w:rsidR="00BA690C" w:rsidRPr="00E70587">
              <w:rPr>
                <w:rFonts w:ascii="Arial" w:hAnsi="Arial" w:cs="Arial"/>
                <w:sz w:val="20"/>
                <w:lang w:val="en-IN"/>
              </w:rPr>
              <w:t>19</w:t>
            </w:r>
            <w:r w:rsidRPr="00E70587">
              <w:rPr>
                <w:rFonts w:ascii="Arial" w:hAnsi="Arial" w:cs="Arial"/>
                <w:sz w:val="20"/>
                <w:lang w:val="en-IN"/>
              </w:rPr>
              <w:t>)</w:t>
            </w:r>
          </w:p>
        </w:tc>
        <w:tc>
          <w:tcPr>
            <w:tcW w:w="1890" w:type="dxa"/>
            <w:tcBorders>
              <w:bottom w:val="single" w:sz="4" w:space="0" w:color="auto"/>
            </w:tcBorders>
            <w:tcMar>
              <w:top w:w="28" w:type="dxa"/>
              <w:left w:w="108" w:type="dxa"/>
              <w:right w:w="28" w:type="dxa"/>
            </w:tcMar>
          </w:tcPr>
          <w:p w14:paraId="4E6CEA84" w14:textId="77777777" w:rsidR="00F375C7" w:rsidRPr="00E70587" w:rsidRDefault="00F375C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(2,720)</w:t>
            </w:r>
          </w:p>
        </w:tc>
      </w:tr>
      <w:tr w:rsidR="00F375C7" w:rsidRPr="00E70587" w14:paraId="31323C0F" w14:textId="77777777" w:rsidTr="009A5E2F">
        <w:tc>
          <w:tcPr>
            <w:tcW w:w="7650" w:type="dxa"/>
          </w:tcPr>
          <w:p w14:paraId="616226B5"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890" w:type="dxa"/>
            <w:tcBorders>
              <w:top w:val="single" w:sz="4" w:space="0" w:color="auto"/>
            </w:tcBorders>
            <w:tcMar>
              <w:top w:w="28" w:type="dxa"/>
              <w:left w:w="85" w:type="dxa"/>
              <w:right w:w="28" w:type="dxa"/>
            </w:tcMar>
          </w:tcPr>
          <w:p w14:paraId="0D73DEAD" w14:textId="77777777" w:rsidR="00F375C7" w:rsidRPr="00E70587" w:rsidRDefault="00F375C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(11,759)</w:t>
            </w:r>
          </w:p>
        </w:tc>
      </w:tr>
      <w:tr w:rsidR="00F375C7" w:rsidRPr="00E70587" w14:paraId="29AB8772" w14:textId="77777777" w:rsidTr="009A5E2F">
        <w:tc>
          <w:tcPr>
            <w:tcW w:w="7650" w:type="dxa"/>
          </w:tcPr>
          <w:p w14:paraId="6F36E18A" w14:textId="77777777" w:rsidR="00F375C7" w:rsidRPr="00E70587" w:rsidRDefault="00F375C7" w:rsidP="009901E1">
            <w:pPr>
              <w:pStyle w:val="tabletext"/>
              <w:spacing w:line="280" w:lineRule="exact"/>
              <w:rPr>
                <w:rFonts w:ascii="Arial" w:hAnsi="Arial" w:cs="Arial"/>
                <w:b/>
                <w:sz w:val="20"/>
                <w:lang w:val="en-IN"/>
              </w:rPr>
            </w:pPr>
            <w:r w:rsidRPr="00E70587">
              <w:rPr>
                <w:rFonts w:ascii="Arial" w:hAnsi="Arial" w:cs="Arial"/>
                <w:b/>
                <w:sz w:val="20"/>
                <w:lang w:val="en-IN"/>
              </w:rPr>
              <w:t>Total identifiable net assets at fair value</w:t>
            </w:r>
          </w:p>
        </w:tc>
        <w:tc>
          <w:tcPr>
            <w:tcW w:w="1890" w:type="dxa"/>
            <w:tcMar>
              <w:top w:w="28" w:type="dxa"/>
              <w:left w:w="85" w:type="dxa"/>
              <w:right w:w="108" w:type="dxa"/>
            </w:tcMar>
          </w:tcPr>
          <w:p w14:paraId="27776006" w14:textId="77777777" w:rsidR="00F375C7" w:rsidRPr="00E70587" w:rsidRDefault="00F375C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13,020</w:t>
            </w:r>
          </w:p>
        </w:tc>
      </w:tr>
      <w:tr w:rsidR="00F375C7" w:rsidRPr="00E70587" w14:paraId="21E38131" w14:textId="77777777" w:rsidTr="009A5E2F">
        <w:tc>
          <w:tcPr>
            <w:tcW w:w="7650" w:type="dxa"/>
            <w:shd w:val="clear" w:color="auto" w:fill="auto"/>
            <w:vAlign w:val="bottom"/>
          </w:tcPr>
          <w:p w14:paraId="3477DBE8" w14:textId="77777777" w:rsidR="00F375C7" w:rsidRPr="00E70587" w:rsidRDefault="00F375C7" w:rsidP="009901E1">
            <w:pPr>
              <w:pStyle w:val="tabletext"/>
              <w:spacing w:line="280" w:lineRule="exact"/>
              <w:rPr>
                <w:rFonts w:ascii="Arial" w:hAnsi="Arial" w:cs="Arial"/>
                <w:sz w:val="20"/>
                <w:lang w:val="en-IN"/>
              </w:rPr>
            </w:pPr>
            <w:r w:rsidRPr="00E70587">
              <w:rPr>
                <w:rFonts w:ascii="Arial" w:hAnsi="Arial" w:cs="Arial"/>
                <w:sz w:val="20"/>
                <w:lang w:val="en-IN"/>
              </w:rPr>
              <w:t>Non-controlling interests measured at fair value</w:t>
            </w:r>
          </w:p>
        </w:tc>
        <w:tc>
          <w:tcPr>
            <w:tcW w:w="1890" w:type="dxa"/>
            <w:shd w:val="clear" w:color="auto" w:fill="auto"/>
            <w:tcMar>
              <w:top w:w="28" w:type="dxa"/>
              <w:left w:w="85" w:type="dxa"/>
              <w:bottom w:w="40" w:type="dxa"/>
              <w:right w:w="28" w:type="dxa"/>
            </w:tcMar>
          </w:tcPr>
          <w:p w14:paraId="753C35A9" w14:textId="77777777" w:rsidR="00F375C7" w:rsidRPr="00E70587" w:rsidRDefault="00F375C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(2,785)</w:t>
            </w:r>
          </w:p>
        </w:tc>
      </w:tr>
      <w:tr w:rsidR="00F375C7" w:rsidRPr="00E70587" w14:paraId="1B9C8613" w14:textId="77777777" w:rsidTr="009A5E2F">
        <w:tc>
          <w:tcPr>
            <w:tcW w:w="7650" w:type="dxa"/>
          </w:tcPr>
          <w:p w14:paraId="2FE004C0" w14:textId="77777777" w:rsidR="00F375C7" w:rsidRPr="00E70587" w:rsidRDefault="00F375C7" w:rsidP="00BA690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Goodwill arising on acquisition (Note </w:t>
            </w:r>
            <w:r w:rsidR="00BA690C" w:rsidRPr="00E70587">
              <w:rPr>
                <w:rFonts w:ascii="Arial" w:hAnsi="Arial" w:cs="Arial"/>
                <w:sz w:val="20"/>
                <w:lang w:val="en-IN"/>
              </w:rPr>
              <w:t>6</w:t>
            </w:r>
            <w:r w:rsidRPr="00E70587">
              <w:rPr>
                <w:rFonts w:ascii="Arial" w:hAnsi="Arial" w:cs="Arial"/>
                <w:sz w:val="20"/>
                <w:lang w:val="en-IN"/>
              </w:rPr>
              <w:t>)</w:t>
            </w:r>
          </w:p>
        </w:tc>
        <w:tc>
          <w:tcPr>
            <w:tcW w:w="1890" w:type="dxa"/>
            <w:tcBorders>
              <w:bottom w:val="single" w:sz="4" w:space="0" w:color="auto"/>
            </w:tcBorders>
            <w:tcMar>
              <w:top w:w="28" w:type="dxa"/>
              <w:left w:w="85" w:type="dxa"/>
              <w:right w:w="108" w:type="dxa"/>
            </w:tcMar>
          </w:tcPr>
          <w:p w14:paraId="40230C52" w14:textId="77777777" w:rsidR="00F375C7" w:rsidRPr="00E70587" w:rsidRDefault="00F375C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4,016</w:t>
            </w:r>
          </w:p>
        </w:tc>
      </w:tr>
      <w:tr w:rsidR="00F375C7" w:rsidRPr="00E70587" w14:paraId="7D47732E" w14:textId="77777777" w:rsidTr="009A5E2F">
        <w:tc>
          <w:tcPr>
            <w:tcW w:w="7650" w:type="dxa"/>
            <w:tcMar>
              <w:top w:w="28" w:type="dxa"/>
            </w:tcMar>
          </w:tcPr>
          <w:p w14:paraId="5ED04A09" w14:textId="77777777" w:rsidR="00F375C7" w:rsidRPr="00E70587" w:rsidRDefault="00F375C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Purchase consideration transferred</w:t>
            </w:r>
          </w:p>
        </w:tc>
        <w:tc>
          <w:tcPr>
            <w:tcW w:w="1890" w:type="dxa"/>
            <w:tcBorders>
              <w:top w:val="single" w:sz="4" w:space="0" w:color="auto"/>
              <w:bottom w:val="double" w:sz="4" w:space="0" w:color="auto"/>
            </w:tcBorders>
            <w:tcMar>
              <w:top w:w="28" w:type="dxa"/>
              <w:left w:w="85" w:type="dxa"/>
              <w:right w:w="108" w:type="dxa"/>
            </w:tcMar>
          </w:tcPr>
          <w:p w14:paraId="77B531E1" w14:textId="77777777" w:rsidR="00F375C7" w:rsidRPr="00E70587" w:rsidRDefault="00F375C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14,251</w:t>
            </w:r>
          </w:p>
        </w:tc>
      </w:tr>
    </w:tbl>
    <w:p w14:paraId="391AA206" w14:textId="77777777" w:rsidR="00B149EF" w:rsidRPr="00E70587" w:rsidRDefault="00B149EF" w:rsidP="009901E1">
      <w:pPr>
        <w:spacing w:line="280" w:lineRule="exact"/>
        <w:rPr>
          <w:rFonts w:ascii="Arial" w:hAnsi="Arial" w:cs="Arial"/>
          <w:sz w:val="20"/>
        </w:rPr>
      </w:pPr>
    </w:p>
    <w:tbl>
      <w:tblPr>
        <w:tblW w:w="9558" w:type="dxa"/>
        <w:tblLook w:val="0000" w:firstRow="0" w:lastRow="0" w:firstColumn="0" w:lastColumn="0" w:noHBand="0" w:noVBand="0"/>
      </w:tblPr>
      <w:tblGrid>
        <w:gridCol w:w="9558"/>
      </w:tblGrid>
      <w:tr w:rsidR="00A17C17" w:rsidRPr="00E70587" w14:paraId="2ECC764C" w14:textId="77777777" w:rsidTr="001E0201">
        <w:tc>
          <w:tcPr>
            <w:tcW w:w="0" w:type="auto"/>
          </w:tcPr>
          <w:p w14:paraId="4DC692D3" w14:textId="77777777" w:rsidR="00A17C17" w:rsidRPr="00E70587" w:rsidRDefault="00A17C17" w:rsidP="001E0201">
            <w:pPr>
              <w:pStyle w:val="Notesbodytext"/>
              <w:spacing w:after="0" w:line="280" w:lineRule="exact"/>
              <w:jc w:val="both"/>
              <w:rPr>
                <w:rFonts w:ascii="Arial" w:hAnsi="Arial"/>
                <w:color w:val="auto"/>
                <w:sz w:val="20"/>
              </w:rPr>
            </w:pPr>
            <w:r w:rsidRPr="00E70587">
              <w:rPr>
                <w:rFonts w:ascii="Arial" w:hAnsi="Arial"/>
                <w:color w:val="auto"/>
                <w:sz w:val="20"/>
              </w:rPr>
              <w:t>The fair value of the trade receivables amounts to INR 3</w:t>
            </w:r>
            <w:r w:rsidR="00D910A6" w:rsidRPr="00E70587">
              <w:rPr>
                <w:rFonts w:ascii="Arial" w:hAnsi="Arial"/>
                <w:color w:val="auto"/>
                <w:sz w:val="20"/>
              </w:rPr>
              <w:t>,</w:t>
            </w:r>
            <w:r w:rsidRPr="00E70587">
              <w:rPr>
                <w:rFonts w:ascii="Arial" w:hAnsi="Arial"/>
                <w:color w:val="auto"/>
                <w:sz w:val="20"/>
              </w:rPr>
              <w:t>08</w:t>
            </w:r>
            <w:r w:rsidR="00D910A6" w:rsidRPr="00E70587">
              <w:rPr>
                <w:rFonts w:ascii="Arial" w:hAnsi="Arial"/>
                <w:color w:val="auto"/>
                <w:sz w:val="20"/>
              </w:rPr>
              <w:t>9</w:t>
            </w:r>
            <w:r w:rsidRPr="00E70587">
              <w:rPr>
                <w:rFonts w:ascii="Arial" w:hAnsi="Arial"/>
                <w:color w:val="auto"/>
                <w:sz w:val="20"/>
              </w:rPr>
              <w:t>. The gross amount of trade receivables is INR 3</w:t>
            </w:r>
            <w:r w:rsidR="00D910A6" w:rsidRPr="00E70587">
              <w:rPr>
                <w:rFonts w:ascii="Arial" w:hAnsi="Arial"/>
                <w:color w:val="auto"/>
                <w:sz w:val="20"/>
              </w:rPr>
              <w:t>,</w:t>
            </w:r>
            <w:r w:rsidRPr="00E70587">
              <w:rPr>
                <w:rFonts w:ascii="Arial" w:hAnsi="Arial"/>
                <w:color w:val="auto"/>
                <w:sz w:val="20"/>
              </w:rPr>
              <w:t>157. However, none of the trade receivables is credit impaired and it is expected that the full contractual amounts can be collected.</w:t>
            </w:r>
          </w:p>
          <w:p w14:paraId="55FB8FE7" w14:textId="77777777" w:rsidR="00A17C17" w:rsidRPr="00E70587" w:rsidRDefault="00A17C17" w:rsidP="001E0201">
            <w:pPr>
              <w:spacing w:line="280" w:lineRule="exact"/>
              <w:rPr>
                <w:rFonts w:ascii="Arial" w:hAnsi="Arial" w:cs="Arial"/>
                <w:sz w:val="20"/>
              </w:rPr>
            </w:pPr>
          </w:p>
        </w:tc>
      </w:tr>
      <w:tr w:rsidR="00A17C17" w:rsidRPr="00E70587" w14:paraId="056120B2" w14:textId="77777777" w:rsidTr="001E0201">
        <w:tc>
          <w:tcPr>
            <w:tcW w:w="0" w:type="auto"/>
          </w:tcPr>
          <w:p w14:paraId="6B6FDE9F" w14:textId="3487F1F6" w:rsidR="00525587" w:rsidRPr="00525587" w:rsidRDefault="00525587" w:rsidP="00525587">
            <w:pPr>
              <w:pStyle w:val="Notesbodytext"/>
              <w:shd w:val="clear" w:color="auto" w:fill="A2A2A2" w:themeFill="background2" w:themeFillTint="99"/>
              <w:spacing w:line="280" w:lineRule="exact"/>
              <w:jc w:val="both"/>
              <w:rPr>
                <w:rFonts w:ascii="Arial" w:hAnsi="Arial"/>
                <w:b/>
                <w:bCs/>
                <w:color w:val="auto"/>
                <w:sz w:val="20"/>
              </w:rPr>
            </w:pPr>
            <w:r w:rsidRPr="00525587">
              <w:rPr>
                <w:rFonts w:ascii="Arial" w:hAnsi="Arial"/>
                <w:b/>
                <w:bCs/>
                <w:color w:val="auto"/>
                <w:sz w:val="20"/>
              </w:rPr>
              <w:t>Author’s Note</w:t>
            </w:r>
          </w:p>
          <w:p w14:paraId="7F388E1E" w14:textId="1BA07EF9" w:rsidR="00525587" w:rsidRDefault="00525587" w:rsidP="00525587">
            <w:pPr>
              <w:pStyle w:val="Notesbodytext"/>
              <w:shd w:val="clear" w:color="auto" w:fill="A2A2A2" w:themeFill="background2" w:themeFillTint="99"/>
              <w:spacing w:after="0" w:line="280" w:lineRule="exact"/>
              <w:jc w:val="both"/>
              <w:rPr>
                <w:rFonts w:ascii="Arial" w:hAnsi="Arial"/>
                <w:color w:val="auto"/>
                <w:sz w:val="20"/>
              </w:rPr>
            </w:pPr>
            <w:r w:rsidRPr="00525587">
              <w:rPr>
                <w:rFonts w:ascii="Arial" w:hAnsi="Arial"/>
                <w:color w:val="auto"/>
                <w:sz w:val="20"/>
              </w:rPr>
              <w:t>Ind AS 103.28B requires the lease liability to be measured at the present value of the remaining lease payments as if the acquired lease were a new lease at the acquisition date. That is, the acquirer applies Ind AS 116’s initial measurement provisions using the present value of the remaining lease payments at the acquisition date. The right-of-use asset is measured at an amount equal to the lease liability, adjusted to reflect the favourable or unfavourable terms of the lease when compared with market terms. Because the off-market nature of the lease is captured in the right-of-use asset, the acquirer does not separately recognise an intangible asset or liability for favourable or unfavourable lease terms relative to market.</w:t>
            </w:r>
          </w:p>
          <w:p w14:paraId="7733D1CC" w14:textId="77777777" w:rsidR="00525587" w:rsidRDefault="00525587" w:rsidP="00525587">
            <w:pPr>
              <w:pStyle w:val="Notesbodytext"/>
              <w:spacing w:after="0" w:line="280" w:lineRule="exact"/>
              <w:jc w:val="both"/>
              <w:rPr>
                <w:rFonts w:ascii="Arial" w:hAnsi="Arial"/>
                <w:color w:val="auto"/>
                <w:sz w:val="20"/>
              </w:rPr>
            </w:pPr>
          </w:p>
          <w:p w14:paraId="74E3123B" w14:textId="30EFEBDF" w:rsidR="00A17C17" w:rsidRPr="00E70587" w:rsidRDefault="00A17C17" w:rsidP="001E0201">
            <w:pPr>
              <w:pStyle w:val="Notesbodytext"/>
              <w:spacing w:after="0" w:line="280" w:lineRule="exact"/>
              <w:jc w:val="both"/>
              <w:rPr>
                <w:rFonts w:ascii="Arial" w:hAnsi="Arial"/>
                <w:color w:val="auto"/>
                <w:sz w:val="20"/>
              </w:rPr>
            </w:pPr>
            <w:r w:rsidRPr="00E70587">
              <w:rPr>
                <w:rFonts w:ascii="Arial" w:hAnsi="Arial"/>
                <w:color w:val="auto"/>
                <w:sz w:val="20"/>
              </w:rPr>
              <w:t xml:space="preserve">Prior to the acquisition, Extinguishers Limited decided to eliminate certain product lines (further details are given in Note </w:t>
            </w:r>
            <w:r w:rsidR="00BA690C" w:rsidRPr="00E70587">
              <w:rPr>
                <w:rFonts w:ascii="Arial" w:hAnsi="Arial"/>
                <w:color w:val="auto"/>
                <w:sz w:val="20"/>
              </w:rPr>
              <w:t>16</w:t>
            </w:r>
            <w:r w:rsidRPr="00E70587">
              <w:rPr>
                <w:rFonts w:ascii="Arial" w:hAnsi="Arial"/>
                <w:color w:val="auto"/>
                <w:sz w:val="20"/>
              </w:rPr>
              <w:t>). The restructuring provision recognised was a present obligation of Extinguishers Limited immediately prior to the business combination. The execution of the restructuring plan was not conditional upon it being acquired by the Group.</w:t>
            </w:r>
          </w:p>
          <w:p w14:paraId="463F4C5B" w14:textId="77777777" w:rsidR="00A17C17" w:rsidRPr="00E70587" w:rsidRDefault="00A17C17" w:rsidP="001E0201">
            <w:pPr>
              <w:spacing w:line="280" w:lineRule="exact"/>
              <w:rPr>
                <w:rFonts w:ascii="Arial" w:hAnsi="Arial" w:cs="Arial"/>
                <w:sz w:val="20"/>
              </w:rPr>
            </w:pPr>
          </w:p>
        </w:tc>
      </w:tr>
      <w:tr w:rsidR="00A17C17" w:rsidRPr="00E70587" w14:paraId="7118FD41" w14:textId="77777777" w:rsidTr="001E0201">
        <w:tc>
          <w:tcPr>
            <w:tcW w:w="0" w:type="auto"/>
          </w:tcPr>
          <w:p w14:paraId="7A2FF3C6" w14:textId="77777777" w:rsidR="00A17C17" w:rsidRPr="00E70587" w:rsidRDefault="00A17C17" w:rsidP="001E0201">
            <w:pPr>
              <w:pStyle w:val="Notesbodytext"/>
              <w:spacing w:after="0" w:line="280" w:lineRule="exact"/>
              <w:jc w:val="both"/>
              <w:rPr>
                <w:rFonts w:ascii="Arial" w:hAnsi="Arial"/>
                <w:color w:val="auto"/>
                <w:sz w:val="20"/>
              </w:rPr>
            </w:pPr>
            <w:r w:rsidRPr="00E70587">
              <w:rPr>
                <w:rFonts w:ascii="Arial" w:hAnsi="Arial"/>
                <w:color w:val="auto"/>
                <w:sz w:val="20"/>
              </w:rPr>
              <w:t>The deferred tax liability mainly comprises the tax effect of the accelerated depreciation for tax purposes of tangible and intangible assets.</w:t>
            </w:r>
          </w:p>
          <w:p w14:paraId="1CA7EC17" w14:textId="77777777" w:rsidR="00A17C17" w:rsidRPr="00E70587" w:rsidRDefault="00A17C17" w:rsidP="001E0201">
            <w:pPr>
              <w:spacing w:line="280" w:lineRule="exact"/>
              <w:rPr>
                <w:rFonts w:ascii="Arial" w:hAnsi="Arial" w:cs="Arial"/>
                <w:sz w:val="20"/>
              </w:rPr>
            </w:pPr>
          </w:p>
        </w:tc>
      </w:tr>
      <w:tr w:rsidR="00A17C17" w:rsidRPr="00E70587" w14:paraId="51C1B6F9" w14:textId="77777777" w:rsidTr="001E0201">
        <w:tc>
          <w:tcPr>
            <w:tcW w:w="0" w:type="auto"/>
          </w:tcPr>
          <w:p w14:paraId="66B88AB7" w14:textId="77777777" w:rsidR="00A17C17" w:rsidRPr="00E70587" w:rsidRDefault="00A17C17" w:rsidP="001E0201">
            <w:pPr>
              <w:pStyle w:val="Notesbodytext"/>
              <w:spacing w:after="0" w:line="280" w:lineRule="exact"/>
              <w:jc w:val="both"/>
              <w:rPr>
                <w:rFonts w:ascii="Arial" w:hAnsi="Arial"/>
                <w:color w:val="auto"/>
                <w:sz w:val="20"/>
              </w:rPr>
            </w:pPr>
            <w:r w:rsidRPr="00E70587">
              <w:rPr>
                <w:rFonts w:ascii="Arial" w:hAnsi="Arial"/>
                <w:color w:val="auto"/>
                <w:sz w:val="20"/>
              </w:rPr>
              <w:t>The goodwill of INR 4</w:t>
            </w:r>
            <w:r w:rsidR="00D910A6" w:rsidRPr="00E70587">
              <w:rPr>
                <w:rFonts w:ascii="Arial" w:hAnsi="Arial"/>
                <w:color w:val="auto"/>
                <w:sz w:val="20"/>
              </w:rPr>
              <w:t>,</w:t>
            </w:r>
            <w:r w:rsidRPr="00E70587">
              <w:rPr>
                <w:rFonts w:ascii="Arial" w:hAnsi="Arial"/>
                <w:color w:val="auto"/>
                <w:sz w:val="20"/>
              </w:rPr>
              <w:t>01</w:t>
            </w:r>
            <w:r w:rsidR="00D910A6" w:rsidRPr="00E70587">
              <w:rPr>
                <w:rFonts w:ascii="Arial" w:hAnsi="Arial"/>
                <w:color w:val="auto"/>
                <w:sz w:val="20"/>
              </w:rPr>
              <w:t>6</w:t>
            </w:r>
            <w:r w:rsidRPr="00E70587">
              <w:rPr>
                <w:rFonts w:ascii="Arial" w:hAnsi="Arial"/>
                <w:color w:val="auto"/>
                <w:sz w:val="20"/>
              </w:rPr>
              <w:t xml:space="preserve"> comprises the value of expected synergies arising from the acquisition and a customer list, which is not separately recognised. Goodwill is allocated entirely to the fire prevention segment. Due to the contractual terms imposed on acquisition, the customer list is not separable. Therefore, it does not meet the criteria for recognition as an intangible asset under Ind-AS 38. None of the goodwill recognised is expected to be deductible for income tax purposes.</w:t>
            </w:r>
          </w:p>
          <w:p w14:paraId="50AE8218" w14:textId="77777777" w:rsidR="00A17C17" w:rsidRPr="00E70587" w:rsidRDefault="00A17C17" w:rsidP="001E0201">
            <w:pPr>
              <w:spacing w:line="280" w:lineRule="exact"/>
              <w:rPr>
                <w:rFonts w:ascii="Arial" w:hAnsi="Arial" w:cs="Arial"/>
                <w:sz w:val="20"/>
              </w:rPr>
            </w:pPr>
          </w:p>
        </w:tc>
      </w:tr>
      <w:tr w:rsidR="00A17C17" w:rsidRPr="00E70587" w14:paraId="5585DFD4" w14:textId="77777777" w:rsidTr="001E0201">
        <w:tc>
          <w:tcPr>
            <w:tcW w:w="0" w:type="auto"/>
          </w:tcPr>
          <w:p w14:paraId="0F9549A6" w14:textId="31E2AE09" w:rsidR="00A17C17" w:rsidRPr="00E70587" w:rsidRDefault="00A17C17" w:rsidP="001E0201">
            <w:pPr>
              <w:pStyle w:val="Notesbodytext"/>
              <w:spacing w:after="0" w:line="280" w:lineRule="exact"/>
              <w:jc w:val="both"/>
              <w:rPr>
                <w:rFonts w:ascii="Arial" w:hAnsi="Arial"/>
                <w:color w:val="auto"/>
                <w:sz w:val="20"/>
              </w:rPr>
            </w:pPr>
            <w:r w:rsidRPr="00E70587">
              <w:rPr>
                <w:rFonts w:ascii="Arial" w:hAnsi="Arial"/>
                <w:color w:val="auto"/>
                <w:sz w:val="20"/>
              </w:rPr>
              <w:t xml:space="preserve">A contingent liability at a fair value of INR 684 was recognised at the acquisition date resulting from a claim of a supplier whose shipment was </w:t>
            </w:r>
            <w:r w:rsidR="00525587" w:rsidRPr="00E70587">
              <w:rPr>
                <w:rFonts w:ascii="Arial" w:hAnsi="Arial"/>
                <w:color w:val="auto"/>
                <w:sz w:val="20"/>
              </w:rPr>
              <w:t>rejected,</w:t>
            </w:r>
            <w:r w:rsidRPr="00E70587">
              <w:rPr>
                <w:rFonts w:ascii="Arial" w:hAnsi="Arial"/>
                <w:color w:val="auto"/>
                <w:sz w:val="20"/>
              </w:rPr>
              <w:t xml:space="preserve"> and payment was refused by the Group due to deviations from the defined technical specifications of the goods. The claim is subject to legal arbitration and is only expected to be finalised in late </w:t>
            </w:r>
            <w:r w:rsidR="00525587" w:rsidRPr="00E70587">
              <w:rPr>
                <w:rFonts w:ascii="Arial" w:hAnsi="Arial"/>
                <w:color w:val="auto"/>
                <w:sz w:val="20"/>
              </w:rPr>
              <w:t>202</w:t>
            </w:r>
            <w:r w:rsidR="00525587">
              <w:rPr>
                <w:rFonts w:ascii="Arial" w:hAnsi="Arial"/>
                <w:color w:val="auto"/>
                <w:sz w:val="20"/>
              </w:rPr>
              <w:t>1</w:t>
            </w:r>
            <w:r w:rsidRPr="00E70587">
              <w:rPr>
                <w:rFonts w:ascii="Arial" w:hAnsi="Arial"/>
                <w:color w:val="auto"/>
                <w:sz w:val="20"/>
              </w:rPr>
              <w:t xml:space="preserve">. As at the reporting date, the contingent liability has been re-assessed and is determined to be INR 720, based on the expected probable outcome (see Note </w:t>
            </w:r>
            <w:r w:rsidR="00BA690C" w:rsidRPr="00E70587">
              <w:rPr>
                <w:rFonts w:ascii="Arial" w:hAnsi="Arial"/>
                <w:color w:val="auto"/>
                <w:sz w:val="20"/>
              </w:rPr>
              <w:t>16 and 42</w:t>
            </w:r>
            <w:r w:rsidRPr="00E70587">
              <w:rPr>
                <w:rFonts w:ascii="Arial" w:hAnsi="Arial"/>
                <w:color w:val="auto"/>
                <w:sz w:val="20"/>
              </w:rPr>
              <w:t xml:space="preserve">). The charge to profit </w:t>
            </w:r>
            <w:r w:rsidR="004B3123">
              <w:rPr>
                <w:rFonts w:ascii="Arial" w:hAnsi="Arial"/>
                <w:color w:val="auto"/>
                <w:sz w:val="20"/>
              </w:rPr>
              <w:t>or</w:t>
            </w:r>
            <w:r w:rsidR="009436F1" w:rsidRPr="00E70587">
              <w:rPr>
                <w:rFonts w:ascii="Arial" w:hAnsi="Arial"/>
                <w:color w:val="auto"/>
                <w:sz w:val="20"/>
              </w:rPr>
              <w:t xml:space="preserve"> </w:t>
            </w:r>
            <w:r w:rsidRPr="00E70587">
              <w:rPr>
                <w:rFonts w:ascii="Arial" w:hAnsi="Arial"/>
                <w:color w:val="auto"/>
                <w:sz w:val="20"/>
              </w:rPr>
              <w:t>loss has been recognised.</w:t>
            </w:r>
          </w:p>
          <w:p w14:paraId="6D371AF3" w14:textId="77777777" w:rsidR="001E0201" w:rsidRPr="00E70587" w:rsidRDefault="001E0201" w:rsidP="001E0201">
            <w:pPr>
              <w:pStyle w:val="Notesbodytext"/>
              <w:spacing w:after="0" w:line="280" w:lineRule="exact"/>
              <w:jc w:val="both"/>
              <w:rPr>
                <w:rFonts w:ascii="Arial" w:hAnsi="Arial"/>
                <w:color w:val="auto"/>
                <w:sz w:val="20"/>
              </w:rPr>
            </w:pPr>
          </w:p>
          <w:p w14:paraId="7611DE93" w14:textId="77777777" w:rsidR="00A17C17" w:rsidRPr="00E70587" w:rsidRDefault="00A17C17" w:rsidP="001E0201">
            <w:pPr>
              <w:pStyle w:val="Notesbodytext"/>
              <w:spacing w:after="0" w:line="280" w:lineRule="exact"/>
              <w:jc w:val="both"/>
              <w:rPr>
                <w:rFonts w:ascii="Arial" w:hAnsi="Arial"/>
                <w:color w:val="auto"/>
                <w:sz w:val="20"/>
              </w:rPr>
            </w:pPr>
            <w:r w:rsidRPr="00E70587">
              <w:rPr>
                <w:rFonts w:ascii="Arial" w:hAnsi="Arial"/>
                <w:color w:val="auto"/>
                <w:sz w:val="20"/>
              </w:rPr>
              <w:lastRenderedPageBreak/>
              <w:t>The fair value of the non-controlling interest in Extinguishers Limited, a non-listed company, has been estimated by applying a discounted earnings technique. The fair value measurements are based on significant inputs that are not observable in the market. The fair value estimate is based on:</w:t>
            </w:r>
          </w:p>
          <w:p w14:paraId="2694A8D0" w14:textId="77777777" w:rsidR="00A17C17" w:rsidRPr="00E70587" w:rsidRDefault="00A17C17" w:rsidP="001E0201">
            <w:pPr>
              <w:pStyle w:val="Notesbulletpoint"/>
              <w:spacing w:before="120" w:after="0" w:line="280" w:lineRule="exact"/>
              <w:ind w:left="720" w:hanging="720"/>
              <w:jc w:val="both"/>
              <w:rPr>
                <w:rFonts w:ascii="Arial" w:hAnsi="Arial"/>
                <w:color w:val="auto"/>
                <w:sz w:val="20"/>
              </w:rPr>
            </w:pPr>
            <w:r w:rsidRPr="00E70587">
              <w:rPr>
                <w:rFonts w:ascii="Arial" w:hAnsi="Arial"/>
                <w:color w:val="auto"/>
                <w:sz w:val="20"/>
              </w:rPr>
              <w:t xml:space="preserve">An assumed discount rate of 14% </w:t>
            </w:r>
          </w:p>
          <w:p w14:paraId="301CED55" w14:textId="603B5CBE" w:rsidR="00A17C17" w:rsidRPr="00E70587" w:rsidRDefault="00A17C17" w:rsidP="001E0201">
            <w:pPr>
              <w:pStyle w:val="Notesbulletpoint"/>
              <w:spacing w:before="120" w:after="0" w:line="280" w:lineRule="exact"/>
              <w:ind w:left="720" w:hanging="720"/>
              <w:jc w:val="both"/>
              <w:rPr>
                <w:rFonts w:ascii="Arial" w:hAnsi="Arial"/>
                <w:color w:val="auto"/>
                <w:sz w:val="20"/>
              </w:rPr>
            </w:pPr>
            <w:r w:rsidRPr="00E70587">
              <w:rPr>
                <w:rFonts w:ascii="Arial" w:hAnsi="Arial"/>
                <w:color w:val="auto"/>
                <w:sz w:val="20"/>
              </w:rPr>
              <w:t>A terminal value calculated based on long-term sustainable growth rates for the industry ranging from 2% to 4%, which has been used to determine income for the future years</w:t>
            </w:r>
          </w:p>
          <w:p w14:paraId="60C9B171" w14:textId="77777777" w:rsidR="00A17C17" w:rsidRPr="00E70587" w:rsidRDefault="00A17C17" w:rsidP="001E0201">
            <w:pPr>
              <w:pStyle w:val="Notesbulletpoint"/>
              <w:spacing w:before="120" w:after="0" w:line="280" w:lineRule="exact"/>
              <w:ind w:left="720" w:hanging="720"/>
              <w:jc w:val="both"/>
              <w:rPr>
                <w:rFonts w:ascii="Arial" w:hAnsi="Arial"/>
                <w:color w:val="auto"/>
                <w:sz w:val="20"/>
              </w:rPr>
            </w:pPr>
            <w:r w:rsidRPr="00E70587">
              <w:rPr>
                <w:rFonts w:ascii="Arial" w:hAnsi="Arial"/>
                <w:color w:val="auto"/>
                <w:sz w:val="20"/>
              </w:rPr>
              <w:t>A reinvestment ratio of 60% of earnings</w:t>
            </w:r>
          </w:p>
          <w:p w14:paraId="34A9148B" w14:textId="77777777" w:rsidR="00A17C17" w:rsidRPr="00E70587" w:rsidRDefault="00A17C17" w:rsidP="001E0201">
            <w:pPr>
              <w:spacing w:line="280" w:lineRule="exact"/>
              <w:rPr>
                <w:rFonts w:ascii="Arial" w:hAnsi="Arial" w:cs="Arial"/>
                <w:sz w:val="20"/>
              </w:rPr>
            </w:pPr>
          </w:p>
        </w:tc>
      </w:tr>
      <w:tr w:rsidR="00A17C17" w:rsidRPr="00E70587" w14:paraId="3D5EC532" w14:textId="77777777" w:rsidTr="001E0201">
        <w:tc>
          <w:tcPr>
            <w:tcW w:w="0" w:type="auto"/>
          </w:tcPr>
          <w:p w14:paraId="0BE89EDC" w14:textId="77777777" w:rsidR="00A17C17" w:rsidRPr="00E70587" w:rsidRDefault="00A17C17" w:rsidP="001E0201">
            <w:pPr>
              <w:pStyle w:val="Notesbodytext"/>
              <w:spacing w:after="0" w:line="280" w:lineRule="exact"/>
              <w:jc w:val="both"/>
              <w:rPr>
                <w:rFonts w:ascii="Arial" w:hAnsi="Arial"/>
                <w:color w:val="auto"/>
                <w:sz w:val="20"/>
              </w:rPr>
            </w:pPr>
            <w:r w:rsidRPr="00E70587">
              <w:rPr>
                <w:rFonts w:ascii="Arial" w:hAnsi="Arial"/>
                <w:color w:val="auto"/>
                <w:sz w:val="20"/>
              </w:rPr>
              <w:lastRenderedPageBreak/>
              <w:t>From the date of acquisition, Extinguishers Limited has contributed INR 32</w:t>
            </w:r>
            <w:r w:rsidR="00D910A6" w:rsidRPr="00E70587">
              <w:rPr>
                <w:rFonts w:ascii="Arial" w:hAnsi="Arial"/>
                <w:color w:val="auto"/>
                <w:sz w:val="20"/>
              </w:rPr>
              <w:t>,</w:t>
            </w:r>
            <w:r w:rsidRPr="00E70587">
              <w:rPr>
                <w:rFonts w:ascii="Arial" w:hAnsi="Arial"/>
                <w:color w:val="auto"/>
                <w:sz w:val="20"/>
              </w:rPr>
              <w:t>14</w:t>
            </w:r>
            <w:r w:rsidR="00D910A6" w:rsidRPr="00E70587">
              <w:rPr>
                <w:rFonts w:ascii="Arial" w:hAnsi="Arial"/>
                <w:color w:val="auto"/>
                <w:sz w:val="20"/>
              </w:rPr>
              <w:t>3</w:t>
            </w:r>
            <w:r w:rsidRPr="00E70587">
              <w:rPr>
                <w:rFonts w:ascii="Arial" w:hAnsi="Arial"/>
                <w:color w:val="auto"/>
                <w:sz w:val="20"/>
              </w:rPr>
              <w:t xml:space="preserve"> of revenue and INR 1</w:t>
            </w:r>
            <w:r w:rsidR="00D910A6" w:rsidRPr="00E70587">
              <w:rPr>
                <w:rFonts w:ascii="Arial" w:hAnsi="Arial"/>
                <w:color w:val="auto"/>
                <w:sz w:val="20"/>
              </w:rPr>
              <w:t>,</w:t>
            </w:r>
            <w:r w:rsidRPr="00E70587">
              <w:rPr>
                <w:rFonts w:ascii="Arial" w:hAnsi="Arial"/>
                <w:color w:val="auto"/>
                <w:sz w:val="20"/>
              </w:rPr>
              <w:t>350 to the profit before tax from continuing operations of the Group. If the combination had taken place at the beginning of the year, revenue from continuing operations would have been INR 4</w:t>
            </w:r>
            <w:r w:rsidR="001E0201" w:rsidRPr="00E70587">
              <w:rPr>
                <w:rFonts w:ascii="Arial" w:hAnsi="Arial"/>
                <w:color w:val="auto"/>
                <w:sz w:val="20"/>
              </w:rPr>
              <w:t>,</w:t>
            </w:r>
            <w:r w:rsidRPr="00E70587">
              <w:rPr>
                <w:rFonts w:ascii="Arial" w:hAnsi="Arial"/>
                <w:color w:val="auto"/>
                <w:sz w:val="20"/>
              </w:rPr>
              <w:t>00</w:t>
            </w:r>
            <w:r w:rsidR="001E0201" w:rsidRPr="00E70587">
              <w:rPr>
                <w:rFonts w:ascii="Arial" w:hAnsi="Arial"/>
                <w:color w:val="auto"/>
                <w:sz w:val="20"/>
              </w:rPr>
              <w:t>,</w:t>
            </w:r>
            <w:r w:rsidRPr="00E70587">
              <w:rPr>
                <w:rFonts w:ascii="Arial" w:hAnsi="Arial"/>
                <w:color w:val="auto"/>
                <w:sz w:val="20"/>
              </w:rPr>
              <w:t>648 and the profit before tax from continuing operations for the Group would have been INR 22</w:t>
            </w:r>
            <w:r w:rsidR="001E0201" w:rsidRPr="00E70587">
              <w:rPr>
                <w:rFonts w:ascii="Arial" w:hAnsi="Arial"/>
                <w:color w:val="auto"/>
                <w:sz w:val="20"/>
              </w:rPr>
              <w:t>,</w:t>
            </w:r>
            <w:r w:rsidRPr="00E70587">
              <w:rPr>
                <w:rFonts w:ascii="Arial" w:hAnsi="Arial"/>
                <w:color w:val="auto"/>
                <w:sz w:val="20"/>
              </w:rPr>
              <w:t>113.</w:t>
            </w:r>
          </w:p>
          <w:p w14:paraId="76232567" w14:textId="77777777" w:rsidR="00A17C17" w:rsidRPr="00E70587" w:rsidRDefault="00A17C17" w:rsidP="001E0201">
            <w:pPr>
              <w:spacing w:line="280" w:lineRule="exact"/>
              <w:rPr>
                <w:rFonts w:ascii="Arial" w:hAnsi="Arial" w:cs="Arial"/>
                <w:sz w:val="20"/>
              </w:rPr>
            </w:pPr>
          </w:p>
        </w:tc>
      </w:tr>
    </w:tbl>
    <w:p w14:paraId="77BFF4D7" w14:textId="77777777" w:rsidR="00811B92" w:rsidRPr="00E70587" w:rsidRDefault="00811B92" w:rsidP="009901E1">
      <w:pPr>
        <w:pStyle w:val="Notesbodytext"/>
        <w:spacing w:after="0" w:line="280" w:lineRule="exact"/>
        <w:rPr>
          <w:rFonts w:ascii="Arial" w:hAnsi="Arial"/>
          <w:color w:val="auto"/>
          <w:sz w:val="20"/>
        </w:rPr>
      </w:pPr>
    </w:p>
    <w:tbl>
      <w:tblPr>
        <w:tblW w:w="9576" w:type="dxa"/>
        <w:tblLayout w:type="fixed"/>
        <w:tblLook w:val="01E0" w:firstRow="1" w:lastRow="1" w:firstColumn="1" w:lastColumn="1" w:noHBand="0" w:noVBand="0"/>
      </w:tblPr>
      <w:tblGrid>
        <w:gridCol w:w="7769"/>
        <w:gridCol w:w="1807"/>
      </w:tblGrid>
      <w:tr w:rsidR="00A17C17" w:rsidRPr="00E70587" w14:paraId="3BE210A8" w14:textId="77777777" w:rsidTr="009A5E2F">
        <w:tc>
          <w:tcPr>
            <w:tcW w:w="7740" w:type="dxa"/>
            <w:shd w:val="clear" w:color="auto" w:fill="auto"/>
            <w:tcMar>
              <w:right w:w="57" w:type="dxa"/>
            </w:tcMar>
          </w:tcPr>
          <w:p w14:paraId="1A20C89B" w14:textId="77777777" w:rsidR="00A17C17" w:rsidRPr="00E70587" w:rsidRDefault="00A17C17" w:rsidP="009901E1">
            <w:pPr>
              <w:pStyle w:val="Notesitalicheading"/>
              <w:spacing w:line="280" w:lineRule="exact"/>
              <w:rPr>
                <w:rFonts w:ascii="Arial" w:hAnsi="Arial"/>
                <w:i w:val="0"/>
                <w:color w:val="auto"/>
                <w:sz w:val="20"/>
              </w:rPr>
            </w:pPr>
            <w:r w:rsidRPr="00E70587">
              <w:rPr>
                <w:rFonts w:ascii="Arial" w:hAnsi="Arial"/>
                <w:i w:val="0"/>
                <w:color w:val="auto"/>
                <w:sz w:val="20"/>
              </w:rPr>
              <w:t>Purchase consideration</w:t>
            </w:r>
          </w:p>
        </w:tc>
        <w:tc>
          <w:tcPr>
            <w:tcW w:w="1800" w:type="dxa"/>
            <w:tcBorders>
              <w:bottom w:val="single" w:sz="4" w:space="0" w:color="auto"/>
            </w:tcBorders>
            <w:shd w:val="clear" w:color="auto" w:fill="auto"/>
          </w:tcPr>
          <w:p w14:paraId="76BC9661"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77C20587" w14:textId="77777777" w:rsidTr="009A5E2F">
        <w:tc>
          <w:tcPr>
            <w:tcW w:w="7740" w:type="dxa"/>
            <w:shd w:val="clear" w:color="auto" w:fill="auto"/>
            <w:tcMar>
              <w:right w:w="57" w:type="dxa"/>
            </w:tcMar>
            <w:vAlign w:val="bottom"/>
          </w:tcPr>
          <w:p w14:paraId="6AA5DBF7" w14:textId="77777777" w:rsidR="00A17C17" w:rsidRPr="00E70587" w:rsidRDefault="00A17C17" w:rsidP="009901E1">
            <w:pPr>
              <w:pStyle w:val="Notesbodytext"/>
              <w:spacing w:after="0" w:line="280" w:lineRule="exact"/>
              <w:rPr>
                <w:rFonts w:ascii="Arial" w:hAnsi="Arial"/>
                <w:color w:val="auto"/>
                <w:sz w:val="20"/>
              </w:rPr>
            </w:pPr>
            <w:r w:rsidRPr="00E70587">
              <w:rPr>
                <w:rFonts w:ascii="Arial" w:hAnsi="Arial"/>
                <w:color w:val="auto"/>
                <w:sz w:val="20"/>
              </w:rPr>
              <w:t>Shares issued, at fair value</w:t>
            </w:r>
          </w:p>
        </w:tc>
        <w:tc>
          <w:tcPr>
            <w:tcW w:w="1800" w:type="dxa"/>
            <w:tcBorders>
              <w:top w:val="single" w:sz="4" w:space="0" w:color="auto"/>
            </w:tcBorders>
            <w:shd w:val="clear" w:color="auto" w:fill="auto"/>
          </w:tcPr>
          <w:p w14:paraId="77F471E3"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12,965</w:t>
            </w:r>
          </w:p>
        </w:tc>
      </w:tr>
      <w:tr w:rsidR="00A17C17" w:rsidRPr="00E70587" w14:paraId="36B4B4DB" w14:textId="77777777" w:rsidTr="009A5E2F">
        <w:tc>
          <w:tcPr>
            <w:tcW w:w="7740" w:type="dxa"/>
            <w:shd w:val="clear" w:color="auto" w:fill="auto"/>
            <w:tcMar>
              <w:right w:w="57" w:type="dxa"/>
            </w:tcMar>
            <w:vAlign w:val="bottom"/>
          </w:tcPr>
          <w:p w14:paraId="695AF3D1" w14:textId="77777777" w:rsidR="00A17C17" w:rsidRPr="00E70587" w:rsidRDefault="00A17C17" w:rsidP="009901E1">
            <w:pPr>
              <w:pStyle w:val="Notesbodytext"/>
              <w:spacing w:after="0" w:line="280" w:lineRule="exact"/>
              <w:rPr>
                <w:rFonts w:ascii="Arial" w:hAnsi="Arial"/>
                <w:color w:val="auto"/>
                <w:sz w:val="20"/>
              </w:rPr>
            </w:pPr>
            <w:r w:rsidRPr="00E70587">
              <w:rPr>
                <w:rFonts w:ascii="Arial" w:hAnsi="Arial"/>
                <w:color w:val="auto"/>
                <w:sz w:val="20"/>
              </w:rPr>
              <w:t>Contingent consideration liability</w:t>
            </w:r>
          </w:p>
        </w:tc>
        <w:tc>
          <w:tcPr>
            <w:tcW w:w="1800" w:type="dxa"/>
            <w:tcBorders>
              <w:bottom w:val="single" w:sz="4" w:space="0" w:color="auto"/>
            </w:tcBorders>
            <w:shd w:val="clear" w:color="auto" w:fill="auto"/>
          </w:tcPr>
          <w:p w14:paraId="614888CB" w14:textId="77777777" w:rsidR="00A17C17" w:rsidRPr="00E70587" w:rsidRDefault="00A17C17" w:rsidP="00666093">
            <w:pPr>
              <w:spacing w:line="280" w:lineRule="exact"/>
              <w:jc w:val="right"/>
              <w:rPr>
                <w:rFonts w:ascii="Arial" w:hAnsi="Arial" w:cs="Arial"/>
                <w:sz w:val="20"/>
              </w:rPr>
            </w:pPr>
            <w:r w:rsidRPr="00E70587">
              <w:rPr>
                <w:rFonts w:ascii="Arial" w:hAnsi="Arial" w:cs="Arial"/>
                <w:sz w:val="20"/>
              </w:rPr>
              <w:t>1,28</w:t>
            </w:r>
            <w:r w:rsidR="00666093" w:rsidRPr="00E70587">
              <w:rPr>
                <w:rFonts w:ascii="Arial" w:hAnsi="Arial" w:cs="Arial"/>
                <w:sz w:val="20"/>
              </w:rPr>
              <w:t>6</w:t>
            </w:r>
          </w:p>
        </w:tc>
      </w:tr>
      <w:tr w:rsidR="00A17C17" w:rsidRPr="00E70587" w14:paraId="69DE3332" w14:textId="77777777" w:rsidTr="009A5E2F">
        <w:tc>
          <w:tcPr>
            <w:tcW w:w="7740" w:type="dxa"/>
            <w:shd w:val="clear" w:color="auto" w:fill="auto"/>
            <w:tcMar>
              <w:right w:w="57" w:type="dxa"/>
            </w:tcMar>
            <w:vAlign w:val="bottom"/>
          </w:tcPr>
          <w:p w14:paraId="4D8AF89E" w14:textId="77777777" w:rsidR="00A17C17" w:rsidRPr="00E70587" w:rsidRDefault="00A17C17" w:rsidP="009901E1">
            <w:pPr>
              <w:pStyle w:val="tabletext"/>
              <w:spacing w:line="280" w:lineRule="exact"/>
              <w:rPr>
                <w:rFonts w:ascii="Arial" w:hAnsi="Arial" w:cs="Arial"/>
                <w:b/>
                <w:sz w:val="20"/>
                <w:lang w:val="en-IN"/>
              </w:rPr>
            </w:pPr>
            <w:r w:rsidRPr="00E70587">
              <w:rPr>
                <w:rFonts w:ascii="Arial" w:hAnsi="Arial" w:cs="Arial"/>
                <w:b/>
                <w:sz w:val="20"/>
                <w:lang w:val="en-IN"/>
              </w:rPr>
              <w:t>Total consideration</w:t>
            </w:r>
          </w:p>
        </w:tc>
        <w:tc>
          <w:tcPr>
            <w:tcW w:w="1800" w:type="dxa"/>
            <w:tcBorders>
              <w:top w:val="single" w:sz="4" w:space="0" w:color="auto"/>
              <w:bottom w:val="double" w:sz="4" w:space="0" w:color="auto"/>
            </w:tcBorders>
            <w:shd w:val="clear" w:color="auto" w:fill="auto"/>
          </w:tcPr>
          <w:p w14:paraId="6770B50A" w14:textId="77777777" w:rsidR="00A17C17" w:rsidRPr="00E70587" w:rsidRDefault="00A17C17" w:rsidP="009901E1">
            <w:pPr>
              <w:spacing w:line="280" w:lineRule="exact"/>
              <w:jc w:val="right"/>
              <w:rPr>
                <w:rFonts w:ascii="Arial" w:hAnsi="Arial" w:cs="Arial"/>
                <w:b/>
                <w:sz w:val="20"/>
              </w:rPr>
            </w:pPr>
            <w:r w:rsidRPr="00E70587">
              <w:rPr>
                <w:rFonts w:ascii="Arial" w:hAnsi="Arial" w:cs="Arial"/>
                <w:b/>
                <w:sz w:val="20"/>
              </w:rPr>
              <w:t>14,251</w:t>
            </w:r>
          </w:p>
        </w:tc>
      </w:tr>
      <w:tr w:rsidR="00A17C17" w:rsidRPr="00E70587" w14:paraId="2A4CAAE1" w14:textId="77777777" w:rsidTr="009A5E2F">
        <w:tc>
          <w:tcPr>
            <w:tcW w:w="7740" w:type="dxa"/>
            <w:shd w:val="clear" w:color="auto" w:fill="auto"/>
            <w:tcMar>
              <w:right w:w="57" w:type="dxa"/>
            </w:tcMar>
          </w:tcPr>
          <w:p w14:paraId="0C5EFAF4" w14:textId="77777777" w:rsidR="00A17C17" w:rsidRPr="00E70587" w:rsidRDefault="00A17C17" w:rsidP="009901E1">
            <w:pPr>
              <w:pStyle w:val="Notesitalicheading"/>
              <w:spacing w:line="280" w:lineRule="exact"/>
              <w:rPr>
                <w:rFonts w:ascii="Arial" w:hAnsi="Arial"/>
                <w:i w:val="0"/>
                <w:color w:val="auto"/>
                <w:sz w:val="20"/>
              </w:rPr>
            </w:pPr>
            <w:r w:rsidRPr="00E70587">
              <w:rPr>
                <w:rFonts w:ascii="Arial" w:hAnsi="Arial"/>
                <w:i w:val="0"/>
                <w:color w:val="auto"/>
                <w:sz w:val="20"/>
              </w:rPr>
              <w:t>Analysis of cash flows on acquisition:</w:t>
            </w:r>
          </w:p>
        </w:tc>
        <w:tc>
          <w:tcPr>
            <w:tcW w:w="1800" w:type="dxa"/>
            <w:shd w:val="clear" w:color="auto" w:fill="auto"/>
          </w:tcPr>
          <w:p w14:paraId="32CE2ACC" w14:textId="77777777" w:rsidR="00A17C17" w:rsidRPr="00E70587" w:rsidRDefault="00A17C17" w:rsidP="009901E1">
            <w:pPr>
              <w:spacing w:line="280" w:lineRule="exact"/>
              <w:jc w:val="right"/>
              <w:rPr>
                <w:rFonts w:ascii="Arial" w:hAnsi="Arial" w:cs="Arial"/>
                <w:sz w:val="20"/>
              </w:rPr>
            </w:pPr>
          </w:p>
        </w:tc>
      </w:tr>
      <w:tr w:rsidR="00A17C17" w:rsidRPr="00E70587" w14:paraId="4DA2A108" w14:textId="77777777" w:rsidTr="009A5E2F">
        <w:tc>
          <w:tcPr>
            <w:tcW w:w="7740" w:type="dxa"/>
            <w:shd w:val="clear" w:color="auto" w:fill="auto"/>
            <w:tcMar>
              <w:right w:w="57" w:type="dxa"/>
            </w:tcMar>
          </w:tcPr>
          <w:p w14:paraId="5A443A40" w14:textId="77777777" w:rsidR="00A17C17" w:rsidRPr="00E70587" w:rsidRDefault="00A17C17" w:rsidP="009901E1">
            <w:pPr>
              <w:pStyle w:val="Notesbodytext"/>
              <w:spacing w:after="0" w:line="280" w:lineRule="exact"/>
              <w:rPr>
                <w:rFonts w:ascii="Arial" w:hAnsi="Arial"/>
                <w:color w:val="auto"/>
                <w:sz w:val="20"/>
              </w:rPr>
            </w:pPr>
            <w:r w:rsidRPr="00E70587">
              <w:rPr>
                <w:rFonts w:ascii="Arial" w:hAnsi="Arial"/>
                <w:color w:val="auto"/>
                <w:sz w:val="20"/>
              </w:rPr>
              <w:t>Transaction costs of the acquisition (included in cash flows from operating activities)</w:t>
            </w:r>
          </w:p>
        </w:tc>
        <w:tc>
          <w:tcPr>
            <w:tcW w:w="1800" w:type="dxa"/>
            <w:shd w:val="clear" w:color="auto" w:fill="auto"/>
            <w:tcMar>
              <w:right w:w="28" w:type="dxa"/>
            </w:tcMar>
          </w:tcPr>
          <w:p w14:paraId="067B9227"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(1,080)</w:t>
            </w:r>
          </w:p>
        </w:tc>
      </w:tr>
      <w:tr w:rsidR="00A17C17" w:rsidRPr="00E70587" w14:paraId="6791AEB7" w14:textId="77777777" w:rsidTr="009A5E2F">
        <w:tc>
          <w:tcPr>
            <w:tcW w:w="7740" w:type="dxa"/>
            <w:shd w:val="clear" w:color="auto" w:fill="auto"/>
            <w:tcMar>
              <w:right w:w="57" w:type="dxa"/>
            </w:tcMar>
          </w:tcPr>
          <w:p w14:paraId="730898F4" w14:textId="77777777" w:rsidR="00A17C17" w:rsidRPr="00E70587" w:rsidRDefault="00A17C17" w:rsidP="009901E1">
            <w:pPr>
              <w:pStyle w:val="Notesbodytext"/>
              <w:spacing w:after="0" w:line="280" w:lineRule="exact"/>
              <w:rPr>
                <w:rFonts w:ascii="Arial" w:hAnsi="Arial"/>
                <w:color w:val="auto"/>
                <w:sz w:val="20"/>
              </w:rPr>
            </w:pPr>
            <w:r w:rsidRPr="00E70587">
              <w:rPr>
                <w:rFonts w:ascii="Arial" w:hAnsi="Arial"/>
                <w:color w:val="auto"/>
                <w:sz w:val="20"/>
              </w:rPr>
              <w:t>Net cash acquired with the subsidiary (included in cash flows from investing activities)</w:t>
            </w:r>
          </w:p>
        </w:tc>
        <w:tc>
          <w:tcPr>
            <w:tcW w:w="1800" w:type="dxa"/>
            <w:shd w:val="clear" w:color="auto" w:fill="auto"/>
          </w:tcPr>
          <w:p w14:paraId="2BE0BBCF"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414</w:t>
            </w:r>
          </w:p>
        </w:tc>
      </w:tr>
      <w:tr w:rsidR="00A17C17" w:rsidRPr="00E70587" w14:paraId="2CA11D0A" w14:textId="77777777" w:rsidTr="009A5E2F">
        <w:tc>
          <w:tcPr>
            <w:tcW w:w="7740" w:type="dxa"/>
            <w:shd w:val="clear" w:color="auto" w:fill="auto"/>
            <w:tcMar>
              <w:right w:w="57" w:type="dxa"/>
            </w:tcMar>
          </w:tcPr>
          <w:p w14:paraId="5AE89D5D" w14:textId="77777777" w:rsidR="00A17C17" w:rsidRPr="00E70587" w:rsidRDefault="00A17C17" w:rsidP="009901E1">
            <w:pPr>
              <w:pStyle w:val="Notesbodytext"/>
              <w:spacing w:after="0" w:line="280" w:lineRule="exact"/>
              <w:rPr>
                <w:rFonts w:ascii="Arial" w:hAnsi="Arial"/>
                <w:color w:val="auto"/>
                <w:sz w:val="20"/>
              </w:rPr>
            </w:pPr>
            <w:r w:rsidRPr="00E70587">
              <w:rPr>
                <w:rFonts w:ascii="Arial" w:hAnsi="Arial"/>
                <w:color w:val="auto"/>
                <w:sz w:val="20"/>
              </w:rPr>
              <w:t xml:space="preserve">Transaction costs attributable to issuance of shares (included in cash flows from </w:t>
            </w:r>
            <w:r w:rsidRPr="00E70587">
              <w:rPr>
                <w:rFonts w:ascii="Arial" w:hAnsi="Arial"/>
                <w:color w:val="auto"/>
                <w:sz w:val="20"/>
              </w:rPr>
              <w:br/>
              <w:t>financing activities, net of tax)</w:t>
            </w:r>
          </w:p>
        </w:tc>
        <w:tc>
          <w:tcPr>
            <w:tcW w:w="1800" w:type="dxa"/>
            <w:tcBorders>
              <w:bottom w:val="single" w:sz="4" w:space="0" w:color="auto"/>
            </w:tcBorders>
            <w:shd w:val="clear" w:color="auto" w:fill="auto"/>
            <w:tcMar>
              <w:right w:w="28" w:type="dxa"/>
            </w:tcMar>
          </w:tcPr>
          <w:p w14:paraId="28E9CE6E"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(58)</w:t>
            </w:r>
          </w:p>
        </w:tc>
      </w:tr>
      <w:tr w:rsidR="00A17C17" w:rsidRPr="00E70587" w14:paraId="4BC886A9" w14:textId="77777777" w:rsidTr="009A5E2F">
        <w:tc>
          <w:tcPr>
            <w:tcW w:w="7740" w:type="dxa"/>
            <w:shd w:val="clear" w:color="auto" w:fill="auto"/>
            <w:tcMar>
              <w:right w:w="57" w:type="dxa"/>
            </w:tcMar>
          </w:tcPr>
          <w:p w14:paraId="3BE3E29F" w14:textId="77777777" w:rsidR="00A17C17" w:rsidRPr="00E70587" w:rsidRDefault="00A17C17" w:rsidP="009901E1">
            <w:pPr>
              <w:pStyle w:val="Notesbodytext"/>
              <w:spacing w:after="0" w:line="280" w:lineRule="exact"/>
              <w:rPr>
                <w:rFonts w:ascii="Arial" w:hAnsi="Arial"/>
                <w:b/>
                <w:color w:val="auto"/>
                <w:sz w:val="20"/>
              </w:rPr>
            </w:pPr>
            <w:r w:rsidRPr="00E70587">
              <w:rPr>
                <w:rFonts w:ascii="Arial" w:hAnsi="Arial"/>
                <w:b/>
                <w:color w:val="auto"/>
                <w:sz w:val="20"/>
              </w:rPr>
              <w:t>Net cash flow on acquisition</w:t>
            </w:r>
          </w:p>
        </w:tc>
        <w:tc>
          <w:tcPr>
            <w:tcW w:w="1800" w:type="dxa"/>
            <w:tcBorders>
              <w:top w:val="single" w:sz="4" w:space="0" w:color="auto"/>
              <w:bottom w:val="double" w:sz="4" w:space="0" w:color="auto"/>
            </w:tcBorders>
            <w:shd w:val="clear" w:color="auto" w:fill="auto"/>
            <w:tcMar>
              <w:right w:w="28" w:type="dxa"/>
            </w:tcMar>
          </w:tcPr>
          <w:p w14:paraId="3079CD5F" w14:textId="77777777" w:rsidR="00A17C17" w:rsidRPr="00E70587" w:rsidRDefault="00A17C17" w:rsidP="009901E1">
            <w:pPr>
              <w:spacing w:line="280" w:lineRule="exact"/>
              <w:jc w:val="right"/>
              <w:rPr>
                <w:rFonts w:ascii="Arial" w:hAnsi="Arial" w:cs="Arial"/>
                <w:b/>
                <w:sz w:val="20"/>
              </w:rPr>
            </w:pPr>
            <w:r w:rsidRPr="00E70587">
              <w:rPr>
                <w:rFonts w:ascii="Arial" w:hAnsi="Arial" w:cs="Arial"/>
                <w:b/>
                <w:sz w:val="20"/>
              </w:rPr>
              <w:t>(724)</w:t>
            </w:r>
          </w:p>
        </w:tc>
      </w:tr>
    </w:tbl>
    <w:p w14:paraId="66E2D05E" w14:textId="77777777" w:rsidR="00B149EF" w:rsidRPr="00E70587" w:rsidRDefault="00B149EF" w:rsidP="009901E1">
      <w:pPr>
        <w:pStyle w:val="Notesbodytext"/>
        <w:spacing w:after="0" w:line="280" w:lineRule="exact"/>
        <w:rPr>
          <w:rFonts w:ascii="Arial" w:hAnsi="Arial"/>
          <w:color w:val="auto"/>
          <w:sz w:val="20"/>
        </w:rPr>
      </w:pPr>
    </w:p>
    <w:tbl>
      <w:tblPr>
        <w:tblW w:w="9576" w:type="dxa"/>
        <w:tblLook w:val="0000" w:firstRow="0" w:lastRow="0" w:firstColumn="0" w:lastColumn="0" w:noHBand="0" w:noVBand="0"/>
      </w:tblPr>
      <w:tblGrid>
        <w:gridCol w:w="9576"/>
      </w:tblGrid>
      <w:tr w:rsidR="00A17C17" w:rsidRPr="00E70587" w14:paraId="381CF65F" w14:textId="77777777" w:rsidTr="009A5E2F">
        <w:tc>
          <w:tcPr>
            <w:tcW w:w="0" w:type="auto"/>
          </w:tcPr>
          <w:p w14:paraId="26609139" w14:textId="6061DE2E" w:rsidR="00A17C17" w:rsidRPr="00E70587" w:rsidRDefault="00A17C17" w:rsidP="001E0201">
            <w:pPr>
              <w:pStyle w:val="Notesbodytext"/>
              <w:spacing w:after="0" w:line="280" w:lineRule="exact"/>
              <w:jc w:val="both"/>
              <w:rPr>
                <w:rFonts w:ascii="Arial" w:hAnsi="Arial"/>
                <w:color w:val="auto"/>
                <w:sz w:val="20"/>
              </w:rPr>
            </w:pPr>
            <w:r w:rsidRPr="00E70587">
              <w:rPr>
                <w:rFonts w:ascii="Arial" w:hAnsi="Arial"/>
                <w:color w:val="auto"/>
                <w:sz w:val="20"/>
              </w:rPr>
              <w:t>The Group issued 4</w:t>
            </w:r>
            <w:r w:rsidR="00E3271E" w:rsidRPr="00E70587">
              <w:rPr>
                <w:rFonts w:ascii="Arial" w:hAnsi="Arial"/>
                <w:color w:val="auto"/>
                <w:sz w:val="20"/>
              </w:rPr>
              <w:t>,</w:t>
            </w:r>
            <w:r w:rsidRPr="00E70587">
              <w:rPr>
                <w:rFonts w:ascii="Arial" w:hAnsi="Arial"/>
                <w:color w:val="auto"/>
                <w:sz w:val="20"/>
              </w:rPr>
              <w:t>500</w:t>
            </w:r>
            <w:r w:rsidR="00E3271E" w:rsidRPr="00E70587">
              <w:rPr>
                <w:rFonts w:ascii="Arial" w:hAnsi="Arial"/>
                <w:color w:val="auto"/>
                <w:sz w:val="20"/>
              </w:rPr>
              <w:t>,00,000 no of</w:t>
            </w:r>
            <w:r w:rsidRPr="00E70587">
              <w:rPr>
                <w:rFonts w:ascii="Arial" w:hAnsi="Arial"/>
                <w:color w:val="auto"/>
                <w:sz w:val="20"/>
              </w:rPr>
              <w:t xml:space="preserve"> Equity shares as consideration for the 80% interest in Extinguishers Limited. The fair value of the shares is calculated with reference to the quoted price of the shares of the Company at the date of acquisition, which was INR 2.881 each. The fair value of the consideration given is therefore INR 12</w:t>
            </w:r>
            <w:r w:rsidR="00E3271E" w:rsidRPr="00E70587">
              <w:rPr>
                <w:rFonts w:ascii="Arial" w:hAnsi="Arial"/>
                <w:color w:val="auto"/>
                <w:sz w:val="20"/>
              </w:rPr>
              <w:t>,</w:t>
            </w:r>
            <w:r w:rsidRPr="00E70587">
              <w:rPr>
                <w:rFonts w:ascii="Arial" w:hAnsi="Arial"/>
                <w:color w:val="auto"/>
                <w:sz w:val="20"/>
              </w:rPr>
              <w:t>965</w:t>
            </w:r>
            <w:r w:rsidR="00BC1111">
              <w:rPr>
                <w:rFonts w:ascii="Arial" w:hAnsi="Arial"/>
                <w:color w:val="auto"/>
                <w:sz w:val="20"/>
              </w:rPr>
              <w:t xml:space="preserve"> lacs</w:t>
            </w:r>
            <w:r w:rsidRPr="00E70587">
              <w:rPr>
                <w:rFonts w:ascii="Arial" w:hAnsi="Arial"/>
                <w:color w:val="auto"/>
                <w:sz w:val="20"/>
              </w:rPr>
              <w:t>.</w:t>
            </w:r>
          </w:p>
          <w:p w14:paraId="61B000D6" w14:textId="77777777" w:rsidR="00A17C17" w:rsidRPr="00E70587" w:rsidRDefault="00A17C17" w:rsidP="009901E1">
            <w:pPr>
              <w:pStyle w:val="Notesbodytext"/>
              <w:spacing w:after="0" w:line="280" w:lineRule="exact"/>
              <w:rPr>
                <w:rFonts w:ascii="Arial" w:hAnsi="Arial"/>
                <w:color w:val="auto"/>
                <w:sz w:val="20"/>
              </w:rPr>
            </w:pPr>
          </w:p>
        </w:tc>
      </w:tr>
      <w:tr w:rsidR="00A17C17" w:rsidRPr="00E70587" w14:paraId="09865AB6" w14:textId="77777777" w:rsidTr="009A5E2F">
        <w:tc>
          <w:tcPr>
            <w:tcW w:w="0" w:type="auto"/>
          </w:tcPr>
          <w:p w14:paraId="4A24722D" w14:textId="5054FE60" w:rsidR="00A17C17" w:rsidRPr="00E70587" w:rsidRDefault="00A17C17" w:rsidP="001E0201">
            <w:pPr>
              <w:pStyle w:val="Notesbodytext"/>
              <w:spacing w:after="0" w:line="280" w:lineRule="exact"/>
              <w:jc w:val="both"/>
              <w:rPr>
                <w:rFonts w:ascii="Arial" w:hAnsi="Arial"/>
                <w:color w:val="auto"/>
                <w:sz w:val="20"/>
              </w:rPr>
            </w:pPr>
            <w:r w:rsidRPr="00E70587">
              <w:rPr>
                <w:rFonts w:ascii="Arial" w:hAnsi="Arial"/>
                <w:color w:val="auto"/>
                <w:sz w:val="20"/>
              </w:rPr>
              <w:t>Transaction costs of INR 1</w:t>
            </w:r>
            <w:r w:rsidR="00E3271E" w:rsidRPr="00E70587">
              <w:rPr>
                <w:rFonts w:ascii="Arial" w:hAnsi="Arial"/>
                <w:color w:val="auto"/>
                <w:sz w:val="20"/>
              </w:rPr>
              <w:t>,</w:t>
            </w:r>
            <w:r w:rsidRPr="00E70587">
              <w:rPr>
                <w:rFonts w:ascii="Arial" w:hAnsi="Arial"/>
                <w:color w:val="auto"/>
                <w:sz w:val="20"/>
              </w:rPr>
              <w:t>080 have been expensed and are included in other expenses. The attributable costs of the issuance of the shares of INR 5</w:t>
            </w:r>
            <w:r w:rsidR="00E3271E" w:rsidRPr="00E70587">
              <w:rPr>
                <w:rFonts w:ascii="Arial" w:hAnsi="Arial"/>
                <w:color w:val="auto"/>
                <w:sz w:val="20"/>
              </w:rPr>
              <w:t>8</w:t>
            </w:r>
            <w:r w:rsidRPr="00E70587">
              <w:rPr>
                <w:rFonts w:ascii="Arial" w:hAnsi="Arial"/>
                <w:color w:val="auto"/>
                <w:sz w:val="20"/>
              </w:rPr>
              <w:t xml:space="preserve"> have been charged directly to equity as a reduction in </w:t>
            </w:r>
            <w:r w:rsidR="0049095E">
              <w:rPr>
                <w:rFonts w:ascii="Arial" w:hAnsi="Arial"/>
                <w:b/>
                <w:bCs/>
                <w:sz w:val="20"/>
                <w:lang w:eastAsia="en-IN"/>
              </w:rPr>
              <w:t>securities</w:t>
            </w:r>
            <w:r w:rsidR="0049095E" w:rsidRPr="00E70587">
              <w:rPr>
                <w:rFonts w:ascii="Arial" w:hAnsi="Arial"/>
                <w:b/>
                <w:bCs/>
                <w:sz w:val="20"/>
                <w:lang w:eastAsia="en-IN"/>
              </w:rPr>
              <w:t xml:space="preserve"> </w:t>
            </w:r>
            <w:r w:rsidRPr="00E70587">
              <w:rPr>
                <w:rFonts w:ascii="Arial" w:hAnsi="Arial"/>
                <w:color w:val="auto"/>
                <w:sz w:val="20"/>
              </w:rPr>
              <w:t>premium.</w:t>
            </w:r>
          </w:p>
          <w:p w14:paraId="733D161D" w14:textId="77777777" w:rsidR="00A17C17" w:rsidRPr="00E70587" w:rsidRDefault="00A17C17" w:rsidP="009901E1">
            <w:pPr>
              <w:pStyle w:val="Notesbodytext"/>
              <w:spacing w:after="0" w:line="280" w:lineRule="exact"/>
              <w:rPr>
                <w:rFonts w:ascii="Arial" w:hAnsi="Arial"/>
                <w:color w:val="auto"/>
                <w:sz w:val="20"/>
              </w:rPr>
            </w:pPr>
          </w:p>
        </w:tc>
      </w:tr>
      <w:tr w:rsidR="001E0201" w:rsidRPr="00E70587" w14:paraId="28BDA6B0" w14:textId="77777777" w:rsidTr="001E0201">
        <w:tc>
          <w:tcPr>
            <w:tcW w:w="0" w:type="auto"/>
          </w:tcPr>
          <w:p w14:paraId="0252BB7B" w14:textId="77777777" w:rsidR="001E0201" w:rsidRPr="00E70587" w:rsidRDefault="001E0201" w:rsidP="001E0201">
            <w:pPr>
              <w:pStyle w:val="Notesitalicheading"/>
              <w:spacing w:line="280" w:lineRule="exact"/>
              <w:jc w:val="both"/>
              <w:rPr>
                <w:rFonts w:ascii="Arial" w:hAnsi="Arial"/>
                <w:i w:val="0"/>
                <w:color w:val="auto"/>
                <w:sz w:val="20"/>
              </w:rPr>
            </w:pPr>
            <w:r w:rsidRPr="00E70587">
              <w:rPr>
                <w:rFonts w:ascii="Arial" w:hAnsi="Arial"/>
                <w:i w:val="0"/>
                <w:color w:val="auto"/>
                <w:sz w:val="20"/>
              </w:rPr>
              <w:t>Contingent consideration</w:t>
            </w:r>
          </w:p>
          <w:p w14:paraId="3AEF1C79" w14:textId="77777777" w:rsidR="001E0201" w:rsidRPr="00E70587" w:rsidRDefault="001E0201" w:rsidP="001E0201">
            <w:pPr>
              <w:pStyle w:val="Notesbodytext"/>
              <w:spacing w:after="0" w:line="280" w:lineRule="exact"/>
              <w:jc w:val="both"/>
              <w:rPr>
                <w:rFonts w:ascii="Arial" w:hAnsi="Arial"/>
                <w:color w:val="auto"/>
                <w:sz w:val="20"/>
              </w:rPr>
            </w:pPr>
          </w:p>
          <w:p w14:paraId="0224300B" w14:textId="77777777" w:rsidR="001E0201" w:rsidRPr="00E70587" w:rsidRDefault="001E0201" w:rsidP="001E0201">
            <w:pPr>
              <w:pStyle w:val="Notesbodytext"/>
              <w:spacing w:after="0" w:line="280" w:lineRule="exact"/>
              <w:jc w:val="both"/>
              <w:rPr>
                <w:rFonts w:ascii="Arial" w:hAnsi="Arial"/>
                <w:color w:val="auto"/>
                <w:sz w:val="20"/>
              </w:rPr>
            </w:pPr>
            <w:r w:rsidRPr="00E70587">
              <w:rPr>
                <w:rFonts w:ascii="Arial" w:hAnsi="Arial"/>
                <w:color w:val="auto"/>
                <w:sz w:val="20"/>
              </w:rPr>
              <w:t>As part of the purchase agreement with the previous owner of Extinguishers Limited, a contingent consideration has been agreed. There will be additional cash payments to the previous owner of Extinguishers Limited of:</w:t>
            </w:r>
          </w:p>
          <w:p w14:paraId="4153D78F" w14:textId="77777777" w:rsidR="001E0201" w:rsidRPr="00E70587" w:rsidRDefault="001E0201" w:rsidP="00E466DD">
            <w:pPr>
              <w:pStyle w:val="Notesbodytext"/>
              <w:numPr>
                <w:ilvl w:val="0"/>
                <w:numId w:val="26"/>
              </w:numPr>
              <w:tabs>
                <w:tab w:val="clear" w:pos="360"/>
              </w:tabs>
              <w:spacing w:before="120" w:after="0" w:line="280" w:lineRule="exact"/>
              <w:ind w:left="720" w:hanging="720"/>
              <w:jc w:val="both"/>
              <w:rPr>
                <w:rFonts w:ascii="Arial" w:hAnsi="Arial"/>
                <w:color w:val="auto"/>
                <w:sz w:val="20"/>
              </w:rPr>
            </w:pPr>
            <w:r w:rsidRPr="00E70587">
              <w:rPr>
                <w:rFonts w:ascii="Arial" w:hAnsi="Arial"/>
                <w:color w:val="auto"/>
                <w:sz w:val="20"/>
              </w:rPr>
              <w:t>INR 1</w:t>
            </w:r>
            <w:r w:rsidR="00E3271E" w:rsidRPr="00E70587">
              <w:rPr>
                <w:rFonts w:ascii="Arial" w:hAnsi="Arial"/>
                <w:color w:val="auto"/>
                <w:sz w:val="20"/>
              </w:rPr>
              <w:t>,</w:t>
            </w:r>
            <w:r w:rsidRPr="00E70587">
              <w:rPr>
                <w:rFonts w:ascii="Arial" w:hAnsi="Arial"/>
                <w:color w:val="auto"/>
                <w:sz w:val="20"/>
              </w:rPr>
              <w:t>215, if the entity generates up to INR 1</w:t>
            </w:r>
            <w:r w:rsidR="00E3271E" w:rsidRPr="00E70587">
              <w:rPr>
                <w:rFonts w:ascii="Arial" w:hAnsi="Arial"/>
                <w:color w:val="auto"/>
                <w:sz w:val="20"/>
              </w:rPr>
              <w:t>,</w:t>
            </w:r>
            <w:r w:rsidRPr="00E70587">
              <w:rPr>
                <w:rFonts w:ascii="Arial" w:hAnsi="Arial"/>
                <w:color w:val="auto"/>
                <w:sz w:val="20"/>
              </w:rPr>
              <w:t>800 of profit before tax in a 12-month period after the acquisition date, or</w:t>
            </w:r>
          </w:p>
          <w:p w14:paraId="48816051" w14:textId="77777777" w:rsidR="001E0201" w:rsidRPr="00E70587" w:rsidRDefault="001E0201" w:rsidP="00E466DD">
            <w:pPr>
              <w:pStyle w:val="Notesbodytext"/>
              <w:numPr>
                <w:ilvl w:val="0"/>
                <w:numId w:val="26"/>
              </w:numPr>
              <w:tabs>
                <w:tab w:val="clear" w:pos="360"/>
              </w:tabs>
              <w:spacing w:before="120" w:after="0" w:line="280" w:lineRule="exact"/>
              <w:ind w:left="720" w:hanging="720"/>
              <w:jc w:val="both"/>
              <w:rPr>
                <w:rFonts w:ascii="Arial" w:hAnsi="Arial"/>
                <w:color w:val="auto"/>
                <w:sz w:val="20"/>
              </w:rPr>
            </w:pPr>
            <w:r w:rsidRPr="00E70587">
              <w:rPr>
                <w:rFonts w:ascii="Arial" w:hAnsi="Arial"/>
                <w:color w:val="auto"/>
                <w:sz w:val="20"/>
              </w:rPr>
              <w:t>INR 2</w:t>
            </w:r>
            <w:r w:rsidR="00E3271E" w:rsidRPr="00E70587">
              <w:rPr>
                <w:rFonts w:ascii="Arial" w:hAnsi="Arial"/>
                <w:color w:val="auto"/>
                <w:sz w:val="20"/>
              </w:rPr>
              <w:t>,</w:t>
            </w:r>
            <w:r w:rsidRPr="00E70587">
              <w:rPr>
                <w:rFonts w:ascii="Arial" w:hAnsi="Arial"/>
                <w:color w:val="auto"/>
                <w:sz w:val="20"/>
              </w:rPr>
              <w:t>025, if the entity generates INR 2</w:t>
            </w:r>
            <w:r w:rsidR="00E3271E" w:rsidRPr="00E70587">
              <w:rPr>
                <w:rFonts w:ascii="Arial" w:hAnsi="Arial"/>
                <w:color w:val="auto"/>
                <w:sz w:val="20"/>
              </w:rPr>
              <w:t>,</w:t>
            </w:r>
            <w:r w:rsidRPr="00E70587">
              <w:rPr>
                <w:rFonts w:ascii="Arial" w:hAnsi="Arial"/>
                <w:color w:val="auto"/>
                <w:sz w:val="20"/>
              </w:rPr>
              <w:t>700 or more of profit before tax in a 12-month period after the acquisition date</w:t>
            </w:r>
          </w:p>
          <w:p w14:paraId="2658EC54" w14:textId="77777777" w:rsidR="001E0201" w:rsidRPr="00E70587" w:rsidRDefault="001E0201" w:rsidP="001E0201">
            <w:pPr>
              <w:pStyle w:val="Notesbodytext"/>
              <w:spacing w:after="0" w:line="280" w:lineRule="exact"/>
              <w:jc w:val="both"/>
              <w:rPr>
                <w:rFonts w:ascii="Arial" w:hAnsi="Arial"/>
                <w:color w:val="auto"/>
                <w:sz w:val="20"/>
              </w:rPr>
            </w:pPr>
          </w:p>
          <w:p w14:paraId="3C6F1162" w14:textId="25957FE7" w:rsidR="001E0201" w:rsidRPr="00E70587" w:rsidRDefault="001E0201" w:rsidP="001E0201">
            <w:pPr>
              <w:pStyle w:val="Notesbodytext"/>
              <w:spacing w:after="0" w:line="280" w:lineRule="exact"/>
              <w:jc w:val="both"/>
              <w:rPr>
                <w:rFonts w:ascii="Arial" w:hAnsi="Arial"/>
                <w:color w:val="auto"/>
                <w:sz w:val="20"/>
              </w:rPr>
            </w:pPr>
            <w:r w:rsidRPr="00E70587">
              <w:rPr>
                <w:rFonts w:ascii="Arial" w:hAnsi="Arial"/>
                <w:color w:val="auto"/>
                <w:sz w:val="20"/>
              </w:rPr>
              <w:t>As at the acquisition date, the fair value of the contingent consideration was estimated to be INR 1</w:t>
            </w:r>
            <w:r w:rsidR="00E3271E" w:rsidRPr="00E70587">
              <w:rPr>
                <w:rFonts w:ascii="Arial" w:hAnsi="Arial"/>
                <w:color w:val="auto"/>
                <w:sz w:val="20"/>
              </w:rPr>
              <w:t>,</w:t>
            </w:r>
            <w:r w:rsidR="00765C31" w:rsidRPr="00E70587">
              <w:rPr>
                <w:rFonts w:ascii="Arial" w:hAnsi="Arial"/>
                <w:color w:val="auto"/>
                <w:sz w:val="20"/>
              </w:rPr>
              <w:t>28</w:t>
            </w:r>
            <w:r w:rsidR="00765C31">
              <w:rPr>
                <w:rFonts w:ascii="Arial" w:hAnsi="Arial"/>
                <w:color w:val="auto"/>
                <w:sz w:val="20"/>
              </w:rPr>
              <w:t>6</w:t>
            </w:r>
            <w:r w:rsidRPr="00E70587">
              <w:rPr>
                <w:rFonts w:ascii="Arial" w:hAnsi="Arial"/>
                <w:color w:val="auto"/>
                <w:sz w:val="20"/>
              </w:rPr>
              <w:t xml:space="preserve">. The fair value is determined using DCF method. </w:t>
            </w:r>
          </w:p>
          <w:p w14:paraId="0BFA9F4B" w14:textId="77777777" w:rsidR="001E0201" w:rsidRPr="00E70587" w:rsidRDefault="001E0201" w:rsidP="009901E1">
            <w:pPr>
              <w:pStyle w:val="Notesbodytext"/>
              <w:spacing w:after="0" w:line="280" w:lineRule="exact"/>
              <w:rPr>
                <w:rFonts w:ascii="Arial" w:hAnsi="Arial"/>
                <w:color w:val="auto"/>
                <w:sz w:val="20"/>
              </w:rPr>
            </w:pPr>
          </w:p>
        </w:tc>
      </w:tr>
    </w:tbl>
    <w:p w14:paraId="0EB06863" w14:textId="77777777" w:rsidR="00811B92" w:rsidRPr="00E70587" w:rsidRDefault="00811B92" w:rsidP="009901E1">
      <w:pPr>
        <w:pStyle w:val="Notesbodytext"/>
        <w:spacing w:after="0" w:line="280" w:lineRule="exact"/>
        <w:jc w:val="both"/>
        <w:rPr>
          <w:rFonts w:ascii="Arial" w:hAnsi="Arial"/>
          <w:color w:val="auto"/>
          <w:sz w:val="20"/>
        </w:rPr>
      </w:pPr>
    </w:p>
    <w:p w14:paraId="20A14528" w14:textId="77777777" w:rsidR="00811B92" w:rsidRPr="00E70587" w:rsidRDefault="00811B92" w:rsidP="001E0201">
      <w:pPr>
        <w:pStyle w:val="Notesbodytext"/>
        <w:spacing w:after="0" w:line="280" w:lineRule="exact"/>
        <w:jc w:val="both"/>
        <w:rPr>
          <w:rFonts w:ascii="Arial" w:hAnsi="Arial"/>
          <w:color w:val="auto"/>
          <w:sz w:val="20"/>
        </w:rPr>
      </w:pPr>
      <w:r w:rsidRPr="00E70587">
        <w:rPr>
          <w:rFonts w:ascii="Arial" w:hAnsi="Arial"/>
          <w:color w:val="auto"/>
          <w:sz w:val="20"/>
        </w:rPr>
        <w:t>Significant unobservable valuation inputs are provided below:</w:t>
      </w:r>
    </w:p>
    <w:p w14:paraId="65E6C2EE" w14:textId="62C9B85F" w:rsidR="001E0201" w:rsidRPr="00E70587" w:rsidRDefault="000E557B" w:rsidP="000E557B">
      <w:pPr>
        <w:pStyle w:val="Notesbodytext"/>
        <w:tabs>
          <w:tab w:val="left" w:pos="6222"/>
        </w:tabs>
        <w:spacing w:after="0" w:line="280" w:lineRule="exact"/>
        <w:jc w:val="both"/>
        <w:rPr>
          <w:rFonts w:ascii="Arial" w:hAnsi="Arial"/>
          <w:color w:val="auto"/>
          <w:sz w:val="20"/>
        </w:rPr>
      </w:pPr>
      <w:r>
        <w:rPr>
          <w:rFonts w:ascii="Arial" w:hAnsi="Arial"/>
          <w:color w:val="auto"/>
          <w:sz w:val="20"/>
        </w:rPr>
        <w:lastRenderedPageBreak/>
        <w:tab/>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8"/>
        <w:gridCol w:w="4138"/>
      </w:tblGrid>
      <w:tr w:rsidR="00A17C17" w:rsidRPr="00E70587" w14:paraId="6B624A6F" w14:textId="77777777" w:rsidTr="001E0201">
        <w:tc>
          <w:tcPr>
            <w:tcW w:w="5438" w:type="dxa"/>
            <w:vAlign w:val="bottom"/>
          </w:tcPr>
          <w:p w14:paraId="60D11587" w14:textId="77777777" w:rsidR="00A17C17" w:rsidRPr="00E70587" w:rsidRDefault="00A17C17" w:rsidP="009901E1">
            <w:pPr>
              <w:pStyle w:val="Notesbodytext"/>
              <w:spacing w:after="0" w:line="280" w:lineRule="exact"/>
              <w:rPr>
                <w:rStyle w:val="NotesbodytextChar"/>
                <w:rFonts w:ascii="Arial" w:hAnsi="Arial"/>
                <w:color w:val="auto"/>
                <w:sz w:val="20"/>
                <w:lang w:val="en-IN"/>
              </w:rPr>
            </w:pPr>
            <w:r w:rsidRPr="00E70587">
              <w:rPr>
                <w:rStyle w:val="NotesbodytextChar"/>
                <w:rFonts w:ascii="Arial" w:hAnsi="Arial"/>
                <w:color w:val="auto"/>
                <w:sz w:val="20"/>
                <w:lang w:val="en-IN"/>
              </w:rPr>
              <w:t xml:space="preserve">Assumed probability-adjusted profit before tax of Extinguishers Limited </w:t>
            </w:r>
          </w:p>
        </w:tc>
        <w:tc>
          <w:tcPr>
            <w:tcW w:w="4138" w:type="dxa"/>
            <w:vAlign w:val="bottom"/>
          </w:tcPr>
          <w:p w14:paraId="5033B98E" w14:textId="77777777" w:rsidR="00A17C17" w:rsidRPr="00E70587" w:rsidRDefault="00A17C17" w:rsidP="009901E1">
            <w:pPr>
              <w:pStyle w:val="Notesbulletpoint"/>
              <w:numPr>
                <w:ilvl w:val="0"/>
                <w:numId w:val="0"/>
              </w:numPr>
              <w:spacing w:after="0" w:line="280" w:lineRule="exact"/>
              <w:ind w:left="360" w:hanging="360"/>
              <w:rPr>
                <w:rStyle w:val="NotesbodytextChar"/>
                <w:rFonts w:ascii="Arial" w:hAnsi="Arial"/>
                <w:color w:val="auto"/>
                <w:sz w:val="20"/>
                <w:lang w:val="en-IN"/>
              </w:rPr>
            </w:pPr>
            <w:r w:rsidRPr="00E70587">
              <w:rPr>
                <w:rFonts w:ascii="Arial" w:hAnsi="Arial"/>
                <w:color w:val="auto"/>
                <w:sz w:val="20"/>
              </w:rPr>
              <w:t>INR 1</w:t>
            </w:r>
            <w:r w:rsidR="00E3271E" w:rsidRPr="00E70587">
              <w:rPr>
                <w:rFonts w:ascii="Arial" w:hAnsi="Arial"/>
                <w:color w:val="auto"/>
                <w:sz w:val="20"/>
              </w:rPr>
              <w:t>,</w:t>
            </w:r>
            <w:r w:rsidRPr="00E70587">
              <w:rPr>
                <w:rFonts w:ascii="Arial" w:hAnsi="Arial"/>
                <w:color w:val="auto"/>
                <w:sz w:val="20"/>
              </w:rPr>
              <w:t>800 - INR 2</w:t>
            </w:r>
            <w:r w:rsidR="00E3271E" w:rsidRPr="00E70587">
              <w:rPr>
                <w:rFonts w:ascii="Arial" w:hAnsi="Arial"/>
                <w:color w:val="auto"/>
                <w:sz w:val="20"/>
              </w:rPr>
              <w:t>,</w:t>
            </w:r>
            <w:r w:rsidRPr="00E70587">
              <w:rPr>
                <w:rFonts w:ascii="Arial" w:hAnsi="Arial"/>
                <w:color w:val="auto"/>
                <w:sz w:val="20"/>
              </w:rPr>
              <w:t>700</w:t>
            </w:r>
          </w:p>
        </w:tc>
      </w:tr>
      <w:tr w:rsidR="00A17C17" w:rsidRPr="00E70587" w14:paraId="0AC8B308" w14:textId="77777777" w:rsidTr="001E0201">
        <w:tc>
          <w:tcPr>
            <w:tcW w:w="5438" w:type="dxa"/>
            <w:vAlign w:val="bottom"/>
          </w:tcPr>
          <w:p w14:paraId="34CE79F6" w14:textId="77777777" w:rsidR="00A17C17" w:rsidRPr="00E70587" w:rsidRDefault="00A17C17" w:rsidP="009901E1">
            <w:pPr>
              <w:pStyle w:val="Notesbodytext"/>
              <w:spacing w:after="0" w:line="280" w:lineRule="exact"/>
              <w:rPr>
                <w:rStyle w:val="NotesbodytextChar"/>
                <w:rFonts w:ascii="Arial" w:hAnsi="Arial"/>
                <w:color w:val="auto"/>
                <w:sz w:val="20"/>
                <w:lang w:val="en-IN"/>
              </w:rPr>
            </w:pPr>
            <w:r w:rsidRPr="00E70587">
              <w:rPr>
                <w:rStyle w:val="NotesbodytextChar"/>
                <w:rFonts w:ascii="Arial" w:hAnsi="Arial"/>
                <w:color w:val="auto"/>
                <w:sz w:val="20"/>
                <w:lang w:val="en-IN"/>
              </w:rPr>
              <w:t>Discount rate</w:t>
            </w:r>
          </w:p>
        </w:tc>
        <w:tc>
          <w:tcPr>
            <w:tcW w:w="4138" w:type="dxa"/>
            <w:vAlign w:val="bottom"/>
          </w:tcPr>
          <w:p w14:paraId="7029B319" w14:textId="77777777" w:rsidR="00A17C17" w:rsidRPr="00E70587" w:rsidRDefault="00A17C17" w:rsidP="009901E1">
            <w:pPr>
              <w:pStyle w:val="Notesbodytext"/>
              <w:spacing w:after="0" w:line="280" w:lineRule="exact"/>
              <w:rPr>
                <w:rStyle w:val="NotesbodytextChar"/>
                <w:rFonts w:ascii="Arial" w:hAnsi="Arial"/>
                <w:color w:val="auto"/>
                <w:sz w:val="20"/>
                <w:lang w:val="en-IN"/>
              </w:rPr>
            </w:pPr>
            <w:r w:rsidRPr="00E70587">
              <w:rPr>
                <w:rStyle w:val="NotesbodytextChar"/>
                <w:rFonts w:ascii="Arial" w:hAnsi="Arial"/>
                <w:color w:val="auto"/>
                <w:sz w:val="20"/>
                <w:lang w:val="en-IN"/>
              </w:rPr>
              <w:t>14%</w:t>
            </w:r>
          </w:p>
        </w:tc>
      </w:tr>
      <w:tr w:rsidR="00A17C17" w:rsidRPr="00E70587" w14:paraId="4E1D72B2" w14:textId="77777777" w:rsidTr="001E0201">
        <w:tc>
          <w:tcPr>
            <w:tcW w:w="5438" w:type="dxa"/>
            <w:vAlign w:val="bottom"/>
          </w:tcPr>
          <w:p w14:paraId="5088F194" w14:textId="77777777" w:rsidR="00A17C17" w:rsidRPr="00E70587" w:rsidRDefault="00A17C17" w:rsidP="009901E1">
            <w:pPr>
              <w:pStyle w:val="Notesbodytext"/>
              <w:spacing w:after="0" w:line="280" w:lineRule="exact"/>
              <w:rPr>
                <w:rStyle w:val="NotesbodytextChar"/>
                <w:rFonts w:ascii="Arial" w:hAnsi="Arial"/>
                <w:color w:val="auto"/>
                <w:sz w:val="20"/>
                <w:lang w:val="en-IN"/>
              </w:rPr>
            </w:pPr>
            <w:r w:rsidRPr="00E70587">
              <w:rPr>
                <w:rStyle w:val="NotesbodytextChar"/>
                <w:rFonts w:ascii="Arial" w:hAnsi="Arial"/>
                <w:color w:val="auto"/>
                <w:sz w:val="20"/>
                <w:lang w:val="en-IN"/>
              </w:rPr>
              <w:t>Discount for own non-performance risk</w:t>
            </w:r>
          </w:p>
        </w:tc>
        <w:tc>
          <w:tcPr>
            <w:tcW w:w="4138" w:type="dxa"/>
            <w:vAlign w:val="bottom"/>
          </w:tcPr>
          <w:p w14:paraId="30A89308" w14:textId="77777777" w:rsidR="00A17C17" w:rsidRPr="00E70587" w:rsidRDefault="00A17C17" w:rsidP="009901E1">
            <w:pPr>
              <w:pStyle w:val="Notesbodytext"/>
              <w:spacing w:after="0" w:line="280" w:lineRule="exact"/>
              <w:rPr>
                <w:rStyle w:val="NotesbodytextChar"/>
                <w:rFonts w:ascii="Arial" w:hAnsi="Arial"/>
                <w:color w:val="auto"/>
                <w:sz w:val="20"/>
                <w:lang w:val="en-IN"/>
              </w:rPr>
            </w:pPr>
            <w:r w:rsidRPr="00E70587">
              <w:rPr>
                <w:rStyle w:val="NotesbodytextChar"/>
                <w:rFonts w:ascii="Arial" w:hAnsi="Arial"/>
                <w:color w:val="auto"/>
                <w:sz w:val="20"/>
                <w:lang w:val="en-IN"/>
              </w:rPr>
              <w:t>0.05%</w:t>
            </w:r>
          </w:p>
        </w:tc>
      </w:tr>
    </w:tbl>
    <w:p w14:paraId="5AC5F9DE" w14:textId="77777777" w:rsidR="00160F2D" w:rsidRPr="00E70587" w:rsidRDefault="00160F2D" w:rsidP="00F53583">
      <w:pPr>
        <w:pStyle w:val="Notesbodytext"/>
        <w:spacing w:after="0" w:line="280" w:lineRule="exact"/>
        <w:jc w:val="both"/>
        <w:rPr>
          <w:rFonts w:ascii="Arial" w:hAnsi="Arial"/>
          <w:color w:val="auto"/>
          <w:sz w:val="20"/>
        </w:rPr>
      </w:pPr>
    </w:p>
    <w:tbl>
      <w:tblPr>
        <w:tblW w:w="9576" w:type="dxa"/>
        <w:tblLook w:val="0000" w:firstRow="0" w:lastRow="0" w:firstColumn="0" w:lastColumn="0" w:noHBand="0" w:noVBand="0"/>
      </w:tblPr>
      <w:tblGrid>
        <w:gridCol w:w="9576"/>
      </w:tblGrid>
      <w:tr w:rsidR="00A17C17" w:rsidRPr="00E70587" w14:paraId="04E077E2" w14:textId="77777777" w:rsidTr="009A5E2F">
        <w:tc>
          <w:tcPr>
            <w:tcW w:w="0" w:type="auto"/>
          </w:tcPr>
          <w:p w14:paraId="780FA65E" w14:textId="77777777" w:rsidR="00A17C17" w:rsidRPr="00E70587" w:rsidRDefault="00A17C17" w:rsidP="009901E1">
            <w:pPr>
              <w:pStyle w:val="Notesbodytext"/>
              <w:spacing w:after="0" w:line="280" w:lineRule="exact"/>
              <w:ind w:left="12"/>
              <w:jc w:val="both"/>
              <w:rPr>
                <w:rFonts w:ascii="Arial" w:hAnsi="Arial"/>
                <w:color w:val="auto"/>
                <w:sz w:val="20"/>
              </w:rPr>
            </w:pPr>
            <w:r w:rsidRPr="00E70587">
              <w:rPr>
                <w:rFonts w:ascii="Arial" w:hAnsi="Arial"/>
                <w:color w:val="auto"/>
                <w:sz w:val="20"/>
              </w:rPr>
              <w:t xml:space="preserve">Significant increase (decrease) in the profit after tax of </w:t>
            </w:r>
            <w:r w:rsidRPr="00E70587">
              <w:rPr>
                <w:rStyle w:val="NotesbodytextChar"/>
                <w:rFonts w:ascii="Arial" w:hAnsi="Arial"/>
                <w:color w:val="auto"/>
                <w:sz w:val="20"/>
                <w:lang w:val="en-IN"/>
              </w:rPr>
              <w:t>Extinguishers Limited would result in higher (lower) fair value of the contingent consideration liability, while significant increase (decrease) in the discount rate and own non-performance risk would result in lower (higher) fair value of the liability.</w:t>
            </w:r>
          </w:p>
          <w:p w14:paraId="0B6E537F" w14:textId="77777777" w:rsidR="00A17C17" w:rsidRPr="00E70587" w:rsidRDefault="00A17C17" w:rsidP="009901E1">
            <w:pPr>
              <w:pStyle w:val="Notesbodytext"/>
              <w:spacing w:after="0" w:line="280" w:lineRule="exact"/>
              <w:ind w:left="12"/>
              <w:jc w:val="both"/>
              <w:rPr>
                <w:rFonts w:ascii="Arial" w:hAnsi="Arial"/>
                <w:color w:val="auto"/>
                <w:sz w:val="20"/>
              </w:rPr>
            </w:pPr>
          </w:p>
          <w:p w14:paraId="2285DF9E" w14:textId="6E38F23C" w:rsidR="00A17C17" w:rsidRPr="00E70587" w:rsidRDefault="00A17C17" w:rsidP="009901E1">
            <w:pPr>
              <w:pStyle w:val="Notesbodytext"/>
              <w:spacing w:after="0" w:line="280" w:lineRule="exact"/>
              <w:ind w:left="12"/>
              <w:jc w:val="both"/>
              <w:rPr>
                <w:rFonts w:ascii="Arial" w:hAnsi="Arial"/>
                <w:color w:val="auto"/>
                <w:sz w:val="20"/>
              </w:rPr>
            </w:pPr>
            <w:r w:rsidRPr="00E70587">
              <w:rPr>
                <w:rFonts w:ascii="Arial" w:hAnsi="Arial"/>
                <w:color w:val="auto"/>
                <w:sz w:val="20"/>
              </w:rPr>
              <w:t xml:space="preserve">As at 31 </w:t>
            </w:r>
            <w:r w:rsidR="00E1202D" w:rsidRPr="00E70587">
              <w:rPr>
                <w:rFonts w:ascii="Arial" w:hAnsi="Arial"/>
                <w:color w:val="auto"/>
                <w:sz w:val="20"/>
              </w:rPr>
              <w:t xml:space="preserve">March </w:t>
            </w:r>
            <w:r w:rsidR="00A66D61" w:rsidRPr="00E70587">
              <w:rPr>
                <w:rFonts w:ascii="Arial" w:hAnsi="Arial"/>
                <w:color w:val="auto"/>
                <w:sz w:val="20"/>
              </w:rPr>
              <w:t>20</w:t>
            </w:r>
            <w:r w:rsidR="00A66D61">
              <w:rPr>
                <w:rFonts w:ascii="Arial" w:hAnsi="Arial"/>
                <w:color w:val="auto"/>
                <w:sz w:val="20"/>
              </w:rPr>
              <w:t>21</w:t>
            </w:r>
            <w:r w:rsidRPr="00E70587">
              <w:rPr>
                <w:rFonts w:ascii="Arial" w:hAnsi="Arial"/>
                <w:color w:val="auto"/>
                <w:sz w:val="20"/>
              </w:rPr>
              <w:t xml:space="preserve">, the key performance indicators of Extinguishers Limited show that it is highly probable that the target will be achieved due to a significant expansion of the business and the synergies realised. The fair value of the contingent consideration determined at 31 </w:t>
            </w:r>
            <w:r w:rsidR="00E1202D" w:rsidRPr="00E70587">
              <w:rPr>
                <w:rFonts w:ascii="Arial" w:hAnsi="Arial"/>
                <w:color w:val="auto"/>
                <w:sz w:val="20"/>
              </w:rPr>
              <w:t xml:space="preserve">March </w:t>
            </w:r>
            <w:r w:rsidR="00A66D61" w:rsidRPr="00E70587">
              <w:rPr>
                <w:rFonts w:ascii="Arial" w:hAnsi="Arial"/>
                <w:color w:val="auto"/>
                <w:sz w:val="20"/>
              </w:rPr>
              <w:t>20</w:t>
            </w:r>
            <w:r w:rsidR="00A66D61">
              <w:rPr>
                <w:rFonts w:ascii="Arial" w:hAnsi="Arial"/>
                <w:color w:val="auto"/>
                <w:sz w:val="20"/>
              </w:rPr>
              <w:t>21</w:t>
            </w:r>
            <w:r w:rsidR="00A66D61" w:rsidRPr="00E70587">
              <w:rPr>
                <w:rFonts w:ascii="Arial" w:hAnsi="Arial"/>
                <w:color w:val="auto"/>
                <w:sz w:val="20"/>
              </w:rPr>
              <w:t xml:space="preserve"> </w:t>
            </w:r>
            <w:r w:rsidRPr="00E70587">
              <w:rPr>
                <w:rFonts w:ascii="Arial" w:hAnsi="Arial"/>
                <w:color w:val="auto"/>
                <w:sz w:val="20"/>
              </w:rPr>
              <w:t xml:space="preserve">reflects this development, amongst other factors and a re-measurement charge has been recognised through profit </w:t>
            </w:r>
            <w:r w:rsidR="004B3123">
              <w:rPr>
                <w:rFonts w:ascii="Arial" w:hAnsi="Arial"/>
                <w:color w:val="auto"/>
                <w:sz w:val="20"/>
              </w:rPr>
              <w:t>or</w:t>
            </w:r>
            <w:r w:rsidR="00A66D61" w:rsidRPr="00E70587">
              <w:rPr>
                <w:rFonts w:ascii="Arial" w:hAnsi="Arial"/>
                <w:color w:val="auto"/>
                <w:sz w:val="20"/>
              </w:rPr>
              <w:t xml:space="preserve"> </w:t>
            </w:r>
            <w:r w:rsidRPr="00E70587">
              <w:rPr>
                <w:rFonts w:ascii="Arial" w:hAnsi="Arial"/>
                <w:color w:val="auto"/>
                <w:sz w:val="20"/>
              </w:rPr>
              <w:t>loss. A reconciliation of fair value measurement of the contingent consideration liability is provided below:</w:t>
            </w:r>
          </w:p>
        </w:tc>
      </w:tr>
    </w:tbl>
    <w:p w14:paraId="3263D785" w14:textId="77777777" w:rsidR="00811B92" w:rsidRPr="00E70587" w:rsidRDefault="00811B92" w:rsidP="009901E1">
      <w:pPr>
        <w:pStyle w:val="Notesbodytext"/>
        <w:spacing w:after="0" w:line="280" w:lineRule="exact"/>
        <w:rPr>
          <w:rFonts w:ascii="Arial" w:hAnsi="Arial"/>
          <w:color w:val="auto"/>
          <w:sz w:val="20"/>
        </w:rPr>
      </w:pPr>
    </w:p>
    <w:tbl>
      <w:tblPr>
        <w:tblW w:w="9576" w:type="dxa"/>
        <w:tblLayout w:type="fixed"/>
        <w:tblLook w:val="01E0" w:firstRow="1" w:lastRow="1" w:firstColumn="1" w:lastColumn="1" w:noHBand="0" w:noVBand="0"/>
      </w:tblPr>
      <w:tblGrid>
        <w:gridCol w:w="7769"/>
        <w:gridCol w:w="1807"/>
      </w:tblGrid>
      <w:tr w:rsidR="00A17C17" w:rsidRPr="00E70587" w14:paraId="39759818" w14:textId="77777777" w:rsidTr="009A5E2F">
        <w:tc>
          <w:tcPr>
            <w:tcW w:w="7740" w:type="dxa"/>
            <w:shd w:val="clear" w:color="auto" w:fill="auto"/>
            <w:tcMar>
              <w:right w:w="57" w:type="dxa"/>
            </w:tcMar>
          </w:tcPr>
          <w:p w14:paraId="3B4FC88E" w14:textId="77777777" w:rsidR="00A17C17" w:rsidRPr="00E70587" w:rsidRDefault="00A17C17" w:rsidP="009901E1">
            <w:pPr>
              <w:pStyle w:val="Notesitalicheading"/>
              <w:spacing w:line="280" w:lineRule="exact"/>
              <w:rPr>
                <w:rFonts w:ascii="Arial" w:hAnsi="Arial"/>
                <w:i w:val="0"/>
                <w:color w:val="auto"/>
                <w:sz w:val="20"/>
              </w:rPr>
            </w:pPr>
          </w:p>
        </w:tc>
        <w:tc>
          <w:tcPr>
            <w:tcW w:w="1800" w:type="dxa"/>
            <w:tcBorders>
              <w:bottom w:val="single" w:sz="4" w:space="0" w:color="auto"/>
            </w:tcBorders>
            <w:shd w:val="clear" w:color="auto" w:fill="auto"/>
          </w:tcPr>
          <w:p w14:paraId="7ECDD51C" w14:textId="77777777" w:rsidR="00A17C17" w:rsidRPr="00E70587" w:rsidRDefault="00A17C17" w:rsidP="009901E1">
            <w:pPr>
              <w:pStyle w:val="Tablecolumnheading"/>
              <w:spacing w:line="280" w:lineRule="exact"/>
              <w:ind w:left="245"/>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7510AD2D" w14:textId="77777777" w:rsidTr="009A5E2F">
        <w:tc>
          <w:tcPr>
            <w:tcW w:w="7740" w:type="dxa"/>
            <w:shd w:val="clear" w:color="auto" w:fill="auto"/>
            <w:tcMar>
              <w:right w:w="57" w:type="dxa"/>
            </w:tcMar>
            <w:vAlign w:val="bottom"/>
          </w:tcPr>
          <w:p w14:paraId="6F58B38C" w14:textId="19B1D053" w:rsidR="00A17C17" w:rsidRPr="00E70587" w:rsidRDefault="00A17C17" w:rsidP="009901E1">
            <w:pPr>
              <w:pStyle w:val="tabletext"/>
              <w:spacing w:line="280" w:lineRule="exact"/>
              <w:rPr>
                <w:rFonts w:ascii="Arial" w:hAnsi="Arial" w:cs="Arial"/>
                <w:sz w:val="20"/>
                <w:lang w:val="en-IN"/>
              </w:rPr>
            </w:pPr>
            <w:r w:rsidRPr="00E70587">
              <w:rPr>
                <w:rFonts w:ascii="Arial" w:hAnsi="Arial" w:cs="Arial"/>
                <w:b/>
                <w:sz w:val="20"/>
                <w:lang w:val="en-IN"/>
              </w:rPr>
              <w:t xml:space="preserve">Opening balance as at 1 April </w:t>
            </w:r>
            <w:r w:rsidR="007F3A78" w:rsidRPr="00E70587">
              <w:rPr>
                <w:rFonts w:ascii="Arial" w:hAnsi="Arial" w:cs="Arial"/>
                <w:b/>
                <w:sz w:val="20"/>
                <w:lang w:val="en-IN"/>
              </w:rPr>
              <w:t>20</w:t>
            </w:r>
            <w:r w:rsidR="007F3A78">
              <w:rPr>
                <w:rFonts w:ascii="Arial" w:hAnsi="Arial" w:cs="Arial"/>
                <w:b/>
                <w:sz w:val="20"/>
                <w:lang w:val="en-IN"/>
              </w:rPr>
              <w:t>20</w:t>
            </w:r>
          </w:p>
        </w:tc>
        <w:tc>
          <w:tcPr>
            <w:tcW w:w="1800" w:type="dxa"/>
            <w:tcBorders>
              <w:top w:val="single" w:sz="4" w:space="0" w:color="auto"/>
            </w:tcBorders>
            <w:shd w:val="clear" w:color="auto" w:fill="auto"/>
            <w:vAlign w:val="center"/>
          </w:tcPr>
          <w:p w14:paraId="38ECF21A" w14:textId="77777777" w:rsidR="00A17C17" w:rsidRPr="00E70587" w:rsidRDefault="00A17C17" w:rsidP="009901E1">
            <w:pPr>
              <w:spacing w:line="280" w:lineRule="exact"/>
              <w:ind w:firstLineChars="200" w:firstLine="400"/>
              <w:jc w:val="right"/>
              <w:rPr>
                <w:rFonts w:ascii="Arial" w:hAnsi="Arial" w:cs="Arial"/>
                <w:sz w:val="20"/>
              </w:rPr>
            </w:pPr>
            <w:r w:rsidRPr="00E70587">
              <w:rPr>
                <w:rFonts w:ascii="Arial" w:hAnsi="Arial" w:cs="Arial"/>
                <w:sz w:val="20"/>
              </w:rPr>
              <w:t xml:space="preserve"> -</w:t>
            </w:r>
          </w:p>
        </w:tc>
      </w:tr>
      <w:tr w:rsidR="00A17C17" w:rsidRPr="00E70587" w14:paraId="42729C50" w14:textId="77777777" w:rsidTr="009A5E2F">
        <w:tc>
          <w:tcPr>
            <w:tcW w:w="7740" w:type="dxa"/>
            <w:shd w:val="clear" w:color="auto" w:fill="auto"/>
            <w:tcMar>
              <w:right w:w="57" w:type="dxa"/>
            </w:tcMar>
            <w:vAlign w:val="bottom"/>
          </w:tcPr>
          <w:p w14:paraId="1BD0A078" w14:textId="77777777" w:rsidR="00A17C17" w:rsidRPr="00E70587" w:rsidRDefault="00A17C17" w:rsidP="009901E1">
            <w:pPr>
              <w:pStyle w:val="Notesbodytext"/>
              <w:spacing w:after="0" w:line="280" w:lineRule="exact"/>
              <w:rPr>
                <w:rFonts w:ascii="Arial" w:hAnsi="Arial"/>
                <w:color w:val="auto"/>
                <w:sz w:val="20"/>
              </w:rPr>
            </w:pPr>
            <w:r w:rsidRPr="00E70587">
              <w:rPr>
                <w:rFonts w:ascii="Arial" w:hAnsi="Arial"/>
                <w:color w:val="auto"/>
                <w:sz w:val="20"/>
              </w:rPr>
              <w:t xml:space="preserve">Liability arising on business combination </w:t>
            </w:r>
          </w:p>
        </w:tc>
        <w:tc>
          <w:tcPr>
            <w:tcW w:w="1800" w:type="dxa"/>
            <w:shd w:val="clear" w:color="auto" w:fill="auto"/>
          </w:tcPr>
          <w:p w14:paraId="2DA8DEA8" w14:textId="77777777" w:rsidR="00A17C17" w:rsidRPr="00E70587" w:rsidRDefault="00A17C17" w:rsidP="00666093">
            <w:pPr>
              <w:spacing w:line="280" w:lineRule="exact"/>
              <w:jc w:val="right"/>
              <w:rPr>
                <w:rFonts w:ascii="Arial" w:hAnsi="Arial" w:cs="Arial"/>
                <w:sz w:val="20"/>
              </w:rPr>
            </w:pPr>
            <w:r w:rsidRPr="00E70587">
              <w:rPr>
                <w:rFonts w:ascii="Arial" w:hAnsi="Arial" w:cs="Arial"/>
                <w:sz w:val="20"/>
              </w:rPr>
              <w:t xml:space="preserve"> 1,28</w:t>
            </w:r>
            <w:r w:rsidR="00666093" w:rsidRPr="00E70587">
              <w:rPr>
                <w:rFonts w:ascii="Arial" w:hAnsi="Arial" w:cs="Arial"/>
                <w:sz w:val="20"/>
              </w:rPr>
              <w:t>6</w:t>
            </w:r>
            <w:r w:rsidRPr="00E70587">
              <w:rPr>
                <w:rFonts w:ascii="Arial" w:hAnsi="Arial" w:cs="Arial"/>
                <w:sz w:val="20"/>
              </w:rPr>
              <w:t xml:space="preserve"> </w:t>
            </w:r>
          </w:p>
        </w:tc>
      </w:tr>
      <w:tr w:rsidR="00A17C17" w:rsidRPr="00E70587" w14:paraId="50649725" w14:textId="77777777" w:rsidTr="009A5E2F">
        <w:tc>
          <w:tcPr>
            <w:tcW w:w="7740" w:type="dxa"/>
            <w:shd w:val="clear" w:color="auto" w:fill="auto"/>
            <w:tcMar>
              <w:right w:w="57" w:type="dxa"/>
            </w:tcMar>
            <w:vAlign w:val="bottom"/>
          </w:tcPr>
          <w:p w14:paraId="41E37544" w14:textId="5591C29D" w:rsidR="00A17C17" w:rsidRPr="00E70587" w:rsidRDefault="00A17C17" w:rsidP="009901E1">
            <w:pPr>
              <w:pStyle w:val="Notesbodytext"/>
              <w:spacing w:after="0" w:line="280" w:lineRule="exact"/>
              <w:rPr>
                <w:rFonts w:ascii="Arial" w:hAnsi="Arial"/>
                <w:color w:val="auto"/>
                <w:sz w:val="20"/>
              </w:rPr>
            </w:pPr>
            <w:r w:rsidRPr="00E70587">
              <w:rPr>
                <w:rFonts w:ascii="Arial" w:hAnsi="Arial"/>
                <w:color w:val="auto"/>
                <w:sz w:val="20"/>
              </w:rPr>
              <w:t xml:space="preserve">Unrealised fair value changes recognised in profit </w:t>
            </w:r>
            <w:r w:rsidR="004B3123">
              <w:rPr>
                <w:rFonts w:ascii="Arial" w:hAnsi="Arial"/>
                <w:color w:val="auto"/>
                <w:sz w:val="20"/>
              </w:rPr>
              <w:t>or</w:t>
            </w:r>
            <w:r w:rsidR="00ED44F2" w:rsidRPr="00E70587">
              <w:rPr>
                <w:rFonts w:ascii="Arial" w:hAnsi="Arial"/>
                <w:color w:val="auto"/>
                <w:sz w:val="20"/>
              </w:rPr>
              <w:t xml:space="preserve"> </w:t>
            </w:r>
            <w:r w:rsidRPr="00E70587">
              <w:rPr>
                <w:rFonts w:ascii="Arial" w:hAnsi="Arial"/>
                <w:color w:val="auto"/>
                <w:sz w:val="20"/>
              </w:rPr>
              <w:t>loss</w:t>
            </w:r>
          </w:p>
        </w:tc>
        <w:tc>
          <w:tcPr>
            <w:tcW w:w="1800" w:type="dxa"/>
            <w:tcBorders>
              <w:bottom w:val="single" w:sz="4" w:space="0" w:color="auto"/>
            </w:tcBorders>
            <w:shd w:val="clear" w:color="auto" w:fill="auto"/>
          </w:tcPr>
          <w:p w14:paraId="4E168120"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644 </w:t>
            </w:r>
          </w:p>
        </w:tc>
      </w:tr>
      <w:tr w:rsidR="00A17C17" w:rsidRPr="00E70587" w14:paraId="186C37E4" w14:textId="77777777" w:rsidTr="009A5E2F">
        <w:tc>
          <w:tcPr>
            <w:tcW w:w="7740" w:type="dxa"/>
            <w:shd w:val="clear" w:color="auto" w:fill="auto"/>
            <w:tcMar>
              <w:right w:w="57" w:type="dxa"/>
            </w:tcMar>
            <w:vAlign w:val="bottom"/>
          </w:tcPr>
          <w:p w14:paraId="3E073D35" w14:textId="53E3DF4B" w:rsidR="00A17C17" w:rsidRPr="00E70587" w:rsidRDefault="00A17C17" w:rsidP="009901E1">
            <w:pPr>
              <w:pStyle w:val="tabletext"/>
              <w:spacing w:line="280" w:lineRule="exact"/>
              <w:rPr>
                <w:rFonts w:ascii="Arial" w:hAnsi="Arial" w:cs="Arial"/>
                <w:b/>
                <w:sz w:val="20"/>
                <w:lang w:val="en-IN"/>
              </w:rPr>
            </w:pPr>
            <w:r w:rsidRPr="00E70587">
              <w:rPr>
                <w:rFonts w:ascii="Arial" w:hAnsi="Arial" w:cs="Arial"/>
                <w:b/>
                <w:sz w:val="20"/>
                <w:lang w:val="en-IN"/>
              </w:rPr>
              <w:t xml:space="preserve">Closing balance as at 31 </w:t>
            </w:r>
            <w:r w:rsidR="00E1202D" w:rsidRPr="00E70587">
              <w:rPr>
                <w:rFonts w:ascii="Arial" w:hAnsi="Arial" w:cs="Arial"/>
                <w:b/>
                <w:sz w:val="20"/>
                <w:lang w:val="en-IN"/>
              </w:rPr>
              <w:t xml:space="preserve">March </w:t>
            </w:r>
            <w:r w:rsidR="007F3A78" w:rsidRPr="00E70587">
              <w:rPr>
                <w:rFonts w:ascii="Arial" w:hAnsi="Arial" w:cs="Arial"/>
                <w:b/>
                <w:sz w:val="20"/>
                <w:lang w:val="en-IN"/>
              </w:rPr>
              <w:t>20</w:t>
            </w:r>
            <w:r w:rsidR="007F3A78">
              <w:rPr>
                <w:rFonts w:ascii="Arial" w:hAnsi="Arial" w:cs="Arial"/>
                <w:b/>
                <w:sz w:val="20"/>
                <w:lang w:val="en-IN"/>
              </w:rPr>
              <w:t>21</w:t>
            </w:r>
          </w:p>
        </w:tc>
        <w:tc>
          <w:tcPr>
            <w:tcW w:w="1800" w:type="dxa"/>
            <w:tcBorders>
              <w:top w:val="single" w:sz="4" w:space="0" w:color="auto"/>
              <w:bottom w:val="double" w:sz="4" w:space="0" w:color="auto"/>
            </w:tcBorders>
            <w:shd w:val="clear" w:color="auto" w:fill="auto"/>
          </w:tcPr>
          <w:p w14:paraId="36C40122" w14:textId="77777777" w:rsidR="00A17C17" w:rsidRPr="00E70587" w:rsidRDefault="00A17C17" w:rsidP="009901E1">
            <w:pPr>
              <w:spacing w:line="280" w:lineRule="exact"/>
              <w:jc w:val="right"/>
              <w:rPr>
                <w:rFonts w:ascii="Arial" w:hAnsi="Arial" w:cs="Arial"/>
                <w:b/>
                <w:sz w:val="20"/>
              </w:rPr>
            </w:pPr>
            <w:r w:rsidRPr="00E70587">
              <w:rPr>
                <w:rFonts w:ascii="Arial" w:hAnsi="Arial" w:cs="Arial"/>
                <w:b/>
                <w:sz w:val="20"/>
              </w:rPr>
              <w:t xml:space="preserve"> 1,930 </w:t>
            </w:r>
          </w:p>
        </w:tc>
      </w:tr>
    </w:tbl>
    <w:p w14:paraId="0AA8E4B2" w14:textId="77777777" w:rsidR="00B149EF" w:rsidRPr="00E70587" w:rsidRDefault="00B149EF" w:rsidP="009901E1">
      <w:pPr>
        <w:spacing w:line="280" w:lineRule="exact"/>
        <w:ind w:right="936"/>
        <w:rPr>
          <w:rFonts w:ascii="Arial" w:hAnsi="Arial" w:cs="Arial"/>
          <w:sz w:val="20"/>
        </w:rPr>
      </w:pPr>
    </w:p>
    <w:tbl>
      <w:tblPr>
        <w:tblW w:w="9576" w:type="dxa"/>
        <w:tblLook w:val="0000" w:firstRow="0" w:lastRow="0" w:firstColumn="0" w:lastColumn="0" w:noHBand="0" w:noVBand="0"/>
      </w:tblPr>
      <w:tblGrid>
        <w:gridCol w:w="9576"/>
      </w:tblGrid>
      <w:tr w:rsidR="00A17C17" w:rsidRPr="00E70587" w14:paraId="7DD6A07E" w14:textId="77777777" w:rsidTr="009A5E2F">
        <w:tc>
          <w:tcPr>
            <w:tcW w:w="0" w:type="auto"/>
          </w:tcPr>
          <w:p w14:paraId="0C5A435B" w14:textId="67FA2D6A" w:rsidR="00A17C17" w:rsidRPr="00E70587" w:rsidRDefault="00A17C17" w:rsidP="00F53583">
            <w:pPr>
              <w:spacing w:line="280" w:lineRule="exact"/>
              <w:jc w:val="both"/>
              <w:rPr>
                <w:rFonts w:ascii="Arial" w:hAnsi="Arial" w:cs="Arial"/>
                <w:sz w:val="20"/>
              </w:rPr>
            </w:pPr>
            <w:r w:rsidRPr="00E70587">
              <w:rPr>
                <w:rFonts w:ascii="Arial" w:hAnsi="Arial" w:cs="Arial"/>
                <w:sz w:val="20"/>
              </w:rPr>
              <w:t xml:space="preserve">The fair value of contingent consideration liability increased due to a significantly improved performance of Extinguishers Limited compared to the budget. The contingent consideration liability is due for final measurement and payment to the former shareholders on 31 October </w:t>
            </w:r>
            <w:r w:rsidR="007F3A78" w:rsidRPr="00E70587">
              <w:rPr>
                <w:rFonts w:ascii="Arial" w:hAnsi="Arial" w:cs="Arial"/>
                <w:sz w:val="20"/>
              </w:rPr>
              <w:t>20</w:t>
            </w:r>
            <w:r w:rsidR="007F3A78">
              <w:rPr>
                <w:rFonts w:ascii="Arial" w:hAnsi="Arial" w:cs="Arial"/>
                <w:sz w:val="20"/>
              </w:rPr>
              <w:t>21</w:t>
            </w:r>
            <w:r w:rsidRPr="00E70587">
              <w:rPr>
                <w:rFonts w:ascii="Arial" w:hAnsi="Arial" w:cs="Arial"/>
                <w:sz w:val="20"/>
              </w:rPr>
              <w:t>.</w:t>
            </w:r>
          </w:p>
        </w:tc>
      </w:tr>
    </w:tbl>
    <w:p w14:paraId="2DD808F2" w14:textId="77777777" w:rsidR="00B149EF" w:rsidRPr="00E70587" w:rsidRDefault="00B149EF" w:rsidP="009901E1">
      <w:pPr>
        <w:spacing w:line="280" w:lineRule="exact"/>
        <w:ind w:right="936"/>
        <w:jc w:val="both"/>
        <w:rPr>
          <w:rFonts w:ascii="Arial" w:hAnsi="Arial" w:cs="Arial"/>
          <w:sz w:val="20"/>
        </w:rPr>
      </w:pPr>
    </w:p>
    <w:tbl>
      <w:tblPr>
        <w:tblStyle w:val="TableGrid"/>
        <w:tblW w:w="0" w:type="auto"/>
        <w:tblLook w:val="04A0" w:firstRow="1" w:lastRow="0" w:firstColumn="1" w:lastColumn="0" w:noHBand="0" w:noVBand="1"/>
      </w:tblPr>
      <w:tblGrid>
        <w:gridCol w:w="9350"/>
      </w:tblGrid>
      <w:tr w:rsidR="00F53583" w:rsidRPr="00E70587" w14:paraId="54386DD9" w14:textId="77777777" w:rsidTr="00F53583">
        <w:tc>
          <w:tcPr>
            <w:tcW w:w="9576" w:type="dxa"/>
            <w:shd w:val="clear" w:color="auto" w:fill="A2A2A2" w:themeFill="background1" w:themeFillTint="99"/>
          </w:tcPr>
          <w:p w14:paraId="53DBF977" w14:textId="77777777" w:rsidR="00F53583" w:rsidRPr="00E70587" w:rsidRDefault="00F53583" w:rsidP="00F53583">
            <w:pPr>
              <w:spacing w:line="280" w:lineRule="exact"/>
              <w:jc w:val="both"/>
              <w:rPr>
                <w:rFonts w:ascii="Arial" w:hAnsi="Arial" w:cs="Arial"/>
                <w:b/>
                <w:sz w:val="20"/>
              </w:rPr>
            </w:pPr>
            <w:r w:rsidRPr="00E70587">
              <w:rPr>
                <w:rFonts w:ascii="Arial" w:hAnsi="Arial" w:cs="Arial"/>
                <w:b/>
                <w:sz w:val="20"/>
              </w:rPr>
              <w:t>Authors’ note</w:t>
            </w:r>
          </w:p>
          <w:p w14:paraId="38FE23FF" w14:textId="77777777" w:rsidR="00F53583" w:rsidRPr="00E70587" w:rsidRDefault="00F53583" w:rsidP="00F53583">
            <w:pPr>
              <w:spacing w:line="280" w:lineRule="exact"/>
              <w:jc w:val="both"/>
              <w:rPr>
                <w:rFonts w:ascii="Arial" w:hAnsi="Arial" w:cs="Arial"/>
                <w:sz w:val="20"/>
              </w:rPr>
            </w:pPr>
          </w:p>
          <w:p w14:paraId="08B7B858" w14:textId="77777777" w:rsidR="00F53583" w:rsidRPr="00E70587" w:rsidRDefault="00F53583" w:rsidP="00F53583">
            <w:pPr>
              <w:spacing w:line="280" w:lineRule="exact"/>
              <w:jc w:val="both"/>
              <w:rPr>
                <w:rFonts w:ascii="Arial" w:hAnsi="Arial" w:cs="Arial"/>
                <w:sz w:val="20"/>
              </w:rPr>
            </w:pPr>
            <w:r w:rsidRPr="00E70587">
              <w:rPr>
                <w:rFonts w:ascii="Arial" w:hAnsi="Arial" w:cs="Arial"/>
                <w:sz w:val="20"/>
              </w:rPr>
              <w:t>The classification of a contingent consideration requires an analysis of the individual facts and circumstances. It may be classified as follows: equity or a financial liability in accordance with Ind-AS 32 and Ind-AS 109; a provision in accordance with Ind-AS 37; or in accordance with other standards, each resulting in different initial recognition and subsequent measurement. The Group has determined that it has a contractual obligation to deliver cash to the seller and therefore it has assessed the same to be a financial liability (Ind-AS 32.11). Consequently, the Group is required to re-measure that liability at fair value at each reporting date (Ind-AS 103.58(b)(</w:t>
            </w:r>
            <w:proofErr w:type="spellStart"/>
            <w:r w:rsidRPr="00E70587">
              <w:rPr>
                <w:rFonts w:ascii="Arial" w:hAnsi="Arial" w:cs="Arial"/>
                <w:sz w:val="20"/>
              </w:rPr>
              <w:t>i</w:t>
            </w:r>
            <w:proofErr w:type="spellEnd"/>
            <w:r w:rsidRPr="00E70587">
              <w:rPr>
                <w:rFonts w:ascii="Arial" w:hAnsi="Arial" w:cs="Arial"/>
                <w:sz w:val="20"/>
              </w:rPr>
              <w:t>)).</w:t>
            </w:r>
          </w:p>
          <w:p w14:paraId="0B27BF1F" w14:textId="77777777" w:rsidR="00E3271E" w:rsidRPr="00E70587" w:rsidRDefault="00E3271E" w:rsidP="00F53583">
            <w:pPr>
              <w:spacing w:line="280" w:lineRule="exact"/>
              <w:jc w:val="both"/>
              <w:rPr>
                <w:rFonts w:ascii="Arial" w:hAnsi="Arial" w:cs="Arial"/>
                <w:sz w:val="20"/>
              </w:rPr>
            </w:pPr>
          </w:p>
          <w:p w14:paraId="0EDBAFC1" w14:textId="77777777" w:rsidR="00E3271E" w:rsidRPr="00E70587" w:rsidRDefault="00E3271E" w:rsidP="00F53583">
            <w:pPr>
              <w:spacing w:line="280" w:lineRule="exact"/>
              <w:jc w:val="both"/>
              <w:rPr>
                <w:rFonts w:ascii="Arial" w:hAnsi="Arial" w:cs="Arial"/>
                <w:sz w:val="20"/>
              </w:rPr>
            </w:pPr>
            <w:r w:rsidRPr="00E70587">
              <w:rPr>
                <w:rFonts w:ascii="Arial" w:hAnsi="Arial" w:cs="Arial"/>
                <w:sz w:val="20"/>
              </w:rPr>
              <w:t>As part of the business combination, contingent payments to employees or selling shareholders are a common method of retention of key people for the combined entity. The nature of such contingent payments, however, needs to be evaluated in each individual circumstance as not all such payments qualify as contingent consideration, but are accounted for as a separate transaction. For example, contingent payments that are unrelated to the future service of the employee are deemed contingent consideration, whereas contingent payments that are forfeited when the employment is terminated, are deemed remuneration. Paragraphs B54 – B55 of Ind AS 103 provide further guidance</w:t>
            </w:r>
          </w:p>
          <w:p w14:paraId="1CF22807" w14:textId="77777777" w:rsidR="00E3271E" w:rsidRPr="00E70587" w:rsidRDefault="00E3271E" w:rsidP="00F53583">
            <w:pPr>
              <w:spacing w:line="280" w:lineRule="exact"/>
              <w:jc w:val="both"/>
              <w:rPr>
                <w:rFonts w:ascii="Arial" w:hAnsi="Arial" w:cs="Arial"/>
                <w:sz w:val="20"/>
              </w:rPr>
            </w:pPr>
          </w:p>
          <w:p w14:paraId="10F64EC4" w14:textId="03AD2E4D" w:rsidR="00E3271E" w:rsidRPr="00E70587" w:rsidRDefault="00E3271E" w:rsidP="00F53583">
            <w:pPr>
              <w:spacing w:line="280" w:lineRule="exact"/>
              <w:jc w:val="both"/>
              <w:rPr>
                <w:rFonts w:ascii="Arial" w:hAnsi="Arial" w:cs="Arial"/>
                <w:sz w:val="20"/>
              </w:rPr>
            </w:pPr>
            <w:r w:rsidRPr="00E70587">
              <w:rPr>
                <w:rFonts w:ascii="Arial" w:hAnsi="Arial" w:cs="Arial"/>
                <w:sz w:val="20"/>
              </w:rPr>
              <w:t xml:space="preserve">Under Ind AS 113.93(h)(ii), for recurring fair value measurement of financial assets and financial liabilities at Level 3 of the hierarchy, if changing one or more of the unobservable inputs to reflect reasonably possible alternative assumptions would change the fair value significantly, an entity is required to state that fact and disclose the effect of changes. The entity is also required to state how the effect of a change to reflect a reasonably possible alternative assumption was calculated. For this purpose, significance shall be judged with respect to profit </w:t>
            </w:r>
            <w:r w:rsidR="004B3123">
              <w:rPr>
                <w:rFonts w:ascii="Arial" w:hAnsi="Arial" w:cs="Arial"/>
                <w:sz w:val="20"/>
              </w:rPr>
              <w:t xml:space="preserve">or </w:t>
            </w:r>
            <w:r w:rsidRPr="00E70587">
              <w:rPr>
                <w:rFonts w:ascii="Arial" w:hAnsi="Arial" w:cs="Arial"/>
                <w:sz w:val="20"/>
              </w:rPr>
              <w:t xml:space="preserve">loss, and total assets or total liabilities, or, when changes in fair value are recognised in OCI, total equity. In the case of the contingent consideration liability recognised </w:t>
            </w:r>
            <w:r w:rsidRPr="00E70587">
              <w:rPr>
                <w:rFonts w:ascii="Arial" w:hAnsi="Arial" w:cs="Arial"/>
                <w:sz w:val="20"/>
              </w:rPr>
              <w:lastRenderedPageBreak/>
              <w:t>by the Group, the changes in unobservable inputs other than those disclosed in the note above, were assessed to be insignificant.</w:t>
            </w:r>
          </w:p>
        </w:tc>
      </w:tr>
    </w:tbl>
    <w:p w14:paraId="13DB03F6" w14:textId="77777777" w:rsidR="00F53583" w:rsidRPr="00E70587" w:rsidRDefault="00F53583" w:rsidP="009901E1">
      <w:pPr>
        <w:spacing w:line="280" w:lineRule="exact"/>
        <w:ind w:right="936"/>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17C17" w:rsidRPr="00E70587" w14:paraId="1A48AEA3" w14:textId="77777777" w:rsidTr="009A5E2F">
        <w:tc>
          <w:tcPr>
            <w:tcW w:w="0" w:type="auto"/>
            <w:tcBorders>
              <w:top w:val="nil"/>
              <w:left w:val="nil"/>
              <w:bottom w:val="nil"/>
              <w:right w:val="nil"/>
            </w:tcBorders>
          </w:tcPr>
          <w:p w14:paraId="5433BDF2" w14:textId="77777777" w:rsidR="00A17C17" w:rsidRPr="00E70587" w:rsidRDefault="00A17C17" w:rsidP="00F53583">
            <w:pPr>
              <w:pStyle w:val="Notesitalicheading"/>
              <w:spacing w:line="280" w:lineRule="exact"/>
              <w:jc w:val="both"/>
              <w:rPr>
                <w:rFonts w:ascii="Arial" w:hAnsi="Arial"/>
                <w:i w:val="0"/>
                <w:color w:val="auto"/>
                <w:sz w:val="20"/>
              </w:rPr>
            </w:pPr>
            <w:r w:rsidRPr="00E70587">
              <w:rPr>
                <w:rFonts w:ascii="Arial" w:hAnsi="Arial"/>
                <w:i w:val="0"/>
                <w:color w:val="auto"/>
                <w:sz w:val="20"/>
              </w:rPr>
              <w:t>Acquisition of additional interest in Lightbulbs Limited</w:t>
            </w:r>
          </w:p>
          <w:p w14:paraId="600AD4FD" w14:textId="77777777" w:rsidR="00F53583" w:rsidRPr="00E70587" w:rsidRDefault="00F53583" w:rsidP="00F53583">
            <w:pPr>
              <w:pStyle w:val="Notesbodytext"/>
              <w:spacing w:after="0" w:line="280" w:lineRule="exact"/>
              <w:rPr>
                <w:rFonts w:ascii="Arial" w:hAnsi="Arial"/>
                <w:color w:val="auto"/>
                <w:sz w:val="20"/>
              </w:rPr>
            </w:pPr>
          </w:p>
          <w:p w14:paraId="1A99D337" w14:textId="25D5FDF1" w:rsidR="00A17C17" w:rsidRPr="00E70587" w:rsidRDefault="00A17C17" w:rsidP="00862851">
            <w:pPr>
              <w:pStyle w:val="Notesbodytext"/>
              <w:spacing w:after="0" w:line="280" w:lineRule="exact"/>
              <w:jc w:val="both"/>
              <w:rPr>
                <w:rFonts w:ascii="Arial" w:hAnsi="Arial"/>
                <w:i/>
                <w:color w:val="auto"/>
                <w:sz w:val="20"/>
              </w:rPr>
            </w:pPr>
            <w:r w:rsidRPr="00E70587">
              <w:rPr>
                <w:rFonts w:ascii="Arial" w:hAnsi="Arial"/>
                <w:color w:val="auto"/>
                <w:sz w:val="20"/>
              </w:rPr>
              <w:t xml:space="preserve">On 1 October </w:t>
            </w:r>
            <w:r w:rsidR="002F3131" w:rsidRPr="00E70587">
              <w:rPr>
                <w:rFonts w:ascii="Arial" w:hAnsi="Arial"/>
                <w:color w:val="auto"/>
                <w:sz w:val="20"/>
              </w:rPr>
              <w:t>20</w:t>
            </w:r>
            <w:r w:rsidR="002F3131">
              <w:rPr>
                <w:rFonts w:ascii="Arial" w:hAnsi="Arial"/>
                <w:color w:val="auto"/>
                <w:sz w:val="20"/>
              </w:rPr>
              <w:t>20</w:t>
            </w:r>
            <w:r w:rsidRPr="00E70587">
              <w:rPr>
                <w:rFonts w:ascii="Arial" w:hAnsi="Arial"/>
                <w:color w:val="auto"/>
                <w:sz w:val="20"/>
              </w:rPr>
              <w:t xml:space="preserve">, the Group acquired an additional 7.4% interest in the voting shares of Lightbulbs Limited, increasing its ownership interest to 87.4%. Cash consideration of INR </w:t>
            </w:r>
            <w:r w:rsidR="003F77B0" w:rsidRPr="00E70587">
              <w:rPr>
                <w:rFonts w:ascii="Arial" w:hAnsi="Arial"/>
                <w:color w:val="auto"/>
                <w:sz w:val="20"/>
              </w:rPr>
              <w:t xml:space="preserve">585 </w:t>
            </w:r>
            <w:r w:rsidRPr="00E70587">
              <w:rPr>
                <w:rFonts w:ascii="Arial" w:hAnsi="Arial"/>
                <w:color w:val="auto"/>
                <w:sz w:val="20"/>
              </w:rPr>
              <w:t xml:space="preserve">was paid to the non-controlling shareholders. The carrying value of the net assets of Lightbulbs Limited (excluding goodwill on the original acquisition) was INR </w:t>
            </w:r>
            <w:r w:rsidR="003F77B0" w:rsidRPr="00E70587">
              <w:rPr>
                <w:rFonts w:ascii="Arial" w:hAnsi="Arial"/>
                <w:color w:val="auto"/>
                <w:sz w:val="20"/>
              </w:rPr>
              <w:t>3</w:t>
            </w:r>
            <w:r w:rsidR="00E3271E" w:rsidRPr="00E70587">
              <w:rPr>
                <w:rFonts w:ascii="Arial" w:hAnsi="Arial"/>
                <w:color w:val="auto"/>
                <w:sz w:val="20"/>
              </w:rPr>
              <w:t>,</w:t>
            </w:r>
            <w:r w:rsidR="003F77B0" w:rsidRPr="00E70587">
              <w:rPr>
                <w:rFonts w:ascii="Arial" w:hAnsi="Arial"/>
                <w:color w:val="auto"/>
                <w:sz w:val="20"/>
              </w:rPr>
              <w:t>079</w:t>
            </w:r>
            <w:r w:rsidRPr="00E70587">
              <w:rPr>
                <w:rFonts w:ascii="Arial" w:hAnsi="Arial"/>
                <w:color w:val="auto"/>
                <w:sz w:val="20"/>
              </w:rPr>
              <w:t xml:space="preserve">. </w:t>
            </w:r>
            <w:r w:rsidR="00862851" w:rsidRPr="00E70587">
              <w:rPr>
                <w:rFonts w:ascii="Arial" w:hAnsi="Arial"/>
                <w:color w:val="auto"/>
                <w:sz w:val="20"/>
              </w:rPr>
              <w:t xml:space="preserve">The carrying value of the additional interest acquired at the date of acquisition was INR 243. </w:t>
            </w:r>
            <w:r w:rsidRPr="00E70587">
              <w:rPr>
                <w:rFonts w:ascii="Arial" w:hAnsi="Arial"/>
                <w:color w:val="auto"/>
                <w:sz w:val="20"/>
              </w:rPr>
              <w:t>Following is a schedule of additional interest acquired in Lightbulbs Limited:</w:t>
            </w:r>
          </w:p>
        </w:tc>
      </w:tr>
    </w:tbl>
    <w:p w14:paraId="71606BE5" w14:textId="77777777" w:rsidR="00394EDE" w:rsidRPr="00E70587" w:rsidRDefault="00394EDE" w:rsidP="009901E1">
      <w:pPr>
        <w:pStyle w:val="Notesbodytext"/>
        <w:spacing w:after="0" w:line="280" w:lineRule="exact"/>
        <w:rPr>
          <w:rFonts w:ascii="Arial" w:hAnsi="Arial"/>
          <w:color w:val="auto"/>
          <w:sz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60"/>
        <w:gridCol w:w="1716"/>
      </w:tblGrid>
      <w:tr w:rsidR="00A17C17" w:rsidRPr="00E70587" w14:paraId="360BBE50" w14:textId="77777777" w:rsidTr="009A5E2F">
        <w:tc>
          <w:tcPr>
            <w:tcW w:w="7830" w:type="dxa"/>
          </w:tcPr>
          <w:p w14:paraId="1B181160" w14:textId="77777777" w:rsidR="00A17C17" w:rsidRPr="00E70587" w:rsidRDefault="00A17C17" w:rsidP="009901E1">
            <w:pPr>
              <w:pStyle w:val="Notesbodytext"/>
              <w:spacing w:after="0" w:line="280" w:lineRule="exact"/>
              <w:rPr>
                <w:rFonts w:ascii="Arial" w:hAnsi="Arial"/>
                <w:color w:val="auto"/>
                <w:sz w:val="20"/>
              </w:rPr>
            </w:pPr>
          </w:p>
        </w:tc>
        <w:tc>
          <w:tcPr>
            <w:tcW w:w="1710" w:type="dxa"/>
            <w:tcBorders>
              <w:bottom w:val="single" w:sz="4" w:space="0" w:color="auto"/>
            </w:tcBorders>
          </w:tcPr>
          <w:p w14:paraId="055F59FC" w14:textId="77777777" w:rsidR="00A17C17" w:rsidRPr="00E70587" w:rsidRDefault="00A17C17" w:rsidP="009901E1">
            <w:pPr>
              <w:pStyle w:val="Notesbodytext"/>
              <w:spacing w:after="0" w:line="280" w:lineRule="exact"/>
              <w:rPr>
                <w:rFonts w:ascii="Arial" w:hAnsi="Arial"/>
                <w:b/>
                <w:color w:val="auto"/>
                <w:sz w:val="20"/>
              </w:rPr>
            </w:pPr>
            <w:r w:rsidRPr="00E70587">
              <w:rPr>
                <w:rFonts w:ascii="Arial" w:hAnsi="Arial"/>
                <w:b/>
                <w:color w:val="auto"/>
                <w:sz w:val="20"/>
              </w:rPr>
              <w:t>INR Lacs</w:t>
            </w:r>
          </w:p>
        </w:tc>
      </w:tr>
      <w:tr w:rsidR="00A17C17" w:rsidRPr="00E70587" w14:paraId="313192C3" w14:textId="77777777" w:rsidTr="009A5E2F">
        <w:tc>
          <w:tcPr>
            <w:tcW w:w="7830" w:type="dxa"/>
          </w:tcPr>
          <w:p w14:paraId="7B90CB84" w14:textId="77777777" w:rsidR="00A17C17" w:rsidRPr="00E70587" w:rsidRDefault="00A17C17" w:rsidP="009901E1">
            <w:pPr>
              <w:pStyle w:val="Notesbodytext"/>
              <w:spacing w:after="0" w:line="280" w:lineRule="exact"/>
              <w:rPr>
                <w:rFonts w:ascii="Arial" w:hAnsi="Arial"/>
                <w:color w:val="auto"/>
                <w:sz w:val="20"/>
              </w:rPr>
            </w:pPr>
            <w:r w:rsidRPr="00E70587">
              <w:rPr>
                <w:rFonts w:ascii="Arial" w:hAnsi="Arial"/>
                <w:color w:val="auto"/>
                <w:sz w:val="20"/>
              </w:rPr>
              <w:t>Cash consideration paid to non-controlling shareholders</w:t>
            </w:r>
          </w:p>
        </w:tc>
        <w:tc>
          <w:tcPr>
            <w:tcW w:w="1710" w:type="dxa"/>
          </w:tcPr>
          <w:p w14:paraId="7CDC7997"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585</w:t>
            </w:r>
          </w:p>
        </w:tc>
      </w:tr>
      <w:tr w:rsidR="00A17C17" w:rsidRPr="00E70587" w14:paraId="48E682DD" w14:textId="77777777" w:rsidTr="009A5E2F">
        <w:tc>
          <w:tcPr>
            <w:tcW w:w="7830" w:type="dxa"/>
          </w:tcPr>
          <w:p w14:paraId="55D814E3" w14:textId="77777777" w:rsidR="00A17C17" w:rsidRPr="00E70587" w:rsidRDefault="00A17C17" w:rsidP="009901E1">
            <w:pPr>
              <w:pStyle w:val="Notesbodytext"/>
              <w:spacing w:after="0" w:line="280" w:lineRule="exact"/>
              <w:rPr>
                <w:rFonts w:ascii="Arial" w:hAnsi="Arial"/>
                <w:color w:val="auto"/>
                <w:sz w:val="20"/>
              </w:rPr>
            </w:pPr>
            <w:r w:rsidRPr="00E70587">
              <w:rPr>
                <w:rFonts w:ascii="Arial" w:hAnsi="Arial"/>
                <w:color w:val="auto"/>
                <w:sz w:val="20"/>
              </w:rPr>
              <w:t>Carrying value of the additional interest in Lightbulbs Limited</w:t>
            </w:r>
          </w:p>
        </w:tc>
        <w:tc>
          <w:tcPr>
            <w:tcW w:w="1710" w:type="dxa"/>
            <w:tcBorders>
              <w:bottom w:val="single" w:sz="4" w:space="0" w:color="auto"/>
            </w:tcBorders>
          </w:tcPr>
          <w:p w14:paraId="5DA61E55"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(243)</w:t>
            </w:r>
          </w:p>
        </w:tc>
      </w:tr>
      <w:tr w:rsidR="00A17C17" w:rsidRPr="00E70587" w14:paraId="4E371BD2" w14:textId="77777777" w:rsidTr="009A5E2F">
        <w:tc>
          <w:tcPr>
            <w:tcW w:w="7830" w:type="dxa"/>
          </w:tcPr>
          <w:p w14:paraId="4E3725E9"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b/>
                <w:sz w:val="20"/>
                <w:lang w:val="en-IN"/>
              </w:rPr>
              <w:t>Difference recognised in retained earnings within equity</w:t>
            </w:r>
          </w:p>
        </w:tc>
        <w:tc>
          <w:tcPr>
            <w:tcW w:w="1710" w:type="dxa"/>
            <w:tcBorders>
              <w:top w:val="single" w:sz="4" w:space="0" w:color="auto"/>
            </w:tcBorders>
          </w:tcPr>
          <w:p w14:paraId="34B63C61"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342</w:t>
            </w:r>
          </w:p>
        </w:tc>
      </w:tr>
    </w:tbl>
    <w:tbl>
      <w:tblPr>
        <w:tblW w:w="9576" w:type="dxa"/>
        <w:tblLook w:val="0000" w:firstRow="0" w:lastRow="0" w:firstColumn="0" w:lastColumn="0" w:noHBand="0" w:noVBand="0"/>
      </w:tblPr>
      <w:tblGrid>
        <w:gridCol w:w="9576"/>
      </w:tblGrid>
      <w:tr w:rsidR="00A17C17" w:rsidRPr="00E70587" w14:paraId="6FC761E8" w14:textId="77777777" w:rsidTr="009A5E2F">
        <w:tc>
          <w:tcPr>
            <w:tcW w:w="0" w:type="auto"/>
          </w:tcPr>
          <w:p w14:paraId="3333252D" w14:textId="77777777" w:rsidR="00A17C17" w:rsidRPr="00E70587" w:rsidRDefault="00A17C17" w:rsidP="00F53583">
            <w:pPr>
              <w:pStyle w:val="Notesbodytext"/>
              <w:spacing w:after="0" w:line="280" w:lineRule="exact"/>
              <w:jc w:val="both"/>
              <w:rPr>
                <w:rFonts w:ascii="Arial" w:hAnsi="Arial"/>
                <w:color w:val="auto"/>
                <w:sz w:val="20"/>
              </w:rPr>
            </w:pPr>
          </w:p>
          <w:p w14:paraId="4C25F9AD" w14:textId="1D7BC259" w:rsidR="00A17C17" w:rsidRPr="00E70587" w:rsidRDefault="00A17C17" w:rsidP="00F53583">
            <w:pPr>
              <w:pStyle w:val="Heading4"/>
              <w:spacing w:before="0" w:after="0" w:line="280" w:lineRule="exact"/>
              <w:jc w:val="both"/>
              <w:rPr>
                <w:rFonts w:ascii="Arial" w:hAnsi="Arial" w:cs="Arial"/>
                <w:szCs w:val="20"/>
              </w:rPr>
            </w:pPr>
            <w:r w:rsidRPr="00E70587">
              <w:rPr>
                <w:rFonts w:ascii="Arial" w:hAnsi="Arial" w:cs="Arial"/>
                <w:szCs w:val="20"/>
              </w:rPr>
              <w:t xml:space="preserve">Acquisitions during the year ended 31 </w:t>
            </w:r>
            <w:r w:rsidR="008B730E" w:rsidRPr="00E70587">
              <w:rPr>
                <w:rFonts w:ascii="Arial" w:hAnsi="Arial" w:cs="Arial"/>
                <w:szCs w:val="20"/>
              </w:rPr>
              <w:t xml:space="preserve">March </w:t>
            </w:r>
            <w:r w:rsidR="002F3131" w:rsidRPr="00E70587">
              <w:rPr>
                <w:rFonts w:ascii="Arial" w:hAnsi="Arial" w:cs="Arial"/>
                <w:szCs w:val="20"/>
              </w:rPr>
              <w:t>20</w:t>
            </w:r>
            <w:r w:rsidR="002F3131">
              <w:rPr>
                <w:rFonts w:ascii="Arial" w:hAnsi="Arial" w:cs="Arial"/>
                <w:szCs w:val="20"/>
              </w:rPr>
              <w:t>20</w:t>
            </w:r>
          </w:p>
          <w:p w14:paraId="67E842E1" w14:textId="77777777" w:rsidR="00F53583" w:rsidRPr="00E70587" w:rsidRDefault="00F53583" w:rsidP="00F53583">
            <w:pPr>
              <w:pStyle w:val="Notesbodytext"/>
              <w:spacing w:after="0" w:line="280" w:lineRule="exact"/>
              <w:jc w:val="both"/>
              <w:rPr>
                <w:rFonts w:ascii="Arial" w:hAnsi="Arial"/>
                <w:color w:val="auto"/>
                <w:sz w:val="20"/>
              </w:rPr>
            </w:pPr>
          </w:p>
          <w:p w14:paraId="545A9431" w14:textId="77777777" w:rsidR="00862851" w:rsidRPr="00E70587" w:rsidRDefault="00862851" w:rsidP="00862851">
            <w:pPr>
              <w:pStyle w:val="Notesitalicheading"/>
              <w:spacing w:line="280" w:lineRule="exact"/>
              <w:jc w:val="both"/>
              <w:rPr>
                <w:rFonts w:ascii="Arial" w:hAnsi="Arial"/>
                <w:i w:val="0"/>
                <w:color w:val="auto"/>
                <w:sz w:val="20"/>
              </w:rPr>
            </w:pPr>
            <w:r w:rsidRPr="00E70587">
              <w:rPr>
                <w:rFonts w:ascii="Arial" w:hAnsi="Arial"/>
                <w:i w:val="0"/>
                <w:color w:val="auto"/>
                <w:sz w:val="20"/>
              </w:rPr>
              <w:t>Acquisition of Lightbulbs Limited</w:t>
            </w:r>
          </w:p>
          <w:p w14:paraId="31F40F91" w14:textId="77777777" w:rsidR="00862851" w:rsidRPr="00E70587" w:rsidRDefault="00862851" w:rsidP="00862851">
            <w:pPr>
              <w:pStyle w:val="Notesbodytext"/>
              <w:spacing w:after="0" w:line="280" w:lineRule="exact"/>
              <w:rPr>
                <w:rFonts w:ascii="Arial" w:hAnsi="Arial"/>
                <w:color w:val="auto"/>
                <w:sz w:val="20"/>
              </w:rPr>
            </w:pPr>
          </w:p>
          <w:p w14:paraId="7B05F980" w14:textId="2FDB81DC" w:rsidR="00A17C17" w:rsidRPr="00E70587" w:rsidRDefault="00A17C17" w:rsidP="00F53583">
            <w:pPr>
              <w:pStyle w:val="Notesbodytext"/>
              <w:spacing w:after="0" w:line="280" w:lineRule="exact"/>
              <w:jc w:val="both"/>
              <w:rPr>
                <w:rFonts w:ascii="Arial" w:hAnsi="Arial"/>
                <w:color w:val="auto"/>
                <w:sz w:val="20"/>
              </w:rPr>
            </w:pPr>
            <w:r w:rsidRPr="00E70587">
              <w:rPr>
                <w:rFonts w:ascii="Arial" w:hAnsi="Arial"/>
                <w:color w:val="auto"/>
                <w:sz w:val="20"/>
              </w:rPr>
              <w:t xml:space="preserve">On 1 December </w:t>
            </w:r>
            <w:r w:rsidR="00F9279D" w:rsidRPr="00E70587">
              <w:rPr>
                <w:rFonts w:ascii="Arial" w:hAnsi="Arial"/>
                <w:color w:val="auto"/>
                <w:sz w:val="20"/>
              </w:rPr>
              <w:t>201</w:t>
            </w:r>
            <w:r w:rsidR="00F9279D">
              <w:rPr>
                <w:rFonts w:ascii="Arial" w:hAnsi="Arial"/>
                <w:color w:val="auto"/>
                <w:sz w:val="20"/>
              </w:rPr>
              <w:t>9</w:t>
            </w:r>
            <w:r w:rsidRPr="00E70587">
              <w:rPr>
                <w:rFonts w:ascii="Arial" w:hAnsi="Arial"/>
                <w:color w:val="auto"/>
                <w:sz w:val="20"/>
              </w:rPr>
              <w:t>, the Group acquired 80% of the voting shares of Lightbulbs Limited, a company based in India, specialising in the production and distribution of Lightbulbs. The Group acquired this business to enlarge the range of products in the electronics segment.</w:t>
            </w:r>
          </w:p>
          <w:p w14:paraId="2F419CCF" w14:textId="77777777" w:rsidR="00A17C17" w:rsidRPr="00E70587" w:rsidRDefault="00A17C17" w:rsidP="00F53583">
            <w:pPr>
              <w:pStyle w:val="Notesbodytext"/>
              <w:spacing w:after="0" w:line="280" w:lineRule="exact"/>
              <w:jc w:val="both"/>
              <w:rPr>
                <w:rFonts w:ascii="Arial" w:hAnsi="Arial"/>
                <w:color w:val="auto"/>
                <w:sz w:val="20"/>
              </w:rPr>
            </w:pPr>
          </w:p>
          <w:p w14:paraId="03298E0A" w14:textId="77777777" w:rsidR="00A17C17" w:rsidRPr="00E70587" w:rsidRDefault="00A17C17" w:rsidP="00F53583">
            <w:pPr>
              <w:pStyle w:val="Notesbodytext"/>
              <w:spacing w:after="0" w:line="280" w:lineRule="exact"/>
              <w:jc w:val="both"/>
              <w:rPr>
                <w:rFonts w:ascii="Arial" w:hAnsi="Arial"/>
                <w:color w:val="auto"/>
                <w:sz w:val="20"/>
              </w:rPr>
            </w:pPr>
            <w:r w:rsidRPr="00E70587">
              <w:rPr>
                <w:rFonts w:ascii="Arial" w:hAnsi="Arial"/>
                <w:color w:val="auto"/>
                <w:sz w:val="20"/>
              </w:rPr>
              <w:t>The Group elected to measure the non-controlling interest in the acquiree at the proportionate share of its interest in the acquiree’s identifiable net assets.</w:t>
            </w:r>
          </w:p>
          <w:p w14:paraId="6C3ACB21" w14:textId="77777777" w:rsidR="00A17C17" w:rsidRPr="00E70587" w:rsidRDefault="00A17C17" w:rsidP="00F53583">
            <w:pPr>
              <w:pStyle w:val="Notesbodytext"/>
              <w:spacing w:after="0" w:line="280" w:lineRule="exact"/>
              <w:jc w:val="both"/>
              <w:rPr>
                <w:rFonts w:ascii="Arial" w:hAnsi="Arial"/>
                <w:color w:val="auto"/>
                <w:sz w:val="20"/>
              </w:rPr>
            </w:pPr>
          </w:p>
          <w:p w14:paraId="268FA55B" w14:textId="77777777" w:rsidR="00A17C17" w:rsidRPr="00E70587" w:rsidRDefault="00A17C17" w:rsidP="00F53583">
            <w:pPr>
              <w:pStyle w:val="Notesbodytext"/>
              <w:spacing w:after="0" w:line="280" w:lineRule="exact"/>
              <w:jc w:val="both"/>
              <w:rPr>
                <w:rFonts w:ascii="Arial" w:hAnsi="Arial"/>
                <w:color w:val="auto"/>
                <w:sz w:val="20"/>
              </w:rPr>
            </w:pPr>
            <w:r w:rsidRPr="00E70587">
              <w:rPr>
                <w:rFonts w:ascii="Arial" w:hAnsi="Arial"/>
                <w:color w:val="auto"/>
                <w:sz w:val="20"/>
              </w:rPr>
              <w:t>The fair value of the identifiable assets and liabilities of Lightbulbs Limited as at the date of acquisition were:</w:t>
            </w:r>
          </w:p>
        </w:tc>
      </w:tr>
    </w:tbl>
    <w:p w14:paraId="4F03F6EB" w14:textId="77777777" w:rsidR="00717701" w:rsidRPr="00E70587" w:rsidRDefault="00717701" w:rsidP="009901E1">
      <w:pPr>
        <w:spacing w:line="280" w:lineRule="exact"/>
        <w:rPr>
          <w:rFonts w:ascii="Arial" w:hAnsi="Arial" w:cs="Arial"/>
          <w:sz w:val="20"/>
        </w:rPr>
      </w:pPr>
    </w:p>
    <w:tbl>
      <w:tblPr>
        <w:tblW w:w="9576" w:type="dxa"/>
        <w:tblBorders>
          <w:top w:val="single" w:sz="4" w:space="0" w:color="auto"/>
        </w:tblBorders>
        <w:tblLayout w:type="fixed"/>
        <w:tblLook w:val="01E0" w:firstRow="1" w:lastRow="1" w:firstColumn="1" w:lastColumn="1" w:noHBand="0" w:noVBand="0"/>
      </w:tblPr>
      <w:tblGrid>
        <w:gridCol w:w="7785"/>
        <w:gridCol w:w="1791"/>
      </w:tblGrid>
      <w:tr w:rsidR="00A17C17" w:rsidRPr="00E70587" w14:paraId="2CB46A50" w14:textId="77777777" w:rsidTr="009A5E2F">
        <w:tc>
          <w:tcPr>
            <w:tcW w:w="7830" w:type="dxa"/>
            <w:tcBorders>
              <w:top w:val="nil"/>
            </w:tcBorders>
            <w:shd w:val="clear" w:color="auto" w:fill="auto"/>
          </w:tcPr>
          <w:p w14:paraId="6624761A" w14:textId="77777777" w:rsidR="00A17C17" w:rsidRPr="00E70587" w:rsidRDefault="00A17C17" w:rsidP="009901E1">
            <w:pPr>
              <w:pStyle w:val="000Normal"/>
              <w:spacing w:before="0" w:after="0" w:line="280" w:lineRule="exact"/>
              <w:rPr>
                <w:rFonts w:ascii="Arial" w:hAnsi="Arial" w:cs="Arial"/>
                <w:sz w:val="20"/>
              </w:rPr>
            </w:pPr>
          </w:p>
        </w:tc>
        <w:tc>
          <w:tcPr>
            <w:tcW w:w="1800" w:type="dxa"/>
            <w:tcBorders>
              <w:top w:val="nil"/>
              <w:bottom w:val="single" w:sz="4" w:space="0" w:color="auto"/>
            </w:tcBorders>
            <w:shd w:val="clear" w:color="auto" w:fill="auto"/>
          </w:tcPr>
          <w:p w14:paraId="1FD3B065"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Fair value </w:t>
            </w:r>
          </w:p>
          <w:p w14:paraId="1722CA37"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recognised on acquisition </w:t>
            </w:r>
          </w:p>
        </w:tc>
      </w:tr>
      <w:tr w:rsidR="00A17C17" w:rsidRPr="00E70587" w14:paraId="4A40D2BB" w14:textId="77777777" w:rsidTr="009A5E2F">
        <w:tc>
          <w:tcPr>
            <w:tcW w:w="7830" w:type="dxa"/>
          </w:tcPr>
          <w:p w14:paraId="205F39BC" w14:textId="77777777" w:rsidR="00A17C17" w:rsidRPr="00E70587" w:rsidRDefault="00A17C17" w:rsidP="009901E1">
            <w:pPr>
              <w:pStyle w:val="000Normal"/>
              <w:spacing w:before="0" w:after="0" w:line="280" w:lineRule="exact"/>
              <w:jc w:val="right"/>
              <w:rPr>
                <w:rFonts w:ascii="Arial" w:hAnsi="Arial" w:cs="Arial"/>
                <w:b/>
                <w:sz w:val="20"/>
              </w:rPr>
            </w:pPr>
          </w:p>
        </w:tc>
        <w:tc>
          <w:tcPr>
            <w:tcW w:w="1800" w:type="dxa"/>
            <w:tcBorders>
              <w:top w:val="single" w:sz="4" w:space="0" w:color="auto"/>
            </w:tcBorders>
          </w:tcPr>
          <w:p w14:paraId="00369D65"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4AE814F3" w14:textId="77777777" w:rsidTr="009A5E2F">
        <w:tc>
          <w:tcPr>
            <w:tcW w:w="7830" w:type="dxa"/>
            <w:tcMar>
              <w:top w:w="28" w:type="dxa"/>
            </w:tcMar>
            <w:vAlign w:val="bottom"/>
          </w:tcPr>
          <w:p w14:paraId="33E11BC3" w14:textId="77777777" w:rsidR="00A17C17" w:rsidRPr="00E70587" w:rsidRDefault="00A17C17" w:rsidP="00BA690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Land and buildings (Note </w:t>
            </w:r>
            <w:r w:rsidR="00BA690C" w:rsidRPr="00E70587">
              <w:rPr>
                <w:rFonts w:ascii="Arial" w:hAnsi="Arial" w:cs="Arial"/>
                <w:sz w:val="20"/>
                <w:lang w:val="en-IN"/>
              </w:rPr>
              <w:t>3</w:t>
            </w:r>
            <w:r w:rsidRPr="00E70587">
              <w:rPr>
                <w:rFonts w:ascii="Arial" w:hAnsi="Arial" w:cs="Arial"/>
                <w:sz w:val="20"/>
                <w:lang w:val="en-IN"/>
              </w:rPr>
              <w:t>)</w:t>
            </w:r>
          </w:p>
        </w:tc>
        <w:tc>
          <w:tcPr>
            <w:tcW w:w="1800" w:type="dxa"/>
            <w:tcMar>
              <w:top w:w="28" w:type="dxa"/>
            </w:tcMar>
            <w:vAlign w:val="center"/>
          </w:tcPr>
          <w:p w14:paraId="5DF2E92C" w14:textId="77777777" w:rsidR="00A17C17" w:rsidRPr="00E70587" w:rsidRDefault="00A17C17" w:rsidP="009901E1">
            <w:pPr>
              <w:spacing w:line="280" w:lineRule="exact"/>
              <w:ind w:right="80"/>
              <w:jc w:val="right"/>
              <w:rPr>
                <w:rFonts w:ascii="Arial" w:hAnsi="Arial" w:cs="Arial"/>
                <w:sz w:val="20"/>
              </w:rPr>
            </w:pPr>
            <w:r w:rsidRPr="00E70587">
              <w:rPr>
                <w:rFonts w:ascii="Arial" w:hAnsi="Arial" w:cs="Arial"/>
                <w:sz w:val="20"/>
              </w:rPr>
              <w:t xml:space="preserve">2,304 </w:t>
            </w:r>
          </w:p>
        </w:tc>
      </w:tr>
      <w:tr w:rsidR="00A17C17" w:rsidRPr="00E70587" w14:paraId="7FFFB0A6" w14:textId="77777777" w:rsidTr="009A5E2F">
        <w:tc>
          <w:tcPr>
            <w:tcW w:w="7830" w:type="dxa"/>
            <w:tcMar>
              <w:top w:w="28" w:type="dxa"/>
            </w:tcMar>
            <w:vAlign w:val="bottom"/>
          </w:tcPr>
          <w:p w14:paraId="4478918F"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Cash and cash equivalents</w:t>
            </w:r>
          </w:p>
        </w:tc>
        <w:tc>
          <w:tcPr>
            <w:tcW w:w="1800" w:type="dxa"/>
            <w:tcMar>
              <w:top w:w="28" w:type="dxa"/>
            </w:tcMar>
            <w:vAlign w:val="center"/>
          </w:tcPr>
          <w:p w14:paraId="6074E846" w14:textId="77777777" w:rsidR="00A17C17" w:rsidRPr="00E70587" w:rsidRDefault="00A17C17" w:rsidP="009901E1">
            <w:pPr>
              <w:spacing w:line="280" w:lineRule="exact"/>
              <w:ind w:right="80"/>
              <w:jc w:val="right"/>
              <w:rPr>
                <w:rFonts w:ascii="Arial" w:hAnsi="Arial" w:cs="Arial"/>
                <w:sz w:val="20"/>
              </w:rPr>
            </w:pPr>
            <w:r w:rsidRPr="00E70587">
              <w:rPr>
                <w:rFonts w:ascii="Arial" w:hAnsi="Arial" w:cs="Arial"/>
                <w:sz w:val="20"/>
              </w:rPr>
              <w:t xml:space="preserve">90 </w:t>
            </w:r>
          </w:p>
        </w:tc>
      </w:tr>
      <w:tr w:rsidR="00A17C17" w:rsidRPr="00E70587" w14:paraId="09A6AEBC" w14:textId="77777777" w:rsidTr="009A5E2F">
        <w:tc>
          <w:tcPr>
            <w:tcW w:w="7830" w:type="dxa"/>
            <w:tcMar>
              <w:top w:w="28" w:type="dxa"/>
            </w:tcMar>
            <w:vAlign w:val="bottom"/>
          </w:tcPr>
          <w:p w14:paraId="0F28CDBD"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Trade receivables</w:t>
            </w:r>
          </w:p>
        </w:tc>
        <w:tc>
          <w:tcPr>
            <w:tcW w:w="1800" w:type="dxa"/>
            <w:tcMar>
              <w:top w:w="28" w:type="dxa"/>
            </w:tcMar>
            <w:vAlign w:val="center"/>
          </w:tcPr>
          <w:p w14:paraId="2B6981D6" w14:textId="77777777" w:rsidR="00A17C17" w:rsidRPr="00E70587" w:rsidRDefault="00A17C17" w:rsidP="009901E1">
            <w:pPr>
              <w:spacing w:line="280" w:lineRule="exact"/>
              <w:ind w:right="80"/>
              <w:jc w:val="right"/>
              <w:rPr>
                <w:rFonts w:ascii="Arial" w:hAnsi="Arial" w:cs="Arial"/>
                <w:sz w:val="20"/>
              </w:rPr>
            </w:pPr>
            <w:r w:rsidRPr="00E70587">
              <w:rPr>
                <w:rFonts w:ascii="Arial" w:hAnsi="Arial" w:cs="Arial"/>
                <w:sz w:val="20"/>
              </w:rPr>
              <w:t xml:space="preserve">1,535 </w:t>
            </w:r>
          </w:p>
        </w:tc>
      </w:tr>
      <w:tr w:rsidR="00A17C17" w:rsidRPr="00E70587" w14:paraId="301A788F" w14:textId="77777777" w:rsidTr="009A5E2F">
        <w:tc>
          <w:tcPr>
            <w:tcW w:w="7830" w:type="dxa"/>
            <w:vAlign w:val="bottom"/>
          </w:tcPr>
          <w:p w14:paraId="5A8A1A6B"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Inventories</w:t>
            </w:r>
          </w:p>
        </w:tc>
        <w:tc>
          <w:tcPr>
            <w:tcW w:w="1800" w:type="dxa"/>
            <w:tcBorders>
              <w:bottom w:val="single" w:sz="4" w:space="0" w:color="auto"/>
            </w:tcBorders>
            <w:tcMar>
              <w:top w:w="0" w:type="dxa"/>
            </w:tcMar>
            <w:vAlign w:val="center"/>
          </w:tcPr>
          <w:p w14:paraId="7F245694" w14:textId="77777777" w:rsidR="00A17C17" w:rsidRPr="00E70587" w:rsidRDefault="00A17C17" w:rsidP="009901E1">
            <w:pPr>
              <w:spacing w:line="280" w:lineRule="exact"/>
              <w:ind w:right="80"/>
              <w:jc w:val="right"/>
              <w:rPr>
                <w:rFonts w:ascii="Arial" w:hAnsi="Arial" w:cs="Arial"/>
                <w:sz w:val="20"/>
              </w:rPr>
            </w:pPr>
            <w:r w:rsidRPr="00E70587">
              <w:rPr>
                <w:rFonts w:ascii="Arial" w:hAnsi="Arial" w:cs="Arial"/>
                <w:sz w:val="20"/>
              </w:rPr>
              <w:t xml:space="preserve">1,377 </w:t>
            </w:r>
          </w:p>
        </w:tc>
      </w:tr>
      <w:tr w:rsidR="00A17C17" w:rsidRPr="00E70587" w14:paraId="20CE2367" w14:textId="77777777" w:rsidTr="009A5E2F">
        <w:tc>
          <w:tcPr>
            <w:tcW w:w="7830" w:type="dxa"/>
            <w:tcMar>
              <w:top w:w="28" w:type="dxa"/>
            </w:tcMar>
            <w:vAlign w:val="bottom"/>
          </w:tcPr>
          <w:p w14:paraId="028FC51E"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Total assets</w:t>
            </w:r>
          </w:p>
        </w:tc>
        <w:tc>
          <w:tcPr>
            <w:tcW w:w="1800" w:type="dxa"/>
            <w:tcBorders>
              <w:top w:val="single" w:sz="4" w:space="0" w:color="auto"/>
              <w:bottom w:val="single" w:sz="4" w:space="0" w:color="auto"/>
            </w:tcBorders>
            <w:tcMar>
              <w:top w:w="28" w:type="dxa"/>
            </w:tcMar>
            <w:vAlign w:val="center"/>
          </w:tcPr>
          <w:p w14:paraId="6089C818" w14:textId="77777777" w:rsidR="00A17C17" w:rsidRPr="00E70587" w:rsidRDefault="00A17C17" w:rsidP="009901E1">
            <w:pPr>
              <w:spacing w:line="280" w:lineRule="exact"/>
              <w:ind w:right="80"/>
              <w:jc w:val="right"/>
              <w:rPr>
                <w:rFonts w:ascii="Arial" w:hAnsi="Arial" w:cs="Arial"/>
                <w:b/>
                <w:bCs/>
                <w:sz w:val="20"/>
              </w:rPr>
            </w:pPr>
            <w:r w:rsidRPr="00E70587">
              <w:rPr>
                <w:rFonts w:ascii="Arial" w:hAnsi="Arial" w:cs="Arial"/>
                <w:b/>
                <w:bCs/>
                <w:sz w:val="20"/>
              </w:rPr>
              <w:t xml:space="preserve">5,306 </w:t>
            </w:r>
          </w:p>
        </w:tc>
      </w:tr>
      <w:tr w:rsidR="00A17C17" w:rsidRPr="00E70587" w14:paraId="5A6E6CC0" w14:textId="77777777" w:rsidTr="009A5E2F">
        <w:tc>
          <w:tcPr>
            <w:tcW w:w="7830" w:type="dxa"/>
            <w:tcMar>
              <w:top w:w="28" w:type="dxa"/>
            </w:tcMar>
            <w:vAlign w:val="bottom"/>
          </w:tcPr>
          <w:p w14:paraId="1F30F95E"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800" w:type="dxa"/>
            <w:tcBorders>
              <w:top w:val="single" w:sz="4" w:space="0" w:color="auto"/>
            </w:tcBorders>
            <w:tcMar>
              <w:top w:w="28" w:type="dxa"/>
            </w:tcMar>
            <w:vAlign w:val="center"/>
          </w:tcPr>
          <w:p w14:paraId="34DB418C" w14:textId="77777777" w:rsidR="00A17C17" w:rsidRPr="00E70587" w:rsidRDefault="00A17C17" w:rsidP="009901E1">
            <w:pPr>
              <w:spacing w:line="280" w:lineRule="exact"/>
              <w:ind w:left="72" w:right="80"/>
              <w:jc w:val="right"/>
              <w:rPr>
                <w:rFonts w:ascii="Arial" w:hAnsi="Arial" w:cs="Arial"/>
                <w:sz w:val="20"/>
              </w:rPr>
            </w:pPr>
          </w:p>
        </w:tc>
      </w:tr>
      <w:tr w:rsidR="00A17C17" w:rsidRPr="00E70587" w14:paraId="24059EB7" w14:textId="77777777" w:rsidTr="009A5E2F">
        <w:tc>
          <w:tcPr>
            <w:tcW w:w="7830" w:type="dxa"/>
            <w:tcMar>
              <w:top w:w="28" w:type="dxa"/>
            </w:tcMar>
            <w:vAlign w:val="bottom"/>
          </w:tcPr>
          <w:p w14:paraId="594EFA3C"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Trade payables</w:t>
            </w:r>
          </w:p>
        </w:tc>
        <w:tc>
          <w:tcPr>
            <w:tcW w:w="1800" w:type="dxa"/>
            <w:noWrap/>
            <w:tcMar>
              <w:top w:w="28" w:type="dxa"/>
              <w:right w:w="28" w:type="dxa"/>
            </w:tcMar>
            <w:vAlign w:val="center"/>
          </w:tcPr>
          <w:p w14:paraId="45E2ACA2" w14:textId="77777777" w:rsidR="00A17C17" w:rsidRPr="00E70587" w:rsidRDefault="00A17C17" w:rsidP="009901E1">
            <w:pPr>
              <w:spacing w:line="280" w:lineRule="exact"/>
              <w:ind w:left="72" w:right="80"/>
              <w:jc w:val="right"/>
              <w:rPr>
                <w:rFonts w:ascii="Arial" w:hAnsi="Arial" w:cs="Arial"/>
                <w:sz w:val="20"/>
              </w:rPr>
            </w:pPr>
            <w:r w:rsidRPr="00E70587">
              <w:rPr>
                <w:rFonts w:ascii="Arial" w:hAnsi="Arial" w:cs="Arial"/>
                <w:sz w:val="20"/>
              </w:rPr>
              <w:t xml:space="preserve">(1,453) </w:t>
            </w:r>
          </w:p>
        </w:tc>
      </w:tr>
      <w:tr w:rsidR="00A17C17" w:rsidRPr="00E70587" w14:paraId="37A30888" w14:textId="77777777" w:rsidTr="009A5E2F">
        <w:tc>
          <w:tcPr>
            <w:tcW w:w="7830" w:type="dxa"/>
            <w:tcMar>
              <w:top w:w="28" w:type="dxa"/>
            </w:tcMar>
            <w:vAlign w:val="bottom"/>
          </w:tcPr>
          <w:p w14:paraId="06A6A07C" w14:textId="77777777" w:rsidR="00A17C17" w:rsidRPr="00E70587" w:rsidRDefault="00A17C17" w:rsidP="00BA690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Deferred tax liability (Note </w:t>
            </w:r>
            <w:r w:rsidR="00BA690C" w:rsidRPr="00E70587">
              <w:rPr>
                <w:rFonts w:ascii="Arial" w:hAnsi="Arial" w:cs="Arial"/>
                <w:sz w:val="20"/>
                <w:lang w:val="en-IN"/>
              </w:rPr>
              <w:t>19</w:t>
            </w:r>
            <w:r w:rsidRPr="00E70587">
              <w:rPr>
                <w:rFonts w:ascii="Arial" w:hAnsi="Arial" w:cs="Arial"/>
                <w:sz w:val="20"/>
                <w:lang w:val="en-IN"/>
              </w:rPr>
              <w:t>)</w:t>
            </w:r>
          </w:p>
        </w:tc>
        <w:tc>
          <w:tcPr>
            <w:tcW w:w="1800" w:type="dxa"/>
            <w:noWrap/>
            <w:tcMar>
              <w:top w:w="28" w:type="dxa"/>
              <w:right w:w="28" w:type="dxa"/>
            </w:tcMar>
            <w:vAlign w:val="center"/>
          </w:tcPr>
          <w:p w14:paraId="41676BE5" w14:textId="77777777" w:rsidR="00A17C17" w:rsidRPr="00E70587" w:rsidRDefault="00A17C17" w:rsidP="009901E1">
            <w:pPr>
              <w:spacing w:line="280" w:lineRule="exact"/>
              <w:ind w:right="170"/>
              <w:jc w:val="right"/>
              <w:rPr>
                <w:rFonts w:ascii="Arial" w:hAnsi="Arial" w:cs="Arial"/>
                <w:sz w:val="20"/>
              </w:rPr>
            </w:pPr>
            <w:r w:rsidRPr="00E70587">
              <w:rPr>
                <w:rFonts w:ascii="Arial" w:hAnsi="Arial" w:cs="Arial"/>
                <w:sz w:val="20"/>
              </w:rPr>
              <w:t xml:space="preserve"> (684) </w:t>
            </w:r>
          </w:p>
        </w:tc>
      </w:tr>
      <w:tr w:rsidR="00A17C17" w:rsidRPr="00E70587" w14:paraId="2ED469B4" w14:textId="77777777" w:rsidTr="009A5E2F">
        <w:tc>
          <w:tcPr>
            <w:tcW w:w="7830" w:type="dxa"/>
            <w:tcMar>
              <w:top w:w="28" w:type="dxa"/>
            </w:tcMar>
            <w:vAlign w:val="bottom"/>
          </w:tcPr>
          <w:p w14:paraId="048B292B"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Provision for maintenance warranties</w:t>
            </w:r>
          </w:p>
        </w:tc>
        <w:tc>
          <w:tcPr>
            <w:tcW w:w="1800" w:type="dxa"/>
            <w:tcBorders>
              <w:bottom w:val="single" w:sz="4" w:space="0" w:color="auto"/>
            </w:tcBorders>
            <w:noWrap/>
            <w:tcMar>
              <w:top w:w="28" w:type="dxa"/>
              <w:right w:w="28" w:type="dxa"/>
            </w:tcMar>
            <w:vAlign w:val="center"/>
          </w:tcPr>
          <w:p w14:paraId="69B70F57" w14:textId="77777777" w:rsidR="00A17C17" w:rsidRPr="00E70587" w:rsidRDefault="00A17C17" w:rsidP="009901E1">
            <w:pPr>
              <w:spacing w:line="280" w:lineRule="exact"/>
              <w:ind w:right="170"/>
              <w:jc w:val="right"/>
              <w:rPr>
                <w:rFonts w:ascii="Arial" w:hAnsi="Arial" w:cs="Arial"/>
                <w:sz w:val="20"/>
              </w:rPr>
            </w:pPr>
            <w:r w:rsidRPr="00E70587">
              <w:rPr>
                <w:rFonts w:ascii="Arial" w:hAnsi="Arial" w:cs="Arial"/>
                <w:sz w:val="20"/>
              </w:rPr>
              <w:t xml:space="preserve">(90) </w:t>
            </w:r>
          </w:p>
        </w:tc>
      </w:tr>
      <w:tr w:rsidR="00A17C17" w:rsidRPr="00E70587" w14:paraId="0B6E7FF1" w14:textId="77777777" w:rsidTr="009A5E2F">
        <w:tc>
          <w:tcPr>
            <w:tcW w:w="7830" w:type="dxa"/>
            <w:shd w:val="clear" w:color="auto" w:fill="auto"/>
            <w:noWrap/>
            <w:vAlign w:val="bottom"/>
          </w:tcPr>
          <w:p w14:paraId="25E7E3DA"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Total liabilities</w:t>
            </w:r>
          </w:p>
        </w:tc>
        <w:tc>
          <w:tcPr>
            <w:tcW w:w="1800" w:type="dxa"/>
            <w:tcBorders>
              <w:top w:val="single" w:sz="4" w:space="0" w:color="auto"/>
              <w:bottom w:val="single" w:sz="4" w:space="0" w:color="auto"/>
            </w:tcBorders>
            <w:shd w:val="clear" w:color="auto" w:fill="auto"/>
            <w:noWrap/>
            <w:tcMar>
              <w:top w:w="28" w:type="dxa"/>
              <w:left w:w="108" w:type="dxa"/>
              <w:right w:w="28" w:type="dxa"/>
            </w:tcMar>
            <w:vAlign w:val="center"/>
          </w:tcPr>
          <w:p w14:paraId="4C1CE448" w14:textId="77777777" w:rsidR="00A17C17" w:rsidRPr="00E70587" w:rsidRDefault="00A17C17" w:rsidP="009901E1">
            <w:pPr>
              <w:spacing w:line="280" w:lineRule="exact"/>
              <w:ind w:right="170"/>
              <w:jc w:val="right"/>
              <w:rPr>
                <w:rFonts w:ascii="Arial" w:hAnsi="Arial" w:cs="Arial"/>
                <w:b/>
                <w:bCs/>
                <w:sz w:val="20"/>
              </w:rPr>
            </w:pPr>
            <w:r w:rsidRPr="00E70587">
              <w:rPr>
                <w:rFonts w:ascii="Arial" w:hAnsi="Arial" w:cs="Arial"/>
                <w:b/>
                <w:bCs/>
                <w:sz w:val="20"/>
              </w:rPr>
              <w:t xml:space="preserve">(2,227) </w:t>
            </w:r>
          </w:p>
        </w:tc>
      </w:tr>
    </w:tbl>
    <w:p w14:paraId="292EF59A" w14:textId="77777777" w:rsidR="00811B92" w:rsidRPr="00E70587" w:rsidRDefault="00811B92" w:rsidP="009901E1">
      <w:pPr>
        <w:spacing w:line="280" w:lineRule="exact"/>
        <w:rPr>
          <w:rFonts w:ascii="Arial" w:hAnsi="Arial" w:cs="Arial"/>
          <w:sz w:val="20"/>
        </w:rPr>
      </w:pPr>
    </w:p>
    <w:tbl>
      <w:tblPr>
        <w:tblW w:w="9576" w:type="dxa"/>
        <w:tblBorders>
          <w:bottom w:val="single" w:sz="4" w:space="0" w:color="auto"/>
        </w:tblBorders>
        <w:tblLayout w:type="fixed"/>
        <w:tblLook w:val="01E0" w:firstRow="1" w:lastRow="1" w:firstColumn="1" w:lastColumn="1" w:noHBand="0" w:noVBand="0"/>
      </w:tblPr>
      <w:tblGrid>
        <w:gridCol w:w="7860"/>
        <w:gridCol w:w="1716"/>
      </w:tblGrid>
      <w:tr w:rsidR="00A17C17" w:rsidRPr="00E70587" w14:paraId="0DC50C00" w14:textId="77777777" w:rsidTr="009A5E2F">
        <w:tc>
          <w:tcPr>
            <w:tcW w:w="7830" w:type="dxa"/>
            <w:tcMar>
              <w:top w:w="28" w:type="dxa"/>
            </w:tcMar>
          </w:tcPr>
          <w:p w14:paraId="0990DF81"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Total identifiable net assets at fair value</w:t>
            </w:r>
          </w:p>
        </w:tc>
        <w:tc>
          <w:tcPr>
            <w:tcW w:w="1710" w:type="dxa"/>
            <w:tcMar>
              <w:top w:w="28" w:type="dxa"/>
            </w:tcMar>
            <w:vAlign w:val="center"/>
          </w:tcPr>
          <w:p w14:paraId="15DB0114" w14:textId="77777777" w:rsidR="00A17C17" w:rsidRPr="00E70587" w:rsidRDefault="00A17C17" w:rsidP="009901E1">
            <w:pPr>
              <w:spacing w:line="280" w:lineRule="exact"/>
              <w:ind w:right="90"/>
              <w:jc w:val="right"/>
              <w:rPr>
                <w:rFonts w:ascii="Arial" w:hAnsi="Arial" w:cs="Arial"/>
                <w:b/>
                <w:bCs/>
                <w:sz w:val="20"/>
              </w:rPr>
            </w:pPr>
            <w:r w:rsidRPr="00E70587">
              <w:rPr>
                <w:rFonts w:ascii="Arial" w:hAnsi="Arial" w:cs="Arial"/>
                <w:b/>
                <w:bCs/>
                <w:sz w:val="20"/>
              </w:rPr>
              <w:t xml:space="preserve">3,079 </w:t>
            </w:r>
          </w:p>
        </w:tc>
      </w:tr>
      <w:tr w:rsidR="00A17C17" w:rsidRPr="00E70587" w14:paraId="4C05502C" w14:textId="77777777" w:rsidTr="009A5E2F">
        <w:tc>
          <w:tcPr>
            <w:tcW w:w="7830" w:type="dxa"/>
            <w:tcMar>
              <w:top w:w="28" w:type="dxa"/>
            </w:tcMar>
          </w:tcPr>
          <w:p w14:paraId="5B6A0429"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Non-controlling interest (20% of net assets)</w:t>
            </w:r>
          </w:p>
        </w:tc>
        <w:tc>
          <w:tcPr>
            <w:tcW w:w="1710" w:type="dxa"/>
            <w:tcBorders>
              <w:bottom w:val="nil"/>
            </w:tcBorders>
            <w:tcMar>
              <w:top w:w="28" w:type="dxa"/>
            </w:tcMar>
            <w:vAlign w:val="center"/>
          </w:tcPr>
          <w:p w14:paraId="0D2E8086" w14:textId="1311B13D" w:rsidR="00A17C17" w:rsidRPr="00E70587" w:rsidRDefault="00A17C17" w:rsidP="009901E1">
            <w:pPr>
              <w:spacing w:line="280" w:lineRule="exact"/>
              <w:ind w:right="90"/>
              <w:jc w:val="right"/>
              <w:rPr>
                <w:rFonts w:ascii="Arial" w:hAnsi="Arial" w:cs="Arial"/>
                <w:sz w:val="20"/>
              </w:rPr>
            </w:pPr>
            <w:r w:rsidRPr="00E70587">
              <w:rPr>
                <w:rFonts w:ascii="Arial" w:hAnsi="Arial" w:cs="Arial"/>
                <w:sz w:val="20"/>
              </w:rPr>
              <w:t xml:space="preserve"> (</w:t>
            </w:r>
            <w:r w:rsidR="00765C31" w:rsidRPr="00E70587">
              <w:rPr>
                <w:rFonts w:ascii="Arial" w:hAnsi="Arial" w:cs="Arial"/>
                <w:sz w:val="20"/>
              </w:rPr>
              <w:t>61</w:t>
            </w:r>
            <w:r w:rsidR="00765C31">
              <w:rPr>
                <w:rFonts w:ascii="Arial" w:hAnsi="Arial" w:cs="Arial"/>
                <w:sz w:val="20"/>
              </w:rPr>
              <w:t>6</w:t>
            </w:r>
            <w:r w:rsidRPr="00E70587">
              <w:rPr>
                <w:rFonts w:ascii="Arial" w:hAnsi="Arial" w:cs="Arial"/>
                <w:sz w:val="20"/>
              </w:rPr>
              <w:t xml:space="preserve">) </w:t>
            </w:r>
          </w:p>
        </w:tc>
      </w:tr>
      <w:tr w:rsidR="00A17C17" w:rsidRPr="00E70587" w14:paraId="2C846A15" w14:textId="77777777" w:rsidTr="009A5E2F">
        <w:tc>
          <w:tcPr>
            <w:tcW w:w="7830" w:type="dxa"/>
            <w:tcMar>
              <w:top w:w="28" w:type="dxa"/>
            </w:tcMar>
            <w:vAlign w:val="bottom"/>
          </w:tcPr>
          <w:p w14:paraId="02E18A5F" w14:textId="77777777" w:rsidR="00A17C17" w:rsidRPr="00E70587" w:rsidRDefault="00A17C17" w:rsidP="00BA690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Goodwill arising on acquisition (Note </w:t>
            </w:r>
            <w:r w:rsidR="00BA690C" w:rsidRPr="00E70587">
              <w:rPr>
                <w:rFonts w:ascii="Arial" w:hAnsi="Arial" w:cs="Arial"/>
                <w:sz w:val="20"/>
                <w:lang w:val="en-IN"/>
              </w:rPr>
              <w:t>6</w:t>
            </w:r>
            <w:r w:rsidRPr="00E70587">
              <w:rPr>
                <w:rFonts w:ascii="Arial" w:hAnsi="Arial" w:cs="Arial"/>
                <w:sz w:val="20"/>
                <w:lang w:val="en-IN"/>
              </w:rPr>
              <w:t>)</w:t>
            </w:r>
          </w:p>
        </w:tc>
        <w:tc>
          <w:tcPr>
            <w:tcW w:w="1710" w:type="dxa"/>
            <w:tcBorders>
              <w:bottom w:val="single" w:sz="4" w:space="0" w:color="auto"/>
            </w:tcBorders>
            <w:tcMar>
              <w:top w:w="28" w:type="dxa"/>
            </w:tcMar>
            <w:vAlign w:val="center"/>
          </w:tcPr>
          <w:p w14:paraId="2185FE95" w14:textId="77777777" w:rsidR="00A17C17" w:rsidRPr="00E70587" w:rsidRDefault="00A17C17" w:rsidP="009901E1">
            <w:pPr>
              <w:spacing w:line="280" w:lineRule="exact"/>
              <w:ind w:right="90"/>
              <w:jc w:val="right"/>
              <w:rPr>
                <w:rFonts w:ascii="Arial" w:hAnsi="Arial" w:cs="Arial"/>
                <w:sz w:val="20"/>
              </w:rPr>
            </w:pPr>
            <w:r w:rsidRPr="00E70587">
              <w:rPr>
                <w:rFonts w:ascii="Arial" w:hAnsi="Arial" w:cs="Arial"/>
                <w:sz w:val="20"/>
              </w:rPr>
              <w:t xml:space="preserve"> 236 </w:t>
            </w:r>
          </w:p>
        </w:tc>
      </w:tr>
      <w:tr w:rsidR="00A17C17" w:rsidRPr="00E70587" w14:paraId="6FDCE11C" w14:textId="77777777" w:rsidTr="009A5E2F">
        <w:tc>
          <w:tcPr>
            <w:tcW w:w="7830" w:type="dxa"/>
            <w:tcMar>
              <w:top w:w="28" w:type="dxa"/>
            </w:tcMar>
            <w:vAlign w:val="center"/>
          </w:tcPr>
          <w:p w14:paraId="6EE66AD6"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Purchase consideration transferred</w:t>
            </w:r>
          </w:p>
        </w:tc>
        <w:tc>
          <w:tcPr>
            <w:tcW w:w="1710" w:type="dxa"/>
            <w:tcBorders>
              <w:top w:val="single" w:sz="4" w:space="0" w:color="auto"/>
              <w:bottom w:val="double" w:sz="4" w:space="0" w:color="auto"/>
            </w:tcBorders>
            <w:tcMar>
              <w:top w:w="28" w:type="dxa"/>
            </w:tcMar>
            <w:vAlign w:val="center"/>
          </w:tcPr>
          <w:p w14:paraId="189D9153" w14:textId="28C91C3F" w:rsidR="00A17C17" w:rsidRPr="00E70587" w:rsidRDefault="00A17C17" w:rsidP="006D2A68">
            <w:pPr>
              <w:spacing w:line="280" w:lineRule="exact"/>
              <w:ind w:right="90"/>
              <w:jc w:val="right"/>
              <w:rPr>
                <w:rFonts w:ascii="Arial" w:hAnsi="Arial" w:cs="Arial"/>
                <w:b/>
                <w:bCs/>
                <w:sz w:val="20"/>
              </w:rPr>
            </w:pPr>
            <w:r w:rsidRPr="00E70587">
              <w:rPr>
                <w:rFonts w:ascii="Arial" w:hAnsi="Arial" w:cs="Arial"/>
                <w:b/>
                <w:bCs/>
                <w:sz w:val="20"/>
              </w:rPr>
              <w:t>2,</w:t>
            </w:r>
            <w:r w:rsidR="00D74CA3">
              <w:rPr>
                <w:rFonts w:ascii="Arial" w:hAnsi="Arial" w:cs="Arial"/>
                <w:b/>
                <w:bCs/>
                <w:sz w:val="20"/>
              </w:rPr>
              <w:t>700</w:t>
            </w:r>
            <w:r w:rsidR="00765C31" w:rsidRPr="00E70587">
              <w:rPr>
                <w:rFonts w:ascii="Arial" w:hAnsi="Arial" w:cs="Arial"/>
                <w:b/>
                <w:bCs/>
                <w:sz w:val="20"/>
              </w:rPr>
              <w:t xml:space="preserve"> </w:t>
            </w:r>
          </w:p>
        </w:tc>
      </w:tr>
      <w:tr w:rsidR="00A17C17" w:rsidRPr="00E70587" w14:paraId="5EC8C318" w14:textId="77777777" w:rsidTr="009A5E2F">
        <w:tc>
          <w:tcPr>
            <w:tcW w:w="7830" w:type="dxa"/>
            <w:tcMar>
              <w:top w:w="28" w:type="dxa"/>
            </w:tcMar>
          </w:tcPr>
          <w:p w14:paraId="07B4E5B6" w14:textId="77777777" w:rsidR="00A17C17" w:rsidRPr="00E70587" w:rsidRDefault="00A17C17" w:rsidP="009901E1">
            <w:pPr>
              <w:pStyle w:val="tabletext"/>
              <w:spacing w:line="280" w:lineRule="exact"/>
              <w:rPr>
                <w:rFonts w:ascii="Arial" w:hAnsi="Arial" w:cs="Arial"/>
                <w:sz w:val="20"/>
                <w:lang w:val="en-IN"/>
              </w:rPr>
            </w:pPr>
          </w:p>
        </w:tc>
        <w:tc>
          <w:tcPr>
            <w:tcW w:w="1710" w:type="dxa"/>
            <w:tcBorders>
              <w:top w:val="double" w:sz="4" w:space="0" w:color="auto"/>
              <w:bottom w:val="nil"/>
            </w:tcBorders>
            <w:tcMar>
              <w:top w:w="28" w:type="dxa"/>
            </w:tcMar>
          </w:tcPr>
          <w:p w14:paraId="41DD3861" w14:textId="77777777" w:rsidR="00A17C17" w:rsidRPr="00E70587" w:rsidRDefault="00A17C17" w:rsidP="009901E1">
            <w:pPr>
              <w:pStyle w:val="tabletext"/>
              <w:spacing w:line="280" w:lineRule="exact"/>
              <w:ind w:left="1098"/>
              <w:rPr>
                <w:rFonts w:ascii="Arial" w:hAnsi="Arial" w:cs="Arial"/>
                <w:sz w:val="20"/>
                <w:lang w:val="en-IN"/>
              </w:rPr>
            </w:pPr>
          </w:p>
        </w:tc>
      </w:tr>
      <w:tr w:rsidR="00A17C17" w:rsidRPr="00E70587" w14:paraId="04A208B1" w14:textId="77777777" w:rsidTr="009A5E2F">
        <w:tc>
          <w:tcPr>
            <w:tcW w:w="7830" w:type="dxa"/>
            <w:tcMar>
              <w:top w:w="28" w:type="dxa"/>
            </w:tcMar>
          </w:tcPr>
          <w:p w14:paraId="56F15219"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710" w:type="dxa"/>
            <w:tcBorders>
              <w:bottom w:val="single" w:sz="4" w:space="0" w:color="auto"/>
            </w:tcBorders>
            <w:tcMar>
              <w:top w:w="28" w:type="dxa"/>
            </w:tcMar>
          </w:tcPr>
          <w:p w14:paraId="02E775E2" w14:textId="77777777" w:rsidR="00A17C17" w:rsidRPr="00E70587" w:rsidRDefault="00A17C17" w:rsidP="009901E1">
            <w:pPr>
              <w:pStyle w:val="tabletext"/>
              <w:overflowPunct w:val="0"/>
              <w:autoSpaceDE w:val="0"/>
              <w:autoSpaceDN w:val="0"/>
              <w:adjustRightInd w:val="0"/>
              <w:spacing w:line="280" w:lineRule="exact"/>
              <w:ind w:left="18" w:right="170"/>
              <w:jc w:val="right"/>
              <w:textAlignment w:val="baseline"/>
              <w:rPr>
                <w:rFonts w:ascii="Arial" w:hAnsi="Arial" w:cs="Arial"/>
                <w:b/>
                <w:sz w:val="20"/>
                <w:lang w:val="en-IN"/>
              </w:rPr>
            </w:pPr>
            <w:r w:rsidRPr="00E70587">
              <w:rPr>
                <w:rFonts w:ascii="Arial" w:hAnsi="Arial" w:cs="Arial"/>
                <w:b/>
                <w:sz w:val="20"/>
                <w:lang w:val="en-IN"/>
              </w:rPr>
              <w:t>Cash flow on acquisition</w:t>
            </w:r>
          </w:p>
        </w:tc>
      </w:tr>
      <w:tr w:rsidR="00A17C17" w:rsidRPr="00E70587" w14:paraId="1BEFFA03" w14:textId="77777777" w:rsidTr="009A5E2F">
        <w:tc>
          <w:tcPr>
            <w:tcW w:w="7830" w:type="dxa"/>
            <w:tcMar>
              <w:top w:w="28" w:type="dxa"/>
            </w:tcMar>
          </w:tcPr>
          <w:p w14:paraId="57341A8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710" w:type="dxa"/>
            <w:tcBorders>
              <w:top w:val="single" w:sz="4" w:space="0" w:color="auto"/>
            </w:tcBorders>
            <w:tcMar>
              <w:top w:w="28" w:type="dxa"/>
            </w:tcMar>
          </w:tcPr>
          <w:p w14:paraId="04E9E482" w14:textId="77777777" w:rsidR="00A17C17" w:rsidRPr="00E70587" w:rsidRDefault="00A17C17" w:rsidP="009901E1">
            <w:pPr>
              <w:pStyle w:val="tabletext"/>
              <w:overflowPunct w:val="0"/>
              <w:autoSpaceDE w:val="0"/>
              <w:autoSpaceDN w:val="0"/>
              <w:adjustRightInd w:val="0"/>
              <w:spacing w:line="280" w:lineRule="exact"/>
              <w:ind w:left="18" w:right="170"/>
              <w:jc w:val="right"/>
              <w:textAlignment w:val="baseline"/>
              <w:rPr>
                <w:rFonts w:ascii="Arial" w:hAnsi="Arial" w:cs="Arial"/>
                <w:b/>
                <w:sz w:val="20"/>
                <w:lang w:val="en-IN"/>
              </w:rPr>
            </w:pPr>
            <w:r w:rsidRPr="00E70587">
              <w:rPr>
                <w:rFonts w:ascii="Arial" w:hAnsi="Arial" w:cs="Arial"/>
                <w:b/>
                <w:sz w:val="20"/>
                <w:lang w:val="en-IN"/>
              </w:rPr>
              <w:t>INR Lacs</w:t>
            </w:r>
          </w:p>
        </w:tc>
      </w:tr>
      <w:tr w:rsidR="00A17C17" w:rsidRPr="00E70587" w14:paraId="0FC19199" w14:textId="77777777" w:rsidTr="009A5E2F">
        <w:tc>
          <w:tcPr>
            <w:tcW w:w="7830" w:type="dxa"/>
            <w:tcMar>
              <w:top w:w="28" w:type="dxa"/>
            </w:tcMar>
          </w:tcPr>
          <w:p w14:paraId="60571410"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Net cash acquired with the subsidiary</w:t>
            </w:r>
          </w:p>
        </w:tc>
        <w:tc>
          <w:tcPr>
            <w:tcW w:w="1710" w:type="dxa"/>
            <w:tcBorders>
              <w:bottom w:val="nil"/>
            </w:tcBorders>
            <w:tcMar>
              <w:top w:w="28" w:type="dxa"/>
            </w:tcMar>
            <w:vAlign w:val="center"/>
          </w:tcPr>
          <w:p w14:paraId="07A994E4" w14:textId="77777777" w:rsidR="00A17C17" w:rsidRPr="00E70587" w:rsidRDefault="00A17C17" w:rsidP="009901E1">
            <w:pPr>
              <w:spacing w:line="280" w:lineRule="exact"/>
              <w:ind w:left="18" w:right="170"/>
              <w:jc w:val="right"/>
              <w:rPr>
                <w:rFonts w:ascii="Arial" w:hAnsi="Arial" w:cs="Arial"/>
                <w:sz w:val="20"/>
              </w:rPr>
            </w:pPr>
            <w:r w:rsidRPr="00E70587">
              <w:rPr>
                <w:rFonts w:ascii="Arial" w:hAnsi="Arial" w:cs="Arial"/>
                <w:sz w:val="20"/>
              </w:rPr>
              <w:t xml:space="preserve">90 </w:t>
            </w:r>
          </w:p>
        </w:tc>
      </w:tr>
      <w:tr w:rsidR="00A17C17" w:rsidRPr="00E70587" w14:paraId="7A9279E7" w14:textId="77777777" w:rsidTr="009A5E2F">
        <w:tc>
          <w:tcPr>
            <w:tcW w:w="7830" w:type="dxa"/>
            <w:tcBorders>
              <w:bottom w:val="nil"/>
            </w:tcBorders>
            <w:tcMar>
              <w:top w:w="28" w:type="dxa"/>
            </w:tcMar>
            <w:vAlign w:val="bottom"/>
          </w:tcPr>
          <w:p w14:paraId="0FFB58DA"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Cash paid</w:t>
            </w:r>
          </w:p>
        </w:tc>
        <w:tc>
          <w:tcPr>
            <w:tcW w:w="1710" w:type="dxa"/>
            <w:tcBorders>
              <w:bottom w:val="single" w:sz="4" w:space="0" w:color="auto"/>
            </w:tcBorders>
            <w:tcMar>
              <w:top w:w="28" w:type="dxa"/>
              <w:right w:w="28" w:type="dxa"/>
            </w:tcMar>
            <w:vAlign w:val="center"/>
          </w:tcPr>
          <w:p w14:paraId="388C5480" w14:textId="77777777" w:rsidR="00A17C17" w:rsidRPr="00E70587" w:rsidRDefault="00A17C17" w:rsidP="009901E1">
            <w:pPr>
              <w:spacing w:line="280" w:lineRule="exact"/>
              <w:ind w:left="18" w:right="170"/>
              <w:jc w:val="right"/>
              <w:rPr>
                <w:rFonts w:ascii="Arial" w:hAnsi="Arial" w:cs="Arial"/>
                <w:sz w:val="20"/>
              </w:rPr>
            </w:pPr>
            <w:r w:rsidRPr="00E70587">
              <w:rPr>
                <w:rFonts w:ascii="Arial" w:hAnsi="Arial" w:cs="Arial"/>
                <w:sz w:val="20"/>
              </w:rPr>
              <w:t xml:space="preserve">(2,700) </w:t>
            </w:r>
          </w:p>
        </w:tc>
      </w:tr>
      <w:tr w:rsidR="00A17C17" w:rsidRPr="00E70587" w14:paraId="4D0DDF6B" w14:textId="77777777" w:rsidTr="009A5E2F">
        <w:tc>
          <w:tcPr>
            <w:tcW w:w="7830" w:type="dxa"/>
            <w:tcBorders>
              <w:bottom w:val="nil"/>
            </w:tcBorders>
            <w:tcMar>
              <w:top w:w="28" w:type="dxa"/>
            </w:tcMar>
          </w:tcPr>
          <w:p w14:paraId="605B9717"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Net cash flow on acquisition</w:t>
            </w:r>
          </w:p>
        </w:tc>
        <w:tc>
          <w:tcPr>
            <w:tcW w:w="1710" w:type="dxa"/>
            <w:tcBorders>
              <w:top w:val="single" w:sz="4" w:space="0" w:color="auto"/>
              <w:bottom w:val="double" w:sz="4" w:space="0" w:color="auto"/>
            </w:tcBorders>
            <w:tcMar>
              <w:top w:w="28" w:type="dxa"/>
              <w:right w:w="28" w:type="dxa"/>
            </w:tcMar>
            <w:vAlign w:val="center"/>
          </w:tcPr>
          <w:p w14:paraId="34C03715" w14:textId="77777777" w:rsidR="00A17C17" w:rsidRPr="00E70587" w:rsidRDefault="00A17C17" w:rsidP="009901E1">
            <w:pPr>
              <w:spacing w:line="280" w:lineRule="exact"/>
              <w:ind w:left="18" w:right="170"/>
              <w:jc w:val="right"/>
              <w:rPr>
                <w:rFonts w:ascii="Arial" w:hAnsi="Arial" w:cs="Arial"/>
                <w:b/>
                <w:bCs/>
                <w:sz w:val="20"/>
              </w:rPr>
            </w:pPr>
            <w:r w:rsidRPr="00E70587">
              <w:rPr>
                <w:rFonts w:ascii="Arial" w:hAnsi="Arial" w:cs="Arial"/>
                <w:b/>
                <w:bCs/>
                <w:sz w:val="20"/>
              </w:rPr>
              <w:t xml:space="preserve">(2,610) </w:t>
            </w:r>
          </w:p>
        </w:tc>
      </w:tr>
    </w:tbl>
    <w:p w14:paraId="2840EDF4" w14:textId="77777777" w:rsidR="00B149EF" w:rsidRPr="00E70587" w:rsidRDefault="00B149EF" w:rsidP="009901E1">
      <w:pPr>
        <w:spacing w:line="280" w:lineRule="exact"/>
        <w:rPr>
          <w:rFonts w:ascii="Arial" w:hAnsi="Arial" w:cs="Arial"/>
          <w:sz w:val="20"/>
        </w:rPr>
      </w:pPr>
    </w:p>
    <w:tbl>
      <w:tblPr>
        <w:tblW w:w="9576" w:type="dxa"/>
        <w:tblLook w:val="0000" w:firstRow="0" w:lastRow="0" w:firstColumn="0" w:lastColumn="0" w:noHBand="0" w:noVBand="0"/>
      </w:tblPr>
      <w:tblGrid>
        <w:gridCol w:w="9576"/>
      </w:tblGrid>
      <w:tr w:rsidR="00A17C17" w:rsidRPr="00E70587" w14:paraId="3DC70635" w14:textId="77777777" w:rsidTr="009A5E2F">
        <w:tc>
          <w:tcPr>
            <w:tcW w:w="0" w:type="auto"/>
          </w:tcPr>
          <w:p w14:paraId="65A0678C" w14:textId="219D541A" w:rsidR="00806C1A" w:rsidRPr="00806C1A" w:rsidRDefault="00806C1A" w:rsidP="00806C1A">
            <w:pPr>
              <w:spacing w:line="240" w:lineRule="atLeast"/>
              <w:rPr>
                <w:rFonts w:ascii="Arial" w:hAnsi="Arial" w:cs="Arial"/>
                <w:sz w:val="20"/>
              </w:rPr>
            </w:pPr>
            <w:r w:rsidRPr="00806C1A">
              <w:rPr>
                <w:rFonts w:ascii="Arial" w:hAnsi="Arial" w:cs="Arial"/>
                <w:sz w:val="20"/>
              </w:rPr>
              <w:t>The net assets recognised in the 31 March 20</w:t>
            </w:r>
            <w:r w:rsidR="00850BB8">
              <w:rPr>
                <w:rFonts w:ascii="Arial" w:hAnsi="Arial" w:cs="Arial"/>
                <w:sz w:val="20"/>
              </w:rPr>
              <w:t>20</w:t>
            </w:r>
            <w:r w:rsidRPr="00806C1A">
              <w:rPr>
                <w:rFonts w:ascii="Arial" w:hAnsi="Arial" w:cs="Arial"/>
                <w:sz w:val="20"/>
              </w:rPr>
              <w:t xml:space="preserve"> financial statements were based on a provisional assessment of their fair value while the Group sought an independent valuation for the land and buildings owned by Lightbulbs Limited. The valuation had not been completed by the date the March 20</w:t>
            </w:r>
            <w:r w:rsidR="00850BB8">
              <w:rPr>
                <w:rFonts w:ascii="Arial" w:hAnsi="Arial" w:cs="Arial"/>
                <w:sz w:val="20"/>
              </w:rPr>
              <w:t>20</w:t>
            </w:r>
            <w:r w:rsidRPr="00806C1A">
              <w:rPr>
                <w:rFonts w:ascii="Arial" w:hAnsi="Arial" w:cs="Arial"/>
                <w:sz w:val="20"/>
              </w:rPr>
              <w:t xml:space="preserve"> financial statements were approved for issue by the Board of Directors</w:t>
            </w:r>
          </w:p>
          <w:p w14:paraId="0DCBFC72" w14:textId="77777777" w:rsidR="00806C1A" w:rsidRDefault="00806C1A" w:rsidP="00F53583">
            <w:pPr>
              <w:pStyle w:val="Notesbodytext"/>
              <w:spacing w:after="0" w:line="280" w:lineRule="exact"/>
              <w:jc w:val="both"/>
              <w:rPr>
                <w:rFonts w:ascii="Arial" w:hAnsi="Arial"/>
                <w:color w:val="auto"/>
                <w:sz w:val="20"/>
              </w:rPr>
            </w:pPr>
          </w:p>
          <w:p w14:paraId="5DF57A90" w14:textId="73874E62" w:rsidR="00A17C17" w:rsidRPr="00E70587" w:rsidRDefault="00A17C17" w:rsidP="00F53583">
            <w:pPr>
              <w:pStyle w:val="Notesbodytext"/>
              <w:spacing w:after="0" w:line="280" w:lineRule="exact"/>
              <w:jc w:val="both"/>
              <w:rPr>
                <w:rFonts w:ascii="Arial" w:hAnsi="Arial"/>
                <w:color w:val="auto"/>
                <w:sz w:val="20"/>
              </w:rPr>
            </w:pPr>
            <w:r w:rsidRPr="00E70587">
              <w:rPr>
                <w:rFonts w:ascii="Arial" w:hAnsi="Arial"/>
                <w:color w:val="auto"/>
                <w:sz w:val="20"/>
              </w:rPr>
              <w:t xml:space="preserve">In April </w:t>
            </w:r>
            <w:r w:rsidR="00A77CE8" w:rsidRPr="00E70587">
              <w:rPr>
                <w:rFonts w:ascii="Arial" w:hAnsi="Arial"/>
                <w:color w:val="auto"/>
                <w:sz w:val="20"/>
              </w:rPr>
              <w:t>20</w:t>
            </w:r>
            <w:r w:rsidR="00A77CE8">
              <w:rPr>
                <w:rFonts w:ascii="Arial" w:hAnsi="Arial"/>
                <w:color w:val="auto"/>
                <w:sz w:val="20"/>
              </w:rPr>
              <w:t>20</w:t>
            </w:r>
            <w:r w:rsidRPr="00E70587">
              <w:rPr>
                <w:rFonts w:ascii="Arial" w:hAnsi="Arial"/>
                <w:color w:val="auto"/>
                <w:sz w:val="20"/>
              </w:rPr>
              <w:t xml:space="preserve">, the valuation was </w:t>
            </w:r>
            <w:r w:rsidR="00A77CE8" w:rsidRPr="00E70587">
              <w:rPr>
                <w:rFonts w:ascii="Arial" w:hAnsi="Arial"/>
                <w:color w:val="auto"/>
                <w:sz w:val="20"/>
              </w:rPr>
              <w:t>completed,</w:t>
            </w:r>
            <w:r w:rsidRPr="00E70587">
              <w:rPr>
                <w:rFonts w:ascii="Arial" w:hAnsi="Arial"/>
                <w:color w:val="auto"/>
                <w:sz w:val="20"/>
              </w:rPr>
              <w:t xml:space="preserve"> and the acquisition date fair value of the land and buildings was INR 2</w:t>
            </w:r>
            <w:r w:rsidR="00E3271E" w:rsidRPr="00E70587">
              <w:rPr>
                <w:rFonts w:ascii="Arial" w:hAnsi="Arial"/>
                <w:color w:val="auto"/>
                <w:sz w:val="20"/>
              </w:rPr>
              <w:t>,</w:t>
            </w:r>
            <w:r w:rsidRPr="00E70587">
              <w:rPr>
                <w:rFonts w:ascii="Arial" w:hAnsi="Arial"/>
                <w:color w:val="auto"/>
                <w:sz w:val="20"/>
              </w:rPr>
              <w:t>304, an increase of INR 360 over the provisional value originally determined.</w:t>
            </w:r>
            <w:r w:rsidR="00950163" w:rsidRPr="00E70587">
              <w:rPr>
                <w:rFonts w:ascii="Arial" w:hAnsi="Arial"/>
                <w:color w:val="auto"/>
                <w:sz w:val="20"/>
              </w:rPr>
              <w:t xml:space="preserve"> </w:t>
            </w:r>
            <w:r w:rsidRPr="00E70587">
              <w:rPr>
                <w:rFonts w:ascii="Arial" w:hAnsi="Arial"/>
                <w:color w:val="auto"/>
                <w:sz w:val="20"/>
              </w:rPr>
              <w:t>As a result, there was an increase in the deferred tax liability of INR 108 and an increase in the non-controlling interest of INR 50. There was also a corresponding reduction in goodwill of INR 20</w:t>
            </w:r>
            <w:r w:rsidR="00E3271E" w:rsidRPr="00E70587">
              <w:rPr>
                <w:rFonts w:ascii="Arial" w:hAnsi="Arial"/>
                <w:color w:val="auto"/>
                <w:sz w:val="20"/>
              </w:rPr>
              <w:t>2</w:t>
            </w:r>
            <w:r w:rsidRPr="00E70587">
              <w:rPr>
                <w:rFonts w:ascii="Arial" w:hAnsi="Arial"/>
                <w:color w:val="auto"/>
                <w:sz w:val="20"/>
              </w:rPr>
              <w:t>, resulting in INR 23</w:t>
            </w:r>
            <w:r w:rsidR="00E3271E" w:rsidRPr="00E70587">
              <w:rPr>
                <w:rFonts w:ascii="Arial" w:hAnsi="Arial"/>
                <w:color w:val="auto"/>
                <w:sz w:val="20"/>
              </w:rPr>
              <w:t>6</w:t>
            </w:r>
            <w:r w:rsidRPr="00E70587">
              <w:rPr>
                <w:rFonts w:ascii="Arial" w:hAnsi="Arial"/>
                <w:color w:val="auto"/>
                <w:sz w:val="20"/>
              </w:rPr>
              <w:t xml:space="preserve"> of total goodwill arising on the acquisition. The group has used final values in preparing its numbers for the year ended 31 </w:t>
            </w:r>
            <w:r w:rsidR="008B730E" w:rsidRPr="00E70587">
              <w:rPr>
                <w:rFonts w:ascii="Arial" w:hAnsi="Arial"/>
                <w:color w:val="auto"/>
                <w:sz w:val="20"/>
              </w:rPr>
              <w:t xml:space="preserve">March </w:t>
            </w:r>
            <w:r w:rsidR="00A77CE8" w:rsidRPr="00E70587">
              <w:rPr>
                <w:rFonts w:ascii="Arial" w:hAnsi="Arial"/>
                <w:color w:val="auto"/>
                <w:sz w:val="20"/>
              </w:rPr>
              <w:t>20</w:t>
            </w:r>
            <w:r w:rsidR="00A77CE8">
              <w:rPr>
                <w:rFonts w:ascii="Arial" w:hAnsi="Arial"/>
                <w:color w:val="auto"/>
                <w:sz w:val="20"/>
              </w:rPr>
              <w:t>20</w:t>
            </w:r>
          </w:p>
          <w:p w14:paraId="2D6BC6BF" w14:textId="77777777" w:rsidR="00A17C17" w:rsidRPr="00E70587" w:rsidRDefault="00A17C17" w:rsidP="00F53583">
            <w:pPr>
              <w:spacing w:line="280" w:lineRule="exact"/>
              <w:jc w:val="both"/>
              <w:rPr>
                <w:rFonts w:ascii="Arial" w:hAnsi="Arial" w:cs="Arial"/>
                <w:sz w:val="20"/>
              </w:rPr>
            </w:pPr>
          </w:p>
          <w:p w14:paraId="1AB45E76" w14:textId="77777777" w:rsidR="00A17C17" w:rsidRPr="00E70587" w:rsidRDefault="00A17C17" w:rsidP="00F53583">
            <w:pPr>
              <w:spacing w:line="280" w:lineRule="exact"/>
              <w:jc w:val="both"/>
              <w:rPr>
                <w:rFonts w:ascii="Arial" w:hAnsi="Arial" w:cs="Arial"/>
                <w:sz w:val="20"/>
              </w:rPr>
            </w:pPr>
            <w:r w:rsidRPr="00E70587">
              <w:rPr>
                <w:rFonts w:ascii="Arial" w:hAnsi="Arial" w:cs="Arial"/>
                <w:sz w:val="20"/>
              </w:rPr>
              <w:t>The fair value of trade receivable amounts to INR</w:t>
            </w:r>
            <w:r w:rsidR="00F53583" w:rsidRPr="00E70587">
              <w:rPr>
                <w:rFonts w:ascii="Arial" w:hAnsi="Arial" w:cs="Arial"/>
                <w:sz w:val="20"/>
              </w:rPr>
              <w:t xml:space="preserve"> </w:t>
            </w:r>
            <w:r w:rsidRPr="00E70587">
              <w:rPr>
                <w:rFonts w:ascii="Arial" w:hAnsi="Arial" w:cs="Arial"/>
                <w:sz w:val="20"/>
              </w:rPr>
              <w:t>1</w:t>
            </w:r>
            <w:r w:rsidR="00E3271E" w:rsidRPr="00E70587">
              <w:rPr>
                <w:rFonts w:ascii="Arial" w:hAnsi="Arial" w:cs="Arial"/>
                <w:sz w:val="20"/>
              </w:rPr>
              <w:t>,</w:t>
            </w:r>
            <w:r w:rsidRPr="00E70587">
              <w:rPr>
                <w:rFonts w:ascii="Arial" w:hAnsi="Arial" w:cs="Arial"/>
                <w:sz w:val="20"/>
              </w:rPr>
              <w:t>535, which approximates their gross carrying amount. None of the trade receivables were impaired and the full contractual amounts were expected to be credited.</w:t>
            </w:r>
          </w:p>
          <w:p w14:paraId="14989CE0" w14:textId="77777777" w:rsidR="00A17C17" w:rsidRPr="00E70587" w:rsidRDefault="00A17C17" w:rsidP="009A5E2F">
            <w:pPr>
              <w:spacing w:line="280" w:lineRule="exact"/>
              <w:rPr>
                <w:rFonts w:ascii="Arial" w:hAnsi="Arial" w:cs="Arial"/>
                <w:sz w:val="20"/>
              </w:rPr>
            </w:pPr>
          </w:p>
        </w:tc>
      </w:tr>
      <w:tr w:rsidR="00A17C17" w:rsidRPr="00E70587" w14:paraId="73F66AE9" w14:textId="77777777" w:rsidTr="009A5E2F">
        <w:tc>
          <w:tcPr>
            <w:tcW w:w="0" w:type="auto"/>
          </w:tcPr>
          <w:p w14:paraId="1745E803" w14:textId="28D6FADE" w:rsidR="00A17C17" w:rsidRPr="00E70587" w:rsidRDefault="00A17C17" w:rsidP="00F53583">
            <w:pPr>
              <w:pStyle w:val="Notesbodytext"/>
              <w:spacing w:after="0" w:line="280" w:lineRule="exact"/>
              <w:jc w:val="both"/>
              <w:rPr>
                <w:rFonts w:ascii="Arial" w:hAnsi="Arial"/>
                <w:color w:val="auto"/>
                <w:sz w:val="20"/>
              </w:rPr>
            </w:pPr>
            <w:r w:rsidRPr="00E70587">
              <w:rPr>
                <w:rFonts w:ascii="Arial" w:hAnsi="Arial"/>
                <w:color w:val="auto"/>
                <w:sz w:val="20"/>
              </w:rPr>
              <w:t>From the date of acquisition, Lightbulbs Limited contributed INR 85</w:t>
            </w:r>
            <w:r w:rsidR="00E3271E" w:rsidRPr="00E70587">
              <w:rPr>
                <w:rFonts w:ascii="Arial" w:hAnsi="Arial"/>
                <w:color w:val="auto"/>
                <w:sz w:val="20"/>
              </w:rPr>
              <w:t>7</w:t>
            </w:r>
            <w:r w:rsidRPr="00E70587">
              <w:rPr>
                <w:rFonts w:ascii="Arial" w:hAnsi="Arial"/>
                <w:color w:val="auto"/>
                <w:sz w:val="20"/>
              </w:rPr>
              <w:t xml:space="preserve"> of revenue and INR 36 to profit before tax from continuing operations of the Group. If the combination had taken place at the beginning of year ended 31 </w:t>
            </w:r>
            <w:r w:rsidR="008B730E" w:rsidRPr="00E70587">
              <w:rPr>
                <w:rFonts w:ascii="Arial" w:hAnsi="Arial"/>
                <w:color w:val="auto"/>
                <w:sz w:val="20"/>
              </w:rPr>
              <w:t xml:space="preserve">March </w:t>
            </w:r>
            <w:r w:rsidR="00A77CE8" w:rsidRPr="00E70587">
              <w:rPr>
                <w:rFonts w:ascii="Arial" w:hAnsi="Arial"/>
                <w:color w:val="auto"/>
                <w:sz w:val="20"/>
              </w:rPr>
              <w:t>20</w:t>
            </w:r>
            <w:r w:rsidR="00A77CE8">
              <w:rPr>
                <w:rFonts w:ascii="Arial" w:hAnsi="Arial"/>
                <w:color w:val="auto"/>
                <w:sz w:val="20"/>
              </w:rPr>
              <w:t>20</w:t>
            </w:r>
            <w:r w:rsidRPr="00E70587">
              <w:rPr>
                <w:rFonts w:ascii="Arial" w:hAnsi="Arial"/>
                <w:color w:val="auto"/>
                <w:sz w:val="20"/>
              </w:rPr>
              <w:t>, the Groups revenue from continuing operations would have been INR 356,540 Lacs and the profit before tax from continuing operations would have been INR 14,130 Lacs.</w:t>
            </w:r>
          </w:p>
          <w:p w14:paraId="6FE27CE0" w14:textId="77777777" w:rsidR="00A17C17" w:rsidRPr="00E70587" w:rsidRDefault="00A17C17" w:rsidP="00F53583">
            <w:pPr>
              <w:pStyle w:val="IAStext"/>
              <w:spacing w:line="280" w:lineRule="exact"/>
              <w:jc w:val="both"/>
              <w:rPr>
                <w:rFonts w:ascii="Arial" w:hAnsi="Arial" w:cs="Arial"/>
                <w:i w:val="0"/>
                <w:sz w:val="20"/>
                <w:lang w:val="en-IN"/>
              </w:rPr>
            </w:pPr>
          </w:p>
          <w:p w14:paraId="5EDD89A5" w14:textId="77777777" w:rsidR="00A17C17" w:rsidRPr="00E70587" w:rsidRDefault="00A17C17" w:rsidP="006D2A68">
            <w:pPr>
              <w:spacing w:line="280" w:lineRule="exact"/>
              <w:jc w:val="both"/>
              <w:rPr>
                <w:rFonts w:ascii="Arial" w:hAnsi="Arial" w:cs="Arial"/>
                <w:sz w:val="20"/>
              </w:rPr>
            </w:pPr>
            <w:r w:rsidRPr="00E70587">
              <w:rPr>
                <w:rFonts w:ascii="Arial" w:hAnsi="Arial" w:cs="Arial"/>
                <w:sz w:val="20"/>
              </w:rPr>
              <w:t>The goodwill of INR 23</w:t>
            </w:r>
            <w:r w:rsidR="00A73363" w:rsidRPr="00E70587">
              <w:rPr>
                <w:rFonts w:ascii="Arial" w:hAnsi="Arial" w:cs="Arial"/>
                <w:sz w:val="20"/>
              </w:rPr>
              <w:t>6</w:t>
            </w:r>
            <w:r w:rsidR="006D2A68" w:rsidRPr="00E70587">
              <w:rPr>
                <w:rFonts w:ascii="Arial" w:hAnsi="Arial" w:cs="Arial"/>
                <w:sz w:val="20"/>
              </w:rPr>
              <w:t xml:space="preserve"> lacs</w:t>
            </w:r>
            <w:r w:rsidRPr="00E70587">
              <w:rPr>
                <w:rFonts w:ascii="Arial" w:hAnsi="Arial" w:cs="Arial"/>
                <w:sz w:val="20"/>
              </w:rPr>
              <w:t xml:space="preserve"> comprises the fair value of expected synergies arising from acquisition. Goodwill is allocated entirely to the electronic segment. None of the recognized </w:t>
            </w:r>
            <w:r w:rsidR="00F53583" w:rsidRPr="00E70587">
              <w:rPr>
                <w:rFonts w:ascii="Arial" w:hAnsi="Arial" w:cs="Arial"/>
                <w:sz w:val="20"/>
              </w:rPr>
              <w:t xml:space="preserve">goodwill </w:t>
            </w:r>
            <w:r w:rsidRPr="00E70587">
              <w:rPr>
                <w:rFonts w:ascii="Arial" w:hAnsi="Arial" w:cs="Arial"/>
                <w:sz w:val="20"/>
              </w:rPr>
              <w:t>is deductible for income tax purposes.</w:t>
            </w:r>
          </w:p>
        </w:tc>
      </w:tr>
    </w:tbl>
    <w:p w14:paraId="4F706308" w14:textId="77777777" w:rsidR="00811B92" w:rsidRPr="00E70587" w:rsidRDefault="00811B92" w:rsidP="009901E1">
      <w:pPr>
        <w:spacing w:line="280" w:lineRule="exact"/>
        <w:rPr>
          <w:rFonts w:ascii="Arial" w:hAnsi="Arial" w:cs="Arial"/>
          <w:sz w:val="20"/>
        </w:rPr>
      </w:pPr>
    </w:p>
    <w:tbl>
      <w:tblPr>
        <w:tblStyle w:val="TableGrid"/>
        <w:tblW w:w="0" w:type="auto"/>
        <w:shd w:val="clear" w:color="auto" w:fill="A2A2A2" w:themeFill="background1" w:themeFillTint="99"/>
        <w:tblLook w:val="04A0" w:firstRow="1" w:lastRow="0" w:firstColumn="1" w:lastColumn="0" w:noHBand="0" w:noVBand="1"/>
      </w:tblPr>
      <w:tblGrid>
        <w:gridCol w:w="9350"/>
      </w:tblGrid>
      <w:tr w:rsidR="00F53583" w:rsidRPr="00E70587" w14:paraId="323A4585" w14:textId="77777777" w:rsidTr="00F53583">
        <w:tc>
          <w:tcPr>
            <w:tcW w:w="9576" w:type="dxa"/>
            <w:shd w:val="clear" w:color="auto" w:fill="A2A2A2" w:themeFill="background1" w:themeFillTint="99"/>
          </w:tcPr>
          <w:p w14:paraId="25940373" w14:textId="77777777" w:rsidR="00F53583" w:rsidRPr="00E70587" w:rsidRDefault="00F53583" w:rsidP="00F53583">
            <w:pPr>
              <w:spacing w:line="280" w:lineRule="exact"/>
              <w:jc w:val="both"/>
              <w:rPr>
                <w:rFonts w:ascii="Arial" w:hAnsi="Arial" w:cs="Arial"/>
                <w:b/>
                <w:sz w:val="20"/>
              </w:rPr>
            </w:pPr>
            <w:r w:rsidRPr="00E70587">
              <w:rPr>
                <w:rFonts w:ascii="Arial" w:hAnsi="Arial" w:cs="Arial"/>
                <w:b/>
                <w:sz w:val="20"/>
              </w:rPr>
              <w:t>Authors’ note</w:t>
            </w:r>
          </w:p>
          <w:p w14:paraId="3A550894" w14:textId="77777777" w:rsidR="00F53583" w:rsidRPr="00E70587" w:rsidRDefault="00F53583" w:rsidP="00F53583">
            <w:pPr>
              <w:spacing w:line="280" w:lineRule="exact"/>
              <w:jc w:val="both"/>
              <w:rPr>
                <w:rFonts w:ascii="Arial" w:hAnsi="Arial" w:cs="Arial"/>
                <w:sz w:val="20"/>
              </w:rPr>
            </w:pPr>
          </w:p>
          <w:p w14:paraId="6B36D946" w14:textId="1C73F4EA" w:rsidR="00F53583" w:rsidRPr="00E70587" w:rsidRDefault="00F53583" w:rsidP="00F53583">
            <w:pPr>
              <w:spacing w:line="280" w:lineRule="exact"/>
              <w:jc w:val="both"/>
              <w:rPr>
                <w:rFonts w:ascii="Arial" w:hAnsi="Arial" w:cs="Arial"/>
                <w:sz w:val="20"/>
              </w:rPr>
            </w:pPr>
            <w:r w:rsidRPr="00E70587">
              <w:rPr>
                <w:rFonts w:ascii="Arial" w:hAnsi="Arial" w:cs="Arial"/>
                <w:sz w:val="20"/>
              </w:rPr>
              <w:t xml:space="preserve">During the year ended 31 </w:t>
            </w:r>
            <w:r w:rsidR="008B730E" w:rsidRPr="00E70587">
              <w:rPr>
                <w:rFonts w:ascii="Arial" w:hAnsi="Arial" w:cs="Arial"/>
                <w:sz w:val="20"/>
              </w:rPr>
              <w:t xml:space="preserve">March </w:t>
            </w:r>
            <w:r w:rsidR="00C665EB" w:rsidRPr="00E70587">
              <w:rPr>
                <w:rFonts w:ascii="Arial" w:hAnsi="Arial" w:cs="Arial"/>
                <w:sz w:val="20"/>
              </w:rPr>
              <w:t>20</w:t>
            </w:r>
            <w:r w:rsidR="00C665EB">
              <w:rPr>
                <w:rFonts w:ascii="Arial" w:hAnsi="Arial" w:cs="Arial"/>
                <w:sz w:val="20"/>
              </w:rPr>
              <w:t>20</w:t>
            </w:r>
            <w:r w:rsidRPr="00E70587">
              <w:rPr>
                <w:rFonts w:ascii="Arial" w:hAnsi="Arial" w:cs="Arial"/>
                <w:sz w:val="20"/>
              </w:rPr>
              <w:t xml:space="preserve">, business combination the Group elected to value the non-controlling interest by its proportionate share of the acquiree’s identifiable net assets. During the year ended 31 </w:t>
            </w:r>
            <w:r w:rsidR="00E1202D" w:rsidRPr="00E70587">
              <w:rPr>
                <w:rFonts w:ascii="Arial" w:hAnsi="Arial" w:cs="Arial"/>
                <w:sz w:val="20"/>
              </w:rPr>
              <w:t xml:space="preserve">March </w:t>
            </w:r>
            <w:r w:rsidR="00C665EB" w:rsidRPr="00E70587">
              <w:rPr>
                <w:rFonts w:ascii="Arial" w:hAnsi="Arial" w:cs="Arial"/>
                <w:sz w:val="20"/>
              </w:rPr>
              <w:t>20</w:t>
            </w:r>
            <w:r w:rsidR="00C665EB">
              <w:rPr>
                <w:rFonts w:ascii="Arial" w:hAnsi="Arial" w:cs="Arial"/>
                <w:sz w:val="20"/>
              </w:rPr>
              <w:t>21</w:t>
            </w:r>
            <w:r w:rsidRPr="00E70587">
              <w:rPr>
                <w:rFonts w:ascii="Arial" w:hAnsi="Arial" w:cs="Arial"/>
                <w:sz w:val="20"/>
              </w:rPr>
              <w:t xml:space="preserve">, business combination, the Group elected to value the non-controlling interest at fair value. This election can be made separately for each business </w:t>
            </w:r>
            <w:r w:rsidR="00C665EB" w:rsidRPr="00E70587">
              <w:rPr>
                <w:rFonts w:ascii="Arial" w:hAnsi="Arial" w:cs="Arial"/>
                <w:sz w:val="20"/>
              </w:rPr>
              <w:t>combination and</w:t>
            </w:r>
            <w:r w:rsidRPr="00E70587">
              <w:rPr>
                <w:rFonts w:ascii="Arial" w:hAnsi="Arial" w:cs="Arial"/>
                <w:sz w:val="20"/>
              </w:rPr>
              <w:t xml:space="preserve"> is not a policy choice that determines an accounting treatment for all business combinations the Group will carry out.</w:t>
            </w:r>
          </w:p>
        </w:tc>
      </w:tr>
    </w:tbl>
    <w:p w14:paraId="0089D929" w14:textId="77777777" w:rsidR="00F53583" w:rsidRPr="00E70587" w:rsidRDefault="00F53583" w:rsidP="009901E1">
      <w:pPr>
        <w:spacing w:line="280" w:lineRule="exact"/>
        <w:rPr>
          <w:rFonts w:ascii="Arial" w:hAnsi="Arial" w:cs="Arial"/>
          <w:sz w:val="20"/>
        </w:rPr>
      </w:pPr>
    </w:p>
    <w:p w14:paraId="435CA534" w14:textId="77777777" w:rsidR="00811B92" w:rsidRPr="00E70587" w:rsidRDefault="00811B92"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Material partly-owned subsidiaries</w:t>
      </w:r>
    </w:p>
    <w:p w14:paraId="543A9548" w14:textId="77777777" w:rsidR="00FA7688" w:rsidRPr="00E70587" w:rsidRDefault="00FA7688" w:rsidP="00F53583">
      <w:pPr>
        <w:spacing w:line="280" w:lineRule="exact"/>
        <w:rPr>
          <w:rFonts w:ascii="Arial" w:hAnsi="Arial" w:cs="Arial"/>
          <w:sz w:val="20"/>
        </w:rPr>
      </w:pPr>
    </w:p>
    <w:p w14:paraId="667DC4D8" w14:textId="77777777" w:rsidR="00811B92" w:rsidRPr="00E70587" w:rsidRDefault="00811B92" w:rsidP="00F53583">
      <w:pPr>
        <w:spacing w:line="280" w:lineRule="exact"/>
        <w:jc w:val="both"/>
        <w:rPr>
          <w:rFonts w:ascii="Arial" w:hAnsi="Arial" w:cs="Arial"/>
          <w:b/>
          <w:sz w:val="20"/>
        </w:rPr>
      </w:pPr>
      <w:r w:rsidRPr="00E70587">
        <w:rPr>
          <w:rFonts w:ascii="Arial" w:hAnsi="Arial" w:cs="Arial"/>
          <w:b/>
          <w:sz w:val="20"/>
        </w:rPr>
        <w:t>Financial information of subsidiaries that have material non-controlling interests are provided below:</w:t>
      </w:r>
    </w:p>
    <w:p w14:paraId="01F57C92" w14:textId="77777777" w:rsidR="00F53583" w:rsidRPr="00E70587" w:rsidRDefault="00F53583" w:rsidP="00F53583">
      <w:pPr>
        <w:spacing w:line="280" w:lineRule="exact"/>
        <w:jc w:val="both"/>
        <w:rPr>
          <w:rFonts w:ascii="Arial" w:hAnsi="Arial" w:cs="Arial"/>
          <w:sz w:val="20"/>
        </w:rPr>
      </w:pPr>
    </w:p>
    <w:tbl>
      <w:tblPr>
        <w:tblW w:w="9351" w:type="dxa"/>
        <w:tblLayout w:type="fixed"/>
        <w:tblCellMar>
          <w:left w:w="72" w:type="dxa"/>
          <w:right w:w="72" w:type="dxa"/>
        </w:tblCellMar>
        <w:tblLook w:val="01E0" w:firstRow="1" w:lastRow="1" w:firstColumn="1" w:lastColumn="1" w:noHBand="0" w:noVBand="0"/>
      </w:tblPr>
      <w:tblGrid>
        <w:gridCol w:w="4680"/>
        <w:gridCol w:w="1588"/>
        <w:gridCol w:w="1583"/>
        <w:gridCol w:w="1500"/>
      </w:tblGrid>
      <w:tr w:rsidR="00330EAA" w:rsidRPr="00E70587" w14:paraId="641DAC2D" w14:textId="77777777" w:rsidTr="00C71497">
        <w:tc>
          <w:tcPr>
            <w:tcW w:w="9351" w:type="dxa"/>
            <w:gridSpan w:val="4"/>
            <w:vAlign w:val="center"/>
          </w:tcPr>
          <w:p w14:paraId="41B8A84F" w14:textId="77777777" w:rsidR="00330EAA" w:rsidRPr="00E70587" w:rsidRDefault="00330EA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Proportion of equity interest held by non-controlling interests:</w:t>
            </w:r>
          </w:p>
        </w:tc>
      </w:tr>
      <w:tr w:rsidR="00330EAA" w:rsidRPr="00E70587" w14:paraId="212A4B7C" w14:textId="77777777" w:rsidTr="00C71497">
        <w:tc>
          <w:tcPr>
            <w:tcW w:w="4680" w:type="dxa"/>
            <w:vAlign w:val="bottom"/>
          </w:tcPr>
          <w:p w14:paraId="61632425" w14:textId="77777777" w:rsidR="00330EAA" w:rsidRPr="00E70587" w:rsidRDefault="00330EA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Name </w:t>
            </w:r>
          </w:p>
        </w:tc>
        <w:tc>
          <w:tcPr>
            <w:tcW w:w="1588" w:type="dxa"/>
            <w:vAlign w:val="center"/>
          </w:tcPr>
          <w:p w14:paraId="336E8B90" w14:textId="77777777"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Country of incorporation and operation</w:t>
            </w:r>
          </w:p>
        </w:tc>
        <w:tc>
          <w:tcPr>
            <w:tcW w:w="1583" w:type="dxa"/>
            <w:tcBorders>
              <w:bottom w:val="single" w:sz="4" w:space="0" w:color="auto"/>
            </w:tcBorders>
            <w:vAlign w:val="bottom"/>
          </w:tcPr>
          <w:p w14:paraId="32ECF146" w14:textId="27876A35"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570BAF" w:rsidRPr="00E70587">
              <w:rPr>
                <w:rFonts w:ascii="Arial" w:hAnsi="Arial"/>
                <w:color w:val="auto"/>
                <w:sz w:val="20"/>
                <w:szCs w:val="20"/>
                <w:lang w:val="en-IN"/>
              </w:rPr>
              <w:t>20</w:t>
            </w:r>
            <w:r w:rsidR="00570BAF">
              <w:rPr>
                <w:rFonts w:ascii="Arial" w:hAnsi="Arial"/>
                <w:color w:val="auto"/>
                <w:sz w:val="20"/>
                <w:szCs w:val="20"/>
                <w:lang w:val="en-IN"/>
              </w:rPr>
              <w:t>21</w:t>
            </w:r>
          </w:p>
        </w:tc>
        <w:tc>
          <w:tcPr>
            <w:tcW w:w="1500" w:type="dxa"/>
            <w:tcBorders>
              <w:bottom w:val="single" w:sz="4" w:space="0" w:color="auto"/>
            </w:tcBorders>
            <w:vAlign w:val="bottom"/>
          </w:tcPr>
          <w:p w14:paraId="46F0DBBA" w14:textId="11024BBF"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570BAF" w:rsidRPr="00E70587">
              <w:rPr>
                <w:rFonts w:ascii="Arial" w:hAnsi="Arial"/>
                <w:color w:val="auto"/>
                <w:sz w:val="20"/>
                <w:szCs w:val="20"/>
                <w:lang w:val="en-IN"/>
              </w:rPr>
              <w:t>20</w:t>
            </w:r>
            <w:r w:rsidR="00570BAF">
              <w:rPr>
                <w:rFonts w:ascii="Arial" w:hAnsi="Arial"/>
                <w:color w:val="auto"/>
                <w:sz w:val="20"/>
                <w:szCs w:val="20"/>
                <w:lang w:val="en-IN"/>
              </w:rPr>
              <w:t>20</w:t>
            </w:r>
            <w:r w:rsidR="00570BAF" w:rsidRPr="00E70587">
              <w:rPr>
                <w:rFonts w:ascii="Arial" w:hAnsi="Arial"/>
                <w:color w:val="auto"/>
                <w:sz w:val="20"/>
                <w:szCs w:val="20"/>
                <w:lang w:val="en-IN"/>
              </w:rPr>
              <w:t xml:space="preserve"> </w:t>
            </w:r>
          </w:p>
        </w:tc>
      </w:tr>
      <w:tr w:rsidR="00330EAA" w:rsidRPr="00E70587" w14:paraId="73F9A527" w14:textId="77777777" w:rsidTr="00C71497">
        <w:tc>
          <w:tcPr>
            <w:tcW w:w="4680" w:type="dxa"/>
            <w:tcMar>
              <w:top w:w="28" w:type="dxa"/>
              <w:left w:w="108" w:type="dxa"/>
              <w:right w:w="108" w:type="dxa"/>
            </w:tcMar>
          </w:tcPr>
          <w:p w14:paraId="6E9E9083" w14:textId="77777777" w:rsidR="00330EAA" w:rsidRPr="00E70587" w:rsidRDefault="00330EAA" w:rsidP="009901E1">
            <w:pPr>
              <w:spacing w:line="280" w:lineRule="exact"/>
              <w:rPr>
                <w:rFonts w:ascii="Arial" w:hAnsi="Arial" w:cs="Arial"/>
                <w:sz w:val="20"/>
              </w:rPr>
            </w:pPr>
            <w:r w:rsidRPr="00E70587">
              <w:rPr>
                <w:rFonts w:ascii="Arial" w:hAnsi="Arial" w:cs="Arial"/>
                <w:sz w:val="20"/>
              </w:rPr>
              <w:t xml:space="preserve">Electronics Limited </w:t>
            </w:r>
          </w:p>
        </w:tc>
        <w:tc>
          <w:tcPr>
            <w:tcW w:w="1588" w:type="dxa"/>
            <w:tcMar>
              <w:top w:w="28" w:type="dxa"/>
              <w:left w:w="108" w:type="dxa"/>
              <w:right w:w="108" w:type="dxa"/>
            </w:tcMar>
            <w:vAlign w:val="bottom"/>
          </w:tcPr>
          <w:p w14:paraId="541AE1D5"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India</w:t>
            </w:r>
          </w:p>
        </w:tc>
        <w:tc>
          <w:tcPr>
            <w:tcW w:w="1583" w:type="dxa"/>
            <w:tcBorders>
              <w:top w:val="single" w:sz="4" w:space="0" w:color="auto"/>
            </w:tcBorders>
            <w:vAlign w:val="bottom"/>
          </w:tcPr>
          <w:p w14:paraId="2656861E"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52%</w:t>
            </w:r>
          </w:p>
        </w:tc>
        <w:tc>
          <w:tcPr>
            <w:tcW w:w="1500" w:type="dxa"/>
            <w:tcBorders>
              <w:top w:val="single" w:sz="4" w:space="0" w:color="auto"/>
            </w:tcBorders>
            <w:vAlign w:val="bottom"/>
          </w:tcPr>
          <w:p w14:paraId="6063E94A"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52%</w:t>
            </w:r>
          </w:p>
        </w:tc>
      </w:tr>
      <w:tr w:rsidR="00330EAA" w:rsidRPr="00E70587" w14:paraId="04674401" w14:textId="77777777" w:rsidTr="00C71497">
        <w:tc>
          <w:tcPr>
            <w:tcW w:w="4680" w:type="dxa"/>
            <w:tcMar>
              <w:top w:w="28" w:type="dxa"/>
              <w:left w:w="108" w:type="dxa"/>
              <w:right w:w="108" w:type="dxa"/>
            </w:tcMar>
          </w:tcPr>
          <w:p w14:paraId="4B41D13D" w14:textId="77777777" w:rsidR="00330EAA" w:rsidRPr="00E70587" w:rsidRDefault="00330EAA" w:rsidP="009901E1">
            <w:pPr>
              <w:spacing w:line="280" w:lineRule="exact"/>
              <w:rPr>
                <w:rFonts w:ascii="Arial" w:hAnsi="Arial" w:cs="Arial"/>
                <w:sz w:val="20"/>
              </w:rPr>
            </w:pPr>
            <w:r w:rsidRPr="00E70587">
              <w:rPr>
                <w:rFonts w:ascii="Arial" w:hAnsi="Arial" w:cs="Arial"/>
                <w:sz w:val="20"/>
              </w:rPr>
              <w:t>Extinguishers Limited</w:t>
            </w:r>
          </w:p>
        </w:tc>
        <w:tc>
          <w:tcPr>
            <w:tcW w:w="1588" w:type="dxa"/>
            <w:tcMar>
              <w:top w:w="28" w:type="dxa"/>
              <w:left w:w="108" w:type="dxa"/>
              <w:right w:w="108" w:type="dxa"/>
            </w:tcMar>
            <w:vAlign w:val="bottom"/>
          </w:tcPr>
          <w:p w14:paraId="3704E59B"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India</w:t>
            </w:r>
          </w:p>
        </w:tc>
        <w:tc>
          <w:tcPr>
            <w:tcW w:w="1583" w:type="dxa"/>
            <w:vAlign w:val="bottom"/>
          </w:tcPr>
          <w:p w14:paraId="51E939FC"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20%</w:t>
            </w:r>
          </w:p>
        </w:tc>
        <w:tc>
          <w:tcPr>
            <w:tcW w:w="1500" w:type="dxa"/>
            <w:vAlign w:val="bottom"/>
          </w:tcPr>
          <w:p w14:paraId="7B6247BE"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r>
      <w:tr w:rsidR="00330EAA" w:rsidRPr="00E70587" w14:paraId="0749EDFC" w14:textId="77777777" w:rsidTr="00C71497">
        <w:tc>
          <w:tcPr>
            <w:tcW w:w="4680" w:type="dxa"/>
            <w:tcMar>
              <w:top w:w="28" w:type="dxa"/>
              <w:left w:w="108" w:type="dxa"/>
              <w:right w:w="108" w:type="dxa"/>
            </w:tcMar>
          </w:tcPr>
          <w:p w14:paraId="08A89722" w14:textId="77777777" w:rsidR="00330EAA" w:rsidRPr="00E70587" w:rsidRDefault="00330EAA" w:rsidP="009901E1">
            <w:pPr>
              <w:spacing w:line="280" w:lineRule="exact"/>
              <w:rPr>
                <w:rFonts w:ascii="Arial" w:hAnsi="Arial" w:cs="Arial"/>
                <w:sz w:val="20"/>
              </w:rPr>
            </w:pPr>
            <w:r w:rsidRPr="00E70587">
              <w:rPr>
                <w:rFonts w:ascii="Arial" w:hAnsi="Arial" w:cs="Arial"/>
                <w:sz w:val="20"/>
              </w:rPr>
              <w:t>Lightbulbs Limited</w:t>
            </w:r>
          </w:p>
        </w:tc>
        <w:tc>
          <w:tcPr>
            <w:tcW w:w="1588" w:type="dxa"/>
            <w:tcMar>
              <w:top w:w="28" w:type="dxa"/>
              <w:left w:w="108" w:type="dxa"/>
              <w:right w:w="108" w:type="dxa"/>
            </w:tcMar>
            <w:vAlign w:val="bottom"/>
          </w:tcPr>
          <w:p w14:paraId="46BAB2BE"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India</w:t>
            </w:r>
          </w:p>
        </w:tc>
        <w:tc>
          <w:tcPr>
            <w:tcW w:w="1583" w:type="dxa"/>
            <w:vAlign w:val="bottom"/>
          </w:tcPr>
          <w:p w14:paraId="0367F021"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12.6%</w:t>
            </w:r>
          </w:p>
        </w:tc>
        <w:tc>
          <w:tcPr>
            <w:tcW w:w="1500" w:type="dxa"/>
            <w:vAlign w:val="bottom"/>
          </w:tcPr>
          <w:p w14:paraId="4573D1F1"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20%</w:t>
            </w:r>
          </w:p>
        </w:tc>
      </w:tr>
    </w:tbl>
    <w:p w14:paraId="3A3B9172" w14:textId="77777777" w:rsidR="000C755F" w:rsidRDefault="000C755F" w:rsidP="009901E1">
      <w:pPr>
        <w:spacing w:line="280" w:lineRule="exact"/>
        <w:rPr>
          <w:rFonts w:ascii="Arial" w:hAnsi="Arial" w:cs="Arial"/>
          <w:sz w:val="20"/>
        </w:rPr>
      </w:pPr>
    </w:p>
    <w:p w14:paraId="63DFA111" w14:textId="77777777" w:rsidR="00657499" w:rsidRPr="00E70587" w:rsidRDefault="00657499" w:rsidP="009901E1">
      <w:pPr>
        <w:spacing w:line="280" w:lineRule="exact"/>
        <w:rPr>
          <w:rFonts w:ascii="Arial" w:hAnsi="Arial" w:cs="Arial"/>
          <w:sz w:val="20"/>
        </w:rPr>
      </w:pPr>
    </w:p>
    <w:p w14:paraId="1A47A566" w14:textId="77777777" w:rsidR="000C755F" w:rsidRPr="00E70587" w:rsidRDefault="000C755F" w:rsidP="00F53583">
      <w:pPr>
        <w:spacing w:line="280" w:lineRule="exact"/>
        <w:jc w:val="both"/>
        <w:rPr>
          <w:rFonts w:ascii="Arial" w:hAnsi="Arial" w:cs="Arial"/>
          <w:b/>
          <w:sz w:val="20"/>
        </w:rPr>
      </w:pPr>
      <w:r w:rsidRPr="00E70587">
        <w:rPr>
          <w:rFonts w:ascii="Arial" w:hAnsi="Arial" w:cs="Arial"/>
          <w:b/>
          <w:sz w:val="20"/>
        </w:rPr>
        <w:t>Information regarding non-controlling interest</w:t>
      </w:r>
    </w:p>
    <w:p w14:paraId="49A0EB82" w14:textId="77777777" w:rsidR="00F53583" w:rsidRPr="00E70587" w:rsidRDefault="00F53583" w:rsidP="00F53583">
      <w:pPr>
        <w:spacing w:line="280" w:lineRule="exact"/>
        <w:jc w:val="both"/>
        <w:rPr>
          <w:rFonts w:ascii="Arial" w:hAnsi="Arial" w:cs="Arial"/>
          <w:sz w:val="20"/>
        </w:rPr>
      </w:pPr>
    </w:p>
    <w:tbl>
      <w:tblPr>
        <w:tblW w:w="9352" w:type="dxa"/>
        <w:tblLayout w:type="fixed"/>
        <w:tblCellMar>
          <w:left w:w="72" w:type="dxa"/>
          <w:right w:w="72" w:type="dxa"/>
        </w:tblCellMar>
        <w:tblLook w:val="01E0" w:firstRow="1" w:lastRow="1" w:firstColumn="1" w:lastColumn="1" w:noHBand="0" w:noVBand="0"/>
      </w:tblPr>
      <w:tblGrid>
        <w:gridCol w:w="4962"/>
        <w:gridCol w:w="1330"/>
        <w:gridCol w:w="1620"/>
        <w:gridCol w:w="1440"/>
      </w:tblGrid>
      <w:tr w:rsidR="00330EAA" w:rsidRPr="00E70587" w14:paraId="0D6EAD71" w14:textId="77777777" w:rsidTr="000A2ED4">
        <w:tc>
          <w:tcPr>
            <w:tcW w:w="4962" w:type="dxa"/>
            <w:tcMar>
              <w:top w:w="28" w:type="dxa"/>
              <w:left w:w="108" w:type="dxa"/>
              <w:right w:w="108" w:type="dxa"/>
            </w:tcMar>
          </w:tcPr>
          <w:p w14:paraId="3D77AF92" w14:textId="77777777" w:rsidR="00330EAA" w:rsidRPr="00E70587" w:rsidRDefault="00330EAA" w:rsidP="009901E1">
            <w:pPr>
              <w:pStyle w:val="Tablecolumnheading"/>
              <w:spacing w:line="280" w:lineRule="exact"/>
              <w:rPr>
                <w:rFonts w:ascii="Arial" w:hAnsi="Arial"/>
                <w:color w:val="auto"/>
                <w:sz w:val="20"/>
                <w:szCs w:val="20"/>
                <w:lang w:val="en-IN"/>
              </w:rPr>
            </w:pPr>
          </w:p>
        </w:tc>
        <w:tc>
          <w:tcPr>
            <w:tcW w:w="1330" w:type="dxa"/>
            <w:tcMar>
              <w:top w:w="28" w:type="dxa"/>
              <w:left w:w="108" w:type="dxa"/>
              <w:right w:w="108" w:type="dxa"/>
            </w:tcMar>
          </w:tcPr>
          <w:p w14:paraId="3397499C" w14:textId="77777777" w:rsidR="00330EAA" w:rsidRPr="00E70587" w:rsidRDefault="00330EAA" w:rsidP="009901E1">
            <w:pPr>
              <w:pStyle w:val="Tablecolumnheading"/>
              <w:spacing w:line="280" w:lineRule="exact"/>
              <w:rPr>
                <w:rFonts w:ascii="Arial" w:hAnsi="Arial"/>
                <w:color w:val="auto"/>
                <w:sz w:val="20"/>
                <w:szCs w:val="20"/>
                <w:lang w:val="en-IN"/>
              </w:rPr>
            </w:pPr>
          </w:p>
        </w:tc>
        <w:tc>
          <w:tcPr>
            <w:tcW w:w="1620" w:type="dxa"/>
            <w:tcBorders>
              <w:bottom w:val="single" w:sz="4" w:space="0" w:color="auto"/>
            </w:tcBorders>
          </w:tcPr>
          <w:p w14:paraId="4DEFA9C8" w14:textId="2020A5B9"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570BAF" w:rsidRPr="00E70587">
              <w:rPr>
                <w:rFonts w:ascii="Arial" w:hAnsi="Arial"/>
                <w:color w:val="auto"/>
                <w:sz w:val="20"/>
                <w:szCs w:val="20"/>
                <w:lang w:val="en-IN"/>
              </w:rPr>
              <w:t>20</w:t>
            </w:r>
            <w:r w:rsidR="00570BAF">
              <w:rPr>
                <w:rFonts w:ascii="Arial" w:hAnsi="Arial"/>
                <w:color w:val="auto"/>
                <w:sz w:val="20"/>
                <w:szCs w:val="20"/>
                <w:lang w:val="en-IN"/>
              </w:rPr>
              <w:t>21</w:t>
            </w:r>
          </w:p>
        </w:tc>
        <w:tc>
          <w:tcPr>
            <w:tcW w:w="1440" w:type="dxa"/>
            <w:tcBorders>
              <w:bottom w:val="single" w:sz="4" w:space="0" w:color="auto"/>
            </w:tcBorders>
          </w:tcPr>
          <w:p w14:paraId="7E513BC3" w14:textId="1F825AB0"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 xml:space="preserve"> 31 March </w:t>
            </w:r>
            <w:r w:rsidR="00570BAF" w:rsidRPr="00E70587">
              <w:rPr>
                <w:rFonts w:ascii="Arial" w:hAnsi="Arial" w:cs="Arial"/>
                <w:b/>
                <w:sz w:val="20"/>
                <w:lang w:val="en-IN"/>
              </w:rPr>
              <w:t>20</w:t>
            </w:r>
            <w:r w:rsidR="00570BAF">
              <w:rPr>
                <w:rFonts w:ascii="Arial" w:hAnsi="Arial" w:cs="Arial"/>
                <w:b/>
                <w:sz w:val="20"/>
                <w:lang w:val="en-IN"/>
              </w:rPr>
              <w:t>20</w:t>
            </w:r>
            <w:r w:rsidR="00570BAF" w:rsidRPr="00E70587">
              <w:rPr>
                <w:rFonts w:ascii="Arial" w:hAnsi="Arial" w:cs="Arial"/>
                <w:b/>
                <w:sz w:val="20"/>
                <w:lang w:val="en-IN"/>
              </w:rPr>
              <w:t xml:space="preserve"> </w:t>
            </w:r>
          </w:p>
        </w:tc>
      </w:tr>
      <w:tr w:rsidR="00330EAA" w:rsidRPr="00E70587" w14:paraId="761343D1" w14:textId="77777777" w:rsidTr="000A2ED4">
        <w:tc>
          <w:tcPr>
            <w:tcW w:w="4962" w:type="dxa"/>
            <w:tcMar>
              <w:top w:w="28" w:type="dxa"/>
              <w:left w:w="108" w:type="dxa"/>
              <w:right w:w="108" w:type="dxa"/>
            </w:tcMar>
          </w:tcPr>
          <w:p w14:paraId="6A00766E" w14:textId="77777777" w:rsidR="00330EAA" w:rsidRPr="00E70587" w:rsidRDefault="00330EAA" w:rsidP="009901E1">
            <w:pPr>
              <w:pStyle w:val="Tablecolumnheading"/>
              <w:spacing w:line="280" w:lineRule="exact"/>
              <w:rPr>
                <w:rFonts w:ascii="Arial" w:hAnsi="Arial"/>
                <w:color w:val="auto"/>
                <w:sz w:val="20"/>
                <w:szCs w:val="20"/>
                <w:lang w:val="en-IN"/>
              </w:rPr>
            </w:pPr>
          </w:p>
        </w:tc>
        <w:tc>
          <w:tcPr>
            <w:tcW w:w="1330" w:type="dxa"/>
            <w:tcMar>
              <w:top w:w="28" w:type="dxa"/>
              <w:left w:w="108" w:type="dxa"/>
              <w:right w:w="108" w:type="dxa"/>
            </w:tcMar>
            <w:vAlign w:val="bottom"/>
          </w:tcPr>
          <w:p w14:paraId="2ECC4483" w14:textId="77777777" w:rsidR="00330EAA" w:rsidRPr="00E70587" w:rsidRDefault="00330EAA" w:rsidP="009901E1">
            <w:pPr>
              <w:pStyle w:val="Tablecolumnheading"/>
              <w:spacing w:line="280" w:lineRule="exact"/>
              <w:rPr>
                <w:rFonts w:ascii="Arial" w:hAnsi="Arial"/>
                <w:color w:val="auto"/>
                <w:sz w:val="20"/>
                <w:szCs w:val="20"/>
                <w:lang w:val="en-IN"/>
              </w:rPr>
            </w:pPr>
          </w:p>
        </w:tc>
        <w:tc>
          <w:tcPr>
            <w:tcW w:w="1620" w:type="dxa"/>
            <w:tcBorders>
              <w:top w:val="single" w:sz="4" w:space="0" w:color="auto"/>
            </w:tcBorders>
            <w:vAlign w:val="bottom"/>
          </w:tcPr>
          <w:p w14:paraId="6D6D144D" w14:textId="77777777"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440" w:type="dxa"/>
            <w:tcBorders>
              <w:top w:val="single" w:sz="4" w:space="0" w:color="auto"/>
            </w:tcBorders>
            <w:vAlign w:val="bottom"/>
          </w:tcPr>
          <w:p w14:paraId="0CB0CF74"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(INR Lacs)</w:t>
            </w:r>
          </w:p>
        </w:tc>
      </w:tr>
      <w:tr w:rsidR="00330EAA" w:rsidRPr="00E70587" w14:paraId="2474C974" w14:textId="77777777" w:rsidTr="000A2ED4">
        <w:tc>
          <w:tcPr>
            <w:tcW w:w="7912" w:type="dxa"/>
            <w:gridSpan w:val="3"/>
            <w:tcMar>
              <w:top w:w="28" w:type="dxa"/>
              <w:left w:w="108" w:type="dxa"/>
              <w:right w:w="108" w:type="dxa"/>
            </w:tcMar>
          </w:tcPr>
          <w:p w14:paraId="5C1DAF59" w14:textId="77777777" w:rsidR="00330EAA" w:rsidRPr="00E70587" w:rsidRDefault="00330EA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Accumulated balances of material non-controlling interest:</w:t>
            </w:r>
          </w:p>
        </w:tc>
        <w:tc>
          <w:tcPr>
            <w:tcW w:w="1440" w:type="dxa"/>
            <w:vAlign w:val="bottom"/>
          </w:tcPr>
          <w:p w14:paraId="79DCBE13"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330EAA" w:rsidRPr="00E70587" w14:paraId="42907BC7" w14:textId="77777777" w:rsidTr="000A2ED4">
        <w:tc>
          <w:tcPr>
            <w:tcW w:w="4962" w:type="dxa"/>
            <w:tcMar>
              <w:top w:w="28" w:type="dxa"/>
              <w:left w:w="108" w:type="dxa"/>
              <w:right w:w="108" w:type="dxa"/>
            </w:tcMar>
          </w:tcPr>
          <w:p w14:paraId="2F612602" w14:textId="77777777" w:rsidR="00330EAA" w:rsidRPr="00E70587" w:rsidRDefault="00330EAA" w:rsidP="009901E1">
            <w:pPr>
              <w:spacing w:line="280" w:lineRule="exact"/>
              <w:rPr>
                <w:rFonts w:ascii="Arial" w:hAnsi="Arial" w:cs="Arial"/>
                <w:sz w:val="20"/>
              </w:rPr>
            </w:pPr>
            <w:r w:rsidRPr="00E70587">
              <w:rPr>
                <w:rFonts w:ascii="Arial" w:hAnsi="Arial" w:cs="Arial"/>
                <w:sz w:val="20"/>
              </w:rPr>
              <w:t xml:space="preserve">Electronics Limited </w:t>
            </w:r>
          </w:p>
        </w:tc>
        <w:tc>
          <w:tcPr>
            <w:tcW w:w="1330" w:type="dxa"/>
            <w:tcMar>
              <w:top w:w="28" w:type="dxa"/>
              <w:left w:w="108" w:type="dxa"/>
              <w:right w:w="108" w:type="dxa"/>
            </w:tcMar>
            <w:vAlign w:val="bottom"/>
          </w:tcPr>
          <w:p w14:paraId="3CFBDD6A"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620" w:type="dxa"/>
          </w:tcPr>
          <w:p w14:paraId="2569F850"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1,141</w:t>
            </w:r>
          </w:p>
        </w:tc>
        <w:tc>
          <w:tcPr>
            <w:tcW w:w="1440" w:type="dxa"/>
          </w:tcPr>
          <w:p w14:paraId="6D67CF81"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704</w:t>
            </w:r>
          </w:p>
        </w:tc>
      </w:tr>
      <w:tr w:rsidR="00330EAA" w:rsidRPr="00E70587" w14:paraId="12C27A76" w14:textId="77777777" w:rsidTr="000A2ED4">
        <w:tc>
          <w:tcPr>
            <w:tcW w:w="4962" w:type="dxa"/>
            <w:tcMar>
              <w:top w:w="28" w:type="dxa"/>
              <w:left w:w="108" w:type="dxa"/>
              <w:right w:w="108" w:type="dxa"/>
            </w:tcMar>
          </w:tcPr>
          <w:p w14:paraId="3BE95B22" w14:textId="77777777" w:rsidR="00330EAA" w:rsidRPr="00E70587" w:rsidRDefault="00330EAA" w:rsidP="009901E1">
            <w:pPr>
              <w:spacing w:line="280" w:lineRule="exact"/>
              <w:rPr>
                <w:rFonts w:ascii="Arial" w:hAnsi="Arial" w:cs="Arial"/>
                <w:sz w:val="20"/>
              </w:rPr>
            </w:pPr>
            <w:r w:rsidRPr="00E70587">
              <w:rPr>
                <w:rFonts w:ascii="Arial" w:hAnsi="Arial" w:cs="Arial"/>
                <w:sz w:val="20"/>
              </w:rPr>
              <w:t>Extinguishers Limited</w:t>
            </w:r>
          </w:p>
        </w:tc>
        <w:tc>
          <w:tcPr>
            <w:tcW w:w="1330" w:type="dxa"/>
            <w:tcMar>
              <w:top w:w="28" w:type="dxa"/>
              <w:left w:w="108" w:type="dxa"/>
              <w:right w:w="108" w:type="dxa"/>
            </w:tcMar>
            <w:vAlign w:val="bottom"/>
          </w:tcPr>
          <w:p w14:paraId="0259F907"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620" w:type="dxa"/>
          </w:tcPr>
          <w:p w14:paraId="50B33492"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2,357</w:t>
            </w:r>
          </w:p>
        </w:tc>
        <w:tc>
          <w:tcPr>
            <w:tcW w:w="1440" w:type="dxa"/>
          </w:tcPr>
          <w:p w14:paraId="05F49345" w14:textId="77777777" w:rsidR="00330EAA" w:rsidRPr="00E70587" w:rsidRDefault="00330EAA" w:rsidP="009901E1">
            <w:pPr>
              <w:overflowPunct/>
              <w:spacing w:line="280" w:lineRule="exact"/>
              <w:textAlignment w:val="auto"/>
              <w:rPr>
                <w:rFonts w:ascii="Arial" w:hAnsi="Arial" w:cs="Arial"/>
                <w:sz w:val="20"/>
                <w:lang w:eastAsia="en-GB"/>
              </w:rPr>
            </w:pPr>
            <w:r w:rsidRPr="00E70587">
              <w:rPr>
                <w:rFonts w:ascii="Arial" w:hAnsi="Arial" w:cs="Arial"/>
                <w:sz w:val="20"/>
                <w:lang w:eastAsia="en-GB"/>
              </w:rPr>
              <w:t>-</w:t>
            </w:r>
          </w:p>
        </w:tc>
      </w:tr>
      <w:tr w:rsidR="00330EAA" w:rsidRPr="00E70587" w14:paraId="25C4408E" w14:textId="77777777" w:rsidTr="000A2ED4">
        <w:tc>
          <w:tcPr>
            <w:tcW w:w="4962" w:type="dxa"/>
            <w:tcMar>
              <w:top w:w="28" w:type="dxa"/>
              <w:left w:w="108" w:type="dxa"/>
              <w:right w:w="108" w:type="dxa"/>
            </w:tcMar>
          </w:tcPr>
          <w:p w14:paraId="49E0C3C7" w14:textId="77777777" w:rsidR="00330EAA" w:rsidRPr="00E70587" w:rsidRDefault="00330EAA" w:rsidP="009901E1">
            <w:pPr>
              <w:spacing w:line="280" w:lineRule="exact"/>
              <w:rPr>
                <w:rFonts w:ascii="Arial" w:hAnsi="Arial" w:cs="Arial"/>
                <w:sz w:val="20"/>
              </w:rPr>
            </w:pPr>
            <w:r w:rsidRPr="00E70587">
              <w:rPr>
                <w:rFonts w:ascii="Arial" w:hAnsi="Arial" w:cs="Arial"/>
                <w:sz w:val="20"/>
              </w:rPr>
              <w:t>Lightbulbs Limited</w:t>
            </w:r>
          </w:p>
        </w:tc>
        <w:tc>
          <w:tcPr>
            <w:tcW w:w="1330" w:type="dxa"/>
            <w:tcMar>
              <w:top w:w="28" w:type="dxa"/>
              <w:left w:w="108" w:type="dxa"/>
              <w:right w:w="108" w:type="dxa"/>
            </w:tcMar>
            <w:vAlign w:val="bottom"/>
          </w:tcPr>
          <w:p w14:paraId="4EC38B00"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620" w:type="dxa"/>
          </w:tcPr>
          <w:p w14:paraId="3EB85372"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542</w:t>
            </w:r>
          </w:p>
        </w:tc>
        <w:tc>
          <w:tcPr>
            <w:tcW w:w="1440" w:type="dxa"/>
          </w:tcPr>
          <w:p w14:paraId="40660B17" w14:textId="77777777" w:rsidR="00330EAA" w:rsidRPr="00E70587" w:rsidRDefault="00330EA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592</w:t>
            </w:r>
          </w:p>
        </w:tc>
      </w:tr>
      <w:tr w:rsidR="00330EAA" w:rsidRPr="00E70587" w14:paraId="6BA346DB" w14:textId="77777777" w:rsidTr="000A2ED4">
        <w:tc>
          <w:tcPr>
            <w:tcW w:w="7912" w:type="dxa"/>
            <w:gridSpan w:val="3"/>
            <w:tcMar>
              <w:top w:w="28" w:type="dxa"/>
              <w:left w:w="108" w:type="dxa"/>
              <w:right w:w="108" w:type="dxa"/>
            </w:tcMar>
          </w:tcPr>
          <w:p w14:paraId="74ED6133" w14:textId="77777777" w:rsidR="00330EAA" w:rsidRPr="00E70587" w:rsidRDefault="00330EA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Profit/(loss) allocated to material non-controlling interest: </w:t>
            </w:r>
          </w:p>
        </w:tc>
        <w:tc>
          <w:tcPr>
            <w:tcW w:w="1440" w:type="dxa"/>
            <w:vAlign w:val="bottom"/>
          </w:tcPr>
          <w:p w14:paraId="51B6C4A8"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330EAA" w:rsidRPr="00E70587" w14:paraId="3A1014EE" w14:textId="77777777" w:rsidTr="000A2ED4">
        <w:tc>
          <w:tcPr>
            <w:tcW w:w="4962" w:type="dxa"/>
            <w:tcMar>
              <w:top w:w="28" w:type="dxa"/>
              <w:left w:w="108" w:type="dxa"/>
              <w:right w:w="108" w:type="dxa"/>
            </w:tcMar>
          </w:tcPr>
          <w:p w14:paraId="71E239FD" w14:textId="77777777" w:rsidR="00330EAA" w:rsidRPr="00E70587" w:rsidRDefault="00330EAA" w:rsidP="009901E1">
            <w:pPr>
              <w:spacing w:line="280" w:lineRule="exact"/>
              <w:rPr>
                <w:rFonts w:ascii="Arial" w:hAnsi="Arial" w:cs="Arial"/>
                <w:sz w:val="20"/>
              </w:rPr>
            </w:pPr>
            <w:r w:rsidRPr="00E70587">
              <w:rPr>
                <w:rFonts w:ascii="Arial" w:hAnsi="Arial" w:cs="Arial"/>
                <w:sz w:val="20"/>
              </w:rPr>
              <w:t xml:space="preserve">Electronics Limited </w:t>
            </w:r>
          </w:p>
        </w:tc>
        <w:tc>
          <w:tcPr>
            <w:tcW w:w="1330" w:type="dxa"/>
            <w:tcMar>
              <w:top w:w="28" w:type="dxa"/>
              <w:left w:w="108" w:type="dxa"/>
              <w:right w:w="108" w:type="dxa"/>
            </w:tcMar>
            <w:vAlign w:val="bottom"/>
          </w:tcPr>
          <w:p w14:paraId="0ED7979F"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620" w:type="dxa"/>
            <w:vAlign w:val="center"/>
          </w:tcPr>
          <w:p w14:paraId="7FE07A36"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 xml:space="preserve">437 </w:t>
            </w:r>
          </w:p>
        </w:tc>
        <w:tc>
          <w:tcPr>
            <w:tcW w:w="1440" w:type="dxa"/>
            <w:vAlign w:val="center"/>
          </w:tcPr>
          <w:p w14:paraId="61BD6672"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 xml:space="preserve"> 463 </w:t>
            </w:r>
          </w:p>
        </w:tc>
      </w:tr>
      <w:tr w:rsidR="00330EAA" w:rsidRPr="00E70587" w14:paraId="5D8DBC9D" w14:textId="77777777" w:rsidTr="000A2ED4">
        <w:tc>
          <w:tcPr>
            <w:tcW w:w="4962" w:type="dxa"/>
            <w:tcMar>
              <w:top w:w="28" w:type="dxa"/>
              <w:left w:w="108" w:type="dxa"/>
              <w:right w:w="108" w:type="dxa"/>
            </w:tcMar>
          </w:tcPr>
          <w:p w14:paraId="15FFCF6C" w14:textId="77777777" w:rsidR="00330EAA" w:rsidRPr="00E70587" w:rsidRDefault="00330EAA" w:rsidP="009901E1">
            <w:pPr>
              <w:spacing w:line="280" w:lineRule="exact"/>
              <w:rPr>
                <w:rFonts w:ascii="Arial" w:hAnsi="Arial" w:cs="Arial"/>
                <w:sz w:val="20"/>
              </w:rPr>
            </w:pPr>
            <w:r w:rsidRPr="00E70587">
              <w:rPr>
                <w:rFonts w:ascii="Arial" w:hAnsi="Arial" w:cs="Arial"/>
                <w:sz w:val="20"/>
              </w:rPr>
              <w:t>Extinguishers Limited</w:t>
            </w:r>
          </w:p>
        </w:tc>
        <w:tc>
          <w:tcPr>
            <w:tcW w:w="1330" w:type="dxa"/>
            <w:tcMar>
              <w:top w:w="28" w:type="dxa"/>
              <w:left w:w="108" w:type="dxa"/>
              <w:right w:w="108" w:type="dxa"/>
            </w:tcMar>
            <w:vAlign w:val="bottom"/>
          </w:tcPr>
          <w:p w14:paraId="11C5175D"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620" w:type="dxa"/>
            <w:vAlign w:val="center"/>
          </w:tcPr>
          <w:p w14:paraId="511DF5F1"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 xml:space="preserve">270 </w:t>
            </w:r>
          </w:p>
        </w:tc>
        <w:tc>
          <w:tcPr>
            <w:tcW w:w="1440" w:type="dxa"/>
            <w:vAlign w:val="center"/>
          </w:tcPr>
          <w:p w14:paraId="0571105F"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 xml:space="preserve"> - </w:t>
            </w:r>
          </w:p>
        </w:tc>
      </w:tr>
      <w:tr w:rsidR="00330EAA" w:rsidRPr="00E70587" w14:paraId="1390BB97" w14:textId="77777777" w:rsidTr="000A2ED4">
        <w:tc>
          <w:tcPr>
            <w:tcW w:w="4962" w:type="dxa"/>
            <w:tcMar>
              <w:top w:w="28" w:type="dxa"/>
              <w:left w:w="108" w:type="dxa"/>
              <w:right w:w="108" w:type="dxa"/>
            </w:tcMar>
          </w:tcPr>
          <w:p w14:paraId="2189C467" w14:textId="77777777" w:rsidR="00330EAA" w:rsidRPr="00E70587" w:rsidRDefault="00330EAA" w:rsidP="009901E1">
            <w:pPr>
              <w:spacing w:line="280" w:lineRule="exact"/>
              <w:rPr>
                <w:rFonts w:ascii="Arial" w:hAnsi="Arial" w:cs="Arial"/>
                <w:sz w:val="20"/>
              </w:rPr>
            </w:pPr>
            <w:r w:rsidRPr="00E70587">
              <w:rPr>
                <w:rFonts w:ascii="Arial" w:hAnsi="Arial" w:cs="Arial"/>
                <w:sz w:val="20"/>
              </w:rPr>
              <w:t>Lightbulbs Limited</w:t>
            </w:r>
          </w:p>
        </w:tc>
        <w:tc>
          <w:tcPr>
            <w:tcW w:w="1330" w:type="dxa"/>
            <w:tcMar>
              <w:top w:w="28" w:type="dxa"/>
              <w:left w:w="108" w:type="dxa"/>
              <w:right w:w="108" w:type="dxa"/>
            </w:tcMar>
            <w:vAlign w:val="bottom"/>
          </w:tcPr>
          <w:p w14:paraId="3D407670"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620" w:type="dxa"/>
            <w:vAlign w:val="center"/>
          </w:tcPr>
          <w:p w14:paraId="6D0C8A6A"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 xml:space="preserve"> 97 </w:t>
            </w:r>
          </w:p>
        </w:tc>
        <w:tc>
          <w:tcPr>
            <w:tcW w:w="1440" w:type="dxa"/>
            <w:vAlign w:val="center"/>
          </w:tcPr>
          <w:p w14:paraId="1526FBA6"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 xml:space="preserve">4 </w:t>
            </w:r>
          </w:p>
        </w:tc>
      </w:tr>
    </w:tbl>
    <w:p w14:paraId="327950BF" w14:textId="77777777" w:rsidR="00811B92" w:rsidRPr="00E70587" w:rsidRDefault="00811B92" w:rsidP="00F53583">
      <w:pPr>
        <w:spacing w:line="280" w:lineRule="exact"/>
        <w:rPr>
          <w:rFonts w:ascii="Arial" w:hAnsi="Arial" w:cs="Arial"/>
          <w:sz w:val="20"/>
        </w:rPr>
      </w:pPr>
    </w:p>
    <w:p w14:paraId="731B6E66" w14:textId="66DDD96B" w:rsidR="00811B92" w:rsidRPr="00E70587" w:rsidRDefault="00811B92" w:rsidP="00F53583">
      <w:pPr>
        <w:spacing w:line="280" w:lineRule="exact"/>
        <w:rPr>
          <w:rFonts w:ascii="Arial" w:hAnsi="Arial" w:cs="Arial"/>
          <w:sz w:val="20"/>
        </w:rPr>
      </w:pPr>
      <w:r w:rsidRPr="00E70587">
        <w:rPr>
          <w:rFonts w:ascii="Arial" w:hAnsi="Arial" w:cs="Arial"/>
          <w:sz w:val="20"/>
        </w:rPr>
        <w:t xml:space="preserve">The summarised financial information of these subsidiaries </w:t>
      </w:r>
      <w:r w:rsidR="00570BAF" w:rsidRPr="00E70587">
        <w:rPr>
          <w:rFonts w:ascii="Arial" w:hAnsi="Arial" w:cs="Arial"/>
          <w:sz w:val="20"/>
        </w:rPr>
        <w:t>is</w:t>
      </w:r>
      <w:r w:rsidRPr="00E70587">
        <w:rPr>
          <w:rFonts w:ascii="Arial" w:hAnsi="Arial" w:cs="Arial"/>
          <w:sz w:val="20"/>
        </w:rPr>
        <w:t xml:space="preserve"> provided below. This information is based on amounts before inter-company eliminations.</w:t>
      </w:r>
    </w:p>
    <w:p w14:paraId="7E67360A" w14:textId="77777777" w:rsidR="00FA7688" w:rsidRPr="00E70587" w:rsidRDefault="00FA7688" w:rsidP="00F53583">
      <w:pPr>
        <w:spacing w:line="280" w:lineRule="exact"/>
        <w:rPr>
          <w:rFonts w:ascii="Arial" w:hAnsi="Arial" w:cs="Arial"/>
          <w:sz w:val="20"/>
        </w:rPr>
      </w:pPr>
    </w:p>
    <w:p w14:paraId="5891088E" w14:textId="67EAC2A6" w:rsidR="00FA7688" w:rsidRPr="00E70587" w:rsidRDefault="00FA7688" w:rsidP="00F53583">
      <w:pPr>
        <w:spacing w:line="280" w:lineRule="exact"/>
        <w:rPr>
          <w:rFonts w:ascii="Arial" w:hAnsi="Arial" w:cs="Arial"/>
          <w:b/>
          <w:sz w:val="20"/>
        </w:rPr>
      </w:pPr>
      <w:r w:rsidRPr="00E70587">
        <w:rPr>
          <w:rFonts w:ascii="Arial" w:hAnsi="Arial" w:cs="Arial"/>
          <w:b/>
          <w:sz w:val="20"/>
        </w:rPr>
        <w:t xml:space="preserve">Summarised statement of profit and loss for the year ended 31 </w:t>
      </w:r>
      <w:r w:rsidR="00E1202D" w:rsidRPr="00E70587">
        <w:rPr>
          <w:rFonts w:ascii="Arial" w:hAnsi="Arial" w:cs="Arial"/>
          <w:b/>
          <w:sz w:val="20"/>
        </w:rPr>
        <w:t xml:space="preserve">March </w:t>
      </w:r>
      <w:r w:rsidR="00570BAF" w:rsidRPr="00E70587">
        <w:rPr>
          <w:rFonts w:ascii="Arial" w:hAnsi="Arial" w:cs="Arial"/>
          <w:b/>
          <w:sz w:val="20"/>
        </w:rPr>
        <w:t>20</w:t>
      </w:r>
      <w:r w:rsidR="00570BAF">
        <w:rPr>
          <w:rFonts w:ascii="Arial" w:hAnsi="Arial" w:cs="Arial"/>
          <w:b/>
          <w:sz w:val="20"/>
        </w:rPr>
        <w:t>21</w:t>
      </w:r>
      <w:r w:rsidRPr="00E70587">
        <w:rPr>
          <w:rFonts w:ascii="Arial" w:hAnsi="Arial" w:cs="Arial"/>
          <w:b/>
          <w:sz w:val="20"/>
        </w:rPr>
        <w:t>:</w:t>
      </w:r>
    </w:p>
    <w:tbl>
      <w:tblPr>
        <w:tblW w:w="9576" w:type="dxa"/>
        <w:tblLayout w:type="fixed"/>
        <w:tblLook w:val="01E0" w:firstRow="1" w:lastRow="1" w:firstColumn="1" w:lastColumn="1" w:noHBand="0" w:noVBand="0"/>
      </w:tblPr>
      <w:tblGrid>
        <w:gridCol w:w="4156"/>
        <w:gridCol w:w="1626"/>
        <w:gridCol w:w="1987"/>
        <w:gridCol w:w="1807"/>
      </w:tblGrid>
      <w:tr w:rsidR="00A17C17" w:rsidRPr="00E70587" w14:paraId="7FCBE92E" w14:textId="77777777" w:rsidTr="009A5E2F">
        <w:tc>
          <w:tcPr>
            <w:tcW w:w="4140" w:type="dxa"/>
            <w:tcMar>
              <w:top w:w="28" w:type="dxa"/>
            </w:tcMar>
          </w:tcPr>
          <w:p w14:paraId="4F021138" w14:textId="77777777" w:rsidR="00A17C17" w:rsidRPr="00E70587" w:rsidRDefault="00A17C17" w:rsidP="009901E1">
            <w:pPr>
              <w:pStyle w:val="Notesbodytext"/>
              <w:spacing w:after="0" w:line="280" w:lineRule="exact"/>
              <w:rPr>
                <w:rFonts w:ascii="Arial" w:hAnsi="Arial"/>
                <w:b/>
                <w:color w:val="auto"/>
                <w:sz w:val="20"/>
              </w:rPr>
            </w:pPr>
          </w:p>
          <w:p w14:paraId="1D5B5ED2" w14:textId="77777777" w:rsidR="00A17C17" w:rsidRPr="00E70587" w:rsidRDefault="00A17C17" w:rsidP="009901E1">
            <w:pPr>
              <w:pStyle w:val="Notesbodytext"/>
              <w:spacing w:after="0" w:line="280" w:lineRule="exact"/>
              <w:rPr>
                <w:rFonts w:ascii="Arial" w:hAnsi="Arial"/>
                <w:b/>
                <w:color w:val="auto"/>
                <w:sz w:val="20"/>
              </w:rPr>
            </w:pPr>
          </w:p>
        </w:tc>
        <w:tc>
          <w:tcPr>
            <w:tcW w:w="1620" w:type="dxa"/>
            <w:tcBorders>
              <w:bottom w:val="single" w:sz="4" w:space="0" w:color="auto"/>
            </w:tcBorders>
            <w:vAlign w:val="bottom"/>
          </w:tcPr>
          <w:p w14:paraId="55517115" w14:textId="77777777" w:rsidR="00A17C17" w:rsidRPr="00E70587" w:rsidRDefault="00A17C17" w:rsidP="009901E1">
            <w:pPr>
              <w:pStyle w:val="Tablecolumnheading"/>
              <w:spacing w:line="280" w:lineRule="exact"/>
              <w:ind w:right="70"/>
              <w:rPr>
                <w:rFonts w:ascii="Arial" w:hAnsi="Arial"/>
                <w:color w:val="auto"/>
                <w:sz w:val="20"/>
                <w:szCs w:val="20"/>
                <w:lang w:val="en-IN"/>
              </w:rPr>
            </w:pPr>
            <w:r w:rsidRPr="00E70587">
              <w:rPr>
                <w:rFonts w:ascii="Arial" w:hAnsi="Arial"/>
                <w:color w:val="auto"/>
                <w:sz w:val="20"/>
                <w:szCs w:val="20"/>
                <w:lang w:val="en-IN"/>
              </w:rPr>
              <w:t>Electronics Limited</w:t>
            </w:r>
          </w:p>
        </w:tc>
        <w:tc>
          <w:tcPr>
            <w:tcW w:w="1980" w:type="dxa"/>
            <w:tcBorders>
              <w:bottom w:val="single" w:sz="4" w:space="0" w:color="auto"/>
            </w:tcBorders>
            <w:tcMar>
              <w:top w:w="28" w:type="dxa"/>
            </w:tcMar>
            <w:vAlign w:val="bottom"/>
          </w:tcPr>
          <w:p w14:paraId="306C27D1"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Extinguishers Limited</w:t>
            </w:r>
          </w:p>
        </w:tc>
        <w:tc>
          <w:tcPr>
            <w:tcW w:w="1800" w:type="dxa"/>
            <w:tcBorders>
              <w:bottom w:val="single" w:sz="4" w:space="0" w:color="auto"/>
            </w:tcBorders>
            <w:tcMar>
              <w:top w:w="28" w:type="dxa"/>
            </w:tcMar>
            <w:vAlign w:val="bottom"/>
          </w:tcPr>
          <w:p w14:paraId="40405A10" w14:textId="77777777" w:rsidR="00A17C17" w:rsidRPr="00E70587" w:rsidRDefault="00A17C17" w:rsidP="009901E1">
            <w:pPr>
              <w:pStyle w:val="Tablecolumnheading"/>
              <w:spacing w:line="280" w:lineRule="exact"/>
              <w:ind w:right="47"/>
              <w:rPr>
                <w:rFonts w:ascii="Arial" w:hAnsi="Arial"/>
                <w:color w:val="auto"/>
                <w:sz w:val="20"/>
                <w:szCs w:val="20"/>
                <w:lang w:val="en-IN"/>
              </w:rPr>
            </w:pPr>
            <w:r w:rsidRPr="00E70587">
              <w:rPr>
                <w:rFonts w:ascii="Arial" w:hAnsi="Arial"/>
                <w:color w:val="auto"/>
                <w:sz w:val="20"/>
                <w:szCs w:val="20"/>
                <w:lang w:val="en-IN"/>
              </w:rPr>
              <w:t>Lightbulbs Limited</w:t>
            </w:r>
          </w:p>
        </w:tc>
      </w:tr>
      <w:tr w:rsidR="00A17C17" w:rsidRPr="00E70587" w14:paraId="274C1863" w14:textId="77777777" w:rsidTr="009A5E2F">
        <w:tc>
          <w:tcPr>
            <w:tcW w:w="4140" w:type="dxa"/>
            <w:tcMar>
              <w:top w:w="28" w:type="dxa"/>
            </w:tcMar>
          </w:tcPr>
          <w:p w14:paraId="4CBD93F4"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620" w:type="dxa"/>
            <w:tcBorders>
              <w:top w:val="single" w:sz="4" w:space="0" w:color="auto"/>
            </w:tcBorders>
          </w:tcPr>
          <w:p w14:paraId="1FE1D66D" w14:textId="77777777" w:rsidR="00A17C17" w:rsidRPr="00E70587" w:rsidRDefault="00A17C17" w:rsidP="00FA6E5A">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c>
          <w:tcPr>
            <w:tcW w:w="1980" w:type="dxa"/>
            <w:tcBorders>
              <w:top w:val="single" w:sz="4" w:space="0" w:color="auto"/>
            </w:tcBorders>
            <w:tcMar>
              <w:top w:w="28" w:type="dxa"/>
            </w:tcMar>
            <w:vAlign w:val="bottom"/>
          </w:tcPr>
          <w:p w14:paraId="35EBE4D2" w14:textId="77777777" w:rsidR="00A17C17" w:rsidRPr="00E70587" w:rsidRDefault="00A17C17" w:rsidP="00FA6E5A">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c>
          <w:tcPr>
            <w:tcW w:w="1800" w:type="dxa"/>
            <w:tcBorders>
              <w:top w:val="single" w:sz="4" w:space="0" w:color="auto"/>
            </w:tcBorders>
            <w:tcMar>
              <w:top w:w="28" w:type="dxa"/>
            </w:tcMar>
            <w:vAlign w:val="bottom"/>
          </w:tcPr>
          <w:p w14:paraId="35B6223C" w14:textId="77777777" w:rsidR="00A17C17" w:rsidRPr="00E70587" w:rsidRDefault="00A17C17" w:rsidP="00FA6E5A">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04886950" w14:textId="77777777" w:rsidTr="009A5E2F">
        <w:tc>
          <w:tcPr>
            <w:tcW w:w="4140" w:type="dxa"/>
            <w:tcMar>
              <w:top w:w="28" w:type="dxa"/>
            </w:tcMar>
          </w:tcPr>
          <w:p w14:paraId="2D505779" w14:textId="7B52D3B7" w:rsidR="00A17C17" w:rsidRPr="00E70587" w:rsidRDefault="00A17C17" w:rsidP="009901E1">
            <w:pPr>
              <w:spacing w:line="280" w:lineRule="exact"/>
              <w:rPr>
                <w:rFonts w:ascii="Arial" w:hAnsi="Arial" w:cs="Arial"/>
                <w:sz w:val="20"/>
              </w:rPr>
            </w:pPr>
            <w:r w:rsidRPr="00E70587">
              <w:rPr>
                <w:rFonts w:ascii="Arial" w:hAnsi="Arial" w:cs="Arial"/>
                <w:sz w:val="20"/>
              </w:rPr>
              <w:t>Revenue</w:t>
            </w:r>
            <w:r w:rsidR="00806C1A">
              <w:rPr>
                <w:rFonts w:ascii="Arial" w:hAnsi="Arial" w:cs="Arial"/>
                <w:sz w:val="20"/>
              </w:rPr>
              <w:t xml:space="preserve"> from contract with customers</w:t>
            </w:r>
          </w:p>
        </w:tc>
        <w:tc>
          <w:tcPr>
            <w:tcW w:w="1620" w:type="dxa"/>
            <w:vAlign w:val="center"/>
          </w:tcPr>
          <w:p w14:paraId="7E3877B3"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4,583 </w:t>
            </w:r>
          </w:p>
        </w:tc>
        <w:tc>
          <w:tcPr>
            <w:tcW w:w="1980" w:type="dxa"/>
            <w:tcMar>
              <w:top w:w="28" w:type="dxa"/>
            </w:tcMar>
            <w:vAlign w:val="center"/>
          </w:tcPr>
          <w:p w14:paraId="5754F773"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32,142 </w:t>
            </w:r>
          </w:p>
        </w:tc>
        <w:tc>
          <w:tcPr>
            <w:tcW w:w="1800" w:type="dxa"/>
            <w:tcMar>
              <w:top w:w="28" w:type="dxa"/>
            </w:tcMar>
            <w:vAlign w:val="center"/>
          </w:tcPr>
          <w:p w14:paraId="71A5E67E"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10,804 </w:t>
            </w:r>
          </w:p>
        </w:tc>
      </w:tr>
      <w:tr w:rsidR="00A17C17" w:rsidRPr="00E70587" w14:paraId="3BAF8AAF" w14:textId="77777777" w:rsidTr="009A5E2F">
        <w:tc>
          <w:tcPr>
            <w:tcW w:w="4140" w:type="dxa"/>
            <w:tcMar>
              <w:top w:w="28" w:type="dxa"/>
            </w:tcMar>
            <w:vAlign w:val="bottom"/>
          </w:tcPr>
          <w:p w14:paraId="003CC728"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Cost of raw material and components consumed</w:t>
            </w:r>
          </w:p>
        </w:tc>
        <w:tc>
          <w:tcPr>
            <w:tcW w:w="1620" w:type="dxa"/>
            <w:vAlign w:val="center"/>
          </w:tcPr>
          <w:p w14:paraId="36B0F9A3"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(2,610) </w:t>
            </w:r>
          </w:p>
        </w:tc>
        <w:tc>
          <w:tcPr>
            <w:tcW w:w="1980" w:type="dxa"/>
            <w:tcMar>
              <w:top w:w="28" w:type="dxa"/>
            </w:tcMar>
            <w:vAlign w:val="center"/>
          </w:tcPr>
          <w:p w14:paraId="3E65AD38"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(28,220) </w:t>
            </w:r>
          </w:p>
        </w:tc>
        <w:tc>
          <w:tcPr>
            <w:tcW w:w="1800" w:type="dxa"/>
            <w:tcMar>
              <w:top w:w="28" w:type="dxa"/>
            </w:tcMar>
            <w:vAlign w:val="center"/>
          </w:tcPr>
          <w:p w14:paraId="5DB31EC0"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(7,362) </w:t>
            </w:r>
          </w:p>
        </w:tc>
      </w:tr>
      <w:tr w:rsidR="00A17C17" w:rsidRPr="00E70587" w14:paraId="63C14B6F" w14:textId="77777777" w:rsidTr="009A5E2F">
        <w:tc>
          <w:tcPr>
            <w:tcW w:w="4140" w:type="dxa"/>
            <w:tcMar>
              <w:top w:w="28" w:type="dxa"/>
            </w:tcMar>
            <w:vAlign w:val="center"/>
          </w:tcPr>
          <w:p w14:paraId="58683ABB"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Other expenses</w:t>
            </w:r>
          </w:p>
        </w:tc>
        <w:tc>
          <w:tcPr>
            <w:tcW w:w="1620" w:type="dxa"/>
            <w:vAlign w:val="center"/>
          </w:tcPr>
          <w:p w14:paraId="31A20C00"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(637) </w:t>
            </w:r>
          </w:p>
        </w:tc>
        <w:tc>
          <w:tcPr>
            <w:tcW w:w="1980" w:type="dxa"/>
            <w:tcMar>
              <w:top w:w="28" w:type="dxa"/>
            </w:tcMar>
            <w:vAlign w:val="center"/>
          </w:tcPr>
          <w:p w14:paraId="30B31D57"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(2,455) </w:t>
            </w:r>
          </w:p>
        </w:tc>
        <w:tc>
          <w:tcPr>
            <w:tcW w:w="1800" w:type="dxa"/>
            <w:tcMar>
              <w:top w:w="28" w:type="dxa"/>
            </w:tcMar>
            <w:vAlign w:val="center"/>
          </w:tcPr>
          <w:p w14:paraId="6279551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(1,836) </w:t>
            </w:r>
          </w:p>
        </w:tc>
      </w:tr>
      <w:tr w:rsidR="00A17C17" w:rsidRPr="00E70587" w14:paraId="1FBB0F31" w14:textId="77777777" w:rsidTr="009A5E2F">
        <w:tc>
          <w:tcPr>
            <w:tcW w:w="4140" w:type="dxa"/>
            <w:tcMar>
              <w:top w:w="28" w:type="dxa"/>
            </w:tcMar>
          </w:tcPr>
          <w:p w14:paraId="0977CE80" w14:textId="77777777" w:rsidR="00A17C17" w:rsidRPr="00E70587" w:rsidRDefault="00A17C17" w:rsidP="009901E1">
            <w:pPr>
              <w:spacing w:line="280" w:lineRule="exact"/>
              <w:rPr>
                <w:rFonts w:ascii="Arial" w:hAnsi="Arial" w:cs="Arial"/>
                <w:sz w:val="20"/>
              </w:rPr>
            </w:pPr>
            <w:r w:rsidRPr="00E70587">
              <w:rPr>
                <w:rFonts w:ascii="Arial" w:hAnsi="Arial" w:cs="Arial"/>
                <w:sz w:val="20"/>
              </w:rPr>
              <w:t>Finance costs</w:t>
            </w:r>
          </w:p>
        </w:tc>
        <w:tc>
          <w:tcPr>
            <w:tcW w:w="1620" w:type="dxa"/>
            <w:tcBorders>
              <w:bottom w:val="single" w:sz="4" w:space="0" w:color="auto"/>
            </w:tcBorders>
            <w:vAlign w:val="center"/>
          </w:tcPr>
          <w:p w14:paraId="5439AA90"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(450) </w:t>
            </w:r>
          </w:p>
        </w:tc>
        <w:tc>
          <w:tcPr>
            <w:tcW w:w="1980" w:type="dxa"/>
            <w:tcBorders>
              <w:bottom w:val="single" w:sz="4" w:space="0" w:color="auto"/>
            </w:tcBorders>
            <w:tcMar>
              <w:top w:w="28" w:type="dxa"/>
            </w:tcMar>
            <w:vAlign w:val="center"/>
          </w:tcPr>
          <w:p w14:paraId="43513AA4"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(117) </w:t>
            </w:r>
          </w:p>
        </w:tc>
        <w:tc>
          <w:tcPr>
            <w:tcW w:w="1800" w:type="dxa"/>
            <w:tcBorders>
              <w:bottom w:val="single" w:sz="4" w:space="0" w:color="auto"/>
            </w:tcBorders>
            <w:tcMar>
              <w:top w:w="28" w:type="dxa"/>
            </w:tcMar>
            <w:vAlign w:val="center"/>
          </w:tcPr>
          <w:p w14:paraId="1E4387BD"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(238) </w:t>
            </w:r>
          </w:p>
        </w:tc>
      </w:tr>
      <w:tr w:rsidR="00A17C17" w:rsidRPr="00E70587" w14:paraId="4C87BAD7" w14:textId="77777777" w:rsidTr="009A5E2F">
        <w:tc>
          <w:tcPr>
            <w:tcW w:w="4140" w:type="dxa"/>
            <w:tcMar>
              <w:top w:w="28" w:type="dxa"/>
            </w:tcMar>
          </w:tcPr>
          <w:p w14:paraId="664280BF"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Profit before tax</w:t>
            </w:r>
          </w:p>
        </w:tc>
        <w:tc>
          <w:tcPr>
            <w:tcW w:w="1620" w:type="dxa"/>
            <w:tcBorders>
              <w:top w:val="single" w:sz="4" w:space="0" w:color="auto"/>
            </w:tcBorders>
            <w:vAlign w:val="center"/>
          </w:tcPr>
          <w:p w14:paraId="20521733"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886 </w:t>
            </w:r>
          </w:p>
        </w:tc>
        <w:tc>
          <w:tcPr>
            <w:tcW w:w="1980" w:type="dxa"/>
            <w:tcBorders>
              <w:top w:val="single" w:sz="4" w:space="0" w:color="auto"/>
            </w:tcBorders>
            <w:tcMar>
              <w:top w:w="28" w:type="dxa"/>
            </w:tcMar>
            <w:vAlign w:val="center"/>
          </w:tcPr>
          <w:p w14:paraId="0850C404"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1,350 </w:t>
            </w:r>
          </w:p>
        </w:tc>
        <w:tc>
          <w:tcPr>
            <w:tcW w:w="1800" w:type="dxa"/>
            <w:tcBorders>
              <w:top w:val="single" w:sz="4" w:space="0" w:color="auto"/>
            </w:tcBorders>
            <w:tcMar>
              <w:top w:w="28" w:type="dxa"/>
            </w:tcMar>
            <w:vAlign w:val="center"/>
          </w:tcPr>
          <w:p w14:paraId="1D7C81AE"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1,368 </w:t>
            </w:r>
          </w:p>
        </w:tc>
      </w:tr>
      <w:tr w:rsidR="00A17C17" w:rsidRPr="00E70587" w14:paraId="28328109" w14:textId="77777777" w:rsidTr="009A5E2F">
        <w:tc>
          <w:tcPr>
            <w:tcW w:w="4140" w:type="dxa"/>
            <w:tcMar>
              <w:top w:w="28" w:type="dxa"/>
            </w:tcMar>
          </w:tcPr>
          <w:p w14:paraId="0E17A0A7" w14:textId="77777777" w:rsidR="00A17C17" w:rsidRPr="00E70587" w:rsidRDefault="00A17C17" w:rsidP="009901E1">
            <w:pPr>
              <w:spacing w:line="280" w:lineRule="exact"/>
              <w:rPr>
                <w:rFonts w:ascii="Arial" w:hAnsi="Arial" w:cs="Arial"/>
                <w:sz w:val="20"/>
              </w:rPr>
            </w:pPr>
            <w:r w:rsidRPr="00E70587">
              <w:rPr>
                <w:rFonts w:ascii="Arial" w:hAnsi="Arial" w:cs="Arial"/>
                <w:sz w:val="20"/>
              </w:rPr>
              <w:t>Income tax</w:t>
            </w:r>
          </w:p>
        </w:tc>
        <w:tc>
          <w:tcPr>
            <w:tcW w:w="1620" w:type="dxa"/>
            <w:tcBorders>
              <w:bottom w:val="single" w:sz="4" w:space="0" w:color="auto"/>
            </w:tcBorders>
            <w:vAlign w:val="center"/>
          </w:tcPr>
          <w:p w14:paraId="3B7AD247"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(45) </w:t>
            </w:r>
          </w:p>
        </w:tc>
        <w:tc>
          <w:tcPr>
            <w:tcW w:w="1980" w:type="dxa"/>
            <w:tcBorders>
              <w:bottom w:val="single" w:sz="4" w:space="0" w:color="auto"/>
            </w:tcBorders>
            <w:tcMar>
              <w:top w:w="28" w:type="dxa"/>
            </w:tcMar>
            <w:vAlign w:val="center"/>
          </w:tcPr>
          <w:p w14:paraId="71E1BCB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(11) </w:t>
            </w:r>
          </w:p>
        </w:tc>
        <w:tc>
          <w:tcPr>
            <w:tcW w:w="1800" w:type="dxa"/>
            <w:tcBorders>
              <w:bottom w:val="single" w:sz="4" w:space="0" w:color="auto"/>
            </w:tcBorders>
            <w:tcMar>
              <w:top w:w="28" w:type="dxa"/>
            </w:tcMar>
            <w:vAlign w:val="center"/>
          </w:tcPr>
          <w:p w14:paraId="7C10B667"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(144) </w:t>
            </w:r>
          </w:p>
        </w:tc>
      </w:tr>
      <w:tr w:rsidR="00A17C17" w:rsidRPr="00E70587" w14:paraId="58C0C44A" w14:textId="77777777" w:rsidTr="009A5E2F">
        <w:tc>
          <w:tcPr>
            <w:tcW w:w="4140" w:type="dxa"/>
            <w:tcMar>
              <w:top w:w="28" w:type="dxa"/>
            </w:tcMar>
          </w:tcPr>
          <w:p w14:paraId="348CF43C"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Profit for the year from continuing operations</w:t>
            </w:r>
          </w:p>
        </w:tc>
        <w:tc>
          <w:tcPr>
            <w:tcW w:w="1620" w:type="dxa"/>
            <w:tcBorders>
              <w:top w:val="single" w:sz="4" w:space="0" w:color="auto"/>
              <w:bottom w:val="double" w:sz="4" w:space="0" w:color="auto"/>
            </w:tcBorders>
            <w:vAlign w:val="center"/>
          </w:tcPr>
          <w:p w14:paraId="1E8283F5"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841 </w:t>
            </w:r>
          </w:p>
        </w:tc>
        <w:tc>
          <w:tcPr>
            <w:tcW w:w="1980" w:type="dxa"/>
            <w:tcBorders>
              <w:top w:val="single" w:sz="4" w:space="0" w:color="auto"/>
              <w:bottom w:val="double" w:sz="4" w:space="0" w:color="auto"/>
            </w:tcBorders>
            <w:tcMar>
              <w:top w:w="28" w:type="dxa"/>
            </w:tcMar>
            <w:vAlign w:val="center"/>
          </w:tcPr>
          <w:p w14:paraId="100CFF89"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1,339 </w:t>
            </w:r>
          </w:p>
        </w:tc>
        <w:tc>
          <w:tcPr>
            <w:tcW w:w="1800" w:type="dxa"/>
            <w:tcBorders>
              <w:top w:val="single" w:sz="4" w:space="0" w:color="auto"/>
              <w:bottom w:val="double" w:sz="4" w:space="0" w:color="auto"/>
            </w:tcBorders>
            <w:tcMar>
              <w:top w:w="28" w:type="dxa"/>
            </w:tcMar>
            <w:vAlign w:val="center"/>
          </w:tcPr>
          <w:p w14:paraId="5DB3E0B7"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1,224 </w:t>
            </w:r>
          </w:p>
        </w:tc>
      </w:tr>
      <w:tr w:rsidR="00A17C17" w:rsidRPr="00E70587" w14:paraId="6DA51B62" w14:textId="77777777" w:rsidTr="009A5E2F">
        <w:tc>
          <w:tcPr>
            <w:tcW w:w="4140" w:type="dxa"/>
            <w:tcMar>
              <w:top w:w="28" w:type="dxa"/>
            </w:tcMar>
          </w:tcPr>
          <w:p w14:paraId="763735BA"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Total comprehensive income</w:t>
            </w:r>
          </w:p>
        </w:tc>
        <w:tc>
          <w:tcPr>
            <w:tcW w:w="1620" w:type="dxa"/>
            <w:tcBorders>
              <w:top w:val="double" w:sz="4" w:space="0" w:color="auto"/>
              <w:bottom w:val="double" w:sz="4" w:space="0" w:color="auto"/>
            </w:tcBorders>
            <w:vAlign w:val="center"/>
          </w:tcPr>
          <w:p w14:paraId="3F152186"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841 </w:t>
            </w:r>
          </w:p>
        </w:tc>
        <w:tc>
          <w:tcPr>
            <w:tcW w:w="1980" w:type="dxa"/>
            <w:tcBorders>
              <w:top w:val="double" w:sz="4" w:space="0" w:color="auto"/>
              <w:bottom w:val="double" w:sz="4" w:space="0" w:color="auto"/>
            </w:tcBorders>
            <w:tcMar>
              <w:top w:w="28" w:type="dxa"/>
            </w:tcMar>
            <w:vAlign w:val="center"/>
          </w:tcPr>
          <w:p w14:paraId="28B3DC63"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1,339 </w:t>
            </w:r>
          </w:p>
        </w:tc>
        <w:tc>
          <w:tcPr>
            <w:tcW w:w="1800" w:type="dxa"/>
            <w:tcBorders>
              <w:top w:val="double" w:sz="4" w:space="0" w:color="auto"/>
              <w:bottom w:val="double" w:sz="4" w:space="0" w:color="auto"/>
            </w:tcBorders>
            <w:tcMar>
              <w:top w:w="28" w:type="dxa"/>
            </w:tcMar>
            <w:vAlign w:val="center"/>
          </w:tcPr>
          <w:p w14:paraId="171A791D"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1,224 </w:t>
            </w:r>
          </w:p>
        </w:tc>
      </w:tr>
      <w:tr w:rsidR="00A17C17" w:rsidRPr="00E70587" w14:paraId="00612226" w14:textId="77777777" w:rsidTr="009A5E2F">
        <w:tc>
          <w:tcPr>
            <w:tcW w:w="4140" w:type="dxa"/>
            <w:tcMar>
              <w:top w:w="28" w:type="dxa"/>
            </w:tcMar>
          </w:tcPr>
          <w:p w14:paraId="7218743C" w14:textId="77777777" w:rsidR="00A17C17" w:rsidRPr="00E70587" w:rsidRDefault="00A17C17" w:rsidP="009901E1">
            <w:pPr>
              <w:spacing w:line="280" w:lineRule="exact"/>
              <w:rPr>
                <w:rFonts w:ascii="Arial" w:hAnsi="Arial" w:cs="Arial"/>
                <w:sz w:val="20"/>
              </w:rPr>
            </w:pPr>
            <w:r w:rsidRPr="00E70587">
              <w:rPr>
                <w:rFonts w:ascii="Arial" w:hAnsi="Arial" w:cs="Arial"/>
                <w:sz w:val="20"/>
              </w:rPr>
              <w:t xml:space="preserve">Attributable to non-controlling interests </w:t>
            </w:r>
          </w:p>
        </w:tc>
        <w:tc>
          <w:tcPr>
            <w:tcW w:w="1620" w:type="dxa"/>
            <w:tcBorders>
              <w:top w:val="double" w:sz="4" w:space="0" w:color="auto"/>
            </w:tcBorders>
            <w:vAlign w:val="center"/>
          </w:tcPr>
          <w:p w14:paraId="2F3028E5"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437 </w:t>
            </w:r>
          </w:p>
        </w:tc>
        <w:tc>
          <w:tcPr>
            <w:tcW w:w="1980" w:type="dxa"/>
            <w:tcBorders>
              <w:top w:val="double" w:sz="4" w:space="0" w:color="auto"/>
            </w:tcBorders>
            <w:tcMar>
              <w:top w:w="28" w:type="dxa"/>
            </w:tcMar>
            <w:vAlign w:val="center"/>
          </w:tcPr>
          <w:p w14:paraId="659D9FD9"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268 </w:t>
            </w:r>
          </w:p>
        </w:tc>
        <w:tc>
          <w:tcPr>
            <w:tcW w:w="1800" w:type="dxa"/>
            <w:tcBorders>
              <w:top w:val="double" w:sz="4" w:space="0" w:color="auto"/>
            </w:tcBorders>
            <w:tcMar>
              <w:top w:w="28" w:type="dxa"/>
            </w:tcMar>
            <w:vAlign w:val="center"/>
          </w:tcPr>
          <w:p w14:paraId="6B0A2CAF"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97 </w:t>
            </w:r>
          </w:p>
        </w:tc>
      </w:tr>
      <w:tr w:rsidR="00A17C17" w:rsidRPr="00E70587" w14:paraId="51E2AB46" w14:textId="77777777" w:rsidTr="009A5E2F">
        <w:tc>
          <w:tcPr>
            <w:tcW w:w="4140" w:type="dxa"/>
            <w:tcMar>
              <w:top w:w="28" w:type="dxa"/>
            </w:tcMar>
          </w:tcPr>
          <w:p w14:paraId="2967C6ED" w14:textId="77777777" w:rsidR="00A17C17" w:rsidRPr="00E70587" w:rsidRDefault="00A17C17" w:rsidP="009901E1">
            <w:pPr>
              <w:spacing w:line="280" w:lineRule="exact"/>
              <w:rPr>
                <w:rFonts w:ascii="Arial" w:hAnsi="Arial" w:cs="Arial"/>
                <w:sz w:val="20"/>
              </w:rPr>
            </w:pPr>
            <w:r w:rsidRPr="00E70587">
              <w:rPr>
                <w:rFonts w:ascii="Arial" w:hAnsi="Arial" w:cs="Arial"/>
                <w:sz w:val="20"/>
              </w:rPr>
              <w:t>Dividends paid to non-controlling interests</w:t>
            </w:r>
          </w:p>
        </w:tc>
        <w:tc>
          <w:tcPr>
            <w:tcW w:w="1620" w:type="dxa"/>
            <w:vAlign w:val="center"/>
          </w:tcPr>
          <w:p w14:paraId="0D4731A4"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54</w:t>
            </w:r>
          </w:p>
        </w:tc>
        <w:tc>
          <w:tcPr>
            <w:tcW w:w="1980" w:type="dxa"/>
            <w:tcMar>
              <w:top w:w="28" w:type="dxa"/>
            </w:tcMar>
            <w:vAlign w:val="center"/>
          </w:tcPr>
          <w:p w14:paraId="7F4823A3"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 </w:t>
            </w:r>
          </w:p>
        </w:tc>
        <w:tc>
          <w:tcPr>
            <w:tcW w:w="1800" w:type="dxa"/>
            <w:tcMar>
              <w:top w:w="28" w:type="dxa"/>
            </w:tcMar>
            <w:vAlign w:val="center"/>
          </w:tcPr>
          <w:p w14:paraId="0D8C13DD"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 </w:t>
            </w:r>
          </w:p>
        </w:tc>
      </w:tr>
    </w:tbl>
    <w:p w14:paraId="7FD179C9" w14:textId="77777777" w:rsidR="00811B92" w:rsidRPr="00E70587" w:rsidRDefault="00811B92" w:rsidP="009901E1">
      <w:pPr>
        <w:pStyle w:val="Notesbodytext"/>
        <w:spacing w:after="0" w:line="280" w:lineRule="exact"/>
        <w:rPr>
          <w:rFonts w:ascii="Arial" w:hAnsi="Arial"/>
          <w:color w:val="auto"/>
          <w:sz w:val="20"/>
        </w:rPr>
      </w:pPr>
    </w:p>
    <w:p w14:paraId="223A20A9" w14:textId="343A3FE9" w:rsidR="00FA7688" w:rsidRPr="00E70587" w:rsidRDefault="00FA7688" w:rsidP="00950163">
      <w:pPr>
        <w:pStyle w:val="Tablecolumnheading"/>
        <w:spacing w:line="280" w:lineRule="exact"/>
        <w:jc w:val="left"/>
        <w:rPr>
          <w:rFonts w:ascii="Arial" w:hAnsi="Arial"/>
          <w:color w:val="auto"/>
          <w:sz w:val="20"/>
          <w:lang w:val="en-IN"/>
        </w:rPr>
      </w:pPr>
      <w:r w:rsidRPr="00E70587">
        <w:rPr>
          <w:rFonts w:ascii="Arial" w:hAnsi="Arial"/>
          <w:color w:val="auto"/>
          <w:sz w:val="20"/>
          <w:szCs w:val="20"/>
          <w:lang w:val="en-IN"/>
        </w:rPr>
        <w:t>Summarised</w:t>
      </w:r>
      <w:r w:rsidRPr="00E70587">
        <w:rPr>
          <w:rFonts w:ascii="Arial" w:hAnsi="Arial"/>
          <w:color w:val="auto"/>
          <w:sz w:val="20"/>
          <w:lang w:val="en-IN"/>
        </w:rPr>
        <w:t xml:space="preserve"> statement of profit or loss for the year ended 31 </w:t>
      </w:r>
      <w:r w:rsidR="008B730E" w:rsidRPr="00E70587">
        <w:rPr>
          <w:rFonts w:ascii="Arial" w:hAnsi="Arial"/>
          <w:color w:val="auto"/>
          <w:sz w:val="20"/>
          <w:lang w:val="en-IN"/>
        </w:rPr>
        <w:t xml:space="preserve">March </w:t>
      </w:r>
      <w:r w:rsidR="00FF58D8" w:rsidRPr="00E70587">
        <w:rPr>
          <w:rFonts w:ascii="Arial" w:hAnsi="Arial"/>
          <w:color w:val="auto"/>
          <w:sz w:val="20"/>
          <w:lang w:val="en-IN"/>
        </w:rPr>
        <w:t>20</w:t>
      </w:r>
      <w:r w:rsidR="00FF58D8">
        <w:rPr>
          <w:rFonts w:ascii="Arial" w:hAnsi="Arial"/>
          <w:color w:val="auto"/>
          <w:sz w:val="20"/>
          <w:lang w:val="en-IN"/>
        </w:rPr>
        <w:t>20</w:t>
      </w:r>
      <w:r w:rsidRPr="00E70587">
        <w:rPr>
          <w:rFonts w:ascii="Arial" w:hAnsi="Arial"/>
          <w:color w:val="auto"/>
          <w:sz w:val="20"/>
          <w:lang w:val="en-IN"/>
        </w:rPr>
        <w:t>:</w:t>
      </w:r>
    </w:p>
    <w:tbl>
      <w:tblPr>
        <w:tblW w:w="9576" w:type="dxa"/>
        <w:tblLayout w:type="fixed"/>
        <w:tblLook w:val="01E0" w:firstRow="1" w:lastRow="1" w:firstColumn="1" w:lastColumn="1" w:noHBand="0" w:noVBand="0"/>
      </w:tblPr>
      <w:tblGrid>
        <w:gridCol w:w="5782"/>
        <w:gridCol w:w="1987"/>
        <w:gridCol w:w="1807"/>
      </w:tblGrid>
      <w:tr w:rsidR="00A17C17" w:rsidRPr="00E70587" w14:paraId="64A8C39C" w14:textId="77777777" w:rsidTr="009A5E2F">
        <w:tc>
          <w:tcPr>
            <w:tcW w:w="5760" w:type="dxa"/>
            <w:tcMar>
              <w:top w:w="28" w:type="dxa"/>
            </w:tcMar>
          </w:tcPr>
          <w:p w14:paraId="2B03CAFD" w14:textId="77777777" w:rsidR="00A17C17" w:rsidRPr="00E70587" w:rsidRDefault="00A17C17" w:rsidP="009901E1">
            <w:pPr>
              <w:spacing w:line="280" w:lineRule="exact"/>
              <w:rPr>
                <w:rFonts w:ascii="Arial" w:hAnsi="Arial" w:cs="Arial"/>
                <w:b/>
                <w:sz w:val="20"/>
              </w:rPr>
            </w:pPr>
          </w:p>
          <w:p w14:paraId="4B8F0C59" w14:textId="77777777" w:rsidR="00A17C17" w:rsidRPr="00E70587" w:rsidRDefault="00A17C17" w:rsidP="009901E1">
            <w:pPr>
              <w:spacing w:line="280" w:lineRule="exact"/>
              <w:rPr>
                <w:rFonts w:ascii="Arial" w:hAnsi="Arial" w:cs="Arial"/>
                <w:sz w:val="20"/>
              </w:rPr>
            </w:pPr>
          </w:p>
        </w:tc>
        <w:tc>
          <w:tcPr>
            <w:tcW w:w="1980" w:type="dxa"/>
            <w:tcBorders>
              <w:bottom w:val="single" w:sz="4" w:space="0" w:color="auto"/>
            </w:tcBorders>
            <w:vAlign w:val="bottom"/>
          </w:tcPr>
          <w:p w14:paraId="49D99443"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Electronics Limited</w:t>
            </w:r>
          </w:p>
        </w:tc>
        <w:tc>
          <w:tcPr>
            <w:tcW w:w="1800" w:type="dxa"/>
            <w:tcBorders>
              <w:bottom w:val="single" w:sz="4" w:space="0" w:color="auto"/>
            </w:tcBorders>
            <w:tcMar>
              <w:top w:w="28" w:type="dxa"/>
            </w:tcMar>
            <w:vAlign w:val="bottom"/>
          </w:tcPr>
          <w:p w14:paraId="3B19B7B1"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Lightbulbs Limited</w:t>
            </w:r>
          </w:p>
        </w:tc>
      </w:tr>
      <w:tr w:rsidR="00A17C17" w:rsidRPr="00E70587" w14:paraId="7392895F" w14:textId="77777777" w:rsidTr="009A5E2F">
        <w:tc>
          <w:tcPr>
            <w:tcW w:w="5760" w:type="dxa"/>
            <w:tcMar>
              <w:top w:w="28" w:type="dxa"/>
            </w:tcMar>
          </w:tcPr>
          <w:p w14:paraId="39652E5C" w14:textId="77777777" w:rsidR="00A17C17" w:rsidRPr="00E70587" w:rsidRDefault="00A17C17" w:rsidP="009901E1">
            <w:pPr>
              <w:spacing w:line="280" w:lineRule="exact"/>
              <w:rPr>
                <w:rFonts w:ascii="Arial" w:hAnsi="Arial" w:cs="Arial"/>
                <w:sz w:val="20"/>
              </w:rPr>
            </w:pPr>
          </w:p>
        </w:tc>
        <w:tc>
          <w:tcPr>
            <w:tcW w:w="1980" w:type="dxa"/>
            <w:tcBorders>
              <w:top w:val="single" w:sz="4" w:space="0" w:color="auto"/>
            </w:tcBorders>
          </w:tcPr>
          <w:p w14:paraId="79B04E78"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800" w:type="dxa"/>
            <w:tcBorders>
              <w:top w:val="single" w:sz="4" w:space="0" w:color="auto"/>
            </w:tcBorders>
            <w:tcMar>
              <w:top w:w="28" w:type="dxa"/>
            </w:tcMar>
          </w:tcPr>
          <w:p w14:paraId="7BBF43A2"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5D898260" w14:textId="77777777" w:rsidTr="009A5E2F">
        <w:tc>
          <w:tcPr>
            <w:tcW w:w="5760" w:type="dxa"/>
            <w:tcMar>
              <w:top w:w="28" w:type="dxa"/>
            </w:tcMar>
          </w:tcPr>
          <w:p w14:paraId="57ACF487" w14:textId="71C7068A" w:rsidR="00A17C17" w:rsidRPr="00E70587" w:rsidRDefault="00A17C17" w:rsidP="009901E1">
            <w:pPr>
              <w:spacing w:line="280" w:lineRule="exact"/>
              <w:rPr>
                <w:rFonts w:ascii="Arial" w:hAnsi="Arial" w:cs="Arial"/>
                <w:sz w:val="20"/>
              </w:rPr>
            </w:pPr>
            <w:r w:rsidRPr="00E70587">
              <w:rPr>
                <w:rFonts w:ascii="Arial" w:hAnsi="Arial" w:cs="Arial"/>
                <w:sz w:val="20"/>
              </w:rPr>
              <w:t>Revenue</w:t>
            </w:r>
            <w:r w:rsidR="00806C1A">
              <w:rPr>
                <w:rFonts w:ascii="Arial" w:hAnsi="Arial" w:cs="Arial"/>
                <w:sz w:val="20"/>
              </w:rPr>
              <w:t xml:space="preserve"> from contract with customers</w:t>
            </w:r>
          </w:p>
        </w:tc>
        <w:tc>
          <w:tcPr>
            <w:tcW w:w="1980" w:type="dxa"/>
            <w:vAlign w:val="center"/>
          </w:tcPr>
          <w:p w14:paraId="212DB1FE"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3,780 </w:t>
            </w:r>
          </w:p>
        </w:tc>
        <w:tc>
          <w:tcPr>
            <w:tcW w:w="1800" w:type="dxa"/>
            <w:tcMar>
              <w:top w:w="28" w:type="dxa"/>
            </w:tcMar>
            <w:vAlign w:val="center"/>
          </w:tcPr>
          <w:p w14:paraId="711213AB"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857 </w:t>
            </w:r>
          </w:p>
        </w:tc>
      </w:tr>
      <w:tr w:rsidR="00A17C17" w:rsidRPr="00E70587" w14:paraId="7CC2F861" w14:textId="77777777" w:rsidTr="009A5E2F">
        <w:tc>
          <w:tcPr>
            <w:tcW w:w="5760" w:type="dxa"/>
            <w:tcMar>
              <w:top w:w="28" w:type="dxa"/>
            </w:tcMar>
            <w:vAlign w:val="bottom"/>
          </w:tcPr>
          <w:p w14:paraId="7F5B956E"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Cost of raw material and components consumed</w:t>
            </w:r>
          </w:p>
        </w:tc>
        <w:tc>
          <w:tcPr>
            <w:tcW w:w="1980" w:type="dxa"/>
            <w:vAlign w:val="center"/>
          </w:tcPr>
          <w:p w14:paraId="7780A720"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(2,250) </w:t>
            </w:r>
          </w:p>
        </w:tc>
        <w:tc>
          <w:tcPr>
            <w:tcW w:w="1800" w:type="dxa"/>
            <w:tcMar>
              <w:top w:w="28" w:type="dxa"/>
            </w:tcMar>
            <w:vAlign w:val="center"/>
          </w:tcPr>
          <w:p w14:paraId="1D9874BB"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(648) </w:t>
            </w:r>
          </w:p>
        </w:tc>
      </w:tr>
      <w:tr w:rsidR="00A17C17" w:rsidRPr="00E70587" w14:paraId="4ADC0131" w14:textId="77777777" w:rsidTr="009A5E2F">
        <w:tc>
          <w:tcPr>
            <w:tcW w:w="5760" w:type="dxa"/>
            <w:tcMar>
              <w:top w:w="28" w:type="dxa"/>
            </w:tcMar>
            <w:vAlign w:val="center"/>
          </w:tcPr>
          <w:p w14:paraId="5EBFA84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Other expenses</w:t>
            </w:r>
          </w:p>
        </w:tc>
        <w:tc>
          <w:tcPr>
            <w:tcW w:w="1980" w:type="dxa"/>
            <w:vAlign w:val="center"/>
          </w:tcPr>
          <w:p w14:paraId="79A6D21A"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(270) </w:t>
            </w:r>
          </w:p>
        </w:tc>
        <w:tc>
          <w:tcPr>
            <w:tcW w:w="1800" w:type="dxa"/>
            <w:tcMar>
              <w:top w:w="28" w:type="dxa"/>
            </w:tcMar>
            <w:vAlign w:val="center"/>
          </w:tcPr>
          <w:p w14:paraId="0FD71F64"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(153) </w:t>
            </w:r>
          </w:p>
        </w:tc>
      </w:tr>
      <w:tr w:rsidR="00A17C17" w:rsidRPr="00E70587" w14:paraId="45FAD198" w14:textId="77777777" w:rsidTr="009A5E2F">
        <w:tc>
          <w:tcPr>
            <w:tcW w:w="5760" w:type="dxa"/>
            <w:tcMar>
              <w:top w:w="28" w:type="dxa"/>
            </w:tcMar>
          </w:tcPr>
          <w:p w14:paraId="752681AD" w14:textId="77777777" w:rsidR="00A17C17" w:rsidRPr="00E70587" w:rsidRDefault="00A17C17" w:rsidP="009901E1">
            <w:pPr>
              <w:spacing w:line="280" w:lineRule="exact"/>
              <w:rPr>
                <w:rFonts w:ascii="Arial" w:hAnsi="Arial" w:cs="Arial"/>
                <w:sz w:val="20"/>
              </w:rPr>
            </w:pPr>
            <w:r w:rsidRPr="00E70587">
              <w:rPr>
                <w:rFonts w:ascii="Arial" w:hAnsi="Arial" w:cs="Arial"/>
                <w:sz w:val="20"/>
              </w:rPr>
              <w:t>Finance costs</w:t>
            </w:r>
          </w:p>
        </w:tc>
        <w:tc>
          <w:tcPr>
            <w:tcW w:w="1980" w:type="dxa"/>
            <w:vAlign w:val="center"/>
          </w:tcPr>
          <w:p w14:paraId="6149B19F"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(630) </w:t>
            </w:r>
          </w:p>
        </w:tc>
        <w:tc>
          <w:tcPr>
            <w:tcW w:w="1800" w:type="dxa"/>
            <w:tcMar>
              <w:top w:w="28" w:type="dxa"/>
            </w:tcMar>
            <w:vAlign w:val="center"/>
          </w:tcPr>
          <w:p w14:paraId="633010A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(20) </w:t>
            </w:r>
          </w:p>
        </w:tc>
      </w:tr>
      <w:tr w:rsidR="00A17C17" w:rsidRPr="00E70587" w14:paraId="00ECE413" w14:textId="77777777" w:rsidTr="009A5E2F">
        <w:tc>
          <w:tcPr>
            <w:tcW w:w="5760" w:type="dxa"/>
          </w:tcPr>
          <w:p w14:paraId="42479DA5"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Profit before tax</w:t>
            </w:r>
          </w:p>
        </w:tc>
        <w:tc>
          <w:tcPr>
            <w:tcW w:w="1980" w:type="dxa"/>
            <w:vAlign w:val="center"/>
          </w:tcPr>
          <w:p w14:paraId="50778C38"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630 </w:t>
            </w:r>
          </w:p>
        </w:tc>
        <w:tc>
          <w:tcPr>
            <w:tcW w:w="1800" w:type="dxa"/>
            <w:tcMar>
              <w:top w:w="28" w:type="dxa"/>
              <w:right w:w="57" w:type="dxa"/>
            </w:tcMar>
            <w:vAlign w:val="center"/>
          </w:tcPr>
          <w:p w14:paraId="154B32E9"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36 </w:t>
            </w:r>
          </w:p>
        </w:tc>
      </w:tr>
      <w:tr w:rsidR="00A17C17" w:rsidRPr="00E70587" w14:paraId="4B9B31E7" w14:textId="77777777" w:rsidTr="009A5E2F">
        <w:tc>
          <w:tcPr>
            <w:tcW w:w="5760" w:type="dxa"/>
          </w:tcPr>
          <w:p w14:paraId="1AF64EB3" w14:textId="77777777" w:rsidR="00A17C17" w:rsidRPr="00E70587" w:rsidRDefault="00A17C17" w:rsidP="009901E1">
            <w:pPr>
              <w:spacing w:line="280" w:lineRule="exact"/>
              <w:rPr>
                <w:rFonts w:ascii="Arial" w:hAnsi="Arial" w:cs="Arial"/>
                <w:sz w:val="20"/>
              </w:rPr>
            </w:pPr>
            <w:r w:rsidRPr="00E70587">
              <w:rPr>
                <w:rFonts w:ascii="Arial" w:hAnsi="Arial" w:cs="Arial"/>
                <w:sz w:val="20"/>
              </w:rPr>
              <w:t>Income tax</w:t>
            </w:r>
          </w:p>
        </w:tc>
        <w:tc>
          <w:tcPr>
            <w:tcW w:w="1980" w:type="dxa"/>
            <w:tcBorders>
              <w:bottom w:val="single" w:sz="4" w:space="0" w:color="auto"/>
            </w:tcBorders>
            <w:vAlign w:val="center"/>
          </w:tcPr>
          <w:p w14:paraId="7635D96E"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36 </w:t>
            </w:r>
          </w:p>
        </w:tc>
        <w:tc>
          <w:tcPr>
            <w:tcW w:w="1800" w:type="dxa"/>
            <w:tcBorders>
              <w:bottom w:val="single" w:sz="4" w:space="0" w:color="auto"/>
            </w:tcBorders>
            <w:tcMar>
              <w:top w:w="28" w:type="dxa"/>
              <w:right w:w="57" w:type="dxa"/>
            </w:tcMar>
            <w:vAlign w:val="center"/>
          </w:tcPr>
          <w:p w14:paraId="0AE34358"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(14) </w:t>
            </w:r>
          </w:p>
        </w:tc>
      </w:tr>
      <w:tr w:rsidR="00A17C17" w:rsidRPr="00E70587" w14:paraId="1232FBB5" w14:textId="77777777" w:rsidTr="009A5E2F">
        <w:tc>
          <w:tcPr>
            <w:tcW w:w="5760" w:type="dxa"/>
            <w:tcMar>
              <w:top w:w="28" w:type="dxa"/>
            </w:tcMar>
          </w:tcPr>
          <w:p w14:paraId="1BD647D5"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Profit for the year from continuing operations</w:t>
            </w:r>
          </w:p>
        </w:tc>
        <w:tc>
          <w:tcPr>
            <w:tcW w:w="1980" w:type="dxa"/>
            <w:tcBorders>
              <w:top w:val="single" w:sz="4" w:space="0" w:color="auto"/>
              <w:bottom w:val="double" w:sz="4" w:space="0" w:color="auto"/>
            </w:tcBorders>
            <w:vAlign w:val="center"/>
          </w:tcPr>
          <w:p w14:paraId="068E72DA"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666 </w:t>
            </w:r>
          </w:p>
        </w:tc>
        <w:tc>
          <w:tcPr>
            <w:tcW w:w="1800" w:type="dxa"/>
            <w:tcBorders>
              <w:top w:val="single" w:sz="4" w:space="0" w:color="auto"/>
              <w:bottom w:val="double" w:sz="4" w:space="0" w:color="auto"/>
            </w:tcBorders>
            <w:tcMar>
              <w:top w:w="28" w:type="dxa"/>
            </w:tcMar>
            <w:vAlign w:val="center"/>
          </w:tcPr>
          <w:p w14:paraId="21D8B8B7"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22 </w:t>
            </w:r>
          </w:p>
        </w:tc>
      </w:tr>
      <w:tr w:rsidR="00A17C17" w:rsidRPr="00E70587" w14:paraId="3A3E612B" w14:textId="77777777" w:rsidTr="009A5E2F">
        <w:tc>
          <w:tcPr>
            <w:tcW w:w="5760" w:type="dxa"/>
            <w:tcMar>
              <w:top w:w="28" w:type="dxa"/>
            </w:tcMar>
          </w:tcPr>
          <w:p w14:paraId="48EEFD36"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Total comprehensive income</w:t>
            </w:r>
          </w:p>
        </w:tc>
        <w:tc>
          <w:tcPr>
            <w:tcW w:w="1980" w:type="dxa"/>
            <w:tcBorders>
              <w:top w:val="double" w:sz="4" w:space="0" w:color="auto"/>
              <w:bottom w:val="double" w:sz="4" w:space="0" w:color="auto"/>
            </w:tcBorders>
            <w:vAlign w:val="center"/>
          </w:tcPr>
          <w:p w14:paraId="1374CBC6"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666 </w:t>
            </w:r>
          </w:p>
        </w:tc>
        <w:tc>
          <w:tcPr>
            <w:tcW w:w="1800" w:type="dxa"/>
            <w:tcBorders>
              <w:top w:val="double" w:sz="4" w:space="0" w:color="auto"/>
              <w:bottom w:val="double" w:sz="4" w:space="0" w:color="auto"/>
            </w:tcBorders>
            <w:tcMar>
              <w:top w:w="28" w:type="dxa"/>
            </w:tcMar>
            <w:vAlign w:val="center"/>
          </w:tcPr>
          <w:p w14:paraId="02BA2587"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22 </w:t>
            </w:r>
          </w:p>
        </w:tc>
      </w:tr>
      <w:tr w:rsidR="00A17C17" w:rsidRPr="00E70587" w14:paraId="41124BE8" w14:textId="77777777" w:rsidTr="009A5E2F">
        <w:tc>
          <w:tcPr>
            <w:tcW w:w="5760" w:type="dxa"/>
            <w:tcMar>
              <w:top w:w="28" w:type="dxa"/>
            </w:tcMar>
          </w:tcPr>
          <w:p w14:paraId="06228026" w14:textId="77777777" w:rsidR="00A17C17" w:rsidRPr="00E70587" w:rsidRDefault="00A17C17" w:rsidP="009901E1">
            <w:pPr>
              <w:spacing w:line="280" w:lineRule="exact"/>
              <w:rPr>
                <w:rFonts w:ascii="Arial" w:hAnsi="Arial" w:cs="Arial"/>
                <w:sz w:val="20"/>
              </w:rPr>
            </w:pPr>
            <w:r w:rsidRPr="00E70587">
              <w:rPr>
                <w:rFonts w:ascii="Arial" w:hAnsi="Arial" w:cs="Arial"/>
                <w:sz w:val="20"/>
              </w:rPr>
              <w:lastRenderedPageBreak/>
              <w:t xml:space="preserve">Attributable to non-controlling interests </w:t>
            </w:r>
          </w:p>
        </w:tc>
        <w:tc>
          <w:tcPr>
            <w:tcW w:w="1980" w:type="dxa"/>
            <w:tcBorders>
              <w:top w:val="double" w:sz="4" w:space="0" w:color="auto"/>
            </w:tcBorders>
            <w:vAlign w:val="center"/>
          </w:tcPr>
          <w:p w14:paraId="749AEDE5"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346 </w:t>
            </w:r>
          </w:p>
        </w:tc>
        <w:tc>
          <w:tcPr>
            <w:tcW w:w="1800" w:type="dxa"/>
            <w:tcBorders>
              <w:top w:val="double" w:sz="4" w:space="0" w:color="auto"/>
            </w:tcBorders>
            <w:tcMar>
              <w:top w:w="28" w:type="dxa"/>
            </w:tcMar>
            <w:vAlign w:val="center"/>
          </w:tcPr>
          <w:p w14:paraId="76A55DF4"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4 </w:t>
            </w:r>
          </w:p>
        </w:tc>
      </w:tr>
      <w:tr w:rsidR="00A17C17" w:rsidRPr="00E70587" w14:paraId="3BE5659D" w14:textId="77777777" w:rsidTr="009A5E2F">
        <w:tc>
          <w:tcPr>
            <w:tcW w:w="5760" w:type="dxa"/>
            <w:tcMar>
              <w:top w:w="28" w:type="dxa"/>
            </w:tcMar>
          </w:tcPr>
          <w:p w14:paraId="75F6DD44" w14:textId="77777777" w:rsidR="00A17C17" w:rsidRPr="00E70587" w:rsidRDefault="00A17C17" w:rsidP="009901E1">
            <w:pPr>
              <w:spacing w:line="280" w:lineRule="exact"/>
              <w:rPr>
                <w:rFonts w:ascii="Arial" w:hAnsi="Arial" w:cs="Arial"/>
                <w:sz w:val="20"/>
              </w:rPr>
            </w:pPr>
            <w:r w:rsidRPr="00E70587">
              <w:rPr>
                <w:rFonts w:ascii="Arial" w:hAnsi="Arial" w:cs="Arial"/>
                <w:sz w:val="20"/>
              </w:rPr>
              <w:t>Dividends paid to non-controlling interests</w:t>
            </w:r>
          </w:p>
        </w:tc>
        <w:tc>
          <w:tcPr>
            <w:tcW w:w="1980" w:type="dxa"/>
            <w:vAlign w:val="center"/>
          </w:tcPr>
          <w:p w14:paraId="1A937FAD"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88 </w:t>
            </w:r>
          </w:p>
        </w:tc>
        <w:tc>
          <w:tcPr>
            <w:tcW w:w="1800" w:type="dxa"/>
            <w:tcMar>
              <w:top w:w="28" w:type="dxa"/>
            </w:tcMar>
            <w:vAlign w:val="center"/>
          </w:tcPr>
          <w:p w14:paraId="2795E0FF"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 </w:t>
            </w:r>
          </w:p>
        </w:tc>
      </w:tr>
    </w:tbl>
    <w:p w14:paraId="6A77FCBE" w14:textId="77777777" w:rsidR="005A1050" w:rsidRPr="00E70587" w:rsidRDefault="005A1050" w:rsidP="00F53583">
      <w:pPr>
        <w:spacing w:line="280" w:lineRule="exact"/>
        <w:rPr>
          <w:rFonts w:ascii="Arial" w:hAnsi="Arial" w:cs="Arial"/>
          <w:sz w:val="20"/>
        </w:rPr>
      </w:pPr>
    </w:p>
    <w:p w14:paraId="1827F485" w14:textId="39B28CCF" w:rsidR="00811B92" w:rsidRPr="00E70587" w:rsidRDefault="00FA7688" w:rsidP="00950163">
      <w:pPr>
        <w:pStyle w:val="Tablecolumnheading"/>
        <w:spacing w:line="280" w:lineRule="exact"/>
        <w:jc w:val="left"/>
        <w:rPr>
          <w:rFonts w:ascii="Arial" w:hAnsi="Arial"/>
          <w:szCs w:val="20"/>
          <w:lang w:val="en-IN" w:eastAsia="en-GB"/>
        </w:rPr>
      </w:pPr>
      <w:r w:rsidRPr="00E70587">
        <w:rPr>
          <w:rFonts w:ascii="Arial" w:hAnsi="Arial"/>
          <w:color w:val="auto"/>
          <w:sz w:val="20"/>
          <w:szCs w:val="20"/>
          <w:lang w:val="en-IN"/>
        </w:rPr>
        <w:t>Summarised</w:t>
      </w:r>
      <w:r w:rsidRPr="00E70587">
        <w:rPr>
          <w:rFonts w:ascii="Arial" w:hAnsi="Arial"/>
          <w:szCs w:val="20"/>
          <w:lang w:val="en-IN"/>
        </w:rPr>
        <w:t xml:space="preserve"> balance sheet as at 31 </w:t>
      </w:r>
      <w:r w:rsidR="00E1202D" w:rsidRPr="00E70587">
        <w:rPr>
          <w:rFonts w:ascii="Arial" w:hAnsi="Arial"/>
          <w:szCs w:val="20"/>
          <w:lang w:val="en-IN"/>
        </w:rPr>
        <w:t xml:space="preserve">March </w:t>
      </w:r>
      <w:r w:rsidR="0013258A" w:rsidRPr="00E70587">
        <w:rPr>
          <w:rFonts w:ascii="Arial" w:hAnsi="Arial"/>
          <w:szCs w:val="20"/>
          <w:lang w:val="en-IN"/>
        </w:rPr>
        <w:t>20</w:t>
      </w:r>
      <w:r w:rsidR="0013258A">
        <w:rPr>
          <w:rFonts w:ascii="Arial" w:hAnsi="Arial"/>
          <w:szCs w:val="20"/>
          <w:lang w:val="en-IN"/>
        </w:rPr>
        <w:t>21</w:t>
      </w:r>
      <w:r w:rsidRPr="00E70587">
        <w:rPr>
          <w:rFonts w:ascii="Arial" w:hAnsi="Arial"/>
          <w:szCs w:val="20"/>
          <w:lang w:val="en-IN"/>
        </w:rPr>
        <w:t>:</w:t>
      </w:r>
    </w:p>
    <w:tbl>
      <w:tblPr>
        <w:tblW w:w="9576" w:type="dxa"/>
        <w:tblLayout w:type="fixed"/>
        <w:tblLook w:val="01E0" w:firstRow="1" w:lastRow="1" w:firstColumn="1" w:lastColumn="1" w:noHBand="0" w:noVBand="0"/>
      </w:tblPr>
      <w:tblGrid>
        <w:gridCol w:w="4156"/>
        <w:gridCol w:w="1626"/>
        <w:gridCol w:w="1987"/>
        <w:gridCol w:w="1807"/>
      </w:tblGrid>
      <w:tr w:rsidR="00A17C17" w:rsidRPr="00E70587" w14:paraId="54971B90" w14:textId="77777777" w:rsidTr="00F53583">
        <w:tc>
          <w:tcPr>
            <w:tcW w:w="4156" w:type="dxa"/>
            <w:tcMar>
              <w:top w:w="28" w:type="dxa"/>
            </w:tcMar>
          </w:tcPr>
          <w:p w14:paraId="4FDC5095"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26" w:type="dxa"/>
            <w:tcBorders>
              <w:bottom w:val="single" w:sz="4" w:space="0" w:color="auto"/>
            </w:tcBorders>
            <w:vAlign w:val="bottom"/>
          </w:tcPr>
          <w:p w14:paraId="520C3BCB"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Electronics Limited</w:t>
            </w:r>
          </w:p>
        </w:tc>
        <w:tc>
          <w:tcPr>
            <w:tcW w:w="1987" w:type="dxa"/>
            <w:tcBorders>
              <w:bottom w:val="single" w:sz="4" w:space="0" w:color="auto"/>
            </w:tcBorders>
            <w:tcMar>
              <w:top w:w="28" w:type="dxa"/>
            </w:tcMar>
            <w:vAlign w:val="bottom"/>
          </w:tcPr>
          <w:p w14:paraId="3A5EC884"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Extinguishers Limited</w:t>
            </w:r>
          </w:p>
        </w:tc>
        <w:tc>
          <w:tcPr>
            <w:tcW w:w="1807" w:type="dxa"/>
            <w:tcBorders>
              <w:bottom w:val="single" w:sz="4" w:space="0" w:color="auto"/>
            </w:tcBorders>
            <w:tcMar>
              <w:top w:w="28" w:type="dxa"/>
            </w:tcMar>
            <w:vAlign w:val="bottom"/>
          </w:tcPr>
          <w:p w14:paraId="613F4DC3" w14:textId="77777777" w:rsidR="00A17C17" w:rsidRPr="00E70587" w:rsidRDefault="00A17C17" w:rsidP="009901E1">
            <w:pPr>
              <w:pStyle w:val="tabletext"/>
              <w:overflowPunct w:val="0"/>
              <w:autoSpaceDE w:val="0"/>
              <w:autoSpaceDN w:val="0"/>
              <w:adjustRightInd w:val="0"/>
              <w:spacing w:line="280" w:lineRule="exact"/>
              <w:ind w:right="131"/>
              <w:jc w:val="right"/>
              <w:textAlignment w:val="baseline"/>
              <w:rPr>
                <w:rFonts w:ascii="Arial" w:hAnsi="Arial" w:cs="Arial"/>
                <w:b/>
                <w:sz w:val="20"/>
                <w:lang w:val="en-IN"/>
              </w:rPr>
            </w:pPr>
            <w:r w:rsidRPr="00E70587">
              <w:rPr>
                <w:rFonts w:ascii="Arial" w:hAnsi="Arial" w:cs="Arial"/>
                <w:b/>
                <w:sz w:val="20"/>
                <w:lang w:val="en-IN"/>
              </w:rPr>
              <w:t>Lightbulbs Limited</w:t>
            </w:r>
          </w:p>
        </w:tc>
      </w:tr>
      <w:tr w:rsidR="00A17C17" w:rsidRPr="00E70587" w14:paraId="2CB8F543" w14:textId="77777777" w:rsidTr="00F53583">
        <w:tc>
          <w:tcPr>
            <w:tcW w:w="4156" w:type="dxa"/>
            <w:tcMar>
              <w:top w:w="28" w:type="dxa"/>
            </w:tcMar>
          </w:tcPr>
          <w:p w14:paraId="44094877"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26" w:type="dxa"/>
            <w:tcBorders>
              <w:top w:val="single" w:sz="4" w:space="0" w:color="auto"/>
            </w:tcBorders>
            <w:vAlign w:val="bottom"/>
          </w:tcPr>
          <w:p w14:paraId="332DDF50" w14:textId="77777777" w:rsidR="00A17C17" w:rsidRPr="00E70587" w:rsidRDefault="00A17C17" w:rsidP="006D2A6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987" w:type="dxa"/>
            <w:tcBorders>
              <w:top w:val="single" w:sz="4" w:space="0" w:color="auto"/>
            </w:tcBorders>
            <w:tcMar>
              <w:top w:w="28" w:type="dxa"/>
            </w:tcMar>
            <w:vAlign w:val="bottom"/>
          </w:tcPr>
          <w:p w14:paraId="01DCD0FD" w14:textId="77777777" w:rsidR="00A17C17" w:rsidRPr="00E70587" w:rsidRDefault="00A17C17" w:rsidP="006D2A6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07" w:type="dxa"/>
            <w:tcBorders>
              <w:top w:val="single" w:sz="4" w:space="0" w:color="auto"/>
            </w:tcBorders>
            <w:tcMar>
              <w:top w:w="28" w:type="dxa"/>
            </w:tcMar>
            <w:vAlign w:val="bottom"/>
          </w:tcPr>
          <w:p w14:paraId="0F4A33FC" w14:textId="77777777" w:rsidR="00A17C17" w:rsidRPr="00E70587" w:rsidRDefault="00A17C17" w:rsidP="006D2A68">
            <w:pPr>
              <w:pStyle w:val="Tablecolumnheading"/>
              <w:spacing w:line="280" w:lineRule="exact"/>
              <w:ind w:right="175"/>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29653ACA" w14:textId="77777777" w:rsidTr="00F53583">
        <w:tc>
          <w:tcPr>
            <w:tcW w:w="4156" w:type="dxa"/>
            <w:tcMar>
              <w:top w:w="28" w:type="dxa"/>
            </w:tcMar>
            <w:vAlign w:val="center"/>
          </w:tcPr>
          <w:p w14:paraId="4EA5C3FC"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Inventories and cash and bank balances (current)</w:t>
            </w:r>
          </w:p>
        </w:tc>
        <w:tc>
          <w:tcPr>
            <w:tcW w:w="1626" w:type="dxa"/>
            <w:vAlign w:val="center"/>
          </w:tcPr>
          <w:p w14:paraId="485C80AD" w14:textId="77777777" w:rsidR="00A17C17" w:rsidRPr="00E70587" w:rsidRDefault="00A17C17" w:rsidP="006D2A68">
            <w:pPr>
              <w:spacing w:line="280" w:lineRule="exact"/>
              <w:jc w:val="right"/>
              <w:rPr>
                <w:rFonts w:ascii="Arial" w:hAnsi="Arial" w:cs="Arial"/>
                <w:sz w:val="20"/>
              </w:rPr>
            </w:pPr>
            <w:r w:rsidRPr="00E70587">
              <w:rPr>
                <w:rFonts w:ascii="Arial" w:hAnsi="Arial" w:cs="Arial"/>
                <w:sz w:val="20"/>
              </w:rPr>
              <w:t xml:space="preserve"> 1,748 </w:t>
            </w:r>
          </w:p>
        </w:tc>
        <w:tc>
          <w:tcPr>
            <w:tcW w:w="1987" w:type="dxa"/>
            <w:tcMar>
              <w:top w:w="28" w:type="dxa"/>
            </w:tcMar>
            <w:vAlign w:val="center"/>
          </w:tcPr>
          <w:p w14:paraId="1FC1366E" w14:textId="77777777" w:rsidR="00A17C17" w:rsidRPr="00E70587" w:rsidRDefault="00A17C17" w:rsidP="006D2A68">
            <w:pPr>
              <w:spacing w:line="280" w:lineRule="exact"/>
              <w:jc w:val="right"/>
              <w:rPr>
                <w:rFonts w:ascii="Arial" w:hAnsi="Arial" w:cs="Arial"/>
                <w:sz w:val="20"/>
              </w:rPr>
            </w:pPr>
            <w:r w:rsidRPr="00E70587">
              <w:rPr>
                <w:rFonts w:ascii="Arial" w:hAnsi="Arial" w:cs="Arial"/>
                <w:sz w:val="20"/>
              </w:rPr>
              <w:t xml:space="preserve"> 12,317 </w:t>
            </w:r>
          </w:p>
        </w:tc>
        <w:tc>
          <w:tcPr>
            <w:tcW w:w="1807" w:type="dxa"/>
            <w:tcMar>
              <w:top w:w="28" w:type="dxa"/>
            </w:tcMar>
            <w:vAlign w:val="center"/>
          </w:tcPr>
          <w:p w14:paraId="5251DBAC" w14:textId="77777777" w:rsidR="00A17C17" w:rsidRPr="00E70587" w:rsidRDefault="00A17C17" w:rsidP="006D2A68">
            <w:pPr>
              <w:spacing w:line="280" w:lineRule="exact"/>
              <w:jc w:val="right"/>
              <w:rPr>
                <w:rFonts w:ascii="Arial" w:hAnsi="Arial" w:cs="Arial"/>
                <w:sz w:val="20"/>
              </w:rPr>
            </w:pPr>
            <w:r w:rsidRPr="00E70587">
              <w:rPr>
                <w:rFonts w:ascii="Arial" w:hAnsi="Arial" w:cs="Arial"/>
                <w:sz w:val="20"/>
              </w:rPr>
              <w:t xml:space="preserve">4,136 </w:t>
            </w:r>
          </w:p>
        </w:tc>
      </w:tr>
      <w:tr w:rsidR="00A17C17" w:rsidRPr="00E70587" w14:paraId="0151B589" w14:textId="77777777" w:rsidTr="00F53583">
        <w:tc>
          <w:tcPr>
            <w:tcW w:w="4156" w:type="dxa"/>
            <w:tcMar>
              <w:top w:w="28" w:type="dxa"/>
            </w:tcMar>
            <w:vAlign w:val="center"/>
          </w:tcPr>
          <w:p w14:paraId="2B8D210A"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Property, plant and equipment and other non-current financial assets (non-current)</w:t>
            </w:r>
          </w:p>
        </w:tc>
        <w:tc>
          <w:tcPr>
            <w:tcW w:w="1626" w:type="dxa"/>
            <w:vAlign w:val="center"/>
          </w:tcPr>
          <w:p w14:paraId="60394550"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2,534 </w:t>
            </w:r>
          </w:p>
        </w:tc>
        <w:tc>
          <w:tcPr>
            <w:tcW w:w="1987" w:type="dxa"/>
            <w:tcMar>
              <w:top w:w="28" w:type="dxa"/>
            </w:tcMar>
            <w:vAlign w:val="center"/>
          </w:tcPr>
          <w:p w14:paraId="1024EF3F"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14,836 </w:t>
            </w:r>
          </w:p>
        </w:tc>
        <w:tc>
          <w:tcPr>
            <w:tcW w:w="1807" w:type="dxa"/>
            <w:tcMar>
              <w:top w:w="28" w:type="dxa"/>
            </w:tcMar>
            <w:vAlign w:val="center"/>
          </w:tcPr>
          <w:p w14:paraId="73FB0DEA"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2,300 </w:t>
            </w:r>
          </w:p>
        </w:tc>
      </w:tr>
      <w:tr w:rsidR="00A17C17" w:rsidRPr="00E70587" w14:paraId="2DBDCF76" w14:textId="77777777" w:rsidTr="00F53583">
        <w:tc>
          <w:tcPr>
            <w:tcW w:w="4156" w:type="dxa"/>
            <w:tcMar>
              <w:top w:w="28" w:type="dxa"/>
            </w:tcMar>
            <w:vAlign w:val="center"/>
          </w:tcPr>
          <w:p w14:paraId="36ADEF0F"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Trade and other payable (current) </w:t>
            </w:r>
          </w:p>
        </w:tc>
        <w:tc>
          <w:tcPr>
            <w:tcW w:w="1626" w:type="dxa"/>
            <w:vAlign w:val="center"/>
          </w:tcPr>
          <w:p w14:paraId="49B8E552"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(648) </w:t>
            </w:r>
          </w:p>
        </w:tc>
        <w:tc>
          <w:tcPr>
            <w:tcW w:w="1987" w:type="dxa"/>
            <w:tcMar>
              <w:top w:w="28" w:type="dxa"/>
            </w:tcMar>
            <w:vAlign w:val="center"/>
          </w:tcPr>
          <w:p w14:paraId="55425C0C"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(10,480) </w:t>
            </w:r>
          </w:p>
        </w:tc>
        <w:tc>
          <w:tcPr>
            <w:tcW w:w="1807" w:type="dxa"/>
            <w:tcMar>
              <w:top w:w="28" w:type="dxa"/>
            </w:tcMar>
            <w:vAlign w:val="center"/>
          </w:tcPr>
          <w:p w14:paraId="6DD2095B"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(1,480) </w:t>
            </w:r>
          </w:p>
        </w:tc>
      </w:tr>
      <w:tr w:rsidR="00A17C17" w:rsidRPr="00E70587" w14:paraId="71118CDE" w14:textId="77777777" w:rsidTr="00F53583">
        <w:tc>
          <w:tcPr>
            <w:tcW w:w="4156" w:type="dxa"/>
            <w:tcMar>
              <w:top w:w="28" w:type="dxa"/>
            </w:tcMar>
            <w:vAlign w:val="center"/>
          </w:tcPr>
          <w:p w14:paraId="65CCAED1" w14:textId="77777777" w:rsidR="00A17C17" w:rsidRPr="00E70587" w:rsidRDefault="00BC09B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B</w:t>
            </w:r>
            <w:r w:rsidR="00A17C17" w:rsidRPr="00E70587">
              <w:rPr>
                <w:rFonts w:ascii="Arial" w:hAnsi="Arial" w:cs="Arial"/>
                <w:sz w:val="20"/>
                <w:lang w:val="en-IN"/>
              </w:rPr>
              <w:t>orrowing and deferred tax liabilities (non-current)</w:t>
            </w:r>
          </w:p>
        </w:tc>
        <w:tc>
          <w:tcPr>
            <w:tcW w:w="1626" w:type="dxa"/>
            <w:tcBorders>
              <w:bottom w:val="single" w:sz="4" w:space="0" w:color="auto"/>
            </w:tcBorders>
            <w:vAlign w:val="center"/>
          </w:tcPr>
          <w:p w14:paraId="785B76AB"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(1,440) </w:t>
            </w:r>
          </w:p>
        </w:tc>
        <w:tc>
          <w:tcPr>
            <w:tcW w:w="1987" w:type="dxa"/>
            <w:tcBorders>
              <w:bottom w:val="single" w:sz="4" w:space="0" w:color="auto"/>
            </w:tcBorders>
            <w:tcMar>
              <w:top w:w="28" w:type="dxa"/>
            </w:tcMar>
            <w:vAlign w:val="center"/>
          </w:tcPr>
          <w:p w14:paraId="67E469CA"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(4,880) </w:t>
            </w:r>
          </w:p>
        </w:tc>
        <w:tc>
          <w:tcPr>
            <w:tcW w:w="1807" w:type="dxa"/>
            <w:tcBorders>
              <w:bottom w:val="single" w:sz="4" w:space="0" w:color="auto"/>
            </w:tcBorders>
            <w:tcMar>
              <w:top w:w="28" w:type="dxa"/>
            </w:tcMar>
            <w:vAlign w:val="center"/>
          </w:tcPr>
          <w:p w14:paraId="40BB6B56"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(774) </w:t>
            </w:r>
          </w:p>
        </w:tc>
      </w:tr>
      <w:tr w:rsidR="00A17C17" w:rsidRPr="00E70587" w14:paraId="7EC422A3" w14:textId="77777777" w:rsidTr="00F53583">
        <w:tc>
          <w:tcPr>
            <w:tcW w:w="4156" w:type="dxa"/>
            <w:tcMar>
              <w:top w:w="28" w:type="dxa"/>
            </w:tcMar>
            <w:vAlign w:val="center"/>
          </w:tcPr>
          <w:p w14:paraId="49561D8E"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Total equity</w:t>
            </w:r>
          </w:p>
        </w:tc>
        <w:tc>
          <w:tcPr>
            <w:tcW w:w="1626" w:type="dxa"/>
            <w:tcBorders>
              <w:top w:val="single" w:sz="4" w:space="0" w:color="auto"/>
              <w:bottom w:val="double" w:sz="4" w:space="0" w:color="auto"/>
            </w:tcBorders>
            <w:vAlign w:val="center"/>
          </w:tcPr>
          <w:p w14:paraId="07B8A2A3"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 2,194 </w:t>
            </w:r>
          </w:p>
        </w:tc>
        <w:tc>
          <w:tcPr>
            <w:tcW w:w="1987" w:type="dxa"/>
            <w:tcBorders>
              <w:top w:val="single" w:sz="4" w:space="0" w:color="auto"/>
              <w:bottom w:val="double" w:sz="4" w:space="0" w:color="auto"/>
            </w:tcBorders>
            <w:tcMar>
              <w:top w:w="28" w:type="dxa"/>
            </w:tcMar>
            <w:vAlign w:val="center"/>
          </w:tcPr>
          <w:p w14:paraId="5143F6B8"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 11,793 </w:t>
            </w:r>
          </w:p>
        </w:tc>
        <w:tc>
          <w:tcPr>
            <w:tcW w:w="1807" w:type="dxa"/>
            <w:tcBorders>
              <w:top w:val="single" w:sz="4" w:space="0" w:color="auto"/>
              <w:bottom w:val="double" w:sz="4" w:space="0" w:color="auto"/>
            </w:tcBorders>
            <w:tcMar>
              <w:top w:w="28" w:type="dxa"/>
            </w:tcMar>
            <w:vAlign w:val="center"/>
          </w:tcPr>
          <w:p w14:paraId="375CD0D4"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4,182 </w:t>
            </w:r>
          </w:p>
        </w:tc>
      </w:tr>
      <w:tr w:rsidR="00A17C17" w:rsidRPr="00E70587" w14:paraId="296DE035" w14:textId="77777777" w:rsidTr="00F53583">
        <w:tc>
          <w:tcPr>
            <w:tcW w:w="4156" w:type="dxa"/>
            <w:tcMar>
              <w:top w:w="28" w:type="dxa"/>
            </w:tcMar>
            <w:vAlign w:val="center"/>
          </w:tcPr>
          <w:p w14:paraId="4571CE50"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Attributable to:</w:t>
            </w:r>
          </w:p>
        </w:tc>
        <w:tc>
          <w:tcPr>
            <w:tcW w:w="1626" w:type="dxa"/>
            <w:tcBorders>
              <w:top w:val="double" w:sz="4" w:space="0" w:color="auto"/>
            </w:tcBorders>
            <w:vAlign w:val="center"/>
          </w:tcPr>
          <w:p w14:paraId="3A0499B8" w14:textId="77777777" w:rsidR="00A17C17" w:rsidRPr="00E70587" w:rsidRDefault="00A17C17" w:rsidP="009901E1">
            <w:pPr>
              <w:spacing w:line="280" w:lineRule="exact"/>
              <w:jc w:val="right"/>
              <w:rPr>
                <w:rFonts w:ascii="Arial" w:hAnsi="Arial" w:cs="Arial"/>
                <w:b/>
                <w:sz w:val="20"/>
              </w:rPr>
            </w:pPr>
          </w:p>
        </w:tc>
        <w:tc>
          <w:tcPr>
            <w:tcW w:w="1987" w:type="dxa"/>
            <w:tcBorders>
              <w:top w:val="double" w:sz="4" w:space="0" w:color="auto"/>
            </w:tcBorders>
            <w:tcMar>
              <w:top w:w="28" w:type="dxa"/>
            </w:tcMar>
            <w:vAlign w:val="center"/>
          </w:tcPr>
          <w:p w14:paraId="5D8A0CB2" w14:textId="77777777" w:rsidR="00A17C17" w:rsidRPr="00E70587" w:rsidRDefault="00A17C17" w:rsidP="009901E1">
            <w:pPr>
              <w:spacing w:line="280" w:lineRule="exact"/>
              <w:jc w:val="right"/>
              <w:rPr>
                <w:rFonts w:ascii="Arial" w:hAnsi="Arial" w:cs="Arial"/>
                <w:b/>
                <w:sz w:val="20"/>
              </w:rPr>
            </w:pPr>
          </w:p>
        </w:tc>
        <w:tc>
          <w:tcPr>
            <w:tcW w:w="1807" w:type="dxa"/>
            <w:tcBorders>
              <w:top w:val="double" w:sz="4" w:space="0" w:color="auto"/>
            </w:tcBorders>
            <w:tcMar>
              <w:top w:w="28" w:type="dxa"/>
            </w:tcMar>
            <w:vAlign w:val="center"/>
          </w:tcPr>
          <w:p w14:paraId="1415F53D" w14:textId="77777777" w:rsidR="00A17C17" w:rsidRPr="00E70587" w:rsidRDefault="00A17C17" w:rsidP="009901E1">
            <w:pPr>
              <w:spacing w:line="280" w:lineRule="exact"/>
              <w:jc w:val="right"/>
              <w:rPr>
                <w:rFonts w:ascii="Arial" w:hAnsi="Arial" w:cs="Arial"/>
                <w:b/>
                <w:sz w:val="20"/>
              </w:rPr>
            </w:pPr>
          </w:p>
        </w:tc>
      </w:tr>
      <w:tr w:rsidR="00A17C17" w:rsidRPr="00E70587" w14:paraId="71D47163" w14:textId="77777777" w:rsidTr="00F53583">
        <w:tc>
          <w:tcPr>
            <w:tcW w:w="4156" w:type="dxa"/>
            <w:tcMar>
              <w:top w:w="28" w:type="dxa"/>
            </w:tcMar>
            <w:vAlign w:val="center"/>
          </w:tcPr>
          <w:p w14:paraId="773F09D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Equity holders of parent</w:t>
            </w:r>
          </w:p>
        </w:tc>
        <w:tc>
          <w:tcPr>
            <w:tcW w:w="1626" w:type="dxa"/>
            <w:vAlign w:val="center"/>
          </w:tcPr>
          <w:p w14:paraId="4868C2D0"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1,053 </w:t>
            </w:r>
          </w:p>
        </w:tc>
        <w:tc>
          <w:tcPr>
            <w:tcW w:w="1987" w:type="dxa"/>
            <w:tcMar>
              <w:top w:w="28" w:type="dxa"/>
            </w:tcMar>
            <w:vAlign w:val="center"/>
          </w:tcPr>
          <w:p w14:paraId="76067369" w14:textId="77777777" w:rsidR="00A17C17" w:rsidRPr="00E70587" w:rsidRDefault="00950163" w:rsidP="009901E1">
            <w:pPr>
              <w:spacing w:line="280" w:lineRule="exact"/>
              <w:jc w:val="right"/>
              <w:rPr>
                <w:rFonts w:ascii="Arial" w:hAnsi="Arial" w:cs="Arial"/>
                <w:sz w:val="20"/>
              </w:rPr>
            </w:pPr>
            <w:r w:rsidRPr="00E70587">
              <w:rPr>
                <w:rFonts w:ascii="Arial" w:hAnsi="Arial" w:cs="Arial"/>
                <w:sz w:val="20"/>
              </w:rPr>
              <w:t xml:space="preserve"> </w:t>
            </w:r>
            <w:r w:rsidR="00A17C17" w:rsidRPr="00E70587">
              <w:rPr>
                <w:rFonts w:ascii="Arial" w:hAnsi="Arial" w:cs="Arial"/>
                <w:sz w:val="20"/>
              </w:rPr>
              <w:t xml:space="preserve">9,436 </w:t>
            </w:r>
          </w:p>
        </w:tc>
        <w:tc>
          <w:tcPr>
            <w:tcW w:w="1807" w:type="dxa"/>
            <w:tcMar>
              <w:top w:w="28" w:type="dxa"/>
            </w:tcMar>
            <w:vAlign w:val="center"/>
          </w:tcPr>
          <w:p w14:paraId="708678C8"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3,640 </w:t>
            </w:r>
          </w:p>
        </w:tc>
      </w:tr>
      <w:tr w:rsidR="00A17C17" w:rsidRPr="00E70587" w14:paraId="5B7D6D6F" w14:textId="77777777" w:rsidTr="00F53583">
        <w:tc>
          <w:tcPr>
            <w:tcW w:w="4156" w:type="dxa"/>
            <w:tcMar>
              <w:top w:w="28" w:type="dxa"/>
            </w:tcMar>
            <w:vAlign w:val="center"/>
          </w:tcPr>
          <w:p w14:paraId="7E0ECFFB"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Non-controlling interest</w:t>
            </w:r>
          </w:p>
        </w:tc>
        <w:tc>
          <w:tcPr>
            <w:tcW w:w="1626" w:type="dxa"/>
            <w:vAlign w:val="center"/>
          </w:tcPr>
          <w:p w14:paraId="194DDB7A"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1,141</w:t>
            </w:r>
            <w:r w:rsidR="00950163" w:rsidRPr="00E70587">
              <w:rPr>
                <w:rFonts w:ascii="Arial" w:hAnsi="Arial" w:cs="Arial"/>
                <w:sz w:val="20"/>
              </w:rPr>
              <w:t xml:space="preserve"> </w:t>
            </w:r>
          </w:p>
        </w:tc>
        <w:tc>
          <w:tcPr>
            <w:tcW w:w="1987" w:type="dxa"/>
            <w:tcMar>
              <w:top w:w="28" w:type="dxa"/>
            </w:tcMar>
            <w:vAlign w:val="center"/>
          </w:tcPr>
          <w:p w14:paraId="5AE9A492" w14:textId="77777777" w:rsidR="00A17C17" w:rsidRPr="00E70587" w:rsidRDefault="00950163" w:rsidP="009901E1">
            <w:pPr>
              <w:spacing w:line="280" w:lineRule="exact"/>
              <w:jc w:val="right"/>
              <w:rPr>
                <w:rFonts w:ascii="Arial" w:hAnsi="Arial" w:cs="Arial"/>
                <w:sz w:val="20"/>
              </w:rPr>
            </w:pPr>
            <w:r w:rsidRPr="00E70587">
              <w:rPr>
                <w:rFonts w:ascii="Arial" w:hAnsi="Arial" w:cs="Arial"/>
                <w:sz w:val="20"/>
              </w:rPr>
              <w:t xml:space="preserve"> </w:t>
            </w:r>
            <w:r w:rsidR="00A17C17" w:rsidRPr="00E70587">
              <w:rPr>
                <w:rFonts w:ascii="Arial" w:hAnsi="Arial" w:cs="Arial"/>
                <w:sz w:val="20"/>
              </w:rPr>
              <w:t xml:space="preserve">2,357 </w:t>
            </w:r>
          </w:p>
        </w:tc>
        <w:tc>
          <w:tcPr>
            <w:tcW w:w="1807" w:type="dxa"/>
            <w:tcMar>
              <w:top w:w="28" w:type="dxa"/>
            </w:tcMar>
            <w:vAlign w:val="center"/>
          </w:tcPr>
          <w:p w14:paraId="505B594B"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542 </w:t>
            </w:r>
          </w:p>
        </w:tc>
      </w:tr>
    </w:tbl>
    <w:p w14:paraId="75DC1755" w14:textId="77777777" w:rsidR="00F53583" w:rsidRPr="00E70587" w:rsidRDefault="00F53583" w:rsidP="00F53583">
      <w:pPr>
        <w:spacing w:line="280" w:lineRule="exact"/>
        <w:rPr>
          <w:rFonts w:ascii="Arial" w:hAnsi="Arial" w:cs="Arial"/>
          <w:sz w:val="20"/>
        </w:rPr>
      </w:pPr>
    </w:p>
    <w:p w14:paraId="17781A2F" w14:textId="11D0BFC3" w:rsidR="00F53583" w:rsidRPr="00E70587" w:rsidRDefault="00F53583" w:rsidP="00F53583">
      <w:pPr>
        <w:spacing w:line="280" w:lineRule="exact"/>
        <w:rPr>
          <w:rFonts w:ascii="Arial" w:hAnsi="Arial" w:cs="Arial"/>
          <w:sz w:val="20"/>
        </w:rPr>
      </w:pPr>
      <w:r w:rsidRPr="00E70587">
        <w:rPr>
          <w:rFonts w:ascii="Arial" w:hAnsi="Arial" w:cs="Arial"/>
          <w:b/>
          <w:sz w:val="20"/>
        </w:rPr>
        <w:t xml:space="preserve">Summarised balance sheet as at 31 </w:t>
      </w:r>
      <w:r w:rsidR="008B730E" w:rsidRPr="00E70587">
        <w:rPr>
          <w:rFonts w:ascii="Arial" w:hAnsi="Arial" w:cs="Arial"/>
          <w:b/>
          <w:sz w:val="20"/>
        </w:rPr>
        <w:t xml:space="preserve">March </w:t>
      </w:r>
      <w:r w:rsidR="0013258A" w:rsidRPr="00E70587">
        <w:rPr>
          <w:rFonts w:ascii="Arial" w:hAnsi="Arial" w:cs="Arial"/>
          <w:b/>
          <w:sz w:val="20"/>
        </w:rPr>
        <w:t>20</w:t>
      </w:r>
      <w:r w:rsidR="0013258A">
        <w:rPr>
          <w:rFonts w:ascii="Arial" w:hAnsi="Arial" w:cs="Arial"/>
          <w:b/>
          <w:sz w:val="20"/>
        </w:rPr>
        <w:t>20</w:t>
      </w:r>
      <w:r w:rsidRPr="00E70587">
        <w:rPr>
          <w:rFonts w:ascii="Arial" w:hAnsi="Arial" w:cs="Arial"/>
          <w:b/>
          <w:sz w:val="20"/>
        </w:rPr>
        <w:t>:</w:t>
      </w:r>
    </w:p>
    <w:p w14:paraId="75912BC0" w14:textId="77777777" w:rsidR="00F53583" w:rsidRPr="00E70587" w:rsidRDefault="00F53583" w:rsidP="009901E1">
      <w:pPr>
        <w:tabs>
          <w:tab w:val="left" w:pos="4156"/>
          <w:tab w:val="left" w:pos="5782"/>
          <w:tab w:val="left" w:pos="7769"/>
        </w:tabs>
        <w:spacing w:line="280" w:lineRule="exact"/>
        <w:rPr>
          <w:rFonts w:ascii="Arial" w:hAnsi="Arial" w:cs="Arial"/>
          <w:sz w:val="20"/>
        </w:rPr>
      </w:pPr>
    </w:p>
    <w:tbl>
      <w:tblPr>
        <w:tblW w:w="9576" w:type="dxa"/>
        <w:tblLayout w:type="fixed"/>
        <w:tblLook w:val="01E0" w:firstRow="1" w:lastRow="1" w:firstColumn="1" w:lastColumn="1" w:noHBand="0" w:noVBand="0"/>
      </w:tblPr>
      <w:tblGrid>
        <w:gridCol w:w="5782"/>
        <w:gridCol w:w="1987"/>
        <w:gridCol w:w="1807"/>
      </w:tblGrid>
      <w:tr w:rsidR="00A17C17" w:rsidRPr="00E70587" w14:paraId="4ADCA8FA" w14:textId="77777777" w:rsidTr="00F53583">
        <w:tc>
          <w:tcPr>
            <w:tcW w:w="5782" w:type="dxa"/>
            <w:tcMar>
              <w:top w:w="28" w:type="dxa"/>
            </w:tcMar>
          </w:tcPr>
          <w:p w14:paraId="5D486B2B" w14:textId="77777777" w:rsidR="00A17C17" w:rsidRPr="00E70587" w:rsidRDefault="00A17C17" w:rsidP="009901E1">
            <w:pPr>
              <w:pStyle w:val="tabletext"/>
              <w:spacing w:line="280" w:lineRule="exact"/>
              <w:rPr>
                <w:rFonts w:ascii="Arial" w:hAnsi="Arial" w:cs="Arial"/>
                <w:sz w:val="20"/>
                <w:lang w:val="en-IN"/>
              </w:rPr>
            </w:pPr>
          </w:p>
        </w:tc>
        <w:tc>
          <w:tcPr>
            <w:tcW w:w="1987" w:type="dxa"/>
            <w:tcBorders>
              <w:bottom w:val="single" w:sz="4" w:space="0" w:color="auto"/>
            </w:tcBorders>
            <w:vAlign w:val="bottom"/>
          </w:tcPr>
          <w:p w14:paraId="3E444BBB"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Electronics Limited</w:t>
            </w:r>
          </w:p>
        </w:tc>
        <w:tc>
          <w:tcPr>
            <w:tcW w:w="1807" w:type="dxa"/>
            <w:tcBorders>
              <w:bottom w:val="single" w:sz="4" w:space="0" w:color="auto"/>
            </w:tcBorders>
            <w:tcMar>
              <w:top w:w="28" w:type="dxa"/>
            </w:tcMar>
            <w:vAlign w:val="bottom"/>
          </w:tcPr>
          <w:p w14:paraId="5D1A091E"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Lightbulbs Limited</w:t>
            </w:r>
          </w:p>
        </w:tc>
      </w:tr>
      <w:tr w:rsidR="00A17C17" w:rsidRPr="00E70587" w14:paraId="32465280" w14:textId="77777777" w:rsidTr="00F53583">
        <w:tc>
          <w:tcPr>
            <w:tcW w:w="5782" w:type="dxa"/>
            <w:tcMar>
              <w:top w:w="28" w:type="dxa"/>
            </w:tcMar>
          </w:tcPr>
          <w:p w14:paraId="0E4B59F0"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987" w:type="dxa"/>
            <w:tcBorders>
              <w:top w:val="single" w:sz="4" w:space="0" w:color="auto"/>
            </w:tcBorders>
            <w:vAlign w:val="bottom"/>
          </w:tcPr>
          <w:p w14:paraId="7BC5FADD" w14:textId="77777777" w:rsidR="00A17C17" w:rsidRPr="00E70587" w:rsidRDefault="00A17C17" w:rsidP="006D2A6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07" w:type="dxa"/>
            <w:tcBorders>
              <w:top w:val="single" w:sz="4" w:space="0" w:color="auto"/>
            </w:tcBorders>
            <w:tcMar>
              <w:top w:w="28" w:type="dxa"/>
            </w:tcMar>
            <w:vAlign w:val="bottom"/>
          </w:tcPr>
          <w:p w14:paraId="7535F6B4" w14:textId="77777777" w:rsidR="00A17C17" w:rsidRPr="00E70587" w:rsidRDefault="00A17C17" w:rsidP="006D2A6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389314E7" w14:textId="77777777" w:rsidTr="00F53583">
        <w:tc>
          <w:tcPr>
            <w:tcW w:w="5782" w:type="dxa"/>
            <w:tcMar>
              <w:top w:w="28" w:type="dxa"/>
            </w:tcMar>
            <w:vAlign w:val="center"/>
          </w:tcPr>
          <w:p w14:paraId="4ED7BCC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Inventories and cash and bank balances (current)</w:t>
            </w:r>
          </w:p>
        </w:tc>
        <w:tc>
          <w:tcPr>
            <w:tcW w:w="1987" w:type="dxa"/>
            <w:vAlign w:val="center"/>
          </w:tcPr>
          <w:p w14:paraId="45714A86"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1,255 </w:t>
            </w:r>
          </w:p>
        </w:tc>
        <w:tc>
          <w:tcPr>
            <w:tcW w:w="1807" w:type="dxa"/>
            <w:tcMar>
              <w:top w:w="28" w:type="dxa"/>
            </w:tcMar>
            <w:vAlign w:val="center"/>
          </w:tcPr>
          <w:p w14:paraId="2644CDAC"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2,911 </w:t>
            </w:r>
          </w:p>
        </w:tc>
      </w:tr>
      <w:tr w:rsidR="00A17C17" w:rsidRPr="00E70587" w14:paraId="14707D82" w14:textId="77777777" w:rsidTr="00F53583">
        <w:tc>
          <w:tcPr>
            <w:tcW w:w="5782" w:type="dxa"/>
            <w:tcMar>
              <w:top w:w="28" w:type="dxa"/>
            </w:tcMar>
            <w:vAlign w:val="center"/>
          </w:tcPr>
          <w:p w14:paraId="7D95BE73"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Property, plant and equipment and other non-current financial assets (non-current)</w:t>
            </w:r>
          </w:p>
        </w:tc>
        <w:tc>
          <w:tcPr>
            <w:tcW w:w="1987" w:type="dxa"/>
            <w:vAlign w:val="center"/>
          </w:tcPr>
          <w:p w14:paraId="74B84E7D"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2,304 </w:t>
            </w:r>
          </w:p>
        </w:tc>
        <w:tc>
          <w:tcPr>
            <w:tcW w:w="1807" w:type="dxa"/>
            <w:tcMar>
              <w:top w:w="28" w:type="dxa"/>
            </w:tcMar>
            <w:vAlign w:val="center"/>
          </w:tcPr>
          <w:p w14:paraId="5DA81668"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2,300 </w:t>
            </w:r>
          </w:p>
        </w:tc>
      </w:tr>
      <w:tr w:rsidR="00A17C17" w:rsidRPr="00E70587" w14:paraId="74CB20BB" w14:textId="77777777" w:rsidTr="00F53583">
        <w:tc>
          <w:tcPr>
            <w:tcW w:w="5782" w:type="dxa"/>
            <w:tcMar>
              <w:top w:w="28" w:type="dxa"/>
            </w:tcMar>
            <w:vAlign w:val="center"/>
          </w:tcPr>
          <w:p w14:paraId="3A8BA304"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Trade and other payable (current) </w:t>
            </w:r>
          </w:p>
        </w:tc>
        <w:tc>
          <w:tcPr>
            <w:tcW w:w="1987" w:type="dxa"/>
            <w:vAlign w:val="center"/>
          </w:tcPr>
          <w:p w14:paraId="19F9B289"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(630) </w:t>
            </w:r>
          </w:p>
        </w:tc>
        <w:tc>
          <w:tcPr>
            <w:tcW w:w="1807" w:type="dxa"/>
            <w:tcMar>
              <w:top w:w="28" w:type="dxa"/>
            </w:tcMar>
            <w:vAlign w:val="center"/>
          </w:tcPr>
          <w:p w14:paraId="1B4302B2"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(1,480) </w:t>
            </w:r>
          </w:p>
        </w:tc>
      </w:tr>
      <w:tr w:rsidR="00A17C17" w:rsidRPr="00E70587" w14:paraId="0BFFFE58" w14:textId="77777777" w:rsidTr="00F53583">
        <w:tc>
          <w:tcPr>
            <w:tcW w:w="5782" w:type="dxa"/>
            <w:tcMar>
              <w:top w:w="28" w:type="dxa"/>
            </w:tcMar>
            <w:vAlign w:val="center"/>
          </w:tcPr>
          <w:p w14:paraId="2FB39D5F" w14:textId="77777777" w:rsidR="00A17C17" w:rsidRPr="00E70587" w:rsidRDefault="00BC09B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B</w:t>
            </w:r>
            <w:r w:rsidR="00A17C17" w:rsidRPr="00E70587">
              <w:rPr>
                <w:rFonts w:ascii="Arial" w:hAnsi="Arial" w:cs="Arial"/>
                <w:sz w:val="20"/>
                <w:lang w:val="en-IN"/>
              </w:rPr>
              <w:t>orrowing and deferred tax liabilities (non-current)</w:t>
            </w:r>
          </w:p>
        </w:tc>
        <w:tc>
          <w:tcPr>
            <w:tcW w:w="1987" w:type="dxa"/>
            <w:tcBorders>
              <w:bottom w:val="single" w:sz="4" w:space="0" w:color="auto"/>
            </w:tcBorders>
            <w:vAlign w:val="center"/>
          </w:tcPr>
          <w:p w14:paraId="18A90DAC"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(1,577) </w:t>
            </w:r>
          </w:p>
        </w:tc>
        <w:tc>
          <w:tcPr>
            <w:tcW w:w="1807" w:type="dxa"/>
            <w:tcBorders>
              <w:bottom w:val="single" w:sz="4" w:space="0" w:color="auto"/>
            </w:tcBorders>
            <w:tcMar>
              <w:top w:w="28" w:type="dxa"/>
            </w:tcMar>
            <w:vAlign w:val="center"/>
          </w:tcPr>
          <w:p w14:paraId="287E2FE4"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(774) </w:t>
            </w:r>
          </w:p>
        </w:tc>
      </w:tr>
      <w:tr w:rsidR="00A17C17" w:rsidRPr="00E70587" w14:paraId="0873F375" w14:textId="77777777" w:rsidTr="00F53583">
        <w:tc>
          <w:tcPr>
            <w:tcW w:w="5782" w:type="dxa"/>
            <w:tcMar>
              <w:top w:w="28" w:type="dxa"/>
            </w:tcMar>
            <w:vAlign w:val="center"/>
          </w:tcPr>
          <w:p w14:paraId="76CD3881"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Total equity</w:t>
            </w:r>
          </w:p>
        </w:tc>
        <w:tc>
          <w:tcPr>
            <w:tcW w:w="1987" w:type="dxa"/>
            <w:tcBorders>
              <w:top w:val="single" w:sz="4" w:space="0" w:color="auto"/>
              <w:bottom w:val="double" w:sz="4" w:space="0" w:color="auto"/>
            </w:tcBorders>
            <w:vAlign w:val="center"/>
          </w:tcPr>
          <w:p w14:paraId="39FD9218" w14:textId="77777777" w:rsidR="00A17C17" w:rsidRPr="00E70587" w:rsidRDefault="00A17C17" w:rsidP="006D2A68">
            <w:pPr>
              <w:spacing w:line="280" w:lineRule="exact"/>
              <w:jc w:val="right"/>
              <w:rPr>
                <w:rFonts w:ascii="Arial" w:hAnsi="Arial" w:cs="Arial"/>
                <w:b/>
                <w:bCs/>
                <w:sz w:val="20"/>
              </w:rPr>
            </w:pPr>
            <w:r w:rsidRPr="00E70587">
              <w:rPr>
                <w:rFonts w:ascii="Arial" w:hAnsi="Arial" w:cs="Arial"/>
                <w:b/>
                <w:bCs/>
                <w:sz w:val="20"/>
              </w:rPr>
              <w:t xml:space="preserve"> 1,</w:t>
            </w:r>
            <w:r w:rsidR="006D2A68" w:rsidRPr="00E70587">
              <w:rPr>
                <w:rFonts w:ascii="Arial" w:hAnsi="Arial" w:cs="Arial"/>
                <w:b/>
                <w:bCs/>
                <w:sz w:val="20"/>
              </w:rPr>
              <w:t xml:space="preserve">352 </w:t>
            </w:r>
          </w:p>
        </w:tc>
        <w:tc>
          <w:tcPr>
            <w:tcW w:w="1807" w:type="dxa"/>
            <w:tcBorders>
              <w:top w:val="single" w:sz="4" w:space="0" w:color="auto"/>
              <w:bottom w:val="double" w:sz="4" w:space="0" w:color="auto"/>
            </w:tcBorders>
            <w:tcMar>
              <w:top w:w="28" w:type="dxa"/>
            </w:tcMar>
            <w:vAlign w:val="center"/>
          </w:tcPr>
          <w:p w14:paraId="4FDA657B" w14:textId="77777777" w:rsidR="00A17C17" w:rsidRPr="00E70587" w:rsidRDefault="00A17C17" w:rsidP="006D2A68">
            <w:pPr>
              <w:spacing w:line="280" w:lineRule="exact"/>
              <w:jc w:val="right"/>
              <w:rPr>
                <w:rFonts w:ascii="Arial" w:hAnsi="Arial" w:cs="Arial"/>
                <w:b/>
                <w:bCs/>
                <w:sz w:val="20"/>
              </w:rPr>
            </w:pPr>
            <w:r w:rsidRPr="00E70587">
              <w:rPr>
                <w:rFonts w:ascii="Arial" w:hAnsi="Arial" w:cs="Arial"/>
                <w:b/>
                <w:bCs/>
                <w:sz w:val="20"/>
              </w:rPr>
              <w:t>2,</w:t>
            </w:r>
            <w:r w:rsidR="006D2A68" w:rsidRPr="00E70587">
              <w:rPr>
                <w:rFonts w:ascii="Arial" w:hAnsi="Arial" w:cs="Arial"/>
                <w:b/>
                <w:bCs/>
                <w:sz w:val="20"/>
              </w:rPr>
              <w:t>957</w:t>
            </w:r>
          </w:p>
        </w:tc>
      </w:tr>
      <w:tr w:rsidR="00A17C17" w:rsidRPr="00E70587" w14:paraId="1B43CA49" w14:textId="77777777" w:rsidTr="00F53583">
        <w:tc>
          <w:tcPr>
            <w:tcW w:w="5782" w:type="dxa"/>
            <w:tcMar>
              <w:top w:w="28" w:type="dxa"/>
            </w:tcMar>
            <w:vAlign w:val="center"/>
          </w:tcPr>
          <w:p w14:paraId="634F85D3"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Attributable to:</w:t>
            </w:r>
          </w:p>
        </w:tc>
        <w:tc>
          <w:tcPr>
            <w:tcW w:w="1987" w:type="dxa"/>
            <w:tcBorders>
              <w:top w:val="double" w:sz="4" w:space="0" w:color="auto"/>
            </w:tcBorders>
            <w:vAlign w:val="center"/>
          </w:tcPr>
          <w:p w14:paraId="7CCDE3F0" w14:textId="77777777" w:rsidR="00A17C17" w:rsidRPr="00E70587" w:rsidRDefault="00A17C17" w:rsidP="009901E1">
            <w:pPr>
              <w:spacing w:line="280" w:lineRule="exact"/>
              <w:jc w:val="right"/>
              <w:rPr>
                <w:rFonts w:ascii="Arial" w:hAnsi="Arial" w:cs="Arial"/>
                <w:b/>
                <w:sz w:val="20"/>
              </w:rPr>
            </w:pPr>
          </w:p>
        </w:tc>
        <w:tc>
          <w:tcPr>
            <w:tcW w:w="1807" w:type="dxa"/>
            <w:tcBorders>
              <w:top w:val="double" w:sz="4" w:space="0" w:color="auto"/>
            </w:tcBorders>
            <w:tcMar>
              <w:top w:w="28" w:type="dxa"/>
            </w:tcMar>
            <w:vAlign w:val="center"/>
          </w:tcPr>
          <w:p w14:paraId="01AE6ACC" w14:textId="77777777" w:rsidR="00A17C17" w:rsidRPr="00E70587" w:rsidRDefault="00A17C17" w:rsidP="009901E1">
            <w:pPr>
              <w:spacing w:line="280" w:lineRule="exact"/>
              <w:jc w:val="right"/>
              <w:rPr>
                <w:rFonts w:ascii="Arial" w:hAnsi="Arial" w:cs="Arial"/>
                <w:b/>
                <w:sz w:val="20"/>
              </w:rPr>
            </w:pPr>
          </w:p>
        </w:tc>
      </w:tr>
      <w:tr w:rsidR="00A17C17" w:rsidRPr="00E70587" w14:paraId="22C6DFE1" w14:textId="77777777" w:rsidTr="00F53583">
        <w:tc>
          <w:tcPr>
            <w:tcW w:w="5782" w:type="dxa"/>
            <w:tcMar>
              <w:top w:w="28" w:type="dxa"/>
            </w:tcMar>
            <w:vAlign w:val="center"/>
          </w:tcPr>
          <w:p w14:paraId="12B41284"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Equity holders of parent</w:t>
            </w:r>
          </w:p>
        </w:tc>
        <w:tc>
          <w:tcPr>
            <w:tcW w:w="1987" w:type="dxa"/>
            <w:vAlign w:val="center"/>
          </w:tcPr>
          <w:p w14:paraId="2136FAB7" w14:textId="77777777" w:rsidR="00A17C17" w:rsidRPr="00E70587" w:rsidRDefault="00A17C17" w:rsidP="009901E1">
            <w:pPr>
              <w:spacing w:line="280" w:lineRule="exact"/>
              <w:ind w:firstLineChars="200" w:firstLine="400"/>
              <w:jc w:val="right"/>
              <w:rPr>
                <w:rFonts w:ascii="Arial" w:hAnsi="Arial" w:cs="Arial"/>
                <w:sz w:val="20"/>
              </w:rPr>
            </w:pPr>
            <w:r w:rsidRPr="00E70587">
              <w:rPr>
                <w:rFonts w:ascii="Arial" w:hAnsi="Arial" w:cs="Arial"/>
                <w:sz w:val="20"/>
              </w:rPr>
              <w:t xml:space="preserve">650 </w:t>
            </w:r>
          </w:p>
        </w:tc>
        <w:tc>
          <w:tcPr>
            <w:tcW w:w="1807" w:type="dxa"/>
            <w:tcMar>
              <w:top w:w="28" w:type="dxa"/>
            </w:tcMar>
            <w:vAlign w:val="center"/>
          </w:tcPr>
          <w:p w14:paraId="553D1120" w14:textId="77777777" w:rsidR="00A17C17" w:rsidRPr="00E70587" w:rsidRDefault="00A17C17" w:rsidP="009901E1">
            <w:pPr>
              <w:spacing w:line="280" w:lineRule="exact"/>
              <w:ind w:firstLineChars="200" w:firstLine="400"/>
              <w:jc w:val="right"/>
              <w:rPr>
                <w:rFonts w:ascii="Arial" w:hAnsi="Arial" w:cs="Arial"/>
                <w:sz w:val="20"/>
              </w:rPr>
            </w:pPr>
            <w:r w:rsidRPr="00E70587">
              <w:rPr>
                <w:rFonts w:ascii="Arial" w:hAnsi="Arial" w:cs="Arial"/>
                <w:sz w:val="20"/>
              </w:rPr>
              <w:t xml:space="preserve">2,367 </w:t>
            </w:r>
          </w:p>
        </w:tc>
      </w:tr>
      <w:tr w:rsidR="00A17C17" w:rsidRPr="00E70587" w14:paraId="582A99E6" w14:textId="77777777" w:rsidTr="00F53583">
        <w:tc>
          <w:tcPr>
            <w:tcW w:w="5782" w:type="dxa"/>
            <w:tcMar>
              <w:top w:w="28" w:type="dxa"/>
            </w:tcMar>
            <w:vAlign w:val="center"/>
          </w:tcPr>
          <w:p w14:paraId="428779C1"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Non-controlling interest</w:t>
            </w:r>
          </w:p>
        </w:tc>
        <w:tc>
          <w:tcPr>
            <w:tcW w:w="1987" w:type="dxa"/>
            <w:vAlign w:val="center"/>
          </w:tcPr>
          <w:p w14:paraId="6256B1BC" w14:textId="77777777" w:rsidR="00A17C17" w:rsidRPr="00E70587" w:rsidRDefault="00A17C17" w:rsidP="009901E1">
            <w:pPr>
              <w:spacing w:line="280" w:lineRule="exact"/>
              <w:ind w:firstLineChars="200" w:firstLine="400"/>
              <w:jc w:val="right"/>
              <w:rPr>
                <w:rFonts w:ascii="Arial" w:hAnsi="Arial" w:cs="Arial"/>
                <w:sz w:val="20"/>
              </w:rPr>
            </w:pPr>
            <w:r w:rsidRPr="00E70587">
              <w:rPr>
                <w:rFonts w:ascii="Arial" w:hAnsi="Arial" w:cs="Arial"/>
                <w:sz w:val="20"/>
              </w:rPr>
              <w:t>70</w:t>
            </w:r>
            <w:r w:rsidR="00C05F63" w:rsidRPr="00E70587">
              <w:rPr>
                <w:rFonts w:ascii="Arial" w:hAnsi="Arial" w:cs="Arial"/>
                <w:sz w:val="20"/>
              </w:rPr>
              <w:t>2</w:t>
            </w:r>
            <w:r w:rsidRPr="00E70587">
              <w:rPr>
                <w:rFonts w:ascii="Arial" w:hAnsi="Arial" w:cs="Arial"/>
                <w:sz w:val="20"/>
              </w:rPr>
              <w:t xml:space="preserve"> </w:t>
            </w:r>
          </w:p>
        </w:tc>
        <w:tc>
          <w:tcPr>
            <w:tcW w:w="1807" w:type="dxa"/>
            <w:tcMar>
              <w:top w:w="28" w:type="dxa"/>
            </w:tcMar>
            <w:vAlign w:val="center"/>
          </w:tcPr>
          <w:p w14:paraId="32ED6438" w14:textId="77777777" w:rsidR="00A17C17" w:rsidRPr="00E70587" w:rsidRDefault="00A17C17" w:rsidP="009901E1">
            <w:pPr>
              <w:spacing w:line="280" w:lineRule="exact"/>
              <w:ind w:firstLineChars="200" w:firstLine="400"/>
              <w:jc w:val="right"/>
              <w:rPr>
                <w:rFonts w:ascii="Arial" w:hAnsi="Arial" w:cs="Arial"/>
                <w:sz w:val="20"/>
              </w:rPr>
            </w:pPr>
            <w:r w:rsidRPr="00E70587">
              <w:rPr>
                <w:rFonts w:ascii="Arial" w:hAnsi="Arial" w:cs="Arial"/>
                <w:sz w:val="20"/>
              </w:rPr>
              <w:t xml:space="preserve"> 59</w:t>
            </w:r>
            <w:r w:rsidR="00C05F63" w:rsidRPr="00E70587">
              <w:rPr>
                <w:rFonts w:ascii="Arial" w:hAnsi="Arial" w:cs="Arial"/>
                <w:sz w:val="20"/>
              </w:rPr>
              <w:t>0</w:t>
            </w:r>
            <w:r w:rsidRPr="00E70587">
              <w:rPr>
                <w:rFonts w:ascii="Arial" w:hAnsi="Arial" w:cs="Arial"/>
                <w:sz w:val="20"/>
              </w:rPr>
              <w:t xml:space="preserve"> </w:t>
            </w:r>
          </w:p>
        </w:tc>
      </w:tr>
    </w:tbl>
    <w:p w14:paraId="755EF96C" w14:textId="77777777" w:rsidR="00F53583" w:rsidRPr="00E70587" w:rsidRDefault="00F53583" w:rsidP="00F53583">
      <w:pPr>
        <w:spacing w:line="280" w:lineRule="exact"/>
        <w:rPr>
          <w:rFonts w:ascii="Arial" w:hAnsi="Arial" w:cs="Arial"/>
          <w:sz w:val="20"/>
        </w:rPr>
      </w:pPr>
    </w:p>
    <w:tbl>
      <w:tblPr>
        <w:tblW w:w="9576" w:type="dxa"/>
        <w:tblLayout w:type="fixed"/>
        <w:tblLook w:val="01E0" w:firstRow="1" w:lastRow="1" w:firstColumn="1" w:lastColumn="1" w:noHBand="0" w:noVBand="0"/>
      </w:tblPr>
      <w:tblGrid>
        <w:gridCol w:w="3975"/>
        <w:gridCol w:w="1807"/>
        <w:gridCol w:w="1897"/>
        <w:gridCol w:w="1897"/>
      </w:tblGrid>
      <w:tr w:rsidR="00A17C17" w:rsidRPr="00E70587" w14:paraId="55A81367" w14:textId="77777777" w:rsidTr="009A5E2F">
        <w:tc>
          <w:tcPr>
            <w:tcW w:w="9540" w:type="dxa"/>
            <w:gridSpan w:val="4"/>
            <w:tcMar>
              <w:top w:w="28" w:type="dxa"/>
            </w:tcMar>
            <w:vAlign w:val="center"/>
          </w:tcPr>
          <w:p w14:paraId="5793A183" w14:textId="10595829"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Summarised cash flow information for year ended 31 </w:t>
            </w:r>
            <w:r w:rsidR="00E1202D" w:rsidRPr="00E70587">
              <w:rPr>
                <w:rFonts w:ascii="Arial" w:hAnsi="Arial" w:cs="Arial"/>
                <w:b/>
                <w:sz w:val="20"/>
                <w:lang w:val="en-IN"/>
              </w:rPr>
              <w:t xml:space="preserve">March </w:t>
            </w:r>
            <w:r w:rsidR="0013258A" w:rsidRPr="00E70587">
              <w:rPr>
                <w:rFonts w:ascii="Arial" w:hAnsi="Arial" w:cs="Arial"/>
                <w:b/>
                <w:sz w:val="20"/>
                <w:lang w:val="en-IN"/>
              </w:rPr>
              <w:t>20</w:t>
            </w:r>
            <w:r w:rsidR="0013258A">
              <w:rPr>
                <w:rFonts w:ascii="Arial" w:hAnsi="Arial" w:cs="Arial"/>
                <w:b/>
                <w:sz w:val="20"/>
                <w:lang w:val="en-IN"/>
              </w:rPr>
              <w:t>21</w:t>
            </w:r>
            <w:r w:rsidRPr="00E70587">
              <w:rPr>
                <w:rFonts w:ascii="Arial" w:hAnsi="Arial" w:cs="Arial"/>
                <w:b/>
                <w:sz w:val="20"/>
                <w:lang w:val="en-IN"/>
              </w:rPr>
              <w:t>:</w:t>
            </w:r>
          </w:p>
        </w:tc>
      </w:tr>
      <w:tr w:rsidR="00A17C17" w:rsidRPr="00E70587" w14:paraId="1CDFD129" w14:textId="77777777" w:rsidTr="009A5E2F">
        <w:tc>
          <w:tcPr>
            <w:tcW w:w="3960" w:type="dxa"/>
            <w:tcMar>
              <w:top w:w="28" w:type="dxa"/>
            </w:tcMar>
            <w:vAlign w:val="bottom"/>
          </w:tcPr>
          <w:p w14:paraId="2BFD3714"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800" w:type="dxa"/>
            <w:tcBorders>
              <w:bottom w:val="single" w:sz="4" w:space="0" w:color="auto"/>
            </w:tcBorders>
            <w:vAlign w:val="bottom"/>
          </w:tcPr>
          <w:p w14:paraId="2C36B9E2"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Electronics Limited</w:t>
            </w:r>
          </w:p>
        </w:tc>
        <w:tc>
          <w:tcPr>
            <w:tcW w:w="1890" w:type="dxa"/>
            <w:tcBorders>
              <w:bottom w:val="single" w:sz="4" w:space="0" w:color="auto"/>
            </w:tcBorders>
            <w:tcMar>
              <w:top w:w="28" w:type="dxa"/>
            </w:tcMar>
            <w:vAlign w:val="bottom"/>
          </w:tcPr>
          <w:p w14:paraId="4A85CEBF"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Extinguishers Limited</w:t>
            </w:r>
          </w:p>
        </w:tc>
        <w:tc>
          <w:tcPr>
            <w:tcW w:w="1890" w:type="dxa"/>
            <w:tcBorders>
              <w:bottom w:val="single" w:sz="4" w:space="0" w:color="auto"/>
            </w:tcBorders>
            <w:tcMar>
              <w:top w:w="28" w:type="dxa"/>
            </w:tcMar>
            <w:vAlign w:val="bottom"/>
          </w:tcPr>
          <w:p w14:paraId="0A593F58" w14:textId="77777777" w:rsidR="00A17C17" w:rsidRPr="00E70587" w:rsidRDefault="00A17C17" w:rsidP="009901E1">
            <w:pPr>
              <w:pStyle w:val="tabletext"/>
              <w:overflowPunct w:val="0"/>
              <w:autoSpaceDE w:val="0"/>
              <w:autoSpaceDN w:val="0"/>
              <w:adjustRightInd w:val="0"/>
              <w:spacing w:line="280" w:lineRule="exact"/>
              <w:ind w:right="89"/>
              <w:jc w:val="right"/>
              <w:textAlignment w:val="baseline"/>
              <w:rPr>
                <w:rFonts w:ascii="Arial" w:hAnsi="Arial" w:cs="Arial"/>
                <w:b/>
                <w:sz w:val="20"/>
                <w:lang w:val="en-IN"/>
              </w:rPr>
            </w:pPr>
            <w:r w:rsidRPr="00E70587">
              <w:rPr>
                <w:rFonts w:ascii="Arial" w:hAnsi="Arial" w:cs="Arial"/>
                <w:b/>
                <w:sz w:val="20"/>
                <w:lang w:val="en-IN"/>
              </w:rPr>
              <w:t>Lightbulbs Limited</w:t>
            </w:r>
          </w:p>
        </w:tc>
      </w:tr>
      <w:tr w:rsidR="00A17C17" w:rsidRPr="00E70587" w14:paraId="32DDC451" w14:textId="77777777" w:rsidTr="009A5E2F">
        <w:tc>
          <w:tcPr>
            <w:tcW w:w="3960" w:type="dxa"/>
            <w:tcMar>
              <w:top w:w="28" w:type="dxa"/>
            </w:tcMar>
            <w:vAlign w:val="bottom"/>
          </w:tcPr>
          <w:p w14:paraId="5167E297"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800" w:type="dxa"/>
            <w:tcBorders>
              <w:top w:val="single" w:sz="4" w:space="0" w:color="auto"/>
            </w:tcBorders>
            <w:vAlign w:val="bottom"/>
          </w:tcPr>
          <w:p w14:paraId="196CACC0" w14:textId="77777777" w:rsidR="00A17C17" w:rsidRPr="00E70587" w:rsidRDefault="00A17C17" w:rsidP="006D2A6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90" w:type="dxa"/>
            <w:tcBorders>
              <w:top w:val="single" w:sz="4" w:space="0" w:color="auto"/>
            </w:tcBorders>
            <w:tcMar>
              <w:top w:w="28" w:type="dxa"/>
            </w:tcMar>
            <w:vAlign w:val="bottom"/>
          </w:tcPr>
          <w:p w14:paraId="792BF8D2" w14:textId="77777777" w:rsidR="00A17C17" w:rsidRPr="00E70587" w:rsidRDefault="00A17C17" w:rsidP="006D2A6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90" w:type="dxa"/>
            <w:tcBorders>
              <w:top w:val="single" w:sz="4" w:space="0" w:color="auto"/>
            </w:tcBorders>
            <w:tcMar>
              <w:top w:w="28" w:type="dxa"/>
            </w:tcMar>
            <w:vAlign w:val="bottom"/>
          </w:tcPr>
          <w:p w14:paraId="26F57D89" w14:textId="77777777" w:rsidR="00A17C17" w:rsidRPr="00E70587" w:rsidRDefault="00A17C17" w:rsidP="006D2A68">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67AE5F78" w14:textId="77777777" w:rsidTr="009A5E2F">
        <w:tc>
          <w:tcPr>
            <w:tcW w:w="3960" w:type="dxa"/>
            <w:tcMar>
              <w:top w:w="28" w:type="dxa"/>
            </w:tcMar>
            <w:vAlign w:val="center"/>
          </w:tcPr>
          <w:p w14:paraId="00C11F36"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sz w:val="20"/>
                <w:lang w:val="en-IN"/>
              </w:rPr>
              <w:t xml:space="preserve">Operating </w:t>
            </w:r>
          </w:p>
        </w:tc>
        <w:tc>
          <w:tcPr>
            <w:tcW w:w="1800" w:type="dxa"/>
            <w:vAlign w:val="center"/>
          </w:tcPr>
          <w:p w14:paraId="0BD70E8C" w14:textId="77777777" w:rsidR="00A17C17" w:rsidRPr="00E70587" w:rsidRDefault="00A17C17" w:rsidP="006D2A68">
            <w:pPr>
              <w:spacing w:line="280" w:lineRule="exact"/>
              <w:jc w:val="right"/>
              <w:rPr>
                <w:rFonts w:ascii="Arial" w:hAnsi="Arial" w:cs="Arial"/>
                <w:sz w:val="20"/>
              </w:rPr>
            </w:pPr>
            <w:r w:rsidRPr="00E70587">
              <w:rPr>
                <w:rFonts w:ascii="Arial" w:hAnsi="Arial" w:cs="Arial"/>
                <w:sz w:val="20"/>
              </w:rPr>
              <w:t xml:space="preserve">913 </w:t>
            </w:r>
          </w:p>
        </w:tc>
        <w:tc>
          <w:tcPr>
            <w:tcW w:w="1890" w:type="dxa"/>
            <w:tcMar>
              <w:top w:w="28" w:type="dxa"/>
            </w:tcMar>
            <w:vAlign w:val="center"/>
          </w:tcPr>
          <w:p w14:paraId="5455BF9D" w14:textId="77777777" w:rsidR="00A17C17" w:rsidRPr="00E70587" w:rsidRDefault="00A17C17" w:rsidP="006D2A68">
            <w:pPr>
              <w:spacing w:line="280" w:lineRule="exact"/>
              <w:jc w:val="right"/>
              <w:rPr>
                <w:rFonts w:ascii="Arial" w:hAnsi="Arial" w:cs="Arial"/>
                <w:sz w:val="20"/>
              </w:rPr>
            </w:pPr>
            <w:r w:rsidRPr="00E70587">
              <w:rPr>
                <w:rFonts w:ascii="Arial" w:hAnsi="Arial" w:cs="Arial"/>
                <w:sz w:val="20"/>
              </w:rPr>
              <w:t xml:space="preserve">1,456 </w:t>
            </w:r>
          </w:p>
        </w:tc>
        <w:tc>
          <w:tcPr>
            <w:tcW w:w="1890" w:type="dxa"/>
            <w:tcMar>
              <w:top w:w="28" w:type="dxa"/>
            </w:tcMar>
            <w:vAlign w:val="center"/>
          </w:tcPr>
          <w:p w14:paraId="78A4DC8F" w14:textId="77777777" w:rsidR="00A17C17" w:rsidRPr="00E70587" w:rsidRDefault="00A17C17" w:rsidP="006D2A68">
            <w:pPr>
              <w:spacing w:line="280" w:lineRule="exact"/>
              <w:jc w:val="right"/>
              <w:rPr>
                <w:rFonts w:ascii="Arial" w:hAnsi="Arial" w:cs="Arial"/>
                <w:sz w:val="20"/>
              </w:rPr>
            </w:pPr>
            <w:r w:rsidRPr="00E70587">
              <w:rPr>
                <w:rFonts w:ascii="Arial" w:hAnsi="Arial" w:cs="Arial"/>
                <w:sz w:val="20"/>
              </w:rPr>
              <w:t xml:space="preserve">1,462 </w:t>
            </w:r>
          </w:p>
        </w:tc>
      </w:tr>
      <w:tr w:rsidR="00A17C17" w:rsidRPr="00E70587" w14:paraId="331A4C35" w14:textId="77777777" w:rsidTr="009A5E2F">
        <w:tc>
          <w:tcPr>
            <w:tcW w:w="3960" w:type="dxa"/>
            <w:tcMar>
              <w:top w:w="28" w:type="dxa"/>
            </w:tcMar>
          </w:tcPr>
          <w:p w14:paraId="279172CF"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sz w:val="20"/>
                <w:lang w:val="en-IN"/>
              </w:rPr>
              <w:t xml:space="preserve">Investing </w:t>
            </w:r>
          </w:p>
        </w:tc>
        <w:tc>
          <w:tcPr>
            <w:tcW w:w="1800" w:type="dxa"/>
            <w:vAlign w:val="center"/>
          </w:tcPr>
          <w:p w14:paraId="11EE3E7A"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(27) </w:t>
            </w:r>
          </w:p>
        </w:tc>
        <w:tc>
          <w:tcPr>
            <w:tcW w:w="1890" w:type="dxa"/>
            <w:tcMar>
              <w:top w:w="28" w:type="dxa"/>
            </w:tcMar>
            <w:vAlign w:val="center"/>
          </w:tcPr>
          <w:p w14:paraId="7BDF8889"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(504) </w:t>
            </w:r>
          </w:p>
        </w:tc>
        <w:tc>
          <w:tcPr>
            <w:tcW w:w="1890" w:type="dxa"/>
            <w:tcMar>
              <w:top w:w="28" w:type="dxa"/>
            </w:tcMar>
            <w:vAlign w:val="center"/>
          </w:tcPr>
          <w:p w14:paraId="4985F524"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11 </w:t>
            </w:r>
          </w:p>
        </w:tc>
      </w:tr>
      <w:tr w:rsidR="00A17C17" w:rsidRPr="00E70587" w14:paraId="71D69237" w14:textId="77777777" w:rsidTr="009A5E2F">
        <w:tc>
          <w:tcPr>
            <w:tcW w:w="3960" w:type="dxa"/>
            <w:tcMar>
              <w:top w:w="28" w:type="dxa"/>
            </w:tcMar>
          </w:tcPr>
          <w:p w14:paraId="12EA56D6"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sz w:val="20"/>
                <w:lang w:val="en-IN"/>
              </w:rPr>
              <w:t xml:space="preserve">Financing </w:t>
            </w:r>
          </w:p>
        </w:tc>
        <w:tc>
          <w:tcPr>
            <w:tcW w:w="1800" w:type="dxa"/>
            <w:tcBorders>
              <w:bottom w:val="single" w:sz="4" w:space="0" w:color="auto"/>
            </w:tcBorders>
            <w:vAlign w:val="center"/>
          </w:tcPr>
          <w:p w14:paraId="43121174"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(450) </w:t>
            </w:r>
          </w:p>
        </w:tc>
        <w:tc>
          <w:tcPr>
            <w:tcW w:w="1890" w:type="dxa"/>
            <w:tcBorders>
              <w:bottom w:val="single" w:sz="4" w:space="0" w:color="auto"/>
            </w:tcBorders>
            <w:tcMar>
              <w:top w:w="28" w:type="dxa"/>
            </w:tcMar>
            <w:vAlign w:val="center"/>
          </w:tcPr>
          <w:p w14:paraId="27347472"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(117) </w:t>
            </w:r>
          </w:p>
        </w:tc>
        <w:tc>
          <w:tcPr>
            <w:tcW w:w="1890" w:type="dxa"/>
            <w:tcBorders>
              <w:bottom w:val="single" w:sz="4" w:space="0" w:color="auto"/>
            </w:tcBorders>
            <w:tcMar>
              <w:top w:w="28" w:type="dxa"/>
            </w:tcMar>
            <w:vAlign w:val="center"/>
          </w:tcPr>
          <w:p w14:paraId="22640312"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(238) </w:t>
            </w:r>
          </w:p>
        </w:tc>
      </w:tr>
      <w:tr w:rsidR="00A17C17" w:rsidRPr="00E70587" w14:paraId="4DCCE86F" w14:textId="77777777" w:rsidTr="009A5E2F">
        <w:tc>
          <w:tcPr>
            <w:tcW w:w="3960" w:type="dxa"/>
            <w:tcMar>
              <w:top w:w="28" w:type="dxa"/>
            </w:tcMar>
          </w:tcPr>
          <w:p w14:paraId="4FB44F86"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Net increase/(decrease) in cash and cash equivalents</w:t>
            </w:r>
          </w:p>
        </w:tc>
        <w:tc>
          <w:tcPr>
            <w:tcW w:w="1800" w:type="dxa"/>
            <w:tcBorders>
              <w:top w:val="single" w:sz="4" w:space="0" w:color="auto"/>
              <w:bottom w:val="double" w:sz="4" w:space="0" w:color="auto"/>
            </w:tcBorders>
            <w:vAlign w:val="center"/>
          </w:tcPr>
          <w:p w14:paraId="535BB825"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436 </w:t>
            </w:r>
          </w:p>
        </w:tc>
        <w:tc>
          <w:tcPr>
            <w:tcW w:w="1890" w:type="dxa"/>
            <w:tcBorders>
              <w:top w:val="single" w:sz="4" w:space="0" w:color="auto"/>
              <w:bottom w:val="double" w:sz="4" w:space="0" w:color="auto"/>
            </w:tcBorders>
            <w:tcMar>
              <w:top w:w="28" w:type="dxa"/>
            </w:tcMar>
            <w:vAlign w:val="center"/>
          </w:tcPr>
          <w:p w14:paraId="00B455F0"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 835 </w:t>
            </w:r>
          </w:p>
        </w:tc>
        <w:tc>
          <w:tcPr>
            <w:tcW w:w="1890" w:type="dxa"/>
            <w:tcBorders>
              <w:top w:val="single" w:sz="4" w:space="0" w:color="auto"/>
              <w:bottom w:val="double" w:sz="4" w:space="0" w:color="auto"/>
            </w:tcBorders>
            <w:tcMar>
              <w:top w:w="28" w:type="dxa"/>
            </w:tcMar>
            <w:vAlign w:val="center"/>
          </w:tcPr>
          <w:p w14:paraId="21517A48"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1,235 </w:t>
            </w:r>
          </w:p>
        </w:tc>
      </w:tr>
    </w:tbl>
    <w:p w14:paraId="48FDCC38" w14:textId="77777777" w:rsidR="00811B92" w:rsidRDefault="00811B92" w:rsidP="009901E1">
      <w:pPr>
        <w:pStyle w:val="Notesbodytext"/>
        <w:spacing w:after="0" w:line="280" w:lineRule="exact"/>
        <w:rPr>
          <w:rFonts w:ascii="Arial" w:hAnsi="Arial"/>
          <w:b/>
          <w:color w:val="auto"/>
          <w:sz w:val="20"/>
        </w:rPr>
      </w:pPr>
    </w:p>
    <w:p w14:paraId="3AE2D637" w14:textId="77777777" w:rsidR="00657499" w:rsidRDefault="00657499" w:rsidP="009901E1">
      <w:pPr>
        <w:pStyle w:val="Notesbodytext"/>
        <w:spacing w:after="0" w:line="280" w:lineRule="exact"/>
        <w:rPr>
          <w:rFonts w:ascii="Arial" w:hAnsi="Arial"/>
          <w:b/>
          <w:color w:val="auto"/>
          <w:sz w:val="20"/>
        </w:rPr>
      </w:pPr>
    </w:p>
    <w:p w14:paraId="2B40C783" w14:textId="77777777" w:rsidR="00657499" w:rsidRDefault="00657499" w:rsidP="009901E1">
      <w:pPr>
        <w:pStyle w:val="Notesbodytext"/>
        <w:spacing w:after="0" w:line="280" w:lineRule="exact"/>
        <w:rPr>
          <w:rFonts w:ascii="Arial" w:hAnsi="Arial"/>
          <w:b/>
          <w:color w:val="auto"/>
          <w:sz w:val="20"/>
        </w:rPr>
      </w:pPr>
    </w:p>
    <w:p w14:paraId="6F32A3A9" w14:textId="77777777" w:rsidR="00657499" w:rsidRPr="00E70587" w:rsidRDefault="00657499" w:rsidP="009901E1">
      <w:pPr>
        <w:pStyle w:val="Notesbodytext"/>
        <w:spacing w:after="0" w:line="280" w:lineRule="exact"/>
        <w:rPr>
          <w:rFonts w:ascii="Arial" w:hAnsi="Arial"/>
          <w:b/>
          <w:color w:val="auto"/>
          <w:sz w:val="20"/>
        </w:rPr>
      </w:pPr>
    </w:p>
    <w:tbl>
      <w:tblPr>
        <w:tblW w:w="9576" w:type="dxa"/>
        <w:tblLayout w:type="fixed"/>
        <w:tblLook w:val="01E0" w:firstRow="1" w:lastRow="1" w:firstColumn="1" w:lastColumn="1" w:noHBand="0" w:noVBand="0"/>
      </w:tblPr>
      <w:tblGrid>
        <w:gridCol w:w="5963"/>
        <w:gridCol w:w="1716"/>
        <w:gridCol w:w="1897"/>
      </w:tblGrid>
      <w:tr w:rsidR="00A17C17" w:rsidRPr="00E70587" w14:paraId="04AFC32B" w14:textId="77777777" w:rsidTr="009A5E2F">
        <w:tc>
          <w:tcPr>
            <w:tcW w:w="9540" w:type="dxa"/>
            <w:gridSpan w:val="3"/>
            <w:tcMar>
              <w:top w:w="28" w:type="dxa"/>
            </w:tcMar>
            <w:vAlign w:val="center"/>
          </w:tcPr>
          <w:p w14:paraId="4B905310" w14:textId="4E97D8D6"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Summarised cash flow information for year ended 31 </w:t>
            </w:r>
            <w:r w:rsidR="008B730E" w:rsidRPr="00E70587">
              <w:rPr>
                <w:rFonts w:ascii="Arial" w:hAnsi="Arial" w:cs="Arial"/>
                <w:b/>
                <w:sz w:val="20"/>
                <w:lang w:val="en-IN"/>
              </w:rPr>
              <w:t xml:space="preserve">March </w:t>
            </w:r>
            <w:r w:rsidR="0013258A" w:rsidRPr="00E70587">
              <w:rPr>
                <w:rFonts w:ascii="Arial" w:hAnsi="Arial" w:cs="Arial"/>
                <w:b/>
                <w:sz w:val="20"/>
                <w:lang w:val="en-IN"/>
              </w:rPr>
              <w:t>20</w:t>
            </w:r>
            <w:r w:rsidR="0013258A">
              <w:rPr>
                <w:rFonts w:ascii="Arial" w:hAnsi="Arial" w:cs="Arial"/>
                <w:b/>
                <w:sz w:val="20"/>
                <w:lang w:val="en-IN"/>
              </w:rPr>
              <w:t>20</w:t>
            </w:r>
            <w:r w:rsidRPr="00E70587">
              <w:rPr>
                <w:rFonts w:ascii="Arial" w:hAnsi="Arial" w:cs="Arial"/>
                <w:b/>
                <w:sz w:val="20"/>
                <w:lang w:val="en-IN"/>
              </w:rPr>
              <w:t>:</w:t>
            </w:r>
          </w:p>
          <w:p w14:paraId="7ACF7B07"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p>
        </w:tc>
      </w:tr>
      <w:tr w:rsidR="00A17C17" w:rsidRPr="00E70587" w14:paraId="7E825890" w14:textId="77777777" w:rsidTr="004D06E0">
        <w:tc>
          <w:tcPr>
            <w:tcW w:w="5940" w:type="dxa"/>
            <w:tcMar>
              <w:top w:w="28" w:type="dxa"/>
            </w:tcMar>
            <w:vAlign w:val="center"/>
          </w:tcPr>
          <w:p w14:paraId="65DEF367"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710" w:type="dxa"/>
            <w:tcBorders>
              <w:bottom w:val="single" w:sz="4" w:space="0" w:color="auto"/>
            </w:tcBorders>
            <w:vAlign w:val="center"/>
          </w:tcPr>
          <w:p w14:paraId="352CABC2" w14:textId="77777777" w:rsidR="00A17C17" w:rsidRPr="00E70587" w:rsidRDefault="00A17C17" w:rsidP="004D06E0">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Electronics Limited</w:t>
            </w:r>
          </w:p>
        </w:tc>
        <w:tc>
          <w:tcPr>
            <w:tcW w:w="1890" w:type="dxa"/>
            <w:tcBorders>
              <w:bottom w:val="single" w:sz="4" w:space="0" w:color="auto"/>
            </w:tcBorders>
            <w:tcMar>
              <w:top w:w="28" w:type="dxa"/>
            </w:tcMar>
            <w:vAlign w:val="center"/>
          </w:tcPr>
          <w:p w14:paraId="0DC5F630" w14:textId="77777777" w:rsidR="00A17C17" w:rsidRPr="00E70587" w:rsidRDefault="00A17C17" w:rsidP="004D06E0">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Lightbulbs</w:t>
            </w:r>
            <w:r w:rsidRPr="00E70587">
              <w:rPr>
                <w:rFonts w:ascii="Arial" w:hAnsi="Arial" w:cs="Arial"/>
                <w:b/>
                <w:sz w:val="20"/>
                <w:lang w:val="en-IN"/>
              </w:rPr>
              <w:br/>
              <w:t>Limited</w:t>
            </w:r>
          </w:p>
        </w:tc>
      </w:tr>
      <w:tr w:rsidR="00A17C17" w:rsidRPr="00E70587" w14:paraId="7DB2A144" w14:textId="77777777" w:rsidTr="006D2A68">
        <w:trPr>
          <w:trHeight w:val="22"/>
        </w:trPr>
        <w:tc>
          <w:tcPr>
            <w:tcW w:w="5940" w:type="dxa"/>
            <w:tcMar>
              <w:top w:w="28" w:type="dxa"/>
            </w:tcMar>
            <w:vAlign w:val="center"/>
          </w:tcPr>
          <w:p w14:paraId="698C974D"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710" w:type="dxa"/>
            <w:tcBorders>
              <w:top w:val="single" w:sz="4" w:space="0" w:color="auto"/>
            </w:tcBorders>
            <w:vAlign w:val="center"/>
          </w:tcPr>
          <w:p w14:paraId="51956314" w14:textId="77777777" w:rsidR="00A17C17" w:rsidRPr="00E70587" w:rsidRDefault="00A17C17" w:rsidP="004D06E0">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90" w:type="dxa"/>
            <w:tcBorders>
              <w:top w:val="single" w:sz="4" w:space="0" w:color="auto"/>
            </w:tcBorders>
            <w:tcMar>
              <w:top w:w="28" w:type="dxa"/>
            </w:tcMar>
            <w:vAlign w:val="center"/>
          </w:tcPr>
          <w:p w14:paraId="6B06C4A3" w14:textId="77777777" w:rsidR="00A17C17" w:rsidRPr="00E70587" w:rsidRDefault="00A17C17" w:rsidP="004D06E0">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6D4D2F68" w14:textId="77777777" w:rsidTr="009A5E2F">
        <w:tc>
          <w:tcPr>
            <w:tcW w:w="5940" w:type="dxa"/>
            <w:tcMar>
              <w:top w:w="28" w:type="dxa"/>
            </w:tcMar>
            <w:vAlign w:val="center"/>
          </w:tcPr>
          <w:p w14:paraId="48E197E0"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sz w:val="20"/>
                <w:lang w:val="en-IN"/>
              </w:rPr>
              <w:t xml:space="preserve">Operating </w:t>
            </w:r>
          </w:p>
        </w:tc>
        <w:tc>
          <w:tcPr>
            <w:tcW w:w="1710" w:type="dxa"/>
            <w:vAlign w:val="center"/>
          </w:tcPr>
          <w:p w14:paraId="118C550E"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828 </w:t>
            </w:r>
          </w:p>
        </w:tc>
        <w:tc>
          <w:tcPr>
            <w:tcW w:w="1890" w:type="dxa"/>
            <w:tcMar>
              <w:top w:w="28" w:type="dxa"/>
            </w:tcMar>
            <w:vAlign w:val="center"/>
          </w:tcPr>
          <w:p w14:paraId="4FA7A40C"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40 </w:t>
            </w:r>
          </w:p>
        </w:tc>
      </w:tr>
      <w:tr w:rsidR="00A17C17" w:rsidRPr="00E70587" w14:paraId="38BF05FB" w14:textId="77777777" w:rsidTr="009A5E2F">
        <w:tc>
          <w:tcPr>
            <w:tcW w:w="5940" w:type="dxa"/>
            <w:tcMar>
              <w:top w:w="28" w:type="dxa"/>
            </w:tcMar>
          </w:tcPr>
          <w:p w14:paraId="45209AD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sz w:val="20"/>
                <w:lang w:val="en-IN"/>
              </w:rPr>
              <w:t xml:space="preserve">Investing </w:t>
            </w:r>
          </w:p>
        </w:tc>
        <w:tc>
          <w:tcPr>
            <w:tcW w:w="1710" w:type="dxa"/>
            <w:vAlign w:val="center"/>
          </w:tcPr>
          <w:p w14:paraId="0EE055D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(18) </w:t>
            </w:r>
          </w:p>
        </w:tc>
        <w:tc>
          <w:tcPr>
            <w:tcW w:w="1890" w:type="dxa"/>
            <w:tcMar>
              <w:top w:w="28" w:type="dxa"/>
            </w:tcMar>
            <w:vAlign w:val="center"/>
          </w:tcPr>
          <w:p w14:paraId="4F48D923"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(36) </w:t>
            </w:r>
          </w:p>
        </w:tc>
      </w:tr>
      <w:tr w:rsidR="00A17C17" w:rsidRPr="00E70587" w14:paraId="7F5AA3EB" w14:textId="77777777" w:rsidTr="009A5E2F">
        <w:tc>
          <w:tcPr>
            <w:tcW w:w="5940" w:type="dxa"/>
            <w:tcMar>
              <w:top w:w="28" w:type="dxa"/>
            </w:tcMar>
          </w:tcPr>
          <w:p w14:paraId="1355481A"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sz w:val="20"/>
                <w:lang w:val="en-IN"/>
              </w:rPr>
              <w:t xml:space="preserve">Financing </w:t>
            </w:r>
          </w:p>
        </w:tc>
        <w:tc>
          <w:tcPr>
            <w:tcW w:w="1710" w:type="dxa"/>
            <w:tcBorders>
              <w:bottom w:val="single" w:sz="4" w:space="0" w:color="auto"/>
            </w:tcBorders>
            <w:vAlign w:val="center"/>
          </w:tcPr>
          <w:p w14:paraId="49BBBFB9"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(630) </w:t>
            </w:r>
          </w:p>
        </w:tc>
        <w:tc>
          <w:tcPr>
            <w:tcW w:w="1890" w:type="dxa"/>
            <w:tcBorders>
              <w:bottom w:val="single" w:sz="4" w:space="0" w:color="auto"/>
            </w:tcBorders>
            <w:tcMar>
              <w:top w:w="28" w:type="dxa"/>
            </w:tcMar>
            <w:vAlign w:val="center"/>
          </w:tcPr>
          <w:p w14:paraId="42B6F17A"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(20) </w:t>
            </w:r>
          </w:p>
        </w:tc>
      </w:tr>
      <w:tr w:rsidR="00A17C17" w:rsidRPr="00E70587" w14:paraId="05389CD3" w14:textId="77777777" w:rsidTr="009A5E2F">
        <w:tc>
          <w:tcPr>
            <w:tcW w:w="5940" w:type="dxa"/>
            <w:tcMar>
              <w:top w:w="28" w:type="dxa"/>
            </w:tcMar>
          </w:tcPr>
          <w:p w14:paraId="534F5CF7"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Net increase/(decrease) in cash and cash equivalents</w:t>
            </w:r>
          </w:p>
        </w:tc>
        <w:tc>
          <w:tcPr>
            <w:tcW w:w="1710" w:type="dxa"/>
            <w:tcBorders>
              <w:top w:val="single" w:sz="4" w:space="0" w:color="auto"/>
              <w:bottom w:val="double" w:sz="4" w:space="0" w:color="auto"/>
            </w:tcBorders>
            <w:vAlign w:val="center"/>
          </w:tcPr>
          <w:p w14:paraId="26AE4D78"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180 </w:t>
            </w:r>
          </w:p>
        </w:tc>
        <w:tc>
          <w:tcPr>
            <w:tcW w:w="1890" w:type="dxa"/>
            <w:tcBorders>
              <w:top w:val="single" w:sz="4" w:space="0" w:color="auto"/>
              <w:bottom w:val="double" w:sz="4" w:space="0" w:color="auto"/>
            </w:tcBorders>
            <w:tcMar>
              <w:top w:w="28" w:type="dxa"/>
            </w:tcMar>
            <w:vAlign w:val="center"/>
          </w:tcPr>
          <w:p w14:paraId="07DEB0FD" w14:textId="77777777" w:rsidR="00A17C17" w:rsidRPr="00E70587" w:rsidRDefault="00A17C17" w:rsidP="006D2A68">
            <w:pPr>
              <w:spacing w:line="280" w:lineRule="exact"/>
              <w:jc w:val="right"/>
              <w:rPr>
                <w:rFonts w:ascii="Arial" w:hAnsi="Arial" w:cs="Arial"/>
                <w:b/>
                <w:bCs/>
                <w:sz w:val="20"/>
              </w:rPr>
            </w:pPr>
            <w:r w:rsidRPr="00E70587">
              <w:rPr>
                <w:rFonts w:ascii="Arial" w:hAnsi="Arial" w:cs="Arial"/>
                <w:b/>
                <w:bCs/>
                <w:sz w:val="20"/>
              </w:rPr>
              <w:t xml:space="preserve"> (</w:t>
            </w:r>
            <w:r w:rsidR="006D2A68" w:rsidRPr="00E70587">
              <w:rPr>
                <w:rFonts w:ascii="Arial" w:hAnsi="Arial" w:cs="Arial"/>
                <w:b/>
                <w:bCs/>
                <w:sz w:val="20"/>
              </w:rPr>
              <w:t>16</w:t>
            </w:r>
            <w:r w:rsidRPr="00E70587">
              <w:rPr>
                <w:rFonts w:ascii="Arial" w:hAnsi="Arial" w:cs="Arial"/>
                <w:b/>
                <w:bCs/>
                <w:sz w:val="20"/>
              </w:rPr>
              <w:t xml:space="preserve">) </w:t>
            </w:r>
          </w:p>
        </w:tc>
      </w:tr>
    </w:tbl>
    <w:p w14:paraId="67E505FE" w14:textId="4C91A682" w:rsidR="005A1050" w:rsidRDefault="005A1050" w:rsidP="00950163">
      <w:pPr>
        <w:pStyle w:val="Tablecolumnheading"/>
        <w:spacing w:line="280" w:lineRule="exact"/>
        <w:jc w:val="left"/>
        <w:rPr>
          <w:rFonts w:ascii="Arial" w:hAnsi="Arial"/>
          <w:sz w:val="20"/>
          <w:szCs w:val="20"/>
          <w:lang w:val="en-IN"/>
        </w:rPr>
      </w:pPr>
    </w:p>
    <w:p w14:paraId="2EC8722A" w14:textId="6CAB65E5" w:rsidR="000340BC" w:rsidRPr="000340BC" w:rsidRDefault="000340BC" w:rsidP="000340BC">
      <w:pPr>
        <w:pStyle w:val="tabletext"/>
        <w:shd w:val="clear" w:color="auto" w:fill="C1C1C1" w:themeFill="background1" w:themeFillTint="66"/>
        <w:rPr>
          <w:rFonts w:ascii="Arial" w:hAnsi="Arial" w:cs="Arial"/>
          <w:b/>
          <w:bCs/>
          <w:sz w:val="20"/>
          <w:szCs w:val="22"/>
          <w:lang w:val="en-IN"/>
        </w:rPr>
      </w:pPr>
      <w:r w:rsidRPr="000340BC">
        <w:rPr>
          <w:rFonts w:ascii="Arial" w:hAnsi="Arial" w:cs="Arial"/>
          <w:b/>
          <w:bCs/>
          <w:sz w:val="20"/>
          <w:szCs w:val="22"/>
          <w:lang w:val="en-IN"/>
        </w:rPr>
        <w:t>Author’s Note</w:t>
      </w:r>
    </w:p>
    <w:p w14:paraId="0670FB81" w14:textId="77777777" w:rsidR="000340BC" w:rsidRPr="000340BC" w:rsidRDefault="000340BC" w:rsidP="000340BC">
      <w:pPr>
        <w:pStyle w:val="tabletext"/>
        <w:shd w:val="clear" w:color="auto" w:fill="C1C1C1" w:themeFill="background1" w:themeFillTint="66"/>
        <w:rPr>
          <w:rFonts w:ascii="Arial" w:hAnsi="Arial" w:cs="Arial"/>
          <w:sz w:val="20"/>
          <w:szCs w:val="22"/>
          <w:lang w:val="en-IN"/>
        </w:rPr>
      </w:pPr>
    </w:p>
    <w:p w14:paraId="5AD0795E" w14:textId="78F9941F" w:rsidR="000340BC" w:rsidRDefault="000340BC" w:rsidP="000340BC">
      <w:pPr>
        <w:pStyle w:val="tabletext"/>
        <w:shd w:val="clear" w:color="auto" w:fill="C1C1C1" w:themeFill="background1" w:themeFillTint="66"/>
        <w:spacing w:line="264" w:lineRule="auto"/>
        <w:rPr>
          <w:rFonts w:ascii="Arial" w:hAnsi="Arial" w:cs="Arial"/>
          <w:sz w:val="20"/>
          <w:szCs w:val="22"/>
          <w:lang w:val="en-IN"/>
        </w:rPr>
      </w:pPr>
      <w:r w:rsidRPr="000340BC">
        <w:rPr>
          <w:rFonts w:ascii="Arial" w:hAnsi="Arial" w:cs="Arial"/>
          <w:sz w:val="20"/>
          <w:szCs w:val="22"/>
          <w:lang w:val="en-IN"/>
        </w:rPr>
        <w:t>Ind AS 112.12 requires the above information only in respect of subsidiaries that have non-controlling interests that are material to the reporting entity (i.e., the Group). A subsidiary may have significant non-controlling interest per se, but disclosure is not required if that interest is not material at the Group level. Similarly, these disclosures do not apply to the non-controlling interests that are material in aggregate but not individually. Also, it should be noted that the above information should be provided separately for each individual subsidiary with a material non-controlling interest. The Group has concluded that Extinguishers Limited, Lightbulbs Limited and Electronics Limited are the only subsidiaries with non-controlling interests that are material to the Group.</w:t>
      </w:r>
    </w:p>
    <w:p w14:paraId="6DB7B553" w14:textId="77777777" w:rsidR="000340BC" w:rsidRPr="000340BC" w:rsidRDefault="000340BC" w:rsidP="000340BC">
      <w:pPr>
        <w:pStyle w:val="tabletext"/>
        <w:shd w:val="clear" w:color="auto" w:fill="C1C1C1" w:themeFill="background1" w:themeFillTint="66"/>
        <w:spacing w:line="264" w:lineRule="auto"/>
        <w:rPr>
          <w:rFonts w:ascii="Arial" w:hAnsi="Arial" w:cs="Arial"/>
          <w:sz w:val="20"/>
          <w:szCs w:val="22"/>
          <w:lang w:val="en-IN"/>
        </w:rPr>
      </w:pPr>
    </w:p>
    <w:p w14:paraId="0ACCE943" w14:textId="6FD7057F" w:rsidR="000340BC" w:rsidRDefault="000340BC" w:rsidP="000340BC">
      <w:pPr>
        <w:pStyle w:val="tabletext"/>
        <w:shd w:val="clear" w:color="auto" w:fill="C1C1C1" w:themeFill="background1" w:themeFillTint="66"/>
        <w:spacing w:line="264" w:lineRule="auto"/>
        <w:rPr>
          <w:rFonts w:ascii="Arial" w:hAnsi="Arial" w:cs="Arial"/>
          <w:sz w:val="20"/>
          <w:szCs w:val="22"/>
          <w:lang w:val="en-IN"/>
        </w:rPr>
      </w:pPr>
      <w:r w:rsidRPr="000340BC">
        <w:rPr>
          <w:rFonts w:ascii="Arial" w:hAnsi="Arial" w:cs="Arial"/>
          <w:sz w:val="20"/>
          <w:szCs w:val="22"/>
          <w:lang w:val="en-IN"/>
        </w:rPr>
        <w:t>When there is a change in the ownership of a subsidiary, Ind AS 112.18 requires disclosure of a schedule that shows the effects on equity of any changes in its ownership interest in the subsidiary that did not result in a loss of control. When there are significant restrictions on the Group’s or its subsidiaries' ability to access or use the assets and settle the liabilities of the Group, Ind AS 112.13 requires disclosure of the nature and extent of significant restrictions. The Group did not have any such restrictions.</w:t>
      </w:r>
    </w:p>
    <w:p w14:paraId="26FACBDB" w14:textId="77777777" w:rsidR="00446872" w:rsidRDefault="00446872" w:rsidP="000340BC">
      <w:pPr>
        <w:pStyle w:val="tabletext"/>
        <w:shd w:val="clear" w:color="auto" w:fill="C1C1C1" w:themeFill="background1" w:themeFillTint="66"/>
        <w:spacing w:line="264" w:lineRule="auto"/>
        <w:rPr>
          <w:rFonts w:ascii="Arial" w:hAnsi="Arial" w:cs="Arial"/>
          <w:sz w:val="20"/>
          <w:szCs w:val="22"/>
          <w:lang w:val="en-IN"/>
        </w:rPr>
      </w:pPr>
    </w:p>
    <w:p w14:paraId="09637291" w14:textId="77777777" w:rsidR="000340BC" w:rsidRPr="000340BC" w:rsidRDefault="000340BC" w:rsidP="000340BC">
      <w:pPr>
        <w:pStyle w:val="tabletext"/>
        <w:shd w:val="clear" w:color="auto" w:fill="C1C1C1" w:themeFill="background1" w:themeFillTint="66"/>
        <w:spacing w:line="264" w:lineRule="auto"/>
        <w:rPr>
          <w:rFonts w:ascii="Arial" w:hAnsi="Arial" w:cs="Arial"/>
          <w:sz w:val="20"/>
          <w:szCs w:val="22"/>
          <w:lang w:val="en-IN"/>
        </w:rPr>
      </w:pPr>
    </w:p>
    <w:p w14:paraId="0AADACF6" w14:textId="721D6835" w:rsidR="000340BC" w:rsidRPr="000340BC" w:rsidRDefault="000340BC" w:rsidP="000340BC">
      <w:pPr>
        <w:pStyle w:val="tabletext"/>
        <w:shd w:val="clear" w:color="auto" w:fill="C1C1C1" w:themeFill="background1" w:themeFillTint="66"/>
        <w:spacing w:line="264" w:lineRule="auto"/>
        <w:rPr>
          <w:rFonts w:ascii="Arial" w:hAnsi="Arial" w:cs="Arial"/>
          <w:sz w:val="20"/>
          <w:szCs w:val="22"/>
          <w:lang w:val="en-IN"/>
        </w:rPr>
      </w:pPr>
      <w:r w:rsidRPr="000340BC">
        <w:rPr>
          <w:rFonts w:ascii="Arial" w:hAnsi="Arial" w:cs="Arial"/>
          <w:sz w:val="20"/>
          <w:szCs w:val="22"/>
          <w:lang w:val="en-IN"/>
        </w:rPr>
        <w:t>Ind AS 112.10 (b) (iv) requires disclosure of information to enable the users to evaluate the consequences of losing control of a subsidiary during the period. The Group did not lose control over a subsidiary during the period.</w:t>
      </w:r>
    </w:p>
    <w:p w14:paraId="448ABBCA" w14:textId="77777777" w:rsidR="000340BC" w:rsidRPr="000340BC" w:rsidRDefault="000340BC" w:rsidP="000340BC">
      <w:pPr>
        <w:pStyle w:val="tabletext"/>
        <w:rPr>
          <w:lang w:val="en-IN"/>
        </w:rPr>
      </w:pPr>
    </w:p>
    <w:p w14:paraId="5823DC14" w14:textId="77777777" w:rsidR="00B43785" w:rsidRPr="00E70587" w:rsidRDefault="00B43785"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Interest in joint venture</w:t>
      </w:r>
    </w:p>
    <w:p w14:paraId="72BEE04D" w14:textId="77777777" w:rsidR="00B43785" w:rsidRPr="00E70587" w:rsidRDefault="00B43785" w:rsidP="00B43785">
      <w:pPr>
        <w:pStyle w:val="IAStext"/>
        <w:spacing w:line="280" w:lineRule="exact"/>
        <w:jc w:val="both"/>
        <w:rPr>
          <w:rFonts w:ascii="Arial" w:hAnsi="Arial" w:cs="Arial"/>
          <w:i w:val="0"/>
          <w:sz w:val="20"/>
          <w:lang w:val="en-IN"/>
        </w:rPr>
      </w:pPr>
    </w:p>
    <w:p w14:paraId="1FAFDF8A" w14:textId="77777777" w:rsidR="00B43785" w:rsidRPr="00E70587" w:rsidRDefault="00B43785" w:rsidP="00B43785">
      <w:pPr>
        <w:pStyle w:val="IAStext"/>
        <w:spacing w:line="280" w:lineRule="exact"/>
        <w:jc w:val="both"/>
        <w:rPr>
          <w:rFonts w:ascii="Arial" w:hAnsi="Arial" w:cs="Arial"/>
          <w:i w:val="0"/>
          <w:sz w:val="20"/>
          <w:lang w:val="en-IN"/>
        </w:rPr>
      </w:pPr>
      <w:r w:rsidRPr="00E70587">
        <w:rPr>
          <w:rFonts w:ascii="Arial" w:hAnsi="Arial" w:cs="Arial"/>
          <w:i w:val="0"/>
          <w:sz w:val="20"/>
          <w:lang w:val="en-IN"/>
        </w:rPr>
        <w:t>The Group has a 50% interest in S Limited, a joint venture involved in the manufacture of some of the Group’s main product lines in fire prevention equipment in India. The Group’s interest in S Limited is accounted for using the equity method in the consolidated financial statements. Summarised financial information of the joint venture, based on its Ind-AS financial statements, and reconciliation with the carrying amount of the investment in consolidated financial statements are set out below:</w:t>
      </w:r>
    </w:p>
    <w:p w14:paraId="391F6476" w14:textId="77777777" w:rsidR="00FA7688" w:rsidRPr="00E70587" w:rsidRDefault="00FA7688" w:rsidP="00B43785">
      <w:pPr>
        <w:spacing w:line="280" w:lineRule="exact"/>
        <w:jc w:val="both"/>
        <w:rPr>
          <w:rFonts w:ascii="Arial" w:hAnsi="Arial" w:cs="Arial"/>
          <w:sz w:val="20"/>
        </w:rPr>
      </w:pPr>
    </w:p>
    <w:tbl>
      <w:tblPr>
        <w:tblW w:w="9639" w:type="dxa"/>
        <w:tblLayout w:type="fixed"/>
        <w:tblLook w:val="01E0" w:firstRow="1" w:lastRow="1" w:firstColumn="1" w:lastColumn="1" w:noHBand="0" w:noVBand="0"/>
      </w:tblPr>
      <w:tblGrid>
        <w:gridCol w:w="5954"/>
        <w:gridCol w:w="1701"/>
        <w:gridCol w:w="1984"/>
      </w:tblGrid>
      <w:tr w:rsidR="000A2ED4" w:rsidRPr="00E70587" w14:paraId="58AE8751" w14:textId="77777777" w:rsidTr="000A2ED4">
        <w:tc>
          <w:tcPr>
            <w:tcW w:w="5954" w:type="dxa"/>
            <w:shd w:val="clear" w:color="auto" w:fill="auto"/>
          </w:tcPr>
          <w:p w14:paraId="045DC69B" w14:textId="77777777" w:rsidR="000A2ED4" w:rsidRPr="00E70587" w:rsidRDefault="000A2ED4" w:rsidP="009901E1">
            <w:pPr>
              <w:pStyle w:val="000Normal"/>
              <w:spacing w:before="0" w:after="0" w:line="280" w:lineRule="exact"/>
              <w:rPr>
                <w:rFonts w:ascii="Arial" w:hAnsi="Arial" w:cs="Arial"/>
                <w:sz w:val="20"/>
              </w:rPr>
            </w:pPr>
          </w:p>
        </w:tc>
        <w:tc>
          <w:tcPr>
            <w:tcW w:w="1701" w:type="dxa"/>
            <w:tcBorders>
              <w:bottom w:val="single" w:sz="4" w:space="0" w:color="auto"/>
            </w:tcBorders>
            <w:shd w:val="clear" w:color="auto" w:fill="auto"/>
            <w:vAlign w:val="bottom"/>
          </w:tcPr>
          <w:p w14:paraId="1C98E394" w14:textId="32666F92"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431219" w:rsidRPr="00E70587">
              <w:rPr>
                <w:rFonts w:ascii="Arial" w:hAnsi="Arial"/>
                <w:color w:val="auto"/>
                <w:sz w:val="20"/>
                <w:szCs w:val="20"/>
                <w:lang w:val="en-IN"/>
              </w:rPr>
              <w:t>20</w:t>
            </w:r>
            <w:r w:rsidR="00431219">
              <w:rPr>
                <w:rFonts w:ascii="Arial" w:hAnsi="Arial"/>
                <w:color w:val="auto"/>
                <w:sz w:val="20"/>
                <w:szCs w:val="20"/>
                <w:lang w:val="en-IN"/>
              </w:rPr>
              <w:t>21</w:t>
            </w:r>
          </w:p>
        </w:tc>
        <w:tc>
          <w:tcPr>
            <w:tcW w:w="1984" w:type="dxa"/>
            <w:tcBorders>
              <w:bottom w:val="single" w:sz="4" w:space="0" w:color="auto"/>
            </w:tcBorders>
            <w:shd w:val="clear" w:color="auto" w:fill="auto"/>
            <w:vAlign w:val="bottom"/>
          </w:tcPr>
          <w:p w14:paraId="305F723E" w14:textId="1ED3081C"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431219" w:rsidRPr="00E70587">
              <w:rPr>
                <w:rFonts w:ascii="Arial" w:hAnsi="Arial"/>
                <w:color w:val="auto"/>
                <w:sz w:val="20"/>
                <w:szCs w:val="20"/>
                <w:lang w:val="en-IN"/>
              </w:rPr>
              <w:t>20</w:t>
            </w:r>
            <w:r w:rsidR="00431219">
              <w:rPr>
                <w:rFonts w:ascii="Arial" w:hAnsi="Arial"/>
                <w:color w:val="auto"/>
                <w:sz w:val="20"/>
                <w:szCs w:val="20"/>
                <w:lang w:val="en-IN"/>
              </w:rPr>
              <w:t>20</w:t>
            </w:r>
          </w:p>
        </w:tc>
      </w:tr>
      <w:tr w:rsidR="000A2ED4" w:rsidRPr="00E70587" w14:paraId="052EDEF1" w14:textId="77777777" w:rsidTr="000A2ED4">
        <w:tc>
          <w:tcPr>
            <w:tcW w:w="5954" w:type="dxa"/>
          </w:tcPr>
          <w:p w14:paraId="3A8A239D" w14:textId="77777777" w:rsidR="000A2ED4" w:rsidRPr="00E70587" w:rsidRDefault="000A2ED4" w:rsidP="009901E1">
            <w:pPr>
              <w:pStyle w:val="000Normal"/>
              <w:spacing w:before="0" w:after="0" w:line="280" w:lineRule="exact"/>
              <w:jc w:val="right"/>
              <w:rPr>
                <w:rFonts w:ascii="Arial" w:hAnsi="Arial" w:cs="Arial"/>
                <w:b/>
                <w:sz w:val="20"/>
              </w:rPr>
            </w:pPr>
          </w:p>
        </w:tc>
        <w:tc>
          <w:tcPr>
            <w:tcW w:w="1701" w:type="dxa"/>
            <w:tcBorders>
              <w:top w:val="single" w:sz="4" w:space="0" w:color="auto"/>
            </w:tcBorders>
          </w:tcPr>
          <w:p w14:paraId="60851B2B" w14:textId="77777777"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984" w:type="dxa"/>
            <w:tcBorders>
              <w:top w:val="single" w:sz="4" w:space="0" w:color="auto"/>
            </w:tcBorders>
          </w:tcPr>
          <w:p w14:paraId="6D70385B" w14:textId="77777777"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0A2ED4" w:rsidRPr="00E70587" w14:paraId="4E75B41E" w14:textId="77777777" w:rsidTr="000A2ED4">
        <w:tc>
          <w:tcPr>
            <w:tcW w:w="5954" w:type="dxa"/>
            <w:tcMar>
              <w:top w:w="28" w:type="dxa"/>
            </w:tcMar>
            <w:vAlign w:val="bottom"/>
          </w:tcPr>
          <w:p w14:paraId="722B7BF8" w14:textId="6F7AB5F3"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Current assets, including cash and cash equivalents INR 1,780 </w:t>
            </w:r>
            <w:r w:rsidR="004F3186">
              <w:rPr>
                <w:rFonts w:ascii="Arial" w:hAnsi="Arial" w:cs="Arial"/>
                <w:sz w:val="20"/>
                <w:lang w:val="en-IN"/>
              </w:rPr>
              <w:t xml:space="preserve">lacs </w:t>
            </w:r>
            <w:r w:rsidRPr="00E70587">
              <w:rPr>
                <w:rFonts w:ascii="Arial" w:hAnsi="Arial" w:cs="Arial"/>
                <w:sz w:val="20"/>
                <w:lang w:val="en-IN"/>
              </w:rPr>
              <w:t xml:space="preserve">(31 March </w:t>
            </w:r>
            <w:r w:rsidR="00431219" w:rsidRPr="00E70587">
              <w:rPr>
                <w:rFonts w:ascii="Arial" w:hAnsi="Arial" w:cs="Arial"/>
                <w:sz w:val="20"/>
                <w:lang w:val="en-IN"/>
              </w:rPr>
              <w:t>20</w:t>
            </w:r>
            <w:r w:rsidR="00431219">
              <w:rPr>
                <w:rFonts w:ascii="Arial" w:hAnsi="Arial" w:cs="Arial"/>
                <w:sz w:val="20"/>
                <w:lang w:val="en-IN"/>
              </w:rPr>
              <w:t>20</w:t>
            </w:r>
            <w:r w:rsidRPr="00E70587">
              <w:rPr>
                <w:rFonts w:ascii="Arial" w:hAnsi="Arial" w:cs="Arial"/>
                <w:sz w:val="20"/>
                <w:lang w:val="en-IN"/>
              </w:rPr>
              <w:t>: INR 1,337</w:t>
            </w:r>
            <w:r w:rsidR="004F3186">
              <w:rPr>
                <w:rFonts w:ascii="Arial" w:hAnsi="Arial" w:cs="Arial"/>
                <w:sz w:val="20"/>
                <w:lang w:val="en-IN"/>
              </w:rPr>
              <w:t xml:space="preserve"> lacs</w:t>
            </w:r>
            <w:r w:rsidRPr="00E70587">
              <w:rPr>
                <w:rFonts w:ascii="Arial" w:hAnsi="Arial" w:cs="Arial"/>
                <w:sz w:val="20"/>
                <w:lang w:val="en-IN"/>
              </w:rPr>
              <w:t xml:space="preserve">) and prepayments INR 1,854 </w:t>
            </w:r>
            <w:r w:rsidR="004F3186">
              <w:rPr>
                <w:rFonts w:ascii="Arial" w:hAnsi="Arial" w:cs="Arial"/>
                <w:sz w:val="20"/>
                <w:lang w:val="en-IN"/>
              </w:rPr>
              <w:t>lacs</w:t>
            </w:r>
            <w:r w:rsidR="004F3186" w:rsidRPr="00E70587">
              <w:rPr>
                <w:rFonts w:ascii="Arial" w:hAnsi="Arial" w:cs="Arial"/>
                <w:sz w:val="20"/>
                <w:lang w:val="en-IN"/>
              </w:rPr>
              <w:t xml:space="preserve"> </w:t>
            </w:r>
            <w:r w:rsidRPr="00E70587">
              <w:rPr>
                <w:rFonts w:ascii="Arial" w:hAnsi="Arial" w:cs="Arial"/>
                <w:sz w:val="20"/>
                <w:lang w:val="en-IN"/>
              </w:rPr>
              <w:t xml:space="preserve">(31 March </w:t>
            </w:r>
            <w:r w:rsidR="00431219" w:rsidRPr="00E70587">
              <w:rPr>
                <w:rFonts w:ascii="Arial" w:hAnsi="Arial" w:cs="Arial"/>
                <w:sz w:val="20"/>
                <w:lang w:val="en-IN"/>
              </w:rPr>
              <w:t>20</w:t>
            </w:r>
            <w:r w:rsidR="00431219">
              <w:rPr>
                <w:rFonts w:ascii="Arial" w:hAnsi="Arial" w:cs="Arial"/>
                <w:sz w:val="20"/>
                <w:lang w:val="en-IN"/>
              </w:rPr>
              <w:t>20</w:t>
            </w:r>
            <w:r w:rsidRPr="00E70587">
              <w:rPr>
                <w:rFonts w:ascii="Arial" w:hAnsi="Arial" w:cs="Arial"/>
                <w:sz w:val="20"/>
                <w:lang w:val="en-IN"/>
              </w:rPr>
              <w:t>: NIL)</w:t>
            </w:r>
          </w:p>
        </w:tc>
        <w:tc>
          <w:tcPr>
            <w:tcW w:w="1701" w:type="dxa"/>
            <w:tcMar>
              <w:top w:w="28" w:type="dxa"/>
            </w:tcMar>
            <w:vAlign w:val="center"/>
          </w:tcPr>
          <w:p w14:paraId="093FD0AF" w14:textId="77777777" w:rsidR="000A2ED4" w:rsidRPr="00E70587" w:rsidRDefault="000A2ED4" w:rsidP="009901E1">
            <w:pPr>
              <w:spacing w:line="280" w:lineRule="exact"/>
              <w:jc w:val="right"/>
              <w:rPr>
                <w:rFonts w:ascii="Arial" w:hAnsi="Arial" w:cs="Arial"/>
                <w:sz w:val="20"/>
              </w:rPr>
            </w:pPr>
            <w:r w:rsidRPr="00E70587">
              <w:rPr>
                <w:rFonts w:ascii="Arial" w:hAnsi="Arial" w:cs="Arial"/>
                <w:sz w:val="20"/>
              </w:rPr>
              <w:t xml:space="preserve"> 5,807 </w:t>
            </w:r>
          </w:p>
        </w:tc>
        <w:tc>
          <w:tcPr>
            <w:tcW w:w="1984" w:type="dxa"/>
            <w:tcMar>
              <w:top w:w="28" w:type="dxa"/>
            </w:tcMar>
            <w:vAlign w:val="center"/>
          </w:tcPr>
          <w:p w14:paraId="70357927" w14:textId="77777777" w:rsidR="000A2ED4" w:rsidRPr="00E70587" w:rsidRDefault="000A2ED4" w:rsidP="009901E1">
            <w:pPr>
              <w:spacing w:line="280" w:lineRule="exact"/>
              <w:jc w:val="right"/>
              <w:rPr>
                <w:rFonts w:ascii="Arial" w:hAnsi="Arial" w:cs="Arial"/>
                <w:sz w:val="20"/>
              </w:rPr>
            </w:pPr>
            <w:r w:rsidRPr="00E70587">
              <w:rPr>
                <w:rFonts w:ascii="Arial" w:hAnsi="Arial" w:cs="Arial"/>
                <w:sz w:val="20"/>
              </w:rPr>
              <w:t xml:space="preserve"> 5,054 </w:t>
            </w:r>
          </w:p>
        </w:tc>
      </w:tr>
      <w:tr w:rsidR="000A2ED4" w:rsidRPr="00E70587" w14:paraId="245F4F50" w14:textId="77777777" w:rsidTr="000A2ED4">
        <w:tc>
          <w:tcPr>
            <w:tcW w:w="5954" w:type="dxa"/>
            <w:tcMar>
              <w:top w:w="28" w:type="dxa"/>
            </w:tcMar>
            <w:vAlign w:val="bottom"/>
          </w:tcPr>
          <w:p w14:paraId="148BD2EB"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Non-current assets</w:t>
            </w:r>
          </w:p>
        </w:tc>
        <w:tc>
          <w:tcPr>
            <w:tcW w:w="1701" w:type="dxa"/>
            <w:tcMar>
              <w:top w:w="28" w:type="dxa"/>
            </w:tcMar>
            <w:vAlign w:val="center"/>
          </w:tcPr>
          <w:p w14:paraId="53274A0D" w14:textId="77777777" w:rsidR="000A2ED4" w:rsidRPr="00E70587" w:rsidRDefault="000A2ED4" w:rsidP="009901E1">
            <w:pPr>
              <w:spacing w:line="280" w:lineRule="exact"/>
              <w:jc w:val="right"/>
              <w:rPr>
                <w:rFonts w:ascii="Arial" w:hAnsi="Arial" w:cs="Arial"/>
                <w:sz w:val="20"/>
              </w:rPr>
            </w:pPr>
            <w:r w:rsidRPr="00E70587">
              <w:rPr>
                <w:rFonts w:ascii="Arial" w:hAnsi="Arial" w:cs="Arial"/>
                <w:sz w:val="20"/>
              </w:rPr>
              <w:t xml:space="preserve"> 5,155 </w:t>
            </w:r>
          </w:p>
        </w:tc>
        <w:tc>
          <w:tcPr>
            <w:tcW w:w="1984" w:type="dxa"/>
            <w:tcMar>
              <w:top w:w="28" w:type="dxa"/>
            </w:tcMar>
            <w:vAlign w:val="center"/>
          </w:tcPr>
          <w:p w14:paraId="2550B5E8" w14:textId="77777777" w:rsidR="000A2ED4" w:rsidRPr="00E70587" w:rsidRDefault="000A2ED4" w:rsidP="009901E1">
            <w:pPr>
              <w:spacing w:line="280" w:lineRule="exact"/>
              <w:jc w:val="right"/>
              <w:rPr>
                <w:rFonts w:ascii="Arial" w:hAnsi="Arial" w:cs="Arial"/>
                <w:sz w:val="20"/>
              </w:rPr>
            </w:pPr>
            <w:r w:rsidRPr="00E70587">
              <w:rPr>
                <w:rFonts w:ascii="Arial" w:hAnsi="Arial" w:cs="Arial"/>
                <w:sz w:val="20"/>
              </w:rPr>
              <w:t xml:space="preserve"> 5,335 </w:t>
            </w:r>
          </w:p>
        </w:tc>
      </w:tr>
      <w:tr w:rsidR="000A2ED4" w:rsidRPr="00E70587" w14:paraId="164AACF8" w14:textId="77777777" w:rsidTr="000A2ED4">
        <w:tc>
          <w:tcPr>
            <w:tcW w:w="5954" w:type="dxa"/>
            <w:vAlign w:val="bottom"/>
          </w:tcPr>
          <w:p w14:paraId="77727538" w14:textId="51A32962"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Current liabilities, including tax payable INR 160 </w:t>
            </w:r>
            <w:r w:rsidR="004F3186">
              <w:rPr>
                <w:rFonts w:ascii="Arial" w:hAnsi="Arial" w:cs="Arial"/>
                <w:sz w:val="20"/>
                <w:lang w:val="en-IN"/>
              </w:rPr>
              <w:t>lacs</w:t>
            </w:r>
            <w:r w:rsidR="004F3186" w:rsidRPr="00E70587">
              <w:rPr>
                <w:rFonts w:ascii="Arial" w:hAnsi="Arial" w:cs="Arial"/>
                <w:sz w:val="20"/>
                <w:lang w:val="en-IN"/>
              </w:rPr>
              <w:t xml:space="preserve"> </w:t>
            </w:r>
            <w:r w:rsidRPr="00E70587">
              <w:rPr>
                <w:rFonts w:ascii="Arial" w:hAnsi="Arial" w:cs="Arial"/>
                <w:sz w:val="20"/>
                <w:lang w:val="en-IN"/>
              </w:rPr>
              <w:t xml:space="preserve">(31 March </w:t>
            </w:r>
            <w:r w:rsidR="00431219" w:rsidRPr="00E70587">
              <w:rPr>
                <w:rFonts w:ascii="Arial" w:hAnsi="Arial" w:cs="Arial"/>
                <w:sz w:val="20"/>
                <w:lang w:val="en-IN"/>
              </w:rPr>
              <w:t>20</w:t>
            </w:r>
            <w:r w:rsidR="00431219">
              <w:rPr>
                <w:rFonts w:ascii="Arial" w:hAnsi="Arial" w:cs="Arial"/>
                <w:sz w:val="20"/>
                <w:lang w:val="en-IN"/>
              </w:rPr>
              <w:t>20</w:t>
            </w:r>
            <w:r w:rsidRPr="00E70587">
              <w:rPr>
                <w:rFonts w:ascii="Arial" w:hAnsi="Arial" w:cs="Arial"/>
                <w:sz w:val="20"/>
                <w:lang w:val="en-IN"/>
              </w:rPr>
              <w:t>: INR 257</w:t>
            </w:r>
            <w:r w:rsidR="004F3186">
              <w:rPr>
                <w:rFonts w:ascii="Arial" w:hAnsi="Arial" w:cs="Arial"/>
                <w:sz w:val="20"/>
                <w:lang w:val="en-IN"/>
              </w:rPr>
              <w:t xml:space="preserve"> lacs</w:t>
            </w:r>
            <w:r w:rsidRPr="00E70587">
              <w:rPr>
                <w:rFonts w:ascii="Arial" w:hAnsi="Arial" w:cs="Arial"/>
                <w:sz w:val="20"/>
                <w:lang w:val="en-IN"/>
              </w:rPr>
              <w:t>)</w:t>
            </w:r>
          </w:p>
        </w:tc>
        <w:tc>
          <w:tcPr>
            <w:tcW w:w="1701" w:type="dxa"/>
            <w:tcMar>
              <w:top w:w="28" w:type="dxa"/>
              <w:right w:w="57" w:type="dxa"/>
            </w:tcMar>
            <w:vAlign w:val="center"/>
          </w:tcPr>
          <w:p w14:paraId="7D07D848" w14:textId="77777777" w:rsidR="000A2ED4" w:rsidRPr="00E70587" w:rsidRDefault="000A2ED4" w:rsidP="009901E1">
            <w:pPr>
              <w:spacing w:line="280" w:lineRule="exact"/>
              <w:jc w:val="right"/>
              <w:rPr>
                <w:rFonts w:ascii="Arial" w:hAnsi="Arial" w:cs="Arial"/>
                <w:sz w:val="20"/>
              </w:rPr>
            </w:pPr>
            <w:r w:rsidRPr="00E70587">
              <w:rPr>
                <w:rFonts w:ascii="Arial" w:hAnsi="Arial" w:cs="Arial"/>
                <w:sz w:val="20"/>
              </w:rPr>
              <w:t xml:space="preserve">(403) </w:t>
            </w:r>
          </w:p>
        </w:tc>
        <w:tc>
          <w:tcPr>
            <w:tcW w:w="1984" w:type="dxa"/>
            <w:tcMar>
              <w:top w:w="28" w:type="dxa"/>
              <w:right w:w="57" w:type="dxa"/>
            </w:tcMar>
            <w:vAlign w:val="center"/>
          </w:tcPr>
          <w:p w14:paraId="31013493" w14:textId="77777777" w:rsidR="000A2ED4" w:rsidRPr="00E70587" w:rsidRDefault="000A2ED4" w:rsidP="009901E1">
            <w:pPr>
              <w:spacing w:line="280" w:lineRule="exact"/>
              <w:jc w:val="right"/>
              <w:rPr>
                <w:rFonts w:ascii="Arial" w:hAnsi="Arial" w:cs="Arial"/>
                <w:sz w:val="20"/>
              </w:rPr>
            </w:pPr>
            <w:r w:rsidRPr="00E70587">
              <w:rPr>
                <w:rFonts w:ascii="Arial" w:hAnsi="Arial" w:cs="Arial"/>
                <w:sz w:val="20"/>
              </w:rPr>
              <w:t xml:space="preserve">(1,984) </w:t>
            </w:r>
          </w:p>
        </w:tc>
      </w:tr>
      <w:tr w:rsidR="000A2ED4" w:rsidRPr="00E70587" w14:paraId="1BEAB4C3" w14:textId="77777777" w:rsidTr="000A2ED4">
        <w:tc>
          <w:tcPr>
            <w:tcW w:w="5954" w:type="dxa"/>
            <w:vAlign w:val="bottom"/>
          </w:tcPr>
          <w:p w14:paraId="49DA5719" w14:textId="2BB71652"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Non-current liabilities, including deferred tax liabilities INR 500</w:t>
            </w:r>
            <w:r w:rsidR="004F3186">
              <w:rPr>
                <w:rFonts w:ascii="Arial" w:hAnsi="Arial" w:cs="Arial"/>
                <w:sz w:val="20"/>
                <w:lang w:val="en-IN"/>
              </w:rPr>
              <w:t xml:space="preserve"> lacs</w:t>
            </w:r>
            <w:r w:rsidRPr="00E70587">
              <w:rPr>
                <w:rFonts w:ascii="Arial" w:hAnsi="Arial" w:cs="Arial"/>
                <w:sz w:val="20"/>
                <w:lang w:val="en-IN"/>
              </w:rPr>
              <w:t xml:space="preserve"> (31 March </w:t>
            </w:r>
            <w:r w:rsidR="00431219" w:rsidRPr="00E70587">
              <w:rPr>
                <w:rFonts w:ascii="Arial" w:hAnsi="Arial" w:cs="Arial"/>
                <w:sz w:val="20"/>
                <w:lang w:val="en-IN"/>
              </w:rPr>
              <w:t>20</w:t>
            </w:r>
            <w:r w:rsidR="00431219">
              <w:rPr>
                <w:rFonts w:ascii="Arial" w:hAnsi="Arial" w:cs="Arial"/>
                <w:sz w:val="20"/>
                <w:lang w:val="en-IN"/>
              </w:rPr>
              <w:t>20</w:t>
            </w:r>
            <w:r w:rsidRPr="00E70587">
              <w:rPr>
                <w:rFonts w:ascii="Arial" w:hAnsi="Arial" w:cs="Arial"/>
                <w:sz w:val="20"/>
                <w:lang w:val="en-IN"/>
              </w:rPr>
              <w:t>: INR 585</w:t>
            </w:r>
            <w:r w:rsidR="004F3186">
              <w:rPr>
                <w:rFonts w:ascii="Arial" w:hAnsi="Arial" w:cs="Arial"/>
                <w:sz w:val="20"/>
                <w:lang w:val="en-IN"/>
              </w:rPr>
              <w:t xml:space="preserve"> lacs</w:t>
            </w:r>
            <w:r w:rsidRPr="00E70587">
              <w:rPr>
                <w:rFonts w:ascii="Arial" w:hAnsi="Arial" w:cs="Arial"/>
                <w:sz w:val="20"/>
                <w:lang w:val="en-IN"/>
              </w:rPr>
              <w:t xml:space="preserve">) and long-term borrowing INR 900 </w:t>
            </w:r>
            <w:r w:rsidR="004F3186">
              <w:rPr>
                <w:rFonts w:ascii="Arial" w:hAnsi="Arial" w:cs="Arial"/>
                <w:sz w:val="20"/>
                <w:lang w:val="en-IN"/>
              </w:rPr>
              <w:t>lacs</w:t>
            </w:r>
            <w:r w:rsidR="004F3186" w:rsidRPr="00E70587">
              <w:rPr>
                <w:rFonts w:ascii="Arial" w:hAnsi="Arial" w:cs="Arial"/>
                <w:sz w:val="20"/>
                <w:lang w:val="en-IN"/>
              </w:rPr>
              <w:t xml:space="preserve"> </w:t>
            </w:r>
            <w:r w:rsidRPr="00E70587">
              <w:rPr>
                <w:rFonts w:ascii="Arial" w:hAnsi="Arial" w:cs="Arial"/>
                <w:sz w:val="20"/>
                <w:lang w:val="en-IN"/>
              </w:rPr>
              <w:t xml:space="preserve">(31 March </w:t>
            </w:r>
            <w:r w:rsidR="00431219" w:rsidRPr="00E70587">
              <w:rPr>
                <w:rFonts w:ascii="Arial" w:hAnsi="Arial" w:cs="Arial"/>
                <w:sz w:val="20"/>
                <w:lang w:val="en-IN"/>
              </w:rPr>
              <w:t>20</w:t>
            </w:r>
            <w:r w:rsidR="00431219">
              <w:rPr>
                <w:rFonts w:ascii="Arial" w:hAnsi="Arial" w:cs="Arial"/>
                <w:sz w:val="20"/>
                <w:lang w:val="en-IN"/>
              </w:rPr>
              <w:t>20</w:t>
            </w:r>
            <w:r w:rsidRPr="00E70587">
              <w:rPr>
                <w:rFonts w:ascii="Arial" w:hAnsi="Arial" w:cs="Arial"/>
                <w:sz w:val="20"/>
                <w:lang w:val="en-IN"/>
              </w:rPr>
              <w:t>: INR 900</w:t>
            </w:r>
            <w:r w:rsidR="004F3186">
              <w:rPr>
                <w:rFonts w:ascii="Arial" w:hAnsi="Arial" w:cs="Arial"/>
                <w:sz w:val="20"/>
                <w:lang w:val="en-IN"/>
              </w:rPr>
              <w:t xml:space="preserve"> lacs</w:t>
            </w:r>
            <w:r w:rsidRPr="00E70587">
              <w:rPr>
                <w:rFonts w:ascii="Arial" w:hAnsi="Arial" w:cs="Arial"/>
                <w:sz w:val="20"/>
                <w:lang w:val="en-IN"/>
              </w:rPr>
              <w:t>)</w:t>
            </w:r>
          </w:p>
        </w:tc>
        <w:tc>
          <w:tcPr>
            <w:tcW w:w="1701" w:type="dxa"/>
            <w:tcBorders>
              <w:bottom w:val="single" w:sz="4" w:space="0" w:color="auto"/>
            </w:tcBorders>
            <w:tcMar>
              <w:top w:w="28" w:type="dxa"/>
              <w:right w:w="57" w:type="dxa"/>
            </w:tcMar>
            <w:vAlign w:val="center"/>
          </w:tcPr>
          <w:p w14:paraId="584C2BFA" w14:textId="77777777" w:rsidR="000A2ED4" w:rsidRPr="00E70587" w:rsidRDefault="000A2ED4" w:rsidP="009901E1">
            <w:pPr>
              <w:spacing w:line="280" w:lineRule="exact"/>
              <w:jc w:val="right"/>
              <w:rPr>
                <w:rFonts w:ascii="Arial" w:hAnsi="Arial" w:cs="Arial"/>
                <w:sz w:val="20"/>
              </w:rPr>
            </w:pPr>
            <w:r w:rsidRPr="00E70587">
              <w:rPr>
                <w:rFonts w:ascii="Arial" w:hAnsi="Arial" w:cs="Arial"/>
                <w:sz w:val="20"/>
              </w:rPr>
              <w:t xml:space="preserve">(1,836) </w:t>
            </w:r>
          </w:p>
        </w:tc>
        <w:tc>
          <w:tcPr>
            <w:tcW w:w="1984" w:type="dxa"/>
            <w:tcBorders>
              <w:bottom w:val="single" w:sz="4" w:space="0" w:color="auto"/>
            </w:tcBorders>
            <w:tcMar>
              <w:top w:w="28" w:type="dxa"/>
              <w:right w:w="57" w:type="dxa"/>
            </w:tcMar>
            <w:vAlign w:val="center"/>
          </w:tcPr>
          <w:p w14:paraId="7D40041D" w14:textId="77777777" w:rsidR="000A2ED4" w:rsidRPr="00E70587" w:rsidRDefault="000A2ED4" w:rsidP="009901E1">
            <w:pPr>
              <w:spacing w:line="280" w:lineRule="exact"/>
              <w:jc w:val="right"/>
              <w:rPr>
                <w:rFonts w:ascii="Arial" w:hAnsi="Arial" w:cs="Arial"/>
                <w:sz w:val="20"/>
              </w:rPr>
            </w:pPr>
            <w:r w:rsidRPr="00E70587">
              <w:rPr>
                <w:rFonts w:ascii="Arial" w:hAnsi="Arial" w:cs="Arial"/>
                <w:sz w:val="20"/>
              </w:rPr>
              <w:t xml:space="preserve">(1,800) </w:t>
            </w:r>
          </w:p>
        </w:tc>
      </w:tr>
      <w:tr w:rsidR="000A2ED4" w:rsidRPr="00E70587" w14:paraId="4BC49A1F" w14:textId="77777777" w:rsidTr="000A2ED4">
        <w:tc>
          <w:tcPr>
            <w:tcW w:w="5954" w:type="dxa"/>
            <w:tcMar>
              <w:top w:w="28" w:type="dxa"/>
            </w:tcMar>
            <w:vAlign w:val="bottom"/>
          </w:tcPr>
          <w:p w14:paraId="162569CB"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Equity</w:t>
            </w:r>
          </w:p>
        </w:tc>
        <w:tc>
          <w:tcPr>
            <w:tcW w:w="1701" w:type="dxa"/>
            <w:tcBorders>
              <w:top w:val="single" w:sz="4" w:space="0" w:color="auto"/>
              <w:bottom w:val="single" w:sz="4" w:space="0" w:color="auto"/>
            </w:tcBorders>
            <w:tcMar>
              <w:top w:w="28" w:type="dxa"/>
            </w:tcMar>
            <w:vAlign w:val="center"/>
          </w:tcPr>
          <w:p w14:paraId="34585921" w14:textId="77777777" w:rsidR="000A2ED4" w:rsidRPr="00E70587" w:rsidRDefault="000A2ED4" w:rsidP="009901E1">
            <w:pPr>
              <w:spacing w:line="280" w:lineRule="exact"/>
              <w:jc w:val="right"/>
              <w:rPr>
                <w:rFonts w:ascii="Arial" w:hAnsi="Arial" w:cs="Arial"/>
                <w:b/>
                <w:bCs/>
                <w:sz w:val="20"/>
              </w:rPr>
            </w:pPr>
            <w:r w:rsidRPr="00E70587">
              <w:rPr>
                <w:rFonts w:ascii="Arial" w:hAnsi="Arial" w:cs="Arial"/>
                <w:b/>
                <w:bCs/>
                <w:sz w:val="20"/>
              </w:rPr>
              <w:t xml:space="preserve"> 8,723 </w:t>
            </w:r>
          </w:p>
        </w:tc>
        <w:tc>
          <w:tcPr>
            <w:tcW w:w="1984" w:type="dxa"/>
            <w:tcBorders>
              <w:top w:val="single" w:sz="4" w:space="0" w:color="auto"/>
              <w:bottom w:val="single" w:sz="4" w:space="0" w:color="auto"/>
            </w:tcBorders>
            <w:tcMar>
              <w:top w:w="28" w:type="dxa"/>
            </w:tcMar>
            <w:vAlign w:val="center"/>
          </w:tcPr>
          <w:p w14:paraId="3C600C4C" w14:textId="77777777" w:rsidR="000A2ED4" w:rsidRPr="00E70587" w:rsidRDefault="000A2ED4" w:rsidP="006D2A68">
            <w:pPr>
              <w:spacing w:line="280" w:lineRule="exact"/>
              <w:jc w:val="right"/>
              <w:rPr>
                <w:rFonts w:ascii="Arial" w:hAnsi="Arial" w:cs="Arial"/>
                <w:b/>
                <w:bCs/>
                <w:sz w:val="20"/>
              </w:rPr>
            </w:pPr>
            <w:r w:rsidRPr="00E70587">
              <w:rPr>
                <w:rFonts w:ascii="Arial" w:hAnsi="Arial" w:cs="Arial"/>
                <w:b/>
                <w:bCs/>
                <w:sz w:val="20"/>
              </w:rPr>
              <w:t xml:space="preserve"> 6,</w:t>
            </w:r>
            <w:r w:rsidR="006D2A68" w:rsidRPr="00E70587">
              <w:rPr>
                <w:rFonts w:ascii="Arial" w:hAnsi="Arial" w:cs="Arial"/>
                <w:b/>
                <w:bCs/>
                <w:sz w:val="20"/>
              </w:rPr>
              <w:t xml:space="preserve">605 </w:t>
            </w:r>
          </w:p>
        </w:tc>
      </w:tr>
      <w:tr w:rsidR="000A2ED4" w:rsidRPr="00E70587" w14:paraId="011A6CE9" w14:textId="77777777" w:rsidTr="000A2ED4">
        <w:tc>
          <w:tcPr>
            <w:tcW w:w="5954" w:type="dxa"/>
            <w:tcMar>
              <w:top w:w="28" w:type="dxa"/>
            </w:tcMar>
            <w:vAlign w:val="bottom"/>
          </w:tcPr>
          <w:p w14:paraId="50598149"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Proportion of the Group’s ownership </w:t>
            </w:r>
          </w:p>
        </w:tc>
        <w:tc>
          <w:tcPr>
            <w:tcW w:w="1701" w:type="dxa"/>
            <w:tcBorders>
              <w:top w:val="single" w:sz="4" w:space="0" w:color="auto"/>
              <w:bottom w:val="double" w:sz="4" w:space="0" w:color="auto"/>
            </w:tcBorders>
            <w:tcMar>
              <w:top w:w="28" w:type="dxa"/>
            </w:tcMar>
            <w:vAlign w:val="center"/>
          </w:tcPr>
          <w:p w14:paraId="14C1A830" w14:textId="77777777" w:rsidR="000A2ED4" w:rsidRPr="00E70587" w:rsidRDefault="000A2ED4" w:rsidP="009901E1">
            <w:pPr>
              <w:spacing w:line="280" w:lineRule="exact"/>
              <w:jc w:val="right"/>
              <w:rPr>
                <w:rFonts w:ascii="Arial" w:hAnsi="Arial" w:cs="Arial"/>
                <w:sz w:val="20"/>
              </w:rPr>
            </w:pPr>
            <w:r w:rsidRPr="00E70587">
              <w:rPr>
                <w:rFonts w:ascii="Arial" w:hAnsi="Arial" w:cs="Arial"/>
                <w:sz w:val="20"/>
              </w:rPr>
              <w:t>50%</w:t>
            </w:r>
          </w:p>
        </w:tc>
        <w:tc>
          <w:tcPr>
            <w:tcW w:w="1984" w:type="dxa"/>
            <w:tcBorders>
              <w:top w:val="single" w:sz="4" w:space="0" w:color="auto"/>
              <w:bottom w:val="double" w:sz="4" w:space="0" w:color="auto"/>
            </w:tcBorders>
            <w:tcMar>
              <w:top w:w="28" w:type="dxa"/>
            </w:tcMar>
            <w:vAlign w:val="center"/>
          </w:tcPr>
          <w:p w14:paraId="645DE4AB" w14:textId="77777777" w:rsidR="000A2ED4" w:rsidRPr="00E70587" w:rsidRDefault="000A2ED4" w:rsidP="009901E1">
            <w:pPr>
              <w:spacing w:line="280" w:lineRule="exact"/>
              <w:jc w:val="right"/>
              <w:rPr>
                <w:rFonts w:ascii="Arial" w:hAnsi="Arial" w:cs="Arial"/>
                <w:sz w:val="20"/>
              </w:rPr>
            </w:pPr>
            <w:r w:rsidRPr="00E70587">
              <w:rPr>
                <w:rFonts w:ascii="Arial" w:hAnsi="Arial" w:cs="Arial"/>
                <w:sz w:val="20"/>
              </w:rPr>
              <w:t>50%</w:t>
            </w:r>
          </w:p>
        </w:tc>
      </w:tr>
      <w:tr w:rsidR="000A2ED4" w:rsidRPr="00E70587" w14:paraId="19220E17" w14:textId="77777777" w:rsidTr="000A2ED4">
        <w:tc>
          <w:tcPr>
            <w:tcW w:w="5954" w:type="dxa"/>
            <w:tcMar>
              <w:top w:w="28" w:type="dxa"/>
            </w:tcMar>
            <w:vAlign w:val="bottom"/>
          </w:tcPr>
          <w:p w14:paraId="6DD0D2A0"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lastRenderedPageBreak/>
              <w:t>Carrying amount of the investment</w:t>
            </w:r>
          </w:p>
        </w:tc>
        <w:tc>
          <w:tcPr>
            <w:tcW w:w="1701" w:type="dxa"/>
            <w:tcBorders>
              <w:top w:val="double" w:sz="4" w:space="0" w:color="auto"/>
              <w:bottom w:val="double" w:sz="4" w:space="0" w:color="auto"/>
            </w:tcBorders>
            <w:tcMar>
              <w:top w:w="28" w:type="dxa"/>
            </w:tcMar>
            <w:vAlign w:val="center"/>
          </w:tcPr>
          <w:p w14:paraId="7F2D35DD" w14:textId="77777777" w:rsidR="000A2ED4" w:rsidRPr="00E70587" w:rsidRDefault="000A2ED4" w:rsidP="006D2A68">
            <w:pPr>
              <w:spacing w:line="280" w:lineRule="exact"/>
              <w:jc w:val="right"/>
              <w:rPr>
                <w:rFonts w:ascii="Arial" w:hAnsi="Arial" w:cs="Arial"/>
                <w:b/>
                <w:bCs/>
                <w:sz w:val="20"/>
              </w:rPr>
            </w:pPr>
            <w:r w:rsidRPr="00E70587">
              <w:rPr>
                <w:rFonts w:ascii="Arial" w:hAnsi="Arial" w:cs="Arial"/>
                <w:b/>
                <w:bCs/>
                <w:sz w:val="20"/>
              </w:rPr>
              <w:t xml:space="preserve"> 4,</w:t>
            </w:r>
            <w:r w:rsidR="006D2A68" w:rsidRPr="00E70587">
              <w:rPr>
                <w:rFonts w:ascii="Arial" w:hAnsi="Arial" w:cs="Arial"/>
                <w:b/>
                <w:bCs/>
                <w:sz w:val="20"/>
              </w:rPr>
              <w:t xml:space="preserve">362 </w:t>
            </w:r>
          </w:p>
        </w:tc>
        <w:tc>
          <w:tcPr>
            <w:tcW w:w="1984" w:type="dxa"/>
            <w:tcBorders>
              <w:top w:val="double" w:sz="4" w:space="0" w:color="auto"/>
              <w:bottom w:val="double" w:sz="4" w:space="0" w:color="auto"/>
            </w:tcBorders>
            <w:tcMar>
              <w:top w:w="28" w:type="dxa"/>
            </w:tcMar>
            <w:vAlign w:val="center"/>
          </w:tcPr>
          <w:p w14:paraId="047860B1" w14:textId="77777777" w:rsidR="000A2ED4" w:rsidRPr="00E70587" w:rsidRDefault="000A2ED4" w:rsidP="009901E1">
            <w:pPr>
              <w:spacing w:line="280" w:lineRule="exact"/>
              <w:jc w:val="right"/>
              <w:rPr>
                <w:rFonts w:ascii="Arial" w:hAnsi="Arial" w:cs="Arial"/>
                <w:b/>
                <w:bCs/>
                <w:sz w:val="20"/>
              </w:rPr>
            </w:pPr>
            <w:r w:rsidRPr="00E70587">
              <w:rPr>
                <w:rFonts w:ascii="Arial" w:hAnsi="Arial" w:cs="Arial"/>
                <w:b/>
                <w:bCs/>
                <w:sz w:val="20"/>
              </w:rPr>
              <w:t xml:space="preserve"> 3,303 </w:t>
            </w:r>
          </w:p>
        </w:tc>
      </w:tr>
    </w:tbl>
    <w:p w14:paraId="4A834D24" w14:textId="77777777" w:rsidR="00811B92" w:rsidRPr="00E70587" w:rsidRDefault="00811B92" w:rsidP="009901E1">
      <w:pPr>
        <w:pStyle w:val="Notesbodytext"/>
        <w:spacing w:after="0" w:line="280" w:lineRule="exact"/>
        <w:rPr>
          <w:rFonts w:ascii="Arial" w:hAnsi="Arial"/>
          <w:color w:val="auto"/>
          <w:sz w:val="20"/>
        </w:rPr>
      </w:pPr>
    </w:p>
    <w:p w14:paraId="2A332E2E" w14:textId="77777777" w:rsidR="00FA7688" w:rsidRPr="00E70587" w:rsidRDefault="00FA7688" w:rsidP="00B43785">
      <w:pPr>
        <w:pStyle w:val="Notesbodytext"/>
        <w:spacing w:after="0" w:line="280" w:lineRule="exact"/>
        <w:jc w:val="both"/>
        <w:rPr>
          <w:rFonts w:ascii="Arial" w:hAnsi="Arial"/>
          <w:b/>
          <w:color w:val="auto"/>
          <w:sz w:val="20"/>
        </w:rPr>
      </w:pPr>
      <w:r w:rsidRPr="00E70587">
        <w:rPr>
          <w:rFonts w:ascii="Arial" w:hAnsi="Arial"/>
          <w:b/>
          <w:color w:val="auto"/>
          <w:sz w:val="20"/>
        </w:rPr>
        <w:t>Summarised statement of profit and loss of the S Limited:</w:t>
      </w:r>
    </w:p>
    <w:tbl>
      <w:tblPr>
        <w:tblW w:w="9576" w:type="dxa"/>
        <w:tblLayout w:type="fixed"/>
        <w:tblLook w:val="01E0" w:firstRow="1" w:lastRow="1" w:firstColumn="1" w:lastColumn="1" w:noHBand="0" w:noVBand="0"/>
      </w:tblPr>
      <w:tblGrid>
        <w:gridCol w:w="5962"/>
        <w:gridCol w:w="1807"/>
        <w:gridCol w:w="1807"/>
      </w:tblGrid>
      <w:tr w:rsidR="00A17C17" w:rsidRPr="00E70587" w14:paraId="4CD72495" w14:textId="77777777" w:rsidTr="009A5E2F">
        <w:trPr>
          <w:tblHeader/>
        </w:trPr>
        <w:tc>
          <w:tcPr>
            <w:tcW w:w="5940" w:type="dxa"/>
            <w:tcMar>
              <w:top w:w="28" w:type="dxa"/>
            </w:tcMar>
            <w:vAlign w:val="bottom"/>
          </w:tcPr>
          <w:p w14:paraId="087F54DC"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800" w:type="dxa"/>
            <w:tcBorders>
              <w:bottom w:val="single" w:sz="4" w:space="0" w:color="auto"/>
            </w:tcBorders>
            <w:tcMar>
              <w:top w:w="28" w:type="dxa"/>
            </w:tcMar>
            <w:vAlign w:val="bottom"/>
          </w:tcPr>
          <w:p w14:paraId="17E72D9A" w14:textId="29E0186A"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D54A1A" w:rsidRPr="00E70587">
              <w:rPr>
                <w:rFonts w:ascii="Arial" w:hAnsi="Arial"/>
                <w:color w:val="auto"/>
                <w:sz w:val="20"/>
                <w:szCs w:val="20"/>
                <w:lang w:val="en-IN"/>
              </w:rPr>
              <w:t>20</w:t>
            </w:r>
            <w:r w:rsidR="00D54A1A">
              <w:rPr>
                <w:rFonts w:ascii="Arial" w:hAnsi="Arial"/>
                <w:color w:val="auto"/>
                <w:sz w:val="20"/>
                <w:szCs w:val="20"/>
                <w:lang w:val="en-IN"/>
              </w:rPr>
              <w:t>21</w:t>
            </w:r>
          </w:p>
        </w:tc>
        <w:tc>
          <w:tcPr>
            <w:tcW w:w="1800" w:type="dxa"/>
            <w:tcBorders>
              <w:bottom w:val="single" w:sz="4" w:space="0" w:color="auto"/>
            </w:tcBorders>
            <w:tcMar>
              <w:top w:w="28" w:type="dxa"/>
            </w:tcMar>
            <w:vAlign w:val="bottom"/>
          </w:tcPr>
          <w:p w14:paraId="1ACD30D5" w14:textId="15155F12"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D54A1A" w:rsidRPr="00E70587">
              <w:rPr>
                <w:rFonts w:ascii="Arial" w:hAnsi="Arial"/>
                <w:color w:val="auto"/>
                <w:sz w:val="20"/>
                <w:szCs w:val="20"/>
                <w:lang w:val="en-IN"/>
              </w:rPr>
              <w:t>20</w:t>
            </w:r>
            <w:r w:rsidR="00D54A1A">
              <w:rPr>
                <w:rFonts w:ascii="Arial" w:hAnsi="Arial"/>
                <w:color w:val="auto"/>
                <w:sz w:val="20"/>
                <w:szCs w:val="20"/>
                <w:lang w:val="en-IN"/>
              </w:rPr>
              <w:t>20</w:t>
            </w:r>
          </w:p>
        </w:tc>
      </w:tr>
      <w:tr w:rsidR="00A17C17" w:rsidRPr="00E70587" w14:paraId="35F8655F" w14:textId="77777777" w:rsidTr="009A5E2F">
        <w:trPr>
          <w:tblHeader/>
        </w:trPr>
        <w:tc>
          <w:tcPr>
            <w:tcW w:w="5940" w:type="dxa"/>
            <w:tcMar>
              <w:top w:w="28" w:type="dxa"/>
            </w:tcMar>
            <w:vAlign w:val="bottom"/>
          </w:tcPr>
          <w:p w14:paraId="74A353B9"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800" w:type="dxa"/>
            <w:tcMar>
              <w:top w:w="28" w:type="dxa"/>
            </w:tcMar>
          </w:tcPr>
          <w:p w14:paraId="38CFDA1E"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00" w:type="dxa"/>
            <w:tcMar>
              <w:top w:w="28" w:type="dxa"/>
            </w:tcMar>
          </w:tcPr>
          <w:p w14:paraId="18EF78C2"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4699786E" w14:textId="77777777" w:rsidTr="009A5E2F">
        <w:tc>
          <w:tcPr>
            <w:tcW w:w="5940" w:type="dxa"/>
            <w:tcMar>
              <w:top w:w="28" w:type="dxa"/>
            </w:tcMar>
            <w:vAlign w:val="center"/>
          </w:tcPr>
          <w:p w14:paraId="1555BE83"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Revenue</w:t>
            </w:r>
          </w:p>
        </w:tc>
        <w:tc>
          <w:tcPr>
            <w:tcW w:w="1800" w:type="dxa"/>
            <w:tcMar>
              <w:top w:w="28" w:type="dxa"/>
            </w:tcMar>
            <w:vAlign w:val="center"/>
          </w:tcPr>
          <w:p w14:paraId="157A68A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1,08,169 </w:t>
            </w:r>
          </w:p>
        </w:tc>
        <w:tc>
          <w:tcPr>
            <w:tcW w:w="1800" w:type="dxa"/>
            <w:tcMar>
              <w:top w:w="28" w:type="dxa"/>
            </w:tcMar>
            <w:vAlign w:val="center"/>
          </w:tcPr>
          <w:p w14:paraId="140CB57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1,05,977 </w:t>
            </w:r>
          </w:p>
        </w:tc>
      </w:tr>
      <w:tr w:rsidR="00A17C17" w:rsidRPr="00E70587" w14:paraId="104498DE" w14:textId="77777777" w:rsidTr="009A5E2F">
        <w:tc>
          <w:tcPr>
            <w:tcW w:w="5940" w:type="dxa"/>
            <w:vAlign w:val="bottom"/>
          </w:tcPr>
          <w:p w14:paraId="08ADFFA3"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Cost of raw material and components consumed</w:t>
            </w:r>
          </w:p>
        </w:tc>
        <w:tc>
          <w:tcPr>
            <w:tcW w:w="1800" w:type="dxa"/>
            <w:tcMar>
              <w:top w:w="28" w:type="dxa"/>
              <w:right w:w="57" w:type="dxa"/>
            </w:tcMar>
            <w:vAlign w:val="center"/>
          </w:tcPr>
          <w:p w14:paraId="1634C45E"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(98,078) </w:t>
            </w:r>
          </w:p>
        </w:tc>
        <w:tc>
          <w:tcPr>
            <w:tcW w:w="1800" w:type="dxa"/>
            <w:tcMar>
              <w:right w:w="57" w:type="dxa"/>
            </w:tcMar>
            <w:vAlign w:val="center"/>
          </w:tcPr>
          <w:p w14:paraId="015E0DD0"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(96,156) </w:t>
            </w:r>
          </w:p>
        </w:tc>
      </w:tr>
      <w:tr w:rsidR="00A17C17" w:rsidRPr="00E70587" w14:paraId="5FE23423" w14:textId="77777777" w:rsidTr="009A5E2F">
        <w:tc>
          <w:tcPr>
            <w:tcW w:w="5940" w:type="dxa"/>
            <w:vAlign w:val="center"/>
          </w:tcPr>
          <w:p w14:paraId="32A927E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Depreciation &amp; amortization</w:t>
            </w:r>
          </w:p>
        </w:tc>
        <w:tc>
          <w:tcPr>
            <w:tcW w:w="1800" w:type="dxa"/>
            <w:tcMar>
              <w:top w:w="28" w:type="dxa"/>
              <w:right w:w="57" w:type="dxa"/>
            </w:tcMar>
            <w:vAlign w:val="center"/>
          </w:tcPr>
          <w:p w14:paraId="1E6BE707"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(2,225) </w:t>
            </w:r>
          </w:p>
        </w:tc>
        <w:tc>
          <w:tcPr>
            <w:tcW w:w="1800" w:type="dxa"/>
            <w:tcMar>
              <w:right w:w="57" w:type="dxa"/>
            </w:tcMar>
            <w:vAlign w:val="center"/>
          </w:tcPr>
          <w:p w14:paraId="2C8AB22D"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(2,223) </w:t>
            </w:r>
          </w:p>
        </w:tc>
      </w:tr>
      <w:tr w:rsidR="00A17C17" w:rsidRPr="00E70587" w14:paraId="2B031F25" w14:textId="77777777" w:rsidTr="009A5E2F">
        <w:tc>
          <w:tcPr>
            <w:tcW w:w="5940" w:type="dxa"/>
            <w:tcMar>
              <w:top w:w="28" w:type="dxa"/>
            </w:tcMar>
            <w:vAlign w:val="center"/>
          </w:tcPr>
          <w:p w14:paraId="03F7055D"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Finance cost</w:t>
            </w:r>
          </w:p>
        </w:tc>
        <w:tc>
          <w:tcPr>
            <w:tcW w:w="1800" w:type="dxa"/>
            <w:tcMar>
              <w:top w:w="28" w:type="dxa"/>
            </w:tcMar>
            <w:vAlign w:val="center"/>
          </w:tcPr>
          <w:p w14:paraId="3695661A"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(367) </w:t>
            </w:r>
          </w:p>
        </w:tc>
        <w:tc>
          <w:tcPr>
            <w:tcW w:w="1800" w:type="dxa"/>
            <w:tcMar>
              <w:top w:w="28" w:type="dxa"/>
            </w:tcMar>
            <w:vAlign w:val="center"/>
          </w:tcPr>
          <w:p w14:paraId="1C7AB875"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(360) </w:t>
            </w:r>
          </w:p>
        </w:tc>
      </w:tr>
      <w:tr w:rsidR="00A17C17" w:rsidRPr="00E70587" w14:paraId="5B5EF598" w14:textId="77777777" w:rsidTr="009A5E2F">
        <w:tc>
          <w:tcPr>
            <w:tcW w:w="5940" w:type="dxa"/>
            <w:tcMar>
              <w:top w:w="28" w:type="dxa"/>
            </w:tcMar>
            <w:vAlign w:val="center"/>
          </w:tcPr>
          <w:p w14:paraId="31CEA296"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Employee benefit</w:t>
            </w:r>
          </w:p>
        </w:tc>
        <w:tc>
          <w:tcPr>
            <w:tcW w:w="1800" w:type="dxa"/>
            <w:tcMar>
              <w:top w:w="28" w:type="dxa"/>
            </w:tcMar>
            <w:vAlign w:val="center"/>
          </w:tcPr>
          <w:p w14:paraId="5F402DA8"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(729) </w:t>
            </w:r>
          </w:p>
        </w:tc>
        <w:tc>
          <w:tcPr>
            <w:tcW w:w="1800" w:type="dxa"/>
            <w:tcMar>
              <w:top w:w="28" w:type="dxa"/>
            </w:tcMar>
            <w:vAlign w:val="center"/>
          </w:tcPr>
          <w:p w14:paraId="3C2465B7"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(702) </w:t>
            </w:r>
          </w:p>
        </w:tc>
      </w:tr>
      <w:tr w:rsidR="00A17C17" w:rsidRPr="00E70587" w14:paraId="192ADD29" w14:textId="77777777" w:rsidTr="009A5E2F">
        <w:tc>
          <w:tcPr>
            <w:tcW w:w="5940" w:type="dxa"/>
            <w:tcMar>
              <w:top w:w="28" w:type="dxa"/>
            </w:tcMar>
            <w:vAlign w:val="center"/>
          </w:tcPr>
          <w:p w14:paraId="6500B96F"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Other expense</w:t>
            </w:r>
          </w:p>
        </w:tc>
        <w:tc>
          <w:tcPr>
            <w:tcW w:w="1800" w:type="dxa"/>
            <w:tcBorders>
              <w:bottom w:val="single" w:sz="4" w:space="0" w:color="auto"/>
            </w:tcBorders>
            <w:tcMar>
              <w:top w:w="28" w:type="dxa"/>
            </w:tcMar>
            <w:vAlign w:val="center"/>
          </w:tcPr>
          <w:p w14:paraId="67D6C2C5"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(1,795) </w:t>
            </w:r>
          </w:p>
        </w:tc>
        <w:tc>
          <w:tcPr>
            <w:tcW w:w="1800" w:type="dxa"/>
            <w:tcBorders>
              <w:bottom w:val="single" w:sz="4" w:space="0" w:color="auto"/>
            </w:tcBorders>
            <w:tcMar>
              <w:top w:w="28" w:type="dxa"/>
            </w:tcMar>
            <w:vAlign w:val="center"/>
          </w:tcPr>
          <w:p w14:paraId="34FAEB8A"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(1,730) </w:t>
            </w:r>
          </w:p>
        </w:tc>
      </w:tr>
      <w:tr w:rsidR="00A17C17" w:rsidRPr="00E70587" w14:paraId="3E9AD9A5" w14:textId="77777777" w:rsidTr="009A5E2F">
        <w:tc>
          <w:tcPr>
            <w:tcW w:w="5940" w:type="dxa"/>
            <w:tcMar>
              <w:top w:w="28" w:type="dxa"/>
            </w:tcMar>
            <w:vAlign w:val="bottom"/>
          </w:tcPr>
          <w:p w14:paraId="1C732113"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Profit before tax</w:t>
            </w:r>
          </w:p>
        </w:tc>
        <w:tc>
          <w:tcPr>
            <w:tcW w:w="1800" w:type="dxa"/>
            <w:tcBorders>
              <w:top w:val="single" w:sz="4" w:space="0" w:color="auto"/>
            </w:tcBorders>
            <w:tcMar>
              <w:top w:w="28" w:type="dxa"/>
            </w:tcMar>
            <w:vAlign w:val="center"/>
          </w:tcPr>
          <w:p w14:paraId="07C88BB4"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4,975 </w:t>
            </w:r>
          </w:p>
        </w:tc>
        <w:tc>
          <w:tcPr>
            <w:tcW w:w="1800" w:type="dxa"/>
            <w:tcBorders>
              <w:top w:val="single" w:sz="4" w:space="0" w:color="auto"/>
            </w:tcBorders>
            <w:tcMar>
              <w:top w:w="28" w:type="dxa"/>
            </w:tcMar>
            <w:vAlign w:val="center"/>
          </w:tcPr>
          <w:p w14:paraId="33A43BE7"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4,806 </w:t>
            </w:r>
          </w:p>
        </w:tc>
      </w:tr>
      <w:tr w:rsidR="00A17C17" w:rsidRPr="00E70587" w14:paraId="70EF8794" w14:textId="77777777" w:rsidTr="009A5E2F">
        <w:tc>
          <w:tcPr>
            <w:tcW w:w="5940" w:type="dxa"/>
            <w:vAlign w:val="bottom"/>
          </w:tcPr>
          <w:p w14:paraId="559C68C8"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Income tax expense</w:t>
            </w:r>
          </w:p>
        </w:tc>
        <w:tc>
          <w:tcPr>
            <w:tcW w:w="1800" w:type="dxa"/>
            <w:tcBorders>
              <w:bottom w:val="single" w:sz="4" w:space="0" w:color="auto"/>
            </w:tcBorders>
            <w:tcMar>
              <w:top w:w="28" w:type="dxa"/>
              <w:right w:w="57" w:type="dxa"/>
            </w:tcMar>
            <w:vAlign w:val="center"/>
          </w:tcPr>
          <w:p w14:paraId="6C6C9253"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(2,858) </w:t>
            </w:r>
          </w:p>
        </w:tc>
        <w:tc>
          <w:tcPr>
            <w:tcW w:w="1800" w:type="dxa"/>
            <w:tcBorders>
              <w:bottom w:val="single" w:sz="4" w:space="0" w:color="auto"/>
            </w:tcBorders>
            <w:tcMar>
              <w:right w:w="57" w:type="dxa"/>
            </w:tcMar>
            <w:vAlign w:val="center"/>
          </w:tcPr>
          <w:p w14:paraId="1C3679E8"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(2,801) </w:t>
            </w:r>
          </w:p>
        </w:tc>
      </w:tr>
      <w:tr w:rsidR="00A17C17" w:rsidRPr="00E70587" w14:paraId="16BB552F" w14:textId="77777777" w:rsidTr="009A5E2F">
        <w:tc>
          <w:tcPr>
            <w:tcW w:w="5940" w:type="dxa"/>
            <w:tcMar>
              <w:top w:w="28" w:type="dxa"/>
            </w:tcMar>
            <w:vAlign w:val="center"/>
          </w:tcPr>
          <w:p w14:paraId="303131DA"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Profit for the year (continuing operations)</w:t>
            </w:r>
          </w:p>
        </w:tc>
        <w:tc>
          <w:tcPr>
            <w:tcW w:w="1800" w:type="dxa"/>
            <w:tcBorders>
              <w:top w:val="single" w:sz="4" w:space="0" w:color="auto"/>
              <w:bottom w:val="single" w:sz="4" w:space="0" w:color="auto"/>
            </w:tcBorders>
            <w:tcMar>
              <w:top w:w="28" w:type="dxa"/>
            </w:tcMar>
            <w:vAlign w:val="center"/>
          </w:tcPr>
          <w:p w14:paraId="6A52400D"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2,117 </w:t>
            </w:r>
          </w:p>
        </w:tc>
        <w:tc>
          <w:tcPr>
            <w:tcW w:w="1800" w:type="dxa"/>
            <w:tcBorders>
              <w:top w:val="single" w:sz="4" w:space="0" w:color="auto"/>
              <w:bottom w:val="single" w:sz="4" w:space="0" w:color="auto"/>
            </w:tcBorders>
            <w:tcMar>
              <w:top w:w="28" w:type="dxa"/>
            </w:tcMar>
            <w:vAlign w:val="center"/>
          </w:tcPr>
          <w:p w14:paraId="707013FA"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2,005 </w:t>
            </w:r>
          </w:p>
        </w:tc>
      </w:tr>
      <w:tr w:rsidR="00A17C17" w:rsidRPr="00E70587" w14:paraId="5B098655" w14:textId="77777777" w:rsidTr="009A5E2F">
        <w:tc>
          <w:tcPr>
            <w:tcW w:w="5940" w:type="dxa"/>
            <w:tcMar>
              <w:top w:w="28" w:type="dxa"/>
            </w:tcMar>
            <w:vAlign w:val="center"/>
          </w:tcPr>
          <w:p w14:paraId="2BBFAD30"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comprehensive income for the year (continuing operations)</w:t>
            </w:r>
          </w:p>
        </w:tc>
        <w:tc>
          <w:tcPr>
            <w:tcW w:w="1800" w:type="dxa"/>
            <w:tcBorders>
              <w:top w:val="single" w:sz="4" w:space="0" w:color="auto"/>
              <w:bottom w:val="single" w:sz="4" w:space="0" w:color="auto"/>
            </w:tcBorders>
            <w:tcMar>
              <w:top w:w="28" w:type="dxa"/>
            </w:tcMar>
            <w:vAlign w:val="center"/>
          </w:tcPr>
          <w:p w14:paraId="7363DE5B"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2,117 </w:t>
            </w:r>
          </w:p>
        </w:tc>
        <w:tc>
          <w:tcPr>
            <w:tcW w:w="1800" w:type="dxa"/>
            <w:tcBorders>
              <w:top w:val="single" w:sz="4" w:space="0" w:color="auto"/>
              <w:bottom w:val="single" w:sz="4" w:space="0" w:color="auto"/>
            </w:tcBorders>
            <w:tcMar>
              <w:top w:w="28" w:type="dxa"/>
            </w:tcMar>
            <w:vAlign w:val="center"/>
          </w:tcPr>
          <w:p w14:paraId="595633AE"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2,005 </w:t>
            </w:r>
          </w:p>
        </w:tc>
      </w:tr>
      <w:tr w:rsidR="00A17C17" w:rsidRPr="00E70587" w14:paraId="522A8E58" w14:textId="77777777" w:rsidTr="009A5E2F">
        <w:tc>
          <w:tcPr>
            <w:tcW w:w="5940" w:type="dxa"/>
            <w:tcMar>
              <w:top w:w="28" w:type="dxa"/>
            </w:tcMar>
            <w:vAlign w:val="center"/>
          </w:tcPr>
          <w:p w14:paraId="177348D7"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Group’s share of profit for the year</w:t>
            </w:r>
          </w:p>
        </w:tc>
        <w:tc>
          <w:tcPr>
            <w:tcW w:w="1800" w:type="dxa"/>
            <w:tcBorders>
              <w:top w:val="single" w:sz="4" w:space="0" w:color="auto"/>
              <w:bottom w:val="double" w:sz="4" w:space="0" w:color="auto"/>
            </w:tcBorders>
            <w:tcMar>
              <w:top w:w="28" w:type="dxa"/>
            </w:tcMar>
            <w:vAlign w:val="center"/>
          </w:tcPr>
          <w:p w14:paraId="3CBE3167" w14:textId="6B300FD3" w:rsidR="00A17C17" w:rsidRPr="00E70587" w:rsidRDefault="00A17C17" w:rsidP="00EE7E97">
            <w:pPr>
              <w:spacing w:line="280" w:lineRule="exact"/>
              <w:jc w:val="right"/>
              <w:rPr>
                <w:rFonts w:ascii="Arial" w:hAnsi="Arial" w:cs="Arial"/>
                <w:b/>
                <w:bCs/>
                <w:sz w:val="20"/>
              </w:rPr>
            </w:pPr>
            <w:r w:rsidRPr="00E70587">
              <w:rPr>
                <w:rFonts w:ascii="Arial" w:hAnsi="Arial" w:cs="Arial"/>
                <w:b/>
                <w:bCs/>
                <w:sz w:val="20"/>
              </w:rPr>
              <w:t>1,</w:t>
            </w:r>
            <w:r w:rsidR="00902B04" w:rsidRPr="00E70587">
              <w:rPr>
                <w:rFonts w:ascii="Arial" w:hAnsi="Arial" w:cs="Arial"/>
                <w:b/>
                <w:bCs/>
                <w:sz w:val="20"/>
              </w:rPr>
              <w:t>05</w:t>
            </w:r>
            <w:r w:rsidR="00902B04">
              <w:rPr>
                <w:rFonts w:ascii="Arial" w:hAnsi="Arial" w:cs="Arial"/>
                <w:b/>
                <w:bCs/>
                <w:sz w:val="20"/>
              </w:rPr>
              <w:t>8</w:t>
            </w:r>
            <w:r w:rsidR="00902B04" w:rsidRPr="00E70587">
              <w:rPr>
                <w:rFonts w:ascii="Arial" w:hAnsi="Arial" w:cs="Arial"/>
                <w:b/>
                <w:bCs/>
                <w:sz w:val="20"/>
              </w:rPr>
              <w:t xml:space="preserve"> </w:t>
            </w:r>
          </w:p>
        </w:tc>
        <w:tc>
          <w:tcPr>
            <w:tcW w:w="1800" w:type="dxa"/>
            <w:tcBorders>
              <w:top w:val="single" w:sz="4" w:space="0" w:color="auto"/>
              <w:bottom w:val="double" w:sz="4" w:space="0" w:color="auto"/>
            </w:tcBorders>
            <w:tcMar>
              <w:top w:w="28" w:type="dxa"/>
            </w:tcMar>
            <w:vAlign w:val="center"/>
          </w:tcPr>
          <w:p w14:paraId="677A1954" w14:textId="2DDC0D83" w:rsidR="00A17C17" w:rsidRPr="00E70587" w:rsidRDefault="00A17C17" w:rsidP="00EE7E97">
            <w:pPr>
              <w:spacing w:line="280" w:lineRule="exact"/>
              <w:jc w:val="right"/>
              <w:rPr>
                <w:rFonts w:ascii="Arial" w:hAnsi="Arial" w:cs="Arial"/>
                <w:b/>
                <w:bCs/>
                <w:sz w:val="20"/>
              </w:rPr>
            </w:pPr>
            <w:r w:rsidRPr="00E70587">
              <w:rPr>
                <w:rFonts w:ascii="Arial" w:hAnsi="Arial" w:cs="Arial"/>
                <w:b/>
                <w:bCs/>
                <w:sz w:val="20"/>
              </w:rPr>
              <w:t>1,</w:t>
            </w:r>
            <w:r w:rsidR="00902B04" w:rsidRPr="00E70587">
              <w:rPr>
                <w:rFonts w:ascii="Arial" w:hAnsi="Arial" w:cs="Arial"/>
                <w:b/>
                <w:bCs/>
                <w:sz w:val="20"/>
              </w:rPr>
              <w:t>00</w:t>
            </w:r>
            <w:r w:rsidR="00902B04">
              <w:rPr>
                <w:rFonts w:ascii="Arial" w:hAnsi="Arial" w:cs="Arial"/>
                <w:b/>
                <w:bCs/>
                <w:sz w:val="20"/>
              </w:rPr>
              <w:t>3</w:t>
            </w:r>
            <w:r w:rsidR="00902B04" w:rsidRPr="00E70587">
              <w:rPr>
                <w:rFonts w:ascii="Arial" w:hAnsi="Arial" w:cs="Arial"/>
                <w:b/>
                <w:bCs/>
                <w:sz w:val="20"/>
              </w:rPr>
              <w:t xml:space="preserve"> </w:t>
            </w:r>
          </w:p>
        </w:tc>
      </w:tr>
    </w:tbl>
    <w:p w14:paraId="45A3B636" w14:textId="77777777" w:rsidR="005A1050" w:rsidRPr="00E70587" w:rsidRDefault="005A1050" w:rsidP="009901E1">
      <w:pPr>
        <w:pStyle w:val="Notesbodytext"/>
        <w:spacing w:after="0" w:line="280" w:lineRule="exact"/>
        <w:rPr>
          <w:rFonts w:ascii="Arial" w:hAnsi="Arial"/>
          <w:color w:val="auto"/>
          <w:sz w:val="20"/>
        </w:rPr>
      </w:pPr>
    </w:p>
    <w:tbl>
      <w:tblPr>
        <w:tblW w:w="9576" w:type="dxa"/>
        <w:tblLook w:val="0000" w:firstRow="0" w:lastRow="0" w:firstColumn="0" w:lastColumn="0" w:noHBand="0" w:noVBand="0"/>
      </w:tblPr>
      <w:tblGrid>
        <w:gridCol w:w="9576"/>
      </w:tblGrid>
      <w:tr w:rsidR="005A1050" w:rsidRPr="00E70587" w14:paraId="62F786B5" w14:textId="77777777" w:rsidTr="009A5E2F">
        <w:tc>
          <w:tcPr>
            <w:tcW w:w="0" w:type="auto"/>
          </w:tcPr>
          <w:p w14:paraId="766051F2" w14:textId="4C87DF6B" w:rsidR="005A1050" w:rsidRDefault="003E6779" w:rsidP="00FE707C">
            <w:pPr>
              <w:pStyle w:val="IAStext"/>
              <w:spacing w:line="280" w:lineRule="exact"/>
              <w:ind w:left="63"/>
              <w:jc w:val="both"/>
              <w:rPr>
                <w:rFonts w:ascii="Arial" w:hAnsi="Arial" w:cs="Arial"/>
                <w:i w:val="0"/>
                <w:sz w:val="20"/>
                <w:lang w:val="en-IN"/>
              </w:rPr>
            </w:pPr>
            <w:r w:rsidRPr="00E70587">
              <w:rPr>
                <w:rFonts w:ascii="Arial" w:hAnsi="Arial" w:cs="Arial"/>
                <w:i w:val="0"/>
                <w:sz w:val="20"/>
                <w:lang w:val="en-IN"/>
              </w:rPr>
              <w:t xml:space="preserve">The group had no contingent liabilities or capital commitments relating to its interest in S Limited as at 31 </w:t>
            </w:r>
            <w:r w:rsidR="00E1202D" w:rsidRPr="00E70587">
              <w:rPr>
                <w:rFonts w:ascii="Arial" w:hAnsi="Arial" w:cs="Arial"/>
                <w:i w:val="0"/>
                <w:sz w:val="20"/>
                <w:lang w:val="en-IN"/>
              </w:rPr>
              <w:t xml:space="preserve">March </w:t>
            </w:r>
            <w:r w:rsidR="00D54A1A" w:rsidRPr="00E70587">
              <w:rPr>
                <w:rFonts w:ascii="Arial" w:hAnsi="Arial" w:cs="Arial"/>
                <w:i w:val="0"/>
                <w:sz w:val="20"/>
                <w:lang w:val="en-IN"/>
              </w:rPr>
              <w:t>20</w:t>
            </w:r>
            <w:r w:rsidR="00D54A1A">
              <w:rPr>
                <w:rFonts w:ascii="Arial" w:hAnsi="Arial" w:cs="Arial"/>
                <w:i w:val="0"/>
                <w:sz w:val="20"/>
                <w:lang w:val="en-IN"/>
              </w:rPr>
              <w:t>21</w:t>
            </w:r>
            <w:r w:rsidR="00D54A1A" w:rsidRPr="00E70587">
              <w:rPr>
                <w:rFonts w:ascii="Arial" w:hAnsi="Arial" w:cs="Arial"/>
                <w:i w:val="0"/>
                <w:sz w:val="20"/>
                <w:lang w:val="en-IN"/>
              </w:rPr>
              <w:t xml:space="preserve"> </w:t>
            </w:r>
            <w:r w:rsidRPr="00E70587">
              <w:rPr>
                <w:rFonts w:ascii="Arial" w:hAnsi="Arial" w:cs="Arial"/>
                <w:i w:val="0"/>
                <w:sz w:val="20"/>
                <w:lang w:val="en-IN"/>
              </w:rPr>
              <w:t xml:space="preserve">and </w:t>
            </w:r>
            <w:r w:rsidR="00D54A1A" w:rsidRPr="00E70587">
              <w:rPr>
                <w:rFonts w:ascii="Arial" w:hAnsi="Arial" w:cs="Arial"/>
                <w:i w:val="0"/>
                <w:sz w:val="20"/>
                <w:lang w:val="en-IN"/>
              </w:rPr>
              <w:t>20</w:t>
            </w:r>
            <w:r w:rsidR="00D54A1A">
              <w:rPr>
                <w:rFonts w:ascii="Arial" w:hAnsi="Arial" w:cs="Arial"/>
                <w:i w:val="0"/>
                <w:sz w:val="20"/>
                <w:lang w:val="en-IN"/>
              </w:rPr>
              <w:t>20</w:t>
            </w:r>
            <w:r w:rsidRPr="00E70587">
              <w:rPr>
                <w:rFonts w:ascii="Arial" w:hAnsi="Arial" w:cs="Arial"/>
                <w:i w:val="0"/>
                <w:sz w:val="20"/>
                <w:lang w:val="en-IN"/>
              </w:rPr>
              <w:t xml:space="preserve">. </w:t>
            </w:r>
            <w:r w:rsidR="005A1050" w:rsidRPr="00E70587">
              <w:rPr>
                <w:rFonts w:ascii="Arial" w:hAnsi="Arial" w:cs="Arial"/>
                <w:i w:val="0"/>
                <w:sz w:val="20"/>
                <w:lang w:val="en-IN"/>
              </w:rPr>
              <w:t xml:space="preserve">The joint venture had no other contingent liabilities or capital commitments as at 31 </w:t>
            </w:r>
            <w:r w:rsidR="00E1202D" w:rsidRPr="00E70587">
              <w:rPr>
                <w:rFonts w:ascii="Arial" w:hAnsi="Arial" w:cs="Arial"/>
                <w:i w:val="0"/>
                <w:sz w:val="20"/>
                <w:lang w:val="en-IN"/>
              </w:rPr>
              <w:t xml:space="preserve">March </w:t>
            </w:r>
            <w:r w:rsidR="00D54A1A" w:rsidRPr="00E70587">
              <w:rPr>
                <w:rFonts w:ascii="Arial" w:hAnsi="Arial" w:cs="Arial"/>
                <w:i w:val="0"/>
                <w:sz w:val="20"/>
                <w:lang w:val="en-IN"/>
              </w:rPr>
              <w:t>20</w:t>
            </w:r>
            <w:r w:rsidR="00D54A1A">
              <w:rPr>
                <w:rFonts w:ascii="Arial" w:hAnsi="Arial" w:cs="Arial"/>
                <w:i w:val="0"/>
                <w:sz w:val="20"/>
                <w:lang w:val="en-IN"/>
              </w:rPr>
              <w:t>21</w:t>
            </w:r>
            <w:r w:rsidR="00D54DE5" w:rsidRPr="00E70587">
              <w:rPr>
                <w:rFonts w:ascii="Arial" w:hAnsi="Arial" w:cs="Arial"/>
                <w:i w:val="0"/>
                <w:sz w:val="20"/>
                <w:lang w:val="en-IN"/>
              </w:rPr>
              <w:t>,</w:t>
            </w:r>
            <w:r w:rsidR="005A1050" w:rsidRPr="00E70587">
              <w:rPr>
                <w:rFonts w:ascii="Arial" w:hAnsi="Arial" w:cs="Arial"/>
                <w:i w:val="0"/>
                <w:sz w:val="20"/>
                <w:lang w:val="en-IN"/>
              </w:rPr>
              <w:t xml:space="preserve"> 31 </w:t>
            </w:r>
            <w:r w:rsidR="008B730E" w:rsidRPr="00E70587">
              <w:rPr>
                <w:rFonts w:ascii="Arial" w:hAnsi="Arial" w:cs="Arial"/>
                <w:i w:val="0"/>
                <w:sz w:val="20"/>
                <w:lang w:val="en-IN"/>
              </w:rPr>
              <w:t xml:space="preserve">March </w:t>
            </w:r>
            <w:r w:rsidR="00D54A1A" w:rsidRPr="00E70587">
              <w:rPr>
                <w:rFonts w:ascii="Arial" w:hAnsi="Arial" w:cs="Arial"/>
                <w:i w:val="0"/>
                <w:sz w:val="20"/>
                <w:lang w:val="en-IN"/>
              </w:rPr>
              <w:t>20</w:t>
            </w:r>
            <w:r w:rsidR="00D54A1A">
              <w:rPr>
                <w:rFonts w:ascii="Arial" w:hAnsi="Arial" w:cs="Arial"/>
                <w:i w:val="0"/>
                <w:sz w:val="20"/>
                <w:lang w:val="en-IN"/>
              </w:rPr>
              <w:t>20</w:t>
            </w:r>
            <w:r w:rsidR="005A1050" w:rsidRPr="00E70587">
              <w:rPr>
                <w:rFonts w:ascii="Arial" w:hAnsi="Arial" w:cs="Arial"/>
                <w:i w:val="0"/>
                <w:sz w:val="20"/>
                <w:lang w:val="en-IN"/>
              </w:rPr>
              <w:t>, except as disclosed in Note 42. S Limited cannot distribute its profits until it obtains the consent from the two venture partners.</w:t>
            </w:r>
          </w:p>
          <w:p w14:paraId="0FE0EB37" w14:textId="77777777" w:rsidR="000340BC" w:rsidRPr="000340BC" w:rsidRDefault="000340BC" w:rsidP="000340BC"/>
          <w:p w14:paraId="47A6E737" w14:textId="77777777" w:rsidR="005E4D18" w:rsidRDefault="005E4D18" w:rsidP="005E4D18"/>
          <w:p w14:paraId="7311675F" w14:textId="27AC160A" w:rsidR="005E4D18" w:rsidRDefault="005E4D18" w:rsidP="005E4D18">
            <w:pPr>
              <w:shd w:val="clear" w:color="auto" w:fill="A2A2A2" w:themeFill="background2" w:themeFillTint="99"/>
              <w:spacing w:line="240" w:lineRule="auto"/>
              <w:rPr>
                <w:rFonts w:ascii="Arial" w:hAnsi="Arial" w:cs="Arial"/>
                <w:b/>
                <w:bCs/>
                <w:sz w:val="20"/>
                <w:szCs w:val="22"/>
              </w:rPr>
            </w:pPr>
            <w:r w:rsidRPr="005E4D18">
              <w:rPr>
                <w:rFonts w:ascii="Arial" w:hAnsi="Arial" w:cs="Arial"/>
                <w:b/>
                <w:bCs/>
                <w:sz w:val="20"/>
                <w:szCs w:val="22"/>
              </w:rPr>
              <w:t xml:space="preserve">Covid-19 commentary </w:t>
            </w:r>
          </w:p>
          <w:p w14:paraId="0FD64425" w14:textId="77777777" w:rsidR="008805C6" w:rsidRPr="005E4D18" w:rsidRDefault="008805C6" w:rsidP="005E4D18">
            <w:pPr>
              <w:shd w:val="clear" w:color="auto" w:fill="A2A2A2" w:themeFill="background2" w:themeFillTint="99"/>
              <w:spacing w:line="240" w:lineRule="auto"/>
              <w:rPr>
                <w:rFonts w:ascii="Arial" w:hAnsi="Arial" w:cs="Arial"/>
                <w:b/>
                <w:bCs/>
                <w:sz w:val="20"/>
                <w:szCs w:val="22"/>
              </w:rPr>
            </w:pPr>
          </w:p>
          <w:p w14:paraId="34921334" w14:textId="2D598FEC" w:rsidR="005E4D18" w:rsidRPr="005E4D18" w:rsidRDefault="005E4D18" w:rsidP="005E4D18">
            <w:pPr>
              <w:shd w:val="clear" w:color="auto" w:fill="A2A2A2" w:themeFill="background2" w:themeFillTint="99"/>
              <w:spacing w:line="240" w:lineRule="auto"/>
            </w:pPr>
            <w:r w:rsidRPr="005E4D18">
              <w:rPr>
                <w:rFonts w:ascii="Arial" w:hAnsi="Arial" w:cs="Arial"/>
                <w:sz w:val="20"/>
                <w:szCs w:val="22"/>
              </w:rPr>
              <w:t>Entities will need to consider whether there is any impairment of their investments in joint ventures. Impairment charges relating to investments in joint ventures should be accounted for in accordance with the equity method under I</w:t>
            </w:r>
            <w:r>
              <w:rPr>
                <w:rFonts w:ascii="Arial" w:hAnsi="Arial" w:cs="Arial"/>
                <w:sz w:val="20"/>
                <w:szCs w:val="22"/>
              </w:rPr>
              <w:t xml:space="preserve">nd </w:t>
            </w:r>
            <w:r w:rsidRPr="005E4D18">
              <w:rPr>
                <w:rFonts w:ascii="Arial" w:hAnsi="Arial" w:cs="Arial"/>
                <w:sz w:val="20"/>
                <w:szCs w:val="22"/>
              </w:rPr>
              <w:t>AS 28. I</w:t>
            </w:r>
            <w:r>
              <w:rPr>
                <w:rFonts w:ascii="Arial" w:hAnsi="Arial" w:cs="Arial"/>
                <w:sz w:val="20"/>
                <w:szCs w:val="22"/>
              </w:rPr>
              <w:t xml:space="preserve">nd </w:t>
            </w:r>
            <w:r w:rsidRPr="005E4D18">
              <w:rPr>
                <w:rFonts w:ascii="Arial" w:hAnsi="Arial" w:cs="Arial"/>
                <w:sz w:val="20"/>
                <w:szCs w:val="22"/>
              </w:rPr>
              <w:t>AS 28 requires the investment in a joint venture to be considered as a single cash-generating unit, rather than ‘drilling down’ into the separate cash-generating units determined by the joint venture. The impairment test should be undertaken in accordance with the requirements of I</w:t>
            </w:r>
            <w:r>
              <w:rPr>
                <w:rFonts w:ascii="Arial" w:hAnsi="Arial" w:cs="Arial"/>
                <w:sz w:val="20"/>
                <w:szCs w:val="22"/>
              </w:rPr>
              <w:t xml:space="preserve">nd </w:t>
            </w:r>
            <w:r w:rsidRPr="005E4D18">
              <w:rPr>
                <w:rFonts w:ascii="Arial" w:hAnsi="Arial" w:cs="Arial"/>
                <w:sz w:val="20"/>
                <w:szCs w:val="22"/>
              </w:rPr>
              <w:t>AS 36.</w:t>
            </w:r>
          </w:p>
        </w:tc>
      </w:tr>
    </w:tbl>
    <w:p w14:paraId="4CF7BF45" w14:textId="77777777" w:rsidR="00811B92" w:rsidRPr="00E70587" w:rsidRDefault="00811B92" w:rsidP="009901E1">
      <w:pPr>
        <w:pStyle w:val="IAStext"/>
        <w:spacing w:line="280" w:lineRule="exact"/>
        <w:ind w:left="29"/>
        <w:jc w:val="both"/>
        <w:rPr>
          <w:rFonts w:ascii="Arial" w:hAnsi="Arial" w:cs="Arial"/>
          <w:i w:val="0"/>
          <w:sz w:val="20"/>
          <w:lang w:val="en-I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62851" w:rsidRPr="00E70587" w14:paraId="487C2265" w14:textId="77777777" w:rsidTr="00862851">
        <w:trPr>
          <w:trHeight w:val="1815"/>
        </w:trPr>
        <w:tc>
          <w:tcPr>
            <w:tcW w:w="10350" w:type="dxa"/>
            <w:tcBorders>
              <w:top w:val="nil"/>
              <w:left w:val="nil"/>
              <w:bottom w:val="nil"/>
              <w:right w:val="nil"/>
            </w:tcBorders>
          </w:tcPr>
          <w:p w14:paraId="57719B06" w14:textId="77777777" w:rsidR="00862851" w:rsidRPr="00E70587" w:rsidRDefault="00862851" w:rsidP="00F53123">
            <w:pPr>
              <w:pStyle w:val="ViralheadingL2"/>
              <w:keepNext w:val="0"/>
              <w:numPr>
                <w:ilvl w:val="0"/>
                <w:numId w:val="8"/>
              </w:numPr>
              <w:spacing w:before="0" w:after="0" w:line="280" w:lineRule="exact"/>
              <w:ind w:left="720" w:hanging="720"/>
              <w:rPr>
                <w:rFonts w:ascii="Arial" w:hAnsi="Arial" w:cs="Arial"/>
                <w:sz w:val="20"/>
                <w:szCs w:val="20"/>
              </w:rPr>
            </w:pPr>
            <w:r w:rsidRPr="00E70587">
              <w:rPr>
                <w:rFonts w:ascii="Arial" w:hAnsi="Arial" w:cs="Arial"/>
                <w:sz w:val="20"/>
                <w:szCs w:val="20"/>
              </w:rPr>
              <w:t>Investment in an associate</w:t>
            </w:r>
          </w:p>
          <w:p w14:paraId="3C5510AB" w14:textId="77777777" w:rsidR="00862851" w:rsidRPr="00E70587" w:rsidRDefault="00862851" w:rsidP="00862851">
            <w:pPr>
              <w:pStyle w:val="IAStext"/>
              <w:spacing w:line="280" w:lineRule="exact"/>
              <w:jc w:val="both"/>
              <w:rPr>
                <w:rFonts w:ascii="Arial" w:hAnsi="Arial" w:cs="Arial"/>
                <w:i w:val="0"/>
                <w:sz w:val="20"/>
                <w:lang w:val="en-IN"/>
              </w:rPr>
            </w:pPr>
          </w:p>
          <w:p w14:paraId="266D41A5" w14:textId="77777777" w:rsidR="00862851" w:rsidRPr="00C71497" w:rsidRDefault="00862851" w:rsidP="00862851">
            <w:pPr>
              <w:pStyle w:val="IAStext"/>
              <w:spacing w:line="280" w:lineRule="exact"/>
              <w:jc w:val="both"/>
              <w:rPr>
                <w:rFonts w:ascii="Arial" w:hAnsi="Arial" w:cs="Arial"/>
                <w:i w:val="0"/>
                <w:sz w:val="20"/>
                <w:lang w:val="en-IN"/>
              </w:rPr>
            </w:pPr>
            <w:r w:rsidRPr="00E70587">
              <w:rPr>
                <w:rFonts w:ascii="Arial" w:hAnsi="Arial" w:cs="Arial"/>
                <w:i w:val="0"/>
                <w:sz w:val="20"/>
                <w:lang w:val="en-IN"/>
              </w:rPr>
              <w:t>The Group has a 25% interest in P Limited, which is involved in the manufacture of fire prevention equipment for power stations in India. P Limited is a private entity that is not listed on any public exchange. The Group’s interest in P Limited is accounted for using the equity method in the consolidated financial statements. The following table illustrates the summarised financial information of the Group’s investment in P Limited:</w:t>
            </w:r>
          </w:p>
        </w:tc>
      </w:tr>
    </w:tbl>
    <w:p w14:paraId="5D405328" w14:textId="77777777" w:rsidR="00862851" w:rsidRPr="00E70587" w:rsidRDefault="00862851" w:rsidP="00862851">
      <w:pPr>
        <w:pStyle w:val="IAStext"/>
        <w:spacing w:line="280" w:lineRule="exact"/>
        <w:ind w:left="29"/>
        <w:jc w:val="both"/>
        <w:rPr>
          <w:rFonts w:ascii="Arial" w:hAnsi="Arial" w:cs="Arial"/>
          <w:i w:val="0"/>
          <w:sz w:val="20"/>
          <w:lang w:val="en-I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3"/>
        <w:gridCol w:w="2193"/>
        <w:gridCol w:w="2193"/>
        <w:gridCol w:w="307"/>
      </w:tblGrid>
      <w:tr w:rsidR="00A17C17" w:rsidRPr="00E70587" w14:paraId="0FEE2E20" w14:textId="77777777" w:rsidTr="009A5E2F">
        <w:tc>
          <w:tcPr>
            <w:tcW w:w="0" w:type="auto"/>
            <w:tcBorders>
              <w:top w:val="nil"/>
              <w:left w:val="nil"/>
              <w:bottom w:val="nil"/>
              <w:right w:val="nil"/>
            </w:tcBorders>
            <w:shd w:val="clear" w:color="auto" w:fill="auto"/>
          </w:tcPr>
          <w:p w14:paraId="07C316E7" w14:textId="77777777" w:rsidR="00A17C17" w:rsidRPr="00E70587" w:rsidRDefault="00A17C17" w:rsidP="009901E1">
            <w:pPr>
              <w:pStyle w:val="000Normal"/>
              <w:spacing w:before="0" w:after="0" w:line="280" w:lineRule="exact"/>
              <w:rPr>
                <w:rFonts w:ascii="Arial" w:hAnsi="Arial" w:cs="Arial"/>
                <w:sz w:val="20"/>
              </w:rPr>
            </w:pPr>
          </w:p>
        </w:tc>
        <w:tc>
          <w:tcPr>
            <w:tcW w:w="0" w:type="auto"/>
            <w:tcBorders>
              <w:top w:val="nil"/>
              <w:left w:val="nil"/>
              <w:bottom w:val="nil"/>
              <w:right w:val="nil"/>
            </w:tcBorders>
            <w:shd w:val="clear" w:color="auto" w:fill="auto"/>
            <w:vAlign w:val="bottom"/>
          </w:tcPr>
          <w:p w14:paraId="62524893" w14:textId="1392DA79"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D54A1A" w:rsidRPr="00E70587">
              <w:rPr>
                <w:rFonts w:ascii="Arial" w:hAnsi="Arial"/>
                <w:color w:val="auto"/>
                <w:sz w:val="20"/>
                <w:szCs w:val="20"/>
                <w:lang w:val="en-IN"/>
              </w:rPr>
              <w:t>20</w:t>
            </w:r>
            <w:r w:rsidR="00D54A1A">
              <w:rPr>
                <w:rFonts w:ascii="Arial" w:hAnsi="Arial"/>
                <w:color w:val="auto"/>
                <w:sz w:val="20"/>
                <w:szCs w:val="20"/>
                <w:lang w:val="en-IN"/>
              </w:rPr>
              <w:t>21</w:t>
            </w:r>
          </w:p>
        </w:tc>
        <w:tc>
          <w:tcPr>
            <w:tcW w:w="0" w:type="auto"/>
            <w:tcBorders>
              <w:top w:val="nil"/>
              <w:left w:val="nil"/>
              <w:bottom w:val="nil"/>
              <w:right w:val="nil"/>
            </w:tcBorders>
            <w:vAlign w:val="bottom"/>
          </w:tcPr>
          <w:p w14:paraId="09B71323" w14:textId="03D41C31"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D54A1A" w:rsidRPr="00E70587">
              <w:rPr>
                <w:rFonts w:ascii="Arial" w:hAnsi="Arial"/>
                <w:color w:val="auto"/>
                <w:sz w:val="20"/>
                <w:szCs w:val="20"/>
                <w:lang w:val="en-IN"/>
              </w:rPr>
              <w:t>20</w:t>
            </w:r>
            <w:r w:rsidR="00D54A1A">
              <w:rPr>
                <w:rFonts w:ascii="Arial" w:hAnsi="Arial"/>
                <w:color w:val="auto"/>
                <w:sz w:val="20"/>
                <w:szCs w:val="20"/>
                <w:lang w:val="en-IN"/>
              </w:rPr>
              <w:t>20</w:t>
            </w:r>
          </w:p>
        </w:tc>
        <w:tc>
          <w:tcPr>
            <w:tcW w:w="0" w:type="auto"/>
            <w:tcBorders>
              <w:top w:val="nil"/>
              <w:left w:val="nil"/>
              <w:bottom w:val="nil"/>
              <w:right w:val="nil"/>
            </w:tcBorders>
            <w:shd w:val="clear" w:color="auto" w:fill="auto"/>
            <w:vAlign w:val="bottom"/>
          </w:tcPr>
          <w:p w14:paraId="4F65D020" w14:textId="77777777" w:rsidR="00A17C17" w:rsidRPr="00E70587" w:rsidRDefault="00A17C17" w:rsidP="009901E1">
            <w:pPr>
              <w:pStyle w:val="Tablecolumnheading"/>
              <w:spacing w:line="280" w:lineRule="exact"/>
              <w:rPr>
                <w:rFonts w:ascii="Arial" w:hAnsi="Arial"/>
                <w:color w:val="auto"/>
                <w:sz w:val="20"/>
                <w:szCs w:val="20"/>
                <w:lang w:val="en-IN"/>
              </w:rPr>
            </w:pPr>
          </w:p>
        </w:tc>
      </w:tr>
      <w:tr w:rsidR="00A17C17" w:rsidRPr="00E70587" w14:paraId="62E33B57" w14:textId="77777777" w:rsidTr="009A5E2F">
        <w:tc>
          <w:tcPr>
            <w:tcW w:w="0" w:type="auto"/>
            <w:tcBorders>
              <w:top w:val="nil"/>
              <w:left w:val="nil"/>
              <w:bottom w:val="nil"/>
              <w:right w:val="nil"/>
            </w:tcBorders>
          </w:tcPr>
          <w:p w14:paraId="3F6C3494" w14:textId="77777777" w:rsidR="00A17C17" w:rsidRPr="00E70587" w:rsidRDefault="00A17C17" w:rsidP="009901E1">
            <w:pPr>
              <w:pStyle w:val="000Normal"/>
              <w:spacing w:before="0" w:after="0" w:line="280" w:lineRule="exact"/>
              <w:jc w:val="right"/>
              <w:rPr>
                <w:rFonts w:ascii="Arial" w:hAnsi="Arial" w:cs="Arial"/>
                <w:b/>
                <w:sz w:val="20"/>
              </w:rPr>
            </w:pPr>
          </w:p>
        </w:tc>
        <w:tc>
          <w:tcPr>
            <w:tcW w:w="0" w:type="auto"/>
            <w:tcBorders>
              <w:top w:val="nil"/>
              <w:left w:val="nil"/>
              <w:bottom w:val="nil"/>
              <w:right w:val="nil"/>
            </w:tcBorders>
            <w:vAlign w:val="bottom"/>
          </w:tcPr>
          <w:p w14:paraId="3529D906"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0" w:type="auto"/>
            <w:tcBorders>
              <w:top w:val="nil"/>
              <w:left w:val="nil"/>
              <w:bottom w:val="nil"/>
              <w:right w:val="nil"/>
            </w:tcBorders>
            <w:vAlign w:val="bottom"/>
          </w:tcPr>
          <w:p w14:paraId="21778B0E"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0" w:type="auto"/>
            <w:tcBorders>
              <w:top w:val="nil"/>
              <w:left w:val="nil"/>
              <w:bottom w:val="nil"/>
              <w:right w:val="nil"/>
            </w:tcBorders>
            <w:vAlign w:val="bottom"/>
          </w:tcPr>
          <w:p w14:paraId="021E63B1" w14:textId="77777777" w:rsidR="00A17C17" w:rsidRPr="00E70587" w:rsidRDefault="00A17C17" w:rsidP="009901E1">
            <w:pPr>
              <w:pStyle w:val="Tablecolumnheading"/>
              <w:spacing w:line="280" w:lineRule="exact"/>
              <w:rPr>
                <w:rFonts w:ascii="Arial" w:hAnsi="Arial"/>
                <w:color w:val="auto"/>
                <w:sz w:val="20"/>
                <w:szCs w:val="20"/>
                <w:lang w:val="en-IN"/>
              </w:rPr>
            </w:pPr>
          </w:p>
        </w:tc>
      </w:tr>
      <w:tr w:rsidR="00A17C17" w:rsidRPr="00E70587" w14:paraId="449B494B" w14:textId="77777777" w:rsidTr="009A5E2F">
        <w:tc>
          <w:tcPr>
            <w:tcW w:w="0" w:type="auto"/>
            <w:tcBorders>
              <w:top w:val="nil"/>
              <w:left w:val="nil"/>
              <w:bottom w:val="nil"/>
              <w:right w:val="nil"/>
            </w:tcBorders>
            <w:tcMar>
              <w:top w:w="28" w:type="dxa"/>
            </w:tcMar>
          </w:tcPr>
          <w:p w14:paraId="426861BB"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Current assets</w:t>
            </w:r>
          </w:p>
        </w:tc>
        <w:tc>
          <w:tcPr>
            <w:tcW w:w="0" w:type="auto"/>
            <w:tcBorders>
              <w:top w:val="nil"/>
              <w:left w:val="nil"/>
              <w:bottom w:val="nil"/>
              <w:right w:val="nil"/>
            </w:tcBorders>
            <w:tcMar>
              <w:top w:w="28" w:type="dxa"/>
            </w:tcMar>
            <w:vAlign w:val="center"/>
          </w:tcPr>
          <w:p w14:paraId="397A2DB5"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11,743 </w:t>
            </w:r>
          </w:p>
        </w:tc>
        <w:tc>
          <w:tcPr>
            <w:tcW w:w="0" w:type="auto"/>
            <w:tcBorders>
              <w:top w:val="nil"/>
              <w:left w:val="nil"/>
              <w:bottom w:val="nil"/>
              <w:right w:val="nil"/>
            </w:tcBorders>
            <w:vAlign w:val="center"/>
          </w:tcPr>
          <w:p w14:paraId="1F384C60"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11,383 </w:t>
            </w:r>
          </w:p>
        </w:tc>
        <w:tc>
          <w:tcPr>
            <w:tcW w:w="0" w:type="auto"/>
            <w:tcBorders>
              <w:top w:val="nil"/>
              <w:left w:val="nil"/>
              <w:bottom w:val="nil"/>
              <w:right w:val="nil"/>
            </w:tcBorders>
            <w:tcMar>
              <w:top w:w="28" w:type="dxa"/>
            </w:tcMar>
            <w:vAlign w:val="center"/>
          </w:tcPr>
          <w:p w14:paraId="4DD6CDA0" w14:textId="77777777" w:rsidR="00A17C17" w:rsidRPr="00E70587" w:rsidRDefault="00A17C17" w:rsidP="009901E1">
            <w:pPr>
              <w:spacing w:line="280" w:lineRule="exact"/>
              <w:jc w:val="right"/>
              <w:rPr>
                <w:rFonts w:ascii="Arial" w:hAnsi="Arial" w:cs="Arial"/>
                <w:sz w:val="20"/>
              </w:rPr>
            </w:pPr>
          </w:p>
        </w:tc>
      </w:tr>
      <w:tr w:rsidR="00A17C17" w:rsidRPr="00E70587" w14:paraId="18F9AB21" w14:textId="77777777" w:rsidTr="009A5E2F">
        <w:tc>
          <w:tcPr>
            <w:tcW w:w="0" w:type="auto"/>
            <w:tcBorders>
              <w:top w:val="nil"/>
              <w:left w:val="nil"/>
              <w:bottom w:val="nil"/>
              <w:right w:val="nil"/>
            </w:tcBorders>
            <w:tcMar>
              <w:top w:w="28" w:type="dxa"/>
            </w:tcMar>
          </w:tcPr>
          <w:p w14:paraId="145797BE"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Non-current assets</w:t>
            </w:r>
          </w:p>
        </w:tc>
        <w:tc>
          <w:tcPr>
            <w:tcW w:w="0" w:type="auto"/>
            <w:tcBorders>
              <w:top w:val="nil"/>
              <w:left w:val="nil"/>
              <w:bottom w:val="nil"/>
              <w:right w:val="nil"/>
            </w:tcBorders>
            <w:tcMar>
              <w:top w:w="28" w:type="dxa"/>
            </w:tcMar>
            <w:vAlign w:val="center"/>
          </w:tcPr>
          <w:p w14:paraId="7F651129"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24,595 </w:t>
            </w:r>
          </w:p>
        </w:tc>
        <w:tc>
          <w:tcPr>
            <w:tcW w:w="0" w:type="auto"/>
            <w:tcBorders>
              <w:top w:val="nil"/>
              <w:left w:val="nil"/>
              <w:bottom w:val="nil"/>
              <w:right w:val="nil"/>
            </w:tcBorders>
            <w:vAlign w:val="center"/>
          </w:tcPr>
          <w:p w14:paraId="63505A7D"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23,090 </w:t>
            </w:r>
          </w:p>
        </w:tc>
        <w:tc>
          <w:tcPr>
            <w:tcW w:w="0" w:type="auto"/>
            <w:tcBorders>
              <w:top w:val="nil"/>
              <w:left w:val="nil"/>
              <w:bottom w:val="nil"/>
              <w:right w:val="nil"/>
            </w:tcBorders>
            <w:tcMar>
              <w:top w:w="28" w:type="dxa"/>
            </w:tcMar>
            <w:vAlign w:val="center"/>
          </w:tcPr>
          <w:p w14:paraId="1CAC4C59" w14:textId="77777777" w:rsidR="00A17C17" w:rsidRPr="00E70587" w:rsidRDefault="00A17C17" w:rsidP="009901E1">
            <w:pPr>
              <w:spacing w:line="280" w:lineRule="exact"/>
              <w:jc w:val="right"/>
              <w:rPr>
                <w:rFonts w:ascii="Arial" w:hAnsi="Arial" w:cs="Arial"/>
                <w:sz w:val="20"/>
              </w:rPr>
            </w:pPr>
          </w:p>
        </w:tc>
      </w:tr>
      <w:tr w:rsidR="00A17C17" w:rsidRPr="00E70587" w14:paraId="284D0800" w14:textId="77777777" w:rsidTr="009A5E2F">
        <w:tc>
          <w:tcPr>
            <w:tcW w:w="0" w:type="auto"/>
            <w:tcBorders>
              <w:top w:val="nil"/>
              <w:left w:val="nil"/>
              <w:bottom w:val="nil"/>
              <w:right w:val="nil"/>
            </w:tcBorders>
          </w:tcPr>
          <w:p w14:paraId="3D26DEB0"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Current liabilities</w:t>
            </w:r>
          </w:p>
        </w:tc>
        <w:tc>
          <w:tcPr>
            <w:tcW w:w="0" w:type="auto"/>
            <w:tcBorders>
              <w:top w:val="nil"/>
              <w:left w:val="nil"/>
              <w:bottom w:val="nil"/>
              <w:right w:val="nil"/>
            </w:tcBorders>
            <w:tcMar>
              <w:top w:w="28" w:type="dxa"/>
              <w:right w:w="57" w:type="dxa"/>
            </w:tcMar>
            <w:vAlign w:val="center"/>
          </w:tcPr>
          <w:p w14:paraId="1739EDA4"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(8,078) </w:t>
            </w:r>
          </w:p>
        </w:tc>
        <w:tc>
          <w:tcPr>
            <w:tcW w:w="0" w:type="auto"/>
            <w:tcBorders>
              <w:top w:val="nil"/>
              <w:left w:val="nil"/>
              <w:bottom w:val="nil"/>
              <w:right w:val="nil"/>
            </w:tcBorders>
            <w:vAlign w:val="center"/>
          </w:tcPr>
          <w:p w14:paraId="245E6F0B"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(7,027) </w:t>
            </w:r>
          </w:p>
        </w:tc>
        <w:tc>
          <w:tcPr>
            <w:tcW w:w="0" w:type="auto"/>
            <w:tcBorders>
              <w:top w:val="nil"/>
              <w:left w:val="nil"/>
              <w:bottom w:val="nil"/>
              <w:right w:val="nil"/>
            </w:tcBorders>
            <w:tcMar>
              <w:top w:w="28" w:type="dxa"/>
              <w:right w:w="57" w:type="dxa"/>
            </w:tcMar>
            <w:vAlign w:val="center"/>
          </w:tcPr>
          <w:p w14:paraId="55D6B0E4" w14:textId="77777777" w:rsidR="00A17C17" w:rsidRPr="00E70587" w:rsidRDefault="00A17C17" w:rsidP="009901E1">
            <w:pPr>
              <w:spacing w:line="280" w:lineRule="exact"/>
              <w:jc w:val="right"/>
              <w:rPr>
                <w:rFonts w:ascii="Arial" w:hAnsi="Arial" w:cs="Arial"/>
                <w:sz w:val="20"/>
              </w:rPr>
            </w:pPr>
          </w:p>
        </w:tc>
      </w:tr>
      <w:tr w:rsidR="00A17C17" w:rsidRPr="00E70587" w14:paraId="5E91792C" w14:textId="77777777" w:rsidTr="009A5E2F">
        <w:tc>
          <w:tcPr>
            <w:tcW w:w="0" w:type="auto"/>
            <w:tcBorders>
              <w:top w:val="nil"/>
              <w:left w:val="nil"/>
              <w:bottom w:val="nil"/>
              <w:right w:val="nil"/>
            </w:tcBorders>
          </w:tcPr>
          <w:p w14:paraId="2E38B46E"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Non-current liabilities</w:t>
            </w:r>
          </w:p>
        </w:tc>
        <w:tc>
          <w:tcPr>
            <w:tcW w:w="0" w:type="auto"/>
            <w:tcBorders>
              <w:top w:val="nil"/>
              <w:left w:val="nil"/>
              <w:bottom w:val="nil"/>
              <w:right w:val="nil"/>
            </w:tcBorders>
            <w:tcMar>
              <w:top w:w="28" w:type="dxa"/>
              <w:right w:w="57" w:type="dxa"/>
            </w:tcMar>
            <w:vAlign w:val="center"/>
          </w:tcPr>
          <w:p w14:paraId="506E9DED"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(22,759) </w:t>
            </w:r>
          </w:p>
        </w:tc>
        <w:tc>
          <w:tcPr>
            <w:tcW w:w="0" w:type="auto"/>
            <w:tcBorders>
              <w:top w:val="nil"/>
              <w:left w:val="nil"/>
              <w:bottom w:val="nil"/>
              <w:right w:val="nil"/>
            </w:tcBorders>
            <w:vAlign w:val="center"/>
          </w:tcPr>
          <w:p w14:paraId="3EAD6F4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(22,543) </w:t>
            </w:r>
          </w:p>
        </w:tc>
        <w:tc>
          <w:tcPr>
            <w:tcW w:w="0" w:type="auto"/>
            <w:tcBorders>
              <w:top w:val="nil"/>
              <w:left w:val="nil"/>
              <w:bottom w:val="nil"/>
              <w:right w:val="nil"/>
            </w:tcBorders>
            <w:tcMar>
              <w:top w:w="28" w:type="dxa"/>
              <w:right w:w="57" w:type="dxa"/>
            </w:tcMar>
            <w:vAlign w:val="center"/>
          </w:tcPr>
          <w:p w14:paraId="1E91E882" w14:textId="77777777" w:rsidR="00A17C17" w:rsidRPr="00E70587" w:rsidRDefault="00A17C17" w:rsidP="009901E1">
            <w:pPr>
              <w:spacing w:line="280" w:lineRule="exact"/>
              <w:jc w:val="right"/>
              <w:rPr>
                <w:rFonts w:ascii="Arial" w:hAnsi="Arial" w:cs="Arial"/>
                <w:sz w:val="20"/>
              </w:rPr>
            </w:pPr>
          </w:p>
        </w:tc>
      </w:tr>
      <w:tr w:rsidR="00A17C17" w:rsidRPr="00E70587" w14:paraId="74B9A98E" w14:textId="77777777" w:rsidTr="009A5E2F">
        <w:tc>
          <w:tcPr>
            <w:tcW w:w="0" w:type="auto"/>
            <w:tcBorders>
              <w:top w:val="nil"/>
              <w:left w:val="nil"/>
              <w:bottom w:val="nil"/>
              <w:right w:val="nil"/>
            </w:tcBorders>
            <w:tcMar>
              <w:top w:w="28" w:type="dxa"/>
            </w:tcMar>
            <w:vAlign w:val="center"/>
          </w:tcPr>
          <w:p w14:paraId="0DE284CC"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Equity</w:t>
            </w:r>
          </w:p>
        </w:tc>
        <w:tc>
          <w:tcPr>
            <w:tcW w:w="0" w:type="auto"/>
            <w:tcBorders>
              <w:top w:val="nil"/>
              <w:left w:val="nil"/>
              <w:bottom w:val="nil"/>
              <w:right w:val="nil"/>
            </w:tcBorders>
            <w:tcMar>
              <w:top w:w="28" w:type="dxa"/>
            </w:tcMar>
            <w:vAlign w:val="center"/>
          </w:tcPr>
          <w:p w14:paraId="460D4A98"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5,501</w:t>
            </w:r>
          </w:p>
        </w:tc>
        <w:tc>
          <w:tcPr>
            <w:tcW w:w="0" w:type="auto"/>
            <w:tcBorders>
              <w:top w:val="nil"/>
              <w:left w:val="nil"/>
              <w:bottom w:val="nil"/>
              <w:right w:val="nil"/>
            </w:tcBorders>
            <w:vAlign w:val="center"/>
          </w:tcPr>
          <w:p w14:paraId="06F383D0"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4,903</w:t>
            </w:r>
          </w:p>
        </w:tc>
        <w:tc>
          <w:tcPr>
            <w:tcW w:w="0" w:type="auto"/>
            <w:tcBorders>
              <w:top w:val="nil"/>
              <w:left w:val="nil"/>
              <w:bottom w:val="nil"/>
              <w:right w:val="nil"/>
            </w:tcBorders>
            <w:tcMar>
              <w:top w:w="28" w:type="dxa"/>
            </w:tcMar>
            <w:vAlign w:val="center"/>
          </w:tcPr>
          <w:p w14:paraId="471466D4" w14:textId="77777777" w:rsidR="00A17C17" w:rsidRPr="00E70587" w:rsidRDefault="00A17C17" w:rsidP="009901E1">
            <w:pPr>
              <w:spacing w:line="280" w:lineRule="exact"/>
              <w:jc w:val="right"/>
              <w:rPr>
                <w:rFonts w:ascii="Arial" w:hAnsi="Arial" w:cs="Arial"/>
                <w:b/>
                <w:bCs/>
                <w:sz w:val="20"/>
              </w:rPr>
            </w:pPr>
          </w:p>
        </w:tc>
      </w:tr>
      <w:tr w:rsidR="00A17C17" w:rsidRPr="00E70587" w14:paraId="7510F045" w14:textId="77777777" w:rsidTr="009A5E2F">
        <w:tc>
          <w:tcPr>
            <w:tcW w:w="0" w:type="auto"/>
            <w:tcBorders>
              <w:top w:val="nil"/>
              <w:left w:val="nil"/>
              <w:bottom w:val="nil"/>
              <w:right w:val="nil"/>
            </w:tcBorders>
            <w:tcMar>
              <w:top w:w="28" w:type="dxa"/>
            </w:tcMar>
          </w:tcPr>
          <w:p w14:paraId="11AAA4ED"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Proportion of the Group’s ownership</w:t>
            </w:r>
          </w:p>
        </w:tc>
        <w:tc>
          <w:tcPr>
            <w:tcW w:w="0" w:type="auto"/>
            <w:tcBorders>
              <w:top w:val="nil"/>
              <w:left w:val="nil"/>
              <w:bottom w:val="nil"/>
              <w:right w:val="nil"/>
            </w:tcBorders>
            <w:tcMar>
              <w:top w:w="28" w:type="dxa"/>
            </w:tcMar>
            <w:vAlign w:val="center"/>
          </w:tcPr>
          <w:p w14:paraId="5A85C0C8"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25%</w:t>
            </w:r>
          </w:p>
        </w:tc>
        <w:tc>
          <w:tcPr>
            <w:tcW w:w="0" w:type="auto"/>
            <w:tcBorders>
              <w:top w:val="nil"/>
              <w:left w:val="nil"/>
              <w:bottom w:val="nil"/>
              <w:right w:val="nil"/>
            </w:tcBorders>
            <w:vAlign w:val="center"/>
          </w:tcPr>
          <w:p w14:paraId="5841AAB2"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25%</w:t>
            </w:r>
          </w:p>
        </w:tc>
        <w:tc>
          <w:tcPr>
            <w:tcW w:w="0" w:type="auto"/>
            <w:tcBorders>
              <w:top w:val="nil"/>
              <w:left w:val="nil"/>
              <w:bottom w:val="nil"/>
              <w:right w:val="nil"/>
            </w:tcBorders>
            <w:tcMar>
              <w:top w:w="28" w:type="dxa"/>
            </w:tcMar>
            <w:vAlign w:val="center"/>
          </w:tcPr>
          <w:p w14:paraId="6A3E5A09" w14:textId="77777777" w:rsidR="00A17C17" w:rsidRPr="00E70587" w:rsidRDefault="00A17C17" w:rsidP="009901E1">
            <w:pPr>
              <w:spacing w:line="280" w:lineRule="exact"/>
              <w:jc w:val="right"/>
              <w:rPr>
                <w:rFonts w:ascii="Arial" w:hAnsi="Arial" w:cs="Arial"/>
                <w:sz w:val="20"/>
              </w:rPr>
            </w:pPr>
          </w:p>
        </w:tc>
      </w:tr>
      <w:tr w:rsidR="00A17C17" w:rsidRPr="00E70587" w14:paraId="2219E131" w14:textId="77777777" w:rsidTr="009A5E2F">
        <w:tc>
          <w:tcPr>
            <w:tcW w:w="0" w:type="auto"/>
            <w:tcBorders>
              <w:top w:val="nil"/>
              <w:left w:val="nil"/>
              <w:bottom w:val="nil"/>
              <w:right w:val="nil"/>
            </w:tcBorders>
            <w:tcMar>
              <w:top w:w="28" w:type="dxa"/>
            </w:tcMar>
            <w:vAlign w:val="center"/>
          </w:tcPr>
          <w:p w14:paraId="25DE8193"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Carrying amount of the investment</w:t>
            </w:r>
          </w:p>
        </w:tc>
        <w:tc>
          <w:tcPr>
            <w:tcW w:w="0" w:type="auto"/>
            <w:tcBorders>
              <w:top w:val="nil"/>
              <w:left w:val="nil"/>
              <w:bottom w:val="nil"/>
              <w:right w:val="nil"/>
            </w:tcBorders>
            <w:tcMar>
              <w:top w:w="28" w:type="dxa"/>
            </w:tcMar>
            <w:vAlign w:val="center"/>
          </w:tcPr>
          <w:p w14:paraId="641DBDA4"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1375</w:t>
            </w:r>
          </w:p>
        </w:tc>
        <w:tc>
          <w:tcPr>
            <w:tcW w:w="0" w:type="auto"/>
            <w:tcBorders>
              <w:top w:val="nil"/>
              <w:left w:val="nil"/>
              <w:bottom w:val="nil"/>
              <w:right w:val="nil"/>
            </w:tcBorders>
            <w:vAlign w:val="center"/>
          </w:tcPr>
          <w:p w14:paraId="6401233A"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1226</w:t>
            </w:r>
          </w:p>
        </w:tc>
        <w:tc>
          <w:tcPr>
            <w:tcW w:w="0" w:type="auto"/>
            <w:tcBorders>
              <w:top w:val="nil"/>
              <w:left w:val="nil"/>
              <w:bottom w:val="nil"/>
              <w:right w:val="nil"/>
            </w:tcBorders>
            <w:tcMar>
              <w:top w:w="28" w:type="dxa"/>
            </w:tcMar>
            <w:vAlign w:val="center"/>
          </w:tcPr>
          <w:p w14:paraId="1AB1626E" w14:textId="77777777" w:rsidR="00A17C17" w:rsidRPr="00E70587" w:rsidRDefault="00A17C17" w:rsidP="009901E1">
            <w:pPr>
              <w:spacing w:line="280" w:lineRule="exact"/>
              <w:jc w:val="right"/>
              <w:rPr>
                <w:rFonts w:ascii="Arial" w:hAnsi="Arial" w:cs="Arial"/>
                <w:b/>
                <w:bCs/>
                <w:sz w:val="20"/>
              </w:rPr>
            </w:pPr>
          </w:p>
        </w:tc>
      </w:tr>
    </w:tbl>
    <w:p w14:paraId="55E0D65D" w14:textId="77777777" w:rsidR="00151684" w:rsidRDefault="00151684" w:rsidP="009901E1">
      <w:pPr>
        <w:spacing w:line="280" w:lineRule="exact"/>
        <w:rPr>
          <w:rFonts w:ascii="Arial" w:hAnsi="Arial" w:cs="Arial"/>
          <w:sz w:val="20"/>
        </w:rPr>
      </w:pPr>
    </w:p>
    <w:p w14:paraId="2D8C8527" w14:textId="77777777" w:rsidR="00C71497" w:rsidRDefault="00C71497" w:rsidP="009901E1">
      <w:pPr>
        <w:spacing w:line="280" w:lineRule="exact"/>
        <w:rPr>
          <w:rFonts w:ascii="Arial" w:hAnsi="Arial" w:cs="Arial"/>
          <w:sz w:val="20"/>
        </w:rPr>
      </w:pPr>
    </w:p>
    <w:p w14:paraId="02DCFB12" w14:textId="77777777" w:rsidR="00C71497" w:rsidRPr="00E70587" w:rsidRDefault="00C71497" w:rsidP="009901E1">
      <w:pPr>
        <w:spacing w:line="280" w:lineRule="exact"/>
        <w:rPr>
          <w:rFonts w:ascii="Arial" w:hAnsi="Arial" w:cs="Arial"/>
          <w:sz w:val="20"/>
        </w:rPr>
      </w:pPr>
    </w:p>
    <w:tbl>
      <w:tblPr>
        <w:tblW w:w="9576" w:type="dxa"/>
        <w:tblLayout w:type="fixed"/>
        <w:tblLook w:val="01E0" w:firstRow="1" w:lastRow="1" w:firstColumn="1" w:lastColumn="1" w:noHBand="0" w:noVBand="0"/>
      </w:tblPr>
      <w:tblGrid>
        <w:gridCol w:w="5905"/>
        <w:gridCol w:w="1791"/>
        <w:gridCol w:w="1880"/>
      </w:tblGrid>
      <w:tr w:rsidR="00A17C17" w:rsidRPr="00E70587" w14:paraId="3912DC84" w14:textId="77777777" w:rsidTr="006535F4">
        <w:tc>
          <w:tcPr>
            <w:tcW w:w="5905" w:type="dxa"/>
            <w:tcMar>
              <w:top w:w="28" w:type="dxa"/>
            </w:tcMar>
            <w:vAlign w:val="center"/>
          </w:tcPr>
          <w:p w14:paraId="7298831B"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791" w:type="dxa"/>
            <w:tcBorders>
              <w:bottom w:val="single" w:sz="4" w:space="0" w:color="auto"/>
            </w:tcBorders>
            <w:tcMar>
              <w:top w:w="28" w:type="dxa"/>
            </w:tcMar>
            <w:vAlign w:val="bottom"/>
          </w:tcPr>
          <w:p w14:paraId="5FEA8B09" w14:textId="7B4A3B2B"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D54A1A" w:rsidRPr="00E70587">
              <w:rPr>
                <w:rFonts w:ascii="Arial" w:hAnsi="Arial"/>
                <w:color w:val="auto"/>
                <w:sz w:val="20"/>
                <w:szCs w:val="20"/>
                <w:lang w:val="en-IN"/>
              </w:rPr>
              <w:t>20</w:t>
            </w:r>
            <w:r w:rsidR="00D54A1A">
              <w:rPr>
                <w:rFonts w:ascii="Arial" w:hAnsi="Arial"/>
                <w:color w:val="auto"/>
                <w:sz w:val="20"/>
                <w:szCs w:val="20"/>
                <w:lang w:val="en-IN"/>
              </w:rPr>
              <w:t>21</w:t>
            </w:r>
          </w:p>
        </w:tc>
        <w:tc>
          <w:tcPr>
            <w:tcW w:w="1880" w:type="dxa"/>
            <w:tcBorders>
              <w:bottom w:val="single" w:sz="4" w:space="0" w:color="auto"/>
            </w:tcBorders>
            <w:tcMar>
              <w:top w:w="28" w:type="dxa"/>
            </w:tcMar>
            <w:vAlign w:val="bottom"/>
          </w:tcPr>
          <w:p w14:paraId="43E4BC26" w14:textId="69CCE9BD"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D54A1A" w:rsidRPr="00E70587">
              <w:rPr>
                <w:rFonts w:ascii="Arial" w:hAnsi="Arial"/>
                <w:color w:val="auto"/>
                <w:sz w:val="20"/>
                <w:szCs w:val="20"/>
                <w:lang w:val="en-IN"/>
              </w:rPr>
              <w:t>20</w:t>
            </w:r>
            <w:r w:rsidR="00D54A1A">
              <w:rPr>
                <w:rFonts w:ascii="Arial" w:hAnsi="Arial"/>
                <w:color w:val="auto"/>
                <w:sz w:val="20"/>
                <w:szCs w:val="20"/>
                <w:lang w:val="en-IN"/>
              </w:rPr>
              <w:t>20</w:t>
            </w:r>
          </w:p>
        </w:tc>
      </w:tr>
      <w:tr w:rsidR="00A17C17" w:rsidRPr="00E70587" w14:paraId="3B706E64" w14:textId="77777777" w:rsidTr="006535F4">
        <w:tc>
          <w:tcPr>
            <w:tcW w:w="5905" w:type="dxa"/>
            <w:tcMar>
              <w:top w:w="28" w:type="dxa"/>
            </w:tcMar>
            <w:vAlign w:val="center"/>
          </w:tcPr>
          <w:p w14:paraId="23A27E36"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791" w:type="dxa"/>
            <w:tcBorders>
              <w:top w:val="single" w:sz="4" w:space="0" w:color="auto"/>
            </w:tcBorders>
            <w:tcMar>
              <w:top w:w="28" w:type="dxa"/>
            </w:tcMar>
            <w:vAlign w:val="bottom"/>
          </w:tcPr>
          <w:p w14:paraId="2BD09152" w14:textId="77777777" w:rsidR="00A17C17" w:rsidRPr="00E70587" w:rsidRDefault="00A17C17" w:rsidP="00D54A1A">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c>
          <w:tcPr>
            <w:tcW w:w="1880" w:type="dxa"/>
            <w:tcBorders>
              <w:top w:val="single" w:sz="4" w:space="0" w:color="auto"/>
            </w:tcBorders>
            <w:tcMar>
              <w:top w:w="28" w:type="dxa"/>
            </w:tcMar>
            <w:vAlign w:val="bottom"/>
          </w:tcPr>
          <w:p w14:paraId="7B63B700" w14:textId="77777777" w:rsidR="00A17C17" w:rsidRPr="00E70587" w:rsidRDefault="00A17C17" w:rsidP="00D54A1A">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5BCAF40D" w14:textId="77777777" w:rsidTr="006535F4">
        <w:tc>
          <w:tcPr>
            <w:tcW w:w="5905" w:type="dxa"/>
            <w:tcMar>
              <w:top w:w="28" w:type="dxa"/>
            </w:tcMar>
            <w:vAlign w:val="center"/>
          </w:tcPr>
          <w:p w14:paraId="6347C1AD"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Revenue</w:t>
            </w:r>
          </w:p>
        </w:tc>
        <w:tc>
          <w:tcPr>
            <w:tcW w:w="1791" w:type="dxa"/>
            <w:tcMar>
              <w:top w:w="28" w:type="dxa"/>
            </w:tcMar>
            <w:vAlign w:val="center"/>
          </w:tcPr>
          <w:p w14:paraId="52DDF166"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59,926 </w:t>
            </w:r>
          </w:p>
        </w:tc>
        <w:tc>
          <w:tcPr>
            <w:tcW w:w="1880" w:type="dxa"/>
            <w:tcMar>
              <w:top w:w="28" w:type="dxa"/>
            </w:tcMar>
            <w:vAlign w:val="center"/>
          </w:tcPr>
          <w:p w14:paraId="2782B0F2"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58,752 </w:t>
            </w:r>
          </w:p>
        </w:tc>
      </w:tr>
      <w:tr w:rsidR="00A17C17" w:rsidRPr="00E70587" w14:paraId="12C2A0B4" w14:textId="77777777" w:rsidTr="006535F4">
        <w:tc>
          <w:tcPr>
            <w:tcW w:w="5905" w:type="dxa"/>
            <w:shd w:val="clear" w:color="auto" w:fill="auto"/>
            <w:tcMar>
              <w:top w:w="28" w:type="dxa"/>
            </w:tcMar>
            <w:vAlign w:val="bottom"/>
          </w:tcPr>
          <w:p w14:paraId="14018326"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Increase/(decrease) in inventory </w:t>
            </w:r>
          </w:p>
        </w:tc>
        <w:tc>
          <w:tcPr>
            <w:tcW w:w="1791" w:type="dxa"/>
            <w:shd w:val="clear" w:color="auto" w:fill="auto"/>
            <w:tcMar>
              <w:top w:w="28" w:type="dxa"/>
            </w:tcMar>
            <w:vAlign w:val="center"/>
          </w:tcPr>
          <w:p w14:paraId="1910F5EA"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(1,237) </w:t>
            </w:r>
          </w:p>
        </w:tc>
        <w:tc>
          <w:tcPr>
            <w:tcW w:w="1880" w:type="dxa"/>
            <w:shd w:val="clear" w:color="auto" w:fill="auto"/>
            <w:tcMar>
              <w:top w:w="28" w:type="dxa"/>
            </w:tcMar>
            <w:vAlign w:val="center"/>
          </w:tcPr>
          <w:p w14:paraId="3AB6D2D2"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274 </w:t>
            </w:r>
          </w:p>
        </w:tc>
      </w:tr>
      <w:tr w:rsidR="00A17C17" w:rsidRPr="00E70587" w14:paraId="7EFA5E25" w14:textId="77777777" w:rsidTr="006535F4">
        <w:tc>
          <w:tcPr>
            <w:tcW w:w="5905" w:type="dxa"/>
            <w:tcMar>
              <w:top w:w="28" w:type="dxa"/>
            </w:tcMar>
            <w:vAlign w:val="center"/>
          </w:tcPr>
          <w:p w14:paraId="4F9BC7C5"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Cost of raw material and components consumed</w:t>
            </w:r>
          </w:p>
        </w:tc>
        <w:tc>
          <w:tcPr>
            <w:tcW w:w="1791" w:type="dxa"/>
            <w:tcMar>
              <w:top w:w="28" w:type="dxa"/>
            </w:tcMar>
            <w:vAlign w:val="center"/>
          </w:tcPr>
          <w:p w14:paraId="264BBB1E"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 (47,902) </w:t>
            </w:r>
          </w:p>
        </w:tc>
        <w:tc>
          <w:tcPr>
            <w:tcW w:w="1880" w:type="dxa"/>
            <w:tcMar>
              <w:top w:w="28" w:type="dxa"/>
            </w:tcMar>
            <w:vAlign w:val="center"/>
          </w:tcPr>
          <w:p w14:paraId="42562C9D"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(48,451) </w:t>
            </w:r>
          </w:p>
        </w:tc>
      </w:tr>
      <w:tr w:rsidR="00A17C17" w:rsidRPr="00E70587" w14:paraId="710CF8BC" w14:textId="77777777" w:rsidTr="006535F4">
        <w:tc>
          <w:tcPr>
            <w:tcW w:w="5905" w:type="dxa"/>
            <w:tcMar>
              <w:top w:w="28" w:type="dxa"/>
            </w:tcMar>
            <w:vAlign w:val="bottom"/>
          </w:tcPr>
          <w:p w14:paraId="65FAACD9"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Depreciation &amp; amortization</w:t>
            </w:r>
          </w:p>
        </w:tc>
        <w:tc>
          <w:tcPr>
            <w:tcW w:w="1791" w:type="dxa"/>
            <w:tcMar>
              <w:top w:w="28" w:type="dxa"/>
            </w:tcMar>
            <w:vAlign w:val="center"/>
          </w:tcPr>
          <w:p w14:paraId="5CC5E0F7"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(2,225) </w:t>
            </w:r>
          </w:p>
        </w:tc>
        <w:tc>
          <w:tcPr>
            <w:tcW w:w="1880" w:type="dxa"/>
            <w:tcMar>
              <w:top w:w="28" w:type="dxa"/>
            </w:tcMar>
            <w:vAlign w:val="center"/>
          </w:tcPr>
          <w:p w14:paraId="2E543F4B"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(2,223) </w:t>
            </w:r>
          </w:p>
        </w:tc>
      </w:tr>
      <w:tr w:rsidR="00A17C17" w:rsidRPr="00E70587" w14:paraId="0AFC302C" w14:textId="77777777" w:rsidTr="006535F4">
        <w:tc>
          <w:tcPr>
            <w:tcW w:w="5905" w:type="dxa"/>
            <w:tcMar>
              <w:top w:w="28" w:type="dxa"/>
            </w:tcMar>
            <w:vAlign w:val="bottom"/>
          </w:tcPr>
          <w:p w14:paraId="19AF31FF"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Finance cost</w:t>
            </w:r>
          </w:p>
        </w:tc>
        <w:tc>
          <w:tcPr>
            <w:tcW w:w="1791" w:type="dxa"/>
            <w:tcMar>
              <w:top w:w="28" w:type="dxa"/>
            </w:tcMar>
            <w:vAlign w:val="center"/>
          </w:tcPr>
          <w:p w14:paraId="711DB41D"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(2,911) </w:t>
            </w:r>
          </w:p>
        </w:tc>
        <w:tc>
          <w:tcPr>
            <w:tcW w:w="1880" w:type="dxa"/>
            <w:tcMar>
              <w:top w:w="28" w:type="dxa"/>
            </w:tcMar>
            <w:vAlign w:val="center"/>
          </w:tcPr>
          <w:p w14:paraId="1B93AA62"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(3,020) </w:t>
            </w:r>
          </w:p>
        </w:tc>
      </w:tr>
      <w:tr w:rsidR="00A17C17" w:rsidRPr="00E70587" w14:paraId="6C9622A3" w14:textId="77777777" w:rsidTr="006535F4">
        <w:tc>
          <w:tcPr>
            <w:tcW w:w="5905" w:type="dxa"/>
            <w:tcMar>
              <w:top w:w="28" w:type="dxa"/>
            </w:tcMar>
            <w:vAlign w:val="bottom"/>
          </w:tcPr>
          <w:p w14:paraId="07D0AECD"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Employee benefit</w:t>
            </w:r>
          </w:p>
        </w:tc>
        <w:tc>
          <w:tcPr>
            <w:tcW w:w="1791" w:type="dxa"/>
            <w:tcMar>
              <w:top w:w="28" w:type="dxa"/>
            </w:tcMar>
            <w:vAlign w:val="center"/>
          </w:tcPr>
          <w:p w14:paraId="6BCEA565"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(1,073) </w:t>
            </w:r>
          </w:p>
        </w:tc>
        <w:tc>
          <w:tcPr>
            <w:tcW w:w="1880" w:type="dxa"/>
            <w:tcMar>
              <w:top w:w="28" w:type="dxa"/>
            </w:tcMar>
            <w:vAlign w:val="center"/>
          </w:tcPr>
          <w:p w14:paraId="71ABF2FF"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(826) </w:t>
            </w:r>
          </w:p>
        </w:tc>
      </w:tr>
      <w:tr w:rsidR="00A17C17" w:rsidRPr="00E70587" w14:paraId="6D228A52" w14:textId="77777777" w:rsidTr="006535F4">
        <w:tc>
          <w:tcPr>
            <w:tcW w:w="5905" w:type="dxa"/>
            <w:tcMar>
              <w:top w:w="28" w:type="dxa"/>
            </w:tcMar>
            <w:vAlign w:val="bottom"/>
          </w:tcPr>
          <w:p w14:paraId="56BBA6BF"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Other expense</w:t>
            </w:r>
          </w:p>
        </w:tc>
        <w:tc>
          <w:tcPr>
            <w:tcW w:w="1791" w:type="dxa"/>
            <w:tcBorders>
              <w:bottom w:val="single" w:sz="4" w:space="0" w:color="auto"/>
            </w:tcBorders>
            <w:tcMar>
              <w:top w:w="28" w:type="dxa"/>
            </w:tcMar>
            <w:vAlign w:val="center"/>
          </w:tcPr>
          <w:p w14:paraId="77F8DE00"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(2,180) </w:t>
            </w:r>
          </w:p>
        </w:tc>
        <w:tc>
          <w:tcPr>
            <w:tcW w:w="1880" w:type="dxa"/>
            <w:tcBorders>
              <w:bottom w:val="single" w:sz="4" w:space="0" w:color="auto"/>
            </w:tcBorders>
            <w:tcMar>
              <w:top w:w="28" w:type="dxa"/>
            </w:tcMar>
            <w:vAlign w:val="center"/>
          </w:tcPr>
          <w:p w14:paraId="2169A66E"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(2,157) </w:t>
            </w:r>
          </w:p>
        </w:tc>
      </w:tr>
      <w:tr w:rsidR="00A17C17" w:rsidRPr="00E70587" w14:paraId="50924E62" w14:textId="77777777" w:rsidTr="006535F4">
        <w:tc>
          <w:tcPr>
            <w:tcW w:w="5905" w:type="dxa"/>
            <w:tcMar>
              <w:top w:w="28" w:type="dxa"/>
            </w:tcMar>
            <w:vAlign w:val="bottom"/>
          </w:tcPr>
          <w:p w14:paraId="61216D1D"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Profit before tax</w:t>
            </w:r>
          </w:p>
        </w:tc>
        <w:tc>
          <w:tcPr>
            <w:tcW w:w="1791" w:type="dxa"/>
            <w:tcBorders>
              <w:top w:val="single" w:sz="4" w:space="0" w:color="auto"/>
            </w:tcBorders>
            <w:tcMar>
              <w:top w:w="28" w:type="dxa"/>
            </w:tcMar>
            <w:vAlign w:val="center"/>
          </w:tcPr>
          <w:p w14:paraId="5A63DF27"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2,398 </w:t>
            </w:r>
          </w:p>
        </w:tc>
        <w:tc>
          <w:tcPr>
            <w:tcW w:w="1880" w:type="dxa"/>
            <w:tcBorders>
              <w:top w:val="single" w:sz="4" w:space="0" w:color="auto"/>
            </w:tcBorders>
            <w:tcMar>
              <w:top w:w="28" w:type="dxa"/>
            </w:tcMar>
            <w:vAlign w:val="center"/>
          </w:tcPr>
          <w:p w14:paraId="4474D168"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2,349 </w:t>
            </w:r>
          </w:p>
        </w:tc>
      </w:tr>
      <w:tr w:rsidR="00A17C17" w:rsidRPr="00E70587" w14:paraId="2B160D66" w14:textId="77777777" w:rsidTr="006535F4">
        <w:tc>
          <w:tcPr>
            <w:tcW w:w="5905" w:type="dxa"/>
            <w:tcMar>
              <w:top w:w="28" w:type="dxa"/>
            </w:tcMar>
            <w:vAlign w:val="bottom"/>
          </w:tcPr>
          <w:p w14:paraId="17D5EA0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Income tax expense</w:t>
            </w:r>
          </w:p>
        </w:tc>
        <w:tc>
          <w:tcPr>
            <w:tcW w:w="1791" w:type="dxa"/>
            <w:tcBorders>
              <w:bottom w:val="single" w:sz="4" w:space="0" w:color="auto"/>
            </w:tcBorders>
            <w:tcMar>
              <w:top w:w="28" w:type="dxa"/>
            </w:tcMar>
            <w:vAlign w:val="center"/>
          </w:tcPr>
          <w:p w14:paraId="047F117E"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(1,800) </w:t>
            </w:r>
          </w:p>
        </w:tc>
        <w:tc>
          <w:tcPr>
            <w:tcW w:w="1880" w:type="dxa"/>
            <w:tcBorders>
              <w:bottom w:val="single" w:sz="4" w:space="0" w:color="auto"/>
            </w:tcBorders>
            <w:tcMar>
              <w:top w:w="28" w:type="dxa"/>
            </w:tcMar>
            <w:vAlign w:val="center"/>
          </w:tcPr>
          <w:p w14:paraId="19CEBC2F"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 xml:space="preserve">(1,766) </w:t>
            </w:r>
          </w:p>
        </w:tc>
      </w:tr>
      <w:tr w:rsidR="00A17C17" w:rsidRPr="00E70587" w14:paraId="77919EFB" w14:textId="77777777" w:rsidTr="006535F4">
        <w:tc>
          <w:tcPr>
            <w:tcW w:w="5905" w:type="dxa"/>
            <w:tcMar>
              <w:top w:w="28" w:type="dxa"/>
            </w:tcMar>
            <w:vAlign w:val="bottom"/>
          </w:tcPr>
          <w:p w14:paraId="080CCFFC"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Profit for the year (continuing operations)</w:t>
            </w:r>
          </w:p>
        </w:tc>
        <w:tc>
          <w:tcPr>
            <w:tcW w:w="1791" w:type="dxa"/>
            <w:tcBorders>
              <w:top w:val="single" w:sz="4" w:space="0" w:color="auto"/>
              <w:bottom w:val="double" w:sz="4" w:space="0" w:color="auto"/>
            </w:tcBorders>
            <w:tcMar>
              <w:top w:w="28" w:type="dxa"/>
            </w:tcMar>
            <w:vAlign w:val="center"/>
          </w:tcPr>
          <w:p w14:paraId="6E93A66C"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 598 </w:t>
            </w:r>
          </w:p>
        </w:tc>
        <w:tc>
          <w:tcPr>
            <w:tcW w:w="1880" w:type="dxa"/>
            <w:tcBorders>
              <w:top w:val="single" w:sz="4" w:space="0" w:color="auto"/>
              <w:bottom w:val="double" w:sz="4" w:space="0" w:color="auto"/>
            </w:tcBorders>
            <w:tcMar>
              <w:top w:w="28" w:type="dxa"/>
            </w:tcMar>
            <w:vAlign w:val="center"/>
          </w:tcPr>
          <w:p w14:paraId="3164800F"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583 </w:t>
            </w:r>
          </w:p>
        </w:tc>
      </w:tr>
      <w:tr w:rsidR="006535F4" w:rsidRPr="00D54A1A" w14:paraId="05EBC8E2" w14:textId="77777777" w:rsidTr="006535F4">
        <w:tc>
          <w:tcPr>
            <w:tcW w:w="5905" w:type="dxa"/>
            <w:tcMar>
              <w:top w:w="28" w:type="dxa"/>
            </w:tcMar>
            <w:vAlign w:val="bottom"/>
          </w:tcPr>
          <w:p w14:paraId="13036D9D" w14:textId="48DAD246" w:rsidR="006535F4" w:rsidRPr="00D54A1A" w:rsidRDefault="006535F4" w:rsidP="00E510E9">
            <w:pPr>
              <w:pStyle w:val="tabletext"/>
              <w:overflowPunct w:val="0"/>
              <w:autoSpaceDE w:val="0"/>
              <w:autoSpaceDN w:val="0"/>
              <w:adjustRightInd w:val="0"/>
              <w:spacing w:before="40"/>
              <w:textAlignment w:val="baseline"/>
              <w:rPr>
                <w:rFonts w:ascii="Arial" w:hAnsi="Arial" w:cs="Arial"/>
                <w:b/>
                <w:sz w:val="20"/>
                <w:lang w:val="en-IN"/>
              </w:rPr>
            </w:pPr>
            <w:r w:rsidRPr="00D54A1A">
              <w:rPr>
                <w:rFonts w:ascii="Arial" w:hAnsi="Arial" w:cs="Arial"/>
                <w:color w:val="000000"/>
                <w:sz w:val="20"/>
                <w:lang w:val="en-IN"/>
              </w:rPr>
              <w:t xml:space="preserve">Other comprehensive loss that may be reclassified to profit </w:t>
            </w:r>
            <w:r w:rsidR="004B3123">
              <w:rPr>
                <w:rFonts w:ascii="Arial" w:hAnsi="Arial" w:cs="Arial"/>
                <w:color w:val="000000"/>
                <w:sz w:val="20"/>
                <w:lang w:val="en-IN"/>
              </w:rPr>
              <w:t>or</w:t>
            </w:r>
            <w:r w:rsidRPr="00D54A1A">
              <w:rPr>
                <w:rFonts w:ascii="Arial" w:hAnsi="Arial" w:cs="Arial"/>
                <w:color w:val="000000"/>
                <w:sz w:val="20"/>
                <w:lang w:val="en-IN"/>
              </w:rPr>
              <w:t xml:space="preserve"> loss in subsequent periods, net of tax</w:t>
            </w:r>
          </w:p>
        </w:tc>
        <w:tc>
          <w:tcPr>
            <w:tcW w:w="1791" w:type="dxa"/>
            <w:tcBorders>
              <w:top w:val="double" w:sz="4" w:space="0" w:color="auto"/>
            </w:tcBorders>
            <w:tcMar>
              <w:top w:w="28" w:type="dxa"/>
            </w:tcMar>
            <w:vAlign w:val="center"/>
          </w:tcPr>
          <w:p w14:paraId="0590E32D" w14:textId="7278F7EB" w:rsidR="006535F4" w:rsidRPr="00D54A1A" w:rsidRDefault="006535F4" w:rsidP="006535F4">
            <w:pPr>
              <w:spacing w:line="280" w:lineRule="exact"/>
              <w:jc w:val="right"/>
              <w:rPr>
                <w:rFonts w:ascii="Arial" w:hAnsi="Arial" w:cs="Arial"/>
                <w:b/>
                <w:bCs/>
                <w:sz w:val="20"/>
              </w:rPr>
            </w:pPr>
            <w:r w:rsidRPr="00D54A1A">
              <w:rPr>
                <w:rFonts w:ascii="Arial" w:hAnsi="Arial" w:cs="Arial"/>
                <w:sz w:val="20"/>
              </w:rPr>
              <w:t>(216)</w:t>
            </w:r>
          </w:p>
        </w:tc>
        <w:tc>
          <w:tcPr>
            <w:tcW w:w="1880" w:type="dxa"/>
            <w:tcBorders>
              <w:top w:val="double" w:sz="4" w:space="0" w:color="auto"/>
            </w:tcBorders>
            <w:tcMar>
              <w:top w:w="28" w:type="dxa"/>
            </w:tcMar>
            <w:vAlign w:val="center"/>
          </w:tcPr>
          <w:p w14:paraId="2267DF3C" w14:textId="77F51D76" w:rsidR="006535F4" w:rsidRPr="00D54A1A" w:rsidRDefault="001B3D94" w:rsidP="006535F4">
            <w:pPr>
              <w:spacing w:line="280" w:lineRule="exact"/>
              <w:jc w:val="right"/>
              <w:rPr>
                <w:rFonts w:ascii="Arial" w:hAnsi="Arial" w:cs="Arial"/>
                <w:b/>
                <w:bCs/>
                <w:sz w:val="20"/>
              </w:rPr>
            </w:pPr>
            <w:r>
              <w:rPr>
                <w:rFonts w:ascii="Arial" w:hAnsi="Arial" w:cs="Arial"/>
                <w:b/>
                <w:bCs/>
                <w:sz w:val="20"/>
              </w:rPr>
              <w:t>-</w:t>
            </w:r>
          </w:p>
        </w:tc>
      </w:tr>
      <w:tr w:rsidR="006535F4" w:rsidRPr="00D54A1A" w14:paraId="7CA54024" w14:textId="77777777" w:rsidTr="006535F4">
        <w:tc>
          <w:tcPr>
            <w:tcW w:w="5905" w:type="dxa"/>
            <w:tcMar>
              <w:top w:w="28" w:type="dxa"/>
            </w:tcMar>
            <w:vAlign w:val="bottom"/>
          </w:tcPr>
          <w:p w14:paraId="7A9B7AB9" w14:textId="0DC193C9" w:rsidR="006535F4" w:rsidRPr="00D54A1A" w:rsidRDefault="006535F4" w:rsidP="006535F4">
            <w:pPr>
              <w:pStyle w:val="tabletext"/>
              <w:overflowPunct w:val="0"/>
              <w:autoSpaceDE w:val="0"/>
              <w:autoSpaceDN w:val="0"/>
              <w:adjustRightInd w:val="0"/>
              <w:spacing w:line="280" w:lineRule="exact"/>
              <w:textAlignment w:val="baseline"/>
              <w:rPr>
                <w:rFonts w:ascii="Arial" w:hAnsi="Arial" w:cs="Arial"/>
                <w:b/>
                <w:sz w:val="20"/>
                <w:lang w:val="en-IN"/>
              </w:rPr>
            </w:pPr>
            <w:r w:rsidRPr="00D54A1A">
              <w:rPr>
                <w:rFonts w:ascii="Arial" w:hAnsi="Arial" w:cs="Arial"/>
                <w:color w:val="000000"/>
                <w:sz w:val="20"/>
                <w:lang w:val="en-IN"/>
              </w:rPr>
              <w:t xml:space="preserve">Other comprehensive income that will not be reclassified to profit </w:t>
            </w:r>
            <w:r w:rsidR="004B3123">
              <w:rPr>
                <w:rFonts w:ascii="Arial" w:hAnsi="Arial" w:cs="Arial"/>
                <w:color w:val="000000"/>
                <w:sz w:val="20"/>
                <w:lang w:val="en-IN"/>
              </w:rPr>
              <w:t>or</w:t>
            </w:r>
            <w:r w:rsidRPr="00D54A1A">
              <w:rPr>
                <w:rFonts w:ascii="Arial" w:hAnsi="Arial" w:cs="Arial"/>
                <w:color w:val="000000"/>
                <w:sz w:val="20"/>
                <w:lang w:val="en-IN"/>
              </w:rPr>
              <w:t xml:space="preserve"> loss in the subsequent periods, net of tax</w:t>
            </w:r>
          </w:p>
        </w:tc>
        <w:tc>
          <w:tcPr>
            <w:tcW w:w="1791" w:type="dxa"/>
            <w:tcBorders>
              <w:bottom w:val="double" w:sz="4" w:space="0" w:color="auto"/>
            </w:tcBorders>
            <w:tcMar>
              <w:top w:w="28" w:type="dxa"/>
            </w:tcMar>
            <w:vAlign w:val="center"/>
          </w:tcPr>
          <w:p w14:paraId="39BFF3A9" w14:textId="18B06AFC" w:rsidR="006535F4" w:rsidRPr="00D54A1A" w:rsidRDefault="006535F4" w:rsidP="006535F4">
            <w:pPr>
              <w:spacing w:line="280" w:lineRule="exact"/>
              <w:jc w:val="right"/>
              <w:rPr>
                <w:rFonts w:ascii="Arial" w:hAnsi="Arial" w:cs="Arial"/>
                <w:b/>
                <w:bCs/>
                <w:sz w:val="20"/>
              </w:rPr>
            </w:pPr>
            <w:r w:rsidRPr="00D54A1A">
              <w:rPr>
                <w:rFonts w:ascii="Arial" w:hAnsi="Arial" w:cs="Arial"/>
                <w:sz w:val="20"/>
              </w:rPr>
              <w:t>216</w:t>
            </w:r>
          </w:p>
        </w:tc>
        <w:tc>
          <w:tcPr>
            <w:tcW w:w="1880" w:type="dxa"/>
            <w:tcBorders>
              <w:bottom w:val="double" w:sz="4" w:space="0" w:color="auto"/>
            </w:tcBorders>
            <w:tcMar>
              <w:top w:w="28" w:type="dxa"/>
            </w:tcMar>
            <w:vAlign w:val="center"/>
          </w:tcPr>
          <w:p w14:paraId="13F36CE5" w14:textId="11783DB2" w:rsidR="006535F4" w:rsidRPr="00D54A1A" w:rsidRDefault="001B3D94" w:rsidP="006535F4">
            <w:pPr>
              <w:spacing w:line="280" w:lineRule="exact"/>
              <w:jc w:val="right"/>
              <w:rPr>
                <w:rFonts w:ascii="Arial" w:hAnsi="Arial" w:cs="Arial"/>
                <w:b/>
                <w:bCs/>
                <w:sz w:val="20"/>
              </w:rPr>
            </w:pPr>
            <w:r>
              <w:rPr>
                <w:rFonts w:ascii="Arial" w:hAnsi="Arial" w:cs="Arial"/>
                <w:b/>
                <w:bCs/>
                <w:sz w:val="20"/>
              </w:rPr>
              <w:t>-</w:t>
            </w:r>
          </w:p>
        </w:tc>
      </w:tr>
      <w:tr w:rsidR="00A17C17" w:rsidRPr="00E70587" w14:paraId="656BFDEF" w14:textId="77777777" w:rsidTr="006535F4">
        <w:tc>
          <w:tcPr>
            <w:tcW w:w="5905" w:type="dxa"/>
            <w:tcMar>
              <w:top w:w="28" w:type="dxa"/>
            </w:tcMar>
            <w:vAlign w:val="bottom"/>
          </w:tcPr>
          <w:p w14:paraId="288CF3BA"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comprehensive income for the year (continuing operations)</w:t>
            </w:r>
          </w:p>
        </w:tc>
        <w:tc>
          <w:tcPr>
            <w:tcW w:w="1791" w:type="dxa"/>
            <w:tcBorders>
              <w:top w:val="double" w:sz="4" w:space="0" w:color="auto"/>
              <w:bottom w:val="double" w:sz="4" w:space="0" w:color="auto"/>
            </w:tcBorders>
            <w:tcMar>
              <w:top w:w="28" w:type="dxa"/>
            </w:tcMar>
            <w:vAlign w:val="center"/>
          </w:tcPr>
          <w:p w14:paraId="426EF9D1"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 598 </w:t>
            </w:r>
          </w:p>
        </w:tc>
        <w:tc>
          <w:tcPr>
            <w:tcW w:w="1880" w:type="dxa"/>
            <w:tcBorders>
              <w:top w:val="double" w:sz="4" w:space="0" w:color="auto"/>
              <w:bottom w:val="double" w:sz="4" w:space="0" w:color="auto"/>
            </w:tcBorders>
            <w:tcMar>
              <w:top w:w="28" w:type="dxa"/>
            </w:tcMar>
            <w:vAlign w:val="center"/>
          </w:tcPr>
          <w:p w14:paraId="36729933"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583 </w:t>
            </w:r>
          </w:p>
        </w:tc>
      </w:tr>
      <w:tr w:rsidR="00A17C17" w:rsidRPr="00E70587" w14:paraId="6C6D34C7" w14:textId="77777777" w:rsidTr="006535F4">
        <w:tc>
          <w:tcPr>
            <w:tcW w:w="5905" w:type="dxa"/>
            <w:tcMar>
              <w:top w:w="28" w:type="dxa"/>
            </w:tcMar>
            <w:vAlign w:val="bottom"/>
          </w:tcPr>
          <w:p w14:paraId="7AF9B3CE"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Group’s share of profit for the year</w:t>
            </w:r>
          </w:p>
        </w:tc>
        <w:tc>
          <w:tcPr>
            <w:tcW w:w="1791" w:type="dxa"/>
            <w:tcBorders>
              <w:top w:val="double" w:sz="4" w:space="0" w:color="auto"/>
              <w:bottom w:val="double" w:sz="4" w:space="0" w:color="auto"/>
            </w:tcBorders>
            <w:tcMar>
              <w:top w:w="28" w:type="dxa"/>
            </w:tcMar>
            <w:vAlign w:val="center"/>
          </w:tcPr>
          <w:p w14:paraId="5873DAF3"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 149 </w:t>
            </w:r>
          </w:p>
        </w:tc>
        <w:tc>
          <w:tcPr>
            <w:tcW w:w="1880" w:type="dxa"/>
            <w:tcBorders>
              <w:top w:val="double" w:sz="4" w:space="0" w:color="auto"/>
              <w:bottom w:val="double" w:sz="4" w:space="0" w:color="auto"/>
            </w:tcBorders>
            <w:tcMar>
              <w:top w:w="28" w:type="dxa"/>
            </w:tcMar>
            <w:vAlign w:val="center"/>
          </w:tcPr>
          <w:p w14:paraId="6FA37284"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 xml:space="preserve">146 </w:t>
            </w:r>
          </w:p>
        </w:tc>
      </w:tr>
    </w:tbl>
    <w:p w14:paraId="348E95D4" w14:textId="77777777" w:rsidR="00D44408" w:rsidRPr="00E70587" w:rsidRDefault="00D44408" w:rsidP="009901E1">
      <w:pPr>
        <w:spacing w:line="280" w:lineRule="exact"/>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76"/>
      </w:tblGrid>
      <w:tr w:rsidR="00A17C17" w:rsidRPr="00E70587" w14:paraId="6ED89481" w14:textId="77777777" w:rsidTr="00B43785">
        <w:tc>
          <w:tcPr>
            <w:tcW w:w="0" w:type="auto"/>
            <w:tcBorders>
              <w:top w:val="nil"/>
              <w:left w:val="nil"/>
              <w:bottom w:val="nil"/>
              <w:right w:val="nil"/>
            </w:tcBorders>
          </w:tcPr>
          <w:p w14:paraId="5D16B045" w14:textId="77777777" w:rsidR="00A17C17" w:rsidRPr="00E70587" w:rsidRDefault="00A17C17" w:rsidP="009901E1">
            <w:pPr>
              <w:spacing w:line="280" w:lineRule="exact"/>
              <w:jc w:val="both"/>
              <w:rPr>
                <w:rFonts w:ascii="Arial" w:hAnsi="Arial" w:cs="Arial"/>
                <w:sz w:val="20"/>
              </w:rPr>
            </w:pPr>
            <w:r w:rsidRPr="00E70587">
              <w:rPr>
                <w:rFonts w:ascii="Arial" w:hAnsi="Arial" w:cs="Arial"/>
                <w:sz w:val="20"/>
              </w:rPr>
              <w:t>The Group has an agreement with its associate that the profits of the associate will not be distributed until it obtains the consent of the Group. The parent does not foresee giving such consent at the reporting date.</w:t>
            </w:r>
          </w:p>
          <w:p w14:paraId="4A752121" w14:textId="77777777" w:rsidR="00B43785" w:rsidRPr="00E70587" w:rsidRDefault="00B43785" w:rsidP="009901E1">
            <w:pPr>
              <w:spacing w:line="280" w:lineRule="exact"/>
              <w:jc w:val="both"/>
              <w:rPr>
                <w:rFonts w:ascii="Arial" w:hAnsi="Arial" w:cs="Arial"/>
                <w:sz w:val="20"/>
              </w:rPr>
            </w:pPr>
          </w:p>
          <w:p w14:paraId="0A84D592" w14:textId="3729E573" w:rsidR="00A17C17" w:rsidRPr="00E70587" w:rsidRDefault="00A17C17" w:rsidP="009901E1">
            <w:pPr>
              <w:overflowPunct/>
              <w:spacing w:line="280" w:lineRule="exact"/>
              <w:jc w:val="both"/>
              <w:textAlignment w:val="auto"/>
              <w:rPr>
                <w:rFonts w:ascii="Arial" w:hAnsi="Arial" w:cs="Arial"/>
                <w:sz w:val="20"/>
              </w:rPr>
            </w:pPr>
            <w:r w:rsidRPr="00E70587">
              <w:rPr>
                <w:rFonts w:ascii="Arial" w:hAnsi="Arial" w:cs="Arial"/>
                <w:sz w:val="20"/>
              </w:rPr>
              <w:t xml:space="preserve">The associate had no contingent liabilities or capital commitments as at 31 </w:t>
            </w:r>
            <w:r w:rsidR="008B730E" w:rsidRPr="00E70587">
              <w:rPr>
                <w:rFonts w:ascii="Arial" w:hAnsi="Arial" w:cs="Arial"/>
                <w:sz w:val="20"/>
              </w:rPr>
              <w:t xml:space="preserve">March </w:t>
            </w:r>
            <w:r w:rsidR="00E510E9" w:rsidRPr="00E70587">
              <w:rPr>
                <w:rFonts w:ascii="Arial" w:hAnsi="Arial" w:cs="Arial"/>
                <w:sz w:val="20"/>
              </w:rPr>
              <w:t>20</w:t>
            </w:r>
            <w:r w:rsidR="00E510E9">
              <w:rPr>
                <w:rFonts w:ascii="Arial" w:hAnsi="Arial" w:cs="Arial"/>
                <w:sz w:val="20"/>
              </w:rPr>
              <w:t>20</w:t>
            </w:r>
            <w:r w:rsidR="00E510E9" w:rsidRPr="00E70587">
              <w:rPr>
                <w:rFonts w:ascii="Arial" w:hAnsi="Arial" w:cs="Arial"/>
                <w:sz w:val="20"/>
              </w:rPr>
              <w:t xml:space="preserve"> </w:t>
            </w:r>
            <w:r w:rsidRPr="00E70587">
              <w:rPr>
                <w:rFonts w:ascii="Arial" w:hAnsi="Arial" w:cs="Arial"/>
                <w:sz w:val="20"/>
              </w:rPr>
              <w:t xml:space="preserve">or 31 </w:t>
            </w:r>
            <w:r w:rsidR="00E1202D" w:rsidRPr="00E70587">
              <w:rPr>
                <w:rFonts w:ascii="Arial" w:hAnsi="Arial" w:cs="Arial"/>
                <w:sz w:val="20"/>
              </w:rPr>
              <w:t xml:space="preserve">March </w:t>
            </w:r>
            <w:r w:rsidR="00E510E9" w:rsidRPr="00E70587">
              <w:rPr>
                <w:rFonts w:ascii="Arial" w:hAnsi="Arial" w:cs="Arial"/>
                <w:sz w:val="20"/>
              </w:rPr>
              <w:t>20</w:t>
            </w:r>
            <w:r w:rsidR="00E510E9">
              <w:rPr>
                <w:rFonts w:ascii="Arial" w:hAnsi="Arial" w:cs="Arial"/>
                <w:sz w:val="20"/>
              </w:rPr>
              <w:t>21</w:t>
            </w:r>
            <w:r w:rsidRPr="00E70587">
              <w:rPr>
                <w:rFonts w:ascii="Arial" w:hAnsi="Arial" w:cs="Arial"/>
                <w:sz w:val="20"/>
              </w:rPr>
              <w:t>.</w:t>
            </w:r>
            <w:r w:rsidR="008F79FA" w:rsidRPr="00E70587">
              <w:rPr>
                <w:rFonts w:ascii="Arial" w:hAnsi="Arial" w:cs="Arial"/>
                <w:sz w:val="20"/>
              </w:rPr>
              <w:t xml:space="preserve"> </w:t>
            </w:r>
          </w:p>
          <w:p w14:paraId="2501E8B4" w14:textId="77777777" w:rsidR="008F79FA" w:rsidRPr="00E70587" w:rsidRDefault="008F79FA" w:rsidP="009901E1">
            <w:pPr>
              <w:overflowPunct/>
              <w:spacing w:line="280" w:lineRule="exact"/>
              <w:jc w:val="both"/>
              <w:textAlignment w:val="auto"/>
              <w:rPr>
                <w:rFonts w:ascii="Arial" w:hAnsi="Arial" w:cs="Arial"/>
                <w:sz w:val="20"/>
              </w:rPr>
            </w:pPr>
          </w:p>
          <w:p w14:paraId="554910BD" w14:textId="77777777" w:rsidR="008F79FA" w:rsidRPr="00E70587" w:rsidRDefault="008F79FA" w:rsidP="009901E1">
            <w:pPr>
              <w:overflowPunct/>
              <w:spacing w:line="280" w:lineRule="exact"/>
              <w:jc w:val="both"/>
              <w:textAlignment w:val="auto"/>
              <w:rPr>
                <w:rFonts w:ascii="Arial" w:hAnsi="Arial" w:cs="Arial"/>
                <w:sz w:val="20"/>
              </w:rPr>
            </w:pPr>
            <w:r w:rsidRPr="00E70587">
              <w:rPr>
                <w:rFonts w:ascii="Arial" w:hAnsi="Arial" w:cs="Arial"/>
                <w:sz w:val="20"/>
              </w:rPr>
              <w:t>For details regarding financial guarantees given to bank refer note 42.</w:t>
            </w:r>
          </w:p>
          <w:p w14:paraId="6F140A35" w14:textId="77777777" w:rsidR="00A17C17" w:rsidRPr="00E70587" w:rsidRDefault="00A17C17" w:rsidP="009901E1">
            <w:pPr>
              <w:spacing w:line="280" w:lineRule="exact"/>
              <w:jc w:val="both"/>
              <w:rPr>
                <w:rFonts w:ascii="Arial" w:hAnsi="Arial" w:cs="Arial"/>
                <w:sz w:val="20"/>
              </w:rPr>
            </w:pPr>
          </w:p>
        </w:tc>
      </w:tr>
      <w:tr w:rsidR="00A17C17" w:rsidRPr="00E70587" w14:paraId="3AD31F4A" w14:textId="77777777" w:rsidTr="00FE707C">
        <w:tc>
          <w:tcPr>
            <w:tcW w:w="0" w:type="auto"/>
            <w:tcBorders>
              <w:top w:val="nil"/>
              <w:left w:val="nil"/>
              <w:bottom w:val="nil"/>
              <w:right w:val="nil"/>
            </w:tcBorders>
            <w:shd w:val="clear" w:color="auto" w:fill="C1C1C1" w:themeFill="background2" w:themeFillTint="66"/>
          </w:tcPr>
          <w:p w14:paraId="05C5FF72" w14:textId="77777777" w:rsidR="00A17C17" w:rsidRPr="00E70587" w:rsidRDefault="00A17C17" w:rsidP="00B43785">
            <w:pPr>
              <w:pStyle w:val="Greybox"/>
              <w:shd w:val="clear" w:color="auto" w:fill="C1C1C1" w:themeFill="background1" w:themeFillTint="66"/>
              <w:spacing w:line="280" w:lineRule="exact"/>
              <w:jc w:val="both"/>
              <w:rPr>
                <w:rFonts w:ascii="Arial" w:hAnsi="Arial"/>
                <w:b/>
                <w:color w:val="auto"/>
                <w:sz w:val="20"/>
              </w:rPr>
            </w:pPr>
            <w:r w:rsidRPr="00E70587">
              <w:rPr>
                <w:rFonts w:ascii="Arial" w:hAnsi="Arial"/>
                <w:b/>
                <w:color w:val="auto"/>
                <w:sz w:val="20"/>
              </w:rPr>
              <w:t>Authors’ note</w:t>
            </w:r>
          </w:p>
          <w:p w14:paraId="17E55F28" w14:textId="77777777" w:rsidR="00B43785" w:rsidRPr="00E70587" w:rsidRDefault="00B43785" w:rsidP="00B43785">
            <w:pPr>
              <w:pStyle w:val="Greybox"/>
              <w:shd w:val="clear" w:color="auto" w:fill="C1C1C1" w:themeFill="background1" w:themeFillTint="66"/>
              <w:spacing w:line="280" w:lineRule="exact"/>
              <w:jc w:val="both"/>
              <w:rPr>
                <w:rFonts w:ascii="Arial" w:hAnsi="Arial"/>
                <w:color w:val="auto"/>
                <w:sz w:val="20"/>
              </w:rPr>
            </w:pPr>
          </w:p>
          <w:p w14:paraId="5580317C" w14:textId="77777777" w:rsidR="00A17C17" w:rsidRPr="00E70587" w:rsidRDefault="00A17C17" w:rsidP="00B43785">
            <w:pPr>
              <w:pStyle w:val="Greybox"/>
              <w:shd w:val="clear" w:color="auto" w:fill="C1C1C1" w:themeFill="background1" w:themeFillTint="66"/>
              <w:spacing w:line="280" w:lineRule="exact"/>
              <w:jc w:val="both"/>
              <w:rPr>
                <w:rFonts w:ascii="Arial" w:hAnsi="Arial"/>
                <w:color w:val="auto"/>
                <w:sz w:val="20"/>
              </w:rPr>
            </w:pPr>
            <w:r w:rsidRPr="00E70587">
              <w:rPr>
                <w:rFonts w:ascii="Arial" w:hAnsi="Arial"/>
                <w:color w:val="auto"/>
                <w:sz w:val="20"/>
              </w:rPr>
              <w:t xml:space="preserve">Ind-AS 112 requires separate presentation of goodwill and other adjustments to the investments in joint ventures and associates in the above reconciliation. The Group does not have goodwill or other adjustments. </w:t>
            </w:r>
          </w:p>
          <w:p w14:paraId="31F7457A" w14:textId="77777777" w:rsidR="00A17C17" w:rsidRPr="00E70587" w:rsidRDefault="00A17C17" w:rsidP="00B43785">
            <w:pPr>
              <w:pStyle w:val="Greybox"/>
              <w:shd w:val="clear" w:color="auto" w:fill="C1C1C1" w:themeFill="background1" w:themeFillTint="66"/>
              <w:spacing w:line="280" w:lineRule="exact"/>
              <w:jc w:val="both"/>
              <w:rPr>
                <w:rFonts w:ascii="Arial" w:hAnsi="Arial"/>
                <w:color w:val="auto"/>
                <w:sz w:val="20"/>
              </w:rPr>
            </w:pPr>
          </w:p>
          <w:p w14:paraId="76313494" w14:textId="77777777" w:rsidR="00A17C17" w:rsidRPr="00E70587" w:rsidRDefault="00A17C17" w:rsidP="00B43785">
            <w:pPr>
              <w:pStyle w:val="Greybox"/>
              <w:shd w:val="clear" w:color="auto" w:fill="C1C1C1" w:themeFill="background1" w:themeFillTint="66"/>
              <w:spacing w:line="280" w:lineRule="exact"/>
              <w:jc w:val="both"/>
              <w:rPr>
                <w:rFonts w:ascii="Arial" w:hAnsi="Arial"/>
                <w:color w:val="auto"/>
                <w:sz w:val="20"/>
              </w:rPr>
            </w:pPr>
            <w:r w:rsidRPr="00E70587">
              <w:rPr>
                <w:rFonts w:ascii="Arial" w:hAnsi="Arial"/>
                <w:color w:val="auto"/>
                <w:sz w:val="20"/>
              </w:rPr>
              <w:t>Ind-AS 112 requires the separate disclosure of information for joint operations, as it relates to all types of joint arrangements. The Group does not have any joint operations.</w:t>
            </w:r>
          </w:p>
          <w:p w14:paraId="58BB1B1C" w14:textId="77777777" w:rsidR="00FE707C" w:rsidRPr="00E70587" w:rsidRDefault="00FE707C" w:rsidP="00FE707C">
            <w:pPr>
              <w:rPr>
                <w:rFonts w:ascii="Arial" w:hAnsi="Arial"/>
                <w:sz w:val="20"/>
              </w:rPr>
            </w:pPr>
            <w:r w:rsidRPr="00E70587">
              <w:rPr>
                <w:rFonts w:ascii="Arial" w:hAnsi="Arial" w:cs="Arial"/>
                <w:sz w:val="20"/>
              </w:rPr>
              <w:t>Ind AS 112.B15 allows this information to be provided using alternative bases, if the entity measures its interest in the joint venture at fair value, and if the joint venture does not prepare Ind AS financial statements and preparation on that basis would be impracticable or cause undue cost. Applying both the impracticable and undue cost thresholds involves significant judgement and must be carefully considered in the context of the specific facts and circumstances. One key aspect be considered is that Ind AS roadmap requires subsidiaries, associates and joint ventures of companies covered under Ind AS roadmap to adopt Ind AS from the same date as its parent/ investors. In either case, the entity is required to disclose the basis on which the information is provided. The Group has presented the summarised financial information of the joint venture based on their Ind AS financial statements.</w:t>
            </w:r>
          </w:p>
          <w:p w14:paraId="1D0BD911" w14:textId="77777777" w:rsidR="00A17C17" w:rsidRPr="00E70587" w:rsidRDefault="00A17C17" w:rsidP="00B43785">
            <w:pPr>
              <w:pStyle w:val="Greybox"/>
              <w:shd w:val="clear" w:color="auto" w:fill="C1C1C1" w:themeFill="background1" w:themeFillTint="66"/>
              <w:spacing w:line="280" w:lineRule="exact"/>
              <w:jc w:val="both"/>
              <w:rPr>
                <w:rFonts w:ascii="Arial" w:hAnsi="Arial"/>
                <w:color w:val="auto"/>
                <w:sz w:val="20"/>
              </w:rPr>
            </w:pPr>
          </w:p>
          <w:p w14:paraId="6A93171F" w14:textId="77777777" w:rsidR="00A17C17" w:rsidRPr="00E70587" w:rsidRDefault="00A17C17" w:rsidP="00B43785">
            <w:pPr>
              <w:pStyle w:val="Greybox"/>
              <w:shd w:val="clear" w:color="auto" w:fill="C1C1C1" w:themeFill="background1" w:themeFillTint="66"/>
              <w:spacing w:line="280" w:lineRule="exact"/>
              <w:jc w:val="both"/>
              <w:rPr>
                <w:rFonts w:ascii="Arial" w:hAnsi="Arial"/>
                <w:color w:val="auto"/>
                <w:sz w:val="20"/>
              </w:rPr>
            </w:pPr>
            <w:r w:rsidRPr="00E70587">
              <w:rPr>
                <w:rFonts w:ascii="Arial" w:hAnsi="Arial"/>
                <w:color w:val="auto"/>
                <w:sz w:val="20"/>
              </w:rPr>
              <w:t>Ind-AS 112 requires additional disclosures when the financial statements of the joint venture or associate used in applying equity method are as of a different date or for a different period from that of the entity. This is not applicable to the Group.</w:t>
            </w:r>
          </w:p>
          <w:p w14:paraId="27EAF813" w14:textId="77777777" w:rsidR="00A17C17" w:rsidRPr="00E70587" w:rsidRDefault="00A17C17" w:rsidP="00B43785">
            <w:pPr>
              <w:pStyle w:val="Greybox"/>
              <w:shd w:val="clear" w:color="auto" w:fill="C1C1C1" w:themeFill="background1" w:themeFillTint="66"/>
              <w:spacing w:line="280" w:lineRule="exact"/>
              <w:jc w:val="both"/>
              <w:rPr>
                <w:rFonts w:ascii="Arial" w:hAnsi="Arial"/>
                <w:b/>
                <w:color w:val="auto"/>
                <w:sz w:val="20"/>
              </w:rPr>
            </w:pPr>
          </w:p>
          <w:p w14:paraId="7C3BB562" w14:textId="77777777" w:rsidR="00A17C17" w:rsidRPr="00E70587" w:rsidRDefault="00A17C17" w:rsidP="00B43785">
            <w:pPr>
              <w:pStyle w:val="Greybox"/>
              <w:shd w:val="clear" w:color="auto" w:fill="C1C1C1" w:themeFill="background1" w:themeFillTint="66"/>
              <w:spacing w:line="280" w:lineRule="exact"/>
              <w:jc w:val="both"/>
              <w:rPr>
                <w:rFonts w:ascii="Arial" w:hAnsi="Arial"/>
                <w:color w:val="auto"/>
                <w:sz w:val="20"/>
              </w:rPr>
            </w:pPr>
            <w:r w:rsidRPr="00E70587">
              <w:rPr>
                <w:rFonts w:ascii="Arial" w:hAnsi="Arial"/>
                <w:color w:val="auto"/>
                <w:sz w:val="20"/>
              </w:rPr>
              <w:t>Ind-AS 112 require disclosure of the aggregated information of associates and joint ventures that are not individually material. The Group did not have any immaterial associates or joint ventures.</w:t>
            </w:r>
            <w:r w:rsidRPr="00E70587">
              <w:rPr>
                <w:rFonts w:ascii="Arial" w:hAnsi="Arial"/>
                <w:color w:val="auto"/>
                <w:sz w:val="20"/>
              </w:rPr>
              <w:tab/>
            </w:r>
          </w:p>
          <w:p w14:paraId="19AA718E" w14:textId="77777777" w:rsidR="00B43785" w:rsidRPr="00E70587" w:rsidRDefault="00B43785" w:rsidP="00B43785">
            <w:pPr>
              <w:pStyle w:val="Greybox"/>
              <w:shd w:val="clear" w:color="auto" w:fill="C1C1C1" w:themeFill="background1" w:themeFillTint="66"/>
              <w:spacing w:line="280" w:lineRule="exact"/>
              <w:jc w:val="both"/>
              <w:rPr>
                <w:rFonts w:ascii="Arial" w:hAnsi="Arial"/>
                <w:b/>
                <w:color w:val="auto"/>
                <w:sz w:val="20"/>
              </w:rPr>
            </w:pPr>
          </w:p>
        </w:tc>
      </w:tr>
    </w:tbl>
    <w:p w14:paraId="50643765" w14:textId="2A00EFFF" w:rsidR="00BA746C" w:rsidRDefault="00BA746C" w:rsidP="009901E1">
      <w:pPr>
        <w:spacing w:line="280" w:lineRule="exact"/>
        <w:jc w:val="both"/>
        <w:rPr>
          <w:rFonts w:ascii="Arial" w:hAnsi="Arial" w:cs="Arial"/>
          <w:sz w:val="20"/>
        </w:rPr>
      </w:pPr>
    </w:p>
    <w:p w14:paraId="5834B885" w14:textId="77777777" w:rsidR="008805C6" w:rsidRPr="008805C6" w:rsidRDefault="008805C6" w:rsidP="00D111FA">
      <w:pPr>
        <w:shd w:val="clear" w:color="auto" w:fill="C1C1C1" w:themeFill="background2" w:themeFillTint="66"/>
        <w:spacing w:line="280" w:lineRule="exact"/>
        <w:jc w:val="both"/>
        <w:rPr>
          <w:rFonts w:ascii="Arial" w:hAnsi="Arial" w:cs="Arial"/>
          <w:b/>
          <w:bCs/>
          <w:sz w:val="20"/>
        </w:rPr>
      </w:pPr>
      <w:r w:rsidRPr="008805C6">
        <w:rPr>
          <w:rFonts w:ascii="Arial" w:hAnsi="Arial" w:cs="Arial"/>
          <w:b/>
          <w:bCs/>
          <w:sz w:val="20"/>
        </w:rPr>
        <w:t xml:space="preserve">Covid-19 commentary </w:t>
      </w:r>
    </w:p>
    <w:p w14:paraId="0103D817" w14:textId="01EED7A2" w:rsidR="008805C6" w:rsidRDefault="008805C6" w:rsidP="00D111FA">
      <w:pPr>
        <w:shd w:val="clear" w:color="auto" w:fill="C1C1C1" w:themeFill="background2" w:themeFillTint="66"/>
        <w:spacing w:line="280" w:lineRule="exact"/>
        <w:jc w:val="both"/>
        <w:rPr>
          <w:rFonts w:ascii="Arial" w:hAnsi="Arial" w:cs="Arial"/>
          <w:sz w:val="20"/>
        </w:rPr>
      </w:pPr>
      <w:r w:rsidRPr="008805C6">
        <w:rPr>
          <w:rFonts w:ascii="Arial" w:hAnsi="Arial" w:cs="Arial"/>
          <w:sz w:val="20"/>
        </w:rPr>
        <w:t>Entities will need to consider whether there is any impairment of their investments in associates. Impairment charges relating to investments in associates should be accounted for in accordance with the equity method under I</w:t>
      </w:r>
      <w:r>
        <w:rPr>
          <w:rFonts w:ascii="Arial" w:hAnsi="Arial" w:cs="Arial"/>
          <w:sz w:val="20"/>
        </w:rPr>
        <w:t xml:space="preserve">nd </w:t>
      </w:r>
      <w:r w:rsidRPr="008805C6">
        <w:rPr>
          <w:rFonts w:ascii="Arial" w:hAnsi="Arial" w:cs="Arial"/>
          <w:sz w:val="20"/>
        </w:rPr>
        <w:t>AS 28. I</w:t>
      </w:r>
      <w:r>
        <w:rPr>
          <w:rFonts w:ascii="Arial" w:hAnsi="Arial" w:cs="Arial"/>
          <w:sz w:val="20"/>
        </w:rPr>
        <w:t xml:space="preserve">nd </w:t>
      </w:r>
      <w:r w:rsidRPr="008805C6">
        <w:rPr>
          <w:rFonts w:ascii="Arial" w:hAnsi="Arial" w:cs="Arial"/>
          <w:sz w:val="20"/>
        </w:rPr>
        <w:t>AS 28 requires the investment in an associate to be considered as a single cash-generating unit, rather than ‘drilling down’ into the separate cash-generating units determined by the associate. The impairment test should be undertaken in accordance with the requirements of I</w:t>
      </w:r>
      <w:r>
        <w:rPr>
          <w:rFonts w:ascii="Arial" w:hAnsi="Arial" w:cs="Arial"/>
          <w:sz w:val="20"/>
        </w:rPr>
        <w:t xml:space="preserve">nd </w:t>
      </w:r>
      <w:r w:rsidRPr="008805C6">
        <w:rPr>
          <w:rFonts w:ascii="Arial" w:hAnsi="Arial" w:cs="Arial"/>
          <w:sz w:val="20"/>
        </w:rPr>
        <w:t>AS 36.</w:t>
      </w:r>
    </w:p>
    <w:p w14:paraId="42D30837" w14:textId="77777777" w:rsidR="008805C6" w:rsidRDefault="008805C6" w:rsidP="008805C6">
      <w:pPr>
        <w:spacing w:line="280" w:lineRule="exact"/>
        <w:jc w:val="both"/>
        <w:rPr>
          <w:rFonts w:ascii="Arial" w:hAnsi="Arial" w:cs="Arial"/>
          <w:sz w:val="20"/>
        </w:rPr>
      </w:pPr>
    </w:p>
    <w:p w14:paraId="210A5A49" w14:textId="77777777" w:rsidR="008805C6" w:rsidRPr="00E70587" w:rsidRDefault="008805C6" w:rsidP="009901E1">
      <w:pPr>
        <w:spacing w:line="280" w:lineRule="exact"/>
        <w:jc w:val="both"/>
        <w:rPr>
          <w:rFonts w:ascii="Arial" w:hAnsi="Arial" w:cs="Arial"/>
          <w:sz w:val="20"/>
        </w:rPr>
      </w:pPr>
    </w:p>
    <w:p w14:paraId="2FADEB8B" w14:textId="77777777" w:rsidR="003B22DB" w:rsidRPr="00E70587" w:rsidRDefault="004D44D2"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Gratuity</w:t>
      </w:r>
      <w:r w:rsidR="003B22DB" w:rsidRPr="00E70587">
        <w:rPr>
          <w:rFonts w:ascii="Arial" w:hAnsi="Arial" w:cs="Arial"/>
          <w:sz w:val="20"/>
          <w:szCs w:val="20"/>
        </w:rPr>
        <w:t xml:space="preserve"> and other post-employment benefit plans</w:t>
      </w:r>
    </w:p>
    <w:p w14:paraId="3E3202C5" w14:textId="77777777" w:rsidR="00B43785" w:rsidRPr="00E70587" w:rsidRDefault="00B43785" w:rsidP="00B43785">
      <w:pPr>
        <w:pStyle w:val="ViralheadingL2"/>
        <w:keepNext w:val="0"/>
        <w:spacing w:before="0" w:after="0" w:line="280" w:lineRule="exact"/>
        <w:outlineLvl w:val="9"/>
        <w:rPr>
          <w:rFonts w:ascii="Arial" w:hAnsi="Arial" w:cs="Arial"/>
          <w:sz w:val="20"/>
          <w:szCs w:val="20"/>
        </w:rPr>
      </w:pPr>
    </w:p>
    <w:tbl>
      <w:tblPr>
        <w:tblW w:w="9576" w:type="dxa"/>
        <w:tblLayout w:type="fixed"/>
        <w:tblLook w:val="01E0" w:firstRow="1" w:lastRow="1" w:firstColumn="1" w:lastColumn="1" w:noHBand="0" w:noVBand="0"/>
      </w:tblPr>
      <w:tblGrid>
        <w:gridCol w:w="4419"/>
        <w:gridCol w:w="1842"/>
        <w:gridCol w:w="1842"/>
        <w:gridCol w:w="1473"/>
      </w:tblGrid>
      <w:tr w:rsidR="00A17C17" w:rsidRPr="00E70587" w14:paraId="399E9BD0" w14:textId="77777777" w:rsidTr="009A5E2F">
        <w:tc>
          <w:tcPr>
            <w:tcW w:w="4320" w:type="dxa"/>
            <w:shd w:val="clear" w:color="auto" w:fill="auto"/>
          </w:tcPr>
          <w:p w14:paraId="1FA12027" w14:textId="77777777" w:rsidR="00A17C17" w:rsidRPr="00E70587" w:rsidRDefault="00A17C17" w:rsidP="00B43785">
            <w:pPr>
              <w:spacing w:line="280" w:lineRule="exact"/>
              <w:jc w:val="both"/>
              <w:rPr>
                <w:rFonts w:ascii="Arial" w:hAnsi="Arial" w:cs="Arial"/>
              </w:rPr>
            </w:pPr>
          </w:p>
        </w:tc>
        <w:tc>
          <w:tcPr>
            <w:tcW w:w="1800" w:type="dxa"/>
            <w:tcBorders>
              <w:bottom w:val="single" w:sz="4" w:space="0" w:color="auto"/>
            </w:tcBorders>
            <w:vAlign w:val="bottom"/>
          </w:tcPr>
          <w:p w14:paraId="035B30D1" w14:textId="5D544C9C" w:rsidR="00A17C17" w:rsidRPr="00E70587" w:rsidDel="00AA690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E530C3" w:rsidRPr="00E70587">
              <w:rPr>
                <w:rFonts w:ascii="Arial" w:hAnsi="Arial"/>
                <w:color w:val="auto"/>
                <w:sz w:val="20"/>
                <w:szCs w:val="20"/>
                <w:lang w:val="en-IN"/>
              </w:rPr>
              <w:t>20</w:t>
            </w:r>
            <w:r w:rsidR="00E530C3">
              <w:rPr>
                <w:rFonts w:ascii="Arial" w:hAnsi="Arial"/>
                <w:color w:val="auto"/>
                <w:sz w:val="20"/>
                <w:szCs w:val="20"/>
                <w:lang w:val="en-IN"/>
              </w:rPr>
              <w:t>21</w:t>
            </w:r>
          </w:p>
        </w:tc>
        <w:tc>
          <w:tcPr>
            <w:tcW w:w="1800" w:type="dxa"/>
            <w:tcBorders>
              <w:bottom w:val="single" w:sz="4" w:space="0" w:color="auto"/>
            </w:tcBorders>
            <w:shd w:val="clear" w:color="auto" w:fill="auto"/>
            <w:vAlign w:val="bottom"/>
          </w:tcPr>
          <w:p w14:paraId="5C6C81B0" w14:textId="060BE2BA"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E530C3" w:rsidRPr="00E70587">
              <w:rPr>
                <w:rFonts w:ascii="Arial" w:hAnsi="Arial"/>
                <w:color w:val="auto"/>
                <w:sz w:val="20"/>
                <w:szCs w:val="20"/>
                <w:lang w:val="en-IN"/>
              </w:rPr>
              <w:t>20</w:t>
            </w:r>
            <w:r w:rsidR="00E530C3">
              <w:rPr>
                <w:rFonts w:ascii="Arial" w:hAnsi="Arial"/>
                <w:color w:val="auto"/>
                <w:sz w:val="20"/>
                <w:szCs w:val="20"/>
                <w:lang w:val="en-IN"/>
              </w:rPr>
              <w:t>20</w:t>
            </w:r>
          </w:p>
        </w:tc>
        <w:tc>
          <w:tcPr>
            <w:tcW w:w="1440" w:type="dxa"/>
            <w:tcBorders>
              <w:bottom w:val="single" w:sz="4" w:space="0" w:color="auto"/>
            </w:tcBorders>
            <w:vAlign w:val="bottom"/>
          </w:tcPr>
          <w:p w14:paraId="49B82CE1" w14:textId="77777777" w:rsidR="00A17C17" w:rsidRPr="00E70587" w:rsidRDefault="00A17C17" w:rsidP="00B17D9B">
            <w:pPr>
              <w:pStyle w:val="Tablecolumnheading"/>
              <w:spacing w:line="280" w:lineRule="exact"/>
              <w:rPr>
                <w:rFonts w:ascii="Arial" w:hAnsi="Arial"/>
                <w:color w:val="auto"/>
                <w:sz w:val="20"/>
                <w:szCs w:val="20"/>
                <w:lang w:val="en-IN"/>
              </w:rPr>
            </w:pPr>
          </w:p>
        </w:tc>
      </w:tr>
      <w:tr w:rsidR="00A17C17" w:rsidRPr="00E70587" w14:paraId="2FA11EFD" w14:textId="77777777" w:rsidTr="009A5E2F">
        <w:tc>
          <w:tcPr>
            <w:tcW w:w="4320" w:type="dxa"/>
          </w:tcPr>
          <w:p w14:paraId="14CC5FDE" w14:textId="77777777" w:rsidR="00A17C17" w:rsidRPr="00E70587" w:rsidRDefault="00A17C17" w:rsidP="009901E1">
            <w:pPr>
              <w:pStyle w:val="000Normal"/>
              <w:spacing w:before="0" w:after="0" w:line="280" w:lineRule="exact"/>
              <w:jc w:val="right"/>
              <w:rPr>
                <w:rFonts w:ascii="Arial" w:hAnsi="Arial" w:cs="Arial"/>
                <w:b/>
                <w:sz w:val="20"/>
              </w:rPr>
            </w:pPr>
          </w:p>
        </w:tc>
        <w:tc>
          <w:tcPr>
            <w:tcW w:w="1800" w:type="dxa"/>
            <w:tcBorders>
              <w:top w:val="single" w:sz="4" w:space="0" w:color="auto"/>
            </w:tcBorders>
          </w:tcPr>
          <w:p w14:paraId="7F86914D"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00" w:type="dxa"/>
            <w:tcBorders>
              <w:top w:val="single" w:sz="4" w:space="0" w:color="auto"/>
            </w:tcBorders>
            <w:shd w:val="clear" w:color="auto" w:fill="auto"/>
          </w:tcPr>
          <w:p w14:paraId="68812604"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440" w:type="dxa"/>
            <w:tcBorders>
              <w:top w:val="single" w:sz="4" w:space="0" w:color="auto"/>
            </w:tcBorders>
          </w:tcPr>
          <w:p w14:paraId="3D9C48C9" w14:textId="77777777" w:rsidR="00A17C17" w:rsidRPr="00E70587" w:rsidRDefault="00A17C17" w:rsidP="009901E1">
            <w:pPr>
              <w:pStyle w:val="Tablecolumnheading"/>
              <w:spacing w:line="280" w:lineRule="exact"/>
              <w:rPr>
                <w:rFonts w:ascii="Arial" w:hAnsi="Arial"/>
                <w:color w:val="auto"/>
                <w:sz w:val="20"/>
                <w:szCs w:val="20"/>
                <w:lang w:val="en-IN"/>
              </w:rPr>
            </w:pPr>
          </w:p>
        </w:tc>
      </w:tr>
      <w:tr w:rsidR="00A17C17" w:rsidRPr="00E70587" w14:paraId="69346803" w14:textId="77777777" w:rsidTr="009A5E2F">
        <w:tc>
          <w:tcPr>
            <w:tcW w:w="4320" w:type="dxa"/>
            <w:tcMar>
              <w:top w:w="28" w:type="dxa"/>
            </w:tcMar>
            <w:vAlign w:val="bottom"/>
          </w:tcPr>
          <w:p w14:paraId="532E8CD3"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US post-employment healthcare benefit plan</w:t>
            </w:r>
          </w:p>
        </w:tc>
        <w:tc>
          <w:tcPr>
            <w:tcW w:w="1800" w:type="dxa"/>
          </w:tcPr>
          <w:p w14:paraId="3BDD6E58"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(610) </w:t>
            </w:r>
          </w:p>
        </w:tc>
        <w:tc>
          <w:tcPr>
            <w:tcW w:w="1800" w:type="dxa"/>
            <w:shd w:val="clear" w:color="auto" w:fill="auto"/>
            <w:tcMar>
              <w:top w:w="28" w:type="dxa"/>
              <w:right w:w="57" w:type="dxa"/>
            </w:tcMar>
          </w:tcPr>
          <w:p w14:paraId="38DEEAD4"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(355) </w:t>
            </w:r>
          </w:p>
        </w:tc>
        <w:tc>
          <w:tcPr>
            <w:tcW w:w="1440" w:type="dxa"/>
            <w:vAlign w:val="center"/>
          </w:tcPr>
          <w:p w14:paraId="5AE39E15" w14:textId="77777777" w:rsidR="00A17C17" w:rsidRPr="00E70587" w:rsidRDefault="00A17C17" w:rsidP="009901E1">
            <w:pPr>
              <w:overflowPunct/>
              <w:spacing w:line="280" w:lineRule="exact"/>
              <w:jc w:val="right"/>
              <w:textAlignment w:val="auto"/>
              <w:rPr>
                <w:rFonts w:ascii="Arial" w:hAnsi="Arial" w:cs="Arial"/>
                <w:sz w:val="20"/>
                <w:lang w:eastAsia="en-GB"/>
              </w:rPr>
            </w:pPr>
          </w:p>
        </w:tc>
      </w:tr>
      <w:tr w:rsidR="00A17C17" w:rsidRPr="00E70587" w14:paraId="4A86E7EB" w14:textId="77777777" w:rsidTr="009A5E2F">
        <w:tc>
          <w:tcPr>
            <w:tcW w:w="4320" w:type="dxa"/>
            <w:tcMar>
              <w:top w:w="28" w:type="dxa"/>
            </w:tcMar>
            <w:vAlign w:val="bottom"/>
          </w:tcPr>
          <w:p w14:paraId="1A8739DF"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India gratuity plan</w:t>
            </w:r>
          </w:p>
        </w:tc>
        <w:tc>
          <w:tcPr>
            <w:tcW w:w="1800" w:type="dxa"/>
            <w:tcBorders>
              <w:bottom w:val="single" w:sz="4" w:space="0" w:color="auto"/>
            </w:tcBorders>
          </w:tcPr>
          <w:p w14:paraId="50C3E060"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(4,880) </w:t>
            </w:r>
          </w:p>
        </w:tc>
        <w:tc>
          <w:tcPr>
            <w:tcW w:w="1800" w:type="dxa"/>
            <w:tcBorders>
              <w:bottom w:val="single" w:sz="4" w:space="0" w:color="auto"/>
            </w:tcBorders>
            <w:shd w:val="clear" w:color="auto" w:fill="auto"/>
            <w:tcMar>
              <w:top w:w="28" w:type="dxa"/>
              <w:right w:w="57" w:type="dxa"/>
            </w:tcMar>
          </w:tcPr>
          <w:p w14:paraId="05839DD8"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(5,004) </w:t>
            </w:r>
          </w:p>
        </w:tc>
        <w:tc>
          <w:tcPr>
            <w:tcW w:w="1440" w:type="dxa"/>
            <w:tcBorders>
              <w:bottom w:val="single" w:sz="4" w:space="0" w:color="auto"/>
            </w:tcBorders>
            <w:vAlign w:val="center"/>
          </w:tcPr>
          <w:p w14:paraId="254B0837" w14:textId="77777777" w:rsidR="00A17C17" w:rsidRPr="00E70587" w:rsidRDefault="00A17C17" w:rsidP="009901E1">
            <w:pPr>
              <w:overflowPunct/>
              <w:spacing w:line="280" w:lineRule="exact"/>
              <w:jc w:val="right"/>
              <w:textAlignment w:val="auto"/>
              <w:rPr>
                <w:rFonts w:ascii="Arial" w:hAnsi="Arial" w:cs="Arial"/>
                <w:sz w:val="20"/>
                <w:lang w:eastAsia="en-GB"/>
              </w:rPr>
            </w:pPr>
          </w:p>
        </w:tc>
      </w:tr>
      <w:tr w:rsidR="00A17C17" w:rsidRPr="00E70587" w14:paraId="7B83A343" w14:textId="77777777" w:rsidTr="009A5E2F">
        <w:tc>
          <w:tcPr>
            <w:tcW w:w="4320" w:type="dxa"/>
            <w:tcMar>
              <w:top w:w="28" w:type="dxa"/>
            </w:tcMar>
            <w:vAlign w:val="center"/>
          </w:tcPr>
          <w:p w14:paraId="347BF638"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w:t>
            </w:r>
          </w:p>
        </w:tc>
        <w:tc>
          <w:tcPr>
            <w:tcW w:w="1800" w:type="dxa"/>
            <w:tcBorders>
              <w:top w:val="single" w:sz="4" w:space="0" w:color="auto"/>
            </w:tcBorders>
          </w:tcPr>
          <w:p w14:paraId="12A17FA3"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 (5,490) </w:t>
            </w:r>
          </w:p>
        </w:tc>
        <w:tc>
          <w:tcPr>
            <w:tcW w:w="1800" w:type="dxa"/>
            <w:tcBorders>
              <w:top w:val="single" w:sz="4" w:space="0" w:color="auto"/>
            </w:tcBorders>
            <w:shd w:val="clear" w:color="auto" w:fill="auto"/>
            <w:tcMar>
              <w:top w:w="28" w:type="dxa"/>
              <w:right w:w="57" w:type="dxa"/>
            </w:tcMar>
          </w:tcPr>
          <w:p w14:paraId="58AA5A05"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(5,359) </w:t>
            </w:r>
          </w:p>
        </w:tc>
        <w:tc>
          <w:tcPr>
            <w:tcW w:w="1440" w:type="dxa"/>
            <w:tcBorders>
              <w:top w:val="single" w:sz="4" w:space="0" w:color="auto"/>
            </w:tcBorders>
            <w:vAlign w:val="center"/>
          </w:tcPr>
          <w:p w14:paraId="1A4C4870" w14:textId="77777777" w:rsidR="00A17C17" w:rsidRPr="00E70587" w:rsidRDefault="00A17C17" w:rsidP="009901E1">
            <w:pPr>
              <w:overflowPunct/>
              <w:spacing w:line="280" w:lineRule="exact"/>
              <w:jc w:val="right"/>
              <w:textAlignment w:val="auto"/>
              <w:rPr>
                <w:rFonts w:ascii="Arial" w:hAnsi="Arial" w:cs="Arial"/>
                <w:b/>
                <w:bCs/>
                <w:sz w:val="20"/>
                <w:lang w:eastAsia="en-GB"/>
              </w:rPr>
            </w:pPr>
          </w:p>
        </w:tc>
      </w:tr>
      <w:tr w:rsidR="00A17C17" w:rsidRPr="00E70587" w14:paraId="213D3E75" w14:textId="77777777" w:rsidTr="009A5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360" w:type="dxa"/>
            <w:gridSpan w:val="4"/>
            <w:tcBorders>
              <w:top w:val="nil"/>
              <w:left w:val="nil"/>
              <w:bottom w:val="nil"/>
              <w:right w:val="nil"/>
            </w:tcBorders>
          </w:tcPr>
          <w:p w14:paraId="041B327C" w14:textId="77777777" w:rsidR="00B43785" w:rsidRPr="00E70587" w:rsidRDefault="00B43785" w:rsidP="00B43785">
            <w:pPr>
              <w:pStyle w:val="Notesbodytext"/>
              <w:spacing w:after="0" w:line="280" w:lineRule="exact"/>
              <w:jc w:val="both"/>
              <w:rPr>
                <w:rFonts w:ascii="Arial" w:hAnsi="Arial"/>
                <w:color w:val="auto"/>
                <w:sz w:val="20"/>
              </w:rPr>
            </w:pPr>
          </w:p>
          <w:p w14:paraId="226C7D50" w14:textId="77777777" w:rsidR="00A17C17" w:rsidRPr="00E70587" w:rsidRDefault="00A17C17" w:rsidP="00B43785">
            <w:pPr>
              <w:pStyle w:val="Notesbodytext"/>
              <w:spacing w:after="0" w:line="280" w:lineRule="exact"/>
              <w:jc w:val="both"/>
              <w:rPr>
                <w:rFonts w:ascii="Arial" w:hAnsi="Arial"/>
                <w:color w:val="auto"/>
                <w:sz w:val="20"/>
              </w:rPr>
            </w:pPr>
            <w:r w:rsidRPr="00E70587">
              <w:rPr>
                <w:rFonts w:ascii="Arial" w:hAnsi="Arial"/>
                <w:color w:val="auto"/>
                <w:sz w:val="20"/>
              </w:rPr>
              <w:t xml:space="preserve">The Group has a defined benefit gratuity plan in India (funded). Also, in the United States, the Group provides certain post-employment healthcare benefits to employees (unfunded). The Group’s defined benefit gratuity plan is a final salary plan for India employees, which requires contributions to be made to a separately administered fund. </w:t>
            </w:r>
          </w:p>
          <w:p w14:paraId="37103DBB" w14:textId="77777777" w:rsidR="00A17C17" w:rsidRPr="00E70587" w:rsidRDefault="00A17C17" w:rsidP="00B43785">
            <w:pPr>
              <w:pStyle w:val="Notesbodytext"/>
              <w:spacing w:after="0" w:line="280" w:lineRule="exact"/>
              <w:jc w:val="both"/>
              <w:rPr>
                <w:rFonts w:ascii="Arial" w:hAnsi="Arial"/>
                <w:color w:val="auto"/>
                <w:sz w:val="20"/>
              </w:rPr>
            </w:pPr>
          </w:p>
          <w:p w14:paraId="051CF658" w14:textId="77777777" w:rsidR="00A17C17" w:rsidRPr="00E70587" w:rsidRDefault="00A17C17" w:rsidP="00B43785">
            <w:pPr>
              <w:pStyle w:val="Notesbodytext"/>
              <w:spacing w:after="0" w:line="280" w:lineRule="exact"/>
              <w:jc w:val="both"/>
              <w:rPr>
                <w:rFonts w:ascii="Arial" w:hAnsi="Arial"/>
                <w:color w:val="auto"/>
                <w:sz w:val="20"/>
              </w:rPr>
            </w:pPr>
            <w:r w:rsidRPr="00E70587">
              <w:rPr>
                <w:rFonts w:ascii="Arial" w:hAnsi="Arial"/>
                <w:color w:val="auto"/>
                <w:sz w:val="20"/>
              </w:rPr>
              <w:t>The gratuity plan is governed by the Payment of Gratuity Act, 1972. Under the act, employee who has completed five years of service is entitle</w:t>
            </w:r>
            <w:r w:rsidR="00B43785" w:rsidRPr="00E70587">
              <w:rPr>
                <w:rFonts w:ascii="Arial" w:hAnsi="Arial"/>
                <w:color w:val="auto"/>
                <w:sz w:val="20"/>
              </w:rPr>
              <w:t>d</w:t>
            </w:r>
            <w:r w:rsidRPr="00E70587">
              <w:rPr>
                <w:rFonts w:ascii="Arial" w:hAnsi="Arial"/>
                <w:color w:val="auto"/>
                <w:sz w:val="20"/>
              </w:rPr>
              <w:t xml:space="preserve"> to specific benefit. The level of benefits provided depends on the member’s length of service and salary at retirement age. The fund has the form of a trust and it is governed by the Board of Trustees, which consists of an equal number of employer and employee representatives. The Board of Trustees is responsible for the administration of the plan assets and for the definit</w:t>
            </w:r>
            <w:r w:rsidR="00B43785" w:rsidRPr="00E70587">
              <w:rPr>
                <w:rFonts w:ascii="Arial" w:hAnsi="Arial"/>
                <w:color w:val="auto"/>
                <w:sz w:val="20"/>
              </w:rPr>
              <w:t>ion of the investment strategy.</w:t>
            </w:r>
          </w:p>
          <w:p w14:paraId="4323456A" w14:textId="77777777" w:rsidR="00A17C17" w:rsidRPr="00E70587" w:rsidRDefault="00A17C17" w:rsidP="00B43785">
            <w:pPr>
              <w:pStyle w:val="Notesbodytext"/>
              <w:spacing w:after="0" w:line="280" w:lineRule="exact"/>
              <w:jc w:val="both"/>
              <w:rPr>
                <w:rFonts w:ascii="Arial" w:hAnsi="Arial"/>
                <w:color w:val="auto"/>
                <w:sz w:val="20"/>
              </w:rPr>
            </w:pPr>
          </w:p>
          <w:p w14:paraId="3B2ADD3B" w14:textId="77777777" w:rsidR="00A17C17" w:rsidRPr="00E70587" w:rsidRDefault="00A17C17" w:rsidP="009901E1">
            <w:pPr>
              <w:pStyle w:val="Notesbodytext"/>
              <w:spacing w:after="0" w:line="280" w:lineRule="exact"/>
              <w:jc w:val="both"/>
              <w:rPr>
                <w:rFonts w:ascii="Arial" w:hAnsi="Arial"/>
                <w:color w:val="auto"/>
                <w:sz w:val="20"/>
              </w:rPr>
            </w:pPr>
            <w:r w:rsidRPr="00E70587">
              <w:rPr>
                <w:rFonts w:ascii="Arial" w:hAnsi="Arial"/>
                <w:color w:val="auto"/>
                <w:sz w:val="20"/>
              </w:rPr>
              <w:t>Each year, the Board of Trustees reviews the level of funding in the India gratuity plan. Such a review includes the asset-liability matching strategy and investment risk management policy. This includes employing the use of annuities and longevity swaps to manage the risks. The Board of Trustees decides its contribution based on the results of this annual review. Generally, it aims to have a portfolio mix of equity instruments, property and debt instruments.</w:t>
            </w:r>
            <w:r w:rsidR="00950163" w:rsidRPr="00E70587">
              <w:rPr>
                <w:rFonts w:ascii="Arial" w:hAnsi="Arial"/>
                <w:color w:val="auto"/>
                <w:sz w:val="20"/>
              </w:rPr>
              <w:t xml:space="preserve"> </w:t>
            </w:r>
            <w:proofErr w:type="gramStart"/>
            <w:r w:rsidRPr="00E70587">
              <w:rPr>
                <w:rFonts w:ascii="Arial" w:hAnsi="Arial"/>
                <w:color w:val="auto"/>
                <w:sz w:val="20"/>
              </w:rPr>
              <w:t>Generally</w:t>
            </w:r>
            <w:proofErr w:type="gramEnd"/>
            <w:r w:rsidRPr="00E70587">
              <w:rPr>
                <w:rFonts w:ascii="Arial" w:hAnsi="Arial"/>
                <w:color w:val="auto"/>
                <w:sz w:val="20"/>
              </w:rPr>
              <w:t xml:space="preserve"> equity instruments and property should not exceed 30% of total portfolio. The Board of Trustees aim to keep annual contributions relatively stable at a level such that no plan deficits (based on valuation performed) will arise.</w:t>
            </w:r>
          </w:p>
          <w:p w14:paraId="76760595" w14:textId="77777777" w:rsidR="00A17C17" w:rsidRPr="00E70587" w:rsidRDefault="00A17C17" w:rsidP="009901E1">
            <w:pPr>
              <w:pStyle w:val="Notesbodytext"/>
              <w:spacing w:after="0" w:line="280" w:lineRule="exact"/>
              <w:jc w:val="both"/>
              <w:rPr>
                <w:rFonts w:ascii="Arial" w:hAnsi="Arial"/>
                <w:color w:val="auto"/>
                <w:sz w:val="20"/>
              </w:rPr>
            </w:pPr>
          </w:p>
          <w:p w14:paraId="28C12D93" w14:textId="77777777" w:rsidR="00A17C17" w:rsidRPr="00E70587" w:rsidRDefault="00A17C17" w:rsidP="009901E1">
            <w:pPr>
              <w:pStyle w:val="Notesbodytext"/>
              <w:spacing w:after="0" w:line="280" w:lineRule="exact"/>
              <w:jc w:val="both"/>
              <w:rPr>
                <w:rFonts w:ascii="Arial" w:hAnsi="Arial"/>
                <w:color w:val="auto"/>
                <w:sz w:val="20"/>
              </w:rPr>
            </w:pPr>
            <w:r w:rsidRPr="00E70587">
              <w:rPr>
                <w:rFonts w:ascii="Arial" w:hAnsi="Arial"/>
                <w:color w:val="auto"/>
                <w:sz w:val="20"/>
              </w:rPr>
              <w:t>As the plan assets include significant investments in quoted equity shares of entities in manufacturing and consumer products sector, the Group is also exposed to equity market risk arising in the manufacturing and consumer products sector.</w:t>
            </w:r>
          </w:p>
          <w:p w14:paraId="15FE3167" w14:textId="77777777" w:rsidR="00A17C17" w:rsidRPr="00E70587" w:rsidRDefault="00A17C17" w:rsidP="009901E1">
            <w:pPr>
              <w:spacing w:line="280" w:lineRule="exact"/>
              <w:jc w:val="both"/>
              <w:rPr>
                <w:rFonts w:ascii="Arial" w:hAnsi="Arial" w:cs="Arial"/>
                <w:spacing w:val="-3"/>
                <w:sz w:val="20"/>
              </w:rPr>
            </w:pPr>
          </w:p>
          <w:p w14:paraId="53B9FD74" w14:textId="77777777" w:rsidR="00A17C17" w:rsidRPr="00E70587" w:rsidRDefault="00A17C17" w:rsidP="009901E1">
            <w:pPr>
              <w:spacing w:line="280" w:lineRule="exact"/>
              <w:jc w:val="both"/>
              <w:rPr>
                <w:rFonts w:ascii="Arial" w:hAnsi="Arial" w:cs="Arial"/>
                <w:sz w:val="20"/>
              </w:rPr>
            </w:pPr>
            <w:r w:rsidRPr="00E70587">
              <w:rPr>
                <w:rFonts w:ascii="Arial" w:hAnsi="Arial" w:cs="Arial"/>
                <w:spacing w:val="-3"/>
                <w:sz w:val="20"/>
              </w:rPr>
              <w:t>The following tables summarise the components of net benefit expense recognised in the statement of profit or loss and the funded status and amounts recognised in the balance sheet for the respective plans:</w:t>
            </w:r>
          </w:p>
        </w:tc>
      </w:tr>
    </w:tbl>
    <w:p w14:paraId="4591D6E2" w14:textId="77777777" w:rsidR="00543141" w:rsidRPr="00E70587" w:rsidRDefault="00543141" w:rsidP="00950163">
      <w:pPr>
        <w:pStyle w:val="Tablecolumnheading"/>
        <w:spacing w:line="280" w:lineRule="exact"/>
        <w:jc w:val="left"/>
        <w:rPr>
          <w:rFonts w:ascii="Arial" w:hAnsi="Arial"/>
          <w:szCs w:val="20"/>
          <w:lang w:val="en-IN"/>
        </w:rPr>
      </w:pPr>
    </w:p>
    <w:p w14:paraId="06ED87C7" w14:textId="77777777" w:rsidR="003B22DB" w:rsidRPr="00E70587" w:rsidRDefault="00C622B6" w:rsidP="00950163">
      <w:pPr>
        <w:pStyle w:val="Tablecolumnheading"/>
        <w:spacing w:line="280" w:lineRule="exact"/>
        <w:jc w:val="left"/>
        <w:rPr>
          <w:rFonts w:ascii="Arial" w:hAnsi="Arial"/>
          <w:szCs w:val="20"/>
          <w:lang w:val="en-IN"/>
        </w:rPr>
      </w:pPr>
      <w:r w:rsidRPr="00E70587">
        <w:rPr>
          <w:rFonts w:ascii="Arial" w:hAnsi="Arial"/>
          <w:szCs w:val="20"/>
          <w:lang w:val="en-IN"/>
        </w:rPr>
        <w:t xml:space="preserve">US </w:t>
      </w:r>
      <w:r w:rsidR="003B22DB" w:rsidRPr="00E70587">
        <w:rPr>
          <w:rFonts w:ascii="Arial" w:hAnsi="Arial"/>
          <w:color w:val="auto"/>
          <w:sz w:val="20"/>
          <w:szCs w:val="20"/>
          <w:lang w:val="en-IN"/>
        </w:rPr>
        <w:t>Post</w:t>
      </w:r>
      <w:r w:rsidR="003B22DB" w:rsidRPr="00E70587">
        <w:rPr>
          <w:rFonts w:ascii="Arial" w:hAnsi="Arial"/>
          <w:szCs w:val="20"/>
          <w:lang w:val="en-IN"/>
        </w:rPr>
        <w:t>-employment healthcare benefit plan</w:t>
      </w:r>
    </w:p>
    <w:tbl>
      <w:tblPr>
        <w:tblW w:w="9576" w:type="dxa"/>
        <w:tblLayout w:type="fixed"/>
        <w:tblLook w:val="01E0" w:firstRow="1" w:lastRow="1" w:firstColumn="1" w:lastColumn="1" w:noHBand="0" w:noVBand="0"/>
      </w:tblPr>
      <w:tblGrid>
        <w:gridCol w:w="6053"/>
        <w:gridCol w:w="1807"/>
        <w:gridCol w:w="1716"/>
      </w:tblGrid>
      <w:tr w:rsidR="00A17C17" w:rsidRPr="00E70587" w14:paraId="4ACDC946" w14:textId="77777777" w:rsidTr="009A5E2F">
        <w:tc>
          <w:tcPr>
            <w:tcW w:w="6030" w:type="dxa"/>
            <w:shd w:val="clear" w:color="auto" w:fill="auto"/>
          </w:tcPr>
          <w:p w14:paraId="617E9171" w14:textId="24111CE9" w:rsidR="00A17C17" w:rsidRPr="00E70587" w:rsidRDefault="00A17C17" w:rsidP="00950163">
            <w:pPr>
              <w:pStyle w:val="Tablecolumnheading"/>
              <w:spacing w:line="280" w:lineRule="exact"/>
              <w:jc w:val="left"/>
              <w:rPr>
                <w:rFonts w:ascii="Arial" w:hAnsi="Arial"/>
                <w:b w:val="0"/>
                <w:i/>
                <w:szCs w:val="20"/>
                <w:lang w:val="en-IN"/>
              </w:rPr>
            </w:pPr>
            <w:r w:rsidRPr="00E70587">
              <w:rPr>
                <w:rFonts w:ascii="Arial" w:hAnsi="Arial"/>
                <w:b w:val="0"/>
                <w:i/>
                <w:szCs w:val="20"/>
                <w:lang w:val="en-IN"/>
              </w:rPr>
              <w:t xml:space="preserve">Net </w:t>
            </w:r>
            <w:r w:rsidRPr="00E70587">
              <w:rPr>
                <w:rFonts w:ascii="Arial" w:hAnsi="Arial"/>
                <w:b w:val="0"/>
                <w:i/>
                <w:color w:val="auto"/>
                <w:sz w:val="20"/>
                <w:szCs w:val="20"/>
                <w:lang w:val="en-IN"/>
              </w:rPr>
              <w:t>benefit</w:t>
            </w:r>
            <w:r w:rsidRPr="00E70587">
              <w:rPr>
                <w:rFonts w:ascii="Arial" w:hAnsi="Arial"/>
                <w:b w:val="0"/>
                <w:i/>
                <w:szCs w:val="20"/>
                <w:lang w:val="en-IN"/>
              </w:rPr>
              <w:t xml:space="preserve"> expense 31 </w:t>
            </w:r>
            <w:r w:rsidR="00E1202D" w:rsidRPr="00E70587">
              <w:rPr>
                <w:rFonts w:ascii="Arial" w:hAnsi="Arial"/>
                <w:b w:val="0"/>
                <w:i/>
                <w:szCs w:val="20"/>
                <w:lang w:val="en-IN"/>
              </w:rPr>
              <w:t xml:space="preserve">March </w:t>
            </w:r>
            <w:r w:rsidR="00176DB9" w:rsidRPr="00E70587">
              <w:rPr>
                <w:rFonts w:ascii="Arial" w:hAnsi="Arial"/>
                <w:b w:val="0"/>
                <w:i/>
                <w:szCs w:val="20"/>
                <w:lang w:val="en-IN"/>
              </w:rPr>
              <w:t>20</w:t>
            </w:r>
            <w:r w:rsidR="00176DB9">
              <w:rPr>
                <w:rFonts w:ascii="Arial" w:hAnsi="Arial"/>
                <w:b w:val="0"/>
                <w:i/>
                <w:szCs w:val="20"/>
                <w:lang w:val="en-IN"/>
              </w:rPr>
              <w:t>21</w:t>
            </w:r>
            <w:r w:rsidR="00176DB9" w:rsidRPr="00E70587">
              <w:rPr>
                <w:rFonts w:ascii="Arial" w:hAnsi="Arial"/>
                <w:b w:val="0"/>
                <w:i/>
                <w:szCs w:val="20"/>
                <w:lang w:val="en-IN"/>
              </w:rPr>
              <w:t xml:space="preserve"> </w:t>
            </w:r>
            <w:r w:rsidRPr="00E70587">
              <w:rPr>
                <w:rFonts w:ascii="Arial" w:hAnsi="Arial"/>
                <w:b w:val="0"/>
                <w:i/>
                <w:szCs w:val="20"/>
                <w:lang w:val="en-IN"/>
              </w:rPr>
              <w:t>(recognised in profit or loss)</w:t>
            </w:r>
          </w:p>
        </w:tc>
        <w:tc>
          <w:tcPr>
            <w:tcW w:w="1800" w:type="dxa"/>
            <w:tcBorders>
              <w:bottom w:val="single" w:sz="4" w:space="0" w:color="auto"/>
            </w:tcBorders>
            <w:vAlign w:val="bottom"/>
          </w:tcPr>
          <w:p w14:paraId="4F9E8613" w14:textId="3F8ED536" w:rsidR="00A17C17" w:rsidRPr="00E70587" w:rsidDel="00AA690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176DB9" w:rsidRPr="00E70587">
              <w:rPr>
                <w:rFonts w:ascii="Arial" w:hAnsi="Arial"/>
                <w:color w:val="auto"/>
                <w:sz w:val="20"/>
                <w:szCs w:val="20"/>
                <w:lang w:val="en-IN"/>
              </w:rPr>
              <w:t>20</w:t>
            </w:r>
            <w:r w:rsidR="00176DB9">
              <w:rPr>
                <w:rFonts w:ascii="Arial" w:hAnsi="Arial"/>
                <w:color w:val="auto"/>
                <w:sz w:val="20"/>
                <w:szCs w:val="20"/>
                <w:lang w:val="en-IN"/>
              </w:rPr>
              <w:t>21</w:t>
            </w:r>
          </w:p>
        </w:tc>
        <w:tc>
          <w:tcPr>
            <w:tcW w:w="1710" w:type="dxa"/>
            <w:tcBorders>
              <w:bottom w:val="single" w:sz="4" w:space="0" w:color="auto"/>
            </w:tcBorders>
            <w:shd w:val="clear" w:color="auto" w:fill="auto"/>
            <w:vAlign w:val="bottom"/>
          </w:tcPr>
          <w:p w14:paraId="0F8A6192" w14:textId="659645CB"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176DB9" w:rsidRPr="00E70587">
              <w:rPr>
                <w:rFonts w:ascii="Arial" w:hAnsi="Arial"/>
                <w:color w:val="auto"/>
                <w:sz w:val="20"/>
                <w:szCs w:val="20"/>
                <w:lang w:val="en-IN"/>
              </w:rPr>
              <w:t>20</w:t>
            </w:r>
            <w:r w:rsidR="00176DB9">
              <w:rPr>
                <w:rFonts w:ascii="Arial" w:hAnsi="Arial"/>
                <w:color w:val="auto"/>
                <w:sz w:val="20"/>
                <w:szCs w:val="20"/>
                <w:lang w:val="en-IN"/>
              </w:rPr>
              <w:t>20</w:t>
            </w:r>
          </w:p>
        </w:tc>
      </w:tr>
      <w:tr w:rsidR="00A17C17" w:rsidRPr="00E70587" w14:paraId="7B0BECDF" w14:textId="77777777" w:rsidTr="009A5E2F">
        <w:tc>
          <w:tcPr>
            <w:tcW w:w="6030" w:type="dxa"/>
          </w:tcPr>
          <w:p w14:paraId="53AF54DA" w14:textId="77777777" w:rsidR="00A17C17" w:rsidRPr="00E70587" w:rsidRDefault="00A17C17" w:rsidP="009901E1">
            <w:pPr>
              <w:pStyle w:val="000Normal"/>
              <w:spacing w:before="0" w:after="0" w:line="280" w:lineRule="exact"/>
              <w:jc w:val="right"/>
              <w:rPr>
                <w:rFonts w:ascii="Arial" w:hAnsi="Arial" w:cs="Arial"/>
                <w:b/>
                <w:sz w:val="20"/>
              </w:rPr>
            </w:pPr>
          </w:p>
        </w:tc>
        <w:tc>
          <w:tcPr>
            <w:tcW w:w="1800" w:type="dxa"/>
            <w:tcBorders>
              <w:top w:val="single" w:sz="4" w:space="0" w:color="auto"/>
            </w:tcBorders>
          </w:tcPr>
          <w:p w14:paraId="0857018C"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710" w:type="dxa"/>
            <w:tcBorders>
              <w:top w:val="single" w:sz="4" w:space="0" w:color="auto"/>
            </w:tcBorders>
            <w:shd w:val="clear" w:color="auto" w:fill="auto"/>
          </w:tcPr>
          <w:p w14:paraId="0CE2FCE1"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7D3C2AAD" w14:textId="77777777" w:rsidTr="009A5E2F">
        <w:tc>
          <w:tcPr>
            <w:tcW w:w="6030" w:type="dxa"/>
            <w:tcMar>
              <w:top w:w="28" w:type="dxa"/>
            </w:tcMar>
            <w:vAlign w:val="bottom"/>
          </w:tcPr>
          <w:p w14:paraId="138B1C81"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Current service cost</w:t>
            </w:r>
          </w:p>
        </w:tc>
        <w:tc>
          <w:tcPr>
            <w:tcW w:w="1800" w:type="dxa"/>
          </w:tcPr>
          <w:p w14:paraId="5AD12D25"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(256) </w:t>
            </w:r>
          </w:p>
        </w:tc>
        <w:tc>
          <w:tcPr>
            <w:tcW w:w="1710" w:type="dxa"/>
            <w:shd w:val="clear" w:color="auto" w:fill="auto"/>
            <w:tcMar>
              <w:top w:w="28" w:type="dxa"/>
              <w:right w:w="57" w:type="dxa"/>
            </w:tcMar>
          </w:tcPr>
          <w:p w14:paraId="25BDCBB2"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(194) </w:t>
            </w:r>
          </w:p>
        </w:tc>
      </w:tr>
      <w:tr w:rsidR="00A17C17" w:rsidRPr="00E70587" w14:paraId="6232C5E9" w14:textId="77777777" w:rsidTr="009A5E2F">
        <w:tc>
          <w:tcPr>
            <w:tcW w:w="6030" w:type="dxa"/>
            <w:tcMar>
              <w:top w:w="28" w:type="dxa"/>
            </w:tcMar>
            <w:vAlign w:val="bottom"/>
          </w:tcPr>
          <w:p w14:paraId="083E25D6"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Interest cost on benefit obligation</w:t>
            </w:r>
          </w:p>
        </w:tc>
        <w:tc>
          <w:tcPr>
            <w:tcW w:w="1800" w:type="dxa"/>
            <w:tcBorders>
              <w:bottom w:val="single" w:sz="4" w:space="0" w:color="auto"/>
            </w:tcBorders>
          </w:tcPr>
          <w:p w14:paraId="533E474D"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(19) </w:t>
            </w:r>
          </w:p>
        </w:tc>
        <w:tc>
          <w:tcPr>
            <w:tcW w:w="1710" w:type="dxa"/>
            <w:tcBorders>
              <w:bottom w:val="single" w:sz="4" w:space="0" w:color="auto"/>
            </w:tcBorders>
            <w:shd w:val="clear" w:color="auto" w:fill="auto"/>
            <w:tcMar>
              <w:top w:w="28" w:type="dxa"/>
              <w:right w:w="57" w:type="dxa"/>
            </w:tcMar>
          </w:tcPr>
          <w:p w14:paraId="17423688"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(9) </w:t>
            </w:r>
          </w:p>
        </w:tc>
      </w:tr>
      <w:tr w:rsidR="00A17C17" w:rsidRPr="00E70587" w14:paraId="4286F6EE" w14:textId="77777777" w:rsidTr="009A5E2F">
        <w:tc>
          <w:tcPr>
            <w:tcW w:w="6030" w:type="dxa"/>
            <w:tcMar>
              <w:top w:w="28" w:type="dxa"/>
            </w:tcMar>
            <w:vAlign w:val="center"/>
          </w:tcPr>
          <w:p w14:paraId="50DF78ED"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Net benefit expense</w:t>
            </w:r>
          </w:p>
        </w:tc>
        <w:tc>
          <w:tcPr>
            <w:tcW w:w="1800" w:type="dxa"/>
            <w:tcBorders>
              <w:top w:val="single" w:sz="4" w:space="0" w:color="auto"/>
              <w:bottom w:val="double" w:sz="4" w:space="0" w:color="auto"/>
            </w:tcBorders>
          </w:tcPr>
          <w:p w14:paraId="282EEA8D"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 (275) </w:t>
            </w:r>
          </w:p>
        </w:tc>
        <w:tc>
          <w:tcPr>
            <w:tcW w:w="1710" w:type="dxa"/>
            <w:tcBorders>
              <w:top w:val="single" w:sz="4" w:space="0" w:color="auto"/>
              <w:bottom w:val="double" w:sz="4" w:space="0" w:color="auto"/>
            </w:tcBorders>
            <w:shd w:val="clear" w:color="auto" w:fill="auto"/>
            <w:tcMar>
              <w:top w:w="28" w:type="dxa"/>
              <w:right w:w="57" w:type="dxa"/>
            </w:tcMar>
          </w:tcPr>
          <w:p w14:paraId="2AE8DD85"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(203) </w:t>
            </w:r>
          </w:p>
        </w:tc>
      </w:tr>
    </w:tbl>
    <w:p w14:paraId="4EBBEA77" w14:textId="77777777" w:rsidR="003B22DB" w:rsidRPr="00E70587" w:rsidRDefault="003B22DB" w:rsidP="009901E1">
      <w:pPr>
        <w:spacing w:line="280" w:lineRule="exact"/>
        <w:rPr>
          <w:rFonts w:ascii="Arial" w:hAnsi="Arial" w:cs="Arial"/>
          <w:sz w:val="20"/>
        </w:rPr>
      </w:pPr>
    </w:p>
    <w:p w14:paraId="1A1EC78D" w14:textId="77777777" w:rsidR="003B22DB" w:rsidRPr="00E70587" w:rsidRDefault="003B22DB" w:rsidP="00B43785">
      <w:pPr>
        <w:spacing w:line="280" w:lineRule="exact"/>
        <w:rPr>
          <w:rFonts w:ascii="Arial" w:hAnsi="Arial" w:cs="Arial"/>
          <w:i/>
          <w:sz w:val="20"/>
        </w:rPr>
      </w:pPr>
      <w:r w:rsidRPr="00E70587">
        <w:rPr>
          <w:rFonts w:ascii="Arial" w:hAnsi="Arial" w:cs="Arial"/>
          <w:i/>
          <w:sz w:val="20"/>
        </w:rPr>
        <w:t>Changes in the present value of the defined benefit obligation are, as follows:</w:t>
      </w:r>
    </w:p>
    <w:tbl>
      <w:tblPr>
        <w:tblW w:w="9576" w:type="dxa"/>
        <w:tblLayout w:type="fixed"/>
        <w:tblLook w:val="01E0" w:firstRow="1" w:lastRow="1" w:firstColumn="1" w:lastColumn="1" w:noHBand="0" w:noVBand="0"/>
      </w:tblPr>
      <w:tblGrid>
        <w:gridCol w:w="7769"/>
        <w:gridCol w:w="1807"/>
      </w:tblGrid>
      <w:tr w:rsidR="00A17C17" w:rsidRPr="00E70587" w14:paraId="7A60BDC7" w14:textId="77777777" w:rsidTr="009A5E2F">
        <w:tc>
          <w:tcPr>
            <w:tcW w:w="7740" w:type="dxa"/>
            <w:shd w:val="clear" w:color="auto" w:fill="auto"/>
            <w:vAlign w:val="center"/>
          </w:tcPr>
          <w:p w14:paraId="29DA2A6A" w14:textId="77777777" w:rsidR="00A17C17" w:rsidRPr="00E70587" w:rsidRDefault="00A17C17" w:rsidP="009A5E2F">
            <w:pPr>
              <w:pStyle w:val="Notesbodytext"/>
              <w:spacing w:after="0" w:line="280" w:lineRule="exact"/>
              <w:rPr>
                <w:rFonts w:ascii="Arial" w:hAnsi="Arial"/>
                <w:color w:val="auto"/>
                <w:sz w:val="20"/>
              </w:rPr>
            </w:pPr>
          </w:p>
        </w:tc>
        <w:tc>
          <w:tcPr>
            <w:tcW w:w="1800" w:type="dxa"/>
            <w:tcBorders>
              <w:bottom w:val="single" w:sz="4" w:space="0" w:color="auto"/>
            </w:tcBorders>
            <w:shd w:val="clear" w:color="auto" w:fill="auto"/>
            <w:vAlign w:val="bottom"/>
          </w:tcPr>
          <w:p w14:paraId="3199F535" w14:textId="77777777" w:rsidR="00A17C17" w:rsidRPr="00E70587" w:rsidRDefault="00A17C17" w:rsidP="009A5E2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3B5F0149" w14:textId="77777777" w:rsidTr="009A5E2F">
        <w:tc>
          <w:tcPr>
            <w:tcW w:w="7740" w:type="dxa"/>
            <w:shd w:val="clear" w:color="auto" w:fill="auto"/>
            <w:vAlign w:val="bottom"/>
          </w:tcPr>
          <w:p w14:paraId="6C5D7F17" w14:textId="51005A08" w:rsidR="00A17C17" w:rsidRPr="00E70587" w:rsidRDefault="00A17C17" w:rsidP="009A5E2F">
            <w:pPr>
              <w:pStyle w:val="Notesbodytext"/>
              <w:spacing w:after="0" w:line="280" w:lineRule="exact"/>
              <w:rPr>
                <w:rFonts w:ascii="Arial" w:hAnsi="Arial"/>
                <w:color w:val="auto"/>
                <w:sz w:val="20"/>
              </w:rPr>
            </w:pPr>
            <w:r w:rsidRPr="00E70587">
              <w:rPr>
                <w:rFonts w:ascii="Arial" w:hAnsi="Arial"/>
                <w:b/>
                <w:color w:val="auto"/>
                <w:sz w:val="20"/>
              </w:rPr>
              <w:t xml:space="preserve">Defined benefit obligation at 1 April </w:t>
            </w:r>
            <w:r w:rsidR="0088049D" w:rsidRPr="00E70587">
              <w:rPr>
                <w:rFonts w:ascii="Arial" w:hAnsi="Arial"/>
                <w:b/>
                <w:color w:val="auto"/>
                <w:sz w:val="20"/>
              </w:rPr>
              <w:t>201</w:t>
            </w:r>
            <w:r w:rsidR="0088049D">
              <w:rPr>
                <w:rFonts w:ascii="Arial" w:hAnsi="Arial"/>
                <w:b/>
                <w:color w:val="auto"/>
                <w:sz w:val="20"/>
              </w:rPr>
              <w:t>9</w:t>
            </w:r>
          </w:p>
        </w:tc>
        <w:tc>
          <w:tcPr>
            <w:tcW w:w="1800" w:type="dxa"/>
            <w:shd w:val="clear" w:color="auto" w:fill="auto"/>
          </w:tcPr>
          <w:p w14:paraId="59E182AD" w14:textId="77777777" w:rsidR="00A17C17" w:rsidRPr="00E70587" w:rsidRDefault="00A17C17" w:rsidP="009A5E2F">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158</w:t>
            </w:r>
          </w:p>
        </w:tc>
      </w:tr>
      <w:tr w:rsidR="00A17C17" w:rsidRPr="00E70587" w14:paraId="230440A9" w14:textId="77777777" w:rsidTr="009A5E2F">
        <w:tc>
          <w:tcPr>
            <w:tcW w:w="7740" w:type="dxa"/>
            <w:shd w:val="clear" w:color="auto" w:fill="auto"/>
            <w:tcMar>
              <w:top w:w="28" w:type="dxa"/>
            </w:tcMar>
            <w:vAlign w:val="bottom"/>
          </w:tcPr>
          <w:p w14:paraId="46C13093" w14:textId="77777777" w:rsidR="00A17C17" w:rsidRPr="00E70587" w:rsidRDefault="00A17C1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Interest cost</w:t>
            </w:r>
          </w:p>
        </w:tc>
        <w:tc>
          <w:tcPr>
            <w:tcW w:w="1800" w:type="dxa"/>
            <w:shd w:val="clear" w:color="auto" w:fill="auto"/>
            <w:tcMar>
              <w:top w:w="28" w:type="dxa"/>
            </w:tcMar>
          </w:tcPr>
          <w:p w14:paraId="7C71562F" w14:textId="77777777" w:rsidR="00A17C17" w:rsidRPr="00E70587" w:rsidRDefault="00A17C1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9</w:t>
            </w:r>
          </w:p>
        </w:tc>
      </w:tr>
      <w:tr w:rsidR="00A17C17" w:rsidRPr="00E70587" w14:paraId="1CBF1AD2" w14:textId="77777777" w:rsidTr="009A5E2F">
        <w:tc>
          <w:tcPr>
            <w:tcW w:w="7740" w:type="dxa"/>
            <w:shd w:val="clear" w:color="auto" w:fill="auto"/>
            <w:tcMar>
              <w:top w:w="28" w:type="dxa"/>
            </w:tcMar>
            <w:vAlign w:val="bottom"/>
          </w:tcPr>
          <w:p w14:paraId="75316956" w14:textId="77777777" w:rsidR="00A17C17" w:rsidRPr="00E70587" w:rsidRDefault="00A17C1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Current service cost</w:t>
            </w:r>
          </w:p>
        </w:tc>
        <w:tc>
          <w:tcPr>
            <w:tcW w:w="1800" w:type="dxa"/>
            <w:shd w:val="clear" w:color="auto" w:fill="auto"/>
            <w:tcMar>
              <w:top w:w="28" w:type="dxa"/>
            </w:tcMar>
          </w:tcPr>
          <w:p w14:paraId="03A2EF33" w14:textId="77777777" w:rsidR="00A17C17" w:rsidRPr="00E70587" w:rsidRDefault="00A17C1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194</w:t>
            </w:r>
          </w:p>
        </w:tc>
      </w:tr>
      <w:tr w:rsidR="00A17C17" w:rsidRPr="00E70587" w:rsidDel="00937638" w14:paraId="74F12ED2" w14:textId="77777777" w:rsidTr="009A5E2F">
        <w:tc>
          <w:tcPr>
            <w:tcW w:w="7740" w:type="dxa"/>
            <w:shd w:val="clear" w:color="auto" w:fill="auto"/>
            <w:tcMar>
              <w:top w:w="28" w:type="dxa"/>
            </w:tcMar>
            <w:vAlign w:val="bottom"/>
          </w:tcPr>
          <w:p w14:paraId="6A74B2F8" w14:textId="77777777" w:rsidR="00A17C17" w:rsidRPr="00E70587" w:rsidRDefault="00A17C1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Benefits paid</w:t>
            </w:r>
          </w:p>
        </w:tc>
        <w:tc>
          <w:tcPr>
            <w:tcW w:w="1800" w:type="dxa"/>
            <w:shd w:val="clear" w:color="auto" w:fill="auto"/>
            <w:tcMar>
              <w:top w:w="28" w:type="dxa"/>
            </w:tcMar>
          </w:tcPr>
          <w:p w14:paraId="1A02B547" w14:textId="77777777" w:rsidR="00A17C17" w:rsidRPr="00E70587" w:rsidRDefault="00A17C1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(61)</w:t>
            </w:r>
          </w:p>
        </w:tc>
      </w:tr>
      <w:tr w:rsidR="00A17C17" w:rsidRPr="00E70587" w14:paraId="1774C9DB" w14:textId="77777777" w:rsidTr="009A5E2F">
        <w:tc>
          <w:tcPr>
            <w:tcW w:w="7740" w:type="dxa"/>
            <w:shd w:val="clear" w:color="auto" w:fill="auto"/>
            <w:vAlign w:val="bottom"/>
          </w:tcPr>
          <w:p w14:paraId="639E19CF" w14:textId="77777777" w:rsidR="00A17C17" w:rsidRPr="00E70587" w:rsidRDefault="00A17C1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Exchange differences</w:t>
            </w:r>
          </w:p>
        </w:tc>
        <w:tc>
          <w:tcPr>
            <w:tcW w:w="1800" w:type="dxa"/>
            <w:tcBorders>
              <w:bottom w:val="single" w:sz="4" w:space="0" w:color="auto"/>
            </w:tcBorders>
            <w:shd w:val="clear" w:color="auto" w:fill="auto"/>
            <w:tcMar>
              <w:top w:w="28" w:type="dxa"/>
              <w:right w:w="0" w:type="dxa"/>
            </w:tcMar>
          </w:tcPr>
          <w:p w14:paraId="43510D37" w14:textId="77777777" w:rsidR="00A17C17" w:rsidRPr="00E70587" w:rsidRDefault="00A17C17" w:rsidP="009A5E2F">
            <w:pPr>
              <w:overflowPunct/>
              <w:spacing w:line="280" w:lineRule="exact"/>
              <w:ind w:right="127"/>
              <w:jc w:val="right"/>
              <w:textAlignment w:val="auto"/>
              <w:rPr>
                <w:rFonts w:ascii="Arial" w:hAnsi="Arial" w:cs="Arial"/>
                <w:sz w:val="20"/>
                <w:lang w:eastAsia="en-GB"/>
              </w:rPr>
            </w:pPr>
            <w:r w:rsidRPr="00E70587">
              <w:rPr>
                <w:rFonts w:ascii="Arial" w:hAnsi="Arial" w:cs="Arial"/>
                <w:sz w:val="20"/>
                <w:lang w:eastAsia="en-GB"/>
              </w:rPr>
              <w:t>55</w:t>
            </w:r>
          </w:p>
        </w:tc>
      </w:tr>
      <w:tr w:rsidR="00A17C17" w:rsidRPr="00E70587" w14:paraId="50F63CD8" w14:textId="77777777" w:rsidTr="009A5E2F">
        <w:tc>
          <w:tcPr>
            <w:tcW w:w="7740" w:type="dxa"/>
            <w:shd w:val="clear" w:color="auto" w:fill="auto"/>
            <w:tcMar>
              <w:top w:w="28" w:type="dxa"/>
            </w:tcMar>
            <w:vAlign w:val="bottom"/>
          </w:tcPr>
          <w:p w14:paraId="767085FC" w14:textId="158AC438" w:rsidR="00A17C17" w:rsidRPr="00E70587" w:rsidRDefault="00A17C17" w:rsidP="009A5E2F">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Defined benefit obligation at 31 </w:t>
            </w:r>
            <w:r w:rsidR="008B730E" w:rsidRPr="00E70587">
              <w:rPr>
                <w:rFonts w:ascii="Arial" w:hAnsi="Arial" w:cs="Arial"/>
                <w:b/>
                <w:sz w:val="20"/>
                <w:lang w:val="en-IN"/>
              </w:rPr>
              <w:t xml:space="preserve">March </w:t>
            </w:r>
            <w:r w:rsidR="0088049D" w:rsidRPr="00E70587">
              <w:rPr>
                <w:rFonts w:ascii="Arial" w:hAnsi="Arial" w:cs="Arial"/>
                <w:b/>
                <w:sz w:val="20"/>
                <w:lang w:val="en-IN"/>
              </w:rPr>
              <w:t>20</w:t>
            </w:r>
            <w:r w:rsidR="0088049D">
              <w:rPr>
                <w:rFonts w:ascii="Arial" w:hAnsi="Arial" w:cs="Arial"/>
                <w:b/>
                <w:sz w:val="20"/>
                <w:lang w:val="en-IN"/>
              </w:rPr>
              <w:t>20</w:t>
            </w:r>
          </w:p>
        </w:tc>
        <w:tc>
          <w:tcPr>
            <w:tcW w:w="1800" w:type="dxa"/>
            <w:tcBorders>
              <w:top w:val="single" w:sz="4" w:space="0" w:color="auto"/>
            </w:tcBorders>
            <w:shd w:val="clear" w:color="auto" w:fill="auto"/>
            <w:tcMar>
              <w:top w:w="28" w:type="dxa"/>
            </w:tcMar>
          </w:tcPr>
          <w:p w14:paraId="55D113ED" w14:textId="77777777" w:rsidR="00A17C17" w:rsidRPr="00E70587" w:rsidRDefault="00A17C17" w:rsidP="009A5E2F">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355</w:t>
            </w:r>
          </w:p>
        </w:tc>
      </w:tr>
      <w:tr w:rsidR="00A17C17" w:rsidRPr="00E70587" w14:paraId="7E763E63" w14:textId="77777777" w:rsidTr="009A5E2F">
        <w:tc>
          <w:tcPr>
            <w:tcW w:w="7740" w:type="dxa"/>
            <w:shd w:val="clear" w:color="auto" w:fill="auto"/>
            <w:tcMar>
              <w:top w:w="28" w:type="dxa"/>
            </w:tcMar>
            <w:vAlign w:val="bottom"/>
          </w:tcPr>
          <w:p w14:paraId="11890AD4" w14:textId="77777777" w:rsidR="00A17C17" w:rsidRPr="00E70587" w:rsidRDefault="00A17C1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Interest cost</w:t>
            </w:r>
          </w:p>
        </w:tc>
        <w:tc>
          <w:tcPr>
            <w:tcW w:w="1800" w:type="dxa"/>
            <w:shd w:val="clear" w:color="auto" w:fill="auto"/>
            <w:tcMar>
              <w:top w:w="28" w:type="dxa"/>
            </w:tcMar>
          </w:tcPr>
          <w:p w14:paraId="5171311E" w14:textId="77777777" w:rsidR="00A17C17" w:rsidRPr="00E70587" w:rsidRDefault="00A17C1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19</w:t>
            </w:r>
          </w:p>
        </w:tc>
      </w:tr>
      <w:tr w:rsidR="00A17C17" w:rsidRPr="00E70587" w14:paraId="4FD492DF" w14:textId="77777777" w:rsidTr="009A5E2F">
        <w:tc>
          <w:tcPr>
            <w:tcW w:w="7740" w:type="dxa"/>
            <w:shd w:val="clear" w:color="auto" w:fill="auto"/>
            <w:tcMar>
              <w:top w:w="28" w:type="dxa"/>
            </w:tcMar>
            <w:vAlign w:val="bottom"/>
          </w:tcPr>
          <w:p w14:paraId="19444AC9" w14:textId="77777777" w:rsidR="00A17C17" w:rsidRPr="00E70587" w:rsidRDefault="00A17C1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Current service cost</w:t>
            </w:r>
          </w:p>
        </w:tc>
        <w:tc>
          <w:tcPr>
            <w:tcW w:w="1800" w:type="dxa"/>
            <w:shd w:val="clear" w:color="auto" w:fill="auto"/>
            <w:tcMar>
              <w:top w:w="28" w:type="dxa"/>
            </w:tcMar>
          </w:tcPr>
          <w:p w14:paraId="6BF5CD5E" w14:textId="77777777" w:rsidR="00A17C17" w:rsidRPr="00E70587" w:rsidRDefault="00A17C1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256</w:t>
            </w:r>
          </w:p>
        </w:tc>
      </w:tr>
      <w:tr w:rsidR="00A17C17" w:rsidRPr="00E70587" w:rsidDel="007A1072" w14:paraId="4C0FE5AB" w14:textId="77777777" w:rsidTr="009A5E2F">
        <w:tc>
          <w:tcPr>
            <w:tcW w:w="7740" w:type="dxa"/>
            <w:shd w:val="clear" w:color="auto" w:fill="auto"/>
            <w:tcMar>
              <w:top w:w="28" w:type="dxa"/>
            </w:tcMar>
            <w:vAlign w:val="bottom"/>
          </w:tcPr>
          <w:p w14:paraId="29135B71" w14:textId="77777777" w:rsidR="00A17C17" w:rsidRPr="00E70587" w:rsidRDefault="00A17C1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Benefits paid</w:t>
            </w:r>
          </w:p>
        </w:tc>
        <w:tc>
          <w:tcPr>
            <w:tcW w:w="1800" w:type="dxa"/>
            <w:shd w:val="clear" w:color="auto" w:fill="auto"/>
            <w:tcMar>
              <w:top w:w="28" w:type="dxa"/>
            </w:tcMar>
          </w:tcPr>
          <w:p w14:paraId="66A7BD23" w14:textId="77777777" w:rsidR="00A17C17" w:rsidRPr="00E70587" w:rsidRDefault="00A17C17" w:rsidP="009A5E2F">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(38)</w:t>
            </w:r>
          </w:p>
        </w:tc>
      </w:tr>
      <w:tr w:rsidR="00A17C17" w:rsidRPr="00E70587" w14:paraId="076BF51C" w14:textId="77777777" w:rsidTr="009A5E2F">
        <w:tc>
          <w:tcPr>
            <w:tcW w:w="7740" w:type="dxa"/>
            <w:shd w:val="clear" w:color="auto" w:fill="auto"/>
            <w:vAlign w:val="bottom"/>
          </w:tcPr>
          <w:p w14:paraId="18EAB7ED" w14:textId="77777777" w:rsidR="00A17C17" w:rsidRPr="00E70587" w:rsidRDefault="00A17C17" w:rsidP="009A5E2F">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Exchange differences </w:t>
            </w:r>
          </w:p>
        </w:tc>
        <w:tc>
          <w:tcPr>
            <w:tcW w:w="1800" w:type="dxa"/>
            <w:tcBorders>
              <w:bottom w:val="single" w:sz="4" w:space="0" w:color="auto"/>
            </w:tcBorders>
            <w:shd w:val="clear" w:color="auto" w:fill="auto"/>
            <w:tcMar>
              <w:top w:w="28" w:type="dxa"/>
              <w:right w:w="57" w:type="dxa"/>
            </w:tcMar>
          </w:tcPr>
          <w:p w14:paraId="7F9EBAA9" w14:textId="77777777" w:rsidR="00A17C17" w:rsidRPr="00E70587" w:rsidRDefault="00A17C17" w:rsidP="009A5E2F">
            <w:pPr>
              <w:overflowPunct/>
              <w:spacing w:line="280" w:lineRule="exact"/>
              <w:ind w:right="70"/>
              <w:jc w:val="right"/>
              <w:textAlignment w:val="auto"/>
              <w:rPr>
                <w:rFonts w:ascii="Arial" w:hAnsi="Arial" w:cs="Arial"/>
                <w:sz w:val="20"/>
                <w:lang w:eastAsia="en-GB"/>
              </w:rPr>
            </w:pPr>
            <w:r w:rsidRPr="00E70587">
              <w:rPr>
                <w:rFonts w:ascii="Arial" w:hAnsi="Arial" w:cs="Arial"/>
                <w:sz w:val="20"/>
                <w:lang w:eastAsia="en-GB"/>
              </w:rPr>
              <w:t>18</w:t>
            </w:r>
          </w:p>
        </w:tc>
      </w:tr>
      <w:tr w:rsidR="00A17C17" w:rsidRPr="00E70587" w14:paraId="3704ED58" w14:textId="77777777" w:rsidTr="009A5E2F">
        <w:tc>
          <w:tcPr>
            <w:tcW w:w="7740" w:type="dxa"/>
            <w:shd w:val="clear" w:color="auto" w:fill="auto"/>
            <w:tcMar>
              <w:top w:w="28" w:type="dxa"/>
            </w:tcMar>
            <w:vAlign w:val="center"/>
          </w:tcPr>
          <w:p w14:paraId="53A6F5A2" w14:textId="07964D9F" w:rsidR="00A17C17" w:rsidRPr="00E70587" w:rsidRDefault="00A17C17" w:rsidP="009A5E2F">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Defined benefit obligation at 31 </w:t>
            </w:r>
            <w:r w:rsidR="00E1202D" w:rsidRPr="00E70587">
              <w:rPr>
                <w:rFonts w:ascii="Arial" w:hAnsi="Arial" w:cs="Arial"/>
                <w:b/>
                <w:sz w:val="20"/>
                <w:lang w:val="en-IN"/>
              </w:rPr>
              <w:t xml:space="preserve">March </w:t>
            </w:r>
            <w:r w:rsidR="0088049D" w:rsidRPr="00E70587">
              <w:rPr>
                <w:rFonts w:ascii="Arial" w:hAnsi="Arial" w:cs="Arial"/>
                <w:b/>
                <w:sz w:val="20"/>
                <w:lang w:val="en-IN"/>
              </w:rPr>
              <w:t>20</w:t>
            </w:r>
            <w:r w:rsidR="0088049D">
              <w:rPr>
                <w:rFonts w:ascii="Arial" w:hAnsi="Arial" w:cs="Arial"/>
                <w:b/>
                <w:sz w:val="20"/>
                <w:lang w:val="en-IN"/>
              </w:rPr>
              <w:t>21</w:t>
            </w:r>
          </w:p>
        </w:tc>
        <w:tc>
          <w:tcPr>
            <w:tcW w:w="1800" w:type="dxa"/>
            <w:tcBorders>
              <w:top w:val="single" w:sz="4" w:space="0" w:color="auto"/>
              <w:bottom w:val="double" w:sz="4" w:space="0" w:color="auto"/>
            </w:tcBorders>
            <w:shd w:val="clear" w:color="auto" w:fill="auto"/>
            <w:tcMar>
              <w:top w:w="28" w:type="dxa"/>
            </w:tcMar>
          </w:tcPr>
          <w:p w14:paraId="472A261C" w14:textId="77777777" w:rsidR="00A17C17" w:rsidRPr="00E70587" w:rsidRDefault="00A17C17" w:rsidP="009A5E2F">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610</w:t>
            </w:r>
          </w:p>
        </w:tc>
      </w:tr>
    </w:tbl>
    <w:p w14:paraId="53121565" w14:textId="77777777" w:rsidR="003B22DB" w:rsidRPr="00E70587" w:rsidRDefault="003B22DB" w:rsidP="00E466DD">
      <w:pPr>
        <w:pStyle w:val="ListParagraph"/>
        <w:numPr>
          <w:ilvl w:val="0"/>
          <w:numId w:val="20"/>
        </w:numPr>
        <w:spacing w:line="280" w:lineRule="exact"/>
        <w:contextualSpacing w:val="0"/>
        <w:rPr>
          <w:rFonts w:ascii="Arial" w:hAnsi="Arial" w:cs="Arial"/>
          <w:sz w:val="20"/>
        </w:rPr>
        <w:sectPr w:rsidR="003B22DB" w:rsidRPr="00E70587" w:rsidSect="00C41CC3">
          <w:headerReference w:type="even" r:id="rId29"/>
          <w:headerReference w:type="default" r:id="rId30"/>
          <w:pgSz w:w="11909" w:h="16834" w:code="9"/>
          <w:pgMar w:top="864" w:right="1253" w:bottom="864" w:left="1296" w:header="432" w:footer="432" w:gutter="0"/>
          <w:cols w:space="766"/>
          <w:docGrid w:linePitch="245"/>
        </w:sectPr>
      </w:pPr>
    </w:p>
    <w:p w14:paraId="77CBA804" w14:textId="77777777" w:rsidR="003B22DB" w:rsidRPr="00E70587" w:rsidRDefault="009B18E2" w:rsidP="009901E1">
      <w:pPr>
        <w:spacing w:line="280" w:lineRule="exact"/>
        <w:rPr>
          <w:rFonts w:ascii="Arial" w:hAnsi="Arial" w:cs="Arial"/>
          <w:b/>
          <w:sz w:val="20"/>
        </w:rPr>
      </w:pPr>
      <w:r w:rsidRPr="00E70587">
        <w:rPr>
          <w:rFonts w:ascii="Arial" w:hAnsi="Arial" w:cs="Arial"/>
          <w:b/>
          <w:sz w:val="20"/>
        </w:rPr>
        <w:lastRenderedPageBreak/>
        <w:t>India</w:t>
      </w:r>
      <w:r w:rsidR="003B22DB" w:rsidRPr="00E70587">
        <w:rPr>
          <w:rFonts w:ascii="Arial" w:hAnsi="Arial" w:cs="Arial"/>
          <w:b/>
          <w:sz w:val="20"/>
        </w:rPr>
        <w:t xml:space="preserve"> Plan</w:t>
      </w:r>
    </w:p>
    <w:p w14:paraId="5AF9A9F9" w14:textId="43180C22" w:rsidR="003B22DB" w:rsidRPr="00E70587" w:rsidRDefault="003B22DB" w:rsidP="009901E1">
      <w:pPr>
        <w:pStyle w:val="Notesbodytext"/>
        <w:spacing w:after="0" w:line="280" w:lineRule="exact"/>
        <w:rPr>
          <w:rFonts w:ascii="Arial" w:hAnsi="Arial"/>
          <w:i/>
          <w:color w:val="auto"/>
          <w:sz w:val="20"/>
        </w:rPr>
      </w:pPr>
      <w:r w:rsidRPr="00E70587">
        <w:rPr>
          <w:rFonts w:ascii="Arial" w:hAnsi="Arial"/>
          <w:i/>
          <w:color w:val="auto"/>
          <w:sz w:val="20"/>
        </w:rPr>
        <w:t xml:space="preserve">31 </w:t>
      </w:r>
      <w:r w:rsidR="00E1202D" w:rsidRPr="00E70587">
        <w:rPr>
          <w:rFonts w:ascii="Arial" w:hAnsi="Arial"/>
          <w:i/>
          <w:color w:val="auto"/>
          <w:sz w:val="20"/>
        </w:rPr>
        <w:t xml:space="preserve">March </w:t>
      </w:r>
      <w:r w:rsidR="0088049D" w:rsidRPr="00E70587">
        <w:rPr>
          <w:rFonts w:ascii="Arial" w:hAnsi="Arial"/>
          <w:i/>
          <w:color w:val="auto"/>
          <w:sz w:val="20"/>
        </w:rPr>
        <w:t>20</w:t>
      </w:r>
      <w:r w:rsidR="0088049D">
        <w:rPr>
          <w:rFonts w:ascii="Arial" w:hAnsi="Arial"/>
          <w:i/>
          <w:color w:val="auto"/>
          <w:sz w:val="20"/>
        </w:rPr>
        <w:t>21</w:t>
      </w:r>
      <w:r w:rsidR="0088049D" w:rsidRPr="00E70587">
        <w:rPr>
          <w:rFonts w:ascii="Arial" w:hAnsi="Arial"/>
          <w:i/>
          <w:color w:val="auto"/>
          <w:sz w:val="20"/>
        </w:rPr>
        <w:t xml:space="preserve"> </w:t>
      </w:r>
      <w:r w:rsidRPr="00E70587">
        <w:rPr>
          <w:rFonts w:ascii="Arial" w:hAnsi="Arial"/>
          <w:i/>
          <w:color w:val="auto"/>
          <w:sz w:val="20"/>
        </w:rPr>
        <w:t>changes in the defined benefit obligation and fair value of plan assets</w:t>
      </w:r>
    </w:p>
    <w:tbl>
      <w:tblPr>
        <w:tblW w:w="14544" w:type="dxa"/>
        <w:tblLayout w:type="fixed"/>
        <w:tblLook w:val="01E0" w:firstRow="1" w:lastRow="1" w:firstColumn="1" w:lastColumn="1" w:noHBand="0" w:noVBand="0"/>
      </w:tblPr>
      <w:tblGrid>
        <w:gridCol w:w="1434"/>
        <w:gridCol w:w="1151"/>
        <w:gridCol w:w="887"/>
        <w:gridCol w:w="887"/>
        <w:gridCol w:w="1151"/>
        <w:gridCol w:w="839"/>
        <w:gridCol w:w="1255"/>
        <w:gridCol w:w="1533"/>
        <w:gridCol w:w="1255"/>
        <w:gridCol w:w="1116"/>
        <w:gridCol w:w="910"/>
        <w:gridCol w:w="977"/>
        <w:gridCol w:w="1149"/>
      </w:tblGrid>
      <w:tr w:rsidR="00A17C17" w:rsidRPr="00E70587" w14:paraId="1742C2F7" w14:textId="77777777" w:rsidTr="00834981">
        <w:tc>
          <w:tcPr>
            <w:tcW w:w="1458" w:type="dxa"/>
            <w:shd w:val="clear" w:color="auto" w:fill="auto"/>
            <w:vAlign w:val="bottom"/>
          </w:tcPr>
          <w:p w14:paraId="36FA8D80" w14:textId="77777777" w:rsidR="00A17C17" w:rsidRPr="00E70587" w:rsidRDefault="00A17C17" w:rsidP="009901E1">
            <w:pPr>
              <w:pStyle w:val="Tablecolumnheading"/>
              <w:spacing w:line="280" w:lineRule="exact"/>
              <w:jc w:val="center"/>
              <w:rPr>
                <w:rFonts w:ascii="Arial" w:hAnsi="Arial"/>
                <w:color w:val="auto"/>
                <w:sz w:val="20"/>
                <w:szCs w:val="20"/>
                <w:lang w:val="en-IN"/>
              </w:rPr>
            </w:pPr>
          </w:p>
        </w:tc>
        <w:tc>
          <w:tcPr>
            <w:tcW w:w="1170" w:type="dxa"/>
            <w:tcMar>
              <w:left w:w="28" w:type="dxa"/>
              <w:right w:w="28" w:type="dxa"/>
            </w:tcMar>
            <w:vAlign w:val="bottom"/>
          </w:tcPr>
          <w:p w14:paraId="45132B63" w14:textId="77777777" w:rsidR="00A17C17" w:rsidRPr="00E70587" w:rsidRDefault="00A17C17" w:rsidP="009901E1">
            <w:pPr>
              <w:pStyle w:val="Tablecolumnheading"/>
              <w:spacing w:line="280" w:lineRule="exact"/>
              <w:jc w:val="center"/>
              <w:rPr>
                <w:rFonts w:ascii="Arial" w:hAnsi="Arial"/>
                <w:color w:val="auto"/>
                <w:sz w:val="20"/>
                <w:szCs w:val="20"/>
                <w:lang w:val="en-IN"/>
              </w:rPr>
            </w:pPr>
          </w:p>
        </w:tc>
        <w:tc>
          <w:tcPr>
            <w:tcW w:w="2970" w:type="dxa"/>
            <w:gridSpan w:val="3"/>
            <w:vAlign w:val="bottom"/>
          </w:tcPr>
          <w:p w14:paraId="0B743E2C" w14:textId="77777777" w:rsidR="00A17C17" w:rsidRPr="00E70587" w:rsidRDefault="00A17C17" w:rsidP="009901E1">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Gratuity cost charged to profit or loss</w:t>
            </w:r>
          </w:p>
        </w:tc>
        <w:tc>
          <w:tcPr>
            <w:tcW w:w="7020" w:type="dxa"/>
            <w:gridSpan w:val="6"/>
            <w:vAlign w:val="bottom"/>
          </w:tcPr>
          <w:p w14:paraId="0581E339" w14:textId="77777777" w:rsidR="00A17C17" w:rsidRPr="00E70587" w:rsidRDefault="00A17C17" w:rsidP="009901E1">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Remeasurement gains/(losses) in other comprehensive income</w:t>
            </w:r>
          </w:p>
        </w:tc>
        <w:tc>
          <w:tcPr>
            <w:tcW w:w="992" w:type="dxa"/>
            <w:tcMar>
              <w:left w:w="0" w:type="dxa"/>
              <w:right w:w="28" w:type="dxa"/>
            </w:tcMar>
            <w:vAlign w:val="bottom"/>
          </w:tcPr>
          <w:p w14:paraId="62F6AEE3" w14:textId="77777777" w:rsidR="00A17C17" w:rsidRPr="00E70587" w:rsidRDefault="00A17C17" w:rsidP="009901E1">
            <w:pPr>
              <w:pStyle w:val="Tablecolumnheading"/>
              <w:spacing w:line="280" w:lineRule="exact"/>
              <w:jc w:val="center"/>
              <w:rPr>
                <w:rFonts w:ascii="Arial" w:hAnsi="Arial"/>
                <w:color w:val="auto"/>
                <w:sz w:val="20"/>
                <w:szCs w:val="20"/>
                <w:lang w:val="en-IN"/>
              </w:rPr>
            </w:pPr>
          </w:p>
        </w:tc>
        <w:tc>
          <w:tcPr>
            <w:tcW w:w="1168" w:type="dxa"/>
            <w:shd w:val="clear" w:color="auto" w:fill="auto"/>
            <w:tcMar>
              <w:left w:w="57" w:type="dxa"/>
              <w:right w:w="57" w:type="dxa"/>
            </w:tcMar>
            <w:vAlign w:val="bottom"/>
          </w:tcPr>
          <w:p w14:paraId="2CA0289C" w14:textId="77777777" w:rsidR="00A17C17" w:rsidRPr="00E70587" w:rsidRDefault="00A17C17" w:rsidP="009901E1">
            <w:pPr>
              <w:pStyle w:val="Tablecolumnheading"/>
              <w:spacing w:line="280" w:lineRule="exact"/>
              <w:jc w:val="center"/>
              <w:rPr>
                <w:rFonts w:ascii="Arial" w:hAnsi="Arial"/>
                <w:color w:val="auto"/>
                <w:sz w:val="20"/>
                <w:szCs w:val="20"/>
                <w:lang w:val="en-IN"/>
              </w:rPr>
            </w:pPr>
          </w:p>
        </w:tc>
      </w:tr>
      <w:tr w:rsidR="00A17C17" w:rsidRPr="00E70587" w14:paraId="38DE75E0" w14:textId="77777777" w:rsidTr="00834981">
        <w:tc>
          <w:tcPr>
            <w:tcW w:w="1458" w:type="dxa"/>
            <w:shd w:val="clear" w:color="auto" w:fill="auto"/>
            <w:vAlign w:val="bottom"/>
          </w:tcPr>
          <w:p w14:paraId="773E2C7C" w14:textId="77777777" w:rsidR="00A17C17" w:rsidRPr="00E70587" w:rsidRDefault="00A17C17" w:rsidP="009901E1">
            <w:pPr>
              <w:pStyle w:val="Tablecolumnheading"/>
              <w:spacing w:line="280" w:lineRule="exact"/>
              <w:jc w:val="left"/>
              <w:rPr>
                <w:rFonts w:ascii="Arial" w:hAnsi="Arial"/>
                <w:color w:val="auto"/>
                <w:sz w:val="20"/>
                <w:szCs w:val="20"/>
                <w:lang w:val="en-IN"/>
              </w:rPr>
            </w:pPr>
          </w:p>
        </w:tc>
        <w:tc>
          <w:tcPr>
            <w:tcW w:w="1170" w:type="dxa"/>
            <w:tcMar>
              <w:left w:w="28" w:type="dxa"/>
              <w:right w:w="28" w:type="dxa"/>
            </w:tcMar>
            <w:vAlign w:val="bottom"/>
          </w:tcPr>
          <w:p w14:paraId="273D7813" w14:textId="0C964B92"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1 April </w:t>
            </w:r>
            <w:r w:rsidR="0088049D" w:rsidRPr="00E70587">
              <w:rPr>
                <w:rFonts w:ascii="Arial" w:hAnsi="Arial"/>
                <w:color w:val="auto"/>
                <w:sz w:val="20"/>
                <w:szCs w:val="20"/>
                <w:lang w:val="en-IN"/>
              </w:rPr>
              <w:t>20</w:t>
            </w:r>
            <w:r w:rsidR="0088049D">
              <w:rPr>
                <w:rFonts w:ascii="Arial" w:hAnsi="Arial"/>
                <w:color w:val="auto"/>
                <w:sz w:val="20"/>
                <w:szCs w:val="20"/>
                <w:lang w:val="en-IN"/>
              </w:rPr>
              <w:t>20</w:t>
            </w:r>
          </w:p>
        </w:tc>
        <w:tc>
          <w:tcPr>
            <w:tcW w:w="900" w:type="dxa"/>
            <w:tcMar>
              <w:left w:w="28" w:type="dxa"/>
              <w:right w:w="28" w:type="dxa"/>
            </w:tcMar>
            <w:vAlign w:val="bottom"/>
          </w:tcPr>
          <w:p w14:paraId="7C344172"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Service cost</w:t>
            </w:r>
          </w:p>
        </w:tc>
        <w:tc>
          <w:tcPr>
            <w:tcW w:w="900" w:type="dxa"/>
            <w:tcMar>
              <w:left w:w="57" w:type="dxa"/>
              <w:right w:w="28" w:type="dxa"/>
            </w:tcMar>
            <w:vAlign w:val="bottom"/>
          </w:tcPr>
          <w:p w14:paraId="7BBFBCBA"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Net interest expense </w:t>
            </w:r>
          </w:p>
        </w:tc>
        <w:tc>
          <w:tcPr>
            <w:tcW w:w="1170" w:type="dxa"/>
            <w:tcMar>
              <w:left w:w="57" w:type="dxa"/>
              <w:right w:w="28" w:type="dxa"/>
            </w:tcMar>
            <w:vAlign w:val="bottom"/>
          </w:tcPr>
          <w:p w14:paraId="05B837C4"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Sub-total included in profit or loss</w:t>
            </w:r>
          </w:p>
          <w:p w14:paraId="074007FD"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(Note 26) </w:t>
            </w:r>
          </w:p>
        </w:tc>
        <w:tc>
          <w:tcPr>
            <w:tcW w:w="851" w:type="dxa"/>
            <w:tcMar>
              <w:left w:w="0" w:type="dxa"/>
              <w:right w:w="28" w:type="dxa"/>
            </w:tcMar>
            <w:vAlign w:val="bottom"/>
          </w:tcPr>
          <w:p w14:paraId="3E7F27B6" w14:textId="77777777" w:rsidR="00A17C17" w:rsidRPr="00E70587" w:rsidRDefault="00A17C17" w:rsidP="009901E1">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Benefits paid</w:t>
            </w:r>
          </w:p>
        </w:tc>
        <w:tc>
          <w:tcPr>
            <w:tcW w:w="1276" w:type="dxa"/>
            <w:tcMar>
              <w:left w:w="0" w:type="dxa"/>
              <w:right w:w="57" w:type="dxa"/>
            </w:tcMar>
            <w:vAlign w:val="bottom"/>
          </w:tcPr>
          <w:p w14:paraId="2F2350CD"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Return on plan assets (excluding amounts included in net interest expense)</w:t>
            </w:r>
          </w:p>
        </w:tc>
        <w:tc>
          <w:tcPr>
            <w:tcW w:w="1559" w:type="dxa"/>
            <w:vAlign w:val="bottom"/>
          </w:tcPr>
          <w:p w14:paraId="78DFA096"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Actuarial changes arising from changes in demographic assumptions</w:t>
            </w:r>
          </w:p>
        </w:tc>
        <w:tc>
          <w:tcPr>
            <w:tcW w:w="1276" w:type="dxa"/>
            <w:vAlign w:val="bottom"/>
          </w:tcPr>
          <w:p w14:paraId="36208BB6"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Actuarial changes arising from changes in financial assumptions</w:t>
            </w:r>
          </w:p>
        </w:tc>
        <w:tc>
          <w:tcPr>
            <w:tcW w:w="1134" w:type="dxa"/>
            <w:vAlign w:val="bottom"/>
          </w:tcPr>
          <w:p w14:paraId="199C8A47"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Experience adjustments</w:t>
            </w:r>
          </w:p>
        </w:tc>
        <w:tc>
          <w:tcPr>
            <w:tcW w:w="924" w:type="dxa"/>
            <w:vAlign w:val="bottom"/>
          </w:tcPr>
          <w:p w14:paraId="2571925F"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Sub-total included in OCI</w:t>
            </w:r>
          </w:p>
        </w:tc>
        <w:tc>
          <w:tcPr>
            <w:tcW w:w="992" w:type="dxa"/>
            <w:tcMar>
              <w:left w:w="0" w:type="dxa"/>
              <w:right w:w="28" w:type="dxa"/>
            </w:tcMar>
            <w:vAlign w:val="bottom"/>
          </w:tcPr>
          <w:p w14:paraId="1109126B"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Contributions by employer</w:t>
            </w:r>
          </w:p>
        </w:tc>
        <w:tc>
          <w:tcPr>
            <w:tcW w:w="1168" w:type="dxa"/>
            <w:shd w:val="clear" w:color="auto" w:fill="auto"/>
            <w:tcMar>
              <w:left w:w="57" w:type="dxa"/>
              <w:right w:w="57" w:type="dxa"/>
            </w:tcMar>
            <w:vAlign w:val="bottom"/>
          </w:tcPr>
          <w:p w14:paraId="2414466C" w14:textId="7CDDE3FF" w:rsidR="00A17C17" w:rsidRPr="00E70587" w:rsidRDefault="00A17C17" w:rsidP="009901E1">
            <w:pPr>
              <w:pStyle w:val="Tablecolumnheading"/>
              <w:spacing w:line="280" w:lineRule="exact"/>
              <w:ind w:left="-40"/>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88049D" w:rsidRPr="00E70587">
              <w:rPr>
                <w:rFonts w:ascii="Arial" w:hAnsi="Arial"/>
                <w:color w:val="auto"/>
                <w:sz w:val="20"/>
                <w:szCs w:val="20"/>
                <w:lang w:val="en-IN"/>
              </w:rPr>
              <w:t>20</w:t>
            </w:r>
            <w:r w:rsidR="0088049D">
              <w:rPr>
                <w:rFonts w:ascii="Arial" w:hAnsi="Arial"/>
                <w:color w:val="auto"/>
                <w:sz w:val="20"/>
                <w:szCs w:val="20"/>
                <w:lang w:val="en-IN"/>
              </w:rPr>
              <w:t>21</w:t>
            </w:r>
          </w:p>
        </w:tc>
      </w:tr>
      <w:tr w:rsidR="00A17C17" w:rsidRPr="00E70587" w14:paraId="3DCFB56D" w14:textId="77777777" w:rsidTr="00834981">
        <w:tc>
          <w:tcPr>
            <w:tcW w:w="1458" w:type="dxa"/>
          </w:tcPr>
          <w:p w14:paraId="495CE7A5" w14:textId="77777777" w:rsidR="00A17C17" w:rsidRPr="00E70587" w:rsidRDefault="00A17C17" w:rsidP="009901E1">
            <w:pPr>
              <w:pStyle w:val="000Normal"/>
              <w:spacing w:before="0" w:after="0" w:line="280" w:lineRule="exact"/>
              <w:jc w:val="right"/>
              <w:rPr>
                <w:rFonts w:ascii="Arial" w:hAnsi="Arial" w:cs="Arial"/>
                <w:b/>
                <w:sz w:val="20"/>
              </w:rPr>
            </w:pPr>
          </w:p>
        </w:tc>
        <w:tc>
          <w:tcPr>
            <w:tcW w:w="1170" w:type="dxa"/>
            <w:noWrap/>
            <w:tcMar>
              <w:left w:w="57" w:type="dxa"/>
              <w:right w:w="57" w:type="dxa"/>
            </w:tcMar>
          </w:tcPr>
          <w:p w14:paraId="0C2F738B"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900" w:type="dxa"/>
          </w:tcPr>
          <w:p w14:paraId="137063BB"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900" w:type="dxa"/>
          </w:tcPr>
          <w:p w14:paraId="59AEB44E"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170" w:type="dxa"/>
            <w:tcMar>
              <w:left w:w="57" w:type="dxa"/>
              <w:right w:w="57" w:type="dxa"/>
            </w:tcMar>
          </w:tcPr>
          <w:p w14:paraId="1E47F718"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851" w:type="dxa"/>
            <w:tcMar>
              <w:left w:w="57" w:type="dxa"/>
              <w:right w:w="108" w:type="dxa"/>
            </w:tcMar>
          </w:tcPr>
          <w:p w14:paraId="49DF16A1"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276" w:type="dxa"/>
            <w:tcMar>
              <w:left w:w="57" w:type="dxa"/>
              <w:right w:w="57" w:type="dxa"/>
            </w:tcMar>
          </w:tcPr>
          <w:p w14:paraId="0E740033"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559" w:type="dxa"/>
          </w:tcPr>
          <w:p w14:paraId="1338529C"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276" w:type="dxa"/>
          </w:tcPr>
          <w:p w14:paraId="72C5F958"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134" w:type="dxa"/>
          </w:tcPr>
          <w:p w14:paraId="2FFB9A88"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924" w:type="dxa"/>
          </w:tcPr>
          <w:p w14:paraId="62642D18"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992" w:type="dxa"/>
          </w:tcPr>
          <w:p w14:paraId="3822DBD1"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168" w:type="dxa"/>
            <w:tcMar>
              <w:left w:w="57" w:type="dxa"/>
              <w:right w:w="108" w:type="dxa"/>
            </w:tcMar>
          </w:tcPr>
          <w:p w14:paraId="2C57C28F"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0C7142EE" w14:textId="77777777" w:rsidTr="00834981">
        <w:tc>
          <w:tcPr>
            <w:tcW w:w="1458" w:type="dxa"/>
            <w:vAlign w:val="bottom"/>
          </w:tcPr>
          <w:p w14:paraId="646FE964"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Defined benefit obligation</w:t>
            </w:r>
          </w:p>
        </w:tc>
        <w:tc>
          <w:tcPr>
            <w:tcW w:w="1170" w:type="dxa"/>
            <w:vAlign w:val="center"/>
          </w:tcPr>
          <w:p w14:paraId="34599684"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(10,098)</w:t>
            </w:r>
          </w:p>
        </w:tc>
        <w:tc>
          <w:tcPr>
            <w:tcW w:w="900" w:type="dxa"/>
            <w:vAlign w:val="center"/>
          </w:tcPr>
          <w:p w14:paraId="6BF02316"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(2,281)</w:t>
            </w:r>
          </w:p>
        </w:tc>
        <w:tc>
          <w:tcPr>
            <w:tcW w:w="900" w:type="dxa"/>
            <w:vAlign w:val="center"/>
          </w:tcPr>
          <w:p w14:paraId="767EFABA"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(461)</w:t>
            </w:r>
          </w:p>
        </w:tc>
        <w:tc>
          <w:tcPr>
            <w:tcW w:w="1170" w:type="dxa"/>
            <w:vAlign w:val="center"/>
          </w:tcPr>
          <w:p w14:paraId="0065959B"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(2,741)</w:t>
            </w:r>
          </w:p>
        </w:tc>
        <w:tc>
          <w:tcPr>
            <w:tcW w:w="851" w:type="dxa"/>
            <w:vAlign w:val="center"/>
          </w:tcPr>
          <w:p w14:paraId="5428FB4D"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1,562</w:t>
            </w:r>
          </w:p>
        </w:tc>
        <w:tc>
          <w:tcPr>
            <w:tcW w:w="1276" w:type="dxa"/>
            <w:vAlign w:val="center"/>
          </w:tcPr>
          <w:p w14:paraId="433DA85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559" w:type="dxa"/>
            <w:vAlign w:val="center"/>
          </w:tcPr>
          <w:p w14:paraId="2F6F108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380</w:t>
            </w:r>
          </w:p>
        </w:tc>
        <w:tc>
          <w:tcPr>
            <w:tcW w:w="1276" w:type="dxa"/>
            <w:vAlign w:val="center"/>
          </w:tcPr>
          <w:p w14:paraId="52D8FFFA"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(144)</w:t>
            </w:r>
          </w:p>
        </w:tc>
        <w:tc>
          <w:tcPr>
            <w:tcW w:w="1134" w:type="dxa"/>
            <w:vAlign w:val="center"/>
          </w:tcPr>
          <w:p w14:paraId="69E0EEDD"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(36)</w:t>
            </w:r>
          </w:p>
        </w:tc>
        <w:tc>
          <w:tcPr>
            <w:tcW w:w="924" w:type="dxa"/>
            <w:vAlign w:val="center"/>
          </w:tcPr>
          <w:p w14:paraId="75387457"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200</w:t>
            </w:r>
          </w:p>
        </w:tc>
        <w:tc>
          <w:tcPr>
            <w:tcW w:w="992" w:type="dxa"/>
            <w:vAlign w:val="center"/>
          </w:tcPr>
          <w:p w14:paraId="11D4289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168" w:type="dxa"/>
            <w:tcMar>
              <w:top w:w="28" w:type="dxa"/>
              <w:left w:w="57" w:type="dxa"/>
              <w:right w:w="108" w:type="dxa"/>
            </w:tcMar>
            <w:vAlign w:val="center"/>
          </w:tcPr>
          <w:p w14:paraId="1324F900"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(11,077)</w:t>
            </w:r>
          </w:p>
        </w:tc>
      </w:tr>
      <w:tr w:rsidR="00A17C17" w:rsidRPr="00E70587" w14:paraId="06158C0C" w14:textId="77777777" w:rsidTr="00EA2DA0">
        <w:tc>
          <w:tcPr>
            <w:tcW w:w="1458" w:type="dxa"/>
            <w:vAlign w:val="bottom"/>
          </w:tcPr>
          <w:p w14:paraId="70215456" w14:textId="77777777" w:rsidR="00A17C17" w:rsidRPr="00E70587" w:rsidDel="00BA01C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Fair value of plan assets</w:t>
            </w:r>
          </w:p>
        </w:tc>
        <w:tc>
          <w:tcPr>
            <w:tcW w:w="1170" w:type="dxa"/>
            <w:tcBorders>
              <w:bottom w:val="single" w:sz="4" w:space="0" w:color="auto"/>
            </w:tcBorders>
            <w:vAlign w:val="center"/>
          </w:tcPr>
          <w:p w14:paraId="49AD6A1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5,094</w:t>
            </w:r>
          </w:p>
        </w:tc>
        <w:tc>
          <w:tcPr>
            <w:tcW w:w="900" w:type="dxa"/>
            <w:vAlign w:val="center"/>
          </w:tcPr>
          <w:p w14:paraId="1CCAEDB6"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900" w:type="dxa"/>
            <w:vAlign w:val="center"/>
          </w:tcPr>
          <w:p w14:paraId="300E294C"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225</w:t>
            </w:r>
          </w:p>
        </w:tc>
        <w:tc>
          <w:tcPr>
            <w:tcW w:w="1170" w:type="dxa"/>
            <w:tcBorders>
              <w:bottom w:val="single" w:sz="4" w:space="0" w:color="auto"/>
            </w:tcBorders>
            <w:tcMar>
              <w:left w:w="57" w:type="dxa"/>
              <w:right w:w="28" w:type="dxa"/>
            </w:tcMar>
            <w:vAlign w:val="center"/>
          </w:tcPr>
          <w:p w14:paraId="2A531BB5"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225</w:t>
            </w:r>
          </w:p>
        </w:tc>
        <w:tc>
          <w:tcPr>
            <w:tcW w:w="851" w:type="dxa"/>
            <w:tcBorders>
              <w:bottom w:val="single" w:sz="4" w:space="0" w:color="auto"/>
            </w:tcBorders>
            <w:tcMar>
              <w:left w:w="57" w:type="dxa"/>
              <w:right w:w="28" w:type="dxa"/>
            </w:tcMar>
            <w:vAlign w:val="center"/>
          </w:tcPr>
          <w:p w14:paraId="515AB316"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(1,562)</w:t>
            </w:r>
          </w:p>
        </w:tc>
        <w:tc>
          <w:tcPr>
            <w:tcW w:w="1276" w:type="dxa"/>
            <w:tcMar>
              <w:left w:w="57" w:type="dxa"/>
              <w:right w:w="28" w:type="dxa"/>
            </w:tcMar>
            <w:vAlign w:val="center"/>
          </w:tcPr>
          <w:p w14:paraId="1F954602"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464</w:t>
            </w:r>
          </w:p>
        </w:tc>
        <w:tc>
          <w:tcPr>
            <w:tcW w:w="1559" w:type="dxa"/>
            <w:vAlign w:val="center"/>
          </w:tcPr>
          <w:p w14:paraId="3CAB8D99"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276" w:type="dxa"/>
            <w:vAlign w:val="center"/>
          </w:tcPr>
          <w:p w14:paraId="1C63FC6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134" w:type="dxa"/>
            <w:vAlign w:val="center"/>
          </w:tcPr>
          <w:p w14:paraId="42D5C7E4"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924" w:type="dxa"/>
            <w:tcBorders>
              <w:bottom w:val="single" w:sz="4" w:space="0" w:color="auto"/>
            </w:tcBorders>
            <w:vAlign w:val="center"/>
          </w:tcPr>
          <w:p w14:paraId="1E624794"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464</w:t>
            </w:r>
          </w:p>
        </w:tc>
        <w:tc>
          <w:tcPr>
            <w:tcW w:w="992" w:type="dxa"/>
            <w:tcBorders>
              <w:bottom w:val="single" w:sz="4" w:space="0" w:color="auto"/>
            </w:tcBorders>
            <w:vAlign w:val="center"/>
          </w:tcPr>
          <w:p w14:paraId="3B60B2C3"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1,976</w:t>
            </w:r>
          </w:p>
        </w:tc>
        <w:tc>
          <w:tcPr>
            <w:tcW w:w="1168" w:type="dxa"/>
            <w:tcBorders>
              <w:bottom w:val="single" w:sz="4" w:space="0" w:color="auto"/>
            </w:tcBorders>
            <w:tcMar>
              <w:top w:w="28" w:type="dxa"/>
              <w:left w:w="57" w:type="dxa"/>
              <w:right w:w="108" w:type="dxa"/>
            </w:tcMar>
            <w:vAlign w:val="center"/>
          </w:tcPr>
          <w:p w14:paraId="07B6ACF3"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6,197</w:t>
            </w:r>
          </w:p>
        </w:tc>
      </w:tr>
      <w:tr w:rsidR="00A17C17" w:rsidRPr="00E70587" w14:paraId="45DBE97D" w14:textId="77777777" w:rsidTr="00EA2DA0">
        <w:tc>
          <w:tcPr>
            <w:tcW w:w="1458" w:type="dxa"/>
            <w:shd w:val="clear" w:color="auto" w:fill="auto"/>
          </w:tcPr>
          <w:p w14:paraId="03AA4A75"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Benefit liability</w:t>
            </w:r>
          </w:p>
        </w:tc>
        <w:tc>
          <w:tcPr>
            <w:tcW w:w="1170" w:type="dxa"/>
            <w:tcBorders>
              <w:top w:val="single" w:sz="4" w:space="0" w:color="auto"/>
              <w:bottom w:val="single" w:sz="4" w:space="0" w:color="auto"/>
            </w:tcBorders>
            <w:shd w:val="clear" w:color="auto" w:fill="auto"/>
            <w:vAlign w:val="center"/>
          </w:tcPr>
          <w:p w14:paraId="36F7106B"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lang w:eastAsia="en-GB"/>
              </w:rPr>
              <w:t>(5,004)</w:t>
            </w:r>
          </w:p>
        </w:tc>
        <w:tc>
          <w:tcPr>
            <w:tcW w:w="900" w:type="dxa"/>
            <w:shd w:val="clear" w:color="auto" w:fill="auto"/>
            <w:vAlign w:val="center"/>
          </w:tcPr>
          <w:p w14:paraId="3F3DAF44" w14:textId="77777777" w:rsidR="00A17C17" w:rsidRPr="00E70587" w:rsidRDefault="00A17C17" w:rsidP="009901E1">
            <w:pPr>
              <w:spacing w:line="280" w:lineRule="exact"/>
              <w:jc w:val="right"/>
              <w:rPr>
                <w:rFonts w:ascii="Arial" w:hAnsi="Arial" w:cs="Arial"/>
                <w:b/>
                <w:bCs/>
                <w:sz w:val="20"/>
              </w:rPr>
            </w:pPr>
          </w:p>
        </w:tc>
        <w:tc>
          <w:tcPr>
            <w:tcW w:w="900" w:type="dxa"/>
            <w:shd w:val="clear" w:color="auto" w:fill="auto"/>
            <w:vAlign w:val="center"/>
          </w:tcPr>
          <w:p w14:paraId="3C7987BD" w14:textId="77777777" w:rsidR="00A17C17" w:rsidRPr="00E70587" w:rsidRDefault="00A17C17" w:rsidP="009901E1">
            <w:pPr>
              <w:spacing w:line="280" w:lineRule="exact"/>
              <w:jc w:val="right"/>
              <w:rPr>
                <w:rFonts w:ascii="Arial" w:hAnsi="Arial" w:cs="Arial"/>
                <w:b/>
                <w:bCs/>
                <w:sz w:val="20"/>
              </w:rPr>
            </w:pPr>
          </w:p>
        </w:tc>
        <w:tc>
          <w:tcPr>
            <w:tcW w:w="1170" w:type="dxa"/>
            <w:tcBorders>
              <w:top w:val="single" w:sz="4" w:space="0" w:color="auto"/>
              <w:bottom w:val="single" w:sz="4" w:space="0" w:color="auto"/>
            </w:tcBorders>
            <w:shd w:val="clear" w:color="auto" w:fill="auto"/>
            <w:vAlign w:val="center"/>
          </w:tcPr>
          <w:p w14:paraId="1D5934CE"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(2,516)</w:t>
            </w:r>
          </w:p>
        </w:tc>
        <w:tc>
          <w:tcPr>
            <w:tcW w:w="851" w:type="dxa"/>
            <w:tcBorders>
              <w:top w:val="single" w:sz="4" w:space="0" w:color="auto"/>
              <w:bottom w:val="single" w:sz="4" w:space="0" w:color="auto"/>
            </w:tcBorders>
            <w:shd w:val="clear" w:color="auto" w:fill="auto"/>
            <w:vAlign w:val="center"/>
          </w:tcPr>
          <w:p w14:paraId="024B7FD5"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w:t>
            </w:r>
          </w:p>
        </w:tc>
        <w:tc>
          <w:tcPr>
            <w:tcW w:w="1276" w:type="dxa"/>
            <w:shd w:val="clear" w:color="auto" w:fill="auto"/>
            <w:vAlign w:val="center"/>
          </w:tcPr>
          <w:p w14:paraId="2573BC50" w14:textId="77777777" w:rsidR="00A17C17" w:rsidRPr="00E70587" w:rsidRDefault="00A17C17" w:rsidP="009901E1">
            <w:pPr>
              <w:spacing w:line="280" w:lineRule="exact"/>
              <w:jc w:val="right"/>
              <w:rPr>
                <w:rFonts w:ascii="Arial" w:hAnsi="Arial" w:cs="Arial"/>
                <w:b/>
                <w:bCs/>
                <w:sz w:val="20"/>
              </w:rPr>
            </w:pPr>
          </w:p>
        </w:tc>
        <w:tc>
          <w:tcPr>
            <w:tcW w:w="1559" w:type="dxa"/>
            <w:vAlign w:val="center"/>
          </w:tcPr>
          <w:p w14:paraId="640C09CD" w14:textId="77777777" w:rsidR="00A17C17" w:rsidRPr="00E70587" w:rsidRDefault="00A17C17" w:rsidP="009901E1">
            <w:pPr>
              <w:spacing w:line="280" w:lineRule="exact"/>
              <w:jc w:val="right"/>
              <w:rPr>
                <w:rFonts w:ascii="Arial" w:hAnsi="Arial" w:cs="Arial"/>
                <w:b/>
                <w:bCs/>
                <w:sz w:val="20"/>
              </w:rPr>
            </w:pPr>
          </w:p>
        </w:tc>
        <w:tc>
          <w:tcPr>
            <w:tcW w:w="1276" w:type="dxa"/>
            <w:vAlign w:val="center"/>
          </w:tcPr>
          <w:p w14:paraId="3CE0EBEB" w14:textId="77777777" w:rsidR="00A17C17" w:rsidRPr="00E70587" w:rsidRDefault="00A17C17" w:rsidP="009901E1">
            <w:pPr>
              <w:spacing w:line="280" w:lineRule="exact"/>
              <w:jc w:val="right"/>
              <w:rPr>
                <w:rFonts w:ascii="Arial" w:hAnsi="Arial" w:cs="Arial"/>
                <w:b/>
                <w:bCs/>
                <w:sz w:val="20"/>
              </w:rPr>
            </w:pPr>
          </w:p>
        </w:tc>
        <w:tc>
          <w:tcPr>
            <w:tcW w:w="1134" w:type="dxa"/>
            <w:vAlign w:val="center"/>
          </w:tcPr>
          <w:p w14:paraId="1BC7662C" w14:textId="77777777" w:rsidR="00A17C17" w:rsidRPr="00E70587" w:rsidRDefault="00A17C17" w:rsidP="009901E1">
            <w:pPr>
              <w:spacing w:line="280" w:lineRule="exact"/>
              <w:jc w:val="right"/>
              <w:rPr>
                <w:rFonts w:ascii="Arial" w:hAnsi="Arial" w:cs="Arial"/>
                <w:b/>
                <w:bCs/>
                <w:sz w:val="20"/>
              </w:rPr>
            </w:pPr>
          </w:p>
        </w:tc>
        <w:tc>
          <w:tcPr>
            <w:tcW w:w="924" w:type="dxa"/>
            <w:tcBorders>
              <w:top w:val="single" w:sz="4" w:space="0" w:color="auto"/>
              <w:bottom w:val="single" w:sz="4" w:space="0" w:color="auto"/>
            </w:tcBorders>
            <w:vAlign w:val="center"/>
          </w:tcPr>
          <w:p w14:paraId="4BA76A9E"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664</w:t>
            </w:r>
          </w:p>
        </w:tc>
        <w:tc>
          <w:tcPr>
            <w:tcW w:w="992" w:type="dxa"/>
            <w:tcBorders>
              <w:top w:val="single" w:sz="4" w:space="0" w:color="auto"/>
              <w:bottom w:val="single" w:sz="4" w:space="0" w:color="auto"/>
            </w:tcBorders>
            <w:shd w:val="clear" w:color="auto" w:fill="auto"/>
            <w:vAlign w:val="center"/>
          </w:tcPr>
          <w:p w14:paraId="70B217EC"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1,976</w:t>
            </w:r>
          </w:p>
        </w:tc>
        <w:tc>
          <w:tcPr>
            <w:tcW w:w="1168" w:type="dxa"/>
            <w:tcBorders>
              <w:top w:val="single" w:sz="4" w:space="0" w:color="auto"/>
              <w:bottom w:val="single" w:sz="4" w:space="0" w:color="auto"/>
            </w:tcBorders>
            <w:shd w:val="clear" w:color="auto" w:fill="auto"/>
            <w:vAlign w:val="center"/>
          </w:tcPr>
          <w:p w14:paraId="7B4CA17B"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(4,880)</w:t>
            </w:r>
          </w:p>
        </w:tc>
      </w:tr>
    </w:tbl>
    <w:p w14:paraId="2099395A" w14:textId="77777777" w:rsidR="003B22DB" w:rsidRPr="00E70587" w:rsidRDefault="003B22DB" w:rsidP="009901E1">
      <w:pPr>
        <w:spacing w:line="280" w:lineRule="exact"/>
        <w:rPr>
          <w:rFonts w:ascii="Arial" w:hAnsi="Arial" w:cs="Arial"/>
          <w:sz w:val="20"/>
        </w:rPr>
      </w:pPr>
    </w:p>
    <w:p w14:paraId="3139FC7A" w14:textId="77777777" w:rsidR="004D06E0" w:rsidRPr="00E70587" w:rsidRDefault="004D06E0">
      <w:pPr>
        <w:overflowPunct/>
        <w:autoSpaceDE/>
        <w:autoSpaceDN/>
        <w:adjustRightInd/>
        <w:spacing w:line="240" w:lineRule="auto"/>
        <w:textAlignment w:val="auto"/>
        <w:rPr>
          <w:rFonts w:ascii="Arial" w:hAnsi="Arial" w:cs="Arial"/>
          <w:i/>
          <w:sz w:val="20"/>
        </w:rPr>
      </w:pPr>
      <w:r w:rsidRPr="00E70587">
        <w:rPr>
          <w:rFonts w:ascii="Arial" w:hAnsi="Arial"/>
          <w:i/>
          <w:sz w:val="20"/>
        </w:rPr>
        <w:br w:type="page"/>
      </w:r>
    </w:p>
    <w:p w14:paraId="18979270" w14:textId="4D27139C" w:rsidR="003B22DB" w:rsidRPr="00E70587" w:rsidRDefault="003B22DB" w:rsidP="009901E1">
      <w:pPr>
        <w:pStyle w:val="Notesbodytext"/>
        <w:spacing w:after="0" w:line="280" w:lineRule="exact"/>
        <w:rPr>
          <w:rFonts w:ascii="Arial" w:hAnsi="Arial"/>
          <w:i/>
          <w:color w:val="auto"/>
          <w:sz w:val="20"/>
        </w:rPr>
      </w:pPr>
      <w:r w:rsidRPr="00E70587">
        <w:rPr>
          <w:rFonts w:ascii="Arial" w:hAnsi="Arial"/>
          <w:i/>
          <w:color w:val="auto"/>
          <w:sz w:val="20"/>
        </w:rPr>
        <w:lastRenderedPageBreak/>
        <w:t xml:space="preserve">31 </w:t>
      </w:r>
      <w:r w:rsidR="008B730E" w:rsidRPr="00E70587">
        <w:rPr>
          <w:rFonts w:ascii="Arial" w:hAnsi="Arial"/>
          <w:i/>
          <w:color w:val="auto"/>
          <w:sz w:val="20"/>
        </w:rPr>
        <w:t xml:space="preserve">March </w:t>
      </w:r>
      <w:r w:rsidR="0088049D" w:rsidRPr="00E70587">
        <w:rPr>
          <w:rFonts w:ascii="Arial" w:hAnsi="Arial"/>
          <w:i/>
          <w:color w:val="auto"/>
          <w:sz w:val="20"/>
        </w:rPr>
        <w:t>20</w:t>
      </w:r>
      <w:r w:rsidR="0088049D">
        <w:rPr>
          <w:rFonts w:ascii="Arial" w:hAnsi="Arial"/>
          <w:i/>
          <w:color w:val="auto"/>
          <w:sz w:val="20"/>
        </w:rPr>
        <w:t>20</w:t>
      </w:r>
      <w:r w:rsidR="0088049D" w:rsidRPr="00E70587">
        <w:rPr>
          <w:rFonts w:ascii="Arial" w:hAnsi="Arial"/>
          <w:i/>
          <w:color w:val="auto"/>
          <w:sz w:val="20"/>
        </w:rPr>
        <w:t xml:space="preserve"> </w:t>
      </w:r>
      <w:r w:rsidRPr="00E70587">
        <w:rPr>
          <w:rFonts w:ascii="Arial" w:hAnsi="Arial"/>
          <w:i/>
          <w:color w:val="auto"/>
          <w:sz w:val="20"/>
        </w:rPr>
        <w:t>changes in the defined benefit obligation and fair value of plan assets</w:t>
      </w:r>
    </w:p>
    <w:tbl>
      <w:tblPr>
        <w:tblW w:w="14615" w:type="dxa"/>
        <w:tblLayout w:type="fixed"/>
        <w:tblLook w:val="01E0" w:firstRow="1" w:lastRow="1" w:firstColumn="1" w:lastColumn="1" w:noHBand="0" w:noVBand="0"/>
      </w:tblPr>
      <w:tblGrid>
        <w:gridCol w:w="1637"/>
        <w:gridCol w:w="883"/>
        <w:gridCol w:w="1020"/>
        <w:gridCol w:w="699"/>
        <w:gridCol w:w="1339"/>
        <w:gridCol w:w="799"/>
        <w:gridCol w:w="1328"/>
        <w:gridCol w:w="1504"/>
        <w:gridCol w:w="1328"/>
        <w:gridCol w:w="1063"/>
        <w:gridCol w:w="887"/>
        <w:gridCol w:w="977"/>
        <w:gridCol w:w="1151"/>
      </w:tblGrid>
      <w:tr w:rsidR="00A17C17" w:rsidRPr="00E70587" w14:paraId="5C90D0A0" w14:textId="77777777" w:rsidTr="0028777D">
        <w:tc>
          <w:tcPr>
            <w:tcW w:w="1637" w:type="dxa"/>
            <w:shd w:val="clear" w:color="auto" w:fill="auto"/>
            <w:vAlign w:val="bottom"/>
          </w:tcPr>
          <w:p w14:paraId="09D99C6C" w14:textId="77777777" w:rsidR="00A17C17" w:rsidRPr="00E70587" w:rsidRDefault="00A17C17" w:rsidP="009901E1">
            <w:pPr>
              <w:pStyle w:val="Tablecolumnheading"/>
              <w:spacing w:line="280" w:lineRule="exact"/>
              <w:jc w:val="center"/>
              <w:rPr>
                <w:rFonts w:ascii="Arial" w:hAnsi="Arial"/>
                <w:color w:val="auto"/>
                <w:sz w:val="20"/>
                <w:szCs w:val="20"/>
                <w:lang w:val="en-IN"/>
              </w:rPr>
            </w:pPr>
          </w:p>
        </w:tc>
        <w:tc>
          <w:tcPr>
            <w:tcW w:w="883" w:type="dxa"/>
            <w:tcMar>
              <w:left w:w="28" w:type="dxa"/>
              <w:right w:w="28" w:type="dxa"/>
            </w:tcMar>
            <w:vAlign w:val="bottom"/>
          </w:tcPr>
          <w:p w14:paraId="7C528484" w14:textId="77777777" w:rsidR="00A17C17" w:rsidRPr="00E70587" w:rsidRDefault="00A17C17" w:rsidP="009901E1">
            <w:pPr>
              <w:pStyle w:val="Tablecolumnheading"/>
              <w:spacing w:line="280" w:lineRule="exact"/>
              <w:jc w:val="center"/>
              <w:rPr>
                <w:rFonts w:ascii="Arial" w:hAnsi="Arial"/>
                <w:color w:val="auto"/>
                <w:sz w:val="20"/>
                <w:szCs w:val="20"/>
                <w:lang w:val="en-IN"/>
              </w:rPr>
            </w:pPr>
          </w:p>
        </w:tc>
        <w:tc>
          <w:tcPr>
            <w:tcW w:w="3058" w:type="dxa"/>
            <w:gridSpan w:val="3"/>
            <w:vAlign w:val="bottom"/>
          </w:tcPr>
          <w:p w14:paraId="04B2BF62" w14:textId="77777777" w:rsidR="00A17C17" w:rsidRPr="00E70587" w:rsidRDefault="00A17C17" w:rsidP="009901E1">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Gratuity cost charged to profit or loss</w:t>
            </w:r>
          </w:p>
        </w:tc>
        <w:tc>
          <w:tcPr>
            <w:tcW w:w="6909" w:type="dxa"/>
            <w:gridSpan w:val="6"/>
            <w:vAlign w:val="bottom"/>
          </w:tcPr>
          <w:p w14:paraId="5864B6CA" w14:textId="77777777" w:rsidR="00A17C17" w:rsidRPr="00E70587" w:rsidRDefault="00A17C17" w:rsidP="009901E1">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Remeasurement gains/(losses) in other comprehensive income</w:t>
            </w:r>
          </w:p>
        </w:tc>
        <w:tc>
          <w:tcPr>
            <w:tcW w:w="977" w:type="dxa"/>
            <w:tcMar>
              <w:left w:w="0" w:type="dxa"/>
              <w:right w:w="28" w:type="dxa"/>
            </w:tcMar>
            <w:vAlign w:val="bottom"/>
          </w:tcPr>
          <w:p w14:paraId="2AC55952" w14:textId="77777777" w:rsidR="00A17C17" w:rsidRPr="00E70587" w:rsidRDefault="00A17C17" w:rsidP="009901E1">
            <w:pPr>
              <w:pStyle w:val="Tablecolumnheading"/>
              <w:spacing w:line="280" w:lineRule="exact"/>
              <w:jc w:val="center"/>
              <w:rPr>
                <w:rFonts w:ascii="Arial" w:hAnsi="Arial"/>
                <w:color w:val="auto"/>
                <w:sz w:val="20"/>
                <w:szCs w:val="20"/>
                <w:lang w:val="en-IN"/>
              </w:rPr>
            </w:pPr>
          </w:p>
        </w:tc>
        <w:tc>
          <w:tcPr>
            <w:tcW w:w="1151" w:type="dxa"/>
            <w:shd w:val="clear" w:color="auto" w:fill="auto"/>
            <w:tcMar>
              <w:left w:w="57" w:type="dxa"/>
              <w:right w:w="57" w:type="dxa"/>
            </w:tcMar>
            <w:vAlign w:val="bottom"/>
          </w:tcPr>
          <w:p w14:paraId="700074E1" w14:textId="77777777" w:rsidR="00A17C17" w:rsidRPr="00E70587" w:rsidRDefault="00A17C17" w:rsidP="009901E1">
            <w:pPr>
              <w:pStyle w:val="Tablecolumnheading"/>
              <w:spacing w:line="280" w:lineRule="exact"/>
              <w:jc w:val="center"/>
              <w:rPr>
                <w:rFonts w:ascii="Arial" w:hAnsi="Arial"/>
                <w:color w:val="auto"/>
                <w:sz w:val="20"/>
                <w:szCs w:val="20"/>
                <w:lang w:val="en-IN"/>
              </w:rPr>
            </w:pPr>
          </w:p>
        </w:tc>
      </w:tr>
      <w:tr w:rsidR="00A17C17" w:rsidRPr="00E70587" w14:paraId="26EAEB4A" w14:textId="77777777" w:rsidTr="0028777D">
        <w:tc>
          <w:tcPr>
            <w:tcW w:w="1637" w:type="dxa"/>
            <w:shd w:val="clear" w:color="auto" w:fill="auto"/>
            <w:vAlign w:val="bottom"/>
          </w:tcPr>
          <w:p w14:paraId="3AA071C0" w14:textId="77777777" w:rsidR="00A17C17" w:rsidRPr="00E70587" w:rsidRDefault="00A17C17" w:rsidP="009901E1">
            <w:pPr>
              <w:pStyle w:val="Tablecolumnheading"/>
              <w:spacing w:line="280" w:lineRule="exact"/>
              <w:jc w:val="left"/>
              <w:rPr>
                <w:rFonts w:ascii="Arial" w:hAnsi="Arial"/>
                <w:color w:val="auto"/>
                <w:sz w:val="20"/>
                <w:szCs w:val="20"/>
                <w:lang w:val="en-IN"/>
              </w:rPr>
            </w:pPr>
          </w:p>
        </w:tc>
        <w:tc>
          <w:tcPr>
            <w:tcW w:w="883" w:type="dxa"/>
            <w:tcMar>
              <w:left w:w="28" w:type="dxa"/>
              <w:right w:w="28" w:type="dxa"/>
            </w:tcMar>
            <w:vAlign w:val="bottom"/>
          </w:tcPr>
          <w:p w14:paraId="3838B49B" w14:textId="6F28298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1 April </w:t>
            </w:r>
            <w:r w:rsidR="0088049D" w:rsidRPr="00E70587">
              <w:rPr>
                <w:rFonts w:ascii="Arial" w:hAnsi="Arial"/>
                <w:color w:val="auto"/>
                <w:sz w:val="20"/>
                <w:szCs w:val="20"/>
                <w:lang w:val="en-IN"/>
              </w:rPr>
              <w:t>201</w:t>
            </w:r>
            <w:r w:rsidR="0088049D">
              <w:rPr>
                <w:rFonts w:ascii="Arial" w:hAnsi="Arial"/>
                <w:color w:val="auto"/>
                <w:sz w:val="20"/>
                <w:szCs w:val="20"/>
                <w:lang w:val="en-IN"/>
              </w:rPr>
              <w:t>9</w:t>
            </w:r>
          </w:p>
        </w:tc>
        <w:tc>
          <w:tcPr>
            <w:tcW w:w="1020" w:type="dxa"/>
            <w:tcMar>
              <w:left w:w="28" w:type="dxa"/>
              <w:right w:w="28" w:type="dxa"/>
            </w:tcMar>
            <w:vAlign w:val="bottom"/>
          </w:tcPr>
          <w:p w14:paraId="727580B0"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Service cost</w:t>
            </w:r>
          </w:p>
        </w:tc>
        <w:tc>
          <w:tcPr>
            <w:tcW w:w="699" w:type="dxa"/>
            <w:tcMar>
              <w:left w:w="57" w:type="dxa"/>
              <w:right w:w="28" w:type="dxa"/>
            </w:tcMar>
            <w:vAlign w:val="bottom"/>
          </w:tcPr>
          <w:p w14:paraId="20D6CCBC"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Net</w:t>
            </w:r>
            <w:r w:rsidRPr="00E70587">
              <w:rPr>
                <w:rFonts w:ascii="Arial" w:hAnsi="Arial"/>
                <w:color w:val="auto"/>
                <w:sz w:val="20"/>
                <w:szCs w:val="20"/>
                <w:lang w:val="en-IN"/>
              </w:rPr>
              <w:br/>
              <w:t>interest expense</w:t>
            </w:r>
          </w:p>
        </w:tc>
        <w:tc>
          <w:tcPr>
            <w:tcW w:w="1339" w:type="dxa"/>
            <w:tcMar>
              <w:left w:w="57" w:type="dxa"/>
              <w:right w:w="28" w:type="dxa"/>
            </w:tcMar>
            <w:vAlign w:val="bottom"/>
          </w:tcPr>
          <w:p w14:paraId="6B79183E"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Sub-total included in profit or loss</w:t>
            </w:r>
          </w:p>
          <w:p w14:paraId="1FA3FB76"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(Note 26) </w:t>
            </w:r>
          </w:p>
        </w:tc>
        <w:tc>
          <w:tcPr>
            <w:tcW w:w="799" w:type="dxa"/>
            <w:tcMar>
              <w:left w:w="0" w:type="dxa"/>
              <w:right w:w="28" w:type="dxa"/>
            </w:tcMar>
            <w:vAlign w:val="bottom"/>
          </w:tcPr>
          <w:p w14:paraId="70F297EF"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Benefits</w:t>
            </w:r>
            <w:r w:rsidRPr="00E70587">
              <w:rPr>
                <w:rFonts w:ascii="Arial" w:hAnsi="Arial"/>
                <w:color w:val="auto"/>
                <w:sz w:val="20"/>
                <w:szCs w:val="20"/>
                <w:lang w:val="en-IN"/>
              </w:rPr>
              <w:br/>
              <w:t>paid</w:t>
            </w:r>
          </w:p>
        </w:tc>
        <w:tc>
          <w:tcPr>
            <w:tcW w:w="1328" w:type="dxa"/>
            <w:tcMar>
              <w:left w:w="0" w:type="dxa"/>
              <w:right w:w="57" w:type="dxa"/>
            </w:tcMar>
            <w:vAlign w:val="bottom"/>
          </w:tcPr>
          <w:p w14:paraId="25BBA343"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Return on plan assets (excluding amounts included in net interest expense)</w:t>
            </w:r>
          </w:p>
        </w:tc>
        <w:tc>
          <w:tcPr>
            <w:tcW w:w="1504" w:type="dxa"/>
            <w:vAlign w:val="bottom"/>
          </w:tcPr>
          <w:p w14:paraId="2A73097F"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Actuarial changes arising from changes in demographic assumptions</w:t>
            </w:r>
          </w:p>
        </w:tc>
        <w:tc>
          <w:tcPr>
            <w:tcW w:w="1328" w:type="dxa"/>
            <w:vAlign w:val="bottom"/>
          </w:tcPr>
          <w:p w14:paraId="1A4023E8"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Actuarial changes arising from changes in financial assumptions</w:t>
            </w:r>
          </w:p>
        </w:tc>
        <w:tc>
          <w:tcPr>
            <w:tcW w:w="1063" w:type="dxa"/>
            <w:vAlign w:val="bottom"/>
          </w:tcPr>
          <w:p w14:paraId="29AE3BCC"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Experience adjustments</w:t>
            </w:r>
          </w:p>
        </w:tc>
        <w:tc>
          <w:tcPr>
            <w:tcW w:w="887" w:type="dxa"/>
            <w:vAlign w:val="bottom"/>
          </w:tcPr>
          <w:p w14:paraId="1C38C3A6"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Sub-total included in OCI</w:t>
            </w:r>
          </w:p>
        </w:tc>
        <w:tc>
          <w:tcPr>
            <w:tcW w:w="977" w:type="dxa"/>
            <w:tcMar>
              <w:left w:w="0" w:type="dxa"/>
              <w:right w:w="28" w:type="dxa"/>
            </w:tcMar>
            <w:vAlign w:val="bottom"/>
          </w:tcPr>
          <w:p w14:paraId="48B6762B"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Contributions by employer</w:t>
            </w:r>
          </w:p>
        </w:tc>
        <w:tc>
          <w:tcPr>
            <w:tcW w:w="1151" w:type="dxa"/>
            <w:shd w:val="clear" w:color="auto" w:fill="auto"/>
            <w:tcMar>
              <w:left w:w="57" w:type="dxa"/>
              <w:right w:w="57" w:type="dxa"/>
            </w:tcMar>
            <w:vAlign w:val="bottom"/>
          </w:tcPr>
          <w:p w14:paraId="1AE038AC" w14:textId="72CE026C"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88049D" w:rsidRPr="00E70587">
              <w:rPr>
                <w:rFonts w:ascii="Arial" w:hAnsi="Arial"/>
                <w:color w:val="auto"/>
                <w:sz w:val="20"/>
                <w:szCs w:val="20"/>
                <w:lang w:val="en-IN"/>
              </w:rPr>
              <w:t>20</w:t>
            </w:r>
            <w:r w:rsidR="0088049D">
              <w:rPr>
                <w:rFonts w:ascii="Arial" w:hAnsi="Arial"/>
                <w:color w:val="auto"/>
                <w:sz w:val="20"/>
                <w:szCs w:val="20"/>
                <w:lang w:val="en-IN"/>
              </w:rPr>
              <w:t>20</w:t>
            </w:r>
          </w:p>
        </w:tc>
      </w:tr>
      <w:tr w:rsidR="00A17C17" w:rsidRPr="00E70587" w14:paraId="3766CA45" w14:textId="77777777" w:rsidTr="0028777D">
        <w:tc>
          <w:tcPr>
            <w:tcW w:w="1637" w:type="dxa"/>
          </w:tcPr>
          <w:p w14:paraId="1D513054" w14:textId="77777777" w:rsidR="00A17C17" w:rsidRPr="00E70587" w:rsidRDefault="00A17C17" w:rsidP="009901E1">
            <w:pPr>
              <w:pStyle w:val="000Normal"/>
              <w:spacing w:before="0" w:after="0" w:line="280" w:lineRule="exact"/>
              <w:jc w:val="right"/>
              <w:rPr>
                <w:rFonts w:ascii="Arial" w:hAnsi="Arial" w:cs="Arial"/>
                <w:b/>
                <w:sz w:val="20"/>
              </w:rPr>
            </w:pPr>
          </w:p>
        </w:tc>
        <w:tc>
          <w:tcPr>
            <w:tcW w:w="883" w:type="dxa"/>
            <w:noWrap/>
            <w:tcMar>
              <w:left w:w="57" w:type="dxa"/>
              <w:right w:w="57" w:type="dxa"/>
            </w:tcMar>
          </w:tcPr>
          <w:p w14:paraId="4EB7D411"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020" w:type="dxa"/>
          </w:tcPr>
          <w:p w14:paraId="7D4F69F0"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699" w:type="dxa"/>
          </w:tcPr>
          <w:p w14:paraId="6AA00D41"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339" w:type="dxa"/>
            <w:tcMar>
              <w:left w:w="57" w:type="dxa"/>
              <w:right w:w="57" w:type="dxa"/>
            </w:tcMar>
          </w:tcPr>
          <w:p w14:paraId="19295434" w14:textId="77777777" w:rsidR="00A17C17" w:rsidRPr="00E70587" w:rsidRDefault="00A17C17" w:rsidP="009901E1">
            <w:pPr>
              <w:pStyle w:val="Tablecolumnheading"/>
              <w:spacing w:line="280" w:lineRule="exact"/>
              <w:ind w:left="78"/>
              <w:jc w:val="left"/>
              <w:rPr>
                <w:rFonts w:ascii="Arial" w:hAnsi="Arial"/>
                <w:color w:val="auto"/>
                <w:sz w:val="20"/>
                <w:szCs w:val="20"/>
                <w:lang w:val="en-IN"/>
              </w:rPr>
            </w:pPr>
            <w:r w:rsidRPr="00E70587">
              <w:rPr>
                <w:rFonts w:ascii="Arial" w:hAnsi="Arial"/>
                <w:color w:val="auto"/>
                <w:sz w:val="20"/>
                <w:szCs w:val="20"/>
                <w:lang w:val="en-IN"/>
              </w:rPr>
              <w:t>INR Lacs</w:t>
            </w:r>
          </w:p>
        </w:tc>
        <w:tc>
          <w:tcPr>
            <w:tcW w:w="799" w:type="dxa"/>
            <w:tcMar>
              <w:left w:w="57" w:type="dxa"/>
              <w:right w:w="108" w:type="dxa"/>
            </w:tcMar>
          </w:tcPr>
          <w:p w14:paraId="618FFD58"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328" w:type="dxa"/>
            <w:tcMar>
              <w:left w:w="57" w:type="dxa"/>
              <w:right w:w="57" w:type="dxa"/>
            </w:tcMar>
          </w:tcPr>
          <w:p w14:paraId="6BF70A7C"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504" w:type="dxa"/>
          </w:tcPr>
          <w:p w14:paraId="7F5A1800"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328" w:type="dxa"/>
          </w:tcPr>
          <w:p w14:paraId="3E57BA00"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063" w:type="dxa"/>
          </w:tcPr>
          <w:p w14:paraId="46877189"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887" w:type="dxa"/>
          </w:tcPr>
          <w:p w14:paraId="551B5EF3"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977" w:type="dxa"/>
          </w:tcPr>
          <w:p w14:paraId="16166360"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151" w:type="dxa"/>
            <w:tcMar>
              <w:left w:w="57" w:type="dxa"/>
              <w:right w:w="108" w:type="dxa"/>
            </w:tcMar>
          </w:tcPr>
          <w:p w14:paraId="73EF1E35"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265851BD" w14:textId="77777777" w:rsidTr="0028777D">
        <w:tc>
          <w:tcPr>
            <w:tcW w:w="1637" w:type="dxa"/>
            <w:vAlign w:val="bottom"/>
          </w:tcPr>
          <w:p w14:paraId="7D6A8C0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Defined benefit obligation</w:t>
            </w:r>
          </w:p>
        </w:tc>
        <w:tc>
          <w:tcPr>
            <w:tcW w:w="883" w:type="dxa"/>
            <w:vAlign w:val="center"/>
          </w:tcPr>
          <w:p w14:paraId="7B8A2BD9"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(9,446)</w:t>
            </w:r>
          </w:p>
        </w:tc>
        <w:tc>
          <w:tcPr>
            <w:tcW w:w="1020" w:type="dxa"/>
            <w:vAlign w:val="center"/>
          </w:tcPr>
          <w:p w14:paraId="7EC11F3C"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(2,059)</w:t>
            </w:r>
          </w:p>
        </w:tc>
        <w:tc>
          <w:tcPr>
            <w:tcW w:w="699" w:type="dxa"/>
            <w:vAlign w:val="center"/>
          </w:tcPr>
          <w:p w14:paraId="51D8474B"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(509)</w:t>
            </w:r>
          </w:p>
        </w:tc>
        <w:tc>
          <w:tcPr>
            <w:tcW w:w="1339" w:type="dxa"/>
            <w:vAlign w:val="center"/>
          </w:tcPr>
          <w:p w14:paraId="7133E3E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(2,569)</w:t>
            </w:r>
          </w:p>
        </w:tc>
        <w:tc>
          <w:tcPr>
            <w:tcW w:w="799" w:type="dxa"/>
            <w:vAlign w:val="center"/>
          </w:tcPr>
          <w:p w14:paraId="6EBA348F"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2,099</w:t>
            </w:r>
          </w:p>
        </w:tc>
        <w:tc>
          <w:tcPr>
            <w:tcW w:w="1328" w:type="dxa"/>
            <w:vAlign w:val="center"/>
          </w:tcPr>
          <w:p w14:paraId="787F3BAC"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504" w:type="dxa"/>
            <w:vAlign w:val="center"/>
          </w:tcPr>
          <w:p w14:paraId="44211AB6"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(362)</w:t>
            </w:r>
          </w:p>
        </w:tc>
        <w:tc>
          <w:tcPr>
            <w:tcW w:w="1328" w:type="dxa"/>
            <w:vAlign w:val="center"/>
          </w:tcPr>
          <w:p w14:paraId="450AA13E"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126</w:t>
            </w:r>
          </w:p>
        </w:tc>
        <w:tc>
          <w:tcPr>
            <w:tcW w:w="1063" w:type="dxa"/>
            <w:vAlign w:val="center"/>
          </w:tcPr>
          <w:p w14:paraId="43D89B4B"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54</w:t>
            </w:r>
          </w:p>
        </w:tc>
        <w:tc>
          <w:tcPr>
            <w:tcW w:w="887" w:type="dxa"/>
            <w:vAlign w:val="center"/>
          </w:tcPr>
          <w:p w14:paraId="67CA68EE"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(182)</w:t>
            </w:r>
          </w:p>
        </w:tc>
        <w:tc>
          <w:tcPr>
            <w:tcW w:w="977" w:type="dxa"/>
            <w:vAlign w:val="center"/>
          </w:tcPr>
          <w:p w14:paraId="5B2866C0"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151" w:type="dxa"/>
            <w:tcMar>
              <w:top w:w="28" w:type="dxa"/>
              <w:left w:w="57" w:type="dxa"/>
              <w:right w:w="108" w:type="dxa"/>
            </w:tcMar>
            <w:vAlign w:val="center"/>
          </w:tcPr>
          <w:p w14:paraId="37FAA9FE"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(10,098)</w:t>
            </w:r>
          </w:p>
        </w:tc>
      </w:tr>
      <w:tr w:rsidR="00A17C17" w:rsidRPr="00E70587" w14:paraId="732C73E9" w14:textId="77777777" w:rsidTr="0028777D">
        <w:tc>
          <w:tcPr>
            <w:tcW w:w="1637" w:type="dxa"/>
            <w:vAlign w:val="bottom"/>
          </w:tcPr>
          <w:p w14:paraId="254478AF" w14:textId="77777777" w:rsidR="00A17C17" w:rsidRPr="00E70587" w:rsidDel="00BA01C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Fair value of plan assets</w:t>
            </w:r>
          </w:p>
        </w:tc>
        <w:tc>
          <w:tcPr>
            <w:tcW w:w="883" w:type="dxa"/>
            <w:tcBorders>
              <w:bottom w:val="single" w:sz="4" w:space="0" w:color="auto"/>
            </w:tcBorders>
            <w:vAlign w:val="center"/>
          </w:tcPr>
          <w:p w14:paraId="4ED68DD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5,058</w:t>
            </w:r>
          </w:p>
        </w:tc>
        <w:tc>
          <w:tcPr>
            <w:tcW w:w="1020" w:type="dxa"/>
            <w:vAlign w:val="center"/>
          </w:tcPr>
          <w:p w14:paraId="180B6644"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699" w:type="dxa"/>
            <w:vAlign w:val="center"/>
          </w:tcPr>
          <w:p w14:paraId="085F024B"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290</w:t>
            </w:r>
          </w:p>
        </w:tc>
        <w:tc>
          <w:tcPr>
            <w:tcW w:w="1339" w:type="dxa"/>
            <w:tcBorders>
              <w:bottom w:val="single" w:sz="4" w:space="0" w:color="auto"/>
            </w:tcBorders>
            <w:tcMar>
              <w:left w:w="57" w:type="dxa"/>
              <w:right w:w="28" w:type="dxa"/>
            </w:tcMar>
            <w:vAlign w:val="center"/>
          </w:tcPr>
          <w:p w14:paraId="3FE7A494"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290</w:t>
            </w:r>
          </w:p>
        </w:tc>
        <w:tc>
          <w:tcPr>
            <w:tcW w:w="799" w:type="dxa"/>
            <w:tcBorders>
              <w:bottom w:val="single" w:sz="4" w:space="0" w:color="auto"/>
            </w:tcBorders>
            <w:tcMar>
              <w:left w:w="57" w:type="dxa"/>
              <w:right w:w="28" w:type="dxa"/>
            </w:tcMar>
            <w:vAlign w:val="center"/>
          </w:tcPr>
          <w:p w14:paraId="34A1977C"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(2,099)</w:t>
            </w:r>
          </w:p>
        </w:tc>
        <w:tc>
          <w:tcPr>
            <w:tcW w:w="1328" w:type="dxa"/>
            <w:tcMar>
              <w:left w:w="57" w:type="dxa"/>
              <w:right w:w="28" w:type="dxa"/>
            </w:tcMar>
            <w:vAlign w:val="center"/>
          </w:tcPr>
          <w:p w14:paraId="363D4218"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(518)</w:t>
            </w:r>
          </w:p>
        </w:tc>
        <w:tc>
          <w:tcPr>
            <w:tcW w:w="1504" w:type="dxa"/>
            <w:vAlign w:val="center"/>
          </w:tcPr>
          <w:p w14:paraId="671D6896"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328" w:type="dxa"/>
            <w:vAlign w:val="center"/>
          </w:tcPr>
          <w:p w14:paraId="6E422279"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063" w:type="dxa"/>
            <w:vAlign w:val="center"/>
          </w:tcPr>
          <w:p w14:paraId="7A316FF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887" w:type="dxa"/>
            <w:tcBorders>
              <w:bottom w:val="single" w:sz="4" w:space="0" w:color="auto"/>
            </w:tcBorders>
            <w:vAlign w:val="center"/>
          </w:tcPr>
          <w:p w14:paraId="55A077A5"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(518)</w:t>
            </w:r>
          </w:p>
        </w:tc>
        <w:tc>
          <w:tcPr>
            <w:tcW w:w="977" w:type="dxa"/>
            <w:tcBorders>
              <w:bottom w:val="single" w:sz="4" w:space="0" w:color="auto"/>
            </w:tcBorders>
            <w:vAlign w:val="center"/>
          </w:tcPr>
          <w:p w14:paraId="081AE1F7"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2,363</w:t>
            </w:r>
          </w:p>
        </w:tc>
        <w:tc>
          <w:tcPr>
            <w:tcW w:w="1151" w:type="dxa"/>
            <w:tcBorders>
              <w:bottom w:val="single" w:sz="4" w:space="0" w:color="auto"/>
            </w:tcBorders>
            <w:tcMar>
              <w:top w:w="28" w:type="dxa"/>
              <w:left w:w="57" w:type="dxa"/>
              <w:right w:w="108" w:type="dxa"/>
            </w:tcMar>
            <w:vAlign w:val="center"/>
          </w:tcPr>
          <w:p w14:paraId="0A5B7F39"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5,094</w:t>
            </w:r>
          </w:p>
        </w:tc>
      </w:tr>
      <w:tr w:rsidR="00A17C17" w:rsidRPr="00E70587" w14:paraId="45776BD4" w14:textId="77777777" w:rsidTr="0028777D">
        <w:tc>
          <w:tcPr>
            <w:tcW w:w="1637" w:type="dxa"/>
            <w:shd w:val="clear" w:color="auto" w:fill="auto"/>
          </w:tcPr>
          <w:p w14:paraId="0B67B96B"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Benefit liability</w:t>
            </w:r>
          </w:p>
        </w:tc>
        <w:tc>
          <w:tcPr>
            <w:tcW w:w="883" w:type="dxa"/>
            <w:tcBorders>
              <w:top w:val="single" w:sz="4" w:space="0" w:color="auto"/>
              <w:bottom w:val="single" w:sz="4" w:space="0" w:color="auto"/>
            </w:tcBorders>
            <w:shd w:val="clear" w:color="auto" w:fill="auto"/>
            <w:vAlign w:val="center"/>
          </w:tcPr>
          <w:p w14:paraId="2540F672"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(4,388)</w:t>
            </w:r>
          </w:p>
        </w:tc>
        <w:tc>
          <w:tcPr>
            <w:tcW w:w="1020" w:type="dxa"/>
            <w:shd w:val="clear" w:color="auto" w:fill="auto"/>
            <w:vAlign w:val="center"/>
          </w:tcPr>
          <w:p w14:paraId="483B2C36" w14:textId="77777777" w:rsidR="00A17C17" w:rsidRPr="00E70587" w:rsidRDefault="00A17C17" w:rsidP="009901E1">
            <w:pPr>
              <w:spacing w:line="280" w:lineRule="exact"/>
              <w:jc w:val="right"/>
              <w:rPr>
                <w:rFonts w:ascii="Arial" w:hAnsi="Arial" w:cs="Arial"/>
                <w:b/>
                <w:bCs/>
                <w:sz w:val="20"/>
              </w:rPr>
            </w:pPr>
          </w:p>
        </w:tc>
        <w:tc>
          <w:tcPr>
            <w:tcW w:w="699" w:type="dxa"/>
            <w:shd w:val="clear" w:color="auto" w:fill="auto"/>
            <w:tcMar>
              <w:right w:w="28" w:type="dxa"/>
            </w:tcMar>
            <w:vAlign w:val="center"/>
          </w:tcPr>
          <w:p w14:paraId="211BE152" w14:textId="77777777" w:rsidR="00A17C17" w:rsidRPr="00E70587" w:rsidRDefault="00A17C17" w:rsidP="009901E1">
            <w:pPr>
              <w:spacing w:line="280" w:lineRule="exact"/>
              <w:jc w:val="right"/>
              <w:rPr>
                <w:rFonts w:ascii="Arial" w:hAnsi="Arial" w:cs="Arial"/>
                <w:b/>
                <w:bCs/>
                <w:sz w:val="20"/>
              </w:rPr>
            </w:pPr>
          </w:p>
        </w:tc>
        <w:tc>
          <w:tcPr>
            <w:tcW w:w="1339" w:type="dxa"/>
            <w:tcBorders>
              <w:top w:val="single" w:sz="4" w:space="0" w:color="auto"/>
              <w:bottom w:val="single" w:sz="4" w:space="0" w:color="auto"/>
            </w:tcBorders>
            <w:shd w:val="clear" w:color="auto" w:fill="auto"/>
            <w:tcMar>
              <w:left w:w="57" w:type="dxa"/>
              <w:right w:w="28" w:type="dxa"/>
            </w:tcMar>
            <w:vAlign w:val="center"/>
          </w:tcPr>
          <w:p w14:paraId="459FC820"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(2,279)</w:t>
            </w:r>
          </w:p>
        </w:tc>
        <w:tc>
          <w:tcPr>
            <w:tcW w:w="799" w:type="dxa"/>
            <w:tcBorders>
              <w:top w:val="single" w:sz="4" w:space="0" w:color="auto"/>
              <w:bottom w:val="single" w:sz="4" w:space="0" w:color="auto"/>
            </w:tcBorders>
            <w:shd w:val="clear" w:color="auto" w:fill="auto"/>
            <w:tcMar>
              <w:right w:w="28" w:type="dxa"/>
            </w:tcMar>
            <w:vAlign w:val="center"/>
          </w:tcPr>
          <w:p w14:paraId="1DCD5C74"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w:t>
            </w:r>
          </w:p>
        </w:tc>
        <w:tc>
          <w:tcPr>
            <w:tcW w:w="1328" w:type="dxa"/>
            <w:shd w:val="clear" w:color="auto" w:fill="auto"/>
            <w:tcMar>
              <w:right w:w="108" w:type="dxa"/>
            </w:tcMar>
            <w:vAlign w:val="center"/>
          </w:tcPr>
          <w:p w14:paraId="6A608609" w14:textId="77777777" w:rsidR="00A17C17" w:rsidRPr="00E70587" w:rsidRDefault="00A17C17" w:rsidP="009901E1">
            <w:pPr>
              <w:spacing w:line="280" w:lineRule="exact"/>
              <w:jc w:val="right"/>
              <w:rPr>
                <w:rFonts w:ascii="Arial" w:hAnsi="Arial" w:cs="Arial"/>
                <w:b/>
                <w:bCs/>
                <w:sz w:val="20"/>
              </w:rPr>
            </w:pPr>
          </w:p>
        </w:tc>
        <w:tc>
          <w:tcPr>
            <w:tcW w:w="1504" w:type="dxa"/>
            <w:vAlign w:val="center"/>
          </w:tcPr>
          <w:p w14:paraId="1402F471" w14:textId="77777777" w:rsidR="00A17C17" w:rsidRPr="00E70587" w:rsidRDefault="00A17C17" w:rsidP="009901E1">
            <w:pPr>
              <w:spacing w:line="280" w:lineRule="exact"/>
              <w:jc w:val="right"/>
              <w:rPr>
                <w:rFonts w:ascii="Arial" w:hAnsi="Arial" w:cs="Arial"/>
                <w:b/>
                <w:bCs/>
                <w:sz w:val="20"/>
              </w:rPr>
            </w:pPr>
          </w:p>
        </w:tc>
        <w:tc>
          <w:tcPr>
            <w:tcW w:w="1328" w:type="dxa"/>
            <w:vAlign w:val="center"/>
          </w:tcPr>
          <w:p w14:paraId="50685F7A" w14:textId="77777777" w:rsidR="00A17C17" w:rsidRPr="00E70587" w:rsidRDefault="00A17C17" w:rsidP="009901E1">
            <w:pPr>
              <w:spacing w:line="280" w:lineRule="exact"/>
              <w:jc w:val="right"/>
              <w:rPr>
                <w:rFonts w:ascii="Arial" w:hAnsi="Arial" w:cs="Arial"/>
                <w:b/>
                <w:bCs/>
                <w:sz w:val="20"/>
              </w:rPr>
            </w:pPr>
          </w:p>
        </w:tc>
        <w:tc>
          <w:tcPr>
            <w:tcW w:w="1063" w:type="dxa"/>
            <w:vAlign w:val="center"/>
          </w:tcPr>
          <w:p w14:paraId="4F23AFA6" w14:textId="77777777" w:rsidR="00A17C17" w:rsidRPr="00E70587" w:rsidRDefault="00A17C17" w:rsidP="009901E1">
            <w:pPr>
              <w:spacing w:line="280" w:lineRule="exact"/>
              <w:jc w:val="right"/>
              <w:rPr>
                <w:rFonts w:ascii="Arial" w:hAnsi="Arial" w:cs="Arial"/>
                <w:b/>
                <w:bCs/>
                <w:sz w:val="20"/>
              </w:rPr>
            </w:pPr>
          </w:p>
        </w:tc>
        <w:tc>
          <w:tcPr>
            <w:tcW w:w="887" w:type="dxa"/>
            <w:tcBorders>
              <w:top w:val="single" w:sz="4" w:space="0" w:color="auto"/>
              <w:bottom w:val="single" w:sz="4" w:space="0" w:color="auto"/>
            </w:tcBorders>
            <w:vAlign w:val="center"/>
          </w:tcPr>
          <w:p w14:paraId="27165576"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(700)</w:t>
            </w:r>
          </w:p>
        </w:tc>
        <w:tc>
          <w:tcPr>
            <w:tcW w:w="977" w:type="dxa"/>
            <w:tcBorders>
              <w:top w:val="single" w:sz="4" w:space="0" w:color="auto"/>
              <w:bottom w:val="single" w:sz="4" w:space="0" w:color="auto"/>
            </w:tcBorders>
            <w:shd w:val="clear" w:color="auto" w:fill="auto"/>
            <w:vAlign w:val="center"/>
          </w:tcPr>
          <w:p w14:paraId="1ED967C3"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2,363</w:t>
            </w:r>
          </w:p>
        </w:tc>
        <w:tc>
          <w:tcPr>
            <w:tcW w:w="1151" w:type="dxa"/>
            <w:tcBorders>
              <w:top w:val="single" w:sz="4" w:space="0" w:color="auto"/>
              <w:bottom w:val="single" w:sz="4" w:space="0" w:color="auto"/>
            </w:tcBorders>
            <w:shd w:val="clear" w:color="auto" w:fill="auto"/>
            <w:vAlign w:val="center"/>
          </w:tcPr>
          <w:p w14:paraId="156E59CB"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(5,004)</w:t>
            </w:r>
          </w:p>
        </w:tc>
      </w:tr>
    </w:tbl>
    <w:p w14:paraId="11708EDE" w14:textId="77777777" w:rsidR="003B22DB" w:rsidRPr="00E70587" w:rsidRDefault="003B22DB" w:rsidP="009901E1">
      <w:pPr>
        <w:pStyle w:val="tabletext"/>
        <w:overflowPunct w:val="0"/>
        <w:autoSpaceDE w:val="0"/>
        <w:autoSpaceDN w:val="0"/>
        <w:adjustRightInd w:val="0"/>
        <w:spacing w:line="280" w:lineRule="exact"/>
        <w:textAlignment w:val="baseline"/>
        <w:rPr>
          <w:rFonts w:ascii="Arial" w:hAnsi="Arial" w:cs="Arial"/>
          <w:b/>
          <w:sz w:val="20"/>
          <w:lang w:val="en-IN"/>
        </w:rPr>
        <w:sectPr w:rsidR="003B22DB" w:rsidRPr="00E70587" w:rsidSect="00C41CC3">
          <w:headerReference w:type="even" r:id="rId31"/>
          <w:pgSz w:w="16834" w:h="11909" w:orient="landscape" w:code="9"/>
          <w:pgMar w:top="864" w:right="1253" w:bottom="864" w:left="1296" w:header="432" w:footer="432" w:gutter="0"/>
          <w:cols w:space="766"/>
          <w:docGrid w:linePitch="245"/>
        </w:sectPr>
      </w:pPr>
    </w:p>
    <w:p w14:paraId="26258EE0" w14:textId="77777777" w:rsidR="00543141" w:rsidRPr="00E70587" w:rsidRDefault="00543141" w:rsidP="00B43785">
      <w:pPr>
        <w:pStyle w:val="IAStext"/>
        <w:spacing w:line="280" w:lineRule="exact"/>
        <w:jc w:val="both"/>
        <w:rPr>
          <w:rFonts w:ascii="Arial" w:hAnsi="Arial" w:cs="Arial"/>
          <w:i w:val="0"/>
          <w:sz w:val="20"/>
          <w:lang w:val="en-IN"/>
        </w:rPr>
      </w:pPr>
    </w:p>
    <w:tbl>
      <w:tblPr>
        <w:tblW w:w="9576" w:type="dxa"/>
        <w:tblLook w:val="0000" w:firstRow="0" w:lastRow="0" w:firstColumn="0" w:lastColumn="0" w:noHBand="0" w:noVBand="0"/>
      </w:tblPr>
      <w:tblGrid>
        <w:gridCol w:w="9576"/>
      </w:tblGrid>
      <w:tr w:rsidR="00864D25" w:rsidRPr="00E70587" w14:paraId="75954468" w14:textId="77777777" w:rsidTr="00864D25">
        <w:tc>
          <w:tcPr>
            <w:tcW w:w="0" w:type="auto"/>
            <w:tcBorders>
              <w:top w:val="single" w:sz="4" w:space="0" w:color="auto"/>
              <w:left w:val="single" w:sz="4" w:space="0" w:color="auto"/>
              <w:bottom w:val="single" w:sz="4" w:space="0" w:color="auto"/>
              <w:right w:val="single" w:sz="4" w:space="0" w:color="auto"/>
            </w:tcBorders>
            <w:shd w:val="clear" w:color="auto" w:fill="C1C1C1" w:themeFill="background2" w:themeFillTint="66"/>
          </w:tcPr>
          <w:p w14:paraId="09E6F202" w14:textId="77777777" w:rsidR="00864D25" w:rsidRPr="00E70587" w:rsidRDefault="00864D25" w:rsidP="00864D25">
            <w:pPr>
              <w:spacing w:before="120"/>
              <w:rPr>
                <w:rFonts w:ascii="Arial" w:hAnsi="Arial"/>
                <w:b/>
                <w:sz w:val="20"/>
              </w:rPr>
            </w:pPr>
            <w:r w:rsidRPr="00E70587">
              <w:rPr>
                <w:rFonts w:ascii="Arial" w:hAnsi="Arial"/>
                <w:b/>
                <w:sz w:val="20"/>
              </w:rPr>
              <w:t>Commentary</w:t>
            </w:r>
          </w:p>
          <w:p w14:paraId="7BDEE6E7" w14:textId="77777777" w:rsidR="0028777D" w:rsidRPr="00E70587" w:rsidRDefault="0028777D" w:rsidP="00864D25">
            <w:pPr>
              <w:spacing w:before="120"/>
              <w:rPr>
                <w:rFonts w:ascii="Arial" w:hAnsi="Arial"/>
                <w:b/>
                <w:sz w:val="20"/>
              </w:rPr>
            </w:pPr>
          </w:p>
          <w:p w14:paraId="314D2441" w14:textId="77777777" w:rsidR="00864D25" w:rsidRPr="00E70587" w:rsidRDefault="00864D25" w:rsidP="00864D25">
            <w:pPr>
              <w:spacing w:line="240" w:lineRule="atLeast"/>
              <w:rPr>
                <w:rFonts w:ascii="Arial" w:hAnsi="Arial" w:cs="Arial"/>
                <w:sz w:val="20"/>
              </w:rPr>
            </w:pPr>
            <w:r w:rsidRPr="00E70587">
              <w:rPr>
                <w:rFonts w:ascii="Arial" w:hAnsi="Arial" w:cs="Arial"/>
                <w:sz w:val="20"/>
              </w:rPr>
              <w:t>An entity must assess whether all or some disclosures should be disaggregated to distinguish plans or groups of plans with materially different risks under the requirements of Ind AS 19.138. For example, an entity may disaggregate disclosure about plans showing one or more of the following features: different geographical locations: characteristics such as flat salary pension plans: final salary pension plans or post-employment medical plans: regulatory environments: reporting segments and/or funding arrangements (e.g., wholly unfunded, wholly or partly funded).</w:t>
            </w:r>
          </w:p>
          <w:p w14:paraId="7774A0A9" w14:textId="77777777" w:rsidR="0028777D" w:rsidRPr="00E70587" w:rsidRDefault="0028777D" w:rsidP="00864D25">
            <w:pPr>
              <w:spacing w:line="240" w:lineRule="atLeast"/>
              <w:rPr>
                <w:rFonts w:ascii="Arial" w:hAnsi="Arial" w:cs="Arial"/>
                <w:sz w:val="20"/>
              </w:rPr>
            </w:pPr>
          </w:p>
          <w:p w14:paraId="5044656F" w14:textId="77777777" w:rsidR="00864D25" w:rsidRPr="00E70587" w:rsidRDefault="00864D25" w:rsidP="00864D25">
            <w:pPr>
              <w:spacing w:line="240" w:lineRule="atLeast"/>
              <w:rPr>
                <w:rFonts w:ascii="Arial" w:hAnsi="Arial" w:cs="Arial"/>
                <w:sz w:val="20"/>
              </w:rPr>
            </w:pPr>
            <w:r w:rsidRPr="00E70587">
              <w:rPr>
                <w:rFonts w:ascii="Arial" w:hAnsi="Arial" w:cs="Arial"/>
                <w:sz w:val="20"/>
              </w:rPr>
              <w:t>Entities must exercise judgement and assess the grouping criteria according to their specific facts and circumstances. In this case, the Group has only one defined benefit pension plan in India, hence there is no further disaggregation shown.</w:t>
            </w:r>
          </w:p>
          <w:p w14:paraId="6AF43ED8" w14:textId="77777777" w:rsidR="0028777D" w:rsidRPr="00E70587" w:rsidRDefault="0028777D" w:rsidP="00864D25">
            <w:pPr>
              <w:spacing w:line="240" w:lineRule="atLeast"/>
              <w:rPr>
                <w:rFonts w:ascii="Arial" w:hAnsi="Arial" w:cs="Arial"/>
                <w:sz w:val="20"/>
              </w:rPr>
            </w:pPr>
          </w:p>
          <w:p w14:paraId="371BD769" w14:textId="77777777" w:rsidR="00864D25" w:rsidRPr="00E70587" w:rsidRDefault="00864D25" w:rsidP="00864D25">
            <w:pPr>
              <w:spacing w:line="240" w:lineRule="atLeast"/>
              <w:rPr>
                <w:rFonts w:ascii="Arial" w:hAnsi="Arial" w:cs="Arial"/>
                <w:sz w:val="20"/>
              </w:rPr>
            </w:pPr>
            <w:r w:rsidRPr="00E70587">
              <w:rPr>
                <w:rFonts w:ascii="Arial" w:hAnsi="Arial" w:cs="Arial"/>
                <w:sz w:val="20"/>
              </w:rPr>
              <w:t>Additional disclosures may also be provided to meet the objectives in Ind AS 19.135. For example, an entity may present an analysis of the present value of the defined benefit obligation that distinguishes the nature, characteristics and risks of the obligation. Such a disclosure could distinguish between:</w:t>
            </w:r>
          </w:p>
          <w:p w14:paraId="4223A332" w14:textId="77777777" w:rsidR="00864D25" w:rsidRPr="00E70587" w:rsidRDefault="00864D25" w:rsidP="00864D25">
            <w:pPr>
              <w:spacing w:line="240" w:lineRule="atLeast"/>
              <w:rPr>
                <w:rFonts w:ascii="Arial" w:hAnsi="Arial" w:cs="Arial"/>
                <w:sz w:val="20"/>
              </w:rPr>
            </w:pPr>
            <w:r w:rsidRPr="00E70587">
              <w:rPr>
                <w:rFonts w:ascii="Arial" w:hAnsi="Arial" w:cs="Arial"/>
                <w:sz w:val="20"/>
              </w:rPr>
              <w:t>(a) Amounts owing to active members, deferred members, and pensioners</w:t>
            </w:r>
          </w:p>
          <w:p w14:paraId="6C389D03" w14:textId="77777777" w:rsidR="00864D25" w:rsidRPr="00E70587" w:rsidRDefault="00864D25" w:rsidP="00864D25">
            <w:pPr>
              <w:spacing w:line="240" w:lineRule="atLeast"/>
              <w:rPr>
                <w:rFonts w:ascii="Arial" w:hAnsi="Arial" w:cs="Arial"/>
                <w:sz w:val="20"/>
              </w:rPr>
            </w:pPr>
            <w:r w:rsidRPr="00E70587">
              <w:rPr>
                <w:rFonts w:ascii="Arial" w:hAnsi="Arial" w:cs="Arial"/>
                <w:sz w:val="20"/>
              </w:rPr>
              <w:t>(b) Vested benefits and accrued, but not vested, benefits</w:t>
            </w:r>
          </w:p>
          <w:p w14:paraId="52EC72DA" w14:textId="77777777" w:rsidR="00864D25" w:rsidRPr="00E70587" w:rsidRDefault="00864D25" w:rsidP="00864D25">
            <w:pPr>
              <w:spacing w:line="240" w:lineRule="atLeast"/>
              <w:rPr>
                <w:rFonts w:ascii="Arial" w:hAnsi="Arial" w:cs="Arial"/>
                <w:sz w:val="20"/>
              </w:rPr>
            </w:pPr>
            <w:r w:rsidRPr="00E70587">
              <w:rPr>
                <w:rFonts w:ascii="Arial" w:hAnsi="Arial" w:cs="Arial"/>
                <w:sz w:val="20"/>
              </w:rPr>
              <w:t>(c) Conditional benefits, amounts attributable to future salary increases and other benefits</w:t>
            </w:r>
          </w:p>
          <w:p w14:paraId="53FEEB49" w14:textId="77777777" w:rsidR="0028777D" w:rsidRPr="00E70587" w:rsidRDefault="0028777D" w:rsidP="00864D25">
            <w:pPr>
              <w:spacing w:line="240" w:lineRule="atLeast"/>
              <w:rPr>
                <w:rFonts w:ascii="Arial" w:hAnsi="Arial" w:cs="Arial"/>
                <w:i/>
                <w:sz w:val="20"/>
              </w:rPr>
            </w:pPr>
          </w:p>
        </w:tc>
      </w:tr>
      <w:tr w:rsidR="00864D25" w:rsidRPr="00E70587" w14:paraId="706A44B6" w14:textId="77777777" w:rsidTr="00864D25">
        <w:tc>
          <w:tcPr>
            <w:tcW w:w="0" w:type="auto"/>
            <w:tcBorders>
              <w:top w:val="single" w:sz="4" w:space="0" w:color="auto"/>
            </w:tcBorders>
          </w:tcPr>
          <w:p w14:paraId="7A6E3167" w14:textId="77777777" w:rsidR="00864D25" w:rsidRPr="00E70587" w:rsidRDefault="00864D25" w:rsidP="00B43785">
            <w:pPr>
              <w:pStyle w:val="IAStext"/>
              <w:spacing w:line="280" w:lineRule="exact"/>
              <w:jc w:val="both"/>
              <w:rPr>
                <w:rFonts w:ascii="Arial" w:hAnsi="Arial" w:cs="Arial"/>
                <w:i w:val="0"/>
                <w:sz w:val="20"/>
                <w:lang w:val="en-IN"/>
              </w:rPr>
            </w:pPr>
          </w:p>
        </w:tc>
      </w:tr>
      <w:tr w:rsidR="00543141" w:rsidRPr="00E70587" w14:paraId="2E415B74" w14:textId="77777777" w:rsidTr="00834981">
        <w:tc>
          <w:tcPr>
            <w:tcW w:w="0" w:type="auto"/>
          </w:tcPr>
          <w:p w14:paraId="37DAE38B" w14:textId="7C79E05D" w:rsidR="00543141" w:rsidRPr="00E70587" w:rsidRDefault="00543141" w:rsidP="00B43785">
            <w:pPr>
              <w:pStyle w:val="IAStext"/>
              <w:spacing w:line="280" w:lineRule="exact"/>
              <w:jc w:val="both"/>
              <w:rPr>
                <w:rFonts w:ascii="Arial" w:hAnsi="Arial" w:cs="Arial"/>
                <w:i w:val="0"/>
                <w:sz w:val="20"/>
                <w:lang w:val="en-IN"/>
              </w:rPr>
            </w:pPr>
            <w:r w:rsidRPr="00E70587">
              <w:rPr>
                <w:rFonts w:ascii="Arial" w:hAnsi="Arial" w:cs="Arial"/>
                <w:i w:val="0"/>
                <w:sz w:val="20"/>
                <w:lang w:val="en-IN"/>
              </w:rPr>
              <w:t xml:space="preserve">The acquisitions of Extinguishers Limited during the year ended 31 </w:t>
            </w:r>
            <w:r w:rsidR="00E1202D" w:rsidRPr="00E70587">
              <w:rPr>
                <w:rFonts w:ascii="Arial" w:hAnsi="Arial" w:cs="Arial"/>
                <w:i w:val="0"/>
                <w:sz w:val="20"/>
                <w:lang w:val="en-IN"/>
              </w:rPr>
              <w:t xml:space="preserve">March </w:t>
            </w:r>
            <w:r w:rsidR="007337AC" w:rsidRPr="00E70587">
              <w:rPr>
                <w:rFonts w:ascii="Arial" w:hAnsi="Arial" w:cs="Arial"/>
                <w:i w:val="0"/>
                <w:sz w:val="20"/>
                <w:lang w:val="en-IN"/>
              </w:rPr>
              <w:t>20</w:t>
            </w:r>
            <w:r w:rsidR="007337AC">
              <w:rPr>
                <w:rFonts w:ascii="Arial" w:hAnsi="Arial" w:cs="Arial"/>
                <w:i w:val="0"/>
                <w:sz w:val="20"/>
                <w:lang w:val="en-IN"/>
              </w:rPr>
              <w:t>21</w:t>
            </w:r>
            <w:r w:rsidR="007337AC" w:rsidRPr="00E70587">
              <w:rPr>
                <w:rFonts w:ascii="Arial" w:hAnsi="Arial" w:cs="Arial"/>
                <w:i w:val="0"/>
                <w:sz w:val="20"/>
                <w:lang w:val="en-IN"/>
              </w:rPr>
              <w:t xml:space="preserve"> </w:t>
            </w:r>
            <w:r w:rsidRPr="00E70587">
              <w:rPr>
                <w:rFonts w:ascii="Arial" w:hAnsi="Arial" w:cs="Arial"/>
                <w:i w:val="0"/>
                <w:sz w:val="20"/>
                <w:lang w:val="en-IN"/>
              </w:rPr>
              <w:t xml:space="preserve">and Lightbulbs Limited during the year ended 31 </w:t>
            </w:r>
            <w:r w:rsidR="008B730E" w:rsidRPr="00E70587">
              <w:rPr>
                <w:rFonts w:ascii="Arial" w:hAnsi="Arial" w:cs="Arial"/>
                <w:i w:val="0"/>
                <w:sz w:val="20"/>
                <w:lang w:val="en-IN"/>
              </w:rPr>
              <w:t xml:space="preserve">March </w:t>
            </w:r>
            <w:r w:rsidR="007337AC" w:rsidRPr="00E70587">
              <w:rPr>
                <w:rFonts w:ascii="Arial" w:hAnsi="Arial" w:cs="Arial"/>
                <w:i w:val="0"/>
                <w:sz w:val="20"/>
                <w:lang w:val="en-IN"/>
              </w:rPr>
              <w:t>20</w:t>
            </w:r>
            <w:r w:rsidR="007337AC">
              <w:rPr>
                <w:rFonts w:ascii="Arial" w:hAnsi="Arial" w:cs="Arial"/>
                <w:i w:val="0"/>
                <w:sz w:val="20"/>
                <w:lang w:val="en-IN"/>
              </w:rPr>
              <w:t>20</w:t>
            </w:r>
            <w:r w:rsidR="007337AC" w:rsidRPr="00E70587">
              <w:rPr>
                <w:rFonts w:ascii="Arial" w:hAnsi="Arial" w:cs="Arial"/>
                <w:i w:val="0"/>
                <w:sz w:val="20"/>
                <w:lang w:val="en-IN"/>
              </w:rPr>
              <w:t xml:space="preserve"> </w:t>
            </w:r>
            <w:r w:rsidRPr="00E70587">
              <w:rPr>
                <w:rFonts w:ascii="Arial" w:hAnsi="Arial" w:cs="Arial"/>
                <w:i w:val="0"/>
                <w:sz w:val="20"/>
                <w:lang w:val="en-IN"/>
              </w:rPr>
              <w:t xml:space="preserve">did not materiality affect plan assets or </w:t>
            </w:r>
            <w:r w:rsidR="00B43785" w:rsidRPr="00E70587">
              <w:rPr>
                <w:rFonts w:ascii="Arial" w:hAnsi="Arial" w:cs="Arial"/>
                <w:i w:val="0"/>
                <w:sz w:val="20"/>
                <w:lang w:val="en-IN"/>
              </w:rPr>
              <w:t>the defined benefit obligation.</w:t>
            </w:r>
          </w:p>
          <w:p w14:paraId="635814D9" w14:textId="77777777" w:rsidR="00543141" w:rsidRPr="00E70587" w:rsidRDefault="00543141" w:rsidP="00B43785">
            <w:pPr>
              <w:pStyle w:val="IAStext"/>
              <w:spacing w:line="280" w:lineRule="exact"/>
              <w:jc w:val="both"/>
              <w:rPr>
                <w:rFonts w:ascii="Arial" w:hAnsi="Arial" w:cs="Arial"/>
                <w:i w:val="0"/>
                <w:sz w:val="20"/>
                <w:lang w:val="en-IN"/>
              </w:rPr>
            </w:pPr>
          </w:p>
          <w:p w14:paraId="4524C25E" w14:textId="77777777" w:rsidR="00543141" w:rsidRPr="00E70587" w:rsidRDefault="00543141" w:rsidP="00B43785">
            <w:pPr>
              <w:pStyle w:val="IAStext"/>
              <w:spacing w:line="280" w:lineRule="exact"/>
              <w:jc w:val="both"/>
              <w:rPr>
                <w:rFonts w:ascii="Arial" w:hAnsi="Arial" w:cs="Arial"/>
                <w:i w:val="0"/>
                <w:sz w:val="20"/>
                <w:lang w:val="en-IN"/>
              </w:rPr>
            </w:pPr>
            <w:r w:rsidRPr="00E70587">
              <w:rPr>
                <w:rFonts w:ascii="Arial" w:hAnsi="Arial" w:cs="Arial"/>
                <w:i w:val="0"/>
                <w:sz w:val="20"/>
                <w:lang w:val="en-IN"/>
              </w:rPr>
              <w:t>The major categories of plan assets of the fair value of the total plan assets are as follows:</w:t>
            </w:r>
          </w:p>
        </w:tc>
      </w:tr>
    </w:tbl>
    <w:p w14:paraId="1C5E39AC" w14:textId="77777777" w:rsidR="003B22DB" w:rsidRPr="00E70587" w:rsidRDefault="003B22DB" w:rsidP="00B43785">
      <w:pPr>
        <w:pStyle w:val="IAStext"/>
        <w:spacing w:line="280" w:lineRule="exact"/>
        <w:jc w:val="both"/>
        <w:rPr>
          <w:rFonts w:ascii="Arial" w:hAnsi="Arial" w:cs="Arial"/>
          <w:i w:val="0"/>
          <w:sz w:val="20"/>
          <w:lang w:val="en-IN"/>
        </w:rPr>
      </w:pPr>
    </w:p>
    <w:tbl>
      <w:tblPr>
        <w:tblW w:w="8067" w:type="dxa"/>
        <w:tblLayout w:type="fixed"/>
        <w:tblLook w:val="01E0" w:firstRow="1" w:lastRow="1" w:firstColumn="1" w:lastColumn="1" w:noHBand="0" w:noVBand="0"/>
      </w:tblPr>
      <w:tblGrid>
        <w:gridCol w:w="4430"/>
        <w:gridCol w:w="1863"/>
        <w:gridCol w:w="1774"/>
      </w:tblGrid>
      <w:tr w:rsidR="00330EAA" w:rsidRPr="00E70587" w14:paraId="259D6BAA" w14:textId="77777777" w:rsidTr="00330EAA">
        <w:tc>
          <w:tcPr>
            <w:tcW w:w="4430" w:type="dxa"/>
            <w:shd w:val="clear" w:color="auto" w:fill="auto"/>
          </w:tcPr>
          <w:p w14:paraId="65D74EBA" w14:textId="77777777" w:rsidR="00330EAA" w:rsidRPr="00E70587" w:rsidRDefault="00330EAA" w:rsidP="009901E1">
            <w:pPr>
              <w:pStyle w:val="tabletext"/>
              <w:spacing w:line="280" w:lineRule="exact"/>
              <w:rPr>
                <w:rFonts w:ascii="Arial" w:hAnsi="Arial" w:cs="Arial"/>
                <w:sz w:val="20"/>
                <w:lang w:val="en-IN"/>
              </w:rPr>
            </w:pPr>
          </w:p>
        </w:tc>
        <w:tc>
          <w:tcPr>
            <w:tcW w:w="3637" w:type="dxa"/>
            <w:gridSpan w:val="2"/>
            <w:shd w:val="clear" w:color="auto" w:fill="auto"/>
            <w:vAlign w:val="bottom"/>
          </w:tcPr>
          <w:p w14:paraId="0FF42E35" w14:textId="77777777" w:rsidR="00330EAA" w:rsidRPr="00E70587" w:rsidRDefault="00330EAA" w:rsidP="009901E1">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India plan</w:t>
            </w:r>
          </w:p>
        </w:tc>
      </w:tr>
      <w:tr w:rsidR="00330EAA" w:rsidRPr="00E70587" w14:paraId="3C2ABFC2" w14:textId="77777777" w:rsidTr="00330EAA">
        <w:tc>
          <w:tcPr>
            <w:tcW w:w="4430" w:type="dxa"/>
            <w:shd w:val="clear" w:color="auto" w:fill="auto"/>
          </w:tcPr>
          <w:p w14:paraId="23382C61" w14:textId="77777777" w:rsidR="00330EAA" w:rsidRPr="00E70587" w:rsidRDefault="00330EAA" w:rsidP="009901E1">
            <w:pPr>
              <w:pStyle w:val="tabletext"/>
              <w:spacing w:line="280" w:lineRule="exact"/>
              <w:rPr>
                <w:rFonts w:ascii="Arial" w:hAnsi="Arial" w:cs="Arial"/>
                <w:sz w:val="20"/>
                <w:lang w:val="en-IN"/>
              </w:rPr>
            </w:pPr>
          </w:p>
        </w:tc>
        <w:tc>
          <w:tcPr>
            <w:tcW w:w="1863" w:type="dxa"/>
            <w:tcBorders>
              <w:bottom w:val="single" w:sz="4" w:space="0" w:color="auto"/>
            </w:tcBorders>
            <w:shd w:val="clear" w:color="auto" w:fill="auto"/>
            <w:vAlign w:val="bottom"/>
          </w:tcPr>
          <w:p w14:paraId="3D0B53FD" w14:textId="6AA143FF"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015180" w:rsidRPr="00E70587">
              <w:rPr>
                <w:rFonts w:ascii="Arial" w:hAnsi="Arial"/>
                <w:color w:val="auto"/>
                <w:sz w:val="20"/>
                <w:szCs w:val="20"/>
                <w:lang w:val="en-IN"/>
              </w:rPr>
              <w:t>20</w:t>
            </w:r>
            <w:r w:rsidR="00015180">
              <w:rPr>
                <w:rFonts w:ascii="Arial" w:hAnsi="Arial"/>
                <w:color w:val="auto"/>
                <w:sz w:val="20"/>
                <w:szCs w:val="20"/>
                <w:lang w:val="en-IN"/>
              </w:rPr>
              <w:t>21</w:t>
            </w:r>
          </w:p>
        </w:tc>
        <w:tc>
          <w:tcPr>
            <w:tcW w:w="1774" w:type="dxa"/>
            <w:tcBorders>
              <w:bottom w:val="single" w:sz="4" w:space="0" w:color="auto"/>
            </w:tcBorders>
            <w:shd w:val="clear" w:color="auto" w:fill="auto"/>
            <w:vAlign w:val="bottom"/>
          </w:tcPr>
          <w:p w14:paraId="76A1E713" w14:textId="47BA8359"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015180" w:rsidRPr="00E70587">
              <w:rPr>
                <w:rFonts w:ascii="Arial" w:hAnsi="Arial"/>
                <w:color w:val="auto"/>
                <w:sz w:val="20"/>
                <w:szCs w:val="20"/>
                <w:lang w:val="en-IN"/>
              </w:rPr>
              <w:t>20</w:t>
            </w:r>
            <w:r w:rsidR="00015180">
              <w:rPr>
                <w:rFonts w:ascii="Arial" w:hAnsi="Arial"/>
                <w:color w:val="auto"/>
                <w:sz w:val="20"/>
                <w:szCs w:val="20"/>
                <w:lang w:val="en-IN"/>
              </w:rPr>
              <w:t>20</w:t>
            </w:r>
          </w:p>
        </w:tc>
      </w:tr>
      <w:tr w:rsidR="00330EAA" w:rsidRPr="00E70587" w14:paraId="0FE0CA8C" w14:textId="77777777" w:rsidTr="00330EAA">
        <w:tc>
          <w:tcPr>
            <w:tcW w:w="4430" w:type="dxa"/>
          </w:tcPr>
          <w:p w14:paraId="4F0B590E" w14:textId="77777777" w:rsidR="00330EAA" w:rsidRPr="00E70587" w:rsidRDefault="00330EAA" w:rsidP="009901E1">
            <w:pPr>
              <w:pStyle w:val="000Normal"/>
              <w:spacing w:before="0" w:after="0" w:line="280" w:lineRule="exact"/>
              <w:jc w:val="right"/>
              <w:rPr>
                <w:rFonts w:ascii="Arial" w:hAnsi="Arial" w:cs="Arial"/>
                <w:b/>
                <w:sz w:val="20"/>
              </w:rPr>
            </w:pPr>
          </w:p>
        </w:tc>
        <w:tc>
          <w:tcPr>
            <w:tcW w:w="1863" w:type="dxa"/>
            <w:tcBorders>
              <w:top w:val="single" w:sz="4" w:space="0" w:color="auto"/>
            </w:tcBorders>
            <w:shd w:val="clear" w:color="auto" w:fill="auto"/>
          </w:tcPr>
          <w:p w14:paraId="0164574A" w14:textId="77777777"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774" w:type="dxa"/>
            <w:tcBorders>
              <w:top w:val="single" w:sz="4" w:space="0" w:color="auto"/>
            </w:tcBorders>
            <w:shd w:val="clear" w:color="auto" w:fill="auto"/>
          </w:tcPr>
          <w:p w14:paraId="01756643" w14:textId="77777777"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330EAA" w:rsidRPr="00E70587" w14:paraId="0EA008AF" w14:textId="77777777" w:rsidTr="00330EAA">
        <w:tc>
          <w:tcPr>
            <w:tcW w:w="4430" w:type="dxa"/>
            <w:tcMar>
              <w:top w:w="28" w:type="dxa"/>
            </w:tcMar>
          </w:tcPr>
          <w:p w14:paraId="3DC7104C"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Investments quoted in active markets:</w:t>
            </w:r>
            <w:r w:rsidRPr="00E70587">
              <w:rPr>
                <w:rFonts w:ascii="Arial" w:hAnsi="Arial" w:cs="Arial"/>
                <w:sz w:val="20"/>
                <w:lang w:val="en-IN"/>
              </w:rPr>
              <w:t xml:space="preserve"> </w:t>
            </w:r>
          </w:p>
        </w:tc>
        <w:tc>
          <w:tcPr>
            <w:tcW w:w="1863" w:type="dxa"/>
            <w:shd w:val="clear" w:color="auto" w:fill="auto"/>
            <w:tcMar>
              <w:top w:w="28" w:type="dxa"/>
            </w:tcMar>
          </w:tcPr>
          <w:p w14:paraId="18C8FDFA"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774" w:type="dxa"/>
            <w:shd w:val="clear" w:color="auto" w:fill="auto"/>
          </w:tcPr>
          <w:p w14:paraId="71C43131"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330EAA" w:rsidRPr="00E70587" w14:paraId="72643A3C" w14:textId="77777777" w:rsidTr="00330EAA">
        <w:tc>
          <w:tcPr>
            <w:tcW w:w="4430" w:type="dxa"/>
            <w:tcMar>
              <w:top w:w="28" w:type="dxa"/>
            </w:tcMar>
          </w:tcPr>
          <w:p w14:paraId="2C79D9FF"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Quoted equity investments</w:t>
            </w:r>
          </w:p>
        </w:tc>
        <w:tc>
          <w:tcPr>
            <w:tcW w:w="1863" w:type="dxa"/>
            <w:shd w:val="clear" w:color="auto" w:fill="auto"/>
            <w:tcMar>
              <w:top w:w="28" w:type="dxa"/>
            </w:tcMar>
          </w:tcPr>
          <w:p w14:paraId="59ACDCDC"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774" w:type="dxa"/>
            <w:shd w:val="clear" w:color="auto" w:fill="auto"/>
          </w:tcPr>
          <w:p w14:paraId="57A1B9DD"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330EAA" w:rsidRPr="00E70587" w14:paraId="7C7EA949" w14:textId="77777777" w:rsidTr="00330EAA">
        <w:tc>
          <w:tcPr>
            <w:tcW w:w="4430" w:type="dxa"/>
            <w:tcMar>
              <w:top w:w="28" w:type="dxa"/>
            </w:tcMar>
          </w:tcPr>
          <w:p w14:paraId="0A1AFFAB" w14:textId="77777777" w:rsidR="00330EAA" w:rsidRPr="00E70587" w:rsidDel="00160A78" w:rsidRDefault="00330EAA"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Manufacturing and consumer products sector</w:t>
            </w:r>
          </w:p>
        </w:tc>
        <w:tc>
          <w:tcPr>
            <w:tcW w:w="1863" w:type="dxa"/>
            <w:shd w:val="clear" w:color="auto" w:fill="auto"/>
            <w:tcMar>
              <w:top w:w="28" w:type="dxa"/>
            </w:tcMar>
            <w:vAlign w:val="center"/>
          </w:tcPr>
          <w:p w14:paraId="48CEFDF1"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1,494</w:t>
            </w:r>
          </w:p>
        </w:tc>
        <w:tc>
          <w:tcPr>
            <w:tcW w:w="1774" w:type="dxa"/>
            <w:shd w:val="clear" w:color="auto" w:fill="auto"/>
            <w:vAlign w:val="center"/>
          </w:tcPr>
          <w:p w14:paraId="47F0D094"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1,179</w:t>
            </w:r>
          </w:p>
        </w:tc>
      </w:tr>
      <w:tr w:rsidR="00330EAA" w:rsidRPr="00E70587" w14:paraId="7460D01A" w14:textId="77777777" w:rsidTr="00330EAA">
        <w:tc>
          <w:tcPr>
            <w:tcW w:w="4430" w:type="dxa"/>
            <w:tcMar>
              <w:top w:w="28" w:type="dxa"/>
            </w:tcMar>
          </w:tcPr>
          <w:p w14:paraId="22314876" w14:textId="77777777" w:rsidR="00330EAA" w:rsidRPr="00E70587" w:rsidDel="00160A78" w:rsidRDefault="00330EAA"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Telecom sector</w:t>
            </w:r>
          </w:p>
        </w:tc>
        <w:tc>
          <w:tcPr>
            <w:tcW w:w="1863" w:type="dxa"/>
            <w:shd w:val="clear" w:color="auto" w:fill="auto"/>
            <w:tcMar>
              <w:top w:w="28" w:type="dxa"/>
            </w:tcMar>
            <w:vAlign w:val="center"/>
          </w:tcPr>
          <w:p w14:paraId="57B5A2EB"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81</w:t>
            </w:r>
          </w:p>
        </w:tc>
        <w:tc>
          <w:tcPr>
            <w:tcW w:w="1774" w:type="dxa"/>
            <w:shd w:val="clear" w:color="auto" w:fill="auto"/>
            <w:vAlign w:val="center"/>
          </w:tcPr>
          <w:p w14:paraId="6E37F938"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59</w:t>
            </w:r>
          </w:p>
        </w:tc>
      </w:tr>
      <w:tr w:rsidR="00330EAA" w:rsidRPr="00E70587" w14:paraId="60D5F798" w14:textId="77777777" w:rsidTr="00330EAA">
        <w:tc>
          <w:tcPr>
            <w:tcW w:w="4430" w:type="dxa"/>
            <w:tcMar>
              <w:top w:w="28" w:type="dxa"/>
            </w:tcMar>
          </w:tcPr>
          <w:p w14:paraId="411C71E7"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863" w:type="dxa"/>
            <w:shd w:val="clear" w:color="auto" w:fill="auto"/>
            <w:tcMar>
              <w:top w:w="28" w:type="dxa"/>
            </w:tcMar>
            <w:vAlign w:val="center"/>
          </w:tcPr>
          <w:p w14:paraId="7B4A7984" w14:textId="77777777" w:rsidR="00330EAA" w:rsidRPr="00E70587" w:rsidRDefault="00330EAA" w:rsidP="009901E1">
            <w:pPr>
              <w:spacing w:line="280" w:lineRule="exact"/>
              <w:jc w:val="right"/>
              <w:rPr>
                <w:rFonts w:ascii="Arial" w:hAnsi="Arial" w:cs="Arial"/>
                <w:b/>
                <w:bCs/>
                <w:sz w:val="20"/>
              </w:rPr>
            </w:pPr>
          </w:p>
        </w:tc>
        <w:tc>
          <w:tcPr>
            <w:tcW w:w="1774" w:type="dxa"/>
            <w:shd w:val="clear" w:color="auto" w:fill="auto"/>
            <w:vAlign w:val="center"/>
          </w:tcPr>
          <w:p w14:paraId="7324AB8B" w14:textId="77777777" w:rsidR="00330EAA" w:rsidRPr="00E70587" w:rsidRDefault="00330EAA" w:rsidP="009901E1">
            <w:pPr>
              <w:spacing w:line="280" w:lineRule="exact"/>
              <w:jc w:val="right"/>
              <w:rPr>
                <w:rFonts w:ascii="Arial" w:hAnsi="Arial" w:cs="Arial"/>
                <w:b/>
                <w:bCs/>
                <w:sz w:val="20"/>
              </w:rPr>
            </w:pPr>
          </w:p>
        </w:tc>
      </w:tr>
      <w:tr w:rsidR="00330EAA" w:rsidRPr="00E70587" w14:paraId="37E5583A" w14:textId="77777777" w:rsidTr="00330EAA">
        <w:tc>
          <w:tcPr>
            <w:tcW w:w="4430" w:type="dxa"/>
            <w:tcMar>
              <w:top w:w="28" w:type="dxa"/>
            </w:tcMar>
          </w:tcPr>
          <w:p w14:paraId="0B88650D"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Cash and cash equivalents</w:t>
            </w:r>
          </w:p>
        </w:tc>
        <w:tc>
          <w:tcPr>
            <w:tcW w:w="1863" w:type="dxa"/>
            <w:shd w:val="clear" w:color="auto" w:fill="auto"/>
            <w:tcMar>
              <w:top w:w="28" w:type="dxa"/>
            </w:tcMar>
            <w:vAlign w:val="center"/>
          </w:tcPr>
          <w:p w14:paraId="0A996D9B"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720</w:t>
            </w:r>
          </w:p>
        </w:tc>
        <w:tc>
          <w:tcPr>
            <w:tcW w:w="1774" w:type="dxa"/>
            <w:shd w:val="clear" w:color="auto" w:fill="auto"/>
            <w:vAlign w:val="center"/>
          </w:tcPr>
          <w:p w14:paraId="3B0E8A88"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450</w:t>
            </w:r>
          </w:p>
        </w:tc>
      </w:tr>
      <w:tr w:rsidR="00330EAA" w:rsidRPr="00E70587" w14:paraId="56CBBD40" w14:textId="77777777" w:rsidTr="00330EAA">
        <w:tc>
          <w:tcPr>
            <w:tcW w:w="4430" w:type="dxa"/>
            <w:tcMar>
              <w:top w:w="28" w:type="dxa"/>
            </w:tcMar>
          </w:tcPr>
          <w:p w14:paraId="74767438"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p>
          <w:p w14:paraId="7F558FA9"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Unquoted investments:</w:t>
            </w:r>
          </w:p>
        </w:tc>
        <w:tc>
          <w:tcPr>
            <w:tcW w:w="1863" w:type="dxa"/>
            <w:shd w:val="clear" w:color="auto" w:fill="auto"/>
            <w:tcMar>
              <w:top w:w="28" w:type="dxa"/>
            </w:tcMar>
          </w:tcPr>
          <w:p w14:paraId="10754866"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774" w:type="dxa"/>
            <w:shd w:val="clear" w:color="auto" w:fill="auto"/>
          </w:tcPr>
          <w:p w14:paraId="7E672A39"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330EAA" w:rsidRPr="00E70587" w14:paraId="03112436" w14:textId="77777777" w:rsidTr="00330EAA">
        <w:tc>
          <w:tcPr>
            <w:tcW w:w="4430" w:type="dxa"/>
            <w:tcMar>
              <w:top w:w="28" w:type="dxa"/>
            </w:tcMar>
          </w:tcPr>
          <w:p w14:paraId="6128137E"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Bonds issued by India Government</w:t>
            </w:r>
          </w:p>
        </w:tc>
        <w:tc>
          <w:tcPr>
            <w:tcW w:w="1863" w:type="dxa"/>
            <w:shd w:val="clear" w:color="auto" w:fill="auto"/>
            <w:tcMar>
              <w:top w:w="28" w:type="dxa"/>
            </w:tcMar>
          </w:tcPr>
          <w:p w14:paraId="5980C168" w14:textId="77777777" w:rsidR="00330EAA" w:rsidRPr="00E70587" w:rsidRDefault="00330EAA" w:rsidP="009901E1">
            <w:pPr>
              <w:pStyle w:val="tabletext"/>
              <w:spacing w:line="280" w:lineRule="exact"/>
              <w:jc w:val="right"/>
              <w:rPr>
                <w:rFonts w:ascii="Arial" w:hAnsi="Arial" w:cs="Arial"/>
                <w:sz w:val="20"/>
                <w:lang w:val="en-IN"/>
              </w:rPr>
            </w:pPr>
            <w:r w:rsidRPr="00E70587">
              <w:rPr>
                <w:rFonts w:ascii="Arial" w:hAnsi="Arial" w:cs="Arial"/>
                <w:sz w:val="20"/>
                <w:lang w:val="en-IN"/>
              </w:rPr>
              <w:t>3,776</w:t>
            </w:r>
          </w:p>
        </w:tc>
        <w:tc>
          <w:tcPr>
            <w:tcW w:w="1774" w:type="dxa"/>
            <w:shd w:val="clear" w:color="auto" w:fill="auto"/>
          </w:tcPr>
          <w:p w14:paraId="3B889D8E" w14:textId="77777777" w:rsidR="00330EAA" w:rsidRPr="00E70587" w:rsidRDefault="00330EAA" w:rsidP="009901E1">
            <w:pPr>
              <w:pStyle w:val="tabletext"/>
              <w:spacing w:line="280" w:lineRule="exact"/>
              <w:jc w:val="right"/>
              <w:rPr>
                <w:rFonts w:ascii="Arial" w:hAnsi="Arial" w:cs="Arial"/>
                <w:sz w:val="20"/>
                <w:lang w:val="en-IN"/>
              </w:rPr>
            </w:pPr>
            <w:r w:rsidRPr="00E70587">
              <w:rPr>
                <w:rFonts w:ascii="Arial" w:hAnsi="Arial" w:cs="Arial"/>
                <w:sz w:val="20"/>
                <w:lang w:val="en-IN"/>
              </w:rPr>
              <w:t>3,307</w:t>
            </w:r>
          </w:p>
        </w:tc>
      </w:tr>
      <w:tr w:rsidR="00330EAA" w:rsidRPr="00E70587" w14:paraId="22D6715C" w14:textId="77777777" w:rsidTr="00330EAA">
        <w:tc>
          <w:tcPr>
            <w:tcW w:w="4430" w:type="dxa"/>
            <w:tcMar>
              <w:top w:w="28" w:type="dxa"/>
            </w:tcMar>
          </w:tcPr>
          <w:p w14:paraId="43A6D401"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Property</w:t>
            </w:r>
          </w:p>
        </w:tc>
        <w:tc>
          <w:tcPr>
            <w:tcW w:w="1863" w:type="dxa"/>
            <w:tcBorders>
              <w:bottom w:val="single" w:sz="4" w:space="0" w:color="auto"/>
            </w:tcBorders>
            <w:shd w:val="clear" w:color="auto" w:fill="auto"/>
            <w:tcMar>
              <w:top w:w="28" w:type="dxa"/>
            </w:tcMar>
            <w:vAlign w:val="center"/>
          </w:tcPr>
          <w:p w14:paraId="72200088"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126</w:t>
            </w:r>
          </w:p>
        </w:tc>
        <w:tc>
          <w:tcPr>
            <w:tcW w:w="1774" w:type="dxa"/>
            <w:tcBorders>
              <w:bottom w:val="single" w:sz="4" w:space="0" w:color="auto"/>
            </w:tcBorders>
            <w:shd w:val="clear" w:color="auto" w:fill="auto"/>
            <w:vAlign w:val="center"/>
          </w:tcPr>
          <w:p w14:paraId="50C14DE7"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99</w:t>
            </w:r>
          </w:p>
        </w:tc>
      </w:tr>
      <w:tr w:rsidR="00330EAA" w:rsidRPr="00E70587" w14:paraId="370B2609" w14:textId="77777777" w:rsidTr="00330EAA">
        <w:tc>
          <w:tcPr>
            <w:tcW w:w="4430" w:type="dxa"/>
            <w:tcMar>
              <w:top w:w="28" w:type="dxa"/>
            </w:tcMar>
          </w:tcPr>
          <w:p w14:paraId="17C7931E"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Total</w:t>
            </w:r>
          </w:p>
        </w:tc>
        <w:tc>
          <w:tcPr>
            <w:tcW w:w="1863" w:type="dxa"/>
            <w:tcBorders>
              <w:top w:val="single" w:sz="4" w:space="0" w:color="auto"/>
              <w:bottom w:val="single" w:sz="4" w:space="0" w:color="auto"/>
            </w:tcBorders>
            <w:shd w:val="clear" w:color="auto" w:fill="auto"/>
            <w:tcMar>
              <w:top w:w="28" w:type="dxa"/>
            </w:tcMar>
            <w:vAlign w:val="center"/>
          </w:tcPr>
          <w:p w14:paraId="5E639E51" w14:textId="77777777" w:rsidR="00330EAA" w:rsidRPr="00E70587" w:rsidRDefault="00330EAA" w:rsidP="009901E1">
            <w:pPr>
              <w:spacing w:line="280" w:lineRule="exact"/>
              <w:jc w:val="right"/>
              <w:rPr>
                <w:rFonts w:ascii="Arial" w:hAnsi="Arial" w:cs="Arial"/>
                <w:b/>
                <w:bCs/>
                <w:sz w:val="20"/>
              </w:rPr>
            </w:pPr>
            <w:r w:rsidRPr="00E70587">
              <w:rPr>
                <w:rFonts w:ascii="Arial" w:hAnsi="Arial" w:cs="Arial"/>
                <w:b/>
                <w:bCs/>
                <w:sz w:val="20"/>
              </w:rPr>
              <w:t>6,197</w:t>
            </w:r>
          </w:p>
        </w:tc>
        <w:tc>
          <w:tcPr>
            <w:tcW w:w="1774" w:type="dxa"/>
            <w:tcBorders>
              <w:top w:val="single" w:sz="4" w:space="0" w:color="auto"/>
              <w:bottom w:val="single" w:sz="4" w:space="0" w:color="auto"/>
            </w:tcBorders>
            <w:shd w:val="clear" w:color="auto" w:fill="auto"/>
            <w:vAlign w:val="center"/>
          </w:tcPr>
          <w:p w14:paraId="2EBD8103" w14:textId="77777777" w:rsidR="00330EAA" w:rsidRPr="00E70587" w:rsidRDefault="00330EAA" w:rsidP="009901E1">
            <w:pPr>
              <w:spacing w:line="280" w:lineRule="exact"/>
              <w:jc w:val="right"/>
              <w:rPr>
                <w:rFonts w:ascii="Arial" w:hAnsi="Arial" w:cs="Arial"/>
                <w:b/>
                <w:bCs/>
                <w:sz w:val="20"/>
              </w:rPr>
            </w:pPr>
            <w:r w:rsidRPr="00E70587">
              <w:rPr>
                <w:rFonts w:ascii="Arial" w:hAnsi="Arial" w:cs="Arial"/>
                <w:b/>
                <w:bCs/>
                <w:sz w:val="20"/>
              </w:rPr>
              <w:t>5,094</w:t>
            </w:r>
          </w:p>
        </w:tc>
      </w:tr>
    </w:tbl>
    <w:p w14:paraId="41BEE7DC" w14:textId="77777777" w:rsidR="00543141" w:rsidRPr="00E70587" w:rsidRDefault="00543141" w:rsidP="009901E1">
      <w:pPr>
        <w:pStyle w:val="IAStext"/>
        <w:spacing w:line="280" w:lineRule="exact"/>
        <w:rPr>
          <w:rFonts w:ascii="Arial" w:hAnsi="Arial" w:cs="Arial"/>
          <w:i w:val="0"/>
          <w:sz w:val="20"/>
          <w:lang w:val="en-IN"/>
        </w:rPr>
      </w:pPr>
    </w:p>
    <w:tbl>
      <w:tblPr>
        <w:tblW w:w="9576" w:type="dxa"/>
        <w:tblLook w:val="0000" w:firstRow="0" w:lastRow="0" w:firstColumn="0" w:lastColumn="0" w:noHBand="0" w:noVBand="0"/>
      </w:tblPr>
      <w:tblGrid>
        <w:gridCol w:w="9576"/>
      </w:tblGrid>
      <w:tr w:rsidR="00543141" w:rsidRPr="00E70587" w14:paraId="0E6A7876" w14:textId="77777777" w:rsidTr="00864D25">
        <w:tc>
          <w:tcPr>
            <w:tcW w:w="0" w:type="auto"/>
            <w:tcBorders>
              <w:bottom w:val="single" w:sz="4" w:space="0" w:color="auto"/>
            </w:tcBorders>
          </w:tcPr>
          <w:p w14:paraId="53D1AC6D" w14:textId="594DD4E2" w:rsidR="00543141" w:rsidRPr="00E70587" w:rsidRDefault="00543141" w:rsidP="00B43785">
            <w:pPr>
              <w:pStyle w:val="IAStext"/>
              <w:spacing w:line="280" w:lineRule="exact"/>
              <w:jc w:val="both"/>
              <w:rPr>
                <w:rFonts w:ascii="Arial" w:hAnsi="Arial" w:cs="Arial"/>
                <w:i w:val="0"/>
                <w:sz w:val="20"/>
                <w:lang w:val="en-IN"/>
              </w:rPr>
            </w:pPr>
            <w:r w:rsidRPr="00E70587">
              <w:rPr>
                <w:rFonts w:ascii="Arial" w:hAnsi="Arial" w:cs="Arial"/>
                <w:i w:val="0"/>
                <w:sz w:val="20"/>
                <w:lang w:val="en-IN"/>
              </w:rPr>
              <w:t xml:space="preserve">The plan assets include a property occupied by the Group with a fair value of INR 90 (31 </w:t>
            </w:r>
            <w:r w:rsidR="008B730E" w:rsidRPr="00E70587">
              <w:rPr>
                <w:rFonts w:ascii="Arial" w:hAnsi="Arial" w:cs="Arial"/>
                <w:i w:val="0"/>
                <w:sz w:val="20"/>
                <w:lang w:val="en-IN"/>
              </w:rPr>
              <w:t xml:space="preserve">March </w:t>
            </w:r>
            <w:r w:rsidR="00EA3676" w:rsidRPr="00E70587">
              <w:rPr>
                <w:rFonts w:ascii="Arial" w:hAnsi="Arial" w:cs="Arial"/>
                <w:i w:val="0"/>
                <w:sz w:val="20"/>
                <w:lang w:val="en-IN"/>
              </w:rPr>
              <w:t>20</w:t>
            </w:r>
            <w:r w:rsidR="00EA3676">
              <w:rPr>
                <w:rFonts w:ascii="Arial" w:hAnsi="Arial" w:cs="Arial"/>
                <w:i w:val="0"/>
                <w:sz w:val="20"/>
                <w:lang w:val="en-IN"/>
              </w:rPr>
              <w:t>20</w:t>
            </w:r>
            <w:r w:rsidRPr="00E70587">
              <w:rPr>
                <w:rFonts w:ascii="Arial" w:hAnsi="Arial" w:cs="Arial"/>
                <w:i w:val="0"/>
                <w:sz w:val="20"/>
                <w:lang w:val="en-IN"/>
              </w:rPr>
              <w:t>: INR 9</w:t>
            </w:r>
            <w:r w:rsidR="00FE707C" w:rsidRPr="00E70587">
              <w:rPr>
                <w:rFonts w:ascii="Arial" w:hAnsi="Arial" w:cs="Arial"/>
                <w:i w:val="0"/>
                <w:sz w:val="20"/>
                <w:lang w:val="en-IN"/>
              </w:rPr>
              <w:t>0</w:t>
            </w:r>
            <w:r w:rsidR="00DC0F9D" w:rsidRPr="00E70587">
              <w:rPr>
                <w:rFonts w:ascii="Arial" w:hAnsi="Arial" w:cs="Arial"/>
                <w:i w:val="0"/>
                <w:sz w:val="20"/>
                <w:lang w:val="en-IN"/>
              </w:rPr>
              <w:t>,</w:t>
            </w:r>
            <w:r w:rsidR="00B43785" w:rsidRPr="00E70587">
              <w:rPr>
                <w:rFonts w:ascii="Arial" w:hAnsi="Arial" w:cs="Arial"/>
                <w:i w:val="0"/>
                <w:sz w:val="20"/>
                <w:lang w:val="en-IN"/>
              </w:rPr>
              <w:t>).</w:t>
            </w:r>
          </w:p>
          <w:p w14:paraId="2DD0B2B5" w14:textId="77777777" w:rsidR="00543141" w:rsidRPr="00E70587" w:rsidRDefault="00543141" w:rsidP="00B43785">
            <w:pPr>
              <w:pStyle w:val="IAStext"/>
              <w:spacing w:line="280" w:lineRule="exact"/>
              <w:jc w:val="both"/>
              <w:rPr>
                <w:rFonts w:ascii="Arial" w:hAnsi="Arial" w:cs="Arial"/>
                <w:i w:val="0"/>
                <w:sz w:val="20"/>
                <w:lang w:val="en-IN"/>
              </w:rPr>
            </w:pPr>
          </w:p>
          <w:p w14:paraId="3A648CD1" w14:textId="77777777" w:rsidR="00543141" w:rsidRPr="00E70587" w:rsidRDefault="00543141" w:rsidP="00B43785">
            <w:pPr>
              <w:pStyle w:val="IAStext"/>
              <w:spacing w:line="280" w:lineRule="exact"/>
              <w:jc w:val="both"/>
              <w:rPr>
                <w:rFonts w:ascii="Arial" w:hAnsi="Arial" w:cs="Arial"/>
                <w:i w:val="0"/>
                <w:sz w:val="20"/>
                <w:lang w:val="en-IN"/>
              </w:rPr>
            </w:pPr>
            <w:r w:rsidRPr="00E70587">
              <w:rPr>
                <w:rFonts w:ascii="Arial" w:hAnsi="Arial" w:cs="Arial"/>
                <w:i w:val="0"/>
                <w:sz w:val="20"/>
                <w:lang w:val="en-IN"/>
              </w:rPr>
              <w:t>The principal assumptions used in determining gratuity and post-employment medical benefit obligations for the Group’s plans are shown below:</w:t>
            </w:r>
          </w:p>
          <w:p w14:paraId="3E7AF735" w14:textId="77777777" w:rsidR="00543141" w:rsidRPr="00E70587" w:rsidRDefault="00543141" w:rsidP="00B43785">
            <w:pPr>
              <w:pStyle w:val="IAStext"/>
              <w:spacing w:line="280" w:lineRule="exact"/>
              <w:jc w:val="both"/>
              <w:rPr>
                <w:rFonts w:ascii="Arial" w:hAnsi="Arial" w:cs="Arial"/>
                <w:i w:val="0"/>
                <w:sz w:val="20"/>
                <w:lang w:val="en-IN"/>
              </w:rPr>
            </w:pPr>
          </w:p>
        </w:tc>
      </w:tr>
      <w:tr w:rsidR="00864D25" w:rsidRPr="00E70587" w14:paraId="19E65323" w14:textId="77777777" w:rsidTr="00864D25">
        <w:tc>
          <w:tcPr>
            <w:tcW w:w="0" w:type="auto"/>
            <w:tcBorders>
              <w:top w:val="single" w:sz="4" w:space="0" w:color="auto"/>
              <w:left w:val="single" w:sz="4" w:space="0" w:color="auto"/>
              <w:bottom w:val="single" w:sz="4" w:space="0" w:color="auto"/>
              <w:right w:val="single" w:sz="4" w:space="0" w:color="auto"/>
            </w:tcBorders>
            <w:shd w:val="clear" w:color="auto" w:fill="C1C1C1" w:themeFill="background2" w:themeFillTint="66"/>
          </w:tcPr>
          <w:p w14:paraId="259BEFEE" w14:textId="77777777" w:rsidR="00864D25" w:rsidRPr="00E70587" w:rsidRDefault="00864D25" w:rsidP="00864D25">
            <w:pPr>
              <w:spacing w:before="120"/>
              <w:rPr>
                <w:rFonts w:ascii="Arial" w:hAnsi="Arial"/>
                <w:b/>
                <w:sz w:val="20"/>
              </w:rPr>
            </w:pPr>
            <w:r w:rsidRPr="00E70587">
              <w:rPr>
                <w:rFonts w:ascii="Arial" w:hAnsi="Arial"/>
                <w:b/>
                <w:sz w:val="20"/>
              </w:rPr>
              <w:t>Commentary</w:t>
            </w:r>
          </w:p>
          <w:p w14:paraId="6A50459D" w14:textId="77777777" w:rsidR="00864D25" w:rsidRPr="00E70587" w:rsidRDefault="00864D25" w:rsidP="00864D25">
            <w:pPr>
              <w:spacing w:line="240" w:lineRule="atLeast"/>
              <w:rPr>
                <w:rFonts w:ascii="Arial" w:hAnsi="Arial" w:cs="Arial"/>
                <w:sz w:val="20"/>
              </w:rPr>
            </w:pPr>
            <w:r w:rsidRPr="00E70587">
              <w:rPr>
                <w:rFonts w:ascii="Arial" w:hAnsi="Arial" w:cs="Arial"/>
                <w:sz w:val="20"/>
              </w:rPr>
              <w:t xml:space="preserve">The fair value of the plan assets is provided in this disclosure. Even though the fair value is determined using Ind AS 113, the fair value disclosures required by Ind AS 113 do not apply to employee benefits </w:t>
            </w:r>
            <w:r w:rsidRPr="00E70587">
              <w:rPr>
                <w:rFonts w:ascii="Arial" w:hAnsi="Arial" w:cs="Arial"/>
                <w:sz w:val="20"/>
              </w:rPr>
              <w:lastRenderedPageBreak/>
              <w:t>within the scope of Ind AS 19. However, if there was an impact on the plan assets from the measurement using Ind AS 113, it would need to be disclosed.</w:t>
            </w:r>
          </w:p>
          <w:p w14:paraId="248B952B" w14:textId="77777777" w:rsidR="00864D25" w:rsidRPr="00E70587" w:rsidRDefault="00864D25" w:rsidP="00864D25">
            <w:pPr>
              <w:pStyle w:val="IAStext"/>
              <w:spacing w:line="280" w:lineRule="exact"/>
              <w:jc w:val="both"/>
              <w:rPr>
                <w:rFonts w:ascii="Arial" w:hAnsi="Arial" w:cs="Arial"/>
                <w:i w:val="0"/>
                <w:sz w:val="20"/>
                <w:lang w:val="en-IN"/>
              </w:rPr>
            </w:pPr>
            <w:r w:rsidRPr="00E70587">
              <w:rPr>
                <w:rFonts w:ascii="Arial" w:hAnsi="Arial" w:cs="Arial"/>
                <w:i w:val="0"/>
                <w:sz w:val="20"/>
                <w:lang w:val="en-IN"/>
              </w:rPr>
              <w:t>Under Ind AS 19.142, the Group has separated the plan assets within different classes. The Group has a class ‘property’, which has not been further classified into categories. The amount is not determined to be material to the consolidated financial statements.</w:t>
            </w:r>
          </w:p>
        </w:tc>
      </w:tr>
    </w:tbl>
    <w:p w14:paraId="34102841" w14:textId="77777777" w:rsidR="003B22DB" w:rsidRPr="00E70587" w:rsidRDefault="003B22DB" w:rsidP="009901E1">
      <w:pPr>
        <w:pStyle w:val="IAStext"/>
        <w:spacing w:line="280" w:lineRule="exact"/>
        <w:jc w:val="both"/>
        <w:rPr>
          <w:rFonts w:ascii="Arial" w:hAnsi="Arial" w:cs="Arial"/>
          <w:i w:val="0"/>
          <w:sz w:val="20"/>
          <w:lang w:val="en-IN"/>
        </w:rPr>
      </w:pPr>
    </w:p>
    <w:tbl>
      <w:tblPr>
        <w:tblW w:w="9530" w:type="dxa"/>
        <w:tblLayout w:type="fixed"/>
        <w:tblLook w:val="01E0" w:firstRow="1" w:lastRow="1" w:firstColumn="1" w:lastColumn="1" w:noHBand="0" w:noVBand="0"/>
      </w:tblPr>
      <w:tblGrid>
        <w:gridCol w:w="5812"/>
        <w:gridCol w:w="1859"/>
        <w:gridCol w:w="1859"/>
      </w:tblGrid>
      <w:tr w:rsidR="000A2ED4" w:rsidRPr="00E70587" w14:paraId="268A6FB0" w14:textId="77777777" w:rsidTr="009A6759">
        <w:tc>
          <w:tcPr>
            <w:tcW w:w="5812" w:type="dxa"/>
            <w:shd w:val="clear" w:color="auto" w:fill="auto"/>
          </w:tcPr>
          <w:p w14:paraId="6AE5047A" w14:textId="77777777" w:rsidR="000A2ED4" w:rsidRPr="00E70587" w:rsidRDefault="000A2ED4" w:rsidP="009901E1">
            <w:pPr>
              <w:pStyle w:val="000Normal"/>
              <w:spacing w:before="0" w:after="0" w:line="280" w:lineRule="exact"/>
              <w:rPr>
                <w:rFonts w:ascii="Arial" w:hAnsi="Arial" w:cs="Arial"/>
                <w:sz w:val="20"/>
              </w:rPr>
            </w:pPr>
          </w:p>
        </w:tc>
        <w:tc>
          <w:tcPr>
            <w:tcW w:w="1859" w:type="dxa"/>
            <w:tcBorders>
              <w:bottom w:val="single" w:sz="4" w:space="0" w:color="auto"/>
            </w:tcBorders>
            <w:shd w:val="clear" w:color="auto" w:fill="auto"/>
            <w:vAlign w:val="bottom"/>
          </w:tcPr>
          <w:p w14:paraId="6EE9A55E" w14:textId="19ECBCFE"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015180" w:rsidRPr="00E70587">
              <w:rPr>
                <w:rFonts w:ascii="Arial" w:hAnsi="Arial"/>
                <w:color w:val="auto"/>
                <w:sz w:val="20"/>
                <w:szCs w:val="20"/>
                <w:lang w:val="en-IN"/>
              </w:rPr>
              <w:t>20</w:t>
            </w:r>
            <w:r w:rsidR="00015180">
              <w:rPr>
                <w:rFonts w:ascii="Arial" w:hAnsi="Arial"/>
                <w:color w:val="auto"/>
                <w:sz w:val="20"/>
                <w:szCs w:val="20"/>
                <w:lang w:val="en-IN"/>
              </w:rPr>
              <w:t>21</w:t>
            </w:r>
          </w:p>
        </w:tc>
        <w:tc>
          <w:tcPr>
            <w:tcW w:w="1859" w:type="dxa"/>
            <w:tcBorders>
              <w:bottom w:val="single" w:sz="4" w:space="0" w:color="auto"/>
            </w:tcBorders>
            <w:shd w:val="clear" w:color="auto" w:fill="auto"/>
            <w:tcMar>
              <w:left w:w="85" w:type="dxa"/>
            </w:tcMar>
            <w:vAlign w:val="bottom"/>
          </w:tcPr>
          <w:p w14:paraId="1479FA77" w14:textId="2A1B1C6A"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015180" w:rsidRPr="00E70587">
              <w:rPr>
                <w:rFonts w:ascii="Arial" w:hAnsi="Arial"/>
                <w:color w:val="auto"/>
                <w:sz w:val="20"/>
                <w:szCs w:val="20"/>
                <w:lang w:val="en-IN"/>
              </w:rPr>
              <w:t>20</w:t>
            </w:r>
            <w:r w:rsidR="00015180">
              <w:rPr>
                <w:rFonts w:ascii="Arial" w:hAnsi="Arial"/>
                <w:color w:val="auto"/>
                <w:sz w:val="20"/>
                <w:szCs w:val="20"/>
                <w:lang w:val="en-IN"/>
              </w:rPr>
              <w:t>20</w:t>
            </w:r>
          </w:p>
        </w:tc>
      </w:tr>
      <w:tr w:rsidR="000A2ED4" w:rsidRPr="00E70587" w14:paraId="2AD2BECA" w14:textId="77777777" w:rsidTr="009A6759">
        <w:tc>
          <w:tcPr>
            <w:tcW w:w="5812" w:type="dxa"/>
          </w:tcPr>
          <w:p w14:paraId="27EB7F37" w14:textId="77777777" w:rsidR="000A2ED4" w:rsidRPr="00E70587" w:rsidRDefault="000A2ED4" w:rsidP="009901E1">
            <w:pPr>
              <w:pStyle w:val="000Normal"/>
              <w:spacing w:before="0" w:after="0" w:line="280" w:lineRule="exact"/>
              <w:jc w:val="right"/>
              <w:rPr>
                <w:rFonts w:ascii="Arial" w:hAnsi="Arial" w:cs="Arial"/>
                <w:b/>
                <w:sz w:val="20"/>
              </w:rPr>
            </w:pPr>
          </w:p>
        </w:tc>
        <w:tc>
          <w:tcPr>
            <w:tcW w:w="1859" w:type="dxa"/>
            <w:tcBorders>
              <w:top w:val="single" w:sz="4" w:space="0" w:color="auto"/>
            </w:tcBorders>
          </w:tcPr>
          <w:p w14:paraId="107C3760" w14:textId="77777777"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w:t>
            </w:r>
          </w:p>
        </w:tc>
        <w:tc>
          <w:tcPr>
            <w:tcW w:w="1859" w:type="dxa"/>
            <w:tcBorders>
              <w:top w:val="single" w:sz="4" w:space="0" w:color="auto"/>
            </w:tcBorders>
            <w:tcMar>
              <w:left w:w="85" w:type="dxa"/>
            </w:tcMar>
          </w:tcPr>
          <w:p w14:paraId="086521EA" w14:textId="77777777"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w:t>
            </w:r>
          </w:p>
        </w:tc>
      </w:tr>
      <w:tr w:rsidR="000A2ED4" w:rsidRPr="00E70587" w14:paraId="0121BF86" w14:textId="77777777" w:rsidTr="009A6759">
        <w:tc>
          <w:tcPr>
            <w:tcW w:w="5812" w:type="dxa"/>
          </w:tcPr>
          <w:p w14:paraId="71EE085F"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Discount rate:</w:t>
            </w:r>
          </w:p>
        </w:tc>
        <w:tc>
          <w:tcPr>
            <w:tcW w:w="1859" w:type="dxa"/>
          </w:tcPr>
          <w:p w14:paraId="53C41F2B"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859" w:type="dxa"/>
            <w:tcMar>
              <w:top w:w="28" w:type="dxa"/>
              <w:left w:w="85" w:type="dxa"/>
            </w:tcMar>
          </w:tcPr>
          <w:p w14:paraId="25EC9BCD" w14:textId="77777777" w:rsidR="000A2ED4" w:rsidRPr="00E70587" w:rsidRDefault="000A2ED4" w:rsidP="009901E1">
            <w:pPr>
              <w:pStyle w:val="tabletext"/>
              <w:spacing w:line="280" w:lineRule="exact"/>
              <w:rPr>
                <w:rFonts w:ascii="Arial" w:hAnsi="Arial" w:cs="Arial"/>
                <w:sz w:val="20"/>
                <w:lang w:val="en-IN"/>
              </w:rPr>
            </w:pPr>
          </w:p>
        </w:tc>
      </w:tr>
      <w:tr w:rsidR="000A2ED4" w:rsidRPr="00E70587" w14:paraId="550241BE" w14:textId="77777777" w:rsidTr="009A6759">
        <w:tc>
          <w:tcPr>
            <w:tcW w:w="5812" w:type="dxa"/>
          </w:tcPr>
          <w:p w14:paraId="06BD2610" w14:textId="77777777" w:rsidR="000A2ED4" w:rsidRPr="00E70587" w:rsidRDefault="000A2ED4"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India gratuity plan</w:t>
            </w:r>
          </w:p>
        </w:tc>
        <w:tc>
          <w:tcPr>
            <w:tcW w:w="1859" w:type="dxa"/>
          </w:tcPr>
          <w:p w14:paraId="2169F800" w14:textId="77777777" w:rsidR="000A2ED4" w:rsidRPr="00E70587" w:rsidRDefault="000A2ED4"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7.9</w:t>
            </w:r>
          </w:p>
        </w:tc>
        <w:tc>
          <w:tcPr>
            <w:tcW w:w="1859" w:type="dxa"/>
            <w:tcMar>
              <w:top w:w="28" w:type="dxa"/>
              <w:left w:w="85" w:type="dxa"/>
            </w:tcMar>
          </w:tcPr>
          <w:p w14:paraId="795BE237" w14:textId="77777777" w:rsidR="000A2ED4" w:rsidRPr="00E70587" w:rsidRDefault="000A2ED4" w:rsidP="009901E1">
            <w:pPr>
              <w:pStyle w:val="tabletext"/>
              <w:spacing w:line="280" w:lineRule="exact"/>
              <w:jc w:val="right"/>
              <w:rPr>
                <w:rFonts w:ascii="Arial" w:hAnsi="Arial" w:cs="Arial"/>
                <w:sz w:val="20"/>
                <w:lang w:val="en-IN"/>
              </w:rPr>
            </w:pPr>
            <w:r w:rsidRPr="00E70587">
              <w:rPr>
                <w:rFonts w:ascii="Arial" w:hAnsi="Arial" w:cs="Arial"/>
                <w:sz w:val="20"/>
                <w:lang w:val="en-IN"/>
              </w:rPr>
              <w:t>8.5</w:t>
            </w:r>
          </w:p>
        </w:tc>
      </w:tr>
      <w:tr w:rsidR="000A2ED4" w:rsidRPr="00E70587" w14:paraId="7E936728" w14:textId="77777777" w:rsidTr="009A6759">
        <w:tc>
          <w:tcPr>
            <w:tcW w:w="5812" w:type="dxa"/>
          </w:tcPr>
          <w:p w14:paraId="52A0EB84" w14:textId="77777777" w:rsidR="000A2ED4" w:rsidRPr="00E70587" w:rsidRDefault="000A2ED4"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Post-employment medical plan</w:t>
            </w:r>
          </w:p>
        </w:tc>
        <w:tc>
          <w:tcPr>
            <w:tcW w:w="1859" w:type="dxa"/>
          </w:tcPr>
          <w:p w14:paraId="02780A76" w14:textId="77777777" w:rsidR="000A2ED4" w:rsidRPr="00E70587" w:rsidRDefault="000A2ED4"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5.7</w:t>
            </w:r>
          </w:p>
        </w:tc>
        <w:tc>
          <w:tcPr>
            <w:tcW w:w="1859" w:type="dxa"/>
            <w:tcMar>
              <w:top w:w="28" w:type="dxa"/>
              <w:left w:w="85" w:type="dxa"/>
            </w:tcMar>
          </w:tcPr>
          <w:p w14:paraId="52360CBC" w14:textId="77777777" w:rsidR="000A2ED4" w:rsidRPr="00E70587" w:rsidRDefault="000A2ED4" w:rsidP="009901E1">
            <w:pPr>
              <w:pStyle w:val="tabletext"/>
              <w:spacing w:line="280" w:lineRule="exact"/>
              <w:jc w:val="right"/>
              <w:rPr>
                <w:rFonts w:ascii="Arial" w:hAnsi="Arial" w:cs="Arial"/>
                <w:sz w:val="20"/>
                <w:lang w:val="en-IN"/>
              </w:rPr>
            </w:pPr>
            <w:r w:rsidRPr="00E70587">
              <w:rPr>
                <w:rFonts w:ascii="Arial" w:hAnsi="Arial" w:cs="Arial"/>
                <w:sz w:val="20"/>
                <w:lang w:val="en-IN"/>
              </w:rPr>
              <w:t>5.9</w:t>
            </w:r>
          </w:p>
        </w:tc>
      </w:tr>
      <w:tr w:rsidR="000A2ED4" w:rsidRPr="00E70587" w14:paraId="11A2EE1E" w14:textId="77777777" w:rsidTr="009A6759">
        <w:tc>
          <w:tcPr>
            <w:tcW w:w="5812" w:type="dxa"/>
          </w:tcPr>
          <w:p w14:paraId="77E958B9"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859" w:type="dxa"/>
          </w:tcPr>
          <w:p w14:paraId="4DFDA053" w14:textId="77777777" w:rsidR="000A2ED4" w:rsidRPr="00E70587" w:rsidRDefault="000A2ED4"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859" w:type="dxa"/>
            <w:tcMar>
              <w:top w:w="28" w:type="dxa"/>
              <w:left w:w="85" w:type="dxa"/>
            </w:tcMar>
          </w:tcPr>
          <w:p w14:paraId="15FC7861" w14:textId="77777777" w:rsidR="000A2ED4" w:rsidRPr="00E70587" w:rsidRDefault="000A2ED4" w:rsidP="009901E1">
            <w:pPr>
              <w:pStyle w:val="tabletext"/>
              <w:spacing w:line="280" w:lineRule="exact"/>
              <w:jc w:val="right"/>
              <w:rPr>
                <w:rFonts w:ascii="Arial" w:hAnsi="Arial" w:cs="Arial"/>
                <w:sz w:val="20"/>
                <w:lang w:val="en-IN"/>
              </w:rPr>
            </w:pPr>
          </w:p>
        </w:tc>
      </w:tr>
      <w:tr w:rsidR="000A2ED4" w:rsidRPr="00E70587" w14:paraId="6B36CB30" w14:textId="77777777" w:rsidTr="009A6759">
        <w:tc>
          <w:tcPr>
            <w:tcW w:w="5812" w:type="dxa"/>
          </w:tcPr>
          <w:p w14:paraId="3295B650"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Future salary increases:</w:t>
            </w:r>
          </w:p>
        </w:tc>
        <w:tc>
          <w:tcPr>
            <w:tcW w:w="1859" w:type="dxa"/>
          </w:tcPr>
          <w:p w14:paraId="347FE47E" w14:textId="77777777" w:rsidR="000A2ED4" w:rsidRPr="00E70587" w:rsidRDefault="000A2ED4"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859" w:type="dxa"/>
            <w:tcMar>
              <w:top w:w="28" w:type="dxa"/>
              <w:left w:w="85" w:type="dxa"/>
            </w:tcMar>
          </w:tcPr>
          <w:p w14:paraId="296D8FEA" w14:textId="77777777" w:rsidR="000A2ED4" w:rsidRPr="00E70587" w:rsidRDefault="000A2ED4" w:rsidP="009901E1">
            <w:pPr>
              <w:pStyle w:val="tabletext"/>
              <w:spacing w:line="280" w:lineRule="exact"/>
              <w:jc w:val="right"/>
              <w:rPr>
                <w:rFonts w:ascii="Arial" w:hAnsi="Arial" w:cs="Arial"/>
                <w:sz w:val="20"/>
                <w:lang w:val="en-IN"/>
              </w:rPr>
            </w:pPr>
          </w:p>
        </w:tc>
      </w:tr>
      <w:tr w:rsidR="000A2ED4" w:rsidRPr="00E70587" w14:paraId="36D6AADF" w14:textId="77777777" w:rsidTr="009A6759">
        <w:tc>
          <w:tcPr>
            <w:tcW w:w="5812" w:type="dxa"/>
          </w:tcPr>
          <w:p w14:paraId="301DDFB5" w14:textId="77777777" w:rsidR="000A2ED4" w:rsidRPr="00E70587" w:rsidRDefault="000A2ED4"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India gratuity plan</w:t>
            </w:r>
          </w:p>
        </w:tc>
        <w:tc>
          <w:tcPr>
            <w:tcW w:w="1859" w:type="dxa"/>
          </w:tcPr>
          <w:p w14:paraId="051BF28E" w14:textId="77777777" w:rsidR="000A2ED4" w:rsidRPr="00E70587" w:rsidRDefault="000A2ED4"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6.5</w:t>
            </w:r>
          </w:p>
        </w:tc>
        <w:tc>
          <w:tcPr>
            <w:tcW w:w="1859" w:type="dxa"/>
            <w:tcMar>
              <w:top w:w="28" w:type="dxa"/>
              <w:left w:w="85" w:type="dxa"/>
            </w:tcMar>
          </w:tcPr>
          <w:p w14:paraId="1C34F639" w14:textId="77777777" w:rsidR="000A2ED4" w:rsidRPr="00E70587" w:rsidRDefault="000A2ED4" w:rsidP="009901E1">
            <w:pPr>
              <w:pStyle w:val="tabletext"/>
              <w:spacing w:line="280" w:lineRule="exact"/>
              <w:jc w:val="right"/>
              <w:rPr>
                <w:rFonts w:ascii="Arial" w:hAnsi="Arial" w:cs="Arial"/>
                <w:sz w:val="20"/>
                <w:lang w:val="en-IN"/>
              </w:rPr>
            </w:pPr>
            <w:r w:rsidRPr="00E70587">
              <w:rPr>
                <w:rFonts w:ascii="Arial" w:hAnsi="Arial" w:cs="Arial"/>
                <w:sz w:val="20"/>
                <w:lang w:val="en-IN"/>
              </w:rPr>
              <w:t>7.0</w:t>
            </w:r>
          </w:p>
        </w:tc>
      </w:tr>
      <w:tr w:rsidR="000A2ED4" w:rsidRPr="00E70587" w14:paraId="56E59E64" w14:textId="77777777" w:rsidTr="009A6759">
        <w:tc>
          <w:tcPr>
            <w:tcW w:w="5812" w:type="dxa"/>
          </w:tcPr>
          <w:p w14:paraId="6465EF65"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859" w:type="dxa"/>
          </w:tcPr>
          <w:p w14:paraId="359DF359" w14:textId="77777777" w:rsidR="000A2ED4" w:rsidRPr="00E70587" w:rsidRDefault="000A2ED4"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859" w:type="dxa"/>
            <w:tcMar>
              <w:top w:w="28" w:type="dxa"/>
              <w:left w:w="85" w:type="dxa"/>
            </w:tcMar>
          </w:tcPr>
          <w:p w14:paraId="078D6844" w14:textId="77777777" w:rsidR="000A2ED4" w:rsidRPr="00E70587" w:rsidRDefault="000A2ED4" w:rsidP="009901E1">
            <w:pPr>
              <w:pStyle w:val="tabletext"/>
              <w:spacing w:line="280" w:lineRule="exact"/>
              <w:jc w:val="right"/>
              <w:rPr>
                <w:rFonts w:ascii="Arial" w:hAnsi="Arial" w:cs="Arial"/>
                <w:sz w:val="20"/>
                <w:lang w:val="en-IN"/>
              </w:rPr>
            </w:pPr>
          </w:p>
        </w:tc>
      </w:tr>
      <w:tr w:rsidR="000A2ED4" w:rsidRPr="00E70587" w14:paraId="2341965C" w14:textId="77777777" w:rsidTr="009A6759">
        <w:tc>
          <w:tcPr>
            <w:tcW w:w="5812" w:type="dxa"/>
          </w:tcPr>
          <w:p w14:paraId="41FA4A2E"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Healthcare cost increase rate</w:t>
            </w:r>
          </w:p>
        </w:tc>
        <w:tc>
          <w:tcPr>
            <w:tcW w:w="1859" w:type="dxa"/>
          </w:tcPr>
          <w:p w14:paraId="39FC971C" w14:textId="77777777" w:rsidR="000A2ED4" w:rsidRPr="00E70587" w:rsidRDefault="000A2ED4"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7.2</w:t>
            </w:r>
          </w:p>
        </w:tc>
        <w:tc>
          <w:tcPr>
            <w:tcW w:w="1859" w:type="dxa"/>
            <w:tcMar>
              <w:top w:w="28" w:type="dxa"/>
              <w:left w:w="85" w:type="dxa"/>
            </w:tcMar>
          </w:tcPr>
          <w:p w14:paraId="2A3DE331" w14:textId="77777777" w:rsidR="000A2ED4" w:rsidRPr="00E70587" w:rsidRDefault="000A2ED4" w:rsidP="009901E1">
            <w:pPr>
              <w:pStyle w:val="tabletext"/>
              <w:spacing w:line="280" w:lineRule="exact"/>
              <w:jc w:val="right"/>
              <w:rPr>
                <w:rFonts w:ascii="Arial" w:hAnsi="Arial" w:cs="Arial"/>
                <w:sz w:val="20"/>
                <w:lang w:val="en-IN"/>
              </w:rPr>
            </w:pPr>
            <w:r w:rsidRPr="00E70587">
              <w:rPr>
                <w:rFonts w:ascii="Arial" w:hAnsi="Arial" w:cs="Arial"/>
                <w:sz w:val="20"/>
                <w:lang w:val="en-IN"/>
              </w:rPr>
              <w:t>7.4</w:t>
            </w:r>
          </w:p>
        </w:tc>
      </w:tr>
      <w:tr w:rsidR="000A2ED4" w:rsidRPr="00E70587" w14:paraId="48FBB28E" w14:textId="77777777" w:rsidTr="009A6759">
        <w:tc>
          <w:tcPr>
            <w:tcW w:w="5812" w:type="dxa"/>
          </w:tcPr>
          <w:p w14:paraId="26320CCF"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859" w:type="dxa"/>
          </w:tcPr>
          <w:p w14:paraId="69221C51" w14:textId="77777777" w:rsidR="000A2ED4" w:rsidRPr="00E70587" w:rsidRDefault="000A2ED4"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859" w:type="dxa"/>
            <w:tcMar>
              <w:top w:w="28" w:type="dxa"/>
              <w:left w:w="85" w:type="dxa"/>
            </w:tcMar>
          </w:tcPr>
          <w:p w14:paraId="5CA53554" w14:textId="77777777" w:rsidR="000A2ED4" w:rsidRPr="00E70587" w:rsidRDefault="000A2ED4" w:rsidP="009901E1">
            <w:pPr>
              <w:pStyle w:val="tabletext"/>
              <w:spacing w:line="280" w:lineRule="exact"/>
              <w:jc w:val="right"/>
              <w:rPr>
                <w:rFonts w:ascii="Arial" w:hAnsi="Arial" w:cs="Arial"/>
                <w:sz w:val="20"/>
                <w:lang w:val="en-IN"/>
              </w:rPr>
            </w:pPr>
          </w:p>
        </w:tc>
      </w:tr>
      <w:tr w:rsidR="000A2ED4" w:rsidRPr="00E70587" w14:paraId="451C0CD7" w14:textId="77777777" w:rsidTr="009A6759">
        <w:tc>
          <w:tcPr>
            <w:tcW w:w="5812" w:type="dxa"/>
          </w:tcPr>
          <w:p w14:paraId="7AFDBFA8"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Life expectation for:</w:t>
            </w:r>
          </w:p>
        </w:tc>
        <w:tc>
          <w:tcPr>
            <w:tcW w:w="1859" w:type="dxa"/>
          </w:tcPr>
          <w:p w14:paraId="73AE9A92" w14:textId="77777777"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Years</w:t>
            </w:r>
          </w:p>
        </w:tc>
        <w:tc>
          <w:tcPr>
            <w:tcW w:w="1859" w:type="dxa"/>
            <w:tcMar>
              <w:top w:w="28" w:type="dxa"/>
              <w:left w:w="85" w:type="dxa"/>
            </w:tcMar>
          </w:tcPr>
          <w:p w14:paraId="0C6CCDB3" w14:textId="77777777"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Years</w:t>
            </w:r>
          </w:p>
        </w:tc>
      </w:tr>
      <w:tr w:rsidR="000A2ED4" w:rsidRPr="00E70587" w14:paraId="29B2C0DA" w14:textId="77777777" w:rsidTr="0028777D">
        <w:trPr>
          <w:trHeight w:val="296"/>
        </w:trPr>
        <w:tc>
          <w:tcPr>
            <w:tcW w:w="5812" w:type="dxa"/>
          </w:tcPr>
          <w:p w14:paraId="60257283"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p>
          <w:p w14:paraId="17A706B3"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Post-employment health care benefit plan</w:t>
            </w:r>
          </w:p>
        </w:tc>
        <w:tc>
          <w:tcPr>
            <w:tcW w:w="1859" w:type="dxa"/>
          </w:tcPr>
          <w:p w14:paraId="7DB8C535" w14:textId="77777777" w:rsidR="000A2ED4" w:rsidRPr="00E70587" w:rsidRDefault="000A2ED4" w:rsidP="009901E1">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p>
        </w:tc>
        <w:tc>
          <w:tcPr>
            <w:tcW w:w="1859" w:type="dxa"/>
            <w:tcMar>
              <w:top w:w="28" w:type="dxa"/>
              <w:left w:w="85" w:type="dxa"/>
            </w:tcMar>
          </w:tcPr>
          <w:p w14:paraId="34728DB2" w14:textId="77777777" w:rsidR="000A2ED4" w:rsidRPr="00E70587" w:rsidRDefault="000A2ED4" w:rsidP="009901E1">
            <w:pPr>
              <w:pStyle w:val="tabletext"/>
              <w:spacing w:line="280" w:lineRule="exact"/>
              <w:jc w:val="right"/>
              <w:rPr>
                <w:rFonts w:ascii="Arial" w:hAnsi="Arial" w:cs="Arial"/>
                <w:sz w:val="20"/>
                <w:lang w:val="en-IN"/>
              </w:rPr>
            </w:pPr>
          </w:p>
        </w:tc>
      </w:tr>
      <w:tr w:rsidR="000A2ED4" w:rsidRPr="00E70587" w14:paraId="563EB2A8" w14:textId="77777777" w:rsidTr="009A6759">
        <w:tc>
          <w:tcPr>
            <w:tcW w:w="5812" w:type="dxa"/>
          </w:tcPr>
          <w:p w14:paraId="499D4735" w14:textId="77777777" w:rsidR="000A2ED4" w:rsidRPr="00E70587" w:rsidRDefault="000A2ED4"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Male</w:t>
            </w:r>
          </w:p>
        </w:tc>
        <w:tc>
          <w:tcPr>
            <w:tcW w:w="1859" w:type="dxa"/>
          </w:tcPr>
          <w:p w14:paraId="31C19831" w14:textId="77777777" w:rsidR="000A2ED4" w:rsidRPr="00E70587" w:rsidRDefault="000A2ED4" w:rsidP="009901E1">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sidRPr="00E70587">
              <w:rPr>
                <w:rFonts w:ascii="Arial" w:hAnsi="Arial" w:cs="Arial"/>
                <w:sz w:val="20"/>
                <w:lang w:val="en-IN"/>
              </w:rPr>
              <w:t>19</w:t>
            </w:r>
          </w:p>
        </w:tc>
        <w:tc>
          <w:tcPr>
            <w:tcW w:w="1859" w:type="dxa"/>
            <w:tcMar>
              <w:top w:w="28" w:type="dxa"/>
              <w:left w:w="85" w:type="dxa"/>
            </w:tcMar>
          </w:tcPr>
          <w:p w14:paraId="6AF864C4" w14:textId="77777777" w:rsidR="000A2ED4" w:rsidRPr="00E70587" w:rsidRDefault="000A2ED4" w:rsidP="009901E1">
            <w:pPr>
              <w:pStyle w:val="tabletext"/>
              <w:spacing w:line="280" w:lineRule="exact"/>
              <w:jc w:val="right"/>
              <w:rPr>
                <w:rFonts w:ascii="Arial" w:hAnsi="Arial" w:cs="Arial"/>
                <w:sz w:val="20"/>
                <w:lang w:val="en-IN"/>
              </w:rPr>
            </w:pPr>
            <w:r w:rsidRPr="00E70587">
              <w:rPr>
                <w:rFonts w:ascii="Arial" w:hAnsi="Arial" w:cs="Arial"/>
                <w:sz w:val="20"/>
                <w:lang w:val="en-IN"/>
              </w:rPr>
              <w:t>19</w:t>
            </w:r>
          </w:p>
        </w:tc>
      </w:tr>
      <w:tr w:rsidR="000A2ED4" w:rsidRPr="00E70587" w14:paraId="65B78531" w14:textId="77777777" w:rsidTr="009A6759">
        <w:tc>
          <w:tcPr>
            <w:tcW w:w="5812" w:type="dxa"/>
          </w:tcPr>
          <w:p w14:paraId="3E58AFD2" w14:textId="77777777" w:rsidR="000A2ED4" w:rsidRPr="00E70587" w:rsidRDefault="000A2ED4"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Female</w:t>
            </w:r>
          </w:p>
        </w:tc>
        <w:tc>
          <w:tcPr>
            <w:tcW w:w="1859" w:type="dxa"/>
          </w:tcPr>
          <w:p w14:paraId="6B5DEE7E" w14:textId="77777777" w:rsidR="000A2ED4" w:rsidRPr="00E70587" w:rsidRDefault="000A2ED4" w:rsidP="009901E1">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sidRPr="00E70587">
              <w:rPr>
                <w:rFonts w:ascii="Arial" w:hAnsi="Arial" w:cs="Arial"/>
                <w:sz w:val="20"/>
                <w:lang w:val="en-IN"/>
              </w:rPr>
              <w:t>22</w:t>
            </w:r>
          </w:p>
        </w:tc>
        <w:tc>
          <w:tcPr>
            <w:tcW w:w="1859" w:type="dxa"/>
            <w:tcMar>
              <w:top w:w="28" w:type="dxa"/>
              <w:left w:w="85" w:type="dxa"/>
            </w:tcMar>
          </w:tcPr>
          <w:p w14:paraId="0D93447F" w14:textId="77777777" w:rsidR="000A2ED4" w:rsidRPr="00E70587" w:rsidRDefault="000A2ED4" w:rsidP="009901E1">
            <w:pPr>
              <w:pStyle w:val="tabletext"/>
              <w:spacing w:line="280" w:lineRule="exact"/>
              <w:jc w:val="right"/>
              <w:rPr>
                <w:rFonts w:ascii="Arial" w:hAnsi="Arial" w:cs="Arial"/>
                <w:sz w:val="20"/>
                <w:lang w:val="en-IN"/>
              </w:rPr>
            </w:pPr>
            <w:r w:rsidRPr="00E70587">
              <w:rPr>
                <w:rFonts w:ascii="Arial" w:hAnsi="Arial" w:cs="Arial"/>
                <w:sz w:val="20"/>
                <w:lang w:val="en-IN"/>
              </w:rPr>
              <w:t>22</w:t>
            </w:r>
          </w:p>
        </w:tc>
      </w:tr>
    </w:tbl>
    <w:p w14:paraId="4C7D8676" w14:textId="77777777" w:rsidR="004D06E0" w:rsidRPr="00E70587" w:rsidRDefault="004D06E0" w:rsidP="00B43785">
      <w:pPr>
        <w:pStyle w:val="IAStext"/>
        <w:spacing w:line="280" w:lineRule="exact"/>
        <w:rPr>
          <w:rFonts w:ascii="Arial" w:hAnsi="Arial" w:cs="Arial"/>
          <w:i w:val="0"/>
          <w:sz w:val="20"/>
          <w:lang w:val="en-IN"/>
        </w:rPr>
      </w:pPr>
    </w:p>
    <w:p w14:paraId="069C38A8" w14:textId="2C709226" w:rsidR="003B22DB" w:rsidRPr="00E70587" w:rsidRDefault="003B22DB" w:rsidP="00B43785">
      <w:pPr>
        <w:pStyle w:val="IAStext"/>
        <w:spacing w:line="280" w:lineRule="exact"/>
        <w:rPr>
          <w:rFonts w:ascii="Arial" w:hAnsi="Arial" w:cs="Arial"/>
          <w:i w:val="0"/>
          <w:sz w:val="20"/>
          <w:lang w:val="en-IN"/>
        </w:rPr>
      </w:pPr>
      <w:r w:rsidRPr="00E70587">
        <w:rPr>
          <w:rFonts w:ascii="Arial" w:hAnsi="Arial" w:cs="Arial"/>
          <w:i w:val="0"/>
          <w:sz w:val="20"/>
          <w:lang w:val="en-IN"/>
        </w:rPr>
        <w:t xml:space="preserve">A quantitative sensitivity analysis for significant assumption as at 31 </w:t>
      </w:r>
      <w:r w:rsidR="00E1202D" w:rsidRPr="00E70587">
        <w:rPr>
          <w:rFonts w:ascii="Arial" w:hAnsi="Arial" w:cs="Arial"/>
          <w:i w:val="0"/>
          <w:sz w:val="20"/>
          <w:lang w:val="en-IN"/>
        </w:rPr>
        <w:t xml:space="preserve">March </w:t>
      </w:r>
      <w:r w:rsidR="00015180" w:rsidRPr="00E70587">
        <w:rPr>
          <w:rFonts w:ascii="Arial" w:hAnsi="Arial" w:cs="Arial"/>
          <w:i w:val="0"/>
          <w:sz w:val="20"/>
          <w:lang w:val="en-IN"/>
        </w:rPr>
        <w:t>20</w:t>
      </w:r>
      <w:r w:rsidR="00015180">
        <w:rPr>
          <w:rFonts w:ascii="Arial" w:hAnsi="Arial" w:cs="Arial"/>
          <w:i w:val="0"/>
          <w:sz w:val="20"/>
          <w:lang w:val="en-IN"/>
        </w:rPr>
        <w:t>21</w:t>
      </w:r>
      <w:r w:rsidR="00015180" w:rsidRPr="00E70587">
        <w:rPr>
          <w:rFonts w:ascii="Arial" w:hAnsi="Arial" w:cs="Arial"/>
          <w:i w:val="0"/>
          <w:sz w:val="20"/>
          <w:lang w:val="en-IN"/>
        </w:rPr>
        <w:t xml:space="preserve"> </w:t>
      </w:r>
      <w:r w:rsidRPr="00E70587">
        <w:rPr>
          <w:rFonts w:ascii="Arial" w:hAnsi="Arial" w:cs="Arial"/>
          <w:i w:val="0"/>
          <w:sz w:val="20"/>
          <w:lang w:val="en-IN"/>
        </w:rPr>
        <w:t>is as shown below:</w:t>
      </w:r>
    </w:p>
    <w:p w14:paraId="32364C10" w14:textId="77777777" w:rsidR="00C44FB5" w:rsidRPr="00E70587" w:rsidRDefault="00C44FB5" w:rsidP="00B43785">
      <w:pPr>
        <w:pStyle w:val="IAStext"/>
        <w:spacing w:line="280" w:lineRule="exact"/>
        <w:rPr>
          <w:rFonts w:ascii="Arial" w:hAnsi="Arial" w:cs="Arial"/>
          <w:i w:val="0"/>
          <w:sz w:val="20"/>
          <w:lang w:val="en-IN"/>
        </w:rPr>
      </w:pPr>
    </w:p>
    <w:p w14:paraId="6810E324" w14:textId="77777777" w:rsidR="00E8731B" w:rsidRPr="00E70587" w:rsidRDefault="00E8731B" w:rsidP="00B43785">
      <w:pPr>
        <w:pStyle w:val="IAStext"/>
        <w:spacing w:line="280" w:lineRule="exact"/>
        <w:rPr>
          <w:rFonts w:ascii="Arial" w:hAnsi="Arial" w:cs="Arial"/>
          <w:b/>
          <w:i w:val="0"/>
          <w:sz w:val="20"/>
          <w:lang w:val="en-IN"/>
        </w:rPr>
      </w:pPr>
      <w:r w:rsidRPr="00E70587">
        <w:rPr>
          <w:rFonts w:ascii="Arial" w:hAnsi="Arial" w:cs="Arial"/>
          <w:b/>
          <w:i w:val="0"/>
          <w:sz w:val="20"/>
          <w:lang w:val="en-IN"/>
        </w:rPr>
        <w:t>India gratuity plan:</w:t>
      </w:r>
    </w:p>
    <w:p w14:paraId="6AE6DA68" w14:textId="77777777" w:rsidR="006E41FC" w:rsidRPr="00E70587" w:rsidRDefault="006E41FC" w:rsidP="00B43785">
      <w:pPr>
        <w:pStyle w:val="IAStext"/>
        <w:spacing w:line="280" w:lineRule="exact"/>
        <w:rPr>
          <w:rFonts w:ascii="Arial" w:hAnsi="Arial" w:cs="Arial"/>
          <w:i w:val="0"/>
          <w:sz w:val="20"/>
          <w:lang w:val="en-IN"/>
        </w:rPr>
      </w:pPr>
    </w:p>
    <w:tbl>
      <w:tblPr>
        <w:tblW w:w="9576" w:type="dxa"/>
        <w:tblLayout w:type="fixed"/>
        <w:tblCellMar>
          <w:left w:w="70" w:type="dxa"/>
          <w:right w:w="70" w:type="dxa"/>
        </w:tblCellMar>
        <w:tblLook w:val="04A0" w:firstRow="1" w:lastRow="0" w:firstColumn="1" w:lastColumn="0" w:noHBand="0" w:noVBand="1"/>
      </w:tblPr>
      <w:tblGrid>
        <w:gridCol w:w="2438"/>
        <w:gridCol w:w="1536"/>
        <w:gridCol w:w="90"/>
        <w:gridCol w:w="1898"/>
        <w:gridCol w:w="1714"/>
        <w:gridCol w:w="1900"/>
      </w:tblGrid>
      <w:tr w:rsidR="00A17C17" w:rsidRPr="00E70587" w14:paraId="025B1EF0" w14:textId="77777777" w:rsidTr="00834981">
        <w:tc>
          <w:tcPr>
            <w:tcW w:w="2438" w:type="dxa"/>
            <w:shd w:val="clear" w:color="auto" w:fill="auto"/>
            <w:noWrap/>
            <w:vAlign w:val="bottom"/>
          </w:tcPr>
          <w:p w14:paraId="3555AB10"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eastAsia="nl-NL"/>
              </w:rPr>
            </w:pPr>
          </w:p>
        </w:tc>
        <w:tc>
          <w:tcPr>
            <w:tcW w:w="1536" w:type="dxa"/>
            <w:tcBorders>
              <w:top w:val="single" w:sz="4" w:space="0" w:color="auto"/>
              <w:bottom w:val="single" w:sz="4" w:space="0" w:color="auto"/>
            </w:tcBorders>
            <w:shd w:val="clear" w:color="auto" w:fill="auto"/>
            <w:vAlign w:val="bottom"/>
            <w:hideMark/>
          </w:tcPr>
          <w:p w14:paraId="32905237" w14:textId="75A37CC4" w:rsidR="00A17C17" w:rsidRPr="00E70587" w:rsidRDefault="00A17C17" w:rsidP="00B13B8B">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015180" w:rsidRPr="00E70587">
              <w:rPr>
                <w:rFonts w:ascii="Arial" w:hAnsi="Arial"/>
                <w:color w:val="auto"/>
                <w:sz w:val="20"/>
                <w:szCs w:val="20"/>
                <w:lang w:val="en-IN"/>
              </w:rPr>
              <w:t>20</w:t>
            </w:r>
            <w:r w:rsidR="00015180">
              <w:rPr>
                <w:rFonts w:ascii="Arial" w:hAnsi="Arial"/>
                <w:color w:val="auto"/>
                <w:sz w:val="20"/>
                <w:szCs w:val="20"/>
                <w:lang w:val="en-IN"/>
              </w:rPr>
              <w:t>21</w:t>
            </w:r>
          </w:p>
        </w:tc>
        <w:tc>
          <w:tcPr>
            <w:tcW w:w="1988" w:type="dxa"/>
            <w:gridSpan w:val="2"/>
            <w:tcBorders>
              <w:top w:val="single" w:sz="4" w:space="0" w:color="auto"/>
              <w:bottom w:val="single" w:sz="4" w:space="0" w:color="auto"/>
            </w:tcBorders>
            <w:shd w:val="clear" w:color="auto" w:fill="auto"/>
            <w:vAlign w:val="bottom"/>
            <w:hideMark/>
          </w:tcPr>
          <w:p w14:paraId="65AED3CE" w14:textId="1BF6578D" w:rsidR="00A17C17" w:rsidRPr="00E70587" w:rsidRDefault="00A17C17" w:rsidP="009901E1">
            <w:pPr>
              <w:pStyle w:val="Tablecolumnheading"/>
              <w:spacing w:line="280" w:lineRule="exact"/>
              <w:ind w:right="95"/>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015180" w:rsidRPr="00E70587">
              <w:rPr>
                <w:rFonts w:ascii="Arial" w:hAnsi="Arial"/>
                <w:color w:val="auto"/>
                <w:sz w:val="20"/>
                <w:szCs w:val="20"/>
                <w:lang w:val="en-IN"/>
              </w:rPr>
              <w:t>20</w:t>
            </w:r>
            <w:r w:rsidR="00015180">
              <w:rPr>
                <w:rFonts w:ascii="Arial" w:hAnsi="Arial"/>
                <w:color w:val="auto"/>
                <w:sz w:val="20"/>
                <w:szCs w:val="20"/>
                <w:lang w:val="en-IN"/>
              </w:rPr>
              <w:t>2</w:t>
            </w:r>
            <w:r w:rsidR="00B83886">
              <w:rPr>
                <w:rFonts w:ascii="Arial" w:hAnsi="Arial"/>
                <w:color w:val="auto"/>
                <w:sz w:val="20"/>
                <w:szCs w:val="20"/>
                <w:lang w:val="en-IN"/>
              </w:rPr>
              <w:t>1</w:t>
            </w:r>
          </w:p>
        </w:tc>
        <w:tc>
          <w:tcPr>
            <w:tcW w:w="1714" w:type="dxa"/>
            <w:tcBorders>
              <w:top w:val="single" w:sz="4" w:space="0" w:color="auto"/>
              <w:bottom w:val="single" w:sz="4" w:space="0" w:color="auto"/>
            </w:tcBorders>
            <w:shd w:val="clear" w:color="auto" w:fill="auto"/>
            <w:vAlign w:val="bottom"/>
            <w:hideMark/>
          </w:tcPr>
          <w:p w14:paraId="7F007F24" w14:textId="548988E0" w:rsidR="00A17C17" w:rsidRPr="00E70587" w:rsidRDefault="00A17C17" w:rsidP="009901E1">
            <w:pPr>
              <w:pStyle w:val="Tablecolumnheading"/>
              <w:spacing w:line="280" w:lineRule="exact"/>
              <w:ind w:right="84"/>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015180" w:rsidRPr="00E70587">
              <w:rPr>
                <w:rFonts w:ascii="Arial" w:hAnsi="Arial"/>
                <w:color w:val="auto"/>
                <w:sz w:val="20"/>
                <w:szCs w:val="20"/>
                <w:lang w:val="en-IN"/>
              </w:rPr>
              <w:t>20</w:t>
            </w:r>
            <w:r w:rsidR="00015180">
              <w:rPr>
                <w:rFonts w:ascii="Arial" w:hAnsi="Arial"/>
                <w:color w:val="auto"/>
                <w:sz w:val="20"/>
                <w:szCs w:val="20"/>
                <w:lang w:val="en-IN"/>
              </w:rPr>
              <w:t>21</w:t>
            </w:r>
          </w:p>
        </w:tc>
        <w:tc>
          <w:tcPr>
            <w:tcW w:w="1900" w:type="dxa"/>
            <w:tcBorders>
              <w:top w:val="single" w:sz="4" w:space="0" w:color="auto"/>
              <w:bottom w:val="single" w:sz="4" w:space="0" w:color="auto"/>
            </w:tcBorders>
            <w:shd w:val="clear" w:color="auto" w:fill="auto"/>
            <w:vAlign w:val="bottom"/>
            <w:hideMark/>
          </w:tcPr>
          <w:p w14:paraId="511A8B34" w14:textId="3B54CC3F"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015180" w:rsidRPr="00E70587">
              <w:rPr>
                <w:rFonts w:ascii="Arial" w:hAnsi="Arial"/>
                <w:color w:val="auto"/>
                <w:sz w:val="20"/>
                <w:szCs w:val="20"/>
                <w:lang w:val="en-IN"/>
              </w:rPr>
              <w:t>20</w:t>
            </w:r>
            <w:r w:rsidR="00015180">
              <w:rPr>
                <w:rFonts w:ascii="Arial" w:hAnsi="Arial"/>
                <w:color w:val="auto"/>
                <w:sz w:val="20"/>
                <w:szCs w:val="20"/>
                <w:lang w:val="en-IN"/>
              </w:rPr>
              <w:t>2</w:t>
            </w:r>
            <w:r w:rsidR="00B83886">
              <w:rPr>
                <w:rFonts w:ascii="Arial" w:hAnsi="Arial"/>
                <w:color w:val="auto"/>
                <w:sz w:val="20"/>
                <w:szCs w:val="20"/>
                <w:lang w:val="en-IN"/>
              </w:rPr>
              <w:t>1</w:t>
            </w:r>
          </w:p>
        </w:tc>
      </w:tr>
      <w:tr w:rsidR="00A17C17" w:rsidRPr="00E70587" w14:paraId="7039580B" w14:textId="77777777" w:rsidTr="00834981">
        <w:tc>
          <w:tcPr>
            <w:tcW w:w="2438" w:type="dxa"/>
            <w:shd w:val="clear" w:color="auto" w:fill="auto"/>
            <w:vAlign w:val="bottom"/>
            <w:hideMark/>
          </w:tcPr>
          <w:p w14:paraId="7CBE96E1"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Assumptions</w:t>
            </w:r>
          </w:p>
        </w:tc>
        <w:tc>
          <w:tcPr>
            <w:tcW w:w="3524" w:type="dxa"/>
            <w:gridSpan w:val="3"/>
            <w:tcBorders>
              <w:top w:val="single" w:sz="4" w:space="0" w:color="auto"/>
            </w:tcBorders>
            <w:shd w:val="clear" w:color="auto" w:fill="auto"/>
            <w:vAlign w:val="bottom"/>
            <w:hideMark/>
          </w:tcPr>
          <w:p w14:paraId="36AF30B3"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Discount rate</w:t>
            </w:r>
          </w:p>
        </w:tc>
        <w:tc>
          <w:tcPr>
            <w:tcW w:w="3614" w:type="dxa"/>
            <w:gridSpan w:val="2"/>
            <w:tcBorders>
              <w:top w:val="single" w:sz="4" w:space="0" w:color="auto"/>
            </w:tcBorders>
            <w:shd w:val="clear" w:color="auto" w:fill="auto"/>
            <w:vAlign w:val="bottom"/>
            <w:hideMark/>
          </w:tcPr>
          <w:p w14:paraId="79EC1046"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Future salary increases</w:t>
            </w:r>
          </w:p>
        </w:tc>
      </w:tr>
      <w:tr w:rsidR="00A17C17" w:rsidRPr="00E70587" w14:paraId="095AEFB9" w14:textId="77777777" w:rsidTr="00834981">
        <w:tc>
          <w:tcPr>
            <w:tcW w:w="2438" w:type="dxa"/>
            <w:shd w:val="clear" w:color="auto" w:fill="auto"/>
            <w:noWrap/>
            <w:vAlign w:val="bottom"/>
            <w:hideMark/>
          </w:tcPr>
          <w:p w14:paraId="62F39FB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eastAsia="nl-NL"/>
              </w:rPr>
            </w:pPr>
            <w:r w:rsidRPr="00E70587">
              <w:rPr>
                <w:rFonts w:ascii="Arial" w:hAnsi="Arial" w:cs="Arial"/>
                <w:sz w:val="20"/>
                <w:lang w:val="en-IN"/>
              </w:rPr>
              <w:t>Sensitivity Level</w:t>
            </w:r>
          </w:p>
        </w:tc>
        <w:tc>
          <w:tcPr>
            <w:tcW w:w="1626" w:type="dxa"/>
            <w:gridSpan w:val="2"/>
            <w:tcBorders>
              <w:bottom w:val="single" w:sz="4" w:space="0" w:color="auto"/>
            </w:tcBorders>
            <w:shd w:val="clear" w:color="auto" w:fill="auto"/>
            <w:vAlign w:val="bottom"/>
            <w:hideMark/>
          </w:tcPr>
          <w:p w14:paraId="374259B0" w14:textId="77777777" w:rsidR="00A17C17" w:rsidRPr="00E70587" w:rsidRDefault="00A17C17" w:rsidP="009901E1">
            <w:pPr>
              <w:spacing w:line="280" w:lineRule="exact"/>
              <w:jc w:val="center"/>
              <w:rPr>
                <w:rFonts w:ascii="Arial" w:hAnsi="Arial" w:cs="Arial"/>
                <w:sz w:val="20"/>
                <w:lang w:eastAsia="nl-NL"/>
              </w:rPr>
            </w:pPr>
            <w:r w:rsidRPr="00E70587">
              <w:rPr>
                <w:rFonts w:ascii="Arial" w:hAnsi="Arial" w:cs="Arial"/>
                <w:sz w:val="20"/>
                <w:lang w:eastAsia="nl-NL"/>
              </w:rPr>
              <w:t>0.5% increase</w:t>
            </w:r>
          </w:p>
        </w:tc>
        <w:tc>
          <w:tcPr>
            <w:tcW w:w="1898" w:type="dxa"/>
            <w:tcBorders>
              <w:bottom w:val="single" w:sz="4" w:space="0" w:color="auto"/>
            </w:tcBorders>
            <w:shd w:val="clear" w:color="auto" w:fill="auto"/>
            <w:vAlign w:val="bottom"/>
            <w:hideMark/>
          </w:tcPr>
          <w:p w14:paraId="07778F9B" w14:textId="77777777" w:rsidR="00A17C17" w:rsidRPr="00E70587" w:rsidRDefault="00A17C17" w:rsidP="009901E1">
            <w:pPr>
              <w:spacing w:line="280" w:lineRule="exact"/>
              <w:jc w:val="center"/>
              <w:rPr>
                <w:rFonts w:ascii="Arial" w:hAnsi="Arial" w:cs="Arial"/>
                <w:sz w:val="20"/>
                <w:lang w:eastAsia="nl-NL"/>
              </w:rPr>
            </w:pPr>
            <w:r w:rsidRPr="00E70587">
              <w:rPr>
                <w:rFonts w:ascii="Arial" w:hAnsi="Arial" w:cs="Arial"/>
                <w:sz w:val="20"/>
                <w:lang w:eastAsia="nl-NL"/>
              </w:rPr>
              <w:t>0.5% decrease</w:t>
            </w:r>
          </w:p>
        </w:tc>
        <w:tc>
          <w:tcPr>
            <w:tcW w:w="1714" w:type="dxa"/>
            <w:tcBorders>
              <w:bottom w:val="single" w:sz="4" w:space="0" w:color="auto"/>
            </w:tcBorders>
            <w:shd w:val="clear" w:color="auto" w:fill="auto"/>
            <w:vAlign w:val="bottom"/>
            <w:hideMark/>
          </w:tcPr>
          <w:p w14:paraId="10CCD88C" w14:textId="77777777" w:rsidR="00A17C17" w:rsidRPr="00E70587" w:rsidRDefault="00A17C17" w:rsidP="009901E1">
            <w:pPr>
              <w:spacing w:line="280" w:lineRule="exact"/>
              <w:jc w:val="center"/>
              <w:rPr>
                <w:rFonts w:ascii="Arial" w:hAnsi="Arial" w:cs="Arial"/>
                <w:sz w:val="20"/>
                <w:lang w:eastAsia="nl-NL"/>
              </w:rPr>
            </w:pPr>
            <w:r w:rsidRPr="00E70587">
              <w:rPr>
                <w:rFonts w:ascii="Arial" w:hAnsi="Arial" w:cs="Arial"/>
                <w:sz w:val="20"/>
                <w:lang w:eastAsia="nl-NL"/>
              </w:rPr>
              <w:t>5% increase</w:t>
            </w:r>
          </w:p>
        </w:tc>
        <w:tc>
          <w:tcPr>
            <w:tcW w:w="1900" w:type="dxa"/>
            <w:tcBorders>
              <w:bottom w:val="single" w:sz="4" w:space="0" w:color="auto"/>
            </w:tcBorders>
            <w:shd w:val="clear" w:color="auto" w:fill="auto"/>
            <w:vAlign w:val="bottom"/>
            <w:hideMark/>
          </w:tcPr>
          <w:p w14:paraId="1D9C1EEB" w14:textId="77777777" w:rsidR="00A17C17" w:rsidRPr="00E70587" w:rsidRDefault="00A17C17" w:rsidP="009901E1">
            <w:pPr>
              <w:spacing w:line="280" w:lineRule="exact"/>
              <w:jc w:val="right"/>
              <w:rPr>
                <w:rFonts w:ascii="Arial" w:hAnsi="Arial" w:cs="Arial"/>
                <w:sz w:val="20"/>
                <w:lang w:eastAsia="nl-NL"/>
              </w:rPr>
            </w:pPr>
            <w:r w:rsidRPr="00E70587">
              <w:rPr>
                <w:rFonts w:ascii="Arial" w:hAnsi="Arial" w:cs="Arial"/>
                <w:sz w:val="20"/>
                <w:lang w:eastAsia="nl-NL"/>
              </w:rPr>
              <w:t>5% decrease</w:t>
            </w:r>
          </w:p>
        </w:tc>
      </w:tr>
      <w:tr w:rsidR="00A17C17" w:rsidRPr="00E70587" w:rsidDel="00D63CE7" w14:paraId="49994658" w14:textId="77777777" w:rsidTr="00834981">
        <w:tc>
          <w:tcPr>
            <w:tcW w:w="2438" w:type="dxa"/>
            <w:shd w:val="clear" w:color="auto" w:fill="auto"/>
            <w:noWrap/>
            <w:vAlign w:val="center"/>
            <w:hideMark/>
          </w:tcPr>
          <w:p w14:paraId="00AB313A" w14:textId="77777777" w:rsidR="00A17C17" w:rsidRPr="00E70587" w:rsidRDefault="00A17C17" w:rsidP="009901E1">
            <w:pPr>
              <w:spacing w:line="280" w:lineRule="exact"/>
              <w:jc w:val="center"/>
              <w:rPr>
                <w:rFonts w:ascii="Arial" w:hAnsi="Arial" w:cs="Arial"/>
                <w:sz w:val="20"/>
                <w:lang w:eastAsia="nl-NL"/>
              </w:rPr>
            </w:pPr>
          </w:p>
        </w:tc>
        <w:tc>
          <w:tcPr>
            <w:tcW w:w="1626" w:type="dxa"/>
            <w:gridSpan w:val="2"/>
            <w:tcBorders>
              <w:top w:val="single" w:sz="4" w:space="0" w:color="auto"/>
              <w:bottom w:val="single" w:sz="4" w:space="0" w:color="auto"/>
            </w:tcBorders>
            <w:shd w:val="clear" w:color="auto" w:fill="auto"/>
            <w:noWrap/>
            <w:vAlign w:val="center"/>
            <w:hideMark/>
          </w:tcPr>
          <w:p w14:paraId="428C2735"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898" w:type="dxa"/>
            <w:tcBorders>
              <w:top w:val="single" w:sz="4" w:space="0" w:color="auto"/>
              <w:bottom w:val="single" w:sz="4" w:space="0" w:color="auto"/>
            </w:tcBorders>
            <w:shd w:val="clear" w:color="auto" w:fill="auto"/>
            <w:noWrap/>
            <w:vAlign w:val="center"/>
            <w:hideMark/>
          </w:tcPr>
          <w:p w14:paraId="15C8EB62"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714" w:type="dxa"/>
            <w:tcBorders>
              <w:top w:val="single" w:sz="4" w:space="0" w:color="auto"/>
              <w:bottom w:val="single" w:sz="4" w:space="0" w:color="auto"/>
            </w:tcBorders>
            <w:shd w:val="clear" w:color="auto" w:fill="auto"/>
            <w:noWrap/>
            <w:vAlign w:val="center"/>
            <w:hideMark/>
          </w:tcPr>
          <w:p w14:paraId="57FAC659"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900" w:type="dxa"/>
            <w:tcBorders>
              <w:top w:val="single" w:sz="4" w:space="0" w:color="auto"/>
              <w:bottom w:val="single" w:sz="4" w:space="0" w:color="auto"/>
            </w:tcBorders>
            <w:shd w:val="clear" w:color="auto" w:fill="auto"/>
            <w:noWrap/>
            <w:vAlign w:val="center"/>
            <w:hideMark/>
          </w:tcPr>
          <w:p w14:paraId="4A982391" w14:textId="77777777" w:rsidR="00A17C17" w:rsidRPr="00E70587" w:rsidDel="00D63CE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r>
      <w:tr w:rsidR="00A17C17" w:rsidRPr="00E70587" w14:paraId="1669475F" w14:textId="77777777" w:rsidTr="00834981">
        <w:tc>
          <w:tcPr>
            <w:tcW w:w="2438" w:type="dxa"/>
            <w:tcBorders>
              <w:bottom w:val="single" w:sz="4" w:space="0" w:color="auto"/>
            </w:tcBorders>
            <w:shd w:val="clear" w:color="auto" w:fill="auto"/>
            <w:noWrap/>
            <w:vAlign w:val="center"/>
            <w:hideMark/>
          </w:tcPr>
          <w:p w14:paraId="182C818D" w14:textId="77777777" w:rsidR="00A17C17" w:rsidRPr="00E70587" w:rsidRDefault="00A17C17" w:rsidP="009901E1">
            <w:pPr>
              <w:spacing w:line="280" w:lineRule="exact"/>
              <w:rPr>
                <w:rFonts w:ascii="Arial" w:hAnsi="Arial" w:cs="Arial"/>
                <w:sz w:val="20"/>
                <w:lang w:eastAsia="nl-NL"/>
              </w:rPr>
            </w:pPr>
            <w:r w:rsidRPr="00E70587">
              <w:rPr>
                <w:rFonts w:ascii="Arial" w:hAnsi="Arial" w:cs="Arial"/>
                <w:sz w:val="20"/>
              </w:rPr>
              <w:t>Impact on defined benefit obligation</w:t>
            </w:r>
          </w:p>
        </w:tc>
        <w:tc>
          <w:tcPr>
            <w:tcW w:w="1626" w:type="dxa"/>
            <w:gridSpan w:val="2"/>
            <w:tcBorders>
              <w:top w:val="single" w:sz="4" w:space="0" w:color="auto"/>
              <w:bottom w:val="single" w:sz="4" w:space="0" w:color="auto"/>
            </w:tcBorders>
            <w:shd w:val="clear" w:color="auto" w:fill="auto"/>
            <w:noWrap/>
            <w:vAlign w:val="center"/>
            <w:hideMark/>
          </w:tcPr>
          <w:p w14:paraId="7E72C10E" w14:textId="77777777" w:rsidR="00A17C17" w:rsidRPr="00E70587" w:rsidRDefault="00A17C17" w:rsidP="009901E1">
            <w:pPr>
              <w:spacing w:line="280" w:lineRule="exact"/>
              <w:jc w:val="center"/>
              <w:rPr>
                <w:rFonts w:ascii="Arial" w:hAnsi="Arial" w:cs="Arial"/>
                <w:sz w:val="20"/>
              </w:rPr>
            </w:pPr>
            <w:r w:rsidRPr="00E70587">
              <w:rPr>
                <w:rFonts w:ascii="Arial" w:hAnsi="Arial" w:cs="Arial"/>
                <w:sz w:val="20"/>
              </w:rPr>
              <w:t>(612)</w:t>
            </w:r>
          </w:p>
        </w:tc>
        <w:tc>
          <w:tcPr>
            <w:tcW w:w="1898" w:type="dxa"/>
            <w:tcBorders>
              <w:top w:val="single" w:sz="4" w:space="0" w:color="auto"/>
              <w:bottom w:val="single" w:sz="4" w:space="0" w:color="auto"/>
            </w:tcBorders>
            <w:shd w:val="clear" w:color="auto" w:fill="auto"/>
            <w:noWrap/>
            <w:vAlign w:val="center"/>
            <w:hideMark/>
          </w:tcPr>
          <w:p w14:paraId="13653731" w14:textId="77777777" w:rsidR="00A17C17" w:rsidRPr="00E70587" w:rsidRDefault="00A17C17" w:rsidP="009901E1">
            <w:pPr>
              <w:spacing w:line="280" w:lineRule="exact"/>
              <w:jc w:val="center"/>
              <w:rPr>
                <w:rFonts w:ascii="Arial" w:hAnsi="Arial" w:cs="Arial"/>
                <w:sz w:val="20"/>
              </w:rPr>
            </w:pPr>
            <w:r w:rsidRPr="00E70587">
              <w:rPr>
                <w:rFonts w:ascii="Arial" w:hAnsi="Arial" w:cs="Arial"/>
                <w:sz w:val="20"/>
              </w:rPr>
              <w:t>558</w:t>
            </w:r>
          </w:p>
        </w:tc>
        <w:tc>
          <w:tcPr>
            <w:tcW w:w="1714" w:type="dxa"/>
            <w:tcBorders>
              <w:top w:val="single" w:sz="4" w:space="0" w:color="auto"/>
              <w:bottom w:val="single" w:sz="4" w:space="0" w:color="auto"/>
            </w:tcBorders>
            <w:shd w:val="clear" w:color="auto" w:fill="auto"/>
            <w:noWrap/>
            <w:vAlign w:val="center"/>
            <w:hideMark/>
          </w:tcPr>
          <w:p w14:paraId="2D030514" w14:textId="2A658A02" w:rsidR="00A17C17" w:rsidRPr="00E70587" w:rsidRDefault="00A17C17" w:rsidP="009901E1">
            <w:pPr>
              <w:spacing w:line="280" w:lineRule="exact"/>
              <w:jc w:val="center"/>
              <w:rPr>
                <w:rFonts w:ascii="Arial" w:hAnsi="Arial" w:cs="Arial"/>
                <w:sz w:val="20"/>
              </w:rPr>
            </w:pPr>
            <w:r w:rsidRPr="00E70587">
              <w:rPr>
                <w:rFonts w:ascii="Arial" w:hAnsi="Arial" w:cs="Arial"/>
                <w:sz w:val="20"/>
              </w:rPr>
              <w:t>2</w:t>
            </w:r>
            <w:r w:rsidR="0081682C">
              <w:rPr>
                <w:rFonts w:ascii="Arial" w:hAnsi="Arial" w:cs="Arial"/>
                <w:sz w:val="20"/>
              </w:rPr>
              <w:t>,</w:t>
            </w:r>
            <w:r w:rsidRPr="00E70587">
              <w:rPr>
                <w:rFonts w:ascii="Arial" w:hAnsi="Arial" w:cs="Arial"/>
                <w:sz w:val="20"/>
              </w:rPr>
              <w:t>160</w:t>
            </w:r>
          </w:p>
        </w:tc>
        <w:tc>
          <w:tcPr>
            <w:tcW w:w="1900" w:type="dxa"/>
            <w:tcBorders>
              <w:top w:val="single" w:sz="4" w:space="0" w:color="auto"/>
              <w:bottom w:val="single" w:sz="4" w:space="0" w:color="auto"/>
            </w:tcBorders>
            <w:shd w:val="clear" w:color="auto" w:fill="auto"/>
            <w:noWrap/>
            <w:vAlign w:val="center"/>
            <w:hideMark/>
          </w:tcPr>
          <w:p w14:paraId="67E6A588" w14:textId="205650C6" w:rsidR="00A17C17" w:rsidRPr="00E70587" w:rsidRDefault="00A17C17" w:rsidP="009901E1">
            <w:pPr>
              <w:spacing w:line="280" w:lineRule="exact"/>
              <w:jc w:val="center"/>
              <w:rPr>
                <w:rFonts w:ascii="Arial" w:hAnsi="Arial" w:cs="Arial"/>
                <w:sz w:val="20"/>
              </w:rPr>
            </w:pPr>
            <w:r w:rsidRPr="00E70587">
              <w:rPr>
                <w:rFonts w:ascii="Arial" w:hAnsi="Arial" w:cs="Arial"/>
                <w:sz w:val="20"/>
              </w:rPr>
              <w:t>(1</w:t>
            </w:r>
            <w:r w:rsidR="0081682C">
              <w:rPr>
                <w:rFonts w:ascii="Arial" w:hAnsi="Arial" w:cs="Arial"/>
                <w:sz w:val="20"/>
              </w:rPr>
              <w:t>,</w:t>
            </w:r>
            <w:r w:rsidRPr="00E70587">
              <w:rPr>
                <w:rFonts w:ascii="Arial" w:hAnsi="Arial" w:cs="Arial"/>
                <w:sz w:val="20"/>
              </w:rPr>
              <w:t>980)</w:t>
            </w:r>
          </w:p>
        </w:tc>
      </w:tr>
    </w:tbl>
    <w:p w14:paraId="5FE3CFBE" w14:textId="3EDD91E0" w:rsidR="00E8731B" w:rsidRDefault="00E8731B" w:rsidP="009901E1">
      <w:pPr>
        <w:spacing w:line="280" w:lineRule="exact"/>
        <w:rPr>
          <w:rFonts w:ascii="Arial" w:hAnsi="Arial" w:cs="Arial"/>
          <w:sz w:val="20"/>
        </w:rPr>
      </w:pPr>
    </w:p>
    <w:p w14:paraId="553218BD" w14:textId="3C085203" w:rsidR="00DE0F89" w:rsidRDefault="00DE0F89" w:rsidP="009901E1">
      <w:pPr>
        <w:spacing w:line="280" w:lineRule="exact"/>
        <w:rPr>
          <w:rFonts w:ascii="Arial" w:hAnsi="Arial" w:cs="Arial"/>
          <w:sz w:val="20"/>
        </w:rPr>
      </w:pPr>
    </w:p>
    <w:tbl>
      <w:tblPr>
        <w:tblW w:w="9576" w:type="dxa"/>
        <w:tblLayout w:type="fixed"/>
        <w:tblCellMar>
          <w:left w:w="70" w:type="dxa"/>
          <w:right w:w="70" w:type="dxa"/>
        </w:tblCellMar>
        <w:tblLook w:val="04A0" w:firstRow="1" w:lastRow="0" w:firstColumn="1" w:lastColumn="0" w:noHBand="0" w:noVBand="1"/>
      </w:tblPr>
      <w:tblGrid>
        <w:gridCol w:w="2438"/>
        <w:gridCol w:w="1536"/>
        <w:gridCol w:w="90"/>
        <w:gridCol w:w="1898"/>
        <w:gridCol w:w="1714"/>
        <w:gridCol w:w="1900"/>
      </w:tblGrid>
      <w:tr w:rsidR="00DE0F89" w:rsidRPr="00E70587" w14:paraId="3251A1C8" w14:textId="77777777" w:rsidTr="005F283E">
        <w:tc>
          <w:tcPr>
            <w:tcW w:w="2438" w:type="dxa"/>
            <w:shd w:val="clear" w:color="auto" w:fill="auto"/>
            <w:noWrap/>
            <w:vAlign w:val="bottom"/>
          </w:tcPr>
          <w:p w14:paraId="5D1A7D3C" w14:textId="77777777" w:rsidR="00DE0F89" w:rsidRPr="00E70587" w:rsidRDefault="00DE0F89" w:rsidP="005F283E">
            <w:pPr>
              <w:pStyle w:val="tabletext"/>
              <w:overflowPunct w:val="0"/>
              <w:autoSpaceDE w:val="0"/>
              <w:autoSpaceDN w:val="0"/>
              <w:adjustRightInd w:val="0"/>
              <w:spacing w:line="280" w:lineRule="exact"/>
              <w:textAlignment w:val="baseline"/>
              <w:rPr>
                <w:rFonts w:ascii="Arial" w:hAnsi="Arial" w:cs="Arial"/>
                <w:sz w:val="20"/>
                <w:lang w:val="en-IN" w:eastAsia="nl-NL"/>
              </w:rPr>
            </w:pPr>
          </w:p>
        </w:tc>
        <w:tc>
          <w:tcPr>
            <w:tcW w:w="1536" w:type="dxa"/>
            <w:tcBorders>
              <w:top w:val="single" w:sz="4" w:space="0" w:color="auto"/>
              <w:bottom w:val="single" w:sz="4" w:space="0" w:color="auto"/>
            </w:tcBorders>
            <w:shd w:val="clear" w:color="auto" w:fill="auto"/>
            <w:vAlign w:val="bottom"/>
            <w:hideMark/>
          </w:tcPr>
          <w:p w14:paraId="5C43565D" w14:textId="0BBCD252" w:rsidR="00DE0F89" w:rsidRPr="00E70587" w:rsidRDefault="00DE0F89" w:rsidP="005F283E">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31 March 20</w:t>
            </w:r>
            <w:r>
              <w:rPr>
                <w:rFonts w:ascii="Arial" w:hAnsi="Arial"/>
                <w:color w:val="auto"/>
                <w:sz w:val="20"/>
                <w:szCs w:val="20"/>
                <w:lang w:val="en-IN"/>
              </w:rPr>
              <w:t>20</w:t>
            </w:r>
          </w:p>
        </w:tc>
        <w:tc>
          <w:tcPr>
            <w:tcW w:w="1988" w:type="dxa"/>
            <w:gridSpan w:val="2"/>
            <w:tcBorders>
              <w:top w:val="single" w:sz="4" w:space="0" w:color="auto"/>
              <w:bottom w:val="single" w:sz="4" w:space="0" w:color="auto"/>
            </w:tcBorders>
            <w:shd w:val="clear" w:color="auto" w:fill="auto"/>
            <w:vAlign w:val="bottom"/>
            <w:hideMark/>
          </w:tcPr>
          <w:p w14:paraId="1E551962" w14:textId="7711D5B5" w:rsidR="00DE0F89" w:rsidRPr="00E70587" w:rsidRDefault="00DE0F89" w:rsidP="005F283E">
            <w:pPr>
              <w:pStyle w:val="Tablecolumnheading"/>
              <w:spacing w:line="280" w:lineRule="exact"/>
              <w:ind w:right="95"/>
              <w:rPr>
                <w:rFonts w:ascii="Arial" w:hAnsi="Arial"/>
                <w:color w:val="auto"/>
                <w:sz w:val="20"/>
                <w:szCs w:val="20"/>
                <w:lang w:val="en-IN"/>
              </w:rPr>
            </w:pPr>
            <w:r w:rsidRPr="00E70587">
              <w:rPr>
                <w:rFonts w:ascii="Arial" w:hAnsi="Arial"/>
                <w:color w:val="auto"/>
                <w:sz w:val="20"/>
                <w:szCs w:val="20"/>
                <w:lang w:val="en-IN"/>
              </w:rPr>
              <w:t>31 March 20</w:t>
            </w:r>
            <w:r>
              <w:rPr>
                <w:rFonts w:ascii="Arial" w:hAnsi="Arial"/>
                <w:color w:val="auto"/>
                <w:sz w:val="20"/>
                <w:szCs w:val="20"/>
                <w:lang w:val="en-IN"/>
              </w:rPr>
              <w:t>20</w:t>
            </w:r>
          </w:p>
        </w:tc>
        <w:tc>
          <w:tcPr>
            <w:tcW w:w="1714" w:type="dxa"/>
            <w:tcBorders>
              <w:top w:val="single" w:sz="4" w:space="0" w:color="auto"/>
              <w:bottom w:val="single" w:sz="4" w:space="0" w:color="auto"/>
            </w:tcBorders>
            <w:shd w:val="clear" w:color="auto" w:fill="auto"/>
            <w:vAlign w:val="bottom"/>
            <w:hideMark/>
          </w:tcPr>
          <w:p w14:paraId="41BB9826" w14:textId="7BC61508" w:rsidR="00DE0F89" w:rsidRPr="00E70587" w:rsidRDefault="00DE0F89" w:rsidP="005F283E">
            <w:pPr>
              <w:pStyle w:val="Tablecolumnheading"/>
              <w:spacing w:line="280" w:lineRule="exact"/>
              <w:ind w:right="84"/>
              <w:rPr>
                <w:rFonts w:ascii="Arial" w:hAnsi="Arial"/>
                <w:color w:val="auto"/>
                <w:sz w:val="20"/>
                <w:szCs w:val="20"/>
                <w:lang w:val="en-IN"/>
              </w:rPr>
            </w:pPr>
            <w:r w:rsidRPr="00E70587">
              <w:rPr>
                <w:rFonts w:ascii="Arial" w:hAnsi="Arial"/>
                <w:color w:val="auto"/>
                <w:sz w:val="20"/>
                <w:szCs w:val="20"/>
                <w:lang w:val="en-IN"/>
              </w:rPr>
              <w:t>31 March 20</w:t>
            </w:r>
            <w:r>
              <w:rPr>
                <w:rFonts w:ascii="Arial" w:hAnsi="Arial"/>
                <w:color w:val="auto"/>
                <w:sz w:val="20"/>
                <w:szCs w:val="20"/>
                <w:lang w:val="en-IN"/>
              </w:rPr>
              <w:t>20</w:t>
            </w:r>
          </w:p>
        </w:tc>
        <w:tc>
          <w:tcPr>
            <w:tcW w:w="1900" w:type="dxa"/>
            <w:tcBorders>
              <w:top w:val="single" w:sz="4" w:space="0" w:color="auto"/>
              <w:bottom w:val="single" w:sz="4" w:space="0" w:color="auto"/>
            </w:tcBorders>
            <w:shd w:val="clear" w:color="auto" w:fill="auto"/>
            <w:vAlign w:val="bottom"/>
            <w:hideMark/>
          </w:tcPr>
          <w:p w14:paraId="54C8B196" w14:textId="5903E51B" w:rsidR="00DE0F89" w:rsidRPr="00E70587" w:rsidRDefault="00DE0F89" w:rsidP="005F283E">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31 March 20</w:t>
            </w:r>
            <w:r>
              <w:rPr>
                <w:rFonts w:ascii="Arial" w:hAnsi="Arial"/>
                <w:color w:val="auto"/>
                <w:sz w:val="20"/>
                <w:szCs w:val="20"/>
                <w:lang w:val="en-IN"/>
              </w:rPr>
              <w:t>20</w:t>
            </w:r>
          </w:p>
        </w:tc>
      </w:tr>
      <w:tr w:rsidR="00DE0F89" w:rsidRPr="00E70587" w14:paraId="01C74FC6" w14:textId="77777777" w:rsidTr="005F283E">
        <w:tc>
          <w:tcPr>
            <w:tcW w:w="2438" w:type="dxa"/>
            <w:shd w:val="clear" w:color="auto" w:fill="auto"/>
            <w:vAlign w:val="bottom"/>
            <w:hideMark/>
          </w:tcPr>
          <w:p w14:paraId="00B84AC7" w14:textId="77777777" w:rsidR="00DE0F89" w:rsidRPr="00E70587" w:rsidRDefault="00DE0F89" w:rsidP="005F283E">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Assumptions</w:t>
            </w:r>
          </w:p>
        </w:tc>
        <w:tc>
          <w:tcPr>
            <w:tcW w:w="3524" w:type="dxa"/>
            <w:gridSpan w:val="3"/>
            <w:tcBorders>
              <w:top w:val="single" w:sz="4" w:space="0" w:color="auto"/>
            </w:tcBorders>
            <w:shd w:val="clear" w:color="auto" w:fill="auto"/>
            <w:vAlign w:val="bottom"/>
            <w:hideMark/>
          </w:tcPr>
          <w:p w14:paraId="391974F5" w14:textId="77777777" w:rsidR="00DE0F89" w:rsidRPr="00E70587" w:rsidRDefault="00DE0F89"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Discount rate</w:t>
            </w:r>
          </w:p>
        </w:tc>
        <w:tc>
          <w:tcPr>
            <w:tcW w:w="3614" w:type="dxa"/>
            <w:gridSpan w:val="2"/>
            <w:tcBorders>
              <w:top w:val="single" w:sz="4" w:space="0" w:color="auto"/>
            </w:tcBorders>
            <w:shd w:val="clear" w:color="auto" w:fill="auto"/>
            <w:vAlign w:val="bottom"/>
            <w:hideMark/>
          </w:tcPr>
          <w:p w14:paraId="20A8AB7B" w14:textId="77777777" w:rsidR="00DE0F89" w:rsidRPr="00E70587" w:rsidRDefault="00DE0F89"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Future salary increases</w:t>
            </w:r>
          </w:p>
        </w:tc>
      </w:tr>
      <w:tr w:rsidR="00DE0F89" w:rsidRPr="00E70587" w14:paraId="78D9419D" w14:textId="77777777" w:rsidTr="005F283E">
        <w:tc>
          <w:tcPr>
            <w:tcW w:w="2438" w:type="dxa"/>
            <w:shd w:val="clear" w:color="auto" w:fill="auto"/>
            <w:noWrap/>
            <w:vAlign w:val="bottom"/>
            <w:hideMark/>
          </w:tcPr>
          <w:p w14:paraId="564C1A59" w14:textId="77777777" w:rsidR="00DE0F89" w:rsidRPr="00E70587" w:rsidRDefault="00DE0F89" w:rsidP="005F283E">
            <w:pPr>
              <w:pStyle w:val="tabletext"/>
              <w:overflowPunct w:val="0"/>
              <w:autoSpaceDE w:val="0"/>
              <w:autoSpaceDN w:val="0"/>
              <w:adjustRightInd w:val="0"/>
              <w:spacing w:line="280" w:lineRule="exact"/>
              <w:textAlignment w:val="baseline"/>
              <w:rPr>
                <w:rFonts w:ascii="Arial" w:hAnsi="Arial" w:cs="Arial"/>
                <w:sz w:val="20"/>
                <w:lang w:val="en-IN" w:eastAsia="nl-NL"/>
              </w:rPr>
            </w:pPr>
            <w:r w:rsidRPr="00E70587">
              <w:rPr>
                <w:rFonts w:ascii="Arial" w:hAnsi="Arial" w:cs="Arial"/>
                <w:sz w:val="20"/>
                <w:lang w:val="en-IN"/>
              </w:rPr>
              <w:t>Sensitivity Level</w:t>
            </w:r>
          </w:p>
        </w:tc>
        <w:tc>
          <w:tcPr>
            <w:tcW w:w="1626" w:type="dxa"/>
            <w:gridSpan w:val="2"/>
            <w:tcBorders>
              <w:bottom w:val="single" w:sz="4" w:space="0" w:color="auto"/>
            </w:tcBorders>
            <w:shd w:val="clear" w:color="auto" w:fill="auto"/>
            <w:vAlign w:val="bottom"/>
            <w:hideMark/>
          </w:tcPr>
          <w:p w14:paraId="409BA3BF" w14:textId="77777777" w:rsidR="00DE0F89" w:rsidRPr="00E70587" w:rsidRDefault="00DE0F89" w:rsidP="005F283E">
            <w:pPr>
              <w:spacing w:line="280" w:lineRule="exact"/>
              <w:jc w:val="center"/>
              <w:rPr>
                <w:rFonts w:ascii="Arial" w:hAnsi="Arial" w:cs="Arial"/>
                <w:sz w:val="20"/>
                <w:lang w:eastAsia="nl-NL"/>
              </w:rPr>
            </w:pPr>
            <w:r w:rsidRPr="00E70587">
              <w:rPr>
                <w:rFonts w:ascii="Arial" w:hAnsi="Arial" w:cs="Arial"/>
                <w:sz w:val="20"/>
                <w:lang w:eastAsia="nl-NL"/>
              </w:rPr>
              <w:t>0.5% increase</w:t>
            </w:r>
          </w:p>
        </w:tc>
        <w:tc>
          <w:tcPr>
            <w:tcW w:w="1898" w:type="dxa"/>
            <w:tcBorders>
              <w:bottom w:val="single" w:sz="4" w:space="0" w:color="auto"/>
            </w:tcBorders>
            <w:shd w:val="clear" w:color="auto" w:fill="auto"/>
            <w:vAlign w:val="bottom"/>
            <w:hideMark/>
          </w:tcPr>
          <w:p w14:paraId="2DE5B7F2" w14:textId="77777777" w:rsidR="00DE0F89" w:rsidRPr="00E70587" w:rsidRDefault="00DE0F89" w:rsidP="005F283E">
            <w:pPr>
              <w:spacing w:line="280" w:lineRule="exact"/>
              <w:jc w:val="center"/>
              <w:rPr>
                <w:rFonts w:ascii="Arial" w:hAnsi="Arial" w:cs="Arial"/>
                <w:sz w:val="20"/>
                <w:lang w:eastAsia="nl-NL"/>
              </w:rPr>
            </w:pPr>
            <w:r w:rsidRPr="00E70587">
              <w:rPr>
                <w:rFonts w:ascii="Arial" w:hAnsi="Arial" w:cs="Arial"/>
                <w:sz w:val="20"/>
                <w:lang w:eastAsia="nl-NL"/>
              </w:rPr>
              <w:t>0.5% decrease</w:t>
            </w:r>
          </w:p>
        </w:tc>
        <w:tc>
          <w:tcPr>
            <w:tcW w:w="1714" w:type="dxa"/>
            <w:tcBorders>
              <w:bottom w:val="single" w:sz="4" w:space="0" w:color="auto"/>
            </w:tcBorders>
            <w:shd w:val="clear" w:color="auto" w:fill="auto"/>
            <w:vAlign w:val="bottom"/>
            <w:hideMark/>
          </w:tcPr>
          <w:p w14:paraId="60CE856B" w14:textId="77777777" w:rsidR="00DE0F89" w:rsidRPr="00E70587" w:rsidRDefault="00DE0F89" w:rsidP="005F283E">
            <w:pPr>
              <w:spacing w:line="280" w:lineRule="exact"/>
              <w:jc w:val="center"/>
              <w:rPr>
                <w:rFonts w:ascii="Arial" w:hAnsi="Arial" w:cs="Arial"/>
                <w:sz w:val="20"/>
                <w:lang w:eastAsia="nl-NL"/>
              </w:rPr>
            </w:pPr>
            <w:r w:rsidRPr="00E70587">
              <w:rPr>
                <w:rFonts w:ascii="Arial" w:hAnsi="Arial" w:cs="Arial"/>
                <w:sz w:val="20"/>
                <w:lang w:eastAsia="nl-NL"/>
              </w:rPr>
              <w:t>5% increase</w:t>
            </w:r>
          </w:p>
        </w:tc>
        <w:tc>
          <w:tcPr>
            <w:tcW w:w="1900" w:type="dxa"/>
            <w:tcBorders>
              <w:bottom w:val="single" w:sz="4" w:space="0" w:color="auto"/>
            </w:tcBorders>
            <w:shd w:val="clear" w:color="auto" w:fill="auto"/>
            <w:vAlign w:val="bottom"/>
            <w:hideMark/>
          </w:tcPr>
          <w:p w14:paraId="6DE15726" w14:textId="77777777" w:rsidR="00DE0F89" w:rsidRPr="00E70587" w:rsidRDefault="00DE0F89" w:rsidP="005F283E">
            <w:pPr>
              <w:spacing w:line="280" w:lineRule="exact"/>
              <w:jc w:val="right"/>
              <w:rPr>
                <w:rFonts w:ascii="Arial" w:hAnsi="Arial" w:cs="Arial"/>
                <w:sz w:val="20"/>
                <w:lang w:eastAsia="nl-NL"/>
              </w:rPr>
            </w:pPr>
            <w:r w:rsidRPr="00E70587">
              <w:rPr>
                <w:rFonts w:ascii="Arial" w:hAnsi="Arial" w:cs="Arial"/>
                <w:sz w:val="20"/>
                <w:lang w:eastAsia="nl-NL"/>
              </w:rPr>
              <w:t>5% decrease</w:t>
            </w:r>
          </w:p>
        </w:tc>
      </w:tr>
      <w:tr w:rsidR="00DE0F89" w:rsidRPr="00E70587" w:rsidDel="00D63CE7" w14:paraId="5C5C3E9D" w14:textId="77777777" w:rsidTr="005F283E">
        <w:tc>
          <w:tcPr>
            <w:tcW w:w="2438" w:type="dxa"/>
            <w:shd w:val="clear" w:color="auto" w:fill="auto"/>
            <w:noWrap/>
            <w:vAlign w:val="center"/>
            <w:hideMark/>
          </w:tcPr>
          <w:p w14:paraId="41B72B22" w14:textId="77777777" w:rsidR="00DE0F89" w:rsidRPr="00E70587" w:rsidRDefault="00DE0F89" w:rsidP="005F283E">
            <w:pPr>
              <w:spacing w:line="280" w:lineRule="exact"/>
              <w:jc w:val="center"/>
              <w:rPr>
                <w:rFonts w:ascii="Arial" w:hAnsi="Arial" w:cs="Arial"/>
                <w:sz w:val="20"/>
                <w:lang w:eastAsia="nl-NL"/>
              </w:rPr>
            </w:pPr>
          </w:p>
        </w:tc>
        <w:tc>
          <w:tcPr>
            <w:tcW w:w="1626" w:type="dxa"/>
            <w:gridSpan w:val="2"/>
            <w:tcBorders>
              <w:top w:val="single" w:sz="4" w:space="0" w:color="auto"/>
              <w:bottom w:val="single" w:sz="4" w:space="0" w:color="auto"/>
            </w:tcBorders>
            <w:shd w:val="clear" w:color="auto" w:fill="auto"/>
            <w:noWrap/>
            <w:vAlign w:val="center"/>
            <w:hideMark/>
          </w:tcPr>
          <w:p w14:paraId="2AFE7E03" w14:textId="77777777" w:rsidR="00DE0F89" w:rsidRPr="00E70587" w:rsidRDefault="00DE0F89"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898" w:type="dxa"/>
            <w:tcBorders>
              <w:top w:val="single" w:sz="4" w:space="0" w:color="auto"/>
              <w:bottom w:val="single" w:sz="4" w:space="0" w:color="auto"/>
            </w:tcBorders>
            <w:shd w:val="clear" w:color="auto" w:fill="auto"/>
            <w:noWrap/>
            <w:vAlign w:val="center"/>
            <w:hideMark/>
          </w:tcPr>
          <w:p w14:paraId="0034F796" w14:textId="77777777" w:rsidR="00DE0F89" w:rsidRPr="00E70587" w:rsidRDefault="00DE0F89"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714" w:type="dxa"/>
            <w:tcBorders>
              <w:top w:val="single" w:sz="4" w:space="0" w:color="auto"/>
              <w:bottom w:val="single" w:sz="4" w:space="0" w:color="auto"/>
            </w:tcBorders>
            <w:shd w:val="clear" w:color="auto" w:fill="auto"/>
            <w:noWrap/>
            <w:vAlign w:val="center"/>
            <w:hideMark/>
          </w:tcPr>
          <w:p w14:paraId="0B0AD557" w14:textId="77777777" w:rsidR="00DE0F89" w:rsidRPr="00E70587" w:rsidRDefault="00DE0F89"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900" w:type="dxa"/>
            <w:tcBorders>
              <w:top w:val="single" w:sz="4" w:space="0" w:color="auto"/>
              <w:bottom w:val="single" w:sz="4" w:space="0" w:color="auto"/>
            </w:tcBorders>
            <w:shd w:val="clear" w:color="auto" w:fill="auto"/>
            <w:noWrap/>
            <w:vAlign w:val="center"/>
            <w:hideMark/>
          </w:tcPr>
          <w:p w14:paraId="39A725A7" w14:textId="77777777" w:rsidR="00DE0F89" w:rsidRPr="00E70587" w:rsidDel="00D63CE7" w:rsidRDefault="00DE0F89"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r>
      <w:tr w:rsidR="00DE0F89" w:rsidRPr="00E70587" w14:paraId="30A4860F" w14:textId="77777777" w:rsidTr="005F283E">
        <w:tc>
          <w:tcPr>
            <w:tcW w:w="2438" w:type="dxa"/>
            <w:tcBorders>
              <w:bottom w:val="single" w:sz="4" w:space="0" w:color="auto"/>
            </w:tcBorders>
            <w:shd w:val="clear" w:color="auto" w:fill="auto"/>
            <w:noWrap/>
            <w:vAlign w:val="center"/>
            <w:hideMark/>
          </w:tcPr>
          <w:p w14:paraId="59DAFE7A" w14:textId="77777777" w:rsidR="00DE0F89" w:rsidRPr="00E70587" w:rsidRDefault="00DE0F89" w:rsidP="005F283E">
            <w:pPr>
              <w:spacing w:line="280" w:lineRule="exact"/>
              <w:rPr>
                <w:rFonts w:ascii="Arial" w:hAnsi="Arial" w:cs="Arial"/>
                <w:sz w:val="20"/>
                <w:lang w:eastAsia="nl-NL"/>
              </w:rPr>
            </w:pPr>
            <w:r w:rsidRPr="00E70587">
              <w:rPr>
                <w:rFonts w:ascii="Arial" w:hAnsi="Arial" w:cs="Arial"/>
                <w:sz w:val="20"/>
              </w:rPr>
              <w:t>Impact on defined benefit obligation</w:t>
            </w:r>
          </w:p>
        </w:tc>
        <w:tc>
          <w:tcPr>
            <w:tcW w:w="1626" w:type="dxa"/>
            <w:gridSpan w:val="2"/>
            <w:tcBorders>
              <w:top w:val="single" w:sz="4" w:space="0" w:color="auto"/>
              <w:bottom w:val="single" w:sz="4" w:space="0" w:color="auto"/>
            </w:tcBorders>
            <w:shd w:val="clear" w:color="auto" w:fill="auto"/>
            <w:noWrap/>
            <w:vAlign w:val="center"/>
            <w:hideMark/>
          </w:tcPr>
          <w:p w14:paraId="4161684F" w14:textId="3AE58625" w:rsidR="00DE0F89" w:rsidRPr="00E70587" w:rsidRDefault="00DE0F89" w:rsidP="005F283E">
            <w:pPr>
              <w:spacing w:line="280" w:lineRule="exact"/>
              <w:jc w:val="center"/>
              <w:rPr>
                <w:rFonts w:ascii="Arial" w:hAnsi="Arial" w:cs="Arial"/>
                <w:sz w:val="20"/>
              </w:rPr>
            </w:pPr>
            <w:r w:rsidRPr="00E70587">
              <w:rPr>
                <w:rFonts w:ascii="Arial" w:hAnsi="Arial" w:cs="Arial"/>
                <w:sz w:val="20"/>
              </w:rPr>
              <w:t>(</w:t>
            </w:r>
            <w:r w:rsidR="00BD1941">
              <w:rPr>
                <w:rFonts w:ascii="Arial" w:hAnsi="Arial" w:cs="Arial"/>
                <w:sz w:val="20"/>
              </w:rPr>
              <w:t>642</w:t>
            </w:r>
            <w:r w:rsidRPr="00E70587">
              <w:rPr>
                <w:rFonts w:ascii="Arial" w:hAnsi="Arial" w:cs="Arial"/>
                <w:sz w:val="20"/>
              </w:rPr>
              <w:t>)</w:t>
            </w:r>
          </w:p>
        </w:tc>
        <w:tc>
          <w:tcPr>
            <w:tcW w:w="1898" w:type="dxa"/>
            <w:tcBorders>
              <w:top w:val="single" w:sz="4" w:space="0" w:color="auto"/>
              <w:bottom w:val="single" w:sz="4" w:space="0" w:color="auto"/>
            </w:tcBorders>
            <w:shd w:val="clear" w:color="auto" w:fill="auto"/>
            <w:noWrap/>
            <w:vAlign w:val="center"/>
            <w:hideMark/>
          </w:tcPr>
          <w:p w14:paraId="50EB7E4F" w14:textId="3DB891EB" w:rsidR="00DE0F89" w:rsidRPr="00E70587" w:rsidRDefault="004226D4" w:rsidP="005F283E">
            <w:pPr>
              <w:spacing w:line="280" w:lineRule="exact"/>
              <w:jc w:val="center"/>
              <w:rPr>
                <w:rFonts w:ascii="Arial" w:hAnsi="Arial" w:cs="Arial"/>
                <w:sz w:val="20"/>
              </w:rPr>
            </w:pPr>
            <w:r>
              <w:rPr>
                <w:rFonts w:ascii="Arial" w:hAnsi="Arial" w:cs="Arial"/>
                <w:sz w:val="20"/>
              </w:rPr>
              <w:t>61</w:t>
            </w:r>
            <w:r w:rsidR="00BD1941">
              <w:rPr>
                <w:rFonts w:ascii="Arial" w:hAnsi="Arial" w:cs="Arial"/>
                <w:sz w:val="20"/>
              </w:rPr>
              <w:t>0</w:t>
            </w:r>
          </w:p>
        </w:tc>
        <w:tc>
          <w:tcPr>
            <w:tcW w:w="1714" w:type="dxa"/>
            <w:tcBorders>
              <w:top w:val="single" w:sz="4" w:space="0" w:color="auto"/>
              <w:bottom w:val="single" w:sz="4" w:space="0" w:color="auto"/>
            </w:tcBorders>
            <w:shd w:val="clear" w:color="auto" w:fill="auto"/>
            <w:noWrap/>
            <w:vAlign w:val="center"/>
            <w:hideMark/>
          </w:tcPr>
          <w:p w14:paraId="75596DD8" w14:textId="27EACE13" w:rsidR="00DE0F89" w:rsidRPr="00E70587" w:rsidRDefault="00DE0F89" w:rsidP="005F283E">
            <w:pPr>
              <w:spacing w:line="280" w:lineRule="exact"/>
              <w:jc w:val="center"/>
              <w:rPr>
                <w:rFonts w:ascii="Arial" w:hAnsi="Arial" w:cs="Arial"/>
                <w:sz w:val="20"/>
              </w:rPr>
            </w:pPr>
            <w:r w:rsidRPr="00E70587">
              <w:rPr>
                <w:rFonts w:ascii="Arial" w:hAnsi="Arial" w:cs="Arial"/>
                <w:sz w:val="20"/>
              </w:rPr>
              <w:t>2</w:t>
            </w:r>
            <w:r>
              <w:rPr>
                <w:rFonts w:ascii="Arial" w:hAnsi="Arial" w:cs="Arial"/>
                <w:sz w:val="20"/>
              </w:rPr>
              <w:t>,</w:t>
            </w:r>
            <w:r w:rsidR="00BD1941">
              <w:rPr>
                <w:rFonts w:ascii="Arial" w:hAnsi="Arial" w:cs="Arial"/>
                <w:sz w:val="20"/>
              </w:rPr>
              <w:t>54</w:t>
            </w:r>
            <w:r w:rsidRPr="00E70587">
              <w:rPr>
                <w:rFonts w:ascii="Arial" w:hAnsi="Arial" w:cs="Arial"/>
                <w:sz w:val="20"/>
              </w:rPr>
              <w:t>0</w:t>
            </w:r>
          </w:p>
        </w:tc>
        <w:tc>
          <w:tcPr>
            <w:tcW w:w="1900" w:type="dxa"/>
            <w:tcBorders>
              <w:top w:val="single" w:sz="4" w:space="0" w:color="auto"/>
              <w:bottom w:val="single" w:sz="4" w:space="0" w:color="auto"/>
            </w:tcBorders>
            <w:shd w:val="clear" w:color="auto" w:fill="auto"/>
            <w:noWrap/>
            <w:vAlign w:val="center"/>
            <w:hideMark/>
          </w:tcPr>
          <w:p w14:paraId="02D7ECCF" w14:textId="2FE37421" w:rsidR="00DE0F89" w:rsidRPr="00E70587" w:rsidRDefault="00DE0F89" w:rsidP="005F283E">
            <w:pPr>
              <w:spacing w:line="280" w:lineRule="exact"/>
              <w:jc w:val="center"/>
              <w:rPr>
                <w:rFonts w:ascii="Arial" w:hAnsi="Arial" w:cs="Arial"/>
                <w:sz w:val="20"/>
              </w:rPr>
            </w:pPr>
            <w:r w:rsidRPr="00E70587">
              <w:rPr>
                <w:rFonts w:ascii="Arial" w:hAnsi="Arial" w:cs="Arial"/>
                <w:sz w:val="20"/>
              </w:rPr>
              <w:t>(</w:t>
            </w:r>
            <w:r w:rsidR="00BD1941">
              <w:rPr>
                <w:rFonts w:ascii="Arial" w:hAnsi="Arial" w:cs="Arial"/>
                <w:sz w:val="20"/>
              </w:rPr>
              <w:t>2,120</w:t>
            </w:r>
            <w:r w:rsidRPr="00E70587">
              <w:rPr>
                <w:rFonts w:ascii="Arial" w:hAnsi="Arial" w:cs="Arial"/>
                <w:sz w:val="20"/>
              </w:rPr>
              <w:t>)</w:t>
            </w:r>
          </w:p>
        </w:tc>
      </w:tr>
    </w:tbl>
    <w:p w14:paraId="263F1522" w14:textId="77777777" w:rsidR="00DE0F89" w:rsidRDefault="00DE0F89" w:rsidP="009901E1">
      <w:pPr>
        <w:spacing w:line="280" w:lineRule="exact"/>
        <w:rPr>
          <w:rFonts w:ascii="Arial" w:hAnsi="Arial" w:cs="Arial"/>
          <w:sz w:val="20"/>
        </w:rPr>
      </w:pPr>
    </w:p>
    <w:p w14:paraId="0B1C714A" w14:textId="39606A86" w:rsidR="00EF3762" w:rsidRDefault="00EF3762" w:rsidP="00B43785">
      <w:pPr>
        <w:pStyle w:val="IAStext"/>
        <w:spacing w:line="280" w:lineRule="exact"/>
        <w:rPr>
          <w:rFonts w:ascii="Arial" w:hAnsi="Arial" w:cs="Arial"/>
          <w:b/>
          <w:i w:val="0"/>
          <w:sz w:val="20"/>
          <w:lang w:val="en-IN"/>
        </w:rPr>
      </w:pPr>
    </w:p>
    <w:p w14:paraId="42E3728B" w14:textId="2AAE0C80" w:rsidR="00123EF7" w:rsidRDefault="00123EF7" w:rsidP="00123EF7"/>
    <w:p w14:paraId="72224158" w14:textId="2731CBAD" w:rsidR="00123EF7" w:rsidRDefault="00123EF7" w:rsidP="00123EF7"/>
    <w:p w14:paraId="3C5F6551" w14:textId="32BEBA7B" w:rsidR="00123EF7" w:rsidRDefault="00123EF7" w:rsidP="00123EF7"/>
    <w:p w14:paraId="5A04C34B" w14:textId="03C50072" w:rsidR="00123EF7" w:rsidRDefault="00123EF7" w:rsidP="00123EF7"/>
    <w:p w14:paraId="37AED3FB" w14:textId="4907115C" w:rsidR="00123EF7" w:rsidRDefault="00123EF7" w:rsidP="00123EF7"/>
    <w:p w14:paraId="2F31D3B5" w14:textId="2593A611" w:rsidR="00123EF7" w:rsidRDefault="00123EF7" w:rsidP="00123EF7"/>
    <w:p w14:paraId="2C568F74" w14:textId="0FCA0E3D" w:rsidR="00123EF7" w:rsidRDefault="00123EF7" w:rsidP="00123EF7"/>
    <w:p w14:paraId="5590FD5F" w14:textId="3654FCBB" w:rsidR="00123EF7" w:rsidRDefault="00123EF7" w:rsidP="00123EF7"/>
    <w:p w14:paraId="757055E4" w14:textId="719C025D" w:rsidR="00123EF7" w:rsidRDefault="00123EF7" w:rsidP="00123EF7"/>
    <w:p w14:paraId="0913916A" w14:textId="77777777" w:rsidR="00123EF7" w:rsidRPr="00123EF7" w:rsidRDefault="00123EF7" w:rsidP="00123EF7"/>
    <w:p w14:paraId="41A589C2" w14:textId="7AEA571A" w:rsidR="003B22DB" w:rsidRPr="00E70587" w:rsidRDefault="003B22DB" w:rsidP="00B43785">
      <w:pPr>
        <w:pStyle w:val="IAStext"/>
        <w:spacing w:line="280" w:lineRule="exact"/>
        <w:rPr>
          <w:rFonts w:ascii="Arial" w:hAnsi="Arial" w:cs="Arial"/>
          <w:b/>
          <w:i w:val="0"/>
          <w:sz w:val="20"/>
          <w:lang w:val="en-IN"/>
        </w:rPr>
      </w:pPr>
      <w:r w:rsidRPr="00E70587">
        <w:rPr>
          <w:rFonts w:ascii="Arial" w:hAnsi="Arial" w:cs="Arial"/>
          <w:b/>
          <w:i w:val="0"/>
          <w:sz w:val="20"/>
          <w:lang w:val="en-IN"/>
        </w:rPr>
        <w:t>US post-empl</w:t>
      </w:r>
      <w:r w:rsidR="00B43785" w:rsidRPr="00E70587">
        <w:rPr>
          <w:rFonts w:ascii="Arial" w:hAnsi="Arial" w:cs="Arial"/>
          <w:b/>
          <w:i w:val="0"/>
          <w:sz w:val="20"/>
          <w:lang w:val="en-IN"/>
        </w:rPr>
        <w:t>oyment healthcare benefit plan:</w:t>
      </w:r>
    </w:p>
    <w:p w14:paraId="06A2BA3C" w14:textId="77777777" w:rsidR="006E41FC" w:rsidRPr="00E70587" w:rsidRDefault="006E41FC" w:rsidP="009901E1">
      <w:pPr>
        <w:spacing w:line="280" w:lineRule="exact"/>
        <w:rPr>
          <w:rFonts w:ascii="Arial" w:hAnsi="Arial" w:cs="Arial"/>
          <w:sz w:val="20"/>
        </w:rPr>
      </w:pPr>
    </w:p>
    <w:tbl>
      <w:tblPr>
        <w:tblW w:w="9576" w:type="dxa"/>
        <w:tblLayout w:type="fixed"/>
        <w:tblCellMar>
          <w:left w:w="70" w:type="dxa"/>
          <w:right w:w="70" w:type="dxa"/>
        </w:tblCellMar>
        <w:tblLook w:val="04A0" w:firstRow="1" w:lastRow="0" w:firstColumn="1" w:lastColumn="0" w:noHBand="0" w:noVBand="1"/>
      </w:tblPr>
      <w:tblGrid>
        <w:gridCol w:w="2616"/>
        <w:gridCol w:w="994"/>
        <w:gridCol w:w="1364"/>
        <w:gridCol w:w="1174"/>
        <w:gridCol w:w="1176"/>
        <w:gridCol w:w="996"/>
        <w:gridCol w:w="1256"/>
      </w:tblGrid>
      <w:tr w:rsidR="00A17C17" w:rsidRPr="00E70587" w14:paraId="1596DC33" w14:textId="77777777" w:rsidTr="00834981">
        <w:tc>
          <w:tcPr>
            <w:tcW w:w="2616" w:type="dxa"/>
            <w:shd w:val="clear" w:color="auto" w:fill="auto"/>
            <w:noWrap/>
            <w:vAlign w:val="bottom"/>
          </w:tcPr>
          <w:p w14:paraId="2BCF52B6"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eastAsia="nl-NL"/>
              </w:rPr>
            </w:pPr>
          </w:p>
        </w:tc>
        <w:tc>
          <w:tcPr>
            <w:tcW w:w="994" w:type="dxa"/>
            <w:tcBorders>
              <w:top w:val="single" w:sz="4" w:space="0" w:color="auto"/>
              <w:bottom w:val="single" w:sz="4" w:space="0" w:color="auto"/>
            </w:tcBorders>
            <w:shd w:val="clear" w:color="auto" w:fill="auto"/>
            <w:vAlign w:val="bottom"/>
            <w:hideMark/>
          </w:tcPr>
          <w:p w14:paraId="4BA4CB76" w14:textId="3F2C62AE" w:rsidR="00A17C17" w:rsidRPr="00E70587" w:rsidRDefault="00A17C17" w:rsidP="00123EF7">
            <w:pPr>
              <w:pStyle w:val="Tablecolumnheading"/>
              <w:spacing w:line="280" w:lineRule="exact"/>
              <w:ind w:left="-136"/>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015180" w:rsidRPr="00E70587">
              <w:rPr>
                <w:rFonts w:ascii="Arial" w:hAnsi="Arial"/>
                <w:color w:val="auto"/>
                <w:sz w:val="20"/>
                <w:szCs w:val="20"/>
                <w:lang w:val="en-IN"/>
              </w:rPr>
              <w:t>20</w:t>
            </w:r>
            <w:r w:rsidR="00015180">
              <w:rPr>
                <w:rFonts w:ascii="Arial" w:hAnsi="Arial"/>
                <w:color w:val="auto"/>
                <w:sz w:val="20"/>
                <w:szCs w:val="20"/>
                <w:lang w:val="en-IN"/>
              </w:rPr>
              <w:t>21</w:t>
            </w:r>
          </w:p>
        </w:tc>
        <w:tc>
          <w:tcPr>
            <w:tcW w:w="1364" w:type="dxa"/>
            <w:tcBorders>
              <w:top w:val="single" w:sz="4" w:space="0" w:color="auto"/>
              <w:bottom w:val="single" w:sz="4" w:space="0" w:color="auto"/>
            </w:tcBorders>
            <w:shd w:val="clear" w:color="auto" w:fill="auto"/>
            <w:vAlign w:val="bottom"/>
            <w:hideMark/>
          </w:tcPr>
          <w:p w14:paraId="0C1E4251" w14:textId="24D2863A" w:rsidR="00A17C17" w:rsidRPr="00E70587" w:rsidRDefault="00A17C17" w:rsidP="009901E1">
            <w:pPr>
              <w:pStyle w:val="Tablecolumnheading"/>
              <w:spacing w:line="280" w:lineRule="exact"/>
              <w:ind w:right="95"/>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015180" w:rsidRPr="00E70587">
              <w:rPr>
                <w:rFonts w:ascii="Arial" w:hAnsi="Arial"/>
                <w:color w:val="auto"/>
                <w:sz w:val="20"/>
                <w:szCs w:val="20"/>
                <w:lang w:val="en-IN"/>
              </w:rPr>
              <w:t>20</w:t>
            </w:r>
            <w:r w:rsidR="00015180">
              <w:rPr>
                <w:rFonts w:ascii="Arial" w:hAnsi="Arial"/>
                <w:color w:val="auto"/>
                <w:sz w:val="20"/>
                <w:szCs w:val="20"/>
                <w:lang w:val="en-IN"/>
              </w:rPr>
              <w:t>2</w:t>
            </w:r>
            <w:r w:rsidR="00D30677">
              <w:rPr>
                <w:rFonts w:ascii="Arial" w:hAnsi="Arial"/>
                <w:color w:val="auto"/>
                <w:sz w:val="20"/>
                <w:szCs w:val="20"/>
                <w:lang w:val="en-IN"/>
              </w:rPr>
              <w:t>1</w:t>
            </w:r>
          </w:p>
        </w:tc>
        <w:tc>
          <w:tcPr>
            <w:tcW w:w="1174" w:type="dxa"/>
            <w:tcBorders>
              <w:top w:val="single" w:sz="4" w:space="0" w:color="auto"/>
              <w:bottom w:val="single" w:sz="4" w:space="0" w:color="auto"/>
            </w:tcBorders>
            <w:shd w:val="clear" w:color="auto" w:fill="auto"/>
            <w:vAlign w:val="bottom"/>
            <w:hideMark/>
          </w:tcPr>
          <w:p w14:paraId="7FE2C5BC" w14:textId="3B7430D1" w:rsidR="00A17C17" w:rsidRPr="00E70587" w:rsidRDefault="00A17C17" w:rsidP="009901E1">
            <w:pPr>
              <w:pStyle w:val="Tablecolumnheading"/>
              <w:spacing w:line="280" w:lineRule="exact"/>
              <w:ind w:right="84"/>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015180" w:rsidRPr="00E70587">
              <w:rPr>
                <w:rFonts w:ascii="Arial" w:hAnsi="Arial"/>
                <w:color w:val="auto"/>
                <w:sz w:val="20"/>
                <w:szCs w:val="20"/>
                <w:lang w:val="en-IN"/>
              </w:rPr>
              <w:t>20</w:t>
            </w:r>
            <w:r w:rsidR="00015180">
              <w:rPr>
                <w:rFonts w:ascii="Arial" w:hAnsi="Arial"/>
                <w:color w:val="auto"/>
                <w:sz w:val="20"/>
                <w:szCs w:val="20"/>
                <w:lang w:val="en-IN"/>
              </w:rPr>
              <w:t>21</w:t>
            </w:r>
          </w:p>
        </w:tc>
        <w:tc>
          <w:tcPr>
            <w:tcW w:w="1176" w:type="dxa"/>
            <w:tcBorders>
              <w:top w:val="single" w:sz="4" w:space="0" w:color="auto"/>
              <w:bottom w:val="single" w:sz="4" w:space="0" w:color="auto"/>
            </w:tcBorders>
            <w:shd w:val="clear" w:color="auto" w:fill="auto"/>
            <w:vAlign w:val="bottom"/>
            <w:hideMark/>
          </w:tcPr>
          <w:p w14:paraId="39C8B2DC" w14:textId="7381A248" w:rsidR="00A17C17" w:rsidRPr="00E70587" w:rsidRDefault="00A17C17" w:rsidP="009901E1">
            <w:pPr>
              <w:pStyle w:val="Tablecolumnheading"/>
              <w:spacing w:line="280" w:lineRule="exact"/>
              <w:ind w:right="95"/>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015180" w:rsidRPr="00E70587">
              <w:rPr>
                <w:rFonts w:ascii="Arial" w:hAnsi="Arial"/>
                <w:color w:val="auto"/>
                <w:sz w:val="20"/>
                <w:szCs w:val="20"/>
                <w:lang w:val="en-IN"/>
              </w:rPr>
              <w:t>20</w:t>
            </w:r>
            <w:r w:rsidR="00015180">
              <w:rPr>
                <w:rFonts w:ascii="Arial" w:hAnsi="Arial"/>
                <w:color w:val="auto"/>
                <w:sz w:val="20"/>
                <w:szCs w:val="20"/>
                <w:lang w:val="en-IN"/>
              </w:rPr>
              <w:t>2</w:t>
            </w:r>
            <w:r w:rsidR="00D30677">
              <w:rPr>
                <w:rFonts w:ascii="Arial" w:hAnsi="Arial"/>
                <w:color w:val="auto"/>
                <w:sz w:val="20"/>
                <w:szCs w:val="20"/>
                <w:lang w:val="en-IN"/>
              </w:rPr>
              <w:t>1</w:t>
            </w:r>
          </w:p>
        </w:tc>
        <w:tc>
          <w:tcPr>
            <w:tcW w:w="996" w:type="dxa"/>
            <w:tcBorders>
              <w:top w:val="single" w:sz="4" w:space="0" w:color="auto"/>
              <w:bottom w:val="single" w:sz="4" w:space="0" w:color="auto"/>
            </w:tcBorders>
            <w:shd w:val="clear" w:color="auto" w:fill="auto"/>
            <w:vAlign w:val="bottom"/>
            <w:hideMark/>
          </w:tcPr>
          <w:p w14:paraId="63827B9C" w14:textId="4F3B949F" w:rsidR="00A17C17" w:rsidRPr="00E70587" w:rsidRDefault="00A17C17" w:rsidP="00123EF7">
            <w:pPr>
              <w:pStyle w:val="Tablecolumnheading"/>
              <w:spacing w:line="280" w:lineRule="exact"/>
              <w:ind w:left="-162" w:right="34"/>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015180" w:rsidRPr="00E70587">
              <w:rPr>
                <w:rFonts w:ascii="Arial" w:hAnsi="Arial"/>
                <w:color w:val="auto"/>
                <w:sz w:val="20"/>
                <w:szCs w:val="20"/>
                <w:lang w:val="en-IN"/>
              </w:rPr>
              <w:t>20</w:t>
            </w:r>
            <w:r w:rsidR="00015180">
              <w:rPr>
                <w:rFonts w:ascii="Arial" w:hAnsi="Arial"/>
                <w:color w:val="auto"/>
                <w:sz w:val="20"/>
                <w:szCs w:val="20"/>
                <w:lang w:val="en-IN"/>
              </w:rPr>
              <w:t>21</w:t>
            </w:r>
          </w:p>
        </w:tc>
        <w:tc>
          <w:tcPr>
            <w:tcW w:w="1256" w:type="dxa"/>
            <w:tcBorders>
              <w:top w:val="single" w:sz="4" w:space="0" w:color="auto"/>
              <w:bottom w:val="single" w:sz="4" w:space="0" w:color="auto"/>
            </w:tcBorders>
            <w:shd w:val="clear" w:color="auto" w:fill="auto"/>
            <w:vAlign w:val="bottom"/>
            <w:hideMark/>
          </w:tcPr>
          <w:p w14:paraId="1FCCF9C6" w14:textId="3BC18A54" w:rsidR="00A17C17" w:rsidRPr="00E70587" w:rsidRDefault="00A17C17" w:rsidP="009901E1">
            <w:pPr>
              <w:pStyle w:val="Tablecolumnheading"/>
              <w:spacing w:line="280" w:lineRule="exact"/>
              <w:ind w:right="95"/>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015180" w:rsidRPr="00E70587">
              <w:rPr>
                <w:rFonts w:ascii="Arial" w:hAnsi="Arial"/>
                <w:color w:val="auto"/>
                <w:sz w:val="20"/>
                <w:szCs w:val="20"/>
                <w:lang w:val="en-IN"/>
              </w:rPr>
              <w:t>20</w:t>
            </w:r>
            <w:r w:rsidR="00015180">
              <w:rPr>
                <w:rFonts w:ascii="Arial" w:hAnsi="Arial"/>
                <w:color w:val="auto"/>
                <w:sz w:val="20"/>
                <w:szCs w:val="20"/>
                <w:lang w:val="en-IN"/>
              </w:rPr>
              <w:t>2</w:t>
            </w:r>
            <w:r w:rsidR="00D30677">
              <w:rPr>
                <w:rFonts w:ascii="Arial" w:hAnsi="Arial"/>
                <w:color w:val="auto"/>
                <w:sz w:val="20"/>
                <w:szCs w:val="20"/>
                <w:lang w:val="en-IN"/>
              </w:rPr>
              <w:t>1</w:t>
            </w:r>
          </w:p>
        </w:tc>
      </w:tr>
      <w:tr w:rsidR="00A17C17" w:rsidRPr="00E70587" w14:paraId="4E36278E" w14:textId="77777777" w:rsidTr="00834981">
        <w:tc>
          <w:tcPr>
            <w:tcW w:w="2616" w:type="dxa"/>
            <w:shd w:val="clear" w:color="auto" w:fill="auto"/>
            <w:hideMark/>
          </w:tcPr>
          <w:p w14:paraId="578A5E01"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Assumptions </w:t>
            </w:r>
          </w:p>
        </w:tc>
        <w:tc>
          <w:tcPr>
            <w:tcW w:w="2358" w:type="dxa"/>
            <w:gridSpan w:val="2"/>
            <w:shd w:val="clear" w:color="auto" w:fill="auto"/>
            <w:hideMark/>
          </w:tcPr>
          <w:p w14:paraId="72451F28"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Estimated healthcare cost increase rate</w:t>
            </w:r>
          </w:p>
        </w:tc>
        <w:tc>
          <w:tcPr>
            <w:tcW w:w="2350" w:type="dxa"/>
            <w:gridSpan w:val="2"/>
            <w:shd w:val="clear" w:color="auto" w:fill="auto"/>
            <w:hideMark/>
          </w:tcPr>
          <w:p w14:paraId="60C936B8"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Discount rate</w:t>
            </w:r>
          </w:p>
        </w:tc>
        <w:tc>
          <w:tcPr>
            <w:tcW w:w="2252" w:type="dxa"/>
            <w:gridSpan w:val="2"/>
            <w:shd w:val="clear" w:color="auto" w:fill="auto"/>
            <w:hideMark/>
          </w:tcPr>
          <w:p w14:paraId="22450DFB"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Future salary increases</w:t>
            </w:r>
          </w:p>
        </w:tc>
      </w:tr>
      <w:tr w:rsidR="00A17C17" w:rsidRPr="00E70587" w14:paraId="6FFF02EE" w14:textId="77777777" w:rsidTr="00834981">
        <w:tc>
          <w:tcPr>
            <w:tcW w:w="2616" w:type="dxa"/>
            <w:shd w:val="clear" w:color="auto" w:fill="auto"/>
            <w:noWrap/>
            <w:vAlign w:val="bottom"/>
            <w:hideMark/>
          </w:tcPr>
          <w:p w14:paraId="0E985678"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eastAsia="nl-NL"/>
              </w:rPr>
            </w:pPr>
            <w:r w:rsidRPr="00E70587">
              <w:rPr>
                <w:rFonts w:ascii="Arial" w:hAnsi="Arial" w:cs="Arial"/>
                <w:b/>
                <w:sz w:val="20"/>
                <w:lang w:val="en-IN"/>
              </w:rPr>
              <w:t>Sensitivity Level</w:t>
            </w:r>
          </w:p>
        </w:tc>
        <w:tc>
          <w:tcPr>
            <w:tcW w:w="994" w:type="dxa"/>
            <w:tcBorders>
              <w:bottom w:val="single" w:sz="4" w:space="0" w:color="auto"/>
            </w:tcBorders>
            <w:shd w:val="clear" w:color="auto" w:fill="auto"/>
            <w:vAlign w:val="bottom"/>
            <w:hideMark/>
          </w:tcPr>
          <w:p w14:paraId="0539F1F2" w14:textId="77777777" w:rsidR="00A17C17" w:rsidRPr="00E70587" w:rsidRDefault="00A17C17" w:rsidP="009901E1">
            <w:pPr>
              <w:spacing w:line="280" w:lineRule="exact"/>
              <w:jc w:val="center"/>
              <w:rPr>
                <w:rFonts w:ascii="Arial" w:hAnsi="Arial" w:cs="Arial"/>
                <w:sz w:val="20"/>
                <w:lang w:eastAsia="nl-NL"/>
              </w:rPr>
            </w:pPr>
            <w:r w:rsidRPr="00E70587">
              <w:rPr>
                <w:rFonts w:ascii="Arial" w:hAnsi="Arial" w:cs="Arial"/>
                <w:sz w:val="20"/>
                <w:lang w:eastAsia="nl-NL"/>
              </w:rPr>
              <w:t>1% increase</w:t>
            </w:r>
          </w:p>
        </w:tc>
        <w:tc>
          <w:tcPr>
            <w:tcW w:w="1364" w:type="dxa"/>
            <w:tcBorders>
              <w:bottom w:val="single" w:sz="4" w:space="0" w:color="auto"/>
            </w:tcBorders>
            <w:shd w:val="clear" w:color="auto" w:fill="auto"/>
            <w:vAlign w:val="bottom"/>
            <w:hideMark/>
          </w:tcPr>
          <w:p w14:paraId="1B0374CF" w14:textId="77777777" w:rsidR="00A17C17" w:rsidRPr="00E70587" w:rsidRDefault="00A17C17" w:rsidP="009901E1">
            <w:pPr>
              <w:spacing w:line="280" w:lineRule="exact"/>
              <w:jc w:val="center"/>
              <w:rPr>
                <w:rFonts w:ascii="Arial" w:hAnsi="Arial" w:cs="Arial"/>
                <w:sz w:val="20"/>
                <w:lang w:eastAsia="nl-NL"/>
              </w:rPr>
            </w:pPr>
            <w:r w:rsidRPr="00E70587">
              <w:rPr>
                <w:rFonts w:ascii="Arial" w:hAnsi="Arial" w:cs="Arial"/>
                <w:sz w:val="20"/>
                <w:lang w:eastAsia="nl-NL"/>
              </w:rPr>
              <w:t>1% decrease</w:t>
            </w:r>
          </w:p>
        </w:tc>
        <w:tc>
          <w:tcPr>
            <w:tcW w:w="1174" w:type="dxa"/>
            <w:tcBorders>
              <w:bottom w:val="single" w:sz="4" w:space="0" w:color="auto"/>
            </w:tcBorders>
            <w:shd w:val="clear" w:color="auto" w:fill="auto"/>
            <w:vAlign w:val="bottom"/>
            <w:hideMark/>
          </w:tcPr>
          <w:p w14:paraId="6EA4DCE6" w14:textId="77777777" w:rsidR="00A17C17" w:rsidRPr="00E70587" w:rsidRDefault="00A17C17" w:rsidP="009901E1">
            <w:pPr>
              <w:spacing w:line="280" w:lineRule="exact"/>
              <w:jc w:val="center"/>
              <w:rPr>
                <w:rFonts w:ascii="Arial" w:hAnsi="Arial" w:cs="Arial"/>
                <w:sz w:val="20"/>
                <w:lang w:eastAsia="nl-NL"/>
              </w:rPr>
            </w:pPr>
            <w:r w:rsidRPr="00E70587">
              <w:rPr>
                <w:rFonts w:ascii="Arial" w:hAnsi="Arial" w:cs="Arial"/>
                <w:sz w:val="20"/>
                <w:lang w:eastAsia="nl-NL"/>
              </w:rPr>
              <w:t>0.5% increase</w:t>
            </w:r>
          </w:p>
        </w:tc>
        <w:tc>
          <w:tcPr>
            <w:tcW w:w="1176" w:type="dxa"/>
            <w:tcBorders>
              <w:bottom w:val="single" w:sz="4" w:space="0" w:color="auto"/>
            </w:tcBorders>
            <w:shd w:val="clear" w:color="auto" w:fill="auto"/>
            <w:vAlign w:val="bottom"/>
            <w:hideMark/>
          </w:tcPr>
          <w:p w14:paraId="45BB4A22" w14:textId="77777777" w:rsidR="00A17C17" w:rsidRPr="00E70587" w:rsidRDefault="00A17C17" w:rsidP="009901E1">
            <w:pPr>
              <w:spacing w:line="280" w:lineRule="exact"/>
              <w:jc w:val="center"/>
              <w:rPr>
                <w:rFonts w:ascii="Arial" w:hAnsi="Arial" w:cs="Arial"/>
                <w:sz w:val="20"/>
                <w:lang w:eastAsia="nl-NL"/>
              </w:rPr>
            </w:pPr>
            <w:r w:rsidRPr="00E70587">
              <w:rPr>
                <w:rFonts w:ascii="Arial" w:hAnsi="Arial" w:cs="Arial"/>
                <w:sz w:val="20"/>
                <w:lang w:eastAsia="nl-NL"/>
              </w:rPr>
              <w:t>0.5% decrease</w:t>
            </w:r>
          </w:p>
        </w:tc>
        <w:tc>
          <w:tcPr>
            <w:tcW w:w="996" w:type="dxa"/>
            <w:tcBorders>
              <w:bottom w:val="single" w:sz="4" w:space="0" w:color="auto"/>
            </w:tcBorders>
            <w:shd w:val="clear" w:color="auto" w:fill="auto"/>
            <w:vAlign w:val="bottom"/>
            <w:hideMark/>
          </w:tcPr>
          <w:p w14:paraId="3D17C774" w14:textId="77777777" w:rsidR="00A17C17" w:rsidRPr="00E70587" w:rsidRDefault="00A17C17" w:rsidP="009901E1">
            <w:pPr>
              <w:spacing w:line="280" w:lineRule="exact"/>
              <w:jc w:val="center"/>
              <w:rPr>
                <w:rFonts w:ascii="Arial" w:hAnsi="Arial" w:cs="Arial"/>
                <w:sz w:val="20"/>
                <w:lang w:eastAsia="nl-NL"/>
              </w:rPr>
            </w:pPr>
            <w:r w:rsidRPr="00E70587">
              <w:rPr>
                <w:rFonts w:ascii="Arial" w:hAnsi="Arial" w:cs="Arial"/>
                <w:sz w:val="20"/>
                <w:lang w:eastAsia="nl-NL"/>
              </w:rPr>
              <w:t>0.5% increase</w:t>
            </w:r>
          </w:p>
        </w:tc>
        <w:tc>
          <w:tcPr>
            <w:tcW w:w="1256" w:type="dxa"/>
            <w:tcBorders>
              <w:bottom w:val="single" w:sz="4" w:space="0" w:color="auto"/>
            </w:tcBorders>
            <w:shd w:val="clear" w:color="auto" w:fill="auto"/>
            <w:vAlign w:val="bottom"/>
            <w:hideMark/>
          </w:tcPr>
          <w:p w14:paraId="544B8375" w14:textId="77777777" w:rsidR="00A17C17" w:rsidRPr="00E70587" w:rsidRDefault="00A17C17" w:rsidP="009901E1">
            <w:pPr>
              <w:spacing w:line="280" w:lineRule="exact"/>
              <w:jc w:val="center"/>
              <w:rPr>
                <w:rFonts w:ascii="Arial" w:hAnsi="Arial" w:cs="Arial"/>
                <w:sz w:val="20"/>
                <w:lang w:eastAsia="nl-NL"/>
              </w:rPr>
            </w:pPr>
            <w:r w:rsidRPr="00E70587">
              <w:rPr>
                <w:rFonts w:ascii="Arial" w:hAnsi="Arial" w:cs="Arial"/>
                <w:sz w:val="20"/>
                <w:lang w:eastAsia="nl-NL"/>
              </w:rPr>
              <w:t>0.5% decrease</w:t>
            </w:r>
          </w:p>
        </w:tc>
      </w:tr>
      <w:tr w:rsidR="00A17C17" w:rsidRPr="00E70587" w:rsidDel="00D63CE7" w14:paraId="3A6D37A2" w14:textId="77777777" w:rsidTr="00834981">
        <w:tc>
          <w:tcPr>
            <w:tcW w:w="2616" w:type="dxa"/>
            <w:shd w:val="clear" w:color="auto" w:fill="auto"/>
            <w:noWrap/>
            <w:vAlign w:val="center"/>
            <w:hideMark/>
          </w:tcPr>
          <w:p w14:paraId="25206617" w14:textId="77777777" w:rsidR="00A17C17" w:rsidRPr="00E70587" w:rsidRDefault="00A17C17" w:rsidP="009901E1">
            <w:pPr>
              <w:spacing w:line="280" w:lineRule="exact"/>
              <w:rPr>
                <w:rFonts w:ascii="Arial" w:hAnsi="Arial" w:cs="Arial"/>
                <w:sz w:val="20"/>
                <w:lang w:eastAsia="nl-NL"/>
              </w:rPr>
            </w:pPr>
          </w:p>
        </w:tc>
        <w:tc>
          <w:tcPr>
            <w:tcW w:w="994" w:type="dxa"/>
            <w:tcBorders>
              <w:top w:val="single" w:sz="4" w:space="0" w:color="auto"/>
              <w:bottom w:val="single" w:sz="4" w:space="0" w:color="auto"/>
            </w:tcBorders>
            <w:shd w:val="clear" w:color="auto" w:fill="auto"/>
            <w:noWrap/>
            <w:vAlign w:val="center"/>
            <w:hideMark/>
          </w:tcPr>
          <w:p w14:paraId="66F93D1F"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364" w:type="dxa"/>
            <w:tcBorders>
              <w:top w:val="single" w:sz="4" w:space="0" w:color="auto"/>
              <w:bottom w:val="single" w:sz="4" w:space="0" w:color="auto"/>
            </w:tcBorders>
            <w:shd w:val="clear" w:color="auto" w:fill="auto"/>
            <w:noWrap/>
            <w:vAlign w:val="center"/>
            <w:hideMark/>
          </w:tcPr>
          <w:p w14:paraId="02AAB405"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174" w:type="dxa"/>
            <w:tcBorders>
              <w:top w:val="single" w:sz="4" w:space="0" w:color="auto"/>
              <w:bottom w:val="single" w:sz="4" w:space="0" w:color="auto"/>
            </w:tcBorders>
            <w:shd w:val="clear" w:color="auto" w:fill="auto"/>
            <w:noWrap/>
            <w:vAlign w:val="center"/>
            <w:hideMark/>
          </w:tcPr>
          <w:p w14:paraId="69C8CA8D"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176" w:type="dxa"/>
            <w:tcBorders>
              <w:top w:val="single" w:sz="4" w:space="0" w:color="auto"/>
              <w:bottom w:val="single" w:sz="4" w:space="0" w:color="auto"/>
            </w:tcBorders>
            <w:shd w:val="clear" w:color="auto" w:fill="auto"/>
            <w:noWrap/>
            <w:vAlign w:val="center"/>
            <w:hideMark/>
          </w:tcPr>
          <w:p w14:paraId="570F7FE8"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996" w:type="dxa"/>
            <w:tcBorders>
              <w:top w:val="single" w:sz="4" w:space="0" w:color="auto"/>
              <w:bottom w:val="single" w:sz="4" w:space="0" w:color="auto"/>
            </w:tcBorders>
            <w:shd w:val="clear" w:color="auto" w:fill="auto"/>
            <w:noWrap/>
            <w:vAlign w:val="center"/>
            <w:hideMark/>
          </w:tcPr>
          <w:p w14:paraId="08AABB5B"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256" w:type="dxa"/>
            <w:tcBorders>
              <w:top w:val="single" w:sz="4" w:space="0" w:color="auto"/>
              <w:bottom w:val="single" w:sz="4" w:space="0" w:color="auto"/>
            </w:tcBorders>
            <w:shd w:val="clear" w:color="auto" w:fill="auto"/>
            <w:noWrap/>
            <w:vAlign w:val="center"/>
            <w:hideMark/>
          </w:tcPr>
          <w:p w14:paraId="18E23DE5" w14:textId="77777777" w:rsidR="00A17C17" w:rsidRPr="00E70587" w:rsidDel="00D63CE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r>
      <w:tr w:rsidR="00A17C17" w:rsidRPr="00E70587" w14:paraId="08F32815" w14:textId="77777777" w:rsidTr="00834981">
        <w:tc>
          <w:tcPr>
            <w:tcW w:w="2616" w:type="dxa"/>
            <w:tcBorders>
              <w:bottom w:val="single" w:sz="4" w:space="0" w:color="auto"/>
            </w:tcBorders>
            <w:shd w:val="clear" w:color="auto" w:fill="auto"/>
            <w:noWrap/>
            <w:vAlign w:val="center"/>
            <w:hideMark/>
          </w:tcPr>
          <w:p w14:paraId="0AFC1999" w14:textId="77777777" w:rsidR="00A17C17" w:rsidRPr="00E70587" w:rsidRDefault="00A17C17" w:rsidP="009901E1">
            <w:pPr>
              <w:spacing w:line="280" w:lineRule="exact"/>
              <w:rPr>
                <w:rFonts w:ascii="Arial" w:hAnsi="Arial" w:cs="Arial"/>
                <w:sz w:val="20"/>
                <w:lang w:eastAsia="nl-NL"/>
              </w:rPr>
            </w:pPr>
            <w:r w:rsidRPr="00E70587">
              <w:rPr>
                <w:rFonts w:ascii="Arial" w:hAnsi="Arial" w:cs="Arial"/>
                <w:sz w:val="20"/>
              </w:rPr>
              <w:t>Impact on defined benefit obligation</w:t>
            </w:r>
          </w:p>
        </w:tc>
        <w:tc>
          <w:tcPr>
            <w:tcW w:w="994" w:type="dxa"/>
            <w:tcBorders>
              <w:top w:val="single" w:sz="4" w:space="0" w:color="auto"/>
              <w:bottom w:val="single" w:sz="4" w:space="0" w:color="auto"/>
            </w:tcBorders>
            <w:shd w:val="clear" w:color="auto" w:fill="auto"/>
            <w:noWrap/>
            <w:vAlign w:val="center"/>
            <w:hideMark/>
          </w:tcPr>
          <w:p w14:paraId="046EAA99" w14:textId="77777777" w:rsidR="00A17C17" w:rsidRPr="00E70587" w:rsidRDefault="00A17C17" w:rsidP="009901E1">
            <w:pPr>
              <w:spacing w:line="280" w:lineRule="exact"/>
              <w:jc w:val="center"/>
              <w:rPr>
                <w:rFonts w:ascii="Arial" w:hAnsi="Arial" w:cs="Arial"/>
                <w:sz w:val="20"/>
              </w:rPr>
            </w:pPr>
            <w:r w:rsidRPr="00E70587">
              <w:rPr>
                <w:rFonts w:ascii="Arial" w:hAnsi="Arial" w:cs="Arial"/>
                <w:sz w:val="20"/>
              </w:rPr>
              <w:t>198</w:t>
            </w:r>
          </w:p>
        </w:tc>
        <w:tc>
          <w:tcPr>
            <w:tcW w:w="1364" w:type="dxa"/>
            <w:tcBorders>
              <w:top w:val="single" w:sz="4" w:space="0" w:color="auto"/>
              <w:bottom w:val="single" w:sz="4" w:space="0" w:color="auto"/>
            </w:tcBorders>
            <w:shd w:val="clear" w:color="auto" w:fill="auto"/>
            <w:noWrap/>
            <w:vAlign w:val="center"/>
            <w:hideMark/>
          </w:tcPr>
          <w:p w14:paraId="249362E9" w14:textId="77777777" w:rsidR="00A17C17" w:rsidRPr="00E70587" w:rsidRDefault="00A17C17" w:rsidP="009901E1">
            <w:pPr>
              <w:spacing w:line="280" w:lineRule="exact"/>
              <w:jc w:val="center"/>
              <w:rPr>
                <w:rFonts w:ascii="Arial" w:hAnsi="Arial" w:cs="Arial"/>
                <w:sz w:val="20"/>
              </w:rPr>
            </w:pPr>
            <w:r w:rsidRPr="00E70587">
              <w:rPr>
                <w:rFonts w:ascii="Arial" w:hAnsi="Arial" w:cs="Arial"/>
                <w:sz w:val="20"/>
              </w:rPr>
              <w:t>(162)</w:t>
            </w:r>
          </w:p>
        </w:tc>
        <w:tc>
          <w:tcPr>
            <w:tcW w:w="1174" w:type="dxa"/>
            <w:tcBorders>
              <w:top w:val="single" w:sz="4" w:space="0" w:color="auto"/>
              <w:bottom w:val="single" w:sz="4" w:space="0" w:color="auto"/>
            </w:tcBorders>
            <w:shd w:val="clear" w:color="auto" w:fill="auto"/>
            <w:noWrap/>
            <w:vAlign w:val="center"/>
            <w:hideMark/>
          </w:tcPr>
          <w:p w14:paraId="45464861" w14:textId="77777777" w:rsidR="00A17C17" w:rsidRPr="00E70587" w:rsidRDefault="00A17C17" w:rsidP="009901E1">
            <w:pPr>
              <w:spacing w:line="280" w:lineRule="exact"/>
              <w:jc w:val="center"/>
              <w:rPr>
                <w:rFonts w:ascii="Arial" w:hAnsi="Arial" w:cs="Arial"/>
                <w:sz w:val="20"/>
              </w:rPr>
            </w:pPr>
            <w:r w:rsidRPr="00E70587">
              <w:rPr>
                <w:rFonts w:ascii="Arial" w:hAnsi="Arial" w:cs="Arial"/>
                <w:sz w:val="20"/>
              </w:rPr>
              <w:t>(594)</w:t>
            </w:r>
          </w:p>
        </w:tc>
        <w:tc>
          <w:tcPr>
            <w:tcW w:w="1176" w:type="dxa"/>
            <w:tcBorders>
              <w:top w:val="single" w:sz="4" w:space="0" w:color="auto"/>
              <w:bottom w:val="single" w:sz="4" w:space="0" w:color="auto"/>
            </w:tcBorders>
            <w:shd w:val="clear" w:color="auto" w:fill="auto"/>
            <w:noWrap/>
            <w:vAlign w:val="center"/>
            <w:hideMark/>
          </w:tcPr>
          <w:p w14:paraId="345392DF" w14:textId="77777777" w:rsidR="00A17C17" w:rsidRPr="00E70587" w:rsidRDefault="00A17C17" w:rsidP="009901E1">
            <w:pPr>
              <w:spacing w:line="280" w:lineRule="exact"/>
              <w:jc w:val="center"/>
              <w:rPr>
                <w:rFonts w:ascii="Arial" w:hAnsi="Arial" w:cs="Arial"/>
                <w:sz w:val="20"/>
              </w:rPr>
            </w:pPr>
            <w:r w:rsidRPr="00E70587">
              <w:rPr>
                <w:rFonts w:ascii="Arial" w:hAnsi="Arial" w:cs="Arial"/>
                <w:sz w:val="20"/>
              </w:rPr>
              <w:t>576</w:t>
            </w:r>
          </w:p>
        </w:tc>
        <w:tc>
          <w:tcPr>
            <w:tcW w:w="996" w:type="dxa"/>
            <w:tcBorders>
              <w:top w:val="single" w:sz="4" w:space="0" w:color="auto"/>
              <w:bottom w:val="single" w:sz="4" w:space="0" w:color="auto"/>
            </w:tcBorders>
            <w:shd w:val="clear" w:color="auto" w:fill="auto"/>
            <w:noWrap/>
            <w:vAlign w:val="center"/>
            <w:hideMark/>
          </w:tcPr>
          <w:p w14:paraId="0536427E" w14:textId="77777777" w:rsidR="00A17C17" w:rsidRPr="00E70587" w:rsidRDefault="00A17C17" w:rsidP="009901E1">
            <w:pPr>
              <w:spacing w:line="280" w:lineRule="exact"/>
              <w:jc w:val="center"/>
              <w:rPr>
                <w:rFonts w:ascii="Arial" w:hAnsi="Arial" w:cs="Arial"/>
                <w:sz w:val="20"/>
              </w:rPr>
            </w:pPr>
            <w:r w:rsidRPr="00E70587">
              <w:rPr>
                <w:rFonts w:ascii="Arial" w:hAnsi="Arial" w:cs="Arial"/>
                <w:sz w:val="20"/>
              </w:rPr>
              <w:t>234</w:t>
            </w:r>
          </w:p>
        </w:tc>
        <w:tc>
          <w:tcPr>
            <w:tcW w:w="1256" w:type="dxa"/>
            <w:tcBorders>
              <w:top w:val="single" w:sz="4" w:space="0" w:color="auto"/>
              <w:bottom w:val="single" w:sz="4" w:space="0" w:color="auto"/>
            </w:tcBorders>
            <w:shd w:val="clear" w:color="auto" w:fill="auto"/>
            <w:noWrap/>
            <w:vAlign w:val="center"/>
            <w:hideMark/>
          </w:tcPr>
          <w:p w14:paraId="0DA18836" w14:textId="77777777" w:rsidR="00A17C17" w:rsidRPr="00E70587" w:rsidRDefault="00A17C17" w:rsidP="009901E1">
            <w:pPr>
              <w:spacing w:line="280" w:lineRule="exact"/>
              <w:jc w:val="center"/>
              <w:rPr>
                <w:rFonts w:ascii="Arial" w:hAnsi="Arial" w:cs="Arial"/>
                <w:sz w:val="20"/>
              </w:rPr>
            </w:pPr>
            <w:r w:rsidRPr="00E70587">
              <w:rPr>
                <w:rFonts w:ascii="Arial" w:hAnsi="Arial" w:cs="Arial"/>
                <w:sz w:val="20"/>
              </w:rPr>
              <w:t>(252)</w:t>
            </w:r>
          </w:p>
        </w:tc>
      </w:tr>
    </w:tbl>
    <w:p w14:paraId="73556466" w14:textId="0E46D67D" w:rsidR="003B22DB" w:rsidRDefault="003B22DB" w:rsidP="009901E1">
      <w:pPr>
        <w:pStyle w:val="tabletext"/>
        <w:overflowPunct w:val="0"/>
        <w:autoSpaceDE w:val="0"/>
        <w:autoSpaceDN w:val="0"/>
        <w:adjustRightInd w:val="0"/>
        <w:spacing w:line="280" w:lineRule="exact"/>
        <w:textAlignment w:val="baseline"/>
        <w:rPr>
          <w:rFonts w:ascii="Arial" w:hAnsi="Arial" w:cs="Arial"/>
          <w:sz w:val="20"/>
          <w:lang w:val="en-IN"/>
        </w:rPr>
      </w:pPr>
    </w:p>
    <w:p w14:paraId="4E9F3427" w14:textId="4CA0A597" w:rsidR="00B72D5D" w:rsidRDefault="00B72D5D" w:rsidP="009901E1">
      <w:pPr>
        <w:pStyle w:val="tabletext"/>
        <w:overflowPunct w:val="0"/>
        <w:autoSpaceDE w:val="0"/>
        <w:autoSpaceDN w:val="0"/>
        <w:adjustRightInd w:val="0"/>
        <w:spacing w:line="280" w:lineRule="exact"/>
        <w:textAlignment w:val="baseline"/>
        <w:rPr>
          <w:rFonts w:ascii="Arial" w:hAnsi="Arial" w:cs="Arial"/>
          <w:sz w:val="20"/>
          <w:lang w:val="en-IN"/>
        </w:rPr>
      </w:pPr>
    </w:p>
    <w:tbl>
      <w:tblPr>
        <w:tblW w:w="9576" w:type="dxa"/>
        <w:tblLayout w:type="fixed"/>
        <w:tblCellMar>
          <w:left w:w="70" w:type="dxa"/>
          <w:right w:w="70" w:type="dxa"/>
        </w:tblCellMar>
        <w:tblLook w:val="04A0" w:firstRow="1" w:lastRow="0" w:firstColumn="1" w:lastColumn="0" w:noHBand="0" w:noVBand="1"/>
      </w:tblPr>
      <w:tblGrid>
        <w:gridCol w:w="2616"/>
        <w:gridCol w:w="994"/>
        <w:gridCol w:w="1364"/>
        <w:gridCol w:w="1174"/>
        <w:gridCol w:w="1176"/>
        <w:gridCol w:w="996"/>
        <w:gridCol w:w="1256"/>
      </w:tblGrid>
      <w:tr w:rsidR="00B72D5D" w:rsidRPr="00E70587" w14:paraId="33AA7493" w14:textId="77777777" w:rsidTr="005F283E">
        <w:tc>
          <w:tcPr>
            <w:tcW w:w="2616" w:type="dxa"/>
            <w:shd w:val="clear" w:color="auto" w:fill="auto"/>
            <w:noWrap/>
            <w:vAlign w:val="bottom"/>
          </w:tcPr>
          <w:p w14:paraId="6A71ABD3" w14:textId="77777777" w:rsidR="00B72D5D" w:rsidRPr="00E70587" w:rsidRDefault="00B72D5D" w:rsidP="005F283E">
            <w:pPr>
              <w:pStyle w:val="tabletext"/>
              <w:overflowPunct w:val="0"/>
              <w:autoSpaceDE w:val="0"/>
              <w:autoSpaceDN w:val="0"/>
              <w:adjustRightInd w:val="0"/>
              <w:spacing w:line="280" w:lineRule="exact"/>
              <w:textAlignment w:val="baseline"/>
              <w:rPr>
                <w:rFonts w:ascii="Arial" w:hAnsi="Arial" w:cs="Arial"/>
                <w:sz w:val="20"/>
                <w:lang w:val="en-IN" w:eastAsia="nl-NL"/>
              </w:rPr>
            </w:pPr>
          </w:p>
        </w:tc>
        <w:tc>
          <w:tcPr>
            <w:tcW w:w="994" w:type="dxa"/>
            <w:tcBorders>
              <w:top w:val="single" w:sz="4" w:space="0" w:color="auto"/>
              <w:bottom w:val="single" w:sz="4" w:space="0" w:color="auto"/>
            </w:tcBorders>
            <w:shd w:val="clear" w:color="auto" w:fill="auto"/>
            <w:vAlign w:val="bottom"/>
            <w:hideMark/>
          </w:tcPr>
          <w:p w14:paraId="25D9B6F7" w14:textId="68F566D0" w:rsidR="00B72D5D" w:rsidRPr="00E70587" w:rsidRDefault="00B72D5D" w:rsidP="005F283E">
            <w:pPr>
              <w:pStyle w:val="Tablecolumnheading"/>
              <w:spacing w:line="280" w:lineRule="exact"/>
              <w:ind w:left="-136"/>
              <w:rPr>
                <w:rFonts w:ascii="Arial" w:hAnsi="Arial"/>
                <w:color w:val="auto"/>
                <w:sz w:val="20"/>
                <w:szCs w:val="20"/>
                <w:lang w:val="en-IN"/>
              </w:rPr>
            </w:pPr>
            <w:r w:rsidRPr="00E70587">
              <w:rPr>
                <w:rFonts w:ascii="Arial" w:hAnsi="Arial"/>
                <w:color w:val="auto"/>
                <w:sz w:val="20"/>
                <w:szCs w:val="20"/>
                <w:lang w:val="en-IN"/>
              </w:rPr>
              <w:t>31 March 20</w:t>
            </w:r>
            <w:r>
              <w:rPr>
                <w:rFonts w:ascii="Arial" w:hAnsi="Arial"/>
                <w:color w:val="auto"/>
                <w:sz w:val="20"/>
                <w:szCs w:val="20"/>
                <w:lang w:val="en-IN"/>
              </w:rPr>
              <w:t>2</w:t>
            </w:r>
            <w:r w:rsidR="00CC7C88">
              <w:rPr>
                <w:rFonts w:ascii="Arial" w:hAnsi="Arial"/>
                <w:color w:val="auto"/>
                <w:sz w:val="20"/>
                <w:szCs w:val="20"/>
                <w:lang w:val="en-IN"/>
              </w:rPr>
              <w:t>0</w:t>
            </w:r>
          </w:p>
        </w:tc>
        <w:tc>
          <w:tcPr>
            <w:tcW w:w="1364" w:type="dxa"/>
            <w:tcBorders>
              <w:top w:val="single" w:sz="4" w:space="0" w:color="auto"/>
              <w:bottom w:val="single" w:sz="4" w:space="0" w:color="auto"/>
            </w:tcBorders>
            <w:shd w:val="clear" w:color="auto" w:fill="auto"/>
            <w:vAlign w:val="bottom"/>
            <w:hideMark/>
          </w:tcPr>
          <w:p w14:paraId="2C4CD821" w14:textId="3237C391" w:rsidR="00B72D5D" w:rsidRPr="00E70587" w:rsidRDefault="00B72D5D" w:rsidP="005F283E">
            <w:pPr>
              <w:pStyle w:val="Tablecolumnheading"/>
              <w:spacing w:line="280" w:lineRule="exact"/>
              <w:ind w:right="95"/>
              <w:rPr>
                <w:rFonts w:ascii="Arial" w:hAnsi="Arial"/>
                <w:color w:val="auto"/>
                <w:sz w:val="20"/>
                <w:szCs w:val="20"/>
                <w:lang w:val="en-IN"/>
              </w:rPr>
            </w:pPr>
            <w:r w:rsidRPr="00E70587">
              <w:rPr>
                <w:rFonts w:ascii="Arial" w:hAnsi="Arial"/>
                <w:color w:val="auto"/>
                <w:sz w:val="20"/>
                <w:szCs w:val="20"/>
                <w:lang w:val="en-IN"/>
              </w:rPr>
              <w:t>31 March 20</w:t>
            </w:r>
            <w:r>
              <w:rPr>
                <w:rFonts w:ascii="Arial" w:hAnsi="Arial"/>
                <w:color w:val="auto"/>
                <w:sz w:val="20"/>
                <w:szCs w:val="20"/>
                <w:lang w:val="en-IN"/>
              </w:rPr>
              <w:t>2</w:t>
            </w:r>
            <w:r w:rsidR="00CC7C88">
              <w:rPr>
                <w:rFonts w:ascii="Arial" w:hAnsi="Arial"/>
                <w:color w:val="auto"/>
                <w:sz w:val="20"/>
                <w:szCs w:val="20"/>
                <w:lang w:val="en-IN"/>
              </w:rPr>
              <w:t>0</w:t>
            </w:r>
          </w:p>
        </w:tc>
        <w:tc>
          <w:tcPr>
            <w:tcW w:w="1174" w:type="dxa"/>
            <w:tcBorders>
              <w:top w:val="single" w:sz="4" w:space="0" w:color="auto"/>
              <w:bottom w:val="single" w:sz="4" w:space="0" w:color="auto"/>
            </w:tcBorders>
            <w:shd w:val="clear" w:color="auto" w:fill="auto"/>
            <w:vAlign w:val="bottom"/>
            <w:hideMark/>
          </w:tcPr>
          <w:p w14:paraId="1B0C3EE2" w14:textId="29F80BB6" w:rsidR="00B72D5D" w:rsidRPr="00E70587" w:rsidRDefault="00B72D5D" w:rsidP="005F283E">
            <w:pPr>
              <w:pStyle w:val="Tablecolumnheading"/>
              <w:spacing w:line="280" w:lineRule="exact"/>
              <w:ind w:right="84"/>
              <w:rPr>
                <w:rFonts w:ascii="Arial" w:hAnsi="Arial"/>
                <w:color w:val="auto"/>
                <w:sz w:val="20"/>
                <w:szCs w:val="20"/>
                <w:lang w:val="en-IN"/>
              </w:rPr>
            </w:pPr>
            <w:r w:rsidRPr="00E70587">
              <w:rPr>
                <w:rFonts w:ascii="Arial" w:hAnsi="Arial"/>
                <w:color w:val="auto"/>
                <w:sz w:val="20"/>
                <w:szCs w:val="20"/>
                <w:lang w:val="en-IN"/>
              </w:rPr>
              <w:t>31 March 20</w:t>
            </w:r>
            <w:r>
              <w:rPr>
                <w:rFonts w:ascii="Arial" w:hAnsi="Arial"/>
                <w:color w:val="auto"/>
                <w:sz w:val="20"/>
                <w:szCs w:val="20"/>
                <w:lang w:val="en-IN"/>
              </w:rPr>
              <w:t>2</w:t>
            </w:r>
            <w:r w:rsidR="00CC7C88">
              <w:rPr>
                <w:rFonts w:ascii="Arial" w:hAnsi="Arial"/>
                <w:color w:val="auto"/>
                <w:sz w:val="20"/>
                <w:szCs w:val="20"/>
                <w:lang w:val="en-IN"/>
              </w:rPr>
              <w:t>0</w:t>
            </w:r>
          </w:p>
        </w:tc>
        <w:tc>
          <w:tcPr>
            <w:tcW w:w="1176" w:type="dxa"/>
            <w:tcBorders>
              <w:top w:val="single" w:sz="4" w:space="0" w:color="auto"/>
              <w:bottom w:val="single" w:sz="4" w:space="0" w:color="auto"/>
            </w:tcBorders>
            <w:shd w:val="clear" w:color="auto" w:fill="auto"/>
            <w:vAlign w:val="bottom"/>
            <w:hideMark/>
          </w:tcPr>
          <w:p w14:paraId="3FD53639" w14:textId="32E8B516" w:rsidR="00B72D5D" w:rsidRPr="00E70587" w:rsidRDefault="00B72D5D" w:rsidP="005F283E">
            <w:pPr>
              <w:pStyle w:val="Tablecolumnheading"/>
              <w:spacing w:line="280" w:lineRule="exact"/>
              <w:ind w:right="95"/>
              <w:rPr>
                <w:rFonts w:ascii="Arial" w:hAnsi="Arial"/>
                <w:color w:val="auto"/>
                <w:sz w:val="20"/>
                <w:szCs w:val="20"/>
                <w:lang w:val="en-IN"/>
              </w:rPr>
            </w:pPr>
            <w:r w:rsidRPr="00E70587">
              <w:rPr>
                <w:rFonts w:ascii="Arial" w:hAnsi="Arial"/>
                <w:color w:val="auto"/>
                <w:sz w:val="20"/>
                <w:szCs w:val="20"/>
                <w:lang w:val="en-IN"/>
              </w:rPr>
              <w:t>31 March 20</w:t>
            </w:r>
            <w:r>
              <w:rPr>
                <w:rFonts w:ascii="Arial" w:hAnsi="Arial"/>
                <w:color w:val="auto"/>
                <w:sz w:val="20"/>
                <w:szCs w:val="20"/>
                <w:lang w:val="en-IN"/>
              </w:rPr>
              <w:t>2</w:t>
            </w:r>
            <w:r w:rsidR="00CC7C88">
              <w:rPr>
                <w:rFonts w:ascii="Arial" w:hAnsi="Arial"/>
                <w:color w:val="auto"/>
                <w:sz w:val="20"/>
                <w:szCs w:val="20"/>
                <w:lang w:val="en-IN"/>
              </w:rPr>
              <w:t>0</w:t>
            </w:r>
          </w:p>
        </w:tc>
        <w:tc>
          <w:tcPr>
            <w:tcW w:w="996" w:type="dxa"/>
            <w:tcBorders>
              <w:top w:val="single" w:sz="4" w:space="0" w:color="auto"/>
              <w:bottom w:val="single" w:sz="4" w:space="0" w:color="auto"/>
            </w:tcBorders>
            <w:shd w:val="clear" w:color="auto" w:fill="auto"/>
            <w:vAlign w:val="bottom"/>
            <w:hideMark/>
          </w:tcPr>
          <w:p w14:paraId="718E058A" w14:textId="2641322A" w:rsidR="00B72D5D" w:rsidRPr="00E70587" w:rsidRDefault="00B72D5D" w:rsidP="005F283E">
            <w:pPr>
              <w:pStyle w:val="Tablecolumnheading"/>
              <w:spacing w:line="280" w:lineRule="exact"/>
              <w:ind w:left="-162" w:right="34"/>
              <w:rPr>
                <w:rFonts w:ascii="Arial" w:hAnsi="Arial"/>
                <w:color w:val="auto"/>
                <w:sz w:val="20"/>
                <w:szCs w:val="20"/>
                <w:lang w:val="en-IN"/>
              </w:rPr>
            </w:pPr>
            <w:r w:rsidRPr="00E70587">
              <w:rPr>
                <w:rFonts w:ascii="Arial" w:hAnsi="Arial"/>
                <w:color w:val="auto"/>
                <w:sz w:val="20"/>
                <w:szCs w:val="20"/>
                <w:lang w:val="en-IN"/>
              </w:rPr>
              <w:t>31 March 20</w:t>
            </w:r>
            <w:r>
              <w:rPr>
                <w:rFonts w:ascii="Arial" w:hAnsi="Arial"/>
                <w:color w:val="auto"/>
                <w:sz w:val="20"/>
                <w:szCs w:val="20"/>
                <w:lang w:val="en-IN"/>
              </w:rPr>
              <w:t>2</w:t>
            </w:r>
            <w:r w:rsidR="00CC7C88">
              <w:rPr>
                <w:rFonts w:ascii="Arial" w:hAnsi="Arial"/>
                <w:color w:val="auto"/>
                <w:sz w:val="20"/>
                <w:szCs w:val="20"/>
                <w:lang w:val="en-IN"/>
              </w:rPr>
              <w:t>0</w:t>
            </w:r>
          </w:p>
        </w:tc>
        <w:tc>
          <w:tcPr>
            <w:tcW w:w="1256" w:type="dxa"/>
            <w:tcBorders>
              <w:top w:val="single" w:sz="4" w:space="0" w:color="auto"/>
              <w:bottom w:val="single" w:sz="4" w:space="0" w:color="auto"/>
            </w:tcBorders>
            <w:shd w:val="clear" w:color="auto" w:fill="auto"/>
            <w:vAlign w:val="bottom"/>
            <w:hideMark/>
          </w:tcPr>
          <w:p w14:paraId="7077815B" w14:textId="4104EA9C" w:rsidR="00B72D5D" w:rsidRPr="00E70587" w:rsidRDefault="00B72D5D" w:rsidP="005F283E">
            <w:pPr>
              <w:pStyle w:val="Tablecolumnheading"/>
              <w:spacing w:line="280" w:lineRule="exact"/>
              <w:ind w:right="95"/>
              <w:rPr>
                <w:rFonts w:ascii="Arial" w:hAnsi="Arial"/>
                <w:color w:val="auto"/>
                <w:sz w:val="20"/>
                <w:szCs w:val="20"/>
                <w:lang w:val="en-IN"/>
              </w:rPr>
            </w:pPr>
            <w:r w:rsidRPr="00E70587">
              <w:rPr>
                <w:rFonts w:ascii="Arial" w:hAnsi="Arial"/>
                <w:color w:val="auto"/>
                <w:sz w:val="20"/>
                <w:szCs w:val="20"/>
                <w:lang w:val="en-IN"/>
              </w:rPr>
              <w:t>31 March 20</w:t>
            </w:r>
            <w:r>
              <w:rPr>
                <w:rFonts w:ascii="Arial" w:hAnsi="Arial"/>
                <w:color w:val="auto"/>
                <w:sz w:val="20"/>
                <w:szCs w:val="20"/>
                <w:lang w:val="en-IN"/>
              </w:rPr>
              <w:t>2</w:t>
            </w:r>
            <w:r w:rsidR="00CC7C88">
              <w:rPr>
                <w:rFonts w:ascii="Arial" w:hAnsi="Arial"/>
                <w:color w:val="auto"/>
                <w:sz w:val="20"/>
                <w:szCs w:val="20"/>
                <w:lang w:val="en-IN"/>
              </w:rPr>
              <w:t>0</w:t>
            </w:r>
          </w:p>
        </w:tc>
      </w:tr>
      <w:tr w:rsidR="00B72D5D" w:rsidRPr="00E70587" w14:paraId="013FF900" w14:textId="77777777" w:rsidTr="005F283E">
        <w:tc>
          <w:tcPr>
            <w:tcW w:w="2616" w:type="dxa"/>
            <w:shd w:val="clear" w:color="auto" w:fill="auto"/>
            <w:hideMark/>
          </w:tcPr>
          <w:p w14:paraId="2D46F043" w14:textId="77777777" w:rsidR="00B72D5D" w:rsidRPr="00E70587" w:rsidRDefault="00B72D5D" w:rsidP="005F283E">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Assumptions </w:t>
            </w:r>
          </w:p>
        </w:tc>
        <w:tc>
          <w:tcPr>
            <w:tcW w:w="2358" w:type="dxa"/>
            <w:gridSpan w:val="2"/>
            <w:shd w:val="clear" w:color="auto" w:fill="auto"/>
            <w:hideMark/>
          </w:tcPr>
          <w:p w14:paraId="157C1169" w14:textId="77777777" w:rsidR="00B72D5D" w:rsidRPr="00E70587" w:rsidRDefault="00B72D5D"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Estimated healthcare cost increase rate</w:t>
            </w:r>
          </w:p>
        </w:tc>
        <w:tc>
          <w:tcPr>
            <w:tcW w:w="2350" w:type="dxa"/>
            <w:gridSpan w:val="2"/>
            <w:shd w:val="clear" w:color="auto" w:fill="auto"/>
            <w:hideMark/>
          </w:tcPr>
          <w:p w14:paraId="53B49F2B" w14:textId="77777777" w:rsidR="00B72D5D" w:rsidRPr="00E70587" w:rsidRDefault="00B72D5D"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Discount rate</w:t>
            </w:r>
          </w:p>
        </w:tc>
        <w:tc>
          <w:tcPr>
            <w:tcW w:w="2252" w:type="dxa"/>
            <w:gridSpan w:val="2"/>
            <w:shd w:val="clear" w:color="auto" w:fill="auto"/>
            <w:hideMark/>
          </w:tcPr>
          <w:p w14:paraId="534B0D09" w14:textId="77777777" w:rsidR="00B72D5D" w:rsidRPr="00E70587" w:rsidRDefault="00B72D5D"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Future salary increases</w:t>
            </w:r>
          </w:p>
        </w:tc>
      </w:tr>
      <w:tr w:rsidR="00B72D5D" w:rsidRPr="00E70587" w14:paraId="6B359A1E" w14:textId="77777777" w:rsidTr="005F283E">
        <w:tc>
          <w:tcPr>
            <w:tcW w:w="2616" w:type="dxa"/>
            <w:shd w:val="clear" w:color="auto" w:fill="auto"/>
            <w:noWrap/>
            <w:vAlign w:val="bottom"/>
            <w:hideMark/>
          </w:tcPr>
          <w:p w14:paraId="0E40299A" w14:textId="77777777" w:rsidR="00B72D5D" w:rsidRPr="00E70587" w:rsidRDefault="00B72D5D" w:rsidP="005F283E">
            <w:pPr>
              <w:pStyle w:val="tabletext"/>
              <w:overflowPunct w:val="0"/>
              <w:autoSpaceDE w:val="0"/>
              <w:autoSpaceDN w:val="0"/>
              <w:adjustRightInd w:val="0"/>
              <w:spacing w:line="280" w:lineRule="exact"/>
              <w:textAlignment w:val="baseline"/>
              <w:rPr>
                <w:rFonts w:ascii="Arial" w:hAnsi="Arial" w:cs="Arial"/>
                <w:sz w:val="20"/>
                <w:lang w:val="en-IN" w:eastAsia="nl-NL"/>
              </w:rPr>
            </w:pPr>
            <w:r w:rsidRPr="00E70587">
              <w:rPr>
                <w:rFonts w:ascii="Arial" w:hAnsi="Arial" w:cs="Arial"/>
                <w:b/>
                <w:sz w:val="20"/>
                <w:lang w:val="en-IN"/>
              </w:rPr>
              <w:t>Sensitivity Level</w:t>
            </w:r>
          </w:p>
        </w:tc>
        <w:tc>
          <w:tcPr>
            <w:tcW w:w="994" w:type="dxa"/>
            <w:tcBorders>
              <w:bottom w:val="single" w:sz="4" w:space="0" w:color="auto"/>
            </w:tcBorders>
            <w:shd w:val="clear" w:color="auto" w:fill="auto"/>
            <w:vAlign w:val="bottom"/>
            <w:hideMark/>
          </w:tcPr>
          <w:p w14:paraId="4E88C00E" w14:textId="77777777" w:rsidR="00B72D5D" w:rsidRPr="00E70587" w:rsidRDefault="00B72D5D" w:rsidP="005F283E">
            <w:pPr>
              <w:spacing w:line="280" w:lineRule="exact"/>
              <w:jc w:val="center"/>
              <w:rPr>
                <w:rFonts w:ascii="Arial" w:hAnsi="Arial" w:cs="Arial"/>
                <w:sz w:val="20"/>
                <w:lang w:eastAsia="nl-NL"/>
              </w:rPr>
            </w:pPr>
            <w:r w:rsidRPr="00E70587">
              <w:rPr>
                <w:rFonts w:ascii="Arial" w:hAnsi="Arial" w:cs="Arial"/>
                <w:sz w:val="20"/>
                <w:lang w:eastAsia="nl-NL"/>
              </w:rPr>
              <w:t>1% increase</w:t>
            </w:r>
          </w:p>
        </w:tc>
        <w:tc>
          <w:tcPr>
            <w:tcW w:w="1364" w:type="dxa"/>
            <w:tcBorders>
              <w:bottom w:val="single" w:sz="4" w:space="0" w:color="auto"/>
            </w:tcBorders>
            <w:shd w:val="clear" w:color="auto" w:fill="auto"/>
            <w:vAlign w:val="bottom"/>
            <w:hideMark/>
          </w:tcPr>
          <w:p w14:paraId="6F3CA686" w14:textId="77777777" w:rsidR="00B72D5D" w:rsidRPr="00E70587" w:rsidRDefault="00B72D5D" w:rsidP="005F283E">
            <w:pPr>
              <w:spacing w:line="280" w:lineRule="exact"/>
              <w:jc w:val="center"/>
              <w:rPr>
                <w:rFonts w:ascii="Arial" w:hAnsi="Arial" w:cs="Arial"/>
                <w:sz w:val="20"/>
                <w:lang w:eastAsia="nl-NL"/>
              </w:rPr>
            </w:pPr>
            <w:r w:rsidRPr="00E70587">
              <w:rPr>
                <w:rFonts w:ascii="Arial" w:hAnsi="Arial" w:cs="Arial"/>
                <w:sz w:val="20"/>
                <w:lang w:eastAsia="nl-NL"/>
              </w:rPr>
              <w:t>1% decrease</w:t>
            </w:r>
          </w:p>
        </w:tc>
        <w:tc>
          <w:tcPr>
            <w:tcW w:w="1174" w:type="dxa"/>
            <w:tcBorders>
              <w:bottom w:val="single" w:sz="4" w:space="0" w:color="auto"/>
            </w:tcBorders>
            <w:shd w:val="clear" w:color="auto" w:fill="auto"/>
            <w:vAlign w:val="bottom"/>
            <w:hideMark/>
          </w:tcPr>
          <w:p w14:paraId="04CD4524" w14:textId="77777777" w:rsidR="00B72D5D" w:rsidRPr="00E70587" w:rsidRDefault="00B72D5D" w:rsidP="005F283E">
            <w:pPr>
              <w:spacing w:line="280" w:lineRule="exact"/>
              <w:jc w:val="center"/>
              <w:rPr>
                <w:rFonts w:ascii="Arial" w:hAnsi="Arial" w:cs="Arial"/>
                <w:sz w:val="20"/>
                <w:lang w:eastAsia="nl-NL"/>
              </w:rPr>
            </w:pPr>
            <w:r w:rsidRPr="00E70587">
              <w:rPr>
                <w:rFonts w:ascii="Arial" w:hAnsi="Arial" w:cs="Arial"/>
                <w:sz w:val="20"/>
                <w:lang w:eastAsia="nl-NL"/>
              </w:rPr>
              <w:t>0.5% increase</w:t>
            </w:r>
          </w:p>
        </w:tc>
        <w:tc>
          <w:tcPr>
            <w:tcW w:w="1176" w:type="dxa"/>
            <w:tcBorders>
              <w:bottom w:val="single" w:sz="4" w:space="0" w:color="auto"/>
            </w:tcBorders>
            <w:shd w:val="clear" w:color="auto" w:fill="auto"/>
            <w:vAlign w:val="bottom"/>
            <w:hideMark/>
          </w:tcPr>
          <w:p w14:paraId="51E21D44" w14:textId="77777777" w:rsidR="00B72D5D" w:rsidRPr="00E70587" w:rsidRDefault="00B72D5D" w:rsidP="005F283E">
            <w:pPr>
              <w:spacing w:line="280" w:lineRule="exact"/>
              <w:jc w:val="center"/>
              <w:rPr>
                <w:rFonts w:ascii="Arial" w:hAnsi="Arial" w:cs="Arial"/>
                <w:sz w:val="20"/>
                <w:lang w:eastAsia="nl-NL"/>
              </w:rPr>
            </w:pPr>
            <w:r w:rsidRPr="00E70587">
              <w:rPr>
                <w:rFonts w:ascii="Arial" w:hAnsi="Arial" w:cs="Arial"/>
                <w:sz w:val="20"/>
                <w:lang w:eastAsia="nl-NL"/>
              </w:rPr>
              <w:t>0.5% decrease</w:t>
            </w:r>
          </w:p>
        </w:tc>
        <w:tc>
          <w:tcPr>
            <w:tcW w:w="996" w:type="dxa"/>
            <w:tcBorders>
              <w:bottom w:val="single" w:sz="4" w:space="0" w:color="auto"/>
            </w:tcBorders>
            <w:shd w:val="clear" w:color="auto" w:fill="auto"/>
            <w:vAlign w:val="bottom"/>
            <w:hideMark/>
          </w:tcPr>
          <w:p w14:paraId="6A899377" w14:textId="77777777" w:rsidR="00B72D5D" w:rsidRPr="00E70587" w:rsidRDefault="00B72D5D" w:rsidP="005F283E">
            <w:pPr>
              <w:spacing w:line="280" w:lineRule="exact"/>
              <w:jc w:val="center"/>
              <w:rPr>
                <w:rFonts w:ascii="Arial" w:hAnsi="Arial" w:cs="Arial"/>
                <w:sz w:val="20"/>
                <w:lang w:eastAsia="nl-NL"/>
              </w:rPr>
            </w:pPr>
            <w:r w:rsidRPr="00E70587">
              <w:rPr>
                <w:rFonts w:ascii="Arial" w:hAnsi="Arial" w:cs="Arial"/>
                <w:sz w:val="20"/>
                <w:lang w:eastAsia="nl-NL"/>
              </w:rPr>
              <w:t>0.5% increase</w:t>
            </w:r>
          </w:p>
        </w:tc>
        <w:tc>
          <w:tcPr>
            <w:tcW w:w="1256" w:type="dxa"/>
            <w:tcBorders>
              <w:bottom w:val="single" w:sz="4" w:space="0" w:color="auto"/>
            </w:tcBorders>
            <w:shd w:val="clear" w:color="auto" w:fill="auto"/>
            <w:vAlign w:val="bottom"/>
            <w:hideMark/>
          </w:tcPr>
          <w:p w14:paraId="3AEB2D4C" w14:textId="77777777" w:rsidR="00B72D5D" w:rsidRPr="00E70587" w:rsidRDefault="00B72D5D" w:rsidP="005F283E">
            <w:pPr>
              <w:spacing w:line="280" w:lineRule="exact"/>
              <w:jc w:val="center"/>
              <w:rPr>
                <w:rFonts w:ascii="Arial" w:hAnsi="Arial" w:cs="Arial"/>
                <w:sz w:val="20"/>
                <w:lang w:eastAsia="nl-NL"/>
              </w:rPr>
            </w:pPr>
            <w:r w:rsidRPr="00E70587">
              <w:rPr>
                <w:rFonts w:ascii="Arial" w:hAnsi="Arial" w:cs="Arial"/>
                <w:sz w:val="20"/>
                <w:lang w:eastAsia="nl-NL"/>
              </w:rPr>
              <w:t>0.5% decrease</w:t>
            </w:r>
          </w:p>
        </w:tc>
      </w:tr>
      <w:tr w:rsidR="00B72D5D" w:rsidRPr="00E70587" w:rsidDel="00D63CE7" w14:paraId="64696D47" w14:textId="77777777" w:rsidTr="005F283E">
        <w:tc>
          <w:tcPr>
            <w:tcW w:w="2616" w:type="dxa"/>
            <w:shd w:val="clear" w:color="auto" w:fill="auto"/>
            <w:noWrap/>
            <w:vAlign w:val="center"/>
            <w:hideMark/>
          </w:tcPr>
          <w:p w14:paraId="0266651E" w14:textId="77777777" w:rsidR="00B72D5D" w:rsidRPr="00E70587" w:rsidRDefault="00B72D5D" w:rsidP="005F283E">
            <w:pPr>
              <w:spacing w:line="280" w:lineRule="exact"/>
              <w:rPr>
                <w:rFonts w:ascii="Arial" w:hAnsi="Arial" w:cs="Arial"/>
                <w:sz w:val="20"/>
                <w:lang w:eastAsia="nl-NL"/>
              </w:rPr>
            </w:pPr>
          </w:p>
        </w:tc>
        <w:tc>
          <w:tcPr>
            <w:tcW w:w="994" w:type="dxa"/>
            <w:tcBorders>
              <w:top w:val="single" w:sz="4" w:space="0" w:color="auto"/>
              <w:bottom w:val="single" w:sz="4" w:space="0" w:color="auto"/>
            </w:tcBorders>
            <w:shd w:val="clear" w:color="auto" w:fill="auto"/>
            <w:noWrap/>
            <w:vAlign w:val="center"/>
            <w:hideMark/>
          </w:tcPr>
          <w:p w14:paraId="2D41D8E3" w14:textId="77777777" w:rsidR="00B72D5D" w:rsidRPr="00E70587" w:rsidRDefault="00B72D5D"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364" w:type="dxa"/>
            <w:tcBorders>
              <w:top w:val="single" w:sz="4" w:space="0" w:color="auto"/>
              <w:bottom w:val="single" w:sz="4" w:space="0" w:color="auto"/>
            </w:tcBorders>
            <w:shd w:val="clear" w:color="auto" w:fill="auto"/>
            <w:noWrap/>
            <w:vAlign w:val="center"/>
            <w:hideMark/>
          </w:tcPr>
          <w:p w14:paraId="522A3DA7" w14:textId="77777777" w:rsidR="00B72D5D" w:rsidRPr="00E70587" w:rsidRDefault="00B72D5D"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174" w:type="dxa"/>
            <w:tcBorders>
              <w:top w:val="single" w:sz="4" w:space="0" w:color="auto"/>
              <w:bottom w:val="single" w:sz="4" w:space="0" w:color="auto"/>
            </w:tcBorders>
            <w:shd w:val="clear" w:color="auto" w:fill="auto"/>
            <w:noWrap/>
            <w:vAlign w:val="center"/>
            <w:hideMark/>
          </w:tcPr>
          <w:p w14:paraId="398C218F" w14:textId="77777777" w:rsidR="00B72D5D" w:rsidRPr="00E70587" w:rsidRDefault="00B72D5D"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176" w:type="dxa"/>
            <w:tcBorders>
              <w:top w:val="single" w:sz="4" w:space="0" w:color="auto"/>
              <w:bottom w:val="single" w:sz="4" w:space="0" w:color="auto"/>
            </w:tcBorders>
            <w:shd w:val="clear" w:color="auto" w:fill="auto"/>
            <w:noWrap/>
            <w:vAlign w:val="center"/>
            <w:hideMark/>
          </w:tcPr>
          <w:p w14:paraId="4FF04862" w14:textId="77777777" w:rsidR="00B72D5D" w:rsidRPr="00E70587" w:rsidRDefault="00B72D5D"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996" w:type="dxa"/>
            <w:tcBorders>
              <w:top w:val="single" w:sz="4" w:space="0" w:color="auto"/>
              <w:bottom w:val="single" w:sz="4" w:space="0" w:color="auto"/>
            </w:tcBorders>
            <w:shd w:val="clear" w:color="auto" w:fill="auto"/>
            <w:noWrap/>
            <w:vAlign w:val="center"/>
            <w:hideMark/>
          </w:tcPr>
          <w:p w14:paraId="5015C4D9" w14:textId="77777777" w:rsidR="00B72D5D" w:rsidRPr="00E70587" w:rsidRDefault="00B72D5D"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256" w:type="dxa"/>
            <w:tcBorders>
              <w:top w:val="single" w:sz="4" w:space="0" w:color="auto"/>
              <w:bottom w:val="single" w:sz="4" w:space="0" w:color="auto"/>
            </w:tcBorders>
            <w:shd w:val="clear" w:color="auto" w:fill="auto"/>
            <w:noWrap/>
            <w:vAlign w:val="center"/>
            <w:hideMark/>
          </w:tcPr>
          <w:p w14:paraId="6E2D8C3A" w14:textId="77777777" w:rsidR="00B72D5D" w:rsidRPr="00E70587" w:rsidDel="00D63CE7" w:rsidRDefault="00B72D5D"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r>
      <w:tr w:rsidR="00B72D5D" w:rsidRPr="00E70587" w14:paraId="21EF8959" w14:textId="77777777" w:rsidTr="005F283E">
        <w:tc>
          <w:tcPr>
            <w:tcW w:w="2616" w:type="dxa"/>
            <w:tcBorders>
              <w:bottom w:val="single" w:sz="4" w:space="0" w:color="auto"/>
            </w:tcBorders>
            <w:shd w:val="clear" w:color="auto" w:fill="auto"/>
            <w:noWrap/>
            <w:vAlign w:val="center"/>
            <w:hideMark/>
          </w:tcPr>
          <w:p w14:paraId="3B921F53" w14:textId="77777777" w:rsidR="00B72D5D" w:rsidRPr="00E70587" w:rsidRDefault="00B72D5D" w:rsidP="005F283E">
            <w:pPr>
              <w:spacing w:line="280" w:lineRule="exact"/>
              <w:rPr>
                <w:rFonts w:ascii="Arial" w:hAnsi="Arial" w:cs="Arial"/>
                <w:sz w:val="20"/>
                <w:lang w:eastAsia="nl-NL"/>
              </w:rPr>
            </w:pPr>
            <w:r w:rsidRPr="00E70587">
              <w:rPr>
                <w:rFonts w:ascii="Arial" w:hAnsi="Arial" w:cs="Arial"/>
                <w:sz w:val="20"/>
              </w:rPr>
              <w:t>Impact on defined benefit obligation</w:t>
            </w:r>
          </w:p>
        </w:tc>
        <w:tc>
          <w:tcPr>
            <w:tcW w:w="994" w:type="dxa"/>
            <w:tcBorders>
              <w:top w:val="single" w:sz="4" w:space="0" w:color="auto"/>
              <w:bottom w:val="single" w:sz="4" w:space="0" w:color="auto"/>
            </w:tcBorders>
            <w:shd w:val="clear" w:color="auto" w:fill="auto"/>
            <w:noWrap/>
            <w:vAlign w:val="center"/>
            <w:hideMark/>
          </w:tcPr>
          <w:p w14:paraId="6FC88785" w14:textId="3B43E7F9" w:rsidR="00B72D5D" w:rsidRPr="00E70587" w:rsidRDefault="00B72D5D" w:rsidP="005F283E">
            <w:pPr>
              <w:spacing w:line="280" w:lineRule="exact"/>
              <w:jc w:val="center"/>
              <w:rPr>
                <w:rFonts w:ascii="Arial" w:hAnsi="Arial" w:cs="Arial"/>
                <w:sz w:val="20"/>
              </w:rPr>
            </w:pPr>
            <w:r w:rsidRPr="00E70587">
              <w:rPr>
                <w:rFonts w:ascii="Arial" w:hAnsi="Arial" w:cs="Arial"/>
                <w:sz w:val="20"/>
              </w:rPr>
              <w:t>1</w:t>
            </w:r>
            <w:r w:rsidR="00942CE6">
              <w:rPr>
                <w:rFonts w:ascii="Arial" w:hAnsi="Arial" w:cs="Arial"/>
                <w:sz w:val="20"/>
              </w:rPr>
              <w:t>45</w:t>
            </w:r>
          </w:p>
        </w:tc>
        <w:tc>
          <w:tcPr>
            <w:tcW w:w="1364" w:type="dxa"/>
            <w:tcBorders>
              <w:top w:val="single" w:sz="4" w:space="0" w:color="auto"/>
              <w:bottom w:val="single" w:sz="4" w:space="0" w:color="auto"/>
            </w:tcBorders>
            <w:shd w:val="clear" w:color="auto" w:fill="auto"/>
            <w:noWrap/>
            <w:vAlign w:val="center"/>
            <w:hideMark/>
          </w:tcPr>
          <w:p w14:paraId="7B03E762" w14:textId="60A53262" w:rsidR="00B72D5D" w:rsidRPr="00E70587" w:rsidRDefault="00B72D5D" w:rsidP="005F283E">
            <w:pPr>
              <w:spacing w:line="280" w:lineRule="exact"/>
              <w:jc w:val="center"/>
              <w:rPr>
                <w:rFonts w:ascii="Arial" w:hAnsi="Arial" w:cs="Arial"/>
                <w:sz w:val="20"/>
              </w:rPr>
            </w:pPr>
            <w:r w:rsidRPr="00E70587">
              <w:rPr>
                <w:rFonts w:ascii="Arial" w:hAnsi="Arial" w:cs="Arial"/>
                <w:sz w:val="20"/>
              </w:rPr>
              <w:t>(1</w:t>
            </w:r>
            <w:r w:rsidR="00942CE6">
              <w:rPr>
                <w:rFonts w:ascii="Arial" w:hAnsi="Arial" w:cs="Arial"/>
                <w:sz w:val="20"/>
              </w:rPr>
              <w:t>12</w:t>
            </w:r>
            <w:r w:rsidRPr="00E70587">
              <w:rPr>
                <w:rFonts w:ascii="Arial" w:hAnsi="Arial" w:cs="Arial"/>
                <w:sz w:val="20"/>
              </w:rPr>
              <w:t>)</w:t>
            </w:r>
          </w:p>
        </w:tc>
        <w:tc>
          <w:tcPr>
            <w:tcW w:w="1174" w:type="dxa"/>
            <w:tcBorders>
              <w:top w:val="single" w:sz="4" w:space="0" w:color="auto"/>
              <w:bottom w:val="single" w:sz="4" w:space="0" w:color="auto"/>
            </w:tcBorders>
            <w:shd w:val="clear" w:color="auto" w:fill="auto"/>
            <w:noWrap/>
            <w:vAlign w:val="center"/>
            <w:hideMark/>
          </w:tcPr>
          <w:p w14:paraId="5FD0945C" w14:textId="571BF061" w:rsidR="00B72D5D" w:rsidRPr="00E70587" w:rsidRDefault="00B72D5D" w:rsidP="005F283E">
            <w:pPr>
              <w:spacing w:line="280" w:lineRule="exact"/>
              <w:jc w:val="center"/>
              <w:rPr>
                <w:rFonts w:ascii="Arial" w:hAnsi="Arial" w:cs="Arial"/>
                <w:sz w:val="20"/>
              </w:rPr>
            </w:pPr>
            <w:r w:rsidRPr="00E70587">
              <w:rPr>
                <w:rFonts w:ascii="Arial" w:hAnsi="Arial" w:cs="Arial"/>
                <w:sz w:val="20"/>
              </w:rPr>
              <w:t>(</w:t>
            </w:r>
            <w:r w:rsidR="004922CB">
              <w:rPr>
                <w:rFonts w:ascii="Arial" w:hAnsi="Arial" w:cs="Arial"/>
                <w:sz w:val="20"/>
              </w:rPr>
              <w:t>443</w:t>
            </w:r>
            <w:r w:rsidRPr="00E70587">
              <w:rPr>
                <w:rFonts w:ascii="Arial" w:hAnsi="Arial" w:cs="Arial"/>
                <w:sz w:val="20"/>
              </w:rPr>
              <w:t>)</w:t>
            </w:r>
          </w:p>
        </w:tc>
        <w:tc>
          <w:tcPr>
            <w:tcW w:w="1176" w:type="dxa"/>
            <w:tcBorders>
              <w:top w:val="single" w:sz="4" w:space="0" w:color="auto"/>
              <w:bottom w:val="single" w:sz="4" w:space="0" w:color="auto"/>
            </w:tcBorders>
            <w:shd w:val="clear" w:color="auto" w:fill="auto"/>
            <w:noWrap/>
            <w:vAlign w:val="center"/>
            <w:hideMark/>
          </w:tcPr>
          <w:p w14:paraId="5FD86DB4" w14:textId="60DF366D" w:rsidR="00B72D5D" w:rsidRPr="00E70587" w:rsidRDefault="004922CB" w:rsidP="005F283E">
            <w:pPr>
              <w:spacing w:line="280" w:lineRule="exact"/>
              <w:jc w:val="center"/>
              <w:rPr>
                <w:rFonts w:ascii="Arial" w:hAnsi="Arial" w:cs="Arial"/>
                <w:sz w:val="20"/>
              </w:rPr>
            </w:pPr>
            <w:r>
              <w:rPr>
                <w:rFonts w:ascii="Arial" w:hAnsi="Arial" w:cs="Arial"/>
                <w:sz w:val="20"/>
              </w:rPr>
              <w:t>526</w:t>
            </w:r>
          </w:p>
        </w:tc>
        <w:tc>
          <w:tcPr>
            <w:tcW w:w="996" w:type="dxa"/>
            <w:tcBorders>
              <w:top w:val="single" w:sz="4" w:space="0" w:color="auto"/>
              <w:bottom w:val="single" w:sz="4" w:space="0" w:color="auto"/>
            </w:tcBorders>
            <w:shd w:val="clear" w:color="auto" w:fill="auto"/>
            <w:noWrap/>
            <w:vAlign w:val="center"/>
            <w:hideMark/>
          </w:tcPr>
          <w:p w14:paraId="0CF57BE5" w14:textId="146C5658" w:rsidR="00B72D5D" w:rsidRPr="00E70587" w:rsidRDefault="004922CB" w:rsidP="005F283E">
            <w:pPr>
              <w:spacing w:line="280" w:lineRule="exact"/>
              <w:jc w:val="center"/>
              <w:rPr>
                <w:rFonts w:ascii="Arial" w:hAnsi="Arial" w:cs="Arial"/>
                <w:sz w:val="20"/>
              </w:rPr>
            </w:pPr>
            <w:r>
              <w:rPr>
                <w:rFonts w:ascii="Arial" w:hAnsi="Arial" w:cs="Arial"/>
                <w:sz w:val="20"/>
              </w:rPr>
              <w:t>198</w:t>
            </w:r>
          </w:p>
        </w:tc>
        <w:tc>
          <w:tcPr>
            <w:tcW w:w="1256" w:type="dxa"/>
            <w:tcBorders>
              <w:top w:val="single" w:sz="4" w:space="0" w:color="auto"/>
              <w:bottom w:val="single" w:sz="4" w:space="0" w:color="auto"/>
            </w:tcBorders>
            <w:shd w:val="clear" w:color="auto" w:fill="auto"/>
            <w:noWrap/>
            <w:vAlign w:val="center"/>
            <w:hideMark/>
          </w:tcPr>
          <w:p w14:paraId="409EAA14" w14:textId="6FD22576" w:rsidR="00B72D5D" w:rsidRPr="00E70587" w:rsidRDefault="00B72D5D" w:rsidP="005F283E">
            <w:pPr>
              <w:spacing w:line="280" w:lineRule="exact"/>
              <w:jc w:val="center"/>
              <w:rPr>
                <w:rFonts w:ascii="Arial" w:hAnsi="Arial" w:cs="Arial"/>
                <w:sz w:val="20"/>
              </w:rPr>
            </w:pPr>
            <w:r w:rsidRPr="00E70587">
              <w:rPr>
                <w:rFonts w:ascii="Arial" w:hAnsi="Arial" w:cs="Arial"/>
                <w:sz w:val="20"/>
              </w:rPr>
              <w:t>(</w:t>
            </w:r>
            <w:r w:rsidR="00734B77">
              <w:rPr>
                <w:rFonts w:ascii="Arial" w:hAnsi="Arial" w:cs="Arial"/>
                <w:sz w:val="20"/>
              </w:rPr>
              <w:t>188</w:t>
            </w:r>
            <w:r w:rsidRPr="00E70587">
              <w:rPr>
                <w:rFonts w:ascii="Arial" w:hAnsi="Arial" w:cs="Arial"/>
                <w:sz w:val="20"/>
              </w:rPr>
              <w:t>)</w:t>
            </w:r>
          </w:p>
        </w:tc>
      </w:tr>
    </w:tbl>
    <w:p w14:paraId="49FD8180" w14:textId="1D5DD7B4" w:rsidR="00B72D5D" w:rsidRDefault="00B72D5D" w:rsidP="009901E1">
      <w:pPr>
        <w:pStyle w:val="tabletext"/>
        <w:overflowPunct w:val="0"/>
        <w:autoSpaceDE w:val="0"/>
        <w:autoSpaceDN w:val="0"/>
        <w:adjustRightInd w:val="0"/>
        <w:spacing w:line="280" w:lineRule="exact"/>
        <w:textAlignment w:val="baseline"/>
        <w:rPr>
          <w:rFonts w:ascii="Arial" w:hAnsi="Arial" w:cs="Arial"/>
          <w:sz w:val="20"/>
          <w:lang w:val="en-IN"/>
        </w:rPr>
      </w:pPr>
    </w:p>
    <w:p w14:paraId="03946600" w14:textId="6F19B26A" w:rsidR="00B72D5D" w:rsidRDefault="00B72D5D" w:rsidP="009901E1">
      <w:pPr>
        <w:pStyle w:val="tabletext"/>
        <w:overflowPunct w:val="0"/>
        <w:autoSpaceDE w:val="0"/>
        <w:autoSpaceDN w:val="0"/>
        <w:adjustRightInd w:val="0"/>
        <w:spacing w:line="280" w:lineRule="exact"/>
        <w:textAlignment w:val="baseline"/>
        <w:rPr>
          <w:rFonts w:ascii="Arial" w:hAnsi="Arial" w:cs="Arial"/>
          <w:sz w:val="20"/>
          <w:lang w:val="en-IN"/>
        </w:rPr>
      </w:pPr>
    </w:p>
    <w:p w14:paraId="47DE70FD" w14:textId="77777777" w:rsidR="00B72D5D" w:rsidRPr="00E70587" w:rsidRDefault="00B72D5D" w:rsidP="009901E1">
      <w:pPr>
        <w:pStyle w:val="tabletext"/>
        <w:overflowPunct w:val="0"/>
        <w:autoSpaceDE w:val="0"/>
        <w:autoSpaceDN w:val="0"/>
        <w:adjustRightInd w:val="0"/>
        <w:spacing w:line="280" w:lineRule="exact"/>
        <w:textAlignment w:val="baseline"/>
        <w:rPr>
          <w:rFonts w:ascii="Arial" w:hAnsi="Arial" w:cs="Arial"/>
          <w:sz w:val="20"/>
          <w:lang w:val="en-IN"/>
        </w:rPr>
      </w:pPr>
    </w:p>
    <w:tbl>
      <w:tblPr>
        <w:tblW w:w="9576" w:type="dxa"/>
        <w:tblLayout w:type="fixed"/>
        <w:tblCellMar>
          <w:left w:w="70" w:type="dxa"/>
          <w:right w:w="70" w:type="dxa"/>
        </w:tblCellMar>
        <w:tblLook w:val="04A0" w:firstRow="1" w:lastRow="0" w:firstColumn="1" w:lastColumn="0" w:noHBand="0" w:noVBand="1"/>
      </w:tblPr>
      <w:tblGrid>
        <w:gridCol w:w="2440"/>
        <w:gridCol w:w="1626"/>
        <w:gridCol w:w="1897"/>
        <w:gridCol w:w="1626"/>
        <w:gridCol w:w="90"/>
        <w:gridCol w:w="1897"/>
      </w:tblGrid>
      <w:tr w:rsidR="00A17C17" w:rsidRPr="00E70587" w14:paraId="79E9296A" w14:textId="77777777" w:rsidTr="00834981">
        <w:tc>
          <w:tcPr>
            <w:tcW w:w="2430" w:type="dxa"/>
            <w:shd w:val="clear" w:color="auto" w:fill="auto"/>
            <w:noWrap/>
            <w:hideMark/>
          </w:tcPr>
          <w:p w14:paraId="2DF994CB"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b/>
                <w:sz w:val="20"/>
                <w:lang w:val="en-IN" w:eastAsia="nl-NL"/>
              </w:rPr>
            </w:pPr>
          </w:p>
        </w:tc>
        <w:tc>
          <w:tcPr>
            <w:tcW w:w="1620" w:type="dxa"/>
            <w:tcBorders>
              <w:bottom w:val="single" w:sz="4" w:space="0" w:color="auto"/>
            </w:tcBorders>
            <w:shd w:val="clear" w:color="auto" w:fill="auto"/>
            <w:hideMark/>
          </w:tcPr>
          <w:p w14:paraId="5ACDED69" w14:textId="0AE487F1"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b/>
                <w:sz w:val="20"/>
                <w:lang w:val="en-IN" w:eastAsia="nl-NL"/>
              </w:rPr>
            </w:pPr>
            <w:r w:rsidRPr="00E70587">
              <w:rPr>
                <w:rFonts w:ascii="Arial" w:hAnsi="Arial" w:cs="Arial"/>
                <w:b/>
                <w:sz w:val="20"/>
                <w:lang w:val="en-IN" w:eastAsia="nl-NL"/>
              </w:rPr>
              <w:t xml:space="preserve">31 </w:t>
            </w:r>
            <w:r w:rsidR="00E1202D" w:rsidRPr="00E70587">
              <w:rPr>
                <w:rFonts w:ascii="Arial" w:hAnsi="Arial" w:cs="Arial"/>
                <w:b/>
                <w:sz w:val="20"/>
                <w:lang w:val="en-IN" w:eastAsia="nl-NL"/>
              </w:rPr>
              <w:t xml:space="preserve">March </w:t>
            </w:r>
            <w:r w:rsidR="00F47D1D" w:rsidRPr="00E70587">
              <w:rPr>
                <w:rFonts w:ascii="Arial" w:hAnsi="Arial" w:cs="Arial"/>
                <w:b/>
                <w:sz w:val="20"/>
                <w:lang w:val="en-IN" w:eastAsia="nl-NL"/>
              </w:rPr>
              <w:t>20</w:t>
            </w:r>
            <w:r w:rsidR="00F47D1D">
              <w:rPr>
                <w:rFonts w:ascii="Arial" w:hAnsi="Arial" w:cs="Arial"/>
                <w:b/>
                <w:sz w:val="20"/>
                <w:lang w:val="en-IN" w:eastAsia="nl-NL"/>
              </w:rPr>
              <w:t>21</w:t>
            </w:r>
          </w:p>
        </w:tc>
        <w:tc>
          <w:tcPr>
            <w:tcW w:w="1890" w:type="dxa"/>
            <w:tcBorders>
              <w:bottom w:val="single" w:sz="4" w:space="0" w:color="auto"/>
            </w:tcBorders>
            <w:shd w:val="clear" w:color="auto" w:fill="auto"/>
            <w:hideMark/>
          </w:tcPr>
          <w:p w14:paraId="2919C1CB" w14:textId="7C3FF0B4"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b/>
                <w:sz w:val="20"/>
                <w:lang w:val="en-IN" w:eastAsia="nl-NL"/>
              </w:rPr>
            </w:pPr>
            <w:r w:rsidRPr="00E70587">
              <w:rPr>
                <w:rFonts w:ascii="Arial" w:hAnsi="Arial" w:cs="Arial"/>
                <w:b/>
                <w:sz w:val="20"/>
                <w:lang w:val="en-IN" w:eastAsia="nl-NL"/>
              </w:rPr>
              <w:t xml:space="preserve">31 </w:t>
            </w:r>
            <w:r w:rsidR="008B730E" w:rsidRPr="00E70587">
              <w:rPr>
                <w:rFonts w:ascii="Arial" w:hAnsi="Arial" w:cs="Arial"/>
                <w:b/>
                <w:sz w:val="20"/>
                <w:lang w:val="en-IN" w:eastAsia="nl-NL"/>
              </w:rPr>
              <w:t xml:space="preserve">March </w:t>
            </w:r>
            <w:r w:rsidR="00F47D1D" w:rsidRPr="00E70587">
              <w:rPr>
                <w:rFonts w:ascii="Arial" w:hAnsi="Arial" w:cs="Arial"/>
                <w:b/>
                <w:sz w:val="20"/>
                <w:lang w:val="en-IN" w:eastAsia="nl-NL"/>
              </w:rPr>
              <w:t>20</w:t>
            </w:r>
            <w:r w:rsidR="00F47D1D">
              <w:rPr>
                <w:rFonts w:ascii="Arial" w:hAnsi="Arial" w:cs="Arial"/>
                <w:b/>
                <w:sz w:val="20"/>
                <w:lang w:val="en-IN" w:eastAsia="nl-NL"/>
              </w:rPr>
              <w:t>2</w:t>
            </w:r>
            <w:r w:rsidR="00A05588">
              <w:rPr>
                <w:rFonts w:ascii="Arial" w:hAnsi="Arial" w:cs="Arial"/>
                <w:b/>
                <w:sz w:val="20"/>
                <w:lang w:val="en-IN" w:eastAsia="nl-NL"/>
              </w:rPr>
              <w:t>1</w:t>
            </w:r>
          </w:p>
        </w:tc>
        <w:tc>
          <w:tcPr>
            <w:tcW w:w="1620" w:type="dxa"/>
            <w:tcBorders>
              <w:bottom w:val="single" w:sz="4" w:space="0" w:color="auto"/>
            </w:tcBorders>
            <w:shd w:val="clear" w:color="auto" w:fill="auto"/>
            <w:hideMark/>
          </w:tcPr>
          <w:p w14:paraId="5C2C4AC2" w14:textId="3C022685"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b/>
                <w:sz w:val="20"/>
                <w:lang w:val="en-IN" w:eastAsia="nl-NL"/>
              </w:rPr>
            </w:pPr>
            <w:r w:rsidRPr="00E70587">
              <w:rPr>
                <w:rFonts w:ascii="Arial" w:hAnsi="Arial" w:cs="Arial"/>
                <w:b/>
                <w:sz w:val="20"/>
                <w:lang w:val="en-IN" w:eastAsia="nl-NL"/>
              </w:rPr>
              <w:t xml:space="preserve">31 </w:t>
            </w:r>
            <w:r w:rsidR="00E1202D" w:rsidRPr="00E70587">
              <w:rPr>
                <w:rFonts w:ascii="Arial" w:hAnsi="Arial" w:cs="Arial"/>
                <w:b/>
                <w:sz w:val="20"/>
                <w:lang w:val="en-IN" w:eastAsia="nl-NL"/>
              </w:rPr>
              <w:t xml:space="preserve">March </w:t>
            </w:r>
            <w:r w:rsidR="00F47D1D" w:rsidRPr="00E70587">
              <w:rPr>
                <w:rFonts w:ascii="Arial" w:hAnsi="Arial" w:cs="Arial"/>
                <w:b/>
                <w:sz w:val="20"/>
                <w:lang w:val="en-IN" w:eastAsia="nl-NL"/>
              </w:rPr>
              <w:t>20</w:t>
            </w:r>
            <w:r w:rsidR="00F47D1D">
              <w:rPr>
                <w:rFonts w:ascii="Arial" w:hAnsi="Arial" w:cs="Arial"/>
                <w:b/>
                <w:sz w:val="20"/>
                <w:lang w:val="en-IN" w:eastAsia="nl-NL"/>
              </w:rPr>
              <w:t>21</w:t>
            </w:r>
          </w:p>
        </w:tc>
        <w:tc>
          <w:tcPr>
            <w:tcW w:w="1980" w:type="dxa"/>
            <w:gridSpan w:val="2"/>
            <w:tcBorders>
              <w:bottom w:val="single" w:sz="4" w:space="0" w:color="auto"/>
            </w:tcBorders>
            <w:shd w:val="clear" w:color="auto" w:fill="auto"/>
            <w:hideMark/>
          </w:tcPr>
          <w:p w14:paraId="2A3CCF4B" w14:textId="398CA358"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b/>
                <w:sz w:val="20"/>
                <w:lang w:val="en-IN" w:eastAsia="nl-NL"/>
              </w:rPr>
            </w:pPr>
            <w:r w:rsidRPr="00E70587">
              <w:rPr>
                <w:rFonts w:ascii="Arial" w:hAnsi="Arial" w:cs="Arial"/>
                <w:b/>
                <w:sz w:val="20"/>
                <w:lang w:val="en-IN" w:eastAsia="nl-NL"/>
              </w:rPr>
              <w:t xml:space="preserve">31 </w:t>
            </w:r>
            <w:r w:rsidR="008B730E" w:rsidRPr="00E70587">
              <w:rPr>
                <w:rFonts w:ascii="Arial" w:hAnsi="Arial" w:cs="Arial"/>
                <w:b/>
                <w:sz w:val="20"/>
                <w:lang w:val="en-IN" w:eastAsia="nl-NL"/>
              </w:rPr>
              <w:t xml:space="preserve">March </w:t>
            </w:r>
            <w:r w:rsidR="00F47D1D" w:rsidRPr="00E70587">
              <w:rPr>
                <w:rFonts w:ascii="Arial" w:hAnsi="Arial" w:cs="Arial"/>
                <w:b/>
                <w:sz w:val="20"/>
                <w:lang w:val="en-IN" w:eastAsia="nl-NL"/>
              </w:rPr>
              <w:t>20</w:t>
            </w:r>
            <w:r w:rsidR="00F47D1D">
              <w:rPr>
                <w:rFonts w:ascii="Arial" w:hAnsi="Arial" w:cs="Arial"/>
                <w:b/>
                <w:sz w:val="20"/>
                <w:lang w:val="en-IN" w:eastAsia="nl-NL"/>
              </w:rPr>
              <w:t>2</w:t>
            </w:r>
            <w:r w:rsidR="00A05588">
              <w:rPr>
                <w:rFonts w:ascii="Arial" w:hAnsi="Arial" w:cs="Arial"/>
                <w:b/>
                <w:sz w:val="20"/>
                <w:lang w:val="en-IN" w:eastAsia="nl-NL"/>
              </w:rPr>
              <w:t>1</w:t>
            </w:r>
            <w:r w:rsidR="006701B6">
              <w:rPr>
                <w:rFonts w:ascii="Arial" w:hAnsi="Arial" w:cs="Arial"/>
                <w:b/>
                <w:sz w:val="20"/>
                <w:lang w:val="en-IN" w:eastAsia="nl-NL"/>
              </w:rPr>
              <w:t xml:space="preserve">  </w:t>
            </w:r>
          </w:p>
        </w:tc>
      </w:tr>
      <w:tr w:rsidR="00A17C17" w:rsidRPr="00E70587" w14:paraId="74F6B70E" w14:textId="77777777" w:rsidTr="00834981">
        <w:tc>
          <w:tcPr>
            <w:tcW w:w="2430" w:type="dxa"/>
            <w:shd w:val="clear" w:color="auto" w:fill="auto"/>
            <w:hideMark/>
          </w:tcPr>
          <w:p w14:paraId="00E6B80E"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Assumptions </w:t>
            </w:r>
          </w:p>
        </w:tc>
        <w:tc>
          <w:tcPr>
            <w:tcW w:w="3510" w:type="dxa"/>
            <w:gridSpan w:val="2"/>
            <w:shd w:val="clear" w:color="auto" w:fill="auto"/>
            <w:hideMark/>
          </w:tcPr>
          <w:p w14:paraId="2E2F9DF8"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Life expectancy of male pensioners</w:t>
            </w:r>
          </w:p>
        </w:tc>
        <w:tc>
          <w:tcPr>
            <w:tcW w:w="3600" w:type="dxa"/>
            <w:gridSpan w:val="3"/>
            <w:shd w:val="clear" w:color="auto" w:fill="auto"/>
            <w:hideMark/>
          </w:tcPr>
          <w:p w14:paraId="73CC055D" w14:textId="77777777" w:rsidR="00A17C17" w:rsidRPr="00E70587" w:rsidRDefault="00A17C17" w:rsidP="009901E1">
            <w:pPr>
              <w:spacing w:line="280" w:lineRule="exact"/>
              <w:jc w:val="center"/>
              <w:rPr>
                <w:rFonts w:ascii="Arial" w:hAnsi="Arial" w:cs="Arial"/>
                <w:sz w:val="20"/>
                <w:lang w:eastAsia="nl-NL"/>
              </w:rPr>
            </w:pPr>
            <w:r w:rsidRPr="00E70587">
              <w:rPr>
                <w:rFonts w:ascii="Arial" w:hAnsi="Arial" w:cs="Arial"/>
                <w:b/>
                <w:sz w:val="20"/>
              </w:rPr>
              <w:t>Life expectancy of female pensioners</w:t>
            </w:r>
          </w:p>
        </w:tc>
      </w:tr>
      <w:tr w:rsidR="00A17C17" w:rsidRPr="00E70587" w14:paraId="33274F37" w14:textId="77777777" w:rsidTr="00834981">
        <w:tc>
          <w:tcPr>
            <w:tcW w:w="2430" w:type="dxa"/>
            <w:shd w:val="clear" w:color="auto" w:fill="auto"/>
            <w:noWrap/>
            <w:vAlign w:val="center"/>
            <w:hideMark/>
          </w:tcPr>
          <w:p w14:paraId="37D99CD5" w14:textId="77777777" w:rsidR="00A17C17" w:rsidRPr="00E70587" w:rsidRDefault="00A17C17" w:rsidP="009901E1">
            <w:pPr>
              <w:spacing w:line="280" w:lineRule="exact"/>
              <w:rPr>
                <w:rFonts w:ascii="Arial" w:hAnsi="Arial" w:cs="Arial"/>
                <w:sz w:val="20"/>
                <w:lang w:eastAsia="nl-NL"/>
              </w:rPr>
            </w:pPr>
            <w:r w:rsidRPr="00E70587">
              <w:rPr>
                <w:rFonts w:ascii="Arial" w:hAnsi="Arial" w:cs="Arial"/>
                <w:b/>
                <w:sz w:val="20"/>
              </w:rPr>
              <w:t>Sensitivity Level</w:t>
            </w:r>
          </w:p>
        </w:tc>
        <w:tc>
          <w:tcPr>
            <w:tcW w:w="1620" w:type="dxa"/>
            <w:tcBorders>
              <w:bottom w:val="single" w:sz="4" w:space="0" w:color="auto"/>
            </w:tcBorders>
            <w:shd w:val="clear" w:color="auto" w:fill="auto"/>
            <w:vAlign w:val="center"/>
            <w:hideMark/>
          </w:tcPr>
          <w:p w14:paraId="32625DE3" w14:textId="77777777" w:rsidR="00A17C17" w:rsidRPr="00E70587" w:rsidRDefault="00A17C17" w:rsidP="009901E1">
            <w:pPr>
              <w:spacing w:line="280" w:lineRule="exact"/>
              <w:jc w:val="center"/>
              <w:rPr>
                <w:rFonts w:ascii="Arial" w:hAnsi="Arial" w:cs="Arial"/>
                <w:sz w:val="20"/>
                <w:lang w:eastAsia="nl-NL"/>
              </w:rPr>
            </w:pPr>
            <w:r w:rsidRPr="00E70587">
              <w:rPr>
                <w:rFonts w:ascii="Arial" w:hAnsi="Arial" w:cs="Arial"/>
                <w:sz w:val="20"/>
                <w:lang w:eastAsia="nl-NL"/>
              </w:rPr>
              <w:t>Increase by 1 year</w:t>
            </w:r>
          </w:p>
        </w:tc>
        <w:tc>
          <w:tcPr>
            <w:tcW w:w="1890" w:type="dxa"/>
            <w:tcBorders>
              <w:bottom w:val="single" w:sz="4" w:space="0" w:color="auto"/>
            </w:tcBorders>
            <w:shd w:val="clear" w:color="auto" w:fill="auto"/>
            <w:vAlign w:val="center"/>
            <w:hideMark/>
          </w:tcPr>
          <w:p w14:paraId="02B8A463" w14:textId="77777777" w:rsidR="00A17C17" w:rsidRPr="00E70587" w:rsidRDefault="00A17C17" w:rsidP="009901E1">
            <w:pPr>
              <w:spacing w:line="280" w:lineRule="exact"/>
              <w:jc w:val="center"/>
              <w:rPr>
                <w:rFonts w:ascii="Arial" w:hAnsi="Arial" w:cs="Arial"/>
                <w:sz w:val="20"/>
                <w:lang w:eastAsia="nl-NL"/>
              </w:rPr>
            </w:pPr>
            <w:r w:rsidRPr="00E70587">
              <w:rPr>
                <w:rFonts w:ascii="Arial" w:hAnsi="Arial" w:cs="Arial"/>
                <w:sz w:val="20"/>
                <w:lang w:eastAsia="nl-NL"/>
              </w:rPr>
              <w:t>Decrease by 1 year</w:t>
            </w:r>
          </w:p>
        </w:tc>
        <w:tc>
          <w:tcPr>
            <w:tcW w:w="1710" w:type="dxa"/>
            <w:gridSpan w:val="2"/>
            <w:tcBorders>
              <w:bottom w:val="single" w:sz="4" w:space="0" w:color="auto"/>
            </w:tcBorders>
            <w:shd w:val="clear" w:color="auto" w:fill="auto"/>
            <w:vAlign w:val="center"/>
            <w:hideMark/>
          </w:tcPr>
          <w:p w14:paraId="0087120E" w14:textId="77777777" w:rsidR="00A17C17" w:rsidRPr="00E70587" w:rsidRDefault="00A17C17" w:rsidP="009901E1">
            <w:pPr>
              <w:spacing w:line="280" w:lineRule="exact"/>
              <w:jc w:val="center"/>
              <w:rPr>
                <w:rFonts w:ascii="Arial" w:hAnsi="Arial" w:cs="Arial"/>
                <w:sz w:val="20"/>
                <w:lang w:eastAsia="nl-NL"/>
              </w:rPr>
            </w:pPr>
            <w:r w:rsidRPr="00E70587">
              <w:rPr>
                <w:rFonts w:ascii="Arial" w:hAnsi="Arial" w:cs="Arial"/>
                <w:sz w:val="20"/>
                <w:lang w:eastAsia="nl-NL"/>
              </w:rPr>
              <w:t>Increase by 1 year</w:t>
            </w:r>
          </w:p>
        </w:tc>
        <w:tc>
          <w:tcPr>
            <w:tcW w:w="1890" w:type="dxa"/>
            <w:tcBorders>
              <w:bottom w:val="single" w:sz="4" w:space="0" w:color="auto"/>
            </w:tcBorders>
            <w:shd w:val="clear" w:color="auto" w:fill="auto"/>
            <w:vAlign w:val="center"/>
            <w:hideMark/>
          </w:tcPr>
          <w:p w14:paraId="58CC5D62" w14:textId="77777777" w:rsidR="00A17C17" w:rsidRPr="00E70587" w:rsidRDefault="00A17C17" w:rsidP="009901E1">
            <w:pPr>
              <w:spacing w:line="280" w:lineRule="exact"/>
              <w:jc w:val="center"/>
              <w:rPr>
                <w:rFonts w:ascii="Arial" w:hAnsi="Arial" w:cs="Arial"/>
                <w:sz w:val="20"/>
                <w:lang w:eastAsia="nl-NL"/>
              </w:rPr>
            </w:pPr>
            <w:r w:rsidRPr="00E70587">
              <w:rPr>
                <w:rFonts w:ascii="Arial" w:hAnsi="Arial" w:cs="Arial"/>
                <w:sz w:val="20"/>
                <w:lang w:eastAsia="nl-NL"/>
              </w:rPr>
              <w:t>Decrease by 1 year</w:t>
            </w:r>
          </w:p>
        </w:tc>
      </w:tr>
      <w:tr w:rsidR="00A17C17" w:rsidRPr="00E70587" w14:paraId="677C2966" w14:textId="77777777" w:rsidTr="00834981">
        <w:tc>
          <w:tcPr>
            <w:tcW w:w="2430" w:type="dxa"/>
            <w:shd w:val="clear" w:color="auto" w:fill="auto"/>
            <w:noWrap/>
            <w:vAlign w:val="center"/>
            <w:hideMark/>
          </w:tcPr>
          <w:p w14:paraId="0616B6D1" w14:textId="77777777" w:rsidR="00A17C17" w:rsidRPr="00E70587" w:rsidRDefault="00A17C17" w:rsidP="009901E1">
            <w:pPr>
              <w:spacing w:line="280" w:lineRule="exact"/>
              <w:rPr>
                <w:rFonts w:ascii="Arial" w:hAnsi="Arial" w:cs="Arial"/>
                <w:sz w:val="20"/>
                <w:lang w:eastAsia="nl-NL"/>
              </w:rPr>
            </w:pPr>
          </w:p>
        </w:tc>
        <w:tc>
          <w:tcPr>
            <w:tcW w:w="1620" w:type="dxa"/>
            <w:tcBorders>
              <w:top w:val="single" w:sz="4" w:space="0" w:color="auto"/>
              <w:bottom w:val="single" w:sz="4" w:space="0" w:color="auto"/>
            </w:tcBorders>
            <w:shd w:val="clear" w:color="auto" w:fill="auto"/>
            <w:noWrap/>
            <w:vAlign w:val="center"/>
            <w:hideMark/>
          </w:tcPr>
          <w:p w14:paraId="30702E7E"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890" w:type="dxa"/>
            <w:tcBorders>
              <w:top w:val="single" w:sz="4" w:space="0" w:color="auto"/>
              <w:bottom w:val="single" w:sz="4" w:space="0" w:color="auto"/>
            </w:tcBorders>
            <w:shd w:val="clear" w:color="auto" w:fill="auto"/>
            <w:noWrap/>
            <w:vAlign w:val="center"/>
            <w:hideMark/>
          </w:tcPr>
          <w:p w14:paraId="5AB464F3"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710" w:type="dxa"/>
            <w:gridSpan w:val="2"/>
            <w:tcBorders>
              <w:top w:val="single" w:sz="4" w:space="0" w:color="auto"/>
              <w:bottom w:val="single" w:sz="4" w:space="0" w:color="auto"/>
            </w:tcBorders>
            <w:shd w:val="clear" w:color="auto" w:fill="auto"/>
            <w:noWrap/>
            <w:vAlign w:val="center"/>
            <w:hideMark/>
          </w:tcPr>
          <w:p w14:paraId="55919B90"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890" w:type="dxa"/>
            <w:tcBorders>
              <w:top w:val="single" w:sz="4" w:space="0" w:color="auto"/>
              <w:bottom w:val="single" w:sz="4" w:space="0" w:color="auto"/>
            </w:tcBorders>
            <w:shd w:val="clear" w:color="auto" w:fill="auto"/>
            <w:noWrap/>
            <w:vAlign w:val="center"/>
            <w:hideMark/>
          </w:tcPr>
          <w:p w14:paraId="4E09C29F" w14:textId="77777777" w:rsidR="00A17C17" w:rsidRPr="00E70587" w:rsidRDefault="00A17C17" w:rsidP="009901E1">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r>
      <w:tr w:rsidR="00A17C17" w:rsidRPr="00E70587" w14:paraId="7C1409FD" w14:textId="77777777" w:rsidTr="00834981">
        <w:tc>
          <w:tcPr>
            <w:tcW w:w="2430" w:type="dxa"/>
            <w:tcBorders>
              <w:bottom w:val="single" w:sz="4" w:space="0" w:color="auto"/>
            </w:tcBorders>
            <w:shd w:val="clear" w:color="auto" w:fill="auto"/>
            <w:noWrap/>
            <w:vAlign w:val="center"/>
            <w:hideMark/>
          </w:tcPr>
          <w:p w14:paraId="214D0D84" w14:textId="77777777" w:rsidR="00A17C17" w:rsidRPr="00E70587" w:rsidRDefault="00A17C17" w:rsidP="009901E1">
            <w:pPr>
              <w:spacing w:line="280" w:lineRule="exact"/>
              <w:rPr>
                <w:rFonts w:ascii="Arial" w:hAnsi="Arial" w:cs="Arial"/>
                <w:sz w:val="20"/>
                <w:lang w:eastAsia="nl-NL"/>
              </w:rPr>
            </w:pPr>
            <w:r w:rsidRPr="00E70587">
              <w:rPr>
                <w:rFonts w:ascii="Arial" w:hAnsi="Arial" w:cs="Arial"/>
                <w:sz w:val="20"/>
              </w:rPr>
              <w:t>Impact on defined benefit obligation</w:t>
            </w:r>
          </w:p>
        </w:tc>
        <w:tc>
          <w:tcPr>
            <w:tcW w:w="1620" w:type="dxa"/>
            <w:tcBorders>
              <w:top w:val="single" w:sz="4" w:space="0" w:color="auto"/>
              <w:bottom w:val="single" w:sz="4" w:space="0" w:color="auto"/>
            </w:tcBorders>
            <w:shd w:val="clear" w:color="auto" w:fill="auto"/>
            <w:noWrap/>
            <w:vAlign w:val="center"/>
            <w:hideMark/>
          </w:tcPr>
          <w:p w14:paraId="240C442A" w14:textId="77777777" w:rsidR="00A17C17" w:rsidRPr="00E70587" w:rsidRDefault="00A17C17" w:rsidP="009901E1">
            <w:pPr>
              <w:overflowPunct/>
              <w:spacing w:line="280" w:lineRule="exact"/>
              <w:jc w:val="center"/>
              <w:textAlignment w:val="auto"/>
              <w:rPr>
                <w:rFonts w:ascii="Arial" w:hAnsi="Arial" w:cs="Arial"/>
                <w:sz w:val="20"/>
                <w:lang w:eastAsia="en-GB"/>
              </w:rPr>
            </w:pPr>
            <w:r w:rsidRPr="00E70587">
              <w:rPr>
                <w:rFonts w:ascii="Arial" w:hAnsi="Arial" w:cs="Arial"/>
                <w:sz w:val="20"/>
                <w:lang w:eastAsia="en-GB"/>
              </w:rPr>
              <w:t>234</w:t>
            </w:r>
          </w:p>
        </w:tc>
        <w:tc>
          <w:tcPr>
            <w:tcW w:w="1890" w:type="dxa"/>
            <w:tcBorders>
              <w:top w:val="single" w:sz="4" w:space="0" w:color="auto"/>
              <w:bottom w:val="single" w:sz="4" w:space="0" w:color="auto"/>
            </w:tcBorders>
            <w:shd w:val="clear" w:color="auto" w:fill="auto"/>
            <w:noWrap/>
            <w:vAlign w:val="center"/>
            <w:hideMark/>
          </w:tcPr>
          <w:p w14:paraId="059FD67A" w14:textId="77777777" w:rsidR="00A17C17" w:rsidRPr="00E70587" w:rsidRDefault="00A17C17" w:rsidP="009901E1">
            <w:pPr>
              <w:overflowPunct/>
              <w:spacing w:line="280" w:lineRule="exact"/>
              <w:jc w:val="center"/>
              <w:textAlignment w:val="auto"/>
              <w:rPr>
                <w:rFonts w:ascii="Arial" w:hAnsi="Arial" w:cs="Arial"/>
                <w:sz w:val="20"/>
                <w:lang w:eastAsia="en-GB"/>
              </w:rPr>
            </w:pPr>
            <w:r w:rsidRPr="00E70587">
              <w:rPr>
                <w:rFonts w:ascii="Arial" w:hAnsi="Arial" w:cs="Arial"/>
                <w:sz w:val="20"/>
                <w:lang w:eastAsia="en-GB"/>
              </w:rPr>
              <w:t>(270)</w:t>
            </w:r>
          </w:p>
        </w:tc>
        <w:tc>
          <w:tcPr>
            <w:tcW w:w="1710" w:type="dxa"/>
            <w:gridSpan w:val="2"/>
            <w:tcBorders>
              <w:top w:val="single" w:sz="4" w:space="0" w:color="auto"/>
              <w:bottom w:val="single" w:sz="4" w:space="0" w:color="auto"/>
            </w:tcBorders>
            <w:shd w:val="clear" w:color="auto" w:fill="auto"/>
            <w:noWrap/>
            <w:vAlign w:val="center"/>
            <w:hideMark/>
          </w:tcPr>
          <w:p w14:paraId="5FF3CA47" w14:textId="77777777" w:rsidR="00A17C17" w:rsidRPr="00E70587" w:rsidRDefault="00A17C17" w:rsidP="009901E1">
            <w:pPr>
              <w:overflowPunct/>
              <w:spacing w:line="280" w:lineRule="exact"/>
              <w:jc w:val="center"/>
              <w:textAlignment w:val="auto"/>
              <w:rPr>
                <w:rFonts w:ascii="Arial" w:hAnsi="Arial" w:cs="Arial"/>
                <w:sz w:val="20"/>
                <w:lang w:eastAsia="en-GB"/>
              </w:rPr>
            </w:pPr>
            <w:r w:rsidRPr="00E70587">
              <w:rPr>
                <w:rFonts w:ascii="Arial" w:hAnsi="Arial" w:cs="Arial"/>
                <w:sz w:val="20"/>
                <w:lang w:eastAsia="en-GB"/>
              </w:rPr>
              <w:t>162</w:t>
            </w:r>
          </w:p>
        </w:tc>
        <w:tc>
          <w:tcPr>
            <w:tcW w:w="1890" w:type="dxa"/>
            <w:tcBorders>
              <w:top w:val="single" w:sz="4" w:space="0" w:color="auto"/>
              <w:bottom w:val="single" w:sz="4" w:space="0" w:color="auto"/>
            </w:tcBorders>
            <w:shd w:val="clear" w:color="auto" w:fill="auto"/>
            <w:noWrap/>
            <w:vAlign w:val="center"/>
            <w:hideMark/>
          </w:tcPr>
          <w:p w14:paraId="26A3FC55" w14:textId="77777777" w:rsidR="00A17C17" w:rsidRPr="00E70587" w:rsidRDefault="00A17C17" w:rsidP="009901E1">
            <w:pPr>
              <w:overflowPunct/>
              <w:spacing w:line="280" w:lineRule="exact"/>
              <w:jc w:val="center"/>
              <w:textAlignment w:val="auto"/>
              <w:rPr>
                <w:rFonts w:ascii="Arial" w:hAnsi="Arial" w:cs="Arial"/>
                <w:sz w:val="20"/>
                <w:lang w:eastAsia="en-GB"/>
              </w:rPr>
            </w:pPr>
            <w:r w:rsidRPr="00E70587">
              <w:rPr>
                <w:rFonts w:ascii="Arial" w:hAnsi="Arial" w:cs="Arial"/>
                <w:sz w:val="20"/>
                <w:lang w:eastAsia="en-GB"/>
              </w:rPr>
              <w:t>(144)</w:t>
            </w:r>
          </w:p>
        </w:tc>
      </w:tr>
    </w:tbl>
    <w:p w14:paraId="27D02932" w14:textId="6995E1F8" w:rsidR="000D0F4C" w:rsidRDefault="000D0F4C" w:rsidP="009901E1">
      <w:pPr>
        <w:pStyle w:val="IAStext"/>
        <w:spacing w:line="280" w:lineRule="exact"/>
        <w:rPr>
          <w:rFonts w:ascii="Arial" w:eastAsiaTheme="minorHAnsi" w:hAnsi="Arial" w:cs="Arial"/>
          <w:i w:val="0"/>
          <w:sz w:val="20"/>
          <w:lang w:val="en-IN"/>
        </w:rPr>
      </w:pPr>
    </w:p>
    <w:p w14:paraId="360ADE02" w14:textId="59F3B051" w:rsidR="006C1196" w:rsidRDefault="006C1196" w:rsidP="006C1196">
      <w:pPr>
        <w:rPr>
          <w:rFonts w:eastAsiaTheme="minorHAnsi"/>
        </w:rPr>
      </w:pPr>
    </w:p>
    <w:p w14:paraId="4D605550" w14:textId="77777777" w:rsidR="006C1196" w:rsidRPr="00E70587" w:rsidRDefault="006C1196" w:rsidP="006C1196">
      <w:pPr>
        <w:pStyle w:val="tabletext"/>
        <w:overflowPunct w:val="0"/>
        <w:autoSpaceDE w:val="0"/>
        <w:autoSpaceDN w:val="0"/>
        <w:adjustRightInd w:val="0"/>
        <w:spacing w:line="280" w:lineRule="exact"/>
        <w:textAlignment w:val="baseline"/>
        <w:rPr>
          <w:rFonts w:ascii="Arial" w:hAnsi="Arial" w:cs="Arial"/>
          <w:sz w:val="20"/>
          <w:lang w:val="en-IN"/>
        </w:rPr>
      </w:pPr>
    </w:p>
    <w:tbl>
      <w:tblPr>
        <w:tblW w:w="9576" w:type="dxa"/>
        <w:tblLayout w:type="fixed"/>
        <w:tblCellMar>
          <w:left w:w="70" w:type="dxa"/>
          <w:right w:w="70" w:type="dxa"/>
        </w:tblCellMar>
        <w:tblLook w:val="04A0" w:firstRow="1" w:lastRow="0" w:firstColumn="1" w:lastColumn="0" w:noHBand="0" w:noVBand="1"/>
      </w:tblPr>
      <w:tblGrid>
        <w:gridCol w:w="2440"/>
        <w:gridCol w:w="1626"/>
        <w:gridCol w:w="1897"/>
        <w:gridCol w:w="1626"/>
        <w:gridCol w:w="90"/>
        <w:gridCol w:w="1897"/>
      </w:tblGrid>
      <w:tr w:rsidR="006C1196" w:rsidRPr="00E70587" w14:paraId="74251ED1" w14:textId="77777777" w:rsidTr="005F283E">
        <w:tc>
          <w:tcPr>
            <w:tcW w:w="2430" w:type="dxa"/>
            <w:shd w:val="clear" w:color="auto" w:fill="auto"/>
            <w:noWrap/>
            <w:hideMark/>
          </w:tcPr>
          <w:p w14:paraId="03B5BFC6" w14:textId="77777777" w:rsidR="006C1196" w:rsidRPr="00E70587" w:rsidRDefault="006C1196" w:rsidP="005F283E">
            <w:pPr>
              <w:pStyle w:val="tabletext"/>
              <w:overflowPunct w:val="0"/>
              <w:autoSpaceDE w:val="0"/>
              <w:autoSpaceDN w:val="0"/>
              <w:adjustRightInd w:val="0"/>
              <w:spacing w:line="280" w:lineRule="exact"/>
              <w:jc w:val="right"/>
              <w:textAlignment w:val="baseline"/>
              <w:rPr>
                <w:rFonts w:ascii="Arial" w:hAnsi="Arial" w:cs="Arial"/>
                <w:b/>
                <w:sz w:val="20"/>
                <w:lang w:val="en-IN" w:eastAsia="nl-NL"/>
              </w:rPr>
            </w:pPr>
          </w:p>
        </w:tc>
        <w:tc>
          <w:tcPr>
            <w:tcW w:w="1620" w:type="dxa"/>
            <w:tcBorders>
              <w:bottom w:val="single" w:sz="4" w:space="0" w:color="auto"/>
            </w:tcBorders>
            <w:shd w:val="clear" w:color="auto" w:fill="auto"/>
            <w:hideMark/>
          </w:tcPr>
          <w:p w14:paraId="6E8ABD02" w14:textId="109FC14F" w:rsidR="006C1196" w:rsidRPr="00E70587" w:rsidRDefault="006C1196" w:rsidP="005F283E">
            <w:pPr>
              <w:pStyle w:val="tabletext"/>
              <w:overflowPunct w:val="0"/>
              <w:autoSpaceDE w:val="0"/>
              <w:autoSpaceDN w:val="0"/>
              <w:adjustRightInd w:val="0"/>
              <w:spacing w:line="280" w:lineRule="exact"/>
              <w:jc w:val="right"/>
              <w:textAlignment w:val="baseline"/>
              <w:rPr>
                <w:rFonts w:ascii="Arial" w:hAnsi="Arial" w:cs="Arial"/>
                <w:b/>
                <w:sz w:val="20"/>
                <w:lang w:val="en-IN" w:eastAsia="nl-NL"/>
              </w:rPr>
            </w:pPr>
            <w:r w:rsidRPr="00E70587">
              <w:rPr>
                <w:rFonts w:ascii="Arial" w:hAnsi="Arial" w:cs="Arial"/>
                <w:b/>
                <w:sz w:val="20"/>
                <w:lang w:val="en-IN" w:eastAsia="nl-NL"/>
              </w:rPr>
              <w:t>31 March 20</w:t>
            </w:r>
            <w:r>
              <w:rPr>
                <w:rFonts w:ascii="Arial" w:hAnsi="Arial" w:cs="Arial"/>
                <w:b/>
                <w:sz w:val="20"/>
                <w:lang w:val="en-IN" w:eastAsia="nl-NL"/>
              </w:rPr>
              <w:t>20</w:t>
            </w:r>
          </w:p>
        </w:tc>
        <w:tc>
          <w:tcPr>
            <w:tcW w:w="1890" w:type="dxa"/>
            <w:tcBorders>
              <w:bottom w:val="single" w:sz="4" w:space="0" w:color="auto"/>
            </w:tcBorders>
            <w:shd w:val="clear" w:color="auto" w:fill="auto"/>
            <w:hideMark/>
          </w:tcPr>
          <w:p w14:paraId="5B81EAC3" w14:textId="18817733" w:rsidR="006C1196" w:rsidRPr="00E70587" w:rsidRDefault="006C1196" w:rsidP="005F283E">
            <w:pPr>
              <w:pStyle w:val="tabletext"/>
              <w:overflowPunct w:val="0"/>
              <w:autoSpaceDE w:val="0"/>
              <w:autoSpaceDN w:val="0"/>
              <w:adjustRightInd w:val="0"/>
              <w:spacing w:line="280" w:lineRule="exact"/>
              <w:jc w:val="right"/>
              <w:textAlignment w:val="baseline"/>
              <w:rPr>
                <w:rFonts w:ascii="Arial" w:hAnsi="Arial" w:cs="Arial"/>
                <w:b/>
                <w:sz w:val="20"/>
                <w:lang w:val="en-IN" w:eastAsia="nl-NL"/>
              </w:rPr>
            </w:pPr>
            <w:r w:rsidRPr="00E70587">
              <w:rPr>
                <w:rFonts w:ascii="Arial" w:hAnsi="Arial" w:cs="Arial"/>
                <w:b/>
                <w:sz w:val="20"/>
                <w:lang w:val="en-IN" w:eastAsia="nl-NL"/>
              </w:rPr>
              <w:t>31 March 20</w:t>
            </w:r>
            <w:r>
              <w:rPr>
                <w:rFonts w:ascii="Arial" w:hAnsi="Arial" w:cs="Arial"/>
                <w:b/>
                <w:sz w:val="20"/>
                <w:lang w:val="en-IN" w:eastAsia="nl-NL"/>
              </w:rPr>
              <w:t>20</w:t>
            </w:r>
          </w:p>
        </w:tc>
        <w:tc>
          <w:tcPr>
            <w:tcW w:w="1620" w:type="dxa"/>
            <w:tcBorders>
              <w:bottom w:val="single" w:sz="4" w:space="0" w:color="auto"/>
            </w:tcBorders>
            <w:shd w:val="clear" w:color="auto" w:fill="auto"/>
            <w:hideMark/>
          </w:tcPr>
          <w:p w14:paraId="2218308E" w14:textId="13586FA6" w:rsidR="006C1196" w:rsidRPr="00E70587" w:rsidRDefault="006C1196" w:rsidP="005F283E">
            <w:pPr>
              <w:pStyle w:val="tabletext"/>
              <w:overflowPunct w:val="0"/>
              <w:autoSpaceDE w:val="0"/>
              <w:autoSpaceDN w:val="0"/>
              <w:adjustRightInd w:val="0"/>
              <w:spacing w:line="280" w:lineRule="exact"/>
              <w:jc w:val="right"/>
              <w:textAlignment w:val="baseline"/>
              <w:rPr>
                <w:rFonts w:ascii="Arial" w:hAnsi="Arial" w:cs="Arial"/>
                <w:b/>
                <w:sz w:val="20"/>
                <w:lang w:val="en-IN" w:eastAsia="nl-NL"/>
              </w:rPr>
            </w:pPr>
            <w:r w:rsidRPr="00E70587">
              <w:rPr>
                <w:rFonts w:ascii="Arial" w:hAnsi="Arial" w:cs="Arial"/>
                <w:b/>
                <w:sz w:val="20"/>
                <w:lang w:val="en-IN" w:eastAsia="nl-NL"/>
              </w:rPr>
              <w:t>31 March 20</w:t>
            </w:r>
            <w:r>
              <w:rPr>
                <w:rFonts w:ascii="Arial" w:hAnsi="Arial" w:cs="Arial"/>
                <w:b/>
                <w:sz w:val="20"/>
                <w:lang w:val="en-IN" w:eastAsia="nl-NL"/>
              </w:rPr>
              <w:t>20</w:t>
            </w:r>
          </w:p>
        </w:tc>
        <w:tc>
          <w:tcPr>
            <w:tcW w:w="1980" w:type="dxa"/>
            <w:gridSpan w:val="2"/>
            <w:tcBorders>
              <w:bottom w:val="single" w:sz="4" w:space="0" w:color="auto"/>
            </w:tcBorders>
            <w:shd w:val="clear" w:color="auto" w:fill="auto"/>
            <w:hideMark/>
          </w:tcPr>
          <w:p w14:paraId="150B78C7" w14:textId="58332ABF" w:rsidR="006C1196" w:rsidRPr="00E70587" w:rsidRDefault="006C1196" w:rsidP="005F283E">
            <w:pPr>
              <w:pStyle w:val="tabletext"/>
              <w:overflowPunct w:val="0"/>
              <w:autoSpaceDE w:val="0"/>
              <w:autoSpaceDN w:val="0"/>
              <w:adjustRightInd w:val="0"/>
              <w:spacing w:line="280" w:lineRule="exact"/>
              <w:jc w:val="right"/>
              <w:textAlignment w:val="baseline"/>
              <w:rPr>
                <w:rFonts w:ascii="Arial" w:hAnsi="Arial" w:cs="Arial"/>
                <w:b/>
                <w:sz w:val="20"/>
                <w:lang w:val="en-IN" w:eastAsia="nl-NL"/>
              </w:rPr>
            </w:pPr>
            <w:r w:rsidRPr="00E70587">
              <w:rPr>
                <w:rFonts w:ascii="Arial" w:hAnsi="Arial" w:cs="Arial"/>
                <w:b/>
                <w:sz w:val="20"/>
                <w:lang w:val="en-IN" w:eastAsia="nl-NL"/>
              </w:rPr>
              <w:t>31 March 20</w:t>
            </w:r>
            <w:r>
              <w:rPr>
                <w:rFonts w:ascii="Arial" w:hAnsi="Arial" w:cs="Arial"/>
                <w:b/>
                <w:sz w:val="20"/>
                <w:lang w:val="en-IN" w:eastAsia="nl-NL"/>
              </w:rPr>
              <w:t xml:space="preserve">20  </w:t>
            </w:r>
          </w:p>
        </w:tc>
      </w:tr>
      <w:tr w:rsidR="006C1196" w:rsidRPr="00E70587" w14:paraId="5187A6B2" w14:textId="77777777" w:rsidTr="005F283E">
        <w:tc>
          <w:tcPr>
            <w:tcW w:w="2430" w:type="dxa"/>
            <w:shd w:val="clear" w:color="auto" w:fill="auto"/>
            <w:hideMark/>
          </w:tcPr>
          <w:p w14:paraId="4F1C1E6D" w14:textId="77777777" w:rsidR="006C1196" w:rsidRPr="00E70587" w:rsidRDefault="006C1196" w:rsidP="005F283E">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Assumptions </w:t>
            </w:r>
          </w:p>
        </w:tc>
        <w:tc>
          <w:tcPr>
            <w:tcW w:w="3510" w:type="dxa"/>
            <w:gridSpan w:val="2"/>
            <w:shd w:val="clear" w:color="auto" w:fill="auto"/>
            <w:hideMark/>
          </w:tcPr>
          <w:p w14:paraId="04C82806" w14:textId="77777777" w:rsidR="006C1196" w:rsidRPr="00E70587" w:rsidRDefault="006C1196"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Life expectancy of male pensioners</w:t>
            </w:r>
          </w:p>
        </w:tc>
        <w:tc>
          <w:tcPr>
            <w:tcW w:w="3600" w:type="dxa"/>
            <w:gridSpan w:val="3"/>
            <w:shd w:val="clear" w:color="auto" w:fill="auto"/>
            <w:hideMark/>
          </w:tcPr>
          <w:p w14:paraId="0DB41B4A" w14:textId="77777777" w:rsidR="006C1196" w:rsidRPr="00E70587" w:rsidRDefault="006C1196" w:rsidP="005F283E">
            <w:pPr>
              <w:spacing w:line="280" w:lineRule="exact"/>
              <w:jc w:val="center"/>
              <w:rPr>
                <w:rFonts w:ascii="Arial" w:hAnsi="Arial" w:cs="Arial"/>
                <w:sz w:val="20"/>
                <w:lang w:eastAsia="nl-NL"/>
              </w:rPr>
            </w:pPr>
            <w:r w:rsidRPr="00E70587">
              <w:rPr>
                <w:rFonts w:ascii="Arial" w:hAnsi="Arial" w:cs="Arial"/>
                <w:b/>
                <w:sz w:val="20"/>
              </w:rPr>
              <w:t>Life expectancy of female pensioners</w:t>
            </w:r>
          </w:p>
        </w:tc>
      </w:tr>
      <w:tr w:rsidR="006C1196" w:rsidRPr="00E70587" w14:paraId="5FE55DB9" w14:textId="77777777" w:rsidTr="005F283E">
        <w:tc>
          <w:tcPr>
            <w:tcW w:w="2430" w:type="dxa"/>
            <w:shd w:val="clear" w:color="auto" w:fill="auto"/>
            <w:noWrap/>
            <w:vAlign w:val="center"/>
            <w:hideMark/>
          </w:tcPr>
          <w:p w14:paraId="5C12D913" w14:textId="77777777" w:rsidR="006C1196" w:rsidRPr="00E70587" w:rsidRDefault="006C1196" w:rsidP="005F283E">
            <w:pPr>
              <w:spacing w:line="280" w:lineRule="exact"/>
              <w:rPr>
                <w:rFonts w:ascii="Arial" w:hAnsi="Arial" w:cs="Arial"/>
                <w:sz w:val="20"/>
                <w:lang w:eastAsia="nl-NL"/>
              </w:rPr>
            </w:pPr>
            <w:r w:rsidRPr="00E70587">
              <w:rPr>
                <w:rFonts w:ascii="Arial" w:hAnsi="Arial" w:cs="Arial"/>
                <w:b/>
                <w:sz w:val="20"/>
              </w:rPr>
              <w:t>Sensitivity Level</w:t>
            </w:r>
          </w:p>
        </w:tc>
        <w:tc>
          <w:tcPr>
            <w:tcW w:w="1620" w:type="dxa"/>
            <w:tcBorders>
              <w:bottom w:val="single" w:sz="4" w:space="0" w:color="auto"/>
            </w:tcBorders>
            <w:shd w:val="clear" w:color="auto" w:fill="auto"/>
            <w:vAlign w:val="center"/>
            <w:hideMark/>
          </w:tcPr>
          <w:p w14:paraId="5A1E82A5" w14:textId="77777777" w:rsidR="006C1196" w:rsidRPr="00E70587" w:rsidRDefault="006C1196" w:rsidP="005F283E">
            <w:pPr>
              <w:spacing w:line="280" w:lineRule="exact"/>
              <w:jc w:val="center"/>
              <w:rPr>
                <w:rFonts w:ascii="Arial" w:hAnsi="Arial" w:cs="Arial"/>
                <w:sz w:val="20"/>
                <w:lang w:eastAsia="nl-NL"/>
              </w:rPr>
            </w:pPr>
            <w:r w:rsidRPr="00E70587">
              <w:rPr>
                <w:rFonts w:ascii="Arial" w:hAnsi="Arial" w:cs="Arial"/>
                <w:sz w:val="20"/>
                <w:lang w:eastAsia="nl-NL"/>
              </w:rPr>
              <w:t>Increase by 1 year</w:t>
            </w:r>
          </w:p>
        </w:tc>
        <w:tc>
          <w:tcPr>
            <w:tcW w:w="1890" w:type="dxa"/>
            <w:tcBorders>
              <w:bottom w:val="single" w:sz="4" w:space="0" w:color="auto"/>
            </w:tcBorders>
            <w:shd w:val="clear" w:color="auto" w:fill="auto"/>
            <w:vAlign w:val="center"/>
            <w:hideMark/>
          </w:tcPr>
          <w:p w14:paraId="5F86DE7D" w14:textId="77777777" w:rsidR="006C1196" w:rsidRPr="00E70587" w:rsidRDefault="006C1196" w:rsidP="005F283E">
            <w:pPr>
              <w:spacing w:line="280" w:lineRule="exact"/>
              <w:jc w:val="center"/>
              <w:rPr>
                <w:rFonts w:ascii="Arial" w:hAnsi="Arial" w:cs="Arial"/>
                <w:sz w:val="20"/>
                <w:lang w:eastAsia="nl-NL"/>
              </w:rPr>
            </w:pPr>
            <w:r w:rsidRPr="00E70587">
              <w:rPr>
                <w:rFonts w:ascii="Arial" w:hAnsi="Arial" w:cs="Arial"/>
                <w:sz w:val="20"/>
                <w:lang w:eastAsia="nl-NL"/>
              </w:rPr>
              <w:t>Decrease by 1 year</w:t>
            </w:r>
          </w:p>
        </w:tc>
        <w:tc>
          <w:tcPr>
            <w:tcW w:w="1710" w:type="dxa"/>
            <w:gridSpan w:val="2"/>
            <w:tcBorders>
              <w:bottom w:val="single" w:sz="4" w:space="0" w:color="auto"/>
            </w:tcBorders>
            <w:shd w:val="clear" w:color="auto" w:fill="auto"/>
            <w:vAlign w:val="center"/>
            <w:hideMark/>
          </w:tcPr>
          <w:p w14:paraId="5412467D" w14:textId="77777777" w:rsidR="006C1196" w:rsidRPr="00E70587" w:rsidRDefault="006C1196" w:rsidP="005F283E">
            <w:pPr>
              <w:spacing w:line="280" w:lineRule="exact"/>
              <w:jc w:val="center"/>
              <w:rPr>
                <w:rFonts w:ascii="Arial" w:hAnsi="Arial" w:cs="Arial"/>
                <w:sz w:val="20"/>
                <w:lang w:eastAsia="nl-NL"/>
              </w:rPr>
            </w:pPr>
            <w:r w:rsidRPr="00E70587">
              <w:rPr>
                <w:rFonts w:ascii="Arial" w:hAnsi="Arial" w:cs="Arial"/>
                <w:sz w:val="20"/>
                <w:lang w:eastAsia="nl-NL"/>
              </w:rPr>
              <w:t>Increase by 1 year</w:t>
            </w:r>
          </w:p>
        </w:tc>
        <w:tc>
          <w:tcPr>
            <w:tcW w:w="1890" w:type="dxa"/>
            <w:tcBorders>
              <w:bottom w:val="single" w:sz="4" w:space="0" w:color="auto"/>
            </w:tcBorders>
            <w:shd w:val="clear" w:color="auto" w:fill="auto"/>
            <w:vAlign w:val="center"/>
            <w:hideMark/>
          </w:tcPr>
          <w:p w14:paraId="5C270486" w14:textId="77777777" w:rsidR="006C1196" w:rsidRPr="00E70587" w:rsidRDefault="006C1196" w:rsidP="005F283E">
            <w:pPr>
              <w:spacing w:line="280" w:lineRule="exact"/>
              <w:jc w:val="center"/>
              <w:rPr>
                <w:rFonts w:ascii="Arial" w:hAnsi="Arial" w:cs="Arial"/>
                <w:sz w:val="20"/>
                <w:lang w:eastAsia="nl-NL"/>
              </w:rPr>
            </w:pPr>
            <w:r w:rsidRPr="00E70587">
              <w:rPr>
                <w:rFonts w:ascii="Arial" w:hAnsi="Arial" w:cs="Arial"/>
                <w:sz w:val="20"/>
                <w:lang w:eastAsia="nl-NL"/>
              </w:rPr>
              <w:t>Decrease by 1 year</w:t>
            </w:r>
          </w:p>
        </w:tc>
      </w:tr>
      <w:tr w:rsidR="006C1196" w:rsidRPr="00E70587" w14:paraId="55ED19DF" w14:textId="77777777" w:rsidTr="005F283E">
        <w:tc>
          <w:tcPr>
            <w:tcW w:w="2430" w:type="dxa"/>
            <w:shd w:val="clear" w:color="auto" w:fill="auto"/>
            <w:noWrap/>
            <w:vAlign w:val="center"/>
            <w:hideMark/>
          </w:tcPr>
          <w:p w14:paraId="7D496243" w14:textId="77777777" w:rsidR="006C1196" w:rsidRPr="00E70587" w:rsidRDefault="006C1196" w:rsidP="005F283E">
            <w:pPr>
              <w:spacing w:line="280" w:lineRule="exact"/>
              <w:rPr>
                <w:rFonts w:ascii="Arial" w:hAnsi="Arial" w:cs="Arial"/>
                <w:sz w:val="20"/>
                <w:lang w:eastAsia="nl-NL"/>
              </w:rPr>
            </w:pPr>
          </w:p>
        </w:tc>
        <w:tc>
          <w:tcPr>
            <w:tcW w:w="1620" w:type="dxa"/>
            <w:tcBorders>
              <w:top w:val="single" w:sz="4" w:space="0" w:color="auto"/>
              <w:bottom w:val="single" w:sz="4" w:space="0" w:color="auto"/>
            </w:tcBorders>
            <w:shd w:val="clear" w:color="auto" w:fill="auto"/>
            <w:noWrap/>
            <w:vAlign w:val="center"/>
            <w:hideMark/>
          </w:tcPr>
          <w:p w14:paraId="034B9F4D" w14:textId="77777777" w:rsidR="006C1196" w:rsidRPr="00E70587" w:rsidRDefault="006C1196"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890" w:type="dxa"/>
            <w:tcBorders>
              <w:top w:val="single" w:sz="4" w:space="0" w:color="auto"/>
              <w:bottom w:val="single" w:sz="4" w:space="0" w:color="auto"/>
            </w:tcBorders>
            <w:shd w:val="clear" w:color="auto" w:fill="auto"/>
            <w:noWrap/>
            <w:vAlign w:val="center"/>
            <w:hideMark/>
          </w:tcPr>
          <w:p w14:paraId="072B034D" w14:textId="77777777" w:rsidR="006C1196" w:rsidRPr="00E70587" w:rsidRDefault="006C1196"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710" w:type="dxa"/>
            <w:gridSpan w:val="2"/>
            <w:tcBorders>
              <w:top w:val="single" w:sz="4" w:space="0" w:color="auto"/>
              <w:bottom w:val="single" w:sz="4" w:space="0" w:color="auto"/>
            </w:tcBorders>
            <w:shd w:val="clear" w:color="auto" w:fill="auto"/>
            <w:noWrap/>
            <w:vAlign w:val="center"/>
            <w:hideMark/>
          </w:tcPr>
          <w:p w14:paraId="182A488A" w14:textId="77777777" w:rsidR="006C1196" w:rsidRPr="00E70587" w:rsidRDefault="006C1196"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c>
          <w:tcPr>
            <w:tcW w:w="1890" w:type="dxa"/>
            <w:tcBorders>
              <w:top w:val="single" w:sz="4" w:space="0" w:color="auto"/>
              <w:bottom w:val="single" w:sz="4" w:space="0" w:color="auto"/>
            </w:tcBorders>
            <w:shd w:val="clear" w:color="auto" w:fill="auto"/>
            <w:noWrap/>
            <w:vAlign w:val="center"/>
            <w:hideMark/>
          </w:tcPr>
          <w:p w14:paraId="292D9D02" w14:textId="77777777" w:rsidR="006C1196" w:rsidRPr="00E70587" w:rsidRDefault="006C1196" w:rsidP="005F283E">
            <w:pPr>
              <w:pStyle w:val="tabletext"/>
              <w:overflowPunct w:val="0"/>
              <w:autoSpaceDE w:val="0"/>
              <w:autoSpaceDN w:val="0"/>
              <w:adjustRightInd w:val="0"/>
              <w:spacing w:line="280" w:lineRule="exact"/>
              <w:jc w:val="center"/>
              <w:textAlignment w:val="baseline"/>
              <w:rPr>
                <w:rFonts w:ascii="Arial" w:hAnsi="Arial" w:cs="Arial"/>
                <w:b/>
                <w:sz w:val="20"/>
                <w:lang w:val="en-IN"/>
              </w:rPr>
            </w:pPr>
            <w:r w:rsidRPr="00E70587">
              <w:rPr>
                <w:rFonts w:ascii="Arial" w:hAnsi="Arial" w:cs="Arial"/>
                <w:b/>
                <w:sz w:val="20"/>
                <w:lang w:val="en-IN"/>
              </w:rPr>
              <w:t>INR Lacs</w:t>
            </w:r>
          </w:p>
        </w:tc>
      </w:tr>
      <w:tr w:rsidR="006C1196" w:rsidRPr="00E70587" w14:paraId="5C509C60" w14:textId="77777777" w:rsidTr="005F283E">
        <w:tc>
          <w:tcPr>
            <w:tcW w:w="2430" w:type="dxa"/>
            <w:tcBorders>
              <w:bottom w:val="single" w:sz="4" w:space="0" w:color="auto"/>
            </w:tcBorders>
            <w:shd w:val="clear" w:color="auto" w:fill="auto"/>
            <w:noWrap/>
            <w:vAlign w:val="center"/>
            <w:hideMark/>
          </w:tcPr>
          <w:p w14:paraId="040674CB" w14:textId="77777777" w:rsidR="006C1196" w:rsidRPr="00E70587" w:rsidRDefault="006C1196" w:rsidP="005F283E">
            <w:pPr>
              <w:spacing w:line="280" w:lineRule="exact"/>
              <w:rPr>
                <w:rFonts w:ascii="Arial" w:hAnsi="Arial" w:cs="Arial"/>
                <w:sz w:val="20"/>
                <w:lang w:eastAsia="nl-NL"/>
              </w:rPr>
            </w:pPr>
            <w:r w:rsidRPr="00E70587">
              <w:rPr>
                <w:rFonts w:ascii="Arial" w:hAnsi="Arial" w:cs="Arial"/>
                <w:sz w:val="20"/>
              </w:rPr>
              <w:t>Impact on defined benefit obligation</w:t>
            </w:r>
          </w:p>
        </w:tc>
        <w:tc>
          <w:tcPr>
            <w:tcW w:w="1620" w:type="dxa"/>
            <w:tcBorders>
              <w:top w:val="single" w:sz="4" w:space="0" w:color="auto"/>
              <w:bottom w:val="single" w:sz="4" w:space="0" w:color="auto"/>
            </w:tcBorders>
            <w:shd w:val="clear" w:color="auto" w:fill="auto"/>
            <w:noWrap/>
            <w:vAlign w:val="center"/>
            <w:hideMark/>
          </w:tcPr>
          <w:p w14:paraId="06BB336A" w14:textId="162AE0FD" w:rsidR="006C1196" w:rsidRPr="00E70587" w:rsidRDefault="004922CB" w:rsidP="005F283E">
            <w:pPr>
              <w:overflowPunct/>
              <w:spacing w:line="280" w:lineRule="exact"/>
              <w:jc w:val="center"/>
              <w:textAlignment w:val="auto"/>
              <w:rPr>
                <w:rFonts w:ascii="Arial" w:hAnsi="Arial" w:cs="Arial"/>
                <w:sz w:val="20"/>
                <w:lang w:eastAsia="en-GB"/>
              </w:rPr>
            </w:pPr>
            <w:r>
              <w:rPr>
                <w:rFonts w:ascii="Arial" w:hAnsi="Arial" w:cs="Arial"/>
                <w:sz w:val="20"/>
                <w:lang w:eastAsia="en-GB"/>
              </w:rPr>
              <w:t>188</w:t>
            </w:r>
          </w:p>
        </w:tc>
        <w:tc>
          <w:tcPr>
            <w:tcW w:w="1890" w:type="dxa"/>
            <w:tcBorders>
              <w:top w:val="single" w:sz="4" w:space="0" w:color="auto"/>
              <w:bottom w:val="single" w:sz="4" w:space="0" w:color="auto"/>
            </w:tcBorders>
            <w:shd w:val="clear" w:color="auto" w:fill="auto"/>
            <w:noWrap/>
            <w:vAlign w:val="center"/>
            <w:hideMark/>
          </w:tcPr>
          <w:p w14:paraId="56B02EAA" w14:textId="136C54D1" w:rsidR="006C1196" w:rsidRPr="00E70587" w:rsidRDefault="006C1196" w:rsidP="005F283E">
            <w:pPr>
              <w:overflowPunct/>
              <w:spacing w:line="280" w:lineRule="exact"/>
              <w:jc w:val="center"/>
              <w:textAlignment w:val="auto"/>
              <w:rPr>
                <w:rFonts w:ascii="Arial" w:hAnsi="Arial" w:cs="Arial"/>
                <w:sz w:val="20"/>
                <w:lang w:eastAsia="en-GB"/>
              </w:rPr>
            </w:pPr>
            <w:r w:rsidRPr="00E70587">
              <w:rPr>
                <w:rFonts w:ascii="Arial" w:hAnsi="Arial" w:cs="Arial"/>
                <w:sz w:val="20"/>
                <w:lang w:eastAsia="en-GB"/>
              </w:rPr>
              <w:t>(2</w:t>
            </w:r>
            <w:r w:rsidR="004922CB">
              <w:rPr>
                <w:rFonts w:ascii="Arial" w:hAnsi="Arial" w:cs="Arial"/>
                <w:sz w:val="20"/>
                <w:lang w:eastAsia="en-GB"/>
              </w:rPr>
              <w:t>06</w:t>
            </w:r>
            <w:r w:rsidRPr="00E70587">
              <w:rPr>
                <w:rFonts w:ascii="Arial" w:hAnsi="Arial" w:cs="Arial"/>
                <w:sz w:val="20"/>
                <w:lang w:eastAsia="en-GB"/>
              </w:rPr>
              <w:t>)</w:t>
            </w:r>
          </w:p>
        </w:tc>
        <w:tc>
          <w:tcPr>
            <w:tcW w:w="1710" w:type="dxa"/>
            <w:gridSpan w:val="2"/>
            <w:tcBorders>
              <w:top w:val="single" w:sz="4" w:space="0" w:color="auto"/>
              <w:bottom w:val="single" w:sz="4" w:space="0" w:color="auto"/>
            </w:tcBorders>
            <w:shd w:val="clear" w:color="auto" w:fill="auto"/>
            <w:noWrap/>
            <w:vAlign w:val="center"/>
            <w:hideMark/>
          </w:tcPr>
          <w:p w14:paraId="3FFB22B3" w14:textId="75D603E5" w:rsidR="006C1196" w:rsidRPr="00E70587" w:rsidRDefault="006C1196" w:rsidP="005F283E">
            <w:pPr>
              <w:overflowPunct/>
              <w:spacing w:line="280" w:lineRule="exact"/>
              <w:jc w:val="center"/>
              <w:textAlignment w:val="auto"/>
              <w:rPr>
                <w:rFonts w:ascii="Arial" w:hAnsi="Arial" w:cs="Arial"/>
                <w:sz w:val="20"/>
                <w:lang w:eastAsia="en-GB"/>
              </w:rPr>
            </w:pPr>
            <w:r w:rsidRPr="00E70587">
              <w:rPr>
                <w:rFonts w:ascii="Arial" w:hAnsi="Arial" w:cs="Arial"/>
                <w:sz w:val="20"/>
                <w:lang w:eastAsia="en-GB"/>
              </w:rPr>
              <w:t>1</w:t>
            </w:r>
            <w:r w:rsidR="004922CB">
              <w:rPr>
                <w:rFonts w:ascii="Arial" w:hAnsi="Arial" w:cs="Arial"/>
                <w:sz w:val="20"/>
                <w:lang w:eastAsia="en-GB"/>
              </w:rPr>
              <w:t>21</w:t>
            </w:r>
          </w:p>
        </w:tc>
        <w:tc>
          <w:tcPr>
            <w:tcW w:w="1890" w:type="dxa"/>
            <w:tcBorders>
              <w:top w:val="single" w:sz="4" w:space="0" w:color="auto"/>
              <w:bottom w:val="single" w:sz="4" w:space="0" w:color="auto"/>
            </w:tcBorders>
            <w:shd w:val="clear" w:color="auto" w:fill="auto"/>
            <w:noWrap/>
            <w:vAlign w:val="center"/>
            <w:hideMark/>
          </w:tcPr>
          <w:p w14:paraId="206EF8EF" w14:textId="50B48247" w:rsidR="006C1196" w:rsidRPr="00E70587" w:rsidRDefault="006C1196" w:rsidP="005F283E">
            <w:pPr>
              <w:overflowPunct/>
              <w:spacing w:line="280" w:lineRule="exact"/>
              <w:jc w:val="center"/>
              <w:textAlignment w:val="auto"/>
              <w:rPr>
                <w:rFonts w:ascii="Arial" w:hAnsi="Arial" w:cs="Arial"/>
                <w:sz w:val="20"/>
                <w:lang w:eastAsia="en-GB"/>
              </w:rPr>
            </w:pPr>
            <w:r w:rsidRPr="00E70587">
              <w:rPr>
                <w:rFonts w:ascii="Arial" w:hAnsi="Arial" w:cs="Arial"/>
                <w:sz w:val="20"/>
                <w:lang w:eastAsia="en-GB"/>
              </w:rPr>
              <w:t>(1</w:t>
            </w:r>
            <w:r w:rsidR="004922CB">
              <w:rPr>
                <w:rFonts w:ascii="Arial" w:hAnsi="Arial" w:cs="Arial"/>
                <w:sz w:val="20"/>
                <w:lang w:eastAsia="en-GB"/>
              </w:rPr>
              <w:t>56</w:t>
            </w:r>
            <w:r w:rsidRPr="00E70587">
              <w:rPr>
                <w:rFonts w:ascii="Arial" w:hAnsi="Arial" w:cs="Arial"/>
                <w:sz w:val="20"/>
                <w:lang w:eastAsia="en-GB"/>
              </w:rPr>
              <w:t>)</w:t>
            </w:r>
          </w:p>
        </w:tc>
      </w:tr>
    </w:tbl>
    <w:p w14:paraId="1B8BE785" w14:textId="77777777" w:rsidR="006C1196" w:rsidRDefault="006C1196" w:rsidP="006C1196">
      <w:pPr>
        <w:pStyle w:val="IAStext"/>
        <w:spacing w:line="280" w:lineRule="exact"/>
        <w:rPr>
          <w:rFonts w:ascii="Arial" w:eastAsiaTheme="minorHAnsi" w:hAnsi="Arial" w:cs="Arial"/>
          <w:i w:val="0"/>
          <w:sz w:val="20"/>
          <w:lang w:val="en-IN"/>
        </w:rPr>
      </w:pPr>
    </w:p>
    <w:p w14:paraId="74BFF91A" w14:textId="03C446F2" w:rsidR="006C1196" w:rsidRDefault="006C1196" w:rsidP="006C1196">
      <w:pPr>
        <w:rPr>
          <w:rFonts w:eastAsiaTheme="minorHAnsi"/>
        </w:rPr>
      </w:pPr>
    </w:p>
    <w:p w14:paraId="1BE265FE" w14:textId="576F7DF7" w:rsidR="006C1196" w:rsidRDefault="006C1196" w:rsidP="006C1196">
      <w:pPr>
        <w:rPr>
          <w:rFonts w:eastAsiaTheme="minorHAnsi"/>
        </w:rPr>
      </w:pPr>
    </w:p>
    <w:p w14:paraId="6B404B83" w14:textId="1C9DD82E" w:rsidR="006C1196" w:rsidRDefault="006C1196" w:rsidP="006C1196">
      <w:pPr>
        <w:rPr>
          <w:rFonts w:eastAsiaTheme="minorHAnsi"/>
        </w:rPr>
      </w:pPr>
    </w:p>
    <w:p w14:paraId="6E7B0C4A" w14:textId="019359D7" w:rsidR="006C1196" w:rsidRDefault="006C1196" w:rsidP="006C1196">
      <w:pPr>
        <w:rPr>
          <w:rFonts w:eastAsiaTheme="minorHAnsi"/>
        </w:rPr>
      </w:pPr>
    </w:p>
    <w:p w14:paraId="0CEA3066" w14:textId="0F4F81BD" w:rsidR="006C1196" w:rsidRDefault="006C1196" w:rsidP="006C1196">
      <w:pPr>
        <w:rPr>
          <w:rFonts w:eastAsiaTheme="minorHAnsi"/>
        </w:rPr>
      </w:pPr>
    </w:p>
    <w:p w14:paraId="7830F5FA" w14:textId="77777777" w:rsidR="006C1196" w:rsidRPr="006C1196" w:rsidRDefault="006C1196" w:rsidP="006C1196">
      <w:pPr>
        <w:rPr>
          <w:rFonts w:eastAsiaTheme="minorHAnsi"/>
        </w:rPr>
      </w:pPr>
    </w:p>
    <w:tbl>
      <w:tblPr>
        <w:tblW w:w="9576" w:type="dxa"/>
        <w:tblLook w:val="0000" w:firstRow="0" w:lastRow="0" w:firstColumn="0" w:lastColumn="0" w:noHBand="0" w:noVBand="0"/>
      </w:tblPr>
      <w:tblGrid>
        <w:gridCol w:w="9576"/>
      </w:tblGrid>
      <w:tr w:rsidR="000D0F4C" w:rsidRPr="00E70587" w14:paraId="02C2BA0B" w14:textId="77777777" w:rsidTr="00834981">
        <w:tc>
          <w:tcPr>
            <w:tcW w:w="0" w:type="auto"/>
          </w:tcPr>
          <w:p w14:paraId="77C9276C" w14:textId="77777777" w:rsidR="000D0F4C" w:rsidRPr="00E70587" w:rsidRDefault="000D0F4C" w:rsidP="00B43785">
            <w:pPr>
              <w:pStyle w:val="tabletext"/>
              <w:overflowPunct w:val="0"/>
              <w:autoSpaceDE w:val="0"/>
              <w:autoSpaceDN w:val="0"/>
              <w:adjustRightInd w:val="0"/>
              <w:spacing w:line="280" w:lineRule="exact"/>
              <w:jc w:val="both"/>
              <w:textAlignment w:val="baseline"/>
              <w:rPr>
                <w:rFonts w:ascii="Arial" w:hAnsi="Arial" w:cs="Arial"/>
                <w:sz w:val="20"/>
                <w:lang w:val="en-IN"/>
              </w:rPr>
            </w:pPr>
            <w:r w:rsidRPr="00E70587">
              <w:rPr>
                <w:rFonts w:ascii="Arial" w:hAnsi="Arial" w:cs="Arial"/>
                <w:sz w:val="20"/>
                <w:lang w:val="en-IN"/>
              </w:rPr>
              <w:t>The sensitivity analyses above have been determined based on a method that extrapolates the impact on defined benefit obligation as a result of reasonable changes in key assumptions occurring at the end of the reporting period.</w:t>
            </w:r>
          </w:p>
          <w:p w14:paraId="7AFA4647" w14:textId="77777777" w:rsidR="000D0F4C" w:rsidRPr="00E70587" w:rsidRDefault="000D0F4C" w:rsidP="00B43785">
            <w:pPr>
              <w:pStyle w:val="tabletext"/>
              <w:overflowPunct w:val="0"/>
              <w:autoSpaceDE w:val="0"/>
              <w:autoSpaceDN w:val="0"/>
              <w:adjustRightInd w:val="0"/>
              <w:spacing w:line="280" w:lineRule="exact"/>
              <w:jc w:val="both"/>
              <w:textAlignment w:val="baseline"/>
              <w:rPr>
                <w:rFonts w:ascii="Arial" w:eastAsiaTheme="minorHAnsi" w:hAnsi="Arial" w:cs="Arial"/>
                <w:sz w:val="20"/>
                <w:lang w:val="en-IN"/>
              </w:rPr>
            </w:pPr>
          </w:p>
          <w:p w14:paraId="6E670F4C" w14:textId="77777777" w:rsidR="000D0F4C" w:rsidRPr="00E70587" w:rsidRDefault="000D0F4C" w:rsidP="00B43785">
            <w:pPr>
              <w:pStyle w:val="tabletext"/>
              <w:overflowPunct w:val="0"/>
              <w:autoSpaceDE w:val="0"/>
              <w:autoSpaceDN w:val="0"/>
              <w:adjustRightInd w:val="0"/>
              <w:spacing w:line="280" w:lineRule="exact"/>
              <w:jc w:val="both"/>
              <w:textAlignment w:val="baseline"/>
              <w:rPr>
                <w:rFonts w:ascii="Arial" w:eastAsiaTheme="minorHAnsi" w:hAnsi="Arial" w:cs="Arial"/>
                <w:i/>
                <w:sz w:val="20"/>
                <w:lang w:val="en-IN"/>
              </w:rPr>
            </w:pPr>
            <w:r w:rsidRPr="00E70587">
              <w:rPr>
                <w:rFonts w:ascii="Arial" w:hAnsi="Arial" w:cs="Arial"/>
                <w:sz w:val="20"/>
                <w:lang w:val="en-IN"/>
              </w:rPr>
              <w:t>The following payments are expected contributions to the defined benefit plan in future years:</w:t>
            </w:r>
          </w:p>
        </w:tc>
      </w:tr>
    </w:tbl>
    <w:p w14:paraId="0367ECF9" w14:textId="77777777" w:rsidR="003B22DB" w:rsidRPr="00E70587" w:rsidRDefault="003B22DB" w:rsidP="009901E1">
      <w:pPr>
        <w:pStyle w:val="tabletext"/>
        <w:overflowPunct w:val="0"/>
        <w:autoSpaceDE w:val="0"/>
        <w:autoSpaceDN w:val="0"/>
        <w:adjustRightInd w:val="0"/>
        <w:spacing w:line="280" w:lineRule="exact"/>
        <w:ind w:right="1026"/>
        <w:jc w:val="both"/>
        <w:textAlignment w:val="baseline"/>
        <w:rPr>
          <w:rFonts w:ascii="Arial" w:hAnsi="Arial" w:cs="Arial"/>
          <w:sz w:val="20"/>
          <w:lang w:val="en-IN"/>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2"/>
        <w:gridCol w:w="1807"/>
        <w:gridCol w:w="1807"/>
      </w:tblGrid>
      <w:tr w:rsidR="00A17C17" w:rsidRPr="00E70587" w14:paraId="70C12A1B" w14:textId="77777777" w:rsidTr="00834981">
        <w:tc>
          <w:tcPr>
            <w:tcW w:w="5940" w:type="dxa"/>
          </w:tcPr>
          <w:p w14:paraId="44FAD00B" w14:textId="77777777" w:rsidR="00A17C17" w:rsidRPr="00E70587" w:rsidRDefault="00A17C17" w:rsidP="009901E1">
            <w:pPr>
              <w:pStyle w:val="tabletext"/>
              <w:spacing w:line="280" w:lineRule="exact"/>
              <w:rPr>
                <w:rFonts w:ascii="Arial" w:hAnsi="Arial" w:cs="Arial"/>
                <w:sz w:val="20"/>
                <w:lang w:val="en-IN"/>
              </w:rPr>
            </w:pPr>
          </w:p>
        </w:tc>
        <w:tc>
          <w:tcPr>
            <w:tcW w:w="1800" w:type="dxa"/>
            <w:tcBorders>
              <w:bottom w:val="single" w:sz="4" w:space="0" w:color="auto"/>
            </w:tcBorders>
            <w:vAlign w:val="center"/>
          </w:tcPr>
          <w:p w14:paraId="650C20AF" w14:textId="63633771" w:rsidR="00A17C17" w:rsidRPr="00E70587" w:rsidRDefault="00A17C17" w:rsidP="009901E1">
            <w:pPr>
              <w:pStyle w:val="tabletext"/>
              <w:spacing w:line="280" w:lineRule="exact"/>
              <w:jc w:val="right"/>
              <w:rPr>
                <w:rFonts w:ascii="Arial" w:hAnsi="Arial" w:cs="Arial"/>
                <w:b/>
                <w:sz w:val="20"/>
                <w:lang w:val="en-IN"/>
              </w:rPr>
            </w:pPr>
            <w:r w:rsidRPr="00E70587">
              <w:rPr>
                <w:rFonts w:ascii="Arial" w:hAnsi="Arial" w:cs="Arial"/>
                <w:b/>
                <w:sz w:val="20"/>
                <w:lang w:val="en-IN"/>
              </w:rPr>
              <w:t xml:space="preserve">31 </w:t>
            </w:r>
            <w:r w:rsidR="00E1202D" w:rsidRPr="00E70587">
              <w:rPr>
                <w:rFonts w:ascii="Arial" w:hAnsi="Arial" w:cs="Arial"/>
                <w:b/>
                <w:sz w:val="20"/>
                <w:lang w:val="en-IN"/>
              </w:rPr>
              <w:t xml:space="preserve">March </w:t>
            </w:r>
            <w:r w:rsidR="00015180" w:rsidRPr="00E70587">
              <w:rPr>
                <w:rFonts w:ascii="Arial" w:hAnsi="Arial" w:cs="Arial"/>
                <w:b/>
                <w:sz w:val="20"/>
                <w:lang w:val="en-IN"/>
              </w:rPr>
              <w:t>20</w:t>
            </w:r>
            <w:r w:rsidR="00015180">
              <w:rPr>
                <w:rFonts w:ascii="Arial" w:hAnsi="Arial" w:cs="Arial"/>
                <w:b/>
                <w:sz w:val="20"/>
                <w:lang w:val="en-IN"/>
              </w:rPr>
              <w:t>21</w:t>
            </w:r>
          </w:p>
        </w:tc>
        <w:tc>
          <w:tcPr>
            <w:tcW w:w="1800" w:type="dxa"/>
            <w:tcBorders>
              <w:bottom w:val="single" w:sz="4" w:space="0" w:color="auto"/>
            </w:tcBorders>
            <w:vAlign w:val="center"/>
          </w:tcPr>
          <w:p w14:paraId="1D4EBD4E" w14:textId="7052C709" w:rsidR="00A17C17" w:rsidRPr="00E70587" w:rsidRDefault="00A17C17" w:rsidP="009901E1">
            <w:pPr>
              <w:pStyle w:val="tabletext"/>
              <w:spacing w:line="280" w:lineRule="exact"/>
              <w:jc w:val="right"/>
              <w:rPr>
                <w:rFonts w:ascii="Arial" w:hAnsi="Arial" w:cs="Arial"/>
                <w:b/>
                <w:sz w:val="20"/>
                <w:lang w:val="en-IN"/>
              </w:rPr>
            </w:pPr>
            <w:r w:rsidRPr="00E70587">
              <w:rPr>
                <w:rFonts w:ascii="Arial" w:hAnsi="Arial" w:cs="Arial"/>
                <w:b/>
                <w:sz w:val="20"/>
                <w:lang w:val="en-IN"/>
              </w:rPr>
              <w:t xml:space="preserve">31 </w:t>
            </w:r>
            <w:r w:rsidR="008B730E" w:rsidRPr="00E70587">
              <w:rPr>
                <w:rFonts w:ascii="Arial" w:hAnsi="Arial" w:cs="Arial"/>
                <w:b/>
                <w:sz w:val="20"/>
                <w:lang w:val="en-IN"/>
              </w:rPr>
              <w:t xml:space="preserve">March </w:t>
            </w:r>
            <w:r w:rsidR="00015180" w:rsidRPr="00E70587">
              <w:rPr>
                <w:rFonts w:ascii="Arial" w:hAnsi="Arial" w:cs="Arial"/>
                <w:b/>
                <w:sz w:val="20"/>
                <w:lang w:val="en-IN"/>
              </w:rPr>
              <w:t>20</w:t>
            </w:r>
            <w:r w:rsidR="00015180">
              <w:rPr>
                <w:rFonts w:ascii="Arial" w:hAnsi="Arial" w:cs="Arial"/>
                <w:b/>
                <w:sz w:val="20"/>
                <w:lang w:val="en-IN"/>
              </w:rPr>
              <w:t>20</w:t>
            </w:r>
          </w:p>
        </w:tc>
      </w:tr>
      <w:tr w:rsidR="00A17C17" w:rsidRPr="00E70587" w14:paraId="6A06CFAD" w14:textId="77777777" w:rsidTr="00834981">
        <w:tc>
          <w:tcPr>
            <w:tcW w:w="5940" w:type="dxa"/>
          </w:tcPr>
          <w:p w14:paraId="3D7946AB" w14:textId="77777777" w:rsidR="00A17C17" w:rsidRPr="00E70587" w:rsidRDefault="00A17C17" w:rsidP="009901E1">
            <w:pPr>
              <w:pStyle w:val="tabletext"/>
              <w:spacing w:line="280" w:lineRule="exact"/>
              <w:rPr>
                <w:rFonts w:ascii="Arial" w:hAnsi="Arial" w:cs="Arial"/>
                <w:sz w:val="20"/>
                <w:lang w:val="en-IN"/>
              </w:rPr>
            </w:pPr>
          </w:p>
        </w:tc>
        <w:tc>
          <w:tcPr>
            <w:tcW w:w="1800" w:type="dxa"/>
            <w:tcBorders>
              <w:top w:val="single" w:sz="4" w:space="0" w:color="auto"/>
            </w:tcBorders>
            <w:vAlign w:val="center"/>
          </w:tcPr>
          <w:p w14:paraId="7098E782"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b/>
                <w:sz w:val="20"/>
                <w:lang w:val="en-IN"/>
              </w:rPr>
              <w:t>INR Lacs</w:t>
            </w:r>
          </w:p>
        </w:tc>
        <w:tc>
          <w:tcPr>
            <w:tcW w:w="1800" w:type="dxa"/>
            <w:tcBorders>
              <w:top w:val="single" w:sz="4" w:space="0" w:color="auto"/>
            </w:tcBorders>
            <w:vAlign w:val="center"/>
          </w:tcPr>
          <w:p w14:paraId="34F65AD1"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b/>
                <w:sz w:val="20"/>
                <w:lang w:val="en-IN"/>
              </w:rPr>
              <w:t>INR Lacs</w:t>
            </w:r>
          </w:p>
        </w:tc>
      </w:tr>
      <w:tr w:rsidR="00A17C17" w:rsidRPr="00E70587" w14:paraId="0F8B0E58" w14:textId="77777777" w:rsidTr="00834981">
        <w:tc>
          <w:tcPr>
            <w:tcW w:w="5940" w:type="dxa"/>
          </w:tcPr>
          <w:p w14:paraId="225A1231"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Within the next 12 months (next annual reporting period)</w:t>
            </w:r>
          </w:p>
        </w:tc>
        <w:tc>
          <w:tcPr>
            <w:tcW w:w="1800" w:type="dxa"/>
            <w:vAlign w:val="center"/>
          </w:tcPr>
          <w:p w14:paraId="74789C5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2,700</w:t>
            </w:r>
          </w:p>
        </w:tc>
        <w:tc>
          <w:tcPr>
            <w:tcW w:w="1800" w:type="dxa"/>
            <w:vAlign w:val="center"/>
          </w:tcPr>
          <w:p w14:paraId="5211CA4F"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2,430</w:t>
            </w:r>
          </w:p>
        </w:tc>
      </w:tr>
      <w:tr w:rsidR="00A17C17" w:rsidRPr="00E70587" w14:paraId="5864DAB2" w14:textId="77777777" w:rsidTr="00834981">
        <w:tc>
          <w:tcPr>
            <w:tcW w:w="5940" w:type="dxa"/>
          </w:tcPr>
          <w:p w14:paraId="64B2110C"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Between 2 and 5 years</w:t>
            </w:r>
          </w:p>
        </w:tc>
        <w:tc>
          <w:tcPr>
            <w:tcW w:w="1800" w:type="dxa"/>
            <w:vAlign w:val="center"/>
          </w:tcPr>
          <w:p w14:paraId="1E44D35A"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3,870</w:t>
            </w:r>
          </w:p>
        </w:tc>
        <w:tc>
          <w:tcPr>
            <w:tcW w:w="1800" w:type="dxa"/>
            <w:vAlign w:val="center"/>
          </w:tcPr>
          <w:p w14:paraId="516CDCF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3,690</w:t>
            </w:r>
          </w:p>
        </w:tc>
      </w:tr>
      <w:tr w:rsidR="00A17C17" w:rsidRPr="00E70587" w14:paraId="5FCD9889" w14:textId="77777777" w:rsidTr="00834981">
        <w:tc>
          <w:tcPr>
            <w:tcW w:w="5940" w:type="dxa"/>
          </w:tcPr>
          <w:p w14:paraId="3026D401"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Between 5 and 10 years</w:t>
            </w:r>
          </w:p>
        </w:tc>
        <w:tc>
          <w:tcPr>
            <w:tcW w:w="1800" w:type="dxa"/>
            <w:vAlign w:val="center"/>
          </w:tcPr>
          <w:p w14:paraId="5C9FEF12"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3,888</w:t>
            </w:r>
          </w:p>
        </w:tc>
        <w:tc>
          <w:tcPr>
            <w:tcW w:w="1800" w:type="dxa"/>
            <w:vAlign w:val="center"/>
          </w:tcPr>
          <w:p w14:paraId="7EA37507"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4,212</w:t>
            </w:r>
          </w:p>
        </w:tc>
      </w:tr>
      <w:tr w:rsidR="00A17C17" w:rsidRPr="00E70587" w14:paraId="485815B6" w14:textId="77777777" w:rsidTr="00834981">
        <w:tc>
          <w:tcPr>
            <w:tcW w:w="5940" w:type="dxa"/>
          </w:tcPr>
          <w:p w14:paraId="6D619782"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Beyond 10 years</w:t>
            </w:r>
          </w:p>
        </w:tc>
        <w:tc>
          <w:tcPr>
            <w:tcW w:w="1800" w:type="dxa"/>
            <w:tcBorders>
              <w:bottom w:val="single" w:sz="4" w:space="0" w:color="auto"/>
            </w:tcBorders>
            <w:vAlign w:val="center"/>
          </w:tcPr>
          <w:p w14:paraId="53FE4AF7"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5,400</w:t>
            </w:r>
          </w:p>
        </w:tc>
        <w:tc>
          <w:tcPr>
            <w:tcW w:w="1800" w:type="dxa"/>
            <w:tcBorders>
              <w:bottom w:val="single" w:sz="4" w:space="0" w:color="auto"/>
            </w:tcBorders>
            <w:vAlign w:val="center"/>
          </w:tcPr>
          <w:p w14:paraId="5D8EBF91"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(4,680)</w:t>
            </w:r>
          </w:p>
        </w:tc>
      </w:tr>
      <w:tr w:rsidR="00A17C17" w:rsidRPr="00E70587" w14:paraId="166E873F" w14:textId="77777777" w:rsidTr="00834981">
        <w:tc>
          <w:tcPr>
            <w:tcW w:w="5940" w:type="dxa"/>
          </w:tcPr>
          <w:p w14:paraId="7645C081"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b/>
                <w:sz w:val="20"/>
                <w:lang w:val="en-IN"/>
              </w:rPr>
              <w:t>Total expected payments</w:t>
            </w:r>
          </w:p>
        </w:tc>
        <w:tc>
          <w:tcPr>
            <w:tcW w:w="1800" w:type="dxa"/>
            <w:tcBorders>
              <w:top w:val="single" w:sz="4" w:space="0" w:color="auto"/>
              <w:bottom w:val="single" w:sz="4" w:space="0" w:color="auto"/>
            </w:tcBorders>
            <w:vAlign w:val="center"/>
          </w:tcPr>
          <w:p w14:paraId="6CF70973"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15,858</w:t>
            </w:r>
          </w:p>
        </w:tc>
        <w:tc>
          <w:tcPr>
            <w:tcW w:w="1800" w:type="dxa"/>
            <w:tcBorders>
              <w:top w:val="single" w:sz="4" w:space="0" w:color="auto"/>
              <w:bottom w:val="single" w:sz="4" w:space="0" w:color="auto"/>
            </w:tcBorders>
            <w:vAlign w:val="center"/>
          </w:tcPr>
          <w:p w14:paraId="5C3272E4" w14:textId="77777777" w:rsidR="00A17C17" w:rsidRPr="00E70587" w:rsidRDefault="00A17C17" w:rsidP="009901E1">
            <w:pPr>
              <w:spacing w:line="280" w:lineRule="exact"/>
              <w:jc w:val="right"/>
              <w:rPr>
                <w:rFonts w:ascii="Arial" w:hAnsi="Arial" w:cs="Arial"/>
                <w:b/>
                <w:bCs/>
                <w:sz w:val="20"/>
              </w:rPr>
            </w:pPr>
            <w:r w:rsidRPr="00E70587">
              <w:rPr>
                <w:rFonts w:ascii="Arial" w:hAnsi="Arial" w:cs="Arial"/>
                <w:b/>
                <w:bCs/>
                <w:sz w:val="20"/>
              </w:rPr>
              <w:t>5,652</w:t>
            </w:r>
          </w:p>
        </w:tc>
      </w:tr>
    </w:tbl>
    <w:p w14:paraId="29473D60" w14:textId="77777777" w:rsidR="00611DC3" w:rsidRPr="00E70587" w:rsidRDefault="00611DC3" w:rsidP="009901E1">
      <w:pPr>
        <w:pStyle w:val="tabletext"/>
        <w:overflowPunct w:val="0"/>
        <w:autoSpaceDE w:val="0"/>
        <w:autoSpaceDN w:val="0"/>
        <w:adjustRightInd w:val="0"/>
        <w:spacing w:line="280" w:lineRule="exact"/>
        <w:textAlignment w:val="baseline"/>
        <w:rPr>
          <w:rFonts w:ascii="Arial" w:hAnsi="Arial" w:cs="Arial"/>
          <w:sz w:val="20"/>
          <w:lang w:val="en-IN"/>
        </w:rPr>
      </w:pPr>
    </w:p>
    <w:p w14:paraId="2D0A5C46" w14:textId="32AA8E12" w:rsidR="00A17C17" w:rsidRPr="00E70587" w:rsidRDefault="00A17C17" w:rsidP="00B43785">
      <w:pPr>
        <w:pStyle w:val="tabletext"/>
        <w:overflowPunct w:val="0"/>
        <w:autoSpaceDE w:val="0"/>
        <w:autoSpaceDN w:val="0"/>
        <w:adjustRightInd w:val="0"/>
        <w:spacing w:line="280" w:lineRule="exact"/>
        <w:jc w:val="both"/>
        <w:textAlignment w:val="baseline"/>
        <w:rPr>
          <w:rFonts w:ascii="Arial" w:hAnsi="Arial" w:cs="Arial"/>
          <w:sz w:val="20"/>
          <w:lang w:val="en-IN"/>
        </w:rPr>
      </w:pPr>
      <w:r w:rsidRPr="00E70587">
        <w:rPr>
          <w:rFonts w:ascii="Arial" w:hAnsi="Arial" w:cs="Arial"/>
          <w:sz w:val="20"/>
          <w:lang w:val="en-IN"/>
        </w:rPr>
        <w:t>The average duration of the defined benefit plan obligation at the end of the reporting period is 26.5 years</w:t>
      </w:r>
      <w:r w:rsidR="00BB4BC9" w:rsidRPr="00E70587">
        <w:rPr>
          <w:rFonts w:ascii="Arial" w:hAnsi="Arial" w:cs="Arial"/>
          <w:sz w:val="20"/>
          <w:lang w:val="en-IN"/>
        </w:rPr>
        <w:t xml:space="preserve"> </w:t>
      </w: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CC0DF3" w:rsidRPr="00E70587">
        <w:rPr>
          <w:rFonts w:ascii="Arial" w:hAnsi="Arial" w:cs="Arial"/>
          <w:sz w:val="20"/>
          <w:lang w:val="en-IN"/>
        </w:rPr>
        <w:t>20</w:t>
      </w:r>
      <w:r w:rsidR="00CC0DF3">
        <w:rPr>
          <w:rFonts w:ascii="Arial" w:hAnsi="Arial" w:cs="Arial"/>
          <w:sz w:val="20"/>
          <w:lang w:val="en-IN"/>
        </w:rPr>
        <w:t>20</w:t>
      </w:r>
      <w:r w:rsidRPr="00E70587">
        <w:rPr>
          <w:rFonts w:ascii="Arial" w:hAnsi="Arial" w:cs="Arial"/>
          <w:sz w:val="20"/>
          <w:lang w:val="en-IN"/>
        </w:rPr>
        <w:t>: 25.3 years).</w:t>
      </w:r>
    </w:p>
    <w:p w14:paraId="0182BF74" w14:textId="7757809B" w:rsidR="00B43785" w:rsidRDefault="00B43785" w:rsidP="00B43785">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7A55C751" w14:textId="4906A7B8" w:rsidR="00AB2F25" w:rsidRPr="00AB2F25" w:rsidRDefault="00AB2F25" w:rsidP="00AB2F25">
      <w:pPr>
        <w:pStyle w:val="tabletext"/>
        <w:shd w:val="clear" w:color="auto" w:fill="C1C1C1" w:themeFill="background1" w:themeFillTint="66"/>
        <w:spacing w:line="280" w:lineRule="exact"/>
        <w:jc w:val="both"/>
        <w:rPr>
          <w:rFonts w:ascii="Arial" w:hAnsi="Arial" w:cs="Arial"/>
          <w:b/>
          <w:bCs/>
          <w:sz w:val="20"/>
          <w:lang w:val="en-IN"/>
        </w:rPr>
      </w:pPr>
      <w:r w:rsidRPr="00AB2F25">
        <w:rPr>
          <w:rFonts w:ascii="Arial" w:hAnsi="Arial" w:cs="Arial"/>
          <w:b/>
          <w:bCs/>
          <w:sz w:val="20"/>
          <w:lang w:val="en-IN"/>
        </w:rPr>
        <w:t>Author’s Note</w:t>
      </w:r>
    </w:p>
    <w:p w14:paraId="6932EE2D" w14:textId="77777777" w:rsidR="00AB2F25" w:rsidRDefault="00AB2F25" w:rsidP="00AB2F25">
      <w:pPr>
        <w:pStyle w:val="tabletext"/>
        <w:shd w:val="clear" w:color="auto" w:fill="C1C1C1" w:themeFill="background1" w:themeFillTint="66"/>
        <w:spacing w:line="280" w:lineRule="exact"/>
        <w:jc w:val="both"/>
        <w:rPr>
          <w:rFonts w:ascii="Arial" w:hAnsi="Arial" w:cs="Arial"/>
          <w:sz w:val="20"/>
          <w:lang w:val="en-IN"/>
        </w:rPr>
      </w:pPr>
    </w:p>
    <w:p w14:paraId="47CC66AF" w14:textId="2E71E5FE" w:rsidR="00AB2F25" w:rsidRDefault="00AB2F25" w:rsidP="00AB2F25">
      <w:pPr>
        <w:pStyle w:val="tabletext"/>
        <w:shd w:val="clear" w:color="auto" w:fill="C1C1C1" w:themeFill="background1" w:themeFillTint="66"/>
        <w:spacing w:line="280" w:lineRule="exact"/>
        <w:jc w:val="both"/>
        <w:rPr>
          <w:rFonts w:ascii="Arial" w:hAnsi="Arial" w:cs="Arial"/>
          <w:sz w:val="20"/>
          <w:lang w:val="en-IN"/>
        </w:rPr>
      </w:pPr>
      <w:r w:rsidRPr="00AB2F25">
        <w:rPr>
          <w:rFonts w:ascii="Arial" w:hAnsi="Arial" w:cs="Arial"/>
          <w:sz w:val="20"/>
          <w:lang w:val="en-IN"/>
        </w:rPr>
        <w:t>Ind AS 19.145(c) also requires disclosure of changes from the previous period in the methods and assumptions used in preparing the sensitivity analyses, and the reasons for such changes. The Group did not have such changes.</w:t>
      </w:r>
    </w:p>
    <w:p w14:paraId="6291133E" w14:textId="77777777" w:rsidR="00AB2F25" w:rsidRPr="00AB2F25" w:rsidRDefault="00AB2F25" w:rsidP="00AB2F25">
      <w:pPr>
        <w:pStyle w:val="tabletext"/>
        <w:shd w:val="clear" w:color="auto" w:fill="C1C1C1" w:themeFill="background1" w:themeFillTint="66"/>
        <w:spacing w:line="280" w:lineRule="exact"/>
        <w:jc w:val="both"/>
        <w:rPr>
          <w:rFonts w:ascii="Arial" w:hAnsi="Arial" w:cs="Arial"/>
          <w:sz w:val="20"/>
          <w:lang w:val="en-IN"/>
        </w:rPr>
      </w:pPr>
    </w:p>
    <w:p w14:paraId="078C35F3" w14:textId="6FDA7756" w:rsidR="00AB2F25" w:rsidRDefault="00AB2F25" w:rsidP="00AB2F25">
      <w:pPr>
        <w:pStyle w:val="tabletext"/>
        <w:shd w:val="clear" w:color="auto" w:fill="C1C1C1" w:themeFill="background1" w:themeFillTint="66"/>
        <w:spacing w:line="280" w:lineRule="exact"/>
        <w:jc w:val="both"/>
        <w:rPr>
          <w:rFonts w:ascii="Arial" w:hAnsi="Arial" w:cs="Arial"/>
          <w:sz w:val="20"/>
          <w:lang w:val="en-IN"/>
        </w:rPr>
      </w:pPr>
      <w:r w:rsidRPr="00AB2F25">
        <w:rPr>
          <w:rFonts w:ascii="Arial" w:hAnsi="Arial" w:cs="Arial"/>
          <w:sz w:val="20"/>
          <w:lang w:val="en-IN"/>
        </w:rPr>
        <w:t>Ind AS 19.145(a) requires disclosure of sensitivity analyses showing how the defined benefit obligation would be affected by reasonably possible changes in actuarial assumptions. The purpose of this publication is to illustrate the disclosures required and therefore the changes in the assumptions provided in the sensitivity analyses above are not necessarily reflective of those in the current markets.</w:t>
      </w:r>
    </w:p>
    <w:p w14:paraId="2B21100F" w14:textId="77777777" w:rsidR="00AB2F25" w:rsidRPr="00AB2F25" w:rsidRDefault="00AB2F25" w:rsidP="00AB2F25">
      <w:pPr>
        <w:pStyle w:val="tabletext"/>
        <w:shd w:val="clear" w:color="auto" w:fill="C1C1C1" w:themeFill="background1" w:themeFillTint="66"/>
        <w:spacing w:line="280" w:lineRule="exact"/>
        <w:jc w:val="both"/>
        <w:rPr>
          <w:rFonts w:ascii="Arial" w:hAnsi="Arial" w:cs="Arial"/>
          <w:sz w:val="20"/>
          <w:lang w:val="en-IN"/>
        </w:rPr>
      </w:pPr>
    </w:p>
    <w:p w14:paraId="51F21FC7" w14:textId="77777777" w:rsidR="00AB2F25" w:rsidRDefault="00AB2F25" w:rsidP="00AB2F25">
      <w:pPr>
        <w:pStyle w:val="tabletext"/>
        <w:shd w:val="clear" w:color="auto" w:fill="C1C1C1" w:themeFill="background1" w:themeFillTint="66"/>
        <w:spacing w:line="280" w:lineRule="exact"/>
        <w:jc w:val="both"/>
        <w:rPr>
          <w:rFonts w:ascii="Arial" w:hAnsi="Arial" w:cs="Arial"/>
          <w:sz w:val="20"/>
          <w:lang w:val="en-IN"/>
        </w:rPr>
      </w:pPr>
      <w:r w:rsidRPr="00AB2F25">
        <w:rPr>
          <w:rFonts w:ascii="Arial" w:hAnsi="Arial" w:cs="Arial"/>
          <w:sz w:val="20"/>
          <w:lang w:val="en-IN"/>
        </w:rPr>
        <w:t>The standard includes some overriding disclosure objectives and considerations that provide a framework to identify the overall tone and extent of disclosures that should be included in the financial statement notes.</w:t>
      </w:r>
    </w:p>
    <w:p w14:paraId="30A61E05" w14:textId="77777777" w:rsidR="00AB2F25" w:rsidRDefault="00AB2F25" w:rsidP="00AB2F25">
      <w:pPr>
        <w:pStyle w:val="tabletext"/>
        <w:shd w:val="clear" w:color="auto" w:fill="C1C1C1" w:themeFill="background1" w:themeFillTint="66"/>
        <w:spacing w:line="280" w:lineRule="exact"/>
        <w:jc w:val="both"/>
        <w:rPr>
          <w:rFonts w:ascii="Arial" w:hAnsi="Arial" w:cs="Arial"/>
          <w:sz w:val="20"/>
          <w:lang w:val="en-IN"/>
        </w:rPr>
      </w:pPr>
    </w:p>
    <w:p w14:paraId="28FE4DBF" w14:textId="0BA41429" w:rsidR="00AB2F25" w:rsidRPr="00AB2F25" w:rsidRDefault="00AB2F25" w:rsidP="00AB2F25">
      <w:pPr>
        <w:pStyle w:val="tabletext"/>
        <w:shd w:val="clear" w:color="auto" w:fill="C1C1C1" w:themeFill="background1" w:themeFillTint="66"/>
        <w:spacing w:line="280" w:lineRule="exact"/>
        <w:jc w:val="both"/>
        <w:rPr>
          <w:rFonts w:ascii="Arial" w:hAnsi="Arial" w:cs="Arial"/>
          <w:sz w:val="20"/>
          <w:lang w:val="en-IN"/>
        </w:rPr>
      </w:pPr>
      <w:r w:rsidRPr="00AB2F25">
        <w:rPr>
          <w:rFonts w:ascii="Arial" w:hAnsi="Arial" w:cs="Arial"/>
          <w:sz w:val="20"/>
          <w:lang w:val="en-IN"/>
        </w:rPr>
        <w:t>For example, Ind AS 19.136 indicates that entities should consider the following when providing defined benefit plan disclosures:</w:t>
      </w:r>
    </w:p>
    <w:p w14:paraId="3EF96124" w14:textId="77777777" w:rsidR="00AB2F25" w:rsidRPr="00AB2F25" w:rsidRDefault="00AB2F25" w:rsidP="00AB2F25">
      <w:pPr>
        <w:pStyle w:val="tabletext"/>
        <w:shd w:val="clear" w:color="auto" w:fill="C1C1C1" w:themeFill="background1" w:themeFillTint="66"/>
        <w:spacing w:line="280" w:lineRule="exact"/>
        <w:jc w:val="both"/>
        <w:rPr>
          <w:rFonts w:ascii="Arial" w:hAnsi="Arial" w:cs="Arial"/>
          <w:sz w:val="20"/>
          <w:lang w:val="en-IN"/>
        </w:rPr>
      </w:pPr>
      <w:r w:rsidRPr="00AB2F25">
        <w:rPr>
          <w:rFonts w:ascii="Arial" w:hAnsi="Arial" w:cs="Arial"/>
          <w:sz w:val="20"/>
          <w:lang w:val="en-IN"/>
        </w:rPr>
        <w:t>►</w:t>
      </w:r>
      <w:r w:rsidRPr="00AB2F25">
        <w:rPr>
          <w:rFonts w:ascii="Arial" w:hAnsi="Arial" w:cs="Arial"/>
          <w:sz w:val="20"/>
          <w:lang w:val="en-IN"/>
        </w:rPr>
        <w:tab/>
        <w:t>The level of detail necessary to satisfy the disclosure requirements</w:t>
      </w:r>
    </w:p>
    <w:p w14:paraId="00108A3C" w14:textId="77777777" w:rsidR="00AB2F25" w:rsidRPr="00AB2F25" w:rsidRDefault="00AB2F25" w:rsidP="00AB2F25">
      <w:pPr>
        <w:pStyle w:val="tabletext"/>
        <w:shd w:val="clear" w:color="auto" w:fill="C1C1C1" w:themeFill="background1" w:themeFillTint="66"/>
        <w:spacing w:line="280" w:lineRule="exact"/>
        <w:jc w:val="both"/>
        <w:rPr>
          <w:rFonts w:ascii="Arial" w:hAnsi="Arial" w:cs="Arial"/>
          <w:sz w:val="20"/>
          <w:lang w:val="en-IN"/>
        </w:rPr>
      </w:pPr>
      <w:r w:rsidRPr="00AB2F25">
        <w:rPr>
          <w:rFonts w:ascii="Arial" w:hAnsi="Arial" w:cs="Arial"/>
          <w:sz w:val="20"/>
          <w:lang w:val="en-IN"/>
        </w:rPr>
        <w:t>►</w:t>
      </w:r>
      <w:r w:rsidRPr="00AB2F25">
        <w:rPr>
          <w:rFonts w:ascii="Arial" w:hAnsi="Arial" w:cs="Arial"/>
          <w:sz w:val="20"/>
          <w:lang w:val="en-IN"/>
        </w:rPr>
        <w:tab/>
        <w:t>How much emphasis to place on each of the various requirements</w:t>
      </w:r>
    </w:p>
    <w:p w14:paraId="1593BF58" w14:textId="77777777" w:rsidR="00AB2F25" w:rsidRPr="00AB2F25" w:rsidRDefault="00AB2F25" w:rsidP="00AB2F25">
      <w:pPr>
        <w:pStyle w:val="tabletext"/>
        <w:shd w:val="clear" w:color="auto" w:fill="C1C1C1" w:themeFill="background1" w:themeFillTint="66"/>
        <w:spacing w:line="280" w:lineRule="exact"/>
        <w:jc w:val="both"/>
        <w:rPr>
          <w:rFonts w:ascii="Arial" w:hAnsi="Arial" w:cs="Arial"/>
          <w:sz w:val="20"/>
          <w:lang w:val="en-IN"/>
        </w:rPr>
      </w:pPr>
      <w:r w:rsidRPr="00AB2F25">
        <w:rPr>
          <w:rFonts w:ascii="Arial" w:hAnsi="Arial" w:cs="Arial"/>
          <w:sz w:val="20"/>
          <w:lang w:val="en-IN"/>
        </w:rPr>
        <w:t>►</w:t>
      </w:r>
      <w:r w:rsidRPr="00AB2F25">
        <w:rPr>
          <w:rFonts w:ascii="Arial" w:hAnsi="Arial" w:cs="Arial"/>
          <w:sz w:val="20"/>
          <w:lang w:val="en-IN"/>
        </w:rPr>
        <w:tab/>
        <w:t>How much aggregation or disaggregation to undertake</w:t>
      </w:r>
    </w:p>
    <w:p w14:paraId="60205881" w14:textId="729C26C9" w:rsidR="00AB2F25" w:rsidRDefault="00AB2F25" w:rsidP="00AB2F25">
      <w:pPr>
        <w:pStyle w:val="tabletext"/>
        <w:shd w:val="clear" w:color="auto" w:fill="C1C1C1" w:themeFill="background1" w:themeFillTint="66"/>
        <w:spacing w:line="280" w:lineRule="exact"/>
        <w:jc w:val="both"/>
        <w:rPr>
          <w:rFonts w:ascii="Arial" w:hAnsi="Arial" w:cs="Arial"/>
          <w:sz w:val="20"/>
          <w:lang w:val="en-IN"/>
        </w:rPr>
      </w:pPr>
      <w:r w:rsidRPr="00AB2F25">
        <w:rPr>
          <w:rFonts w:ascii="Arial" w:hAnsi="Arial" w:cs="Arial"/>
          <w:sz w:val="20"/>
          <w:lang w:val="en-IN"/>
        </w:rPr>
        <w:t>►</w:t>
      </w:r>
      <w:r w:rsidRPr="00AB2F25">
        <w:rPr>
          <w:rFonts w:ascii="Arial" w:hAnsi="Arial" w:cs="Arial"/>
          <w:sz w:val="20"/>
          <w:lang w:val="en-IN"/>
        </w:rPr>
        <w:tab/>
        <w:t>Whether users of financial statements need additional information to evaluate the quantitative information disclosed</w:t>
      </w:r>
    </w:p>
    <w:p w14:paraId="6B88D11F" w14:textId="77777777" w:rsidR="00AB2F25" w:rsidRPr="00AB2F25" w:rsidRDefault="00AB2F25" w:rsidP="00AB2F25">
      <w:pPr>
        <w:pStyle w:val="tabletext"/>
        <w:shd w:val="clear" w:color="auto" w:fill="C1C1C1" w:themeFill="background1" w:themeFillTint="66"/>
        <w:spacing w:line="280" w:lineRule="exact"/>
        <w:jc w:val="both"/>
        <w:rPr>
          <w:rFonts w:ascii="Arial" w:hAnsi="Arial" w:cs="Arial"/>
          <w:sz w:val="20"/>
          <w:lang w:val="en-IN"/>
        </w:rPr>
      </w:pPr>
    </w:p>
    <w:p w14:paraId="53F02393" w14:textId="7ACB85DF" w:rsidR="00AB2F25" w:rsidRDefault="00AB2F25" w:rsidP="00AB2F25">
      <w:pPr>
        <w:pStyle w:val="tabletext"/>
        <w:shd w:val="clear" w:color="auto" w:fill="C1C1C1" w:themeFill="background1" w:themeFillTint="66"/>
        <w:spacing w:line="280" w:lineRule="exact"/>
        <w:jc w:val="both"/>
        <w:rPr>
          <w:rFonts w:ascii="Arial" w:hAnsi="Arial" w:cs="Arial"/>
          <w:sz w:val="20"/>
          <w:lang w:val="en-IN"/>
        </w:rPr>
      </w:pPr>
      <w:r w:rsidRPr="00AB2F25">
        <w:rPr>
          <w:rFonts w:ascii="Arial" w:hAnsi="Arial" w:cs="Arial"/>
          <w:sz w:val="20"/>
          <w:lang w:val="en-IN"/>
        </w:rPr>
        <w:t>These considerations were meant to assist entities in reconciling the overriding disclosure objective along with the fact that an extensive list of required disclosures still remains in the standard. The information that is immaterial is not required to be disclosed as set out in Ind AS 1.31.</w:t>
      </w:r>
    </w:p>
    <w:p w14:paraId="6CDBC6B4" w14:textId="77777777" w:rsidR="00AB2F25" w:rsidRPr="00AB2F25" w:rsidRDefault="00AB2F25" w:rsidP="00AB2F25">
      <w:pPr>
        <w:pStyle w:val="tabletext"/>
        <w:shd w:val="clear" w:color="auto" w:fill="C1C1C1" w:themeFill="background1" w:themeFillTint="66"/>
        <w:spacing w:line="280" w:lineRule="exact"/>
        <w:jc w:val="both"/>
        <w:rPr>
          <w:rFonts w:ascii="Arial" w:hAnsi="Arial" w:cs="Arial"/>
          <w:sz w:val="20"/>
          <w:lang w:val="en-IN"/>
        </w:rPr>
      </w:pPr>
    </w:p>
    <w:p w14:paraId="72EDC393" w14:textId="3E919672" w:rsidR="00AB2F25" w:rsidRDefault="00AB2F25" w:rsidP="00AB2F25">
      <w:pPr>
        <w:pStyle w:val="tabletext"/>
        <w:shd w:val="clear" w:color="auto" w:fill="C1C1C1" w:themeFill="background1" w:themeFillTint="66"/>
        <w:overflowPunct w:val="0"/>
        <w:autoSpaceDE w:val="0"/>
        <w:autoSpaceDN w:val="0"/>
        <w:adjustRightInd w:val="0"/>
        <w:spacing w:line="280" w:lineRule="exact"/>
        <w:jc w:val="both"/>
        <w:textAlignment w:val="baseline"/>
        <w:rPr>
          <w:rFonts w:ascii="Arial" w:hAnsi="Arial" w:cs="Arial"/>
          <w:sz w:val="20"/>
          <w:lang w:val="en-IN"/>
        </w:rPr>
      </w:pPr>
      <w:r w:rsidRPr="00AB2F25">
        <w:rPr>
          <w:rFonts w:ascii="Arial" w:hAnsi="Arial" w:cs="Arial"/>
          <w:sz w:val="20"/>
          <w:lang w:val="en-IN"/>
        </w:rPr>
        <w:t>The addition of clear disclosure objectives provides entities with an opportunity to take a fresh look at their defined benefit plan disclosures. Eliminating immaterial disclosures would enhance the financial statement users’ ability to focus on those transactions and details that truly matter.</w:t>
      </w:r>
    </w:p>
    <w:p w14:paraId="6B33C192" w14:textId="77777777" w:rsidR="00AB2F25" w:rsidRDefault="00AB2F25" w:rsidP="00B43785">
      <w:pPr>
        <w:pStyle w:val="tabletext"/>
        <w:overflowPunct w:val="0"/>
        <w:autoSpaceDE w:val="0"/>
        <w:autoSpaceDN w:val="0"/>
        <w:adjustRightInd w:val="0"/>
        <w:spacing w:line="280" w:lineRule="exact"/>
        <w:jc w:val="both"/>
        <w:textAlignment w:val="baseline"/>
        <w:rPr>
          <w:rFonts w:ascii="Arial" w:hAnsi="Arial" w:cs="Arial"/>
          <w:sz w:val="20"/>
          <w:lang w:val="en-IN"/>
        </w:rPr>
      </w:pPr>
    </w:p>
    <w:p w14:paraId="35A7F1FB" w14:textId="096CE886" w:rsidR="00170B16" w:rsidRPr="00170B16" w:rsidRDefault="00170B16" w:rsidP="00170B16">
      <w:pPr>
        <w:pStyle w:val="tabletext"/>
        <w:shd w:val="clear" w:color="auto" w:fill="C1C1C1" w:themeFill="background2" w:themeFillTint="66"/>
        <w:spacing w:line="280" w:lineRule="exact"/>
        <w:jc w:val="both"/>
        <w:rPr>
          <w:rFonts w:ascii="Arial" w:hAnsi="Arial" w:cs="Arial"/>
          <w:b/>
          <w:bCs/>
          <w:sz w:val="20"/>
          <w:lang w:val="en-IN"/>
        </w:rPr>
      </w:pPr>
      <w:r w:rsidRPr="00170B16">
        <w:rPr>
          <w:rFonts w:ascii="Arial" w:hAnsi="Arial" w:cs="Arial"/>
          <w:b/>
          <w:bCs/>
          <w:sz w:val="20"/>
          <w:lang w:val="en-IN"/>
        </w:rPr>
        <w:t xml:space="preserve">Covid-19 commentary </w:t>
      </w:r>
    </w:p>
    <w:p w14:paraId="32211241" w14:textId="77777777" w:rsidR="00170B16" w:rsidRPr="00170B16" w:rsidRDefault="00170B16" w:rsidP="00170B16">
      <w:pPr>
        <w:pStyle w:val="tabletext"/>
        <w:shd w:val="clear" w:color="auto" w:fill="C1C1C1" w:themeFill="background2" w:themeFillTint="66"/>
        <w:spacing w:line="280" w:lineRule="exact"/>
        <w:jc w:val="both"/>
        <w:rPr>
          <w:rFonts w:ascii="Arial" w:hAnsi="Arial" w:cs="Arial"/>
          <w:sz w:val="20"/>
          <w:lang w:val="en-IN"/>
        </w:rPr>
      </w:pPr>
    </w:p>
    <w:p w14:paraId="32C0D4B3" w14:textId="34CF3AF6" w:rsidR="00170B16" w:rsidRDefault="00170B16" w:rsidP="00170B16">
      <w:pPr>
        <w:pStyle w:val="tabletext"/>
        <w:shd w:val="clear" w:color="auto" w:fill="C1C1C1" w:themeFill="background2" w:themeFillTint="66"/>
        <w:spacing w:line="280" w:lineRule="exact"/>
        <w:jc w:val="both"/>
        <w:rPr>
          <w:rFonts w:ascii="Arial" w:hAnsi="Arial" w:cs="Arial"/>
          <w:sz w:val="20"/>
          <w:lang w:val="en-IN"/>
        </w:rPr>
      </w:pPr>
      <w:r w:rsidRPr="00170B16">
        <w:rPr>
          <w:rFonts w:ascii="Arial" w:hAnsi="Arial" w:cs="Arial"/>
          <w:sz w:val="20"/>
          <w:lang w:val="en-IN"/>
        </w:rPr>
        <w:lastRenderedPageBreak/>
        <w:t xml:space="preserve">The Covid-19 pandemic has a significant impact on interest rates, expected inflation and asset values which may trigger the need for a re-measurement of the defined benefit obligation and pension plan assets. The current environment is likely to continue to affect the values of the plan assets and obligations resulting in potential volatility in the amount of the net defined benefit pension plan surplus/deficit recognised. </w:t>
      </w:r>
    </w:p>
    <w:p w14:paraId="00957E06" w14:textId="6960699E" w:rsidR="00170B16" w:rsidRPr="00170B16" w:rsidRDefault="00170B16" w:rsidP="00170B16">
      <w:pPr>
        <w:pStyle w:val="tabletext"/>
        <w:shd w:val="clear" w:color="auto" w:fill="C1C1C1" w:themeFill="background2" w:themeFillTint="66"/>
        <w:spacing w:line="280" w:lineRule="exact"/>
        <w:jc w:val="both"/>
        <w:rPr>
          <w:rFonts w:ascii="Arial" w:hAnsi="Arial" w:cs="Arial"/>
          <w:sz w:val="20"/>
          <w:lang w:val="en-IN"/>
        </w:rPr>
      </w:pPr>
      <w:r w:rsidRPr="00170B16">
        <w:rPr>
          <w:rFonts w:ascii="Arial" w:hAnsi="Arial" w:cs="Arial"/>
          <w:sz w:val="20"/>
          <w:lang w:val="en-IN"/>
        </w:rPr>
        <w:t xml:space="preserve"> </w:t>
      </w:r>
    </w:p>
    <w:p w14:paraId="3BD4BB47" w14:textId="520852CF" w:rsidR="00170B16" w:rsidRDefault="00170B16" w:rsidP="00170B16">
      <w:pPr>
        <w:pStyle w:val="tabletext"/>
        <w:shd w:val="clear" w:color="auto" w:fill="C1C1C1" w:themeFill="background2" w:themeFillTint="66"/>
        <w:spacing w:line="280" w:lineRule="exact"/>
        <w:jc w:val="both"/>
        <w:rPr>
          <w:rFonts w:ascii="Arial" w:hAnsi="Arial" w:cs="Arial"/>
          <w:sz w:val="20"/>
          <w:lang w:val="en-IN"/>
        </w:rPr>
      </w:pPr>
      <w:r w:rsidRPr="00170B16">
        <w:rPr>
          <w:rFonts w:ascii="Arial" w:hAnsi="Arial" w:cs="Arial"/>
          <w:sz w:val="20"/>
          <w:lang w:val="en-IN"/>
        </w:rPr>
        <w:t>The impact of Covid-19 will vary by entity, with some entities recognising increases in net pension assets, while others having to recognise decreases. Entities should ensure that sufficient disclosures are made such that users are able to understand the impacts of the Covid-19 pandemic on pension plans.</w:t>
      </w:r>
    </w:p>
    <w:p w14:paraId="6584EE27" w14:textId="77777777" w:rsidR="00170B16" w:rsidRPr="00E70587" w:rsidRDefault="00170B16" w:rsidP="00B43785">
      <w:pPr>
        <w:pStyle w:val="tabletext"/>
        <w:overflowPunct w:val="0"/>
        <w:autoSpaceDE w:val="0"/>
        <w:autoSpaceDN w:val="0"/>
        <w:adjustRightInd w:val="0"/>
        <w:spacing w:line="280" w:lineRule="exact"/>
        <w:jc w:val="both"/>
        <w:textAlignment w:val="baseline"/>
        <w:rPr>
          <w:rFonts w:ascii="Arial" w:hAnsi="Arial" w:cs="Arial"/>
          <w:sz w:val="20"/>
          <w:lang w:val="en-I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8"/>
        <w:gridCol w:w="1814"/>
        <w:gridCol w:w="1814"/>
      </w:tblGrid>
      <w:tr w:rsidR="00A17C17" w:rsidRPr="00E70587" w14:paraId="1BE45D6E" w14:textId="77777777" w:rsidTr="00834981">
        <w:tc>
          <w:tcPr>
            <w:tcW w:w="0" w:type="auto"/>
            <w:gridSpan w:val="3"/>
            <w:tcBorders>
              <w:top w:val="nil"/>
              <w:left w:val="nil"/>
              <w:bottom w:val="nil"/>
              <w:right w:val="nil"/>
            </w:tcBorders>
          </w:tcPr>
          <w:p w14:paraId="0FF76656" w14:textId="77777777" w:rsidR="00A17C17" w:rsidRPr="00E70587" w:rsidRDefault="00A17C17" w:rsidP="00F53123">
            <w:pPr>
              <w:pStyle w:val="ViralheadingL2"/>
              <w:keepNext w:val="0"/>
              <w:numPr>
                <w:ilvl w:val="0"/>
                <w:numId w:val="8"/>
              </w:numPr>
              <w:spacing w:before="0" w:after="0" w:line="280" w:lineRule="exact"/>
              <w:ind w:left="720" w:hanging="720"/>
              <w:rPr>
                <w:rFonts w:ascii="Arial" w:hAnsi="Arial" w:cs="Arial"/>
                <w:sz w:val="20"/>
                <w:szCs w:val="20"/>
              </w:rPr>
            </w:pPr>
            <w:r w:rsidRPr="00E70587">
              <w:rPr>
                <w:rFonts w:ascii="Arial" w:hAnsi="Arial" w:cs="Arial"/>
                <w:sz w:val="20"/>
                <w:szCs w:val="20"/>
              </w:rPr>
              <w:t>Share-based payments</w:t>
            </w:r>
          </w:p>
          <w:p w14:paraId="211DB6A1" w14:textId="77777777" w:rsidR="00B43785" w:rsidRPr="00E70587" w:rsidRDefault="00B43785" w:rsidP="009901E1">
            <w:pPr>
              <w:pStyle w:val="Notesitalicheading"/>
              <w:spacing w:line="280" w:lineRule="exact"/>
              <w:jc w:val="both"/>
              <w:rPr>
                <w:rFonts w:ascii="Arial" w:hAnsi="Arial"/>
                <w:b w:val="0"/>
                <w:i w:val="0"/>
                <w:color w:val="auto"/>
                <w:sz w:val="20"/>
              </w:rPr>
            </w:pPr>
          </w:p>
          <w:p w14:paraId="0BF4051D" w14:textId="77777777" w:rsidR="00A17C17" w:rsidRPr="00E70587" w:rsidRDefault="00A17C17" w:rsidP="009901E1">
            <w:pPr>
              <w:pStyle w:val="Notesitalicheading"/>
              <w:spacing w:line="280" w:lineRule="exact"/>
              <w:jc w:val="both"/>
              <w:rPr>
                <w:rFonts w:ascii="Arial" w:hAnsi="Arial"/>
                <w:color w:val="auto"/>
                <w:sz w:val="20"/>
              </w:rPr>
            </w:pPr>
            <w:r w:rsidRPr="00E70587">
              <w:rPr>
                <w:rFonts w:ascii="Arial" w:hAnsi="Arial"/>
                <w:color w:val="auto"/>
                <w:sz w:val="20"/>
              </w:rPr>
              <w:t>Senior Executive Plan</w:t>
            </w:r>
          </w:p>
          <w:p w14:paraId="2B74D15C" w14:textId="77777777" w:rsidR="00B43785" w:rsidRPr="00E70587" w:rsidRDefault="00B43785" w:rsidP="009901E1">
            <w:pPr>
              <w:pStyle w:val="Notesbodytext"/>
              <w:spacing w:after="0" w:line="280" w:lineRule="exact"/>
              <w:jc w:val="both"/>
              <w:rPr>
                <w:rFonts w:ascii="Arial" w:hAnsi="Arial"/>
                <w:color w:val="auto"/>
                <w:sz w:val="20"/>
              </w:rPr>
            </w:pPr>
          </w:p>
          <w:p w14:paraId="3B9091DF" w14:textId="77777777" w:rsidR="00A17C17" w:rsidRPr="00E70587" w:rsidRDefault="00A17C17" w:rsidP="009901E1">
            <w:pPr>
              <w:pStyle w:val="Notesbodytext"/>
              <w:spacing w:after="0" w:line="280" w:lineRule="exact"/>
              <w:jc w:val="both"/>
              <w:rPr>
                <w:rFonts w:ascii="Arial" w:hAnsi="Arial"/>
                <w:color w:val="auto"/>
                <w:sz w:val="20"/>
              </w:rPr>
            </w:pPr>
            <w:r w:rsidRPr="00E70587">
              <w:rPr>
                <w:rFonts w:ascii="Arial" w:hAnsi="Arial"/>
                <w:color w:val="auto"/>
                <w:sz w:val="20"/>
              </w:rPr>
              <w:t xml:space="preserve">Under the Senior Executive Plan (SEP), share options of the parent are granted to senior executives of the parent with more than 12 months of service. In most cases, the exercise price of the share options is equal to the market price of the underlying shares on the date of grant. The share options vest if and when the Group’s EPS increases by 10% </w:t>
            </w:r>
            <w:r w:rsidR="004D06E0" w:rsidRPr="00E70587">
              <w:rPr>
                <w:rFonts w:ascii="Arial" w:hAnsi="Arial"/>
                <w:color w:val="auto"/>
                <w:sz w:val="20"/>
              </w:rPr>
              <w:t xml:space="preserve">within </w:t>
            </w:r>
            <w:r w:rsidRPr="00E70587">
              <w:rPr>
                <w:rFonts w:ascii="Arial" w:hAnsi="Arial"/>
                <w:color w:val="auto"/>
                <w:sz w:val="20"/>
              </w:rPr>
              <w:t>three years from the date of grant and the senior executive remains employed on such date. The share options granted will not vest if the EPS pe</w:t>
            </w:r>
            <w:r w:rsidR="00C41BF8" w:rsidRPr="00E70587">
              <w:rPr>
                <w:rFonts w:ascii="Arial" w:hAnsi="Arial"/>
                <w:color w:val="auto"/>
                <w:sz w:val="20"/>
              </w:rPr>
              <w:t>rformance condition is not met.</w:t>
            </w:r>
          </w:p>
          <w:p w14:paraId="3438F93B" w14:textId="77777777" w:rsidR="00A17C17" w:rsidRPr="00E70587" w:rsidRDefault="00A17C17" w:rsidP="009901E1">
            <w:pPr>
              <w:pStyle w:val="Notesbodytext"/>
              <w:spacing w:after="0" w:line="280" w:lineRule="exact"/>
              <w:jc w:val="both"/>
              <w:rPr>
                <w:rFonts w:ascii="Arial" w:hAnsi="Arial"/>
                <w:color w:val="auto"/>
                <w:sz w:val="20"/>
              </w:rPr>
            </w:pPr>
          </w:p>
          <w:p w14:paraId="08BE2D18" w14:textId="77777777" w:rsidR="00A17C17" w:rsidRPr="00E70587" w:rsidRDefault="00A17C17" w:rsidP="009901E1">
            <w:pPr>
              <w:pStyle w:val="Notesbodytext"/>
              <w:spacing w:after="0" w:line="280" w:lineRule="exact"/>
              <w:jc w:val="both"/>
              <w:rPr>
                <w:rFonts w:ascii="Arial" w:hAnsi="Arial"/>
                <w:color w:val="auto"/>
                <w:sz w:val="20"/>
              </w:rPr>
            </w:pPr>
            <w:r w:rsidRPr="00E70587">
              <w:rPr>
                <w:rFonts w:ascii="Arial" w:hAnsi="Arial"/>
                <w:color w:val="auto"/>
                <w:sz w:val="20"/>
              </w:rPr>
              <w:t>The fair value of the share options is estimated at the grant date using a binomial option pricing model, taking into account the terms and conditions upon which the share options were granted. However, the above performance condition is only considered in determining the number of instruments that will ultimately vest.</w:t>
            </w:r>
          </w:p>
          <w:p w14:paraId="02D4B156" w14:textId="77777777" w:rsidR="00A17C17" w:rsidRPr="00E70587" w:rsidRDefault="00A17C17" w:rsidP="009901E1">
            <w:pPr>
              <w:pStyle w:val="Notesbodytext"/>
              <w:spacing w:after="0" w:line="280" w:lineRule="exact"/>
              <w:jc w:val="both"/>
              <w:rPr>
                <w:rFonts w:ascii="Arial" w:hAnsi="Arial"/>
                <w:color w:val="auto"/>
                <w:sz w:val="20"/>
              </w:rPr>
            </w:pPr>
          </w:p>
          <w:p w14:paraId="34A3EBE3" w14:textId="77777777" w:rsidR="00A17C17" w:rsidRPr="00E70587" w:rsidRDefault="00A17C17" w:rsidP="009901E1">
            <w:pPr>
              <w:pStyle w:val="Notesbodytext"/>
              <w:spacing w:after="0" w:line="280" w:lineRule="exact"/>
              <w:jc w:val="both"/>
              <w:rPr>
                <w:rFonts w:ascii="Arial" w:hAnsi="Arial"/>
                <w:color w:val="auto"/>
                <w:sz w:val="20"/>
              </w:rPr>
            </w:pPr>
            <w:r w:rsidRPr="00E70587">
              <w:rPr>
                <w:rFonts w:ascii="Arial" w:hAnsi="Arial"/>
                <w:color w:val="auto"/>
                <w:sz w:val="20"/>
              </w:rPr>
              <w:t>The contractual term of each option granted is five years. There are no cash settlement alternatives. The Group does not have a past practice of cash settlement for these share options.</w:t>
            </w:r>
          </w:p>
          <w:p w14:paraId="0F9D2D6D" w14:textId="77777777" w:rsidR="00A17C17" w:rsidRPr="00E70587" w:rsidRDefault="00A17C17" w:rsidP="009901E1">
            <w:pPr>
              <w:pStyle w:val="ViralheadingL2"/>
              <w:spacing w:before="0" w:after="0" w:line="280" w:lineRule="exact"/>
              <w:jc w:val="both"/>
              <w:rPr>
                <w:rFonts w:ascii="Arial" w:hAnsi="Arial" w:cs="Arial"/>
                <w:b w:val="0"/>
                <w:sz w:val="20"/>
                <w:szCs w:val="20"/>
              </w:rPr>
            </w:pPr>
          </w:p>
        </w:tc>
      </w:tr>
      <w:tr w:rsidR="00A17C17" w:rsidRPr="00E70587" w14:paraId="04A434BC" w14:textId="77777777" w:rsidTr="00834981">
        <w:tc>
          <w:tcPr>
            <w:tcW w:w="0" w:type="auto"/>
            <w:gridSpan w:val="3"/>
            <w:tcBorders>
              <w:top w:val="nil"/>
              <w:left w:val="nil"/>
              <w:bottom w:val="nil"/>
              <w:right w:val="nil"/>
            </w:tcBorders>
          </w:tcPr>
          <w:p w14:paraId="22E10C98" w14:textId="77777777" w:rsidR="00A17C17" w:rsidRPr="00E70587" w:rsidRDefault="00A17C17" w:rsidP="009901E1">
            <w:pPr>
              <w:pStyle w:val="Notesitalicheading"/>
              <w:spacing w:line="280" w:lineRule="exact"/>
              <w:jc w:val="both"/>
              <w:rPr>
                <w:rFonts w:ascii="Arial" w:hAnsi="Arial"/>
                <w:color w:val="auto"/>
                <w:sz w:val="20"/>
              </w:rPr>
            </w:pPr>
            <w:r w:rsidRPr="00E70587">
              <w:rPr>
                <w:rFonts w:ascii="Arial" w:hAnsi="Arial"/>
                <w:color w:val="auto"/>
                <w:sz w:val="20"/>
              </w:rPr>
              <w:t>General Employee Share-option Plan</w:t>
            </w:r>
          </w:p>
          <w:p w14:paraId="2EACEF92" w14:textId="77777777" w:rsidR="00750C05" w:rsidRPr="00E70587" w:rsidRDefault="00750C05" w:rsidP="009901E1">
            <w:pPr>
              <w:pStyle w:val="Notesbodytext"/>
              <w:spacing w:after="0" w:line="280" w:lineRule="exact"/>
              <w:jc w:val="both"/>
              <w:rPr>
                <w:rFonts w:ascii="Arial" w:hAnsi="Arial"/>
                <w:color w:val="auto"/>
                <w:sz w:val="20"/>
              </w:rPr>
            </w:pPr>
          </w:p>
          <w:p w14:paraId="3B6F9166" w14:textId="77777777" w:rsidR="00A17C17" w:rsidRPr="00E70587" w:rsidRDefault="00A17C17" w:rsidP="009901E1">
            <w:pPr>
              <w:pStyle w:val="Notesbodytext"/>
              <w:spacing w:after="0" w:line="280" w:lineRule="exact"/>
              <w:jc w:val="both"/>
              <w:rPr>
                <w:rFonts w:ascii="Arial" w:hAnsi="Arial"/>
                <w:color w:val="auto"/>
                <w:sz w:val="20"/>
              </w:rPr>
            </w:pPr>
            <w:r w:rsidRPr="00E70587">
              <w:rPr>
                <w:rFonts w:ascii="Arial" w:hAnsi="Arial"/>
                <w:color w:val="auto"/>
                <w:sz w:val="20"/>
              </w:rPr>
              <w:t>Under the General Employee Share-option Plan (GESP), the Group, at its discretion, may grant share options of the parent to non-senior executive employees, once the employee has completed two years of service. Vesting of the share options is dependent on the Group’s total shareholder return (TSR) as compared to a group of principal competitors. Employees must remain in service for a period of three years from the date of grant. The fair value of share options granted is estimated at the date of grant using a Monte-Carlo simulation model, taking into account the terms and conditions upon which the share options were granted. The model simulates the TSR and compares it against the group of principal competitors. It takes into account historical and expected dividends, and the share price fluctuation covariance of the Group and its competitors to predict the distribution of relative share performance.</w:t>
            </w:r>
          </w:p>
          <w:p w14:paraId="4229DC55" w14:textId="77777777" w:rsidR="00A17C17" w:rsidRPr="00E70587" w:rsidRDefault="00A17C17" w:rsidP="009901E1">
            <w:pPr>
              <w:pStyle w:val="Notesbodytext"/>
              <w:spacing w:after="0" w:line="280" w:lineRule="exact"/>
              <w:jc w:val="both"/>
              <w:rPr>
                <w:rFonts w:ascii="Arial" w:hAnsi="Arial"/>
                <w:color w:val="auto"/>
                <w:sz w:val="20"/>
              </w:rPr>
            </w:pPr>
          </w:p>
          <w:p w14:paraId="5AF68065" w14:textId="77777777" w:rsidR="00A17C17" w:rsidRPr="00E70587" w:rsidRDefault="00A17C17" w:rsidP="009901E1">
            <w:pPr>
              <w:pStyle w:val="Notesbodytext"/>
              <w:spacing w:after="0" w:line="280" w:lineRule="exact"/>
              <w:jc w:val="both"/>
              <w:rPr>
                <w:rFonts w:ascii="Arial" w:hAnsi="Arial"/>
                <w:color w:val="auto"/>
                <w:sz w:val="20"/>
              </w:rPr>
            </w:pPr>
            <w:r w:rsidRPr="00E70587">
              <w:rPr>
                <w:rFonts w:ascii="Arial" w:hAnsi="Arial"/>
                <w:color w:val="auto"/>
                <w:sz w:val="20"/>
              </w:rPr>
              <w:t>The exercise price of the share options is equal to the market price of the underlying shares on the date of grant. The contractual term of the share options is five years and there are no cash settlement alternatives for the employees. The Group does not have a past practice of cash settlement for these awards.</w:t>
            </w:r>
          </w:p>
          <w:p w14:paraId="3DA88286" w14:textId="77777777" w:rsidR="00750C05" w:rsidRPr="00E70587" w:rsidRDefault="00750C05" w:rsidP="009901E1">
            <w:pPr>
              <w:pStyle w:val="Notesbodytext"/>
              <w:spacing w:after="0" w:line="280" w:lineRule="exact"/>
              <w:jc w:val="both"/>
              <w:rPr>
                <w:rFonts w:ascii="Arial" w:hAnsi="Arial"/>
                <w:color w:val="auto"/>
                <w:sz w:val="20"/>
              </w:rPr>
            </w:pPr>
          </w:p>
        </w:tc>
      </w:tr>
      <w:tr w:rsidR="00A17C17" w:rsidRPr="00E70587" w14:paraId="3E6685A7" w14:textId="77777777" w:rsidTr="00834981">
        <w:tc>
          <w:tcPr>
            <w:tcW w:w="0" w:type="auto"/>
            <w:gridSpan w:val="3"/>
            <w:tcBorders>
              <w:top w:val="nil"/>
              <w:left w:val="nil"/>
              <w:bottom w:val="nil"/>
              <w:right w:val="nil"/>
            </w:tcBorders>
          </w:tcPr>
          <w:p w14:paraId="2A87D2E9" w14:textId="77777777" w:rsidR="00A17C17" w:rsidRPr="00E70587" w:rsidRDefault="00A17C17" w:rsidP="00750C05">
            <w:pPr>
              <w:pStyle w:val="Notesitalicheading"/>
              <w:spacing w:line="280" w:lineRule="exact"/>
              <w:jc w:val="both"/>
              <w:rPr>
                <w:rFonts w:ascii="Arial" w:hAnsi="Arial"/>
                <w:color w:val="auto"/>
                <w:sz w:val="20"/>
              </w:rPr>
            </w:pPr>
            <w:r w:rsidRPr="00E70587">
              <w:rPr>
                <w:rFonts w:ascii="Arial" w:hAnsi="Arial"/>
                <w:color w:val="auto"/>
                <w:sz w:val="20"/>
              </w:rPr>
              <w:t>Share Appreciation Rights</w:t>
            </w:r>
          </w:p>
          <w:p w14:paraId="37B2FA7B" w14:textId="77777777" w:rsidR="00750C05" w:rsidRPr="00E70587" w:rsidRDefault="00750C05" w:rsidP="00750C05">
            <w:pPr>
              <w:pStyle w:val="Notesbodytext"/>
              <w:spacing w:after="0" w:line="280" w:lineRule="exact"/>
              <w:jc w:val="both"/>
              <w:rPr>
                <w:rFonts w:ascii="Arial" w:hAnsi="Arial"/>
                <w:color w:val="auto"/>
                <w:sz w:val="20"/>
              </w:rPr>
            </w:pPr>
          </w:p>
          <w:p w14:paraId="683FFF3F" w14:textId="77777777" w:rsidR="00A17C17" w:rsidRPr="00E70587" w:rsidRDefault="00A17C17" w:rsidP="00750C05">
            <w:pPr>
              <w:pStyle w:val="Notesbodytext"/>
              <w:spacing w:after="0" w:line="280" w:lineRule="exact"/>
              <w:jc w:val="both"/>
              <w:rPr>
                <w:rFonts w:ascii="Arial" w:hAnsi="Arial"/>
                <w:color w:val="auto"/>
                <w:sz w:val="20"/>
              </w:rPr>
            </w:pPr>
            <w:r w:rsidRPr="00E70587">
              <w:rPr>
                <w:rFonts w:ascii="Arial" w:hAnsi="Arial"/>
                <w:color w:val="auto"/>
                <w:sz w:val="20"/>
              </w:rPr>
              <w:t xml:space="preserve">The Group’s business development employees are granted share appreciation rights (SARs), settled in cash. The SARs vest when a specified target number of new sales contracts are closed and the employee continues to be employed by the Group at the vesting date. The contractual term of the SARs is six years. Fair value of the SARs is measured at each reporting date using a binomial option pricing model taking into </w:t>
            </w:r>
            <w:r w:rsidRPr="00E70587">
              <w:rPr>
                <w:rFonts w:ascii="Arial" w:hAnsi="Arial"/>
                <w:color w:val="auto"/>
                <w:sz w:val="20"/>
              </w:rPr>
              <w:lastRenderedPageBreak/>
              <w:t>account the terms and conditions upon which the instruments were granted and the current likelihood of achieving the specified target.</w:t>
            </w:r>
          </w:p>
          <w:p w14:paraId="7A30076C" w14:textId="77777777" w:rsidR="00A17C17" w:rsidRPr="00E70587" w:rsidRDefault="00A17C17" w:rsidP="00750C05">
            <w:pPr>
              <w:spacing w:line="280" w:lineRule="exact"/>
              <w:jc w:val="both"/>
              <w:rPr>
                <w:rFonts w:ascii="Arial" w:hAnsi="Arial" w:cs="Arial"/>
                <w:sz w:val="20"/>
              </w:rPr>
            </w:pPr>
          </w:p>
          <w:p w14:paraId="1F99BDE3" w14:textId="1CE20A54" w:rsidR="00A17C17" w:rsidRPr="00E70587" w:rsidRDefault="00A17C17" w:rsidP="00750C05">
            <w:pPr>
              <w:spacing w:line="280" w:lineRule="exact"/>
              <w:jc w:val="both"/>
              <w:rPr>
                <w:rFonts w:ascii="Arial" w:hAnsi="Arial" w:cs="Arial"/>
                <w:sz w:val="20"/>
              </w:rPr>
            </w:pPr>
            <w:r w:rsidRPr="00E70587">
              <w:rPr>
                <w:rFonts w:ascii="Arial" w:hAnsi="Arial" w:cs="Arial"/>
                <w:sz w:val="20"/>
              </w:rPr>
              <w:t xml:space="preserve">The carrying amount of the liability relating to the SARs at 31 </w:t>
            </w:r>
            <w:r w:rsidR="00E1202D" w:rsidRPr="00E70587">
              <w:rPr>
                <w:rFonts w:ascii="Arial" w:hAnsi="Arial" w:cs="Arial"/>
                <w:sz w:val="20"/>
              </w:rPr>
              <w:t xml:space="preserve">March </w:t>
            </w:r>
            <w:r w:rsidR="006C27B7" w:rsidRPr="00E70587">
              <w:rPr>
                <w:rFonts w:ascii="Arial" w:hAnsi="Arial" w:cs="Arial"/>
                <w:sz w:val="20"/>
              </w:rPr>
              <w:t>20</w:t>
            </w:r>
            <w:r w:rsidR="006C27B7">
              <w:rPr>
                <w:rFonts w:ascii="Arial" w:hAnsi="Arial" w:cs="Arial"/>
                <w:sz w:val="20"/>
              </w:rPr>
              <w:t>21</w:t>
            </w:r>
            <w:r w:rsidR="006C27B7" w:rsidRPr="00E70587">
              <w:rPr>
                <w:rFonts w:ascii="Arial" w:hAnsi="Arial" w:cs="Arial"/>
                <w:sz w:val="20"/>
              </w:rPr>
              <w:t xml:space="preserve"> </w:t>
            </w:r>
            <w:r w:rsidRPr="00E70587">
              <w:rPr>
                <w:rFonts w:ascii="Arial" w:hAnsi="Arial" w:cs="Arial"/>
                <w:sz w:val="20"/>
              </w:rPr>
              <w:t>was INR 538</w:t>
            </w:r>
            <w:r w:rsidR="00750C05" w:rsidRPr="00E70587">
              <w:rPr>
                <w:rFonts w:ascii="Arial" w:hAnsi="Arial" w:cs="Arial"/>
                <w:sz w:val="20"/>
              </w:rPr>
              <w:t xml:space="preserve"> </w:t>
            </w:r>
            <w:r w:rsidR="00E02CA4">
              <w:rPr>
                <w:rFonts w:ascii="Arial" w:hAnsi="Arial" w:cs="Arial"/>
                <w:sz w:val="20"/>
              </w:rPr>
              <w:t xml:space="preserve">lacs </w:t>
            </w:r>
            <w:r w:rsidRPr="00E70587">
              <w:rPr>
                <w:rFonts w:ascii="Arial" w:hAnsi="Arial" w:cs="Arial"/>
                <w:sz w:val="20"/>
              </w:rPr>
              <w:t xml:space="preserve">(31 </w:t>
            </w:r>
            <w:r w:rsidR="008B730E" w:rsidRPr="00E70587">
              <w:rPr>
                <w:rFonts w:ascii="Arial" w:hAnsi="Arial" w:cs="Arial"/>
                <w:sz w:val="20"/>
              </w:rPr>
              <w:t xml:space="preserve">March </w:t>
            </w:r>
            <w:r w:rsidR="006C27B7" w:rsidRPr="00E70587">
              <w:rPr>
                <w:rFonts w:ascii="Arial" w:hAnsi="Arial" w:cs="Arial"/>
                <w:sz w:val="20"/>
              </w:rPr>
              <w:t>20</w:t>
            </w:r>
            <w:r w:rsidR="006C27B7">
              <w:rPr>
                <w:rFonts w:ascii="Arial" w:hAnsi="Arial" w:cs="Arial"/>
                <w:sz w:val="20"/>
              </w:rPr>
              <w:t>20</w:t>
            </w:r>
            <w:r w:rsidRPr="00E70587">
              <w:rPr>
                <w:rFonts w:ascii="Arial" w:hAnsi="Arial" w:cs="Arial"/>
                <w:sz w:val="20"/>
              </w:rPr>
              <w:t>: INR 349</w:t>
            </w:r>
            <w:r w:rsidR="00E02CA4">
              <w:rPr>
                <w:rFonts w:ascii="Arial" w:hAnsi="Arial" w:cs="Arial"/>
                <w:sz w:val="20"/>
              </w:rPr>
              <w:t xml:space="preserve"> lacs</w:t>
            </w:r>
            <w:r w:rsidRPr="00E70587">
              <w:rPr>
                <w:rFonts w:ascii="Arial" w:hAnsi="Arial" w:cs="Arial"/>
                <w:sz w:val="20"/>
              </w:rPr>
              <w:t xml:space="preserve">). No SARs had vested at 31 </w:t>
            </w:r>
            <w:r w:rsidR="00E1202D" w:rsidRPr="00E70587">
              <w:rPr>
                <w:rFonts w:ascii="Arial" w:hAnsi="Arial" w:cs="Arial"/>
                <w:sz w:val="20"/>
              </w:rPr>
              <w:t xml:space="preserve">March </w:t>
            </w:r>
            <w:r w:rsidR="006C27B7" w:rsidRPr="00E70587">
              <w:rPr>
                <w:rFonts w:ascii="Arial" w:hAnsi="Arial" w:cs="Arial"/>
                <w:sz w:val="20"/>
              </w:rPr>
              <w:t>20</w:t>
            </w:r>
            <w:r w:rsidR="006C27B7">
              <w:rPr>
                <w:rFonts w:ascii="Arial" w:hAnsi="Arial" w:cs="Arial"/>
                <w:sz w:val="20"/>
              </w:rPr>
              <w:t>21</w:t>
            </w:r>
            <w:r w:rsidR="006C27B7" w:rsidRPr="00E70587">
              <w:rPr>
                <w:rFonts w:ascii="Arial" w:hAnsi="Arial" w:cs="Arial"/>
                <w:sz w:val="20"/>
              </w:rPr>
              <w:t xml:space="preserve"> </w:t>
            </w:r>
            <w:r w:rsidRPr="00E70587">
              <w:rPr>
                <w:rFonts w:ascii="Arial" w:hAnsi="Arial" w:cs="Arial"/>
                <w:sz w:val="20"/>
              </w:rPr>
              <w:t xml:space="preserve">and 31 </w:t>
            </w:r>
            <w:r w:rsidR="008B730E" w:rsidRPr="00E70587">
              <w:rPr>
                <w:rFonts w:ascii="Arial" w:hAnsi="Arial" w:cs="Arial"/>
                <w:sz w:val="20"/>
              </w:rPr>
              <w:t xml:space="preserve">March </w:t>
            </w:r>
            <w:r w:rsidR="006C27B7" w:rsidRPr="00E70587">
              <w:rPr>
                <w:rFonts w:ascii="Arial" w:hAnsi="Arial" w:cs="Arial"/>
                <w:sz w:val="20"/>
              </w:rPr>
              <w:t>20</w:t>
            </w:r>
            <w:r w:rsidR="006C27B7">
              <w:rPr>
                <w:rFonts w:ascii="Arial" w:hAnsi="Arial" w:cs="Arial"/>
                <w:sz w:val="20"/>
              </w:rPr>
              <w:t>20</w:t>
            </w:r>
            <w:r w:rsidRPr="00E70587">
              <w:rPr>
                <w:rFonts w:ascii="Arial" w:hAnsi="Arial" w:cs="Arial"/>
                <w:sz w:val="20"/>
              </w:rPr>
              <w:t>, respectively.</w:t>
            </w:r>
          </w:p>
          <w:p w14:paraId="6816667C" w14:textId="77777777" w:rsidR="00A17C17" w:rsidRPr="00E70587" w:rsidRDefault="00A17C17" w:rsidP="009901E1">
            <w:pPr>
              <w:pStyle w:val="ViralheadingL2"/>
              <w:spacing w:before="0" w:after="0" w:line="280" w:lineRule="exact"/>
              <w:jc w:val="both"/>
              <w:rPr>
                <w:rFonts w:ascii="Arial" w:hAnsi="Arial" w:cs="Arial"/>
                <w:sz w:val="20"/>
                <w:szCs w:val="20"/>
              </w:rPr>
            </w:pPr>
          </w:p>
        </w:tc>
      </w:tr>
      <w:tr w:rsidR="00A17C17" w:rsidRPr="00E70587" w14:paraId="34B8ABE9" w14:textId="77777777" w:rsidTr="00834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0" w:type="auto"/>
            <w:gridSpan w:val="3"/>
            <w:shd w:val="clear" w:color="auto" w:fill="auto"/>
          </w:tcPr>
          <w:p w14:paraId="7E223301" w14:textId="77777777" w:rsidR="00A17C17" w:rsidRPr="00E70587" w:rsidRDefault="00A17C17" w:rsidP="009901E1">
            <w:pPr>
              <w:pStyle w:val="Notesbodytext"/>
              <w:spacing w:after="0" w:line="280" w:lineRule="exact"/>
              <w:rPr>
                <w:rFonts w:ascii="Arial" w:hAnsi="Arial"/>
                <w:color w:val="auto"/>
                <w:sz w:val="20"/>
              </w:rPr>
            </w:pPr>
            <w:r w:rsidRPr="00E70587">
              <w:rPr>
                <w:rFonts w:ascii="Arial" w:hAnsi="Arial"/>
                <w:color w:val="auto"/>
                <w:sz w:val="20"/>
              </w:rPr>
              <w:lastRenderedPageBreak/>
              <w:t>The expense recognised for employee services received during the year is shown in the following table:</w:t>
            </w:r>
          </w:p>
          <w:p w14:paraId="010B9751" w14:textId="77777777" w:rsidR="001C3830" w:rsidRPr="00E70587" w:rsidRDefault="001C3830" w:rsidP="009901E1">
            <w:pPr>
              <w:pStyle w:val="Notesbodytext"/>
              <w:spacing w:after="0" w:line="280" w:lineRule="exact"/>
              <w:rPr>
                <w:rFonts w:ascii="Arial" w:hAnsi="Arial"/>
                <w:color w:val="auto"/>
                <w:sz w:val="20"/>
              </w:rPr>
            </w:pPr>
          </w:p>
        </w:tc>
      </w:tr>
      <w:tr w:rsidR="00A17C17" w:rsidRPr="00E70587" w14:paraId="6006ADF2" w14:textId="77777777" w:rsidTr="00834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0" w:type="auto"/>
            <w:shd w:val="clear" w:color="auto" w:fill="auto"/>
          </w:tcPr>
          <w:p w14:paraId="2BA7C6F0" w14:textId="77777777" w:rsidR="00A17C17" w:rsidRPr="00E70587" w:rsidRDefault="00A17C17" w:rsidP="009901E1">
            <w:pPr>
              <w:pStyle w:val="000Normal"/>
              <w:spacing w:before="0" w:after="0" w:line="280" w:lineRule="exact"/>
              <w:rPr>
                <w:rFonts w:ascii="Arial" w:hAnsi="Arial" w:cs="Arial"/>
                <w:sz w:val="20"/>
              </w:rPr>
            </w:pPr>
          </w:p>
        </w:tc>
        <w:tc>
          <w:tcPr>
            <w:tcW w:w="0" w:type="auto"/>
            <w:shd w:val="clear" w:color="auto" w:fill="auto"/>
            <w:vAlign w:val="bottom"/>
          </w:tcPr>
          <w:p w14:paraId="5E87BA7E" w14:textId="26B2E6F9"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B871BC" w:rsidRPr="00E70587">
              <w:rPr>
                <w:rFonts w:ascii="Arial" w:hAnsi="Arial"/>
                <w:color w:val="auto"/>
                <w:sz w:val="20"/>
                <w:szCs w:val="20"/>
                <w:lang w:val="en-IN"/>
              </w:rPr>
              <w:t>20</w:t>
            </w:r>
            <w:r w:rsidR="00B871BC">
              <w:rPr>
                <w:rFonts w:ascii="Arial" w:hAnsi="Arial"/>
                <w:color w:val="auto"/>
                <w:sz w:val="20"/>
                <w:szCs w:val="20"/>
                <w:lang w:val="en-IN"/>
              </w:rPr>
              <w:t>21</w:t>
            </w:r>
          </w:p>
        </w:tc>
        <w:tc>
          <w:tcPr>
            <w:tcW w:w="0" w:type="auto"/>
            <w:shd w:val="clear" w:color="auto" w:fill="auto"/>
            <w:vAlign w:val="bottom"/>
          </w:tcPr>
          <w:p w14:paraId="180A590B" w14:textId="3853A99C"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B871BC" w:rsidRPr="00E70587">
              <w:rPr>
                <w:rFonts w:ascii="Arial" w:hAnsi="Arial"/>
                <w:color w:val="auto"/>
                <w:sz w:val="20"/>
                <w:szCs w:val="20"/>
                <w:lang w:val="en-IN"/>
              </w:rPr>
              <w:t>20</w:t>
            </w:r>
            <w:r w:rsidR="00B871BC">
              <w:rPr>
                <w:rFonts w:ascii="Arial" w:hAnsi="Arial"/>
                <w:color w:val="auto"/>
                <w:sz w:val="20"/>
                <w:szCs w:val="20"/>
                <w:lang w:val="en-IN"/>
              </w:rPr>
              <w:t>20</w:t>
            </w:r>
          </w:p>
        </w:tc>
      </w:tr>
      <w:tr w:rsidR="00A17C17" w:rsidRPr="00E70587" w14:paraId="6B3B4AA4" w14:textId="77777777" w:rsidTr="00834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0" w:type="auto"/>
          </w:tcPr>
          <w:p w14:paraId="7B4C0A88" w14:textId="77777777" w:rsidR="00A17C17" w:rsidRPr="00E70587" w:rsidRDefault="00A17C17" w:rsidP="009901E1">
            <w:pPr>
              <w:pStyle w:val="000Normal"/>
              <w:spacing w:before="0" w:after="0" w:line="280" w:lineRule="exact"/>
              <w:jc w:val="right"/>
              <w:rPr>
                <w:rFonts w:ascii="Arial" w:hAnsi="Arial" w:cs="Arial"/>
                <w:b/>
                <w:sz w:val="20"/>
              </w:rPr>
            </w:pPr>
          </w:p>
        </w:tc>
        <w:tc>
          <w:tcPr>
            <w:tcW w:w="0" w:type="auto"/>
          </w:tcPr>
          <w:p w14:paraId="2F3CF9A5"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0" w:type="auto"/>
          </w:tcPr>
          <w:p w14:paraId="5141FAB1"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190E3DA5" w14:textId="77777777" w:rsidTr="00834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0" w:type="auto"/>
            <w:tcMar>
              <w:top w:w="28" w:type="dxa"/>
            </w:tcMar>
          </w:tcPr>
          <w:p w14:paraId="5CAB5676" w14:textId="77777777" w:rsidR="00A17C17" w:rsidRPr="00E70587" w:rsidRDefault="00A17C17" w:rsidP="009901E1">
            <w:pPr>
              <w:spacing w:line="280" w:lineRule="exact"/>
              <w:rPr>
                <w:rFonts w:ascii="Arial" w:hAnsi="Arial" w:cs="Arial"/>
                <w:sz w:val="20"/>
              </w:rPr>
            </w:pPr>
            <w:r w:rsidRPr="00E70587">
              <w:rPr>
                <w:rFonts w:ascii="Arial" w:hAnsi="Arial" w:cs="Arial"/>
                <w:sz w:val="20"/>
              </w:rPr>
              <w:t>Expense arising from equity-settled share-based payment transactions</w:t>
            </w:r>
          </w:p>
        </w:tc>
        <w:tc>
          <w:tcPr>
            <w:tcW w:w="0" w:type="auto"/>
            <w:tcMar>
              <w:top w:w="28" w:type="dxa"/>
            </w:tcMar>
          </w:tcPr>
          <w:p w14:paraId="3420C176"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553 </w:t>
            </w:r>
          </w:p>
        </w:tc>
        <w:tc>
          <w:tcPr>
            <w:tcW w:w="0" w:type="auto"/>
            <w:tcMar>
              <w:top w:w="28" w:type="dxa"/>
            </w:tcMar>
          </w:tcPr>
          <w:p w14:paraId="67AAA87A"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536 </w:t>
            </w:r>
          </w:p>
        </w:tc>
      </w:tr>
      <w:tr w:rsidR="00A17C17" w:rsidRPr="00E70587" w14:paraId="34D5F51C" w14:textId="77777777" w:rsidTr="00834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0" w:type="auto"/>
            <w:tcMar>
              <w:top w:w="28" w:type="dxa"/>
            </w:tcMar>
          </w:tcPr>
          <w:p w14:paraId="525F96F1" w14:textId="77777777" w:rsidR="00A17C17" w:rsidRPr="00E70587" w:rsidRDefault="00A17C17" w:rsidP="009901E1">
            <w:pPr>
              <w:spacing w:line="280" w:lineRule="exact"/>
              <w:rPr>
                <w:rFonts w:ascii="Arial" w:hAnsi="Arial" w:cs="Arial"/>
                <w:sz w:val="20"/>
              </w:rPr>
            </w:pPr>
            <w:r w:rsidRPr="00E70587">
              <w:rPr>
                <w:rFonts w:ascii="Arial" w:hAnsi="Arial" w:cs="Arial"/>
                <w:sz w:val="20"/>
              </w:rPr>
              <w:t>Expense arising from cash-settled share-based payment transactions</w:t>
            </w:r>
          </w:p>
        </w:tc>
        <w:tc>
          <w:tcPr>
            <w:tcW w:w="0" w:type="auto"/>
            <w:tcMar>
              <w:top w:w="28" w:type="dxa"/>
            </w:tcMar>
          </w:tcPr>
          <w:p w14:paraId="382E77A3"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189 </w:t>
            </w:r>
          </w:p>
        </w:tc>
        <w:tc>
          <w:tcPr>
            <w:tcW w:w="0" w:type="auto"/>
            <w:tcMar>
              <w:top w:w="28" w:type="dxa"/>
            </w:tcMar>
          </w:tcPr>
          <w:p w14:paraId="69B08B1E"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349 </w:t>
            </w:r>
          </w:p>
        </w:tc>
      </w:tr>
      <w:tr w:rsidR="00A17C17" w:rsidRPr="00E70587" w14:paraId="012043A6" w14:textId="77777777" w:rsidTr="00834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0" w:type="auto"/>
            <w:tcMar>
              <w:top w:w="28" w:type="dxa"/>
            </w:tcMar>
          </w:tcPr>
          <w:p w14:paraId="0F290CA4" w14:textId="77777777" w:rsidR="00A17C17" w:rsidRPr="00E70587" w:rsidRDefault="00A17C17" w:rsidP="009901E1">
            <w:pPr>
              <w:spacing w:line="280" w:lineRule="exact"/>
              <w:rPr>
                <w:rFonts w:ascii="Arial" w:hAnsi="Arial" w:cs="Arial"/>
                <w:b/>
                <w:sz w:val="20"/>
              </w:rPr>
            </w:pPr>
            <w:r w:rsidRPr="00E70587">
              <w:rPr>
                <w:rFonts w:ascii="Arial" w:hAnsi="Arial" w:cs="Arial"/>
                <w:b/>
                <w:sz w:val="20"/>
              </w:rPr>
              <w:t>Total expense arising from share-based payment transactions</w:t>
            </w:r>
          </w:p>
        </w:tc>
        <w:tc>
          <w:tcPr>
            <w:tcW w:w="0" w:type="auto"/>
            <w:tcMar>
              <w:top w:w="28" w:type="dxa"/>
            </w:tcMar>
          </w:tcPr>
          <w:p w14:paraId="34D69E69"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 742 </w:t>
            </w:r>
          </w:p>
        </w:tc>
        <w:tc>
          <w:tcPr>
            <w:tcW w:w="0" w:type="auto"/>
            <w:tcMar>
              <w:top w:w="28" w:type="dxa"/>
            </w:tcMar>
          </w:tcPr>
          <w:p w14:paraId="2887E9C7" w14:textId="77777777" w:rsidR="00A17C17" w:rsidRPr="00E70587" w:rsidRDefault="00A17C17" w:rsidP="0028777D">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 </w:t>
            </w:r>
            <w:r w:rsidR="0028777D" w:rsidRPr="00E70587">
              <w:rPr>
                <w:rFonts w:ascii="Arial" w:hAnsi="Arial" w:cs="Arial"/>
                <w:b/>
                <w:bCs/>
                <w:sz w:val="20"/>
                <w:lang w:eastAsia="en-GB"/>
              </w:rPr>
              <w:t xml:space="preserve">885 </w:t>
            </w:r>
          </w:p>
        </w:tc>
      </w:tr>
      <w:tr w:rsidR="00A17C17" w:rsidRPr="00E70587" w14:paraId="3CF5E640" w14:textId="77777777" w:rsidTr="00834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0" w:type="auto"/>
            <w:gridSpan w:val="3"/>
            <w:tcMar>
              <w:top w:w="28" w:type="dxa"/>
            </w:tcMar>
            <w:vAlign w:val="bottom"/>
          </w:tcPr>
          <w:p w14:paraId="4DCFEE4D" w14:textId="4801CD6B" w:rsidR="00A17C17" w:rsidRPr="00E70587" w:rsidRDefault="00A17C17" w:rsidP="009901E1">
            <w:pPr>
              <w:pStyle w:val="Notesbodytext"/>
              <w:spacing w:after="0" w:line="280" w:lineRule="exact"/>
              <w:rPr>
                <w:rFonts w:ascii="Arial" w:hAnsi="Arial"/>
                <w:color w:val="auto"/>
                <w:sz w:val="20"/>
              </w:rPr>
            </w:pPr>
            <w:r w:rsidRPr="00E70587">
              <w:rPr>
                <w:rFonts w:ascii="Arial" w:hAnsi="Arial"/>
                <w:color w:val="auto"/>
                <w:sz w:val="20"/>
              </w:rPr>
              <w:t xml:space="preserve">There were no cancellations or modifications to the awards in </w:t>
            </w:r>
            <w:r w:rsidR="002F276B">
              <w:rPr>
                <w:rFonts w:ascii="Arial" w:hAnsi="Arial"/>
                <w:color w:val="auto"/>
                <w:sz w:val="20"/>
              </w:rPr>
              <w:t xml:space="preserve">year ending </w:t>
            </w:r>
            <w:r w:rsidRPr="00E70587">
              <w:rPr>
                <w:rFonts w:ascii="Arial" w:hAnsi="Arial"/>
                <w:color w:val="auto"/>
                <w:sz w:val="20"/>
              </w:rPr>
              <w:t xml:space="preserve">31 </w:t>
            </w:r>
            <w:r w:rsidR="00E1202D" w:rsidRPr="00E70587">
              <w:rPr>
                <w:rFonts w:ascii="Arial" w:hAnsi="Arial"/>
                <w:color w:val="auto"/>
                <w:sz w:val="20"/>
              </w:rPr>
              <w:t xml:space="preserve">March </w:t>
            </w:r>
            <w:r w:rsidR="002F276B" w:rsidRPr="00E70587">
              <w:rPr>
                <w:rFonts w:ascii="Arial" w:hAnsi="Arial"/>
                <w:color w:val="auto"/>
                <w:sz w:val="20"/>
              </w:rPr>
              <w:t>20</w:t>
            </w:r>
            <w:r w:rsidR="002F276B">
              <w:rPr>
                <w:rFonts w:ascii="Arial" w:hAnsi="Arial"/>
                <w:color w:val="auto"/>
                <w:sz w:val="20"/>
              </w:rPr>
              <w:t>21</w:t>
            </w:r>
            <w:r w:rsidR="002F276B" w:rsidRPr="00E70587">
              <w:rPr>
                <w:rFonts w:ascii="Arial" w:hAnsi="Arial"/>
                <w:color w:val="auto"/>
                <w:sz w:val="20"/>
              </w:rPr>
              <w:t xml:space="preserve"> </w:t>
            </w:r>
            <w:r w:rsidRPr="00E70587">
              <w:rPr>
                <w:rFonts w:ascii="Arial" w:hAnsi="Arial"/>
                <w:color w:val="auto"/>
                <w:sz w:val="20"/>
              </w:rPr>
              <w:t xml:space="preserve">or 31 </w:t>
            </w:r>
            <w:r w:rsidR="008B730E" w:rsidRPr="00E70587">
              <w:rPr>
                <w:rFonts w:ascii="Arial" w:hAnsi="Arial"/>
                <w:color w:val="auto"/>
                <w:sz w:val="20"/>
              </w:rPr>
              <w:t xml:space="preserve">March </w:t>
            </w:r>
            <w:r w:rsidR="002F276B" w:rsidRPr="00E70587">
              <w:rPr>
                <w:rFonts w:ascii="Arial" w:hAnsi="Arial"/>
                <w:color w:val="auto"/>
                <w:sz w:val="20"/>
              </w:rPr>
              <w:t>20</w:t>
            </w:r>
            <w:r w:rsidR="002F276B">
              <w:rPr>
                <w:rFonts w:ascii="Arial" w:hAnsi="Arial"/>
                <w:color w:val="auto"/>
                <w:sz w:val="20"/>
              </w:rPr>
              <w:t>20</w:t>
            </w:r>
            <w:r w:rsidRPr="00E70587">
              <w:rPr>
                <w:rFonts w:ascii="Arial" w:hAnsi="Arial"/>
                <w:color w:val="auto"/>
                <w:sz w:val="20"/>
              </w:rPr>
              <w:t>.</w:t>
            </w:r>
          </w:p>
        </w:tc>
      </w:tr>
    </w:tbl>
    <w:p w14:paraId="408F083B" w14:textId="77777777" w:rsidR="00A81F3A" w:rsidRPr="00E70587" w:rsidRDefault="00A81F3A" w:rsidP="00C41BF8">
      <w:pPr>
        <w:pStyle w:val="Tablecolumnheading"/>
        <w:spacing w:line="280" w:lineRule="exact"/>
        <w:jc w:val="both"/>
        <w:rPr>
          <w:rFonts w:ascii="Arial" w:hAnsi="Arial"/>
          <w:b w:val="0"/>
          <w:sz w:val="20"/>
          <w:szCs w:val="20"/>
          <w:lang w:val="en-IN"/>
        </w:rPr>
      </w:pPr>
    </w:p>
    <w:tbl>
      <w:tblPr>
        <w:tblW w:w="9576" w:type="dxa"/>
        <w:tblLook w:val="0000" w:firstRow="0" w:lastRow="0" w:firstColumn="0" w:lastColumn="0" w:noHBand="0" w:noVBand="0"/>
      </w:tblPr>
      <w:tblGrid>
        <w:gridCol w:w="9576"/>
      </w:tblGrid>
      <w:tr w:rsidR="00A81F3A" w:rsidRPr="00E70587" w14:paraId="5E76A3A0" w14:textId="77777777" w:rsidTr="00834981">
        <w:tc>
          <w:tcPr>
            <w:tcW w:w="0" w:type="auto"/>
          </w:tcPr>
          <w:p w14:paraId="4A3B9740" w14:textId="77777777" w:rsidR="00A81F3A" w:rsidRPr="00E70587" w:rsidRDefault="00A81F3A" w:rsidP="00C41BF8">
            <w:pPr>
              <w:pStyle w:val="Tablecolumnheading"/>
              <w:spacing w:line="280" w:lineRule="exact"/>
              <w:jc w:val="both"/>
              <w:rPr>
                <w:rFonts w:ascii="Arial" w:hAnsi="Arial"/>
                <w:szCs w:val="20"/>
                <w:lang w:val="en-IN"/>
              </w:rPr>
            </w:pPr>
            <w:r w:rsidRPr="00E70587">
              <w:rPr>
                <w:rFonts w:ascii="Arial" w:hAnsi="Arial"/>
                <w:color w:val="auto"/>
                <w:sz w:val="20"/>
                <w:szCs w:val="20"/>
                <w:lang w:val="en-IN"/>
              </w:rPr>
              <w:t>Movements</w:t>
            </w:r>
            <w:r w:rsidRPr="00E70587">
              <w:rPr>
                <w:rFonts w:ascii="Arial" w:hAnsi="Arial"/>
                <w:szCs w:val="20"/>
                <w:lang w:val="en-IN"/>
              </w:rPr>
              <w:t xml:space="preserve"> during the year</w:t>
            </w:r>
          </w:p>
          <w:p w14:paraId="6B264797" w14:textId="77777777" w:rsidR="00750C05" w:rsidRPr="00E70587" w:rsidRDefault="00750C05" w:rsidP="00C41BF8">
            <w:pPr>
              <w:spacing w:line="280" w:lineRule="exact"/>
              <w:jc w:val="both"/>
              <w:rPr>
                <w:rFonts w:ascii="Arial" w:hAnsi="Arial" w:cs="Arial"/>
                <w:sz w:val="20"/>
              </w:rPr>
            </w:pPr>
          </w:p>
          <w:p w14:paraId="369567CA" w14:textId="77777777" w:rsidR="00A81F3A" w:rsidRPr="00E70587" w:rsidRDefault="00A81F3A" w:rsidP="00C41BF8">
            <w:pPr>
              <w:spacing w:line="280" w:lineRule="exact"/>
              <w:jc w:val="both"/>
              <w:rPr>
                <w:rFonts w:ascii="Arial" w:hAnsi="Arial" w:cs="Arial"/>
                <w:sz w:val="20"/>
              </w:rPr>
            </w:pPr>
            <w:r w:rsidRPr="00E70587">
              <w:rPr>
                <w:rFonts w:ascii="Arial" w:hAnsi="Arial" w:cs="Arial"/>
                <w:sz w:val="20"/>
              </w:rPr>
              <w:t>The following table illustrates the number and weighted average exercise prices (WAEP) of, and movements in, share options during the year (excluding SARs):</w:t>
            </w:r>
          </w:p>
          <w:p w14:paraId="1CBB74A5" w14:textId="77777777" w:rsidR="00A81F3A" w:rsidRPr="00E70587" w:rsidRDefault="00A81F3A" w:rsidP="00C41BF8">
            <w:pPr>
              <w:spacing w:line="280" w:lineRule="exact"/>
              <w:jc w:val="both"/>
              <w:rPr>
                <w:rFonts w:ascii="Arial" w:hAnsi="Arial" w:cs="Arial"/>
                <w:sz w:val="20"/>
              </w:rPr>
            </w:pPr>
          </w:p>
        </w:tc>
      </w:tr>
    </w:tbl>
    <w:p w14:paraId="0870081F" w14:textId="77777777" w:rsidR="00A81F3A" w:rsidRPr="00E70587" w:rsidRDefault="00A81F3A" w:rsidP="00C41BF8">
      <w:pPr>
        <w:pStyle w:val="Tablecolumnheading"/>
        <w:spacing w:line="280" w:lineRule="exact"/>
        <w:jc w:val="both"/>
        <w:rPr>
          <w:rFonts w:ascii="Arial" w:hAnsi="Arial"/>
          <w:sz w:val="20"/>
          <w:lang w:val="en-IN"/>
        </w:rPr>
      </w:pPr>
    </w:p>
    <w:tbl>
      <w:tblPr>
        <w:tblW w:w="9576" w:type="dxa"/>
        <w:tblLayout w:type="fixed"/>
        <w:tblLook w:val="01E0" w:firstRow="1" w:lastRow="1" w:firstColumn="1" w:lastColumn="1" w:noHBand="0" w:noVBand="0"/>
      </w:tblPr>
      <w:tblGrid>
        <w:gridCol w:w="2348"/>
        <w:gridCol w:w="1807"/>
        <w:gridCol w:w="1807"/>
        <w:gridCol w:w="1807"/>
        <w:gridCol w:w="1807"/>
      </w:tblGrid>
      <w:tr w:rsidR="00A17C17" w:rsidRPr="00E70587" w14:paraId="48EB447F" w14:textId="77777777" w:rsidTr="00834981">
        <w:tc>
          <w:tcPr>
            <w:tcW w:w="2340" w:type="dxa"/>
            <w:shd w:val="clear" w:color="auto" w:fill="auto"/>
          </w:tcPr>
          <w:p w14:paraId="4CF43C51" w14:textId="77777777" w:rsidR="00A17C17" w:rsidRPr="00E70587" w:rsidRDefault="00A17C17" w:rsidP="009901E1">
            <w:pPr>
              <w:pStyle w:val="000Normal"/>
              <w:spacing w:before="0" w:after="0" w:line="280" w:lineRule="exact"/>
              <w:rPr>
                <w:rFonts w:ascii="Arial" w:hAnsi="Arial" w:cs="Arial"/>
                <w:sz w:val="20"/>
              </w:rPr>
            </w:pPr>
          </w:p>
        </w:tc>
        <w:tc>
          <w:tcPr>
            <w:tcW w:w="1800" w:type="dxa"/>
            <w:tcBorders>
              <w:bottom w:val="single" w:sz="4" w:space="0" w:color="auto"/>
            </w:tcBorders>
            <w:shd w:val="clear" w:color="auto" w:fill="auto"/>
            <w:tcMar>
              <w:right w:w="142" w:type="dxa"/>
            </w:tcMar>
            <w:vAlign w:val="bottom"/>
          </w:tcPr>
          <w:p w14:paraId="50BACBF6" w14:textId="0832545F"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B871BC" w:rsidRPr="00E70587">
              <w:rPr>
                <w:rFonts w:ascii="Arial" w:hAnsi="Arial"/>
                <w:color w:val="auto"/>
                <w:sz w:val="20"/>
                <w:szCs w:val="20"/>
                <w:lang w:val="en-IN"/>
              </w:rPr>
              <w:t>20</w:t>
            </w:r>
            <w:r w:rsidR="00B871BC">
              <w:rPr>
                <w:rFonts w:ascii="Arial" w:hAnsi="Arial"/>
                <w:color w:val="auto"/>
                <w:sz w:val="20"/>
                <w:szCs w:val="20"/>
                <w:lang w:val="en-IN"/>
              </w:rPr>
              <w:t>21</w:t>
            </w:r>
            <w:r w:rsidRPr="00E70587">
              <w:rPr>
                <w:rFonts w:ascii="Arial" w:hAnsi="Arial"/>
                <w:color w:val="auto"/>
                <w:sz w:val="20"/>
                <w:szCs w:val="20"/>
                <w:lang w:val="en-IN"/>
              </w:rPr>
              <w:br/>
              <w:t>Number</w:t>
            </w:r>
          </w:p>
        </w:tc>
        <w:tc>
          <w:tcPr>
            <w:tcW w:w="1800" w:type="dxa"/>
            <w:tcBorders>
              <w:bottom w:val="single" w:sz="4" w:space="0" w:color="auto"/>
            </w:tcBorders>
            <w:shd w:val="clear" w:color="auto" w:fill="auto"/>
            <w:vAlign w:val="bottom"/>
          </w:tcPr>
          <w:p w14:paraId="292F82B9" w14:textId="0DDB73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B871BC" w:rsidRPr="00E70587">
              <w:rPr>
                <w:rFonts w:ascii="Arial" w:hAnsi="Arial"/>
                <w:color w:val="auto"/>
                <w:sz w:val="20"/>
                <w:szCs w:val="20"/>
                <w:lang w:val="en-IN"/>
              </w:rPr>
              <w:t>20</w:t>
            </w:r>
            <w:r w:rsidR="00B871BC">
              <w:rPr>
                <w:rFonts w:ascii="Arial" w:hAnsi="Arial"/>
                <w:color w:val="auto"/>
                <w:sz w:val="20"/>
                <w:szCs w:val="20"/>
                <w:lang w:val="en-IN"/>
              </w:rPr>
              <w:t>21</w:t>
            </w:r>
            <w:r w:rsidRPr="00E70587">
              <w:rPr>
                <w:rFonts w:ascii="Arial" w:hAnsi="Arial"/>
                <w:color w:val="auto"/>
                <w:sz w:val="20"/>
                <w:szCs w:val="20"/>
                <w:lang w:val="en-IN"/>
              </w:rPr>
              <w:br/>
              <w:t>WAEP</w:t>
            </w:r>
          </w:p>
        </w:tc>
        <w:tc>
          <w:tcPr>
            <w:tcW w:w="1800" w:type="dxa"/>
            <w:tcBorders>
              <w:bottom w:val="single" w:sz="4" w:space="0" w:color="auto"/>
            </w:tcBorders>
            <w:shd w:val="clear" w:color="auto" w:fill="auto"/>
            <w:tcMar>
              <w:right w:w="142" w:type="dxa"/>
            </w:tcMar>
            <w:vAlign w:val="bottom"/>
          </w:tcPr>
          <w:p w14:paraId="1EB6AB55" w14:textId="36E9637D"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B871BC" w:rsidRPr="00E70587">
              <w:rPr>
                <w:rFonts w:ascii="Arial" w:hAnsi="Arial"/>
                <w:color w:val="auto"/>
                <w:sz w:val="20"/>
                <w:szCs w:val="20"/>
                <w:lang w:val="en-IN"/>
              </w:rPr>
              <w:t>20</w:t>
            </w:r>
            <w:r w:rsidR="00B871BC">
              <w:rPr>
                <w:rFonts w:ascii="Arial" w:hAnsi="Arial"/>
                <w:color w:val="auto"/>
                <w:sz w:val="20"/>
                <w:szCs w:val="20"/>
                <w:lang w:val="en-IN"/>
              </w:rPr>
              <w:t>20</w:t>
            </w:r>
            <w:r w:rsidRPr="00E70587">
              <w:rPr>
                <w:rFonts w:ascii="Arial" w:hAnsi="Arial"/>
                <w:color w:val="auto"/>
                <w:sz w:val="20"/>
                <w:szCs w:val="20"/>
                <w:lang w:val="en-IN"/>
              </w:rPr>
              <w:br/>
              <w:t>Number</w:t>
            </w:r>
          </w:p>
        </w:tc>
        <w:tc>
          <w:tcPr>
            <w:tcW w:w="1800" w:type="dxa"/>
            <w:tcBorders>
              <w:bottom w:val="single" w:sz="4" w:space="0" w:color="auto"/>
            </w:tcBorders>
            <w:shd w:val="clear" w:color="auto" w:fill="auto"/>
            <w:vAlign w:val="bottom"/>
          </w:tcPr>
          <w:p w14:paraId="60D7913A" w14:textId="329A8249"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B871BC" w:rsidRPr="00E70587">
              <w:rPr>
                <w:rFonts w:ascii="Arial" w:hAnsi="Arial"/>
                <w:color w:val="auto"/>
                <w:sz w:val="20"/>
                <w:szCs w:val="20"/>
                <w:lang w:val="en-IN"/>
              </w:rPr>
              <w:t>20</w:t>
            </w:r>
            <w:r w:rsidR="00B871BC">
              <w:rPr>
                <w:rFonts w:ascii="Arial" w:hAnsi="Arial"/>
                <w:color w:val="auto"/>
                <w:sz w:val="20"/>
                <w:szCs w:val="20"/>
                <w:lang w:val="en-IN"/>
              </w:rPr>
              <w:t>20</w:t>
            </w:r>
            <w:r w:rsidRPr="00E70587">
              <w:rPr>
                <w:rFonts w:ascii="Arial" w:hAnsi="Arial"/>
                <w:color w:val="auto"/>
                <w:sz w:val="20"/>
                <w:szCs w:val="20"/>
                <w:lang w:val="en-IN"/>
              </w:rPr>
              <w:br/>
              <w:t>WAEP</w:t>
            </w:r>
          </w:p>
        </w:tc>
      </w:tr>
      <w:tr w:rsidR="00A17C17" w:rsidRPr="00E70587" w14:paraId="65E3E819" w14:textId="77777777" w:rsidTr="00834981">
        <w:tc>
          <w:tcPr>
            <w:tcW w:w="2340" w:type="dxa"/>
          </w:tcPr>
          <w:p w14:paraId="04AFA198" w14:textId="77777777" w:rsidR="00A17C17" w:rsidRPr="00E70587" w:rsidRDefault="00A17C17" w:rsidP="009901E1">
            <w:pPr>
              <w:pStyle w:val="000Normal"/>
              <w:spacing w:before="0" w:after="0" w:line="280" w:lineRule="exact"/>
              <w:jc w:val="right"/>
              <w:rPr>
                <w:rFonts w:ascii="Arial" w:hAnsi="Arial" w:cs="Arial"/>
                <w:b/>
                <w:sz w:val="20"/>
              </w:rPr>
            </w:pPr>
          </w:p>
        </w:tc>
        <w:tc>
          <w:tcPr>
            <w:tcW w:w="1800" w:type="dxa"/>
            <w:tcBorders>
              <w:top w:val="single" w:sz="4" w:space="0" w:color="auto"/>
            </w:tcBorders>
            <w:shd w:val="clear" w:color="auto" w:fill="auto"/>
            <w:vAlign w:val="bottom"/>
          </w:tcPr>
          <w:p w14:paraId="60D6F572" w14:textId="77777777" w:rsidR="00A17C17" w:rsidRPr="00E70587" w:rsidRDefault="00A17C17" w:rsidP="009901E1">
            <w:pPr>
              <w:pStyle w:val="Tablecolumnheading"/>
              <w:spacing w:line="280" w:lineRule="exact"/>
              <w:rPr>
                <w:rFonts w:ascii="Arial" w:hAnsi="Arial"/>
                <w:color w:val="auto"/>
                <w:sz w:val="20"/>
                <w:szCs w:val="20"/>
                <w:lang w:val="en-IN"/>
              </w:rPr>
            </w:pPr>
          </w:p>
        </w:tc>
        <w:tc>
          <w:tcPr>
            <w:tcW w:w="1800" w:type="dxa"/>
            <w:tcBorders>
              <w:top w:val="single" w:sz="4" w:space="0" w:color="auto"/>
            </w:tcBorders>
            <w:shd w:val="clear" w:color="auto" w:fill="auto"/>
            <w:vAlign w:val="bottom"/>
          </w:tcPr>
          <w:p w14:paraId="3192FD38" w14:textId="77777777" w:rsidR="00A17C17" w:rsidRPr="00E70587" w:rsidRDefault="00A17C17" w:rsidP="009901E1">
            <w:pPr>
              <w:pStyle w:val="Tablecolumnheading"/>
              <w:spacing w:line="280" w:lineRule="exact"/>
              <w:rPr>
                <w:rFonts w:ascii="Arial" w:hAnsi="Arial"/>
                <w:color w:val="auto"/>
                <w:sz w:val="20"/>
                <w:szCs w:val="20"/>
                <w:lang w:val="en-IN"/>
              </w:rPr>
            </w:pPr>
          </w:p>
        </w:tc>
        <w:tc>
          <w:tcPr>
            <w:tcW w:w="1800" w:type="dxa"/>
            <w:tcBorders>
              <w:top w:val="single" w:sz="4" w:space="0" w:color="auto"/>
            </w:tcBorders>
            <w:shd w:val="clear" w:color="auto" w:fill="auto"/>
            <w:vAlign w:val="bottom"/>
          </w:tcPr>
          <w:p w14:paraId="6F0908E9" w14:textId="77777777" w:rsidR="00A17C17" w:rsidRPr="00E70587" w:rsidRDefault="00A17C17" w:rsidP="009901E1">
            <w:pPr>
              <w:pStyle w:val="Tablecolumnheading"/>
              <w:spacing w:line="280" w:lineRule="exact"/>
              <w:rPr>
                <w:rFonts w:ascii="Arial" w:hAnsi="Arial"/>
                <w:color w:val="auto"/>
                <w:sz w:val="20"/>
                <w:szCs w:val="20"/>
                <w:lang w:val="en-IN"/>
              </w:rPr>
            </w:pPr>
          </w:p>
        </w:tc>
        <w:tc>
          <w:tcPr>
            <w:tcW w:w="1800" w:type="dxa"/>
            <w:tcBorders>
              <w:top w:val="single" w:sz="4" w:space="0" w:color="auto"/>
            </w:tcBorders>
            <w:shd w:val="clear" w:color="auto" w:fill="auto"/>
            <w:tcMar>
              <w:left w:w="28" w:type="dxa"/>
            </w:tcMar>
            <w:vAlign w:val="bottom"/>
          </w:tcPr>
          <w:p w14:paraId="48A7BBFE" w14:textId="77777777" w:rsidR="00A17C17" w:rsidRPr="00E70587" w:rsidRDefault="00A17C17" w:rsidP="009901E1">
            <w:pPr>
              <w:pStyle w:val="Tablecolumnheading"/>
              <w:spacing w:line="280" w:lineRule="exact"/>
              <w:rPr>
                <w:rFonts w:ascii="Arial" w:hAnsi="Arial"/>
                <w:color w:val="auto"/>
                <w:sz w:val="20"/>
                <w:szCs w:val="20"/>
                <w:lang w:val="en-IN"/>
              </w:rPr>
            </w:pPr>
          </w:p>
        </w:tc>
      </w:tr>
      <w:tr w:rsidR="00A17C17" w:rsidRPr="00E70587" w14:paraId="530E3B2C" w14:textId="77777777" w:rsidTr="00834981">
        <w:tc>
          <w:tcPr>
            <w:tcW w:w="2340" w:type="dxa"/>
            <w:tcMar>
              <w:top w:w="28" w:type="dxa"/>
            </w:tcMar>
          </w:tcPr>
          <w:p w14:paraId="734BE557"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Outstanding at 1 April</w:t>
            </w:r>
          </w:p>
        </w:tc>
        <w:tc>
          <w:tcPr>
            <w:tcW w:w="1800" w:type="dxa"/>
            <w:shd w:val="clear" w:color="auto" w:fill="auto"/>
            <w:tcMar>
              <w:right w:w="170" w:type="dxa"/>
            </w:tcMar>
            <w:vAlign w:val="center"/>
          </w:tcPr>
          <w:p w14:paraId="41AA27C7"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10,35,000</w:t>
            </w:r>
          </w:p>
        </w:tc>
        <w:tc>
          <w:tcPr>
            <w:tcW w:w="1800" w:type="dxa"/>
            <w:shd w:val="clear" w:color="auto" w:fill="auto"/>
            <w:vAlign w:val="center"/>
          </w:tcPr>
          <w:p w14:paraId="37C4C9CC"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2.85</w:t>
            </w:r>
          </w:p>
        </w:tc>
        <w:tc>
          <w:tcPr>
            <w:tcW w:w="1800" w:type="dxa"/>
            <w:shd w:val="clear" w:color="auto" w:fill="auto"/>
            <w:tcMar>
              <w:right w:w="170" w:type="dxa"/>
            </w:tcMar>
            <w:vAlign w:val="center"/>
          </w:tcPr>
          <w:p w14:paraId="137E5C0C"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9,45,000</w:t>
            </w:r>
          </w:p>
        </w:tc>
        <w:tc>
          <w:tcPr>
            <w:tcW w:w="1800" w:type="dxa"/>
            <w:shd w:val="clear" w:color="auto" w:fill="auto"/>
            <w:vAlign w:val="center"/>
          </w:tcPr>
          <w:p w14:paraId="719DF007"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2.75</w:t>
            </w:r>
          </w:p>
        </w:tc>
      </w:tr>
      <w:tr w:rsidR="00A17C17" w:rsidRPr="00E70587" w14:paraId="14E5E978" w14:textId="77777777" w:rsidTr="00834981">
        <w:tc>
          <w:tcPr>
            <w:tcW w:w="2340" w:type="dxa"/>
            <w:tcMar>
              <w:top w:w="28" w:type="dxa"/>
            </w:tcMar>
          </w:tcPr>
          <w:p w14:paraId="6400DFEC"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Granted during the year</w:t>
            </w:r>
          </w:p>
        </w:tc>
        <w:tc>
          <w:tcPr>
            <w:tcW w:w="1800" w:type="dxa"/>
            <w:shd w:val="clear" w:color="auto" w:fill="auto"/>
            <w:tcMar>
              <w:top w:w="28" w:type="dxa"/>
              <w:right w:w="170" w:type="dxa"/>
            </w:tcMar>
            <w:vAlign w:val="center"/>
          </w:tcPr>
          <w:p w14:paraId="109B51E1"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4,50,000</w:t>
            </w:r>
          </w:p>
        </w:tc>
        <w:tc>
          <w:tcPr>
            <w:tcW w:w="1800" w:type="dxa"/>
            <w:shd w:val="clear" w:color="auto" w:fill="auto"/>
            <w:vAlign w:val="center"/>
          </w:tcPr>
          <w:p w14:paraId="31A0E2DB"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3.85</w:t>
            </w:r>
          </w:p>
        </w:tc>
        <w:tc>
          <w:tcPr>
            <w:tcW w:w="1800" w:type="dxa"/>
            <w:shd w:val="clear" w:color="auto" w:fill="auto"/>
            <w:tcMar>
              <w:top w:w="28" w:type="dxa"/>
              <w:right w:w="170" w:type="dxa"/>
            </w:tcMar>
            <w:vAlign w:val="center"/>
          </w:tcPr>
          <w:p w14:paraId="042BB54B"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2,79,000</w:t>
            </w:r>
          </w:p>
        </w:tc>
        <w:tc>
          <w:tcPr>
            <w:tcW w:w="1800" w:type="dxa"/>
            <w:shd w:val="clear" w:color="auto" w:fill="auto"/>
            <w:vAlign w:val="center"/>
          </w:tcPr>
          <w:p w14:paraId="1BD6A789"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3.13</w:t>
            </w:r>
          </w:p>
        </w:tc>
      </w:tr>
      <w:tr w:rsidR="00A17C17" w:rsidRPr="00E70587" w14:paraId="04037357" w14:textId="77777777" w:rsidTr="00834981">
        <w:tc>
          <w:tcPr>
            <w:tcW w:w="2340" w:type="dxa"/>
            <w:tcMar>
              <w:top w:w="28" w:type="dxa"/>
            </w:tcMar>
            <w:vAlign w:val="center"/>
          </w:tcPr>
          <w:p w14:paraId="533A6AFF"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Forfeited during the year</w:t>
            </w:r>
          </w:p>
        </w:tc>
        <w:tc>
          <w:tcPr>
            <w:tcW w:w="1800" w:type="dxa"/>
            <w:shd w:val="clear" w:color="auto" w:fill="auto"/>
            <w:tcMar>
              <w:top w:w="28" w:type="dxa"/>
            </w:tcMar>
            <w:vAlign w:val="center"/>
          </w:tcPr>
          <w:p w14:paraId="0327A0A4"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00" w:type="dxa"/>
            <w:shd w:val="clear" w:color="auto" w:fill="auto"/>
            <w:vAlign w:val="center"/>
          </w:tcPr>
          <w:p w14:paraId="224A6B8D"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c>
          <w:tcPr>
            <w:tcW w:w="1800" w:type="dxa"/>
            <w:shd w:val="clear" w:color="auto" w:fill="auto"/>
            <w:tcMar>
              <w:top w:w="28" w:type="dxa"/>
              <w:right w:w="113" w:type="dxa"/>
            </w:tcMar>
            <w:vAlign w:val="center"/>
          </w:tcPr>
          <w:p w14:paraId="1C0CCE01"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(45,000)</w:t>
            </w:r>
          </w:p>
        </w:tc>
        <w:tc>
          <w:tcPr>
            <w:tcW w:w="1800" w:type="dxa"/>
            <w:shd w:val="clear" w:color="auto" w:fill="auto"/>
            <w:vAlign w:val="center"/>
          </w:tcPr>
          <w:p w14:paraId="3247B54F"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2.33</w:t>
            </w:r>
          </w:p>
        </w:tc>
      </w:tr>
      <w:tr w:rsidR="00A17C17" w:rsidRPr="00E70587" w14:paraId="5B10224C" w14:textId="77777777" w:rsidTr="00834981">
        <w:tc>
          <w:tcPr>
            <w:tcW w:w="2340" w:type="dxa"/>
            <w:tcMar>
              <w:top w:w="28" w:type="dxa"/>
            </w:tcMar>
            <w:vAlign w:val="center"/>
          </w:tcPr>
          <w:p w14:paraId="136C89B4"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Exercised during the year</w:t>
            </w:r>
          </w:p>
        </w:tc>
        <w:tc>
          <w:tcPr>
            <w:tcW w:w="1800" w:type="dxa"/>
            <w:shd w:val="clear" w:color="auto" w:fill="auto"/>
            <w:tcMar>
              <w:top w:w="28" w:type="dxa"/>
              <w:right w:w="28" w:type="dxa"/>
            </w:tcMar>
            <w:vAlign w:val="center"/>
          </w:tcPr>
          <w:p w14:paraId="45EB819A"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(1,35,000)</w:t>
            </w:r>
            <w:r w:rsidRPr="00E70587">
              <w:rPr>
                <w:rFonts w:ascii="Arial" w:hAnsi="Arial" w:cs="Arial"/>
                <w:sz w:val="20"/>
                <w:vertAlign w:val="superscript"/>
              </w:rPr>
              <w:t xml:space="preserve"> 2</w:t>
            </w:r>
          </w:p>
        </w:tc>
        <w:tc>
          <w:tcPr>
            <w:tcW w:w="1800" w:type="dxa"/>
            <w:shd w:val="clear" w:color="auto" w:fill="auto"/>
            <w:vAlign w:val="center"/>
          </w:tcPr>
          <w:p w14:paraId="76D7C829"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2.33</w:t>
            </w:r>
          </w:p>
        </w:tc>
        <w:tc>
          <w:tcPr>
            <w:tcW w:w="1800" w:type="dxa"/>
            <w:shd w:val="clear" w:color="auto" w:fill="auto"/>
            <w:tcMar>
              <w:top w:w="28" w:type="dxa"/>
              <w:right w:w="28" w:type="dxa"/>
            </w:tcMar>
            <w:vAlign w:val="center"/>
          </w:tcPr>
          <w:p w14:paraId="4F26B738"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(1,17,000)</w:t>
            </w:r>
            <w:r w:rsidRPr="00E70587">
              <w:rPr>
                <w:rFonts w:ascii="Arial" w:hAnsi="Arial" w:cs="Arial"/>
                <w:sz w:val="20"/>
                <w:vertAlign w:val="superscript"/>
              </w:rPr>
              <w:t xml:space="preserve"> 1</w:t>
            </w:r>
          </w:p>
        </w:tc>
        <w:tc>
          <w:tcPr>
            <w:tcW w:w="1800" w:type="dxa"/>
            <w:shd w:val="clear" w:color="auto" w:fill="auto"/>
            <w:vAlign w:val="center"/>
          </w:tcPr>
          <w:p w14:paraId="1B4FAF98"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3.08</w:t>
            </w:r>
          </w:p>
        </w:tc>
      </w:tr>
      <w:tr w:rsidR="00A17C17" w:rsidRPr="00E70587" w14:paraId="4849691B" w14:textId="77777777" w:rsidTr="00834981">
        <w:tc>
          <w:tcPr>
            <w:tcW w:w="2340" w:type="dxa"/>
            <w:tcMar>
              <w:top w:w="28" w:type="dxa"/>
            </w:tcMar>
            <w:vAlign w:val="center"/>
          </w:tcPr>
          <w:p w14:paraId="1500B3C6"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Expired during the year</w:t>
            </w:r>
          </w:p>
        </w:tc>
        <w:tc>
          <w:tcPr>
            <w:tcW w:w="1800" w:type="dxa"/>
            <w:tcBorders>
              <w:bottom w:val="single" w:sz="4" w:space="0" w:color="auto"/>
            </w:tcBorders>
            <w:shd w:val="clear" w:color="auto" w:fill="auto"/>
            <w:tcMar>
              <w:top w:w="28" w:type="dxa"/>
              <w:right w:w="85" w:type="dxa"/>
            </w:tcMar>
            <w:vAlign w:val="center"/>
          </w:tcPr>
          <w:p w14:paraId="56FD7790"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(45,000)</w:t>
            </w:r>
          </w:p>
        </w:tc>
        <w:tc>
          <w:tcPr>
            <w:tcW w:w="1800" w:type="dxa"/>
            <w:shd w:val="clear" w:color="auto" w:fill="auto"/>
            <w:vAlign w:val="center"/>
          </w:tcPr>
          <w:p w14:paraId="54E0B7D6"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3.02</w:t>
            </w:r>
          </w:p>
        </w:tc>
        <w:tc>
          <w:tcPr>
            <w:tcW w:w="1800" w:type="dxa"/>
            <w:tcBorders>
              <w:bottom w:val="single" w:sz="4" w:space="0" w:color="auto"/>
            </w:tcBorders>
            <w:shd w:val="clear" w:color="auto" w:fill="auto"/>
            <w:tcMar>
              <w:top w:w="28" w:type="dxa"/>
              <w:right w:w="113" w:type="dxa"/>
            </w:tcMar>
            <w:vAlign w:val="center"/>
          </w:tcPr>
          <w:p w14:paraId="4BF9757E"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(27,000)</w:t>
            </w:r>
          </w:p>
        </w:tc>
        <w:tc>
          <w:tcPr>
            <w:tcW w:w="1800" w:type="dxa"/>
            <w:shd w:val="clear" w:color="auto" w:fill="auto"/>
            <w:vAlign w:val="center"/>
          </w:tcPr>
          <w:p w14:paraId="3C1D3A11"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2.13</w:t>
            </w:r>
          </w:p>
        </w:tc>
      </w:tr>
      <w:tr w:rsidR="00A17C17" w:rsidRPr="00E70587" w14:paraId="4975A1F9" w14:textId="77777777" w:rsidTr="00834981">
        <w:tc>
          <w:tcPr>
            <w:tcW w:w="2340" w:type="dxa"/>
            <w:tcMar>
              <w:top w:w="28" w:type="dxa"/>
            </w:tcMar>
            <w:vAlign w:val="center"/>
          </w:tcPr>
          <w:p w14:paraId="4351FCDC"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Outstanding at 31 March</w:t>
            </w:r>
          </w:p>
        </w:tc>
        <w:tc>
          <w:tcPr>
            <w:tcW w:w="1800" w:type="dxa"/>
            <w:tcBorders>
              <w:top w:val="single" w:sz="4" w:space="0" w:color="auto"/>
              <w:bottom w:val="single" w:sz="4" w:space="0" w:color="auto"/>
            </w:tcBorders>
            <w:shd w:val="clear" w:color="auto" w:fill="auto"/>
            <w:tcMar>
              <w:top w:w="28" w:type="dxa"/>
              <w:right w:w="142" w:type="dxa"/>
            </w:tcMar>
            <w:vAlign w:val="center"/>
          </w:tcPr>
          <w:p w14:paraId="3B5E6BC6"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13,05,000</w:t>
            </w:r>
          </w:p>
        </w:tc>
        <w:tc>
          <w:tcPr>
            <w:tcW w:w="1800" w:type="dxa"/>
            <w:shd w:val="clear" w:color="auto" w:fill="auto"/>
            <w:vAlign w:val="center"/>
          </w:tcPr>
          <w:p w14:paraId="30595B54"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3.24</w:t>
            </w:r>
          </w:p>
        </w:tc>
        <w:tc>
          <w:tcPr>
            <w:tcW w:w="1800" w:type="dxa"/>
            <w:tcBorders>
              <w:top w:val="single" w:sz="4" w:space="0" w:color="auto"/>
              <w:bottom w:val="single" w:sz="4" w:space="0" w:color="auto"/>
            </w:tcBorders>
            <w:shd w:val="clear" w:color="auto" w:fill="auto"/>
            <w:tcMar>
              <w:top w:w="28" w:type="dxa"/>
              <w:right w:w="170" w:type="dxa"/>
            </w:tcMar>
            <w:vAlign w:val="center"/>
          </w:tcPr>
          <w:p w14:paraId="6F117B88"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10,35,000</w:t>
            </w:r>
          </w:p>
        </w:tc>
        <w:tc>
          <w:tcPr>
            <w:tcW w:w="1800" w:type="dxa"/>
            <w:shd w:val="clear" w:color="auto" w:fill="auto"/>
            <w:vAlign w:val="center"/>
          </w:tcPr>
          <w:p w14:paraId="0CBCFE54"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2.85</w:t>
            </w:r>
          </w:p>
        </w:tc>
      </w:tr>
      <w:tr w:rsidR="00A17C17" w:rsidRPr="00E70587" w14:paraId="77B69D44" w14:textId="77777777" w:rsidTr="00834981">
        <w:tc>
          <w:tcPr>
            <w:tcW w:w="2340" w:type="dxa"/>
            <w:tcMar>
              <w:top w:w="28" w:type="dxa"/>
            </w:tcMar>
            <w:vAlign w:val="center"/>
          </w:tcPr>
          <w:p w14:paraId="40D3B5E8"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Exercisable at 31 March</w:t>
            </w:r>
          </w:p>
        </w:tc>
        <w:tc>
          <w:tcPr>
            <w:tcW w:w="1800" w:type="dxa"/>
            <w:tcBorders>
              <w:top w:val="single" w:sz="4" w:space="0" w:color="auto"/>
            </w:tcBorders>
            <w:shd w:val="clear" w:color="auto" w:fill="auto"/>
            <w:tcMar>
              <w:top w:w="28" w:type="dxa"/>
              <w:right w:w="142" w:type="dxa"/>
            </w:tcMar>
            <w:vAlign w:val="center"/>
          </w:tcPr>
          <w:p w14:paraId="14F66711"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1,98,000</w:t>
            </w:r>
          </w:p>
        </w:tc>
        <w:tc>
          <w:tcPr>
            <w:tcW w:w="1800" w:type="dxa"/>
            <w:shd w:val="clear" w:color="auto" w:fill="auto"/>
            <w:vAlign w:val="center"/>
          </w:tcPr>
          <w:p w14:paraId="4BDCAC3A"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2.98</w:t>
            </w:r>
          </w:p>
        </w:tc>
        <w:tc>
          <w:tcPr>
            <w:tcW w:w="1800" w:type="dxa"/>
            <w:tcBorders>
              <w:top w:val="single" w:sz="4" w:space="0" w:color="auto"/>
            </w:tcBorders>
            <w:shd w:val="clear" w:color="auto" w:fill="auto"/>
            <w:tcMar>
              <w:top w:w="28" w:type="dxa"/>
              <w:right w:w="170" w:type="dxa"/>
            </w:tcMar>
            <w:vAlign w:val="center"/>
          </w:tcPr>
          <w:p w14:paraId="6BC7F79F"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1,80,000</w:t>
            </w:r>
          </w:p>
        </w:tc>
        <w:tc>
          <w:tcPr>
            <w:tcW w:w="1800" w:type="dxa"/>
            <w:shd w:val="clear" w:color="auto" w:fill="auto"/>
            <w:vAlign w:val="center"/>
          </w:tcPr>
          <w:p w14:paraId="717384B2"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2.51</w:t>
            </w:r>
          </w:p>
        </w:tc>
      </w:tr>
    </w:tbl>
    <w:p w14:paraId="33BC3C9B" w14:textId="77777777" w:rsidR="00E03584" w:rsidRPr="00E70587" w:rsidRDefault="00E03584" w:rsidP="00750C05">
      <w:pPr>
        <w:pStyle w:val="Tablecolumnheading"/>
        <w:spacing w:line="280" w:lineRule="exact"/>
        <w:jc w:val="left"/>
        <w:rPr>
          <w:rFonts w:ascii="Arial" w:hAnsi="Arial"/>
          <w:sz w:val="20"/>
          <w:lang w:val="en-I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17C17" w:rsidRPr="00E70587" w14:paraId="538B76C5" w14:textId="77777777" w:rsidTr="00750C05">
        <w:tc>
          <w:tcPr>
            <w:tcW w:w="0" w:type="auto"/>
            <w:tcBorders>
              <w:top w:val="nil"/>
              <w:left w:val="nil"/>
              <w:bottom w:val="nil"/>
              <w:right w:val="nil"/>
            </w:tcBorders>
          </w:tcPr>
          <w:p w14:paraId="576DC65F" w14:textId="77777777" w:rsidR="00A17C17" w:rsidRPr="00E70587" w:rsidRDefault="00A17C17" w:rsidP="00750C05">
            <w:pPr>
              <w:pStyle w:val="Notesbodytext"/>
              <w:spacing w:after="0" w:line="280" w:lineRule="exact"/>
              <w:jc w:val="both"/>
              <w:rPr>
                <w:rFonts w:ascii="Arial" w:hAnsi="Arial"/>
                <w:i/>
                <w:color w:val="auto"/>
                <w:sz w:val="20"/>
              </w:rPr>
            </w:pPr>
            <w:r w:rsidRPr="00E70587">
              <w:rPr>
                <w:rFonts w:ascii="Arial" w:hAnsi="Arial"/>
                <w:color w:val="auto"/>
                <w:sz w:val="20"/>
                <w:vertAlign w:val="superscript"/>
              </w:rPr>
              <w:t>1</w:t>
            </w:r>
            <w:r w:rsidRPr="00E70587">
              <w:rPr>
                <w:rFonts w:ascii="Arial" w:hAnsi="Arial"/>
                <w:i/>
                <w:color w:val="auto"/>
                <w:sz w:val="20"/>
              </w:rPr>
              <w:t>The weighted average share price at the date of exercise of these options was INR 4.09.</w:t>
            </w:r>
          </w:p>
          <w:p w14:paraId="29600FF7" w14:textId="77777777" w:rsidR="00A17C17" w:rsidRPr="00E70587" w:rsidRDefault="00A17C17" w:rsidP="00750C05">
            <w:pPr>
              <w:pStyle w:val="Notesbodytext"/>
              <w:spacing w:after="0" w:line="280" w:lineRule="exact"/>
              <w:jc w:val="both"/>
              <w:rPr>
                <w:rFonts w:ascii="Arial" w:hAnsi="Arial"/>
                <w:color w:val="auto"/>
                <w:sz w:val="20"/>
              </w:rPr>
            </w:pPr>
            <w:r w:rsidRPr="00E70587">
              <w:rPr>
                <w:rFonts w:ascii="Arial" w:hAnsi="Arial"/>
                <w:color w:val="auto"/>
                <w:sz w:val="20"/>
                <w:vertAlign w:val="superscript"/>
              </w:rPr>
              <w:t>2</w:t>
            </w:r>
            <w:r w:rsidRPr="00E70587">
              <w:rPr>
                <w:rFonts w:ascii="Arial" w:hAnsi="Arial"/>
                <w:i/>
                <w:color w:val="auto"/>
                <w:sz w:val="20"/>
              </w:rPr>
              <w:t xml:space="preserve"> The weighted average share price at the date of exercise of these options was INR 3.13</w:t>
            </w:r>
          </w:p>
          <w:p w14:paraId="65514E52" w14:textId="72DE4DE1" w:rsidR="00A17C17" w:rsidRPr="00E70587" w:rsidRDefault="00A17C17" w:rsidP="00750C05">
            <w:pPr>
              <w:pStyle w:val="Notesbodytext"/>
              <w:spacing w:after="0" w:line="280" w:lineRule="exact"/>
              <w:jc w:val="both"/>
              <w:rPr>
                <w:rFonts w:ascii="Arial" w:hAnsi="Arial"/>
                <w:color w:val="auto"/>
                <w:sz w:val="20"/>
              </w:rPr>
            </w:pPr>
            <w:r w:rsidRPr="00E70587">
              <w:rPr>
                <w:rFonts w:ascii="Arial" w:hAnsi="Arial"/>
                <w:color w:val="auto"/>
                <w:sz w:val="20"/>
              </w:rPr>
              <w:t xml:space="preserve">The weighted average remaining contractual life for the share options outstanding as at 31 </w:t>
            </w:r>
            <w:r w:rsidR="00E1202D" w:rsidRPr="00E70587">
              <w:rPr>
                <w:rFonts w:ascii="Arial" w:hAnsi="Arial"/>
                <w:color w:val="auto"/>
                <w:sz w:val="20"/>
              </w:rPr>
              <w:t xml:space="preserve">March </w:t>
            </w:r>
            <w:r w:rsidR="00B871BC" w:rsidRPr="00E70587">
              <w:rPr>
                <w:rFonts w:ascii="Arial" w:hAnsi="Arial"/>
                <w:color w:val="auto"/>
                <w:sz w:val="20"/>
              </w:rPr>
              <w:t>20</w:t>
            </w:r>
            <w:r w:rsidR="00B871BC">
              <w:rPr>
                <w:rFonts w:ascii="Arial" w:hAnsi="Arial"/>
                <w:color w:val="auto"/>
                <w:sz w:val="20"/>
              </w:rPr>
              <w:t>21</w:t>
            </w:r>
            <w:r w:rsidR="00B871BC" w:rsidRPr="00E70587">
              <w:rPr>
                <w:rFonts w:ascii="Arial" w:hAnsi="Arial"/>
                <w:color w:val="auto"/>
                <w:sz w:val="20"/>
              </w:rPr>
              <w:t xml:space="preserve"> </w:t>
            </w:r>
            <w:r w:rsidRPr="00E70587">
              <w:rPr>
                <w:rFonts w:ascii="Arial" w:hAnsi="Arial"/>
                <w:color w:val="auto"/>
                <w:sz w:val="20"/>
              </w:rPr>
              <w:t xml:space="preserve">was 2.94 years (31 </w:t>
            </w:r>
            <w:r w:rsidR="008B730E" w:rsidRPr="00E70587">
              <w:rPr>
                <w:rFonts w:ascii="Arial" w:hAnsi="Arial"/>
                <w:color w:val="auto"/>
                <w:sz w:val="20"/>
              </w:rPr>
              <w:t xml:space="preserve">March </w:t>
            </w:r>
            <w:r w:rsidR="00B871BC" w:rsidRPr="00E70587">
              <w:rPr>
                <w:rFonts w:ascii="Arial" w:hAnsi="Arial"/>
                <w:color w:val="auto"/>
                <w:sz w:val="20"/>
              </w:rPr>
              <w:t>20</w:t>
            </w:r>
            <w:r w:rsidR="00B871BC">
              <w:rPr>
                <w:rFonts w:ascii="Arial" w:hAnsi="Arial"/>
                <w:color w:val="auto"/>
                <w:sz w:val="20"/>
              </w:rPr>
              <w:t>20</w:t>
            </w:r>
            <w:r w:rsidRPr="00E70587">
              <w:rPr>
                <w:rFonts w:ascii="Arial" w:hAnsi="Arial"/>
                <w:color w:val="auto"/>
                <w:sz w:val="20"/>
              </w:rPr>
              <w:t>: 2.60 years).</w:t>
            </w:r>
          </w:p>
          <w:p w14:paraId="7B368696" w14:textId="555EAADF" w:rsidR="00A17C17" w:rsidRPr="00E70587" w:rsidRDefault="00A17C17" w:rsidP="00750C05">
            <w:pPr>
              <w:pStyle w:val="Notesbodytext"/>
              <w:spacing w:after="0" w:line="280" w:lineRule="exact"/>
              <w:jc w:val="both"/>
              <w:rPr>
                <w:rFonts w:ascii="Arial" w:hAnsi="Arial"/>
                <w:color w:val="auto"/>
                <w:sz w:val="20"/>
              </w:rPr>
            </w:pPr>
            <w:r w:rsidRPr="00E70587">
              <w:rPr>
                <w:rFonts w:ascii="Arial" w:hAnsi="Arial"/>
                <w:color w:val="auto"/>
                <w:sz w:val="20"/>
              </w:rPr>
              <w:t xml:space="preserve">The weighted average fair value of options granted during the year was INR 1.32 (31 </w:t>
            </w:r>
            <w:r w:rsidR="008B730E" w:rsidRPr="00E70587">
              <w:rPr>
                <w:rFonts w:ascii="Arial" w:hAnsi="Arial"/>
                <w:color w:val="auto"/>
                <w:sz w:val="20"/>
              </w:rPr>
              <w:t xml:space="preserve">March </w:t>
            </w:r>
            <w:r w:rsidR="00B871BC" w:rsidRPr="00E70587">
              <w:rPr>
                <w:rFonts w:ascii="Arial" w:hAnsi="Arial"/>
                <w:color w:val="auto"/>
                <w:sz w:val="20"/>
              </w:rPr>
              <w:t>20</w:t>
            </w:r>
            <w:r w:rsidR="00B871BC">
              <w:rPr>
                <w:rFonts w:ascii="Arial" w:hAnsi="Arial"/>
                <w:color w:val="auto"/>
                <w:sz w:val="20"/>
              </w:rPr>
              <w:t>20</w:t>
            </w:r>
            <w:r w:rsidRPr="00E70587">
              <w:rPr>
                <w:rFonts w:ascii="Arial" w:hAnsi="Arial"/>
                <w:color w:val="auto"/>
                <w:sz w:val="20"/>
              </w:rPr>
              <w:t>: INR 1.18).</w:t>
            </w:r>
          </w:p>
          <w:p w14:paraId="75D630C9" w14:textId="77777777" w:rsidR="00A17C17" w:rsidRPr="00E70587" w:rsidRDefault="00A17C17" w:rsidP="00750C05">
            <w:pPr>
              <w:spacing w:line="280" w:lineRule="exact"/>
              <w:jc w:val="both"/>
              <w:rPr>
                <w:rFonts w:ascii="Arial" w:hAnsi="Arial" w:cs="Arial"/>
                <w:sz w:val="20"/>
              </w:rPr>
            </w:pPr>
          </w:p>
          <w:p w14:paraId="351A7872" w14:textId="2BCE09D9" w:rsidR="00A17C17" w:rsidRPr="00E70587" w:rsidRDefault="00A17C17" w:rsidP="00750C05">
            <w:pPr>
              <w:spacing w:line="280" w:lineRule="exact"/>
              <w:jc w:val="both"/>
              <w:rPr>
                <w:rFonts w:ascii="Arial" w:hAnsi="Arial" w:cs="Arial"/>
                <w:sz w:val="20"/>
              </w:rPr>
            </w:pPr>
            <w:r w:rsidRPr="00E70587">
              <w:rPr>
                <w:rFonts w:ascii="Arial" w:hAnsi="Arial" w:cs="Arial"/>
                <w:sz w:val="20"/>
              </w:rPr>
              <w:t xml:space="preserve">The range of exercise prices for options outstanding at the end of the year was INR 2.33 to INR 3.85 (31 </w:t>
            </w:r>
            <w:r w:rsidR="008B730E" w:rsidRPr="00E70587">
              <w:rPr>
                <w:rFonts w:ascii="Arial" w:hAnsi="Arial" w:cs="Arial"/>
                <w:sz w:val="20"/>
              </w:rPr>
              <w:t>March 20</w:t>
            </w:r>
            <w:r w:rsidR="00FC6420">
              <w:rPr>
                <w:rFonts w:ascii="Arial" w:hAnsi="Arial" w:cs="Arial"/>
                <w:sz w:val="20"/>
              </w:rPr>
              <w:t>20</w:t>
            </w:r>
            <w:r w:rsidRPr="00E70587">
              <w:rPr>
                <w:rFonts w:ascii="Arial" w:hAnsi="Arial" w:cs="Arial"/>
                <w:sz w:val="20"/>
              </w:rPr>
              <w:t>: INR 2.13 to INR 3.13).</w:t>
            </w:r>
          </w:p>
        </w:tc>
      </w:tr>
    </w:tbl>
    <w:p w14:paraId="285836BD" w14:textId="77777777" w:rsidR="00C93E69" w:rsidRPr="00E70587" w:rsidRDefault="00C93E69" w:rsidP="009901E1">
      <w:pPr>
        <w:spacing w:line="280" w:lineRule="exact"/>
        <w:rPr>
          <w:rFonts w:ascii="Arial" w:hAnsi="Arial" w:cs="Arial"/>
          <w:sz w:val="20"/>
        </w:rPr>
      </w:pPr>
    </w:p>
    <w:tbl>
      <w:tblPr>
        <w:tblW w:w="9576" w:type="dxa"/>
        <w:tblLook w:val="0000" w:firstRow="0" w:lastRow="0" w:firstColumn="0" w:lastColumn="0" w:noHBand="0" w:noVBand="0"/>
      </w:tblPr>
      <w:tblGrid>
        <w:gridCol w:w="9576"/>
      </w:tblGrid>
      <w:tr w:rsidR="00C93E69" w:rsidRPr="00E70587" w14:paraId="670FCC95" w14:textId="77777777" w:rsidTr="00834981">
        <w:tc>
          <w:tcPr>
            <w:tcW w:w="0" w:type="auto"/>
          </w:tcPr>
          <w:p w14:paraId="5B38BBF6" w14:textId="082835F9" w:rsidR="00C93E69" w:rsidRPr="00E70587" w:rsidRDefault="00C93E69" w:rsidP="00C41BF8">
            <w:pPr>
              <w:spacing w:line="280" w:lineRule="exact"/>
              <w:jc w:val="both"/>
              <w:rPr>
                <w:rFonts w:ascii="Arial" w:hAnsi="Arial" w:cs="Arial"/>
                <w:sz w:val="20"/>
              </w:rPr>
            </w:pPr>
            <w:r w:rsidRPr="00E70587">
              <w:rPr>
                <w:rFonts w:ascii="Arial" w:hAnsi="Arial" w:cs="Arial"/>
                <w:sz w:val="20"/>
              </w:rPr>
              <w:lastRenderedPageBreak/>
              <w:t xml:space="preserve">The following tables list the inputs to the models used for the three plans for the years ended 31 </w:t>
            </w:r>
            <w:r w:rsidR="00E1202D" w:rsidRPr="00E70587">
              <w:rPr>
                <w:rFonts w:ascii="Arial" w:hAnsi="Arial" w:cs="Arial"/>
                <w:sz w:val="20"/>
              </w:rPr>
              <w:t xml:space="preserve">March </w:t>
            </w:r>
            <w:r w:rsidR="00B871BC" w:rsidRPr="00E70587">
              <w:rPr>
                <w:rFonts w:ascii="Arial" w:hAnsi="Arial" w:cs="Arial"/>
                <w:sz w:val="20"/>
              </w:rPr>
              <w:t>20</w:t>
            </w:r>
            <w:r w:rsidR="00B871BC">
              <w:rPr>
                <w:rFonts w:ascii="Arial" w:hAnsi="Arial" w:cs="Arial"/>
                <w:sz w:val="20"/>
              </w:rPr>
              <w:t>21</w:t>
            </w:r>
            <w:r w:rsidR="00B871BC" w:rsidRPr="00E70587">
              <w:rPr>
                <w:rFonts w:ascii="Arial" w:hAnsi="Arial" w:cs="Arial"/>
                <w:sz w:val="20"/>
              </w:rPr>
              <w:t xml:space="preserve"> </w:t>
            </w:r>
            <w:r w:rsidRPr="00E70587">
              <w:rPr>
                <w:rFonts w:ascii="Arial" w:hAnsi="Arial" w:cs="Arial"/>
                <w:sz w:val="20"/>
              </w:rPr>
              <w:t xml:space="preserve">and 31 </w:t>
            </w:r>
            <w:r w:rsidR="008B730E" w:rsidRPr="00E70587">
              <w:rPr>
                <w:rFonts w:ascii="Arial" w:hAnsi="Arial" w:cs="Arial"/>
                <w:sz w:val="20"/>
              </w:rPr>
              <w:t xml:space="preserve">March </w:t>
            </w:r>
            <w:r w:rsidR="00B871BC" w:rsidRPr="00E70587">
              <w:rPr>
                <w:rFonts w:ascii="Arial" w:hAnsi="Arial" w:cs="Arial"/>
                <w:sz w:val="20"/>
              </w:rPr>
              <w:t>20</w:t>
            </w:r>
            <w:r w:rsidR="00B871BC">
              <w:rPr>
                <w:rFonts w:ascii="Arial" w:hAnsi="Arial" w:cs="Arial"/>
                <w:sz w:val="20"/>
              </w:rPr>
              <w:t>20</w:t>
            </w:r>
            <w:r w:rsidRPr="00E70587">
              <w:rPr>
                <w:rFonts w:ascii="Arial" w:hAnsi="Arial" w:cs="Arial"/>
                <w:sz w:val="20"/>
              </w:rPr>
              <w:t>, respectively:</w:t>
            </w:r>
          </w:p>
          <w:p w14:paraId="2A8FBB43" w14:textId="77777777" w:rsidR="00C93E69" w:rsidRPr="00E70587" w:rsidRDefault="00C93E69" w:rsidP="009901E1">
            <w:pPr>
              <w:spacing w:line="280" w:lineRule="exact"/>
              <w:ind w:left="195"/>
              <w:rPr>
                <w:rFonts w:ascii="Arial" w:hAnsi="Arial" w:cs="Arial"/>
                <w:sz w:val="20"/>
              </w:rPr>
            </w:pPr>
          </w:p>
        </w:tc>
      </w:tr>
    </w:tbl>
    <w:p w14:paraId="642868C3" w14:textId="77777777" w:rsidR="00A81F3A" w:rsidRPr="00E70587" w:rsidRDefault="00A81F3A" w:rsidP="00750C05">
      <w:pPr>
        <w:pStyle w:val="Tablecolumnheading"/>
        <w:spacing w:line="280" w:lineRule="exact"/>
        <w:jc w:val="left"/>
        <w:rPr>
          <w:rFonts w:ascii="Arial" w:hAnsi="Arial"/>
          <w:sz w:val="20"/>
          <w:lang w:val="en-IN"/>
        </w:rPr>
      </w:pPr>
    </w:p>
    <w:tbl>
      <w:tblPr>
        <w:tblW w:w="9576" w:type="dxa"/>
        <w:tblLayout w:type="fixed"/>
        <w:tblLook w:val="01E0" w:firstRow="1" w:lastRow="1" w:firstColumn="1" w:lastColumn="1" w:noHBand="0" w:noVBand="0"/>
      </w:tblPr>
      <w:tblGrid>
        <w:gridCol w:w="4246"/>
        <w:gridCol w:w="1716"/>
        <w:gridCol w:w="1807"/>
        <w:gridCol w:w="1807"/>
      </w:tblGrid>
      <w:tr w:rsidR="00A17C17" w:rsidRPr="00E70587" w14:paraId="4627784D" w14:textId="77777777" w:rsidTr="00834981">
        <w:tc>
          <w:tcPr>
            <w:tcW w:w="4230" w:type="dxa"/>
            <w:shd w:val="clear" w:color="auto" w:fill="auto"/>
            <w:vAlign w:val="center"/>
          </w:tcPr>
          <w:p w14:paraId="7D47EB9C" w14:textId="77777777" w:rsidR="00A17C17" w:rsidRPr="00E70587" w:rsidRDefault="00A17C17" w:rsidP="009901E1">
            <w:pPr>
              <w:pStyle w:val="Notesbodytext"/>
              <w:spacing w:after="0" w:line="280" w:lineRule="exact"/>
              <w:rPr>
                <w:rFonts w:ascii="Arial" w:hAnsi="Arial"/>
                <w:color w:val="auto"/>
                <w:sz w:val="20"/>
              </w:rPr>
            </w:pPr>
          </w:p>
        </w:tc>
        <w:tc>
          <w:tcPr>
            <w:tcW w:w="1710" w:type="dxa"/>
            <w:tcBorders>
              <w:bottom w:val="single" w:sz="4" w:space="0" w:color="auto"/>
            </w:tcBorders>
            <w:shd w:val="clear" w:color="auto" w:fill="auto"/>
            <w:vAlign w:val="bottom"/>
          </w:tcPr>
          <w:p w14:paraId="4B26B9A8" w14:textId="09AB4370"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303E3A" w:rsidRPr="00E70587">
              <w:rPr>
                <w:rFonts w:ascii="Arial" w:hAnsi="Arial"/>
                <w:color w:val="auto"/>
                <w:sz w:val="20"/>
                <w:szCs w:val="20"/>
                <w:lang w:val="en-IN"/>
              </w:rPr>
              <w:t>20</w:t>
            </w:r>
            <w:r w:rsidR="00303E3A">
              <w:rPr>
                <w:rFonts w:ascii="Arial" w:hAnsi="Arial"/>
                <w:color w:val="auto"/>
                <w:sz w:val="20"/>
                <w:szCs w:val="20"/>
                <w:lang w:val="en-IN"/>
              </w:rPr>
              <w:t>21</w:t>
            </w:r>
          </w:p>
          <w:p w14:paraId="27AD30C8"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SEP</w:t>
            </w:r>
          </w:p>
        </w:tc>
        <w:tc>
          <w:tcPr>
            <w:tcW w:w="1800" w:type="dxa"/>
            <w:tcBorders>
              <w:bottom w:val="single" w:sz="4" w:space="0" w:color="auto"/>
            </w:tcBorders>
            <w:shd w:val="clear" w:color="auto" w:fill="auto"/>
            <w:vAlign w:val="bottom"/>
          </w:tcPr>
          <w:p w14:paraId="3A353ED3" w14:textId="0A46D916"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303E3A" w:rsidRPr="00E70587">
              <w:rPr>
                <w:rFonts w:ascii="Arial" w:hAnsi="Arial"/>
                <w:color w:val="auto"/>
                <w:sz w:val="20"/>
                <w:szCs w:val="20"/>
                <w:lang w:val="en-IN"/>
              </w:rPr>
              <w:t>20</w:t>
            </w:r>
            <w:r w:rsidR="00303E3A">
              <w:rPr>
                <w:rFonts w:ascii="Arial" w:hAnsi="Arial"/>
                <w:color w:val="auto"/>
                <w:sz w:val="20"/>
                <w:szCs w:val="20"/>
                <w:lang w:val="en-IN"/>
              </w:rPr>
              <w:t>21</w:t>
            </w:r>
          </w:p>
          <w:p w14:paraId="27B7FA26"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GESP</w:t>
            </w:r>
          </w:p>
        </w:tc>
        <w:tc>
          <w:tcPr>
            <w:tcW w:w="1800" w:type="dxa"/>
            <w:tcBorders>
              <w:bottom w:val="single" w:sz="4" w:space="0" w:color="auto"/>
            </w:tcBorders>
            <w:shd w:val="clear" w:color="auto" w:fill="auto"/>
            <w:vAlign w:val="bottom"/>
          </w:tcPr>
          <w:p w14:paraId="580440F2" w14:textId="5B02D9B6"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303E3A" w:rsidRPr="00E70587">
              <w:rPr>
                <w:rFonts w:ascii="Arial" w:hAnsi="Arial"/>
                <w:color w:val="auto"/>
                <w:sz w:val="20"/>
                <w:szCs w:val="20"/>
                <w:lang w:val="en-IN"/>
              </w:rPr>
              <w:t>20</w:t>
            </w:r>
            <w:r w:rsidR="00303E3A">
              <w:rPr>
                <w:rFonts w:ascii="Arial" w:hAnsi="Arial"/>
                <w:color w:val="auto"/>
                <w:sz w:val="20"/>
                <w:szCs w:val="20"/>
                <w:lang w:val="en-IN"/>
              </w:rPr>
              <w:t>21</w:t>
            </w:r>
          </w:p>
          <w:p w14:paraId="363C6625"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SAR</w:t>
            </w:r>
          </w:p>
        </w:tc>
      </w:tr>
      <w:tr w:rsidR="005D3AEB" w:rsidRPr="00E70587" w14:paraId="0EDF5B97" w14:textId="77777777" w:rsidTr="00834981">
        <w:tc>
          <w:tcPr>
            <w:tcW w:w="4230" w:type="dxa"/>
            <w:shd w:val="clear" w:color="auto" w:fill="auto"/>
          </w:tcPr>
          <w:p w14:paraId="5C9C70FF" w14:textId="0669F40A" w:rsidR="005D3AEB" w:rsidRPr="00E70587" w:rsidRDefault="005D3AEB" w:rsidP="009901E1">
            <w:pPr>
              <w:pStyle w:val="tabletext"/>
              <w:spacing w:line="280" w:lineRule="exact"/>
              <w:rPr>
                <w:rFonts w:ascii="Arial" w:hAnsi="Arial" w:cs="Arial"/>
                <w:sz w:val="20"/>
                <w:lang w:val="en-IN"/>
              </w:rPr>
            </w:pPr>
            <w:r>
              <w:rPr>
                <w:rFonts w:ascii="Arial" w:hAnsi="Arial" w:cs="Arial"/>
                <w:sz w:val="20"/>
                <w:lang w:val="en-IN"/>
              </w:rPr>
              <w:t>Weighted average fair values at the measurement date</w:t>
            </w:r>
          </w:p>
        </w:tc>
        <w:tc>
          <w:tcPr>
            <w:tcW w:w="1710" w:type="dxa"/>
            <w:shd w:val="clear" w:color="auto" w:fill="auto"/>
          </w:tcPr>
          <w:p w14:paraId="78A7DD3F" w14:textId="5A270FA8" w:rsidR="005D3AEB" w:rsidRPr="00E70587" w:rsidRDefault="005D3AEB" w:rsidP="009901E1">
            <w:pPr>
              <w:pStyle w:val="tabletext"/>
              <w:spacing w:line="280" w:lineRule="exact"/>
              <w:jc w:val="right"/>
              <w:rPr>
                <w:rFonts w:ascii="Arial" w:hAnsi="Arial" w:cs="Arial"/>
                <w:sz w:val="20"/>
                <w:lang w:val="en-IN"/>
              </w:rPr>
            </w:pPr>
            <w:r>
              <w:rPr>
                <w:rFonts w:ascii="Arial" w:hAnsi="Arial" w:cs="Arial"/>
                <w:sz w:val="20"/>
                <w:lang w:val="en-IN"/>
              </w:rPr>
              <w:t>INR 3.45</w:t>
            </w:r>
          </w:p>
        </w:tc>
        <w:tc>
          <w:tcPr>
            <w:tcW w:w="1800" w:type="dxa"/>
            <w:shd w:val="clear" w:color="auto" w:fill="auto"/>
          </w:tcPr>
          <w:p w14:paraId="5ADFA854" w14:textId="5791DF3A" w:rsidR="005D3AEB" w:rsidRPr="00E70587" w:rsidRDefault="005D3AEB" w:rsidP="009901E1">
            <w:pPr>
              <w:pStyle w:val="tabletext"/>
              <w:spacing w:line="280" w:lineRule="exact"/>
              <w:jc w:val="right"/>
              <w:rPr>
                <w:rFonts w:ascii="Arial" w:hAnsi="Arial" w:cs="Arial"/>
                <w:sz w:val="20"/>
                <w:lang w:val="en-IN"/>
              </w:rPr>
            </w:pPr>
            <w:r>
              <w:rPr>
                <w:rFonts w:ascii="Arial" w:hAnsi="Arial" w:cs="Arial"/>
                <w:sz w:val="20"/>
                <w:lang w:val="en-IN"/>
              </w:rPr>
              <w:t>INR 3.10</w:t>
            </w:r>
          </w:p>
        </w:tc>
        <w:tc>
          <w:tcPr>
            <w:tcW w:w="1800" w:type="dxa"/>
            <w:shd w:val="clear" w:color="auto" w:fill="auto"/>
          </w:tcPr>
          <w:p w14:paraId="514994D4" w14:textId="343A4FE3" w:rsidR="005D3AEB" w:rsidRPr="00E70587" w:rsidRDefault="005D3AEB" w:rsidP="009901E1">
            <w:pPr>
              <w:pStyle w:val="tabletext"/>
              <w:spacing w:line="280" w:lineRule="exact"/>
              <w:jc w:val="right"/>
              <w:rPr>
                <w:rFonts w:ascii="Arial" w:hAnsi="Arial" w:cs="Arial"/>
                <w:sz w:val="20"/>
                <w:lang w:val="en-IN"/>
              </w:rPr>
            </w:pPr>
            <w:r>
              <w:rPr>
                <w:rFonts w:ascii="Arial" w:hAnsi="Arial" w:cs="Arial"/>
                <w:sz w:val="20"/>
                <w:lang w:val="en-IN"/>
              </w:rPr>
              <w:t>INR 2.80</w:t>
            </w:r>
          </w:p>
        </w:tc>
      </w:tr>
      <w:tr w:rsidR="00A17C17" w:rsidRPr="00E70587" w14:paraId="5E3E1164" w14:textId="77777777" w:rsidTr="00834981">
        <w:tc>
          <w:tcPr>
            <w:tcW w:w="4230" w:type="dxa"/>
            <w:shd w:val="clear" w:color="auto" w:fill="auto"/>
          </w:tcPr>
          <w:p w14:paraId="733EFA29"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Dividend yield (%)</w:t>
            </w:r>
          </w:p>
        </w:tc>
        <w:tc>
          <w:tcPr>
            <w:tcW w:w="1710" w:type="dxa"/>
            <w:shd w:val="clear" w:color="auto" w:fill="auto"/>
          </w:tcPr>
          <w:p w14:paraId="520FEF14"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3.13</w:t>
            </w:r>
          </w:p>
        </w:tc>
        <w:tc>
          <w:tcPr>
            <w:tcW w:w="1800" w:type="dxa"/>
            <w:shd w:val="clear" w:color="auto" w:fill="auto"/>
          </w:tcPr>
          <w:p w14:paraId="4853B997"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3.13</w:t>
            </w:r>
          </w:p>
        </w:tc>
        <w:tc>
          <w:tcPr>
            <w:tcW w:w="1800" w:type="dxa"/>
            <w:shd w:val="clear" w:color="auto" w:fill="auto"/>
          </w:tcPr>
          <w:p w14:paraId="4F03C234"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3.13</w:t>
            </w:r>
          </w:p>
        </w:tc>
      </w:tr>
      <w:tr w:rsidR="00A17C17" w:rsidRPr="00E70587" w14:paraId="426F36C8" w14:textId="77777777" w:rsidTr="00834981">
        <w:tc>
          <w:tcPr>
            <w:tcW w:w="4230" w:type="dxa"/>
            <w:shd w:val="clear" w:color="auto" w:fill="auto"/>
          </w:tcPr>
          <w:p w14:paraId="0E2E14A1"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Expected volatility (%)</w:t>
            </w:r>
          </w:p>
        </w:tc>
        <w:tc>
          <w:tcPr>
            <w:tcW w:w="1710" w:type="dxa"/>
            <w:shd w:val="clear" w:color="auto" w:fill="auto"/>
          </w:tcPr>
          <w:p w14:paraId="18DA1C2A"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15.00</w:t>
            </w:r>
          </w:p>
        </w:tc>
        <w:tc>
          <w:tcPr>
            <w:tcW w:w="1800" w:type="dxa"/>
            <w:shd w:val="clear" w:color="auto" w:fill="auto"/>
          </w:tcPr>
          <w:p w14:paraId="0277292A"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16.00</w:t>
            </w:r>
          </w:p>
        </w:tc>
        <w:tc>
          <w:tcPr>
            <w:tcW w:w="1800" w:type="dxa"/>
            <w:shd w:val="clear" w:color="auto" w:fill="auto"/>
          </w:tcPr>
          <w:p w14:paraId="3072E2B0"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18.00</w:t>
            </w:r>
          </w:p>
        </w:tc>
      </w:tr>
      <w:tr w:rsidR="00A17C17" w:rsidRPr="00E70587" w14:paraId="187FC9BA" w14:textId="77777777" w:rsidTr="00834981">
        <w:tc>
          <w:tcPr>
            <w:tcW w:w="4230" w:type="dxa"/>
            <w:shd w:val="clear" w:color="auto" w:fill="auto"/>
          </w:tcPr>
          <w:p w14:paraId="3F957404"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Risk–free interest rate (%)</w:t>
            </w:r>
          </w:p>
        </w:tc>
        <w:tc>
          <w:tcPr>
            <w:tcW w:w="1710" w:type="dxa"/>
            <w:shd w:val="clear" w:color="auto" w:fill="auto"/>
          </w:tcPr>
          <w:p w14:paraId="6390A3BA"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5.10</w:t>
            </w:r>
          </w:p>
        </w:tc>
        <w:tc>
          <w:tcPr>
            <w:tcW w:w="1800" w:type="dxa"/>
            <w:shd w:val="clear" w:color="auto" w:fill="auto"/>
          </w:tcPr>
          <w:p w14:paraId="3EE61473"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5.10</w:t>
            </w:r>
          </w:p>
        </w:tc>
        <w:tc>
          <w:tcPr>
            <w:tcW w:w="1800" w:type="dxa"/>
            <w:shd w:val="clear" w:color="auto" w:fill="auto"/>
          </w:tcPr>
          <w:p w14:paraId="1BAB5F9D"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5.10</w:t>
            </w:r>
          </w:p>
        </w:tc>
      </w:tr>
      <w:tr w:rsidR="00A17C17" w:rsidRPr="00E70587" w14:paraId="05F13509" w14:textId="77777777" w:rsidTr="00834981">
        <w:tc>
          <w:tcPr>
            <w:tcW w:w="4230" w:type="dxa"/>
            <w:shd w:val="clear" w:color="auto" w:fill="auto"/>
          </w:tcPr>
          <w:p w14:paraId="796AA72E"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Expected life of share options/SARs (years)</w:t>
            </w:r>
          </w:p>
        </w:tc>
        <w:tc>
          <w:tcPr>
            <w:tcW w:w="1710" w:type="dxa"/>
            <w:shd w:val="clear" w:color="auto" w:fill="auto"/>
          </w:tcPr>
          <w:p w14:paraId="0B9C7BE9"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6.50</w:t>
            </w:r>
          </w:p>
        </w:tc>
        <w:tc>
          <w:tcPr>
            <w:tcW w:w="1800" w:type="dxa"/>
            <w:shd w:val="clear" w:color="auto" w:fill="auto"/>
          </w:tcPr>
          <w:p w14:paraId="0D4A5837"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4.25</w:t>
            </w:r>
          </w:p>
        </w:tc>
        <w:tc>
          <w:tcPr>
            <w:tcW w:w="1800" w:type="dxa"/>
            <w:shd w:val="clear" w:color="auto" w:fill="auto"/>
          </w:tcPr>
          <w:p w14:paraId="7826DCCA"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6.00</w:t>
            </w:r>
          </w:p>
        </w:tc>
      </w:tr>
      <w:tr w:rsidR="00A17C17" w:rsidRPr="00E70587" w14:paraId="5105E1F0" w14:textId="77777777" w:rsidTr="00834981">
        <w:tc>
          <w:tcPr>
            <w:tcW w:w="4230" w:type="dxa"/>
            <w:shd w:val="clear" w:color="auto" w:fill="auto"/>
          </w:tcPr>
          <w:p w14:paraId="118C534B"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Weighted average share price (</w:t>
            </w:r>
            <w:proofErr w:type="gramStart"/>
            <w:r w:rsidRPr="00E70587">
              <w:rPr>
                <w:rFonts w:ascii="Arial" w:hAnsi="Arial" w:cs="Arial"/>
                <w:sz w:val="20"/>
                <w:lang w:val="en-IN"/>
              </w:rPr>
              <w:t>INR )</w:t>
            </w:r>
            <w:proofErr w:type="gramEnd"/>
          </w:p>
        </w:tc>
        <w:tc>
          <w:tcPr>
            <w:tcW w:w="1710" w:type="dxa"/>
            <w:shd w:val="clear" w:color="auto" w:fill="auto"/>
          </w:tcPr>
          <w:p w14:paraId="4F64207D"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3.10</w:t>
            </w:r>
          </w:p>
        </w:tc>
        <w:tc>
          <w:tcPr>
            <w:tcW w:w="1800" w:type="dxa"/>
            <w:shd w:val="clear" w:color="auto" w:fill="auto"/>
          </w:tcPr>
          <w:p w14:paraId="4F3F36BF"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3.10</w:t>
            </w:r>
          </w:p>
        </w:tc>
        <w:tc>
          <w:tcPr>
            <w:tcW w:w="1800" w:type="dxa"/>
            <w:shd w:val="clear" w:color="auto" w:fill="auto"/>
          </w:tcPr>
          <w:p w14:paraId="47242756"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3.12</w:t>
            </w:r>
          </w:p>
        </w:tc>
      </w:tr>
      <w:tr w:rsidR="00A17C17" w:rsidRPr="00E70587" w14:paraId="18C7CE1F" w14:textId="77777777" w:rsidTr="00834981">
        <w:tc>
          <w:tcPr>
            <w:tcW w:w="4230" w:type="dxa"/>
            <w:shd w:val="clear" w:color="auto" w:fill="auto"/>
          </w:tcPr>
          <w:p w14:paraId="69B989E7"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Model used</w:t>
            </w:r>
          </w:p>
        </w:tc>
        <w:tc>
          <w:tcPr>
            <w:tcW w:w="1710" w:type="dxa"/>
            <w:shd w:val="clear" w:color="auto" w:fill="auto"/>
          </w:tcPr>
          <w:p w14:paraId="0DEC5B55"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Binomial</w:t>
            </w:r>
          </w:p>
        </w:tc>
        <w:tc>
          <w:tcPr>
            <w:tcW w:w="1800" w:type="dxa"/>
            <w:shd w:val="clear" w:color="auto" w:fill="auto"/>
          </w:tcPr>
          <w:p w14:paraId="3F787B62"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Monte Carlo</w:t>
            </w:r>
          </w:p>
        </w:tc>
        <w:tc>
          <w:tcPr>
            <w:tcW w:w="1800" w:type="dxa"/>
            <w:shd w:val="clear" w:color="auto" w:fill="auto"/>
          </w:tcPr>
          <w:p w14:paraId="0C223E97"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Binomial</w:t>
            </w:r>
          </w:p>
        </w:tc>
      </w:tr>
      <w:tr w:rsidR="00A17C17" w:rsidRPr="00E70587" w14:paraId="41A2C499" w14:textId="77777777" w:rsidTr="00834981">
        <w:tc>
          <w:tcPr>
            <w:tcW w:w="4230" w:type="dxa"/>
            <w:shd w:val="clear" w:color="auto" w:fill="auto"/>
            <w:vAlign w:val="bottom"/>
          </w:tcPr>
          <w:p w14:paraId="443B35A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eastAsia="ru-RU"/>
              </w:rPr>
            </w:pPr>
          </w:p>
        </w:tc>
        <w:tc>
          <w:tcPr>
            <w:tcW w:w="1710" w:type="dxa"/>
            <w:tcBorders>
              <w:bottom w:val="single" w:sz="4" w:space="0" w:color="auto"/>
            </w:tcBorders>
            <w:shd w:val="clear" w:color="auto" w:fill="auto"/>
            <w:vAlign w:val="bottom"/>
          </w:tcPr>
          <w:p w14:paraId="2E854E6F" w14:textId="1767083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303E3A" w:rsidRPr="00E70587">
              <w:rPr>
                <w:rFonts w:ascii="Arial" w:hAnsi="Arial"/>
                <w:color w:val="auto"/>
                <w:sz w:val="20"/>
                <w:szCs w:val="20"/>
                <w:lang w:val="en-IN"/>
              </w:rPr>
              <w:t>20</w:t>
            </w:r>
            <w:r w:rsidR="00303E3A">
              <w:rPr>
                <w:rFonts w:ascii="Arial" w:hAnsi="Arial"/>
                <w:color w:val="auto"/>
                <w:sz w:val="20"/>
                <w:szCs w:val="20"/>
                <w:lang w:val="en-IN"/>
              </w:rPr>
              <w:t>20</w:t>
            </w:r>
          </w:p>
          <w:p w14:paraId="4B1ED636"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SEP</w:t>
            </w:r>
          </w:p>
        </w:tc>
        <w:tc>
          <w:tcPr>
            <w:tcW w:w="1800" w:type="dxa"/>
            <w:tcBorders>
              <w:bottom w:val="single" w:sz="4" w:space="0" w:color="auto"/>
            </w:tcBorders>
            <w:shd w:val="clear" w:color="auto" w:fill="auto"/>
            <w:vAlign w:val="bottom"/>
          </w:tcPr>
          <w:p w14:paraId="790C9FF1" w14:textId="66B2EB70"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303E3A" w:rsidRPr="00E70587">
              <w:rPr>
                <w:rFonts w:ascii="Arial" w:hAnsi="Arial"/>
                <w:color w:val="auto"/>
                <w:sz w:val="20"/>
                <w:szCs w:val="20"/>
                <w:lang w:val="en-IN"/>
              </w:rPr>
              <w:t>20</w:t>
            </w:r>
            <w:r w:rsidR="00303E3A">
              <w:rPr>
                <w:rFonts w:ascii="Arial" w:hAnsi="Arial"/>
                <w:color w:val="auto"/>
                <w:sz w:val="20"/>
                <w:szCs w:val="20"/>
                <w:lang w:val="en-IN"/>
              </w:rPr>
              <w:t>20</w:t>
            </w:r>
          </w:p>
          <w:p w14:paraId="7460E7F1"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GESP</w:t>
            </w:r>
          </w:p>
        </w:tc>
        <w:tc>
          <w:tcPr>
            <w:tcW w:w="1800" w:type="dxa"/>
            <w:tcBorders>
              <w:bottom w:val="single" w:sz="4" w:space="0" w:color="auto"/>
            </w:tcBorders>
            <w:shd w:val="clear" w:color="auto" w:fill="auto"/>
            <w:vAlign w:val="bottom"/>
          </w:tcPr>
          <w:p w14:paraId="44AF1172" w14:textId="78FF1022"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303E3A" w:rsidRPr="00E70587">
              <w:rPr>
                <w:rFonts w:ascii="Arial" w:hAnsi="Arial"/>
                <w:color w:val="auto"/>
                <w:sz w:val="20"/>
                <w:szCs w:val="20"/>
                <w:lang w:val="en-IN"/>
              </w:rPr>
              <w:t>20</w:t>
            </w:r>
            <w:r w:rsidR="00303E3A">
              <w:rPr>
                <w:rFonts w:ascii="Arial" w:hAnsi="Arial"/>
                <w:color w:val="auto"/>
                <w:sz w:val="20"/>
                <w:szCs w:val="20"/>
                <w:lang w:val="en-IN"/>
              </w:rPr>
              <w:t>20</w:t>
            </w:r>
          </w:p>
          <w:p w14:paraId="0B3D16DD"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SAR</w:t>
            </w:r>
          </w:p>
        </w:tc>
      </w:tr>
      <w:tr w:rsidR="00CB73FB" w:rsidRPr="00E70587" w14:paraId="3CECD41C" w14:textId="77777777" w:rsidTr="00834981">
        <w:tc>
          <w:tcPr>
            <w:tcW w:w="4230" w:type="dxa"/>
            <w:shd w:val="clear" w:color="auto" w:fill="auto"/>
          </w:tcPr>
          <w:p w14:paraId="0F4E996C" w14:textId="35DDB403" w:rsidR="00CB73FB" w:rsidRPr="00E70587" w:rsidRDefault="00CB73FB" w:rsidP="009901E1">
            <w:pPr>
              <w:pStyle w:val="tabletext"/>
              <w:spacing w:line="280" w:lineRule="exact"/>
              <w:rPr>
                <w:rFonts w:ascii="Arial" w:hAnsi="Arial" w:cs="Arial"/>
                <w:sz w:val="20"/>
                <w:lang w:val="en-IN"/>
              </w:rPr>
            </w:pPr>
            <w:r>
              <w:rPr>
                <w:rFonts w:ascii="Arial" w:hAnsi="Arial" w:cs="Arial"/>
                <w:sz w:val="20"/>
                <w:lang w:val="en-IN"/>
              </w:rPr>
              <w:t>Weighted average fair values at the measurement date</w:t>
            </w:r>
          </w:p>
        </w:tc>
        <w:tc>
          <w:tcPr>
            <w:tcW w:w="1710" w:type="dxa"/>
            <w:shd w:val="clear" w:color="auto" w:fill="auto"/>
          </w:tcPr>
          <w:p w14:paraId="55608A24" w14:textId="58B5796C" w:rsidR="00CB73FB" w:rsidRPr="00E70587" w:rsidRDefault="00CB73FB" w:rsidP="009901E1">
            <w:pPr>
              <w:pStyle w:val="tabletext"/>
              <w:spacing w:line="280" w:lineRule="exact"/>
              <w:jc w:val="right"/>
              <w:rPr>
                <w:rFonts w:ascii="Arial" w:hAnsi="Arial" w:cs="Arial"/>
                <w:sz w:val="20"/>
                <w:lang w:val="en-IN"/>
              </w:rPr>
            </w:pPr>
            <w:r>
              <w:rPr>
                <w:rFonts w:ascii="Arial" w:hAnsi="Arial" w:cs="Arial"/>
                <w:sz w:val="20"/>
                <w:lang w:val="en-IN"/>
              </w:rPr>
              <w:t>INR 3.30</w:t>
            </w:r>
          </w:p>
        </w:tc>
        <w:tc>
          <w:tcPr>
            <w:tcW w:w="1800" w:type="dxa"/>
            <w:shd w:val="clear" w:color="auto" w:fill="auto"/>
          </w:tcPr>
          <w:p w14:paraId="73A072F9" w14:textId="64C94415" w:rsidR="00CB73FB" w:rsidRPr="00E70587" w:rsidRDefault="00CB73FB" w:rsidP="009901E1">
            <w:pPr>
              <w:pStyle w:val="tabletext"/>
              <w:spacing w:line="280" w:lineRule="exact"/>
              <w:jc w:val="right"/>
              <w:rPr>
                <w:rFonts w:ascii="Arial" w:hAnsi="Arial" w:cs="Arial"/>
                <w:sz w:val="20"/>
                <w:lang w:val="en-IN"/>
              </w:rPr>
            </w:pPr>
            <w:r>
              <w:rPr>
                <w:rFonts w:ascii="Arial" w:hAnsi="Arial" w:cs="Arial"/>
                <w:sz w:val="20"/>
                <w:lang w:val="en-IN"/>
              </w:rPr>
              <w:t>INR 3.00</w:t>
            </w:r>
          </w:p>
        </w:tc>
        <w:tc>
          <w:tcPr>
            <w:tcW w:w="1800" w:type="dxa"/>
            <w:shd w:val="clear" w:color="auto" w:fill="auto"/>
          </w:tcPr>
          <w:p w14:paraId="6D67A9DF" w14:textId="13F63EB9" w:rsidR="00CB73FB" w:rsidRPr="00E70587" w:rsidRDefault="00CB73FB" w:rsidP="009901E1">
            <w:pPr>
              <w:pStyle w:val="tabletext"/>
              <w:spacing w:line="280" w:lineRule="exact"/>
              <w:jc w:val="right"/>
              <w:rPr>
                <w:rFonts w:ascii="Arial" w:hAnsi="Arial" w:cs="Arial"/>
                <w:sz w:val="20"/>
                <w:lang w:val="en-IN"/>
              </w:rPr>
            </w:pPr>
            <w:r>
              <w:rPr>
                <w:rFonts w:ascii="Arial" w:hAnsi="Arial" w:cs="Arial"/>
                <w:sz w:val="20"/>
                <w:lang w:val="en-IN"/>
              </w:rPr>
              <w:t>INR 2.60</w:t>
            </w:r>
          </w:p>
        </w:tc>
      </w:tr>
      <w:tr w:rsidR="00A17C17" w:rsidRPr="00E70587" w14:paraId="47AE8F79" w14:textId="77777777" w:rsidTr="00834981">
        <w:tc>
          <w:tcPr>
            <w:tcW w:w="4230" w:type="dxa"/>
            <w:shd w:val="clear" w:color="auto" w:fill="auto"/>
          </w:tcPr>
          <w:p w14:paraId="1C5CF0C9"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Dividend yield (%)</w:t>
            </w:r>
          </w:p>
        </w:tc>
        <w:tc>
          <w:tcPr>
            <w:tcW w:w="1710" w:type="dxa"/>
            <w:shd w:val="clear" w:color="auto" w:fill="auto"/>
          </w:tcPr>
          <w:p w14:paraId="348E0246"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3.01</w:t>
            </w:r>
          </w:p>
        </w:tc>
        <w:tc>
          <w:tcPr>
            <w:tcW w:w="1800" w:type="dxa"/>
            <w:shd w:val="clear" w:color="auto" w:fill="auto"/>
          </w:tcPr>
          <w:p w14:paraId="46F9F432"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3.01</w:t>
            </w:r>
          </w:p>
        </w:tc>
        <w:tc>
          <w:tcPr>
            <w:tcW w:w="1800" w:type="dxa"/>
            <w:shd w:val="clear" w:color="auto" w:fill="auto"/>
          </w:tcPr>
          <w:p w14:paraId="7E1A07EA"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3.01</w:t>
            </w:r>
          </w:p>
        </w:tc>
      </w:tr>
      <w:tr w:rsidR="00A17C17" w:rsidRPr="00E70587" w14:paraId="4A26A445" w14:textId="77777777" w:rsidTr="00834981">
        <w:tc>
          <w:tcPr>
            <w:tcW w:w="4230" w:type="dxa"/>
            <w:shd w:val="clear" w:color="auto" w:fill="auto"/>
          </w:tcPr>
          <w:p w14:paraId="0EC2EB5A"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Expected volatility (%)</w:t>
            </w:r>
          </w:p>
        </w:tc>
        <w:tc>
          <w:tcPr>
            <w:tcW w:w="1710" w:type="dxa"/>
            <w:shd w:val="clear" w:color="auto" w:fill="auto"/>
          </w:tcPr>
          <w:p w14:paraId="66CB9FBA"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16.30</w:t>
            </w:r>
          </w:p>
        </w:tc>
        <w:tc>
          <w:tcPr>
            <w:tcW w:w="1800" w:type="dxa"/>
            <w:shd w:val="clear" w:color="auto" w:fill="auto"/>
          </w:tcPr>
          <w:p w14:paraId="2CBBA014"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17.50</w:t>
            </w:r>
          </w:p>
        </w:tc>
        <w:tc>
          <w:tcPr>
            <w:tcW w:w="1800" w:type="dxa"/>
            <w:shd w:val="clear" w:color="auto" w:fill="auto"/>
          </w:tcPr>
          <w:p w14:paraId="34F8DC42"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18.10</w:t>
            </w:r>
          </w:p>
        </w:tc>
      </w:tr>
      <w:tr w:rsidR="00A17C17" w:rsidRPr="00E70587" w14:paraId="775B5BE1" w14:textId="77777777" w:rsidTr="00834981">
        <w:tc>
          <w:tcPr>
            <w:tcW w:w="4230" w:type="dxa"/>
            <w:shd w:val="clear" w:color="auto" w:fill="auto"/>
          </w:tcPr>
          <w:p w14:paraId="4778D22B"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Risk–free interest rate (%)</w:t>
            </w:r>
          </w:p>
        </w:tc>
        <w:tc>
          <w:tcPr>
            <w:tcW w:w="1710" w:type="dxa"/>
            <w:shd w:val="clear" w:color="auto" w:fill="auto"/>
          </w:tcPr>
          <w:p w14:paraId="01239311"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5.00</w:t>
            </w:r>
          </w:p>
        </w:tc>
        <w:tc>
          <w:tcPr>
            <w:tcW w:w="1800" w:type="dxa"/>
            <w:shd w:val="clear" w:color="auto" w:fill="auto"/>
          </w:tcPr>
          <w:p w14:paraId="4CCDA5AD"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5.00</w:t>
            </w:r>
          </w:p>
        </w:tc>
        <w:tc>
          <w:tcPr>
            <w:tcW w:w="1800" w:type="dxa"/>
            <w:shd w:val="clear" w:color="auto" w:fill="auto"/>
          </w:tcPr>
          <w:p w14:paraId="0859C807"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5.00</w:t>
            </w:r>
          </w:p>
        </w:tc>
      </w:tr>
      <w:tr w:rsidR="00A17C17" w:rsidRPr="00E70587" w14:paraId="2514569C" w14:textId="77777777" w:rsidTr="00834981">
        <w:tc>
          <w:tcPr>
            <w:tcW w:w="4230" w:type="dxa"/>
            <w:shd w:val="clear" w:color="auto" w:fill="auto"/>
          </w:tcPr>
          <w:p w14:paraId="06E0AE71"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Expected life of options/SARs (years)</w:t>
            </w:r>
          </w:p>
        </w:tc>
        <w:tc>
          <w:tcPr>
            <w:tcW w:w="1710" w:type="dxa"/>
            <w:shd w:val="clear" w:color="auto" w:fill="auto"/>
          </w:tcPr>
          <w:p w14:paraId="7490E782"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3.00</w:t>
            </w:r>
          </w:p>
        </w:tc>
        <w:tc>
          <w:tcPr>
            <w:tcW w:w="1800" w:type="dxa"/>
            <w:shd w:val="clear" w:color="auto" w:fill="auto"/>
          </w:tcPr>
          <w:p w14:paraId="760E6AD9"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4.25</w:t>
            </w:r>
          </w:p>
        </w:tc>
        <w:tc>
          <w:tcPr>
            <w:tcW w:w="1800" w:type="dxa"/>
            <w:shd w:val="clear" w:color="auto" w:fill="auto"/>
          </w:tcPr>
          <w:p w14:paraId="2225F428"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6.00</w:t>
            </w:r>
          </w:p>
        </w:tc>
      </w:tr>
      <w:tr w:rsidR="00A17C17" w:rsidRPr="00E70587" w14:paraId="5AE7241B" w14:textId="77777777" w:rsidTr="00834981">
        <w:tc>
          <w:tcPr>
            <w:tcW w:w="4230" w:type="dxa"/>
            <w:shd w:val="clear" w:color="auto" w:fill="auto"/>
          </w:tcPr>
          <w:p w14:paraId="184B5B5E"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Weighted average share price (</w:t>
            </w:r>
            <w:proofErr w:type="gramStart"/>
            <w:r w:rsidRPr="00E70587">
              <w:rPr>
                <w:rFonts w:ascii="Arial" w:hAnsi="Arial" w:cs="Arial"/>
                <w:sz w:val="20"/>
                <w:lang w:val="en-IN"/>
              </w:rPr>
              <w:t>INR )</w:t>
            </w:r>
            <w:proofErr w:type="gramEnd"/>
          </w:p>
        </w:tc>
        <w:tc>
          <w:tcPr>
            <w:tcW w:w="1710" w:type="dxa"/>
            <w:shd w:val="clear" w:color="auto" w:fill="auto"/>
          </w:tcPr>
          <w:p w14:paraId="1DFCDD92"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2.86</w:t>
            </w:r>
          </w:p>
        </w:tc>
        <w:tc>
          <w:tcPr>
            <w:tcW w:w="1800" w:type="dxa"/>
            <w:shd w:val="clear" w:color="auto" w:fill="auto"/>
          </w:tcPr>
          <w:p w14:paraId="08CCFB44"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2.86</w:t>
            </w:r>
          </w:p>
        </w:tc>
        <w:tc>
          <w:tcPr>
            <w:tcW w:w="1800" w:type="dxa"/>
            <w:shd w:val="clear" w:color="auto" w:fill="auto"/>
          </w:tcPr>
          <w:p w14:paraId="3AD00F49"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2.88</w:t>
            </w:r>
          </w:p>
        </w:tc>
      </w:tr>
      <w:tr w:rsidR="00A17C17" w:rsidRPr="00E70587" w14:paraId="18693FB5" w14:textId="77777777" w:rsidTr="00834981">
        <w:tc>
          <w:tcPr>
            <w:tcW w:w="4230" w:type="dxa"/>
            <w:shd w:val="clear" w:color="auto" w:fill="auto"/>
          </w:tcPr>
          <w:p w14:paraId="70610FAD" w14:textId="77777777" w:rsidR="00A17C17" w:rsidRPr="00E70587" w:rsidRDefault="00A17C17" w:rsidP="009901E1">
            <w:pPr>
              <w:pStyle w:val="tabletext"/>
              <w:spacing w:line="280" w:lineRule="exact"/>
              <w:rPr>
                <w:rFonts w:ascii="Arial" w:hAnsi="Arial" w:cs="Arial"/>
                <w:sz w:val="20"/>
                <w:lang w:val="en-IN"/>
              </w:rPr>
            </w:pPr>
            <w:r w:rsidRPr="00E70587">
              <w:rPr>
                <w:rFonts w:ascii="Arial" w:hAnsi="Arial" w:cs="Arial"/>
                <w:sz w:val="20"/>
                <w:lang w:val="en-IN"/>
              </w:rPr>
              <w:t>Model used</w:t>
            </w:r>
          </w:p>
        </w:tc>
        <w:tc>
          <w:tcPr>
            <w:tcW w:w="1710" w:type="dxa"/>
            <w:shd w:val="clear" w:color="auto" w:fill="auto"/>
          </w:tcPr>
          <w:p w14:paraId="56A340F4"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Binomial</w:t>
            </w:r>
          </w:p>
        </w:tc>
        <w:tc>
          <w:tcPr>
            <w:tcW w:w="1800" w:type="dxa"/>
            <w:shd w:val="clear" w:color="auto" w:fill="auto"/>
          </w:tcPr>
          <w:p w14:paraId="4FFFBA10"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Monte Carlo</w:t>
            </w:r>
          </w:p>
        </w:tc>
        <w:tc>
          <w:tcPr>
            <w:tcW w:w="1800" w:type="dxa"/>
            <w:shd w:val="clear" w:color="auto" w:fill="auto"/>
          </w:tcPr>
          <w:p w14:paraId="2091E775" w14:textId="77777777" w:rsidR="00A17C17" w:rsidRPr="00E70587" w:rsidRDefault="00A17C17" w:rsidP="009901E1">
            <w:pPr>
              <w:pStyle w:val="tabletext"/>
              <w:spacing w:line="280" w:lineRule="exact"/>
              <w:jc w:val="right"/>
              <w:rPr>
                <w:rFonts w:ascii="Arial" w:hAnsi="Arial" w:cs="Arial"/>
                <w:sz w:val="20"/>
                <w:lang w:val="en-IN"/>
              </w:rPr>
            </w:pPr>
            <w:r w:rsidRPr="00E70587">
              <w:rPr>
                <w:rFonts w:ascii="Arial" w:hAnsi="Arial" w:cs="Arial"/>
                <w:sz w:val="20"/>
                <w:lang w:val="en-IN"/>
              </w:rPr>
              <w:t>Binomial</w:t>
            </w:r>
          </w:p>
        </w:tc>
      </w:tr>
    </w:tbl>
    <w:p w14:paraId="18BDD22E" w14:textId="77777777" w:rsidR="00253259" w:rsidRPr="00E70587" w:rsidRDefault="00253259" w:rsidP="009901E1">
      <w:pPr>
        <w:spacing w:line="280" w:lineRule="exact"/>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17C17" w:rsidRPr="00E70587" w14:paraId="4D11BE62" w14:textId="77777777" w:rsidTr="00834981">
        <w:tc>
          <w:tcPr>
            <w:tcW w:w="0" w:type="auto"/>
            <w:tcBorders>
              <w:top w:val="nil"/>
              <w:left w:val="nil"/>
              <w:bottom w:val="nil"/>
              <w:right w:val="nil"/>
            </w:tcBorders>
          </w:tcPr>
          <w:p w14:paraId="4534F6DE" w14:textId="77777777" w:rsidR="00A17C17" w:rsidRPr="00E70587" w:rsidRDefault="00A17C17" w:rsidP="00750C05">
            <w:pPr>
              <w:spacing w:line="280" w:lineRule="exact"/>
              <w:jc w:val="both"/>
              <w:rPr>
                <w:rFonts w:ascii="Arial" w:hAnsi="Arial" w:cs="Arial"/>
                <w:sz w:val="20"/>
              </w:rPr>
            </w:pPr>
            <w:r w:rsidRPr="00E70587">
              <w:rPr>
                <w:rFonts w:ascii="Arial" w:hAnsi="Arial" w:cs="Arial"/>
                <w:sz w:val="20"/>
              </w:rPr>
              <w:t>The expected life of the share options and SARs is based on historical data and current expectations and is not necessarily indicative of exercise patterns that may occur. The expected volatility reflects the assumption that the historical volatility over a period similar to the life of the options is indicative of future trends, which may not necessarily be the actual outcome.</w:t>
            </w:r>
          </w:p>
          <w:p w14:paraId="1BEF796B" w14:textId="77777777" w:rsidR="00A17C17" w:rsidRPr="00E70587" w:rsidRDefault="00A17C17" w:rsidP="009901E1">
            <w:pPr>
              <w:pStyle w:val="Notesbodytext"/>
              <w:spacing w:after="0" w:line="280" w:lineRule="exact"/>
              <w:ind w:left="240"/>
              <w:rPr>
                <w:rFonts w:ascii="Arial" w:hAnsi="Arial"/>
                <w:color w:val="auto"/>
                <w:sz w:val="20"/>
              </w:rPr>
            </w:pPr>
          </w:p>
        </w:tc>
      </w:tr>
    </w:tbl>
    <w:p w14:paraId="3CC19E80" w14:textId="77777777" w:rsidR="00C41BF8" w:rsidRPr="00E70587" w:rsidRDefault="00C41BF8" w:rsidP="00C41BF8">
      <w:pPr>
        <w:spacing w:line="280" w:lineRule="exact"/>
        <w:jc w:val="both"/>
        <w:rPr>
          <w:rFonts w:ascii="Arial" w:hAnsi="Arial" w:cs="Arial"/>
          <w:sz w:val="20"/>
        </w:rPr>
      </w:pPr>
    </w:p>
    <w:p w14:paraId="6AEA79BA" w14:textId="6C1AF07E" w:rsidR="00C41BF8" w:rsidRPr="00E70587" w:rsidRDefault="000C6611"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Pr>
          <w:rFonts w:ascii="Arial" w:hAnsi="Arial" w:cs="Arial"/>
          <w:sz w:val="20"/>
          <w:szCs w:val="20"/>
        </w:rPr>
        <w:t>Leases</w:t>
      </w:r>
    </w:p>
    <w:p w14:paraId="0DFFB9DD" w14:textId="77777777" w:rsidR="00C41BF8" w:rsidRPr="00E70587" w:rsidRDefault="00C41BF8" w:rsidP="00C41BF8">
      <w:pPr>
        <w:pStyle w:val="Tablecolumnheading"/>
        <w:spacing w:line="280" w:lineRule="exact"/>
        <w:jc w:val="both"/>
        <w:rPr>
          <w:rFonts w:ascii="Arial" w:hAnsi="Arial"/>
          <w:b w:val="0"/>
          <w:sz w:val="20"/>
          <w:szCs w:val="20"/>
          <w:lang w:val="en-IN"/>
        </w:rPr>
      </w:pPr>
    </w:p>
    <w:p w14:paraId="268A1899" w14:textId="05C2B2BA" w:rsidR="00C41BF8" w:rsidRDefault="00C41BF8" w:rsidP="00C41BF8">
      <w:pPr>
        <w:pStyle w:val="Tablecolumnheading"/>
        <w:spacing w:line="280" w:lineRule="exact"/>
        <w:jc w:val="both"/>
        <w:rPr>
          <w:rFonts w:ascii="Arial" w:hAnsi="Arial"/>
          <w:sz w:val="20"/>
          <w:szCs w:val="20"/>
          <w:lang w:val="en-IN"/>
        </w:rPr>
      </w:pPr>
      <w:r w:rsidRPr="00E70587">
        <w:rPr>
          <w:rFonts w:ascii="Arial" w:hAnsi="Arial"/>
          <w:sz w:val="20"/>
          <w:szCs w:val="20"/>
          <w:lang w:val="en-IN"/>
        </w:rPr>
        <w:t>Group as lessee</w:t>
      </w:r>
    </w:p>
    <w:p w14:paraId="0C339CF7" w14:textId="77777777" w:rsidR="007220A6" w:rsidRPr="007220A6" w:rsidRDefault="007220A6" w:rsidP="007220A6">
      <w:pPr>
        <w:pStyle w:val="tabletext"/>
        <w:rPr>
          <w:lang w:val="en-IN"/>
        </w:rPr>
      </w:pPr>
    </w:p>
    <w:p w14:paraId="2BE02B14" w14:textId="33197351" w:rsidR="007220A6" w:rsidRDefault="007220A6" w:rsidP="007220A6">
      <w:pPr>
        <w:spacing w:line="280" w:lineRule="exact"/>
        <w:rPr>
          <w:rFonts w:ascii="Arial" w:hAnsi="Arial" w:cs="Arial"/>
          <w:sz w:val="20"/>
        </w:rPr>
      </w:pPr>
      <w:r w:rsidRPr="007220A6">
        <w:rPr>
          <w:rFonts w:ascii="Arial" w:hAnsi="Arial" w:cs="Arial"/>
          <w:sz w:val="20"/>
        </w:rPr>
        <w:t>The Group has lease contracts for various items of plant, machinery, vehicles and other equipment used in its operations. Leases of plant and machinery generally have lease terms between 3 and 15 years, while motor vehicles and other equipment generally have lease terms between 3 and 5 years. The Group’s obligations under its leases are secured by the lessor’s title to the leased assets. Generally, the Group is restricted from assigning and subleasing the leased assets and some contracts require the Group to maintain certain financial ratios. There are several lease contracts that include extension and termination options and variable lease payments, which are further discussed below.</w:t>
      </w:r>
    </w:p>
    <w:p w14:paraId="7269BE1E" w14:textId="77777777" w:rsidR="007220A6" w:rsidRPr="007220A6" w:rsidRDefault="007220A6" w:rsidP="007220A6">
      <w:pPr>
        <w:spacing w:line="280" w:lineRule="exact"/>
        <w:rPr>
          <w:rFonts w:ascii="Arial" w:hAnsi="Arial" w:cs="Arial"/>
          <w:sz w:val="20"/>
        </w:rPr>
      </w:pPr>
    </w:p>
    <w:p w14:paraId="30F3EF3B" w14:textId="56CBC8C2" w:rsidR="007220A6" w:rsidRDefault="007220A6" w:rsidP="007220A6">
      <w:pPr>
        <w:spacing w:line="280" w:lineRule="exact"/>
        <w:rPr>
          <w:rFonts w:ascii="Arial" w:hAnsi="Arial" w:cs="Arial"/>
          <w:sz w:val="20"/>
        </w:rPr>
      </w:pPr>
      <w:r w:rsidRPr="007220A6">
        <w:rPr>
          <w:rFonts w:ascii="Arial" w:hAnsi="Arial" w:cs="Arial"/>
          <w:sz w:val="20"/>
        </w:rPr>
        <w:t>The Group also has certain leases of machinery with lease terms of 12 months or less and leases of office equipment with low value. The Group applies the ‘short-term lease’ and ‘lease of low-value assets’ recognition exemptions for these leases.</w:t>
      </w:r>
    </w:p>
    <w:p w14:paraId="678F6D67" w14:textId="77777777" w:rsidR="00657499" w:rsidRPr="00E70587" w:rsidRDefault="00657499" w:rsidP="009901E1">
      <w:pPr>
        <w:spacing w:line="280" w:lineRule="exact"/>
        <w:rPr>
          <w:rFonts w:ascii="Arial" w:hAnsi="Arial" w:cs="Arial"/>
          <w:sz w:val="20"/>
        </w:rPr>
      </w:pPr>
    </w:p>
    <w:tbl>
      <w:tblPr>
        <w:tblW w:w="9576" w:type="dxa"/>
        <w:shd w:val="clear" w:color="auto" w:fill="C1C1C1" w:themeFill="background1" w:themeFillTint="66"/>
        <w:tblLook w:val="0000" w:firstRow="0" w:lastRow="0" w:firstColumn="0" w:lastColumn="0" w:noHBand="0" w:noVBand="0"/>
      </w:tblPr>
      <w:tblGrid>
        <w:gridCol w:w="9576"/>
      </w:tblGrid>
      <w:tr w:rsidR="00A17C17" w:rsidRPr="00E70587" w14:paraId="1DFBE959" w14:textId="77777777" w:rsidTr="00CE6971">
        <w:tc>
          <w:tcPr>
            <w:tcW w:w="0" w:type="auto"/>
            <w:shd w:val="clear" w:color="auto" w:fill="C1C1C1" w:themeFill="background1" w:themeFillTint="66"/>
          </w:tcPr>
          <w:p w14:paraId="32C527D7" w14:textId="77777777" w:rsidR="00A17C17" w:rsidRPr="00E70587" w:rsidRDefault="00A17C17" w:rsidP="00C41BF8">
            <w:pPr>
              <w:pStyle w:val="Notesbodytext"/>
              <w:spacing w:after="0" w:line="280" w:lineRule="exact"/>
              <w:jc w:val="both"/>
              <w:rPr>
                <w:rFonts w:ascii="Arial" w:hAnsi="Arial"/>
                <w:b/>
                <w:sz w:val="20"/>
              </w:rPr>
            </w:pPr>
            <w:r w:rsidRPr="00E70587">
              <w:rPr>
                <w:rFonts w:ascii="Arial" w:hAnsi="Arial"/>
                <w:b/>
                <w:sz w:val="20"/>
              </w:rPr>
              <w:t>Authors’ note</w:t>
            </w:r>
          </w:p>
          <w:p w14:paraId="50963467" w14:textId="77777777" w:rsidR="00CE6971" w:rsidRPr="00E70587" w:rsidRDefault="00CE6971" w:rsidP="00C41BF8">
            <w:pPr>
              <w:pStyle w:val="Notesbodytext"/>
              <w:spacing w:after="0" w:line="280" w:lineRule="exact"/>
              <w:jc w:val="both"/>
              <w:rPr>
                <w:rFonts w:ascii="Arial" w:hAnsi="Arial"/>
                <w:sz w:val="20"/>
              </w:rPr>
            </w:pPr>
          </w:p>
          <w:p w14:paraId="2D653055" w14:textId="07286961" w:rsidR="00A17C17" w:rsidRPr="00E70587" w:rsidRDefault="007220A6" w:rsidP="00C41BF8">
            <w:pPr>
              <w:pStyle w:val="Notesbodytext"/>
              <w:spacing w:after="0" w:line="280" w:lineRule="exact"/>
              <w:jc w:val="both"/>
              <w:rPr>
                <w:rFonts w:ascii="Arial" w:hAnsi="Arial"/>
                <w:sz w:val="20"/>
              </w:rPr>
            </w:pPr>
            <w:r w:rsidRPr="007220A6">
              <w:rPr>
                <w:rFonts w:ascii="Arial" w:hAnsi="Arial"/>
                <w:sz w:val="20"/>
              </w:rPr>
              <w:t xml:space="preserve">Ind AS 116.52 requires lessees to disclose information in a single note or a separate section in the financial statements. However, there is no need to duplicate certain information that is already presented elsewhere, provided that information is incorporated by cross-reference in a single note or separate section. The Group </w:t>
            </w:r>
            <w:r w:rsidRPr="007220A6">
              <w:rPr>
                <w:rFonts w:ascii="Arial" w:hAnsi="Arial"/>
                <w:sz w:val="20"/>
              </w:rPr>
              <w:lastRenderedPageBreak/>
              <w:t>provided most of the required disclosures by Ind AS 116 in this section of the financial statements. Cross-references are provided for certain required information outside of this section.</w:t>
            </w:r>
          </w:p>
        </w:tc>
      </w:tr>
    </w:tbl>
    <w:p w14:paraId="6433C536" w14:textId="799F9AE6" w:rsidR="0071020B" w:rsidRDefault="0071020B" w:rsidP="00CE6971">
      <w:pPr>
        <w:spacing w:line="280" w:lineRule="exact"/>
        <w:rPr>
          <w:rFonts w:ascii="Arial" w:hAnsi="Arial" w:cs="Arial"/>
          <w:sz w:val="20"/>
        </w:rPr>
      </w:pPr>
    </w:p>
    <w:tbl>
      <w:tblPr>
        <w:tblW w:w="9569" w:type="dxa"/>
        <w:tblLayout w:type="fixed"/>
        <w:tblCellMar>
          <w:left w:w="57" w:type="dxa"/>
          <w:right w:w="57" w:type="dxa"/>
        </w:tblCellMar>
        <w:tblLook w:val="0000" w:firstRow="0" w:lastRow="0" w:firstColumn="0" w:lastColumn="0" w:noHBand="0" w:noVBand="0"/>
      </w:tblPr>
      <w:tblGrid>
        <w:gridCol w:w="9569"/>
      </w:tblGrid>
      <w:tr w:rsidR="00CC1153" w:rsidRPr="00CC1153" w14:paraId="1BFF7534" w14:textId="77777777" w:rsidTr="00715046">
        <w:trPr>
          <w:trHeight w:val="542"/>
        </w:trPr>
        <w:tc>
          <w:tcPr>
            <w:tcW w:w="9569" w:type="dxa"/>
            <w:shd w:val="clear" w:color="auto" w:fill="auto"/>
            <w:vAlign w:val="center"/>
          </w:tcPr>
          <w:p w14:paraId="2C9645C6" w14:textId="77777777" w:rsidR="00CC1153" w:rsidRPr="00CC1153" w:rsidRDefault="00CC1153" w:rsidP="007A2360">
            <w:pPr>
              <w:pStyle w:val="Commentarybody"/>
              <w:spacing w:line="240" w:lineRule="atLeast"/>
              <w:ind w:right="30"/>
              <w:rPr>
                <w:rFonts w:ascii="Arial" w:hAnsi="Arial"/>
                <w:sz w:val="20"/>
              </w:rPr>
            </w:pPr>
            <w:r w:rsidRPr="00CC1153">
              <w:rPr>
                <w:rFonts w:ascii="Arial" w:hAnsi="Arial"/>
                <w:sz w:val="20"/>
              </w:rPr>
              <w:t>Set out below are the carrying amounts of right-of-use assets recognised and the movements during the period:</w:t>
            </w:r>
          </w:p>
        </w:tc>
      </w:tr>
      <w:tr w:rsidR="00CC1153" w:rsidRPr="00CC1153" w14:paraId="466532D1" w14:textId="77777777" w:rsidTr="00715046">
        <w:trPr>
          <w:trHeight w:val="3426"/>
        </w:trPr>
        <w:tc>
          <w:tcPr>
            <w:tcW w:w="9569" w:type="dxa"/>
            <w:shd w:val="clear" w:color="auto" w:fill="auto"/>
            <w:vAlign w:val="center"/>
          </w:tcPr>
          <w:tbl>
            <w:tblPr>
              <w:tblStyle w:val="TableGrid"/>
              <w:tblW w:w="9347" w:type="dxa"/>
              <w:tblLayout w:type="fixed"/>
              <w:tblLook w:val="04A0" w:firstRow="1" w:lastRow="0" w:firstColumn="1" w:lastColumn="0" w:noHBand="0" w:noVBand="1"/>
            </w:tblPr>
            <w:tblGrid>
              <w:gridCol w:w="2891"/>
              <w:gridCol w:w="1547"/>
              <w:gridCol w:w="1688"/>
              <w:gridCol w:w="1688"/>
              <w:gridCol w:w="1533"/>
            </w:tblGrid>
            <w:tr w:rsidR="00CC1153" w:rsidRPr="00BB68D7" w14:paraId="4C9F7608" w14:textId="77777777" w:rsidTr="00715046">
              <w:trPr>
                <w:trHeight w:val="672"/>
              </w:trPr>
              <w:tc>
                <w:tcPr>
                  <w:tcW w:w="2891" w:type="dxa"/>
                </w:tcPr>
                <w:p w14:paraId="32400F2D" w14:textId="77777777" w:rsidR="00CC1153" w:rsidRPr="00CC1153" w:rsidRDefault="00CC1153" w:rsidP="007A2360">
                  <w:pPr>
                    <w:spacing w:before="120"/>
                    <w:jc w:val="right"/>
                    <w:rPr>
                      <w:rFonts w:ascii="Arial" w:hAnsi="Arial" w:cs="Arial"/>
                      <w:b/>
                      <w:sz w:val="20"/>
                    </w:rPr>
                  </w:pPr>
                </w:p>
              </w:tc>
              <w:tc>
                <w:tcPr>
                  <w:tcW w:w="1547" w:type="dxa"/>
                </w:tcPr>
                <w:p w14:paraId="5E930F88" w14:textId="77777777" w:rsidR="00CC1153" w:rsidRPr="00BB68D7" w:rsidRDefault="00CC1153" w:rsidP="007A2360">
                  <w:pPr>
                    <w:spacing w:before="120"/>
                    <w:jc w:val="right"/>
                    <w:rPr>
                      <w:rFonts w:ascii="Arial" w:hAnsi="Arial" w:cs="Arial"/>
                      <w:b/>
                      <w:sz w:val="20"/>
                    </w:rPr>
                  </w:pPr>
                  <w:r w:rsidRPr="00BB68D7">
                    <w:rPr>
                      <w:rFonts w:ascii="Arial" w:hAnsi="Arial" w:cs="Arial"/>
                      <w:b/>
                      <w:sz w:val="20"/>
                    </w:rPr>
                    <w:t>Plant and</w:t>
                  </w:r>
                </w:p>
                <w:p w14:paraId="4AC7BA9C" w14:textId="77777777" w:rsidR="00CC1153" w:rsidRPr="00BB68D7" w:rsidRDefault="00CC1153" w:rsidP="007A2360">
                  <w:pPr>
                    <w:spacing w:before="120"/>
                    <w:jc w:val="right"/>
                    <w:rPr>
                      <w:rFonts w:ascii="Arial" w:hAnsi="Arial" w:cs="Arial"/>
                      <w:b/>
                      <w:sz w:val="20"/>
                    </w:rPr>
                  </w:pPr>
                  <w:r w:rsidRPr="00BB68D7">
                    <w:rPr>
                      <w:rFonts w:ascii="Arial" w:hAnsi="Arial" w:cs="Arial"/>
                      <w:b/>
                      <w:sz w:val="20"/>
                    </w:rPr>
                    <w:t>machinery</w:t>
                  </w:r>
                </w:p>
              </w:tc>
              <w:tc>
                <w:tcPr>
                  <w:tcW w:w="1688" w:type="dxa"/>
                </w:tcPr>
                <w:p w14:paraId="6B4EC338" w14:textId="77777777" w:rsidR="00CC1153" w:rsidRPr="00BB68D7" w:rsidRDefault="00CC1153" w:rsidP="007A2360">
                  <w:pPr>
                    <w:spacing w:before="120"/>
                    <w:jc w:val="right"/>
                    <w:rPr>
                      <w:rFonts w:ascii="Arial" w:hAnsi="Arial" w:cs="Arial"/>
                      <w:b/>
                      <w:sz w:val="20"/>
                    </w:rPr>
                  </w:pPr>
                  <w:r w:rsidRPr="00BB68D7">
                    <w:rPr>
                      <w:rFonts w:ascii="Arial" w:hAnsi="Arial" w:cs="Arial"/>
                      <w:b/>
                      <w:sz w:val="20"/>
                    </w:rPr>
                    <w:t>Motor</w:t>
                  </w:r>
                </w:p>
                <w:p w14:paraId="47A41F4C" w14:textId="77777777" w:rsidR="00CC1153" w:rsidRPr="00BB68D7" w:rsidRDefault="00CC1153" w:rsidP="007A2360">
                  <w:pPr>
                    <w:spacing w:before="120"/>
                    <w:jc w:val="right"/>
                    <w:rPr>
                      <w:rFonts w:ascii="Arial" w:hAnsi="Arial" w:cs="Arial"/>
                      <w:b/>
                      <w:sz w:val="20"/>
                    </w:rPr>
                  </w:pPr>
                  <w:r w:rsidRPr="00BB68D7">
                    <w:rPr>
                      <w:rFonts w:ascii="Arial" w:hAnsi="Arial" w:cs="Arial"/>
                      <w:b/>
                      <w:sz w:val="20"/>
                    </w:rPr>
                    <w:t>Vehicles</w:t>
                  </w:r>
                </w:p>
              </w:tc>
              <w:tc>
                <w:tcPr>
                  <w:tcW w:w="1688" w:type="dxa"/>
                </w:tcPr>
                <w:p w14:paraId="7E518C6F" w14:textId="77777777" w:rsidR="00CC1153" w:rsidRPr="00BB68D7" w:rsidRDefault="00CC1153" w:rsidP="007A2360">
                  <w:pPr>
                    <w:spacing w:before="120"/>
                    <w:jc w:val="right"/>
                    <w:rPr>
                      <w:rFonts w:ascii="Arial" w:hAnsi="Arial" w:cs="Arial"/>
                      <w:b/>
                      <w:sz w:val="20"/>
                    </w:rPr>
                  </w:pPr>
                  <w:r w:rsidRPr="00BB68D7">
                    <w:rPr>
                      <w:rFonts w:ascii="Arial" w:hAnsi="Arial" w:cs="Arial"/>
                      <w:b/>
                      <w:sz w:val="20"/>
                    </w:rPr>
                    <w:t>Other</w:t>
                  </w:r>
                </w:p>
                <w:p w14:paraId="198578C2" w14:textId="77777777" w:rsidR="00CC1153" w:rsidRPr="00BB68D7" w:rsidRDefault="00CC1153" w:rsidP="007A2360">
                  <w:pPr>
                    <w:spacing w:before="120"/>
                    <w:jc w:val="right"/>
                    <w:rPr>
                      <w:rFonts w:ascii="Arial" w:hAnsi="Arial" w:cs="Arial"/>
                      <w:b/>
                      <w:sz w:val="20"/>
                    </w:rPr>
                  </w:pPr>
                  <w:r w:rsidRPr="00BB68D7">
                    <w:rPr>
                      <w:rFonts w:ascii="Arial" w:hAnsi="Arial" w:cs="Arial"/>
                      <w:b/>
                      <w:sz w:val="20"/>
                    </w:rPr>
                    <w:t>Equipment</w:t>
                  </w:r>
                </w:p>
              </w:tc>
              <w:tc>
                <w:tcPr>
                  <w:tcW w:w="1533" w:type="dxa"/>
                </w:tcPr>
                <w:p w14:paraId="30767CD3" w14:textId="77777777" w:rsidR="00CC1153" w:rsidRPr="00BB68D7" w:rsidRDefault="00CC1153" w:rsidP="007A2360">
                  <w:pPr>
                    <w:spacing w:before="120"/>
                    <w:jc w:val="right"/>
                    <w:rPr>
                      <w:rFonts w:ascii="Arial" w:hAnsi="Arial" w:cs="Arial"/>
                      <w:b/>
                      <w:sz w:val="20"/>
                    </w:rPr>
                  </w:pPr>
                  <w:r w:rsidRPr="00BB68D7">
                    <w:rPr>
                      <w:rFonts w:ascii="Arial" w:hAnsi="Arial" w:cs="Arial"/>
                      <w:b/>
                      <w:sz w:val="20"/>
                    </w:rPr>
                    <w:t>Total</w:t>
                  </w:r>
                </w:p>
              </w:tc>
            </w:tr>
            <w:tr w:rsidR="00CC1153" w:rsidRPr="00BB68D7" w14:paraId="2424E4C8" w14:textId="77777777" w:rsidTr="00715046">
              <w:trPr>
                <w:trHeight w:val="385"/>
              </w:trPr>
              <w:tc>
                <w:tcPr>
                  <w:tcW w:w="2891" w:type="dxa"/>
                </w:tcPr>
                <w:p w14:paraId="1C7FE068" w14:textId="24792B35" w:rsidR="00CC1153" w:rsidRPr="00BB68D7" w:rsidRDefault="00CC1153" w:rsidP="007A2360">
                  <w:pPr>
                    <w:spacing w:before="120"/>
                    <w:rPr>
                      <w:rFonts w:ascii="Arial" w:hAnsi="Arial" w:cs="Arial"/>
                      <w:b/>
                      <w:sz w:val="20"/>
                    </w:rPr>
                  </w:pPr>
                  <w:r w:rsidRPr="00BB68D7">
                    <w:rPr>
                      <w:rFonts w:ascii="Arial" w:hAnsi="Arial" w:cs="Arial"/>
                      <w:b/>
                      <w:sz w:val="20"/>
                      <w:lang w:val="en-GB"/>
                    </w:rPr>
                    <w:t>As at 1 April 201</w:t>
                  </w:r>
                  <w:r w:rsidR="00A61101" w:rsidRPr="00BB68D7">
                    <w:rPr>
                      <w:rFonts w:ascii="Arial" w:hAnsi="Arial" w:cs="Arial"/>
                      <w:b/>
                      <w:sz w:val="20"/>
                      <w:lang w:val="en-GB"/>
                    </w:rPr>
                    <w:t>9</w:t>
                  </w:r>
                </w:p>
              </w:tc>
              <w:tc>
                <w:tcPr>
                  <w:tcW w:w="1547" w:type="dxa"/>
                </w:tcPr>
                <w:p w14:paraId="70D0C4E7" w14:textId="77777777" w:rsidR="00CC1153" w:rsidRPr="00BB68D7" w:rsidRDefault="00CC1153" w:rsidP="007A2360">
                  <w:pPr>
                    <w:spacing w:before="120"/>
                    <w:jc w:val="right"/>
                    <w:rPr>
                      <w:rFonts w:ascii="Arial" w:hAnsi="Arial" w:cs="Arial"/>
                      <w:b/>
                      <w:sz w:val="20"/>
                    </w:rPr>
                  </w:pPr>
                  <w:r w:rsidRPr="00BB68D7">
                    <w:rPr>
                      <w:rFonts w:ascii="Arial" w:hAnsi="Arial" w:cs="Arial"/>
                      <w:b/>
                      <w:sz w:val="20"/>
                      <w:lang w:val="en-GB"/>
                    </w:rPr>
                    <w:t>2,794</w:t>
                  </w:r>
                </w:p>
              </w:tc>
              <w:tc>
                <w:tcPr>
                  <w:tcW w:w="1688" w:type="dxa"/>
                </w:tcPr>
                <w:p w14:paraId="141ECAEE" w14:textId="77777777" w:rsidR="00CC1153" w:rsidRPr="00BB68D7" w:rsidRDefault="00CC1153" w:rsidP="007A2360">
                  <w:pPr>
                    <w:spacing w:before="120"/>
                    <w:jc w:val="right"/>
                    <w:rPr>
                      <w:rFonts w:ascii="Arial" w:hAnsi="Arial" w:cs="Arial"/>
                      <w:b/>
                      <w:sz w:val="20"/>
                      <w:lang w:val="en-GB"/>
                    </w:rPr>
                  </w:pPr>
                  <w:r w:rsidRPr="00BB68D7">
                    <w:rPr>
                      <w:rFonts w:ascii="Arial" w:hAnsi="Arial" w:cs="Arial"/>
                      <w:b/>
                      <w:sz w:val="20"/>
                      <w:lang w:val="en-GB"/>
                    </w:rPr>
                    <w:t>1,258</w:t>
                  </w:r>
                </w:p>
              </w:tc>
              <w:tc>
                <w:tcPr>
                  <w:tcW w:w="1688" w:type="dxa"/>
                </w:tcPr>
                <w:p w14:paraId="7C5BCD6C" w14:textId="77777777" w:rsidR="00CC1153" w:rsidRPr="00BB68D7" w:rsidRDefault="00CC1153" w:rsidP="007A2360">
                  <w:pPr>
                    <w:spacing w:before="120"/>
                    <w:jc w:val="right"/>
                    <w:rPr>
                      <w:rFonts w:ascii="Arial" w:hAnsi="Arial" w:cs="Arial"/>
                      <w:b/>
                      <w:sz w:val="20"/>
                      <w:lang w:val="en-GB"/>
                    </w:rPr>
                  </w:pPr>
                  <w:r w:rsidRPr="00BB68D7">
                    <w:rPr>
                      <w:rFonts w:ascii="Arial" w:hAnsi="Arial" w:cs="Arial"/>
                      <w:b/>
                      <w:sz w:val="20"/>
                      <w:lang w:val="en-GB"/>
                    </w:rPr>
                    <w:t>1,195</w:t>
                  </w:r>
                </w:p>
              </w:tc>
              <w:tc>
                <w:tcPr>
                  <w:tcW w:w="1533" w:type="dxa"/>
                </w:tcPr>
                <w:p w14:paraId="68E49494" w14:textId="77777777" w:rsidR="00CC1153" w:rsidRPr="00BB68D7" w:rsidRDefault="00CC1153" w:rsidP="007A2360">
                  <w:pPr>
                    <w:spacing w:before="120"/>
                    <w:jc w:val="right"/>
                    <w:rPr>
                      <w:rFonts w:ascii="Arial" w:hAnsi="Arial" w:cs="Arial"/>
                      <w:b/>
                      <w:sz w:val="20"/>
                      <w:lang w:val="en-GB"/>
                    </w:rPr>
                  </w:pPr>
                  <w:r w:rsidRPr="00BB68D7">
                    <w:rPr>
                      <w:rFonts w:ascii="Arial" w:hAnsi="Arial" w:cs="Arial"/>
                      <w:b/>
                      <w:sz w:val="20"/>
                      <w:lang w:val="en-GB"/>
                    </w:rPr>
                    <w:t>5,247</w:t>
                  </w:r>
                </w:p>
              </w:tc>
            </w:tr>
            <w:tr w:rsidR="00CC1153" w:rsidRPr="00BB68D7" w14:paraId="6F9C0E6D" w14:textId="77777777" w:rsidTr="00715046">
              <w:trPr>
                <w:trHeight w:val="335"/>
              </w:trPr>
              <w:tc>
                <w:tcPr>
                  <w:tcW w:w="2891" w:type="dxa"/>
                </w:tcPr>
                <w:p w14:paraId="36699F87" w14:textId="77777777" w:rsidR="00CC1153" w:rsidRPr="00BB68D7" w:rsidRDefault="00CC1153" w:rsidP="007A2360">
                  <w:pPr>
                    <w:pStyle w:val="Commentarybody"/>
                    <w:spacing w:line="240" w:lineRule="atLeast"/>
                    <w:ind w:right="30"/>
                    <w:rPr>
                      <w:rFonts w:ascii="Arial" w:hAnsi="Arial"/>
                      <w:sz w:val="20"/>
                    </w:rPr>
                  </w:pPr>
                  <w:r w:rsidRPr="00BB68D7">
                    <w:rPr>
                      <w:rFonts w:ascii="Arial" w:hAnsi="Arial"/>
                      <w:sz w:val="20"/>
                    </w:rPr>
                    <w:t>Additions (Note 36)</w:t>
                  </w:r>
                </w:p>
              </w:tc>
              <w:tc>
                <w:tcPr>
                  <w:tcW w:w="1547" w:type="dxa"/>
                </w:tcPr>
                <w:p w14:paraId="0D19D3D7" w14:textId="77777777" w:rsidR="00CC1153" w:rsidRPr="00BB68D7" w:rsidRDefault="00CC1153" w:rsidP="007A2360">
                  <w:pPr>
                    <w:spacing w:before="120"/>
                    <w:jc w:val="right"/>
                    <w:rPr>
                      <w:rFonts w:ascii="Arial" w:hAnsi="Arial" w:cs="Arial"/>
                      <w:sz w:val="20"/>
                    </w:rPr>
                  </w:pPr>
                  <w:r w:rsidRPr="00BB68D7">
                    <w:rPr>
                      <w:rFonts w:ascii="Arial" w:hAnsi="Arial" w:cs="Arial"/>
                      <w:sz w:val="20"/>
                      <w:lang w:val="en-GB"/>
                    </w:rPr>
                    <w:t>223</w:t>
                  </w:r>
                </w:p>
              </w:tc>
              <w:tc>
                <w:tcPr>
                  <w:tcW w:w="1688" w:type="dxa"/>
                </w:tcPr>
                <w:p w14:paraId="32E091C2" w14:textId="77777777"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104</w:t>
                  </w:r>
                </w:p>
              </w:tc>
              <w:tc>
                <w:tcPr>
                  <w:tcW w:w="1688" w:type="dxa"/>
                  <w:vAlign w:val="center"/>
                </w:tcPr>
                <w:p w14:paraId="6C449139" w14:textId="0E45467D"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8</w:t>
                  </w:r>
                  <w:r w:rsidR="00B43F58" w:rsidRPr="00BB68D7">
                    <w:rPr>
                      <w:rFonts w:ascii="Arial" w:hAnsi="Arial" w:cs="Arial"/>
                      <w:sz w:val="20"/>
                      <w:lang w:val="en-GB"/>
                    </w:rPr>
                    <w:t>3</w:t>
                  </w:r>
                </w:p>
              </w:tc>
              <w:tc>
                <w:tcPr>
                  <w:tcW w:w="1533" w:type="dxa"/>
                  <w:vAlign w:val="center"/>
                </w:tcPr>
                <w:p w14:paraId="1D841811" w14:textId="7076E685" w:rsidR="00CC1153" w:rsidRPr="00BB68D7" w:rsidRDefault="00B43F58" w:rsidP="007A2360">
                  <w:pPr>
                    <w:spacing w:before="120"/>
                    <w:jc w:val="right"/>
                    <w:rPr>
                      <w:rFonts w:ascii="Arial" w:hAnsi="Arial" w:cs="Arial"/>
                      <w:b/>
                      <w:sz w:val="20"/>
                      <w:lang w:val="en-GB"/>
                    </w:rPr>
                  </w:pPr>
                  <w:r w:rsidRPr="00BB68D7">
                    <w:rPr>
                      <w:rFonts w:ascii="Arial" w:hAnsi="Arial" w:cs="Arial"/>
                      <w:b/>
                      <w:bCs/>
                      <w:sz w:val="20"/>
                      <w:lang w:val="en-GB"/>
                    </w:rPr>
                    <w:t>410</w:t>
                  </w:r>
                </w:p>
              </w:tc>
            </w:tr>
            <w:tr w:rsidR="00CC1153" w:rsidRPr="00BB68D7" w14:paraId="3EEEC53F" w14:textId="77777777" w:rsidTr="00715046">
              <w:trPr>
                <w:trHeight w:val="335"/>
              </w:trPr>
              <w:tc>
                <w:tcPr>
                  <w:tcW w:w="2891" w:type="dxa"/>
                </w:tcPr>
                <w:p w14:paraId="50E26C06" w14:textId="77777777" w:rsidR="00CC1153" w:rsidRPr="00BB68D7" w:rsidRDefault="00CC1153" w:rsidP="007A2360">
                  <w:pPr>
                    <w:pStyle w:val="Commentarybody"/>
                    <w:spacing w:line="240" w:lineRule="atLeast"/>
                    <w:ind w:right="30"/>
                    <w:rPr>
                      <w:rFonts w:ascii="Arial" w:hAnsi="Arial"/>
                      <w:b/>
                      <w:sz w:val="20"/>
                    </w:rPr>
                  </w:pPr>
                  <w:r w:rsidRPr="00BB68D7">
                    <w:rPr>
                      <w:rFonts w:ascii="Arial" w:hAnsi="Arial"/>
                      <w:sz w:val="20"/>
                    </w:rPr>
                    <w:t>Depreciation expense</w:t>
                  </w:r>
                </w:p>
              </w:tc>
              <w:tc>
                <w:tcPr>
                  <w:tcW w:w="1547" w:type="dxa"/>
                </w:tcPr>
                <w:p w14:paraId="195708E9" w14:textId="77777777"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(284)</w:t>
                  </w:r>
                </w:p>
              </w:tc>
              <w:tc>
                <w:tcPr>
                  <w:tcW w:w="1688" w:type="dxa"/>
                </w:tcPr>
                <w:p w14:paraId="3AFD873F" w14:textId="77777777"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(236)</w:t>
                  </w:r>
                </w:p>
              </w:tc>
              <w:tc>
                <w:tcPr>
                  <w:tcW w:w="1688" w:type="dxa"/>
                </w:tcPr>
                <w:p w14:paraId="2B3A42FF" w14:textId="77777777"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(220)</w:t>
                  </w:r>
                </w:p>
              </w:tc>
              <w:tc>
                <w:tcPr>
                  <w:tcW w:w="1533" w:type="dxa"/>
                </w:tcPr>
                <w:p w14:paraId="7528F292" w14:textId="77777777" w:rsidR="00CC1153" w:rsidRPr="00BB68D7" w:rsidRDefault="00CC1153" w:rsidP="007A2360">
                  <w:pPr>
                    <w:spacing w:before="120"/>
                    <w:jc w:val="right"/>
                    <w:rPr>
                      <w:rFonts w:ascii="Arial" w:hAnsi="Arial" w:cs="Arial"/>
                      <w:b/>
                      <w:sz w:val="20"/>
                      <w:lang w:val="en-GB"/>
                    </w:rPr>
                  </w:pPr>
                  <w:r w:rsidRPr="00BB68D7">
                    <w:rPr>
                      <w:rFonts w:ascii="Arial" w:hAnsi="Arial" w:cs="Arial"/>
                      <w:b/>
                      <w:sz w:val="20"/>
                      <w:lang w:val="en-GB"/>
                    </w:rPr>
                    <w:t>(740)</w:t>
                  </w:r>
                </w:p>
              </w:tc>
            </w:tr>
            <w:tr w:rsidR="00CC1153" w:rsidRPr="00BB68D7" w14:paraId="15B0C19D" w14:textId="77777777" w:rsidTr="00715046">
              <w:trPr>
                <w:trHeight w:val="335"/>
              </w:trPr>
              <w:tc>
                <w:tcPr>
                  <w:tcW w:w="2891" w:type="dxa"/>
                </w:tcPr>
                <w:p w14:paraId="6911E59D" w14:textId="5E4C88EE" w:rsidR="00CC1153" w:rsidRPr="00BB68D7" w:rsidRDefault="00CC1153" w:rsidP="007A2360">
                  <w:pPr>
                    <w:spacing w:before="120"/>
                    <w:rPr>
                      <w:rFonts w:ascii="Arial" w:hAnsi="Arial" w:cs="Arial"/>
                      <w:b/>
                      <w:sz w:val="20"/>
                    </w:rPr>
                  </w:pPr>
                  <w:r w:rsidRPr="00BB68D7">
                    <w:rPr>
                      <w:rFonts w:ascii="Arial" w:hAnsi="Arial" w:cs="Arial"/>
                      <w:b/>
                      <w:sz w:val="20"/>
                      <w:lang w:val="en-GB"/>
                    </w:rPr>
                    <w:t>As at 31 March 20</w:t>
                  </w:r>
                  <w:r w:rsidR="00A61101" w:rsidRPr="00BB68D7">
                    <w:rPr>
                      <w:rFonts w:ascii="Arial" w:hAnsi="Arial" w:cs="Arial"/>
                      <w:b/>
                      <w:sz w:val="20"/>
                      <w:lang w:val="en-GB"/>
                    </w:rPr>
                    <w:t>20</w:t>
                  </w:r>
                </w:p>
              </w:tc>
              <w:tc>
                <w:tcPr>
                  <w:tcW w:w="1547" w:type="dxa"/>
                </w:tcPr>
                <w:p w14:paraId="6EA2AF2B" w14:textId="07493ADD" w:rsidR="00CC1153" w:rsidRPr="00BB68D7" w:rsidRDefault="00CC1153" w:rsidP="007A2360">
                  <w:pPr>
                    <w:spacing w:before="120"/>
                    <w:jc w:val="right"/>
                    <w:rPr>
                      <w:rFonts w:ascii="Arial" w:hAnsi="Arial" w:cs="Arial"/>
                      <w:b/>
                      <w:sz w:val="20"/>
                      <w:lang w:val="en-GB"/>
                    </w:rPr>
                  </w:pPr>
                  <w:r w:rsidRPr="00BB68D7">
                    <w:rPr>
                      <w:rFonts w:ascii="Arial" w:hAnsi="Arial" w:cs="Arial"/>
                      <w:b/>
                      <w:sz w:val="20"/>
                      <w:lang w:val="en-GB"/>
                    </w:rPr>
                    <w:t>2,73</w:t>
                  </w:r>
                  <w:r w:rsidR="00B43F58" w:rsidRPr="00BB68D7">
                    <w:rPr>
                      <w:rFonts w:ascii="Arial" w:hAnsi="Arial" w:cs="Arial"/>
                      <w:b/>
                      <w:sz w:val="20"/>
                      <w:lang w:val="en-GB"/>
                    </w:rPr>
                    <w:t>2</w:t>
                  </w:r>
                </w:p>
              </w:tc>
              <w:tc>
                <w:tcPr>
                  <w:tcW w:w="1688" w:type="dxa"/>
                </w:tcPr>
                <w:p w14:paraId="7226FD7A" w14:textId="581C8AE1" w:rsidR="00CC1153" w:rsidRPr="00BB68D7" w:rsidRDefault="00CC1153" w:rsidP="007A2360">
                  <w:pPr>
                    <w:spacing w:before="120"/>
                    <w:jc w:val="right"/>
                    <w:rPr>
                      <w:rFonts w:ascii="Arial" w:hAnsi="Arial" w:cs="Arial"/>
                      <w:b/>
                      <w:sz w:val="20"/>
                      <w:lang w:val="en-GB"/>
                    </w:rPr>
                  </w:pPr>
                  <w:r w:rsidRPr="00BB68D7">
                    <w:rPr>
                      <w:rFonts w:ascii="Arial" w:hAnsi="Arial" w:cs="Arial"/>
                      <w:b/>
                      <w:sz w:val="20"/>
                      <w:lang w:val="en-GB"/>
                    </w:rPr>
                    <w:t>1,12</w:t>
                  </w:r>
                  <w:r w:rsidR="00B43F58" w:rsidRPr="00BB68D7">
                    <w:rPr>
                      <w:rFonts w:ascii="Arial" w:hAnsi="Arial" w:cs="Arial"/>
                      <w:b/>
                      <w:sz w:val="20"/>
                      <w:lang w:val="en-GB"/>
                    </w:rPr>
                    <w:t>7</w:t>
                  </w:r>
                </w:p>
              </w:tc>
              <w:tc>
                <w:tcPr>
                  <w:tcW w:w="1688" w:type="dxa"/>
                  <w:vAlign w:val="center"/>
                </w:tcPr>
                <w:p w14:paraId="5CD73112" w14:textId="1BF4D9E5" w:rsidR="00CC1153" w:rsidRPr="00BB68D7" w:rsidRDefault="00CC1153" w:rsidP="007A2360">
                  <w:pPr>
                    <w:spacing w:before="120"/>
                    <w:jc w:val="right"/>
                    <w:rPr>
                      <w:rFonts w:ascii="Arial" w:hAnsi="Arial" w:cs="Arial"/>
                      <w:b/>
                      <w:sz w:val="20"/>
                      <w:lang w:val="en-GB"/>
                    </w:rPr>
                  </w:pPr>
                  <w:r w:rsidRPr="00BB68D7">
                    <w:rPr>
                      <w:rFonts w:ascii="Arial" w:hAnsi="Arial" w:cs="Arial"/>
                      <w:b/>
                      <w:bCs/>
                      <w:sz w:val="20"/>
                      <w:lang w:val="en-GB"/>
                    </w:rPr>
                    <w:t>1,05</w:t>
                  </w:r>
                  <w:r w:rsidR="00B43F58" w:rsidRPr="00BB68D7">
                    <w:rPr>
                      <w:rFonts w:ascii="Arial" w:hAnsi="Arial" w:cs="Arial"/>
                      <w:b/>
                      <w:bCs/>
                      <w:sz w:val="20"/>
                      <w:lang w:val="en-GB"/>
                    </w:rPr>
                    <w:t>8</w:t>
                  </w:r>
                </w:p>
              </w:tc>
              <w:tc>
                <w:tcPr>
                  <w:tcW w:w="1533" w:type="dxa"/>
                  <w:vAlign w:val="center"/>
                </w:tcPr>
                <w:p w14:paraId="46827434" w14:textId="77777777" w:rsidR="00CC1153" w:rsidRPr="00BB68D7" w:rsidRDefault="00CC1153" w:rsidP="007A2360">
                  <w:pPr>
                    <w:spacing w:before="120"/>
                    <w:jc w:val="right"/>
                    <w:rPr>
                      <w:rFonts w:ascii="Arial" w:hAnsi="Arial" w:cs="Arial"/>
                      <w:b/>
                      <w:sz w:val="20"/>
                      <w:lang w:val="en-GB"/>
                    </w:rPr>
                  </w:pPr>
                  <w:r w:rsidRPr="00BB68D7">
                    <w:rPr>
                      <w:rFonts w:ascii="Arial" w:hAnsi="Arial" w:cs="Arial"/>
                      <w:b/>
                      <w:bCs/>
                      <w:sz w:val="20"/>
                      <w:lang w:val="en-GB"/>
                    </w:rPr>
                    <w:t>4,918</w:t>
                  </w:r>
                </w:p>
              </w:tc>
            </w:tr>
            <w:tr w:rsidR="00CC1153" w:rsidRPr="00BB68D7" w14:paraId="0DA243EA" w14:textId="77777777" w:rsidTr="00715046">
              <w:trPr>
                <w:trHeight w:val="335"/>
              </w:trPr>
              <w:tc>
                <w:tcPr>
                  <w:tcW w:w="2891" w:type="dxa"/>
                </w:tcPr>
                <w:p w14:paraId="39006BE4" w14:textId="77777777" w:rsidR="00CC1153" w:rsidRPr="00BB68D7" w:rsidRDefault="00CC1153" w:rsidP="007A2360">
                  <w:pPr>
                    <w:spacing w:before="120"/>
                    <w:rPr>
                      <w:rFonts w:ascii="Arial" w:hAnsi="Arial" w:cs="Arial"/>
                      <w:b/>
                      <w:sz w:val="20"/>
                    </w:rPr>
                  </w:pPr>
                  <w:r w:rsidRPr="00BB68D7">
                    <w:rPr>
                      <w:rFonts w:ascii="Arial" w:hAnsi="Arial" w:cs="Arial"/>
                      <w:sz w:val="20"/>
                    </w:rPr>
                    <w:t>Additions (Note 36)</w:t>
                  </w:r>
                </w:p>
              </w:tc>
              <w:tc>
                <w:tcPr>
                  <w:tcW w:w="1547" w:type="dxa"/>
                </w:tcPr>
                <w:p w14:paraId="6037EB15" w14:textId="77777777"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763</w:t>
                  </w:r>
                </w:p>
              </w:tc>
              <w:tc>
                <w:tcPr>
                  <w:tcW w:w="1688" w:type="dxa"/>
                </w:tcPr>
                <w:p w14:paraId="5C427BFD" w14:textId="77777777"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194</w:t>
                  </w:r>
                </w:p>
              </w:tc>
              <w:tc>
                <w:tcPr>
                  <w:tcW w:w="1688" w:type="dxa"/>
                </w:tcPr>
                <w:p w14:paraId="7D9B804F" w14:textId="77777777"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140</w:t>
                  </w:r>
                </w:p>
              </w:tc>
              <w:tc>
                <w:tcPr>
                  <w:tcW w:w="1533" w:type="dxa"/>
                </w:tcPr>
                <w:p w14:paraId="51964A03" w14:textId="178AC129" w:rsidR="00CC1153" w:rsidRPr="00BB68D7" w:rsidRDefault="00CC1153" w:rsidP="007A2360">
                  <w:pPr>
                    <w:spacing w:before="120"/>
                    <w:jc w:val="right"/>
                    <w:rPr>
                      <w:rFonts w:ascii="Arial" w:hAnsi="Arial" w:cs="Arial"/>
                      <w:b/>
                      <w:sz w:val="20"/>
                      <w:lang w:val="en-GB"/>
                    </w:rPr>
                  </w:pPr>
                  <w:r w:rsidRPr="00BB68D7">
                    <w:rPr>
                      <w:rFonts w:ascii="Arial" w:hAnsi="Arial" w:cs="Arial"/>
                      <w:b/>
                      <w:sz w:val="20"/>
                      <w:lang w:val="en-GB"/>
                    </w:rPr>
                    <w:t>1,09</w:t>
                  </w:r>
                  <w:r w:rsidR="00B43F58" w:rsidRPr="00BB68D7">
                    <w:rPr>
                      <w:rFonts w:ascii="Arial" w:hAnsi="Arial" w:cs="Arial"/>
                      <w:b/>
                      <w:sz w:val="20"/>
                      <w:lang w:val="en-GB"/>
                    </w:rPr>
                    <w:t>8</w:t>
                  </w:r>
                </w:p>
              </w:tc>
            </w:tr>
            <w:tr w:rsidR="00CC1153" w:rsidRPr="00BB68D7" w14:paraId="6F2328BC" w14:textId="77777777" w:rsidTr="00715046">
              <w:trPr>
                <w:trHeight w:val="335"/>
              </w:trPr>
              <w:tc>
                <w:tcPr>
                  <w:tcW w:w="2891" w:type="dxa"/>
                </w:tcPr>
                <w:p w14:paraId="25140DEC" w14:textId="77777777" w:rsidR="00CC1153" w:rsidRPr="00BB68D7" w:rsidRDefault="00CC1153" w:rsidP="007A2360">
                  <w:pPr>
                    <w:spacing w:before="120"/>
                    <w:rPr>
                      <w:rFonts w:ascii="Arial" w:hAnsi="Arial" w:cs="Arial"/>
                      <w:b/>
                      <w:sz w:val="20"/>
                    </w:rPr>
                  </w:pPr>
                  <w:r w:rsidRPr="00BB68D7">
                    <w:rPr>
                      <w:rFonts w:ascii="Arial" w:hAnsi="Arial" w:cs="Arial"/>
                      <w:sz w:val="20"/>
                    </w:rPr>
                    <w:t>Depreciation expense</w:t>
                  </w:r>
                </w:p>
              </w:tc>
              <w:tc>
                <w:tcPr>
                  <w:tcW w:w="1547" w:type="dxa"/>
                </w:tcPr>
                <w:p w14:paraId="0D66ED21" w14:textId="77777777"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(311)</w:t>
                  </w:r>
                </w:p>
              </w:tc>
              <w:tc>
                <w:tcPr>
                  <w:tcW w:w="1688" w:type="dxa"/>
                </w:tcPr>
                <w:p w14:paraId="40A3CF06" w14:textId="77777777"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(245)</w:t>
                  </w:r>
                </w:p>
              </w:tc>
              <w:tc>
                <w:tcPr>
                  <w:tcW w:w="1688" w:type="dxa"/>
                </w:tcPr>
                <w:p w14:paraId="6749F052" w14:textId="77777777"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(225)</w:t>
                  </w:r>
                </w:p>
              </w:tc>
              <w:tc>
                <w:tcPr>
                  <w:tcW w:w="1533" w:type="dxa"/>
                </w:tcPr>
                <w:p w14:paraId="1A955D26" w14:textId="77777777" w:rsidR="00CC1153" w:rsidRPr="00BB68D7" w:rsidRDefault="00CC1153" w:rsidP="007A2360">
                  <w:pPr>
                    <w:spacing w:before="120"/>
                    <w:jc w:val="right"/>
                    <w:rPr>
                      <w:rFonts w:ascii="Arial" w:hAnsi="Arial" w:cs="Arial"/>
                      <w:b/>
                      <w:sz w:val="20"/>
                      <w:lang w:val="en-GB"/>
                    </w:rPr>
                  </w:pPr>
                  <w:r w:rsidRPr="00BB68D7">
                    <w:rPr>
                      <w:rFonts w:ascii="Arial" w:hAnsi="Arial" w:cs="Arial"/>
                      <w:b/>
                      <w:sz w:val="20"/>
                      <w:lang w:val="en-GB"/>
                    </w:rPr>
                    <w:t>(781)</w:t>
                  </w:r>
                </w:p>
              </w:tc>
            </w:tr>
            <w:tr w:rsidR="00CC1153" w:rsidRPr="00CC1153" w14:paraId="734581D8" w14:textId="77777777" w:rsidTr="00715046">
              <w:trPr>
                <w:trHeight w:val="335"/>
              </w:trPr>
              <w:tc>
                <w:tcPr>
                  <w:tcW w:w="2891" w:type="dxa"/>
                </w:tcPr>
                <w:p w14:paraId="32DE9B66" w14:textId="351F117F" w:rsidR="00CC1153" w:rsidRPr="00BB68D7" w:rsidRDefault="00CC1153" w:rsidP="007A2360">
                  <w:pPr>
                    <w:spacing w:before="120"/>
                    <w:rPr>
                      <w:rFonts w:ascii="Arial" w:hAnsi="Arial" w:cs="Arial"/>
                      <w:b/>
                      <w:sz w:val="20"/>
                    </w:rPr>
                  </w:pPr>
                  <w:r w:rsidRPr="00BB68D7">
                    <w:rPr>
                      <w:rFonts w:ascii="Arial" w:hAnsi="Arial" w:cs="Arial"/>
                      <w:b/>
                      <w:sz w:val="20"/>
                      <w:lang w:val="en-GB"/>
                    </w:rPr>
                    <w:t>As at 31 March 202</w:t>
                  </w:r>
                  <w:r w:rsidR="00A61101" w:rsidRPr="00BB68D7">
                    <w:rPr>
                      <w:rFonts w:ascii="Arial" w:hAnsi="Arial" w:cs="Arial"/>
                      <w:b/>
                      <w:sz w:val="20"/>
                      <w:lang w:val="en-GB"/>
                    </w:rPr>
                    <w:t>1</w:t>
                  </w:r>
                </w:p>
              </w:tc>
              <w:tc>
                <w:tcPr>
                  <w:tcW w:w="1547" w:type="dxa"/>
                </w:tcPr>
                <w:p w14:paraId="20FC6F80" w14:textId="2CA23EF2" w:rsidR="00CC1153" w:rsidRPr="00BB68D7" w:rsidRDefault="00CC1153" w:rsidP="007A2360">
                  <w:pPr>
                    <w:spacing w:before="120"/>
                    <w:jc w:val="right"/>
                    <w:rPr>
                      <w:rFonts w:ascii="Arial" w:hAnsi="Arial" w:cs="Arial"/>
                      <w:b/>
                      <w:sz w:val="20"/>
                      <w:lang w:val="en-GB"/>
                    </w:rPr>
                  </w:pPr>
                  <w:r w:rsidRPr="00BB68D7">
                    <w:rPr>
                      <w:rFonts w:ascii="Arial" w:hAnsi="Arial" w:cs="Arial"/>
                      <w:b/>
                      <w:sz w:val="20"/>
                      <w:lang w:val="en-GB"/>
                    </w:rPr>
                    <w:t>3,18</w:t>
                  </w:r>
                  <w:r w:rsidR="00B43F58" w:rsidRPr="00BB68D7">
                    <w:rPr>
                      <w:rFonts w:ascii="Arial" w:hAnsi="Arial" w:cs="Arial"/>
                      <w:b/>
                      <w:sz w:val="20"/>
                      <w:lang w:val="en-GB"/>
                    </w:rPr>
                    <w:t>4</w:t>
                  </w:r>
                </w:p>
              </w:tc>
              <w:tc>
                <w:tcPr>
                  <w:tcW w:w="1688" w:type="dxa"/>
                </w:tcPr>
                <w:p w14:paraId="0F4E3401" w14:textId="5B021A16" w:rsidR="00CC1153" w:rsidRPr="00BB68D7" w:rsidRDefault="00CC1153" w:rsidP="007A2360">
                  <w:pPr>
                    <w:spacing w:before="120"/>
                    <w:jc w:val="right"/>
                    <w:rPr>
                      <w:rFonts w:ascii="Arial" w:hAnsi="Arial" w:cs="Arial"/>
                      <w:b/>
                      <w:sz w:val="20"/>
                      <w:lang w:val="en-GB"/>
                    </w:rPr>
                  </w:pPr>
                  <w:r w:rsidRPr="00BB68D7">
                    <w:rPr>
                      <w:rFonts w:ascii="Arial" w:hAnsi="Arial" w:cs="Arial"/>
                      <w:b/>
                      <w:sz w:val="20"/>
                      <w:lang w:val="en-GB"/>
                    </w:rPr>
                    <w:t>1,07</w:t>
                  </w:r>
                  <w:r w:rsidR="00B43F58" w:rsidRPr="00BB68D7">
                    <w:rPr>
                      <w:rFonts w:ascii="Arial" w:hAnsi="Arial" w:cs="Arial"/>
                      <w:b/>
                      <w:sz w:val="20"/>
                      <w:lang w:val="en-GB"/>
                    </w:rPr>
                    <w:t>6</w:t>
                  </w:r>
                </w:p>
              </w:tc>
              <w:tc>
                <w:tcPr>
                  <w:tcW w:w="1688" w:type="dxa"/>
                  <w:vAlign w:val="center"/>
                </w:tcPr>
                <w:p w14:paraId="462DCE2C" w14:textId="77777777" w:rsidR="00CC1153" w:rsidRPr="00BB68D7" w:rsidRDefault="00CC1153" w:rsidP="007A2360">
                  <w:pPr>
                    <w:spacing w:before="120"/>
                    <w:jc w:val="right"/>
                    <w:rPr>
                      <w:rFonts w:ascii="Arial" w:hAnsi="Arial" w:cs="Arial"/>
                      <w:b/>
                      <w:sz w:val="20"/>
                      <w:lang w:val="en-GB"/>
                    </w:rPr>
                  </w:pPr>
                  <w:r w:rsidRPr="00BB68D7">
                    <w:rPr>
                      <w:rFonts w:ascii="Arial" w:hAnsi="Arial" w:cs="Arial"/>
                      <w:b/>
                      <w:bCs/>
                      <w:sz w:val="20"/>
                      <w:lang w:val="en-GB"/>
                    </w:rPr>
                    <w:t>974</w:t>
                  </w:r>
                </w:p>
              </w:tc>
              <w:tc>
                <w:tcPr>
                  <w:tcW w:w="1533" w:type="dxa"/>
                  <w:vAlign w:val="center"/>
                </w:tcPr>
                <w:p w14:paraId="664B5695" w14:textId="77777777" w:rsidR="00CC1153" w:rsidRPr="00CC1153" w:rsidRDefault="00CC1153" w:rsidP="007A2360">
                  <w:pPr>
                    <w:spacing w:before="120"/>
                    <w:jc w:val="right"/>
                    <w:rPr>
                      <w:rFonts w:ascii="Arial" w:hAnsi="Arial" w:cs="Arial"/>
                      <w:b/>
                      <w:sz w:val="20"/>
                      <w:lang w:val="en-GB"/>
                    </w:rPr>
                  </w:pPr>
                  <w:r w:rsidRPr="00BB68D7">
                    <w:rPr>
                      <w:rFonts w:ascii="Arial" w:hAnsi="Arial" w:cs="Arial"/>
                      <w:b/>
                      <w:bCs/>
                      <w:sz w:val="20"/>
                      <w:lang w:val="en-GB"/>
                    </w:rPr>
                    <w:t>5,234</w:t>
                  </w:r>
                </w:p>
              </w:tc>
            </w:tr>
          </w:tbl>
          <w:p w14:paraId="4C933501" w14:textId="77777777" w:rsidR="00CC1153" w:rsidRPr="00CC1153" w:rsidRDefault="00CC1153" w:rsidP="007A2360">
            <w:pPr>
              <w:spacing w:before="120"/>
              <w:rPr>
                <w:rFonts w:ascii="Arial" w:hAnsi="Arial" w:cs="Arial"/>
                <w:b/>
                <w:sz w:val="20"/>
              </w:rPr>
            </w:pPr>
          </w:p>
        </w:tc>
      </w:tr>
      <w:tr w:rsidR="00CC1153" w:rsidRPr="00CC1153" w14:paraId="5174B7B2" w14:textId="77777777" w:rsidTr="00715046">
        <w:trPr>
          <w:trHeight w:val="1248"/>
        </w:trPr>
        <w:tc>
          <w:tcPr>
            <w:tcW w:w="9569" w:type="dxa"/>
            <w:shd w:val="clear" w:color="auto" w:fill="auto"/>
            <w:vAlign w:val="center"/>
          </w:tcPr>
          <w:p w14:paraId="442D8621" w14:textId="77777777" w:rsidR="003040B3" w:rsidRDefault="003040B3" w:rsidP="007A2360">
            <w:pPr>
              <w:spacing w:before="120"/>
              <w:rPr>
                <w:rFonts w:ascii="Arial" w:hAnsi="Arial" w:cs="Arial"/>
                <w:sz w:val="20"/>
                <w:lang w:val="en-GB"/>
              </w:rPr>
            </w:pPr>
          </w:p>
          <w:p w14:paraId="6BF6AD27" w14:textId="05FC8957" w:rsidR="00CC1153" w:rsidRDefault="00CC1153" w:rsidP="007A2360">
            <w:pPr>
              <w:spacing w:before="120"/>
              <w:rPr>
                <w:rFonts w:ascii="Arial" w:hAnsi="Arial" w:cs="Arial"/>
                <w:sz w:val="20"/>
                <w:lang w:val="en-GB"/>
              </w:rPr>
            </w:pPr>
            <w:r w:rsidRPr="00CC1153">
              <w:rPr>
                <w:rFonts w:ascii="Arial" w:hAnsi="Arial" w:cs="Arial"/>
                <w:sz w:val="20"/>
                <w:lang w:val="en-GB"/>
              </w:rPr>
              <w:t>Set out below are the carrying amounts of lease liabilities (included under interest-bearing loans and borrowings) and the movements during the period:</w:t>
            </w:r>
          </w:p>
          <w:p w14:paraId="335B5265" w14:textId="5D8C571C" w:rsidR="00CC1153" w:rsidRPr="00CC1153" w:rsidRDefault="00CC1153" w:rsidP="007A2360">
            <w:pPr>
              <w:spacing w:before="120"/>
              <w:rPr>
                <w:rFonts w:ascii="Arial" w:hAnsi="Arial" w:cs="Arial"/>
                <w:b/>
                <w:sz w:val="20"/>
              </w:rPr>
            </w:pPr>
          </w:p>
        </w:tc>
      </w:tr>
      <w:tr w:rsidR="00CC1153" w:rsidRPr="00CC1153" w14:paraId="12B54C92" w14:textId="77777777" w:rsidTr="00715046">
        <w:trPr>
          <w:trHeight w:val="4529"/>
        </w:trPr>
        <w:tc>
          <w:tcPr>
            <w:tcW w:w="9569" w:type="dxa"/>
            <w:shd w:val="clear" w:color="auto" w:fill="auto"/>
            <w:vAlign w:val="center"/>
          </w:tcPr>
          <w:tbl>
            <w:tblPr>
              <w:tblStyle w:val="TableGrid"/>
              <w:tblW w:w="9283" w:type="dxa"/>
              <w:tblLayout w:type="fixed"/>
              <w:tblLook w:val="04A0" w:firstRow="1" w:lastRow="0" w:firstColumn="1" w:lastColumn="0" w:noHBand="0" w:noVBand="1"/>
            </w:tblPr>
            <w:tblGrid>
              <w:gridCol w:w="6127"/>
              <w:gridCol w:w="1548"/>
              <w:gridCol w:w="1608"/>
            </w:tblGrid>
            <w:tr w:rsidR="00715046" w:rsidRPr="00BB68D7" w14:paraId="01A1A12E" w14:textId="77777777" w:rsidTr="00715046">
              <w:trPr>
                <w:trHeight w:val="659"/>
              </w:trPr>
              <w:tc>
                <w:tcPr>
                  <w:tcW w:w="6127" w:type="dxa"/>
                </w:tcPr>
                <w:p w14:paraId="05B7FAB0" w14:textId="77777777" w:rsidR="00CC1153" w:rsidRPr="00CC1153" w:rsidRDefault="00CC1153" w:rsidP="007A2360">
                  <w:pPr>
                    <w:spacing w:before="120"/>
                    <w:rPr>
                      <w:rFonts w:ascii="Arial" w:hAnsi="Arial" w:cs="Arial"/>
                      <w:b/>
                      <w:sz w:val="20"/>
                    </w:rPr>
                  </w:pPr>
                </w:p>
              </w:tc>
              <w:tc>
                <w:tcPr>
                  <w:tcW w:w="1548" w:type="dxa"/>
                </w:tcPr>
                <w:p w14:paraId="7E18EF4D" w14:textId="21F268FB" w:rsidR="00CC1153" w:rsidRPr="00BB68D7" w:rsidRDefault="00CC1153" w:rsidP="007A2360">
                  <w:pPr>
                    <w:spacing w:before="120"/>
                    <w:jc w:val="right"/>
                    <w:rPr>
                      <w:rFonts w:ascii="Arial" w:hAnsi="Arial" w:cs="Arial"/>
                      <w:b/>
                      <w:sz w:val="20"/>
                    </w:rPr>
                  </w:pPr>
                  <w:r w:rsidRPr="00BB68D7">
                    <w:rPr>
                      <w:rFonts w:ascii="Arial" w:hAnsi="Arial" w:cs="Arial"/>
                      <w:b/>
                      <w:sz w:val="20"/>
                    </w:rPr>
                    <w:t>202</w:t>
                  </w:r>
                  <w:r w:rsidR="002F51E6" w:rsidRPr="00BB68D7">
                    <w:rPr>
                      <w:rFonts w:ascii="Arial" w:hAnsi="Arial" w:cs="Arial"/>
                      <w:b/>
                      <w:sz w:val="20"/>
                    </w:rPr>
                    <w:t>1</w:t>
                  </w:r>
                </w:p>
              </w:tc>
              <w:tc>
                <w:tcPr>
                  <w:tcW w:w="1608" w:type="dxa"/>
                </w:tcPr>
                <w:p w14:paraId="512488D1" w14:textId="74CBFC47" w:rsidR="00CC1153" w:rsidRPr="00BB68D7" w:rsidRDefault="002F51E6" w:rsidP="007A2360">
                  <w:pPr>
                    <w:spacing w:before="120"/>
                    <w:jc w:val="right"/>
                    <w:rPr>
                      <w:rFonts w:ascii="Arial" w:hAnsi="Arial" w:cs="Arial"/>
                      <w:b/>
                      <w:sz w:val="20"/>
                    </w:rPr>
                  </w:pPr>
                  <w:r w:rsidRPr="00BB68D7">
                    <w:rPr>
                      <w:rFonts w:ascii="Arial" w:hAnsi="Arial" w:cs="Arial"/>
                      <w:b/>
                      <w:sz w:val="20"/>
                    </w:rPr>
                    <w:t>2020</w:t>
                  </w:r>
                </w:p>
              </w:tc>
            </w:tr>
            <w:tr w:rsidR="00715046" w:rsidRPr="00BB68D7" w14:paraId="5661A0E9" w14:textId="77777777" w:rsidTr="00715046">
              <w:trPr>
                <w:trHeight w:val="320"/>
              </w:trPr>
              <w:tc>
                <w:tcPr>
                  <w:tcW w:w="6127" w:type="dxa"/>
                </w:tcPr>
                <w:p w14:paraId="30B120BA" w14:textId="77777777" w:rsidR="00CC1153" w:rsidRPr="00BB68D7" w:rsidRDefault="00CC1153" w:rsidP="007A2360">
                  <w:pPr>
                    <w:spacing w:before="120"/>
                    <w:rPr>
                      <w:rFonts w:ascii="Arial" w:hAnsi="Arial" w:cs="Arial"/>
                      <w:b/>
                      <w:sz w:val="20"/>
                    </w:rPr>
                  </w:pPr>
                  <w:r w:rsidRPr="00BB68D7">
                    <w:rPr>
                      <w:rFonts w:ascii="Arial" w:hAnsi="Arial" w:cs="Arial"/>
                      <w:b/>
                      <w:sz w:val="20"/>
                      <w:lang w:val="en-GB"/>
                    </w:rPr>
                    <w:t>As at 1 April</w:t>
                  </w:r>
                </w:p>
              </w:tc>
              <w:tc>
                <w:tcPr>
                  <w:tcW w:w="1548" w:type="dxa"/>
                </w:tcPr>
                <w:p w14:paraId="16415032" w14:textId="168B9A4F"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5,</w:t>
                  </w:r>
                  <w:r w:rsidR="002F51E6" w:rsidRPr="00BB68D7">
                    <w:rPr>
                      <w:rFonts w:ascii="Arial" w:hAnsi="Arial" w:cs="Arial"/>
                      <w:sz w:val="20"/>
                      <w:lang w:val="en-GB"/>
                    </w:rPr>
                    <w:t>348</w:t>
                  </w:r>
                </w:p>
              </w:tc>
              <w:tc>
                <w:tcPr>
                  <w:tcW w:w="1608" w:type="dxa"/>
                </w:tcPr>
                <w:p w14:paraId="62AE5E39" w14:textId="16D09179" w:rsidR="00CC1153" w:rsidRPr="00BB68D7" w:rsidRDefault="002F51E6" w:rsidP="007A2360">
                  <w:pPr>
                    <w:spacing w:before="120"/>
                    <w:jc w:val="right"/>
                    <w:rPr>
                      <w:rFonts w:ascii="Arial" w:hAnsi="Arial" w:cs="Arial"/>
                      <w:sz w:val="20"/>
                      <w:lang w:val="en-GB"/>
                    </w:rPr>
                  </w:pPr>
                  <w:r w:rsidRPr="00BB68D7">
                    <w:rPr>
                      <w:rFonts w:ascii="Arial" w:hAnsi="Arial" w:cs="Arial"/>
                      <w:sz w:val="20"/>
                      <w:lang w:val="en-GB"/>
                    </w:rPr>
                    <w:t>5.560</w:t>
                  </w:r>
                </w:p>
              </w:tc>
            </w:tr>
            <w:tr w:rsidR="00715046" w:rsidRPr="00BB68D7" w14:paraId="151C966A" w14:textId="77777777" w:rsidTr="00715046">
              <w:trPr>
                <w:trHeight w:val="329"/>
              </w:trPr>
              <w:tc>
                <w:tcPr>
                  <w:tcW w:w="6127" w:type="dxa"/>
                </w:tcPr>
                <w:p w14:paraId="7A66F7E3" w14:textId="77777777" w:rsidR="00CC1153" w:rsidRPr="00BB68D7" w:rsidRDefault="00CC1153" w:rsidP="007A2360">
                  <w:pPr>
                    <w:spacing w:before="120"/>
                    <w:rPr>
                      <w:rFonts w:ascii="Arial" w:hAnsi="Arial" w:cs="Arial"/>
                      <w:b/>
                      <w:sz w:val="20"/>
                    </w:rPr>
                  </w:pPr>
                  <w:r w:rsidRPr="00BB68D7">
                    <w:rPr>
                      <w:rFonts w:ascii="Arial" w:hAnsi="Arial" w:cs="Arial"/>
                      <w:sz w:val="20"/>
                    </w:rPr>
                    <w:t xml:space="preserve">Additions </w:t>
                  </w:r>
                </w:p>
              </w:tc>
              <w:tc>
                <w:tcPr>
                  <w:tcW w:w="1548" w:type="dxa"/>
                </w:tcPr>
                <w:p w14:paraId="5B40B939" w14:textId="77777777"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1,067</w:t>
                  </w:r>
                </w:p>
              </w:tc>
              <w:tc>
                <w:tcPr>
                  <w:tcW w:w="1608" w:type="dxa"/>
                </w:tcPr>
                <w:p w14:paraId="5D0E9FFD" w14:textId="77777777"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405</w:t>
                  </w:r>
                </w:p>
              </w:tc>
            </w:tr>
            <w:tr w:rsidR="00715046" w:rsidRPr="00BB68D7" w14:paraId="78256591" w14:textId="77777777" w:rsidTr="00715046">
              <w:trPr>
                <w:trHeight w:val="329"/>
              </w:trPr>
              <w:tc>
                <w:tcPr>
                  <w:tcW w:w="6127" w:type="dxa"/>
                </w:tcPr>
                <w:p w14:paraId="04C30A66" w14:textId="77777777" w:rsidR="00CC1153" w:rsidRPr="00BB68D7" w:rsidRDefault="00CC1153" w:rsidP="007A2360">
                  <w:pPr>
                    <w:spacing w:before="120"/>
                    <w:rPr>
                      <w:rFonts w:ascii="Arial" w:hAnsi="Arial" w:cs="Arial"/>
                      <w:b/>
                      <w:sz w:val="20"/>
                    </w:rPr>
                  </w:pPr>
                  <w:r w:rsidRPr="00BB68D7">
                    <w:rPr>
                      <w:rFonts w:ascii="Arial" w:hAnsi="Arial" w:cs="Arial"/>
                      <w:sz w:val="20"/>
                    </w:rPr>
                    <w:t>Accretion of interest</w:t>
                  </w:r>
                </w:p>
              </w:tc>
              <w:tc>
                <w:tcPr>
                  <w:tcW w:w="1548" w:type="dxa"/>
                </w:tcPr>
                <w:p w14:paraId="49728CC6" w14:textId="77777777"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320</w:t>
                  </w:r>
                </w:p>
              </w:tc>
              <w:tc>
                <w:tcPr>
                  <w:tcW w:w="1608" w:type="dxa"/>
                </w:tcPr>
                <w:p w14:paraId="4A8F57BA" w14:textId="77777777"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333</w:t>
                  </w:r>
                </w:p>
              </w:tc>
            </w:tr>
            <w:tr w:rsidR="00715046" w:rsidRPr="00BB68D7" w14:paraId="318B88D0" w14:textId="77777777" w:rsidTr="00715046">
              <w:trPr>
                <w:trHeight w:val="329"/>
              </w:trPr>
              <w:tc>
                <w:tcPr>
                  <w:tcW w:w="6127" w:type="dxa"/>
                </w:tcPr>
                <w:p w14:paraId="4DB65433" w14:textId="77777777" w:rsidR="00CC1153" w:rsidRPr="00BB68D7" w:rsidRDefault="00CC1153" w:rsidP="007A2360">
                  <w:pPr>
                    <w:spacing w:before="120"/>
                    <w:rPr>
                      <w:rFonts w:ascii="Arial" w:hAnsi="Arial" w:cs="Arial"/>
                      <w:b/>
                      <w:sz w:val="20"/>
                    </w:rPr>
                  </w:pPr>
                  <w:r w:rsidRPr="00BB68D7">
                    <w:rPr>
                      <w:rFonts w:ascii="Arial" w:hAnsi="Arial" w:cs="Arial"/>
                      <w:sz w:val="20"/>
                    </w:rPr>
                    <w:t>Payments</w:t>
                  </w:r>
                </w:p>
              </w:tc>
              <w:tc>
                <w:tcPr>
                  <w:tcW w:w="1548" w:type="dxa"/>
                </w:tcPr>
                <w:p w14:paraId="66C9115A" w14:textId="365ED03E"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w:t>
                  </w:r>
                  <w:r w:rsidR="002F51E6" w:rsidRPr="00BB68D7">
                    <w:rPr>
                      <w:rFonts w:ascii="Arial" w:hAnsi="Arial" w:cs="Arial"/>
                      <w:sz w:val="20"/>
                      <w:lang w:val="en-GB"/>
                    </w:rPr>
                    <w:t>1,046</w:t>
                  </w:r>
                  <w:r w:rsidRPr="00BB68D7">
                    <w:rPr>
                      <w:rFonts w:ascii="Arial" w:hAnsi="Arial" w:cs="Arial"/>
                      <w:sz w:val="20"/>
                      <w:lang w:val="en-GB"/>
                    </w:rPr>
                    <w:t>)</w:t>
                  </w:r>
                </w:p>
              </w:tc>
              <w:tc>
                <w:tcPr>
                  <w:tcW w:w="1608" w:type="dxa"/>
                </w:tcPr>
                <w:p w14:paraId="4AAB87F4" w14:textId="0ABC2440" w:rsidR="00CC1153" w:rsidRPr="00BB68D7" w:rsidRDefault="00CC1153" w:rsidP="007A2360">
                  <w:pPr>
                    <w:spacing w:before="120"/>
                    <w:jc w:val="right"/>
                    <w:rPr>
                      <w:rFonts w:ascii="Arial" w:hAnsi="Arial" w:cs="Arial"/>
                      <w:sz w:val="20"/>
                      <w:lang w:val="en-GB"/>
                    </w:rPr>
                  </w:pPr>
                  <w:r w:rsidRPr="00BB68D7">
                    <w:rPr>
                      <w:rFonts w:ascii="Arial" w:hAnsi="Arial" w:cs="Arial"/>
                      <w:sz w:val="20"/>
                      <w:lang w:val="en-GB"/>
                    </w:rPr>
                    <w:t>(</w:t>
                  </w:r>
                  <w:r w:rsidR="002F51E6" w:rsidRPr="00BB68D7">
                    <w:rPr>
                      <w:rFonts w:ascii="Arial" w:hAnsi="Arial" w:cs="Arial"/>
                      <w:sz w:val="20"/>
                      <w:lang w:val="en-GB"/>
                    </w:rPr>
                    <w:t>950</w:t>
                  </w:r>
                  <w:r w:rsidRPr="00BB68D7">
                    <w:rPr>
                      <w:rFonts w:ascii="Arial" w:hAnsi="Arial" w:cs="Arial"/>
                      <w:sz w:val="20"/>
                      <w:lang w:val="en-GB"/>
                    </w:rPr>
                    <w:t>)</w:t>
                  </w:r>
                </w:p>
              </w:tc>
            </w:tr>
            <w:tr w:rsidR="00715046" w:rsidRPr="00BB68D7" w14:paraId="526CC251" w14:textId="77777777" w:rsidTr="00715046">
              <w:trPr>
                <w:trHeight w:val="329"/>
              </w:trPr>
              <w:tc>
                <w:tcPr>
                  <w:tcW w:w="6127" w:type="dxa"/>
                </w:tcPr>
                <w:p w14:paraId="510C5FFD" w14:textId="77777777" w:rsidR="00CC1153" w:rsidRPr="00BB68D7" w:rsidRDefault="00CC1153" w:rsidP="007A2360">
                  <w:pPr>
                    <w:spacing w:before="120"/>
                    <w:rPr>
                      <w:rFonts w:ascii="Arial" w:hAnsi="Arial" w:cs="Arial"/>
                      <w:b/>
                      <w:sz w:val="20"/>
                    </w:rPr>
                  </w:pPr>
                  <w:r w:rsidRPr="00BB68D7">
                    <w:rPr>
                      <w:rFonts w:ascii="Arial" w:hAnsi="Arial" w:cs="Arial"/>
                      <w:b/>
                      <w:sz w:val="20"/>
                      <w:lang w:val="en-GB"/>
                    </w:rPr>
                    <w:t>As at 31 March</w:t>
                  </w:r>
                </w:p>
              </w:tc>
              <w:tc>
                <w:tcPr>
                  <w:tcW w:w="1548" w:type="dxa"/>
                </w:tcPr>
                <w:p w14:paraId="62CB513D" w14:textId="78686480" w:rsidR="00CC1153" w:rsidRPr="00BB68D7" w:rsidRDefault="00CC1153" w:rsidP="007A2360">
                  <w:pPr>
                    <w:spacing w:before="120"/>
                    <w:jc w:val="right"/>
                    <w:rPr>
                      <w:rFonts w:ascii="Arial" w:hAnsi="Arial" w:cs="Arial"/>
                      <w:b/>
                      <w:sz w:val="20"/>
                      <w:lang w:val="en-GB"/>
                    </w:rPr>
                  </w:pPr>
                  <w:r w:rsidRPr="00BB68D7">
                    <w:rPr>
                      <w:rFonts w:ascii="Arial" w:hAnsi="Arial" w:cs="Arial"/>
                      <w:b/>
                      <w:sz w:val="20"/>
                      <w:lang w:val="en-GB"/>
                    </w:rPr>
                    <w:t>5,6</w:t>
                  </w:r>
                  <w:r w:rsidR="002F51E6" w:rsidRPr="00BB68D7">
                    <w:rPr>
                      <w:rFonts w:ascii="Arial" w:hAnsi="Arial" w:cs="Arial"/>
                      <w:b/>
                      <w:sz w:val="20"/>
                      <w:lang w:val="en-GB"/>
                    </w:rPr>
                    <w:t>90</w:t>
                  </w:r>
                </w:p>
              </w:tc>
              <w:tc>
                <w:tcPr>
                  <w:tcW w:w="1608" w:type="dxa"/>
                </w:tcPr>
                <w:p w14:paraId="2CF87351" w14:textId="6F8A3AB0" w:rsidR="00CC1153" w:rsidRPr="00BB68D7" w:rsidRDefault="00CC1153" w:rsidP="007A2360">
                  <w:pPr>
                    <w:spacing w:before="120"/>
                    <w:jc w:val="right"/>
                    <w:rPr>
                      <w:rFonts w:ascii="Arial" w:hAnsi="Arial" w:cs="Arial"/>
                      <w:b/>
                      <w:sz w:val="20"/>
                      <w:lang w:val="en-GB"/>
                    </w:rPr>
                  </w:pPr>
                  <w:r w:rsidRPr="00BB68D7">
                    <w:rPr>
                      <w:rFonts w:ascii="Arial" w:hAnsi="Arial" w:cs="Arial"/>
                      <w:b/>
                      <w:sz w:val="20"/>
                      <w:lang w:val="en-GB"/>
                    </w:rPr>
                    <w:t>5,</w:t>
                  </w:r>
                  <w:r w:rsidR="002F51E6" w:rsidRPr="00BB68D7">
                    <w:rPr>
                      <w:rFonts w:ascii="Arial" w:hAnsi="Arial" w:cs="Arial"/>
                      <w:b/>
                      <w:sz w:val="20"/>
                      <w:lang w:val="en-GB"/>
                    </w:rPr>
                    <w:t>348</w:t>
                  </w:r>
                </w:p>
              </w:tc>
            </w:tr>
            <w:tr w:rsidR="00715046" w:rsidRPr="00BB68D7" w14:paraId="0C42069F" w14:textId="77777777" w:rsidTr="00715046">
              <w:trPr>
                <w:trHeight w:val="329"/>
              </w:trPr>
              <w:tc>
                <w:tcPr>
                  <w:tcW w:w="6127" w:type="dxa"/>
                </w:tcPr>
                <w:p w14:paraId="316779BD" w14:textId="77777777" w:rsidR="00CC1153" w:rsidRPr="00BB68D7" w:rsidRDefault="00CC1153" w:rsidP="007A2360">
                  <w:pPr>
                    <w:spacing w:before="120"/>
                    <w:rPr>
                      <w:rFonts w:ascii="Arial" w:hAnsi="Arial" w:cs="Arial"/>
                      <w:b/>
                      <w:sz w:val="20"/>
                    </w:rPr>
                  </w:pPr>
                  <w:r w:rsidRPr="00BB68D7">
                    <w:rPr>
                      <w:rFonts w:ascii="Arial" w:hAnsi="Arial" w:cs="Arial"/>
                      <w:sz w:val="20"/>
                    </w:rPr>
                    <w:t>Current (Note 15)</w:t>
                  </w:r>
                </w:p>
              </w:tc>
              <w:tc>
                <w:tcPr>
                  <w:tcW w:w="1548" w:type="dxa"/>
                </w:tcPr>
                <w:p w14:paraId="69B6191B" w14:textId="693A09D4" w:rsidR="00CC1153" w:rsidRPr="00BB68D7" w:rsidRDefault="007400A0" w:rsidP="007A2360">
                  <w:pPr>
                    <w:spacing w:before="120"/>
                    <w:jc w:val="right"/>
                    <w:rPr>
                      <w:rFonts w:ascii="Arial" w:hAnsi="Arial" w:cs="Arial"/>
                      <w:sz w:val="20"/>
                      <w:lang w:val="en-GB"/>
                    </w:rPr>
                  </w:pPr>
                  <w:r w:rsidRPr="00BB68D7">
                    <w:rPr>
                      <w:rFonts w:ascii="Arial" w:hAnsi="Arial" w:cs="Arial"/>
                      <w:sz w:val="20"/>
                      <w:lang w:val="en-GB"/>
                    </w:rPr>
                    <w:t>819</w:t>
                  </w:r>
                </w:p>
              </w:tc>
              <w:tc>
                <w:tcPr>
                  <w:tcW w:w="1608" w:type="dxa"/>
                </w:tcPr>
                <w:p w14:paraId="09EE0BA9" w14:textId="668B18A3" w:rsidR="00CC1153" w:rsidRPr="00BB68D7" w:rsidRDefault="002F51E6" w:rsidP="007A2360">
                  <w:pPr>
                    <w:spacing w:before="120"/>
                    <w:jc w:val="right"/>
                    <w:rPr>
                      <w:rFonts w:ascii="Arial" w:hAnsi="Arial" w:cs="Arial"/>
                      <w:sz w:val="20"/>
                      <w:lang w:val="en-GB"/>
                    </w:rPr>
                  </w:pPr>
                  <w:r w:rsidRPr="00BB68D7">
                    <w:rPr>
                      <w:rFonts w:ascii="Arial" w:hAnsi="Arial" w:cs="Arial"/>
                      <w:sz w:val="20"/>
                      <w:lang w:val="en-GB"/>
                    </w:rPr>
                    <w:t>75</w:t>
                  </w:r>
                  <w:r w:rsidR="00CC1153" w:rsidRPr="00BB68D7">
                    <w:rPr>
                      <w:rFonts w:ascii="Arial" w:hAnsi="Arial" w:cs="Arial"/>
                      <w:sz w:val="20"/>
                      <w:lang w:val="en-GB"/>
                    </w:rPr>
                    <w:t>2</w:t>
                  </w:r>
                </w:p>
              </w:tc>
            </w:tr>
            <w:tr w:rsidR="00715046" w:rsidRPr="00BB68D7" w14:paraId="08403C73" w14:textId="77777777" w:rsidTr="00715046">
              <w:trPr>
                <w:trHeight w:val="329"/>
              </w:trPr>
              <w:tc>
                <w:tcPr>
                  <w:tcW w:w="6127" w:type="dxa"/>
                </w:tcPr>
                <w:p w14:paraId="5C04CC64" w14:textId="77777777" w:rsidR="00CC1153" w:rsidRPr="00BB68D7" w:rsidRDefault="00CC1153" w:rsidP="007A2360">
                  <w:pPr>
                    <w:spacing w:before="120"/>
                    <w:rPr>
                      <w:rFonts w:ascii="Arial" w:hAnsi="Arial" w:cs="Arial"/>
                      <w:b/>
                      <w:sz w:val="20"/>
                    </w:rPr>
                  </w:pPr>
                  <w:r w:rsidRPr="00BB68D7">
                    <w:rPr>
                      <w:rFonts w:ascii="Arial" w:hAnsi="Arial" w:cs="Arial"/>
                      <w:sz w:val="20"/>
                    </w:rPr>
                    <w:t>Non-current (Note 15)</w:t>
                  </w:r>
                </w:p>
              </w:tc>
              <w:tc>
                <w:tcPr>
                  <w:tcW w:w="1548" w:type="dxa"/>
                </w:tcPr>
                <w:p w14:paraId="3F21EEDF" w14:textId="71FA4162" w:rsidR="00CC1153" w:rsidRPr="00BB68D7" w:rsidRDefault="002F51E6" w:rsidP="007A2360">
                  <w:pPr>
                    <w:spacing w:before="120"/>
                    <w:jc w:val="right"/>
                    <w:rPr>
                      <w:rFonts w:ascii="Arial" w:hAnsi="Arial" w:cs="Arial"/>
                      <w:sz w:val="20"/>
                      <w:lang w:val="en-GB"/>
                    </w:rPr>
                  </w:pPr>
                  <w:r w:rsidRPr="00BB68D7">
                    <w:rPr>
                      <w:rFonts w:ascii="Arial" w:hAnsi="Arial" w:cs="Arial"/>
                      <w:sz w:val="20"/>
                      <w:lang w:val="en-GB"/>
                    </w:rPr>
                    <w:t>4</w:t>
                  </w:r>
                  <w:r w:rsidR="00CC1153" w:rsidRPr="00BB68D7">
                    <w:rPr>
                      <w:rFonts w:ascii="Arial" w:hAnsi="Arial" w:cs="Arial"/>
                      <w:sz w:val="20"/>
                      <w:lang w:val="en-GB"/>
                    </w:rPr>
                    <w:t>,</w:t>
                  </w:r>
                  <w:r w:rsidRPr="00BB68D7">
                    <w:rPr>
                      <w:rFonts w:ascii="Arial" w:hAnsi="Arial" w:cs="Arial"/>
                      <w:sz w:val="20"/>
                      <w:lang w:val="en-GB"/>
                    </w:rPr>
                    <w:t>871</w:t>
                  </w:r>
                </w:p>
              </w:tc>
              <w:tc>
                <w:tcPr>
                  <w:tcW w:w="1608" w:type="dxa"/>
                </w:tcPr>
                <w:p w14:paraId="13D5B2FC" w14:textId="61AAF044" w:rsidR="00CC1153" w:rsidRPr="00BB68D7" w:rsidRDefault="002F51E6" w:rsidP="007A2360">
                  <w:pPr>
                    <w:spacing w:before="120"/>
                    <w:jc w:val="right"/>
                    <w:rPr>
                      <w:rFonts w:ascii="Arial" w:hAnsi="Arial" w:cs="Arial"/>
                      <w:sz w:val="20"/>
                      <w:lang w:val="en-GB"/>
                    </w:rPr>
                  </w:pPr>
                  <w:r w:rsidRPr="00BB68D7">
                    <w:rPr>
                      <w:rFonts w:ascii="Arial" w:hAnsi="Arial" w:cs="Arial"/>
                      <w:sz w:val="20"/>
                      <w:lang w:val="en-GB"/>
                    </w:rPr>
                    <w:t>4</w:t>
                  </w:r>
                  <w:r w:rsidR="00CC1153" w:rsidRPr="00BB68D7">
                    <w:rPr>
                      <w:rFonts w:ascii="Arial" w:hAnsi="Arial" w:cs="Arial"/>
                      <w:sz w:val="20"/>
                      <w:lang w:val="en-GB"/>
                    </w:rPr>
                    <w:t>,</w:t>
                  </w:r>
                  <w:r w:rsidRPr="00BB68D7">
                    <w:rPr>
                      <w:rFonts w:ascii="Arial" w:hAnsi="Arial" w:cs="Arial"/>
                      <w:sz w:val="20"/>
                      <w:lang w:val="en-GB"/>
                    </w:rPr>
                    <w:t>595</w:t>
                  </w:r>
                </w:p>
              </w:tc>
            </w:tr>
          </w:tbl>
          <w:p w14:paraId="1136FFB5" w14:textId="77777777" w:rsidR="003040B3" w:rsidRPr="00BB68D7" w:rsidRDefault="003040B3" w:rsidP="007A2360">
            <w:pPr>
              <w:spacing w:before="120"/>
              <w:rPr>
                <w:rFonts w:ascii="Arial" w:hAnsi="Arial" w:cs="Arial"/>
                <w:sz w:val="20"/>
              </w:rPr>
            </w:pPr>
          </w:p>
          <w:p w14:paraId="708CCB8D" w14:textId="66964E60" w:rsidR="00CC1153" w:rsidRPr="00D95762" w:rsidRDefault="00CC1153" w:rsidP="007A2360">
            <w:pPr>
              <w:spacing w:before="120"/>
              <w:rPr>
                <w:rFonts w:ascii="Arial" w:hAnsi="Arial" w:cs="Arial"/>
                <w:bCs/>
                <w:sz w:val="20"/>
              </w:rPr>
            </w:pPr>
            <w:r w:rsidRPr="00BB68D7">
              <w:rPr>
                <w:rFonts w:ascii="Arial" w:hAnsi="Arial" w:cs="Arial"/>
                <w:sz w:val="20"/>
              </w:rPr>
              <w:t xml:space="preserve">The maturity analysis of lease liabilities </w:t>
            </w:r>
            <w:r w:rsidR="00E60403" w:rsidRPr="00BB68D7">
              <w:rPr>
                <w:rFonts w:ascii="Arial" w:hAnsi="Arial" w:cs="Arial"/>
                <w:sz w:val="20"/>
              </w:rPr>
              <w:t>is</w:t>
            </w:r>
            <w:r w:rsidRPr="00BB68D7">
              <w:rPr>
                <w:rFonts w:ascii="Arial" w:hAnsi="Arial" w:cs="Arial"/>
                <w:sz w:val="20"/>
              </w:rPr>
              <w:t xml:space="preserve"> disclosed in Note 49.</w:t>
            </w:r>
          </w:p>
          <w:p w14:paraId="235BC585" w14:textId="7D11AE20" w:rsidR="003040B3" w:rsidRPr="00CC1153" w:rsidRDefault="001A509C" w:rsidP="007A2360">
            <w:pPr>
              <w:spacing w:before="120"/>
              <w:rPr>
                <w:rFonts w:ascii="Arial" w:hAnsi="Arial" w:cs="Arial"/>
                <w:b/>
                <w:sz w:val="20"/>
              </w:rPr>
            </w:pPr>
            <w:r w:rsidRPr="00D95762">
              <w:rPr>
                <w:rFonts w:ascii="Arial" w:hAnsi="Arial" w:cs="Arial"/>
                <w:bCs/>
                <w:sz w:val="20"/>
              </w:rPr>
              <w:t xml:space="preserve">The effective interest rate for lease liabilities is </w:t>
            </w:r>
            <w:r w:rsidR="00781489">
              <w:rPr>
                <w:rFonts w:ascii="Arial" w:hAnsi="Arial" w:cs="Arial"/>
                <w:bCs/>
                <w:sz w:val="20"/>
              </w:rPr>
              <w:t>9</w:t>
            </w:r>
            <w:r w:rsidR="00D95762" w:rsidRPr="00D95762">
              <w:rPr>
                <w:rFonts w:ascii="Arial" w:hAnsi="Arial" w:cs="Arial"/>
                <w:bCs/>
                <w:sz w:val="20"/>
              </w:rPr>
              <w:t>.</w:t>
            </w:r>
            <w:r w:rsidR="00781489">
              <w:rPr>
                <w:rFonts w:ascii="Arial" w:hAnsi="Arial" w:cs="Arial"/>
                <w:bCs/>
                <w:sz w:val="20"/>
              </w:rPr>
              <w:t>2</w:t>
            </w:r>
            <w:r w:rsidRPr="00D95762">
              <w:rPr>
                <w:rFonts w:ascii="Arial" w:hAnsi="Arial" w:cs="Arial"/>
                <w:bCs/>
                <w:sz w:val="20"/>
              </w:rPr>
              <w:t xml:space="preserve">%, with maturity between </w:t>
            </w:r>
            <w:r w:rsidR="00D95762" w:rsidRPr="00D95762">
              <w:rPr>
                <w:rFonts w:ascii="Arial" w:hAnsi="Arial" w:cs="Arial"/>
                <w:bCs/>
                <w:sz w:val="20"/>
              </w:rPr>
              <w:t>2020</w:t>
            </w:r>
            <w:r w:rsidRPr="00D95762">
              <w:rPr>
                <w:rFonts w:ascii="Arial" w:hAnsi="Arial" w:cs="Arial"/>
                <w:bCs/>
                <w:sz w:val="20"/>
              </w:rPr>
              <w:t>-</w:t>
            </w:r>
            <w:r w:rsidR="00D95762" w:rsidRPr="00D95762">
              <w:rPr>
                <w:rFonts w:ascii="Arial" w:hAnsi="Arial" w:cs="Arial"/>
                <w:bCs/>
                <w:sz w:val="20"/>
              </w:rPr>
              <w:t>2026.</w:t>
            </w:r>
          </w:p>
        </w:tc>
      </w:tr>
      <w:tr w:rsidR="00CC1153" w:rsidRPr="00CC1153" w14:paraId="57AC97A6" w14:textId="77777777" w:rsidTr="00715046">
        <w:trPr>
          <w:trHeight w:val="344"/>
        </w:trPr>
        <w:tc>
          <w:tcPr>
            <w:tcW w:w="9569" w:type="dxa"/>
            <w:shd w:val="clear" w:color="auto" w:fill="auto"/>
            <w:vAlign w:val="center"/>
          </w:tcPr>
          <w:p w14:paraId="50473AEE" w14:textId="3D55673D" w:rsidR="00CC1153" w:rsidRPr="00CC1153" w:rsidRDefault="00CC1153" w:rsidP="007A2360">
            <w:pPr>
              <w:spacing w:before="120"/>
              <w:rPr>
                <w:rFonts w:ascii="Arial" w:hAnsi="Arial" w:cs="Arial"/>
                <w:b/>
                <w:sz w:val="20"/>
              </w:rPr>
            </w:pPr>
            <w:r w:rsidRPr="00CC1153">
              <w:rPr>
                <w:rFonts w:ascii="Arial" w:hAnsi="Arial" w:cs="Arial"/>
                <w:sz w:val="20"/>
              </w:rPr>
              <w:t xml:space="preserve">The following are the amounts recognised in profit </w:t>
            </w:r>
            <w:r w:rsidR="00F2060C">
              <w:rPr>
                <w:rFonts w:ascii="Arial" w:hAnsi="Arial" w:cs="Arial"/>
                <w:sz w:val="20"/>
              </w:rPr>
              <w:t>or</w:t>
            </w:r>
            <w:r w:rsidRPr="00CC1153">
              <w:rPr>
                <w:rFonts w:ascii="Arial" w:hAnsi="Arial" w:cs="Arial"/>
                <w:sz w:val="20"/>
              </w:rPr>
              <w:t xml:space="preserve"> loss:</w:t>
            </w:r>
          </w:p>
        </w:tc>
      </w:tr>
      <w:tr w:rsidR="00CC1153" w:rsidRPr="00CC1153" w14:paraId="40D28054" w14:textId="77777777" w:rsidTr="00715046">
        <w:trPr>
          <w:trHeight w:val="3048"/>
        </w:trPr>
        <w:tc>
          <w:tcPr>
            <w:tcW w:w="9569" w:type="dxa"/>
            <w:shd w:val="clear" w:color="auto" w:fill="auto"/>
            <w:vAlign w:val="center"/>
          </w:tcPr>
          <w:tbl>
            <w:tblPr>
              <w:tblStyle w:val="TableGrid"/>
              <w:tblW w:w="0" w:type="auto"/>
              <w:tblLayout w:type="fixed"/>
              <w:tblLook w:val="04A0" w:firstRow="1" w:lastRow="0" w:firstColumn="1" w:lastColumn="0" w:noHBand="0" w:noVBand="1"/>
            </w:tblPr>
            <w:tblGrid>
              <w:gridCol w:w="6428"/>
              <w:gridCol w:w="1334"/>
              <w:gridCol w:w="1393"/>
            </w:tblGrid>
            <w:tr w:rsidR="00CC1153" w:rsidRPr="00CC1153" w14:paraId="13101A5A" w14:textId="77777777" w:rsidTr="00715046">
              <w:trPr>
                <w:trHeight w:val="689"/>
              </w:trPr>
              <w:tc>
                <w:tcPr>
                  <w:tcW w:w="6428" w:type="dxa"/>
                </w:tcPr>
                <w:p w14:paraId="13429752" w14:textId="77777777" w:rsidR="00CC1153" w:rsidRPr="00CC1153" w:rsidRDefault="00CC1153" w:rsidP="007A2360">
                  <w:pPr>
                    <w:spacing w:before="120"/>
                    <w:rPr>
                      <w:rFonts w:ascii="Arial" w:hAnsi="Arial" w:cs="Arial"/>
                      <w:b/>
                      <w:sz w:val="20"/>
                    </w:rPr>
                  </w:pPr>
                </w:p>
              </w:tc>
              <w:tc>
                <w:tcPr>
                  <w:tcW w:w="1334" w:type="dxa"/>
                </w:tcPr>
                <w:p w14:paraId="7CB3DA5C" w14:textId="56B66A63" w:rsidR="00CC1153" w:rsidRPr="00CC1153" w:rsidRDefault="00CC1153" w:rsidP="007A2360">
                  <w:pPr>
                    <w:spacing w:before="120"/>
                    <w:jc w:val="right"/>
                    <w:rPr>
                      <w:rFonts w:ascii="Arial" w:hAnsi="Arial" w:cs="Arial"/>
                      <w:b/>
                      <w:sz w:val="20"/>
                    </w:rPr>
                  </w:pPr>
                  <w:r w:rsidRPr="00CC1153">
                    <w:rPr>
                      <w:rFonts w:ascii="Arial" w:hAnsi="Arial" w:cs="Arial"/>
                      <w:b/>
                      <w:sz w:val="20"/>
                    </w:rPr>
                    <w:t>202</w:t>
                  </w:r>
                  <w:r w:rsidR="007F738B">
                    <w:rPr>
                      <w:rFonts w:ascii="Arial" w:hAnsi="Arial" w:cs="Arial"/>
                      <w:b/>
                      <w:sz w:val="20"/>
                    </w:rPr>
                    <w:t>1</w:t>
                  </w:r>
                </w:p>
              </w:tc>
              <w:tc>
                <w:tcPr>
                  <w:tcW w:w="1393" w:type="dxa"/>
                </w:tcPr>
                <w:p w14:paraId="4423235A" w14:textId="046716B4" w:rsidR="00CC1153" w:rsidRPr="00CC1153" w:rsidRDefault="00CC1153" w:rsidP="007F738B">
                  <w:pPr>
                    <w:spacing w:before="120"/>
                    <w:jc w:val="right"/>
                    <w:rPr>
                      <w:rFonts w:ascii="Arial" w:hAnsi="Arial" w:cs="Arial"/>
                      <w:b/>
                      <w:sz w:val="20"/>
                    </w:rPr>
                  </w:pPr>
                  <w:r w:rsidRPr="00CC1153">
                    <w:rPr>
                      <w:rFonts w:ascii="Arial" w:hAnsi="Arial" w:cs="Arial"/>
                      <w:b/>
                      <w:sz w:val="20"/>
                    </w:rPr>
                    <w:t>20</w:t>
                  </w:r>
                  <w:r w:rsidR="007F738B">
                    <w:rPr>
                      <w:rFonts w:ascii="Arial" w:hAnsi="Arial" w:cs="Arial"/>
                      <w:b/>
                      <w:sz w:val="20"/>
                    </w:rPr>
                    <w:t>20</w:t>
                  </w:r>
                </w:p>
              </w:tc>
            </w:tr>
            <w:tr w:rsidR="00CC1153" w:rsidRPr="00CC1153" w14:paraId="60F156A4" w14:textId="77777777" w:rsidTr="00715046">
              <w:trPr>
                <w:trHeight w:val="335"/>
              </w:trPr>
              <w:tc>
                <w:tcPr>
                  <w:tcW w:w="6428" w:type="dxa"/>
                </w:tcPr>
                <w:p w14:paraId="6BCF9C53" w14:textId="77777777" w:rsidR="00CC1153" w:rsidRPr="00CC1153" w:rsidRDefault="00CC1153" w:rsidP="007A2360">
                  <w:pPr>
                    <w:spacing w:before="120"/>
                    <w:rPr>
                      <w:rFonts w:ascii="Arial" w:hAnsi="Arial" w:cs="Arial"/>
                      <w:b/>
                      <w:sz w:val="20"/>
                    </w:rPr>
                  </w:pPr>
                  <w:r w:rsidRPr="00CC1153">
                    <w:rPr>
                      <w:rFonts w:ascii="Arial" w:hAnsi="Arial" w:cs="Arial"/>
                      <w:sz w:val="20"/>
                    </w:rPr>
                    <w:t>Depreciation expense of right-of-use assets</w:t>
                  </w:r>
                </w:p>
              </w:tc>
              <w:tc>
                <w:tcPr>
                  <w:tcW w:w="1334" w:type="dxa"/>
                </w:tcPr>
                <w:p w14:paraId="16AD0DBF" w14:textId="77777777" w:rsidR="00CC1153" w:rsidRPr="00CC1153" w:rsidRDefault="00CC1153" w:rsidP="007A2360">
                  <w:pPr>
                    <w:spacing w:before="120"/>
                    <w:jc w:val="right"/>
                    <w:rPr>
                      <w:rFonts w:ascii="Arial" w:hAnsi="Arial" w:cs="Arial"/>
                      <w:sz w:val="20"/>
                      <w:lang w:val="en-GB"/>
                    </w:rPr>
                  </w:pPr>
                  <w:r w:rsidRPr="00CC1153">
                    <w:rPr>
                      <w:rFonts w:ascii="Arial" w:hAnsi="Arial" w:cs="Arial"/>
                      <w:sz w:val="20"/>
                      <w:lang w:val="en-GB"/>
                    </w:rPr>
                    <w:t>781</w:t>
                  </w:r>
                </w:p>
              </w:tc>
              <w:tc>
                <w:tcPr>
                  <w:tcW w:w="1393" w:type="dxa"/>
                </w:tcPr>
                <w:p w14:paraId="07F519F4" w14:textId="77777777" w:rsidR="00CC1153" w:rsidRPr="00CC1153" w:rsidRDefault="00CC1153" w:rsidP="007A2360">
                  <w:pPr>
                    <w:spacing w:before="120"/>
                    <w:jc w:val="right"/>
                    <w:rPr>
                      <w:rFonts w:ascii="Arial" w:hAnsi="Arial" w:cs="Arial"/>
                      <w:sz w:val="20"/>
                      <w:lang w:val="en-GB"/>
                    </w:rPr>
                  </w:pPr>
                  <w:r w:rsidRPr="00CC1153">
                    <w:rPr>
                      <w:rFonts w:ascii="Arial" w:hAnsi="Arial" w:cs="Arial"/>
                      <w:sz w:val="20"/>
                      <w:lang w:val="en-GB"/>
                    </w:rPr>
                    <w:t>740</w:t>
                  </w:r>
                </w:p>
              </w:tc>
            </w:tr>
            <w:tr w:rsidR="00CC1153" w:rsidRPr="00CC1153" w14:paraId="083D5F18" w14:textId="77777777" w:rsidTr="00715046">
              <w:trPr>
                <w:trHeight w:val="344"/>
              </w:trPr>
              <w:tc>
                <w:tcPr>
                  <w:tcW w:w="6428" w:type="dxa"/>
                </w:tcPr>
                <w:p w14:paraId="2595C9D7" w14:textId="77777777" w:rsidR="00CC1153" w:rsidRPr="00CC1153" w:rsidRDefault="00CC1153" w:rsidP="007A2360">
                  <w:pPr>
                    <w:spacing w:before="120"/>
                    <w:rPr>
                      <w:rFonts w:ascii="Arial" w:hAnsi="Arial" w:cs="Arial"/>
                      <w:b/>
                      <w:sz w:val="20"/>
                    </w:rPr>
                  </w:pPr>
                  <w:r w:rsidRPr="00CC1153">
                    <w:rPr>
                      <w:rFonts w:ascii="Arial" w:hAnsi="Arial" w:cs="Arial"/>
                      <w:sz w:val="20"/>
                    </w:rPr>
                    <w:t>Interest expense on lease liabilities</w:t>
                  </w:r>
                </w:p>
              </w:tc>
              <w:tc>
                <w:tcPr>
                  <w:tcW w:w="1334" w:type="dxa"/>
                </w:tcPr>
                <w:p w14:paraId="7E6D0508" w14:textId="77777777" w:rsidR="00CC1153" w:rsidRPr="00CC1153" w:rsidRDefault="00CC1153" w:rsidP="007A2360">
                  <w:pPr>
                    <w:spacing w:before="120"/>
                    <w:jc w:val="right"/>
                    <w:rPr>
                      <w:rFonts w:ascii="Arial" w:hAnsi="Arial" w:cs="Arial"/>
                      <w:sz w:val="20"/>
                      <w:lang w:val="en-GB"/>
                    </w:rPr>
                  </w:pPr>
                  <w:r w:rsidRPr="00CC1153">
                    <w:rPr>
                      <w:rFonts w:ascii="Arial" w:hAnsi="Arial" w:cs="Arial"/>
                      <w:sz w:val="20"/>
                      <w:lang w:val="en-GB"/>
                    </w:rPr>
                    <w:t>320</w:t>
                  </w:r>
                </w:p>
              </w:tc>
              <w:tc>
                <w:tcPr>
                  <w:tcW w:w="1393" w:type="dxa"/>
                </w:tcPr>
                <w:p w14:paraId="3767127F" w14:textId="77777777" w:rsidR="00CC1153" w:rsidRPr="00CC1153" w:rsidRDefault="00CC1153" w:rsidP="007A2360">
                  <w:pPr>
                    <w:spacing w:before="120"/>
                    <w:jc w:val="right"/>
                    <w:rPr>
                      <w:rFonts w:ascii="Arial" w:hAnsi="Arial" w:cs="Arial"/>
                      <w:sz w:val="20"/>
                      <w:lang w:val="en-GB"/>
                    </w:rPr>
                  </w:pPr>
                  <w:r w:rsidRPr="00CC1153">
                    <w:rPr>
                      <w:rFonts w:ascii="Arial" w:hAnsi="Arial" w:cs="Arial"/>
                      <w:sz w:val="20"/>
                      <w:lang w:val="en-GB"/>
                    </w:rPr>
                    <w:t>333</w:t>
                  </w:r>
                </w:p>
              </w:tc>
            </w:tr>
            <w:tr w:rsidR="00CC1153" w:rsidRPr="00CC1153" w14:paraId="091A5856" w14:textId="77777777" w:rsidTr="00715046">
              <w:trPr>
                <w:trHeight w:val="344"/>
              </w:trPr>
              <w:tc>
                <w:tcPr>
                  <w:tcW w:w="6428" w:type="dxa"/>
                </w:tcPr>
                <w:p w14:paraId="3575BDBD" w14:textId="77777777" w:rsidR="00CC1153" w:rsidRPr="00CC1153" w:rsidRDefault="00CC1153" w:rsidP="007A2360">
                  <w:pPr>
                    <w:spacing w:before="120"/>
                    <w:rPr>
                      <w:rFonts w:ascii="Arial" w:hAnsi="Arial" w:cs="Arial"/>
                      <w:sz w:val="20"/>
                    </w:rPr>
                  </w:pPr>
                  <w:r w:rsidRPr="00CC1153">
                    <w:rPr>
                      <w:rFonts w:ascii="Arial" w:hAnsi="Arial" w:cs="Arial"/>
                      <w:sz w:val="20"/>
                    </w:rPr>
                    <w:t>Expense relating to short-term leases (included in other expenses)</w:t>
                  </w:r>
                </w:p>
              </w:tc>
              <w:tc>
                <w:tcPr>
                  <w:tcW w:w="1334" w:type="dxa"/>
                </w:tcPr>
                <w:p w14:paraId="00FCC0F9" w14:textId="77777777" w:rsidR="00CC1153" w:rsidRPr="00CC1153" w:rsidRDefault="00CC1153" w:rsidP="007A2360">
                  <w:pPr>
                    <w:spacing w:before="120"/>
                    <w:jc w:val="right"/>
                    <w:rPr>
                      <w:rFonts w:ascii="Arial" w:hAnsi="Arial" w:cs="Arial"/>
                      <w:sz w:val="20"/>
                      <w:lang w:val="en-GB"/>
                    </w:rPr>
                  </w:pPr>
                  <w:r w:rsidRPr="00CC1153">
                    <w:rPr>
                      <w:rFonts w:ascii="Arial" w:hAnsi="Arial" w:cs="Arial"/>
                      <w:sz w:val="20"/>
                      <w:lang w:val="en-GB"/>
                    </w:rPr>
                    <w:t>40</w:t>
                  </w:r>
                </w:p>
              </w:tc>
              <w:tc>
                <w:tcPr>
                  <w:tcW w:w="1393" w:type="dxa"/>
                </w:tcPr>
                <w:p w14:paraId="7B83C49B" w14:textId="77777777" w:rsidR="00CC1153" w:rsidRPr="00CC1153" w:rsidRDefault="00CC1153" w:rsidP="007A2360">
                  <w:pPr>
                    <w:spacing w:before="120"/>
                    <w:jc w:val="right"/>
                    <w:rPr>
                      <w:rFonts w:ascii="Arial" w:hAnsi="Arial" w:cs="Arial"/>
                      <w:sz w:val="20"/>
                      <w:lang w:val="en-GB"/>
                    </w:rPr>
                  </w:pPr>
                  <w:r w:rsidRPr="00CC1153">
                    <w:rPr>
                      <w:rFonts w:ascii="Arial" w:hAnsi="Arial" w:cs="Arial"/>
                      <w:sz w:val="20"/>
                      <w:lang w:val="en-GB"/>
                    </w:rPr>
                    <w:t>38</w:t>
                  </w:r>
                </w:p>
              </w:tc>
            </w:tr>
            <w:tr w:rsidR="00CC1153" w:rsidRPr="00CC1153" w14:paraId="607AC6DB" w14:textId="77777777" w:rsidTr="00715046">
              <w:trPr>
                <w:trHeight w:val="568"/>
              </w:trPr>
              <w:tc>
                <w:tcPr>
                  <w:tcW w:w="6428" w:type="dxa"/>
                </w:tcPr>
                <w:p w14:paraId="52BB9B28" w14:textId="77777777" w:rsidR="00CC1153" w:rsidRPr="00CC1153" w:rsidRDefault="00CC1153" w:rsidP="007A2360">
                  <w:pPr>
                    <w:spacing w:before="120"/>
                    <w:rPr>
                      <w:rFonts w:ascii="Arial" w:hAnsi="Arial" w:cs="Arial"/>
                      <w:sz w:val="20"/>
                    </w:rPr>
                  </w:pPr>
                  <w:r w:rsidRPr="00CC1153">
                    <w:rPr>
                      <w:rFonts w:ascii="Arial" w:hAnsi="Arial" w:cs="Arial"/>
                      <w:sz w:val="20"/>
                    </w:rPr>
                    <w:t>Expense relating to leases of low-value assets (included in other expenses)</w:t>
                  </w:r>
                </w:p>
              </w:tc>
              <w:tc>
                <w:tcPr>
                  <w:tcW w:w="1334" w:type="dxa"/>
                </w:tcPr>
                <w:p w14:paraId="023C250D" w14:textId="77777777" w:rsidR="00CC1153" w:rsidRPr="00CC1153" w:rsidRDefault="00CC1153" w:rsidP="007A2360">
                  <w:pPr>
                    <w:spacing w:before="120"/>
                    <w:jc w:val="right"/>
                    <w:rPr>
                      <w:rFonts w:ascii="Arial" w:hAnsi="Arial" w:cs="Arial"/>
                      <w:sz w:val="20"/>
                      <w:lang w:val="en-GB"/>
                    </w:rPr>
                  </w:pPr>
                  <w:r w:rsidRPr="00CC1153">
                    <w:rPr>
                      <w:rFonts w:ascii="Arial" w:hAnsi="Arial" w:cs="Arial"/>
                      <w:sz w:val="20"/>
                      <w:lang w:val="en-GB"/>
                    </w:rPr>
                    <w:t>32</w:t>
                  </w:r>
                </w:p>
              </w:tc>
              <w:tc>
                <w:tcPr>
                  <w:tcW w:w="1393" w:type="dxa"/>
                </w:tcPr>
                <w:p w14:paraId="58661D31" w14:textId="77777777" w:rsidR="00CC1153" w:rsidRPr="00CC1153" w:rsidRDefault="00CC1153" w:rsidP="007A2360">
                  <w:pPr>
                    <w:spacing w:before="120"/>
                    <w:jc w:val="right"/>
                    <w:rPr>
                      <w:rFonts w:ascii="Arial" w:hAnsi="Arial" w:cs="Arial"/>
                      <w:sz w:val="20"/>
                      <w:lang w:val="en-GB"/>
                    </w:rPr>
                  </w:pPr>
                  <w:r w:rsidRPr="00CC1153">
                    <w:rPr>
                      <w:rFonts w:ascii="Arial" w:hAnsi="Arial" w:cs="Arial"/>
                      <w:sz w:val="20"/>
                      <w:lang w:val="en-GB"/>
                    </w:rPr>
                    <w:t>31</w:t>
                  </w:r>
                </w:p>
              </w:tc>
            </w:tr>
            <w:tr w:rsidR="00CC1153" w:rsidRPr="00CC1153" w14:paraId="790BF9FB" w14:textId="77777777" w:rsidTr="00715046">
              <w:trPr>
                <w:trHeight w:val="335"/>
              </w:trPr>
              <w:tc>
                <w:tcPr>
                  <w:tcW w:w="6428" w:type="dxa"/>
                </w:tcPr>
                <w:p w14:paraId="612B992C" w14:textId="77777777" w:rsidR="00CC1153" w:rsidRPr="00CC1153" w:rsidRDefault="00CC1153" w:rsidP="007A2360">
                  <w:pPr>
                    <w:spacing w:before="120"/>
                    <w:rPr>
                      <w:rFonts w:ascii="Arial" w:hAnsi="Arial" w:cs="Arial"/>
                      <w:sz w:val="20"/>
                    </w:rPr>
                  </w:pPr>
                  <w:r w:rsidRPr="00CC1153">
                    <w:rPr>
                      <w:rFonts w:ascii="Arial" w:hAnsi="Arial" w:cs="Arial"/>
                      <w:sz w:val="20"/>
                    </w:rPr>
                    <w:t>Variable lease payments (included in other expenses)</w:t>
                  </w:r>
                </w:p>
              </w:tc>
              <w:tc>
                <w:tcPr>
                  <w:tcW w:w="1334" w:type="dxa"/>
                </w:tcPr>
                <w:p w14:paraId="60A0101D" w14:textId="77777777" w:rsidR="00CC1153" w:rsidRPr="00CC1153" w:rsidRDefault="00CC1153" w:rsidP="007A2360">
                  <w:pPr>
                    <w:spacing w:before="120"/>
                    <w:jc w:val="right"/>
                    <w:rPr>
                      <w:rFonts w:ascii="Arial" w:hAnsi="Arial" w:cs="Arial"/>
                      <w:sz w:val="20"/>
                      <w:lang w:val="en-GB"/>
                    </w:rPr>
                  </w:pPr>
                  <w:r w:rsidRPr="00CC1153">
                    <w:rPr>
                      <w:rFonts w:ascii="Arial" w:hAnsi="Arial" w:cs="Arial"/>
                      <w:sz w:val="20"/>
                      <w:lang w:val="en-GB"/>
                    </w:rPr>
                    <w:t>58</w:t>
                  </w:r>
                </w:p>
              </w:tc>
              <w:tc>
                <w:tcPr>
                  <w:tcW w:w="1393" w:type="dxa"/>
                </w:tcPr>
                <w:p w14:paraId="77970E49" w14:textId="77777777" w:rsidR="00CC1153" w:rsidRPr="00CC1153" w:rsidRDefault="00CC1153" w:rsidP="007A2360">
                  <w:pPr>
                    <w:spacing w:before="120"/>
                    <w:jc w:val="right"/>
                    <w:rPr>
                      <w:rFonts w:ascii="Arial" w:hAnsi="Arial" w:cs="Arial"/>
                      <w:sz w:val="20"/>
                      <w:lang w:val="en-GB"/>
                    </w:rPr>
                  </w:pPr>
                  <w:r w:rsidRPr="00CC1153">
                    <w:rPr>
                      <w:rFonts w:ascii="Arial" w:hAnsi="Arial" w:cs="Arial"/>
                      <w:sz w:val="20"/>
                      <w:lang w:val="en-GB"/>
                    </w:rPr>
                    <w:t>50</w:t>
                  </w:r>
                </w:p>
              </w:tc>
            </w:tr>
            <w:tr w:rsidR="00CC1153" w:rsidRPr="00CC1153" w14:paraId="603DF018" w14:textId="77777777" w:rsidTr="00715046">
              <w:trPr>
                <w:trHeight w:val="344"/>
              </w:trPr>
              <w:tc>
                <w:tcPr>
                  <w:tcW w:w="6428" w:type="dxa"/>
                </w:tcPr>
                <w:p w14:paraId="5B820EF0" w14:textId="5DEEC033" w:rsidR="00CC1153" w:rsidRPr="00CC1153" w:rsidRDefault="00CC1153" w:rsidP="007A2360">
                  <w:pPr>
                    <w:spacing w:before="120"/>
                    <w:rPr>
                      <w:rFonts w:ascii="Arial" w:hAnsi="Arial" w:cs="Arial"/>
                      <w:b/>
                      <w:sz w:val="20"/>
                    </w:rPr>
                  </w:pPr>
                  <w:r w:rsidRPr="00CC1153">
                    <w:rPr>
                      <w:rFonts w:ascii="Arial" w:hAnsi="Arial" w:cs="Arial"/>
                      <w:b/>
                      <w:sz w:val="20"/>
                      <w:lang w:val="en-GB"/>
                    </w:rPr>
                    <w:t xml:space="preserve">Total amount recognised in profit </w:t>
                  </w:r>
                  <w:r w:rsidR="00F2060C">
                    <w:rPr>
                      <w:rFonts w:ascii="Arial" w:hAnsi="Arial" w:cs="Arial"/>
                      <w:b/>
                      <w:sz w:val="20"/>
                      <w:lang w:val="en-GB"/>
                    </w:rPr>
                    <w:t>or</w:t>
                  </w:r>
                  <w:r w:rsidRPr="00CC1153">
                    <w:rPr>
                      <w:rFonts w:ascii="Arial" w:hAnsi="Arial" w:cs="Arial"/>
                      <w:b/>
                      <w:sz w:val="20"/>
                      <w:lang w:val="en-GB"/>
                    </w:rPr>
                    <w:t xml:space="preserve"> loss</w:t>
                  </w:r>
                </w:p>
              </w:tc>
              <w:tc>
                <w:tcPr>
                  <w:tcW w:w="1334" w:type="dxa"/>
                </w:tcPr>
                <w:p w14:paraId="2783F7AA" w14:textId="77777777" w:rsidR="00CC1153" w:rsidRPr="00CC1153" w:rsidRDefault="00CC1153" w:rsidP="007A2360">
                  <w:pPr>
                    <w:spacing w:before="120"/>
                    <w:jc w:val="right"/>
                    <w:rPr>
                      <w:rFonts w:ascii="Arial" w:hAnsi="Arial" w:cs="Arial"/>
                      <w:b/>
                      <w:sz w:val="20"/>
                      <w:lang w:val="en-GB"/>
                    </w:rPr>
                  </w:pPr>
                  <w:r w:rsidRPr="00CC1153">
                    <w:rPr>
                      <w:rFonts w:ascii="Arial" w:hAnsi="Arial" w:cs="Arial"/>
                      <w:b/>
                      <w:sz w:val="20"/>
                      <w:lang w:val="en-GB"/>
                    </w:rPr>
                    <w:t>1,231</w:t>
                  </w:r>
                </w:p>
              </w:tc>
              <w:tc>
                <w:tcPr>
                  <w:tcW w:w="1393" w:type="dxa"/>
                </w:tcPr>
                <w:p w14:paraId="0CC0EC82" w14:textId="77777777" w:rsidR="00CC1153" w:rsidRPr="00CC1153" w:rsidRDefault="00CC1153" w:rsidP="007A2360">
                  <w:pPr>
                    <w:spacing w:before="120"/>
                    <w:jc w:val="right"/>
                    <w:rPr>
                      <w:rFonts w:ascii="Arial" w:hAnsi="Arial" w:cs="Arial"/>
                      <w:b/>
                      <w:sz w:val="20"/>
                      <w:lang w:val="en-GB"/>
                    </w:rPr>
                  </w:pPr>
                  <w:r w:rsidRPr="00CC1153">
                    <w:rPr>
                      <w:rFonts w:ascii="Arial" w:hAnsi="Arial" w:cs="Arial"/>
                      <w:b/>
                      <w:sz w:val="20"/>
                      <w:lang w:val="en-GB"/>
                    </w:rPr>
                    <w:t>1,192</w:t>
                  </w:r>
                </w:p>
              </w:tc>
            </w:tr>
          </w:tbl>
          <w:p w14:paraId="4330C3C0" w14:textId="77777777" w:rsidR="00CC1153" w:rsidRPr="00CC1153" w:rsidRDefault="00CC1153" w:rsidP="007A2360">
            <w:pPr>
              <w:spacing w:before="120"/>
              <w:rPr>
                <w:rFonts w:ascii="Arial" w:hAnsi="Arial" w:cs="Arial"/>
                <w:b/>
                <w:sz w:val="20"/>
              </w:rPr>
            </w:pPr>
          </w:p>
        </w:tc>
      </w:tr>
      <w:tr w:rsidR="00CC1153" w:rsidRPr="00CC1153" w14:paraId="0A0BEA39" w14:textId="77777777" w:rsidTr="00715046">
        <w:trPr>
          <w:trHeight w:val="1007"/>
        </w:trPr>
        <w:tc>
          <w:tcPr>
            <w:tcW w:w="9569" w:type="dxa"/>
            <w:shd w:val="clear" w:color="auto" w:fill="auto"/>
            <w:vAlign w:val="center"/>
          </w:tcPr>
          <w:p w14:paraId="1AFD9858" w14:textId="77777777" w:rsidR="00503437" w:rsidRDefault="00503437" w:rsidP="00715046">
            <w:pPr>
              <w:spacing w:before="120" w:line="240" w:lineRule="auto"/>
              <w:rPr>
                <w:rFonts w:ascii="Arial" w:hAnsi="Arial" w:cs="Arial"/>
                <w:sz w:val="20"/>
              </w:rPr>
            </w:pPr>
          </w:p>
          <w:p w14:paraId="6691FFB7" w14:textId="40AF4918" w:rsidR="00CC1153" w:rsidRPr="00CC1153" w:rsidRDefault="00CC1153" w:rsidP="00715046">
            <w:pPr>
              <w:spacing w:before="120" w:line="240" w:lineRule="auto"/>
              <w:rPr>
                <w:rFonts w:ascii="Arial" w:hAnsi="Arial" w:cs="Arial"/>
                <w:b/>
                <w:sz w:val="20"/>
              </w:rPr>
            </w:pPr>
            <w:r w:rsidRPr="00CC1153">
              <w:rPr>
                <w:rFonts w:ascii="Arial" w:hAnsi="Arial" w:cs="Arial"/>
                <w:sz w:val="20"/>
              </w:rPr>
              <w:t xml:space="preserve">The Group had total cash outflows for leases of INR </w:t>
            </w:r>
            <w:r w:rsidRPr="00420887">
              <w:rPr>
                <w:rFonts w:ascii="Arial" w:hAnsi="Arial" w:cs="Arial"/>
                <w:sz w:val="20"/>
              </w:rPr>
              <w:t>1,</w:t>
            </w:r>
            <w:r w:rsidR="0095179C" w:rsidRPr="00420887">
              <w:rPr>
                <w:rFonts w:ascii="Arial" w:hAnsi="Arial" w:cs="Arial"/>
                <w:sz w:val="20"/>
              </w:rPr>
              <w:t>175</w:t>
            </w:r>
            <w:r w:rsidRPr="00420887">
              <w:rPr>
                <w:rFonts w:ascii="Arial" w:hAnsi="Arial" w:cs="Arial"/>
                <w:sz w:val="20"/>
              </w:rPr>
              <w:t xml:space="preserve"> in 31 March 202</w:t>
            </w:r>
            <w:r w:rsidR="007F738B" w:rsidRPr="00420887">
              <w:rPr>
                <w:rFonts w:ascii="Arial" w:hAnsi="Arial" w:cs="Arial"/>
                <w:sz w:val="20"/>
              </w:rPr>
              <w:t>1</w:t>
            </w:r>
            <w:r w:rsidRPr="00420887">
              <w:rPr>
                <w:rFonts w:ascii="Arial" w:hAnsi="Arial" w:cs="Arial"/>
                <w:sz w:val="20"/>
              </w:rPr>
              <w:t xml:space="preserve"> (INR 1,</w:t>
            </w:r>
            <w:r w:rsidR="0095179C" w:rsidRPr="00420887">
              <w:rPr>
                <w:rFonts w:ascii="Arial" w:hAnsi="Arial" w:cs="Arial"/>
                <w:sz w:val="20"/>
              </w:rPr>
              <w:t>069</w:t>
            </w:r>
            <w:r w:rsidRPr="00420887">
              <w:rPr>
                <w:rFonts w:ascii="Arial" w:hAnsi="Arial" w:cs="Arial"/>
                <w:sz w:val="20"/>
              </w:rPr>
              <w:t xml:space="preserve"> in 31 March 20</w:t>
            </w:r>
            <w:r w:rsidR="007F738B" w:rsidRPr="00420887">
              <w:rPr>
                <w:rFonts w:ascii="Arial" w:hAnsi="Arial" w:cs="Arial"/>
                <w:sz w:val="20"/>
              </w:rPr>
              <w:t>20</w:t>
            </w:r>
            <w:r w:rsidRPr="00420887">
              <w:rPr>
                <w:rFonts w:ascii="Arial" w:hAnsi="Arial" w:cs="Arial"/>
                <w:sz w:val="20"/>
              </w:rPr>
              <w:t>). The Group also had non-cash additions to rig</w:t>
            </w:r>
            <w:r w:rsidRPr="00CC1153">
              <w:rPr>
                <w:rFonts w:ascii="Arial" w:hAnsi="Arial" w:cs="Arial"/>
                <w:sz w:val="20"/>
              </w:rPr>
              <w:t>ht-of-use assets and lease liabilities of INR 1,067 in 31 March 202</w:t>
            </w:r>
            <w:r w:rsidR="00EA26FB">
              <w:rPr>
                <w:rFonts w:ascii="Arial" w:hAnsi="Arial" w:cs="Arial"/>
                <w:sz w:val="20"/>
              </w:rPr>
              <w:t>1</w:t>
            </w:r>
            <w:r w:rsidRPr="00CC1153">
              <w:rPr>
                <w:rFonts w:ascii="Arial" w:hAnsi="Arial" w:cs="Arial"/>
                <w:sz w:val="20"/>
              </w:rPr>
              <w:t xml:space="preserve"> (INR 405 in 31 March 20</w:t>
            </w:r>
            <w:r w:rsidR="00EA26FB">
              <w:rPr>
                <w:rFonts w:ascii="Arial" w:hAnsi="Arial" w:cs="Arial"/>
                <w:sz w:val="20"/>
              </w:rPr>
              <w:t>20</w:t>
            </w:r>
            <w:r w:rsidRPr="00CC1153">
              <w:rPr>
                <w:rFonts w:ascii="Arial" w:hAnsi="Arial" w:cs="Arial"/>
                <w:sz w:val="20"/>
              </w:rPr>
              <w:t>). The future cash outflows relating to leases that have not yet commenced are disclosed in Note 43.</w:t>
            </w:r>
          </w:p>
        </w:tc>
      </w:tr>
    </w:tbl>
    <w:p w14:paraId="7B0653A6" w14:textId="3CC40F4D" w:rsidR="007220A6" w:rsidRDefault="007220A6" w:rsidP="00CE6971">
      <w:pPr>
        <w:spacing w:line="280" w:lineRule="exact"/>
        <w:rPr>
          <w:rFonts w:ascii="Arial" w:hAnsi="Arial" w:cs="Arial"/>
          <w:sz w:val="20"/>
        </w:rPr>
      </w:pPr>
    </w:p>
    <w:p w14:paraId="6CF35F65" w14:textId="1CEE8209" w:rsidR="00DF0033" w:rsidRDefault="00DF0033" w:rsidP="00DF0033">
      <w:pPr>
        <w:shd w:val="clear" w:color="auto" w:fill="C1C1C1" w:themeFill="background1" w:themeFillTint="66"/>
        <w:spacing w:line="280" w:lineRule="exact"/>
        <w:rPr>
          <w:rFonts w:ascii="Arial" w:hAnsi="Arial" w:cs="Arial"/>
          <w:sz w:val="20"/>
        </w:rPr>
      </w:pPr>
    </w:p>
    <w:p w14:paraId="541E12F5" w14:textId="77777777" w:rsidR="00DF0033" w:rsidRPr="00E70587" w:rsidRDefault="00DF0033" w:rsidP="00DF0033">
      <w:pPr>
        <w:pStyle w:val="Notesbodytext"/>
        <w:shd w:val="clear" w:color="auto" w:fill="C1C1C1" w:themeFill="background1" w:themeFillTint="66"/>
        <w:spacing w:after="0" w:line="280" w:lineRule="exact"/>
        <w:jc w:val="both"/>
        <w:rPr>
          <w:rFonts w:ascii="Arial" w:hAnsi="Arial"/>
          <w:b/>
          <w:sz w:val="20"/>
        </w:rPr>
      </w:pPr>
      <w:r w:rsidRPr="00E70587">
        <w:rPr>
          <w:rFonts w:ascii="Arial" w:hAnsi="Arial"/>
          <w:b/>
          <w:sz w:val="20"/>
        </w:rPr>
        <w:t>Authors’ note</w:t>
      </w:r>
    </w:p>
    <w:p w14:paraId="04FF604D" w14:textId="77777777" w:rsidR="00DF0033" w:rsidRDefault="00DF0033" w:rsidP="00503437">
      <w:pPr>
        <w:shd w:val="clear" w:color="auto" w:fill="C1C1C1" w:themeFill="background1" w:themeFillTint="66"/>
        <w:spacing w:line="280" w:lineRule="exact"/>
        <w:rPr>
          <w:rFonts w:ascii="Arial" w:hAnsi="Arial" w:cs="Arial"/>
          <w:sz w:val="20"/>
        </w:rPr>
      </w:pPr>
    </w:p>
    <w:p w14:paraId="0C8E3D25" w14:textId="4E7155BF" w:rsidR="00503437" w:rsidRPr="00503437" w:rsidRDefault="00503437" w:rsidP="00503437">
      <w:pPr>
        <w:shd w:val="clear" w:color="auto" w:fill="C1C1C1" w:themeFill="background1" w:themeFillTint="66"/>
        <w:spacing w:line="280" w:lineRule="exact"/>
        <w:rPr>
          <w:rFonts w:ascii="Arial" w:hAnsi="Arial" w:cs="Arial"/>
          <w:sz w:val="20"/>
        </w:rPr>
      </w:pPr>
      <w:r w:rsidRPr="00503437">
        <w:rPr>
          <w:rFonts w:ascii="Arial" w:hAnsi="Arial" w:cs="Arial"/>
          <w:sz w:val="20"/>
        </w:rPr>
        <w:t>Ind AS 116.53 requires disclosure of the following information, which users of the financial statements have identified as being most useful to their analysis:</w:t>
      </w:r>
    </w:p>
    <w:p w14:paraId="47CC7627" w14:textId="77777777" w:rsidR="00503437" w:rsidRPr="00503437" w:rsidRDefault="00503437" w:rsidP="00503437">
      <w:pPr>
        <w:shd w:val="clear" w:color="auto" w:fill="C1C1C1" w:themeFill="background1" w:themeFillTint="66"/>
        <w:spacing w:line="280" w:lineRule="exact"/>
        <w:rPr>
          <w:rFonts w:ascii="Arial" w:hAnsi="Arial" w:cs="Arial"/>
          <w:sz w:val="20"/>
        </w:rPr>
      </w:pPr>
      <w:r w:rsidRPr="00503437">
        <w:rPr>
          <w:rFonts w:ascii="Arial" w:hAnsi="Arial" w:cs="Arial"/>
          <w:sz w:val="20"/>
        </w:rPr>
        <w:t>►</w:t>
      </w:r>
      <w:r w:rsidRPr="00503437">
        <w:rPr>
          <w:rFonts w:ascii="Arial" w:hAnsi="Arial" w:cs="Arial"/>
          <w:sz w:val="20"/>
        </w:rPr>
        <w:tab/>
        <w:t>Depreciation charge for right-of-use assets, split by class of underlying asset</w:t>
      </w:r>
    </w:p>
    <w:p w14:paraId="09DD9B7A" w14:textId="77777777" w:rsidR="00503437" w:rsidRPr="00503437" w:rsidRDefault="00503437" w:rsidP="00503437">
      <w:pPr>
        <w:shd w:val="clear" w:color="auto" w:fill="C1C1C1" w:themeFill="background1" w:themeFillTint="66"/>
        <w:spacing w:line="280" w:lineRule="exact"/>
        <w:rPr>
          <w:rFonts w:ascii="Arial" w:hAnsi="Arial" w:cs="Arial"/>
          <w:sz w:val="20"/>
        </w:rPr>
      </w:pPr>
      <w:r w:rsidRPr="00503437">
        <w:rPr>
          <w:rFonts w:ascii="Arial" w:hAnsi="Arial" w:cs="Arial"/>
          <w:sz w:val="20"/>
        </w:rPr>
        <w:t>►</w:t>
      </w:r>
      <w:r w:rsidRPr="00503437">
        <w:rPr>
          <w:rFonts w:ascii="Arial" w:hAnsi="Arial" w:cs="Arial"/>
          <w:sz w:val="20"/>
        </w:rPr>
        <w:tab/>
        <w:t>Interest expense on lease liabilities</w:t>
      </w:r>
    </w:p>
    <w:p w14:paraId="15A23A9D" w14:textId="77777777" w:rsidR="00503437" w:rsidRPr="00503437" w:rsidRDefault="00503437" w:rsidP="00503437">
      <w:pPr>
        <w:shd w:val="clear" w:color="auto" w:fill="C1C1C1" w:themeFill="background1" w:themeFillTint="66"/>
        <w:spacing w:line="280" w:lineRule="exact"/>
        <w:rPr>
          <w:rFonts w:ascii="Arial" w:hAnsi="Arial" w:cs="Arial"/>
          <w:sz w:val="20"/>
        </w:rPr>
      </w:pPr>
      <w:r w:rsidRPr="00503437">
        <w:rPr>
          <w:rFonts w:ascii="Arial" w:hAnsi="Arial" w:cs="Arial"/>
          <w:sz w:val="20"/>
        </w:rPr>
        <w:t>►</w:t>
      </w:r>
      <w:r w:rsidRPr="00503437">
        <w:rPr>
          <w:rFonts w:ascii="Arial" w:hAnsi="Arial" w:cs="Arial"/>
          <w:sz w:val="20"/>
        </w:rPr>
        <w:tab/>
        <w:t>Short-term lease expense for such leases with a lease term greater than one month</w:t>
      </w:r>
    </w:p>
    <w:p w14:paraId="0BAF61B8" w14:textId="77777777" w:rsidR="00503437" w:rsidRPr="00503437" w:rsidRDefault="00503437" w:rsidP="00503437">
      <w:pPr>
        <w:shd w:val="clear" w:color="auto" w:fill="C1C1C1" w:themeFill="background1" w:themeFillTint="66"/>
        <w:spacing w:line="280" w:lineRule="exact"/>
        <w:rPr>
          <w:rFonts w:ascii="Arial" w:hAnsi="Arial" w:cs="Arial"/>
          <w:sz w:val="20"/>
        </w:rPr>
      </w:pPr>
      <w:r w:rsidRPr="00503437">
        <w:rPr>
          <w:rFonts w:ascii="Arial" w:hAnsi="Arial" w:cs="Arial"/>
          <w:sz w:val="20"/>
        </w:rPr>
        <w:t>►</w:t>
      </w:r>
      <w:r w:rsidRPr="00503437">
        <w:rPr>
          <w:rFonts w:ascii="Arial" w:hAnsi="Arial" w:cs="Arial"/>
          <w:sz w:val="20"/>
        </w:rPr>
        <w:tab/>
        <w:t>Low-value asset lease expense (except for portions related to short-term leases)</w:t>
      </w:r>
    </w:p>
    <w:p w14:paraId="62448AA9" w14:textId="77777777" w:rsidR="00503437" w:rsidRPr="00503437" w:rsidRDefault="00503437" w:rsidP="00503437">
      <w:pPr>
        <w:shd w:val="clear" w:color="auto" w:fill="C1C1C1" w:themeFill="background1" w:themeFillTint="66"/>
        <w:spacing w:line="280" w:lineRule="exact"/>
        <w:rPr>
          <w:rFonts w:ascii="Arial" w:hAnsi="Arial" w:cs="Arial"/>
          <w:sz w:val="20"/>
        </w:rPr>
      </w:pPr>
      <w:r w:rsidRPr="00503437">
        <w:rPr>
          <w:rFonts w:ascii="Arial" w:hAnsi="Arial" w:cs="Arial"/>
          <w:sz w:val="20"/>
        </w:rPr>
        <w:t>►</w:t>
      </w:r>
      <w:r w:rsidRPr="00503437">
        <w:rPr>
          <w:rFonts w:ascii="Arial" w:hAnsi="Arial" w:cs="Arial"/>
          <w:sz w:val="20"/>
        </w:rPr>
        <w:tab/>
        <w:t>Variable lease expense (i.e., for variable lease payments not included in the lease liability)</w:t>
      </w:r>
    </w:p>
    <w:p w14:paraId="7A8865C9" w14:textId="77777777" w:rsidR="00503437" w:rsidRPr="00503437" w:rsidRDefault="00503437" w:rsidP="00503437">
      <w:pPr>
        <w:shd w:val="clear" w:color="auto" w:fill="C1C1C1" w:themeFill="background1" w:themeFillTint="66"/>
        <w:spacing w:line="280" w:lineRule="exact"/>
        <w:rPr>
          <w:rFonts w:ascii="Arial" w:hAnsi="Arial" w:cs="Arial"/>
          <w:sz w:val="20"/>
        </w:rPr>
      </w:pPr>
      <w:r w:rsidRPr="00503437">
        <w:rPr>
          <w:rFonts w:ascii="Arial" w:hAnsi="Arial" w:cs="Arial"/>
          <w:sz w:val="20"/>
        </w:rPr>
        <w:t>►</w:t>
      </w:r>
      <w:r w:rsidRPr="00503437">
        <w:rPr>
          <w:rFonts w:ascii="Arial" w:hAnsi="Arial" w:cs="Arial"/>
          <w:sz w:val="20"/>
        </w:rPr>
        <w:tab/>
        <w:t>Income from subleasing right-of-use assets</w:t>
      </w:r>
    </w:p>
    <w:p w14:paraId="5DB5BB8A" w14:textId="77777777" w:rsidR="00503437" w:rsidRPr="00503437" w:rsidRDefault="00503437" w:rsidP="00503437">
      <w:pPr>
        <w:shd w:val="clear" w:color="auto" w:fill="C1C1C1" w:themeFill="background1" w:themeFillTint="66"/>
        <w:spacing w:line="280" w:lineRule="exact"/>
        <w:rPr>
          <w:rFonts w:ascii="Arial" w:hAnsi="Arial" w:cs="Arial"/>
          <w:sz w:val="20"/>
        </w:rPr>
      </w:pPr>
      <w:r w:rsidRPr="00503437">
        <w:rPr>
          <w:rFonts w:ascii="Arial" w:hAnsi="Arial" w:cs="Arial"/>
          <w:sz w:val="20"/>
        </w:rPr>
        <w:t>►</w:t>
      </w:r>
      <w:r w:rsidRPr="00503437">
        <w:rPr>
          <w:rFonts w:ascii="Arial" w:hAnsi="Arial" w:cs="Arial"/>
          <w:sz w:val="20"/>
        </w:rPr>
        <w:tab/>
        <w:t>Total cash outflow for leases</w:t>
      </w:r>
    </w:p>
    <w:p w14:paraId="1FE89026" w14:textId="77777777" w:rsidR="00503437" w:rsidRPr="00503437" w:rsidRDefault="00503437" w:rsidP="00503437">
      <w:pPr>
        <w:shd w:val="clear" w:color="auto" w:fill="C1C1C1" w:themeFill="background1" w:themeFillTint="66"/>
        <w:spacing w:line="280" w:lineRule="exact"/>
        <w:rPr>
          <w:rFonts w:ascii="Arial" w:hAnsi="Arial" w:cs="Arial"/>
          <w:sz w:val="20"/>
        </w:rPr>
      </w:pPr>
      <w:r w:rsidRPr="00503437">
        <w:rPr>
          <w:rFonts w:ascii="Arial" w:hAnsi="Arial" w:cs="Arial"/>
          <w:sz w:val="20"/>
        </w:rPr>
        <w:t>►</w:t>
      </w:r>
      <w:r w:rsidRPr="00503437">
        <w:rPr>
          <w:rFonts w:ascii="Arial" w:hAnsi="Arial" w:cs="Arial"/>
          <w:sz w:val="20"/>
        </w:rPr>
        <w:tab/>
        <w:t>Additions to right-of-use assets</w:t>
      </w:r>
    </w:p>
    <w:p w14:paraId="37EED4AD" w14:textId="77777777" w:rsidR="00503437" w:rsidRPr="00503437" w:rsidRDefault="00503437" w:rsidP="00503437">
      <w:pPr>
        <w:shd w:val="clear" w:color="auto" w:fill="C1C1C1" w:themeFill="background1" w:themeFillTint="66"/>
        <w:spacing w:line="280" w:lineRule="exact"/>
        <w:rPr>
          <w:rFonts w:ascii="Arial" w:hAnsi="Arial" w:cs="Arial"/>
          <w:sz w:val="20"/>
        </w:rPr>
      </w:pPr>
      <w:r w:rsidRPr="00503437">
        <w:rPr>
          <w:rFonts w:ascii="Arial" w:hAnsi="Arial" w:cs="Arial"/>
          <w:sz w:val="20"/>
        </w:rPr>
        <w:t>►</w:t>
      </w:r>
      <w:r w:rsidRPr="00503437">
        <w:rPr>
          <w:rFonts w:ascii="Arial" w:hAnsi="Arial" w:cs="Arial"/>
          <w:sz w:val="20"/>
        </w:rPr>
        <w:tab/>
        <w:t>Gains and losses arising from sale and leaseback transactions</w:t>
      </w:r>
    </w:p>
    <w:p w14:paraId="6061C6A4" w14:textId="77777777" w:rsidR="00503437" w:rsidRPr="00503437" w:rsidRDefault="00503437" w:rsidP="00503437">
      <w:pPr>
        <w:shd w:val="clear" w:color="auto" w:fill="C1C1C1" w:themeFill="background1" w:themeFillTint="66"/>
        <w:spacing w:line="280" w:lineRule="exact"/>
        <w:rPr>
          <w:rFonts w:ascii="Arial" w:hAnsi="Arial" w:cs="Arial"/>
          <w:sz w:val="20"/>
        </w:rPr>
      </w:pPr>
      <w:r w:rsidRPr="00503437">
        <w:rPr>
          <w:rFonts w:ascii="Arial" w:hAnsi="Arial" w:cs="Arial"/>
          <w:sz w:val="20"/>
        </w:rPr>
        <w:t>►</w:t>
      </w:r>
      <w:r w:rsidRPr="00503437">
        <w:rPr>
          <w:rFonts w:ascii="Arial" w:hAnsi="Arial" w:cs="Arial"/>
          <w:sz w:val="20"/>
        </w:rPr>
        <w:tab/>
        <w:t>Carrying amount of right-of-use assets at the end of the reporting period by class of underlying asset</w:t>
      </w:r>
    </w:p>
    <w:p w14:paraId="220E5A98" w14:textId="77777777" w:rsidR="00503437" w:rsidRPr="00503437" w:rsidRDefault="00503437" w:rsidP="00503437">
      <w:pPr>
        <w:shd w:val="clear" w:color="auto" w:fill="C1C1C1" w:themeFill="background1" w:themeFillTint="66"/>
        <w:spacing w:line="280" w:lineRule="exact"/>
        <w:rPr>
          <w:rFonts w:ascii="Arial" w:hAnsi="Arial" w:cs="Arial"/>
          <w:sz w:val="20"/>
        </w:rPr>
      </w:pPr>
      <w:r w:rsidRPr="00503437">
        <w:rPr>
          <w:rFonts w:ascii="Arial" w:hAnsi="Arial" w:cs="Arial"/>
          <w:sz w:val="20"/>
        </w:rPr>
        <w:t>All of the above disclosures are required to be presented in a tabular format, unless another format is more appropriate. The amounts to be disclosed must include costs that the lessee has included in the carrying amount of another asset during the reporting period (Ind AS 116.54).</w:t>
      </w:r>
    </w:p>
    <w:p w14:paraId="488BCA86" w14:textId="4AA10D93" w:rsidR="007220A6" w:rsidRDefault="00503437" w:rsidP="00503437">
      <w:pPr>
        <w:shd w:val="clear" w:color="auto" w:fill="C1C1C1" w:themeFill="background1" w:themeFillTint="66"/>
        <w:spacing w:line="280" w:lineRule="exact"/>
        <w:rPr>
          <w:rFonts w:ascii="Arial" w:hAnsi="Arial" w:cs="Arial"/>
          <w:sz w:val="20"/>
        </w:rPr>
      </w:pPr>
      <w:r w:rsidRPr="00503437">
        <w:rPr>
          <w:rFonts w:ascii="Arial" w:hAnsi="Arial" w:cs="Arial"/>
          <w:sz w:val="20"/>
        </w:rPr>
        <w:t>The standard requires disclosure of the total cash outflow for leases. The Group also included the cash outflow related to leases of low-value assets and short-term leases in the disclosure of the total cash outflow.</w:t>
      </w:r>
    </w:p>
    <w:p w14:paraId="1F92A436" w14:textId="459460ED" w:rsidR="007A2360" w:rsidRDefault="007A2360" w:rsidP="00503437">
      <w:pPr>
        <w:shd w:val="clear" w:color="auto" w:fill="C1C1C1" w:themeFill="background1" w:themeFillTint="66"/>
        <w:spacing w:line="280" w:lineRule="exact"/>
        <w:rPr>
          <w:rFonts w:ascii="Arial" w:hAnsi="Arial" w:cs="Arial"/>
          <w:sz w:val="20"/>
        </w:rPr>
      </w:pPr>
    </w:p>
    <w:p w14:paraId="7986E3B6" w14:textId="77777777" w:rsidR="007A2360" w:rsidRPr="007A2360" w:rsidRDefault="007A2360" w:rsidP="007A2360">
      <w:pPr>
        <w:shd w:val="clear" w:color="auto" w:fill="C1C1C1" w:themeFill="background1" w:themeFillTint="66"/>
        <w:spacing w:line="280" w:lineRule="exact"/>
        <w:rPr>
          <w:rFonts w:ascii="Arial" w:hAnsi="Arial" w:cs="Arial"/>
          <w:sz w:val="20"/>
        </w:rPr>
      </w:pPr>
      <w:r w:rsidRPr="007A2360">
        <w:rPr>
          <w:rFonts w:ascii="Arial" w:hAnsi="Arial" w:cs="Arial"/>
          <w:sz w:val="20"/>
        </w:rPr>
        <w:t>Ind AS 116.55 requires disclosure of the amount of lease commitments for short-term leases when short-term lease commitments at the end of the reporting period are dissimilar to the same period’s short-term lease expense (that is otherwise required to be disclosed). This disclosure requirement is not applicable to the Group.</w:t>
      </w:r>
    </w:p>
    <w:p w14:paraId="46DAADCF" w14:textId="77777777" w:rsidR="007A2360" w:rsidRPr="007A2360" w:rsidRDefault="007A2360" w:rsidP="007A2360">
      <w:pPr>
        <w:shd w:val="clear" w:color="auto" w:fill="C1C1C1" w:themeFill="background1" w:themeFillTint="66"/>
        <w:spacing w:line="280" w:lineRule="exact"/>
        <w:rPr>
          <w:rFonts w:ascii="Arial" w:hAnsi="Arial" w:cs="Arial"/>
          <w:sz w:val="20"/>
        </w:rPr>
      </w:pPr>
    </w:p>
    <w:p w14:paraId="4E4ABF3B" w14:textId="77777777" w:rsidR="007A2360" w:rsidRPr="007A2360" w:rsidRDefault="007A2360" w:rsidP="007A2360">
      <w:pPr>
        <w:shd w:val="clear" w:color="auto" w:fill="C1C1C1" w:themeFill="background1" w:themeFillTint="66"/>
        <w:spacing w:line="280" w:lineRule="exact"/>
        <w:rPr>
          <w:rFonts w:ascii="Arial" w:hAnsi="Arial" w:cs="Arial"/>
          <w:sz w:val="20"/>
        </w:rPr>
      </w:pPr>
      <w:r w:rsidRPr="007A2360">
        <w:rPr>
          <w:rFonts w:ascii="Arial" w:hAnsi="Arial" w:cs="Arial"/>
          <w:sz w:val="20"/>
        </w:rPr>
        <w:t>Ind AS 116.59 requires additional qualitative and quantitative information about a lessee’s leasing activities necessary to meet the disclosure objective of the standard. This additional information may include, but is not limited to, information that helps users of the financial statements to assess:</w:t>
      </w:r>
    </w:p>
    <w:p w14:paraId="24971CE4" w14:textId="77777777" w:rsidR="007A2360" w:rsidRPr="007A2360" w:rsidRDefault="007A2360" w:rsidP="007A2360">
      <w:pPr>
        <w:shd w:val="clear" w:color="auto" w:fill="C1C1C1" w:themeFill="background1" w:themeFillTint="66"/>
        <w:spacing w:line="280" w:lineRule="exact"/>
        <w:rPr>
          <w:rFonts w:ascii="Arial" w:hAnsi="Arial" w:cs="Arial"/>
          <w:sz w:val="20"/>
        </w:rPr>
      </w:pPr>
      <w:r w:rsidRPr="007A2360">
        <w:rPr>
          <w:rFonts w:ascii="Arial" w:hAnsi="Arial" w:cs="Arial"/>
          <w:sz w:val="20"/>
        </w:rPr>
        <w:t>►</w:t>
      </w:r>
      <w:r w:rsidRPr="007A2360">
        <w:rPr>
          <w:rFonts w:ascii="Arial" w:hAnsi="Arial" w:cs="Arial"/>
          <w:sz w:val="20"/>
        </w:rPr>
        <w:tab/>
        <w:t>The nature of the lessee’s leasing activities</w:t>
      </w:r>
    </w:p>
    <w:p w14:paraId="543C243A" w14:textId="77777777" w:rsidR="007A2360" w:rsidRPr="007A2360" w:rsidRDefault="007A2360" w:rsidP="007A2360">
      <w:pPr>
        <w:shd w:val="clear" w:color="auto" w:fill="C1C1C1" w:themeFill="background1" w:themeFillTint="66"/>
        <w:spacing w:line="280" w:lineRule="exact"/>
        <w:rPr>
          <w:rFonts w:ascii="Arial" w:hAnsi="Arial" w:cs="Arial"/>
          <w:sz w:val="20"/>
        </w:rPr>
      </w:pPr>
      <w:r w:rsidRPr="007A2360">
        <w:rPr>
          <w:rFonts w:ascii="Arial" w:hAnsi="Arial" w:cs="Arial"/>
          <w:sz w:val="20"/>
        </w:rPr>
        <w:t>►</w:t>
      </w:r>
      <w:r w:rsidRPr="007A2360">
        <w:rPr>
          <w:rFonts w:ascii="Arial" w:hAnsi="Arial" w:cs="Arial"/>
          <w:sz w:val="20"/>
        </w:rPr>
        <w:tab/>
        <w:t>Future cash outflows to which the lessee is potentially exposed that are not reflected in the measurement of lease liabilities:</w:t>
      </w:r>
    </w:p>
    <w:p w14:paraId="2246B743" w14:textId="60A75634" w:rsidR="007A2360" w:rsidRPr="00E64108" w:rsidRDefault="00E64108" w:rsidP="00E64108">
      <w:pPr>
        <w:shd w:val="clear" w:color="auto" w:fill="C1C1C1" w:themeFill="background1" w:themeFillTint="66"/>
        <w:spacing w:line="280" w:lineRule="exact"/>
        <w:rPr>
          <w:rFonts w:ascii="Arial" w:hAnsi="Arial" w:cs="Arial"/>
          <w:sz w:val="20"/>
        </w:rPr>
      </w:pPr>
      <w:r>
        <w:rPr>
          <w:rFonts w:ascii="Arial" w:hAnsi="Arial" w:cs="Arial"/>
          <w:sz w:val="20"/>
        </w:rPr>
        <w:t xml:space="preserve">             </w:t>
      </w:r>
      <w:r w:rsidRPr="00E64108">
        <w:rPr>
          <w:rFonts w:ascii="Arial" w:hAnsi="Arial" w:cs="Arial"/>
          <w:sz w:val="20"/>
        </w:rPr>
        <w:t>-</w:t>
      </w:r>
      <w:r>
        <w:rPr>
          <w:rFonts w:ascii="Arial" w:hAnsi="Arial" w:cs="Arial"/>
          <w:sz w:val="20"/>
        </w:rPr>
        <w:t xml:space="preserve"> </w:t>
      </w:r>
      <w:r w:rsidR="007A2360" w:rsidRPr="00E64108">
        <w:rPr>
          <w:rFonts w:ascii="Arial" w:hAnsi="Arial" w:cs="Arial"/>
          <w:sz w:val="20"/>
        </w:rPr>
        <w:t>Variable lease payments</w:t>
      </w:r>
    </w:p>
    <w:p w14:paraId="0DF1584A" w14:textId="621EC325" w:rsidR="007A2360" w:rsidRPr="007A2360" w:rsidRDefault="00E64108" w:rsidP="007A2360">
      <w:pPr>
        <w:shd w:val="clear" w:color="auto" w:fill="C1C1C1" w:themeFill="background1" w:themeFillTint="66"/>
        <w:spacing w:line="280" w:lineRule="exact"/>
        <w:rPr>
          <w:rFonts w:ascii="Arial" w:hAnsi="Arial" w:cs="Arial"/>
          <w:sz w:val="20"/>
        </w:rPr>
      </w:pPr>
      <w:r>
        <w:rPr>
          <w:rFonts w:ascii="Arial" w:hAnsi="Arial" w:cs="Arial"/>
          <w:sz w:val="20"/>
        </w:rPr>
        <w:t xml:space="preserve">             - </w:t>
      </w:r>
      <w:r w:rsidR="007A2360" w:rsidRPr="007A2360">
        <w:rPr>
          <w:rFonts w:ascii="Arial" w:hAnsi="Arial" w:cs="Arial"/>
          <w:sz w:val="20"/>
        </w:rPr>
        <w:t>Extension options and termination options</w:t>
      </w:r>
    </w:p>
    <w:p w14:paraId="7ED4C547" w14:textId="5BC55E24" w:rsidR="007A2360" w:rsidRPr="007A2360" w:rsidRDefault="00E64108" w:rsidP="007A2360">
      <w:pPr>
        <w:shd w:val="clear" w:color="auto" w:fill="C1C1C1" w:themeFill="background1" w:themeFillTint="66"/>
        <w:spacing w:line="280" w:lineRule="exact"/>
        <w:rPr>
          <w:rFonts w:ascii="Arial" w:hAnsi="Arial" w:cs="Arial"/>
          <w:sz w:val="20"/>
        </w:rPr>
      </w:pPr>
      <w:r>
        <w:rPr>
          <w:rFonts w:ascii="Arial" w:hAnsi="Arial" w:cs="Arial"/>
          <w:sz w:val="20"/>
        </w:rPr>
        <w:t xml:space="preserve">             - </w:t>
      </w:r>
      <w:r w:rsidR="007A2360" w:rsidRPr="007A2360">
        <w:rPr>
          <w:rFonts w:ascii="Arial" w:hAnsi="Arial" w:cs="Arial"/>
          <w:sz w:val="20"/>
        </w:rPr>
        <w:t>Residual value guarantees</w:t>
      </w:r>
    </w:p>
    <w:p w14:paraId="43A1300D" w14:textId="291A1187" w:rsidR="007A2360" w:rsidRPr="007A2360" w:rsidRDefault="00E64108" w:rsidP="007A2360">
      <w:pPr>
        <w:shd w:val="clear" w:color="auto" w:fill="C1C1C1" w:themeFill="background1" w:themeFillTint="66"/>
        <w:spacing w:line="280" w:lineRule="exact"/>
        <w:rPr>
          <w:rFonts w:ascii="Arial" w:hAnsi="Arial" w:cs="Arial"/>
          <w:sz w:val="20"/>
        </w:rPr>
      </w:pPr>
      <w:r>
        <w:rPr>
          <w:rFonts w:ascii="Arial" w:hAnsi="Arial" w:cs="Arial"/>
          <w:sz w:val="20"/>
        </w:rPr>
        <w:t xml:space="preserve">             - </w:t>
      </w:r>
      <w:r w:rsidR="007A2360" w:rsidRPr="007A2360">
        <w:rPr>
          <w:rFonts w:ascii="Arial" w:hAnsi="Arial" w:cs="Arial"/>
          <w:sz w:val="20"/>
        </w:rPr>
        <w:t>Leases not yet commenced to which the lessee is committed</w:t>
      </w:r>
    </w:p>
    <w:p w14:paraId="19BD34EC" w14:textId="77777777" w:rsidR="007A2360" w:rsidRPr="007A2360" w:rsidRDefault="007A2360" w:rsidP="007A2360">
      <w:pPr>
        <w:shd w:val="clear" w:color="auto" w:fill="C1C1C1" w:themeFill="background1" w:themeFillTint="66"/>
        <w:spacing w:line="280" w:lineRule="exact"/>
        <w:rPr>
          <w:rFonts w:ascii="Arial" w:hAnsi="Arial" w:cs="Arial"/>
          <w:sz w:val="20"/>
        </w:rPr>
      </w:pPr>
      <w:r w:rsidRPr="007A2360">
        <w:rPr>
          <w:rFonts w:ascii="Arial" w:hAnsi="Arial" w:cs="Arial"/>
          <w:sz w:val="20"/>
        </w:rPr>
        <w:t>►</w:t>
      </w:r>
      <w:r w:rsidRPr="007A2360">
        <w:rPr>
          <w:rFonts w:ascii="Arial" w:hAnsi="Arial" w:cs="Arial"/>
          <w:sz w:val="20"/>
        </w:rPr>
        <w:tab/>
        <w:t>Restrictions or covenants imposed by leases</w:t>
      </w:r>
    </w:p>
    <w:p w14:paraId="68573265" w14:textId="0AA3FF2E" w:rsidR="007A2360" w:rsidRDefault="007A2360" w:rsidP="007A2360">
      <w:pPr>
        <w:shd w:val="clear" w:color="auto" w:fill="C1C1C1" w:themeFill="background1" w:themeFillTint="66"/>
        <w:spacing w:line="280" w:lineRule="exact"/>
        <w:rPr>
          <w:rFonts w:ascii="Arial" w:hAnsi="Arial" w:cs="Arial"/>
          <w:sz w:val="20"/>
        </w:rPr>
      </w:pPr>
      <w:r w:rsidRPr="007A2360">
        <w:rPr>
          <w:rFonts w:ascii="Arial" w:hAnsi="Arial" w:cs="Arial"/>
          <w:sz w:val="20"/>
        </w:rPr>
        <w:t>►</w:t>
      </w:r>
      <w:r w:rsidRPr="007A2360">
        <w:rPr>
          <w:rFonts w:ascii="Arial" w:hAnsi="Arial" w:cs="Arial"/>
          <w:sz w:val="20"/>
        </w:rPr>
        <w:tab/>
        <w:t>Sale and leaseback transactions</w:t>
      </w:r>
    </w:p>
    <w:p w14:paraId="70A67102" w14:textId="77777777" w:rsidR="007A2360" w:rsidRDefault="007A2360" w:rsidP="00503437">
      <w:pPr>
        <w:shd w:val="clear" w:color="auto" w:fill="C1C1C1" w:themeFill="background1" w:themeFillTint="66"/>
        <w:spacing w:line="280" w:lineRule="exact"/>
        <w:rPr>
          <w:rFonts w:ascii="Arial" w:hAnsi="Arial" w:cs="Arial"/>
          <w:sz w:val="20"/>
        </w:rPr>
      </w:pPr>
    </w:p>
    <w:p w14:paraId="394BF01E" w14:textId="31478C69" w:rsidR="007220A6" w:rsidRDefault="007220A6" w:rsidP="00CE6971">
      <w:pPr>
        <w:spacing w:line="280" w:lineRule="exact"/>
        <w:rPr>
          <w:rFonts w:ascii="Arial" w:hAnsi="Arial" w:cs="Arial"/>
          <w:sz w:val="20"/>
        </w:rPr>
      </w:pPr>
    </w:p>
    <w:p w14:paraId="20E265FF" w14:textId="56634171" w:rsidR="007220A6" w:rsidRDefault="007154D5" w:rsidP="00CE6971">
      <w:pPr>
        <w:spacing w:line="280" w:lineRule="exact"/>
        <w:rPr>
          <w:rFonts w:ascii="Arial" w:hAnsi="Arial" w:cs="Arial"/>
          <w:sz w:val="20"/>
        </w:rPr>
      </w:pPr>
      <w:r w:rsidRPr="007154D5">
        <w:rPr>
          <w:rFonts w:ascii="Arial" w:hAnsi="Arial" w:cs="Arial"/>
          <w:sz w:val="20"/>
        </w:rPr>
        <w:t xml:space="preserve">The Group has lease contracts for machinery that contains variable payments based on the number of units to be manufactured. These terms are negotiated by management for certain machinery that is used to manufacture products without steady customer demand. Management’s objective is to align the lease </w:t>
      </w:r>
      <w:r w:rsidRPr="007154D5">
        <w:rPr>
          <w:rFonts w:ascii="Arial" w:hAnsi="Arial" w:cs="Arial"/>
          <w:sz w:val="20"/>
        </w:rPr>
        <w:lastRenderedPageBreak/>
        <w:t>expense with the units manufactured and revenue earned. The following provides information on the Group’s variable lease payments, including the magnitude in relation to fixed payments:</w:t>
      </w:r>
    </w:p>
    <w:p w14:paraId="38D27BEB" w14:textId="7DE8C77A" w:rsidR="007154D5" w:rsidRDefault="007154D5" w:rsidP="00CE6971">
      <w:pPr>
        <w:spacing w:line="280" w:lineRule="exact"/>
        <w:rPr>
          <w:rFonts w:ascii="Arial" w:hAnsi="Arial" w:cs="Arial"/>
          <w:sz w:val="20"/>
        </w:rPr>
      </w:pPr>
    </w:p>
    <w:tbl>
      <w:tblPr>
        <w:tblStyle w:val="TableGrid"/>
        <w:tblW w:w="0" w:type="auto"/>
        <w:tblLayout w:type="fixed"/>
        <w:tblLook w:val="04A0" w:firstRow="1" w:lastRow="0" w:firstColumn="1" w:lastColumn="0" w:noHBand="0" w:noVBand="1"/>
      </w:tblPr>
      <w:tblGrid>
        <w:gridCol w:w="5839"/>
        <w:gridCol w:w="1276"/>
        <w:gridCol w:w="1417"/>
        <w:gridCol w:w="1199"/>
      </w:tblGrid>
      <w:tr w:rsidR="007154D5" w:rsidRPr="007154D5" w14:paraId="0CF2B64B" w14:textId="77777777" w:rsidTr="00316002">
        <w:tc>
          <w:tcPr>
            <w:tcW w:w="5839" w:type="dxa"/>
          </w:tcPr>
          <w:p w14:paraId="3CAC4A9D" w14:textId="77777777" w:rsidR="007154D5" w:rsidRPr="007154D5" w:rsidRDefault="007154D5" w:rsidP="00316002">
            <w:pPr>
              <w:spacing w:before="120"/>
              <w:rPr>
                <w:rFonts w:ascii="Arial" w:hAnsi="Arial" w:cs="Arial"/>
                <w:b/>
                <w:sz w:val="20"/>
              </w:rPr>
            </w:pPr>
          </w:p>
        </w:tc>
        <w:tc>
          <w:tcPr>
            <w:tcW w:w="1276" w:type="dxa"/>
          </w:tcPr>
          <w:p w14:paraId="38B72D38" w14:textId="77777777" w:rsidR="007154D5" w:rsidRPr="007154D5" w:rsidRDefault="007154D5" w:rsidP="00316002">
            <w:pPr>
              <w:spacing w:before="120"/>
              <w:jc w:val="right"/>
              <w:rPr>
                <w:rFonts w:ascii="Arial" w:hAnsi="Arial" w:cs="Arial"/>
                <w:b/>
                <w:sz w:val="20"/>
              </w:rPr>
            </w:pPr>
            <w:r w:rsidRPr="007154D5">
              <w:rPr>
                <w:rFonts w:ascii="Arial" w:hAnsi="Arial" w:cs="Arial"/>
                <w:b/>
                <w:sz w:val="20"/>
              </w:rPr>
              <w:t>Fixed</w:t>
            </w:r>
          </w:p>
          <w:p w14:paraId="664EA26C" w14:textId="77777777" w:rsidR="007154D5" w:rsidRPr="007154D5" w:rsidRDefault="007154D5" w:rsidP="00316002">
            <w:pPr>
              <w:spacing w:before="120"/>
              <w:jc w:val="right"/>
              <w:rPr>
                <w:rFonts w:ascii="Arial" w:hAnsi="Arial" w:cs="Arial"/>
                <w:b/>
                <w:sz w:val="20"/>
              </w:rPr>
            </w:pPr>
            <w:r w:rsidRPr="007154D5">
              <w:rPr>
                <w:rFonts w:ascii="Arial" w:hAnsi="Arial" w:cs="Arial"/>
                <w:b/>
                <w:sz w:val="20"/>
              </w:rPr>
              <w:t>Payments</w:t>
            </w:r>
          </w:p>
        </w:tc>
        <w:tc>
          <w:tcPr>
            <w:tcW w:w="1417" w:type="dxa"/>
          </w:tcPr>
          <w:p w14:paraId="71B9E458" w14:textId="77777777" w:rsidR="007154D5" w:rsidRPr="007154D5" w:rsidRDefault="007154D5" w:rsidP="00316002">
            <w:pPr>
              <w:spacing w:before="120"/>
              <w:jc w:val="right"/>
              <w:rPr>
                <w:rFonts w:ascii="Arial" w:hAnsi="Arial" w:cs="Arial"/>
                <w:b/>
                <w:sz w:val="20"/>
              </w:rPr>
            </w:pPr>
            <w:r w:rsidRPr="007154D5">
              <w:rPr>
                <w:rFonts w:ascii="Arial" w:hAnsi="Arial" w:cs="Arial"/>
                <w:b/>
                <w:sz w:val="20"/>
              </w:rPr>
              <w:t>Variable</w:t>
            </w:r>
          </w:p>
          <w:p w14:paraId="0379FF61" w14:textId="77777777" w:rsidR="007154D5" w:rsidRPr="007154D5" w:rsidRDefault="007154D5" w:rsidP="00316002">
            <w:pPr>
              <w:spacing w:before="120"/>
              <w:jc w:val="right"/>
              <w:rPr>
                <w:rFonts w:ascii="Arial" w:hAnsi="Arial" w:cs="Arial"/>
                <w:b/>
                <w:sz w:val="20"/>
              </w:rPr>
            </w:pPr>
            <w:r w:rsidRPr="007154D5">
              <w:rPr>
                <w:rFonts w:ascii="Arial" w:hAnsi="Arial" w:cs="Arial"/>
                <w:b/>
                <w:sz w:val="20"/>
              </w:rPr>
              <w:t>Payments</w:t>
            </w:r>
          </w:p>
        </w:tc>
        <w:tc>
          <w:tcPr>
            <w:tcW w:w="1199" w:type="dxa"/>
          </w:tcPr>
          <w:p w14:paraId="7A46E601" w14:textId="77777777" w:rsidR="007154D5" w:rsidRPr="007154D5" w:rsidRDefault="007154D5" w:rsidP="00316002">
            <w:pPr>
              <w:spacing w:before="120"/>
              <w:jc w:val="right"/>
              <w:rPr>
                <w:rFonts w:ascii="Arial" w:hAnsi="Arial" w:cs="Arial"/>
                <w:b/>
                <w:sz w:val="20"/>
              </w:rPr>
            </w:pPr>
            <w:r w:rsidRPr="007154D5">
              <w:rPr>
                <w:rFonts w:ascii="Arial" w:hAnsi="Arial" w:cs="Arial"/>
                <w:b/>
                <w:sz w:val="20"/>
              </w:rPr>
              <w:t>Total</w:t>
            </w:r>
          </w:p>
        </w:tc>
      </w:tr>
      <w:tr w:rsidR="007154D5" w:rsidRPr="007154D5" w14:paraId="30A74CD5" w14:textId="77777777" w:rsidTr="00316002">
        <w:tc>
          <w:tcPr>
            <w:tcW w:w="5839" w:type="dxa"/>
          </w:tcPr>
          <w:p w14:paraId="56480D86" w14:textId="584D8F2B" w:rsidR="007154D5" w:rsidRPr="007154D5" w:rsidRDefault="007154D5" w:rsidP="00316002">
            <w:pPr>
              <w:spacing w:before="120"/>
              <w:rPr>
                <w:rFonts w:ascii="Arial" w:hAnsi="Arial" w:cs="Arial"/>
                <w:b/>
                <w:sz w:val="20"/>
              </w:rPr>
            </w:pPr>
            <w:r w:rsidRPr="007154D5">
              <w:rPr>
                <w:rFonts w:ascii="Arial" w:hAnsi="Arial" w:cs="Arial"/>
                <w:b/>
                <w:sz w:val="20"/>
                <w:lang w:val="en-GB"/>
              </w:rPr>
              <w:t>31 March 202</w:t>
            </w:r>
            <w:r w:rsidR="00A607E9">
              <w:rPr>
                <w:rFonts w:ascii="Arial" w:hAnsi="Arial" w:cs="Arial"/>
                <w:b/>
                <w:sz w:val="20"/>
                <w:lang w:val="en-GB"/>
              </w:rPr>
              <w:t>1</w:t>
            </w:r>
          </w:p>
        </w:tc>
        <w:tc>
          <w:tcPr>
            <w:tcW w:w="1276" w:type="dxa"/>
          </w:tcPr>
          <w:p w14:paraId="253BA2F3" w14:textId="77777777" w:rsidR="007154D5" w:rsidRPr="007154D5" w:rsidRDefault="007154D5" w:rsidP="00316002">
            <w:pPr>
              <w:spacing w:before="120"/>
              <w:rPr>
                <w:rFonts w:ascii="Arial" w:hAnsi="Arial" w:cs="Arial"/>
                <w:b/>
                <w:sz w:val="20"/>
              </w:rPr>
            </w:pPr>
          </w:p>
        </w:tc>
        <w:tc>
          <w:tcPr>
            <w:tcW w:w="1417" w:type="dxa"/>
          </w:tcPr>
          <w:p w14:paraId="7BE712E0" w14:textId="77777777" w:rsidR="007154D5" w:rsidRPr="007154D5" w:rsidRDefault="007154D5" w:rsidP="00316002">
            <w:pPr>
              <w:spacing w:before="120"/>
              <w:rPr>
                <w:rFonts w:ascii="Arial" w:hAnsi="Arial" w:cs="Arial"/>
                <w:b/>
                <w:sz w:val="20"/>
              </w:rPr>
            </w:pPr>
          </w:p>
        </w:tc>
        <w:tc>
          <w:tcPr>
            <w:tcW w:w="1199" w:type="dxa"/>
          </w:tcPr>
          <w:p w14:paraId="6ACC09F8" w14:textId="77777777" w:rsidR="007154D5" w:rsidRPr="007154D5" w:rsidRDefault="007154D5" w:rsidP="00316002">
            <w:pPr>
              <w:spacing w:before="120"/>
              <w:rPr>
                <w:rFonts w:ascii="Arial" w:hAnsi="Arial" w:cs="Arial"/>
                <w:b/>
                <w:sz w:val="20"/>
              </w:rPr>
            </w:pPr>
          </w:p>
        </w:tc>
      </w:tr>
      <w:tr w:rsidR="007154D5" w:rsidRPr="007154D5" w14:paraId="3EA26CC5" w14:textId="77777777" w:rsidTr="00316002">
        <w:tc>
          <w:tcPr>
            <w:tcW w:w="5839" w:type="dxa"/>
          </w:tcPr>
          <w:p w14:paraId="1D3B43D9" w14:textId="77777777" w:rsidR="007154D5" w:rsidRPr="007154D5" w:rsidRDefault="007154D5" w:rsidP="00316002">
            <w:pPr>
              <w:spacing w:before="120"/>
              <w:rPr>
                <w:rFonts w:ascii="Arial" w:hAnsi="Arial" w:cs="Arial"/>
                <w:b/>
                <w:sz w:val="20"/>
              </w:rPr>
            </w:pPr>
            <w:r w:rsidRPr="007154D5">
              <w:rPr>
                <w:rFonts w:ascii="Arial" w:hAnsi="Arial" w:cs="Arial"/>
                <w:sz w:val="20"/>
              </w:rPr>
              <w:t>Fixed rent</w:t>
            </w:r>
          </w:p>
        </w:tc>
        <w:tc>
          <w:tcPr>
            <w:tcW w:w="1276" w:type="dxa"/>
          </w:tcPr>
          <w:p w14:paraId="05A6A5B7"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634</w:t>
            </w:r>
          </w:p>
        </w:tc>
        <w:tc>
          <w:tcPr>
            <w:tcW w:w="1417" w:type="dxa"/>
          </w:tcPr>
          <w:p w14:paraId="653014B3"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w:t>
            </w:r>
          </w:p>
        </w:tc>
        <w:tc>
          <w:tcPr>
            <w:tcW w:w="1199" w:type="dxa"/>
          </w:tcPr>
          <w:p w14:paraId="00971237"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634</w:t>
            </w:r>
          </w:p>
        </w:tc>
      </w:tr>
      <w:tr w:rsidR="007154D5" w:rsidRPr="007154D5" w14:paraId="31D89556" w14:textId="77777777" w:rsidTr="00316002">
        <w:tc>
          <w:tcPr>
            <w:tcW w:w="5839" w:type="dxa"/>
          </w:tcPr>
          <w:p w14:paraId="7833A286" w14:textId="77777777" w:rsidR="007154D5" w:rsidRPr="007154D5" w:rsidRDefault="007154D5" w:rsidP="00316002">
            <w:pPr>
              <w:spacing w:before="120"/>
              <w:rPr>
                <w:rFonts w:ascii="Arial" w:hAnsi="Arial" w:cs="Arial"/>
                <w:sz w:val="20"/>
              </w:rPr>
            </w:pPr>
            <w:r w:rsidRPr="007154D5">
              <w:rPr>
                <w:rFonts w:ascii="Arial" w:hAnsi="Arial" w:cs="Arial"/>
                <w:sz w:val="20"/>
              </w:rPr>
              <w:t>Variable rent with minimum payment</w:t>
            </w:r>
          </w:p>
        </w:tc>
        <w:tc>
          <w:tcPr>
            <w:tcW w:w="1276" w:type="dxa"/>
          </w:tcPr>
          <w:p w14:paraId="6FEED5A1"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317</w:t>
            </w:r>
          </w:p>
        </w:tc>
        <w:tc>
          <w:tcPr>
            <w:tcW w:w="1417" w:type="dxa"/>
          </w:tcPr>
          <w:p w14:paraId="38867182"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85</w:t>
            </w:r>
          </w:p>
        </w:tc>
        <w:tc>
          <w:tcPr>
            <w:tcW w:w="1199" w:type="dxa"/>
          </w:tcPr>
          <w:p w14:paraId="18BD50FC" w14:textId="461FB3AF"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40</w:t>
            </w:r>
            <w:r w:rsidR="00C570E7">
              <w:rPr>
                <w:rFonts w:ascii="Arial" w:hAnsi="Arial" w:cs="Arial"/>
                <w:b/>
                <w:sz w:val="20"/>
                <w:lang w:val="en-GB"/>
              </w:rPr>
              <w:t>1</w:t>
            </w:r>
          </w:p>
        </w:tc>
      </w:tr>
      <w:tr w:rsidR="007154D5" w:rsidRPr="007154D5" w14:paraId="565C288F" w14:textId="77777777" w:rsidTr="00316002">
        <w:tc>
          <w:tcPr>
            <w:tcW w:w="5839" w:type="dxa"/>
          </w:tcPr>
          <w:p w14:paraId="5CE5CA26" w14:textId="77777777" w:rsidR="007154D5" w:rsidRPr="007154D5" w:rsidRDefault="007154D5" w:rsidP="00316002">
            <w:pPr>
              <w:spacing w:before="120"/>
              <w:rPr>
                <w:rFonts w:ascii="Arial" w:hAnsi="Arial" w:cs="Arial"/>
                <w:sz w:val="20"/>
              </w:rPr>
            </w:pPr>
            <w:r w:rsidRPr="007154D5">
              <w:rPr>
                <w:rFonts w:ascii="Arial" w:hAnsi="Arial" w:cs="Arial"/>
                <w:sz w:val="20"/>
              </w:rPr>
              <w:t>Variable rent only</w:t>
            </w:r>
          </w:p>
        </w:tc>
        <w:tc>
          <w:tcPr>
            <w:tcW w:w="1276" w:type="dxa"/>
          </w:tcPr>
          <w:p w14:paraId="7688FFB3"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w:t>
            </w:r>
          </w:p>
        </w:tc>
        <w:tc>
          <w:tcPr>
            <w:tcW w:w="1417" w:type="dxa"/>
          </w:tcPr>
          <w:p w14:paraId="00C66573"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43</w:t>
            </w:r>
          </w:p>
        </w:tc>
        <w:tc>
          <w:tcPr>
            <w:tcW w:w="1199" w:type="dxa"/>
          </w:tcPr>
          <w:p w14:paraId="562EA426"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43</w:t>
            </w:r>
          </w:p>
        </w:tc>
      </w:tr>
      <w:tr w:rsidR="007154D5" w:rsidRPr="007154D5" w14:paraId="7CB23E14" w14:textId="77777777" w:rsidTr="00316002">
        <w:tc>
          <w:tcPr>
            <w:tcW w:w="5839" w:type="dxa"/>
          </w:tcPr>
          <w:p w14:paraId="288CEAB0" w14:textId="608F75F2" w:rsidR="007154D5" w:rsidRPr="007154D5" w:rsidRDefault="007154D5" w:rsidP="00316002">
            <w:pPr>
              <w:spacing w:before="120"/>
              <w:rPr>
                <w:rFonts w:ascii="Arial" w:hAnsi="Arial" w:cs="Arial"/>
                <w:sz w:val="20"/>
              </w:rPr>
            </w:pPr>
            <w:r w:rsidRPr="007154D5">
              <w:rPr>
                <w:rFonts w:ascii="Arial" w:hAnsi="Arial" w:cs="Arial"/>
                <w:b/>
                <w:sz w:val="20"/>
                <w:lang w:val="en-GB"/>
              </w:rPr>
              <w:t>31 March 20</w:t>
            </w:r>
            <w:r w:rsidR="00A607E9">
              <w:rPr>
                <w:rFonts w:ascii="Arial" w:hAnsi="Arial" w:cs="Arial"/>
                <w:b/>
                <w:sz w:val="20"/>
                <w:lang w:val="en-GB"/>
              </w:rPr>
              <w:t>20</w:t>
            </w:r>
          </w:p>
        </w:tc>
        <w:tc>
          <w:tcPr>
            <w:tcW w:w="1276" w:type="dxa"/>
          </w:tcPr>
          <w:p w14:paraId="41143BA0" w14:textId="49350A2E"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95</w:t>
            </w:r>
            <w:r w:rsidR="00C570E7">
              <w:rPr>
                <w:rFonts w:ascii="Arial" w:hAnsi="Arial" w:cs="Arial"/>
                <w:b/>
                <w:sz w:val="20"/>
                <w:lang w:val="en-GB"/>
              </w:rPr>
              <w:t>0</w:t>
            </w:r>
          </w:p>
        </w:tc>
        <w:tc>
          <w:tcPr>
            <w:tcW w:w="1417" w:type="dxa"/>
          </w:tcPr>
          <w:p w14:paraId="40405339"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128</w:t>
            </w:r>
          </w:p>
        </w:tc>
        <w:tc>
          <w:tcPr>
            <w:tcW w:w="1199" w:type="dxa"/>
          </w:tcPr>
          <w:p w14:paraId="7EC59356" w14:textId="784F557A"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1,07</w:t>
            </w:r>
            <w:r w:rsidR="00C570E7">
              <w:rPr>
                <w:rFonts w:ascii="Arial" w:hAnsi="Arial" w:cs="Arial"/>
                <w:b/>
                <w:sz w:val="20"/>
                <w:lang w:val="en-GB"/>
              </w:rPr>
              <w:t>8</w:t>
            </w:r>
          </w:p>
        </w:tc>
      </w:tr>
      <w:tr w:rsidR="007154D5" w:rsidRPr="007154D5" w14:paraId="2F3777ED" w14:textId="77777777" w:rsidTr="00316002">
        <w:tc>
          <w:tcPr>
            <w:tcW w:w="5839" w:type="dxa"/>
          </w:tcPr>
          <w:p w14:paraId="5D047E93" w14:textId="77777777" w:rsidR="007154D5" w:rsidRPr="007154D5" w:rsidRDefault="007154D5" w:rsidP="00316002">
            <w:pPr>
              <w:spacing w:before="120"/>
              <w:rPr>
                <w:rFonts w:ascii="Arial" w:hAnsi="Arial" w:cs="Arial"/>
                <w:b/>
                <w:sz w:val="20"/>
              </w:rPr>
            </w:pPr>
            <w:r w:rsidRPr="007154D5">
              <w:rPr>
                <w:rFonts w:ascii="Arial" w:hAnsi="Arial" w:cs="Arial"/>
                <w:sz w:val="20"/>
              </w:rPr>
              <w:t>Fixed rent</w:t>
            </w:r>
          </w:p>
        </w:tc>
        <w:tc>
          <w:tcPr>
            <w:tcW w:w="1276" w:type="dxa"/>
          </w:tcPr>
          <w:p w14:paraId="1078AA3E"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706</w:t>
            </w:r>
          </w:p>
        </w:tc>
        <w:tc>
          <w:tcPr>
            <w:tcW w:w="1417" w:type="dxa"/>
          </w:tcPr>
          <w:p w14:paraId="0027C207"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w:t>
            </w:r>
          </w:p>
        </w:tc>
        <w:tc>
          <w:tcPr>
            <w:tcW w:w="1199" w:type="dxa"/>
          </w:tcPr>
          <w:p w14:paraId="104B2E2F"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706</w:t>
            </w:r>
          </w:p>
        </w:tc>
      </w:tr>
      <w:tr w:rsidR="007154D5" w:rsidRPr="007154D5" w14:paraId="522FD939" w14:textId="77777777" w:rsidTr="00316002">
        <w:tc>
          <w:tcPr>
            <w:tcW w:w="5839" w:type="dxa"/>
          </w:tcPr>
          <w:p w14:paraId="7E007F70" w14:textId="77777777" w:rsidR="007154D5" w:rsidRPr="007154D5" w:rsidRDefault="007154D5" w:rsidP="00316002">
            <w:pPr>
              <w:spacing w:before="120"/>
              <w:rPr>
                <w:rFonts w:ascii="Arial" w:hAnsi="Arial" w:cs="Arial"/>
                <w:b/>
                <w:sz w:val="20"/>
              </w:rPr>
            </w:pPr>
            <w:r w:rsidRPr="007154D5">
              <w:rPr>
                <w:rFonts w:ascii="Arial" w:hAnsi="Arial" w:cs="Arial"/>
                <w:sz w:val="20"/>
              </w:rPr>
              <w:t>Variable rent with minimum payment</w:t>
            </w:r>
          </w:p>
        </w:tc>
        <w:tc>
          <w:tcPr>
            <w:tcW w:w="1276" w:type="dxa"/>
          </w:tcPr>
          <w:p w14:paraId="7425F4E1"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340</w:t>
            </w:r>
          </w:p>
        </w:tc>
        <w:tc>
          <w:tcPr>
            <w:tcW w:w="1417" w:type="dxa"/>
          </w:tcPr>
          <w:p w14:paraId="6F304C0E"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81</w:t>
            </w:r>
          </w:p>
        </w:tc>
        <w:tc>
          <w:tcPr>
            <w:tcW w:w="1199" w:type="dxa"/>
          </w:tcPr>
          <w:p w14:paraId="2AE299B7"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421</w:t>
            </w:r>
          </w:p>
        </w:tc>
      </w:tr>
      <w:tr w:rsidR="007154D5" w:rsidRPr="007154D5" w14:paraId="1146E68B" w14:textId="77777777" w:rsidTr="00316002">
        <w:tc>
          <w:tcPr>
            <w:tcW w:w="5839" w:type="dxa"/>
          </w:tcPr>
          <w:p w14:paraId="10AD2E16" w14:textId="77777777" w:rsidR="007154D5" w:rsidRPr="007154D5" w:rsidRDefault="007154D5" w:rsidP="00316002">
            <w:pPr>
              <w:spacing w:before="120"/>
              <w:rPr>
                <w:rFonts w:ascii="Arial" w:hAnsi="Arial" w:cs="Arial"/>
                <w:b/>
                <w:sz w:val="20"/>
              </w:rPr>
            </w:pPr>
            <w:r w:rsidRPr="007154D5">
              <w:rPr>
                <w:rFonts w:ascii="Arial" w:hAnsi="Arial" w:cs="Arial"/>
                <w:sz w:val="20"/>
              </w:rPr>
              <w:t>Variable rent only</w:t>
            </w:r>
          </w:p>
        </w:tc>
        <w:tc>
          <w:tcPr>
            <w:tcW w:w="1276" w:type="dxa"/>
          </w:tcPr>
          <w:p w14:paraId="5ECDB551"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w:t>
            </w:r>
          </w:p>
        </w:tc>
        <w:tc>
          <w:tcPr>
            <w:tcW w:w="1417" w:type="dxa"/>
          </w:tcPr>
          <w:p w14:paraId="14B1CE87"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38</w:t>
            </w:r>
          </w:p>
        </w:tc>
        <w:tc>
          <w:tcPr>
            <w:tcW w:w="1199" w:type="dxa"/>
          </w:tcPr>
          <w:p w14:paraId="044CCC51"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38</w:t>
            </w:r>
          </w:p>
        </w:tc>
      </w:tr>
      <w:tr w:rsidR="007154D5" w:rsidRPr="007154D5" w14:paraId="0C88392D" w14:textId="77777777" w:rsidTr="00316002">
        <w:tc>
          <w:tcPr>
            <w:tcW w:w="5839" w:type="dxa"/>
          </w:tcPr>
          <w:p w14:paraId="68070EED" w14:textId="77777777" w:rsidR="007154D5" w:rsidRPr="007154D5" w:rsidRDefault="007154D5" w:rsidP="00316002">
            <w:pPr>
              <w:spacing w:before="120"/>
              <w:rPr>
                <w:rFonts w:ascii="Arial" w:hAnsi="Arial" w:cs="Arial"/>
                <w:b/>
                <w:sz w:val="20"/>
              </w:rPr>
            </w:pPr>
          </w:p>
        </w:tc>
        <w:tc>
          <w:tcPr>
            <w:tcW w:w="1276" w:type="dxa"/>
          </w:tcPr>
          <w:p w14:paraId="71D48F48"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1,046</w:t>
            </w:r>
          </w:p>
        </w:tc>
        <w:tc>
          <w:tcPr>
            <w:tcW w:w="1417" w:type="dxa"/>
          </w:tcPr>
          <w:p w14:paraId="0289C0A9"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fldChar w:fldCharType="begin"/>
            </w:r>
            <w:r w:rsidRPr="007154D5">
              <w:rPr>
                <w:rFonts w:ascii="Arial" w:hAnsi="Arial" w:cs="Arial"/>
                <w:b/>
                <w:sz w:val="20"/>
                <w:lang w:val="en-GB"/>
              </w:rPr>
              <w:instrText xml:space="preserve"> =SUM(ABOVE) </w:instrText>
            </w:r>
            <w:r w:rsidRPr="007154D5">
              <w:rPr>
                <w:rFonts w:ascii="Arial" w:hAnsi="Arial" w:cs="Arial"/>
                <w:b/>
                <w:sz w:val="20"/>
                <w:lang w:val="en-GB"/>
              </w:rPr>
              <w:fldChar w:fldCharType="separate"/>
            </w:r>
            <w:r w:rsidRPr="007154D5">
              <w:rPr>
                <w:rFonts w:ascii="Arial" w:hAnsi="Arial" w:cs="Arial"/>
                <w:b/>
                <w:noProof/>
                <w:sz w:val="20"/>
                <w:lang w:val="en-GB"/>
              </w:rPr>
              <w:t>119</w:t>
            </w:r>
            <w:r w:rsidRPr="007154D5">
              <w:rPr>
                <w:rFonts w:ascii="Arial" w:hAnsi="Arial" w:cs="Arial"/>
                <w:b/>
                <w:sz w:val="20"/>
                <w:lang w:val="en-GB"/>
              </w:rPr>
              <w:fldChar w:fldCharType="end"/>
            </w:r>
          </w:p>
        </w:tc>
        <w:tc>
          <w:tcPr>
            <w:tcW w:w="1199" w:type="dxa"/>
          </w:tcPr>
          <w:p w14:paraId="79B0BE7A"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1,165</w:t>
            </w:r>
          </w:p>
        </w:tc>
      </w:tr>
    </w:tbl>
    <w:p w14:paraId="66397CBE" w14:textId="77777777" w:rsidR="007154D5" w:rsidRDefault="007154D5" w:rsidP="00CE6971">
      <w:pPr>
        <w:spacing w:line="280" w:lineRule="exact"/>
        <w:rPr>
          <w:rFonts w:ascii="Arial" w:hAnsi="Arial" w:cs="Arial"/>
          <w:sz w:val="20"/>
        </w:rPr>
      </w:pPr>
    </w:p>
    <w:p w14:paraId="60C8E93A" w14:textId="0EAD62CB" w:rsidR="007220A6" w:rsidRDefault="007154D5" w:rsidP="00CE6971">
      <w:pPr>
        <w:spacing w:line="280" w:lineRule="exact"/>
        <w:rPr>
          <w:rFonts w:ascii="Arial" w:hAnsi="Arial" w:cs="Arial"/>
          <w:sz w:val="20"/>
        </w:rPr>
      </w:pPr>
      <w:r w:rsidRPr="007154D5">
        <w:rPr>
          <w:rFonts w:ascii="Arial" w:hAnsi="Arial" w:cs="Arial"/>
          <w:sz w:val="20"/>
        </w:rPr>
        <w:t>A 5% increase in units produced for the relevant products would increase total lease payments by 1%.</w:t>
      </w:r>
    </w:p>
    <w:p w14:paraId="2CB3B7BA" w14:textId="059C13F8" w:rsidR="007154D5" w:rsidRDefault="007154D5" w:rsidP="00CE6971">
      <w:pPr>
        <w:spacing w:line="280" w:lineRule="exact"/>
        <w:rPr>
          <w:rFonts w:ascii="Arial" w:hAnsi="Arial" w:cs="Arial"/>
          <w:sz w:val="20"/>
        </w:rPr>
      </w:pPr>
    </w:p>
    <w:p w14:paraId="4FB6C9D0" w14:textId="51FF38B9" w:rsidR="007154D5" w:rsidRDefault="007154D5" w:rsidP="007154D5">
      <w:pPr>
        <w:shd w:val="clear" w:color="auto" w:fill="C1C1C1" w:themeFill="background1" w:themeFillTint="66"/>
        <w:spacing w:line="280" w:lineRule="exact"/>
        <w:rPr>
          <w:rFonts w:ascii="Arial" w:hAnsi="Arial" w:cs="Arial"/>
          <w:sz w:val="20"/>
        </w:rPr>
      </w:pPr>
    </w:p>
    <w:p w14:paraId="78638247" w14:textId="77777777" w:rsidR="007154D5" w:rsidRPr="00E70587" w:rsidRDefault="007154D5" w:rsidP="007154D5">
      <w:pPr>
        <w:pStyle w:val="Notesbodytext"/>
        <w:shd w:val="clear" w:color="auto" w:fill="C1C1C1" w:themeFill="background1" w:themeFillTint="66"/>
        <w:spacing w:after="0" w:line="280" w:lineRule="exact"/>
        <w:jc w:val="both"/>
        <w:rPr>
          <w:rFonts w:ascii="Arial" w:hAnsi="Arial"/>
          <w:b/>
          <w:sz w:val="20"/>
        </w:rPr>
      </w:pPr>
      <w:r w:rsidRPr="00E70587">
        <w:rPr>
          <w:rFonts w:ascii="Arial" w:hAnsi="Arial"/>
          <w:b/>
          <w:sz w:val="20"/>
        </w:rPr>
        <w:t>Authors’ note</w:t>
      </w:r>
    </w:p>
    <w:p w14:paraId="472FFC94" w14:textId="77777777" w:rsidR="007154D5" w:rsidRDefault="007154D5" w:rsidP="007154D5">
      <w:pPr>
        <w:shd w:val="clear" w:color="auto" w:fill="C1C1C1" w:themeFill="background1" w:themeFillTint="66"/>
        <w:spacing w:line="280" w:lineRule="exact"/>
        <w:rPr>
          <w:rFonts w:ascii="Arial" w:hAnsi="Arial" w:cs="Arial"/>
          <w:sz w:val="20"/>
        </w:rPr>
      </w:pPr>
    </w:p>
    <w:p w14:paraId="75CA85DC" w14:textId="77777777" w:rsidR="007154D5" w:rsidRPr="007154D5" w:rsidRDefault="007154D5" w:rsidP="007154D5">
      <w:pPr>
        <w:shd w:val="clear" w:color="auto" w:fill="C1C1C1" w:themeFill="background1" w:themeFillTint="66"/>
        <w:spacing w:line="280" w:lineRule="exact"/>
        <w:rPr>
          <w:rFonts w:ascii="Arial" w:hAnsi="Arial" w:cs="Arial"/>
          <w:sz w:val="20"/>
        </w:rPr>
      </w:pPr>
      <w:r w:rsidRPr="007154D5">
        <w:rPr>
          <w:rFonts w:ascii="Arial" w:hAnsi="Arial" w:cs="Arial"/>
          <w:sz w:val="20"/>
        </w:rPr>
        <w:t>Disclosures of additional information relating to variable lease payments could include (Ind AS116.B49):</w:t>
      </w:r>
    </w:p>
    <w:p w14:paraId="757E34BE" w14:textId="77777777" w:rsidR="007154D5" w:rsidRPr="007154D5" w:rsidRDefault="007154D5" w:rsidP="007154D5">
      <w:pPr>
        <w:shd w:val="clear" w:color="auto" w:fill="C1C1C1" w:themeFill="background1" w:themeFillTint="66"/>
        <w:spacing w:line="280" w:lineRule="exact"/>
        <w:rPr>
          <w:rFonts w:ascii="Arial" w:hAnsi="Arial" w:cs="Arial"/>
          <w:sz w:val="20"/>
        </w:rPr>
      </w:pPr>
      <w:r w:rsidRPr="007154D5">
        <w:rPr>
          <w:rFonts w:ascii="Arial" w:hAnsi="Arial" w:cs="Arial"/>
          <w:sz w:val="20"/>
        </w:rPr>
        <w:t>►</w:t>
      </w:r>
      <w:r w:rsidRPr="007154D5">
        <w:rPr>
          <w:rFonts w:ascii="Arial" w:hAnsi="Arial" w:cs="Arial"/>
          <w:sz w:val="20"/>
        </w:rPr>
        <w:tab/>
        <w:t>The lessee’s reasons for using variable lease payments and the prevalence of those payments</w:t>
      </w:r>
    </w:p>
    <w:p w14:paraId="05BA458D" w14:textId="77777777" w:rsidR="007154D5" w:rsidRPr="007154D5" w:rsidRDefault="007154D5" w:rsidP="007154D5">
      <w:pPr>
        <w:shd w:val="clear" w:color="auto" w:fill="C1C1C1" w:themeFill="background1" w:themeFillTint="66"/>
        <w:spacing w:line="280" w:lineRule="exact"/>
        <w:rPr>
          <w:rFonts w:ascii="Arial" w:hAnsi="Arial" w:cs="Arial"/>
          <w:sz w:val="20"/>
        </w:rPr>
      </w:pPr>
      <w:r w:rsidRPr="007154D5">
        <w:rPr>
          <w:rFonts w:ascii="Arial" w:hAnsi="Arial" w:cs="Arial"/>
          <w:sz w:val="20"/>
        </w:rPr>
        <w:t>►</w:t>
      </w:r>
      <w:r w:rsidRPr="007154D5">
        <w:rPr>
          <w:rFonts w:ascii="Arial" w:hAnsi="Arial" w:cs="Arial"/>
          <w:sz w:val="20"/>
        </w:rPr>
        <w:tab/>
        <w:t>The relative magnitude of variable lease payments to fixed payments</w:t>
      </w:r>
    </w:p>
    <w:p w14:paraId="560AF4AF" w14:textId="77777777" w:rsidR="007154D5" w:rsidRPr="007154D5" w:rsidRDefault="007154D5" w:rsidP="007154D5">
      <w:pPr>
        <w:shd w:val="clear" w:color="auto" w:fill="C1C1C1" w:themeFill="background1" w:themeFillTint="66"/>
        <w:spacing w:line="280" w:lineRule="exact"/>
        <w:rPr>
          <w:rFonts w:ascii="Arial" w:hAnsi="Arial" w:cs="Arial"/>
          <w:sz w:val="20"/>
        </w:rPr>
      </w:pPr>
      <w:r w:rsidRPr="007154D5">
        <w:rPr>
          <w:rFonts w:ascii="Arial" w:hAnsi="Arial" w:cs="Arial"/>
          <w:sz w:val="20"/>
        </w:rPr>
        <w:t>►</w:t>
      </w:r>
      <w:r w:rsidRPr="007154D5">
        <w:rPr>
          <w:rFonts w:ascii="Arial" w:hAnsi="Arial" w:cs="Arial"/>
          <w:sz w:val="20"/>
        </w:rPr>
        <w:tab/>
        <w:t>Key variables upon which variable lease payments depend on how payments are expected to vary in response to changes in those key variables</w:t>
      </w:r>
    </w:p>
    <w:p w14:paraId="7D59BBD5" w14:textId="77777777" w:rsidR="007154D5" w:rsidRPr="007154D5" w:rsidRDefault="007154D5" w:rsidP="007154D5">
      <w:pPr>
        <w:shd w:val="clear" w:color="auto" w:fill="C1C1C1" w:themeFill="background1" w:themeFillTint="66"/>
        <w:spacing w:line="280" w:lineRule="exact"/>
        <w:rPr>
          <w:rFonts w:ascii="Arial" w:hAnsi="Arial" w:cs="Arial"/>
          <w:sz w:val="20"/>
        </w:rPr>
      </w:pPr>
      <w:r w:rsidRPr="007154D5">
        <w:rPr>
          <w:rFonts w:ascii="Arial" w:hAnsi="Arial" w:cs="Arial"/>
          <w:sz w:val="20"/>
        </w:rPr>
        <w:t>►</w:t>
      </w:r>
      <w:r w:rsidRPr="007154D5">
        <w:rPr>
          <w:rFonts w:ascii="Arial" w:hAnsi="Arial" w:cs="Arial"/>
          <w:sz w:val="20"/>
        </w:rPr>
        <w:tab/>
        <w:t>Other operational and financial effects of variable lease payments</w:t>
      </w:r>
    </w:p>
    <w:p w14:paraId="5593C09D" w14:textId="7687C78C" w:rsidR="007154D5" w:rsidRDefault="007154D5" w:rsidP="007154D5">
      <w:pPr>
        <w:shd w:val="clear" w:color="auto" w:fill="C1C1C1" w:themeFill="background1" w:themeFillTint="66"/>
        <w:spacing w:line="280" w:lineRule="exact"/>
        <w:rPr>
          <w:rFonts w:ascii="Arial" w:hAnsi="Arial" w:cs="Arial"/>
          <w:sz w:val="20"/>
        </w:rPr>
      </w:pPr>
      <w:r w:rsidRPr="007154D5">
        <w:rPr>
          <w:rFonts w:ascii="Arial" w:hAnsi="Arial" w:cs="Arial"/>
          <w:sz w:val="20"/>
        </w:rPr>
        <w:t>Entities would need to exercise judgement in determining the extent of disclosures needed to satisfy the disclosure objective of the standard (i.e., to provide a basis for users to assess the effect of leases on the financial position, financial performance, and cash flows of the lessee).</w:t>
      </w:r>
    </w:p>
    <w:p w14:paraId="7651D885" w14:textId="1C89E3D8" w:rsidR="007154D5" w:rsidRDefault="007154D5" w:rsidP="00CE6971">
      <w:pPr>
        <w:spacing w:line="280" w:lineRule="exact"/>
        <w:rPr>
          <w:rFonts w:ascii="Arial" w:hAnsi="Arial" w:cs="Arial"/>
          <w:sz w:val="20"/>
        </w:rPr>
      </w:pPr>
    </w:p>
    <w:p w14:paraId="7DBAD9BC" w14:textId="77777777" w:rsidR="007154D5" w:rsidRPr="007154D5" w:rsidRDefault="007154D5" w:rsidP="007154D5">
      <w:pPr>
        <w:spacing w:line="280" w:lineRule="exact"/>
        <w:rPr>
          <w:rFonts w:ascii="Arial" w:hAnsi="Arial" w:cs="Arial"/>
          <w:sz w:val="20"/>
        </w:rPr>
      </w:pPr>
      <w:r w:rsidRPr="007154D5">
        <w:rPr>
          <w:rFonts w:ascii="Arial" w:hAnsi="Arial" w:cs="Arial"/>
          <w:sz w:val="20"/>
        </w:rPr>
        <w:t>The Group has several lease contracts that include extension and termination options. These options are negotiated by management to provide flexibility in managing the leased-asset portfolio and align with the Group’s business needs. Management exercises significant judgement in determining whether these extension and termination options are reasonably certain to be exercised (see Note 34).</w:t>
      </w:r>
    </w:p>
    <w:p w14:paraId="043FF9A3" w14:textId="77777777" w:rsidR="007154D5" w:rsidRPr="007154D5" w:rsidRDefault="007154D5" w:rsidP="007154D5">
      <w:pPr>
        <w:spacing w:line="280" w:lineRule="exact"/>
        <w:rPr>
          <w:rFonts w:ascii="Arial" w:hAnsi="Arial" w:cs="Arial"/>
          <w:sz w:val="20"/>
        </w:rPr>
      </w:pPr>
    </w:p>
    <w:p w14:paraId="70F692D5" w14:textId="50D58B98" w:rsidR="007154D5" w:rsidRDefault="007154D5" w:rsidP="007154D5">
      <w:pPr>
        <w:spacing w:line="280" w:lineRule="exact"/>
        <w:rPr>
          <w:rFonts w:ascii="Arial" w:hAnsi="Arial" w:cs="Arial"/>
          <w:sz w:val="20"/>
        </w:rPr>
      </w:pPr>
      <w:r w:rsidRPr="007154D5">
        <w:rPr>
          <w:rFonts w:ascii="Arial" w:hAnsi="Arial" w:cs="Arial"/>
          <w:sz w:val="20"/>
        </w:rPr>
        <w:t>Set out below are the undiscounted potential future rental payments relating to periods following the exercise date of extension and termination options that are not included in the lease term:</w:t>
      </w:r>
      <w:r w:rsidRPr="007154D5">
        <w:rPr>
          <w:rFonts w:ascii="Arial" w:hAnsi="Arial" w:cs="Arial"/>
          <w:sz w:val="20"/>
        </w:rPr>
        <w:tab/>
      </w:r>
    </w:p>
    <w:p w14:paraId="2B593198" w14:textId="17D052DD" w:rsidR="007154D5" w:rsidRDefault="007154D5" w:rsidP="007154D5">
      <w:pPr>
        <w:spacing w:line="280" w:lineRule="exact"/>
        <w:rPr>
          <w:rFonts w:ascii="Arial" w:hAnsi="Arial" w:cs="Arial"/>
          <w:sz w:val="20"/>
        </w:rPr>
      </w:pPr>
    </w:p>
    <w:tbl>
      <w:tblPr>
        <w:tblStyle w:val="TableGrid"/>
        <w:tblW w:w="0" w:type="auto"/>
        <w:tblLayout w:type="fixed"/>
        <w:tblLook w:val="04A0" w:firstRow="1" w:lastRow="0" w:firstColumn="1" w:lastColumn="0" w:noHBand="0" w:noVBand="1"/>
      </w:tblPr>
      <w:tblGrid>
        <w:gridCol w:w="5981"/>
        <w:gridCol w:w="1275"/>
        <w:gridCol w:w="1276"/>
        <w:gridCol w:w="1199"/>
      </w:tblGrid>
      <w:tr w:rsidR="007154D5" w:rsidRPr="007154D5" w14:paraId="154D1635" w14:textId="77777777" w:rsidTr="00316002">
        <w:tc>
          <w:tcPr>
            <w:tcW w:w="5981" w:type="dxa"/>
          </w:tcPr>
          <w:p w14:paraId="6E3726C2" w14:textId="77777777" w:rsidR="007154D5" w:rsidRPr="007154D5" w:rsidRDefault="007154D5" w:rsidP="00316002">
            <w:pPr>
              <w:spacing w:before="120"/>
              <w:rPr>
                <w:rFonts w:ascii="Arial" w:hAnsi="Arial" w:cs="Arial"/>
                <w:sz w:val="20"/>
              </w:rPr>
            </w:pPr>
          </w:p>
        </w:tc>
        <w:tc>
          <w:tcPr>
            <w:tcW w:w="1275" w:type="dxa"/>
          </w:tcPr>
          <w:p w14:paraId="54D6C5C7" w14:textId="77777777" w:rsidR="007154D5" w:rsidRPr="007154D5" w:rsidRDefault="007154D5" w:rsidP="00316002">
            <w:pPr>
              <w:spacing w:before="120"/>
              <w:jc w:val="right"/>
              <w:rPr>
                <w:rFonts w:ascii="Arial" w:hAnsi="Arial" w:cs="Arial"/>
                <w:b/>
                <w:sz w:val="20"/>
              </w:rPr>
            </w:pPr>
            <w:r w:rsidRPr="007154D5">
              <w:rPr>
                <w:rFonts w:ascii="Arial" w:hAnsi="Arial" w:cs="Arial"/>
                <w:b/>
                <w:sz w:val="20"/>
              </w:rPr>
              <w:t>Within five years</w:t>
            </w:r>
          </w:p>
        </w:tc>
        <w:tc>
          <w:tcPr>
            <w:tcW w:w="1276" w:type="dxa"/>
          </w:tcPr>
          <w:p w14:paraId="4E6E534F" w14:textId="77777777" w:rsidR="007154D5" w:rsidRPr="007154D5" w:rsidRDefault="007154D5" w:rsidP="00316002">
            <w:pPr>
              <w:jc w:val="right"/>
              <w:rPr>
                <w:rFonts w:ascii="Arial" w:hAnsi="Arial" w:cs="Arial"/>
                <w:b/>
                <w:bCs/>
                <w:sz w:val="20"/>
                <w:lang w:eastAsia="en-IN"/>
              </w:rPr>
            </w:pPr>
            <w:r w:rsidRPr="007154D5">
              <w:rPr>
                <w:rFonts w:ascii="Arial" w:hAnsi="Arial" w:cs="Arial"/>
                <w:b/>
                <w:bCs/>
                <w:sz w:val="20"/>
                <w:lang w:eastAsia="en-IN"/>
              </w:rPr>
              <w:t>More than five years</w:t>
            </w:r>
          </w:p>
        </w:tc>
        <w:tc>
          <w:tcPr>
            <w:tcW w:w="1199" w:type="dxa"/>
          </w:tcPr>
          <w:p w14:paraId="797EECBD" w14:textId="77777777" w:rsidR="007154D5" w:rsidRPr="007154D5" w:rsidRDefault="007154D5" w:rsidP="00316002">
            <w:pPr>
              <w:spacing w:before="120"/>
              <w:jc w:val="right"/>
              <w:rPr>
                <w:rFonts w:ascii="Arial" w:hAnsi="Arial" w:cs="Arial"/>
                <w:b/>
                <w:sz w:val="20"/>
              </w:rPr>
            </w:pPr>
            <w:r w:rsidRPr="007154D5">
              <w:rPr>
                <w:rFonts w:ascii="Arial" w:hAnsi="Arial" w:cs="Arial"/>
                <w:b/>
                <w:bCs/>
                <w:sz w:val="20"/>
                <w:lang w:eastAsia="en-IN"/>
              </w:rPr>
              <w:t>Total</w:t>
            </w:r>
          </w:p>
        </w:tc>
      </w:tr>
      <w:tr w:rsidR="007154D5" w:rsidRPr="007154D5" w14:paraId="219977CE" w14:textId="77777777" w:rsidTr="00316002">
        <w:tc>
          <w:tcPr>
            <w:tcW w:w="5981" w:type="dxa"/>
          </w:tcPr>
          <w:p w14:paraId="4959B95C" w14:textId="77777777" w:rsidR="007154D5" w:rsidRPr="007154D5" w:rsidRDefault="007154D5" w:rsidP="00316002">
            <w:pPr>
              <w:spacing w:before="120"/>
              <w:rPr>
                <w:rFonts w:ascii="Arial" w:hAnsi="Arial" w:cs="Arial"/>
                <w:sz w:val="20"/>
              </w:rPr>
            </w:pPr>
            <w:r w:rsidRPr="007154D5">
              <w:rPr>
                <w:rFonts w:ascii="Arial" w:hAnsi="Arial" w:cs="Arial"/>
                <w:sz w:val="20"/>
              </w:rPr>
              <w:t>Extension options expected not to be exercised</w:t>
            </w:r>
          </w:p>
        </w:tc>
        <w:tc>
          <w:tcPr>
            <w:tcW w:w="1275" w:type="dxa"/>
          </w:tcPr>
          <w:p w14:paraId="1228CA8D"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945</w:t>
            </w:r>
          </w:p>
        </w:tc>
        <w:tc>
          <w:tcPr>
            <w:tcW w:w="1276" w:type="dxa"/>
          </w:tcPr>
          <w:p w14:paraId="41EF4BAE"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725</w:t>
            </w:r>
          </w:p>
        </w:tc>
        <w:tc>
          <w:tcPr>
            <w:tcW w:w="1199" w:type="dxa"/>
          </w:tcPr>
          <w:p w14:paraId="14371E7E"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1,670</w:t>
            </w:r>
          </w:p>
        </w:tc>
      </w:tr>
      <w:tr w:rsidR="007154D5" w:rsidRPr="007154D5" w14:paraId="321BC94D" w14:textId="77777777" w:rsidTr="00316002">
        <w:tc>
          <w:tcPr>
            <w:tcW w:w="5981" w:type="dxa"/>
          </w:tcPr>
          <w:p w14:paraId="1795DDE0" w14:textId="77777777" w:rsidR="007154D5" w:rsidRPr="007154D5" w:rsidRDefault="007154D5" w:rsidP="00316002">
            <w:pPr>
              <w:spacing w:before="120"/>
              <w:rPr>
                <w:rFonts w:ascii="Arial" w:hAnsi="Arial" w:cs="Arial"/>
                <w:sz w:val="20"/>
              </w:rPr>
            </w:pPr>
            <w:r w:rsidRPr="007154D5">
              <w:rPr>
                <w:rFonts w:ascii="Arial" w:hAnsi="Arial" w:cs="Arial"/>
                <w:sz w:val="20"/>
              </w:rPr>
              <w:t>Termination options expected to be exercised</w:t>
            </w:r>
          </w:p>
        </w:tc>
        <w:tc>
          <w:tcPr>
            <w:tcW w:w="1275" w:type="dxa"/>
          </w:tcPr>
          <w:p w14:paraId="6B6D8B27"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763</w:t>
            </w:r>
          </w:p>
        </w:tc>
        <w:tc>
          <w:tcPr>
            <w:tcW w:w="1276" w:type="dxa"/>
          </w:tcPr>
          <w:p w14:paraId="64803A85"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364</w:t>
            </w:r>
          </w:p>
        </w:tc>
        <w:tc>
          <w:tcPr>
            <w:tcW w:w="1199" w:type="dxa"/>
          </w:tcPr>
          <w:p w14:paraId="2651FB20"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1,127</w:t>
            </w:r>
          </w:p>
        </w:tc>
      </w:tr>
      <w:tr w:rsidR="007154D5" w:rsidRPr="007154D5" w14:paraId="2D841A1D" w14:textId="77777777" w:rsidTr="00316002">
        <w:tc>
          <w:tcPr>
            <w:tcW w:w="5981" w:type="dxa"/>
          </w:tcPr>
          <w:p w14:paraId="6F065E2B" w14:textId="77777777" w:rsidR="007154D5" w:rsidRPr="007154D5" w:rsidRDefault="007154D5" w:rsidP="00316002">
            <w:pPr>
              <w:spacing w:before="120"/>
              <w:rPr>
                <w:rFonts w:ascii="Arial" w:hAnsi="Arial" w:cs="Arial"/>
                <w:sz w:val="20"/>
              </w:rPr>
            </w:pPr>
          </w:p>
        </w:tc>
        <w:tc>
          <w:tcPr>
            <w:tcW w:w="1275" w:type="dxa"/>
          </w:tcPr>
          <w:p w14:paraId="62579799"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1,708</w:t>
            </w:r>
          </w:p>
        </w:tc>
        <w:tc>
          <w:tcPr>
            <w:tcW w:w="1276" w:type="dxa"/>
          </w:tcPr>
          <w:p w14:paraId="555FABB6"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1,089</w:t>
            </w:r>
          </w:p>
        </w:tc>
        <w:tc>
          <w:tcPr>
            <w:tcW w:w="1199" w:type="dxa"/>
          </w:tcPr>
          <w:p w14:paraId="524B4ADE"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2,797</w:t>
            </w:r>
          </w:p>
        </w:tc>
      </w:tr>
      <w:tr w:rsidR="007154D5" w:rsidRPr="007154D5" w14:paraId="3B7F96BB" w14:textId="77777777" w:rsidTr="00316002">
        <w:tc>
          <w:tcPr>
            <w:tcW w:w="5981" w:type="dxa"/>
          </w:tcPr>
          <w:p w14:paraId="3FEAA0DA" w14:textId="77777777" w:rsidR="007154D5" w:rsidRPr="007154D5" w:rsidRDefault="007154D5" w:rsidP="00316002">
            <w:pPr>
              <w:spacing w:before="120"/>
              <w:rPr>
                <w:rFonts w:ascii="Arial" w:hAnsi="Arial" w:cs="Arial"/>
                <w:sz w:val="20"/>
              </w:rPr>
            </w:pPr>
            <w:r w:rsidRPr="007154D5">
              <w:rPr>
                <w:rFonts w:ascii="Arial" w:hAnsi="Arial" w:cs="Arial"/>
                <w:sz w:val="20"/>
              </w:rPr>
              <w:t>Extension options expected not to be exercised</w:t>
            </w:r>
          </w:p>
        </w:tc>
        <w:tc>
          <w:tcPr>
            <w:tcW w:w="1275" w:type="dxa"/>
          </w:tcPr>
          <w:p w14:paraId="2729AEA1"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907</w:t>
            </w:r>
          </w:p>
        </w:tc>
        <w:tc>
          <w:tcPr>
            <w:tcW w:w="1276" w:type="dxa"/>
          </w:tcPr>
          <w:p w14:paraId="051D0B64"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716</w:t>
            </w:r>
          </w:p>
        </w:tc>
        <w:tc>
          <w:tcPr>
            <w:tcW w:w="1199" w:type="dxa"/>
          </w:tcPr>
          <w:p w14:paraId="464AB7F2" w14:textId="06E639C4"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1,62</w:t>
            </w:r>
            <w:r w:rsidR="006A131F">
              <w:rPr>
                <w:rFonts w:ascii="Arial" w:hAnsi="Arial" w:cs="Arial"/>
                <w:b/>
                <w:sz w:val="20"/>
                <w:lang w:val="en-GB"/>
              </w:rPr>
              <w:t>4</w:t>
            </w:r>
          </w:p>
        </w:tc>
      </w:tr>
      <w:tr w:rsidR="007154D5" w:rsidRPr="007154D5" w14:paraId="580F0D35" w14:textId="77777777" w:rsidTr="00316002">
        <w:tc>
          <w:tcPr>
            <w:tcW w:w="5981" w:type="dxa"/>
          </w:tcPr>
          <w:p w14:paraId="28C65947" w14:textId="77777777" w:rsidR="007154D5" w:rsidRPr="007154D5" w:rsidRDefault="007154D5" w:rsidP="00316002">
            <w:pPr>
              <w:spacing w:before="120"/>
              <w:rPr>
                <w:rFonts w:ascii="Arial" w:hAnsi="Arial" w:cs="Arial"/>
                <w:sz w:val="20"/>
              </w:rPr>
            </w:pPr>
            <w:r w:rsidRPr="007154D5">
              <w:rPr>
                <w:rFonts w:ascii="Arial" w:hAnsi="Arial" w:cs="Arial"/>
                <w:sz w:val="20"/>
              </w:rPr>
              <w:t>Termination options expected to be exercised</w:t>
            </w:r>
          </w:p>
        </w:tc>
        <w:tc>
          <w:tcPr>
            <w:tcW w:w="1275" w:type="dxa"/>
          </w:tcPr>
          <w:p w14:paraId="5C5BCE5C"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698</w:t>
            </w:r>
          </w:p>
        </w:tc>
        <w:tc>
          <w:tcPr>
            <w:tcW w:w="1276" w:type="dxa"/>
          </w:tcPr>
          <w:p w14:paraId="490889E5"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317</w:t>
            </w:r>
          </w:p>
        </w:tc>
        <w:tc>
          <w:tcPr>
            <w:tcW w:w="1199" w:type="dxa"/>
          </w:tcPr>
          <w:p w14:paraId="679EF44D"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1,015</w:t>
            </w:r>
          </w:p>
        </w:tc>
      </w:tr>
      <w:tr w:rsidR="007154D5" w:rsidRPr="007154D5" w14:paraId="6925C1D4" w14:textId="77777777" w:rsidTr="00316002">
        <w:tc>
          <w:tcPr>
            <w:tcW w:w="5981" w:type="dxa"/>
          </w:tcPr>
          <w:p w14:paraId="547A7EEC" w14:textId="77777777" w:rsidR="007154D5" w:rsidRPr="007154D5" w:rsidRDefault="007154D5" w:rsidP="00316002">
            <w:pPr>
              <w:spacing w:before="120"/>
              <w:rPr>
                <w:rFonts w:ascii="Arial" w:hAnsi="Arial" w:cs="Arial"/>
                <w:sz w:val="20"/>
              </w:rPr>
            </w:pPr>
          </w:p>
        </w:tc>
        <w:tc>
          <w:tcPr>
            <w:tcW w:w="1275" w:type="dxa"/>
          </w:tcPr>
          <w:p w14:paraId="7A640750" w14:textId="2046E328"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1,60</w:t>
            </w:r>
            <w:r w:rsidR="006A131F">
              <w:rPr>
                <w:rFonts w:ascii="Arial" w:hAnsi="Arial" w:cs="Arial"/>
                <w:b/>
                <w:sz w:val="20"/>
                <w:lang w:val="en-GB"/>
              </w:rPr>
              <w:t>6</w:t>
            </w:r>
          </w:p>
        </w:tc>
        <w:tc>
          <w:tcPr>
            <w:tcW w:w="1276" w:type="dxa"/>
          </w:tcPr>
          <w:p w14:paraId="6A797142"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1,033</w:t>
            </w:r>
          </w:p>
        </w:tc>
        <w:tc>
          <w:tcPr>
            <w:tcW w:w="1199" w:type="dxa"/>
          </w:tcPr>
          <w:p w14:paraId="4FFAF214" w14:textId="417A63C9"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2,63</w:t>
            </w:r>
            <w:r w:rsidR="006A131F">
              <w:rPr>
                <w:rFonts w:ascii="Arial" w:hAnsi="Arial" w:cs="Arial"/>
                <w:b/>
                <w:sz w:val="20"/>
                <w:lang w:val="en-GB"/>
              </w:rPr>
              <w:t>9</w:t>
            </w:r>
          </w:p>
        </w:tc>
      </w:tr>
    </w:tbl>
    <w:p w14:paraId="2E079611" w14:textId="49370CC7" w:rsidR="007154D5" w:rsidRDefault="007154D5" w:rsidP="007154D5">
      <w:pPr>
        <w:spacing w:line="280" w:lineRule="exact"/>
        <w:rPr>
          <w:rFonts w:ascii="Arial" w:hAnsi="Arial" w:cs="Arial"/>
          <w:sz w:val="20"/>
        </w:rPr>
      </w:pPr>
    </w:p>
    <w:p w14:paraId="5FF208CE" w14:textId="6348B0DC" w:rsidR="007154D5" w:rsidRDefault="007154D5" w:rsidP="007154D5">
      <w:pPr>
        <w:spacing w:line="280" w:lineRule="exact"/>
        <w:rPr>
          <w:rFonts w:ascii="Arial" w:hAnsi="Arial" w:cs="Arial"/>
          <w:sz w:val="20"/>
        </w:rPr>
      </w:pPr>
    </w:p>
    <w:p w14:paraId="52E92345" w14:textId="77777777" w:rsidR="007154D5" w:rsidRDefault="007154D5" w:rsidP="007154D5">
      <w:pPr>
        <w:shd w:val="clear" w:color="auto" w:fill="C1C1C1" w:themeFill="background1" w:themeFillTint="66"/>
        <w:spacing w:before="120"/>
        <w:rPr>
          <w:rFonts w:ascii="Arial" w:hAnsi="Arial" w:cs="Arial"/>
          <w:sz w:val="20"/>
        </w:rPr>
      </w:pPr>
    </w:p>
    <w:p w14:paraId="2AEC654A" w14:textId="77777777" w:rsidR="007154D5" w:rsidRPr="00E70587" w:rsidRDefault="007154D5" w:rsidP="007154D5">
      <w:pPr>
        <w:pStyle w:val="Notesbodytext"/>
        <w:shd w:val="clear" w:color="auto" w:fill="C1C1C1" w:themeFill="background1" w:themeFillTint="66"/>
        <w:spacing w:after="0" w:line="280" w:lineRule="exact"/>
        <w:jc w:val="both"/>
        <w:rPr>
          <w:rFonts w:ascii="Arial" w:hAnsi="Arial"/>
          <w:b/>
          <w:sz w:val="20"/>
        </w:rPr>
      </w:pPr>
      <w:r w:rsidRPr="00E70587">
        <w:rPr>
          <w:rFonts w:ascii="Arial" w:hAnsi="Arial"/>
          <w:b/>
          <w:sz w:val="20"/>
        </w:rPr>
        <w:t>Authors’ note</w:t>
      </w:r>
    </w:p>
    <w:p w14:paraId="3A266F5E" w14:textId="77777777" w:rsidR="007154D5" w:rsidRDefault="007154D5" w:rsidP="007154D5">
      <w:pPr>
        <w:shd w:val="clear" w:color="auto" w:fill="C1C1C1" w:themeFill="background1" w:themeFillTint="66"/>
        <w:spacing w:before="120"/>
        <w:rPr>
          <w:rFonts w:ascii="Arial" w:hAnsi="Arial" w:cs="Arial"/>
          <w:sz w:val="20"/>
        </w:rPr>
      </w:pPr>
    </w:p>
    <w:p w14:paraId="094FDDE4" w14:textId="54FAF218" w:rsidR="007154D5" w:rsidRPr="007154D5" w:rsidRDefault="007154D5" w:rsidP="007154D5">
      <w:pPr>
        <w:shd w:val="clear" w:color="auto" w:fill="C1C1C1" w:themeFill="background1" w:themeFillTint="66"/>
        <w:spacing w:before="120"/>
        <w:rPr>
          <w:rFonts w:ascii="Arial" w:hAnsi="Arial" w:cs="Arial"/>
          <w:sz w:val="20"/>
        </w:rPr>
      </w:pPr>
      <w:r w:rsidRPr="007154D5">
        <w:rPr>
          <w:rFonts w:ascii="Arial" w:hAnsi="Arial" w:cs="Arial"/>
          <w:sz w:val="20"/>
        </w:rPr>
        <w:t>Disclosures of additional information relating to extension and termination options could include (Ind AS 116.B50):</w:t>
      </w:r>
    </w:p>
    <w:p w14:paraId="58003564" w14:textId="77777777" w:rsidR="007154D5" w:rsidRPr="007154D5" w:rsidRDefault="007154D5" w:rsidP="00C63FCB">
      <w:pPr>
        <w:pStyle w:val="Level1Bullets"/>
        <w:numPr>
          <w:ilvl w:val="0"/>
          <w:numId w:val="2"/>
        </w:numPr>
        <w:shd w:val="clear" w:color="auto" w:fill="C1C1C1" w:themeFill="background1" w:themeFillTint="66"/>
        <w:rPr>
          <w:rFonts w:ascii="Arial" w:hAnsi="Arial" w:cs="Arial"/>
          <w:sz w:val="20"/>
          <w:szCs w:val="20"/>
        </w:rPr>
      </w:pPr>
      <w:r w:rsidRPr="007154D5">
        <w:rPr>
          <w:rFonts w:ascii="Arial" w:hAnsi="Arial" w:cs="Arial"/>
          <w:sz w:val="20"/>
          <w:szCs w:val="28"/>
        </w:rPr>
        <w:t>The lessee’s reasons for using extension options or termination options and the prevalence of those options</w:t>
      </w:r>
    </w:p>
    <w:p w14:paraId="1B0D14B2" w14:textId="77777777" w:rsidR="007154D5" w:rsidRPr="007154D5" w:rsidRDefault="007154D5" w:rsidP="00C63FCB">
      <w:pPr>
        <w:pStyle w:val="Level1Bullets"/>
        <w:numPr>
          <w:ilvl w:val="0"/>
          <w:numId w:val="2"/>
        </w:numPr>
        <w:shd w:val="clear" w:color="auto" w:fill="C1C1C1" w:themeFill="background1" w:themeFillTint="66"/>
        <w:rPr>
          <w:rFonts w:ascii="Arial" w:hAnsi="Arial" w:cs="Arial"/>
          <w:sz w:val="20"/>
          <w:szCs w:val="20"/>
        </w:rPr>
      </w:pPr>
      <w:r w:rsidRPr="007154D5">
        <w:rPr>
          <w:rFonts w:ascii="Arial" w:hAnsi="Arial" w:cs="Arial"/>
          <w:sz w:val="20"/>
          <w:szCs w:val="20"/>
        </w:rPr>
        <w:t>The relative magnitude of optional lease payments to lease payments</w:t>
      </w:r>
    </w:p>
    <w:p w14:paraId="5FDFC28F" w14:textId="77777777" w:rsidR="007154D5" w:rsidRPr="007154D5" w:rsidRDefault="007154D5" w:rsidP="00C63FCB">
      <w:pPr>
        <w:pStyle w:val="Level1Bullets"/>
        <w:numPr>
          <w:ilvl w:val="0"/>
          <w:numId w:val="2"/>
        </w:numPr>
        <w:shd w:val="clear" w:color="auto" w:fill="C1C1C1" w:themeFill="background1" w:themeFillTint="66"/>
        <w:rPr>
          <w:rFonts w:ascii="Arial" w:hAnsi="Arial" w:cs="Arial"/>
          <w:sz w:val="20"/>
          <w:szCs w:val="20"/>
        </w:rPr>
      </w:pPr>
      <w:r w:rsidRPr="007154D5">
        <w:rPr>
          <w:rFonts w:ascii="Arial" w:hAnsi="Arial" w:cs="Arial"/>
          <w:sz w:val="20"/>
          <w:szCs w:val="20"/>
        </w:rPr>
        <w:t>The prevalence of the exercise of options that were not included in the measurement of lease liabilities</w:t>
      </w:r>
    </w:p>
    <w:p w14:paraId="2637D63F" w14:textId="77777777" w:rsidR="007154D5" w:rsidRPr="007154D5" w:rsidRDefault="007154D5" w:rsidP="00C63FCB">
      <w:pPr>
        <w:pStyle w:val="Level1Bullets"/>
        <w:numPr>
          <w:ilvl w:val="0"/>
          <w:numId w:val="2"/>
        </w:numPr>
        <w:shd w:val="clear" w:color="auto" w:fill="C1C1C1" w:themeFill="background1" w:themeFillTint="66"/>
        <w:rPr>
          <w:rFonts w:ascii="Arial" w:hAnsi="Arial" w:cs="Arial"/>
          <w:sz w:val="20"/>
          <w:szCs w:val="20"/>
        </w:rPr>
      </w:pPr>
      <w:r w:rsidRPr="007154D5">
        <w:rPr>
          <w:rFonts w:ascii="Arial" w:hAnsi="Arial" w:cs="Arial"/>
          <w:sz w:val="20"/>
          <w:szCs w:val="20"/>
        </w:rPr>
        <w:t>Other operational and financial effects of those options</w:t>
      </w:r>
    </w:p>
    <w:p w14:paraId="76B5C295" w14:textId="4722F0C0" w:rsidR="007154D5" w:rsidRPr="007154D5" w:rsidRDefault="007154D5" w:rsidP="007154D5">
      <w:pPr>
        <w:shd w:val="clear" w:color="auto" w:fill="C1C1C1" w:themeFill="background1" w:themeFillTint="66"/>
        <w:spacing w:line="280" w:lineRule="exact"/>
        <w:rPr>
          <w:rFonts w:ascii="Arial" w:hAnsi="Arial" w:cs="Arial"/>
          <w:sz w:val="20"/>
        </w:rPr>
      </w:pPr>
      <w:r w:rsidRPr="007154D5">
        <w:rPr>
          <w:rFonts w:ascii="Arial" w:hAnsi="Arial" w:cs="Arial"/>
          <w:sz w:val="20"/>
        </w:rPr>
        <w:t>Entities would need to exercise judgement in determining the extent of disclosures needed to satisfy the disclosure objective of the standard (i.e., to provide a basis for users to assess the effect of leases on the financial position, financial performance, and cash flows of the lessee).</w:t>
      </w:r>
    </w:p>
    <w:p w14:paraId="4D5D5699" w14:textId="10D012D6" w:rsidR="007154D5" w:rsidRDefault="007154D5" w:rsidP="00CE6971">
      <w:pPr>
        <w:spacing w:line="280" w:lineRule="exact"/>
        <w:rPr>
          <w:rFonts w:ascii="Arial" w:hAnsi="Arial" w:cs="Arial"/>
          <w:sz w:val="20"/>
        </w:rPr>
      </w:pPr>
    </w:p>
    <w:p w14:paraId="1F82695E" w14:textId="77777777" w:rsidR="007154D5" w:rsidRPr="007154D5" w:rsidRDefault="007154D5" w:rsidP="007154D5">
      <w:pPr>
        <w:spacing w:line="280" w:lineRule="exact"/>
        <w:rPr>
          <w:rFonts w:ascii="Arial" w:hAnsi="Arial" w:cs="Arial"/>
          <w:b/>
          <w:bCs/>
          <w:sz w:val="20"/>
        </w:rPr>
      </w:pPr>
      <w:r w:rsidRPr="007154D5">
        <w:rPr>
          <w:rFonts w:ascii="Arial" w:hAnsi="Arial" w:cs="Arial"/>
          <w:b/>
          <w:bCs/>
          <w:sz w:val="20"/>
        </w:rPr>
        <w:t>Group as a lessor</w:t>
      </w:r>
    </w:p>
    <w:p w14:paraId="45AB4390" w14:textId="77777777" w:rsidR="007154D5" w:rsidRDefault="007154D5" w:rsidP="007154D5">
      <w:pPr>
        <w:spacing w:line="280" w:lineRule="exact"/>
        <w:rPr>
          <w:rFonts w:ascii="Arial" w:hAnsi="Arial" w:cs="Arial"/>
          <w:sz w:val="20"/>
        </w:rPr>
      </w:pPr>
    </w:p>
    <w:p w14:paraId="6910FFEE" w14:textId="15880A1F" w:rsidR="007154D5" w:rsidRPr="007154D5" w:rsidRDefault="007154D5" w:rsidP="007154D5">
      <w:pPr>
        <w:spacing w:line="280" w:lineRule="exact"/>
        <w:rPr>
          <w:rFonts w:ascii="Arial" w:hAnsi="Arial" w:cs="Arial"/>
          <w:sz w:val="20"/>
        </w:rPr>
      </w:pPr>
      <w:r w:rsidRPr="007154D5">
        <w:rPr>
          <w:rFonts w:ascii="Arial" w:hAnsi="Arial" w:cs="Arial"/>
          <w:sz w:val="20"/>
        </w:rPr>
        <w:t xml:space="preserve">The Group has entered into operating leases on its investment property portfolio consisting of certain office and manufacturing buildings (see Note 4). These leases have terms of between five and 20 years. All leases include a clause to enable upward revision of the rental charge on an annual basis according to prevailing market conditions. The lessee is also required to provide a residual value guarantee on the properties. Rental income recognised by the Group during the year is INR </w:t>
      </w:r>
      <w:r w:rsidR="00853C92">
        <w:rPr>
          <w:rFonts w:ascii="Arial" w:hAnsi="Arial" w:cs="Arial"/>
          <w:sz w:val="20"/>
        </w:rPr>
        <w:t>2,527</w:t>
      </w:r>
      <w:r w:rsidRPr="007154D5">
        <w:rPr>
          <w:rFonts w:ascii="Arial" w:hAnsi="Arial" w:cs="Arial"/>
          <w:sz w:val="20"/>
        </w:rPr>
        <w:t xml:space="preserve"> lacs (20</w:t>
      </w:r>
      <w:r w:rsidR="00853C92">
        <w:rPr>
          <w:rFonts w:ascii="Arial" w:hAnsi="Arial" w:cs="Arial"/>
          <w:sz w:val="20"/>
        </w:rPr>
        <w:t>20</w:t>
      </w:r>
      <w:r w:rsidRPr="007154D5">
        <w:rPr>
          <w:rFonts w:ascii="Arial" w:hAnsi="Arial" w:cs="Arial"/>
          <w:sz w:val="20"/>
        </w:rPr>
        <w:t xml:space="preserve">: INR </w:t>
      </w:r>
      <w:r w:rsidR="00EB2219">
        <w:rPr>
          <w:rFonts w:ascii="Arial" w:hAnsi="Arial" w:cs="Arial"/>
          <w:sz w:val="20"/>
        </w:rPr>
        <w:t>2,478</w:t>
      </w:r>
      <w:r w:rsidRPr="007154D5">
        <w:rPr>
          <w:rFonts w:ascii="Arial" w:hAnsi="Arial" w:cs="Arial"/>
          <w:sz w:val="20"/>
        </w:rPr>
        <w:t xml:space="preserve"> lacs).</w:t>
      </w:r>
    </w:p>
    <w:p w14:paraId="364F9E64" w14:textId="77777777" w:rsidR="007154D5" w:rsidRDefault="007154D5" w:rsidP="007154D5">
      <w:pPr>
        <w:spacing w:line="280" w:lineRule="exact"/>
        <w:rPr>
          <w:rFonts w:ascii="Arial" w:hAnsi="Arial" w:cs="Arial"/>
          <w:sz w:val="20"/>
        </w:rPr>
      </w:pPr>
    </w:p>
    <w:p w14:paraId="196F5AC2" w14:textId="564BD5A2" w:rsidR="007154D5" w:rsidRDefault="007154D5" w:rsidP="007154D5">
      <w:pPr>
        <w:spacing w:line="280" w:lineRule="exact"/>
        <w:rPr>
          <w:rFonts w:ascii="Arial" w:hAnsi="Arial" w:cs="Arial"/>
          <w:sz w:val="20"/>
        </w:rPr>
      </w:pPr>
      <w:r w:rsidRPr="007154D5">
        <w:rPr>
          <w:rFonts w:ascii="Arial" w:hAnsi="Arial" w:cs="Arial"/>
          <w:sz w:val="20"/>
        </w:rPr>
        <w:t>Future minimum rentals receivable under non-cancellable operating leases as at 31 March are as follows:</w:t>
      </w:r>
    </w:p>
    <w:p w14:paraId="5B04DA0D" w14:textId="61FE98EC" w:rsidR="007154D5" w:rsidRDefault="007154D5" w:rsidP="00CE6971">
      <w:pPr>
        <w:spacing w:line="280" w:lineRule="exact"/>
        <w:rPr>
          <w:rFonts w:ascii="Arial" w:hAnsi="Arial" w:cs="Arial"/>
          <w:sz w:val="20"/>
        </w:rPr>
      </w:pPr>
    </w:p>
    <w:tbl>
      <w:tblPr>
        <w:tblStyle w:val="TableGrid"/>
        <w:tblW w:w="0" w:type="auto"/>
        <w:tblLayout w:type="fixed"/>
        <w:tblLook w:val="04A0" w:firstRow="1" w:lastRow="0" w:firstColumn="1" w:lastColumn="0" w:noHBand="0" w:noVBand="1"/>
      </w:tblPr>
      <w:tblGrid>
        <w:gridCol w:w="6689"/>
        <w:gridCol w:w="1560"/>
        <w:gridCol w:w="1482"/>
      </w:tblGrid>
      <w:tr w:rsidR="007154D5" w:rsidRPr="007154D5" w14:paraId="22FCEE22" w14:textId="77777777" w:rsidTr="00316002">
        <w:tc>
          <w:tcPr>
            <w:tcW w:w="6689" w:type="dxa"/>
          </w:tcPr>
          <w:p w14:paraId="769A21C8" w14:textId="77777777" w:rsidR="007154D5" w:rsidRPr="007154D5" w:rsidRDefault="007154D5" w:rsidP="00316002">
            <w:pPr>
              <w:spacing w:before="120"/>
              <w:rPr>
                <w:rFonts w:ascii="Arial" w:hAnsi="Arial" w:cs="Arial"/>
                <w:sz w:val="20"/>
              </w:rPr>
            </w:pPr>
          </w:p>
        </w:tc>
        <w:tc>
          <w:tcPr>
            <w:tcW w:w="1560" w:type="dxa"/>
          </w:tcPr>
          <w:p w14:paraId="120EF09E" w14:textId="2BEE4517" w:rsidR="007154D5" w:rsidRPr="007154D5" w:rsidRDefault="007154D5" w:rsidP="00316002">
            <w:pPr>
              <w:spacing w:before="120"/>
              <w:jc w:val="right"/>
              <w:rPr>
                <w:rFonts w:ascii="Arial" w:hAnsi="Arial" w:cs="Arial"/>
                <w:b/>
                <w:sz w:val="20"/>
              </w:rPr>
            </w:pPr>
            <w:r w:rsidRPr="007154D5">
              <w:rPr>
                <w:rFonts w:ascii="Arial" w:hAnsi="Arial" w:cs="Arial"/>
                <w:b/>
                <w:sz w:val="20"/>
              </w:rPr>
              <w:t>202</w:t>
            </w:r>
            <w:r w:rsidR="00405348">
              <w:rPr>
                <w:rFonts w:ascii="Arial" w:hAnsi="Arial" w:cs="Arial"/>
                <w:b/>
                <w:sz w:val="20"/>
              </w:rPr>
              <w:t>1</w:t>
            </w:r>
          </w:p>
        </w:tc>
        <w:tc>
          <w:tcPr>
            <w:tcW w:w="1482" w:type="dxa"/>
          </w:tcPr>
          <w:p w14:paraId="623193B8" w14:textId="16BE17A8" w:rsidR="007154D5" w:rsidRPr="007154D5" w:rsidRDefault="007154D5" w:rsidP="00316002">
            <w:pPr>
              <w:spacing w:before="120"/>
              <w:jc w:val="right"/>
              <w:rPr>
                <w:rFonts w:ascii="Arial" w:hAnsi="Arial" w:cs="Arial"/>
                <w:b/>
                <w:sz w:val="20"/>
              </w:rPr>
            </w:pPr>
            <w:r w:rsidRPr="007154D5">
              <w:rPr>
                <w:rFonts w:ascii="Arial" w:hAnsi="Arial" w:cs="Arial"/>
                <w:b/>
                <w:sz w:val="20"/>
              </w:rPr>
              <w:t>20</w:t>
            </w:r>
            <w:r w:rsidR="00405348">
              <w:rPr>
                <w:rFonts w:ascii="Arial" w:hAnsi="Arial" w:cs="Arial"/>
                <w:b/>
                <w:sz w:val="20"/>
              </w:rPr>
              <w:t>20</w:t>
            </w:r>
          </w:p>
        </w:tc>
      </w:tr>
      <w:tr w:rsidR="007154D5" w:rsidRPr="007154D5" w14:paraId="431182D3" w14:textId="77777777" w:rsidTr="00316002">
        <w:tc>
          <w:tcPr>
            <w:tcW w:w="6689" w:type="dxa"/>
          </w:tcPr>
          <w:p w14:paraId="5C486498" w14:textId="77777777" w:rsidR="007154D5" w:rsidRPr="007154D5" w:rsidRDefault="007154D5" w:rsidP="00316002">
            <w:pPr>
              <w:spacing w:before="120"/>
              <w:rPr>
                <w:rFonts w:ascii="Arial" w:hAnsi="Arial" w:cs="Arial"/>
                <w:sz w:val="20"/>
              </w:rPr>
            </w:pPr>
          </w:p>
        </w:tc>
        <w:tc>
          <w:tcPr>
            <w:tcW w:w="1560" w:type="dxa"/>
          </w:tcPr>
          <w:p w14:paraId="6047F7AE"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INR lacs</w:t>
            </w:r>
          </w:p>
        </w:tc>
        <w:tc>
          <w:tcPr>
            <w:tcW w:w="1482" w:type="dxa"/>
          </w:tcPr>
          <w:p w14:paraId="43F5AD98"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INR lacs</w:t>
            </w:r>
          </w:p>
        </w:tc>
      </w:tr>
      <w:tr w:rsidR="007154D5" w:rsidRPr="007154D5" w14:paraId="22976C1E" w14:textId="77777777" w:rsidTr="00316002">
        <w:tc>
          <w:tcPr>
            <w:tcW w:w="6689" w:type="dxa"/>
          </w:tcPr>
          <w:p w14:paraId="11D4B3FE" w14:textId="77777777" w:rsidR="007154D5" w:rsidRPr="007154D5" w:rsidRDefault="007154D5" w:rsidP="00316002">
            <w:pPr>
              <w:spacing w:before="120"/>
              <w:rPr>
                <w:rFonts w:ascii="Arial" w:hAnsi="Arial" w:cs="Arial"/>
                <w:sz w:val="20"/>
              </w:rPr>
            </w:pPr>
            <w:r w:rsidRPr="007154D5">
              <w:rPr>
                <w:rFonts w:ascii="Arial" w:hAnsi="Arial" w:cs="Arial"/>
                <w:sz w:val="20"/>
              </w:rPr>
              <w:t>Within one year</w:t>
            </w:r>
          </w:p>
        </w:tc>
        <w:tc>
          <w:tcPr>
            <w:tcW w:w="1560" w:type="dxa"/>
          </w:tcPr>
          <w:p w14:paraId="2809DADC"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2,552</w:t>
            </w:r>
          </w:p>
        </w:tc>
        <w:tc>
          <w:tcPr>
            <w:tcW w:w="1482" w:type="dxa"/>
          </w:tcPr>
          <w:p w14:paraId="1D1DFD9F"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2,502</w:t>
            </w:r>
          </w:p>
        </w:tc>
      </w:tr>
      <w:tr w:rsidR="007154D5" w:rsidRPr="007154D5" w14:paraId="3DB13634" w14:textId="77777777" w:rsidTr="00316002">
        <w:tc>
          <w:tcPr>
            <w:tcW w:w="6689" w:type="dxa"/>
          </w:tcPr>
          <w:p w14:paraId="261B8CF2" w14:textId="77777777" w:rsidR="007154D5" w:rsidRPr="007154D5" w:rsidRDefault="007154D5" w:rsidP="00316002">
            <w:pPr>
              <w:spacing w:before="120"/>
              <w:rPr>
                <w:rFonts w:ascii="Arial" w:hAnsi="Arial" w:cs="Arial"/>
                <w:sz w:val="20"/>
              </w:rPr>
            </w:pPr>
            <w:r w:rsidRPr="007154D5">
              <w:rPr>
                <w:rFonts w:ascii="Arial" w:hAnsi="Arial" w:cs="Arial"/>
                <w:sz w:val="20"/>
              </w:rPr>
              <w:t>After one year but not more than five years</w:t>
            </w:r>
          </w:p>
        </w:tc>
        <w:tc>
          <w:tcPr>
            <w:tcW w:w="1560" w:type="dxa"/>
          </w:tcPr>
          <w:p w14:paraId="09FAF5C9"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10,134</w:t>
            </w:r>
          </w:p>
        </w:tc>
        <w:tc>
          <w:tcPr>
            <w:tcW w:w="1482" w:type="dxa"/>
          </w:tcPr>
          <w:p w14:paraId="7BB3D9A3"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9,936</w:t>
            </w:r>
          </w:p>
        </w:tc>
      </w:tr>
      <w:tr w:rsidR="007154D5" w:rsidRPr="007154D5" w14:paraId="223B73E9" w14:textId="77777777" w:rsidTr="00316002">
        <w:tc>
          <w:tcPr>
            <w:tcW w:w="6689" w:type="dxa"/>
          </w:tcPr>
          <w:p w14:paraId="5279499F" w14:textId="77777777" w:rsidR="007154D5" w:rsidRPr="007154D5" w:rsidRDefault="007154D5" w:rsidP="00316002">
            <w:pPr>
              <w:spacing w:before="120"/>
              <w:rPr>
                <w:rFonts w:ascii="Arial" w:hAnsi="Arial" w:cs="Arial"/>
                <w:sz w:val="20"/>
              </w:rPr>
            </w:pPr>
            <w:r w:rsidRPr="007154D5">
              <w:rPr>
                <w:rFonts w:ascii="Arial" w:hAnsi="Arial" w:cs="Arial"/>
                <w:sz w:val="20"/>
              </w:rPr>
              <w:t>More than five years</w:t>
            </w:r>
          </w:p>
        </w:tc>
        <w:tc>
          <w:tcPr>
            <w:tcW w:w="1560" w:type="dxa"/>
          </w:tcPr>
          <w:p w14:paraId="120A45B6"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10,622</w:t>
            </w:r>
          </w:p>
        </w:tc>
        <w:tc>
          <w:tcPr>
            <w:tcW w:w="1482" w:type="dxa"/>
          </w:tcPr>
          <w:p w14:paraId="2F210EA4" w14:textId="77777777" w:rsidR="007154D5" w:rsidRPr="007154D5" w:rsidRDefault="007154D5" w:rsidP="00316002">
            <w:pPr>
              <w:spacing w:before="120"/>
              <w:jc w:val="right"/>
              <w:rPr>
                <w:rFonts w:ascii="Arial" w:hAnsi="Arial" w:cs="Arial"/>
                <w:sz w:val="20"/>
                <w:lang w:val="en-GB"/>
              </w:rPr>
            </w:pPr>
            <w:r w:rsidRPr="007154D5">
              <w:rPr>
                <w:rFonts w:ascii="Arial" w:hAnsi="Arial" w:cs="Arial"/>
                <w:sz w:val="20"/>
                <w:lang w:val="en-GB"/>
              </w:rPr>
              <w:t>10,555</w:t>
            </w:r>
          </w:p>
        </w:tc>
      </w:tr>
      <w:tr w:rsidR="007154D5" w:rsidRPr="007154D5" w14:paraId="539C80AC" w14:textId="77777777" w:rsidTr="00316002">
        <w:tc>
          <w:tcPr>
            <w:tcW w:w="6689" w:type="dxa"/>
          </w:tcPr>
          <w:p w14:paraId="5DDA6C50" w14:textId="77777777" w:rsidR="007154D5" w:rsidRPr="007154D5" w:rsidRDefault="007154D5" w:rsidP="00316002">
            <w:pPr>
              <w:spacing w:before="120"/>
              <w:rPr>
                <w:rFonts w:ascii="Arial" w:hAnsi="Arial" w:cs="Arial"/>
                <w:sz w:val="20"/>
              </w:rPr>
            </w:pPr>
          </w:p>
        </w:tc>
        <w:tc>
          <w:tcPr>
            <w:tcW w:w="1560" w:type="dxa"/>
          </w:tcPr>
          <w:p w14:paraId="1F7A1B85"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23,308</w:t>
            </w:r>
          </w:p>
        </w:tc>
        <w:tc>
          <w:tcPr>
            <w:tcW w:w="1482" w:type="dxa"/>
          </w:tcPr>
          <w:p w14:paraId="2A7E8AB8" w14:textId="77777777" w:rsidR="007154D5" w:rsidRPr="007154D5" w:rsidRDefault="007154D5" w:rsidP="00316002">
            <w:pPr>
              <w:spacing w:before="120"/>
              <w:jc w:val="right"/>
              <w:rPr>
                <w:rFonts w:ascii="Arial" w:hAnsi="Arial" w:cs="Arial"/>
                <w:b/>
                <w:sz w:val="20"/>
                <w:lang w:val="en-GB"/>
              </w:rPr>
            </w:pPr>
            <w:r w:rsidRPr="007154D5">
              <w:rPr>
                <w:rFonts w:ascii="Arial" w:hAnsi="Arial" w:cs="Arial"/>
                <w:b/>
                <w:sz w:val="20"/>
                <w:lang w:val="en-GB"/>
              </w:rPr>
              <w:t>22,993</w:t>
            </w:r>
          </w:p>
        </w:tc>
      </w:tr>
    </w:tbl>
    <w:p w14:paraId="7F3D8812" w14:textId="77777777" w:rsidR="007154D5" w:rsidRDefault="007154D5" w:rsidP="00CE6971">
      <w:pPr>
        <w:spacing w:line="280" w:lineRule="exact"/>
        <w:rPr>
          <w:rFonts w:ascii="Arial" w:hAnsi="Arial" w:cs="Arial"/>
          <w:sz w:val="20"/>
        </w:rPr>
      </w:pPr>
    </w:p>
    <w:p w14:paraId="53E1E81B" w14:textId="09BC0C0C" w:rsidR="007154D5" w:rsidRDefault="007154D5" w:rsidP="00CE6971">
      <w:pPr>
        <w:spacing w:line="280" w:lineRule="exact"/>
        <w:rPr>
          <w:rFonts w:ascii="Arial" w:hAnsi="Arial" w:cs="Arial"/>
          <w:sz w:val="20"/>
        </w:rPr>
      </w:pPr>
    </w:p>
    <w:p w14:paraId="656A1A62" w14:textId="1100D546" w:rsidR="00E727B5" w:rsidRDefault="00E727B5" w:rsidP="00D73A8A">
      <w:pPr>
        <w:shd w:val="clear" w:color="auto" w:fill="C1C1C1" w:themeFill="background2" w:themeFillTint="66"/>
        <w:spacing w:line="280" w:lineRule="exact"/>
        <w:rPr>
          <w:rFonts w:ascii="Arial" w:hAnsi="Arial" w:cs="Arial"/>
          <w:b/>
          <w:bCs/>
          <w:sz w:val="20"/>
        </w:rPr>
      </w:pPr>
      <w:r w:rsidRPr="006A78E7">
        <w:rPr>
          <w:rFonts w:ascii="Arial" w:hAnsi="Arial" w:cs="Arial"/>
          <w:b/>
          <w:bCs/>
          <w:sz w:val="20"/>
        </w:rPr>
        <w:t>Covid-19 commentary</w:t>
      </w:r>
    </w:p>
    <w:p w14:paraId="7D9E05A7" w14:textId="77777777" w:rsidR="006A78E7" w:rsidRPr="006A78E7" w:rsidRDefault="006A78E7" w:rsidP="00D73A8A">
      <w:pPr>
        <w:shd w:val="clear" w:color="auto" w:fill="C1C1C1" w:themeFill="background2" w:themeFillTint="66"/>
        <w:spacing w:line="280" w:lineRule="exact"/>
        <w:rPr>
          <w:rFonts w:ascii="Arial" w:hAnsi="Arial" w:cs="Arial"/>
          <w:b/>
          <w:bCs/>
          <w:sz w:val="20"/>
        </w:rPr>
      </w:pPr>
    </w:p>
    <w:p w14:paraId="472666B7" w14:textId="3757BF46" w:rsidR="00E727B5" w:rsidRDefault="00E727B5" w:rsidP="00D73A8A">
      <w:pPr>
        <w:shd w:val="clear" w:color="auto" w:fill="C1C1C1" w:themeFill="background2" w:themeFillTint="66"/>
        <w:spacing w:line="280" w:lineRule="exact"/>
        <w:rPr>
          <w:rFonts w:ascii="Arial" w:hAnsi="Arial" w:cs="Arial"/>
          <w:sz w:val="20"/>
        </w:rPr>
      </w:pPr>
      <w:r w:rsidRPr="00E727B5">
        <w:rPr>
          <w:rFonts w:ascii="Arial" w:hAnsi="Arial" w:cs="Arial"/>
          <w:sz w:val="20"/>
        </w:rPr>
        <w:t xml:space="preserve">As described in Note 2.4 the </w:t>
      </w:r>
      <w:r w:rsidR="009E54D1">
        <w:rPr>
          <w:rFonts w:ascii="Arial" w:hAnsi="Arial" w:cs="Arial"/>
          <w:sz w:val="20"/>
        </w:rPr>
        <w:t>MCA</w:t>
      </w:r>
      <w:r w:rsidRPr="00E727B5">
        <w:rPr>
          <w:rFonts w:ascii="Arial" w:hAnsi="Arial" w:cs="Arial"/>
          <w:sz w:val="20"/>
        </w:rPr>
        <w:t xml:space="preserve"> issued Covid-19-Related Rent Concessions - amendment to I</w:t>
      </w:r>
      <w:r w:rsidR="006A78E7">
        <w:rPr>
          <w:rFonts w:ascii="Arial" w:hAnsi="Arial" w:cs="Arial"/>
          <w:sz w:val="20"/>
        </w:rPr>
        <w:t>nd AS</w:t>
      </w:r>
      <w:r w:rsidRPr="00E727B5">
        <w:rPr>
          <w:rFonts w:ascii="Arial" w:hAnsi="Arial" w:cs="Arial"/>
          <w:sz w:val="20"/>
        </w:rPr>
        <w:t xml:space="preserve"> </w:t>
      </w:r>
      <w:r w:rsidR="006A78E7">
        <w:rPr>
          <w:rFonts w:ascii="Arial" w:hAnsi="Arial" w:cs="Arial"/>
          <w:sz w:val="20"/>
        </w:rPr>
        <w:t>1</w:t>
      </w:r>
      <w:r w:rsidRPr="00E727B5">
        <w:rPr>
          <w:rFonts w:ascii="Arial" w:hAnsi="Arial" w:cs="Arial"/>
          <w:sz w:val="20"/>
        </w:rPr>
        <w:t>16 Leases to provide relief to lessees from applying I</w:t>
      </w:r>
      <w:r w:rsidR="006A78E7">
        <w:rPr>
          <w:rFonts w:ascii="Arial" w:hAnsi="Arial" w:cs="Arial"/>
          <w:sz w:val="20"/>
        </w:rPr>
        <w:t>nd A</w:t>
      </w:r>
      <w:r w:rsidRPr="00E727B5">
        <w:rPr>
          <w:rFonts w:ascii="Arial" w:hAnsi="Arial" w:cs="Arial"/>
          <w:sz w:val="20"/>
        </w:rPr>
        <w:t xml:space="preserve">S </w:t>
      </w:r>
      <w:r w:rsidR="006A78E7">
        <w:rPr>
          <w:rFonts w:ascii="Arial" w:hAnsi="Arial" w:cs="Arial"/>
          <w:sz w:val="20"/>
        </w:rPr>
        <w:t>1</w:t>
      </w:r>
      <w:r w:rsidRPr="00E727B5">
        <w:rPr>
          <w:rFonts w:ascii="Arial" w:hAnsi="Arial" w:cs="Arial"/>
          <w:sz w:val="20"/>
        </w:rPr>
        <w:t xml:space="preserve">16 guidance on lease modification accounting for rent concessions arising as a direct consequence of the Covid-19 pandemic. </w:t>
      </w:r>
    </w:p>
    <w:p w14:paraId="3BAEC0C6" w14:textId="77777777" w:rsidR="006A78E7" w:rsidRPr="00E727B5" w:rsidRDefault="006A78E7" w:rsidP="00D73A8A">
      <w:pPr>
        <w:shd w:val="clear" w:color="auto" w:fill="C1C1C1" w:themeFill="background2" w:themeFillTint="66"/>
        <w:spacing w:line="280" w:lineRule="exact"/>
        <w:rPr>
          <w:rFonts w:ascii="Arial" w:hAnsi="Arial" w:cs="Arial"/>
          <w:sz w:val="20"/>
        </w:rPr>
      </w:pPr>
    </w:p>
    <w:p w14:paraId="7D2AB1DF" w14:textId="1DA96907" w:rsidR="00E727B5" w:rsidRDefault="00E727B5" w:rsidP="00D73A8A">
      <w:pPr>
        <w:shd w:val="clear" w:color="auto" w:fill="C1C1C1" w:themeFill="background2" w:themeFillTint="66"/>
        <w:spacing w:line="280" w:lineRule="exact"/>
        <w:rPr>
          <w:rFonts w:ascii="Arial" w:hAnsi="Arial" w:cs="Arial"/>
          <w:sz w:val="20"/>
        </w:rPr>
      </w:pPr>
      <w:r w:rsidRPr="00E727B5">
        <w:rPr>
          <w:rFonts w:ascii="Arial" w:hAnsi="Arial" w:cs="Arial"/>
          <w:sz w:val="20"/>
        </w:rPr>
        <w:t>Many lessors have provided rent concessions to lessees as a result of the Covid-19 pandemic. Rent concessions can include rent holidays or rent reductions for a period of time, possibly followed by increased rent payments in future periods. Applying the requirements in I</w:t>
      </w:r>
      <w:r w:rsidR="009E54D1">
        <w:rPr>
          <w:rFonts w:ascii="Arial" w:hAnsi="Arial" w:cs="Arial"/>
          <w:sz w:val="20"/>
        </w:rPr>
        <w:t>nd A</w:t>
      </w:r>
      <w:r w:rsidRPr="00E727B5">
        <w:rPr>
          <w:rFonts w:ascii="Arial" w:hAnsi="Arial" w:cs="Arial"/>
          <w:sz w:val="20"/>
        </w:rPr>
        <w:t xml:space="preserve">S </w:t>
      </w:r>
      <w:r w:rsidR="009E54D1">
        <w:rPr>
          <w:rFonts w:ascii="Arial" w:hAnsi="Arial" w:cs="Arial"/>
          <w:sz w:val="20"/>
        </w:rPr>
        <w:t>1</w:t>
      </w:r>
      <w:r w:rsidRPr="00E727B5">
        <w:rPr>
          <w:rFonts w:ascii="Arial" w:hAnsi="Arial" w:cs="Arial"/>
          <w:sz w:val="20"/>
        </w:rPr>
        <w:t>16 for changes to lease payments, particularly assessing whether the rent concessions are lease modifications and applying the required accounting, could be practically difficult in the current environment. The objective of the amendment is to provide lessees that have been granted Covid-19 related rent</w:t>
      </w:r>
      <w:r w:rsidR="009E54D1">
        <w:rPr>
          <w:rFonts w:ascii="Arial" w:hAnsi="Arial" w:cs="Arial"/>
          <w:sz w:val="20"/>
        </w:rPr>
        <w:t xml:space="preserve"> </w:t>
      </w:r>
      <w:r w:rsidRPr="00E727B5">
        <w:rPr>
          <w:rFonts w:ascii="Arial" w:hAnsi="Arial" w:cs="Arial"/>
          <w:sz w:val="20"/>
        </w:rPr>
        <w:t xml:space="preserve">concessions with practical relief, while still providing useful information about leases to users of the financial statements.  </w:t>
      </w:r>
    </w:p>
    <w:p w14:paraId="23AA5266" w14:textId="77777777" w:rsidR="006A78E7" w:rsidRPr="00E727B5" w:rsidRDefault="006A78E7" w:rsidP="00D73A8A">
      <w:pPr>
        <w:shd w:val="clear" w:color="auto" w:fill="C1C1C1" w:themeFill="background2" w:themeFillTint="66"/>
        <w:spacing w:line="280" w:lineRule="exact"/>
        <w:rPr>
          <w:rFonts w:ascii="Arial" w:hAnsi="Arial" w:cs="Arial"/>
          <w:sz w:val="20"/>
        </w:rPr>
      </w:pPr>
    </w:p>
    <w:p w14:paraId="77B5255E" w14:textId="1C3B12E1" w:rsidR="00E727B5" w:rsidRDefault="00E727B5" w:rsidP="00D73A8A">
      <w:pPr>
        <w:shd w:val="clear" w:color="auto" w:fill="C1C1C1" w:themeFill="background2" w:themeFillTint="66"/>
        <w:spacing w:line="280" w:lineRule="exact"/>
        <w:rPr>
          <w:rFonts w:ascii="Arial" w:hAnsi="Arial" w:cs="Arial"/>
          <w:sz w:val="20"/>
        </w:rPr>
      </w:pPr>
      <w:r w:rsidRPr="00E727B5">
        <w:rPr>
          <w:rFonts w:ascii="Arial" w:hAnsi="Arial" w:cs="Arial"/>
          <w:sz w:val="20"/>
        </w:rPr>
        <w:lastRenderedPageBreak/>
        <w:t>As a practical expedient, a lessee may elect not to assess whether a Covid-19 related rent concession from a lessor is a lease modification. A lessee that makes this election accounts for any change in lease payments resulting from the Covid-19 related rent concession the same way it would account for the change under I</w:t>
      </w:r>
      <w:r w:rsidR="009E54D1">
        <w:rPr>
          <w:rFonts w:ascii="Arial" w:hAnsi="Arial" w:cs="Arial"/>
          <w:sz w:val="20"/>
        </w:rPr>
        <w:t>nd AS</w:t>
      </w:r>
      <w:r w:rsidRPr="00E727B5">
        <w:rPr>
          <w:rFonts w:ascii="Arial" w:hAnsi="Arial" w:cs="Arial"/>
          <w:sz w:val="20"/>
        </w:rPr>
        <w:t xml:space="preserve"> </w:t>
      </w:r>
      <w:r w:rsidR="009E54D1">
        <w:rPr>
          <w:rFonts w:ascii="Arial" w:hAnsi="Arial" w:cs="Arial"/>
          <w:sz w:val="20"/>
        </w:rPr>
        <w:t>1</w:t>
      </w:r>
      <w:r w:rsidRPr="00E727B5">
        <w:rPr>
          <w:rFonts w:ascii="Arial" w:hAnsi="Arial" w:cs="Arial"/>
          <w:sz w:val="20"/>
        </w:rPr>
        <w:t xml:space="preserve">16, if the change were not a lease modification. The practical expedient applies only to rent concessions occurring as a direct consequence of the Covid-19 pandemic. </w:t>
      </w:r>
    </w:p>
    <w:p w14:paraId="5EF87150" w14:textId="77777777" w:rsidR="006A78E7" w:rsidRPr="00E727B5" w:rsidRDefault="006A78E7" w:rsidP="00D73A8A">
      <w:pPr>
        <w:shd w:val="clear" w:color="auto" w:fill="C1C1C1" w:themeFill="background2" w:themeFillTint="66"/>
        <w:spacing w:line="280" w:lineRule="exact"/>
        <w:rPr>
          <w:rFonts w:ascii="Arial" w:hAnsi="Arial" w:cs="Arial"/>
          <w:sz w:val="20"/>
        </w:rPr>
      </w:pPr>
    </w:p>
    <w:p w14:paraId="00493689" w14:textId="77777777" w:rsidR="006A78E7" w:rsidRDefault="00E727B5" w:rsidP="00D73A8A">
      <w:pPr>
        <w:shd w:val="clear" w:color="auto" w:fill="C1C1C1" w:themeFill="background2" w:themeFillTint="66"/>
        <w:spacing w:line="280" w:lineRule="exact"/>
        <w:rPr>
          <w:rFonts w:ascii="Arial" w:hAnsi="Arial" w:cs="Arial"/>
          <w:sz w:val="20"/>
        </w:rPr>
      </w:pPr>
      <w:r w:rsidRPr="00E727B5">
        <w:rPr>
          <w:rFonts w:ascii="Arial" w:hAnsi="Arial" w:cs="Arial"/>
          <w:sz w:val="20"/>
        </w:rPr>
        <w:t xml:space="preserve">A lessee that applies the practical expedient discloses that it has applied the practical expedient to all rent concessions that meet the conditions for the practical expedient or, if not applied to all such rent concessions, information </w:t>
      </w:r>
      <w:proofErr w:type="gramStart"/>
      <w:r w:rsidRPr="00E727B5">
        <w:rPr>
          <w:rFonts w:ascii="Arial" w:hAnsi="Arial" w:cs="Arial"/>
          <w:sz w:val="20"/>
        </w:rPr>
        <w:t>about  the</w:t>
      </w:r>
      <w:proofErr w:type="gramEnd"/>
      <w:r w:rsidRPr="00E727B5">
        <w:rPr>
          <w:rFonts w:ascii="Arial" w:hAnsi="Arial" w:cs="Arial"/>
          <w:sz w:val="20"/>
        </w:rPr>
        <w:t xml:space="preserve"> nature of the contracts to which it has applied the practical expedient. In addition, a lessee discloses the amount recognised in profit or loss to reflect changes in lease payments that arise from such rent concessions to which the lessee has applied the practical expedient.</w:t>
      </w:r>
    </w:p>
    <w:p w14:paraId="3764C66F" w14:textId="1B6EAF56" w:rsidR="00E727B5" w:rsidRPr="00E727B5" w:rsidRDefault="00E727B5" w:rsidP="00D73A8A">
      <w:pPr>
        <w:shd w:val="clear" w:color="auto" w:fill="C1C1C1" w:themeFill="background2" w:themeFillTint="66"/>
        <w:spacing w:line="280" w:lineRule="exact"/>
        <w:rPr>
          <w:rFonts w:ascii="Arial" w:hAnsi="Arial" w:cs="Arial"/>
          <w:sz w:val="20"/>
        </w:rPr>
      </w:pPr>
      <w:r w:rsidRPr="00E727B5">
        <w:rPr>
          <w:rFonts w:ascii="Arial" w:hAnsi="Arial" w:cs="Arial"/>
          <w:sz w:val="20"/>
        </w:rPr>
        <w:t xml:space="preserve"> </w:t>
      </w:r>
    </w:p>
    <w:p w14:paraId="73480162" w14:textId="27689A0B" w:rsidR="00E727B5" w:rsidRDefault="00E727B5" w:rsidP="00D73A8A">
      <w:pPr>
        <w:shd w:val="clear" w:color="auto" w:fill="C1C1C1" w:themeFill="background2" w:themeFillTint="66"/>
        <w:spacing w:line="280" w:lineRule="exact"/>
        <w:rPr>
          <w:rFonts w:ascii="Arial" w:hAnsi="Arial" w:cs="Arial"/>
          <w:sz w:val="20"/>
        </w:rPr>
      </w:pPr>
      <w:r w:rsidRPr="00E727B5">
        <w:rPr>
          <w:rFonts w:ascii="Arial" w:hAnsi="Arial" w:cs="Arial"/>
          <w:sz w:val="20"/>
        </w:rPr>
        <w:t xml:space="preserve">Entities will need to assess whether the regulator in their jurisdiction allows the use of the relief and the date from which it is effective. </w:t>
      </w:r>
    </w:p>
    <w:p w14:paraId="72EA4DCB" w14:textId="77777777" w:rsidR="00E727B5" w:rsidRPr="00E727B5" w:rsidRDefault="00E727B5" w:rsidP="00D73A8A">
      <w:pPr>
        <w:shd w:val="clear" w:color="auto" w:fill="C1C1C1" w:themeFill="background2" w:themeFillTint="66"/>
        <w:spacing w:line="280" w:lineRule="exact"/>
        <w:rPr>
          <w:rFonts w:ascii="Arial" w:hAnsi="Arial" w:cs="Arial"/>
          <w:sz w:val="20"/>
        </w:rPr>
      </w:pPr>
    </w:p>
    <w:p w14:paraId="0E26D3AC" w14:textId="2C6A0DEE" w:rsidR="00E727B5" w:rsidRDefault="00E727B5" w:rsidP="00D73A8A">
      <w:pPr>
        <w:shd w:val="clear" w:color="auto" w:fill="C1C1C1" w:themeFill="background2" w:themeFillTint="66"/>
        <w:spacing w:line="280" w:lineRule="exact"/>
        <w:rPr>
          <w:rFonts w:ascii="Arial" w:hAnsi="Arial" w:cs="Arial"/>
          <w:sz w:val="20"/>
        </w:rPr>
      </w:pPr>
      <w:r w:rsidRPr="00E727B5">
        <w:rPr>
          <w:rFonts w:ascii="Arial" w:hAnsi="Arial" w:cs="Arial"/>
          <w:sz w:val="20"/>
        </w:rPr>
        <w:t>The Group did not have any leases impacted by the amendment.</w:t>
      </w:r>
    </w:p>
    <w:p w14:paraId="2D951A7F" w14:textId="68385FBA" w:rsidR="007154D5" w:rsidRDefault="007154D5" w:rsidP="00CE6971">
      <w:pPr>
        <w:spacing w:line="280" w:lineRule="exact"/>
        <w:rPr>
          <w:rFonts w:ascii="Arial" w:hAnsi="Arial" w:cs="Arial"/>
          <w:sz w:val="20"/>
        </w:rPr>
      </w:pPr>
    </w:p>
    <w:p w14:paraId="585E92D5" w14:textId="77777777" w:rsidR="000C6611" w:rsidRPr="00E70587" w:rsidRDefault="000C6611" w:rsidP="000C6611">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Commitments and contingencies</w:t>
      </w:r>
    </w:p>
    <w:p w14:paraId="55BD4074" w14:textId="77777777" w:rsidR="000C6611" w:rsidRPr="00E70587" w:rsidRDefault="000C6611" w:rsidP="00CE6971">
      <w:pPr>
        <w:spacing w:line="280" w:lineRule="exact"/>
        <w:rPr>
          <w:rFonts w:ascii="Arial" w:hAnsi="Arial" w:cs="Arial"/>
          <w:sz w:val="20"/>
        </w:rPr>
      </w:pPr>
    </w:p>
    <w:tbl>
      <w:tblPr>
        <w:tblW w:w="9576" w:type="dxa"/>
        <w:tblLook w:val="0000" w:firstRow="0" w:lastRow="0" w:firstColumn="0" w:lastColumn="0" w:noHBand="0" w:noVBand="0"/>
      </w:tblPr>
      <w:tblGrid>
        <w:gridCol w:w="9576"/>
      </w:tblGrid>
      <w:tr w:rsidR="00A17C17" w:rsidRPr="00E70587" w14:paraId="423AAD99" w14:textId="77777777" w:rsidTr="00834981">
        <w:tc>
          <w:tcPr>
            <w:tcW w:w="0" w:type="auto"/>
          </w:tcPr>
          <w:p w14:paraId="31218634" w14:textId="77777777" w:rsidR="00A17C17" w:rsidRPr="00E70587" w:rsidRDefault="00A17C17" w:rsidP="00E466DD">
            <w:pPr>
              <w:pStyle w:val="Tablecolumnheading"/>
              <w:numPr>
                <w:ilvl w:val="0"/>
                <w:numId w:val="27"/>
              </w:numPr>
              <w:spacing w:line="280" w:lineRule="exact"/>
              <w:ind w:hanging="720"/>
              <w:jc w:val="both"/>
              <w:rPr>
                <w:rFonts w:ascii="Arial" w:hAnsi="Arial"/>
                <w:sz w:val="20"/>
                <w:szCs w:val="20"/>
                <w:lang w:val="en-IN"/>
              </w:rPr>
            </w:pPr>
            <w:r w:rsidRPr="00E70587">
              <w:rPr>
                <w:rFonts w:ascii="Arial" w:hAnsi="Arial"/>
                <w:sz w:val="20"/>
                <w:szCs w:val="20"/>
                <w:lang w:val="en-IN"/>
              </w:rPr>
              <w:t>Commitments</w:t>
            </w:r>
          </w:p>
          <w:p w14:paraId="6E264DB5" w14:textId="77777777" w:rsidR="001C3830" w:rsidRPr="00E70587" w:rsidRDefault="001C3830" w:rsidP="00CE6971">
            <w:pPr>
              <w:pStyle w:val="Notesbodytext"/>
              <w:spacing w:after="0" w:line="280" w:lineRule="exact"/>
              <w:jc w:val="both"/>
              <w:rPr>
                <w:rFonts w:ascii="Arial" w:hAnsi="Arial"/>
                <w:sz w:val="20"/>
              </w:rPr>
            </w:pPr>
          </w:p>
          <w:p w14:paraId="4E800A45" w14:textId="77777777" w:rsidR="00EA2DA0" w:rsidRPr="00E70587" w:rsidRDefault="00EA2DA0" w:rsidP="00CE6971">
            <w:pPr>
              <w:pStyle w:val="Notesbodytext"/>
              <w:spacing w:after="0" w:line="280" w:lineRule="exact"/>
              <w:jc w:val="both"/>
              <w:rPr>
                <w:rFonts w:ascii="Arial" w:hAnsi="Arial"/>
                <w:sz w:val="20"/>
              </w:rPr>
            </w:pPr>
            <w:r w:rsidRPr="00E70587">
              <w:rPr>
                <w:rFonts w:ascii="Arial" w:hAnsi="Arial"/>
                <w:sz w:val="20"/>
              </w:rPr>
              <w:t xml:space="preserve">Estimated </w:t>
            </w:r>
            <w:proofErr w:type="gramStart"/>
            <w:r w:rsidRPr="00E70587">
              <w:rPr>
                <w:rFonts w:ascii="Arial" w:hAnsi="Arial"/>
                <w:sz w:val="20"/>
              </w:rPr>
              <w:t>amount</w:t>
            </w:r>
            <w:proofErr w:type="gramEnd"/>
            <w:r w:rsidRPr="00E70587">
              <w:rPr>
                <w:rFonts w:ascii="Arial" w:hAnsi="Arial"/>
                <w:sz w:val="20"/>
              </w:rPr>
              <w:t xml:space="preserve"> of contracts remaining to be executed on capital account and not provided for:</w:t>
            </w:r>
          </w:p>
          <w:p w14:paraId="2116DA1A" w14:textId="77777777" w:rsidR="00EA2DA0" w:rsidRPr="00E70587" w:rsidRDefault="00EA2DA0" w:rsidP="00CE6971">
            <w:pPr>
              <w:pStyle w:val="Notesbodytext"/>
              <w:spacing w:after="0" w:line="280" w:lineRule="exact"/>
              <w:jc w:val="both"/>
              <w:rPr>
                <w:rFonts w:ascii="Arial" w:hAnsi="Arial"/>
                <w:sz w:val="20"/>
              </w:rPr>
            </w:pPr>
          </w:p>
          <w:p w14:paraId="04B9D38B" w14:textId="1F5A4D3A" w:rsidR="00A17C17" w:rsidRDefault="00A17C17" w:rsidP="00CE6971">
            <w:pPr>
              <w:pStyle w:val="Notesbodytext"/>
              <w:spacing w:after="0" w:line="280" w:lineRule="exact"/>
              <w:jc w:val="both"/>
              <w:rPr>
                <w:rFonts w:ascii="Arial" w:hAnsi="Arial"/>
                <w:sz w:val="20"/>
              </w:rPr>
            </w:pPr>
            <w:r w:rsidRPr="00E70587">
              <w:rPr>
                <w:rFonts w:ascii="Arial" w:hAnsi="Arial"/>
                <w:sz w:val="20"/>
              </w:rPr>
              <w:t xml:space="preserve">At 31 </w:t>
            </w:r>
            <w:r w:rsidR="00E1202D" w:rsidRPr="00E70587">
              <w:rPr>
                <w:rFonts w:ascii="Arial" w:hAnsi="Arial"/>
                <w:sz w:val="20"/>
              </w:rPr>
              <w:t xml:space="preserve">March </w:t>
            </w:r>
            <w:r w:rsidR="003F057E" w:rsidRPr="00E70587">
              <w:rPr>
                <w:rFonts w:ascii="Arial" w:hAnsi="Arial"/>
                <w:sz w:val="20"/>
              </w:rPr>
              <w:t>20</w:t>
            </w:r>
            <w:r w:rsidR="003F057E">
              <w:rPr>
                <w:rFonts w:ascii="Arial" w:hAnsi="Arial"/>
                <w:sz w:val="20"/>
              </w:rPr>
              <w:t>21</w:t>
            </w:r>
            <w:r w:rsidRPr="00E70587">
              <w:rPr>
                <w:rFonts w:ascii="Arial" w:hAnsi="Arial"/>
                <w:sz w:val="20"/>
              </w:rPr>
              <w:t>, the Group had commitments of INR 4</w:t>
            </w:r>
            <w:r w:rsidR="00864D25" w:rsidRPr="00E70587">
              <w:rPr>
                <w:rFonts w:ascii="Arial" w:hAnsi="Arial"/>
                <w:sz w:val="20"/>
              </w:rPr>
              <w:t>,</w:t>
            </w:r>
            <w:r w:rsidRPr="00E70587">
              <w:rPr>
                <w:rFonts w:ascii="Arial" w:hAnsi="Arial"/>
                <w:sz w:val="20"/>
              </w:rPr>
              <w:t xml:space="preserve">158 </w:t>
            </w:r>
            <w:r w:rsidR="00F32F34">
              <w:rPr>
                <w:rFonts w:ascii="Arial" w:hAnsi="Arial"/>
                <w:sz w:val="20"/>
              </w:rPr>
              <w:t xml:space="preserve">lacs </w:t>
            </w:r>
            <w:r w:rsidRPr="00E70587">
              <w:rPr>
                <w:rFonts w:ascii="Arial" w:hAnsi="Arial"/>
                <w:sz w:val="20"/>
              </w:rPr>
              <w:t xml:space="preserve">(31 </w:t>
            </w:r>
            <w:r w:rsidR="008B730E" w:rsidRPr="00E70587">
              <w:rPr>
                <w:rFonts w:ascii="Arial" w:hAnsi="Arial"/>
                <w:sz w:val="20"/>
              </w:rPr>
              <w:t xml:space="preserve">March </w:t>
            </w:r>
            <w:r w:rsidR="003F057E" w:rsidRPr="00E70587">
              <w:rPr>
                <w:rFonts w:ascii="Arial" w:hAnsi="Arial"/>
                <w:sz w:val="20"/>
              </w:rPr>
              <w:t>20</w:t>
            </w:r>
            <w:r w:rsidR="003F057E">
              <w:rPr>
                <w:rFonts w:ascii="Arial" w:hAnsi="Arial"/>
                <w:sz w:val="20"/>
              </w:rPr>
              <w:t>20</w:t>
            </w:r>
            <w:r w:rsidRPr="00E70587">
              <w:rPr>
                <w:rFonts w:ascii="Arial" w:hAnsi="Arial"/>
                <w:sz w:val="20"/>
              </w:rPr>
              <w:t>: INR 8</w:t>
            </w:r>
            <w:r w:rsidR="00864D25" w:rsidRPr="00E70587">
              <w:rPr>
                <w:rFonts w:ascii="Arial" w:hAnsi="Arial"/>
                <w:sz w:val="20"/>
              </w:rPr>
              <w:t>,</w:t>
            </w:r>
            <w:r w:rsidRPr="00E70587">
              <w:rPr>
                <w:rFonts w:ascii="Arial" w:hAnsi="Arial"/>
                <w:sz w:val="20"/>
              </w:rPr>
              <w:t>100</w:t>
            </w:r>
            <w:r w:rsidR="00F32F34">
              <w:rPr>
                <w:rFonts w:ascii="Arial" w:hAnsi="Arial"/>
                <w:sz w:val="20"/>
              </w:rPr>
              <w:t xml:space="preserve"> lacs</w:t>
            </w:r>
            <w:r w:rsidRPr="00E70587">
              <w:rPr>
                <w:rFonts w:ascii="Arial" w:hAnsi="Arial"/>
                <w:sz w:val="20"/>
              </w:rPr>
              <w:t>) including INR 36</w:t>
            </w:r>
            <w:r w:rsidR="00F32F34">
              <w:rPr>
                <w:rFonts w:ascii="Arial" w:hAnsi="Arial"/>
                <w:sz w:val="20"/>
              </w:rPr>
              <w:t xml:space="preserve"> lacs</w:t>
            </w:r>
            <w:r w:rsidRPr="00E70587">
              <w:rPr>
                <w:rFonts w:ascii="Arial" w:hAnsi="Arial"/>
                <w:sz w:val="20"/>
              </w:rPr>
              <w:t xml:space="preserve"> (31 </w:t>
            </w:r>
            <w:r w:rsidR="008B730E" w:rsidRPr="00E70587">
              <w:rPr>
                <w:rFonts w:ascii="Arial" w:hAnsi="Arial"/>
                <w:sz w:val="20"/>
              </w:rPr>
              <w:t xml:space="preserve">March </w:t>
            </w:r>
            <w:r w:rsidR="003F057E" w:rsidRPr="00E70587">
              <w:rPr>
                <w:rFonts w:ascii="Arial" w:hAnsi="Arial"/>
                <w:sz w:val="20"/>
              </w:rPr>
              <w:t>20</w:t>
            </w:r>
            <w:r w:rsidR="003F057E">
              <w:rPr>
                <w:rFonts w:ascii="Arial" w:hAnsi="Arial"/>
                <w:sz w:val="20"/>
              </w:rPr>
              <w:t>20</w:t>
            </w:r>
            <w:r w:rsidRPr="00E70587">
              <w:rPr>
                <w:rFonts w:ascii="Arial" w:hAnsi="Arial"/>
                <w:sz w:val="20"/>
              </w:rPr>
              <w:t xml:space="preserve">: INR Nil,) relating to the completion of the fire equipment safety facility and INR 558 </w:t>
            </w:r>
            <w:r w:rsidR="00F32F34">
              <w:rPr>
                <w:rFonts w:ascii="Arial" w:hAnsi="Arial"/>
                <w:sz w:val="20"/>
              </w:rPr>
              <w:t xml:space="preserve">lacs </w:t>
            </w:r>
            <w:r w:rsidRPr="00E70587">
              <w:rPr>
                <w:rFonts w:ascii="Arial" w:hAnsi="Arial"/>
                <w:sz w:val="20"/>
              </w:rPr>
              <w:t xml:space="preserve">(31 </w:t>
            </w:r>
            <w:r w:rsidR="008B730E" w:rsidRPr="00E70587">
              <w:rPr>
                <w:rFonts w:ascii="Arial" w:hAnsi="Arial"/>
                <w:sz w:val="20"/>
              </w:rPr>
              <w:t xml:space="preserve">March </w:t>
            </w:r>
            <w:r w:rsidR="003F057E" w:rsidRPr="00E70587">
              <w:rPr>
                <w:rFonts w:ascii="Arial" w:hAnsi="Arial"/>
                <w:sz w:val="20"/>
              </w:rPr>
              <w:t>20</w:t>
            </w:r>
            <w:r w:rsidR="003F057E">
              <w:rPr>
                <w:rFonts w:ascii="Arial" w:hAnsi="Arial"/>
                <w:sz w:val="20"/>
              </w:rPr>
              <w:t>20</w:t>
            </w:r>
            <w:r w:rsidRPr="00E70587">
              <w:rPr>
                <w:rFonts w:ascii="Arial" w:hAnsi="Arial"/>
                <w:sz w:val="20"/>
              </w:rPr>
              <w:t>: INR 929</w:t>
            </w:r>
            <w:r w:rsidR="00F32F34">
              <w:rPr>
                <w:rFonts w:ascii="Arial" w:hAnsi="Arial"/>
                <w:sz w:val="20"/>
              </w:rPr>
              <w:t xml:space="preserve"> lacs</w:t>
            </w:r>
            <w:r w:rsidRPr="00E70587">
              <w:rPr>
                <w:rFonts w:ascii="Arial" w:hAnsi="Arial"/>
                <w:sz w:val="20"/>
              </w:rPr>
              <w:t>) relating to the Group’s</w:t>
            </w:r>
            <w:r w:rsidR="00CE6971" w:rsidRPr="00E70587">
              <w:rPr>
                <w:rFonts w:ascii="Arial" w:hAnsi="Arial"/>
                <w:sz w:val="20"/>
              </w:rPr>
              <w:t xml:space="preserve"> interest in the joint venture.</w:t>
            </w:r>
          </w:p>
          <w:p w14:paraId="61EACCA5" w14:textId="07B9C3CA" w:rsidR="006223E0" w:rsidRDefault="006223E0" w:rsidP="00CE6971">
            <w:pPr>
              <w:pStyle w:val="Notesbodytext"/>
              <w:spacing w:after="0" w:line="280" w:lineRule="exact"/>
              <w:jc w:val="both"/>
              <w:rPr>
                <w:rFonts w:ascii="Arial" w:hAnsi="Arial"/>
                <w:sz w:val="20"/>
              </w:rPr>
            </w:pPr>
          </w:p>
          <w:p w14:paraId="7C98DACB" w14:textId="6F8D43D7" w:rsidR="006223E0" w:rsidRPr="00E70587" w:rsidRDefault="006223E0" w:rsidP="00CE6971">
            <w:pPr>
              <w:pStyle w:val="Notesbodytext"/>
              <w:spacing w:after="0" w:line="280" w:lineRule="exact"/>
              <w:jc w:val="both"/>
              <w:rPr>
                <w:rFonts w:ascii="Arial" w:hAnsi="Arial"/>
                <w:sz w:val="20"/>
              </w:rPr>
            </w:pPr>
            <w:r w:rsidRPr="006223E0">
              <w:rPr>
                <w:rFonts w:ascii="Arial" w:hAnsi="Arial"/>
                <w:sz w:val="20"/>
              </w:rPr>
              <w:t>The Group has various lease contracts that have not yet commenced as at 31 March 202</w:t>
            </w:r>
            <w:r>
              <w:rPr>
                <w:rFonts w:ascii="Arial" w:hAnsi="Arial"/>
                <w:sz w:val="20"/>
              </w:rPr>
              <w:t>1</w:t>
            </w:r>
            <w:r w:rsidRPr="006223E0">
              <w:rPr>
                <w:rFonts w:ascii="Arial" w:hAnsi="Arial"/>
                <w:sz w:val="20"/>
              </w:rPr>
              <w:t>. The future lease payments for these non-cancellable lease contracts are INR 86,400</w:t>
            </w:r>
            <w:r w:rsidR="00F32F34">
              <w:rPr>
                <w:rFonts w:ascii="Arial" w:hAnsi="Arial"/>
                <w:sz w:val="20"/>
              </w:rPr>
              <w:t xml:space="preserve"> lacs</w:t>
            </w:r>
            <w:r w:rsidRPr="006223E0">
              <w:rPr>
                <w:rFonts w:ascii="Arial" w:hAnsi="Arial"/>
                <w:sz w:val="20"/>
              </w:rPr>
              <w:t xml:space="preserve"> within one year, INR 351,000</w:t>
            </w:r>
            <w:r w:rsidR="00F32F34">
              <w:rPr>
                <w:rFonts w:ascii="Arial" w:hAnsi="Arial"/>
                <w:sz w:val="20"/>
              </w:rPr>
              <w:t xml:space="preserve"> lacs</w:t>
            </w:r>
            <w:r w:rsidRPr="006223E0">
              <w:rPr>
                <w:rFonts w:ascii="Arial" w:hAnsi="Arial"/>
                <w:sz w:val="20"/>
              </w:rPr>
              <w:t xml:space="preserve"> within five years and INR 192,600 </w:t>
            </w:r>
            <w:r w:rsidR="00F32F34">
              <w:rPr>
                <w:rFonts w:ascii="Arial" w:hAnsi="Arial"/>
                <w:sz w:val="20"/>
              </w:rPr>
              <w:t xml:space="preserve">lacs </w:t>
            </w:r>
            <w:r w:rsidRPr="006223E0">
              <w:rPr>
                <w:rFonts w:ascii="Arial" w:hAnsi="Arial"/>
                <w:sz w:val="20"/>
              </w:rPr>
              <w:t>thereafter</w:t>
            </w:r>
            <w:r>
              <w:rPr>
                <w:rFonts w:ascii="Arial" w:hAnsi="Arial"/>
                <w:sz w:val="20"/>
              </w:rPr>
              <w:t>.</w:t>
            </w:r>
          </w:p>
          <w:p w14:paraId="67F52288" w14:textId="77777777" w:rsidR="00CE6971" w:rsidRPr="00E70587" w:rsidRDefault="00CE6971" w:rsidP="00CE6971">
            <w:pPr>
              <w:pStyle w:val="Notesbodytext"/>
              <w:spacing w:after="0" w:line="280" w:lineRule="exact"/>
              <w:jc w:val="both"/>
              <w:rPr>
                <w:rFonts w:ascii="Arial" w:hAnsi="Arial"/>
                <w:color w:val="auto"/>
                <w:sz w:val="20"/>
              </w:rPr>
            </w:pPr>
          </w:p>
        </w:tc>
      </w:tr>
      <w:tr w:rsidR="00A17C17" w:rsidRPr="00E70587" w14:paraId="7BDC0731" w14:textId="77777777" w:rsidTr="00834981">
        <w:tc>
          <w:tcPr>
            <w:tcW w:w="0" w:type="auto"/>
          </w:tcPr>
          <w:p w14:paraId="60229987" w14:textId="77777777" w:rsidR="00A17C17" w:rsidRPr="00E70587" w:rsidRDefault="00A17C17" w:rsidP="00E466DD">
            <w:pPr>
              <w:pStyle w:val="Tablecolumnheading"/>
              <w:numPr>
                <w:ilvl w:val="0"/>
                <w:numId w:val="27"/>
              </w:numPr>
              <w:spacing w:line="280" w:lineRule="exact"/>
              <w:ind w:hanging="720"/>
              <w:jc w:val="both"/>
              <w:rPr>
                <w:rFonts w:ascii="Arial" w:hAnsi="Arial"/>
                <w:sz w:val="20"/>
                <w:szCs w:val="20"/>
                <w:lang w:val="en-IN"/>
              </w:rPr>
            </w:pPr>
            <w:r w:rsidRPr="00E70587">
              <w:rPr>
                <w:rFonts w:ascii="Arial" w:hAnsi="Arial"/>
                <w:sz w:val="20"/>
                <w:szCs w:val="20"/>
                <w:lang w:val="en-IN"/>
              </w:rPr>
              <w:t>Contingent liabilities</w:t>
            </w:r>
          </w:p>
          <w:p w14:paraId="2A68ACCE" w14:textId="77777777" w:rsidR="00A17C17" w:rsidRPr="00E70587" w:rsidRDefault="00A17C17" w:rsidP="00CE6971">
            <w:pPr>
              <w:pStyle w:val="Notesbodytext"/>
              <w:spacing w:after="0" w:line="280" w:lineRule="exact"/>
              <w:jc w:val="both"/>
              <w:rPr>
                <w:rFonts w:ascii="Arial" w:hAnsi="Arial"/>
                <w:sz w:val="20"/>
              </w:rPr>
            </w:pPr>
          </w:p>
          <w:p w14:paraId="0CBA2FBC" w14:textId="77777777" w:rsidR="00EA2DA0" w:rsidRPr="00E70587" w:rsidRDefault="00EA2DA0" w:rsidP="00A84FC0">
            <w:pPr>
              <w:pStyle w:val="Notesitalicheading"/>
              <w:spacing w:line="280" w:lineRule="exact"/>
              <w:jc w:val="both"/>
              <w:rPr>
                <w:rFonts w:ascii="Arial" w:hAnsi="Arial"/>
                <w:i w:val="0"/>
                <w:sz w:val="20"/>
              </w:rPr>
            </w:pPr>
            <w:r w:rsidRPr="00E70587">
              <w:rPr>
                <w:rFonts w:ascii="Arial" w:hAnsi="Arial"/>
                <w:i w:val="0"/>
                <w:sz w:val="20"/>
              </w:rPr>
              <w:t>Claims against the group not acknowledged as debts</w:t>
            </w:r>
          </w:p>
          <w:p w14:paraId="5DC5EB0E" w14:textId="77777777" w:rsidR="00EA2DA0" w:rsidRPr="00E70587" w:rsidRDefault="00EA2DA0" w:rsidP="00A84FC0">
            <w:pPr>
              <w:pStyle w:val="Tablecolumnheading"/>
              <w:spacing w:line="280" w:lineRule="exact"/>
              <w:jc w:val="both"/>
              <w:rPr>
                <w:rFonts w:ascii="Arial" w:hAnsi="Arial"/>
                <w:szCs w:val="20"/>
                <w:lang w:val="en-IN"/>
              </w:rPr>
            </w:pPr>
          </w:p>
          <w:p w14:paraId="0CD754ED" w14:textId="77777777" w:rsidR="00A17C17" w:rsidRPr="00E70587" w:rsidRDefault="00A17C17" w:rsidP="00CE6971">
            <w:pPr>
              <w:pStyle w:val="Tablecolumnheading"/>
              <w:spacing w:line="280" w:lineRule="exact"/>
              <w:jc w:val="both"/>
              <w:rPr>
                <w:rFonts w:ascii="Arial" w:hAnsi="Arial"/>
                <w:szCs w:val="20"/>
                <w:lang w:val="en-IN"/>
              </w:rPr>
            </w:pPr>
            <w:r w:rsidRPr="00E70587">
              <w:rPr>
                <w:rFonts w:ascii="Arial" w:hAnsi="Arial"/>
                <w:szCs w:val="20"/>
                <w:lang w:val="en-IN"/>
              </w:rPr>
              <w:t xml:space="preserve">Legal </w:t>
            </w:r>
            <w:r w:rsidRPr="00E70587">
              <w:rPr>
                <w:rFonts w:ascii="Arial" w:hAnsi="Arial"/>
                <w:sz w:val="20"/>
                <w:szCs w:val="20"/>
                <w:lang w:val="en-IN"/>
              </w:rPr>
              <w:t>claim</w:t>
            </w:r>
            <w:r w:rsidRPr="00E70587">
              <w:rPr>
                <w:rFonts w:ascii="Arial" w:hAnsi="Arial"/>
                <w:szCs w:val="20"/>
                <w:lang w:val="en-IN"/>
              </w:rPr>
              <w:t xml:space="preserve"> contingency</w:t>
            </w:r>
          </w:p>
          <w:p w14:paraId="3BE1BD99" w14:textId="77777777" w:rsidR="00CE6971" w:rsidRPr="00E70587" w:rsidRDefault="00CE6971" w:rsidP="00A84FC0">
            <w:pPr>
              <w:pStyle w:val="Notesbodytext"/>
              <w:spacing w:after="0" w:line="280" w:lineRule="exact"/>
              <w:jc w:val="both"/>
              <w:rPr>
                <w:rFonts w:ascii="Arial" w:hAnsi="Arial"/>
                <w:sz w:val="20"/>
              </w:rPr>
            </w:pPr>
          </w:p>
          <w:p w14:paraId="5E336495" w14:textId="6651778B" w:rsidR="00A84FC0" w:rsidRPr="00E70587" w:rsidRDefault="00A17C17" w:rsidP="00A84FC0">
            <w:pPr>
              <w:pStyle w:val="Notesbulletpoint"/>
              <w:spacing w:after="0" w:line="280" w:lineRule="exact"/>
              <w:ind w:left="342" w:hanging="342"/>
              <w:jc w:val="both"/>
              <w:rPr>
                <w:rFonts w:ascii="Arial" w:hAnsi="Arial"/>
                <w:sz w:val="20"/>
              </w:rPr>
            </w:pPr>
            <w:r w:rsidRPr="00E70587">
              <w:rPr>
                <w:rFonts w:ascii="Arial" w:hAnsi="Arial"/>
                <w:sz w:val="20"/>
              </w:rPr>
              <w:t xml:space="preserve">An overseas customer has commenced an action against the Group in respect of equipment claimed to be defective. The estimated </w:t>
            </w:r>
            <w:r w:rsidR="000C19BB" w:rsidRPr="00E70587">
              <w:rPr>
                <w:rFonts w:ascii="Arial" w:hAnsi="Arial"/>
                <w:sz w:val="20"/>
              </w:rPr>
              <w:t>pay</w:t>
            </w:r>
            <w:r w:rsidR="000C19BB">
              <w:rPr>
                <w:rFonts w:ascii="Arial" w:hAnsi="Arial"/>
                <w:sz w:val="20"/>
              </w:rPr>
              <w:t>-</w:t>
            </w:r>
            <w:r w:rsidR="000C19BB" w:rsidRPr="00E70587">
              <w:rPr>
                <w:rFonts w:ascii="Arial" w:hAnsi="Arial"/>
                <w:sz w:val="20"/>
              </w:rPr>
              <w:t>out</w:t>
            </w:r>
            <w:r w:rsidRPr="00E70587">
              <w:rPr>
                <w:rFonts w:ascii="Arial" w:hAnsi="Arial"/>
                <w:sz w:val="20"/>
              </w:rPr>
              <w:t xml:space="preserve"> is INR 15</w:t>
            </w:r>
            <w:r w:rsidR="000C19BB">
              <w:rPr>
                <w:rFonts w:ascii="Arial" w:hAnsi="Arial"/>
                <w:sz w:val="20"/>
              </w:rPr>
              <w:t xml:space="preserve"> lacs</w:t>
            </w:r>
            <w:r w:rsidRPr="00E70587">
              <w:rPr>
                <w:rFonts w:ascii="Arial" w:hAnsi="Arial"/>
                <w:sz w:val="20"/>
              </w:rPr>
              <w:t xml:space="preserve"> should the action be successful. A trial date has not yet been set and therefore it is not practicable to state the timing of the payment, if any.</w:t>
            </w:r>
          </w:p>
          <w:p w14:paraId="74A68556" w14:textId="77777777" w:rsidR="00A84FC0" w:rsidRPr="00E70587" w:rsidRDefault="00A84FC0" w:rsidP="00A84FC0">
            <w:pPr>
              <w:pStyle w:val="Notesbulletpoint"/>
              <w:numPr>
                <w:ilvl w:val="0"/>
                <w:numId w:val="0"/>
              </w:numPr>
              <w:spacing w:after="0" w:line="280" w:lineRule="exact"/>
              <w:ind w:left="342"/>
              <w:jc w:val="both"/>
              <w:rPr>
                <w:rFonts w:ascii="Arial" w:hAnsi="Arial"/>
                <w:sz w:val="20"/>
              </w:rPr>
            </w:pPr>
          </w:p>
          <w:p w14:paraId="335632F2" w14:textId="77777777" w:rsidR="00A17C17" w:rsidRPr="00E70587" w:rsidRDefault="00A17C17" w:rsidP="00A84FC0">
            <w:pPr>
              <w:pStyle w:val="Notesbulletpoint"/>
              <w:numPr>
                <w:ilvl w:val="0"/>
                <w:numId w:val="0"/>
              </w:numPr>
              <w:spacing w:after="0" w:line="280" w:lineRule="exact"/>
              <w:ind w:left="342"/>
              <w:jc w:val="both"/>
              <w:rPr>
                <w:rFonts w:ascii="Arial" w:hAnsi="Arial"/>
                <w:sz w:val="20"/>
              </w:rPr>
            </w:pPr>
            <w:r w:rsidRPr="00E70587">
              <w:rPr>
                <w:rFonts w:ascii="Arial" w:hAnsi="Arial"/>
                <w:sz w:val="20"/>
              </w:rPr>
              <w:t>The Group has been advised by its legal counsel that it is only possible, but not probable, that the action will succeed. Accordingly, no provision for any liability has been made in these financial statements.</w:t>
            </w:r>
          </w:p>
          <w:p w14:paraId="0CED4DC0" w14:textId="77777777" w:rsidR="009278F8" w:rsidRPr="00E70587" w:rsidRDefault="009278F8" w:rsidP="00BB4BC9">
            <w:pPr>
              <w:pStyle w:val="Notesbodytext"/>
              <w:spacing w:after="0" w:line="280" w:lineRule="exact"/>
              <w:jc w:val="both"/>
              <w:rPr>
                <w:rFonts w:ascii="Arial" w:hAnsi="Arial"/>
                <w:sz w:val="20"/>
              </w:rPr>
            </w:pPr>
          </w:p>
          <w:p w14:paraId="06CC7E71" w14:textId="77777777" w:rsidR="00EA2DA0" w:rsidRPr="00E70587" w:rsidRDefault="009278F8" w:rsidP="00CE6971">
            <w:pPr>
              <w:pStyle w:val="Notesbodytext"/>
              <w:spacing w:after="0" w:line="280" w:lineRule="exact"/>
              <w:jc w:val="both"/>
              <w:rPr>
                <w:rFonts w:ascii="Arial" w:hAnsi="Arial"/>
                <w:b/>
                <w:sz w:val="20"/>
              </w:rPr>
            </w:pPr>
            <w:r w:rsidRPr="00E70587">
              <w:rPr>
                <w:rFonts w:ascii="Arial" w:hAnsi="Arial"/>
                <w:b/>
                <w:sz w:val="20"/>
              </w:rPr>
              <w:t>Contingent liability acquired in a business combination</w:t>
            </w:r>
          </w:p>
          <w:p w14:paraId="6E1B77A9" w14:textId="77777777" w:rsidR="009278F8" w:rsidRPr="00E70587" w:rsidRDefault="009278F8" w:rsidP="00A84FC0">
            <w:pPr>
              <w:pStyle w:val="Notesbodytext"/>
              <w:spacing w:after="0" w:line="280" w:lineRule="exact"/>
              <w:jc w:val="both"/>
              <w:rPr>
                <w:rFonts w:ascii="Arial" w:hAnsi="Arial"/>
                <w:sz w:val="20"/>
              </w:rPr>
            </w:pPr>
          </w:p>
          <w:p w14:paraId="2ECA7A98" w14:textId="110EB663" w:rsidR="00EA2DA0" w:rsidRPr="00E70587" w:rsidRDefault="00EA2DA0" w:rsidP="00A84FC0">
            <w:pPr>
              <w:pStyle w:val="Notesbulletpoint"/>
              <w:spacing w:after="0" w:line="280" w:lineRule="exact"/>
              <w:ind w:left="342" w:hanging="342"/>
              <w:jc w:val="both"/>
              <w:rPr>
                <w:rFonts w:ascii="Arial" w:hAnsi="Arial"/>
                <w:sz w:val="20"/>
              </w:rPr>
            </w:pPr>
            <w:r w:rsidRPr="00E70587">
              <w:rPr>
                <w:rFonts w:ascii="Arial" w:hAnsi="Arial"/>
                <w:sz w:val="20"/>
              </w:rPr>
              <w:t>The Group recognised a contingent liability of INR 720</w:t>
            </w:r>
            <w:r w:rsidR="000C19BB">
              <w:rPr>
                <w:rFonts w:ascii="Arial" w:hAnsi="Arial"/>
                <w:sz w:val="20"/>
              </w:rPr>
              <w:t xml:space="preserve"> lacs</w:t>
            </w:r>
            <w:r w:rsidRPr="00E70587">
              <w:rPr>
                <w:rFonts w:ascii="Arial" w:hAnsi="Arial"/>
                <w:sz w:val="20"/>
              </w:rPr>
              <w:t xml:space="preserve"> in the course of the acquisition of Extinguishers Limited (see notes </w:t>
            </w:r>
            <w:r w:rsidR="00BA690C" w:rsidRPr="00E70587">
              <w:rPr>
                <w:rFonts w:ascii="Arial" w:hAnsi="Arial"/>
                <w:sz w:val="20"/>
              </w:rPr>
              <w:t>16</w:t>
            </w:r>
            <w:r w:rsidRPr="00E70587">
              <w:rPr>
                <w:rFonts w:ascii="Arial" w:hAnsi="Arial"/>
                <w:sz w:val="20"/>
              </w:rPr>
              <w:t xml:space="preserve"> and 36).</w:t>
            </w:r>
          </w:p>
          <w:p w14:paraId="28CDD7C9" w14:textId="77777777" w:rsidR="00A17C17" w:rsidRPr="00E70587" w:rsidRDefault="00A17C17" w:rsidP="00CE6971">
            <w:pPr>
              <w:pStyle w:val="Notesbodytext"/>
              <w:spacing w:after="0" w:line="280" w:lineRule="exact"/>
              <w:jc w:val="both"/>
              <w:rPr>
                <w:rFonts w:ascii="Arial" w:hAnsi="Arial"/>
              </w:rPr>
            </w:pPr>
          </w:p>
        </w:tc>
      </w:tr>
      <w:tr w:rsidR="00A17C17" w:rsidRPr="00E70587" w14:paraId="2EC857AE" w14:textId="77777777" w:rsidTr="00834981">
        <w:tc>
          <w:tcPr>
            <w:tcW w:w="0" w:type="auto"/>
          </w:tcPr>
          <w:p w14:paraId="430CE673" w14:textId="77777777" w:rsidR="00A17C17" w:rsidRPr="00E70587" w:rsidRDefault="00A17C17" w:rsidP="00CE6971">
            <w:pPr>
              <w:pStyle w:val="Tablecolumnheading"/>
              <w:spacing w:line="280" w:lineRule="exact"/>
              <w:jc w:val="both"/>
              <w:rPr>
                <w:rFonts w:ascii="Arial" w:hAnsi="Arial"/>
                <w:szCs w:val="20"/>
                <w:lang w:val="en-IN"/>
              </w:rPr>
            </w:pPr>
            <w:r w:rsidRPr="00E70587">
              <w:rPr>
                <w:rFonts w:ascii="Arial" w:hAnsi="Arial"/>
                <w:sz w:val="20"/>
                <w:szCs w:val="20"/>
                <w:lang w:val="en-IN"/>
              </w:rPr>
              <w:t>Guarantees</w:t>
            </w:r>
            <w:r w:rsidR="00EA2DA0" w:rsidRPr="00E70587">
              <w:rPr>
                <w:rFonts w:ascii="Arial" w:hAnsi="Arial"/>
                <w:sz w:val="20"/>
                <w:szCs w:val="20"/>
                <w:lang w:val="en-IN"/>
              </w:rPr>
              <w:t xml:space="preserve"> excluding financial </w:t>
            </w:r>
            <w:r w:rsidR="00BA690C" w:rsidRPr="00E70587">
              <w:rPr>
                <w:rFonts w:ascii="Arial" w:hAnsi="Arial"/>
                <w:sz w:val="20"/>
                <w:szCs w:val="20"/>
                <w:lang w:val="en-IN"/>
              </w:rPr>
              <w:t>g</w:t>
            </w:r>
            <w:r w:rsidR="00EA2DA0" w:rsidRPr="00E70587">
              <w:rPr>
                <w:rFonts w:ascii="Arial" w:hAnsi="Arial"/>
                <w:sz w:val="20"/>
                <w:szCs w:val="20"/>
                <w:lang w:val="en-IN"/>
              </w:rPr>
              <w:t>uarantees</w:t>
            </w:r>
          </w:p>
          <w:p w14:paraId="60F1A929" w14:textId="77777777" w:rsidR="00CE6971" w:rsidRPr="00E70587" w:rsidRDefault="00CE6971" w:rsidP="00A84FC0">
            <w:pPr>
              <w:pStyle w:val="Notesbodytext"/>
              <w:spacing w:after="0" w:line="280" w:lineRule="exact"/>
              <w:jc w:val="both"/>
              <w:rPr>
                <w:rFonts w:ascii="Arial" w:hAnsi="Arial"/>
                <w:color w:val="auto"/>
                <w:sz w:val="20"/>
              </w:rPr>
            </w:pPr>
          </w:p>
          <w:p w14:paraId="31F36C80" w14:textId="5E6408A7" w:rsidR="00A17C17" w:rsidRPr="00E70587" w:rsidRDefault="00A17C17" w:rsidP="00A84FC0">
            <w:pPr>
              <w:pStyle w:val="Notesbodytext"/>
              <w:spacing w:after="0" w:line="280" w:lineRule="exact"/>
              <w:jc w:val="both"/>
              <w:rPr>
                <w:rFonts w:ascii="Arial" w:hAnsi="Arial"/>
                <w:color w:val="auto"/>
                <w:sz w:val="20"/>
              </w:rPr>
            </w:pPr>
            <w:r w:rsidRPr="00E70587">
              <w:rPr>
                <w:rFonts w:ascii="Arial" w:hAnsi="Arial"/>
                <w:color w:val="auto"/>
                <w:sz w:val="20"/>
              </w:rPr>
              <w:lastRenderedPageBreak/>
              <w:t xml:space="preserve">The </w:t>
            </w:r>
            <w:r w:rsidRPr="00E70587">
              <w:rPr>
                <w:rFonts w:ascii="Arial" w:hAnsi="Arial"/>
                <w:sz w:val="20"/>
              </w:rPr>
              <w:t>Group</w:t>
            </w:r>
            <w:r w:rsidRPr="00E70587">
              <w:rPr>
                <w:rFonts w:ascii="Arial" w:hAnsi="Arial"/>
                <w:color w:val="auto"/>
                <w:sz w:val="20"/>
              </w:rPr>
              <w:t xml:space="preserve"> has provided the following guarantees at 31 </w:t>
            </w:r>
            <w:r w:rsidR="00E1202D" w:rsidRPr="00E70587">
              <w:rPr>
                <w:rFonts w:ascii="Arial" w:hAnsi="Arial"/>
                <w:color w:val="auto"/>
                <w:sz w:val="20"/>
              </w:rPr>
              <w:t xml:space="preserve">March </w:t>
            </w:r>
            <w:r w:rsidR="000C19BB" w:rsidRPr="00E70587">
              <w:rPr>
                <w:rFonts w:ascii="Arial" w:hAnsi="Arial"/>
                <w:color w:val="auto"/>
                <w:sz w:val="20"/>
              </w:rPr>
              <w:t>20</w:t>
            </w:r>
            <w:r w:rsidR="000C19BB">
              <w:rPr>
                <w:rFonts w:ascii="Arial" w:hAnsi="Arial"/>
                <w:color w:val="auto"/>
                <w:sz w:val="20"/>
              </w:rPr>
              <w:t>21</w:t>
            </w:r>
            <w:r w:rsidRPr="00E70587">
              <w:rPr>
                <w:rFonts w:ascii="Arial" w:hAnsi="Arial"/>
                <w:color w:val="auto"/>
                <w:sz w:val="20"/>
              </w:rPr>
              <w:t>:</w:t>
            </w:r>
          </w:p>
          <w:p w14:paraId="629645D6" w14:textId="77777777" w:rsidR="00A17C17" w:rsidRPr="00E70587" w:rsidRDefault="00A17C17" w:rsidP="00A84FC0">
            <w:pPr>
              <w:pStyle w:val="Notesbulletpoint"/>
              <w:spacing w:after="0" w:line="280" w:lineRule="exact"/>
              <w:ind w:left="342" w:hanging="342"/>
              <w:jc w:val="both"/>
              <w:rPr>
                <w:rFonts w:ascii="Arial" w:hAnsi="Arial"/>
                <w:color w:val="auto"/>
                <w:sz w:val="20"/>
              </w:rPr>
            </w:pPr>
            <w:r w:rsidRPr="00E70587">
              <w:rPr>
                <w:rFonts w:ascii="Arial" w:hAnsi="Arial"/>
                <w:color w:val="auto"/>
                <w:sz w:val="20"/>
              </w:rPr>
              <w:t>Guarantee to an unrelated party for the performance in a contract by the joint venture. No liability is expected to arise</w:t>
            </w:r>
          </w:p>
          <w:p w14:paraId="3A020CB1" w14:textId="09AE25B3" w:rsidR="00A17C17" w:rsidRPr="00E70587" w:rsidRDefault="00A17C17" w:rsidP="00A84FC0">
            <w:pPr>
              <w:pStyle w:val="Notesbulletpoint"/>
              <w:spacing w:after="0" w:line="280" w:lineRule="exact"/>
              <w:ind w:left="342" w:hanging="342"/>
              <w:jc w:val="both"/>
              <w:rPr>
                <w:rFonts w:ascii="Arial" w:hAnsi="Arial"/>
                <w:color w:val="auto"/>
                <w:sz w:val="20"/>
              </w:rPr>
            </w:pPr>
            <w:r w:rsidRPr="00E70587">
              <w:rPr>
                <w:rFonts w:ascii="Arial" w:hAnsi="Arial"/>
                <w:color w:val="auto"/>
                <w:sz w:val="20"/>
              </w:rPr>
              <w:t>Guarantee of its share of INR 36</w:t>
            </w:r>
            <w:r w:rsidR="000C19BB">
              <w:rPr>
                <w:rFonts w:ascii="Arial" w:hAnsi="Arial"/>
                <w:color w:val="auto"/>
                <w:sz w:val="20"/>
              </w:rPr>
              <w:t xml:space="preserve"> lacs</w:t>
            </w:r>
            <w:r w:rsidRPr="00E70587">
              <w:rPr>
                <w:rFonts w:ascii="Arial" w:hAnsi="Arial"/>
                <w:color w:val="auto"/>
                <w:sz w:val="20"/>
              </w:rPr>
              <w:t xml:space="preserve"> (31 </w:t>
            </w:r>
            <w:r w:rsidR="008B730E" w:rsidRPr="00E70587">
              <w:rPr>
                <w:rFonts w:ascii="Arial" w:hAnsi="Arial"/>
                <w:color w:val="auto"/>
                <w:sz w:val="20"/>
              </w:rPr>
              <w:t xml:space="preserve">March </w:t>
            </w:r>
            <w:r w:rsidR="000C19BB" w:rsidRPr="00E70587">
              <w:rPr>
                <w:rFonts w:ascii="Arial" w:hAnsi="Arial"/>
                <w:color w:val="auto"/>
                <w:sz w:val="20"/>
              </w:rPr>
              <w:t>20</w:t>
            </w:r>
            <w:r w:rsidR="000C19BB">
              <w:rPr>
                <w:rFonts w:ascii="Arial" w:hAnsi="Arial"/>
                <w:color w:val="auto"/>
                <w:sz w:val="20"/>
              </w:rPr>
              <w:t>20</w:t>
            </w:r>
            <w:r w:rsidRPr="00E70587">
              <w:rPr>
                <w:rFonts w:ascii="Arial" w:hAnsi="Arial"/>
                <w:color w:val="auto"/>
                <w:sz w:val="20"/>
              </w:rPr>
              <w:t>: INR 23</w:t>
            </w:r>
            <w:r w:rsidR="000C19BB">
              <w:rPr>
                <w:rFonts w:ascii="Arial" w:hAnsi="Arial"/>
                <w:color w:val="auto"/>
                <w:sz w:val="20"/>
              </w:rPr>
              <w:t xml:space="preserve"> lacs</w:t>
            </w:r>
            <w:r w:rsidR="000C19BB" w:rsidRPr="00E70587">
              <w:rPr>
                <w:rFonts w:ascii="Arial" w:hAnsi="Arial"/>
                <w:color w:val="auto"/>
                <w:sz w:val="20"/>
              </w:rPr>
              <w:t xml:space="preserve">) </w:t>
            </w:r>
            <w:r w:rsidRPr="00E70587">
              <w:rPr>
                <w:rFonts w:ascii="Arial" w:hAnsi="Arial"/>
                <w:color w:val="auto"/>
                <w:sz w:val="20"/>
              </w:rPr>
              <w:t>of the associate’s contingent liabilities which have been incurred jointly with other investors</w:t>
            </w:r>
          </w:p>
          <w:p w14:paraId="7BADB5FE" w14:textId="77777777" w:rsidR="00A17C17" w:rsidRPr="00E70587" w:rsidRDefault="00A17C17" w:rsidP="00A84FC0">
            <w:pPr>
              <w:pStyle w:val="Notesbodytext"/>
              <w:spacing w:after="0" w:line="280" w:lineRule="exact"/>
              <w:jc w:val="both"/>
              <w:rPr>
                <w:rFonts w:ascii="Arial" w:hAnsi="Arial"/>
                <w:sz w:val="20"/>
              </w:rPr>
            </w:pPr>
          </w:p>
          <w:p w14:paraId="522BCD5B" w14:textId="77777777" w:rsidR="00A17C17" w:rsidRPr="00E70587" w:rsidRDefault="00A17C17" w:rsidP="00A84FC0">
            <w:pPr>
              <w:pStyle w:val="Notesbodytext"/>
              <w:spacing w:after="0" w:line="280" w:lineRule="exact"/>
              <w:jc w:val="both"/>
              <w:rPr>
                <w:rFonts w:ascii="Arial" w:hAnsi="Arial"/>
                <w:sz w:val="20"/>
              </w:rPr>
            </w:pPr>
            <w:r w:rsidRPr="00E70587">
              <w:rPr>
                <w:rFonts w:ascii="Arial" w:hAnsi="Arial"/>
                <w:sz w:val="20"/>
              </w:rPr>
              <w:t>The group has assessed that it is only possible, but not probable, that outflow of economic resources wi</w:t>
            </w:r>
            <w:r w:rsidR="00CE6971" w:rsidRPr="00E70587">
              <w:rPr>
                <w:rFonts w:ascii="Arial" w:hAnsi="Arial"/>
                <w:sz w:val="20"/>
              </w:rPr>
              <w:t>ll be required.</w:t>
            </w:r>
          </w:p>
          <w:p w14:paraId="7571EE1A" w14:textId="77777777" w:rsidR="00CE6971" w:rsidRPr="00E70587" w:rsidRDefault="00CE6971" w:rsidP="00CE6971">
            <w:pPr>
              <w:pStyle w:val="Notesbodytext"/>
              <w:spacing w:after="0" w:line="280" w:lineRule="exact"/>
              <w:jc w:val="both"/>
              <w:rPr>
                <w:rFonts w:ascii="Arial" w:hAnsi="Arial"/>
                <w:sz w:val="20"/>
              </w:rPr>
            </w:pPr>
          </w:p>
        </w:tc>
      </w:tr>
      <w:tr w:rsidR="00EA2DA0" w:rsidRPr="00E70587" w14:paraId="0299992A" w14:textId="77777777" w:rsidTr="00834981">
        <w:tc>
          <w:tcPr>
            <w:tcW w:w="0" w:type="auto"/>
          </w:tcPr>
          <w:p w14:paraId="56D867FB" w14:textId="77777777" w:rsidR="00EA2DA0" w:rsidRPr="00E70587" w:rsidRDefault="00F54B53" w:rsidP="008F4586">
            <w:pPr>
              <w:pStyle w:val="Tablecolumnheading"/>
              <w:spacing w:line="280" w:lineRule="exact"/>
              <w:jc w:val="both"/>
              <w:rPr>
                <w:rFonts w:ascii="Arial" w:hAnsi="Arial"/>
                <w:sz w:val="20"/>
                <w:szCs w:val="20"/>
                <w:lang w:val="en-IN"/>
              </w:rPr>
            </w:pPr>
            <w:r w:rsidRPr="00E70587">
              <w:rPr>
                <w:rFonts w:ascii="Arial" w:hAnsi="Arial"/>
                <w:sz w:val="20"/>
                <w:szCs w:val="20"/>
                <w:lang w:val="en-IN"/>
              </w:rPr>
              <w:lastRenderedPageBreak/>
              <w:t>F</w:t>
            </w:r>
            <w:r w:rsidR="00EA2DA0" w:rsidRPr="00E70587">
              <w:rPr>
                <w:rFonts w:ascii="Arial" w:hAnsi="Arial"/>
                <w:sz w:val="20"/>
                <w:szCs w:val="20"/>
                <w:lang w:val="en-IN"/>
              </w:rPr>
              <w:t>inancial guarantees</w:t>
            </w:r>
          </w:p>
          <w:p w14:paraId="4719E3BF" w14:textId="77777777" w:rsidR="008F4586" w:rsidRPr="00E70587" w:rsidRDefault="008F4586" w:rsidP="008F4586">
            <w:pPr>
              <w:pStyle w:val="tabletext"/>
              <w:rPr>
                <w:rFonts w:ascii="Arial" w:hAnsi="Arial"/>
                <w:lang w:val="en-IN"/>
              </w:rPr>
            </w:pPr>
          </w:p>
          <w:p w14:paraId="6DD2F511" w14:textId="396838A9" w:rsidR="00EA2DA0" w:rsidRPr="00E70587" w:rsidRDefault="00F54B53" w:rsidP="00657499">
            <w:pPr>
              <w:pStyle w:val="Notesbulletpoint"/>
              <w:numPr>
                <w:ilvl w:val="0"/>
                <w:numId w:val="0"/>
              </w:numPr>
              <w:spacing w:after="0" w:line="280" w:lineRule="exact"/>
              <w:jc w:val="both"/>
            </w:pPr>
            <w:r w:rsidRPr="00E70587">
              <w:rPr>
                <w:rFonts w:ascii="Arial" w:hAnsi="Arial"/>
                <w:color w:val="auto"/>
                <w:sz w:val="20"/>
              </w:rPr>
              <w:t>The Group has given g</w:t>
            </w:r>
            <w:r w:rsidR="00EA2DA0" w:rsidRPr="00E70587">
              <w:rPr>
                <w:rFonts w:ascii="Arial" w:hAnsi="Arial"/>
                <w:color w:val="auto"/>
                <w:sz w:val="20"/>
              </w:rPr>
              <w:t xml:space="preserve">uarantee </w:t>
            </w:r>
            <w:r w:rsidRPr="00E70587">
              <w:rPr>
                <w:rFonts w:ascii="Arial" w:hAnsi="Arial"/>
                <w:color w:val="auto"/>
                <w:sz w:val="20"/>
              </w:rPr>
              <w:t xml:space="preserve">for </w:t>
            </w:r>
            <w:r w:rsidR="00EA2DA0" w:rsidRPr="00E70587">
              <w:rPr>
                <w:rFonts w:ascii="Arial" w:hAnsi="Arial"/>
                <w:color w:val="auto"/>
                <w:sz w:val="20"/>
              </w:rPr>
              <w:t xml:space="preserve">25% of the bank overdraft of the associate to a maximum amount of INR </w:t>
            </w:r>
            <w:r w:rsidR="007A512B" w:rsidRPr="00E70587">
              <w:rPr>
                <w:rFonts w:ascii="Arial" w:hAnsi="Arial"/>
                <w:color w:val="auto"/>
                <w:sz w:val="20"/>
              </w:rPr>
              <w:t>900</w:t>
            </w:r>
            <w:r w:rsidR="00EA2DA0" w:rsidRPr="00E70587">
              <w:rPr>
                <w:rFonts w:ascii="Arial" w:hAnsi="Arial"/>
                <w:color w:val="auto"/>
                <w:sz w:val="20"/>
              </w:rPr>
              <w:t xml:space="preserve"> </w:t>
            </w:r>
            <w:r w:rsidR="000C19BB">
              <w:rPr>
                <w:rFonts w:ascii="Arial" w:hAnsi="Arial"/>
                <w:color w:val="auto"/>
                <w:sz w:val="20"/>
              </w:rPr>
              <w:t xml:space="preserve">lacs </w:t>
            </w:r>
            <w:r w:rsidR="00EA2DA0" w:rsidRPr="00E70587">
              <w:rPr>
                <w:rFonts w:ascii="Arial" w:hAnsi="Arial"/>
                <w:color w:val="auto"/>
                <w:sz w:val="20"/>
              </w:rPr>
              <w:t xml:space="preserve">(31 </w:t>
            </w:r>
            <w:r w:rsidR="008B730E" w:rsidRPr="00E70587">
              <w:rPr>
                <w:rFonts w:ascii="Arial" w:hAnsi="Arial"/>
                <w:color w:val="auto"/>
                <w:sz w:val="20"/>
              </w:rPr>
              <w:t xml:space="preserve">March </w:t>
            </w:r>
            <w:r w:rsidR="000C19BB" w:rsidRPr="00E70587">
              <w:rPr>
                <w:rFonts w:ascii="Arial" w:hAnsi="Arial"/>
                <w:color w:val="auto"/>
                <w:sz w:val="20"/>
              </w:rPr>
              <w:t>20</w:t>
            </w:r>
            <w:r w:rsidR="000C19BB">
              <w:rPr>
                <w:rFonts w:ascii="Arial" w:hAnsi="Arial"/>
                <w:color w:val="auto"/>
                <w:sz w:val="20"/>
              </w:rPr>
              <w:t>20</w:t>
            </w:r>
            <w:r w:rsidR="00EA2DA0" w:rsidRPr="00E70587">
              <w:rPr>
                <w:rFonts w:ascii="Arial" w:hAnsi="Arial"/>
                <w:color w:val="auto"/>
                <w:sz w:val="20"/>
              </w:rPr>
              <w:t xml:space="preserve">: INR </w:t>
            </w:r>
            <w:r w:rsidR="007A512B" w:rsidRPr="00E70587">
              <w:rPr>
                <w:rFonts w:ascii="Arial" w:hAnsi="Arial"/>
                <w:color w:val="auto"/>
                <w:sz w:val="20"/>
              </w:rPr>
              <w:t>450</w:t>
            </w:r>
            <w:r w:rsidR="000C19BB">
              <w:rPr>
                <w:rFonts w:ascii="Arial" w:hAnsi="Arial"/>
                <w:color w:val="auto"/>
                <w:sz w:val="20"/>
              </w:rPr>
              <w:t xml:space="preserve"> lacs</w:t>
            </w:r>
            <w:r w:rsidR="00EA2DA0" w:rsidRPr="00E70587">
              <w:rPr>
                <w:rFonts w:ascii="Arial" w:hAnsi="Arial"/>
                <w:color w:val="auto"/>
                <w:sz w:val="20"/>
              </w:rPr>
              <w:t>)</w:t>
            </w:r>
            <w:r w:rsidRPr="00E70587">
              <w:rPr>
                <w:rFonts w:ascii="Arial" w:hAnsi="Arial"/>
                <w:color w:val="auto"/>
                <w:sz w:val="20"/>
              </w:rPr>
              <w:t>.</w:t>
            </w:r>
            <w:r w:rsidR="00EA2DA0" w:rsidRPr="00E70587">
              <w:rPr>
                <w:rFonts w:ascii="Arial" w:hAnsi="Arial"/>
                <w:color w:val="auto"/>
                <w:sz w:val="20"/>
              </w:rPr>
              <w:t xml:space="preserve"> </w:t>
            </w:r>
            <w:r w:rsidRPr="00E70587">
              <w:rPr>
                <w:rFonts w:ascii="Arial" w:hAnsi="Arial"/>
                <w:color w:val="auto"/>
                <w:sz w:val="20"/>
              </w:rPr>
              <w:t xml:space="preserve">This financial guarantee </w:t>
            </w:r>
            <w:r w:rsidR="00EA2DA0" w:rsidRPr="00E70587">
              <w:rPr>
                <w:rFonts w:ascii="Arial" w:hAnsi="Arial"/>
                <w:color w:val="auto"/>
                <w:sz w:val="20"/>
              </w:rPr>
              <w:t>is incurred jointly with other investors of the associate</w:t>
            </w:r>
            <w:r w:rsidRPr="00E70587">
              <w:rPr>
                <w:rFonts w:ascii="Arial" w:hAnsi="Arial"/>
                <w:color w:val="auto"/>
                <w:sz w:val="20"/>
              </w:rPr>
              <w:t xml:space="preserve">. The </w:t>
            </w:r>
            <w:r w:rsidR="00EA2DA0" w:rsidRPr="00E70587">
              <w:rPr>
                <w:rFonts w:ascii="Arial" w:hAnsi="Arial"/>
                <w:color w:val="auto"/>
                <w:sz w:val="20"/>
              </w:rPr>
              <w:t xml:space="preserve">carrying amounts of the related financial guarantee contracts were INR </w:t>
            </w:r>
            <w:r w:rsidR="00676107" w:rsidRPr="00E70587">
              <w:rPr>
                <w:rFonts w:ascii="Arial" w:hAnsi="Arial"/>
                <w:color w:val="auto"/>
                <w:sz w:val="20"/>
              </w:rPr>
              <w:t>157</w:t>
            </w:r>
            <w:r w:rsidR="00EA2DA0" w:rsidRPr="00E70587">
              <w:rPr>
                <w:rFonts w:ascii="Arial" w:hAnsi="Arial"/>
                <w:color w:val="auto"/>
                <w:sz w:val="20"/>
              </w:rPr>
              <w:t xml:space="preserve"> </w:t>
            </w:r>
            <w:r w:rsidR="00E615A0">
              <w:rPr>
                <w:rFonts w:ascii="Arial" w:hAnsi="Arial"/>
                <w:color w:val="auto"/>
                <w:sz w:val="20"/>
              </w:rPr>
              <w:t xml:space="preserve">lacs </w:t>
            </w:r>
            <w:r w:rsidR="00EA2DA0" w:rsidRPr="00E70587">
              <w:rPr>
                <w:rFonts w:ascii="Arial" w:hAnsi="Arial"/>
                <w:color w:val="auto"/>
                <w:sz w:val="20"/>
              </w:rPr>
              <w:t xml:space="preserve">and INR </w:t>
            </w:r>
            <w:r w:rsidR="00676107" w:rsidRPr="00E70587">
              <w:rPr>
                <w:rFonts w:ascii="Arial" w:hAnsi="Arial"/>
                <w:color w:val="auto"/>
                <w:sz w:val="20"/>
              </w:rPr>
              <w:t>88</w:t>
            </w:r>
            <w:r w:rsidR="00E615A0">
              <w:rPr>
                <w:rFonts w:ascii="Arial" w:hAnsi="Arial"/>
                <w:color w:val="auto"/>
                <w:sz w:val="20"/>
              </w:rPr>
              <w:t xml:space="preserve"> lacs</w:t>
            </w:r>
            <w:r w:rsidR="00EA2DA0" w:rsidRPr="00E70587">
              <w:rPr>
                <w:rFonts w:ascii="Arial" w:hAnsi="Arial"/>
                <w:color w:val="auto"/>
                <w:sz w:val="20"/>
              </w:rPr>
              <w:t xml:space="preserve"> at 31 </w:t>
            </w:r>
            <w:r w:rsidR="00E1202D" w:rsidRPr="00E70587">
              <w:rPr>
                <w:rFonts w:ascii="Arial" w:hAnsi="Arial"/>
                <w:color w:val="auto"/>
                <w:sz w:val="20"/>
              </w:rPr>
              <w:t xml:space="preserve">March </w:t>
            </w:r>
            <w:r w:rsidR="000C19BB" w:rsidRPr="00E70587">
              <w:rPr>
                <w:rFonts w:ascii="Arial" w:hAnsi="Arial"/>
                <w:color w:val="auto"/>
                <w:sz w:val="20"/>
              </w:rPr>
              <w:t>20</w:t>
            </w:r>
            <w:r w:rsidR="000C19BB">
              <w:rPr>
                <w:rFonts w:ascii="Arial" w:hAnsi="Arial"/>
                <w:color w:val="auto"/>
                <w:sz w:val="20"/>
              </w:rPr>
              <w:t>21</w:t>
            </w:r>
            <w:r w:rsidR="000C19BB" w:rsidRPr="00E70587">
              <w:rPr>
                <w:rFonts w:ascii="Arial" w:hAnsi="Arial"/>
                <w:color w:val="auto"/>
                <w:sz w:val="20"/>
              </w:rPr>
              <w:t xml:space="preserve"> </w:t>
            </w:r>
            <w:r w:rsidR="00EA2DA0" w:rsidRPr="00E70587">
              <w:rPr>
                <w:rFonts w:ascii="Arial" w:hAnsi="Arial"/>
                <w:color w:val="auto"/>
                <w:sz w:val="20"/>
              </w:rPr>
              <w:t xml:space="preserve">and 31 </w:t>
            </w:r>
            <w:r w:rsidR="008B730E" w:rsidRPr="00E70587">
              <w:rPr>
                <w:rFonts w:ascii="Arial" w:hAnsi="Arial"/>
                <w:color w:val="auto"/>
                <w:sz w:val="20"/>
              </w:rPr>
              <w:t xml:space="preserve">March </w:t>
            </w:r>
            <w:r w:rsidR="00E615A0" w:rsidRPr="00E70587">
              <w:rPr>
                <w:rFonts w:ascii="Arial" w:hAnsi="Arial"/>
                <w:color w:val="auto"/>
                <w:sz w:val="20"/>
              </w:rPr>
              <w:t>20</w:t>
            </w:r>
            <w:r w:rsidR="00E615A0">
              <w:rPr>
                <w:rFonts w:ascii="Arial" w:hAnsi="Arial"/>
                <w:color w:val="auto"/>
                <w:sz w:val="20"/>
              </w:rPr>
              <w:t>20</w:t>
            </w:r>
            <w:r w:rsidR="00EA2DA0" w:rsidRPr="00E70587">
              <w:rPr>
                <w:rFonts w:ascii="Arial" w:hAnsi="Arial"/>
                <w:color w:val="auto"/>
                <w:sz w:val="20"/>
              </w:rPr>
              <w:t xml:space="preserve">, respectively) (Also refer note </w:t>
            </w:r>
            <w:r w:rsidR="00BA690C" w:rsidRPr="00E70587">
              <w:rPr>
                <w:rFonts w:ascii="Arial" w:hAnsi="Arial"/>
                <w:color w:val="auto"/>
                <w:sz w:val="20"/>
              </w:rPr>
              <w:t>15</w:t>
            </w:r>
            <w:r w:rsidR="00EA2DA0" w:rsidRPr="00E70587">
              <w:rPr>
                <w:rFonts w:ascii="Arial" w:hAnsi="Arial"/>
                <w:color w:val="auto"/>
                <w:sz w:val="20"/>
              </w:rPr>
              <w:t>)</w:t>
            </w:r>
            <w:r w:rsidRPr="00E70587">
              <w:rPr>
                <w:rFonts w:ascii="Arial" w:hAnsi="Arial"/>
                <w:color w:val="auto"/>
                <w:sz w:val="20"/>
              </w:rPr>
              <w:t>.</w:t>
            </w:r>
          </w:p>
          <w:p w14:paraId="51108A61" w14:textId="77777777" w:rsidR="008F4586" w:rsidRPr="00E70587" w:rsidRDefault="008F4586" w:rsidP="00EA2DA0">
            <w:pPr>
              <w:pStyle w:val="tabletext"/>
              <w:rPr>
                <w:rFonts w:ascii="Arial" w:hAnsi="Arial"/>
                <w:lang w:val="en-IN"/>
              </w:rPr>
            </w:pPr>
          </w:p>
        </w:tc>
      </w:tr>
    </w:tbl>
    <w:p w14:paraId="5740A847" w14:textId="77777777" w:rsidR="00CE6971" w:rsidRPr="00E70587" w:rsidRDefault="00CE6971"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Related party transactions</w:t>
      </w:r>
    </w:p>
    <w:p w14:paraId="66848255" w14:textId="77777777" w:rsidR="00CE6971" w:rsidRPr="00E70587" w:rsidRDefault="00CE6971" w:rsidP="00CE6971">
      <w:pPr>
        <w:pStyle w:val="Notesbodytext"/>
        <w:spacing w:after="0" w:line="280" w:lineRule="exact"/>
        <w:jc w:val="both"/>
        <w:rPr>
          <w:rFonts w:ascii="Arial" w:hAnsi="Arial"/>
          <w:sz w:val="20"/>
        </w:rPr>
      </w:pPr>
    </w:p>
    <w:p w14:paraId="0488EF38" w14:textId="77777777" w:rsidR="00CE6971" w:rsidRPr="00E70587" w:rsidRDefault="00CE6971" w:rsidP="00CE6971">
      <w:pPr>
        <w:pStyle w:val="Notesbodytext"/>
        <w:spacing w:after="0" w:line="280" w:lineRule="exact"/>
        <w:jc w:val="both"/>
        <w:rPr>
          <w:rFonts w:ascii="Arial" w:hAnsi="Arial"/>
          <w:sz w:val="20"/>
        </w:rPr>
      </w:pPr>
      <w:r w:rsidRPr="00E70587">
        <w:rPr>
          <w:rFonts w:ascii="Arial" w:hAnsi="Arial"/>
          <w:sz w:val="20"/>
        </w:rPr>
        <w:t xml:space="preserve">Note </w:t>
      </w:r>
      <w:r w:rsidR="00BA690C" w:rsidRPr="00E70587">
        <w:rPr>
          <w:rFonts w:ascii="Arial" w:hAnsi="Arial"/>
          <w:sz w:val="20"/>
        </w:rPr>
        <w:t xml:space="preserve">35 </w:t>
      </w:r>
      <w:r w:rsidRPr="00E70587">
        <w:rPr>
          <w:rFonts w:ascii="Arial" w:hAnsi="Arial"/>
          <w:sz w:val="20"/>
        </w:rPr>
        <w:t>above provides the information about the Group’s structure including the details of the subsidiaries and the holding company. The following table provides the total amount of transactions that have been entered into with related parties for the relevant financial year.</w:t>
      </w:r>
    </w:p>
    <w:p w14:paraId="144DDFE2" w14:textId="77777777" w:rsidR="00C55FAF" w:rsidRPr="00E70587" w:rsidRDefault="00C55FAF" w:rsidP="00CE6971">
      <w:pPr>
        <w:pStyle w:val="Notesbodytext"/>
        <w:spacing w:after="0" w:line="280" w:lineRule="exact"/>
        <w:jc w:val="both"/>
        <w:rPr>
          <w:rFonts w:ascii="Arial" w:hAnsi="Arial"/>
          <w:sz w:val="20"/>
        </w:rPr>
      </w:pPr>
    </w:p>
    <w:tbl>
      <w:tblPr>
        <w:tblW w:w="9576" w:type="dxa"/>
        <w:tblLayout w:type="fixed"/>
        <w:tblLook w:val="01E0" w:firstRow="1" w:lastRow="1" w:firstColumn="1" w:lastColumn="1" w:noHBand="0" w:noVBand="0"/>
      </w:tblPr>
      <w:tblGrid>
        <w:gridCol w:w="1988"/>
        <w:gridCol w:w="1626"/>
        <w:gridCol w:w="1536"/>
        <w:gridCol w:w="1536"/>
        <w:gridCol w:w="1445"/>
        <w:gridCol w:w="1445"/>
      </w:tblGrid>
      <w:tr w:rsidR="00A17C17" w:rsidRPr="00E70587" w14:paraId="4BDA9FDC" w14:textId="77777777" w:rsidTr="00CE6971">
        <w:tc>
          <w:tcPr>
            <w:tcW w:w="1988" w:type="dxa"/>
            <w:vAlign w:val="bottom"/>
          </w:tcPr>
          <w:p w14:paraId="0A929ED9" w14:textId="77777777" w:rsidR="00A17C17" w:rsidRPr="00E70587" w:rsidRDefault="00A17C17" w:rsidP="009901E1">
            <w:pPr>
              <w:pStyle w:val="tabletext"/>
              <w:spacing w:line="280" w:lineRule="exact"/>
              <w:rPr>
                <w:rFonts w:ascii="Arial" w:hAnsi="Arial" w:cs="Arial"/>
                <w:sz w:val="20"/>
                <w:lang w:val="en-IN"/>
              </w:rPr>
            </w:pPr>
          </w:p>
        </w:tc>
        <w:tc>
          <w:tcPr>
            <w:tcW w:w="1626" w:type="dxa"/>
            <w:vAlign w:val="bottom"/>
          </w:tcPr>
          <w:p w14:paraId="35E491B9" w14:textId="77777777" w:rsidR="00A17C17" w:rsidRPr="00E70587" w:rsidRDefault="00A17C17" w:rsidP="009901E1">
            <w:pPr>
              <w:pStyle w:val="tabletext"/>
              <w:spacing w:line="280" w:lineRule="exact"/>
              <w:rPr>
                <w:rFonts w:ascii="Arial" w:hAnsi="Arial" w:cs="Arial"/>
                <w:sz w:val="20"/>
                <w:lang w:val="en-IN"/>
              </w:rPr>
            </w:pPr>
          </w:p>
        </w:tc>
        <w:tc>
          <w:tcPr>
            <w:tcW w:w="1536" w:type="dxa"/>
            <w:tcBorders>
              <w:bottom w:val="single" w:sz="4" w:space="0" w:color="auto"/>
            </w:tcBorders>
            <w:vAlign w:val="bottom"/>
          </w:tcPr>
          <w:p w14:paraId="1CB7241A"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Sales to related parties</w:t>
            </w:r>
          </w:p>
        </w:tc>
        <w:tc>
          <w:tcPr>
            <w:tcW w:w="1536" w:type="dxa"/>
            <w:tcBorders>
              <w:bottom w:val="single" w:sz="4" w:space="0" w:color="auto"/>
            </w:tcBorders>
            <w:vAlign w:val="bottom"/>
          </w:tcPr>
          <w:p w14:paraId="38F0AE45"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Purchases from related parties</w:t>
            </w:r>
          </w:p>
        </w:tc>
        <w:tc>
          <w:tcPr>
            <w:tcW w:w="1445" w:type="dxa"/>
            <w:tcBorders>
              <w:bottom w:val="single" w:sz="4" w:space="0" w:color="auto"/>
            </w:tcBorders>
            <w:vAlign w:val="bottom"/>
          </w:tcPr>
          <w:p w14:paraId="045A6915"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Amounts </w:t>
            </w:r>
            <w:r w:rsidRPr="00E70587">
              <w:rPr>
                <w:rFonts w:ascii="Arial" w:hAnsi="Arial"/>
                <w:color w:val="auto"/>
                <w:sz w:val="20"/>
                <w:szCs w:val="20"/>
                <w:lang w:val="en-IN"/>
              </w:rPr>
              <w:br/>
              <w:t xml:space="preserve">owed by </w:t>
            </w:r>
            <w:r w:rsidRPr="00E70587">
              <w:rPr>
                <w:rFonts w:ascii="Arial" w:hAnsi="Arial"/>
                <w:color w:val="auto"/>
                <w:sz w:val="20"/>
                <w:szCs w:val="20"/>
                <w:lang w:val="en-IN"/>
              </w:rPr>
              <w:br/>
              <w:t>related parties*</w:t>
            </w:r>
          </w:p>
        </w:tc>
        <w:tc>
          <w:tcPr>
            <w:tcW w:w="1445" w:type="dxa"/>
            <w:tcBorders>
              <w:bottom w:val="single" w:sz="4" w:space="0" w:color="auto"/>
            </w:tcBorders>
            <w:vAlign w:val="bottom"/>
          </w:tcPr>
          <w:p w14:paraId="1B7E0035"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Amounts</w:t>
            </w:r>
            <w:r w:rsidRPr="00E70587">
              <w:rPr>
                <w:rFonts w:ascii="Arial" w:hAnsi="Arial"/>
                <w:color w:val="auto"/>
                <w:sz w:val="20"/>
                <w:szCs w:val="20"/>
                <w:lang w:val="en-IN"/>
              </w:rPr>
              <w:br/>
              <w:t xml:space="preserve"> owed to</w:t>
            </w:r>
            <w:r w:rsidRPr="00E70587">
              <w:rPr>
                <w:rFonts w:ascii="Arial" w:hAnsi="Arial"/>
                <w:color w:val="auto"/>
                <w:sz w:val="20"/>
                <w:szCs w:val="20"/>
                <w:lang w:val="en-IN"/>
              </w:rPr>
              <w:br/>
              <w:t xml:space="preserve"> related </w:t>
            </w:r>
            <w:r w:rsidRPr="00E70587">
              <w:rPr>
                <w:rFonts w:ascii="Arial" w:hAnsi="Arial"/>
                <w:color w:val="auto"/>
                <w:sz w:val="20"/>
                <w:szCs w:val="20"/>
                <w:lang w:val="en-IN"/>
              </w:rPr>
              <w:br/>
              <w:t>parties*</w:t>
            </w:r>
          </w:p>
        </w:tc>
      </w:tr>
      <w:tr w:rsidR="00A17C17" w:rsidRPr="00E70587" w14:paraId="4D3A7DBE" w14:textId="77777777" w:rsidTr="00CE6971">
        <w:tc>
          <w:tcPr>
            <w:tcW w:w="1988" w:type="dxa"/>
            <w:vAlign w:val="center"/>
          </w:tcPr>
          <w:p w14:paraId="1D339404" w14:textId="77777777" w:rsidR="00A17C17" w:rsidRPr="00E70587" w:rsidRDefault="00A17C17" w:rsidP="009901E1">
            <w:pPr>
              <w:pStyle w:val="tabletext"/>
              <w:spacing w:line="280" w:lineRule="exact"/>
              <w:rPr>
                <w:rFonts w:ascii="Arial" w:hAnsi="Arial" w:cs="Arial"/>
                <w:sz w:val="20"/>
                <w:lang w:val="en-IN"/>
              </w:rPr>
            </w:pPr>
          </w:p>
        </w:tc>
        <w:tc>
          <w:tcPr>
            <w:tcW w:w="1626" w:type="dxa"/>
          </w:tcPr>
          <w:p w14:paraId="5EC20FCE" w14:textId="77777777" w:rsidR="00A17C17" w:rsidRPr="00E70587" w:rsidRDefault="00A17C17" w:rsidP="009901E1">
            <w:pPr>
              <w:pStyle w:val="tabletext"/>
              <w:spacing w:line="280" w:lineRule="exact"/>
              <w:rPr>
                <w:rFonts w:ascii="Arial" w:hAnsi="Arial" w:cs="Arial"/>
                <w:sz w:val="20"/>
                <w:lang w:val="en-IN"/>
              </w:rPr>
            </w:pPr>
          </w:p>
        </w:tc>
        <w:tc>
          <w:tcPr>
            <w:tcW w:w="1536" w:type="dxa"/>
            <w:tcBorders>
              <w:top w:val="single" w:sz="4" w:space="0" w:color="auto"/>
            </w:tcBorders>
            <w:vAlign w:val="bottom"/>
          </w:tcPr>
          <w:p w14:paraId="55E52E12"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536" w:type="dxa"/>
            <w:tcBorders>
              <w:top w:val="single" w:sz="4" w:space="0" w:color="auto"/>
            </w:tcBorders>
            <w:vAlign w:val="bottom"/>
          </w:tcPr>
          <w:p w14:paraId="54255961"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445" w:type="dxa"/>
            <w:tcBorders>
              <w:top w:val="single" w:sz="4" w:space="0" w:color="auto"/>
            </w:tcBorders>
            <w:vAlign w:val="bottom"/>
          </w:tcPr>
          <w:p w14:paraId="37E2CD35"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445" w:type="dxa"/>
            <w:tcBorders>
              <w:top w:val="single" w:sz="4" w:space="0" w:color="auto"/>
            </w:tcBorders>
            <w:vAlign w:val="bottom"/>
          </w:tcPr>
          <w:p w14:paraId="12E74478"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CE6971" w:rsidRPr="00E70587" w14:paraId="3229E115" w14:textId="77777777" w:rsidTr="00E03D5A">
        <w:tc>
          <w:tcPr>
            <w:tcW w:w="9576" w:type="dxa"/>
            <w:gridSpan w:val="6"/>
            <w:vAlign w:val="center"/>
          </w:tcPr>
          <w:p w14:paraId="57F6CD2B" w14:textId="77777777" w:rsidR="00CE6971" w:rsidRPr="00E70587" w:rsidRDefault="00CE6971" w:rsidP="00CE6971">
            <w:pPr>
              <w:pStyle w:val="Tablecolumnheading"/>
              <w:spacing w:line="280" w:lineRule="exact"/>
              <w:jc w:val="both"/>
              <w:rPr>
                <w:rFonts w:ascii="Arial" w:hAnsi="Arial"/>
                <w:color w:val="auto"/>
                <w:sz w:val="20"/>
                <w:szCs w:val="20"/>
                <w:lang w:val="en-IN"/>
              </w:rPr>
            </w:pPr>
            <w:r w:rsidRPr="00E70587">
              <w:rPr>
                <w:rFonts w:ascii="Arial" w:hAnsi="Arial"/>
                <w:sz w:val="20"/>
                <w:lang w:val="en-IN"/>
              </w:rPr>
              <w:t>Entity with significant influence over the Group:</w:t>
            </w:r>
          </w:p>
        </w:tc>
      </w:tr>
      <w:tr w:rsidR="00A17C17" w:rsidRPr="00E70587" w14:paraId="03FA5E1F" w14:textId="77777777" w:rsidTr="00CE6971">
        <w:tc>
          <w:tcPr>
            <w:tcW w:w="1988" w:type="dxa"/>
            <w:vAlign w:val="center"/>
          </w:tcPr>
          <w:p w14:paraId="0BACC324"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IF Limited</w:t>
            </w:r>
          </w:p>
        </w:tc>
        <w:tc>
          <w:tcPr>
            <w:tcW w:w="1626" w:type="dxa"/>
            <w:vAlign w:val="bottom"/>
          </w:tcPr>
          <w:p w14:paraId="7DC6EDC1" w14:textId="6E52756C"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3B5CAB" w:rsidRPr="00E70587">
              <w:rPr>
                <w:rFonts w:ascii="Arial" w:hAnsi="Arial" w:cs="Arial"/>
                <w:sz w:val="20"/>
                <w:lang w:val="en-IN"/>
              </w:rPr>
              <w:t>20</w:t>
            </w:r>
            <w:r w:rsidR="003B5CAB">
              <w:rPr>
                <w:rFonts w:ascii="Arial" w:hAnsi="Arial" w:cs="Arial"/>
                <w:sz w:val="20"/>
                <w:lang w:val="en-IN"/>
              </w:rPr>
              <w:t>21</w:t>
            </w:r>
          </w:p>
        </w:tc>
        <w:tc>
          <w:tcPr>
            <w:tcW w:w="1536" w:type="dxa"/>
          </w:tcPr>
          <w:p w14:paraId="539BEF5C"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12,807</w:t>
            </w:r>
          </w:p>
        </w:tc>
        <w:tc>
          <w:tcPr>
            <w:tcW w:w="1536" w:type="dxa"/>
          </w:tcPr>
          <w:p w14:paraId="203A8C24"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445" w:type="dxa"/>
          </w:tcPr>
          <w:p w14:paraId="011F1441"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1,116</w:t>
            </w:r>
          </w:p>
        </w:tc>
        <w:tc>
          <w:tcPr>
            <w:tcW w:w="1445" w:type="dxa"/>
          </w:tcPr>
          <w:p w14:paraId="2058A68E"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A17C17" w:rsidRPr="00E70587" w14:paraId="2FD9B723" w14:textId="77777777" w:rsidTr="00CE6971">
        <w:tc>
          <w:tcPr>
            <w:tcW w:w="1988" w:type="dxa"/>
            <w:vAlign w:val="center"/>
          </w:tcPr>
          <w:p w14:paraId="36F983A5"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26" w:type="dxa"/>
            <w:vAlign w:val="bottom"/>
          </w:tcPr>
          <w:p w14:paraId="1D3C31DD" w14:textId="6C6F9BC1"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3B5CAB" w:rsidRPr="00E70587">
              <w:rPr>
                <w:rFonts w:ascii="Arial" w:hAnsi="Arial" w:cs="Arial"/>
                <w:sz w:val="20"/>
                <w:lang w:val="en-IN"/>
              </w:rPr>
              <w:t>20</w:t>
            </w:r>
            <w:r w:rsidR="003B5CAB">
              <w:rPr>
                <w:rFonts w:ascii="Arial" w:hAnsi="Arial" w:cs="Arial"/>
                <w:sz w:val="20"/>
                <w:lang w:val="en-IN"/>
              </w:rPr>
              <w:t>20</w:t>
            </w:r>
          </w:p>
        </w:tc>
        <w:tc>
          <w:tcPr>
            <w:tcW w:w="1536" w:type="dxa"/>
          </w:tcPr>
          <w:p w14:paraId="2951B012"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10,755</w:t>
            </w:r>
          </w:p>
        </w:tc>
        <w:tc>
          <w:tcPr>
            <w:tcW w:w="1536" w:type="dxa"/>
          </w:tcPr>
          <w:p w14:paraId="3DDC72A3"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445" w:type="dxa"/>
          </w:tcPr>
          <w:p w14:paraId="4D26B7B9"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990</w:t>
            </w:r>
          </w:p>
        </w:tc>
        <w:tc>
          <w:tcPr>
            <w:tcW w:w="1445" w:type="dxa"/>
          </w:tcPr>
          <w:p w14:paraId="61630C3F"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A17C17" w:rsidRPr="00E70587" w14:paraId="51F37F1A" w14:textId="77777777" w:rsidTr="00CE6971">
        <w:tc>
          <w:tcPr>
            <w:tcW w:w="1988" w:type="dxa"/>
            <w:vAlign w:val="center"/>
          </w:tcPr>
          <w:p w14:paraId="4E5382EB"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26" w:type="dxa"/>
            <w:vAlign w:val="bottom"/>
          </w:tcPr>
          <w:p w14:paraId="74D25CF7"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536" w:type="dxa"/>
          </w:tcPr>
          <w:p w14:paraId="454569A4"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536" w:type="dxa"/>
          </w:tcPr>
          <w:p w14:paraId="12F28070"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445" w:type="dxa"/>
          </w:tcPr>
          <w:p w14:paraId="7C360394"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445" w:type="dxa"/>
          </w:tcPr>
          <w:p w14:paraId="3F343C20" w14:textId="77777777" w:rsidR="00A17C17" w:rsidRPr="00E70587" w:rsidRDefault="00A17C17" w:rsidP="009901E1">
            <w:pPr>
              <w:overflowPunct/>
              <w:spacing w:line="280" w:lineRule="exact"/>
              <w:jc w:val="right"/>
              <w:textAlignment w:val="auto"/>
              <w:rPr>
                <w:rFonts w:ascii="Arial" w:hAnsi="Arial" w:cs="Arial"/>
                <w:sz w:val="20"/>
                <w:lang w:eastAsia="en-GB"/>
              </w:rPr>
            </w:pPr>
          </w:p>
        </w:tc>
      </w:tr>
      <w:tr w:rsidR="00A17C17" w:rsidRPr="00E70587" w14:paraId="5A91252C" w14:textId="77777777" w:rsidTr="00CE6971">
        <w:tc>
          <w:tcPr>
            <w:tcW w:w="1988" w:type="dxa"/>
          </w:tcPr>
          <w:p w14:paraId="055FDC5E"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26" w:type="dxa"/>
            <w:vAlign w:val="bottom"/>
          </w:tcPr>
          <w:p w14:paraId="4995C668"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536" w:type="dxa"/>
          </w:tcPr>
          <w:p w14:paraId="11E96FD5"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536" w:type="dxa"/>
          </w:tcPr>
          <w:p w14:paraId="4373EF02"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445" w:type="dxa"/>
          </w:tcPr>
          <w:p w14:paraId="51A4F525"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445" w:type="dxa"/>
          </w:tcPr>
          <w:p w14:paraId="405D68FA" w14:textId="77777777" w:rsidR="00A17C17" w:rsidRPr="00E70587" w:rsidRDefault="00A17C17" w:rsidP="009901E1">
            <w:pPr>
              <w:overflowPunct/>
              <w:spacing w:line="280" w:lineRule="exact"/>
              <w:jc w:val="right"/>
              <w:textAlignment w:val="auto"/>
              <w:rPr>
                <w:rFonts w:ascii="Arial" w:hAnsi="Arial" w:cs="Arial"/>
                <w:sz w:val="20"/>
                <w:lang w:eastAsia="en-GB"/>
              </w:rPr>
            </w:pPr>
          </w:p>
        </w:tc>
      </w:tr>
      <w:tr w:rsidR="00A17C17" w:rsidRPr="00E70587" w14:paraId="6B2D286D" w14:textId="77777777" w:rsidTr="00CE6971">
        <w:tc>
          <w:tcPr>
            <w:tcW w:w="1988" w:type="dxa"/>
          </w:tcPr>
          <w:p w14:paraId="0D4BE779"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Associate:</w:t>
            </w:r>
          </w:p>
        </w:tc>
        <w:tc>
          <w:tcPr>
            <w:tcW w:w="1626" w:type="dxa"/>
            <w:vAlign w:val="bottom"/>
          </w:tcPr>
          <w:p w14:paraId="33FBC24F"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536" w:type="dxa"/>
          </w:tcPr>
          <w:p w14:paraId="5C5A10C3" w14:textId="77777777" w:rsidR="00A17C17" w:rsidRPr="00E70587" w:rsidRDefault="00A17C17" w:rsidP="009901E1">
            <w:pPr>
              <w:overflowPunct/>
              <w:spacing w:line="280" w:lineRule="exact"/>
              <w:jc w:val="right"/>
              <w:textAlignment w:val="auto"/>
              <w:rPr>
                <w:rFonts w:ascii="Arial" w:hAnsi="Arial" w:cs="Arial"/>
                <w:b/>
                <w:sz w:val="20"/>
                <w:lang w:eastAsia="en-GB"/>
              </w:rPr>
            </w:pPr>
          </w:p>
        </w:tc>
        <w:tc>
          <w:tcPr>
            <w:tcW w:w="1536" w:type="dxa"/>
          </w:tcPr>
          <w:p w14:paraId="0641EE4C" w14:textId="77777777" w:rsidR="00A17C17" w:rsidRPr="00E70587" w:rsidRDefault="00A17C17" w:rsidP="009901E1">
            <w:pPr>
              <w:overflowPunct/>
              <w:spacing w:line="280" w:lineRule="exact"/>
              <w:jc w:val="right"/>
              <w:textAlignment w:val="auto"/>
              <w:rPr>
                <w:rFonts w:ascii="Arial" w:hAnsi="Arial" w:cs="Arial"/>
                <w:b/>
                <w:sz w:val="20"/>
                <w:lang w:eastAsia="en-GB"/>
              </w:rPr>
            </w:pPr>
          </w:p>
        </w:tc>
        <w:tc>
          <w:tcPr>
            <w:tcW w:w="1445" w:type="dxa"/>
          </w:tcPr>
          <w:p w14:paraId="2A5F8AD7" w14:textId="77777777" w:rsidR="00A17C17" w:rsidRPr="00E70587" w:rsidRDefault="00A17C17" w:rsidP="009901E1">
            <w:pPr>
              <w:overflowPunct/>
              <w:spacing w:line="280" w:lineRule="exact"/>
              <w:jc w:val="right"/>
              <w:textAlignment w:val="auto"/>
              <w:rPr>
                <w:rFonts w:ascii="Arial" w:hAnsi="Arial" w:cs="Arial"/>
                <w:b/>
                <w:sz w:val="20"/>
                <w:lang w:eastAsia="en-GB"/>
              </w:rPr>
            </w:pPr>
          </w:p>
        </w:tc>
        <w:tc>
          <w:tcPr>
            <w:tcW w:w="1445" w:type="dxa"/>
          </w:tcPr>
          <w:p w14:paraId="2E5E1A8C" w14:textId="77777777" w:rsidR="00A17C17" w:rsidRPr="00E70587" w:rsidRDefault="00A17C17" w:rsidP="009901E1">
            <w:pPr>
              <w:overflowPunct/>
              <w:spacing w:line="280" w:lineRule="exact"/>
              <w:jc w:val="right"/>
              <w:textAlignment w:val="auto"/>
              <w:rPr>
                <w:rFonts w:ascii="Arial" w:hAnsi="Arial" w:cs="Arial"/>
                <w:b/>
                <w:sz w:val="20"/>
                <w:lang w:eastAsia="en-GB"/>
              </w:rPr>
            </w:pPr>
          </w:p>
        </w:tc>
      </w:tr>
      <w:tr w:rsidR="00A17C17" w:rsidRPr="00E70587" w14:paraId="3E07D7F8" w14:textId="77777777" w:rsidTr="00CE6971">
        <w:tc>
          <w:tcPr>
            <w:tcW w:w="1988" w:type="dxa"/>
            <w:vAlign w:val="center"/>
          </w:tcPr>
          <w:p w14:paraId="3E74C6F3"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 Limited</w:t>
            </w:r>
          </w:p>
        </w:tc>
        <w:tc>
          <w:tcPr>
            <w:tcW w:w="1626" w:type="dxa"/>
            <w:vAlign w:val="bottom"/>
          </w:tcPr>
          <w:p w14:paraId="21011ABE" w14:textId="10B72E22"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3B5CAB" w:rsidRPr="00E70587">
              <w:rPr>
                <w:rFonts w:ascii="Arial" w:hAnsi="Arial" w:cs="Arial"/>
                <w:sz w:val="20"/>
                <w:lang w:val="en-IN"/>
              </w:rPr>
              <w:t>20</w:t>
            </w:r>
            <w:r w:rsidR="003B5CAB">
              <w:rPr>
                <w:rFonts w:ascii="Arial" w:hAnsi="Arial" w:cs="Arial"/>
                <w:sz w:val="20"/>
                <w:lang w:val="en-IN"/>
              </w:rPr>
              <w:t>21</w:t>
            </w:r>
          </w:p>
        </w:tc>
        <w:tc>
          <w:tcPr>
            <w:tcW w:w="1536" w:type="dxa"/>
          </w:tcPr>
          <w:p w14:paraId="426BA2EC"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5,220</w:t>
            </w:r>
          </w:p>
        </w:tc>
        <w:tc>
          <w:tcPr>
            <w:tcW w:w="1536" w:type="dxa"/>
          </w:tcPr>
          <w:p w14:paraId="3655FE8B"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445" w:type="dxa"/>
          </w:tcPr>
          <w:p w14:paraId="1C12E6ED"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992</w:t>
            </w:r>
          </w:p>
        </w:tc>
        <w:tc>
          <w:tcPr>
            <w:tcW w:w="1445" w:type="dxa"/>
          </w:tcPr>
          <w:p w14:paraId="1C31D011"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A17C17" w:rsidRPr="00E70587" w14:paraId="77F4B991" w14:textId="77777777" w:rsidTr="00CE6971">
        <w:tc>
          <w:tcPr>
            <w:tcW w:w="1988" w:type="dxa"/>
            <w:vAlign w:val="center"/>
          </w:tcPr>
          <w:p w14:paraId="4DF51CFC"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26" w:type="dxa"/>
            <w:vAlign w:val="bottom"/>
          </w:tcPr>
          <w:p w14:paraId="4F65CBDC" w14:textId="5E717AEF"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3B5CAB" w:rsidRPr="00E70587">
              <w:rPr>
                <w:rFonts w:ascii="Arial" w:hAnsi="Arial" w:cs="Arial"/>
                <w:sz w:val="20"/>
                <w:lang w:val="en-IN"/>
              </w:rPr>
              <w:t>20</w:t>
            </w:r>
            <w:r w:rsidR="003B5CAB">
              <w:rPr>
                <w:rFonts w:ascii="Arial" w:hAnsi="Arial" w:cs="Arial"/>
                <w:sz w:val="20"/>
                <w:lang w:val="en-IN"/>
              </w:rPr>
              <w:t>20</w:t>
            </w:r>
          </w:p>
        </w:tc>
        <w:tc>
          <w:tcPr>
            <w:tcW w:w="1536" w:type="dxa"/>
          </w:tcPr>
          <w:p w14:paraId="0F4A885F"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3,780</w:t>
            </w:r>
          </w:p>
        </w:tc>
        <w:tc>
          <w:tcPr>
            <w:tcW w:w="1536" w:type="dxa"/>
          </w:tcPr>
          <w:p w14:paraId="395E68FF"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445" w:type="dxa"/>
          </w:tcPr>
          <w:p w14:paraId="75EED939"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1,048</w:t>
            </w:r>
          </w:p>
        </w:tc>
        <w:tc>
          <w:tcPr>
            <w:tcW w:w="1445" w:type="dxa"/>
          </w:tcPr>
          <w:p w14:paraId="671050B2"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A17C17" w:rsidRPr="00E70587" w14:paraId="56377957" w14:textId="77777777" w:rsidTr="00CE6971">
        <w:tc>
          <w:tcPr>
            <w:tcW w:w="1988" w:type="dxa"/>
            <w:vAlign w:val="center"/>
          </w:tcPr>
          <w:p w14:paraId="027FE804"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26" w:type="dxa"/>
            <w:vAlign w:val="bottom"/>
          </w:tcPr>
          <w:p w14:paraId="7FF48A23"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536" w:type="dxa"/>
          </w:tcPr>
          <w:p w14:paraId="636452C2"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536" w:type="dxa"/>
          </w:tcPr>
          <w:p w14:paraId="1AC7B891"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445" w:type="dxa"/>
          </w:tcPr>
          <w:p w14:paraId="7B004F37"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445" w:type="dxa"/>
          </w:tcPr>
          <w:p w14:paraId="55EBE831" w14:textId="77777777" w:rsidR="00A17C17" w:rsidRPr="00E70587" w:rsidRDefault="00A17C17" w:rsidP="009901E1">
            <w:pPr>
              <w:overflowPunct/>
              <w:spacing w:line="280" w:lineRule="exact"/>
              <w:jc w:val="right"/>
              <w:textAlignment w:val="auto"/>
              <w:rPr>
                <w:rFonts w:ascii="Arial" w:hAnsi="Arial" w:cs="Arial"/>
                <w:sz w:val="20"/>
                <w:lang w:eastAsia="en-GB"/>
              </w:rPr>
            </w:pPr>
          </w:p>
        </w:tc>
      </w:tr>
      <w:tr w:rsidR="00A17C17" w:rsidRPr="00E70587" w14:paraId="74C8102A" w14:textId="77777777" w:rsidTr="00CE6971">
        <w:tc>
          <w:tcPr>
            <w:tcW w:w="1988" w:type="dxa"/>
          </w:tcPr>
          <w:p w14:paraId="2936DAC5"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26" w:type="dxa"/>
            <w:vAlign w:val="bottom"/>
          </w:tcPr>
          <w:p w14:paraId="38737B14"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536" w:type="dxa"/>
          </w:tcPr>
          <w:p w14:paraId="41457AFE"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536" w:type="dxa"/>
          </w:tcPr>
          <w:p w14:paraId="218C3C1D"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445" w:type="dxa"/>
          </w:tcPr>
          <w:p w14:paraId="1BEAF636"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445" w:type="dxa"/>
          </w:tcPr>
          <w:p w14:paraId="1FF428A5" w14:textId="77777777" w:rsidR="00A17C17" w:rsidRPr="00E70587" w:rsidRDefault="00A17C17" w:rsidP="009901E1">
            <w:pPr>
              <w:overflowPunct/>
              <w:spacing w:line="280" w:lineRule="exact"/>
              <w:jc w:val="right"/>
              <w:textAlignment w:val="auto"/>
              <w:rPr>
                <w:rFonts w:ascii="Arial" w:hAnsi="Arial" w:cs="Arial"/>
                <w:sz w:val="20"/>
                <w:lang w:eastAsia="en-GB"/>
              </w:rPr>
            </w:pPr>
          </w:p>
        </w:tc>
      </w:tr>
      <w:tr w:rsidR="00CE6971" w:rsidRPr="00E70587" w14:paraId="210AE7EE" w14:textId="77777777" w:rsidTr="00E03D5A">
        <w:tc>
          <w:tcPr>
            <w:tcW w:w="9576" w:type="dxa"/>
            <w:gridSpan w:val="6"/>
          </w:tcPr>
          <w:p w14:paraId="3A210D60" w14:textId="77777777" w:rsidR="00CE6971" w:rsidRPr="00E70587" w:rsidRDefault="00CE6971" w:rsidP="00CE6971">
            <w:pPr>
              <w:pStyle w:val="tabletext"/>
              <w:overflowPunct w:val="0"/>
              <w:autoSpaceDE w:val="0"/>
              <w:autoSpaceDN w:val="0"/>
              <w:adjustRightInd w:val="0"/>
              <w:spacing w:line="280" w:lineRule="exact"/>
              <w:jc w:val="both"/>
              <w:textAlignment w:val="baseline"/>
              <w:rPr>
                <w:rFonts w:ascii="Arial" w:hAnsi="Arial" w:cs="Arial"/>
                <w:b/>
                <w:sz w:val="20"/>
                <w:lang w:val="en-IN"/>
              </w:rPr>
            </w:pPr>
            <w:r w:rsidRPr="00E70587">
              <w:rPr>
                <w:rFonts w:ascii="Arial" w:hAnsi="Arial" w:cs="Arial"/>
                <w:b/>
                <w:sz w:val="20"/>
                <w:lang w:val="en-IN"/>
              </w:rPr>
              <w:t>Joint venture in which the parent is a venturer:</w:t>
            </w:r>
          </w:p>
        </w:tc>
      </w:tr>
      <w:tr w:rsidR="00A17C17" w:rsidRPr="00E70587" w14:paraId="675960F2" w14:textId="77777777" w:rsidTr="00CE6971">
        <w:tc>
          <w:tcPr>
            <w:tcW w:w="1988" w:type="dxa"/>
            <w:vAlign w:val="center"/>
          </w:tcPr>
          <w:p w14:paraId="3A7056F3"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S Limited</w:t>
            </w:r>
          </w:p>
        </w:tc>
        <w:tc>
          <w:tcPr>
            <w:tcW w:w="1626" w:type="dxa"/>
            <w:vAlign w:val="bottom"/>
          </w:tcPr>
          <w:p w14:paraId="02C478AE" w14:textId="4285FF96"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3B5CAB" w:rsidRPr="00E70587">
              <w:rPr>
                <w:rFonts w:ascii="Arial" w:hAnsi="Arial" w:cs="Arial"/>
                <w:sz w:val="20"/>
                <w:lang w:val="en-IN"/>
              </w:rPr>
              <w:t>20</w:t>
            </w:r>
            <w:r w:rsidR="003B5CAB">
              <w:rPr>
                <w:rFonts w:ascii="Arial" w:hAnsi="Arial" w:cs="Arial"/>
                <w:sz w:val="20"/>
                <w:lang w:val="en-IN"/>
              </w:rPr>
              <w:t>21</w:t>
            </w:r>
          </w:p>
        </w:tc>
        <w:tc>
          <w:tcPr>
            <w:tcW w:w="1536" w:type="dxa"/>
          </w:tcPr>
          <w:p w14:paraId="46565ADE"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1536" w:type="dxa"/>
          </w:tcPr>
          <w:p w14:paraId="79E8BE34"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1,062 </w:t>
            </w:r>
          </w:p>
        </w:tc>
        <w:tc>
          <w:tcPr>
            <w:tcW w:w="1445" w:type="dxa"/>
          </w:tcPr>
          <w:p w14:paraId="70D5D3A3"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1445" w:type="dxa"/>
          </w:tcPr>
          <w:p w14:paraId="56251311"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54 </w:t>
            </w:r>
          </w:p>
        </w:tc>
      </w:tr>
      <w:tr w:rsidR="00A17C17" w:rsidRPr="00E70587" w14:paraId="0DF23FA7" w14:textId="77777777" w:rsidTr="00CE6971">
        <w:tc>
          <w:tcPr>
            <w:tcW w:w="1988" w:type="dxa"/>
            <w:vAlign w:val="center"/>
          </w:tcPr>
          <w:p w14:paraId="6AE901B9"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26" w:type="dxa"/>
            <w:vAlign w:val="bottom"/>
          </w:tcPr>
          <w:p w14:paraId="07F3FFEF" w14:textId="29AAF263"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3B5CAB" w:rsidRPr="00E70587">
              <w:rPr>
                <w:rFonts w:ascii="Arial" w:hAnsi="Arial" w:cs="Arial"/>
                <w:sz w:val="20"/>
                <w:lang w:val="en-IN"/>
              </w:rPr>
              <w:t>20</w:t>
            </w:r>
            <w:r w:rsidR="003B5CAB">
              <w:rPr>
                <w:rFonts w:ascii="Arial" w:hAnsi="Arial" w:cs="Arial"/>
                <w:sz w:val="20"/>
                <w:lang w:val="en-IN"/>
              </w:rPr>
              <w:t>20</w:t>
            </w:r>
          </w:p>
        </w:tc>
        <w:tc>
          <w:tcPr>
            <w:tcW w:w="1536" w:type="dxa"/>
          </w:tcPr>
          <w:p w14:paraId="36AE32B1"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1536" w:type="dxa"/>
          </w:tcPr>
          <w:p w14:paraId="53DB72FC"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774 </w:t>
            </w:r>
          </w:p>
        </w:tc>
        <w:tc>
          <w:tcPr>
            <w:tcW w:w="1445" w:type="dxa"/>
          </w:tcPr>
          <w:p w14:paraId="24D720B7"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1445" w:type="dxa"/>
          </w:tcPr>
          <w:p w14:paraId="6C0EC6EC"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22 </w:t>
            </w:r>
          </w:p>
        </w:tc>
      </w:tr>
      <w:tr w:rsidR="00A17C17" w:rsidRPr="00E70587" w14:paraId="114970DD" w14:textId="77777777" w:rsidTr="00CE6971">
        <w:tc>
          <w:tcPr>
            <w:tcW w:w="1988" w:type="dxa"/>
            <w:vAlign w:val="center"/>
          </w:tcPr>
          <w:p w14:paraId="21809D25"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26" w:type="dxa"/>
            <w:vAlign w:val="bottom"/>
          </w:tcPr>
          <w:p w14:paraId="5E19661D"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536" w:type="dxa"/>
          </w:tcPr>
          <w:p w14:paraId="0F6F3FEE"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536" w:type="dxa"/>
          </w:tcPr>
          <w:p w14:paraId="39F43553"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445" w:type="dxa"/>
          </w:tcPr>
          <w:p w14:paraId="68AE7CE7"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445" w:type="dxa"/>
          </w:tcPr>
          <w:p w14:paraId="08FA9C43" w14:textId="77777777" w:rsidR="00A17C17" w:rsidRPr="00E70587" w:rsidRDefault="00A17C17" w:rsidP="009901E1">
            <w:pPr>
              <w:overflowPunct/>
              <w:spacing w:line="280" w:lineRule="exact"/>
              <w:jc w:val="right"/>
              <w:textAlignment w:val="auto"/>
              <w:rPr>
                <w:rFonts w:ascii="Arial" w:hAnsi="Arial" w:cs="Arial"/>
                <w:sz w:val="20"/>
                <w:lang w:eastAsia="en-GB"/>
              </w:rPr>
            </w:pPr>
          </w:p>
        </w:tc>
      </w:tr>
      <w:tr w:rsidR="00A17C17" w:rsidRPr="00E70587" w14:paraId="5DDED952" w14:textId="77777777" w:rsidTr="00CE6971">
        <w:tc>
          <w:tcPr>
            <w:tcW w:w="1988" w:type="dxa"/>
          </w:tcPr>
          <w:p w14:paraId="497B7C71"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26" w:type="dxa"/>
            <w:vAlign w:val="bottom"/>
          </w:tcPr>
          <w:p w14:paraId="2161D0B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536" w:type="dxa"/>
            <w:vAlign w:val="bottom"/>
          </w:tcPr>
          <w:p w14:paraId="409007BE"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536" w:type="dxa"/>
            <w:vAlign w:val="bottom"/>
          </w:tcPr>
          <w:p w14:paraId="7085DE02"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45" w:type="dxa"/>
            <w:vAlign w:val="bottom"/>
          </w:tcPr>
          <w:p w14:paraId="5AA2F8B2"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45" w:type="dxa"/>
            <w:vAlign w:val="bottom"/>
          </w:tcPr>
          <w:p w14:paraId="392BBC2D"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CE6971" w:rsidRPr="00E70587" w14:paraId="523B2C6A" w14:textId="77777777" w:rsidTr="00E03D5A">
        <w:tc>
          <w:tcPr>
            <w:tcW w:w="9576" w:type="dxa"/>
            <w:gridSpan w:val="6"/>
          </w:tcPr>
          <w:p w14:paraId="494409DD" w14:textId="77777777" w:rsidR="00CE6971" w:rsidRPr="00E70587" w:rsidRDefault="00CE6971" w:rsidP="00CE6971">
            <w:pPr>
              <w:pStyle w:val="tabletext"/>
              <w:overflowPunct w:val="0"/>
              <w:autoSpaceDE w:val="0"/>
              <w:autoSpaceDN w:val="0"/>
              <w:adjustRightInd w:val="0"/>
              <w:spacing w:line="280" w:lineRule="exact"/>
              <w:jc w:val="both"/>
              <w:textAlignment w:val="baseline"/>
              <w:rPr>
                <w:rFonts w:ascii="Arial" w:hAnsi="Arial" w:cs="Arial"/>
                <w:b/>
                <w:sz w:val="20"/>
                <w:lang w:val="en-IN"/>
              </w:rPr>
            </w:pPr>
            <w:r w:rsidRPr="00E70587">
              <w:rPr>
                <w:rFonts w:ascii="Arial" w:hAnsi="Arial" w:cs="Arial"/>
                <w:b/>
                <w:sz w:val="20"/>
                <w:lang w:val="en-IN"/>
              </w:rPr>
              <w:t>Key management personnel of the Group:</w:t>
            </w:r>
          </w:p>
        </w:tc>
      </w:tr>
      <w:tr w:rsidR="00A17C17" w:rsidRPr="00E70587" w14:paraId="2E016F2E" w14:textId="77777777" w:rsidTr="00CE6971">
        <w:tc>
          <w:tcPr>
            <w:tcW w:w="1988" w:type="dxa"/>
            <w:vAlign w:val="center"/>
          </w:tcPr>
          <w:p w14:paraId="4323C323"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Other directors’ interests</w:t>
            </w:r>
          </w:p>
        </w:tc>
        <w:tc>
          <w:tcPr>
            <w:tcW w:w="1626" w:type="dxa"/>
            <w:vAlign w:val="bottom"/>
          </w:tcPr>
          <w:p w14:paraId="4E01ED61" w14:textId="1E21921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3B5CAB" w:rsidRPr="00E70587">
              <w:rPr>
                <w:rFonts w:ascii="Arial" w:hAnsi="Arial" w:cs="Arial"/>
                <w:sz w:val="20"/>
                <w:lang w:val="en-IN"/>
              </w:rPr>
              <w:t>20</w:t>
            </w:r>
            <w:r w:rsidR="003B5CAB">
              <w:rPr>
                <w:rFonts w:ascii="Arial" w:hAnsi="Arial" w:cs="Arial"/>
                <w:sz w:val="20"/>
                <w:lang w:val="en-IN"/>
              </w:rPr>
              <w:t>21</w:t>
            </w:r>
          </w:p>
        </w:tc>
        <w:tc>
          <w:tcPr>
            <w:tcW w:w="1536" w:type="dxa"/>
          </w:tcPr>
          <w:p w14:paraId="3AFC9002"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405</w:t>
            </w:r>
          </w:p>
        </w:tc>
        <w:tc>
          <w:tcPr>
            <w:tcW w:w="1536" w:type="dxa"/>
          </w:tcPr>
          <w:p w14:paraId="062D7A8A"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918</w:t>
            </w:r>
          </w:p>
        </w:tc>
        <w:tc>
          <w:tcPr>
            <w:tcW w:w="1445" w:type="dxa"/>
          </w:tcPr>
          <w:p w14:paraId="19C2C37F"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445" w:type="dxa"/>
          </w:tcPr>
          <w:p w14:paraId="5FD29DED"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18</w:t>
            </w:r>
          </w:p>
        </w:tc>
      </w:tr>
      <w:tr w:rsidR="00A17C17" w:rsidRPr="00E70587" w14:paraId="378DFCB6" w14:textId="77777777" w:rsidTr="00CE6971">
        <w:tc>
          <w:tcPr>
            <w:tcW w:w="1988" w:type="dxa"/>
            <w:vAlign w:val="center"/>
          </w:tcPr>
          <w:p w14:paraId="081308A3"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26" w:type="dxa"/>
            <w:vAlign w:val="bottom"/>
          </w:tcPr>
          <w:p w14:paraId="5D3F0F48" w14:textId="08EE32D5"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3B5CAB" w:rsidRPr="00E70587">
              <w:rPr>
                <w:rFonts w:ascii="Arial" w:hAnsi="Arial" w:cs="Arial"/>
                <w:sz w:val="20"/>
                <w:lang w:val="en-IN"/>
              </w:rPr>
              <w:t>20</w:t>
            </w:r>
            <w:r w:rsidR="003B5CAB">
              <w:rPr>
                <w:rFonts w:ascii="Arial" w:hAnsi="Arial" w:cs="Arial"/>
                <w:sz w:val="20"/>
                <w:lang w:val="en-IN"/>
              </w:rPr>
              <w:t>20</w:t>
            </w:r>
          </w:p>
        </w:tc>
        <w:tc>
          <w:tcPr>
            <w:tcW w:w="1536" w:type="dxa"/>
          </w:tcPr>
          <w:p w14:paraId="573A3497"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243</w:t>
            </w:r>
          </w:p>
        </w:tc>
        <w:tc>
          <w:tcPr>
            <w:tcW w:w="1536" w:type="dxa"/>
          </w:tcPr>
          <w:p w14:paraId="6F007339"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882</w:t>
            </w:r>
          </w:p>
        </w:tc>
        <w:tc>
          <w:tcPr>
            <w:tcW w:w="1445" w:type="dxa"/>
          </w:tcPr>
          <w:p w14:paraId="7F5140E6"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445" w:type="dxa"/>
          </w:tcPr>
          <w:p w14:paraId="6B33A6AC"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18</w:t>
            </w:r>
          </w:p>
        </w:tc>
      </w:tr>
      <w:tr w:rsidR="00A17C17" w:rsidRPr="00E70587" w14:paraId="7076C89A" w14:textId="77777777" w:rsidTr="00CE6971">
        <w:tc>
          <w:tcPr>
            <w:tcW w:w="1988" w:type="dxa"/>
            <w:vAlign w:val="center"/>
          </w:tcPr>
          <w:p w14:paraId="5D249F11"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26" w:type="dxa"/>
            <w:vAlign w:val="bottom"/>
          </w:tcPr>
          <w:p w14:paraId="60F73DEB"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536" w:type="dxa"/>
          </w:tcPr>
          <w:p w14:paraId="080F4C0C"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536" w:type="dxa"/>
          </w:tcPr>
          <w:p w14:paraId="4DE51C82"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445" w:type="dxa"/>
          </w:tcPr>
          <w:p w14:paraId="6983913F" w14:textId="77777777" w:rsidR="00A17C17" w:rsidRPr="00E70587" w:rsidRDefault="00A17C17" w:rsidP="009901E1">
            <w:pPr>
              <w:overflowPunct/>
              <w:spacing w:line="280" w:lineRule="exact"/>
              <w:jc w:val="right"/>
              <w:textAlignment w:val="auto"/>
              <w:rPr>
                <w:rFonts w:ascii="Arial" w:hAnsi="Arial" w:cs="Arial"/>
                <w:sz w:val="20"/>
                <w:lang w:eastAsia="en-GB"/>
              </w:rPr>
            </w:pPr>
          </w:p>
        </w:tc>
        <w:tc>
          <w:tcPr>
            <w:tcW w:w="1445" w:type="dxa"/>
          </w:tcPr>
          <w:p w14:paraId="77681EE9" w14:textId="77777777" w:rsidR="00A17C17" w:rsidRPr="00E70587" w:rsidRDefault="00A17C17" w:rsidP="009901E1">
            <w:pPr>
              <w:overflowPunct/>
              <w:spacing w:line="280" w:lineRule="exact"/>
              <w:jc w:val="right"/>
              <w:textAlignment w:val="auto"/>
              <w:rPr>
                <w:rFonts w:ascii="Arial" w:hAnsi="Arial" w:cs="Arial"/>
                <w:sz w:val="20"/>
                <w:lang w:eastAsia="en-GB"/>
              </w:rPr>
            </w:pPr>
          </w:p>
        </w:tc>
      </w:tr>
    </w:tbl>
    <w:p w14:paraId="17FAB4CF" w14:textId="77777777" w:rsidR="00CE6971" w:rsidRPr="00E70587" w:rsidRDefault="00CE6971" w:rsidP="00CE6971">
      <w:pPr>
        <w:pStyle w:val="Notesbodytext"/>
        <w:spacing w:after="0" w:line="280" w:lineRule="exact"/>
        <w:jc w:val="both"/>
        <w:rPr>
          <w:rFonts w:ascii="Arial" w:hAnsi="Arial"/>
          <w:sz w:val="20"/>
        </w:rPr>
      </w:pPr>
    </w:p>
    <w:p w14:paraId="07F71C3B" w14:textId="77777777" w:rsidR="009E5DEC" w:rsidRPr="00E70587" w:rsidRDefault="009E5DEC" w:rsidP="00CE6971">
      <w:pPr>
        <w:pStyle w:val="Notesbodytext"/>
        <w:spacing w:after="0" w:line="280" w:lineRule="exact"/>
        <w:jc w:val="both"/>
        <w:rPr>
          <w:rFonts w:ascii="Arial" w:hAnsi="Arial"/>
          <w:i/>
          <w:sz w:val="20"/>
        </w:rPr>
      </w:pPr>
      <w:r w:rsidRPr="00E70587">
        <w:rPr>
          <w:rFonts w:ascii="Arial" w:hAnsi="Arial"/>
          <w:i/>
          <w:sz w:val="20"/>
        </w:rPr>
        <w:t>* The amounts are classified as trade receivables and trade payables, respectively</w:t>
      </w:r>
      <w:r w:rsidR="00845E6F" w:rsidRPr="00E70587">
        <w:rPr>
          <w:rFonts w:ascii="Arial" w:hAnsi="Arial"/>
          <w:i/>
          <w:sz w:val="20"/>
        </w:rPr>
        <w:t xml:space="preserve"> (see Notes </w:t>
      </w:r>
      <w:r w:rsidR="00BA690C" w:rsidRPr="00E70587">
        <w:rPr>
          <w:rFonts w:ascii="Arial" w:hAnsi="Arial"/>
          <w:i/>
          <w:sz w:val="20"/>
        </w:rPr>
        <w:t xml:space="preserve">9 </w:t>
      </w:r>
      <w:r w:rsidRPr="00E70587">
        <w:rPr>
          <w:rFonts w:ascii="Arial" w:hAnsi="Arial"/>
          <w:i/>
          <w:sz w:val="20"/>
        </w:rPr>
        <w:t xml:space="preserve">and </w:t>
      </w:r>
      <w:r w:rsidR="00845E6F" w:rsidRPr="00E70587">
        <w:rPr>
          <w:rFonts w:ascii="Arial" w:hAnsi="Arial"/>
          <w:i/>
          <w:sz w:val="20"/>
        </w:rPr>
        <w:t>20</w:t>
      </w:r>
      <w:r w:rsidRPr="00E70587">
        <w:rPr>
          <w:rFonts w:ascii="Arial" w:hAnsi="Arial"/>
          <w:i/>
          <w:sz w:val="20"/>
        </w:rPr>
        <w:t>).</w:t>
      </w:r>
    </w:p>
    <w:p w14:paraId="2E02AB4C" w14:textId="77777777" w:rsidR="00CE6971" w:rsidRPr="00E70587" w:rsidRDefault="00CE6971" w:rsidP="00CE6971">
      <w:pPr>
        <w:pStyle w:val="Notesbodytext"/>
        <w:spacing w:after="0" w:line="280" w:lineRule="exact"/>
        <w:jc w:val="both"/>
        <w:rPr>
          <w:rFonts w:ascii="Arial" w:hAnsi="Arial"/>
          <w:sz w:val="20"/>
        </w:rPr>
      </w:pPr>
    </w:p>
    <w:tbl>
      <w:tblPr>
        <w:tblW w:w="9576" w:type="dxa"/>
        <w:tblLayout w:type="fixed"/>
        <w:tblLook w:val="01E0" w:firstRow="1" w:lastRow="1" w:firstColumn="1" w:lastColumn="1" w:noHBand="0" w:noVBand="0"/>
      </w:tblPr>
      <w:tblGrid>
        <w:gridCol w:w="2796"/>
        <w:gridCol w:w="1356"/>
        <w:gridCol w:w="1356"/>
        <w:gridCol w:w="1356"/>
        <w:gridCol w:w="1356"/>
        <w:gridCol w:w="1356"/>
      </w:tblGrid>
      <w:tr w:rsidR="00EA2DA0" w:rsidRPr="00E70587" w14:paraId="49A0424F" w14:textId="77777777" w:rsidTr="00F54B53">
        <w:tc>
          <w:tcPr>
            <w:tcW w:w="2796" w:type="dxa"/>
            <w:shd w:val="clear" w:color="auto" w:fill="auto"/>
            <w:vAlign w:val="bottom"/>
          </w:tcPr>
          <w:p w14:paraId="37724E5D" w14:textId="77777777" w:rsidR="00EA2DA0" w:rsidRPr="00E70587" w:rsidRDefault="00EA2DA0" w:rsidP="009901E1">
            <w:pPr>
              <w:pStyle w:val="Notesbodytext"/>
              <w:spacing w:after="0" w:line="280" w:lineRule="exact"/>
              <w:rPr>
                <w:rFonts w:ascii="Arial" w:hAnsi="Arial"/>
                <w:color w:val="auto"/>
                <w:sz w:val="20"/>
              </w:rPr>
            </w:pPr>
          </w:p>
        </w:tc>
        <w:tc>
          <w:tcPr>
            <w:tcW w:w="1356" w:type="dxa"/>
            <w:shd w:val="clear" w:color="auto" w:fill="auto"/>
            <w:vAlign w:val="bottom"/>
          </w:tcPr>
          <w:p w14:paraId="373511C3" w14:textId="77777777" w:rsidR="00EA2DA0" w:rsidRPr="00E70587" w:rsidRDefault="00EA2DA0" w:rsidP="009901E1">
            <w:pPr>
              <w:pStyle w:val="Tablecolumnheading"/>
              <w:spacing w:line="280" w:lineRule="exact"/>
              <w:rPr>
                <w:rFonts w:ascii="Arial" w:hAnsi="Arial"/>
                <w:color w:val="auto"/>
                <w:sz w:val="20"/>
                <w:szCs w:val="20"/>
                <w:lang w:val="en-IN"/>
              </w:rPr>
            </w:pPr>
          </w:p>
        </w:tc>
        <w:tc>
          <w:tcPr>
            <w:tcW w:w="1356" w:type="dxa"/>
          </w:tcPr>
          <w:p w14:paraId="09F746BA" w14:textId="77777777" w:rsidR="00EA2DA0" w:rsidRPr="00E70587" w:rsidRDefault="00F70B06"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Loans given</w:t>
            </w:r>
          </w:p>
        </w:tc>
        <w:tc>
          <w:tcPr>
            <w:tcW w:w="1356" w:type="dxa"/>
          </w:tcPr>
          <w:p w14:paraId="6E60FBB9" w14:textId="77777777" w:rsidR="00EA2DA0" w:rsidRPr="00E70587" w:rsidRDefault="00F70B06"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Repayment</w:t>
            </w:r>
          </w:p>
        </w:tc>
        <w:tc>
          <w:tcPr>
            <w:tcW w:w="1356" w:type="dxa"/>
            <w:tcBorders>
              <w:bottom w:val="single" w:sz="4" w:space="0" w:color="auto"/>
            </w:tcBorders>
            <w:shd w:val="clear" w:color="auto" w:fill="auto"/>
            <w:vAlign w:val="bottom"/>
          </w:tcPr>
          <w:p w14:paraId="19A5E437" w14:textId="77777777" w:rsidR="00EA2DA0" w:rsidRPr="00E70587" w:rsidRDefault="00EA2DA0"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Interest received</w:t>
            </w:r>
          </w:p>
        </w:tc>
        <w:tc>
          <w:tcPr>
            <w:tcW w:w="1356" w:type="dxa"/>
            <w:tcBorders>
              <w:bottom w:val="single" w:sz="4" w:space="0" w:color="auto"/>
            </w:tcBorders>
            <w:shd w:val="clear" w:color="auto" w:fill="auto"/>
            <w:vAlign w:val="bottom"/>
          </w:tcPr>
          <w:p w14:paraId="0C30DD23" w14:textId="77777777" w:rsidR="00EA2DA0" w:rsidRPr="00E70587" w:rsidRDefault="00EA2DA0"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Amounts owed by </w:t>
            </w:r>
            <w:r w:rsidRPr="00E70587">
              <w:rPr>
                <w:rFonts w:ascii="Arial" w:hAnsi="Arial"/>
                <w:color w:val="auto"/>
                <w:sz w:val="20"/>
                <w:szCs w:val="20"/>
                <w:lang w:val="en-IN"/>
              </w:rPr>
              <w:lastRenderedPageBreak/>
              <w:t>related parties</w:t>
            </w:r>
          </w:p>
        </w:tc>
      </w:tr>
      <w:tr w:rsidR="00EA2DA0" w:rsidRPr="00E70587" w14:paraId="25F6A353" w14:textId="77777777" w:rsidTr="00F54B53">
        <w:tc>
          <w:tcPr>
            <w:tcW w:w="2796" w:type="dxa"/>
            <w:shd w:val="clear" w:color="auto" w:fill="auto"/>
            <w:vAlign w:val="center"/>
          </w:tcPr>
          <w:p w14:paraId="241CAC30" w14:textId="77777777" w:rsidR="00EA2DA0" w:rsidRPr="00E70587" w:rsidRDefault="00EA2DA0"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lastRenderedPageBreak/>
              <w:t>Loans from/to related parties</w:t>
            </w:r>
          </w:p>
        </w:tc>
        <w:tc>
          <w:tcPr>
            <w:tcW w:w="1356" w:type="dxa"/>
            <w:shd w:val="clear" w:color="auto" w:fill="auto"/>
            <w:vAlign w:val="center"/>
          </w:tcPr>
          <w:p w14:paraId="7B067EF5" w14:textId="77777777" w:rsidR="00EA2DA0" w:rsidRPr="00E70587" w:rsidRDefault="00EA2DA0"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356" w:type="dxa"/>
            <w:vAlign w:val="center"/>
          </w:tcPr>
          <w:p w14:paraId="43416ED2" w14:textId="77777777" w:rsidR="00EA2DA0" w:rsidRPr="00E70587" w:rsidRDefault="00EA2DA0"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356" w:type="dxa"/>
            <w:vAlign w:val="center"/>
          </w:tcPr>
          <w:p w14:paraId="404544D5" w14:textId="77777777" w:rsidR="00EA2DA0" w:rsidRPr="00E70587" w:rsidRDefault="00EA2DA0"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356" w:type="dxa"/>
            <w:shd w:val="clear" w:color="auto" w:fill="auto"/>
            <w:vAlign w:val="center"/>
          </w:tcPr>
          <w:p w14:paraId="3C6E715A" w14:textId="77777777" w:rsidR="00EA2DA0" w:rsidRPr="00E70587" w:rsidRDefault="00EA2DA0"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356" w:type="dxa"/>
            <w:shd w:val="clear" w:color="auto" w:fill="auto"/>
            <w:vAlign w:val="center"/>
          </w:tcPr>
          <w:p w14:paraId="73FF5898" w14:textId="77777777" w:rsidR="00EA2DA0" w:rsidRPr="00E70587" w:rsidRDefault="00EA2DA0"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EA2DA0" w:rsidRPr="00E70587" w14:paraId="1ED3D518" w14:textId="77777777" w:rsidTr="00F54B53">
        <w:tc>
          <w:tcPr>
            <w:tcW w:w="2796" w:type="dxa"/>
            <w:shd w:val="clear" w:color="auto" w:fill="auto"/>
            <w:vAlign w:val="center"/>
          </w:tcPr>
          <w:p w14:paraId="01E47468" w14:textId="77777777" w:rsidR="00EA2DA0" w:rsidRPr="00E70587" w:rsidRDefault="00EA2DA0"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Associate:</w:t>
            </w:r>
          </w:p>
        </w:tc>
        <w:tc>
          <w:tcPr>
            <w:tcW w:w="1356" w:type="dxa"/>
            <w:shd w:val="clear" w:color="auto" w:fill="auto"/>
            <w:vAlign w:val="center"/>
          </w:tcPr>
          <w:p w14:paraId="345277AC" w14:textId="77777777" w:rsidR="00EA2DA0" w:rsidRPr="00E70587" w:rsidRDefault="00EA2DA0"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356" w:type="dxa"/>
          </w:tcPr>
          <w:p w14:paraId="5AC5DCAC" w14:textId="77777777" w:rsidR="00EA2DA0" w:rsidRPr="00E70587" w:rsidRDefault="00EA2DA0"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356" w:type="dxa"/>
          </w:tcPr>
          <w:p w14:paraId="73AFA57F" w14:textId="77777777" w:rsidR="00EA2DA0" w:rsidRPr="00E70587" w:rsidRDefault="00EA2DA0"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356" w:type="dxa"/>
            <w:shd w:val="clear" w:color="auto" w:fill="auto"/>
            <w:vAlign w:val="center"/>
          </w:tcPr>
          <w:p w14:paraId="346CF25F" w14:textId="77777777" w:rsidR="00EA2DA0" w:rsidRPr="00E70587" w:rsidRDefault="00EA2DA0"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356" w:type="dxa"/>
            <w:shd w:val="clear" w:color="auto" w:fill="auto"/>
            <w:vAlign w:val="center"/>
          </w:tcPr>
          <w:p w14:paraId="529AFC74" w14:textId="77777777" w:rsidR="00EA2DA0" w:rsidRPr="00E70587" w:rsidRDefault="00EA2DA0"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EA2DA0" w:rsidRPr="00E70587" w14:paraId="3C3D3F8A" w14:textId="77777777" w:rsidTr="00F54B53">
        <w:tc>
          <w:tcPr>
            <w:tcW w:w="2796" w:type="dxa"/>
            <w:shd w:val="clear" w:color="auto" w:fill="auto"/>
            <w:vAlign w:val="center"/>
          </w:tcPr>
          <w:p w14:paraId="3FA2C339" w14:textId="77777777" w:rsidR="00EA2DA0" w:rsidRPr="00E70587" w:rsidRDefault="00EA2DA0"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P Limited </w:t>
            </w:r>
          </w:p>
        </w:tc>
        <w:tc>
          <w:tcPr>
            <w:tcW w:w="1356" w:type="dxa"/>
            <w:shd w:val="clear" w:color="auto" w:fill="auto"/>
            <w:vAlign w:val="center"/>
          </w:tcPr>
          <w:p w14:paraId="622842D0" w14:textId="3520CAE1" w:rsidR="00EA2DA0" w:rsidRPr="00E70587" w:rsidRDefault="00EA2DA0"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F93DAA" w:rsidRPr="00E70587">
              <w:rPr>
                <w:rFonts w:ascii="Arial" w:hAnsi="Arial" w:cs="Arial"/>
                <w:sz w:val="20"/>
                <w:lang w:val="en-IN"/>
              </w:rPr>
              <w:t>20</w:t>
            </w:r>
            <w:r w:rsidR="00F93DAA">
              <w:rPr>
                <w:rFonts w:ascii="Arial" w:hAnsi="Arial" w:cs="Arial"/>
                <w:sz w:val="20"/>
                <w:lang w:val="en-IN"/>
              </w:rPr>
              <w:t>21</w:t>
            </w:r>
          </w:p>
        </w:tc>
        <w:tc>
          <w:tcPr>
            <w:tcW w:w="1356" w:type="dxa"/>
          </w:tcPr>
          <w:p w14:paraId="3D980EFD" w14:textId="77777777" w:rsidR="00EA2DA0" w:rsidRPr="00E70587" w:rsidRDefault="00F70B06"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480</w:t>
            </w:r>
          </w:p>
        </w:tc>
        <w:tc>
          <w:tcPr>
            <w:tcW w:w="1356" w:type="dxa"/>
          </w:tcPr>
          <w:p w14:paraId="0D83C932" w14:textId="77777777" w:rsidR="00EA2DA0" w:rsidRPr="00E70587" w:rsidRDefault="00F70B06"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356" w:type="dxa"/>
            <w:shd w:val="clear" w:color="auto" w:fill="auto"/>
          </w:tcPr>
          <w:p w14:paraId="13CA2902" w14:textId="77777777" w:rsidR="00EA2DA0" w:rsidRPr="00E70587" w:rsidRDefault="00EA2DA0"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36 </w:t>
            </w:r>
          </w:p>
        </w:tc>
        <w:tc>
          <w:tcPr>
            <w:tcW w:w="1356" w:type="dxa"/>
            <w:shd w:val="clear" w:color="auto" w:fill="auto"/>
          </w:tcPr>
          <w:p w14:paraId="4D93DAC9" w14:textId="77777777" w:rsidR="00EA2DA0" w:rsidRPr="00E70587" w:rsidRDefault="00EA2DA0"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360 </w:t>
            </w:r>
          </w:p>
        </w:tc>
      </w:tr>
      <w:tr w:rsidR="00F70B06" w:rsidRPr="00E70587" w14:paraId="305E4DFE" w14:textId="77777777" w:rsidTr="00F54B53">
        <w:tc>
          <w:tcPr>
            <w:tcW w:w="2796" w:type="dxa"/>
            <w:shd w:val="clear" w:color="auto" w:fill="auto"/>
            <w:vAlign w:val="center"/>
          </w:tcPr>
          <w:p w14:paraId="14BB67E7" w14:textId="77777777" w:rsidR="00F70B06" w:rsidRPr="00E70587" w:rsidRDefault="00F70B06"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356" w:type="dxa"/>
            <w:shd w:val="clear" w:color="auto" w:fill="auto"/>
            <w:vAlign w:val="center"/>
          </w:tcPr>
          <w:p w14:paraId="748DC96E" w14:textId="4613E7BD" w:rsidR="00F70B06" w:rsidRPr="00E70587" w:rsidRDefault="00F70B06"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F93DAA" w:rsidRPr="00E70587">
              <w:rPr>
                <w:rFonts w:ascii="Arial" w:hAnsi="Arial" w:cs="Arial"/>
                <w:sz w:val="20"/>
                <w:lang w:val="en-IN"/>
              </w:rPr>
              <w:t>20</w:t>
            </w:r>
            <w:r w:rsidR="00F93DAA">
              <w:rPr>
                <w:rFonts w:ascii="Arial" w:hAnsi="Arial" w:cs="Arial"/>
                <w:sz w:val="20"/>
                <w:lang w:val="en-IN"/>
              </w:rPr>
              <w:t>20</w:t>
            </w:r>
          </w:p>
        </w:tc>
        <w:tc>
          <w:tcPr>
            <w:tcW w:w="1356" w:type="dxa"/>
          </w:tcPr>
          <w:p w14:paraId="7E7569DB" w14:textId="77777777" w:rsidR="00F70B06" w:rsidRPr="00E70587" w:rsidRDefault="00F70B06"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1356" w:type="dxa"/>
          </w:tcPr>
          <w:p w14:paraId="796B0226" w14:textId="77777777" w:rsidR="00F70B06" w:rsidRPr="00E70587" w:rsidRDefault="00F70B06"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1356" w:type="dxa"/>
            <w:shd w:val="clear" w:color="auto" w:fill="auto"/>
          </w:tcPr>
          <w:p w14:paraId="193E54EF" w14:textId="77777777" w:rsidR="00F70B06" w:rsidRPr="00E70587" w:rsidRDefault="00F70B06"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c>
          <w:tcPr>
            <w:tcW w:w="1356" w:type="dxa"/>
            <w:shd w:val="clear" w:color="auto" w:fill="auto"/>
          </w:tcPr>
          <w:p w14:paraId="074D024F" w14:textId="77777777" w:rsidR="00F70B06" w:rsidRPr="00E70587" w:rsidRDefault="00F70B06"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r>
      <w:tr w:rsidR="00F70B06" w:rsidRPr="00E70587" w14:paraId="1D3B2507" w14:textId="77777777" w:rsidTr="00F54B53">
        <w:tc>
          <w:tcPr>
            <w:tcW w:w="2796" w:type="dxa"/>
            <w:shd w:val="clear" w:color="auto" w:fill="auto"/>
            <w:vAlign w:val="center"/>
          </w:tcPr>
          <w:p w14:paraId="2CE2D314" w14:textId="77777777" w:rsidR="00F70B06" w:rsidRPr="00E70587" w:rsidRDefault="00F70B06"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356" w:type="dxa"/>
            <w:shd w:val="clear" w:color="auto" w:fill="auto"/>
            <w:vAlign w:val="center"/>
          </w:tcPr>
          <w:p w14:paraId="14C87CE3" w14:textId="77777777" w:rsidR="00F70B06" w:rsidRPr="00E70587" w:rsidRDefault="00F70B06"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356" w:type="dxa"/>
          </w:tcPr>
          <w:p w14:paraId="6A6BC30A" w14:textId="77777777" w:rsidR="00F70B06" w:rsidRPr="00E70587" w:rsidRDefault="00F70B06" w:rsidP="009901E1">
            <w:pPr>
              <w:overflowPunct/>
              <w:spacing w:line="280" w:lineRule="exact"/>
              <w:jc w:val="right"/>
              <w:textAlignment w:val="auto"/>
              <w:rPr>
                <w:rFonts w:ascii="Arial" w:hAnsi="Arial" w:cs="Arial"/>
                <w:sz w:val="20"/>
                <w:lang w:eastAsia="en-GB"/>
              </w:rPr>
            </w:pPr>
          </w:p>
        </w:tc>
        <w:tc>
          <w:tcPr>
            <w:tcW w:w="1356" w:type="dxa"/>
          </w:tcPr>
          <w:p w14:paraId="432647C6" w14:textId="77777777" w:rsidR="00F70B06" w:rsidRPr="00E70587" w:rsidRDefault="00F70B06" w:rsidP="009901E1">
            <w:pPr>
              <w:overflowPunct/>
              <w:spacing w:line="280" w:lineRule="exact"/>
              <w:jc w:val="right"/>
              <w:textAlignment w:val="auto"/>
              <w:rPr>
                <w:rFonts w:ascii="Arial" w:hAnsi="Arial" w:cs="Arial"/>
                <w:sz w:val="20"/>
                <w:lang w:eastAsia="en-GB"/>
              </w:rPr>
            </w:pPr>
          </w:p>
        </w:tc>
        <w:tc>
          <w:tcPr>
            <w:tcW w:w="1356" w:type="dxa"/>
            <w:shd w:val="clear" w:color="auto" w:fill="auto"/>
          </w:tcPr>
          <w:p w14:paraId="2E9C5B69" w14:textId="77777777" w:rsidR="00F70B06" w:rsidRPr="00E70587" w:rsidRDefault="00F70B06" w:rsidP="009901E1">
            <w:pPr>
              <w:overflowPunct/>
              <w:spacing w:line="280" w:lineRule="exact"/>
              <w:jc w:val="right"/>
              <w:textAlignment w:val="auto"/>
              <w:rPr>
                <w:rFonts w:ascii="Arial" w:hAnsi="Arial" w:cs="Arial"/>
                <w:sz w:val="20"/>
                <w:lang w:eastAsia="en-GB"/>
              </w:rPr>
            </w:pPr>
          </w:p>
        </w:tc>
        <w:tc>
          <w:tcPr>
            <w:tcW w:w="1356" w:type="dxa"/>
            <w:shd w:val="clear" w:color="auto" w:fill="auto"/>
          </w:tcPr>
          <w:p w14:paraId="3F6B94E0" w14:textId="77777777" w:rsidR="00F70B06" w:rsidRPr="00E70587" w:rsidRDefault="00F70B06" w:rsidP="009901E1">
            <w:pPr>
              <w:overflowPunct/>
              <w:spacing w:line="280" w:lineRule="exact"/>
              <w:jc w:val="right"/>
              <w:textAlignment w:val="auto"/>
              <w:rPr>
                <w:rFonts w:ascii="Arial" w:hAnsi="Arial" w:cs="Arial"/>
                <w:sz w:val="20"/>
                <w:lang w:eastAsia="en-GB"/>
              </w:rPr>
            </w:pPr>
          </w:p>
        </w:tc>
      </w:tr>
      <w:tr w:rsidR="00CE6971" w:rsidRPr="00E70587" w14:paraId="32C8F8EE" w14:textId="77777777" w:rsidTr="00E03D5A">
        <w:tc>
          <w:tcPr>
            <w:tcW w:w="9576" w:type="dxa"/>
            <w:gridSpan w:val="6"/>
            <w:shd w:val="clear" w:color="auto" w:fill="auto"/>
            <w:vAlign w:val="center"/>
          </w:tcPr>
          <w:p w14:paraId="0108343F" w14:textId="77777777" w:rsidR="00CE6971" w:rsidRPr="00E70587" w:rsidRDefault="00CE6971" w:rsidP="00CE6971">
            <w:pPr>
              <w:pStyle w:val="tabletext"/>
              <w:overflowPunct w:val="0"/>
              <w:autoSpaceDE w:val="0"/>
              <w:autoSpaceDN w:val="0"/>
              <w:adjustRightInd w:val="0"/>
              <w:spacing w:line="280" w:lineRule="exact"/>
              <w:jc w:val="both"/>
              <w:textAlignment w:val="baseline"/>
              <w:rPr>
                <w:rFonts w:ascii="Arial" w:hAnsi="Arial" w:cs="Arial"/>
                <w:b/>
                <w:sz w:val="20"/>
                <w:lang w:val="en-IN"/>
              </w:rPr>
            </w:pPr>
            <w:r w:rsidRPr="00E70587">
              <w:rPr>
                <w:rFonts w:ascii="Arial" w:hAnsi="Arial" w:cs="Arial"/>
                <w:b/>
                <w:sz w:val="20"/>
                <w:lang w:val="en-IN"/>
              </w:rPr>
              <w:t>Key management personnel of the Group:</w:t>
            </w:r>
          </w:p>
        </w:tc>
      </w:tr>
      <w:tr w:rsidR="00F70B06" w:rsidRPr="00E70587" w14:paraId="1C65FE26" w14:textId="77777777" w:rsidTr="00F54B53">
        <w:tc>
          <w:tcPr>
            <w:tcW w:w="2796" w:type="dxa"/>
            <w:shd w:val="clear" w:color="auto" w:fill="auto"/>
            <w:vAlign w:val="center"/>
          </w:tcPr>
          <w:p w14:paraId="63028419" w14:textId="77777777" w:rsidR="00F70B06" w:rsidRPr="00E70587" w:rsidRDefault="00F70B06"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Directors’ loans </w:t>
            </w:r>
          </w:p>
        </w:tc>
        <w:tc>
          <w:tcPr>
            <w:tcW w:w="1356" w:type="dxa"/>
            <w:shd w:val="clear" w:color="auto" w:fill="auto"/>
            <w:vAlign w:val="bottom"/>
          </w:tcPr>
          <w:p w14:paraId="72929CEA" w14:textId="04AE1AE0" w:rsidR="00F70B06" w:rsidRPr="00E70587" w:rsidRDefault="00F70B06"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F93DAA" w:rsidRPr="00E70587">
              <w:rPr>
                <w:rFonts w:ascii="Arial" w:hAnsi="Arial" w:cs="Arial"/>
                <w:sz w:val="20"/>
                <w:lang w:val="en-IN"/>
              </w:rPr>
              <w:t>20</w:t>
            </w:r>
            <w:r w:rsidR="00F93DAA">
              <w:rPr>
                <w:rFonts w:ascii="Arial" w:hAnsi="Arial" w:cs="Arial"/>
                <w:sz w:val="20"/>
                <w:lang w:val="en-IN"/>
              </w:rPr>
              <w:t>21</w:t>
            </w:r>
          </w:p>
        </w:tc>
        <w:tc>
          <w:tcPr>
            <w:tcW w:w="1356" w:type="dxa"/>
          </w:tcPr>
          <w:p w14:paraId="7D9ABFD4" w14:textId="77777777" w:rsidR="00F70B06" w:rsidRPr="00E70587" w:rsidRDefault="00F70B06"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32</w:t>
            </w:r>
          </w:p>
        </w:tc>
        <w:tc>
          <w:tcPr>
            <w:tcW w:w="1356" w:type="dxa"/>
          </w:tcPr>
          <w:p w14:paraId="34BE2DEA" w14:textId="77777777" w:rsidR="00F70B06" w:rsidRPr="00E70587" w:rsidRDefault="00F70B06" w:rsidP="00F70B06">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23</w:t>
            </w:r>
          </w:p>
        </w:tc>
        <w:tc>
          <w:tcPr>
            <w:tcW w:w="1356" w:type="dxa"/>
            <w:shd w:val="clear" w:color="auto" w:fill="auto"/>
          </w:tcPr>
          <w:p w14:paraId="7EF43442" w14:textId="77777777" w:rsidR="00F70B06" w:rsidRPr="00E70587" w:rsidRDefault="00F70B06"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2 </w:t>
            </w:r>
          </w:p>
        </w:tc>
        <w:tc>
          <w:tcPr>
            <w:tcW w:w="1356" w:type="dxa"/>
            <w:shd w:val="clear" w:color="auto" w:fill="auto"/>
          </w:tcPr>
          <w:p w14:paraId="7985C867" w14:textId="77777777" w:rsidR="00F70B06" w:rsidRPr="00E70587" w:rsidRDefault="00F70B06"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23 </w:t>
            </w:r>
          </w:p>
        </w:tc>
      </w:tr>
      <w:tr w:rsidR="00F70B06" w:rsidRPr="00E70587" w14:paraId="405D44E6" w14:textId="77777777" w:rsidTr="00F54B53">
        <w:tc>
          <w:tcPr>
            <w:tcW w:w="2796" w:type="dxa"/>
            <w:shd w:val="clear" w:color="auto" w:fill="auto"/>
            <w:vAlign w:val="center"/>
          </w:tcPr>
          <w:p w14:paraId="0FD3AC7C" w14:textId="77777777" w:rsidR="00F70B06" w:rsidRPr="00E70587" w:rsidRDefault="00F70B06"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356" w:type="dxa"/>
            <w:shd w:val="clear" w:color="auto" w:fill="auto"/>
            <w:vAlign w:val="center"/>
          </w:tcPr>
          <w:p w14:paraId="468CB8C2" w14:textId="2649B55B" w:rsidR="00F70B06" w:rsidRPr="00E70587" w:rsidRDefault="00F70B06"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F93DAA" w:rsidRPr="00E70587">
              <w:rPr>
                <w:rFonts w:ascii="Arial" w:hAnsi="Arial" w:cs="Arial"/>
                <w:sz w:val="20"/>
                <w:lang w:val="en-IN"/>
              </w:rPr>
              <w:t>20</w:t>
            </w:r>
            <w:r w:rsidR="00F93DAA">
              <w:rPr>
                <w:rFonts w:ascii="Arial" w:hAnsi="Arial" w:cs="Arial"/>
                <w:sz w:val="20"/>
                <w:lang w:val="en-IN"/>
              </w:rPr>
              <w:t>20</w:t>
            </w:r>
          </w:p>
        </w:tc>
        <w:tc>
          <w:tcPr>
            <w:tcW w:w="1356" w:type="dxa"/>
          </w:tcPr>
          <w:p w14:paraId="1F98CEA8" w14:textId="77777777" w:rsidR="00F70B06" w:rsidRPr="00E70587" w:rsidRDefault="00F70B06"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15</w:t>
            </w:r>
          </w:p>
        </w:tc>
        <w:tc>
          <w:tcPr>
            <w:tcW w:w="1356" w:type="dxa"/>
          </w:tcPr>
          <w:p w14:paraId="443CD740" w14:textId="77777777" w:rsidR="00F70B06" w:rsidRPr="00E70587" w:rsidRDefault="00F70B06"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15</w:t>
            </w:r>
          </w:p>
        </w:tc>
        <w:tc>
          <w:tcPr>
            <w:tcW w:w="1356" w:type="dxa"/>
            <w:shd w:val="clear" w:color="auto" w:fill="auto"/>
          </w:tcPr>
          <w:p w14:paraId="6D1A9261" w14:textId="77777777" w:rsidR="00F70B06" w:rsidRPr="00E70587" w:rsidRDefault="00F70B06"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w:t>
            </w:r>
          </w:p>
        </w:tc>
        <w:tc>
          <w:tcPr>
            <w:tcW w:w="1356" w:type="dxa"/>
            <w:shd w:val="clear" w:color="auto" w:fill="auto"/>
          </w:tcPr>
          <w:p w14:paraId="2F6E952A" w14:textId="77777777" w:rsidR="00F70B06" w:rsidRPr="00E70587" w:rsidRDefault="00F70B06"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14 </w:t>
            </w:r>
          </w:p>
        </w:tc>
      </w:tr>
      <w:tr w:rsidR="00A17C17" w:rsidRPr="00E70587" w14:paraId="6E3AA5DB" w14:textId="77777777" w:rsidTr="00834981">
        <w:tblPrEx>
          <w:tblLook w:val="0000" w:firstRow="0" w:lastRow="0" w:firstColumn="0" w:lastColumn="0" w:noHBand="0" w:noVBand="0"/>
        </w:tblPrEx>
        <w:tc>
          <w:tcPr>
            <w:tcW w:w="9576" w:type="dxa"/>
            <w:gridSpan w:val="6"/>
          </w:tcPr>
          <w:p w14:paraId="09EFE0A0" w14:textId="74BF1D73" w:rsidR="00CE6971" w:rsidRPr="00E70587" w:rsidRDefault="00A17C17" w:rsidP="00CE6971">
            <w:pPr>
              <w:pStyle w:val="Notesbodytext"/>
              <w:spacing w:after="0" w:line="280" w:lineRule="exact"/>
              <w:jc w:val="both"/>
              <w:rPr>
                <w:rFonts w:ascii="Arial" w:hAnsi="Arial"/>
                <w:color w:val="auto"/>
                <w:sz w:val="20"/>
              </w:rPr>
            </w:pPr>
            <w:r w:rsidRPr="00E70587">
              <w:rPr>
                <w:rFonts w:ascii="Arial" w:hAnsi="Arial"/>
                <w:color w:val="auto"/>
                <w:sz w:val="20"/>
              </w:rPr>
              <w:t xml:space="preserve">There were no transactions other than dividends paid between the Group and S.J. Limited, the ultimate parent during the financial year (31 </w:t>
            </w:r>
            <w:r w:rsidR="008B730E" w:rsidRPr="00E70587">
              <w:rPr>
                <w:rFonts w:ascii="Arial" w:hAnsi="Arial"/>
                <w:color w:val="auto"/>
                <w:sz w:val="20"/>
              </w:rPr>
              <w:t xml:space="preserve">March </w:t>
            </w:r>
            <w:r w:rsidR="00F93DAA" w:rsidRPr="00E70587">
              <w:rPr>
                <w:rFonts w:ascii="Arial" w:hAnsi="Arial"/>
                <w:color w:val="auto"/>
                <w:sz w:val="20"/>
              </w:rPr>
              <w:t>20</w:t>
            </w:r>
            <w:r w:rsidR="00F93DAA">
              <w:rPr>
                <w:rFonts w:ascii="Arial" w:hAnsi="Arial"/>
                <w:color w:val="auto"/>
                <w:sz w:val="20"/>
              </w:rPr>
              <w:t>20</w:t>
            </w:r>
            <w:r w:rsidRPr="00E70587">
              <w:rPr>
                <w:rFonts w:ascii="Arial" w:hAnsi="Arial"/>
                <w:color w:val="auto"/>
                <w:sz w:val="20"/>
              </w:rPr>
              <w:t>: INR Nil).</w:t>
            </w:r>
          </w:p>
          <w:p w14:paraId="52890967" w14:textId="77777777" w:rsidR="00A17C17" w:rsidRPr="00E70587" w:rsidRDefault="00A17C17" w:rsidP="009335A3">
            <w:pPr>
              <w:spacing w:line="280" w:lineRule="exact"/>
              <w:jc w:val="both"/>
              <w:rPr>
                <w:rFonts w:ascii="Arial" w:hAnsi="Arial" w:cs="Arial"/>
                <w:sz w:val="20"/>
              </w:rPr>
            </w:pPr>
          </w:p>
        </w:tc>
      </w:tr>
      <w:tr w:rsidR="00A17C17" w:rsidRPr="00E70587" w14:paraId="7606C3D6" w14:textId="77777777" w:rsidTr="00834981">
        <w:tblPrEx>
          <w:tblLook w:val="0000" w:firstRow="0" w:lastRow="0" w:firstColumn="0" w:lastColumn="0" w:noHBand="0" w:noVBand="0"/>
        </w:tblPrEx>
        <w:tc>
          <w:tcPr>
            <w:tcW w:w="9576" w:type="dxa"/>
            <w:gridSpan w:val="6"/>
          </w:tcPr>
          <w:p w14:paraId="5AF9C2E9" w14:textId="77777777" w:rsidR="00A17C17" w:rsidRPr="00E70587" w:rsidRDefault="00A17C17" w:rsidP="00CE6971">
            <w:pPr>
              <w:pStyle w:val="Notesitalicheading"/>
              <w:spacing w:line="280" w:lineRule="exact"/>
              <w:jc w:val="both"/>
              <w:rPr>
                <w:rFonts w:ascii="Arial" w:hAnsi="Arial"/>
                <w:color w:val="auto"/>
                <w:sz w:val="20"/>
              </w:rPr>
            </w:pPr>
            <w:r w:rsidRPr="00E70587">
              <w:rPr>
                <w:rFonts w:ascii="Arial" w:hAnsi="Arial"/>
                <w:color w:val="auto"/>
                <w:sz w:val="20"/>
              </w:rPr>
              <w:t>Terms and conditions of transactions with related parties</w:t>
            </w:r>
          </w:p>
          <w:p w14:paraId="3AB74454" w14:textId="77777777" w:rsidR="009335A3" w:rsidRPr="00E70587" w:rsidRDefault="009335A3" w:rsidP="00CE6971">
            <w:pPr>
              <w:spacing w:line="280" w:lineRule="exact"/>
              <w:jc w:val="both"/>
              <w:rPr>
                <w:rFonts w:ascii="Arial" w:hAnsi="Arial" w:cs="Arial"/>
                <w:sz w:val="20"/>
              </w:rPr>
            </w:pPr>
          </w:p>
          <w:p w14:paraId="23C522A2" w14:textId="582FD9E0" w:rsidR="00A17C17" w:rsidRPr="00E70587" w:rsidRDefault="00A17C17" w:rsidP="00CE6971">
            <w:pPr>
              <w:spacing w:line="280" w:lineRule="exact"/>
              <w:jc w:val="both"/>
              <w:rPr>
                <w:rFonts w:ascii="Arial" w:hAnsi="Arial" w:cs="Arial"/>
                <w:sz w:val="20"/>
              </w:rPr>
            </w:pPr>
            <w:r w:rsidRPr="00E70587">
              <w:rPr>
                <w:rFonts w:ascii="Arial" w:hAnsi="Arial" w:cs="Arial"/>
                <w:sz w:val="20"/>
              </w:rPr>
              <w:t xml:space="preserve">The sales to and purchases from related parties are made on terms equivalent to those that prevail in arm’s length transactions. Outstanding balances at the year-end are unsecured and interest free and settlement occurs in cash. There have been no guarantees provided or received for any related party receivables or payables. For the year ended 31 </w:t>
            </w:r>
            <w:r w:rsidR="00E1202D" w:rsidRPr="00E70587">
              <w:rPr>
                <w:rFonts w:ascii="Arial" w:hAnsi="Arial" w:cs="Arial"/>
                <w:sz w:val="20"/>
              </w:rPr>
              <w:t xml:space="preserve">March </w:t>
            </w:r>
            <w:r w:rsidR="00F93DAA" w:rsidRPr="00E70587">
              <w:rPr>
                <w:rFonts w:ascii="Arial" w:hAnsi="Arial" w:cs="Arial"/>
                <w:sz w:val="20"/>
              </w:rPr>
              <w:t>20</w:t>
            </w:r>
            <w:r w:rsidR="00F93DAA">
              <w:rPr>
                <w:rFonts w:ascii="Arial" w:hAnsi="Arial" w:cs="Arial"/>
                <w:sz w:val="20"/>
              </w:rPr>
              <w:t>21</w:t>
            </w:r>
            <w:r w:rsidRPr="00E70587">
              <w:rPr>
                <w:rFonts w:ascii="Arial" w:hAnsi="Arial" w:cs="Arial"/>
                <w:sz w:val="20"/>
              </w:rPr>
              <w:t xml:space="preserve">, the Group has not recorded any impairment of receivables relating to amounts owed by related parties (31 </w:t>
            </w:r>
            <w:r w:rsidR="008B730E" w:rsidRPr="00E70587">
              <w:rPr>
                <w:rFonts w:ascii="Arial" w:hAnsi="Arial" w:cs="Arial"/>
                <w:sz w:val="20"/>
              </w:rPr>
              <w:t xml:space="preserve">March </w:t>
            </w:r>
            <w:r w:rsidR="00F93DAA" w:rsidRPr="00E70587">
              <w:rPr>
                <w:rFonts w:ascii="Arial" w:hAnsi="Arial" w:cs="Arial"/>
                <w:sz w:val="20"/>
              </w:rPr>
              <w:t>20</w:t>
            </w:r>
            <w:r w:rsidR="00F93DAA">
              <w:rPr>
                <w:rFonts w:ascii="Arial" w:hAnsi="Arial" w:cs="Arial"/>
                <w:sz w:val="20"/>
              </w:rPr>
              <w:t>20</w:t>
            </w:r>
            <w:r w:rsidRPr="00E70587">
              <w:rPr>
                <w:rFonts w:ascii="Arial" w:hAnsi="Arial" w:cs="Arial"/>
                <w:sz w:val="20"/>
              </w:rPr>
              <w:t>: INR Nil,). This assessment is undertaken each financial year through examining the financial position of the related party and the market in which the related party operates.</w:t>
            </w:r>
          </w:p>
          <w:p w14:paraId="5CCE6BB4" w14:textId="77777777" w:rsidR="009335A3" w:rsidRPr="00E70587" w:rsidRDefault="009335A3" w:rsidP="00CE6971">
            <w:pPr>
              <w:spacing w:line="280" w:lineRule="exact"/>
              <w:jc w:val="both"/>
              <w:rPr>
                <w:rFonts w:ascii="Arial" w:hAnsi="Arial" w:cs="Arial"/>
                <w:sz w:val="20"/>
              </w:rPr>
            </w:pPr>
          </w:p>
        </w:tc>
      </w:tr>
    </w:tbl>
    <w:p w14:paraId="7C93D4B6" w14:textId="77777777" w:rsidR="009E5DEC" w:rsidRPr="00E70587" w:rsidRDefault="009E5DEC" w:rsidP="00CE6971">
      <w:pPr>
        <w:pStyle w:val="Notesbodytext"/>
        <w:spacing w:after="0" w:line="280" w:lineRule="exact"/>
        <w:jc w:val="both"/>
        <w:rPr>
          <w:rFonts w:ascii="Arial" w:hAnsi="Arial"/>
          <w:color w:val="auto"/>
          <w:sz w:val="20"/>
        </w:rPr>
      </w:pPr>
    </w:p>
    <w:tbl>
      <w:tblPr>
        <w:tblW w:w="9576" w:type="dxa"/>
        <w:tblLook w:val="0000" w:firstRow="0" w:lastRow="0" w:firstColumn="0" w:lastColumn="0" w:noHBand="0" w:noVBand="0"/>
      </w:tblPr>
      <w:tblGrid>
        <w:gridCol w:w="9576"/>
      </w:tblGrid>
      <w:tr w:rsidR="00A17C17" w:rsidRPr="00E70587" w14:paraId="12FE6EBC" w14:textId="77777777" w:rsidTr="00834981">
        <w:tc>
          <w:tcPr>
            <w:tcW w:w="0" w:type="auto"/>
          </w:tcPr>
          <w:p w14:paraId="4E544094" w14:textId="77777777" w:rsidR="00A17C17" w:rsidRPr="00E70587" w:rsidRDefault="00A17C17" w:rsidP="009335A3">
            <w:pPr>
              <w:shd w:val="clear" w:color="auto" w:fill="C1C1C1" w:themeFill="background1" w:themeFillTint="66"/>
              <w:spacing w:line="280" w:lineRule="exact"/>
              <w:jc w:val="both"/>
              <w:rPr>
                <w:rFonts w:ascii="Arial" w:hAnsi="Arial" w:cs="Arial"/>
                <w:b/>
                <w:sz w:val="20"/>
                <w:lang w:eastAsia="en-IN"/>
              </w:rPr>
            </w:pPr>
            <w:r w:rsidRPr="00E70587">
              <w:rPr>
                <w:rFonts w:ascii="Arial" w:hAnsi="Arial" w:cs="Arial"/>
                <w:b/>
                <w:sz w:val="20"/>
                <w:lang w:eastAsia="en-IN"/>
              </w:rPr>
              <w:t>Authors’ note</w:t>
            </w:r>
          </w:p>
          <w:p w14:paraId="113E4E5A" w14:textId="77777777" w:rsidR="009335A3" w:rsidRPr="00E70587" w:rsidRDefault="009335A3" w:rsidP="009335A3">
            <w:pPr>
              <w:pStyle w:val="Commentarybody"/>
              <w:shd w:val="clear" w:color="auto" w:fill="C1C1C1" w:themeFill="background1" w:themeFillTint="66"/>
              <w:spacing w:after="0" w:line="280" w:lineRule="exact"/>
              <w:ind w:right="0"/>
              <w:jc w:val="both"/>
              <w:rPr>
                <w:rFonts w:ascii="Arial" w:hAnsi="Arial"/>
                <w:color w:val="auto"/>
                <w:sz w:val="20"/>
                <w:lang w:val="en-IN"/>
              </w:rPr>
            </w:pPr>
          </w:p>
          <w:p w14:paraId="1E508B58" w14:textId="77777777" w:rsidR="00A17C17" w:rsidRPr="00E70587" w:rsidRDefault="00A17C17" w:rsidP="009335A3">
            <w:pPr>
              <w:pStyle w:val="Commentarybody"/>
              <w:shd w:val="clear" w:color="auto" w:fill="C1C1C1" w:themeFill="background1" w:themeFillTint="66"/>
              <w:spacing w:after="0" w:line="280" w:lineRule="exact"/>
              <w:ind w:right="0"/>
              <w:jc w:val="both"/>
              <w:rPr>
                <w:rFonts w:ascii="Arial" w:hAnsi="Arial"/>
                <w:color w:val="auto"/>
                <w:sz w:val="20"/>
                <w:lang w:val="en-IN" w:eastAsia="en-IN"/>
              </w:rPr>
            </w:pPr>
            <w:r w:rsidRPr="00E70587">
              <w:rPr>
                <w:rFonts w:ascii="Arial" w:hAnsi="Arial"/>
                <w:color w:val="auto"/>
                <w:sz w:val="20"/>
                <w:lang w:val="en-IN"/>
              </w:rPr>
              <w:t>The disclosure that transactions with related parties are made on terms equivalent to an arm’s length transaction is only made if an entity can substantiate such terms. The Group was able to substantiate the terms and therefore provides the disclosure.</w:t>
            </w:r>
          </w:p>
        </w:tc>
      </w:tr>
    </w:tbl>
    <w:p w14:paraId="45EAEBE0" w14:textId="77777777" w:rsidR="0071020B" w:rsidRPr="00E70587" w:rsidRDefault="0071020B" w:rsidP="009901E1">
      <w:pPr>
        <w:overflowPunct/>
        <w:autoSpaceDE/>
        <w:autoSpaceDN/>
        <w:adjustRightInd/>
        <w:spacing w:line="280" w:lineRule="exact"/>
        <w:textAlignment w:val="auto"/>
        <w:rPr>
          <w:rFonts w:ascii="Arial" w:hAnsi="Arial" w:cs="Arial"/>
          <w:b/>
          <w:i/>
          <w:sz w:val="20"/>
        </w:rPr>
      </w:pPr>
    </w:p>
    <w:tbl>
      <w:tblPr>
        <w:tblW w:w="9576" w:type="dxa"/>
        <w:tblLook w:val="0000" w:firstRow="0" w:lastRow="0" w:firstColumn="0" w:lastColumn="0" w:noHBand="0" w:noVBand="0"/>
      </w:tblPr>
      <w:tblGrid>
        <w:gridCol w:w="9576"/>
      </w:tblGrid>
      <w:tr w:rsidR="009335A3" w:rsidRPr="00E70587" w14:paraId="02C8F720" w14:textId="77777777" w:rsidTr="00834981">
        <w:tc>
          <w:tcPr>
            <w:tcW w:w="0" w:type="auto"/>
          </w:tcPr>
          <w:p w14:paraId="6067D873" w14:textId="77777777" w:rsidR="009335A3" w:rsidRPr="00E70587" w:rsidRDefault="009335A3" w:rsidP="009335A3">
            <w:pPr>
              <w:pStyle w:val="Notesitalicheading"/>
              <w:spacing w:line="280" w:lineRule="exact"/>
              <w:jc w:val="both"/>
              <w:rPr>
                <w:rFonts w:ascii="Arial" w:hAnsi="Arial"/>
                <w:color w:val="auto"/>
                <w:sz w:val="20"/>
              </w:rPr>
            </w:pPr>
            <w:r w:rsidRPr="00E70587">
              <w:rPr>
                <w:rFonts w:ascii="Arial" w:hAnsi="Arial"/>
                <w:color w:val="auto"/>
                <w:sz w:val="20"/>
              </w:rPr>
              <w:t>Loan to an associate</w:t>
            </w:r>
          </w:p>
          <w:p w14:paraId="0AE79915" w14:textId="77777777" w:rsidR="009335A3" w:rsidRPr="00E70587" w:rsidRDefault="009335A3" w:rsidP="009335A3">
            <w:pPr>
              <w:spacing w:line="280" w:lineRule="exact"/>
              <w:jc w:val="both"/>
              <w:rPr>
                <w:rFonts w:ascii="Arial" w:hAnsi="Arial" w:cs="Arial"/>
                <w:sz w:val="20"/>
              </w:rPr>
            </w:pPr>
          </w:p>
          <w:p w14:paraId="71E88448" w14:textId="3EC6592A" w:rsidR="009335A3" w:rsidRPr="00E70587" w:rsidRDefault="009335A3" w:rsidP="009335A3">
            <w:pPr>
              <w:spacing w:line="280" w:lineRule="exact"/>
              <w:jc w:val="both"/>
              <w:rPr>
                <w:rFonts w:ascii="Arial" w:hAnsi="Arial" w:cs="Arial"/>
                <w:sz w:val="20"/>
              </w:rPr>
            </w:pPr>
            <w:r w:rsidRPr="00E70587">
              <w:rPr>
                <w:rFonts w:ascii="Arial" w:hAnsi="Arial" w:cs="Arial"/>
                <w:sz w:val="20"/>
              </w:rPr>
              <w:t xml:space="preserve">The loan granted to P Limited is intended to finance an acquisition of new machines for the manufacturing of fire prevention equipment. The loan is </w:t>
            </w:r>
            <w:r w:rsidR="004D362D" w:rsidRPr="00E70587">
              <w:rPr>
                <w:rFonts w:ascii="Arial" w:hAnsi="Arial" w:cs="Arial"/>
                <w:sz w:val="20"/>
              </w:rPr>
              <w:t xml:space="preserve">unsecured and </w:t>
            </w:r>
            <w:r w:rsidRPr="00E70587">
              <w:rPr>
                <w:rFonts w:ascii="Arial" w:hAnsi="Arial" w:cs="Arial"/>
                <w:sz w:val="20"/>
              </w:rPr>
              <w:t xml:space="preserve">repayable in full on 1 </w:t>
            </w:r>
            <w:r w:rsidR="00124ABB" w:rsidRPr="00E70587">
              <w:rPr>
                <w:rFonts w:ascii="Arial" w:hAnsi="Arial" w:cs="Arial"/>
                <w:sz w:val="20"/>
              </w:rPr>
              <w:t xml:space="preserve">September </w:t>
            </w:r>
            <w:r w:rsidR="00247076" w:rsidRPr="00E70587">
              <w:rPr>
                <w:rFonts w:ascii="Arial" w:hAnsi="Arial" w:cs="Arial"/>
                <w:sz w:val="20"/>
              </w:rPr>
              <w:t>20</w:t>
            </w:r>
            <w:r w:rsidR="00247076">
              <w:rPr>
                <w:rFonts w:ascii="Arial" w:hAnsi="Arial" w:cs="Arial"/>
                <w:sz w:val="20"/>
              </w:rPr>
              <w:t>20</w:t>
            </w:r>
            <w:r w:rsidRPr="00E70587">
              <w:rPr>
                <w:rFonts w:ascii="Arial" w:hAnsi="Arial" w:cs="Arial"/>
                <w:sz w:val="20"/>
              </w:rPr>
              <w:t>. Interest is charged at 10%. The loan has been utilized for the purpose it was granted, viz., acquisition of new machines for the manufacturing of fire prevention equipment.</w:t>
            </w:r>
          </w:p>
          <w:p w14:paraId="0027AD34" w14:textId="77777777" w:rsidR="008F79FA" w:rsidRPr="00E70587" w:rsidRDefault="008F79FA" w:rsidP="009335A3">
            <w:pPr>
              <w:spacing w:line="280" w:lineRule="exact"/>
              <w:jc w:val="both"/>
              <w:rPr>
                <w:rFonts w:ascii="Arial" w:hAnsi="Arial" w:cs="Arial"/>
                <w:sz w:val="20"/>
              </w:rPr>
            </w:pPr>
          </w:p>
          <w:p w14:paraId="0D2C5EDD" w14:textId="5A578496" w:rsidR="008F79FA" w:rsidRPr="00E70587" w:rsidRDefault="008F79FA" w:rsidP="009335A3">
            <w:pPr>
              <w:spacing w:line="280" w:lineRule="exact"/>
              <w:jc w:val="both"/>
              <w:rPr>
                <w:rFonts w:ascii="Arial" w:hAnsi="Arial" w:cs="Arial"/>
                <w:sz w:val="20"/>
              </w:rPr>
            </w:pPr>
            <w:r w:rsidRPr="00E70587">
              <w:rPr>
                <w:rFonts w:ascii="Arial" w:hAnsi="Arial" w:cs="Arial"/>
                <w:sz w:val="20"/>
              </w:rPr>
              <w:t xml:space="preserve">For details </w:t>
            </w:r>
            <w:r w:rsidR="00F54B53" w:rsidRPr="00E70587">
              <w:rPr>
                <w:rFonts w:ascii="Arial" w:hAnsi="Arial" w:cs="Arial"/>
                <w:sz w:val="20"/>
              </w:rPr>
              <w:t xml:space="preserve">of </w:t>
            </w:r>
            <w:r w:rsidRPr="00E70587">
              <w:rPr>
                <w:rFonts w:ascii="Arial" w:hAnsi="Arial" w:cs="Arial"/>
                <w:sz w:val="20"/>
              </w:rPr>
              <w:t xml:space="preserve">financial guarantee given by group to bank for </w:t>
            </w:r>
            <w:r w:rsidR="00F54B53" w:rsidRPr="00E70587">
              <w:rPr>
                <w:rFonts w:ascii="Arial" w:hAnsi="Arial" w:cs="Arial"/>
                <w:sz w:val="20"/>
              </w:rPr>
              <w:t xml:space="preserve">an </w:t>
            </w:r>
            <w:r w:rsidRPr="00E70587">
              <w:rPr>
                <w:rFonts w:ascii="Arial" w:hAnsi="Arial" w:cs="Arial"/>
                <w:sz w:val="20"/>
              </w:rPr>
              <w:t xml:space="preserve">associate </w:t>
            </w:r>
            <w:r w:rsidR="00F54B53" w:rsidRPr="00E70587">
              <w:rPr>
                <w:rFonts w:ascii="Arial" w:hAnsi="Arial" w:cs="Arial"/>
                <w:sz w:val="20"/>
              </w:rPr>
              <w:t xml:space="preserve">loan, </w:t>
            </w:r>
            <w:r w:rsidRPr="00E70587">
              <w:rPr>
                <w:rFonts w:ascii="Arial" w:hAnsi="Arial" w:cs="Arial"/>
                <w:sz w:val="20"/>
              </w:rPr>
              <w:t xml:space="preserve">refer note </w:t>
            </w:r>
            <w:r w:rsidR="003B4FAA" w:rsidRPr="00E70587">
              <w:rPr>
                <w:rFonts w:ascii="Arial" w:hAnsi="Arial" w:cs="Arial"/>
                <w:sz w:val="20"/>
              </w:rPr>
              <w:t>4</w:t>
            </w:r>
            <w:r w:rsidR="003B4FAA">
              <w:rPr>
                <w:rFonts w:ascii="Arial" w:hAnsi="Arial" w:cs="Arial"/>
                <w:sz w:val="20"/>
              </w:rPr>
              <w:t>3</w:t>
            </w:r>
            <w:r w:rsidRPr="00E70587">
              <w:rPr>
                <w:rFonts w:ascii="Arial" w:hAnsi="Arial" w:cs="Arial"/>
                <w:sz w:val="20"/>
              </w:rPr>
              <w:t>.</w:t>
            </w:r>
          </w:p>
          <w:p w14:paraId="7A3FF5E3" w14:textId="77777777" w:rsidR="009335A3" w:rsidRPr="00E70587" w:rsidRDefault="009335A3" w:rsidP="009901E1">
            <w:pPr>
              <w:pStyle w:val="Notesitalicheading"/>
              <w:spacing w:line="280" w:lineRule="exact"/>
              <w:jc w:val="both"/>
              <w:rPr>
                <w:rFonts w:ascii="Arial" w:hAnsi="Arial"/>
                <w:color w:val="auto"/>
                <w:sz w:val="20"/>
              </w:rPr>
            </w:pPr>
          </w:p>
        </w:tc>
      </w:tr>
      <w:tr w:rsidR="00A17C17" w:rsidRPr="00E70587" w14:paraId="09677618" w14:textId="77777777" w:rsidTr="00834981">
        <w:tc>
          <w:tcPr>
            <w:tcW w:w="0" w:type="auto"/>
          </w:tcPr>
          <w:p w14:paraId="72BD3FF1" w14:textId="77777777" w:rsidR="00A17C17" w:rsidRPr="00E70587" w:rsidRDefault="00A17C17" w:rsidP="009901E1">
            <w:pPr>
              <w:pStyle w:val="Notesitalicheading"/>
              <w:spacing w:line="280" w:lineRule="exact"/>
              <w:jc w:val="both"/>
              <w:rPr>
                <w:rFonts w:ascii="Arial" w:hAnsi="Arial"/>
                <w:color w:val="auto"/>
                <w:sz w:val="20"/>
              </w:rPr>
            </w:pPr>
            <w:r w:rsidRPr="00E70587">
              <w:rPr>
                <w:rFonts w:ascii="Arial" w:hAnsi="Arial"/>
                <w:color w:val="auto"/>
                <w:sz w:val="20"/>
              </w:rPr>
              <w:t>Commitments with related parties</w:t>
            </w:r>
          </w:p>
          <w:p w14:paraId="614AFF08" w14:textId="3A5A9D71" w:rsidR="00A17C17" w:rsidRPr="00E70587" w:rsidRDefault="00A17C17" w:rsidP="009901E1">
            <w:pPr>
              <w:pStyle w:val="Notesbodytext"/>
              <w:spacing w:after="0" w:line="280" w:lineRule="exact"/>
              <w:jc w:val="both"/>
              <w:rPr>
                <w:rFonts w:ascii="Arial" w:hAnsi="Arial"/>
                <w:color w:val="auto"/>
                <w:sz w:val="20"/>
              </w:rPr>
            </w:pPr>
            <w:r w:rsidRPr="00E70587">
              <w:rPr>
                <w:rFonts w:ascii="Arial" w:hAnsi="Arial"/>
                <w:color w:val="auto"/>
                <w:sz w:val="20"/>
              </w:rPr>
              <w:t xml:space="preserve">On 1 </w:t>
            </w:r>
            <w:r w:rsidR="003F1DAF" w:rsidRPr="00E70587">
              <w:rPr>
                <w:rFonts w:ascii="Arial" w:hAnsi="Arial"/>
                <w:color w:val="auto"/>
                <w:sz w:val="20"/>
              </w:rPr>
              <w:t xml:space="preserve">October </w:t>
            </w:r>
            <w:r w:rsidR="00747AD9" w:rsidRPr="00E70587">
              <w:rPr>
                <w:rFonts w:ascii="Arial" w:hAnsi="Arial"/>
                <w:color w:val="auto"/>
                <w:sz w:val="20"/>
              </w:rPr>
              <w:t>20</w:t>
            </w:r>
            <w:r w:rsidR="00747AD9">
              <w:rPr>
                <w:rFonts w:ascii="Arial" w:hAnsi="Arial"/>
                <w:color w:val="auto"/>
                <w:sz w:val="20"/>
              </w:rPr>
              <w:t>20</w:t>
            </w:r>
            <w:r w:rsidRPr="00E70587">
              <w:rPr>
                <w:rFonts w:ascii="Arial" w:hAnsi="Arial"/>
                <w:color w:val="auto"/>
                <w:sz w:val="20"/>
              </w:rPr>
              <w:t xml:space="preserve">, B Limited entered into a two-year agreement ending 30 </w:t>
            </w:r>
            <w:r w:rsidR="003F1DAF" w:rsidRPr="00E70587">
              <w:rPr>
                <w:rFonts w:ascii="Arial" w:hAnsi="Arial"/>
                <w:color w:val="auto"/>
                <w:sz w:val="20"/>
              </w:rPr>
              <w:t xml:space="preserve">September </w:t>
            </w:r>
            <w:r w:rsidR="00636E96" w:rsidRPr="00E70587">
              <w:rPr>
                <w:rFonts w:ascii="Arial" w:hAnsi="Arial"/>
                <w:color w:val="auto"/>
                <w:sz w:val="20"/>
              </w:rPr>
              <w:t>202</w:t>
            </w:r>
            <w:r w:rsidR="00636E96">
              <w:rPr>
                <w:rFonts w:ascii="Arial" w:hAnsi="Arial"/>
                <w:color w:val="auto"/>
                <w:sz w:val="20"/>
              </w:rPr>
              <w:t>2</w:t>
            </w:r>
            <w:r w:rsidR="00636E96" w:rsidRPr="00E70587">
              <w:rPr>
                <w:rFonts w:ascii="Arial" w:hAnsi="Arial"/>
                <w:color w:val="auto"/>
                <w:sz w:val="20"/>
              </w:rPr>
              <w:t xml:space="preserve"> </w:t>
            </w:r>
            <w:r w:rsidRPr="00E70587">
              <w:rPr>
                <w:rFonts w:ascii="Arial" w:hAnsi="Arial"/>
                <w:color w:val="auto"/>
                <w:sz w:val="20"/>
              </w:rPr>
              <w:t>with Wireworks Inc. to purchase specific electrical and optical cables that B Limited uses in its production cycle. B Limited expects the potential purchase volume to be INR 1</w:t>
            </w:r>
            <w:r w:rsidR="00864D25" w:rsidRPr="00E70587">
              <w:rPr>
                <w:rFonts w:ascii="Arial" w:hAnsi="Arial"/>
                <w:color w:val="auto"/>
                <w:sz w:val="20"/>
              </w:rPr>
              <w:t>,</w:t>
            </w:r>
            <w:r w:rsidRPr="00E70587">
              <w:rPr>
                <w:rFonts w:ascii="Arial" w:hAnsi="Arial"/>
                <w:color w:val="auto"/>
                <w:sz w:val="20"/>
              </w:rPr>
              <w:t xml:space="preserve">350 </w:t>
            </w:r>
            <w:r w:rsidR="006E42ED">
              <w:rPr>
                <w:rFonts w:ascii="Arial" w:hAnsi="Arial"/>
                <w:color w:val="auto"/>
                <w:sz w:val="20"/>
              </w:rPr>
              <w:t xml:space="preserve">lacs </w:t>
            </w:r>
            <w:r w:rsidRPr="00E70587">
              <w:rPr>
                <w:rFonts w:ascii="Arial" w:hAnsi="Arial"/>
                <w:color w:val="auto"/>
                <w:sz w:val="20"/>
              </w:rPr>
              <w:t xml:space="preserve">in </w:t>
            </w:r>
            <w:r w:rsidR="00BF0D9F" w:rsidRPr="00E70587">
              <w:rPr>
                <w:rFonts w:ascii="Arial" w:hAnsi="Arial"/>
                <w:color w:val="auto"/>
                <w:sz w:val="20"/>
              </w:rPr>
              <w:t>20</w:t>
            </w:r>
            <w:r w:rsidR="003F1DAF" w:rsidRPr="00E70587">
              <w:rPr>
                <w:rFonts w:ascii="Arial" w:hAnsi="Arial"/>
                <w:color w:val="auto"/>
                <w:sz w:val="20"/>
              </w:rPr>
              <w:t>20</w:t>
            </w:r>
            <w:r w:rsidRPr="00E70587">
              <w:rPr>
                <w:rFonts w:ascii="Arial" w:hAnsi="Arial"/>
                <w:color w:val="auto"/>
                <w:sz w:val="20"/>
              </w:rPr>
              <w:t xml:space="preserve"> and INR 45</w:t>
            </w:r>
            <w:r w:rsidR="00864D25" w:rsidRPr="00E70587">
              <w:rPr>
                <w:rFonts w:ascii="Arial" w:hAnsi="Arial"/>
                <w:color w:val="auto"/>
                <w:sz w:val="20"/>
              </w:rPr>
              <w:t>0</w:t>
            </w:r>
            <w:r w:rsidRPr="00E70587">
              <w:rPr>
                <w:rFonts w:ascii="Arial" w:hAnsi="Arial"/>
                <w:color w:val="auto"/>
                <w:sz w:val="20"/>
              </w:rPr>
              <w:t xml:space="preserve"> </w:t>
            </w:r>
            <w:r w:rsidR="006E42ED">
              <w:rPr>
                <w:rFonts w:ascii="Arial" w:hAnsi="Arial"/>
                <w:color w:val="auto"/>
                <w:sz w:val="20"/>
              </w:rPr>
              <w:t xml:space="preserve">lacs </w:t>
            </w:r>
            <w:r w:rsidRPr="00E70587">
              <w:rPr>
                <w:rFonts w:ascii="Arial" w:hAnsi="Arial"/>
                <w:color w:val="auto"/>
                <w:sz w:val="20"/>
              </w:rPr>
              <w:t xml:space="preserve">in the first six months of </w:t>
            </w:r>
            <w:r w:rsidR="008B730E" w:rsidRPr="00E70587">
              <w:rPr>
                <w:rFonts w:ascii="Arial" w:hAnsi="Arial"/>
                <w:color w:val="auto"/>
                <w:sz w:val="20"/>
              </w:rPr>
              <w:t>20</w:t>
            </w:r>
            <w:r w:rsidR="00BF0D9F" w:rsidRPr="00E70587">
              <w:rPr>
                <w:rFonts w:ascii="Arial" w:hAnsi="Arial"/>
                <w:color w:val="auto"/>
                <w:sz w:val="20"/>
              </w:rPr>
              <w:t>21</w:t>
            </w:r>
            <w:r w:rsidRPr="00E70587">
              <w:rPr>
                <w:rFonts w:ascii="Arial" w:hAnsi="Arial"/>
                <w:color w:val="auto"/>
                <w:sz w:val="20"/>
              </w:rPr>
              <w:t>. The purchase price is based on Wireworks Inc.’s actual cost plus a 5% margin and will be settled in cash within 30 days of receiving the inventories.</w:t>
            </w:r>
          </w:p>
          <w:p w14:paraId="1526B7D7" w14:textId="77777777" w:rsidR="00A17C17" w:rsidRPr="00E70587" w:rsidRDefault="00A17C17" w:rsidP="009901E1">
            <w:pPr>
              <w:pStyle w:val="Notesitalicheading"/>
              <w:spacing w:line="280" w:lineRule="exact"/>
              <w:jc w:val="both"/>
              <w:rPr>
                <w:rFonts w:ascii="Arial" w:hAnsi="Arial"/>
                <w:b w:val="0"/>
                <w:color w:val="auto"/>
                <w:sz w:val="20"/>
              </w:rPr>
            </w:pPr>
          </w:p>
        </w:tc>
      </w:tr>
      <w:tr w:rsidR="00A17C17" w:rsidRPr="00E70587" w14:paraId="00DA7E7D" w14:textId="77777777" w:rsidTr="00834981">
        <w:tc>
          <w:tcPr>
            <w:tcW w:w="0" w:type="auto"/>
          </w:tcPr>
          <w:p w14:paraId="612A3907" w14:textId="3E3FB773" w:rsidR="00A17C17" w:rsidRPr="00E70587" w:rsidRDefault="00A17C17" w:rsidP="009901E1">
            <w:pPr>
              <w:spacing w:line="280" w:lineRule="exact"/>
              <w:jc w:val="both"/>
              <w:rPr>
                <w:rFonts w:ascii="Arial" w:hAnsi="Arial" w:cs="Arial"/>
                <w:sz w:val="20"/>
              </w:rPr>
            </w:pPr>
            <w:r w:rsidRPr="00E70587">
              <w:rPr>
                <w:rFonts w:ascii="Arial" w:hAnsi="Arial" w:cs="Arial"/>
                <w:sz w:val="20"/>
              </w:rPr>
              <w:lastRenderedPageBreak/>
              <w:t xml:space="preserve">The Group has provided a contractual commitment to B Limited, whereby if the assets held as collaterals by B Limited for its borrowing falls below a credit rating of ‘AA’, the parent will substitute assets of an equivalent of ‘AA’ rating. The maximum fair value of the assets to be replaced is INR 360 as at 31 </w:t>
            </w:r>
            <w:r w:rsidR="00E1202D" w:rsidRPr="00E70587">
              <w:rPr>
                <w:rFonts w:ascii="Arial" w:hAnsi="Arial" w:cs="Arial"/>
                <w:sz w:val="20"/>
              </w:rPr>
              <w:t xml:space="preserve">March </w:t>
            </w:r>
            <w:r w:rsidR="007A7CFB" w:rsidRPr="00E70587">
              <w:rPr>
                <w:rFonts w:ascii="Arial" w:hAnsi="Arial" w:cs="Arial"/>
                <w:sz w:val="20"/>
              </w:rPr>
              <w:t>20</w:t>
            </w:r>
            <w:r w:rsidR="007A7CFB">
              <w:rPr>
                <w:rFonts w:ascii="Arial" w:hAnsi="Arial" w:cs="Arial"/>
                <w:sz w:val="20"/>
              </w:rPr>
              <w:t>21</w:t>
            </w:r>
            <w:r w:rsidR="007A7CFB" w:rsidRPr="00E70587">
              <w:rPr>
                <w:rFonts w:ascii="Arial" w:hAnsi="Arial" w:cs="Arial"/>
                <w:sz w:val="20"/>
              </w:rPr>
              <w:t xml:space="preserve"> </w:t>
            </w:r>
            <w:r w:rsidRPr="00E70587">
              <w:rPr>
                <w:rFonts w:ascii="Arial" w:hAnsi="Arial" w:cs="Arial"/>
                <w:sz w:val="20"/>
              </w:rPr>
              <w:t xml:space="preserve">(31 </w:t>
            </w:r>
            <w:r w:rsidR="008B730E" w:rsidRPr="00E70587">
              <w:rPr>
                <w:rFonts w:ascii="Arial" w:hAnsi="Arial" w:cs="Arial"/>
                <w:sz w:val="20"/>
              </w:rPr>
              <w:t xml:space="preserve">March </w:t>
            </w:r>
            <w:r w:rsidR="007A7CFB" w:rsidRPr="00E70587">
              <w:rPr>
                <w:rFonts w:ascii="Arial" w:hAnsi="Arial" w:cs="Arial"/>
                <w:sz w:val="20"/>
              </w:rPr>
              <w:t>20</w:t>
            </w:r>
            <w:r w:rsidR="007A7CFB">
              <w:rPr>
                <w:rFonts w:ascii="Arial" w:hAnsi="Arial" w:cs="Arial"/>
                <w:sz w:val="20"/>
              </w:rPr>
              <w:t>20</w:t>
            </w:r>
            <w:r w:rsidRPr="00E70587">
              <w:rPr>
                <w:rFonts w:ascii="Arial" w:hAnsi="Arial" w:cs="Arial"/>
                <w:sz w:val="20"/>
              </w:rPr>
              <w:t>: INR 378</w:t>
            </w:r>
            <w:proofErr w:type="gramStart"/>
            <w:r w:rsidRPr="00E70587">
              <w:rPr>
                <w:rFonts w:ascii="Arial" w:hAnsi="Arial" w:cs="Arial"/>
                <w:sz w:val="20"/>
              </w:rPr>
              <w:t>).The</w:t>
            </w:r>
            <w:proofErr w:type="gramEnd"/>
            <w:r w:rsidRPr="00E70587">
              <w:rPr>
                <w:rFonts w:ascii="Arial" w:hAnsi="Arial" w:cs="Arial"/>
                <w:sz w:val="20"/>
              </w:rPr>
              <w:t xml:space="preserve"> Group will not suffer a loss on any transaction arising from this commitment, but will receive assets with a lower credit rating from those substituted.</w:t>
            </w:r>
          </w:p>
          <w:p w14:paraId="2BDAB83B" w14:textId="77777777" w:rsidR="00A17C17" w:rsidRPr="00E70587" w:rsidRDefault="00A17C17" w:rsidP="009335A3">
            <w:pPr>
              <w:pStyle w:val="Heading4"/>
              <w:spacing w:before="0" w:after="0" w:line="280" w:lineRule="exact"/>
              <w:jc w:val="both"/>
              <w:rPr>
                <w:rFonts w:ascii="Arial" w:hAnsi="Arial"/>
              </w:rPr>
            </w:pPr>
          </w:p>
        </w:tc>
      </w:tr>
      <w:tr w:rsidR="00A17C17" w:rsidRPr="00E70587" w14:paraId="72897CAD" w14:textId="77777777" w:rsidTr="00834981">
        <w:tc>
          <w:tcPr>
            <w:tcW w:w="0" w:type="auto"/>
          </w:tcPr>
          <w:p w14:paraId="593326B9" w14:textId="77777777" w:rsidR="009335A3" w:rsidRPr="00E70587" w:rsidRDefault="009335A3" w:rsidP="009335A3">
            <w:pPr>
              <w:pStyle w:val="Notesitalicheading"/>
              <w:spacing w:line="280" w:lineRule="exact"/>
              <w:jc w:val="both"/>
              <w:rPr>
                <w:rFonts w:ascii="Arial" w:hAnsi="Arial"/>
                <w:i w:val="0"/>
                <w:color w:val="auto"/>
                <w:sz w:val="20"/>
              </w:rPr>
            </w:pPr>
            <w:r w:rsidRPr="00E70587">
              <w:rPr>
                <w:rFonts w:ascii="Arial" w:hAnsi="Arial"/>
                <w:i w:val="0"/>
                <w:color w:val="auto"/>
                <w:sz w:val="20"/>
              </w:rPr>
              <w:t>Transactions with key management personnel</w:t>
            </w:r>
          </w:p>
          <w:p w14:paraId="1A617295" w14:textId="77777777" w:rsidR="009335A3" w:rsidRPr="00E70587" w:rsidRDefault="009335A3" w:rsidP="009901E1">
            <w:pPr>
              <w:pStyle w:val="Notesitalicheading"/>
              <w:spacing w:line="280" w:lineRule="exact"/>
              <w:jc w:val="both"/>
              <w:rPr>
                <w:rFonts w:ascii="Arial" w:hAnsi="Arial"/>
                <w:b w:val="0"/>
                <w:i w:val="0"/>
                <w:color w:val="auto"/>
                <w:sz w:val="20"/>
              </w:rPr>
            </w:pPr>
          </w:p>
          <w:p w14:paraId="2775883C" w14:textId="77777777" w:rsidR="00A17C17" w:rsidRPr="00E70587" w:rsidRDefault="00A17C17" w:rsidP="009901E1">
            <w:pPr>
              <w:pStyle w:val="Notesitalicheading"/>
              <w:spacing w:line="280" w:lineRule="exact"/>
              <w:jc w:val="both"/>
              <w:rPr>
                <w:rFonts w:ascii="Arial" w:hAnsi="Arial"/>
                <w:color w:val="auto"/>
                <w:sz w:val="20"/>
              </w:rPr>
            </w:pPr>
            <w:r w:rsidRPr="00E70587">
              <w:rPr>
                <w:rFonts w:ascii="Arial" w:hAnsi="Arial"/>
                <w:color w:val="auto"/>
                <w:sz w:val="20"/>
              </w:rPr>
              <w:t>Directors’ loans</w:t>
            </w:r>
          </w:p>
          <w:p w14:paraId="62F831EC" w14:textId="77777777" w:rsidR="009335A3" w:rsidRPr="00E70587" w:rsidRDefault="009335A3" w:rsidP="009901E1">
            <w:pPr>
              <w:spacing w:line="280" w:lineRule="exact"/>
              <w:jc w:val="both"/>
              <w:rPr>
                <w:rFonts w:ascii="Arial" w:hAnsi="Arial" w:cs="Arial"/>
                <w:sz w:val="20"/>
              </w:rPr>
            </w:pPr>
          </w:p>
          <w:p w14:paraId="270128DD" w14:textId="2E12ABF4" w:rsidR="00A17C17" w:rsidRPr="00E70587" w:rsidRDefault="00A17C17" w:rsidP="00657499">
            <w:pPr>
              <w:spacing w:line="280" w:lineRule="exact"/>
              <w:jc w:val="both"/>
            </w:pPr>
            <w:r w:rsidRPr="00E70587">
              <w:rPr>
                <w:rFonts w:ascii="Arial" w:hAnsi="Arial" w:cs="Arial"/>
                <w:sz w:val="20"/>
              </w:rPr>
              <w:t>The group operates loan scheme providing loan to all employees. Under the scheme, the Group offers senior management a facility to borrow up to INR 36 repayable within five years from the date of disbursement. Such loans are unsecured and the interest rate is the average rate incurred on long-term loans (currently MIBOR + 0.8). Any loans granted are included in financial instruments on the face of the balance sheet.</w:t>
            </w:r>
          </w:p>
        </w:tc>
      </w:tr>
      <w:tr w:rsidR="00A17C17" w:rsidRPr="00E70587" w14:paraId="06400FBC" w14:textId="77777777" w:rsidTr="00834981">
        <w:tc>
          <w:tcPr>
            <w:tcW w:w="0" w:type="auto"/>
          </w:tcPr>
          <w:p w14:paraId="1F80E340" w14:textId="77777777" w:rsidR="00A17C17" w:rsidRPr="00E70587" w:rsidRDefault="00A17C17" w:rsidP="009901E1">
            <w:pPr>
              <w:pStyle w:val="Notesitalicheading"/>
              <w:spacing w:line="280" w:lineRule="exact"/>
              <w:jc w:val="both"/>
              <w:rPr>
                <w:rFonts w:ascii="Arial" w:hAnsi="Arial"/>
                <w:color w:val="auto"/>
                <w:sz w:val="20"/>
              </w:rPr>
            </w:pPr>
            <w:r w:rsidRPr="00E70587">
              <w:rPr>
                <w:rFonts w:ascii="Arial" w:hAnsi="Arial"/>
                <w:color w:val="auto"/>
                <w:sz w:val="20"/>
              </w:rPr>
              <w:t>Other directors’ interests</w:t>
            </w:r>
          </w:p>
          <w:p w14:paraId="2E9ABF08" w14:textId="77777777" w:rsidR="009335A3" w:rsidRPr="00E70587" w:rsidRDefault="009335A3" w:rsidP="009901E1">
            <w:pPr>
              <w:pStyle w:val="Notesbodytext"/>
              <w:spacing w:after="0" w:line="280" w:lineRule="exact"/>
              <w:jc w:val="both"/>
              <w:rPr>
                <w:rFonts w:ascii="Arial" w:hAnsi="Arial"/>
                <w:color w:val="auto"/>
                <w:sz w:val="20"/>
              </w:rPr>
            </w:pPr>
          </w:p>
          <w:p w14:paraId="019F52E7" w14:textId="217530F6" w:rsidR="00A17C17" w:rsidRPr="00E70587" w:rsidRDefault="00A17C17" w:rsidP="009901E1">
            <w:pPr>
              <w:pStyle w:val="Notesbodytext"/>
              <w:spacing w:after="0" w:line="280" w:lineRule="exact"/>
              <w:jc w:val="both"/>
              <w:rPr>
                <w:rFonts w:ascii="Arial" w:hAnsi="Arial"/>
                <w:color w:val="auto"/>
                <w:sz w:val="20"/>
              </w:rPr>
            </w:pPr>
            <w:r w:rsidRPr="00E70587">
              <w:rPr>
                <w:rFonts w:ascii="Arial" w:hAnsi="Arial"/>
                <w:color w:val="auto"/>
                <w:sz w:val="20"/>
              </w:rPr>
              <w:t xml:space="preserve">During both 31 </w:t>
            </w:r>
            <w:r w:rsidR="00E1202D" w:rsidRPr="00E70587">
              <w:rPr>
                <w:rFonts w:ascii="Arial" w:hAnsi="Arial"/>
                <w:color w:val="auto"/>
                <w:sz w:val="20"/>
              </w:rPr>
              <w:t xml:space="preserve">March </w:t>
            </w:r>
            <w:r w:rsidR="007A7CFB" w:rsidRPr="00E70587">
              <w:rPr>
                <w:rFonts w:ascii="Arial" w:hAnsi="Arial"/>
                <w:color w:val="auto"/>
                <w:sz w:val="20"/>
              </w:rPr>
              <w:t>20</w:t>
            </w:r>
            <w:r w:rsidR="007A7CFB">
              <w:rPr>
                <w:rFonts w:ascii="Arial" w:hAnsi="Arial"/>
                <w:color w:val="auto"/>
                <w:sz w:val="20"/>
              </w:rPr>
              <w:t>21</w:t>
            </w:r>
            <w:r w:rsidR="007A7CFB" w:rsidRPr="00E70587">
              <w:rPr>
                <w:rFonts w:ascii="Arial" w:hAnsi="Arial"/>
                <w:color w:val="auto"/>
                <w:sz w:val="20"/>
              </w:rPr>
              <w:t xml:space="preserve"> </w:t>
            </w:r>
            <w:r w:rsidRPr="00E70587">
              <w:rPr>
                <w:rFonts w:ascii="Arial" w:hAnsi="Arial"/>
                <w:color w:val="auto"/>
                <w:sz w:val="20"/>
              </w:rPr>
              <w:t xml:space="preserve">and 31 </w:t>
            </w:r>
            <w:r w:rsidR="008B730E" w:rsidRPr="00E70587">
              <w:rPr>
                <w:rFonts w:ascii="Arial" w:hAnsi="Arial"/>
                <w:color w:val="auto"/>
                <w:sz w:val="20"/>
              </w:rPr>
              <w:t xml:space="preserve">March </w:t>
            </w:r>
            <w:r w:rsidR="007A7CFB" w:rsidRPr="00E70587">
              <w:rPr>
                <w:rFonts w:ascii="Arial" w:hAnsi="Arial"/>
                <w:color w:val="auto"/>
                <w:sz w:val="20"/>
              </w:rPr>
              <w:t>20</w:t>
            </w:r>
            <w:r w:rsidR="007A7CFB">
              <w:rPr>
                <w:rFonts w:ascii="Arial" w:hAnsi="Arial"/>
                <w:color w:val="auto"/>
                <w:sz w:val="20"/>
              </w:rPr>
              <w:t>20</w:t>
            </w:r>
            <w:r w:rsidRPr="00E70587">
              <w:rPr>
                <w:rFonts w:ascii="Arial" w:hAnsi="Arial"/>
                <w:color w:val="auto"/>
                <w:sz w:val="20"/>
              </w:rPr>
              <w:t>, Group companies made purchases at market prices from Gnome Industries Limited, of which the spouse of one of the directors of the Group is a director and controlling shareholder.</w:t>
            </w:r>
          </w:p>
          <w:p w14:paraId="583C15D9" w14:textId="77777777" w:rsidR="00A17C17" w:rsidRPr="00E70587" w:rsidRDefault="00A17C17" w:rsidP="009901E1">
            <w:pPr>
              <w:spacing w:line="280" w:lineRule="exact"/>
              <w:jc w:val="both"/>
              <w:rPr>
                <w:rFonts w:ascii="Arial" w:hAnsi="Arial" w:cs="Arial"/>
                <w:sz w:val="20"/>
              </w:rPr>
            </w:pPr>
          </w:p>
          <w:p w14:paraId="141F0CF0" w14:textId="52920A74" w:rsidR="00A17C17" w:rsidRPr="00E70587" w:rsidRDefault="00A17C17" w:rsidP="003F1DAF">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 xml:space="preserve">One director has a 25% (31 </w:t>
            </w:r>
            <w:r w:rsidR="008B730E" w:rsidRPr="00E70587">
              <w:rPr>
                <w:rFonts w:ascii="Arial" w:hAnsi="Arial"/>
                <w:b w:val="0"/>
                <w:i w:val="0"/>
                <w:color w:val="auto"/>
                <w:sz w:val="20"/>
              </w:rPr>
              <w:t xml:space="preserve">March </w:t>
            </w:r>
            <w:r w:rsidR="007A7CFB" w:rsidRPr="00E70587">
              <w:rPr>
                <w:rFonts w:ascii="Arial" w:hAnsi="Arial"/>
                <w:b w:val="0"/>
                <w:i w:val="0"/>
                <w:color w:val="auto"/>
                <w:sz w:val="20"/>
              </w:rPr>
              <w:t>20</w:t>
            </w:r>
            <w:r w:rsidR="007A7CFB">
              <w:rPr>
                <w:rFonts w:ascii="Arial" w:hAnsi="Arial"/>
                <w:b w:val="0"/>
                <w:i w:val="0"/>
                <w:color w:val="auto"/>
                <w:sz w:val="20"/>
              </w:rPr>
              <w:t>20</w:t>
            </w:r>
            <w:r w:rsidRPr="00E70587">
              <w:rPr>
                <w:rFonts w:ascii="Arial" w:hAnsi="Arial"/>
                <w:b w:val="0"/>
                <w:i w:val="0"/>
                <w:color w:val="auto"/>
                <w:sz w:val="20"/>
              </w:rPr>
              <w:t xml:space="preserve">: 25%) equity interest in Home Fires Limited. The Group has a contract for the supply of fire extinguishers. During 31 </w:t>
            </w:r>
            <w:r w:rsidR="00E1202D" w:rsidRPr="00E70587">
              <w:rPr>
                <w:rFonts w:ascii="Arial" w:hAnsi="Arial"/>
                <w:b w:val="0"/>
                <w:i w:val="0"/>
                <w:color w:val="auto"/>
                <w:sz w:val="20"/>
              </w:rPr>
              <w:t xml:space="preserve">March </w:t>
            </w:r>
            <w:r w:rsidR="007A7CFB" w:rsidRPr="00E70587">
              <w:rPr>
                <w:rFonts w:ascii="Arial" w:hAnsi="Arial"/>
                <w:b w:val="0"/>
                <w:i w:val="0"/>
                <w:color w:val="auto"/>
                <w:sz w:val="20"/>
              </w:rPr>
              <w:t>20</w:t>
            </w:r>
            <w:r w:rsidR="007A7CFB">
              <w:rPr>
                <w:rFonts w:ascii="Arial" w:hAnsi="Arial"/>
                <w:b w:val="0"/>
                <w:i w:val="0"/>
                <w:color w:val="auto"/>
                <w:sz w:val="20"/>
              </w:rPr>
              <w:t>21</w:t>
            </w:r>
            <w:r w:rsidR="007A7CFB" w:rsidRPr="00E70587">
              <w:rPr>
                <w:rFonts w:ascii="Arial" w:hAnsi="Arial"/>
                <w:b w:val="0"/>
                <w:i w:val="0"/>
                <w:color w:val="auto"/>
                <w:sz w:val="20"/>
              </w:rPr>
              <w:t xml:space="preserve"> </w:t>
            </w:r>
            <w:r w:rsidRPr="00E70587">
              <w:rPr>
                <w:rFonts w:ascii="Arial" w:hAnsi="Arial"/>
                <w:b w:val="0"/>
                <w:i w:val="0"/>
                <w:color w:val="auto"/>
                <w:sz w:val="20"/>
              </w:rPr>
              <w:t xml:space="preserve">and 31 </w:t>
            </w:r>
            <w:r w:rsidR="008B730E" w:rsidRPr="00E70587">
              <w:rPr>
                <w:rFonts w:ascii="Arial" w:hAnsi="Arial"/>
                <w:b w:val="0"/>
                <w:i w:val="0"/>
                <w:color w:val="auto"/>
                <w:sz w:val="20"/>
              </w:rPr>
              <w:t xml:space="preserve">March </w:t>
            </w:r>
            <w:r w:rsidR="007A7CFB" w:rsidRPr="00E70587">
              <w:rPr>
                <w:rFonts w:ascii="Arial" w:hAnsi="Arial"/>
                <w:b w:val="0"/>
                <w:i w:val="0"/>
                <w:color w:val="auto"/>
                <w:sz w:val="20"/>
              </w:rPr>
              <w:t>20</w:t>
            </w:r>
            <w:r w:rsidR="007A7CFB">
              <w:rPr>
                <w:rFonts w:ascii="Arial" w:hAnsi="Arial"/>
                <w:b w:val="0"/>
                <w:i w:val="0"/>
                <w:color w:val="auto"/>
                <w:sz w:val="20"/>
              </w:rPr>
              <w:t>20</w:t>
            </w:r>
            <w:r w:rsidRPr="00E70587">
              <w:rPr>
                <w:rFonts w:ascii="Arial" w:hAnsi="Arial"/>
                <w:b w:val="0"/>
                <w:i w:val="0"/>
                <w:color w:val="auto"/>
                <w:sz w:val="20"/>
              </w:rPr>
              <w:t>, the Group supplied fire extinguishers to Home Fires Limited at market prices.</w:t>
            </w:r>
          </w:p>
        </w:tc>
      </w:tr>
    </w:tbl>
    <w:p w14:paraId="62A849C8" w14:textId="77777777" w:rsidR="009E5DEC" w:rsidRPr="00E70587" w:rsidRDefault="009E5DEC" w:rsidP="009901E1">
      <w:pPr>
        <w:spacing w:line="280" w:lineRule="exact"/>
        <w:jc w:val="both"/>
        <w:rPr>
          <w:rFonts w:ascii="Arial" w:hAnsi="Arial" w:cs="Arial"/>
          <w:sz w:val="20"/>
        </w:rPr>
      </w:pPr>
    </w:p>
    <w:p w14:paraId="6D23571E" w14:textId="77777777" w:rsidR="009E5DEC" w:rsidRPr="00E70587" w:rsidRDefault="009E5DEC" w:rsidP="009901E1">
      <w:pPr>
        <w:spacing w:line="280" w:lineRule="exact"/>
        <w:rPr>
          <w:rFonts w:ascii="Arial" w:hAnsi="Arial" w:cs="Arial"/>
          <w:b/>
          <w:sz w:val="20"/>
        </w:rPr>
      </w:pPr>
      <w:r w:rsidRPr="00E70587">
        <w:rPr>
          <w:rFonts w:ascii="Arial" w:hAnsi="Arial" w:cs="Arial"/>
          <w:b/>
          <w:sz w:val="20"/>
        </w:rPr>
        <w:t>Compensation of key management personnel of the Group</w:t>
      </w:r>
    </w:p>
    <w:tbl>
      <w:tblPr>
        <w:tblW w:w="9576" w:type="dxa"/>
        <w:tblLayout w:type="fixed"/>
        <w:tblLook w:val="01E0" w:firstRow="1" w:lastRow="1" w:firstColumn="1" w:lastColumn="1" w:noHBand="0" w:noVBand="0"/>
      </w:tblPr>
      <w:tblGrid>
        <w:gridCol w:w="5962"/>
        <w:gridCol w:w="1807"/>
        <w:gridCol w:w="1807"/>
      </w:tblGrid>
      <w:tr w:rsidR="00A17C17" w:rsidRPr="00E70587" w14:paraId="56E7EB4C" w14:textId="77777777" w:rsidTr="00834981">
        <w:tc>
          <w:tcPr>
            <w:tcW w:w="5940" w:type="dxa"/>
            <w:shd w:val="clear" w:color="auto" w:fill="auto"/>
          </w:tcPr>
          <w:p w14:paraId="7FD21574" w14:textId="77777777" w:rsidR="00A17C17" w:rsidRPr="00E70587" w:rsidRDefault="00A17C17" w:rsidP="009901E1">
            <w:pPr>
              <w:pStyle w:val="tabletext"/>
              <w:spacing w:line="280" w:lineRule="exact"/>
              <w:rPr>
                <w:rFonts w:ascii="Arial" w:hAnsi="Arial" w:cs="Arial"/>
                <w:sz w:val="20"/>
                <w:lang w:val="en-IN"/>
              </w:rPr>
            </w:pPr>
          </w:p>
        </w:tc>
        <w:tc>
          <w:tcPr>
            <w:tcW w:w="1800" w:type="dxa"/>
            <w:tcBorders>
              <w:bottom w:val="single" w:sz="4" w:space="0" w:color="auto"/>
            </w:tcBorders>
            <w:shd w:val="clear" w:color="auto" w:fill="auto"/>
          </w:tcPr>
          <w:p w14:paraId="398DF136" w14:textId="47A7F4FC"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7A7CFB" w:rsidRPr="00E70587">
              <w:rPr>
                <w:rFonts w:ascii="Arial" w:hAnsi="Arial"/>
                <w:color w:val="auto"/>
                <w:sz w:val="20"/>
                <w:szCs w:val="20"/>
                <w:lang w:val="en-IN"/>
              </w:rPr>
              <w:t>20</w:t>
            </w:r>
            <w:r w:rsidR="007A7CFB">
              <w:rPr>
                <w:rFonts w:ascii="Arial" w:hAnsi="Arial"/>
                <w:color w:val="auto"/>
                <w:sz w:val="20"/>
                <w:szCs w:val="20"/>
                <w:lang w:val="en-IN"/>
              </w:rPr>
              <w:t>21</w:t>
            </w:r>
          </w:p>
        </w:tc>
        <w:tc>
          <w:tcPr>
            <w:tcW w:w="1800" w:type="dxa"/>
            <w:tcBorders>
              <w:bottom w:val="single" w:sz="4" w:space="0" w:color="auto"/>
            </w:tcBorders>
            <w:shd w:val="clear" w:color="auto" w:fill="auto"/>
          </w:tcPr>
          <w:p w14:paraId="156B7804" w14:textId="116E3028"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7A7CFB" w:rsidRPr="00E70587">
              <w:rPr>
                <w:rFonts w:ascii="Arial" w:hAnsi="Arial"/>
                <w:color w:val="auto"/>
                <w:sz w:val="20"/>
                <w:szCs w:val="20"/>
                <w:lang w:val="en-IN"/>
              </w:rPr>
              <w:t>20</w:t>
            </w:r>
            <w:r w:rsidR="007A7CFB">
              <w:rPr>
                <w:rFonts w:ascii="Arial" w:hAnsi="Arial"/>
                <w:color w:val="auto"/>
                <w:sz w:val="20"/>
                <w:szCs w:val="20"/>
                <w:lang w:val="en-IN"/>
              </w:rPr>
              <w:t>20</w:t>
            </w:r>
          </w:p>
        </w:tc>
      </w:tr>
      <w:tr w:rsidR="00A17C17" w:rsidRPr="00E70587" w14:paraId="78E9795D" w14:textId="77777777" w:rsidTr="00834981">
        <w:tc>
          <w:tcPr>
            <w:tcW w:w="5940" w:type="dxa"/>
          </w:tcPr>
          <w:p w14:paraId="1A3AA525" w14:textId="77777777" w:rsidR="00A17C17" w:rsidRPr="00E70587" w:rsidRDefault="00A17C17" w:rsidP="009901E1">
            <w:pPr>
              <w:pStyle w:val="tabletext"/>
              <w:spacing w:line="280" w:lineRule="exact"/>
              <w:rPr>
                <w:rFonts w:ascii="Arial" w:hAnsi="Arial" w:cs="Arial"/>
                <w:b/>
                <w:sz w:val="20"/>
                <w:lang w:val="en-IN"/>
              </w:rPr>
            </w:pPr>
          </w:p>
        </w:tc>
        <w:tc>
          <w:tcPr>
            <w:tcW w:w="1800" w:type="dxa"/>
            <w:tcBorders>
              <w:top w:val="single" w:sz="4" w:space="0" w:color="auto"/>
            </w:tcBorders>
          </w:tcPr>
          <w:p w14:paraId="56DE2A72"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800" w:type="dxa"/>
            <w:tcBorders>
              <w:top w:val="single" w:sz="4" w:space="0" w:color="auto"/>
            </w:tcBorders>
          </w:tcPr>
          <w:p w14:paraId="240F457C"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2CE744D0" w14:textId="77777777" w:rsidTr="00834981">
        <w:tc>
          <w:tcPr>
            <w:tcW w:w="5940" w:type="dxa"/>
            <w:tcMar>
              <w:top w:w="28" w:type="dxa"/>
            </w:tcMar>
            <w:vAlign w:val="bottom"/>
          </w:tcPr>
          <w:p w14:paraId="2FE1E464"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Short-term employee benefits</w:t>
            </w:r>
          </w:p>
        </w:tc>
        <w:tc>
          <w:tcPr>
            <w:tcW w:w="1800" w:type="dxa"/>
            <w:tcMar>
              <w:top w:w="28" w:type="dxa"/>
            </w:tcMar>
          </w:tcPr>
          <w:p w14:paraId="080390B2"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783 </w:t>
            </w:r>
          </w:p>
        </w:tc>
        <w:tc>
          <w:tcPr>
            <w:tcW w:w="1800" w:type="dxa"/>
            <w:tcMar>
              <w:top w:w="28" w:type="dxa"/>
            </w:tcMar>
          </w:tcPr>
          <w:p w14:paraId="0BD2B144"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763 </w:t>
            </w:r>
          </w:p>
        </w:tc>
      </w:tr>
      <w:tr w:rsidR="00A17C17" w:rsidRPr="00E70587" w14:paraId="233961EE" w14:textId="77777777" w:rsidTr="00834981">
        <w:tc>
          <w:tcPr>
            <w:tcW w:w="5940" w:type="dxa"/>
            <w:tcMar>
              <w:top w:w="28" w:type="dxa"/>
            </w:tcMar>
            <w:vAlign w:val="bottom"/>
          </w:tcPr>
          <w:p w14:paraId="3F47A180"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Post-employment gratuity and medical benefits</w:t>
            </w:r>
          </w:p>
        </w:tc>
        <w:tc>
          <w:tcPr>
            <w:tcW w:w="1800" w:type="dxa"/>
            <w:tcMar>
              <w:top w:w="28" w:type="dxa"/>
            </w:tcMar>
          </w:tcPr>
          <w:p w14:paraId="3A0B7F58"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198 </w:t>
            </w:r>
          </w:p>
        </w:tc>
        <w:tc>
          <w:tcPr>
            <w:tcW w:w="1800" w:type="dxa"/>
            <w:tcMar>
              <w:top w:w="28" w:type="dxa"/>
            </w:tcMar>
          </w:tcPr>
          <w:p w14:paraId="6621369F"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144 </w:t>
            </w:r>
          </w:p>
        </w:tc>
      </w:tr>
      <w:tr w:rsidR="00A17C17" w:rsidRPr="00E70587" w14:paraId="57039141" w14:textId="77777777" w:rsidTr="00834981">
        <w:tc>
          <w:tcPr>
            <w:tcW w:w="5940" w:type="dxa"/>
            <w:tcMar>
              <w:top w:w="28" w:type="dxa"/>
            </w:tcMar>
            <w:vAlign w:val="bottom"/>
          </w:tcPr>
          <w:p w14:paraId="6B6EBE13"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Termination benefits</w:t>
            </w:r>
          </w:p>
        </w:tc>
        <w:tc>
          <w:tcPr>
            <w:tcW w:w="1800" w:type="dxa"/>
            <w:tcMar>
              <w:top w:w="28" w:type="dxa"/>
            </w:tcMar>
          </w:tcPr>
          <w:p w14:paraId="127EDE35"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72 </w:t>
            </w:r>
          </w:p>
        </w:tc>
        <w:tc>
          <w:tcPr>
            <w:tcW w:w="1800" w:type="dxa"/>
            <w:tcMar>
              <w:top w:w="28" w:type="dxa"/>
            </w:tcMar>
          </w:tcPr>
          <w:p w14:paraId="281F621C"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w:t>
            </w:r>
          </w:p>
        </w:tc>
      </w:tr>
      <w:tr w:rsidR="00A17C17" w:rsidRPr="00E70587" w14:paraId="7FF10302" w14:textId="77777777" w:rsidTr="00834981">
        <w:tc>
          <w:tcPr>
            <w:tcW w:w="5940" w:type="dxa"/>
            <w:tcMar>
              <w:top w:w="28" w:type="dxa"/>
            </w:tcMar>
            <w:vAlign w:val="center"/>
          </w:tcPr>
          <w:p w14:paraId="3EE85696"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Share-based payment transactions</w:t>
            </w:r>
          </w:p>
        </w:tc>
        <w:tc>
          <w:tcPr>
            <w:tcW w:w="1800" w:type="dxa"/>
            <w:tcBorders>
              <w:bottom w:val="single" w:sz="4" w:space="0" w:color="auto"/>
            </w:tcBorders>
            <w:tcMar>
              <w:top w:w="28" w:type="dxa"/>
            </w:tcMar>
          </w:tcPr>
          <w:p w14:paraId="724E8883"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32 </w:t>
            </w:r>
          </w:p>
        </w:tc>
        <w:tc>
          <w:tcPr>
            <w:tcW w:w="1800" w:type="dxa"/>
            <w:tcBorders>
              <w:bottom w:val="single" w:sz="4" w:space="0" w:color="auto"/>
            </w:tcBorders>
            <w:tcMar>
              <w:top w:w="28" w:type="dxa"/>
            </w:tcMar>
          </w:tcPr>
          <w:p w14:paraId="49D8097E"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22 </w:t>
            </w:r>
          </w:p>
        </w:tc>
      </w:tr>
      <w:tr w:rsidR="00A17C17" w:rsidRPr="00E70587" w14:paraId="561CB976" w14:textId="77777777" w:rsidTr="00834981">
        <w:tc>
          <w:tcPr>
            <w:tcW w:w="5940" w:type="dxa"/>
            <w:tcMar>
              <w:top w:w="28" w:type="dxa"/>
            </w:tcMar>
            <w:vAlign w:val="center"/>
          </w:tcPr>
          <w:p w14:paraId="5C0D5491"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compensation paid to key management personnel</w:t>
            </w:r>
          </w:p>
        </w:tc>
        <w:tc>
          <w:tcPr>
            <w:tcW w:w="1800" w:type="dxa"/>
            <w:tcBorders>
              <w:top w:val="single" w:sz="4" w:space="0" w:color="auto"/>
            </w:tcBorders>
            <w:tcMar>
              <w:top w:w="28" w:type="dxa"/>
            </w:tcMar>
          </w:tcPr>
          <w:p w14:paraId="06722DCC"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 1,085 </w:t>
            </w:r>
          </w:p>
        </w:tc>
        <w:tc>
          <w:tcPr>
            <w:tcW w:w="1800" w:type="dxa"/>
            <w:tcBorders>
              <w:top w:val="single" w:sz="4" w:space="0" w:color="auto"/>
            </w:tcBorders>
            <w:tcMar>
              <w:top w:w="28" w:type="dxa"/>
            </w:tcMar>
          </w:tcPr>
          <w:p w14:paraId="6553ACE5"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 929 </w:t>
            </w:r>
          </w:p>
        </w:tc>
      </w:tr>
    </w:tbl>
    <w:p w14:paraId="2703CFC4" w14:textId="77777777" w:rsidR="0071020B" w:rsidRPr="00E70587" w:rsidRDefault="0071020B" w:rsidP="006406AD">
      <w:pPr>
        <w:spacing w:line="280" w:lineRule="exact"/>
        <w:jc w:val="both"/>
        <w:rPr>
          <w:rFonts w:ascii="Arial" w:hAnsi="Arial" w:cs="Arial"/>
          <w:sz w:val="20"/>
        </w:rPr>
      </w:pPr>
    </w:p>
    <w:tbl>
      <w:tblPr>
        <w:tblW w:w="9576" w:type="dxa"/>
        <w:tblLook w:val="0000" w:firstRow="0" w:lastRow="0" w:firstColumn="0" w:lastColumn="0" w:noHBand="0" w:noVBand="0"/>
      </w:tblPr>
      <w:tblGrid>
        <w:gridCol w:w="9576"/>
      </w:tblGrid>
      <w:tr w:rsidR="00A17C17" w:rsidRPr="00E70587" w14:paraId="4240C265" w14:textId="77777777" w:rsidTr="00834981">
        <w:tc>
          <w:tcPr>
            <w:tcW w:w="0" w:type="auto"/>
          </w:tcPr>
          <w:p w14:paraId="58465B42" w14:textId="77777777" w:rsidR="00A17C17" w:rsidRPr="00E70587" w:rsidRDefault="00A17C17" w:rsidP="006406AD">
            <w:pPr>
              <w:pStyle w:val="Notesbodytext"/>
              <w:spacing w:after="0" w:line="280" w:lineRule="exact"/>
              <w:jc w:val="both"/>
              <w:rPr>
                <w:rFonts w:ascii="Arial" w:hAnsi="Arial"/>
                <w:color w:val="auto"/>
                <w:sz w:val="20"/>
              </w:rPr>
            </w:pPr>
            <w:r w:rsidRPr="00E70587">
              <w:rPr>
                <w:rFonts w:ascii="Arial" w:hAnsi="Arial"/>
                <w:color w:val="auto"/>
                <w:sz w:val="20"/>
              </w:rPr>
              <w:t>The amounts disclosed in the table are the amounts recognised as an expense during the reporting period related to key management personnel.</w:t>
            </w:r>
          </w:p>
          <w:p w14:paraId="1E27D0A4" w14:textId="77777777" w:rsidR="00A17C17" w:rsidRPr="00E70587" w:rsidRDefault="00A17C17" w:rsidP="006406AD">
            <w:pPr>
              <w:spacing w:line="280" w:lineRule="exact"/>
              <w:jc w:val="both"/>
              <w:rPr>
                <w:rFonts w:ascii="Arial" w:hAnsi="Arial" w:cs="Arial"/>
                <w:sz w:val="20"/>
              </w:rPr>
            </w:pPr>
          </w:p>
          <w:p w14:paraId="787BD900" w14:textId="1045D7C1" w:rsidR="00A17C17" w:rsidRPr="00E70587" w:rsidRDefault="00A17C17" w:rsidP="006406AD">
            <w:pPr>
              <w:spacing w:line="280" w:lineRule="exact"/>
              <w:jc w:val="both"/>
              <w:rPr>
                <w:rFonts w:ascii="Arial" w:hAnsi="Arial" w:cs="Arial"/>
                <w:sz w:val="20"/>
              </w:rPr>
            </w:pPr>
            <w:r w:rsidRPr="00E70587">
              <w:rPr>
                <w:rFonts w:ascii="Arial" w:hAnsi="Arial" w:cs="Arial"/>
                <w:sz w:val="20"/>
              </w:rPr>
              <w:t xml:space="preserve">Generally, the non-executive directors do not receive gratuity entitlements from the Group. During 31 </w:t>
            </w:r>
            <w:r w:rsidR="00E1202D" w:rsidRPr="00E70587">
              <w:rPr>
                <w:rFonts w:ascii="Arial" w:hAnsi="Arial" w:cs="Arial"/>
                <w:sz w:val="20"/>
              </w:rPr>
              <w:t xml:space="preserve">March </w:t>
            </w:r>
            <w:r w:rsidR="007A7CFB" w:rsidRPr="00E70587">
              <w:rPr>
                <w:rFonts w:ascii="Arial" w:hAnsi="Arial" w:cs="Arial"/>
                <w:sz w:val="20"/>
              </w:rPr>
              <w:t>20</w:t>
            </w:r>
            <w:r w:rsidR="007A7CFB">
              <w:rPr>
                <w:rFonts w:ascii="Arial" w:hAnsi="Arial" w:cs="Arial"/>
                <w:sz w:val="20"/>
              </w:rPr>
              <w:t>21</w:t>
            </w:r>
            <w:r w:rsidRPr="00E70587">
              <w:rPr>
                <w:rFonts w:ascii="Arial" w:hAnsi="Arial" w:cs="Arial"/>
                <w:sz w:val="20"/>
              </w:rPr>
              <w:t xml:space="preserve">, an amount of INR 72 was paid to a director who retired from an executive </w:t>
            </w:r>
            <w:bookmarkStart w:id="21" w:name="_Toc146983837"/>
            <w:r w:rsidRPr="00E70587">
              <w:rPr>
                <w:rFonts w:ascii="Arial" w:hAnsi="Arial" w:cs="Arial"/>
                <w:sz w:val="20"/>
              </w:rPr>
              <w:t xml:space="preserve">director’s position in 31 </w:t>
            </w:r>
            <w:r w:rsidR="008B730E" w:rsidRPr="00E70587">
              <w:rPr>
                <w:rFonts w:ascii="Arial" w:hAnsi="Arial" w:cs="Arial"/>
                <w:sz w:val="20"/>
              </w:rPr>
              <w:t xml:space="preserve">March </w:t>
            </w:r>
            <w:r w:rsidR="007A7CFB" w:rsidRPr="00E70587">
              <w:rPr>
                <w:rFonts w:ascii="Arial" w:hAnsi="Arial" w:cs="Arial"/>
                <w:sz w:val="20"/>
              </w:rPr>
              <w:t>20</w:t>
            </w:r>
            <w:r w:rsidR="007A7CFB">
              <w:rPr>
                <w:rFonts w:ascii="Arial" w:hAnsi="Arial" w:cs="Arial"/>
                <w:sz w:val="20"/>
              </w:rPr>
              <w:t>20</w:t>
            </w:r>
            <w:r w:rsidRPr="00E70587">
              <w:rPr>
                <w:rFonts w:ascii="Arial" w:hAnsi="Arial" w:cs="Arial"/>
                <w:sz w:val="20"/>
              </w:rPr>
              <w:t>.</w:t>
            </w:r>
            <w:bookmarkEnd w:id="21"/>
          </w:p>
        </w:tc>
      </w:tr>
    </w:tbl>
    <w:p w14:paraId="496E7E06" w14:textId="77777777" w:rsidR="0071020B" w:rsidRPr="00E70587" w:rsidRDefault="0071020B" w:rsidP="006406AD">
      <w:pPr>
        <w:pStyle w:val="Notesitalicheading"/>
        <w:spacing w:line="280" w:lineRule="exact"/>
        <w:jc w:val="both"/>
        <w:rPr>
          <w:rFonts w:ascii="Arial" w:hAnsi="Arial"/>
          <w:b w:val="0"/>
          <w:color w:val="auto"/>
          <w:sz w:val="20"/>
        </w:rPr>
      </w:pPr>
    </w:p>
    <w:tbl>
      <w:tblPr>
        <w:tblW w:w="9576" w:type="dxa"/>
        <w:tblLook w:val="0000" w:firstRow="0" w:lastRow="0" w:firstColumn="0" w:lastColumn="0" w:noHBand="0" w:noVBand="0"/>
      </w:tblPr>
      <w:tblGrid>
        <w:gridCol w:w="9576"/>
      </w:tblGrid>
      <w:tr w:rsidR="00A17C17" w:rsidRPr="00E70587" w14:paraId="7107ECA0" w14:textId="77777777" w:rsidTr="00834981">
        <w:tc>
          <w:tcPr>
            <w:tcW w:w="0" w:type="auto"/>
          </w:tcPr>
          <w:p w14:paraId="2EE58426" w14:textId="77777777" w:rsidR="00A17C17" w:rsidRPr="00E70587" w:rsidRDefault="00A17C17" w:rsidP="006406AD">
            <w:pPr>
              <w:pStyle w:val="Notesitalicheading"/>
              <w:spacing w:line="280" w:lineRule="exact"/>
              <w:jc w:val="both"/>
              <w:rPr>
                <w:rFonts w:ascii="Arial" w:hAnsi="Arial"/>
                <w:color w:val="auto"/>
                <w:sz w:val="20"/>
              </w:rPr>
            </w:pPr>
            <w:r w:rsidRPr="00E70587">
              <w:rPr>
                <w:rFonts w:ascii="Arial" w:hAnsi="Arial"/>
                <w:color w:val="auto"/>
                <w:sz w:val="20"/>
              </w:rPr>
              <w:t>Directors’ interests in the Senior Executive Plan</w:t>
            </w:r>
          </w:p>
          <w:p w14:paraId="360B62B9" w14:textId="77777777" w:rsidR="00A17C17" w:rsidRPr="00E70587" w:rsidRDefault="00A17C17" w:rsidP="006406AD">
            <w:pPr>
              <w:pStyle w:val="Notesitalicheading"/>
              <w:spacing w:line="280" w:lineRule="exact"/>
              <w:jc w:val="both"/>
              <w:rPr>
                <w:rFonts w:ascii="Arial" w:hAnsi="Arial"/>
                <w:b w:val="0"/>
                <w:color w:val="auto"/>
                <w:sz w:val="20"/>
              </w:rPr>
            </w:pPr>
          </w:p>
          <w:p w14:paraId="6DD72088" w14:textId="77777777" w:rsidR="00A17C17" w:rsidRPr="00E70587" w:rsidRDefault="00A17C17" w:rsidP="006406AD">
            <w:pPr>
              <w:pStyle w:val="Notesitalicheading"/>
              <w:spacing w:line="280" w:lineRule="exact"/>
              <w:jc w:val="both"/>
              <w:rPr>
                <w:rFonts w:ascii="Arial" w:hAnsi="Arial"/>
                <w:b w:val="0"/>
                <w:i w:val="0"/>
                <w:color w:val="auto"/>
                <w:sz w:val="20"/>
              </w:rPr>
            </w:pPr>
            <w:r w:rsidRPr="00E70587">
              <w:rPr>
                <w:rFonts w:ascii="Arial" w:hAnsi="Arial"/>
                <w:b w:val="0"/>
                <w:i w:val="0"/>
                <w:color w:val="auto"/>
                <w:sz w:val="20"/>
              </w:rPr>
              <w:t>Share options held by executive members of the Board of Directors under the Senior Executive Plan to purchase Equity shares have the following expiry dates and exercise prices</w:t>
            </w:r>
          </w:p>
        </w:tc>
      </w:tr>
    </w:tbl>
    <w:p w14:paraId="580DB3A1" w14:textId="77777777" w:rsidR="0071020B" w:rsidRPr="00E70587" w:rsidRDefault="0071020B" w:rsidP="009901E1">
      <w:pPr>
        <w:pStyle w:val="Notesitalicheading"/>
        <w:spacing w:line="280" w:lineRule="exact"/>
        <w:rPr>
          <w:rFonts w:ascii="Arial" w:hAnsi="Arial"/>
          <w:b w:val="0"/>
          <w:color w:val="auto"/>
          <w:sz w:val="20"/>
        </w:rPr>
      </w:pPr>
    </w:p>
    <w:tbl>
      <w:tblPr>
        <w:tblW w:w="9540" w:type="dxa"/>
        <w:tblBorders>
          <w:bottom w:val="single" w:sz="4" w:space="0" w:color="auto"/>
        </w:tblBorders>
        <w:tblLayout w:type="fixed"/>
        <w:tblCellMar>
          <w:left w:w="72" w:type="dxa"/>
          <w:right w:w="72" w:type="dxa"/>
        </w:tblCellMar>
        <w:tblLook w:val="01E0" w:firstRow="1" w:lastRow="1" w:firstColumn="1" w:lastColumn="1" w:noHBand="0" w:noVBand="0"/>
      </w:tblPr>
      <w:tblGrid>
        <w:gridCol w:w="2610"/>
        <w:gridCol w:w="1732"/>
        <w:gridCol w:w="1733"/>
        <w:gridCol w:w="1732"/>
        <w:gridCol w:w="1733"/>
      </w:tblGrid>
      <w:tr w:rsidR="00330EAA" w:rsidRPr="00E70587" w14:paraId="0C6D53E0" w14:textId="77777777" w:rsidTr="005F6E20">
        <w:tc>
          <w:tcPr>
            <w:tcW w:w="2610" w:type="dxa"/>
            <w:tcMar>
              <w:left w:w="108" w:type="dxa"/>
              <w:right w:w="108" w:type="dxa"/>
            </w:tcMar>
            <w:vAlign w:val="bottom"/>
          </w:tcPr>
          <w:p w14:paraId="20B10AEC" w14:textId="77777777" w:rsidR="00330EAA" w:rsidRPr="00E70587" w:rsidRDefault="00330EA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Issue date</w:t>
            </w:r>
          </w:p>
        </w:tc>
        <w:tc>
          <w:tcPr>
            <w:tcW w:w="1732" w:type="dxa"/>
            <w:tcBorders>
              <w:bottom w:val="single" w:sz="4" w:space="0" w:color="auto"/>
            </w:tcBorders>
            <w:tcMar>
              <w:left w:w="108" w:type="dxa"/>
              <w:right w:w="108" w:type="dxa"/>
            </w:tcMar>
            <w:vAlign w:val="bottom"/>
          </w:tcPr>
          <w:p w14:paraId="42FCB4A2" w14:textId="77777777"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Expiry date</w:t>
            </w:r>
          </w:p>
        </w:tc>
        <w:tc>
          <w:tcPr>
            <w:tcW w:w="1733" w:type="dxa"/>
            <w:tcBorders>
              <w:bottom w:val="single" w:sz="4" w:space="0" w:color="auto"/>
            </w:tcBorders>
            <w:tcMar>
              <w:left w:w="108" w:type="dxa"/>
              <w:right w:w="108" w:type="dxa"/>
            </w:tcMar>
            <w:vAlign w:val="bottom"/>
          </w:tcPr>
          <w:p w14:paraId="73AA8DD4" w14:textId="77777777"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Exercise price</w:t>
            </w:r>
          </w:p>
        </w:tc>
        <w:tc>
          <w:tcPr>
            <w:tcW w:w="1732" w:type="dxa"/>
            <w:tcBorders>
              <w:bottom w:val="single" w:sz="4" w:space="0" w:color="auto"/>
            </w:tcBorders>
            <w:tcMar>
              <w:left w:w="108" w:type="dxa"/>
              <w:right w:w="108" w:type="dxa"/>
            </w:tcMar>
            <w:vAlign w:val="bottom"/>
          </w:tcPr>
          <w:p w14:paraId="710FFC31" w14:textId="568620E2"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7A7CFB" w:rsidRPr="00E70587">
              <w:rPr>
                <w:rFonts w:ascii="Arial" w:hAnsi="Arial"/>
                <w:color w:val="auto"/>
                <w:sz w:val="20"/>
                <w:szCs w:val="20"/>
                <w:lang w:val="en-IN"/>
              </w:rPr>
              <w:t>20</w:t>
            </w:r>
            <w:r w:rsidR="007A7CFB">
              <w:rPr>
                <w:rFonts w:ascii="Arial" w:hAnsi="Arial"/>
                <w:color w:val="auto"/>
                <w:sz w:val="20"/>
                <w:szCs w:val="20"/>
                <w:lang w:val="en-IN"/>
              </w:rPr>
              <w:t>21</w:t>
            </w:r>
          </w:p>
        </w:tc>
        <w:tc>
          <w:tcPr>
            <w:tcW w:w="1733" w:type="dxa"/>
            <w:tcBorders>
              <w:bottom w:val="single" w:sz="4" w:space="0" w:color="auto"/>
            </w:tcBorders>
            <w:tcMar>
              <w:left w:w="108" w:type="dxa"/>
              <w:right w:w="108" w:type="dxa"/>
            </w:tcMar>
            <w:vAlign w:val="bottom"/>
          </w:tcPr>
          <w:p w14:paraId="0D4ADF83" w14:textId="72A8674C"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7A7CFB" w:rsidRPr="00E70587">
              <w:rPr>
                <w:rFonts w:ascii="Arial" w:hAnsi="Arial"/>
                <w:color w:val="auto"/>
                <w:sz w:val="20"/>
                <w:szCs w:val="20"/>
                <w:lang w:val="en-IN"/>
              </w:rPr>
              <w:t>20</w:t>
            </w:r>
            <w:r w:rsidR="007A7CFB">
              <w:rPr>
                <w:rFonts w:ascii="Arial" w:hAnsi="Arial"/>
                <w:color w:val="auto"/>
                <w:sz w:val="20"/>
                <w:szCs w:val="20"/>
                <w:lang w:val="en-IN"/>
              </w:rPr>
              <w:t>20</w:t>
            </w:r>
          </w:p>
        </w:tc>
      </w:tr>
      <w:tr w:rsidR="00330EAA" w:rsidRPr="00E70587" w14:paraId="1A596969" w14:textId="77777777" w:rsidTr="005F6E20">
        <w:tc>
          <w:tcPr>
            <w:tcW w:w="2610" w:type="dxa"/>
            <w:tcMar>
              <w:left w:w="108" w:type="dxa"/>
              <w:right w:w="108" w:type="dxa"/>
            </w:tcMar>
            <w:vAlign w:val="center"/>
          </w:tcPr>
          <w:p w14:paraId="59375D17" w14:textId="77777777" w:rsidR="00330EAA" w:rsidRPr="00E70587" w:rsidRDefault="00330EAA" w:rsidP="009901E1">
            <w:pPr>
              <w:pStyle w:val="tabletext"/>
              <w:spacing w:line="280" w:lineRule="exact"/>
              <w:rPr>
                <w:rFonts w:ascii="Arial" w:hAnsi="Arial" w:cs="Arial"/>
                <w:sz w:val="20"/>
                <w:lang w:val="en-IN"/>
              </w:rPr>
            </w:pPr>
          </w:p>
        </w:tc>
        <w:tc>
          <w:tcPr>
            <w:tcW w:w="1732" w:type="dxa"/>
            <w:tcBorders>
              <w:top w:val="single" w:sz="4" w:space="0" w:color="auto"/>
            </w:tcBorders>
            <w:tcMar>
              <w:left w:w="108" w:type="dxa"/>
              <w:right w:w="108" w:type="dxa"/>
            </w:tcMar>
            <w:vAlign w:val="center"/>
          </w:tcPr>
          <w:p w14:paraId="3BFB1558" w14:textId="77777777" w:rsidR="00330EAA" w:rsidRPr="00E70587" w:rsidRDefault="00330EAA" w:rsidP="009901E1">
            <w:pPr>
              <w:pStyle w:val="Tablecolumnheading"/>
              <w:spacing w:line="280" w:lineRule="exact"/>
              <w:rPr>
                <w:rFonts w:ascii="Arial" w:hAnsi="Arial"/>
                <w:color w:val="auto"/>
                <w:sz w:val="20"/>
                <w:szCs w:val="20"/>
                <w:lang w:val="en-IN"/>
              </w:rPr>
            </w:pPr>
          </w:p>
        </w:tc>
        <w:tc>
          <w:tcPr>
            <w:tcW w:w="1733" w:type="dxa"/>
            <w:tcBorders>
              <w:top w:val="single" w:sz="4" w:space="0" w:color="auto"/>
            </w:tcBorders>
            <w:tcMar>
              <w:left w:w="108" w:type="dxa"/>
              <w:right w:w="108" w:type="dxa"/>
            </w:tcMar>
            <w:vAlign w:val="center"/>
          </w:tcPr>
          <w:p w14:paraId="2A6EB094" w14:textId="77777777" w:rsidR="00330EAA" w:rsidRPr="00E70587" w:rsidRDefault="00330EAA" w:rsidP="009901E1">
            <w:pPr>
              <w:pStyle w:val="Tablecolumnheading"/>
              <w:spacing w:line="280" w:lineRule="exact"/>
              <w:rPr>
                <w:rFonts w:ascii="Arial" w:hAnsi="Arial"/>
                <w:color w:val="auto"/>
                <w:sz w:val="20"/>
                <w:szCs w:val="20"/>
                <w:lang w:val="en-IN"/>
              </w:rPr>
            </w:pPr>
          </w:p>
        </w:tc>
        <w:tc>
          <w:tcPr>
            <w:tcW w:w="1732" w:type="dxa"/>
            <w:tcBorders>
              <w:top w:val="single" w:sz="4" w:space="0" w:color="auto"/>
            </w:tcBorders>
            <w:tcMar>
              <w:left w:w="28" w:type="dxa"/>
              <w:right w:w="108" w:type="dxa"/>
            </w:tcMar>
            <w:vAlign w:val="center"/>
          </w:tcPr>
          <w:p w14:paraId="7378EEE9" w14:textId="77777777"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Number outstanding</w:t>
            </w:r>
          </w:p>
        </w:tc>
        <w:tc>
          <w:tcPr>
            <w:tcW w:w="1733" w:type="dxa"/>
            <w:tcBorders>
              <w:top w:val="single" w:sz="4" w:space="0" w:color="auto"/>
            </w:tcBorders>
            <w:tcMar>
              <w:left w:w="28" w:type="dxa"/>
              <w:right w:w="108" w:type="dxa"/>
            </w:tcMar>
            <w:vAlign w:val="center"/>
          </w:tcPr>
          <w:p w14:paraId="017255FD" w14:textId="77777777"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Number outstanding</w:t>
            </w:r>
          </w:p>
        </w:tc>
      </w:tr>
      <w:tr w:rsidR="00330EAA" w:rsidRPr="00E70587" w14:paraId="2261401D" w14:textId="77777777" w:rsidTr="005F6E20">
        <w:tc>
          <w:tcPr>
            <w:tcW w:w="2610" w:type="dxa"/>
            <w:tcMar>
              <w:left w:w="108" w:type="dxa"/>
              <w:right w:w="108" w:type="dxa"/>
            </w:tcMar>
            <w:vAlign w:val="center"/>
          </w:tcPr>
          <w:p w14:paraId="732D91D9" w14:textId="418FCFB6"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March </w:t>
            </w:r>
            <w:r w:rsidR="007A7CFB" w:rsidRPr="00E70587">
              <w:rPr>
                <w:rFonts w:ascii="Arial" w:hAnsi="Arial" w:cs="Arial"/>
                <w:sz w:val="20"/>
                <w:lang w:val="en-IN"/>
              </w:rPr>
              <w:t>20</w:t>
            </w:r>
            <w:r w:rsidR="007A7CFB">
              <w:rPr>
                <w:rFonts w:ascii="Arial" w:hAnsi="Arial" w:cs="Arial"/>
                <w:sz w:val="20"/>
                <w:lang w:val="en-IN"/>
              </w:rPr>
              <w:t>20</w:t>
            </w:r>
          </w:p>
        </w:tc>
        <w:tc>
          <w:tcPr>
            <w:tcW w:w="1732" w:type="dxa"/>
            <w:tcMar>
              <w:left w:w="108" w:type="dxa"/>
              <w:right w:w="108" w:type="dxa"/>
            </w:tcMar>
            <w:vAlign w:val="center"/>
          </w:tcPr>
          <w:p w14:paraId="364119B9" w14:textId="452051C2" w:rsidR="00330EAA" w:rsidRPr="00E70587" w:rsidRDefault="007A7CFB"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20</w:t>
            </w:r>
            <w:r>
              <w:rPr>
                <w:rFonts w:ascii="Arial" w:hAnsi="Arial" w:cs="Arial"/>
                <w:sz w:val="20"/>
                <w:lang w:val="en-IN"/>
              </w:rPr>
              <w:t>2</w:t>
            </w:r>
            <w:r w:rsidR="0031035D">
              <w:rPr>
                <w:rFonts w:ascii="Arial" w:hAnsi="Arial" w:cs="Arial"/>
                <w:sz w:val="20"/>
                <w:lang w:val="en-IN"/>
              </w:rPr>
              <w:t>3</w:t>
            </w:r>
          </w:p>
        </w:tc>
        <w:tc>
          <w:tcPr>
            <w:tcW w:w="1733" w:type="dxa"/>
            <w:tcMar>
              <w:left w:w="108" w:type="dxa"/>
              <w:right w:w="108" w:type="dxa"/>
            </w:tcMar>
            <w:vAlign w:val="center"/>
          </w:tcPr>
          <w:p w14:paraId="7A848F04"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2.33</w:t>
            </w:r>
          </w:p>
        </w:tc>
        <w:tc>
          <w:tcPr>
            <w:tcW w:w="1732" w:type="dxa"/>
            <w:tcMar>
              <w:left w:w="108" w:type="dxa"/>
              <w:right w:w="108" w:type="dxa"/>
            </w:tcMar>
            <w:vAlign w:val="center"/>
          </w:tcPr>
          <w:p w14:paraId="4A6F913A"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18,000</w:t>
            </w:r>
          </w:p>
        </w:tc>
        <w:tc>
          <w:tcPr>
            <w:tcW w:w="1733" w:type="dxa"/>
            <w:tcMar>
              <w:left w:w="108" w:type="dxa"/>
              <w:right w:w="108" w:type="dxa"/>
            </w:tcMar>
            <w:vAlign w:val="center"/>
          </w:tcPr>
          <w:p w14:paraId="352332D1"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18,000</w:t>
            </w:r>
          </w:p>
        </w:tc>
      </w:tr>
      <w:tr w:rsidR="00330EAA" w:rsidRPr="00E70587" w14:paraId="696ABBBF" w14:textId="77777777" w:rsidTr="005F6E20">
        <w:tc>
          <w:tcPr>
            <w:tcW w:w="2610" w:type="dxa"/>
            <w:tcBorders>
              <w:bottom w:val="nil"/>
            </w:tcBorders>
            <w:tcMar>
              <w:left w:w="108" w:type="dxa"/>
              <w:right w:w="108" w:type="dxa"/>
            </w:tcMar>
            <w:vAlign w:val="center"/>
          </w:tcPr>
          <w:p w14:paraId="07E55741" w14:textId="03ED54C0"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March </w:t>
            </w:r>
            <w:r w:rsidR="007A7CFB" w:rsidRPr="00E70587">
              <w:rPr>
                <w:rFonts w:ascii="Arial" w:hAnsi="Arial" w:cs="Arial"/>
                <w:sz w:val="20"/>
                <w:lang w:val="en-IN"/>
              </w:rPr>
              <w:t>20</w:t>
            </w:r>
            <w:r w:rsidR="007A7CFB">
              <w:rPr>
                <w:rFonts w:ascii="Arial" w:hAnsi="Arial" w:cs="Arial"/>
                <w:sz w:val="20"/>
                <w:lang w:val="en-IN"/>
              </w:rPr>
              <w:t>20</w:t>
            </w:r>
          </w:p>
        </w:tc>
        <w:tc>
          <w:tcPr>
            <w:tcW w:w="1732" w:type="dxa"/>
            <w:tcBorders>
              <w:bottom w:val="nil"/>
            </w:tcBorders>
            <w:tcMar>
              <w:left w:w="108" w:type="dxa"/>
              <w:right w:w="108" w:type="dxa"/>
            </w:tcMar>
            <w:vAlign w:val="center"/>
          </w:tcPr>
          <w:p w14:paraId="04510D5E" w14:textId="42D8F1FD" w:rsidR="00330EAA" w:rsidRPr="00E70587" w:rsidRDefault="007A7CFB"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20</w:t>
            </w:r>
            <w:r>
              <w:rPr>
                <w:rFonts w:ascii="Arial" w:hAnsi="Arial" w:cs="Arial"/>
                <w:sz w:val="20"/>
                <w:lang w:val="en-IN"/>
              </w:rPr>
              <w:t>2</w:t>
            </w:r>
            <w:r w:rsidR="0031035D">
              <w:rPr>
                <w:rFonts w:ascii="Arial" w:hAnsi="Arial" w:cs="Arial"/>
                <w:sz w:val="20"/>
                <w:lang w:val="en-IN"/>
              </w:rPr>
              <w:t>3</w:t>
            </w:r>
          </w:p>
        </w:tc>
        <w:tc>
          <w:tcPr>
            <w:tcW w:w="1733" w:type="dxa"/>
            <w:tcBorders>
              <w:bottom w:val="nil"/>
            </w:tcBorders>
            <w:tcMar>
              <w:left w:w="108" w:type="dxa"/>
              <w:right w:w="108" w:type="dxa"/>
            </w:tcMar>
            <w:vAlign w:val="center"/>
          </w:tcPr>
          <w:p w14:paraId="347A7DD4"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3.13</w:t>
            </w:r>
          </w:p>
        </w:tc>
        <w:tc>
          <w:tcPr>
            <w:tcW w:w="1732" w:type="dxa"/>
            <w:tcBorders>
              <w:bottom w:val="nil"/>
            </w:tcBorders>
            <w:tcMar>
              <w:left w:w="108" w:type="dxa"/>
              <w:right w:w="108" w:type="dxa"/>
            </w:tcMar>
            <w:vAlign w:val="center"/>
          </w:tcPr>
          <w:p w14:paraId="5A3A0E13"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149,000</w:t>
            </w:r>
          </w:p>
        </w:tc>
        <w:tc>
          <w:tcPr>
            <w:tcW w:w="1733" w:type="dxa"/>
            <w:tcBorders>
              <w:bottom w:val="nil"/>
            </w:tcBorders>
            <w:tcMar>
              <w:left w:w="108" w:type="dxa"/>
              <w:right w:w="108" w:type="dxa"/>
            </w:tcMar>
            <w:vAlign w:val="center"/>
          </w:tcPr>
          <w:p w14:paraId="003AC380"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149,000</w:t>
            </w:r>
          </w:p>
        </w:tc>
      </w:tr>
      <w:tr w:rsidR="00330EAA" w:rsidRPr="00E70587" w14:paraId="420D8539" w14:textId="77777777" w:rsidTr="005F6E20">
        <w:tc>
          <w:tcPr>
            <w:tcW w:w="2610" w:type="dxa"/>
            <w:tcMar>
              <w:left w:w="108" w:type="dxa"/>
              <w:right w:w="108" w:type="dxa"/>
            </w:tcMar>
            <w:vAlign w:val="center"/>
          </w:tcPr>
          <w:p w14:paraId="3EB17BB5" w14:textId="17C83F25"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lastRenderedPageBreak/>
              <w:t xml:space="preserve">31 March </w:t>
            </w:r>
            <w:r w:rsidR="007A7CFB" w:rsidRPr="00E70587">
              <w:rPr>
                <w:rFonts w:ascii="Arial" w:hAnsi="Arial" w:cs="Arial"/>
                <w:sz w:val="20"/>
                <w:lang w:val="en-IN"/>
              </w:rPr>
              <w:t>20</w:t>
            </w:r>
            <w:r w:rsidR="007A7CFB">
              <w:rPr>
                <w:rFonts w:ascii="Arial" w:hAnsi="Arial" w:cs="Arial"/>
                <w:sz w:val="20"/>
                <w:lang w:val="en-IN"/>
              </w:rPr>
              <w:t>21</w:t>
            </w:r>
          </w:p>
        </w:tc>
        <w:tc>
          <w:tcPr>
            <w:tcW w:w="1732" w:type="dxa"/>
            <w:tcMar>
              <w:left w:w="108" w:type="dxa"/>
              <w:right w:w="108" w:type="dxa"/>
            </w:tcMar>
            <w:vAlign w:val="center"/>
          </w:tcPr>
          <w:p w14:paraId="39E3B781" w14:textId="782B25CF" w:rsidR="00330EAA" w:rsidRPr="00E70587" w:rsidRDefault="007A7CFB"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20</w:t>
            </w:r>
            <w:r>
              <w:rPr>
                <w:rFonts w:ascii="Arial" w:hAnsi="Arial" w:cs="Arial"/>
                <w:sz w:val="20"/>
                <w:lang w:val="en-IN"/>
              </w:rPr>
              <w:t>2</w:t>
            </w:r>
            <w:r w:rsidR="0031035D">
              <w:rPr>
                <w:rFonts w:ascii="Arial" w:hAnsi="Arial" w:cs="Arial"/>
                <w:sz w:val="20"/>
                <w:lang w:val="en-IN"/>
              </w:rPr>
              <w:t>4</w:t>
            </w:r>
          </w:p>
        </w:tc>
        <w:tc>
          <w:tcPr>
            <w:tcW w:w="1733" w:type="dxa"/>
            <w:tcMar>
              <w:left w:w="108" w:type="dxa"/>
              <w:right w:w="108" w:type="dxa"/>
            </w:tcMar>
            <w:vAlign w:val="center"/>
          </w:tcPr>
          <w:p w14:paraId="7003A727"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INR 3.85</w:t>
            </w:r>
          </w:p>
        </w:tc>
        <w:tc>
          <w:tcPr>
            <w:tcW w:w="1732" w:type="dxa"/>
            <w:tcMar>
              <w:left w:w="108" w:type="dxa"/>
              <w:right w:w="108" w:type="dxa"/>
            </w:tcMar>
            <w:vAlign w:val="center"/>
          </w:tcPr>
          <w:p w14:paraId="57307475" w14:textId="77777777" w:rsidR="00330EAA" w:rsidRPr="00E70587" w:rsidRDefault="00330EAA" w:rsidP="009901E1">
            <w:pPr>
              <w:pStyle w:val="tabletext"/>
              <w:overflowPunct w:val="0"/>
              <w:autoSpaceDE w:val="0"/>
              <w:autoSpaceDN w:val="0"/>
              <w:adjustRightInd w:val="0"/>
              <w:spacing w:line="280" w:lineRule="exact"/>
              <w:ind w:left="113"/>
              <w:jc w:val="right"/>
              <w:textAlignment w:val="baseline"/>
              <w:rPr>
                <w:rFonts w:ascii="Arial" w:hAnsi="Arial" w:cs="Arial"/>
                <w:sz w:val="20"/>
                <w:lang w:val="en-IN"/>
              </w:rPr>
            </w:pPr>
            <w:r w:rsidRPr="00E70587">
              <w:rPr>
                <w:rFonts w:ascii="Arial" w:hAnsi="Arial" w:cs="Arial"/>
                <w:sz w:val="20"/>
                <w:lang w:val="en-IN"/>
              </w:rPr>
              <w:t>49,000</w:t>
            </w:r>
          </w:p>
        </w:tc>
        <w:tc>
          <w:tcPr>
            <w:tcW w:w="1733" w:type="dxa"/>
            <w:tcMar>
              <w:left w:w="108" w:type="dxa"/>
              <w:right w:w="108" w:type="dxa"/>
            </w:tcMar>
            <w:vAlign w:val="center"/>
          </w:tcPr>
          <w:p w14:paraId="78F09EEB" w14:textId="77777777" w:rsidR="00330EAA" w:rsidRPr="00E70587" w:rsidRDefault="00330EAA" w:rsidP="009901E1">
            <w:pPr>
              <w:pStyle w:val="tabletext"/>
              <w:overflowPunct w:val="0"/>
              <w:autoSpaceDE w:val="0"/>
              <w:autoSpaceDN w:val="0"/>
              <w:adjustRightInd w:val="0"/>
              <w:spacing w:line="280" w:lineRule="exact"/>
              <w:ind w:left="113"/>
              <w:jc w:val="right"/>
              <w:textAlignment w:val="baseline"/>
              <w:rPr>
                <w:rFonts w:ascii="Arial" w:hAnsi="Arial" w:cs="Arial"/>
                <w:sz w:val="20"/>
                <w:lang w:val="en-IN"/>
              </w:rPr>
            </w:pPr>
            <w:r w:rsidRPr="00E70587">
              <w:rPr>
                <w:rFonts w:ascii="Arial" w:hAnsi="Arial" w:cs="Arial"/>
                <w:sz w:val="20"/>
                <w:lang w:val="en-IN"/>
              </w:rPr>
              <w:t>-</w:t>
            </w:r>
          </w:p>
        </w:tc>
      </w:tr>
      <w:tr w:rsidR="00330EAA" w:rsidRPr="00E70587" w14:paraId="00026F38" w14:textId="77777777" w:rsidTr="005F6E20">
        <w:tc>
          <w:tcPr>
            <w:tcW w:w="2610" w:type="dxa"/>
            <w:tcBorders>
              <w:bottom w:val="nil"/>
            </w:tcBorders>
            <w:tcMar>
              <w:left w:w="108" w:type="dxa"/>
              <w:right w:w="108" w:type="dxa"/>
            </w:tcMar>
            <w:vAlign w:val="center"/>
          </w:tcPr>
          <w:p w14:paraId="1BBCAC42"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w:t>
            </w:r>
          </w:p>
        </w:tc>
        <w:tc>
          <w:tcPr>
            <w:tcW w:w="1732" w:type="dxa"/>
            <w:tcBorders>
              <w:bottom w:val="nil"/>
            </w:tcBorders>
            <w:tcMar>
              <w:left w:w="108" w:type="dxa"/>
              <w:right w:w="108" w:type="dxa"/>
            </w:tcMar>
            <w:vAlign w:val="center"/>
          </w:tcPr>
          <w:p w14:paraId="30291D92"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733" w:type="dxa"/>
            <w:tcBorders>
              <w:bottom w:val="nil"/>
            </w:tcBorders>
            <w:tcMar>
              <w:left w:w="108" w:type="dxa"/>
              <w:right w:w="108" w:type="dxa"/>
            </w:tcMar>
            <w:vAlign w:val="center"/>
          </w:tcPr>
          <w:p w14:paraId="3460295B"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732" w:type="dxa"/>
            <w:tcBorders>
              <w:bottom w:val="nil"/>
            </w:tcBorders>
            <w:tcMar>
              <w:left w:w="108" w:type="dxa"/>
              <w:right w:w="108" w:type="dxa"/>
            </w:tcMar>
            <w:vAlign w:val="center"/>
          </w:tcPr>
          <w:p w14:paraId="681F4E30" w14:textId="77777777" w:rsidR="00330EAA" w:rsidRPr="00E70587" w:rsidRDefault="00330EAA" w:rsidP="009901E1">
            <w:pPr>
              <w:pStyle w:val="tabletext"/>
              <w:overflowPunct w:val="0"/>
              <w:autoSpaceDE w:val="0"/>
              <w:autoSpaceDN w:val="0"/>
              <w:adjustRightInd w:val="0"/>
              <w:spacing w:line="280" w:lineRule="exact"/>
              <w:ind w:left="113"/>
              <w:jc w:val="right"/>
              <w:textAlignment w:val="baseline"/>
              <w:rPr>
                <w:rFonts w:ascii="Arial" w:hAnsi="Arial" w:cs="Arial"/>
                <w:b/>
                <w:sz w:val="20"/>
                <w:lang w:val="en-IN"/>
              </w:rPr>
            </w:pPr>
            <w:r w:rsidRPr="00E70587">
              <w:rPr>
                <w:rFonts w:ascii="Arial" w:hAnsi="Arial" w:cs="Arial"/>
                <w:b/>
                <w:sz w:val="20"/>
                <w:lang w:val="en-IN"/>
              </w:rPr>
              <w:t>216,000</w:t>
            </w:r>
          </w:p>
        </w:tc>
        <w:tc>
          <w:tcPr>
            <w:tcW w:w="1733" w:type="dxa"/>
            <w:tcBorders>
              <w:bottom w:val="nil"/>
            </w:tcBorders>
            <w:tcMar>
              <w:left w:w="108" w:type="dxa"/>
              <w:right w:w="108" w:type="dxa"/>
            </w:tcMar>
            <w:vAlign w:val="center"/>
          </w:tcPr>
          <w:p w14:paraId="1407883E" w14:textId="77777777" w:rsidR="00330EAA" w:rsidRPr="00E70587" w:rsidRDefault="00330EAA" w:rsidP="009901E1">
            <w:pPr>
              <w:pStyle w:val="tabletext"/>
              <w:overflowPunct w:val="0"/>
              <w:autoSpaceDE w:val="0"/>
              <w:autoSpaceDN w:val="0"/>
              <w:adjustRightInd w:val="0"/>
              <w:spacing w:line="280" w:lineRule="exact"/>
              <w:ind w:left="113"/>
              <w:jc w:val="right"/>
              <w:textAlignment w:val="baseline"/>
              <w:rPr>
                <w:rFonts w:ascii="Arial" w:hAnsi="Arial" w:cs="Arial"/>
                <w:b/>
                <w:sz w:val="20"/>
                <w:lang w:val="en-IN"/>
              </w:rPr>
            </w:pPr>
            <w:r w:rsidRPr="00E70587">
              <w:rPr>
                <w:rFonts w:ascii="Arial" w:hAnsi="Arial" w:cs="Arial"/>
                <w:b/>
                <w:sz w:val="20"/>
                <w:lang w:val="en-IN"/>
              </w:rPr>
              <w:t>167,000</w:t>
            </w:r>
          </w:p>
        </w:tc>
      </w:tr>
    </w:tbl>
    <w:p w14:paraId="78716FC3" w14:textId="77777777" w:rsidR="00B73A48" w:rsidRPr="00E70587" w:rsidRDefault="00B73A48" w:rsidP="009901E1">
      <w:pPr>
        <w:spacing w:line="280" w:lineRule="exact"/>
        <w:jc w:val="both"/>
        <w:rPr>
          <w:rFonts w:ascii="Arial" w:hAnsi="Arial" w:cs="Arial"/>
          <w:sz w:val="20"/>
        </w:rPr>
      </w:pPr>
    </w:p>
    <w:p w14:paraId="32D9836E" w14:textId="77777777" w:rsidR="006406AD" w:rsidRDefault="006406AD" w:rsidP="006406AD">
      <w:pPr>
        <w:spacing w:line="280" w:lineRule="exact"/>
        <w:jc w:val="both"/>
        <w:rPr>
          <w:rFonts w:ascii="Arial" w:hAnsi="Arial" w:cs="Arial"/>
          <w:sz w:val="20"/>
        </w:rPr>
      </w:pPr>
      <w:r w:rsidRPr="00E70587">
        <w:rPr>
          <w:rFonts w:ascii="Arial" w:hAnsi="Arial" w:cs="Arial"/>
          <w:sz w:val="20"/>
        </w:rPr>
        <w:t>No share options have been granted to the non-executive members of the Board of Directors under this scheme. Refer to Note 41 for further details on the scheme.</w:t>
      </w:r>
    </w:p>
    <w:p w14:paraId="5D93D07A" w14:textId="77777777" w:rsidR="005F6E20" w:rsidRDefault="005F6E20" w:rsidP="006406AD">
      <w:pPr>
        <w:spacing w:line="280" w:lineRule="exact"/>
        <w:jc w:val="both"/>
        <w:rPr>
          <w:rFonts w:ascii="Arial" w:hAnsi="Arial" w:cs="Arial"/>
          <w:sz w:val="20"/>
        </w:rPr>
      </w:pPr>
    </w:p>
    <w:p w14:paraId="79011B94" w14:textId="77777777" w:rsidR="006406AD" w:rsidRPr="00E70587" w:rsidRDefault="006406AD"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Segment information</w:t>
      </w:r>
    </w:p>
    <w:p w14:paraId="3A8BF028" w14:textId="77777777" w:rsidR="006406AD" w:rsidRPr="00E70587" w:rsidRDefault="006406AD" w:rsidP="006406AD">
      <w:pPr>
        <w:spacing w:line="280" w:lineRule="exact"/>
        <w:jc w:val="both"/>
        <w:rPr>
          <w:rFonts w:ascii="Arial" w:hAnsi="Arial"/>
          <w:sz w:val="20"/>
        </w:rPr>
      </w:pPr>
    </w:p>
    <w:p w14:paraId="2588FDE2" w14:textId="77777777" w:rsidR="006406AD" w:rsidRPr="00E70587" w:rsidRDefault="006406AD" w:rsidP="006406AD">
      <w:pPr>
        <w:spacing w:line="280" w:lineRule="exact"/>
        <w:jc w:val="both"/>
        <w:rPr>
          <w:rFonts w:ascii="Arial" w:hAnsi="Arial"/>
          <w:sz w:val="20"/>
        </w:rPr>
      </w:pPr>
      <w:r w:rsidRPr="00E70587">
        <w:rPr>
          <w:rFonts w:ascii="Arial" w:hAnsi="Arial"/>
          <w:sz w:val="20"/>
        </w:rPr>
        <w:t>For management purposes, the Group is organised into business units based on its products and services and has three reportable segments, as follows:</w:t>
      </w:r>
    </w:p>
    <w:p w14:paraId="1380884B" w14:textId="2A567F52" w:rsidR="006406AD" w:rsidRPr="00E70587" w:rsidRDefault="006406AD" w:rsidP="00A84FC0">
      <w:pPr>
        <w:pStyle w:val="Notesbulletpoint"/>
        <w:spacing w:before="120" w:after="0" w:line="280" w:lineRule="exact"/>
        <w:jc w:val="both"/>
        <w:rPr>
          <w:rFonts w:ascii="Arial" w:hAnsi="Arial"/>
          <w:color w:val="auto"/>
          <w:sz w:val="20"/>
        </w:rPr>
      </w:pPr>
      <w:r w:rsidRPr="00E70587">
        <w:rPr>
          <w:rFonts w:ascii="Arial" w:hAnsi="Arial"/>
          <w:color w:val="auto"/>
          <w:sz w:val="20"/>
        </w:rPr>
        <w:t xml:space="preserve">The fire prevention equipment segment, which produces and installs extinguishers, fire prevention equipment and </w:t>
      </w:r>
      <w:r w:rsidR="005C6E11" w:rsidRPr="00E70587">
        <w:rPr>
          <w:rFonts w:ascii="Arial" w:hAnsi="Arial"/>
          <w:color w:val="auto"/>
          <w:sz w:val="20"/>
        </w:rPr>
        <w:t>fire-retardant</w:t>
      </w:r>
      <w:r w:rsidRPr="00E70587">
        <w:rPr>
          <w:rFonts w:ascii="Arial" w:hAnsi="Arial"/>
          <w:color w:val="auto"/>
          <w:sz w:val="20"/>
        </w:rPr>
        <w:t xml:space="preserve"> fabrics</w:t>
      </w:r>
    </w:p>
    <w:p w14:paraId="44F959C5" w14:textId="77777777" w:rsidR="006406AD" w:rsidRPr="00E70587" w:rsidRDefault="006406AD" w:rsidP="00A84FC0">
      <w:pPr>
        <w:pStyle w:val="Notesbulletpoint"/>
        <w:spacing w:before="120" w:after="0" w:line="280" w:lineRule="exact"/>
        <w:jc w:val="both"/>
        <w:rPr>
          <w:rFonts w:ascii="Arial" w:hAnsi="Arial"/>
          <w:color w:val="auto"/>
          <w:sz w:val="20"/>
        </w:rPr>
      </w:pPr>
      <w:r w:rsidRPr="00E70587">
        <w:rPr>
          <w:rFonts w:ascii="Arial" w:hAnsi="Arial"/>
          <w:color w:val="auto"/>
          <w:sz w:val="20"/>
        </w:rPr>
        <w:t>The electronics segment, which is a supplier of electronic equipment for defence, aviation, electrical safety markets and consumer electronic equipment for home use. It offers products and services in the areas of electronics, safety, thermal and electrical architecture</w:t>
      </w:r>
    </w:p>
    <w:p w14:paraId="2CF5C112" w14:textId="77777777" w:rsidR="006406AD" w:rsidRPr="00E70587" w:rsidRDefault="006406AD" w:rsidP="00A84FC0">
      <w:pPr>
        <w:pStyle w:val="Notesbulletpoint"/>
        <w:spacing w:before="120" w:after="0" w:line="280" w:lineRule="exact"/>
        <w:jc w:val="both"/>
        <w:rPr>
          <w:rFonts w:ascii="Arial" w:hAnsi="Arial"/>
          <w:color w:val="auto"/>
          <w:sz w:val="20"/>
        </w:rPr>
      </w:pPr>
      <w:r w:rsidRPr="00E70587">
        <w:rPr>
          <w:rFonts w:ascii="Arial" w:hAnsi="Arial"/>
          <w:color w:val="auto"/>
          <w:sz w:val="20"/>
        </w:rPr>
        <w:t xml:space="preserve">The investment properties segment, which leases offices and manufacturing sites owned by the Group </w:t>
      </w:r>
    </w:p>
    <w:p w14:paraId="6AFC9598" w14:textId="77777777" w:rsidR="006406AD" w:rsidRPr="00E70587" w:rsidRDefault="006406AD" w:rsidP="006406AD">
      <w:pPr>
        <w:spacing w:line="280" w:lineRule="exact"/>
        <w:jc w:val="both"/>
        <w:rPr>
          <w:rFonts w:ascii="Arial" w:hAnsi="Arial" w:cs="Arial"/>
          <w:sz w:val="20"/>
        </w:rPr>
      </w:pPr>
    </w:p>
    <w:p w14:paraId="7703E20D" w14:textId="77777777" w:rsidR="006406AD" w:rsidRPr="00E70587" w:rsidRDefault="006406AD" w:rsidP="006406AD">
      <w:pPr>
        <w:spacing w:line="280" w:lineRule="exact"/>
        <w:jc w:val="both"/>
        <w:rPr>
          <w:rFonts w:ascii="Arial" w:hAnsi="Arial" w:cs="Arial"/>
          <w:sz w:val="20"/>
        </w:rPr>
      </w:pPr>
      <w:r w:rsidRPr="00E70587">
        <w:rPr>
          <w:rFonts w:ascii="Arial" w:hAnsi="Arial" w:cs="Arial"/>
          <w:sz w:val="20"/>
        </w:rPr>
        <w:t>No operating segments have been aggregated to form the above reportable operating segments.</w:t>
      </w:r>
    </w:p>
    <w:p w14:paraId="6B03F40C" w14:textId="17406CF2" w:rsidR="006406AD" w:rsidRDefault="006406AD" w:rsidP="006406AD">
      <w:pPr>
        <w:spacing w:line="280" w:lineRule="exact"/>
        <w:jc w:val="both"/>
        <w:rPr>
          <w:rFonts w:ascii="Arial" w:hAnsi="Arial" w:cs="Arial"/>
          <w:sz w:val="20"/>
        </w:rPr>
      </w:pPr>
    </w:p>
    <w:p w14:paraId="1DA04081" w14:textId="2A04162A" w:rsidR="00F047DA" w:rsidRPr="00F047DA" w:rsidRDefault="00F047DA" w:rsidP="00F047DA">
      <w:pPr>
        <w:shd w:val="clear" w:color="auto" w:fill="C1C1C1" w:themeFill="background1" w:themeFillTint="66"/>
        <w:spacing w:line="280" w:lineRule="exact"/>
        <w:jc w:val="both"/>
        <w:rPr>
          <w:rFonts w:ascii="Arial" w:hAnsi="Arial" w:cs="Arial"/>
          <w:b/>
          <w:bCs/>
          <w:sz w:val="20"/>
        </w:rPr>
      </w:pPr>
      <w:r w:rsidRPr="00F047DA">
        <w:rPr>
          <w:rFonts w:ascii="Arial" w:hAnsi="Arial" w:cs="Arial"/>
          <w:b/>
          <w:bCs/>
          <w:sz w:val="20"/>
        </w:rPr>
        <w:t>Author’s Note</w:t>
      </w:r>
    </w:p>
    <w:p w14:paraId="0C4C1D42" w14:textId="77777777" w:rsidR="00F047DA" w:rsidRDefault="00F047DA" w:rsidP="00F047DA">
      <w:pPr>
        <w:shd w:val="clear" w:color="auto" w:fill="C1C1C1" w:themeFill="background1" w:themeFillTint="66"/>
        <w:spacing w:line="280" w:lineRule="exact"/>
        <w:jc w:val="both"/>
        <w:rPr>
          <w:rFonts w:ascii="Arial" w:hAnsi="Arial" w:cs="Arial"/>
          <w:sz w:val="20"/>
        </w:rPr>
      </w:pPr>
    </w:p>
    <w:p w14:paraId="3C62701C" w14:textId="77777777" w:rsidR="00F047DA" w:rsidRPr="00F047DA" w:rsidRDefault="00F047DA" w:rsidP="00F047DA">
      <w:pPr>
        <w:shd w:val="clear" w:color="auto" w:fill="C1C1C1" w:themeFill="background1" w:themeFillTint="66"/>
        <w:spacing w:line="280" w:lineRule="exact"/>
        <w:jc w:val="both"/>
        <w:rPr>
          <w:rFonts w:ascii="Arial" w:hAnsi="Arial" w:cs="Arial"/>
          <w:sz w:val="20"/>
        </w:rPr>
      </w:pPr>
      <w:r w:rsidRPr="00F047DA">
        <w:rPr>
          <w:rFonts w:ascii="Arial" w:hAnsi="Arial" w:cs="Arial"/>
          <w:sz w:val="20"/>
        </w:rPr>
        <w:t>Ind AS 108.22(a) requires entities to disclose factors used to identify the entity’s reportable segments, including the basis of organisation, such as factors considered in determining aggregation of operating segments. Operating segments often exhibit similar long-term financial performance if they have similar economic characteristics. For example, similar long-term average gross margins for two operating segments would be expected if their economic characteristics were similar. Two or more operating segments may be aggregated into a single operating segment if the segments have similar economic characteristics, and the segments are similar in each of the following respects:</w:t>
      </w:r>
    </w:p>
    <w:p w14:paraId="2773C7DA" w14:textId="77777777" w:rsidR="00F047DA" w:rsidRPr="00F047DA" w:rsidRDefault="00F047DA" w:rsidP="00F047DA">
      <w:pPr>
        <w:shd w:val="clear" w:color="auto" w:fill="C1C1C1" w:themeFill="background1" w:themeFillTint="66"/>
        <w:spacing w:line="280" w:lineRule="exact"/>
        <w:jc w:val="both"/>
        <w:rPr>
          <w:rFonts w:ascii="Arial" w:hAnsi="Arial" w:cs="Arial"/>
          <w:sz w:val="20"/>
        </w:rPr>
      </w:pPr>
      <w:r w:rsidRPr="00F047DA">
        <w:rPr>
          <w:rFonts w:ascii="Arial" w:hAnsi="Arial" w:cs="Arial"/>
          <w:sz w:val="20"/>
        </w:rPr>
        <w:t>a)</w:t>
      </w:r>
      <w:r w:rsidRPr="00F047DA">
        <w:rPr>
          <w:rFonts w:ascii="Arial" w:hAnsi="Arial" w:cs="Arial"/>
          <w:sz w:val="20"/>
        </w:rPr>
        <w:tab/>
        <w:t>the nature of the products and services;</w:t>
      </w:r>
    </w:p>
    <w:p w14:paraId="1FC6BC55" w14:textId="77777777" w:rsidR="00F047DA" w:rsidRPr="00F047DA" w:rsidRDefault="00F047DA" w:rsidP="00F047DA">
      <w:pPr>
        <w:shd w:val="clear" w:color="auto" w:fill="C1C1C1" w:themeFill="background1" w:themeFillTint="66"/>
        <w:spacing w:line="280" w:lineRule="exact"/>
        <w:jc w:val="both"/>
        <w:rPr>
          <w:rFonts w:ascii="Arial" w:hAnsi="Arial" w:cs="Arial"/>
          <w:sz w:val="20"/>
        </w:rPr>
      </w:pPr>
      <w:r w:rsidRPr="00F047DA">
        <w:rPr>
          <w:rFonts w:ascii="Arial" w:hAnsi="Arial" w:cs="Arial"/>
          <w:sz w:val="20"/>
        </w:rPr>
        <w:t>b)</w:t>
      </w:r>
      <w:r w:rsidRPr="00F047DA">
        <w:rPr>
          <w:rFonts w:ascii="Arial" w:hAnsi="Arial" w:cs="Arial"/>
          <w:sz w:val="20"/>
        </w:rPr>
        <w:tab/>
        <w:t>the nature of the production processes;</w:t>
      </w:r>
    </w:p>
    <w:p w14:paraId="2633BCF5" w14:textId="77777777" w:rsidR="00F047DA" w:rsidRPr="00F047DA" w:rsidRDefault="00F047DA" w:rsidP="00F047DA">
      <w:pPr>
        <w:shd w:val="clear" w:color="auto" w:fill="C1C1C1" w:themeFill="background1" w:themeFillTint="66"/>
        <w:spacing w:line="280" w:lineRule="exact"/>
        <w:jc w:val="both"/>
        <w:rPr>
          <w:rFonts w:ascii="Arial" w:hAnsi="Arial" w:cs="Arial"/>
          <w:sz w:val="20"/>
        </w:rPr>
      </w:pPr>
      <w:r w:rsidRPr="00F047DA">
        <w:rPr>
          <w:rFonts w:ascii="Arial" w:hAnsi="Arial" w:cs="Arial"/>
          <w:sz w:val="20"/>
        </w:rPr>
        <w:t>c)</w:t>
      </w:r>
      <w:r w:rsidRPr="00F047DA">
        <w:rPr>
          <w:rFonts w:ascii="Arial" w:hAnsi="Arial" w:cs="Arial"/>
          <w:sz w:val="20"/>
        </w:rPr>
        <w:tab/>
        <w:t>the type or class of customer for their products and services;</w:t>
      </w:r>
    </w:p>
    <w:p w14:paraId="29E4BFB3" w14:textId="77777777" w:rsidR="00F047DA" w:rsidRPr="00F047DA" w:rsidRDefault="00F047DA" w:rsidP="00F047DA">
      <w:pPr>
        <w:shd w:val="clear" w:color="auto" w:fill="C1C1C1" w:themeFill="background1" w:themeFillTint="66"/>
        <w:spacing w:line="280" w:lineRule="exact"/>
        <w:jc w:val="both"/>
        <w:rPr>
          <w:rFonts w:ascii="Arial" w:hAnsi="Arial" w:cs="Arial"/>
          <w:sz w:val="20"/>
        </w:rPr>
      </w:pPr>
      <w:r w:rsidRPr="00F047DA">
        <w:rPr>
          <w:rFonts w:ascii="Arial" w:hAnsi="Arial" w:cs="Arial"/>
          <w:sz w:val="20"/>
        </w:rPr>
        <w:t>d)</w:t>
      </w:r>
      <w:r w:rsidRPr="00F047DA">
        <w:rPr>
          <w:rFonts w:ascii="Arial" w:hAnsi="Arial" w:cs="Arial"/>
          <w:sz w:val="20"/>
        </w:rPr>
        <w:tab/>
        <w:t>the methods used to distribute their products or provide their services; and</w:t>
      </w:r>
    </w:p>
    <w:p w14:paraId="479AEE73" w14:textId="77777777" w:rsidR="00F047DA" w:rsidRPr="00F047DA" w:rsidRDefault="00F047DA" w:rsidP="00F047DA">
      <w:pPr>
        <w:shd w:val="clear" w:color="auto" w:fill="C1C1C1" w:themeFill="background1" w:themeFillTint="66"/>
        <w:spacing w:line="280" w:lineRule="exact"/>
        <w:jc w:val="both"/>
        <w:rPr>
          <w:rFonts w:ascii="Arial" w:hAnsi="Arial" w:cs="Arial"/>
          <w:sz w:val="20"/>
        </w:rPr>
      </w:pPr>
      <w:r w:rsidRPr="00F047DA">
        <w:rPr>
          <w:rFonts w:ascii="Arial" w:hAnsi="Arial" w:cs="Arial"/>
          <w:sz w:val="20"/>
        </w:rPr>
        <w:t>e)</w:t>
      </w:r>
      <w:r w:rsidRPr="00F047DA">
        <w:rPr>
          <w:rFonts w:ascii="Arial" w:hAnsi="Arial" w:cs="Arial"/>
          <w:sz w:val="20"/>
        </w:rPr>
        <w:tab/>
        <w:t>if applicable, the nature of the regulatory environment, for example, banking, insurance or public utilities.</w:t>
      </w:r>
    </w:p>
    <w:p w14:paraId="0A9192BD" w14:textId="1DBA8301" w:rsidR="00F047DA" w:rsidRDefault="00F047DA" w:rsidP="00F047DA">
      <w:pPr>
        <w:shd w:val="clear" w:color="auto" w:fill="C1C1C1" w:themeFill="background1" w:themeFillTint="66"/>
        <w:spacing w:line="280" w:lineRule="exact"/>
        <w:jc w:val="both"/>
        <w:rPr>
          <w:rFonts w:ascii="Arial" w:hAnsi="Arial" w:cs="Arial"/>
          <w:sz w:val="20"/>
        </w:rPr>
      </w:pPr>
      <w:r w:rsidRPr="00F047DA">
        <w:rPr>
          <w:rFonts w:ascii="Arial" w:hAnsi="Arial" w:cs="Arial"/>
          <w:sz w:val="20"/>
        </w:rPr>
        <w:t>This analysis requires significant judgement as to the circumstances of the entity. The Group does not have any operating segments that are aggregated, but, if it had, disclosures about the basis for aggregation must be made.</w:t>
      </w:r>
    </w:p>
    <w:p w14:paraId="432C5DCD" w14:textId="77777777" w:rsidR="00F047DA" w:rsidRPr="00E70587" w:rsidRDefault="00F047DA" w:rsidP="006406AD">
      <w:pPr>
        <w:spacing w:line="280" w:lineRule="exact"/>
        <w:jc w:val="both"/>
        <w:rPr>
          <w:rFonts w:ascii="Arial" w:hAnsi="Arial" w:cs="Arial"/>
          <w:sz w:val="20"/>
        </w:rPr>
      </w:pPr>
    </w:p>
    <w:p w14:paraId="11B65CC9" w14:textId="535F2FD9" w:rsidR="006406AD" w:rsidRPr="00E70587" w:rsidRDefault="006406AD" w:rsidP="006406AD">
      <w:pPr>
        <w:spacing w:line="280" w:lineRule="exact"/>
        <w:jc w:val="both"/>
        <w:rPr>
          <w:rFonts w:ascii="Arial" w:hAnsi="Arial" w:cs="Arial"/>
          <w:sz w:val="20"/>
        </w:rPr>
      </w:pPr>
      <w:r w:rsidRPr="00E70587">
        <w:rPr>
          <w:rFonts w:ascii="Arial" w:hAnsi="Arial" w:cs="Arial"/>
          <w:sz w:val="20"/>
        </w:rPr>
        <w:t xml:space="preserve">The Executive Management Committee monitors the operating results of its business units separately for the purpose of making decisions about resource allocation and performance assessment. Segment performance is evaluated based on profit or loss and is measured consistently with profit </w:t>
      </w:r>
      <w:r w:rsidR="004B3123">
        <w:rPr>
          <w:rFonts w:ascii="Arial" w:hAnsi="Arial" w:cs="Arial"/>
          <w:sz w:val="20"/>
        </w:rPr>
        <w:t>or</w:t>
      </w:r>
      <w:r w:rsidR="005C6E11" w:rsidRPr="00E70587">
        <w:rPr>
          <w:rFonts w:ascii="Arial" w:hAnsi="Arial" w:cs="Arial"/>
          <w:sz w:val="20"/>
        </w:rPr>
        <w:t xml:space="preserve"> </w:t>
      </w:r>
      <w:r w:rsidRPr="00E70587">
        <w:rPr>
          <w:rFonts w:ascii="Arial" w:hAnsi="Arial" w:cs="Arial"/>
          <w:sz w:val="20"/>
        </w:rPr>
        <w:t>loss in the consolidated financial statements. However, the performance of S Limited, the Group’s joint venture is evaluated using proportionate consolidation. Also, the Group’s financing (including finance costs and finance income) and income taxes are managed on a Group basis and are not allocated to operating segments.</w:t>
      </w:r>
    </w:p>
    <w:p w14:paraId="1C123834" w14:textId="77777777" w:rsidR="006406AD" w:rsidRPr="00E70587" w:rsidRDefault="006406AD" w:rsidP="006406AD">
      <w:pPr>
        <w:spacing w:line="280" w:lineRule="exact"/>
        <w:jc w:val="both"/>
        <w:rPr>
          <w:rFonts w:ascii="Arial" w:hAnsi="Arial" w:cs="Arial"/>
          <w:sz w:val="20"/>
        </w:rPr>
      </w:pPr>
    </w:p>
    <w:p w14:paraId="0202EAAD" w14:textId="77777777" w:rsidR="006406AD" w:rsidRPr="00E70587" w:rsidRDefault="006406AD" w:rsidP="006406AD">
      <w:pPr>
        <w:spacing w:line="280" w:lineRule="exact"/>
        <w:jc w:val="both"/>
        <w:rPr>
          <w:rFonts w:ascii="Arial" w:hAnsi="Arial" w:cs="Arial"/>
          <w:sz w:val="20"/>
        </w:rPr>
      </w:pPr>
      <w:r w:rsidRPr="00E70587">
        <w:rPr>
          <w:rFonts w:ascii="Arial" w:hAnsi="Arial" w:cs="Arial"/>
          <w:sz w:val="20"/>
        </w:rPr>
        <w:t>Transfer prices between operating segments are on an arm’s length basis in a manner similar to transactions with third parties</w:t>
      </w:r>
    </w:p>
    <w:p w14:paraId="44F1A2C6" w14:textId="77777777" w:rsidR="00645C07" w:rsidRPr="00E70587" w:rsidRDefault="00645C07" w:rsidP="006406AD">
      <w:pPr>
        <w:spacing w:line="280" w:lineRule="exact"/>
        <w:jc w:val="both"/>
        <w:rPr>
          <w:rFonts w:ascii="Arial" w:hAnsi="Arial" w:cs="Arial"/>
          <w:sz w:val="20"/>
        </w:rPr>
      </w:pPr>
    </w:p>
    <w:p w14:paraId="04FE5B0E" w14:textId="05BB877B" w:rsidR="00645C07" w:rsidRPr="00E70587" w:rsidRDefault="00645C07" w:rsidP="009901E1">
      <w:pPr>
        <w:spacing w:line="280" w:lineRule="exact"/>
        <w:rPr>
          <w:rFonts w:ascii="Arial" w:hAnsi="Arial" w:cs="Arial"/>
          <w:b/>
          <w:sz w:val="20"/>
        </w:rPr>
      </w:pPr>
      <w:r w:rsidRPr="00E70587">
        <w:rPr>
          <w:rFonts w:ascii="Arial" w:hAnsi="Arial" w:cs="Arial"/>
          <w:b/>
          <w:sz w:val="20"/>
        </w:rPr>
        <w:t xml:space="preserve">Year ended 31 </w:t>
      </w:r>
      <w:r w:rsidR="00E1202D" w:rsidRPr="00E70587">
        <w:rPr>
          <w:rFonts w:ascii="Arial" w:hAnsi="Arial" w:cs="Arial"/>
          <w:b/>
          <w:sz w:val="20"/>
        </w:rPr>
        <w:t xml:space="preserve">March </w:t>
      </w:r>
      <w:r w:rsidR="007825ED" w:rsidRPr="00E70587">
        <w:rPr>
          <w:rFonts w:ascii="Arial" w:hAnsi="Arial" w:cs="Arial"/>
          <w:b/>
          <w:sz w:val="20"/>
        </w:rPr>
        <w:t>20</w:t>
      </w:r>
      <w:r w:rsidR="007825ED">
        <w:rPr>
          <w:rFonts w:ascii="Arial" w:hAnsi="Arial" w:cs="Arial"/>
          <w:b/>
          <w:sz w:val="20"/>
        </w:rPr>
        <w:t>21</w:t>
      </w:r>
    </w:p>
    <w:tbl>
      <w:tblPr>
        <w:tblW w:w="9576" w:type="dxa"/>
        <w:tblLayout w:type="fixed"/>
        <w:tblLook w:val="01E0" w:firstRow="1" w:lastRow="1" w:firstColumn="1" w:lastColumn="1" w:noHBand="0" w:noVBand="0"/>
      </w:tblPr>
      <w:tblGrid>
        <w:gridCol w:w="2498"/>
        <w:gridCol w:w="1175"/>
        <w:gridCol w:w="1176"/>
        <w:gridCol w:w="1176"/>
        <w:gridCol w:w="1175"/>
        <w:gridCol w:w="1176"/>
        <w:gridCol w:w="1171"/>
        <w:gridCol w:w="29"/>
      </w:tblGrid>
      <w:tr w:rsidR="00A17C17" w:rsidRPr="00E70587" w14:paraId="5E400972" w14:textId="77777777" w:rsidTr="00BF7116">
        <w:trPr>
          <w:tblHeader/>
        </w:trPr>
        <w:tc>
          <w:tcPr>
            <w:tcW w:w="2498" w:type="dxa"/>
            <w:tcMar>
              <w:left w:w="108" w:type="dxa"/>
            </w:tcMar>
            <w:vAlign w:val="bottom"/>
          </w:tcPr>
          <w:p w14:paraId="2CF7D964" w14:textId="77777777" w:rsidR="00A17C17" w:rsidRPr="00E70587" w:rsidRDefault="00A17C17" w:rsidP="009901E1">
            <w:pPr>
              <w:pStyle w:val="Tablecolumnheading"/>
              <w:spacing w:line="280" w:lineRule="exact"/>
              <w:jc w:val="left"/>
              <w:rPr>
                <w:rFonts w:ascii="Arial" w:hAnsi="Arial"/>
                <w:color w:val="auto"/>
                <w:szCs w:val="20"/>
                <w:lang w:val="en-IN"/>
              </w:rPr>
            </w:pPr>
            <w:r w:rsidRPr="00E70587">
              <w:rPr>
                <w:rFonts w:ascii="Arial" w:hAnsi="Arial"/>
                <w:color w:val="auto"/>
                <w:szCs w:val="20"/>
                <w:lang w:val="en-IN"/>
              </w:rPr>
              <w:lastRenderedPageBreak/>
              <w:t>Particulars</w:t>
            </w:r>
          </w:p>
        </w:tc>
        <w:tc>
          <w:tcPr>
            <w:tcW w:w="1175" w:type="dxa"/>
            <w:tcMar>
              <w:left w:w="0" w:type="dxa"/>
              <w:right w:w="57" w:type="dxa"/>
            </w:tcMar>
            <w:vAlign w:val="bottom"/>
          </w:tcPr>
          <w:p w14:paraId="3B5B98BC" w14:textId="77777777" w:rsidR="00A17C17" w:rsidRPr="00E70587" w:rsidRDefault="00A17C17" w:rsidP="009901E1">
            <w:pPr>
              <w:pStyle w:val="Tablecolumnheading"/>
              <w:spacing w:line="280" w:lineRule="exact"/>
              <w:rPr>
                <w:rFonts w:ascii="Arial" w:hAnsi="Arial"/>
                <w:color w:val="auto"/>
                <w:szCs w:val="20"/>
                <w:lang w:val="en-IN"/>
              </w:rPr>
            </w:pPr>
            <w:r w:rsidRPr="00E70587">
              <w:rPr>
                <w:rFonts w:ascii="Arial" w:hAnsi="Arial"/>
                <w:color w:val="auto"/>
                <w:szCs w:val="20"/>
                <w:lang w:val="en-IN"/>
              </w:rPr>
              <w:t>Fire prevention equipment</w:t>
            </w:r>
          </w:p>
        </w:tc>
        <w:tc>
          <w:tcPr>
            <w:tcW w:w="1176" w:type="dxa"/>
            <w:tcMar>
              <w:left w:w="28" w:type="dxa"/>
              <w:right w:w="57" w:type="dxa"/>
            </w:tcMar>
            <w:vAlign w:val="bottom"/>
          </w:tcPr>
          <w:p w14:paraId="43FF421B" w14:textId="77777777" w:rsidR="00A17C17" w:rsidRPr="00E70587" w:rsidRDefault="00A17C17" w:rsidP="009901E1">
            <w:pPr>
              <w:pStyle w:val="Tablecolumnheading"/>
              <w:spacing w:line="280" w:lineRule="exact"/>
              <w:rPr>
                <w:rFonts w:ascii="Arial" w:hAnsi="Arial"/>
                <w:color w:val="auto"/>
                <w:szCs w:val="20"/>
                <w:lang w:val="en-IN"/>
              </w:rPr>
            </w:pPr>
            <w:r w:rsidRPr="00E70587">
              <w:rPr>
                <w:rFonts w:ascii="Arial" w:hAnsi="Arial"/>
                <w:color w:val="auto"/>
                <w:szCs w:val="20"/>
                <w:lang w:val="en-IN"/>
              </w:rPr>
              <w:t>Electronics</w:t>
            </w:r>
          </w:p>
        </w:tc>
        <w:tc>
          <w:tcPr>
            <w:tcW w:w="1176" w:type="dxa"/>
            <w:tcMar>
              <w:right w:w="57" w:type="dxa"/>
            </w:tcMar>
            <w:vAlign w:val="bottom"/>
          </w:tcPr>
          <w:p w14:paraId="3297EF89" w14:textId="77777777" w:rsidR="00A17C17" w:rsidRPr="00E70587" w:rsidRDefault="00A17C17" w:rsidP="009901E1">
            <w:pPr>
              <w:pStyle w:val="Tablecolumnheading"/>
              <w:spacing w:line="280" w:lineRule="exact"/>
              <w:rPr>
                <w:rFonts w:ascii="Arial" w:hAnsi="Arial"/>
                <w:color w:val="auto"/>
                <w:szCs w:val="20"/>
                <w:lang w:val="en-IN"/>
              </w:rPr>
            </w:pPr>
            <w:r w:rsidRPr="00E70587">
              <w:rPr>
                <w:rFonts w:ascii="Arial" w:hAnsi="Arial"/>
                <w:color w:val="auto"/>
                <w:szCs w:val="20"/>
                <w:lang w:val="en-IN"/>
              </w:rPr>
              <w:t>Investment properties</w:t>
            </w:r>
          </w:p>
        </w:tc>
        <w:tc>
          <w:tcPr>
            <w:tcW w:w="1175" w:type="dxa"/>
            <w:tcMar>
              <w:right w:w="57" w:type="dxa"/>
            </w:tcMar>
            <w:vAlign w:val="bottom"/>
          </w:tcPr>
          <w:p w14:paraId="09CD1990" w14:textId="77777777" w:rsidR="00A17C17" w:rsidRPr="00E70587" w:rsidRDefault="00A17C17" w:rsidP="009901E1">
            <w:pPr>
              <w:pStyle w:val="Tablecolumnheading"/>
              <w:spacing w:line="280" w:lineRule="exact"/>
              <w:rPr>
                <w:rFonts w:ascii="Arial" w:hAnsi="Arial"/>
                <w:color w:val="auto"/>
                <w:szCs w:val="20"/>
                <w:lang w:val="en-IN"/>
              </w:rPr>
            </w:pPr>
            <w:r w:rsidRPr="00E70587">
              <w:rPr>
                <w:rFonts w:ascii="Arial" w:hAnsi="Arial"/>
                <w:color w:val="auto"/>
                <w:szCs w:val="20"/>
                <w:lang w:val="en-IN"/>
              </w:rPr>
              <w:t>Total segments</w:t>
            </w:r>
          </w:p>
        </w:tc>
        <w:tc>
          <w:tcPr>
            <w:tcW w:w="1176" w:type="dxa"/>
            <w:tcMar>
              <w:left w:w="28" w:type="dxa"/>
              <w:right w:w="57" w:type="dxa"/>
            </w:tcMar>
            <w:vAlign w:val="bottom"/>
          </w:tcPr>
          <w:p w14:paraId="1C5A6508" w14:textId="77777777" w:rsidR="00A17C17" w:rsidRPr="00E70587" w:rsidRDefault="00A17C17" w:rsidP="009901E1">
            <w:pPr>
              <w:pStyle w:val="Tablecolumnheading"/>
              <w:spacing w:line="280" w:lineRule="exact"/>
              <w:rPr>
                <w:rFonts w:ascii="Arial" w:hAnsi="Arial"/>
                <w:color w:val="auto"/>
                <w:szCs w:val="20"/>
                <w:lang w:val="en-IN"/>
              </w:rPr>
            </w:pPr>
            <w:r w:rsidRPr="00E70587">
              <w:rPr>
                <w:rFonts w:ascii="Arial" w:hAnsi="Arial"/>
                <w:color w:val="auto"/>
                <w:szCs w:val="20"/>
                <w:lang w:val="en-IN"/>
              </w:rPr>
              <w:t>Adjustments and eliminations</w:t>
            </w:r>
          </w:p>
        </w:tc>
        <w:tc>
          <w:tcPr>
            <w:tcW w:w="1200" w:type="dxa"/>
            <w:gridSpan w:val="2"/>
            <w:tcMar>
              <w:left w:w="57" w:type="dxa"/>
              <w:right w:w="57" w:type="dxa"/>
            </w:tcMar>
            <w:vAlign w:val="bottom"/>
          </w:tcPr>
          <w:p w14:paraId="52E2B4D4" w14:textId="77777777" w:rsidR="00A17C17" w:rsidRPr="00E70587" w:rsidRDefault="00A17C17" w:rsidP="009901E1">
            <w:pPr>
              <w:pStyle w:val="Tablecolumnheading"/>
              <w:spacing w:line="280" w:lineRule="exact"/>
              <w:rPr>
                <w:rFonts w:ascii="Arial" w:hAnsi="Arial"/>
                <w:color w:val="auto"/>
                <w:szCs w:val="20"/>
                <w:lang w:val="en-IN"/>
              </w:rPr>
            </w:pPr>
            <w:r w:rsidRPr="00E70587">
              <w:rPr>
                <w:rFonts w:ascii="Arial" w:hAnsi="Arial"/>
                <w:color w:val="auto"/>
                <w:szCs w:val="20"/>
                <w:lang w:val="en-IN"/>
              </w:rPr>
              <w:t>Consolidated</w:t>
            </w:r>
          </w:p>
        </w:tc>
      </w:tr>
      <w:tr w:rsidR="00A17C17" w:rsidRPr="00E70587" w14:paraId="0B5A1076" w14:textId="77777777" w:rsidTr="00BF7116">
        <w:trPr>
          <w:tblHeader/>
        </w:trPr>
        <w:tc>
          <w:tcPr>
            <w:tcW w:w="2498" w:type="dxa"/>
            <w:tcMar>
              <w:left w:w="108" w:type="dxa"/>
            </w:tcMar>
            <w:vAlign w:val="bottom"/>
          </w:tcPr>
          <w:p w14:paraId="59B751D9" w14:textId="77777777" w:rsidR="00A17C17" w:rsidRPr="00E70587" w:rsidRDefault="00A17C17" w:rsidP="009901E1">
            <w:pPr>
              <w:pStyle w:val="Notesbodytext"/>
              <w:spacing w:after="0" w:line="280" w:lineRule="exact"/>
              <w:rPr>
                <w:rFonts w:ascii="Arial" w:hAnsi="Arial"/>
                <w:color w:val="auto"/>
                <w:sz w:val="20"/>
              </w:rPr>
            </w:pPr>
          </w:p>
        </w:tc>
        <w:tc>
          <w:tcPr>
            <w:tcW w:w="1175" w:type="dxa"/>
            <w:vAlign w:val="bottom"/>
          </w:tcPr>
          <w:p w14:paraId="68CBE033"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176" w:type="dxa"/>
            <w:vAlign w:val="bottom"/>
          </w:tcPr>
          <w:p w14:paraId="7064F3B8"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176" w:type="dxa"/>
            <w:vAlign w:val="bottom"/>
          </w:tcPr>
          <w:p w14:paraId="6BE6C8F6"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175" w:type="dxa"/>
            <w:vAlign w:val="bottom"/>
          </w:tcPr>
          <w:p w14:paraId="0FB86D99"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176" w:type="dxa"/>
            <w:vAlign w:val="bottom"/>
          </w:tcPr>
          <w:p w14:paraId="31512D2C"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200" w:type="dxa"/>
            <w:gridSpan w:val="2"/>
            <w:vAlign w:val="bottom"/>
          </w:tcPr>
          <w:p w14:paraId="123EB95E"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0C7B6ACF" w14:textId="77777777" w:rsidTr="00BF7116">
        <w:tc>
          <w:tcPr>
            <w:tcW w:w="2498" w:type="dxa"/>
            <w:vAlign w:val="center"/>
          </w:tcPr>
          <w:p w14:paraId="19363305"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Revenue</w:t>
            </w:r>
          </w:p>
        </w:tc>
        <w:tc>
          <w:tcPr>
            <w:tcW w:w="1175" w:type="dxa"/>
            <w:vAlign w:val="bottom"/>
          </w:tcPr>
          <w:p w14:paraId="4F500A7A"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76" w:type="dxa"/>
            <w:vAlign w:val="bottom"/>
          </w:tcPr>
          <w:p w14:paraId="4CAEC4FC"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76" w:type="dxa"/>
            <w:vAlign w:val="bottom"/>
          </w:tcPr>
          <w:p w14:paraId="67C7C924"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75" w:type="dxa"/>
            <w:vAlign w:val="bottom"/>
          </w:tcPr>
          <w:p w14:paraId="767C62DC" w14:textId="77777777" w:rsidR="00A17C17" w:rsidRPr="00E70587" w:rsidRDefault="00A17C17" w:rsidP="009901E1">
            <w:pPr>
              <w:pStyle w:val="Tablecolumnheading"/>
              <w:spacing w:line="280" w:lineRule="exact"/>
              <w:jc w:val="left"/>
              <w:rPr>
                <w:rFonts w:ascii="Arial" w:hAnsi="Arial"/>
                <w:color w:val="auto"/>
                <w:sz w:val="20"/>
                <w:szCs w:val="20"/>
                <w:lang w:val="en-IN"/>
              </w:rPr>
            </w:pPr>
          </w:p>
        </w:tc>
        <w:tc>
          <w:tcPr>
            <w:tcW w:w="1176" w:type="dxa"/>
            <w:vAlign w:val="bottom"/>
          </w:tcPr>
          <w:p w14:paraId="1CE98AA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200" w:type="dxa"/>
            <w:gridSpan w:val="2"/>
            <w:vAlign w:val="bottom"/>
          </w:tcPr>
          <w:p w14:paraId="4678344E"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A17C17" w:rsidRPr="00E70587" w14:paraId="6B927930" w14:textId="77777777" w:rsidTr="00BF7116">
        <w:tc>
          <w:tcPr>
            <w:tcW w:w="2498" w:type="dxa"/>
            <w:vAlign w:val="center"/>
          </w:tcPr>
          <w:p w14:paraId="75BD2BD6"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External customers</w:t>
            </w:r>
          </w:p>
        </w:tc>
        <w:tc>
          <w:tcPr>
            <w:tcW w:w="1175" w:type="dxa"/>
          </w:tcPr>
          <w:p w14:paraId="7547AA20" w14:textId="77777777" w:rsidR="00A17C17" w:rsidRPr="00E70587" w:rsidRDefault="00A17C17" w:rsidP="00F54B53">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2,51,71</w:t>
            </w:r>
            <w:r w:rsidR="006F7091" w:rsidRPr="00E70587">
              <w:rPr>
                <w:rFonts w:ascii="Arial" w:hAnsi="Arial" w:cs="Arial"/>
                <w:sz w:val="20"/>
                <w:lang w:eastAsia="en-GB"/>
              </w:rPr>
              <w:t>6</w:t>
            </w:r>
          </w:p>
        </w:tc>
        <w:tc>
          <w:tcPr>
            <w:tcW w:w="1176" w:type="dxa"/>
          </w:tcPr>
          <w:p w14:paraId="5956715A" w14:textId="77777777" w:rsidR="00A17C17" w:rsidRPr="00E70587" w:rsidRDefault="00A17C17" w:rsidP="00F54B53">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1,24,673</w:t>
            </w:r>
          </w:p>
        </w:tc>
        <w:tc>
          <w:tcPr>
            <w:tcW w:w="1176" w:type="dxa"/>
          </w:tcPr>
          <w:p w14:paraId="644780E8" w14:textId="77777777" w:rsidR="00A17C17" w:rsidRPr="00E70587" w:rsidRDefault="00A17C17" w:rsidP="00F54B53">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2,527</w:t>
            </w:r>
          </w:p>
        </w:tc>
        <w:tc>
          <w:tcPr>
            <w:tcW w:w="1175" w:type="dxa"/>
          </w:tcPr>
          <w:p w14:paraId="26291DBF" w14:textId="77777777" w:rsidR="00A17C17" w:rsidRPr="00E70587" w:rsidRDefault="00A17C17" w:rsidP="00F54B53">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3,78,</w:t>
            </w:r>
            <w:r w:rsidR="006F7091" w:rsidRPr="00E70587">
              <w:rPr>
                <w:rFonts w:ascii="Arial" w:hAnsi="Arial" w:cs="Arial"/>
                <w:sz w:val="20"/>
                <w:lang w:eastAsia="en-GB"/>
              </w:rPr>
              <w:t>915</w:t>
            </w:r>
          </w:p>
        </w:tc>
        <w:tc>
          <w:tcPr>
            <w:tcW w:w="1176" w:type="dxa"/>
          </w:tcPr>
          <w:p w14:paraId="1266FD95" w14:textId="77777777" w:rsidR="00A17C17" w:rsidRPr="00E70587" w:rsidRDefault="00A17C17" w:rsidP="00F54B53">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(54,084)</w:t>
            </w:r>
          </w:p>
        </w:tc>
        <w:tc>
          <w:tcPr>
            <w:tcW w:w="1200" w:type="dxa"/>
            <w:gridSpan w:val="2"/>
            <w:tcMar>
              <w:right w:w="108" w:type="dxa"/>
            </w:tcMar>
          </w:tcPr>
          <w:p w14:paraId="141B04C3" w14:textId="77777777" w:rsidR="00A17C17" w:rsidRPr="00E70587" w:rsidRDefault="00A17C17" w:rsidP="00F54B53">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3,24,83</w:t>
            </w:r>
            <w:r w:rsidR="006F7091" w:rsidRPr="00E70587">
              <w:rPr>
                <w:rFonts w:ascii="Arial" w:hAnsi="Arial" w:cs="Arial"/>
                <w:sz w:val="20"/>
                <w:lang w:eastAsia="en-GB"/>
              </w:rPr>
              <w:t>1</w:t>
            </w:r>
          </w:p>
        </w:tc>
      </w:tr>
      <w:tr w:rsidR="00A17C17" w:rsidRPr="00E70587" w14:paraId="38907776" w14:textId="77777777" w:rsidTr="00BF7116">
        <w:tc>
          <w:tcPr>
            <w:tcW w:w="2498" w:type="dxa"/>
            <w:vAlign w:val="center"/>
          </w:tcPr>
          <w:p w14:paraId="6D402A29"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Inter-segment</w:t>
            </w:r>
          </w:p>
        </w:tc>
        <w:tc>
          <w:tcPr>
            <w:tcW w:w="1175" w:type="dxa"/>
          </w:tcPr>
          <w:p w14:paraId="519E4D52" w14:textId="77777777" w:rsidR="00A17C17" w:rsidRPr="00E70587" w:rsidRDefault="00A17C17" w:rsidP="00F54B53">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76" w:type="dxa"/>
          </w:tcPr>
          <w:p w14:paraId="41092851" w14:textId="77777777" w:rsidR="00A17C17" w:rsidRPr="00E70587" w:rsidRDefault="00A17C17" w:rsidP="00F54B53">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13,437</w:t>
            </w:r>
          </w:p>
        </w:tc>
        <w:tc>
          <w:tcPr>
            <w:tcW w:w="1176" w:type="dxa"/>
          </w:tcPr>
          <w:p w14:paraId="175C89FD" w14:textId="77777777" w:rsidR="00A17C17" w:rsidRPr="00E70587" w:rsidRDefault="00A17C17" w:rsidP="00F54B53">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175" w:type="dxa"/>
          </w:tcPr>
          <w:p w14:paraId="54266B3A" w14:textId="77777777" w:rsidR="00A17C17" w:rsidRPr="00E70587" w:rsidRDefault="00A17C17" w:rsidP="00F54B53">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13,437</w:t>
            </w:r>
          </w:p>
        </w:tc>
        <w:tc>
          <w:tcPr>
            <w:tcW w:w="1176" w:type="dxa"/>
            <w:tcMar>
              <w:left w:w="28" w:type="dxa"/>
              <w:right w:w="28" w:type="dxa"/>
            </w:tcMar>
          </w:tcPr>
          <w:p w14:paraId="60EC7260" w14:textId="77777777" w:rsidR="00A17C17" w:rsidRPr="00E70587" w:rsidRDefault="00A17C17" w:rsidP="00F54B53">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(13,437)</w:t>
            </w:r>
          </w:p>
        </w:tc>
        <w:tc>
          <w:tcPr>
            <w:tcW w:w="1200" w:type="dxa"/>
            <w:gridSpan w:val="2"/>
            <w:tcMar>
              <w:right w:w="108" w:type="dxa"/>
            </w:tcMar>
          </w:tcPr>
          <w:p w14:paraId="69ECB2B3" w14:textId="77777777" w:rsidR="00A17C17" w:rsidRPr="00E70587" w:rsidRDefault="00A17C17" w:rsidP="00F54B53">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A17C17" w:rsidRPr="00E70587" w14:paraId="45253019" w14:textId="77777777" w:rsidTr="00BF7116">
        <w:tc>
          <w:tcPr>
            <w:tcW w:w="2498" w:type="dxa"/>
            <w:vAlign w:val="center"/>
          </w:tcPr>
          <w:p w14:paraId="1943BC11"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revenue</w:t>
            </w:r>
          </w:p>
        </w:tc>
        <w:tc>
          <w:tcPr>
            <w:tcW w:w="1175" w:type="dxa"/>
          </w:tcPr>
          <w:p w14:paraId="5692959E" w14:textId="77777777" w:rsidR="00A17C17" w:rsidRPr="00E70587" w:rsidRDefault="00A17C17" w:rsidP="00F54B53">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2,51,</w:t>
            </w:r>
            <w:r w:rsidR="006F7091" w:rsidRPr="00E70587">
              <w:rPr>
                <w:rFonts w:ascii="Arial" w:hAnsi="Arial" w:cs="Arial"/>
                <w:b/>
                <w:bCs/>
                <w:sz w:val="20"/>
                <w:lang w:eastAsia="en-GB"/>
              </w:rPr>
              <w:t>715</w:t>
            </w:r>
          </w:p>
        </w:tc>
        <w:tc>
          <w:tcPr>
            <w:tcW w:w="1176" w:type="dxa"/>
          </w:tcPr>
          <w:p w14:paraId="5082A624" w14:textId="77777777" w:rsidR="00A17C17" w:rsidRPr="00E70587" w:rsidRDefault="00A17C17" w:rsidP="00F54B53">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1,38,110</w:t>
            </w:r>
          </w:p>
        </w:tc>
        <w:tc>
          <w:tcPr>
            <w:tcW w:w="1176" w:type="dxa"/>
          </w:tcPr>
          <w:p w14:paraId="3F2C8174" w14:textId="77777777" w:rsidR="00A17C17" w:rsidRPr="00E70587" w:rsidRDefault="00A17C17" w:rsidP="00F54B53">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2,527</w:t>
            </w:r>
          </w:p>
        </w:tc>
        <w:tc>
          <w:tcPr>
            <w:tcW w:w="1175" w:type="dxa"/>
          </w:tcPr>
          <w:p w14:paraId="296F18D5" w14:textId="77777777" w:rsidR="00A17C17" w:rsidRPr="00E70587" w:rsidRDefault="00A17C17" w:rsidP="00F54B53">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3,92,</w:t>
            </w:r>
            <w:r w:rsidR="006F7091" w:rsidRPr="00E70587">
              <w:rPr>
                <w:rFonts w:ascii="Arial" w:hAnsi="Arial" w:cs="Arial"/>
                <w:b/>
                <w:bCs/>
                <w:sz w:val="20"/>
                <w:lang w:eastAsia="en-GB"/>
              </w:rPr>
              <w:t>352</w:t>
            </w:r>
          </w:p>
        </w:tc>
        <w:tc>
          <w:tcPr>
            <w:tcW w:w="1176" w:type="dxa"/>
            <w:tcMar>
              <w:left w:w="28" w:type="dxa"/>
              <w:right w:w="28" w:type="dxa"/>
            </w:tcMar>
          </w:tcPr>
          <w:p w14:paraId="2618671E" w14:textId="77777777" w:rsidR="00A17C17" w:rsidRPr="00E70587" w:rsidRDefault="00A17C17" w:rsidP="00F54B53">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(67,521)</w:t>
            </w:r>
          </w:p>
        </w:tc>
        <w:tc>
          <w:tcPr>
            <w:tcW w:w="1200" w:type="dxa"/>
            <w:gridSpan w:val="2"/>
            <w:tcMar>
              <w:right w:w="108" w:type="dxa"/>
            </w:tcMar>
          </w:tcPr>
          <w:p w14:paraId="1138A52B" w14:textId="77777777" w:rsidR="00A17C17" w:rsidRPr="00E70587" w:rsidRDefault="00A17C17" w:rsidP="00F54B53">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3,24,83</w:t>
            </w:r>
            <w:r w:rsidR="006F7091" w:rsidRPr="00E70587">
              <w:rPr>
                <w:rFonts w:ascii="Arial" w:hAnsi="Arial" w:cs="Arial"/>
                <w:b/>
                <w:bCs/>
                <w:sz w:val="20"/>
                <w:lang w:eastAsia="en-GB"/>
              </w:rPr>
              <w:t>1</w:t>
            </w:r>
          </w:p>
        </w:tc>
      </w:tr>
      <w:tr w:rsidR="00A17C17" w:rsidRPr="00E70587" w14:paraId="7740155C" w14:textId="77777777" w:rsidTr="00BF7116">
        <w:tc>
          <w:tcPr>
            <w:tcW w:w="2498" w:type="dxa"/>
            <w:vAlign w:val="center"/>
          </w:tcPr>
          <w:p w14:paraId="3EB301E1"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175" w:type="dxa"/>
            <w:vAlign w:val="bottom"/>
          </w:tcPr>
          <w:p w14:paraId="745BE38F" w14:textId="77777777" w:rsidR="00A17C17" w:rsidRPr="00E70587" w:rsidRDefault="00A17C17" w:rsidP="00F54B5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76" w:type="dxa"/>
            <w:vAlign w:val="bottom"/>
          </w:tcPr>
          <w:p w14:paraId="0435E874" w14:textId="77777777" w:rsidR="00A17C17" w:rsidRPr="00E70587" w:rsidRDefault="00A17C17" w:rsidP="00F54B5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76" w:type="dxa"/>
            <w:vAlign w:val="bottom"/>
          </w:tcPr>
          <w:p w14:paraId="2323553A" w14:textId="77777777" w:rsidR="00A17C17" w:rsidRPr="00E70587" w:rsidRDefault="00A17C17" w:rsidP="00F54B5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75" w:type="dxa"/>
            <w:vAlign w:val="bottom"/>
          </w:tcPr>
          <w:p w14:paraId="1D89568F" w14:textId="77777777" w:rsidR="00A17C17" w:rsidRPr="00E70587" w:rsidRDefault="00A17C17" w:rsidP="00F54B53">
            <w:pPr>
              <w:pStyle w:val="Tablecolumnheading"/>
              <w:spacing w:line="280" w:lineRule="exact"/>
              <w:rPr>
                <w:rFonts w:ascii="Arial" w:hAnsi="Arial"/>
                <w:color w:val="auto"/>
                <w:sz w:val="20"/>
                <w:szCs w:val="20"/>
                <w:lang w:val="en-IN"/>
              </w:rPr>
            </w:pPr>
          </w:p>
        </w:tc>
        <w:tc>
          <w:tcPr>
            <w:tcW w:w="1176" w:type="dxa"/>
            <w:vAlign w:val="bottom"/>
          </w:tcPr>
          <w:p w14:paraId="38CA602D" w14:textId="77777777" w:rsidR="00A17C17" w:rsidRPr="00E70587" w:rsidRDefault="00A17C17" w:rsidP="00F54B5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200" w:type="dxa"/>
            <w:gridSpan w:val="2"/>
            <w:vAlign w:val="bottom"/>
          </w:tcPr>
          <w:p w14:paraId="46D868FA" w14:textId="77777777" w:rsidR="00A17C17" w:rsidRPr="00E70587" w:rsidRDefault="00A17C17" w:rsidP="00F54B53">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A17C17" w:rsidRPr="00E70587" w14:paraId="211AC33A" w14:textId="77777777" w:rsidTr="00BF7116">
        <w:tc>
          <w:tcPr>
            <w:tcW w:w="2498" w:type="dxa"/>
            <w:vAlign w:val="center"/>
          </w:tcPr>
          <w:p w14:paraId="708062C1"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Income/(Expenses)</w:t>
            </w:r>
          </w:p>
        </w:tc>
        <w:tc>
          <w:tcPr>
            <w:tcW w:w="1175" w:type="dxa"/>
            <w:vAlign w:val="bottom"/>
          </w:tcPr>
          <w:p w14:paraId="08597B88" w14:textId="77777777" w:rsidR="00A17C17" w:rsidRPr="00E70587" w:rsidRDefault="00A17C17" w:rsidP="00F54B5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76" w:type="dxa"/>
            <w:vAlign w:val="bottom"/>
          </w:tcPr>
          <w:p w14:paraId="6BE4B5CB" w14:textId="77777777" w:rsidR="00A17C17" w:rsidRPr="00E70587" w:rsidRDefault="00A17C17" w:rsidP="00F54B5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76" w:type="dxa"/>
            <w:vAlign w:val="bottom"/>
          </w:tcPr>
          <w:p w14:paraId="401F1F16" w14:textId="77777777" w:rsidR="00A17C17" w:rsidRPr="00E70587" w:rsidRDefault="00A17C17" w:rsidP="00F54B5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75" w:type="dxa"/>
            <w:vAlign w:val="bottom"/>
          </w:tcPr>
          <w:p w14:paraId="04F87007" w14:textId="77777777" w:rsidR="00A17C17" w:rsidRPr="00E70587" w:rsidRDefault="00A17C17" w:rsidP="00F54B53">
            <w:pPr>
              <w:pStyle w:val="Tablecolumnheading"/>
              <w:spacing w:line="280" w:lineRule="exact"/>
              <w:rPr>
                <w:rFonts w:ascii="Arial" w:hAnsi="Arial"/>
                <w:color w:val="auto"/>
                <w:sz w:val="20"/>
                <w:szCs w:val="20"/>
                <w:lang w:val="en-IN"/>
              </w:rPr>
            </w:pPr>
          </w:p>
        </w:tc>
        <w:tc>
          <w:tcPr>
            <w:tcW w:w="1176" w:type="dxa"/>
            <w:vAlign w:val="bottom"/>
          </w:tcPr>
          <w:p w14:paraId="49EE78A3" w14:textId="77777777" w:rsidR="00A17C17" w:rsidRPr="00E70587" w:rsidRDefault="00A17C17" w:rsidP="00F54B5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200" w:type="dxa"/>
            <w:gridSpan w:val="2"/>
            <w:vAlign w:val="bottom"/>
          </w:tcPr>
          <w:p w14:paraId="5C96D29D" w14:textId="77777777" w:rsidR="00A17C17" w:rsidRPr="00E70587" w:rsidRDefault="00A17C17" w:rsidP="00F54B53">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A17C17" w:rsidRPr="00E70587" w14:paraId="35CCF798" w14:textId="77777777" w:rsidTr="00BF7116">
        <w:tc>
          <w:tcPr>
            <w:tcW w:w="2498" w:type="dxa"/>
            <w:vAlign w:val="center"/>
          </w:tcPr>
          <w:p w14:paraId="1AC05B05"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Depreciation and amortisation</w:t>
            </w:r>
          </w:p>
        </w:tc>
        <w:tc>
          <w:tcPr>
            <w:tcW w:w="1175" w:type="dxa"/>
            <w:tcMar>
              <w:right w:w="28" w:type="dxa"/>
            </w:tcMar>
            <w:vAlign w:val="center"/>
          </w:tcPr>
          <w:p w14:paraId="60708536" w14:textId="06491F87" w:rsidR="00A17C17" w:rsidRPr="00E70587" w:rsidRDefault="00A17C17" w:rsidP="00F54B53">
            <w:pPr>
              <w:spacing w:line="280" w:lineRule="exact"/>
              <w:jc w:val="right"/>
              <w:rPr>
                <w:rFonts w:ascii="Arial" w:hAnsi="Arial" w:cs="Arial"/>
                <w:sz w:val="20"/>
              </w:rPr>
            </w:pPr>
            <w:r w:rsidRPr="00E70587">
              <w:rPr>
                <w:rFonts w:ascii="Arial" w:hAnsi="Arial" w:cs="Arial"/>
                <w:sz w:val="20"/>
              </w:rPr>
              <w:t>(6,</w:t>
            </w:r>
            <w:r w:rsidR="00715049">
              <w:rPr>
                <w:rFonts w:ascii="Arial" w:hAnsi="Arial" w:cs="Arial"/>
                <w:sz w:val="20"/>
              </w:rPr>
              <w:t>9</w:t>
            </w:r>
            <w:r w:rsidR="00AA6C19">
              <w:rPr>
                <w:rFonts w:ascii="Arial" w:hAnsi="Arial" w:cs="Arial"/>
                <w:sz w:val="20"/>
              </w:rPr>
              <w:t>61</w:t>
            </w:r>
            <w:r w:rsidRPr="00E70587">
              <w:rPr>
                <w:rFonts w:ascii="Arial" w:hAnsi="Arial" w:cs="Arial"/>
                <w:sz w:val="20"/>
              </w:rPr>
              <w:t>)</w:t>
            </w:r>
          </w:p>
        </w:tc>
        <w:tc>
          <w:tcPr>
            <w:tcW w:w="1176" w:type="dxa"/>
            <w:tcMar>
              <w:right w:w="28" w:type="dxa"/>
            </w:tcMar>
            <w:vAlign w:val="center"/>
          </w:tcPr>
          <w:p w14:paraId="57B363E0" w14:textId="3E4B271B" w:rsidR="00A17C17" w:rsidRPr="00E70587" w:rsidRDefault="00A17C17" w:rsidP="00F54B53">
            <w:pPr>
              <w:spacing w:line="280" w:lineRule="exact"/>
              <w:jc w:val="right"/>
              <w:rPr>
                <w:rFonts w:ascii="Arial" w:hAnsi="Arial" w:cs="Arial"/>
                <w:sz w:val="20"/>
              </w:rPr>
            </w:pPr>
            <w:r w:rsidRPr="00E70587">
              <w:rPr>
                <w:rFonts w:ascii="Arial" w:hAnsi="Arial" w:cs="Arial"/>
                <w:sz w:val="20"/>
              </w:rPr>
              <w:t>(</w:t>
            </w:r>
            <w:r w:rsidR="00715049">
              <w:rPr>
                <w:rFonts w:ascii="Arial" w:hAnsi="Arial" w:cs="Arial"/>
                <w:sz w:val="20"/>
              </w:rPr>
              <w:t>88</w:t>
            </w:r>
            <w:r w:rsidR="00715049" w:rsidRPr="00E70587">
              <w:rPr>
                <w:rFonts w:ascii="Arial" w:hAnsi="Arial" w:cs="Arial"/>
                <w:sz w:val="20"/>
              </w:rPr>
              <w:t>0</w:t>
            </w:r>
            <w:r w:rsidRPr="00E70587">
              <w:rPr>
                <w:rFonts w:ascii="Arial" w:hAnsi="Arial" w:cs="Arial"/>
                <w:sz w:val="20"/>
              </w:rPr>
              <w:t>)</w:t>
            </w:r>
          </w:p>
        </w:tc>
        <w:tc>
          <w:tcPr>
            <w:tcW w:w="1176" w:type="dxa"/>
            <w:vAlign w:val="center"/>
          </w:tcPr>
          <w:p w14:paraId="180B5A80"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(551)</w:t>
            </w:r>
          </w:p>
        </w:tc>
        <w:tc>
          <w:tcPr>
            <w:tcW w:w="1175" w:type="dxa"/>
            <w:tcMar>
              <w:right w:w="28" w:type="dxa"/>
            </w:tcMar>
            <w:vAlign w:val="center"/>
          </w:tcPr>
          <w:p w14:paraId="069B96FA" w14:textId="6D6D207F" w:rsidR="00A17C17" w:rsidRPr="00E70587" w:rsidRDefault="00A17C17" w:rsidP="00F54B53">
            <w:pPr>
              <w:spacing w:line="280" w:lineRule="exact"/>
              <w:jc w:val="right"/>
              <w:rPr>
                <w:rFonts w:ascii="Arial" w:hAnsi="Arial" w:cs="Arial"/>
                <w:sz w:val="20"/>
              </w:rPr>
            </w:pPr>
            <w:r w:rsidRPr="00E70587">
              <w:rPr>
                <w:rFonts w:ascii="Arial" w:hAnsi="Arial" w:cs="Arial"/>
                <w:sz w:val="20"/>
              </w:rPr>
              <w:t>(</w:t>
            </w:r>
            <w:r w:rsidR="00AA6C19">
              <w:rPr>
                <w:rFonts w:ascii="Arial" w:hAnsi="Arial" w:cs="Arial"/>
                <w:sz w:val="20"/>
              </w:rPr>
              <w:t>8</w:t>
            </w:r>
            <w:r w:rsidRPr="00E70587">
              <w:rPr>
                <w:rFonts w:ascii="Arial" w:hAnsi="Arial" w:cs="Arial"/>
                <w:sz w:val="20"/>
              </w:rPr>
              <w:t>,</w:t>
            </w:r>
            <w:r w:rsidR="00AA6C19">
              <w:rPr>
                <w:rFonts w:ascii="Arial" w:hAnsi="Arial" w:cs="Arial"/>
                <w:sz w:val="20"/>
              </w:rPr>
              <w:t>392</w:t>
            </w:r>
            <w:r w:rsidRPr="00E70587">
              <w:rPr>
                <w:rFonts w:ascii="Arial" w:hAnsi="Arial" w:cs="Arial"/>
                <w:sz w:val="20"/>
              </w:rPr>
              <w:t>)</w:t>
            </w:r>
          </w:p>
        </w:tc>
        <w:tc>
          <w:tcPr>
            <w:tcW w:w="1176" w:type="dxa"/>
            <w:vAlign w:val="center"/>
          </w:tcPr>
          <w:p w14:paraId="19FBAA52"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w:t>
            </w:r>
          </w:p>
        </w:tc>
        <w:tc>
          <w:tcPr>
            <w:tcW w:w="1200" w:type="dxa"/>
            <w:gridSpan w:val="2"/>
            <w:tcMar>
              <w:right w:w="28" w:type="dxa"/>
            </w:tcMar>
            <w:vAlign w:val="center"/>
          </w:tcPr>
          <w:p w14:paraId="66C1D9CA" w14:textId="5F390502" w:rsidR="00A17C17" w:rsidRPr="00E70587" w:rsidRDefault="00A17C17" w:rsidP="00F54B53">
            <w:pPr>
              <w:spacing w:line="280" w:lineRule="exact"/>
              <w:jc w:val="right"/>
              <w:rPr>
                <w:rFonts w:ascii="Arial" w:hAnsi="Arial" w:cs="Arial"/>
                <w:sz w:val="20"/>
              </w:rPr>
            </w:pPr>
            <w:r w:rsidRPr="00E70587">
              <w:rPr>
                <w:rFonts w:ascii="Arial" w:hAnsi="Arial" w:cs="Arial"/>
                <w:sz w:val="20"/>
              </w:rPr>
              <w:t>(</w:t>
            </w:r>
            <w:r w:rsidR="00AA6C19">
              <w:rPr>
                <w:rFonts w:ascii="Arial" w:hAnsi="Arial" w:cs="Arial"/>
                <w:sz w:val="20"/>
              </w:rPr>
              <w:t>8</w:t>
            </w:r>
            <w:r w:rsidRPr="00E70587">
              <w:rPr>
                <w:rFonts w:ascii="Arial" w:hAnsi="Arial" w:cs="Arial"/>
                <w:sz w:val="20"/>
              </w:rPr>
              <w:t>,</w:t>
            </w:r>
            <w:r w:rsidR="00AA6C19">
              <w:rPr>
                <w:rFonts w:ascii="Arial" w:hAnsi="Arial" w:cs="Arial"/>
                <w:sz w:val="20"/>
              </w:rPr>
              <w:t>392</w:t>
            </w:r>
            <w:r w:rsidRPr="00E70587">
              <w:rPr>
                <w:rFonts w:ascii="Arial" w:hAnsi="Arial" w:cs="Arial"/>
                <w:sz w:val="20"/>
              </w:rPr>
              <w:t>)</w:t>
            </w:r>
          </w:p>
        </w:tc>
      </w:tr>
      <w:tr w:rsidR="00A17C17" w:rsidRPr="00E70587" w14:paraId="4925D92D" w14:textId="77777777" w:rsidTr="00BF7116">
        <w:tc>
          <w:tcPr>
            <w:tcW w:w="2498" w:type="dxa"/>
            <w:vAlign w:val="center"/>
          </w:tcPr>
          <w:p w14:paraId="13435A90" w14:textId="77777777" w:rsidR="00A17C17" w:rsidRPr="00E70587" w:rsidRDefault="00A17C17" w:rsidP="00BA690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Goodwill impairment </w:t>
            </w:r>
            <w:r w:rsidRPr="00E70587">
              <w:rPr>
                <w:rFonts w:ascii="Arial" w:hAnsi="Arial" w:cs="Arial"/>
                <w:sz w:val="20"/>
                <w:lang w:val="en-IN"/>
              </w:rPr>
              <w:br/>
              <w:t xml:space="preserve">(Note </w:t>
            </w:r>
            <w:r w:rsidR="00BA690C" w:rsidRPr="00E70587">
              <w:rPr>
                <w:rFonts w:ascii="Arial" w:hAnsi="Arial" w:cs="Arial"/>
                <w:sz w:val="20"/>
                <w:lang w:val="en-IN"/>
              </w:rPr>
              <w:t>5, 6</w:t>
            </w:r>
            <w:r w:rsidRPr="00E70587">
              <w:rPr>
                <w:rFonts w:ascii="Arial" w:hAnsi="Arial" w:cs="Arial"/>
                <w:sz w:val="20"/>
                <w:lang w:val="en-IN"/>
              </w:rPr>
              <w:t>)</w:t>
            </w:r>
          </w:p>
        </w:tc>
        <w:tc>
          <w:tcPr>
            <w:tcW w:w="1175" w:type="dxa"/>
            <w:tcMar>
              <w:right w:w="108" w:type="dxa"/>
            </w:tcMar>
            <w:vAlign w:val="center"/>
          </w:tcPr>
          <w:p w14:paraId="19F5FFB6"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w:t>
            </w:r>
          </w:p>
        </w:tc>
        <w:tc>
          <w:tcPr>
            <w:tcW w:w="1176" w:type="dxa"/>
            <w:tcMar>
              <w:right w:w="28" w:type="dxa"/>
            </w:tcMar>
            <w:vAlign w:val="center"/>
          </w:tcPr>
          <w:p w14:paraId="0D5FA1D7"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(360)</w:t>
            </w:r>
          </w:p>
        </w:tc>
        <w:tc>
          <w:tcPr>
            <w:tcW w:w="1176" w:type="dxa"/>
            <w:vAlign w:val="center"/>
          </w:tcPr>
          <w:p w14:paraId="28D07BD7"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w:t>
            </w:r>
          </w:p>
        </w:tc>
        <w:tc>
          <w:tcPr>
            <w:tcW w:w="1175" w:type="dxa"/>
            <w:tcMar>
              <w:right w:w="28" w:type="dxa"/>
            </w:tcMar>
            <w:vAlign w:val="center"/>
          </w:tcPr>
          <w:p w14:paraId="612BAC90"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(360)</w:t>
            </w:r>
          </w:p>
        </w:tc>
        <w:tc>
          <w:tcPr>
            <w:tcW w:w="1176" w:type="dxa"/>
            <w:vAlign w:val="center"/>
          </w:tcPr>
          <w:p w14:paraId="6387F8C3"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w:t>
            </w:r>
          </w:p>
        </w:tc>
        <w:tc>
          <w:tcPr>
            <w:tcW w:w="1200" w:type="dxa"/>
            <w:gridSpan w:val="2"/>
            <w:tcMar>
              <w:right w:w="28" w:type="dxa"/>
            </w:tcMar>
            <w:vAlign w:val="center"/>
          </w:tcPr>
          <w:p w14:paraId="725F329E"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(360)</w:t>
            </w:r>
          </w:p>
        </w:tc>
      </w:tr>
      <w:tr w:rsidR="00A17C17" w:rsidRPr="00E70587" w14:paraId="76EFE5C5" w14:textId="77777777" w:rsidTr="00BF7116">
        <w:tc>
          <w:tcPr>
            <w:tcW w:w="2498" w:type="dxa"/>
            <w:vAlign w:val="center"/>
          </w:tcPr>
          <w:p w14:paraId="4C095DE7"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Share of profit of </w:t>
            </w:r>
            <w:r w:rsidRPr="00E70587">
              <w:rPr>
                <w:rFonts w:ascii="Arial" w:hAnsi="Arial" w:cs="Arial"/>
                <w:sz w:val="20"/>
                <w:lang w:val="en-IN"/>
              </w:rPr>
              <w:br/>
              <w:t>an associate and a joint venture (Notes 38,39)</w:t>
            </w:r>
          </w:p>
        </w:tc>
        <w:tc>
          <w:tcPr>
            <w:tcW w:w="1175" w:type="dxa"/>
            <w:tcMar>
              <w:right w:w="108" w:type="dxa"/>
            </w:tcMar>
            <w:vAlign w:val="center"/>
          </w:tcPr>
          <w:p w14:paraId="1E64367F"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1,208</w:t>
            </w:r>
          </w:p>
        </w:tc>
        <w:tc>
          <w:tcPr>
            <w:tcW w:w="1176" w:type="dxa"/>
            <w:tcMar>
              <w:right w:w="108" w:type="dxa"/>
            </w:tcMar>
            <w:vAlign w:val="center"/>
          </w:tcPr>
          <w:p w14:paraId="058B55DF"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w:t>
            </w:r>
          </w:p>
        </w:tc>
        <w:tc>
          <w:tcPr>
            <w:tcW w:w="1176" w:type="dxa"/>
            <w:vAlign w:val="center"/>
          </w:tcPr>
          <w:p w14:paraId="4D69F42C"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w:t>
            </w:r>
          </w:p>
        </w:tc>
        <w:tc>
          <w:tcPr>
            <w:tcW w:w="1175" w:type="dxa"/>
            <w:vAlign w:val="center"/>
          </w:tcPr>
          <w:p w14:paraId="74C9239B"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1,208</w:t>
            </w:r>
          </w:p>
        </w:tc>
        <w:tc>
          <w:tcPr>
            <w:tcW w:w="1176" w:type="dxa"/>
            <w:vAlign w:val="center"/>
          </w:tcPr>
          <w:p w14:paraId="6367F987"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w:t>
            </w:r>
          </w:p>
        </w:tc>
        <w:tc>
          <w:tcPr>
            <w:tcW w:w="1200" w:type="dxa"/>
            <w:gridSpan w:val="2"/>
            <w:tcMar>
              <w:right w:w="108" w:type="dxa"/>
            </w:tcMar>
            <w:vAlign w:val="center"/>
          </w:tcPr>
          <w:p w14:paraId="26DC9293"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1,208</w:t>
            </w:r>
          </w:p>
        </w:tc>
      </w:tr>
      <w:tr w:rsidR="00A17C17" w:rsidRPr="00E70587" w14:paraId="44F5823C" w14:textId="77777777" w:rsidTr="00BF7116">
        <w:tc>
          <w:tcPr>
            <w:tcW w:w="2498" w:type="dxa"/>
            <w:vAlign w:val="center"/>
          </w:tcPr>
          <w:p w14:paraId="6C4EA4A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175" w:type="dxa"/>
            <w:vAlign w:val="center"/>
          </w:tcPr>
          <w:p w14:paraId="200ED49D" w14:textId="77777777" w:rsidR="00A17C17" w:rsidRPr="00E70587" w:rsidRDefault="00A17C17" w:rsidP="00F54B53">
            <w:pPr>
              <w:spacing w:line="280" w:lineRule="exact"/>
              <w:jc w:val="right"/>
              <w:rPr>
                <w:rFonts w:ascii="Arial" w:hAnsi="Arial" w:cs="Arial"/>
                <w:b/>
                <w:bCs/>
                <w:sz w:val="20"/>
              </w:rPr>
            </w:pPr>
          </w:p>
        </w:tc>
        <w:tc>
          <w:tcPr>
            <w:tcW w:w="1176" w:type="dxa"/>
            <w:vAlign w:val="center"/>
          </w:tcPr>
          <w:p w14:paraId="73FF44F4" w14:textId="77777777" w:rsidR="00A17C17" w:rsidRPr="00E70587" w:rsidRDefault="00A17C17" w:rsidP="00F54B53">
            <w:pPr>
              <w:spacing w:line="280" w:lineRule="exact"/>
              <w:jc w:val="right"/>
              <w:rPr>
                <w:rFonts w:ascii="Arial" w:hAnsi="Arial" w:cs="Arial"/>
                <w:b/>
                <w:bCs/>
                <w:sz w:val="20"/>
              </w:rPr>
            </w:pPr>
          </w:p>
        </w:tc>
        <w:tc>
          <w:tcPr>
            <w:tcW w:w="1176" w:type="dxa"/>
            <w:vAlign w:val="center"/>
          </w:tcPr>
          <w:p w14:paraId="23052E24" w14:textId="77777777" w:rsidR="00A17C17" w:rsidRPr="00E70587" w:rsidRDefault="00A17C17" w:rsidP="00F54B53">
            <w:pPr>
              <w:spacing w:line="280" w:lineRule="exact"/>
              <w:ind w:firstLineChars="100" w:firstLine="201"/>
              <w:jc w:val="right"/>
              <w:rPr>
                <w:rFonts w:ascii="Arial" w:hAnsi="Arial" w:cs="Arial"/>
                <w:b/>
                <w:bCs/>
                <w:sz w:val="20"/>
              </w:rPr>
            </w:pPr>
          </w:p>
        </w:tc>
        <w:tc>
          <w:tcPr>
            <w:tcW w:w="1175" w:type="dxa"/>
            <w:vAlign w:val="center"/>
          </w:tcPr>
          <w:p w14:paraId="18C7EB54" w14:textId="77777777" w:rsidR="00A17C17" w:rsidRPr="00E70587" w:rsidRDefault="00A17C17" w:rsidP="00F54B53">
            <w:pPr>
              <w:spacing w:line="280" w:lineRule="exact"/>
              <w:jc w:val="right"/>
              <w:rPr>
                <w:rFonts w:ascii="Arial" w:hAnsi="Arial" w:cs="Arial"/>
                <w:sz w:val="20"/>
              </w:rPr>
            </w:pPr>
          </w:p>
        </w:tc>
        <w:tc>
          <w:tcPr>
            <w:tcW w:w="1176" w:type="dxa"/>
            <w:tcMar>
              <w:left w:w="28" w:type="dxa"/>
            </w:tcMar>
            <w:vAlign w:val="center"/>
          </w:tcPr>
          <w:p w14:paraId="489BBD99" w14:textId="77777777" w:rsidR="00A17C17" w:rsidRPr="00E70587" w:rsidRDefault="00A17C17" w:rsidP="00F54B53">
            <w:pPr>
              <w:spacing w:line="280" w:lineRule="exact"/>
              <w:jc w:val="right"/>
              <w:rPr>
                <w:rFonts w:ascii="Arial" w:hAnsi="Arial" w:cs="Arial"/>
                <w:sz w:val="20"/>
              </w:rPr>
            </w:pPr>
          </w:p>
        </w:tc>
        <w:tc>
          <w:tcPr>
            <w:tcW w:w="1200" w:type="dxa"/>
            <w:gridSpan w:val="2"/>
            <w:vAlign w:val="center"/>
          </w:tcPr>
          <w:p w14:paraId="19C56662" w14:textId="77777777" w:rsidR="00A17C17" w:rsidRPr="00E70587" w:rsidRDefault="00A17C17" w:rsidP="00F54B53">
            <w:pPr>
              <w:spacing w:line="280" w:lineRule="exact"/>
              <w:jc w:val="right"/>
              <w:rPr>
                <w:rFonts w:ascii="Arial" w:hAnsi="Arial" w:cs="Arial"/>
                <w:b/>
                <w:bCs/>
                <w:sz w:val="20"/>
              </w:rPr>
            </w:pPr>
          </w:p>
        </w:tc>
      </w:tr>
      <w:tr w:rsidR="00A17C17" w:rsidRPr="00E70587" w14:paraId="6ADD51B4" w14:textId="77777777" w:rsidTr="00BF7116">
        <w:tc>
          <w:tcPr>
            <w:tcW w:w="2498" w:type="dxa"/>
            <w:vAlign w:val="center"/>
          </w:tcPr>
          <w:p w14:paraId="19922053"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Segment profit</w:t>
            </w:r>
          </w:p>
        </w:tc>
        <w:tc>
          <w:tcPr>
            <w:tcW w:w="1175" w:type="dxa"/>
            <w:tcMar>
              <w:right w:w="108" w:type="dxa"/>
            </w:tcMar>
          </w:tcPr>
          <w:p w14:paraId="15EED28B" w14:textId="298202A8" w:rsidR="00A17C17" w:rsidRPr="00E70587" w:rsidRDefault="00A17C17" w:rsidP="00F54B53">
            <w:pPr>
              <w:spacing w:line="280" w:lineRule="exact"/>
              <w:jc w:val="right"/>
              <w:rPr>
                <w:rFonts w:ascii="Arial" w:hAnsi="Arial" w:cs="Arial"/>
                <w:b/>
                <w:bCs/>
                <w:sz w:val="20"/>
                <w:lang w:eastAsia="en-GB"/>
              </w:rPr>
            </w:pPr>
            <w:r w:rsidRPr="00E70587">
              <w:rPr>
                <w:rFonts w:ascii="Arial" w:hAnsi="Arial" w:cs="Arial"/>
                <w:b/>
                <w:bCs/>
                <w:sz w:val="20"/>
                <w:lang w:eastAsia="en-GB"/>
              </w:rPr>
              <w:t>17,</w:t>
            </w:r>
            <w:r w:rsidR="009D64A8" w:rsidRPr="00E70587">
              <w:rPr>
                <w:rFonts w:ascii="Arial" w:hAnsi="Arial" w:cs="Arial"/>
                <w:b/>
                <w:bCs/>
                <w:sz w:val="20"/>
                <w:lang w:eastAsia="en-GB"/>
              </w:rPr>
              <w:t>23</w:t>
            </w:r>
            <w:r w:rsidR="009D64A8">
              <w:rPr>
                <w:rFonts w:ascii="Arial" w:hAnsi="Arial" w:cs="Arial"/>
                <w:b/>
                <w:bCs/>
                <w:sz w:val="20"/>
                <w:lang w:eastAsia="en-GB"/>
              </w:rPr>
              <w:t>9</w:t>
            </w:r>
          </w:p>
        </w:tc>
        <w:tc>
          <w:tcPr>
            <w:tcW w:w="1176" w:type="dxa"/>
            <w:tcMar>
              <w:right w:w="108" w:type="dxa"/>
            </w:tcMar>
          </w:tcPr>
          <w:p w14:paraId="060FCF6E" w14:textId="77777777" w:rsidR="00A17C17" w:rsidRPr="00E70587" w:rsidRDefault="00A17C17" w:rsidP="00F54B53">
            <w:pPr>
              <w:spacing w:line="280" w:lineRule="exact"/>
              <w:jc w:val="right"/>
              <w:rPr>
                <w:rFonts w:ascii="Arial" w:hAnsi="Arial" w:cs="Arial"/>
                <w:b/>
                <w:bCs/>
                <w:sz w:val="20"/>
                <w:lang w:eastAsia="en-GB"/>
              </w:rPr>
            </w:pPr>
            <w:r w:rsidRPr="00E70587">
              <w:rPr>
                <w:rFonts w:ascii="Arial" w:hAnsi="Arial" w:cs="Arial"/>
                <w:b/>
                <w:bCs/>
                <w:sz w:val="20"/>
                <w:lang w:eastAsia="en-GB"/>
              </w:rPr>
              <w:t>5,342</w:t>
            </w:r>
          </w:p>
        </w:tc>
        <w:tc>
          <w:tcPr>
            <w:tcW w:w="1176" w:type="dxa"/>
          </w:tcPr>
          <w:p w14:paraId="27955387" w14:textId="77777777" w:rsidR="00A17C17" w:rsidRPr="00E70587" w:rsidRDefault="00A17C17" w:rsidP="00F54B53">
            <w:pPr>
              <w:spacing w:line="280" w:lineRule="exact"/>
              <w:jc w:val="right"/>
              <w:rPr>
                <w:rFonts w:ascii="Arial" w:hAnsi="Arial" w:cs="Arial"/>
                <w:b/>
                <w:bCs/>
                <w:sz w:val="20"/>
                <w:lang w:eastAsia="en-GB"/>
              </w:rPr>
            </w:pPr>
            <w:r w:rsidRPr="00E70587">
              <w:rPr>
                <w:rFonts w:ascii="Arial" w:hAnsi="Arial" w:cs="Arial"/>
                <w:b/>
                <w:bCs/>
                <w:sz w:val="20"/>
                <w:lang w:eastAsia="en-GB"/>
              </w:rPr>
              <w:t>578</w:t>
            </w:r>
          </w:p>
        </w:tc>
        <w:tc>
          <w:tcPr>
            <w:tcW w:w="1175" w:type="dxa"/>
          </w:tcPr>
          <w:p w14:paraId="26B22E19" w14:textId="7BACB434" w:rsidR="00A17C17" w:rsidRPr="00E70587" w:rsidRDefault="00A17C17" w:rsidP="00F54B53">
            <w:pPr>
              <w:spacing w:line="280" w:lineRule="exact"/>
              <w:jc w:val="right"/>
              <w:rPr>
                <w:rFonts w:ascii="Arial" w:hAnsi="Arial" w:cs="Arial"/>
                <w:b/>
                <w:bCs/>
                <w:sz w:val="20"/>
                <w:lang w:eastAsia="en-GB"/>
              </w:rPr>
            </w:pPr>
            <w:r w:rsidRPr="00E70587">
              <w:rPr>
                <w:rFonts w:ascii="Arial" w:hAnsi="Arial" w:cs="Arial"/>
                <w:b/>
                <w:bCs/>
                <w:sz w:val="20"/>
                <w:lang w:eastAsia="en-GB"/>
              </w:rPr>
              <w:t>23,</w:t>
            </w:r>
            <w:r w:rsidR="009D64A8" w:rsidRPr="00E70587">
              <w:rPr>
                <w:rFonts w:ascii="Arial" w:hAnsi="Arial" w:cs="Arial"/>
                <w:b/>
                <w:bCs/>
                <w:sz w:val="20"/>
                <w:lang w:eastAsia="en-GB"/>
              </w:rPr>
              <w:t>15</w:t>
            </w:r>
            <w:r w:rsidR="009D64A8">
              <w:rPr>
                <w:rFonts w:ascii="Arial" w:hAnsi="Arial" w:cs="Arial"/>
                <w:b/>
                <w:bCs/>
                <w:sz w:val="20"/>
                <w:lang w:eastAsia="en-GB"/>
              </w:rPr>
              <w:t>9</w:t>
            </w:r>
          </w:p>
        </w:tc>
        <w:tc>
          <w:tcPr>
            <w:tcW w:w="1176" w:type="dxa"/>
            <w:tcMar>
              <w:left w:w="28" w:type="dxa"/>
              <w:right w:w="28" w:type="dxa"/>
            </w:tcMar>
          </w:tcPr>
          <w:p w14:paraId="1C9F3692" w14:textId="77777777" w:rsidR="00A17C17" w:rsidRPr="00E70587" w:rsidRDefault="00A17C17" w:rsidP="00F54B53">
            <w:pPr>
              <w:spacing w:line="280" w:lineRule="exact"/>
              <w:jc w:val="right"/>
              <w:rPr>
                <w:rFonts w:ascii="Arial" w:hAnsi="Arial" w:cs="Arial"/>
                <w:b/>
                <w:bCs/>
                <w:sz w:val="20"/>
                <w:lang w:eastAsia="en-GB"/>
              </w:rPr>
            </w:pPr>
            <w:r w:rsidRPr="00E70587">
              <w:rPr>
                <w:rFonts w:ascii="Arial" w:hAnsi="Arial" w:cs="Arial"/>
                <w:b/>
                <w:bCs/>
                <w:sz w:val="20"/>
                <w:lang w:eastAsia="en-GB"/>
              </w:rPr>
              <w:t>(3,163)</w:t>
            </w:r>
          </w:p>
        </w:tc>
        <w:tc>
          <w:tcPr>
            <w:tcW w:w="1200" w:type="dxa"/>
            <w:gridSpan w:val="2"/>
            <w:tcMar>
              <w:right w:w="108" w:type="dxa"/>
            </w:tcMar>
          </w:tcPr>
          <w:p w14:paraId="22FD4F70" w14:textId="2B8A328B" w:rsidR="00A17C17" w:rsidRPr="00E70587" w:rsidRDefault="00A17C17" w:rsidP="00F54B53">
            <w:pPr>
              <w:spacing w:line="280" w:lineRule="exact"/>
              <w:jc w:val="right"/>
              <w:rPr>
                <w:rFonts w:ascii="Arial" w:hAnsi="Arial" w:cs="Arial"/>
                <w:b/>
                <w:bCs/>
                <w:sz w:val="20"/>
                <w:lang w:eastAsia="en-GB"/>
              </w:rPr>
            </w:pPr>
            <w:bookmarkStart w:id="22" w:name="OLE_LINK1"/>
            <w:r w:rsidRPr="00E70587">
              <w:rPr>
                <w:rFonts w:ascii="Arial" w:hAnsi="Arial" w:cs="Arial"/>
                <w:b/>
                <w:bCs/>
                <w:sz w:val="20"/>
                <w:lang w:eastAsia="en-GB"/>
              </w:rPr>
              <w:t>19,</w:t>
            </w:r>
            <w:bookmarkEnd w:id="22"/>
            <w:r w:rsidR="009D64A8" w:rsidRPr="00E70587">
              <w:rPr>
                <w:rFonts w:ascii="Arial" w:hAnsi="Arial" w:cs="Arial"/>
                <w:b/>
                <w:bCs/>
                <w:sz w:val="20"/>
                <w:lang w:eastAsia="en-GB"/>
              </w:rPr>
              <w:t>99</w:t>
            </w:r>
            <w:r w:rsidR="009D64A8">
              <w:rPr>
                <w:rFonts w:ascii="Arial" w:hAnsi="Arial" w:cs="Arial"/>
                <w:b/>
                <w:bCs/>
                <w:sz w:val="20"/>
                <w:lang w:eastAsia="en-GB"/>
              </w:rPr>
              <w:t>6</w:t>
            </w:r>
          </w:p>
        </w:tc>
      </w:tr>
      <w:tr w:rsidR="00A17C17" w:rsidRPr="00E70587" w14:paraId="38235D18" w14:textId="77777777" w:rsidTr="00BF7116">
        <w:tc>
          <w:tcPr>
            <w:tcW w:w="2498" w:type="dxa"/>
            <w:vAlign w:val="center"/>
          </w:tcPr>
          <w:p w14:paraId="4794544F"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bookmarkStart w:id="23" w:name="_Hlk55314547"/>
            <w:r w:rsidRPr="00E70587">
              <w:rPr>
                <w:rFonts w:ascii="Arial" w:hAnsi="Arial" w:cs="Arial"/>
                <w:b/>
                <w:sz w:val="20"/>
                <w:lang w:val="en-IN"/>
              </w:rPr>
              <w:t>Total assets</w:t>
            </w:r>
          </w:p>
        </w:tc>
        <w:tc>
          <w:tcPr>
            <w:tcW w:w="1175" w:type="dxa"/>
            <w:tcMar>
              <w:right w:w="108" w:type="dxa"/>
            </w:tcMar>
          </w:tcPr>
          <w:p w14:paraId="20734686" w14:textId="70009531" w:rsidR="00A17C17" w:rsidRPr="00E70587" w:rsidRDefault="006F7091" w:rsidP="00A84FC0">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1,0</w:t>
            </w:r>
            <w:r w:rsidR="003B188B">
              <w:rPr>
                <w:rFonts w:ascii="Arial" w:hAnsi="Arial" w:cs="Arial"/>
                <w:b/>
                <w:bCs/>
                <w:sz w:val="20"/>
                <w:lang w:eastAsia="en-GB"/>
              </w:rPr>
              <w:t>4,55</w:t>
            </w:r>
            <w:r w:rsidR="0005173E">
              <w:rPr>
                <w:rFonts w:ascii="Arial" w:hAnsi="Arial" w:cs="Arial"/>
                <w:b/>
                <w:bCs/>
                <w:sz w:val="20"/>
                <w:lang w:eastAsia="en-GB"/>
              </w:rPr>
              <w:t>7</w:t>
            </w:r>
          </w:p>
        </w:tc>
        <w:tc>
          <w:tcPr>
            <w:tcW w:w="1176" w:type="dxa"/>
            <w:tcMar>
              <w:right w:w="108" w:type="dxa"/>
            </w:tcMar>
          </w:tcPr>
          <w:p w14:paraId="016544C5" w14:textId="77777777" w:rsidR="00A17C17" w:rsidRPr="00E70587" w:rsidRDefault="00A17C17" w:rsidP="00A84FC0">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80,665</w:t>
            </w:r>
          </w:p>
        </w:tc>
        <w:tc>
          <w:tcPr>
            <w:tcW w:w="1176" w:type="dxa"/>
          </w:tcPr>
          <w:p w14:paraId="250BF4FD" w14:textId="77777777" w:rsidR="00A17C17" w:rsidRPr="00E70587" w:rsidRDefault="00A17C17" w:rsidP="00A84FC0">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33,241</w:t>
            </w:r>
          </w:p>
        </w:tc>
        <w:tc>
          <w:tcPr>
            <w:tcW w:w="1175" w:type="dxa"/>
            <w:tcMar>
              <w:left w:w="28" w:type="dxa"/>
              <w:right w:w="85" w:type="dxa"/>
            </w:tcMar>
          </w:tcPr>
          <w:p w14:paraId="56C242F6" w14:textId="7ED77A0A" w:rsidR="00A17C17" w:rsidRPr="00E70587" w:rsidRDefault="006F7091" w:rsidP="00A84FC0">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w:t>
            </w:r>
            <w:r w:rsidR="003B188B" w:rsidRPr="00E70587">
              <w:rPr>
                <w:rFonts w:ascii="Arial" w:hAnsi="Arial" w:cs="Arial"/>
                <w:b/>
                <w:bCs/>
                <w:sz w:val="20"/>
                <w:lang w:eastAsia="en-GB"/>
              </w:rPr>
              <w:t>1</w:t>
            </w:r>
            <w:r w:rsidR="003B188B">
              <w:rPr>
                <w:rFonts w:ascii="Arial" w:hAnsi="Arial" w:cs="Arial"/>
                <w:b/>
                <w:bCs/>
                <w:sz w:val="20"/>
                <w:lang w:eastAsia="en-GB"/>
              </w:rPr>
              <w:t>8</w:t>
            </w:r>
            <w:r w:rsidRPr="00E70587">
              <w:rPr>
                <w:rFonts w:ascii="Arial" w:hAnsi="Arial" w:cs="Arial"/>
                <w:b/>
                <w:bCs/>
                <w:sz w:val="20"/>
                <w:lang w:eastAsia="en-GB"/>
              </w:rPr>
              <w:t>,</w:t>
            </w:r>
            <w:r w:rsidR="00EE6EDA">
              <w:rPr>
                <w:rFonts w:ascii="Arial" w:hAnsi="Arial" w:cs="Arial"/>
                <w:b/>
                <w:bCs/>
                <w:sz w:val="20"/>
                <w:lang w:eastAsia="en-GB"/>
              </w:rPr>
              <w:t>4</w:t>
            </w:r>
            <w:r w:rsidR="00EF3EF6">
              <w:rPr>
                <w:rFonts w:ascii="Arial" w:hAnsi="Arial" w:cs="Arial"/>
                <w:b/>
                <w:bCs/>
                <w:sz w:val="20"/>
                <w:lang w:eastAsia="en-GB"/>
              </w:rPr>
              <w:t>63</w:t>
            </w:r>
          </w:p>
        </w:tc>
        <w:tc>
          <w:tcPr>
            <w:tcW w:w="1176" w:type="dxa"/>
            <w:tcMar>
              <w:left w:w="57" w:type="dxa"/>
            </w:tcMar>
          </w:tcPr>
          <w:p w14:paraId="758FAD6B" w14:textId="480A7662" w:rsidR="00A17C17" w:rsidRPr="00E70587" w:rsidRDefault="00A17C17" w:rsidP="00A84FC0">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34,</w:t>
            </w:r>
            <w:r w:rsidR="00EF3EF6" w:rsidRPr="00E70587">
              <w:rPr>
                <w:rFonts w:ascii="Arial" w:hAnsi="Arial" w:cs="Arial"/>
                <w:b/>
                <w:bCs/>
                <w:sz w:val="20"/>
                <w:lang w:eastAsia="en-GB"/>
              </w:rPr>
              <w:t>0</w:t>
            </w:r>
            <w:r w:rsidR="00EF3EF6">
              <w:rPr>
                <w:rFonts w:ascii="Arial" w:hAnsi="Arial" w:cs="Arial"/>
                <w:b/>
                <w:bCs/>
                <w:sz w:val="20"/>
                <w:lang w:eastAsia="en-GB"/>
              </w:rPr>
              <w:t>67</w:t>
            </w:r>
          </w:p>
        </w:tc>
        <w:tc>
          <w:tcPr>
            <w:tcW w:w="1200" w:type="dxa"/>
            <w:gridSpan w:val="2"/>
            <w:tcMar>
              <w:right w:w="108" w:type="dxa"/>
            </w:tcMar>
          </w:tcPr>
          <w:p w14:paraId="23FCE67F" w14:textId="75C07D35" w:rsidR="00A17C17" w:rsidRPr="00E70587" w:rsidRDefault="008F79FA" w:rsidP="00A84FC0">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w:t>
            </w:r>
            <w:r w:rsidR="003B188B">
              <w:rPr>
                <w:rFonts w:ascii="Arial" w:hAnsi="Arial" w:cs="Arial"/>
                <w:b/>
                <w:bCs/>
                <w:sz w:val="20"/>
                <w:lang w:eastAsia="en-GB"/>
              </w:rPr>
              <w:t>52</w:t>
            </w:r>
            <w:r w:rsidRPr="00E70587">
              <w:rPr>
                <w:rFonts w:ascii="Arial" w:hAnsi="Arial" w:cs="Arial"/>
                <w:b/>
                <w:bCs/>
                <w:sz w:val="20"/>
                <w:lang w:eastAsia="en-GB"/>
              </w:rPr>
              <w:t>,</w:t>
            </w:r>
            <w:r w:rsidR="003B188B">
              <w:rPr>
                <w:rFonts w:ascii="Arial" w:hAnsi="Arial" w:cs="Arial"/>
                <w:b/>
                <w:bCs/>
                <w:sz w:val="20"/>
                <w:lang w:eastAsia="en-GB"/>
              </w:rPr>
              <w:t>530</w:t>
            </w:r>
          </w:p>
        </w:tc>
      </w:tr>
      <w:tr w:rsidR="00A17C17" w:rsidRPr="00E70587" w14:paraId="5B46EB99" w14:textId="77777777" w:rsidTr="00BF7116">
        <w:tc>
          <w:tcPr>
            <w:tcW w:w="2498" w:type="dxa"/>
            <w:vAlign w:val="center"/>
          </w:tcPr>
          <w:p w14:paraId="3FB73C15"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liabilities</w:t>
            </w:r>
          </w:p>
        </w:tc>
        <w:tc>
          <w:tcPr>
            <w:tcW w:w="1175" w:type="dxa"/>
            <w:tcMar>
              <w:right w:w="108" w:type="dxa"/>
            </w:tcMar>
          </w:tcPr>
          <w:p w14:paraId="7388CDB7" w14:textId="5EC32514" w:rsidR="00A17C17" w:rsidRPr="00E70587" w:rsidRDefault="00CE0450" w:rsidP="00F54B53">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3</w:t>
            </w:r>
            <w:r w:rsidR="003C0517">
              <w:rPr>
                <w:rFonts w:ascii="Arial" w:hAnsi="Arial" w:cs="Arial"/>
                <w:b/>
                <w:bCs/>
                <w:sz w:val="20"/>
                <w:lang w:eastAsia="en-GB"/>
              </w:rPr>
              <w:t>7</w:t>
            </w:r>
            <w:r w:rsidR="00A17C17" w:rsidRPr="00E70587">
              <w:rPr>
                <w:rFonts w:ascii="Arial" w:hAnsi="Arial" w:cs="Arial"/>
                <w:b/>
                <w:bCs/>
                <w:sz w:val="20"/>
                <w:lang w:eastAsia="en-GB"/>
              </w:rPr>
              <w:t>,</w:t>
            </w:r>
            <w:r w:rsidR="009D64A8">
              <w:rPr>
                <w:rFonts w:ascii="Arial" w:hAnsi="Arial" w:cs="Arial"/>
                <w:b/>
                <w:bCs/>
                <w:sz w:val="20"/>
                <w:lang w:eastAsia="en-GB"/>
              </w:rPr>
              <w:t>5</w:t>
            </w:r>
            <w:r w:rsidR="003C0517">
              <w:rPr>
                <w:rFonts w:ascii="Arial" w:hAnsi="Arial" w:cs="Arial"/>
                <w:b/>
                <w:bCs/>
                <w:sz w:val="20"/>
                <w:lang w:eastAsia="en-GB"/>
              </w:rPr>
              <w:t>34</w:t>
            </w:r>
          </w:p>
        </w:tc>
        <w:tc>
          <w:tcPr>
            <w:tcW w:w="1176" w:type="dxa"/>
            <w:tcMar>
              <w:right w:w="108" w:type="dxa"/>
            </w:tcMar>
          </w:tcPr>
          <w:p w14:paraId="6248C862" w14:textId="77777777" w:rsidR="00A17C17" w:rsidRPr="00E70587" w:rsidRDefault="00A17C17" w:rsidP="00F54B53">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13,054</w:t>
            </w:r>
          </w:p>
        </w:tc>
        <w:tc>
          <w:tcPr>
            <w:tcW w:w="1176" w:type="dxa"/>
          </w:tcPr>
          <w:p w14:paraId="1D3C4ED1" w14:textId="77777777" w:rsidR="00A17C17" w:rsidRPr="00E70587" w:rsidRDefault="00A17C17" w:rsidP="00F54B53">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8,467</w:t>
            </w:r>
          </w:p>
        </w:tc>
        <w:tc>
          <w:tcPr>
            <w:tcW w:w="1175" w:type="dxa"/>
          </w:tcPr>
          <w:p w14:paraId="2DA85B07" w14:textId="58A46E9D" w:rsidR="00A17C17" w:rsidRPr="00E70587" w:rsidRDefault="00CE0450" w:rsidP="00F54B53">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5</w:t>
            </w:r>
            <w:r w:rsidR="009D64A8">
              <w:rPr>
                <w:rFonts w:ascii="Arial" w:hAnsi="Arial" w:cs="Arial"/>
                <w:b/>
                <w:bCs/>
                <w:sz w:val="20"/>
                <w:lang w:eastAsia="en-GB"/>
              </w:rPr>
              <w:t>9</w:t>
            </w:r>
            <w:r w:rsidR="00A17C17" w:rsidRPr="00E70587">
              <w:rPr>
                <w:rFonts w:ascii="Arial" w:hAnsi="Arial" w:cs="Arial"/>
                <w:b/>
                <w:bCs/>
                <w:sz w:val="20"/>
                <w:lang w:eastAsia="en-GB"/>
              </w:rPr>
              <w:t>,</w:t>
            </w:r>
            <w:r w:rsidR="009D64A8">
              <w:rPr>
                <w:rFonts w:ascii="Arial" w:hAnsi="Arial" w:cs="Arial"/>
                <w:b/>
                <w:bCs/>
                <w:sz w:val="20"/>
                <w:lang w:eastAsia="en-GB"/>
              </w:rPr>
              <w:t>0</w:t>
            </w:r>
            <w:r w:rsidR="00345DAA">
              <w:rPr>
                <w:rFonts w:ascii="Arial" w:hAnsi="Arial" w:cs="Arial"/>
                <w:b/>
                <w:bCs/>
                <w:sz w:val="20"/>
                <w:lang w:eastAsia="en-GB"/>
              </w:rPr>
              <w:t>55</w:t>
            </w:r>
          </w:p>
        </w:tc>
        <w:tc>
          <w:tcPr>
            <w:tcW w:w="1176" w:type="dxa"/>
            <w:tcMar>
              <w:left w:w="57" w:type="dxa"/>
            </w:tcMar>
          </w:tcPr>
          <w:p w14:paraId="2EB8F0BD" w14:textId="77777777" w:rsidR="00A17C17" w:rsidRPr="00E70587" w:rsidRDefault="00A17C17" w:rsidP="00F54B53">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81,1</w:t>
            </w:r>
            <w:r w:rsidR="00C05F63" w:rsidRPr="00E70587">
              <w:rPr>
                <w:rFonts w:ascii="Arial" w:hAnsi="Arial" w:cs="Arial"/>
                <w:b/>
                <w:bCs/>
                <w:sz w:val="20"/>
                <w:lang w:eastAsia="en-GB"/>
              </w:rPr>
              <w:t>11</w:t>
            </w:r>
          </w:p>
        </w:tc>
        <w:tc>
          <w:tcPr>
            <w:tcW w:w="1200" w:type="dxa"/>
            <w:gridSpan w:val="2"/>
            <w:tcMar>
              <w:right w:w="108" w:type="dxa"/>
            </w:tcMar>
          </w:tcPr>
          <w:p w14:paraId="07F84A4C" w14:textId="6B83A63B" w:rsidR="00A17C17" w:rsidRPr="00E70587" w:rsidRDefault="00A17C17" w:rsidP="00F54B53">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w:t>
            </w:r>
            <w:r w:rsidR="00CE0450">
              <w:rPr>
                <w:rFonts w:ascii="Arial" w:hAnsi="Arial" w:cs="Arial"/>
                <w:b/>
                <w:bCs/>
                <w:sz w:val="20"/>
                <w:lang w:eastAsia="en-GB"/>
              </w:rPr>
              <w:t>40</w:t>
            </w:r>
            <w:r w:rsidRPr="00E70587">
              <w:rPr>
                <w:rFonts w:ascii="Arial" w:hAnsi="Arial" w:cs="Arial"/>
                <w:b/>
                <w:bCs/>
                <w:sz w:val="20"/>
                <w:lang w:eastAsia="en-GB"/>
              </w:rPr>
              <w:t>,</w:t>
            </w:r>
            <w:r w:rsidR="009D64A8">
              <w:rPr>
                <w:rFonts w:ascii="Arial" w:hAnsi="Arial" w:cs="Arial"/>
                <w:b/>
                <w:bCs/>
                <w:sz w:val="20"/>
                <w:lang w:eastAsia="en-GB"/>
              </w:rPr>
              <w:t>1</w:t>
            </w:r>
            <w:r w:rsidR="00345DAA">
              <w:rPr>
                <w:rFonts w:ascii="Arial" w:hAnsi="Arial" w:cs="Arial"/>
                <w:b/>
                <w:bCs/>
                <w:sz w:val="20"/>
                <w:lang w:eastAsia="en-GB"/>
              </w:rPr>
              <w:t>66</w:t>
            </w:r>
          </w:p>
        </w:tc>
      </w:tr>
      <w:bookmarkEnd w:id="23"/>
      <w:tr w:rsidR="00A17C17" w:rsidRPr="00E70587" w14:paraId="592F4785" w14:textId="77777777" w:rsidTr="00BF7116">
        <w:trPr>
          <w:gridAfter w:val="1"/>
          <w:wAfter w:w="29" w:type="dxa"/>
        </w:trPr>
        <w:tc>
          <w:tcPr>
            <w:tcW w:w="2498" w:type="dxa"/>
            <w:vAlign w:val="center"/>
          </w:tcPr>
          <w:p w14:paraId="4AC929F1"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Other disclosures</w:t>
            </w:r>
          </w:p>
        </w:tc>
        <w:tc>
          <w:tcPr>
            <w:tcW w:w="1175" w:type="dxa"/>
            <w:vAlign w:val="bottom"/>
          </w:tcPr>
          <w:p w14:paraId="225AE8D4" w14:textId="77777777" w:rsidR="00A17C17" w:rsidRPr="00E70587" w:rsidRDefault="00A17C17" w:rsidP="00F54B5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76" w:type="dxa"/>
            <w:vAlign w:val="bottom"/>
          </w:tcPr>
          <w:p w14:paraId="14A2E489" w14:textId="77777777" w:rsidR="00A17C17" w:rsidRPr="00E70587" w:rsidRDefault="00A17C17" w:rsidP="00F54B5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76" w:type="dxa"/>
            <w:vAlign w:val="bottom"/>
          </w:tcPr>
          <w:p w14:paraId="4826153D" w14:textId="77777777" w:rsidR="00A17C17" w:rsidRPr="00E70587" w:rsidRDefault="00A17C17" w:rsidP="00F54B5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75" w:type="dxa"/>
            <w:vAlign w:val="bottom"/>
          </w:tcPr>
          <w:p w14:paraId="7809AB36" w14:textId="77777777" w:rsidR="00A17C17" w:rsidRPr="00E70587" w:rsidRDefault="00A17C17" w:rsidP="00F54B53">
            <w:pPr>
              <w:pStyle w:val="Tablecolumnheading"/>
              <w:spacing w:line="280" w:lineRule="exact"/>
              <w:rPr>
                <w:rFonts w:ascii="Arial" w:hAnsi="Arial"/>
                <w:b w:val="0"/>
                <w:color w:val="auto"/>
                <w:sz w:val="20"/>
                <w:szCs w:val="20"/>
                <w:lang w:val="en-IN"/>
              </w:rPr>
            </w:pPr>
          </w:p>
        </w:tc>
        <w:tc>
          <w:tcPr>
            <w:tcW w:w="1176" w:type="dxa"/>
            <w:vAlign w:val="bottom"/>
          </w:tcPr>
          <w:p w14:paraId="25FA1F98" w14:textId="77777777" w:rsidR="00A17C17" w:rsidRPr="00E70587" w:rsidRDefault="00A17C17" w:rsidP="00F54B5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71" w:type="dxa"/>
            <w:vAlign w:val="bottom"/>
          </w:tcPr>
          <w:p w14:paraId="079AD021" w14:textId="77777777" w:rsidR="00A17C17" w:rsidRPr="00E70587" w:rsidRDefault="00A17C17" w:rsidP="00F54B53">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A17C17" w:rsidRPr="00E70587" w14:paraId="48AB218A" w14:textId="77777777" w:rsidTr="00BF7116">
        <w:trPr>
          <w:gridAfter w:val="1"/>
          <w:wAfter w:w="29" w:type="dxa"/>
        </w:trPr>
        <w:tc>
          <w:tcPr>
            <w:tcW w:w="2498" w:type="dxa"/>
            <w:tcMar>
              <w:right w:w="57" w:type="dxa"/>
            </w:tcMar>
            <w:vAlign w:val="bottom"/>
          </w:tcPr>
          <w:p w14:paraId="05D7A8BD" w14:textId="44E00F5B"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Investments in an associate and a joint venture</w:t>
            </w:r>
            <w:r w:rsidR="00F047DA">
              <w:rPr>
                <w:rFonts w:ascii="Arial" w:hAnsi="Arial" w:cs="Arial"/>
                <w:sz w:val="20"/>
                <w:lang w:val="en-IN"/>
              </w:rPr>
              <w:t xml:space="preserve"> </w:t>
            </w:r>
            <w:r w:rsidRPr="00E70587">
              <w:rPr>
                <w:rFonts w:ascii="Arial" w:hAnsi="Arial" w:cs="Arial"/>
                <w:sz w:val="20"/>
                <w:lang w:val="en-IN"/>
              </w:rPr>
              <w:t>(Notes 38,</w:t>
            </w:r>
            <w:r w:rsidR="002860D1" w:rsidRPr="00E70587">
              <w:rPr>
                <w:rFonts w:ascii="Arial" w:hAnsi="Arial" w:cs="Arial"/>
                <w:sz w:val="20"/>
                <w:lang w:val="en-IN"/>
              </w:rPr>
              <w:t xml:space="preserve"> </w:t>
            </w:r>
            <w:r w:rsidRPr="00E70587">
              <w:rPr>
                <w:rFonts w:ascii="Arial" w:hAnsi="Arial" w:cs="Arial"/>
                <w:sz w:val="20"/>
                <w:lang w:val="en-IN"/>
              </w:rPr>
              <w:t>39)</w:t>
            </w:r>
          </w:p>
        </w:tc>
        <w:tc>
          <w:tcPr>
            <w:tcW w:w="1175" w:type="dxa"/>
          </w:tcPr>
          <w:p w14:paraId="3D7111F5"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5,737</w:t>
            </w:r>
          </w:p>
        </w:tc>
        <w:tc>
          <w:tcPr>
            <w:tcW w:w="1176" w:type="dxa"/>
          </w:tcPr>
          <w:p w14:paraId="35CABFCB"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w:t>
            </w:r>
          </w:p>
        </w:tc>
        <w:tc>
          <w:tcPr>
            <w:tcW w:w="1176" w:type="dxa"/>
          </w:tcPr>
          <w:p w14:paraId="3E2C95C7"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w:t>
            </w:r>
          </w:p>
        </w:tc>
        <w:tc>
          <w:tcPr>
            <w:tcW w:w="1175" w:type="dxa"/>
          </w:tcPr>
          <w:p w14:paraId="4F7AD4A0"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5,737</w:t>
            </w:r>
          </w:p>
        </w:tc>
        <w:tc>
          <w:tcPr>
            <w:tcW w:w="1176" w:type="dxa"/>
          </w:tcPr>
          <w:p w14:paraId="363BD617"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w:t>
            </w:r>
          </w:p>
        </w:tc>
        <w:tc>
          <w:tcPr>
            <w:tcW w:w="1171" w:type="dxa"/>
          </w:tcPr>
          <w:p w14:paraId="309113A3"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5,737</w:t>
            </w:r>
          </w:p>
        </w:tc>
      </w:tr>
      <w:tr w:rsidR="00A17C17" w:rsidRPr="00E70587" w14:paraId="6ABFCA90" w14:textId="77777777" w:rsidTr="00BF7116">
        <w:trPr>
          <w:gridAfter w:val="1"/>
          <w:wAfter w:w="29" w:type="dxa"/>
        </w:trPr>
        <w:tc>
          <w:tcPr>
            <w:tcW w:w="2498" w:type="dxa"/>
            <w:vAlign w:val="bottom"/>
          </w:tcPr>
          <w:p w14:paraId="6832965A"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Capital expenditure</w:t>
            </w:r>
          </w:p>
        </w:tc>
        <w:tc>
          <w:tcPr>
            <w:tcW w:w="1175" w:type="dxa"/>
          </w:tcPr>
          <w:p w14:paraId="77BEF81F"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33,928</w:t>
            </w:r>
          </w:p>
        </w:tc>
        <w:tc>
          <w:tcPr>
            <w:tcW w:w="1176" w:type="dxa"/>
          </w:tcPr>
          <w:p w14:paraId="7441C002"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5,116</w:t>
            </w:r>
          </w:p>
        </w:tc>
        <w:tc>
          <w:tcPr>
            <w:tcW w:w="1176" w:type="dxa"/>
          </w:tcPr>
          <w:p w14:paraId="19700B95"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2,189</w:t>
            </w:r>
          </w:p>
        </w:tc>
        <w:tc>
          <w:tcPr>
            <w:tcW w:w="1175" w:type="dxa"/>
          </w:tcPr>
          <w:p w14:paraId="7A791A88"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41,233</w:t>
            </w:r>
          </w:p>
        </w:tc>
        <w:tc>
          <w:tcPr>
            <w:tcW w:w="1176" w:type="dxa"/>
          </w:tcPr>
          <w:p w14:paraId="12FBD795"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w:t>
            </w:r>
          </w:p>
        </w:tc>
        <w:tc>
          <w:tcPr>
            <w:tcW w:w="1171" w:type="dxa"/>
          </w:tcPr>
          <w:p w14:paraId="628A327D" w14:textId="77777777" w:rsidR="00A17C17" w:rsidRPr="00E70587" w:rsidRDefault="00A17C17" w:rsidP="00F54B53">
            <w:pPr>
              <w:spacing w:line="280" w:lineRule="exact"/>
              <w:jc w:val="right"/>
              <w:rPr>
                <w:rFonts w:ascii="Arial" w:hAnsi="Arial" w:cs="Arial"/>
                <w:sz w:val="20"/>
              </w:rPr>
            </w:pPr>
            <w:r w:rsidRPr="00E70587">
              <w:rPr>
                <w:rFonts w:ascii="Arial" w:hAnsi="Arial" w:cs="Arial"/>
                <w:sz w:val="20"/>
              </w:rPr>
              <w:t>41,233</w:t>
            </w:r>
          </w:p>
        </w:tc>
      </w:tr>
    </w:tbl>
    <w:p w14:paraId="5ACAD864" w14:textId="77777777" w:rsidR="00645C07" w:rsidRDefault="00645C07" w:rsidP="009901E1">
      <w:pPr>
        <w:spacing w:line="280" w:lineRule="exact"/>
        <w:rPr>
          <w:rFonts w:ascii="Arial" w:hAnsi="Arial" w:cs="Arial"/>
          <w:b/>
          <w:sz w:val="20"/>
        </w:rPr>
      </w:pPr>
    </w:p>
    <w:p w14:paraId="6A45AB9B" w14:textId="77777777" w:rsidR="00657499" w:rsidRPr="00E70587" w:rsidRDefault="00657499" w:rsidP="009901E1">
      <w:pPr>
        <w:spacing w:line="280" w:lineRule="exact"/>
        <w:rPr>
          <w:rFonts w:ascii="Arial" w:hAnsi="Arial" w:cs="Arial"/>
          <w:b/>
          <w:sz w:val="20"/>
        </w:rPr>
      </w:pPr>
    </w:p>
    <w:p w14:paraId="32DC6B9D" w14:textId="19BF4738" w:rsidR="00C803F6" w:rsidRPr="00E70587" w:rsidRDefault="00C803F6" w:rsidP="00657499">
      <w:pPr>
        <w:tabs>
          <w:tab w:val="right" w:pos="9360"/>
        </w:tabs>
        <w:spacing w:line="280" w:lineRule="exact"/>
        <w:rPr>
          <w:rFonts w:ascii="Arial" w:hAnsi="Arial" w:cs="Arial"/>
          <w:b/>
          <w:sz w:val="20"/>
        </w:rPr>
      </w:pPr>
      <w:r w:rsidRPr="00E70587">
        <w:rPr>
          <w:rFonts w:ascii="Arial" w:hAnsi="Arial" w:cs="Arial"/>
          <w:b/>
          <w:sz w:val="20"/>
        </w:rPr>
        <w:t xml:space="preserve">Year ended 31 </w:t>
      </w:r>
      <w:r w:rsidR="008B730E" w:rsidRPr="00E70587">
        <w:rPr>
          <w:rFonts w:ascii="Arial" w:hAnsi="Arial" w:cs="Arial"/>
          <w:b/>
          <w:sz w:val="20"/>
        </w:rPr>
        <w:t xml:space="preserve">March </w:t>
      </w:r>
      <w:r w:rsidR="007825ED" w:rsidRPr="00E70587">
        <w:rPr>
          <w:rFonts w:ascii="Arial" w:hAnsi="Arial" w:cs="Arial"/>
          <w:b/>
          <w:sz w:val="20"/>
        </w:rPr>
        <w:t>20</w:t>
      </w:r>
      <w:r w:rsidR="007825ED">
        <w:rPr>
          <w:rFonts w:ascii="Arial" w:hAnsi="Arial" w:cs="Arial"/>
          <w:b/>
          <w:sz w:val="20"/>
        </w:rPr>
        <w:t>20</w:t>
      </w:r>
      <w:r w:rsidR="00657499">
        <w:rPr>
          <w:rFonts w:ascii="Arial" w:hAnsi="Arial" w:cs="Arial"/>
          <w:b/>
          <w:sz w:val="20"/>
        </w:rPr>
        <w:tab/>
      </w:r>
    </w:p>
    <w:tbl>
      <w:tblPr>
        <w:tblW w:w="9576" w:type="dxa"/>
        <w:tblLayout w:type="fixed"/>
        <w:tblLook w:val="01E0" w:firstRow="1" w:lastRow="1" w:firstColumn="1" w:lastColumn="1" w:noHBand="0" w:noVBand="0"/>
      </w:tblPr>
      <w:tblGrid>
        <w:gridCol w:w="2448"/>
        <w:gridCol w:w="1188"/>
        <w:gridCol w:w="1188"/>
        <w:gridCol w:w="1188"/>
        <w:gridCol w:w="1188"/>
        <w:gridCol w:w="1188"/>
        <w:gridCol w:w="1188"/>
      </w:tblGrid>
      <w:tr w:rsidR="00A17C17" w:rsidRPr="00E70587" w14:paraId="4A2FA229" w14:textId="77777777" w:rsidTr="006406AD">
        <w:trPr>
          <w:tblHeader/>
        </w:trPr>
        <w:tc>
          <w:tcPr>
            <w:tcW w:w="2448" w:type="dxa"/>
            <w:tcMar>
              <w:left w:w="108" w:type="dxa"/>
            </w:tcMar>
            <w:vAlign w:val="bottom"/>
          </w:tcPr>
          <w:p w14:paraId="4D194678" w14:textId="77777777" w:rsidR="00A17C17" w:rsidRPr="00E70587" w:rsidRDefault="00A17C17" w:rsidP="009901E1">
            <w:pPr>
              <w:pStyle w:val="Tablecolumnheading"/>
              <w:spacing w:line="280" w:lineRule="exact"/>
              <w:jc w:val="left"/>
              <w:rPr>
                <w:rFonts w:ascii="Arial" w:hAnsi="Arial"/>
                <w:color w:val="auto"/>
                <w:szCs w:val="20"/>
                <w:lang w:val="en-IN"/>
              </w:rPr>
            </w:pPr>
            <w:r w:rsidRPr="00E70587">
              <w:rPr>
                <w:rFonts w:ascii="Arial" w:hAnsi="Arial"/>
                <w:color w:val="auto"/>
                <w:szCs w:val="20"/>
                <w:lang w:val="en-IN"/>
              </w:rPr>
              <w:t>Particular</w:t>
            </w:r>
          </w:p>
        </w:tc>
        <w:tc>
          <w:tcPr>
            <w:tcW w:w="1188" w:type="dxa"/>
            <w:tcMar>
              <w:left w:w="0" w:type="dxa"/>
              <w:right w:w="57" w:type="dxa"/>
            </w:tcMar>
            <w:vAlign w:val="bottom"/>
          </w:tcPr>
          <w:p w14:paraId="5DB13AAA" w14:textId="77777777" w:rsidR="00A17C17" w:rsidRPr="00E70587" w:rsidRDefault="00A17C17" w:rsidP="009901E1">
            <w:pPr>
              <w:pStyle w:val="Tablecolumnheading"/>
              <w:spacing w:line="280" w:lineRule="exact"/>
              <w:rPr>
                <w:rFonts w:ascii="Arial" w:hAnsi="Arial"/>
                <w:color w:val="auto"/>
                <w:szCs w:val="20"/>
                <w:lang w:val="en-IN"/>
              </w:rPr>
            </w:pPr>
            <w:r w:rsidRPr="00E70587">
              <w:rPr>
                <w:rFonts w:ascii="Arial" w:hAnsi="Arial"/>
                <w:color w:val="auto"/>
                <w:szCs w:val="20"/>
                <w:lang w:val="en-IN"/>
              </w:rPr>
              <w:t>Fire prevention equipment</w:t>
            </w:r>
          </w:p>
        </w:tc>
        <w:tc>
          <w:tcPr>
            <w:tcW w:w="1188" w:type="dxa"/>
            <w:tcMar>
              <w:left w:w="0" w:type="dxa"/>
              <w:right w:w="57" w:type="dxa"/>
            </w:tcMar>
            <w:vAlign w:val="bottom"/>
          </w:tcPr>
          <w:p w14:paraId="73247A20" w14:textId="77777777" w:rsidR="00A17C17" w:rsidRPr="00E70587" w:rsidRDefault="00A17C17" w:rsidP="009901E1">
            <w:pPr>
              <w:pStyle w:val="Tablecolumnheading"/>
              <w:spacing w:line="280" w:lineRule="exact"/>
              <w:rPr>
                <w:rFonts w:ascii="Arial" w:hAnsi="Arial"/>
                <w:color w:val="auto"/>
                <w:szCs w:val="20"/>
                <w:lang w:val="en-IN"/>
              </w:rPr>
            </w:pPr>
            <w:r w:rsidRPr="00E70587">
              <w:rPr>
                <w:rFonts w:ascii="Arial" w:hAnsi="Arial"/>
                <w:color w:val="auto"/>
                <w:szCs w:val="20"/>
                <w:lang w:val="en-IN"/>
              </w:rPr>
              <w:t>Electronics</w:t>
            </w:r>
          </w:p>
        </w:tc>
        <w:tc>
          <w:tcPr>
            <w:tcW w:w="1188" w:type="dxa"/>
            <w:tcMar>
              <w:left w:w="108" w:type="dxa"/>
              <w:right w:w="57" w:type="dxa"/>
            </w:tcMar>
            <w:vAlign w:val="bottom"/>
          </w:tcPr>
          <w:p w14:paraId="596E0CD1" w14:textId="77777777" w:rsidR="00A17C17" w:rsidRPr="00E70587" w:rsidRDefault="00A17C17" w:rsidP="009901E1">
            <w:pPr>
              <w:pStyle w:val="Tablecolumnheading"/>
              <w:spacing w:line="280" w:lineRule="exact"/>
              <w:rPr>
                <w:rFonts w:ascii="Arial" w:hAnsi="Arial"/>
                <w:color w:val="auto"/>
                <w:szCs w:val="20"/>
                <w:lang w:val="en-IN"/>
              </w:rPr>
            </w:pPr>
            <w:r w:rsidRPr="00E70587">
              <w:rPr>
                <w:rFonts w:ascii="Arial" w:hAnsi="Arial"/>
                <w:color w:val="auto"/>
                <w:szCs w:val="20"/>
                <w:lang w:val="en-IN"/>
              </w:rPr>
              <w:t>Investment properties</w:t>
            </w:r>
          </w:p>
        </w:tc>
        <w:tc>
          <w:tcPr>
            <w:tcW w:w="1188" w:type="dxa"/>
            <w:tcMar>
              <w:right w:w="57" w:type="dxa"/>
            </w:tcMar>
            <w:vAlign w:val="bottom"/>
          </w:tcPr>
          <w:p w14:paraId="6DEE9D0B" w14:textId="77777777" w:rsidR="00A17C17" w:rsidRPr="00E70587" w:rsidRDefault="00A17C17" w:rsidP="009901E1">
            <w:pPr>
              <w:pStyle w:val="Tablecolumnheading"/>
              <w:spacing w:line="280" w:lineRule="exact"/>
              <w:rPr>
                <w:rFonts w:ascii="Arial" w:hAnsi="Arial"/>
                <w:color w:val="auto"/>
                <w:szCs w:val="20"/>
                <w:lang w:val="en-IN"/>
              </w:rPr>
            </w:pPr>
            <w:r w:rsidRPr="00E70587">
              <w:rPr>
                <w:rFonts w:ascii="Arial" w:hAnsi="Arial"/>
                <w:color w:val="auto"/>
                <w:szCs w:val="20"/>
                <w:lang w:val="en-IN"/>
              </w:rPr>
              <w:t>Total segments</w:t>
            </w:r>
          </w:p>
        </w:tc>
        <w:tc>
          <w:tcPr>
            <w:tcW w:w="1188" w:type="dxa"/>
            <w:tcMar>
              <w:left w:w="0" w:type="dxa"/>
              <w:right w:w="57" w:type="dxa"/>
            </w:tcMar>
            <w:vAlign w:val="bottom"/>
          </w:tcPr>
          <w:p w14:paraId="760B9725" w14:textId="77777777" w:rsidR="00A17C17" w:rsidRPr="00E70587" w:rsidRDefault="00A17C17" w:rsidP="009901E1">
            <w:pPr>
              <w:pStyle w:val="Tablecolumnheading"/>
              <w:spacing w:line="280" w:lineRule="exact"/>
              <w:rPr>
                <w:rFonts w:ascii="Arial" w:hAnsi="Arial"/>
                <w:color w:val="auto"/>
                <w:szCs w:val="20"/>
                <w:lang w:val="en-IN"/>
              </w:rPr>
            </w:pPr>
            <w:r w:rsidRPr="00E70587">
              <w:rPr>
                <w:rFonts w:ascii="Arial" w:hAnsi="Arial"/>
                <w:color w:val="auto"/>
                <w:szCs w:val="20"/>
                <w:lang w:val="en-IN"/>
              </w:rPr>
              <w:t xml:space="preserve">Adjustments and </w:t>
            </w:r>
          </w:p>
          <w:p w14:paraId="35B252DD" w14:textId="77777777" w:rsidR="00A17C17" w:rsidRPr="00E70587" w:rsidRDefault="00A17C17" w:rsidP="009901E1">
            <w:pPr>
              <w:pStyle w:val="Tablecolumnheading"/>
              <w:spacing w:line="280" w:lineRule="exact"/>
              <w:rPr>
                <w:rFonts w:ascii="Arial" w:hAnsi="Arial"/>
                <w:color w:val="auto"/>
                <w:szCs w:val="20"/>
                <w:lang w:val="en-IN"/>
              </w:rPr>
            </w:pPr>
            <w:r w:rsidRPr="00E70587">
              <w:rPr>
                <w:rFonts w:ascii="Arial" w:hAnsi="Arial"/>
                <w:color w:val="auto"/>
                <w:szCs w:val="20"/>
                <w:lang w:val="en-IN"/>
              </w:rPr>
              <w:t>eliminations</w:t>
            </w:r>
          </w:p>
        </w:tc>
        <w:tc>
          <w:tcPr>
            <w:tcW w:w="1188" w:type="dxa"/>
            <w:tcMar>
              <w:left w:w="0" w:type="dxa"/>
              <w:right w:w="57" w:type="dxa"/>
            </w:tcMar>
            <w:vAlign w:val="bottom"/>
          </w:tcPr>
          <w:p w14:paraId="1521BBD5" w14:textId="77777777" w:rsidR="00A17C17" w:rsidRPr="00E70587" w:rsidRDefault="00A17C17" w:rsidP="009901E1">
            <w:pPr>
              <w:pStyle w:val="Tablecolumnheading"/>
              <w:spacing w:line="280" w:lineRule="exact"/>
              <w:rPr>
                <w:rFonts w:ascii="Arial" w:hAnsi="Arial"/>
                <w:color w:val="auto"/>
                <w:szCs w:val="20"/>
                <w:lang w:val="en-IN"/>
              </w:rPr>
            </w:pPr>
            <w:r w:rsidRPr="00E70587">
              <w:rPr>
                <w:rFonts w:ascii="Arial" w:hAnsi="Arial"/>
                <w:color w:val="auto"/>
                <w:szCs w:val="20"/>
                <w:lang w:val="en-IN"/>
              </w:rPr>
              <w:t>Consolidated</w:t>
            </w:r>
          </w:p>
        </w:tc>
      </w:tr>
      <w:tr w:rsidR="00A17C17" w:rsidRPr="00E70587" w14:paraId="561E065E" w14:textId="77777777" w:rsidTr="006406AD">
        <w:trPr>
          <w:tblHeader/>
        </w:trPr>
        <w:tc>
          <w:tcPr>
            <w:tcW w:w="2448" w:type="dxa"/>
            <w:tcMar>
              <w:left w:w="108" w:type="dxa"/>
            </w:tcMar>
            <w:vAlign w:val="bottom"/>
          </w:tcPr>
          <w:p w14:paraId="206CD92F" w14:textId="77777777" w:rsidR="00A17C17" w:rsidRPr="00E70587" w:rsidRDefault="00A17C17" w:rsidP="009901E1">
            <w:pPr>
              <w:pStyle w:val="Notesbodytext"/>
              <w:spacing w:after="0" w:line="280" w:lineRule="exact"/>
              <w:rPr>
                <w:rFonts w:ascii="Arial" w:hAnsi="Arial"/>
                <w:color w:val="auto"/>
                <w:sz w:val="20"/>
              </w:rPr>
            </w:pPr>
          </w:p>
        </w:tc>
        <w:tc>
          <w:tcPr>
            <w:tcW w:w="1188" w:type="dxa"/>
            <w:vAlign w:val="bottom"/>
          </w:tcPr>
          <w:p w14:paraId="0AD4B532"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188" w:type="dxa"/>
            <w:vAlign w:val="bottom"/>
          </w:tcPr>
          <w:p w14:paraId="1D37FFD4"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188" w:type="dxa"/>
            <w:vAlign w:val="bottom"/>
          </w:tcPr>
          <w:p w14:paraId="085E387E"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188" w:type="dxa"/>
            <w:vAlign w:val="bottom"/>
          </w:tcPr>
          <w:p w14:paraId="21A9F066"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188" w:type="dxa"/>
            <w:vAlign w:val="bottom"/>
          </w:tcPr>
          <w:p w14:paraId="0F783C7E" w14:textId="77777777" w:rsidR="00A17C17" w:rsidRPr="00E70587" w:rsidRDefault="00A17C17"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188" w:type="dxa"/>
            <w:vAlign w:val="bottom"/>
          </w:tcPr>
          <w:p w14:paraId="12B57389"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14445556" w14:textId="77777777" w:rsidTr="006406AD">
        <w:tc>
          <w:tcPr>
            <w:tcW w:w="2448" w:type="dxa"/>
            <w:vAlign w:val="center"/>
          </w:tcPr>
          <w:p w14:paraId="58E7157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Revenue</w:t>
            </w:r>
          </w:p>
        </w:tc>
        <w:tc>
          <w:tcPr>
            <w:tcW w:w="1188" w:type="dxa"/>
            <w:vAlign w:val="bottom"/>
          </w:tcPr>
          <w:p w14:paraId="342E9354"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88" w:type="dxa"/>
            <w:vAlign w:val="bottom"/>
          </w:tcPr>
          <w:p w14:paraId="79D6B9FB"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88" w:type="dxa"/>
            <w:vAlign w:val="bottom"/>
          </w:tcPr>
          <w:p w14:paraId="3DA9C26D"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88" w:type="dxa"/>
            <w:vAlign w:val="bottom"/>
          </w:tcPr>
          <w:p w14:paraId="3494AD55"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188" w:type="dxa"/>
            <w:vAlign w:val="bottom"/>
          </w:tcPr>
          <w:p w14:paraId="46CA78A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188" w:type="dxa"/>
            <w:vAlign w:val="bottom"/>
          </w:tcPr>
          <w:p w14:paraId="6082C820"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A17C17" w:rsidRPr="00E70587" w14:paraId="121B8EEE" w14:textId="77777777" w:rsidTr="006406AD">
        <w:tc>
          <w:tcPr>
            <w:tcW w:w="2448" w:type="dxa"/>
            <w:vAlign w:val="center"/>
          </w:tcPr>
          <w:p w14:paraId="1C8A7253"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External customers</w:t>
            </w:r>
          </w:p>
        </w:tc>
        <w:tc>
          <w:tcPr>
            <w:tcW w:w="1188" w:type="dxa"/>
            <w:tcMar>
              <w:right w:w="108" w:type="dxa"/>
            </w:tcMar>
            <w:vAlign w:val="center"/>
          </w:tcPr>
          <w:p w14:paraId="0650A8D5"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2,20,329</w:t>
            </w:r>
          </w:p>
        </w:tc>
        <w:tc>
          <w:tcPr>
            <w:tcW w:w="1188" w:type="dxa"/>
            <w:tcMar>
              <w:right w:w="108" w:type="dxa"/>
            </w:tcMar>
            <w:vAlign w:val="center"/>
          </w:tcPr>
          <w:p w14:paraId="5F699C37"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1,19,918</w:t>
            </w:r>
          </w:p>
        </w:tc>
        <w:tc>
          <w:tcPr>
            <w:tcW w:w="1188" w:type="dxa"/>
            <w:vAlign w:val="center"/>
          </w:tcPr>
          <w:p w14:paraId="719AC398"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2,479</w:t>
            </w:r>
          </w:p>
        </w:tc>
        <w:tc>
          <w:tcPr>
            <w:tcW w:w="1188" w:type="dxa"/>
            <w:vAlign w:val="center"/>
          </w:tcPr>
          <w:p w14:paraId="594E8159"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3,42,726</w:t>
            </w:r>
          </w:p>
        </w:tc>
        <w:tc>
          <w:tcPr>
            <w:tcW w:w="1188" w:type="dxa"/>
            <w:tcMar>
              <w:left w:w="108" w:type="dxa"/>
              <w:right w:w="28" w:type="dxa"/>
            </w:tcMar>
            <w:vAlign w:val="center"/>
          </w:tcPr>
          <w:p w14:paraId="33C51929"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(5</w:t>
            </w:r>
            <w:r w:rsidR="003E38AE" w:rsidRPr="00E70587">
              <w:rPr>
                <w:rFonts w:ascii="Arial" w:hAnsi="Arial" w:cs="Arial"/>
                <w:sz w:val="20"/>
              </w:rPr>
              <w:t>4,323</w:t>
            </w:r>
            <w:r w:rsidRPr="00E70587">
              <w:rPr>
                <w:rFonts w:ascii="Arial" w:hAnsi="Arial" w:cs="Arial"/>
                <w:sz w:val="20"/>
              </w:rPr>
              <w:t>)</w:t>
            </w:r>
          </w:p>
        </w:tc>
        <w:tc>
          <w:tcPr>
            <w:tcW w:w="1188" w:type="dxa"/>
            <w:tcMar>
              <w:right w:w="108" w:type="dxa"/>
            </w:tcMar>
            <w:vAlign w:val="center"/>
          </w:tcPr>
          <w:p w14:paraId="2B630DF7"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2,8</w:t>
            </w:r>
            <w:r w:rsidR="003E38AE" w:rsidRPr="00E70587">
              <w:rPr>
                <w:rFonts w:ascii="Arial" w:hAnsi="Arial" w:cs="Arial"/>
                <w:sz w:val="20"/>
              </w:rPr>
              <w:t>8,403</w:t>
            </w:r>
          </w:p>
        </w:tc>
      </w:tr>
      <w:tr w:rsidR="00A17C17" w:rsidRPr="00E70587" w14:paraId="6A30F6BC" w14:textId="77777777" w:rsidTr="006406AD">
        <w:tc>
          <w:tcPr>
            <w:tcW w:w="2448" w:type="dxa"/>
            <w:vAlign w:val="center"/>
          </w:tcPr>
          <w:p w14:paraId="4646FDE7"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Inter-segment</w:t>
            </w:r>
          </w:p>
        </w:tc>
        <w:tc>
          <w:tcPr>
            <w:tcW w:w="1188" w:type="dxa"/>
            <w:tcMar>
              <w:right w:w="108" w:type="dxa"/>
            </w:tcMar>
            <w:vAlign w:val="center"/>
          </w:tcPr>
          <w:p w14:paraId="2C875EA9"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188" w:type="dxa"/>
            <w:tcMar>
              <w:right w:w="108" w:type="dxa"/>
            </w:tcMar>
            <w:vAlign w:val="center"/>
          </w:tcPr>
          <w:p w14:paraId="604747C5"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13,174</w:t>
            </w:r>
          </w:p>
        </w:tc>
        <w:tc>
          <w:tcPr>
            <w:tcW w:w="1188" w:type="dxa"/>
            <w:vAlign w:val="center"/>
          </w:tcPr>
          <w:p w14:paraId="29992A42"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188" w:type="dxa"/>
            <w:vAlign w:val="center"/>
          </w:tcPr>
          <w:p w14:paraId="73F6E9B5"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13,174</w:t>
            </w:r>
          </w:p>
        </w:tc>
        <w:tc>
          <w:tcPr>
            <w:tcW w:w="1188" w:type="dxa"/>
            <w:tcMar>
              <w:left w:w="108" w:type="dxa"/>
              <w:right w:w="28" w:type="dxa"/>
            </w:tcMar>
            <w:vAlign w:val="center"/>
          </w:tcPr>
          <w:p w14:paraId="6270CCBF"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(13,174)</w:t>
            </w:r>
          </w:p>
        </w:tc>
        <w:tc>
          <w:tcPr>
            <w:tcW w:w="1188" w:type="dxa"/>
            <w:tcMar>
              <w:right w:w="108" w:type="dxa"/>
            </w:tcMar>
            <w:vAlign w:val="center"/>
          </w:tcPr>
          <w:p w14:paraId="1C6BAF4E"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r>
      <w:tr w:rsidR="00A17C17" w:rsidRPr="00E70587" w14:paraId="6D089770" w14:textId="77777777" w:rsidTr="006406AD">
        <w:tc>
          <w:tcPr>
            <w:tcW w:w="2448" w:type="dxa"/>
            <w:vAlign w:val="center"/>
          </w:tcPr>
          <w:p w14:paraId="73767B5C"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revenue</w:t>
            </w:r>
          </w:p>
        </w:tc>
        <w:tc>
          <w:tcPr>
            <w:tcW w:w="1188" w:type="dxa"/>
            <w:tcMar>
              <w:right w:w="108" w:type="dxa"/>
            </w:tcMar>
          </w:tcPr>
          <w:p w14:paraId="23677C4C"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2,20,329</w:t>
            </w:r>
          </w:p>
        </w:tc>
        <w:tc>
          <w:tcPr>
            <w:tcW w:w="1188" w:type="dxa"/>
            <w:tcMar>
              <w:right w:w="108" w:type="dxa"/>
            </w:tcMar>
          </w:tcPr>
          <w:p w14:paraId="54183D75"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1,33,092</w:t>
            </w:r>
          </w:p>
        </w:tc>
        <w:tc>
          <w:tcPr>
            <w:tcW w:w="1188" w:type="dxa"/>
          </w:tcPr>
          <w:p w14:paraId="40FAA724"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2,479</w:t>
            </w:r>
          </w:p>
        </w:tc>
        <w:tc>
          <w:tcPr>
            <w:tcW w:w="1188" w:type="dxa"/>
            <w:tcMar>
              <w:left w:w="28" w:type="dxa"/>
              <w:right w:w="85" w:type="dxa"/>
            </w:tcMar>
          </w:tcPr>
          <w:p w14:paraId="6AEAF0A9"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3,55,900</w:t>
            </w:r>
          </w:p>
        </w:tc>
        <w:tc>
          <w:tcPr>
            <w:tcW w:w="1188" w:type="dxa"/>
            <w:tcMar>
              <w:left w:w="108" w:type="dxa"/>
              <w:right w:w="28" w:type="dxa"/>
            </w:tcMar>
          </w:tcPr>
          <w:p w14:paraId="521F6267"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(6</w:t>
            </w:r>
            <w:r w:rsidR="003E38AE" w:rsidRPr="00E70587">
              <w:rPr>
                <w:rFonts w:ascii="Arial" w:hAnsi="Arial" w:cs="Arial"/>
                <w:b/>
                <w:bCs/>
                <w:sz w:val="20"/>
                <w:lang w:eastAsia="en-GB"/>
              </w:rPr>
              <w:t>7,497</w:t>
            </w:r>
            <w:r w:rsidRPr="00E70587">
              <w:rPr>
                <w:rFonts w:ascii="Arial" w:hAnsi="Arial" w:cs="Arial"/>
                <w:b/>
                <w:bCs/>
                <w:sz w:val="20"/>
                <w:lang w:eastAsia="en-GB"/>
              </w:rPr>
              <w:t>)</w:t>
            </w:r>
          </w:p>
        </w:tc>
        <w:tc>
          <w:tcPr>
            <w:tcW w:w="1188" w:type="dxa"/>
            <w:tcMar>
              <w:left w:w="28" w:type="dxa"/>
              <w:right w:w="108" w:type="dxa"/>
            </w:tcMar>
          </w:tcPr>
          <w:p w14:paraId="190EEF8C"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2,8</w:t>
            </w:r>
            <w:r w:rsidR="003E38AE" w:rsidRPr="00E70587">
              <w:rPr>
                <w:rFonts w:ascii="Arial" w:hAnsi="Arial" w:cs="Arial"/>
                <w:b/>
                <w:bCs/>
                <w:sz w:val="20"/>
                <w:lang w:eastAsia="en-GB"/>
              </w:rPr>
              <w:t>8</w:t>
            </w:r>
            <w:r w:rsidRPr="00E70587">
              <w:rPr>
                <w:rFonts w:ascii="Arial" w:hAnsi="Arial" w:cs="Arial"/>
                <w:b/>
                <w:bCs/>
                <w:sz w:val="20"/>
                <w:lang w:eastAsia="en-GB"/>
              </w:rPr>
              <w:t>,</w:t>
            </w:r>
            <w:r w:rsidR="003E38AE" w:rsidRPr="00E70587">
              <w:rPr>
                <w:rFonts w:ascii="Arial" w:hAnsi="Arial" w:cs="Arial"/>
                <w:b/>
                <w:bCs/>
                <w:sz w:val="20"/>
                <w:lang w:eastAsia="en-GB"/>
              </w:rPr>
              <w:t>403</w:t>
            </w:r>
          </w:p>
        </w:tc>
      </w:tr>
      <w:tr w:rsidR="00A17C17" w:rsidRPr="00E70587" w14:paraId="6B93544C" w14:textId="77777777" w:rsidTr="006406AD">
        <w:tc>
          <w:tcPr>
            <w:tcW w:w="2448" w:type="dxa"/>
            <w:vAlign w:val="center"/>
          </w:tcPr>
          <w:p w14:paraId="7DA68BC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188" w:type="dxa"/>
            <w:vAlign w:val="bottom"/>
          </w:tcPr>
          <w:p w14:paraId="794C9D37"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88" w:type="dxa"/>
            <w:vAlign w:val="bottom"/>
          </w:tcPr>
          <w:p w14:paraId="0B383E0C"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88" w:type="dxa"/>
            <w:vAlign w:val="bottom"/>
          </w:tcPr>
          <w:p w14:paraId="07B0F79A"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88" w:type="dxa"/>
            <w:vAlign w:val="bottom"/>
          </w:tcPr>
          <w:p w14:paraId="2B178CFD"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188" w:type="dxa"/>
            <w:vAlign w:val="bottom"/>
          </w:tcPr>
          <w:p w14:paraId="418888AC" w14:textId="77777777" w:rsidR="00A17C17" w:rsidRPr="00E70587" w:rsidRDefault="00A17C17" w:rsidP="009901E1">
            <w:pPr>
              <w:pStyle w:val="tabletext"/>
              <w:overflowPunct w:val="0"/>
              <w:autoSpaceDE w:val="0"/>
              <w:autoSpaceDN w:val="0"/>
              <w:adjustRightInd w:val="0"/>
              <w:spacing w:line="280" w:lineRule="exact"/>
              <w:ind w:left="175"/>
              <w:textAlignment w:val="baseline"/>
              <w:rPr>
                <w:rFonts w:ascii="Arial" w:hAnsi="Arial" w:cs="Arial"/>
                <w:sz w:val="20"/>
                <w:lang w:val="en-IN"/>
              </w:rPr>
            </w:pPr>
          </w:p>
        </w:tc>
        <w:tc>
          <w:tcPr>
            <w:tcW w:w="1188" w:type="dxa"/>
            <w:vAlign w:val="bottom"/>
          </w:tcPr>
          <w:p w14:paraId="2DF00241"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A17C17" w:rsidRPr="00E70587" w14:paraId="47577D37" w14:textId="77777777" w:rsidTr="006406AD">
        <w:tc>
          <w:tcPr>
            <w:tcW w:w="2448" w:type="dxa"/>
            <w:vAlign w:val="center"/>
          </w:tcPr>
          <w:p w14:paraId="0E15DBE7"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Income/(Expenses)</w:t>
            </w:r>
            <w:r w:rsidRPr="00E70587" w:rsidDel="00FD5B6C">
              <w:rPr>
                <w:rFonts w:ascii="Arial" w:hAnsi="Arial" w:cs="Arial"/>
                <w:b/>
                <w:sz w:val="20"/>
                <w:lang w:val="en-IN"/>
              </w:rPr>
              <w:t xml:space="preserve"> </w:t>
            </w:r>
          </w:p>
        </w:tc>
        <w:tc>
          <w:tcPr>
            <w:tcW w:w="1188" w:type="dxa"/>
            <w:vAlign w:val="bottom"/>
          </w:tcPr>
          <w:p w14:paraId="77A1DCCB"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88" w:type="dxa"/>
            <w:vAlign w:val="bottom"/>
          </w:tcPr>
          <w:p w14:paraId="17A05A93"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88" w:type="dxa"/>
            <w:vAlign w:val="bottom"/>
          </w:tcPr>
          <w:p w14:paraId="7DBF7292"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88" w:type="dxa"/>
            <w:vAlign w:val="bottom"/>
          </w:tcPr>
          <w:p w14:paraId="349B3B95"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188" w:type="dxa"/>
            <w:vAlign w:val="bottom"/>
          </w:tcPr>
          <w:p w14:paraId="42499660" w14:textId="77777777" w:rsidR="00A17C17" w:rsidRPr="00E70587" w:rsidRDefault="00A17C17" w:rsidP="009901E1">
            <w:pPr>
              <w:pStyle w:val="tabletext"/>
              <w:overflowPunct w:val="0"/>
              <w:autoSpaceDE w:val="0"/>
              <w:autoSpaceDN w:val="0"/>
              <w:adjustRightInd w:val="0"/>
              <w:spacing w:line="280" w:lineRule="exact"/>
              <w:ind w:left="175"/>
              <w:textAlignment w:val="baseline"/>
              <w:rPr>
                <w:rFonts w:ascii="Arial" w:hAnsi="Arial" w:cs="Arial"/>
                <w:sz w:val="20"/>
                <w:lang w:val="en-IN"/>
              </w:rPr>
            </w:pPr>
          </w:p>
        </w:tc>
        <w:tc>
          <w:tcPr>
            <w:tcW w:w="1188" w:type="dxa"/>
            <w:vAlign w:val="bottom"/>
          </w:tcPr>
          <w:p w14:paraId="1C1AB326"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A17C17" w:rsidRPr="00E70587" w14:paraId="67F37989" w14:textId="77777777" w:rsidTr="006406AD">
        <w:tc>
          <w:tcPr>
            <w:tcW w:w="2448" w:type="dxa"/>
            <w:vAlign w:val="center"/>
          </w:tcPr>
          <w:p w14:paraId="026B7A9B"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Depreciation and amortisation</w:t>
            </w:r>
          </w:p>
        </w:tc>
        <w:tc>
          <w:tcPr>
            <w:tcW w:w="1188" w:type="dxa"/>
            <w:tcMar>
              <w:right w:w="28" w:type="dxa"/>
            </w:tcMar>
            <w:vAlign w:val="center"/>
          </w:tcPr>
          <w:p w14:paraId="704B34B1" w14:textId="5A1BE404" w:rsidR="00A17C17" w:rsidRPr="00E70587" w:rsidRDefault="00A17C17" w:rsidP="009901E1">
            <w:pPr>
              <w:spacing w:line="280" w:lineRule="exact"/>
              <w:jc w:val="right"/>
              <w:rPr>
                <w:rFonts w:ascii="Arial" w:hAnsi="Arial" w:cs="Arial"/>
                <w:sz w:val="20"/>
              </w:rPr>
            </w:pPr>
            <w:r w:rsidRPr="00E70587">
              <w:rPr>
                <w:rFonts w:ascii="Arial" w:hAnsi="Arial" w:cs="Arial"/>
                <w:sz w:val="20"/>
              </w:rPr>
              <w:t>(4,</w:t>
            </w:r>
            <w:r w:rsidR="00321F76">
              <w:rPr>
                <w:rFonts w:ascii="Arial" w:hAnsi="Arial" w:cs="Arial"/>
                <w:sz w:val="20"/>
              </w:rPr>
              <w:t>920</w:t>
            </w:r>
            <w:r w:rsidRPr="00E70587">
              <w:rPr>
                <w:rFonts w:ascii="Arial" w:hAnsi="Arial" w:cs="Arial"/>
                <w:sz w:val="20"/>
              </w:rPr>
              <w:t>)</w:t>
            </w:r>
          </w:p>
        </w:tc>
        <w:tc>
          <w:tcPr>
            <w:tcW w:w="1188" w:type="dxa"/>
            <w:tcMar>
              <w:right w:w="28" w:type="dxa"/>
            </w:tcMar>
            <w:vAlign w:val="center"/>
          </w:tcPr>
          <w:p w14:paraId="103166D6" w14:textId="7B0761E3"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r w:rsidR="00321F76">
              <w:rPr>
                <w:rFonts w:ascii="Arial" w:hAnsi="Arial" w:cs="Arial"/>
                <w:sz w:val="20"/>
              </w:rPr>
              <w:t>1,098</w:t>
            </w:r>
            <w:r w:rsidRPr="00E70587">
              <w:rPr>
                <w:rFonts w:ascii="Arial" w:hAnsi="Arial" w:cs="Arial"/>
                <w:sz w:val="20"/>
              </w:rPr>
              <w:t>)</w:t>
            </w:r>
          </w:p>
        </w:tc>
        <w:tc>
          <w:tcPr>
            <w:tcW w:w="1188" w:type="dxa"/>
            <w:vAlign w:val="center"/>
          </w:tcPr>
          <w:p w14:paraId="5242E5F3"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(540)</w:t>
            </w:r>
          </w:p>
        </w:tc>
        <w:tc>
          <w:tcPr>
            <w:tcW w:w="1188" w:type="dxa"/>
            <w:tcMar>
              <w:left w:w="108" w:type="dxa"/>
              <w:right w:w="28" w:type="dxa"/>
            </w:tcMar>
            <w:vAlign w:val="center"/>
          </w:tcPr>
          <w:p w14:paraId="6B7C7CAF"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(5,278)</w:t>
            </w:r>
          </w:p>
        </w:tc>
        <w:tc>
          <w:tcPr>
            <w:tcW w:w="1188" w:type="dxa"/>
            <w:tcMar>
              <w:left w:w="108" w:type="dxa"/>
              <w:right w:w="28" w:type="dxa"/>
            </w:tcMar>
            <w:vAlign w:val="center"/>
          </w:tcPr>
          <w:p w14:paraId="21C82483"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(583)</w:t>
            </w:r>
          </w:p>
        </w:tc>
        <w:tc>
          <w:tcPr>
            <w:tcW w:w="1188" w:type="dxa"/>
            <w:tcMar>
              <w:right w:w="28" w:type="dxa"/>
            </w:tcMar>
            <w:vAlign w:val="center"/>
          </w:tcPr>
          <w:p w14:paraId="162D6E77" w14:textId="61C7BD05"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r w:rsidR="00321F76">
              <w:rPr>
                <w:rFonts w:ascii="Arial" w:hAnsi="Arial" w:cs="Arial"/>
                <w:sz w:val="20"/>
              </w:rPr>
              <w:t>7</w:t>
            </w:r>
            <w:r w:rsidRPr="00E70587">
              <w:rPr>
                <w:rFonts w:ascii="Arial" w:hAnsi="Arial" w:cs="Arial"/>
                <w:sz w:val="20"/>
              </w:rPr>
              <w:t>,</w:t>
            </w:r>
            <w:r w:rsidR="00321F76">
              <w:rPr>
                <w:rFonts w:ascii="Arial" w:hAnsi="Arial" w:cs="Arial"/>
                <w:sz w:val="20"/>
              </w:rPr>
              <w:t>141</w:t>
            </w:r>
            <w:r w:rsidRPr="00E70587">
              <w:rPr>
                <w:rFonts w:ascii="Arial" w:hAnsi="Arial" w:cs="Arial"/>
                <w:sz w:val="20"/>
              </w:rPr>
              <w:t>)</w:t>
            </w:r>
          </w:p>
        </w:tc>
      </w:tr>
      <w:tr w:rsidR="00A17C17" w:rsidRPr="00E70587" w14:paraId="1ADE625C" w14:textId="77777777" w:rsidTr="006406AD">
        <w:tc>
          <w:tcPr>
            <w:tcW w:w="2448" w:type="dxa"/>
            <w:vAlign w:val="center"/>
          </w:tcPr>
          <w:p w14:paraId="028A605A" w14:textId="77777777" w:rsidR="00A17C17" w:rsidRPr="00E70587" w:rsidRDefault="00A17C17" w:rsidP="00BA690C">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Impairment of property, plant and equipment (Note </w:t>
            </w:r>
            <w:r w:rsidR="00BA690C" w:rsidRPr="00E70587">
              <w:rPr>
                <w:rFonts w:ascii="Arial" w:hAnsi="Arial" w:cs="Arial"/>
                <w:sz w:val="20"/>
                <w:lang w:val="en-IN"/>
              </w:rPr>
              <w:t>3,7</w:t>
            </w:r>
            <w:r w:rsidRPr="00E70587">
              <w:rPr>
                <w:rFonts w:ascii="Arial" w:hAnsi="Arial" w:cs="Arial"/>
                <w:sz w:val="20"/>
                <w:lang w:val="en-IN"/>
              </w:rPr>
              <w:t>)</w:t>
            </w:r>
          </w:p>
        </w:tc>
        <w:tc>
          <w:tcPr>
            <w:tcW w:w="1188" w:type="dxa"/>
            <w:tcMar>
              <w:left w:w="108" w:type="dxa"/>
              <w:right w:w="28" w:type="dxa"/>
            </w:tcMar>
            <w:vAlign w:val="center"/>
          </w:tcPr>
          <w:p w14:paraId="119F1F89"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(542)</w:t>
            </w:r>
          </w:p>
        </w:tc>
        <w:tc>
          <w:tcPr>
            <w:tcW w:w="1188" w:type="dxa"/>
            <w:tcMar>
              <w:right w:w="108" w:type="dxa"/>
            </w:tcMar>
            <w:vAlign w:val="center"/>
          </w:tcPr>
          <w:p w14:paraId="20897F26"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188" w:type="dxa"/>
            <w:vAlign w:val="center"/>
          </w:tcPr>
          <w:p w14:paraId="55DF9E02"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188" w:type="dxa"/>
            <w:tcMar>
              <w:right w:w="28" w:type="dxa"/>
            </w:tcMar>
            <w:vAlign w:val="center"/>
          </w:tcPr>
          <w:p w14:paraId="7EBD9E52"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(542)</w:t>
            </w:r>
          </w:p>
        </w:tc>
        <w:tc>
          <w:tcPr>
            <w:tcW w:w="1188" w:type="dxa"/>
            <w:tcMar>
              <w:left w:w="57" w:type="dxa"/>
              <w:right w:w="108" w:type="dxa"/>
            </w:tcMar>
            <w:vAlign w:val="center"/>
          </w:tcPr>
          <w:p w14:paraId="4B6FA9B2"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188" w:type="dxa"/>
            <w:tcMar>
              <w:right w:w="28" w:type="dxa"/>
            </w:tcMar>
            <w:vAlign w:val="center"/>
          </w:tcPr>
          <w:p w14:paraId="15CDFFE3"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(542)</w:t>
            </w:r>
          </w:p>
        </w:tc>
      </w:tr>
      <w:tr w:rsidR="00A17C17" w:rsidRPr="00E70587" w14:paraId="29532BFA" w14:textId="77777777" w:rsidTr="006406AD">
        <w:tc>
          <w:tcPr>
            <w:tcW w:w="2448" w:type="dxa"/>
            <w:vAlign w:val="center"/>
          </w:tcPr>
          <w:p w14:paraId="6070346B"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Share of profit of </w:t>
            </w:r>
            <w:r w:rsidRPr="00E70587">
              <w:rPr>
                <w:rFonts w:ascii="Arial" w:hAnsi="Arial" w:cs="Arial"/>
                <w:sz w:val="20"/>
                <w:lang w:val="en-IN"/>
              </w:rPr>
              <w:br/>
              <w:t>associate and a joint venture (Notes 38, 39)</w:t>
            </w:r>
          </w:p>
        </w:tc>
        <w:tc>
          <w:tcPr>
            <w:tcW w:w="1188" w:type="dxa"/>
            <w:tcMar>
              <w:right w:w="108" w:type="dxa"/>
            </w:tcMar>
            <w:vAlign w:val="center"/>
          </w:tcPr>
          <w:p w14:paraId="4B97D446"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1,148</w:t>
            </w:r>
          </w:p>
        </w:tc>
        <w:tc>
          <w:tcPr>
            <w:tcW w:w="1188" w:type="dxa"/>
            <w:tcMar>
              <w:right w:w="108" w:type="dxa"/>
            </w:tcMar>
            <w:vAlign w:val="center"/>
          </w:tcPr>
          <w:p w14:paraId="1AB74E62"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188" w:type="dxa"/>
            <w:vAlign w:val="center"/>
          </w:tcPr>
          <w:p w14:paraId="0546CDFC"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188" w:type="dxa"/>
            <w:vAlign w:val="center"/>
          </w:tcPr>
          <w:p w14:paraId="085901DC"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1,148</w:t>
            </w:r>
          </w:p>
        </w:tc>
        <w:tc>
          <w:tcPr>
            <w:tcW w:w="1188" w:type="dxa"/>
            <w:tcMar>
              <w:left w:w="57" w:type="dxa"/>
              <w:right w:w="108" w:type="dxa"/>
            </w:tcMar>
            <w:vAlign w:val="center"/>
          </w:tcPr>
          <w:p w14:paraId="59A90912"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188" w:type="dxa"/>
            <w:tcMar>
              <w:right w:w="108" w:type="dxa"/>
            </w:tcMar>
            <w:vAlign w:val="center"/>
          </w:tcPr>
          <w:p w14:paraId="44CDE190"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1,148</w:t>
            </w:r>
          </w:p>
        </w:tc>
      </w:tr>
      <w:tr w:rsidR="00A17C17" w:rsidRPr="00E70587" w14:paraId="5D4EAFBA" w14:textId="77777777" w:rsidTr="006406AD">
        <w:tc>
          <w:tcPr>
            <w:tcW w:w="2448" w:type="dxa"/>
            <w:vAlign w:val="bottom"/>
          </w:tcPr>
          <w:p w14:paraId="76CAE76A"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Segment profit</w:t>
            </w:r>
          </w:p>
        </w:tc>
        <w:tc>
          <w:tcPr>
            <w:tcW w:w="1188" w:type="dxa"/>
            <w:tcMar>
              <w:right w:w="108" w:type="dxa"/>
            </w:tcMar>
          </w:tcPr>
          <w:p w14:paraId="611CC64A" w14:textId="3525C1D0" w:rsidR="00A17C17" w:rsidRPr="00E70587" w:rsidRDefault="008B68C3" w:rsidP="00AE28EC">
            <w:pPr>
              <w:overflowPunct/>
              <w:spacing w:line="280" w:lineRule="exact"/>
              <w:jc w:val="right"/>
              <w:textAlignment w:val="auto"/>
              <w:rPr>
                <w:rFonts w:ascii="Arial" w:hAnsi="Arial" w:cs="Arial"/>
                <w:b/>
                <w:bCs/>
                <w:sz w:val="20"/>
                <w:lang w:eastAsia="en-GB"/>
              </w:rPr>
            </w:pPr>
            <w:r>
              <w:rPr>
                <w:rFonts w:ascii="Arial" w:hAnsi="Arial" w:cs="Arial"/>
                <w:b/>
                <w:bCs/>
                <w:sz w:val="20"/>
                <w:lang w:eastAsia="en-GB"/>
              </w:rPr>
              <w:t>6</w:t>
            </w:r>
            <w:r w:rsidR="00A17C17" w:rsidRPr="00E70587">
              <w:rPr>
                <w:rFonts w:ascii="Arial" w:hAnsi="Arial" w:cs="Arial"/>
                <w:b/>
                <w:bCs/>
                <w:sz w:val="20"/>
                <w:lang w:eastAsia="en-GB"/>
              </w:rPr>
              <w:t>,</w:t>
            </w:r>
            <w:r>
              <w:rPr>
                <w:rFonts w:ascii="Arial" w:hAnsi="Arial" w:cs="Arial"/>
                <w:b/>
                <w:bCs/>
                <w:sz w:val="20"/>
                <w:lang w:eastAsia="en-GB"/>
              </w:rPr>
              <w:t>562</w:t>
            </w:r>
          </w:p>
        </w:tc>
        <w:tc>
          <w:tcPr>
            <w:tcW w:w="1188" w:type="dxa"/>
            <w:tcMar>
              <w:right w:w="108" w:type="dxa"/>
            </w:tcMar>
          </w:tcPr>
          <w:p w14:paraId="27EFFD98"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9,713</w:t>
            </w:r>
          </w:p>
        </w:tc>
        <w:tc>
          <w:tcPr>
            <w:tcW w:w="1188" w:type="dxa"/>
          </w:tcPr>
          <w:p w14:paraId="3CE07B99"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565</w:t>
            </w:r>
          </w:p>
        </w:tc>
        <w:tc>
          <w:tcPr>
            <w:tcW w:w="1188" w:type="dxa"/>
          </w:tcPr>
          <w:p w14:paraId="0AF26C16" w14:textId="1BD43CC6" w:rsidR="00A17C17" w:rsidRPr="00E70587" w:rsidRDefault="005228E9" w:rsidP="00AE28EC">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w:t>
            </w:r>
            <w:r>
              <w:rPr>
                <w:rFonts w:ascii="Arial" w:hAnsi="Arial" w:cs="Arial"/>
                <w:b/>
                <w:bCs/>
                <w:sz w:val="20"/>
                <w:lang w:eastAsia="en-GB"/>
              </w:rPr>
              <w:t>6</w:t>
            </w:r>
            <w:r w:rsidR="00A17C17" w:rsidRPr="00E70587">
              <w:rPr>
                <w:rFonts w:ascii="Arial" w:hAnsi="Arial" w:cs="Arial"/>
                <w:b/>
                <w:bCs/>
                <w:sz w:val="20"/>
                <w:lang w:eastAsia="en-GB"/>
              </w:rPr>
              <w:t>,</w:t>
            </w:r>
            <w:r>
              <w:rPr>
                <w:rFonts w:ascii="Arial" w:hAnsi="Arial" w:cs="Arial"/>
                <w:b/>
                <w:bCs/>
                <w:sz w:val="20"/>
                <w:lang w:eastAsia="en-GB"/>
              </w:rPr>
              <w:t>840</w:t>
            </w:r>
          </w:p>
        </w:tc>
        <w:tc>
          <w:tcPr>
            <w:tcW w:w="1188" w:type="dxa"/>
            <w:tcMar>
              <w:left w:w="108" w:type="dxa"/>
              <w:right w:w="28" w:type="dxa"/>
            </w:tcMar>
          </w:tcPr>
          <w:p w14:paraId="112930C2"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(2,191)</w:t>
            </w:r>
          </w:p>
        </w:tc>
        <w:tc>
          <w:tcPr>
            <w:tcW w:w="1188" w:type="dxa"/>
            <w:tcMar>
              <w:right w:w="108" w:type="dxa"/>
            </w:tcMar>
          </w:tcPr>
          <w:p w14:paraId="74402EC2" w14:textId="5355E5FD" w:rsidR="00A17C17" w:rsidRPr="00E70587" w:rsidRDefault="008B68C3" w:rsidP="00AE28EC">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w:t>
            </w:r>
            <w:r>
              <w:rPr>
                <w:rFonts w:ascii="Arial" w:hAnsi="Arial" w:cs="Arial"/>
                <w:b/>
                <w:bCs/>
                <w:sz w:val="20"/>
                <w:lang w:eastAsia="en-GB"/>
              </w:rPr>
              <w:t>4</w:t>
            </w:r>
            <w:r w:rsidR="00A17C17" w:rsidRPr="00E70587">
              <w:rPr>
                <w:rFonts w:ascii="Arial" w:hAnsi="Arial" w:cs="Arial"/>
                <w:b/>
                <w:bCs/>
                <w:sz w:val="20"/>
                <w:lang w:eastAsia="en-GB"/>
              </w:rPr>
              <w:t>,</w:t>
            </w:r>
            <w:r>
              <w:rPr>
                <w:rFonts w:ascii="Arial" w:hAnsi="Arial" w:cs="Arial"/>
                <w:b/>
                <w:bCs/>
                <w:sz w:val="20"/>
                <w:lang w:eastAsia="en-GB"/>
              </w:rPr>
              <w:t>649</w:t>
            </w:r>
          </w:p>
        </w:tc>
      </w:tr>
      <w:tr w:rsidR="00A17C17" w:rsidRPr="00E70587" w14:paraId="58511064" w14:textId="77777777" w:rsidTr="006406AD">
        <w:tc>
          <w:tcPr>
            <w:tcW w:w="2448" w:type="dxa"/>
            <w:vAlign w:val="bottom"/>
          </w:tcPr>
          <w:p w14:paraId="2EB85819"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bookmarkStart w:id="24" w:name="_Hlk55314553"/>
            <w:r w:rsidRPr="00E70587">
              <w:rPr>
                <w:rFonts w:ascii="Arial" w:hAnsi="Arial" w:cs="Arial"/>
                <w:b/>
                <w:sz w:val="20"/>
                <w:lang w:val="en-IN"/>
              </w:rPr>
              <w:t>Total assets</w:t>
            </w:r>
          </w:p>
        </w:tc>
        <w:tc>
          <w:tcPr>
            <w:tcW w:w="1188" w:type="dxa"/>
            <w:tcMar>
              <w:right w:w="108" w:type="dxa"/>
            </w:tcMar>
          </w:tcPr>
          <w:p w14:paraId="711895A4" w14:textId="3CA0524C" w:rsidR="00A17C17" w:rsidRPr="00E70587" w:rsidRDefault="00114191" w:rsidP="00A84FC0">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9</w:t>
            </w:r>
            <w:r>
              <w:rPr>
                <w:rFonts w:ascii="Arial" w:hAnsi="Arial" w:cs="Arial"/>
                <w:b/>
                <w:bCs/>
                <w:sz w:val="20"/>
                <w:lang w:eastAsia="en-GB"/>
              </w:rPr>
              <w:t>4</w:t>
            </w:r>
            <w:r w:rsidR="003002F5" w:rsidRPr="00E70587">
              <w:rPr>
                <w:rFonts w:ascii="Arial" w:hAnsi="Arial" w:cs="Arial"/>
                <w:b/>
                <w:bCs/>
                <w:sz w:val="20"/>
                <w:lang w:eastAsia="en-GB"/>
              </w:rPr>
              <w:t>,</w:t>
            </w:r>
            <w:r w:rsidR="00641AC6">
              <w:rPr>
                <w:rFonts w:ascii="Arial" w:hAnsi="Arial" w:cs="Arial"/>
                <w:b/>
                <w:bCs/>
                <w:sz w:val="20"/>
                <w:lang w:eastAsia="en-GB"/>
              </w:rPr>
              <w:t>4</w:t>
            </w:r>
            <w:r w:rsidR="0005173E">
              <w:rPr>
                <w:rFonts w:ascii="Arial" w:hAnsi="Arial" w:cs="Arial"/>
                <w:b/>
                <w:bCs/>
                <w:sz w:val="20"/>
                <w:lang w:eastAsia="en-GB"/>
              </w:rPr>
              <w:t>83</w:t>
            </w:r>
          </w:p>
        </w:tc>
        <w:tc>
          <w:tcPr>
            <w:tcW w:w="1188" w:type="dxa"/>
            <w:tcMar>
              <w:right w:w="108" w:type="dxa"/>
            </w:tcMar>
          </w:tcPr>
          <w:p w14:paraId="57319742"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72,736</w:t>
            </w:r>
          </w:p>
        </w:tc>
        <w:tc>
          <w:tcPr>
            <w:tcW w:w="1188" w:type="dxa"/>
          </w:tcPr>
          <w:p w14:paraId="2484A15C"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17,797</w:t>
            </w:r>
          </w:p>
        </w:tc>
        <w:tc>
          <w:tcPr>
            <w:tcW w:w="1188" w:type="dxa"/>
            <w:tcMar>
              <w:left w:w="57" w:type="dxa"/>
              <w:right w:w="57" w:type="dxa"/>
            </w:tcMar>
          </w:tcPr>
          <w:p w14:paraId="0F2F0CDC" w14:textId="3604E6F0" w:rsidR="00A17C17" w:rsidRPr="00E70587" w:rsidRDefault="003002F5" w:rsidP="00A84FC0">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w:t>
            </w:r>
            <w:r w:rsidR="00114191" w:rsidRPr="00E70587">
              <w:rPr>
                <w:rFonts w:ascii="Arial" w:hAnsi="Arial" w:cs="Arial"/>
                <w:b/>
                <w:bCs/>
                <w:sz w:val="20"/>
                <w:lang w:eastAsia="en-GB"/>
              </w:rPr>
              <w:t>8</w:t>
            </w:r>
            <w:r w:rsidR="00114191">
              <w:rPr>
                <w:rFonts w:ascii="Arial" w:hAnsi="Arial" w:cs="Arial"/>
                <w:b/>
                <w:bCs/>
                <w:sz w:val="20"/>
                <w:lang w:eastAsia="en-GB"/>
              </w:rPr>
              <w:t>5</w:t>
            </w:r>
            <w:r w:rsidRPr="00E70587">
              <w:rPr>
                <w:rFonts w:ascii="Arial" w:hAnsi="Arial" w:cs="Arial"/>
                <w:b/>
                <w:bCs/>
                <w:sz w:val="20"/>
                <w:lang w:eastAsia="en-GB"/>
              </w:rPr>
              <w:t>,</w:t>
            </w:r>
            <w:r w:rsidR="00641AC6">
              <w:rPr>
                <w:rFonts w:ascii="Arial" w:hAnsi="Arial" w:cs="Arial"/>
                <w:b/>
                <w:bCs/>
                <w:sz w:val="20"/>
                <w:lang w:eastAsia="en-GB"/>
              </w:rPr>
              <w:t>0</w:t>
            </w:r>
            <w:r w:rsidR="00900B72">
              <w:rPr>
                <w:rFonts w:ascii="Arial" w:hAnsi="Arial" w:cs="Arial"/>
                <w:b/>
                <w:bCs/>
                <w:sz w:val="20"/>
                <w:lang w:eastAsia="en-GB"/>
              </w:rPr>
              <w:t>1</w:t>
            </w:r>
            <w:r w:rsidR="001E5F61">
              <w:rPr>
                <w:rFonts w:ascii="Arial" w:hAnsi="Arial" w:cs="Arial"/>
                <w:b/>
                <w:bCs/>
                <w:sz w:val="20"/>
                <w:lang w:eastAsia="en-GB"/>
              </w:rPr>
              <w:t>6</w:t>
            </w:r>
          </w:p>
        </w:tc>
        <w:tc>
          <w:tcPr>
            <w:tcW w:w="1188" w:type="dxa"/>
            <w:tcMar>
              <w:left w:w="57" w:type="dxa"/>
            </w:tcMar>
          </w:tcPr>
          <w:p w14:paraId="1B0CFD82" w14:textId="5D9E73E5"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3,</w:t>
            </w:r>
            <w:r w:rsidR="001E5F61" w:rsidRPr="00E70587">
              <w:rPr>
                <w:rFonts w:ascii="Arial" w:hAnsi="Arial" w:cs="Arial"/>
                <w:b/>
                <w:bCs/>
                <w:sz w:val="20"/>
                <w:lang w:eastAsia="en-GB"/>
              </w:rPr>
              <w:t>9</w:t>
            </w:r>
            <w:r w:rsidR="001E5F61">
              <w:rPr>
                <w:rFonts w:ascii="Arial" w:hAnsi="Arial" w:cs="Arial"/>
                <w:b/>
                <w:bCs/>
                <w:sz w:val="20"/>
                <w:lang w:eastAsia="en-GB"/>
              </w:rPr>
              <w:t>79</w:t>
            </w:r>
          </w:p>
        </w:tc>
        <w:tc>
          <w:tcPr>
            <w:tcW w:w="1188" w:type="dxa"/>
            <w:tcMar>
              <w:left w:w="28" w:type="dxa"/>
              <w:right w:w="108" w:type="dxa"/>
            </w:tcMar>
          </w:tcPr>
          <w:p w14:paraId="5C6636CC" w14:textId="4C16C54F" w:rsidR="00A17C17" w:rsidRPr="00E70587" w:rsidRDefault="003002F5" w:rsidP="00A84FC0">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w:t>
            </w:r>
            <w:r w:rsidR="00114191" w:rsidRPr="00E70587">
              <w:rPr>
                <w:rFonts w:ascii="Arial" w:hAnsi="Arial" w:cs="Arial"/>
                <w:b/>
                <w:bCs/>
                <w:sz w:val="20"/>
                <w:lang w:eastAsia="en-GB"/>
              </w:rPr>
              <w:t>8</w:t>
            </w:r>
            <w:r w:rsidR="00641AC6">
              <w:rPr>
                <w:rFonts w:ascii="Arial" w:hAnsi="Arial" w:cs="Arial"/>
                <w:b/>
                <w:bCs/>
                <w:sz w:val="20"/>
                <w:lang w:eastAsia="en-GB"/>
              </w:rPr>
              <w:t>8</w:t>
            </w:r>
            <w:r w:rsidRPr="00E70587">
              <w:rPr>
                <w:rFonts w:ascii="Arial" w:hAnsi="Arial" w:cs="Arial"/>
                <w:b/>
                <w:bCs/>
                <w:sz w:val="20"/>
                <w:lang w:eastAsia="en-GB"/>
              </w:rPr>
              <w:t>,</w:t>
            </w:r>
            <w:r w:rsidR="00641AC6">
              <w:rPr>
                <w:rFonts w:ascii="Arial" w:hAnsi="Arial" w:cs="Arial"/>
                <w:b/>
                <w:bCs/>
                <w:sz w:val="20"/>
                <w:lang w:eastAsia="en-GB"/>
              </w:rPr>
              <w:t>99</w:t>
            </w:r>
            <w:r w:rsidR="001E5F61">
              <w:rPr>
                <w:rFonts w:ascii="Arial" w:hAnsi="Arial" w:cs="Arial"/>
                <w:b/>
                <w:bCs/>
                <w:sz w:val="20"/>
                <w:lang w:eastAsia="en-GB"/>
              </w:rPr>
              <w:t>5</w:t>
            </w:r>
          </w:p>
        </w:tc>
      </w:tr>
      <w:tr w:rsidR="00A17C17" w:rsidRPr="00E70587" w14:paraId="6B1A20BB" w14:textId="77777777" w:rsidTr="006406AD">
        <w:tc>
          <w:tcPr>
            <w:tcW w:w="2448" w:type="dxa"/>
            <w:vAlign w:val="bottom"/>
          </w:tcPr>
          <w:p w14:paraId="38EEB5D4"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liabilities</w:t>
            </w:r>
          </w:p>
        </w:tc>
        <w:tc>
          <w:tcPr>
            <w:tcW w:w="1188" w:type="dxa"/>
            <w:tcMar>
              <w:right w:w="108" w:type="dxa"/>
            </w:tcMar>
          </w:tcPr>
          <w:p w14:paraId="38C25644" w14:textId="54CBF7F7" w:rsidR="00A17C17" w:rsidRPr="00E70587" w:rsidRDefault="00E6187D" w:rsidP="009901E1">
            <w:pPr>
              <w:overflowPunct/>
              <w:spacing w:line="280" w:lineRule="exact"/>
              <w:jc w:val="right"/>
              <w:textAlignment w:val="auto"/>
              <w:rPr>
                <w:rFonts w:ascii="Arial" w:hAnsi="Arial" w:cs="Arial"/>
                <w:b/>
                <w:bCs/>
                <w:sz w:val="20"/>
                <w:lang w:eastAsia="en-GB"/>
              </w:rPr>
            </w:pPr>
            <w:r>
              <w:rPr>
                <w:rFonts w:ascii="Arial" w:hAnsi="Arial" w:cs="Arial"/>
                <w:b/>
                <w:bCs/>
                <w:sz w:val="20"/>
                <w:lang w:eastAsia="en-GB"/>
              </w:rPr>
              <w:t>40</w:t>
            </w:r>
            <w:r w:rsidR="00A17C17" w:rsidRPr="00E70587">
              <w:rPr>
                <w:rFonts w:ascii="Arial" w:hAnsi="Arial" w:cs="Arial"/>
                <w:b/>
                <w:bCs/>
                <w:sz w:val="20"/>
                <w:lang w:eastAsia="en-GB"/>
              </w:rPr>
              <w:t>,</w:t>
            </w:r>
            <w:r w:rsidR="00C07212">
              <w:rPr>
                <w:rFonts w:ascii="Arial" w:hAnsi="Arial" w:cs="Arial"/>
                <w:b/>
                <w:bCs/>
                <w:sz w:val="20"/>
                <w:lang w:eastAsia="en-GB"/>
              </w:rPr>
              <w:t>901</w:t>
            </w:r>
          </w:p>
        </w:tc>
        <w:tc>
          <w:tcPr>
            <w:tcW w:w="1188" w:type="dxa"/>
            <w:tcMar>
              <w:right w:w="108" w:type="dxa"/>
            </w:tcMar>
          </w:tcPr>
          <w:p w14:paraId="127436CA"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7,319</w:t>
            </w:r>
          </w:p>
        </w:tc>
        <w:tc>
          <w:tcPr>
            <w:tcW w:w="1188" w:type="dxa"/>
          </w:tcPr>
          <w:p w14:paraId="0F668CD2"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3,038</w:t>
            </w:r>
          </w:p>
        </w:tc>
        <w:tc>
          <w:tcPr>
            <w:tcW w:w="1188" w:type="dxa"/>
          </w:tcPr>
          <w:p w14:paraId="6C3518EC" w14:textId="1F90E885" w:rsidR="00A17C17" w:rsidRPr="00E70587" w:rsidRDefault="00C07212" w:rsidP="009901E1">
            <w:pPr>
              <w:overflowPunct/>
              <w:spacing w:line="280" w:lineRule="exact"/>
              <w:jc w:val="right"/>
              <w:textAlignment w:val="auto"/>
              <w:rPr>
                <w:rFonts w:ascii="Arial" w:hAnsi="Arial" w:cs="Arial"/>
                <w:b/>
                <w:bCs/>
                <w:sz w:val="20"/>
                <w:lang w:eastAsia="en-GB"/>
              </w:rPr>
            </w:pPr>
            <w:r>
              <w:rPr>
                <w:rFonts w:ascii="Arial" w:hAnsi="Arial" w:cs="Arial"/>
                <w:b/>
                <w:bCs/>
                <w:sz w:val="20"/>
                <w:lang w:eastAsia="en-GB"/>
              </w:rPr>
              <w:t>51,258</w:t>
            </w:r>
          </w:p>
        </w:tc>
        <w:tc>
          <w:tcPr>
            <w:tcW w:w="1188" w:type="dxa"/>
            <w:tcMar>
              <w:left w:w="57" w:type="dxa"/>
            </w:tcMar>
          </w:tcPr>
          <w:p w14:paraId="4C09FE42"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52,</w:t>
            </w:r>
            <w:r w:rsidR="003E38AE" w:rsidRPr="00E70587">
              <w:rPr>
                <w:rFonts w:ascii="Arial" w:hAnsi="Arial" w:cs="Arial"/>
                <w:b/>
                <w:bCs/>
                <w:sz w:val="20"/>
                <w:lang w:eastAsia="en-GB"/>
              </w:rPr>
              <w:t>904</w:t>
            </w:r>
          </w:p>
        </w:tc>
        <w:tc>
          <w:tcPr>
            <w:tcW w:w="1188" w:type="dxa"/>
            <w:tcMar>
              <w:right w:w="108" w:type="dxa"/>
            </w:tcMar>
          </w:tcPr>
          <w:p w14:paraId="366C12CD" w14:textId="7824A873" w:rsidR="00A17C17" w:rsidRPr="00E70587" w:rsidRDefault="00E6187D" w:rsidP="009901E1">
            <w:pPr>
              <w:overflowPunct/>
              <w:spacing w:line="280" w:lineRule="exact"/>
              <w:jc w:val="right"/>
              <w:textAlignment w:val="auto"/>
              <w:rPr>
                <w:rFonts w:ascii="Arial" w:hAnsi="Arial" w:cs="Arial"/>
                <w:b/>
                <w:bCs/>
                <w:sz w:val="20"/>
                <w:lang w:eastAsia="en-GB"/>
              </w:rPr>
            </w:pPr>
            <w:r>
              <w:rPr>
                <w:rFonts w:ascii="Arial" w:hAnsi="Arial" w:cs="Arial"/>
                <w:b/>
                <w:bCs/>
                <w:sz w:val="20"/>
                <w:lang w:eastAsia="en-GB"/>
              </w:rPr>
              <w:t>1,0</w:t>
            </w:r>
            <w:r w:rsidR="00C07212">
              <w:rPr>
                <w:rFonts w:ascii="Arial" w:hAnsi="Arial" w:cs="Arial"/>
                <w:b/>
                <w:bCs/>
                <w:sz w:val="20"/>
                <w:lang w:eastAsia="en-GB"/>
              </w:rPr>
              <w:t>4</w:t>
            </w:r>
            <w:r w:rsidR="00A17C17" w:rsidRPr="00E70587">
              <w:rPr>
                <w:rFonts w:ascii="Arial" w:hAnsi="Arial" w:cs="Arial"/>
                <w:b/>
                <w:bCs/>
                <w:sz w:val="20"/>
                <w:lang w:eastAsia="en-GB"/>
              </w:rPr>
              <w:t>,</w:t>
            </w:r>
            <w:r w:rsidR="00C07212">
              <w:rPr>
                <w:rFonts w:ascii="Arial" w:hAnsi="Arial" w:cs="Arial"/>
                <w:b/>
                <w:bCs/>
                <w:sz w:val="20"/>
                <w:lang w:eastAsia="en-GB"/>
              </w:rPr>
              <w:t>162</w:t>
            </w:r>
          </w:p>
        </w:tc>
      </w:tr>
      <w:bookmarkEnd w:id="24"/>
      <w:tr w:rsidR="00A17C17" w:rsidRPr="00E70587" w14:paraId="3B1BDE9A" w14:textId="77777777" w:rsidTr="006406AD">
        <w:tc>
          <w:tcPr>
            <w:tcW w:w="2448" w:type="dxa"/>
            <w:vAlign w:val="center"/>
          </w:tcPr>
          <w:p w14:paraId="6466931A"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p>
          <w:p w14:paraId="4E263F4F"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lastRenderedPageBreak/>
              <w:t>Other disclosures</w:t>
            </w:r>
          </w:p>
        </w:tc>
        <w:tc>
          <w:tcPr>
            <w:tcW w:w="1188" w:type="dxa"/>
            <w:vAlign w:val="bottom"/>
          </w:tcPr>
          <w:p w14:paraId="2C57A500"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88" w:type="dxa"/>
            <w:vAlign w:val="bottom"/>
          </w:tcPr>
          <w:p w14:paraId="3961A8AC"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88" w:type="dxa"/>
            <w:vAlign w:val="bottom"/>
          </w:tcPr>
          <w:p w14:paraId="7290A6BF"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88" w:type="dxa"/>
            <w:vAlign w:val="bottom"/>
          </w:tcPr>
          <w:p w14:paraId="3259EC8B"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88" w:type="dxa"/>
            <w:vAlign w:val="bottom"/>
          </w:tcPr>
          <w:p w14:paraId="3ED44D6A"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88" w:type="dxa"/>
            <w:vAlign w:val="bottom"/>
          </w:tcPr>
          <w:p w14:paraId="71AAA8D5" w14:textId="77777777" w:rsidR="00A17C17" w:rsidRPr="00E70587" w:rsidRDefault="00A17C17"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A17C17" w:rsidRPr="00E70587" w14:paraId="0F6602AA" w14:textId="77777777" w:rsidTr="006406AD">
        <w:tc>
          <w:tcPr>
            <w:tcW w:w="2448" w:type="dxa"/>
            <w:tcMar>
              <w:right w:w="57" w:type="dxa"/>
            </w:tcMar>
            <w:vAlign w:val="bottom"/>
          </w:tcPr>
          <w:p w14:paraId="37379116"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Investments in </w:t>
            </w:r>
            <w:r w:rsidRPr="00E70587">
              <w:rPr>
                <w:rFonts w:ascii="Arial" w:hAnsi="Arial" w:cs="Arial"/>
                <w:sz w:val="20"/>
                <w:lang w:val="en-IN"/>
              </w:rPr>
              <w:br/>
              <w:t>an associate and a joint venture (Notes 38, 39)</w:t>
            </w:r>
          </w:p>
        </w:tc>
        <w:tc>
          <w:tcPr>
            <w:tcW w:w="1188" w:type="dxa"/>
            <w:tcMar>
              <w:right w:w="108" w:type="dxa"/>
            </w:tcMar>
            <w:vAlign w:val="center"/>
          </w:tcPr>
          <w:p w14:paraId="69C5DC58"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4,529</w:t>
            </w:r>
          </w:p>
        </w:tc>
        <w:tc>
          <w:tcPr>
            <w:tcW w:w="1188" w:type="dxa"/>
            <w:vAlign w:val="center"/>
          </w:tcPr>
          <w:p w14:paraId="66A316A0"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188" w:type="dxa"/>
            <w:vAlign w:val="center"/>
          </w:tcPr>
          <w:p w14:paraId="19A7DF3B"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188" w:type="dxa"/>
            <w:vAlign w:val="center"/>
          </w:tcPr>
          <w:p w14:paraId="582B8B83"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4,529</w:t>
            </w:r>
          </w:p>
        </w:tc>
        <w:tc>
          <w:tcPr>
            <w:tcW w:w="1188" w:type="dxa"/>
            <w:vAlign w:val="center"/>
          </w:tcPr>
          <w:p w14:paraId="1993F975"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188" w:type="dxa"/>
            <w:vAlign w:val="center"/>
          </w:tcPr>
          <w:p w14:paraId="5CD5C150"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4,529</w:t>
            </w:r>
          </w:p>
        </w:tc>
      </w:tr>
      <w:tr w:rsidR="00A17C17" w:rsidRPr="00E70587" w14:paraId="26BFE6E0" w14:textId="77777777" w:rsidTr="006406AD">
        <w:tc>
          <w:tcPr>
            <w:tcW w:w="2448" w:type="dxa"/>
            <w:vAlign w:val="bottom"/>
          </w:tcPr>
          <w:p w14:paraId="5780FD1D"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Capital expenditure</w:t>
            </w:r>
          </w:p>
        </w:tc>
        <w:tc>
          <w:tcPr>
            <w:tcW w:w="1188" w:type="dxa"/>
            <w:tcMar>
              <w:right w:w="108" w:type="dxa"/>
            </w:tcMar>
            <w:vAlign w:val="center"/>
          </w:tcPr>
          <w:p w14:paraId="0A7B14B6"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9,468</w:t>
            </w:r>
          </w:p>
        </w:tc>
        <w:tc>
          <w:tcPr>
            <w:tcW w:w="1188" w:type="dxa"/>
            <w:tcMar>
              <w:right w:w="108" w:type="dxa"/>
            </w:tcMar>
            <w:vAlign w:val="center"/>
          </w:tcPr>
          <w:p w14:paraId="2ED62F0F"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7,853</w:t>
            </w:r>
          </w:p>
        </w:tc>
        <w:tc>
          <w:tcPr>
            <w:tcW w:w="1188" w:type="dxa"/>
            <w:tcMar>
              <w:right w:w="108" w:type="dxa"/>
            </w:tcMar>
            <w:vAlign w:val="center"/>
          </w:tcPr>
          <w:p w14:paraId="69D81AFA"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2,146</w:t>
            </w:r>
          </w:p>
        </w:tc>
        <w:tc>
          <w:tcPr>
            <w:tcW w:w="1188" w:type="dxa"/>
            <w:vAlign w:val="center"/>
          </w:tcPr>
          <w:p w14:paraId="228FE26E"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19,467</w:t>
            </w:r>
          </w:p>
        </w:tc>
        <w:tc>
          <w:tcPr>
            <w:tcW w:w="1188" w:type="dxa"/>
            <w:tcMar>
              <w:right w:w="108" w:type="dxa"/>
            </w:tcMar>
            <w:vAlign w:val="center"/>
          </w:tcPr>
          <w:p w14:paraId="04EE683C"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w:t>
            </w:r>
          </w:p>
        </w:tc>
        <w:tc>
          <w:tcPr>
            <w:tcW w:w="1188" w:type="dxa"/>
            <w:vAlign w:val="center"/>
          </w:tcPr>
          <w:p w14:paraId="49218A35" w14:textId="77777777" w:rsidR="00A17C17" w:rsidRPr="00E70587" w:rsidRDefault="00A17C17" w:rsidP="009901E1">
            <w:pPr>
              <w:spacing w:line="280" w:lineRule="exact"/>
              <w:jc w:val="right"/>
              <w:rPr>
                <w:rFonts w:ascii="Arial" w:hAnsi="Arial" w:cs="Arial"/>
                <w:sz w:val="20"/>
              </w:rPr>
            </w:pPr>
            <w:r w:rsidRPr="00E70587">
              <w:rPr>
                <w:rFonts w:ascii="Arial" w:hAnsi="Arial" w:cs="Arial"/>
                <w:sz w:val="20"/>
              </w:rPr>
              <w:t>19,467</w:t>
            </w:r>
          </w:p>
        </w:tc>
      </w:tr>
    </w:tbl>
    <w:p w14:paraId="2B08EE20" w14:textId="77777777" w:rsidR="00B73A48" w:rsidRPr="00E70587" w:rsidRDefault="00B73A48" w:rsidP="009901E1">
      <w:pPr>
        <w:spacing w:line="280" w:lineRule="exact"/>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17C17" w:rsidRPr="00E70587" w14:paraId="4A192AF3" w14:textId="77777777" w:rsidTr="00834981">
        <w:tc>
          <w:tcPr>
            <w:tcW w:w="0" w:type="auto"/>
            <w:tcBorders>
              <w:top w:val="nil"/>
              <w:left w:val="nil"/>
              <w:bottom w:val="nil"/>
              <w:right w:val="nil"/>
            </w:tcBorders>
          </w:tcPr>
          <w:p w14:paraId="10A417CC" w14:textId="77777777" w:rsidR="00A17C17" w:rsidRPr="00E70587" w:rsidRDefault="00A17C17" w:rsidP="006406AD">
            <w:pPr>
              <w:spacing w:line="280" w:lineRule="exact"/>
              <w:jc w:val="both"/>
              <w:rPr>
                <w:rFonts w:ascii="Arial" w:hAnsi="Arial" w:cs="Arial"/>
                <w:sz w:val="20"/>
              </w:rPr>
            </w:pPr>
            <w:r w:rsidRPr="00E70587">
              <w:rPr>
                <w:rFonts w:ascii="Arial" w:hAnsi="Arial" w:cs="Arial"/>
                <w:sz w:val="20"/>
              </w:rPr>
              <w:t>Inter-segment revenues are eliminated upon consolidation and reflected in the ‘adjustments and eliminations’ column. All other adjustments and eliminations are part of detailed reconciliations presented further below.</w:t>
            </w:r>
          </w:p>
          <w:p w14:paraId="02319C3E" w14:textId="14A3490B" w:rsidR="006406AD" w:rsidRDefault="006406AD" w:rsidP="006406AD">
            <w:pPr>
              <w:spacing w:line="280" w:lineRule="exact"/>
              <w:jc w:val="both"/>
              <w:rPr>
                <w:rFonts w:ascii="Arial" w:hAnsi="Arial" w:cs="Arial"/>
                <w:sz w:val="20"/>
              </w:rPr>
            </w:pPr>
          </w:p>
          <w:p w14:paraId="5735F2C7" w14:textId="4BAF9695" w:rsidR="00F047DA" w:rsidRDefault="00F047DA" w:rsidP="006406AD">
            <w:pPr>
              <w:spacing w:line="280" w:lineRule="exact"/>
              <w:jc w:val="both"/>
              <w:rPr>
                <w:rFonts w:ascii="Arial" w:hAnsi="Arial" w:cs="Arial"/>
                <w:sz w:val="20"/>
              </w:rPr>
            </w:pPr>
          </w:p>
          <w:p w14:paraId="0F364934" w14:textId="7E97444A" w:rsidR="00F047DA" w:rsidRPr="00F047DA" w:rsidRDefault="00F047DA" w:rsidP="00F047DA">
            <w:pPr>
              <w:shd w:val="clear" w:color="auto" w:fill="C1C1C1" w:themeFill="background1" w:themeFillTint="66"/>
              <w:spacing w:line="280" w:lineRule="exact"/>
              <w:jc w:val="both"/>
              <w:rPr>
                <w:rFonts w:ascii="Arial" w:hAnsi="Arial" w:cs="Arial"/>
                <w:b/>
                <w:bCs/>
                <w:sz w:val="20"/>
              </w:rPr>
            </w:pPr>
            <w:r w:rsidRPr="00F047DA">
              <w:rPr>
                <w:rFonts w:ascii="Arial" w:hAnsi="Arial" w:cs="Arial"/>
                <w:b/>
                <w:bCs/>
                <w:sz w:val="20"/>
              </w:rPr>
              <w:t xml:space="preserve">Author’s Note </w:t>
            </w:r>
          </w:p>
          <w:p w14:paraId="0C23B56F" w14:textId="77777777" w:rsidR="00F047DA" w:rsidRPr="00F047DA" w:rsidRDefault="00F047DA" w:rsidP="00F047DA">
            <w:pPr>
              <w:shd w:val="clear" w:color="auto" w:fill="C1C1C1" w:themeFill="background1" w:themeFillTint="66"/>
              <w:spacing w:line="280" w:lineRule="exact"/>
              <w:jc w:val="both"/>
              <w:rPr>
                <w:rFonts w:ascii="Arial" w:hAnsi="Arial" w:cs="Arial"/>
                <w:sz w:val="20"/>
              </w:rPr>
            </w:pPr>
          </w:p>
          <w:p w14:paraId="30A30158" w14:textId="7908746C" w:rsidR="00F047DA" w:rsidRDefault="00F047DA" w:rsidP="00F047DA">
            <w:pPr>
              <w:shd w:val="clear" w:color="auto" w:fill="C1C1C1" w:themeFill="background1" w:themeFillTint="66"/>
              <w:spacing w:line="280" w:lineRule="exact"/>
              <w:jc w:val="both"/>
              <w:rPr>
                <w:rFonts w:ascii="Arial" w:hAnsi="Arial" w:cs="Arial"/>
                <w:sz w:val="20"/>
              </w:rPr>
            </w:pPr>
            <w:r w:rsidRPr="00F047DA">
              <w:rPr>
                <w:rFonts w:ascii="Arial" w:hAnsi="Arial" w:cs="Arial"/>
                <w:sz w:val="20"/>
              </w:rPr>
              <w:t>Additional disclosure may be required if the chief operating decision maker (CODM), which is the Executive Management Committee of the Group in the case for the group, regularly reviews certain other items recorded in the statement of profit and loss, i.e., depreciation and amortisation, impairments and the share of profit in associates.</w:t>
            </w:r>
          </w:p>
          <w:p w14:paraId="54674726" w14:textId="77777777" w:rsidR="00F047DA" w:rsidRPr="00F047DA" w:rsidRDefault="00F047DA" w:rsidP="00F047DA">
            <w:pPr>
              <w:shd w:val="clear" w:color="auto" w:fill="C1C1C1" w:themeFill="background1" w:themeFillTint="66"/>
              <w:spacing w:line="280" w:lineRule="exact"/>
              <w:jc w:val="both"/>
              <w:rPr>
                <w:rFonts w:ascii="Arial" w:hAnsi="Arial" w:cs="Arial"/>
                <w:sz w:val="20"/>
              </w:rPr>
            </w:pPr>
          </w:p>
          <w:p w14:paraId="2A30A740" w14:textId="68F77CFA" w:rsidR="00F047DA" w:rsidRDefault="00F047DA" w:rsidP="00F047DA">
            <w:pPr>
              <w:shd w:val="clear" w:color="auto" w:fill="C1C1C1" w:themeFill="background1" w:themeFillTint="66"/>
              <w:spacing w:line="280" w:lineRule="exact"/>
              <w:jc w:val="both"/>
              <w:rPr>
                <w:rFonts w:ascii="Arial" w:hAnsi="Arial" w:cs="Arial"/>
                <w:sz w:val="20"/>
              </w:rPr>
            </w:pPr>
            <w:r w:rsidRPr="00F047DA">
              <w:rPr>
                <w:rFonts w:ascii="Arial" w:hAnsi="Arial" w:cs="Arial"/>
                <w:sz w:val="20"/>
              </w:rPr>
              <w:t xml:space="preserve">Ind AS 108.23(f) requires an entity to disclose material items of income and expense disclosed in accordance with Ind AS 1.97. Ind AS 1.97 requires an entity to disclose separately the nature and amount of material items of income or expense.  </w:t>
            </w:r>
          </w:p>
          <w:p w14:paraId="79826E57" w14:textId="77777777" w:rsidR="00446872" w:rsidRDefault="00446872" w:rsidP="00F047DA">
            <w:pPr>
              <w:shd w:val="clear" w:color="auto" w:fill="C1C1C1" w:themeFill="background1" w:themeFillTint="66"/>
              <w:spacing w:line="280" w:lineRule="exact"/>
              <w:jc w:val="both"/>
              <w:rPr>
                <w:rFonts w:ascii="Arial" w:hAnsi="Arial" w:cs="Arial"/>
                <w:sz w:val="20"/>
              </w:rPr>
            </w:pPr>
          </w:p>
          <w:p w14:paraId="796B471C" w14:textId="77777777" w:rsidR="00F047DA" w:rsidRPr="00E70587" w:rsidRDefault="00F047DA" w:rsidP="00F047DA">
            <w:pPr>
              <w:spacing w:line="280" w:lineRule="exact"/>
              <w:jc w:val="both"/>
              <w:rPr>
                <w:rFonts w:ascii="Arial" w:hAnsi="Arial" w:cs="Arial"/>
                <w:sz w:val="20"/>
              </w:rPr>
            </w:pPr>
          </w:p>
          <w:p w14:paraId="4443B3AA" w14:textId="77777777" w:rsidR="00A17C17" w:rsidRPr="00E70587" w:rsidRDefault="00A17C17" w:rsidP="006406AD">
            <w:pPr>
              <w:pStyle w:val="Heading4"/>
              <w:spacing w:before="0" w:after="0" w:line="280" w:lineRule="exact"/>
              <w:jc w:val="both"/>
              <w:rPr>
                <w:rFonts w:ascii="Arial" w:hAnsi="Arial" w:cs="Arial"/>
                <w:szCs w:val="20"/>
              </w:rPr>
            </w:pPr>
            <w:r w:rsidRPr="00E70587">
              <w:rPr>
                <w:rFonts w:ascii="Arial" w:hAnsi="Arial" w:cs="Arial"/>
                <w:szCs w:val="20"/>
              </w:rPr>
              <w:t>Adjustments and eliminations</w:t>
            </w:r>
          </w:p>
          <w:p w14:paraId="745062FD" w14:textId="77777777" w:rsidR="00A17C17" w:rsidRPr="00E70587" w:rsidRDefault="00A17C17" w:rsidP="006406AD">
            <w:pPr>
              <w:pStyle w:val="Notesbodytext"/>
              <w:spacing w:after="0" w:line="280" w:lineRule="exact"/>
              <w:jc w:val="both"/>
              <w:rPr>
                <w:rFonts w:ascii="Arial" w:hAnsi="Arial"/>
                <w:color w:val="auto"/>
                <w:sz w:val="20"/>
              </w:rPr>
            </w:pPr>
          </w:p>
          <w:p w14:paraId="4AF279C6" w14:textId="77777777" w:rsidR="00A17C17" w:rsidRPr="00E70587" w:rsidRDefault="00A17C17" w:rsidP="006406AD">
            <w:pPr>
              <w:pStyle w:val="Notesbodytext"/>
              <w:spacing w:after="0" w:line="280" w:lineRule="exact"/>
              <w:jc w:val="both"/>
              <w:rPr>
                <w:rFonts w:ascii="Arial" w:hAnsi="Arial"/>
                <w:color w:val="auto"/>
                <w:sz w:val="20"/>
              </w:rPr>
            </w:pPr>
            <w:r w:rsidRPr="00E70587">
              <w:rPr>
                <w:rFonts w:ascii="Arial" w:hAnsi="Arial"/>
                <w:color w:val="auto"/>
                <w:sz w:val="20"/>
              </w:rPr>
              <w:t>Finance income and costs, and fair value gains and losses on financial assets are not allocated to individual segments as the underlying instruments are managed on a group basis.</w:t>
            </w:r>
          </w:p>
          <w:p w14:paraId="53367021" w14:textId="77777777" w:rsidR="00A17C17" w:rsidRPr="00E70587" w:rsidRDefault="00A17C17" w:rsidP="006406AD">
            <w:pPr>
              <w:pStyle w:val="Notesbodytext"/>
              <w:spacing w:after="0" w:line="280" w:lineRule="exact"/>
              <w:jc w:val="both"/>
              <w:rPr>
                <w:rFonts w:ascii="Arial" w:hAnsi="Arial"/>
                <w:color w:val="auto"/>
                <w:sz w:val="20"/>
              </w:rPr>
            </w:pPr>
          </w:p>
          <w:p w14:paraId="6A787B9A" w14:textId="77777777" w:rsidR="00A17C17" w:rsidRPr="00E70587" w:rsidRDefault="00A17C17" w:rsidP="006406AD">
            <w:pPr>
              <w:pStyle w:val="Notesbodytext"/>
              <w:spacing w:after="0" w:line="280" w:lineRule="exact"/>
              <w:jc w:val="both"/>
              <w:rPr>
                <w:rFonts w:ascii="Arial" w:hAnsi="Arial"/>
                <w:color w:val="auto"/>
                <w:sz w:val="20"/>
              </w:rPr>
            </w:pPr>
            <w:r w:rsidRPr="00E70587">
              <w:rPr>
                <w:rFonts w:ascii="Arial" w:hAnsi="Arial"/>
                <w:color w:val="auto"/>
                <w:sz w:val="20"/>
              </w:rPr>
              <w:t>Current taxes, deferred taxes and certain financial assets and liabilities are not allocated to those segments as they are also managed on a group basis.</w:t>
            </w:r>
          </w:p>
          <w:p w14:paraId="2B2AA614" w14:textId="77777777" w:rsidR="00A17C17" w:rsidRPr="00E70587" w:rsidRDefault="00A17C17" w:rsidP="006406AD">
            <w:pPr>
              <w:pStyle w:val="Notesbodytext"/>
              <w:spacing w:after="0" w:line="280" w:lineRule="exact"/>
              <w:jc w:val="both"/>
              <w:rPr>
                <w:rFonts w:ascii="Arial" w:hAnsi="Arial"/>
                <w:color w:val="auto"/>
                <w:sz w:val="20"/>
              </w:rPr>
            </w:pPr>
          </w:p>
          <w:p w14:paraId="1E320CA8" w14:textId="77777777" w:rsidR="00A17C17" w:rsidRPr="00E70587" w:rsidRDefault="00A17C17" w:rsidP="006406AD">
            <w:pPr>
              <w:pStyle w:val="Notesbodytext"/>
              <w:spacing w:after="0" w:line="280" w:lineRule="exact"/>
              <w:jc w:val="both"/>
              <w:rPr>
                <w:rFonts w:ascii="Arial" w:hAnsi="Arial"/>
                <w:color w:val="auto"/>
                <w:sz w:val="20"/>
              </w:rPr>
            </w:pPr>
            <w:r w:rsidRPr="00E70587">
              <w:rPr>
                <w:rFonts w:ascii="Arial" w:hAnsi="Arial"/>
                <w:color w:val="auto"/>
                <w:sz w:val="20"/>
              </w:rPr>
              <w:t>Capital expenditure consists of additions of property, plant and equipment, intangible assets and investment properties including assets from the acquisition of s</w:t>
            </w:r>
            <w:r w:rsidR="006406AD" w:rsidRPr="00E70587">
              <w:rPr>
                <w:rFonts w:ascii="Arial" w:hAnsi="Arial"/>
                <w:color w:val="auto"/>
                <w:sz w:val="20"/>
              </w:rPr>
              <w:t>ubsidiaries.</w:t>
            </w:r>
          </w:p>
          <w:p w14:paraId="011C5623" w14:textId="77777777" w:rsidR="006406AD" w:rsidRPr="00E70587" w:rsidRDefault="006406AD" w:rsidP="006406AD">
            <w:pPr>
              <w:pStyle w:val="Notesbodytext"/>
              <w:spacing w:after="0" w:line="280" w:lineRule="exact"/>
              <w:jc w:val="both"/>
              <w:rPr>
                <w:rFonts w:ascii="Arial" w:hAnsi="Arial"/>
                <w:color w:val="auto"/>
                <w:sz w:val="20"/>
              </w:rPr>
            </w:pPr>
          </w:p>
          <w:p w14:paraId="37212CAB" w14:textId="77777777" w:rsidR="006406AD" w:rsidRPr="00E70587" w:rsidRDefault="006406AD" w:rsidP="006406AD">
            <w:pPr>
              <w:pStyle w:val="Notesbodytext"/>
              <w:spacing w:after="0" w:line="280" w:lineRule="exact"/>
              <w:jc w:val="both"/>
              <w:rPr>
                <w:rFonts w:ascii="Arial" w:hAnsi="Arial"/>
                <w:color w:val="auto"/>
                <w:sz w:val="20"/>
              </w:rPr>
            </w:pPr>
            <w:r w:rsidRPr="00E70587">
              <w:rPr>
                <w:rFonts w:ascii="Arial" w:hAnsi="Arial"/>
                <w:color w:val="auto"/>
                <w:sz w:val="20"/>
              </w:rPr>
              <w:t>Inter-segment revenues are eliminated on consolidation.</w:t>
            </w:r>
          </w:p>
          <w:p w14:paraId="0EBB7F8E" w14:textId="77777777" w:rsidR="00A17C17" w:rsidRPr="00E70587" w:rsidRDefault="00A17C17" w:rsidP="006406AD">
            <w:pPr>
              <w:pStyle w:val="Notesbodytext"/>
              <w:spacing w:after="0" w:line="280" w:lineRule="exact"/>
              <w:jc w:val="both"/>
              <w:rPr>
                <w:rFonts w:ascii="Arial" w:hAnsi="Arial"/>
                <w:color w:val="auto"/>
                <w:sz w:val="20"/>
              </w:rPr>
            </w:pPr>
          </w:p>
        </w:tc>
      </w:tr>
    </w:tbl>
    <w:p w14:paraId="2B2745F9" w14:textId="77777777" w:rsidR="00657499" w:rsidRDefault="00657499" w:rsidP="009901E1">
      <w:pPr>
        <w:pStyle w:val="Notesbodytext"/>
        <w:spacing w:after="0" w:line="280" w:lineRule="exact"/>
        <w:rPr>
          <w:rFonts w:ascii="Arial" w:hAnsi="Arial"/>
          <w:color w:val="auto"/>
          <w:sz w:val="20"/>
        </w:rPr>
      </w:pPr>
    </w:p>
    <w:p w14:paraId="1CB4227F" w14:textId="77777777" w:rsidR="00657499" w:rsidRPr="00E70587" w:rsidRDefault="00657499" w:rsidP="009901E1">
      <w:pPr>
        <w:pStyle w:val="Notesbodytext"/>
        <w:spacing w:after="0" w:line="280" w:lineRule="exact"/>
        <w:rPr>
          <w:rFonts w:ascii="Arial" w:hAnsi="Arial"/>
          <w:color w:val="auto"/>
          <w:sz w:val="20"/>
        </w:rPr>
      </w:pPr>
    </w:p>
    <w:p w14:paraId="63FE1CA1" w14:textId="77777777" w:rsidR="006406AD" w:rsidRPr="00E70587" w:rsidRDefault="006406AD" w:rsidP="009901E1">
      <w:pPr>
        <w:pStyle w:val="Notesbodytext"/>
        <w:spacing w:after="0" w:line="280" w:lineRule="exact"/>
        <w:rPr>
          <w:rFonts w:ascii="Arial" w:hAnsi="Arial"/>
          <w:b/>
          <w:color w:val="auto"/>
          <w:sz w:val="20"/>
        </w:rPr>
      </w:pPr>
      <w:r w:rsidRPr="00E70587">
        <w:rPr>
          <w:rFonts w:ascii="Arial" w:hAnsi="Arial"/>
          <w:b/>
          <w:color w:val="auto"/>
          <w:sz w:val="20"/>
        </w:rPr>
        <w:t>Reconciliations to amounts reflected in the financial statements</w:t>
      </w:r>
    </w:p>
    <w:p w14:paraId="269D34CA" w14:textId="77777777" w:rsidR="006406AD" w:rsidRPr="00E70587" w:rsidRDefault="006406AD" w:rsidP="009901E1">
      <w:pPr>
        <w:pStyle w:val="Notesbodytext"/>
        <w:spacing w:after="0" w:line="280" w:lineRule="exact"/>
        <w:rPr>
          <w:rFonts w:ascii="Arial" w:hAnsi="Arial"/>
          <w:color w:val="auto"/>
          <w:sz w:val="20"/>
        </w:rPr>
      </w:pPr>
    </w:p>
    <w:tbl>
      <w:tblPr>
        <w:tblW w:w="9540" w:type="dxa"/>
        <w:tblLayout w:type="fixed"/>
        <w:tblLook w:val="04A0" w:firstRow="1" w:lastRow="0" w:firstColumn="1" w:lastColumn="0" w:noHBand="0" w:noVBand="1"/>
      </w:tblPr>
      <w:tblGrid>
        <w:gridCol w:w="5962"/>
        <w:gridCol w:w="1807"/>
        <w:gridCol w:w="1771"/>
      </w:tblGrid>
      <w:tr w:rsidR="00A17C17" w:rsidRPr="00E70587" w14:paraId="34D4833C" w14:textId="77777777" w:rsidTr="005F6E20">
        <w:tc>
          <w:tcPr>
            <w:tcW w:w="5962" w:type="dxa"/>
            <w:shd w:val="clear" w:color="auto" w:fill="auto"/>
            <w:vAlign w:val="bottom"/>
            <w:hideMark/>
          </w:tcPr>
          <w:p w14:paraId="77FEFD39"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Reconciliation of profit</w:t>
            </w:r>
          </w:p>
        </w:tc>
        <w:tc>
          <w:tcPr>
            <w:tcW w:w="1807" w:type="dxa"/>
            <w:tcBorders>
              <w:bottom w:val="single" w:sz="4" w:space="0" w:color="auto"/>
            </w:tcBorders>
            <w:shd w:val="clear" w:color="auto" w:fill="auto"/>
            <w:vAlign w:val="bottom"/>
            <w:hideMark/>
          </w:tcPr>
          <w:p w14:paraId="0C457DBA" w14:textId="7E89F3C0" w:rsidR="00A17C17" w:rsidRPr="00E70587" w:rsidRDefault="00A17C17" w:rsidP="006406AD">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 xml:space="preserve">31 </w:t>
            </w:r>
            <w:r w:rsidR="00E1202D" w:rsidRPr="00E70587">
              <w:rPr>
                <w:rFonts w:ascii="Arial" w:hAnsi="Arial" w:cs="Arial"/>
                <w:b/>
                <w:sz w:val="20"/>
                <w:lang w:val="en-IN"/>
              </w:rPr>
              <w:t xml:space="preserve">March </w:t>
            </w:r>
            <w:r w:rsidR="007825ED" w:rsidRPr="00E70587">
              <w:rPr>
                <w:rFonts w:ascii="Arial" w:hAnsi="Arial" w:cs="Arial"/>
                <w:b/>
                <w:sz w:val="20"/>
                <w:lang w:val="en-IN"/>
              </w:rPr>
              <w:t>20</w:t>
            </w:r>
            <w:r w:rsidR="007825ED">
              <w:rPr>
                <w:rFonts w:ascii="Arial" w:hAnsi="Arial" w:cs="Arial"/>
                <w:b/>
                <w:sz w:val="20"/>
                <w:lang w:val="en-IN"/>
              </w:rPr>
              <w:t>21</w:t>
            </w:r>
          </w:p>
        </w:tc>
        <w:tc>
          <w:tcPr>
            <w:tcW w:w="1771" w:type="dxa"/>
            <w:tcBorders>
              <w:bottom w:val="single" w:sz="4" w:space="0" w:color="auto"/>
            </w:tcBorders>
            <w:shd w:val="clear" w:color="auto" w:fill="auto"/>
            <w:vAlign w:val="bottom"/>
            <w:hideMark/>
          </w:tcPr>
          <w:p w14:paraId="60F51286" w14:textId="0D590743" w:rsidR="00A17C17" w:rsidRPr="00E70587" w:rsidRDefault="00A17C17" w:rsidP="006406AD">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 xml:space="preserve">31 </w:t>
            </w:r>
            <w:r w:rsidR="008B730E" w:rsidRPr="00E70587">
              <w:rPr>
                <w:rFonts w:ascii="Arial" w:hAnsi="Arial" w:cs="Arial"/>
                <w:b/>
                <w:sz w:val="20"/>
                <w:lang w:val="en-IN"/>
              </w:rPr>
              <w:t xml:space="preserve">March </w:t>
            </w:r>
            <w:r w:rsidR="007825ED" w:rsidRPr="00E70587">
              <w:rPr>
                <w:rFonts w:ascii="Arial" w:hAnsi="Arial" w:cs="Arial"/>
                <w:b/>
                <w:sz w:val="20"/>
                <w:lang w:val="en-IN"/>
              </w:rPr>
              <w:t>20</w:t>
            </w:r>
            <w:r w:rsidR="007825ED">
              <w:rPr>
                <w:rFonts w:ascii="Arial" w:hAnsi="Arial" w:cs="Arial"/>
                <w:b/>
                <w:sz w:val="20"/>
                <w:lang w:val="en-IN"/>
              </w:rPr>
              <w:t>20</w:t>
            </w:r>
          </w:p>
        </w:tc>
      </w:tr>
      <w:tr w:rsidR="00A17C17" w:rsidRPr="00E70587" w14:paraId="3D40840C" w14:textId="77777777" w:rsidTr="005F6E20">
        <w:tc>
          <w:tcPr>
            <w:tcW w:w="5962" w:type="dxa"/>
            <w:shd w:val="clear" w:color="auto" w:fill="auto"/>
            <w:vAlign w:val="bottom"/>
            <w:hideMark/>
          </w:tcPr>
          <w:p w14:paraId="57BB657E"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807" w:type="dxa"/>
            <w:tcBorders>
              <w:top w:val="single" w:sz="4" w:space="0" w:color="auto"/>
            </w:tcBorders>
            <w:shd w:val="clear" w:color="auto" w:fill="auto"/>
            <w:vAlign w:val="bottom"/>
            <w:hideMark/>
          </w:tcPr>
          <w:p w14:paraId="4B3184AA" w14:textId="77777777" w:rsidR="00A17C17" w:rsidRPr="00E70587" w:rsidRDefault="00A17C17" w:rsidP="006406AD">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 xml:space="preserve"> INR Lacs</w:t>
            </w:r>
          </w:p>
        </w:tc>
        <w:tc>
          <w:tcPr>
            <w:tcW w:w="1771" w:type="dxa"/>
            <w:tcBorders>
              <w:top w:val="single" w:sz="4" w:space="0" w:color="auto"/>
            </w:tcBorders>
            <w:shd w:val="clear" w:color="auto" w:fill="auto"/>
            <w:vAlign w:val="bottom"/>
            <w:hideMark/>
          </w:tcPr>
          <w:p w14:paraId="45BB4B32" w14:textId="77777777" w:rsidR="00A17C17" w:rsidRPr="00E70587" w:rsidRDefault="00A17C17" w:rsidP="006406AD">
            <w:pPr>
              <w:pStyle w:val="tabletext"/>
              <w:overflowPunct w:val="0"/>
              <w:autoSpaceDE w:val="0"/>
              <w:autoSpaceDN w:val="0"/>
              <w:adjustRightInd w:val="0"/>
              <w:spacing w:line="280" w:lineRule="exact"/>
              <w:jc w:val="right"/>
              <w:textAlignment w:val="baseline"/>
              <w:rPr>
                <w:rFonts w:ascii="Arial" w:hAnsi="Arial" w:cs="Arial"/>
                <w:b/>
                <w:sz w:val="20"/>
                <w:lang w:val="en-IN"/>
              </w:rPr>
            </w:pPr>
            <w:r w:rsidRPr="00E70587">
              <w:rPr>
                <w:rFonts w:ascii="Arial" w:hAnsi="Arial" w:cs="Arial"/>
                <w:b/>
                <w:sz w:val="20"/>
                <w:lang w:val="en-IN"/>
              </w:rPr>
              <w:t>INR Lacs</w:t>
            </w:r>
          </w:p>
        </w:tc>
      </w:tr>
      <w:tr w:rsidR="00A17C17" w:rsidRPr="00E70587" w14:paraId="0A7C2529" w14:textId="77777777" w:rsidTr="005F6E20">
        <w:tc>
          <w:tcPr>
            <w:tcW w:w="5962" w:type="dxa"/>
            <w:shd w:val="clear" w:color="auto" w:fill="auto"/>
            <w:vAlign w:val="bottom"/>
            <w:hideMark/>
          </w:tcPr>
          <w:p w14:paraId="6F1693C1" w14:textId="77777777" w:rsidR="00A17C17" w:rsidRPr="00E70587" w:rsidRDefault="00A17C17" w:rsidP="009901E1">
            <w:pPr>
              <w:pStyle w:val="tabletext"/>
              <w:overflowPunct w:val="0"/>
              <w:autoSpaceDE w:val="0"/>
              <w:autoSpaceDN w:val="0"/>
              <w:adjustRightInd w:val="0"/>
              <w:spacing w:line="280" w:lineRule="exact"/>
              <w:ind w:right="-269"/>
              <w:textAlignment w:val="baseline"/>
              <w:rPr>
                <w:rFonts w:ascii="Arial" w:hAnsi="Arial" w:cs="Arial"/>
                <w:b/>
                <w:bCs/>
                <w:sz w:val="20"/>
                <w:lang w:val="en-IN" w:eastAsia="en-GB"/>
              </w:rPr>
            </w:pPr>
            <w:r w:rsidRPr="00E70587">
              <w:rPr>
                <w:rFonts w:ascii="Arial" w:hAnsi="Arial" w:cs="Arial"/>
                <w:b/>
                <w:sz w:val="20"/>
                <w:lang w:val="en-IN"/>
              </w:rPr>
              <w:t>Segment profit</w:t>
            </w:r>
          </w:p>
        </w:tc>
        <w:tc>
          <w:tcPr>
            <w:tcW w:w="1807" w:type="dxa"/>
            <w:shd w:val="clear" w:color="auto" w:fill="auto"/>
            <w:hideMark/>
          </w:tcPr>
          <w:p w14:paraId="502F3352" w14:textId="2B784838" w:rsidR="00A17C17" w:rsidRPr="00E70587" w:rsidRDefault="00A17C17" w:rsidP="006406AD">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23,</w:t>
            </w:r>
            <w:r w:rsidR="009D64A8" w:rsidRPr="00E70587">
              <w:rPr>
                <w:rFonts w:ascii="Arial" w:hAnsi="Arial" w:cs="Arial"/>
                <w:b/>
                <w:bCs/>
                <w:sz w:val="20"/>
                <w:lang w:eastAsia="en-GB"/>
              </w:rPr>
              <w:t>15</w:t>
            </w:r>
            <w:r w:rsidR="009D64A8">
              <w:rPr>
                <w:rFonts w:ascii="Arial" w:hAnsi="Arial" w:cs="Arial"/>
                <w:b/>
                <w:bCs/>
                <w:sz w:val="20"/>
                <w:lang w:eastAsia="en-GB"/>
              </w:rPr>
              <w:t>9</w:t>
            </w:r>
            <w:r w:rsidR="009D64A8" w:rsidRPr="00E70587">
              <w:rPr>
                <w:rFonts w:ascii="Arial" w:hAnsi="Arial" w:cs="Arial"/>
                <w:b/>
                <w:bCs/>
                <w:sz w:val="20"/>
                <w:lang w:eastAsia="en-GB"/>
              </w:rPr>
              <w:t xml:space="preserve"> </w:t>
            </w:r>
          </w:p>
        </w:tc>
        <w:tc>
          <w:tcPr>
            <w:tcW w:w="1771" w:type="dxa"/>
            <w:shd w:val="clear" w:color="auto" w:fill="auto"/>
            <w:hideMark/>
          </w:tcPr>
          <w:p w14:paraId="3DD0B352" w14:textId="686D1D5F" w:rsidR="00A17C17" w:rsidRPr="00E70587" w:rsidRDefault="003A6E91" w:rsidP="00AE28EC">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w:t>
            </w:r>
            <w:r>
              <w:rPr>
                <w:rFonts w:ascii="Arial" w:hAnsi="Arial" w:cs="Arial"/>
                <w:b/>
                <w:bCs/>
                <w:sz w:val="20"/>
                <w:lang w:eastAsia="en-GB"/>
              </w:rPr>
              <w:t>6</w:t>
            </w:r>
            <w:r w:rsidR="00A17C17" w:rsidRPr="00E70587">
              <w:rPr>
                <w:rFonts w:ascii="Arial" w:hAnsi="Arial" w:cs="Arial"/>
                <w:b/>
                <w:bCs/>
                <w:sz w:val="20"/>
                <w:lang w:eastAsia="en-GB"/>
              </w:rPr>
              <w:t>,</w:t>
            </w:r>
            <w:r>
              <w:rPr>
                <w:rFonts w:ascii="Arial" w:hAnsi="Arial" w:cs="Arial"/>
                <w:b/>
                <w:bCs/>
                <w:sz w:val="20"/>
                <w:lang w:eastAsia="en-GB"/>
              </w:rPr>
              <w:t>840</w:t>
            </w:r>
            <w:r w:rsidRPr="00E70587">
              <w:rPr>
                <w:rFonts w:ascii="Arial" w:hAnsi="Arial" w:cs="Arial"/>
                <w:b/>
                <w:bCs/>
                <w:sz w:val="20"/>
                <w:lang w:eastAsia="en-GB"/>
              </w:rPr>
              <w:t xml:space="preserve"> </w:t>
            </w:r>
          </w:p>
        </w:tc>
      </w:tr>
      <w:tr w:rsidR="00A17C17" w:rsidRPr="00E70587" w14:paraId="7D9C7933" w14:textId="77777777" w:rsidTr="005F6E20">
        <w:tc>
          <w:tcPr>
            <w:tcW w:w="5962" w:type="dxa"/>
            <w:shd w:val="clear" w:color="auto" w:fill="auto"/>
            <w:vAlign w:val="bottom"/>
            <w:hideMark/>
          </w:tcPr>
          <w:p w14:paraId="57AA5D9A" w14:textId="77777777" w:rsidR="00A17C17" w:rsidRPr="00E70587" w:rsidRDefault="00A17C17" w:rsidP="00BA690C">
            <w:pPr>
              <w:overflowPunct/>
              <w:autoSpaceDE/>
              <w:autoSpaceDN/>
              <w:adjustRightInd/>
              <w:spacing w:line="280" w:lineRule="exact"/>
              <w:ind w:left="180" w:right="76"/>
              <w:textAlignment w:val="auto"/>
              <w:rPr>
                <w:rFonts w:ascii="Arial" w:hAnsi="Arial" w:cs="Arial"/>
                <w:sz w:val="20"/>
                <w:lang w:eastAsia="en-GB"/>
              </w:rPr>
            </w:pPr>
            <w:r w:rsidRPr="00E70587">
              <w:rPr>
                <w:rFonts w:ascii="Arial" w:hAnsi="Arial" w:cs="Arial"/>
                <w:sz w:val="20"/>
                <w:lang w:eastAsia="en-GB"/>
              </w:rPr>
              <w:t>Finance income (Note 24)</w:t>
            </w:r>
          </w:p>
        </w:tc>
        <w:tc>
          <w:tcPr>
            <w:tcW w:w="1807" w:type="dxa"/>
            <w:shd w:val="clear" w:color="auto" w:fill="auto"/>
            <w:hideMark/>
          </w:tcPr>
          <w:p w14:paraId="3DD5B044" w14:textId="77777777" w:rsidR="00A17C17" w:rsidRPr="00E70587" w:rsidRDefault="00A17C17" w:rsidP="006406AD">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605 </w:t>
            </w:r>
          </w:p>
        </w:tc>
        <w:tc>
          <w:tcPr>
            <w:tcW w:w="1771" w:type="dxa"/>
            <w:shd w:val="clear" w:color="auto" w:fill="auto"/>
            <w:hideMark/>
          </w:tcPr>
          <w:p w14:paraId="49D7F9F1" w14:textId="77777777" w:rsidR="00A17C17" w:rsidRPr="00E70587" w:rsidRDefault="00A17C17" w:rsidP="006406AD">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380 </w:t>
            </w:r>
          </w:p>
        </w:tc>
      </w:tr>
      <w:tr w:rsidR="00A17C17" w:rsidRPr="00E70587" w14:paraId="16DE2E47" w14:textId="77777777" w:rsidTr="005F6E20">
        <w:tc>
          <w:tcPr>
            <w:tcW w:w="5962" w:type="dxa"/>
            <w:shd w:val="clear" w:color="auto" w:fill="auto"/>
            <w:vAlign w:val="bottom"/>
          </w:tcPr>
          <w:p w14:paraId="76E293E2" w14:textId="3D0CC33E" w:rsidR="00A17C17" w:rsidRPr="00E70587" w:rsidRDefault="00BA690C" w:rsidP="00BA690C">
            <w:pPr>
              <w:overflowPunct/>
              <w:autoSpaceDE/>
              <w:autoSpaceDN/>
              <w:adjustRightInd/>
              <w:spacing w:line="280" w:lineRule="exact"/>
              <w:ind w:left="180" w:right="76"/>
              <w:textAlignment w:val="auto"/>
              <w:rPr>
                <w:rFonts w:ascii="Arial" w:hAnsi="Arial" w:cs="Arial"/>
                <w:sz w:val="20"/>
                <w:lang w:eastAsia="en-GB"/>
              </w:rPr>
            </w:pPr>
            <w:r w:rsidRPr="00E70587">
              <w:rPr>
                <w:rFonts w:ascii="Arial" w:hAnsi="Arial" w:cs="Arial"/>
                <w:sz w:val="20"/>
                <w:lang w:eastAsia="en-GB"/>
              </w:rPr>
              <w:t>Fair value g</w:t>
            </w:r>
            <w:r w:rsidR="00A17C17" w:rsidRPr="00E70587">
              <w:rPr>
                <w:rFonts w:ascii="Arial" w:hAnsi="Arial" w:cs="Arial"/>
                <w:sz w:val="20"/>
                <w:lang w:eastAsia="en-GB"/>
              </w:rPr>
              <w:t xml:space="preserve">ain on financial assets at fair value through profit </w:t>
            </w:r>
            <w:r w:rsidR="004B3123">
              <w:rPr>
                <w:rFonts w:ascii="Arial" w:hAnsi="Arial" w:cs="Arial"/>
                <w:sz w:val="20"/>
                <w:lang w:eastAsia="en-GB"/>
              </w:rPr>
              <w:t>or</w:t>
            </w:r>
            <w:r w:rsidR="00843CE5" w:rsidRPr="00E70587">
              <w:rPr>
                <w:rFonts w:ascii="Arial" w:hAnsi="Arial" w:cs="Arial"/>
                <w:sz w:val="20"/>
                <w:lang w:eastAsia="en-GB"/>
              </w:rPr>
              <w:t xml:space="preserve"> </w:t>
            </w:r>
            <w:r w:rsidR="00A17C17" w:rsidRPr="00E70587">
              <w:rPr>
                <w:rFonts w:ascii="Arial" w:hAnsi="Arial" w:cs="Arial"/>
                <w:sz w:val="20"/>
                <w:lang w:eastAsia="en-GB"/>
              </w:rPr>
              <w:t xml:space="preserve">loss (Note </w:t>
            </w:r>
            <w:r w:rsidRPr="00E70587">
              <w:rPr>
                <w:rFonts w:ascii="Arial" w:hAnsi="Arial" w:cs="Arial"/>
                <w:sz w:val="20"/>
                <w:lang w:eastAsia="en-GB"/>
              </w:rPr>
              <w:t>23</w:t>
            </w:r>
            <w:r w:rsidR="00A17C17" w:rsidRPr="00E70587">
              <w:rPr>
                <w:rFonts w:ascii="Arial" w:hAnsi="Arial" w:cs="Arial"/>
                <w:sz w:val="20"/>
                <w:lang w:eastAsia="en-GB"/>
              </w:rPr>
              <w:t>)</w:t>
            </w:r>
          </w:p>
        </w:tc>
        <w:tc>
          <w:tcPr>
            <w:tcW w:w="1807" w:type="dxa"/>
            <w:shd w:val="clear" w:color="auto" w:fill="auto"/>
          </w:tcPr>
          <w:p w14:paraId="6D5036C4" w14:textId="77777777" w:rsidR="00A17C17" w:rsidRPr="00E70587" w:rsidRDefault="00A17C17" w:rsidP="006406AD">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1,530 </w:t>
            </w:r>
          </w:p>
        </w:tc>
        <w:tc>
          <w:tcPr>
            <w:tcW w:w="1771" w:type="dxa"/>
            <w:shd w:val="clear" w:color="auto" w:fill="auto"/>
          </w:tcPr>
          <w:p w14:paraId="3951EC2C" w14:textId="77777777" w:rsidR="00A17C17" w:rsidRPr="00E70587" w:rsidRDefault="00A17C17" w:rsidP="006406AD">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A17C17" w:rsidRPr="00E70587" w14:paraId="43CCA92C" w14:textId="77777777" w:rsidTr="005F6E20">
        <w:tc>
          <w:tcPr>
            <w:tcW w:w="5962" w:type="dxa"/>
            <w:shd w:val="clear" w:color="auto" w:fill="auto"/>
            <w:vAlign w:val="bottom"/>
          </w:tcPr>
          <w:p w14:paraId="64A2088C" w14:textId="2DAAF36C" w:rsidR="00A17C17" w:rsidRPr="00E70587" w:rsidRDefault="00BA690C" w:rsidP="00BA690C">
            <w:pPr>
              <w:overflowPunct/>
              <w:autoSpaceDE/>
              <w:autoSpaceDN/>
              <w:adjustRightInd/>
              <w:spacing w:line="280" w:lineRule="exact"/>
              <w:ind w:left="180" w:right="76"/>
              <w:textAlignment w:val="auto"/>
              <w:rPr>
                <w:rFonts w:ascii="Arial" w:hAnsi="Arial" w:cs="Arial"/>
                <w:sz w:val="20"/>
                <w:lang w:eastAsia="en-GB"/>
              </w:rPr>
            </w:pPr>
            <w:r w:rsidRPr="00E70587">
              <w:rPr>
                <w:rFonts w:ascii="Arial" w:hAnsi="Arial" w:cs="Arial"/>
                <w:sz w:val="20"/>
                <w:lang w:eastAsia="en-GB"/>
              </w:rPr>
              <w:lastRenderedPageBreak/>
              <w:t>Fair value l</w:t>
            </w:r>
            <w:r w:rsidR="00A17C17" w:rsidRPr="00E70587">
              <w:rPr>
                <w:rFonts w:ascii="Arial" w:hAnsi="Arial" w:cs="Arial"/>
                <w:sz w:val="20"/>
                <w:lang w:eastAsia="en-GB"/>
              </w:rPr>
              <w:t xml:space="preserve">oss on financial assets at fair value through profit </w:t>
            </w:r>
            <w:r w:rsidR="004B3123">
              <w:rPr>
                <w:rFonts w:ascii="Arial" w:hAnsi="Arial" w:cs="Arial"/>
                <w:sz w:val="20"/>
                <w:lang w:eastAsia="en-GB"/>
              </w:rPr>
              <w:t>or</w:t>
            </w:r>
            <w:r w:rsidR="00A17C17" w:rsidRPr="00E70587">
              <w:rPr>
                <w:rFonts w:ascii="Arial" w:hAnsi="Arial" w:cs="Arial"/>
                <w:sz w:val="20"/>
                <w:lang w:eastAsia="en-GB"/>
              </w:rPr>
              <w:t xml:space="preserve"> loss (Note </w:t>
            </w:r>
            <w:r w:rsidRPr="00E70587">
              <w:rPr>
                <w:rFonts w:ascii="Arial" w:hAnsi="Arial" w:cs="Arial"/>
                <w:sz w:val="20"/>
                <w:lang w:eastAsia="en-GB"/>
              </w:rPr>
              <w:t>28</w:t>
            </w:r>
            <w:r w:rsidR="00A17C17" w:rsidRPr="00E70587">
              <w:rPr>
                <w:rFonts w:ascii="Arial" w:hAnsi="Arial" w:cs="Arial"/>
                <w:sz w:val="20"/>
                <w:lang w:eastAsia="en-GB"/>
              </w:rPr>
              <w:t>)</w:t>
            </w:r>
          </w:p>
        </w:tc>
        <w:tc>
          <w:tcPr>
            <w:tcW w:w="1807" w:type="dxa"/>
            <w:shd w:val="clear" w:color="auto" w:fill="auto"/>
          </w:tcPr>
          <w:p w14:paraId="372EC9E3" w14:textId="77777777" w:rsidR="00A17C17" w:rsidRPr="00E70587" w:rsidRDefault="00A17C17" w:rsidP="006406AD">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(2,704)</w:t>
            </w:r>
          </w:p>
        </w:tc>
        <w:tc>
          <w:tcPr>
            <w:tcW w:w="1771" w:type="dxa"/>
            <w:shd w:val="clear" w:color="auto" w:fill="auto"/>
          </w:tcPr>
          <w:p w14:paraId="1903D9F1" w14:textId="77777777" w:rsidR="00A17C17" w:rsidRPr="00E70587" w:rsidRDefault="00A17C17" w:rsidP="006406AD">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A17C17" w:rsidRPr="00E70587" w14:paraId="53F800E9" w14:textId="77777777" w:rsidTr="005F6E20">
        <w:tc>
          <w:tcPr>
            <w:tcW w:w="5962" w:type="dxa"/>
            <w:shd w:val="clear" w:color="auto" w:fill="auto"/>
            <w:vAlign w:val="bottom"/>
            <w:hideMark/>
          </w:tcPr>
          <w:p w14:paraId="1D82E6C9" w14:textId="77777777" w:rsidR="00A17C17" w:rsidRPr="00E70587" w:rsidRDefault="00A17C17" w:rsidP="00BA690C">
            <w:pPr>
              <w:overflowPunct/>
              <w:autoSpaceDE/>
              <w:autoSpaceDN/>
              <w:adjustRightInd/>
              <w:spacing w:line="280" w:lineRule="exact"/>
              <w:ind w:left="180" w:right="76"/>
              <w:textAlignment w:val="auto"/>
              <w:rPr>
                <w:rFonts w:ascii="Arial" w:hAnsi="Arial" w:cs="Arial"/>
                <w:sz w:val="20"/>
                <w:lang w:eastAsia="en-GB"/>
              </w:rPr>
            </w:pPr>
            <w:r w:rsidRPr="00E70587">
              <w:rPr>
                <w:rFonts w:ascii="Arial" w:hAnsi="Arial" w:cs="Arial"/>
                <w:sz w:val="20"/>
                <w:lang w:eastAsia="en-GB"/>
              </w:rPr>
              <w:t>Other finance costs (Note 29)</w:t>
            </w:r>
          </w:p>
        </w:tc>
        <w:tc>
          <w:tcPr>
            <w:tcW w:w="1807" w:type="dxa"/>
            <w:shd w:val="clear" w:color="auto" w:fill="auto"/>
            <w:tcMar>
              <w:right w:w="28" w:type="dxa"/>
            </w:tcMar>
            <w:hideMark/>
          </w:tcPr>
          <w:p w14:paraId="41DC72C7" w14:textId="77777777" w:rsidR="00A17C17" w:rsidRPr="00E70587" w:rsidRDefault="00A17C17" w:rsidP="006406AD">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 (2,275) </w:t>
            </w:r>
          </w:p>
        </w:tc>
        <w:tc>
          <w:tcPr>
            <w:tcW w:w="1771" w:type="dxa"/>
            <w:shd w:val="clear" w:color="auto" w:fill="auto"/>
            <w:tcMar>
              <w:right w:w="28" w:type="dxa"/>
            </w:tcMar>
            <w:hideMark/>
          </w:tcPr>
          <w:p w14:paraId="412C1A41" w14:textId="77777777" w:rsidR="00A17C17" w:rsidRPr="00E70587" w:rsidRDefault="00A17C17" w:rsidP="006406AD">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(2,022) </w:t>
            </w:r>
          </w:p>
        </w:tc>
      </w:tr>
      <w:tr w:rsidR="00A17C17" w:rsidRPr="00E70587" w14:paraId="4E84AA35" w14:textId="77777777" w:rsidTr="005F6E20">
        <w:tc>
          <w:tcPr>
            <w:tcW w:w="5962" w:type="dxa"/>
            <w:shd w:val="clear" w:color="auto" w:fill="auto"/>
            <w:vAlign w:val="bottom"/>
            <w:hideMark/>
          </w:tcPr>
          <w:p w14:paraId="6C47C78E" w14:textId="77777777" w:rsidR="00A17C17" w:rsidRPr="00E70587" w:rsidRDefault="00A17C17" w:rsidP="00BA690C">
            <w:pPr>
              <w:overflowPunct/>
              <w:autoSpaceDE/>
              <w:autoSpaceDN/>
              <w:adjustRightInd/>
              <w:spacing w:line="280" w:lineRule="exact"/>
              <w:ind w:left="180" w:right="76"/>
              <w:textAlignment w:val="auto"/>
              <w:rPr>
                <w:rFonts w:ascii="Arial" w:hAnsi="Arial" w:cs="Arial"/>
                <w:sz w:val="20"/>
                <w:lang w:eastAsia="en-GB"/>
              </w:rPr>
            </w:pPr>
            <w:r w:rsidRPr="00E70587">
              <w:rPr>
                <w:rFonts w:ascii="Arial" w:hAnsi="Arial" w:cs="Arial"/>
                <w:sz w:val="20"/>
                <w:lang w:eastAsia="en-GB"/>
              </w:rPr>
              <w:t>Net realised gains from FVTOCI financial assets (elimination)</w:t>
            </w:r>
          </w:p>
        </w:tc>
        <w:tc>
          <w:tcPr>
            <w:tcW w:w="1807" w:type="dxa"/>
            <w:shd w:val="clear" w:color="auto" w:fill="auto"/>
            <w:tcMar>
              <w:right w:w="28" w:type="dxa"/>
            </w:tcMar>
            <w:hideMark/>
          </w:tcPr>
          <w:p w14:paraId="18BF756B" w14:textId="77777777" w:rsidR="00A17C17" w:rsidRPr="00E70587" w:rsidRDefault="00A17C17" w:rsidP="006406AD">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(4) </w:t>
            </w:r>
          </w:p>
        </w:tc>
        <w:tc>
          <w:tcPr>
            <w:tcW w:w="1771" w:type="dxa"/>
            <w:shd w:val="clear" w:color="auto" w:fill="auto"/>
            <w:hideMark/>
          </w:tcPr>
          <w:p w14:paraId="040853D4" w14:textId="77777777" w:rsidR="00A17C17" w:rsidRPr="00E70587" w:rsidRDefault="00A17C17" w:rsidP="006406AD">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A17C17" w:rsidRPr="00E70587" w14:paraId="495E8468" w14:textId="77777777" w:rsidTr="005F6E20">
        <w:tc>
          <w:tcPr>
            <w:tcW w:w="5962" w:type="dxa"/>
            <w:shd w:val="clear" w:color="auto" w:fill="auto"/>
            <w:vAlign w:val="bottom"/>
            <w:hideMark/>
          </w:tcPr>
          <w:p w14:paraId="528283F3" w14:textId="77777777" w:rsidR="00A17C17" w:rsidRPr="00E70587" w:rsidRDefault="00A17C17" w:rsidP="00BA690C">
            <w:pPr>
              <w:overflowPunct/>
              <w:autoSpaceDE/>
              <w:autoSpaceDN/>
              <w:adjustRightInd/>
              <w:spacing w:line="280" w:lineRule="exact"/>
              <w:ind w:left="180" w:right="76"/>
              <w:textAlignment w:val="auto"/>
              <w:rPr>
                <w:rFonts w:ascii="Arial" w:hAnsi="Arial" w:cs="Arial"/>
                <w:sz w:val="20"/>
                <w:lang w:eastAsia="en-GB"/>
              </w:rPr>
            </w:pPr>
            <w:r w:rsidRPr="00E70587">
              <w:rPr>
                <w:rFonts w:ascii="Arial" w:hAnsi="Arial" w:cs="Arial"/>
                <w:sz w:val="20"/>
                <w:lang w:eastAsia="en-GB"/>
              </w:rPr>
              <w:t>Inter-segment sales (elimination)</w:t>
            </w:r>
          </w:p>
        </w:tc>
        <w:tc>
          <w:tcPr>
            <w:tcW w:w="1807" w:type="dxa"/>
            <w:tcBorders>
              <w:bottom w:val="single" w:sz="4" w:space="0" w:color="auto"/>
            </w:tcBorders>
            <w:shd w:val="clear" w:color="auto" w:fill="auto"/>
            <w:tcMar>
              <w:right w:w="28" w:type="dxa"/>
            </w:tcMar>
            <w:hideMark/>
          </w:tcPr>
          <w:p w14:paraId="740CF32A" w14:textId="77777777" w:rsidR="00A17C17" w:rsidRPr="00E70587" w:rsidRDefault="00A17C17" w:rsidP="006406AD">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(315) </w:t>
            </w:r>
          </w:p>
        </w:tc>
        <w:tc>
          <w:tcPr>
            <w:tcW w:w="1771" w:type="dxa"/>
            <w:tcBorders>
              <w:bottom w:val="single" w:sz="4" w:space="0" w:color="auto"/>
            </w:tcBorders>
            <w:shd w:val="clear" w:color="auto" w:fill="auto"/>
            <w:tcMar>
              <w:right w:w="28" w:type="dxa"/>
            </w:tcMar>
            <w:hideMark/>
          </w:tcPr>
          <w:p w14:paraId="2FD9960F" w14:textId="77777777" w:rsidR="00A17C17" w:rsidRPr="00E70587" w:rsidRDefault="00A17C17" w:rsidP="006406AD">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(549) </w:t>
            </w:r>
          </w:p>
        </w:tc>
      </w:tr>
      <w:tr w:rsidR="00A17C17" w:rsidRPr="00E70587" w14:paraId="0D589721" w14:textId="77777777" w:rsidTr="005F6E20">
        <w:tc>
          <w:tcPr>
            <w:tcW w:w="5962" w:type="dxa"/>
            <w:shd w:val="clear" w:color="auto" w:fill="auto"/>
            <w:vAlign w:val="bottom"/>
            <w:hideMark/>
          </w:tcPr>
          <w:p w14:paraId="4A0A6425" w14:textId="77777777" w:rsidR="00A17C17" w:rsidRPr="00E70587" w:rsidRDefault="00A17C17" w:rsidP="009901E1">
            <w:pPr>
              <w:overflowPunct/>
              <w:autoSpaceDE/>
              <w:autoSpaceDN/>
              <w:adjustRightInd/>
              <w:spacing w:line="280" w:lineRule="exact"/>
              <w:ind w:right="-269"/>
              <w:textAlignment w:val="auto"/>
              <w:rPr>
                <w:rFonts w:ascii="Arial" w:hAnsi="Arial" w:cs="Arial"/>
                <w:b/>
                <w:bCs/>
                <w:sz w:val="20"/>
                <w:lang w:eastAsia="en-GB"/>
              </w:rPr>
            </w:pPr>
            <w:r w:rsidRPr="00E70587">
              <w:rPr>
                <w:rFonts w:ascii="Arial" w:hAnsi="Arial" w:cs="Arial"/>
                <w:b/>
                <w:bCs/>
                <w:sz w:val="20"/>
                <w:lang w:eastAsia="en-GB"/>
              </w:rPr>
              <w:t>Profit before tax and discontinued operations</w:t>
            </w:r>
          </w:p>
        </w:tc>
        <w:tc>
          <w:tcPr>
            <w:tcW w:w="1807" w:type="dxa"/>
            <w:tcBorders>
              <w:top w:val="single" w:sz="4" w:space="0" w:color="auto"/>
              <w:bottom w:val="double" w:sz="4" w:space="0" w:color="auto"/>
            </w:tcBorders>
            <w:shd w:val="clear" w:color="auto" w:fill="auto"/>
            <w:hideMark/>
          </w:tcPr>
          <w:p w14:paraId="0BB0BB88" w14:textId="12493E2B" w:rsidR="00A17C17" w:rsidRPr="00E70587" w:rsidRDefault="00A17C17" w:rsidP="006406AD">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19,</w:t>
            </w:r>
            <w:r w:rsidR="009D64A8" w:rsidRPr="00E70587">
              <w:rPr>
                <w:rFonts w:ascii="Arial" w:hAnsi="Arial" w:cs="Arial"/>
                <w:b/>
                <w:bCs/>
                <w:sz w:val="20"/>
                <w:lang w:eastAsia="en-GB"/>
              </w:rPr>
              <w:t>99</w:t>
            </w:r>
            <w:r w:rsidR="009D64A8">
              <w:rPr>
                <w:rFonts w:ascii="Arial" w:hAnsi="Arial" w:cs="Arial"/>
                <w:b/>
                <w:bCs/>
                <w:sz w:val="20"/>
                <w:lang w:eastAsia="en-GB"/>
              </w:rPr>
              <w:t>6</w:t>
            </w:r>
            <w:r w:rsidR="009D64A8" w:rsidRPr="00E70587">
              <w:rPr>
                <w:rFonts w:ascii="Arial" w:hAnsi="Arial" w:cs="Arial"/>
                <w:b/>
                <w:bCs/>
                <w:sz w:val="20"/>
                <w:lang w:eastAsia="en-GB"/>
              </w:rPr>
              <w:t xml:space="preserve"> </w:t>
            </w:r>
          </w:p>
        </w:tc>
        <w:tc>
          <w:tcPr>
            <w:tcW w:w="1771" w:type="dxa"/>
            <w:tcBorders>
              <w:top w:val="single" w:sz="4" w:space="0" w:color="auto"/>
              <w:bottom w:val="double" w:sz="4" w:space="0" w:color="auto"/>
            </w:tcBorders>
            <w:shd w:val="clear" w:color="auto" w:fill="auto"/>
            <w:hideMark/>
          </w:tcPr>
          <w:p w14:paraId="16170CF4" w14:textId="4794C383" w:rsidR="00A17C17" w:rsidRPr="00E70587" w:rsidRDefault="003A6E91" w:rsidP="006406AD">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w:t>
            </w:r>
            <w:r>
              <w:rPr>
                <w:rFonts w:ascii="Arial" w:hAnsi="Arial" w:cs="Arial"/>
                <w:b/>
                <w:bCs/>
                <w:sz w:val="20"/>
                <w:lang w:eastAsia="en-GB"/>
              </w:rPr>
              <w:t>4</w:t>
            </w:r>
            <w:r w:rsidR="00A17C17" w:rsidRPr="00E70587">
              <w:rPr>
                <w:rFonts w:ascii="Arial" w:hAnsi="Arial" w:cs="Arial"/>
                <w:b/>
                <w:bCs/>
                <w:sz w:val="20"/>
                <w:lang w:eastAsia="en-GB"/>
              </w:rPr>
              <w:t>,</w:t>
            </w:r>
            <w:r>
              <w:rPr>
                <w:rFonts w:ascii="Arial" w:hAnsi="Arial" w:cs="Arial"/>
                <w:b/>
                <w:bCs/>
                <w:sz w:val="20"/>
                <w:lang w:eastAsia="en-GB"/>
              </w:rPr>
              <w:t>649</w:t>
            </w:r>
          </w:p>
        </w:tc>
      </w:tr>
      <w:tr w:rsidR="00A17C17" w:rsidRPr="00E70587" w14:paraId="757624E8" w14:textId="77777777" w:rsidTr="005F6E20">
        <w:tc>
          <w:tcPr>
            <w:tcW w:w="5962" w:type="dxa"/>
            <w:shd w:val="clear" w:color="auto" w:fill="auto"/>
            <w:vAlign w:val="bottom"/>
          </w:tcPr>
          <w:p w14:paraId="1AAA8018" w14:textId="77777777" w:rsidR="00A17C17" w:rsidRPr="00E70587" w:rsidRDefault="00A17C17" w:rsidP="009901E1">
            <w:pPr>
              <w:overflowPunct/>
              <w:autoSpaceDE/>
              <w:autoSpaceDN/>
              <w:adjustRightInd/>
              <w:spacing w:line="280" w:lineRule="exact"/>
              <w:jc w:val="right"/>
              <w:textAlignment w:val="auto"/>
              <w:rPr>
                <w:rFonts w:ascii="Arial" w:hAnsi="Arial" w:cs="Arial"/>
                <w:b/>
                <w:sz w:val="20"/>
              </w:rPr>
            </w:pPr>
          </w:p>
        </w:tc>
        <w:tc>
          <w:tcPr>
            <w:tcW w:w="1807" w:type="dxa"/>
            <w:shd w:val="clear" w:color="auto" w:fill="auto"/>
            <w:vAlign w:val="bottom"/>
          </w:tcPr>
          <w:p w14:paraId="1A00C78D" w14:textId="77777777" w:rsidR="00A17C17" w:rsidRPr="00E70587" w:rsidRDefault="00A17C17" w:rsidP="006406AD">
            <w:pPr>
              <w:overflowPunct/>
              <w:autoSpaceDE/>
              <w:autoSpaceDN/>
              <w:adjustRightInd/>
              <w:spacing w:line="280" w:lineRule="exact"/>
              <w:jc w:val="right"/>
              <w:textAlignment w:val="auto"/>
              <w:rPr>
                <w:rFonts w:ascii="Arial" w:hAnsi="Arial" w:cs="Arial"/>
                <w:b/>
                <w:bCs/>
                <w:sz w:val="20"/>
                <w:lang w:eastAsia="en-GB"/>
              </w:rPr>
            </w:pPr>
          </w:p>
        </w:tc>
        <w:tc>
          <w:tcPr>
            <w:tcW w:w="1771" w:type="dxa"/>
            <w:shd w:val="clear" w:color="auto" w:fill="auto"/>
            <w:vAlign w:val="bottom"/>
          </w:tcPr>
          <w:p w14:paraId="2AF433DB" w14:textId="77777777" w:rsidR="00A17C17" w:rsidRPr="00E70587" w:rsidRDefault="00A17C17" w:rsidP="006406AD">
            <w:pPr>
              <w:overflowPunct/>
              <w:autoSpaceDE/>
              <w:autoSpaceDN/>
              <w:adjustRightInd/>
              <w:spacing w:line="280" w:lineRule="exact"/>
              <w:jc w:val="right"/>
              <w:textAlignment w:val="auto"/>
              <w:rPr>
                <w:rFonts w:ascii="Arial" w:hAnsi="Arial" w:cs="Arial"/>
                <w:b/>
                <w:bCs/>
                <w:sz w:val="20"/>
                <w:lang w:eastAsia="en-GB"/>
              </w:rPr>
            </w:pPr>
          </w:p>
        </w:tc>
      </w:tr>
    </w:tbl>
    <w:p w14:paraId="5072DC01" w14:textId="77777777" w:rsidR="003002F5" w:rsidRPr="00E70587" w:rsidRDefault="003002F5">
      <w:pPr>
        <w:rPr>
          <w:rFonts w:ascii="Arial" w:hAnsi="Arial"/>
        </w:rPr>
      </w:pPr>
    </w:p>
    <w:tbl>
      <w:tblPr>
        <w:tblW w:w="9540" w:type="dxa"/>
        <w:tblLayout w:type="fixed"/>
        <w:tblLook w:val="04A0" w:firstRow="1" w:lastRow="0" w:firstColumn="1" w:lastColumn="0" w:noHBand="0" w:noVBand="1"/>
      </w:tblPr>
      <w:tblGrid>
        <w:gridCol w:w="5940"/>
        <w:gridCol w:w="1800"/>
        <w:gridCol w:w="1800"/>
      </w:tblGrid>
      <w:tr w:rsidR="00330EAA" w:rsidRPr="00E70587" w14:paraId="2ED11AC2" w14:textId="77777777" w:rsidTr="005F6E20">
        <w:tc>
          <w:tcPr>
            <w:tcW w:w="5940" w:type="dxa"/>
            <w:shd w:val="clear" w:color="auto" w:fill="auto"/>
            <w:vAlign w:val="bottom"/>
            <w:hideMark/>
          </w:tcPr>
          <w:p w14:paraId="616EF8CA" w14:textId="77777777" w:rsidR="00330EAA" w:rsidRPr="00E70587" w:rsidRDefault="00330EAA" w:rsidP="009901E1">
            <w:pPr>
              <w:overflowPunct/>
              <w:autoSpaceDE/>
              <w:autoSpaceDN/>
              <w:adjustRightInd/>
              <w:spacing w:line="280" w:lineRule="exact"/>
              <w:textAlignment w:val="auto"/>
              <w:rPr>
                <w:rFonts w:ascii="Arial" w:hAnsi="Arial" w:cs="Arial"/>
                <w:b/>
                <w:bCs/>
                <w:sz w:val="20"/>
                <w:lang w:eastAsia="en-GB"/>
              </w:rPr>
            </w:pPr>
            <w:r w:rsidRPr="00E70587">
              <w:rPr>
                <w:rFonts w:ascii="Arial" w:hAnsi="Arial" w:cs="Arial"/>
                <w:b/>
                <w:sz w:val="20"/>
              </w:rPr>
              <w:t>Reconciliation of a</w:t>
            </w:r>
            <w:r w:rsidRPr="00E70587">
              <w:rPr>
                <w:rFonts w:ascii="Arial" w:hAnsi="Arial" w:cs="Arial"/>
                <w:b/>
                <w:bCs/>
                <w:sz w:val="20"/>
                <w:lang w:eastAsia="en-GB"/>
              </w:rPr>
              <w:t>ssets</w:t>
            </w:r>
          </w:p>
        </w:tc>
        <w:tc>
          <w:tcPr>
            <w:tcW w:w="1800" w:type="dxa"/>
            <w:tcBorders>
              <w:bottom w:val="single" w:sz="4" w:space="0" w:color="auto"/>
            </w:tcBorders>
            <w:shd w:val="clear" w:color="auto" w:fill="auto"/>
            <w:vAlign w:val="bottom"/>
            <w:hideMark/>
          </w:tcPr>
          <w:p w14:paraId="794B42D5" w14:textId="311D4219" w:rsidR="00330EAA" w:rsidRPr="00E70587" w:rsidRDefault="00330EAA" w:rsidP="006406AD">
            <w:pPr>
              <w:overflowPunct/>
              <w:autoSpaceDE/>
              <w:autoSpaceDN/>
              <w:adjustRightInd/>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31 March </w:t>
            </w:r>
            <w:r w:rsidR="007825ED" w:rsidRPr="00E70587">
              <w:rPr>
                <w:rFonts w:ascii="Arial" w:hAnsi="Arial" w:cs="Arial"/>
                <w:b/>
                <w:bCs/>
                <w:sz w:val="20"/>
                <w:lang w:eastAsia="en-GB"/>
              </w:rPr>
              <w:t>20</w:t>
            </w:r>
            <w:r w:rsidR="007825ED">
              <w:rPr>
                <w:rFonts w:ascii="Arial" w:hAnsi="Arial" w:cs="Arial"/>
                <w:b/>
                <w:bCs/>
                <w:sz w:val="20"/>
                <w:lang w:eastAsia="en-GB"/>
              </w:rPr>
              <w:t>21</w:t>
            </w:r>
          </w:p>
        </w:tc>
        <w:tc>
          <w:tcPr>
            <w:tcW w:w="1800" w:type="dxa"/>
            <w:tcBorders>
              <w:bottom w:val="single" w:sz="4" w:space="0" w:color="auto"/>
            </w:tcBorders>
            <w:shd w:val="clear" w:color="auto" w:fill="auto"/>
            <w:vAlign w:val="bottom"/>
            <w:hideMark/>
          </w:tcPr>
          <w:p w14:paraId="574FE355" w14:textId="4A7D73D3" w:rsidR="00330EAA" w:rsidRPr="00E70587" w:rsidRDefault="00330EAA" w:rsidP="006406AD">
            <w:pPr>
              <w:overflowPunct/>
              <w:autoSpaceDE/>
              <w:autoSpaceDN/>
              <w:adjustRightInd/>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31 March </w:t>
            </w:r>
            <w:r w:rsidR="007825ED" w:rsidRPr="00E70587">
              <w:rPr>
                <w:rFonts w:ascii="Arial" w:hAnsi="Arial" w:cs="Arial"/>
                <w:b/>
                <w:bCs/>
                <w:sz w:val="20"/>
                <w:lang w:eastAsia="en-GB"/>
              </w:rPr>
              <w:t>20</w:t>
            </w:r>
            <w:r w:rsidR="007825ED">
              <w:rPr>
                <w:rFonts w:ascii="Arial" w:hAnsi="Arial" w:cs="Arial"/>
                <w:b/>
                <w:bCs/>
                <w:sz w:val="20"/>
                <w:lang w:eastAsia="en-GB"/>
              </w:rPr>
              <w:t>20</w:t>
            </w:r>
          </w:p>
        </w:tc>
      </w:tr>
      <w:tr w:rsidR="00330EAA" w:rsidRPr="00E70587" w14:paraId="49D7EC1F" w14:textId="77777777" w:rsidTr="005F6E20">
        <w:tc>
          <w:tcPr>
            <w:tcW w:w="5940" w:type="dxa"/>
            <w:shd w:val="clear" w:color="auto" w:fill="auto"/>
            <w:vAlign w:val="bottom"/>
            <w:hideMark/>
          </w:tcPr>
          <w:p w14:paraId="26FC4704" w14:textId="77777777" w:rsidR="00330EAA" w:rsidRPr="00E70587" w:rsidRDefault="00330EAA" w:rsidP="009901E1">
            <w:pPr>
              <w:overflowPunct/>
              <w:autoSpaceDE/>
              <w:autoSpaceDN/>
              <w:adjustRightInd/>
              <w:spacing w:line="280" w:lineRule="exact"/>
              <w:textAlignment w:val="auto"/>
              <w:rPr>
                <w:rFonts w:ascii="Arial" w:hAnsi="Arial" w:cs="Arial"/>
                <w:b/>
                <w:bCs/>
                <w:sz w:val="20"/>
                <w:lang w:eastAsia="en-GB"/>
              </w:rPr>
            </w:pPr>
          </w:p>
        </w:tc>
        <w:tc>
          <w:tcPr>
            <w:tcW w:w="1800" w:type="dxa"/>
            <w:tcBorders>
              <w:top w:val="single" w:sz="4" w:space="0" w:color="auto"/>
            </w:tcBorders>
            <w:shd w:val="clear" w:color="auto" w:fill="auto"/>
            <w:vAlign w:val="bottom"/>
            <w:hideMark/>
          </w:tcPr>
          <w:p w14:paraId="373D2352" w14:textId="77777777" w:rsidR="00330EAA" w:rsidRPr="00E70587" w:rsidRDefault="00330EAA" w:rsidP="006406AD">
            <w:pPr>
              <w:overflowPunct/>
              <w:autoSpaceDE/>
              <w:autoSpaceDN/>
              <w:adjustRightInd/>
              <w:spacing w:line="280" w:lineRule="exact"/>
              <w:jc w:val="right"/>
              <w:textAlignment w:val="auto"/>
              <w:rPr>
                <w:rFonts w:ascii="Arial" w:hAnsi="Arial" w:cs="Arial"/>
                <w:b/>
                <w:bCs/>
                <w:sz w:val="20"/>
                <w:lang w:eastAsia="en-GB"/>
              </w:rPr>
            </w:pPr>
            <w:r w:rsidRPr="00E70587">
              <w:rPr>
                <w:rFonts w:ascii="Arial" w:hAnsi="Arial" w:cs="Arial"/>
                <w:b/>
                <w:sz w:val="20"/>
              </w:rPr>
              <w:t>INR Lacs</w:t>
            </w:r>
          </w:p>
        </w:tc>
        <w:tc>
          <w:tcPr>
            <w:tcW w:w="1800" w:type="dxa"/>
            <w:tcBorders>
              <w:top w:val="single" w:sz="4" w:space="0" w:color="auto"/>
            </w:tcBorders>
            <w:shd w:val="clear" w:color="auto" w:fill="auto"/>
            <w:vAlign w:val="bottom"/>
            <w:hideMark/>
          </w:tcPr>
          <w:p w14:paraId="3F80C37A" w14:textId="77777777" w:rsidR="00330EAA" w:rsidRPr="00E70587" w:rsidRDefault="00330EAA" w:rsidP="006406AD">
            <w:pPr>
              <w:overflowPunct/>
              <w:autoSpaceDE/>
              <w:autoSpaceDN/>
              <w:adjustRightInd/>
              <w:spacing w:line="280" w:lineRule="exact"/>
              <w:jc w:val="right"/>
              <w:textAlignment w:val="auto"/>
              <w:rPr>
                <w:rFonts w:ascii="Arial" w:hAnsi="Arial" w:cs="Arial"/>
                <w:b/>
                <w:bCs/>
                <w:sz w:val="20"/>
                <w:lang w:eastAsia="en-GB"/>
              </w:rPr>
            </w:pPr>
            <w:r w:rsidRPr="00E70587">
              <w:rPr>
                <w:rFonts w:ascii="Arial" w:hAnsi="Arial" w:cs="Arial"/>
                <w:b/>
                <w:sz w:val="20"/>
              </w:rPr>
              <w:t>INR Lacs</w:t>
            </w:r>
          </w:p>
        </w:tc>
      </w:tr>
      <w:tr w:rsidR="00330EAA" w:rsidRPr="00E70587" w14:paraId="5F36B5D6" w14:textId="77777777" w:rsidTr="005F6E20">
        <w:tc>
          <w:tcPr>
            <w:tcW w:w="5940" w:type="dxa"/>
            <w:shd w:val="clear" w:color="auto" w:fill="auto"/>
            <w:vAlign w:val="bottom"/>
            <w:hideMark/>
          </w:tcPr>
          <w:p w14:paraId="7B8A4211" w14:textId="77777777" w:rsidR="00330EAA" w:rsidRPr="00E70587" w:rsidRDefault="00330EAA" w:rsidP="009901E1">
            <w:pPr>
              <w:overflowPunct/>
              <w:autoSpaceDE/>
              <w:autoSpaceDN/>
              <w:adjustRightInd/>
              <w:spacing w:line="280" w:lineRule="exact"/>
              <w:textAlignment w:val="auto"/>
              <w:rPr>
                <w:rFonts w:ascii="Arial" w:hAnsi="Arial" w:cs="Arial"/>
                <w:b/>
                <w:bCs/>
                <w:sz w:val="20"/>
                <w:lang w:eastAsia="en-GB"/>
              </w:rPr>
            </w:pPr>
            <w:r w:rsidRPr="00E70587">
              <w:rPr>
                <w:rFonts w:ascii="Arial" w:hAnsi="Arial" w:cs="Arial"/>
                <w:b/>
                <w:bCs/>
                <w:sz w:val="20"/>
                <w:lang w:eastAsia="en-GB"/>
              </w:rPr>
              <w:t>Segment operating assets</w:t>
            </w:r>
          </w:p>
        </w:tc>
        <w:tc>
          <w:tcPr>
            <w:tcW w:w="1800" w:type="dxa"/>
            <w:shd w:val="clear" w:color="auto" w:fill="auto"/>
            <w:vAlign w:val="center"/>
            <w:hideMark/>
          </w:tcPr>
          <w:p w14:paraId="02157A18" w14:textId="35377610" w:rsidR="00330EAA" w:rsidRPr="00E70587" w:rsidRDefault="00330EAA" w:rsidP="003E38AE">
            <w:pPr>
              <w:spacing w:line="280" w:lineRule="exact"/>
              <w:jc w:val="right"/>
              <w:rPr>
                <w:rFonts w:ascii="Arial" w:hAnsi="Arial" w:cs="Arial"/>
                <w:b/>
                <w:bCs/>
                <w:sz w:val="20"/>
              </w:rPr>
            </w:pPr>
            <w:r w:rsidRPr="00E70587">
              <w:rPr>
                <w:rFonts w:ascii="Arial" w:hAnsi="Arial" w:cs="Arial"/>
                <w:b/>
                <w:bCs/>
                <w:sz w:val="20"/>
              </w:rPr>
              <w:t>2,</w:t>
            </w:r>
            <w:r w:rsidR="00B51FBA" w:rsidRPr="00E70587">
              <w:rPr>
                <w:rFonts w:ascii="Arial" w:hAnsi="Arial" w:cs="Arial"/>
                <w:b/>
                <w:bCs/>
                <w:sz w:val="20"/>
              </w:rPr>
              <w:t>1</w:t>
            </w:r>
            <w:r w:rsidR="00B51FBA">
              <w:rPr>
                <w:rFonts w:ascii="Arial" w:hAnsi="Arial" w:cs="Arial"/>
                <w:b/>
                <w:bCs/>
                <w:sz w:val="20"/>
              </w:rPr>
              <w:t>8</w:t>
            </w:r>
            <w:r w:rsidRPr="00E70587">
              <w:rPr>
                <w:rFonts w:ascii="Arial" w:hAnsi="Arial" w:cs="Arial"/>
                <w:b/>
                <w:bCs/>
                <w:sz w:val="20"/>
              </w:rPr>
              <w:t>,</w:t>
            </w:r>
            <w:r w:rsidR="00125E2D">
              <w:rPr>
                <w:rFonts w:ascii="Arial" w:hAnsi="Arial" w:cs="Arial"/>
                <w:b/>
                <w:bCs/>
                <w:sz w:val="20"/>
              </w:rPr>
              <w:t>4</w:t>
            </w:r>
            <w:r w:rsidR="00EF3EF6">
              <w:rPr>
                <w:rFonts w:ascii="Arial" w:hAnsi="Arial" w:cs="Arial"/>
                <w:b/>
                <w:bCs/>
                <w:sz w:val="20"/>
              </w:rPr>
              <w:t>63</w:t>
            </w:r>
          </w:p>
        </w:tc>
        <w:tc>
          <w:tcPr>
            <w:tcW w:w="1800" w:type="dxa"/>
            <w:shd w:val="clear" w:color="auto" w:fill="auto"/>
            <w:vAlign w:val="center"/>
            <w:hideMark/>
          </w:tcPr>
          <w:p w14:paraId="0CF99E33" w14:textId="45B50B15" w:rsidR="00330EAA" w:rsidRPr="00E70587" w:rsidRDefault="00330EAA" w:rsidP="00A84FC0">
            <w:pPr>
              <w:spacing w:line="280" w:lineRule="exact"/>
              <w:jc w:val="right"/>
              <w:rPr>
                <w:rFonts w:ascii="Arial" w:hAnsi="Arial" w:cs="Arial"/>
                <w:b/>
                <w:bCs/>
                <w:sz w:val="20"/>
              </w:rPr>
            </w:pPr>
            <w:r w:rsidRPr="00E70587">
              <w:rPr>
                <w:rFonts w:ascii="Arial" w:hAnsi="Arial" w:cs="Arial"/>
                <w:b/>
                <w:bCs/>
                <w:sz w:val="20"/>
              </w:rPr>
              <w:t>1,</w:t>
            </w:r>
            <w:r w:rsidR="00F00CD9" w:rsidRPr="00E70587">
              <w:rPr>
                <w:rFonts w:ascii="Arial" w:hAnsi="Arial" w:cs="Arial"/>
                <w:b/>
                <w:bCs/>
                <w:sz w:val="20"/>
              </w:rPr>
              <w:t>8</w:t>
            </w:r>
            <w:r w:rsidR="00F00CD9">
              <w:rPr>
                <w:rFonts w:ascii="Arial" w:hAnsi="Arial" w:cs="Arial"/>
                <w:b/>
                <w:bCs/>
                <w:sz w:val="20"/>
              </w:rPr>
              <w:t>5</w:t>
            </w:r>
            <w:r w:rsidRPr="00E70587">
              <w:rPr>
                <w:rFonts w:ascii="Arial" w:hAnsi="Arial" w:cs="Arial"/>
                <w:b/>
                <w:bCs/>
                <w:sz w:val="20"/>
              </w:rPr>
              <w:t>,</w:t>
            </w:r>
            <w:r w:rsidR="00F00CD9">
              <w:rPr>
                <w:rFonts w:ascii="Arial" w:hAnsi="Arial" w:cs="Arial"/>
                <w:b/>
                <w:bCs/>
                <w:sz w:val="20"/>
              </w:rPr>
              <w:t>0</w:t>
            </w:r>
            <w:r w:rsidR="00900B72">
              <w:rPr>
                <w:rFonts w:ascii="Arial" w:hAnsi="Arial" w:cs="Arial"/>
                <w:b/>
                <w:bCs/>
                <w:sz w:val="20"/>
              </w:rPr>
              <w:t>16</w:t>
            </w:r>
          </w:p>
        </w:tc>
      </w:tr>
      <w:tr w:rsidR="00330EAA" w:rsidRPr="00E70587" w14:paraId="635C5DCF" w14:textId="77777777" w:rsidTr="005F6E20">
        <w:tc>
          <w:tcPr>
            <w:tcW w:w="5940" w:type="dxa"/>
            <w:shd w:val="clear" w:color="auto" w:fill="auto"/>
            <w:vAlign w:val="bottom"/>
            <w:hideMark/>
          </w:tcPr>
          <w:p w14:paraId="50EAC320" w14:textId="77777777" w:rsidR="00330EAA" w:rsidRPr="00E70587" w:rsidRDefault="00330EAA" w:rsidP="00BA690C">
            <w:pPr>
              <w:overflowPunct/>
              <w:autoSpaceDE/>
              <w:autoSpaceDN/>
              <w:adjustRightInd/>
              <w:spacing w:line="280" w:lineRule="exact"/>
              <w:ind w:firstLineChars="100" w:firstLine="200"/>
              <w:textAlignment w:val="auto"/>
              <w:rPr>
                <w:rFonts w:ascii="Arial" w:hAnsi="Arial" w:cs="Arial"/>
                <w:sz w:val="20"/>
                <w:lang w:eastAsia="en-GB"/>
              </w:rPr>
            </w:pPr>
            <w:r w:rsidRPr="00E70587">
              <w:rPr>
                <w:rFonts w:ascii="Arial" w:hAnsi="Arial" w:cs="Arial"/>
                <w:sz w:val="20"/>
                <w:lang w:eastAsia="en-GB"/>
              </w:rPr>
              <w:t>Deferred tax assets (Note 19)</w:t>
            </w:r>
          </w:p>
        </w:tc>
        <w:tc>
          <w:tcPr>
            <w:tcW w:w="1800" w:type="dxa"/>
            <w:shd w:val="clear" w:color="auto" w:fill="auto"/>
            <w:vAlign w:val="center"/>
            <w:hideMark/>
          </w:tcPr>
          <w:p w14:paraId="594C7EDC" w14:textId="77777777" w:rsidR="00330EAA" w:rsidRPr="00E70587" w:rsidRDefault="00330EAA" w:rsidP="006406AD">
            <w:pPr>
              <w:spacing w:line="280" w:lineRule="exact"/>
              <w:jc w:val="right"/>
              <w:rPr>
                <w:rFonts w:ascii="Arial" w:hAnsi="Arial" w:cs="Arial"/>
                <w:sz w:val="20"/>
              </w:rPr>
            </w:pPr>
            <w:r w:rsidRPr="00E70587">
              <w:rPr>
                <w:rFonts w:ascii="Arial" w:hAnsi="Arial" w:cs="Arial"/>
                <w:sz w:val="20"/>
              </w:rPr>
              <w:t>689</w:t>
            </w:r>
          </w:p>
        </w:tc>
        <w:tc>
          <w:tcPr>
            <w:tcW w:w="1800" w:type="dxa"/>
            <w:shd w:val="clear" w:color="auto" w:fill="auto"/>
            <w:vAlign w:val="center"/>
            <w:hideMark/>
          </w:tcPr>
          <w:p w14:paraId="66ABAEC3" w14:textId="77777777" w:rsidR="00330EAA" w:rsidRPr="00E70587" w:rsidRDefault="00330EAA" w:rsidP="006406AD">
            <w:pPr>
              <w:spacing w:line="280" w:lineRule="exact"/>
              <w:jc w:val="right"/>
              <w:rPr>
                <w:rFonts w:ascii="Arial" w:hAnsi="Arial" w:cs="Arial"/>
                <w:sz w:val="20"/>
              </w:rPr>
            </w:pPr>
            <w:r w:rsidRPr="00E70587">
              <w:rPr>
                <w:rFonts w:ascii="Arial" w:hAnsi="Arial" w:cs="Arial"/>
                <w:sz w:val="20"/>
              </w:rPr>
              <w:t>657</w:t>
            </w:r>
          </w:p>
        </w:tc>
      </w:tr>
      <w:tr w:rsidR="00330EAA" w:rsidRPr="00E70587" w14:paraId="69D6E4CF" w14:textId="77777777" w:rsidTr="005F6E20">
        <w:tc>
          <w:tcPr>
            <w:tcW w:w="5940" w:type="dxa"/>
            <w:shd w:val="clear" w:color="auto" w:fill="auto"/>
            <w:vAlign w:val="bottom"/>
            <w:hideMark/>
          </w:tcPr>
          <w:p w14:paraId="6987A869" w14:textId="4D770BF4" w:rsidR="00330EAA" w:rsidRPr="00E70587" w:rsidRDefault="00330EAA" w:rsidP="009901E1">
            <w:pPr>
              <w:overflowPunct/>
              <w:autoSpaceDE/>
              <w:autoSpaceDN/>
              <w:adjustRightInd/>
              <w:spacing w:line="280" w:lineRule="exact"/>
              <w:ind w:firstLineChars="100" w:firstLine="200"/>
              <w:textAlignment w:val="auto"/>
              <w:rPr>
                <w:rFonts w:ascii="Arial" w:hAnsi="Arial" w:cs="Arial"/>
                <w:sz w:val="20"/>
                <w:lang w:eastAsia="en-GB"/>
              </w:rPr>
            </w:pPr>
            <w:r w:rsidRPr="00E70587">
              <w:rPr>
                <w:rFonts w:ascii="Arial" w:hAnsi="Arial" w:cs="Arial"/>
                <w:sz w:val="20"/>
                <w:lang w:eastAsia="en-GB"/>
              </w:rPr>
              <w:t xml:space="preserve">Loans to an associate </w:t>
            </w:r>
            <w:r w:rsidRPr="00E70587">
              <w:rPr>
                <w:rFonts w:ascii="Arial" w:hAnsi="Arial" w:cs="Arial"/>
                <w:sz w:val="20"/>
              </w:rPr>
              <w:t xml:space="preserve">(Note </w:t>
            </w:r>
            <w:r w:rsidR="003B4FAA" w:rsidRPr="00E70587">
              <w:rPr>
                <w:rFonts w:ascii="Arial" w:hAnsi="Arial" w:cs="Arial"/>
                <w:sz w:val="20"/>
              </w:rPr>
              <w:t>4</w:t>
            </w:r>
            <w:r w:rsidR="003B4FAA">
              <w:rPr>
                <w:rFonts w:ascii="Arial" w:hAnsi="Arial" w:cs="Arial"/>
                <w:sz w:val="20"/>
              </w:rPr>
              <w:t>4</w:t>
            </w:r>
            <w:r w:rsidRPr="00E70587">
              <w:rPr>
                <w:rFonts w:ascii="Arial" w:hAnsi="Arial" w:cs="Arial"/>
                <w:sz w:val="20"/>
              </w:rPr>
              <w:t>)</w:t>
            </w:r>
          </w:p>
        </w:tc>
        <w:tc>
          <w:tcPr>
            <w:tcW w:w="1800" w:type="dxa"/>
            <w:shd w:val="clear" w:color="auto" w:fill="auto"/>
            <w:vAlign w:val="center"/>
            <w:hideMark/>
          </w:tcPr>
          <w:p w14:paraId="1454B8A9" w14:textId="77777777" w:rsidR="00330EAA" w:rsidRPr="00E70587" w:rsidRDefault="00330EAA" w:rsidP="006406AD">
            <w:pPr>
              <w:spacing w:line="280" w:lineRule="exact"/>
              <w:jc w:val="right"/>
              <w:rPr>
                <w:rFonts w:ascii="Arial" w:hAnsi="Arial" w:cs="Arial"/>
                <w:sz w:val="20"/>
              </w:rPr>
            </w:pPr>
            <w:r w:rsidRPr="00E70587">
              <w:rPr>
                <w:rFonts w:ascii="Arial" w:hAnsi="Arial" w:cs="Arial"/>
                <w:sz w:val="20"/>
              </w:rPr>
              <w:t>360</w:t>
            </w:r>
          </w:p>
        </w:tc>
        <w:tc>
          <w:tcPr>
            <w:tcW w:w="1800" w:type="dxa"/>
            <w:shd w:val="clear" w:color="auto" w:fill="auto"/>
            <w:vAlign w:val="center"/>
            <w:hideMark/>
          </w:tcPr>
          <w:p w14:paraId="113CF02F" w14:textId="77777777" w:rsidR="00330EAA" w:rsidRPr="00E70587" w:rsidRDefault="00330EAA" w:rsidP="006406AD">
            <w:pPr>
              <w:spacing w:line="280" w:lineRule="exact"/>
              <w:jc w:val="right"/>
              <w:rPr>
                <w:rFonts w:ascii="Arial" w:hAnsi="Arial" w:cs="Arial"/>
                <w:sz w:val="20"/>
              </w:rPr>
            </w:pPr>
            <w:r w:rsidRPr="00E70587">
              <w:rPr>
                <w:rFonts w:ascii="Arial" w:hAnsi="Arial" w:cs="Arial"/>
                <w:sz w:val="20"/>
              </w:rPr>
              <w:t>-</w:t>
            </w:r>
          </w:p>
        </w:tc>
      </w:tr>
      <w:tr w:rsidR="00330EAA" w:rsidRPr="00E70587" w14:paraId="753D4CB6" w14:textId="77777777" w:rsidTr="005F6E20">
        <w:tc>
          <w:tcPr>
            <w:tcW w:w="5940" w:type="dxa"/>
            <w:shd w:val="clear" w:color="auto" w:fill="auto"/>
            <w:vAlign w:val="bottom"/>
            <w:hideMark/>
          </w:tcPr>
          <w:p w14:paraId="7414B9B4" w14:textId="6B127BFC" w:rsidR="00330EAA" w:rsidRPr="00E70587" w:rsidRDefault="00330EAA" w:rsidP="009901E1">
            <w:pPr>
              <w:overflowPunct/>
              <w:autoSpaceDE/>
              <w:autoSpaceDN/>
              <w:adjustRightInd/>
              <w:spacing w:line="280" w:lineRule="exact"/>
              <w:ind w:firstLineChars="100" w:firstLine="200"/>
              <w:textAlignment w:val="auto"/>
              <w:rPr>
                <w:rFonts w:ascii="Arial" w:hAnsi="Arial" w:cs="Arial"/>
                <w:sz w:val="20"/>
                <w:lang w:eastAsia="en-GB"/>
              </w:rPr>
            </w:pPr>
            <w:r w:rsidRPr="00E70587">
              <w:rPr>
                <w:rFonts w:ascii="Arial" w:hAnsi="Arial" w:cs="Arial"/>
                <w:sz w:val="20"/>
                <w:lang w:eastAsia="en-GB"/>
              </w:rPr>
              <w:t xml:space="preserve">Loans to directors </w:t>
            </w:r>
            <w:r w:rsidRPr="00E70587">
              <w:rPr>
                <w:rFonts w:ascii="Arial" w:hAnsi="Arial" w:cs="Arial"/>
                <w:sz w:val="20"/>
              </w:rPr>
              <w:t xml:space="preserve">(Note </w:t>
            </w:r>
            <w:r w:rsidR="003B4FAA" w:rsidRPr="00E70587">
              <w:rPr>
                <w:rFonts w:ascii="Arial" w:hAnsi="Arial" w:cs="Arial"/>
                <w:sz w:val="20"/>
              </w:rPr>
              <w:t>4</w:t>
            </w:r>
            <w:r w:rsidR="003B4FAA">
              <w:rPr>
                <w:rFonts w:ascii="Arial" w:hAnsi="Arial" w:cs="Arial"/>
                <w:sz w:val="20"/>
              </w:rPr>
              <w:t>4</w:t>
            </w:r>
            <w:r w:rsidRPr="00E70587">
              <w:rPr>
                <w:rFonts w:ascii="Arial" w:hAnsi="Arial" w:cs="Arial"/>
                <w:sz w:val="20"/>
              </w:rPr>
              <w:t>)</w:t>
            </w:r>
          </w:p>
        </w:tc>
        <w:tc>
          <w:tcPr>
            <w:tcW w:w="1800" w:type="dxa"/>
            <w:shd w:val="clear" w:color="auto" w:fill="auto"/>
            <w:vAlign w:val="center"/>
            <w:hideMark/>
          </w:tcPr>
          <w:p w14:paraId="5A252CCB" w14:textId="7EDE5883" w:rsidR="00330EAA" w:rsidRPr="00E70587" w:rsidRDefault="00202F78" w:rsidP="003E38AE">
            <w:pPr>
              <w:spacing w:line="280" w:lineRule="exact"/>
              <w:jc w:val="right"/>
              <w:rPr>
                <w:rFonts w:ascii="Arial" w:hAnsi="Arial" w:cs="Arial"/>
                <w:sz w:val="20"/>
              </w:rPr>
            </w:pPr>
            <w:r w:rsidRPr="00E70587">
              <w:rPr>
                <w:rFonts w:ascii="Arial" w:hAnsi="Arial" w:cs="Arial"/>
                <w:sz w:val="20"/>
              </w:rPr>
              <w:t>2</w:t>
            </w:r>
            <w:r>
              <w:rPr>
                <w:rFonts w:ascii="Arial" w:hAnsi="Arial" w:cs="Arial"/>
                <w:sz w:val="20"/>
              </w:rPr>
              <w:t>3</w:t>
            </w:r>
          </w:p>
        </w:tc>
        <w:tc>
          <w:tcPr>
            <w:tcW w:w="1800" w:type="dxa"/>
            <w:shd w:val="clear" w:color="auto" w:fill="auto"/>
            <w:vAlign w:val="center"/>
            <w:hideMark/>
          </w:tcPr>
          <w:p w14:paraId="5F345211" w14:textId="32F6A4F5" w:rsidR="00330EAA" w:rsidRPr="00E70587" w:rsidRDefault="00330EAA" w:rsidP="006406AD">
            <w:pPr>
              <w:spacing w:line="280" w:lineRule="exact"/>
              <w:jc w:val="right"/>
              <w:rPr>
                <w:rFonts w:ascii="Arial" w:hAnsi="Arial" w:cs="Arial"/>
                <w:sz w:val="20"/>
              </w:rPr>
            </w:pPr>
            <w:r w:rsidRPr="00E70587">
              <w:rPr>
                <w:rFonts w:ascii="Arial" w:hAnsi="Arial" w:cs="Arial"/>
                <w:sz w:val="20"/>
              </w:rPr>
              <w:t>1</w:t>
            </w:r>
            <w:r w:rsidR="001B3A78">
              <w:rPr>
                <w:rFonts w:ascii="Arial" w:hAnsi="Arial" w:cs="Arial"/>
                <w:sz w:val="20"/>
              </w:rPr>
              <w:t>4</w:t>
            </w:r>
          </w:p>
        </w:tc>
      </w:tr>
      <w:tr w:rsidR="00330EAA" w:rsidRPr="00E70587" w14:paraId="3102BE2E" w14:textId="77777777" w:rsidTr="005F6E20">
        <w:tc>
          <w:tcPr>
            <w:tcW w:w="5940" w:type="dxa"/>
            <w:shd w:val="clear" w:color="auto" w:fill="auto"/>
            <w:vAlign w:val="bottom"/>
            <w:hideMark/>
          </w:tcPr>
          <w:p w14:paraId="4BB4C998" w14:textId="77777777" w:rsidR="00330EAA" w:rsidRPr="00E70587" w:rsidRDefault="00330EAA" w:rsidP="009901E1">
            <w:pPr>
              <w:overflowPunct/>
              <w:autoSpaceDE/>
              <w:autoSpaceDN/>
              <w:adjustRightInd/>
              <w:spacing w:line="280" w:lineRule="exact"/>
              <w:ind w:firstLineChars="100" w:firstLine="200"/>
              <w:textAlignment w:val="auto"/>
              <w:rPr>
                <w:rFonts w:ascii="Arial" w:hAnsi="Arial" w:cs="Arial"/>
                <w:sz w:val="20"/>
                <w:lang w:eastAsia="en-GB"/>
              </w:rPr>
            </w:pPr>
            <w:r w:rsidRPr="00E70587">
              <w:rPr>
                <w:rFonts w:ascii="Arial" w:hAnsi="Arial" w:cs="Arial"/>
                <w:sz w:val="20"/>
                <w:lang w:eastAsia="en-GB"/>
              </w:rPr>
              <w:t>Loan notes (Note 7)</w:t>
            </w:r>
          </w:p>
        </w:tc>
        <w:tc>
          <w:tcPr>
            <w:tcW w:w="1800" w:type="dxa"/>
            <w:shd w:val="clear" w:color="auto" w:fill="auto"/>
            <w:vAlign w:val="center"/>
            <w:hideMark/>
          </w:tcPr>
          <w:p w14:paraId="71A6A036" w14:textId="77777777" w:rsidR="00330EAA" w:rsidRPr="00E70587" w:rsidRDefault="00330EAA" w:rsidP="006406AD">
            <w:pPr>
              <w:spacing w:line="280" w:lineRule="exact"/>
              <w:jc w:val="right"/>
              <w:rPr>
                <w:rFonts w:ascii="Arial" w:hAnsi="Arial" w:cs="Arial"/>
                <w:sz w:val="20"/>
              </w:rPr>
            </w:pPr>
            <w:r w:rsidRPr="00E70587">
              <w:rPr>
                <w:rFonts w:ascii="Arial" w:hAnsi="Arial" w:cs="Arial"/>
                <w:sz w:val="20"/>
              </w:rPr>
              <w:t>6,61</w:t>
            </w:r>
            <w:r w:rsidR="006F1BAE" w:rsidRPr="00E70587">
              <w:rPr>
                <w:rFonts w:ascii="Arial" w:hAnsi="Arial" w:cs="Arial"/>
                <w:sz w:val="20"/>
              </w:rPr>
              <w:t>4</w:t>
            </w:r>
          </w:p>
        </w:tc>
        <w:tc>
          <w:tcPr>
            <w:tcW w:w="1800" w:type="dxa"/>
            <w:shd w:val="clear" w:color="auto" w:fill="auto"/>
            <w:vAlign w:val="center"/>
            <w:hideMark/>
          </w:tcPr>
          <w:p w14:paraId="205D2936" w14:textId="77777777" w:rsidR="00330EAA" w:rsidRPr="00E70587" w:rsidRDefault="00330EAA" w:rsidP="006406AD">
            <w:pPr>
              <w:spacing w:line="280" w:lineRule="exact"/>
              <w:jc w:val="right"/>
              <w:rPr>
                <w:rFonts w:ascii="Arial" w:hAnsi="Arial" w:cs="Arial"/>
                <w:sz w:val="20"/>
              </w:rPr>
            </w:pPr>
            <w:r w:rsidRPr="00E70587">
              <w:rPr>
                <w:rFonts w:ascii="Arial" w:hAnsi="Arial" w:cs="Arial"/>
                <w:sz w:val="20"/>
              </w:rPr>
              <w:t>3,033</w:t>
            </w:r>
          </w:p>
        </w:tc>
      </w:tr>
      <w:tr w:rsidR="00330EAA" w:rsidRPr="00E70587" w14:paraId="657DE3A9" w14:textId="77777777" w:rsidTr="005F6E20">
        <w:tc>
          <w:tcPr>
            <w:tcW w:w="5940" w:type="dxa"/>
            <w:shd w:val="clear" w:color="auto" w:fill="auto"/>
            <w:vAlign w:val="bottom"/>
            <w:hideMark/>
          </w:tcPr>
          <w:p w14:paraId="5146C214" w14:textId="77777777" w:rsidR="00330EAA" w:rsidRPr="00E70587" w:rsidRDefault="00330EAA" w:rsidP="009901E1">
            <w:pPr>
              <w:overflowPunct/>
              <w:autoSpaceDE/>
              <w:autoSpaceDN/>
              <w:adjustRightInd/>
              <w:spacing w:line="280" w:lineRule="exact"/>
              <w:ind w:firstLineChars="100" w:firstLine="200"/>
              <w:textAlignment w:val="auto"/>
              <w:rPr>
                <w:rFonts w:ascii="Arial" w:hAnsi="Arial" w:cs="Arial"/>
                <w:sz w:val="20"/>
                <w:lang w:eastAsia="en-GB"/>
              </w:rPr>
            </w:pPr>
            <w:r w:rsidRPr="00E70587">
              <w:rPr>
                <w:rFonts w:ascii="Arial" w:hAnsi="Arial" w:cs="Arial"/>
                <w:sz w:val="20"/>
                <w:lang w:eastAsia="en-GB"/>
              </w:rPr>
              <w:t>Derivatives (Note 7)</w:t>
            </w:r>
          </w:p>
        </w:tc>
        <w:tc>
          <w:tcPr>
            <w:tcW w:w="1800" w:type="dxa"/>
            <w:shd w:val="clear" w:color="auto" w:fill="auto"/>
            <w:vAlign w:val="center"/>
            <w:hideMark/>
          </w:tcPr>
          <w:p w14:paraId="22904B2A" w14:textId="77777777" w:rsidR="00330EAA" w:rsidRPr="00E70587" w:rsidRDefault="00330EAA" w:rsidP="006406AD">
            <w:pPr>
              <w:spacing w:line="280" w:lineRule="exact"/>
              <w:jc w:val="right"/>
              <w:rPr>
                <w:rFonts w:ascii="Arial" w:hAnsi="Arial" w:cs="Arial"/>
                <w:sz w:val="20"/>
              </w:rPr>
            </w:pPr>
            <w:r w:rsidRPr="00E70587">
              <w:rPr>
                <w:rFonts w:ascii="Arial" w:hAnsi="Arial" w:cs="Arial"/>
                <w:sz w:val="20"/>
              </w:rPr>
              <w:t>1,984</w:t>
            </w:r>
          </w:p>
        </w:tc>
        <w:tc>
          <w:tcPr>
            <w:tcW w:w="1800" w:type="dxa"/>
            <w:shd w:val="clear" w:color="auto" w:fill="auto"/>
            <w:vAlign w:val="center"/>
            <w:hideMark/>
          </w:tcPr>
          <w:p w14:paraId="14A05231" w14:textId="77777777" w:rsidR="00330EAA" w:rsidRPr="00E70587" w:rsidRDefault="00330EAA" w:rsidP="006406AD">
            <w:pPr>
              <w:spacing w:line="280" w:lineRule="exact"/>
              <w:jc w:val="right"/>
              <w:rPr>
                <w:rFonts w:ascii="Arial" w:hAnsi="Arial" w:cs="Arial"/>
                <w:sz w:val="20"/>
              </w:rPr>
            </w:pPr>
            <w:r w:rsidRPr="00E70587">
              <w:rPr>
                <w:rFonts w:ascii="Arial" w:hAnsi="Arial" w:cs="Arial"/>
                <w:sz w:val="20"/>
              </w:rPr>
              <w:t>275</w:t>
            </w:r>
          </w:p>
        </w:tc>
      </w:tr>
      <w:tr w:rsidR="00330EAA" w:rsidRPr="00E70587" w14:paraId="09E08583" w14:textId="77777777" w:rsidTr="005F6E20">
        <w:tc>
          <w:tcPr>
            <w:tcW w:w="5940" w:type="dxa"/>
            <w:shd w:val="clear" w:color="auto" w:fill="auto"/>
            <w:vAlign w:val="bottom"/>
            <w:hideMark/>
          </w:tcPr>
          <w:p w14:paraId="2993BDA3" w14:textId="3B231F26" w:rsidR="00330EAA" w:rsidRPr="00E70587" w:rsidRDefault="00330EAA" w:rsidP="00BA690C">
            <w:pPr>
              <w:overflowPunct/>
              <w:autoSpaceDE/>
              <w:autoSpaceDN/>
              <w:adjustRightInd/>
              <w:spacing w:line="280" w:lineRule="exact"/>
              <w:ind w:left="180"/>
              <w:textAlignment w:val="auto"/>
              <w:rPr>
                <w:rFonts w:ascii="Arial" w:hAnsi="Arial" w:cs="Arial"/>
                <w:sz w:val="20"/>
                <w:lang w:eastAsia="en-GB"/>
              </w:rPr>
            </w:pPr>
            <w:r w:rsidRPr="00E70587">
              <w:rPr>
                <w:rFonts w:ascii="Arial" w:hAnsi="Arial" w:cs="Arial"/>
                <w:sz w:val="20"/>
                <w:lang w:eastAsia="en-GB"/>
              </w:rPr>
              <w:t xml:space="preserve">Assets classified as held for </w:t>
            </w:r>
            <w:r w:rsidR="004B4199">
              <w:rPr>
                <w:rFonts w:ascii="Arial" w:hAnsi="Arial" w:cs="Arial"/>
                <w:sz w:val="20"/>
                <w:lang w:eastAsia="en-GB"/>
              </w:rPr>
              <w:t>sale</w:t>
            </w:r>
            <w:r w:rsidR="004B4199" w:rsidRPr="00E70587">
              <w:rPr>
                <w:rFonts w:ascii="Arial" w:hAnsi="Arial" w:cs="Arial"/>
                <w:sz w:val="20"/>
                <w:lang w:eastAsia="en-GB"/>
              </w:rPr>
              <w:t xml:space="preserve"> </w:t>
            </w:r>
            <w:r w:rsidRPr="00E70587">
              <w:rPr>
                <w:rFonts w:ascii="Arial" w:hAnsi="Arial" w:cs="Arial"/>
                <w:sz w:val="20"/>
                <w:lang w:eastAsia="en-GB"/>
              </w:rPr>
              <w:t>(Note 21)</w:t>
            </w:r>
          </w:p>
        </w:tc>
        <w:tc>
          <w:tcPr>
            <w:tcW w:w="1800" w:type="dxa"/>
            <w:tcBorders>
              <w:bottom w:val="single" w:sz="4" w:space="0" w:color="auto"/>
            </w:tcBorders>
            <w:shd w:val="clear" w:color="auto" w:fill="auto"/>
            <w:vAlign w:val="center"/>
            <w:hideMark/>
          </w:tcPr>
          <w:p w14:paraId="23DED7A1" w14:textId="77777777" w:rsidR="00330EAA" w:rsidRPr="00E70587" w:rsidRDefault="00330EAA" w:rsidP="006406AD">
            <w:pPr>
              <w:spacing w:line="280" w:lineRule="exact"/>
              <w:jc w:val="right"/>
              <w:rPr>
                <w:rFonts w:ascii="Arial" w:hAnsi="Arial" w:cs="Arial"/>
                <w:sz w:val="20"/>
              </w:rPr>
            </w:pPr>
            <w:r w:rsidRPr="00E70587">
              <w:rPr>
                <w:rFonts w:ascii="Arial" w:hAnsi="Arial" w:cs="Arial"/>
                <w:sz w:val="20"/>
              </w:rPr>
              <w:t>24,397</w:t>
            </w:r>
          </w:p>
        </w:tc>
        <w:tc>
          <w:tcPr>
            <w:tcW w:w="1800" w:type="dxa"/>
            <w:tcBorders>
              <w:bottom w:val="single" w:sz="4" w:space="0" w:color="auto"/>
            </w:tcBorders>
            <w:shd w:val="clear" w:color="auto" w:fill="auto"/>
            <w:vAlign w:val="center"/>
            <w:hideMark/>
          </w:tcPr>
          <w:p w14:paraId="370304EB" w14:textId="77777777" w:rsidR="00330EAA" w:rsidRPr="00E70587" w:rsidRDefault="00330EAA" w:rsidP="006406AD">
            <w:pPr>
              <w:spacing w:line="280" w:lineRule="exact"/>
              <w:jc w:val="right"/>
              <w:rPr>
                <w:rFonts w:ascii="Arial" w:hAnsi="Arial" w:cs="Arial"/>
                <w:sz w:val="20"/>
              </w:rPr>
            </w:pPr>
            <w:r w:rsidRPr="00E70587">
              <w:rPr>
                <w:rFonts w:ascii="Arial" w:hAnsi="Arial" w:cs="Arial"/>
                <w:sz w:val="20"/>
              </w:rPr>
              <w:t>-</w:t>
            </w:r>
          </w:p>
        </w:tc>
      </w:tr>
      <w:tr w:rsidR="00330EAA" w:rsidRPr="00E70587" w14:paraId="727D2742" w14:textId="77777777" w:rsidTr="005F6E20">
        <w:tc>
          <w:tcPr>
            <w:tcW w:w="5940" w:type="dxa"/>
            <w:shd w:val="clear" w:color="auto" w:fill="auto"/>
            <w:vAlign w:val="center"/>
            <w:hideMark/>
          </w:tcPr>
          <w:p w14:paraId="056EB9C7" w14:textId="77777777" w:rsidR="00330EAA" w:rsidRPr="00E70587" w:rsidRDefault="00330EAA" w:rsidP="009901E1">
            <w:pPr>
              <w:overflowPunct/>
              <w:autoSpaceDE/>
              <w:autoSpaceDN/>
              <w:adjustRightInd/>
              <w:spacing w:line="280" w:lineRule="exact"/>
              <w:textAlignment w:val="auto"/>
              <w:rPr>
                <w:rFonts w:ascii="Arial" w:hAnsi="Arial" w:cs="Arial"/>
                <w:b/>
                <w:bCs/>
                <w:sz w:val="20"/>
                <w:lang w:eastAsia="en-GB"/>
              </w:rPr>
            </w:pPr>
            <w:r w:rsidRPr="00E70587">
              <w:rPr>
                <w:rFonts w:ascii="Arial" w:hAnsi="Arial" w:cs="Arial"/>
                <w:b/>
                <w:bCs/>
                <w:sz w:val="20"/>
                <w:lang w:eastAsia="en-GB"/>
              </w:rPr>
              <w:t>Total assets</w:t>
            </w:r>
          </w:p>
        </w:tc>
        <w:tc>
          <w:tcPr>
            <w:tcW w:w="1800" w:type="dxa"/>
            <w:tcBorders>
              <w:top w:val="single" w:sz="4" w:space="0" w:color="auto"/>
              <w:bottom w:val="double" w:sz="4" w:space="0" w:color="auto"/>
            </w:tcBorders>
            <w:shd w:val="clear" w:color="auto" w:fill="auto"/>
            <w:vAlign w:val="center"/>
            <w:hideMark/>
          </w:tcPr>
          <w:p w14:paraId="03D9A9D7" w14:textId="7605E468" w:rsidR="00330EAA" w:rsidRPr="00E70587" w:rsidRDefault="00330EAA" w:rsidP="00AE28EC">
            <w:pPr>
              <w:spacing w:line="280" w:lineRule="exact"/>
              <w:jc w:val="right"/>
              <w:rPr>
                <w:rFonts w:ascii="Arial" w:hAnsi="Arial" w:cs="Arial"/>
                <w:b/>
                <w:bCs/>
                <w:sz w:val="20"/>
              </w:rPr>
            </w:pPr>
            <w:r w:rsidRPr="00E70587">
              <w:rPr>
                <w:rFonts w:ascii="Arial" w:hAnsi="Arial" w:cs="Arial"/>
                <w:b/>
                <w:bCs/>
                <w:sz w:val="20"/>
              </w:rPr>
              <w:t>2,</w:t>
            </w:r>
            <w:r w:rsidR="00B51FBA">
              <w:rPr>
                <w:rFonts w:ascii="Arial" w:hAnsi="Arial" w:cs="Arial"/>
                <w:b/>
                <w:bCs/>
                <w:sz w:val="20"/>
              </w:rPr>
              <w:t>52</w:t>
            </w:r>
            <w:r w:rsidRPr="00E70587">
              <w:rPr>
                <w:rFonts w:ascii="Arial" w:hAnsi="Arial" w:cs="Arial"/>
                <w:b/>
                <w:bCs/>
                <w:sz w:val="20"/>
              </w:rPr>
              <w:t>,</w:t>
            </w:r>
            <w:r w:rsidR="009A5ACF">
              <w:rPr>
                <w:rFonts w:ascii="Arial" w:hAnsi="Arial" w:cs="Arial"/>
                <w:b/>
                <w:bCs/>
                <w:sz w:val="20"/>
              </w:rPr>
              <w:t>53</w:t>
            </w:r>
            <w:r w:rsidR="00B51FBA">
              <w:rPr>
                <w:rFonts w:ascii="Arial" w:hAnsi="Arial" w:cs="Arial"/>
                <w:b/>
                <w:bCs/>
                <w:sz w:val="20"/>
              </w:rPr>
              <w:t>0</w:t>
            </w:r>
          </w:p>
        </w:tc>
        <w:tc>
          <w:tcPr>
            <w:tcW w:w="1800" w:type="dxa"/>
            <w:tcBorders>
              <w:top w:val="single" w:sz="4" w:space="0" w:color="auto"/>
              <w:bottom w:val="double" w:sz="4" w:space="0" w:color="auto"/>
            </w:tcBorders>
            <w:shd w:val="clear" w:color="auto" w:fill="auto"/>
            <w:vAlign w:val="center"/>
            <w:hideMark/>
          </w:tcPr>
          <w:p w14:paraId="50554677" w14:textId="3A42F579" w:rsidR="00330EAA" w:rsidRPr="00E70587" w:rsidRDefault="00330EAA" w:rsidP="00A84FC0">
            <w:pPr>
              <w:spacing w:line="280" w:lineRule="exact"/>
              <w:jc w:val="right"/>
              <w:rPr>
                <w:rFonts w:ascii="Arial" w:hAnsi="Arial" w:cs="Arial"/>
                <w:b/>
                <w:bCs/>
                <w:sz w:val="20"/>
              </w:rPr>
            </w:pPr>
            <w:r w:rsidRPr="00E70587">
              <w:rPr>
                <w:rFonts w:ascii="Arial" w:hAnsi="Arial" w:cs="Arial"/>
                <w:b/>
                <w:bCs/>
                <w:sz w:val="20"/>
              </w:rPr>
              <w:t>1,</w:t>
            </w:r>
            <w:r w:rsidR="008B0A17" w:rsidRPr="00E70587">
              <w:rPr>
                <w:rFonts w:ascii="Arial" w:hAnsi="Arial" w:cs="Arial"/>
                <w:b/>
                <w:bCs/>
                <w:sz w:val="20"/>
              </w:rPr>
              <w:t>8</w:t>
            </w:r>
            <w:r w:rsidR="008B0A17">
              <w:rPr>
                <w:rFonts w:ascii="Arial" w:hAnsi="Arial" w:cs="Arial"/>
                <w:b/>
                <w:bCs/>
                <w:sz w:val="20"/>
              </w:rPr>
              <w:t>8</w:t>
            </w:r>
            <w:r w:rsidRPr="00E70587">
              <w:rPr>
                <w:rFonts w:ascii="Arial" w:hAnsi="Arial" w:cs="Arial"/>
                <w:b/>
                <w:bCs/>
                <w:sz w:val="20"/>
              </w:rPr>
              <w:t>,</w:t>
            </w:r>
            <w:r w:rsidR="008B0A17">
              <w:rPr>
                <w:rFonts w:ascii="Arial" w:hAnsi="Arial" w:cs="Arial"/>
                <w:b/>
                <w:bCs/>
                <w:sz w:val="20"/>
              </w:rPr>
              <w:t>99</w:t>
            </w:r>
            <w:r w:rsidR="001B3A78">
              <w:rPr>
                <w:rFonts w:ascii="Arial" w:hAnsi="Arial" w:cs="Arial"/>
                <w:b/>
                <w:bCs/>
                <w:sz w:val="20"/>
              </w:rPr>
              <w:t>5</w:t>
            </w:r>
          </w:p>
        </w:tc>
      </w:tr>
      <w:tr w:rsidR="00330EAA" w:rsidRPr="00E70587" w14:paraId="2C6A865C" w14:textId="77777777" w:rsidTr="005F6E20">
        <w:tc>
          <w:tcPr>
            <w:tcW w:w="5940" w:type="dxa"/>
            <w:shd w:val="clear" w:color="auto" w:fill="auto"/>
            <w:vAlign w:val="bottom"/>
          </w:tcPr>
          <w:p w14:paraId="4657FB9F" w14:textId="77777777" w:rsidR="00330EAA" w:rsidRPr="00E70587" w:rsidRDefault="00330EAA" w:rsidP="009901E1">
            <w:pPr>
              <w:overflowPunct/>
              <w:autoSpaceDE/>
              <w:autoSpaceDN/>
              <w:adjustRightInd/>
              <w:spacing w:line="280" w:lineRule="exact"/>
              <w:textAlignment w:val="auto"/>
              <w:rPr>
                <w:rFonts w:ascii="Arial" w:hAnsi="Arial" w:cs="Arial"/>
                <w:b/>
                <w:sz w:val="20"/>
              </w:rPr>
            </w:pPr>
          </w:p>
        </w:tc>
        <w:tc>
          <w:tcPr>
            <w:tcW w:w="1800" w:type="dxa"/>
            <w:shd w:val="clear" w:color="auto" w:fill="auto"/>
            <w:vAlign w:val="bottom"/>
          </w:tcPr>
          <w:p w14:paraId="385CEB4A" w14:textId="77777777" w:rsidR="00330EAA" w:rsidRPr="00E70587" w:rsidRDefault="00330EAA" w:rsidP="009901E1">
            <w:pPr>
              <w:overflowPunct/>
              <w:autoSpaceDE/>
              <w:autoSpaceDN/>
              <w:adjustRightInd/>
              <w:spacing w:line="280" w:lineRule="exact"/>
              <w:jc w:val="right"/>
              <w:textAlignment w:val="auto"/>
              <w:rPr>
                <w:rFonts w:ascii="Arial" w:hAnsi="Arial" w:cs="Arial"/>
                <w:b/>
                <w:bCs/>
                <w:sz w:val="20"/>
                <w:lang w:eastAsia="en-GB"/>
              </w:rPr>
            </w:pPr>
          </w:p>
        </w:tc>
        <w:tc>
          <w:tcPr>
            <w:tcW w:w="1800" w:type="dxa"/>
            <w:shd w:val="clear" w:color="auto" w:fill="auto"/>
            <w:vAlign w:val="bottom"/>
          </w:tcPr>
          <w:p w14:paraId="5FBB3845" w14:textId="77777777" w:rsidR="00330EAA" w:rsidRPr="00E70587" w:rsidRDefault="00330EAA" w:rsidP="009901E1">
            <w:pPr>
              <w:overflowPunct/>
              <w:autoSpaceDE/>
              <w:autoSpaceDN/>
              <w:adjustRightInd/>
              <w:spacing w:line="280" w:lineRule="exact"/>
              <w:jc w:val="right"/>
              <w:textAlignment w:val="auto"/>
              <w:rPr>
                <w:rFonts w:ascii="Arial" w:hAnsi="Arial" w:cs="Arial"/>
                <w:b/>
                <w:bCs/>
                <w:sz w:val="20"/>
                <w:lang w:eastAsia="en-GB"/>
              </w:rPr>
            </w:pPr>
          </w:p>
        </w:tc>
      </w:tr>
      <w:tr w:rsidR="00330EAA" w:rsidRPr="00E70587" w14:paraId="3006D18F" w14:textId="77777777" w:rsidTr="005F6E20">
        <w:tc>
          <w:tcPr>
            <w:tcW w:w="5940" w:type="dxa"/>
            <w:shd w:val="clear" w:color="auto" w:fill="auto"/>
            <w:vAlign w:val="bottom"/>
            <w:hideMark/>
          </w:tcPr>
          <w:p w14:paraId="0DB1425B" w14:textId="77777777" w:rsidR="00330EAA" w:rsidRPr="00E70587" w:rsidRDefault="00330EAA" w:rsidP="009901E1">
            <w:pPr>
              <w:overflowPunct/>
              <w:autoSpaceDE/>
              <w:autoSpaceDN/>
              <w:adjustRightInd/>
              <w:spacing w:line="280" w:lineRule="exact"/>
              <w:textAlignment w:val="auto"/>
              <w:rPr>
                <w:rFonts w:ascii="Arial" w:hAnsi="Arial" w:cs="Arial"/>
                <w:b/>
                <w:bCs/>
                <w:sz w:val="20"/>
                <w:lang w:eastAsia="en-GB"/>
              </w:rPr>
            </w:pPr>
            <w:r w:rsidRPr="00E70587">
              <w:rPr>
                <w:rFonts w:ascii="Arial" w:hAnsi="Arial" w:cs="Arial"/>
                <w:b/>
                <w:sz w:val="20"/>
              </w:rPr>
              <w:t>Reconciliation of l</w:t>
            </w:r>
            <w:r w:rsidRPr="00E70587">
              <w:rPr>
                <w:rFonts w:ascii="Arial" w:hAnsi="Arial" w:cs="Arial"/>
                <w:b/>
                <w:bCs/>
                <w:sz w:val="20"/>
                <w:lang w:eastAsia="en-GB"/>
              </w:rPr>
              <w:t>iabilities</w:t>
            </w:r>
          </w:p>
        </w:tc>
        <w:tc>
          <w:tcPr>
            <w:tcW w:w="1800" w:type="dxa"/>
            <w:shd w:val="clear" w:color="auto" w:fill="auto"/>
            <w:vAlign w:val="bottom"/>
            <w:hideMark/>
          </w:tcPr>
          <w:p w14:paraId="644B42BF" w14:textId="35CFEEDC" w:rsidR="00330EAA" w:rsidRPr="00E70587" w:rsidRDefault="00330EAA" w:rsidP="0010492C">
            <w:pPr>
              <w:overflowPunct/>
              <w:autoSpaceDE/>
              <w:autoSpaceDN/>
              <w:adjustRightInd/>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31 March </w:t>
            </w:r>
            <w:r w:rsidR="007825ED" w:rsidRPr="00E70587">
              <w:rPr>
                <w:rFonts w:ascii="Arial" w:hAnsi="Arial" w:cs="Arial"/>
                <w:b/>
                <w:bCs/>
                <w:sz w:val="20"/>
                <w:lang w:eastAsia="en-GB"/>
              </w:rPr>
              <w:t>20</w:t>
            </w:r>
            <w:r w:rsidR="007825ED">
              <w:rPr>
                <w:rFonts w:ascii="Arial" w:hAnsi="Arial" w:cs="Arial"/>
                <w:b/>
                <w:bCs/>
                <w:sz w:val="20"/>
                <w:lang w:eastAsia="en-GB"/>
              </w:rPr>
              <w:t>21</w:t>
            </w:r>
          </w:p>
        </w:tc>
        <w:tc>
          <w:tcPr>
            <w:tcW w:w="1800" w:type="dxa"/>
            <w:shd w:val="clear" w:color="auto" w:fill="auto"/>
            <w:vAlign w:val="bottom"/>
            <w:hideMark/>
          </w:tcPr>
          <w:p w14:paraId="364C813D" w14:textId="050B47D7" w:rsidR="00330EAA" w:rsidRPr="00E70587" w:rsidRDefault="00330EAA" w:rsidP="009901E1">
            <w:pPr>
              <w:overflowPunct/>
              <w:autoSpaceDE/>
              <w:autoSpaceDN/>
              <w:adjustRightInd/>
              <w:spacing w:line="280" w:lineRule="exact"/>
              <w:jc w:val="right"/>
              <w:textAlignment w:val="auto"/>
              <w:rPr>
                <w:rFonts w:ascii="Arial" w:hAnsi="Arial" w:cs="Arial"/>
                <w:b/>
                <w:bCs/>
                <w:sz w:val="20"/>
                <w:lang w:eastAsia="en-GB"/>
              </w:rPr>
            </w:pPr>
            <w:r w:rsidRPr="00E70587">
              <w:rPr>
                <w:rFonts w:ascii="Arial" w:hAnsi="Arial" w:cs="Arial"/>
                <w:b/>
                <w:bCs/>
                <w:sz w:val="20"/>
                <w:lang w:eastAsia="en-GB"/>
              </w:rPr>
              <w:t xml:space="preserve">31 March </w:t>
            </w:r>
            <w:r w:rsidR="007825ED" w:rsidRPr="00E70587">
              <w:rPr>
                <w:rFonts w:ascii="Arial" w:hAnsi="Arial" w:cs="Arial"/>
                <w:b/>
                <w:bCs/>
                <w:sz w:val="20"/>
                <w:lang w:eastAsia="en-GB"/>
              </w:rPr>
              <w:t>20</w:t>
            </w:r>
            <w:r w:rsidR="007825ED">
              <w:rPr>
                <w:rFonts w:ascii="Arial" w:hAnsi="Arial" w:cs="Arial"/>
                <w:b/>
                <w:bCs/>
                <w:sz w:val="20"/>
                <w:lang w:eastAsia="en-GB"/>
              </w:rPr>
              <w:t>20</w:t>
            </w:r>
          </w:p>
        </w:tc>
      </w:tr>
      <w:tr w:rsidR="00330EAA" w:rsidRPr="00E70587" w14:paraId="34E01935" w14:textId="77777777" w:rsidTr="005F6E20">
        <w:tc>
          <w:tcPr>
            <w:tcW w:w="5940" w:type="dxa"/>
            <w:tcBorders>
              <w:top w:val="nil"/>
              <w:bottom w:val="nil"/>
              <w:right w:val="nil"/>
            </w:tcBorders>
            <w:shd w:val="clear" w:color="auto" w:fill="auto"/>
            <w:vAlign w:val="bottom"/>
            <w:hideMark/>
          </w:tcPr>
          <w:p w14:paraId="10A230F8" w14:textId="77777777" w:rsidR="00330EAA" w:rsidRPr="00E70587" w:rsidRDefault="00330EAA" w:rsidP="009901E1">
            <w:pPr>
              <w:overflowPunct/>
              <w:autoSpaceDE/>
              <w:autoSpaceDN/>
              <w:adjustRightInd/>
              <w:spacing w:line="280" w:lineRule="exact"/>
              <w:textAlignment w:val="auto"/>
              <w:rPr>
                <w:rFonts w:ascii="Arial" w:hAnsi="Arial" w:cs="Arial"/>
                <w:b/>
                <w:bCs/>
                <w:sz w:val="20"/>
                <w:lang w:eastAsia="en-GB"/>
              </w:rPr>
            </w:pPr>
          </w:p>
        </w:tc>
        <w:tc>
          <w:tcPr>
            <w:tcW w:w="1800" w:type="dxa"/>
            <w:tcBorders>
              <w:top w:val="single" w:sz="4" w:space="0" w:color="auto"/>
              <w:left w:val="nil"/>
              <w:right w:val="nil"/>
            </w:tcBorders>
            <w:shd w:val="clear" w:color="auto" w:fill="auto"/>
            <w:vAlign w:val="bottom"/>
            <w:hideMark/>
          </w:tcPr>
          <w:p w14:paraId="393D61A7" w14:textId="77777777" w:rsidR="00330EAA" w:rsidRPr="00E70587" w:rsidRDefault="00330EAA" w:rsidP="009901E1">
            <w:pPr>
              <w:overflowPunct/>
              <w:autoSpaceDE/>
              <w:autoSpaceDN/>
              <w:adjustRightInd/>
              <w:spacing w:line="280" w:lineRule="exact"/>
              <w:jc w:val="right"/>
              <w:textAlignment w:val="auto"/>
              <w:rPr>
                <w:rFonts w:ascii="Arial" w:hAnsi="Arial" w:cs="Arial"/>
                <w:b/>
                <w:bCs/>
                <w:sz w:val="20"/>
                <w:lang w:eastAsia="en-GB"/>
              </w:rPr>
            </w:pPr>
            <w:r w:rsidRPr="00E70587">
              <w:rPr>
                <w:rFonts w:ascii="Arial" w:hAnsi="Arial" w:cs="Arial"/>
                <w:b/>
                <w:sz w:val="20"/>
              </w:rPr>
              <w:t>INR Lacs</w:t>
            </w:r>
          </w:p>
        </w:tc>
        <w:tc>
          <w:tcPr>
            <w:tcW w:w="1800" w:type="dxa"/>
            <w:tcBorders>
              <w:top w:val="single" w:sz="4" w:space="0" w:color="auto"/>
              <w:left w:val="nil"/>
              <w:right w:val="nil"/>
            </w:tcBorders>
            <w:shd w:val="clear" w:color="auto" w:fill="auto"/>
            <w:vAlign w:val="bottom"/>
            <w:hideMark/>
          </w:tcPr>
          <w:p w14:paraId="02D8090E" w14:textId="77777777" w:rsidR="00330EAA" w:rsidRPr="00E70587" w:rsidRDefault="00330EAA" w:rsidP="009901E1">
            <w:pPr>
              <w:overflowPunct/>
              <w:autoSpaceDE/>
              <w:autoSpaceDN/>
              <w:adjustRightInd/>
              <w:spacing w:line="280" w:lineRule="exact"/>
              <w:jc w:val="right"/>
              <w:textAlignment w:val="auto"/>
              <w:rPr>
                <w:rFonts w:ascii="Arial" w:hAnsi="Arial" w:cs="Arial"/>
                <w:b/>
                <w:bCs/>
                <w:sz w:val="20"/>
                <w:lang w:eastAsia="en-GB"/>
              </w:rPr>
            </w:pPr>
            <w:r w:rsidRPr="00E70587">
              <w:rPr>
                <w:rFonts w:ascii="Arial" w:hAnsi="Arial" w:cs="Arial"/>
                <w:b/>
                <w:sz w:val="20"/>
              </w:rPr>
              <w:t>INR Lacs</w:t>
            </w:r>
          </w:p>
        </w:tc>
      </w:tr>
      <w:tr w:rsidR="00330EAA" w:rsidRPr="00E70587" w14:paraId="4EDA6155" w14:textId="77777777" w:rsidTr="005F6E20">
        <w:tc>
          <w:tcPr>
            <w:tcW w:w="5940" w:type="dxa"/>
            <w:shd w:val="clear" w:color="auto" w:fill="auto"/>
            <w:vAlign w:val="bottom"/>
            <w:hideMark/>
          </w:tcPr>
          <w:p w14:paraId="1433C5CC" w14:textId="77777777" w:rsidR="00330EAA" w:rsidRPr="00E70587" w:rsidRDefault="00330EAA" w:rsidP="009901E1">
            <w:pPr>
              <w:overflowPunct/>
              <w:autoSpaceDE/>
              <w:autoSpaceDN/>
              <w:adjustRightInd/>
              <w:spacing w:line="280" w:lineRule="exact"/>
              <w:textAlignment w:val="auto"/>
              <w:rPr>
                <w:rFonts w:ascii="Arial" w:hAnsi="Arial" w:cs="Arial"/>
                <w:b/>
                <w:bCs/>
                <w:sz w:val="20"/>
                <w:lang w:eastAsia="en-GB"/>
              </w:rPr>
            </w:pPr>
            <w:r w:rsidRPr="00E70587">
              <w:rPr>
                <w:rFonts w:ascii="Arial" w:hAnsi="Arial" w:cs="Arial"/>
                <w:b/>
                <w:bCs/>
                <w:sz w:val="20"/>
                <w:lang w:eastAsia="en-GB"/>
              </w:rPr>
              <w:t>Segment operating liabilities</w:t>
            </w:r>
          </w:p>
        </w:tc>
        <w:tc>
          <w:tcPr>
            <w:tcW w:w="1800" w:type="dxa"/>
            <w:shd w:val="clear" w:color="auto" w:fill="auto"/>
            <w:vAlign w:val="center"/>
            <w:hideMark/>
          </w:tcPr>
          <w:p w14:paraId="2137EECA" w14:textId="0C7B4A9D" w:rsidR="00330EAA" w:rsidRPr="00E70587" w:rsidRDefault="00F00CD9" w:rsidP="00AE28EC">
            <w:pPr>
              <w:spacing w:line="280" w:lineRule="exact"/>
              <w:jc w:val="right"/>
              <w:rPr>
                <w:rFonts w:ascii="Arial" w:hAnsi="Arial" w:cs="Arial"/>
                <w:b/>
                <w:bCs/>
                <w:sz w:val="20"/>
              </w:rPr>
            </w:pPr>
            <w:r w:rsidRPr="00E70587">
              <w:rPr>
                <w:rFonts w:ascii="Arial" w:hAnsi="Arial" w:cs="Arial"/>
                <w:b/>
                <w:bCs/>
                <w:sz w:val="20"/>
              </w:rPr>
              <w:t>5</w:t>
            </w:r>
            <w:r w:rsidR="009D64A8">
              <w:rPr>
                <w:rFonts w:ascii="Arial" w:hAnsi="Arial" w:cs="Arial"/>
                <w:b/>
                <w:bCs/>
                <w:sz w:val="20"/>
              </w:rPr>
              <w:t>9</w:t>
            </w:r>
            <w:r w:rsidR="00FD271E">
              <w:rPr>
                <w:rFonts w:ascii="Arial" w:hAnsi="Arial" w:cs="Arial"/>
                <w:b/>
                <w:bCs/>
                <w:sz w:val="20"/>
              </w:rPr>
              <w:t>,</w:t>
            </w:r>
            <w:r w:rsidR="009D64A8">
              <w:rPr>
                <w:rFonts w:ascii="Arial" w:hAnsi="Arial" w:cs="Arial"/>
                <w:b/>
                <w:bCs/>
                <w:sz w:val="20"/>
              </w:rPr>
              <w:t>0</w:t>
            </w:r>
            <w:r w:rsidR="00FD271E">
              <w:rPr>
                <w:rFonts w:ascii="Arial" w:hAnsi="Arial" w:cs="Arial"/>
                <w:b/>
                <w:bCs/>
                <w:sz w:val="20"/>
              </w:rPr>
              <w:t>55</w:t>
            </w:r>
          </w:p>
        </w:tc>
        <w:tc>
          <w:tcPr>
            <w:tcW w:w="1800" w:type="dxa"/>
            <w:shd w:val="clear" w:color="auto" w:fill="auto"/>
            <w:vAlign w:val="center"/>
            <w:hideMark/>
          </w:tcPr>
          <w:p w14:paraId="79D08063" w14:textId="6370DB70" w:rsidR="00330EAA" w:rsidRPr="00E70587" w:rsidRDefault="004E2325" w:rsidP="00AE28EC">
            <w:pPr>
              <w:spacing w:line="280" w:lineRule="exact"/>
              <w:jc w:val="right"/>
              <w:rPr>
                <w:rFonts w:ascii="Arial" w:hAnsi="Arial" w:cs="Arial"/>
                <w:b/>
                <w:bCs/>
                <w:sz w:val="20"/>
              </w:rPr>
            </w:pPr>
            <w:r>
              <w:rPr>
                <w:rFonts w:ascii="Arial" w:hAnsi="Arial" w:cs="Arial"/>
                <w:b/>
                <w:bCs/>
                <w:sz w:val="20"/>
              </w:rPr>
              <w:t>5</w:t>
            </w:r>
            <w:r w:rsidR="00C07212">
              <w:rPr>
                <w:rFonts w:ascii="Arial" w:hAnsi="Arial" w:cs="Arial"/>
                <w:b/>
                <w:bCs/>
                <w:sz w:val="20"/>
              </w:rPr>
              <w:t>1</w:t>
            </w:r>
            <w:r w:rsidR="00330EAA" w:rsidRPr="00E70587">
              <w:rPr>
                <w:rFonts w:ascii="Arial" w:hAnsi="Arial" w:cs="Arial"/>
                <w:b/>
                <w:bCs/>
                <w:sz w:val="20"/>
              </w:rPr>
              <w:t>,</w:t>
            </w:r>
            <w:r w:rsidR="00C07212">
              <w:rPr>
                <w:rFonts w:ascii="Arial" w:hAnsi="Arial" w:cs="Arial"/>
                <w:b/>
                <w:bCs/>
                <w:sz w:val="20"/>
              </w:rPr>
              <w:t>258</w:t>
            </w:r>
          </w:p>
        </w:tc>
      </w:tr>
      <w:tr w:rsidR="00330EAA" w:rsidRPr="00E70587" w14:paraId="17BD4EC9" w14:textId="77777777" w:rsidTr="005F6E20">
        <w:tc>
          <w:tcPr>
            <w:tcW w:w="5940" w:type="dxa"/>
            <w:shd w:val="clear" w:color="auto" w:fill="auto"/>
            <w:vAlign w:val="bottom"/>
            <w:hideMark/>
          </w:tcPr>
          <w:p w14:paraId="2AD4CE06" w14:textId="77777777" w:rsidR="00330EAA" w:rsidRPr="00E70587" w:rsidRDefault="00330EAA" w:rsidP="006F1BAE">
            <w:pPr>
              <w:overflowPunct/>
              <w:autoSpaceDE/>
              <w:autoSpaceDN/>
              <w:adjustRightInd/>
              <w:spacing w:line="280" w:lineRule="exact"/>
              <w:ind w:firstLineChars="100" w:firstLine="200"/>
              <w:textAlignment w:val="auto"/>
              <w:rPr>
                <w:rFonts w:ascii="Arial" w:hAnsi="Arial" w:cs="Arial"/>
                <w:sz w:val="20"/>
                <w:lang w:eastAsia="en-GB"/>
              </w:rPr>
            </w:pPr>
            <w:r w:rsidRPr="00E70587">
              <w:rPr>
                <w:rFonts w:ascii="Arial" w:hAnsi="Arial" w:cs="Arial"/>
                <w:sz w:val="20"/>
                <w:lang w:eastAsia="en-GB"/>
              </w:rPr>
              <w:t xml:space="preserve">Deferred tax liabilities (Note </w:t>
            </w:r>
            <w:r w:rsidR="006F1BAE" w:rsidRPr="00E70587">
              <w:rPr>
                <w:rFonts w:ascii="Arial" w:hAnsi="Arial" w:cs="Arial"/>
                <w:sz w:val="20"/>
                <w:lang w:eastAsia="en-GB"/>
              </w:rPr>
              <w:t>19</w:t>
            </w:r>
            <w:r w:rsidRPr="00E70587">
              <w:rPr>
                <w:rFonts w:ascii="Arial" w:hAnsi="Arial" w:cs="Arial"/>
                <w:sz w:val="20"/>
                <w:lang w:eastAsia="en-GB"/>
              </w:rPr>
              <w:t>)</w:t>
            </w:r>
          </w:p>
        </w:tc>
        <w:tc>
          <w:tcPr>
            <w:tcW w:w="1800" w:type="dxa"/>
            <w:shd w:val="clear" w:color="auto" w:fill="auto"/>
            <w:vAlign w:val="center"/>
            <w:hideMark/>
          </w:tcPr>
          <w:p w14:paraId="40F09558"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5,276</w:t>
            </w:r>
          </w:p>
        </w:tc>
        <w:tc>
          <w:tcPr>
            <w:tcW w:w="1800" w:type="dxa"/>
            <w:shd w:val="clear" w:color="auto" w:fill="auto"/>
            <w:vAlign w:val="center"/>
            <w:hideMark/>
          </w:tcPr>
          <w:p w14:paraId="689E30A6"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1,960</w:t>
            </w:r>
          </w:p>
        </w:tc>
      </w:tr>
      <w:tr w:rsidR="00330EAA" w:rsidRPr="00E70587" w14:paraId="1613FD6C" w14:textId="77777777" w:rsidTr="005F6E20">
        <w:tc>
          <w:tcPr>
            <w:tcW w:w="5940" w:type="dxa"/>
            <w:shd w:val="clear" w:color="auto" w:fill="auto"/>
            <w:vAlign w:val="bottom"/>
            <w:hideMark/>
          </w:tcPr>
          <w:p w14:paraId="54843FDF" w14:textId="77777777" w:rsidR="00330EAA" w:rsidRPr="00E70587" w:rsidRDefault="00330EAA" w:rsidP="009901E1">
            <w:pPr>
              <w:overflowPunct/>
              <w:autoSpaceDE/>
              <w:autoSpaceDN/>
              <w:adjustRightInd/>
              <w:spacing w:line="280" w:lineRule="exact"/>
              <w:ind w:firstLineChars="100" w:firstLine="200"/>
              <w:textAlignment w:val="auto"/>
              <w:rPr>
                <w:rFonts w:ascii="Arial" w:hAnsi="Arial" w:cs="Arial"/>
                <w:sz w:val="20"/>
                <w:lang w:eastAsia="en-GB"/>
              </w:rPr>
            </w:pPr>
            <w:r w:rsidRPr="00E70587">
              <w:rPr>
                <w:rFonts w:ascii="Arial" w:hAnsi="Arial" w:cs="Arial"/>
                <w:sz w:val="20"/>
                <w:lang w:eastAsia="en-GB"/>
              </w:rPr>
              <w:t>Liabilities for current tax (net)</w:t>
            </w:r>
          </w:p>
        </w:tc>
        <w:tc>
          <w:tcPr>
            <w:tcW w:w="1800" w:type="dxa"/>
            <w:shd w:val="clear" w:color="auto" w:fill="auto"/>
            <w:vAlign w:val="center"/>
            <w:hideMark/>
          </w:tcPr>
          <w:p w14:paraId="70933975"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6,32</w:t>
            </w:r>
            <w:r w:rsidR="00E814AC" w:rsidRPr="00E70587">
              <w:rPr>
                <w:rFonts w:ascii="Arial" w:hAnsi="Arial" w:cs="Arial"/>
                <w:sz w:val="20"/>
              </w:rPr>
              <w:t>3</w:t>
            </w:r>
          </w:p>
        </w:tc>
        <w:tc>
          <w:tcPr>
            <w:tcW w:w="1800" w:type="dxa"/>
            <w:shd w:val="clear" w:color="auto" w:fill="auto"/>
            <w:vAlign w:val="center"/>
            <w:hideMark/>
          </w:tcPr>
          <w:p w14:paraId="5B102979"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6,4</w:t>
            </w:r>
            <w:r w:rsidR="00E814AC" w:rsidRPr="00E70587">
              <w:rPr>
                <w:rFonts w:ascii="Arial" w:hAnsi="Arial" w:cs="Arial"/>
                <w:sz w:val="20"/>
              </w:rPr>
              <w:t>27</w:t>
            </w:r>
          </w:p>
        </w:tc>
      </w:tr>
      <w:tr w:rsidR="00330EAA" w:rsidRPr="00E70587" w14:paraId="29824834" w14:textId="77777777" w:rsidTr="005F6E20">
        <w:tc>
          <w:tcPr>
            <w:tcW w:w="5940" w:type="dxa"/>
            <w:shd w:val="clear" w:color="auto" w:fill="auto"/>
            <w:vAlign w:val="bottom"/>
            <w:hideMark/>
          </w:tcPr>
          <w:p w14:paraId="17EDD262" w14:textId="77777777" w:rsidR="00330EAA" w:rsidRPr="00E70587" w:rsidRDefault="00330EAA" w:rsidP="009901E1">
            <w:pPr>
              <w:overflowPunct/>
              <w:autoSpaceDE/>
              <w:autoSpaceDN/>
              <w:adjustRightInd/>
              <w:spacing w:line="280" w:lineRule="exact"/>
              <w:ind w:firstLineChars="100" w:firstLine="200"/>
              <w:textAlignment w:val="auto"/>
              <w:rPr>
                <w:rFonts w:ascii="Arial" w:hAnsi="Arial" w:cs="Arial"/>
                <w:sz w:val="20"/>
                <w:lang w:eastAsia="en-GB"/>
              </w:rPr>
            </w:pPr>
            <w:r w:rsidRPr="00E70587">
              <w:rPr>
                <w:rFonts w:ascii="Arial" w:hAnsi="Arial" w:cs="Arial"/>
                <w:sz w:val="20"/>
                <w:lang w:eastAsia="en-GB"/>
              </w:rPr>
              <w:t>Borrowings (note 14)</w:t>
            </w:r>
          </w:p>
        </w:tc>
        <w:tc>
          <w:tcPr>
            <w:tcW w:w="1800" w:type="dxa"/>
            <w:shd w:val="clear" w:color="auto" w:fill="auto"/>
            <w:vAlign w:val="center"/>
            <w:hideMark/>
          </w:tcPr>
          <w:p w14:paraId="19ACAB48"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41,051</w:t>
            </w:r>
          </w:p>
        </w:tc>
        <w:tc>
          <w:tcPr>
            <w:tcW w:w="1800" w:type="dxa"/>
            <w:shd w:val="clear" w:color="auto" w:fill="auto"/>
            <w:vAlign w:val="center"/>
            <w:hideMark/>
          </w:tcPr>
          <w:p w14:paraId="1033AD0B"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44,060</w:t>
            </w:r>
          </w:p>
        </w:tc>
      </w:tr>
      <w:tr w:rsidR="00330EAA" w:rsidRPr="00E70587" w14:paraId="4BC22BA4" w14:textId="77777777" w:rsidTr="005F6E20">
        <w:tc>
          <w:tcPr>
            <w:tcW w:w="5940" w:type="dxa"/>
            <w:shd w:val="clear" w:color="auto" w:fill="auto"/>
            <w:vAlign w:val="bottom"/>
            <w:hideMark/>
          </w:tcPr>
          <w:p w14:paraId="0618B821" w14:textId="77777777" w:rsidR="00330EAA" w:rsidRPr="00E70587" w:rsidRDefault="00330EAA" w:rsidP="009901E1">
            <w:pPr>
              <w:overflowPunct/>
              <w:autoSpaceDE/>
              <w:autoSpaceDN/>
              <w:adjustRightInd/>
              <w:spacing w:line="280" w:lineRule="exact"/>
              <w:ind w:firstLineChars="100" w:firstLine="200"/>
              <w:textAlignment w:val="auto"/>
              <w:rPr>
                <w:rFonts w:ascii="Arial" w:hAnsi="Arial" w:cs="Arial"/>
                <w:sz w:val="20"/>
                <w:lang w:eastAsia="en-GB"/>
              </w:rPr>
            </w:pPr>
            <w:r w:rsidRPr="00E70587">
              <w:rPr>
                <w:rFonts w:ascii="Arial" w:hAnsi="Arial" w:cs="Arial"/>
                <w:sz w:val="20"/>
                <w:lang w:eastAsia="en-GB"/>
              </w:rPr>
              <w:t>Derivatives (note 15)</w:t>
            </w:r>
          </w:p>
        </w:tc>
        <w:tc>
          <w:tcPr>
            <w:tcW w:w="1800" w:type="dxa"/>
            <w:shd w:val="clear" w:color="auto" w:fill="auto"/>
            <w:vAlign w:val="center"/>
            <w:hideMark/>
          </w:tcPr>
          <w:p w14:paraId="7D5C772B" w14:textId="77777777" w:rsidR="00330EAA" w:rsidRPr="00E70587" w:rsidRDefault="00330EAA" w:rsidP="006F1BAE">
            <w:pPr>
              <w:spacing w:line="280" w:lineRule="exact"/>
              <w:jc w:val="right"/>
              <w:rPr>
                <w:rFonts w:ascii="Arial" w:hAnsi="Arial" w:cs="Arial"/>
                <w:sz w:val="20"/>
              </w:rPr>
            </w:pPr>
            <w:r w:rsidRPr="00E70587">
              <w:rPr>
                <w:rFonts w:ascii="Arial" w:hAnsi="Arial" w:cs="Arial"/>
                <w:sz w:val="20"/>
              </w:rPr>
              <w:t>4,</w:t>
            </w:r>
            <w:r w:rsidR="006F1BAE" w:rsidRPr="00E70587">
              <w:rPr>
                <w:rFonts w:ascii="Arial" w:hAnsi="Arial" w:cs="Arial"/>
                <w:sz w:val="20"/>
              </w:rPr>
              <w:t>836</w:t>
            </w:r>
          </w:p>
        </w:tc>
        <w:tc>
          <w:tcPr>
            <w:tcW w:w="1800" w:type="dxa"/>
            <w:shd w:val="clear" w:color="auto" w:fill="auto"/>
            <w:vAlign w:val="center"/>
            <w:hideMark/>
          </w:tcPr>
          <w:p w14:paraId="5F549AC4"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457</w:t>
            </w:r>
          </w:p>
        </w:tc>
      </w:tr>
      <w:tr w:rsidR="00330EAA" w:rsidRPr="00E70587" w14:paraId="3D147A94" w14:textId="77777777" w:rsidTr="005F6E20">
        <w:tc>
          <w:tcPr>
            <w:tcW w:w="5940" w:type="dxa"/>
            <w:shd w:val="clear" w:color="auto" w:fill="auto"/>
            <w:vAlign w:val="bottom"/>
            <w:hideMark/>
          </w:tcPr>
          <w:p w14:paraId="731115A1" w14:textId="7B9F3A84" w:rsidR="00330EAA" w:rsidRPr="00E70587" w:rsidRDefault="00330EAA" w:rsidP="000D1D6E">
            <w:pPr>
              <w:overflowPunct/>
              <w:autoSpaceDE/>
              <w:autoSpaceDN/>
              <w:adjustRightInd/>
              <w:spacing w:line="280" w:lineRule="exact"/>
              <w:ind w:left="180"/>
              <w:textAlignment w:val="auto"/>
              <w:rPr>
                <w:rFonts w:ascii="Arial" w:hAnsi="Arial" w:cs="Arial"/>
                <w:sz w:val="20"/>
                <w:lang w:eastAsia="en-GB"/>
              </w:rPr>
            </w:pPr>
            <w:r w:rsidRPr="00E70587">
              <w:rPr>
                <w:rFonts w:ascii="Arial" w:hAnsi="Arial" w:cs="Arial"/>
                <w:sz w:val="20"/>
                <w:lang w:eastAsia="en-GB"/>
              </w:rPr>
              <w:t xml:space="preserve">Liabilities classified as held for </w:t>
            </w:r>
            <w:r w:rsidR="004B4199">
              <w:rPr>
                <w:rFonts w:ascii="Arial" w:hAnsi="Arial" w:cs="Arial"/>
                <w:sz w:val="20"/>
                <w:lang w:eastAsia="en-GB"/>
              </w:rPr>
              <w:t>sale</w:t>
            </w:r>
            <w:r w:rsidR="004B4199" w:rsidRPr="00E70587">
              <w:rPr>
                <w:rFonts w:ascii="Arial" w:hAnsi="Arial" w:cs="Arial"/>
                <w:sz w:val="20"/>
                <w:lang w:eastAsia="en-GB"/>
              </w:rPr>
              <w:t xml:space="preserve"> </w:t>
            </w:r>
            <w:r w:rsidRPr="00E70587">
              <w:rPr>
                <w:rFonts w:ascii="Arial" w:hAnsi="Arial" w:cs="Arial"/>
                <w:sz w:val="20"/>
                <w:lang w:eastAsia="en-GB"/>
              </w:rPr>
              <w:t>(Note 21)</w:t>
            </w:r>
          </w:p>
        </w:tc>
        <w:tc>
          <w:tcPr>
            <w:tcW w:w="1800" w:type="dxa"/>
            <w:tcBorders>
              <w:bottom w:val="single" w:sz="4" w:space="0" w:color="auto"/>
            </w:tcBorders>
            <w:shd w:val="clear" w:color="auto" w:fill="auto"/>
            <w:vAlign w:val="center"/>
            <w:hideMark/>
          </w:tcPr>
          <w:p w14:paraId="7177C6A2"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23,625</w:t>
            </w:r>
          </w:p>
        </w:tc>
        <w:tc>
          <w:tcPr>
            <w:tcW w:w="1800" w:type="dxa"/>
            <w:tcBorders>
              <w:bottom w:val="single" w:sz="4" w:space="0" w:color="auto"/>
            </w:tcBorders>
            <w:shd w:val="clear" w:color="auto" w:fill="auto"/>
            <w:vAlign w:val="center"/>
            <w:hideMark/>
          </w:tcPr>
          <w:p w14:paraId="1B0C2C84"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w:t>
            </w:r>
          </w:p>
        </w:tc>
      </w:tr>
      <w:tr w:rsidR="00330EAA" w:rsidRPr="00E70587" w14:paraId="453A6700" w14:textId="77777777" w:rsidTr="005F6E20">
        <w:tc>
          <w:tcPr>
            <w:tcW w:w="5940" w:type="dxa"/>
            <w:shd w:val="clear" w:color="auto" w:fill="auto"/>
            <w:vAlign w:val="center"/>
            <w:hideMark/>
          </w:tcPr>
          <w:p w14:paraId="55AF4333" w14:textId="77777777" w:rsidR="00330EAA" w:rsidRPr="00E70587" w:rsidRDefault="00330EAA" w:rsidP="009901E1">
            <w:pPr>
              <w:overflowPunct/>
              <w:autoSpaceDE/>
              <w:autoSpaceDN/>
              <w:adjustRightInd/>
              <w:spacing w:line="280" w:lineRule="exact"/>
              <w:textAlignment w:val="auto"/>
              <w:rPr>
                <w:rFonts w:ascii="Arial" w:hAnsi="Arial" w:cs="Arial"/>
                <w:b/>
                <w:bCs/>
                <w:sz w:val="20"/>
                <w:lang w:eastAsia="en-GB"/>
              </w:rPr>
            </w:pPr>
            <w:r w:rsidRPr="00E70587">
              <w:rPr>
                <w:rFonts w:ascii="Arial" w:hAnsi="Arial" w:cs="Arial"/>
                <w:b/>
                <w:bCs/>
                <w:sz w:val="20"/>
                <w:lang w:eastAsia="en-GB"/>
              </w:rPr>
              <w:t>Total liabilities</w:t>
            </w:r>
          </w:p>
        </w:tc>
        <w:tc>
          <w:tcPr>
            <w:tcW w:w="1800" w:type="dxa"/>
            <w:tcBorders>
              <w:top w:val="single" w:sz="4" w:space="0" w:color="auto"/>
              <w:bottom w:val="double" w:sz="4" w:space="0" w:color="auto"/>
            </w:tcBorders>
            <w:shd w:val="clear" w:color="auto" w:fill="auto"/>
            <w:vAlign w:val="center"/>
            <w:hideMark/>
          </w:tcPr>
          <w:p w14:paraId="3FB1E7A6" w14:textId="2E8AD6FA" w:rsidR="00330EAA" w:rsidRPr="00E70587" w:rsidRDefault="00330EAA" w:rsidP="006F1BAE">
            <w:pPr>
              <w:spacing w:line="280" w:lineRule="exact"/>
              <w:jc w:val="right"/>
              <w:rPr>
                <w:rFonts w:ascii="Arial" w:hAnsi="Arial" w:cs="Arial"/>
                <w:b/>
                <w:bCs/>
                <w:sz w:val="20"/>
              </w:rPr>
            </w:pPr>
            <w:r w:rsidRPr="00E70587">
              <w:rPr>
                <w:rFonts w:ascii="Arial" w:hAnsi="Arial" w:cs="Arial"/>
                <w:b/>
                <w:bCs/>
                <w:sz w:val="20"/>
              </w:rPr>
              <w:t>1,</w:t>
            </w:r>
            <w:r w:rsidR="001B3A78">
              <w:rPr>
                <w:rFonts w:ascii="Arial" w:hAnsi="Arial" w:cs="Arial"/>
                <w:b/>
                <w:bCs/>
                <w:sz w:val="20"/>
              </w:rPr>
              <w:t>40</w:t>
            </w:r>
            <w:r w:rsidRPr="00E70587">
              <w:rPr>
                <w:rFonts w:ascii="Arial" w:hAnsi="Arial" w:cs="Arial"/>
                <w:b/>
                <w:bCs/>
                <w:sz w:val="20"/>
              </w:rPr>
              <w:t>,</w:t>
            </w:r>
            <w:r w:rsidR="009D64A8">
              <w:rPr>
                <w:rFonts w:ascii="Arial" w:hAnsi="Arial" w:cs="Arial"/>
                <w:b/>
                <w:bCs/>
                <w:sz w:val="20"/>
              </w:rPr>
              <w:t>1</w:t>
            </w:r>
            <w:r w:rsidR="00501F15">
              <w:rPr>
                <w:rFonts w:ascii="Arial" w:hAnsi="Arial" w:cs="Arial"/>
                <w:b/>
                <w:bCs/>
                <w:sz w:val="20"/>
              </w:rPr>
              <w:t>66</w:t>
            </w:r>
          </w:p>
        </w:tc>
        <w:tc>
          <w:tcPr>
            <w:tcW w:w="1800" w:type="dxa"/>
            <w:tcBorders>
              <w:top w:val="single" w:sz="4" w:space="0" w:color="auto"/>
              <w:bottom w:val="double" w:sz="4" w:space="0" w:color="auto"/>
            </w:tcBorders>
            <w:shd w:val="clear" w:color="auto" w:fill="auto"/>
            <w:vAlign w:val="center"/>
            <w:hideMark/>
          </w:tcPr>
          <w:p w14:paraId="2710A944" w14:textId="71970A5F" w:rsidR="00330EAA" w:rsidRPr="00E70587" w:rsidRDefault="004E2325" w:rsidP="006F1BAE">
            <w:pPr>
              <w:spacing w:line="280" w:lineRule="exact"/>
              <w:jc w:val="right"/>
              <w:rPr>
                <w:rFonts w:ascii="Arial" w:hAnsi="Arial" w:cs="Arial"/>
                <w:b/>
                <w:bCs/>
                <w:sz w:val="20"/>
              </w:rPr>
            </w:pPr>
            <w:r>
              <w:rPr>
                <w:rFonts w:ascii="Arial" w:hAnsi="Arial" w:cs="Arial"/>
                <w:b/>
                <w:bCs/>
                <w:sz w:val="20"/>
              </w:rPr>
              <w:t>1,0</w:t>
            </w:r>
            <w:r w:rsidR="00C07212">
              <w:rPr>
                <w:rFonts w:ascii="Arial" w:hAnsi="Arial" w:cs="Arial"/>
                <w:b/>
                <w:bCs/>
                <w:sz w:val="20"/>
              </w:rPr>
              <w:t>4,162</w:t>
            </w:r>
          </w:p>
        </w:tc>
      </w:tr>
    </w:tbl>
    <w:p w14:paraId="6C8E47E9" w14:textId="77777777" w:rsidR="006406AD" w:rsidRPr="00E70587" w:rsidRDefault="006406AD" w:rsidP="009901E1">
      <w:pPr>
        <w:spacing w:line="280" w:lineRule="exact"/>
        <w:rPr>
          <w:rFonts w:ascii="Arial" w:hAnsi="Arial" w:cs="Arial"/>
          <w:b/>
          <w:bCs/>
          <w:sz w:val="20"/>
          <w:lang w:eastAsia="en-GB"/>
        </w:rPr>
      </w:pPr>
    </w:p>
    <w:p w14:paraId="2969987A" w14:textId="77777777" w:rsidR="002B7137" w:rsidRPr="00E70587" w:rsidRDefault="002B7137" w:rsidP="009901E1">
      <w:pPr>
        <w:spacing w:line="280" w:lineRule="exact"/>
        <w:rPr>
          <w:rFonts w:ascii="Arial" w:hAnsi="Arial" w:cs="Arial"/>
          <w:b/>
          <w:bCs/>
          <w:sz w:val="20"/>
          <w:lang w:eastAsia="en-GB"/>
        </w:rPr>
      </w:pPr>
      <w:r w:rsidRPr="00E70587">
        <w:rPr>
          <w:rFonts w:ascii="Arial" w:hAnsi="Arial" w:cs="Arial"/>
          <w:b/>
          <w:bCs/>
          <w:sz w:val="20"/>
          <w:lang w:eastAsia="en-GB"/>
        </w:rPr>
        <w:t>Geographic information</w:t>
      </w:r>
    </w:p>
    <w:tbl>
      <w:tblPr>
        <w:tblW w:w="9576" w:type="dxa"/>
        <w:tblLayout w:type="fixed"/>
        <w:tblLook w:val="01E0" w:firstRow="1" w:lastRow="1" w:firstColumn="1" w:lastColumn="1" w:noHBand="0" w:noVBand="0"/>
      </w:tblPr>
      <w:tblGrid>
        <w:gridCol w:w="6053"/>
        <w:gridCol w:w="1807"/>
        <w:gridCol w:w="1716"/>
      </w:tblGrid>
      <w:tr w:rsidR="00A17C17" w:rsidRPr="00E70587" w14:paraId="546E9B7D" w14:textId="77777777" w:rsidTr="006406AD">
        <w:tc>
          <w:tcPr>
            <w:tcW w:w="6053" w:type="dxa"/>
            <w:shd w:val="clear" w:color="auto" w:fill="auto"/>
          </w:tcPr>
          <w:p w14:paraId="530B4A46" w14:textId="77777777" w:rsidR="00A17C17" w:rsidRPr="00E70587" w:rsidRDefault="00A17C17" w:rsidP="009901E1">
            <w:pPr>
              <w:pStyle w:val="000Normal"/>
              <w:spacing w:before="0" w:after="0" w:line="280" w:lineRule="exact"/>
              <w:rPr>
                <w:rFonts w:ascii="Arial" w:hAnsi="Arial" w:cs="Arial"/>
                <w:i/>
                <w:sz w:val="20"/>
              </w:rPr>
            </w:pPr>
          </w:p>
        </w:tc>
        <w:tc>
          <w:tcPr>
            <w:tcW w:w="1807" w:type="dxa"/>
            <w:tcBorders>
              <w:bottom w:val="single" w:sz="4" w:space="0" w:color="auto"/>
            </w:tcBorders>
            <w:shd w:val="clear" w:color="auto" w:fill="auto"/>
          </w:tcPr>
          <w:p w14:paraId="732D43FB" w14:textId="4A75DE7D"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E1202D" w:rsidRPr="00E70587">
              <w:rPr>
                <w:rFonts w:ascii="Arial" w:hAnsi="Arial"/>
                <w:color w:val="auto"/>
                <w:sz w:val="20"/>
                <w:szCs w:val="20"/>
                <w:lang w:val="en-IN"/>
              </w:rPr>
              <w:t xml:space="preserve">March </w:t>
            </w:r>
            <w:r w:rsidR="007825ED" w:rsidRPr="00E70587">
              <w:rPr>
                <w:rFonts w:ascii="Arial" w:hAnsi="Arial"/>
                <w:color w:val="auto"/>
                <w:sz w:val="20"/>
                <w:szCs w:val="20"/>
                <w:lang w:val="en-IN"/>
              </w:rPr>
              <w:t>20</w:t>
            </w:r>
            <w:r w:rsidR="007825ED">
              <w:rPr>
                <w:rFonts w:ascii="Arial" w:hAnsi="Arial"/>
                <w:color w:val="auto"/>
                <w:sz w:val="20"/>
                <w:szCs w:val="20"/>
                <w:lang w:val="en-IN"/>
              </w:rPr>
              <w:t>21</w:t>
            </w:r>
          </w:p>
        </w:tc>
        <w:tc>
          <w:tcPr>
            <w:tcW w:w="1716" w:type="dxa"/>
            <w:tcBorders>
              <w:bottom w:val="single" w:sz="4" w:space="0" w:color="auto"/>
            </w:tcBorders>
            <w:shd w:val="clear" w:color="auto" w:fill="auto"/>
          </w:tcPr>
          <w:p w14:paraId="2A95EB3F" w14:textId="26E5448B"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w:t>
            </w:r>
            <w:r w:rsidR="008B730E" w:rsidRPr="00E70587">
              <w:rPr>
                <w:rFonts w:ascii="Arial" w:hAnsi="Arial"/>
                <w:color w:val="auto"/>
                <w:sz w:val="20"/>
                <w:szCs w:val="20"/>
                <w:lang w:val="en-IN"/>
              </w:rPr>
              <w:t xml:space="preserve">March </w:t>
            </w:r>
            <w:r w:rsidR="007825ED" w:rsidRPr="00E70587">
              <w:rPr>
                <w:rFonts w:ascii="Arial" w:hAnsi="Arial"/>
                <w:color w:val="auto"/>
                <w:sz w:val="20"/>
                <w:szCs w:val="20"/>
                <w:lang w:val="en-IN"/>
              </w:rPr>
              <w:t>20</w:t>
            </w:r>
            <w:r w:rsidR="007825ED">
              <w:rPr>
                <w:rFonts w:ascii="Arial" w:hAnsi="Arial"/>
                <w:color w:val="auto"/>
                <w:sz w:val="20"/>
                <w:szCs w:val="20"/>
                <w:lang w:val="en-IN"/>
              </w:rPr>
              <w:t>20</w:t>
            </w:r>
          </w:p>
        </w:tc>
      </w:tr>
      <w:tr w:rsidR="00A17C17" w:rsidRPr="00E70587" w14:paraId="2DD6DD71" w14:textId="77777777" w:rsidTr="006406AD">
        <w:tc>
          <w:tcPr>
            <w:tcW w:w="6053" w:type="dxa"/>
          </w:tcPr>
          <w:p w14:paraId="324FEED1" w14:textId="77777777" w:rsidR="00A17C17" w:rsidRPr="00E70587" w:rsidRDefault="00A17C17" w:rsidP="009901E1">
            <w:pPr>
              <w:pStyle w:val="000Normal"/>
              <w:spacing w:before="0" w:after="0" w:line="280" w:lineRule="exact"/>
              <w:ind w:left="34"/>
              <w:jc w:val="left"/>
              <w:rPr>
                <w:rFonts w:ascii="Arial" w:hAnsi="Arial" w:cs="Arial"/>
                <w:b/>
                <w:sz w:val="20"/>
              </w:rPr>
            </w:pPr>
            <w:r w:rsidRPr="00E70587">
              <w:rPr>
                <w:rFonts w:ascii="Arial" w:hAnsi="Arial" w:cs="Arial"/>
                <w:i/>
                <w:sz w:val="20"/>
              </w:rPr>
              <w:t>Revenue from external customers</w:t>
            </w:r>
          </w:p>
        </w:tc>
        <w:tc>
          <w:tcPr>
            <w:tcW w:w="1807" w:type="dxa"/>
            <w:tcBorders>
              <w:top w:val="single" w:sz="4" w:space="0" w:color="auto"/>
            </w:tcBorders>
          </w:tcPr>
          <w:p w14:paraId="3F898AB0"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716" w:type="dxa"/>
            <w:tcBorders>
              <w:top w:val="single" w:sz="4" w:space="0" w:color="auto"/>
            </w:tcBorders>
          </w:tcPr>
          <w:p w14:paraId="1A9A55B6" w14:textId="77777777" w:rsidR="00A17C17" w:rsidRPr="00E70587" w:rsidRDefault="00A17C17"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A17C17" w:rsidRPr="00E70587" w14:paraId="598FE4D0" w14:textId="77777777" w:rsidTr="006406AD">
        <w:tc>
          <w:tcPr>
            <w:tcW w:w="6053" w:type="dxa"/>
            <w:tcMar>
              <w:top w:w="28" w:type="dxa"/>
            </w:tcMar>
            <w:vAlign w:val="bottom"/>
          </w:tcPr>
          <w:p w14:paraId="26FA05FA" w14:textId="77777777" w:rsidR="00A17C17" w:rsidRPr="00E70587" w:rsidRDefault="00A17C17" w:rsidP="009901E1">
            <w:pPr>
              <w:pStyle w:val="tabletext"/>
              <w:overflowPunct w:val="0"/>
              <w:autoSpaceDE w:val="0"/>
              <w:autoSpaceDN w:val="0"/>
              <w:adjustRightInd w:val="0"/>
              <w:spacing w:line="280" w:lineRule="exact"/>
              <w:ind w:left="162"/>
              <w:textAlignment w:val="baseline"/>
              <w:rPr>
                <w:rFonts w:ascii="Arial" w:hAnsi="Arial" w:cs="Arial"/>
                <w:sz w:val="20"/>
                <w:lang w:val="en-IN"/>
              </w:rPr>
            </w:pPr>
            <w:r w:rsidRPr="00E70587">
              <w:rPr>
                <w:rFonts w:ascii="Arial" w:hAnsi="Arial" w:cs="Arial"/>
                <w:sz w:val="20"/>
                <w:lang w:val="en-IN"/>
              </w:rPr>
              <w:t>India</w:t>
            </w:r>
          </w:p>
        </w:tc>
        <w:tc>
          <w:tcPr>
            <w:tcW w:w="1807" w:type="dxa"/>
            <w:tcMar>
              <w:top w:w="28" w:type="dxa"/>
            </w:tcMar>
          </w:tcPr>
          <w:p w14:paraId="60C41E10"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2,68,104 </w:t>
            </w:r>
          </w:p>
        </w:tc>
        <w:tc>
          <w:tcPr>
            <w:tcW w:w="1716" w:type="dxa"/>
            <w:tcMar>
              <w:top w:w="28" w:type="dxa"/>
            </w:tcMar>
          </w:tcPr>
          <w:p w14:paraId="5EC22846"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2,4</w:t>
            </w:r>
            <w:r w:rsidR="00E814AC" w:rsidRPr="00E70587">
              <w:rPr>
                <w:rFonts w:ascii="Arial" w:hAnsi="Arial" w:cs="Arial"/>
                <w:sz w:val="20"/>
                <w:lang w:eastAsia="en-GB"/>
              </w:rPr>
              <w:t>0,135</w:t>
            </w:r>
            <w:r w:rsidRPr="00E70587">
              <w:rPr>
                <w:rFonts w:ascii="Arial" w:hAnsi="Arial" w:cs="Arial"/>
                <w:sz w:val="20"/>
                <w:lang w:eastAsia="en-GB"/>
              </w:rPr>
              <w:t xml:space="preserve"> </w:t>
            </w:r>
          </w:p>
        </w:tc>
      </w:tr>
      <w:tr w:rsidR="00A17C17" w:rsidRPr="00E70587" w14:paraId="0F3CA8BA" w14:textId="77777777" w:rsidTr="006406AD">
        <w:tc>
          <w:tcPr>
            <w:tcW w:w="6053" w:type="dxa"/>
            <w:tcMar>
              <w:top w:w="28" w:type="dxa"/>
            </w:tcMar>
            <w:vAlign w:val="bottom"/>
          </w:tcPr>
          <w:p w14:paraId="0049E22C" w14:textId="77777777" w:rsidR="00A17C17" w:rsidRPr="00E70587" w:rsidRDefault="00A17C17" w:rsidP="009901E1">
            <w:pPr>
              <w:pStyle w:val="tabletext"/>
              <w:overflowPunct w:val="0"/>
              <w:autoSpaceDE w:val="0"/>
              <w:autoSpaceDN w:val="0"/>
              <w:adjustRightInd w:val="0"/>
              <w:spacing w:line="280" w:lineRule="exact"/>
              <w:ind w:left="162"/>
              <w:textAlignment w:val="baseline"/>
              <w:rPr>
                <w:rFonts w:ascii="Arial" w:hAnsi="Arial" w:cs="Arial"/>
                <w:sz w:val="20"/>
                <w:lang w:val="en-IN"/>
              </w:rPr>
            </w:pPr>
            <w:r w:rsidRPr="00E70587">
              <w:rPr>
                <w:rFonts w:ascii="Arial" w:hAnsi="Arial" w:cs="Arial"/>
                <w:sz w:val="20"/>
                <w:lang w:val="en-IN"/>
              </w:rPr>
              <w:t>Outside India</w:t>
            </w:r>
          </w:p>
        </w:tc>
        <w:tc>
          <w:tcPr>
            <w:tcW w:w="1807" w:type="dxa"/>
            <w:tcBorders>
              <w:bottom w:val="single" w:sz="4" w:space="0" w:color="auto"/>
            </w:tcBorders>
            <w:tcMar>
              <w:top w:w="28" w:type="dxa"/>
            </w:tcMar>
          </w:tcPr>
          <w:p w14:paraId="2D7666F6"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56,727 </w:t>
            </w:r>
          </w:p>
        </w:tc>
        <w:tc>
          <w:tcPr>
            <w:tcW w:w="1716" w:type="dxa"/>
            <w:tcBorders>
              <w:bottom w:val="single" w:sz="4" w:space="0" w:color="auto"/>
            </w:tcBorders>
            <w:tcMar>
              <w:top w:w="28" w:type="dxa"/>
            </w:tcMar>
          </w:tcPr>
          <w:p w14:paraId="3258AEF5" w14:textId="77777777" w:rsidR="00A17C17" w:rsidRPr="00E70587" w:rsidRDefault="00A17C17"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 xml:space="preserve">48,268 </w:t>
            </w:r>
          </w:p>
        </w:tc>
      </w:tr>
      <w:tr w:rsidR="00A17C17" w:rsidRPr="00E70587" w14:paraId="23615AB5" w14:textId="77777777" w:rsidTr="006406AD">
        <w:tc>
          <w:tcPr>
            <w:tcW w:w="6053" w:type="dxa"/>
            <w:tcMar>
              <w:top w:w="28" w:type="dxa"/>
            </w:tcMar>
            <w:vAlign w:val="bottom"/>
          </w:tcPr>
          <w:p w14:paraId="25219222" w14:textId="77777777" w:rsidR="00A17C17" w:rsidRPr="00E70587" w:rsidRDefault="00A17C17"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 revenue per consolidated statement of profit or loss</w:t>
            </w:r>
          </w:p>
        </w:tc>
        <w:tc>
          <w:tcPr>
            <w:tcW w:w="1807" w:type="dxa"/>
            <w:tcBorders>
              <w:top w:val="single" w:sz="4" w:space="0" w:color="auto"/>
            </w:tcBorders>
            <w:tcMar>
              <w:top w:w="28" w:type="dxa"/>
            </w:tcMar>
          </w:tcPr>
          <w:p w14:paraId="13EFDC6D"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3,24,831</w:t>
            </w:r>
          </w:p>
        </w:tc>
        <w:tc>
          <w:tcPr>
            <w:tcW w:w="1716" w:type="dxa"/>
            <w:tcBorders>
              <w:top w:val="single" w:sz="4" w:space="0" w:color="auto"/>
            </w:tcBorders>
            <w:tcMar>
              <w:top w:w="28" w:type="dxa"/>
            </w:tcMar>
          </w:tcPr>
          <w:p w14:paraId="73E7EC4E" w14:textId="77777777" w:rsidR="00A17C17" w:rsidRPr="00E70587" w:rsidRDefault="00A17C17"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2,8</w:t>
            </w:r>
            <w:r w:rsidR="00E814AC" w:rsidRPr="00E70587">
              <w:rPr>
                <w:rFonts w:ascii="Arial" w:hAnsi="Arial" w:cs="Arial"/>
                <w:b/>
                <w:bCs/>
                <w:sz w:val="20"/>
                <w:lang w:eastAsia="en-GB"/>
              </w:rPr>
              <w:t>8,403</w:t>
            </w:r>
          </w:p>
        </w:tc>
      </w:tr>
      <w:tr w:rsidR="00770D54" w:rsidRPr="00E70587" w14:paraId="319D6C8D" w14:textId="77777777" w:rsidTr="00640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576" w:type="dxa"/>
            <w:gridSpan w:val="3"/>
            <w:tcBorders>
              <w:top w:val="nil"/>
              <w:left w:val="nil"/>
              <w:bottom w:val="nil"/>
              <w:right w:val="nil"/>
            </w:tcBorders>
          </w:tcPr>
          <w:p w14:paraId="68E19AA8" w14:textId="77777777" w:rsidR="006406AD" w:rsidRPr="00E70587" w:rsidRDefault="006406AD" w:rsidP="006406AD">
            <w:pPr>
              <w:spacing w:line="280" w:lineRule="exact"/>
              <w:jc w:val="both"/>
              <w:rPr>
                <w:rFonts w:ascii="Arial" w:hAnsi="Arial" w:cs="Arial"/>
                <w:sz w:val="20"/>
              </w:rPr>
            </w:pPr>
          </w:p>
          <w:p w14:paraId="31F7151F" w14:textId="77777777" w:rsidR="00770D54" w:rsidRPr="00E70587" w:rsidRDefault="00770D54" w:rsidP="006406AD">
            <w:pPr>
              <w:spacing w:line="280" w:lineRule="exact"/>
              <w:jc w:val="both"/>
              <w:rPr>
                <w:rFonts w:ascii="Arial" w:hAnsi="Arial" w:cs="Arial"/>
                <w:sz w:val="20"/>
              </w:rPr>
            </w:pPr>
            <w:r w:rsidRPr="00E70587">
              <w:rPr>
                <w:rFonts w:ascii="Arial" w:hAnsi="Arial" w:cs="Arial"/>
                <w:sz w:val="20"/>
              </w:rPr>
              <w:t>The revenue information above is based on the locations of the customers.</w:t>
            </w:r>
          </w:p>
          <w:p w14:paraId="6EF203ED" w14:textId="77777777" w:rsidR="00770D54" w:rsidRPr="00E70587" w:rsidRDefault="00770D54" w:rsidP="006406AD">
            <w:pPr>
              <w:spacing w:line="280" w:lineRule="exact"/>
              <w:jc w:val="both"/>
              <w:rPr>
                <w:rFonts w:ascii="Arial" w:hAnsi="Arial" w:cs="Arial"/>
                <w:sz w:val="20"/>
              </w:rPr>
            </w:pPr>
          </w:p>
          <w:p w14:paraId="558D87BE" w14:textId="448347E3" w:rsidR="00770D54" w:rsidRPr="00E70587" w:rsidRDefault="00770D54" w:rsidP="006F1BAE">
            <w:pPr>
              <w:spacing w:line="280" w:lineRule="exact"/>
              <w:jc w:val="both"/>
              <w:rPr>
                <w:rFonts w:ascii="Arial" w:hAnsi="Arial" w:cs="Arial"/>
                <w:sz w:val="20"/>
              </w:rPr>
            </w:pPr>
            <w:r w:rsidRPr="00E70587">
              <w:rPr>
                <w:rFonts w:ascii="Arial" w:hAnsi="Arial" w:cs="Arial"/>
                <w:sz w:val="20"/>
              </w:rPr>
              <w:t>Revenue from one customer amounted to INR 45</w:t>
            </w:r>
            <w:r w:rsidR="006F1BAE" w:rsidRPr="00E70587">
              <w:rPr>
                <w:rFonts w:ascii="Arial" w:hAnsi="Arial" w:cs="Arial"/>
                <w:sz w:val="20"/>
              </w:rPr>
              <w:t>,</w:t>
            </w:r>
            <w:r w:rsidRPr="00E70587">
              <w:rPr>
                <w:rFonts w:ascii="Arial" w:hAnsi="Arial" w:cs="Arial"/>
                <w:sz w:val="20"/>
              </w:rPr>
              <w:t>937</w:t>
            </w:r>
            <w:r w:rsidR="006F1BAE" w:rsidRPr="00E70587">
              <w:rPr>
                <w:rFonts w:ascii="Arial" w:hAnsi="Arial"/>
                <w:sz w:val="20"/>
              </w:rPr>
              <w:t xml:space="preserve"> lacs</w:t>
            </w:r>
            <w:r w:rsidR="006F1BAE" w:rsidRPr="00E70587" w:rsidDel="006F1BAE">
              <w:rPr>
                <w:rFonts w:ascii="Arial" w:hAnsi="Arial" w:cs="Arial"/>
                <w:sz w:val="20"/>
              </w:rPr>
              <w:t xml:space="preserve"> </w:t>
            </w:r>
            <w:r w:rsidRPr="00E70587">
              <w:rPr>
                <w:rFonts w:ascii="Arial" w:hAnsi="Arial" w:cs="Arial"/>
                <w:sz w:val="20"/>
              </w:rPr>
              <w:t xml:space="preserve">(31 </w:t>
            </w:r>
            <w:r w:rsidR="008B730E" w:rsidRPr="00E70587">
              <w:rPr>
                <w:rFonts w:ascii="Arial" w:hAnsi="Arial" w:cs="Arial"/>
                <w:sz w:val="20"/>
              </w:rPr>
              <w:t xml:space="preserve">March </w:t>
            </w:r>
            <w:r w:rsidR="007825ED">
              <w:rPr>
                <w:rFonts w:ascii="Arial" w:hAnsi="Arial" w:cs="Arial"/>
                <w:sz w:val="20"/>
              </w:rPr>
              <w:t>2020</w:t>
            </w:r>
            <w:r w:rsidRPr="00E70587">
              <w:rPr>
                <w:rFonts w:ascii="Arial" w:hAnsi="Arial" w:cs="Arial"/>
                <w:sz w:val="20"/>
              </w:rPr>
              <w:t>: INR 38</w:t>
            </w:r>
            <w:r w:rsidR="006F1BAE" w:rsidRPr="00E70587">
              <w:rPr>
                <w:rFonts w:ascii="Arial" w:hAnsi="Arial" w:cs="Arial"/>
                <w:sz w:val="20"/>
              </w:rPr>
              <w:t>,</w:t>
            </w:r>
            <w:r w:rsidRPr="00E70587">
              <w:rPr>
                <w:rFonts w:ascii="Arial" w:hAnsi="Arial" w:cs="Arial"/>
                <w:sz w:val="20"/>
              </w:rPr>
              <w:t>273</w:t>
            </w:r>
            <w:r w:rsidR="006F1BAE" w:rsidRPr="00E70587">
              <w:rPr>
                <w:rFonts w:ascii="Arial" w:hAnsi="Arial"/>
                <w:sz w:val="20"/>
              </w:rPr>
              <w:t xml:space="preserve"> lacs</w:t>
            </w:r>
            <w:r w:rsidRPr="00E70587">
              <w:rPr>
                <w:rFonts w:ascii="Arial" w:hAnsi="Arial" w:cs="Arial"/>
                <w:sz w:val="20"/>
              </w:rPr>
              <w:t>), arising from sales in the fire prevention equipment segment.</w:t>
            </w:r>
          </w:p>
        </w:tc>
      </w:tr>
    </w:tbl>
    <w:p w14:paraId="7F5A1F9B" w14:textId="77777777" w:rsidR="00A17C17" w:rsidRDefault="00A17C17" w:rsidP="006406AD">
      <w:pPr>
        <w:spacing w:line="280" w:lineRule="exact"/>
        <w:jc w:val="both"/>
        <w:rPr>
          <w:rFonts w:ascii="Arial" w:hAnsi="Arial" w:cs="Arial"/>
          <w:sz w:val="20"/>
        </w:rPr>
      </w:pPr>
    </w:p>
    <w:p w14:paraId="459C2F17" w14:textId="77777777" w:rsidR="00657499" w:rsidRDefault="00657499" w:rsidP="006406AD">
      <w:pPr>
        <w:spacing w:line="280" w:lineRule="exact"/>
        <w:jc w:val="both"/>
        <w:rPr>
          <w:rFonts w:ascii="Arial" w:hAnsi="Arial" w:cs="Arial"/>
          <w:sz w:val="20"/>
        </w:rPr>
      </w:pPr>
    </w:p>
    <w:p w14:paraId="13C74DBD" w14:textId="77777777" w:rsidR="00657499" w:rsidRPr="00E70587" w:rsidRDefault="00657499" w:rsidP="006406AD">
      <w:pPr>
        <w:spacing w:line="280" w:lineRule="exact"/>
        <w:jc w:val="both"/>
        <w:rPr>
          <w:rFonts w:ascii="Arial" w:hAnsi="Arial" w:cs="Arial"/>
          <w:sz w:val="20"/>
        </w:rPr>
      </w:pPr>
    </w:p>
    <w:tbl>
      <w:tblPr>
        <w:tblW w:w="9630" w:type="dxa"/>
        <w:tblLayout w:type="fixed"/>
        <w:tblLook w:val="01E0" w:firstRow="1" w:lastRow="1" w:firstColumn="1" w:lastColumn="1" w:noHBand="0" w:noVBand="0"/>
      </w:tblPr>
      <w:tblGrid>
        <w:gridCol w:w="6030"/>
        <w:gridCol w:w="1890"/>
        <w:gridCol w:w="1710"/>
      </w:tblGrid>
      <w:tr w:rsidR="00330EAA" w:rsidRPr="00E70587" w14:paraId="22C1CA28" w14:textId="77777777" w:rsidTr="005F6E20">
        <w:tc>
          <w:tcPr>
            <w:tcW w:w="6030" w:type="dxa"/>
            <w:shd w:val="clear" w:color="auto" w:fill="auto"/>
          </w:tcPr>
          <w:p w14:paraId="3F7B7AF7"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Non-current operating assets:</w:t>
            </w:r>
          </w:p>
        </w:tc>
        <w:tc>
          <w:tcPr>
            <w:tcW w:w="1890" w:type="dxa"/>
            <w:shd w:val="clear" w:color="auto" w:fill="auto"/>
          </w:tcPr>
          <w:p w14:paraId="7F2920BB"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710" w:type="dxa"/>
            <w:shd w:val="clear" w:color="auto" w:fill="auto"/>
          </w:tcPr>
          <w:p w14:paraId="67D99F51" w14:textId="77777777" w:rsidR="00330EAA" w:rsidRPr="00E70587" w:rsidRDefault="00330EAA" w:rsidP="009901E1">
            <w:pPr>
              <w:pStyle w:val="tabletext"/>
              <w:overflowPunct w:val="0"/>
              <w:autoSpaceDE w:val="0"/>
              <w:autoSpaceDN w:val="0"/>
              <w:adjustRightInd w:val="0"/>
              <w:spacing w:line="280" w:lineRule="exact"/>
              <w:jc w:val="right"/>
              <w:textAlignment w:val="baseline"/>
              <w:rPr>
                <w:rFonts w:ascii="Arial" w:hAnsi="Arial" w:cs="Arial"/>
                <w:b/>
                <w:sz w:val="20"/>
                <w:lang w:val="en-IN"/>
              </w:rPr>
            </w:pPr>
          </w:p>
        </w:tc>
      </w:tr>
      <w:tr w:rsidR="00330EAA" w:rsidRPr="00E70587" w14:paraId="6A4F8ECA" w14:textId="77777777" w:rsidTr="005F6E20">
        <w:tc>
          <w:tcPr>
            <w:tcW w:w="6030" w:type="dxa"/>
            <w:shd w:val="clear" w:color="auto" w:fill="auto"/>
          </w:tcPr>
          <w:p w14:paraId="7F75314D" w14:textId="77777777" w:rsidR="00330EAA" w:rsidRPr="00E70587" w:rsidRDefault="00330EAA" w:rsidP="009901E1">
            <w:pPr>
              <w:pStyle w:val="000Normal"/>
              <w:spacing w:before="0" w:after="0" w:line="280" w:lineRule="exact"/>
              <w:rPr>
                <w:rFonts w:ascii="Arial" w:hAnsi="Arial" w:cs="Arial"/>
                <w:sz w:val="20"/>
              </w:rPr>
            </w:pPr>
          </w:p>
        </w:tc>
        <w:tc>
          <w:tcPr>
            <w:tcW w:w="1890" w:type="dxa"/>
            <w:tcBorders>
              <w:bottom w:val="single" w:sz="4" w:space="0" w:color="auto"/>
            </w:tcBorders>
            <w:shd w:val="clear" w:color="auto" w:fill="auto"/>
            <w:vAlign w:val="bottom"/>
          </w:tcPr>
          <w:p w14:paraId="4DF14FD5" w14:textId="7B699C90"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7825ED" w:rsidRPr="00E70587">
              <w:rPr>
                <w:rFonts w:ascii="Arial" w:hAnsi="Arial"/>
                <w:color w:val="auto"/>
                <w:sz w:val="20"/>
                <w:szCs w:val="20"/>
                <w:lang w:val="en-IN"/>
              </w:rPr>
              <w:t>20</w:t>
            </w:r>
            <w:r w:rsidR="007825ED">
              <w:rPr>
                <w:rFonts w:ascii="Arial" w:hAnsi="Arial"/>
                <w:color w:val="auto"/>
                <w:sz w:val="20"/>
                <w:szCs w:val="20"/>
                <w:lang w:val="en-IN"/>
              </w:rPr>
              <w:t>21</w:t>
            </w:r>
          </w:p>
        </w:tc>
        <w:tc>
          <w:tcPr>
            <w:tcW w:w="1710" w:type="dxa"/>
            <w:tcBorders>
              <w:bottom w:val="single" w:sz="4" w:space="0" w:color="auto"/>
            </w:tcBorders>
            <w:shd w:val="clear" w:color="auto" w:fill="auto"/>
            <w:vAlign w:val="bottom"/>
          </w:tcPr>
          <w:p w14:paraId="3D9077C5" w14:textId="1DA83CFF"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31 March </w:t>
            </w:r>
            <w:r w:rsidR="007825ED" w:rsidRPr="00E70587">
              <w:rPr>
                <w:rFonts w:ascii="Arial" w:hAnsi="Arial"/>
                <w:color w:val="auto"/>
                <w:sz w:val="20"/>
                <w:szCs w:val="20"/>
                <w:lang w:val="en-IN"/>
              </w:rPr>
              <w:t>20</w:t>
            </w:r>
            <w:r w:rsidR="007825ED">
              <w:rPr>
                <w:rFonts w:ascii="Arial" w:hAnsi="Arial"/>
                <w:color w:val="auto"/>
                <w:sz w:val="20"/>
                <w:szCs w:val="20"/>
                <w:lang w:val="en-IN"/>
              </w:rPr>
              <w:t>20</w:t>
            </w:r>
          </w:p>
        </w:tc>
      </w:tr>
      <w:tr w:rsidR="00330EAA" w:rsidRPr="00E70587" w14:paraId="300ECF69" w14:textId="77777777" w:rsidTr="005F6E20">
        <w:tc>
          <w:tcPr>
            <w:tcW w:w="6030" w:type="dxa"/>
          </w:tcPr>
          <w:p w14:paraId="0925CD81" w14:textId="77777777" w:rsidR="00330EAA" w:rsidRPr="00E70587" w:rsidRDefault="00330EAA" w:rsidP="009901E1">
            <w:pPr>
              <w:pStyle w:val="000Normal"/>
              <w:spacing w:before="0" w:after="0" w:line="280" w:lineRule="exact"/>
              <w:jc w:val="right"/>
              <w:rPr>
                <w:rFonts w:ascii="Arial" w:hAnsi="Arial" w:cs="Arial"/>
                <w:b/>
                <w:sz w:val="20"/>
              </w:rPr>
            </w:pPr>
          </w:p>
        </w:tc>
        <w:tc>
          <w:tcPr>
            <w:tcW w:w="1890" w:type="dxa"/>
            <w:tcBorders>
              <w:top w:val="single" w:sz="4" w:space="0" w:color="auto"/>
            </w:tcBorders>
          </w:tcPr>
          <w:p w14:paraId="0A49737B" w14:textId="77777777"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710" w:type="dxa"/>
            <w:tcBorders>
              <w:top w:val="single" w:sz="4" w:space="0" w:color="auto"/>
            </w:tcBorders>
          </w:tcPr>
          <w:p w14:paraId="3EDFF034" w14:textId="77777777" w:rsidR="00330EAA" w:rsidRPr="00E70587" w:rsidRDefault="00330EA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330EAA" w:rsidRPr="00E70587" w14:paraId="7A4B7D2A" w14:textId="77777777" w:rsidTr="005F6E20">
        <w:tc>
          <w:tcPr>
            <w:tcW w:w="6030" w:type="dxa"/>
            <w:tcMar>
              <w:top w:w="28" w:type="dxa"/>
            </w:tcMar>
            <w:vAlign w:val="bottom"/>
          </w:tcPr>
          <w:p w14:paraId="4337C4CA" w14:textId="77777777" w:rsidR="00330EAA" w:rsidRPr="00E70587" w:rsidRDefault="00330EAA" w:rsidP="009901E1">
            <w:pPr>
              <w:pStyle w:val="tabletext"/>
              <w:overflowPunct w:val="0"/>
              <w:autoSpaceDE w:val="0"/>
              <w:autoSpaceDN w:val="0"/>
              <w:adjustRightInd w:val="0"/>
              <w:spacing w:line="280" w:lineRule="exact"/>
              <w:ind w:left="162"/>
              <w:textAlignment w:val="baseline"/>
              <w:rPr>
                <w:rFonts w:ascii="Arial" w:hAnsi="Arial" w:cs="Arial"/>
                <w:sz w:val="20"/>
                <w:lang w:val="en-IN"/>
              </w:rPr>
            </w:pPr>
            <w:r w:rsidRPr="00E70587">
              <w:rPr>
                <w:rFonts w:ascii="Arial" w:hAnsi="Arial" w:cs="Arial"/>
                <w:sz w:val="20"/>
                <w:lang w:val="en-IN"/>
              </w:rPr>
              <w:t>India</w:t>
            </w:r>
          </w:p>
        </w:tc>
        <w:tc>
          <w:tcPr>
            <w:tcW w:w="1890" w:type="dxa"/>
            <w:tcMar>
              <w:top w:w="28" w:type="dxa"/>
            </w:tcMar>
            <w:vAlign w:val="center"/>
          </w:tcPr>
          <w:p w14:paraId="4D854476"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69,464</w:t>
            </w:r>
          </w:p>
        </w:tc>
        <w:tc>
          <w:tcPr>
            <w:tcW w:w="1710" w:type="dxa"/>
            <w:tcMar>
              <w:top w:w="28" w:type="dxa"/>
            </w:tcMar>
            <w:vAlign w:val="center"/>
          </w:tcPr>
          <w:p w14:paraId="0CA03CDC"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49,540</w:t>
            </w:r>
          </w:p>
        </w:tc>
      </w:tr>
      <w:tr w:rsidR="00330EAA" w:rsidRPr="00E70587" w14:paraId="71620446" w14:textId="77777777" w:rsidTr="005F6E20">
        <w:tc>
          <w:tcPr>
            <w:tcW w:w="6030" w:type="dxa"/>
            <w:tcMar>
              <w:top w:w="28" w:type="dxa"/>
            </w:tcMar>
            <w:vAlign w:val="bottom"/>
          </w:tcPr>
          <w:p w14:paraId="3D0DABC5" w14:textId="77777777" w:rsidR="00330EAA" w:rsidRPr="00E70587" w:rsidRDefault="00330EAA" w:rsidP="009901E1">
            <w:pPr>
              <w:pStyle w:val="tabletext"/>
              <w:overflowPunct w:val="0"/>
              <w:autoSpaceDE w:val="0"/>
              <w:autoSpaceDN w:val="0"/>
              <w:adjustRightInd w:val="0"/>
              <w:spacing w:line="280" w:lineRule="exact"/>
              <w:ind w:left="162"/>
              <w:textAlignment w:val="baseline"/>
              <w:rPr>
                <w:rFonts w:ascii="Arial" w:hAnsi="Arial" w:cs="Arial"/>
                <w:sz w:val="20"/>
                <w:lang w:val="en-IN"/>
              </w:rPr>
            </w:pPr>
            <w:r w:rsidRPr="00E70587">
              <w:rPr>
                <w:rFonts w:ascii="Arial" w:hAnsi="Arial" w:cs="Arial"/>
                <w:sz w:val="20"/>
                <w:lang w:val="en-IN"/>
              </w:rPr>
              <w:t>United States</w:t>
            </w:r>
          </w:p>
        </w:tc>
        <w:tc>
          <w:tcPr>
            <w:tcW w:w="1890" w:type="dxa"/>
            <w:tcBorders>
              <w:bottom w:val="single" w:sz="4" w:space="0" w:color="auto"/>
            </w:tcBorders>
            <w:tcMar>
              <w:top w:w="28" w:type="dxa"/>
            </w:tcMar>
            <w:vAlign w:val="center"/>
          </w:tcPr>
          <w:p w14:paraId="5083739D"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16,740</w:t>
            </w:r>
          </w:p>
        </w:tc>
        <w:tc>
          <w:tcPr>
            <w:tcW w:w="1710" w:type="dxa"/>
            <w:tcBorders>
              <w:bottom w:val="single" w:sz="4" w:space="0" w:color="auto"/>
            </w:tcBorders>
            <w:tcMar>
              <w:top w:w="28" w:type="dxa"/>
            </w:tcMar>
            <w:vAlign w:val="center"/>
          </w:tcPr>
          <w:p w14:paraId="5DF74013" w14:textId="77777777" w:rsidR="00330EAA" w:rsidRPr="00E70587" w:rsidRDefault="00330EAA" w:rsidP="009901E1">
            <w:pPr>
              <w:spacing w:line="280" w:lineRule="exact"/>
              <w:jc w:val="right"/>
              <w:rPr>
                <w:rFonts w:ascii="Arial" w:hAnsi="Arial" w:cs="Arial"/>
                <w:sz w:val="20"/>
              </w:rPr>
            </w:pPr>
            <w:r w:rsidRPr="00E70587">
              <w:rPr>
                <w:rFonts w:ascii="Arial" w:hAnsi="Arial" w:cs="Arial"/>
                <w:sz w:val="20"/>
              </w:rPr>
              <w:t>13,052</w:t>
            </w:r>
          </w:p>
        </w:tc>
      </w:tr>
      <w:tr w:rsidR="00330EAA" w:rsidRPr="00E70587" w14:paraId="2FBACA29" w14:textId="77777777" w:rsidTr="005F6E20">
        <w:tc>
          <w:tcPr>
            <w:tcW w:w="6030" w:type="dxa"/>
            <w:tcMar>
              <w:top w:w="28" w:type="dxa"/>
            </w:tcMar>
            <w:vAlign w:val="bottom"/>
          </w:tcPr>
          <w:p w14:paraId="584AD66F" w14:textId="77777777" w:rsidR="00330EAA" w:rsidRPr="00E70587" w:rsidRDefault="00330EA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w:t>
            </w:r>
          </w:p>
        </w:tc>
        <w:tc>
          <w:tcPr>
            <w:tcW w:w="1890" w:type="dxa"/>
            <w:tcBorders>
              <w:top w:val="single" w:sz="4" w:space="0" w:color="auto"/>
              <w:bottom w:val="double" w:sz="4" w:space="0" w:color="auto"/>
            </w:tcBorders>
            <w:tcMar>
              <w:top w:w="28" w:type="dxa"/>
            </w:tcMar>
            <w:vAlign w:val="center"/>
          </w:tcPr>
          <w:p w14:paraId="4A113478" w14:textId="77777777" w:rsidR="00330EAA" w:rsidRPr="00E70587" w:rsidRDefault="00330EAA" w:rsidP="009901E1">
            <w:pPr>
              <w:spacing w:line="280" w:lineRule="exact"/>
              <w:jc w:val="right"/>
              <w:rPr>
                <w:rFonts w:ascii="Arial" w:hAnsi="Arial" w:cs="Arial"/>
                <w:b/>
                <w:bCs/>
                <w:sz w:val="20"/>
              </w:rPr>
            </w:pPr>
            <w:r w:rsidRPr="00E70587">
              <w:rPr>
                <w:rFonts w:ascii="Arial" w:hAnsi="Arial" w:cs="Arial"/>
                <w:b/>
                <w:bCs/>
                <w:sz w:val="20"/>
              </w:rPr>
              <w:t>86,204</w:t>
            </w:r>
          </w:p>
        </w:tc>
        <w:tc>
          <w:tcPr>
            <w:tcW w:w="1710" w:type="dxa"/>
            <w:tcBorders>
              <w:top w:val="single" w:sz="4" w:space="0" w:color="auto"/>
              <w:bottom w:val="double" w:sz="4" w:space="0" w:color="auto"/>
            </w:tcBorders>
            <w:tcMar>
              <w:top w:w="28" w:type="dxa"/>
            </w:tcMar>
            <w:vAlign w:val="center"/>
          </w:tcPr>
          <w:p w14:paraId="1116B8C3" w14:textId="77777777" w:rsidR="00330EAA" w:rsidRPr="00E70587" w:rsidRDefault="00330EAA" w:rsidP="006F1BAE">
            <w:pPr>
              <w:spacing w:line="280" w:lineRule="exact"/>
              <w:jc w:val="right"/>
              <w:rPr>
                <w:rFonts w:ascii="Arial" w:hAnsi="Arial" w:cs="Arial"/>
                <w:b/>
                <w:bCs/>
                <w:sz w:val="20"/>
              </w:rPr>
            </w:pPr>
            <w:r w:rsidRPr="00E70587">
              <w:rPr>
                <w:rFonts w:ascii="Arial" w:hAnsi="Arial" w:cs="Arial"/>
                <w:b/>
                <w:bCs/>
                <w:sz w:val="20"/>
              </w:rPr>
              <w:t>62,</w:t>
            </w:r>
            <w:r w:rsidR="006F1BAE" w:rsidRPr="00E70587">
              <w:rPr>
                <w:rFonts w:ascii="Arial" w:hAnsi="Arial" w:cs="Arial"/>
                <w:b/>
                <w:bCs/>
                <w:sz w:val="20"/>
              </w:rPr>
              <w:t>592</w:t>
            </w:r>
          </w:p>
        </w:tc>
      </w:tr>
      <w:tr w:rsidR="00330EAA" w:rsidRPr="00E70587" w14:paraId="4A35C8FF" w14:textId="77777777" w:rsidTr="005F6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630" w:type="dxa"/>
            <w:gridSpan w:val="3"/>
            <w:tcBorders>
              <w:top w:val="nil"/>
              <w:left w:val="nil"/>
              <w:bottom w:val="nil"/>
              <w:right w:val="nil"/>
            </w:tcBorders>
          </w:tcPr>
          <w:p w14:paraId="2BEA5F03" w14:textId="77777777" w:rsidR="00330EAA" w:rsidRPr="00E70587" w:rsidRDefault="00330EAA" w:rsidP="0024137A">
            <w:pPr>
              <w:spacing w:line="280" w:lineRule="exact"/>
              <w:jc w:val="both"/>
              <w:rPr>
                <w:rFonts w:ascii="Arial" w:hAnsi="Arial" w:cs="Arial"/>
                <w:sz w:val="20"/>
              </w:rPr>
            </w:pPr>
          </w:p>
          <w:p w14:paraId="594BC0F1" w14:textId="77777777" w:rsidR="00330EAA" w:rsidRPr="00E70587" w:rsidRDefault="00330EAA" w:rsidP="0024137A">
            <w:pPr>
              <w:spacing w:line="280" w:lineRule="exact"/>
              <w:jc w:val="both"/>
              <w:rPr>
                <w:rFonts w:ascii="Arial" w:hAnsi="Arial" w:cs="Arial"/>
                <w:sz w:val="20"/>
              </w:rPr>
            </w:pPr>
            <w:r w:rsidRPr="00E70587">
              <w:rPr>
                <w:rFonts w:ascii="Arial" w:hAnsi="Arial" w:cs="Arial"/>
                <w:sz w:val="20"/>
              </w:rPr>
              <w:lastRenderedPageBreak/>
              <w:t>Non-current assets for this purpose consist of property, plant and equipment, investment properties and intangible assets.</w:t>
            </w:r>
          </w:p>
        </w:tc>
      </w:tr>
    </w:tbl>
    <w:p w14:paraId="0C6CCA9D" w14:textId="77777777" w:rsidR="00056BF0" w:rsidRPr="00E70587" w:rsidRDefault="00056BF0" w:rsidP="0024137A">
      <w:pPr>
        <w:spacing w:line="280" w:lineRule="exact"/>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17C17" w:rsidRPr="00E70587" w14:paraId="6A4D0B3A" w14:textId="77777777" w:rsidTr="00834981">
        <w:tc>
          <w:tcPr>
            <w:tcW w:w="9540" w:type="dxa"/>
            <w:tcBorders>
              <w:top w:val="nil"/>
              <w:left w:val="nil"/>
              <w:bottom w:val="nil"/>
              <w:right w:val="nil"/>
            </w:tcBorders>
          </w:tcPr>
          <w:p w14:paraId="44A592B2" w14:textId="77777777" w:rsidR="00A17C17" w:rsidRPr="00E70587" w:rsidRDefault="00A17C17" w:rsidP="0024137A">
            <w:pPr>
              <w:shd w:val="clear" w:color="auto" w:fill="C1C1C1" w:themeFill="background1" w:themeFillTint="66"/>
              <w:spacing w:line="280" w:lineRule="exact"/>
              <w:jc w:val="both"/>
              <w:rPr>
                <w:rFonts w:ascii="Arial" w:hAnsi="Arial" w:cs="Arial"/>
                <w:b/>
                <w:sz w:val="20"/>
              </w:rPr>
            </w:pPr>
            <w:r w:rsidRPr="00E70587">
              <w:rPr>
                <w:rFonts w:ascii="Arial" w:hAnsi="Arial" w:cs="Arial"/>
                <w:b/>
                <w:sz w:val="20"/>
              </w:rPr>
              <w:t>Authors’ note</w:t>
            </w:r>
          </w:p>
          <w:p w14:paraId="1EF99035" w14:textId="77777777" w:rsidR="0024137A" w:rsidRPr="00E70587" w:rsidRDefault="0024137A" w:rsidP="009E5F6F">
            <w:pPr>
              <w:shd w:val="clear" w:color="auto" w:fill="C1C1C1" w:themeFill="background1" w:themeFillTint="66"/>
              <w:spacing w:line="280" w:lineRule="exact"/>
              <w:jc w:val="both"/>
              <w:rPr>
                <w:rFonts w:ascii="Arial" w:hAnsi="Arial" w:cs="Arial"/>
                <w:sz w:val="20"/>
              </w:rPr>
            </w:pPr>
          </w:p>
          <w:p w14:paraId="671DF70D" w14:textId="77777777" w:rsidR="00A17C17" w:rsidRPr="00E70587" w:rsidRDefault="00A17C17" w:rsidP="0024137A">
            <w:pPr>
              <w:shd w:val="clear" w:color="auto" w:fill="C1C1C1" w:themeFill="background1" w:themeFillTint="66"/>
              <w:spacing w:line="280" w:lineRule="exact"/>
              <w:jc w:val="both"/>
              <w:rPr>
                <w:rFonts w:ascii="Arial" w:hAnsi="Arial" w:cs="Arial"/>
                <w:sz w:val="20"/>
              </w:rPr>
            </w:pPr>
            <w:r w:rsidRPr="00E70587">
              <w:rPr>
                <w:rFonts w:ascii="Arial" w:hAnsi="Arial" w:cs="Arial"/>
                <w:sz w:val="20"/>
              </w:rPr>
              <w:t xml:space="preserve">Interest income and interest expense have not been disclosed by segment as these items are managed on a group basis, and are not provided to the chief operating decision maker (CODM) at the operating segment level. Disclosure of operating segment assets and liabilities is only required when such measures are provided to the CODM. The Group provides information about operating assets and liabilities to the CODM. The other operations (e.g., treasury) do not constitute an individual operating segment and may be presented under a separate category ‘all other </w:t>
            </w:r>
            <w:proofErr w:type="gramStart"/>
            <w:r w:rsidRPr="00E70587">
              <w:rPr>
                <w:rFonts w:ascii="Arial" w:hAnsi="Arial" w:cs="Arial"/>
                <w:sz w:val="20"/>
              </w:rPr>
              <w:t>segments’</w:t>
            </w:r>
            <w:proofErr w:type="gramEnd"/>
            <w:r w:rsidRPr="00E70587">
              <w:rPr>
                <w:rFonts w:ascii="Arial" w:hAnsi="Arial" w:cs="Arial"/>
                <w:sz w:val="20"/>
              </w:rPr>
              <w:t>.</w:t>
            </w:r>
            <w:r w:rsidR="00950163" w:rsidRPr="00E70587">
              <w:rPr>
                <w:rFonts w:ascii="Arial" w:hAnsi="Arial" w:cs="Arial"/>
                <w:sz w:val="20"/>
              </w:rPr>
              <w:t xml:space="preserve"> </w:t>
            </w:r>
            <w:r w:rsidRPr="00E70587">
              <w:rPr>
                <w:rFonts w:ascii="Arial" w:hAnsi="Arial" w:cs="Arial"/>
                <w:sz w:val="20"/>
              </w:rPr>
              <w:t xml:space="preserve">The results of these operations are reflected in ‘adjustments and </w:t>
            </w:r>
            <w:proofErr w:type="gramStart"/>
            <w:r w:rsidRPr="00E70587">
              <w:rPr>
                <w:rFonts w:ascii="Arial" w:hAnsi="Arial" w:cs="Arial"/>
                <w:sz w:val="20"/>
              </w:rPr>
              <w:t>eliminations’</w:t>
            </w:r>
            <w:proofErr w:type="gramEnd"/>
            <w:r w:rsidRPr="00E70587">
              <w:rPr>
                <w:rFonts w:ascii="Arial" w:hAnsi="Arial" w:cs="Arial"/>
                <w:sz w:val="20"/>
              </w:rPr>
              <w:t xml:space="preserve">. </w:t>
            </w:r>
          </w:p>
          <w:p w14:paraId="039B979A" w14:textId="77777777" w:rsidR="00A17C17" w:rsidRPr="00E70587" w:rsidRDefault="00A17C17" w:rsidP="0024137A">
            <w:pPr>
              <w:shd w:val="clear" w:color="auto" w:fill="C1C1C1" w:themeFill="background1" w:themeFillTint="66"/>
              <w:spacing w:line="280" w:lineRule="exact"/>
              <w:jc w:val="both"/>
              <w:rPr>
                <w:rFonts w:ascii="Arial" w:hAnsi="Arial" w:cs="Arial"/>
                <w:sz w:val="20"/>
              </w:rPr>
            </w:pPr>
          </w:p>
          <w:p w14:paraId="03139550" w14:textId="77777777" w:rsidR="00A17C17" w:rsidRPr="00E70587" w:rsidRDefault="00A17C17" w:rsidP="0024137A">
            <w:pPr>
              <w:shd w:val="clear" w:color="auto" w:fill="C1C1C1" w:themeFill="background1" w:themeFillTint="66"/>
              <w:spacing w:line="280" w:lineRule="exact"/>
              <w:jc w:val="both"/>
              <w:rPr>
                <w:rFonts w:ascii="Arial" w:hAnsi="Arial" w:cs="Arial"/>
                <w:sz w:val="20"/>
              </w:rPr>
            </w:pPr>
            <w:r w:rsidRPr="00E70587">
              <w:rPr>
                <w:rFonts w:ascii="Arial" w:hAnsi="Arial" w:cs="Arial"/>
                <w:sz w:val="20"/>
              </w:rPr>
              <w:t xml:space="preserve">The group had set up its internal reporting based on Ind AS, ahead of Ind AS adoption for external/statutory reporting. Hence, the group’s CODM was already using Ind AS information for economic decision making. This implies that the Group’s internal reporting is already set up to report in accordance with Ind-AS. The segment disclosures could be significantly more extensive if internal reports had been prepared on a basis other than Ind-AS. In this case, </w:t>
            </w:r>
            <w:r w:rsidR="00FB5A92" w:rsidRPr="00E70587">
              <w:rPr>
                <w:rFonts w:ascii="Arial" w:hAnsi="Arial" w:cs="Arial"/>
                <w:sz w:val="20"/>
              </w:rPr>
              <w:t xml:space="preserve">there is a need to disclose as to how the internally reported items are calculated. Also, </w:t>
            </w:r>
            <w:r w:rsidRPr="00E70587">
              <w:rPr>
                <w:rFonts w:ascii="Arial" w:hAnsi="Arial" w:cs="Arial"/>
                <w:sz w:val="20"/>
              </w:rPr>
              <w:t>reconciliation between the internally reported items and the externally communicated items needs to be presented.</w:t>
            </w:r>
          </w:p>
          <w:p w14:paraId="2153D18A" w14:textId="77777777" w:rsidR="00A17C17" w:rsidRPr="00E70587" w:rsidRDefault="00A17C17" w:rsidP="0024137A">
            <w:pPr>
              <w:shd w:val="clear" w:color="auto" w:fill="C1C1C1" w:themeFill="background1" w:themeFillTint="66"/>
              <w:spacing w:line="280" w:lineRule="exact"/>
              <w:jc w:val="both"/>
              <w:rPr>
                <w:rFonts w:ascii="Arial" w:hAnsi="Arial" w:cs="Arial"/>
                <w:sz w:val="20"/>
              </w:rPr>
            </w:pPr>
          </w:p>
          <w:p w14:paraId="228B91D6" w14:textId="5A38BFB4" w:rsidR="00A17C17" w:rsidRDefault="00A17C17" w:rsidP="0024137A">
            <w:pPr>
              <w:shd w:val="clear" w:color="auto" w:fill="C1C1C1" w:themeFill="background1" w:themeFillTint="66"/>
              <w:spacing w:line="280" w:lineRule="exact"/>
              <w:jc w:val="both"/>
              <w:rPr>
                <w:rFonts w:ascii="Arial" w:hAnsi="Arial" w:cs="Arial"/>
                <w:sz w:val="20"/>
              </w:rPr>
            </w:pPr>
            <w:r w:rsidRPr="00E70587">
              <w:rPr>
                <w:rFonts w:ascii="Arial" w:hAnsi="Arial" w:cs="Arial"/>
                <w:sz w:val="20"/>
              </w:rPr>
              <w:t xml:space="preserve">The Group has classified an operating segment as a discontinued operation in </w:t>
            </w:r>
            <w:r w:rsidR="00BE3490" w:rsidRPr="00E70587">
              <w:rPr>
                <w:rFonts w:ascii="Arial" w:hAnsi="Arial" w:cs="Arial"/>
                <w:sz w:val="20"/>
              </w:rPr>
              <w:t>20</w:t>
            </w:r>
            <w:r w:rsidR="00867043">
              <w:rPr>
                <w:rFonts w:ascii="Arial" w:hAnsi="Arial" w:cs="Arial"/>
                <w:sz w:val="20"/>
              </w:rPr>
              <w:t>20</w:t>
            </w:r>
            <w:r w:rsidRPr="00E70587">
              <w:rPr>
                <w:rFonts w:ascii="Arial" w:hAnsi="Arial" w:cs="Arial"/>
                <w:sz w:val="20"/>
              </w:rPr>
              <w:t>. Ind-AS 108 does not provide guidance as to whether segment disclosures apply to discontinued operations. Although the disposed segment is material, the Group has not disclosed the results within the segment disclosures under Ind-AS 108. Ind-AS 105 states that the requirements of other standards do not apply to discontinued operations, unless they specify disclosures applicable to them. Since Ind-AS 108 does not refer to discontinued operations, entities are not required to include them as a reportable segment. This would be the case even if the CODM continued to monitor the discontinued operation until disposal. Nevertheless, an entity would not be prohibited from disclosing such information, if desired.</w:t>
            </w:r>
          </w:p>
          <w:p w14:paraId="54ACFD7A" w14:textId="77777777" w:rsidR="00806C1A" w:rsidRDefault="00806C1A" w:rsidP="0024137A">
            <w:pPr>
              <w:shd w:val="clear" w:color="auto" w:fill="C1C1C1" w:themeFill="background1" w:themeFillTint="66"/>
              <w:spacing w:line="280" w:lineRule="exact"/>
              <w:jc w:val="both"/>
              <w:rPr>
                <w:rFonts w:ascii="Arial" w:hAnsi="Arial" w:cs="Arial"/>
                <w:sz w:val="20"/>
              </w:rPr>
            </w:pPr>
          </w:p>
          <w:p w14:paraId="0B8508B1" w14:textId="040AEEAD" w:rsidR="00806C1A" w:rsidRDefault="00806C1A" w:rsidP="00806C1A">
            <w:pPr>
              <w:shd w:val="clear" w:color="auto" w:fill="C1C1C1" w:themeFill="background1" w:themeFillTint="66"/>
              <w:spacing w:line="280" w:lineRule="exact"/>
              <w:jc w:val="both"/>
              <w:rPr>
                <w:rFonts w:ascii="Arial" w:hAnsi="Arial" w:cs="Arial"/>
                <w:sz w:val="20"/>
              </w:rPr>
            </w:pPr>
            <w:r w:rsidRPr="00806C1A">
              <w:rPr>
                <w:rFonts w:ascii="Arial" w:hAnsi="Arial" w:cs="Arial"/>
                <w:sz w:val="20"/>
              </w:rPr>
              <w:t xml:space="preserve">The Group’s CODM regularly reviews the segment information related to the joint venture based on its proportionate share of revenue, profits, assets and liabilities to make decisions about resources to be allocated to the segment and assess its performance. However, as required by Ind AS 111, the Group’s interest in the joint venture is accounted for in the consolidated financial statements using the equity method. The eliminations arising on account of differences between proportionate consolidation and equity method are included under ‘Adjustments and </w:t>
            </w:r>
            <w:proofErr w:type="gramStart"/>
            <w:r w:rsidRPr="00806C1A">
              <w:rPr>
                <w:rFonts w:ascii="Arial" w:hAnsi="Arial" w:cs="Arial"/>
                <w:sz w:val="20"/>
              </w:rPr>
              <w:t>eliminations’</w:t>
            </w:r>
            <w:proofErr w:type="gramEnd"/>
            <w:r w:rsidRPr="00806C1A">
              <w:rPr>
                <w:rFonts w:ascii="Arial" w:hAnsi="Arial" w:cs="Arial"/>
                <w:sz w:val="20"/>
              </w:rPr>
              <w:t>.</w:t>
            </w:r>
          </w:p>
          <w:p w14:paraId="5F66755D" w14:textId="77777777" w:rsidR="00806C1A" w:rsidRDefault="00806C1A" w:rsidP="0024137A">
            <w:pPr>
              <w:shd w:val="clear" w:color="auto" w:fill="C1C1C1" w:themeFill="background1" w:themeFillTint="66"/>
              <w:spacing w:line="280" w:lineRule="exact"/>
              <w:jc w:val="both"/>
              <w:rPr>
                <w:rFonts w:ascii="Arial" w:hAnsi="Arial" w:cs="Arial"/>
                <w:sz w:val="20"/>
              </w:rPr>
            </w:pPr>
          </w:p>
          <w:p w14:paraId="279A6CCF" w14:textId="77777777" w:rsidR="00806C1A" w:rsidRPr="00E70587" w:rsidRDefault="00806C1A" w:rsidP="0024137A">
            <w:pPr>
              <w:shd w:val="clear" w:color="auto" w:fill="C1C1C1" w:themeFill="background1" w:themeFillTint="66"/>
              <w:spacing w:line="280" w:lineRule="exact"/>
              <w:jc w:val="both"/>
              <w:rPr>
                <w:rFonts w:ascii="Arial" w:hAnsi="Arial" w:cs="Arial"/>
                <w:sz w:val="20"/>
              </w:rPr>
            </w:pPr>
          </w:p>
        </w:tc>
      </w:tr>
    </w:tbl>
    <w:p w14:paraId="28B49B98" w14:textId="77777777" w:rsidR="00BA746C" w:rsidRPr="00E70587" w:rsidRDefault="00BA746C" w:rsidP="0024137A">
      <w:pPr>
        <w:spacing w:line="280" w:lineRule="exact"/>
        <w:jc w:val="both"/>
        <w:rPr>
          <w:rFonts w:ascii="Arial" w:hAnsi="Arial" w:cs="Arial"/>
          <w:sz w:val="20"/>
        </w:rPr>
      </w:pPr>
    </w:p>
    <w:tbl>
      <w:tblPr>
        <w:tblW w:w="10227" w:type="dxa"/>
        <w:tblLook w:val="0000" w:firstRow="0" w:lastRow="0" w:firstColumn="0" w:lastColumn="0" w:noHBand="0" w:noVBand="0"/>
      </w:tblPr>
      <w:tblGrid>
        <w:gridCol w:w="10227"/>
      </w:tblGrid>
      <w:tr w:rsidR="0086091A" w:rsidRPr="00E70587" w14:paraId="3BF4170F" w14:textId="77777777" w:rsidTr="00413278">
        <w:tc>
          <w:tcPr>
            <w:tcW w:w="0" w:type="auto"/>
          </w:tcPr>
          <w:p w14:paraId="33C1E2CC" w14:textId="77777777" w:rsidR="0086091A" w:rsidRPr="00E70587" w:rsidRDefault="0086091A" w:rsidP="00F53123">
            <w:pPr>
              <w:pStyle w:val="ViralheadingL2"/>
              <w:keepNext w:val="0"/>
              <w:numPr>
                <w:ilvl w:val="0"/>
                <w:numId w:val="8"/>
              </w:numPr>
              <w:spacing w:before="0" w:after="0" w:line="280" w:lineRule="exact"/>
              <w:ind w:left="720" w:hanging="720"/>
              <w:rPr>
                <w:rFonts w:ascii="Arial" w:hAnsi="Arial" w:cs="Arial"/>
                <w:sz w:val="20"/>
                <w:szCs w:val="20"/>
              </w:rPr>
            </w:pPr>
            <w:r w:rsidRPr="00E70587">
              <w:rPr>
                <w:rFonts w:ascii="Arial" w:hAnsi="Arial" w:cs="Arial"/>
                <w:sz w:val="20"/>
                <w:szCs w:val="20"/>
              </w:rPr>
              <w:t xml:space="preserve">Hedging activities and derivatives </w:t>
            </w:r>
          </w:p>
          <w:p w14:paraId="30267803" w14:textId="77777777" w:rsidR="0086091A" w:rsidRPr="00E70587" w:rsidRDefault="0086091A" w:rsidP="0024137A">
            <w:pPr>
              <w:pStyle w:val="Heading5"/>
              <w:spacing w:before="0" w:after="0" w:line="280" w:lineRule="exact"/>
              <w:jc w:val="both"/>
              <w:rPr>
                <w:rFonts w:ascii="Arial" w:hAnsi="Arial" w:cs="Arial"/>
                <w:b w:val="0"/>
                <w:sz w:val="20"/>
                <w:szCs w:val="20"/>
              </w:rPr>
            </w:pPr>
          </w:p>
          <w:p w14:paraId="4ED6E501" w14:textId="77777777" w:rsidR="0086091A" w:rsidRPr="00E70587" w:rsidRDefault="0086091A" w:rsidP="0024137A">
            <w:pPr>
              <w:pStyle w:val="Heading5"/>
              <w:spacing w:before="0" w:after="0" w:line="280" w:lineRule="exact"/>
              <w:jc w:val="both"/>
              <w:rPr>
                <w:rFonts w:ascii="Arial" w:hAnsi="Arial" w:cs="Arial"/>
                <w:sz w:val="20"/>
                <w:szCs w:val="20"/>
              </w:rPr>
            </w:pPr>
            <w:r w:rsidRPr="00E70587">
              <w:rPr>
                <w:rFonts w:ascii="Arial" w:hAnsi="Arial" w:cs="Arial"/>
                <w:sz w:val="20"/>
                <w:szCs w:val="20"/>
              </w:rPr>
              <w:t>Derivatives not designated as hedging instruments</w:t>
            </w:r>
          </w:p>
          <w:p w14:paraId="251C3001" w14:textId="77777777" w:rsidR="0024137A" w:rsidRPr="00E70587" w:rsidRDefault="0024137A" w:rsidP="0024137A">
            <w:pPr>
              <w:pStyle w:val="Notesbodytext"/>
              <w:spacing w:after="0" w:line="280" w:lineRule="exact"/>
              <w:jc w:val="both"/>
              <w:rPr>
                <w:rFonts w:ascii="Arial" w:hAnsi="Arial"/>
                <w:color w:val="auto"/>
                <w:sz w:val="20"/>
              </w:rPr>
            </w:pPr>
          </w:p>
          <w:p w14:paraId="456A6BA2" w14:textId="77777777" w:rsidR="0086091A" w:rsidRPr="00E70587" w:rsidRDefault="0086091A" w:rsidP="0024137A">
            <w:pPr>
              <w:pStyle w:val="Notesbodytext"/>
              <w:spacing w:after="0" w:line="280" w:lineRule="exact"/>
              <w:jc w:val="both"/>
              <w:rPr>
                <w:rFonts w:ascii="Arial" w:hAnsi="Arial"/>
                <w:color w:val="auto"/>
                <w:sz w:val="20"/>
              </w:rPr>
            </w:pPr>
            <w:r w:rsidRPr="00E70587">
              <w:rPr>
                <w:rFonts w:ascii="Arial" w:hAnsi="Arial"/>
                <w:color w:val="auto"/>
                <w:sz w:val="20"/>
              </w:rPr>
              <w:t>The Group uses foreign currency denominated borrowings and foreign exchange forward contracts to manage some of its transaction exposures. The foreign exchange forward contracts are not designated as cash flow hedges and are entered into for periods consistent with foreign currency exposure of the underlying transactions, generally from one to 24 months.</w:t>
            </w:r>
          </w:p>
          <w:p w14:paraId="1EAFF474" w14:textId="77777777" w:rsidR="0086091A" w:rsidRDefault="0086091A" w:rsidP="0024137A">
            <w:pPr>
              <w:pStyle w:val="Heading5"/>
              <w:spacing w:before="0" w:after="0" w:line="280" w:lineRule="exact"/>
              <w:jc w:val="both"/>
              <w:rPr>
                <w:rFonts w:ascii="Arial" w:hAnsi="Arial" w:cs="Arial"/>
                <w:b w:val="0"/>
                <w:sz w:val="20"/>
                <w:szCs w:val="20"/>
              </w:rPr>
            </w:pPr>
          </w:p>
          <w:p w14:paraId="3CD12402" w14:textId="77777777" w:rsidR="00F047DA" w:rsidRPr="00F047DA" w:rsidRDefault="00F047DA" w:rsidP="00F047DA">
            <w:pPr>
              <w:shd w:val="clear" w:color="auto" w:fill="C1C1C1" w:themeFill="background1" w:themeFillTint="66"/>
              <w:rPr>
                <w:rFonts w:ascii="Arial" w:hAnsi="Arial" w:cs="Arial"/>
                <w:b/>
                <w:bCs/>
                <w:sz w:val="20"/>
                <w:szCs w:val="22"/>
              </w:rPr>
            </w:pPr>
            <w:r w:rsidRPr="00F047DA">
              <w:rPr>
                <w:rFonts w:ascii="Arial" w:hAnsi="Arial" w:cs="Arial"/>
                <w:b/>
                <w:bCs/>
                <w:sz w:val="20"/>
                <w:szCs w:val="22"/>
              </w:rPr>
              <w:t>Author’s Note</w:t>
            </w:r>
          </w:p>
          <w:p w14:paraId="01144691" w14:textId="5FFB0A90" w:rsidR="00F047DA" w:rsidRPr="00F047DA" w:rsidRDefault="00F047DA" w:rsidP="00F047DA">
            <w:pPr>
              <w:shd w:val="clear" w:color="auto" w:fill="C1C1C1" w:themeFill="background1" w:themeFillTint="66"/>
              <w:rPr>
                <w:rFonts w:ascii="Arial" w:hAnsi="Arial" w:cs="Arial"/>
                <w:b/>
                <w:bCs/>
                <w:sz w:val="20"/>
                <w:szCs w:val="22"/>
              </w:rPr>
            </w:pPr>
            <w:r w:rsidRPr="00F047DA">
              <w:rPr>
                <w:rFonts w:ascii="Arial" w:hAnsi="Arial" w:cs="Arial"/>
                <w:b/>
                <w:bCs/>
                <w:sz w:val="20"/>
                <w:szCs w:val="22"/>
              </w:rPr>
              <w:t xml:space="preserve"> </w:t>
            </w:r>
          </w:p>
          <w:p w14:paraId="223B5A51" w14:textId="7FB64B22" w:rsidR="002238A0" w:rsidRDefault="00F047DA" w:rsidP="00F047DA">
            <w:pPr>
              <w:shd w:val="clear" w:color="auto" w:fill="C1C1C1" w:themeFill="background1" w:themeFillTint="66"/>
              <w:rPr>
                <w:rFonts w:ascii="Arial" w:hAnsi="Arial" w:cs="Arial"/>
                <w:sz w:val="20"/>
                <w:szCs w:val="22"/>
              </w:rPr>
            </w:pPr>
            <w:r w:rsidRPr="00F047DA">
              <w:rPr>
                <w:rFonts w:ascii="Arial" w:hAnsi="Arial" w:cs="Arial"/>
                <w:sz w:val="20"/>
                <w:szCs w:val="22"/>
              </w:rPr>
              <w:t>The disclosure requirements for entities applying hedge accounting are set out in Ind</w:t>
            </w:r>
            <w:r w:rsidR="002238A0">
              <w:rPr>
                <w:rFonts w:ascii="Arial" w:hAnsi="Arial" w:cs="Arial"/>
                <w:sz w:val="20"/>
                <w:szCs w:val="22"/>
              </w:rPr>
              <w:t xml:space="preserve"> </w:t>
            </w:r>
            <w:r w:rsidRPr="00F047DA">
              <w:rPr>
                <w:rFonts w:ascii="Arial" w:hAnsi="Arial" w:cs="Arial"/>
                <w:sz w:val="20"/>
                <w:szCs w:val="22"/>
              </w:rPr>
              <w:t>AS 107.21A-24G.</w:t>
            </w:r>
          </w:p>
          <w:p w14:paraId="7BA0109A" w14:textId="77777777" w:rsidR="002238A0" w:rsidRDefault="002238A0" w:rsidP="00F047DA">
            <w:pPr>
              <w:shd w:val="clear" w:color="auto" w:fill="C1C1C1" w:themeFill="background1" w:themeFillTint="66"/>
              <w:rPr>
                <w:rFonts w:ascii="Arial" w:hAnsi="Arial" w:cs="Arial"/>
                <w:sz w:val="20"/>
                <w:szCs w:val="22"/>
              </w:rPr>
            </w:pPr>
          </w:p>
          <w:p w14:paraId="01E3D1AA" w14:textId="46A9EB57" w:rsidR="00F047DA" w:rsidRPr="00F047DA" w:rsidRDefault="00F047DA" w:rsidP="00F047DA">
            <w:pPr>
              <w:shd w:val="clear" w:color="auto" w:fill="C1C1C1" w:themeFill="background1" w:themeFillTint="66"/>
              <w:rPr>
                <w:rFonts w:ascii="Arial" w:hAnsi="Arial" w:cs="Arial"/>
                <w:sz w:val="20"/>
                <w:szCs w:val="22"/>
              </w:rPr>
            </w:pPr>
            <w:r w:rsidRPr="00F047DA">
              <w:rPr>
                <w:rFonts w:ascii="Arial" w:hAnsi="Arial" w:cs="Arial"/>
                <w:sz w:val="20"/>
                <w:szCs w:val="22"/>
              </w:rPr>
              <w:t xml:space="preserve">The objective of the hedge accounting disclosures is for entities to disclose information about: </w:t>
            </w:r>
          </w:p>
          <w:p w14:paraId="1BEF27F3" w14:textId="77777777" w:rsidR="00F047DA" w:rsidRPr="00F047DA" w:rsidRDefault="00F047DA" w:rsidP="00F047DA">
            <w:pPr>
              <w:shd w:val="clear" w:color="auto" w:fill="C1C1C1" w:themeFill="background1" w:themeFillTint="66"/>
              <w:rPr>
                <w:rFonts w:ascii="Arial" w:hAnsi="Arial" w:cs="Arial"/>
                <w:sz w:val="20"/>
                <w:szCs w:val="22"/>
              </w:rPr>
            </w:pPr>
            <w:r w:rsidRPr="00F047DA">
              <w:rPr>
                <w:rFonts w:ascii="Arial" w:hAnsi="Arial" w:cs="Arial"/>
                <w:sz w:val="20"/>
                <w:szCs w:val="22"/>
              </w:rPr>
              <w:lastRenderedPageBreak/>
              <w:t xml:space="preserve">• The risk management strategy and how it is applied to manage risks (Ind AS 107.22A–22C) </w:t>
            </w:r>
          </w:p>
          <w:p w14:paraId="40DC554D" w14:textId="77777777" w:rsidR="00F047DA" w:rsidRPr="00F047DA" w:rsidRDefault="00F047DA" w:rsidP="00F047DA">
            <w:pPr>
              <w:shd w:val="clear" w:color="auto" w:fill="C1C1C1" w:themeFill="background1" w:themeFillTint="66"/>
              <w:rPr>
                <w:rFonts w:ascii="Arial" w:hAnsi="Arial" w:cs="Arial"/>
                <w:sz w:val="20"/>
                <w:szCs w:val="22"/>
              </w:rPr>
            </w:pPr>
            <w:r w:rsidRPr="00F047DA">
              <w:rPr>
                <w:rFonts w:ascii="Arial" w:hAnsi="Arial" w:cs="Arial"/>
                <w:sz w:val="20"/>
                <w:szCs w:val="22"/>
              </w:rPr>
              <w:t xml:space="preserve">• How the risk management activities may affect the amount, timing and uncertainty of future cash flows (Ind AS 107.23A–23F) </w:t>
            </w:r>
          </w:p>
          <w:p w14:paraId="5FC1491E" w14:textId="756AF9CE" w:rsidR="00F047DA" w:rsidRDefault="00F047DA" w:rsidP="00F047DA">
            <w:pPr>
              <w:shd w:val="clear" w:color="auto" w:fill="C1C1C1" w:themeFill="background1" w:themeFillTint="66"/>
              <w:rPr>
                <w:rFonts w:ascii="Arial" w:hAnsi="Arial" w:cs="Arial"/>
                <w:sz w:val="20"/>
                <w:szCs w:val="22"/>
              </w:rPr>
            </w:pPr>
            <w:r w:rsidRPr="00F047DA">
              <w:rPr>
                <w:rFonts w:ascii="Arial" w:hAnsi="Arial" w:cs="Arial"/>
                <w:sz w:val="20"/>
                <w:szCs w:val="22"/>
              </w:rPr>
              <w:t xml:space="preserve">• The effect hedge accounting had on the balance sheet, comprehensive income and the statement of changes in equity (Ind AS 107.24A-24F) </w:t>
            </w:r>
          </w:p>
          <w:p w14:paraId="23FE45E1" w14:textId="77777777" w:rsidR="00F047DA" w:rsidRPr="00F047DA" w:rsidRDefault="00F047DA" w:rsidP="00F047DA">
            <w:pPr>
              <w:shd w:val="clear" w:color="auto" w:fill="C1C1C1" w:themeFill="background1" w:themeFillTint="66"/>
              <w:rPr>
                <w:rFonts w:ascii="Arial" w:hAnsi="Arial" w:cs="Arial"/>
                <w:sz w:val="20"/>
                <w:szCs w:val="22"/>
              </w:rPr>
            </w:pPr>
          </w:p>
          <w:p w14:paraId="151EF9D7" w14:textId="60CC95B9" w:rsidR="00F047DA" w:rsidRDefault="00F047DA" w:rsidP="00F047DA">
            <w:pPr>
              <w:shd w:val="clear" w:color="auto" w:fill="C1C1C1" w:themeFill="background1" w:themeFillTint="66"/>
              <w:rPr>
                <w:rFonts w:ascii="Arial" w:hAnsi="Arial" w:cs="Arial"/>
                <w:sz w:val="20"/>
                <w:szCs w:val="22"/>
              </w:rPr>
            </w:pPr>
            <w:r w:rsidRPr="00F047DA">
              <w:rPr>
                <w:rFonts w:ascii="Arial" w:hAnsi="Arial" w:cs="Arial"/>
                <w:sz w:val="20"/>
                <w:szCs w:val="22"/>
              </w:rPr>
              <w:t xml:space="preserve">In applying this objective, an entity has to consider the necessary level of detail, the balance between different disclosure requirements, the appropriate level of disaggregation and whether additional explanations are necessary to meet the objective. </w:t>
            </w:r>
          </w:p>
          <w:p w14:paraId="2398C38F" w14:textId="77777777" w:rsidR="00F047DA" w:rsidRPr="00F047DA" w:rsidRDefault="00F047DA" w:rsidP="00F047DA">
            <w:pPr>
              <w:shd w:val="clear" w:color="auto" w:fill="C1C1C1" w:themeFill="background1" w:themeFillTint="66"/>
              <w:rPr>
                <w:rFonts w:ascii="Arial" w:hAnsi="Arial" w:cs="Arial"/>
                <w:sz w:val="20"/>
                <w:szCs w:val="22"/>
              </w:rPr>
            </w:pPr>
          </w:p>
          <w:p w14:paraId="17C0E919" w14:textId="36930743" w:rsidR="00657499" w:rsidRDefault="00F047DA" w:rsidP="00F047DA">
            <w:pPr>
              <w:shd w:val="clear" w:color="auto" w:fill="C1C1C1" w:themeFill="background1" w:themeFillTint="66"/>
              <w:rPr>
                <w:rFonts w:ascii="Arial" w:hAnsi="Arial" w:cs="Arial"/>
                <w:sz w:val="20"/>
                <w:szCs w:val="22"/>
              </w:rPr>
            </w:pPr>
            <w:r w:rsidRPr="00F047DA">
              <w:rPr>
                <w:rFonts w:ascii="Arial" w:hAnsi="Arial" w:cs="Arial"/>
                <w:sz w:val="20"/>
                <w:szCs w:val="22"/>
              </w:rPr>
              <w:t>The hedge accounting disclosures should be presented in a single note or a separate section of the financial statements. An entity may include information by cross-referencing to information presented elsewhere, such as a risk report, provided that information is available to users of the financial statements on the same terms as the financial statements and at the same time.</w:t>
            </w:r>
          </w:p>
          <w:p w14:paraId="418A65AA" w14:textId="77777777" w:rsidR="00F047DA" w:rsidRPr="00F047DA" w:rsidRDefault="00F047DA" w:rsidP="00F047DA">
            <w:pPr>
              <w:shd w:val="clear" w:color="auto" w:fill="C1C1C1" w:themeFill="background1" w:themeFillTint="66"/>
              <w:rPr>
                <w:rFonts w:ascii="Arial" w:hAnsi="Arial" w:cs="Arial"/>
                <w:sz w:val="20"/>
                <w:szCs w:val="22"/>
              </w:rPr>
            </w:pPr>
          </w:p>
          <w:p w14:paraId="5EBB1023" w14:textId="77777777" w:rsidR="00657499" w:rsidRPr="00657499" w:rsidRDefault="00657499" w:rsidP="00657499"/>
          <w:p w14:paraId="5F41CE5F" w14:textId="77777777" w:rsidR="0086091A" w:rsidRPr="00E70587" w:rsidRDefault="0086091A" w:rsidP="0024137A">
            <w:pPr>
              <w:pStyle w:val="Heading5"/>
              <w:spacing w:before="0" w:after="0" w:line="280" w:lineRule="exact"/>
              <w:jc w:val="both"/>
              <w:rPr>
                <w:rFonts w:ascii="Arial" w:hAnsi="Arial" w:cs="Arial"/>
                <w:sz w:val="20"/>
                <w:szCs w:val="20"/>
              </w:rPr>
            </w:pPr>
            <w:r w:rsidRPr="00E70587">
              <w:rPr>
                <w:rFonts w:ascii="Arial" w:hAnsi="Arial" w:cs="Arial"/>
                <w:sz w:val="20"/>
                <w:szCs w:val="20"/>
              </w:rPr>
              <w:t>Cash flow hedges</w:t>
            </w:r>
          </w:p>
          <w:p w14:paraId="7A96F03E" w14:textId="77777777" w:rsidR="0024137A" w:rsidRPr="00E70587" w:rsidRDefault="0024137A" w:rsidP="0024137A">
            <w:pPr>
              <w:pStyle w:val="Notesitalicheading"/>
              <w:spacing w:line="280" w:lineRule="exact"/>
              <w:jc w:val="both"/>
              <w:rPr>
                <w:rFonts w:ascii="Arial" w:hAnsi="Arial"/>
                <w:b w:val="0"/>
                <w:i w:val="0"/>
                <w:color w:val="auto"/>
                <w:sz w:val="20"/>
              </w:rPr>
            </w:pPr>
          </w:p>
          <w:p w14:paraId="3DFBF526" w14:textId="77777777" w:rsidR="00703A2F" w:rsidRPr="00BB4E48" w:rsidRDefault="00703A2F" w:rsidP="00703A2F">
            <w:pPr>
              <w:pStyle w:val="Notesitalicheading"/>
              <w:spacing w:line="280" w:lineRule="exact"/>
              <w:jc w:val="both"/>
              <w:rPr>
                <w:rFonts w:ascii="Arial" w:hAnsi="Arial"/>
                <w:i w:val="0"/>
                <w:iCs/>
                <w:color w:val="auto"/>
                <w:sz w:val="20"/>
              </w:rPr>
            </w:pPr>
            <w:r w:rsidRPr="00BB4E48">
              <w:rPr>
                <w:rFonts w:ascii="Arial" w:hAnsi="Arial"/>
                <w:i w:val="0"/>
                <w:iCs/>
                <w:color w:val="auto"/>
                <w:sz w:val="20"/>
              </w:rPr>
              <w:t>Foreign currency risk:</w:t>
            </w:r>
          </w:p>
          <w:p w14:paraId="05F88D66" w14:textId="77777777" w:rsidR="00703A2F" w:rsidRPr="00BB4E48" w:rsidRDefault="00703A2F" w:rsidP="00703A2F">
            <w:pPr>
              <w:pStyle w:val="Notesitalicheading"/>
              <w:spacing w:line="280" w:lineRule="exact"/>
              <w:jc w:val="both"/>
              <w:rPr>
                <w:rFonts w:ascii="Arial" w:hAnsi="Arial"/>
                <w:b w:val="0"/>
                <w:bCs/>
                <w:i w:val="0"/>
                <w:iCs/>
                <w:color w:val="auto"/>
                <w:sz w:val="20"/>
              </w:rPr>
            </w:pPr>
            <w:r w:rsidRPr="00BB4E48">
              <w:rPr>
                <w:rFonts w:ascii="Arial" w:hAnsi="Arial"/>
                <w:b w:val="0"/>
                <w:bCs/>
                <w:i w:val="0"/>
                <w:iCs/>
                <w:color w:val="auto"/>
                <w:sz w:val="20"/>
              </w:rPr>
              <w:t xml:space="preserve">Foreign exchange forward contracts are designated as hedging instruments in cash flow hedges of forecast sales in US dollar and forecast purchases in GBP. These forecast transactions are highly probable, and they comprise about 25% of the Group’s total expected sales in US dollars and about 65% of its total expected purchases in GBP. The foreign exchange forward contract balances vary with the level of expected foreign currency sales and purchases and changes in foreign exchange forward rates. </w:t>
            </w:r>
          </w:p>
          <w:p w14:paraId="2B552652" w14:textId="77777777" w:rsidR="00703A2F" w:rsidRPr="00BB4E48" w:rsidRDefault="00703A2F" w:rsidP="00703A2F">
            <w:pPr>
              <w:pStyle w:val="Notesitalicheading"/>
              <w:spacing w:line="280" w:lineRule="exact"/>
              <w:jc w:val="both"/>
              <w:rPr>
                <w:rFonts w:ascii="Arial" w:hAnsi="Arial"/>
                <w:b w:val="0"/>
                <w:bCs/>
                <w:i w:val="0"/>
                <w:iCs/>
                <w:color w:val="auto"/>
                <w:sz w:val="20"/>
              </w:rPr>
            </w:pPr>
          </w:p>
          <w:p w14:paraId="7CABEE54" w14:textId="77777777" w:rsidR="00703A2F" w:rsidRPr="00BB4E48" w:rsidRDefault="00703A2F" w:rsidP="00703A2F">
            <w:pPr>
              <w:pStyle w:val="Notesitalicheading"/>
              <w:spacing w:line="280" w:lineRule="exact"/>
              <w:jc w:val="both"/>
              <w:rPr>
                <w:rFonts w:ascii="Arial" w:hAnsi="Arial"/>
                <w:i w:val="0"/>
                <w:iCs/>
                <w:color w:val="auto"/>
                <w:sz w:val="20"/>
              </w:rPr>
            </w:pPr>
            <w:r w:rsidRPr="00BB4E48">
              <w:rPr>
                <w:rFonts w:ascii="Arial" w:hAnsi="Arial"/>
                <w:i w:val="0"/>
                <w:iCs/>
                <w:color w:val="auto"/>
                <w:sz w:val="20"/>
              </w:rPr>
              <w:t>Commodity price risk:</w:t>
            </w:r>
          </w:p>
          <w:p w14:paraId="6AE304D9" w14:textId="77777777" w:rsidR="00703A2F" w:rsidRPr="00BB4E48" w:rsidRDefault="00703A2F" w:rsidP="00703A2F">
            <w:pPr>
              <w:pStyle w:val="Notesitalicheading"/>
              <w:spacing w:line="280" w:lineRule="exact"/>
              <w:jc w:val="both"/>
              <w:rPr>
                <w:rFonts w:ascii="Arial" w:hAnsi="Arial"/>
                <w:b w:val="0"/>
                <w:bCs/>
                <w:i w:val="0"/>
                <w:iCs/>
                <w:color w:val="auto"/>
                <w:sz w:val="20"/>
              </w:rPr>
            </w:pPr>
          </w:p>
          <w:p w14:paraId="223DEE3F" w14:textId="77777777" w:rsidR="00703A2F" w:rsidRPr="00BB4E48" w:rsidRDefault="00703A2F" w:rsidP="00703A2F">
            <w:pPr>
              <w:pStyle w:val="Notesitalicheading"/>
              <w:spacing w:line="280" w:lineRule="exact"/>
              <w:jc w:val="both"/>
              <w:rPr>
                <w:rFonts w:ascii="Arial" w:hAnsi="Arial"/>
                <w:b w:val="0"/>
                <w:bCs/>
                <w:i w:val="0"/>
                <w:iCs/>
                <w:color w:val="auto"/>
                <w:sz w:val="20"/>
              </w:rPr>
            </w:pPr>
            <w:r w:rsidRPr="00BB4E48">
              <w:rPr>
                <w:rFonts w:ascii="Arial" w:hAnsi="Arial"/>
                <w:b w:val="0"/>
                <w:bCs/>
                <w:i w:val="0"/>
                <w:iCs/>
                <w:color w:val="auto"/>
                <w:sz w:val="20"/>
              </w:rPr>
              <w:t xml:space="preserve">The Group purchases copper on an ongoing basis as its operating activities in the electronic division require a continuous supply of copper for the production of its electronic devices. The increased volatility in copper price over the past 12 months has led to the decision to enter into commodity forward contracts. </w:t>
            </w:r>
          </w:p>
          <w:p w14:paraId="3D466AC0" w14:textId="4A3C51DF" w:rsidR="00703A2F" w:rsidRPr="00BB4E48" w:rsidRDefault="00703A2F" w:rsidP="00703A2F">
            <w:pPr>
              <w:pStyle w:val="Notesitalicheading"/>
              <w:spacing w:line="280" w:lineRule="exact"/>
              <w:jc w:val="both"/>
              <w:rPr>
                <w:rFonts w:ascii="Arial" w:hAnsi="Arial"/>
                <w:b w:val="0"/>
                <w:bCs/>
                <w:i w:val="0"/>
                <w:iCs/>
                <w:color w:val="auto"/>
                <w:sz w:val="20"/>
              </w:rPr>
            </w:pPr>
            <w:r w:rsidRPr="00BB4E48">
              <w:rPr>
                <w:rFonts w:ascii="Arial" w:hAnsi="Arial"/>
                <w:b w:val="0"/>
                <w:bCs/>
                <w:i w:val="0"/>
                <w:iCs/>
                <w:color w:val="auto"/>
                <w:sz w:val="20"/>
              </w:rPr>
              <w:t>These contracts, which commenced on 1 July 20</w:t>
            </w:r>
            <w:r w:rsidR="00B51060">
              <w:rPr>
                <w:rFonts w:ascii="Arial" w:hAnsi="Arial"/>
                <w:b w:val="0"/>
                <w:bCs/>
                <w:i w:val="0"/>
                <w:iCs/>
                <w:color w:val="auto"/>
                <w:sz w:val="20"/>
              </w:rPr>
              <w:t>20</w:t>
            </w:r>
            <w:r w:rsidRPr="00BB4E48">
              <w:rPr>
                <w:rFonts w:ascii="Arial" w:hAnsi="Arial"/>
                <w:b w:val="0"/>
                <w:bCs/>
                <w:i w:val="0"/>
                <w:iCs/>
                <w:color w:val="auto"/>
                <w:sz w:val="20"/>
              </w:rPr>
              <w:t>, are expected to reduce the volatility attributable to price fluctuations of copper. Hedging the price volatility of forecast copper purchases is in accordance with the risk management strategy outlined by the Board of Directors.</w:t>
            </w:r>
          </w:p>
          <w:p w14:paraId="53A423D5" w14:textId="77777777" w:rsidR="00703A2F" w:rsidRDefault="00703A2F" w:rsidP="0024137A">
            <w:pPr>
              <w:pStyle w:val="Notesitalicheading"/>
              <w:spacing w:line="280" w:lineRule="exact"/>
              <w:jc w:val="both"/>
              <w:rPr>
                <w:rFonts w:ascii="Arial" w:hAnsi="Arial"/>
                <w:color w:val="auto"/>
                <w:sz w:val="20"/>
              </w:rPr>
            </w:pPr>
          </w:p>
          <w:p w14:paraId="0E7F71D8" w14:textId="09A26551" w:rsidR="0068610B" w:rsidRDefault="0068610B" w:rsidP="0068610B">
            <w:pPr>
              <w:rPr>
                <w:rFonts w:ascii="Arial" w:hAnsi="Arial" w:cs="Arial"/>
                <w:sz w:val="20"/>
                <w:szCs w:val="22"/>
              </w:rPr>
            </w:pPr>
            <w:r w:rsidRPr="0068610B">
              <w:rPr>
                <w:rFonts w:ascii="Arial" w:hAnsi="Arial" w:cs="Arial"/>
                <w:sz w:val="20"/>
                <w:szCs w:val="22"/>
              </w:rPr>
              <w:t xml:space="preserve">There is an economic relationship between the hedged items and the hedging instruments as the terms of the foreign exchange and commodity forward contracts match the terms of the expected highly probable forecast transactions (i.e., notional amount and expected payment date). The Group has established a hedge ratio of 1:1 for the hedging relationships as the underlying risk of the foreign exchange and commodity forward contracts are identical to the hedged risk components. To test the hedge effectiveness, the Group uses the hypothetical derivative method and compares the changes in the fair value of the hedging instruments against the changes in fair value of the hedged items attributable to the hedged risks. </w:t>
            </w:r>
          </w:p>
          <w:p w14:paraId="361590E5" w14:textId="77777777" w:rsidR="0068610B" w:rsidRPr="0068610B" w:rsidRDefault="0068610B" w:rsidP="0068610B">
            <w:pPr>
              <w:rPr>
                <w:rFonts w:ascii="Arial" w:hAnsi="Arial" w:cs="Arial"/>
                <w:sz w:val="20"/>
                <w:szCs w:val="22"/>
              </w:rPr>
            </w:pPr>
          </w:p>
          <w:p w14:paraId="4A3F1414" w14:textId="77777777" w:rsidR="0068610B" w:rsidRPr="0068610B" w:rsidRDefault="0068610B" w:rsidP="0068610B">
            <w:pPr>
              <w:rPr>
                <w:rFonts w:ascii="Arial" w:hAnsi="Arial" w:cs="Arial"/>
                <w:sz w:val="20"/>
                <w:szCs w:val="22"/>
              </w:rPr>
            </w:pPr>
            <w:r w:rsidRPr="0068610B">
              <w:rPr>
                <w:rFonts w:ascii="Arial" w:hAnsi="Arial" w:cs="Arial"/>
                <w:sz w:val="20"/>
                <w:szCs w:val="22"/>
              </w:rPr>
              <w:t xml:space="preserve">The hedge ineffectiveness can arise from: </w:t>
            </w:r>
          </w:p>
          <w:p w14:paraId="70F22E56" w14:textId="77777777" w:rsidR="0068610B" w:rsidRPr="0068610B" w:rsidRDefault="0068610B" w:rsidP="0068610B">
            <w:pPr>
              <w:pStyle w:val="ListParagraph"/>
              <w:numPr>
                <w:ilvl w:val="0"/>
                <w:numId w:val="54"/>
              </w:numPr>
              <w:overflowPunct/>
              <w:autoSpaceDE/>
              <w:autoSpaceDN/>
              <w:adjustRightInd/>
              <w:spacing w:after="160" w:line="259" w:lineRule="auto"/>
              <w:textAlignment w:val="auto"/>
              <w:rPr>
                <w:rFonts w:ascii="Arial" w:hAnsi="Arial" w:cs="Arial"/>
                <w:sz w:val="20"/>
                <w:szCs w:val="22"/>
              </w:rPr>
            </w:pPr>
            <w:r w:rsidRPr="0068610B">
              <w:rPr>
                <w:rFonts w:ascii="Arial" w:hAnsi="Arial" w:cs="Arial"/>
                <w:sz w:val="20"/>
                <w:szCs w:val="22"/>
              </w:rPr>
              <w:t xml:space="preserve">Differences in the timing of the cash flows of the hedged items and the hedging instruments </w:t>
            </w:r>
          </w:p>
          <w:p w14:paraId="15E888BD" w14:textId="77777777" w:rsidR="0068610B" w:rsidRPr="0068610B" w:rsidRDefault="0068610B" w:rsidP="0068610B">
            <w:pPr>
              <w:pStyle w:val="ListParagraph"/>
              <w:numPr>
                <w:ilvl w:val="0"/>
                <w:numId w:val="54"/>
              </w:numPr>
              <w:overflowPunct/>
              <w:autoSpaceDE/>
              <w:autoSpaceDN/>
              <w:adjustRightInd/>
              <w:spacing w:after="160" w:line="259" w:lineRule="auto"/>
              <w:textAlignment w:val="auto"/>
              <w:rPr>
                <w:rFonts w:ascii="Arial" w:hAnsi="Arial" w:cs="Arial"/>
                <w:sz w:val="20"/>
                <w:szCs w:val="22"/>
              </w:rPr>
            </w:pPr>
            <w:r w:rsidRPr="0068610B">
              <w:rPr>
                <w:rFonts w:ascii="Arial" w:hAnsi="Arial" w:cs="Arial"/>
                <w:sz w:val="20"/>
                <w:szCs w:val="22"/>
              </w:rPr>
              <w:t xml:space="preserve">Different indexes (and accordingly different curves) linked to the hedged risk of the hedged items and hedging instruments </w:t>
            </w:r>
          </w:p>
          <w:p w14:paraId="14D278EE" w14:textId="3D76365B" w:rsidR="0068610B" w:rsidRDefault="0068610B" w:rsidP="0068610B">
            <w:pPr>
              <w:pStyle w:val="ListParagraph"/>
              <w:numPr>
                <w:ilvl w:val="0"/>
                <w:numId w:val="54"/>
              </w:numPr>
              <w:overflowPunct/>
              <w:autoSpaceDE/>
              <w:autoSpaceDN/>
              <w:adjustRightInd/>
              <w:spacing w:after="160" w:line="259" w:lineRule="auto"/>
              <w:textAlignment w:val="auto"/>
              <w:rPr>
                <w:rFonts w:ascii="Arial" w:hAnsi="Arial" w:cs="Arial"/>
                <w:sz w:val="20"/>
                <w:szCs w:val="22"/>
              </w:rPr>
            </w:pPr>
            <w:r w:rsidRPr="0068610B">
              <w:rPr>
                <w:rFonts w:ascii="Arial" w:hAnsi="Arial" w:cs="Arial"/>
                <w:sz w:val="20"/>
                <w:szCs w:val="22"/>
              </w:rPr>
              <w:t xml:space="preserve">The counterparties’ credit risk differently impacting the fair value movements of the hedging instruments and hedged items </w:t>
            </w:r>
          </w:p>
          <w:p w14:paraId="7B10247C" w14:textId="29D800E8" w:rsidR="00833659" w:rsidRDefault="00833659" w:rsidP="0068610B">
            <w:pPr>
              <w:pStyle w:val="ListParagraph"/>
              <w:numPr>
                <w:ilvl w:val="0"/>
                <w:numId w:val="54"/>
              </w:numPr>
              <w:overflowPunct/>
              <w:autoSpaceDE/>
              <w:autoSpaceDN/>
              <w:adjustRightInd/>
              <w:spacing w:after="160" w:line="259" w:lineRule="auto"/>
              <w:textAlignment w:val="auto"/>
              <w:rPr>
                <w:rFonts w:ascii="Arial" w:hAnsi="Arial" w:cs="Arial"/>
                <w:sz w:val="20"/>
                <w:szCs w:val="22"/>
              </w:rPr>
            </w:pPr>
            <w:r w:rsidRPr="00833659">
              <w:rPr>
                <w:rFonts w:ascii="Arial" w:hAnsi="Arial" w:cs="Arial"/>
                <w:sz w:val="20"/>
                <w:szCs w:val="22"/>
              </w:rPr>
              <w:t>Changes to the forecasted amount of cash flows of hedged items and hedging instruments</w:t>
            </w:r>
          </w:p>
          <w:p w14:paraId="5EA78564" w14:textId="29EA39DC" w:rsidR="00833659" w:rsidRPr="00833659" w:rsidRDefault="00833659" w:rsidP="00833659">
            <w:pPr>
              <w:overflowPunct/>
              <w:autoSpaceDE/>
              <w:autoSpaceDN/>
              <w:adjustRightInd/>
              <w:spacing w:after="160" w:line="259" w:lineRule="auto"/>
              <w:textAlignment w:val="auto"/>
              <w:rPr>
                <w:rFonts w:ascii="Arial" w:hAnsi="Arial" w:cs="Arial"/>
                <w:sz w:val="20"/>
                <w:szCs w:val="22"/>
              </w:rPr>
            </w:pPr>
            <w:r w:rsidRPr="00833659">
              <w:rPr>
                <w:rFonts w:ascii="Arial" w:hAnsi="Arial" w:cs="Arial"/>
                <w:sz w:val="20"/>
                <w:szCs w:val="22"/>
              </w:rPr>
              <w:t>The Group is holding the following foreign exchange and commodity forward contracts:</w:t>
            </w:r>
          </w:p>
          <w:tbl>
            <w:tblPr>
              <w:tblW w:w="9876" w:type="dxa"/>
              <w:tblLook w:val="04A0" w:firstRow="1" w:lastRow="0" w:firstColumn="1" w:lastColumn="0" w:noHBand="0" w:noVBand="1"/>
            </w:tblPr>
            <w:tblGrid>
              <w:gridCol w:w="3666"/>
              <w:gridCol w:w="1100"/>
              <w:gridCol w:w="1100"/>
              <w:gridCol w:w="1100"/>
              <w:gridCol w:w="1000"/>
              <w:gridCol w:w="1000"/>
              <w:gridCol w:w="910"/>
            </w:tblGrid>
            <w:tr w:rsidR="00833659" w:rsidRPr="00833659" w14:paraId="72D338C6" w14:textId="77777777" w:rsidTr="002E7B6F">
              <w:trPr>
                <w:trHeight w:val="20"/>
              </w:trPr>
              <w:tc>
                <w:tcPr>
                  <w:tcW w:w="3666" w:type="dxa"/>
                  <w:tcBorders>
                    <w:top w:val="nil"/>
                    <w:left w:val="nil"/>
                    <w:bottom w:val="nil"/>
                    <w:right w:val="nil"/>
                  </w:tcBorders>
                  <w:shd w:val="clear" w:color="auto" w:fill="auto"/>
                  <w:noWrap/>
                  <w:vAlign w:val="bottom"/>
                </w:tcPr>
                <w:p w14:paraId="7BEBA29A" w14:textId="77777777" w:rsidR="00833659" w:rsidRPr="00833659" w:rsidRDefault="00833659" w:rsidP="00833659">
                  <w:pPr>
                    <w:spacing w:line="240" w:lineRule="exact"/>
                    <w:contextualSpacing/>
                    <w:rPr>
                      <w:rFonts w:ascii="Arial" w:hAnsi="Arial" w:cs="Arial"/>
                      <w:b/>
                      <w:sz w:val="20"/>
                      <w:lang w:eastAsia="en-IN"/>
                    </w:rPr>
                  </w:pPr>
                </w:p>
              </w:tc>
              <w:tc>
                <w:tcPr>
                  <w:tcW w:w="6210" w:type="dxa"/>
                  <w:gridSpan w:val="6"/>
                  <w:tcBorders>
                    <w:top w:val="single" w:sz="4" w:space="0" w:color="auto"/>
                    <w:left w:val="nil"/>
                    <w:bottom w:val="single" w:sz="4" w:space="0" w:color="auto"/>
                    <w:right w:val="nil"/>
                  </w:tcBorders>
                  <w:shd w:val="clear" w:color="auto" w:fill="auto"/>
                  <w:vAlign w:val="center"/>
                </w:tcPr>
                <w:p w14:paraId="19C9EE9A" w14:textId="77777777" w:rsidR="00833659" w:rsidRPr="00833659" w:rsidRDefault="00833659" w:rsidP="00833659">
                  <w:pPr>
                    <w:spacing w:line="240" w:lineRule="exact"/>
                    <w:contextualSpacing/>
                    <w:jc w:val="center"/>
                    <w:rPr>
                      <w:rFonts w:ascii="Arial" w:hAnsi="Arial" w:cs="Arial"/>
                      <w:b/>
                      <w:sz w:val="20"/>
                      <w:lang w:eastAsia="en-IN"/>
                    </w:rPr>
                  </w:pPr>
                  <w:r w:rsidRPr="00833659">
                    <w:rPr>
                      <w:rFonts w:ascii="Arial" w:hAnsi="Arial" w:cs="Arial"/>
                      <w:b/>
                      <w:sz w:val="20"/>
                      <w:lang w:eastAsia="en-IN"/>
                    </w:rPr>
                    <w:t>Maturity</w:t>
                  </w:r>
                </w:p>
              </w:tc>
            </w:tr>
            <w:tr w:rsidR="00833659" w:rsidRPr="00833659" w14:paraId="6C102E15" w14:textId="77777777" w:rsidTr="002E7B6F">
              <w:trPr>
                <w:trHeight w:val="20"/>
              </w:trPr>
              <w:tc>
                <w:tcPr>
                  <w:tcW w:w="3666" w:type="dxa"/>
                  <w:tcBorders>
                    <w:top w:val="nil"/>
                    <w:left w:val="nil"/>
                    <w:bottom w:val="nil"/>
                    <w:right w:val="nil"/>
                  </w:tcBorders>
                  <w:shd w:val="clear" w:color="auto" w:fill="auto"/>
                  <w:noWrap/>
                  <w:vAlign w:val="bottom"/>
                  <w:hideMark/>
                </w:tcPr>
                <w:p w14:paraId="2C35F1ED" w14:textId="77777777" w:rsidR="00833659" w:rsidRPr="00833659" w:rsidRDefault="00833659" w:rsidP="00833659">
                  <w:pPr>
                    <w:spacing w:line="240" w:lineRule="exact"/>
                    <w:contextualSpacing/>
                    <w:rPr>
                      <w:rFonts w:ascii="Arial" w:hAnsi="Arial" w:cs="Arial"/>
                      <w:b/>
                      <w:sz w:val="20"/>
                      <w:lang w:eastAsia="en-IN"/>
                    </w:rPr>
                  </w:pPr>
                </w:p>
              </w:tc>
              <w:tc>
                <w:tcPr>
                  <w:tcW w:w="1100" w:type="dxa"/>
                  <w:tcBorders>
                    <w:top w:val="single" w:sz="4" w:space="0" w:color="auto"/>
                    <w:left w:val="nil"/>
                    <w:bottom w:val="single" w:sz="4" w:space="0" w:color="auto"/>
                    <w:right w:val="nil"/>
                  </w:tcBorders>
                  <w:shd w:val="clear" w:color="auto" w:fill="auto"/>
                  <w:vAlign w:val="center"/>
                  <w:hideMark/>
                </w:tcPr>
                <w:p w14:paraId="2C8EDD73" w14:textId="77777777" w:rsidR="00833659" w:rsidRPr="00833659" w:rsidRDefault="00833659" w:rsidP="00833659">
                  <w:pPr>
                    <w:spacing w:line="240" w:lineRule="exact"/>
                    <w:contextualSpacing/>
                    <w:jc w:val="center"/>
                    <w:rPr>
                      <w:rFonts w:ascii="Arial" w:hAnsi="Arial" w:cs="Arial"/>
                      <w:b/>
                      <w:sz w:val="20"/>
                      <w:lang w:eastAsia="en-IN"/>
                    </w:rPr>
                  </w:pPr>
                  <w:r w:rsidRPr="00833659">
                    <w:rPr>
                      <w:rFonts w:ascii="Arial" w:hAnsi="Arial" w:cs="Arial"/>
                      <w:b/>
                      <w:sz w:val="20"/>
                      <w:lang w:eastAsia="en-IN"/>
                    </w:rPr>
                    <w:t>Less than 1 month</w:t>
                  </w:r>
                </w:p>
              </w:tc>
              <w:tc>
                <w:tcPr>
                  <w:tcW w:w="1100" w:type="dxa"/>
                  <w:tcBorders>
                    <w:top w:val="single" w:sz="4" w:space="0" w:color="auto"/>
                    <w:left w:val="nil"/>
                    <w:bottom w:val="single" w:sz="4" w:space="0" w:color="auto"/>
                    <w:right w:val="nil"/>
                  </w:tcBorders>
                  <w:shd w:val="clear" w:color="auto" w:fill="auto"/>
                  <w:vAlign w:val="center"/>
                  <w:hideMark/>
                </w:tcPr>
                <w:p w14:paraId="7FD26222" w14:textId="77777777" w:rsidR="00833659" w:rsidRPr="00833659" w:rsidRDefault="00833659" w:rsidP="00833659">
                  <w:pPr>
                    <w:spacing w:line="240" w:lineRule="exact"/>
                    <w:contextualSpacing/>
                    <w:jc w:val="center"/>
                    <w:rPr>
                      <w:rFonts w:ascii="Arial" w:hAnsi="Arial" w:cs="Arial"/>
                      <w:b/>
                      <w:sz w:val="20"/>
                      <w:lang w:eastAsia="en-IN"/>
                    </w:rPr>
                  </w:pPr>
                  <w:r w:rsidRPr="00833659">
                    <w:rPr>
                      <w:rFonts w:ascii="Arial" w:hAnsi="Arial" w:cs="Arial"/>
                      <w:b/>
                      <w:sz w:val="20"/>
                      <w:lang w:eastAsia="en-IN"/>
                    </w:rPr>
                    <w:t>1 to 3 months</w:t>
                  </w:r>
                </w:p>
              </w:tc>
              <w:tc>
                <w:tcPr>
                  <w:tcW w:w="1100" w:type="dxa"/>
                  <w:tcBorders>
                    <w:top w:val="single" w:sz="4" w:space="0" w:color="auto"/>
                    <w:left w:val="nil"/>
                    <w:bottom w:val="single" w:sz="4" w:space="0" w:color="auto"/>
                    <w:right w:val="nil"/>
                  </w:tcBorders>
                  <w:shd w:val="clear" w:color="auto" w:fill="auto"/>
                  <w:vAlign w:val="center"/>
                  <w:hideMark/>
                </w:tcPr>
                <w:p w14:paraId="450BBEFE" w14:textId="77777777" w:rsidR="00833659" w:rsidRPr="00833659" w:rsidRDefault="00833659" w:rsidP="00833659">
                  <w:pPr>
                    <w:spacing w:line="240" w:lineRule="exact"/>
                    <w:contextualSpacing/>
                    <w:jc w:val="center"/>
                    <w:rPr>
                      <w:rFonts w:ascii="Arial" w:hAnsi="Arial" w:cs="Arial"/>
                      <w:b/>
                      <w:sz w:val="20"/>
                      <w:lang w:eastAsia="en-IN"/>
                    </w:rPr>
                  </w:pPr>
                  <w:r w:rsidRPr="00833659">
                    <w:rPr>
                      <w:rFonts w:ascii="Arial" w:hAnsi="Arial" w:cs="Arial"/>
                      <w:b/>
                      <w:sz w:val="20"/>
                      <w:lang w:eastAsia="en-IN"/>
                    </w:rPr>
                    <w:t>3 to 6 months</w:t>
                  </w:r>
                </w:p>
              </w:tc>
              <w:tc>
                <w:tcPr>
                  <w:tcW w:w="1000" w:type="dxa"/>
                  <w:tcBorders>
                    <w:top w:val="single" w:sz="4" w:space="0" w:color="auto"/>
                    <w:left w:val="nil"/>
                    <w:bottom w:val="single" w:sz="4" w:space="0" w:color="auto"/>
                    <w:right w:val="nil"/>
                  </w:tcBorders>
                  <w:shd w:val="clear" w:color="auto" w:fill="auto"/>
                  <w:vAlign w:val="center"/>
                  <w:hideMark/>
                </w:tcPr>
                <w:p w14:paraId="6EAAEDDD" w14:textId="77777777" w:rsidR="00833659" w:rsidRPr="00833659" w:rsidRDefault="00833659" w:rsidP="00833659">
                  <w:pPr>
                    <w:spacing w:line="240" w:lineRule="exact"/>
                    <w:contextualSpacing/>
                    <w:jc w:val="center"/>
                    <w:rPr>
                      <w:rFonts w:ascii="Arial" w:hAnsi="Arial" w:cs="Arial"/>
                      <w:b/>
                      <w:sz w:val="20"/>
                      <w:lang w:eastAsia="en-IN"/>
                    </w:rPr>
                  </w:pPr>
                  <w:r w:rsidRPr="00833659">
                    <w:rPr>
                      <w:rFonts w:ascii="Arial" w:hAnsi="Arial" w:cs="Arial"/>
                      <w:b/>
                      <w:sz w:val="20"/>
                      <w:lang w:eastAsia="en-IN"/>
                    </w:rPr>
                    <w:t>6 to 9 months</w:t>
                  </w:r>
                </w:p>
              </w:tc>
              <w:tc>
                <w:tcPr>
                  <w:tcW w:w="1000" w:type="dxa"/>
                  <w:tcBorders>
                    <w:top w:val="single" w:sz="4" w:space="0" w:color="auto"/>
                    <w:left w:val="nil"/>
                    <w:bottom w:val="single" w:sz="4" w:space="0" w:color="auto"/>
                    <w:right w:val="nil"/>
                  </w:tcBorders>
                  <w:shd w:val="clear" w:color="auto" w:fill="auto"/>
                  <w:vAlign w:val="center"/>
                  <w:hideMark/>
                </w:tcPr>
                <w:p w14:paraId="2E741E17" w14:textId="77777777" w:rsidR="00833659" w:rsidRPr="00833659" w:rsidRDefault="00833659" w:rsidP="00833659">
                  <w:pPr>
                    <w:spacing w:line="240" w:lineRule="exact"/>
                    <w:contextualSpacing/>
                    <w:jc w:val="center"/>
                    <w:rPr>
                      <w:rFonts w:ascii="Arial" w:hAnsi="Arial" w:cs="Arial"/>
                      <w:b/>
                      <w:sz w:val="20"/>
                      <w:lang w:eastAsia="en-IN"/>
                    </w:rPr>
                  </w:pPr>
                  <w:r w:rsidRPr="00833659">
                    <w:rPr>
                      <w:rFonts w:ascii="Arial" w:hAnsi="Arial" w:cs="Arial"/>
                      <w:b/>
                      <w:sz w:val="20"/>
                      <w:lang w:eastAsia="en-IN"/>
                    </w:rPr>
                    <w:t>9 to 12 months</w:t>
                  </w:r>
                </w:p>
              </w:tc>
              <w:tc>
                <w:tcPr>
                  <w:tcW w:w="910" w:type="dxa"/>
                  <w:tcBorders>
                    <w:top w:val="single" w:sz="4" w:space="0" w:color="auto"/>
                    <w:left w:val="nil"/>
                    <w:bottom w:val="single" w:sz="4" w:space="0" w:color="auto"/>
                    <w:right w:val="nil"/>
                  </w:tcBorders>
                  <w:shd w:val="clear" w:color="auto" w:fill="auto"/>
                  <w:vAlign w:val="center"/>
                  <w:hideMark/>
                </w:tcPr>
                <w:p w14:paraId="37B313ED" w14:textId="77777777" w:rsidR="00833659" w:rsidRPr="00833659" w:rsidRDefault="00833659" w:rsidP="00833659">
                  <w:pPr>
                    <w:spacing w:line="240" w:lineRule="exact"/>
                    <w:contextualSpacing/>
                    <w:jc w:val="center"/>
                    <w:rPr>
                      <w:rFonts w:ascii="Arial" w:hAnsi="Arial" w:cs="Arial"/>
                      <w:b/>
                      <w:sz w:val="20"/>
                      <w:lang w:eastAsia="en-IN"/>
                    </w:rPr>
                  </w:pPr>
                  <w:r w:rsidRPr="00833659">
                    <w:rPr>
                      <w:rFonts w:ascii="Arial" w:hAnsi="Arial" w:cs="Arial"/>
                      <w:b/>
                      <w:sz w:val="20"/>
                      <w:lang w:eastAsia="en-IN"/>
                    </w:rPr>
                    <w:t>Total</w:t>
                  </w:r>
                </w:p>
              </w:tc>
            </w:tr>
            <w:tr w:rsidR="00833659" w:rsidRPr="00833659" w14:paraId="1A47972E" w14:textId="77777777" w:rsidTr="002E7B6F">
              <w:trPr>
                <w:trHeight w:val="20"/>
              </w:trPr>
              <w:tc>
                <w:tcPr>
                  <w:tcW w:w="3666" w:type="dxa"/>
                  <w:tcBorders>
                    <w:top w:val="nil"/>
                    <w:left w:val="nil"/>
                    <w:bottom w:val="nil"/>
                    <w:right w:val="nil"/>
                  </w:tcBorders>
                  <w:shd w:val="clear" w:color="auto" w:fill="auto"/>
                  <w:noWrap/>
                  <w:vAlign w:val="bottom"/>
                  <w:hideMark/>
                </w:tcPr>
                <w:p w14:paraId="43C4C44E" w14:textId="7F57FAEC" w:rsidR="00833659" w:rsidRPr="00833659" w:rsidRDefault="00833659" w:rsidP="00833659">
                  <w:pPr>
                    <w:spacing w:line="240" w:lineRule="exact"/>
                    <w:contextualSpacing/>
                    <w:rPr>
                      <w:rFonts w:ascii="Arial" w:hAnsi="Arial" w:cs="Arial"/>
                      <w:b/>
                      <w:bCs/>
                      <w:sz w:val="20"/>
                      <w:lang w:eastAsia="en-IN"/>
                    </w:rPr>
                  </w:pPr>
                  <w:r w:rsidRPr="00833659">
                    <w:rPr>
                      <w:rFonts w:ascii="Arial" w:hAnsi="Arial" w:cs="Arial"/>
                      <w:b/>
                      <w:bCs/>
                      <w:sz w:val="20"/>
                      <w:lang w:eastAsia="en-IN"/>
                    </w:rPr>
                    <w:t>At 31 March 202</w:t>
                  </w:r>
                  <w:r w:rsidR="00041B84">
                    <w:rPr>
                      <w:rFonts w:ascii="Arial" w:hAnsi="Arial" w:cs="Arial"/>
                      <w:b/>
                      <w:bCs/>
                      <w:sz w:val="20"/>
                      <w:lang w:eastAsia="en-IN"/>
                    </w:rPr>
                    <w:t>1</w:t>
                  </w:r>
                </w:p>
              </w:tc>
              <w:tc>
                <w:tcPr>
                  <w:tcW w:w="1100" w:type="dxa"/>
                  <w:tcBorders>
                    <w:top w:val="nil"/>
                    <w:left w:val="nil"/>
                    <w:bottom w:val="nil"/>
                    <w:right w:val="nil"/>
                  </w:tcBorders>
                  <w:shd w:val="clear" w:color="auto" w:fill="auto"/>
                  <w:noWrap/>
                  <w:vAlign w:val="center"/>
                  <w:hideMark/>
                </w:tcPr>
                <w:p w14:paraId="6EABB4BB" w14:textId="77777777" w:rsidR="00833659" w:rsidRPr="00833659" w:rsidRDefault="00833659" w:rsidP="00833659">
                  <w:pPr>
                    <w:spacing w:line="240" w:lineRule="exact"/>
                    <w:contextualSpacing/>
                    <w:jc w:val="right"/>
                    <w:rPr>
                      <w:rFonts w:ascii="Arial" w:hAnsi="Arial" w:cs="Arial"/>
                      <w:b/>
                      <w:bCs/>
                      <w:sz w:val="20"/>
                      <w:lang w:eastAsia="en-IN"/>
                    </w:rPr>
                  </w:pPr>
                </w:p>
              </w:tc>
              <w:tc>
                <w:tcPr>
                  <w:tcW w:w="1100" w:type="dxa"/>
                  <w:tcBorders>
                    <w:top w:val="nil"/>
                    <w:left w:val="nil"/>
                    <w:bottom w:val="nil"/>
                    <w:right w:val="nil"/>
                  </w:tcBorders>
                  <w:shd w:val="clear" w:color="auto" w:fill="auto"/>
                  <w:noWrap/>
                  <w:vAlign w:val="center"/>
                  <w:hideMark/>
                </w:tcPr>
                <w:p w14:paraId="4C416650" w14:textId="77777777" w:rsidR="00833659" w:rsidRPr="00833659" w:rsidRDefault="00833659" w:rsidP="00833659">
                  <w:pPr>
                    <w:spacing w:line="240" w:lineRule="exact"/>
                    <w:contextualSpacing/>
                    <w:jc w:val="right"/>
                    <w:rPr>
                      <w:rFonts w:ascii="Arial" w:hAnsi="Arial" w:cs="Arial"/>
                      <w:b/>
                      <w:sz w:val="20"/>
                      <w:lang w:eastAsia="en-IN"/>
                    </w:rPr>
                  </w:pPr>
                </w:p>
              </w:tc>
              <w:tc>
                <w:tcPr>
                  <w:tcW w:w="1100" w:type="dxa"/>
                  <w:tcBorders>
                    <w:top w:val="nil"/>
                    <w:left w:val="nil"/>
                    <w:bottom w:val="nil"/>
                    <w:right w:val="nil"/>
                  </w:tcBorders>
                  <w:shd w:val="clear" w:color="auto" w:fill="auto"/>
                  <w:noWrap/>
                  <w:vAlign w:val="center"/>
                  <w:hideMark/>
                </w:tcPr>
                <w:p w14:paraId="03FEF8FC" w14:textId="77777777" w:rsidR="00833659" w:rsidRPr="00833659" w:rsidRDefault="00833659" w:rsidP="00833659">
                  <w:pPr>
                    <w:spacing w:line="240" w:lineRule="exact"/>
                    <w:contextualSpacing/>
                    <w:jc w:val="right"/>
                    <w:rPr>
                      <w:rFonts w:ascii="Arial" w:hAnsi="Arial" w:cs="Arial"/>
                      <w:b/>
                      <w:sz w:val="20"/>
                      <w:lang w:eastAsia="en-IN"/>
                    </w:rPr>
                  </w:pPr>
                </w:p>
              </w:tc>
              <w:tc>
                <w:tcPr>
                  <w:tcW w:w="1000" w:type="dxa"/>
                  <w:tcBorders>
                    <w:top w:val="nil"/>
                    <w:left w:val="nil"/>
                    <w:bottom w:val="nil"/>
                    <w:right w:val="nil"/>
                  </w:tcBorders>
                  <w:shd w:val="clear" w:color="auto" w:fill="auto"/>
                  <w:noWrap/>
                  <w:vAlign w:val="center"/>
                  <w:hideMark/>
                </w:tcPr>
                <w:p w14:paraId="67A2A0EE" w14:textId="77777777" w:rsidR="00833659" w:rsidRPr="00833659" w:rsidRDefault="00833659" w:rsidP="00833659">
                  <w:pPr>
                    <w:spacing w:line="240" w:lineRule="exact"/>
                    <w:contextualSpacing/>
                    <w:jc w:val="right"/>
                    <w:rPr>
                      <w:rFonts w:ascii="Arial" w:hAnsi="Arial" w:cs="Arial"/>
                      <w:b/>
                      <w:sz w:val="20"/>
                      <w:lang w:eastAsia="en-IN"/>
                    </w:rPr>
                  </w:pPr>
                </w:p>
              </w:tc>
              <w:tc>
                <w:tcPr>
                  <w:tcW w:w="1000" w:type="dxa"/>
                  <w:tcBorders>
                    <w:top w:val="nil"/>
                    <w:left w:val="nil"/>
                    <w:bottom w:val="nil"/>
                    <w:right w:val="nil"/>
                  </w:tcBorders>
                  <w:shd w:val="clear" w:color="auto" w:fill="auto"/>
                  <w:noWrap/>
                  <w:vAlign w:val="center"/>
                  <w:hideMark/>
                </w:tcPr>
                <w:p w14:paraId="6504ABF1" w14:textId="77777777" w:rsidR="00833659" w:rsidRPr="00833659" w:rsidRDefault="00833659" w:rsidP="00833659">
                  <w:pPr>
                    <w:spacing w:line="240" w:lineRule="exact"/>
                    <w:contextualSpacing/>
                    <w:jc w:val="right"/>
                    <w:rPr>
                      <w:rFonts w:ascii="Arial" w:hAnsi="Arial" w:cs="Arial"/>
                      <w:b/>
                      <w:sz w:val="20"/>
                      <w:lang w:eastAsia="en-IN"/>
                    </w:rPr>
                  </w:pPr>
                </w:p>
              </w:tc>
              <w:tc>
                <w:tcPr>
                  <w:tcW w:w="910" w:type="dxa"/>
                  <w:tcBorders>
                    <w:top w:val="nil"/>
                    <w:left w:val="nil"/>
                    <w:bottom w:val="nil"/>
                    <w:right w:val="nil"/>
                  </w:tcBorders>
                  <w:shd w:val="clear" w:color="auto" w:fill="auto"/>
                  <w:noWrap/>
                  <w:vAlign w:val="center"/>
                  <w:hideMark/>
                </w:tcPr>
                <w:p w14:paraId="7F452273" w14:textId="77777777" w:rsidR="00833659" w:rsidRPr="00833659" w:rsidRDefault="00833659" w:rsidP="00833659">
                  <w:pPr>
                    <w:spacing w:line="240" w:lineRule="exact"/>
                    <w:contextualSpacing/>
                    <w:jc w:val="right"/>
                    <w:rPr>
                      <w:rFonts w:ascii="Arial" w:hAnsi="Arial" w:cs="Arial"/>
                      <w:b/>
                      <w:sz w:val="20"/>
                      <w:lang w:eastAsia="en-IN"/>
                    </w:rPr>
                  </w:pPr>
                </w:p>
              </w:tc>
            </w:tr>
            <w:tr w:rsidR="00833659" w:rsidRPr="00833659" w14:paraId="35C2A8B6" w14:textId="77777777" w:rsidTr="002E7B6F">
              <w:trPr>
                <w:trHeight w:val="20"/>
              </w:trPr>
              <w:tc>
                <w:tcPr>
                  <w:tcW w:w="3666" w:type="dxa"/>
                  <w:tcBorders>
                    <w:top w:val="nil"/>
                    <w:left w:val="nil"/>
                    <w:bottom w:val="nil"/>
                    <w:right w:val="nil"/>
                  </w:tcBorders>
                  <w:shd w:val="clear" w:color="auto" w:fill="auto"/>
                  <w:vAlign w:val="bottom"/>
                  <w:hideMark/>
                </w:tcPr>
                <w:p w14:paraId="477F8DDC" w14:textId="77777777" w:rsidR="00833659" w:rsidRPr="00833659" w:rsidRDefault="00833659" w:rsidP="00833659">
                  <w:pPr>
                    <w:spacing w:line="240" w:lineRule="exact"/>
                    <w:contextualSpacing/>
                    <w:rPr>
                      <w:rFonts w:ascii="Arial" w:hAnsi="Arial" w:cs="Arial"/>
                      <w:sz w:val="20"/>
                      <w:lang w:eastAsia="en-IN"/>
                    </w:rPr>
                  </w:pPr>
                  <w:r w:rsidRPr="00833659">
                    <w:rPr>
                      <w:rFonts w:ascii="Arial" w:hAnsi="Arial" w:cs="Arial"/>
                      <w:sz w:val="20"/>
                      <w:lang w:eastAsia="en-IN"/>
                    </w:rPr>
                    <w:t>Foreign exchange forward contracts (highly probable forecast sales)</w:t>
                  </w:r>
                </w:p>
              </w:tc>
              <w:tc>
                <w:tcPr>
                  <w:tcW w:w="1100" w:type="dxa"/>
                  <w:tcBorders>
                    <w:top w:val="nil"/>
                    <w:left w:val="nil"/>
                    <w:bottom w:val="nil"/>
                    <w:right w:val="nil"/>
                  </w:tcBorders>
                  <w:shd w:val="clear" w:color="auto" w:fill="auto"/>
                  <w:noWrap/>
                  <w:vAlign w:val="center"/>
                  <w:hideMark/>
                </w:tcPr>
                <w:p w14:paraId="03721C13" w14:textId="77777777" w:rsidR="00833659" w:rsidRPr="00833659" w:rsidRDefault="00833659" w:rsidP="00833659">
                  <w:pPr>
                    <w:spacing w:line="240" w:lineRule="exact"/>
                    <w:contextualSpacing/>
                    <w:jc w:val="right"/>
                    <w:rPr>
                      <w:rFonts w:ascii="Arial" w:hAnsi="Arial" w:cs="Arial"/>
                      <w:sz w:val="20"/>
                      <w:lang w:eastAsia="en-IN"/>
                    </w:rPr>
                  </w:pPr>
                </w:p>
              </w:tc>
              <w:tc>
                <w:tcPr>
                  <w:tcW w:w="1100" w:type="dxa"/>
                  <w:tcBorders>
                    <w:top w:val="nil"/>
                    <w:left w:val="nil"/>
                    <w:bottom w:val="nil"/>
                    <w:right w:val="nil"/>
                  </w:tcBorders>
                  <w:shd w:val="clear" w:color="auto" w:fill="auto"/>
                  <w:noWrap/>
                  <w:vAlign w:val="center"/>
                  <w:hideMark/>
                </w:tcPr>
                <w:p w14:paraId="4BABAEA3" w14:textId="77777777" w:rsidR="00833659" w:rsidRPr="00833659" w:rsidRDefault="00833659" w:rsidP="00833659">
                  <w:pPr>
                    <w:spacing w:line="240" w:lineRule="exact"/>
                    <w:contextualSpacing/>
                    <w:jc w:val="right"/>
                    <w:rPr>
                      <w:rFonts w:ascii="Arial" w:hAnsi="Arial" w:cs="Arial"/>
                      <w:sz w:val="20"/>
                      <w:lang w:eastAsia="en-IN"/>
                    </w:rPr>
                  </w:pPr>
                </w:p>
              </w:tc>
              <w:tc>
                <w:tcPr>
                  <w:tcW w:w="1100" w:type="dxa"/>
                  <w:tcBorders>
                    <w:top w:val="nil"/>
                    <w:left w:val="nil"/>
                    <w:bottom w:val="nil"/>
                    <w:right w:val="nil"/>
                  </w:tcBorders>
                  <w:shd w:val="clear" w:color="auto" w:fill="auto"/>
                  <w:noWrap/>
                  <w:vAlign w:val="center"/>
                  <w:hideMark/>
                </w:tcPr>
                <w:p w14:paraId="145783BA" w14:textId="77777777" w:rsidR="00833659" w:rsidRPr="00833659" w:rsidRDefault="00833659" w:rsidP="00833659">
                  <w:pPr>
                    <w:spacing w:line="240" w:lineRule="exact"/>
                    <w:contextualSpacing/>
                    <w:jc w:val="right"/>
                    <w:rPr>
                      <w:rFonts w:ascii="Arial" w:hAnsi="Arial" w:cs="Arial"/>
                      <w:sz w:val="20"/>
                      <w:lang w:eastAsia="en-IN"/>
                    </w:rPr>
                  </w:pPr>
                </w:p>
              </w:tc>
              <w:tc>
                <w:tcPr>
                  <w:tcW w:w="1000" w:type="dxa"/>
                  <w:tcBorders>
                    <w:top w:val="nil"/>
                    <w:left w:val="nil"/>
                    <w:bottom w:val="nil"/>
                    <w:right w:val="nil"/>
                  </w:tcBorders>
                  <w:shd w:val="clear" w:color="auto" w:fill="auto"/>
                  <w:noWrap/>
                  <w:vAlign w:val="center"/>
                  <w:hideMark/>
                </w:tcPr>
                <w:p w14:paraId="7C65283F" w14:textId="77777777" w:rsidR="00833659" w:rsidRPr="00833659" w:rsidRDefault="00833659" w:rsidP="00833659">
                  <w:pPr>
                    <w:spacing w:line="240" w:lineRule="exact"/>
                    <w:contextualSpacing/>
                    <w:jc w:val="right"/>
                    <w:rPr>
                      <w:rFonts w:ascii="Arial" w:hAnsi="Arial" w:cs="Arial"/>
                      <w:sz w:val="20"/>
                      <w:lang w:eastAsia="en-IN"/>
                    </w:rPr>
                  </w:pPr>
                </w:p>
              </w:tc>
              <w:tc>
                <w:tcPr>
                  <w:tcW w:w="1000" w:type="dxa"/>
                  <w:tcBorders>
                    <w:top w:val="nil"/>
                    <w:left w:val="nil"/>
                    <w:bottom w:val="nil"/>
                    <w:right w:val="nil"/>
                  </w:tcBorders>
                  <w:shd w:val="clear" w:color="auto" w:fill="auto"/>
                  <w:noWrap/>
                  <w:vAlign w:val="center"/>
                  <w:hideMark/>
                </w:tcPr>
                <w:p w14:paraId="4FC5E322" w14:textId="77777777" w:rsidR="00833659" w:rsidRPr="00833659" w:rsidRDefault="00833659" w:rsidP="00833659">
                  <w:pPr>
                    <w:spacing w:line="240" w:lineRule="exact"/>
                    <w:contextualSpacing/>
                    <w:jc w:val="right"/>
                    <w:rPr>
                      <w:rFonts w:ascii="Arial" w:hAnsi="Arial" w:cs="Arial"/>
                      <w:sz w:val="20"/>
                      <w:lang w:eastAsia="en-IN"/>
                    </w:rPr>
                  </w:pPr>
                </w:p>
              </w:tc>
              <w:tc>
                <w:tcPr>
                  <w:tcW w:w="910" w:type="dxa"/>
                  <w:tcBorders>
                    <w:top w:val="nil"/>
                    <w:left w:val="nil"/>
                    <w:bottom w:val="nil"/>
                    <w:right w:val="nil"/>
                  </w:tcBorders>
                  <w:shd w:val="clear" w:color="auto" w:fill="auto"/>
                  <w:noWrap/>
                  <w:vAlign w:val="center"/>
                  <w:hideMark/>
                </w:tcPr>
                <w:p w14:paraId="75A77F11" w14:textId="77777777" w:rsidR="00833659" w:rsidRPr="00833659" w:rsidRDefault="00833659" w:rsidP="00833659">
                  <w:pPr>
                    <w:spacing w:line="240" w:lineRule="exact"/>
                    <w:contextualSpacing/>
                    <w:jc w:val="right"/>
                    <w:rPr>
                      <w:rFonts w:ascii="Arial" w:hAnsi="Arial" w:cs="Arial"/>
                      <w:b/>
                      <w:sz w:val="20"/>
                      <w:lang w:eastAsia="en-IN"/>
                    </w:rPr>
                  </w:pPr>
                </w:p>
              </w:tc>
            </w:tr>
            <w:tr w:rsidR="00833659" w:rsidRPr="00833659" w14:paraId="57015E44" w14:textId="77777777" w:rsidTr="002E7B6F">
              <w:trPr>
                <w:trHeight w:val="20"/>
              </w:trPr>
              <w:tc>
                <w:tcPr>
                  <w:tcW w:w="3666" w:type="dxa"/>
                  <w:tcBorders>
                    <w:top w:val="nil"/>
                    <w:left w:val="nil"/>
                    <w:bottom w:val="nil"/>
                    <w:right w:val="nil"/>
                  </w:tcBorders>
                  <w:shd w:val="clear" w:color="auto" w:fill="auto"/>
                  <w:noWrap/>
                  <w:vAlign w:val="bottom"/>
                  <w:hideMark/>
                </w:tcPr>
                <w:p w14:paraId="07CF1993" w14:textId="77777777" w:rsidR="00833659" w:rsidRPr="00833659" w:rsidRDefault="00833659" w:rsidP="00833659">
                  <w:pPr>
                    <w:spacing w:line="240" w:lineRule="exact"/>
                    <w:ind w:left="318"/>
                    <w:contextualSpacing/>
                    <w:rPr>
                      <w:rFonts w:ascii="Arial" w:hAnsi="Arial" w:cs="Arial"/>
                      <w:sz w:val="20"/>
                      <w:lang w:eastAsia="en-IN"/>
                    </w:rPr>
                  </w:pPr>
                  <w:r w:rsidRPr="00833659">
                    <w:rPr>
                      <w:rFonts w:ascii="Arial" w:hAnsi="Arial" w:cs="Arial"/>
                      <w:sz w:val="20"/>
                      <w:lang w:eastAsia="en-IN"/>
                    </w:rPr>
                    <w:t xml:space="preserve">Notional amount (in INR lacs) </w:t>
                  </w:r>
                </w:p>
              </w:tc>
              <w:tc>
                <w:tcPr>
                  <w:tcW w:w="1100" w:type="dxa"/>
                  <w:tcBorders>
                    <w:top w:val="nil"/>
                    <w:left w:val="nil"/>
                    <w:bottom w:val="nil"/>
                    <w:right w:val="nil"/>
                  </w:tcBorders>
                  <w:shd w:val="clear" w:color="auto" w:fill="auto"/>
                  <w:noWrap/>
                  <w:vAlign w:val="center"/>
                  <w:hideMark/>
                </w:tcPr>
                <w:p w14:paraId="2F14CC82" w14:textId="21700763"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 xml:space="preserve"> 5,</w:t>
                  </w:r>
                  <w:r w:rsidR="00617B37">
                    <w:rPr>
                      <w:rFonts w:ascii="Arial" w:hAnsi="Arial" w:cs="Arial"/>
                      <w:sz w:val="20"/>
                      <w:lang w:eastAsia="en-IN"/>
                    </w:rPr>
                    <w:t>310</w:t>
                  </w:r>
                  <w:r w:rsidRPr="00833659">
                    <w:rPr>
                      <w:rFonts w:ascii="Arial" w:hAnsi="Arial" w:cs="Arial"/>
                      <w:sz w:val="20"/>
                      <w:lang w:eastAsia="en-IN"/>
                    </w:rPr>
                    <w:t xml:space="preserve"> </w:t>
                  </w:r>
                </w:p>
              </w:tc>
              <w:tc>
                <w:tcPr>
                  <w:tcW w:w="1100" w:type="dxa"/>
                  <w:tcBorders>
                    <w:top w:val="nil"/>
                    <w:left w:val="nil"/>
                    <w:bottom w:val="nil"/>
                    <w:right w:val="nil"/>
                  </w:tcBorders>
                  <w:shd w:val="clear" w:color="auto" w:fill="auto"/>
                  <w:noWrap/>
                  <w:vAlign w:val="center"/>
                  <w:hideMark/>
                </w:tcPr>
                <w:p w14:paraId="4BF6623B" w14:textId="1B6C05A8" w:rsidR="00833659" w:rsidRPr="00833659" w:rsidRDefault="00617B37" w:rsidP="00833659">
                  <w:pPr>
                    <w:spacing w:line="240" w:lineRule="exact"/>
                    <w:contextualSpacing/>
                    <w:jc w:val="right"/>
                    <w:rPr>
                      <w:rFonts w:ascii="Arial" w:hAnsi="Arial" w:cs="Arial"/>
                      <w:sz w:val="20"/>
                      <w:lang w:eastAsia="en-IN"/>
                    </w:rPr>
                  </w:pPr>
                  <w:r>
                    <w:rPr>
                      <w:rFonts w:ascii="Arial" w:hAnsi="Arial" w:cs="Arial"/>
                      <w:sz w:val="20"/>
                      <w:lang w:eastAsia="en-IN"/>
                    </w:rPr>
                    <w:t>5,400</w:t>
                  </w:r>
                </w:p>
              </w:tc>
              <w:tc>
                <w:tcPr>
                  <w:tcW w:w="1100" w:type="dxa"/>
                  <w:tcBorders>
                    <w:top w:val="nil"/>
                    <w:left w:val="nil"/>
                    <w:bottom w:val="nil"/>
                    <w:right w:val="nil"/>
                  </w:tcBorders>
                  <w:shd w:val="clear" w:color="auto" w:fill="auto"/>
                  <w:noWrap/>
                  <w:vAlign w:val="center"/>
                  <w:hideMark/>
                </w:tcPr>
                <w:p w14:paraId="46234474" w14:textId="3D7101D8" w:rsidR="00833659" w:rsidRPr="00833659" w:rsidRDefault="00617B37" w:rsidP="00833659">
                  <w:pPr>
                    <w:spacing w:line="240" w:lineRule="exact"/>
                    <w:contextualSpacing/>
                    <w:jc w:val="right"/>
                    <w:rPr>
                      <w:rFonts w:ascii="Arial" w:hAnsi="Arial" w:cs="Arial"/>
                      <w:sz w:val="20"/>
                      <w:lang w:eastAsia="en-IN"/>
                    </w:rPr>
                  </w:pPr>
                  <w:r>
                    <w:rPr>
                      <w:rFonts w:ascii="Arial" w:hAnsi="Arial" w:cs="Arial"/>
                      <w:sz w:val="20"/>
                      <w:lang w:eastAsia="en-IN"/>
                    </w:rPr>
                    <w:t>5,670</w:t>
                  </w:r>
                </w:p>
              </w:tc>
              <w:tc>
                <w:tcPr>
                  <w:tcW w:w="1000" w:type="dxa"/>
                  <w:tcBorders>
                    <w:top w:val="nil"/>
                    <w:left w:val="nil"/>
                    <w:bottom w:val="nil"/>
                    <w:right w:val="nil"/>
                  </w:tcBorders>
                  <w:shd w:val="clear" w:color="auto" w:fill="auto"/>
                  <w:noWrap/>
                  <w:vAlign w:val="center"/>
                  <w:hideMark/>
                </w:tcPr>
                <w:p w14:paraId="5205F9DF" w14:textId="1D3243B3" w:rsidR="00833659" w:rsidRPr="00833659" w:rsidRDefault="00617B37" w:rsidP="00833659">
                  <w:pPr>
                    <w:spacing w:line="240" w:lineRule="exact"/>
                    <w:contextualSpacing/>
                    <w:jc w:val="right"/>
                    <w:rPr>
                      <w:rFonts w:ascii="Arial" w:hAnsi="Arial" w:cs="Arial"/>
                      <w:sz w:val="20"/>
                      <w:lang w:eastAsia="en-IN"/>
                    </w:rPr>
                  </w:pPr>
                  <w:r>
                    <w:rPr>
                      <w:rFonts w:ascii="Arial" w:hAnsi="Arial" w:cs="Arial"/>
                      <w:sz w:val="20"/>
                      <w:lang w:eastAsia="en-IN"/>
                    </w:rPr>
                    <w:t>6,210</w:t>
                  </w:r>
                </w:p>
              </w:tc>
              <w:tc>
                <w:tcPr>
                  <w:tcW w:w="1000" w:type="dxa"/>
                  <w:tcBorders>
                    <w:top w:val="nil"/>
                    <w:left w:val="nil"/>
                    <w:bottom w:val="nil"/>
                    <w:right w:val="nil"/>
                  </w:tcBorders>
                  <w:shd w:val="clear" w:color="auto" w:fill="auto"/>
                  <w:noWrap/>
                  <w:vAlign w:val="center"/>
                  <w:hideMark/>
                </w:tcPr>
                <w:p w14:paraId="4A4FB0C9" w14:textId="23808290" w:rsidR="00833659" w:rsidRPr="00833659" w:rsidRDefault="00617B37" w:rsidP="00833659">
                  <w:pPr>
                    <w:spacing w:line="240" w:lineRule="exact"/>
                    <w:contextualSpacing/>
                    <w:jc w:val="right"/>
                    <w:rPr>
                      <w:rFonts w:ascii="Arial" w:hAnsi="Arial" w:cs="Arial"/>
                      <w:sz w:val="20"/>
                      <w:lang w:eastAsia="en-IN"/>
                    </w:rPr>
                  </w:pPr>
                  <w:r>
                    <w:rPr>
                      <w:rFonts w:ascii="Arial" w:hAnsi="Arial" w:cs="Arial"/>
                      <w:sz w:val="20"/>
                      <w:lang w:eastAsia="en-IN"/>
                    </w:rPr>
                    <w:t>5,850</w:t>
                  </w:r>
                </w:p>
              </w:tc>
              <w:tc>
                <w:tcPr>
                  <w:tcW w:w="910" w:type="dxa"/>
                  <w:tcBorders>
                    <w:top w:val="nil"/>
                    <w:left w:val="nil"/>
                    <w:bottom w:val="nil"/>
                    <w:right w:val="nil"/>
                  </w:tcBorders>
                  <w:shd w:val="clear" w:color="auto" w:fill="auto"/>
                  <w:noWrap/>
                  <w:vAlign w:val="center"/>
                  <w:hideMark/>
                </w:tcPr>
                <w:p w14:paraId="6E3DE183" w14:textId="1B4DE796" w:rsidR="00833659" w:rsidRPr="00833659" w:rsidRDefault="00617B37" w:rsidP="00833659">
                  <w:pPr>
                    <w:spacing w:line="240" w:lineRule="exact"/>
                    <w:contextualSpacing/>
                    <w:jc w:val="right"/>
                    <w:rPr>
                      <w:rFonts w:ascii="Arial" w:hAnsi="Arial" w:cs="Arial"/>
                      <w:b/>
                      <w:sz w:val="20"/>
                      <w:lang w:eastAsia="en-IN"/>
                    </w:rPr>
                  </w:pPr>
                  <w:r>
                    <w:rPr>
                      <w:rFonts w:ascii="Arial" w:hAnsi="Arial" w:cs="Arial"/>
                      <w:b/>
                      <w:sz w:val="20"/>
                      <w:lang w:eastAsia="en-IN"/>
                    </w:rPr>
                    <w:t>28,440</w:t>
                  </w:r>
                </w:p>
              </w:tc>
            </w:tr>
            <w:tr w:rsidR="00833659" w:rsidRPr="00833659" w14:paraId="2CEB6195" w14:textId="77777777" w:rsidTr="002E7B6F">
              <w:trPr>
                <w:trHeight w:val="20"/>
              </w:trPr>
              <w:tc>
                <w:tcPr>
                  <w:tcW w:w="3666" w:type="dxa"/>
                  <w:tcBorders>
                    <w:top w:val="nil"/>
                    <w:left w:val="nil"/>
                    <w:bottom w:val="nil"/>
                    <w:right w:val="nil"/>
                  </w:tcBorders>
                  <w:shd w:val="clear" w:color="auto" w:fill="auto"/>
                  <w:vAlign w:val="bottom"/>
                  <w:hideMark/>
                </w:tcPr>
                <w:p w14:paraId="6A8A4452" w14:textId="77777777" w:rsidR="00833659" w:rsidRPr="00833659" w:rsidRDefault="00833659" w:rsidP="00833659">
                  <w:pPr>
                    <w:spacing w:line="240" w:lineRule="exact"/>
                    <w:ind w:left="318"/>
                    <w:contextualSpacing/>
                    <w:rPr>
                      <w:rFonts w:ascii="Arial" w:hAnsi="Arial" w:cs="Arial"/>
                      <w:sz w:val="20"/>
                      <w:lang w:eastAsia="en-IN"/>
                    </w:rPr>
                  </w:pPr>
                  <w:r w:rsidRPr="00833659">
                    <w:rPr>
                      <w:rFonts w:ascii="Arial" w:hAnsi="Arial" w:cs="Arial"/>
                      <w:sz w:val="20"/>
                      <w:lang w:eastAsia="en-IN"/>
                    </w:rPr>
                    <w:lastRenderedPageBreak/>
                    <w:t>Average forward rate (INR/USD)</w:t>
                  </w:r>
                </w:p>
              </w:tc>
              <w:tc>
                <w:tcPr>
                  <w:tcW w:w="1100" w:type="dxa"/>
                  <w:tcBorders>
                    <w:top w:val="nil"/>
                    <w:left w:val="nil"/>
                    <w:bottom w:val="nil"/>
                    <w:right w:val="nil"/>
                  </w:tcBorders>
                  <w:shd w:val="clear" w:color="auto" w:fill="auto"/>
                  <w:noWrap/>
                  <w:vAlign w:val="center"/>
                  <w:hideMark/>
                </w:tcPr>
                <w:p w14:paraId="556BF406"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71.23</w:t>
                  </w:r>
                </w:p>
              </w:tc>
              <w:tc>
                <w:tcPr>
                  <w:tcW w:w="1100" w:type="dxa"/>
                  <w:tcBorders>
                    <w:top w:val="nil"/>
                    <w:left w:val="nil"/>
                    <w:bottom w:val="nil"/>
                    <w:right w:val="nil"/>
                  </w:tcBorders>
                  <w:shd w:val="clear" w:color="auto" w:fill="auto"/>
                  <w:noWrap/>
                  <w:vAlign w:val="center"/>
                  <w:hideMark/>
                </w:tcPr>
                <w:p w14:paraId="297D7C26"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72.32</w:t>
                  </w:r>
                </w:p>
              </w:tc>
              <w:tc>
                <w:tcPr>
                  <w:tcW w:w="1100" w:type="dxa"/>
                  <w:tcBorders>
                    <w:top w:val="nil"/>
                    <w:left w:val="nil"/>
                    <w:bottom w:val="nil"/>
                    <w:right w:val="nil"/>
                  </w:tcBorders>
                  <w:shd w:val="clear" w:color="auto" w:fill="auto"/>
                  <w:noWrap/>
                  <w:vAlign w:val="center"/>
                  <w:hideMark/>
                </w:tcPr>
                <w:p w14:paraId="4E107BD8"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73.5</w:t>
                  </w:r>
                </w:p>
              </w:tc>
              <w:tc>
                <w:tcPr>
                  <w:tcW w:w="1000" w:type="dxa"/>
                  <w:tcBorders>
                    <w:top w:val="nil"/>
                    <w:left w:val="nil"/>
                    <w:bottom w:val="nil"/>
                    <w:right w:val="nil"/>
                  </w:tcBorders>
                  <w:shd w:val="clear" w:color="auto" w:fill="auto"/>
                  <w:noWrap/>
                  <w:vAlign w:val="center"/>
                  <w:hideMark/>
                </w:tcPr>
                <w:p w14:paraId="696BF697"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74.2</w:t>
                  </w:r>
                </w:p>
              </w:tc>
              <w:tc>
                <w:tcPr>
                  <w:tcW w:w="1000" w:type="dxa"/>
                  <w:tcBorders>
                    <w:top w:val="nil"/>
                    <w:left w:val="nil"/>
                    <w:bottom w:val="nil"/>
                    <w:right w:val="nil"/>
                  </w:tcBorders>
                  <w:shd w:val="clear" w:color="auto" w:fill="auto"/>
                  <w:noWrap/>
                  <w:vAlign w:val="center"/>
                  <w:hideMark/>
                </w:tcPr>
                <w:p w14:paraId="6DDFF8FC"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74.4</w:t>
                  </w:r>
                </w:p>
              </w:tc>
              <w:tc>
                <w:tcPr>
                  <w:tcW w:w="910" w:type="dxa"/>
                  <w:tcBorders>
                    <w:top w:val="nil"/>
                    <w:left w:val="nil"/>
                    <w:bottom w:val="nil"/>
                    <w:right w:val="nil"/>
                  </w:tcBorders>
                  <w:shd w:val="clear" w:color="auto" w:fill="auto"/>
                  <w:noWrap/>
                  <w:vAlign w:val="center"/>
                  <w:hideMark/>
                </w:tcPr>
                <w:p w14:paraId="445FDE99" w14:textId="77777777" w:rsidR="00833659" w:rsidRPr="00833659" w:rsidRDefault="00833659" w:rsidP="00833659">
                  <w:pPr>
                    <w:spacing w:line="240" w:lineRule="exact"/>
                    <w:contextualSpacing/>
                    <w:jc w:val="right"/>
                    <w:rPr>
                      <w:rFonts w:ascii="Arial" w:hAnsi="Arial" w:cs="Arial"/>
                      <w:b/>
                      <w:sz w:val="20"/>
                      <w:lang w:eastAsia="en-IN"/>
                    </w:rPr>
                  </w:pPr>
                </w:p>
              </w:tc>
            </w:tr>
            <w:tr w:rsidR="00833659" w:rsidRPr="00833659" w14:paraId="67A6C128" w14:textId="77777777" w:rsidTr="002E7B6F">
              <w:trPr>
                <w:trHeight w:val="20"/>
              </w:trPr>
              <w:tc>
                <w:tcPr>
                  <w:tcW w:w="3666" w:type="dxa"/>
                  <w:tcBorders>
                    <w:top w:val="nil"/>
                    <w:left w:val="nil"/>
                    <w:bottom w:val="nil"/>
                    <w:right w:val="nil"/>
                  </w:tcBorders>
                  <w:shd w:val="clear" w:color="auto" w:fill="auto"/>
                  <w:vAlign w:val="bottom"/>
                  <w:hideMark/>
                </w:tcPr>
                <w:p w14:paraId="5D0B6E57" w14:textId="77777777" w:rsidR="00833659" w:rsidRPr="00833659" w:rsidRDefault="00833659" w:rsidP="00833659">
                  <w:pPr>
                    <w:spacing w:line="240" w:lineRule="exact"/>
                    <w:contextualSpacing/>
                    <w:rPr>
                      <w:rFonts w:ascii="Arial" w:hAnsi="Arial" w:cs="Arial"/>
                      <w:sz w:val="20"/>
                      <w:lang w:eastAsia="en-IN"/>
                    </w:rPr>
                  </w:pPr>
                  <w:r w:rsidRPr="00833659">
                    <w:rPr>
                      <w:rFonts w:ascii="Arial" w:hAnsi="Arial" w:cs="Arial"/>
                      <w:sz w:val="20"/>
                      <w:lang w:eastAsia="en-IN"/>
                    </w:rPr>
                    <w:t>Foreign exchange forward contracts (highly probable forecast purchases</w:t>
                  </w:r>
                </w:p>
              </w:tc>
              <w:tc>
                <w:tcPr>
                  <w:tcW w:w="1100" w:type="dxa"/>
                  <w:tcBorders>
                    <w:top w:val="nil"/>
                    <w:left w:val="nil"/>
                    <w:bottom w:val="nil"/>
                    <w:right w:val="nil"/>
                  </w:tcBorders>
                  <w:shd w:val="clear" w:color="auto" w:fill="auto"/>
                  <w:noWrap/>
                  <w:vAlign w:val="center"/>
                  <w:hideMark/>
                </w:tcPr>
                <w:p w14:paraId="1A94D7F3" w14:textId="77777777" w:rsidR="00833659" w:rsidRPr="00833659" w:rsidRDefault="00833659" w:rsidP="00833659">
                  <w:pPr>
                    <w:spacing w:line="240" w:lineRule="exact"/>
                    <w:contextualSpacing/>
                    <w:jc w:val="right"/>
                    <w:rPr>
                      <w:rFonts w:ascii="Arial" w:hAnsi="Arial" w:cs="Arial"/>
                      <w:sz w:val="20"/>
                      <w:lang w:eastAsia="en-IN"/>
                    </w:rPr>
                  </w:pPr>
                </w:p>
              </w:tc>
              <w:tc>
                <w:tcPr>
                  <w:tcW w:w="1100" w:type="dxa"/>
                  <w:tcBorders>
                    <w:top w:val="nil"/>
                    <w:left w:val="nil"/>
                    <w:bottom w:val="nil"/>
                    <w:right w:val="nil"/>
                  </w:tcBorders>
                  <w:shd w:val="clear" w:color="auto" w:fill="auto"/>
                  <w:noWrap/>
                  <w:vAlign w:val="center"/>
                  <w:hideMark/>
                </w:tcPr>
                <w:p w14:paraId="5B2D3EAC" w14:textId="77777777" w:rsidR="00833659" w:rsidRPr="00833659" w:rsidRDefault="00833659" w:rsidP="00833659">
                  <w:pPr>
                    <w:spacing w:line="240" w:lineRule="exact"/>
                    <w:contextualSpacing/>
                    <w:jc w:val="right"/>
                    <w:rPr>
                      <w:rFonts w:ascii="Arial" w:hAnsi="Arial" w:cs="Arial"/>
                      <w:sz w:val="20"/>
                      <w:lang w:eastAsia="en-IN"/>
                    </w:rPr>
                  </w:pPr>
                </w:p>
              </w:tc>
              <w:tc>
                <w:tcPr>
                  <w:tcW w:w="1100" w:type="dxa"/>
                  <w:tcBorders>
                    <w:top w:val="nil"/>
                    <w:left w:val="nil"/>
                    <w:bottom w:val="nil"/>
                    <w:right w:val="nil"/>
                  </w:tcBorders>
                  <w:shd w:val="clear" w:color="auto" w:fill="auto"/>
                  <w:noWrap/>
                  <w:vAlign w:val="center"/>
                  <w:hideMark/>
                </w:tcPr>
                <w:p w14:paraId="71CA2B91" w14:textId="77777777" w:rsidR="00833659" w:rsidRPr="00833659" w:rsidRDefault="00833659" w:rsidP="00833659">
                  <w:pPr>
                    <w:spacing w:line="240" w:lineRule="exact"/>
                    <w:contextualSpacing/>
                    <w:jc w:val="right"/>
                    <w:rPr>
                      <w:rFonts w:ascii="Arial" w:hAnsi="Arial" w:cs="Arial"/>
                      <w:sz w:val="20"/>
                      <w:lang w:eastAsia="en-IN"/>
                    </w:rPr>
                  </w:pPr>
                </w:p>
              </w:tc>
              <w:tc>
                <w:tcPr>
                  <w:tcW w:w="1000" w:type="dxa"/>
                  <w:tcBorders>
                    <w:top w:val="nil"/>
                    <w:left w:val="nil"/>
                    <w:bottom w:val="nil"/>
                    <w:right w:val="nil"/>
                  </w:tcBorders>
                  <w:shd w:val="clear" w:color="auto" w:fill="auto"/>
                  <w:noWrap/>
                  <w:vAlign w:val="center"/>
                  <w:hideMark/>
                </w:tcPr>
                <w:p w14:paraId="73F646C5" w14:textId="77777777" w:rsidR="00833659" w:rsidRPr="00833659" w:rsidRDefault="00833659" w:rsidP="00833659">
                  <w:pPr>
                    <w:spacing w:line="240" w:lineRule="exact"/>
                    <w:contextualSpacing/>
                    <w:jc w:val="right"/>
                    <w:rPr>
                      <w:rFonts w:ascii="Arial" w:hAnsi="Arial" w:cs="Arial"/>
                      <w:sz w:val="20"/>
                      <w:lang w:eastAsia="en-IN"/>
                    </w:rPr>
                  </w:pPr>
                </w:p>
              </w:tc>
              <w:tc>
                <w:tcPr>
                  <w:tcW w:w="1000" w:type="dxa"/>
                  <w:tcBorders>
                    <w:top w:val="nil"/>
                    <w:left w:val="nil"/>
                    <w:bottom w:val="nil"/>
                    <w:right w:val="nil"/>
                  </w:tcBorders>
                  <w:shd w:val="clear" w:color="auto" w:fill="auto"/>
                  <w:noWrap/>
                  <w:vAlign w:val="center"/>
                  <w:hideMark/>
                </w:tcPr>
                <w:p w14:paraId="4A05DF63" w14:textId="77777777" w:rsidR="00833659" w:rsidRPr="00833659" w:rsidRDefault="00833659" w:rsidP="00833659">
                  <w:pPr>
                    <w:spacing w:line="240" w:lineRule="exact"/>
                    <w:contextualSpacing/>
                    <w:jc w:val="right"/>
                    <w:rPr>
                      <w:rFonts w:ascii="Arial" w:hAnsi="Arial" w:cs="Arial"/>
                      <w:sz w:val="20"/>
                      <w:lang w:eastAsia="en-IN"/>
                    </w:rPr>
                  </w:pPr>
                </w:p>
              </w:tc>
              <w:tc>
                <w:tcPr>
                  <w:tcW w:w="910" w:type="dxa"/>
                  <w:tcBorders>
                    <w:top w:val="nil"/>
                    <w:left w:val="nil"/>
                    <w:bottom w:val="nil"/>
                    <w:right w:val="nil"/>
                  </w:tcBorders>
                  <w:shd w:val="clear" w:color="auto" w:fill="auto"/>
                  <w:noWrap/>
                  <w:vAlign w:val="center"/>
                  <w:hideMark/>
                </w:tcPr>
                <w:p w14:paraId="5E57C17D" w14:textId="77777777" w:rsidR="00833659" w:rsidRPr="00833659" w:rsidRDefault="00833659" w:rsidP="00833659">
                  <w:pPr>
                    <w:spacing w:line="240" w:lineRule="exact"/>
                    <w:contextualSpacing/>
                    <w:jc w:val="right"/>
                    <w:rPr>
                      <w:rFonts w:ascii="Arial" w:hAnsi="Arial" w:cs="Arial"/>
                      <w:b/>
                      <w:sz w:val="20"/>
                      <w:lang w:eastAsia="en-IN"/>
                    </w:rPr>
                  </w:pPr>
                </w:p>
              </w:tc>
            </w:tr>
            <w:tr w:rsidR="00833659" w:rsidRPr="00833659" w14:paraId="5FA2A698" w14:textId="77777777" w:rsidTr="002E7B6F">
              <w:trPr>
                <w:trHeight w:val="20"/>
              </w:trPr>
              <w:tc>
                <w:tcPr>
                  <w:tcW w:w="3666" w:type="dxa"/>
                  <w:tcBorders>
                    <w:top w:val="nil"/>
                    <w:left w:val="nil"/>
                    <w:bottom w:val="nil"/>
                    <w:right w:val="nil"/>
                  </w:tcBorders>
                  <w:shd w:val="clear" w:color="auto" w:fill="auto"/>
                  <w:noWrap/>
                  <w:vAlign w:val="bottom"/>
                  <w:hideMark/>
                </w:tcPr>
                <w:p w14:paraId="034D1931" w14:textId="77777777" w:rsidR="00833659" w:rsidRPr="00833659" w:rsidRDefault="00833659" w:rsidP="00833659">
                  <w:pPr>
                    <w:spacing w:line="240" w:lineRule="exact"/>
                    <w:ind w:left="318"/>
                    <w:contextualSpacing/>
                    <w:rPr>
                      <w:rFonts w:ascii="Arial" w:hAnsi="Arial" w:cs="Arial"/>
                      <w:sz w:val="20"/>
                      <w:lang w:eastAsia="en-IN"/>
                    </w:rPr>
                  </w:pPr>
                  <w:r w:rsidRPr="00833659">
                    <w:rPr>
                      <w:rFonts w:ascii="Arial" w:hAnsi="Arial" w:cs="Arial"/>
                      <w:sz w:val="20"/>
                      <w:lang w:eastAsia="en-IN"/>
                    </w:rPr>
                    <w:t xml:space="preserve">Notional amount (in INR lacs) </w:t>
                  </w:r>
                </w:p>
              </w:tc>
              <w:tc>
                <w:tcPr>
                  <w:tcW w:w="1100" w:type="dxa"/>
                  <w:tcBorders>
                    <w:top w:val="nil"/>
                    <w:left w:val="nil"/>
                    <w:bottom w:val="nil"/>
                    <w:right w:val="nil"/>
                  </w:tcBorders>
                  <w:shd w:val="clear" w:color="auto" w:fill="auto"/>
                  <w:noWrap/>
                  <w:vAlign w:val="center"/>
                  <w:hideMark/>
                </w:tcPr>
                <w:p w14:paraId="3FCC115E" w14:textId="2BF0B0FF"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 xml:space="preserve"> </w:t>
                  </w:r>
                  <w:r w:rsidR="00041B84">
                    <w:rPr>
                      <w:rFonts w:ascii="Arial" w:hAnsi="Arial" w:cs="Arial"/>
                      <w:sz w:val="20"/>
                      <w:lang w:eastAsia="en-IN"/>
                    </w:rPr>
                    <w:t>2</w:t>
                  </w:r>
                  <w:r w:rsidRPr="00833659">
                    <w:rPr>
                      <w:rFonts w:ascii="Arial" w:hAnsi="Arial" w:cs="Arial"/>
                      <w:sz w:val="20"/>
                      <w:lang w:eastAsia="en-IN"/>
                    </w:rPr>
                    <w:t>,</w:t>
                  </w:r>
                  <w:r w:rsidR="00041B84">
                    <w:rPr>
                      <w:rFonts w:ascii="Arial" w:hAnsi="Arial" w:cs="Arial"/>
                      <w:sz w:val="20"/>
                      <w:lang w:eastAsia="en-IN"/>
                    </w:rPr>
                    <w:t>610</w:t>
                  </w:r>
                  <w:r w:rsidRPr="00833659">
                    <w:rPr>
                      <w:rFonts w:ascii="Arial" w:hAnsi="Arial" w:cs="Arial"/>
                      <w:sz w:val="20"/>
                      <w:lang w:eastAsia="en-IN"/>
                    </w:rPr>
                    <w:t xml:space="preserve"> </w:t>
                  </w:r>
                </w:p>
              </w:tc>
              <w:tc>
                <w:tcPr>
                  <w:tcW w:w="1100" w:type="dxa"/>
                  <w:tcBorders>
                    <w:top w:val="nil"/>
                    <w:left w:val="nil"/>
                    <w:bottom w:val="nil"/>
                    <w:right w:val="nil"/>
                  </w:tcBorders>
                  <w:shd w:val="clear" w:color="auto" w:fill="auto"/>
                  <w:noWrap/>
                  <w:vAlign w:val="center"/>
                  <w:hideMark/>
                </w:tcPr>
                <w:p w14:paraId="12C30F35" w14:textId="6C2A9D47" w:rsidR="00833659" w:rsidRPr="00833659" w:rsidRDefault="00041B84" w:rsidP="00833659">
                  <w:pPr>
                    <w:spacing w:line="240" w:lineRule="exact"/>
                    <w:contextualSpacing/>
                    <w:jc w:val="right"/>
                    <w:rPr>
                      <w:rFonts w:ascii="Arial" w:hAnsi="Arial" w:cs="Arial"/>
                      <w:sz w:val="20"/>
                      <w:lang w:eastAsia="en-IN"/>
                    </w:rPr>
                  </w:pPr>
                  <w:r>
                    <w:rPr>
                      <w:rFonts w:ascii="Arial" w:hAnsi="Arial" w:cs="Arial"/>
                      <w:sz w:val="20"/>
                      <w:lang w:eastAsia="en-IN"/>
                    </w:rPr>
                    <w:t>2,394</w:t>
                  </w:r>
                </w:p>
              </w:tc>
              <w:tc>
                <w:tcPr>
                  <w:tcW w:w="1100" w:type="dxa"/>
                  <w:tcBorders>
                    <w:top w:val="nil"/>
                    <w:left w:val="nil"/>
                    <w:bottom w:val="nil"/>
                    <w:right w:val="nil"/>
                  </w:tcBorders>
                  <w:shd w:val="clear" w:color="auto" w:fill="auto"/>
                  <w:noWrap/>
                  <w:vAlign w:val="center"/>
                  <w:hideMark/>
                </w:tcPr>
                <w:p w14:paraId="602B1661" w14:textId="2F9F9594" w:rsidR="00833659" w:rsidRPr="00833659" w:rsidRDefault="00041B84" w:rsidP="00833659">
                  <w:pPr>
                    <w:spacing w:line="240" w:lineRule="exact"/>
                    <w:contextualSpacing/>
                    <w:jc w:val="right"/>
                    <w:rPr>
                      <w:rFonts w:ascii="Arial" w:hAnsi="Arial" w:cs="Arial"/>
                      <w:sz w:val="20"/>
                      <w:lang w:eastAsia="en-IN"/>
                    </w:rPr>
                  </w:pPr>
                  <w:r>
                    <w:rPr>
                      <w:rFonts w:ascii="Arial" w:hAnsi="Arial" w:cs="Arial"/>
                      <w:sz w:val="20"/>
                      <w:lang w:eastAsia="en-IN"/>
                    </w:rPr>
                    <w:t>3,384</w:t>
                  </w:r>
                </w:p>
              </w:tc>
              <w:tc>
                <w:tcPr>
                  <w:tcW w:w="1000" w:type="dxa"/>
                  <w:tcBorders>
                    <w:top w:val="nil"/>
                    <w:left w:val="nil"/>
                    <w:bottom w:val="nil"/>
                    <w:right w:val="nil"/>
                  </w:tcBorders>
                  <w:shd w:val="clear" w:color="auto" w:fill="auto"/>
                  <w:noWrap/>
                  <w:vAlign w:val="center"/>
                  <w:hideMark/>
                </w:tcPr>
                <w:p w14:paraId="700674EE" w14:textId="7AAF1AE0" w:rsidR="00833659" w:rsidRPr="00833659" w:rsidRDefault="00041B84" w:rsidP="00833659">
                  <w:pPr>
                    <w:spacing w:line="240" w:lineRule="exact"/>
                    <w:contextualSpacing/>
                    <w:jc w:val="right"/>
                    <w:rPr>
                      <w:rFonts w:ascii="Arial" w:hAnsi="Arial" w:cs="Arial"/>
                      <w:sz w:val="20"/>
                      <w:lang w:eastAsia="en-IN"/>
                    </w:rPr>
                  </w:pPr>
                  <w:r>
                    <w:rPr>
                      <w:rFonts w:ascii="Arial" w:hAnsi="Arial" w:cs="Arial"/>
                      <w:sz w:val="20"/>
                      <w:lang w:eastAsia="en-IN"/>
                    </w:rPr>
                    <w:t>3,150</w:t>
                  </w:r>
                </w:p>
              </w:tc>
              <w:tc>
                <w:tcPr>
                  <w:tcW w:w="1000" w:type="dxa"/>
                  <w:tcBorders>
                    <w:top w:val="nil"/>
                    <w:left w:val="nil"/>
                    <w:bottom w:val="nil"/>
                    <w:right w:val="nil"/>
                  </w:tcBorders>
                  <w:shd w:val="clear" w:color="auto" w:fill="auto"/>
                  <w:noWrap/>
                  <w:vAlign w:val="center"/>
                  <w:hideMark/>
                </w:tcPr>
                <w:p w14:paraId="42C0CBAB" w14:textId="643A50E1" w:rsidR="00833659" w:rsidRPr="00833659" w:rsidRDefault="00041B84" w:rsidP="00833659">
                  <w:pPr>
                    <w:spacing w:line="240" w:lineRule="exact"/>
                    <w:contextualSpacing/>
                    <w:jc w:val="right"/>
                    <w:rPr>
                      <w:rFonts w:ascii="Arial" w:hAnsi="Arial" w:cs="Arial"/>
                      <w:sz w:val="20"/>
                      <w:lang w:eastAsia="en-IN"/>
                    </w:rPr>
                  </w:pPr>
                  <w:r>
                    <w:rPr>
                      <w:rFonts w:ascii="Arial" w:hAnsi="Arial" w:cs="Arial"/>
                      <w:sz w:val="20"/>
                      <w:lang w:eastAsia="en-IN"/>
                    </w:rPr>
                    <w:t>2,790</w:t>
                  </w:r>
                </w:p>
              </w:tc>
              <w:tc>
                <w:tcPr>
                  <w:tcW w:w="910" w:type="dxa"/>
                  <w:tcBorders>
                    <w:top w:val="nil"/>
                    <w:left w:val="nil"/>
                    <w:bottom w:val="nil"/>
                    <w:right w:val="nil"/>
                  </w:tcBorders>
                  <w:shd w:val="clear" w:color="auto" w:fill="auto"/>
                  <w:noWrap/>
                  <w:vAlign w:val="center"/>
                  <w:hideMark/>
                </w:tcPr>
                <w:p w14:paraId="795226AD" w14:textId="04FA36E6" w:rsidR="00833659" w:rsidRPr="00833659" w:rsidRDefault="00041B84" w:rsidP="00833659">
                  <w:pPr>
                    <w:spacing w:line="240" w:lineRule="exact"/>
                    <w:contextualSpacing/>
                    <w:jc w:val="right"/>
                    <w:rPr>
                      <w:rFonts w:ascii="Arial" w:hAnsi="Arial" w:cs="Arial"/>
                      <w:b/>
                      <w:sz w:val="20"/>
                      <w:lang w:eastAsia="en-IN"/>
                    </w:rPr>
                  </w:pPr>
                  <w:r>
                    <w:rPr>
                      <w:rFonts w:ascii="Arial" w:hAnsi="Arial" w:cs="Arial"/>
                      <w:b/>
                      <w:sz w:val="20"/>
                      <w:lang w:eastAsia="en-IN"/>
                    </w:rPr>
                    <w:t>14,328</w:t>
                  </w:r>
                </w:p>
              </w:tc>
            </w:tr>
            <w:tr w:rsidR="00833659" w:rsidRPr="00833659" w14:paraId="2E2DD0DC" w14:textId="77777777" w:rsidTr="002E7B6F">
              <w:trPr>
                <w:trHeight w:val="20"/>
              </w:trPr>
              <w:tc>
                <w:tcPr>
                  <w:tcW w:w="3666" w:type="dxa"/>
                  <w:tcBorders>
                    <w:top w:val="nil"/>
                    <w:left w:val="nil"/>
                    <w:bottom w:val="nil"/>
                    <w:right w:val="nil"/>
                  </w:tcBorders>
                  <w:shd w:val="clear" w:color="auto" w:fill="auto"/>
                  <w:vAlign w:val="bottom"/>
                  <w:hideMark/>
                </w:tcPr>
                <w:p w14:paraId="7DDDF6D9" w14:textId="77777777" w:rsidR="00833659" w:rsidRPr="00833659" w:rsidRDefault="00833659" w:rsidP="00833659">
                  <w:pPr>
                    <w:spacing w:line="240" w:lineRule="exact"/>
                    <w:ind w:left="318"/>
                    <w:contextualSpacing/>
                    <w:rPr>
                      <w:rFonts w:ascii="Arial" w:hAnsi="Arial" w:cs="Arial"/>
                      <w:sz w:val="20"/>
                      <w:lang w:eastAsia="en-IN"/>
                    </w:rPr>
                  </w:pPr>
                  <w:r w:rsidRPr="00833659">
                    <w:rPr>
                      <w:rFonts w:ascii="Arial" w:hAnsi="Arial" w:cs="Arial"/>
                      <w:sz w:val="20"/>
                      <w:lang w:eastAsia="en-IN"/>
                    </w:rPr>
                    <w:t>Average forward rate (INR/GBP)</w:t>
                  </w:r>
                </w:p>
              </w:tc>
              <w:tc>
                <w:tcPr>
                  <w:tcW w:w="1100" w:type="dxa"/>
                  <w:tcBorders>
                    <w:top w:val="nil"/>
                    <w:left w:val="nil"/>
                    <w:bottom w:val="nil"/>
                    <w:right w:val="nil"/>
                  </w:tcBorders>
                  <w:shd w:val="clear" w:color="auto" w:fill="auto"/>
                  <w:noWrap/>
                  <w:vAlign w:val="center"/>
                  <w:hideMark/>
                </w:tcPr>
                <w:p w14:paraId="4753D6AC"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92.32</w:t>
                  </w:r>
                </w:p>
              </w:tc>
              <w:tc>
                <w:tcPr>
                  <w:tcW w:w="1100" w:type="dxa"/>
                  <w:tcBorders>
                    <w:top w:val="nil"/>
                    <w:left w:val="nil"/>
                    <w:bottom w:val="nil"/>
                    <w:right w:val="nil"/>
                  </w:tcBorders>
                  <w:shd w:val="clear" w:color="auto" w:fill="auto"/>
                  <w:noWrap/>
                  <w:vAlign w:val="center"/>
                  <w:hideMark/>
                </w:tcPr>
                <w:p w14:paraId="765F576D"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92.67</w:t>
                  </w:r>
                </w:p>
              </w:tc>
              <w:tc>
                <w:tcPr>
                  <w:tcW w:w="1100" w:type="dxa"/>
                  <w:tcBorders>
                    <w:top w:val="nil"/>
                    <w:left w:val="nil"/>
                    <w:bottom w:val="nil"/>
                    <w:right w:val="nil"/>
                  </w:tcBorders>
                  <w:shd w:val="clear" w:color="auto" w:fill="auto"/>
                  <w:noWrap/>
                  <w:vAlign w:val="center"/>
                  <w:hideMark/>
                </w:tcPr>
                <w:p w14:paraId="42A9F3B9"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94.65</w:t>
                  </w:r>
                </w:p>
              </w:tc>
              <w:tc>
                <w:tcPr>
                  <w:tcW w:w="1000" w:type="dxa"/>
                  <w:tcBorders>
                    <w:top w:val="nil"/>
                    <w:left w:val="nil"/>
                    <w:bottom w:val="nil"/>
                    <w:right w:val="nil"/>
                  </w:tcBorders>
                  <w:shd w:val="clear" w:color="auto" w:fill="auto"/>
                  <w:noWrap/>
                  <w:vAlign w:val="center"/>
                  <w:hideMark/>
                </w:tcPr>
                <w:p w14:paraId="0CF7D541"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95.02</w:t>
                  </w:r>
                </w:p>
              </w:tc>
              <w:tc>
                <w:tcPr>
                  <w:tcW w:w="1000" w:type="dxa"/>
                  <w:tcBorders>
                    <w:top w:val="nil"/>
                    <w:left w:val="nil"/>
                    <w:bottom w:val="nil"/>
                    <w:right w:val="nil"/>
                  </w:tcBorders>
                  <w:shd w:val="clear" w:color="auto" w:fill="auto"/>
                  <w:noWrap/>
                  <w:vAlign w:val="center"/>
                  <w:hideMark/>
                </w:tcPr>
                <w:p w14:paraId="1ABCD850"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95.2</w:t>
                  </w:r>
                </w:p>
              </w:tc>
              <w:tc>
                <w:tcPr>
                  <w:tcW w:w="910" w:type="dxa"/>
                  <w:tcBorders>
                    <w:top w:val="nil"/>
                    <w:left w:val="nil"/>
                    <w:bottom w:val="nil"/>
                    <w:right w:val="nil"/>
                  </w:tcBorders>
                  <w:shd w:val="clear" w:color="auto" w:fill="auto"/>
                  <w:noWrap/>
                  <w:vAlign w:val="center"/>
                  <w:hideMark/>
                </w:tcPr>
                <w:p w14:paraId="59C3234B" w14:textId="77777777" w:rsidR="00833659" w:rsidRPr="00833659" w:rsidRDefault="00833659" w:rsidP="00833659">
                  <w:pPr>
                    <w:spacing w:line="240" w:lineRule="exact"/>
                    <w:contextualSpacing/>
                    <w:jc w:val="right"/>
                    <w:rPr>
                      <w:rFonts w:ascii="Arial" w:hAnsi="Arial" w:cs="Arial"/>
                      <w:b/>
                      <w:sz w:val="20"/>
                      <w:lang w:eastAsia="en-IN"/>
                    </w:rPr>
                  </w:pPr>
                </w:p>
              </w:tc>
            </w:tr>
            <w:tr w:rsidR="00833659" w:rsidRPr="00833659" w14:paraId="73CF26C7" w14:textId="77777777" w:rsidTr="002E7B6F">
              <w:trPr>
                <w:trHeight w:val="20"/>
              </w:trPr>
              <w:tc>
                <w:tcPr>
                  <w:tcW w:w="3666" w:type="dxa"/>
                  <w:tcBorders>
                    <w:top w:val="nil"/>
                    <w:left w:val="nil"/>
                    <w:bottom w:val="nil"/>
                    <w:right w:val="nil"/>
                  </w:tcBorders>
                  <w:shd w:val="clear" w:color="auto" w:fill="auto"/>
                  <w:noWrap/>
                  <w:vAlign w:val="bottom"/>
                  <w:hideMark/>
                </w:tcPr>
                <w:p w14:paraId="2EB24EE1" w14:textId="77777777" w:rsidR="00833659" w:rsidRPr="00833659" w:rsidRDefault="00833659" w:rsidP="00833659">
                  <w:pPr>
                    <w:spacing w:line="240" w:lineRule="exact"/>
                    <w:contextualSpacing/>
                    <w:rPr>
                      <w:rFonts w:ascii="Arial" w:hAnsi="Arial" w:cs="Arial"/>
                      <w:sz w:val="20"/>
                      <w:lang w:eastAsia="en-IN"/>
                    </w:rPr>
                  </w:pPr>
                  <w:r w:rsidRPr="00833659">
                    <w:rPr>
                      <w:rFonts w:ascii="Arial" w:hAnsi="Arial" w:cs="Arial"/>
                      <w:sz w:val="20"/>
                      <w:lang w:eastAsia="en-IN"/>
                    </w:rPr>
                    <w:t xml:space="preserve">Commodity forward contracts </w:t>
                  </w:r>
                </w:p>
              </w:tc>
              <w:tc>
                <w:tcPr>
                  <w:tcW w:w="1100" w:type="dxa"/>
                  <w:tcBorders>
                    <w:top w:val="nil"/>
                    <w:left w:val="nil"/>
                    <w:bottom w:val="nil"/>
                    <w:right w:val="nil"/>
                  </w:tcBorders>
                  <w:shd w:val="clear" w:color="auto" w:fill="auto"/>
                  <w:vAlign w:val="center"/>
                </w:tcPr>
                <w:p w14:paraId="0988E81B" w14:textId="77777777" w:rsidR="00833659" w:rsidRPr="00833659" w:rsidRDefault="00833659" w:rsidP="00833659">
                  <w:pPr>
                    <w:spacing w:line="240" w:lineRule="exact"/>
                    <w:contextualSpacing/>
                    <w:jc w:val="right"/>
                    <w:rPr>
                      <w:rFonts w:ascii="Arial" w:hAnsi="Arial" w:cs="Arial"/>
                      <w:sz w:val="20"/>
                      <w:lang w:eastAsia="en-IN"/>
                    </w:rPr>
                  </w:pPr>
                </w:p>
              </w:tc>
              <w:tc>
                <w:tcPr>
                  <w:tcW w:w="1100" w:type="dxa"/>
                  <w:tcBorders>
                    <w:top w:val="nil"/>
                    <w:left w:val="nil"/>
                    <w:bottom w:val="nil"/>
                    <w:right w:val="nil"/>
                  </w:tcBorders>
                  <w:shd w:val="clear" w:color="auto" w:fill="auto"/>
                  <w:noWrap/>
                  <w:vAlign w:val="center"/>
                  <w:hideMark/>
                </w:tcPr>
                <w:p w14:paraId="643D0988" w14:textId="77777777" w:rsidR="00833659" w:rsidRPr="00833659" w:rsidRDefault="00833659" w:rsidP="00833659">
                  <w:pPr>
                    <w:spacing w:line="240" w:lineRule="exact"/>
                    <w:contextualSpacing/>
                    <w:jc w:val="right"/>
                    <w:rPr>
                      <w:rFonts w:ascii="Arial" w:hAnsi="Arial" w:cs="Arial"/>
                      <w:sz w:val="20"/>
                      <w:lang w:eastAsia="en-IN"/>
                    </w:rPr>
                  </w:pPr>
                </w:p>
              </w:tc>
              <w:tc>
                <w:tcPr>
                  <w:tcW w:w="1100" w:type="dxa"/>
                  <w:tcBorders>
                    <w:top w:val="nil"/>
                    <w:left w:val="nil"/>
                    <w:bottom w:val="nil"/>
                    <w:right w:val="nil"/>
                  </w:tcBorders>
                  <w:shd w:val="clear" w:color="auto" w:fill="auto"/>
                  <w:noWrap/>
                  <w:vAlign w:val="center"/>
                  <w:hideMark/>
                </w:tcPr>
                <w:p w14:paraId="14A38951" w14:textId="77777777" w:rsidR="00833659" w:rsidRPr="00833659" w:rsidRDefault="00833659" w:rsidP="00833659">
                  <w:pPr>
                    <w:spacing w:line="240" w:lineRule="exact"/>
                    <w:contextualSpacing/>
                    <w:jc w:val="right"/>
                    <w:rPr>
                      <w:rFonts w:ascii="Arial" w:hAnsi="Arial" w:cs="Arial"/>
                      <w:sz w:val="20"/>
                      <w:lang w:eastAsia="en-IN"/>
                    </w:rPr>
                  </w:pPr>
                </w:p>
              </w:tc>
              <w:tc>
                <w:tcPr>
                  <w:tcW w:w="1000" w:type="dxa"/>
                  <w:tcBorders>
                    <w:top w:val="nil"/>
                    <w:left w:val="nil"/>
                    <w:bottom w:val="nil"/>
                    <w:right w:val="nil"/>
                  </w:tcBorders>
                  <w:shd w:val="clear" w:color="auto" w:fill="auto"/>
                  <w:noWrap/>
                  <w:vAlign w:val="center"/>
                  <w:hideMark/>
                </w:tcPr>
                <w:p w14:paraId="60D792E9" w14:textId="77777777" w:rsidR="00833659" w:rsidRPr="00833659" w:rsidRDefault="00833659" w:rsidP="00833659">
                  <w:pPr>
                    <w:spacing w:line="240" w:lineRule="exact"/>
                    <w:contextualSpacing/>
                    <w:jc w:val="right"/>
                    <w:rPr>
                      <w:rFonts w:ascii="Arial" w:hAnsi="Arial" w:cs="Arial"/>
                      <w:sz w:val="20"/>
                      <w:lang w:eastAsia="en-IN"/>
                    </w:rPr>
                  </w:pPr>
                </w:p>
              </w:tc>
              <w:tc>
                <w:tcPr>
                  <w:tcW w:w="1000" w:type="dxa"/>
                  <w:tcBorders>
                    <w:top w:val="nil"/>
                    <w:left w:val="nil"/>
                    <w:bottom w:val="nil"/>
                    <w:right w:val="nil"/>
                  </w:tcBorders>
                  <w:shd w:val="clear" w:color="auto" w:fill="auto"/>
                  <w:noWrap/>
                  <w:vAlign w:val="center"/>
                  <w:hideMark/>
                </w:tcPr>
                <w:p w14:paraId="492BCE1C" w14:textId="77777777" w:rsidR="00833659" w:rsidRPr="00833659" w:rsidRDefault="00833659" w:rsidP="00833659">
                  <w:pPr>
                    <w:spacing w:line="240" w:lineRule="exact"/>
                    <w:contextualSpacing/>
                    <w:jc w:val="right"/>
                    <w:rPr>
                      <w:rFonts w:ascii="Arial" w:hAnsi="Arial" w:cs="Arial"/>
                      <w:sz w:val="20"/>
                      <w:lang w:eastAsia="en-IN"/>
                    </w:rPr>
                  </w:pPr>
                </w:p>
              </w:tc>
              <w:tc>
                <w:tcPr>
                  <w:tcW w:w="910" w:type="dxa"/>
                  <w:tcBorders>
                    <w:top w:val="nil"/>
                    <w:left w:val="nil"/>
                    <w:bottom w:val="nil"/>
                    <w:right w:val="nil"/>
                  </w:tcBorders>
                  <w:shd w:val="clear" w:color="auto" w:fill="auto"/>
                  <w:noWrap/>
                  <w:vAlign w:val="center"/>
                  <w:hideMark/>
                </w:tcPr>
                <w:p w14:paraId="308EDD5E" w14:textId="77777777" w:rsidR="00833659" w:rsidRPr="00833659" w:rsidRDefault="00833659" w:rsidP="00833659">
                  <w:pPr>
                    <w:spacing w:line="240" w:lineRule="exact"/>
                    <w:contextualSpacing/>
                    <w:jc w:val="right"/>
                    <w:rPr>
                      <w:rFonts w:ascii="Arial" w:hAnsi="Arial" w:cs="Arial"/>
                      <w:b/>
                      <w:sz w:val="20"/>
                      <w:lang w:eastAsia="en-IN"/>
                    </w:rPr>
                  </w:pPr>
                </w:p>
              </w:tc>
            </w:tr>
            <w:tr w:rsidR="00833659" w:rsidRPr="00833659" w14:paraId="31B4F5BA" w14:textId="77777777" w:rsidTr="002E7B6F">
              <w:trPr>
                <w:trHeight w:val="20"/>
              </w:trPr>
              <w:tc>
                <w:tcPr>
                  <w:tcW w:w="3666" w:type="dxa"/>
                  <w:tcBorders>
                    <w:top w:val="nil"/>
                    <w:left w:val="nil"/>
                    <w:bottom w:val="nil"/>
                    <w:right w:val="nil"/>
                  </w:tcBorders>
                  <w:shd w:val="clear" w:color="auto" w:fill="auto"/>
                  <w:noWrap/>
                  <w:vAlign w:val="bottom"/>
                  <w:hideMark/>
                </w:tcPr>
                <w:p w14:paraId="6D0F9301" w14:textId="77777777" w:rsidR="00833659" w:rsidRPr="00833659" w:rsidRDefault="00833659" w:rsidP="00833659">
                  <w:pPr>
                    <w:spacing w:line="240" w:lineRule="exact"/>
                    <w:ind w:left="318"/>
                    <w:contextualSpacing/>
                    <w:rPr>
                      <w:rFonts w:ascii="Arial" w:hAnsi="Arial" w:cs="Arial"/>
                      <w:sz w:val="20"/>
                      <w:lang w:eastAsia="en-IN"/>
                    </w:rPr>
                  </w:pPr>
                  <w:r w:rsidRPr="00833659">
                    <w:rPr>
                      <w:rFonts w:ascii="Arial" w:hAnsi="Arial" w:cs="Arial"/>
                      <w:sz w:val="20"/>
                      <w:lang w:eastAsia="en-IN"/>
                    </w:rPr>
                    <w:t>Notional qty (in tonnes)</w:t>
                  </w:r>
                </w:p>
              </w:tc>
              <w:tc>
                <w:tcPr>
                  <w:tcW w:w="1100" w:type="dxa"/>
                  <w:tcBorders>
                    <w:top w:val="nil"/>
                    <w:left w:val="nil"/>
                    <w:bottom w:val="nil"/>
                    <w:right w:val="nil"/>
                  </w:tcBorders>
                  <w:shd w:val="clear" w:color="auto" w:fill="auto"/>
                  <w:noWrap/>
                  <w:vAlign w:val="center"/>
                  <w:hideMark/>
                </w:tcPr>
                <w:p w14:paraId="0987912A"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w:t>
                  </w:r>
                </w:p>
              </w:tc>
              <w:tc>
                <w:tcPr>
                  <w:tcW w:w="1100" w:type="dxa"/>
                  <w:tcBorders>
                    <w:top w:val="nil"/>
                    <w:left w:val="nil"/>
                    <w:bottom w:val="nil"/>
                    <w:right w:val="nil"/>
                  </w:tcBorders>
                  <w:shd w:val="clear" w:color="auto" w:fill="auto"/>
                  <w:noWrap/>
                  <w:vAlign w:val="center"/>
                  <w:hideMark/>
                </w:tcPr>
                <w:p w14:paraId="30D8BF37"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w:t>
                  </w:r>
                </w:p>
              </w:tc>
              <w:tc>
                <w:tcPr>
                  <w:tcW w:w="1100" w:type="dxa"/>
                  <w:tcBorders>
                    <w:top w:val="nil"/>
                    <w:left w:val="nil"/>
                    <w:bottom w:val="nil"/>
                    <w:right w:val="nil"/>
                  </w:tcBorders>
                  <w:shd w:val="clear" w:color="auto" w:fill="auto"/>
                  <w:noWrap/>
                  <w:vAlign w:val="center"/>
                  <w:hideMark/>
                </w:tcPr>
                <w:p w14:paraId="062C7B59"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 xml:space="preserve"> 450 </w:t>
                  </w:r>
                </w:p>
              </w:tc>
              <w:tc>
                <w:tcPr>
                  <w:tcW w:w="1000" w:type="dxa"/>
                  <w:tcBorders>
                    <w:top w:val="nil"/>
                    <w:left w:val="nil"/>
                    <w:bottom w:val="nil"/>
                    <w:right w:val="nil"/>
                  </w:tcBorders>
                  <w:shd w:val="clear" w:color="auto" w:fill="auto"/>
                  <w:noWrap/>
                  <w:vAlign w:val="center"/>
                  <w:hideMark/>
                </w:tcPr>
                <w:p w14:paraId="7384BB0E"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 xml:space="preserve"> 530 </w:t>
                  </w:r>
                </w:p>
              </w:tc>
              <w:tc>
                <w:tcPr>
                  <w:tcW w:w="1000" w:type="dxa"/>
                  <w:tcBorders>
                    <w:top w:val="nil"/>
                    <w:left w:val="nil"/>
                    <w:bottom w:val="nil"/>
                    <w:right w:val="nil"/>
                  </w:tcBorders>
                  <w:shd w:val="clear" w:color="auto" w:fill="auto"/>
                  <w:noWrap/>
                  <w:vAlign w:val="center"/>
                  <w:hideMark/>
                </w:tcPr>
                <w:p w14:paraId="4608EAFE"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w:t>
                  </w:r>
                </w:p>
              </w:tc>
              <w:tc>
                <w:tcPr>
                  <w:tcW w:w="910" w:type="dxa"/>
                  <w:tcBorders>
                    <w:top w:val="nil"/>
                    <w:left w:val="nil"/>
                    <w:bottom w:val="nil"/>
                    <w:right w:val="nil"/>
                  </w:tcBorders>
                  <w:shd w:val="clear" w:color="auto" w:fill="auto"/>
                  <w:noWrap/>
                  <w:vAlign w:val="center"/>
                  <w:hideMark/>
                </w:tcPr>
                <w:p w14:paraId="5F2BE31F" w14:textId="77777777" w:rsidR="00833659" w:rsidRPr="00833659" w:rsidRDefault="00833659" w:rsidP="00833659">
                  <w:pPr>
                    <w:spacing w:line="240" w:lineRule="exact"/>
                    <w:contextualSpacing/>
                    <w:jc w:val="right"/>
                    <w:rPr>
                      <w:rFonts w:ascii="Arial" w:hAnsi="Arial" w:cs="Arial"/>
                      <w:b/>
                      <w:sz w:val="20"/>
                      <w:lang w:eastAsia="en-IN"/>
                    </w:rPr>
                  </w:pPr>
                  <w:r w:rsidRPr="00833659">
                    <w:rPr>
                      <w:rFonts w:ascii="Arial" w:hAnsi="Arial" w:cs="Arial"/>
                      <w:b/>
                      <w:sz w:val="20"/>
                      <w:lang w:eastAsia="en-IN"/>
                    </w:rPr>
                    <w:t xml:space="preserve"> 980 </w:t>
                  </w:r>
                </w:p>
              </w:tc>
            </w:tr>
            <w:tr w:rsidR="00833659" w:rsidRPr="00833659" w14:paraId="2259D528" w14:textId="77777777" w:rsidTr="002E7B6F">
              <w:trPr>
                <w:trHeight w:val="20"/>
              </w:trPr>
              <w:tc>
                <w:tcPr>
                  <w:tcW w:w="3666" w:type="dxa"/>
                  <w:tcBorders>
                    <w:top w:val="nil"/>
                    <w:left w:val="nil"/>
                    <w:bottom w:val="nil"/>
                    <w:right w:val="nil"/>
                  </w:tcBorders>
                  <w:shd w:val="clear" w:color="auto" w:fill="auto"/>
                  <w:noWrap/>
                  <w:vAlign w:val="bottom"/>
                  <w:hideMark/>
                </w:tcPr>
                <w:p w14:paraId="0643B5C5" w14:textId="77777777" w:rsidR="00833659" w:rsidRPr="00833659" w:rsidRDefault="00833659" w:rsidP="00833659">
                  <w:pPr>
                    <w:spacing w:line="240" w:lineRule="exact"/>
                    <w:ind w:left="318"/>
                    <w:contextualSpacing/>
                    <w:rPr>
                      <w:rFonts w:ascii="Arial" w:hAnsi="Arial" w:cs="Arial"/>
                      <w:sz w:val="20"/>
                      <w:lang w:eastAsia="en-IN"/>
                    </w:rPr>
                  </w:pPr>
                  <w:r w:rsidRPr="00833659">
                    <w:rPr>
                      <w:rFonts w:ascii="Arial" w:hAnsi="Arial" w:cs="Arial"/>
                      <w:sz w:val="20"/>
                      <w:lang w:eastAsia="en-IN"/>
                    </w:rPr>
                    <w:t xml:space="preserve">Notional amount (in INR lacs) </w:t>
                  </w:r>
                </w:p>
              </w:tc>
              <w:tc>
                <w:tcPr>
                  <w:tcW w:w="1100" w:type="dxa"/>
                  <w:tcBorders>
                    <w:top w:val="nil"/>
                    <w:left w:val="nil"/>
                    <w:bottom w:val="nil"/>
                    <w:right w:val="nil"/>
                  </w:tcBorders>
                  <w:shd w:val="clear" w:color="auto" w:fill="auto"/>
                  <w:noWrap/>
                  <w:vAlign w:val="center"/>
                  <w:hideMark/>
                </w:tcPr>
                <w:p w14:paraId="6EA0E7D5"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w:t>
                  </w:r>
                </w:p>
              </w:tc>
              <w:tc>
                <w:tcPr>
                  <w:tcW w:w="1100" w:type="dxa"/>
                  <w:tcBorders>
                    <w:top w:val="nil"/>
                    <w:left w:val="nil"/>
                    <w:bottom w:val="nil"/>
                    <w:right w:val="nil"/>
                  </w:tcBorders>
                  <w:shd w:val="clear" w:color="auto" w:fill="auto"/>
                  <w:noWrap/>
                  <w:vAlign w:val="center"/>
                  <w:hideMark/>
                </w:tcPr>
                <w:p w14:paraId="2DEAC918"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w:t>
                  </w:r>
                </w:p>
              </w:tc>
              <w:tc>
                <w:tcPr>
                  <w:tcW w:w="1100" w:type="dxa"/>
                  <w:tcBorders>
                    <w:top w:val="nil"/>
                    <w:left w:val="nil"/>
                    <w:bottom w:val="nil"/>
                    <w:right w:val="nil"/>
                  </w:tcBorders>
                  <w:shd w:val="clear" w:color="auto" w:fill="auto"/>
                  <w:noWrap/>
                  <w:vAlign w:val="center"/>
                  <w:hideMark/>
                </w:tcPr>
                <w:p w14:paraId="23317B28"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 xml:space="preserve"> 4,680 </w:t>
                  </w:r>
                </w:p>
              </w:tc>
              <w:tc>
                <w:tcPr>
                  <w:tcW w:w="1000" w:type="dxa"/>
                  <w:tcBorders>
                    <w:top w:val="nil"/>
                    <w:left w:val="nil"/>
                    <w:bottom w:val="nil"/>
                    <w:right w:val="nil"/>
                  </w:tcBorders>
                  <w:shd w:val="clear" w:color="auto" w:fill="auto"/>
                  <w:noWrap/>
                  <w:vAlign w:val="center"/>
                  <w:hideMark/>
                </w:tcPr>
                <w:p w14:paraId="3C4E746A"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 xml:space="preserve"> 5,400 </w:t>
                  </w:r>
                </w:p>
              </w:tc>
              <w:tc>
                <w:tcPr>
                  <w:tcW w:w="1000" w:type="dxa"/>
                  <w:tcBorders>
                    <w:top w:val="nil"/>
                    <w:left w:val="nil"/>
                    <w:bottom w:val="nil"/>
                    <w:right w:val="nil"/>
                  </w:tcBorders>
                  <w:shd w:val="clear" w:color="auto" w:fill="auto"/>
                  <w:noWrap/>
                  <w:vAlign w:val="center"/>
                  <w:hideMark/>
                </w:tcPr>
                <w:p w14:paraId="28D4D9E8"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w:t>
                  </w:r>
                </w:p>
              </w:tc>
              <w:tc>
                <w:tcPr>
                  <w:tcW w:w="910" w:type="dxa"/>
                  <w:tcBorders>
                    <w:top w:val="nil"/>
                    <w:left w:val="nil"/>
                    <w:bottom w:val="nil"/>
                    <w:right w:val="nil"/>
                  </w:tcBorders>
                  <w:shd w:val="clear" w:color="auto" w:fill="auto"/>
                  <w:noWrap/>
                  <w:vAlign w:val="center"/>
                  <w:hideMark/>
                </w:tcPr>
                <w:p w14:paraId="08B85321" w14:textId="77777777" w:rsidR="00833659" w:rsidRPr="00833659" w:rsidRDefault="00833659" w:rsidP="00833659">
                  <w:pPr>
                    <w:spacing w:line="240" w:lineRule="exact"/>
                    <w:contextualSpacing/>
                    <w:jc w:val="right"/>
                    <w:rPr>
                      <w:rFonts w:ascii="Arial" w:hAnsi="Arial" w:cs="Arial"/>
                      <w:b/>
                      <w:sz w:val="20"/>
                      <w:lang w:eastAsia="en-IN"/>
                    </w:rPr>
                  </w:pPr>
                  <w:r w:rsidRPr="00833659">
                    <w:rPr>
                      <w:rFonts w:ascii="Arial" w:hAnsi="Arial" w:cs="Arial"/>
                      <w:b/>
                      <w:sz w:val="20"/>
                      <w:lang w:eastAsia="en-IN"/>
                    </w:rPr>
                    <w:t>10,080</w:t>
                  </w:r>
                </w:p>
              </w:tc>
            </w:tr>
            <w:tr w:rsidR="00833659" w:rsidRPr="00833659" w14:paraId="2486FE17" w14:textId="77777777" w:rsidTr="002E7B6F">
              <w:trPr>
                <w:trHeight w:val="20"/>
              </w:trPr>
              <w:tc>
                <w:tcPr>
                  <w:tcW w:w="3666" w:type="dxa"/>
                  <w:tcBorders>
                    <w:top w:val="nil"/>
                    <w:left w:val="nil"/>
                    <w:bottom w:val="nil"/>
                    <w:right w:val="nil"/>
                  </w:tcBorders>
                  <w:shd w:val="clear" w:color="auto" w:fill="auto"/>
                  <w:vAlign w:val="bottom"/>
                  <w:hideMark/>
                </w:tcPr>
                <w:p w14:paraId="6B5333E6" w14:textId="77777777" w:rsidR="00833659" w:rsidRPr="00833659" w:rsidRDefault="00833659" w:rsidP="00833659">
                  <w:pPr>
                    <w:spacing w:line="240" w:lineRule="exact"/>
                    <w:ind w:left="318"/>
                    <w:contextualSpacing/>
                    <w:rPr>
                      <w:rFonts w:ascii="Arial" w:hAnsi="Arial" w:cs="Arial"/>
                      <w:sz w:val="20"/>
                      <w:lang w:eastAsia="en-IN"/>
                    </w:rPr>
                  </w:pPr>
                  <w:r w:rsidRPr="00833659">
                    <w:rPr>
                      <w:rFonts w:ascii="Arial" w:hAnsi="Arial" w:cs="Arial"/>
                      <w:sz w:val="20"/>
                      <w:lang w:eastAsia="en-IN"/>
                    </w:rPr>
                    <w:t>Average hedged rate (in INR lakhs per tonne)</w:t>
                  </w:r>
                </w:p>
              </w:tc>
              <w:tc>
                <w:tcPr>
                  <w:tcW w:w="1100" w:type="dxa"/>
                  <w:tcBorders>
                    <w:top w:val="nil"/>
                    <w:left w:val="nil"/>
                    <w:bottom w:val="nil"/>
                    <w:right w:val="nil"/>
                  </w:tcBorders>
                  <w:shd w:val="clear" w:color="auto" w:fill="auto"/>
                  <w:noWrap/>
                  <w:vAlign w:val="center"/>
                  <w:hideMark/>
                </w:tcPr>
                <w:p w14:paraId="71FAEC9F"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w:t>
                  </w:r>
                </w:p>
              </w:tc>
              <w:tc>
                <w:tcPr>
                  <w:tcW w:w="1100" w:type="dxa"/>
                  <w:tcBorders>
                    <w:top w:val="nil"/>
                    <w:left w:val="nil"/>
                    <w:bottom w:val="nil"/>
                    <w:right w:val="nil"/>
                  </w:tcBorders>
                  <w:shd w:val="clear" w:color="auto" w:fill="auto"/>
                  <w:noWrap/>
                  <w:vAlign w:val="center"/>
                  <w:hideMark/>
                </w:tcPr>
                <w:p w14:paraId="42548985"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w:t>
                  </w:r>
                </w:p>
              </w:tc>
              <w:tc>
                <w:tcPr>
                  <w:tcW w:w="1100" w:type="dxa"/>
                  <w:tcBorders>
                    <w:top w:val="nil"/>
                    <w:left w:val="nil"/>
                    <w:bottom w:val="nil"/>
                    <w:right w:val="nil"/>
                  </w:tcBorders>
                  <w:shd w:val="clear" w:color="auto" w:fill="auto"/>
                  <w:noWrap/>
                  <w:vAlign w:val="center"/>
                  <w:hideMark/>
                </w:tcPr>
                <w:p w14:paraId="402C9399"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10.4</w:t>
                  </w:r>
                </w:p>
              </w:tc>
              <w:tc>
                <w:tcPr>
                  <w:tcW w:w="1000" w:type="dxa"/>
                  <w:tcBorders>
                    <w:top w:val="nil"/>
                    <w:left w:val="nil"/>
                    <w:bottom w:val="nil"/>
                    <w:right w:val="nil"/>
                  </w:tcBorders>
                  <w:shd w:val="clear" w:color="auto" w:fill="auto"/>
                  <w:noWrap/>
                  <w:vAlign w:val="center"/>
                  <w:hideMark/>
                </w:tcPr>
                <w:p w14:paraId="09273E16"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10.19</w:t>
                  </w:r>
                </w:p>
              </w:tc>
              <w:tc>
                <w:tcPr>
                  <w:tcW w:w="1000" w:type="dxa"/>
                  <w:tcBorders>
                    <w:top w:val="nil"/>
                    <w:left w:val="nil"/>
                    <w:bottom w:val="nil"/>
                    <w:right w:val="nil"/>
                  </w:tcBorders>
                  <w:shd w:val="clear" w:color="auto" w:fill="auto"/>
                  <w:noWrap/>
                  <w:vAlign w:val="center"/>
                  <w:hideMark/>
                </w:tcPr>
                <w:p w14:paraId="41857BE1"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w:t>
                  </w:r>
                </w:p>
              </w:tc>
              <w:tc>
                <w:tcPr>
                  <w:tcW w:w="910" w:type="dxa"/>
                  <w:tcBorders>
                    <w:top w:val="nil"/>
                    <w:left w:val="nil"/>
                    <w:bottom w:val="nil"/>
                    <w:right w:val="nil"/>
                  </w:tcBorders>
                  <w:shd w:val="clear" w:color="auto" w:fill="auto"/>
                  <w:noWrap/>
                  <w:vAlign w:val="center"/>
                  <w:hideMark/>
                </w:tcPr>
                <w:p w14:paraId="38EE2ED2" w14:textId="77777777" w:rsidR="00833659" w:rsidRPr="00833659" w:rsidRDefault="00833659" w:rsidP="00833659">
                  <w:pPr>
                    <w:spacing w:line="240" w:lineRule="exact"/>
                    <w:contextualSpacing/>
                    <w:jc w:val="right"/>
                    <w:rPr>
                      <w:rFonts w:ascii="Arial" w:hAnsi="Arial" w:cs="Arial"/>
                      <w:b/>
                      <w:sz w:val="20"/>
                      <w:lang w:eastAsia="en-IN"/>
                    </w:rPr>
                  </w:pPr>
                </w:p>
              </w:tc>
            </w:tr>
            <w:tr w:rsidR="00833659" w:rsidRPr="00833659" w14:paraId="67AB7044" w14:textId="77777777" w:rsidTr="002E7B6F">
              <w:trPr>
                <w:trHeight w:val="20"/>
              </w:trPr>
              <w:tc>
                <w:tcPr>
                  <w:tcW w:w="3666" w:type="dxa"/>
                  <w:tcBorders>
                    <w:top w:val="nil"/>
                    <w:left w:val="nil"/>
                    <w:bottom w:val="nil"/>
                    <w:right w:val="nil"/>
                  </w:tcBorders>
                  <w:shd w:val="clear" w:color="auto" w:fill="auto"/>
                  <w:noWrap/>
                  <w:vAlign w:val="bottom"/>
                  <w:hideMark/>
                </w:tcPr>
                <w:p w14:paraId="69CE7CFD" w14:textId="65E668AE" w:rsidR="00833659" w:rsidRPr="00833659" w:rsidRDefault="00833659" w:rsidP="00833659">
                  <w:pPr>
                    <w:spacing w:line="240" w:lineRule="exact"/>
                    <w:contextualSpacing/>
                    <w:rPr>
                      <w:rFonts w:ascii="Arial" w:hAnsi="Arial" w:cs="Arial"/>
                      <w:b/>
                      <w:bCs/>
                      <w:sz w:val="20"/>
                      <w:lang w:eastAsia="en-IN"/>
                    </w:rPr>
                  </w:pPr>
                  <w:r w:rsidRPr="00833659">
                    <w:rPr>
                      <w:rFonts w:ascii="Arial" w:hAnsi="Arial" w:cs="Arial"/>
                      <w:b/>
                      <w:bCs/>
                      <w:sz w:val="20"/>
                      <w:lang w:eastAsia="en-IN"/>
                    </w:rPr>
                    <w:t>At 31 March 20</w:t>
                  </w:r>
                  <w:r w:rsidR="00041B84">
                    <w:rPr>
                      <w:rFonts w:ascii="Arial" w:hAnsi="Arial" w:cs="Arial"/>
                      <w:b/>
                      <w:bCs/>
                      <w:sz w:val="20"/>
                      <w:lang w:eastAsia="en-IN"/>
                    </w:rPr>
                    <w:t>20</w:t>
                  </w:r>
                </w:p>
              </w:tc>
              <w:tc>
                <w:tcPr>
                  <w:tcW w:w="1100" w:type="dxa"/>
                  <w:tcBorders>
                    <w:top w:val="nil"/>
                    <w:left w:val="nil"/>
                    <w:bottom w:val="nil"/>
                    <w:right w:val="nil"/>
                  </w:tcBorders>
                  <w:shd w:val="clear" w:color="auto" w:fill="auto"/>
                  <w:noWrap/>
                  <w:vAlign w:val="center"/>
                  <w:hideMark/>
                </w:tcPr>
                <w:p w14:paraId="319DDE70" w14:textId="77777777" w:rsidR="00833659" w:rsidRPr="00833659" w:rsidRDefault="00833659" w:rsidP="00833659">
                  <w:pPr>
                    <w:spacing w:line="240" w:lineRule="exact"/>
                    <w:contextualSpacing/>
                    <w:jc w:val="right"/>
                    <w:rPr>
                      <w:rFonts w:ascii="Arial" w:hAnsi="Arial" w:cs="Arial"/>
                      <w:b/>
                      <w:bCs/>
                      <w:sz w:val="20"/>
                      <w:lang w:eastAsia="en-IN"/>
                    </w:rPr>
                  </w:pPr>
                </w:p>
              </w:tc>
              <w:tc>
                <w:tcPr>
                  <w:tcW w:w="1100" w:type="dxa"/>
                  <w:tcBorders>
                    <w:top w:val="nil"/>
                    <w:left w:val="nil"/>
                    <w:bottom w:val="nil"/>
                    <w:right w:val="nil"/>
                  </w:tcBorders>
                  <w:shd w:val="clear" w:color="auto" w:fill="auto"/>
                  <w:noWrap/>
                  <w:vAlign w:val="center"/>
                  <w:hideMark/>
                </w:tcPr>
                <w:p w14:paraId="106B3114" w14:textId="77777777" w:rsidR="00833659" w:rsidRPr="00833659" w:rsidRDefault="00833659" w:rsidP="00833659">
                  <w:pPr>
                    <w:spacing w:line="240" w:lineRule="exact"/>
                    <w:contextualSpacing/>
                    <w:jc w:val="right"/>
                    <w:rPr>
                      <w:rFonts w:ascii="Arial" w:hAnsi="Arial" w:cs="Arial"/>
                      <w:sz w:val="20"/>
                      <w:lang w:eastAsia="en-IN"/>
                    </w:rPr>
                  </w:pPr>
                </w:p>
              </w:tc>
              <w:tc>
                <w:tcPr>
                  <w:tcW w:w="1100" w:type="dxa"/>
                  <w:tcBorders>
                    <w:top w:val="nil"/>
                    <w:left w:val="nil"/>
                    <w:bottom w:val="nil"/>
                    <w:right w:val="nil"/>
                  </w:tcBorders>
                  <w:shd w:val="clear" w:color="auto" w:fill="auto"/>
                  <w:noWrap/>
                  <w:vAlign w:val="center"/>
                  <w:hideMark/>
                </w:tcPr>
                <w:p w14:paraId="7B467D31" w14:textId="77777777" w:rsidR="00833659" w:rsidRPr="00833659" w:rsidRDefault="00833659" w:rsidP="00833659">
                  <w:pPr>
                    <w:spacing w:line="240" w:lineRule="exact"/>
                    <w:contextualSpacing/>
                    <w:jc w:val="right"/>
                    <w:rPr>
                      <w:rFonts w:ascii="Arial" w:hAnsi="Arial" w:cs="Arial"/>
                      <w:sz w:val="20"/>
                      <w:lang w:eastAsia="en-IN"/>
                    </w:rPr>
                  </w:pPr>
                </w:p>
              </w:tc>
              <w:tc>
                <w:tcPr>
                  <w:tcW w:w="1000" w:type="dxa"/>
                  <w:tcBorders>
                    <w:top w:val="nil"/>
                    <w:left w:val="nil"/>
                    <w:bottom w:val="nil"/>
                    <w:right w:val="nil"/>
                  </w:tcBorders>
                  <w:shd w:val="clear" w:color="auto" w:fill="auto"/>
                  <w:noWrap/>
                  <w:vAlign w:val="center"/>
                  <w:hideMark/>
                </w:tcPr>
                <w:p w14:paraId="5A3DB217" w14:textId="77777777" w:rsidR="00833659" w:rsidRPr="00833659" w:rsidRDefault="00833659" w:rsidP="00833659">
                  <w:pPr>
                    <w:spacing w:line="240" w:lineRule="exact"/>
                    <w:contextualSpacing/>
                    <w:jc w:val="right"/>
                    <w:rPr>
                      <w:rFonts w:ascii="Arial" w:hAnsi="Arial" w:cs="Arial"/>
                      <w:sz w:val="20"/>
                      <w:lang w:eastAsia="en-IN"/>
                    </w:rPr>
                  </w:pPr>
                </w:p>
              </w:tc>
              <w:tc>
                <w:tcPr>
                  <w:tcW w:w="1000" w:type="dxa"/>
                  <w:tcBorders>
                    <w:top w:val="nil"/>
                    <w:left w:val="nil"/>
                    <w:bottom w:val="nil"/>
                    <w:right w:val="nil"/>
                  </w:tcBorders>
                  <w:shd w:val="clear" w:color="auto" w:fill="auto"/>
                  <w:noWrap/>
                  <w:vAlign w:val="center"/>
                  <w:hideMark/>
                </w:tcPr>
                <w:p w14:paraId="0BE60EC6" w14:textId="77777777" w:rsidR="00833659" w:rsidRPr="00833659" w:rsidRDefault="00833659" w:rsidP="00833659">
                  <w:pPr>
                    <w:spacing w:line="240" w:lineRule="exact"/>
                    <w:contextualSpacing/>
                    <w:jc w:val="right"/>
                    <w:rPr>
                      <w:rFonts w:ascii="Arial" w:hAnsi="Arial" w:cs="Arial"/>
                      <w:sz w:val="20"/>
                      <w:lang w:eastAsia="en-IN"/>
                    </w:rPr>
                  </w:pPr>
                </w:p>
              </w:tc>
              <w:tc>
                <w:tcPr>
                  <w:tcW w:w="910" w:type="dxa"/>
                  <w:tcBorders>
                    <w:top w:val="nil"/>
                    <w:left w:val="nil"/>
                    <w:bottom w:val="nil"/>
                    <w:right w:val="nil"/>
                  </w:tcBorders>
                  <w:shd w:val="clear" w:color="auto" w:fill="auto"/>
                  <w:noWrap/>
                  <w:vAlign w:val="center"/>
                  <w:hideMark/>
                </w:tcPr>
                <w:p w14:paraId="13D1836C" w14:textId="77777777" w:rsidR="00833659" w:rsidRPr="00833659" w:rsidRDefault="00833659" w:rsidP="00833659">
                  <w:pPr>
                    <w:spacing w:line="240" w:lineRule="exact"/>
                    <w:contextualSpacing/>
                    <w:jc w:val="right"/>
                    <w:rPr>
                      <w:rFonts w:ascii="Arial" w:hAnsi="Arial" w:cs="Arial"/>
                      <w:b/>
                      <w:sz w:val="20"/>
                      <w:lang w:eastAsia="en-IN"/>
                    </w:rPr>
                  </w:pPr>
                </w:p>
              </w:tc>
            </w:tr>
            <w:tr w:rsidR="00833659" w:rsidRPr="00833659" w14:paraId="2C20C55C" w14:textId="77777777" w:rsidTr="002E7B6F">
              <w:trPr>
                <w:trHeight w:val="20"/>
              </w:trPr>
              <w:tc>
                <w:tcPr>
                  <w:tcW w:w="3666" w:type="dxa"/>
                  <w:tcBorders>
                    <w:top w:val="nil"/>
                    <w:left w:val="nil"/>
                    <w:bottom w:val="nil"/>
                    <w:right w:val="nil"/>
                  </w:tcBorders>
                  <w:shd w:val="clear" w:color="auto" w:fill="auto"/>
                  <w:vAlign w:val="bottom"/>
                  <w:hideMark/>
                </w:tcPr>
                <w:p w14:paraId="36FEDD16" w14:textId="77777777" w:rsidR="00833659" w:rsidRPr="00833659" w:rsidRDefault="00833659" w:rsidP="00833659">
                  <w:pPr>
                    <w:spacing w:line="240" w:lineRule="exact"/>
                    <w:contextualSpacing/>
                    <w:rPr>
                      <w:rFonts w:ascii="Arial" w:hAnsi="Arial" w:cs="Arial"/>
                      <w:sz w:val="20"/>
                      <w:lang w:eastAsia="en-IN"/>
                    </w:rPr>
                  </w:pPr>
                  <w:r w:rsidRPr="00833659">
                    <w:rPr>
                      <w:rFonts w:ascii="Arial" w:hAnsi="Arial" w:cs="Arial"/>
                      <w:sz w:val="20"/>
                      <w:lang w:eastAsia="en-IN"/>
                    </w:rPr>
                    <w:t xml:space="preserve">Foreign exchange forward contracts (highly </w:t>
                  </w:r>
                  <w:r w:rsidRPr="00833659">
                    <w:rPr>
                      <w:rFonts w:ascii="Arial" w:hAnsi="Arial" w:cs="Arial"/>
                      <w:sz w:val="20"/>
                      <w:lang w:eastAsia="en-IN"/>
                    </w:rPr>
                    <w:br/>
                    <w:t>probable forecast sales)</w:t>
                  </w:r>
                </w:p>
              </w:tc>
              <w:tc>
                <w:tcPr>
                  <w:tcW w:w="1100" w:type="dxa"/>
                  <w:tcBorders>
                    <w:top w:val="nil"/>
                    <w:left w:val="nil"/>
                    <w:bottom w:val="nil"/>
                    <w:right w:val="nil"/>
                  </w:tcBorders>
                  <w:shd w:val="clear" w:color="auto" w:fill="auto"/>
                  <w:noWrap/>
                  <w:vAlign w:val="center"/>
                  <w:hideMark/>
                </w:tcPr>
                <w:p w14:paraId="6A745C8C" w14:textId="77777777" w:rsidR="00833659" w:rsidRPr="00833659" w:rsidRDefault="00833659" w:rsidP="00833659">
                  <w:pPr>
                    <w:spacing w:line="240" w:lineRule="exact"/>
                    <w:contextualSpacing/>
                    <w:jc w:val="right"/>
                    <w:rPr>
                      <w:rFonts w:ascii="Arial" w:hAnsi="Arial" w:cs="Arial"/>
                      <w:sz w:val="20"/>
                      <w:lang w:eastAsia="en-IN"/>
                    </w:rPr>
                  </w:pPr>
                </w:p>
              </w:tc>
              <w:tc>
                <w:tcPr>
                  <w:tcW w:w="1100" w:type="dxa"/>
                  <w:tcBorders>
                    <w:top w:val="nil"/>
                    <w:left w:val="nil"/>
                    <w:bottom w:val="nil"/>
                    <w:right w:val="nil"/>
                  </w:tcBorders>
                  <w:shd w:val="clear" w:color="auto" w:fill="auto"/>
                  <w:noWrap/>
                  <w:vAlign w:val="center"/>
                  <w:hideMark/>
                </w:tcPr>
                <w:p w14:paraId="0D0F529C" w14:textId="77777777" w:rsidR="00833659" w:rsidRPr="00833659" w:rsidRDefault="00833659" w:rsidP="00833659">
                  <w:pPr>
                    <w:spacing w:line="240" w:lineRule="exact"/>
                    <w:contextualSpacing/>
                    <w:jc w:val="right"/>
                    <w:rPr>
                      <w:rFonts w:ascii="Arial" w:hAnsi="Arial" w:cs="Arial"/>
                      <w:sz w:val="20"/>
                      <w:lang w:eastAsia="en-IN"/>
                    </w:rPr>
                  </w:pPr>
                </w:p>
              </w:tc>
              <w:tc>
                <w:tcPr>
                  <w:tcW w:w="1100" w:type="dxa"/>
                  <w:tcBorders>
                    <w:top w:val="nil"/>
                    <w:left w:val="nil"/>
                    <w:bottom w:val="nil"/>
                    <w:right w:val="nil"/>
                  </w:tcBorders>
                  <w:shd w:val="clear" w:color="auto" w:fill="auto"/>
                  <w:noWrap/>
                  <w:vAlign w:val="center"/>
                  <w:hideMark/>
                </w:tcPr>
                <w:p w14:paraId="1FE0E5CB" w14:textId="77777777" w:rsidR="00833659" w:rsidRPr="00833659" w:rsidRDefault="00833659" w:rsidP="00833659">
                  <w:pPr>
                    <w:spacing w:line="240" w:lineRule="exact"/>
                    <w:contextualSpacing/>
                    <w:jc w:val="right"/>
                    <w:rPr>
                      <w:rFonts w:ascii="Arial" w:hAnsi="Arial" w:cs="Arial"/>
                      <w:sz w:val="20"/>
                      <w:lang w:eastAsia="en-IN"/>
                    </w:rPr>
                  </w:pPr>
                </w:p>
              </w:tc>
              <w:tc>
                <w:tcPr>
                  <w:tcW w:w="1000" w:type="dxa"/>
                  <w:tcBorders>
                    <w:top w:val="nil"/>
                    <w:left w:val="nil"/>
                    <w:bottom w:val="nil"/>
                    <w:right w:val="nil"/>
                  </w:tcBorders>
                  <w:shd w:val="clear" w:color="auto" w:fill="auto"/>
                  <w:noWrap/>
                  <w:vAlign w:val="center"/>
                  <w:hideMark/>
                </w:tcPr>
                <w:p w14:paraId="11DC5C4A" w14:textId="77777777" w:rsidR="00833659" w:rsidRPr="00833659" w:rsidRDefault="00833659" w:rsidP="00833659">
                  <w:pPr>
                    <w:spacing w:line="240" w:lineRule="exact"/>
                    <w:contextualSpacing/>
                    <w:jc w:val="right"/>
                    <w:rPr>
                      <w:rFonts w:ascii="Arial" w:hAnsi="Arial" w:cs="Arial"/>
                      <w:sz w:val="20"/>
                      <w:lang w:eastAsia="en-IN"/>
                    </w:rPr>
                  </w:pPr>
                </w:p>
              </w:tc>
              <w:tc>
                <w:tcPr>
                  <w:tcW w:w="1000" w:type="dxa"/>
                  <w:tcBorders>
                    <w:top w:val="nil"/>
                    <w:left w:val="nil"/>
                    <w:bottom w:val="nil"/>
                    <w:right w:val="nil"/>
                  </w:tcBorders>
                  <w:shd w:val="clear" w:color="auto" w:fill="auto"/>
                  <w:noWrap/>
                  <w:vAlign w:val="center"/>
                  <w:hideMark/>
                </w:tcPr>
                <w:p w14:paraId="4DCD378F" w14:textId="77777777" w:rsidR="00833659" w:rsidRPr="00833659" w:rsidRDefault="00833659" w:rsidP="00833659">
                  <w:pPr>
                    <w:spacing w:line="240" w:lineRule="exact"/>
                    <w:contextualSpacing/>
                    <w:jc w:val="right"/>
                    <w:rPr>
                      <w:rFonts w:ascii="Arial" w:hAnsi="Arial" w:cs="Arial"/>
                      <w:sz w:val="20"/>
                      <w:lang w:eastAsia="en-IN"/>
                    </w:rPr>
                  </w:pPr>
                </w:p>
              </w:tc>
              <w:tc>
                <w:tcPr>
                  <w:tcW w:w="910" w:type="dxa"/>
                  <w:tcBorders>
                    <w:top w:val="nil"/>
                    <w:left w:val="nil"/>
                    <w:bottom w:val="nil"/>
                    <w:right w:val="nil"/>
                  </w:tcBorders>
                  <w:shd w:val="clear" w:color="auto" w:fill="auto"/>
                  <w:noWrap/>
                  <w:vAlign w:val="center"/>
                  <w:hideMark/>
                </w:tcPr>
                <w:p w14:paraId="54D93706" w14:textId="77777777" w:rsidR="00833659" w:rsidRPr="00833659" w:rsidRDefault="00833659" w:rsidP="00833659">
                  <w:pPr>
                    <w:spacing w:line="240" w:lineRule="exact"/>
                    <w:contextualSpacing/>
                    <w:jc w:val="right"/>
                    <w:rPr>
                      <w:rFonts w:ascii="Arial" w:hAnsi="Arial" w:cs="Arial"/>
                      <w:b/>
                      <w:sz w:val="20"/>
                      <w:lang w:eastAsia="en-IN"/>
                    </w:rPr>
                  </w:pPr>
                </w:p>
              </w:tc>
            </w:tr>
            <w:tr w:rsidR="00833659" w:rsidRPr="00833659" w14:paraId="0A2B51B9" w14:textId="77777777" w:rsidTr="002E7B6F">
              <w:trPr>
                <w:trHeight w:val="20"/>
              </w:trPr>
              <w:tc>
                <w:tcPr>
                  <w:tcW w:w="3666" w:type="dxa"/>
                  <w:tcBorders>
                    <w:top w:val="nil"/>
                    <w:left w:val="nil"/>
                    <w:bottom w:val="nil"/>
                    <w:right w:val="nil"/>
                  </w:tcBorders>
                  <w:shd w:val="clear" w:color="auto" w:fill="auto"/>
                  <w:noWrap/>
                  <w:vAlign w:val="bottom"/>
                  <w:hideMark/>
                </w:tcPr>
                <w:p w14:paraId="00402EA5" w14:textId="77777777" w:rsidR="00833659" w:rsidRPr="00833659" w:rsidRDefault="00833659" w:rsidP="00833659">
                  <w:pPr>
                    <w:spacing w:line="240" w:lineRule="exact"/>
                    <w:ind w:left="318"/>
                    <w:contextualSpacing/>
                    <w:rPr>
                      <w:rFonts w:ascii="Arial" w:hAnsi="Arial" w:cs="Arial"/>
                      <w:sz w:val="20"/>
                      <w:lang w:eastAsia="en-IN"/>
                    </w:rPr>
                  </w:pPr>
                  <w:r w:rsidRPr="00833659">
                    <w:rPr>
                      <w:rFonts w:ascii="Arial" w:hAnsi="Arial" w:cs="Arial"/>
                      <w:sz w:val="20"/>
                      <w:lang w:eastAsia="en-IN"/>
                    </w:rPr>
                    <w:t xml:space="preserve">Notional amount (in INR lacs) </w:t>
                  </w:r>
                </w:p>
              </w:tc>
              <w:tc>
                <w:tcPr>
                  <w:tcW w:w="1100" w:type="dxa"/>
                  <w:tcBorders>
                    <w:top w:val="nil"/>
                    <w:left w:val="nil"/>
                    <w:bottom w:val="nil"/>
                    <w:right w:val="nil"/>
                  </w:tcBorders>
                  <w:shd w:val="clear" w:color="auto" w:fill="auto"/>
                  <w:noWrap/>
                  <w:vAlign w:val="center"/>
                  <w:hideMark/>
                </w:tcPr>
                <w:p w14:paraId="394A29B6" w14:textId="08CB499C"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 xml:space="preserve"> </w:t>
                  </w:r>
                  <w:r w:rsidR="00041B84">
                    <w:rPr>
                      <w:rFonts w:ascii="Arial" w:hAnsi="Arial" w:cs="Arial"/>
                      <w:sz w:val="20"/>
                      <w:lang w:eastAsia="en-IN"/>
                    </w:rPr>
                    <w:t>4,770</w:t>
                  </w:r>
                  <w:r w:rsidRPr="00833659">
                    <w:rPr>
                      <w:rFonts w:ascii="Arial" w:hAnsi="Arial" w:cs="Arial"/>
                      <w:sz w:val="20"/>
                      <w:lang w:eastAsia="en-IN"/>
                    </w:rPr>
                    <w:t xml:space="preserve"> </w:t>
                  </w:r>
                </w:p>
              </w:tc>
              <w:tc>
                <w:tcPr>
                  <w:tcW w:w="1100" w:type="dxa"/>
                  <w:tcBorders>
                    <w:top w:val="nil"/>
                    <w:left w:val="nil"/>
                    <w:bottom w:val="nil"/>
                    <w:right w:val="nil"/>
                  </w:tcBorders>
                  <w:shd w:val="clear" w:color="auto" w:fill="auto"/>
                  <w:noWrap/>
                  <w:vAlign w:val="center"/>
                  <w:hideMark/>
                </w:tcPr>
                <w:p w14:paraId="6D2F06AE" w14:textId="0159BAE3" w:rsidR="00833659" w:rsidRPr="00833659" w:rsidRDefault="00041B84" w:rsidP="00833659">
                  <w:pPr>
                    <w:spacing w:line="240" w:lineRule="exact"/>
                    <w:contextualSpacing/>
                    <w:jc w:val="right"/>
                    <w:rPr>
                      <w:rFonts w:ascii="Arial" w:hAnsi="Arial" w:cs="Arial"/>
                      <w:sz w:val="20"/>
                      <w:lang w:eastAsia="en-IN"/>
                    </w:rPr>
                  </w:pPr>
                  <w:r>
                    <w:rPr>
                      <w:rFonts w:ascii="Arial" w:hAnsi="Arial" w:cs="Arial"/>
                      <w:sz w:val="20"/>
                      <w:lang w:eastAsia="en-IN"/>
                    </w:rPr>
                    <w:t>5,130</w:t>
                  </w:r>
                </w:p>
              </w:tc>
              <w:tc>
                <w:tcPr>
                  <w:tcW w:w="1100" w:type="dxa"/>
                  <w:tcBorders>
                    <w:top w:val="nil"/>
                    <w:left w:val="nil"/>
                    <w:bottom w:val="nil"/>
                    <w:right w:val="nil"/>
                  </w:tcBorders>
                  <w:shd w:val="clear" w:color="auto" w:fill="auto"/>
                  <w:noWrap/>
                  <w:vAlign w:val="center"/>
                  <w:hideMark/>
                </w:tcPr>
                <w:p w14:paraId="40202816" w14:textId="34342DBF" w:rsidR="00833659" w:rsidRPr="00833659" w:rsidRDefault="00041B84" w:rsidP="00833659">
                  <w:pPr>
                    <w:spacing w:line="240" w:lineRule="exact"/>
                    <w:contextualSpacing/>
                    <w:jc w:val="right"/>
                    <w:rPr>
                      <w:rFonts w:ascii="Arial" w:hAnsi="Arial" w:cs="Arial"/>
                      <w:sz w:val="20"/>
                      <w:lang w:eastAsia="en-IN"/>
                    </w:rPr>
                  </w:pPr>
                  <w:r>
                    <w:rPr>
                      <w:rFonts w:ascii="Arial" w:hAnsi="Arial" w:cs="Arial"/>
                      <w:sz w:val="20"/>
                      <w:lang w:eastAsia="en-IN"/>
                    </w:rPr>
                    <w:t>5,400</w:t>
                  </w:r>
                </w:p>
              </w:tc>
              <w:tc>
                <w:tcPr>
                  <w:tcW w:w="1000" w:type="dxa"/>
                  <w:tcBorders>
                    <w:top w:val="nil"/>
                    <w:left w:val="nil"/>
                    <w:bottom w:val="nil"/>
                    <w:right w:val="nil"/>
                  </w:tcBorders>
                  <w:shd w:val="clear" w:color="auto" w:fill="auto"/>
                  <w:noWrap/>
                  <w:vAlign w:val="center"/>
                  <w:hideMark/>
                </w:tcPr>
                <w:p w14:paraId="2CAEBCF8" w14:textId="25068659" w:rsidR="00833659" w:rsidRPr="00833659" w:rsidRDefault="00041B84" w:rsidP="00833659">
                  <w:pPr>
                    <w:spacing w:line="240" w:lineRule="exact"/>
                    <w:contextualSpacing/>
                    <w:jc w:val="right"/>
                    <w:rPr>
                      <w:rFonts w:ascii="Arial" w:hAnsi="Arial" w:cs="Arial"/>
                      <w:sz w:val="20"/>
                      <w:lang w:eastAsia="en-IN"/>
                    </w:rPr>
                  </w:pPr>
                  <w:r>
                    <w:rPr>
                      <w:rFonts w:ascii="Arial" w:hAnsi="Arial" w:cs="Arial"/>
                      <w:sz w:val="20"/>
                      <w:lang w:eastAsia="en-IN"/>
                    </w:rPr>
                    <w:t>5,760</w:t>
                  </w:r>
                </w:p>
              </w:tc>
              <w:tc>
                <w:tcPr>
                  <w:tcW w:w="1000" w:type="dxa"/>
                  <w:tcBorders>
                    <w:top w:val="nil"/>
                    <w:left w:val="nil"/>
                    <w:bottom w:val="nil"/>
                    <w:right w:val="nil"/>
                  </w:tcBorders>
                  <w:shd w:val="clear" w:color="auto" w:fill="auto"/>
                  <w:noWrap/>
                  <w:vAlign w:val="center"/>
                  <w:hideMark/>
                </w:tcPr>
                <w:p w14:paraId="46943BED" w14:textId="4B063052" w:rsidR="00833659" w:rsidRPr="00833659" w:rsidRDefault="00041B84" w:rsidP="00833659">
                  <w:pPr>
                    <w:spacing w:line="240" w:lineRule="exact"/>
                    <w:contextualSpacing/>
                    <w:jc w:val="right"/>
                    <w:rPr>
                      <w:rFonts w:ascii="Arial" w:hAnsi="Arial" w:cs="Arial"/>
                      <w:sz w:val="20"/>
                      <w:lang w:eastAsia="en-IN"/>
                    </w:rPr>
                  </w:pPr>
                  <w:r>
                    <w:rPr>
                      <w:rFonts w:ascii="Arial" w:hAnsi="Arial" w:cs="Arial"/>
                      <w:sz w:val="20"/>
                      <w:lang w:eastAsia="en-IN"/>
                    </w:rPr>
                    <w:t>5,220</w:t>
                  </w:r>
                </w:p>
              </w:tc>
              <w:tc>
                <w:tcPr>
                  <w:tcW w:w="910" w:type="dxa"/>
                  <w:tcBorders>
                    <w:top w:val="nil"/>
                    <w:left w:val="nil"/>
                    <w:bottom w:val="nil"/>
                    <w:right w:val="nil"/>
                  </w:tcBorders>
                  <w:shd w:val="clear" w:color="auto" w:fill="auto"/>
                  <w:noWrap/>
                  <w:vAlign w:val="center"/>
                  <w:hideMark/>
                </w:tcPr>
                <w:p w14:paraId="3FCBD807" w14:textId="67BBC630" w:rsidR="00833659" w:rsidRPr="00833659" w:rsidRDefault="00041B84" w:rsidP="00833659">
                  <w:pPr>
                    <w:spacing w:line="240" w:lineRule="exact"/>
                    <w:contextualSpacing/>
                    <w:jc w:val="right"/>
                    <w:rPr>
                      <w:rFonts w:ascii="Arial" w:hAnsi="Arial" w:cs="Arial"/>
                      <w:b/>
                      <w:sz w:val="20"/>
                      <w:lang w:eastAsia="en-IN"/>
                    </w:rPr>
                  </w:pPr>
                  <w:r>
                    <w:rPr>
                      <w:rFonts w:ascii="Arial" w:hAnsi="Arial" w:cs="Arial"/>
                      <w:b/>
                      <w:sz w:val="20"/>
                      <w:lang w:eastAsia="en-IN"/>
                    </w:rPr>
                    <w:t>26,280</w:t>
                  </w:r>
                </w:p>
              </w:tc>
            </w:tr>
            <w:tr w:rsidR="00833659" w:rsidRPr="00833659" w14:paraId="03B21C3A" w14:textId="77777777" w:rsidTr="002E7B6F">
              <w:trPr>
                <w:trHeight w:val="20"/>
              </w:trPr>
              <w:tc>
                <w:tcPr>
                  <w:tcW w:w="3666" w:type="dxa"/>
                  <w:tcBorders>
                    <w:top w:val="nil"/>
                    <w:left w:val="nil"/>
                    <w:bottom w:val="nil"/>
                    <w:right w:val="nil"/>
                  </w:tcBorders>
                  <w:shd w:val="clear" w:color="auto" w:fill="auto"/>
                  <w:vAlign w:val="bottom"/>
                  <w:hideMark/>
                </w:tcPr>
                <w:p w14:paraId="3AEADD21" w14:textId="77777777" w:rsidR="00833659" w:rsidRPr="00833659" w:rsidRDefault="00833659" w:rsidP="00833659">
                  <w:pPr>
                    <w:spacing w:line="240" w:lineRule="exact"/>
                    <w:ind w:left="318"/>
                    <w:contextualSpacing/>
                    <w:rPr>
                      <w:rFonts w:ascii="Arial" w:hAnsi="Arial" w:cs="Arial"/>
                      <w:sz w:val="20"/>
                      <w:lang w:eastAsia="en-IN"/>
                    </w:rPr>
                  </w:pPr>
                  <w:r w:rsidRPr="00833659">
                    <w:rPr>
                      <w:rFonts w:ascii="Arial" w:hAnsi="Arial" w:cs="Arial"/>
                      <w:sz w:val="20"/>
                      <w:lang w:eastAsia="en-IN"/>
                    </w:rPr>
                    <w:t>Average forward rate (INR/USD)</w:t>
                  </w:r>
                </w:p>
              </w:tc>
              <w:tc>
                <w:tcPr>
                  <w:tcW w:w="1100" w:type="dxa"/>
                  <w:tcBorders>
                    <w:top w:val="nil"/>
                    <w:left w:val="nil"/>
                    <w:bottom w:val="nil"/>
                    <w:right w:val="nil"/>
                  </w:tcBorders>
                  <w:shd w:val="clear" w:color="auto" w:fill="auto"/>
                  <w:noWrap/>
                  <w:vAlign w:val="center"/>
                  <w:hideMark/>
                </w:tcPr>
                <w:p w14:paraId="5F321A4C"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67.33</w:t>
                  </w:r>
                </w:p>
              </w:tc>
              <w:tc>
                <w:tcPr>
                  <w:tcW w:w="1100" w:type="dxa"/>
                  <w:tcBorders>
                    <w:top w:val="nil"/>
                    <w:left w:val="nil"/>
                    <w:bottom w:val="nil"/>
                    <w:right w:val="nil"/>
                  </w:tcBorders>
                  <w:shd w:val="clear" w:color="auto" w:fill="auto"/>
                  <w:noWrap/>
                  <w:vAlign w:val="center"/>
                  <w:hideMark/>
                </w:tcPr>
                <w:p w14:paraId="2027B140"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67.56</w:t>
                  </w:r>
                </w:p>
              </w:tc>
              <w:tc>
                <w:tcPr>
                  <w:tcW w:w="1100" w:type="dxa"/>
                  <w:tcBorders>
                    <w:top w:val="nil"/>
                    <w:left w:val="nil"/>
                    <w:bottom w:val="nil"/>
                    <w:right w:val="nil"/>
                  </w:tcBorders>
                  <w:shd w:val="clear" w:color="auto" w:fill="auto"/>
                  <w:noWrap/>
                  <w:vAlign w:val="center"/>
                  <w:hideMark/>
                </w:tcPr>
                <w:p w14:paraId="2DC79D59"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67.82</w:t>
                  </w:r>
                </w:p>
              </w:tc>
              <w:tc>
                <w:tcPr>
                  <w:tcW w:w="1000" w:type="dxa"/>
                  <w:tcBorders>
                    <w:top w:val="nil"/>
                    <w:left w:val="nil"/>
                    <w:bottom w:val="nil"/>
                    <w:right w:val="nil"/>
                  </w:tcBorders>
                  <w:shd w:val="clear" w:color="auto" w:fill="auto"/>
                  <w:noWrap/>
                  <w:vAlign w:val="center"/>
                  <w:hideMark/>
                </w:tcPr>
                <w:p w14:paraId="5DEC228B"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68.13</w:t>
                  </w:r>
                </w:p>
              </w:tc>
              <w:tc>
                <w:tcPr>
                  <w:tcW w:w="1000" w:type="dxa"/>
                  <w:tcBorders>
                    <w:top w:val="nil"/>
                    <w:left w:val="nil"/>
                    <w:bottom w:val="nil"/>
                    <w:right w:val="nil"/>
                  </w:tcBorders>
                  <w:shd w:val="clear" w:color="auto" w:fill="auto"/>
                  <w:noWrap/>
                  <w:vAlign w:val="center"/>
                  <w:hideMark/>
                </w:tcPr>
                <w:p w14:paraId="46F605B6"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68.32</w:t>
                  </w:r>
                </w:p>
              </w:tc>
              <w:tc>
                <w:tcPr>
                  <w:tcW w:w="910" w:type="dxa"/>
                  <w:tcBorders>
                    <w:top w:val="nil"/>
                    <w:left w:val="nil"/>
                    <w:bottom w:val="nil"/>
                    <w:right w:val="nil"/>
                  </w:tcBorders>
                  <w:shd w:val="clear" w:color="auto" w:fill="auto"/>
                  <w:noWrap/>
                  <w:vAlign w:val="center"/>
                  <w:hideMark/>
                </w:tcPr>
                <w:p w14:paraId="67460170" w14:textId="77777777" w:rsidR="00833659" w:rsidRPr="00833659" w:rsidRDefault="00833659" w:rsidP="00833659">
                  <w:pPr>
                    <w:spacing w:line="240" w:lineRule="exact"/>
                    <w:contextualSpacing/>
                    <w:jc w:val="right"/>
                    <w:rPr>
                      <w:rFonts w:ascii="Arial" w:hAnsi="Arial" w:cs="Arial"/>
                      <w:b/>
                      <w:sz w:val="20"/>
                      <w:lang w:eastAsia="en-IN"/>
                    </w:rPr>
                  </w:pPr>
                </w:p>
              </w:tc>
            </w:tr>
            <w:tr w:rsidR="00833659" w:rsidRPr="00833659" w14:paraId="12812CE6" w14:textId="77777777" w:rsidTr="002E7B6F">
              <w:trPr>
                <w:trHeight w:val="20"/>
              </w:trPr>
              <w:tc>
                <w:tcPr>
                  <w:tcW w:w="3666" w:type="dxa"/>
                  <w:tcBorders>
                    <w:top w:val="nil"/>
                    <w:left w:val="nil"/>
                    <w:bottom w:val="nil"/>
                    <w:right w:val="nil"/>
                  </w:tcBorders>
                  <w:shd w:val="clear" w:color="auto" w:fill="auto"/>
                  <w:vAlign w:val="bottom"/>
                  <w:hideMark/>
                </w:tcPr>
                <w:p w14:paraId="62F19E2E" w14:textId="77777777" w:rsidR="00833659" w:rsidRPr="00833659" w:rsidRDefault="00833659" w:rsidP="00833659">
                  <w:pPr>
                    <w:spacing w:line="240" w:lineRule="exact"/>
                    <w:contextualSpacing/>
                    <w:rPr>
                      <w:rFonts w:ascii="Arial" w:hAnsi="Arial" w:cs="Arial"/>
                      <w:sz w:val="20"/>
                      <w:lang w:eastAsia="en-IN"/>
                    </w:rPr>
                  </w:pPr>
                  <w:r w:rsidRPr="00833659">
                    <w:rPr>
                      <w:rFonts w:ascii="Arial" w:hAnsi="Arial" w:cs="Arial"/>
                      <w:sz w:val="20"/>
                      <w:lang w:eastAsia="en-IN"/>
                    </w:rPr>
                    <w:t xml:space="preserve">Foreign exchange forward contracts (highly </w:t>
                  </w:r>
                  <w:r w:rsidRPr="00833659">
                    <w:rPr>
                      <w:rFonts w:ascii="Arial" w:hAnsi="Arial" w:cs="Arial"/>
                      <w:sz w:val="20"/>
                      <w:lang w:eastAsia="en-IN"/>
                    </w:rPr>
                    <w:br/>
                    <w:t>probable forecast purchases</w:t>
                  </w:r>
                </w:p>
              </w:tc>
              <w:tc>
                <w:tcPr>
                  <w:tcW w:w="1100" w:type="dxa"/>
                  <w:tcBorders>
                    <w:top w:val="nil"/>
                    <w:left w:val="nil"/>
                    <w:bottom w:val="nil"/>
                    <w:right w:val="nil"/>
                  </w:tcBorders>
                  <w:shd w:val="clear" w:color="auto" w:fill="auto"/>
                  <w:noWrap/>
                  <w:vAlign w:val="center"/>
                  <w:hideMark/>
                </w:tcPr>
                <w:p w14:paraId="6A4E44FE" w14:textId="77777777" w:rsidR="00833659" w:rsidRPr="00833659" w:rsidRDefault="00833659" w:rsidP="00833659">
                  <w:pPr>
                    <w:spacing w:line="240" w:lineRule="exact"/>
                    <w:contextualSpacing/>
                    <w:jc w:val="right"/>
                    <w:rPr>
                      <w:rFonts w:ascii="Arial" w:hAnsi="Arial" w:cs="Arial"/>
                      <w:sz w:val="20"/>
                      <w:lang w:eastAsia="en-IN"/>
                    </w:rPr>
                  </w:pPr>
                </w:p>
              </w:tc>
              <w:tc>
                <w:tcPr>
                  <w:tcW w:w="1100" w:type="dxa"/>
                  <w:tcBorders>
                    <w:top w:val="nil"/>
                    <w:left w:val="nil"/>
                    <w:bottom w:val="nil"/>
                    <w:right w:val="nil"/>
                  </w:tcBorders>
                  <w:shd w:val="clear" w:color="auto" w:fill="auto"/>
                  <w:noWrap/>
                  <w:vAlign w:val="center"/>
                  <w:hideMark/>
                </w:tcPr>
                <w:p w14:paraId="57B9AEE5" w14:textId="77777777" w:rsidR="00833659" w:rsidRPr="00833659" w:rsidRDefault="00833659" w:rsidP="00833659">
                  <w:pPr>
                    <w:spacing w:line="240" w:lineRule="exact"/>
                    <w:contextualSpacing/>
                    <w:jc w:val="right"/>
                    <w:rPr>
                      <w:rFonts w:ascii="Arial" w:hAnsi="Arial" w:cs="Arial"/>
                      <w:sz w:val="20"/>
                      <w:lang w:eastAsia="en-IN"/>
                    </w:rPr>
                  </w:pPr>
                </w:p>
              </w:tc>
              <w:tc>
                <w:tcPr>
                  <w:tcW w:w="1100" w:type="dxa"/>
                  <w:tcBorders>
                    <w:top w:val="nil"/>
                    <w:left w:val="nil"/>
                    <w:bottom w:val="nil"/>
                    <w:right w:val="nil"/>
                  </w:tcBorders>
                  <w:shd w:val="clear" w:color="auto" w:fill="auto"/>
                  <w:noWrap/>
                  <w:vAlign w:val="center"/>
                  <w:hideMark/>
                </w:tcPr>
                <w:p w14:paraId="0977733E" w14:textId="77777777" w:rsidR="00833659" w:rsidRPr="00833659" w:rsidRDefault="00833659" w:rsidP="00833659">
                  <w:pPr>
                    <w:spacing w:line="240" w:lineRule="exact"/>
                    <w:contextualSpacing/>
                    <w:jc w:val="right"/>
                    <w:rPr>
                      <w:rFonts w:ascii="Arial" w:hAnsi="Arial" w:cs="Arial"/>
                      <w:sz w:val="20"/>
                      <w:lang w:eastAsia="en-IN"/>
                    </w:rPr>
                  </w:pPr>
                </w:p>
              </w:tc>
              <w:tc>
                <w:tcPr>
                  <w:tcW w:w="1000" w:type="dxa"/>
                  <w:tcBorders>
                    <w:top w:val="nil"/>
                    <w:left w:val="nil"/>
                    <w:bottom w:val="nil"/>
                    <w:right w:val="nil"/>
                  </w:tcBorders>
                  <w:shd w:val="clear" w:color="auto" w:fill="auto"/>
                  <w:noWrap/>
                  <w:vAlign w:val="center"/>
                  <w:hideMark/>
                </w:tcPr>
                <w:p w14:paraId="468CC227" w14:textId="77777777" w:rsidR="00833659" w:rsidRPr="00833659" w:rsidRDefault="00833659" w:rsidP="00833659">
                  <w:pPr>
                    <w:spacing w:line="240" w:lineRule="exact"/>
                    <w:contextualSpacing/>
                    <w:jc w:val="right"/>
                    <w:rPr>
                      <w:rFonts w:ascii="Arial" w:hAnsi="Arial" w:cs="Arial"/>
                      <w:sz w:val="20"/>
                      <w:lang w:eastAsia="en-IN"/>
                    </w:rPr>
                  </w:pPr>
                </w:p>
              </w:tc>
              <w:tc>
                <w:tcPr>
                  <w:tcW w:w="1000" w:type="dxa"/>
                  <w:tcBorders>
                    <w:top w:val="nil"/>
                    <w:left w:val="nil"/>
                    <w:bottom w:val="nil"/>
                    <w:right w:val="nil"/>
                  </w:tcBorders>
                  <w:shd w:val="clear" w:color="auto" w:fill="auto"/>
                  <w:noWrap/>
                  <w:vAlign w:val="center"/>
                  <w:hideMark/>
                </w:tcPr>
                <w:p w14:paraId="21012797" w14:textId="77777777" w:rsidR="00833659" w:rsidRPr="00833659" w:rsidRDefault="00833659" w:rsidP="00833659">
                  <w:pPr>
                    <w:spacing w:line="240" w:lineRule="exact"/>
                    <w:contextualSpacing/>
                    <w:jc w:val="right"/>
                    <w:rPr>
                      <w:rFonts w:ascii="Arial" w:hAnsi="Arial" w:cs="Arial"/>
                      <w:sz w:val="20"/>
                      <w:lang w:eastAsia="en-IN"/>
                    </w:rPr>
                  </w:pPr>
                </w:p>
              </w:tc>
              <w:tc>
                <w:tcPr>
                  <w:tcW w:w="910" w:type="dxa"/>
                  <w:tcBorders>
                    <w:top w:val="nil"/>
                    <w:left w:val="nil"/>
                    <w:bottom w:val="nil"/>
                    <w:right w:val="nil"/>
                  </w:tcBorders>
                  <w:shd w:val="clear" w:color="auto" w:fill="auto"/>
                  <w:noWrap/>
                  <w:vAlign w:val="center"/>
                  <w:hideMark/>
                </w:tcPr>
                <w:p w14:paraId="44588207" w14:textId="77777777" w:rsidR="00833659" w:rsidRPr="00833659" w:rsidRDefault="00833659" w:rsidP="00833659">
                  <w:pPr>
                    <w:spacing w:line="240" w:lineRule="exact"/>
                    <w:contextualSpacing/>
                    <w:jc w:val="right"/>
                    <w:rPr>
                      <w:rFonts w:ascii="Arial" w:hAnsi="Arial" w:cs="Arial"/>
                      <w:b/>
                      <w:sz w:val="20"/>
                      <w:lang w:eastAsia="en-IN"/>
                    </w:rPr>
                  </w:pPr>
                </w:p>
              </w:tc>
            </w:tr>
            <w:tr w:rsidR="00833659" w:rsidRPr="00833659" w14:paraId="281C5C25" w14:textId="77777777" w:rsidTr="002E7B6F">
              <w:trPr>
                <w:trHeight w:val="20"/>
              </w:trPr>
              <w:tc>
                <w:tcPr>
                  <w:tcW w:w="3666" w:type="dxa"/>
                  <w:tcBorders>
                    <w:top w:val="nil"/>
                    <w:left w:val="nil"/>
                    <w:bottom w:val="nil"/>
                    <w:right w:val="nil"/>
                  </w:tcBorders>
                  <w:shd w:val="clear" w:color="auto" w:fill="auto"/>
                  <w:noWrap/>
                  <w:vAlign w:val="bottom"/>
                  <w:hideMark/>
                </w:tcPr>
                <w:p w14:paraId="00A42BAE" w14:textId="77777777" w:rsidR="00833659" w:rsidRPr="00833659" w:rsidRDefault="00833659" w:rsidP="00833659">
                  <w:pPr>
                    <w:spacing w:line="240" w:lineRule="exact"/>
                    <w:ind w:left="318"/>
                    <w:contextualSpacing/>
                    <w:rPr>
                      <w:rFonts w:ascii="Arial" w:hAnsi="Arial" w:cs="Arial"/>
                      <w:sz w:val="20"/>
                      <w:lang w:eastAsia="en-IN"/>
                    </w:rPr>
                  </w:pPr>
                  <w:r w:rsidRPr="00833659">
                    <w:rPr>
                      <w:rFonts w:ascii="Arial" w:hAnsi="Arial" w:cs="Arial"/>
                      <w:sz w:val="20"/>
                      <w:lang w:eastAsia="en-IN"/>
                    </w:rPr>
                    <w:t xml:space="preserve">Notional amount (in INR lacs) </w:t>
                  </w:r>
                </w:p>
              </w:tc>
              <w:tc>
                <w:tcPr>
                  <w:tcW w:w="1100" w:type="dxa"/>
                  <w:tcBorders>
                    <w:top w:val="nil"/>
                    <w:left w:val="nil"/>
                    <w:bottom w:val="nil"/>
                    <w:right w:val="nil"/>
                  </w:tcBorders>
                  <w:shd w:val="clear" w:color="auto" w:fill="auto"/>
                  <w:noWrap/>
                  <w:vAlign w:val="center"/>
                  <w:hideMark/>
                </w:tcPr>
                <w:p w14:paraId="352C6790" w14:textId="67149BAB"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 xml:space="preserve"> </w:t>
                  </w:r>
                  <w:r w:rsidR="00F46B93">
                    <w:rPr>
                      <w:rFonts w:ascii="Arial" w:hAnsi="Arial" w:cs="Arial"/>
                      <w:sz w:val="20"/>
                      <w:lang w:eastAsia="en-IN"/>
                    </w:rPr>
                    <w:t>2,250</w:t>
                  </w:r>
                  <w:r w:rsidRPr="00833659">
                    <w:rPr>
                      <w:rFonts w:ascii="Arial" w:hAnsi="Arial" w:cs="Arial"/>
                      <w:sz w:val="20"/>
                      <w:lang w:eastAsia="en-IN"/>
                    </w:rPr>
                    <w:t xml:space="preserve"> </w:t>
                  </w:r>
                </w:p>
              </w:tc>
              <w:tc>
                <w:tcPr>
                  <w:tcW w:w="1100" w:type="dxa"/>
                  <w:tcBorders>
                    <w:top w:val="nil"/>
                    <w:left w:val="nil"/>
                    <w:bottom w:val="nil"/>
                    <w:right w:val="nil"/>
                  </w:tcBorders>
                  <w:shd w:val="clear" w:color="auto" w:fill="auto"/>
                  <w:noWrap/>
                  <w:vAlign w:val="center"/>
                  <w:hideMark/>
                </w:tcPr>
                <w:p w14:paraId="038DBF62" w14:textId="141EDEE7" w:rsidR="00833659" w:rsidRPr="00833659" w:rsidRDefault="00F46B93" w:rsidP="00833659">
                  <w:pPr>
                    <w:spacing w:line="240" w:lineRule="exact"/>
                    <w:contextualSpacing/>
                    <w:jc w:val="right"/>
                    <w:rPr>
                      <w:rFonts w:ascii="Arial" w:hAnsi="Arial" w:cs="Arial"/>
                      <w:sz w:val="20"/>
                      <w:lang w:eastAsia="en-IN"/>
                    </w:rPr>
                  </w:pPr>
                  <w:r>
                    <w:rPr>
                      <w:rFonts w:ascii="Arial" w:hAnsi="Arial" w:cs="Arial"/>
                      <w:sz w:val="20"/>
                      <w:lang w:eastAsia="en-IN"/>
                    </w:rPr>
                    <w:t>2,070</w:t>
                  </w:r>
                </w:p>
              </w:tc>
              <w:tc>
                <w:tcPr>
                  <w:tcW w:w="1100" w:type="dxa"/>
                  <w:tcBorders>
                    <w:top w:val="nil"/>
                    <w:left w:val="nil"/>
                    <w:bottom w:val="nil"/>
                    <w:right w:val="nil"/>
                  </w:tcBorders>
                  <w:shd w:val="clear" w:color="auto" w:fill="auto"/>
                  <w:noWrap/>
                  <w:vAlign w:val="center"/>
                  <w:hideMark/>
                </w:tcPr>
                <w:p w14:paraId="6FF3B6D4" w14:textId="10ABFC03" w:rsidR="00833659" w:rsidRPr="00833659" w:rsidRDefault="00F46B93" w:rsidP="00833659">
                  <w:pPr>
                    <w:spacing w:line="240" w:lineRule="exact"/>
                    <w:contextualSpacing/>
                    <w:jc w:val="right"/>
                    <w:rPr>
                      <w:rFonts w:ascii="Arial" w:hAnsi="Arial" w:cs="Arial"/>
                      <w:sz w:val="20"/>
                      <w:lang w:eastAsia="en-IN"/>
                    </w:rPr>
                  </w:pPr>
                  <w:r>
                    <w:rPr>
                      <w:rFonts w:ascii="Arial" w:hAnsi="Arial" w:cs="Arial"/>
                      <w:sz w:val="20"/>
                      <w:lang w:eastAsia="en-IN"/>
                    </w:rPr>
                    <w:t>2,700</w:t>
                  </w:r>
                </w:p>
              </w:tc>
              <w:tc>
                <w:tcPr>
                  <w:tcW w:w="1000" w:type="dxa"/>
                  <w:tcBorders>
                    <w:top w:val="nil"/>
                    <w:left w:val="nil"/>
                    <w:bottom w:val="nil"/>
                    <w:right w:val="nil"/>
                  </w:tcBorders>
                  <w:shd w:val="clear" w:color="auto" w:fill="auto"/>
                  <w:noWrap/>
                  <w:vAlign w:val="center"/>
                  <w:hideMark/>
                </w:tcPr>
                <w:p w14:paraId="73B9C941" w14:textId="3DD6CC7C" w:rsidR="00833659" w:rsidRPr="00833659" w:rsidRDefault="00F46B93" w:rsidP="00833659">
                  <w:pPr>
                    <w:spacing w:line="240" w:lineRule="exact"/>
                    <w:contextualSpacing/>
                    <w:jc w:val="right"/>
                    <w:rPr>
                      <w:rFonts w:ascii="Arial" w:hAnsi="Arial" w:cs="Arial"/>
                      <w:sz w:val="20"/>
                      <w:lang w:eastAsia="en-IN"/>
                    </w:rPr>
                  </w:pPr>
                  <w:r>
                    <w:rPr>
                      <w:rFonts w:ascii="Arial" w:hAnsi="Arial" w:cs="Arial"/>
                      <w:sz w:val="20"/>
                      <w:lang w:eastAsia="en-IN"/>
                    </w:rPr>
                    <w:t>2,880</w:t>
                  </w:r>
                </w:p>
              </w:tc>
              <w:tc>
                <w:tcPr>
                  <w:tcW w:w="1000" w:type="dxa"/>
                  <w:tcBorders>
                    <w:top w:val="nil"/>
                    <w:left w:val="nil"/>
                    <w:bottom w:val="nil"/>
                    <w:right w:val="nil"/>
                  </w:tcBorders>
                  <w:shd w:val="clear" w:color="auto" w:fill="auto"/>
                  <w:noWrap/>
                  <w:vAlign w:val="center"/>
                  <w:hideMark/>
                </w:tcPr>
                <w:p w14:paraId="396AA9F1" w14:textId="3F69A856" w:rsidR="00833659" w:rsidRPr="00833659" w:rsidRDefault="00F46B93" w:rsidP="00833659">
                  <w:pPr>
                    <w:spacing w:line="240" w:lineRule="exact"/>
                    <w:contextualSpacing/>
                    <w:jc w:val="right"/>
                    <w:rPr>
                      <w:rFonts w:ascii="Arial" w:hAnsi="Arial" w:cs="Arial"/>
                      <w:sz w:val="20"/>
                      <w:lang w:eastAsia="en-IN"/>
                    </w:rPr>
                  </w:pPr>
                  <w:r>
                    <w:rPr>
                      <w:rFonts w:ascii="Arial" w:hAnsi="Arial" w:cs="Arial"/>
                      <w:sz w:val="20"/>
                      <w:lang w:eastAsia="en-IN"/>
                    </w:rPr>
                    <w:t>2,610</w:t>
                  </w:r>
                </w:p>
              </w:tc>
              <w:tc>
                <w:tcPr>
                  <w:tcW w:w="910" w:type="dxa"/>
                  <w:tcBorders>
                    <w:top w:val="nil"/>
                    <w:left w:val="nil"/>
                    <w:bottom w:val="nil"/>
                    <w:right w:val="nil"/>
                  </w:tcBorders>
                  <w:shd w:val="clear" w:color="auto" w:fill="auto"/>
                  <w:noWrap/>
                  <w:vAlign w:val="center"/>
                  <w:hideMark/>
                </w:tcPr>
                <w:p w14:paraId="4C06489C" w14:textId="11A67C90" w:rsidR="00833659" w:rsidRPr="00833659" w:rsidRDefault="00F46B93" w:rsidP="00833659">
                  <w:pPr>
                    <w:spacing w:line="240" w:lineRule="exact"/>
                    <w:contextualSpacing/>
                    <w:jc w:val="right"/>
                    <w:rPr>
                      <w:rFonts w:ascii="Arial" w:hAnsi="Arial" w:cs="Arial"/>
                      <w:b/>
                      <w:sz w:val="20"/>
                      <w:lang w:eastAsia="en-IN"/>
                    </w:rPr>
                  </w:pPr>
                  <w:r>
                    <w:rPr>
                      <w:rFonts w:ascii="Arial" w:hAnsi="Arial" w:cs="Arial"/>
                      <w:b/>
                      <w:sz w:val="20"/>
                      <w:lang w:eastAsia="en-IN"/>
                    </w:rPr>
                    <w:t>12,150</w:t>
                  </w:r>
                </w:p>
              </w:tc>
            </w:tr>
            <w:tr w:rsidR="00833659" w:rsidRPr="00833659" w14:paraId="0EFC5DE4" w14:textId="77777777" w:rsidTr="002E7B6F">
              <w:trPr>
                <w:trHeight w:val="20"/>
              </w:trPr>
              <w:tc>
                <w:tcPr>
                  <w:tcW w:w="3666" w:type="dxa"/>
                  <w:tcBorders>
                    <w:top w:val="nil"/>
                    <w:left w:val="nil"/>
                    <w:bottom w:val="nil"/>
                    <w:right w:val="nil"/>
                  </w:tcBorders>
                  <w:shd w:val="clear" w:color="auto" w:fill="auto"/>
                  <w:vAlign w:val="bottom"/>
                  <w:hideMark/>
                </w:tcPr>
                <w:p w14:paraId="6307B841" w14:textId="77777777" w:rsidR="00833659" w:rsidRPr="00833659" w:rsidRDefault="00833659" w:rsidP="00833659">
                  <w:pPr>
                    <w:spacing w:line="240" w:lineRule="exact"/>
                    <w:ind w:left="318"/>
                    <w:contextualSpacing/>
                    <w:rPr>
                      <w:rFonts w:ascii="Arial" w:hAnsi="Arial" w:cs="Arial"/>
                      <w:sz w:val="20"/>
                      <w:lang w:eastAsia="en-IN"/>
                    </w:rPr>
                  </w:pPr>
                  <w:r w:rsidRPr="00833659">
                    <w:rPr>
                      <w:rFonts w:ascii="Arial" w:hAnsi="Arial" w:cs="Arial"/>
                      <w:sz w:val="20"/>
                      <w:lang w:eastAsia="en-IN"/>
                    </w:rPr>
                    <w:t>Average forward rate (INR/GBP)</w:t>
                  </w:r>
                </w:p>
              </w:tc>
              <w:tc>
                <w:tcPr>
                  <w:tcW w:w="1100" w:type="dxa"/>
                  <w:tcBorders>
                    <w:top w:val="nil"/>
                    <w:left w:val="nil"/>
                    <w:bottom w:val="nil"/>
                    <w:right w:val="nil"/>
                  </w:tcBorders>
                  <w:shd w:val="clear" w:color="auto" w:fill="auto"/>
                  <w:noWrap/>
                  <w:vAlign w:val="center"/>
                  <w:hideMark/>
                </w:tcPr>
                <w:p w14:paraId="3A347406"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82.34</w:t>
                  </w:r>
                </w:p>
              </w:tc>
              <w:tc>
                <w:tcPr>
                  <w:tcW w:w="1100" w:type="dxa"/>
                  <w:tcBorders>
                    <w:top w:val="nil"/>
                    <w:left w:val="nil"/>
                    <w:bottom w:val="nil"/>
                    <w:right w:val="nil"/>
                  </w:tcBorders>
                  <w:shd w:val="clear" w:color="auto" w:fill="auto"/>
                  <w:noWrap/>
                  <w:vAlign w:val="center"/>
                  <w:hideMark/>
                </w:tcPr>
                <w:p w14:paraId="0953DEED"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82.46</w:t>
                  </w:r>
                </w:p>
              </w:tc>
              <w:tc>
                <w:tcPr>
                  <w:tcW w:w="1100" w:type="dxa"/>
                  <w:tcBorders>
                    <w:top w:val="nil"/>
                    <w:left w:val="nil"/>
                    <w:bottom w:val="nil"/>
                    <w:right w:val="nil"/>
                  </w:tcBorders>
                  <w:shd w:val="clear" w:color="auto" w:fill="auto"/>
                  <w:noWrap/>
                  <w:vAlign w:val="center"/>
                  <w:hideMark/>
                </w:tcPr>
                <w:p w14:paraId="719BEE48"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82.51</w:t>
                  </w:r>
                </w:p>
              </w:tc>
              <w:tc>
                <w:tcPr>
                  <w:tcW w:w="1000" w:type="dxa"/>
                  <w:tcBorders>
                    <w:top w:val="nil"/>
                    <w:left w:val="nil"/>
                    <w:bottom w:val="nil"/>
                    <w:right w:val="nil"/>
                  </w:tcBorders>
                  <w:shd w:val="clear" w:color="auto" w:fill="auto"/>
                  <w:noWrap/>
                  <w:vAlign w:val="center"/>
                  <w:hideMark/>
                </w:tcPr>
                <w:p w14:paraId="0611253D"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82.88</w:t>
                  </w:r>
                </w:p>
              </w:tc>
              <w:tc>
                <w:tcPr>
                  <w:tcW w:w="1000" w:type="dxa"/>
                  <w:tcBorders>
                    <w:top w:val="nil"/>
                    <w:left w:val="nil"/>
                    <w:bottom w:val="nil"/>
                    <w:right w:val="nil"/>
                  </w:tcBorders>
                  <w:shd w:val="clear" w:color="auto" w:fill="auto"/>
                  <w:noWrap/>
                  <w:vAlign w:val="center"/>
                  <w:hideMark/>
                </w:tcPr>
                <w:p w14:paraId="5ACE49FC" w14:textId="77777777" w:rsidR="00833659" w:rsidRPr="00833659" w:rsidRDefault="00833659" w:rsidP="00833659">
                  <w:pPr>
                    <w:spacing w:line="240" w:lineRule="exact"/>
                    <w:contextualSpacing/>
                    <w:jc w:val="right"/>
                    <w:rPr>
                      <w:rFonts w:ascii="Arial" w:hAnsi="Arial" w:cs="Arial"/>
                      <w:sz w:val="20"/>
                      <w:lang w:eastAsia="en-IN"/>
                    </w:rPr>
                  </w:pPr>
                  <w:r w:rsidRPr="00833659">
                    <w:rPr>
                      <w:rFonts w:ascii="Arial" w:hAnsi="Arial" w:cs="Arial"/>
                      <w:sz w:val="20"/>
                      <w:lang w:eastAsia="en-IN"/>
                    </w:rPr>
                    <w:t>83.02</w:t>
                  </w:r>
                </w:p>
              </w:tc>
              <w:tc>
                <w:tcPr>
                  <w:tcW w:w="910" w:type="dxa"/>
                  <w:tcBorders>
                    <w:top w:val="nil"/>
                    <w:left w:val="nil"/>
                    <w:bottom w:val="nil"/>
                    <w:right w:val="nil"/>
                  </w:tcBorders>
                  <w:shd w:val="clear" w:color="auto" w:fill="auto"/>
                  <w:noWrap/>
                  <w:vAlign w:val="center"/>
                  <w:hideMark/>
                </w:tcPr>
                <w:p w14:paraId="36F9248F" w14:textId="77777777" w:rsidR="00833659" w:rsidRPr="00833659" w:rsidRDefault="00833659" w:rsidP="00833659">
                  <w:pPr>
                    <w:spacing w:line="240" w:lineRule="exact"/>
                    <w:contextualSpacing/>
                    <w:jc w:val="right"/>
                    <w:rPr>
                      <w:rFonts w:ascii="Arial" w:hAnsi="Arial" w:cs="Arial"/>
                      <w:sz w:val="20"/>
                      <w:lang w:eastAsia="en-IN"/>
                    </w:rPr>
                  </w:pPr>
                </w:p>
              </w:tc>
            </w:tr>
          </w:tbl>
          <w:p w14:paraId="4102E97D" w14:textId="77777777" w:rsidR="00703A2F" w:rsidRDefault="00703A2F" w:rsidP="0024137A">
            <w:pPr>
              <w:pStyle w:val="Notesitalicheading"/>
              <w:spacing w:line="280" w:lineRule="exact"/>
              <w:jc w:val="both"/>
              <w:rPr>
                <w:rFonts w:ascii="Arial" w:hAnsi="Arial"/>
                <w:color w:val="auto"/>
                <w:sz w:val="20"/>
              </w:rPr>
            </w:pPr>
          </w:p>
          <w:p w14:paraId="548EC1E6" w14:textId="77777777" w:rsidR="00833659" w:rsidRPr="007D54B6" w:rsidRDefault="00833659" w:rsidP="00833659">
            <w:pPr>
              <w:rPr>
                <w:rFonts w:ascii="Arial" w:hAnsi="Arial" w:cs="Arial"/>
                <w:b/>
                <w:sz w:val="20"/>
                <w:szCs w:val="22"/>
              </w:rPr>
            </w:pPr>
            <w:r w:rsidRPr="007D54B6">
              <w:rPr>
                <w:rFonts w:ascii="Arial" w:hAnsi="Arial" w:cs="Arial"/>
                <w:b/>
                <w:sz w:val="20"/>
                <w:szCs w:val="22"/>
              </w:rPr>
              <w:t>The impact of the hedging instruments on the balance sheet is, as follows:</w:t>
            </w:r>
          </w:p>
          <w:p w14:paraId="758B27E5" w14:textId="053E7C5F" w:rsidR="00703A2F" w:rsidRDefault="00703A2F" w:rsidP="0024137A">
            <w:pPr>
              <w:pStyle w:val="Notesitalicheading"/>
              <w:spacing w:line="280" w:lineRule="exact"/>
              <w:jc w:val="both"/>
              <w:rPr>
                <w:rFonts w:ascii="Arial" w:hAnsi="Arial"/>
                <w:color w:val="auto"/>
                <w:sz w:val="20"/>
              </w:rPr>
            </w:pPr>
          </w:p>
          <w:p w14:paraId="49360E0C" w14:textId="5E752306" w:rsidR="00833659" w:rsidRDefault="00833659" w:rsidP="0024137A">
            <w:pPr>
              <w:pStyle w:val="Notesitalicheading"/>
              <w:spacing w:line="280" w:lineRule="exact"/>
              <w:jc w:val="both"/>
              <w:rPr>
                <w:rFonts w:ascii="Arial" w:hAnsi="Arial"/>
                <w:color w:val="auto"/>
                <w:sz w:val="20"/>
              </w:rPr>
            </w:pPr>
          </w:p>
          <w:tbl>
            <w:tblPr>
              <w:tblW w:w="9766" w:type="dxa"/>
              <w:tblLook w:val="04A0" w:firstRow="1" w:lastRow="0" w:firstColumn="1" w:lastColumn="0" w:noHBand="0" w:noVBand="1"/>
            </w:tblPr>
            <w:tblGrid>
              <w:gridCol w:w="3664"/>
              <w:gridCol w:w="1016"/>
              <w:gridCol w:w="1039"/>
              <w:gridCol w:w="2600"/>
              <w:gridCol w:w="1692"/>
            </w:tblGrid>
            <w:tr w:rsidR="00833659" w:rsidRPr="003F1A30" w14:paraId="6A54FA10" w14:textId="77777777" w:rsidTr="002E7B6F">
              <w:trPr>
                <w:trHeight w:val="20"/>
              </w:trPr>
              <w:tc>
                <w:tcPr>
                  <w:tcW w:w="3664" w:type="dxa"/>
                  <w:shd w:val="clear" w:color="auto" w:fill="auto"/>
                  <w:noWrap/>
                  <w:vAlign w:val="bottom"/>
                  <w:hideMark/>
                </w:tcPr>
                <w:p w14:paraId="7D061A45" w14:textId="77777777" w:rsidR="00833659" w:rsidRPr="003F1A30" w:rsidRDefault="00833659" w:rsidP="00833659">
                  <w:pPr>
                    <w:spacing w:before="40" w:line="240" w:lineRule="exact"/>
                    <w:rPr>
                      <w:rFonts w:ascii="Arial" w:hAnsi="Arial" w:cs="Arial"/>
                      <w:sz w:val="20"/>
                      <w:szCs w:val="22"/>
                      <w:lang w:eastAsia="en-IN"/>
                    </w:rPr>
                  </w:pPr>
                  <w:r w:rsidRPr="003F1A30">
                    <w:rPr>
                      <w:rFonts w:ascii="Arial" w:hAnsi="Arial" w:cs="Arial"/>
                      <w:sz w:val="20"/>
                      <w:szCs w:val="22"/>
                      <w:lang w:eastAsia="en-IN"/>
                    </w:rPr>
                    <w:t> </w:t>
                  </w:r>
                </w:p>
              </w:tc>
              <w:tc>
                <w:tcPr>
                  <w:tcW w:w="905" w:type="dxa"/>
                  <w:tcBorders>
                    <w:top w:val="single" w:sz="4" w:space="0" w:color="auto"/>
                    <w:bottom w:val="single" w:sz="4" w:space="0" w:color="auto"/>
                  </w:tcBorders>
                  <w:shd w:val="clear" w:color="auto" w:fill="auto"/>
                  <w:vAlign w:val="center"/>
                  <w:hideMark/>
                </w:tcPr>
                <w:p w14:paraId="6E2ACA8A" w14:textId="77777777" w:rsidR="00833659" w:rsidRPr="003F1A30" w:rsidRDefault="00833659" w:rsidP="00833659">
                  <w:pPr>
                    <w:spacing w:before="40" w:line="240" w:lineRule="exact"/>
                    <w:jc w:val="center"/>
                    <w:rPr>
                      <w:rFonts w:ascii="Arial" w:hAnsi="Arial" w:cs="Arial"/>
                      <w:b/>
                      <w:sz w:val="20"/>
                      <w:szCs w:val="22"/>
                      <w:lang w:eastAsia="en-IN"/>
                    </w:rPr>
                  </w:pPr>
                  <w:r w:rsidRPr="003F1A30">
                    <w:rPr>
                      <w:rFonts w:ascii="Arial" w:hAnsi="Arial" w:cs="Arial"/>
                      <w:b/>
                      <w:sz w:val="20"/>
                      <w:szCs w:val="22"/>
                      <w:lang w:eastAsia="en-IN"/>
                    </w:rPr>
                    <w:t>Notional amount</w:t>
                  </w:r>
                </w:p>
              </w:tc>
              <w:tc>
                <w:tcPr>
                  <w:tcW w:w="905" w:type="dxa"/>
                  <w:tcBorders>
                    <w:top w:val="single" w:sz="4" w:space="0" w:color="auto"/>
                    <w:bottom w:val="single" w:sz="4" w:space="0" w:color="auto"/>
                  </w:tcBorders>
                  <w:shd w:val="clear" w:color="auto" w:fill="auto"/>
                  <w:noWrap/>
                  <w:vAlign w:val="center"/>
                  <w:hideMark/>
                </w:tcPr>
                <w:p w14:paraId="7AA90B89" w14:textId="77777777" w:rsidR="00833659" w:rsidRPr="003F1A30" w:rsidRDefault="00833659" w:rsidP="00833659">
                  <w:pPr>
                    <w:spacing w:before="40" w:line="240" w:lineRule="exact"/>
                    <w:jc w:val="center"/>
                    <w:rPr>
                      <w:rFonts w:ascii="Arial" w:hAnsi="Arial" w:cs="Arial"/>
                      <w:b/>
                      <w:sz w:val="20"/>
                      <w:szCs w:val="22"/>
                      <w:lang w:eastAsia="en-IN"/>
                    </w:rPr>
                  </w:pPr>
                  <w:r w:rsidRPr="003F1A30">
                    <w:rPr>
                      <w:rFonts w:ascii="Arial" w:hAnsi="Arial" w:cs="Arial"/>
                      <w:b/>
                      <w:sz w:val="20"/>
                      <w:szCs w:val="22"/>
                      <w:lang w:eastAsia="en-IN"/>
                    </w:rPr>
                    <w:t>Carrying amount</w:t>
                  </w:r>
                </w:p>
              </w:tc>
              <w:tc>
                <w:tcPr>
                  <w:tcW w:w="2600" w:type="dxa"/>
                  <w:tcBorders>
                    <w:top w:val="single" w:sz="4" w:space="0" w:color="auto"/>
                    <w:bottom w:val="single" w:sz="4" w:space="0" w:color="auto"/>
                  </w:tcBorders>
                  <w:shd w:val="clear" w:color="auto" w:fill="auto"/>
                  <w:vAlign w:val="center"/>
                  <w:hideMark/>
                </w:tcPr>
                <w:p w14:paraId="422C8D44" w14:textId="77777777" w:rsidR="00833659" w:rsidRPr="003F1A30" w:rsidRDefault="00833659" w:rsidP="00833659">
                  <w:pPr>
                    <w:spacing w:before="40" w:line="240" w:lineRule="exact"/>
                    <w:jc w:val="center"/>
                    <w:rPr>
                      <w:rFonts w:ascii="Arial" w:hAnsi="Arial" w:cs="Arial"/>
                      <w:b/>
                      <w:sz w:val="20"/>
                      <w:szCs w:val="22"/>
                      <w:lang w:eastAsia="en-IN"/>
                    </w:rPr>
                  </w:pPr>
                  <w:r w:rsidRPr="003F1A30">
                    <w:rPr>
                      <w:rFonts w:ascii="Arial" w:hAnsi="Arial" w:cs="Arial"/>
                      <w:b/>
                      <w:sz w:val="20"/>
                      <w:szCs w:val="22"/>
                      <w:lang w:eastAsia="en-IN"/>
                    </w:rPr>
                    <w:t>Line item in the balance sheet</w:t>
                  </w:r>
                </w:p>
              </w:tc>
              <w:tc>
                <w:tcPr>
                  <w:tcW w:w="1692" w:type="dxa"/>
                  <w:tcBorders>
                    <w:top w:val="single" w:sz="4" w:space="0" w:color="auto"/>
                    <w:bottom w:val="single" w:sz="4" w:space="0" w:color="auto"/>
                  </w:tcBorders>
                  <w:shd w:val="clear" w:color="auto" w:fill="auto"/>
                  <w:vAlign w:val="center"/>
                  <w:hideMark/>
                </w:tcPr>
                <w:p w14:paraId="42344557" w14:textId="77777777" w:rsidR="00833659" w:rsidRPr="003F1A30" w:rsidRDefault="00833659" w:rsidP="00833659">
                  <w:pPr>
                    <w:spacing w:before="40" w:line="240" w:lineRule="exact"/>
                    <w:jc w:val="center"/>
                    <w:rPr>
                      <w:rFonts w:ascii="Arial" w:hAnsi="Arial" w:cs="Arial"/>
                      <w:b/>
                      <w:sz w:val="20"/>
                      <w:szCs w:val="22"/>
                      <w:lang w:eastAsia="en-IN"/>
                    </w:rPr>
                  </w:pPr>
                  <w:r w:rsidRPr="003F1A30">
                    <w:rPr>
                      <w:rFonts w:ascii="Arial" w:hAnsi="Arial" w:cs="Arial"/>
                      <w:b/>
                      <w:sz w:val="20"/>
                      <w:szCs w:val="22"/>
                      <w:lang w:eastAsia="en-IN"/>
                    </w:rPr>
                    <w:t>Change in fair value used for measuring ineffectiveness for the period</w:t>
                  </w:r>
                </w:p>
              </w:tc>
            </w:tr>
            <w:tr w:rsidR="00833659" w:rsidRPr="003F1A30" w14:paraId="69503CDA" w14:textId="77777777" w:rsidTr="002E7B6F">
              <w:trPr>
                <w:trHeight w:val="20"/>
              </w:trPr>
              <w:tc>
                <w:tcPr>
                  <w:tcW w:w="3664" w:type="dxa"/>
                  <w:shd w:val="clear" w:color="auto" w:fill="auto"/>
                  <w:noWrap/>
                  <w:vAlign w:val="center"/>
                  <w:hideMark/>
                </w:tcPr>
                <w:p w14:paraId="590A2163" w14:textId="61DBA2D9" w:rsidR="00833659" w:rsidRPr="003F1A30" w:rsidRDefault="00833659" w:rsidP="00833659">
                  <w:pPr>
                    <w:spacing w:before="40" w:line="240" w:lineRule="exact"/>
                    <w:rPr>
                      <w:rFonts w:ascii="Arial" w:hAnsi="Arial" w:cs="Arial"/>
                      <w:b/>
                      <w:bCs/>
                      <w:sz w:val="20"/>
                      <w:szCs w:val="22"/>
                      <w:lang w:eastAsia="en-IN"/>
                    </w:rPr>
                  </w:pPr>
                  <w:r w:rsidRPr="003F1A30">
                    <w:rPr>
                      <w:rFonts w:ascii="Arial" w:hAnsi="Arial" w:cs="Arial"/>
                      <w:b/>
                      <w:sz w:val="20"/>
                      <w:szCs w:val="22"/>
                      <w:lang w:eastAsia="en-IN"/>
                    </w:rPr>
                    <w:t>At 31 March 202</w:t>
                  </w:r>
                  <w:r w:rsidR="00010DF8">
                    <w:rPr>
                      <w:rFonts w:ascii="Arial" w:hAnsi="Arial" w:cs="Arial"/>
                      <w:b/>
                      <w:sz w:val="20"/>
                      <w:szCs w:val="22"/>
                      <w:lang w:eastAsia="en-IN"/>
                    </w:rPr>
                    <w:t>1</w:t>
                  </w:r>
                </w:p>
              </w:tc>
              <w:tc>
                <w:tcPr>
                  <w:tcW w:w="905" w:type="dxa"/>
                  <w:tcBorders>
                    <w:top w:val="single" w:sz="4" w:space="0" w:color="auto"/>
                  </w:tcBorders>
                  <w:shd w:val="clear" w:color="auto" w:fill="auto"/>
                  <w:noWrap/>
                  <w:vAlign w:val="bottom"/>
                  <w:hideMark/>
                </w:tcPr>
                <w:p w14:paraId="74AFAA2E" w14:textId="77777777" w:rsidR="00833659" w:rsidRPr="003F1A30" w:rsidRDefault="00833659" w:rsidP="00833659">
                  <w:pPr>
                    <w:spacing w:before="40" w:line="240" w:lineRule="exact"/>
                    <w:rPr>
                      <w:rFonts w:ascii="Arial" w:hAnsi="Arial" w:cs="Arial"/>
                      <w:b/>
                      <w:bCs/>
                      <w:sz w:val="20"/>
                      <w:szCs w:val="22"/>
                      <w:lang w:eastAsia="en-IN"/>
                    </w:rPr>
                  </w:pPr>
                </w:p>
              </w:tc>
              <w:tc>
                <w:tcPr>
                  <w:tcW w:w="905" w:type="dxa"/>
                  <w:tcBorders>
                    <w:top w:val="single" w:sz="4" w:space="0" w:color="auto"/>
                  </w:tcBorders>
                  <w:shd w:val="clear" w:color="auto" w:fill="auto"/>
                  <w:noWrap/>
                  <w:vAlign w:val="bottom"/>
                  <w:hideMark/>
                </w:tcPr>
                <w:p w14:paraId="1220910A" w14:textId="77777777" w:rsidR="00833659" w:rsidRPr="003F1A30" w:rsidRDefault="00833659" w:rsidP="00833659">
                  <w:pPr>
                    <w:spacing w:before="40" w:line="240" w:lineRule="exact"/>
                    <w:rPr>
                      <w:rFonts w:ascii="Arial" w:hAnsi="Arial" w:cs="Arial"/>
                      <w:sz w:val="20"/>
                      <w:szCs w:val="22"/>
                      <w:lang w:eastAsia="en-IN"/>
                    </w:rPr>
                  </w:pPr>
                </w:p>
              </w:tc>
              <w:tc>
                <w:tcPr>
                  <w:tcW w:w="2600" w:type="dxa"/>
                  <w:tcBorders>
                    <w:top w:val="single" w:sz="4" w:space="0" w:color="auto"/>
                  </w:tcBorders>
                  <w:shd w:val="clear" w:color="auto" w:fill="auto"/>
                  <w:noWrap/>
                  <w:vAlign w:val="bottom"/>
                  <w:hideMark/>
                </w:tcPr>
                <w:p w14:paraId="0668D686" w14:textId="77777777" w:rsidR="00833659" w:rsidRPr="003F1A30" w:rsidRDefault="00833659" w:rsidP="00833659">
                  <w:pPr>
                    <w:spacing w:before="40" w:line="240" w:lineRule="exact"/>
                    <w:rPr>
                      <w:rFonts w:ascii="Arial" w:hAnsi="Arial" w:cs="Arial"/>
                      <w:sz w:val="20"/>
                      <w:szCs w:val="22"/>
                      <w:lang w:eastAsia="en-IN"/>
                    </w:rPr>
                  </w:pPr>
                </w:p>
              </w:tc>
              <w:tc>
                <w:tcPr>
                  <w:tcW w:w="1692" w:type="dxa"/>
                  <w:tcBorders>
                    <w:top w:val="single" w:sz="4" w:space="0" w:color="auto"/>
                  </w:tcBorders>
                  <w:shd w:val="clear" w:color="auto" w:fill="auto"/>
                  <w:noWrap/>
                  <w:vAlign w:val="bottom"/>
                  <w:hideMark/>
                </w:tcPr>
                <w:p w14:paraId="7EFA7465" w14:textId="77777777" w:rsidR="00833659" w:rsidRPr="003F1A30" w:rsidRDefault="00833659" w:rsidP="00833659">
                  <w:pPr>
                    <w:spacing w:before="40" w:line="240" w:lineRule="exact"/>
                    <w:rPr>
                      <w:rFonts w:ascii="Arial" w:hAnsi="Arial" w:cs="Arial"/>
                      <w:sz w:val="20"/>
                      <w:szCs w:val="22"/>
                      <w:lang w:eastAsia="en-IN"/>
                    </w:rPr>
                  </w:pPr>
                  <w:r w:rsidRPr="003F1A30">
                    <w:rPr>
                      <w:rFonts w:ascii="Arial" w:hAnsi="Arial" w:cs="Arial"/>
                      <w:sz w:val="20"/>
                      <w:szCs w:val="22"/>
                      <w:lang w:eastAsia="en-IN"/>
                    </w:rPr>
                    <w:t> </w:t>
                  </w:r>
                </w:p>
              </w:tc>
            </w:tr>
            <w:tr w:rsidR="00833659" w:rsidRPr="003F1A30" w14:paraId="490FFC94" w14:textId="77777777" w:rsidTr="002E7B6F">
              <w:trPr>
                <w:trHeight w:val="20"/>
              </w:trPr>
              <w:tc>
                <w:tcPr>
                  <w:tcW w:w="3664" w:type="dxa"/>
                  <w:shd w:val="clear" w:color="auto" w:fill="auto"/>
                  <w:noWrap/>
                  <w:vAlign w:val="center"/>
                  <w:hideMark/>
                </w:tcPr>
                <w:p w14:paraId="463B6245" w14:textId="77777777" w:rsidR="00833659" w:rsidRPr="003F1A30" w:rsidRDefault="00833659" w:rsidP="00833659">
                  <w:pPr>
                    <w:spacing w:before="40" w:line="240" w:lineRule="exact"/>
                    <w:rPr>
                      <w:rFonts w:ascii="Arial" w:hAnsi="Arial" w:cs="Arial"/>
                      <w:sz w:val="20"/>
                      <w:szCs w:val="22"/>
                      <w:lang w:eastAsia="en-IN"/>
                    </w:rPr>
                  </w:pPr>
                  <w:r w:rsidRPr="003F1A30">
                    <w:rPr>
                      <w:rFonts w:ascii="Arial" w:hAnsi="Arial" w:cs="Arial"/>
                      <w:sz w:val="20"/>
                      <w:szCs w:val="22"/>
                      <w:lang w:eastAsia="en-IN"/>
                    </w:rPr>
                    <w:t>Foreign exchange forward contracts</w:t>
                  </w:r>
                </w:p>
              </w:tc>
              <w:tc>
                <w:tcPr>
                  <w:tcW w:w="905" w:type="dxa"/>
                  <w:shd w:val="clear" w:color="auto" w:fill="auto"/>
                  <w:noWrap/>
                  <w:vAlign w:val="center"/>
                  <w:hideMark/>
                </w:tcPr>
                <w:p w14:paraId="6F35BA32" w14:textId="386334A0" w:rsidR="00833659" w:rsidRPr="003F1A30" w:rsidRDefault="00833659" w:rsidP="00833659">
                  <w:pPr>
                    <w:spacing w:before="40" w:line="240" w:lineRule="exact"/>
                    <w:jc w:val="right"/>
                    <w:rPr>
                      <w:rFonts w:ascii="Arial" w:hAnsi="Arial" w:cs="Arial"/>
                      <w:sz w:val="20"/>
                      <w:szCs w:val="22"/>
                      <w:lang w:eastAsia="en-IN"/>
                    </w:rPr>
                  </w:pPr>
                  <w:r w:rsidRPr="003F1A30">
                    <w:rPr>
                      <w:rFonts w:ascii="Arial" w:hAnsi="Arial" w:cs="Arial"/>
                      <w:sz w:val="20"/>
                      <w:szCs w:val="22"/>
                      <w:lang w:eastAsia="en-IN"/>
                    </w:rPr>
                    <w:t xml:space="preserve"> </w:t>
                  </w:r>
                  <w:r w:rsidR="00EC203A">
                    <w:rPr>
                      <w:rFonts w:ascii="Arial" w:hAnsi="Arial" w:cs="Arial"/>
                      <w:sz w:val="20"/>
                      <w:szCs w:val="22"/>
                      <w:lang w:eastAsia="en-IN"/>
                    </w:rPr>
                    <w:t>28,440</w:t>
                  </w:r>
                  <w:r w:rsidRPr="003F1A30">
                    <w:rPr>
                      <w:rFonts w:ascii="Arial" w:hAnsi="Arial" w:cs="Arial"/>
                      <w:sz w:val="20"/>
                      <w:szCs w:val="22"/>
                      <w:lang w:eastAsia="en-IN"/>
                    </w:rPr>
                    <w:t xml:space="preserve"> </w:t>
                  </w:r>
                </w:p>
              </w:tc>
              <w:tc>
                <w:tcPr>
                  <w:tcW w:w="905" w:type="dxa"/>
                  <w:shd w:val="clear" w:color="auto" w:fill="auto"/>
                  <w:noWrap/>
                  <w:vAlign w:val="center"/>
                  <w:hideMark/>
                </w:tcPr>
                <w:p w14:paraId="7B34F4CA" w14:textId="4E0A17BD" w:rsidR="00833659" w:rsidRPr="003F1A30" w:rsidRDefault="00EC203A" w:rsidP="00833659">
                  <w:pPr>
                    <w:spacing w:before="40" w:line="240" w:lineRule="exact"/>
                    <w:jc w:val="right"/>
                    <w:rPr>
                      <w:rFonts w:ascii="Arial" w:hAnsi="Arial" w:cs="Arial"/>
                      <w:sz w:val="20"/>
                      <w:szCs w:val="22"/>
                      <w:lang w:eastAsia="en-IN"/>
                    </w:rPr>
                  </w:pPr>
                  <w:r>
                    <w:rPr>
                      <w:rFonts w:ascii="Arial" w:hAnsi="Arial" w:cs="Arial"/>
                      <w:sz w:val="20"/>
                      <w:szCs w:val="22"/>
                      <w:lang w:eastAsia="en-IN"/>
                    </w:rPr>
                    <w:t>454</w:t>
                  </w:r>
                </w:p>
              </w:tc>
              <w:tc>
                <w:tcPr>
                  <w:tcW w:w="2600" w:type="dxa"/>
                  <w:shd w:val="clear" w:color="auto" w:fill="auto"/>
                  <w:vAlign w:val="center"/>
                  <w:hideMark/>
                </w:tcPr>
                <w:p w14:paraId="399FE77D" w14:textId="77777777" w:rsidR="00833659" w:rsidRPr="003F1A30" w:rsidRDefault="00833659" w:rsidP="00833659">
                  <w:pPr>
                    <w:spacing w:before="40" w:line="240" w:lineRule="exact"/>
                    <w:rPr>
                      <w:rFonts w:ascii="Arial" w:hAnsi="Arial" w:cs="Arial"/>
                      <w:sz w:val="20"/>
                      <w:szCs w:val="22"/>
                      <w:lang w:eastAsia="en-IN"/>
                    </w:rPr>
                  </w:pPr>
                  <w:r w:rsidRPr="003F1A30">
                    <w:rPr>
                      <w:rFonts w:ascii="Arial" w:hAnsi="Arial" w:cs="Arial"/>
                      <w:sz w:val="20"/>
                      <w:szCs w:val="22"/>
                      <w:lang w:eastAsia="en-IN"/>
                    </w:rPr>
                    <w:t>Derivative instruments under current financial assets</w:t>
                  </w:r>
                </w:p>
              </w:tc>
              <w:tc>
                <w:tcPr>
                  <w:tcW w:w="1692" w:type="dxa"/>
                  <w:shd w:val="clear" w:color="auto" w:fill="auto"/>
                  <w:noWrap/>
                  <w:vAlign w:val="center"/>
                  <w:hideMark/>
                </w:tcPr>
                <w:p w14:paraId="468074DC" w14:textId="69E1A4D8" w:rsidR="00833659" w:rsidRPr="003F1A30" w:rsidRDefault="00833659" w:rsidP="00833659">
                  <w:pPr>
                    <w:spacing w:before="40" w:line="240" w:lineRule="exact"/>
                    <w:jc w:val="right"/>
                    <w:rPr>
                      <w:rFonts w:ascii="Arial" w:hAnsi="Arial" w:cs="Arial"/>
                      <w:sz w:val="20"/>
                      <w:szCs w:val="22"/>
                      <w:lang w:eastAsia="en-IN"/>
                    </w:rPr>
                  </w:pPr>
                  <w:r w:rsidRPr="003F1A30">
                    <w:rPr>
                      <w:rFonts w:ascii="Arial" w:hAnsi="Arial" w:cs="Arial"/>
                      <w:sz w:val="20"/>
                      <w:szCs w:val="22"/>
                      <w:lang w:eastAsia="en-IN"/>
                    </w:rPr>
                    <w:t xml:space="preserve"> </w:t>
                  </w:r>
                  <w:r w:rsidR="00EC203A">
                    <w:rPr>
                      <w:rFonts w:ascii="Arial" w:hAnsi="Arial" w:cs="Arial"/>
                      <w:sz w:val="20"/>
                      <w:szCs w:val="22"/>
                      <w:lang w:eastAsia="en-IN"/>
                    </w:rPr>
                    <w:t>695</w:t>
                  </w:r>
                  <w:r w:rsidRPr="003F1A30">
                    <w:rPr>
                      <w:rFonts w:ascii="Arial" w:hAnsi="Arial" w:cs="Arial"/>
                      <w:sz w:val="20"/>
                      <w:szCs w:val="22"/>
                      <w:lang w:eastAsia="en-IN"/>
                    </w:rPr>
                    <w:t xml:space="preserve"> </w:t>
                  </w:r>
                </w:p>
              </w:tc>
            </w:tr>
            <w:tr w:rsidR="00833659" w:rsidRPr="003F1A30" w14:paraId="18BFC66C" w14:textId="77777777" w:rsidTr="002E7B6F">
              <w:trPr>
                <w:trHeight w:val="20"/>
              </w:trPr>
              <w:tc>
                <w:tcPr>
                  <w:tcW w:w="3664" w:type="dxa"/>
                  <w:shd w:val="clear" w:color="auto" w:fill="auto"/>
                  <w:noWrap/>
                  <w:vAlign w:val="center"/>
                  <w:hideMark/>
                </w:tcPr>
                <w:p w14:paraId="05599FBF" w14:textId="77777777" w:rsidR="00833659" w:rsidRPr="003F1A30" w:rsidRDefault="00833659" w:rsidP="00833659">
                  <w:pPr>
                    <w:spacing w:before="40" w:line="240" w:lineRule="exact"/>
                    <w:rPr>
                      <w:rFonts w:ascii="Arial" w:hAnsi="Arial" w:cs="Arial"/>
                      <w:sz w:val="20"/>
                      <w:szCs w:val="22"/>
                      <w:lang w:eastAsia="en-IN"/>
                    </w:rPr>
                  </w:pPr>
                  <w:r w:rsidRPr="003F1A30">
                    <w:rPr>
                      <w:rFonts w:ascii="Arial" w:hAnsi="Arial" w:cs="Arial"/>
                      <w:sz w:val="20"/>
                      <w:szCs w:val="22"/>
                      <w:lang w:eastAsia="en-IN"/>
                    </w:rPr>
                    <w:t xml:space="preserve">Foreign exchange forward contracts </w:t>
                  </w:r>
                </w:p>
              </w:tc>
              <w:tc>
                <w:tcPr>
                  <w:tcW w:w="905" w:type="dxa"/>
                  <w:shd w:val="clear" w:color="auto" w:fill="auto"/>
                  <w:noWrap/>
                  <w:vAlign w:val="center"/>
                  <w:hideMark/>
                </w:tcPr>
                <w:p w14:paraId="5A521E07" w14:textId="59036374" w:rsidR="00833659" w:rsidRPr="003F1A30" w:rsidRDefault="00833659" w:rsidP="00833659">
                  <w:pPr>
                    <w:spacing w:before="40" w:line="240" w:lineRule="exact"/>
                    <w:jc w:val="right"/>
                    <w:rPr>
                      <w:rFonts w:ascii="Arial" w:hAnsi="Arial" w:cs="Arial"/>
                      <w:sz w:val="20"/>
                      <w:szCs w:val="22"/>
                      <w:lang w:eastAsia="en-IN"/>
                    </w:rPr>
                  </w:pPr>
                  <w:r w:rsidRPr="003F1A30">
                    <w:rPr>
                      <w:rFonts w:ascii="Arial" w:hAnsi="Arial" w:cs="Arial"/>
                      <w:sz w:val="20"/>
                      <w:szCs w:val="22"/>
                      <w:lang w:eastAsia="en-IN"/>
                    </w:rPr>
                    <w:t xml:space="preserve"> </w:t>
                  </w:r>
                  <w:r w:rsidR="00EC203A">
                    <w:rPr>
                      <w:rFonts w:ascii="Arial" w:hAnsi="Arial" w:cs="Arial"/>
                      <w:sz w:val="20"/>
                      <w:szCs w:val="22"/>
                      <w:lang w:eastAsia="en-IN"/>
                    </w:rPr>
                    <w:t>14,328</w:t>
                  </w:r>
                  <w:r w:rsidRPr="003F1A30">
                    <w:rPr>
                      <w:rFonts w:ascii="Arial" w:hAnsi="Arial" w:cs="Arial"/>
                      <w:sz w:val="20"/>
                      <w:szCs w:val="22"/>
                      <w:lang w:eastAsia="en-IN"/>
                    </w:rPr>
                    <w:t xml:space="preserve"> </w:t>
                  </w:r>
                </w:p>
              </w:tc>
              <w:tc>
                <w:tcPr>
                  <w:tcW w:w="905" w:type="dxa"/>
                  <w:shd w:val="clear" w:color="auto" w:fill="auto"/>
                  <w:noWrap/>
                  <w:vAlign w:val="center"/>
                  <w:hideMark/>
                </w:tcPr>
                <w:p w14:paraId="1B56E2DD" w14:textId="14EAE775" w:rsidR="00833659" w:rsidRPr="003F1A30" w:rsidRDefault="00833659" w:rsidP="00833659">
                  <w:pPr>
                    <w:spacing w:before="40" w:line="240" w:lineRule="exact"/>
                    <w:jc w:val="right"/>
                    <w:rPr>
                      <w:rFonts w:ascii="Arial" w:hAnsi="Arial" w:cs="Arial"/>
                      <w:sz w:val="20"/>
                      <w:szCs w:val="22"/>
                      <w:lang w:eastAsia="en-IN"/>
                    </w:rPr>
                  </w:pPr>
                  <w:r w:rsidRPr="003F1A30">
                    <w:rPr>
                      <w:rFonts w:ascii="Arial" w:hAnsi="Arial" w:cs="Arial"/>
                      <w:sz w:val="20"/>
                      <w:szCs w:val="22"/>
                      <w:lang w:eastAsia="en-IN"/>
                    </w:rPr>
                    <w:t xml:space="preserve"> (</w:t>
                  </w:r>
                  <w:r w:rsidR="00EC203A">
                    <w:rPr>
                      <w:rFonts w:ascii="Arial" w:hAnsi="Arial" w:cs="Arial"/>
                      <w:sz w:val="20"/>
                      <w:szCs w:val="22"/>
                      <w:lang w:eastAsia="en-IN"/>
                    </w:rPr>
                    <w:t>306</w:t>
                  </w:r>
                  <w:r w:rsidRPr="003F1A30">
                    <w:rPr>
                      <w:rFonts w:ascii="Arial" w:hAnsi="Arial" w:cs="Arial"/>
                      <w:sz w:val="20"/>
                      <w:szCs w:val="22"/>
                      <w:lang w:eastAsia="en-IN"/>
                    </w:rPr>
                    <w:t>)</w:t>
                  </w:r>
                </w:p>
              </w:tc>
              <w:tc>
                <w:tcPr>
                  <w:tcW w:w="2600" w:type="dxa"/>
                  <w:shd w:val="clear" w:color="auto" w:fill="auto"/>
                  <w:vAlign w:val="center"/>
                  <w:hideMark/>
                </w:tcPr>
                <w:p w14:paraId="6F49F679" w14:textId="77777777" w:rsidR="00833659" w:rsidRPr="003F1A30" w:rsidRDefault="00833659" w:rsidP="00833659">
                  <w:pPr>
                    <w:spacing w:before="40" w:line="240" w:lineRule="exact"/>
                    <w:rPr>
                      <w:rFonts w:ascii="Arial" w:hAnsi="Arial" w:cs="Arial"/>
                      <w:sz w:val="20"/>
                      <w:szCs w:val="22"/>
                      <w:lang w:eastAsia="en-IN"/>
                    </w:rPr>
                  </w:pPr>
                  <w:r w:rsidRPr="003F1A30">
                    <w:rPr>
                      <w:rFonts w:ascii="Arial" w:hAnsi="Arial" w:cs="Arial"/>
                      <w:sz w:val="20"/>
                      <w:szCs w:val="22"/>
                      <w:lang w:eastAsia="en-IN"/>
                    </w:rPr>
                    <w:t>Other current financial liabilities</w:t>
                  </w:r>
                </w:p>
              </w:tc>
              <w:tc>
                <w:tcPr>
                  <w:tcW w:w="1692" w:type="dxa"/>
                  <w:shd w:val="clear" w:color="auto" w:fill="auto"/>
                  <w:noWrap/>
                  <w:vAlign w:val="center"/>
                  <w:hideMark/>
                </w:tcPr>
                <w:p w14:paraId="03817706" w14:textId="5749A170" w:rsidR="00833659" w:rsidRPr="003F1A30" w:rsidRDefault="00833659" w:rsidP="00833659">
                  <w:pPr>
                    <w:spacing w:before="40" w:line="240" w:lineRule="exact"/>
                    <w:jc w:val="right"/>
                    <w:rPr>
                      <w:rFonts w:ascii="Arial" w:hAnsi="Arial" w:cs="Arial"/>
                      <w:sz w:val="20"/>
                      <w:szCs w:val="22"/>
                      <w:lang w:eastAsia="en-IN"/>
                    </w:rPr>
                  </w:pPr>
                  <w:r w:rsidRPr="003F1A30">
                    <w:rPr>
                      <w:rFonts w:ascii="Arial" w:hAnsi="Arial" w:cs="Arial"/>
                      <w:sz w:val="20"/>
                      <w:szCs w:val="22"/>
                      <w:lang w:eastAsia="en-IN"/>
                    </w:rPr>
                    <w:t xml:space="preserve"> (</w:t>
                  </w:r>
                  <w:r w:rsidR="00EC203A">
                    <w:rPr>
                      <w:rFonts w:ascii="Arial" w:hAnsi="Arial" w:cs="Arial"/>
                      <w:sz w:val="20"/>
                      <w:szCs w:val="22"/>
                      <w:lang w:eastAsia="en-IN"/>
                    </w:rPr>
                    <w:t>178</w:t>
                  </w:r>
                  <w:r w:rsidRPr="003F1A30">
                    <w:rPr>
                      <w:rFonts w:ascii="Arial" w:hAnsi="Arial" w:cs="Arial"/>
                      <w:sz w:val="20"/>
                      <w:szCs w:val="22"/>
                      <w:lang w:eastAsia="en-IN"/>
                    </w:rPr>
                    <w:t>)</w:t>
                  </w:r>
                </w:p>
              </w:tc>
            </w:tr>
            <w:tr w:rsidR="00833659" w:rsidRPr="003F1A30" w14:paraId="51C58316" w14:textId="77777777" w:rsidTr="002E7B6F">
              <w:trPr>
                <w:trHeight w:val="20"/>
              </w:trPr>
              <w:tc>
                <w:tcPr>
                  <w:tcW w:w="3664" w:type="dxa"/>
                  <w:shd w:val="clear" w:color="auto" w:fill="auto"/>
                  <w:noWrap/>
                  <w:vAlign w:val="center"/>
                  <w:hideMark/>
                </w:tcPr>
                <w:p w14:paraId="102BDB47" w14:textId="77777777" w:rsidR="00833659" w:rsidRPr="003F1A30" w:rsidRDefault="00833659" w:rsidP="00833659">
                  <w:pPr>
                    <w:spacing w:before="40" w:line="240" w:lineRule="exact"/>
                    <w:rPr>
                      <w:rFonts w:ascii="Arial" w:hAnsi="Arial" w:cs="Arial"/>
                      <w:sz w:val="20"/>
                      <w:szCs w:val="22"/>
                      <w:lang w:eastAsia="en-IN"/>
                    </w:rPr>
                  </w:pPr>
                  <w:r w:rsidRPr="003F1A30">
                    <w:rPr>
                      <w:rFonts w:ascii="Arial" w:hAnsi="Arial" w:cs="Arial"/>
                      <w:sz w:val="20"/>
                      <w:szCs w:val="22"/>
                      <w:lang w:eastAsia="en-IN"/>
                    </w:rPr>
                    <w:t xml:space="preserve">Commodity forward contracts </w:t>
                  </w:r>
                </w:p>
              </w:tc>
              <w:tc>
                <w:tcPr>
                  <w:tcW w:w="905" w:type="dxa"/>
                  <w:shd w:val="clear" w:color="auto" w:fill="auto"/>
                  <w:noWrap/>
                  <w:vAlign w:val="center"/>
                  <w:hideMark/>
                </w:tcPr>
                <w:p w14:paraId="7D87F58D" w14:textId="77777777" w:rsidR="00833659" w:rsidRPr="003F1A30" w:rsidRDefault="00833659" w:rsidP="00833659">
                  <w:pPr>
                    <w:spacing w:before="40" w:line="240" w:lineRule="exact"/>
                    <w:jc w:val="right"/>
                    <w:rPr>
                      <w:rFonts w:ascii="Arial" w:hAnsi="Arial" w:cs="Arial"/>
                      <w:sz w:val="20"/>
                      <w:szCs w:val="22"/>
                      <w:lang w:eastAsia="en-IN"/>
                    </w:rPr>
                  </w:pPr>
                  <w:r w:rsidRPr="003F1A30">
                    <w:rPr>
                      <w:rFonts w:ascii="Arial" w:hAnsi="Arial" w:cs="Arial"/>
                      <w:sz w:val="20"/>
                      <w:szCs w:val="22"/>
                      <w:lang w:eastAsia="en-IN"/>
                    </w:rPr>
                    <w:t xml:space="preserve"> 10,080 </w:t>
                  </w:r>
                </w:p>
              </w:tc>
              <w:tc>
                <w:tcPr>
                  <w:tcW w:w="905" w:type="dxa"/>
                  <w:shd w:val="clear" w:color="auto" w:fill="auto"/>
                  <w:noWrap/>
                  <w:vAlign w:val="center"/>
                  <w:hideMark/>
                </w:tcPr>
                <w:p w14:paraId="63E41C5B" w14:textId="5F83CEBF" w:rsidR="00833659" w:rsidRPr="003F1A30" w:rsidRDefault="00833659" w:rsidP="00833659">
                  <w:pPr>
                    <w:spacing w:before="40" w:line="240" w:lineRule="exact"/>
                    <w:jc w:val="right"/>
                    <w:rPr>
                      <w:rFonts w:ascii="Arial" w:hAnsi="Arial" w:cs="Arial"/>
                      <w:sz w:val="20"/>
                      <w:szCs w:val="22"/>
                      <w:lang w:eastAsia="en-IN"/>
                    </w:rPr>
                  </w:pPr>
                  <w:r w:rsidRPr="003F1A30">
                    <w:rPr>
                      <w:rFonts w:ascii="Arial" w:hAnsi="Arial" w:cs="Arial"/>
                      <w:sz w:val="20"/>
                      <w:szCs w:val="22"/>
                      <w:lang w:eastAsia="en-IN"/>
                    </w:rPr>
                    <w:t xml:space="preserve"> (</w:t>
                  </w:r>
                  <w:r w:rsidR="00EC203A">
                    <w:rPr>
                      <w:rFonts w:ascii="Arial" w:hAnsi="Arial" w:cs="Arial"/>
                      <w:sz w:val="20"/>
                      <w:szCs w:val="22"/>
                      <w:lang w:eastAsia="en-IN"/>
                    </w:rPr>
                    <w:t>1,764</w:t>
                  </w:r>
                  <w:r w:rsidRPr="003F1A30">
                    <w:rPr>
                      <w:rFonts w:ascii="Arial" w:hAnsi="Arial" w:cs="Arial"/>
                      <w:sz w:val="20"/>
                      <w:szCs w:val="22"/>
                      <w:lang w:eastAsia="en-IN"/>
                    </w:rPr>
                    <w:t>)</w:t>
                  </w:r>
                </w:p>
              </w:tc>
              <w:tc>
                <w:tcPr>
                  <w:tcW w:w="2600" w:type="dxa"/>
                  <w:shd w:val="clear" w:color="auto" w:fill="auto"/>
                  <w:vAlign w:val="center"/>
                  <w:hideMark/>
                </w:tcPr>
                <w:p w14:paraId="4120ABE5" w14:textId="77777777" w:rsidR="00833659" w:rsidRPr="003F1A30" w:rsidRDefault="00833659" w:rsidP="00833659">
                  <w:pPr>
                    <w:spacing w:before="40" w:line="240" w:lineRule="exact"/>
                    <w:rPr>
                      <w:rFonts w:ascii="Arial" w:hAnsi="Arial" w:cs="Arial"/>
                      <w:sz w:val="20"/>
                      <w:szCs w:val="22"/>
                      <w:lang w:eastAsia="en-IN"/>
                    </w:rPr>
                  </w:pPr>
                  <w:r w:rsidRPr="003F1A30">
                    <w:rPr>
                      <w:rFonts w:ascii="Arial" w:hAnsi="Arial" w:cs="Arial"/>
                      <w:sz w:val="20"/>
                      <w:szCs w:val="22"/>
                      <w:lang w:eastAsia="en-IN"/>
                    </w:rPr>
                    <w:t>Other current financial liabilities</w:t>
                  </w:r>
                </w:p>
              </w:tc>
              <w:tc>
                <w:tcPr>
                  <w:tcW w:w="1692" w:type="dxa"/>
                  <w:shd w:val="clear" w:color="auto" w:fill="auto"/>
                  <w:noWrap/>
                  <w:vAlign w:val="center"/>
                  <w:hideMark/>
                </w:tcPr>
                <w:p w14:paraId="1D6F4C0E" w14:textId="6449DC56" w:rsidR="00833659" w:rsidRPr="003F1A30" w:rsidRDefault="00833659" w:rsidP="00833659">
                  <w:pPr>
                    <w:spacing w:before="40" w:line="240" w:lineRule="exact"/>
                    <w:jc w:val="right"/>
                    <w:rPr>
                      <w:rFonts w:ascii="Arial" w:hAnsi="Arial" w:cs="Arial"/>
                      <w:sz w:val="20"/>
                      <w:szCs w:val="22"/>
                      <w:lang w:eastAsia="en-IN"/>
                    </w:rPr>
                  </w:pPr>
                  <w:r w:rsidRPr="003F1A30">
                    <w:rPr>
                      <w:rFonts w:ascii="Arial" w:hAnsi="Arial" w:cs="Arial"/>
                      <w:sz w:val="20"/>
                      <w:szCs w:val="22"/>
                      <w:lang w:eastAsia="en-IN"/>
                    </w:rPr>
                    <w:t xml:space="preserve"> (</w:t>
                  </w:r>
                  <w:r w:rsidR="00EC203A">
                    <w:rPr>
                      <w:rFonts w:ascii="Arial" w:hAnsi="Arial" w:cs="Arial"/>
                      <w:sz w:val="20"/>
                      <w:szCs w:val="22"/>
                      <w:lang w:eastAsia="en-IN"/>
                    </w:rPr>
                    <w:t>1,764</w:t>
                  </w:r>
                  <w:r w:rsidRPr="003F1A30">
                    <w:rPr>
                      <w:rFonts w:ascii="Arial" w:hAnsi="Arial" w:cs="Arial"/>
                      <w:sz w:val="20"/>
                      <w:szCs w:val="22"/>
                      <w:lang w:eastAsia="en-IN"/>
                    </w:rPr>
                    <w:t>)</w:t>
                  </w:r>
                </w:p>
              </w:tc>
            </w:tr>
            <w:tr w:rsidR="00833659" w:rsidRPr="003F1A30" w14:paraId="5290F4FC" w14:textId="77777777" w:rsidTr="002E7B6F">
              <w:trPr>
                <w:trHeight w:val="20"/>
              </w:trPr>
              <w:tc>
                <w:tcPr>
                  <w:tcW w:w="3664" w:type="dxa"/>
                  <w:shd w:val="clear" w:color="auto" w:fill="auto"/>
                  <w:noWrap/>
                  <w:vAlign w:val="center"/>
                  <w:hideMark/>
                </w:tcPr>
                <w:p w14:paraId="2142C035" w14:textId="65919038" w:rsidR="00833659" w:rsidRPr="003F1A30" w:rsidRDefault="00833659" w:rsidP="00833659">
                  <w:pPr>
                    <w:spacing w:before="40" w:line="240" w:lineRule="exact"/>
                    <w:rPr>
                      <w:rFonts w:ascii="Arial" w:hAnsi="Arial" w:cs="Arial"/>
                      <w:b/>
                      <w:bCs/>
                      <w:sz w:val="20"/>
                      <w:szCs w:val="22"/>
                      <w:lang w:eastAsia="en-IN"/>
                    </w:rPr>
                  </w:pPr>
                  <w:r w:rsidRPr="003F1A30">
                    <w:rPr>
                      <w:rFonts w:ascii="Arial" w:hAnsi="Arial" w:cs="Arial"/>
                      <w:b/>
                      <w:sz w:val="20"/>
                      <w:szCs w:val="22"/>
                      <w:lang w:eastAsia="en-IN"/>
                    </w:rPr>
                    <w:t>At 31 March 20</w:t>
                  </w:r>
                  <w:r w:rsidR="00010DF8">
                    <w:rPr>
                      <w:rFonts w:ascii="Arial" w:hAnsi="Arial" w:cs="Arial"/>
                      <w:b/>
                      <w:sz w:val="20"/>
                      <w:szCs w:val="22"/>
                      <w:lang w:eastAsia="en-IN"/>
                    </w:rPr>
                    <w:t>20</w:t>
                  </w:r>
                </w:p>
              </w:tc>
              <w:tc>
                <w:tcPr>
                  <w:tcW w:w="905" w:type="dxa"/>
                  <w:shd w:val="clear" w:color="auto" w:fill="auto"/>
                  <w:noWrap/>
                  <w:vAlign w:val="center"/>
                  <w:hideMark/>
                </w:tcPr>
                <w:p w14:paraId="18D4633C" w14:textId="77777777" w:rsidR="00833659" w:rsidRPr="003F1A30" w:rsidRDefault="00833659" w:rsidP="00833659">
                  <w:pPr>
                    <w:spacing w:before="40" w:line="240" w:lineRule="exact"/>
                    <w:jc w:val="right"/>
                    <w:rPr>
                      <w:rFonts w:ascii="Arial" w:hAnsi="Arial" w:cs="Arial"/>
                      <w:b/>
                      <w:bCs/>
                      <w:sz w:val="20"/>
                      <w:szCs w:val="22"/>
                      <w:lang w:eastAsia="en-IN"/>
                    </w:rPr>
                  </w:pPr>
                </w:p>
              </w:tc>
              <w:tc>
                <w:tcPr>
                  <w:tcW w:w="905" w:type="dxa"/>
                  <w:shd w:val="clear" w:color="auto" w:fill="auto"/>
                  <w:noWrap/>
                  <w:vAlign w:val="center"/>
                  <w:hideMark/>
                </w:tcPr>
                <w:p w14:paraId="26EFAE32" w14:textId="77777777" w:rsidR="00833659" w:rsidRPr="003F1A30" w:rsidRDefault="00833659" w:rsidP="00833659">
                  <w:pPr>
                    <w:spacing w:before="40" w:line="240" w:lineRule="exact"/>
                    <w:jc w:val="right"/>
                    <w:rPr>
                      <w:rFonts w:ascii="Arial" w:hAnsi="Arial" w:cs="Arial"/>
                      <w:sz w:val="20"/>
                      <w:szCs w:val="22"/>
                      <w:lang w:eastAsia="en-IN"/>
                    </w:rPr>
                  </w:pPr>
                </w:p>
              </w:tc>
              <w:tc>
                <w:tcPr>
                  <w:tcW w:w="2600" w:type="dxa"/>
                  <w:shd w:val="clear" w:color="auto" w:fill="auto"/>
                  <w:noWrap/>
                  <w:vAlign w:val="center"/>
                  <w:hideMark/>
                </w:tcPr>
                <w:p w14:paraId="53FA6CE2" w14:textId="77777777" w:rsidR="00833659" w:rsidRPr="003F1A30" w:rsidRDefault="00833659" w:rsidP="00833659">
                  <w:pPr>
                    <w:spacing w:before="40" w:line="240" w:lineRule="exact"/>
                    <w:rPr>
                      <w:rFonts w:ascii="Arial" w:hAnsi="Arial" w:cs="Arial"/>
                      <w:sz w:val="20"/>
                      <w:szCs w:val="22"/>
                      <w:lang w:eastAsia="en-IN"/>
                    </w:rPr>
                  </w:pPr>
                </w:p>
              </w:tc>
              <w:tc>
                <w:tcPr>
                  <w:tcW w:w="1692" w:type="dxa"/>
                  <w:shd w:val="clear" w:color="auto" w:fill="auto"/>
                  <w:noWrap/>
                  <w:vAlign w:val="center"/>
                  <w:hideMark/>
                </w:tcPr>
                <w:p w14:paraId="49300732" w14:textId="77777777" w:rsidR="00833659" w:rsidRPr="003F1A30" w:rsidRDefault="00833659" w:rsidP="00833659">
                  <w:pPr>
                    <w:spacing w:before="40" w:line="240" w:lineRule="exact"/>
                    <w:jc w:val="right"/>
                    <w:rPr>
                      <w:rFonts w:ascii="Arial" w:hAnsi="Arial" w:cs="Arial"/>
                      <w:sz w:val="20"/>
                      <w:szCs w:val="22"/>
                      <w:lang w:eastAsia="en-IN"/>
                    </w:rPr>
                  </w:pPr>
                  <w:r w:rsidRPr="003F1A30">
                    <w:rPr>
                      <w:rFonts w:ascii="Arial" w:hAnsi="Arial" w:cs="Arial"/>
                      <w:sz w:val="20"/>
                      <w:szCs w:val="22"/>
                      <w:lang w:eastAsia="en-IN"/>
                    </w:rPr>
                    <w:t> </w:t>
                  </w:r>
                </w:p>
              </w:tc>
            </w:tr>
            <w:tr w:rsidR="00833659" w:rsidRPr="003F1A30" w14:paraId="1363286A" w14:textId="77777777" w:rsidTr="002E7B6F">
              <w:trPr>
                <w:trHeight w:val="20"/>
              </w:trPr>
              <w:tc>
                <w:tcPr>
                  <w:tcW w:w="3664" w:type="dxa"/>
                  <w:shd w:val="clear" w:color="auto" w:fill="auto"/>
                  <w:noWrap/>
                  <w:vAlign w:val="center"/>
                  <w:hideMark/>
                </w:tcPr>
                <w:p w14:paraId="1E135000" w14:textId="77777777" w:rsidR="00833659" w:rsidRPr="003F1A30" w:rsidRDefault="00833659" w:rsidP="00833659">
                  <w:pPr>
                    <w:spacing w:before="40" w:line="240" w:lineRule="exact"/>
                    <w:rPr>
                      <w:rFonts w:ascii="Arial" w:hAnsi="Arial" w:cs="Arial"/>
                      <w:sz w:val="20"/>
                      <w:szCs w:val="22"/>
                      <w:lang w:eastAsia="en-IN"/>
                    </w:rPr>
                  </w:pPr>
                  <w:r w:rsidRPr="003F1A30">
                    <w:rPr>
                      <w:rFonts w:ascii="Arial" w:hAnsi="Arial" w:cs="Arial"/>
                      <w:sz w:val="20"/>
                      <w:szCs w:val="22"/>
                      <w:lang w:eastAsia="en-IN"/>
                    </w:rPr>
                    <w:t>Foreign exchange forward contracts</w:t>
                  </w:r>
                </w:p>
              </w:tc>
              <w:tc>
                <w:tcPr>
                  <w:tcW w:w="905" w:type="dxa"/>
                  <w:shd w:val="clear" w:color="auto" w:fill="auto"/>
                  <w:noWrap/>
                  <w:vAlign w:val="center"/>
                  <w:hideMark/>
                </w:tcPr>
                <w:p w14:paraId="65F0CB6B" w14:textId="55BA4273" w:rsidR="00833659" w:rsidRPr="003F1A30" w:rsidRDefault="00833659" w:rsidP="00833659">
                  <w:pPr>
                    <w:spacing w:before="40" w:line="240" w:lineRule="exact"/>
                    <w:jc w:val="right"/>
                    <w:rPr>
                      <w:rFonts w:ascii="Arial" w:hAnsi="Arial" w:cs="Arial"/>
                      <w:sz w:val="20"/>
                      <w:szCs w:val="22"/>
                      <w:lang w:eastAsia="en-IN"/>
                    </w:rPr>
                  </w:pPr>
                  <w:r w:rsidRPr="003F1A30">
                    <w:rPr>
                      <w:rFonts w:ascii="Arial" w:hAnsi="Arial" w:cs="Arial"/>
                      <w:sz w:val="20"/>
                      <w:szCs w:val="22"/>
                      <w:lang w:eastAsia="en-IN"/>
                    </w:rPr>
                    <w:t xml:space="preserve"> </w:t>
                  </w:r>
                  <w:r w:rsidR="00EC203A">
                    <w:rPr>
                      <w:rFonts w:ascii="Arial" w:hAnsi="Arial" w:cs="Arial"/>
                      <w:sz w:val="20"/>
                      <w:szCs w:val="22"/>
                      <w:lang w:eastAsia="en-IN"/>
                    </w:rPr>
                    <w:t>26,280</w:t>
                  </w:r>
                </w:p>
              </w:tc>
              <w:tc>
                <w:tcPr>
                  <w:tcW w:w="905" w:type="dxa"/>
                  <w:shd w:val="clear" w:color="auto" w:fill="auto"/>
                  <w:noWrap/>
                  <w:vAlign w:val="center"/>
                  <w:hideMark/>
                </w:tcPr>
                <w:p w14:paraId="61B8A348" w14:textId="7F1B332D" w:rsidR="00833659" w:rsidRPr="003F1A30" w:rsidRDefault="00833659" w:rsidP="00833659">
                  <w:pPr>
                    <w:spacing w:before="40" w:line="240" w:lineRule="exact"/>
                    <w:jc w:val="right"/>
                    <w:rPr>
                      <w:rFonts w:ascii="Arial" w:hAnsi="Arial" w:cs="Arial"/>
                      <w:sz w:val="20"/>
                      <w:szCs w:val="22"/>
                      <w:lang w:eastAsia="en-IN"/>
                    </w:rPr>
                  </w:pPr>
                  <w:r w:rsidRPr="003F1A30">
                    <w:rPr>
                      <w:rFonts w:ascii="Arial" w:hAnsi="Arial" w:cs="Arial"/>
                      <w:sz w:val="20"/>
                      <w:szCs w:val="22"/>
                      <w:lang w:eastAsia="en-IN"/>
                    </w:rPr>
                    <w:t xml:space="preserve"> </w:t>
                  </w:r>
                  <w:r w:rsidR="00EC203A">
                    <w:rPr>
                      <w:rFonts w:ascii="Arial" w:hAnsi="Arial" w:cs="Arial"/>
                      <w:sz w:val="20"/>
                      <w:szCs w:val="22"/>
                      <w:lang w:eastAsia="en-IN"/>
                    </w:rPr>
                    <w:t>275</w:t>
                  </w:r>
                  <w:r w:rsidRPr="003F1A30">
                    <w:rPr>
                      <w:rFonts w:ascii="Arial" w:hAnsi="Arial" w:cs="Arial"/>
                      <w:sz w:val="20"/>
                      <w:szCs w:val="22"/>
                      <w:lang w:eastAsia="en-IN"/>
                    </w:rPr>
                    <w:t xml:space="preserve"> </w:t>
                  </w:r>
                </w:p>
              </w:tc>
              <w:tc>
                <w:tcPr>
                  <w:tcW w:w="2600" w:type="dxa"/>
                  <w:shd w:val="clear" w:color="auto" w:fill="auto"/>
                  <w:vAlign w:val="center"/>
                  <w:hideMark/>
                </w:tcPr>
                <w:p w14:paraId="035CF214" w14:textId="77777777" w:rsidR="00833659" w:rsidRPr="003F1A30" w:rsidRDefault="00833659" w:rsidP="00833659">
                  <w:pPr>
                    <w:spacing w:before="40" w:line="240" w:lineRule="exact"/>
                    <w:rPr>
                      <w:rFonts w:ascii="Arial" w:hAnsi="Arial" w:cs="Arial"/>
                      <w:sz w:val="20"/>
                      <w:szCs w:val="22"/>
                      <w:lang w:eastAsia="en-IN"/>
                    </w:rPr>
                  </w:pPr>
                  <w:r w:rsidRPr="003F1A30">
                    <w:rPr>
                      <w:rFonts w:ascii="Arial" w:hAnsi="Arial" w:cs="Arial"/>
                      <w:sz w:val="20"/>
                      <w:szCs w:val="22"/>
                      <w:lang w:eastAsia="en-IN"/>
                    </w:rPr>
                    <w:t>Derivative instruments under current financial assets</w:t>
                  </w:r>
                </w:p>
              </w:tc>
              <w:tc>
                <w:tcPr>
                  <w:tcW w:w="1692" w:type="dxa"/>
                  <w:shd w:val="clear" w:color="auto" w:fill="auto"/>
                  <w:noWrap/>
                  <w:vAlign w:val="center"/>
                  <w:hideMark/>
                </w:tcPr>
                <w:p w14:paraId="1FBF927A" w14:textId="1EDE9152" w:rsidR="00833659" w:rsidRPr="003F1A30" w:rsidRDefault="00833659" w:rsidP="00833659">
                  <w:pPr>
                    <w:spacing w:before="40" w:line="240" w:lineRule="exact"/>
                    <w:jc w:val="right"/>
                    <w:rPr>
                      <w:rFonts w:ascii="Arial" w:hAnsi="Arial" w:cs="Arial"/>
                      <w:sz w:val="20"/>
                      <w:szCs w:val="22"/>
                      <w:lang w:eastAsia="en-IN"/>
                    </w:rPr>
                  </w:pPr>
                  <w:r w:rsidRPr="003F1A30">
                    <w:rPr>
                      <w:rFonts w:ascii="Arial" w:hAnsi="Arial" w:cs="Arial"/>
                      <w:sz w:val="20"/>
                      <w:szCs w:val="22"/>
                      <w:lang w:eastAsia="en-IN"/>
                    </w:rPr>
                    <w:t xml:space="preserve"> </w:t>
                  </w:r>
                  <w:r w:rsidR="00EC203A">
                    <w:rPr>
                      <w:rFonts w:ascii="Arial" w:hAnsi="Arial" w:cs="Arial"/>
                      <w:sz w:val="20"/>
                      <w:szCs w:val="22"/>
                      <w:lang w:eastAsia="en-IN"/>
                    </w:rPr>
                    <w:t>247</w:t>
                  </w:r>
                  <w:r w:rsidRPr="003F1A30">
                    <w:rPr>
                      <w:rFonts w:ascii="Arial" w:hAnsi="Arial" w:cs="Arial"/>
                      <w:sz w:val="20"/>
                      <w:szCs w:val="22"/>
                      <w:lang w:eastAsia="en-IN"/>
                    </w:rPr>
                    <w:t xml:space="preserve"> </w:t>
                  </w:r>
                </w:p>
              </w:tc>
            </w:tr>
            <w:tr w:rsidR="00833659" w:rsidRPr="003F1A30" w14:paraId="142FF450" w14:textId="77777777" w:rsidTr="002E7B6F">
              <w:trPr>
                <w:trHeight w:val="20"/>
              </w:trPr>
              <w:tc>
                <w:tcPr>
                  <w:tcW w:w="3664" w:type="dxa"/>
                  <w:shd w:val="clear" w:color="auto" w:fill="auto"/>
                  <w:noWrap/>
                  <w:vAlign w:val="center"/>
                  <w:hideMark/>
                </w:tcPr>
                <w:p w14:paraId="5E123908" w14:textId="77777777" w:rsidR="00833659" w:rsidRPr="003F1A30" w:rsidRDefault="00833659" w:rsidP="00833659">
                  <w:pPr>
                    <w:spacing w:before="40" w:line="240" w:lineRule="exact"/>
                    <w:rPr>
                      <w:rFonts w:ascii="Arial" w:hAnsi="Arial" w:cs="Arial"/>
                      <w:sz w:val="20"/>
                      <w:szCs w:val="22"/>
                      <w:lang w:eastAsia="en-IN"/>
                    </w:rPr>
                  </w:pPr>
                  <w:r w:rsidRPr="003F1A30">
                    <w:rPr>
                      <w:rFonts w:ascii="Arial" w:hAnsi="Arial" w:cs="Arial"/>
                      <w:sz w:val="20"/>
                      <w:szCs w:val="22"/>
                      <w:lang w:eastAsia="en-IN"/>
                    </w:rPr>
                    <w:t xml:space="preserve">Foreign exchange forward contracts </w:t>
                  </w:r>
                </w:p>
              </w:tc>
              <w:tc>
                <w:tcPr>
                  <w:tcW w:w="905" w:type="dxa"/>
                  <w:shd w:val="clear" w:color="auto" w:fill="auto"/>
                  <w:noWrap/>
                  <w:vAlign w:val="center"/>
                  <w:hideMark/>
                </w:tcPr>
                <w:p w14:paraId="7C22CF87" w14:textId="37E7844D" w:rsidR="00833659" w:rsidRPr="003F1A30" w:rsidRDefault="00EC203A" w:rsidP="00833659">
                  <w:pPr>
                    <w:spacing w:before="40" w:line="240" w:lineRule="exact"/>
                    <w:jc w:val="right"/>
                    <w:rPr>
                      <w:rFonts w:ascii="Arial" w:hAnsi="Arial" w:cs="Arial"/>
                      <w:sz w:val="20"/>
                      <w:szCs w:val="22"/>
                      <w:lang w:eastAsia="en-IN"/>
                    </w:rPr>
                  </w:pPr>
                  <w:r>
                    <w:rPr>
                      <w:rFonts w:ascii="Arial" w:hAnsi="Arial" w:cs="Arial"/>
                      <w:sz w:val="20"/>
                      <w:szCs w:val="22"/>
                      <w:lang w:eastAsia="en-IN"/>
                    </w:rPr>
                    <w:t>12,510</w:t>
                  </w:r>
                </w:p>
              </w:tc>
              <w:tc>
                <w:tcPr>
                  <w:tcW w:w="905" w:type="dxa"/>
                  <w:shd w:val="clear" w:color="auto" w:fill="auto"/>
                  <w:noWrap/>
                  <w:vAlign w:val="center"/>
                  <w:hideMark/>
                </w:tcPr>
                <w:p w14:paraId="5E807643" w14:textId="2F1E451D" w:rsidR="00833659" w:rsidRPr="003F1A30" w:rsidRDefault="00833659" w:rsidP="00833659">
                  <w:pPr>
                    <w:spacing w:before="40" w:line="240" w:lineRule="exact"/>
                    <w:jc w:val="right"/>
                    <w:rPr>
                      <w:rFonts w:ascii="Arial" w:hAnsi="Arial" w:cs="Arial"/>
                      <w:sz w:val="20"/>
                      <w:szCs w:val="22"/>
                      <w:lang w:eastAsia="en-IN"/>
                    </w:rPr>
                  </w:pPr>
                  <w:r w:rsidRPr="003F1A30">
                    <w:rPr>
                      <w:rFonts w:ascii="Arial" w:hAnsi="Arial" w:cs="Arial"/>
                      <w:sz w:val="20"/>
                      <w:szCs w:val="22"/>
                      <w:lang w:eastAsia="en-IN"/>
                    </w:rPr>
                    <w:t xml:space="preserve"> (</w:t>
                  </w:r>
                  <w:r w:rsidR="00EC203A">
                    <w:rPr>
                      <w:rFonts w:ascii="Arial" w:hAnsi="Arial" w:cs="Arial"/>
                      <w:sz w:val="20"/>
                      <w:szCs w:val="22"/>
                      <w:lang w:eastAsia="en-IN"/>
                    </w:rPr>
                    <w:t>457</w:t>
                  </w:r>
                  <w:r w:rsidRPr="003F1A30">
                    <w:rPr>
                      <w:rFonts w:ascii="Arial" w:hAnsi="Arial" w:cs="Arial"/>
                      <w:sz w:val="20"/>
                      <w:szCs w:val="22"/>
                      <w:lang w:eastAsia="en-IN"/>
                    </w:rPr>
                    <w:t>)</w:t>
                  </w:r>
                </w:p>
              </w:tc>
              <w:tc>
                <w:tcPr>
                  <w:tcW w:w="2600" w:type="dxa"/>
                  <w:shd w:val="clear" w:color="auto" w:fill="auto"/>
                  <w:vAlign w:val="center"/>
                  <w:hideMark/>
                </w:tcPr>
                <w:p w14:paraId="0145CAE0" w14:textId="77777777" w:rsidR="00833659" w:rsidRPr="003F1A30" w:rsidRDefault="00833659" w:rsidP="00833659">
                  <w:pPr>
                    <w:spacing w:before="40" w:line="240" w:lineRule="exact"/>
                    <w:rPr>
                      <w:rFonts w:ascii="Arial" w:hAnsi="Arial" w:cs="Arial"/>
                      <w:sz w:val="20"/>
                      <w:szCs w:val="22"/>
                      <w:lang w:eastAsia="en-IN"/>
                    </w:rPr>
                  </w:pPr>
                  <w:r w:rsidRPr="003F1A30">
                    <w:rPr>
                      <w:rFonts w:ascii="Arial" w:hAnsi="Arial" w:cs="Arial"/>
                      <w:sz w:val="20"/>
                      <w:szCs w:val="22"/>
                      <w:lang w:eastAsia="en-IN"/>
                    </w:rPr>
                    <w:t>Other current financial liabilities</w:t>
                  </w:r>
                </w:p>
              </w:tc>
              <w:tc>
                <w:tcPr>
                  <w:tcW w:w="1692" w:type="dxa"/>
                  <w:shd w:val="clear" w:color="auto" w:fill="auto"/>
                  <w:noWrap/>
                  <w:vAlign w:val="center"/>
                  <w:hideMark/>
                </w:tcPr>
                <w:p w14:paraId="6D84A161" w14:textId="224F885D" w:rsidR="00833659" w:rsidRPr="003F1A30" w:rsidRDefault="00833659" w:rsidP="00833659">
                  <w:pPr>
                    <w:spacing w:before="40" w:line="240" w:lineRule="exact"/>
                    <w:jc w:val="right"/>
                    <w:rPr>
                      <w:rFonts w:ascii="Arial" w:hAnsi="Arial" w:cs="Arial"/>
                      <w:sz w:val="20"/>
                      <w:szCs w:val="22"/>
                      <w:lang w:eastAsia="en-IN"/>
                    </w:rPr>
                  </w:pPr>
                  <w:r w:rsidRPr="003F1A30">
                    <w:rPr>
                      <w:rFonts w:ascii="Arial" w:hAnsi="Arial" w:cs="Arial"/>
                      <w:sz w:val="20"/>
                      <w:szCs w:val="22"/>
                      <w:lang w:eastAsia="en-IN"/>
                    </w:rPr>
                    <w:t xml:space="preserve"> (</w:t>
                  </w:r>
                  <w:r w:rsidR="00EC203A">
                    <w:rPr>
                      <w:rFonts w:ascii="Arial" w:hAnsi="Arial" w:cs="Arial"/>
                      <w:sz w:val="20"/>
                      <w:szCs w:val="22"/>
                      <w:lang w:eastAsia="en-IN"/>
                    </w:rPr>
                    <w:t>56</w:t>
                  </w:r>
                  <w:r w:rsidRPr="003F1A30">
                    <w:rPr>
                      <w:rFonts w:ascii="Arial" w:hAnsi="Arial" w:cs="Arial"/>
                      <w:sz w:val="20"/>
                      <w:szCs w:val="22"/>
                      <w:lang w:eastAsia="en-IN"/>
                    </w:rPr>
                    <w:t>)</w:t>
                  </w:r>
                </w:p>
              </w:tc>
            </w:tr>
          </w:tbl>
          <w:p w14:paraId="4ECD8B19" w14:textId="37E58F49" w:rsidR="00833659" w:rsidRDefault="00833659" w:rsidP="0024137A">
            <w:pPr>
              <w:pStyle w:val="Notesitalicheading"/>
              <w:spacing w:line="280" w:lineRule="exact"/>
              <w:jc w:val="both"/>
              <w:rPr>
                <w:rFonts w:ascii="Arial" w:hAnsi="Arial"/>
                <w:color w:val="auto"/>
                <w:sz w:val="20"/>
              </w:rPr>
            </w:pPr>
          </w:p>
          <w:p w14:paraId="7CB6AB39" w14:textId="4E5EFD54" w:rsidR="00833659" w:rsidRDefault="00833659" w:rsidP="0024137A">
            <w:pPr>
              <w:pStyle w:val="Notesitalicheading"/>
              <w:spacing w:line="280" w:lineRule="exact"/>
              <w:jc w:val="both"/>
              <w:rPr>
                <w:rFonts w:ascii="Arial" w:hAnsi="Arial"/>
                <w:color w:val="auto"/>
                <w:sz w:val="20"/>
              </w:rPr>
            </w:pPr>
          </w:p>
          <w:p w14:paraId="3A69B7A0" w14:textId="77777777" w:rsidR="00833659" w:rsidRPr="003F1A30" w:rsidRDefault="00833659" w:rsidP="00833659">
            <w:pPr>
              <w:rPr>
                <w:rFonts w:ascii="Arial" w:hAnsi="Arial" w:cs="Arial"/>
                <w:b/>
                <w:sz w:val="20"/>
                <w:szCs w:val="22"/>
              </w:rPr>
            </w:pPr>
            <w:r w:rsidRPr="003F1A30">
              <w:rPr>
                <w:rFonts w:ascii="Arial" w:hAnsi="Arial" w:cs="Arial"/>
                <w:b/>
                <w:sz w:val="20"/>
                <w:szCs w:val="22"/>
              </w:rPr>
              <w:t>The impact of hedged items on the balance sheet is, as follows:</w:t>
            </w:r>
          </w:p>
          <w:p w14:paraId="2D295383" w14:textId="050EEF4D" w:rsidR="00833659" w:rsidRDefault="00833659" w:rsidP="0024137A">
            <w:pPr>
              <w:pStyle w:val="Notesitalicheading"/>
              <w:spacing w:line="280" w:lineRule="exact"/>
              <w:jc w:val="both"/>
              <w:rPr>
                <w:rFonts w:ascii="Arial" w:hAnsi="Arial"/>
                <w:color w:val="auto"/>
                <w:sz w:val="20"/>
              </w:rPr>
            </w:pPr>
          </w:p>
          <w:tbl>
            <w:tblPr>
              <w:tblW w:w="9871" w:type="dxa"/>
              <w:tblLook w:val="04A0" w:firstRow="1" w:lastRow="0" w:firstColumn="1" w:lastColumn="0" w:noHBand="0" w:noVBand="1"/>
            </w:tblPr>
            <w:tblGrid>
              <w:gridCol w:w="2367"/>
              <w:gridCol w:w="1676"/>
              <w:gridCol w:w="1059"/>
              <w:gridCol w:w="1017"/>
              <w:gridCol w:w="1676"/>
              <w:gridCol w:w="1059"/>
              <w:gridCol w:w="1017"/>
            </w:tblGrid>
            <w:tr w:rsidR="003F1A30" w:rsidRPr="003F1A30" w14:paraId="74F5DEE5" w14:textId="77777777" w:rsidTr="002E7B6F">
              <w:trPr>
                <w:trHeight w:val="288"/>
              </w:trPr>
              <w:tc>
                <w:tcPr>
                  <w:tcW w:w="2346" w:type="dxa"/>
                  <w:shd w:val="clear" w:color="auto" w:fill="auto"/>
                  <w:noWrap/>
                  <w:vAlign w:val="bottom"/>
                  <w:hideMark/>
                </w:tcPr>
                <w:p w14:paraId="6C1264CC" w14:textId="77777777" w:rsidR="003F1A30" w:rsidRPr="003F1A30" w:rsidRDefault="003F1A30" w:rsidP="003F1A30">
                  <w:pPr>
                    <w:rPr>
                      <w:rFonts w:ascii="Arial" w:hAnsi="Arial" w:cs="Arial"/>
                      <w:sz w:val="20"/>
                      <w:szCs w:val="22"/>
                      <w:lang w:eastAsia="en-IN"/>
                    </w:rPr>
                  </w:pPr>
                  <w:r w:rsidRPr="003F1A30">
                    <w:rPr>
                      <w:rFonts w:ascii="Arial" w:hAnsi="Arial" w:cs="Arial"/>
                      <w:sz w:val="20"/>
                      <w:szCs w:val="22"/>
                      <w:lang w:eastAsia="en-IN"/>
                    </w:rPr>
                    <w:t> </w:t>
                  </w:r>
                </w:p>
              </w:tc>
              <w:tc>
                <w:tcPr>
                  <w:tcW w:w="1008" w:type="dxa"/>
                  <w:gridSpan w:val="3"/>
                  <w:tcBorders>
                    <w:top w:val="single" w:sz="4" w:space="0" w:color="auto"/>
                    <w:bottom w:val="single" w:sz="4" w:space="0" w:color="auto"/>
                  </w:tcBorders>
                  <w:shd w:val="clear" w:color="auto" w:fill="auto"/>
                  <w:noWrap/>
                  <w:vAlign w:val="bottom"/>
                  <w:hideMark/>
                </w:tcPr>
                <w:p w14:paraId="18B1CB44" w14:textId="1341C9F2" w:rsidR="003F1A30" w:rsidRPr="003F1A30" w:rsidRDefault="003F1A30" w:rsidP="003F1A30">
                  <w:pPr>
                    <w:jc w:val="center"/>
                    <w:rPr>
                      <w:rFonts w:ascii="Arial" w:hAnsi="Arial" w:cs="Arial"/>
                      <w:sz w:val="20"/>
                      <w:szCs w:val="22"/>
                      <w:lang w:eastAsia="en-IN"/>
                    </w:rPr>
                  </w:pPr>
                  <w:r w:rsidRPr="003F1A30">
                    <w:rPr>
                      <w:rFonts w:ascii="Arial" w:hAnsi="Arial" w:cs="Arial"/>
                      <w:b/>
                      <w:sz w:val="20"/>
                      <w:szCs w:val="22"/>
                      <w:lang w:eastAsia="en-IN"/>
                    </w:rPr>
                    <w:t>31 March 202</w:t>
                  </w:r>
                  <w:r w:rsidR="008842B4">
                    <w:rPr>
                      <w:rFonts w:ascii="Arial" w:hAnsi="Arial" w:cs="Arial"/>
                      <w:b/>
                      <w:sz w:val="20"/>
                      <w:szCs w:val="22"/>
                      <w:lang w:eastAsia="en-IN"/>
                    </w:rPr>
                    <w:t>1</w:t>
                  </w:r>
                </w:p>
              </w:tc>
              <w:tc>
                <w:tcPr>
                  <w:tcW w:w="1008" w:type="dxa"/>
                  <w:gridSpan w:val="3"/>
                  <w:tcBorders>
                    <w:top w:val="single" w:sz="4" w:space="0" w:color="auto"/>
                    <w:bottom w:val="single" w:sz="4" w:space="0" w:color="auto"/>
                  </w:tcBorders>
                  <w:shd w:val="clear" w:color="auto" w:fill="auto"/>
                  <w:noWrap/>
                  <w:vAlign w:val="bottom"/>
                  <w:hideMark/>
                </w:tcPr>
                <w:p w14:paraId="77CFAB91" w14:textId="766A387F" w:rsidR="003F1A30" w:rsidRPr="003F1A30" w:rsidRDefault="003F1A30" w:rsidP="003F1A30">
                  <w:pPr>
                    <w:jc w:val="center"/>
                    <w:rPr>
                      <w:rFonts w:ascii="Arial" w:hAnsi="Arial" w:cs="Arial"/>
                      <w:sz w:val="20"/>
                      <w:szCs w:val="22"/>
                      <w:lang w:eastAsia="en-IN"/>
                    </w:rPr>
                  </w:pPr>
                  <w:r w:rsidRPr="003F1A30">
                    <w:rPr>
                      <w:rFonts w:ascii="Arial" w:hAnsi="Arial" w:cs="Arial"/>
                      <w:b/>
                      <w:sz w:val="20"/>
                      <w:szCs w:val="22"/>
                      <w:lang w:eastAsia="en-IN"/>
                    </w:rPr>
                    <w:t>31 March 20</w:t>
                  </w:r>
                  <w:r w:rsidR="008842B4">
                    <w:rPr>
                      <w:rFonts w:ascii="Arial" w:hAnsi="Arial" w:cs="Arial"/>
                      <w:b/>
                      <w:sz w:val="20"/>
                      <w:szCs w:val="22"/>
                      <w:lang w:eastAsia="en-IN"/>
                    </w:rPr>
                    <w:t>20</w:t>
                  </w:r>
                </w:p>
              </w:tc>
            </w:tr>
            <w:tr w:rsidR="003F1A30" w:rsidRPr="003F1A30" w14:paraId="460D43C6" w14:textId="77777777" w:rsidTr="002E7B6F">
              <w:trPr>
                <w:trHeight w:val="576"/>
              </w:trPr>
              <w:tc>
                <w:tcPr>
                  <w:tcW w:w="2346" w:type="dxa"/>
                  <w:shd w:val="clear" w:color="auto" w:fill="auto"/>
                  <w:noWrap/>
                  <w:vAlign w:val="bottom"/>
                  <w:hideMark/>
                </w:tcPr>
                <w:p w14:paraId="1774F5E6" w14:textId="77777777" w:rsidR="003F1A30" w:rsidRPr="003F1A30" w:rsidRDefault="003F1A30" w:rsidP="003F1A30">
                  <w:pPr>
                    <w:rPr>
                      <w:rFonts w:ascii="Arial" w:hAnsi="Arial" w:cs="Arial"/>
                      <w:sz w:val="20"/>
                      <w:szCs w:val="22"/>
                      <w:lang w:eastAsia="en-IN"/>
                    </w:rPr>
                  </w:pPr>
                  <w:r w:rsidRPr="003F1A30">
                    <w:rPr>
                      <w:rFonts w:ascii="Arial" w:hAnsi="Arial" w:cs="Arial"/>
                      <w:sz w:val="20"/>
                      <w:szCs w:val="22"/>
                      <w:lang w:eastAsia="en-IN"/>
                    </w:rPr>
                    <w:t> </w:t>
                  </w:r>
                </w:p>
              </w:tc>
              <w:tc>
                <w:tcPr>
                  <w:tcW w:w="1440" w:type="dxa"/>
                  <w:tcBorders>
                    <w:top w:val="single" w:sz="4" w:space="0" w:color="auto"/>
                    <w:bottom w:val="single" w:sz="4" w:space="0" w:color="auto"/>
                  </w:tcBorders>
                  <w:shd w:val="clear" w:color="auto" w:fill="auto"/>
                  <w:vAlign w:val="center"/>
                  <w:hideMark/>
                </w:tcPr>
                <w:p w14:paraId="7D0A3205" w14:textId="77777777" w:rsidR="003F1A30" w:rsidRPr="003F1A30" w:rsidRDefault="003F1A30" w:rsidP="003F1A30">
                  <w:pPr>
                    <w:jc w:val="center"/>
                    <w:rPr>
                      <w:rFonts w:ascii="Arial" w:hAnsi="Arial" w:cs="Arial"/>
                      <w:b/>
                      <w:sz w:val="20"/>
                      <w:szCs w:val="22"/>
                      <w:lang w:eastAsia="en-IN"/>
                    </w:rPr>
                  </w:pPr>
                  <w:r w:rsidRPr="003F1A30">
                    <w:rPr>
                      <w:rFonts w:ascii="Arial" w:hAnsi="Arial" w:cs="Arial"/>
                      <w:b/>
                      <w:sz w:val="20"/>
                      <w:szCs w:val="22"/>
                      <w:lang w:eastAsia="en-IN"/>
                    </w:rPr>
                    <w:t xml:space="preserve">Change in fair </w:t>
                  </w:r>
                  <w:r w:rsidRPr="003F1A30">
                    <w:rPr>
                      <w:rFonts w:ascii="Arial" w:hAnsi="Arial" w:cs="Arial"/>
                      <w:b/>
                      <w:sz w:val="20"/>
                      <w:szCs w:val="22"/>
                      <w:lang w:eastAsia="en-IN"/>
                    </w:rPr>
                    <w:br/>
                    <w:t xml:space="preserve">value used for </w:t>
                  </w:r>
                  <w:r w:rsidRPr="003F1A30">
                    <w:rPr>
                      <w:rFonts w:ascii="Arial" w:hAnsi="Arial" w:cs="Arial"/>
                      <w:b/>
                      <w:sz w:val="20"/>
                      <w:szCs w:val="22"/>
                      <w:lang w:eastAsia="en-IN"/>
                    </w:rPr>
                    <w:br/>
                    <w:t xml:space="preserve">measuring </w:t>
                  </w:r>
                  <w:r w:rsidRPr="003F1A30">
                    <w:rPr>
                      <w:rFonts w:ascii="Arial" w:hAnsi="Arial" w:cs="Arial"/>
                      <w:b/>
                      <w:sz w:val="20"/>
                      <w:szCs w:val="22"/>
                      <w:lang w:eastAsia="en-IN"/>
                    </w:rPr>
                    <w:br/>
                    <w:t>ineffectiveness</w:t>
                  </w:r>
                </w:p>
              </w:tc>
              <w:tc>
                <w:tcPr>
                  <w:tcW w:w="1008" w:type="dxa"/>
                  <w:tcBorders>
                    <w:top w:val="single" w:sz="4" w:space="0" w:color="auto"/>
                    <w:bottom w:val="single" w:sz="4" w:space="0" w:color="auto"/>
                  </w:tcBorders>
                  <w:shd w:val="clear" w:color="auto" w:fill="auto"/>
                  <w:vAlign w:val="center"/>
                  <w:hideMark/>
                </w:tcPr>
                <w:p w14:paraId="0B2DF63C" w14:textId="77777777" w:rsidR="003F1A30" w:rsidRPr="003F1A30" w:rsidRDefault="003F1A30" w:rsidP="003F1A30">
                  <w:pPr>
                    <w:jc w:val="center"/>
                    <w:rPr>
                      <w:rFonts w:ascii="Arial" w:hAnsi="Arial" w:cs="Arial"/>
                      <w:b/>
                      <w:sz w:val="20"/>
                      <w:szCs w:val="22"/>
                      <w:lang w:eastAsia="en-IN"/>
                    </w:rPr>
                  </w:pPr>
                  <w:r w:rsidRPr="003F1A30">
                    <w:rPr>
                      <w:rFonts w:ascii="Arial" w:hAnsi="Arial" w:cs="Arial"/>
                      <w:b/>
                      <w:sz w:val="20"/>
                      <w:szCs w:val="22"/>
                      <w:lang w:eastAsia="en-IN"/>
                    </w:rPr>
                    <w:t xml:space="preserve">Effective portion of cash flow </w:t>
                  </w:r>
                  <w:r w:rsidRPr="003F1A30">
                    <w:rPr>
                      <w:rFonts w:ascii="Arial" w:hAnsi="Arial" w:cs="Arial"/>
                      <w:b/>
                      <w:sz w:val="20"/>
                      <w:szCs w:val="22"/>
                      <w:lang w:eastAsia="en-IN"/>
                    </w:rPr>
                    <w:br/>
                    <w:t>hedges</w:t>
                  </w:r>
                </w:p>
              </w:tc>
              <w:tc>
                <w:tcPr>
                  <w:tcW w:w="1008" w:type="dxa"/>
                  <w:tcBorders>
                    <w:top w:val="single" w:sz="4" w:space="0" w:color="auto"/>
                    <w:bottom w:val="single" w:sz="4" w:space="0" w:color="auto"/>
                  </w:tcBorders>
                  <w:shd w:val="clear" w:color="auto" w:fill="auto"/>
                  <w:vAlign w:val="center"/>
                  <w:hideMark/>
                </w:tcPr>
                <w:p w14:paraId="7D4C1E8E" w14:textId="77777777" w:rsidR="003F1A30" w:rsidRPr="003F1A30" w:rsidRDefault="003F1A30" w:rsidP="003F1A30">
                  <w:pPr>
                    <w:jc w:val="center"/>
                    <w:rPr>
                      <w:rFonts w:ascii="Arial" w:hAnsi="Arial" w:cs="Arial"/>
                      <w:b/>
                      <w:sz w:val="20"/>
                      <w:szCs w:val="22"/>
                      <w:lang w:eastAsia="en-IN"/>
                    </w:rPr>
                  </w:pPr>
                  <w:r w:rsidRPr="003F1A30">
                    <w:rPr>
                      <w:rFonts w:ascii="Arial" w:hAnsi="Arial" w:cs="Arial"/>
                      <w:b/>
                      <w:sz w:val="20"/>
                      <w:szCs w:val="22"/>
                      <w:lang w:eastAsia="en-IN"/>
                    </w:rPr>
                    <w:t xml:space="preserve">Cost of </w:t>
                  </w:r>
                  <w:r w:rsidRPr="003F1A30">
                    <w:rPr>
                      <w:rFonts w:ascii="Arial" w:hAnsi="Arial" w:cs="Arial"/>
                      <w:b/>
                      <w:sz w:val="20"/>
                      <w:szCs w:val="22"/>
                      <w:lang w:eastAsia="en-IN"/>
                    </w:rPr>
                    <w:br/>
                    <w:t>cash flow hedges</w:t>
                  </w:r>
                </w:p>
              </w:tc>
              <w:tc>
                <w:tcPr>
                  <w:tcW w:w="1440" w:type="dxa"/>
                  <w:tcBorders>
                    <w:top w:val="single" w:sz="4" w:space="0" w:color="auto"/>
                    <w:bottom w:val="single" w:sz="4" w:space="0" w:color="auto"/>
                  </w:tcBorders>
                  <w:shd w:val="clear" w:color="auto" w:fill="auto"/>
                  <w:vAlign w:val="center"/>
                  <w:hideMark/>
                </w:tcPr>
                <w:p w14:paraId="6C3D27B7" w14:textId="77777777" w:rsidR="003F1A30" w:rsidRPr="003F1A30" w:rsidRDefault="003F1A30" w:rsidP="003F1A30">
                  <w:pPr>
                    <w:jc w:val="center"/>
                    <w:rPr>
                      <w:rFonts w:ascii="Arial" w:hAnsi="Arial" w:cs="Arial"/>
                      <w:b/>
                      <w:sz w:val="20"/>
                      <w:szCs w:val="22"/>
                      <w:lang w:eastAsia="en-IN"/>
                    </w:rPr>
                  </w:pPr>
                  <w:r w:rsidRPr="003F1A30">
                    <w:rPr>
                      <w:rFonts w:ascii="Arial" w:hAnsi="Arial" w:cs="Arial"/>
                      <w:b/>
                      <w:sz w:val="20"/>
                      <w:szCs w:val="22"/>
                      <w:lang w:eastAsia="en-IN"/>
                    </w:rPr>
                    <w:t xml:space="preserve">Change in fair </w:t>
                  </w:r>
                  <w:r w:rsidRPr="003F1A30">
                    <w:rPr>
                      <w:rFonts w:ascii="Arial" w:hAnsi="Arial" w:cs="Arial"/>
                      <w:b/>
                      <w:sz w:val="20"/>
                      <w:szCs w:val="22"/>
                      <w:lang w:eastAsia="en-IN"/>
                    </w:rPr>
                    <w:br/>
                    <w:t xml:space="preserve">value used for </w:t>
                  </w:r>
                  <w:r w:rsidRPr="003F1A30">
                    <w:rPr>
                      <w:rFonts w:ascii="Arial" w:hAnsi="Arial" w:cs="Arial"/>
                      <w:b/>
                      <w:sz w:val="20"/>
                      <w:szCs w:val="22"/>
                      <w:lang w:eastAsia="en-IN"/>
                    </w:rPr>
                    <w:br/>
                    <w:t xml:space="preserve">measuring </w:t>
                  </w:r>
                  <w:r w:rsidRPr="003F1A30">
                    <w:rPr>
                      <w:rFonts w:ascii="Arial" w:hAnsi="Arial" w:cs="Arial"/>
                      <w:b/>
                      <w:sz w:val="20"/>
                      <w:szCs w:val="22"/>
                      <w:lang w:eastAsia="en-IN"/>
                    </w:rPr>
                    <w:br/>
                    <w:t>ineffectiveness</w:t>
                  </w:r>
                </w:p>
              </w:tc>
              <w:tc>
                <w:tcPr>
                  <w:tcW w:w="1008" w:type="dxa"/>
                  <w:tcBorders>
                    <w:top w:val="single" w:sz="4" w:space="0" w:color="auto"/>
                    <w:bottom w:val="single" w:sz="4" w:space="0" w:color="auto"/>
                  </w:tcBorders>
                  <w:shd w:val="clear" w:color="auto" w:fill="auto"/>
                  <w:vAlign w:val="center"/>
                  <w:hideMark/>
                </w:tcPr>
                <w:p w14:paraId="01299AAF" w14:textId="77777777" w:rsidR="003F1A30" w:rsidRPr="003F1A30" w:rsidRDefault="003F1A30" w:rsidP="003F1A30">
                  <w:pPr>
                    <w:jc w:val="center"/>
                    <w:rPr>
                      <w:rFonts w:ascii="Arial" w:hAnsi="Arial" w:cs="Arial"/>
                      <w:b/>
                      <w:sz w:val="20"/>
                      <w:szCs w:val="22"/>
                      <w:lang w:eastAsia="en-IN"/>
                    </w:rPr>
                  </w:pPr>
                  <w:r w:rsidRPr="003F1A30">
                    <w:rPr>
                      <w:rFonts w:ascii="Arial" w:hAnsi="Arial" w:cs="Arial"/>
                      <w:b/>
                      <w:sz w:val="20"/>
                      <w:szCs w:val="22"/>
                      <w:lang w:eastAsia="en-IN"/>
                    </w:rPr>
                    <w:t xml:space="preserve">Effective portion of cash flow </w:t>
                  </w:r>
                  <w:r w:rsidRPr="003F1A30">
                    <w:rPr>
                      <w:rFonts w:ascii="Arial" w:hAnsi="Arial" w:cs="Arial"/>
                      <w:b/>
                      <w:sz w:val="20"/>
                      <w:szCs w:val="22"/>
                      <w:lang w:eastAsia="en-IN"/>
                    </w:rPr>
                    <w:br/>
                    <w:t>hedges</w:t>
                  </w:r>
                </w:p>
              </w:tc>
              <w:tc>
                <w:tcPr>
                  <w:tcW w:w="1008" w:type="dxa"/>
                  <w:tcBorders>
                    <w:top w:val="single" w:sz="4" w:space="0" w:color="auto"/>
                    <w:bottom w:val="single" w:sz="4" w:space="0" w:color="auto"/>
                  </w:tcBorders>
                  <w:shd w:val="clear" w:color="auto" w:fill="auto"/>
                  <w:vAlign w:val="center"/>
                  <w:hideMark/>
                </w:tcPr>
                <w:p w14:paraId="341FE126" w14:textId="77777777" w:rsidR="003F1A30" w:rsidRPr="003F1A30" w:rsidRDefault="003F1A30" w:rsidP="003F1A30">
                  <w:pPr>
                    <w:jc w:val="center"/>
                    <w:rPr>
                      <w:rFonts w:ascii="Arial" w:hAnsi="Arial" w:cs="Arial"/>
                      <w:b/>
                      <w:sz w:val="20"/>
                      <w:szCs w:val="22"/>
                      <w:lang w:eastAsia="en-IN"/>
                    </w:rPr>
                  </w:pPr>
                  <w:r w:rsidRPr="003F1A30">
                    <w:rPr>
                      <w:rFonts w:ascii="Arial" w:hAnsi="Arial" w:cs="Arial"/>
                      <w:b/>
                      <w:sz w:val="20"/>
                      <w:szCs w:val="22"/>
                      <w:lang w:eastAsia="en-IN"/>
                    </w:rPr>
                    <w:t xml:space="preserve">Cost of </w:t>
                  </w:r>
                  <w:r w:rsidRPr="003F1A30">
                    <w:rPr>
                      <w:rFonts w:ascii="Arial" w:hAnsi="Arial" w:cs="Arial"/>
                      <w:b/>
                      <w:sz w:val="20"/>
                      <w:szCs w:val="22"/>
                      <w:lang w:eastAsia="en-IN"/>
                    </w:rPr>
                    <w:br/>
                    <w:t>cash flow hedges</w:t>
                  </w:r>
                </w:p>
              </w:tc>
            </w:tr>
            <w:tr w:rsidR="003F1A30" w:rsidRPr="003F1A30" w14:paraId="44808384" w14:textId="77777777" w:rsidTr="002E7B6F">
              <w:trPr>
                <w:trHeight w:val="288"/>
              </w:trPr>
              <w:tc>
                <w:tcPr>
                  <w:tcW w:w="2346" w:type="dxa"/>
                  <w:shd w:val="clear" w:color="auto" w:fill="auto"/>
                  <w:noWrap/>
                  <w:vAlign w:val="bottom"/>
                  <w:hideMark/>
                </w:tcPr>
                <w:p w14:paraId="05EDE786" w14:textId="77777777" w:rsidR="003F1A30" w:rsidRPr="003F1A30" w:rsidRDefault="003F1A30" w:rsidP="003F1A30">
                  <w:pPr>
                    <w:rPr>
                      <w:rFonts w:ascii="Arial" w:hAnsi="Arial" w:cs="Arial"/>
                      <w:sz w:val="20"/>
                      <w:szCs w:val="22"/>
                      <w:lang w:eastAsia="en-IN"/>
                    </w:rPr>
                  </w:pPr>
                  <w:r w:rsidRPr="003F1A30">
                    <w:rPr>
                      <w:rFonts w:ascii="Arial" w:hAnsi="Arial" w:cs="Arial"/>
                      <w:sz w:val="20"/>
                      <w:szCs w:val="22"/>
                      <w:lang w:eastAsia="en-IN"/>
                    </w:rPr>
                    <w:t>Highly probable forecast sales</w:t>
                  </w:r>
                </w:p>
              </w:tc>
              <w:tc>
                <w:tcPr>
                  <w:tcW w:w="1440" w:type="dxa"/>
                  <w:tcBorders>
                    <w:top w:val="single" w:sz="4" w:space="0" w:color="auto"/>
                  </w:tcBorders>
                  <w:shd w:val="clear" w:color="auto" w:fill="auto"/>
                  <w:noWrap/>
                  <w:vAlign w:val="center"/>
                  <w:hideMark/>
                </w:tcPr>
                <w:p w14:paraId="12D7C0B8" w14:textId="24F3853A" w:rsidR="003F1A30" w:rsidRPr="003F1A30" w:rsidRDefault="003F1A30" w:rsidP="003F1A30">
                  <w:pPr>
                    <w:jc w:val="right"/>
                    <w:rPr>
                      <w:rFonts w:ascii="Arial" w:hAnsi="Arial" w:cs="Arial"/>
                      <w:sz w:val="20"/>
                      <w:szCs w:val="22"/>
                      <w:lang w:eastAsia="en-IN"/>
                    </w:rPr>
                  </w:pPr>
                  <w:r w:rsidRPr="003F1A30">
                    <w:rPr>
                      <w:rFonts w:ascii="Arial" w:hAnsi="Arial" w:cs="Arial"/>
                      <w:sz w:val="20"/>
                      <w:szCs w:val="22"/>
                      <w:lang w:eastAsia="en-IN"/>
                    </w:rPr>
                    <w:t xml:space="preserve"> </w:t>
                  </w:r>
                  <w:r w:rsidR="00C53BB3">
                    <w:rPr>
                      <w:rFonts w:ascii="Arial" w:hAnsi="Arial" w:cs="Arial"/>
                      <w:sz w:val="20"/>
                      <w:szCs w:val="22"/>
                      <w:lang w:eastAsia="en-IN"/>
                    </w:rPr>
                    <w:t>695</w:t>
                  </w:r>
                  <w:r w:rsidRPr="003F1A30">
                    <w:rPr>
                      <w:rFonts w:ascii="Arial" w:hAnsi="Arial" w:cs="Arial"/>
                      <w:sz w:val="20"/>
                      <w:szCs w:val="22"/>
                      <w:lang w:eastAsia="en-IN"/>
                    </w:rPr>
                    <w:t xml:space="preserve"> </w:t>
                  </w:r>
                </w:p>
              </w:tc>
              <w:tc>
                <w:tcPr>
                  <w:tcW w:w="1008" w:type="dxa"/>
                  <w:tcBorders>
                    <w:top w:val="single" w:sz="4" w:space="0" w:color="auto"/>
                  </w:tcBorders>
                  <w:shd w:val="clear" w:color="auto" w:fill="auto"/>
                  <w:noWrap/>
                  <w:vAlign w:val="center"/>
                  <w:hideMark/>
                </w:tcPr>
                <w:p w14:paraId="7A091FCB" w14:textId="51B6E942" w:rsidR="003F1A30" w:rsidRPr="003F1A30" w:rsidRDefault="00C53BB3" w:rsidP="003F1A30">
                  <w:pPr>
                    <w:jc w:val="right"/>
                    <w:rPr>
                      <w:rFonts w:ascii="Arial" w:hAnsi="Arial" w:cs="Arial"/>
                      <w:sz w:val="20"/>
                      <w:szCs w:val="22"/>
                      <w:lang w:eastAsia="en-IN"/>
                    </w:rPr>
                  </w:pPr>
                  <w:r>
                    <w:rPr>
                      <w:rFonts w:ascii="Arial" w:hAnsi="Arial" w:cs="Arial"/>
                      <w:sz w:val="20"/>
                      <w:szCs w:val="22"/>
                      <w:lang w:eastAsia="en-IN"/>
                    </w:rPr>
                    <w:t>297</w:t>
                  </w:r>
                </w:p>
              </w:tc>
              <w:tc>
                <w:tcPr>
                  <w:tcW w:w="1008" w:type="dxa"/>
                  <w:tcBorders>
                    <w:top w:val="single" w:sz="4" w:space="0" w:color="auto"/>
                  </w:tcBorders>
                  <w:shd w:val="clear" w:color="auto" w:fill="auto"/>
                  <w:noWrap/>
                  <w:vAlign w:val="center"/>
                  <w:hideMark/>
                </w:tcPr>
                <w:p w14:paraId="4B159D7D" w14:textId="2A3307D0" w:rsidR="003F1A30" w:rsidRPr="003F1A30" w:rsidRDefault="00C53BB3" w:rsidP="003F1A30">
                  <w:pPr>
                    <w:jc w:val="right"/>
                    <w:rPr>
                      <w:rFonts w:ascii="Arial" w:hAnsi="Arial" w:cs="Arial"/>
                      <w:sz w:val="20"/>
                      <w:szCs w:val="22"/>
                      <w:lang w:eastAsia="en-IN"/>
                    </w:rPr>
                  </w:pPr>
                  <w:r>
                    <w:rPr>
                      <w:rFonts w:ascii="Arial" w:hAnsi="Arial" w:cs="Arial"/>
                      <w:sz w:val="20"/>
                      <w:szCs w:val="22"/>
                      <w:lang w:eastAsia="en-IN"/>
                    </w:rPr>
                    <w:t>22</w:t>
                  </w:r>
                </w:p>
              </w:tc>
              <w:tc>
                <w:tcPr>
                  <w:tcW w:w="1440" w:type="dxa"/>
                  <w:tcBorders>
                    <w:top w:val="single" w:sz="4" w:space="0" w:color="auto"/>
                  </w:tcBorders>
                  <w:shd w:val="clear" w:color="auto" w:fill="auto"/>
                  <w:noWrap/>
                  <w:vAlign w:val="center"/>
                  <w:hideMark/>
                </w:tcPr>
                <w:p w14:paraId="1747B03C" w14:textId="1A10A4EA" w:rsidR="003F1A30" w:rsidRPr="003F1A30" w:rsidRDefault="00C53BB3" w:rsidP="003F1A30">
                  <w:pPr>
                    <w:jc w:val="right"/>
                    <w:rPr>
                      <w:rFonts w:ascii="Arial" w:hAnsi="Arial" w:cs="Arial"/>
                      <w:sz w:val="20"/>
                      <w:szCs w:val="22"/>
                      <w:lang w:eastAsia="en-IN"/>
                    </w:rPr>
                  </w:pPr>
                  <w:r>
                    <w:rPr>
                      <w:rFonts w:ascii="Arial" w:hAnsi="Arial" w:cs="Arial"/>
                      <w:sz w:val="20"/>
                      <w:szCs w:val="22"/>
                      <w:lang w:eastAsia="en-IN"/>
                    </w:rPr>
                    <w:t>247</w:t>
                  </w:r>
                </w:p>
              </w:tc>
              <w:tc>
                <w:tcPr>
                  <w:tcW w:w="1008" w:type="dxa"/>
                  <w:tcBorders>
                    <w:top w:val="single" w:sz="4" w:space="0" w:color="auto"/>
                  </w:tcBorders>
                  <w:shd w:val="clear" w:color="auto" w:fill="auto"/>
                  <w:noWrap/>
                  <w:vAlign w:val="center"/>
                  <w:hideMark/>
                </w:tcPr>
                <w:p w14:paraId="3440AFE2" w14:textId="03EC5A0B" w:rsidR="003F1A30" w:rsidRPr="003F1A30" w:rsidRDefault="00C53BB3" w:rsidP="003F1A30">
                  <w:pPr>
                    <w:jc w:val="right"/>
                    <w:rPr>
                      <w:rFonts w:ascii="Arial" w:hAnsi="Arial" w:cs="Arial"/>
                      <w:sz w:val="20"/>
                      <w:szCs w:val="22"/>
                      <w:lang w:eastAsia="en-IN"/>
                    </w:rPr>
                  </w:pPr>
                  <w:r>
                    <w:rPr>
                      <w:rFonts w:ascii="Arial" w:hAnsi="Arial" w:cs="Arial"/>
                      <w:sz w:val="20"/>
                      <w:szCs w:val="22"/>
                      <w:lang w:eastAsia="en-IN"/>
                    </w:rPr>
                    <w:t>193</w:t>
                  </w:r>
                </w:p>
              </w:tc>
              <w:tc>
                <w:tcPr>
                  <w:tcW w:w="1008" w:type="dxa"/>
                  <w:tcBorders>
                    <w:top w:val="single" w:sz="4" w:space="0" w:color="auto"/>
                  </w:tcBorders>
                  <w:shd w:val="clear" w:color="auto" w:fill="auto"/>
                  <w:noWrap/>
                  <w:vAlign w:val="center"/>
                  <w:hideMark/>
                </w:tcPr>
                <w:p w14:paraId="30A852E2" w14:textId="4D5E6A2B" w:rsidR="003F1A30" w:rsidRPr="003F1A30" w:rsidRDefault="00C53BB3" w:rsidP="003F1A30">
                  <w:pPr>
                    <w:jc w:val="right"/>
                    <w:rPr>
                      <w:rFonts w:ascii="Arial" w:hAnsi="Arial" w:cs="Arial"/>
                      <w:sz w:val="20"/>
                      <w:szCs w:val="22"/>
                      <w:lang w:eastAsia="en-IN"/>
                    </w:rPr>
                  </w:pPr>
                  <w:r>
                    <w:rPr>
                      <w:rFonts w:ascii="Arial" w:hAnsi="Arial" w:cs="Arial"/>
                      <w:sz w:val="20"/>
                      <w:szCs w:val="22"/>
                      <w:lang w:eastAsia="en-IN"/>
                    </w:rPr>
                    <w:t>-</w:t>
                  </w:r>
                </w:p>
              </w:tc>
            </w:tr>
            <w:tr w:rsidR="003F1A30" w:rsidRPr="003F1A30" w14:paraId="4BE7AED2" w14:textId="77777777" w:rsidTr="002E7B6F">
              <w:trPr>
                <w:trHeight w:val="576"/>
              </w:trPr>
              <w:tc>
                <w:tcPr>
                  <w:tcW w:w="2346" w:type="dxa"/>
                  <w:shd w:val="clear" w:color="auto" w:fill="auto"/>
                  <w:noWrap/>
                  <w:vAlign w:val="bottom"/>
                  <w:hideMark/>
                </w:tcPr>
                <w:p w14:paraId="11422983" w14:textId="77777777" w:rsidR="003F1A30" w:rsidRPr="003F1A30" w:rsidRDefault="003F1A30" w:rsidP="003F1A30">
                  <w:pPr>
                    <w:rPr>
                      <w:rFonts w:ascii="Arial" w:hAnsi="Arial" w:cs="Arial"/>
                      <w:sz w:val="20"/>
                      <w:szCs w:val="22"/>
                      <w:lang w:eastAsia="en-IN"/>
                    </w:rPr>
                  </w:pPr>
                  <w:r w:rsidRPr="003F1A30">
                    <w:rPr>
                      <w:rFonts w:ascii="Arial" w:hAnsi="Arial" w:cs="Arial"/>
                      <w:sz w:val="20"/>
                      <w:szCs w:val="22"/>
                      <w:lang w:eastAsia="en-IN"/>
                    </w:rPr>
                    <w:t>Highly probable forecast purchase</w:t>
                  </w:r>
                </w:p>
              </w:tc>
              <w:tc>
                <w:tcPr>
                  <w:tcW w:w="1440" w:type="dxa"/>
                  <w:shd w:val="clear" w:color="auto" w:fill="auto"/>
                  <w:noWrap/>
                  <w:vAlign w:val="center"/>
                  <w:hideMark/>
                </w:tcPr>
                <w:p w14:paraId="323F2FCD" w14:textId="28760686" w:rsidR="003F1A30" w:rsidRPr="003F1A30" w:rsidRDefault="003F1A30" w:rsidP="003F1A30">
                  <w:pPr>
                    <w:jc w:val="right"/>
                    <w:rPr>
                      <w:rFonts w:ascii="Arial" w:hAnsi="Arial" w:cs="Arial"/>
                      <w:sz w:val="20"/>
                      <w:szCs w:val="22"/>
                      <w:lang w:eastAsia="en-IN"/>
                    </w:rPr>
                  </w:pPr>
                  <w:r w:rsidRPr="003F1A30">
                    <w:rPr>
                      <w:rFonts w:ascii="Arial" w:hAnsi="Arial" w:cs="Arial"/>
                      <w:sz w:val="20"/>
                      <w:szCs w:val="22"/>
                      <w:lang w:eastAsia="en-IN"/>
                    </w:rPr>
                    <w:t xml:space="preserve"> (</w:t>
                  </w:r>
                  <w:r w:rsidR="00C53BB3">
                    <w:rPr>
                      <w:rFonts w:ascii="Arial" w:hAnsi="Arial" w:cs="Arial"/>
                      <w:sz w:val="20"/>
                      <w:szCs w:val="22"/>
                      <w:lang w:eastAsia="en-IN"/>
                    </w:rPr>
                    <w:t>178</w:t>
                  </w:r>
                  <w:r w:rsidRPr="003F1A30">
                    <w:rPr>
                      <w:rFonts w:ascii="Arial" w:hAnsi="Arial" w:cs="Arial"/>
                      <w:sz w:val="20"/>
                      <w:szCs w:val="22"/>
                      <w:lang w:eastAsia="en-IN"/>
                    </w:rPr>
                    <w:t>)</w:t>
                  </w:r>
                </w:p>
              </w:tc>
              <w:tc>
                <w:tcPr>
                  <w:tcW w:w="1008" w:type="dxa"/>
                  <w:shd w:val="clear" w:color="auto" w:fill="auto"/>
                  <w:noWrap/>
                  <w:vAlign w:val="center"/>
                  <w:hideMark/>
                </w:tcPr>
                <w:p w14:paraId="3D19A191" w14:textId="3EBF27BA" w:rsidR="003F1A30" w:rsidRPr="003F1A30" w:rsidRDefault="003F1A30" w:rsidP="003F1A30">
                  <w:pPr>
                    <w:jc w:val="right"/>
                    <w:rPr>
                      <w:rFonts w:ascii="Arial" w:hAnsi="Arial" w:cs="Arial"/>
                      <w:sz w:val="20"/>
                      <w:szCs w:val="22"/>
                      <w:lang w:eastAsia="en-IN"/>
                    </w:rPr>
                  </w:pPr>
                  <w:r w:rsidRPr="003F1A30">
                    <w:rPr>
                      <w:rFonts w:ascii="Arial" w:hAnsi="Arial" w:cs="Arial"/>
                      <w:sz w:val="20"/>
                      <w:szCs w:val="22"/>
                      <w:lang w:eastAsia="en-IN"/>
                    </w:rPr>
                    <w:t xml:space="preserve"> (</w:t>
                  </w:r>
                  <w:r w:rsidR="00C53BB3">
                    <w:rPr>
                      <w:rFonts w:ascii="Arial" w:hAnsi="Arial" w:cs="Arial"/>
                      <w:sz w:val="20"/>
                      <w:szCs w:val="22"/>
                      <w:lang w:eastAsia="en-IN"/>
                    </w:rPr>
                    <w:t>198</w:t>
                  </w:r>
                  <w:r w:rsidRPr="003F1A30">
                    <w:rPr>
                      <w:rFonts w:ascii="Arial" w:hAnsi="Arial" w:cs="Arial"/>
                      <w:sz w:val="20"/>
                      <w:szCs w:val="22"/>
                      <w:lang w:eastAsia="en-IN"/>
                    </w:rPr>
                    <w:t>)</w:t>
                  </w:r>
                </w:p>
              </w:tc>
              <w:tc>
                <w:tcPr>
                  <w:tcW w:w="1008" w:type="dxa"/>
                  <w:shd w:val="clear" w:color="auto" w:fill="auto"/>
                  <w:noWrap/>
                  <w:vAlign w:val="center"/>
                  <w:hideMark/>
                </w:tcPr>
                <w:p w14:paraId="1B580634" w14:textId="0535DFD5" w:rsidR="003F1A30" w:rsidRPr="003F1A30" w:rsidRDefault="003F1A30" w:rsidP="003F1A30">
                  <w:pPr>
                    <w:jc w:val="right"/>
                    <w:rPr>
                      <w:rFonts w:ascii="Arial" w:hAnsi="Arial" w:cs="Arial"/>
                      <w:sz w:val="20"/>
                      <w:szCs w:val="22"/>
                      <w:lang w:eastAsia="en-IN"/>
                    </w:rPr>
                  </w:pPr>
                  <w:r w:rsidRPr="003F1A30">
                    <w:rPr>
                      <w:rFonts w:ascii="Arial" w:hAnsi="Arial" w:cs="Arial"/>
                      <w:sz w:val="20"/>
                      <w:szCs w:val="22"/>
                      <w:lang w:eastAsia="en-IN"/>
                    </w:rPr>
                    <w:t xml:space="preserve"> (</w:t>
                  </w:r>
                  <w:r w:rsidR="00C53BB3">
                    <w:rPr>
                      <w:rFonts w:ascii="Arial" w:hAnsi="Arial" w:cs="Arial"/>
                      <w:sz w:val="20"/>
                      <w:szCs w:val="22"/>
                      <w:lang w:eastAsia="en-IN"/>
                    </w:rPr>
                    <w:t>16</w:t>
                  </w:r>
                  <w:r w:rsidRPr="003F1A30">
                    <w:rPr>
                      <w:rFonts w:ascii="Arial" w:hAnsi="Arial" w:cs="Arial"/>
                      <w:sz w:val="20"/>
                      <w:szCs w:val="22"/>
                      <w:lang w:eastAsia="en-IN"/>
                    </w:rPr>
                    <w:t>)</w:t>
                  </w:r>
                </w:p>
              </w:tc>
              <w:tc>
                <w:tcPr>
                  <w:tcW w:w="1440" w:type="dxa"/>
                  <w:shd w:val="clear" w:color="auto" w:fill="auto"/>
                  <w:noWrap/>
                  <w:vAlign w:val="center"/>
                  <w:hideMark/>
                </w:tcPr>
                <w:p w14:paraId="1AF2BA28" w14:textId="6256B958" w:rsidR="003F1A30" w:rsidRPr="003F1A30" w:rsidRDefault="003F1A30" w:rsidP="003F1A30">
                  <w:pPr>
                    <w:jc w:val="right"/>
                    <w:rPr>
                      <w:rFonts w:ascii="Arial" w:hAnsi="Arial" w:cs="Arial"/>
                      <w:sz w:val="20"/>
                      <w:szCs w:val="22"/>
                      <w:lang w:eastAsia="en-IN"/>
                    </w:rPr>
                  </w:pPr>
                  <w:r w:rsidRPr="003F1A30">
                    <w:rPr>
                      <w:rFonts w:ascii="Arial" w:hAnsi="Arial" w:cs="Arial"/>
                      <w:sz w:val="20"/>
                      <w:szCs w:val="22"/>
                      <w:lang w:eastAsia="en-IN"/>
                    </w:rPr>
                    <w:t xml:space="preserve"> (</w:t>
                  </w:r>
                  <w:r w:rsidR="00C53BB3">
                    <w:rPr>
                      <w:rFonts w:ascii="Arial" w:hAnsi="Arial" w:cs="Arial"/>
                      <w:sz w:val="20"/>
                      <w:szCs w:val="22"/>
                      <w:lang w:eastAsia="en-IN"/>
                    </w:rPr>
                    <w:t>56</w:t>
                  </w:r>
                  <w:r w:rsidRPr="003F1A30">
                    <w:rPr>
                      <w:rFonts w:ascii="Arial" w:hAnsi="Arial" w:cs="Arial"/>
                      <w:sz w:val="20"/>
                      <w:szCs w:val="22"/>
                      <w:lang w:eastAsia="en-IN"/>
                    </w:rPr>
                    <w:t>)</w:t>
                  </w:r>
                </w:p>
              </w:tc>
              <w:tc>
                <w:tcPr>
                  <w:tcW w:w="1008" w:type="dxa"/>
                  <w:shd w:val="clear" w:color="auto" w:fill="auto"/>
                  <w:noWrap/>
                  <w:vAlign w:val="center"/>
                  <w:hideMark/>
                </w:tcPr>
                <w:p w14:paraId="6CDC4C06" w14:textId="1D3E9B8D" w:rsidR="003F1A30" w:rsidRPr="003F1A30" w:rsidRDefault="003F1A30" w:rsidP="003F1A30">
                  <w:pPr>
                    <w:jc w:val="right"/>
                    <w:rPr>
                      <w:rFonts w:ascii="Arial" w:hAnsi="Arial" w:cs="Arial"/>
                      <w:sz w:val="20"/>
                      <w:szCs w:val="22"/>
                      <w:lang w:eastAsia="en-IN"/>
                    </w:rPr>
                  </w:pPr>
                  <w:r w:rsidRPr="003F1A30">
                    <w:rPr>
                      <w:rFonts w:ascii="Arial" w:hAnsi="Arial" w:cs="Arial"/>
                      <w:sz w:val="20"/>
                      <w:szCs w:val="22"/>
                      <w:lang w:eastAsia="en-IN"/>
                    </w:rPr>
                    <w:t xml:space="preserve"> (3</w:t>
                  </w:r>
                  <w:r w:rsidR="00A05861">
                    <w:rPr>
                      <w:rFonts w:ascii="Arial" w:hAnsi="Arial" w:cs="Arial"/>
                      <w:sz w:val="20"/>
                      <w:szCs w:val="22"/>
                      <w:lang w:eastAsia="en-IN"/>
                    </w:rPr>
                    <w:t>19</w:t>
                  </w:r>
                  <w:r w:rsidRPr="003F1A30">
                    <w:rPr>
                      <w:rFonts w:ascii="Arial" w:hAnsi="Arial" w:cs="Arial"/>
                      <w:sz w:val="20"/>
                      <w:szCs w:val="22"/>
                      <w:lang w:eastAsia="en-IN"/>
                    </w:rPr>
                    <w:t>)</w:t>
                  </w:r>
                </w:p>
              </w:tc>
              <w:tc>
                <w:tcPr>
                  <w:tcW w:w="1008" w:type="dxa"/>
                  <w:shd w:val="clear" w:color="auto" w:fill="auto"/>
                  <w:noWrap/>
                  <w:vAlign w:val="center"/>
                  <w:hideMark/>
                </w:tcPr>
                <w:p w14:paraId="5A5D648F" w14:textId="54F2470B" w:rsidR="003F1A30" w:rsidRPr="003F1A30" w:rsidRDefault="00A05861" w:rsidP="003F1A30">
                  <w:pPr>
                    <w:jc w:val="right"/>
                    <w:rPr>
                      <w:rFonts w:ascii="Arial" w:hAnsi="Arial" w:cs="Arial"/>
                      <w:sz w:val="20"/>
                      <w:szCs w:val="22"/>
                      <w:lang w:eastAsia="en-IN"/>
                    </w:rPr>
                  </w:pPr>
                  <w:r>
                    <w:rPr>
                      <w:rFonts w:ascii="Arial" w:hAnsi="Arial" w:cs="Arial"/>
                      <w:sz w:val="20"/>
                      <w:szCs w:val="22"/>
                      <w:lang w:eastAsia="en-IN"/>
                    </w:rPr>
                    <w:t>-</w:t>
                  </w:r>
                </w:p>
              </w:tc>
            </w:tr>
            <w:tr w:rsidR="003F1A30" w:rsidRPr="003F1A30" w14:paraId="618C2F1C" w14:textId="77777777" w:rsidTr="002E7B6F">
              <w:trPr>
                <w:trHeight w:val="300"/>
              </w:trPr>
              <w:tc>
                <w:tcPr>
                  <w:tcW w:w="2346" w:type="dxa"/>
                  <w:shd w:val="clear" w:color="auto" w:fill="auto"/>
                  <w:noWrap/>
                  <w:vAlign w:val="bottom"/>
                  <w:hideMark/>
                </w:tcPr>
                <w:p w14:paraId="122A8536" w14:textId="77777777" w:rsidR="003F1A30" w:rsidRPr="003F1A30" w:rsidRDefault="003F1A30" w:rsidP="003F1A30">
                  <w:pPr>
                    <w:rPr>
                      <w:rFonts w:ascii="Arial" w:hAnsi="Arial" w:cs="Arial"/>
                      <w:sz w:val="20"/>
                      <w:szCs w:val="22"/>
                      <w:lang w:eastAsia="en-IN"/>
                    </w:rPr>
                  </w:pPr>
                  <w:r w:rsidRPr="003F1A30">
                    <w:rPr>
                      <w:rFonts w:ascii="Arial" w:hAnsi="Arial" w:cs="Arial"/>
                      <w:sz w:val="20"/>
                      <w:szCs w:val="22"/>
                      <w:lang w:eastAsia="en-IN"/>
                    </w:rPr>
                    <w:lastRenderedPageBreak/>
                    <w:t>Copper purchases</w:t>
                  </w:r>
                </w:p>
              </w:tc>
              <w:tc>
                <w:tcPr>
                  <w:tcW w:w="1440" w:type="dxa"/>
                  <w:shd w:val="clear" w:color="auto" w:fill="auto"/>
                  <w:noWrap/>
                  <w:vAlign w:val="center"/>
                  <w:hideMark/>
                </w:tcPr>
                <w:p w14:paraId="044510B5" w14:textId="181B6CB2" w:rsidR="003F1A30" w:rsidRPr="003F1A30" w:rsidRDefault="003F1A30" w:rsidP="003F1A30">
                  <w:pPr>
                    <w:jc w:val="right"/>
                    <w:rPr>
                      <w:rFonts w:ascii="Arial" w:hAnsi="Arial" w:cs="Arial"/>
                      <w:sz w:val="20"/>
                      <w:szCs w:val="22"/>
                      <w:lang w:eastAsia="en-IN"/>
                    </w:rPr>
                  </w:pPr>
                  <w:r w:rsidRPr="003F1A30">
                    <w:rPr>
                      <w:rFonts w:ascii="Arial" w:hAnsi="Arial" w:cs="Arial"/>
                      <w:sz w:val="20"/>
                      <w:szCs w:val="22"/>
                      <w:lang w:eastAsia="en-IN"/>
                    </w:rPr>
                    <w:t xml:space="preserve"> (</w:t>
                  </w:r>
                  <w:r w:rsidR="00A05861">
                    <w:rPr>
                      <w:rFonts w:ascii="Arial" w:hAnsi="Arial" w:cs="Arial"/>
                      <w:sz w:val="20"/>
                      <w:szCs w:val="22"/>
                      <w:lang w:eastAsia="en-IN"/>
                    </w:rPr>
                    <w:t>1,647</w:t>
                  </w:r>
                  <w:r w:rsidRPr="003F1A30">
                    <w:rPr>
                      <w:rFonts w:ascii="Arial" w:hAnsi="Arial" w:cs="Arial"/>
                      <w:sz w:val="20"/>
                      <w:szCs w:val="22"/>
                      <w:lang w:eastAsia="en-IN"/>
                    </w:rPr>
                    <w:t>)</w:t>
                  </w:r>
                </w:p>
              </w:tc>
              <w:tc>
                <w:tcPr>
                  <w:tcW w:w="1008" w:type="dxa"/>
                  <w:shd w:val="clear" w:color="auto" w:fill="auto"/>
                  <w:noWrap/>
                  <w:vAlign w:val="center"/>
                  <w:hideMark/>
                </w:tcPr>
                <w:p w14:paraId="689EAA0C" w14:textId="2854EF97" w:rsidR="003F1A30" w:rsidRPr="003F1A30" w:rsidRDefault="003F1A30" w:rsidP="003F1A30">
                  <w:pPr>
                    <w:jc w:val="right"/>
                    <w:rPr>
                      <w:rFonts w:ascii="Arial" w:hAnsi="Arial" w:cs="Arial"/>
                      <w:sz w:val="20"/>
                      <w:szCs w:val="22"/>
                      <w:lang w:eastAsia="en-IN"/>
                    </w:rPr>
                  </w:pPr>
                  <w:r w:rsidRPr="003F1A30">
                    <w:rPr>
                      <w:rFonts w:ascii="Arial" w:hAnsi="Arial" w:cs="Arial"/>
                      <w:sz w:val="20"/>
                      <w:szCs w:val="22"/>
                      <w:lang w:eastAsia="en-IN"/>
                    </w:rPr>
                    <w:t xml:space="preserve"> (1,</w:t>
                  </w:r>
                  <w:r w:rsidR="00A05861">
                    <w:rPr>
                      <w:rFonts w:ascii="Arial" w:hAnsi="Arial" w:cs="Arial"/>
                      <w:sz w:val="20"/>
                      <w:szCs w:val="22"/>
                      <w:lang w:eastAsia="en-IN"/>
                    </w:rPr>
                    <w:t>111</w:t>
                  </w:r>
                  <w:r w:rsidRPr="003F1A30">
                    <w:rPr>
                      <w:rFonts w:ascii="Arial" w:hAnsi="Arial" w:cs="Arial"/>
                      <w:sz w:val="20"/>
                      <w:szCs w:val="22"/>
                      <w:lang w:eastAsia="en-IN"/>
                    </w:rPr>
                    <w:t>)</w:t>
                  </w:r>
                </w:p>
              </w:tc>
              <w:tc>
                <w:tcPr>
                  <w:tcW w:w="1008" w:type="dxa"/>
                  <w:shd w:val="clear" w:color="auto" w:fill="auto"/>
                  <w:noWrap/>
                  <w:vAlign w:val="center"/>
                  <w:hideMark/>
                </w:tcPr>
                <w:p w14:paraId="29EE7457" w14:textId="3DFBA7EE" w:rsidR="003F1A30" w:rsidRPr="003F1A30" w:rsidRDefault="003F1A30" w:rsidP="003F1A30">
                  <w:pPr>
                    <w:jc w:val="right"/>
                    <w:rPr>
                      <w:rFonts w:ascii="Arial" w:hAnsi="Arial" w:cs="Arial"/>
                      <w:sz w:val="20"/>
                      <w:szCs w:val="22"/>
                      <w:lang w:eastAsia="en-IN"/>
                    </w:rPr>
                  </w:pPr>
                  <w:r w:rsidRPr="003F1A30">
                    <w:rPr>
                      <w:rFonts w:ascii="Arial" w:hAnsi="Arial" w:cs="Arial"/>
                      <w:sz w:val="20"/>
                      <w:szCs w:val="22"/>
                      <w:lang w:eastAsia="en-IN"/>
                    </w:rPr>
                    <w:t xml:space="preserve"> (</w:t>
                  </w:r>
                  <w:r w:rsidR="00A05861">
                    <w:rPr>
                      <w:rFonts w:ascii="Arial" w:hAnsi="Arial" w:cs="Arial"/>
                      <w:sz w:val="20"/>
                      <w:szCs w:val="22"/>
                      <w:lang w:eastAsia="en-IN"/>
                    </w:rPr>
                    <w:t>4</w:t>
                  </w:r>
                  <w:r w:rsidR="00DA641E">
                    <w:rPr>
                      <w:rFonts w:ascii="Arial" w:hAnsi="Arial" w:cs="Arial"/>
                      <w:sz w:val="20"/>
                      <w:szCs w:val="22"/>
                      <w:lang w:eastAsia="en-IN"/>
                    </w:rPr>
                    <w:t>2</w:t>
                  </w:r>
                  <w:r w:rsidRPr="003F1A30">
                    <w:rPr>
                      <w:rFonts w:ascii="Arial" w:hAnsi="Arial" w:cs="Arial"/>
                      <w:sz w:val="20"/>
                      <w:szCs w:val="22"/>
                      <w:lang w:eastAsia="en-IN"/>
                    </w:rPr>
                    <w:t>)</w:t>
                  </w:r>
                </w:p>
              </w:tc>
              <w:tc>
                <w:tcPr>
                  <w:tcW w:w="1440" w:type="dxa"/>
                  <w:shd w:val="clear" w:color="auto" w:fill="auto"/>
                  <w:noWrap/>
                  <w:vAlign w:val="center"/>
                  <w:hideMark/>
                </w:tcPr>
                <w:p w14:paraId="3BF1E940" w14:textId="77777777" w:rsidR="003F1A30" w:rsidRPr="003F1A30" w:rsidRDefault="003F1A30" w:rsidP="003F1A30">
                  <w:pPr>
                    <w:jc w:val="right"/>
                    <w:rPr>
                      <w:rFonts w:ascii="Arial" w:hAnsi="Arial" w:cs="Arial"/>
                      <w:sz w:val="20"/>
                      <w:szCs w:val="22"/>
                      <w:lang w:eastAsia="en-IN"/>
                    </w:rPr>
                  </w:pPr>
                  <w:r w:rsidRPr="003F1A30">
                    <w:rPr>
                      <w:rFonts w:ascii="Arial" w:hAnsi="Arial" w:cs="Arial"/>
                      <w:sz w:val="20"/>
                      <w:szCs w:val="22"/>
                      <w:lang w:eastAsia="en-IN"/>
                    </w:rPr>
                    <w:t> -</w:t>
                  </w:r>
                </w:p>
              </w:tc>
              <w:tc>
                <w:tcPr>
                  <w:tcW w:w="1008" w:type="dxa"/>
                  <w:shd w:val="clear" w:color="auto" w:fill="auto"/>
                  <w:noWrap/>
                  <w:vAlign w:val="center"/>
                  <w:hideMark/>
                </w:tcPr>
                <w:p w14:paraId="4A8E0634" w14:textId="77777777" w:rsidR="003F1A30" w:rsidRPr="003F1A30" w:rsidRDefault="003F1A30" w:rsidP="003F1A30">
                  <w:pPr>
                    <w:jc w:val="right"/>
                    <w:rPr>
                      <w:rFonts w:ascii="Arial" w:hAnsi="Arial" w:cs="Arial"/>
                      <w:sz w:val="20"/>
                      <w:szCs w:val="22"/>
                      <w:lang w:eastAsia="en-IN"/>
                    </w:rPr>
                  </w:pPr>
                  <w:r w:rsidRPr="003F1A30">
                    <w:rPr>
                      <w:rFonts w:ascii="Arial" w:hAnsi="Arial" w:cs="Arial"/>
                      <w:sz w:val="20"/>
                      <w:szCs w:val="22"/>
                      <w:lang w:eastAsia="en-IN"/>
                    </w:rPr>
                    <w:t>-</w:t>
                  </w:r>
                </w:p>
              </w:tc>
              <w:tc>
                <w:tcPr>
                  <w:tcW w:w="1008" w:type="dxa"/>
                  <w:shd w:val="clear" w:color="auto" w:fill="auto"/>
                  <w:noWrap/>
                  <w:vAlign w:val="center"/>
                  <w:hideMark/>
                </w:tcPr>
                <w:p w14:paraId="4590DD72" w14:textId="77777777" w:rsidR="003F1A30" w:rsidRPr="003F1A30" w:rsidRDefault="003F1A30" w:rsidP="003F1A30">
                  <w:pPr>
                    <w:jc w:val="right"/>
                    <w:rPr>
                      <w:rFonts w:ascii="Arial" w:hAnsi="Arial" w:cs="Arial"/>
                      <w:sz w:val="20"/>
                      <w:szCs w:val="22"/>
                      <w:lang w:eastAsia="en-IN"/>
                    </w:rPr>
                  </w:pPr>
                  <w:r w:rsidRPr="003F1A30">
                    <w:rPr>
                      <w:rFonts w:ascii="Arial" w:hAnsi="Arial" w:cs="Arial"/>
                      <w:sz w:val="20"/>
                      <w:szCs w:val="22"/>
                      <w:lang w:eastAsia="en-IN"/>
                    </w:rPr>
                    <w:t>- </w:t>
                  </w:r>
                </w:p>
              </w:tc>
            </w:tr>
          </w:tbl>
          <w:p w14:paraId="28FF0E6D" w14:textId="7EDC525C" w:rsidR="00833659" w:rsidRPr="003F1A30" w:rsidRDefault="00833659" w:rsidP="0024137A">
            <w:pPr>
              <w:pStyle w:val="Notesitalicheading"/>
              <w:spacing w:line="280" w:lineRule="exact"/>
              <w:jc w:val="both"/>
              <w:rPr>
                <w:rFonts w:ascii="Arial" w:hAnsi="Arial"/>
                <w:color w:val="auto"/>
                <w:sz w:val="22"/>
                <w:szCs w:val="22"/>
              </w:rPr>
            </w:pPr>
          </w:p>
          <w:p w14:paraId="6550951F" w14:textId="5F75B049" w:rsidR="003F1A30" w:rsidRPr="003F1A30" w:rsidRDefault="003F1A30" w:rsidP="0024137A">
            <w:pPr>
              <w:pStyle w:val="Notesitalicheading"/>
              <w:spacing w:line="280" w:lineRule="exact"/>
              <w:jc w:val="both"/>
              <w:rPr>
                <w:rFonts w:ascii="Arial" w:hAnsi="Arial"/>
                <w:color w:val="auto"/>
                <w:sz w:val="22"/>
                <w:szCs w:val="22"/>
              </w:rPr>
            </w:pPr>
          </w:p>
          <w:p w14:paraId="21D56CEB" w14:textId="77777777" w:rsidR="003F1A30" w:rsidRPr="003F1A30" w:rsidRDefault="003F1A30" w:rsidP="003F1A30">
            <w:pPr>
              <w:pStyle w:val="Notesbodytext"/>
              <w:spacing w:after="100" w:line="240" w:lineRule="atLeast"/>
              <w:rPr>
                <w:rFonts w:ascii="Arial" w:hAnsi="Arial"/>
                <w:b/>
                <w:sz w:val="20"/>
                <w:szCs w:val="22"/>
              </w:rPr>
            </w:pPr>
            <w:r w:rsidRPr="003F1A30">
              <w:rPr>
                <w:rFonts w:ascii="Arial" w:hAnsi="Arial"/>
                <w:b/>
                <w:sz w:val="20"/>
                <w:szCs w:val="22"/>
              </w:rPr>
              <w:t>The effect of the cash flow hedge in the statement of profit and loss is, as follows:</w:t>
            </w:r>
          </w:p>
          <w:p w14:paraId="40F8BB2F" w14:textId="6B86B76A" w:rsidR="003F1A30" w:rsidRDefault="003F1A30" w:rsidP="0024137A">
            <w:pPr>
              <w:pStyle w:val="Notesitalicheading"/>
              <w:spacing w:line="280" w:lineRule="exact"/>
              <w:jc w:val="both"/>
              <w:rPr>
                <w:rFonts w:ascii="Arial" w:hAnsi="Arial"/>
                <w:color w:val="auto"/>
                <w:sz w:val="20"/>
              </w:rPr>
            </w:pPr>
          </w:p>
          <w:tbl>
            <w:tblPr>
              <w:tblW w:w="8964" w:type="dxa"/>
              <w:tblLook w:val="04A0" w:firstRow="1" w:lastRow="0" w:firstColumn="1" w:lastColumn="0" w:noHBand="0" w:noVBand="1"/>
            </w:tblPr>
            <w:tblGrid>
              <w:gridCol w:w="1831"/>
              <w:gridCol w:w="1283"/>
              <w:gridCol w:w="1662"/>
              <w:gridCol w:w="1161"/>
              <w:gridCol w:w="1161"/>
              <w:gridCol w:w="1317"/>
              <w:gridCol w:w="1206"/>
            </w:tblGrid>
            <w:tr w:rsidR="005B2441" w:rsidRPr="005B2441" w14:paraId="223CA9AF" w14:textId="77777777" w:rsidTr="005B2441">
              <w:trPr>
                <w:trHeight w:val="281"/>
              </w:trPr>
              <w:tc>
                <w:tcPr>
                  <w:tcW w:w="1831" w:type="dxa"/>
                  <w:shd w:val="clear" w:color="auto" w:fill="auto"/>
                  <w:noWrap/>
                  <w:vAlign w:val="bottom"/>
                  <w:hideMark/>
                </w:tcPr>
                <w:p w14:paraId="61B5ED3F" w14:textId="77777777" w:rsidR="003F1A30" w:rsidRPr="005B2441" w:rsidRDefault="003F1A30" w:rsidP="003F1A30">
                  <w:pPr>
                    <w:rPr>
                      <w:rFonts w:ascii="Arial" w:hAnsi="Arial" w:cs="Arial"/>
                      <w:sz w:val="20"/>
                      <w:lang w:eastAsia="en-IN"/>
                    </w:rPr>
                  </w:pPr>
                  <w:r w:rsidRPr="005B2441">
                    <w:rPr>
                      <w:rFonts w:ascii="Arial" w:hAnsi="Arial" w:cs="Arial"/>
                      <w:sz w:val="20"/>
                      <w:lang w:eastAsia="en-IN"/>
                    </w:rPr>
                    <w:t> </w:t>
                  </w:r>
                </w:p>
              </w:tc>
              <w:tc>
                <w:tcPr>
                  <w:tcW w:w="1182" w:type="dxa"/>
                  <w:tcBorders>
                    <w:top w:val="single" w:sz="4" w:space="0" w:color="auto"/>
                    <w:bottom w:val="single" w:sz="4" w:space="0" w:color="auto"/>
                  </w:tcBorders>
                  <w:shd w:val="clear" w:color="auto" w:fill="auto"/>
                  <w:vAlign w:val="bottom"/>
                  <w:hideMark/>
                </w:tcPr>
                <w:p w14:paraId="1B5B84D9" w14:textId="77777777" w:rsidR="003F1A30" w:rsidRPr="005B2441" w:rsidRDefault="003F1A30" w:rsidP="003F1A30">
                  <w:pPr>
                    <w:jc w:val="center"/>
                    <w:rPr>
                      <w:rFonts w:ascii="Arial" w:hAnsi="Arial" w:cs="Arial"/>
                      <w:b/>
                      <w:sz w:val="20"/>
                      <w:lang w:eastAsia="en-IN"/>
                    </w:rPr>
                  </w:pPr>
                  <w:r w:rsidRPr="005B2441">
                    <w:rPr>
                      <w:rFonts w:ascii="Arial" w:hAnsi="Arial" w:cs="Arial"/>
                      <w:b/>
                      <w:sz w:val="20"/>
                      <w:lang w:eastAsia="en-IN"/>
                    </w:rPr>
                    <w:t xml:space="preserve">Total hedging gain/(loss) </w:t>
                  </w:r>
                  <w:r w:rsidRPr="005B2441">
                    <w:rPr>
                      <w:rFonts w:ascii="Arial" w:hAnsi="Arial" w:cs="Arial"/>
                      <w:b/>
                      <w:sz w:val="20"/>
                      <w:lang w:eastAsia="en-IN"/>
                    </w:rPr>
                    <w:br/>
                    <w:t>recognised in OCI</w:t>
                  </w:r>
                </w:p>
              </w:tc>
              <w:tc>
                <w:tcPr>
                  <w:tcW w:w="1531" w:type="dxa"/>
                  <w:tcBorders>
                    <w:top w:val="single" w:sz="4" w:space="0" w:color="auto"/>
                    <w:bottom w:val="single" w:sz="4" w:space="0" w:color="auto"/>
                  </w:tcBorders>
                  <w:shd w:val="clear" w:color="auto" w:fill="auto"/>
                  <w:vAlign w:val="bottom"/>
                  <w:hideMark/>
                </w:tcPr>
                <w:p w14:paraId="21042F15" w14:textId="77777777" w:rsidR="003F1A30" w:rsidRPr="005B2441" w:rsidRDefault="003F1A30" w:rsidP="003F1A30">
                  <w:pPr>
                    <w:jc w:val="center"/>
                    <w:rPr>
                      <w:rFonts w:ascii="Arial" w:hAnsi="Arial" w:cs="Arial"/>
                      <w:b/>
                      <w:sz w:val="20"/>
                      <w:lang w:eastAsia="en-IN"/>
                    </w:rPr>
                  </w:pPr>
                  <w:r w:rsidRPr="005B2441">
                    <w:rPr>
                      <w:rFonts w:ascii="Arial" w:hAnsi="Arial" w:cs="Arial"/>
                      <w:b/>
                      <w:sz w:val="20"/>
                      <w:lang w:eastAsia="en-IN"/>
                    </w:rPr>
                    <w:t xml:space="preserve">Ineffectiveness </w:t>
                  </w:r>
                  <w:r w:rsidRPr="005B2441">
                    <w:rPr>
                      <w:rFonts w:ascii="Arial" w:hAnsi="Arial" w:cs="Arial"/>
                      <w:b/>
                      <w:sz w:val="20"/>
                      <w:lang w:eastAsia="en-IN"/>
                    </w:rPr>
                    <w:br/>
                    <w:t>recognised in profit or loss</w:t>
                  </w:r>
                </w:p>
              </w:tc>
              <w:tc>
                <w:tcPr>
                  <w:tcW w:w="1069" w:type="dxa"/>
                  <w:tcBorders>
                    <w:top w:val="single" w:sz="4" w:space="0" w:color="auto"/>
                    <w:bottom w:val="single" w:sz="4" w:space="0" w:color="auto"/>
                  </w:tcBorders>
                  <w:shd w:val="clear" w:color="auto" w:fill="auto"/>
                  <w:vAlign w:val="bottom"/>
                  <w:hideMark/>
                </w:tcPr>
                <w:p w14:paraId="388EFF96" w14:textId="77777777" w:rsidR="003F1A30" w:rsidRPr="005B2441" w:rsidRDefault="003F1A30" w:rsidP="003F1A30">
                  <w:pPr>
                    <w:jc w:val="center"/>
                    <w:rPr>
                      <w:rFonts w:ascii="Arial" w:hAnsi="Arial" w:cs="Arial"/>
                      <w:b/>
                      <w:sz w:val="20"/>
                      <w:lang w:eastAsia="en-IN"/>
                    </w:rPr>
                  </w:pPr>
                  <w:r w:rsidRPr="005B2441">
                    <w:rPr>
                      <w:rFonts w:ascii="Arial" w:hAnsi="Arial" w:cs="Arial"/>
                      <w:b/>
                      <w:sz w:val="20"/>
                      <w:lang w:eastAsia="en-IN"/>
                    </w:rPr>
                    <w:t>Line item in the statement of profit and loss</w:t>
                  </w:r>
                </w:p>
              </w:tc>
              <w:tc>
                <w:tcPr>
                  <w:tcW w:w="1069" w:type="dxa"/>
                  <w:tcBorders>
                    <w:top w:val="single" w:sz="4" w:space="0" w:color="auto"/>
                    <w:bottom w:val="single" w:sz="4" w:space="0" w:color="auto"/>
                  </w:tcBorders>
                  <w:shd w:val="clear" w:color="auto" w:fill="auto"/>
                  <w:vAlign w:val="bottom"/>
                  <w:hideMark/>
                </w:tcPr>
                <w:p w14:paraId="60EFF7DB" w14:textId="77777777" w:rsidR="003F1A30" w:rsidRPr="005B2441" w:rsidRDefault="003F1A30" w:rsidP="003F1A30">
                  <w:pPr>
                    <w:jc w:val="center"/>
                    <w:rPr>
                      <w:rFonts w:ascii="Arial" w:hAnsi="Arial" w:cs="Arial"/>
                      <w:b/>
                      <w:sz w:val="20"/>
                      <w:lang w:eastAsia="en-IN"/>
                    </w:rPr>
                  </w:pPr>
                  <w:r w:rsidRPr="005B2441">
                    <w:rPr>
                      <w:rFonts w:ascii="Arial" w:hAnsi="Arial" w:cs="Arial"/>
                      <w:b/>
                      <w:sz w:val="20"/>
                      <w:lang w:eastAsia="en-IN"/>
                    </w:rPr>
                    <w:t xml:space="preserve">Cost of hedging recognise in OCI </w:t>
                  </w:r>
                </w:p>
              </w:tc>
              <w:tc>
                <w:tcPr>
                  <w:tcW w:w="1213" w:type="dxa"/>
                  <w:tcBorders>
                    <w:top w:val="single" w:sz="4" w:space="0" w:color="auto"/>
                    <w:bottom w:val="single" w:sz="4" w:space="0" w:color="auto"/>
                  </w:tcBorders>
                  <w:shd w:val="clear" w:color="auto" w:fill="auto"/>
                  <w:vAlign w:val="bottom"/>
                  <w:hideMark/>
                </w:tcPr>
                <w:p w14:paraId="710468A5" w14:textId="77777777" w:rsidR="003F1A30" w:rsidRPr="005B2441" w:rsidRDefault="003F1A30" w:rsidP="003F1A30">
                  <w:pPr>
                    <w:jc w:val="center"/>
                    <w:rPr>
                      <w:rFonts w:ascii="Arial" w:hAnsi="Arial" w:cs="Arial"/>
                      <w:b/>
                      <w:sz w:val="20"/>
                      <w:lang w:eastAsia="en-IN"/>
                    </w:rPr>
                  </w:pPr>
                  <w:r w:rsidRPr="005B2441">
                    <w:rPr>
                      <w:rFonts w:ascii="Arial" w:hAnsi="Arial" w:cs="Arial"/>
                      <w:b/>
                      <w:sz w:val="20"/>
                      <w:lang w:eastAsia="en-IN"/>
                    </w:rPr>
                    <w:t xml:space="preserve">Amount </w:t>
                  </w:r>
                  <w:r w:rsidRPr="005B2441">
                    <w:rPr>
                      <w:rFonts w:ascii="Arial" w:hAnsi="Arial" w:cs="Arial"/>
                      <w:b/>
                      <w:sz w:val="20"/>
                      <w:lang w:eastAsia="en-IN"/>
                    </w:rPr>
                    <w:br/>
                    <w:t>reclassified from OCI to profit or loss</w:t>
                  </w:r>
                </w:p>
              </w:tc>
              <w:tc>
                <w:tcPr>
                  <w:tcW w:w="1069" w:type="dxa"/>
                  <w:tcBorders>
                    <w:top w:val="single" w:sz="4" w:space="0" w:color="auto"/>
                    <w:bottom w:val="single" w:sz="4" w:space="0" w:color="auto"/>
                  </w:tcBorders>
                  <w:shd w:val="clear" w:color="auto" w:fill="auto"/>
                  <w:vAlign w:val="bottom"/>
                  <w:hideMark/>
                </w:tcPr>
                <w:p w14:paraId="512F64D9" w14:textId="77777777" w:rsidR="003F1A30" w:rsidRPr="005B2441" w:rsidRDefault="003F1A30" w:rsidP="003F1A30">
                  <w:pPr>
                    <w:jc w:val="center"/>
                    <w:rPr>
                      <w:rFonts w:ascii="Arial" w:hAnsi="Arial" w:cs="Arial"/>
                      <w:b/>
                      <w:sz w:val="20"/>
                      <w:lang w:eastAsia="en-IN"/>
                    </w:rPr>
                  </w:pPr>
                  <w:r w:rsidRPr="005B2441">
                    <w:rPr>
                      <w:rFonts w:ascii="Arial" w:hAnsi="Arial" w:cs="Arial"/>
                      <w:b/>
                      <w:sz w:val="20"/>
                      <w:lang w:eastAsia="en-IN"/>
                    </w:rPr>
                    <w:t>Line item in the statement of profit and loss</w:t>
                  </w:r>
                </w:p>
              </w:tc>
            </w:tr>
            <w:tr w:rsidR="005B2441" w:rsidRPr="005B2441" w14:paraId="6D7C11EA" w14:textId="77777777" w:rsidTr="005B2441">
              <w:trPr>
                <w:trHeight w:val="18"/>
              </w:trPr>
              <w:tc>
                <w:tcPr>
                  <w:tcW w:w="1831" w:type="dxa"/>
                  <w:shd w:val="clear" w:color="auto" w:fill="auto"/>
                  <w:noWrap/>
                  <w:vAlign w:val="bottom"/>
                  <w:hideMark/>
                </w:tcPr>
                <w:p w14:paraId="0C4651AE" w14:textId="76ED053D" w:rsidR="003F1A30" w:rsidRPr="005B2441" w:rsidRDefault="003F1A30" w:rsidP="003F1A30">
                  <w:pPr>
                    <w:spacing w:line="240" w:lineRule="exact"/>
                    <w:rPr>
                      <w:rFonts w:ascii="Arial" w:hAnsi="Arial" w:cs="Arial"/>
                      <w:b/>
                      <w:bCs/>
                      <w:sz w:val="20"/>
                      <w:lang w:eastAsia="en-IN"/>
                    </w:rPr>
                  </w:pPr>
                  <w:r w:rsidRPr="005B2441">
                    <w:rPr>
                      <w:rFonts w:ascii="Arial" w:hAnsi="Arial" w:cs="Arial"/>
                      <w:b/>
                      <w:sz w:val="20"/>
                      <w:lang w:eastAsia="en-IN"/>
                    </w:rPr>
                    <w:t>Year ended 31 March 202</w:t>
                  </w:r>
                  <w:r w:rsidR="00010DF8">
                    <w:rPr>
                      <w:rFonts w:ascii="Arial" w:hAnsi="Arial" w:cs="Arial"/>
                      <w:b/>
                      <w:sz w:val="20"/>
                      <w:lang w:eastAsia="en-IN"/>
                    </w:rPr>
                    <w:t>1</w:t>
                  </w:r>
                </w:p>
              </w:tc>
              <w:tc>
                <w:tcPr>
                  <w:tcW w:w="1182" w:type="dxa"/>
                  <w:tcBorders>
                    <w:top w:val="single" w:sz="4" w:space="0" w:color="auto"/>
                  </w:tcBorders>
                  <w:shd w:val="clear" w:color="auto" w:fill="auto"/>
                  <w:noWrap/>
                  <w:vAlign w:val="bottom"/>
                  <w:hideMark/>
                </w:tcPr>
                <w:p w14:paraId="00B82F0C" w14:textId="77777777" w:rsidR="003F1A30" w:rsidRPr="005B2441" w:rsidRDefault="003F1A30" w:rsidP="003F1A30">
                  <w:pPr>
                    <w:spacing w:line="240" w:lineRule="exact"/>
                    <w:rPr>
                      <w:rFonts w:ascii="Arial" w:hAnsi="Arial" w:cs="Arial"/>
                      <w:b/>
                      <w:bCs/>
                      <w:sz w:val="20"/>
                      <w:lang w:eastAsia="en-IN"/>
                    </w:rPr>
                  </w:pPr>
                </w:p>
              </w:tc>
              <w:tc>
                <w:tcPr>
                  <w:tcW w:w="1531" w:type="dxa"/>
                  <w:tcBorders>
                    <w:top w:val="single" w:sz="4" w:space="0" w:color="auto"/>
                  </w:tcBorders>
                  <w:shd w:val="clear" w:color="auto" w:fill="auto"/>
                  <w:noWrap/>
                  <w:vAlign w:val="bottom"/>
                  <w:hideMark/>
                </w:tcPr>
                <w:p w14:paraId="34F180A1" w14:textId="77777777" w:rsidR="003F1A30" w:rsidRPr="005B2441" w:rsidRDefault="003F1A30" w:rsidP="003F1A30">
                  <w:pPr>
                    <w:spacing w:line="240" w:lineRule="exact"/>
                    <w:rPr>
                      <w:rFonts w:ascii="Arial" w:hAnsi="Arial" w:cs="Arial"/>
                      <w:sz w:val="20"/>
                      <w:lang w:eastAsia="en-IN"/>
                    </w:rPr>
                  </w:pPr>
                </w:p>
              </w:tc>
              <w:tc>
                <w:tcPr>
                  <w:tcW w:w="1069" w:type="dxa"/>
                  <w:tcBorders>
                    <w:top w:val="single" w:sz="4" w:space="0" w:color="auto"/>
                  </w:tcBorders>
                  <w:shd w:val="clear" w:color="auto" w:fill="auto"/>
                  <w:noWrap/>
                  <w:vAlign w:val="bottom"/>
                  <w:hideMark/>
                </w:tcPr>
                <w:p w14:paraId="2FE06CD8" w14:textId="77777777" w:rsidR="003F1A30" w:rsidRPr="005B2441" w:rsidRDefault="003F1A30" w:rsidP="003F1A30">
                  <w:pPr>
                    <w:spacing w:line="240" w:lineRule="exact"/>
                    <w:rPr>
                      <w:rFonts w:ascii="Arial" w:hAnsi="Arial" w:cs="Arial"/>
                      <w:sz w:val="20"/>
                      <w:lang w:eastAsia="en-IN"/>
                    </w:rPr>
                  </w:pPr>
                </w:p>
              </w:tc>
              <w:tc>
                <w:tcPr>
                  <w:tcW w:w="1069" w:type="dxa"/>
                  <w:tcBorders>
                    <w:top w:val="single" w:sz="4" w:space="0" w:color="auto"/>
                  </w:tcBorders>
                  <w:shd w:val="clear" w:color="auto" w:fill="auto"/>
                  <w:noWrap/>
                  <w:vAlign w:val="bottom"/>
                  <w:hideMark/>
                </w:tcPr>
                <w:p w14:paraId="4FBC5CF8" w14:textId="77777777" w:rsidR="003F1A30" w:rsidRPr="005B2441" w:rsidRDefault="003F1A30" w:rsidP="003F1A30">
                  <w:pPr>
                    <w:spacing w:line="240" w:lineRule="exact"/>
                    <w:rPr>
                      <w:rFonts w:ascii="Arial" w:hAnsi="Arial" w:cs="Arial"/>
                      <w:sz w:val="20"/>
                      <w:lang w:eastAsia="en-IN"/>
                    </w:rPr>
                  </w:pPr>
                </w:p>
              </w:tc>
              <w:tc>
                <w:tcPr>
                  <w:tcW w:w="1213" w:type="dxa"/>
                  <w:tcBorders>
                    <w:top w:val="single" w:sz="4" w:space="0" w:color="auto"/>
                  </w:tcBorders>
                  <w:shd w:val="clear" w:color="auto" w:fill="auto"/>
                  <w:noWrap/>
                  <w:vAlign w:val="bottom"/>
                  <w:hideMark/>
                </w:tcPr>
                <w:p w14:paraId="084764A9" w14:textId="77777777" w:rsidR="003F1A30" w:rsidRPr="005B2441" w:rsidRDefault="003F1A30" w:rsidP="003F1A30">
                  <w:pPr>
                    <w:spacing w:line="240" w:lineRule="exact"/>
                    <w:rPr>
                      <w:rFonts w:ascii="Arial" w:hAnsi="Arial" w:cs="Arial"/>
                      <w:sz w:val="20"/>
                      <w:lang w:eastAsia="en-IN"/>
                    </w:rPr>
                  </w:pPr>
                </w:p>
              </w:tc>
              <w:tc>
                <w:tcPr>
                  <w:tcW w:w="1069" w:type="dxa"/>
                  <w:tcBorders>
                    <w:top w:val="single" w:sz="4" w:space="0" w:color="auto"/>
                  </w:tcBorders>
                  <w:shd w:val="clear" w:color="auto" w:fill="auto"/>
                  <w:noWrap/>
                  <w:vAlign w:val="bottom"/>
                  <w:hideMark/>
                </w:tcPr>
                <w:p w14:paraId="35ED58FF" w14:textId="77777777" w:rsidR="003F1A30" w:rsidRPr="005B2441" w:rsidRDefault="003F1A30" w:rsidP="003F1A30">
                  <w:pPr>
                    <w:spacing w:line="240" w:lineRule="exact"/>
                    <w:rPr>
                      <w:rFonts w:ascii="Arial" w:hAnsi="Arial" w:cs="Arial"/>
                      <w:sz w:val="20"/>
                      <w:lang w:eastAsia="en-IN"/>
                    </w:rPr>
                  </w:pPr>
                  <w:r w:rsidRPr="005B2441">
                    <w:rPr>
                      <w:rFonts w:ascii="Arial" w:hAnsi="Arial" w:cs="Arial"/>
                      <w:sz w:val="20"/>
                      <w:lang w:eastAsia="en-IN"/>
                    </w:rPr>
                    <w:t> </w:t>
                  </w:r>
                </w:p>
              </w:tc>
            </w:tr>
            <w:tr w:rsidR="005B2441" w:rsidRPr="005B2441" w14:paraId="265623AE" w14:textId="77777777" w:rsidTr="005B2441">
              <w:trPr>
                <w:trHeight w:val="18"/>
              </w:trPr>
              <w:tc>
                <w:tcPr>
                  <w:tcW w:w="1831" w:type="dxa"/>
                  <w:shd w:val="clear" w:color="auto" w:fill="auto"/>
                  <w:noWrap/>
                  <w:vAlign w:val="bottom"/>
                  <w:hideMark/>
                </w:tcPr>
                <w:p w14:paraId="4BC831B2" w14:textId="77777777" w:rsidR="003F1A30" w:rsidRPr="005B2441" w:rsidRDefault="003F1A30" w:rsidP="003F1A30">
                  <w:pPr>
                    <w:spacing w:line="240" w:lineRule="exact"/>
                    <w:rPr>
                      <w:rFonts w:ascii="Arial" w:hAnsi="Arial" w:cs="Arial"/>
                      <w:sz w:val="20"/>
                      <w:lang w:eastAsia="en-IN"/>
                    </w:rPr>
                  </w:pPr>
                  <w:r w:rsidRPr="005B2441">
                    <w:rPr>
                      <w:rFonts w:ascii="Arial" w:hAnsi="Arial" w:cs="Arial"/>
                      <w:sz w:val="20"/>
                      <w:lang w:eastAsia="en-IN"/>
                    </w:rPr>
                    <w:t>Highly probable forecast sales</w:t>
                  </w:r>
                </w:p>
              </w:tc>
              <w:tc>
                <w:tcPr>
                  <w:tcW w:w="1182" w:type="dxa"/>
                  <w:shd w:val="clear" w:color="auto" w:fill="auto"/>
                  <w:noWrap/>
                  <w:vAlign w:val="bottom"/>
                  <w:hideMark/>
                </w:tcPr>
                <w:p w14:paraId="5A2764E3" w14:textId="7A3A2EBF" w:rsidR="003F1A30" w:rsidRPr="005B2441" w:rsidRDefault="003F1A30" w:rsidP="003F1A30">
                  <w:pPr>
                    <w:spacing w:line="240" w:lineRule="exact"/>
                    <w:jc w:val="right"/>
                    <w:rPr>
                      <w:rFonts w:ascii="Arial" w:hAnsi="Arial" w:cs="Arial"/>
                      <w:sz w:val="20"/>
                      <w:lang w:eastAsia="en-IN"/>
                    </w:rPr>
                  </w:pPr>
                  <w:r w:rsidRPr="005B2441">
                    <w:rPr>
                      <w:rFonts w:ascii="Arial" w:hAnsi="Arial" w:cs="Arial"/>
                      <w:sz w:val="20"/>
                      <w:lang w:eastAsia="en-IN"/>
                    </w:rPr>
                    <w:t xml:space="preserve"> </w:t>
                  </w:r>
                  <w:r w:rsidR="00A05861">
                    <w:rPr>
                      <w:rFonts w:ascii="Arial" w:hAnsi="Arial" w:cs="Arial"/>
                      <w:sz w:val="20"/>
                      <w:lang w:eastAsia="en-IN"/>
                    </w:rPr>
                    <w:t>695</w:t>
                  </w:r>
                  <w:r w:rsidRPr="005B2441">
                    <w:rPr>
                      <w:rFonts w:ascii="Arial" w:hAnsi="Arial" w:cs="Arial"/>
                      <w:sz w:val="20"/>
                      <w:lang w:eastAsia="en-IN"/>
                    </w:rPr>
                    <w:t xml:space="preserve"> </w:t>
                  </w:r>
                </w:p>
              </w:tc>
              <w:tc>
                <w:tcPr>
                  <w:tcW w:w="1531" w:type="dxa"/>
                  <w:shd w:val="clear" w:color="auto" w:fill="auto"/>
                  <w:noWrap/>
                  <w:vAlign w:val="bottom"/>
                  <w:hideMark/>
                </w:tcPr>
                <w:p w14:paraId="34562F88" w14:textId="77777777" w:rsidR="003F1A30" w:rsidRPr="005B2441" w:rsidRDefault="003F1A30" w:rsidP="003F1A30">
                  <w:pPr>
                    <w:spacing w:line="240" w:lineRule="exact"/>
                    <w:jc w:val="right"/>
                    <w:rPr>
                      <w:rFonts w:ascii="Arial" w:hAnsi="Arial" w:cs="Arial"/>
                      <w:sz w:val="20"/>
                      <w:lang w:eastAsia="en-IN"/>
                    </w:rPr>
                  </w:pPr>
                  <w:r w:rsidRPr="005B2441">
                    <w:rPr>
                      <w:rFonts w:ascii="Arial" w:hAnsi="Arial" w:cs="Arial"/>
                      <w:sz w:val="20"/>
                      <w:lang w:eastAsia="en-IN"/>
                    </w:rPr>
                    <w:t>-</w:t>
                  </w:r>
                </w:p>
              </w:tc>
              <w:tc>
                <w:tcPr>
                  <w:tcW w:w="1069" w:type="dxa"/>
                  <w:shd w:val="clear" w:color="auto" w:fill="auto"/>
                  <w:noWrap/>
                  <w:vAlign w:val="bottom"/>
                  <w:hideMark/>
                </w:tcPr>
                <w:p w14:paraId="696A50CA" w14:textId="77777777" w:rsidR="003F1A30" w:rsidRPr="005B2441" w:rsidRDefault="003F1A30" w:rsidP="003F1A30">
                  <w:pPr>
                    <w:spacing w:line="240" w:lineRule="exact"/>
                    <w:rPr>
                      <w:rFonts w:ascii="Arial" w:hAnsi="Arial" w:cs="Arial"/>
                      <w:sz w:val="20"/>
                      <w:lang w:eastAsia="en-IN"/>
                    </w:rPr>
                  </w:pPr>
                </w:p>
              </w:tc>
              <w:tc>
                <w:tcPr>
                  <w:tcW w:w="1069" w:type="dxa"/>
                  <w:shd w:val="clear" w:color="auto" w:fill="auto"/>
                  <w:noWrap/>
                  <w:vAlign w:val="bottom"/>
                  <w:hideMark/>
                </w:tcPr>
                <w:p w14:paraId="2EAA542A" w14:textId="39B79133" w:rsidR="003F1A30" w:rsidRPr="005B2441" w:rsidRDefault="00A05861" w:rsidP="003F1A30">
                  <w:pPr>
                    <w:spacing w:line="240" w:lineRule="exact"/>
                    <w:jc w:val="right"/>
                    <w:rPr>
                      <w:rFonts w:ascii="Arial" w:hAnsi="Arial" w:cs="Arial"/>
                      <w:sz w:val="20"/>
                      <w:lang w:eastAsia="en-IN"/>
                    </w:rPr>
                  </w:pPr>
                  <w:r>
                    <w:rPr>
                      <w:rFonts w:ascii="Arial" w:hAnsi="Arial" w:cs="Arial"/>
                      <w:sz w:val="20"/>
                      <w:lang w:eastAsia="en-IN"/>
                    </w:rPr>
                    <w:t>38</w:t>
                  </w:r>
                </w:p>
              </w:tc>
              <w:tc>
                <w:tcPr>
                  <w:tcW w:w="1213" w:type="dxa"/>
                  <w:shd w:val="clear" w:color="auto" w:fill="auto"/>
                  <w:noWrap/>
                  <w:vAlign w:val="bottom"/>
                  <w:hideMark/>
                </w:tcPr>
                <w:p w14:paraId="576B8F9F" w14:textId="260D87CD" w:rsidR="003F1A30" w:rsidRPr="005B2441" w:rsidRDefault="003F1A30" w:rsidP="003F1A30">
                  <w:pPr>
                    <w:spacing w:line="240" w:lineRule="exact"/>
                    <w:jc w:val="right"/>
                    <w:rPr>
                      <w:rFonts w:ascii="Arial" w:hAnsi="Arial" w:cs="Arial"/>
                      <w:sz w:val="20"/>
                      <w:lang w:eastAsia="en-IN"/>
                    </w:rPr>
                  </w:pPr>
                  <w:r w:rsidRPr="005B2441">
                    <w:rPr>
                      <w:rFonts w:ascii="Arial" w:hAnsi="Arial" w:cs="Arial"/>
                      <w:sz w:val="20"/>
                      <w:lang w:eastAsia="en-IN"/>
                    </w:rPr>
                    <w:t xml:space="preserve"> (</w:t>
                  </w:r>
                  <w:r w:rsidR="00A05861">
                    <w:rPr>
                      <w:rFonts w:ascii="Arial" w:hAnsi="Arial" w:cs="Arial"/>
                      <w:sz w:val="20"/>
                      <w:lang w:eastAsia="en-IN"/>
                    </w:rPr>
                    <w:t>509</w:t>
                  </w:r>
                  <w:r w:rsidRPr="005B2441">
                    <w:rPr>
                      <w:rFonts w:ascii="Arial" w:hAnsi="Arial" w:cs="Arial"/>
                      <w:sz w:val="20"/>
                      <w:lang w:eastAsia="en-IN"/>
                    </w:rPr>
                    <w:t>)</w:t>
                  </w:r>
                </w:p>
              </w:tc>
              <w:tc>
                <w:tcPr>
                  <w:tcW w:w="1069" w:type="dxa"/>
                  <w:shd w:val="clear" w:color="auto" w:fill="auto"/>
                  <w:vAlign w:val="bottom"/>
                  <w:hideMark/>
                </w:tcPr>
                <w:p w14:paraId="5471A1B9" w14:textId="77777777" w:rsidR="003F1A30" w:rsidRPr="005B2441" w:rsidRDefault="003F1A30" w:rsidP="003F1A30">
                  <w:pPr>
                    <w:rPr>
                      <w:rFonts w:ascii="Arial" w:hAnsi="Arial" w:cs="Arial"/>
                      <w:sz w:val="20"/>
                      <w:lang w:eastAsia="en-IN"/>
                    </w:rPr>
                  </w:pPr>
                  <w:r w:rsidRPr="005B2441">
                    <w:rPr>
                      <w:rFonts w:ascii="Arial" w:hAnsi="Arial" w:cs="Arial"/>
                      <w:sz w:val="20"/>
                      <w:lang w:eastAsia="en-IN"/>
                    </w:rPr>
                    <w:t>Revenue from contract with customers</w:t>
                  </w:r>
                </w:p>
              </w:tc>
            </w:tr>
            <w:tr w:rsidR="005B2441" w:rsidRPr="005B2441" w14:paraId="1086E519" w14:textId="77777777" w:rsidTr="005B2441">
              <w:trPr>
                <w:trHeight w:val="18"/>
              </w:trPr>
              <w:tc>
                <w:tcPr>
                  <w:tcW w:w="1831" w:type="dxa"/>
                  <w:shd w:val="clear" w:color="auto" w:fill="auto"/>
                  <w:noWrap/>
                  <w:vAlign w:val="bottom"/>
                  <w:hideMark/>
                </w:tcPr>
                <w:p w14:paraId="51A38C26" w14:textId="77777777" w:rsidR="003F1A30" w:rsidRPr="005B2441" w:rsidRDefault="003F1A30" w:rsidP="003F1A30">
                  <w:pPr>
                    <w:spacing w:line="240" w:lineRule="exact"/>
                    <w:rPr>
                      <w:rFonts w:ascii="Arial" w:hAnsi="Arial" w:cs="Arial"/>
                      <w:sz w:val="20"/>
                      <w:lang w:eastAsia="en-IN"/>
                    </w:rPr>
                  </w:pPr>
                  <w:r w:rsidRPr="005B2441">
                    <w:rPr>
                      <w:rFonts w:ascii="Arial" w:hAnsi="Arial" w:cs="Arial"/>
                      <w:sz w:val="20"/>
                      <w:lang w:eastAsia="en-IN"/>
                    </w:rPr>
                    <w:t>Highly probable forecast purchases</w:t>
                  </w:r>
                </w:p>
              </w:tc>
              <w:tc>
                <w:tcPr>
                  <w:tcW w:w="1182" w:type="dxa"/>
                  <w:shd w:val="clear" w:color="auto" w:fill="auto"/>
                  <w:noWrap/>
                  <w:vAlign w:val="bottom"/>
                  <w:hideMark/>
                </w:tcPr>
                <w:p w14:paraId="0A4461A7" w14:textId="5F79021B" w:rsidR="003F1A30" w:rsidRPr="005B2441" w:rsidRDefault="003F1A30" w:rsidP="003F1A30">
                  <w:pPr>
                    <w:spacing w:line="240" w:lineRule="exact"/>
                    <w:jc w:val="right"/>
                    <w:rPr>
                      <w:rFonts w:ascii="Arial" w:hAnsi="Arial" w:cs="Arial"/>
                      <w:sz w:val="20"/>
                      <w:lang w:eastAsia="en-IN"/>
                    </w:rPr>
                  </w:pPr>
                  <w:r w:rsidRPr="005B2441">
                    <w:rPr>
                      <w:rFonts w:ascii="Arial" w:hAnsi="Arial" w:cs="Arial"/>
                      <w:sz w:val="20"/>
                      <w:lang w:eastAsia="en-IN"/>
                    </w:rPr>
                    <w:t xml:space="preserve"> (</w:t>
                  </w:r>
                  <w:r w:rsidR="00A05861">
                    <w:rPr>
                      <w:rFonts w:ascii="Arial" w:hAnsi="Arial" w:cs="Arial"/>
                      <w:sz w:val="20"/>
                      <w:lang w:eastAsia="en-IN"/>
                    </w:rPr>
                    <w:t>178</w:t>
                  </w:r>
                  <w:r w:rsidRPr="005B2441">
                    <w:rPr>
                      <w:rFonts w:ascii="Arial" w:hAnsi="Arial" w:cs="Arial"/>
                      <w:sz w:val="20"/>
                      <w:lang w:eastAsia="en-IN"/>
                    </w:rPr>
                    <w:t>)</w:t>
                  </w:r>
                </w:p>
              </w:tc>
              <w:tc>
                <w:tcPr>
                  <w:tcW w:w="1531" w:type="dxa"/>
                  <w:shd w:val="clear" w:color="auto" w:fill="auto"/>
                  <w:noWrap/>
                  <w:vAlign w:val="bottom"/>
                  <w:hideMark/>
                </w:tcPr>
                <w:p w14:paraId="7C6300F5" w14:textId="77777777" w:rsidR="003F1A30" w:rsidRPr="005B2441" w:rsidRDefault="003F1A30" w:rsidP="003F1A30">
                  <w:pPr>
                    <w:spacing w:line="240" w:lineRule="exact"/>
                    <w:jc w:val="right"/>
                    <w:rPr>
                      <w:rFonts w:ascii="Arial" w:hAnsi="Arial" w:cs="Arial"/>
                      <w:sz w:val="20"/>
                      <w:lang w:eastAsia="en-IN"/>
                    </w:rPr>
                  </w:pPr>
                  <w:r w:rsidRPr="005B2441">
                    <w:rPr>
                      <w:rFonts w:ascii="Arial" w:hAnsi="Arial" w:cs="Arial"/>
                      <w:sz w:val="20"/>
                      <w:lang w:eastAsia="en-IN"/>
                    </w:rPr>
                    <w:t>-</w:t>
                  </w:r>
                </w:p>
              </w:tc>
              <w:tc>
                <w:tcPr>
                  <w:tcW w:w="1069" w:type="dxa"/>
                  <w:shd w:val="clear" w:color="auto" w:fill="auto"/>
                  <w:noWrap/>
                  <w:vAlign w:val="bottom"/>
                  <w:hideMark/>
                </w:tcPr>
                <w:p w14:paraId="7D28A72B" w14:textId="77777777" w:rsidR="003F1A30" w:rsidRPr="005B2441" w:rsidRDefault="003F1A30" w:rsidP="003F1A30">
                  <w:pPr>
                    <w:spacing w:line="240" w:lineRule="exact"/>
                    <w:rPr>
                      <w:rFonts w:ascii="Arial" w:hAnsi="Arial" w:cs="Arial"/>
                      <w:sz w:val="20"/>
                      <w:lang w:eastAsia="en-IN"/>
                    </w:rPr>
                  </w:pPr>
                </w:p>
              </w:tc>
              <w:tc>
                <w:tcPr>
                  <w:tcW w:w="1069" w:type="dxa"/>
                  <w:shd w:val="clear" w:color="auto" w:fill="auto"/>
                  <w:noWrap/>
                  <w:vAlign w:val="bottom"/>
                  <w:hideMark/>
                </w:tcPr>
                <w:p w14:paraId="1BA219AE" w14:textId="07528BD1" w:rsidR="003F1A30" w:rsidRPr="005B2441" w:rsidRDefault="003F1A30" w:rsidP="003F1A30">
                  <w:pPr>
                    <w:spacing w:line="240" w:lineRule="exact"/>
                    <w:jc w:val="right"/>
                    <w:rPr>
                      <w:rFonts w:ascii="Arial" w:hAnsi="Arial" w:cs="Arial"/>
                      <w:sz w:val="20"/>
                      <w:lang w:eastAsia="en-IN"/>
                    </w:rPr>
                  </w:pPr>
                  <w:r w:rsidRPr="005B2441">
                    <w:rPr>
                      <w:rFonts w:ascii="Arial" w:hAnsi="Arial" w:cs="Arial"/>
                      <w:sz w:val="20"/>
                      <w:lang w:eastAsia="en-IN"/>
                    </w:rPr>
                    <w:t>(</w:t>
                  </w:r>
                  <w:r w:rsidR="00A05861">
                    <w:rPr>
                      <w:rFonts w:ascii="Arial" w:hAnsi="Arial" w:cs="Arial"/>
                      <w:sz w:val="20"/>
                      <w:lang w:eastAsia="en-IN"/>
                    </w:rPr>
                    <w:t>29</w:t>
                  </w:r>
                  <w:r w:rsidRPr="005B2441">
                    <w:rPr>
                      <w:rFonts w:ascii="Arial" w:hAnsi="Arial" w:cs="Arial"/>
                      <w:sz w:val="20"/>
                      <w:lang w:eastAsia="en-IN"/>
                    </w:rPr>
                    <w:t>)</w:t>
                  </w:r>
                </w:p>
              </w:tc>
              <w:tc>
                <w:tcPr>
                  <w:tcW w:w="1213" w:type="dxa"/>
                  <w:shd w:val="clear" w:color="auto" w:fill="auto"/>
                  <w:noWrap/>
                  <w:vAlign w:val="bottom"/>
                  <w:hideMark/>
                </w:tcPr>
                <w:p w14:paraId="34BFE1D5" w14:textId="77777777" w:rsidR="003F1A30" w:rsidRPr="005B2441" w:rsidRDefault="003F1A30" w:rsidP="003F1A30">
                  <w:pPr>
                    <w:spacing w:line="240" w:lineRule="exact"/>
                    <w:jc w:val="right"/>
                    <w:rPr>
                      <w:rFonts w:ascii="Arial" w:hAnsi="Arial" w:cs="Arial"/>
                      <w:sz w:val="20"/>
                      <w:lang w:eastAsia="en-IN"/>
                    </w:rPr>
                  </w:pPr>
                  <w:r w:rsidRPr="005B2441">
                    <w:rPr>
                      <w:rFonts w:ascii="Arial" w:hAnsi="Arial" w:cs="Arial"/>
                      <w:sz w:val="20"/>
                      <w:lang w:eastAsia="en-IN"/>
                    </w:rPr>
                    <w:t>-</w:t>
                  </w:r>
                </w:p>
              </w:tc>
              <w:tc>
                <w:tcPr>
                  <w:tcW w:w="1069" w:type="dxa"/>
                  <w:shd w:val="clear" w:color="auto" w:fill="auto"/>
                  <w:vAlign w:val="bottom"/>
                  <w:hideMark/>
                </w:tcPr>
                <w:p w14:paraId="40477601" w14:textId="60F5205F" w:rsidR="003F1A30" w:rsidRPr="005B2441" w:rsidRDefault="00263176" w:rsidP="003F1A30">
                  <w:pPr>
                    <w:rPr>
                      <w:rFonts w:ascii="Arial" w:hAnsi="Arial" w:cs="Arial"/>
                      <w:sz w:val="20"/>
                      <w:lang w:eastAsia="en-IN"/>
                    </w:rPr>
                  </w:pPr>
                  <w:r w:rsidRPr="00E70587">
                    <w:rPr>
                      <w:rFonts w:ascii="Arial" w:hAnsi="Arial" w:cs="Arial"/>
                      <w:color w:val="000000"/>
                      <w:sz w:val="20"/>
                      <w:lang w:eastAsia="en-IN"/>
                    </w:rPr>
                    <w:t>Cost of raw material and component consumed</w:t>
                  </w:r>
                </w:p>
              </w:tc>
            </w:tr>
            <w:tr w:rsidR="005B2441" w:rsidRPr="005B2441" w14:paraId="6BD1D879" w14:textId="77777777" w:rsidTr="005B2441">
              <w:trPr>
                <w:trHeight w:val="18"/>
              </w:trPr>
              <w:tc>
                <w:tcPr>
                  <w:tcW w:w="1831" w:type="dxa"/>
                  <w:shd w:val="clear" w:color="auto" w:fill="auto"/>
                  <w:noWrap/>
                  <w:vAlign w:val="bottom"/>
                  <w:hideMark/>
                </w:tcPr>
                <w:p w14:paraId="220FB6AB" w14:textId="77777777" w:rsidR="003F1A30" w:rsidRPr="005B2441" w:rsidRDefault="003F1A30" w:rsidP="003F1A30">
                  <w:pPr>
                    <w:spacing w:line="240" w:lineRule="exact"/>
                    <w:rPr>
                      <w:rFonts w:ascii="Arial" w:hAnsi="Arial" w:cs="Arial"/>
                      <w:sz w:val="20"/>
                      <w:lang w:eastAsia="en-IN"/>
                    </w:rPr>
                  </w:pPr>
                  <w:r w:rsidRPr="005B2441">
                    <w:rPr>
                      <w:rFonts w:ascii="Arial" w:hAnsi="Arial" w:cs="Arial"/>
                      <w:sz w:val="20"/>
                      <w:lang w:eastAsia="en-IN"/>
                    </w:rPr>
                    <w:t xml:space="preserve">Copper purchases </w:t>
                  </w:r>
                </w:p>
              </w:tc>
              <w:tc>
                <w:tcPr>
                  <w:tcW w:w="1182" w:type="dxa"/>
                  <w:shd w:val="clear" w:color="auto" w:fill="auto"/>
                  <w:noWrap/>
                  <w:vAlign w:val="bottom"/>
                  <w:hideMark/>
                </w:tcPr>
                <w:p w14:paraId="4FDF75A4" w14:textId="530CCC05" w:rsidR="003F1A30" w:rsidRPr="005B2441" w:rsidRDefault="003F1A30" w:rsidP="003F1A30">
                  <w:pPr>
                    <w:spacing w:line="240" w:lineRule="exact"/>
                    <w:jc w:val="right"/>
                    <w:rPr>
                      <w:rFonts w:ascii="Arial" w:hAnsi="Arial" w:cs="Arial"/>
                      <w:sz w:val="20"/>
                      <w:lang w:eastAsia="en-IN"/>
                    </w:rPr>
                  </w:pPr>
                  <w:r w:rsidRPr="005B2441">
                    <w:rPr>
                      <w:rFonts w:ascii="Arial" w:hAnsi="Arial" w:cs="Arial"/>
                      <w:sz w:val="20"/>
                      <w:lang w:eastAsia="en-IN"/>
                    </w:rPr>
                    <w:t xml:space="preserve"> (</w:t>
                  </w:r>
                  <w:r w:rsidR="00A05861">
                    <w:rPr>
                      <w:rFonts w:ascii="Arial" w:hAnsi="Arial" w:cs="Arial"/>
                      <w:sz w:val="20"/>
                      <w:lang w:eastAsia="en-IN"/>
                    </w:rPr>
                    <w:t>1,647</w:t>
                  </w:r>
                  <w:r w:rsidRPr="005B2441">
                    <w:rPr>
                      <w:rFonts w:ascii="Arial" w:hAnsi="Arial" w:cs="Arial"/>
                      <w:sz w:val="20"/>
                      <w:lang w:eastAsia="en-IN"/>
                    </w:rPr>
                    <w:t>)</w:t>
                  </w:r>
                </w:p>
              </w:tc>
              <w:tc>
                <w:tcPr>
                  <w:tcW w:w="1531" w:type="dxa"/>
                  <w:shd w:val="clear" w:color="auto" w:fill="auto"/>
                  <w:noWrap/>
                  <w:vAlign w:val="bottom"/>
                  <w:hideMark/>
                </w:tcPr>
                <w:p w14:paraId="4AB10545" w14:textId="5B26669E" w:rsidR="003F1A30" w:rsidRPr="005B2441" w:rsidRDefault="003F1A30" w:rsidP="003F1A30">
                  <w:pPr>
                    <w:spacing w:line="240" w:lineRule="exact"/>
                    <w:jc w:val="right"/>
                    <w:rPr>
                      <w:rFonts w:ascii="Arial" w:hAnsi="Arial" w:cs="Arial"/>
                      <w:sz w:val="20"/>
                      <w:lang w:eastAsia="en-IN"/>
                    </w:rPr>
                  </w:pPr>
                  <w:r w:rsidRPr="005B2441">
                    <w:rPr>
                      <w:rFonts w:ascii="Arial" w:hAnsi="Arial" w:cs="Arial"/>
                      <w:sz w:val="20"/>
                      <w:lang w:eastAsia="en-IN"/>
                    </w:rPr>
                    <w:t>1</w:t>
                  </w:r>
                  <w:r w:rsidR="00A05861">
                    <w:rPr>
                      <w:rFonts w:ascii="Arial" w:hAnsi="Arial" w:cs="Arial"/>
                      <w:sz w:val="20"/>
                      <w:lang w:eastAsia="en-IN"/>
                    </w:rPr>
                    <w:t>17</w:t>
                  </w:r>
                </w:p>
              </w:tc>
              <w:tc>
                <w:tcPr>
                  <w:tcW w:w="1069" w:type="dxa"/>
                  <w:shd w:val="clear" w:color="auto" w:fill="auto"/>
                  <w:noWrap/>
                  <w:vAlign w:val="bottom"/>
                  <w:hideMark/>
                </w:tcPr>
                <w:p w14:paraId="0424091A" w14:textId="77777777" w:rsidR="003F1A30" w:rsidRPr="005B2441" w:rsidRDefault="003F1A30" w:rsidP="003F1A30">
                  <w:pPr>
                    <w:spacing w:line="240" w:lineRule="exact"/>
                    <w:rPr>
                      <w:rFonts w:ascii="Arial" w:hAnsi="Arial" w:cs="Arial"/>
                      <w:sz w:val="20"/>
                      <w:lang w:eastAsia="en-IN"/>
                    </w:rPr>
                  </w:pPr>
                  <w:r w:rsidRPr="005B2441">
                    <w:rPr>
                      <w:rFonts w:ascii="Arial" w:hAnsi="Arial" w:cs="Arial"/>
                      <w:sz w:val="20"/>
                      <w:lang w:eastAsia="en-IN"/>
                    </w:rPr>
                    <w:t>Other expenses</w:t>
                  </w:r>
                </w:p>
              </w:tc>
              <w:tc>
                <w:tcPr>
                  <w:tcW w:w="1069" w:type="dxa"/>
                  <w:shd w:val="clear" w:color="auto" w:fill="auto"/>
                  <w:noWrap/>
                  <w:vAlign w:val="bottom"/>
                  <w:hideMark/>
                </w:tcPr>
                <w:p w14:paraId="757DE689" w14:textId="645216F7" w:rsidR="003F1A30" w:rsidRPr="005B2441" w:rsidRDefault="003F1A30" w:rsidP="003F1A30">
                  <w:pPr>
                    <w:spacing w:line="240" w:lineRule="exact"/>
                    <w:jc w:val="right"/>
                    <w:rPr>
                      <w:rFonts w:ascii="Arial" w:hAnsi="Arial" w:cs="Arial"/>
                      <w:sz w:val="20"/>
                      <w:lang w:eastAsia="en-IN"/>
                    </w:rPr>
                  </w:pPr>
                  <w:r w:rsidRPr="005B2441">
                    <w:rPr>
                      <w:rFonts w:ascii="Arial" w:hAnsi="Arial" w:cs="Arial"/>
                      <w:sz w:val="20"/>
                      <w:lang w:eastAsia="en-IN"/>
                    </w:rPr>
                    <w:t>(</w:t>
                  </w:r>
                  <w:r w:rsidR="00A05861">
                    <w:rPr>
                      <w:rFonts w:ascii="Arial" w:hAnsi="Arial" w:cs="Arial"/>
                      <w:sz w:val="20"/>
                      <w:lang w:eastAsia="en-IN"/>
                    </w:rPr>
                    <w:t>59</w:t>
                  </w:r>
                  <w:r w:rsidRPr="005B2441">
                    <w:rPr>
                      <w:rFonts w:ascii="Arial" w:hAnsi="Arial" w:cs="Arial"/>
                      <w:sz w:val="20"/>
                      <w:lang w:eastAsia="en-IN"/>
                    </w:rPr>
                    <w:t>)</w:t>
                  </w:r>
                </w:p>
              </w:tc>
              <w:tc>
                <w:tcPr>
                  <w:tcW w:w="1213" w:type="dxa"/>
                  <w:shd w:val="clear" w:color="auto" w:fill="auto"/>
                  <w:noWrap/>
                  <w:vAlign w:val="bottom"/>
                  <w:hideMark/>
                </w:tcPr>
                <w:p w14:paraId="7A020988" w14:textId="77777777" w:rsidR="003F1A30" w:rsidRPr="005B2441" w:rsidRDefault="003F1A30" w:rsidP="003F1A30">
                  <w:pPr>
                    <w:spacing w:line="240" w:lineRule="exact"/>
                    <w:jc w:val="right"/>
                    <w:rPr>
                      <w:rFonts w:ascii="Arial" w:hAnsi="Arial" w:cs="Arial"/>
                      <w:sz w:val="20"/>
                      <w:lang w:eastAsia="en-IN"/>
                    </w:rPr>
                  </w:pPr>
                  <w:r w:rsidRPr="005B2441">
                    <w:rPr>
                      <w:rFonts w:ascii="Arial" w:hAnsi="Arial" w:cs="Arial"/>
                      <w:sz w:val="20"/>
                      <w:lang w:eastAsia="en-IN"/>
                    </w:rPr>
                    <w:t>-</w:t>
                  </w:r>
                </w:p>
              </w:tc>
              <w:tc>
                <w:tcPr>
                  <w:tcW w:w="1069" w:type="dxa"/>
                  <w:shd w:val="clear" w:color="auto" w:fill="auto"/>
                  <w:noWrap/>
                  <w:vAlign w:val="bottom"/>
                  <w:hideMark/>
                </w:tcPr>
                <w:p w14:paraId="3B3498AC" w14:textId="77777777" w:rsidR="003F1A30" w:rsidRPr="005B2441" w:rsidRDefault="003F1A30" w:rsidP="003F1A30">
                  <w:pPr>
                    <w:rPr>
                      <w:rFonts w:ascii="Arial" w:hAnsi="Arial" w:cs="Arial"/>
                      <w:sz w:val="20"/>
                      <w:lang w:eastAsia="en-IN"/>
                    </w:rPr>
                  </w:pPr>
                  <w:r w:rsidRPr="005B2441">
                    <w:rPr>
                      <w:rFonts w:ascii="Arial" w:hAnsi="Arial" w:cs="Arial"/>
                      <w:sz w:val="20"/>
                      <w:lang w:eastAsia="en-IN"/>
                    </w:rPr>
                    <w:t> </w:t>
                  </w:r>
                </w:p>
              </w:tc>
            </w:tr>
            <w:tr w:rsidR="005B2441" w:rsidRPr="005B2441" w14:paraId="0684E721" w14:textId="77777777" w:rsidTr="005B2441">
              <w:trPr>
                <w:trHeight w:val="18"/>
              </w:trPr>
              <w:tc>
                <w:tcPr>
                  <w:tcW w:w="1831" w:type="dxa"/>
                  <w:shd w:val="clear" w:color="auto" w:fill="auto"/>
                  <w:noWrap/>
                  <w:vAlign w:val="bottom"/>
                  <w:hideMark/>
                </w:tcPr>
                <w:p w14:paraId="6C6A7990" w14:textId="749CACDD" w:rsidR="003F1A30" w:rsidRPr="005B2441" w:rsidRDefault="003F1A30" w:rsidP="003F1A30">
                  <w:pPr>
                    <w:spacing w:line="240" w:lineRule="exact"/>
                    <w:rPr>
                      <w:rFonts w:ascii="Arial" w:hAnsi="Arial" w:cs="Arial"/>
                      <w:b/>
                      <w:bCs/>
                      <w:sz w:val="20"/>
                      <w:lang w:eastAsia="en-IN"/>
                    </w:rPr>
                  </w:pPr>
                  <w:r w:rsidRPr="005B2441">
                    <w:rPr>
                      <w:rFonts w:ascii="Arial" w:hAnsi="Arial" w:cs="Arial"/>
                      <w:b/>
                      <w:sz w:val="20"/>
                      <w:lang w:eastAsia="en-IN"/>
                    </w:rPr>
                    <w:t>Year ended 31 March 20</w:t>
                  </w:r>
                  <w:r w:rsidR="00010DF8">
                    <w:rPr>
                      <w:rFonts w:ascii="Arial" w:hAnsi="Arial" w:cs="Arial"/>
                      <w:b/>
                      <w:sz w:val="20"/>
                      <w:lang w:eastAsia="en-IN"/>
                    </w:rPr>
                    <w:t>20</w:t>
                  </w:r>
                </w:p>
              </w:tc>
              <w:tc>
                <w:tcPr>
                  <w:tcW w:w="1182" w:type="dxa"/>
                  <w:shd w:val="clear" w:color="auto" w:fill="auto"/>
                  <w:noWrap/>
                  <w:vAlign w:val="bottom"/>
                  <w:hideMark/>
                </w:tcPr>
                <w:p w14:paraId="4BC680D3" w14:textId="77777777" w:rsidR="003F1A30" w:rsidRPr="005B2441" w:rsidRDefault="003F1A30" w:rsidP="003F1A30">
                  <w:pPr>
                    <w:spacing w:line="240" w:lineRule="exact"/>
                    <w:jc w:val="right"/>
                    <w:rPr>
                      <w:rFonts w:ascii="Arial" w:hAnsi="Arial" w:cs="Arial"/>
                      <w:b/>
                      <w:bCs/>
                      <w:sz w:val="20"/>
                      <w:lang w:eastAsia="en-IN"/>
                    </w:rPr>
                  </w:pPr>
                </w:p>
              </w:tc>
              <w:tc>
                <w:tcPr>
                  <w:tcW w:w="1531" w:type="dxa"/>
                  <w:shd w:val="clear" w:color="auto" w:fill="auto"/>
                  <w:noWrap/>
                  <w:vAlign w:val="bottom"/>
                  <w:hideMark/>
                </w:tcPr>
                <w:p w14:paraId="1948EDB4" w14:textId="77777777" w:rsidR="003F1A30" w:rsidRPr="005B2441" w:rsidRDefault="003F1A30" w:rsidP="003F1A30">
                  <w:pPr>
                    <w:spacing w:line="240" w:lineRule="exact"/>
                    <w:jc w:val="right"/>
                    <w:rPr>
                      <w:rFonts w:ascii="Arial" w:hAnsi="Arial" w:cs="Arial"/>
                      <w:sz w:val="20"/>
                      <w:lang w:eastAsia="en-IN"/>
                    </w:rPr>
                  </w:pPr>
                </w:p>
              </w:tc>
              <w:tc>
                <w:tcPr>
                  <w:tcW w:w="1069" w:type="dxa"/>
                  <w:shd w:val="clear" w:color="auto" w:fill="auto"/>
                  <w:noWrap/>
                  <w:vAlign w:val="bottom"/>
                  <w:hideMark/>
                </w:tcPr>
                <w:p w14:paraId="1DD3DE12" w14:textId="77777777" w:rsidR="003F1A30" w:rsidRPr="005B2441" w:rsidRDefault="003F1A30" w:rsidP="003F1A30">
                  <w:pPr>
                    <w:spacing w:line="240" w:lineRule="exact"/>
                    <w:rPr>
                      <w:rFonts w:ascii="Arial" w:hAnsi="Arial" w:cs="Arial"/>
                      <w:sz w:val="20"/>
                      <w:lang w:eastAsia="en-IN"/>
                    </w:rPr>
                  </w:pPr>
                </w:p>
              </w:tc>
              <w:tc>
                <w:tcPr>
                  <w:tcW w:w="1069" w:type="dxa"/>
                  <w:shd w:val="clear" w:color="auto" w:fill="auto"/>
                  <w:noWrap/>
                  <w:vAlign w:val="bottom"/>
                  <w:hideMark/>
                </w:tcPr>
                <w:p w14:paraId="63FB1D8C" w14:textId="77777777" w:rsidR="003F1A30" w:rsidRPr="005B2441" w:rsidRDefault="003F1A30" w:rsidP="003F1A30">
                  <w:pPr>
                    <w:spacing w:line="240" w:lineRule="exact"/>
                    <w:jc w:val="right"/>
                    <w:rPr>
                      <w:rFonts w:ascii="Arial" w:hAnsi="Arial" w:cs="Arial"/>
                      <w:sz w:val="20"/>
                      <w:lang w:eastAsia="en-IN"/>
                    </w:rPr>
                  </w:pPr>
                </w:p>
              </w:tc>
              <w:tc>
                <w:tcPr>
                  <w:tcW w:w="1213" w:type="dxa"/>
                  <w:shd w:val="clear" w:color="auto" w:fill="auto"/>
                  <w:noWrap/>
                  <w:vAlign w:val="bottom"/>
                  <w:hideMark/>
                </w:tcPr>
                <w:p w14:paraId="33A968DD" w14:textId="77777777" w:rsidR="003F1A30" w:rsidRPr="005B2441" w:rsidRDefault="003F1A30" w:rsidP="003F1A30">
                  <w:pPr>
                    <w:spacing w:line="240" w:lineRule="exact"/>
                    <w:jc w:val="right"/>
                    <w:rPr>
                      <w:rFonts w:ascii="Arial" w:hAnsi="Arial" w:cs="Arial"/>
                      <w:sz w:val="20"/>
                      <w:lang w:eastAsia="en-IN"/>
                    </w:rPr>
                  </w:pPr>
                </w:p>
              </w:tc>
              <w:tc>
                <w:tcPr>
                  <w:tcW w:w="1069" w:type="dxa"/>
                  <w:shd w:val="clear" w:color="auto" w:fill="auto"/>
                  <w:noWrap/>
                  <w:vAlign w:val="bottom"/>
                  <w:hideMark/>
                </w:tcPr>
                <w:p w14:paraId="0528BA6F" w14:textId="77777777" w:rsidR="003F1A30" w:rsidRPr="005B2441" w:rsidRDefault="003F1A30" w:rsidP="003F1A30">
                  <w:pPr>
                    <w:rPr>
                      <w:rFonts w:ascii="Arial" w:hAnsi="Arial" w:cs="Arial"/>
                      <w:sz w:val="20"/>
                      <w:lang w:eastAsia="en-IN"/>
                    </w:rPr>
                  </w:pPr>
                  <w:r w:rsidRPr="005B2441">
                    <w:rPr>
                      <w:rFonts w:ascii="Arial" w:hAnsi="Arial" w:cs="Arial"/>
                      <w:sz w:val="20"/>
                      <w:lang w:eastAsia="en-IN"/>
                    </w:rPr>
                    <w:t> </w:t>
                  </w:r>
                </w:p>
              </w:tc>
            </w:tr>
            <w:tr w:rsidR="005B2441" w:rsidRPr="005B2441" w14:paraId="3936702C" w14:textId="77777777" w:rsidTr="005B2441">
              <w:trPr>
                <w:trHeight w:val="18"/>
              </w:trPr>
              <w:tc>
                <w:tcPr>
                  <w:tcW w:w="1831" w:type="dxa"/>
                  <w:shd w:val="clear" w:color="auto" w:fill="auto"/>
                  <w:noWrap/>
                  <w:vAlign w:val="bottom"/>
                  <w:hideMark/>
                </w:tcPr>
                <w:p w14:paraId="33A3964F" w14:textId="77777777" w:rsidR="003F1A30" w:rsidRPr="005B2441" w:rsidRDefault="003F1A30" w:rsidP="003F1A30">
                  <w:pPr>
                    <w:spacing w:line="240" w:lineRule="exact"/>
                    <w:rPr>
                      <w:rFonts w:ascii="Arial" w:hAnsi="Arial" w:cs="Arial"/>
                      <w:sz w:val="20"/>
                      <w:lang w:eastAsia="en-IN"/>
                    </w:rPr>
                  </w:pPr>
                  <w:r w:rsidRPr="005B2441">
                    <w:rPr>
                      <w:rFonts w:ascii="Arial" w:hAnsi="Arial" w:cs="Arial"/>
                      <w:sz w:val="20"/>
                      <w:lang w:eastAsia="en-IN"/>
                    </w:rPr>
                    <w:t>Highly probable forecast sales</w:t>
                  </w:r>
                </w:p>
              </w:tc>
              <w:tc>
                <w:tcPr>
                  <w:tcW w:w="1182" w:type="dxa"/>
                  <w:shd w:val="clear" w:color="auto" w:fill="auto"/>
                  <w:noWrap/>
                  <w:vAlign w:val="bottom"/>
                  <w:hideMark/>
                </w:tcPr>
                <w:p w14:paraId="25CA2CD1" w14:textId="05967298" w:rsidR="003F1A30" w:rsidRPr="005B2441" w:rsidRDefault="003F1A30" w:rsidP="003F1A30">
                  <w:pPr>
                    <w:spacing w:line="240" w:lineRule="exact"/>
                    <w:jc w:val="right"/>
                    <w:rPr>
                      <w:rFonts w:ascii="Arial" w:hAnsi="Arial" w:cs="Arial"/>
                      <w:sz w:val="20"/>
                      <w:lang w:eastAsia="en-IN"/>
                    </w:rPr>
                  </w:pPr>
                  <w:r w:rsidRPr="005B2441">
                    <w:rPr>
                      <w:rFonts w:ascii="Arial" w:hAnsi="Arial" w:cs="Arial"/>
                      <w:sz w:val="20"/>
                      <w:lang w:eastAsia="en-IN"/>
                    </w:rPr>
                    <w:t xml:space="preserve"> </w:t>
                  </w:r>
                  <w:r w:rsidR="00A05861">
                    <w:rPr>
                      <w:rFonts w:ascii="Arial" w:hAnsi="Arial" w:cs="Arial"/>
                      <w:sz w:val="20"/>
                      <w:lang w:eastAsia="en-IN"/>
                    </w:rPr>
                    <w:t>247</w:t>
                  </w:r>
                  <w:r w:rsidRPr="005B2441">
                    <w:rPr>
                      <w:rFonts w:ascii="Arial" w:hAnsi="Arial" w:cs="Arial"/>
                      <w:sz w:val="20"/>
                      <w:lang w:eastAsia="en-IN"/>
                    </w:rPr>
                    <w:t xml:space="preserve"> </w:t>
                  </w:r>
                </w:p>
              </w:tc>
              <w:tc>
                <w:tcPr>
                  <w:tcW w:w="1531" w:type="dxa"/>
                  <w:shd w:val="clear" w:color="auto" w:fill="auto"/>
                  <w:noWrap/>
                  <w:vAlign w:val="bottom"/>
                  <w:hideMark/>
                </w:tcPr>
                <w:p w14:paraId="582618C7" w14:textId="77777777" w:rsidR="003F1A30" w:rsidRPr="005B2441" w:rsidRDefault="003F1A30" w:rsidP="003F1A30">
                  <w:pPr>
                    <w:spacing w:line="240" w:lineRule="exact"/>
                    <w:jc w:val="right"/>
                    <w:rPr>
                      <w:rFonts w:ascii="Arial" w:hAnsi="Arial" w:cs="Arial"/>
                      <w:sz w:val="20"/>
                      <w:lang w:eastAsia="en-IN"/>
                    </w:rPr>
                  </w:pPr>
                  <w:r w:rsidRPr="005B2441">
                    <w:rPr>
                      <w:rFonts w:ascii="Arial" w:hAnsi="Arial" w:cs="Arial"/>
                      <w:sz w:val="20"/>
                      <w:lang w:eastAsia="en-IN"/>
                    </w:rPr>
                    <w:t>-</w:t>
                  </w:r>
                </w:p>
              </w:tc>
              <w:tc>
                <w:tcPr>
                  <w:tcW w:w="1069" w:type="dxa"/>
                  <w:shd w:val="clear" w:color="auto" w:fill="auto"/>
                  <w:noWrap/>
                  <w:vAlign w:val="bottom"/>
                  <w:hideMark/>
                </w:tcPr>
                <w:p w14:paraId="489175BD" w14:textId="77777777" w:rsidR="003F1A30" w:rsidRPr="005B2441" w:rsidRDefault="003F1A30" w:rsidP="003F1A30">
                  <w:pPr>
                    <w:spacing w:line="240" w:lineRule="exact"/>
                    <w:jc w:val="right"/>
                    <w:rPr>
                      <w:rFonts w:ascii="Arial" w:hAnsi="Arial" w:cs="Arial"/>
                      <w:sz w:val="20"/>
                      <w:lang w:eastAsia="en-IN"/>
                    </w:rPr>
                  </w:pPr>
                </w:p>
              </w:tc>
              <w:tc>
                <w:tcPr>
                  <w:tcW w:w="1069" w:type="dxa"/>
                  <w:shd w:val="clear" w:color="auto" w:fill="auto"/>
                  <w:noWrap/>
                  <w:vAlign w:val="bottom"/>
                  <w:hideMark/>
                </w:tcPr>
                <w:p w14:paraId="0F5EBFA3" w14:textId="76E48AC0" w:rsidR="003F1A30" w:rsidRPr="005B2441" w:rsidRDefault="00A05861" w:rsidP="003F1A30">
                  <w:pPr>
                    <w:spacing w:line="240" w:lineRule="exact"/>
                    <w:jc w:val="right"/>
                    <w:rPr>
                      <w:rFonts w:ascii="Arial" w:hAnsi="Arial" w:cs="Arial"/>
                      <w:sz w:val="20"/>
                      <w:lang w:eastAsia="en-IN"/>
                    </w:rPr>
                  </w:pPr>
                  <w:r>
                    <w:rPr>
                      <w:rFonts w:ascii="Arial" w:hAnsi="Arial" w:cs="Arial"/>
                      <w:sz w:val="20"/>
                      <w:lang w:eastAsia="en-IN"/>
                    </w:rPr>
                    <w:t>-</w:t>
                  </w:r>
                </w:p>
              </w:tc>
              <w:tc>
                <w:tcPr>
                  <w:tcW w:w="1213" w:type="dxa"/>
                  <w:shd w:val="clear" w:color="auto" w:fill="auto"/>
                  <w:noWrap/>
                  <w:vAlign w:val="bottom"/>
                  <w:hideMark/>
                </w:tcPr>
                <w:p w14:paraId="40EA79E0" w14:textId="36CA232B" w:rsidR="003F1A30" w:rsidRPr="005B2441" w:rsidRDefault="003F1A30" w:rsidP="003F1A30">
                  <w:pPr>
                    <w:spacing w:line="240" w:lineRule="exact"/>
                    <w:jc w:val="right"/>
                    <w:rPr>
                      <w:rFonts w:ascii="Arial" w:hAnsi="Arial" w:cs="Arial"/>
                      <w:sz w:val="20"/>
                      <w:lang w:eastAsia="en-IN"/>
                    </w:rPr>
                  </w:pPr>
                  <w:r w:rsidRPr="005B2441">
                    <w:rPr>
                      <w:rFonts w:ascii="Arial" w:hAnsi="Arial" w:cs="Arial"/>
                      <w:sz w:val="20"/>
                      <w:lang w:eastAsia="en-IN"/>
                    </w:rPr>
                    <w:t xml:space="preserve"> (</w:t>
                  </w:r>
                  <w:r w:rsidR="00A05861">
                    <w:rPr>
                      <w:rFonts w:ascii="Arial" w:hAnsi="Arial" w:cs="Arial"/>
                      <w:sz w:val="20"/>
                      <w:lang w:eastAsia="en-IN"/>
                    </w:rPr>
                    <w:t>225</w:t>
                  </w:r>
                  <w:r w:rsidRPr="005B2441">
                    <w:rPr>
                      <w:rFonts w:ascii="Arial" w:hAnsi="Arial" w:cs="Arial"/>
                      <w:sz w:val="20"/>
                      <w:lang w:eastAsia="en-IN"/>
                    </w:rPr>
                    <w:t>)</w:t>
                  </w:r>
                </w:p>
              </w:tc>
              <w:tc>
                <w:tcPr>
                  <w:tcW w:w="1069" w:type="dxa"/>
                  <w:shd w:val="clear" w:color="auto" w:fill="auto"/>
                  <w:vAlign w:val="bottom"/>
                  <w:hideMark/>
                </w:tcPr>
                <w:p w14:paraId="7E525FE9" w14:textId="77777777" w:rsidR="003F1A30" w:rsidRPr="005B2441" w:rsidRDefault="003F1A30" w:rsidP="003F1A30">
                  <w:pPr>
                    <w:rPr>
                      <w:rFonts w:ascii="Arial" w:hAnsi="Arial" w:cs="Arial"/>
                      <w:sz w:val="20"/>
                      <w:lang w:eastAsia="en-IN"/>
                    </w:rPr>
                  </w:pPr>
                  <w:r w:rsidRPr="005B2441">
                    <w:rPr>
                      <w:rFonts w:ascii="Arial" w:hAnsi="Arial" w:cs="Arial"/>
                      <w:sz w:val="20"/>
                      <w:lang w:eastAsia="en-IN"/>
                    </w:rPr>
                    <w:t>Revenue from contract with customers</w:t>
                  </w:r>
                </w:p>
              </w:tc>
            </w:tr>
            <w:tr w:rsidR="005B2441" w:rsidRPr="005B2441" w14:paraId="717ECCDC" w14:textId="77777777" w:rsidTr="005B2441">
              <w:trPr>
                <w:trHeight w:val="18"/>
              </w:trPr>
              <w:tc>
                <w:tcPr>
                  <w:tcW w:w="1831" w:type="dxa"/>
                  <w:shd w:val="clear" w:color="auto" w:fill="auto"/>
                  <w:noWrap/>
                  <w:vAlign w:val="bottom"/>
                  <w:hideMark/>
                </w:tcPr>
                <w:p w14:paraId="787A0BA4" w14:textId="77777777" w:rsidR="003F1A30" w:rsidRPr="005B2441" w:rsidRDefault="003F1A30" w:rsidP="003F1A30">
                  <w:pPr>
                    <w:spacing w:line="240" w:lineRule="exact"/>
                    <w:rPr>
                      <w:rFonts w:ascii="Arial" w:hAnsi="Arial" w:cs="Arial"/>
                      <w:sz w:val="20"/>
                      <w:lang w:eastAsia="en-IN"/>
                    </w:rPr>
                  </w:pPr>
                  <w:r w:rsidRPr="005B2441">
                    <w:rPr>
                      <w:rFonts w:ascii="Arial" w:hAnsi="Arial" w:cs="Arial"/>
                      <w:sz w:val="20"/>
                      <w:lang w:eastAsia="en-IN"/>
                    </w:rPr>
                    <w:t>Highly probable forecast purchases</w:t>
                  </w:r>
                </w:p>
              </w:tc>
              <w:tc>
                <w:tcPr>
                  <w:tcW w:w="1182" w:type="dxa"/>
                  <w:shd w:val="clear" w:color="auto" w:fill="auto"/>
                  <w:noWrap/>
                  <w:vAlign w:val="bottom"/>
                  <w:hideMark/>
                </w:tcPr>
                <w:p w14:paraId="7D1D939A" w14:textId="56E5293B" w:rsidR="003F1A30" w:rsidRPr="005B2441" w:rsidRDefault="003F1A30" w:rsidP="003F1A30">
                  <w:pPr>
                    <w:spacing w:line="240" w:lineRule="exact"/>
                    <w:jc w:val="right"/>
                    <w:rPr>
                      <w:rFonts w:ascii="Arial" w:hAnsi="Arial" w:cs="Arial"/>
                      <w:sz w:val="20"/>
                      <w:lang w:eastAsia="en-IN"/>
                    </w:rPr>
                  </w:pPr>
                  <w:r w:rsidRPr="005B2441">
                    <w:rPr>
                      <w:rFonts w:ascii="Arial" w:hAnsi="Arial" w:cs="Arial"/>
                      <w:sz w:val="20"/>
                      <w:lang w:eastAsia="en-IN"/>
                    </w:rPr>
                    <w:t xml:space="preserve"> (</w:t>
                  </w:r>
                  <w:r w:rsidR="00A05861">
                    <w:rPr>
                      <w:rFonts w:ascii="Arial" w:hAnsi="Arial" w:cs="Arial"/>
                      <w:sz w:val="20"/>
                      <w:lang w:eastAsia="en-IN"/>
                    </w:rPr>
                    <w:t>56</w:t>
                  </w:r>
                  <w:r w:rsidRPr="005B2441">
                    <w:rPr>
                      <w:rFonts w:ascii="Arial" w:hAnsi="Arial" w:cs="Arial"/>
                      <w:sz w:val="20"/>
                      <w:lang w:eastAsia="en-IN"/>
                    </w:rPr>
                    <w:t>)</w:t>
                  </w:r>
                </w:p>
              </w:tc>
              <w:tc>
                <w:tcPr>
                  <w:tcW w:w="1531" w:type="dxa"/>
                  <w:shd w:val="clear" w:color="auto" w:fill="auto"/>
                  <w:noWrap/>
                  <w:vAlign w:val="bottom"/>
                  <w:hideMark/>
                </w:tcPr>
                <w:p w14:paraId="72B4730D" w14:textId="77777777" w:rsidR="003F1A30" w:rsidRPr="005B2441" w:rsidRDefault="003F1A30" w:rsidP="003F1A30">
                  <w:pPr>
                    <w:spacing w:line="240" w:lineRule="exact"/>
                    <w:jc w:val="right"/>
                    <w:rPr>
                      <w:rFonts w:ascii="Arial" w:hAnsi="Arial" w:cs="Arial"/>
                      <w:sz w:val="20"/>
                      <w:lang w:eastAsia="en-IN"/>
                    </w:rPr>
                  </w:pPr>
                  <w:r w:rsidRPr="005B2441">
                    <w:rPr>
                      <w:rFonts w:ascii="Arial" w:hAnsi="Arial" w:cs="Arial"/>
                      <w:sz w:val="20"/>
                      <w:lang w:eastAsia="en-IN"/>
                    </w:rPr>
                    <w:t>-</w:t>
                  </w:r>
                </w:p>
              </w:tc>
              <w:tc>
                <w:tcPr>
                  <w:tcW w:w="1069" w:type="dxa"/>
                  <w:shd w:val="clear" w:color="auto" w:fill="auto"/>
                  <w:noWrap/>
                  <w:vAlign w:val="bottom"/>
                  <w:hideMark/>
                </w:tcPr>
                <w:p w14:paraId="0FAEC086" w14:textId="77777777" w:rsidR="003F1A30" w:rsidRPr="005B2441" w:rsidRDefault="003F1A30" w:rsidP="003F1A30">
                  <w:pPr>
                    <w:spacing w:line="240" w:lineRule="exact"/>
                    <w:jc w:val="right"/>
                    <w:rPr>
                      <w:rFonts w:ascii="Arial" w:hAnsi="Arial" w:cs="Arial"/>
                      <w:sz w:val="20"/>
                      <w:lang w:eastAsia="en-IN"/>
                    </w:rPr>
                  </w:pPr>
                </w:p>
              </w:tc>
              <w:tc>
                <w:tcPr>
                  <w:tcW w:w="1069" w:type="dxa"/>
                  <w:shd w:val="clear" w:color="auto" w:fill="auto"/>
                  <w:noWrap/>
                  <w:vAlign w:val="bottom"/>
                  <w:hideMark/>
                </w:tcPr>
                <w:p w14:paraId="3E1C7F77" w14:textId="0EF29B8A" w:rsidR="003F1A30" w:rsidRPr="005B2441" w:rsidRDefault="00A05861" w:rsidP="003F1A30">
                  <w:pPr>
                    <w:spacing w:line="240" w:lineRule="exact"/>
                    <w:jc w:val="right"/>
                    <w:rPr>
                      <w:rFonts w:ascii="Arial" w:hAnsi="Arial" w:cs="Arial"/>
                      <w:sz w:val="20"/>
                      <w:lang w:eastAsia="en-IN"/>
                    </w:rPr>
                  </w:pPr>
                  <w:r>
                    <w:rPr>
                      <w:rFonts w:ascii="Arial" w:hAnsi="Arial" w:cs="Arial"/>
                      <w:sz w:val="20"/>
                      <w:lang w:eastAsia="en-IN"/>
                    </w:rPr>
                    <w:t>-</w:t>
                  </w:r>
                </w:p>
              </w:tc>
              <w:tc>
                <w:tcPr>
                  <w:tcW w:w="1213" w:type="dxa"/>
                  <w:shd w:val="clear" w:color="auto" w:fill="auto"/>
                  <w:noWrap/>
                  <w:vAlign w:val="bottom"/>
                  <w:hideMark/>
                </w:tcPr>
                <w:p w14:paraId="6652C734" w14:textId="04454E02" w:rsidR="003F1A30" w:rsidRPr="005B2441" w:rsidRDefault="00A05861" w:rsidP="003F1A30">
                  <w:pPr>
                    <w:spacing w:line="240" w:lineRule="exact"/>
                    <w:jc w:val="right"/>
                    <w:rPr>
                      <w:rFonts w:ascii="Arial" w:hAnsi="Arial" w:cs="Arial"/>
                      <w:sz w:val="20"/>
                      <w:lang w:eastAsia="en-IN"/>
                    </w:rPr>
                  </w:pPr>
                  <w:r>
                    <w:rPr>
                      <w:rFonts w:ascii="Arial" w:hAnsi="Arial" w:cs="Arial"/>
                      <w:sz w:val="20"/>
                      <w:lang w:eastAsia="en-IN"/>
                    </w:rPr>
                    <w:t>95</w:t>
                  </w:r>
                </w:p>
              </w:tc>
              <w:tc>
                <w:tcPr>
                  <w:tcW w:w="1069" w:type="dxa"/>
                  <w:shd w:val="clear" w:color="auto" w:fill="auto"/>
                  <w:vAlign w:val="bottom"/>
                  <w:hideMark/>
                </w:tcPr>
                <w:p w14:paraId="10B100F7" w14:textId="0C844B21" w:rsidR="003F1A30" w:rsidRPr="005B2441" w:rsidRDefault="003F1A30" w:rsidP="003F1A30">
                  <w:pPr>
                    <w:spacing w:line="240" w:lineRule="exact"/>
                    <w:rPr>
                      <w:rFonts w:ascii="Arial" w:hAnsi="Arial" w:cs="Arial"/>
                      <w:sz w:val="20"/>
                      <w:lang w:eastAsia="en-IN"/>
                    </w:rPr>
                  </w:pPr>
                  <w:r w:rsidRPr="005B2441">
                    <w:rPr>
                      <w:rFonts w:ascii="Arial" w:hAnsi="Arial" w:cs="Arial"/>
                      <w:sz w:val="20"/>
                      <w:lang w:eastAsia="en-IN"/>
                    </w:rPr>
                    <w:t> </w:t>
                  </w:r>
                  <w:r w:rsidR="0058747C" w:rsidRPr="00E70587">
                    <w:rPr>
                      <w:rFonts w:ascii="Arial" w:hAnsi="Arial" w:cs="Arial"/>
                      <w:color w:val="000000"/>
                      <w:sz w:val="20"/>
                      <w:lang w:eastAsia="en-IN"/>
                    </w:rPr>
                    <w:t>Cost of raw material and component consumed</w:t>
                  </w:r>
                </w:p>
              </w:tc>
            </w:tr>
          </w:tbl>
          <w:p w14:paraId="2A374FA0" w14:textId="336F33B5" w:rsidR="003F1A30" w:rsidRDefault="003F1A30" w:rsidP="0024137A">
            <w:pPr>
              <w:pStyle w:val="Notesitalicheading"/>
              <w:spacing w:line="280" w:lineRule="exact"/>
              <w:jc w:val="both"/>
              <w:rPr>
                <w:rFonts w:ascii="Arial" w:hAnsi="Arial"/>
                <w:color w:val="auto"/>
                <w:sz w:val="20"/>
              </w:rPr>
            </w:pPr>
          </w:p>
          <w:p w14:paraId="4C1F85FD" w14:textId="77777777" w:rsidR="003F1A30" w:rsidRDefault="003F1A30" w:rsidP="0024137A">
            <w:pPr>
              <w:pStyle w:val="Notesitalicheading"/>
              <w:spacing w:line="280" w:lineRule="exact"/>
              <w:jc w:val="both"/>
              <w:rPr>
                <w:rFonts w:ascii="Arial" w:hAnsi="Arial"/>
                <w:color w:val="auto"/>
                <w:sz w:val="20"/>
              </w:rPr>
            </w:pPr>
          </w:p>
          <w:p w14:paraId="21A991A5" w14:textId="77777777" w:rsidR="00703A2F" w:rsidRDefault="00703A2F" w:rsidP="0024137A">
            <w:pPr>
              <w:pStyle w:val="Notesitalicheading"/>
              <w:spacing w:line="280" w:lineRule="exact"/>
              <w:jc w:val="both"/>
              <w:rPr>
                <w:rFonts w:ascii="Arial" w:hAnsi="Arial"/>
                <w:color w:val="auto"/>
                <w:sz w:val="20"/>
              </w:rPr>
            </w:pPr>
          </w:p>
          <w:p w14:paraId="7B81C1C8" w14:textId="77777777" w:rsidR="006A2341" w:rsidRPr="00E70587" w:rsidRDefault="006A2341" w:rsidP="0024137A">
            <w:pPr>
              <w:spacing w:line="280" w:lineRule="exact"/>
              <w:jc w:val="both"/>
              <w:outlineLvl w:val="4"/>
              <w:rPr>
                <w:rFonts w:ascii="Arial" w:hAnsi="Arial" w:cs="Arial"/>
                <w:sz w:val="20"/>
              </w:rPr>
            </w:pPr>
          </w:p>
        </w:tc>
      </w:tr>
    </w:tbl>
    <w:p w14:paraId="761E40C3" w14:textId="77777777" w:rsidR="002846E2" w:rsidRPr="00E70587" w:rsidRDefault="002846E2" w:rsidP="006A2341">
      <w:pPr>
        <w:pStyle w:val="tabletext"/>
        <w:rPr>
          <w:rFonts w:ascii="Arial" w:hAnsi="Arial" w:cs="Arial"/>
          <w:lang w:val="en-IN"/>
        </w:rPr>
      </w:pPr>
    </w:p>
    <w:p w14:paraId="01A76856" w14:textId="77777777" w:rsidR="002846E2" w:rsidRPr="00E70587" w:rsidRDefault="002846E2" w:rsidP="006A2341">
      <w:pPr>
        <w:pStyle w:val="tabletext"/>
        <w:rPr>
          <w:rFonts w:ascii="Arial" w:hAnsi="Arial" w:cs="Arial"/>
          <w:lang w:val="en-IN"/>
        </w:rPr>
      </w:pPr>
    </w:p>
    <w:p w14:paraId="0274E4CE" w14:textId="77777777" w:rsidR="003B3836" w:rsidRPr="00E70587" w:rsidRDefault="003B3836" w:rsidP="006A2341">
      <w:pPr>
        <w:pStyle w:val="tabletext"/>
        <w:rPr>
          <w:rFonts w:ascii="Arial" w:hAnsi="Arial" w:cs="Arial"/>
          <w:lang w:val="en-IN"/>
        </w:rPr>
      </w:pPr>
    </w:p>
    <w:p w14:paraId="55412917" w14:textId="77777777" w:rsidR="003B3836" w:rsidRDefault="003B3836" w:rsidP="006A2341">
      <w:pPr>
        <w:pStyle w:val="tabletext"/>
        <w:rPr>
          <w:rFonts w:ascii="Arial" w:hAnsi="Arial" w:cs="Arial"/>
          <w:lang w:val="en-IN"/>
        </w:rPr>
      </w:pPr>
    </w:p>
    <w:p w14:paraId="56FD2DE8" w14:textId="77777777" w:rsidR="00657499" w:rsidRDefault="00657499" w:rsidP="006A2341">
      <w:pPr>
        <w:pStyle w:val="tabletext"/>
        <w:rPr>
          <w:rFonts w:ascii="Arial" w:hAnsi="Arial" w:cs="Arial"/>
          <w:lang w:val="en-IN"/>
        </w:rPr>
      </w:pPr>
    </w:p>
    <w:p w14:paraId="49D6F506" w14:textId="77777777" w:rsidR="00657499" w:rsidRDefault="00657499" w:rsidP="006A2341">
      <w:pPr>
        <w:pStyle w:val="tabletext"/>
        <w:rPr>
          <w:rFonts w:ascii="Arial" w:hAnsi="Arial" w:cs="Arial"/>
          <w:lang w:val="en-IN"/>
        </w:rPr>
      </w:pPr>
    </w:p>
    <w:p w14:paraId="5682B58E" w14:textId="77777777" w:rsidR="00657499" w:rsidRDefault="00657499" w:rsidP="006A2341">
      <w:pPr>
        <w:pStyle w:val="tabletext"/>
        <w:rPr>
          <w:rFonts w:ascii="Arial" w:hAnsi="Arial" w:cs="Arial"/>
          <w:lang w:val="en-IN"/>
        </w:rPr>
      </w:pPr>
    </w:p>
    <w:p w14:paraId="6F7BE246" w14:textId="77777777" w:rsidR="00657499" w:rsidRDefault="00657499" w:rsidP="006A2341">
      <w:pPr>
        <w:pStyle w:val="tabletext"/>
        <w:rPr>
          <w:rFonts w:ascii="Arial" w:hAnsi="Arial" w:cs="Arial"/>
          <w:lang w:val="en-IN"/>
        </w:rPr>
      </w:pPr>
    </w:p>
    <w:p w14:paraId="7EA48186" w14:textId="77777777" w:rsidR="00657499" w:rsidRDefault="00657499" w:rsidP="006A2341">
      <w:pPr>
        <w:pStyle w:val="tabletext"/>
        <w:rPr>
          <w:rFonts w:ascii="Arial" w:hAnsi="Arial" w:cs="Arial"/>
          <w:lang w:val="en-IN"/>
        </w:rPr>
      </w:pPr>
    </w:p>
    <w:p w14:paraId="0809F9AE" w14:textId="77777777" w:rsidR="00657499" w:rsidRDefault="00657499" w:rsidP="006A2341">
      <w:pPr>
        <w:pStyle w:val="tabletext"/>
        <w:rPr>
          <w:rFonts w:ascii="Arial" w:hAnsi="Arial" w:cs="Arial"/>
          <w:lang w:val="en-IN"/>
        </w:rPr>
      </w:pPr>
    </w:p>
    <w:p w14:paraId="01BC2F67" w14:textId="77777777" w:rsidR="00657499" w:rsidRDefault="00657499" w:rsidP="006A2341">
      <w:pPr>
        <w:pStyle w:val="tabletext"/>
        <w:rPr>
          <w:rFonts w:ascii="Arial" w:hAnsi="Arial" w:cs="Arial"/>
          <w:lang w:val="en-IN"/>
        </w:rPr>
      </w:pPr>
    </w:p>
    <w:p w14:paraId="2B7335D2" w14:textId="77777777" w:rsidR="00657499" w:rsidRDefault="00657499" w:rsidP="006A2341">
      <w:pPr>
        <w:pStyle w:val="tabletext"/>
        <w:rPr>
          <w:rFonts w:ascii="Arial" w:hAnsi="Arial" w:cs="Arial"/>
          <w:lang w:val="en-IN"/>
        </w:rPr>
      </w:pPr>
    </w:p>
    <w:p w14:paraId="7DE483FE" w14:textId="77777777" w:rsidR="00657499" w:rsidRDefault="00657499" w:rsidP="006A2341">
      <w:pPr>
        <w:pStyle w:val="tabletext"/>
        <w:rPr>
          <w:rFonts w:ascii="Arial" w:hAnsi="Arial" w:cs="Arial"/>
          <w:lang w:val="en-IN"/>
        </w:rPr>
      </w:pPr>
    </w:p>
    <w:p w14:paraId="42A89BC9" w14:textId="77777777" w:rsidR="00657499" w:rsidRPr="00E70587" w:rsidRDefault="00657499" w:rsidP="006A2341">
      <w:pPr>
        <w:pStyle w:val="tabletext"/>
        <w:rPr>
          <w:rFonts w:ascii="Arial" w:hAnsi="Arial" w:cs="Arial"/>
          <w:lang w:val="en-IN"/>
        </w:rPr>
      </w:pPr>
    </w:p>
    <w:p w14:paraId="670608E6" w14:textId="77777777" w:rsidR="00B872F4" w:rsidRPr="00E70587" w:rsidRDefault="00B872F4" w:rsidP="006A2341">
      <w:pPr>
        <w:pStyle w:val="tabletext"/>
        <w:rPr>
          <w:rFonts w:ascii="Arial" w:hAnsi="Arial" w:cs="Arial"/>
          <w:lang w:val="en-IN"/>
        </w:rPr>
      </w:pPr>
    </w:p>
    <w:p w14:paraId="6D904E12" w14:textId="77777777" w:rsidR="006A2341" w:rsidRPr="00E70587" w:rsidRDefault="006A2341" w:rsidP="006A2341">
      <w:pPr>
        <w:pStyle w:val="tabletext"/>
        <w:rPr>
          <w:rFonts w:ascii="Arial" w:hAnsi="Arial"/>
          <w:lang w:val="en-IN"/>
        </w:rPr>
      </w:pPr>
    </w:p>
    <w:tbl>
      <w:tblPr>
        <w:tblW w:w="9576" w:type="dxa"/>
        <w:tblLook w:val="0000" w:firstRow="0" w:lastRow="0" w:firstColumn="0" w:lastColumn="0" w:noHBand="0" w:noVBand="0"/>
      </w:tblPr>
      <w:tblGrid>
        <w:gridCol w:w="9828"/>
      </w:tblGrid>
      <w:tr w:rsidR="0086091A" w:rsidRPr="00E70587" w14:paraId="72860617" w14:textId="77777777" w:rsidTr="00834981">
        <w:tc>
          <w:tcPr>
            <w:tcW w:w="0" w:type="auto"/>
          </w:tcPr>
          <w:p w14:paraId="05B65827" w14:textId="77777777" w:rsidR="0086091A" w:rsidRPr="00E70587" w:rsidRDefault="0086091A" w:rsidP="0024137A">
            <w:pPr>
              <w:spacing w:line="280" w:lineRule="exact"/>
              <w:jc w:val="both"/>
              <w:outlineLvl w:val="4"/>
              <w:rPr>
                <w:rFonts w:ascii="Arial" w:hAnsi="Arial" w:cs="Arial"/>
                <w:sz w:val="20"/>
              </w:rPr>
            </w:pPr>
          </w:p>
          <w:p w14:paraId="733FD2C7" w14:textId="77777777" w:rsidR="0024137A" w:rsidRPr="00E70587" w:rsidRDefault="0024137A" w:rsidP="00413278">
            <w:pPr>
              <w:pStyle w:val="Notesbodytext"/>
              <w:spacing w:after="0" w:line="280" w:lineRule="exact"/>
              <w:jc w:val="both"/>
              <w:rPr>
                <w:rFonts w:ascii="Arial" w:hAnsi="Arial"/>
                <w:color w:val="auto"/>
                <w:sz w:val="20"/>
              </w:rPr>
            </w:pPr>
          </w:p>
        </w:tc>
      </w:tr>
      <w:tr w:rsidR="0086091A" w:rsidRPr="00E70587" w14:paraId="785FBC3F" w14:textId="77777777" w:rsidTr="00834981">
        <w:tc>
          <w:tcPr>
            <w:tcW w:w="0" w:type="auto"/>
          </w:tcPr>
          <w:p w14:paraId="4558BD37" w14:textId="77777777" w:rsidR="001D00DA" w:rsidRPr="00E70587" w:rsidRDefault="001D00DA" w:rsidP="00413278">
            <w:pPr>
              <w:spacing w:line="280" w:lineRule="exact"/>
              <w:jc w:val="both"/>
              <w:rPr>
                <w:rFonts w:ascii="Arial" w:hAnsi="Arial" w:cs="Arial"/>
                <w:sz w:val="20"/>
              </w:rPr>
            </w:pPr>
          </w:p>
        </w:tc>
      </w:tr>
      <w:tr w:rsidR="0086091A" w:rsidRPr="00E70587" w14:paraId="0F41D612" w14:textId="77777777" w:rsidTr="00834981">
        <w:tc>
          <w:tcPr>
            <w:tcW w:w="0" w:type="auto"/>
          </w:tcPr>
          <w:p w14:paraId="3439328C" w14:textId="77777777" w:rsidR="000A38ED" w:rsidRDefault="000A38ED" w:rsidP="0024137A">
            <w:pPr>
              <w:pStyle w:val="Heading5"/>
              <w:spacing w:before="0" w:after="0" w:line="280" w:lineRule="exact"/>
              <w:jc w:val="both"/>
              <w:rPr>
                <w:rFonts w:ascii="Arial" w:hAnsi="Arial" w:cs="Arial"/>
                <w:sz w:val="20"/>
                <w:szCs w:val="20"/>
              </w:rPr>
            </w:pPr>
          </w:p>
          <w:p w14:paraId="32B2334C" w14:textId="77777777" w:rsidR="000A38ED" w:rsidRDefault="000A38ED" w:rsidP="0024137A">
            <w:pPr>
              <w:pStyle w:val="Heading5"/>
              <w:spacing w:before="0" w:after="0" w:line="280" w:lineRule="exact"/>
              <w:jc w:val="both"/>
              <w:rPr>
                <w:rFonts w:ascii="Arial" w:hAnsi="Arial" w:cs="Arial"/>
                <w:sz w:val="20"/>
                <w:szCs w:val="20"/>
              </w:rPr>
            </w:pPr>
          </w:p>
          <w:p w14:paraId="01C4800C" w14:textId="77777777" w:rsidR="000A38ED" w:rsidRDefault="000A38ED" w:rsidP="0024137A">
            <w:pPr>
              <w:pStyle w:val="Heading5"/>
              <w:spacing w:before="0" w:after="0" w:line="280" w:lineRule="exact"/>
              <w:jc w:val="both"/>
              <w:rPr>
                <w:rFonts w:ascii="Arial" w:hAnsi="Arial" w:cs="Arial"/>
                <w:sz w:val="20"/>
                <w:szCs w:val="20"/>
              </w:rPr>
            </w:pPr>
          </w:p>
          <w:p w14:paraId="25203F8E" w14:textId="77777777" w:rsidR="000A38ED" w:rsidRDefault="000A38ED" w:rsidP="0024137A">
            <w:pPr>
              <w:pStyle w:val="Heading5"/>
              <w:spacing w:before="0" w:after="0" w:line="280" w:lineRule="exact"/>
              <w:jc w:val="both"/>
              <w:rPr>
                <w:rFonts w:ascii="Arial" w:hAnsi="Arial" w:cs="Arial"/>
                <w:sz w:val="20"/>
                <w:szCs w:val="20"/>
              </w:rPr>
            </w:pPr>
          </w:p>
          <w:p w14:paraId="0BC5B1DA" w14:textId="18CA54B4" w:rsidR="0086091A" w:rsidRPr="00E70587" w:rsidRDefault="0086091A" w:rsidP="0024137A">
            <w:pPr>
              <w:pStyle w:val="Heading5"/>
              <w:spacing w:before="0" w:after="0" w:line="280" w:lineRule="exact"/>
              <w:jc w:val="both"/>
              <w:rPr>
                <w:rFonts w:ascii="Arial" w:hAnsi="Arial" w:cs="Arial"/>
                <w:sz w:val="20"/>
                <w:szCs w:val="20"/>
              </w:rPr>
            </w:pPr>
            <w:r w:rsidRPr="00E70587">
              <w:rPr>
                <w:rFonts w:ascii="Arial" w:hAnsi="Arial" w:cs="Arial"/>
                <w:sz w:val="20"/>
                <w:szCs w:val="20"/>
              </w:rPr>
              <w:t>Fair value hedge</w:t>
            </w:r>
          </w:p>
          <w:p w14:paraId="3A44C080" w14:textId="77777777" w:rsidR="0024137A" w:rsidRPr="00E70587" w:rsidRDefault="0024137A" w:rsidP="0024137A">
            <w:pPr>
              <w:pStyle w:val="Notesbodytext"/>
              <w:spacing w:after="0" w:line="280" w:lineRule="exact"/>
              <w:jc w:val="both"/>
              <w:rPr>
                <w:rFonts w:ascii="Arial" w:hAnsi="Arial"/>
                <w:color w:val="auto"/>
                <w:sz w:val="20"/>
              </w:rPr>
            </w:pPr>
          </w:p>
          <w:p w14:paraId="7A99D333" w14:textId="28D0927A" w:rsidR="001D00DA" w:rsidRPr="00E70587" w:rsidRDefault="0086091A" w:rsidP="001D00DA">
            <w:pPr>
              <w:pStyle w:val="Notesbodytext"/>
              <w:spacing w:line="240" w:lineRule="atLeast"/>
              <w:rPr>
                <w:rFonts w:ascii="Arial" w:hAnsi="Arial" w:cs="Times New Roman"/>
                <w:szCs w:val="18"/>
              </w:rPr>
            </w:pPr>
            <w:r w:rsidRPr="00E70587">
              <w:rPr>
                <w:rFonts w:ascii="Arial" w:hAnsi="Arial"/>
                <w:color w:val="auto"/>
                <w:sz w:val="20"/>
              </w:rPr>
              <w:t xml:space="preserve">At 31 </w:t>
            </w:r>
            <w:r w:rsidR="00E1202D" w:rsidRPr="00E70587">
              <w:rPr>
                <w:rFonts w:ascii="Arial" w:hAnsi="Arial"/>
                <w:color w:val="auto"/>
                <w:sz w:val="20"/>
              </w:rPr>
              <w:t xml:space="preserve">March </w:t>
            </w:r>
            <w:r w:rsidR="006C0493" w:rsidRPr="00E70587">
              <w:rPr>
                <w:rFonts w:ascii="Arial" w:hAnsi="Arial"/>
                <w:color w:val="auto"/>
                <w:sz w:val="20"/>
              </w:rPr>
              <w:t>20</w:t>
            </w:r>
            <w:r w:rsidR="006C0493">
              <w:rPr>
                <w:rFonts w:ascii="Arial" w:hAnsi="Arial"/>
                <w:color w:val="auto"/>
                <w:sz w:val="20"/>
              </w:rPr>
              <w:t>21</w:t>
            </w:r>
            <w:r w:rsidRPr="00E70587">
              <w:rPr>
                <w:rFonts w:ascii="Arial" w:hAnsi="Arial"/>
                <w:color w:val="auto"/>
                <w:sz w:val="20"/>
              </w:rPr>
              <w:t>, the Group had an interest rate swap agreement in place with a notional amount of USD 67</w:t>
            </w:r>
            <w:r w:rsidR="003F1DAF" w:rsidRPr="00E70587">
              <w:rPr>
                <w:rFonts w:ascii="Arial" w:hAnsi="Arial"/>
                <w:color w:val="auto"/>
                <w:sz w:val="20"/>
              </w:rPr>
              <w:t>.4</w:t>
            </w:r>
            <w:r w:rsidRPr="00E70587">
              <w:rPr>
                <w:rFonts w:ascii="Arial" w:hAnsi="Arial"/>
                <w:color w:val="auto"/>
                <w:sz w:val="20"/>
              </w:rPr>
              <w:t xml:space="preserve"> (INR 404</w:t>
            </w:r>
            <w:r w:rsidR="003F1DAF" w:rsidRPr="00E70587">
              <w:rPr>
                <w:rFonts w:ascii="Arial" w:hAnsi="Arial"/>
                <w:color w:val="auto"/>
                <w:sz w:val="20"/>
              </w:rPr>
              <w:t>3</w:t>
            </w:r>
            <w:r w:rsidRPr="00E70587">
              <w:rPr>
                <w:rFonts w:ascii="Arial" w:hAnsi="Arial"/>
                <w:color w:val="auto"/>
                <w:sz w:val="20"/>
              </w:rPr>
              <w:t>) (</w:t>
            </w:r>
            <w:r w:rsidR="006C0493" w:rsidRPr="00E70587">
              <w:rPr>
                <w:rFonts w:ascii="Arial" w:hAnsi="Arial"/>
                <w:color w:val="auto"/>
                <w:sz w:val="20"/>
              </w:rPr>
              <w:t>20</w:t>
            </w:r>
            <w:r w:rsidR="006C0493">
              <w:rPr>
                <w:rFonts w:ascii="Arial" w:hAnsi="Arial"/>
                <w:color w:val="auto"/>
                <w:sz w:val="20"/>
              </w:rPr>
              <w:t>20</w:t>
            </w:r>
            <w:r w:rsidRPr="00E70587">
              <w:rPr>
                <w:rFonts w:ascii="Arial" w:hAnsi="Arial"/>
                <w:color w:val="auto"/>
                <w:sz w:val="20"/>
              </w:rPr>
              <w:t>: INR Nil,) whereby the Group receives a fixed rate of interest of 8.25% and pays interest at a variable rate equal to MIBOR+0.2% on the notional amount. The swap is being used to hedge the exposure to changes in the fair value of its 8.25% secured loan.</w:t>
            </w:r>
            <w:r w:rsidR="001D00DA" w:rsidRPr="00E70587">
              <w:rPr>
                <w:rFonts w:ascii="Arial" w:hAnsi="Arial"/>
                <w:color w:val="auto"/>
                <w:sz w:val="20"/>
              </w:rPr>
              <w:t xml:space="preserve"> </w:t>
            </w:r>
            <w:r w:rsidR="001D00DA" w:rsidRPr="00E70587">
              <w:rPr>
                <w:rFonts w:ascii="Arial" w:hAnsi="Arial" w:cs="Times New Roman"/>
                <w:szCs w:val="18"/>
              </w:rPr>
              <w:t xml:space="preserve">There were no such contracts outstanding as on 31 March </w:t>
            </w:r>
            <w:r w:rsidR="006C0493" w:rsidRPr="00E70587">
              <w:rPr>
                <w:rFonts w:ascii="Arial" w:hAnsi="Arial" w:cs="Times New Roman"/>
                <w:szCs w:val="18"/>
              </w:rPr>
              <w:t>20</w:t>
            </w:r>
            <w:r w:rsidR="006C0493">
              <w:rPr>
                <w:rFonts w:ascii="Arial" w:hAnsi="Arial" w:cs="Times New Roman"/>
                <w:szCs w:val="18"/>
              </w:rPr>
              <w:t>20</w:t>
            </w:r>
            <w:r w:rsidR="001D00DA" w:rsidRPr="00E70587">
              <w:rPr>
                <w:rFonts w:ascii="Arial" w:hAnsi="Arial" w:cs="Times New Roman"/>
                <w:szCs w:val="18"/>
              </w:rPr>
              <w:t>.</w:t>
            </w:r>
          </w:p>
          <w:p w14:paraId="7A485086" w14:textId="77777777" w:rsidR="0086091A" w:rsidRPr="00E70587" w:rsidRDefault="0086091A" w:rsidP="0024137A">
            <w:pPr>
              <w:spacing w:line="280" w:lineRule="exact"/>
              <w:jc w:val="both"/>
              <w:rPr>
                <w:rFonts w:ascii="Arial" w:hAnsi="Arial" w:cs="Arial"/>
                <w:sz w:val="20"/>
              </w:rPr>
            </w:pPr>
          </w:p>
          <w:p w14:paraId="43460E67" w14:textId="44822EFE" w:rsidR="0086091A" w:rsidRPr="00E70587" w:rsidRDefault="0086091A" w:rsidP="0024137A">
            <w:pPr>
              <w:spacing w:line="280" w:lineRule="exact"/>
              <w:jc w:val="both"/>
              <w:rPr>
                <w:rFonts w:ascii="Arial" w:hAnsi="Arial" w:cs="Arial"/>
                <w:sz w:val="20"/>
              </w:rPr>
            </w:pPr>
            <w:r w:rsidRPr="00E70587">
              <w:rPr>
                <w:rFonts w:ascii="Arial" w:hAnsi="Arial" w:cs="Arial"/>
                <w:sz w:val="20"/>
              </w:rPr>
              <w:t>The decrease in fair value of the interest rate swap of INR 63 (</w:t>
            </w:r>
            <w:r w:rsidR="006C0493" w:rsidRPr="00E70587">
              <w:rPr>
                <w:rFonts w:ascii="Arial" w:hAnsi="Arial" w:cs="Arial"/>
                <w:sz w:val="20"/>
              </w:rPr>
              <w:t>20</w:t>
            </w:r>
            <w:r w:rsidR="006C0493">
              <w:rPr>
                <w:rFonts w:ascii="Arial" w:hAnsi="Arial" w:cs="Arial"/>
                <w:sz w:val="20"/>
              </w:rPr>
              <w:t>20</w:t>
            </w:r>
            <w:r w:rsidRPr="00E70587">
              <w:rPr>
                <w:rFonts w:ascii="Arial" w:hAnsi="Arial" w:cs="Arial"/>
                <w:sz w:val="20"/>
              </w:rPr>
              <w:t xml:space="preserve">: INR Nil) has been recognised in finance costs and offset with a similar gain on the bank borrowings. The ineffectiveness recognised in </w:t>
            </w:r>
            <w:r w:rsidR="00E1202D" w:rsidRPr="00E70587">
              <w:rPr>
                <w:rFonts w:ascii="Arial" w:hAnsi="Arial" w:cs="Arial"/>
                <w:sz w:val="20"/>
              </w:rPr>
              <w:t xml:space="preserve">March </w:t>
            </w:r>
            <w:r w:rsidR="006C0493" w:rsidRPr="00E70587">
              <w:rPr>
                <w:rFonts w:ascii="Arial" w:hAnsi="Arial" w:cs="Arial"/>
                <w:sz w:val="20"/>
              </w:rPr>
              <w:t>20</w:t>
            </w:r>
            <w:r w:rsidR="006C0493">
              <w:rPr>
                <w:rFonts w:ascii="Arial" w:hAnsi="Arial" w:cs="Arial"/>
                <w:sz w:val="20"/>
              </w:rPr>
              <w:t>21</w:t>
            </w:r>
            <w:r w:rsidR="006C0493" w:rsidRPr="00E70587">
              <w:rPr>
                <w:rFonts w:ascii="Arial" w:hAnsi="Arial" w:cs="Arial"/>
                <w:sz w:val="20"/>
              </w:rPr>
              <w:t xml:space="preserve"> </w:t>
            </w:r>
            <w:r w:rsidRPr="00E70587">
              <w:rPr>
                <w:rFonts w:ascii="Arial" w:hAnsi="Arial" w:cs="Arial"/>
                <w:sz w:val="20"/>
              </w:rPr>
              <w:t>was immaterial.</w:t>
            </w:r>
            <w:r w:rsidR="001D00DA" w:rsidRPr="00E70587">
              <w:rPr>
                <w:rFonts w:ascii="Arial" w:hAnsi="Arial" w:cs="Arial"/>
                <w:sz w:val="20"/>
              </w:rPr>
              <w:t xml:space="preserve"> There were no sources of hedge ineffectiveness emerging in these hedging relationship</w:t>
            </w:r>
            <w:r w:rsidR="006C0493">
              <w:rPr>
                <w:rFonts w:ascii="Arial" w:hAnsi="Arial" w:cs="Arial"/>
                <w:sz w:val="20"/>
              </w:rPr>
              <w:t>s</w:t>
            </w:r>
            <w:r w:rsidR="001D00DA" w:rsidRPr="00E70587">
              <w:rPr>
                <w:rFonts w:ascii="Arial" w:hAnsi="Arial" w:cs="Arial"/>
                <w:sz w:val="20"/>
              </w:rPr>
              <w:t>.</w:t>
            </w:r>
          </w:p>
          <w:p w14:paraId="71A36AA5" w14:textId="77777777" w:rsidR="001D00DA" w:rsidRDefault="001D00DA" w:rsidP="001D00DA">
            <w:pPr>
              <w:spacing w:line="280" w:lineRule="exact"/>
              <w:jc w:val="both"/>
              <w:rPr>
                <w:rFonts w:ascii="Arial" w:hAnsi="Arial" w:cs="Arial"/>
                <w:sz w:val="20"/>
              </w:rPr>
            </w:pPr>
          </w:p>
          <w:p w14:paraId="3881AE0C" w14:textId="77777777" w:rsidR="00657499" w:rsidRDefault="00657499" w:rsidP="001D00DA">
            <w:pPr>
              <w:spacing w:line="280" w:lineRule="exact"/>
              <w:jc w:val="both"/>
              <w:rPr>
                <w:rFonts w:ascii="Arial" w:hAnsi="Arial" w:cs="Arial"/>
                <w:sz w:val="20"/>
              </w:rPr>
            </w:pPr>
          </w:p>
          <w:p w14:paraId="61FED06F" w14:textId="77777777" w:rsidR="00657499" w:rsidRPr="00E70587" w:rsidRDefault="00657499" w:rsidP="001D00DA">
            <w:pPr>
              <w:spacing w:line="280" w:lineRule="exact"/>
              <w:jc w:val="both"/>
              <w:rPr>
                <w:rFonts w:ascii="Arial" w:hAnsi="Arial" w:cs="Arial"/>
                <w:sz w:val="20"/>
              </w:rPr>
            </w:pPr>
          </w:p>
          <w:tbl>
            <w:tblPr>
              <w:tblW w:w="9484" w:type="dxa"/>
              <w:tblLook w:val="04A0" w:firstRow="1" w:lastRow="0" w:firstColumn="1" w:lastColumn="0" w:noHBand="0" w:noVBand="1"/>
            </w:tblPr>
            <w:tblGrid>
              <w:gridCol w:w="1682"/>
              <w:gridCol w:w="1540"/>
              <w:gridCol w:w="953"/>
              <w:gridCol w:w="1117"/>
              <w:gridCol w:w="2096"/>
              <w:gridCol w:w="2096"/>
            </w:tblGrid>
            <w:tr w:rsidR="001D00DA" w:rsidRPr="00E70587" w14:paraId="27555574" w14:textId="77777777" w:rsidTr="002B312A">
              <w:trPr>
                <w:trHeight w:val="255"/>
              </w:trPr>
              <w:tc>
                <w:tcPr>
                  <w:tcW w:w="5292" w:type="dxa"/>
                  <w:gridSpan w:val="4"/>
                  <w:tcBorders>
                    <w:top w:val="nil"/>
                    <w:left w:val="nil"/>
                    <w:bottom w:val="nil"/>
                    <w:right w:val="nil"/>
                  </w:tcBorders>
                  <w:shd w:val="clear" w:color="auto" w:fill="auto"/>
                  <w:noWrap/>
                  <w:vAlign w:val="center"/>
                  <w:hideMark/>
                </w:tcPr>
                <w:p w14:paraId="253F24FE" w14:textId="462D0B0A"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 xml:space="preserve">Details relating to hedging instrument for March </w:t>
                  </w:r>
                  <w:r w:rsidR="006C0493" w:rsidRPr="00E70587">
                    <w:rPr>
                      <w:rFonts w:ascii="Arial" w:hAnsi="Arial" w:cs="Arial"/>
                      <w:color w:val="000000"/>
                      <w:sz w:val="20"/>
                      <w:lang w:eastAsia="en-IN"/>
                    </w:rPr>
                    <w:t>20</w:t>
                  </w:r>
                  <w:r w:rsidR="006C0493">
                    <w:rPr>
                      <w:rFonts w:ascii="Arial" w:hAnsi="Arial" w:cs="Arial"/>
                      <w:color w:val="000000"/>
                      <w:sz w:val="20"/>
                      <w:lang w:eastAsia="en-IN"/>
                    </w:rPr>
                    <w:t>21</w:t>
                  </w:r>
                  <w:r w:rsidRPr="00E70587">
                    <w:rPr>
                      <w:rFonts w:ascii="Arial" w:hAnsi="Arial" w:cs="Arial"/>
                      <w:color w:val="000000"/>
                      <w:sz w:val="20"/>
                      <w:lang w:eastAsia="en-IN"/>
                    </w:rPr>
                    <w:t>:</w:t>
                  </w:r>
                </w:p>
              </w:tc>
              <w:tc>
                <w:tcPr>
                  <w:tcW w:w="2096" w:type="dxa"/>
                  <w:tcBorders>
                    <w:top w:val="nil"/>
                    <w:left w:val="nil"/>
                    <w:bottom w:val="nil"/>
                    <w:right w:val="nil"/>
                  </w:tcBorders>
                  <w:shd w:val="clear" w:color="auto" w:fill="auto"/>
                  <w:noWrap/>
                  <w:vAlign w:val="bottom"/>
                  <w:hideMark/>
                </w:tcPr>
                <w:p w14:paraId="027AF13B"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2096" w:type="dxa"/>
                  <w:tcBorders>
                    <w:top w:val="nil"/>
                    <w:left w:val="nil"/>
                    <w:bottom w:val="nil"/>
                    <w:right w:val="nil"/>
                  </w:tcBorders>
                  <w:shd w:val="clear" w:color="auto" w:fill="auto"/>
                  <w:noWrap/>
                  <w:vAlign w:val="bottom"/>
                  <w:hideMark/>
                </w:tcPr>
                <w:p w14:paraId="41850674" w14:textId="77777777" w:rsidR="001D00DA" w:rsidRPr="00E70587" w:rsidRDefault="001D00DA" w:rsidP="001D00DA">
                  <w:pPr>
                    <w:overflowPunct/>
                    <w:autoSpaceDE/>
                    <w:autoSpaceDN/>
                    <w:adjustRightInd/>
                    <w:spacing w:line="240" w:lineRule="auto"/>
                    <w:textAlignment w:val="auto"/>
                    <w:rPr>
                      <w:rFonts w:ascii="Times New Roman" w:hAnsi="Times New Roman"/>
                      <w:sz w:val="20"/>
                      <w:lang w:eastAsia="en-IN"/>
                    </w:rPr>
                  </w:pPr>
                </w:p>
              </w:tc>
            </w:tr>
            <w:tr w:rsidR="001D00DA" w:rsidRPr="00E70587" w14:paraId="1319E3B7" w14:textId="77777777" w:rsidTr="002B312A">
              <w:trPr>
                <w:trHeight w:val="980"/>
              </w:trPr>
              <w:tc>
                <w:tcPr>
                  <w:tcW w:w="1682" w:type="dxa"/>
                  <w:vMerge w:val="restart"/>
                  <w:tcBorders>
                    <w:top w:val="single" w:sz="4" w:space="0" w:color="auto"/>
                    <w:left w:val="nil"/>
                    <w:bottom w:val="single" w:sz="4" w:space="0" w:color="000000"/>
                    <w:right w:val="nil"/>
                  </w:tcBorders>
                  <w:shd w:val="clear" w:color="auto" w:fill="auto"/>
                  <w:vAlign w:val="center"/>
                  <w:hideMark/>
                </w:tcPr>
                <w:p w14:paraId="0FBC0E4C"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Fair value hedge</w:t>
                  </w:r>
                </w:p>
              </w:tc>
              <w:tc>
                <w:tcPr>
                  <w:tcW w:w="1540" w:type="dxa"/>
                  <w:vMerge w:val="restart"/>
                  <w:tcBorders>
                    <w:top w:val="single" w:sz="4" w:space="0" w:color="auto"/>
                    <w:left w:val="nil"/>
                    <w:bottom w:val="single" w:sz="4" w:space="0" w:color="000000"/>
                    <w:right w:val="nil"/>
                  </w:tcBorders>
                  <w:shd w:val="clear" w:color="auto" w:fill="auto"/>
                  <w:vAlign w:val="center"/>
                  <w:hideMark/>
                </w:tcPr>
                <w:p w14:paraId="3C7D3434"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Nominal amount of the hedging instrument (INR in Lacs)</w:t>
                  </w:r>
                </w:p>
              </w:tc>
              <w:tc>
                <w:tcPr>
                  <w:tcW w:w="2070" w:type="dxa"/>
                  <w:gridSpan w:val="2"/>
                  <w:tcBorders>
                    <w:top w:val="single" w:sz="4" w:space="0" w:color="auto"/>
                    <w:left w:val="nil"/>
                    <w:bottom w:val="nil"/>
                    <w:right w:val="nil"/>
                  </w:tcBorders>
                  <w:shd w:val="clear" w:color="auto" w:fill="auto"/>
                  <w:vAlign w:val="center"/>
                  <w:hideMark/>
                </w:tcPr>
                <w:p w14:paraId="2A488A61"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Carrying amount of hedging instrument (INR in lacs)</w:t>
                  </w:r>
                </w:p>
              </w:tc>
              <w:tc>
                <w:tcPr>
                  <w:tcW w:w="2096" w:type="dxa"/>
                  <w:vMerge w:val="restart"/>
                  <w:tcBorders>
                    <w:top w:val="single" w:sz="4" w:space="0" w:color="auto"/>
                    <w:left w:val="nil"/>
                    <w:bottom w:val="single" w:sz="4" w:space="0" w:color="000000"/>
                    <w:right w:val="nil"/>
                  </w:tcBorders>
                  <w:shd w:val="clear" w:color="auto" w:fill="auto"/>
                  <w:vAlign w:val="center"/>
                  <w:hideMark/>
                </w:tcPr>
                <w:p w14:paraId="3BF17CC3"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Line item in balance sheet where hedging instrument is disclosed</w:t>
                  </w:r>
                </w:p>
              </w:tc>
              <w:tc>
                <w:tcPr>
                  <w:tcW w:w="2096" w:type="dxa"/>
                  <w:vMerge w:val="restart"/>
                  <w:tcBorders>
                    <w:top w:val="single" w:sz="4" w:space="0" w:color="auto"/>
                    <w:left w:val="nil"/>
                    <w:bottom w:val="single" w:sz="4" w:space="0" w:color="000000"/>
                    <w:right w:val="nil"/>
                  </w:tcBorders>
                  <w:shd w:val="clear" w:color="auto" w:fill="auto"/>
                  <w:vAlign w:val="center"/>
                  <w:hideMark/>
                </w:tcPr>
                <w:p w14:paraId="3A4C104B" w14:textId="209A8509"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 xml:space="preserve">Changes in fair value for calculating hedge ineffectiveness for March </w:t>
                  </w:r>
                  <w:r w:rsidR="008F281E" w:rsidRPr="00E70587">
                    <w:rPr>
                      <w:rFonts w:ascii="Arial" w:hAnsi="Arial" w:cs="Arial"/>
                      <w:color w:val="000000"/>
                      <w:sz w:val="20"/>
                      <w:lang w:eastAsia="en-IN"/>
                    </w:rPr>
                    <w:t>20</w:t>
                  </w:r>
                  <w:r w:rsidR="008F281E">
                    <w:rPr>
                      <w:rFonts w:ascii="Arial" w:hAnsi="Arial" w:cs="Arial"/>
                      <w:color w:val="000000"/>
                      <w:sz w:val="20"/>
                      <w:lang w:eastAsia="en-IN"/>
                    </w:rPr>
                    <w:t>21</w:t>
                  </w:r>
                </w:p>
              </w:tc>
            </w:tr>
            <w:tr w:rsidR="001D00DA" w:rsidRPr="00E70587" w14:paraId="48A1669E" w14:textId="77777777" w:rsidTr="002B312A">
              <w:trPr>
                <w:trHeight w:val="68"/>
              </w:trPr>
              <w:tc>
                <w:tcPr>
                  <w:tcW w:w="1682" w:type="dxa"/>
                  <w:vMerge/>
                  <w:tcBorders>
                    <w:top w:val="single" w:sz="4" w:space="0" w:color="auto"/>
                    <w:left w:val="nil"/>
                    <w:bottom w:val="single" w:sz="4" w:space="0" w:color="000000"/>
                    <w:right w:val="nil"/>
                  </w:tcBorders>
                  <w:vAlign w:val="center"/>
                  <w:hideMark/>
                </w:tcPr>
                <w:p w14:paraId="6341AE7B"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1540" w:type="dxa"/>
                  <w:vMerge/>
                  <w:tcBorders>
                    <w:top w:val="single" w:sz="4" w:space="0" w:color="auto"/>
                    <w:left w:val="nil"/>
                    <w:bottom w:val="single" w:sz="4" w:space="0" w:color="000000"/>
                    <w:right w:val="nil"/>
                  </w:tcBorders>
                  <w:vAlign w:val="center"/>
                  <w:hideMark/>
                </w:tcPr>
                <w:p w14:paraId="69CF9E11"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953" w:type="dxa"/>
                  <w:tcBorders>
                    <w:top w:val="nil"/>
                    <w:left w:val="nil"/>
                    <w:bottom w:val="single" w:sz="4" w:space="0" w:color="auto"/>
                    <w:right w:val="nil"/>
                  </w:tcBorders>
                  <w:shd w:val="clear" w:color="auto" w:fill="auto"/>
                  <w:vAlign w:val="center"/>
                  <w:hideMark/>
                </w:tcPr>
                <w:p w14:paraId="5CEFD5E7"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 xml:space="preserve">Asset </w:t>
                  </w:r>
                </w:p>
              </w:tc>
              <w:tc>
                <w:tcPr>
                  <w:tcW w:w="1117" w:type="dxa"/>
                  <w:tcBorders>
                    <w:top w:val="nil"/>
                    <w:left w:val="nil"/>
                    <w:bottom w:val="single" w:sz="4" w:space="0" w:color="auto"/>
                    <w:right w:val="nil"/>
                  </w:tcBorders>
                  <w:shd w:val="clear" w:color="auto" w:fill="auto"/>
                  <w:vAlign w:val="center"/>
                  <w:hideMark/>
                </w:tcPr>
                <w:p w14:paraId="77EDF60D"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Liabilities</w:t>
                  </w:r>
                </w:p>
              </w:tc>
              <w:tc>
                <w:tcPr>
                  <w:tcW w:w="2096" w:type="dxa"/>
                  <w:vMerge/>
                  <w:tcBorders>
                    <w:top w:val="single" w:sz="4" w:space="0" w:color="auto"/>
                    <w:left w:val="nil"/>
                    <w:bottom w:val="single" w:sz="4" w:space="0" w:color="000000"/>
                    <w:right w:val="nil"/>
                  </w:tcBorders>
                  <w:vAlign w:val="center"/>
                  <w:hideMark/>
                </w:tcPr>
                <w:p w14:paraId="7F054994"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2096" w:type="dxa"/>
                  <w:vMerge/>
                  <w:tcBorders>
                    <w:top w:val="single" w:sz="4" w:space="0" w:color="auto"/>
                    <w:left w:val="nil"/>
                    <w:bottom w:val="single" w:sz="4" w:space="0" w:color="000000"/>
                    <w:right w:val="nil"/>
                  </w:tcBorders>
                  <w:vAlign w:val="center"/>
                  <w:hideMark/>
                </w:tcPr>
                <w:p w14:paraId="08E4B286"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r>
            <w:tr w:rsidR="001D00DA" w:rsidRPr="00E70587" w14:paraId="5A9AE16D" w14:textId="77777777" w:rsidTr="002B312A">
              <w:trPr>
                <w:trHeight w:val="510"/>
              </w:trPr>
              <w:tc>
                <w:tcPr>
                  <w:tcW w:w="1682" w:type="dxa"/>
                  <w:tcBorders>
                    <w:top w:val="nil"/>
                    <w:left w:val="nil"/>
                    <w:bottom w:val="nil"/>
                    <w:right w:val="nil"/>
                  </w:tcBorders>
                  <w:shd w:val="clear" w:color="auto" w:fill="auto"/>
                  <w:vAlign w:val="center"/>
                  <w:hideMark/>
                </w:tcPr>
                <w:p w14:paraId="72EA8E1E"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Interest rate risk</w:t>
                  </w:r>
                </w:p>
                <w:p w14:paraId="2B5B031F"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-Interest rate swap</w:t>
                  </w:r>
                </w:p>
              </w:tc>
              <w:tc>
                <w:tcPr>
                  <w:tcW w:w="1540" w:type="dxa"/>
                  <w:tcBorders>
                    <w:top w:val="nil"/>
                    <w:left w:val="nil"/>
                    <w:bottom w:val="nil"/>
                    <w:right w:val="nil"/>
                  </w:tcBorders>
                  <w:shd w:val="clear" w:color="auto" w:fill="auto"/>
                  <w:vAlign w:val="center"/>
                  <w:hideMark/>
                </w:tcPr>
                <w:p w14:paraId="5D93773B"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4,043 </w:t>
                  </w:r>
                </w:p>
                <w:p w14:paraId="7D51EA65"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(USD 60.56 lacs)</w:t>
                  </w:r>
                </w:p>
              </w:tc>
              <w:tc>
                <w:tcPr>
                  <w:tcW w:w="953" w:type="dxa"/>
                  <w:vMerge w:val="restart"/>
                  <w:tcBorders>
                    <w:top w:val="nil"/>
                    <w:left w:val="nil"/>
                    <w:bottom w:val="nil"/>
                    <w:right w:val="nil"/>
                  </w:tcBorders>
                  <w:shd w:val="clear" w:color="auto" w:fill="auto"/>
                  <w:vAlign w:val="center"/>
                  <w:hideMark/>
                </w:tcPr>
                <w:p w14:paraId="4A9A2E56"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 xml:space="preserve"> - </w:t>
                  </w:r>
                </w:p>
              </w:tc>
              <w:tc>
                <w:tcPr>
                  <w:tcW w:w="1117" w:type="dxa"/>
                  <w:vMerge w:val="restart"/>
                  <w:tcBorders>
                    <w:top w:val="nil"/>
                    <w:left w:val="nil"/>
                    <w:bottom w:val="nil"/>
                    <w:right w:val="nil"/>
                  </w:tcBorders>
                  <w:shd w:val="clear" w:color="auto" w:fill="auto"/>
                  <w:vAlign w:val="center"/>
                  <w:hideMark/>
                </w:tcPr>
                <w:p w14:paraId="17F066A5"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63</w:t>
                  </w:r>
                </w:p>
              </w:tc>
              <w:tc>
                <w:tcPr>
                  <w:tcW w:w="2096" w:type="dxa"/>
                  <w:vMerge w:val="restart"/>
                  <w:tcBorders>
                    <w:top w:val="nil"/>
                    <w:left w:val="nil"/>
                    <w:bottom w:val="nil"/>
                    <w:right w:val="nil"/>
                  </w:tcBorders>
                  <w:shd w:val="clear" w:color="auto" w:fill="auto"/>
                  <w:vAlign w:val="center"/>
                  <w:hideMark/>
                </w:tcPr>
                <w:p w14:paraId="7C9E93C4"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Other current financial liabilities</w:t>
                  </w:r>
                </w:p>
              </w:tc>
              <w:tc>
                <w:tcPr>
                  <w:tcW w:w="2096" w:type="dxa"/>
                  <w:vMerge w:val="restart"/>
                  <w:tcBorders>
                    <w:top w:val="nil"/>
                    <w:left w:val="nil"/>
                    <w:bottom w:val="nil"/>
                    <w:right w:val="nil"/>
                  </w:tcBorders>
                  <w:shd w:val="clear" w:color="auto" w:fill="auto"/>
                  <w:vAlign w:val="center"/>
                  <w:hideMark/>
                </w:tcPr>
                <w:p w14:paraId="6A97BF82"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r>
            <w:tr w:rsidR="001D00DA" w:rsidRPr="00E70587" w14:paraId="173F919B" w14:textId="77777777" w:rsidTr="002B312A">
              <w:trPr>
                <w:trHeight w:val="75"/>
              </w:trPr>
              <w:tc>
                <w:tcPr>
                  <w:tcW w:w="1682" w:type="dxa"/>
                  <w:tcBorders>
                    <w:top w:val="nil"/>
                    <w:left w:val="nil"/>
                    <w:bottom w:val="nil"/>
                    <w:right w:val="nil"/>
                  </w:tcBorders>
                  <w:shd w:val="clear" w:color="auto" w:fill="auto"/>
                  <w:vAlign w:val="center"/>
                  <w:hideMark/>
                </w:tcPr>
                <w:p w14:paraId="02C6EE77" w14:textId="77777777" w:rsidR="001D00DA" w:rsidRPr="00E70587" w:rsidRDefault="001D00DA" w:rsidP="001D00DA">
                  <w:pPr>
                    <w:overflowPunct/>
                    <w:autoSpaceDE/>
                    <w:autoSpaceDN/>
                    <w:adjustRightInd/>
                    <w:spacing w:line="240" w:lineRule="auto"/>
                    <w:ind w:left="18" w:hangingChars="9" w:hanging="18"/>
                    <w:textAlignment w:val="auto"/>
                    <w:rPr>
                      <w:rFonts w:ascii="Arial" w:hAnsi="Arial" w:cs="Arial"/>
                      <w:color w:val="000000"/>
                      <w:sz w:val="20"/>
                      <w:lang w:eastAsia="en-IN"/>
                    </w:rPr>
                  </w:pPr>
                </w:p>
              </w:tc>
              <w:tc>
                <w:tcPr>
                  <w:tcW w:w="1540" w:type="dxa"/>
                  <w:tcBorders>
                    <w:top w:val="nil"/>
                    <w:left w:val="nil"/>
                    <w:bottom w:val="nil"/>
                    <w:right w:val="nil"/>
                  </w:tcBorders>
                  <w:shd w:val="clear" w:color="auto" w:fill="auto"/>
                  <w:vAlign w:val="center"/>
                  <w:hideMark/>
                </w:tcPr>
                <w:p w14:paraId="24B6F2DF"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p>
              </w:tc>
              <w:tc>
                <w:tcPr>
                  <w:tcW w:w="953" w:type="dxa"/>
                  <w:vMerge/>
                  <w:tcBorders>
                    <w:top w:val="nil"/>
                    <w:left w:val="nil"/>
                    <w:bottom w:val="nil"/>
                    <w:right w:val="nil"/>
                  </w:tcBorders>
                  <w:vAlign w:val="center"/>
                  <w:hideMark/>
                </w:tcPr>
                <w:p w14:paraId="19900BDD"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1117" w:type="dxa"/>
                  <w:vMerge/>
                  <w:tcBorders>
                    <w:top w:val="nil"/>
                    <w:left w:val="nil"/>
                    <w:bottom w:val="nil"/>
                    <w:right w:val="nil"/>
                  </w:tcBorders>
                  <w:vAlign w:val="center"/>
                  <w:hideMark/>
                </w:tcPr>
                <w:p w14:paraId="4623E644"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2096" w:type="dxa"/>
                  <w:vMerge/>
                  <w:tcBorders>
                    <w:top w:val="nil"/>
                    <w:left w:val="nil"/>
                    <w:bottom w:val="nil"/>
                    <w:right w:val="nil"/>
                  </w:tcBorders>
                  <w:vAlign w:val="center"/>
                  <w:hideMark/>
                </w:tcPr>
                <w:p w14:paraId="6A459565"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2096" w:type="dxa"/>
                  <w:vMerge/>
                  <w:tcBorders>
                    <w:top w:val="nil"/>
                    <w:left w:val="nil"/>
                    <w:bottom w:val="nil"/>
                    <w:right w:val="nil"/>
                  </w:tcBorders>
                  <w:vAlign w:val="center"/>
                  <w:hideMark/>
                </w:tcPr>
                <w:p w14:paraId="0A81239A"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r>
          </w:tbl>
          <w:p w14:paraId="7CC1A5CC" w14:textId="77777777" w:rsidR="001D00DA" w:rsidRPr="00E70587" w:rsidRDefault="001D00DA" w:rsidP="001D00DA">
            <w:pPr>
              <w:spacing w:line="280" w:lineRule="exact"/>
              <w:jc w:val="both"/>
              <w:rPr>
                <w:rFonts w:ascii="Arial" w:hAnsi="Arial" w:cs="Arial"/>
                <w:sz w:val="20"/>
              </w:rPr>
            </w:pPr>
          </w:p>
          <w:tbl>
            <w:tblPr>
              <w:tblW w:w="9612" w:type="dxa"/>
              <w:tblLook w:val="04A0" w:firstRow="1" w:lastRow="0" w:firstColumn="1" w:lastColumn="0" w:noHBand="0" w:noVBand="1"/>
            </w:tblPr>
            <w:tblGrid>
              <w:gridCol w:w="1487"/>
              <w:gridCol w:w="850"/>
              <w:gridCol w:w="957"/>
              <w:gridCol w:w="972"/>
              <w:gridCol w:w="957"/>
              <w:gridCol w:w="1195"/>
              <w:gridCol w:w="1407"/>
              <w:gridCol w:w="1787"/>
            </w:tblGrid>
            <w:tr w:rsidR="001D00DA" w:rsidRPr="00E70587" w14:paraId="748347B1" w14:textId="77777777" w:rsidTr="002B312A">
              <w:trPr>
                <w:trHeight w:val="255"/>
              </w:trPr>
              <w:tc>
                <w:tcPr>
                  <w:tcW w:w="9612" w:type="dxa"/>
                  <w:gridSpan w:val="8"/>
                  <w:tcBorders>
                    <w:top w:val="nil"/>
                    <w:left w:val="nil"/>
                    <w:bottom w:val="nil"/>
                    <w:right w:val="nil"/>
                  </w:tcBorders>
                  <w:shd w:val="clear" w:color="auto" w:fill="auto"/>
                  <w:noWrap/>
                  <w:vAlign w:val="center"/>
                  <w:hideMark/>
                </w:tcPr>
                <w:p w14:paraId="2C026FAF" w14:textId="707D784D" w:rsidR="001D00DA" w:rsidRPr="00E70587" w:rsidRDefault="001D00DA" w:rsidP="001D00DA">
                  <w:pPr>
                    <w:overflowPunct/>
                    <w:autoSpaceDE/>
                    <w:autoSpaceDN/>
                    <w:adjustRightInd/>
                    <w:spacing w:line="240" w:lineRule="auto"/>
                    <w:textAlignment w:val="auto"/>
                    <w:rPr>
                      <w:rFonts w:ascii="Times New Roman" w:hAnsi="Times New Roman"/>
                      <w:sz w:val="20"/>
                      <w:lang w:eastAsia="en-IN"/>
                    </w:rPr>
                  </w:pPr>
                  <w:r w:rsidRPr="00E70587">
                    <w:rPr>
                      <w:rFonts w:ascii="Arial" w:hAnsi="Arial" w:cs="Arial"/>
                      <w:color w:val="000000"/>
                      <w:sz w:val="20"/>
                      <w:lang w:eastAsia="en-IN"/>
                    </w:rPr>
                    <w:t xml:space="preserve">Details relating to hedged items for March </w:t>
                  </w:r>
                  <w:r w:rsidR="008F281E" w:rsidRPr="00E70587">
                    <w:rPr>
                      <w:rFonts w:ascii="Arial" w:hAnsi="Arial" w:cs="Arial"/>
                      <w:color w:val="000000"/>
                      <w:sz w:val="20"/>
                      <w:lang w:eastAsia="en-IN"/>
                    </w:rPr>
                    <w:t>20</w:t>
                  </w:r>
                  <w:r w:rsidR="008F281E">
                    <w:rPr>
                      <w:rFonts w:ascii="Arial" w:hAnsi="Arial" w:cs="Arial"/>
                      <w:color w:val="000000"/>
                      <w:sz w:val="20"/>
                      <w:lang w:eastAsia="en-IN"/>
                    </w:rPr>
                    <w:t>21</w:t>
                  </w:r>
                  <w:r w:rsidRPr="00E70587">
                    <w:rPr>
                      <w:rFonts w:ascii="Arial" w:hAnsi="Arial" w:cs="Arial"/>
                      <w:color w:val="000000"/>
                      <w:sz w:val="20"/>
                      <w:lang w:eastAsia="en-IN"/>
                    </w:rPr>
                    <w:t>:</w:t>
                  </w:r>
                </w:p>
              </w:tc>
            </w:tr>
            <w:tr w:rsidR="001D00DA" w:rsidRPr="00E70587" w14:paraId="73DB0EDE" w14:textId="77777777" w:rsidTr="002B312A">
              <w:trPr>
                <w:trHeight w:val="1785"/>
              </w:trPr>
              <w:tc>
                <w:tcPr>
                  <w:tcW w:w="1487" w:type="dxa"/>
                  <w:vMerge w:val="restart"/>
                  <w:tcBorders>
                    <w:top w:val="single" w:sz="4" w:space="0" w:color="auto"/>
                    <w:left w:val="nil"/>
                    <w:right w:val="nil"/>
                  </w:tcBorders>
                  <w:shd w:val="clear" w:color="auto" w:fill="auto"/>
                  <w:vAlign w:val="center"/>
                  <w:hideMark/>
                </w:tcPr>
                <w:p w14:paraId="6B623733" w14:textId="77777777" w:rsidR="001D00DA" w:rsidRPr="00E70587" w:rsidRDefault="001D00DA" w:rsidP="001D00DA">
                  <w:pPr>
                    <w:spacing w:line="240" w:lineRule="auto"/>
                    <w:rPr>
                      <w:rFonts w:ascii="Arial" w:hAnsi="Arial" w:cs="Arial"/>
                      <w:color w:val="000000"/>
                      <w:sz w:val="20"/>
                      <w:lang w:eastAsia="en-IN"/>
                    </w:rPr>
                  </w:pPr>
                  <w:r w:rsidRPr="00E70587">
                    <w:rPr>
                      <w:rFonts w:ascii="Arial" w:hAnsi="Arial" w:cs="Arial"/>
                      <w:color w:val="000000"/>
                      <w:sz w:val="20"/>
                      <w:lang w:eastAsia="en-IN"/>
                    </w:rPr>
                    <w:t> </w:t>
                  </w:r>
                </w:p>
              </w:tc>
              <w:tc>
                <w:tcPr>
                  <w:tcW w:w="1807" w:type="dxa"/>
                  <w:gridSpan w:val="2"/>
                  <w:tcBorders>
                    <w:top w:val="single" w:sz="4" w:space="0" w:color="auto"/>
                    <w:left w:val="nil"/>
                    <w:bottom w:val="nil"/>
                    <w:right w:val="nil"/>
                  </w:tcBorders>
                  <w:shd w:val="clear" w:color="auto" w:fill="auto"/>
                  <w:vAlign w:val="center"/>
                  <w:hideMark/>
                </w:tcPr>
                <w:p w14:paraId="31ECA0EE"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r w:rsidRPr="00E70587">
                    <w:rPr>
                      <w:rFonts w:ascii="Arial" w:hAnsi="Arial" w:cs="Arial"/>
                      <w:color w:val="000000"/>
                      <w:lang w:eastAsia="en-IN"/>
                    </w:rPr>
                    <w:t>Carrying amount of hedged item (INR in Lacs)</w:t>
                  </w:r>
                </w:p>
              </w:tc>
              <w:tc>
                <w:tcPr>
                  <w:tcW w:w="1929" w:type="dxa"/>
                  <w:gridSpan w:val="2"/>
                  <w:tcBorders>
                    <w:top w:val="single" w:sz="4" w:space="0" w:color="auto"/>
                    <w:left w:val="nil"/>
                    <w:bottom w:val="nil"/>
                    <w:right w:val="nil"/>
                  </w:tcBorders>
                  <w:shd w:val="clear" w:color="auto" w:fill="auto"/>
                  <w:vAlign w:val="center"/>
                  <w:hideMark/>
                </w:tcPr>
                <w:p w14:paraId="5DE6989C"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r w:rsidRPr="00E70587">
                    <w:rPr>
                      <w:rFonts w:ascii="Arial" w:hAnsi="Arial" w:cs="Arial"/>
                      <w:color w:val="000000"/>
                      <w:lang w:eastAsia="en-IN"/>
                    </w:rPr>
                    <w:t>Accumulated amount of fair value adjustments on the hedged item included in the carrying amount of hedged item (INR in Lacs)</w:t>
                  </w:r>
                </w:p>
              </w:tc>
              <w:tc>
                <w:tcPr>
                  <w:tcW w:w="1195" w:type="dxa"/>
                  <w:vMerge w:val="restart"/>
                  <w:tcBorders>
                    <w:top w:val="single" w:sz="4" w:space="0" w:color="auto"/>
                    <w:left w:val="nil"/>
                    <w:right w:val="nil"/>
                  </w:tcBorders>
                  <w:shd w:val="clear" w:color="auto" w:fill="auto"/>
                  <w:vAlign w:val="center"/>
                  <w:hideMark/>
                </w:tcPr>
                <w:p w14:paraId="727983D1"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r w:rsidRPr="00E70587">
                    <w:rPr>
                      <w:rFonts w:ascii="Arial" w:hAnsi="Arial" w:cs="Arial"/>
                      <w:color w:val="000000"/>
                      <w:lang w:eastAsia="en-IN"/>
                    </w:rPr>
                    <w:t>Line item in the balance sheet in which the hedged item is included</w:t>
                  </w:r>
                </w:p>
              </w:tc>
              <w:tc>
                <w:tcPr>
                  <w:tcW w:w="1304" w:type="dxa"/>
                  <w:vMerge w:val="restart"/>
                  <w:tcBorders>
                    <w:top w:val="single" w:sz="4" w:space="0" w:color="auto"/>
                    <w:left w:val="nil"/>
                    <w:right w:val="nil"/>
                  </w:tcBorders>
                  <w:shd w:val="clear" w:color="auto" w:fill="auto"/>
                  <w:vAlign w:val="center"/>
                  <w:hideMark/>
                </w:tcPr>
                <w:p w14:paraId="3AC2DF63" w14:textId="134D0D68"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r w:rsidRPr="00E70587">
                    <w:rPr>
                      <w:rFonts w:ascii="Arial" w:hAnsi="Arial" w:cs="Arial"/>
                      <w:color w:val="000000"/>
                      <w:lang w:eastAsia="en-IN"/>
                    </w:rPr>
                    <w:t xml:space="preserve">Change in value used for calculating hedge ineffectiveness for </w:t>
                  </w:r>
                  <w:r w:rsidR="008F281E" w:rsidRPr="00E70587">
                    <w:rPr>
                      <w:rFonts w:ascii="Arial" w:hAnsi="Arial" w:cs="Arial"/>
                      <w:color w:val="000000"/>
                      <w:lang w:eastAsia="en-IN"/>
                    </w:rPr>
                    <w:t>20</w:t>
                  </w:r>
                  <w:r w:rsidR="008F281E">
                    <w:rPr>
                      <w:rFonts w:ascii="Arial" w:hAnsi="Arial" w:cs="Arial"/>
                      <w:color w:val="000000"/>
                      <w:lang w:eastAsia="en-IN"/>
                    </w:rPr>
                    <w:t>21</w:t>
                  </w:r>
                </w:p>
              </w:tc>
              <w:tc>
                <w:tcPr>
                  <w:tcW w:w="1890" w:type="dxa"/>
                  <w:vMerge w:val="restart"/>
                  <w:tcBorders>
                    <w:top w:val="single" w:sz="4" w:space="0" w:color="auto"/>
                    <w:left w:val="nil"/>
                    <w:right w:val="nil"/>
                  </w:tcBorders>
                  <w:shd w:val="clear" w:color="auto" w:fill="auto"/>
                  <w:vAlign w:val="center"/>
                  <w:hideMark/>
                </w:tcPr>
                <w:p w14:paraId="6100B98C"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r w:rsidRPr="00E70587">
                    <w:rPr>
                      <w:rFonts w:ascii="Arial" w:hAnsi="Arial" w:cs="Arial"/>
                      <w:color w:val="000000"/>
                      <w:lang w:eastAsia="en-IN"/>
                    </w:rPr>
                    <w:t>Accumulated amount of fair value adjustments on the hedged item included in the carrying amount of hedged item that have ceased to be adjusted for hedging gains and losses</w:t>
                  </w:r>
                </w:p>
              </w:tc>
            </w:tr>
            <w:tr w:rsidR="001D00DA" w:rsidRPr="00E70587" w14:paraId="66807FFC" w14:textId="77777777" w:rsidTr="002B312A">
              <w:trPr>
                <w:trHeight w:val="78"/>
              </w:trPr>
              <w:tc>
                <w:tcPr>
                  <w:tcW w:w="1487" w:type="dxa"/>
                  <w:vMerge/>
                  <w:tcBorders>
                    <w:left w:val="nil"/>
                    <w:bottom w:val="single" w:sz="4" w:space="0" w:color="auto"/>
                    <w:right w:val="nil"/>
                  </w:tcBorders>
                  <w:shd w:val="clear" w:color="auto" w:fill="auto"/>
                  <w:vAlign w:val="center"/>
                  <w:hideMark/>
                </w:tcPr>
                <w:p w14:paraId="35D640C7"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850" w:type="dxa"/>
                  <w:tcBorders>
                    <w:top w:val="nil"/>
                    <w:left w:val="nil"/>
                    <w:bottom w:val="single" w:sz="4" w:space="0" w:color="auto"/>
                    <w:right w:val="nil"/>
                  </w:tcBorders>
                  <w:shd w:val="clear" w:color="auto" w:fill="auto"/>
                  <w:vAlign w:val="center"/>
                  <w:hideMark/>
                </w:tcPr>
                <w:p w14:paraId="777FDBF2"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r w:rsidRPr="00E70587">
                    <w:rPr>
                      <w:rFonts w:ascii="Arial" w:hAnsi="Arial" w:cs="Arial"/>
                      <w:color w:val="000000"/>
                      <w:lang w:eastAsia="en-IN"/>
                    </w:rPr>
                    <w:t>Asset</w:t>
                  </w:r>
                </w:p>
              </w:tc>
              <w:tc>
                <w:tcPr>
                  <w:tcW w:w="957" w:type="dxa"/>
                  <w:tcBorders>
                    <w:top w:val="nil"/>
                    <w:left w:val="nil"/>
                    <w:bottom w:val="single" w:sz="4" w:space="0" w:color="auto"/>
                    <w:right w:val="nil"/>
                  </w:tcBorders>
                  <w:shd w:val="clear" w:color="auto" w:fill="auto"/>
                  <w:vAlign w:val="center"/>
                  <w:hideMark/>
                </w:tcPr>
                <w:p w14:paraId="7F25C1F4"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r w:rsidRPr="00E70587">
                    <w:rPr>
                      <w:rFonts w:ascii="Arial" w:hAnsi="Arial" w:cs="Arial"/>
                      <w:color w:val="000000"/>
                      <w:lang w:eastAsia="en-IN"/>
                    </w:rPr>
                    <w:t>Liabilities</w:t>
                  </w:r>
                </w:p>
              </w:tc>
              <w:tc>
                <w:tcPr>
                  <w:tcW w:w="972" w:type="dxa"/>
                  <w:tcBorders>
                    <w:top w:val="nil"/>
                    <w:left w:val="nil"/>
                    <w:bottom w:val="single" w:sz="4" w:space="0" w:color="auto"/>
                    <w:right w:val="nil"/>
                  </w:tcBorders>
                  <w:shd w:val="clear" w:color="auto" w:fill="auto"/>
                  <w:vAlign w:val="center"/>
                  <w:hideMark/>
                </w:tcPr>
                <w:p w14:paraId="668EB555"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r w:rsidRPr="00E70587">
                    <w:rPr>
                      <w:rFonts w:ascii="Arial" w:hAnsi="Arial" w:cs="Arial"/>
                      <w:color w:val="000000"/>
                      <w:lang w:eastAsia="en-IN"/>
                    </w:rPr>
                    <w:t>Asset</w:t>
                  </w:r>
                </w:p>
              </w:tc>
              <w:tc>
                <w:tcPr>
                  <w:tcW w:w="957" w:type="dxa"/>
                  <w:tcBorders>
                    <w:top w:val="nil"/>
                    <w:left w:val="nil"/>
                    <w:bottom w:val="single" w:sz="4" w:space="0" w:color="auto"/>
                    <w:right w:val="nil"/>
                  </w:tcBorders>
                  <w:shd w:val="clear" w:color="auto" w:fill="auto"/>
                  <w:vAlign w:val="center"/>
                  <w:hideMark/>
                </w:tcPr>
                <w:p w14:paraId="0BCF7C49"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r w:rsidRPr="00E70587">
                    <w:rPr>
                      <w:rFonts w:ascii="Arial" w:hAnsi="Arial" w:cs="Arial"/>
                      <w:color w:val="000000"/>
                      <w:lang w:eastAsia="en-IN"/>
                    </w:rPr>
                    <w:t>Liabilities</w:t>
                  </w:r>
                </w:p>
              </w:tc>
              <w:tc>
                <w:tcPr>
                  <w:tcW w:w="1195" w:type="dxa"/>
                  <w:vMerge/>
                  <w:tcBorders>
                    <w:left w:val="nil"/>
                    <w:bottom w:val="single" w:sz="4" w:space="0" w:color="auto"/>
                    <w:right w:val="nil"/>
                  </w:tcBorders>
                  <w:shd w:val="clear" w:color="auto" w:fill="auto"/>
                  <w:vAlign w:val="center"/>
                  <w:hideMark/>
                </w:tcPr>
                <w:p w14:paraId="31DFC068"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p>
              </w:tc>
              <w:tc>
                <w:tcPr>
                  <w:tcW w:w="1304" w:type="dxa"/>
                  <w:vMerge/>
                  <w:tcBorders>
                    <w:left w:val="nil"/>
                    <w:bottom w:val="single" w:sz="4" w:space="0" w:color="auto"/>
                    <w:right w:val="nil"/>
                  </w:tcBorders>
                  <w:shd w:val="clear" w:color="auto" w:fill="auto"/>
                  <w:vAlign w:val="center"/>
                  <w:hideMark/>
                </w:tcPr>
                <w:p w14:paraId="6FE51EFC"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p>
              </w:tc>
              <w:tc>
                <w:tcPr>
                  <w:tcW w:w="1890" w:type="dxa"/>
                  <w:vMerge/>
                  <w:tcBorders>
                    <w:left w:val="nil"/>
                    <w:bottom w:val="single" w:sz="4" w:space="0" w:color="auto"/>
                    <w:right w:val="nil"/>
                  </w:tcBorders>
                  <w:shd w:val="clear" w:color="auto" w:fill="auto"/>
                  <w:vAlign w:val="center"/>
                  <w:hideMark/>
                </w:tcPr>
                <w:p w14:paraId="43E29525"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p>
              </w:tc>
            </w:tr>
            <w:tr w:rsidR="001D00DA" w:rsidRPr="00E70587" w14:paraId="37D9F7CA" w14:textId="77777777" w:rsidTr="002B312A">
              <w:trPr>
                <w:trHeight w:val="510"/>
              </w:trPr>
              <w:tc>
                <w:tcPr>
                  <w:tcW w:w="1487" w:type="dxa"/>
                  <w:tcBorders>
                    <w:top w:val="nil"/>
                    <w:left w:val="nil"/>
                    <w:bottom w:val="nil"/>
                    <w:right w:val="nil"/>
                  </w:tcBorders>
                  <w:shd w:val="clear" w:color="auto" w:fill="auto"/>
                  <w:vAlign w:val="center"/>
                  <w:hideMark/>
                </w:tcPr>
                <w:p w14:paraId="6ABAD4B0"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Interest rate risk</w:t>
                  </w:r>
                </w:p>
              </w:tc>
              <w:tc>
                <w:tcPr>
                  <w:tcW w:w="850" w:type="dxa"/>
                  <w:vMerge w:val="restart"/>
                  <w:tcBorders>
                    <w:top w:val="nil"/>
                    <w:left w:val="nil"/>
                    <w:bottom w:val="nil"/>
                    <w:right w:val="nil"/>
                  </w:tcBorders>
                  <w:shd w:val="clear" w:color="auto" w:fill="auto"/>
                  <w:vAlign w:val="center"/>
                  <w:hideMark/>
                </w:tcPr>
                <w:p w14:paraId="1C7E6498"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Nil</w:t>
                  </w:r>
                </w:p>
              </w:tc>
              <w:tc>
                <w:tcPr>
                  <w:tcW w:w="957" w:type="dxa"/>
                  <w:tcBorders>
                    <w:top w:val="nil"/>
                    <w:left w:val="nil"/>
                    <w:bottom w:val="nil"/>
                    <w:right w:val="nil"/>
                  </w:tcBorders>
                  <w:shd w:val="clear" w:color="auto" w:fill="auto"/>
                  <w:vAlign w:val="center"/>
                  <w:hideMark/>
                </w:tcPr>
                <w:p w14:paraId="37E5C9FA"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4,043 </w:t>
                  </w:r>
                </w:p>
              </w:tc>
              <w:tc>
                <w:tcPr>
                  <w:tcW w:w="972" w:type="dxa"/>
                  <w:vMerge w:val="restart"/>
                  <w:tcBorders>
                    <w:top w:val="nil"/>
                    <w:left w:val="nil"/>
                    <w:bottom w:val="nil"/>
                    <w:right w:val="nil"/>
                  </w:tcBorders>
                  <w:shd w:val="clear" w:color="auto" w:fill="auto"/>
                  <w:vAlign w:val="center"/>
                  <w:hideMark/>
                </w:tcPr>
                <w:p w14:paraId="05823C7D"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Nil</w:t>
                  </w:r>
                </w:p>
              </w:tc>
              <w:tc>
                <w:tcPr>
                  <w:tcW w:w="957" w:type="dxa"/>
                  <w:vMerge w:val="restart"/>
                  <w:tcBorders>
                    <w:top w:val="nil"/>
                    <w:left w:val="nil"/>
                    <w:bottom w:val="nil"/>
                    <w:right w:val="nil"/>
                  </w:tcBorders>
                  <w:shd w:val="clear" w:color="auto" w:fill="auto"/>
                  <w:vAlign w:val="center"/>
                  <w:hideMark/>
                </w:tcPr>
                <w:p w14:paraId="70573184"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63</w:t>
                  </w:r>
                </w:p>
              </w:tc>
              <w:tc>
                <w:tcPr>
                  <w:tcW w:w="1195" w:type="dxa"/>
                  <w:vMerge w:val="restart"/>
                  <w:tcBorders>
                    <w:top w:val="nil"/>
                    <w:left w:val="nil"/>
                    <w:bottom w:val="nil"/>
                    <w:right w:val="nil"/>
                  </w:tcBorders>
                  <w:shd w:val="clear" w:color="auto" w:fill="auto"/>
                  <w:vAlign w:val="center"/>
                  <w:hideMark/>
                </w:tcPr>
                <w:p w14:paraId="5C13984D"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Non-current borrowings</w:t>
                  </w:r>
                </w:p>
              </w:tc>
              <w:tc>
                <w:tcPr>
                  <w:tcW w:w="1304" w:type="dxa"/>
                  <w:vMerge w:val="restart"/>
                  <w:tcBorders>
                    <w:top w:val="nil"/>
                    <w:left w:val="nil"/>
                    <w:bottom w:val="nil"/>
                    <w:right w:val="nil"/>
                  </w:tcBorders>
                  <w:shd w:val="clear" w:color="auto" w:fill="auto"/>
                  <w:vAlign w:val="center"/>
                  <w:hideMark/>
                </w:tcPr>
                <w:p w14:paraId="76C6ABD8"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1890" w:type="dxa"/>
                  <w:vMerge w:val="restart"/>
                  <w:tcBorders>
                    <w:top w:val="nil"/>
                    <w:left w:val="nil"/>
                    <w:bottom w:val="nil"/>
                    <w:right w:val="nil"/>
                  </w:tcBorders>
                  <w:shd w:val="clear" w:color="auto" w:fill="auto"/>
                  <w:vAlign w:val="center"/>
                  <w:hideMark/>
                </w:tcPr>
                <w:p w14:paraId="3EBB708F"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Nil</w:t>
                  </w:r>
                </w:p>
              </w:tc>
            </w:tr>
            <w:tr w:rsidR="001D00DA" w:rsidRPr="00E70587" w14:paraId="55DA4262" w14:textId="77777777" w:rsidTr="002B312A">
              <w:trPr>
                <w:trHeight w:val="510"/>
              </w:trPr>
              <w:tc>
                <w:tcPr>
                  <w:tcW w:w="1487" w:type="dxa"/>
                  <w:tcBorders>
                    <w:top w:val="nil"/>
                    <w:left w:val="nil"/>
                    <w:bottom w:val="nil"/>
                    <w:right w:val="nil"/>
                  </w:tcBorders>
                  <w:shd w:val="clear" w:color="auto" w:fill="auto"/>
                  <w:vAlign w:val="center"/>
                  <w:hideMark/>
                </w:tcPr>
                <w:p w14:paraId="4003D20E" w14:textId="77777777" w:rsidR="001D00DA" w:rsidRPr="00E70587" w:rsidRDefault="001D00DA" w:rsidP="001D00DA">
                  <w:pPr>
                    <w:overflowPunct/>
                    <w:autoSpaceDE/>
                    <w:autoSpaceDN/>
                    <w:adjustRightInd/>
                    <w:spacing w:line="240" w:lineRule="auto"/>
                    <w:ind w:firstLineChars="300" w:firstLine="600"/>
                    <w:textAlignment w:val="auto"/>
                    <w:rPr>
                      <w:rFonts w:ascii="Arial" w:hAnsi="Arial" w:cs="Arial"/>
                      <w:color w:val="000000"/>
                      <w:sz w:val="20"/>
                      <w:lang w:eastAsia="en-IN"/>
                    </w:rPr>
                  </w:pPr>
                  <w:r w:rsidRPr="00E70587">
                    <w:rPr>
                      <w:rFonts w:ascii="Arial" w:hAnsi="Arial" w:cs="Arial"/>
                      <w:color w:val="000000"/>
                      <w:sz w:val="20"/>
                      <w:lang w:eastAsia="en-IN"/>
                    </w:rPr>
                    <w:t>- Borrowings</w:t>
                  </w:r>
                </w:p>
              </w:tc>
              <w:tc>
                <w:tcPr>
                  <w:tcW w:w="850" w:type="dxa"/>
                  <w:vMerge/>
                  <w:tcBorders>
                    <w:top w:val="nil"/>
                    <w:left w:val="nil"/>
                    <w:bottom w:val="nil"/>
                    <w:right w:val="nil"/>
                  </w:tcBorders>
                  <w:vAlign w:val="center"/>
                  <w:hideMark/>
                </w:tcPr>
                <w:p w14:paraId="6D9E3C79"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957" w:type="dxa"/>
                  <w:tcBorders>
                    <w:top w:val="nil"/>
                    <w:left w:val="nil"/>
                    <w:bottom w:val="nil"/>
                    <w:right w:val="nil"/>
                  </w:tcBorders>
                  <w:shd w:val="clear" w:color="auto" w:fill="auto"/>
                  <w:vAlign w:val="center"/>
                  <w:hideMark/>
                </w:tcPr>
                <w:p w14:paraId="6A82E28B"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(USD 89.85 lacs)</w:t>
                  </w:r>
                </w:p>
              </w:tc>
              <w:tc>
                <w:tcPr>
                  <w:tcW w:w="972" w:type="dxa"/>
                  <w:vMerge/>
                  <w:tcBorders>
                    <w:top w:val="nil"/>
                    <w:left w:val="nil"/>
                    <w:bottom w:val="nil"/>
                    <w:right w:val="nil"/>
                  </w:tcBorders>
                  <w:vAlign w:val="center"/>
                  <w:hideMark/>
                </w:tcPr>
                <w:p w14:paraId="3A39E09D"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957" w:type="dxa"/>
                  <w:vMerge/>
                  <w:tcBorders>
                    <w:top w:val="nil"/>
                    <w:left w:val="nil"/>
                    <w:bottom w:val="nil"/>
                    <w:right w:val="nil"/>
                  </w:tcBorders>
                  <w:vAlign w:val="center"/>
                  <w:hideMark/>
                </w:tcPr>
                <w:p w14:paraId="596AB303"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1195" w:type="dxa"/>
                  <w:vMerge/>
                  <w:tcBorders>
                    <w:top w:val="nil"/>
                    <w:left w:val="nil"/>
                    <w:bottom w:val="nil"/>
                    <w:right w:val="nil"/>
                  </w:tcBorders>
                  <w:vAlign w:val="center"/>
                  <w:hideMark/>
                </w:tcPr>
                <w:p w14:paraId="6D625AF8"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1304" w:type="dxa"/>
                  <w:vMerge/>
                  <w:tcBorders>
                    <w:top w:val="nil"/>
                    <w:left w:val="nil"/>
                    <w:bottom w:val="nil"/>
                    <w:right w:val="nil"/>
                  </w:tcBorders>
                  <w:vAlign w:val="center"/>
                  <w:hideMark/>
                </w:tcPr>
                <w:p w14:paraId="7148D6F9"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1890" w:type="dxa"/>
                  <w:vMerge/>
                  <w:tcBorders>
                    <w:top w:val="nil"/>
                    <w:left w:val="nil"/>
                    <w:bottom w:val="nil"/>
                    <w:right w:val="nil"/>
                  </w:tcBorders>
                  <w:vAlign w:val="center"/>
                  <w:hideMark/>
                </w:tcPr>
                <w:p w14:paraId="126C0A77"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r>
          </w:tbl>
          <w:p w14:paraId="31318A8F" w14:textId="77777777" w:rsidR="001D00DA" w:rsidRPr="00E70587" w:rsidRDefault="001D00DA" w:rsidP="001D00DA">
            <w:pPr>
              <w:spacing w:line="280" w:lineRule="exact"/>
              <w:jc w:val="both"/>
              <w:rPr>
                <w:rFonts w:ascii="Arial" w:hAnsi="Arial" w:cs="Arial"/>
                <w:sz w:val="20"/>
              </w:rPr>
            </w:pPr>
          </w:p>
          <w:tbl>
            <w:tblPr>
              <w:tblW w:w="9540" w:type="dxa"/>
              <w:tblLook w:val="04A0" w:firstRow="1" w:lastRow="0" w:firstColumn="1" w:lastColumn="0" w:noHBand="0" w:noVBand="1"/>
            </w:tblPr>
            <w:tblGrid>
              <w:gridCol w:w="2293"/>
              <w:gridCol w:w="4127"/>
              <w:gridCol w:w="3120"/>
            </w:tblGrid>
            <w:tr w:rsidR="001D00DA" w:rsidRPr="00E70587" w14:paraId="362F7936" w14:textId="77777777" w:rsidTr="001D00DA">
              <w:trPr>
                <w:trHeight w:val="221"/>
              </w:trPr>
              <w:tc>
                <w:tcPr>
                  <w:tcW w:w="9540" w:type="dxa"/>
                  <w:gridSpan w:val="3"/>
                  <w:tcBorders>
                    <w:top w:val="nil"/>
                    <w:left w:val="nil"/>
                    <w:bottom w:val="nil"/>
                    <w:right w:val="nil"/>
                  </w:tcBorders>
                  <w:shd w:val="clear" w:color="auto" w:fill="auto"/>
                  <w:noWrap/>
                  <w:vAlign w:val="center"/>
                  <w:hideMark/>
                </w:tcPr>
                <w:p w14:paraId="549D6B70"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Details of impact of fair value hedge on statement of profit and loss:</w:t>
                  </w:r>
                </w:p>
              </w:tc>
            </w:tr>
            <w:tr w:rsidR="001D00DA" w:rsidRPr="00E70587" w14:paraId="36DCFCF4" w14:textId="77777777" w:rsidTr="001D00DA">
              <w:trPr>
                <w:trHeight w:val="61"/>
              </w:trPr>
              <w:tc>
                <w:tcPr>
                  <w:tcW w:w="2293" w:type="dxa"/>
                  <w:tcBorders>
                    <w:top w:val="single" w:sz="4" w:space="0" w:color="auto"/>
                    <w:left w:val="nil"/>
                    <w:bottom w:val="single" w:sz="4" w:space="0" w:color="auto"/>
                    <w:right w:val="nil"/>
                  </w:tcBorders>
                  <w:shd w:val="clear" w:color="auto" w:fill="auto"/>
                  <w:vAlign w:val="center"/>
                  <w:hideMark/>
                </w:tcPr>
                <w:p w14:paraId="5649D812"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Fair value hedge</w:t>
                  </w:r>
                </w:p>
              </w:tc>
              <w:tc>
                <w:tcPr>
                  <w:tcW w:w="4127" w:type="dxa"/>
                  <w:tcBorders>
                    <w:top w:val="single" w:sz="4" w:space="0" w:color="auto"/>
                    <w:left w:val="nil"/>
                    <w:bottom w:val="single" w:sz="4" w:space="0" w:color="auto"/>
                    <w:right w:val="nil"/>
                  </w:tcBorders>
                  <w:shd w:val="clear" w:color="auto" w:fill="auto"/>
                  <w:vAlign w:val="center"/>
                  <w:hideMark/>
                </w:tcPr>
                <w:p w14:paraId="69F30101"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Ineffectiveness recognized in profit or loss</w:t>
                  </w:r>
                </w:p>
              </w:tc>
              <w:tc>
                <w:tcPr>
                  <w:tcW w:w="3118" w:type="dxa"/>
                  <w:tcBorders>
                    <w:top w:val="single" w:sz="4" w:space="0" w:color="auto"/>
                    <w:left w:val="nil"/>
                    <w:bottom w:val="single" w:sz="4" w:space="0" w:color="auto"/>
                    <w:right w:val="nil"/>
                  </w:tcBorders>
                  <w:shd w:val="clear" w:color="auto" w:fill="auto"/>
                  <w:vAlign w:val="center"/>
                  <w:hideMark/>
                </w:tcPr>
                <w:p w14:paraId="2A7A74BB" w14:textId="535108B4"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Line items in</w:t>
                  </w:r>
                  <w:r w:rsidR="002813C5">
                    <w:rPr>
                      <w:rFonts w:ascii="Arial" w:hAnsi="Arial" w:cs="Arial"/>
                      <w:color w:val="000000"/>
                      <w:sz w:val="20"/>
                      <w:lang w:eastAsia="en-IN"/>
                    </w:rPr>
                    <w:t xml:space="preserve"> statement of</w:t>
                  </w:r>
                  <w:r w:rsidRPr="00E70587">
                    <w:rPr>
                      <w:rFonts w:ascii="Arial" w:hAnsi="Arial" w:cs="Arial"/>
                      <w:color w:val="000000"/>
                      <w:sz w:val="20"/>
                      <w:lang w:eastAsia="en-IN"/>
                    </w:rPr>
                    <w:t xml:space="preserve"> profit and loss</w:t>
                  </w:r>
                </w:p>
              </w:tc>
            </w:tr>
            <w:tr w:rsidR="001D00DA" w:rsidRPr="00E70587" w14:paraId="67DC7EC4" w14:textId="77777777" w:rsidTr="001D00DA">
              <w:trPr>
                <w:trHeight w:val="443"/>
              </w:trPr>
              <w:tc>
                <w:tcPr>
                  <w:tcW w:w="2293" w:type="dxa"/>
                  <w:tcBorders>
                    <w:top w:val="nil"/>
                    <w:left w:val="nil"/>
                    <w:bottom w:val="nil"/>
                    <w:right w:val="nil"/>
                  </w:tcBorders>
                  <w:shd w:val="clear" w:color="auto" w:fill="auto"/>
                  <w:vAlign w:val="center"/>
                  <w:hideMark/>
                </w:tcPr>
                <w:p w14:paraId="56E1005E"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Interest rate risk</w:t>
                  </w:r>
                </w:p>
              </w:tc>
              <w:tc>
                <w:tcPr>
                  <w:tcW w:w="4127" w:type="dxa"/>
                  <w:vMerge w:val="restart"/>
                  <w:tcBorders>
                    <w:top w:val="nil"/>
                    <w:left w:val="nil"/>
                    <w:bottom w:val="nil"/>
                    <w:right w:val="nil"/>
                  </w:tcBorders>
                  <w:shd w:val="clear" w:color="auto" w:fill="auto"/>
                  <w:vAlign w:val="center"/>
                  <w:hideMark/>
                </w:tcPr>
                <w:p w14:paraId="10D80D4A" w14:textId="77777777" w:rsidR="001D00DA" w:rsidRPr="00E70587" w:rsidRDefault="001D00DA" w:rsidP="001D00DA">
                  <w:pPr>
                    <w:overflowPunct/>
                    <w:autoSpaceDE/>
                    <w:autoSpaceDN/>
                    <w:adjustRightInd/>
                    <w:spacing w:line="240" w:lineRule="auto"/>
                    <w:jc w:val="center"/>
                    <w:textAlignment w:val="auto"/>
                    <w:rPr>
                      <w:rFonts w:ascii="Arial" w:hAnsi="Arial" w:cs="Arial"/>
                      <w:color w:val="000000"/>
                      <w:sz w:val="20"/>
                      <w:lang w:eastAsia="en-IN"/>
                    </w:rPr>
                  </w:pPr>
                  <w:r w:rsidRPr="00E70587">
                    <w:rPr>
                      <w:rFonts w:ascii="Arial" w:hAnsi="Arial" w:cs="Arial"/>
                      <w:color w:val="000000"/>
                      <w:sz w:val="20"/>
                      <w:lang w:eastAsia="en-IN"/>
                    </w:rPr>
                    <w:t>Nil</w:t>
                  </w:r>
                </w:p>
              </w:tc>
              <w:tc>
                <w:tcPr>
                  <w:tcW w:w="3118" w:type="dxa"/>
                  <w:vMerge w:val="restart"/>
                  <w:tcBorders>
                    <w:top w:val="nil"/>
                    <w:left w:val="nil"/>
                    <w:bottom w:val="nil"/>
                    <w:right w:val="nil"/>
                  </w:tcBorders>
                  <w:shd w:val="clear" w:color="auto" w:fill="auto"/>
                  <w:vAlign w:val="center"/>
                  <w:hideMark/>
                </w:tcPr>
                <w:p w14:paraId="4B827C04" w14:textId="77777777" w:rsidR="001D00DA" w:rsidRPr="00E70587" w:rsidRDefault="001D00DA" w:rsidP="001D00DA">
                  <w:pPr>
                    <w:overflowPunct/>
                    <w:autoSpaceDE/>
                    <w:autoSpaceDN/>
                    <w:adjustRightInd/>
                    <w:spacing w:line="240" w:lineRule="auto"/>
                    <w:jc w:val="center"/>
                    <w:textAlignment w:val="auto"/>
                    <w:rPr>
                      <w:rFonts w:ascii="Arial" w:hAnsi="Arial" w:cs="Arial"/>
                      <w:color w:val="000000"/>
                      <w:sz w:val="20"/>
                      <w:lang w:eastAsia="en-IN"/>
                    </w:rPr>
                  </w:pPr>
                  <w:r w:rsidRPr="00E70587">
                    <w:rPr>
                      <w:rFonts w:ascii="Arial" w:hAnsi="Arial" w:cs="Arial"/>
                      <w:color w:val="000000"/>
                      <w:sz w:val="20"/>
                      <w:lang w:eastAsia="en-IN"/>
                    </w:rPr>
                    <w:t>NA</w:t>
                  </w:r>
                </w:p>
              </w:tc>
            </w:tr>
            <w:tr w:rsidR="001D00DA" w:rsidRPr="00E70587" w14:paraId="0B098459" w14:textId="77777777" w:rsidTr="001D00DA">
              <w:trPr>
                <w:trHeight w:val="65"/>
              </w:trPr>
              <w:tc>
                <w:tcPr>
                  <w:tcW w:w="2293" w:type="dxa"/>
                  <w:tcBorders>
                    <w:top w:val="nil"/>
                    <w:left w:val="nil"/>
                    <w:bottom w:val="nil"/>
                    <w:right w:val="nil"/>
                  </w:tcBorders>
                  <w:shd w:val="clear" w:color="auto" w:fill="auto"/>
                  <w:vAlign w:val="center"/>
                  <w:hideMark/>
                </w:tcPr>
                <w:p w14:paraId="10F812D4"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 Borrowings</w:t>
                  </w:r>
                </w:p>
              </w:tc>
              <w:tc>
                <w:tcPr>
                  <w:tcW w:w="4127" w:type="dxa"/>
                  <w:vMerge/>
                  <w:tcBorders>
                    <w:top w:val="nil"/>
                    <w:left w:val="nil"/>
                    <w:bottom w:val="nil"/>
                    <w:right w:val="nil"/>
                  </w:tcBorders>
                  <w:vAlign w:val="center"/>
                  <w:hideMark/>
                </w:tcPr>
                <w:p w14:paraId="17F6F887"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3118" w:type="dxa"/>
                  <w:vMerge/>
                  <w:tcBorders>
                    <w:top w:val="nil"/>
                    <w:left w:val="nil"/>
                    <w:bottom w:val="nil"/>
                    <w:right w:val="nil"/>
                  </w:tcBorders>
                  <w:vAlign w:val="center"/>
                  <w:hideMark/>
                </w:tcPr>
                <w:p w14:paraId="78A91EA4"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r>
          </w:tbl>
          <w:p w14:paraId="07270D19" w14:textId="77777777" w:rsidR="001D00DA" w:rsidRPr="00E70587" w:rsidRDefault="001D00DA" w:rsidP="0024137A">
            <w:pPr>
              <w:spacing w:line="280" w:lineRule="exact"/>
              <w:jc w:val="both"/>
              <w:rPr>
                <w:rFonts w:ascii="Arial" w:hAnsi="Arial" w:cs="Arial"/>
                <w:sz w:val="20"/>
              </w:rPr>
            </w:pPr>
          </w:p>
          <w:p w14:paraId="002E257E" w14:textId="77777777" w:rsidR="0086091A" w:rsidRPr="00E70587" w:rsidRDefault="0086091A" w:rsidP="0024137A">
            <w:pPr>
              <w:pStyle w:val="Heading5"/>
              <w:spacing w:before="0" w:after="0" w:line="280" w:lineRule="exact"/>
              <w:jc w:val="both"/>
              <w:rPr>
                <w:rFonts w:ascii="Arial" w:hAnsi="Arial" w:cs="Arial"/>
                <w:sz w:val="20"/>
                <w:szCs w:val="20"/>
              </w:rPr>
            </w:pPr>
            <w:r w:rsidRPr="00E70587">
              <w:rPr>
                <w:rFonts w:ascii="Arial" w:hAnsi="Arial" w:cs="Arial"/>
                <w:sz w:val="20"/>
                <w:szCs w:val="20"/>
              </w:rPr>
              <w:t>Hedge of net investments in foreign operations</w:t>
            </w:r>
          </w:p>
          <w:p w14:paraId="0561091A" w14:textId="77777777" w:rsidR="0024137A" w:rsidRPr="00E70587" w:rsidRDefault="0024137A" w:rsidP="0024137A">
            <w:pPr>
              <w:spacing w:line="280" w:lineRule="exact"/>
              <w:jc w:val="both"/>
              <w:rPr>
                <w:rFonts w:ascii="Arial" w:hAnsi="Arial" w:cs="Arial"/>
                <w:sz w:val="20"/>
              </w:rPr>
            </w:pPr>
          </w:p>
          <w:p w14:paraId="76A6D202" w14:textId="618B8D84" w:rsidR="0086091A" w:rsidRPr="00E70587" w:rsidRDefault="0086091A" w:rsidP="0024137A">
            <w:pPr>
              <w:spacing w:line="280" w:lineRule="exact"/>
              <w:jc w:val="both"/>
              <w:rPr>
                <w:rFonts w:ascii="Arial" w:hAnsi="Arial" w:cs="Arial"/>
                <w:sz w:val="20"/>
              </w:rPr>
            </w:pPr>
            <w:r w:rsidRPr="00E70587">
              <w:rPr>
                <w:rFonts w:ascii="Arial" w:hAnsi="Arial" w:cs="Arial"/>
                <w:sz w:val="20"/>
              </w:rPr>
              <w:t xml:space="preserve">Included in loans at 31 </w:t>
            </w:r>
            <w:r w:rsidR="00E1202D" w:rsidRPr="00E70587">
              <w:rPr>
                <w:rFonts w:ascii="Arial" w:hAnsi="Arial" w:cs="Arial"/>
                <w:sz w:val="20"/>
              </w:rPr>
              <w:t xml:space="preserve">March </w:t>
            </w:r>
            <w:r w:rsidR="008F281E" w:rsidRPr="00E70587">
              <w:rPr>
                <w:rFonts w:ascii="Arial" w:hAnsi="Arial" w:cs="Arial"/>
                <w:sz w:val="20"/>
              </w:rPr>
              <w:t>20</w:t>
            </w:r>
            <w:r w:rsidR="008F281E">
              <w:rPr>
                <w:rFonts w:ascii="Arial" w:hAnsi="Arial" w:cs="Arial"/>
                <w:sz w:val="20"/>
              </w:rPr>
              <w:t>21</w:t>
            </w:r>
            <w:r w:rsidR="008F281E" w:rsidRPr="00E70587">
              <w:rPr>
                <w:rFonts w:ascii="Arial" w:hAnsi="Arial" w:cs="Arial"/>
                <w:sz w:val="20"/>
              </w:rPr>
              <w:t xml:space="preserve"> </w:t>
            </w:r>
            <w:r w:rsidRPr="00E70587">
              <w:rPr>
                <w:rFonts w:ascii="Arial" w:hAnsi="Arial" w:cs="Arial"/>
                <w:sz w:val="20"/>
              </w:rPr>
              <w:t xml:space="preserve">was a borrowing of USD67,400 which has been designated as a hedge of the net investments in the two subsidiaries in the United States, Wireworks Inc. and Sprinklers Inc. This </w:t>
            </w:r>
            <w:r w:rsidRPr="00E70587">
              <w:rPr>
                <w:rFonts w:ascii="Arial" w:hAnsi="Arial" w:cs="Arial"/>
                <w:sz w:val="20"/>
              </w:rPr>
              <w:lastRenderedPageBreak/>
              <w:t xml:space="preserve">borrowing is being used to hedge the Group’s exposure to the USD foreign exchange risk on these investments. Gains or losses on the retranslation of this borrowing are transferred to OCI to offset any gains or losses on translation of the net investments in the subsidiaries. There is no ineffectiveness during the years ended 31 </w:t>
            </w:r>
            <w:r w:rsidR="00E1202D" w:rsidRPr="00E70587">
              <w:rPr>
                <w:rFonts w:ascii="Arial" w:hAnsi="Arial" w:cs="Arial"/>
                <w:sz w:val="20"/>
              </w:rPr>
              <w:t xml:space="preserve">March </w:t>
            </w:r>
            <w:r w:rsidR="008F281E" w:rsidRPr="00E70587">
              <w:rPr>
                <w:rFonts w:ascii="Arial" w:hAnsi="Arial" w:cs="Arial"/>
                <w:sz w:val="20"/>
              </w:rPr>
              <w:t>20</w:t>
            </w:r>
            <w:r w:rsidR="008F281E">
              <w:rPr>
                <w:rFonts w:ascii="Arial" w:hAnsi="Arial" w:cs="Arial"/>
                <w:sz w:val="20"/>
              </w:rPr>
              <w:t>21</w:t>
            </w:r>
            <w:r w:rsidR="008F281E" w:rsidRPr="00E70587">
              <w:rPr>
                <w:rFonts w:ascii="Arial" w:hAnsi="Arial" w:cs="Arial"/>
                <w:sz w:val="20"/>
              </w:rPr>
              <w:t xml:space="preserve"> </w:t>
            </w:r>
            <w:r w:rsidRPr="00E70587">
              <w:rPr>
                <w:rFonts w:ascii="Arial" w:hAnsi="Arial" w:cs="Arial"/>
                <w:sz w:val="20"/>
              </w:rPr>
              <w:t xml:space="preserve">and 31 </w:t>
            </w:r>
            <w:r w:rsidR="008B730E" w:rsidRPr="00E70587">
              <w:rPr>
                <w:rFonts w:ascii="Arial" w:hAnsi="Arial" w:cs="Arial"/>
                <w:sz w:val="20"/>
              </w:rPr>
              <w:t xml:space="preserve">March </w:t>
            </w:r>
            <w:r w:rsidR="008F281E" w:rsidRPr="00E70587">
              <w:rPr>
                <w:rFonts w:ascii="Arial" w:hAnsi="Arial" w:cs="Arial"/>
                <w:sz w:val="20"/>
              </w:rPr>
              <w:t>20</w:t>
            </w:r>
            <w:r w:rsidR="008F281E">
              <w:rPr>
                <w:rFonts w:ascii="Arial" w:hAnsi="Arial" w:cs="Arial"/>
                <w:sz w:val="20"/>
              </w:rPr>
              <w:t>20</w:t>
            </w:r>
            <w:r w:rsidRPr="00E70587">
              <w:rPr>
                <w:rFonts w:ascii="Arial" w:hAnsi="Arial" w:cs="Arial"/>
                <w:sz w:val="20"/>
              </w:rPr>
              <w:t>.</w:t>
            </w:r>
            <w:r w:rsidR="001D00DA" w:rsidRPr="00E70587">
              <w:rPr>
                <w:rFonts w:ascii="Arial" w:hAnsi="Arial" w:cs="Arial"/>
                <w:sz w:val="20"/>
              </w:rPr>
              <w:t xml:space="preserve"> </w:t>
            </w:r>
            <w:r w:rsidR="001D00DA" w:rsidRPr="00E70587">
              <w:rPr>
                <w:rFonts w:ascii="Arial" w:hAnsi="Arial"/>
                <w:szCs w:val="18"/>
              </w:rPr>
              <w:t xml:space="preserve">The Group has not entered into any hedge of net investments in foreign operation during 31 March </w:t>
            </w:r>
            <w:r w:rsidR="008F281E" w:rsidRPr="00E70587">
              <w:rPr>
                <w:rFonts w:ascii="Arial" w:hAnsi="Arial"/>
                <w:szCs w:val="18"/>
              </w:rPr>
              <w:t>20</w:t>
            </w:r>
            <w:r w:rsidR="008F281E">
              <w:rPr>
                <w:rFonts w:ascii="Arial" w:hAnsi="Arial"/>
                <w:szCs w:val="18"/>
              </w:rPr>
              <w:t>20</w:t>
            </w:r>
            <w:r w:rsidR="001D00DA" w:rsidRPr="00E70587">
              <w:rPr>
                <w:rFonts w:ascii="Arial" w:hAnsi="Arial"/>
                <w:szCs w:val="18"/>
              </w:rPr>
              <w:t>.</w:t>
            </w:r>
          </w:p>
          <w:p w14:paraId="78D37B57" w14:textId="77777777" w:rsidR="0086091A" w:rsidRPr="00E70587" w:rsidRDefault="0086091A" w:rsidP="0024137A">
            <w:pPr>
              <w:spacing w:line="280" w:lineRule="exact"/>
              <w:jc w:val="both"/>
              <w:rPr>
                <w:rFonts w:ascii="Arial" w:hAnsi="Arial" w:cs="Arial"/>
                <w:sz w:val="20"/>
              </w:rPr>
            </w:pPr>
          </w:p>
          <w:tbl>
            <w:tblPr>
              <w:tblW w:w="9360" w:type="dxa"/>
              <w:tblLook w:val="04A0" w:firstRow="1" w:lastRow="0" w:firstColumn="1" w:lastColumn="0" w:noHBand="0" w:noVBand="1"/>
            </w:tblPr>
            <w:tblGrid>
              <w:gridCol w:w="1845"/>
              <w:gridCol w:w="972"/>
              <w:gridCol w:w="1150"/>
              <w:gridCol w:w="1194"/>
              <w:gridCol w:w="1078"/>
              <w:gridCol w:w="1501"/>
              <w:gridCol w:w="1620"/>
            </w:tblGrid>
            <w:tr w:rsidR="001D00DA" w:rsidRPr="00E70587" w14:paraId="6578CBA6" w14:textId="77777777" w:rsidTr="001D00DA">
              <w:trPr>
                <w:trHeight w:val="255"/>
              </w:trPr>
              <w:tc>
                <w:tcPr>
                  <w:tcW w:w="5161" w:type="dxa"/>
                  <w:gridSpan w:val="4"/>
                  <w:tcBorders>
                    <w:top w:val="nil"/>
                    <w:left w:val="nil"/>
                    <w:bottom w:val="nil"/>
                    <w:right w:val="nil"/>
                  </w:tcBorders>
                  <w:shd w:val="clear" w:color="auto" w:fill="auto"/>
                  <w:noWrap/>
                  <w:vAlign w:val="center"/>
                  <w:hideMark/>
                </w:tcPr>
                <w:p w14:paraId="642F9FC8" w14:textId="1F73C576"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 xml:space="preserve">Details relating to hedging instrument for March </w:t>
                  </w:r>
                  <w:r w:rsidR="008F281E" w:rsidRPr="00E70587">
                    <w:rPr>
                      <w:rFonts w:ascii="Arial" w:hAnsi="Arial" w:cs="Arial"/>
                      <w:color w:val="000000"/>
                      <w:sz w:val="20"/>
                      <w:lang w:eastAsia="en-IN"/>
                    </w:rPr>
                    <w:t>20</w:t>
                  </w:r>
                  <w:r w:rsidR="008F281E">
                    <w:rPr>
                      <w:rFonts w:ascii="Arial" w:hAnsi="Arial" w:cs="Arial"/>
                      <w:color w:val="000000"/>
                      <w:sz w:val="20"/>
                      <w:lang w:eastAsia="en-IN"/>
                    </w:rPr>
                    <w:t>21</w:t>
                  </w:r>
                  <w:r w:rsidRPr="00E70587">
                    <w:rPr>
                      <w:rFonts w:ascii="Arial" w:hAnsi="Arial" w:cs="Arial"/>
                      <w:color w:val="000000"/>
                      <w:sz w:val="20"/>
                      <w:lang w:eastAsia="en-IN"/>
                    </w:rPr>
                    <w:t>:</w:t>
                  </w:r>
                </w:p>
              </w:tc>
              <w:tc>
                <w:tcPr>
                  <w:tcW w:w="1078" w:type="dxa"/>
                  <w:tcBorders>
                    <w:top w:val="nil"/>
                    <w:left w:val="nil"/>
                    <w:bottom w:val="nil"/>
                    <w:right w:val="nil"/>
                  </w:tcBorders>
                  <w:shd w:val="clear" w:color="auto" w:fill="auto"/>
                  <w:noWrap/>
                  <w:vAlign w:val="bottom"/>
                  <w:hideMark/>
                </w:tcPr>
                <w:p w14:paraId="12119A25"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1501" w:type="dxa"/>
                  <w:tcBorders>
                    <w:top w:val="nil"/>
                    <w:left w:val="nil"/>
                    <w:bottom w:val="nil"/>
                    <w:right w:val="nil"/>
                  </w:tcBorders>
                  <w:shd w:val="clear" w:color="auto" w:fill="auto"/>
                  <w:noWrap/>
                  <w:vAlign w:val="bottom"/>
                  <w:hideMark/>
                </w:tcPr>
                <w:p w14:paraId="485332CA" w14:textId="77777777" w:rsidR="001D00DA" w:rsidRPr="00E70587" w:rsidRDefault="001D00DA" w:rsidP="001D00DA">
                  <w:pPr>
                    <w:overflowPunct/>
                    <w:autoSpaceDE/>
                    <w:autoSpaceDN/>
                    <w:adjustRightInd/>
                    <w:spacing w:line="240" w:lineRule="auto"/>
                    <w:textAlignment w:val="auto"/>
                    <w:rPr>
                      <w:rFonts w:ascii="Times New Roman" w:hAnsi="Times New Roman"/>
                      <w:sz w:val="20"/>
                      <w:lang w:eastAsia="en-IN"/>
                    </w:rPr>
                  </w:pPr>
                </w:p>
              </w:tc>
              <w:tc>
                <w:tcPr>
                  <w:tcW w:w="1620" w:type="dxa"/>
                  <w:tcBorders>
                    <w:top w:val="nil"/>
                    <w:left w:val="nil"/>
                    <w:bottom w:val="nil"/>
                    <w:right w:val="nil"/>
                  </w:tcBorders>
                  <w:shd w:val="clear" w:color="auto" w:fill="auto"/>
                  <w:noWrap/>
                  <w:vAlign w:val="bottom"/>
                  <w:hideMark/>
                </w:tcPr>
                <w:p w14:paraId="3AD055CF" w14:textId="77777777" w:rsidR="001D00DA" w:rsidRPr="00E70587" w:rsidRDefault="001D00DA" w:rsidP="001D00DA">
                  <w:pPr>
                    <w:overflowPunct/>
                    <w:autoSpaceDE/>
                    <w:autoSpaceDN/>
                    <w:adjustRightInd/>
                    <w:spacing w:line="240" w:lineRule="auto"/>
                    <w:textAlignment w:val="auto"/>
                    <w:rPr>
                      <w:rFonts w:ascii="Times New Roman" w:hAnsi="Times New Roman"/>
                      <w:sz w:val="20"/>
                      <w:lang w:eastAsia="en-IN"/>
                    </w:rPr>
                  </w:pPr>
                </w:p>
              </w:tc>
            </w:tr>
            <w:tr w:rsidR="001D00DA" w:rsidRPr="00E70587" w14:paraId="73684129" w14:textId="77777777" w:rsidTr="001D00DA">
              <w:trPr>
                <w:trHeight w:val="300"/>
              </w:trPr>
              <w:tc>
                <w:tcPr>
                  <w:tcW w:w="1845" w:type="dxa"/>
                  <w:vMerge w:val="restart"/>
                  <w:tcBorders>
                    <w:top w:val="single" w:sz="4" w:space="0" w:color="auto"/>
                    <w:left w:val="nil"/>
                    <w:bottom w:val="single" w:sz="4" w:space="0" w:color="000000"/>
                    <w:right w:val="nil"/>
                  </w:tcBorders>
                  <w:shd w:val="clear" w:color="auto" w:fill="auto"/>
                  <w:vAlign w:val="center"/>
                  <w:hideMark/>
                </w:tcPr>
                <w:p w14:paraId="66299D42" w14:textId="77777777" w:rsidR="001D00DA" w:rsidRPr="00E70587" w:rsidRDefault="001D00DA" w:rsidP="001D00DA">
                  <w:pPr>
                    <w:overflowPunct/>
                    <w:autoSpaceDE/>
                    <w:autoSpaceDN/>
                    <w:adjustRightInd/>
                    <w:spacing w:line="240" w:lineRule="auto"/>
                    <w:jc w:val="center"/>
                    <w:textAlignment w:val="auto"/>
                    <w:rPr>
                      <w:rFonts w:ascii="Arial" w:hAnsi="Arial" w:cs="Arial"/>
                      <w:color w:val="000000"/>
                      <w:sz w:val="20"/>
                      <w:lang w:eastAsia="en-IN"/>
                    </w:rPr>
                  </w:pPr>
                  <w:r w:rsidRPr="00E70587">
                    <w:rPr>
                      <w:rFonts w:ascii="Arial" w:hAnsi="Arial" w:cs="Arial"/>
                      <w:color w:val="000000"/>
                      <w:sz w:val="20"/>
                      <w:lang w:eastAsia="en-IN"/>
                    </w:rPr>
                    <w:t> </w:t>
                  </w:r>
                </w:p>
              </w:tc>
              <w:tc>
                <w:tcPr>
                  <w:tcW w:w="2122" w:type="dxa"/>
                  <w:gridSpan w:val="2"/>
                  <w:tcBorders>
                    <w:top w:val="single" w:sz="4" w:space="0" w:color="auto"/>
                    <w:left w:val="nil"/>
                    <w:bottom w:val="nil"/>
                    <w:right w:val="nil"/>
                  </w:tcBorders>
                  <w:shd w:val="clear" w:color="auto" w:fill="auto"/>
                  <w:vAlign w:val="center"/>
                  <w:hideMark/>
                </w:tcPr>
                <w:p w14:paraId="6582D3C7" w14:textId="77777777" w:rsidR="001D00DA" w:rsidRPr="00E70587" w:rsidRDefault="001D00DA" w:rsidP="001D00DA">
                  <w:pPr>
                    <w:overflowPunct/>
                    <w:autoSpaceDE/>
                    <w:autoSpaceDN/>
                    <w:adjustRightInd/>
                    <w:spacing w:line="240" w:lineRule="auto"/>
                    <w:jc w:val="center"/>
                    <w:textAlignment w:val="auto"/>
                    <w:rPr>
                      <w:rFonts w:ascii="Arial" w:hAnsi="Arial" w:cs="Arial"/>
                      <w:color w:val="000000"/>
                      <w:sz w:val="20"/>
                      <w:lang w:eastAsia="en-IN"/>
                    </w:rPr>
                  </w:pPr>
                  <w:r w:rsidRPr="00E70587">
                    <w:rPr>
                      <w:rFonts w:ascii="Arial" w:hAnsi="Arial" w:cs="Arial"/>
                      <w:color w:val="000000"/>
                      <w:sz w:val="20"/>
                      <w:lang w:eastAsia="en-IN"/>
                    </w:rPr>
                    <w:t>Nominal amount of the hedging instrument</w:t>
                  </w:r>
                </w:p>
              </w:tc>
              <w:tc>
                <w:tcPr>
                  <w:tcW w:w="2272" w:type="dxa"/>
                  <w:gridSpan w:val="2"/>
                  <w:tcBorders>
                    <w:top w:val="single" w:sz="4" w:space="0" w:color="auto"/>
                    <w:left w:val="nil"/>
                    <w:bottom w:val="nil"/>
                    <w:right w:val="nil"/>
                  </w:tcBorders>
                  <w:shd w:val="clear" w:color="auto" w:fill="auto"/>
                  <w:vAlign w:val="center"/>
                  <w:hideMark/>
                </w:tcPr>
                <w:p w14:paraId="67035B39" w14:textId="77777777" w:rsidR="001D00DA" w:rsidRPr="00E70587" w:rsidRDefault="001D00DA" w:rsidP="001D00DA">
                  <w:pPr>
                    <w:overflowPunct/>
                    <w:autoSpaceDE/>
                    <w:autoSpaceDN/>
                    <w:adjustRightInd/>
                    <w:spacing w:line="240" w:lineRule="auto"/>
                    <w:jc w:val="center"/>
                    <w:textAlignment w:val="auto"/>
                    <w:rPr>
                      <w:rFonts w:ascii="Arial" w:hAnsi="Arial" w:cs="Arial"/>
                      <w:color w:val="000000"/>
                      <w:sz w:val="20"/>
                      <w:lang w:eastAsia="en-IN"/>
                    </w:rPr>
                  </w:pPr>
                  <w:r w:rsidRPr="00E70587">
                    <w:rPr>
                      <w:rFonts w:ascii="Arial" w:hAnsi="Arial" w:cs="Arial"/>
                      <w:color w:val="000000"/>
                      <w:sz w:val="20"/>
                      <w:lang w:eastAsia="en-IN"/>
                    </w:rPr>
                    <w:t>Carrying amount of hedging instrument</w:t>
                  </w:r>
                </w:p>
              </w:tc>
              <w:tc>
                <w:tcPr>
                  <w:tcW w:w="1501" w:type="dxa"/>
                  <w:vMerge w:val="restart"/>
                  <w:tcBorders>
                    <w:top w:val="single" w:sz="4" w:space="0" w:color="auto"/>
                    <w:left w:val="nil"/>
                    <w:bottom w:val="single" w:sz="4" w:space="0" w:color="000000"/>
                    <w:right w:val="nil"/>
                  </w:tcBorders>
                  <w:shd w:val="clear" w:color="auto" w:fill="auto"/>
                  <w:vAlign w:val="center"/>
                  <w:hideMark/>
                </w:tcPr>
                <w:p w14:paraId="06CF830F" w14:textId="77777777" w:rsidR="001D00DA" w:rsidRPr="00E70587" w:rsidRDefault="001D00DA" w:rsidP="001D00DA">
                  <w:pPr>
                    <w:overflowPunct/>
                    <w:autoSpaceDE/>
                    <w:autoSpaceDN/>
                    <w:adjustRightInd/>
                    <w:spacing w:line="240" w:lineRule="auto"/>
                    <w:jc w:val="center"/>
                    <w:textAlignment w:val="auto"/>
                    <w:rPr>
                      <w:rFonts w:ascii="Arial" w:hAnsi="Arial" w:cs="Arial"/>
                      <w:color w:val="000000"/>
                      <w:sz w:val="20"/>
                      <w:lang w:eastAsia="en-IN"/>
                    </w:rPr>
                  </w:pPr>
                  <w:r w:rsidRPr="00E70587">
                    <w:rPr>
                      <w:rFonts w:ascii="Arial" w:hAnsi="Arial" w:cs="Arial"/>
                      <w:color w:val="000000"/>
                      <w:sz w:val="20"/>
                      <w:lang w:eastAsia="en-IN"/>
                    </w:rPr>
                    <w:t>Line item in balance sheet where hedging instrument is disclosed</w:t>
                  </w:r>
                </w:p>
              </w:tc>
              <w:tc>
                <w:tcPr>
                  <w:tcW w:w="1620" w:type="dxa"/>
                  <w:vMerge w:val="restart"/>
                  <w:tcBorders>
                    <w:top w:val="single" w:sz="4" w:space="0" w:color="auto"/>
                    <w:left w:val="nil"/>
                    <w:bottom w:val="single" w:sz="4" w:space="0" w:color="000000"/>
                    <w:right w:val="nil"/>
                  </w:tcBorders>
                  <w:shd w:val="clear" w:color="auto" w:fill="auto"/>
                  <w:vAlign w:val="center"/>
                  <w:hideMark/>
                </w:tcPr>
                <w:p w14:paraId="61E398C2" w14:textId="2125392E" w:rsidR="001D00DA" w:rsidRPr="00E70587" w:rsidRDefault="001D00DA" w:rsidP="001D00DA">
                  <w:pPr>
                    <w:overflowPunct/>
                    <w:autoSpaceDE/>
                    <w:autoSpaceDN/>
                    <w:adjustRightInd/>
                    <w:spacing w:line="240" w:lineRule="auto"/>
                    <w:jc w:val="center"/>
                    <w:textAlignment w:val="auto"/>
                    <w:rPr>
                      <w:rFonts w:ascii="Arial" w:hAnsi="Arial" w:cs="Arial"/>
                      <w:color w:val="000000"/>
                      <w:sz w:val="20"/>
                      <w:lang w:eastAsia="en-IN"/>
                    </w:rPr>
                  </w:pPr>
                  <w:r w:rsidRPr="00E70587">
                    <w:rPr>
                      <w:rFonts w:ascii="Arial" w:hAnsi="Arial" w:cs="Arial"/>
                      <w:color w:val="000000"/>
                      <w:sz w:val="20"/>
                      <w:lang w:eastAsia="en-IN"/>
                    </w:rPr>
                    <w:t xml:space="preserve">Changes in fair value for calculating hedge ineffectiveness for March </w:t>
                  </w:r>
                  <w:r w:rsidR="008F281E" w:rsidRPr="00E70587">
                    <w:rPr>
                      <w:rFonts w:ascii="Arial" w:hAnsi="Arial" w:cs="Arial"/>
                      <w:color w:val="000000"/>
                      <w:sz w:val="20"/>
                      <w:lang w:eastAsia="en-IN"/>
                    </w:rPr>
                    <w:t>20</w:t>
                  </w:r>
                  <w:r w:rsidR="008F281E">
                    <w:rPr>
                      <w:rFonts w:ascii="Arial" w:hAnsi="Arial" w:cs="Arial"/>
                      <w:color w:val="000000"/>
                      <w:sz w:val="20"/>
                      <w:lang w:eastAsia="en-IN"/>
                    </w:rPr>
                    <w:t>21</w:t>
                  </w:r>
                </w:p>
              </w:tc>
            </w:tr>
            <w:tr w:rsidR="001D00DA" w:rsidRPr="00E70587" w14:paraId="53886D08" w14:textId="77777777" w:rsidTr="001D00DA">
              <w:trPr>
                <w:trHeight w:val="809"/>
              </w:trPr>
              <w:tc>
                <w:tcPr>
                  <w:tcW w:w="1845" w:type="dxa"/>
                  <w:vMerge/>
                  <w:tcBorders>
                    <w:top w:val="single" w:sz="4" w:space="0" w:color="auto"/>
                    <w:left w:val="nil"/>
                    <w:bottom w:val="single" w:sz="4" w:space="0" w:color="000000"/>
                    <w:right w:val="nil"/>
                  </w:tcBorders>
                  <w:vAlign w:val="center"/>
                  <w:hideMark/>
                </w:tcPr>
                <w:p w14:paraId="0198B750"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972" w:type="dxa"/>
                  <w:tcBorders>
                    <w:top w:val="nil"/>
                    <w:left w:val="nil"/>
                    <w:bottom w:val="single" w:sz="4" w:space="0" w:color="auto"/>
                    <w:right w:val="nil"/>
                  </w:tcBorders>
                  <w:shd w:val="clear" w:color="auto" w:fill="auto"/>
                  <w:vAlign w:val="center"/>
                  <w:hideMark/>
                </w:tcPr>
                <w:p w14:paraId="5ABD1D73"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INR in Lacs</w:t>
                  </w:r>
                </w:p>
              </w:tc>
              <w:tc>
                <w:tcPr>
                  <w:tcW w:w="1150" w:type="dxa"/>
                  <w:tcBorders>
                    <w:top w:val="nil"/>
                    <w:left w:val="nil"/>
                    <w:bottom w:val="single" w:sz="4" w:space="0" w:color="auto"/>
                    <w:right w:val="nil"/>
                  </w:tcBorders>
                  <w:shd w:val="clear" w:color="auto" w:fill="auto"/>
                  <w:vAlign w:val="center"/>
                  <w:hideMark/>
                </w:tcPr>
                <w:p w14:paraId="241FB71F"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USD in Lacs</w:t>
                  </w:r>
                </w:p>
              </w:tc>
              <w:tc>
                <w:tcPr>
                  <w:tcW w:w="1194" w:type="dxa"/>
                  <w:tcBorders>
                    <w:top w:val="nil"/>
                    <w:left w:val="nil"/>
                    <w:bottom w:val="single" w:sz="4" w:space="0" w:color="auto"/>
                    <w:right w:val="nil"/>
                  </w:tcBorders>
                  <w:shd w:val="clear" w:color="auto" w:fill="auto"/>
                  <w:vAlign w:val="center"/>
                  <w:hideMark/>
                </w:tcPr>
                <w:p w14:paraId="6FC0E63E"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Asset (INR in Lacs)</w:t>
                  </w:r>
                </w:p>
              </w:tc>
              <w:tc>
                <w:tcPr>
                  <w:tcW w:w="1078" w:type="dxa"/>
                  <w:tcBorders>
                    <w:top w:val="nil"/>
                    <w:left w:val="nil"/>
                    <w:bottom w:val="single" w:sz="4" w:space="0" w:color="auto"/>
                    <w:right w:val="nil"/>
                  </w:tcBorders>
                  <w:shd w:val="clear" w:color="auto" w:fill="auto"/>
                  <w:vAlign w:val="center"/>
                  <w:hideMark/>
                </w:tcPr>
                <w:p w14:paraId="564DCB63"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Liabilities (INR in Lacs)</w:t>
                  </w:r>
                </w:p>
              </w:tc>
              <w:tc>
                <w:tcPr>
                  <w:tcW w:w="1501" w:type="dxa"/>
                  <w:vMerge/>
                  <w:tcBorders>
                    <w:top w:val="single" w:sz="4" w:space="0" w:color="auto"/>
                    <w:left w:val="nil"/>
                    <w:bottom w:val="single" w:sz="4" w:space="0" w:color="000000"/>
                    <w:right w:val="nil"/>
                  </w:tcBorders>
                  <w:vAlign w:val="center"/>
                  <w:hideMark/>
                </w:tcPr>
                <w:p w14:paraId="01808057"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1620" w:type="dxa"/>
                  <w:vMerge/>
                  <w:tcBorders>
                    <w:top w:val="single" w:sz="4" w:space="0" w:color="auto"/>
                    <w:left w:val="nil"/>
                    <w:bottom w:val="single" w:sz="4" w:space="0" w:color="000000"/>
                    <w:right w:val="nil"/>
                  </w:tcBorders>
                  <w:vAlign w:val="center"/>
                  <w:hideMark/>
                </w:tcPr>
                <w:p w14:paraId="39C8483F"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r>
            <w:tr w:rsidR="001D00DA" w:rsidRPr="00E70587" w14:paraId="211BFC01" w14:textId="77777777" w:rsidTr="001D00DA">
              <w:trPr>
                <w:trHeight w:val="80"/>
              </w:trPr>
              <w:tc>
                <w:tcPr>
                  <w:tcW w:w="1845" w:type="dxa"/>
                  <w:tcBorders>
                    <w:top w:val="nil"/>
                    <w:left w:val="nil"/>
                    <w:bottom w:val="nil"/>
                    <w:right w:val="nil"/>
                  </w:tcBorders>
                  <w:shd w:val="clear" w:color="auto" w:fill="auto"/>
                  <w:vAlign w:val="center"/>
                  <w:hideMark/>
                </w:tcPr>
                <w:p w14:paraId="33CBB089"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Borrowing</w:t>
                  </w:r>
                  <w:r w:rsidRPr="00E70587">
                    <w:rPr>
                      <w:rFonts w:ascii="Arial" w:hAnsi="Arial" w:cs="Arial"/>
                      <w:color w:val="000000"/>
                      <w:sz w:val="20"/>
                      <w:lang w:eastAsia="en-IN"/>
                    </w:rPr>
                    <w:br/>
                    <w:t>(for next 3 to 6 months)</w:t>
                  </w:r>
                </w:p>
              </w:tc>
              <w:tc>
                <w:tcPr>
                  <w:tcW w:w="972" w:type="dxa"/>
                  <w:tcBorders>
                    <w:top w:val="nil"/>
                    <w:left w:val="nil"/>
                    <w:bottom w:val="nil"/>
                    <w:right w:val="nil"/>
                  </w:tcBorders>
                  <w:shd w:val="clear" w:color="auto" w:fill="auto"/>
                  <w:vAlign w:val="center"/>
                  <w:hideMark/>
                </w:tcPr>
                <w:p w14:paraId="28404F70" w14:textId="77777777" w:rsidR="001D00DA" w:rsidRPr="00E70587" w:rsidRDefault="001D00DA" w:rsidP="001D00DA">
                  <w:pPr>
                    <w:overflowPunct/>
                    <w:autoSpaceDE/>
                    <w:autoSpaceDN/>
                    <w:adjustRightInd/>
                    <w:spacing w:line="240" w:lineRule="auto"/>
                    <w:jc w:val="right"/>
                    <w:textAlignment w:val="auto"/>
                    <w:rPr>
                      <w:rFonts w:ascii="Arial" w:hAnsi="Arial" w:cs="Arial"/>
                      <w:b/>
                      <w:bCs/>
                      <w:color w:val="000000"/>
                      <w:sz w:val="20"/>
                      <w:lang w:eastAsia="en-IN"/>
                    </w:rPr>
                  </w:pPr>
                  <w:r w:rsidRPr="00E70587">
                    <w:rPr>
                      <w:rFonts w:ascii="Arial" w:hAnsi="Arial" w:cs="Arial"/>
                      <w:b/>
                      <w:bCs/>
                      <w:color w:val="000000"/>
                      <w:sz w:val="20"/>
                      <w:lang w:eastAsia="en-IN"/>
                    </w:rPr>
                    <w:t xml:space="preserve"> 4,043 </w:t>
                  </w:r>
                </w:p>
              </w:tc>
              <w:tc>
                <w:tcPr>
                  <w:tcW w:w="1150" w:type="dxa"/>
                  <w:tcBorders>
                    <w:top w:val="nil"/>
                    <w:left w:val="nil"/>
                    <w:bottom w:val="nil"/>
                    <w:right w:val="nil"/>
                  </w:tcBorders>
                  <w:shd w:val="clear" w:color="auto" w:fill="auto"/>
                  <w:vAlign w:val="center"/>
                  <w:hideMark/>
                </w:tcPr>
                <w:p w14:paraId="46344318" w14:textId="77777777" w:rsidR="001D00DA" w:rsidRPr="00E70587" w:rsidRDefault="001D00DA" w:rsidP="001D00DA">
                  <w:pPr>
                    <w:overflowPunct/>
                    <w:autoSpaceDE/>
                    <w:autoSpaceDN/>
                    <w:adjustRightInd/>
                    <w:spacing w:line="240" w:lineRule="auto"/>
                    <w:jc w:val="right"/>
                    <w:textAlignment w:val="auto"/>
                    <w:rPr>
                      <w:rFonts w:ascii="Arial" w:hAnsi="Arial" w:cs="Arial"/>
                      <w:b/>
                      <w:bCs/>
                      <w:color w:val="000000"/>
                      <w:sz w:val="20"/>
                      <w:lang w:eastAsia="en-IN"/>
                    </w:rPr>
                  </w:pPr>
                  <w:r w:rsidRPr="00E70587">
                    <w:rPr>
                      <w:rFonts w:ascii="Arial" w:hAnsi="Arial" w:cs="Arial"/>
                      <w:b/>
                      <w:bCs/>
                      <w:color w:val="000000"/>
                      <w:sz w:val="20"/>
                      <w:lang w:eastAsia="en-IN"/>
                    </w:rPr>
                    <w:t xml:space="preserve"> 67.40 </w:t>
                  </w:r>
                </w:p>
              </w:tc>
              <w:tc>
                <w:tcPr>
                  <w:tcW w:w="1194" w:type="dxa"/>
                  <w:tcBorders>
                    <w:top w:val="nil"/>
                    <w:left w:val="nil"/>
                    <w:bottom w:val="nil"/>
                    <w:right w:val="nil"/>
                  </w:tcBorders>
                  <w:shd w:val="clear" w:color="auto" w:fill="auto"/>
                  <w:vAlign w:val="center"/>
                  <w:hideMark/>
                </w:tcPr>
                <w:p w14:paraId="5DFECD87"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0</w:t>
                  </w:r>
                </w:p>
              </w:tc>
              <w:tc>
                <w:tcPr>
                  <w:tcW w:w="1078" w:type="dxa"/>
                  <w:tcBorders>
                    <w:top w:val="nil"/>
                    <w:left w:val="nil"/>
                    <w:bottom w:val="nil"/>
                    <w:right w:val="nil"/>
                  </w:tcBorders>
                  <w:shd w:val="clear" w:color="auto" w:fill="auto"/>
                  <w:vAlign w:val="center"/>
                  <w:hideMark/>
                </w:tcPr>
                <w:p w14:paraId="131F9DC5"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-351 Debit </w:t>
                  </w:r>
                </w:p>
              </w:tc>
              <w:tc>
                <w:tcPr>
                  <w:tcW w:w="1501" w:type="dxa"/>
                  <w:tcBorders>
                    <w:top w:val="nil"/>
                    <w:left w:val="nil"/>
                    <w:bottom w:val="nil"/>
                    <w:right w:val="nil"/>
                  </w:tcBorders>
                  <w:shd w:val="clear" w:color="auto" w:fill="auto"/>
                  <w:vAlign w:val="center"/>
                  <w:hideMark/>
                </w:tcPr>
                <w:p w14:paraId="3EF44D5B"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Non-current borrowings</w:t>
                  </w:r>
                </w:p>
              </w:tc>
              <w:tc>
                <w:tcPr>
                  <w:tcW w:w="1620" w:type="dxa"/>
                  <w:tcBorders>
                    <w:top w:val="nil"/>
                    <w:left w:val="nil"/>
                    <w:bottom w:val="nil"/>
                    <w:right w:val="nil"/>
                  </w:tcBorders>
                  <w:shd w:val="clear" w:color="auto" w:fill="auto"/>
                  <w:vAlign w:val="center"/>
                  <w:hideMark/>
                </w:tcPr>
                <w:p w14:paraId="3D487E24"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(351) </w:t>
                  </w:r>
                </w:p>
              </w:tc>
            </w:tr>
          </w:tbl>
          <w:p w14:paraId="499F6C6F" w14:textId="77777777" w:rsidR="001D00DA" w:rsidRDefault="001D00DA">
            <w:pPr>
              <w:rPr>
                <w:rFonts w:ascii="Arial" w:hAnsi="Arial"/>
              </w:rPr>
            </w:pPr>
          </w:p>
          <w:p w14:paraId="596D593E" w14:textId="77777777" w:rsidR="00657499" w:rsidRDefault="00657499">
            <w:pPr>
              <w:rPr>
                <w:rFonts w:ascii="Arial" w:hAnsi="Arial"/>
              </w:rPr>
            </w:pPr>
          </w:p>
          <w:p w14:paraId="53057697" w14:textId="77777777" w:rsidR="00657499" w:rsidRDefault="00657499">
            <w:pPr>
              <w:rPr>
                <w:rFonts w:ascii="Arial" w:hAnsi="Arial"/>
              </w:rPr>
            </w:pPr>
          </w:p>
          <w:p w14:paraId="13A35B3F" w14:textId="77777777" w:rsidR="00657499" w:rsidRDefault="00657499">
            <w:pPr>
              <w:rPr>
                <w:rFonts w:ascii="Arial" w:hAnsi="Arial"/>
              </w:rPr>
            </w:pPr>
          </w:p>
          <w:p w14:paraId="7CF031EF" w14:textId="77777777" w:rsidR="00657499" w:rsidRDefault="00657499">
            <w:pPr>
              <w:rPr>
                <w:rFonts w:ascii="Arial" w:hAnsi="Arial"/>
              </w:rPr>
            </w:pPr>
          </w:p>
          <w:p w14:paraId="25B8AAEB" w14:textId="77777777" w:rsidR="00657499" w:rsidRPr="00E70587" w:rsidRDefault="00657499">
            <w:pPr>
              <w:rPr>
                <w:rFonts w:ascii="Arial" w:hAnsi="Arial"/>
              </w:rPr>
            </w:pPr>
          </w:p>
          <w:tbl>
            <w:tblPr>
              <w:tblW w:w="9440" w:type="dxa"/>
              <w:tblLook w:val="04A0" w:firstRow="1" w:lastRow="0" w:firstColumn="1" w:lastColumn="0" w:noHBand="0" w:noVBand="1"/>
            </w:tblPr>
            <w:tblGrid>
              <w:gridCol w:w="2020"/>
              <w:gridCol w:w="2501"/>
              <w:gridCol w:w="1829"/>
              <w:gridCol w:w="1924"/>
              <w:gridCol w:w="1166"/>
            </w:tblGrid>
            <w:tr w:rsidR="001D00DA" w:rsidRPr="00E70587" w14:paraId="7319FCB2" w14:textId="77777777" w:rsidTr="00487834">
              <w:trPr>
                <w:trHeight w:val="135"/>
              </w:trPr>
              <w:tc>
                <w:tcPr>
                  <w:tcW w:w="6350" w:type="dxa"/>
                  <w:gridSpan w:val="3"/>
                  <w:tcBorders>
                    <w:top w:val="nil"/>
                    <w:left w:val="nil"/>
                    <w:bottom w:val="nil"/>
                    <w:right w:val="nil"/>
                  </w:tcBorders>
                  <w:shd w:val="clear" w:color="auto" w:fill="auto"/>
                  <w:noWrap/>
                  <w:vAlign w:val="center"/>
                  <w:hideMark/>
                </w:tcPr>
                <w:p w14:paraId="040FAF67" w14:textId="654FB6BB"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Details relating to hedged item for March 20</w:t>
                  </w:r>
                  <w:r w:rsidR="008F281E">
                    <w:rPr>
                      <w:rFonts w:ascii="Arial" w:hAnsi="Arial" w:cs="Arial"/>
                      <w:color w:val="000000"/>
                      <w:sz w:val="20"/>
                      <w:lang w:eastAsia="en-IN"/>
                    </w:rPr>
                    <w:t>21</w:t>
                  </w:r>
                  <w:r w:rsidRPr="00E70587">
                    <w:rPr>
                      <w:rFonts w:ascii="Arial" w:hAnsi="Arial" w:cs="Arial"/>
                      <w:color w:val="000000"/>
                      <w:sz w:val="20"/>
                      <w:lang w:eastAsia="en-IN"/>
                    </w:rPr>
                    <w:t>:</w:t>
                  </w:r>
                </w:p>
              </w:tc>
              <w:tc>
                <w:tcPr>
                  <w:tcW w:w="1924" w:type="dxa"/>
                  <w:tcBorders>
                    <w:top w:val="nil"/>
                    <w:left w:val="nil"/>
                    <w:bottom w:val="nil"/>
                    <w:right w:val="nil"/>
                  </w:tcBorders>
                  <w:shd w:val="clear" w:color="auto" w:fill="auto"/>
                  <w:noWrap/>
                  <w:vAlign w:val="bottom"/>
                  <w:hideMark/>
                </w:tcPr>
                <w:p w14:paraId="68C8A40F"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1166" w:type="dxa"/>
                  <w:tcBorders>
                    <w:top w:val="nil"/>
                    <w:left w:val="nil"/>
                    <w:bottom w:val="nil"/>
                    <w:right w:val="nil"/>
                  </w:tcBorders>
                  <w:shd w:val="clear" w:color="auto" w:fill="auto"/>
                  <w:noWrap/>
                  <w:vAlign w:val="bottom"/>
                  <w:hideMark/>
                </w:tcPr>
                <w:p w14:paraId="744AC2A4" w14:textId="77777777" w:rsidR="001D00DA" w:rsidRPr="00E70587" w:rsidRDefault="001D00DA" w:rsidP="001D00DA">
                  <w:pPr>
                    <w:overflowPunct/>
                    <w:autoSpaceDE/>
                    <w:autoSpaceDN/>
                    <w:adjustRightInd/>
                    <w:spacing w:line="240" w:lineRule="auto"/>
                    <w:textAlignment w:val="auto"/>
                    <w:rPr>
                      <w:rFonts w:ascii="Times New Roman" w:hAnsi="Times New Roman"/>
                      <w:sz w:val="20"/>
                      <w:lang w:eastAsia="en-IN"/>
                    </w:rPr>
                  </w:pPr>
                </w:p>
              </w:tc>
            </w:tr>
            <w:tr w:rsidR="001D00DA" w:rsidRPr="00E70587" w14:paraId="7B77F117" w14:textId="77777777" w:rsidTr="00487834">
              <w:trPr>
                <w:trHeight w:val="278"/>
              </w:trPr>
              <w:tc>
                <w:tcPr>
                  <w:tcW w:w="2020" w:type="dxa"/>
                  <w:vMerge w:val="restart"/>
                  <w:tcBorders>
                    <w:top w:val="single" w:sz="4" w:space="0" w:color="auto"/>
                    <w:left w:val="nil"/>
                    <w:bottom w:val="single" w:sz="4" w:space="0" w:color="000000"/>
                    <w:right w:val="nil"/>
                  </w:tcBorders>
                  <w:shd w:val="clear" w:color="auto" w:fill="auto"/>
                  <w:vAlign w:val="center"/>
                  <w:hideMark/>
                </w:tcPr>
                <w:p w14:paraId="470020E4"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 </w:t>
                  </w:r>
                </w:p>
              </w:tc>
              <w:tc>
                <w:tcPr>
                  <w:tcW w:w="2501" w:type="dxa"/>
                  <w:vMerge w:val="restart"/>
                  <w:tcBorders>
                    <w:top w:val="single" w:sz="4" w:space="0" w:color="auto"/>
                    <w:left w:val="nil"/>
                    <w:bottom w:val="single" w:sz="4" w:space="0" w:color="000000"/>
                    <w:right w:val="nil"/>
                  </w:tcBorders>
                  <w:shd w:val="clear" w:color="auto" w:fill="auto"/>
                  <w:vAlign w:val="center"/>
                  <w:hideMark/>
                </w:tcPr>
                <w:p w14:paraId="6AFA97C7" w14:textId="3E7DC823" w:rsidR="001D00DA" w:rsidRPr="00E70587" w:rsidRDefault="001D00DA" w:rsidP="001D00DA">
                  <w:pPr>
                    <w:overflowPunct/>
                    <w:autoSpaceDE/>
                    <w:autoSpaceDN/>
                    <w:adjustRightInd/>
                    <w:spacing w:line="240" w:lineRule="auto"/>
                    <w:jc w:val="center"/>
                    <w:textAlignment w:val="auto"/>
                    <w:rPr>
                      <w:rFonts w:ascii="Arial" w:hAnsi="Arial" w:cs="Arial"/>
                      <w:color w:val="000000"/>
                      <w:sz w:val="20"/>
                      <w:lang w:eastAsia="en-IN"/>
                    </w:rPr>
                  </w:pPr>
                  <w:r w:rsidRPr="00E70587">
                    <w:rPr>
                      <w:rFonts w:ascii="Arial" w:hAnsi="Arial" w:cs="Arial"/>
                      <w:color w:val="000000"/>
                      <w:sz w:val="20"/>
                      <w:lang w:eastAsia="en-IN"/>
                    </w:rPr>
                    <w:t xml:space="preserve">Change in value used for calculating hedge ineffectiveness for </w:t>
                  </w:r>
                  <w:r w:rsidR="008F281E" w:rsidRPr="00E70587">
                    <w:rPr>
                      <w:rFonts w:ascii="Arial" w:hAnsi="Arial" w:cs="Arial"/>
                      <w:color w:val="000000"/>
                      <w:sz w:val="20"/>
                      <w:lang w:eastAsia="en-IN"/>
                    </w:rPr>
                    <w:t>20</w:t>
                  </w:r>
                  <w:r w:rsidR="008F281E">
                    <w:rPr>
                      <w:rFonts w:ascii="Arial" w:hAnsi="Arial" w:cs="Arial"/>
                      <w:color w:val="000000"/>
                      <w:sz w:val="20"/>
                      <w:lang w:eastAsia="en-IN"/>
                    </w:rPr>
                    <w:t>21</w:t>
                  </w:r>
                </w:p>
              </w:tc>
              <w:tc>
                <w:tcPr>
                  <w:tcW w:w="4918" w:type="dxa"/>
                  <w:gridSpan w:val="3"/>
                  <w:tcBorders>
                    <w:top w:val="single" w:sz="4" w:space="0" w:color="auto"/>
                    <w:left w:val="nil"/>
                    <w:bottom w:val="nil"/>
                    <w:right w:val="nil"/>
                  </w:tcBorders>
                  <w:shd w:val="clear" w:color="auto" w:fill="auto"/>
                  <w:vAlign w:val="center"/>
                  <w:hideMark/>
                </w:tcPr>
                <w:p w14:paraId="2A9D9C0A" w14:textId="7A73C486" w:rsidR="001D00DA" w:rsidRPr="00E70587" w:rsidRDefault="001D00DA" w:rsidP="001D00DA">
                  <w:pPr>
                    <w:overflowPunct/>
                    <w:autoSpaceDE/>
                    <w:autoSpaceDN/>
                    <w:adjustRightInd/>
                    <w:spacing w:line="240" w:lineRule="auto"/>
                    <w:jc w:val="center"/>
                    <w:textAlignment w:val="auto"/>
                    <w:rPr>
                      <w:rFonts w:ascii="Arial" w:hAnsi="Arial" w:cs="Arial"/>
                      <w:color w:val="000000"/>
                      <w:sz w:val="20"/>
                      <w:lang w:eastAsia="en-IN"/>
                    </w:rPr>
                  </w:pPr>
                  <w:r w:rsidRPr="00E70587">
                    <w:rPr>
                      <w:rFonts w:ascii="Arial" w:hAnsi="Arial" w:cs="Arial"/>
                      <w:color w:val="000000"/>
                      <w:sz w:val="20"/>
                      <w:lang w:eastAsia="en-IN"/>
                    </w:rPr>
                    <w:t xml:space="preserve">Balance in </w:t>
                  </w:r>
                  <w:r w:rsidR="00581D7C" w:rsidRPr="00581D7C">
                    <w:rPr>
                      <w:rFonts w:ascii="Arial" w:hAnsi="Arial" w:cs="Arial"/>
                      <w:color w:val="000000"/>
                      <w:sz w:val="20"/>
                      <w:lang w:eastAsia="en-IN"/>
                    </w:rPr>
                    <w:t>Exchange differences on translating the financial statements of a foreign operation</w:t>
                  </w:r>
                </w:p>
              </w:tc>
            </w:tr>
            <w:tr w:rsidR="001D00DA" w:rsidRPr="00E70587" w14:paraId="4A1065CA" w14:textId="77777777" w:rsidTr="00487834">
              <w:trPr>
                <w:trHeight w:val="37"/>
              </w:trPr>
              <w:tc>
                <w:tcPr>
                  <w:tcW w:w="2020" w:type="dxa"/>
                  <w:vMerge/>
                  <w:tcBorders>
                    <w:top w:val="single" w:sz="4" w:space="0" w:color="auto"/>
                    <w:left w:val="nil"/>
                    <w:bottom w:val="single" w:sz="4" w:space="0" w:color="000000"/>
                    <w:right w:val="nil"/>
                  </w:tcBorders>
                  <w:vAlign w:val="center"/>
                  <w:hideMark/>
                </w:tcPr>
                <w:p w14:paraId="4368E7CE"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2501" w:type="dxa"/>
                  <w:vMerge/>
                  <w:tcBorders>
                    <w:top w:val="single" w:sz="4" w:space="0" w:color="auto"/>
                    <w:left w:val="nil"/>
                    <w:bottom w:val="single" w:sz="4" w:space="0" w:color="000000"/>
                    <w:right w:val="nil"/>
                  </w:tcBorders>
                  <w:vAlign w:val="center"/>
                  <w:hideMark/>
                </w:tcPr>
                <w:p w14:paraId="2A91ABC5"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p>
              </w:tc>
              <w:tc>
                <w:tcPr>
                  <w:tcW w:w="1828" w:type="dxa"/>
                  <w:tcBorders>
                    <w:top w:val="nil"/>
                    <w:left w:val="nil"/>
                    <w:bottom w:val="single" w:sz="4" w:space="0" w:color="auto"/>
                    <w:right w:val="nil"/>
                  </w:tcBorders>
                  <w:shd w:val="clear" w:color="auto" w:fill="auto"/>
                  <w:vAlign w:val="center"/>
                  <w:hideMark/>
                </w:tcPr>
                <w:p w14:paraId="3177678E" w14:textId="77777777" w:rsidR="001D00DA" w:rsidRPr="00E70587" w:rsidRDefault="001D00DA" w:rsidP="001D00DA">
                  <w:pPr>
                    <w:overflowPunct/>
                    <w:autoSpaceDE/>
                    <w:autoSpaceDN/>
                    <w:adjustRightInd/>
                    <w:spacing w:line="240" w:lineRule="auto"/>
                    <w:jc w:val="center"/>
                    <w:textAlignment w:val="auto"/>
                    <w:rPr>
                      <w:rFonts w:ascii="Arial" w:hAnsi="Arial" w:cs="Arial"/>
                      <w:color w:val="000000"/>
                      <w:sz w:val="20"/>
                      <w:lang w:eastAsia="en-IN"/>
                    </w:rPr>
                  </w:pPr>
                  <w:r w:rsidRPr="00E70587">
                    <w:rPr>
                      <w:rFonts w:ascii="Arial" w:hAnsi="Arial" w:cs="Arial"/>
                      <w:color w:val="000000"/>
                      <w:sz w:val="20"/>
                      <w:lang w:eastAsia="en-IN"/>
                    </w:rPr>
                    <w:t>For continuing hedges</w:t>
                  </w:r>
                </w:p>
              </w:tc>
              <w:tc>
                <w:tcPr>
                  <w:tcW w:w="1924" w:type="dxa"/>
                  <w:tcBorders>
                    <w:top w:val="nil"/>
                    <w:left w:val="nil"/>
                    <w:bottom w:val="single" w:sz="4" w:space="0" w:color="auto"/>
                    <w:right w:val="nil"/>
                  </w:tcBorders>
                  <w:shd w:val="clear" w:color="auto" w:fill="auto"/>
                  <w:vAlign w:val="center"/>
                  <w:hideMark/>
                </w:tcPr>
                <w:p w14:paraId="4CCC74E6" w14:textId="77777777" w:rsidR="001D00DA" w:rsidRPr="00E70587" w:rsidRDefault="001D00DA" w:rsidP="001D00DA">
                  <w:pPr>
                    <w:overflowPunct/>
                    <w:autoSpaceDE/>
                    <w:autoSpaceDN/>
                    <w:adjustRightInd/>
                    <w:spacing w:line="240" w:lineRule="auto"/>
                    <w:jc w:val="center"/>
                    <w:textAlignment w:val="auto"/>
                    <w:rPr>
                      <w:rFonts w:ascii="Arial" w:hAnsi="Arial" w:cs="Arial"/>
                      <w:color w:val="000000"/>
                      <w:sz w:val="20"/>
                      <w:lang w:eastAsia="en-IN"/>
                    </w:rPr>
                  </w:pPr>
                  <w:r w:rsidRPr="00E70587">
                    <w:rPr>
                      <w:rFonts w:ascii="Arial" w:hAnsi="Arial" w:cs="Arial"/>
                      <w:color w:val="000000"/>
                      <w:sz w:val="20"/>
                      <w:lang w:eastAsia="en-IN"/>
                    </w:rPr>
                    <w:t>For hedges no longer applied</w:t>
                  </w:r>
                </w:p>
              </w:tc>
              <w:tc>
                <w:tcPr>
                  <w:tcW w:w="1166" w:type="dxa"/>
                  <w:tcBorders>
                    <w:top w:val="nil"/>
                    <w:left w:val="nil"/>
                    <w:bottom w:val="single" w:sz="4" w:space="0" w:color="auto"/>
                    <w:right w:val="nil"/>
                  </w:tcBorders>
                  <w:shd w:val="clear" w:color="auto" w:fill="auto"/>
                  <w:vAlign w:val="center"/>
                  <w:hideMark/>
                </w:tcPr>
                <w:p w14:paraId="5AAD6BE0" w14:textId="77777777" w:rsidR="001D00DA" w:rsidRPr="00E70587" w:rsidRDefault="001D00DA" w:rsidP="001D00DA">
                  <w:pPr>
                    <w:overflowPunct/>
                    <w:autoSpaceDE/>
                    <w:autoSpaceDN/>
                    <w:adjustRightInd/>
                    <w:spacing w:line="240" w:lineRule="auto"/>
                    <w:jc w:val="center"/>
                    <w:textAlignment w:val="auto"/>
                    <w:rPr>
                      <w:rFonts w:ascii="Arial" w:hAnsi="Arial" w:cs="Arial"/>
                      <w:color w:val="000000"/>
                      <w:sz w:val="20"/>
                      <w:lang w:eastAsia="en-IN"/>
                    </w:rPr>
                  </w:pPr>
                  <w:r w:rsidRPr="00E70587">
                    <w:rPr>
                      <w:rFonts w:ascii="Arial" w:hAnsi="Arial" w:cs="Arial"/>
                      <w:color w:val="000000"/>
                      <w:sz w:val="20"/>
                      <w:lang w:eastAsia="en-IN"/>
                    </w:rPr>
                    <w:t>Total balance</w:t>
                  </w:r>
                </w:p>
              </w:tc>
            </w:tr>
            <w:tr w:rsidR="001D00DA" w:rsidRPr="00E70587" w14:paraId="65B3CA6B" w14:textId="77777777" w:rsidTr="00487834">
              <w:trPr>
                <w:trHeight w:val="405"/>
              </w:trPr>
              <w:tc>
                <w:tcPr>
                  <w:tcW w:w="2020" w:type="dxa"/>
                  <w:tcBorders>
                    <w:top w:val="nil"/>
                    <w:left w:val="nil"/>
                    <w:bottom w:val="nil"/>
                    <w:right w:val="nil"/>
                  </w:tcBorders>
                  <w:shd w:val="clear" w:color="auto" w:fill="auto"/>
                  <w:vAlign w:val="center"/>
                  <w:hideMark/>
                </w:tcPr>
                <w:p w14:paraId="721DC20F"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Investment in W Inc. and X Inc.</w:t>
                  </w:r>
                </w:p>
              </w:tc>
              <w:tc>
                <w:tcPr>
                  <w:tcW w:w="2501" w:type="dxa"/>
                  <w:tcBorders>
                    <w:top w:val="nil"/>
                    <w:left w:val="nil"/>
                    <w:bottom w:val="nil"/>
                    <w:right w:val="nil"/>
                  </w:tcBorders>
                  <w:shd w:val="clear" w:color="auto" w:fill="auto"/>
                  <w:vAlign w:val="center"/>
                  <w:hideMark/>
                </w:tcPr>
                <w:p w14:paraId="7AAAA4D1"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(351) </w:t>
                  </w:r>
                </w:p>
              </w:tc>
              <w:tc>
                <w:tcPr>
                  <w:tcW w:w="1828" w:type="dxa"/>
                  <w:tcBorders>
                    <w:top w:val="nil"/>
                    <w:left w:val="nil"/>
                    <w:bottom w:val="nil"/>
                    <w:right w:val="nil"/>
                  </w:tcBorders>
                  <w:shd w:val="clear" w:color="auto" w:fill="auto"/>
                  <w:vAlign w:val="center"/>
                  <w:hideMark/>
                </w:tcPr>
                <w:p w14:paraId="7F81F15D"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(351) </w:t>
                  </w:r>
                </w:p>
              </w:tc>
              <w:tc>
                <w:tcPr>
                  <w:tcW w:w="1924" w:type="dxa"/>
                  <w:tcBorders>
                    <w:top w:val="nil"/>
                    <w:left w:val="nil"/>
                    <w:bottom w:val="nil"/>
                    <w:right w:val="nil"/>
                  </w:tcBorders>
                  <w:shd w:val="clear" w:color="auto" w:fill="auto"/>
                  <w:vAlign w:val="center"/>
                  <w:hideMark/>
                </w:tcPr>
                <w:p w14:paraId="37157E56"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w:t>
                  </w:r>
                </w:p>
              </w:tc>
              <w:tc>
                <w:tcPr>
                  <w:tcW w:w="1166" w:type="dxa"/>
                  <w:tcBorders>
                    <w:top w:val="nil"/>
                    <w:left w:val="nil"/>
                    <w:bottom w:val="nil"/>
                    <w:right w:val="nil"/>
                  </w:tcBorders>
                  <w:shd w:val="clear" w:color="auto" w:fill="auto"/>
                  <w:vAlign w:val="center"/>
                  <w:hideMark/>
                </w:tcPr>
                <w:p w14:paraId="4E9C8554"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(351) </w:t>
                  </w:r>
                </w:p>
              </w:tc>
            </w:tr>
          </w:tbl>
          <w:p w14:paraId="3D696215" w14:textId="77777777" w:rsidR="001D00DA" w:rsidRPr="00E70587" w:rsidRDefault="001D00DA">
            <w:pPr>
              <w:rPr>
                <w:rFonts w:ascii="Arial" w:hAnsi="Arial"/>
              </w:rPr>
            </w:pPr>
          </w:p>
          <w:tbl>
            <w:tblPr>
              <w:tblW w:w="9575" w:type="dxa"/>
              <w:tblLook w:val="04A0" w:firstRow="1" w:lastRow="0" w:firstColumn="1" w:lastColumn="0" w:noHBand="0" w:noVBand="1"/>
            </w:tblPr>
            <w:tblGrid>
              <w:gridCol w:w="1195"/>
              <w:gridCol w:w="1097"/>
              <w:gridCol w:w="1407"/>
              <w:gridCol w:w="1468"/>
              <w:gridCol w:w="1659"/>
              <w:gridCol w:w="1352"/>
              <w:gridCol w:w="1397"/>
            </w:tblGrid>
            <w:tr w:rsidR="00487834" w:rsidRPr="00E70587" w14:paraId="72D202E9" w14:textId="77777777" w:rsidTr="00487834">
              <w:trPr>
                <w:trHeight w:val="255"/>
              </w:trPr>
              <w:tc>
                <w:tcPr>
                  <w:tcW w:w="9575" w:type="dxa"/>
                  <w:gridSpan w:val="7"/>
                  <w:tcBorders>
                    <w:top w:val="nil"/>
                    <w:left w:val="nil"/>
                    <w:bottom w:val="nil"/>
                    <w:right w:val="nil"/>
                  </w:tcBorders>
                  <w:shd w:val="clear" w:color="auto" w:fill="auto"/>
                  <w:noWrap/>
                  <w:vAlign w:val="center"/>
                  <w:hideMark/>
                </w:tcPr>
                <w:p w14:paraId="0EE49919" w14:textId="46473267" w:rsidR="00487834" w:rsidRPr="00E70587" w:rsidRDefault="00487834"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 xml:space="preserve">Details relating to impact of hedge of net investments in statement of profit and loss for year ended 31 March </w:t>
                  </w:r>
                  <w:r w:rsidR="008F281E" w:rsidRPr="00E70587">
                    <w:rPr>
                      <w:rFonts w:ascii="Arial" w:hAnsi="Arial" w:cs="Arial"/>
                      <w:color w:val="000000"/>
                      <w:sz w:val="20"/>
                      <w:lang w:eastAsia="en-IN"/>
                    </w:rPr>
                    <w:t>20</w:t>
                  </w:r>
                  <w:r w:rsidR="008F281E">
                    <w:rPr>
                      <w:rFonts w:ascii="Arial" w:hAnsi="Arial" w:cs="Arial"/>
                      <w:color w:val="000000"/>
                      <w:sz w:val="20"/>
                      <w:lang w:eastAsia="en-IN"/>
                    </w:rPr>
                    <w:t>21</w:t>
                  </w:r>
                  <w:r w:rsidRPr="00E70587">
                    <w:rPr>
                      <w:rFonts w:ascii="Arial" w:hAnsi="Arial" w:cs="Arial"/>
                      <w:color w:val="000000"/>
                      <w:sz w:val="20"/>
                      <w:lang w:eastAsia="en-IN"/>
                    </w:rPr>
                    <w:t>:</w:t>
                  </w:r>
                </w:p>
              </w:tc>
            </w:tr>
            <w:tr w:rsidR="00487834" w:rsidRPr="00E70587" w14:paraId="2E1FC8CD" w14:textId="77777777" w:rsidTr="00487834">
              <w:trPr>
                <w:trHeight w:val="1530"/>
              </w:trPr>
              <w:tc>
                <w:tcPr>
                  <w:tcW w:w="1183" w:type="dxa"/>
                  <w:tcBorders>
                    <w:top w:val="single" w:sz="4" w:space="0" w:color="auto"/>
                    <w:left w:val="nil"/>
                    <w:bottom w:val="single" w:sz="4" w:space="0" w:color="auto"/>
                    <w:right w:val="nil"/>
                  </w:tcBorders>
                  <w:shd w:val="clear" w:color="auto" w:fill="auto"/>
                  <w:hideMark/>
                </w:tcPr>
                <w:p w14:paraId="7DC692A3"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r w:rsidRPr="00E70587">
                    <w:rPr>
                      <w:rFonts w:ascii="Arial" w:hAnsi="Arial" w:cs="Arial"/>
                      <w:color w:val="000000"/>
                      <w:lang w:eastAsia="en-IN"/>
                    </w:rPr>
                    <w:t> </w:t>
                  </w:r>
                </w:p>
              </w:tc>
              <w:tc>
                <w:tcPr>
                  <w:tcW w:w="1086" w:type="dxa"/>
                  <w:tcBorders>
                    <w:top w:val="single" w:sz="4" w:space="0" w:color="auto"/>
                    <w:left w:val="nil"/>
                    <w:bottom w:val="single" w:sz="4" w:space="0" w:color="auto"/>
                    <w:right w:val="nil"/>
                  </w:tcBorders>
                  <w:shd w:val="clear" w:color="auto" w:fill="auto"/>
                  <w:hideMark/>
                </w:tcPr>
                <w:p w14:paraId="45F469EE"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r w:rsidRPr="00E70587">
                    <w:rPr>
                      <w:rFonts w:ascii="Arial" w:hAnsi="Arial" w:cs="Arial"/>
                      <w:color w:val="000000"/>
                      <w:lang w:eastAsia="en-IN"/>
                    </w:rPr>
                    <w:t>Hedging gains and loss recognized in OCI</w:t>
                  </w:r>
                </w:p>
              </w:tc>
              <w:tc>
                <w:tcPr>
                  <w:tcW w:w="1392" w:type="dxa"/>
                  <w:tcBorders>
                    <w:top w:val="single" w:sz="4" w:space="0" w:color="auto"/>
                    <w:left w:val="nil"/>
                    <w:bottom w:val="single" w:sz="4" w:space="0" w:color="auto"/>
                    <w:right w:val="nil"/>
                  </w:tcBorders>
                  <w:shd w:val="clear" w:color="auto" w:fill="auto"/>
                  <w:hideMark/>
                </w:tcPr>
                <w:p w14:paraId="4C90ACE5"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r w:rsidRPr="00E70587">
                    <w:rPr>
                      <w:rFonts w:ascii="Arial" w:hAnsi="Arial" w:cs="Arial"/>
                      <w:color w:val="000000"/>
                      <w:lang w:eastAsia="en-IN"/>
                    </w:rPr>
                    <w:t>Hedge ineffectiveness recognized in profit or loss</w:t>
                  </w:r>
                </w:p>
              </w:tc>
              <w:tc>
                <w:tcPr>
                  <w:tcW w:w="1468" w:type="dxa"/>
                  <w:tcBorders>
                    <w:top w:val="single" w:sz="4" w:space="0" w:color="auto"/>
                    <w:left w:val="nil"/>
                    <w:bottom w:val="single" w:sz="4" w:space="0" w:color="auto"/>
                    <w:right w:val="nil"/>
                  </w:tcBorders>
                  <w:shd w:val="clear" w:color="auto" w:fill="auto"/>
                  <w:hideMark/>
                </w:tcPr>
                <w:p w14:paraId="6545BA6F"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r w:rsidRPr="00E70587">
                    <w:rPr>
                      <w:rFonts w:ascii="Arial" w:hAnsi="Arial" w:cs="Arial"/>
                      <w:color w:val="000000"/>
                      <w:lang w:eastAsia="en-IN"/>
                    </w:rPr>
                    <w:t>Line item in statement of profit and loss in which hedge ineffectiveness is recognized</w:t>
                  </w:r>
                </w:p>
              </w:tc>
              <w:tc>
                <w:tcPr>
                  <w:tcW w:w="1711" w:type="dxa"/>
                  <w:tcBorders>
                    <w:top w:val="single" w:sz="4" w:space="0" w:color="auto"/>
                    <w:left w:val="nil"/>
                    <w:bottom w:val="single" w:sz="4" w:space="0" w:color="auto"/>
                    <w:right w:val="nil"/>
                  </w:tcBorders>
                  <w:shd w:val="clear" w:color="auto" w:fill="auto"/>
                  <w:hideMark/>
                </w:tcPr>
                <w:p w14:paraId="3F0E2E15"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r w:rsidRPr="00E70587">
                    <w:rPr>
                      <w:rFonts w:ascii="Arial" w:hAnsi="Arial" w:cs="Arial"/>
                      <w:color w:val="000000"/>
                      <w:lang w:eastAsia="en-IN"/>
                    </w:rPr>
                    <w:t>Amount reclassified to statement of profit and loss for which future cash flows are no longer expected to occur</w:t>
                  </w:r>
                </w:p>
              </w:tc>
              <w:tc>
                <w:tcPr>
                  <w:tcW w:w="1352" w:type="dxa"/>
                  <w:tcBorders>
                    <w:top w:val="single" w:sz="4" w:space="0" w:color="auto"/>
                    <w:left w:val="nil"/>
                    <w:bottom w:val="single" w:sz="4" w:space="0" w:color="auto"/>
                    <w:right w:val="nil"/>
                  </w:tcBorders>
                  <w:shd w:val="clear" w:color="auto" w:fill="auto"/>
                  <w:hideMark/>
                </w:tcPr>
                <w:p w14:paraId="1E0ABBD7"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r w:rsidRPr="00E70587">
                    <w:rPr>
                      <w:rFonts w:ascii="Arial" w:hAnsi="Arial" w:cs="Arial"/>
                      <w:color w:val="000000"/>
                      <w:lang w:eastAsia="en-IN"/>
                    </w:rPr>
                    <w:t>Amount reclassified to statement of profit and loss as hedged item has affected profit or loss</w:t>
                  </w:r>
                </w:p>
              </w:tc>
              <w:tc>
                <w:tcPr>
                  <w:tcW w:w="1383" w:type="dxa"/>
                  <w:tcBorders>
                    <w:top w:val="single" w:sz="4" w:space="0" w:color="auto"/>
                    <w:left w:val="nil"/>
                    <w:bottom w:val="single" w:sz="4" w:space="0" w:color="auto"/>
                    <w:right w:val="nil"/>
                  </w:tcBorders>
                  <w:shd w:val="clear" w:color="auto" w:fill="auto"/>
                  <w:hideMark/>
                </w:tcPr>
                <w:p w14:paraId="1CD4E346" w14:textId="77777777" w:rsidR="001D00DA" w:rsidRPr="00E70587" w:rsidRDefault="001D00DA" w:rsidP="001D00DA">
                  <w:pPr>
                    <w:overflowPunct/>
                    <w:autoSpaceDE/>
                    <w:autoSpaceDN/>
                    <w:adjustRightInd/>
                    <w:spacing w:line="240" w:lineRule="auto"/>
                    <w:textAlignment w:val="auto"/>
                    <w:rPr>
                      <w:rFonts w:ascii="Arial" w:hAnsi="Arial" w:cs="Arial"/>
                      <w:color w:val="000000"/>
                      <w:lang w:eastAsia="en-IN"/>
                    </w:rPr>
                  </w:pPr>
                  <w:r w:rsidRPr="00E70587">
                    <w:rPr>
                      <w:rFonts w:ascii="Arial" w:hAnsi="Arial" w:cs="Arial"/>
                      <w:color w:val="000000"/>
                      <w:lang w:eastAsia="en-IN"/>
                    </w:rPr>
                    <w:t>Line item in statement of profit and loss that includes reclassification adjustments</w:t>
                  </w:r>
                </w:p>
              </w:tc>
            </w:tr>
            <w:tr w:rsidR="00487834" w:rsidRPr="00E70587" w14:paraId="64952E93" w14:textId="77777777" w:rsidTr="00487834">
              <w:trPr>
                <w:trHeight w:val="765"/>
              </w:trPr>
              <w:tc>
                <w:tcPr>
                  <w:tcW w:w="1183" w:type="dxa"/>
                  <w:tcBorders>
                    <w:top w:val="nil"/>
                    <w:left w:val="nil"/>
                    <w:bottom w:val="nil"/>
                    <w:right w:val="nil"/>
                  </w:tcBorders>
                  <w:shd w:val="clear" w:color="auto" w:fill="auto"/>
                  <w:vAlign w:val="center"/>
                  <w:hideMark/>
                </w:tcPr>
                <w:p w14:paraId="1467282F"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Investment in W Inc. and X Inc.</w:t>
                  </w:r>
                </w:p>
              </w:tc>
              <w:tc>
                <w:tcPr>
                  <w:tcW w:w="1086" w:type="dxa"/>
                  <w:tcBorders>
                    <w:top w:val="nil"/>
                    <w:left w:val="nil"/>
                    <w:bottom w:val="nil"/>
                    <w:right w:val="nil"/>
                  </w:tcBorders>
                  <w:shd w:val="clear" w:color="auto" w:fill="auto"/>
                  <w:vAlign w:val="center"/>
                  <w:hideMark/>
                </w:tcPr>
                <w:p w14:paraId="547D4008"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351 </w:t>
                  </w:r>
                </w:p>
              </w:tc>
              <w:tc>
                <w:tcPr>
                  <w:tcW w:w="1392" w:type="dxa"/>
                  <w:tcBorders>
                    <w:top w:val="nil"/>
                    <w:left w:val="nil"/>
                    <w:bottom w:val="nil"/>
                    <w:right w:val="nil"/>
                  </w:tcBorders>
                  <w:shd w:val="clear" w:color="auto" w:fill="auto"/>
                  <w:vAlign w:val="center"/>
                  <w:hideMark/>
                </w:tcPr>
                <w:p w14:paraId="640E4C25" w14:textId="77777777" w:rsidR="001D00DA" w:rsidRPr="00E70587" w:rsidRDefault="001D00DA" w:rsidP="001D00DA">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w:t>
                  </w:r>
                </w:p>
              </w:tc>
              <w:tc>
                <w:tcPr>
                  <w:tcW w:w="1468" w:type="dxa"/>
                  <w:tcBorders>
                    <w:top w:val="nil"/>
                    <w:left w:val="nil"/>
                    <w:bottom w:val="nil"/>
                    <w:right w:val="nil"/>
                  </w:tcBorders>
                  <w:shd w:val="clear" w:color="auto" w:fill="auto"/>
                  <w:vAlign w:val="center"/>
                  <w:hideMark/>
                </w:tcPr>
                <w:p w14:paraId="138C0E19"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NA</w:t>
                  </w:r>
                </w:p>
              </w:tc>
              <w:tc>
                <w:tcPr>
                  <w:tcW w:w="1711" w:type="dxa"/>
                  <w:tcBorders>
                    <w:top w:val="nil"/>
                    <w:left w:val="nil"/>
                    <w:bottom w:val="nil"/>
                    <w:right w:val="nil"/>
                  </w:tcBorders>
                  <w:shd w:val="clear" w:color="auto" w:fill="auto"/>
                  <w:vAlign w:val="center"/>
                  <w:hideMark/>
                </w:tcPr>
                <w:p w14:paraId="7F0582B6"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NA</w:t>
                  </w:r>
                </w:p>
              </w:tc>
              <w:tc>
                <w:tcPr>
                  <w:tcW w:w="1352" w:type="dxa"/>
                  <w:tcBorders>
                    <w:top w:val="nil"/>
                    <w:left w:val="nil"/>
                    <w:bottom w:val="nil"/>
                    <w:right w:val="nil"/>
                  </w:tcBorders>
                  <w:shd w:val="clear" w:color="auto" w:fill="auto"/>
                  <w:vAlign w:val="center"/>
                  <w:hideMark/>
                </w:tcPr>
                <w:p w14:paraId="117471B6"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NA</w:t>
                  </w:r>
                </w:p>
              </w:tc>
              <w:tc>
                <w:tcPr>
                  <w:tcW w:w="1383" w:type="dxa"/>
                  <w:tcBorders>
                    <w:top w:val="nil"/>
                    <w:left w:val="nil"/>
                    <w:bottom w:val="nil"/>
                    <w:right w:val="nil"/>
                  </w:tcBorders>
                  <w:shd w:val="clear" w:color="auto" w:fill="auto"/>
                  <w:vAlign w:val="center"/>
                  <w:hideMark/>
                </w:tcPr>
                <w:p w14:paraId="3B3B14AE" w14:textId="77777777" w:rsidR="001D00DA" w:rsidRPr="00E70587" w:rsidRDefault="001D00DA" w:rsidP="001D00DA">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NA</w:t>
                  </w:r>
                </w:p>
              </w:tc>
            </w:tr>
          </w:tbl>
          <w:p w14:paraId="4A28B5A9" w14:textId="77777777" w:rsidR="001D00DA" w:rsidRPr="00E70587" w:rsidRDefault="001D00DA" w:rsidP="0024137A">
            <w:pPr>
              <w:spacing w:line="280" w:lineRule="exact"/>
              <w:jc w:val="both"/>
              <w:rPr>
                <w:rFonts w:ascii="Arial" w:hAnsi="Arial" w:cs="Arial"/>
                <w:sz w:val="20"/>
              </w:rPr>
            </w:pPr>
          </w:p>
          <w:p w14:paraId="16CE02B1" w14:textId="0DC66726" w:rsidR="001D00DA" w:rsidRDefault="001D00DA" w:rsidP="0024137A">
            <w:pPr>
              <w:spacing w:line="280" w:lineRule="exact"/>
              <w:jc w:val="both"/>
              <w:rPr>
                <w:rFonts w:ascii="Arial" w:hAnsi="Arial" w:cs="Arial"/>
                <w:sz w:val="20"/>
              </w:rPr>
            </w:pPr>
          </w:p>
          <w:p w14:paraId="0F6FE676" w14:textId="77777777" w:rsidR="000F23FA" w:rsidRDefault="000F23FA" w:rsidP="0024137A">
            <w:pPr>
              <w:spacing w:line="280" w:lineRule="exact"/>
              <w:jc w:val="both"/>
              <w:rPr>
                <w:rFonts w:ascii="Arial" w:hAnsi="Arial" w:cs="Arial"/>
                <w:sz w:val="20"/>
              </w:rPr>
            </w:pPr>
          </w:p>
          <w:p w14:paraId="421B81A7" w14:textId="77777777" w:rsidR="000F23FA" w:rsidRPr="000F23FA" w:rsidRDefault="000F23FA" w:rsidP="000F23FA">
            <w:pPr>
              <w:shd w:val="clear" w:color="auto" w:fill="C1C1C1" w:themeFill="background2" w:themeFillTint="66"/>
              <w:spacing w:line="280" w:lineRule="exact"/>
              <w:jc w:val="both"/>
              <w:rPr>
                <w:rFonts w:ascii="Arial" w:hAnsi="Arial" w:cs="Arial"/>
                <w:b/>
                <w:bCs/>
                <w:sz w:val="20"/>
              </w:rPr>
            </w:pPr>
            <w:r w:rsidRPr="000F23FA">
              <w:rPr>
                <w:rFonts w:ascii="Arial" w:hAnsi="Arial" w:cs="Arial"/>
                <w:b/>
                <w:bCs/>
                <w:sz w:val="20"/>
              </w:rPr>
              <w:t xml:space="preserve">Covid-19 commentary </w:t>
            </w:r>
          </w:p>
          <w:p w14:paraId="154199B5" w14:textId="77777777" w:rsidR="000F23FA" w:rsidRDefault="000F23FA" w:rsidP="000F23FA">
            <w:pPr>
              <w:shd w:val="clear" w:color="auto" w:fill="C1C1C1" w:themeFill="background2" w:themeFillTint="66"/>
              <w:spacing w:line="280" w:lineRule="exact"/>
              <w:jc w:val="both"/>
              <w:rPr>
                <w:rFonts w:ascii="Arial" w:hAnsi="Arial" w:cs="Arial"/>
                <w:sz w:val="20"/>
              </w:rPr>
            </w:pPr>
          </w:p>
          <w:p w14:paraId="3449B3C4" w14:textId="4BE3E399" w:rsidR="000F23FA" w:rsidRDefault="000F23FA" w:rsidP="000F23FA">
            <w:pPr>
              <w:shd w:val="clear" w:color="auto" w:fill="C1C1C1" w:themeFill="background2" w:themeFillTint="66"/>
              <w:spacing w:line="280" w:lineRule="exact"/>
              <w:jc w:val="both"/>
              <w:rPr>
                <w:rFonts w:ascii="Arial" w:hAnsi="Arial" w:cs="Arial"/>
                <w:sz w:val="20"/>
              </w:rPr>
            </w:pPr>
            <w:r w:rsidRPr="000F23FA">
              <w:rPr>
                <w:rFonts w:ascii="Arial" w:hAnsi="Arial" w:cs="Arial"/>
                <w:sz w:val="20"/>
              </w:rPr>
              <w:t xml:space="preserve">Hedging </w:t>
            </w:r>
          </w:p>
          <w:p w14:paraId="009F4804" w14:textId="77777777" w:rsidR="000F23FA" w:rsidRPr="000F23FA" w:rsidRDefault="000F23FA" w:rsidP="000F23FA">
            <w:pPr>
              <w:shd w:val="clear" w:color="auto" w:fill="C1C1C1" w:themeFill="background2" w:themeFillTint="66"/>
              <w:spacing w:line="280" w:lineRule="exact"/>
              <w:jc w:val="both"/>
              <w:rPr>
                <w:rFonts w:ascii="Arial" w:hAnsi="Arial" w:cs="Arial"/>
                <w:sz w:val="20"/>
              </w:rPr>
            </w:pPr>
          </w:p>
          <w:p w14:paraId="47CA5420" w14:textId="77777777" w:rsidR="000F23FA" w:rsidRDefault="000F23FA" w:rsidP="000F23FA">
            <w:pPr>
              <w:shd w:val="clear" w:color="auto" w:fill="C1C1C1" w:themeFill="background2" w:themeFillTint="66"/>
              <w:spacing w:line="280" w:lineRule="exact"/>
              <w:jc w:val="both"/>
              <w:rPr>
                <w:rFonts w:ascii="Arial" w:hAnsi="Arial" w:cs="Arial"/>
                <w:sz w:val="20"/>
              </w:rPr>
            </w:pPr>
            <w:r w:rsidRPr="000F23FA">
              <w:rPr>
                <w:rFonts w:ascii="Arial" w:hAnsi="Arial" w:cs="Arial"/>
                <w:sz w:val="20"/>
              </w:rPr>
              <w:t>Under the current circumstances, an entity’s transactions may be postponed or cancelled, or occur in significantly lower volumes than initially forecast. If the entity designated such transactions as a hedged forecast transaction in a cash flow hedge, it would need to consider whether the transaction was still a ‘highly probable forecast transaction’.</w:t>
            </w:r>
          </w:p>
          <w:p w14:paraId="1510C4C8" w14:textId="079DB235" w:rsidR="000F23FA" w:rsidRPr="000F23FA" w:rsidRDefault="000F23FA" w:rsidP="000F23FA">
            <w:pPr>
              <w:shd w:val="clear" w:color="auto" w:fill="C1C1C1" w:themeFill="background2" w:themeFillTint="66"/>
              <w:spacing w:line="280" w:lineRule="exact"/>
              <w:jc w:val="both"/>
              <w:rPr>
                <w:rFonts w:ascii="Arial" w:hAnsi="Arial" w:cs="Arial"/>
                <w:sz w:val="20"/>
              </w:rPr>
            </w:pPr>
            <w:r w:rsidRPr="000F23FA">
              <w:rPr>
                <w:rFonts w:ascii="Arial" w:hAnsi="Arial" w:cs="Arial"/>
                <w:sz w:val="20"/>
              </w:rPr>
              <w:t xml:space="preserve">  </w:t>
            </w:r>
          </w:p>
          <w:p w14:paraId="3D0095DD" w14:textId="180B5611" w:rsidR="000F23FA" w:rsidRDefault="000F23FA" w:rsidP="000F23FA">
            <w:pPr>
              <w:shd w:val="clear" w:color="auto" w:fill="C1C1C1" w:themeFill="background2" w:themeFillTint="66"/>
              <w:spacing w:line="280" w:lineRule="exact"/>
              <w:jc w:val="both"/>
              <w:rPr>
                <w:rFonts w:ascii="Arial" w:hAnsi="Arial" w:cs="Arial"/>
                <w:sz w:val="20"/>
              </w:rPr>
            </w:pPr>
            <w:r w:rsidRPr="000F23FA">
              <w:rPr>
                <w:rFonts w:ascii="Arial" w:hAnsi="Arial" w:cs="Arial"/>
                <w:sz w:val="20"/>
              </w:rPr>
              <w:t xml:space="preserve">That is, if the Covid-19 pandemic affects the probability of hedged forecast transactions occurring and/or the time period designated at the inception of a hedge, an entity would need to determine whether it can continue </w:t>
            </w:r>
            <w:r w:rsidRPr="000F23FA">
              <w:rPr>
                <w:rFonts w:ascii="Arial" w:hAnsi="Arial" w:cs="Arial"/>
                <w:sz w:val="20"/>
              </w:rPr>
              <w:lastRenderedPageBreak/>
              <w:t xml:space="preserve">to apply hedge accounting to the forecast transaction or a proportion of it, and for continuing hedges whether any additional ineffectiveness has arisen. </w:t>
            </w:r>
          </w:p>
          <w:p w14:paraId="05F18D3E" w14:textId="77777777" w:rsidR="000F23FA" w:rsidRPr="000F23FA" w:rsidRDefault="000F23FA" w:rsidP="000F23FA">
            <w:pPr>
              <w:shd w:val="clear" w:color="auto" w:fill="C1C1C1" w:themeFill="background2" w:themeFillTint="66"/>
              <w:spacing w:line="280" w:lineRule="exact"/>
              <w:jc w:val="both"/>
              <w:rPr>
                <w:rFonts w:ascii="Arial" w:hAnsi="Arial" w:cs="Arial"/>
                <w:sz w:val="20"/>
              </w:rPr>
            </w:pPr>
          </w:p>
          <w:p w14:paraId="4958D156" w14:textId="6511D8D8" w:rsidR="000F23FA" w:rsidRPr="000F23FA" w:rsidRDefault="000F23FA" w:rsidP="000F23FA">
            <w:pPr>
              <w:shd w:val="clear" w:color="auto" w:fill="C1C1C1" w:themeFill="background2" w:themeFillTint="66"/>
              <w:spacing w:line="280" w:lineRule="exact"/>
              <w:jc w:val="both"/>
              <w:rPr>
                <w:rFonts w:ascii="Arial" w:hAnsi="Arial" w:cs="Arial"/>
                <w:sz w:val="20"/>
              </w:rPr>
            </w:pPr>
            <w:r w:rsidRPr="000F23FA">
              <w:rPr>
                <w:rFonts w:ascii="Arial" w:hAnsi="Arial" w:cs="Arial"/>
                <w:sz w:val="20"/>
              </w:rPr>
              <w:t xml:space="preserve">• If an entity determines that a forecast transaction is no longer highly probable, but still expected to occur, the entity must discontinue hedge accounting prospectively </w:t>
            </w:r>
          </w:p>
          <w:p w14:paraId="59DCC943" w14:textId="23895EAD" w:rsidR="000F23FA" w:rsidRPr="000F23FA" w:rsidRDefault="000F23FA" w:rsidP="000F23FA">
            <w:pPr>
              <w:shd w:val="clear" w:color="auto" w:fill="C1C1C1" w:themeFill="background2" w:themeFillTint="66"/>
              <w:spacing w:line="280" w:lineRule="exact"/>
              <w:jc w:val="both"/>
              <w:rPr>
                <w:rFonts w:ascii="Arial" w:hAnsi="Arial" w:cs="Arial"/>
                <w:sz w:val="20"/>
              </w:rPr>
            </w:pPr>
            <w:r w:rsidRPr="000F23FA">
              <w:rPr>
                <w:rFonts w:ascii="Arial" w:hAnsi="Arial" w:cs="Arial"/>
                <w:sz w:val="20"/>
              </w:rPr>
              <w:t xml:space="preserve">• If an entity determines that the timing of a forecast transaction has changed, and the cash flows are now expected to occur at a different time than initially forecast, the outcome would depend on the nature of the hedged item and how the hedge relationship was documented and judgement will be needed in considering the appropriate accounting treatment </w:t>
            </w:r>
          </w:p>
          <w:p w14:paraId="75B292B8" w14:textId="45BCF819" w:rsidR="000F23FA" w:rsidRDefault="000F23FA" w:rsidP="000F23FA">
            <w:pPr>
              <w:shd w:val="clear" w:color="auto" w:fill="C1C1C1" w:themeFill="background2" w:themeFillTint="66"/>
              <w:spacing w:line="280" w:lineRule="exact"/>
              <w:jc w:val="both"/>
              <w:rPr>
                <w:rFonts w:ascii="Arial" w:hAnsi="Arial" w:cs="Arial"/>
                <w:sz w:val="20"/>
              </w:rPr>
            </w:pPr>
            <w:r w:rsidRPr="000F23FA">
              <w:rPr>
                <w:rFonts w:ascii="Arial" w:hAnsi="Arial" w:cs="Arial"/>
                <w:sz w:val="20"/>
              </w:rPr>
              <w:t>• If an entity determines that a forecast transaction is no longer expected to occur, in addition to discontinuing hedge accounting prospectively, it must immediately reclassify to profit or loss any accumulated gain or loss on the hedging instrument that has been recognised in other comprehensive income</w:t>
            </w:r>
          </w:p>
          <w:p w14:paraId="73951B4D" w14:textId="77777777" w:rsidR="000F23FA" w:rsidRPr="00E70587" w:rsidRDefault="000F23FA" w:rsidP="000F23FA">
            <w:pPr>
              <w:spacing w:line="280" w:lineRule="exact"/>
              <w:jc w:val="both"/>
              <w:rPr>
                <w:rFonts w:ascii="Arial" w:hAnsi="Arial" w:cs="Arial"/>
                <w:sz w:val="20"/>
              </w:rPr>
            </w:pPr>
          </w:p>
          <w:p w14:paraId="784A0229" w14:textId="77777777" w:rsidR="0086091A" w:rsidRPr="00E70587" w:rsidRDefault="0086091A" w:rsidP="0024137A">
            <w:pPr>
              <w:pStyle w:val="Heading5"/>
              <w:spacing w:before="0" w:after="0" w:line="280" w:lineRule="exact"/>
              <w:jc w:val="both"/>
              <w:rPr>
                <w:rFonts w:ascii="Arial" w:hAnsi="Arial" w:cs="Arial"/>
                <w:sz w:val="20"/>
                <w:szCs w:val="20"/>
              </w:rPr>
            </w:pPr>
            <w:r w:rsidRPr="00E70587">
              <w:rPr>
                <w:rFonts w:ascii="Arial" w:hAnsi="Arial" w:cs="Arial"/>
                <w:sz w:val="20"/>
                <w:szCs w:val="20"/>
              </w:rPr>
              <w:t>Embedded derivatives</w:t>
            </w:r>
          </w:p>
          <w:p w14:paraId="4A41D222" w14:textId="77777777" w:rsidR="0024137A" w:rsidRPr="00E70587" w:rsidRDefault="0024137A" w:rsidP="0024137A">
            <w:pPr>
              <w:pStyle w:val="Notesbodytext"/>
              <w:spacing w:after="0" w:line="280" w:lineRule="exact"/>
              <w:jc w:val="both"/>
              <w:rPr>
                <w:rFonts w:ascii="Arial" w:hAnsi="Arial"/>
                <w:color w:val="auto"/>
                <w:sz w:val="20"/>
              </w:rPr>
            </w:pPr>
          </w:p>
          <w:p w14:paraId="5A274A47" w14:textId="34657EA6" w:rsidR="0086091A" w:rsidRPr="00E70587" w:rsidRDefault="0086091A" w:rsidP="0024137A">
            <w:pPr>
              <w:pStyle w:val="Notesbodytext"/>
              <w:spacing w:after="0" w:line="280" w:lineRule="exact"/>
              <w:jc w:val="both"/>
              <w:rPr>
                <w:rFonts w:ascii="Arial" w:hAnsi="Arial"/>
                <w:color w:val="auto"/>
                <w:sz w:val="20"/>
              </w:rPr>
            </w:pPr>
            <w:r w:rsidRPr="00E70587">
              <w:rPr>
                <w:rFonts w:ascii="Arial" w:hAnsi="Arial"/>
                <w:color w:val="auto"/>
                <w:sz w:val="20"/>
              </w:rPr>
              <w:t xml:space="preserve">In the year ended </w:t>
            </w:r>
            <w:r w:rsidR="00E1202D" w:rsidRPr="00E70587">
              <w:rPr>
                <w:rFonts w:ascii="Arial" w:hAnsi="Arial"/>
                <w:color w:val="auto"/>
                <w:sz w:val="20"/>
              </w:rPr>
              <w:t xml:space="preserve">March </w:t>
            </w:r>
            <w:r w:rsidR="008F281E" w:rsidRPr="00E70587">
              <w:rPr>
                <w:rFonts w:ascii="Arial" w:hAnsi="Arial"/>
                <w:color w:val="auto"/>
                <w:sz w:val="20"/>
              </w:rPr>
              <w:t>20</w:t>
            </w:r>
            <w:r w:rsidR="008F281E">
              <w:rPr>
                <w:rFonts w:ascii="Arial" w:hAnsi="Arial"/>
                <w:color w:val="auto"/>
                <w:sz w:val="20"/>
              </w:rPr>
              <w:t>21</w:t>
            </w:r>
            <w:r w:rsidRPr="00E70587">
              <w:rPr>
                <w:rFonts w:ascii="Arial" w:hAnsi="Arial"/>
                <w:color w:val="auto"/>
                <w:sz w:val="20"/>
              </w:rPr>
              <w:t>, the Group entered into long-term sale contracts with customers in India. The selling prices in these contracts are fixed and set in USD. These contracts require physical delivery and will be held for the purpose of the delivery of the commodity in accordance with the buyers’ expected sale requirements. These contracts have embedded foreign exchange derivatives that are required to be separated.</w:t>
            </w:r>
          </w:p>
          <w:p w14:paraId="30595D29" w14:textId="77777777" w:rsidR="0086091A" w:rsidRPr="00E70587" w:rsidRDefault="0086091A" w:rsidP="0024137A">
            <w:pPr>
              <w:pStyle w:val="Notesbodytext"/>
              <w:spacing w:after="0" w:line="280" w:lineRule="exact"/>
              <w:jc w:val="both"/>
              <w:rPr>
                <w:rFonts w:ascii="Arial" w:hAnsi="Arial"/>
                <w:color w:val="auto"/>
                <w:sz w:val="20"/>
              </w:rPr>
            </w:pPr>
          </w:p>
          <w:p w14:paraId="6F57BFCA" w14:textId="77777777" w:rsidR="0086091A" w:rsidRPr="00E70587" w:rsidRDefault="0086091A" w:rsidP="0024137A">
            <w:pPr>
              <w:pStyle w:val="Notesbodytext"/>
              <w:spacing w:after="0" w:line="280" w:lineRule="exact"/>
              <w:jc w:val="both"/>
              <w:rPr>
                <w:rFonts w:ascii="Arial" w:hAnsi="Arial"/>
                <w:color w:val="auto"/>
                <w:sz w:val="20"/>
              </w:rPr>
            </w:pPr>
            <w:r w:rsidRPr="00E70587">
              <w:rPr>
                <w:rFonts w:ascii="Arial" w:hAnsi="Arial"/>
                <w:color w:val="auto"/>
                <w:sz w:val="20"/>
              </w:rPr>
              <w:t>The Group also entered into various purchase contracts for brass and chrome (for which there is an active market) with a number of suppliers in South Africa and Russia. The prices in these purchase contracts are linked to the price of electricity. These contracts have embedded commodity swaps that are required to be separated.</w:t>
            </w:r>
          </w:p>
          <w:p w14:paraId="146596AE" w14:textId="77777777" w:rsidR="0086091A" w:rsidRPr="00E70587" w:rsidRDefault="0086091A" w:rsidP="0024137A">
            <w:pPr>
              <w:spacing w:line="280" w:lineRule="exact"/>
              <w:jc w:val="both"/>
              <w:rPr>
                <w:rFonts w:ascii="Arial" w:hAnsi="Arial" w:cs="Arial"/>
                <w:sz w:val="20"/>
              </w:rPr>
            </w:pPr>
          </w:p>
          <w:p w14:paraId="18525313" w14:textId="2AE9AAB6" w:rsidR="0086091A" w:rsidRPr="00E70587" w:rsidRDefault="0086091A" w:rsidP="0024137A">
            <w:pPr>
              <w:spacing w:line="280" w:lineRule="exact"/>
              <w:jc w:val="both"/>
              <w:rPr>
                <w:rFonts w:ascii="Arial" w:hAnsi="Arial" w:cs="Arial"/>
                <w:sz w:val="20"/>
              </w:rPr>
            </w:pPr>
            <w:r w:rsidRPr="00E70587">
              <w:rPr>
                <w:rFonts w:ascii="Arial" w:hAnsi="Arial" w:cs="Arial"/>
                <w:sz w:val="20"/>
              </w:rPr>
              <w:t xml:space="preserve">These embedded foreign currency and commodity derivatives have been separated and are carried at fair value through profit or loss. The carrying values of the embedded derivatives at 31 </w:t>
            </w:r>
            <w:r w:rsidR="00E1202D" w:rsidRPr="00E70587">
              <w:rPr>
                <w:rFonts w:ascii="Arial" w:hAnsi="Arial" w:cs="Arial"/>
                <w:sz w:val="20"/>
              </w:rPr>
              <w:t xml:space="preserve">March </w:t>
            </w:r>
            <w:r w:rsidR="008F281E" w:rsidRPr="00E70587">
              <w:rPr>
                <w:rFonts w:ascii="Arial" w:hAnsi="Arial" w:cs="Arial"/>
                <w:sz w:val="20"/>
              </w:rPr>
              <w:t>20</w:t>
            </w:r>
            <w:r w:rsidR="008F281E">
              <w:rPr>
                <w:rFonts w:ascii="Arial" w:hAnsi="Arial" w:cs="Arial"/>
                <w:sz w:val="20"/>
              </w:rPr>
              <w:t>21</w:t>
            </w:r>
            <w:r w:rsidR="008F281E" w:rsidRPr="00E70587">
              <w:rPr>
                <w:rFonts w:ascii="Arial" w:hAnsi="Arial" w:cs="Arial"/>
                <w:sz w:val="20"/>
              </w:rPr>
              <w:t xml:space="preserve"> </w:t>
            </w:r>
            <w:r w:rsidRPr="00E70587">
              <w:rPr>
                <w:rFonts w:ascii="Arial" w:hAnsi="Arial" w:cs="Arial"/>
                <w:sz w:val="20"/>
              </w:rPr>
              <w:t>amounted to INR 378 (other financial assets</w:t>
            </w:r>
            <w:r w:rsidR="000D1D6E" w:rsidRPr="00E70587">
              <w:rPr>
                <w:rFonts w:ascii="Arial" w:hAnsi="Arial" w:cs="Arial"/>
                <w:sz w:val="20"/>
              </w:rPr>
              <w:t>- note 7</w:t>
            </w:r>
            <w:r w:rsidRPr="00E70587">
              <w:rPr>
                <w:rFonts w:ascii="Arial" w:hAnsi="Arial" w:cs="Arial"/>
                <w:sz w:val="20"/>
              </w:rPr>
              <w:t>) and INR 1</w:t>
            </w:r>
            <w:r w:rsidR="003F1DAF" w:rsidRPr="00E70587">
              <w:rPr>
                <w:rFonts w:ascii="Arial" w:hAnsi="Arial" w:cs="Arial"/>
                <w:sz w:val="20"/>
              </w:rPr>
              <w:t>,</w:t>
            </w:r>
            <w:r w:rsidRPr="00E70587">
              <w:rPr>
                <w:rFonts w:ascii="Arial" w:hAnsi="Arial" w:cs="Arial"/>
                <w:sz w:val="20"/>
              </w:rPr>
              <w:t>40</w:t>
            </w:r>
            <w:r w:rsidR="003F1DAF" w:rsidRPr="00E70587">
              <w:rPr>
                <w:rFonts w:ascii="Arial" w:hAnsi="Arial" w:cs="Arial"/>
                <w:sz w:val="20"/>
              </w:rPr>
              <w:t>8</w:t>
            </w:r>
            <w:r w:rsidRPr="00E70587">
              <w:rPr>
                <w:rFonts w:ascii="Arial" w:hAnsi="Arial" w:cs="Arial"/>
                <w:sz w:val="20"/>
              </w:rPr>
              <w:t xml:space="preserve"> (other financial liabilities</w:t>
            </w:r>
            <w:r w:rsidR="000D1D6E" w:rsidRPr="00E70587">
              <w:rPr>
                <w:rFonts w:ascii="Arial" w:hAnsi="Arial" w:cs="Arial"/>
                <w:sz w:val="20"/>
              </w:rPr>
              <w:t>- note 15</w:t>
            </w:r>
            <w:r w:rsidRPr="00E70587">
              <w:rPr>
                <w:rFonts w:ascii="Arial" w:hAnsi="Arial" w:cs="Arial"/>
                <w:sz w:val="20"/>
              </w:rPr>
              <w:t xml:space="preserve">) (31 </w:t>
            </w:r>
            <w:r w:rsidR="008B730E" w:rsidRPr="00E70587">
              <w:rPr>
                <w:rFonts w:ascii="Arial" w:hAnsi="Arial" w:cs="Arial"/>
                <w:sz w:val="20"/>
              </w:rPr>
              <w:t xml:space="preserve">March </w:t>
            </w:r>
            <w:r w:rsidR="008F281E" w:rsidRPr="00E70587">
              <w:rPr>
                <w:rFonts w:ascii="Arial" w:hAnsi="Arial" w:cs="Arial"/>
                <w:sz w:val="20"/>
              </w:rPr>
              <w:t>20</w:t>
            </w:r>
            <w:r w:rsidR="008F281E">
              <w:rPr>
                <w:rFonts w:ascii="Arial" w:hAnsi="Arial" w:cs="Arial"/>
                <w:sz w:val="20"/>
              </w:rPr>
              <w:t>20</w:t>
            </w:r>
            <w:r w:rsidRPr="00E70587">
              <w:rPr>
                <w:rFonts w:ascii="Arial" w:hAnsi="Arial" w:cs="Arial"/>
                <w:sz w:val="20"/>
              </w:rPr>
              <w:t>: both INR Nil). The effects on profit or loss are reflected in other income and other expenses, respectively.</w:t>
            </w:r>
          </w:p>
          <w:p w14:paraId="2949CCC8" w14:textId="77777777" w:rsidR="0086091A" w:rsidRPr="00E70587" w:rsidRDefault="0086091A" w:rsidP="0024137A">
            <w:pPr>
              <w:spacing w:line="280" w:lineRule="exact"/>
              <w:jc w:val="both"/>
              <w:rPr>
                <w:rFonts w:ascii="Arial" w:hAnsi="Arial" w:cs="Arial"/>
                <w:sz w:val="20"/>
              </w:rPr>
            </w:pPr>
          </w:p>
        </w:tc>
      </w:tr>
    </w:tbl>
    <w:p w14:paraId="6BBE39F7" w14:textId="77777777" w:rsidR="00FB6718" w:rsidRPr="00E70587" w:rsidRDefault="00FB6718" w:rsidP="009901E1">
      <w:pPr>
        <w:spacing w:line="280" w:lineRule="exact"/>
        <w:rPr>
          <w:rFonts w:ascii="Arial" w:hAnsi="Arial" w:cs="Arial"/>
          <w:sz w:val="20"/>
        </w:rPr>
      </w:pPr>
    </w:p>
    <w:p w14:paraId="7BC2B93B" w14:textId="77777777" w:rsidR="0024137A" w:rsidRPr="00E70587" w:rsidRDefault="0024137A"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Fair values</w:t>
      </w:r>
    </w:p>
    <w:p w14:paraId="7848FA0D" w14:textId="77777777" w:rsidR="0024137A" w:rsidRPr="00E70587" w:rsidRDefault="0024137A" w:rsidP="0024137A">
      <w:pPr>
        <w:spacing w:line="280" w:lineRule="exact"/>
        <w:jc w:val="both"/>
        <w:rPr>
          <w:rFonts w:ascii="Arial" w:hAnsi="Arial" w:cs="Arial"/>
          <w:sz w:val="20"/>
        </w:rPr>
      </w:pPr>
    </w:p>
    <w:p w14:paraId="22ADBB09" w14:textId="77777777" w:rsidR="0024137A" w:rsidRPr="00E70587" w:rsidRDefault="0024137A" w:rsidP="0024137A">
      <w:pPr>
        <w:spacing w:line="280" w:lineRule="exact"/>
        <w:jc w:val="both"/>
        <w:rPr>
          <w:rFonts w:ascii="Arial" w:hAnsi="Arial" w:cs="Arial"/>
          <w:sz w:val="20"/>
        </w:rPr>
      </w:pPr>
      <w:r w:rsidRPr="00E70587">
        <w:rPr>
          <w:rFonts w:ascii="Arial" w:hAnsi="Arial" w:cs="Arial"/>
          <w:sz w:val="20"/>
        </w:rPr>
        <w:t>Set out below, is a comparison by class of the carrying amounts and fair value of the Group’s financial instruments:</w:t>
      </w:r>
    </w:p>
    <w:p w14:paraId="7DED1AE9" w14:textId="77777777" w:rsidR="0024137A" w:rsidRPr="00E70587" w:rsidRDefault="0024137A" w:rsidP="009901E1">
      <w:pPr>
        <w:spacing w:line="280" w:lineRule="exact"/>
        <w:rPr>
          <w:rFonts w:ascii="Arial" w:hAnsi="Arial" w:cs="Arial"/>
          <w:sz w:val="20"/>
        </w:rPr>
      </w:pPr>
    </w:p>
    <w:tbl>
      <w:tblPr>
        <w:tblW w:w="9781" w:type="dxa"/>
        <w:tblLayout w:type="fixed"/>
        <w:tblCellMar>
          <w:left w:w="28" w:type="dxa"/>
        </w:tblCellMar>
        <w:tblLook w:val="01E0" w:firstRow="1" w:lastRow="1" w:firstColumn="1" w:lastColumn="1" w:noHBand="0" w:noVBand="0"/>
      </w:tblPr>
      <w:tblGrid>
        <w:gridCol w:w="4111"/>
        <w:gridCol w:w="1417"/>
        <w:gridCol w:w="1418"/>
        <w:gridCol w:w="1417"/>
        <w:gridCol w:w="1418"/>
      </w:tblGrid>
      <w:tr w:rsidR="000A2ED4" w:rsidRPr="00E70587" w14:paraId="29627C11" w14:textId="77777777" w:rsidTr="000A2ED4">
        <w:trPr>
          <w:tblHeader/>
        </w:trPr>
        <w:tc>
          <w:tcPr>
            <w:tcW w:w="4111" w:type="dxa"/>
            <w:tcMar>
              <w:left w:w="108" w:type="dxa"/>
              <w:right w:w="108" w:type="dxa"/>
            </w:tcMar>
            <w:vAlign w:val="center"/>
          </w:tcPr>
          <w:p w14:paraId="0C2E6A43" w14:textId="77777777" w:rsidR="000A2ED4" w:rsidRPr="00E70587" w:rsidRDefault="000A2ED4" w:rsidP="009901E1">
            <w:pPr>
              <w:pStyle w:val="tabletxtns"/>
              <w:spacing w:before="0" w:line="280" w:lineRule="exact"/>
              <w:rPr>
                <w:rFonts w:ascii="Arial" w:hAnsi="Arial" w:cs="Arial"/>
                <w:color w:val="auto"/>
                <w:sz w:val="20"/>
              </w:rPr>
            </w:pPr>
          </w:p>
        </w:tc>
        <w:tc>
          <w:tcPr>
            <w:tcW w:w="2835" w:type="dxa"/>
            <w:gridSpan w:val="2"/>
            <w:tcBorders>
              <w:top w:val="single" w:sz="4" w:space="0" w:color="auto"/>
              <w:bottom w:val="single" w:sz="4" w:space="0" w:color="auto"/>
            </w:tcBorders>
            <w:vAlign w:val="bottom"/>
          </w:tcPr>
          <w:p w14:paraId="6BAF4B81" w14:textId="77777777" w:rsidR="000A2ED4" w:rsidRPr="00E70587" w:rsidRDefault="000A2ED4" w:rsidP="009901E1">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Carrying amount</w:t>
            </w:r>
          </w:p>
        </w:tc>
        <w:tc>
          <w:tcPr>
            <w:tcW w:w="2835" w:type="dxa"/>
            <w:gridSpan w:val="2"/>
            <w:tcBorders>
              <w:top w:val="single" w:sz="4" w:space="0" w:color="auto"/>
              <w:bottom w:val="single" w:sz="4" w:space="0" w:color="auto"/>
            </w:tcBorders>
            <w:vAlign w:val="center"/>
          </w:tcPr>
          <w:p w14:paraId="3EF0726C" w14:textId="77777777" w:rsidR="000A2ED4" w:rsidRPr="00E70587" w:rsidRDefault="000A2ED4" w:rsidP="009901E1">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Fair value</w:t>
            </w:r>
          </w:p>
        </w:tc>
      </w:tr>
      <w:tr w:rsidR="000A2ED4" w:rsidRPr="00E70587" w14:paraId="5288C7A3" w14:textId="77777777" w:rsidTr="000A2ED4">
        <w:trPr>
          <w:tblHeader/>
        </w:trPr>
        <w:tc>
          <w:tcPr>
            <w:tcW w:w="4111" w:type="dxa"/>
            <w:tcMar>
              <w:left w:w="108" w:type="dxa"/>
              <w:right w:w="108" w:type="dxa"/>
            </w:tcMar>
            <w:vAlign w:val="center"/>
          </w:tcPr>
          <w:p w14:paraId="423E620E" w14:textId="77777777" w:rsidR="000A2ED4" w:rsidRPr="00E70587" w:rsidRDefault="000A2ED4" w:rsidP="009901E1">
            <w:pPr>
              <w:pStyle w:val="tabletxtns"/>
              <w:spacing w:before="0" w:line="280" w:lineRule="exact"/>
              <w:rPr>
                <w:rFonts w:ascii="Arial" w:hAnsi="Arial" w:cs="Arial"/>
                <w:color w:val="auto"/>
                <w:sz w:val="20"/>
              </w:rPr>
            </w:pPr>
          </w:p>
        </w:tc>
        <w:tc>
          <w:tcPr>
            <w:tcW w:w="1417" w:type="dxa"/>
            <w:tcBorders>
              <w:top w:val="single" w:sz="4" w:space="0" w:color="auto"/>
              <w:bottom w:val="single" w:sz="4" w:space="0" w:color="auto"/>
            </w:tcBorders>
            <w:vAlign w:val="center"/>
          </w:tcPr>
          <w:p w14:paraId="6E4490AB" w14:textId="6146D5AB" w:rsidR="000A2ED4" w:rsidRPr="00E70587" w:rsidRDefault="000A2ED4" w:rsidP="000A2ED4">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 xml:space="preserve">31 March </w:t>
            </w:r>
            <w:r w:rsidR="00736278" w:rsidRPr="00E70587">
              <w:rPr>
                <w:rFonts w:ascii="Arial" w:hAnsi="Arial"/>
                <w:color w:val="auto"/>
                <w:sz w:val="20"/>
                <w:szCs w:val="20"/>
                <w:lang w:val="en-IN"/>
              </w:rPr>
              <w:t>20</w:t>
            </w:r>
            <w:r w:rsidR="00736278">
              <w:rPr>
                <w:rFonts w:ascii="Arial" w:hAnsi="Arial"/>
                <w:color w:val="auto"/>
                <w:sz w:val="20"/>
                <w:szCs w:val="20"/>
                <w:lang w:val="en-IN"/>
              </w:rPr>
              <w:t>21</w:t>
            </w:r>
          </w:p>
        </w:tc>
        <w:tc>
          <w:tcPr>
            <w:tcW w:w="1418" w:type="dxa"/>
            <w:tcBorders>
              <w:top w:val="single" w:sz="4" w:space="0" w:color="auto"/>
              <w:bottom w:val="single" w:sz="4" w:space="0" w:color="auto"/>
            </w:tcBorders>
            <w:vAlign w:val="center"/>
          </w:tcPr>
          <w:p w14:paraId="576EEB4D" w14:textId="757FDAE2" w:rsidR="000A2ED4" w:rsidRPr="00E70587" w:rsidRDefault="000A2ED4" w:rsidP="000A2ED4">
            <w:pPr>
              <w:pStyle w:val="Tablecolumnheading"/>
              <w:spacing w:line="280" w:lineRule="exact"/>
              <w:ind w:left="103"/>
              <w:jc w:val="center"/>
              <w:rPr>
                <w:rFonts w:ascii="Arial" w:hAnsi="Arial"/>
                <w:color w:val="auto"/>
                <w:sz w:val="20"/>
                <w:szCs w:val="20"/>
                <w:lang w:val="en-IN"/>
              </w:rPr>
            </w:pPr>
            <w:r w:rsidRPr="00E70587">
              <w:rPr>
                <w:rFonts w:ascii="Arial" w:hAnsi="Arial"/>
                <w:color w:val="auto"/>
                <w:sz w:val="20"/>
                <w:szCs w:val="20"/>
                <w:lang w:val="en-IN"/>
              </w:rPr>
              <w:t xml:space="preserve">31 March </w:t>
            </w:r>
            <w:r w:rsidR="00736278" w:rsidRPr="00E70587">
              <w:rPr>
                <w:rFonts w:ascii="Arial" w:hAnsi="Arial"/>
                <w:color w:val="auto"/>
                <w:sz w:val="20"/>
                <w:szCs w:val="20"/>
                <w:lang w:val="en-IN"/>
              </w:rPr>
              <w:t>20</w:t>
            </w:r>
            <w:r w:rsidR="00736278">
              <w:rPr>
                <w:rFonts w:ascii="Arial" w:hAnsi="Arial"/>
                <w:color w:val="auto"/>
                <w:sz w:val="20"/>
                <w:szCs w:val="20"/>
                <w:lang w:val="en-IN"/>
              </w:rPr>
              <w:t>20</w:t>
            </w:r>
          </w:p>
        </w:tc>
        <w:tc>
          <w:tcPr>
            <w:tcW w:w="1417" w:type="dxa"/>
            <w:tcBorders>
              <w:top w:val="single" w:sz="4" w:space="0" w:color="auto"/>
              <w:bottom w:val="single" w:sz="4" w:space="0" w:color="auto"/>
            </w:tcBorders>
            <w:vAlign w:val="center"/>
          </w:tcPr>
          <w:p w14:paraId="5545DA7D" w14:textId="44FD012B" w:rsidR="000A2ED4" w:rsidRPr="00E70587" w:rsidRDefault="000A2ED4" w:rsidP="000A2ED4">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 xml:space="preserve">31 March </w:t>
            </w:r>
            <w:r w:rsidR="00736278" w:rsidRPr="00E70587">
              <w:rPr>
                <w:rFonts w:ascii="Arial" w:hAnsi="Arial"/>
                <w:color w:val="auto"/>
                <w:sz w:val="20"/>
                <w:szCs w:val="20"/>
                <w:lang w:val="en-IN"/>
              </w:rPr>
              <w:t>20</w:t>
            </w:r>
            <w:r w:rsidR="00736278">
              <w:rPr>
                <w:rFonts w:ascii="Arial" w:hAnsi="Arial"/>
                <w:color w:val="auto"/>
                <w:sz w:val="20"/>
                <w:szCs w:val="20"/>
                <w:lang w:val="en-IN"/>
              </w:rPr>
              <w:t>21</w:t>
            </w:r>
          </w:p>
        </w:tc>
        <w:tc>
          <w:tcPr>
            <w:tcW w:w="1418" w:type="dxa"/>
            <w:tcBorders>
              <w:top w:val="single" w:sz="4" w:space="0" w:color="auto"/>
              <w:bottom w:val="single" w:sz="4" w:space="0" w:color="auto"/>
            </w:tcBorders>
            <w:vAlign w:val="center"/>
          </w:tcPr>
          <w:p w14:paraId="73DBCE5D" w14:textId="3922AC35" w:rsidR="000A2ED4" w:rsidRPr="00E70587" w:rsidRDefault="000A2ED4" w:rsidP="000A2ED4">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 xml:space="preserve">31 March </w:t>
            </w:r>
            <w:r w:rsidR="00736278" w:rsidRPr="00E70587">
              <w:rPr>
                <w:rFonts w:ascii="Arial" w:hAnsi="Arial"/>
                <w:color w:val="auto"/>
                <w:sz w:val="20"/>
                <w:szCs w:val="20"/>
                <w:lang w:val="en-IN"/>
              </w:rPr>
              <w:t>20</w:t>
            </w:r>
            <w:r w:rsidR="00736278">
              <w:rPr>
                <w:rFonts w:ascii="Arial" w:hAnsi="Arial"/>
                <w:color w:val="auto"/>
                <w:sz w:val="20"/>
                <w:szCs w:val="20"/>
                <w:lang w:val="en-IN"/>
              </w:rPr>
              <w:t>20</w:t>
            </w:r>
          </w:p>
        </w:tc>
      </w:tr>
      <w:tr w:rsidR="000A2ED4" w:rsidRPr="00E70587" w14:paraId="30ABB442" w14:textId="77777777" w:rsidTr="000A2ED4">
        <w:trPr>
          <w:tblHeader/>
        </w:trPr>
        <w:tc>
          <w:tcPr>
            <w:tcW w:w="4111" w:type="dxa"/>
            <w:tcMar>
              <w:left w:w="108" w:type="dxa"/>
              <w:right w:w="108" w:type="dxa"/>
            </w:tcMar>
            <w:vAlign w:val="center"/>
          </w:tcPr>
          <w:p w14:paraId="645F89CF" w14:textId="77777777" w:rsidR="000A2ED4" w:rsidRPr="00E70587" w:rsidRDefault="000A2ED4" w:rsidP="009901E1">
            <w:pPr>
              <w:pStyle w:val="tabletxtns"/>
              <w:spacing w:before="0" w:line="280" w:lineRule="exact"/>
              <w:rPr>
                <w:rFonts w:ascii="Arial" w:hAnsi="Arial" w:cs="Arial"/>
                <w:color w:val="auto"/>
                <w:sz w:val="20"/>
              </w:rPr>
            </w:pPr>
          </w:p>
        </w:tc>
        <w:tc>
          <w:tcPr>
            <w:tcW w:w="1417" w:type="dxa"/>
            <w:tcBorders>
              <w:top w:val="single" w:sz="4" w:space="0" w:color="auto"/>
            </w:tcBorders>
            <w:vAlign w:val="center"/>
          </w:tcPr>
          <w:p w14:paraId="4036C2FC" w14:textId="77777777"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418" w:type="dxa"/>
            <w:tcBorders>
              <w:top w:val="single" w:sz="4" w:space="0" w:color="auto"/>
            </w:tcBorders>
            <w:vAlign w:val="center"/>
          </w:tcPr>
          <w:p w14:paraId="0FE30FE5" w14:textId="77777777" w:rsidR="000A2ED4" w:rsidRPr="00E70587" w:rsidRDefault="000A2ED4" w:rsidP="009901E1">
            <w:pPr>
              <w:pStyle w:val="Tablecolumnheading"/>
              <w:spacing w:line="280" w:lineRule="exact"/>
              <w:ind w:left="103" w:firstLine="154"/>
              <w:rPr>
                <w:rFonts w:ascii="Arial" w:hAnsi="Arial"/>
                <w:color w:val="auto"/>
                <w:sz w:val="20"/>
                <w:szCs w:val="20"/>
                <w:lang w:val="en-IN"/>
              </w:rPr>
            </w:pPr>
            <w:r w:rsidRPr="00E70587">
              <w:rPr>
                <w:rFonts w:ascii="Arial" w:hAnsi="Arial"/>
                <w:color w:val="auto"/>
                <w:sz w:val="20"/>
                <w:szCs w:val="20"/>
                <w:lang w:val="en-IN"/>
              </w:rPr>
              <w:t>INR Lacs</w:t>
            </w:r>
          </w:p>
        </w:tc>
        <w:tc>
          <w:tcPr>
            <w:tcW w:w="1417" w:type="dxa"/>
            <w:vAlign w:val="center"/>
          </w:tcPr>
          <w:p w14:paraId="14E58F92" w14:textId="77777777"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418" w:type="dxa"/>
            <w:vAlign w:val="center"/>
          </w:tcPr>
          <w:p w14:paraId="45C1A38A" w14:textId="77777777" w:rsidR="000A2ED4" w:rsidRPr="00E70587" w:rsidRDefault="000A2ED4"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0A2ED4" w:rsidRPr="00E70587" w14:paraId="5A88A88C" w14:textId="77777777" w:rsidTr="000A2ED4">
        <w:tc>
          <w:tcPr>
            <w:tcW w:w="4111" w:type="dxa"/>
            <w:tcMar>
              <w:left w:w="108" w:type="dxa"/>
              <w:right w:w="108" w:type="dxa"/>
            </w:tcMar>
            <w:vAlign w:val="center"/>
          </w:tcPr>
          <w:p w14:paraId="462F1A9F" w14:textId="77777777" w:rsidR="000A2ED4" w:rsidRPr="00E70587" w:rsidRDefault="000A2ED4" w:rsidP="009901E1">
            <w:pPr>
              <w:pStyle w:val="tabletext"/>
              <w:spacing w:line="280" w:lineRule="exact"/>
              <w:rPr>
                <w:rFonts w:ascii="Arial" w:hAnsi="Arial" w:cs="Arial"/>
                <w:b/>
                <w:sz w:val="20"/>
                <w:lang w:val="en-IN"/>
              </w:rPr>
            </w:pPr>
            <w:r w:rsidRPr="00E70587">
              <w:rPr>
                <w:rFonts w:ascii="Arial" w:hAnsi="Arial" w:cs="Arial"/>
                <w:b/>
                <w:sz w:val="20"/>
                <w:lang w:val="en-IN"/>
              </w:rPr>
              <w:t>Financial assets</w:t>
            </w:r>
          </w:p>
        </w:tc>
        <w:tc>
          <w:tcPr>
            <w:tcW w:w="1417" w:type="dxa"/>
            <w:vAlign w:val="center"/>
          </w:tcPr>
          <w:p w14:paraId="181D2D04" w14:textId="77777777" w:rsidR="000A2ED4" w:rsidRPr="00E70587" w:rsidRDefault="000A2ED4" w:rsidP="0037503C">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18" w:type="dxa"/>
            <w:vAlign w:val="center"/>
          </w:tcPr>
          <w:p w14:paraId="3254B178" w14:textId="77777777" w:rsidR="000A2ED4" w:rsidRPr="00E70587" w:rsidRDefault="000A2ED4" w:rsidP="0037503C">
            <w:pPr>
              <w:pStyle w:val="tabletext"/>
              <w:overflowPunct w:val="0"/>
              <w:autoSpaceDE w:val="0"/>
              <w:autoSpaceDN w:val="0"/>
              <w:adjustRightInd w:val="0"/>
              <w:spacing w:line="280" w:lineRule="exact"/>
              <w:ind w:left="103" w:firstLine="154"/>
              <w:jc w:val="right"/>
              <w:textAlignment w:val="baseline"/>
              <w:rPr>
                <w:rFonts w:ascii="Arial" w:hAnsi="Arial" w:cs="Arial"/>
                <w:sz w:val="20"/>
                <w:lang w:val="en-IN"/>
              </w:rPr>
            </w:pPr>
          </w:p>
        </w:tc>
        <w:tc>
          <w:tcPr>
            <w:tcW w:w="1417" w:type="dxa"/>
            <w:vAlign w:val="center"/>
          </w:tcPr>
          <w:p w14:paraId="76291937" w14:textId="77777777" w:rsidR="000A2ED4" w:rsidRPr="00E70587" w:rsidRDefault="000A2ED4" w:rsidP="0037503C">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18" w:type="dxa"/>
            <w:vAlign w:val="center"/>
          </w:tcPr>
          <w:p w14:paraId="21B93DE8" w14:textId="77777777" w:rsidR="000A2ED4" w:rsidRPr="00E70587" w:rsidRDefault="000A2ED4" w:rsidP="0037503C">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0A2ED4" w:rsidRPr="00E70587" w14:paraId="23006B42" w14:textId="77777777" w:rsidTr="000A2ED4">
        <w:tc>
          <w:tcPr>
            <w:tcW w:w="4111" w:type="dxa"/>
            <w:tcMar>
              <w:left w:w="108" w:type="dxa"/>
              <w:right w:w="108" w:type="dxa"/>
            </w:tcMar>
            <w:vAlign w:val="center"/>
          </w:tcPr>
          <w:p w14:paraId="47B6F6B3"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Other financial assets</w:t>
            </w:r>
          </w:p>
        </w:tc>
        <w:tc>
          <w:tcPr>
            <w:tcW w:w="1417" w:type="dxa"/>
            <w:vAlign w:val="center"/>
          </w:tcPr>
          <w:p w14:paraId="512303D3" w14:textId="77777777" w:rsidR="000A2ED4" w:rsidRPr="00E70587" w:rsidRDefault="000A2ED4" w:rsidP="0037503C">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18" w:type="dxa"/>
            <w:vAlign w:val="center"/>
          </w:tcPr>
          <w:p w14:paraId="4756847A" w14:textId="77777777" w:rsidR="000A2ED4" w:rsidRPr="00E70587" w:rsidRDefault="000A2ED4" w:rsidP="0037503C">
            <w:pPr>
              <w:pStyle w:val="tabletext"/>
              <w:overflowPunct w:val="0"/>
              <w:autoSpaceDE w:val="0"/>
              <w:autoSpaceDN w:val="0"/>
              <w:adjustRightInd w:val="0"/>
              <w:spacing w:line="280" w:lineRule="exact"/>
              <w:ind w:left="103" w:firstLine="154"/>
              <w:jc w:val="right"/>
              <w:textAlignment w:val="baseline"/>
              <w:rPr>
                <w:rFonts w:ascii="Arial" w:hAnsi="Arial" w:cs="Arial"/>
                <w:sz w:val="20"/>
                <w:lang w:val="en-IN"/>
              </w:rPr>
            </w:pPr>
          </w:p>
        </w:tc>
        <w:tc>
          <w:tcPr>
            <w:tcW w:w="1417" w:type="dxa"/>
            <w:vAlign w:val="center"/>
          </w:tcPr>
          <w:p w14:paraId="5D251974" w14:textId="77777777" w:rsidR="000A2ED4" w:rsidRPr="00E70587" w:rsidRDefault="000A2ED4" w:rsidP="0037503C">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18" w:type="dxa"/>
            <w:vAlign w:val="center"/>
          </w:tcPr>
          <w:p w14:paraId="734E6EE0" w14:textId="77777777" w:rsidR="000A2ED4" w:rsidRPr="00E70587" w:rsidRDefault="000A2ED4" w:rsidP="0037503C">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0A2ED4" w:rsidRPr="00E70587" w14:paraId="5EF5781C" w14:textId="77777777" w:rsidTr="000A2ED4">
        <w:tc>
          <w:tcPr>
            <w:tcW w:w="4111" w:type="dxa"/>
            <w:tcMar>
              <w:left w:w="108" w:type="dxa"/>
              <w:right w:w="108" w:type="dxa"/>
            </w:tcMar>
            <w:vAlign w:val="center"/>
          </w:tcPr>
          <w:p w14:paraId="621F7B65" w14:textId="77777777" w:rsidR="000A2ED4" w:rsidRPr="00E70587" w:rsidRDefault="000A2ED4"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 xml:space="preserve">Loans </w:t>
            </w:r>
          </w:p>
        </w:tc>
        <w:tc>
          <w:tcPr>
            <w:tcW w:w="1417" w:type="dxa"/>
            <w:vAlign w:val="center"/>
          </w:tcPr>
          <w:p w14:paraId="6CCDC946"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6,997</w:t>
            </w:r>
          </w:p>
        </w:tc>
        <w:tc>
          <w:tcPr>
            <w:tcW w:w="1418" w:type="dxa"/>
            <w:vAlign w:val="center"/>
          </w:tcPr>
          <w:p w14:paraId="2DAF7EBD"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3,047</w:t>
            </w:r>
          </w:p>
        </w:tc>
        <w:tc>
          <w:tcPr>
            <w:tcW w:w="1417" w:type="dxa"/>
            <w:vAlign w:val="center"/>
          </w:tcPr>
          <w:p w14:paraId="409DD953"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7,150 </w:t>
            </w:r>
          </w:p>
        </w:tc>
        <w:tc>
          <w:tcPr>
            <w:tcW w:w="1418" w:type="dxa"/>
            <w:vAlign w:val="center"/>
          </w:tcPr>
          <w:p w14:paraId="02A715A1"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3,267 </w:t>
            </w:r>
          </w:p>
        </w:tc>
      </w:tr>
      <w:tr w:rsidR="000A2ED4" w:rsidRPr="00E70587" w14:paraId="1D70F136" w14:textId="77777777" w:rsidTr="000A2ED4">
        <w:tc>
          <w:tcPr>
            <w:tcW w:w="4111" w:type="dxa"/>
            <w:tcMar>
              <w:left w:w="108" w:type="dxa"/>
              <w:right w:w="108" w:type="dxa"/>
            </w:tcMar>
            <w:vAlign w:val="center"/>
          </w:tcPr>
          <w:p w14:paraId="0A0DB3FA" w14:textId="77777777" w:rsidR="000A2ED4" w:rsidRPr="00E70587" w:rsidRDefault="000A2ED4"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FVTOCI financial investments</w:t>
            </w:r>
          </w:p>
        </w:tc>
        <w:tc>
          <w:tcPr>
            <w:tcW w:w="1417" w:type="dxa"/>
            <w:vAlign w:val="center"/>
          </w:tcPr>
          <w:p w14:paraId="4ABE3438"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3,577</w:t>
            </w:r>
          </w:p>
        </w:tc>
        <w:tc>
          <w:tcPr>
            <w:tcW w:w="1418" w:type="dxa"/>
            <w:vAlign w:val="center"/>
          </w:tcPr>
          <w:p w14:paraId="7DE61D3C"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3,236</w:t>
            </w:r>
          </w:p>
        </w:tc>
        <w:tc>
          <w:tcPr>
            <w:tcW w:w="1417" w:type="dxa"/>
            <w:vAlign w:val="center"/>
          </w:tcPr>
          <w:p w14:paraId="7FFC7F47"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3,577 </w:t>
            </w:r>
          </w:p>
        </w:tc>
        <w:tc>
          <w:tcPr>
            <w:tcW w:w="1418" w:type="dxa"/>
            <w:vAlign w:val="center"/>
          </w:tcPr>
          <w:p w14:paraId="14ABC9FF"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3,236 </w:t>
            </w:r>
          </w:p>
        </w:tc>
      </w:tr>
      <w:tr w:rsidR="000A2ED4" w:rsidRPr="00E70587" w14:paraId="1A7AD65A" w14:textId="77777777" w:rsidTr="000A2ED4">
        <w:tc>
          <w:tcPr>
            <w:tcW w:w="4111" w:type="dxa"/>
            <w:tcMar>
              <w:left w:w="108" w:type="dxa"/>
              <w:right w:w="108" w:type="dxa"/>
            </w:tcMar>
            <w:vAlign w:val="center"/>
          </w:tcPr>
          <w:p w14:paraId="10E27997" w14:textId="77777777" w:rsidR="000A2ED4" w:rsidRPr="00E70587" w:rsidRDefault="000A2ED4"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Foreign exchange forward contracts</w:t>
            </w:r>
          </w:p>
        </w:tc>
        <w:tc>
          <w:tcPr>
            <w:tcW w:w="1417" w:type="dxa"/>
            <w:vAlign w:val="center"/>
          </w:tcPr>
          <w:p w14:paraId="5B5F4895"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1,152</w:t>
            </w:r>
          </w:p>
        </w:tc>
        <w:tc>
          <w:tcPr>
            <w:tcW w:w="1418" w:type="dxa"/>
            <w:vAlign w:val="center"/>
          </w:tcPr>
          <w:p w14:paraId="717054D7"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417" w:type="dxa"/>
            <w:vAlign w:val="center"/>
          </w:tcPr>
          <w:p w14:paraId="7D73BEB4"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1,152 </w:t>
            </w:r>
          </w:p>
        </w:tc>
        <w:tc>
          <w:tcPr>
            <w:tcW w:w="1418" w:type="dxa"/>
            <w:vAlign w:val="center"/>
          </w:tcPr>
          <w:p w14:paraId="5C67F04E"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 </w:t>
            </w:r>
          </w:p>
        </w:tc>
      </w:tr>
      <w:tr w:rsidR="000A2ED4" w:rsidRPr="00E70587" w14:paraId="4681BACF" w14:textId="77777777" w:rsidTr="000A2ED4">
        <w:tc>
          <w:tcPr>
            <w:tcW w:w="4111" w:type="dxa"/>
            <w:tcMar>
              <w:left w:w="108" w:type="dxa"/>
              <w:right w:w="108" w:type="dxa"/>
            </w:tcMar>
            <w:vAlign w:val="center"/>
          </w:tcPr>
          <w:p w14:paraId="757DF164" w14:textId="77777777" w:rsidR="000A2ED4" w:rsidRPr="00E70587" w:rsidRDefault="000A2ED4"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Embedded derivatives</w:t>
            </w:r>
          </w:p>
        </w:tc>
        <w:tc>
          <w:tcPr>
            <w:tcW w:w="1417" w:type="dxa"/>
            <w:vAlign w:val="center"/>
          </w:tcPr>
          <w:p w14:paraId="7BA27A18"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378</w:t>
            </w:r>
          </w:p>
        </w:tc>
        <w:tc>
          <w:tcPr>
            <w:tcW w:w="1418" w:type="dxa"/>
            <w:vAlign w:val="center"/>
          </w:tcPr>
          <w:p w14:paraId="2332D2CC"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417" w:type="dxa"/>
            <w:vAlign w:val="center"/>
          </w:tcPr>
          <w:p w14:paraId="6FCD9B1F"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378 </w:t>
            </w:r>
          </w:p>
        </w:tc>
        <w:tc>
          <w:tcPr>
            <w:tcW w:w="1418" w:type="dxa"/>
            <w:vAlign w:val="center"/>
          </w:tcPr>
          <w:p w14:paraId="3DC4EB40"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 </w:t>
            </w:r>
          </w:p>
        </w:tc>
      </w:tr>
      <w:tr w:rsidR="000A2ED4" w:rsidRPr="00E70587" w14:paraId="6FCD2ED3" w14:textId="77777777" w:rsidTr="000A2ED4">
        <w:tc>
          <w:tcPr>
            <w:tcW w:w="4111" w:type="dxa"/>
            <w:tcMar>
              <w:left w:w="108" w:type="dxa"/>
              <w:right w:w="108" w:type="dxa"/>
            </w:tcMar>
            <w:vAlign w:val="center"/>
          </w:tcPr>
          <w:p w14:paraId="79E878C1" w14:textId="77777777" w:rsidR="000A2ED4" w:rsidRPr="00E70587" w:rsidRDefault="000A2ED4"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Derivatives in effective hedges</w:t>
            </w:r>
          </w:p>
        </w:tc>
        <w:tc>
          <w:tcPr>
            <w:tcW w:w="1417" w:type="dxa"/>
            <w:tcBorders>
              <w:bottom w:val="single" w:sz="4" w:space="0" w:color="auto"/>
            </w:tcBorders>
            <w:vAlign w:val="center"/>
          </w:tcPr>
          <w:p w14:paraId="666D70FB"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454</w:t>
            </w:r>
          </w:p>
        </w:tc>
        <w:tc>
          <w:tcPr>
            <w:tcW w:w="1418" w:type="dxa"/>
            <w:tcBorders>
              <w:bottom w:val="single" w:sz="4" w:space="0" w:color="auto"/>
            </w:tcBorders>
            <w:vAlign w:val="center"/>
          </w:tcPr>
          <w:p w14:paraId="0F944A8B"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275</w:t>
            </w:r>
          </w:p>
        </w:tc>
        <w:tc>
          <w:tcPr>
            <w:tcW w:w="1417" w:type="dxa"/>
            <w:tcBorders>
              <w:bottom w:val="single" w:sz="4" w:space="0" w:color="auto"/>
            </w:tcBorders>
            <w:vAlign w:val="center"/>
          </w:tcPr>
          <w:p w14:paraId="46FC658D"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454 </w:t>
            </w:r>
          </w:p>
        </w:tc>
        <w:tc>
          <w:tcPr>
            <w:tcW w:w="1418" w:type="dxa"/>
            <w:tcBorders>
              <w:bottom w:val="single" w:sz="4" w:space="0" w:color="auto"/>
            </w:tcBorders>
            <w:vAlign w:val="center"/>
          </w:tcPr>
          <w:p w14:paraId="5BD0AEC2" w14:textId="77777777" w:rsidR="000A2ED4" w:rsidRPr="00E70587" w:rsidRDefault="000A2ED4" w:rsidP="001A5495">
            <w:pPr>
              <w:overflowPunct/>
              <w:spacing w:line="280" w:lineRule="exact"/>
              <w:jc w:val="right"/>
              <w:textAlignment w:val="auto"/>
              <w:rPr>
                <w:rFonts w:ascii="Arial" w:hAnsi="Arial" w:cs="Arial"/>
                <w:sz w:val="20"/>
                <w:lang w:eastAsia="en-GB"/>
              </w:rPr>
            </w:pPr>
            <w:r w:rsidRPr="00E70587">
              <w:rPr>
                <w:rFonts w:ascii="Arial" w:hAnsi="Arial" w:cs="Arial"/>
                <w:sz w:val="20"/>
              </w:rPr>
              <w:t xml:space="preserve"> 275 </w:t>
            </w:r>
          </w:p>
        </w:tc>
      </w:tr>
      <w:tr w:rsidR="000A2ED4" w:rsidRPr="00E70587" w14:paraId="73FC6351" w14:textId="77777777" w:rsidTr="000A2ED4">
        <w:tc>
          <w:tcPr>
            <w:tcW w:w="4111" w:type="dxa"/>
            <w:tcMar>
              <w:left w:w="108" w:type="dxa"/>
              <w:right w:w="108" w:type="dxa"/>
            </w:tcMar>
            <w:vAlign w:val="center"/>
          </w:tcPr>
          <w:p w14:paraId="2D8A5980"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w:t>
            </w:r>
          </w:p>
        </w:tc>
        <w:tc>
          <w:tcPr>
            <w:tcW w:w="1417" w:type="dxa"/>
            <w:tcBorders>
              <w:top w:val="single" w:sz="4" w:space="0" w:color="auto"/>
              <w:bottom w:val="single" w:sz="4" w:space="0" w:color="auto"/>
            </w:tcBorders>
            <w:vAlign w:val="center"/>
          </w:tcPr>
          <w:p w14:paraId="2F985F4A" w14:textId="77777777" w:rsidR="000A2ED4" w:rsidRPr="00E70587" w:rsidRDefault="000A2ED4" w:rsidP="001A5495">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12,558</w:t>
            </w:r>
          </w:p>
        </w:tc>
        <w:tc>
          <w:tcPr>
            <w:tcW w:w="1418" w:type="dxa"/>
            <w:tcBorders>
              <w:top w:val="single" w:sz="4" w:space="0" w:color="auto"/>
              <w:bottom w:val="single" w:sz="4" w:space="0" w:color="auto"/>
            </w:tcBorders>
            <w:vAlign w:val="center"/>
          </w:tcPr>
          <w:p w14:paraId="038C60EB" w14:textId="77777777" w:rsidR="000A2ED4" w:rsidRPr="00E70587" w:rsidRDefault="000A2ED4" w:rsidP="001A5495">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6,558</w:t>
            </w:r>
          </w:p>
        </w:tc>
        <w:tc>
          <w:tcPr>
            <w:tcW w:w="1417" w:type="dxa"/>
            <w:tcBorders>
              <w:top w:val="single" w:sz="4" w:space="0" w:color="auto"/>
              <w:bottom w:val="single" w:sz="4" w:space="0" w:color="auto"/>
            </w:tcBorders>
            <w:vAlign w:val="center"/>
          </w:tcPr>
          <w:p w14:paraId="3B6ED257" w14:textId="77777777" w:rsidR="000A2ED4" w:rsidRPr="00E70587" w:rsidRDefault="000A2ED4" w:rsidP="009D4D63">
            <w:pPr>
              <w:overflowPunct/>
              <w:spacing w:line="280" w:lineRule="exact"/>
              <w:jc w:val="right"/>
              <w:textAlignment w:val="auto"/>
              <w:rPr>
                <w:rFonts w:ascii="Arial" w:hAnsi="Arial" w:cs="Arial"/>
                <w:b/>
                <w:bCs/>
                <w:sz w:val="20"/>
                <w:lang w:eastAsia="en-GB"/>
              </w:rPr>
            </w:pPr>
            <w:r w:rsidRPr="00E70587">
              <w:rPr>
                <w:rFonts w:ascii="Arial" w:hAnsi="Arial" w:cs="Arial"/>
                <w:sz w:val="20"/>
              </w:rPr>
              <w:t xml:space="preserve"> 12,711 </w:t>
            </w:r>
          </w:p>
        </w:tc>
        <w:tc>
          <w:tcPr>
            <w:tcW w:w="1418" w:type="dxa"/>
            <w:tcBorders>
              <w:top w:val="single" w:sz="4" w:space="0" w:color="auto"/>
              <w:bottom w:val="single" w:sz="4" w:space="0" w:color="auto"/>
            </w:tcBorders>
            <w:vAlign w:val="center"/>
          </w:tcPr>
          <w:p w14:paraId="25882B93" w14:textId="77777777" w:rsidR="000A2ED4" w:rsidRPr="00E70587" w:rsidRDefault="000A2ED4" w:rsidP="009D4D63">
            <w:pPr>
              <w:overflowPunct/>
              <w:spacing w:line="280" w:lineRule="exact"/>
              <w:jc w:val="right"/>
              <w:textAlignment w:val="auto"/>
              <w:rPr>
                <w:rFonts w:ascii="Arial" w:hAnsi="Arial" w:cs="Arial"/>
                <w:b/>
                <w:bCs/>
                <w:sz w:val="20"/>
                <w:lang w:eastAsia="en-GB"/>
              </w:rPr>
            </w:pPr>
            <w:r w:rsidRPr="00E70587">
              <w:rPr>
                <w:rFonts w:ascii="Arial" w:hAnsi="Arial" w:cs="Arial"/>
                <w:sz w:val="20"/>
              </w:rPr>
              <w:t xml:space="preserve"> 6,778 </w:t>
            </w:r>
          </w:p>
        </w:tc>
      </w:tr>
      <w:tr w:rsidR="000A2ED4" w:rsidRPr="00E70587" w14:paraId="772714D8" w14:textId="77777777" w:rsidTr="000A2ED4">
        <w:tc>
          <w:tcPr>
            <w:tcW w:w="4111" w:type="dxa"/>
            <w:tcMar>
              <w:left w:w="108" w:type="dxa"/>
              <w:right w:w="108" w:type="dxa"/>
            </w:tcMar>
            <w:vAlign w:val="center"/>
          </w:tcPr>
          <w:p w14:paraId="347B0E1E"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417" w:type="dxa"/>
            <w:tcBorders>
              <w:top w:val="single" w:sz="4" w:space="0" w:color="auto"/>
            </w:tcBorders>
            <w:tcMar>
              <w:left w:w="108" w:type="dxa"/>
              <w:right w:w="108" w:type="dxa"/>
            </w:tcMar>
            <w:vAlign w:val="center"/>
          </w:tcPr>
          <w:p w14:paraId="6FD959C1" w14:textId="77777777" w:rsidR="000A2ED4" w:rsidRPr="00E70587" w:rsidRDefault="000A2ED4" w:rsidP="0037503C">
            <w:pPr>
              <w:pStyle w:val="tabletext"/>
              <w:overflowPunct w:val="0"/>
              <w:autoSpaceDE w:val="0"/>
              <w:autoSpaceDN w:val="0"/>
              <w:adjustRightInd w:val="0"/>
              <w:spacing w:line="280" w:lineRule="exact"/>
              <w:ind w:left="344"/>
              <w:jc w:val="right"/>
              <w:textAlignment w:val="baseline"/>
              <w:rPr>
                <w:rFonts w:ascii="Arial" w:hAnsi="Arial" w:cs="Arial"/>
                <w:sz w:val="20"/>
                <w:lang w:val="en-IN"/>
              </w:rPr>
            </w:pPr>
          </w:p>
        </w:tc>
        <w:tc>
          <w:tcPr>
            <w:tcW w:w="1418" w:type="dxa"/>
            <w:tcBorders>
              <w:top w:val="single" w:sz="4" w:space="0" w:color="auto"/>
            </w:tcBorders>
            <w:tcMar>
              <w:left w:w="108" w:type="dxa"/>
              <w:right w:w="108" w:type="dxa"/>
            </w:tcMar>
            <w:vAlign w:val="center"/>
          </w:tcPr>
          <w:p w14:paraId="00553E8C" w14:textId="77777777" w:rsidR="000A2ED4" w:rsidRPr="00E70587" w:rsidRDefault="000A2ED4" w:rsidP="0037503C">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17" w:type="dxa"/>
            <w:tcMar>
              <w:left w:w="108" w:type="dxa"/>
              <w:right w:w="108" w:type="dxa"/>
            </w:tcMar>
            <w:vAlign w:val="center"/>
          </w:tcPr>
          <w:p w14:paraId="614D3708" w14:textId="77777777" w:rsidR="000A2ED4" w:rsidRPr="00E70587" w:rsidRDefault="000A2ED4" w:rsidP="0037503C">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18" w:type="dxa"/>
            <w:tcMar>
              <w:left w:w="108" w:type="dxa"/>
              <w:right w:w="108" w:type="dxa"/>
            </w:tcMar>
            <w:vAlign w:val="center"/>
          </w:tcPr>
          <w:p w14:paraId="6A451442" w14:textId="77777777" w:rsidR="000A2ED4" w:rsidRPr="00E70587" w:rsidRDefault="000A2ED4" w:rsidP="0037503C">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0A2ED4" w:rsidRPr="00E70587" w14:paraId="1C47ACE4" w14:textId="77777777" w:rsidTr="000A2ED4">
        <w:tc>
          <w:tcPr>
            <w:tcW w:w="4111" w:type="dxa"/>
            <w:tcMar>
              <w:left w:w="108" w:type="dxa"/>
              <w:right w:w="108" w:type="dxa"/>
            </w:tcMar>
            <w:vAlign w:val="center"/>
          </w:tcPr>
          <w:p w14:paraId="31579FC0" w14:textId="77777777" w:rsidR="000A2ED4" w:rsidRPr="00E70587" w:rsidRDefault="000A2ED4" w:rsidP="009901E1">
            <w:pPr>
              <w:pStyle w:val="tabletext"/>
              <w:spacing w:line="280" w:lineRule="exact"/>
              <w:rPr>
                <w:rFonts w:ascii="Arial" w:hAnsi="Arial" w:cs="Arial"/>
                <w:b/>
                <w:sz w:val="20"/>
                <w:lang w:val="en-IN"/>
              </w:rPr>
            </w:pPr>
            <w:r w:rsidRPr="00E70587">
              <w:rPr>
                <w:rFonts w:ascii="Arial" w:hAnsi="Arial" w:cs="Arial"/>
                <w:b/>
                <w:sz w:val="20"/>
                <w:lang w:val="en-IN"/>
              </w:rPr>
              <w:t>Financial liabilities</w:t>
            </w:r>
          </w:p>
        </w:tc>
        <w:tc>
          <w:tcPr>
            <w:tcW w:w="1417" w:type="dxa"/>
            <w:tcMar>
              <w:left w:w="108" w:type="dxa"/>
              <w:right w:w="108" w:type="dxa"/>
            </w:tcMar>
            <w:vAlign w:val="center"/>
          </w:tcPr>
          <w:p w14:paraId="09985734" w14:textId="77777777" w:rsidR="000A2ED4" w:rsidRPr="00E70587" w:rsidRDefault="000A2ED4" w:rsidP="0037503C">
            <w:pPr>
              <w:pStyle w:val="tabletext"/>
              <w:overflowPunct w:val="0"/>
              <w:autoSpaceDE w:val="0"/>
              <w:autoSpaceDN w:val="0"/>
              <w:adjustRightInd w:val="0"/>
              <w:spacing w:line="280" w:lineRule="exact"/>
              <w:ind w:left="344"/>
              <w:jc w:val="right"/>
              <w:textAlignment w:val="baseline"/>
              <w:rPr>
                <w:rFonts w:ascii="Arial" w:hAnsi="Arial" w:cs="Arial"/>
                <w:sz w:val="20"/>
                <w:lang w:val="en-IN"/>
              </w:rPr>
            </w:pPr>
          </w:p>
        </w:tc>
        <w:tc>
          <w:tcPr>
            <w:tcW w:w="1418" w:type="dxa"/>
            <w:tcMar>
              <w:left w:w="108" w:type="dxa"/>
              <w:right w:w="108" w:type="dxa"/>
            </w:tcMar>
            <w:vAlign w:val="center"/>
          </w:tcPr>
          <w:p w14:paraId="34562030" w14:textId="77777777" w:rsidR="000A2ED4" w:rsidRPr="00E70587" w:rsidRDefault="000A2ED4" w:rsidP="0037503C">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17" w:type="dxa"/>
            <w:tcMar>
              <w:left w:w="108" w:type="dxa"/>
              <w:right w:w="108" w:type="dxa"/>
            </w:tcMar>
            <w:vAlign w:val="center"/>
          </w:tcPr>
          <w:p w14:paraId="671D910D" w14:textId="77777777" w:rsidR="000A2ED4" w:rsidRPr="00E70587" w:rsidRDefault="000A2ED4" w:rsidP="0037503C">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18" w:type="dxa"/>
            <w:tcMar>
              <w:left w:w="108" w:type="dxa"/>
              <w:right w:w="108" w:type="dxa"/>
            </w:tcMar>
            <w:vAlign w:val="center"/>
          </w:tcPr>
          <w:p w14:paraId="745281BA" w14:textId="77777777" w:rsidR="000A2ED4" w:rsidRPr="00E70587" w:rsidRDefault="000A2ED4" w:rsidP="0037503C">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0A2ED4" w:rsidRPr="00E70587" w14:paraId="6E4A853E" w14:textId="77777777" w:rsidTr="000A2ED4">
        <w:tc>
          <w:tcPr>
            <w:tcW w:w="4111" w:type="dxa"/>
            <w:tcMar>
              <w:left w:w="108" w:type="dxa"/>
              <w:right w:w="108" w:type="dxa"/>
            </w:tcMar>
            <w:vAlign w:val="center"/>
          </w:tcPr>
          <w:p w14:paraId="04C06519"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lastRenderedPageBreak/>
              <w:t>Borrowings</w:t>
            </w:r>
          </w:p>
        </w:tc>
        <w:tc>
          <w:tcPr>
            <w:tcW w:w="1417" w:type="dxa"/>
            <w:tcMar>
              <w:left w:w="108" w:type="dxa"/>
              <w:right w:w="108" w:type="dxa"/>
            </w:tcMar>
            <w:vAlign w:val="center"/>
          </w:tcPr>
          <w:p w14:paraId="63F32162" w14:textId="77777777" w:rsidR="000A2ED4" w:rsidRPr="00E70587" w:rsidRDefault="000A2ED4" w:rsidP="0037503C">
            <w:pPr>
              <w:pStyle w:val="tabletext"/>
              <w:overflowPunct w:val="0"/>
              <w:autoSpaceDE w:val="0"/>
              <w:autoSpaceDN w:val="0"/>
              <w:adjustRightInd w:val="0"/>
              <w:spacing w:line="280" w:lineRule="exact"/>
              <w:ind w:left="344"/>
              <w:jc w:val="right"/>
              <w:textAlignment w:val="baseline"/>
              <w:rPr>
                <w:rFonts w:ascii="Arial" w:hAnsi="Arial" w:cs="Arial"/>
                <w:sz w:val="20"/>
                <w:lang w:val="en-IN"/>
              </w:rPr>
            </w:pPr>
          </w:p>
        </w:tc>
        <w:tc>
          <w:tcPr>
            <w:tcW w:w="1418" w:type="dxa"/>
            <w:tcMar>
              <w:left w:w="108" w:type="dxa"/>
              <w:right w:w="108" w:type="dxa"/>
            </w:tcMar>
            <w:vAlign w:val="center"/>
          </w:tcPr>
          <w:p w14:paraId="01549A60" w14:textId="77777777" w:rsidR="000A2ED4" w:rsidRPr="00E70587" w:rsidRDefault="000A2ED4" w:rsidP="0037503C">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17" w:type="dxa"/>
            <w:tcMar>
              <w:left w:w="108" w:type="dxa"/>
              <w:right w:w="108" w:type="dxa"/>
            </w:tcMar>
            <w:vAlign w:val="center"/>
          </w:tcPr>
          <w:p w14:paraId="25B30C53" w14:textId="77777777" w:rsidR="000A2ED4" w:rsidRPr="00E70587" w:rsidRDefault="000A2ED4" w:rsidP="0037503C">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18" w:type="dxa"/>
            <w:tcMar>
              <w:left w:w="108" w:type="dxa"/>
              <w:right w:w="108" w:type="dxa"/>
            </w:tcMar>
            <w:vAlign w:val="center"/>
          </w:tcPr>
          <w:p w14:paraId="60EC8F83" w14:textId="77777777" w:rsidR="000A2ED4" w:rsidRPr="00E70587" w:rsidRDefault="000A2ED4" w:rsidP="0037503C">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0A2ED4" w:rsidRPr="00E70587" w14:paraId="2B1A52C3" w14:textId="77777777" w:rsidTr="000A2ED4">
        <w:tc>
          <w:tcPr>
            <w:tcW w:w="4111" w:type="dxa"/>
            <w:tcMar>
              <w:left w:w="108" w:type="dxa"/>
              <w:right w:w="108" w:type="dxa"/>
            </w:tcMar>
            <w:vAlign w:val="center"/>
          </w:tcPr>
          <w:p w14:paraId="7DB9FD6F" w14:textId="77777777" w:rsidR="000A2ED4" w:rsidRPr="00E70587" w:rsidRDefault="000A2ED4"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Floating rate borrowings*</w:t>
            </w:r>
          </w:p>
        </w:tc>
        <w:tc>
          <w:tcPr>
            <w:tcW w:w="1417" w:type="dxa"/>
            <w:tcMar>
              <w:left w:w="108" w:type="dxa"/>
              <w:right w:w="0" w:type="dxa"/>
            </w:tcMar>
            <w:vAlign w:val="center"/>
          </w:tcPr>
          <w:p w14:paraId="633C8694"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(22,799)</w:t>
            </w:r>
          </w:p>
        </w:tc>
        <w:tc>
          <w:tcPr>
            <w:tcW w:w="1418" w:type="dxa"/>
            <w:tcMar>
              <w:left w:w="28" w:type="dxa"/>
              <w:right w:w="28" w:type="dxa"/>
            </w:tcMar>
            <w:vAlign w:val="center"/>
          </w:tcPr>
          <w:p w14:paraId="2403D454"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(22,682)</w:t>
            </w:r>
          </w:p>
        </w:tc>
        <w:tc>
          <w:tcPr>
            <w:tcW w:w="1417" w:type="dxa"/>
            <w:tcMar>
              <w:left w:w="108" w:type="dxa"/>
              <w:right w:w="0" w:type="dxa"/>
            </w:tcMar>
            <w:vAlign w:val="center"/>
          </w:tcPr>
          <w:p w14:paraId="41F557F5"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(22,799)</w:t>
            </w:r>
          </w:p>
        </w:tc>
        <w:tc>
          <w:tcPr>
            <w:tcW w:w="1418" w:type="dxa"/>
            <w:tcMar>
              <w:left w:w="28" w:type="dxa"/>
              <w:right w:w="28" w:type="dxa"/>
            </w:tcMar>
            <w:vAlign w:val="center"/>
          </w:tcPr>
          <w:p w14:paraId="7C3C29BE"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(22,682)</w:t>
            </w:r>
          </w:p>
        </w:tc>
      </w:tr>
      <w:tr w:rsidR="000A2ED4" w:rsidRPr="00E70587" w14:paraId="7B7D0A16" w14:textId="77777777" w:rsidTr="000A2ED4">
        <w:tc>
          <w:tcPr>
            <w:tcW w:w="4111" w:type="dxa"/>
            <w:tcMar>
              <w:left w:w="108" w:type="dxa"/>
              <w:right w:w="108" w:type="dxa"/>
            </w:tcMar>
            <w:vAlign w:val="center"/>
          </w:tcPr>
          <w:p w14:paraId="2BE5DCAE" w14:textId="77777777" w:rsidR="000A2ED4" w:rsidRPr="00E70587" w:rsidRDefault="000A2ED4"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Fixed rate borrowings</w:t>
            </w:r>
          </w:p>
        </w:tc>
        <w:tc>
          <w:tcPr>
            <w:tcW w:w="1417" w:type="dxa"/>
            <w:tcMar>
              <w:left w:w="108" w:type="dxa"/>
              <w:right w:w="0" w:type="dxa"/>
            </w:tcMar>
            <w:vAlign w:val="center"/>
          </w:tcPr>
          <w:p w14:paraId="2C4FD0E2"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(11,473)</w:t>
            </w:r>
          </w:p>
        </w:tc>
        <w:tc>
          <w:tcPr>
            <w:tcW w:w="1418" w:type="dxa"/>
            <w:tcMar>
              <w:left w:w="28" w:type="dxa"/>
              <w:right w:w="28" w:type="dxa"/>
            </w:tcMar>
            <w:vAlign w:val="center"/>
          </w:tcPr>
          <w:p w14:paraId="0D0D477F"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(14,830)</w:t>
            </w:r>
          </w:p>
        </w:tc>
        <w:tc>
          <w:tcPr>
            <w:tcW w:w="1417" w:type="dxa"/>
            <w:tcMar>
              <w:left w:w="108" w:type="dxa"/>
              <w:right w:w="0" w:type="dxa"/>
            </w:tcMar>
            <w:vAlign w:val="center"/>
          </w:tcPr>
          <w:p w14:paraId="517C7AFF"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(11,378)</w:t>
            </w:r>
          </w:p>
        </w:tc>
        <w:tc>
          <w:tcPr>
            <w:tcW w:w="1418" w:type="dxa"/>
            <w:tcMar>
              <w:left w:w="28" w:type="dxa"/>
              <w:right w:w="28" w:type="dxa"/>
            </w:tcMar>
            <w:vAlign w:val="center"/>
          </w:tcPr>
          <w:p w14:paraId="2F877AC1"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(16,099)</w:t>
            </w:r>
          </w:p>
        </w:tc>
      </w:tr>
      <w:tr w:rsidR="000A2ED4" w:rsidRPr="00E70587" w14:paraId="54E699DE" w14:textId="77777777" w:rsidTr="000A2ED4">
        <w:tc>
          <w:tcPr>
            <w:tcW w:w="4111" w:type="dxa"/>
            <w:tcMar>
              <w:left w:w="108" w:type="dxa"/>
              <w:right w:w="108" w:type="dxa"/>
            </w:tcMar>
            <w:vAlign w:val="center"/>
          </w:tcPr>
          <w:p w14:paraId="06F8F53E" w14:textId="77777777" w:rsidR="000A2ED4" w:rsidRPr="00E70587" w:rsidRDefault="000A2ED4"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Convertible preference shares</w:t>
            </w:r>
          </w:p>
        </w:tc>
        <w:tc>
          <w:tcPr>
            <w:tcW w:w="1417" w:type="dxa"/>
            <w:tcMar>
              <w:left w:w="108" w:type="dxa"/>
              <w:right w:w="0" w:type="dxa"/>
            </w:tcMar>
            <w:vAlign w:val="center"/>
          </w:tcPr>
          <w:p w14:paraId="17E4F9C2"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(5,000)</w:t>
            </w:r>
          </w:p>
        </w:tc>
        <w:tc>
          <w:tcPr>
            <w:tcW w:w="1418" w:type="dxa"/>
            <w:tcMar>
              <w:left w:w="28" w:type="dxa"/>
              <w:right w:w="28" w:type="dxa"/>
            </w:tcMar>
            <w:vAlign w:val="center"/>
          </w:tcPr>
          <w:p w14:paraId="464E3DB9"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(4,759)</w:t>
            </w:r>
          </w:p>
        </w:tc>
        <w:tc>
          <w:tcPr>
            <w:tcW w:w="1417" w:type="dxa"/>
            <w:tcMar>
              <w:left w:w="108" w:type="dxa"/>
              <w:right w:w="0" w:type="dxa"/>
            </w:tcMar>
            <w:vAlign w:val="center"/>
          </w:tcPr>
          <w:p w14:paraId="42A2CF87"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(4,979)</w:t>
            </w:r>
          </w:p>
        </w:tc>
        <w:tc>
          <w:tcPr>
            <w:tcW w:w="1418" w:type="dxa"/>
            <w:tcMar>
              <w:left w:w="28" w:type="dxa"/>
              <w:right w:w="28" w:type="dxa"/>
            </w:tcMar>
            <w:vAlign w:val="center"/>
          </w:tcPr>
          <w:p w14:paraId="7B004867"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(4,718)</w:t>
            </w:r>
          </w:p>
        </w:tc>
      </w:tr>
      <w:tr w:rsidR="000A2ED4" w:rsidRPr="00E70587" w14:paraId="7FF8CE4F" w14:textId="77777777" w:rsidTr="000A2ED4">
        <w:tc>
          <w:tcPr>
            <w:tcW w:w="4111" w:type="dxa"/>
            <w:tcMar>
              <w:left w:w="108" w:type="dxa"/>
              <w:right w:w="108" w:type="dxa"/>
            </w:tcMar>
            <w:vAlign w:val="center"/>
          </w:tcPr>
          <w:p w14:paraId="2DA9BCA1"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Financial guarantee contracts</w:t>
            </w:r>
          </w:p>
        </w:tc>
        <w:tc>
          <w:tcPr>
            <w:tcW w:w="1417" w:type="dxa"/>
            <w:tcMar>
              <w:left w:w="108" w:type="dxa"/>
              <w:right w:w="0" w:type="dxa"/>
            </w:tcMar>
            <w:vAlign w:val="center"/>
          </w:tcPr>
          <w:p w14:paraId="63B6444D"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(157)</w:t>
            </w:r>
          </w:p>
        </w:tc>
        <w:tc>
          <w:tcPr>
            <w:tcW w:w="1418" w:type="dxa"/>
            <w:tcMar>
              <w:left w:w="28" w:type="dxa"/>
              <w:right w:w="28" w:type="dxa"/>
            </w:tcMar>
            <w:vAlign w:val="center"/>
          </w:tcPr>
          <w:p w14:paraId="626739AD"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(88)</w:t>
            </w:r>
          </w:p>
        </w:tc>
        <w:tc>
          <w:tcPr>
            <w:tcW w:w="1417" w:type="dxa"/>
            <w:tcMar>
              <w:left w:w="108" w:type="dxa"/>
              <w:right w:w="0" w:type="dxa"/>
            </w:tcMar>
            <w:vAlign w:val="center"/>
          </w:tcPr>
          <w:p w14:paraId="2D1C9DC8"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(149)</w:t>
            </w:r>
          </w:p>
        </w:tc>
        <w:tc>
          <w:tcPr>
            <w:tcW w:w="1418" w:type="dxa"/>
            <w:tcMar>
              <w:left w:w="28" w:type="dxa"/>
              <w:right w:w="28" w:type="dxa"/>
            </w:tcMar>
            <w:vAlign w:val="center"/>
          </w:tcPr>
          <w:p w14:paraId="3DDDC5C4"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(81)</w:t>
            </w:r>
          </w:p>
        </w:tc>
      </w:tr>
      <w:tr w:rsidR="000A2ED4" w:rsidRPr="00E70587" w14:paraId="7B691A88" w14:textId="77777777" w:rsidTr="000A2ED4">
        <w:tc>
          <w:tcPr>
            <w:tcW w:w="4111" w:type="dxa"/>
            <w:tcMar>
              <w:left w:w="108" w:type="dxa"/>
              <w:right w:w="108" w:type="dxa"/>
            </w:tcMar>
            <w:vAlign w:val="center"/>
          </w:tcPr>
          <w:p w14:paraId="070FB24D"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Contingent consideration</w:t>
            </w:r>
          </w:p>
        </w:tc>
        <w:tc>
          <w:tcPr>
            <w:tcW w:w="1417" w:type="dxa"/>
            <w:tcMar>
              <w:left w:w="108" w:type="dxa"/>
              <w:right w:w="0" w:type="dxa"/>
            </w:tcMar>
            <w:vAlign w:val="center"/>
          </w:tcPr>
          <w:p w14:paraId="0037E25C"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(1,930)</w:t>
            </w:r>
          </w:p>
        </w:tc>
        <w:tc>
          <w:tcPr>
            <w:tcW w:w="1418" w:type="dxa"/>
            <w:tcMar>
              <w:left w:w="108" w:type="dxa"/>
              <w:right w:w="108" w:type="dxa"/>
            </w:tcMar>
            <w:vAlign w:val="center"/>
          </w:tcPr>
          <w:p w14:paraId="7AF3813D"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w:t>
            </w:r>
          </w:p>
        </w:tc>
        <w:tc>
          <w:tcPr>
            <w:tcW w:w="1417" w:type="dxa"/>
            <w:tcMar>
              <w:left w:w="108" w:type="dxa"/>
              <w:right w:w="0" w:type="dxa"/>
            </w:tcMar>
            <w:vAlign w:val="center"/>
          </w:tcPr>
          <w:p w14:paraId="6AB20C9A"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 xml:space="preserve"> (1,930)</w:t>
            </w:r>
          </w:p>
        </w:tc>
        <w:tc>
          <w:tcPr>
            <w:tcW w:w="1418" w:type="dxa"/>
            <w:tcMar>
              <w:left w:w="108" w:type="dxa"/>
              <w:right w:w="108" w:type="dxa"/>
            </w:tcMar>
            <w:vAlign w:val="center"/>
          </w:tcPr>
          <w:p w14:paraId="4B9A5985"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w:t>
            </w:r>
          </w:p>
        </w:tc>
      </w:tr>
      <w:tr w:rsidR="000A2ED4" w:rsidRPr="00E70587" w14:paraId="5959F31D" w14:textId="77777777" w:rsidTr="000A2ED4">
        <w:tc>
          <w:tcPr>
            <w:tcW w:w="4111" w:type="dxa"/>
            <w:tcMar>
              <w:left w:w="108" w:type="dxa"/>
              <w:right w:w="108" w:type="dxa"/>
            </w:tcMar>
            <w:vAlign w:val="center"/>
          </w:tcPr>
          <w:p w14:paraId="0A2BBDBC"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Derivatives not designated as hedges</w:t>
            </w:r>
          </w:p>
        </w:tc>
        <w:tc>
          <w:tcPr>
            <w:tcW w:w="1417" w:type="dxa"/>
            <w:tcMar>
              <w:left w:w="108" w:type="dxa"/>
              <w:right w:w="0" w:type="dxa"/>
            </w:tcMar>
            <w:vAlign w:val="center"/>
          </w:tcPr>
          <w:p w14:paraId="4B1A7F2E" w14:textId="77777777" w:rsidR="000A2ED4" w:rsidRPr="00E70587" w:rsidRDefault="000A2ED4" w:rsidP="0037503C">
            <w:pPr>
              <w:spacing w:line="280" w:lineRule="exact"/>
              <w:jc w:val="right"/>
              <w:rPr>
                <w:rFonts w:ascii="Arial" w:hAnsi="Arial" w:cs="Arial"/>
                <w:sz w:val="20"/>
              </w:rPr>
            </w:pPr>
          </w:p>
        </w:tc>
        <w:tc>
          <w:tcPr>
            <w:tcW w:w="1418" w:type="dxa"/>
            <w:tcMar>
              <w:left w:w="108" w:type="dxa"/>
              <w:right w:w="108" w:type="dxa"/>
            </w:tcMar>
            <w:vAlign w:val="center"/>
          </w:tcPr>
          <w:p w14:paraId="528DF628" w14:textId="77777777" w:rsidR="000A2ED4" w:rsidRPr="00E70587" w:rsidRDefault="000A2ED4" w:rsidP="0037503C">
            <w:pPr>
              <w:spacing w:line="280" w:lineRule="exact"/>
              <w:jc w:val="right"/>
              <w:rPr>
                <w:rFonts w:ascii="Arial" w:hAnsi="Arial" w:cs="Arial"/>
                <w:sz w:val="20"/>
              </w:rPr>
            </w:pPr>
          </w:p>
        </w:tc>
        <w:tc>
          <w:tcPr>
            <w:tcW w:w="1417" w:type="dxa"/>
            <w:tcMar>
              <w:left w:w="108" w:type="dxa"/>
              <w:right w:w="0" w:type="dxa"/>
            </w:tcMar>
            <w:vAlign w:val="center"/>
          </w:tcPr>
          <w:p w14:paraId="2B292C55" w14:textId="77777777" w:rsidR="000A2ED4" w:rsidRPr="00E70587" w:rsidRDefault="000A2ED4" w:rsidP="0037503C">
            <w:pPr>
              <w:spacing w:line="280" w:lineRule="exact"/>
              <w:jc w:val="right"/>
              <w:rPr>
                <w:rFonts w:ascii="Arial" w:hAnsi="Arial" w:cs="Arial"/>
                <w:sz w:val="20"/>
              </w:rPr>
            </w:pPr>
          </w:p>
        </w:tc>
        <w:tc>
          <w:tcPr>
            <w:tcW w:w="1418" w:type="dxa"/>
            <w:tcMar>
              <w:left w:w="108" w:type="dxa"/>
              <w:right w:w="108" w:type="dxa"/>
            </w:tcMar>
            <w:vAlign w:val="center"/>
          </w:tcPr>
          <w:p w14:paraId="65967D83" w14:textId="77777777" w:rsidR="000A2ED4" w:rsidRPr="00E70587" w:rsidRDefault="000A2ED4" w:rsidP="0037503C">
            <w:pPr>
              <w:spacing w:line="280" w:lineRule="exact"/>
              <w:jc w:val="right"/>
              <w:rPr>
                <w:rFonts w:ascii="Arial" w:hAnsi="Arial" w:cs="Arial"/>
                <w:sz w:val="20"/>
              </w:rPr>
            </w:pPr>
          </w:p>
        </w:tc>
      </w:tr>
      <w:tr w:rsidR="000A2ED4" w:rsidRPr="00E70587" w14:paraId="03892578" w14:textId="77777777" w:rsidTr="000A2ED4">
        <w:tc>
          <w:tcPr>
            <w:tcW w:w="4111" w:type="dxa"/>
            <w:tcMar>
              <w:left w:w="108" w:type="dxa"/>
              <w:right w:w="108" w:type="dxa"/>
            </w:tcMar>
            <w:vAlign w:val="center"/>
          </w:tcPr>
          <w:p w14:paraId="6AD08848" w14:textId="77777777" w:rsidR="000A2ED4" w:rsidRPr="00E70587" w:rsidDel="001C727B" w:rsidRDefault="000A2ED4"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Foreign exchange forward contracts</w:t>
            </w:r>
          </w:p>
        </w:tc>
        <w:tc>
          <w:tcPr>
            <w:tcW w:w="1417" w:type="dxa"/>
            <w:tcMar>
              <w:left w:w="108" w:type="dxa"/>
              <w:right w:w="0" w:type="dxa"/>
            </w:tcMar>
            <w:vAlign w:val="center"/>
          </w:tcPr>
          <w:p w14:paraId="5D092FCF"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(1,296)</w:t>
            </w:r>
          </w:p>
        </w:tc>
        <w:tc>
          <w:tcPr>
            <w:tcW w:w="1418" w:type="dxa"/>
            <w:tcMar>
              <w:left w:w="108" w:type="dxa"/>
              <w:right w:w="108" w:type="dxa"/>
            </w:tcMar>
            <w:vAlign w:val="center"/>
          </w:tcPr>
          <w:p w14:paraId="447C0991"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w:t>
            </w:r>
          </w:p>
        </w:tc>
        <w:tc>
          <w:tcPr>
            <w:tcW w:w="1417" w:type="dxa"/>
            <w:tcMar>
              <w:left w:w="108" w:type="dxa"/>
              <w:right w:w="0" w:type="dxa"/>
            </w:tcMar>
            <w:vAlign w:val="center"/>
          </w:tcPr>
          <w:p w14:paraId="6587D2B2"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(1,296)</w:t>
            </w:r>
          </w:p>
        </w:tc>
        <w:tc>
          <w:tcPr>
            <w:tcW w:w="1418" w:type="dxa"/>
            <w:tcMar>
              <w:left w:w="108" w:type="dxa"/>
              <w:right w:w="108" w:type="dxa"/>
            </w:tcMar>
            <w:vAlign w:val="center"/>
          </w:tcPr>
          <w:p w14:paraId="26AADA65"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w:t>
            </w:r>
          </w:p>
        </w:tc>
      </w:tr>
      <w:tr w:rsidR="000A2ED4" w:rsidRPr="00E70587" w14:paraId="59E040D6" w14:textId="77777777" w:rsidTr="000A2ED4">
        <w:tc>
          <w:tcPr>
            <w:tcW w:w="4111" w:type="dxa"/>
            <w:tcMar>
              <w:left w:w="108" w:type="dxa"/>
              <w:right w:w="108" w:type="dxa"/>
            </w:tcMar>
            <w:vAlign w:val="center"/>
          </w:tcPr>
          <w:p w14:paraId="3F6F18BA" w14:textId="77777777" w:rsidR="000A2ED4" w:rsidRPr="00E70587" w:rsidRDefault="000A2ED4" w:rsidP="009901E1">
            <w:pPr>
              <w:pStyle w:val="tabletext"/>
              <w:overflowPunct w:val="0"/>
              <w:autoSpaceDE w:val="0"/>
              <w:autoSpaceDN w:val="0"/>
              <w:adjustRightInd w:val="0"/>
              <w:spacing w:line="280" w:lineRule="exact"/>
              <w:ind w:left="142"/>
              <w:textAlignment w:val="baseline"/>
              <w:rPr>
                <w:rFonts w:ascii="Arial" w:hAnsi="Arial" w:cs="Arial"/>
                <w:sz w:val="20"/>
                <w:lang w:val="en-IN"/>
              </w:rPr>
            </w:pPr>
            <w:r w:rsidRPr="00E70587">
              <w:rPr>
                <w:rFonts w:ascii="Arial" w:hAnsi="Arial" w:cs="Arial"/>
                <w:sz w:val="20"/>
                <w:lang w:val="en-IN"/>
              </w:rPr>
              <w:t>Embedded derivatives</w:t>
            </w:r>
          </w:p>
        </w:tc>
        <w:tc>
          <w:tcPr>
            <w:tcW w:w="1417" w:type="dxa"/>
            <w:tcMar>
              <w:left w:w="108" w:type="dxa"/>
              <w:right w:w="0" w:type="dxa"/>
            </w:tcMar>
            <w:vAlign w:val="center"/>
          </w:tcPr>
          <w:p w14:paraId="241470E3"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(1,408)</w:t>
            </w:r>
          </w:p>
        </w:tc>
        <w:tc>
          <w:tcPr>
            <w:tcW w:w="1418" w:type="dxa"/>
            <w:tcMar>
              <w:left w:w="108" w:type="dxa"/>
              <w:right w:w="108" w:type="dxa"/>
            </w:tcMar>
            <w:vAlign w:val="center"/>
          </w:tcPr>
          <w:p w14:paraId="3F3B7BB9"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w:t>
            </w:r>
          </w:p>
        </w:tc>
        <w:tc>
          <w:tcPr>
            <w:tcW w:w="1417" w:type="dxa"/>
            <w:tcMar>
              <w:left w:w="108" w:type="dxa"/>
              <w:right w:w="0" w:type="dxa"/>
            </w:tcMar>
            <w:vAlign w:val="center"/>
          </w:tcPr>
          <w:p w14:paraId="68063814"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(1,408)</w:t>
            </w:r>
          </w:p>
        </w:tc>
        <w:tc>
          <w:tcPr>
            <w:tcW w:w="1418" w:type="dxa"/>
            <w:tcMar>
              <w:left w:w="108" w:type="dxa"/>
              <w:right w:w="108" w:type="dxa"/>
            </w:tcMar>
            <w:vAlign w:val="center"/>
          </w:tcPr>
          <w:p w14:paraId="51A2493B"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w:t>
            </w:r>
          </w:p>
        </w:tc>
      </w:tr>
      <w:tr w:rsidR="000A2ED4" w:rsidRPr="00E70587" w14:paraId="639D0ADC" w14:textId="77777777" w:rsidTr="000A2ED4">
        <w:tc>
          <w:tcPr>
            <w:tcW w:w="4111" w:type="dxa"/>
            <w:tcMar>
              <w:left w:w="108" w:type="dxa"/>
              <w:right w:w="108" w:type="dxa"/>
            </w:tcMar>
            <w:vAlign w:val="center"/>
          </w:tcPr>
          <w:p w14:paraId="0B243ADF"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Derivatives in effective hedges</w:t>
            </w:r>
          </w:p>
        </w:tc>
        <w:tc>
          <w:tcPr>
            <w:tcW w:w="1417" w:type="dxa"/>
            <w:tcBorders>
              <w:bottom w:val="single" w:sz="4" w:space="0" w:color="auto"/>
            </w:tcBorders>
            <w:tcMar>
              <w:left w:w="108" w:type="dxa"/>
              <w:right w:w="0" w:type="dxa"/>
            </w:tcMar>
            <w:vAlign w:val="center"/>
          </w:tcPr>
          <w:p w14:paraId="07F32A6C" w14:textId="77777777" w:rsidR="000A2ED4" w:rsidRPr="00E70587" w:rsidRDefault="000A2ED4" w:rsidP="00FA1F28">
            <w:pPr>
              <w:spacing w:line="280" w:lineRule="exact"/>
              <w:jc w:val="right"/>
              <w:rPr>
                <w:rFonts w:ascii="Arial" w:hAnsi="Arial" w:cs="Arial"/>
                <w:sz w:val="20"/>
              </w:rPr>
            </w:pPr>
            <w:r w:rsidRPr="00E70587">
              <w:rPr>
                <w:rFonts w:ascii="Arial" w:hAnsi="Arial" w:cs="Arial"/>
                <w:sz w:val="20"/>
              </w:rPr>
              <w:t>(2,</w:t>
            </w:r>
            <w:r w:rsidR="00FA1F28" w:rsidRPr="00E70587">
              <w:rPr>
                <w:rFonts w:ascii="Arial" w:hAnsi="Arial" w:cs="Arial"/>
                <w:sz w:val="20"/>
              </w:rPr>
              <w:t>132</w:t>
            </w:r>
            <w:r w:rsidRPr="00E70587">
              <w:rPr>
                <w:rFonts w:ascii="Arial" w:hAnsi="Arial" w:cs="Arial"/>
                <w:sz w:val="20"/>
              </w:rPr>
              <w:t>)</w:t>
            </w:r>
          </w:p>
        </w:tc>
        <w:tc>
          <w:tcPr>
            <w:tcW w:w="1418" w:type="dxa"/>
            <w:tcBorders>
              <w:bottom w:val="single" w:sz="4" w:space="0" w:color="auto"/>
            </w:tcBorders>
            <w:tcMar>
              <w:left w:w="108" w:type="dxa"/>
              <w:right w:w="108" w:type="dxa"/>
            </w:tcMar>
            <w:vAlign w:val="center"/>
          </w:tcPr>
          <w:p w14:paraId="16AF278F"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(457)</w:t>
            </w:r>
          </w:p>
        </w:tc>
        <w:tc>
          <w:tcPr>
            <w:tcW w:w="1417" w:type="dxa"/>
            <w:tcBorders>
              <w:bottom w:val="single" w:sz="4" w:space="0" w:color="auto"/>
            </w:tcBorders>
            <w:tcMar>
              <w:left w:w="108" w:type="dxa"/>
              <w:right w:w="0" w:type="dxa"/>
            </w:tcMar>
            <w:vAlign w:val="center"/>
          </w:tcPr>
          <w:p w14:paraId="588D66E0"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(2,133)</w:t>
            </w:r>
          </w:p>
        </w:tc>
        <w:tc>
          <w:tcPr>
            <w:tcW w:w="1418" w:type="dxa"/>
            <w:tcBorders>
              <w:bottom w:val="single" w:sz="4" w:space="0" w:color="auto"/>
            </w:tcBorders>
            <w:tcMar>
              <w:left w:w="108" w:type="dxa"/>
              <w:right w:w="28" w:type="dxa"/>
            </w:tcMar>
            <w:vAlign w:val="center"/>
          </w:tcPr>
          <w:p w14:paraId="43B0759E" w14:textId="77777777" w:rsidR="000A2ED4" w:rsidRPr="00E70587" w:rsidRDefault="000A2ED4" w:rsidP="0037503C">
            <w:pPr>
              <w:spacing w:line="280" w:lineRule="exact"/>
              <w:jc w:val="right"/>
              <w:rPr>
                <w:rFonts w:ascii="Arial" w:hAnsi="Arial" w:cs="Arial"/>
                <w:sz w:val="20"/>
              </w:rPr>
            </w:pPr>
            <w:r w:rsidRPr="00E70587">
              <w:rPr>
                <w:rFonts w:ascii="Arial" w:hAnsi="Arial" w:cs="Arial"/>
                <w:sz w:val="20"/>
              </w:rPr>
              <w:t>(457)</w:t>
            </w:r>
          </w:p>
        </w:tc>
      </w:tr>
      <w:tr w:rsidR="000A2ED4" w:rsidRPr="00E70587" w14:paraId="3461AB9C" w14:textId="77777777" w:rsidTr="000A2ED4">
        <w:tc>
          <w:tcPr>
            <w:tcW w:w="4111" w:type="dxa"/>
            <w:tcMar>
              <w:left w:w="108" w:type="dxa"/>
              <w:right w:w="108" w:type="dxa"/>
            </w:tcMar>
            <w:vAlign w:val="center"/>
          </w:tcPr>
          <w:p w14:paraId="1AB6794F" w14:textId="77777777" w:rsidR="000A2ED4" w:rsidRPr="00E70587" w:rsidRDefault="000A2ED4"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Total</w:t>
            </w:r>
          </w:p>
        </w:tc>
        <w:tc>
          <w:tcPr>
            <w:tcW w:w="1417" w:type="dxa"/>
            <w:tcBorders>
              <w:top w:val="single" w:sz="4" w:space="0" w:color="auto"/>
              <w:bottom w:val="single" w:sz="4" w:space="0" w:color="auto"/>
            </w:tcBorders>
            <w:tcMar>
              <w:left w:w="28" w:type="dxa"/>
              <w:right w:w="0" w:type="dxa"/>
            </w:tcMar>
            <w:vAlign w:val="center"/>
          </w:tcPr>
          <w:p w14:paraId="655887F1" w14:textId="50349E0E" w:rsidR="000A2ED4" w:rsidRPr="00E70587" w:rsidRDefault="000A2ED4" w:rsidP="0037503C">
            <w:pPr>
              <w:spacing w:line="280" w:lineRule="exact"/>
              <w:jc w:val="right"/>
              <w:rPr>
                <w:rFonts w:ascii="Arial" w:hAnsi="Arial" w:cs="Arial"/>
                <w:b/>
                <w:bCs/>
                <w:sz w:val="20"/>
              </w:rPr>
            </w:pPr>
            <w:r w:rsidRPr="00E70587">
              <w:rPr>
                <w:rFonts w:ascii="Arial" w:hAnsi="Arial" w:cs="Arial"/>
                <w:b/>
                <w:bCs/>
                <w:sz w:val="20"/>
              </w:rPr>
              <w:t>(</w:t>
            </w:r>
            <w:r w:rsidR="000F75B2" w:rsidRPr="00E70587">
              <w:rPr>
                <w:rFonts w:ascii="Arial" w:hAnsi="Arial" w:cs="Arial"/>
                <w:b/>
                <w:bCs/>
                <w:sz w:val="20"/>
              </w:rPr>
              <w:t>4</w:t>
            </w:r>
            <w:r w:rsidR="000F75B2">
              <w:rPr>
                <w:rFonts w:ascii="Arial" w:hAnsi="Arial" w:cs="Arial"/>
                <w:b/>
                <w:bCs/>
                <w:sz w:val="20"/>
              </w:rPr>
              <w:t>6</w:t>
            </w:r>
            <w:r w:rsidRPr="00E70587">
              <w:rPr>
                <w:rFonts w:ascii="Arial" w:hAnsi="Arial" w:cs="Arial"/>
                <w:b/>
                <w:bCs/>
                <w:sz w:val="20"/>
              </w:rPr>
              <w:t>,</w:t>
            </w:r>
            <w:r w:rsidR="000F75B2">
              <w:rPr>
                <w:rFonts w:ascii="Arial" w:hAnsi="Arial" w:cs="Arial"/>
                <w:b/>
                <w:bCs/>
                <w:sz w:val="20"/>
              </w:rPr>
              <w:t>195</w:t>
            </w:r>
            <w:r w:rsidRPr="00E70587">
              <w:rPr>
                <w:rFonts w:ascii="Arial" w:hAnsi="Arial" w:cs="Arial"/>
                <w:b/>
                <w:bCs/>
                <w:sz w:val="20"/>
              </w:rPr>
              <w:t>)</w:t>
            </w:r>
          </w:p>
        </w:tc>
        <w:tc>
          <w:tcPr>
            <w:tcW w:w="1418" w:type="dxa"/>
            <w:tcBorders>
              <w:top w:val="single" w:sz="4" w:space="0" w:color="auto"/>
              <w:bottom w:val="single" w:sz="4" w:space="0" w:color="auto"/>
            </w:tcBorders>
            <w:tcMar>
              <w:left w:w="28" w:type="dxa"/>
              <w:right w:w="108" w:type="dxa"/>
            </w:tcMar>
            <w:vAlign w:val="center"/>
          </w:tcPr>
          <w:p w14:paraId="106403E4" w14:textId="5C91787C" w:rsidR="000A2ED4" w:rsidRPr="00E70587" w:rsidRDefault="000A2ED4" w:rsidP="0037503C">
            <w:pPr>
              <w:spacing w:line="280" w:lineRule="exact"/>
              <w:jc w:val="right"/>
              <w:rPr>
                <w:rFonts w:ascii="Arial" w:hAnsi="Arial" w:cs="Arial"/>
                <w:b/>
                <w:bCs/>
                <w:sz w:val="20"/>
              </w:rPr>
            </w:pPr>
            <w:r w:rsidRPr="00E70587">
              <w:rPr>
                <w:rFonts w:ascii="Arial" w:hAnsi="Arial" w:cs="Arial"/>
                <w:b/>
                <w:bCs/>
                <w:sz w:val="20"/>
              </w:rPr>
              <w:t>(</w:t>
            </w:r>
            <w:r w:rsidR="000F75B2" w:rsidRPr="00E70587">
              <w:rPr>
                <w:rFonts w:ascii="Arial" w:hAnsi="Arial" w:cs="Arial"/>
                <w:b/>
                <w:bCs/>
                <w:sz w:val="20"/>
              </w:rPr>
              <w:t>4</w:t>
            </w:r>
            <w:r w:rsidR="000F75B2">
              <w:rPr>
                <w:rFonts w:ascii="Arial" w:hAnsi="Arial" w:cs="Arial"/>
                <w:b/>
                <w:bCs/>
                <w:sz w:val="20"/>
              </w:rPr>
              <w:t>2</w:t>
            </w:r>
            <w:r w:rsidRPr="00E70587">
              <w:rPr>
                <w:rFonts w:ascii="Arial" w:hAnsi="Arial" w:cs="Arial"/>
                <w:b/>
                <w:bCs/>
                <w:sz w:val="20"/>
              </w:rPr>
              <w:t>,</w:t>
            </w:r>
            <w:r w:rsidR="000F75B2">
              <w:rPr>
                <w:rFonts w:ascii="Arial" w:hAnsi="Arial" w:cs="Arial"/>
                <w:b/>
                <w:bCs/>
                <w:sz w:val="20"/>
              </w:rPr>
              <w:t>816</w:t>
            </w:r>
            <w:r w:rsidRPr="00E70587">
              <w:rPr>
                <w:rFonts w:ascii="Arial" w:hAnsi="Arial" w:cs="Arial"/>
                <w:b/>
                <w:bCs/>
                <w:sz w:val="20"/>
              </w:rPr>
              <w:t>)</w:t>
            </w:r>
          </w:p>
        </w:tc>
        <w:tc>
          <w:tcPr>
            <w:tcW w:w="1417" w:type="dxa"/>
            <w:tcBorders>
              <w:top w:val="single" w:sz="4" w:space="0" w:color="auto"/>
              <w:bottom w:val="single" w:sz="4" w:space="0" w:color="auto"/>
            </w:tcBorders>
            <w:tcMar>
              <w:left w:w="28" w:type="dxa"/>
              <w:right w:w="108" w:type="dxa"/>
            </w:tcMar>
            <w:vAlign w:val="center"/>
          </w:tcPr>
          <w:p w14:paraId="67F60569" w14:textId="3EE1DFED" w:rsidR="000A2ED4" w:rsidRPr="00E70587" w:rsidRDefault="000A2ED4" w:rsidP="0037503C">
            <w:pPr>
              <w:spacing w:line="280" w:lineRule="exact"/>
              <w:jc w:val="right"/>
              <w:rPr>
                <w:rFonts w:ascii="Arial" w:hAnsi="Arial" w:cs="Arial"/>
                <w:b/>
                <w:bCs/>
                <w:sz w:val="20"/>
              </w:rPr>
            </w:pPr>
            <w:r w:rsidRPr="00E70587">
              <w:rPr>
                <w:rFonts w:ascii="Arial" w:hAnsi="Arial" w:cs="Arial"/>
                <w:b/>
                <w:bCs/>
                <w:sz w:val="20"/>
              </w:rPr>
              <w:t xml:space="preserve"> (</w:t>
            </w:r>
            <w:r w:rsidR="00B05236" w:rsidRPr="00E70587">
              <w:rPr>
                <w:rFonts w:ascii="Arial" w:hAnsi="Arial" w:cs="Arial"/>
                <w:b/>
                <w:bCs/>
                <w:sz w:val="20"/>
              </w:rPr>
              <w:t>4</w:t>
            </w:r>
            <w:r w:rsidR="00B05236">
              <w:rPr>
                <w:rFonts w:ascii="Arial" w:hAnsi="Arial" w:cs="Arial"/>
                <w:b/>
                <w:bCs/>
                <w:sz w:val="20"/>
              </w:rPr>
              <w:t>6</w:t>
            </w:r>
            <w:r w:rsidRPr="00E70587">
              <w:rPr>
                <w:rFonts w:ascii="Arial" w:hAnsi="Arial" w:cs="Arial"/>
                <w:b/>
                <w:bCs/>
                <w:sz w:val="20"/>
              </w:rPr>
              <w:t>,</w:t>
            </w:r>
            <w:r w:rsidR="00B05236">
              <w:rPr>
                <w:rFonts w:ascii="Arial" w:hAnsi="Arial" w:cs="Arial"/>
                <w:b/>
                <w:bCs/>
                <w:sz w:val="20"/>
              </w:rPr>
              <w:t>072</w:t>
            </w:r>
            <w:r w:rsidRPr="00E70587">
              <w:rPr>
                <w:rFonts w:ascii="Arial" w:hAnsi="Arial" w:cs="Arial"/>
                <w:b/>
                <w:bCs/>
                <w:sz w:val="20"/>
              </w:rPr>
              <w:t>)</w:t>
            </w:r>
          </w:p>
        </w:tc>
        <w:tc>
          <w:tcPr>
            <w:tcW w:w="1418" w:type="dxa"/>
            <w:tcBorders>
              <w:top w:val="single" w:sz="4" w:space="0" w:color="auto"/>
              <w:bottom w:val="single" w:sz="4" w:space="0" w:color="auto"/>
            </w:tcBorders>
            <w:tcMar>
              <w:left w:w="0" w:type="dxa"/>
              <w:right w:w="0" w:type="dxa"/>
            </w:tcMar>
            <w:vAlign w:val="center"/>
          </w:tcPr>
          <w:p w14:paraId="643A8733" w14:textId="2B076ECF" w:rsidR="000A2ED4" w:rsidRPr="00E70587" w:rsidRDefault="000A2ED4" w:rsidP="0037503C">
            <w:pPr>
              <w:spacing w:line="280" w:lineRule="exact"/>
              <w:jc w:val="right"/>
              <w:rPr>
                <w:rFonts w:ascii="Arial" w:hAnsi="Arial" w:cs="Arial"/>
                <w:b/>
                <w:bCs/>
                <w:sz w:val="20"/>
              </w:rPr>
            </w:pPr>
            <w:r w:rsidRPr="00E70587">
              <w:rPr>
                <w:rFonts w:ascii="Arial" w:hAnsi="Arial" w:cs="Arial"/>
                <w:b/>
                <w:bCs/>
                <w:sz w:val="20"/>
              </w:rPr>
              <w:t>(</w:t>
            </w:r>
            <w:r w:rsidR="00B05236" w:rsidRPr="00E70587">
              <w:rPr>
                <w:rFonts w:ascii="Arial" w:hAnsi="Arial" w:cs="Arial"/>
                <w:b/>
                <w:bCs/>
                <w:sz w:val="20"/>
              </w:rPr>
              <w:t>4</w:t>
            </w:r>
            <w:r w:rsidR="00B05236">
              <w:rPr>
                <w:rFonts w:ascii="Arial" w:hAnsi="Arial" w:cs="Arial"/>
                <w:b/>
                <w:bCs/>
                <w:sz w:val="20"/>
              </w:rPr>
              <w:t>4</w:t>
            </w:r>
            <w:r w:rsidRPr="00E70587">
              <w:rPr>
                <w:rFonts w:ascii="Arial" w:hAnsi="Arial" w:cs="Arial"/>
                <w:b/>
                <w:bCs/>
                <w:sz w:val="20"/>
              </w:rPr>
              <w:t>,</w:t>
            </w:r>
            <w:r w:rsidR="00B05236">
              <w:rPr>
                <w:rFonts w:ascii="Arial" w:hAnsi="Arial" w:cs="Arial"/>
                <w:b/>
                <w:bCs/>
                <w:sz w:val="20"/>
              </w:rPr>
              <w:t>037</w:t>
            </w:r>
            <w:r w:rsidRPr="00E70587">
              <w:rPr>
                <w:rFonts w:ascii="Arial" w:hAnsi="Arial" w:cs="Arial"/>
                <w:b/>
                <w:bCs/>
                <w:sz w:val="20"/>
              </w:rPr>
              <w:t>)</w:t>
            </w:r>
          </w:p>
        </w:tc>
      </w:tr>
    </w:tbl>
    <w:p w14:paraId="220151B8" w14:textId="77777777" w:rsidR="00FB6718" w:rsidRPr="00E70587" w:rsidRDefault="00FB6718" w:rsidP="009901E1">
      <w:pPr>
        <w:pStyle w:val="Notesbodytext"/>
        <w:spacing w:after="0" w:line="280" w:lineRule="exact"/>
        <w:rPr>
          <w:rFonts w:ascii="Arial" w:hAnsi="Arial"/>
          <w:color w:val="auto"/>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6091A" w:rsidRPr="00E70587" w14:paraId="7269F38A" w14:textId="77777777" w:rsidTr="00834981">
        <w:tc>
          <w:tcPr>
            <w:tcW w:w="0" w:type="auto"/>
            <w:tcBorders>
              <w:top w:val="nil"/>
              <w:left w:val="nil"/>
              <w:bottom w:val="nil"/>
              <w:right w:val="nil"/>
            </w:tcBorders>
          </w:tcPr>
          <w:p w14:paraId="27A8D5B7" w14:textId="77777777" w:rsidR="0086091A" w:rsidRPr="00E70587" w:rsidRDefault="0086091A" w:rsidP="00440558">
            <w:pPr>
              <w:spacing w:line="280" w:lineRule="exact"/>
              <w:jc w:val="both"/>
              <w:rPr>
                <w:rFonts w:ascii="Arial" w:hAnsi="Arial" w:cs="Arial"/>
                <w:i/>
                <w:sz w:val="20"/>
              </w:rPr>
            </w:pPr>
            <w:r w:rsidRPr="00E70587">
              <w:rPr>
                <w:rFonts w:ascii="Arial" w:hAnsi="Arial" w:cs="Arial"/>
                <w:i/>
                <w:sz w:val="20"/>
              </w:rPr>
              <w:t>* Includes an 8.25% secured loan carried at amortised cost adjusted for the fair value movement due to the hedged interest rate risk.</w:t>
            </w:r>
          </w:p>
          <w:p w14:paraId="131B871A" w14:textId="6FF2DDD9" w:rsidR="0086091A" w:rsidRDefault="002238A0" w:rsidP="002238A0">
            <w:pPr>
              <w:pStyle w:val="Notesbodytext"/>
              <w:tabs>
                <w:tab w:val="left" w:pos="3240"/>
              </w:tabs>
              <w:spacing w:after="0" w:line="280" w:lineRule="exact"/>
              <w:jc w:val="both"/>
              <w:rPr>
                <w:rFonts w:ascii="Arial" w:hAnsi="Arial"/>
                <w:color w:val="auto"/>
                <w:sz w:val="20"/>
              </w:rPr>
            </w:pPr>
            <w:r>
              <w:rPr>
                <w:rFonts w:ascii="Arial" w:hAnsi="Arial"/>
                <w:color w:val="auto"/>
                <w:sz w:val="20"/>
              </w:rPr>
              <w:tab/>
            </w:r>
          </w:p>
          <w:p w14:paraId="2D508623" w14:textId="75C806FF" w:rsidR="002238A0" w:rsidRPr="002238A0" w:rsidRDefault="002238A0" w:rsidP="002238A0">
            <w:pPr>
              <w:pStyle w:val="Notesbodytext"/>
              <w:shd w:val="clear" w:color="auto" w:fill="C1C1C1" w:themeFill="background1" w:themeFillTint="66"/>
              <w:tabs>
                <w:tab w:val="left" w:pos="3240"/>
              </w:tabs>
              <w:spacing w:line="280" w:lineRule="exact"/>
              <w:jc w:val="both"/>
              <w:rPr>
                <w:rFonts w:ascii="Arial" w:hAnsi="Arial"/>
                <w:b/>
                <w:bCs/>
                <w:color w:val="auto"/>
                <w:sz w:val="20"/>
              </w:rPr>
            </w:pPr>
            <w:r w:rsidRPr="002238A0">
              <w:rPr>
                <w:rFonts w:ascii="Arial" w:hAnsi="Arial"/>
                <w:b/>
                <w:bCs/>
                <w:color w:val="auto"/>
                <w:sz w:val="20"/>
              </w:rPr>
              <w:t>Author’s Note</w:t>
            </w:r>
          </w:p>
          <w:p w14:paraId="0536BEB1" w14:textId="77777777" w:rsidR="002238A0" w:rsidRPr="002238A0" w:rsidRDefault="002238A0" w:rsidP="002238A0">
            <w:pPr>
              <w:pStyle w:val="Notesbodytext"/>
              <w:shd w:val="clear" w:color="auto" w:fill="C1C1C1" w:themeFill="background1" w:themeFillTint="66"/>
              <w:tabs>
                <w:tab w:val="left" w:pos="3240"/>
              </w:tabs>
              <w:spacing w:line="280" w:lineRule="exact"/>
              <w:jc w:val="both"/>
              <w:rPr>
                <w:rFonts w:ascii="Arial" w:hAnsi="Arial"/>
                <w:color w:val="auto"/>
                <w:sz w:val="20"/>
              </w:rPr>
            </w:pPr>
            <w:r w:rsidRPr="002238A0">
              <w:rPr>
                <w:rFonts w:ascii="Arial" w:hAnsi="Arial"/>
                <w:color w:val="auto"/>
                <w:sz w:val="20"/>
              </w:rPr>
              <w:t xml:space="preserve">Ind AS 107.29 provides that disclosure of the fair values of financial instruments is not required: </w:t>
            </w:r>
          </w:p>
          <w:p w14:paraId="0D7DD9DA" w14:textId="6A465C20" w:rsidR="002238A0" w:rsidRPr="002238A0" w:rsidRDefault="002238A0" w:rsidP="002238A0">
            <w:pPr>
              <w:pStyle w:val="Notesbodytext"/>
              <w:shd w:val="clear" w:color="auto" w:fill="C1C1C1" w:themeFill="background1" w:themeFillTint="66"/>
              <w:tabs>
                <w:tab w:val="left" w:pos="3240"/>
              </w:tabs>
              <w:spacing w:line="280" w:lineRule="exact"/>
              <w:jc w:val="both"/>
              <w:rPr>
                <w:rFonts w:ascii="Arial" w:hAnsi="Arial"/>
                <w:color w:val="auto"/>
                <w:sz w:val="20"/>
              </w:rPr>
            </w:pPr>
            <w:r w:rsidRPr="002238A0">
              <w:rPr>
                <w:rFonts w:ascii="Arial" w:hAnsi="Arial"/>
                <w:color w:val="auto"/>
                <w:sz w:val="20"/>
              </w:rPr>
              <w:t xml:space="preserve">• When the carrying amount is a reasonable approximation of fair value (e.g., short-term trade receivables and payables) </w:t>
            </w:r>
          </w:p>
          <w:p w14:paraId="1CB734E3" w14:textId="284932F5" w:rsidR="002238A0" w:rsidRPr="002238A0" w:rsidRDefault="002238A0" w:rsidP="002238A0">
            <w:pPr>
              <w:pStyle w:val="Notesbodytext"/>
              <w:shd w:val="clear" w:color="auto" w:fill="C1C1C1" w:themeFill="background1" w:themeFillTint="66"/>
              <w:tabs>
                <w:tab w:val="left" w:pos="3240"/>
              </w:tabs>
              <w:spacing w:line="280" w:lineRule="exact"/>
              <w:jc w:val="both"/>
              <w:rPr>
                <w:rFonts w:ascii="Arial" w:hAnsi="Arial"/>
                <w:color w:val="auto"/>
                <w:sz w:val="20"/>
              </w:rPr>
            </w:pPr>
            <w:r w:rsidRPr="002238A0">
              <w:rPr>
                <w:rFonts w:ascii="Arial" w:hAnsi="Arial"/>
                <w:color w:val="auto"/>
                <w:sz w:val="20"/>
              </w:rPr>
              <w:t>• For a contract containing a discretionary participating feature (as described in Ind AS 104) if the fair value of that feature cannot be measured reliably</w:t>
            </w:r>
          </w:p>
          <w:p w14:paraId="3B749D4A" w14:textId="77777777" w:rsidR="002238A0" w:rsidRPr="002238A0" w:rsidRDefault="002238A0" w:rsidP="002238A0">
            <w:pPr>
              <w:pStyle w:val="Notesbodytext"/>
              <w:shd w:val="clear" w:color="auto" w:fill="C1C1C1" w:themeFill="background1" w:themeFillTint="66"/>
              <w:tabs>
                <w:tab w:val="left" w:pos="3240"/>
              </w:tabs>
              <w:spacing w:line="280" w:lineRule="exact"/>
              <w:jc w:val="both"/>
              <w:rPr>
                <w:rFonts w:ascii="Arial" w:hAnsi="Arial"/>
                <w:color w:val="auto"/>
                <w:sz w:val="20"/>
              </w:rPr>
            </w:pPr>
            <w:r w:rsidRPr="002238A0">
              <w:rPr>
                <w:rFonts w:ascii="Arial" w:hAnsi="Arial"/>
                <w:color w:val="auto"/>
                <w:sz w:val="20"/>
              </w:rPr>
              <w:t>or</w:t>
            </w:r>
          </w:p>
          <w:p w14:paraId="5335AF17" w14:textId="03C2FBE6" w:rsidR="002238A0" w:rsidRDefault="002238A0" w:rsidP="002238A0">
            <w:pPr>
              <w:pStyle w:val="Notesbodytext"/>
              <w:shd w:val="clear" w:color="auto" w:fill="C1C1C1" w:themeFill="background1" w:themeFillTint="66"/>
              <w:tabs>
                <w:tab w:val="left" w:pos="3240"/>
              </w:tabs>
              <w:spacing w:after="0" w:line="280" w:lineRule="exact"/>
              <w:jc w:val="both"/>
              <w:rPr>
                <w:rFonts w:ascii="Arial" w:hAnsi="Arial"/>
                <w:color w:val="auto"/>
                <w:sz w:val="20"/>
              </w:rPr>
            </w:pPr>
            <w:r w:rsidRPr="002238A0">
              <w:rPr>
                <w:rFonts w:ascii="Arial" w:hAnsi="Arial"/>
                <w:color w:val="auto"/>
                <w:sz w:val="20"/>
              </w:rPr>
              <w:t>• For lease liabilities</w:t>
            </w:r>
          </w:p>
          <w:p w14:paraId="6253E1D6" w14:textId="470BB9D1" w:rsidR="002238A0" w:rsidRDefault="002238A0" w:rsidP="002238A0">
            <w:pPr>
              <w:pStyle w:val="Notesbodytext"/>
              <w:tabs>
                <w:tab w:val="left" w:pos="3240"/>
              </w:tabs>
              <w:spacing w:after="0" w:line="280" w:lineRule="exact"/>
              <w:jc w:val="both"/>
              <w:rPr>
                <w:rFonts w:ascii="Arial" w:hAnsi="Arial"/>
                <w:color w:val="auto"/>
                <w:sz w:val="20"/>
              </w:rPr>
            </w:pPr>
          </w:p>
          <w:p w14:paraId="27E4500F" w14:textId="77777777" w:rsidR="002238A0" w:rsidRPr="00E70587" w:rsidRDefault="002238A0" w:rsidP="002238A0">
            <w:pPr>
              <w:pStyle w:val="Notesbodytext"/>
              <w:tabs>
                <w:tab w:val="left" w:pos="3240"/>
              </w:tabs>
              <w:spacing w:after="0" w:line="280" w:lineRule="exact"/>
              <w:jc w:val="both"/>
              <w:rPr>
                <w:rFonts w:ascii="Arial" w:hAnsi="Arial"/>
                <w:color w:val="auto"/>
                <w:sz w:val="20"/>
              </w:rPr>
            </w:pPr>
          </w:p>
          <w:p w14:paraId="221ABE13" w14:textId="77777777" w:rsidR="0086091A" w:rsidRPr="00E70587" w:rsidRDefault="0086091A" w:rsidP="00440558">
            <w:pPr>
              <w:pStyle w:val="Notesbodytext"/>
              <w:spacing w:after="0" w:line="280" w:lineRule="exact"/>
              <w:jc w:val="both"/>
              <w:rPr>
                <w:rFonts w:ascii="Arial" w:hAnsi="Arial"/>
                <w:color w:val="auto"/>
                <w:sz w:val="20"/>
              </w:rPr>
            </w:pPr>
            <w:r w:rsidRPr="00E70587">
              <w:rPr>
                <w:rFonts w:ascii="Arial" w:hAnsi="Arial"/>
                <w:color w:val="auto"/>
                <w:sz w:val="20"/>
              </w:rPr>
              <w:t xml:space="preserve">The management assessed that cash and </w:t>
            </w:r>
            <w:r w:rsidR="001110CD" w:rsidRPr="00E70587">
              <w:rPr>
                <w:rFonts w:ascii="Arial" w:hAnsi="Arial"/>
                <w:color w:val="auto"/>
                <w:sz w:val="20"/>
              </w:rPr>
              <w:t>cash equivalents</w:t>
            </w:r>
            <w:r w:rsidRPr="00E70587">
              <w:rPr>
                <w:rFonts w:ascii="Arial" w:hAnsi="Arial"/>
                <w:color w:val="auto"/>
                <w:sz w:val="20"/>
              </w:rPr>
              <w:t>, trade receivables, trade payables, bank overdrafts and other current liabilities approximate their carrying amounts largely due to the short-term maturities of these instruments.</w:t>
            </w:r>
          </w:p>
          <w:p w14:paraId="76FA9945" w14:textId="77777777" w:rsidR="0086091A" w:rsidRPr="00E70587" w:rsidRDefault="0086091A" w:rsidP="00440558">
            <w:pPr>
              <w:spacing w:line="280" w:lineRule="exact"/>
              <w:jc w:val="both"/>
              <w:rPr>
                <w:rFonts w:ascii="Arial" w:hAnsi="Arial" w:cs="Arial"/>
                <w:sz w:val="20"/>
              </w:rPr>
            </w:pPr>
          </w:p>
          <w:p w14:paraId="06D6D904" w14:textId="77777777" w:rsidR="00440558" w:rsidRPr="00E70587" w:rsidRDefault="0086091A" w:rsidP="00440558">
            <w:pPr>
              <w:spacing w:line="280" w:lineRule="exact"/>
              <w:jc w:val="both"/>
              <w:rPr>
                <w:rFonts w:ascii="Arial" w:hAnsi="Arial" w:cs="Arial"/>
                <w:sz w:val="20"/>
              </w:rPr>
            </w:pPr>
            <w:r w:rsidRPr="00E70587">
              <w:rPr>
                <w:rFonts w:ascii="Arial" w:hAnsi="Arial" w:cs="Arial"/>
                <w:sz w:val="20"/>
              </w:rPr>
              <w:t>The fair value of the financial assets and liabilities is included at the amount at which the instrument could be exchanged in a current transaction between willing parties, other than in a forced or liquidation sale.</w:t>
            </w:r>
          </w:p>
          <w:p w14:paraId="7B50261F" w14:textId="77777777" w:rsidR="0086091A" w:rsidRPr="00E70587" w:rsidRDefault="0086091A" w:rsidP="00440558">
            <w:pPr>
              <w:spacing w:line="280" w:lineRule="exact"/>
              <w:jc w:val="both"/>
              <w:rPr>
                <w:rFonts w:ascii="Arial" w:hAnsi="Arial" w:cs="Arial"/>
                <w:sz w:val="20"/>
              </w:rPr>
            </w:pPr>
          </w:p>
          <w:p w14:paraId="4CD371E4" w14:textId="77777777" w:rsidR="0086091A" w:rsidRPr="00E70587" w:rsidRDefault="0086091A" w:rsidP="00440558">
            <w:pPr>
              <w:spacing w:line="280" w:lineRule="exact"/>
              <w:jc w:val="both"/>
              <w:rPr>
                <w:rFonts w:ascii="Arial" w:hAnsi="Arial" w:cs="Arial"/>
                <w:b/>
                <w:sz w:val="20"/>
              </w:rPr>
            </w:pPr>
            <w:r w:rsidRPr="00E70587">
              <w:rPr>
                <w:rFonts w:ascii="Arial" w:hAnsi="Arial" w:cs="Arial"/>
                <w:b/>
                <w:sz w:val="20"/>
              </w:rPr>
              <w:t>The following methods and assumptions were used to estimate the fair values:</w:t>
            </w:r>
          </w:p>
          <w:p w14:paraId="66C510C4" w14:textId="77777777" w:rsidR="0086091A" w:rsidRPr="00E70587" w:rsidRDefault="0086091A" w:rsidP="00440558">
            <w:pPr>
              <w:pStyle w:val="Notesbulletpoint"/>
              <w:spacing w:before="120" w:after="0" w:line="280" w:lineRule="exact"/>
              <w:ind w:left="720" w:hanging="720"/>
              <w:jc w:val="both"/>
              <w:rPr>
                <w:rFonts w:ascii="Arial" w:hAnsi="Arial"/>
                <w:color w:val="auto"/>
                <w:sz w:val="20"/>
              </w:rPr>
            </w:pPr>
            <w:r w:rsidRPr="00E70587">
              <w:rPr>
                <w:rFonts w:ascii="Arial" w:hAnsi="Arial"/>
                <w:color w:val="auto"/>
                <w:sz w:val="20"/>
              </w:rPr>
              <w:t>Long-term fixed-rate and variable-rate receivables/borrowings are evaluated by the Group based on parameters such as interest rates, specific country risk factors, individual creditworthiness of the customer and the risk characteristics of the financed project. Based on this evaluation, allowances are taken into account for the expected credit losses of these receivables.</w:t>
            </w:r>
          </w:p>
          <w:p w14:paraId="31212059" w14:textId="77777777" w:rsidR="0086091A" w:rsidRPr="00E70587" w:rsidRDefault="0086091A" w:rsidP="000E29A9">
            <w:pPr>
              <w:pStyle w:val="Notesbulletpoint"/>
              <w:spacing w:before="120" w:after="0" w:line="280" w:lineRule="exact"/>
              <w:ind w:left="720" w:hanging="720"/>
              <w:jc w:val="both"/>
              <w:rPr>
                <w:rFonts w:ascii="Arial" w:hAnsi="Arial"/>
                <w:color w:val="auto"/>
                <w:sz w:val="20"/>
              </w:rPr>
            </w:pPr>
            <w:r w:rsidRPr="00E70587">
              <w:rPr>
                <w:rFonts w:ascii="Arial" w:hAnsi="Arial"/>
                <w:color w:val="auto"/>
                <w:sz w:val="20"/>
              </w:rPr>
              <w:t xml:space="preserve">The fair values of the quoted notes and bonds are based on price quotations at the reporting date. The fair value of unquoted instruments, loans from banks and other financial liabilities, obligations under finance leases, as well as other non-current financial liabilities is estimated by discounting future cash flows using rates currently available for debt on similar terms, credit risk and remaining maturities. In addition to being sensitive to a reasonably possible change in the forecast cash flows or the discount rate, the fair value of the equity instruments is also sensitive to a reasonably possible change in the growth rates. The valuation requires management to use </w:t>
            </w:r>
            <w:r w:rsidR="000E29A9" w:rsidRPr="00E70587">
              <w:rPr>
                <w:rFonts w:ascii="Arial" w:hAnsi="Arial"/>
                <w:color w:val="auto"/>
                <w:sz w:val="20"/>
              </w:rPr>
              <w:t>u</w:t>
            </w:r>
            <w:r w:rsidR="00440558" w:rsidRPr="00E70587">
              <w:rPr>
                <w:rFonts w:ascii="Arial" w:hAnsi="Arial"/>
                <w:color w:val="auto"/>
                <w:sz w:val="20"/>
              </w:rPr>
              <w:t xml:space="preserve">nobservable </w:t>
            </w:r>
            <w:r w:rsidRPr="00E70587">
              <w:rPr>
                <w:rFonts w:ascii="Arial" w:hAnsi="Arial"/>
                <w:color w:val="auto"/>
                <w:sz w:val="20"/>
              </w:rPr>
              <w:t xml:space="preserve">inputs in the </w:t>
            </w:r>
            <w:r w:rsidRPr="00E70587">
              <w:rPr>
                <w:rFonts w:ascii="Arial" w:hAnsi="Arial"/>
                <w:color w:val="auto"/>
                <w:sz w:val="20"/>
              </w:rPr>
              <w:lastRenderedPageBreak/>
              <w:t>model, of which the significant unobservable inputs are disclosed in the tables below. Management regularly assesses a range of reasonably possible alternatives for those significant unobservable inputs and determines their impact on the total fair value.</w:t>
            </w:r>
          </w:p>
          <w:p w14:paraId="5EE2B472" w14:textId="77777777" w:rsidR="0086091A" w:rsidRPr="00E70587" w:rsidRDefault="0086091A" w:rsidP="000E29A9">
            <w:pPr>
              <w:pStyle w:val="Notesbulletpoint"/>
              <w:spacing w:before="120" w:after="0" w:line="280" w:lineRule="exact"/>
              <w:ind w:left="720" w:hanging="720"/>
              <w:jc w:val="both"/>
              <w:rPr>
                <w:rFonts w:ascii="Arial" w:hAnsi="Arial"/>
                <w:color w:val="auto"/>
                <w:sz w:val="20"/>
              </w:rPr>
            </w:pPr>
            <w:r w:rsidRPr="00E70587">
              <w:rPr>
                <w:rFonts w:ascii="Arial" w:hAnsi="Arial"/>
                <w:color w:val="auto"/>
                <w:sz w:val="20"/>
              </w:rPr>
              <w:t>The fair values of the unquoted equity shares have been estimated using a DCF model. The valuation requires management to make certain assumptions about the model inputs, including forecast cash flows, discount rate, credit risk and volatility. The probabilities of the various estimates within the range can be reasonably assessed and are used in management’s estimate of fair value for these unquoted equity investments.</w:t>
            </w:r>
          </w:p>
          <w:p w14:paraId="3A316982" w14:textId="77777777" w:rsidR="0086091A" w:rsidRPr="00E70587" w:rsidRDefault="0086091A" w:rsidP="000E29A9">
            <w:pPr>
              <w:pStyle w:val="Notesbulletpoint"/>
              <w:spacing w:before="120" w:after="0" w:line="280" w:lineRule="exact"/>
              <w:ind w:left="720" w:hanging="720"/>
              <w:jc w:val="both"/>
              <w:rPr>
                <w:rFonts w:ascii="Arial" w:hAnsi="Arial"/>
                <w:color w:val="auto"/>
                <w:sz w:val="20"/>
              </w:rPr>
            </w:pPr>
            <w:r w:rsidRPr="00E70587">
              <w:rPr>
                <w:rFonts w:ascii="Arial" w:hAnsi="Arial"/>
                <w:color w:val="auto"/>
                <w:sz w:val="20"/>
              </w:rPr>
              <w:t>The fair values of the remaining FVTOCI financial assets are derived from quoted market prices in active markets.</w:t>
            </w:r>
          </w:p>
          <w:p w14:paraId="14A96FE1" w14:textId="5732D257" w:rsidR="0086091A" w:rsidRPr="00E70587" w:rsidRDefault="0086091A" w:rsidP="000E29A9">
            <w:pPr>
              <w:pStyle w:val="Notesbulletpoint"/>
              <w:spacing w:before="120" w:after="0" w:line="280" w:lineRule="exact"/>
              <w:ind w:left="720" w:hanging="720"/>
              <w:jc w:val="both"/>
              <w:rPr>
                <w:rFonts w:ascii="Arial" w:hAnsi="Arial"/>
                <w:color w:val="auto"/>
                <w:sz w:val="20"/>
              </w:rPr>
            </w:pPr>
            <w:r w:rsidRPr="00E70587">
              <w:rPr>
                <w:rFonts w:ascii="Arial" w:hAnsi="Arial"/>
                <w:iCs/>
                <w:color w:val="auto"/>
                <w:sz w:val="20"/>
              </w:rPr>
              <w:t xml:space="preserve">The Group enters into derivative financial instruments with various counterparties, principally financial institutions with investment grade credit ratings. Interest rate swaps, foreign exchange forward contracts and commodity forward contracts are valued using valuation techniques, which employs the use of market observable inputs. The most frequently applied valuation techniques include forward pricing and swap models, using present value calculations. The models incorporate various inputs including the credit quality of counterparties, foreign exchange spot and forward rates, </w:t>
            </w:r>
            <w:r w:rsidRPr="00E70587">
              <w:rPr>
                <w:rFonts w:ascii="Arial" w:hAnsi="Arial"/>
                <w:color w:val="auto"/>
                <w:sz w:val="20"/>
              </w:rPr>
              <w:t>yield curves of the respective currencies, currency basis spreads between the respective currencies,</w:t>
            </w:r>
            <w:r w:rsidRPr="00E70587">
              <w:rPr>
                <w:rFonts w:ascii="Arial" w:hAnsi="Arial"/>
                <w:iCs/>
                <w:color w:val="auto"/>
                <w:sz w:val="20"/>
              </w:rPr>
              <w:t xml:space="preserve"> interest rate curves and forward rate curves of the underlying commodity. All derivative contracts are fully cash collateralised, thereby eliminating both counterparty and the Group’s own non-performance risk. As at 31 </w:t>
            </w:r>
            <w:r w:rsidR="00E1202D" w:rsidRPr="00E70587">
              <w:rPr>
                <w:rFonts w:ascii="Arial" w:hAnsi="Arial"/>
                <w:iCs/>
                <w:color w:val="auto"/>
                <w:sz w:val="20"/>
              </w:rPr>
              <w:t xml:space="preserve">March </w:t>
            </w:r>
            <w:r w:rsidR="00073C1B" w:rsidRPr="00E70587">
              <w:rPr>
                <w:rFonts w:ascii="Arial" w:hAnsi="Arial"/>
                <w:iCs/>
                <w:color w:val="auto"/>
                <w:sz w:val="20"/>
              </w:rPr>
              <w:t>20</w:t>
            </w:r>
            <w:r w:rsidR="00073C1B">
              <w:rPr>
                <w:rFonts w:ascii="Arial" w:hAnsi="Arial"/>
                <w:iCs/>
                <w:color w:val="auto"/>
                <w:sz w:val="20"/>
              </w:rPr>
              <w:t>21</w:t>
            </w:r>
            <w:r w:rsidRPr="00E70587">
              <w:rPr>
                <w:rFonts w:ascii="Arial" w:hAnsi="Arial"/>
                <w:iCs/>
                <w:color w:val="auto"/>
                <w:sz w:val="20"/>
              </w:rPr>
              <w:t>, the marked-to-market value of derivative asset positions is net of a credit valuation adjustment attributable to derivative counterparty default risk. The changes in counterparty credit risk had no material effect on the hedge effectiveness assessment for derivatives designated in hedge relationships and other financial instruments recognised at fair value.</w:t>
            </w:r>
          </w:p>
          <w:p w14:paraId="4335C170" w14:textId="77777777" w:rsidR="0086091A" w:rsidRPr="00E70587" w:rsidRDefault="0086091A" w:rsidP="00440558">
            <w:pPr>
              <w:pStyle w:val="Notesbulletpoint"/>
              <w:spacing w:before="120" w:after="0" w:line="280" w:lineRule="exact"/>
              <w:ind w:left="720" w:hanging="720"/>
              <w:jc w:val="both"/>
              <w:rPr>
                <w:rFonts w:ascii="Arial" w:hAnsi="Arial"/>
                <w:color w:val="auto"/>
                <w:sz w:val="20"/>
              </w:rPr>
            </w:pPr>
            <w:r w:rsidRPr="00E70587">
              <w:rPr>
                <w:rFonts w:ascii="Arial" w:hAnsi="Arial"/>
                <w:color w:val="auto"/>
                <w:sz w:val="20"/>
              </w:rPr>
              <w:t xml:space="preserve">Embedded foreign currency and commodity derivatives are measured similarly to the foreign currency forward contracts and commodity derivatives. </w:t>
            </w:r>
            <w:r w:rsidRPr="00E70587">
              <w:rPr>
                <w:rFonts w:ascii="Arial" w:hAnsi="Arial"/>
                <w:iCs/>
                <w:color w:val="auto"/>
                <w:sz w:val="20"/>
              </w:rPr>
              <w:t xml:space="preserve">The embedded derivatives are commodity and foreign currency forward contracts which are separated from long-term sales contracts where the transaction currency differs from the functional currencies of the involved parties. </w:t>
            </w:r>
            <w:r w:rsidRPr="00E70587">
              <w:rPr>
                <w:rFonts w:ascii="Arial" w:hAnsi="Arial"/>
                <w:color w:val="auto"/>
                <w:sz w:val="20"/>
              </w:rPr>
              <w:t xml:space="preserve">However, as these contracts are not collateralised, the Group also takes into account the counterparties’ credit risks (for the embedded derivative assets) or the Group’s own non-performance risk (for the embedded derivative liabilities) and includes a credit valuation adjustment or debit value adjustment, as appropriate by assessing the maximum credit exposure and taking into account market-based inputs concerning probabilities of default and loss given default. </w:t>
            </w:r>
          </w:p>
          <w:p w14:paraId="004AB018" w14:textId="76954FA9" w:rsidR="0086091A" w:rsidRPr="00E70587" w:rsidRDefault="0086091A" w:rsidP="00440558">
            <w:pPr>
              <w:pStyle w:val="Notesbulletpoint"/>
              <w:spacing w:before="120" w:after="0" w:line="280" w:lineRule="exact"/>
              <w:ind w:left="720" w:hanging="720"/>
              <w:jc w:val="both"/>
              <w:rPr>
                <w:rFonts w:ascii="Arial" w:hAnsi="Arial"/>
                <w:color w:val="auto"/>
                <w:sz w:val="20"/>
              </w:rPr>
            </w:pPr>
            <w:r w:rsidRPr="00E70587">
              <w:rPr>
                <w:rFonts w:ascii="Arial" w:hAnsi="Arial"/>
                <w:iCs/>
                <w:color w:val="auto"/>
                <w:sz w:val="20"/>
              </w:rPr>
              <w:t xml:space="preserve">The </w:t>
            </w:r>
            <w:r w:rsidRPr="00E70587">
              <w:rPr>
                <w:rFonts w:ascii="Arial" w:hAnsi="Arial"/>
                <w:color w:val="auto"/>
                <w:sz w:val="20"/>
              </w:rPr>
              <w:t>fair</w:t>
            </w:r>
            <w:r w:rsidRPr="00E70587">
              <w:rPr>
                <w:rFonts w:ascii="Arial" w:hAnsi="Arial"/>
                <w:iCs/>
                <w:color w:val="auto"/>
                <w:sz w:val="20"/>
              </w:rPr>
              <w:t xml:space="preserve"> values of the Group’s borrowings are determined by using DCF method using discount rate that reflects the issuer’s borrowing rate as at the end of the reporting period. The own non-performance risk as at 31 </w:t>
            </w:r>
            <w:r w:rsidR="00E1202D" w:rsidRPr="00E70587">
              <w:rPr>
                <w:rFonts w:ascii="Arial" w:hAnsi="Arial"/>
                <w:iCs/>
                <w:color w:val="auto"/>
                <w:sz w:val="20"/>
              </w:rPr>
              <w:t xml:space="preserve">March </w:t>
            </w:r>
            <w:r w:rsidR="00073C1B" w:rsidRPr="00E70587">
              <w:rPr>
                <w:rFonts w:ascii="Arial" w:hAnsi="Arial"/>
                <w:iCs/>
                <w:color w:val="auto"/>
                <w:sz w:val="20"/>
              </w:rPr>
              <w:t>20</w:t>
            </w:r>
            <w:r w:rsidR="00073C1B">
              <w:rPr>
                <w:rFonts w:ascii="Arial" w:hAnsi="Arial"/>
                <w:iCs/>
                <w:color w:val="auto"/>
                <w:sz w:val="20"/>
              </w:rPr>
              <w:t>21</w:t>
            </w:r>
            <w:r w:rsidR="00073C1B" w:rsidRPr="00E70587">
              <w:rPr>
                <w:rFonts w:ascii="Arial" w:hAnsi="Arial"/>
                <w:iCs/>
                <w:color w:val="auto"/>
                <w:sz w:val="20"/>
              </w:rPr>
              <w:t xml:space="preserve"> </w:t>
            </w:r>
            <w:r w:rsidRPr="00E70587">
              <w:rPr>
                <w:rFonts w:ascii="Arial" w:hAnsi="Arial"/>
                <w:iCs/>
                <w:color w:val="auto"/>
                <w:sz w:val="20"/>
              </w:rPr>
              <w:t>was assessed to be insignificant.</w:t>
            </w:r>
          </w:p>
          <w:p w14:paraId="4C524A5B" w14:textId="77777777" w:rsidR="00440558" w:rsidRPr="00E70587" w:rsidRDefault="00440558" w:rsidP="00440558">
            <w:pPr>
              <w:pStyle w:val="Notesbulletpoint"/>
              <w:numPr>
                <w:ilvl w:val="0"/>
                <w:numId w:val="0"/>
              </w:numPr>
              <w:spacing w:after="0" w:line="280" w:lineRule="exact"/>
              <w:jc w:val="both"/>
              <w:rPr>
                <w:rFonts w:ascii="Arial" w:hAnsi="Arial"/>
                <w:color w:val="auto"/>
                <w:sz w:val="20"/>
              </w:rPr>
            </w:pPr>
          </w:p>
          <w:p w14:paraId="0BFB6366" w14:textId="14491EA2" w:rsidR="0086091A" w:rsidRPr="00E70587" w:rsidRDefault="0086091A" w:rsidP="00440558">
            <w:pPr>
              <w:pStyle w:val="Notesbulletpoint"/>
              <w:numPr>
                <w:ilvl w:val="0"/>
                <w:numId w:val="0"/>
              </w:numPr>
              <w:spacing w:after="0" w:line="280" w:lineRule="exact"/>
              <w:jc w:val="both"/>
              <w:rPr>
                <w:rFonts w:ascii="Arial" w:hAnsi="Arial"/>
                <w:color w:val="auto"/>
                <w:sz w:val="20"/>
              </w:rPr>
            </w:pPr>
            <w:r w:rsidRPr="00E70587">
              <w:rPr>
                <w:rFonts w:ascii="Arial" w:hAnsi="Arial"/>
                <w:color w:val="auto"/>
                <w:sz w:val="20"/>
              </w:rPr>
              <w:t xml:space="preserve">The significant unobservable inputs used in the fair value measurement categorised within Level 3 of the fair value hierarchy together with a quantitative sensitivity analysis as at 31 </w:t>
            </w:r>
            <w:r w:rsidR="00E1202D" w:rsidRPr="00E70587">
              <w:rPr>
                <w:rFonts w:ascii="Arial" w:hAnsi="Arial"/>
                <w:color w:val="auto"/>
                <w:sz w:val="20"/>
              </w:rPr>
              <w:t xml:space="preserve">March </w:t>
            </w:r>
            <w:r w:rsidR="00073C1B" w:rsidRPr="00E70587">
              <w:rPr>
                <w:rFonts w:ascii="Arial" w:hAnsi="Arial"/>
                <w:color w:val="auto"/>
                <w:sz w:val="20"/>
              </w:rPr>
              <w:t>20</w:t>
            </w:r>
            <w:r w:rsidR="00073C1B">
              <w:rPr>
                <w:rFonts w:ascii="Arial" w:hAnsi="Arial"/>
                <w:color w:val="auto"/>
                <w:sz w:val="20"/>
              </w:rPr>
              <w:t>21</w:t>
            </w:r>
            <w:r w:rsidR="003F2145" w:rsidRPr="00E70587">
              <w:rPr>
                <w:rFonts w:ascii="Arial" w:hAnsi="Arial"/>
                <w:color w:val="auto"/>
                <w:sz w:val="20"/>
              </w:rPr>
              <w:t>,</w:t>
            </w:r>
            <w:r w:rsidRPr="00E70587">
              <w:rPr>
                <w:rFonts w:ascii="Arial" w:hAnsi="Arial"/>
                <w:color w:val="auto"/>
                <w:sz w:val="20"/>
              </w:rPr>
              <w:t xml:space="preserve"> 31 </w:t>
            </w:r>
            <w:r w:rsidR="008B730E" w:rsidRPr="00E70587">
              <w:rPr>
                <w:rFonts w:ascii="Arial" w:hAnsi="Arial"/>
                <w:color w:val="auto"/>
                <w:sz w:val="20"/>
              </w:rPr>
              <w:t xml:space="preserve">March </w:t>
            </w:r>
            <w:r w:rsidR="00073C1B" w:rsidRPr="00E70587">
              <w:rPr>
                <w:rFonts w:ascii="Arial" w:hAnsi="Arial"/>
                <w:color w:val="auto"/>
                <w:sz w:val="20"/>
              </w:rPr>
              <w:t>20</w:t>
            </w:r>
            <w:r w:rsidR="00073C1B">
              <w:rPr>
                <w:rFonts w:ascii="Arial" w:hAnsi="Arial"/>
                <w:color w:val="auto"/>
                <w:sz w:val="20"/>
              </w:rPr>
              <w:t>20</w:t>
            </w:r>
            <w:r w:rsidR="00073C1B" w:rsidRPr="00E70587">
              <w:rPr>
                <w:rFonts w:ascii="Arial" w:hAnsi="Arial"/>
                <w:color w:val="auto"/>
                <w:sz w:val="20"/>
              </w:rPr>
              <w:t xml:space="preserve"> </w:t>
            </w:r>
            <w:r w:rsidRPr="00E70587">
              <w:rPr>
                <w:rFonts w:ascii="Arial" w:hAnsi="Arial"/>
                <w:color w:val="auto"/>
                <w:sz w:val="20"/>
              </w:rPr>
              <w:t>are as shown below</w:t>
            </w:r>
            <w:r w:rsidR="00440558" w:rsidRPr="00E70587">
              <w:rPr>
                <w:rFonts w:ascii="Arial" w:hAnsi="Arial"/>
                <w:color w:val="auto"/>
                <w:sz w:val="20"/>
              </w:rPr>
              <w:t>:</w:t>
            </w:r>
          </w:p>
          <w:p w14:paraId="4620F5DA" w14:textId="77777777" w:rsidR="00440558" w:rsidRPr="00E70587" w:rsidRDefault="00440558" w:rsidP="00440558">
            <w:pPr>
              <w:pStyle w:val="Notesbulletpoint"/>
              <w:numPr>
                <w:ilvl w:val="0"/>
                <w:numId w:val="0"/>
              </w:numPr>
              <w:spacing w:after="0" w:line="280" w:lineRule="exact"/>
              <w:jc w:val="both"/>
              <w:rPr>
                <w:rFonts w:ascii="Arial" w:hAnsi="Arial"/>
                <w:color w:val="auto"/>
                <w:sz w:val="20"/>
              </w:rPr>
            </w:pPr>
          </w:p>
          <w:p w14:paraId="79849611" w14:textId="77777777" w:rsidR="0086091A" w:rsidRPr="00E70587" w:rsidRDefault="0086091A" w:rsidP="00440558">
            <w:pPr>
              <w:pStyle w:val="Notesbulletpoint"/>
              <w:numPr>
                <w:ilvl w:val="0"/>
                <w:numId w:val="0"/>
              </w:numPr>
              <w:spacing w:after="0" w:line="280" w:lineRule="exact"/>
              <w:jc w:val="both"/>
              <w:rPr>
                <w:rFonts w:ascii="Arial" w:hAnsi="Arial"/>
                <w:b/>
                <w:color w:val="auto"/>
                <w:sz w:val="20"/>
              </w:rPr>
            </w:pPr>
            <w:r w:rsidRPr="00E70587">
              <w:rPr>
                <w:rFonts w:ascii="Arial" w:hAnsi="Arial"/>
                <w:b/>
                <w:color w:val="auto"/>
                <w:sz w:val="20"/>
              </w:rPr>
              <w:t>Description of significant unobservable inputs to valuation:</w:t>
            </w:r>
          </w:p>
          <w:p w14:paraId="6E7DFD43" w14:textId="77777777" w:rsidR="00440558" w:rsidRPr="00E70587" w:rsidRDefault="00440558" w:rsidP="00440558">
            <w:pPr>
              <w:pStyle w:val="Notesbulletpoint"/>
              <w:numPr>
                <w:ilvl w:val="0"/>
                <w:numId w:val="0"/>
              </w:numPr>
              <w:spacing w:after="0" w:line="280" w:lineRule="exact"/>
              <w:jc w:val="both"/>
              <w:rPr>
                <w:rFonts w:ascii="Arial" w:hAnsi="Arial"/>
                <w:color w:val="auto"/>
                <w:sz w:val="20"/>
              </w:rPr>
            </w:pPr>
          </w:p>
        </w:tc>
      </w:tr>
    </w:tbl>
    <w:tbl>
      <w:tblPr>
        <w:tblStyle w:val="TableGrid"/>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1430"/>
        <w:gridCol w:w="15"/>
        <w:gridCol w:w="1695"/>
        <w:gridCol w:w="1900"/>
        <w:gridCol w:w="2343"/>
        <w:gridCol w:w="29"/>
      </w:tblGrid>
      <w:tr w:rsidR="0086091A" w:rsidRPr="00E70587" w14:paraId="084ADB19" w14:textId="77777777" w:rsidTr="002B312A">
        <w:trPr>
          <w:gridAfter w:val="1"/>
          <w:wAfter w:w="29" w:type="dxa"/>
          <w:tblHeader/>
        </w:trPr>
        <w:tc>
          <w:tcPr>
            <w:tcW w:w="2250" w:type="dxa"/>
          </w:tcPr>
          <w:p w14:paraId="65B0ED3E" w14:textId="77777777" w:rsidR="0086091A" w:rsidRPr="00E70587" w:rsidRDefault="0086091A" w:rsidP="009901E1">
            <w:pPr>
              <w:pStyle w:val="Notesbodytext"/>
              <w:spacing w:after="0" w:line="280" w:lineRule="exact"/>
              <w:jc w:val="center"/>
              <w:rPr>
                <w:rFonts w:ascii="Arial" w:hAnsi="Arial"/>
                <w:color w:val="auto"/>
                <w:sz w:val="20"/>
              </w:rPr>
            </w:pPr>
          </w:p>
        </w:tc>
        <w:tc>
          <w:tcPr>
            <w:tcW w:w="1445" w:type="dxa"/>
            <w:gridSpan w:val="2"/>
          </w:tcPr>
          <w:p w14:paraId="4F8A43F5" w14:textId="77777777" w:rsidR="0086091A" w:rsidRPr="00E70587" w:rsidRDefault="0086091A" w:rsidP="009901E1">
            <w:pPr>
              <w:spacing w:line="280" w:lineRule="exact"/>
              <w:rPr>
                <w:rFonts w:ascii="Arial" w:hAnsi="Arial" w:cs="Arial"/>
                <w:b/>
                <w:bCs/>
                <w:sz w:val="20"/>
              </w:rPr>
            </w:pPr>
            <w:r w:rsidRPr="00E70587">
              <w:rPr>
                <w:rFonts w:ascii="Arial" w:hAnsi="Arial" w:cs="Arial"/>
                <w:b/>
                <w:bCs/>
                <w:sz w:val="20"/>
              </w:rPr>
              <w:t>Valuation technique</w:t>
            </w:r>
          </w:p>
        </w:tc>
        <w:tc>
          <w:tcPr>
            <w:tcW w:w="1695" w:type="dxa"/>
          </w:tcPr>
          <w:p w14:paraId="065DDF15" w14:textId="77777777" w:rsidR="0086091A" w:rsidRPr="00E70587" w:rsidRDefault="0086091A" w:rsidP="009901E1">
            <w:pPr>
              <w:spacing w:line="280" w:lineRule="exact"/>
              <w:rPr>
                <w:rFonts w:ascii="Arial" w:hAnsi="Arial" w:cs="Arial"/>
                <w:b/>
                <w:bCs/>
                <w:sz w:val="20"/>
              </w:rPr>
            </w:pPr>
            <w:r w:rsidRPr="00E70587">
              <w:rPr>
                <w:rFonts w:ascii="Arial" w:hAnsi="Arial" w:cs="Arial"/>
                <w:b/>
                <w:bCs/>
                <w:sz w:val="20"/>
              </w:rPr>
              <w:t>Significant unobservable inputs</w:t>
            </w:r>
          </w:p>
        </w:tc>
        <w:tc>
          <w:tcPr>
            <w:tcW w:w="1900" w:type="dxa"/>
          </w:tcPr>
          <w:p w14:paraId="5A43CA45" w14:textId="77777777" w:rsidR="0086091A" w:rsidRPr="00E70587" w:rsidRDefault="0086091A" w:rsidP="009901E1">
            <w:pPr>
              <w:spacing w:line="280" w:lineRule="exact"/>
              <w:rPr>
                <w:rFonts w:ascii="Arial" w:hAnsi="Arial" w:cs="Arial"/>
                <w:b/>
                <w:bCs/>
                <w:sz w:val="20"/>
              </w:rPr>
            </w:pPr>
            <w:r w:rsidRPr="00E70587">
              <w:rPr>
                <w:rFonts w:ascii="Arial" w:hAnsi="Arial" w:cs="Arial"/>
                <w:b/>
                <w:bCs/>
                <w:sz w:val="20"/>
              </w:rPr>
              <w:t xml:space="preserve">Range </w:t>
            </w:r>
            <w:r w:rsidRPr="00E70587">
              <w:rPr>
                <w:rFonts w:ascii="Arial" w:hAnsi="Arial" w:cs="Arial"/>
                <w:b/>
                <w:bCs/>
                <w:sz w:val="20"/>
              </w:rPr>
              <w:br/>
              <w:t>(weighted average)</w:t>
            </w:r>
          </w:p>
        </w:tc>
        <w:tc>
          <w:tcPr>
            <w:tcW w:w="2343" w:type="dxa"/>
          </w:tcPr>
          <w:p w14:paraId="75B3A842" w14:textId="77777777" w:rsidR="0086091A" w:rsidRPr="00E70587" w:rsidRDefault="0086091A" w:rsidP="009901E1">
            <w:pPr>
              <w:spacing w:line="280" w:lineRule="exact"/>
              <w:rPr>
                <w:rFonts w:ascii="Arial" w:hAnsi="Arial" w:cs="Arial"/>
                <w:b/>
                <w:bCs/>
                <w:sz w:val="20"/>
              </w:rPr>
            </w:pPr>
            <w:r w:rsidRPr="00E70587">
              <w:rPr>
                <w:rFonts w:ascii="Arial" w:hAnsi="Arial" w:cs="Arial"/>
                <w:b/>
                <w:bCs/>
                <w:sz w:val="20"/>
              </w:rPr>
              <w:t>Sensitivity of the input to fair value</w:t>
            </w:r>
          </w:p>
        </w:tc>
      </w:tr>
      <w:tr w:rsidR="0086091A" w:rsidRPr="00E70587" w14:paraId="3D167CDE" w14:textId="77777777" w:rsidTr="002B312A">
        <w:trPr>
          <w:gridAfter w:val="1"/>
          <w:wAfter w:w="29" w:type="dxa"/>
        </w:trPr>
        <w:tc>
          <w:tcPr>
            <w:tcW w:w="2250" w:type="dxa"/>
          </w:tcPr>
          <w:p w14:paraId="3AC40FF2"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FVTOCI assets in unquoted equity shares - power sector</w:t>
            </w:r>
          </w:p>
        </w:tc>
        <w:tc>
          <w:tcPr>
            <w:tcW w:w="1445" w:type="dxa"/>
            <w:gridSpan w:val="2"/>
          </w:tcPr>
          <w:p w14:paraId="0EA483CB"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 xml:space="preserve">DCF method </w:t>
            </w:r>
          </w:p>
        </w:tc>
        <w:tc>
          <w:tcPr>
            <w:tcW w:w="1695" w:type="dxa"/>
          </w:tcPr>
          <w:p w14:paraId="5860C428"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 xml:space="preserve">Long-term growth rate for cash flows for </w:t>
            </w:r>
            <w:r w:rsidRPr="00E70587">
              <w:rPr>
                <w:rFonts w:ascii="Arial" w:hAnsi="Arial"/>
                <w:color w:val="auto"/>
                <w:sz w:val="20"/>
              </w:rPr>
              <w:lastRenderedPageBreak/>
              <w:t>subsequent years</w:t>
            </w:r>
          </w:p>
        </w:tc>
        <w:tc>
          <w:tcPr>
            <w:tcW w:w="1900" w:type="dxa"/>
          </w:tcPr>
          <w:p w14:paraId="13522254" w14:textId="5428F0D0"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lastRenderedPageBreak/>
              <w:t xml:space="preserve">31 </w:t>
            </w:r>
            <w:r w:rsidR="00E1202D"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21</w:t>
            </w:r>
            <w:r w:rsidRPr="00E70587">
              <w:rPr>
                <w:rFonts w:ascii="Arial" w:hAnsi="Arial"/>
                <w:b/>
                <w:bCs/>
                <w:color w:val="auto"/>
                <w:sz w:val="20"/>
              </w:rPr>
              <w:t>:</w:t>
            </w:r>
            <w:r w:rsidRPr="00E70587">
              <w:rPr>
                <w:rFonts w:ascii="Arial" w:hAnsi="Arial"/>
                <w:color w:val="auto"/>
                <w:sz w:val="20"/>
              </w:rPr>
              <w:t xml:space="preserve"> 3.1% - 5.2% (4.2%)</w:t>
            </w:r>
          </w:p>
          <w:p w14:paraId="50FBA44A" w14:textId="41AB2BBC"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lastRenderedPageBreak/>
              <w:t xml:space="preserve">31 </w:t>
            </w:r>
            <w:r w:rsidR="008B730E"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20</w:t>
            </w:r>
            <w:r w:rsidRPr="00E70587">
              <w:rPr>
                <w:rFonts w:ascii="Arial" w:hAnsi="Arial"/>
                <w:b/>
                <w:bCs/>
                <w:color w:val="auto"/>
                <w:sz w:val="20"/>
              </w:rPr>
              <w:t>:</w:t>
            </w:r>
            <w:r w:rsidRPr="00E70587">
              <w:rPr>
                <w:rFonts w:ascii="Arial" w:hAnsi="Arial"/>
                <w:color w:val="auto"/>
                <w:sz w:val="20"/>
              </w:rPr>
              <w:t xml:space="preserve"> 3.1% - 5.1% (4%)</w:t>
            </w:r>
          </w:p>
        </w:tc>
        <w:tc>
          <w:tcPr>
            <w:tcW w:w="2343" w:type="dxa"/>
          </w:tcPr>
          <w:p w14:paraId="60DA986D" w14:textId="150C29DA" w:rsidR="0086091A" w:rsidRPr="00E70587" w:rsidRDefault="0086091A" w:rsidP="00FA1F28">
            <w:pPr>
              <w:pStyle w:val="Notesbodytext"/>
              <w:spacing w:after="0" w:line="280" w:lineRule="exact"/>
              <w:rPr>
                <w:rFonts w:ascii="Arial" w:hAnsi="Arial"/>
                <w:color w:val="auto"/>
                <w:sz w:val="20"/>
              </w:rPr>
            </w:pPr>
            <w:r w:rsidRPr="00E70587">
              <w:rPr>
                <w:rFonts w:ascii="Arial" w:hAnsi="Arial"/>
                <w:color w:val="auto"/>
                <w:sz w:val="20"/>
              </w:rPr>
              <w:lastRenderedPageBreak/>
              <w:t xml:space="preserve">5% (31 </w:t>
            </w:r>
            <w:r w:rsidR="008B730E" w:rsidRPr="00E70587">
              <w:rPr>
                <w:rFonts w:ascii="Arial" w:hAnsi="Arial"/>
                <w:color w:val="auto"/>
                <w:sz w:val="20"/>
              </w:rPr>
              <w:t xml:space="preserve">March </w:t>
            </w:r>
            <w:r w:rsidR="003C6872" w:rsidRPr="00E70587">
              <w:rPr>
                <w:rFonts w:ascii="Arial" w:hAnsi="Arial"/>
                <w:color w:val="auto"/>
                <w:sz w:val="20"/>
              </w:rPr>
              <w:t>20</w:t>
            </w:r>
            <w:r w:rsidR="003C6872">
              <w:rPr>
                <w:rFonts w:ascii="Arial" w:hAnsi="Arial"/>
                <w:color w:val="auto"/>
                <w:sz w:val="20"/>
              </w:rPr>
              <w:t>20</w:t>
            </w:r>
            <w:r w:rsidRPr="00E70587">
              <w:rPr>
                <w:rFonts w:ascii="Arial" w:hAnsi="Arial"/>
                <w:color w:val="auto"/>
                <w:sz w:val="20"/>
              </w:rPr>
              <w:t xml:space="preserve">: 5%) increase (decrease) in the </w:t>
            </w:r>
            <w:r w:rsidRPr="00E70587">
              <w:rPr>
                <w:rFonts w:ascii="Arial" w:hAnsi="Arial"/>
                <w:color w:val="auto"/>
                <w:sz w:val="20"/>
              </w:rPr>
              <w:lastRenderedPageBreak/>
              <w:t>growth rate would result in increase (decrease) in fair value by INR 30</w:t>
            </w:r>
            <w:r w:rsidR="00FA1F28" w:rsidRPr="00E70587">
              <w:rPr>
                <w:rFonts w:ascii="Arial" w:hAnsi="Arial"/>
                <w:color w:val="auto"/>
                <w:sz w:val="20"/>
              </w:rPr>
              <w:t>.</w:t>
            </w:r>
            <w:r w:rsidRPr="00E70587">
              <w:rPr>
                <w:rFonts w:ascii="Arial" w:hAnsi="Arial"/>
                <w:color w:val="auto"/>
                <w:sz w:val="20"/>
              </w:rPr>
              <w:t>60</w:t>
            </w:r>
            <w:r w:rsidR="00FA1F28" w:rsidRPr="00E70587">
              <w:rPr>
                <w:rFonts w:ascii="Arial" w:hAnsi="Arial"/>
                <w:color w:val="auto"/>
                <w:sz w:val="20"/>
              </w:rPr>
              <w:t xml:space="preserve"> lacs </w:t>
            </w:r>
            <w:r w:rsidRPr="00E70587">
              <w:rPr>
                <w:rFonts w:ascii="Arial" w:hAnsi="Arial"/>
                <w:color w:val="auto"/>
                <w:sz w:val="20"/>
              </w:rPr>
              <w:t xml:space="preserve">(31 </w:t>
            </w:r>
            <w:r w:rsidR="008B730E" w:rsidRPr="00E70587">
              <w:rPr>
                <w:rFonts w:ascii="Arial" w:hAnsi="Arial"/>
                <w:color w:val="auto"/>
                <w:sz w:val="20"/>
              </w:rPr>
              <w:t xml:space="preserve">March </w:t>
            </w:r>
            <w:r w:rsidR="003C6872" w:rsidRPr="00E70587">
              <w:rPr>
                <w:rFonts w:ascii="Arial" w:hAnsi="Arial"/>
                <w:color w:val="auto"/>
                <w:sz w:val="20"/>
              </w:rPr>
              <w:t>20</w:t>
            </w:r>
            <w:r w:rsidR="003C6872">
              <w:rPr>
                <w:rFonts w:ascii="Arial" w:hAnsi="Arial"/>
                <w:color w:val="auto"/>
                <w:sz w:val="20"/>
              </w:rPr>
              <w:t>20</w:t>
            </w:r>
            <w:r w:rsidRPr="00E70587">
              <w:rPr>
                <w:rFonts w:ascii="Arial" w:hAnsi="Arial"/>
                <w:color w:val="auto"/>
                <w:sz w:val="20"/>
              </w:rPr>
              <w:t>: INR 27</w:t>
            </w:r>
            <w:r w:rsidR="00FA1F28" w:rsidRPr="00E70587">
              <w:rPr>
                <w:rFonts w:ascii="Arial" w:hAnsi="Arial"/>
                <w:color w:val="auto"/>
                <w:sz w:val="20"/>
              </w:rPr>
              <w:t xml:space="preserve"> lacs</w:t>
            </w:r>
            <w:r w:rsidRPr="00E70587">
              <w:rPr>
                <w:rFonts w:ascii="Arial" w:hAnsi="Arial"/>
                <w:color w:val="auto"/>
                <w:sz w:val="20"/>
              </w:rPr>
              <w:t>)</w:t>
            </w:r>
          </w:p>
        </w:tc>
      </w:tr>
      <w:tr w:rsidR="0086091A" w:rsidRPr="00E70587" w14:paraId="4A3569AD" w14:textId="77777777" w:rsidTr="002B312A">
        <w:trPr>
          <w:gridAfter w:val="1"/>
          <w:wAfter w:w="29" w:type="dxa"/>
        </w:trPr>
        <w:tc>
          <w:tcPr>
            <w:tcW w:w="2250" w:type="dxa"/>
          </w:tcPr>
          <w:p w14:paraId="22C12060" w14:textId="77777777" w:rsidR="0086091A" w:rsidRPr="00E70587" w:rsidRDefault="0086091A" w:rsidP="009901E1">
            <w:pPr>
              <w:pStyle w:val="Notesbodytext"/>
              <w:spacing w:after="0" w:line="280" w:lineRule="exact"/>
              <w:rPr>
                <w:rFonts w:ascii="Arial" w:hAnsi="Arial"/>
                <w:color w:val="auto"/>
                <w:sz w:val="20"/>
              </w:rPr>
            </w:pPr>
          </w:p>
        </w:tc>
        <w:tc>
          <w:tcPr>
            <w:tcW w:w="1445" w:type="dxa"/>
            <w:gridSpan w:val="2"/>
            <w:vAlign w:val="bottom"/>
          </w:tcPr>
          <w:p w14:paraId="6603C08A" w14:textId="77777777" w:rsidR="0086091A" w:rsidRPr="00E70587" w:rsidRDefault="0086091A" w:rsidP="009901E1">
            <w:pPr>
              <w:pStyle w:val="Notesbodytext"/>
              <w:spacing w:after="0" w:line="280" w:lineRule="exact"/>
              <w:rPr>
                <w:rFonts w:ascii="Arial" w:hAnsi="Arial"/>
                <w:color w:val="auto"/>
                <w:sz w:val="20"/>
              </w:rPr>
            </w:pPr>
          </w:p>
        </w:tc>
        <w:tc>
          <w:tcPr>
            <w:tcW w:w="1695" w:type="dxa"/>
          </w:tcPr>
          <w:p w14:paraId="38FE5AC8"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Long-term operating margin</w:t>
            </w:r>
          </w:p>
        </w:tc>
        <w:tc>
          <w:tcPr>
            <w:tcW w:w="1900" w:type="dxa"/>
          </w:tcPr>
          <w:p w14:paraId="10ED6CAC" w14:textId="0EAE5475"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E1202D"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21</w:t>
            </w:r>
            <w:r w:rsidRPr="00E70587">
              <w:rPr>
                <w:rFonts w:ascii="Arial" w:hAnsi="Arial"/>
                <w:b/>
                <w:bCs/>
                <w:color w:val="auto"/>
                <w:sz w:val="20"/>
              </w:rPr>
              <w:t>:</w:t>
            </w:r>
            <w:r w:rsidRPr="00E70587">
              <w:rPr>
                <w:rFonts w:ascii="Arial" w:hAnsi="Arial"/>
                <w:color w:val="auto"/>
                <w:sz w:val="20"/>
              </w:rPr>
              <w:t xml:space="preserve"> 5.0% - 12.1% (8.3%)</w:t>
            </w:r>
          </w:p>
          <w:p w14:paraId="7F6EB6EE" w14:textId="50EAD230"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8B730E"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20</w:t>
            </w:r>
            <w:r w:rsidRPr="00E70587">
              <w:rPr>
                <w:rFonts w:ascii="Arial" w:hAnsi="Arial"/>
                <w:b/>
                <w:bCs/>
                <w:color w:val="auto"/>
                <w:sz w:val="20"/>
              </w:rPr>
              <w:t>:</w:t>
            </w:r>
            <w:r w:rsidRPr="00E70587">
              <w:rPr>
                <w:rFonts w:ascii="Arial" w:hAnsi="Arial"/>
                <w:color w:val="auto"/>
                <w:sz w:val="20"/>
              </w:rPr>
              <w:t xml:space="preserve"> 5.2% - 12.3% (8.5%)</w:t>
            </w:r>
          </w:p>
        </w:tc>
        <w:tc>
          <w:tcPr>
            <w:tcW w:w="2343" w:type="dxa"/>
          </w:tcPr>
          <w:p w14:paraId="556CCE5B" w14:textId="7DFD1B60" w:rsidR="0086091A" w:rsidRPr="00E70587" w:rsidRDefault="0086091A" w:rsidP="00FA1F28">
            <w:pPr>
              <w:pStyle w:val="Notesbodytext"/>
              <w:spacing w:after="0" w:line="280" w:lineRule="exact"/>
              <w:rPr>
                <w:rFonts w:ascii="Arial" w:hAnsi="Arial"/>
                <w:color w:val="auto"/>
                <w:sz w:val="20"/>
              </w:rPr>
            </w:pPr>
            <w:r w:rsidRPr="00E70587">
              <w:rPr>
                <w:rFonts w:ascii="Arial" w:hAnsi="Arial"/>
                <w:color w:val="auto"/>
                <w:sz w:val="20"/>
              </w:rPr>
              <w:t xml:space="preserve">15% (31 </w:t>
            </w:r>
            <w:r w:rsidR="008B730E" w:rsidRPr="00E70587">
              <w:rPr>
                <w:rFonts w:ascii="Arial" w:hAnsi="Arial"/>
                <w:color w:val="auto"/>
                <w:sz w:val="20"/>
              </w:rPr>
              <w:t xml:space="preserve">March </w:t>
            </w:r>
            <w:r w:rsidR="003C6872" w:rsidRPr="00E70587">
              <w:rPr>
                <w:rFonts w:ascii="Arial" w:hAnsi="Arial"/>
                <w:color w:val="auto"/>
                <w:sz w:val="20"/>
              </w:rPr>
              <w:t>20</w:t>
            </w:r>
            <w:r w:rsidR="003C6872">
              <w:rPr>
                <w:rFonts w:ascii="Arial" w:hAnsi="Arial"/>
                <w:color w:val="auto"/>
                <w:sz w:val="20"/>
              </w:rPr>
              <w:t>20</w:t>
            </w:r>
            <w:r w:rsidRPr="00E70587">
              <w:rPr>
                <w:rFonts w:ascii="Arial" w:hAnsi="Arial"/>
                <w:color w:val="auto"/>
                <w:sz w:val="20"/>
              </w:rPr>
              <w:t>: 12%) increase (decrease) in the margin would result in increase (decrease) in fair value by INR 37</w:t>
            </w:r>
            <w:r w:rsidR="00FA1F28" w:rsidRPr="00E70587">
              <w:rPr>
                <w:rFonts w:ascii="Arial" w:hAnsi="Arial"/>
                <w:color w:val="auto"/>
                <w:sz w:val="20"/>
              </w:rPr>
              <w:t>.</w:t>
            </w:r>
            <w:r w:rsidRPr="00E70587">
              <w:rPr>
                <w:rFonts w:ascii="Arial" w:hAnsi="Arial"/>
                <w:color w:val="auto"/>
                <w:sz w:val="20"/>
              </w:rPr>
              <w:t>80</w:t>
            </w:r>
            <w:r w:rsidR="00FA1F28" w:rsidRPr="00E70587">
              <w:rPr>
                <w:rFonts w:ascii="Arial" w:hAnsi="Arial"/>
                <w:color w:val="auto"/>
                <w:sz w:val="20"/>
              </w:rPr>
              <w:t xml:space="preserve"> lacs</w:t>
            </w:r>
            <w:r w:rsidRPr="00E70587">
              <w:rPr>
                <w:rFonts w:ascii="Arial" w:hAnsi="Arial"/>
                <w:color w:val="auto"/>
                <w:sz w:val="20"/>
              </w:rPr>
              <w:t xml:space="preserve"> (31 </w:t>
            </w:r>
            <w:r w:rsidR="008B730E" w:rsidRPr="00E70587">
              <w:rPr>
                <w:rFonts w:ascii="Arial" w:hAnsi="Arial"/>
                <w:color w:val="auto"/>
                <w:sz w:val="20"/>
              </w:rPr>
              <w:t xml:space="preserve">March </w:t>
            </w:r>
            <w:r w:rsidR="00616E84" w:rsidRPr="00E70587">
              <w:rPr>
                <w:rFonts w:ascii="Arial" w:hAnsi="Arial"/>
                <w:color w:val="auto"/>
                <w:sz w:val="20"/>
              </w:rPr>
              <w:t>20</w:t>
            </w:r>
            <w:r w:rsidR="00616E84">
              <w:rPr>
                <w:rFonts w:ascii="Arial" w:hAnsi="Arial"/>
                <w:color w:val="auto"/>
                <w:sz w:val="20"/>
              </w:rPr>
              <w:t>20</w:t>
            </w:r>
            <w:r w:rsidRPr="00E70587">
              <w:rPr>
                <w:rFonts w:ascii="Arial" w:hAnsi="Arial"/>
                <w:color w:val="auto"/>
                <w:sz w:val="20"/>
              </w:rPr>
              <w:t>: INR 34</w:t>
            </w:r>
            <w:r w:rsidR="00FA1F28" w:rsidRPr="00E70587">
              <w:rPr>
                <w:rFonts w:ascii="Arial" w:hAnsi="Arial"/>
                <w:color w:val="auto"/>
                <w:sz w:val="20"/>
              </w:rPr>
              <w:t>.</w:t>
            </w:r>
            <w:r w:rsidRPr="00E70587">
              <w:rPr>
                <w:rFonts w:ascii="Arial" w:hAnsi="Arial"/>
                <w:color w:val="auto"/>
                <w:sz w:val="20"/>
              </w:rPr>
              <w:t>24</w:t>
            </w:r>
            <w:r w:rsidR="00FA1F28" w:rsidRPr="00E70587">
              <w:rPr>
                <w:rFonts w:ascii="Arial" w:hAnsi="Arial"/>
                <w:color w:val="auto"/>
                <w:sz w:val="20"/>
              </w:rPr>
              <w:t xml:space="preserve"> lacs</w:t>
            </w:r>
            <w:r w:rsidRPr="00E70587">
              <w:rPr>
                <w:rFonts w:ascii="Arial" w:hAnsi="Arial"/>
                <w:color w:val="auto"/>
                <w:sz w:val="20"/>
              </w:rPr>
              <w:t>)</w:t>
            </w:r>
          </w:p>
        </w:tc>
      </w:tr>
      <w:tr w:rsidR="0086091A" w:rsidRPr="00E70587" w14:paraId="57232444" w14:textId="77777777" w:rsidTr="002B312A">
        <w:trPr>
          <w:gridAfter w:val="1"/>
          <w:wAfter w:w="29" w:type="dxa"/>
        </w:trPr>
        <w:tc>
          <w:tcPr>
            <w:tcW w:w="2250" w:type="dxa"/>
          </w:tcPr>
          <w:p w14:paraId="7E23EBE8" w14:textId="77777777" w:rsidR="0086091A" w:rsidRPr="00E70587" w:rsidRDefault="0086091A" w:rsidP="009901E1">
            <w:pPr>
              <w:pStyle w:val="Notesbodytext"/>
              <w:spacing w:after="0" w:line="280" w:lineRule="exact"/>
              <w:rPr>
                <w:rFonts w:ascii="Arial" w:hAnsi="Arial"/>
                <w:color w:val="auto"/>
                <w:sz w:val="20"/>
              </w:rPr>
            </w:pPr>
          </w:p>
        </w:tc>
        <w:tc>
          <w:tcPr>
            <w:tcW w:w="1445" w:type="dxa"/>
            <w:gridSpan w:val="2"/>
            <w:vAlign w:val="bottom"/>
          </w:tcPr>
          <w:p w14:paraId="431E3039" w14:textId="77777777" w:rsidR="0086091A" w:rsidRPr="00E70587" w:rsidRDefault="0086091A" w:rsidP="009901E1">
            <w:pPr>
              <w:pStyle w:val="Notesbodytext"/>
              <w:spacing w:after="0" w:line="280" w:lineRule="exact"/>
              <w:rPr>
                <w:rFonts w:ascii="Arial" w:hAnsi="Arial"/>
                <w:color w:val="auto"/>
                <w:sz w:val="20"/>
              </w:rPr>
            </w:pPr>
          </w:p>
        </w:tc>
        <w:tc>
          <w:tcPr>
            <w:tcW w:w="1695" w:type="dxa"/>
          </w:tcPr>
          <w:p w14:paraId="782CC7CE"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WACC</w:t>
            </w:r>
          </w:p>
        </w:tc>
        <w:tc>
          <w:tcPr>
            <w:tcW w:w="1900" w:type="dxa"/>
          </w:tcPr>
          <w:p w14:paraId="68FA2684" w14:textId="721034C6"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E1202D"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21</w:t>
            </w:r>
            <w:r w:rsidRPr="00E70587">
              <w:rPr>
                <w:rFonts w:ascii="Arial" w:hAnsi="Arial"/>
                <w:b/>
                <w:bCs/>
                <w:color w:val="auto"/>
                <w:sz w:val="20"/>
              </w:rPr>
              <w:t>:</w:t>
            </w:r>
            <w:r w:rsidRPr="00E70587">
              <w:rPr>
                <w:rFonts w:ascii="Arial" w:hAnsi="Arial"/>
                <w:color w:val="auto"/>
                <w:sz w:val="20"/>
              </w:rPr>
              <w:t xml:space="preserve"> 11.2% - 14.3% (12.6%)</w:t>
            </w:r>
          </w:p>
          <w:p w14:paraId="5FA47962" w14:textId="72C5765B"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8B730E"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20</w:t>
            </w:r>
            <w:r w:rsidRPr="00E70587">
              <w:rPr>
                <w:rFonts w:ascii="Arial" w:hAnsi="Arial"/>
                <w:b/>
                <w:bCs/>
                <w:color w:val="auto"/>
                <w:sz w:val="20"/>
              </w:rPr>
              <w:t>:</w:t>
            </w:r>
            <w:r w:rsidRPr="00E70587">
              <w:rPr>
                <w:rFonts w:ascii="Arial" w:hAnsi="Arial"/>
                <w:color w:val="auto"/>
                <w:sz w:val="20"/>
              </w:rPr>
              <w:t xml:space="preserve"> 11.5% - 14.1% (12.3%)</w:t>
            </w:r>
          </w:p>
        </w:tc>
        <w:tc>
          <w:tcPr>
            <w:tcW w:w="2343" w:type="dxa"/>
          </w:tcPr>
          <w:p w14:paraId="43D17FDD" w14:textId="531E6720" w:rsidR="0086091A" w:rsidRPr="00E70587" w:rsidRDefault="0086091A" w:rsidP="00FA1F28">
            <w:pPr>
              <w:pStyle w:val="Notesbodytext"/>
              <w:spacing w:after="0" w:line="280" w:lineRule="exact"/>
              <w:rPr>
                <w:rFonts w:ascii="Arial" w:hAnsi="Arial"/>
                <w:color w:val="auto"/>
                <w:sz w:val="20"/>
              </w:rPr>
            </w:pPr>
            <w:r w:rsidRPr="00E70587">
              <w:rPr>
                <w:rFonts w:ascii="Arial" w:hAnsi="Arial"/>
                <w:color w:val="auto"/>
                <w:sz w:val="20"/>
              </w:rPr>
              <w:t xml:space="preserve">1% (31 </w:t>
            </w:r>
            <w:r w:rsidR="008B730E" w:rsidRPr="00E70587">
              <w:rPr>
                <w:rFonts w:ascii="Arial" w:hAnsi="Arial"/>
                <w:color w:val="auto"/>
                <w:sz w:val="20"/>
              </w:rPr>
              <w:t xml:space="preserve">March </w:t>
            </w:r>
            <w:r w:rsidR="003C6872" w:rsidRPr="00E70587">
              <w:rPr>
                <w:rFonts w:ascii="Arial" w:hAnsi="Arial"/>
                <w:color w:val="auto"/>
                <w:sz w:val="20"/>
              </w:rPr>
              <w:t>20</w:t>
            </w:r>
            <w:r w:rsidR="003C6872">
              <w:rPr>
                <w:rFonts w:ascii="Arial" w:hAnsi="Arial"/>
                <w:color w:val="auto"/>
                <w:sz w:val="20"/>
              </w:rPr>
              <w:t>20</w:t>
            </w:r>
            <w:r w:rsidRPr="00E70587">
              <w:rPr>
                <w:rFonts w:ascii="Arial" w:hAnsi="Arial"/>
                <w:color w:val="auto"/>
                <w:sz w:val="20"/>
              </w:rPr>
              <w:t>: 2%) increase (decrease) in the WACC would result in decrease (increase) in fair value by INR 18</w:t>
            </w:r>
            <w:r w:rsidR="00FA1F28" w:rsidRPr="00E70587">
              <w:rPr>
                <w:rFonts w:ascii="Arial" w:hAnsi="Arial"/>
                <w:color w:val="auto"/>
                <w:sz w:val="20"/>
              </w:rPr>
              <w:t xml:space="preserve"> lacs </w:t>
            </w:r>
            <w:r w:rsidRPr="00E70587">
              <w:rPr>
                <w:rFonts w:ascii="Arial" w:hAnsi="Arial"/>
                <w:color w:val="auto"/>
                <w:sz w:val="20"/>
              </w:rPr>
              <w:t xml:space="preserve">(31 </w:t>
            </w:r>
            <w:r w:rsidR="008B730E" w:rsidRPr="00E70587">
              <w:rPr>
                <w:rFonts w:ascii="Arial" w:hAnsi="Arial"/>
                <w:color w:val="auto"/>
                <w:sz w:val="20"/>
              </w:rPr>
              <w:t xml:space="preserve">March </w:t>
            </w:r>
            <w:r w:rsidR="003C6872" w:rsidRPr="00E70587">
              <w:rPr>
                <w:rFonts w:ascii="Arial" w:hAnsi="Arial"/>
                <w:color w:val="auto"/>
                <w:sz w:val="20"/>
              </w:rPr>
              <w:t>20</w:t>
            </w:r>
            <w:r w:rsidR="003C6872">
              <w:rPr>
                <w:rFonts w:ascii="Arial" w:hAnsi="Arial"/>
                <w:color w:val="auto"/>
                <w:sz w:val="20"/>
              </w:rPr>
              <w:t>20</w:t>
            </w:r>
            <w:r w:rsidRPr="00E70587">
              <w:rPr>
                <w:rFonts w:ascii="Arial" w:hAnsi="Arial"/>
                <w:color w:val="auto"/>
                <w:sz w:val="20"/>
              </w:rPr>
              <w:t>: INR 27</w:t>
            </w:r>
            <w:r w:rsidR="00FA1F28" w:rsidRPr="00E70587">
              <w:rPr>
                <w:rFonts w:ascii="Arial" w:hAnsi="Arial"/>
                <w:color w:val="auto"/>
                <w:sz w:val="20"/>
              </w:rPr>
              <w:t xml:space="preserve"> lacs</w:t>
            </w:r>
            <w:r w:rsidRPr="00E70587">
              <w:rPr>
                <w:rFonts w:ascii="Arial" w:hAnsi="Arial"/>
                <w:color w:val="auto"/>
                <w:sz w:val="20"/>
              </w:rPr>
              <w:t>)</w:t>
            </w:r>
          </w:p>
        </w:tc>
      </w:tr>
      <w:tr w:rsidR="0086091A" w:rsidRPr="00E70587" w14:paraId="5149927B" w14:textId="77777777" w:rsidTr="002B312A">
        <w:trPr>
          <w:gridAfter w:val="1"/>
          <w:wAfter w:w="29" w:type="dxa"/>
        </w:trPr>
        <w:tc>
          <w:tcPr>
            <w:tcW w:w="2250" w:type="dxa"/>
            <w:vAlign w:val="bottom"/>
          </w:tcPr>
          <w:p w14:paraId="7A331C84" w14:textId="77777777" w:rsidR="0086091A" w:rsidRPr="00E70587" w:rsidRDefault="0086091A" w:rsidP="009901E1">
            <w:pPr>
              <w:pStyle w:val="Notesbodytext"/>
              <w:spacing w:after="0" w:line="280" w:lineRule="exact"/>
              <w:rPr>
                <w:rFonts w:ascii="Arial" w:hAnsi="Arial"/>
                <w:color w:val="auto"/>
                <w:sz w:val="20"/>
              </w:rPr>
            </w:pPr>
          </w:p>
        </w:tc>
        <w:tc>
          <w:tcPr>
            <w:tcW w:w="1445" w:type="dxa"/>
            <w:gridSpan w:val="2"/>
            <w:vAlign w:val="bottom"/>
          </w:tcPr>
          <w:p w14:paraId="15D9EFAA" w14:textId="77777777" w:rsidR="0086091A" w:rsidRPr="00E70587" w:rsidRDefault="0086091A" w:rsidP="009901E1">
            <w:pPr>
              <w:pStyle w:val="Notesbodytext"/>
              <w:spacing w:after="0" w:line="280" w:lineRule="exact"/>
              <w:rPr>
                <w:rFonts w:ascii="Arial" w:hAnsi="Arial"/>
                <w:color w:val="auto"/>
                <w:sz w:val="20"/>
              </w:rPr>
            </w:pPr>
          </w:p>
        </w:tc>
        <w:tc>
          <w:tcPr>
            <w:tcW w:w="1695" w:type="dxa"/>
          </w:tcPr>
          <w:p w14:paraId="64CBFC09"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 xml:space="preserve">Discount for lack of marketability </w:t>
            </w:r>
          </w:p>
        </w:tc>
        <w:tc>
          <w:tcPr>
            <w:tcW w:w="1900" w:type="dxa"/>
          </w:tcPr>
          <w:p w14:paraId="0090D6B7" w14:textId="50672046"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E1202D"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21</w:t>
            </w:r>
            <w:r w:rsidRPr="00E70587">
              <w:rPr>
                <w:rFonts w:ascii="Arial" w:hAnsi="Arial"/>
                <w:b/>
                <w:bCs/>
                <w:color w:val="auto"/>
                <w:sz w:val="20"/>
              </w:rPr>
              <w:t>:</w:t>
            </w:r>
            <w:r w:rsidRPr="00E70587">
              <w:rPr>
                <w:rFonts w:ascii="Arial" w:hAnsi="Arial"/>
                <w:color w:val="auto"/>
                <w:sz w:val="20"/>
              </w:rPr>
              <w:t xml:space="preserve"> 5.1% - 15.6% (12.1%)</w:t>
            </w:r>
          </w:p>
          <w:p w14:paraId="4F89DE1B" w14:textId="1F4DFB9E"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8B730E"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20</w:t>
            </w:r>
            <w:r w:rsidRPr="00E70587">
              <w:rPr>
                <w:rFonts w:ascii="Arial" w:hAnsi="Arial"/>
                <w:b/>
                <w:bCs/>
                <w:color w:val="auto"/>
                <w:sz w:val="20"/>
              </w:rPr>
              <w:t>:</w:t>
            </w:r>
            <w:r w:rsidRPr="00E70587">
              <w:rPr>
                <w:rFonts w:ascii="Arial" w:hAnsi="Arial"/>
                <w:color w:val="auto"/>
                <w:sz w:val="20"/>
              </w:rPr>
              <w:t xml:space="preserve"> 5.4% - 15.7% (12.3%)</w:t>
            </w:r>
          </w:p>
        </w:tc>
        <w:tc>
          <w:tcPr>
            <w:tcW w:w="2343" w:type="dxa"/>
          </w:tcPr>
          <w:p w14:paraId="771A916A"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 xml:space="preserve">Increase (decrease) in the discount would decrease (increase) the fair value. </w:t>
            </w:r>
          </w:p>
        </w:tc>
      </w:tr>
      <w:tr w:rsidR="0086091A" w:rsidRPr="00E70587" w14:paraId="1298FF70" w14:textId="77777777" w:rsidTr="002B312A">
        <w:trPr>
          <w:gridAfter w:val="1"/>
          <w:wAfter w:w="29" w:type="dxa"/>
        </w:trPr>
        <w:tc>
          <w:tcPr>
            <w:tcW w:w="2250" w:type="dxa"/>
          </w:tcPr>
          <w:p w14:paraId="0E856602"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FVTOCI assets in unquoted equity shares - electronics sector</w:t>
            </w:r>
          </w:p>
        </w:tc>
        <w:tc>
          <w:tcPr>
            <w:tcW w:w="1445" w:type="dxa"/>
            <w:gridSpan w:val="2"/>
          </w:tcPr>
          <w:p w14:paraId="2EA70EBA"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 xml:space="preserve">DCF method </w:t>
            </w:r>
          </w:p>
        </w:tc>
        <w:tc>
          <w:tcPr>
            <w:tcW w:w="1695" w:type="dxa"/>
          </w:tcPr>
          <w:p w14:paraId="59ECD1A8"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Long-term growth rate for cash flows for subsequent years</w:t>
            </w:r>
          </w:p>
        </w:tc>
        <w:tc>
          <w:tcPr>
            <w:tcW w:w="1900" w:type="dxa"/>
          </w:tcPr>
          <w:p w14:paraId="6D33FCEF" w14:textId="0DBA9C3E"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E1202D"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21</w:t>
            </w:r>
            <w:r w:rsidRPr="00E70587">
              <w:rPr>
                <w:rFonts w:ascii="Arial" w:hAnsi="Arial"/>
                <w:b/>
                <w:bCs/>
                <w:color w:val="auto"/>
                <w:sz w:val="20"/>
              </w:rPr>
              <w:t xml:space="preserve">: </w:t>
            </w:r>
            <w:r w:rsidRPr="00E70587">
              <w:rPr>
                <w:rFonts w:ascii="Arial" w:hAnsi="Arial"/>
                <w:color w:val="auto"/>
                <w:sz w:val="20"/>
              </w:rPr>
              <w:t>4.4% - 6.1% (5.3%)</w:t>
            </w:r>
          </w:p>
          <w:p w14:paraId="7E7B5408" w14:textId="4B08A0B5"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8B730E"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20</w:t>
            </w:r>
            <w:r w:rsidRPr="00E70587">
              <w:rPr>
                <w:rFonts w:ascii="Arial" w:hAnsi="Arial"/>
                <w:b/>
                <w:bCs/>
                <w:color w:val="auto"/>
                <w:sz w:val="20"/>
              </w:rPr>
              <w:t xml:space="preserve">: </w:t>
            </w:r>
            <w:r w:rsidRPr="00E70587">
              <w:rPr>
                <w:rFonts w:ascii="Arial" w:hAnsi="Arial"/>
                <w:color w:val="auto"/>
                <w:sz w:val="20"/>
              </w:rPr>
              <w:t>4.6% - 6.7% (5.5%)</w:t>
            </w:r>
          </w:p>
        </w:tc>
        <w:tc>
          <w:tcPr>
            <w:tcW w:w="2343" w:type="dxa"/>
          </w:tcPr>
          <w:p w14:paraId="5C53B6CF" w14:textId="1108BC6F" w:rsidR="0086091A" w:rsidRPr="00E70587" w:rsidRDefault="0086091A" w:rsidP="00FA1F28">
            <w:pPr>
              <w:pStyle w:val="Notesbodytext"/>
              <w:spacing w:after="0" w:line="280" w:lineRule="exact"/>
              <w:rPr>
                <w:rFonts w:ascii="Arial" w:hAnsi="Arial"/>
                <w:color w:val="auto"/>
                <w:sz w:val="20"/>
              </w:rPr>
            </w:pPr>
            <w:r w:rsidRPr="00E70587">
              <w:rPr>
                <w:rFonts w:ascii="Arial" w:hAnsi="Arial"/>
                <w:color w:val="auto"/>
                <w:sz w:val="20"/>
              </w:rPr>
              <w:t xml:space="preserve">3% (31 </w:t>
            </w:r>
            <w:r w:rsidR="008B730E" w:rsidRPr="00E70587">
              <w:rPr>
                <w:rFonts w:ascii="Arial" w:hAnsi="Arial"/>
                <w:color w:val="auto"/>
                <w:sz w:val="20"/>
              </w:rPr>
              <w:t xml:space="preserve">March </w:t>
            </w:r>
            <w:r w:rsidR="003C6872" w:rsidRPr="00E70587">
              <w:rPr>
                <w:rFonts w:ascii="Arial" w:hAnsi="Arial"/>
                <w:color w:val="auto"/>
                <w:sz w:val="20"/>
              </w:rPr>
              <w:t>20</w:t>
            </w:r>
            <w:r w:rsidR="003C6872">
              <w:rPr>
                <w:rFonts w:ascii="Arial" w:hAnsi="Arial"/>
                <w:color w:val="auto"/>
                <w:sz w:val="20"/>
              </w:rPr>
              <w:t>20</w:t>
            </w:r>
            <w:r w:rsidRPr="00E70587">
              <w:rPr>
                <w:rFonts w:ascii="Arial" w:hAnsi="Arial"/>
                <w:color w:val="auto"/>
                <w:sz w:val="20"/>
              </w:rPr>
              <w:t>: 3%) increase (decrease) in the growth rate would result in increase (decrease) in fair value by INR 41</w:t>
            </w:r>
            <w:r w:rsidR="00FA1F28" w:rsidRPr="00E70587">
              <w:rPr>
                <w:rFonts w:ascii="Arial" w:hAnsi="Arial"/>
                <w:color w:val="auto"/>
                <w:sz w:val="20"/>
              </w:rPr>
              <w:t>.</w:t>
            </w:r>
            <w:r w:rsidRPr="00E70587">
              <w:rPr>
                <w:rFonts w:ascii="Arial" w:hAnsi="Arial"/>
                <w:color w:val="auto"/>
                <w:sz w:val="20"/>
              </w:rPr>
              <w:t>40</w:t>
            </w:r>
            <w:r w:rsidR="00FA1F28" w:rsidRPr="00E70587">
              <w:rPr>
                <w:rFonts w:ascii="Arial" w:hAnsi="Arial"/>
                <w:color w:val="auto"/>
                <w:sz w:val="20"/>
              </w:rPr>
              <w:t xml:space="preserve"> lacs</w:t>
            </w:r>
            <w:r w:rsidR="00FA1F28" w:rsidRPr="00E70587" w:rsidDel="00FA1F28">
              <w:rPr>
                <w:rFonts w:ascii="Arial" w:hAnsi="Arial"/>
                <w:color w:val="auto"/>
                <w:sz w:val="20"/>
              </w:rPr>
              <w:t xml:space="preserve"> </w:t>
            </w:r>
            <w:r w:rsidRPr="00E70587">
              <w:rPr>
                <w:rFonts w:ascii="Arial" w:hAnsi="Arial"/>
                <w:color w:val="auto"/>
                <w:sz w:val="20"/>
              </w:rPr>
              <w:t xml:space="preserve">(31 </w:t>
            </w:r>
            <w:r w:rsidR="008B730E" w:rsidRPr="00E70587">
              <w:rPr>
                <w:rFonts w:ascii="Arial" w:hAnsi="Arial"/>
                <w:color w:val="auto"/>
                <w:sz w:val="20"/>
              </w:rPr>
              <w:t xml:space="preserve">March </w:t>
            </w:r>
            <w:r w:rsidR="003C6872" w:rsidRPr="00E70587">
              <w:rPr>
                <w:rFonts w:ascii="Arial" w:hAnsi="Arial"/>
                <w:color w:val="auto"/>
                <w:sz w:val="20"/>
              </w:rPr>
              <w:t>20</w:t>
            </w:r>
            <w:r w:rsidR="003C6872">
              <w:rPr>
                <w:rFonts w:ascii="Arial" w:hAnsi="Arial"/>
                <w:color w:val="auto"/>
                <w:sz w:val="20"/>
              </w:rPr>
              <w:t>20</w:t>
            </w:r>
            <w:r w:rsidRPr="00E70587">
              <w:rPr>
                <w:rFonts w:ascii="Arial" w:hAnsi="Arial"/>
                <w:color w:val="auto"/>
                <w:sz w:val="20"/>
              </w:rPr>
              <w:t>: INR 45</w:t>
            </w:r>
            <w:r w:rsidR="00FA1F28" w:rsidRPr="00E70587">
              <w:rPr>
                <w:rFonts w:ascii="Arial" w:hAnsi="Arial"/>
                <w:color w:val="auto"/>
                <w:sz w:val="20"/>
              </w:rPr>
              <w:t xml:space="preserve"> lacs</w:t>
            </w:r>
            <w:r w:rsidRPr="00E70587">
              <w:rPr>
                <w:rFonts w:ascii="Arial" w:hAnsi="Arial"/>
                <w:color w:val="auto"/>
                <w:sz w:val="20"/>
              </w:rPr>
              <w:t>)</w:t>
            </w:r>
          </w:p>
        </w:tc>
      </w:tr>
      <w:tr w:rsidR="0086091A" w:rsidRPr="00E70587" w14:paraId="1788A2C5" w14:textId="77777777" w:rsidTr="002B312A">
        <w:trPr>
          <w:gridAfter w:val="1"/>
          <w:wAfter w:w="29" w:type="dxa"/>
        </w:trPr>
        <w:tc>
          <w:tcPr>
            <w:tcW w:w="2250" w:type="dxa"/>
          </w:tcPr>
          <w:p w14:paraId="128C362B" w14:textId="77777777" w:rsidR="0086091A" w:rsidRPr="00E70587" w:rsidRDefault="0086091A" w:rsidP="009901E1">
            <w:pPr>
              <w:pStyle w:val="Notesbodytext"/>
              <w:spacing w:after="0" w:line="280" w:lineRule="exact"/>
              <w:rPr>
                <w:rFonts w:ascii="Arial" w:hAnsi="Arial"/>
                <w:color w:val="auto"/>
                <w:sz w:val="20"/>
              </w:rPr>
            </w:pPr>
          </w:p>
        </w:tc>
        <w:tc>
          <w:tcPr>
            <w:tcW w:w="1445" w:type="dxa"/>
            <w:gridSpan w:val="2"/>
          </w:tcPr>
          <w:p w14:paraId="2806D83A" w14:textId="77777777" w:rsidR="0086091A" w:rsidRPr="00E70587" w:rsidRDefault="0086091A" w:rsidP="009901E1">
            <w:pPr>
              <w:pStyle w:val="Notesbodytext"/>
              <w:spacing w:after="0" w:line="280" w:lineRule="exact"/>
              <w:rPr>
                <w:rFonts w:ascii="Arial" w:hAnsi="Arial"/>
                <w:color w:val="auto"/>
                <w:sz w:val="20"/>
              </w:rPr>
            </w:pPr>
          </w:p>
        </w:tc>
        <w:tc>
          <w:tcPr>
            <w:tcW w:w="1695" w:type="dxa"/>
          </w:tcPr>
          <w:p w14:paraId="29A20349"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Long-term operating margin</w:t>
            </w:r>
          </w:p>
        </w:tc>
        <w:tc>
          <w:tcPr>
            <w:tcW w:w="1900" w:type="dxa"/>
          </w:tcPr>
          <w:p w14:paraId="4764D5AB" w14:textId="1731B476"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E1202D"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21</w:t>
            </w:r>
            <w:r w:rsidRPr="00E70587">
              <w:rPr>
                <w:rFonts w:ascii="Arial" w:hAnsi="Arial"/>
                <w:b/>
                <w:bCs/>
                <w:color w:val="auto"/>
                <w:sz w:val="20"/>
              </w:rPr>
              <w:t>:</w:t>
            </w:r>
            <w:r w:rsidRPr="00E70587">
              <w:rPr>
                <w:rFonts w:ascii="Arial" w:hAnsi="Arial"/>
                <w:color w:val="auto"/>
                <w:sz w:val="20"/>
              </w:rPr>
              <w:t xml:space="preserve"> 10.0% - 16.1% (14.3%)</w:t>
            </w:r>
          </w:p>
          <w:p w14:paraId="0265EC46" w14:textId="68E4C6F1"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8B730E"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20</w:t>
            </w:r>
            <w:r w:rsidRPr="00E70587">
              <w:rPr>
                <w:rFonts w:ascii="Arial" w:hAnsi="Arial"/>
                <w:b/>
                <w:bCs/>
                <w:color w:val="auto"/>
                <w:sz w:val="20"/>
              </w:rPr>
              <w:t>:</w:t>
            </w:r>
            <w:r w:rsidRPr="00E70587">
              <w:rPr>
                <w:rFonts w:ascii="Arial" w:hAnsi="Arial"/>
                <w:color w:val="auto"/>
                <w:sz w:val="20"/>
              </w:rPr>
              <w:t xml:space="preserve"> 10.5% - 16.4% (14.5%)</w:t>
            </w:r>
          </w:p>
        </w:tc>
        <w:tc>
          <w:tcPr>
            <w:tcW w:w="2343" w:type="dxa"/>
          </w:tcPr>
          <w:p w14:paraId="1B25E32B" w14:textId="3DBE8F18" w:rsidR="0086091A" w:rsidRPr="00E70587" w:rsidRDefault="0086091A" w:rsidP="00FA1F28">
            <w:pPr>
              <w:pStyle w:val="Notesbodytext"/>
              <w:spacing w:after="0" w:line="280" w:lineRule="exact"/>
              <w:rPr>
                <w:rFonts w:ascii="Arial" w:hAnsi="Arial"/>
                <w:color w:val="auto"/>
                <w:sz w:val="20"/>
              </w:rPr>
            </w:pPr>
            <w:r w:rsidRPr="00E70587">
              <w:rPr>
                <w:rFonts w:ascii="Arial" w:hAnsi="Arial"/>
                <w:color w:val="auto"/>
                <w:sz w:val="20"/>
              </w:rPr>
              <w:t xml:space="preserve">5% (31 </w:t>
            </w:r>
            <w:r w:rsidR="008B730E" w:rsidRPr="00E70587">
              <w:rPr>
                <w:rFonts w:ascii="Arial" w:hAnsi="Arial"/>
                <w:color w:val="auto"/>
                <w:sz w:val="20"/>
              </w:rPr>
              <w:t xml:space="preserve">March </w:t>
            </w:r>
            <w:r w:rsidR="003C6872" w:rsidRPr="00E70587">
              <w:rPr>
                <w:rFonts w:ascii="Arial" w:hAnsi="Arial"/>
                <w:color w:val="auto"/>
                <w:sz w:val="20"/>
              </w:rPr>
              <w:t>20</w:t>
            </w:r>
            <w:r w:rsidR="003C6872">
              <w:rPr>
                <w:rFonts w:ascii="Arial" w:hAnsi="Arial"/>
                <w:color w:val="auto"/>
                <w:sz w:val="20"/>
              </w:rPr>
              <w:t>20</w:t>
            </w:r>
            <w:r w:rsidRPr="00E70587">
              <w:rPr>
                <w:rFonts w:ascii="Arial" w:hAnsi="Arial"/>
                <w:color w:val="auto"/>
                <w:sz w:val="20"/>
              </w:rPr>
              <w:t>: 4%) increase (decrease) in the margin would result in increase (decrease) in fair value by INR 21</w:t>
            </w:r>
            <w:r w:rsidR="00FA1F28" w:rsidRPr="00E70587">
              <w:rPr>
                <w:rFonts w:ascii="Arial" w:hAnsi="Arial"/>
                <w:color w:val="auto"/>
                <w:sz w:val="20"/>
              </w:rPr>
              <w:t>.</w:t>
            </w:r>
            <w:r w:rsidRPr="00E70587">
              <w:rPr>
                <w:rFonts w:ascii="Arial" w:hAnsi="Arial"/>
                <w:color w:val="auto"/>
                <w:sz w:val="20"/>
              </w:rPr>
              <w:t>60</w:t>
            </w:r>
            <w:r w:rsidR="00FA1F28" w:rsidRPr="00E70587">
              <w:rPr>
                <w:rFonts w:ascii="Arial" w:hAnsi="Arial"/>
                <w:color w:val="auto"/>
                <w:sz w:val="20"/>
              </w:rPr>
              <w:t xml:space="preserve"> lacs</w:t>
            </w:r>
            <w:r w:rsidR="00FA1F28" w:rsidRPr="00E70587" w:rsidDel="00FA1F28">
              <w:rPr>
                <w:rFonts w:ascii="Arial" w:hAnsi="Arial"/>
                <w:color w:val="auto"/>
                <w:sz w:val="20"/>
              </w:rPr>
              <w:t xml:space="preserve"> </w:t>
            </w:r>
            <w:r w:rsidRPr="00E70587">
              <w:rPr>
                <w:rFonts w:ascii="Arial" w:hAnsi="Arial"/>
                <w:color w:val="auto"/>
                <w:sz w:val="20"/>
              </w:rPr>
              <w:t xml:space="preserve">(31 </w:t>
            </w:r>
            <w:r w:rsidR="008B730E" w:rsidRPr="00E70587">
              <w:rPr>
                <w:rFonts w:ascii="Arial" w:hAnsi="Arial"/>
                <w:color w:val="auto"/>
                <w:sz w:val="20"/>
              </w:rPr>
              <w:t xml:space="preserve">March </w:t>
            </w:r>
            <w:r w:rsidR="003C6872" w:rsidRPr="00E70587">
              <w:rPr>
                <w:rFonts w:ascii="Arial" w:hAnsi="Arial"/>
                <w:color w:val="auto"/>
                <w:sz w:val="20"/>
              </w:rPr>
              <w:t>20</w:t>
            </w:r>
            <w:r w:rsidR="003C6872">
              <w:rPr>
                <w:rFonts w:ascii="Arial" w:hAnsi="Arial"/>
                <w:color w:val="auto"/>
                <w:sz w:val="20"/>
              </w:rPr>
              <w:t>20</w:t>
            </w:r>
            <w:r w:rsidRPr="00E70587">
              <w:rPr>
                <w:rFonts w:ascii="Arial" w:hAnsi="Arial"/>
                <w:color w:val="auto"/>
                <w:sz w:val="20"/>
              </w:rPr>
              <w:t>: INR 23</w:t>
            </w:r>
            <w:r w:rsidR="00FA1F28" w:rsidRPr="00E70587">
              <w:rPr>
                <w:rFonts w:ascii="Arial" w:hAnsi="Arial"/>
                <w:color w:val="auto"/>
                <w:sz w:val="20"/>
              </w:rPr>
              <w:t>.</w:t>
            </w:r>
            <w:r w:rsidRPr="00E70587">
              <w:rPr>
                <w:rFonts w:ascii="Arial" w:hAnsi="Arial"/>
                <w:color w:val="auto"/>
                <w:sz w:val="20"/>
              </w:rPr>
              <w:t>40</w:t>
            </w:r>
            <w:r w:rsidR="00FA1F28" w:rsidRPr="00E70587">
              <w:rPr>
                <w:rFonts w:ascii="Arial" w:hAnsi="Arial"/>
                <w:color w:val="auto"/>
                <w:sz w:val="20"/>
              </w:rPr>
              <w:t xml:space="preserve"> lacs</w:t>
            </w:r>
            <w:r w:rsidRPr="00E70587">
              <w:rPr>
                <w:rFonts w:ascii="Arial" w:hAnsi="Arial"/>
                <w:color w:val="auto"/>
                <w:sz w:val="20"/>
              </w:rPr>
              <w:t>)</w:t>
            </w:r>
          </w:p>
        </w:tc>
      </w:tr>
      <w:tr w:rsidR="0086091A" w:rsidRPr="00E70587" w14:paraId="3A1367AE" w14:textId="77777777" w:rsidTr="002B312A">
        <w:trPr>
          <w:gridAfter w:val="1"/>
          <w:wAfter w:w="29" w:type="dxa"/>
        </w:trPr>
        <w:tc>
          <w:tcPr>
            <w:tcW w:w="2250" w:type="dxa"/>
          </w:tcPr>
          <w:p w14:paraId="6FD9283F" w14:textId="77777777" w:rsidR="0086091A" w:rsidRPr="00E70587" w:rsidRDefault="0086091A" w:rsidP="009901E1">
            <w:pPr>
              <w:pStyle w:val="Notesbodytext"/>
              <w:spacing w:after="0" w:line="280" w:lineRule="exact"/>
              <w:rPr>
                <w:rFonts w:ascii="Arial" w:hAnsi="Arial"/>
                <w:color w:val="auto"/>
                <w:sz w:val="20"/>
              </w:rPr>
            </w:pPr>
          </w:p>
        </w:tc>
        <w:tc>
          <w:tcPr>
            <w:tcW w:w="1445" w:type="dxa"/>
            <w:gridSpan w:val="2"/>
          </w:tcPr>
          <w:p w14:paraId="78E9DA11" w14:textId="77777777" w:rsidR="0086091A" w:rsidRPr="00E70587" w:rsidRDefault="0086091A" w:rsidP="009901E1">
            <w:pPr>
              <w:pStyle w:val="Notesbodytext"/>
              <w:spacing w:after="0" w:line="280" w:lineRule="exact"/>
              <w:rPr>
                <w:rFonts w:ascii="Arial" w:hAnsi="Arial"/>
                <w:color w:val="auto"/>
                <w:sz w:val="20"/>
              </w:rPr>
            </w:pPr>
          </w:p>
        </w:tc>
        <w:tc>
          <w:tcPr>
            <w:tcW w:w="1695" w:type="dxa"/>
          </w:tcPr>
          <w:p w14:paraId="3E5FAEA5"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WACC</w:t>
            </w:r>
          </w:p>
        </w:tc>
        <w:tc>
          <w:tcPr>
            <w:tcW w:w="1900" w:type="dxa"/>
          </w:tcPr>
          <w:p w14:paraId="77BBBC24" w14:textId="52845CF1"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E1202D"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21</w:t>
            </w:r>
            <w:r w:rsidRPr="00E70587">
              <w:rPr>
                <w:rFonts w:ascii="Arial" w:hAnsi="Arial"/>
                <w:b/>
                <w:bCs/>
                <w:color w:val="auto"/>
                <w:sz w:val="20"/>
              </w:rPr>
              <w:t>:</w:t>
            </w:r>
            <w:r w:rsidRPr="00E70587">
              <w:rPr>
                <w:rFonts w:ascii="Arial" w:hAnsi="Arial"/>
                <w:color w:val="auto"/>
                <w:sz w:val="20"/>
              </w:rPr>
              <w:t xml:space="preserve"> 12.1% - 16.7% (13.2%)</w:t>
            </w:r>
          </w:p>
          <w:p w14:paraId="782DA6DD" w14:textId="3AEE5F7F"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lastRenderedPageBreak/>
              <w:t xml:space="preserve">31 </w:t>
            </w:r>
            <w:r w:rsidR="008B730E"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20</w:t>
            </w:r>
            <w:r w:rsidRPr="00E70587">
              <w:rPr>
                <w:rFonts w:ascii="Arial" w:hAnsi="Arial"/>
                <w:b/>
                <w:bCs/>
                <w:color w:val="auto"/>
                <w:sz w:val="20"/>
              </w:rPr>
              <w:t>:</w:t>
            </w:r>
            <w:r w:rsidRPr="00E70587">
              <w:rPr>
                <w:rFonts w:ascii="Arial" w:hAnsi="Arial"/>
                <w:color w:val="auto"/>
                <w:sz w:val="20"/>
              </w:rPr>
              <w:t xml:space="preserve"> 12.3% - 16.8% (13.1%)</w:t>
            </w:r>
          </w:p>
        </w:tc>
        <w:tc>
          <w:tcPr>
            <w:tcW w:w="2343" w:type="dxa"/>
          </w:tcPr>
          <w:p w14:paraId="0A675ACF" w14:textId="4FAFE813" w:rsidR="0086091A" w:rsidRPr="00E70587" w:rsidRDefault="0086091A" w:rsidP="00FA1F28">
            <w:pPr>
              <w:pStyle w:val="Notesbodytext"/>
              <w:spacing w:after="0" w:line="280" w:lineRule="exact"/>
              <w:rPr>
                <w:rFonts w:ascii="Arial" w:hAnsi="Arial"/>
                <w:color w:val="auto"/>
                <w:sz w:val="20"/>
              </w:rPr>
            </w:pPr>
            <w:r w:rsidRPr="00E70587">
              <w:rPr>
                <w:rFonts w:ascii="Arial" w:hAnsi="Arial"/>
                <w:color w:val="auto"/>
                <w:sz w:val="20"/>
              </w:rPr>
              <w:lastRenderedPageBreak/>
              <w:t xml:space="preserve">1% (31 </w:t>
            </w:r>
            <w:r w:rsidR="008B730E" w:rsidRPr="00E70587">
              <w:rPr>
                <w:rFonts w:ascii="Arial" w:hAnsi="Arial"/>
                <w:color w:val="auto"/>
                <w:sz w:val="20"/>
              </w:rPr>
              <w:t xml:space="preserve">March </w:t>
            </w:r>
            <w:r w:rsidR="003C6872" w:rsidRPr="00E70587">
              <w:rPr>
                <w:rFonts w:ascii="Arial" w:hAnsi="Arial"/>
                <w:color w:val="auto"/>
                <w:sz w:val="20"/>
              </w:rPr>
              <w:t>20</w:t>
            </w:r>
            <w:r w:rsidR="003C6872">
              <w:rPr>
                <w:rFonts w:ascii="Arial" w:hAnsi="Arial"/>
                <w:color w:val="auto"/>
                <w:sz w:val="20"/>
              </w:rPr>
              <w:t>20</w:t>
            </w:r>
            <w:r w:rsidRPr="00E70587">
              <w:rPr>
                <w:rFonts w:ascii="Arial" w:hAnsi="Arial"/>
                <w:color w:val="auto"/>
                <w:sz w:val="20"/>
              </w:rPr>
              <w:t xml:space="preserve">: 2%) increase (decrease) in the WACC would result in decrease (increase) in </w:t>
            </w:r>
            <w:r w:rsidRPr="00E70587">
              <w:rPr>
                <w:rFonts w:ascii="Arial" w:hAnsi="Arial"/>
                <w:color w:val="auto"/>
                <w:sz w:val="20"/>
              </w:rPr>
              <w:lastRenderedPageBreak/>
              <w:t>fair value by INR 37</w:t>
            </w:r>
            <w:r w:rsidR="00FA1F28" w:rsidRPr="00E70587">
              <w:rPr>
                <w:rFonts w:ascii="Arial" w:hAnsi="Arial"/>
                <w:color w:val="auto"/>
                <w:sz w:val="20"/>
              </w:rPr>
              <w:t>.</w:t>
            </w:r>
            <w:r w:rsidRPr="00E70587">
              <w:rPr>
                <w:rFonts w:ascii="Arial" w:hAnsi="Arial"/>
                <w:color w:val="auto"/>
                <w:sz w:val="20"/>
              </w:rPr>
              <w:t>80</w:t>
            </w:r>
            <w:r w:rsidR="00FA1F28" w:rsidRPr="00E70587">
              <w:rPr>
                <w:rFonts w:ascii="Arial" w:hAnsi="Arial"/>
                <w:color w:val="auto"/>
                <w:sz w:val="20"/>
              </w:rPr>
              <w:t xml:space="preserve"> lacs</w:t>
            </w:r>
            <w:r w:rsidR="00FA1F28" w:rsidRPr="00E70587" w:rsidDel="00FA1F28">
              <w:rPr>
                <w:rFonts w:ascii="Arial" w:hAnsi="Arial"/>
                <w:color w:val="auto"/>
                <w:sz w:val="20"/>
              </w:rPr>
              <w:t xml:space="preserve"> </w:t>
            </w:r>
            <w:r w:rsidRPr="00E70587">
              <w:rPr>
                <w:rFonts w:ascii="Arial" w:hAnsi="Arial"/>
                <w:color w:val="auto"/>
                <w:sz w:val="20"/>
              </w:rPr>
              <w:t xml:space="preserve">(31 </w:t>
            </w:r>
            <w:r w:rsidR="008B730E" w:rsidRPr="00E70587">
              <w:rPr>
                <w:rFonts w:ascii="Arial" w:hAnsi="Arial"/>
                <w:color w:val="auto"/>
                <w:sz w:val="20"/>
              </w:rPr>
              <w:t xml:space="preserve">March </w:t>
            </w:r>
            <w:r w:rsidR="003C6872" w:rsidRPr="00E70587">
              <w:rPr>
                <w:rFonts w:ascii="Arial" w:hAnsi="Arial"/>
                <w:color w:val="auto"/>
                <w:sz w:val="20"/>
              </w:rPr>
              <w:t>20</w:t>
            </w:r>
            <w:r w:rsidR="003C6872">
              <w:rPr>
                <w:rFonts w:ascii="Arial" w:hAnsi="Arial"/>
                <w:color w:val="auto"/>
                <w:sz w:val="20"/>
              </w:rPr>
              <w:t>20</w:t>
            </w:r>
            <w:r w:rsidRPr="00E70587">
              <w:rPr>
                <w:rFonts w:ascii="Arial" w:hAnsi="Arial"/>
                <w:color w:val="auto"/>
                <w:sz w:val="20"/>
              </w:rPr>
              <w:t>: INR 39</w:t>
            </w:r>
            <w:r w:rsidR="00FA1F28" w:rsidRPr="00E70587">
              <w:rPr>
                <w:rFonts w:ascii="Arial" w:hAnsi="Arial"/>
                <w:color w:val="auto"/>
                <w:sz w:val="20"/>
              </w:rPr>
              <w:t>.</w:t>
            </w:r>
            <w:r w:rsidRPr="00E70587">
              <w:rPr>
                <w:rFonts w:ascii="Arial" w:hAnsi="Arial"/>
                <w:color w:val="auto"/>
                <w:sz w:val="20"/>
              </w:rPr>
              <w:t>60</w:t>
            </w:r>
            <w:r w:rsidR="00FA1F28" w:rsidRPr="00E70587">
              <w:rPr>
                <w:rFonts w:ascii="Arial" w:hAnsi="Arial"/>
                <w:color w:val="auto"/>
                <w:sz w:val="20"/>
              </w:rPr>
              <w:t xml:space="preserve"> lacs</w:t>
            </w:r>
            <w:r w:rsidRPr="00E70587">
              <w:rPr>
                <w:rFonts w:ascii="Arial" w:hAnsi="Arial"/>
                <w:color w:val="auto"/>
                <w:sz w:val="20"/>
              </w:rPr>
              <w:t>)</w:t>
            </w:r>
          </w:p>
        </w:tc>
      </w:tr>
      <w:tr w:rsidR="0086091A" w:rsidRPr="00E70587" w14:paraId="2AF1481C" w14:textId="77777777" w:rsidTr="002B312A">
        <w:trPr>
          <w:gridAfter w:val="1"/>
          <w:wAfter w:w="29" w:type="dxa"/>
        </w:trPr>
        <w:tc>
          <w:tcPr>
            <w:tcW w:w="2250" w:type="dxa"/>
          </w:tcPr>
          <w:p w14:paraId="157D45B2" w14:textId="77777777" w:rsidR="0086091A" w:rsidRPr="00E70587" w:rsidRDefault="0086091A" w:rsidP="009901E1">
            <w:pPr>
              <w:pStyle w:val="Notesbodytext"/>
              <w:spacing w:after="0" w:line="280" w:lineRule="exact"/>
              <w:rPr>
                <w:rFonts w:ascii="Arial" w:hAnsi="Arial"/>
                <w:color w:val="auto"/>
                <w:sz w:val="20"/>
              </w:rPr>
            </w:pPr>
          </w:p>
        </w:tc>
        <w:tc>
          <w:tcPr>
            <w:tcW w:w="1445" w:type="dxa"/>
            <w:gridSpan w:val="2"/>
          </w:tcPr>
          <w:p w14:paraId="01E77C15" w14:textId="77777777" w:rsidR="0086091A" w:rsidRPr="00E70587" w:rsidRDefault="0086091A" w:rsidP="009901E1">
            <w:pPr>
              <w:pStyle w:val="Notesbodytext"/>
              <w:spacing w:after="0" w:line="280" w:lineRule="exact"/>
              <w:rPr>
                <w:rFonts w:ascii="Arial" w:hAnsi="Arial"/>
                <w:color w:val="auto"/>
                <w:sz w:val="20"/>
              </w:rPr>
            </w:pPr>
          </w:p>
        </w:tc>
        <w:tc>
          <w:tcPr>
            <w:tcW w:w="1695" w:type="dxa"/>
          </w:tcPr>
          <w:p w14:paraId="288FF0DF"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 xml:space="preserve">Discount for lack of marketability </w:t>
            </w:r>
          </w:p>
        </w:tc>
        <w:tc>
          <w:tcPr>
            <w:tcW w:w="1900" w:type="dxa"/>
          </w:tcPr>
          <w:p w14:paraId="35185A2E" w14:textId="2A670203"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E1202D"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21</w:t>
            </w:r>
            <w:r w:rsidRPr="00E70587">
              <w:rPr>
                <w:rFonts w:ascii="Arial" w:hAnsi="Arial"/>
                <w:b/>
                <w:bCs/>
                <w:color w:val="auto"/>
                <w:sz w:val="20"/>
              </w:rPr>
              <w:t>:</w:t>
            </w:r>
            <w:r w:rsidRPr="00E70587">
              <w:rPr>
                <w:rFonts w:ascii="Arial" w:hAnsi="Arial"/>
                <w:color w:val="auto"/>
                <w:sz w:val="20"/>
              </w:rPr>
              <w:t xml:space="preserve"> 5.1% - 20.2% (16.3%)</w:t>
            </w:r>
          </w:p>
          <w:p w14:paraId="024865EA" w14:textId="4CC4F026"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8B730E"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20</w:t>
            </w:r>
            <w:r w:rsidRPr="00E70587">
              <w:rPr>
                <w:rFonts w:ascii="Arial" w:hAnsi="Arial"/>
                <w:b/>
                <w:bCs/>
                <w:color w:val="auto"/>
                <w:sz w:val="20"/>
              </w:rPr>
              <w:t>:</w:t>
            </w:r>
            <w:r w:rsidRPr="00E70587">
              <w:rPr>
                <w:rFonts w:ascii="Arial" w:hAnsi="Arial"/>
                <w:color w:val="auto"/>
                <w:sz w:val="20"/>
              </w:rPr>
              <w:t xml:space="preserve"> 5.3% - 20.4% (16.4%)</w:t>
            </w:r>
          </w:p>
        </w:tc>
        <w:tc>
          <w:tcPr>
            <w:tcW w:w="2343" w:type="dxa"/>
          </w:tcPr>
          <w:p w14:paraId="2E7A7543"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 xml:space="preserve">Increase (decrease) in the discount would decrease (increase) the fair value. </w:t>
            </w:r>
          </w:p>
        </w:tc>
      </w:tr>
      <w:tr w:rsidR="0086091A" w:rsidRPr="00E70587" w14:paraId="2917056F" w14:textId="77777777" w:rsidTr="002B312A">
        <w:tc>
          <w:tcPr>
            <w:tcW w:w="2250" w:type="dxa"/>
            <w:tcBorders>
              <w:top w:val="single" w:sz="4" w:space="0" w:color="auto"/>
            </w:tcBorders>
          </w:tcPr>
          <w:p w14:paraId="05683091"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Embedded derivative assets</w:t>
            </w:r>
          </w:p>
        </w:tc>
        <w:tc>
          <w:tcPr>
            <w:tcW w:w="1430" w:type="dxa"/>
            <w:tcBorders>
              <w:top w:val="single" w:sz="4" w:space="0" w:color="auto"/>
            </w:tcBorders>
          </w:tcPr>
          <w:p w14:paraId="091BEEB7"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Forward pricing model</w:t>
            </w:r>
          </w:p>
        </w:tc>
        <w:tc>
          <w:tcPr>
            <w:tcW w:w="1710" w:type="dxa"/>
            <w:gridSpan w:val="2"/>
            <w:tcBorders>
              <w:top w:val="single" w:sz="4" w:space="0" w:color="auto"/>
            </w:tcBorders>
          </w:tcPr>
          <w:p w14:paraId="0FA19343"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Discount for counterparty credit risk</w:t>
            </w:r>
          </w:p>
        </w:tc>
        <w:tc>
          <w:tcPr>
            <w:tcW w:w="1900" w:type="dxa"/>
            <w:tcBorders>
              <w:top w:val="single" w:sz="4" w:space="0" w:color="auto"/>
            </w:tcBorders>
          </w:tcPr>
          <w:p w14:paraId="449B2E55" w14:textId="3A3DD173"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E1202D"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21</w:t>
            </w:r>
            <w:r w:rsidRPr="00E70587">
              <w:rPr>
                <w:rFonts w:ascii="Arial" w:hAnsi="Arial"/>
                <w:b/>
                <w:bCs/>
                <w:color w:val="auto"/>
                <w:sz w:val="20"/>
              </w:rPr>
              <w:t>:</w:t>
            </w:r>
            <w:r w:rsidRPr="00E70587">
              <w:rPr>
                <w:rFonts w:ascii="Arial" w:hAnsi="Arial"/>
                <w:color w:val="auto"/>
                <w:sz w:val="20"/>
              </w:rPr>
              <w:t xml:space="preserve"> 0.02% - 0.05% (0.04%)</w:t>
            </w:r>
          </w:p>
          <w:p w14:paraId="104D472D" w14:textId="7098F4FA" w:rsidR="0086091A" w:rsidRPr="00E70587" w:rsidRDefault="0086091A" w:rsidP="009901E1">
            <w:pPr>
              <w:pStyle w:val="Notesbodytext"/>
              <w:spacing w:after="0" w:line="280" w:lineRule="exact"/>
              <w:rPr>
                <w:rFonts w:ascii="Arial" w:hAnsi="Arial"/>
                <w:b/>
                <w:bCs/>
                <w:color w:val="auto"/>
                <w:sz w:val="20"/>
              </w:rPr>
            </w:pPr>
            <w:r w:rsidRPr="00E70587">
              <w:rPr>
                <w:rFonts w:ascii="Arial" w:hAnsi="Arial"/>
                <w:b/>
                <w:bCs/>
                <w:color w:val="auto"/>
                <w:sz w:val="20"/>
              </w:rPr>
              <w:t xml:space="preserve">31 </w:t>
            </w:r>
            <w:r w:rsidR="008B730E"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20</w:t>
            </w:r>
            <w:r w:rsidRPr="00E70587">
              <w:rPr>
                <w:rFonts w:ascii="Arial" w:hAnsi="Arial"/>
                <w:b/>
                <w:bCs/>
                <w:color w:val="auto"/>
                <w:sz w:val="20"/>
              </w:rPr>
              <w:t>:</w:t>
            </w:r>
            <w:r w:rsidRPr="00E70587">
              <w:rPr>
                <w:rFonts w:ascii="Arial" w:hAnsi="Arial"/>
                <w:color w:val="auto"/>
                <w:sz w:val="20"/>
              </w:rPr>
              <w:t xml:space="preserve"> 0.01% - 0.04% (0.03%)</w:t>
            </w:r>
          </w:p>
        </w:tc>
        <w:tc>
          <w:tcPr>
            <w:tcW w:w="2372" w:type="dxa"/>
            <w:gridSpan w:val="2"/>
            <w:tcBorders>
              <w:top w:val="single" w:sz="4" w:space="0" w:color="auto"/>
            </w:tcBorders>
          </w:tcPr>
          <w:p w14:paraId="7FB04A15" w14:textId="58B8F8D4" w:rsidR="0086091A" w:rsidRPr="00E70587" w:rsidRDefault="0086091A" w:rsidP="00FA1F28">
            <w:pPr>
              <w:pStyle w:val="Notesbodytext"/>
              <w:spacing w:after="0" w:line="280" w:lineRule="exact"/>
              <w:rPr>
                <w:rFonts w:ascii="Arial" w:hAnsi="Arial"/>
                <w:color w:val="auto"/>
                <w:sz w:val="20"/>
              </w:rPr>
            </w:pPr>
            <w:r w:rsidRPr="00E70587">
              <w:rPr>
                <w:rFonts w:ascii="Arial" w:hAnsi="Arial"/>
                <w:color w:val="auto"/>
                <w:sz w:val="20"/>
              </w:rPr>
              <w:t xml:space="preserve">0.5% (31 </w:t>
            </w:r>
            <w:r w:rsidR="008B730E" w:rsidRPr="00E70587">
              <w:rPr>
                <w:rFonts w:ascii="Arial" w:hAnsi="Arial"/>
                <w:color w:val="auto"/>
                <w:sz w:val="20"/>
              </w:rPr>
              <w:t xml:space="preserve">March </w:t>
            </w:r>
            <w:r w:rsidR="003C6872" w:rsidRPr="00E70587">
              <w:rPr>
                <w:rFonts w:ascii="Arial" w:hAnsi="Arial"/>
                <w:color w:val="auto"/>
                <w:sz w:val="20"/>
              </w:rPr>
              <w:t>20</w:t>
            </w:r>
            <w:r w:rsidR="003C6872">
              <w:rPr>
                <w:rFonts w:ascii="Arial" w:hAnsi="Arial"/>
                <w:color w:val="auto"/>
                <w:sz w:val="20"/>
              </w:rPr>
              <w:t>20</w:t>
            </w:r>
            <w:r w:rsidRPr="00E70587">
              <w:rPr>
                <w:rFonts w:ascii="Arial" w:hAnsi="Arial"/>
                <w:color w:val="auto"/>
                <w:sz w:val="20"/>
              </w:rPr>
              <w:t>: 0.4%) increase (decrease) would result in increase (decrease) in fair value by INR 41</w:t>
            </w:r>
            <w:r w:rsidR="00FA1F28" w:rsidRPr="00E70587">
              <w:rPr>
                <w:rFonts w:ascii="Arial" w:hAnsi="Arial"/>
                <w:color w:val="auto"/>
                <w:sz w:val="20"/>
              </w:rPr>
              <w:t>.</w:t>
            </w:r>
            <w:r w:rsidRPr="00E70587">
              <w:rPr>
                <w:rFonts w:ascii="Arial" w:hAnsi="Arial"/>
                <w:color w:val="auto"/>
                <w:sz w:val="20"/>
              </w:rPr>
              <w:t>40</w:t>
            </w:r>
            <w:r w:rsidR="00FA1F28" w:rsidRPr="00E70587">
              <w:rPr>
                <w:rFonts w:ascii="Arial" w:hAnsi="Arial"/>
                <w:color w:val="auto"/>
                <w:sz w:val="20"/>
              </w:rPr>
              <w:t xml:space="preserve"> lacs</w:t>
            </w:r>
            <w:r w:rsidR="00FA1F28" w:rsidRPr="00E70587" w:rsidDel="00FA1F28">
              <w:rPr>
                <w:rFonts w:ascii="Arial" w:hAnsi="Arial"/>
                <w:color w:val="auto"/>
                <w:sz w:val="20"/>
              </w:rPr>
              <w:t xml:space="preserve"> </w:t>
            </w:r>
            <w:r w:rsidRPr="00E70587">
              <w:rPr>
                <w:rFonts w:ascii="Arial" w:hAnsi="Arial"/>
                <w:color w:val="auto"/>
                <w:sz w:val="20"/>
              </w:rPr>
              <w:t xml:space="preserve">(31 </w:t>
            </w:r>
            <w:r w:rsidR="008B730E" w:rsidRPr="00E70587">
              <w:rPr>
                <w:rFonts w:ascii="Arial" w:hAnsi="Arial"/>
                <w:color w:val="auto"/>
                <w:sz w:val="20"/>
              </w:rPr>
              <w:t xml:space="preserve">March </w:t>
            </w:r>
            <w:r w:rsidR="003C6872" w:rsidRPr="00E70587">
              <w:rPr>
                <w:rFonts w:ascii="Arial" w:hAnsi="Arial"/>
                <w:color w:val="auto"/>
                <w:sz w:val="20"/>
              </w:rPr>
              <w:t>20</w:t>
            </w:r>
            <w:r w:rsidR="003C6872">
              <w:rPr>
                <w:rFonts w:ascii="Arial" w:hAnsi="Arial"/>
                <w:color w:val="auto"/>
                <w:sz w:val="20"/>
              </w:rPr>
              <w:t>20</w:t>
            </w:r>
            <w:r w:rsidRPr="00E70587">
              <w:rPr>
                <w:rFonts w:ascii="Arial" w:hAnsi="Arial"/>
                <w:color w:val="auto"/>
                <w:sz w:val="20"/>
              </w:rPr>
              <w:t>: INR 45</w:t>
            </w:r>
            <w:r w:rsidR="00FA1F28" w:rsidRPr="00E70587">
              <w:rPr>
                <w:rFonts w:ascii="Arial" w:hAnsi="Arial"/>
                <w:color w:val="auto"/>
                <w:sz w:val="20"/>
              </w:rPr>
              <w:t xml:space="preserve"> lacs</w:t>
            </w:r>
            <w:r w:rsidRPr="00E70587">
              <w:rPr>
                <w:rFonts w:ascii="Arial" w:hAnsi="Arial"/>
                <w:color w:val="auto"/>
                <w:sz w:val="20"/>
              </w:rPr>
              <w:t>)</w:t>
            </w:r>
          </w:p>
        </w:tc>
      </w:tr>
      <w:tr w:rsidR="0086091A" w:rsidRPr="00E70587" w14:paraId="02223E1B" w14:textId="77777777" w:rsidTr="002B312A">
        <w:tc>
          <w:tcPr>
            <w:tcW w:w="2250" w:type="dxa"/>
          </w:tcPr>
          <w:p w14:paraId="73384C43"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Embedded derivative liabilities</w:t>
            </w:r>
          </w:p>
        </w:tc>
        <w:tc>
          <w:tcPr>
            <w:tcW w:w="1430" w:type="dxa"/>
          </w:tcPr>
          <w:p w14:paraId="51D2977B"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Forward pricing model</w:t>
            </w:r>
          </w:p>
        </w:tc>
        <w:tc>
          <w:tcPr>
            <w:tcW w:w="1710" w:type="dxa"/>
            <w:gridSpan w:val="2"/>
          </w:tcPr>
          <w:p w14:paraId="170A2E51"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Discount for non-performance risk</w:t>
            </w:r>
          </w:p>
        </w:tc>
        <w:tc>
          <w:tcPr>
            <w:tcW w:w="1900" w:type="dxa"/>
          </w:tcPr>
          <w:p w14:paraId="7C9F8ABA" w14:textId="4B2EB3C8"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E1202D"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21</w:t>
            </w:r>
            <w:r w:rsidRPr="00E70587">
              <w:rPr>
                <w:rFonts w:ascii="Arial" w:hAnsi="Arial"/>
                <w:b/>
                <w:bCs/>
                <w:color w:val="auto"/>
                <w:sz w:val="20"/>
              </w:rPr>
              <w:t>:</w:t>
            </w:r>
            <w:r w:rsidRPr="00E70587">
              <w:rPr>
                <w:rFonts w:ascii="Arial" w:hAnsi="Arial"/>
                <w:color w:val="auto"/>
                <w:sz w:val="20"/>
              </w:rPr>
              <w:t xml:space="preserve"> 0.01% - 0.05% (0.03%)</w:t>
            </w:r>
          </w:p>
          <w:p w14:paraId="0F99EF58" w14:textId="59B3E688" w:rsidR="0086091A" w:rsidRPr="00E70587" w:rsidRDefault="0086091A" w:rsidP="009901E1">
            <w:pPr>
              <w:pStyle w:val="Notesbodytext"/>
              <w:spacing w:after="0" w:line="280" w:lineRule="exact"/>
              <w:rPr>
                <w:rFonts w:ascii="Arial" w:hAnsi="Arial"/>
                <w:b/>
                <w:bCs/>
                <w:color w:val="auto"/>
                <w:sz w:val="20"/>
              </w:rPr>
            </w:pPr>
            <w:r w:rsidRPr="00E70587">
              <w:rPr>
                <w:rFonts w:ascii="Arial" w:hAnsi="Arial"/>
                <w:b/>
                <w:bCs/>
                <w:color w:val="auto"/>
                <w:sz w:val="20"/>
              </w:rPr>
              <w:t xml:space="preserve">31 </w:t>
            </w:r>
            <w:r w:rsidR="008B730E" w:rsidRPr="00E70587">
              <w:rPr>
                <w:rFonts w:ascii="Arial" w:hAnsi="Arial"/>
                <w:b/>
                <w:bCs/>
                <w:color w:val="auto"/>
                <w:sz w:val="20"/>
              </w:rPr>
              <w:t xml:space="preserve">March </w:t>
            </w:r>
            <w:r w:rsidR="003C6872" w:rsidRPr="00E70587">
              <w:rPr>
                <w:rFonts w:ascii="Arial" w:hAnsi="Arial"/>
                <w:b/>
                <w:bCs/>
                <w:color w:val="auto"/>
                <w:sz w:val="20"/>
              </w:rPr>
              <w:t>20</w:t>
            </w:r>
            <w:r w:rsidR="003C6872">
              <w:rPr>
                <w:rFonts w:ascii="Arial" w:hAnsi="Arial"/>
                <w:b/>
                <w:bCs/>
                <w:color w:val="auto"/>
                <w:sz w:val="20"/>
              </w:rPr>
              <w:t>20</w:t>
            </w:r>
            <w:r w:rsidRPr="00E70587">
              <w:rPr>
                <w:rFonts w:ascii="Arial" w:hAnsi="Arial"/>
                <w:b/>
                <w:bCs/>
                <w:color w:val="auto"/>
                <w:sz w:val="20"/>
              </w:rPr>
              <w:t>:</w:t>
            </w:r>
            <w:r w:rsidRPr="00E70587">
              <w:rPr>
                <w:rFonts w:ascii="Arial" w:hAnsi="Arial"/>
                <w:color w:val="auto"/>
                <w:sz w:val="20"/>
              </w:rPr>
              <w:t xml:space="preserve"> 0.01% - 0.04% (0.02%)</w:t>
            </w:r>
          </w:p>
        </w:tc>
        <w:tc>
          <w:tcPr>
            <w:tcW w:w="2372" w:type="dxa"/>
            <w:gridSpan w:val="2"/>
          </w:tcPr>
          <w:p w14:paraId="1F7FBA7E" w14:textId="403A0D90" w:rsidR="0086091A" w:rsidRPr="00E70587" w:rsidRDefault="0086091A" w:rsidP="00FA1F28">
            <w:pPr>
              <w:pStyle w:val="Notesbodytext"/>
              <w:spacing w:after="0" w:line="280" w:lineRule="exact"/>
              <w:rPr>
                <w:rFonts w:ascii="Arial" w:hAnsi="Arial"/>
                <w:color w:val="auto"/>
                <w:sz w:val="20"/>
              </w:rPr>
            </w:pPr>
            <w:r w:rsidRPr="00E70587">
              <w:rPr>
                <w:rFonts w:ascii="Arial" w:hAnsi="Arial"/>
                <w:color w:val="auto"/>
                <w:sz w:val="20"/>
              </w:rPr>
              <w:t xml:space="preserve">0.4% (31 </w:t>
            </w:r>
            <w:r w:rsidR="008B730E" w:rsidRPr="00E70587">
              <w:rPr>
                <w:rFonts w:ascii="Arial" w:hAnsi="Arial"/>
                <w:color w:val="auto"/>
                <w:sz w:val="20"/>
              </w:rPr>
              <w:t xml:space="preserve">March </w:t>
            </w:r>
            <w:r w:rsidR="003C6872" w:rsidRPr="00E70587">
              <w:rPr>
                <w:rFonts w:ascii="Arial" w:hAnsi="Arial"/>
                <w:color w:val="auto"/>
                <w:sz w:val="20"/>
              </w:rPr>
              <w:t>20</w:t>
            </w:r>
            <w:r w:rsidR="003C6872">
              <w:rPr>
                <w:rFonts w:ascii="Arial" w:hAnsi="Arial"/>
                <w:color w:val="auto"/>
                <w:sz w:val="20"/>
              </w:rPr>
              <w:t>20</w:t>
            </w:r>
            <w:r w:rsidRPr="00E70587">
              <w:rPr>
                <w:rFonts w:ascii="Arial" w:hAnsi="Arial"/>
                <w:color w:val="auto"/>
                <w:sz w:val="20"/>
              </w:rPr>
              <w:t>: 0.4%) increase (decrease) would result in increase (decrease) in fair value by INR 36</w:t>
            </w:r>
            <w:r w:rsidR="00FA1F28" w:rsidRPr="00E70587">
              <w:rPr>
                <w:rFonts w:ascii="Arial" w:hAnsi="Arial"/>
                <w:color w:val="auto"/>
                <w:sz w:val="20"/>
              </w:rPr>
              <w:t xml:space="preserve"> lacs</w:t>
            </w:r>
            <w:r w:rsidR="00FA1F28" w:rsidRPr="00E70587" w:rsidDel="00FA1F28">
              <w:rPr>
                <w:rFonts w:ascii="Arial" w:hAnsi="Arial"/>
                <w:color w:val="auto"/>
                <w:sz w:val="20"/>
              </w:rPr>
              <w:t xml:space="preserve"> </w:t>
            </w:r>
            <w:r w:rsidRPr="00E70587">
              <w:rPr>
                <w:rFonts w:ascii="Arial" w:hAnsi="Arial"/>
                <w:color w:val="auto"/>
                <w:sz w:val="20"/>
              </w:rPr>
              <w:t xml:space="preserve">(31 </w:t>
            </w:r>
            <w:r w:rsidR="008B730E" w:rsidRPr="00E70587">
              <w:rPr>
                <w:rFonts w:ascii="Arial" w:hAnsi="Arial"/>
                <w:color w:val="auto"/>
                <w:sz w:val="20"/>
              </w:rPr>
              <w:t xml:space="preserve">March </w:t>
            </w:r>
            <w:r w:rsidR="007233B7" w:rsidRPr="00E70587">
              <w:rPr>
                <w:rFonts w:ascii="Arial" w:hAnsi="Arial"/>
                <w:color w:val="auto"/>
                <w:sz w:val="20"/>
              </w:rPr>
              <w:t>20</w:t>
            </w:r>
            <w:r w:rsidR="007233B7">
              <w:rPr>
                <w:rFonts w:ascii="Arial" w:hAnsi="Arial"/>
                <w:color w:val="auto"/>
                <w:sz w:val="20"/>
              </w:rPr>
              <w:t>20</w:t>
            </w:r>
            <w:r w:rsidRPr="00E70587">
              <w:rPr>
                <w:rFonts w:ascii="Arial" w:hAnsi="Arial"/>
                <w:color w:val="auto"/>
                <w:sz w:val="20"/>
              </w:rPr>
              <w:t>: INR 41</w:t>
            </w:r>
            <w:r w:rsidR="00FA1F28" w:rsidRPr="00E70587">
              <w:rPr>
                <w:rFonts w:ascii="Arial" w:hAnsi="Arial"/>
                <w:color w:val="auto"/>
                <w:sz w:val="20"/>
              </w:rPr>
              <w:t>.</w:t>
            </w:r>
            <w:r w:rsidRPr="00E70587">
              <w:rPr>
                <w:rFonts w:ascii="Arial" w:hAnsi="Arial"/>
                <w:color w:val="auto"/>
                <w:sz w:val="20"/>
              </w:rPr>
              <w:t>40</w:t>
            </w:r>
            <w:r w:rsidR="00FA1F28" w:rsidRPr="00E70587">
              <w:rPr>
                <w:rFonts w:ascii="Arial" w:hAnsi="Arial"/>
                <w:color w:val="auto"/>
                <w:sz w:val="20"/>
              </w:rPr>
              <w:t xml:space="preserve"> lacs</w:t>
            </w:r>
            <w:r w:rsidRPr="00E70587">
              <w:rPr>
                <w:rFonts w:ascii="Arial" w:hAnsi="Arial"/>
                <w:color w:val="auto"/>
                <w:sz w:val="20"/>
              </w:rPr>
              <w:t>)</w:t>
            </w:r>
          </w:p>
        </w:tc>
      </w:tr>
      <w:tr w:rsidR="0086091A" w:rsidRPr="00E70587" w14:paraId="580A48DA" w14:textId="77777777" w:rsidTr="002B312A">
        <w:tc>
          <w:tcPr>
            <w:tcW w:w="2250" w:type="dxa"/>
          </w:tcPr>
          <w:p w14:paraId="76B54C79"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Loans to an associate and director</w:t>
            </w:r>
          </w:p>
        </w:tc>
        <w:tc>
          <w:tcPr>
            <w:tcW w:w="1430" w:type="dxa"/>
          </w:tcPr>
          <w:p w14:paraId="2443C6C8"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 xml:space="preserve">DCF method </w:t>
            </w:r>
          </w:p>
        </w:tc>
        <w:tc>
          <w:tcPr>
            <w:tcW w:w="1710" w:type="dxa"/>
            <w:gridSpan w:val="2"/>
          </w:tcPr>
          <w:p w14:paraId="572DA4C5"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Constant prepayment rate</w:t>
            </w:r>
          </w:p>
        </w:tc>
        <w:tc>
          <w:tcPr>
            <w:tcW w:w="1900" w:type="dxa"/>
          </w:tcPr>
          <w:p w14:paraId="0D1709AA" w14:textId="0E27365E"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E1202D" w:rsidRPr="00E70587">
              <w:rPr>
                <w:rFonts w:ascii="Arial" w:hAnsi="Arial"/>
                <w:b/>
                <w:bCs/>
                <w:color w:val="auto"/>
                <w:sz w:val="20"/>
              </w:rPr>
              <w:t xml:space="preserve">March </w:t>
            </w:r>
            <w:r w:rsidR="007233B7" w:rsidRPr="00E70587">
              <w:rPr>
                <w:rFonts w:ascii="Arial" w:hAnsi="Arial"/>
                <w:b/>
                <w:bCs/>
                <w:color w:val="auto"/>
                <w:sz w:val="20"/>
              </w:rPr>
              <w:t>20</w:t>
            </w:r>
            <w:r w:rsidR="007233B7">
              <w:rPr>
                <w:rFonts w:ascii="Arial" w:hAnsi="Arial"/>
                <w:b/>
                <w:bCs/>
                <w:color w:val="auto"/>
                <w:sz w:val="20"/>
              </w:rPr>
              <w:t>21</w:t>
            </w:r>
            <w:r w:rsidRPr="00E70587">
              <w:rPr>
                <w:rFonts w:ascii="Arial" w:hAnsi="Arial"/>
                <w:b/>
                <w:bCs/>
                <w:color w:val="auto"/>
                <w:sz w:val="20"/>
              </w:rPr>
              <w:t>:</w:t>
            </w:r>
            <w:r w:rsidRPr="00E70587">
              <w:rPr>
                <w:rFonts w:ascii="Arial" w:hAnsi="Arial"/>
                <w:color w:val="auto"/>
                <w:sz w:val="20"/>
              </w:rPr>
              <w:t xml:space="preserve"> 1.5% - 2.5% </w:t>
            </w:r>
            <w:r w:rsidRPr="00E70587">
              <w:rPr>
                <w:rFonts w:ascii="Arial" w:hAnsi="Arial"/>
                <w:color w:val="auto"/>
                <w:sz w:val="20"/>
              </w:rPr>
              <w:br/>
              <w:t>(2%)</w:t>
            </w:r>
          </w:p>
          <w:p w14:paraId="47DA680B" w14:textId="115D5A97" w:rsidR="0086091A" w:rsidRPr="00E70587" w:rsidRDefault="0086091A" w:rsidP="009901E1">
            <w:pPr>
              <w:pStyle w:val="Notesbodytext"/>
              <w:spacing w:after="0" w:line="280" w:lineRule="exact"/>
              <w:rPr>
                <w:rFonts w:ascii="Arial" w:hAnsi="Arial"/>
                <w:b/>
                <w:bCs/>
                <w:color w:val="auto"/>
                <w:sz w:val="20"/>
              </w:rPr>
            </w:pPr>
            <w:r w:rsidRPr="00E70587">
              <w:rPr>
                <w:rFonts w:ascii="Arial" w:hAnsi="Arial"/>
                <w:b/>
                <w:bCs/>
                <w:color w:val="auto"/>
                <w:sz w:val="20"/>
              </w:rPr>
              <w:t xml:space="preserve">31 </w:t>
            </w:r>
            <w:r w:rsidR="008B730E" w:rsidRPr="00E70587">
              <w:rPr>
                <w:rFonts w:ascii="Arial" w:hAnsi="Arial"/>
                <w:b/>
                <w:bCs/>
                <w:color w:val="auto"/>
                <w:sz w:val="20"/>
              </w:rPr>
              <w:t xml:space="preserve">March </w:t>
            </w:r>
            <w:r w:rsidR="007233B7" w:rsidRPr="00E70587">
              <w:rPr>
                <w:rFonts w:ascii="Arial" w:hAnsi="Arial"/>
                <w:b/>
                <w:bCs/>
                <w:color w:val="auto"/>
                <w:sz w:val="20"/>
              </w:rPr>
              <w:t>20</w:t>
            </w:r>
            <w:r w:rsidR="007233B7">
              <w:rPr>
                <w:rFonts w:ascii="Arial" w:hAnsi="Arial"/>
                <w:b/>
                <w:bCs/>
                <w:color w:val="auto"/>
                <w:sz w:val="20"/>
              </w:rPr>
              <w:t>20</w:t>
            </w:r>
            <w:r w:rsidRPr="00E70587">
              <w:rPr>
                <w:rFonts w:ascii="Arial" w:hAnsi="Arial"/>
                <w:b/>
                <w:bCs/>
                <w:color w:val="auto"/>
                <w:sz w:val="20"/>
              </w:rPr>
              <w:t>:</w:t>
            </w:r>
            <w:r w:rsidRPr="00E70587">
              <w:rPr>
                <w:rFonts w:ascii="Arial" w:hAnsi="Arial"/>
                <w:color w:val="auto"/>
                <w:sz w:val="20"/>
              </w:rPr>
              <w:t xml:space="preserve"> 1.6% - 2.7% </w:t>
            </w:r>
            <w:r w:rsidRPr="00E70587">
              <w:rPr>
                <w:rFonts w:ascii="Arial" w:hAnsi="Arial"/>
                <w:color w:val="auto"/>
                <w:sz w:val="20"/>
              </w:rPr>
              <w:br/>
              <w:t>(2.2%)</w:t>
            </w:r>
          </w:p>
        </w:tc>
        <w:tc>
          <w:tcPr>
            <w:tcW w:w="2372" w:type="dxa"/>
            <w:gridSpan w:val="2"/>
          </w:tcPr>
          <w:p w14:paraId="20D64B0F" w14:textId="6A301085" w:rsidR="0086091A" w:rsidRPr="00E70587" w:rsidRDefault="0086091A" w:rsidP="00FA1F28">
            <w:pPr>
              <w:pStyle w:val="Notesbodytext"/>
              <w:spacing w:after="0" w:line="280" w:lineRule="exact"/>
              <w:rPr>
                <w:rFonts w:ascii="Arial" w:hAnsi="Arial"/>
                <w:color w:val="auto"/>
                <w:sz w:val="20"/>
              </w:rPr>
            </w:pPr>
            <w:r w:rsidRPr="00E70587">
              <w:rPr>
                <w:rFonts w:ascii="Arial" w:hAnsi="Arial"/>
                <w:color w:val="auto"/>
                <w:sz w:val="20"/>
              </w:rPr>
              <w:t xml:space="preserve">1% (31 </w:t>
            </w:r>
            <w:r w:rsidR="008B730E" w:rsidRPr="00E70587">
              <w:rPr>
                <w:rFonts w:ascii="Arial" w:hAnsi="Arial"/>
                <w:color w:val="auto"/>
                <w:sz w:val="20"/>
              </w:rPr>
              <w:t xml:space="preserve">March </w:t>
            </w:r>
            <w:r w:rsidR="007233B7" w:rsidRPr="00E70587">
              <w:rPr>
                <w:rFonts w:ascii="Arial" w:hAnsi="Arial"/>
                <w:color w:val="auto"/>
                <w:sz w:val="20"/>
              </w:rPr>
              <w:t>20</w:t>
            </w:r>
            <w:r w:rsidR="007233B7">
              <w:rPr>
                <w:rFonts w:ascii="Arial" w:hAnsi="Arial"/>
                <w:color w:val="auto"/>
                <w:sz w:val="20"/>
              </w:rPr>
              <w:t>20</w:t>
            </w:r>
            <w:r w:rsidRPr="00E70587">
              <w:rPr>
                <w:rFonts w:ascii="Arial" w:hAnsi="Arial"/>
                <w:color w:val="auto"/>
                <w:sz w:val="20"/>
              </w:rPr>
              <w:t>: 2%) increase (decrease) would result in increase (decrease) in fair value by INR 45</w:t>
            </w:r>
            <w:r w:rsidR="00FA1F28" w:rsidRPr="00E70587">
              <w:rPr>
                <w:rFonts w:ascii="Arial" w:hAnsi="Arial"/>
                <w:color w:val="auto"/>
                <w:sz w:val="20"/>
              </w:rPr>
              <w:t xml:space="preserve"> lacs</w:t>
            </w:r>
            <w:r w:rsidR="00FA1F28" w:rsidRPr="00E70587" w:rsidDel="00FA1F28">
              <w:rPr>
                <w:rFonts w:ascii="Arial" w:hAnsi="Arial"/>
                <w:color w:val="auto"/>
                <w:sz w:val="20"/>
              </w:rPr>
              <w:t xml:space="preserve"> </w:t>
            </w:r>
            <w:r w:rsidRPr="00E70587">
              <w:rPr>
                <w:rFonts w:ascii="Arial" w:hAnsi="Arial"/>
                <w:color w:val="auto"/>
                <w:sz w:val="20"/>
              </w:rPr>
              <w:t xml:space="preserve">(31 </w:t>
            </w:r>
            <w:r w:rsidR="008B730E" w:rsidRPr="00E70587">
              <w:rPr>
                <w:rFonts w:ascii="Arial" w:hAnsi="Arial"/>
                <w:color w:val="auto"/>
                <w:sz w:val="20"/>
              </w:rPr>
              <w:t xml:space="preserve">March </w:t>
            </w:r>
            <w:r w:rsidR="007233B7" w:rsidRPr="00E70587">
              <w:rPr>
                <w:rFonts w:ascii="Arial" w:hAnsi="Arial"/>
                <w:color w:val="auto"/>
                <w:sz w:val="20"/>
              </w:rPr>
              <w:t>20</w:t>
            </w:r>
            <w:r w:rsidR="007233B7">
              <w:rPr>
                <w:rFonts w:ascii="Arial" w:hAnsi="Arial"/>
                <w:color w:val="auto"/>
                <w:sz w:val="20"/>
              </w:rPr>
              <w:t>20</w:t>
            </w:r>
            <w:r w:rsidRPr="00E70587">
              <w:rPr>
                <w:rFonts w:ascii="Arial" w:hAnsi="Arial"/>
                <w:color w:val="auto"/>
                <w:sz w:val="20"/>
              </w:rPr>
              <w:t>: INR 37</w:t>
            </w:r>
            <w:r w:rsidR="00FA1F28" w:rsidRPr="00E70587">
              <w:rPr>
                <w:rFonts w:ascii="Arial" w:hAnsi="Arial"/>
                <w:color w:val="auto"/>
                <w:sz w:val="20"/>
              </w:rPr>
              <w:t>.</w:t>
            </w:r>
            <w:r w:rsidRPr="00E70587">
              <w:rPr>
                <w:rFonts w:ascii="Arial" w:hAnsi="Arial"/>
                <w:color w:val="auto"/>
                <w:sz w:val="20"/>
              </w:rPr>
              <w:t>80</w:t>
            </w:r>
            <w:r w:rsidR="00FA1F28" w:rsidRPr="00E70587">
              <w:rPr>
                <w:rFonts w:ascii="Arial" w:hAnsi="Arial"/>
                <w:color w:val="auto"/>
                <w:sz w:val="20"/>
              </w:rPr>
              <w:t xml:space="preserve"> lacs</w:t>
            </w:r>
            <w:r w:rsidRPr="00E70587">
              <w:rPr>
                <w:rFonts w:ascii="Arial" w:hAnsi="Arial"/>
                <w:color w:val="auto"/>
                <w:sz w:val="20"/>
              </w:rPr>
              <w:t>)</w:t>
            </w:r>
          </w:p>
        </w:tc>
      </w:tr>
      <w:tr w:rsidR="0086091A" w:rsidRPr="00E70587" w14:paraId="5C6B1B51" w14:textId="77777777" w:rsidTr="002B312A">
        <w:tc>
          <w:tcPr>
            <w:tcW w:w="2250" w:type="dxa"/>
          </w:tcPr>
          <w:p w14:paraId="1D99BB33" w14:textId="77777777" w:rsidR="0086091A" w:rsidRPr="00E70587" w:rsidRDefault="0086091A" w:rsidP="009901E1">
            <w:pPr>
              <w:pStyle w:val="Notesbodytext"/>
              <w:spacing w:after="0" w:line="280" w:lineRule="exact"/>
              <w:rPr>
                <w:rFonts w:ascii="Arial" w:hAnsi="Arial"/>
                <w:color w:val="auto"/>
                <w:sz w:val="20"/>
              </w:rPr>
            </w:pPr>
          </w:p>
        </w:tc>
        <w:tc>
          <w:tcPr>
            <w:tcW w:w="1430" w:type="dxa"/>
          </w:tcPr>
          <w:p w14:paraId="2DAF4B80" w14:textId="77777777" w:rsidR="0086091A" w:rsidRPr="00E70587" w:rsidRDefault="0086091A" w:rsidP="009901E1">
            <w:pPr>
              <w:pStyle w:val="Notesbodytext"/>
              <w:spacing w:after="0" w:line="280" w:lineRule="exact"/>
              <w:rPr>
                <w:rFonts w:ascii="Arial" w:hAnsi="Arial"/>
                <w:color w:val="auto"/>
                <w:sz w:val="20"/>
              </w:rPr>
            </w:pPr>
          </w:p>
        </w:tc>
        <w:tc>
          <w:tcPr>
            <w:tcW w:w="1710" w:type="dxa"/>
            <w:gridSpan w:val="2"/>
          </w:tcPr>
          <w:p w14:paraId="38F03B47"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 xml:space="preserve">Discount for non-performance risk </w:t>
            </w:r>
          </w:p>
        </w:tc>
        <w:tc>
          <w:tcPr>
            <w:tcW w:w="1900" w:type="dxa"/>
          </w:tcPr>
          <w:p w14:paraId="731EDB19" w14:textId="50F6BE71"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E1202D" w:rsidRPr="00E70587">
              <w:rPr>
                <w:rFonts w:ascii="Arial" w:hAnsi="Arial"/>
                <w:b/>
                <w:bCs/>
                <w:color w:val="auto"/>
                <w:sz w:val="20"/>
              </w:rPr>
              <w:t xml:space="preserve">March </w:t>
            </w:r>
            <w:r w:rsidR="007233B7" w:rsidRPr="00E70587">
              <w:rPr>
                <w:rFonts w:ascii="Arial" w:hAnsi="Arial"/>
                <w:b/>
                <w:bCs/>
                <w:color w:val="auto"/>
                <w:sz w:val="20"/>
              </w:rPr>
              <w:t>20</w:t>
            </w:r>
            <w:r w:rsidR="007233B7">
              <w:rPr>
                <w:rFonts w:ascii="Arial" w:hAnsi="Arial"/>
                <w:b/>
                <w:bCs/>
                <w:color w:val="auto"/>
                <w:sz w:val="20"/>
              </w:rPr>
              <w:t>21</w:t>
            </w:r>
            <w:r w:rsidRPr="00E70587">
              <w:rPr>
                <w:rFonts w:ascii="Arial" w:hAnsi="Arial"/>
                <w:b/>
                <w:bCs/>
                <w:color w:val="auto"/>
                <w:sz w:val="20"/>
              </w:rPr>
              <w:t>:</w:t>
            </w:r>
            <w:r w:rsidRPr="00E70587">
              <w:rPr>
                <w:rFonts w:ascii="Arial" w:hAnsi="Arial"/>
                <w:color w:val="auto"/>
                <w:sz w:val="20"/>
              </w:rPr>
              <w:t xml:space="preserve"> 0.08%</w:t>
            </w:r>
          </w:p>
          <w:p w14:paraId="01C832CA" w14:textId="24F4E61F" w:rsidR="0086091A" w:rsidRPr="00E70587" w:rsidRDefault="0086091A" w:rsidP="009901E1">
            <w:pPr>
              <w:pStyle w:val="Notesbodytext"/>
              <w:spacing w:after="0" w:line="280" w:lineRule="exact"/>
              <w:rPr>
                <w:rFonts w:ascii="Arial" w:hAnsi="Arial"/>
                <w:b/>
                <w:bCs/>
                <w:color w:val="auto"/>
                <w:sz w:val="20"/>
              </w:rPr>
            </w:pPr>
            <w:r w:rsidRPr="00E70587">
              <w:rPr>
                <w:rFonts w:ascii="Arial" w:hAnsi="Arial"/>
                <w:b/>
                <w:bCs/>
                <w:color w:val="auto"/>
                <w:sz w:val="20"/>
              </w:rPr>
              <w:t xml:space="preserve">31 </w:t>
            </w:r>
            <w:r w:rsidR="008B730E" w:rsidRPr="00E70587">
              <w:rPr>
                <w:rFonts w:ascii="Arial" w:hAnsi="Arial"/>
                <w:b/>
                <w:bCs/>
                <w:color w:val="auto"/>
                <w:sz w:val="20"/>
              </w:rPr>
              <w:t xml:space="preserve">March </w:t>
            </w:r>
            <w:r w:rsidR="007233B7" w:rsidRPr="00E70587">
              <w:rPr>
                <w:rFonts w:ascii="Arial" w:hAnsi="Arial"/>
                <w:b/>
                <w:bCs/>
                <w:color w:val="auto"/>
                <w:sz w:val="20"/>
              </w:rPr>
              <w:t>20</w:t>
            </w:r>
            <w:r w:rsidR="007233B7">
              <w:rPr>
                <w:rFonts w:ascii="Arial" w:hAnsi="Arial"/>
                <w:b/>
                <w:bCs/>
                <w:color w:val="auto"/>
                <w:sz w:val="20"/>
              </w:rPr>
              <w:t>20</w:t>
            </w:r>
            <w:r w:rsidRPr="00E70587">
              <w:rPr>
                <w:rFonts w:ascii="Arial" w:hAnsi="Arial"/>
                <w:b/>
                <w:bCs/>
                <w:color w:val="auto"/>
                <w:sz w:val="20"/>
              </w:rPr>
              <w:t>:</w:t>
            </w:r>
            <w:r w:rsidRPr="00E70587">
              <w:rPr>
                <w:rFonts w:ascii="Arial" w:hAnsi="Arial"/>
                <w:color w:val="auto"/>
                <w:sz w:val="20"/>
              </w:rPr>
              <w:t xml:space="preserve"> 0.09%</w:t>
            </w:r>
          </w:p>
        </w:tc>
        <w:tc>
          <w:tcPr>
            <w:tcW w:w="2372" w:type="dxa"/>
            <w:gridSpan w:val="2"/>
          </w:tcPr>
          <w:p w14:paraId="785127A7" w14:textId="70298BFE" w:rsidR="0086091A" w:rsidRPr="00E70587" w:rsidRDefault="0086091A" w:rsidP="00FA1F28">
            <w:pPr>
              <w:pStyle w:val="Notesbodytext"/>
              <w:spacing w:after="0" w:line="280" w:lineRule="exact"/>
              <w:rPr>
                <w:rFonts w:ascii="Arial" w:hAnsi="Arial"/>
                <w:color w:val="auto"/>
                <w:sz w:val="20"/>
              </w:rPr>
            </w:pPr>
            <w:r w:rsidRPr="00E70587">
              <w:rPr>
                <w:rFonts w:ascii="Arial" w:hAnsi="Arial"/>
                <w:color w:val="auto"/>
                <w:sz w:val="20"/>
              </w:rPr>
              <w:t xml:space="preserve">0.4% (31 </w:t>
            </w:r>
            <w:r w:rsidR="008B730E" w:rsidRPr="00E70587">
              <w:rPr>
                <w:rFonts w:ascii="Arial" w:hAnsi="Arial"/>
                <w:color w:val="auto"/>
                <w:sz w:val="20"/>
              </w:rPr>
              <w:t xml:space="preserve">March </w:t>
            </w:r>
            <w:r w:rsidR="007233B7" w:rsidRPr="00E70587">
              <w:rPr>
                <w:rFonts w:ascii="Arial" w:hAnsi="Arial"/>
                <w:color w:val="auto"/>
                <w:sz w:val="20"/>
              </w:rPr>
              <w:t>20</w:t>
            </w:r>
            <w:r w:rsidR="007233B7">
              <w:rPr>
                <w:rFonts w:ascii="Arial" w:hAnsi="Arial"/>
                <w:color w:val="auto"/>
                <w:sz w:val="20"/>
              </w:rPr>
              <w:t>20</w:t>
            </w:r>
            <w:r w:rsidRPr="00E70587">
              <w:rPr>
                <w:rFonts w:ascii="Arial" w:hAnsi="Arial"/>
                <w:color w:val="auto"/>
                <w:sz w:val="20"/>
              </w:rPr>
              <w:t>: 0.4%) increase (decrease) would result in increase (decrease) in fair value by INR 37</w:t>
            </w:r>
            <w:r w:rsidR="00FA1F28" w:rsidRPr="00E70587">
              <w:rPr>
                <w:rFonts w:ascii="Arial" w:hAnsi="Arial"/>
                <w:color w:val="auto"/>
                <w:sz w:val="20"/>
              </w:rPr>
              <w:t>.</w:t>
            </w:r>
            <w:r w:rsidRPr="00E70587">
              <w:rPr>
                <w:rFonts w:ascii="Arial" w:hAnsi="Arial"/>
                <w:color w:val="auto"/>
                <w:sz w:val="20"/>
              </w:rPr>
              <w:t>80</w:t>
            </w:r>
            <w:r w:rsidR="00FA1F28" w:rsidRPr="00E70587">
              <w:rPr>
                <w:rFonts w:ascii="Arial" w:hAnsi="Arial"/>
                <w:color w:val="auto"/>
                <w:sz w:val="20"/>
              </w:rPr>
              <w:t xml:space="preserve"> lacs</w:t>
            </w:r>
            <w:r w:rsidR="00FA1F28" w:rsidRPr="00E70587" w:rsidDel="00FA1F28">
              <w:rPr>
                <w:rFonts w:ascii="Arial" w:hAnsi="Arial"/>
                <w:color w:val="auto"/>
                <w:sz w:val="20"/>
              </w:rPr>
              <w:t xml:space="preserve"> </w:t>
            </w:r>
            <w:r w:rsidRPr="00E70587">
              <w:rPr>
                <w:rFonts w:ascii="Arial" w:hAnsi="Arial"/>
                <w:color w:val="auto"/>
                <w:sz w:val="20"/>
              </w:rPr>
              <w:t xml:space="preserve">(31 </w:t>
            </w:r>
            <w:r w:rsidR="008B730E" w:rsidRPr="00E70587">
              <w:rPr>
                <w:rFonts w:ascii="Arial" w:hAnsi="Arial"/>
                <w:color w:val="auto"/>
                <w:sz w:val="20"/>
              </w:rPr>
              <w:t xml:space="preserve">March </w:t>
            </w:r>
            <w:r w:rsidR="007233B7" w:rsidRPr="00E70587">
              <w:rPr>
                <w:rFonts w:ascii="Arial" w:hAnsi="Arial"/>
                <w:color w:val="auto"/>
                <w:sz w:val="20"/>
              </w:rPr>
              <w:t>20</w:t>
            </w:r>
            <w:r w:rsidR="007233B7">
              <w:rPr>
                <w:rFonts w:ascii="Arial" w:hAnsi="Arial"/>
                <w:color w:val="auto"/>
                <w:sz w:val="20"/>
              </w:rPr>
              <w:t>20</w:t>
            </w:r>
            <w:r w:rsidRPr="00E70587">
              <w:rPr>
                <w:rFonts w:ascii="Arial" w:hAnsi="Arial"/>
                <w:color w:val="auto"/>
                <w:sz w:val="20"/>
              </w:rPr>
              <w:t>: INR 36</w:t>
            </w:r>
            <w:r w:rsidR="00FA1F28" w:rsidRPr="00E70587">
              <w:rPr>
                <w:rFonts w:ascii="Arial" w:hAnsi="Arial"/>
                <w:color w:val="auto"/>
                <w:sz w:val="20"/>
              </w:rPr>
              <w:t xml:space="preserve"> lacs</w:t>
            </w:r>
            <w:r w:rsidRPr="00E70587">
              <w:rPr>
                <w:rFonts w:ascii="Arial" w:hAnsi="Arial"/>
                <w:color w:val="auto"/>
                <w:sz w:val="20"/>
              </w:rPr>
              <w:t>)</w:t>
            </w:r>
          </w:p>
        </w:tc>
      </w:tr>
      <w:tr w:rsidR="0086091A" w:rsidRPr="00E70587" w14:paraId="007A035E" w14:textId="77777777" w:rsidTr="002B312A">
        <w:tc>
          <w:tcPr>
            <w:tcW w:w="2250" w:type="dxa"/>
          </w:tcPr>
          <w:p w14:paraId="1403E7B1"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Financial guarantee obligations</w:t>
            </w:r>
          </w:p>
        </w:tc>
        <w:tc>
          <w:tcPr>
            <w:tcW w:w="1430" w:type="dxa"/>
          </w:tcPr>
          <w:p w14:paraId="74DC2F0A"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 xml:space="preserve">DCF method </w:t>
            </w:r>
          </w:p>
        </w:tc>
        <w:tc>
          <w:tcPr>
            <w:tcW w:w="1710" w:type="dxa"/>
            <w:gridSpan w:val="2"/>
          </w:tcPr>
          <w:p w14:paraId="3E05863F"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Discount for counterparty non-performance risk</w:t>
            </w:r>
          </w:p>
        </w:tc>
        <w:tc>
          <w:tcPr>
            <w:tcW w:w="1900" w:type="dxa"/>
          </w:tcPr>
          <w:p w14:paraId="74FC0336" w14:textId="04EC84EA"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E1202D" w:rsidRPr="00E70587">
              <w:rPr>
                <w:rFonts w:ascii="Arial" w:hAnsi="Arial"/>
                <w:b/>
                <w:bCs/>
                <w:color w:val="auto"/>
                <w:sz w:val="20"/>
              </w:rPr>
              <w:t xml:space="preserve">March </w:t>
            </w:r>
            <w:r w:rsidR="007233B7" w:rsidRPr="00E70587">
              <w:rPr>
                <w:rFonts w:ascii="Arial" w:hAnsi="Arial"/>
                <w:b/>
                <w:bCs/>
                <w:color w:val="auto"/>
                <w:sz w:val="20"/>
              </w:rPr>
              <w:t>20</w:t>
            </w:r>
            <w:r w:rsidR="007233B7">
              <w:rPr>
                <w:rFonts w:ascii="Arial" w:hAnsi="Arial"/>
                <w:b/>
                <w:bCs/>
                <w:color w:val="auto"/>
                <w:sz w:val="20"/>
              </w:rPr>
              <w:t>21</w:t>
            </w:r>
            <w:r w:rsidRPr="00E70587">
              <w:rPr>
                <w:rFonts w:ascii="Arial" w:hAnsi="Arial"/>
                <w:b/>
                <w:bCs/>
                <w:color w:val="auto"/>
                <w:sz w:val="20"/>
              </w:rPr>
              <w:t>:</w:t>
            </w:r>
            <w:r w:rsidRPr="00E70587">
              <w:rPr>
                <w:rFonts w:ascii="Arial" w:hAnsi="Arial"/>
                <w:color w:val="auto"/>
                <w:sz w:val="20"/>
              </w:rPr>
              <w:t xml:space="preserve"> 3.0%</w:t>
            </w:r>
          </w:p>
          <w:p w14:paraId="03143724" w14:textId="00B3BF62"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8B730E" w:rsidRPr="00E70587">
              <w:rPr>
                <w:rFonts w:ascii="Arial" w:hAnsi="Arial"/>
                <w:b/>
                <w:bCs/>
                <w:color w:val="auto"/>
                <w:sz w:val="20"/>
              </w:rPr>
              <w:t xml:space="preserve">March </w:t>
            </w:r>
            <w:r w:rsidR="007233B7" w:rsidRPr="00E70587">
              <w:rPr>
                <w:rFonts w:ascii="Arial" w:hAnsi="Arial"/>
                <w:b/>
                <w:bCs/>
                <w:color w:val="auto"/>
                <w:sz w:val="20"/>
              </w:rPr>
              <w:t>20</w:t>
            </w:r>
            <w:r w:rsidR="007233B7">
              <w:rPr>
                <w:rFonts w:ascii="Arial" w:hAnsi="Arial"/>
                <w:b/>
                <w:bCs/>
                <w:color w:val="auto"/>
                <w:sz w:val="20"/>
              </w:rPr>
              <w:t>20</w:t>
            </w:r>
            <w:r w:rsidRPr="00E70587">
              <w:rPr>
                <w:rFonts w:ascii="Arial" w:hAnsi="Arial"/>
                <w:b/>
                <w:bCs/>
                <w:color w:val="auto"/>
                <w:sz w:val="20"/>
              </w:rPr>
              <w:t>:</w:t>
            </w:r>
            <w:r w:rsidRPr="00E70587">
              <w:rPr>
                <w:rFonts w:ascii="Arial" w:hAnsi="Arial"/>
                <w:color w:val="auto"/>
                <w:sz w:val="20"/>
              </w:rPr>
              <w:t xml:space="preserve"> 3.2%</w:t>
            </w:r>
          </w:p>
        </w:tc>
        <w:tc>
          <w:tcPr>
            <w:tcW w:w="2372" w:type="dxa"/>
            <w:gridSpan w:val="2"/>
          </w:tcPr>
          <w:p w14:paraId="399411C2" w14:textId="43F6002D" w:rsidR="0086091A" w:rsidRPr="00E70587" w:rsidRDefault="0086091A" w:rsidP="00FA1F28">
            <w:pPr>
              <w:pStyle w:val="Notesbodytext"/>
              <w:spacing w:after="0" w:line="280" w:lineRule="exact"/>
              <w:rPr>
                <w:rFonts w:ascii="Arial" w:hAnsi="Arial"/>
                <w:color w:val="auto"/>
                <w:sz w:val="20"/>
              </w:rPr>
            </w:pPr>
            <w:r w:rsidRPr="00E70587">
              <w:rPr>
                <w:rFonts w:ascii="Arial" w:hAnsi="Arial"/>
                <w:color w:val="auto"/>
                <w:sz w:val="20"/>
              </w:rPr>
              <w:t xml:space="preserve">0.5% (31 </w:t>
            </w:r>
            <w:r w:rsidR="008B730E" w:rsidRPr="00E70587">
              <w:rPr>
                <w:rFonts w:ascii="Arial" w:hAnsi="Arial"/>
                <w:color w:val="auto"/>
                <w:sz w:val="20"/>
              </w:rPr>
              <w:t xml:space="preserve">March </w:t>
            </w:r>
            <w:r w:rsidR="007233B7" w:rsidRPr="00E70587">
              <w:rPr>
                <w:rFonts w:ascii="Arial" w:hAnsi="Arial"/>
                <w:color w:val="auto"/>
                <w:sz w:val="20"/>
              </w:rPr>
              <w:t>20</w:t>
            </w:r>
            <w:r w:rsidR="007233B7">
              <w:rPr>
                <w:rFonts w:ascii="Arial" w:hAnsi="Arial"/>
                <w:color w:val="auto"/>
                <w:sz w:val="20"/>
              </w:rPr>
              <w:t>20</w:t>
            </w:r>
            <w:r w:rsidRPr="00E70587">
              <w:rPr>
                <w:rFonts w:ascii="Arial" w:hAnsi="Arial"/>
                <w:color w:val="auto"/>
                <w:sz w:val="20"/>
              </w:rPr>
              <w:t>: 0.4%) increase (decrease) would result in increase (decrease) in fair value by INR 39</w:t>
            </w:r>
            <w:r w:rsidR="00FA1F28" w:rsidRPr="00E70587">
              <w:rPr>
                <w:rFonts w:ascii="Arial" w:hAnsi="Arial"/>
                <w:color w:val="auto"/>
                <w:sz w:val="20"/>
              </w:rPr>
              <w:t>.</w:t>
            </w:r>
            <w:r w:rsidRPr="00E70587">
              <w:rPr>
                <w:rFonts w:ascii="Arial" w:hAnsi="Arial"/>
                <w:color w:val="auto"/>
                <w:sz w:val="20"/>
              </w:rPr>
              <w:t>60</w:t>
            </w:r>
            <w:r w:rsidR="00FA1F28" w:rsidRPr="00E70587">
              <w:rPr>
                <w:rFonts w:ascii="Arial" w:hAnsi="Arial"/>
                <w:color w:val="auto"/>
                <w:sz w:val="20"/>
              </w:rPr>
              <w:t xml:space="preserve"> lacs</w:t>
            </w:r>
            <w:r w:rsidR="00FA1F28" w:rsidRPr="00E70587" w:rsidDel="00FA1F28">
              <w:rPr>
                <w:rFonts w:ascii="Arial" w:hAnsi="Arial"/>
                <w:color w:val="auto"/>
                <w:sz w:val="20"/>
              </w:rPr>
              <w:t xml:space="preserve"> </w:t>
            </w:r>
            <w:r w:rsidRPr="00E70587">
              <w:rPr>
                <w:rFonts w:ascii="Arial" w:hAnsi="Arial"/>
                <w:color w:val="auto"/>
                <w:sz w:val="20"/>
              </w:rPr>
              <w:t xml:space="preserve">(31 </w:t>
            </w:r>
            <w:r w:rsidR="008B730E" w:rsidRPr="00E70587">
              <w:rPr>
                <w:rFonts w:ascii="Arial" w:hAnsi="Arial"/>
                <w:color w:val="auto"/>
                <w:sz w:val="20"/>
              </w:rPr>
              <w:t xml:space="preserve">March </w:t>
            </w:r>
            <w:r w:rsidR="007233B7" w:rsidRPr="00E70587">
              <w:rPr>
                <w:rFonts w:ascii="Arial" w:hAnsi="Arial"/>
                <w:color w:val="auto"/>
                <w:sz w:val="20"/>
              </w:rPr>
              <w:t>20</w:t>
            </w:r>
            <w:r w:rsidR="007233B7">
              <w:rPr>
                <w:rFonts w:ascii="Arial" w:hAnsi="Arial"/>
                <w:color w:val="auto"/>
                <w:sz w:val="20"/>
              </w:rPr>
              <w:t>20</w:t>
            </w:r>
            <w:r w:rsidRPr="00E70587">
              <w:rPr>
                <w:rFonts w:ascii="Arial" w:hAnsi="Arial"/>
                <w:color w:val="auto"/>
                <w:sz w:val="20"/>
              </w:rPr>
              <w:t>: INR 43</w:t>
            </w:r>
            <w:r w:rsidR="00FA1F28" w:rsidRPr="00E70587">
              <w:rPr>
                <w:rFonts w:ascii="Arial" w:hAnsi="Arial"/>
                <w:color w:val="auto"/>
                <w:sz w:val="20"/>
              </w:rPr>
              <w:t>.</w:t>
            </w:r>
            <w:r w:rsidRPr="00E70587">
              <w:rPr>
                <w:rFonts w:ascii="Arial" w:hAnsi="Arial"/>
                <w:color w:val="auto"/>
                <w:sz w:val="20"/>
              </w:rPr>
              <w:t>20</w:t>
            </w:r>
            <w:r w:rsidR="00FA1F28" w:rsidRPr="00E70587">
              <w:rPr>
                <w:rFonts w:ascii="Arial" w:hAnsi="Arial"/>
                <w:color w:val="auto"/>
                <w:sz w:val="20"/>
              </w:rPr>
              <w:t xml:space="preserve"> lacs</w:t>
            </w:r>
            <w:r w:rsidRPr="00E70587">
              <w:rPr>
                <w:rFonts w:ascii="Arial" w:hAnsi="Arial"/>
                <w:color w:val="auto"/>
                <w:sz w:val="20"/>
              </w:rPr>
              <w:t>)</w:t>
            </w:r>
          </w:p>
        </w:tc>
      </w:tr>
      <w:tr w:rsidR="0086091A" w:rsidRPr="00E70587" w14:paraId="5A595C53" w14:textId="77777777" w:rsidTr="002B312A">
        <w:tc>
          <w:tcPr>
            <w:tcW w:w="2250" w:type="dxa"/>
            <w:tcBorders>
              <w:bottom w:val="single" w:sz="4" w:space="0" w:color="auto"/>
            </w:tcBorders>
          </w:tcPr>
          <w:p w14:paraId="63DFE6FE" w14:textId="77777777" w:rsidR="0086091A" w:rsidRPr="00E70587" w:rsidRDefault="0086091A" w:rsidP="009901E1">
            <w:pPr>
              <w:pStyle w:val="Notesbodytext"/>
              <w:spacing w:after="0" w:line="280" w:lineRule="exact"/>
              <w:rPr>
                <w:rFonts w:ascii="Arial" w:hAnsi="Arial"/>
                <w:color w:val="auto"/>
                <w:sz w:val="20"/>
              </w:rPr>
            </w:pPr>
          </w:p>
        </w:tc>
        <w:tc>
          <w:tcPr>
            <w:tcW w:w="1430" w:type="dxa"/>
            <w:tcBorders>
              <w:bottom w:val="single" w:sz="4" w:space="0" w:color="auto"/>
            </w:tcBorders>
          </w:tcPr>
          <w:p w14:paraId="1FAD80CF" w14:textId="77777777" w:rsidR="0086091A" w:rsidRPr="00E70587" w:rsidRDefault="0086091A" w:rsidP="009901E1">
            <w:pPr>
              <w:pStyle w:val="Notesbodytext"/>
              <w:spacing w:after="0" w:line="280" w:lineRule="exact"/>
              <w:rPr>
                <w:rFonts w:ascii="Arial" w:hAnsi="Arial"/>
                <w:color w:val="auto"/>
                <w:sz w:val="20"/>
              </w:rPr>
            </w:pPr>
          </w:p>
        </w:tc>
        <w:tc>
          <w:tcPr>
            <w:tcW w:w="1710" w:type="dxa"/>
            <w:gridSpan w:val="2"/>
            <w:tcBorders>
              <w:bottom w:val="single" w:sz="4" w:space="0" w:color="auto"/>
            </w:tcBorders>
          </w:tcPr>
          <w:p w14:paraId="5E333EAB"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Own non-performance risk</w:t>
            </w:r>
          </w:p>
        </w:tc>
        <w:tc>
          <w:tcPr>
            <w:tcW w:w="1900" w:type="dxa"/>
            <w:tcBorders>
              <w:bottom w:val="single" w:sz="4" w:space="0" w:color="auto"/>
            </w:tcBorders>
          </w:tcPr>
          <w:p w14:paraId="6EF80C2C" w14:textId="4F71942D"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E1202D" w:rsidRPr="00E70587">
              <w:rPr>
                <w:rFonts w:ascii="Arial" w:hAnsi="Arial"/>
                <w:b/>
                <w:bCs/>
                <w:color w:val="auto"/>
                <w:sz w:val="20"/>
              </w:rPr>
              <w:t xml:space="preserve">March </w:t>
            </w:r>
            <w:r w:rsidR="007233B7" w:rsidRPr="00E70587">
              <w:rPr>
                <w:rFonts w:ascii="Arial" w:hAnsi="Arial"/>
                <w:b/>
                <w:bCs/>
                <w:color w:val="auto"/>
                <w:sz w:val="20"/>
              </w:rPr>
              <w:t>20</w:t>
            </w:r>
            <w:r w:rsidR="007233B7">
              <w:rPr>
                <w:rFonts w:ascii="Arial" w:hAnsi="Arial"/>
                <w:b/>
                <w:bCs/>
                <w:color w:val="auto"/>
                <w:sz w:val="20"/>
              </w:rPr>
              <w:t>21</w:t>
            </w:r>
            <w:r w:rsidRPr="00E70587">
              <w:rPr>
                <w:rFonts w:ascii="Arial" w:hAnsi="Arial"/>
                <w:b/>
                <w:bCs/>
                <w:color w:val="auto"/>
                <w:sz w:val="20"/>
              </w:rPr>
              <w:t>:</w:t>
            </w:r>
            <w:r w:rsidRPr="00E70587">
              <w:rPr>
                <w:rFonts w:ascii="Arial" w:hAnsi="Arial"/>
                <w:color w:val="auto"/>
                <w:sz w:val="20"/>
              </w:rPr>
              <w:t xml:space="preserve"> 0.05%</w:t>
            </w:r>
          </w:p>
          <w:p w14:paraId="3CF7DCF6" w14:textId="534E71FD" w:rsidR="0086091A" w:rsidRPr="00E70587" w:rsidRDefault="0086091A" w:rsidP="009901E1">
            <w:pPr>
              <w:pStyle w:val="Notesbodytext"/>
              <w:spacing w:after="0" w:line="280" w:lineRule="exact"/>
              <w:rPr>
                <w:rFonts w:ascii="Arial" w:hAnsi="Arial"/>
                <w:color w:val="auto"/>
                <w:sz w:val="20"/>
              </w:rPr>
            </w:pPr>
            <w:r w:rsidRPr="00E70587">
              <w:rPr>
                <w:rFonts w:ascii="Arial" w:hAnsi="Arial"/>
                <w:b/>
                <w:bCs/>
                <w:color w:val="auto"/>
                <w:sz w:val="20"/>
              </w:rPr>
              <w:t xml:space="preserve">31 </w:t>
            </w:r>
            <w:r w:rsidR="008B730E" w:rsidRPr="00E70587">
              <w:rPr>
                <w:rFonts w:ascii="Arial" w:hAnsi="Arial"/>
                <w:b/>
                <w:bCs/>
                <w:color w:val="auto"/>
                <w:sz w:val="20"/>
              </w:rPr>
              <w:t xml:space="preserve">March </w:t>
            </w:r>
            <w:r w:rsidR="007233B7" w:rsidRPr="00E70587">
              <w:rPr>
                <w:rFonts w:ascii="Arial" w:hAnsi="Arial"/>
                <w:b/>
                <w:bCs/>
                <w:color w:val="auto"/>
                <w:sz w:val="20"/>
              </w:rPr>
              <w:t>20</w:t>
            </w:r>
            <w:r w:rsidR="007233B7">
              <w:rPr>
                <w:rFonts w:ascii="Arial" w:hAnsi="Arial"/>
                <w:b/>
                <w:bCs/>
                <w:color w:val="auto"/>
                <w:sz w:val="20"/>
              </w:rPr>
              <w:t>20</w:t>
            </w:r>
            <w:r w:rsidRPr="00E70587">
              <w:rPr>
                <w:rFonts w:ascii="Arial" w:hAnsi="Arial"/>
                <w:b/>
                <w:bCs/>
                <w:color w:val="auto"/>
                <w:sz w:val="20"/>
              </w:rPr>
              <w:t>:</w:t>
            </w:r>
            <w:r w:rsidRPr="00E70587">
              <w:rPr>
                <w:rFonts w:ascii="Arial" w:hAnsi="Arial"/>
                <w:color w:val="auto"/>
                <w:sz w:val="20"/>
              </w:rPr>
              <w:t xml:space="preserve"> 0.07%</w:t>
            </w:r>
          </w:p>
        </w:tc>
        <w:tc>
          <w:tcPr>
            <w:tcW w:w="2372" w:type="dxa"/>
            <w:gridSpan w:val="2"/>
            <w:tcBorders>
              <w:bottom w:val="single" w:sz="4" w:space="0" w:color="auto"/>
            </w:tcBorders>
          </w:tcPr>
          <w:p w14:paraId="0BE48F47" w14:textId="2A44BCBF" w:rsidR="0086091A" w:rsidRPr="00E70587" w:rsidRDefault="0086091A" w:rsidP="00FA1F28">
            <w:pPr>
              <w:pStyle w:val="Notesbodytext"/>
              <w:spacing w:after="0" w:line="280" w:lineRule="exact"/>
              <w:rPr>
                <w:rFonts w:ascii="Arial" w:hAnsi="Arial"/>
                <w:color w:val="auto"/>
                <w:sz w:val="20"/>
              </w:rPr>
            </w:pPr>
            <w:r w:rsidRPr="00E70587">
              <w:rPr>
                <w:rFonts w:ascii="Arial" w:hAnsi="Arial"/>
                <w:color w:val="auto"/>
                <w:sz w:val="20"/>
              </w:rPr>
              <w:t xml:space="preserve">0.4% (31 </w:t>
            </w:r>
            <w:r w:rsidR="008B730E" w:rsidRPr="00E70587">
              <w:rPr>
                <w:rFonts w:ascii="Arial" w:hAnsi="Arial"/>
                <w:color w:val="auto"/>
                <w:sz w:val="20"/>
              </w:rPr>
              <w:t xml:space="preserve">March </w:t>
            </w:r>
            <w:r w:rsidR="007233B7" w:rsidRPr="00E70587">
              <w:rPr>
                <w:rFonts w:ascii="Arial" w:hAnsi="Arial"/>
                <w:color w:val="auto"/>
                <w:sz w:val="20"/>
              </w:rPr>
              <w:t>20</w:t>
            </w:r>
            <w:r w:rsidR="007233B7">
              <w:rPr>
                <w:rFonts w:ascii="Arial" w:hAnsi="Arial"/>
                <w:color w:val="auto"/>
                <w:sz w:val="20"/>
              </w:rPr>
              <w:t>20</w:t>
            </w:r>
            <w:r w:rsidRPr="00E70587">
              <w:rPr>
                <w:rFonts w:ascii="Arial" w:hAnsi="Arial"/>
                <w:color w:val="auto"/>
                <w:sz w:val="20"/>
              </w:rPr>
              <w:t xml:space="preserve">: 0.3%) increase (decrease) would result in increase (decrease) </w:t>
            </w:r>
            <w:r w:rsidRPr="00E70587">
              <w:rPr>
                <w:rFonts w:ascii="Arial" w:hAnsi="Arial"/>
                <w:color w:val="auto"/>
                <w:sz w:val="20"/>
              </w:rPr>
              <w:lastRenderedPageBreak/>
              <w:t>in fair value by INR 34</w:t>
            </w:r>
            <w:r w:rsidR="00FA1F28" w:rsidRPr="00E70587">
              <w:rPr>
                <w:rFonts w:ascii="Arial" w:hAnsi="Arial"/>
                <w:color w:val="auto"/>
                <w:sz w:val="20"/>
              </w:rPr>
              <w:t>.</w:t>
            </w:r>
            <w:r w:rsidRPr="00E70587">
              <w:rPr>
                <w:rFonts w:ascii="Arial" w:hAnsi="Arial"/>
                <w:color w:val="auto"/>
                <w:sz w:val="20"/>
              </w:rPr>
              <w:t>20</w:t>
            </w:r>
            <w:r w:rsidR="00FA1F28" w:rsidRPr="00E70587">
              <w:rPr>
                <w:rFonts w:ascii="Arial" w:hAnsi="Arial"/>
                <w:color w:val="auto"/>
                <w:sz w:val="20"/>
              </w:rPr>
              <w:t xml:space="preserve"> lacs</w:t>
            </w:r>
            <w:r w:rsidR="00FA1F28" w:rsidRPr="00E70587" w:rsidDel="00FA1F28">
              <w:rPr>
                <w:rFonts w:ascii="Arial" w:hAnsi="Arial"/>
                <w:color w:val="auto"/>
                <w:sz w:val="20"/>
              </w:rPr>
              <w:t xml:space="preserve"> </w:t>
            </w:r>
            <w:r w:rsidRPr="00E70587">
              <w:rPr>
                <w:rFonts w:ascii="Arial" w:hAnsi="Arial"/>
                <w:color w:val="auto"/>
                <w:sz w:val="20"/>
              </w:rPr>
              <w:t xml:space="preserve">(31 </w:t>
            </w:r>
            <w:r w:rsidR="008B730E" w:rsidRPr="00E70587">
              <w:rPr>
                <w:rFonts w:ascii="Arial" w:hAnsi="Arial"/>
                <w:color w:val="auto"/>
                <w:sz w:val="20"/>
              </w:rPr>
              <w:t xml:space="preserve">March </w:t>
            </w:r>
            <w:r w:rsidR="007233B7" w:rsidRPr="00E70587">
              <w:rPr>
                <w:rFonts w:ascii="Arial" w:hAnsi="Arial"/>
                <w:color w:val="auto"/>
                <w:sz w:val="20"/>
              </w:rPr>
              <w:t>20</w:t>
            </w:r>
            <w:r w:rsidR="007233B7">
              <w:rPr>
                <w:rFonts w:ascii="Arial" w:hAnsi="Arial"/>
                <w:color w:val="auto"/>
                <w:sz w:val="20"/>
              </w:rPr>
              <w:t>20</w:t>
            </w:r>
            <w:r w:rsidRPr="00E70587">
              <w:rPr>
                <w:rFonts w:ascii="Arial" w:hAnsi="Arial"/>
                <w:color w:val="auto"/>
                <w:sz w:val="20"/>
              </w:rPr>
              <w:t>: INR 39</w:t>
            </w:r>
            <w:r w:rsidR="00FA1F28" w:rsidRPr="00E70587">
              <w:rPr>
                <w:rFonts w:ascii="Arial" w:hAnsi="Arial"/>
                <w:color w:val="auto"/>
                <w:sz w:val="20"/>
              </w:rPr>
              <w:t>.</w:t>
            </w:r>
            <w:r w:rsidRPr="00E70587">
              <w:rPr>
                <w:rFonts w:ascii="Arial" w:hAnsi="Arial"/>
                <w:color w:val="auto"/>
                <w:sz w:val="20"/>
              </w:rPr>
              <w:t>60</w:t>
            </w:r>
            <w:r w:rsidR="00FA1F28" w:rsidRPr="00E70587">
              <w:rPr>
                <w:rFonts w:ascii="Arial" w:hAnsi="Arial"/>
                <w:color w:val="auto"/>
                <w:sz w:val="20"/>
              </w:rPr>
              <w:t xml:space="preserve"> lacs</w:t>
            </w:r>
            <w:r w:rsidRPr="00E70587">
              <w:rPr>
                <w:rFonts w:ascii="Arial" w:hAnsi="Arial"/>
                <w:color w:val="auto"/>
                <w:sz w:val="20"/>
              </w:rPr>
              <w:t>)</w:t>
            </w:r>
          </w:p>
        </w:tc>
      </w:tr>
    </w:tbl>
    <w:p w14:paraId="3137CB92" w14:textId="77777777" w:rsidR="00C93B33" w:rsidRPr="00E70587" w:rsidRDefault="00C93B33" w:rsidP="009901E1">
      <w:pPr>
        <w:pStyle w:val="Notesbulletpoint"/>
        <w:numPr>
          <w:ilvl w:val="0"/>
          <w:numId w:val="0"/>
        </w:numPr>
        <w:spacing w:after="0" w:line="280" w:lineRule="exact"/>
        <w:jc w:val="both"/>
        <w:rPr>
          <w:rFonts w:ascii="Arial" w:hAnsi="Arial"/>
          <w:color w:val="auto"/>
          <w:sz w:val="20"/>
        </w:rPr>
      </w:pPr>
    </w:p>
    <w:tbl>
      <w:tblPr>
        <w:tblW w:w="9576" w:type="dxa"/>
        <w:tblLook w:val="0000" w:firstRow="0" w:lastRow="0" w:firstColumn="0" w:lastColumn="0" w:noHBand="0" w:noVBand="0"/>
      </w:tblPr>
      <w:tblGrid>
        <w:gridCol w:w="9576"/>
      </w:tblGrid>
      <w:tr w:rsidR="0086091A" w:rsidRPr="00E70587" w14:paraId="7B453E48" w14:textId="77777777" w:rsidTr="00834981">
        <w:tc>
          <w:tcPr>
            <w:tcW w:w="0" w:type="auto"/>
          </w:tcPr>
          <w:p w14:paraId="44897DB3" w14:textId="77777777" w:rsidR="0086091A" w:rsidRPr="00E70587" w:rsidRDefault="0086091A" w:rsidP="009901E1">
            <w:pPr>
              <w:pStyle w:val="Notesbulletpoint"/>
              <w:numPr>
                <w:ilvl w:val="0"/>
                <w:numId w:val="0"/>
              </w:numPr>
              <w:spacing w:after="0" w:line="280" w:lineRule="exact"/>
              <w:ind w:left="38" w:hanging="38"/>
              <w:jc w:val="both"/>
              <w:rPr>
                <w:rFonts w:ascii="Arial" w:hAnsi="Arial"/>
                <w:color w:val="auto"/>
                <w:sz w:val="20"/>
              </w:rPr>
            </w:pPr>
            <w:r w:rsidRPr="00E70587">
              <w:rPr>
                <w:rFonts w:ascii="Arial" w:hAnsi="Arial"/>
                <w:color w:val="auto"/>
                <w:sz w:val="20"/>
              </w:rPr>
              <w:t>The discount for lack of marketability represents the amounts that the Group has determined that market participants would take into account when pricing the investments.</w:t>
            </w:r>
          </w:p>
          <w:p w14:paraId="69A817D0" w14:textId="77777777" w:rsidR="00440558" w:rsidRPr="00E70587" w:rsidRDefault="00440558" w:rsidP="009901E1">
            <w:pPr>
              <w:pStyle w:val="Notesbulletpoint"/>
              <w:numPr>
                <w:ilvl w:val="0"/>
                <w:numId w:val="0"/>
              </w:numPr>
              <w:spacing w:after="0" w:line="280" w:lineRule="exact"/>
              <w:ind w:left="38" w:hanging="38"/>
              <w:jc w:val="both"/>
              <w:rPr>
                <w:rFonts w:ascii="Arial" w:hAnsi="Arial"/>
                <w:color w:val="auto"/>
                <w:sz w:val="20"/>
              </w:rPr>
            </w:pPr>
          </w:p>
          <w:p w14:paraId="70A673F5" w14:textId="77777777" w:rsidR="0086091A" w:rsidRPr="00E70587" w:rsidRDefault="0086091A" w:rsidP="0005518A">
            <w:pPr>
              <w:pStyle w:val="Notesbulletpoint"/>
              <w:numPr>
                <w:ilvl w:val="0"/>
                <w:numId w:val="0"/>
              </w:numPr>
              <w:spacing w:after="0" w:line="280" w:lineRule="exact"/>
              <w:ind w:left="38" w:hanging="38"/>
              <w:jc w:val="both"/>
              <w:rPr>
                <w:rFonts w:ascii="Arial" w:hAnsi="Arial"/>
                <w:b/>
                <w:color w:val="auto"/>
                <w:sz w:val="20"/>
              </w:rPr>
            </w:pPr>
            <w:r w:rsidRPr="00E70587">
              <w:rPr>
                <w:rFonts w:ascii="Arial" w:hAnsi="Arial"/>
                <w:b/>
                <w:color w:val="auto"/>
                <w:sz w:val="20"/>
              </w:rPr>
              <w:t xml:space="preserve">Reconciliation of fair value measurement of </w:t>
            </w:r>
            <w:r w:rsidR="003F2145" w:rsidRPr="00E70587">
              <w:rPr>
                <w:rFonts w:ascii="Arial" w:hAnsi="Arial"/>
                <w:b/>
                <w:color w:val="auto"/>
                <w:sz w:val="20"/>
              </w:rPr>
              <w:t xml:space="preserve">unquoted equity shares </w:t>
            </w:r>
            <w:r w:rsidRPr="00E70587">
              <w:rPr>
                <w:rFonts w:ascii="Arial" w:hAnsi="Arial"/>
                <w:b/>
                <w:color w:val="auto"/>
                <w:sz w:val="20"/>
              </w:rPr>
              <w:t>classified as FVTOCI assets:</w:t>
            </w:r>
          </w:p>
          <w:p w14:paraId="3CBB5F56" w14:textId="77777777" w:rsidR="00440558" w:rsidRPr="00E70587" w:rsidRDefault="00440558" w:rsidP="009901E1">
            <w:pPr>
              <w:pStyle w:val="Notesbulletpoint"/>
              <w:numPr>
                <w:ilvl w:val="0"/>
                <w:numId w:val="0"/>
              </w:numPr>
              <w:spacing w:after="0" w:line="280" w:lineRule="exact"/>
              <w:ind w:left="38" w:hanging="38"/>
              <w:rPr>
                <w:rFonts w:ascii="Arial" w:hAnsi="Arial"/>
                <w:color w:val="auto"/>
                <w:sz w:val="20"/>
              </w:rPr>
            </w:pPr>
          </w:p>
        </w:tc>
      </w:tr>
    </w:tbl>
    <w:tbl>
      <w:tblPr>
        <w:tblStyle w:val="TableGrid"/>
        <w:tblW w:w="9576" w:type="dxa"/>
        <w:tblLayout w:type="fixed"/>
        <w:tblLook w:val="04A0" w:firstRow="1" w:lastRow="0" w:firstColumn="1" w:lastColumn="0" w:noHBand="0" w:noVBand="1"/>
      </w:tblPr>
      <w:tblGrid>
        <w:gridCol w:w="4247"/>
        <w:gridCol w:w="1716"/>
        <w:gridCol w:w="1897"/>
        <w:gridCol w:w="1716"/>
      </w:tblGrid>
      <w:tr w:rsidR="0086091A" w:rsidRPr="00E70587" w14:paraId="77D00F18" w14:textId="77777777" w:rsidTr="00440558">
        <w:tc>
          <w:tcPr>
            <w:tcW w:w="4247" w:type="dxa"/>
            <w:tcBorders>
              <w:top w:val="nil"/>
              <w:left w:val="nil"/>
              <w:bottom w:val="nil"/>
              <w:right w:val="nil"/>
            </w:tcBorders>
            <w:noWrap/>
            <w:hideMark/>
          </w:tcPr>
          <w:p w14:paraId="2A733A68" w14:textId="77777777" w:rsidR="0086091A" w:rsidRPr="00E70587" w:rsidRDefault="0086091A" w:rsidP="009901E1">
            <w:pPr>
              <w:spacing w:line="280" w:lineRule="exact"/>
              <w:rPr>
                <w:rFonts w:ascii="Arial" w:hAnsi="Arial" w:cs="Arial"/>
                <w:sz w:val="20"/>
              </w:rPr>
            </w:pPr>
          </w:p>
        </w:tc>
        <w:tc>
          <w:tcPr>
            <w:tcW w:w="1716" w:type="dxa"/>
            <w:tcBorders>
              <w:top w:val="nil"/>
              <w:left w:val="nil"/>
              <w:bottom w:val="single" w:sz="4" w:space="0" w:color="auto"/>
              <w:right w:val="nil"/>
            </w:tcBorders>
            <w:vAlign w:val="bottom"/>
            <w:hideMark/>
          </w:tcPr>
          <w:p w14:paraId="21947123" w14:textId="77777777" w:rsidR="0086091A" w:rsidRPr="00E70587" w:rsidRDefault="0086091A" w:rsidP="009901E1">
            <w:pPr>
              <w:spacing w:line="280" w:lineRule="exact"/>
              <w:jc w:val="right"/>
              <w:rPr>
                <w:rFonts w:ascii="Arial" w:hAnsi="Arial" w:cs="Arial"/>
                <w:b/>
                <w:bCs/>
                <w:sz w:val="20"/>
              </w:rPr>
            </w:pPr>
            <w:r w:rsidRPr="00E70587">
              <w:rPr>
                <w:rFonts w:ascii="Arial" w:hAnsi="Arial" w:cs="Arial"/>
                <w:b/>
                <w:bCs/>
                <w:sz w:val="20"/>
              </w:rPr>
              <w:t>Power</w:t>
            </w:r>
          </w:p>
        </w:tc>
        <w:tc>
          <w:tcPr>
            <w:tcW w:w="1897" w:type="dxa"/>
            <w:tcBorders>
              <w:top w:val="nil"/>
              <w:left w:val="nil"/>
              <w:bottom w:val="single" w:sz="4" w:space="0" w:color="auto"/>
              <w:right w:val="nil"/>
            </w:tcBorders>
            <w:vAlign w:val="bottom"/>
            <w:hideMark/>
          </w:tcPr>
          <w:p w14:paraId="56C51EE2" w14:textId="77777777" w:rsidR="0086091A" w:rsidRPr="00E70587" w:rsidRDefault="0086091A" w:rsidP="009901E1">
            <w:pPr>
              <w:spacing w:line="280" w:lineRule="exact"/>
              <w:jc w:val="right"/>
              <w:rPr>
                <w:rFonts w:ascii="Arial" w:hAnsi="Arial" w:cs="Arial"/>
                <w:b/>
                <w:bCs/>
                <w:sz w:val="20"/>
              </w:rPr>
            </w:pPr>
            <w:r w:rsidRPr="00E70587">
              <w:rPr>
                <w:rFonts w:ascii="Arial" w:hAnsi="Arial" w:cs="Arial"/>
                <w:b/>
                <w:bCs/>
                <w:sz w:val="20"/>
              </w:rPr>
              <w:t>Electronics</w:t>
            </w:r>
          </w:p>
        </w:tc>
        <w:tc>
          <w:tcPr>
            <w:tcW w:w="1716" w:type="dxa"/>
            <w:tcBorders>
              <w:top w:val="nil"/>
              <w:left w:val="nil"/>
              <w:bottom w:val="single" w:sz="4" w:space="0" w:color="auto"/>
              <w:right w:val="nil"/>
            </w:tcBorders>
            <w:vAlign w:val="bottom"/>
            <w:hideMark/>
          </w:tcPr>
          <w:p w14:paraId="633EB5C4" w14:textId="77777777" w:rsidR="0086091A" w:rsidRPr="00E70587" w:rsidRDefault="0086091A" w:rsidP="009901E1">
            <w:pPr>
              <w:spacing w:line="280" w:lineRule="exact"/>
              <w:ind w:right="183"/>
              <w:jc w:val="right"/>
              <w:rPr>
                <w:rFonts w:ascii="Arial" w:hAnsi="Arial" w:cs="Arial"/>
                <w:b/>
                <w:bCs/>
                <w:sz w:val="20"/>
              </w:rPr>
            </w:pPr>
            <w:r w:rsidRPr="00E70587">
              <w:rPr>
                <w:rFonts w:ascii="Arial" w:hAnsi="Arial" w:cs="Arial"/>
                <w:b/>
                <w:bCs/>
                <w:sz w:val="20"/>
              </w:rPr>
              <w:t>Total</w:t>
            </w:r>
          </w:p>
        </w:tc>
      </w:tr>
      <w:tr w:rsidR="0086091A" w:rsidRPr="00E70587" w14:paraId="3E8C461A" w14:textId="77777777" w:rsidTr="00440558">
        <w:tc>
          <w:tcPr>
            <w:tcW w:w="4247" w:type="dxa"/>
            <w:tcBorders>
              <w:top w:val="nil"/>
              <w:left w:val="nil"/>
              <w:bottom w:val="nil"/>
              <w:right w:val="nil"/>
            </w:tcBorders>
            <w:noWrap/>
            <w:hideMark/>
          </w:tcPr>
          <w:p w14:paraId="03E00555" w14:textId="77777777" w:rsidR="0086091A" w:rsidRPr="00E70587" w:rsidRDefault="0086091A" w:rsidP="009901E1">
            <w:pPr>
              <w:spacing w:line="280" w:lineRule="exact"/>
              <w:rPr>
                <w:rFonts w:ascii="Arial" w:hAnsi="Arial" w:cs="Arial"/>
                <w:b/>
                <w:bCs/>
                <w:sz w:val="20"/>
              </w:rPr>
            </w:pPr>
          </w:p>
        </w:tc>
        <w:tc>
          <w:tcPr>
            <w:tcW w:w="1716" w:type="dxa"/>
            <w:tcBorders>
              <w:top w:val="nil"/>
              <w:left w:val="nil"/>
              <w:bottom w:val="nil"/>
              <w:right w:val="nil"/>
            </w:tcBorders>
            <w:noWrap/>
            <w:vAlign w:val="bottom"/>
            <w:hideMark/>
          </w:tcPr>
          <w:p w14:paraId="443939DD" w14:textId="77777777" w:rsidR="0086091A" w:rsidRPr="00E70587" w:rsidRDefault="0086091A" w:rsidP="009901E1">
            <w:pPr>
              <w:spacing w:line="280" w:lineRule="exact"/>
              <w:jc w:val="right"/>
              <w:rPr>
                <w:rFonts w:ascii="Arial" w:hAnsi="Arial" w:cs="Arial"/>
                <w:b/>
                <w:bCs/>
                <w:sz w:val="20"/>
              </w:rPr>
            </w:pPr>
            <w:r w:rsidRPr="00E70587">
              <w:rPr>
                <w:rFonts w:ascii="Arial" w:hAnsi="Arial" w:cs="Arial"/>
                <w:b/>
                <w:sz w:val="20"/>
              </w:rPr>
              <w:t>INR Lacs</w:t>
            </w:r>
          </w:p>
        </w:tc>
        <w:tc>
          <w:tcPr>
            <w:tcW w:w="1897" w:type="dxa"/>
            <w:tcBorders>
              <w:top w:val="nil"/>
              <w:left w:val="nil"/>
              <w:bottom w:val="nil"/>
              <w:right w:val="nil"/>
            </w:tcBorders>
            <w:noWrap/>
            <w:vAlign w:val="bottom"/>
            <w:hideMark/>
          </w:tcPr>
          <w:p w14:paraId="626D9EA9" w14:textId="77777777" w:rsidR="0086091A" w:rsidRPr="00E70587" w:rsidRDefault="0086091A" w:rsidP="009901E1">
            <w:pPr>
              <w:spacing w:line="280" w:lineRule="exact"/>
              <w:jc w:val="right"/>
              <w:rPr>
                <w:rFonts w:ascii="Arial" w:hAnsi="Arial" w:cs="Arial"/>
                <w:b/>
                <w:sz w:val="20"/>
              </w:rPr>
            </w:pPr>
            <w:r w:rsidRPr="00E70587">
              <w:rPr>
                <w:rFonts w:ascii="Arial" w:hAnsi="Arial" w:cs="Arial"/>
                <w:b/>
                <w:sz w:val="20"/>
              </w:rPr>
              <w:t>INR Lacs</w:t>
            </w:r>
          </w:p>
        </w:tc>
        <w:tc>
          <w:tcPr>
            <w:tcW w:w="1716" w:type="dxa"/>
            <w:tcBorders>
              <w:top w:val="nil"/>
              <w:left w:val="nil"/>
              <w:bottom w:val="nil"/>
              <w:right w:val="nil"/>
            </w:tcBorders>
            <w:noWrap/>
            <w:vAlign w:val="bottom"/>
            <w:hideMark/>
          </w:tcPr>
          <w:p w14:paraId="226CAF42" w14:textId="77777777" w:rsidR="0086091A" w:rsidRPr="00E70587" w:rsidRDefault="0086091A" w:rsidP="009901E1">
            <w:pPr>
              <w:spacing w:line="280" w:lineRule="exact"/>
              <w:ind w:right="175"/>
              <w:jc w:val="right"/>
              <w:rPr>
                <w:rFonts w:ascii="Arial" w:hAnsi="Arial" w:cs="Arial"/>
                <w:b/>
                <w:sz w:val="20"/>
              </w:rPr>
            </w:pPr>
            <w:r w:rsidRPr="00E70587">
              <w:rPr>
                <w:rFonts w:ascii="Arial" w:hAnsi="Arial" w:cs="Arial"/>
                <w:b/>
                <w:sz w:val="20"/>
              </w:rPr>
              <w:t>INR Lacs</w:t>
            </w:r>
          </w:p>
        </w:tc>
      </w:tr>
      <w:tr w:rsidR="0086091A" w:rsidRPr="00E70587" w14:paraId="5E8AE2DF" w14:textId="77777777" w:rsidTr="00440558">
        <w:tc>
          <w:tcPr>
            <w:tcW w:w="4247" w:type="dxa"/>
            <w:tcBorders>
              <w:top w:val="nil"/>
              <w:left w:val="nil"/>
              <w:bottom w:val="nil"/>
              <w:right w:val="nil"/>
            </w:tcBorders>
            <w:noWrap/>
            <w:vAlign w:val="center"/>
          </w:tcPr>
          <w:p w14:paraId="266A2618" w14:textId="2A09B38B" w:rsidR="0086091A" w:rsidRPr="00E70587" w:rsidRDefault="0086091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As at 1 April </w:t>
            </w:r>
            <w:r w:rsidR="00616E84" w:rsidRPr="00E70587">
              <w:rPr>
                <w:rFonts w:ascii="Arial" w:hAnsi="Arial"/>
                <w:color w:val="auto"/>
                <w:sz w:val="20"/>
                <w:szCs w:val="20"/>
                <w:lang w:val="en-IN"/>
              </w:rPr>
              <w:t>201</w:t>
            </w:r>
            <w:r w:rsidR="00616E84">
              <w:rPr>
                <w:rFonts w:ascii="Arial" w:hAnsi="Arial"/>
                <w:color w:val="auto"/>
                <w:sz w:val="20"/>
                <w:szCs w:val="20"/>
                <w:lang w:val="en-IN"/>
              </w:rPr>
              <w:t>9</w:t>
            </w:r>
          </w:p>
        </w:tc>
        <w:tc>
          <w:tcPr>
            <w:tcW w:w="1716" w:type="dxa"/>
            <w:tcBorders>
              <w:top w:val="nil"/>
              <w:left w:val="nil"/>
              <w:bottom w:val="nil"/>
              <w:right w:val="nil"/>
            </w:tcBorders>
            <w:noWrap/>
          </w:tcPr>
          <w:p w14:paraId="5144279B" w14:textId="77777777" w:rsidR="0086091A" w:rsidRPr="00E70587" w:rsidRDefault="0005518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850</w:t>
            </w:r>
          </w:p>
        </w:tc>
        <w:tc>
          <w:tcPr>
            <w:tcW w:w="1897" w:type="dxa"/>
            <w:tcBorders>
              <w:top w:val="nil"/>
              <w:left w:val="nil"/>
              <w:bottom w:val="nil"/>
              <w:right w:val="nil"/>
            </w:tcBorders>
            <w:noWrap/>
          </w:tcPr>
          <w:p w14:paraId="3EB04AB0" w14:textId="77777777" w:rsidR="0086091A" w:rsidRPr="00E70587" w:rsidRDefault="0005518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567</w:t>
            </w:r>
          </w:p>
        </w:tc>
        <w:tc>
          <w:tcPr>
            <w:tcW w:w="1716" w:type="dxa"/>
            <w:tcBorders>
              <w:top w:val="nil"/>
              <w:left w:val="nil"/>
              <w:bottom w:val="nil"/>
              <w:right w:val="nil"/>
            </w:tcBorders>
            <w:noWrap/>
          </w:tcPr>
          <w:p w14:paraId="0C2E1290" w14:textId="77777777" w:rsidR="0086091A" w:rsidRPr="00E70587" w:rsidRDefault="00B406CB"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1,417</w:t>
            </w:r>
          </w:p>
        </w:tc>
      </w:tr>
      <w:tr w:rsidR="0086091A" w:rsidRPr="00E70587" w14:paraId="32501BC2" w14:textId="77777777" w:rsidTr="00440558">
        <w:tc>
          <w:tcPr>
            <w:tcW w:w="4247" w:type="dxa"/>
            <w:tcBorders>
              <w:top w:val="nil"/>
              <w:left w:val="nil"/>
              <w:bottom w:val="nil"/>
              <w:right w:val="nil"/>
            </w:tcBorders>
            <w:noWrap/>
            <w:vAlign w:val="center"/>
          </w:tcPr>
          <w:p w14:paraId="112E6692"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Re-measurement recognised in OCI</w:t>
            </w:r>
          </w:p>
        </w:tc>
        <w:tc>
          <w:tcPr>
            <w:tcW w:w="1716" w:type="dxa"/>
            <w:tcBorders>
              <w:top w:val="nil"/>
              <w:left w:val="nil"/>
              <w:bottom w:val="nil"/>
              <w:right w:val="nil"/>
            </w:tcBorders>
            <w:noWrap/>
          </w:tcPr>
          <w:p w14:paraId="3C21B58C" w14:textId="77777777" w:rsidR="0086091A" w:rsidRPr="00E70587" w:rsidRDefault="0005518A" w:rsidP="0005518A">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97" w:type="dxa"/>
            <w:tcBorders>
              <w:top w:val="nil"/>
              <w:left w:val="nil"/>
              <w:bottom w:val="nil"/>
              <w:right w:val="nil"/>
            </w:tcBorders>
            <w:noWrap/>
          </w:tcPr>
          <w:p w14:paraId="743E92C6" w14:textId="77777777" w:rsidR="0086091A" w:rsidRPr="00E70587" w:rsidRDefault="0005518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6" w:type="dxa"/>
            <w:tcBorders>
              <w:top w:val="nil"/>
              <w:left w:val="nil"/>
              <w:bottom w:val="nil"/>
              <w:right w:val="nil"/>
            </w:tcBorders>
            <w:noWrap/>
          </w:tcPr>
          <w:p w14:paraId="1F91AABF" w14:textId="77777777" w:rsidR="0086091A" w:rsidRPr="00E70587" w:rsidRDefault="00B406CB"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86091A" w:rsidRPr="00E70587" w14:paraId="10C79CFF" w14:textId="77777777" w:rsidTr="00440558">
        <w:tc>
          <w:tcPr>
            <w:tcW w:w="4247" w:type="dxa"/>
            <w:tcBorders>
              <w:top w:val="nil"/>
              <w:left w:val="nil"/>
              <w:bottom w:val="nil"/>
              <w:right w:val="nil"/>
            </w:tcBorders>
            <w:noWrap/>
            <w:vAlign w:val="center"/>
          </w:tcPr>
          <w:p w14:paraId="4645A80F"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Purchases</w:t>
            </w:r>
          </w:p>
        </w:tc>
        <w:tc>
          <w:tcPr>
            <w:tcW w:w="1716" w:type="dxa"/>
            <w:tcBorders>
              <w:top w:val="nil"/>
              <w:left w:val="nil"/>
              <w:bottom w:val="nil"/>
              <w:right w:val="nil"/>
            </w:tcBorders>
            <w:noWrap/>
          </w:tcPr>
          <w:p w14:paraId="794D2555"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97" w:type="dxa"/>
            <w:tcBorders>
              <w:top w:val="nil"/>
              <w:left w:val="nil"/>
              <w:bottom w:val="nil"/>
              <w:right w:val="nil"/>
            </w:tcBorders>
            <w:noWrap/>
          </w:tcPr>
          <w:p w14:paraId="1F9E1E93" w14:textId="77777777" w:rsidR="0086091A" w:rsidRPr="00E70587" w:rsidRDefault="0005518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199</w:t>
            </w:r>
          </w:p>
        </w:tc>
        <w:tc>
          <w:tcPr>
            <w:tcW w:w="1716" w:type="dxa"/>
            <w:tcBorders>
              <w:top w:val="nil"/>
              <w:left w:val="nil"/>
              <w:bottom w:val="nil"/>
              <w:right w:val="nil"/>
            </w:tcBorders>
            <w:noWrap/>
          </w:tcPr>
          <w:p w14:paraId="1007A813" w14:textId="77777777" w:rsidR="0086091A" w:rsidRPr="00E70587" w:rsidRDefault="00B406CB"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199</w:t>
            </w:r>
          </w:p>
        </w:tc>
      </w:tr>
      <w:tr w:rsidR="0086091A" w:rsidRPr="00E70587" w14:paraId="77F87CEA" w14:textId="77777777" w:rsidTr="00440558">
        <w:tc>
          <w:tcPr>
            <w:tcW w:w="4247" w:type="dxa"/>
            <w:tcBorders>
              <w:top w:val="nil"/>
              <w:left w:val="nil"/>
              <w:bottom w:val="nil"/>
              <w:right w:val="nil"/>
            </w:tcBorders>
            <w:noWrap/>
            <w:vAlign w:val="center"/>
          </w:tcPr>
          <w:p w14:paraId="54DEB009"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 xml:space="preserve">Reclassified in discontinued operations </w:t>
            </w:r>
          </w:p>
        </w:tc>
        <w:tc>
          <w:tcPr>
            <w:tcW w:w="1716" w:type="dxa"/>
            <w:tcBorders>
              <w:top w:val="nil"/>
              <w:left w:val="nil"/>
              <w:bottom w:val="nil"/>
              <w:right w:val="nil"/>
            </w:tcBorders>
            <w:noWrap/>
          </w:tcPr>
          <w:p w14:paraId="7E143B75"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97" w:type="dxa"/>
            <w:tcBorders>
              <w:top w:val="nil"/>
              <w:left w:val="nil"/>
              <w:bottom w:val="nil"/>
              <w:right w:val="nil"/>
            </w:tcBorders>
            <w:noWrap/>
          </w:tcPr>
          <w:p w14:paraId="6939F0D0"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6" w:type="dxa"/>
            <w:tcBorders>
              <w:top w:val="nil"/>
              <w:left w:val="nil"/>
              <w:bottom w:val="nil"/>
              <w:right w:val="nil"/>
            </w:tcBorders>
            <w:noWrap/>
          </w:tcPr>
          <w:p w14:paraId="6ED83865"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86091A" w:rsidRPr="00E70587" w14:paraId="48A2F46C" w14:textId="77777777" w:rsidTr="00440558">
        <w:tc>
          <w:tcPr>
            <w:tcW w:w="4247" w:type="dxa"/>
            <w:tcBorders>
              <w:top w:val="nil"/>
              <w:left w:val="nil"/>
              <w:bottom w:val="nil"/>
              <w:right w:val="nil"/>
            </w:tcBorders>
            <w:vAlign w:val="center"/>
          </w:tcPr>
          <w:p w14:paraId="12DD1186"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Sales</w:t>
            </w:r>
          </w:p>
        </w:tc>
        <w:tc>
          <w:tcPr>
            <w:tcW w:w="1716" w:type="dxa"/>
            <w:tcBorders>
              <w:top w:val="nil"/>
              <w:left w:val="nil"/>
              <w:bottom w:val="nil"/>
              <w:right w:val="nil"/>
            </w:tcBorders>
            <w:noWrap/>
          </w:tcPr>
          <w:p w14:paraId="45F6068A"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97" w:type="dxa"/>
            <w:tcBorders>
              <w:top w:val="nil"/>
              <w:left w:val="nil"/>
              <w:bottom w:val="nil"/>
              <w:right w:val="nil"/>
            </w:tcBorders>
            <w:noWrap/>
          </w:tcPr>
          <w:p w14:paraId="0A65B334"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6" w:type="dxa"/>
            <w:tcBorders>
              <w:top w:val="nil"/>
              <w:left w:val="nil"/>
              <w:bottom w:val="nil"/>
              <w:right w:val="nil"/>
            </w:tcBorders>
            <w:noWrap/>
          </w:tcPr>
          <w:p w14:paraId="7A9887E9"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86091A" w:rsidRPr="00E70587" w14:paraId="1BABF3AE" w14:textId="77777777" w:rsidTr="00440558">
        <w:tc>
          <w:tcPr>
            <w:tcW w:w="4247" w:type="dxa"/>
            <w:tcBorders>
              <w:top w:val="nil"/>
              <w:left w:val="nil"/>
              <w:bottom w:val="nil"/>
              <w:right w:val="nil"/>
            </w:tcBorders>
            <w:noWrap/>
            <w:vAlign w:val="center"/>
            <w:hideMark/>
          </w:tcPr>
          <w:p w14:paraId="2E87B9F6" w14:textId="5139B243" w:rsidR="0086091A" w:rsidRPr="00E70587" w:rsidRDefault="0086091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As at 1 April </w:t>
            </w:r>
            <w:r w:rsidR="00616E84" w:rsidRPr="00E70587">
              <w:rPr>
                <w:rFonts w:ascii="Arial" w:hAnsi="Arial"/>
                <w:color w:val="auto"/>
                <w:sz w:val="20"/>
                <w:szCs w:val="20"/>
                <w:lang w:val="en-IN"/>
              </w:rPr>
              <w:t>20</w:t>
            </w:r>
            <w:r w:rsidR="00616E84">
              <w:rPr>
                <w:rFonts w:ascii="Arial" w:hAnsi="Arial"/>
                <w:color w:val="auto"/>
                <w:sz w:val="20"/>
                <w:szCs w:val="20"/>
                <w:lang w:val="en-IN"/>
              </w:rPr>
              <w:t>20</w:t>
            </w:r>
          </w:p>
        </w:tc>
        <w:tc>
          <w:tcPr>
            <w:tcW w:w="1716" w:type="dxa"/>
            <w:tcBorders>
              <w:top w:val="nil"/>
              <w:left w:val="nil"/>
              <w:bottom w:val="nil"/>
              <w:right w:val="nil"/>
            </w:tcBorders>
            <w:noWrap/>
            <w:hideMark/>
          </w:tcPr>
          <w:p w14:paraId="27F5ED55" w14:textId="77777777" w:rsidR="0086091A" w:rsidRPr="00E70587" w:rsidRDefault="0005518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850</w:t>
            </w:r>
          </w:p>
        </w:tc>
        <w:tc>
          <w:tcPr>
            <w:tcW w:w="1897" w:type="dxa"/>
            <w:tcBorders>
              <w:top w:val="nil"/>
              <w:left w:val="nil"/>
              <w:bottom w:val="nil"/>
              <w:right w:val="nil"/>
            </w:tcBorders>
            <w:noWrap/>
            <w:hideMark/>
          </w:tcPr>
          <w:p w14:paraId="209E9CFD" w14:textId="77777777" w:rsidR="0086091A" w:rsidRPr="00E70587" w:rsidRDefault="0005518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766</w:t>
            </w:r>
          </w:p>
        </w:tc>
        <w:tc>
          <w:tcPr>
            <w:tcW w:w="1716" w:type="dxa"/>
            <w:tcBorders>
              <w:top w:val="nil"/>
              <w:left w:val="nil"/>
              <w:bottom w:val="nil"/>
              <w:right w:val="nil"/>
            </w:tcBorders>
            <w:noWrap/>
            <w:hideMark/>
          </w:tcPr>
          <w:p w14:paraId="7FF957D8" w14:textId="77777777" w:rsidR="0086091A" w:rsidRPr="00E70587" w:rsidRDefault="0086091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1,616</w:t>
            </w:r>
          </w:p>
        </w:tc>
      </w:tr>
      <w:tr w:rsidR="0086091A" w:rsidRPr="00E70587" w14:paraId="0C805819" w14:textId="77777777" w:rsidTr="00440558">
        <w:tc>
          <w:tcPr>
            <w:tcW w:w="4247" w:type="dxa"/>
            <w:tcBorders>
              <w:top w:val="nil"/>
              <w:left w:val="nil"/>
              <w:bottom w:val="nil"/>
              <w:right w:val="nil"/>
            </w:tcBorders>
            <w:vAlign w:val="center"/>
            <w:hideMark/>
          </w:tcPr>
          <w:p w14:paraId="2EB01794"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Re-measurement recognised in OCI</w:t>
            </w:r>
          </w:p>
        </w:tc>
        <w:tc>
          <w:tcPr>
            <w:tcW w:w="1716" w:type="dxa"/>
            <w:tcBorders>
              <w:top w:val="nil"/>
              <w:left w:val="nil"/>
              <w:bottom w:val="nil"/>
              <w:right w:val="nil"/>
            </w:tcBorders>
            <w:noWrap/>
            <w:hideMark/>
          </w:tcPr>
          <w:p w14:paraId="3485598A" w14:textId="77777777" w:rsidR="0086091A" w:rsidRPr="00E70587" w:rsidRDefault="0005518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97" w:type="dxa"/>
            <w:tcBorders>
              <w:top w:val="nil"/>
              <w:left w:val="nil"/>
              <w:bottom w:val="nil"/>
              <w:right w:val="nil"/>
            </w:tcBorders>
            <w:noWrap/>
            <w:hideMark/>
          </w:tcPr>
          <w:p w14:paraId="7AC8D5A0" w14:textId="77777777" w:rsidR="0086091A" w:rsidRPr="00E70587" w:rsidRDefault="0086091A" w:rsidP="0005518A">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r w:rsidR="0005518A" w:rsidRPr="00E70587">
              <w:rPr>
                <w:rFonts w:ascii="Arial" w:hAnsi="Arial" w:cs="Arial"/>
                <w:sz w:val="20"/>
                <w:lang w:eastAsia="en-GB"/>
              </w:rPr>
              <w:t>18</w:t>
            </w:r>
            <w:r w:rsidRPr="00E70587">
              <w:rPr>
                <w:rFonts w:ascii="Arial" w:hAnsi="Arial" w:cs="Arial"/>
                <w:sz w:val="20"/>
                <w:lang w:eastAsia="en-GB"/>
              </w:rPr>
              <w:t>)</w:t>
            </w:r>
          </w:p>
        </w:tc>
        <w:tc>
          <w:tcPr>
            <w:tcW w:w="1716" w:type="dxa"/>
            <w:tcBorders>
              <w:top w:val="nil"/>
              <w:left w:val="nil"/>
              <w:bottom w:val="nil"/>
              <w:right w:val="nil"/>
            </w:tcBorders>
            <w:noWrap/>
            <w:hideMark/>
          </w:tcPr>
          <w:p w14:paraId="05B85ACF" w14:textId="77777777" w:rsidR="0086091A" w:rsidRPr="00E70587" w:rsidRDefault="0086091A" w:rsidP="00B406CB">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r w:rsidR="00B406CB" w:rsidRPr="00E70587">
              <w:rPr>
                <w:rFonts w:ascii="Arial" w:hAnsi="Arial" w:cs="Arial"/>
                <w:sz w:val="20"/>
                <w:lang w:eastAsia="en-GB"/>
              </w:rPr>
              <w:t>18</w:t>
            </w:r>
            <w:r w:rsidRPr="00E70587">
              <w:rPr>
                <w:rFonts w:ascii="Arial" w:hAnsi="Arial" w:cs="Arial"/>
                <w:sz w:val="20"/>
                <w:lang w:eastAsia="en-GB"/>
              </w:rPr>
              <w:t>)</w:t>
            </w:r>
          </w:p>
        </w:tc>
      </w:tr>
      <w:tr w:rsidR="0086091A" w:rsidRPr="00E70587" w14:paraId="0A1AF25F" w14:textId="77777777" w:rsidTr="00440558">
        <w:tc>
          <w:tcPr>
            <w:tcW w:w="4247" w:type="dxa"/>
            <w:tcBorders>
              <w:top w:val="nil"/>
              <w:left w:val="nil"/>
              <w:bottom w:val="nil"/>
              <w:right w:val="nil"/>
            </w:tcBorders>
            <w:vAlign w:val="center"/>
          </w:tcPr>
          <w:p w14:paraId="32C06098"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Purchases</w:t>
            </w:r>
          </w:p>
        </w:tc>
        <w:tc>
          <w:tcPr>
            <w:tcW w:w="1716" w:type="dxa"/>
            <w:tcBorders>
              <w:top w:val="nil"/>
              <w:left w:val="nil"/>
              <w:bottom w:val="nil"/>
              <w:right w:val="nil"/>
            </w:tcBorders>
            <w:noWrap/>
          </w:tcPr>
          <w:p w14:paraId="194672D3" w14:textId="77777777" w:rsidR="0086091A" w:rsidRPr="00E70587" w:rsidRDefault="0005518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97" w:type="dxa"/>
            <w:tcBorders>
              <w:top w:val="nil"/>
              <w:left w:val="nil"/>
              <w:bottom w:val="nil"/>
              <w:right w:val="nil"/>
            </w:tcBorders>
            <w:noWrap/>
          </w:tcPr>
          <w:p w14:paraId="3EAFC6B2" w14:textId="77777777" w:rsidR="0086091A" w:rsidRPr="00E70587" w:rsidRDefault="00B406CB"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1,478</w:t>
            </w:r>
          </w:p>
        </w:tc>
        <w:tc>
          <w:tcPr>
            <w:tcW w:w="1716" w:type="dxa"/>
            <w:tcBorders>
              <w:top w:val="nil"/>
              <w:left w:val="nil"/>
              <w:bottom w:val="nil"/>
              <w:right w:val="nil"/>
            </w:tcBorders>
            <w:noWrap/>
          </w:tcPr>
          <w:p w14:paraId="78665D6C"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1,478</w:t>
            </w:r>
          </w:p>
        </w:tc>
      </w:tr>
      <w:tr w:rsidR="0086091A" w:rsidRPr="00E70587" w14:paraId="77CCB801" w14:textId="77777777" w:rsidTr="00440558">
        <w:tc>
          <w:tcPr>
            <w:tcW w:w="4247" w:type="dxa"/>
            <w:tcBorders>
              <w:top w:val="nil"/>
              <w:left w:val="nil"/>
              <w:bottom w:val="nil"/>
              <w:right w:val="nil"/>
            </w:tcBorders>
            <w:vAlign w:val="center"/>
          </w:tcPr>
          <w:p w14:paraId="46D0DCFC"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 xml:space="preserve">Reclassified in discontinued operations </w:t>
            </w:r>
          </w:p>
        </w:tc>
        <w:tc>
          <w:tcPr>
            <w:tcW w:w="1716" w:type="dxa"/>
            <w:tcBorders>
              <w:top w:val="nil"/>
              <w:left w:val="nil"/>
              <w:bottom w:val="nil"/>
              <w:right w:val="nil"/>
            </w:tcBorders>
            <w:noWrap/>
          </w:tcPr>
          <w:p w14:paraId="55BA8B68"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97" w:type="dxa"/>
            <w:tcBorders>
              <w:top w:val="nil"/>
              <w:left w:val="nil"/>
              <w:bottom w:val="nil"/>
              <w:right w:val="nil"/>
            </w:tcBorders>
            <w:noWrap/>
          </w:tcPr>
          <w:p w14:paraId="70830924"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(914)</w:t>
            </w:r>
          </w:p>
        </w:tc>
        <w:tc>
          <w:tcPr>
            <w:tcW w:w="1716" w:type="dxa"/>
            <w:tcBorders>
              <w:top w:val="nil"/>
              <w:left w:val="nil"/>
              <w:bottom w:val="nil"/>
              <w:right w:val="nil"/>
            </w:tcBorders>
            <w:noWrap/>
          </w:tcPr>
          <w:p w14:paraId="6E02ADA6"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(914)</w:t>
            </w:r>
          </w:p>
        </w:tc>
      </w:tr>
      <w:tr w:rsidR="0086091A" w:rsidRPr="00E70587" w14:paraId="186B17CD" w14:textId="77777777" w:rsidTr="00440558">
        <w:tc>
          <w:tcPr>
            <w:tcW w:w="4247" w:type="dxa"/>
            <w:tcBorders>
              <w:top w:val="nil"/>
              <w:left w:val="nil"/>
              <w:bottom w:val="nil"/>
              <w:right w:val="nil"/>
            </w:tcBorders>
            <w:vAlign w:val="center"/>
          </w:tcPr>
          <w:p w14:paraId="03BC0490"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Sales</w:t>
            </w:r>
          </w:p>
        </w:tc>
        <w:tc>
          <w:tcPr>
            <w:tcW w:w="1716" w:type="dxa"/>
            <w:tcBorders>
              <w:top w:val="nil"/>
              <w:left w:val="nil"/>
              <w:bottom w:val="single" w:sz="4" w:space="0" w:color="auto"/>
              <w:right w:val="nil"/>
            </w:tcBorders>
            <w:noWrap/>
          </w:tcPr>
          <w:p w14:paraId="5F07C813" w14:textId="77777777" w:rsidR="0086091A" w:rsidRPr="00E70587" w:rsidRDefault="0005518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97" w:type="dxa"/>
            <w:tcBorders>
              <w:top w:val="nil"/>
              <w:left w:val="nil"/>
              <w:bottom w:val="single" w:sz="4" w:space="0" w:color="auto"/>
              <w:right w:val="nil"/>
            </w:tcBorders>
            <w:noWrap/>
          </w:tcPr>
          <w:p w14:paraId="489370D8" w14:textId="77777777" w:rsidR="0086091A" w:rsidRPr="00E70587" w:rsidRDefault="00B406CB"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(294)</w:t>
            </w:r>
          </w:p>
        </w:tc>
        <w:tc>
          <w:tcPr>
            <w:tcW w:w="1716" w:type="dxa"/>
            <w:tcBorders>
              <w:top w:val="nil"/>
              <w:left w:val="nil"/>
              <w:bottom w:val="single" w:sz="4" w:space="0" w:color="auto"/>
              <w:right w:val="nil"/>
            </w:tcBorders>
            <w:noWrap/>
          </w:tcPr>
          <w:p w14:paraId="5B5CF68B" w14:textId="77777777" w:rsidR="0086091A" w:rsidRPr="00E70587" w:rsidRDefault="00B406CB"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(294)</w:t>
            </w:r>
          </w:p>
        </w:tc>
      </w:tr>
      <w:tr w:rsidR="0086091A" w:rsidRPr="00E70587" w14:paraId="1317854F" w14:textId="77777777" w:rsidTr="00440558">
        <w:tc>
          <w:tcPr>
            <w:tcW w:w="4247" w:type="dxa"/>
            <w:tcBorders>
              <w:top w:val="nil"/>
              <w:left w:val="nil"/>
              <w:bottom w:val="nil"/>
              <w:right w:val="nil"/>
            </w:tcBorders>
            <w:vAlign w:val="center"/>
          </w:tcPr>
          <w:p w14:paraId="5F7CDD20" w14:textId="2D789B38" w:rsidR="0086091A" w:rsidRPr="00E70587" w:rsidRDefault="0086091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As at 31 </w:t>
            </w:r>
            <w:r w:rsidR="00E1202D" w:rsidRPr="00E70587">
              <w:rPr>
                <w:rFonts w:ascii="Arial" w:hAnsi="Arial"/>
                <w:color w:val="auto"/>
                <w:sz w:val="20"/>
                <w:szCs w:val="20"/>
                <w:lang w:val="en-IN"/>
              </w:rPr>
              <w:t xml:space="preserve">March </w:t>
            </w:r>
            <w:r w:rsidR="00616E84" w:rsidRPr="00E70587">
              <w:rPr>
                <w:rFonts w:ascii="Arial" w:hAnsi="Arial"/>
                <w:color w:val="auto"/>
                <w:sz w:val="20"/>
                <w:szCs w:val="20"/>
                <w:lang w:val="en-IN"/>
              </w:rPr>
              <w:t>20</w:t>
            </w:r>
            <w:r w:rsidR="00616E84">
              <w:rPr>
                <w:rFonts w:ascii="Arial" w:hAnsi="Arial"/>
                <w:color w:val="auto"/>
                <w:sz w:val="20"/>
                <w:szCs w:val="20"/>
                <w:lang w:val="en-IN"/>
              </w:rPr>
              <w:t>21</w:t>
            </w:r>
          </w:p>
        </w:tc>
        <w:tc>
          <w:tcPr>
            <w:tcW w:w="1716" w:type="dxa"/>
            <w:tcBorders>
              <w:top w:val="single" w:sz="4" w:space="0" w:color="auto"/>
              <w:left w:val="nil"/>
              <w:bottom w:val="single" w:sz="4" w:space="0" w:color="auto"/>
              <w:right w:val="nil"/>
            </w:tcBorders>
            <w:noWrap/>
          </w:tcPr>
          <w:p w14:paraId="543C03AB" w14:textId="77777777" w:rsidR="0086091A" w:rsidRPr="00E70587" w:rsidRDefault="0005518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850</w:t>
            </w:r>
          </w:p>
        </w:tc>
        <w:tc>
          <w:tcPr>
            <w:tcW w:w="1897" w:type="dxa"/>
            <w:tcBorders>
              <w:top w:val="single" w:sz="4" w:space="0" w:color="auto"/>
              <w:left w:val="nil"/>
              <w:bottom w:val="single" w:sz="4" w:space="0" w:color="auto"/>
              <w:right w:val="nil"/>
            </w:tcBorders>
            <w:noWrap/>
          </w:tcPr>
          <w:p w14:paraId="1D65984E" w14:textId="77777777" w:rsidR="0086091A" w:rsidRPr="00E70587" w:rsidRDefault="0005518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1,018</w:t>
            </w:r>
          </w:p>
        </w:tc>
        <w:tc>
          <w:tcPr>
            <w:tcW w:w="1716" w:type="dxa"/>
            <w:tcBorders>
              <w:top w:val="single" w:sz="4" w:space="0" w:color="auto"/>
              <w:left w:val="nil"/>
              <w:bottom w:val="single" w:sz="4" w:space="0" w:color="auto"/>
              <w:right w:val="nil"/>
            </w:tcBorders>
            <w:noWrap/>
          </w:tcPr>
          <w:p w14:paraId="5D90B25D" w14:textId="77777777" w:rsidR="0086091A" w:rsidRPr="00E70587" w:rsidRDefault="0086091A" w:rsidP="009901E1">
            <w:pPr>
              <w:overflowPunct/>
              <w:spacing w:line="280" w:lineRule="exact"/>
              <w:jc w:val="right"/>
              <w:textAlignment w:val="auto"/>
              <w:rPr>
                <w:rFonts w:ascii="Arial" w:hAnsi="Arial" w:cs="Arial"/>
                <w:b/>
                <w:bCs/>
                <w:sz w:val="20"/>
                <w:lang w:eastAsia="en-GB"/>
              </w:rPr>
            </w:pPr>
            <w:r w:rsidRPr="00E70587">
              <w:rPr>
                <w:rFonts w:ascii="Arial" w:hAnsi="Arial" w:cs="Arial"/>
                <w:b/>
                <w:bCs/>
                <w:sz w:val="20"/>
                <w:lang w:eastAsia="en-GB"/>
              </w:rPr>
              <w:t>1,868</w:t>
            </w:r>
          </w:p>
        </w:tc>
      </w:tr>
    </w:tbl>
    <w:p w14:paraId="0861F448" w14:textId="77777777" w:rsidR="00C93B33" w:rsidRPr="00E70587" w:rsidRDefault="00C93B33" w:rsidP="009901E1">
      <w:pPr>
        <w:pStyle w:val="Notesbulletpoint"/>
        <w:numPr>
          <w:ilvl w:val="0"/>
          <w:numId w:val="0"/>
        </w:numPr>
        <w:spacing w:after="0" w:line="280" w:lineRule="exact"/>
        <w:rPr>
          <w:rFonts w:ascii="Arial" w:hAnsi="Arial"/>
          <w:color w:val="auto"/>
          <w:sz w:val="20"/>
        </w:rPr>
      </w:pPr>
    </w:p>
    <w:p w14:paraId="30E513B2" w14:textId="77777777" w:rsidR="00FB6718" w:rsidRPr="00E70587" w:rsidRDefault="00FB6718" w:rsidP="00440558">
      <w:pPr>
        <w:pStyle w:val="Notesbulletpoint"/>
        <w:numPr>
          <w:ilvl w:val="0"/>
          <w:numId w:val="0"/>
        </w:numPr>
        <w:spacing w:after="0" w:line="280" w:lineRule="exact"/>
        <w:ind w:left="38" w:hanging="38"/>
        <w:rPr>
          <w:rFonts w:ascii="Arial" w:hAnsi="Arial"/>
          <w:b/>
          <w:color w:val="auto"/>
          <w:sz w:val="20"/>
        </w:rPr>
      </w:pPr>
      <w:r w:rsidRPr="00E70587">
        <w:rPr>
          <w:rFonts w:ascii="Arial" w:hAnsi="Arial"/>
          <w:b/>
          <w:color w:val="auto"/>
          <w:sz w:val="20"/>
        </w:rPr>
        <w:t>Reconciliation of fair value measurement of embedded der</w:t>
      </w:r>
      <w:r w:rsidR="00C93B33" w:rsidRPr="00E70587">
        <w:rPr>
          <w:rFonts w:ascii="Arial" w:hAnsi="Arial"/>
          <w:b/>
          <w:color w:val="auto"/>
          <w:sz w:val="20"/>
        </w:rPr>
        <w:t>ivative assets and liabilities:</w:t>
      </w:r>
    </w:p>
    <w:p w14:paraId="5F316D94" w14:textId="77777777" w:rsidR="003E321B" w:rsidRPr="00E70587" w:rsidRDefault="003E321B" w:rsidP="009901E1">
      <w:pPr>
        <w:pStyle w:val="Notesbulletpoint"/>
        <w:numPr>
          <w:ilvl w:val="0"/>
          <w:numId w:val="0"/>
        </w:numPr>
        <w:spacing w:after="0" w:line="280" w:lineRule="exact"/>
        <w:rPr>
          <w:rFonts w:ascii="Arial" w:hAnsi="Arial"/>
          <w:color w:val="auto"/>
          <w:sz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1716"/>
        <w:gridCol w:w="1897"/>
        <w:gridCol w:w="1716"/>
      </w:tblGrid>
      <w:tr w:rsidR="0086091A" w:rsidRPr="00E70587" w14:paraId="49FE7362" w14:textId="77777777" w:rsidTr="00834981">
        <w:tc>
          <w:tcPr>
            <w:tcW w:w="4230" w:type="dxa"/>
            <w:noWrap/>
          </w:tcPr>
          <w:p w14:paraId="06459F69" w14:textId="77777777" w:rsidR="0086091A" w:rsidRPr="00E70587" w:rsidRDefault="0086091A" w:rsidP="009901E1">
            <w:pPr>
              <w:spacing w:line="280" w:lineRule="exact"/>
              <w:rPr>
                <w:rFonts w:ascii="Arial" w:hAnsi="Arial" w:cs="Arial"/>
                <w:sz w:val="20"/>
              </w:rPr>
            </w:pPr>
          </w:p>
        </w:tc>
        <w:tc>
          <w:tcPr>
            <w:tcW w:w="1710" w:type="dxa"/>
            <w:tcBorders>
              <w:bottom w:val="single" w:sz="4" w:space="0" w:color="auto"/>
            </w:tcBorders>
            <w:vAlign w:val="bottom"/>
          </w:tcPr>
          <w:p w14:paraId="38012E0D" w14:textId="77777777" w:rsidR="0086091A" w:rsidRPr="00E70587" w:rsidRDefault="0086091A" w:rsidP="009901E1">
            <w:pPr>
              <w:spacing w:line="280" w:lineRule="exact"/>
              <w:jc w:val="right"/>
              <w:rPr>
                <w:rFonts w:ascii="Arial" w:hAnsi="Arial" w:cs="Arial"/>
                <w:b/>
                <w:bCs/>
                <w:sz w:val="20"/>
              </w:rPr>
            </w:pPr>
            <w:r w:rsidRPr="00E70587">
              <w:rPr>
                <w:rFonts w:ascii="Arial" w:hAnsi="Arial" w:cs="Arial"/>
                <w:b/>
                <w:bCs/>
                <w:sz w:val="20"/>
              </w:rPr>
              <w:t>Embedded foreign exchange derivative asset</w:t>
            </w:r>
          </w:p>
        </w:tc>
        <w:tc>
          <w:tcPr>
            <w:tcW w:w="3600" w:type="dxa"/>
            <w:gridSpan w:val="2"/>
            <w:tcBorders>
              <w:bottom w:val="single" w:sz="4" w:space="0" w:color="auto"/>
            </w:tcBorders>
            <w:vAlign w:val="bottom"/>
          </w:tcPr>
          <w:p w14:paraId="20507753" w14:textId="77777777" w:rsidR="0086091A" w:rsidRPr="00E70587" w:rsidRDefault="0086091A" w:rsidP="009901E1">
            <w:pPr>
              <w:spacing w:line="280" w:lineRule="exact"/>
              <w:ind w:right="183"/>
              <w:jc w:val="right"/>
              <w:rPr>
                <w:rFonts w:ascii="Arial" w:hAnsi="Arial" w:cs="Arial"/>
                <w:b/>
                <w:bCs/>
                <w:sz w:val="20"/>
              </w:rPr>
            </w:pPr>
            <w:r w:rsidRPr="00E70587">
              <w:rPr>
                <w:rFonts w:ascii="Arial" w:hAnsi="Arial" w:cs="Arial"/>
                <w:b/>
                <w:bCs/>
                <w:sz w:val="20"/>
              </w:rPr>
              <w:t>Embedded commodity derivative liability</w:t>
            </w:r>
          </w:p>
        </w:tc>
      </w:tr>
      <w:tr w:rsidR="0086091A" w:rsidRPr="00E70587" w14:paraId="346C3124" w14:textId="77777777" w:rsidTr="00834981">
        <w:tc>
          <w:tcPr>
            <w:tcW w:w="4230" w:type="dxa"/>
            <w:noWrap/>
            <w:hideMark/>
          </w:tcPr>
          <w:p w14:paraId="419D5456" w14:textId="77777777" w:rsidR="0086091A" w:rsidRPr="00E70587" w:rsidRDefault="0086091A" w:rsidP="009901E1">
            <w:pPr>
              <w:spacing w:line="280" w:lineRule="exact"/>
              <w:rPr>
                <w:rFonts w:ascii="Arial" w:hAnsi="Arial" w:cs="Arial"/>
                <w:sz w:val="20"/>
              </w:rPr>
            </w:pPr>
          </w:p>
        </w:tc>
        <w:tc>
          <w:tcPr>
            <w:tcW w:w="1710" w:type="dxa"/>
            <w:tcBorders>
              <w:top w:val="single" w:sz="4" w:space="0" w:color="auto"/>
              <w:bottom w:val="single" w:sz="4" w:space="0" w:color="auto"/>
            </w:tcBorders>
            <w:vAlign w:val="bottom"/>
            <w:hideMark/>
          </w:tcPr>
          <w:p w14:paraId="4BB949FF" w14:textId="77777777" w:rsidR="0086091A" w:rsidRPr="00E70587" w:rsidRDefault="0086091A" w:rsidP="009901E1">
            <w:pPr>
              <w:spacing w:line="280" w:lineRule="exact"/>
              <w:jc w:val="right"/>
              <w:rPr>
                <w:rFonts w:ascii="Arial" w:hAnsi="Arial" w:cs="Arial"/>
                <w:b/>
                <w:bCs/>
                <w:sz w:val="20"/>
              </w:rPr>
            </w:pPr>
            <w:r w:rsidRPr="00E70587">
              <w:rPr>
                <w:rFonts w:ascii="Arial" w:hAnsi="Arial" w:cs="Arial"/>
                <w:b/>
                <w:bCs/>
                <w:sz w:val="20"/>
              </w:rPr>
              <w:t>Canadian Dollar</w:t>
            </w:r>
          </w:p>
        </w:tc>
        <w:tc>
          <w:tcPr>
            <w:tcW w:w="1890" w:type="dxa"/>
            <w:tcBorders>
              <w:top w:val="single" w:sz="4" w:space="0" w:color="auto"/>
              <w:bottom w:val="single" w:sz="4" w:space="0" w:color="auto"/>
            </w:tcBorders>
            <w:vAlign w:val="bottom"/>
            <w:hideMark/>
          </w:tcPr>
          <w:p w14:paraId="1E58A4EA" w14:textId="77777777" w:rsidR="0086091A" w:rsidRPr="00E70587" w:rsidRDefault="0086091A" w:rsidP="009901E1">
            <w:pPr>
              <w:spacing w:line="280" w:lineRule="exact"/>
              <w:jc w:val="right"/>
              <w:rPr>
                <w:rFonts w:ascii="Arial" w:hAnsi="Arial" w:cs="Arial"/>
                <w:b/>
                <w:bCs/>
                <w:sz w:val="20"/>
              </w:rPr>
            </w:pPr>
            <w:r w:rsidRPr="00E70587">
              <w:rPr>
                <w:rFonts w:ascii="Arial" w:hAnsi="Arial" w:cs="Arial"/>
                <w:b/>
                <w:bCs/>
                <w:sz w:val="20"/>
              </w:rPr>
              <w:t xml:space="preserve">Brass </w:t>
            </w:r>
          </w:p>
        </w:tc>
        <w:tc>
          <w:tcPr>
            <w:tcW w:w="1710" w:type="dxa"/>
            <w:tcBorders>
              <w:top w:val="single" w:sz="4" w:space="0" w:color="auto"/>
              <w:bottom w:val="single" w:sz="4" w:space="0" w:color="auto"/>
            </w:tcBorders>
            <w:vAlign w:val="bottom"/>
            <w:hideMark/>
          </w:tcPr>
          <w:p w14:paraId="49BB605A" w14:textId="77777777" w:rsidR="0086091A" w:rsidRPr="00E70587" w:rsidRDefault="0086091A" w:rsidP="009901E1">
            <w:pPr>
              <w:spacing w:line="280" w:lineRule="exact"/>
              <w:jc w:val="right"/>
              <w:rPr>
                <w:rFonts w:ascii="Arial" w:hAnsi="Arial" w:cs="Arial"/>
                <w:b/>
                <w:bCs/>
                <w:sz w:val="20"/>
              </w:rPr>
            </w:pPr>
            <w:r w:rsidRPr="00E70587">
              <w:rPr>
                <w:rFonts w:ascii="Arial" w:hAnsi="Arial" w:cs="Arial"/>
                <w:b/>
                <w:bCs/>
                <w:sz w:val="20"/>
              </w:rPr>
              <w:t>Chrome</w:t>
            </w:r>
          </w:p>
        </w:tc>
      </w:tr>
      <w:tr w:rsidR="0086091A" w:rsidRPr="00E70587" w14:paraId="5AF23C92" w14:textId="77777777" w:rsidTr="00834981">
        <w:tc>
          <w:tcPr>
            <w:tcW w:w="4230" w:type="dxa"/>
            <w:noWrap/>
            <w:hideMark/>
          </w:tcPr>
          <w:p w14:paraId="35A600C1" w14:textId="77777777" w:rsidR="0086091A" w:rsidRPr="00E70587" w:rsidRDefault="0086091A" w:rsidP="009901E1">
            <w:pPr>
              <w:spacing w:line="280" w:lineRule="exact"/>
              <w:rPr>
                <w:rFonts w:ascii="Arial" w:hAnsi="Arial" w:cs="Arial"/>
                <w:b/>
                <w:bCs/>
                <w:sz w:val="20"/>
              </w:rPr>
            </w:pPr>
          </w:p>
        </w:tc>
        <w:tc>
          <w:tcPr>
            <w:tcW w:w="1710" w:type="dxa"/>
            <w:tcBorders>
              <w:top w:val="single" w:sz="4" w:space="0" w:color="auto"/>
            </w:tcBorders>
            <w:noWrap/>
            <w:vAlign w:val="bottom"/>
            <w:hideMark/>
          </w:tcPr>
          <w:p w14:paraId="3C77BB50" w14:textId="77777777" w:rsidR="0086091A" w:rsidRPr="00E70587" w:rsidRDefault="0086091A" w:rsidP="009901E1">
            <w:pPr>
              <w:spacing w:line="280" w:lineRule="exact"/>
              <w:jc w:val="right"/>
              <w:rPr>
                <w:rFonts w:ascii="Arial" w:hAnsi="Arial" w:cs="Arial"/>
                <w:b/>
                <w:bCs/>
                <w:sz w:val="20"/>
              </w:rPr>
            </w:pPr>
            <w:r w:rsidRPr="00E70587">
              <w:rPr>
                <w:rFonts w:ascii="Arial" w:hAnsi="Arial" w:cs="Arial"/>
                <w:b/>
                <w:sz w:val="20"/>
              </w:rPr>
              <w:t>INR Lacs</w:t>
            </w:r>
          </w:p>
        </w:tc>
        <w:tc>
          <w:tcPr>
            <w:tcW w:w="1890" w:type="dxa"/>
            <w:tcBorders>
              <w:top w:val="single" w:sz="4" w:space="0" w:color="auto"/>
            </w:tcBorders>
            <w:noWrap/>
            <w:vAlign w:val="bottom"/>
            <w:hideMark/>
          </w:tcPr>
          <w:p w14:paraId="5859C5AD" w14:textId="77777777" w:rsidR="0086091A" w:rsidRPr="00E70587" w:rsidRDefault="0086091A" w:rsidP="009901E1">
            <w:pPr>
              <w:spacing w:line="280" w:lineRule="exact"/>
              <w:jc w:val="right"/>
              <w:rPr>
                <w:rFonts w:ascii="Arial" w:hAnsi="Arial" w:cs="Arial"/>
                <w:b/>
                <w:sz w:val="20"/>
              </w:rPr>
            </w:pPr>
            <w:r w:rsidRPr="00E70587">
              <w:rPr>
                <w:rFonts w:ascii="Arial" w:hAnsi="Arial" w:cs="Arial"/>
                <w:b/>
                <w:sz w:val="20"/>
              </w:rPr>
              <w:t>INR Lacs</w:t>
            </w:r>
          </w:p>
        </w:tc>
        <w:tc>
          <w:tcPr>
            <w:tcW w:w="1710" w:type="dxa"/>
            <w:tcBorders>
              <w:top w:val="single" w:sz="4" w:space="0" w:color="auto"/>
            </w:tcBorders>
            <w:noWrap/>
            <w:vAlign w:val="bottom"/>
            <w:hideMark/>
          </w:tcPr>
          <w:p w14:paraId="070160FB" w14:textId="77777777" w:rsidR="0086091A" w:rsidRPr="00E70587" w:rsidRDefault="0086091A" w:rsidP="009901E1">
            <w:pPr>
              <w:spacing w:line="280" w:lineRule="exact"/>
              <w:jc w:val="right"/>
              <w:rPr>
                <w:rFonts w:ascii="Arial" w:hAnsi="Arial" w:cs="Arial"/>
                <w:b/>
                <w:bCs/>
                <w:sz w:val="20"/>
              </w:rPr>
            </w:pPr>
            <w:r w:rsidRPr="00E70587">
              <w:rPr>
                <w:rFonts w:ascii="Arial" w:hAnsi="Arial" w:cs="Arial"/>
                <w:b/>
                <w:bCs/>
                <w:sz w:val="20"/>
              </w:rPr>
              <w:t>INR Lacs</w:t>
            </w:r>
          </w:p>
        </w:tc>
      </w:tr>
      <w:tr w:rsidR="0086091A" w:rsidRPr="00E70587" w14:paraId="5EB0AB96" w14:textId="77777777" w:rsidTr="00834981">
        <w:tc>
          <w:tcPr>
            <w:tcW w:w="4230" w:type="dxa"/>
            <w:noWrap/>
            <w:vAlign w:val="center"/>
            <w:hideMark/>
          </w:tcPr>
          <w:p w14:paraId="1A0AA082" w14:textId="06E775E2" w:rsidR="0086091A" w:rsidRPr="00E70587" w:rsidRDefault="0086091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As at 1 April </w:t>
            </w:r>
            <w:r w:rsidR="00616E84" w:rsidRPr="00E70587">
              <w:rPr>
                <w:rFonts w:ascii="Arial" w:hAnsi="Arial"/>
                <w:color w:val="auto"/>
                <w:sz w:val="20"/>
                <w:szCs w:val="20"/>
                <w:lang w:val="en-IN"/>
              </w:rPr>
              <w:t>201</w:t>
            </w:r>
            <w:r w:rsidR="00616E84">
              <w:rPr>
                <w:rFonts w:ascii="Arial" w:hAnsi="Arial"/>
                <w:color w:val="auto"/>
                <w:sz w:val="20"/>
                <w:szCs w:val="20"/>
                <w:lang w:val="en-IN"/>
              </w:rPr>
              <w:t>9</w:t>
            </w:r>
          </w:p>
        </w:tc>
        <w:tc>
          <w:tcPr>
            <w:tcW w:w="1710" w:type="dxa"/>
            <w:noWrap/>
            <w:hideMark/>
          </w:tcPr>
          <w:p w14:paraId="24BC4B2F"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90" w:type="dxa"/>
            <w:noWrap/>
            <w:hideMark/>
          </w:tcPr>
          <w:p w14:paraId="669D0724"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0" w:type="dxa"/>
            <w:noWrap/>
            <w:hideMark/>
          </w:tcPr>
          <w:p w14:paraId="3127CB58"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86091A" w:rsidRPr="00E70587" w14:paraId="1A65F335" w14:textId="77777777" w:rsidTr="00834981">
        <w:tc>
          <w:tcPr>
            <w:tcW w:w="4230" w:type="dxa"/>
            <w:vAlign w:val="center"/>
          </w:tcPr>
          <w:p w14:paraId="3AB3714F"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Re-measurement recognised in OCI</w:t>
            </w:r>
          </w:p>
        </w:tc>
        <w:tc>
          <w:tcPr>
            <w:tcW w:w="1710" w:type="dxa"/>
            <w:noWrap/>
          </w:tcPr>
          <w:p w14:paraId="110EB90C"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90" w:type="dxa"/>
            <w:noWrap/>
          </w:tcPr>
          <w:p w14:paraId="7CDDB090"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0" w:type="dxa"/>
            <w:noWrap/>
          </w:tcPr>
          <w:p w14:paraId="5FCB6EC9"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86091A" w:rsidRPr="00E70587" w14:paraId="45D6CF53" w14:textId="77777777" w:rsidTr="00834981">
        <w:tc>
          <w:tcPr>
            <w:tcW w:w="4230" w:type="dxa"/>
            <w:vAlign w:val="center"/>
          </w:tcPr>
          <w:p w14:paraId="542FF818"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Purchases</w:t>
            </w:r>
          </w:p>
        </w:tc>
        <w:tc>
          <w:tcPr>
            <w:tcW w:w="1710" w:type="dxa"/>
            <w:noWrap/>
          </w:tcPr>
          <w:p w14:paraId="4F4D8144"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90" w:type="dxa"/>
            <w:noWrap/>
          </w:tcPr>
          <w:p w14:paraId="6B64F1A8"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0" w:type="dxa"/>
            <w:noWrap/>
          </w:tcPr>
          <w:p w14:paraId="1A979FB6"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86091A" w:rsidRPr="00E70587" w14:paraId="32D58456" w14:textId="77777777" w:rsidTr="00834981">
        <w:tc>
          <w:tcPr>
            <w:tcW w:w="4230" w:type="dxa"/>
            <w:vAlign w:val="center"/>
          </w:tcPr>
          <w:p w14:paraId="5CDC848F"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Sales</w:t>
            </w:r>
          </w:p>
        </w:tc>
        <w:tc>
          <w:tcPr>
            <w:tcW w:w="1710" w:type="dxa"/>
            <w:noWrap/>
          </w:tcPr>
          <w:p w14:paraId="12D640E3"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90" w:type="dxa"/>
            <w:noWrap/>
          </w:tcPr>
          <w:p w14:paraId="4083FD43"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0" w:type="dxa"/>
            <w:noWrap/>
          </w:tcPr>
          <w:p w14:paraId="2297C10B"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86091A" w:rsidRPr="00E70587" w14:paraId="411FD8B7" w14:textId="77777777" w:rsidTr="00834981">
        <w:tc>
          <w:tcPr>
            <w:tcW w:w="4230" w:type="dxa"/>
            <w:noWrap/>
            <w:vAlign w:val="center"/>
            <w:hideMark/>
          </w:tcPr>
          <w:p w14:paraId="444299B4" w14:textId="78A21DF7" w:rsidR="0086091A" w:rsidRPr="00E70587" w:rsidRDefault="0086091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As at 1 April </w:t>
            </w:r>
            <w:r w:rsidR="00616E84" w:rsidRPr="00E70587">
              <w:rPr>
                <w:rFonts w:ascii="Arial" w:hAnsi="Arial"/>
                <w:color w:val="auto"/>
                <w:sz w:val="20"/>
                <w:szCs w:val="20"/>
                <w:lang w:val="en-IN"/>
              </w:rPr>
              <w:t>20</w:t>
            </w:r>
            <w:r w:rsidR="00616E84">
              <w:rPr>
                <w:rFonts w:ascii="Arial" w:hAnsi="Arial"/>
                <w:color w:val="auto"/>
                <w:sz w:val="20"/>
                <w:szCs w:val="20"/>
                <w:lang w:val="en-IN"/>
              </w:rPr>
              <w:t>20</w:t>
            </w:r>
          </w:p>
        </w:tc>
        <w:tc>
          <w:tcPr>
            <w:tcW w:w="1710" w:type="dxa"/>
            <w:noWrap/>
            <w:hideMark/>
          </w:tcPr>
          <w:p w14:paraId="4A0F6CA6"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90" w:type="dxa"/>
            <w:noWrap/>
            <w:hideMark/>
          </w:tcPr>
          <w:p w14:paraId="4CC8097A"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0" w:type="dxa"/>
            <w:noWrap/>
            <w:hideMark/>
          </w:tcPr>
          <w:p w14:paraId="312059C0"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86091A" w:rsidRPr="00E70587" w14:paraId="6EDF797D" w14:textId="77777777" w:rsidTr="00834981">
        <w:tc>
          <w:tcPr>
            <w:tcW w:w="4230" w:type="dxa"/>
            <w:vAlign w:val="center"/>
            <w:hideMark/>
          </w:tcPr>
          <w:p w14:paraId="7DC9C6A2"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Re-measurement recognised in OCI</w:t>
            </w:r>
          </w:p>
        </w:tc>
        <w:tc>
          <w:tcPr>
            <w:tcW w:w="1710" w:type="dxa"/>
            <w:noWrap/>
            <w:hideMark/>
          </w:tcPr>
          <w:p w14:paraId="40D6331B"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90" w:type="dxa"/>
            <w:noWrap/>
            <w:hideMark/>
          </w:tcPr>
          <w:p w14:paraId="74736F31"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0" w:type="dxa"/>
            <w:noWrap/>
            <w:hideMark/>
          </w:tcPr>
          <w:p w14:paraId="0B7DA995"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86091A" w:rsidRPr="00E70587" w14:paraId="6DA2A88E" w14:textId="77777777" w:rsidTr="00834981">
        <w:tc>
          <w:tcPr>
            <w:tcW w:w="4230" w:type="dxa"/>
            <w:vAlign w:val="center"/>
          </w:tcPr>
          <w:p w14:paraId="0E44B1BD"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Purchases</w:t>
            </w:r>
          </w:p>
        </w:tc>
        <w:tc>
          <w:tcPr>
            <w:tcW w:w="1710" w:type="dxa"/>
            <w:noWrap/>
          </w:tcPr>
          <w:p w14:paraId="7C6366EA"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378</w:t>
            </w:r>
          </w:p>
        </w:tc>
        <w:tc>
          <w:tcPr>
            <w:tcW w:w="1890" w:type="dxa"/>
            <w:noWrap/>
          </w:tcPr>
          <w:p w14:paraId="0C701540"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1,080</w:t>
            </w:r>
          </w:p>
        </w:tc>
        <w:tc>
          <w:tcPr>
            <w:tcW w:w="1710" w:type="dxa"/>
            <w:noWrap/>
          </w:tcPr>
          <w:p w14:paraId="42EBDDA4"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328</w:t>
            </w:r>
          </w:p>
        </w:tc>
      </w:tr>
      <w:tr w:rsidR="0086091A" w:rsidRPr="00E70587" w14:paraId="34156093" w14:textId="77777777" w:rsidTr="00834981">
        <w:tc>
          <w:tcPr>
            <w:tcW w:w="4230" w:type="dxa"/>
            <w:vAlign w:val="center"/>
          </w:tcPr>
          <w:p w14:paraId="14293079"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 xml:space="preserve">Reclassified in discontinued operations </w:t>
            </w:r>
          </w:p>
        </w:tc>
        <w:tc>
          <w:tcPr>
            <w:tcW w:w="1710" w:type="dxa"/>
            <w:noWrap/>
          </w:tcPr>
          <w:p w14:paraId="0B354031"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90" w:type="dxa"/>
            <w:noWrap/>
          </w:tcPr>
          <w:p w14:paraId="14EC4E0D"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0" w:type="dxa"/>
            <w:noWrap/>
          </w:tcPr>
          <w:p w14:paraId="487B0FAE"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86091A" w:rsidRPr="00E70587" w14:paraId="58542154" w14:textId="77777777" w:rsidTr="00834981">
        <w:tc>
          <w:tcPr>
            <w:tcW w:w="4230" w:type="dxa"/>
            <w:vAlign w:val="center"/>
          </w:tcPr>
          <w:p w14:paraId="3326C37E"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Sales</w:t>
            </w:r>
          </w:p>
        </w:tc>
        <w:tc>
          <w:tcPr>
            <w:tcW w:w="1710" w:type="dxa"/>
            <w:tcBorders>
              <w:bottom w:val="single" w:sz="4" w:space="0" w:color="auto"/>
            </w:tcBorders>
            <w:noWrap/>
          </w:tcPr>
          <w:p w14:paraId="71267550"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890" w:type="dxa"/>
            <w:tcBorders>
              <w:bottom w:val="single" w:sz="4" w:space="0" w:color="auto"/>
            </w:tcBorders>
            <w:noWrap/>
          </w:tcPr>
          <w:p w14:paraId="6B6F7545"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c>
          <w:tcPr>
            <w:tcW w:w="1710" w:type="dxa"/>
            <w:tcBorders>
              <w:bottom w:val="single" w:sz="4" w:space="0" w:color="auto"/>
            </w:tcBorders>
            <w:noWrap/>
          </w:tcPr>
          <w:p w14:paraId="2DF2D7F8"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86091A" w:rsidRPr="00E70587" w14:paraId="2C2E7946" w14:textId="77777777" w:rsidTr="00834981">
        <w:tc>
          <w:tcPr>
            <w:tcW w:w="4230" w:type="dxa"/>
            <w:vAlign w:val="center"/>
          </w:tcPr>
          <w:p w14:paraId="2E8F845C" w14:textId="7E6475C7" w:rsidR="0086091A" w:rsidRPr="00E70587" w:rsidRDefault="0086091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As at 31 </w:t>
            </w:r>
            <w:r w:rsidR="00E1202D" w:rsidRPr="00E70587">
              <w:rPr>
                <w:rFonts w:ascii="Arial" w:hAnsi="Arial"/>
                <w:color w:val="auto"/>
                <w:sz w:val="20"/>
                <w:szCs w:val="20"/>
                <w:lang w:val="en-IN"/>
              </w:rPr>
              <w:t xml:space="preserve">March </w:t>
            </w:r>
            <w:r w:rsidR="00616E84" w:rsidRPr="00E70587">
              <w:rPr>
                <w:rFonts w:ascii="Arial" w:hAnsi="Arial"/>
                <w:color w:val="auto"/>
                <w:sz w:val="20"/>
                <w:szCs w:val="20"/>
                <w:lang w:val="en-IN"/>
              </w:rPr>
              <w:t>20</w:t>
            </w:r>
            <w:r w:rsidR="00616E84">
              <w:rPr>
                <w:rFonts w:ascii="Arial" w:hAnsi="Arial"/>
                <w:color w:val="auto"/>
                <w:sz w:val="20"/>
                <w:szCs w:val="20"/>
                <w:lang w:val="en-IN"/>
              </w:rPr>
              <w:t>21</w:t>
            </w:r>
          </w:p>
        </w:tc>
        <w:tc>
          <w:tcPr>
            <w:tcW w:w="1710" w:type="dxa"/>
            <w:tcBorders>
              <w:top w:val="single" w:sz="4" w:space="0" w:color="auto"/>
              <w:bottom w:val="single" w:sz="4" w:space="0" w:color="auto"/>
            </w:tcBorders>
            <w:noWrap/>
          </w:tcPr>
          <w:p w14:paraId="52D58607"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378</w:t>
            </w:r>
          </w:p>
        </w:tc>
        <w:tc>
          <w:tcPr>
            <w:tcW w:w="1890" w:type="dxa"/>
            <w:tcBorders>
              <w:top w:val="single" w:sz="4" w:space="0" w:color="auto"/>
              <w:bottom w:val="single" w:sz="4" w:space="0" w:color="auto"/>
            </w:tcBorders>
            <w:noWrap/>
          </w:tcPr>
          <w:p w14:paraId="648394C1"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1,080</w:t>
            </w:r>
          </w:p>
        </w:tc>
        <w:tc>
          <w:tcPr>
            <w:tcW w:w="1710" w:type="dxa"/>
            <w:tcBorders>
              <w:top w:val="single" w:sz="4" w:space="0" w:color="auto"/>
              <w:bottom w:val="single" w:sz="4" w:space="0" w:color="auto"/>
            </w:tcBorders>
            <w:noWrap/>
          </w:tcPr>
          <w:p w14:paraId="26EEA4A1"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328</w:t>
            </w:r>
          </w:p>
        </w:tc>
      </w:tr>
    </w:tbl>
    <w:p w14:paraId="0DEF4288" w14:textId="77777777" w:rsidR="003E321B" w:rsidRDefault="003E321B" w:rsidP="009901E1">
      <w:pPr>
        <w:overflowPunct/>
        <w:autoSpaceDE/>
        <w:autoSpaceDN/>
        <w:adjustRightInd/>
        <w:spacing w:line="280" w:lineRule="exact"/>
        <w:textAlignment w:val="auto"/>
        <w:rPr>
          <w:rFonts w:ascii="Arial" w:hAnsi="Arial" w:cs="Arial"/>
          <w:sz w:val="20"/>
        </w:rPr>
      </w:pPr>
    </w:p>
    <w:p w14:paraId="3EB90E67" w14:textId="4715FC74" w:rsidR="002238A0" w:rsidRP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b/>
          <w:bCs/>
          <w:sz w:val="20"/>
        </w:rPr>
      </w:pPr>
      <w:r w:rsidRPr="002238A0">
        <w:rPr>
          <w:rFonts w:ascii="Arial" w:hAnsi="Arial" w:cs="Arial"/>
          <w:b/>
          <w:bCs/>
          <w:sz w:val="20"/>
        </w:rPr>
        <w:t>Author’s Note</w:t>
      </w:r>
    </w:p>
    <w:p w14:paraId="2EDBF36A" w14:textId="77777777" w:rsidR="002238A0" w:rsidRP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p>
    <w:p w14:paraId="5C6A5BCF" w14:textId="77777777" w:rsidR="002238A0" w:rsidRP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lastRenderedPageBreak/>
        <w:t>An entity should provide additional information that will help users of its financial statements to evaluate the quantitative information disclosed. An entity might disclose some or all the following to comply with Ind AS 113.92:</w:t>
      </w:r>
    </w:p>
    <w:p w14:paraId="7750FE98" w14:textId="77777777" w:rsidR="002238A0" w:rsidRP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w:t>
      </w:r>
      <w:r w:rsidRPr="002238A0">
        <w:rPr>
          <w:rFonts w:ascii="Arial" w:hAnsi="Arial" w:cs="Arial"/>
          <w:sz w:val="20"/>
        </w:rPr>
        <w:tab/>
        <w:t>The nature of the item being measured at fair value, including the characteristics of the item being measured that are taken into account in the determination of relevant inputs. For example, if the Group had residential mortgage-backed securities, it might disclose the following:</w:t>
      </w:r>
    </w:p>
    <w:p w14:paraId="79440AB8" w14:textId="77777777" w:rsidR="002238A0" w:rsidRP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w:t>
      </w:r>
      <w:r w:rsidRPr="002238A0">
        <w:rPr>
          <w:rFonts w:ascii="Arial" w:hAnsi="Arial" w:cs="Arial"/>
          <w:sz w:val="20"/>
        </w:rPr>
        <w:tab/>
        <w:t>The types of underlying loans (e.g., prime loans or sub-prime loans)</w:t>
      </w:r>
    </w:p>
    <w:p w14:paraId="425C3EA3" w14:textId="7C265C2D" w:rsidR="002238A0" w:rsidRP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Pr>
          <w:rFonts w:ascii="Arial" w:hAnsi="Arial" w:cs="Arial"/>
          <w:sz w:val="20"/>
        </w:rPr>
        <w:tab/>
        <w:t xml:space="preserve">- </w:t>
      </w:r>
      <w:r w:rsidRPr="002238A0">
        <w:rPr>
          <w:rFonts w:ascii="Arial" w:hAnsi="Arial" w:cs="Arial"/>
          <w:sz w:val="20"/>
        </w:rPr>
        <w:t>Collateral</w:t>
      </w:r>
    </w:p>
    <w:p w14:paraId="67DBCE8D" w14:textId="287A090D" w:rsidR="002238A0" w:rsidRP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ab/>
      </w:r>
      <w:r>
        <w:rPr>
          <w:rFonts w:ascii="Arial" w:hAnsi="Arial" w:cs="Arial"/>
          <w:sz w:val="20"/>
        </w:rPr>
        <w:t xml:space="preserve">- </w:t>
      </w:r>
      <w:r w:rsidRPr="002238A0">
        <w:rPr>
          <w:rFonts w:ascii="Arial" w:hAnsi="Arial" w:cs="Arial"/>
          <w:sz w:val="20"/>
        </w:rPr>
        <w:t>Guarantees or other credit enhancements</w:t>
      </w:r>
    </w:p>
    <w:p w14:paraId="768FE12B" w14:textId="3424ADD4" w:rsidR="002238A0" w:rsidRP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ab/>
      </w:r>
      <w:r>
        <w:rPr>
          <w:rFonts w:ascii="Arial" w:hAnsi="Arial" w:cs="Arial"/>
          <w:sz w:val="20"/>
        </w:rPr>
        <w:t xml:space="preserve">- </w:t>
      </w:r>
      <w:r w:rsidRPr="002238A0">
        <w:rPr>
          <w:rFonts w:ascii="Arial" w:hAnsi="Arial" w:cs="Arial"/>
          <w:sz w:val="20"/>
        </w:rPr>
        <w:t>Seniority level of the tranches of securities</w:t>
      </w:r>
    </w:p>
    <w:p w14:paraId="08BE28AF" w14:textId="30986707" w:rsidR="002238A0" w:rsidRP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ab/>
      </w:r>
      <w:r>
        <w:rPr>
          <w:rFonts w:ascii="Arial" w:hAnsi="Arial" w:cs="Arial"/>
          <w:sz w:val="20"/>
        </w:rPr>
        <w:t xml:space="preserve">- </w:t>
      </w:r>
      <w:r w:rsidRPr="002238A0">
        <w:rPr>
          <w:rFonts w:ascii="Arial" w:hAnsi="Arial" w:cs="Arial"/>
          <w:sz w:val="20"/>
        </w:rPr>
        <w:t>The year of issue</w:t>
      </w:r>
    </w:p>
    <w:p w14:paraId="022B7102" w14:textId="7FF51CD4" w:rsidR="002238A0" w:rsidRP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ab/>
      </w:r>
      <w:r>
        <w:rPr>
          <w:rFonts w:ascii="Arial" w:hAnsi="Arial" w:cs="Arial"/>
          <w:sz w:val="20"/>
        </w:rPr>
        <w:t xml:space="preserve">- </w:t>
      </w:r>
      <w:r w:rsidRPr="002238A0">
        <w:rPr>
          <w:rFonts w:ascii="Arial" w:hAnsi="Arial" w:cs="Arial"/>
          <w:sz w:val="20"/>
        </w:rPr>
        <w:t>The weighted-average coupon rate of the underlying loans and the securities</w:t>
      </w:r>
    </w:p>
    <w:p w14:paraId="579B0C61" w14:textId="6EC19997" w:rsidR="002238A0" w:rsidRP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ab/>
      </w:r>
      <w:r>
        <w:rPr>
          <w:rFonts w:ascii="Arial" w:hAnsi="Arial" w:cs="Arial"/>
          <w:sz w:val="20"/>
        </w:rPr>
        <w:t xml:space="preserve">- </w:t>
      </w:r>
      <w:r w:rsidRPr="002238A0">
        <w:rPr>
          <w:rFonts w:ascii="Arial" w:hAnsi="Arial" w:cs="Arial"/>
          <w:sz w:val="20"/>
        </w:rPr>
        <w:t>The weighted-average maturity of the underlying loans and the securities</w:t>
      </w:r>
    </w:p>
    <w:p w14:paraId="7236B6FC" w14:textId="4B137840" w:rsidR="002238A0" w:rsidRP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ab/>
      </w:r>
      <w:r>
        <w:rPr>
          <w:rFonts w:ascii="Arial" w:hAnsi="Arial" w:cs="Arial"/>
          <w:sz w:val="20"/>
        </w:rPr>
        <w:t xml:space="preserve">- </w:t>
      </w:r>
      <w:r w:rsidRPr="002238A0">
        <w:rPr>
          <w:rFonts w:ascii="Arial" w:hAnsi="Arial" w:cs="Arial"/>
          <w:sz w:val="20"/>
        </w:rPr>
        <w:t>The geographical concentration of the underlying loans</w:t>
      </w:r>
    </w:p>
    <w:p w14:paraId="3816D8E9" w14:textId="1F157D98" w:rsidR="002238A0" w:rsidRP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ab/>
      </w:r>
      <w:r>
        <w:rPr>
          <w:rFonts w:ascii="Arial" w:hAnsi="Arial" w:cs="Arial"/>
          <w:sz w:val="20"/>
        </w:rPr>
        <w:t xml:space="preserve">- </w:t>
      </w:r>
      <w:r w:rsidRPr="002238A0">
        <w:rPr>
          <w:rFonts w:ascii="Arial" w:hAnsi="Arial" w:cs="Arial"/>
          <w:sz w:val="20"/>
        </w:rPr>
        <w:t>Information about the credit ratings of the securities</w:t>
      </w:r>
    </w:p>
    <w:p w14:paraId="5F8C23C1" w14:textId="0328B5CE" w:rsidR="002238A0" w:rsidRDefault="00EC3F3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w:t>
      </w:r>
      <w:r>
        <w:rPr>
          <w:rFonts w:ascii="Arial" w:hAnsi="Arial" w:cs="Arial"/>
          <w:sz w:val="20"/>
        </w:rPr>
        <w:tab/>
      </w:r>
      <w:r w:rsidR="002238A0" w:rsidRPr="002238A0">
        <w:rPr>
          <w:rFonts w:ascii="Arial" w:hAnsi="Arial" w:cs="Arial"/>
          <w:sz w:val="20"/>
        </w:rPr>
        <w:t>How third-party information such as broker quotes, pricing services, net asset values and relevant market data was taken into account when measuring fair value</w:t>
      </w:r>
    </w:p>
    <w:p w14:paraId="4BD35542" w14:textId="77777777" w:rsidR="00EC3F30" w:rsidRPr="002238A0" w:rsidRDefault="00EC3F3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p>
    <w:p w14:paraId="1E449D66" w14:textId="057AB261" w:rsid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The Group does not have any liabilities measured at fair value and issued with an inseparable third-party credit enhancement. But if it had such liabilities, Ind AS 113.98 requires disclosure of the existence of credit-enhancement and whether it is reflected in the fair value measurement of the liability.</w:t>
      </w:r>
    </w:p>
    <w:p w14:paraId="4F19DED9" w14:textId="77777777" w:rsidR="00EC3F30" w:rsidRPr="002238A0" w:rsidRDefault="00EC3F3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p>
    <w:p w14:paraId="49571650" w14:textId="77777777" w:rsidR="002238A0" w:rsidRP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Ind AS 113.99 requires an entity to present the quantitative disclosures of Ind AS 113 in a tabular format, unless another format is more appropriate. The Group included the quantitative disclosures in tabular format, above.</w:t>
      </w:r>
    </w:p>
    <w:p w14:paraId="2CFFE71C" w14:textId="77777777" w:rsidR="002238A0" w:rsidRP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Ind AS 113.93(h)(ii) requires a quantitative sensitivity analysis for financial assets and financial liabilities that are measured at fair value on a recurring basis. For all other recurring fair value measurements that are categorised within Level 3 of the fair value hierarchy, an entity is required to provide:</w:t>
      </w:r>
    </w:p>
    <w:p w14:paraId="7051F429" w14:textId="77777777" w:rsidR="002238A0" w:rsidRP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w:t>
      </w:r>
      <w:r w:rsidRPr="002238A0">
        <w:rPr>
          <w:rFonts w:ascii="Arial" w:hAnsi="Arial" w:cs="Arial"/>
          <w:sz w:val="20"/>
        </w:rPr>
        <w:tab/>
        <w:t>A narrative description of the sensitivity of the fair value measurement to changes in unobservable inputs if a change in those inputs to a different amount might result in a significantly higher or lower fair value measurement</w:t>
      </w:r>
    </w:p>
    <w:p w14:paraId="1310C4AE" w14:textId="2E86F9BC" w:rsid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w:t>
      </w:r>
      <w:r w:rsidRPr="002238A0">
        <w:rPr>
          <w:rFonts w:ascii="Arial" w:hAnsi="Arial" w:cs="Arial"/>
          <w:sz w:val="20"/>
        </w:rPr>
        <w:tab/>
        <w:t>If there are inter-relationships between the inputs and other unobservable inputs used in the fair value measurement, a description of the inter-relationships and of how they might magnify or mitigate the effect of changes in the unobservable inputs on the fair value measurement</w:t>
      </w:r>
    </w:p>
    <w:p w14:paraId="0B275F0B" w14:textId="77777777" w:rsidR="00EC3F30" w:rsidRPr="002238A0" w:rsidRDefault="00EC3F3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p>
    <w:p w14:paraId="0555FD63" w14:textId="380C72B5" w:rsidR="002238A0"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For this purpose, significance must be judged with respect to profit or loss, and total assets or total liabilities, or, when changes in fair value are recognised in OCI, total equity. The Group included the quantitative sensitivity analyses in tabular format, above.</w:t>
      </w:r>
    </w:p>
    <w:p w14:paraId="50994E03" w14:textId="77777777" w:rsidR="00EC3F30" w:rsidRPr="002238A0" w:rsidRDefault="00EC3F3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p>
    <w:p w14:paraId="078F1682" w14:textId="4EE67EF4" w:rsidR="00657499" w:rsidRDefault="002238A0" w:rsidP="002238A0">
      <w:pPr>
        <w:shd w:val="clear" w:color="auto" w:fill="C1C1C1" w:themeFill="background1" w:themeFillTint="66"/>
        <w:overflowPunct/>
        <w:autoSpaceDE/>
        <w:autoSpaceDN/>
        <w:adjustRightInd/>
        <w:spacing w:line="280" w:lineRule="exact"/>
        <w:textAlignment w:val="auto"/>
        <w:rPr>
          <w:rFonts w:ascii="Arial" w:hAnsi="Arial" w:cs="Arial"/>
          <w:sz w:val="20"/>
        </w:rPr>
      </w:pPr>
      <w:r w:rsidRPr="002238A0">
        <w:rPr>
          <w:rFonts w:ascii="Arial" w:hAnsi="Arial" w:cs="Arial"/>
          <w:sz w:val="20"/>
        </w:rPr>
        <w:t>The Ind AS 113 measurement and disclosure requirements do not apply to leasing transactions accounted for under Ind AS 116.</w:t>
      </w:r>
    </w:p>
    <w:p w14:paraId="797390C4" w14:textId="6185AB82" w:rsidR="002238A0" w:rsidRDefault="002238A0" w:rsidP="009901E1">
      <w:pPr>
        <w:overflowPunct/>
        <w:autoSpaceDE/>
        <w:autoSpaceDN/>
        <w:adjustRightInd/>
        <w:spacing w:line="280" w:lineRule="exact"/>
        <w:textAlignment w:val="auto"/>
        <w:rPr>
          <w:rFonts w:ascii="Arial" w:hAnsi="Arial" w:cs="Arial"/>
          <w:sz w:val="20"/>
        </w:rPr>
      </w:pPr>
    </w:p>
    <w:p w14:paraId="60118140" w14:textId="1A986B17" w:rsidR="002238A0" w:rsidRDefault="002238A0" w:rsidP="009901E1">
      <w:pPr>
        <w:overflowPunct/>
        <w:autoSpaceDE/>
        <w:autoSpaceDN/>
        <w:adjustRightInd/>
        <w:spacing w:line="280" w:lineRule="exact"/>
        <w:textAlignment w:val="auto"/>
        <w:rPr>
          <w:rFonts w:ascii="Arial" w:hAnsi="Arial" w:cs="Arial"/>
          <w:sz w:val="20"/>
        </w:rPr>
      </w:pPr>
    </w:p>
    <w:p w14:paraId="645107FA" w14:textId="77777777" w:rsidR="002238A0" w:rsidRDefault="002238A0" w:rsidP="009901E1">
      <w:pPr>
        <w:overflowPunct/>
        <w:autoSpaceDE/>
        <w:autoSpaceDN/>
        <w:adjustRightInd/>
        <w:spacing w:line="280" w:lineRule="exact"/>
        <w:textAlignment w:val="auto"/>
        <w:rPr>
          <w:rFonts w:ascii="Arial" w:hAnsi="Arial" w:cs="Arial"/>
          <w:sz w:val="20"/>
        </w:rPr>
      </w:pPr>
    </w:p>
    <w:p w14:paraId="2ED8158D" w14:textId="77777777" w:rsidR="00440558" w:rsidRPr="00E70587" w:rsidRDefault="00440558"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Fair value hierarchy</w:t>
      </w:r>
    </w:p>
    <w:p w14:paraId="32BF9A44" w14:textId="77777777" w:rsidR="00440558" w:rsidRPr="00E70587" w:rsidRDefault="00440558" w:rsidP="009901E1">
      <w:pPr>
        <w:pStyle w:val="Notesbulletpoint"/>
        <w:numPr>
          <w:ilvl w:val="0"/>
          <w:numId w:val="0"/>
        </w:numPr>
        <w:spacing w:after="0" w:line="280" w:lineRule="exact"/>
        <w:jc w:val="both"/>
        <w:rPr>
          <w:rFonts w:ascii="Arial" w:hAnsi="Arial"/>
          <w:color w:val="auto"/>
          <w:sz w:val="20"/>
        </w:rPr>
      </w:pPr>
    </w:p>
    <w:p w14:paraId="7B8DE696" w14:textId="77777777" w:rsidR="00440558" w:rsidRPr="00E70587" w:rsidRDefault="00440558" w:rsidP="009901E1">
      <w:pPr>
        <w:pStyle w:val="Notesbulletpoint"/>
        <w:numPr>
          <w:ilvl w:val="0"/>
          <w:numId w:val="0"/>
        </w:numPr>
        <w:spacing w:after="0" w:line="280" w:lineRule="exact"/>
        <w:jc w:val="both"/>
        <w:rPr>
          <w:rFonts w:ascii="Arial" w:hAnsi="Arial"/>
          <w:color w:val="auto"/>
          <w:sz w:val="20"/>
        </w:rPr>
      </w:pPr>
      <w:r w:rsidRPr="00E70587">
        <w:rPr>
          <w:rFonts w:ascii="Arial" w:hAnsi="Arial"/>
          <w:color w:val="auto"/>
          <w:sz w:val="20"/>
        </w:rPr>
        <w:t>The following table provides the fair value measurement hierarchy of the Group’s assets and liabilities.</w:t>
      </w:r>
    </w:p>
    <w:p w14:paraId="0DD3F810" w14:textId="77777777" w:rsidR="00440558" w:rsidRPr="00E70587" w:rsidRDefault="00440558" w:rsidP="009901E1">
      <w:pPr>
        <w:pStyle w:val="Notesbulletpoint"/>
        <w:numPr>
          <w:ilvl w:val="0"/>
          <w:numId w:val="0"/>
        </w:numPr>
        <w:spacing w:after="0" w:line="280" w:lineRule="exact"/>
        <w:rPr>
          <w:rFonts w:ascii="Arial" w:hAnsi="Arial"/>
          <w:b/>
          <w:color w:val="auto"/>
          <w:sz w:val="20"/>
        </w:rPr>
      </w:pPr>
    </w:p>
    <w:p w14:paraId="17E04320" w14:textId="6F07469B" w:rsidR="00440558" w:rsidRPr="00E70587" w:rsidRDefault="00440558" w:rsidP="009901E1">
      <w:pPr>
        <w:pStyle w:val="Notesbulletpoint"/>
        <w:numPr>
          <w:ilvl w:val="0"/>
          <w:numId w:val="0"/>
        </w:numPr>
        <w:spacing w:after="0" w:line="280" w:lineRule="exact"/>
        <w:jc w:val="both"/>
        <w:rPr>
          <w:rFonts w:ascii="Arial" w:hAnsi="Arial"/>
          <w:b/>
          <w:color w:val="auto"/>
          <w:sz w:val="20"/>
        </w:rPr>
      </w:pPr>
      <w:r w:rsidRPr="00E70587">
        <w:rPr>
          <w:rFonts w:ascii="Arial" w:hAnsi="Arial"/>
          <w:b/>
          <w:color w:val="auto"/>
          <w:sz w:val="20"/>
        </w:rPr>
        <w:t xml:space="preserve">Quantitative disclosures fair value measurement hierarchy for assets as at 31 </w:t>
      </w:r>
      <w:r w:rsidR="00E1202D" w:rsidRPr="00E70587">
        <w:rPr>
          <w:rFonts w:ascii="Arial" w:hAnsi="Arial"/>
          <w:b/>
          <w:color w:val="auto"/>
          <w:sz w:val="20"/>
        </w:rPr>
        <w:t xml:space="preserve">March </w:t>
      </w:r>
      <w:r w:rsidR="005F2971" w:rsidRPr="00E70587">
        <w:rPr>
          <w:rFonts w:ascii="Arial" w:hAnsi="Arial"/>
          <w:b/>
          <w:color w:val="auto"/>
          <w:sz w:val="20"/>
        </w:rPr>
        <w:t>20</w:t>
      </w:r>
      <w:r w:rsidR="005F2971">
        <w:rPr>
          <w:rFonts w:ascii="Arial" w:hAnsi="Arial"/>
          <w:b/>
          <w:color w:val="auto"/>
          <w:sz w:val="20"/>
        </w:rPr>
        <w:t>21</w:t>
      </w:r>
      <w:r w:rsidRPr="00E70587">
        <w:rPr>
          <w:rFonts w:ascii="Arial" w:hAnsi="Arial"/>
          <w:b/>
          <w:color w:val="auto"/>
          <w:sz w:val="20"/>
        </w:rPr>
        <w:t>:</w:t>
      </w:r>
    </w:p>
    <w:p w14:paraId="117BD6C7" w14:textId="77777777" w:rsidR="00440558" w:rsidRPr="00E70587" w:rsidRDefault="00440558" w:rsidP="009901E1">
      <w:pPr>
        <w:overflowPunct/>
        <w:autoSpaceDE/>
        <w:autoSpaceDN/>
        <w:adjustRightInd/>
        <w:spacing w:line="280" w:lineRule="exact"/>
        <w:textAlignment w:val="auto"/>
        <w:rPr>
          <w:rFonts w:ascii="Arial" w:hAnsi="Arial" w:cs="Arial"/>
          <w:sz w:val="20"/>
        </w:rPr>
      </w:pPr>
    </w:p>
    <w:tbl>
      <w:tblPr>
        <w:tblW w:w="9630" w:type="dxa"/>
        <w:tblLayout w:type="fixed"/>
        <w:tblLook w:val="01E0" w:firstRow="1" w:lastRow="1" w:firstColumn="1" w:lastColumn="1" w:noHBand="0" w:noVBand="0"/>
      </w:tblPr>
      <w:tblGrid>
        <w:gridCol w:w="3150"/>
        <w:gridCol w:w="1710"/>
        <w:gridCol w:w="1086"/>
        <w:gridCol w:w="1074"/>
        <w:gridCol w:w="90"/>
        <w:gridCol w:w="1170"/>
        <w:gridCol w:w="1350"/>
      </w:tblGrid>
      <w:tr w:rsidR="00E03D5A" w:rsidRPr="00E70587" w14:paraId="357A223F" w14:textId="77777777" w:rsidTr="00987D4E">
        <w:trPr>
          <w:tblHeader/>
        </w:trPr>
        <w:tc>
          <w:tcPr>
            <w:tcW w:w="3150" w:type="dxa"/>
            <w:vMerge w:val="restart"/>
            <w:vAlign w:val="center"/>
          </w:tcPr>
          <w:p w14:paraId="56EB53F4" w14:textId="77777777" w:rsidR="00E03D5A" w:rsidRPr="00E70587" w:rsidRDefault="00E03D5A" w:rsidP="001C1C23">
            <w:pPr>
              <w:pStyle w:val="Tablecolumnheading"/>
              <w:spacing w:line="280" w:lineRule="exact"/>
              <w:jc w:val="center"/>
              <w:rPr>
                <w:rFonts w:ascii="Arial" w:hAnsi="Arial"/>
                <w:color w:val="auto"/>
                <w:sz w:val="20"/>
                <w:szCs w:val="20"/>
                <w:lang w:val="en-IN"/>
              </w:rPr>
            </w:pPr>
          </w:p>
        </w:tc>
        <w:tc>
          <w:tcPr>
            <w:tcW w:w="1710" w:type="dxa"/>
            <w:vMerge w:val="restart"/>
            <w:vAlign w:val="center"/>
          </w:tcPr>
          <w:p w14:paraId="1D00924E" w14:textId="77777777" w:rsidR="00E03D5A" w:rsidRPr="00E70587" w:rsidRDefault="00E03D5A" w:rsidP="001C1C23">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Date of valuation</w:t>
            </w:r>
          </w:p>
        </w:tc>
        <w:tc>
          <w:tcPr>
            <w:tcW w:w="4770" w:type="dxa"/>
            <w:gridSpan w:val="5"/>
            <w:vAlign w:val="center"/>
          </w:tcPr>
          <w:p w14:paraId="39F98BEF" w14:textId="77777777" w:rsidR="00E03D5A" w:rsidRPr="00E70587" w:rsidRDefault="00E03D5A" w:rsidP="001C1C23">
            <w:pPr>
              <w:pStyle w:val="Tablecolumnheading"/>
              <w:spacing w:line="280" w:lineRule="exact"/>
              <w:ind w:right="-41"/>
              <w:jc w:val="center"/>
              <w:rPr>
                <w:rFonts w:ascii="Arial" w:hAnsi="Arial"/>
                <w:color w:val="auto"/>
                <w:sz w:val="20"/>
                <w:szCs w:val="20"/>
                <w:lang w:val="en-IN"/>
              </w:rPr>
            </w:pPr>
            <w:r w:rsidRPr="00E70587">
              <w:rPr>
                <w:rFonts w:ascii="Arial" w:hAnsi="Arial"/>
                <w:color w:val="auto"/>
                <w:sz w:val="20"/>
                <w:szCs w:val="20"/>
                <w:lang w:val="en-IN"/>
              </w:rPr>
              <w:t>Fair value measurement using</w:t>
            </w:r>
          </w:p>
        </w:tc>
      </w:tr>
      <w:tr w:rsidR="00E03D5A" w:rsidRPr="00E70587" w14:paraId="594F899E" w14:textId="77777777" w:rsidTr="00987D4E">
        <w:trPr>
          <w:tblHeader/>
        </w:trPr>
        <w:tc>
          <w:tcPr>
            <w:tcW w:w="3150" w:type="dxa"/>
            <w:vMerge/>
          </w:tcPr>
          <w:p w14:paraId="29809D3C" w14:textId="77777777" w:rsidR="00E03D5A" w:rsidRPr="00E70587" w:rsidRDefault="00E03D5A" w:rsidP="001C1C23">
            <w:pPr>
              <w:pStyle w:val="Tablecolumnheading"/>
              <w:spacing w:line="280" w:lineRule="exact"/>
              <w:jc w:val="center"/>
              <w:rPr>
                <w:rFonts w:ascii="Arial" w:hAnsi="Arial"/>
                <w:color w:val="auto"/>
                <w:sz w:val="20"/>
                <w:szCs w:val="20"/>
                <w:lang w:val="en-IN"/>
              </w:rPr>
            </w:pPr>
          </w:p>
        </w:tc>
        <w:tc>
          <w:tcPr>
            <w:tcW w:w="1710" w:type="dxa"/>
            <w:vMerge/>
            <w:vAlign w:val="bottom"/>
          </w:tcPr>
          <w:p w14:paraId="461CD22D" w14:textId="77777777" w:rsidR="00E03D5A" w:rsidRPr="00E70587" w:rsidRDefault="00E03D5A" w:rsidP="001C1C23">
            <w:pPr>
              <w:pStyle w:val="Tablecolumnheading"/>
              <w:spacing w:line="280" w:lineRule="exact"/>
              <w:rPr>
                <w:rFonts w:ascii="Arial" w:hAnsi="Arial"/>
                <w:color w:val="auto"/>
                <w:sz w:val="20"/>
                <w:szCs w:val="20"/>
                <w:lang w:val="en-IN"/>
              </w:rPr>
            </w:pPr>
          </w:p>
        </w:tc>
        <w:tc>
          <w:tcPr>
            <w:tcW w:w="1086" w:type="dxa"/>
            <w:vAlign w:val="bottom"/>
          </w:tcPr>
          <w:p w14:paraId="5AB7D7D8" w14:textId="77777777" w:rsidR="00E03D5A" w:rsidRPr="00E70587" w:rsidRDefault="00E03D5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Total</w:t>
            </w:r>
          </w:p>
        </w:tc>
        <w:tc>
          <w:tcPr>
            <w:tcW w:w="1074" w:type="dxa"/>
            <w:vAlign w:val="bottom"/>
          </w:tcPr>
          <w:p w14:paraId="59E06EF4" w14:textId="77777777" w:rsidR="00E03D5A" w:rsidRPr="00E70587" w:rsidRDefault="00E03D5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Quoted prices in active markets (Level 1)</w:t>
            </w:r>
          </w:p>
        </w:tc>
        <w:tc>
          <w:tcPr>
            <w:tcW w:w="1260" w:type="dxa"/>
            <w:gridSpan w:val="2"/>
            <w:vAlign w:val="bottom"/>
          </w:tcPr>
          <w:p w14:paraId="120D7FA7" w14:textId="77777777" w:rsidR="00E03D5A" w:rsidRPr="00E70587" w:rsidRDefault="00E03D5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Significant observable inputs</w:t>
            </w:r>
          </w:p>
          <w:p w14:paraId="2AE6EA8F" w14:textId="77777777" w:rsidR="00E03D5A" w:rsidRPr="00E70587" w:rsidRDefault="00E03D5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(Level 2)</w:t>
            </w:r>
          </w:p>
        </w:tc>
        <w:tc>
          <w:tcPr>
            <w:tcW w:w="1350" w:type="dxa"/>
            <w:shd w:val="clear" w:color="auto" w:fill="auto"/>
            <w:vAlign w:val="bottom"/>
          </w:tcPr>
          <w:p w14:paraId="77C12EF6" w14:textId="77777777" w:rsidR="00E03D5A" w:rsidRPr="00E70587" w:rsidRDefault="00E03D5A" w:rsidP="001C1C23">
            <w:pPr>
              <w:pStyle w:val="Tablecolumnheading"/>
              <w:spacing w:line="280" w:lineRule="exact"/>
              <w:ind w:right="-41"/>
              <w:rPr>
                <w:rFonts w:ascii="Arial" w:hAnsi="Arial"/>
                <w:color w:val="auto"/>
                <w:sz w:val="20"/>
                <w:szCs w:val="20"/>
                <w:lang w:val="en-IN"/>
              </w:rPr>
            </w:pPr>
            <w:r w:rsidRPr="00E70587">
              <w:rPr>
                <w:rFonts w:ascii="Arial" w:hAnsi="Arial"/>
                <w:color w:val="auto"/>
                <w:sz w:val="20"/>
                <w:szCs w:val="20"/>
                <w:lang w:val="en-IN"/>
              </w:rPr>
              <w:t>Significant unobservable inputs</w:t>
            </w:r>
          </w:p>
          <w:p w14:paraId="49338A5A" w14:textId="77777777" w:rsidR="00E03D5A" w:rsidRPr="00E70587" w:rsidRDefault="00E03D5A" w:rsidP="001C1C23">
            <w:pPr>
              <w:pStyle w:val="Tablecolumnheading"/>
              <w:spacing w:line="280" w:lineRule="exact"/>
              <w:ind w:right="-41"/>
              <w:rPr>
                <w:rFonts w:ascii="Arial" w:hAnsi="Arial"/>
                <w:color w:val="auto"/>
                <w:sz w:val="20"/>
                <w:szCs w:val="20"/>
                <w:lang w:val="en-IN"/>
              </w:rPr>
            </w:pPr>
            <w:r w:rsidRPr="00E70587">
              <w:rPr>
                <w:rFonts w:ascii="Arial" w:hAnsi="Arial"/>
                <w:color w:val="auto"/>
                <w:sz w:val="20"/>
                <w:szCs w:val="20"/>
                <w:lang w:val="en-IN"/>
              </w:rPr>
              <w:t>(Level 3)</w:t>
            </w:r>
          </w:p>
        </w:tc>
      </w:tr>
      <w:tr w:rsidR="00E03D5A" w:rsidRPr="00E70587" w14:paraId="431D5A1D" w14:textId="77777777" w:rsidTr="00987D4E">
        <w:trPr>
          <w:tblHeader/>
        </w:trPr>
        <w:tc>
          <w:tcPr>
            <w:tcW w:w="3150" w:type="dxa"/>
            <w:vMerge/>
            <w:tcMar>
              <w:top w:w="28" w:type="dxa"/>
              <w:bottom w:w="28" w:type="dxa"/>
            </w:tcMar>
            <w:vAlign w:val="bottom"/>
          </w:tcPr>
          <w:p w14:paraId="5B5F53F4" w14:textId="77777777" w:rsidR="00E03D5A" w:rsidRPr="00E70587" w:rsidRDefault="00E03D5A" w:rsidP="001C1C23">
            <w:pPr>
              <w:pStyle w:val="Tablecolumnheading"/>
              <w:spacing w:line="280" w:lineRule="exact"/>
              <w:jc w:val="center"/>
              <w:rPr>
                <w:rFonts w:ascii="Arial" w:hAnsi="Arial"/>
                <w:color w:val="auto"/>
                <w:sz w:val="20"/>
                <w:szCs w:val="20"/>
                <w:lang w:val="en-IN"/>
              </w:rPr>
            </w:pPr>
          </w:p>
        </w:tc>
        <w:tc>
          <w:tcPr>
            <w:tcW w:w="1710" w:type="dxa"/>
            <w:vMerge/>
            <w:tcMar>
              <w:top w:w="28" w:type="dxa"/>
              <w:bottom w:w="28" w:type="dxa"/>
            </w:tcMar>
            <w:vAlign w:val="bottom"/>
          </w:tcPr>
          <w:p w14:paraId="7324A482" w14:textId="77777777" w:rsidR="00E03D5A" w:rsidRPr="00E70587" w:rsidRDefault="00E03D5A" w:rsidP="001C1C23">
            <w:pPr>
              <w:pStyle w:val="Tablecolumnheading"/>
              <w:spacing w:line="280" w:lineRule="exact"/>
              <w:ind w:right="-110"/>
              <w:rPr>
                <w:rFonts w:ascii="Arial" w:hAnsi="Arial"/>
                <w:color w:val="auto"/>
                <w:sz w:val="20"/>
                <w:szCs w:val="20"/>
                <w:lang w:val="en-IN"/>
              </w:rPr>
            </w:pPr>
          </w:p>
        </w:tc>
        <w:tc>
          <w:tcPr>
            <w:tcW w:w="1086" w:type="dxa"/>
            <w:tcMar>
              <w:top w:w="28" w:type="dxa"/>
              <w:bottom w:w="28" w:type="dxa"/>
            </w:tcMar>
            <w:vAlign w:val="bottom"/>
          </w:tcPr>
          <w:p w14:paraId="5FC80C81" w14:textId="77777777" w:rsidR="00E03D5A" w:rsidRPr="00E70587" w:rsidRDefault="00E03D5A" w:rsidP="00987D4E">
            <w:pPr>
              <w:pStyle w:val="Tablecolumnheading"/>
              <w:spacing w:line="280" w:lineRule="exact"/>
              <w:ind w:right="-12"/>
              <w:rPr>
                <w:rFonts w:ascii="Arial" w:hAnsi="Arial"/>
                <w:color w:val="auto"/>
                <w:sz w:val="20"/>
                <w:szCs w:val="20"/>
                <w:lang w:val="en-IN"/>
              </w:rPr>
            </w:pPr>
            <w:r w:rsidRPr="00E70587">
              <w:rPr>
                <w:rFonts w:ascii="Arial" w:hAnsi="Arial"/>
                <w:color w:val="auto"/>
                <w:sz w:val="20"/>
                <w:szCs w:val="20"/>
                <w:lang w:val="en-IN"/>
              </w:rPr>
              <w:t>INR Lacs</w:t>
            </w:r>
          </w:p>
        </w:tc>
        <w:tc>
          <w:tcPr>
            <w:tcW w:w="1074" w:type="dxa"/>
            <w:tcMar>
              <w:top w:w="28" w:type="dxa"/>
              <w:bottom w:w="28" w:type="dxa"/>
            </w:tcMar>
          </w:tcPr>
          <w:p w14:paraId="1894A5AE" w14:textId="77777777" w:rsidR="00E03D5A" w:rsidRPr="00E70587" w:rsidRDefault="00E03D5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260" w:type="dxa"/>
            <w:gridSpan w:val="2"/>
            <w:tcMar>
              <w:top w:w="28" w:type="dxa"/>
              <w:bottom w:w="28" w:type="dxa"/>
            </w:tcMar>
          </w:tcPr>
          <w:p w14:paraId="19A4BE82" w14:textId="77777777" w:rsidR="00E03D5A" w:rsidRPr="00E70587" w:rsidRDefault="00E03D5A" w:rsidP="00987D4E">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350" w:type="dxa"/>
            <w:shd w:val="clear" w:color="auto" w:fill="auto"/>
          </w:tcPr>
          <w:p w14:paraId="602D40D7" w14:textId="77777777" w:rsidR="00E03D5A" w:rsidRPr="00E70587" w:rsidRDefault="00E03D5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440558" w:rsidRPr="00E70587" w14:paraId="7EE2A3F6" w14:textId="77777777" w:rsidTr="00987D4E">
        <w:tc>
          <w:tcPr>
            <w:tcW w:w="9630" w:type="dxa"/>
            <w:gridSpan w:val="7"/>
            <w:tcMar>
              <w:top w:w="28" w:type="dxa"/>
              <w:bottom w:w="28" w:type="dxa"/>
            </w:tcMar>
            <w:vAlign w:val="bottom"/>
          </w:tcPr>
          <w:p w14:paraId="5816D47D" w14:textId="77777777" w:rsidR="00440558" w:rsidRPr="00E70587" w:rsidRDefault="00440558" w:rsidP="001C1C23">
            <w:pPr>
              <w:overflowPunct/>
              <w:autoSpaceDE/>
              <w:autoSpaceDN/>
              <w:adjustRightInd/>
              <w:spacing w:line="280" w:lineRule="exact"/>
              <w:textAlignment w:val="auto"/>
              <w:rPr>
                <w:rFonts w:ascii="Arial" w:hAnsi="Arial" w:cs="Arial"/>
                <w:b/>
                <w:sz w:val="20"/>
              </w:rPr>
            </w:pPr>
            <w:r w:rsidRPr="00E70587">
              <w:rPr>
                <w:rFonts w:ascii="Arial" w:hAnsi="Arial" w:cs="Arial"/>
                <w:b/>
                <w:sz w:val="20"/>
              </w:rPr>
              <w:t>Assets measured at fair value:</w:t>
            </w:r>
          </w:p>
        </w:tc>
      </w:tr>
      <w:tr w:rsidR="0086091A" w:rsidRPr="00E70587" w14:paraId="70F84690" w14:textId="77777777" w:rsidTr="00987D4E">
        <w:tc>
          <w:tcPr>
            <w:tcW w:w="9630" w:type="dxa"/>
            <w:gridSpan w:val="7"/>
            <w:tcMar>
              <w:top w:w="28" w:type="dxa"/>
              <w:bottom w:w="28" w:type="dxa"/>
            </w:tcMar>
            <w:vAlign w:val="bottom"/>
          </w:tcPr>
          <w:p w14:paraId="57B90B6D" w14:textId="052C9722"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Derivative financial assets (Note </w:t>
            </w:r>
            <w:r w:rsidR="003B4FAA" w:rsidRPr="00E70587">
              <w:rPr>
                <w:rFonts w:ascii="Arial" w:hAnsi="Arial" w:cs="Arial"/>
                <w:b/>
                <w:sz w:val="20"/>
                <w:lang w:val="en-IN"/>
              </w:rPr>
              <w:t>4</w:t>
            </w:r>
            <w:r w:rsidR="003B4FAA">
              <w:rPr>
                <w:rFonts w:ascii="Arial" w:hAnsi="Arial" w:cs="Arial"/>
                <w:b/>
                <w:sz w:val="20"/>
                <w:lang w:val="en-IN"/>
              </w:rPr>
              <w:t>7</w:t>
            </w:r>
            <w:r w:rsidRPr="00E70587">
              <w:rPr>
                <w:rFonts w:ascii="Arial" w:hAnsi="Arial" w:cs="Arial"/>
                <w:b/>
                <w:sz w:val="20"/>
                <w:lang w:val="en-IN"/>
              </w:rPr>
              <w:t>):</w:t>
            </w:r>
          </w:p>
        </w:tc>
      </w:tr>
      <w:tr w:rsidR="0086091A" w:rsidRPr="00E70587" w14:paraId="4CF8E533" w14:textId="77777777" w:rsidTr="00987D4E">
        <w:tc>
          <w:tcPr>
            <w:tcW w:w="3150" w:type="dxa"/>
            <w:tcMar>
              <w:top w:w="28" w:type="dxa"/>
              <w:bottom w:w="28" w:type="dxa"/>
            </w:tcMar>
            <w:vAlign w:val="bottom"/>
          </w:tcPr>
          <w:p w14:paraId="7FB7E6B6"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Foreign exchange forward contracts - US dollar </w:t>
            </w:r>
          </w:p>
        </w:tc>
        <w:tc>
          <w:tcPr>
            <w:tcW w:w="1710" w:type="dxa"/>
            <w:vAlign w:val="center"/>
          </w:tcPr>
          <w:p w14:paraId="4D1AE39B" w14:textId="1AAE9958" w:rsidR="0086091A" w:rsidRPr="00E70587" w:rsidRDefault="0086091A" w:rsidP="00987D4E">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5F2971" w:rsidRPr="00E70587">
              <w:rPr>
                <w:rFonts w:ascii="Arial" w:hAnsi="Arial" w:cs="Arial"/>
                <w:sz w:val="20"/>
                <w:lang w:val="en-IN"/>
              </w:rPr>
              <w:t>20</w:t>
            </w:r>
            <w:r w:rsidR="005F2971">
              <w:rPr>
                <w:rFonts w:ascii="Arial" w:hAnsi="Arial" w:cs="Arial"/>
                <w:sz w:val="20"/>
                <w:lang w:val="en-IN"/>
              </w:rPr>
              <w:t>21</w:t>
            </w:r>
          </w:p>
        </w:tc>
        <w:tc>
          <w:tcPr>
            <w:tcW w:w="1086" w:type="dxa"/>
            <w:tcMar>
              <w:top w:w="28" w:type="dxa"/>
              <w:bottom w:w="28" w:type="dxa"/>
            </w:tcMar>
            <w:vAlign w:val="center"/>
          </w:tcPr>
          <w:p w14:paraId="1B9A8528"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 886 </w:t>
            </w:r>
          </w:p>
        </w:tc>
        <w:tc>
          <w:tcPr>
            <w:tcW w:w="1074" w:type="dxa"/>
            <w:tcMar>
              <w:top w:w="28" w:type="dxa"/>
              <w:bottom w:w="28" w:type="dxa"/>
            </w:tcMar>
            <w:vAlign w:val="center"/>
          </w:tcPr>
          <w:p w14:paraId="11F30CD3"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260" w:type="dxa"/>
            <w:gridSpan w:val="2"/>
            <w:tcMar>
              <w:top w:w="28" w:type="dxa"/>
              <w:bottom w:w="28" w:type="dxa"/>
            </w:tcMar>
            <w:vAlign w:val="center"/>
          </w:tcPr>
          <w:p w14:paraId="343FC475"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886 </w:t>
            </w:r>
          </w:p>
        </w:tc>
        <w:tc>
          <w:tcPr>
            <w:tcW w:w="1350" w:type="dxa"/>
            <w:tcMar>
              <w:top w:w="28" w:type="dxa"/>
              <w:bottom w:w="28" w:type="dxa"/>
            </w:tcMar>
            <w:vAlign w:val="center"/>
          </w:tcPr>
          <w:p w14:paraId="0D609320"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r>
      <w:tr w:rsidR="0086091A" w:rsidRPr="00E70587" w14:paraId="2F1314C7" w14:textId="77777777" w:rsidTr="00987D4E">
        <w:tc>
          <w:tcPr>
            <w:tcW w:w="3150" w:type="dxa"/>
            <w:tcMar>
              <w:top w:w="28" w:type="dxa"/>
              <w:bottom w:w="28" w:type="dxa"/>
            </w:tcMar>
            <w:vAlign w:val="bottom"/>
          </w:tcPr>
          <w:p w14:paraId="037DC6AC" w14:textId="373D7BF8"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Foreign exchange forward contracts </w:t>
            </w:r>
            <w:r w:rsidR="00E112BC">
              <w:rPr>
                <w:rFonts w:ascii="Arial" w:hAnsi="Arial" w:cs="Arial"/>
                <w:sz w:val="20"/>
                <w:lang w:val="en-IN"/>
              </w:rPr>
              <w:t xml:space="preserve">- </w:t>
            </w:r>
            <w:r w:rsidRPr="00E70587">
              <w:rPr>
                <w:rFonts w:ascii="Arial" w:hAnsi="Arial" w:cs="Arial"/>
                <w:sz w:val="20"/>
                <w:lang w:val="en-IN"/>
              </w:rPr>
              <w:t>GB pound sterling</w:t>
            </w:r>
          </w:p>
        </w:tc>
        <w:tc>
          <w:tcPr>
            <w:tcW w:w="1710" w:type="dxa"/>
            <w:vAlign w:val="center"/>
          </w:tcPr>
          <w:p w14:paraId="0B3B729A" w14:textId="4CC99902" w:rsidR="0086091A" w:rsidRPr="00E70587" w:rsidRDefault="0086091A" w:rsidP="00987D4E">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5F2971" w:rsidRPr="00E70587">
              <w:rPr>
                <w:rFonts w:ascii="Arial" w:hAnsi="Arial" w:cs="Arial"/>
                <w:sz w:val="20"/>
                <w:lang w:val="en-IN"/>
              </w:rPr>
              <w:t>20</w:t>
            </w:r>
            <w:r w:rsidR="005F2971">
              <w:rPr>
                <w:rFonts w:ascii="Arial" w:hAnsi="Arial" w:cs="Arial"/>
                <w:sz w:val="20"/>
                <w:lang w:val="en-IN"/>
              </w:rPr>
              <w:t>21</w:t>
            </w:r>
          </w:p>
        </w:tc>
        <w:tc>
          <w:tcPr>
            <w:tcW w:w="1086" w:type="dxa"/>
            <w:tcMar>
              <w:top w:w="28" w:type="dxa"/>
              <w:bottom w:w="28" w:type="dxa"/>
            </w:tcMar>
            <w:vAlign w:val="center"/>
          </w:tcPr>
          <w:p w14:paraId="02A847AE"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 720 </w:t>
            </w:r>
          </w:p>
        </w:tc>
        <w:tc>
          <w:tcPr>
            <w:tcW w:w="1074" w:type="dxa"/>
            <w:tcMar>
              <w:top w:w="28" w:type="dxa"/>
              <w:bottom w:w="28" w:type="dxa"/>
            </w:tcMar>
            <w:vAlign w:val="center"/>
          </w:tcPr>
          <w:p w14:paraId="0CD28780"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260" w:type="dxa"/>
            <w:gridSpan w:val="2"/>
            <w:tcMar>
              <w:top w:w="28" w:type="dxa"/>
              <w:bottom w:w="28" w:type="dxa"/>
            </w:tcMar>
            <w:vAlign w:val="center"/>
          </w:tcPr>
          <w:p w14:paraId="03A4F034"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720 </w:t>
            </w:r>
          </w:p>
        </w:tc>
        <w:tc>
          <w:tcPr>
            <w:tcW w:w="1350" w:type="dxa"/>
            <w:tcMar>
              <w:top w:w="28" w:type="dxa"/>
              <w:bottom w:w="28" w:type="dxa"/>
            </w:tcMar>
            <w:vAlign w:val="center"/>
          </w:tcPr>
          <w:p w14:paraId="699FB5EC"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r>
      <w:tr w:rsidR="0086091A" w:rsidRPr="00E70587" w14:paraId="6042626A" w14:textId="77777777" w:rsidTr="00987D4E">
        <w:tc>
          <w:tcPr>
            <w:tcW w:w="3150" w:type="dxa"/>
            <w:tcMar>
              <w:top w:w="28" w:type="dxa"/>
              <w:bottom w:w="28" w:type="dxa"/>
            </w:tcMar>
            <w:vAlign w:val="center"/>
          </w:tcPr>
          <w:p w14:paraId="0A10D46A" w14:textId="6CFFB93E"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Embedded foreign exchange derivatives </w:t>
            </w:r>
            <w:r w:rsidR="00E112BC">
              <w:rPr>
                <w:rFonts w:ascii="Arial" w:hAnsi="Arial" w:cs="Arial"/>
                <w:sz w:val="20"/>
                <w:lang w:val="en-IN"/>
              </w:rPr>
              <w:t xml:space="preserve">- </w:t>
            </w:r>
            <w:r w:rsidRPr="00E70587">
              <w:rPr>
                <w:rFonts w:ascii="Arial" w:hAnsi="Arial" w:cs="Arial"/>
                <w:sz w:val="20"/>
                <w:lang w:val="en-IN"/>
              </w:rPr>
              <w:t>USD</w:t>
            </w:r>
          </w:p>
        </w:tc>
        <w:tc>
          <w:tcPr>
            <w:tcW w:w="1710" w:type="dxa"/>
            <w:vAlign w:val="center"/>
          </w:tcPr>
          <w:p w14:paraId="42B189E0" w14:textId="29725F5C" w:rsidR="0086091A" w:rsidRPr="00E70587" w:rsidRDefault="0086091A" w:rsidP="00987D4E">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5F2971" w:rsidRPr="00E70587">
              <w:rPr>
                <w:rFonts w:ascii="Arial" w:hAnsi="Arial" w:cs="Arial"/>
                <w:sz w:val="20"/>
                <w:lang w:val="en-IN"/>
              </w:rPr>
              <w:t>20</w:t>
            </w:r>
            <w:r w:rsidR="005F2971">
              <w:rPr>
                <w:rFonts w:ascii="Arial" w:hAnsi="Arial" w:cs="Arial"/>
                <w:sz w:val="20"/>
                <w:lang w:val="en-IN"/>
              </w:rPr>
              <w:t>21</w:t>
            </w:r>
          </w:p>
        </w:tc>
        <w:tc>
          <w:tcPr>
            <w:tcW w:w="1086" w:type="dxa"/>
            <w:tcMar>
              <w:top w:w="28" w:type="dxa"/>
              <w:bottom w:w="28" w:type="dxa"/>
            </w:tcMar>
            <w:vAlign w:val="center"/>
          </w:tcPr>
          <w:p w14:paraId="30032606"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 378 </w:t>
            </w:r>
          </w:p>
        </w:tc>
        <w:tc>
          <w:tcPr>
            <w:tcW w:w="1074" w:type="dxa"/>
            <w:tcMar>
              <w:top w:w="28" w:type="dxa"/>
              <w:bottom w:w="28" w:type="dxa"/>
            </w:tcMar>
            <w:vAlign w:val="center"/>
          </w:tcPr>
          <w:p w14:paraId="03D6913F"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260" w:type="dxa"/>
            <w:gridSpan w:val="2"/>
            <w:tcMar>
              <w:top w:w="28" w:type="dxa"/>
              <w:bottom w:w="28" w:type="dxa"/>
            </w:tcMar>
            <w:vAlign w:val="center"/>
          </w:tcPr>
          <w:p w14:paraId="598EC1ED"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350" w:type="dxa"/>
            <w:tcMar>
              <w:top w:w="28" w:type="dxa"/>
              <w:bottom w:w="28" w:type="dxa"/>
            </w:tcMar>
            <w:vAlign w:val="center"/>
          </w:tcPr>
          <w:p w14:paraId="54B28919"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378 </w:t>
            </w:r>
          </w:p>
        </w:tc>
      </w:tr>
      <w:tr w:rsidR="0086091A" w:rsidRPr="00E70587" w14:paraId="50403D73" w14:textId="77777777" w:rsidTr="00987D4E">
        <w:tc>
          <w:tcPr>
            <w:tcW w:w="8280" w:type="dxa"/>
            <w:gridSpan w:val="6"/>
            <w:tcMar>
              <w:top w:w="28" w:type="dxa"/>
              <w:bottom w:w="28" w:type="dxa"/>
            </w:tcMar>
            <w:vAlign w:val="center"/>
          </w:tcPr>
          <w:p w14:paraId="6DC670A5" w14:textId="23C10C30"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 xml:space="preserve">FVTOCI financial investments (Note </w:t>
            </w:r>
            <w:r w:rsidR="000D1D6E" w:rsidRPr="00E70587">
              <w:rPr>
                <w:rFonts w:ascii="Arial" w:hAnsi="Arial" w:cs="Arial"/>
                <w:b/>
                <w:sz w:val="20"/>
                <w:lang w:val="en-IN"/>
              </w:rPr>
              <w:t>7</w:t>
            </w:r>
            <w:r w:rsidRPr="00E70587">
              <w:rPr>
                <w:rFonts w:ascii="Arial" w:hAnsi="Arial" w:cs="Arial"/>
                <w:b/>
                <w:sz w:val="20"/>
                <w:lang w:val="en-IN"/>
              </w:rPr>
              <w:t xml:space="preserve">, </w:t>
            </w:r>
            <w:r w:rsidR="003B4FAA" w:rsidRPr="00E70587">
              <w:rPr>
                <w:rFonts w:ascii="Arial" w:hAnsi="Arial" w:cs="Arial"/>
                <w:b/>
                <w:sz w:val="20"/>
                <w:lang w:val="en-IN"/>
              </w:rPr>
              <w:t>4</w:t>
            </w:r>
            <w:r w:rsidR="003B4FAA">
              <w:rPr>
                <w:rFonts w:ascii="Arial" w:hAnsi="Arial" w:cs="Arial"/>
                <w:b/>
                <w:sz w:val="20"/>
                <w:lang w:val="en-IN"/>
              </w:rPr>
              <w:t>7</w:t>
            </w:r>
            <w:r w:rsidRPr="00E70587">
              <w:rPr>
                <w:rFonts w:ascii="Arial" w:hAnsi="Arial" w:cs="Arial"/>
                <w:b/>
                <w:sz w:val="20"/>
                <w:lang w:val="en-IN"/>
              </w:rPr>
              <w:t>):</w:t>
            </w:r>
          </w:p>
        </w:tc>
        <w:tc>
          <w:tcPr>
            <w:tcW w:w="1350" w:type="dxa"/>
            <w:tcMar>
              <w:top w:w="28" w:type="dxa"/>
              <w:bottom w:w="28" w:type="dxa"/>
            </w:tcMar>
          </w:tcPr>
          <w:p w14:paraId="70DC589C"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86091A" w:rsidRPr="00E70587" w14:paraId="45501E14" w14:textId="77777777" w:rsidTr="00987D4E">
        <w:tc>
          <w:tcPr>
            <w:tcW w:w="3150" w:type="dxa"/>
            <w:tcMar>
              <w:top w:w="28" w:type="dxa"/>
              <w:bottom w:w="28" w:type="dxa"/>
            </w:tcMar>
            <w:vAlign w:val="center"/>
          </w:tcPr>
          <w:p w14:paraId="4B824A74"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Quoted equity shares</w:t>
            </w:r>
          </w:p>
        </w:tc>
        <w:tc>
          <w:tcPr>
            <w:tcW w:w="1710" w:type="dxa"/>
          </w:tcPr>
          <w:p w14:paraId="606F30A3"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086" w:type="dxa"/>
            <w:tcMar>
              <w:top w:w="28" w:type="dxa"/>
              <w:bottom w:w="28" w:type="dxa"/>
            </w:tcMar>
            <w:vAlign w:val="bottom"/>
          </w:tcPr>
          <w:p w14:paraId="24A9B7A8"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074" w:type="dxa"/>
            <w:tcMar>
              <w:top w:w="28" w:type="dxa"/>
              <w:bottom w:w="28" w:type="dxa"/>
            </w:tcMar>
            <w:vAlign w:val="bottom"/>
          </w:tcPr>
          <w:p w14:paraId="1DF764BA"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260" w:type="dxa"/>
            <w:gridSpan w:val="2"/>
            <w:tcMar>
              <w:top w:w="28" w:type="dxa"/>
              <w:bottom w:w="28" w:type="dxa"/>
            </w:tcMar>
            <w:vAlign w:val="bottom"/>
          </w:tcPr>
          <w:p w14:paraId="36DFEBFE"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350" w:type="dxa"/>
            <w:tcMar>
              <w:top w:w="28" w:type="dxa"/>
              <w:bottom w:w="28" w:type="dxa"/>
            </w:tcMar>
            <w:vAlign w:val="bottom"/>
          </w:tcPr>
          <w:p w14:paraId="476D407F"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sz w:val="20"/>
                <w:lang w:val="en-IN"/>
              </w:rPr>
            </w:pPr>
          </w:p>
        </w:tc>
      </w:tr>
      <w:tr w:rsidR="0086091A" w:rsidRPr="00E70587" w14:paraId="0BCFFCEA" w14:textId="77777777" w:rsidTr="00987D4E">
        <w:tc>
          <w:tcPr>
            <w:tcW w:w="3150" w:type="dxa"/>
            <w:tcMar>
              <w:top w:w="28" w:type="dxa"/>
              <w:bottom w:w="28" w:type="dxa"/>
            </w:tcMar>
            <w:vAlign w:val="center"/>
          </w:tcPr>
          <w:p w14:paraId="2D9ECC38"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Power sector</w:t>
            </w:r>
          </w:p>
        </w:tc>
        <w:tc>
          <w:tcPr>
            <w:tcW w:w="1710" w:type="dxa"/>
          </w:tcPr>
          <w:p w14:paraId="400D49D9" w14:textId="3FFD5704"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5F2971" w:rsidRPr="00E70587">
              <w:rPr>
                <w:rFonts w:ascii="Arial" w:hAnsi="Arial" w:cs="Arial"/>
                <w:sz w:val="20"/>
                <w:lang w:val="en-IN"/>
              </w:rPr>
              <w:t>20</w:t>
            </w:r>
            <w:r w:rsidR="005F2971">
              <w:rPr>
                <w:rFonts w:ascii="Arial" w:hAnsi="Arial" w:cs="Arial"/>
                <w:sz w:val="20"/>
                <w:lang w:val="en-IN"/>
              </w:rPr>
              <w:t>21</w:t>
            </w:r>
          </w:p>
        </w:tc>
        <w:tc>
          <w:tcPr>
            <w:tcW w:w="1086" w:type="dxa"/>
            <w:tcMar>
              <w:top w:w="28" w:type="dxa"/>
              <w:bottom w:w="28" w:type="dxa"/>
            </w:tcMar>
            <w:vAlign w:val="center"/>
          </w:tcPr>
          <w:p w14:paraId="58D6EAF0" w14:textId="77777777" w:rsidR="0086091A" w:rsidRPr="00E70587" w:rsidRDefault="00B406CB" w:rsidP="001C1C23">
            <w:pPr>
              <w:spacing w:line="280" w:lineRule="exact"/>
              <w:jc w:val="right"/>
              <w:rPr>
                <w:rFonts w:ascii="Arial" w:hAnsi="Arial" w:cs="Arial"/>
                <w:sz w:val="20"/>
              </w:rPr>
            </w:pPr>
            <w:r w:rsidRPr="00E70587">
              <w:rPr>
                <w:rFonts w:ascii="Arial" w:hAnsi="Arial" w:cs="Arial"/>
                <w:sz w:val="20"/>
              </w:rPr>
              <w:t>175</w:t>
            </w:r>
          </w:p>
        </w:tc>
        <w:tc>
          <w:tcPr>
            <w:tcW w:w="1074" w:type="dxa"/>
            <w:tcMar>
              <w:top w:w="28" w:type="dxa"/>
              <w:bottom w:w="28" w:type="dxa"/>
            </w:tcMar>
            <w:vAlign w:val="center"/>
          </w:tcPr>
          <w:p w14:paraId="47FFE29D" w14:textId="77777777" w:rsidR="0086091A" w:rsidRPr="00E70587" w:rsidRDefault="00B406CB" w:rsidP="001C1C23">
            <w:pPr>
              <w:spacing w:line="280" w:lineRule="exact"/>
              <w:jc w:val="right"/>
              <w:rPr>
                <w:rFonts w:ascii="Arial" w:hAnsi="Arial" w:cs="Arial"/>
                <w:sz w:val="20"/>
              </w:rPr>
            </w:pPr>
            <w:r w:rsidRPr="00E70587">
              <w:rPr>
                <w:rFonts w:ascii="Arial" w:hAnsi="Arial" w:cs="Arial"/>
                <w:sz w:val="20"/>
              </w:rPr>
              <w:t>175</w:t>
            </w:r>
            <w:r w:rsidR="00950163" w:rsidRPr="00E70587">
              <w:rPr>
                <w:rFonts w:ascii="Arial" w:hAnsi="Arial" w:cs="Arial"/>
                <w:sz w:val="20"/>
              </w:rPr>
              <w:t xml:space="preserve"> </w:t>
            </w:r>
          </w:p>
        </w:tc>
        <w:tc>
          <w:tcPr>
            <w:tcW w:w="1260" w:type="dxa"/>
            <w:gridSpan w:val="2"/>
            <w:tcMar>
              <w:top w:w="28" w:type="dxa"/>
              <w:bottom w:w="28" w:type="dxa"/>
            </w:tcMar>
            <w:vAlign w:val="center"/>
          </w:tcPr>
          <w:p w14:paraId="3EA56A51"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350" w:type="dxa"/>
            <w:tcMar>
              <w:top w:w="28" w:type="dxa"/>
              <w:bottom w:w="28" w:type="dxa"/>
            </w:tcMar>
            <w:vAlign w:val="center"/>
          </w:tcPr>
          <w:p w14:paraId="6AEC71A0"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r>
      <w:tr w:rsidR="0086091A" w:rsidRPr="00E70587" w14:paraId="640D1F30" w14:textId="77777777" w:rsidTr="00987D4E">
        <w:tc>
          <w:tcPr>
            <w:tcW w:w="3150" w:type="dxa"/>
            <w:tcMar>
              <w:top w:w="28" w:type="dxa"/>
              <w:bottom w:w="28" w:type="dxa"/>
            </w:tcMar>
            <w:vAlign w:val="center"/>
          </w:tcPr>
          <w:p w14:paraId="4526652A"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Telecommunications sector</w:t>
            </w:r>
          </w:p>
        </w:tc>
        <w:tc>
          <w:tcPr>
            <w:tcW w:w="1710" w:type="dxa"/>
            <w:vAlign w:val="bottom"/>
          </w:tcPr>
          <w:p w14:paraId="6D03D306" w14:textId="75001C8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5F2971" w:rsidRPr="00E70587">
              <w:rPr>
                <w:rFonts w:ascii="Arial" w:hAnsi="Arial" w:cs="Arial"/>
                <w:sz w:val="20"/>
                <w:lang w:val="en-IN"/>
              </w:rPr>
              <w:t>20</w:t>
            </w:r>
            <w:r w:rsidR="005F2971">
              <w:rPr>
                <w:rFonts w:ascii="Arial" w:hAnsi="Arial" w:cs="Arial"/>
                <w:sz w:val="20"/>
                <w:lang w:val="en-IN"/>
              </w:rPr>
              <w:t>21</w:t>
            </w:r>
          </w:p>
        </w:tc>
        <w:tc>
          <w:tcPr>
            <w:tcW w:w="1086" w:type="dxa"/>
            <w:tcMar>
              <w:top w:w="28" w:type="dxa"/>
              <w:bottom w:w="28" w:type="dxa"/>
            </w:tcMar>
            <w:vAlign w:val="center"/>
          </w:tcPr>
          <w:p w14:paraId="46C3740E"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B406CB" w:rsidRPr="00E70587">
              <w:rPr>
                <w:rFonts w:ascii="Arial" w:hAnsi="Arial" w:cs="Arial"/>
                <w:sz w:val="20"/>
              </w:rPr>
              <w:t>432</w:t>
            </w:r>
            <w:r w:rsidRPr="00E70587">
              <w:rPr>
                <w:rFonts w:ascii="Arial" w:hAnsi="Arial" w:cs="Arial"/>
                <w:sz w:val="20"/>
              </w:rPr>
              <w:t xml:space="preserve"> </w:t>
            </w:r>
          </w:p>
        </w:tc>
        <w:tc>
          <w:tcPr>
            <w:tcW w:w="1074" w:type="dxa"/>
            <w:tcMar>
              <w:top w:w="28" w:type="dxa"/>
              <w:bottom w:w="28" w:type="dxa"/>
            </w:tcMar>
            <w:vAlign w:val="center"/>
          </w:tcPr>
          <w:p w14:paraId="5348260F" w14:textId="77777777" w:rsidR="0086091A" w:rsidRPr="00E70587" w:rsidRDefault="00B406CB" w:rsidP="001C1C23">
            <w:pPr>
              <w:spacing w:line="280" w:lineRule="exact"/>
              <w:jc w:val="right"/>
              <w:rPr>
                <w:rFonts w:ascii="Arial" w:hAnsi="Arial" w:cs="Arial"/>
                <w:sz w:val="20"/>
              </w:rPr>
            </w:pPr>
            <w:r w:rsidRPr="00E70587">
              <w:rPr>
                <w:rFonts w:ascii="Arial" w:hAnsi="Arial" w:cs="Arial"/>
                <w:sz w:val="20"/>
              </w:rPr>
              <w:t>432</w:t>
            </w:r>
            <w:r w:rsidR="00950163" w:rsidRPr="00E70587">
              <w:rPr>
                <w:rFonts w:ascii="Arial" w:hAnsi="Arial" w:cs="Arial"/>
                <w:sz w:val="20"/>
              </w:rPr>
              <w:t xml:space="preserve"> </w:t>
            </w:r>
          </w:p>
        </w:tc>
        <w:tc>
          <w:tcPr>
            <w:tcW w:w="1260" w:type="dxa"/>
            <w:gridSpan w:val="2"/>
            <w:tcMar>
              <w:top w:w="28" w:type="dxa"/>
              <w:bottom w:w="28" w:type="dxa"/>
            </w:tcMar>
            <w:vAlign w:val="center"/>
          </w:tcPr>
          <w:p w14:paraId="11E8F9A6"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350" w:type="dxa"/>
            <w:tcMar>
              <w:top w:w="28" w:type="dxa"/>
              <w:bottom w:w="28" w:type="dxa"/>
            </w:tcMar>
            <w:vAlign w:val="center"/>
          </w:tcPr>
          <w:p w14:paraId="31BE13DF"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r>
      <w:tr w:rsidR="0086091A" w:rsidRPr="00E70587" w14:paraId="6933E448" w14:textId="77777777" w:rsidTr="00987D4E">
        <w:tc>
          <w:tcPr>
            <w:tcW w:w="3150" w:type="dxa"/>
            <w:tcMar>
              <w:top w:w="28" w:type="dxa"/>
              <w:bottom w:w="28" w:type="dxa"/>
            </w:tcMar>
            <w:vAlign w:val="center"/>
          </w:tcPr>
          <w:p w14:paraId="667251B9"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Unquoted equity shares</w:t>
            </w:r>
          </w:p>
        </w:tc>
        <w:tc>
          <w:tcPr>
            <w:tcW w:w="1710" w:type="dxa"/>
            <w:vAlign w:val="bottom"/>
          </w:tcPr>
          <w:p w14:paraId="4AB60584"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086" w:type="dxa"/>
            <w:tcMar>
              <w:top w:w="28" w:type="dxa"/>
              <w:bottom w:w="28" w:type="dxa"/>
            </w:tcMar>
            <w:vAlign w:val="bottom"/>
          </w:tcPr>
          <w:p w14:paraId="43FE7497"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074" w:type="dxa"/>
            <w:tcMar>
              <w:top w:w="28" w:type="dxa"/>
              <w:bottom w:w="28" w:type="dxa"/>
            </w:tcMar>
            <w:vAlign w:val="bottom"/>
          </w:tcPr>
          <w:p w14:paraId="13CBA451"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260" w:type="dxa"/>
            <w:gridSpan w:val="2"/>
            <w:tcMar>
              <w:top w:w="28" w:type="dxa"/>
              <w:bottom w:w="28" w:type="dxa"/>
            </w:tcMar>
            <w:vAlign w:val="bottom"/>
          </w:tcPr>
          <w:p w14:paraId="066B7AA4"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350" w:type="dxa"/>
            <w:tcMar>
              <w:top w:w="28" w:type="dxa"/>
              <w:bottom w:w="28" w:type="dxa"/>
            </w:tcMar>
            <w:vAlign w:val="bottom"/>
          </w:tcPr>
          <w:p w14:paraId="644C966E"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sz w:val="20"/>
                <w:lang w:val="en-IN"/>
              </w:rPr>
            </w:pPr>
          </w:p>
        </w:tc>
      </w:tr>
      <w:tr w:rsidR="0086091A" w:rsidRPr="00E70587" w14:paraId="36856B4E" w14:textId="77777777" w:rsidTr="00987D4E">
        <w:tc>
          <w:tcPr>
            <w:tcW w:w="3150" w:type="dxa"/>
            <w:tcMar>
              <w:top w:w="28" w:type="dxa"/>
              <w:bottom w:w="28" w:type="dxa"/>
            </w:tcMar>
            <w:vAlign w:val="center"/>
          </w:tcPr>
          <w:p w14:paraId="06C994B2"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Power sector</w:t>
            </w:r>
          </w:p>
        </w:tc>
        <w:tc>
          <w:tcPr>
            <w:tcW w:w="1710" w:type="dxa"/>
            <w:vAlign w:val="bottom"/>
          </w:tcPr>
          <w:p w14:paraId="7E5A31C6" w14:textId="20534C59"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5F2971" w:rsidRPr="00E70587">
              <w:rPr>
                <w:rFonts w:ascii="Arial" w:hAnsi="Arial" w:cs="Arial"/>
                <w:sz w:val="20"/>
                <w:lang w:val="en-IN"/>
              </w:rPr>
              <w:t>20</w:t>
            </w:r>
            <w:r w:rsidR="005F2971">
              <w:rPr>
                <w:rFonts w:ascii="Arial" w:hAnsi="Arial" w:cs="Arial"/>
                <w:sz w:val="20"/>
                <w:lang w:val="en-IN"/>
              </w:rPr>
              <w:t>21</w:t>
            </w:r>
          </w:p>
        </w:tc>
        <w:tc>
          <w:tcPr>
            <w:tcW w:w="1086" w:type="dxa"/>
            <w:tcMar>
              <w:top w:w="28" w:type="dxa"/>
              <w:bottom w:w="28" w:type="dxa"/>
            </w:tcMar>
            <w:vAlign w:val="center"/>
          </w:tcPr>
          <w:p w14:paraId="65347336"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B406CB" w:rsidRPr="00E70587">
              <w:rPr>
                <w:rFonts w:ascii="Arial" w:hAnsi="Arial" w:cs="Arial"/>
                <w:sz w:val="20"/>
              </w:rPr>
              <w:t>850</w:t>
            </w:r>
            <w:r w:rsidRPr="00E70587">
              <w:rPr>
                <w:rFonts w:ascii="Arial" w:hAnsi="Arial" w:cs="Arial"/>
                <w:sz w:val="20"/>
              </w:rPr>
              <w:t xml:space="preserve"> </w:t>
            </w:r>
          </w:p>
        </w:tc>
        <w:tc>
          <w:tcPr>
            <w:tcW w:w="1074" w:type="dxa"/>
            <w:tcMar>
              <w:top w:w="28" w:type="dxa"/>
              <w:bottom w:w="28" w:type="dxa"/>
            </w:tcMar>
            <w:vAlign w:val="center"/>
          </w:tcPr>
          <w:p w14:paraId="2834C93E"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260" w:type="dxa"/>
            <w:gridSpan w:val="2"/>
            <w:tcMar>
              <w:top w:w="28" w:type="dxa"/>
              <w:bottom w:w="28" w:type="dxa"/>
            </w:tcMar>
            <w:vAlign w:val="center"/>
          </w:tcPr>
          <w:p w14:paraId="0C191536"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350" w:type="dxa"/>
            <w:tcMar>
              <w:top w:w="28" w:type="dxa"/>
              <w:bottom w:w="28" w:type="dxa"/>
            </w:tcMar>
            <w:vAlign w:val="center"/>
          </w:tcPr>
          <w:p w14:paraId="394F693F" w14:textId="77777777" w:rsidR="0086091A" w:rsidRPr="00E70587" w:rsidRDefault="00B406CB" w:rsidP="001C1C23">
            <w:pPr>
              <w:spacing w:line="280" w:lineRule="exact"/>
              <w:jc w:val="right"/>
              <w:rPr>
                <w:rFonts w:ascii="Arial" w:hAnsi="Arial" w:cs="Arial"/>
                <w:sz w:val="20"/>
              </w:rPr>
            </w:pPr>
            <w:r w:rsidRPr="00E70587">
              <w:rPr>
                <w:rFonts w:ascii="Arial" w:hAnsi="Arial" w:cs="Arial"/>
                <w:sz w:val="20"/>
              </w:rPr>
              <w:t>850</w:t>
            </w:r>
            <w:r w:rsidR="00950163" w:rsidRPr="00E70587">
              <w:rPr>
                <w:rFonts w:ascii="Arial" w:hAnsi="Arial" w:cs="Arial"/>
                <w:sz w:val="20"/>
              </w:rPr>
              <w:t xml:space="preserve"> </w:t>
            </w:r>
          </w:p>
        </w:tc>
      </w:tr>
      <w:tr w:rsidR="0086091A" w:rsidRPr="00E70587" w14:paraId="5ABFE333" w14:textId="77777777" w:rsidTr="00987D4E">
        <w:tc>
          <w:tcPr>
            <w:tcW w:w="3150" w:type="dxa"/>
            <w:tcMar>
              <w:top w:w="28" w:type="dxa"/>
              <w:bottom w:w="28" w:type="dxa"/>
            </w:tcMar>
            <w:vAlign w:val="center"/>
          </w:tcPr>
          <w:p w14:paraId="37726BE0"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Electronics sector</w:t>
            </w:r>
          </w:p>
        </w:tc>
        <w:tc>
          <w:tcPr>
            <w:tcW w:w="1710" w:type="dxa"/>
            <w:vAlign w:val="bottom"/>
          </w:tcPr>
          <w:p w14:paraId="3BA1305D" w14:textId="36A4BBFD"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5F2971" w:rsidRPr="00E70587">
              <w:rPr>
                <w:rFonts w:ascii="Arial" w:hAnsi="Arial" w:cs="Arial"/>
                <w:sz w:val="20"/>
                <w:lang w:val="en-IN"/>
              </w:rPr>
              <w:t>20</w:t>
            </w:r>
            <w:r w:rsidR="005F2971">
              <w:rPr>
                <w:rFonts w:ascii="Arial" w:hAnsi="Arial" w:cs="Arial"/>
                <w:sz w:val="20"/>
                <w:lang w:val="en-IN"/>
              </w:rPr>
              <w:t>21</w:t>
            </w:r>
          </w:p>
        </w:tc>
        <w:tc>
          <w:tcPr>
            <w:tcW w:w="1086" w:type="dxa"/>
            <w:tcMar>
              <w:top w:w="28" w:type="dxa"/>
              <w:bottom w:w="28" w:type="dxa"/>
            </w:tcMar>
            <w:vAlign w:val="center"/>
          </w:tcPr>
          <w:p w14:paraId="31C93E45"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B406CB" w:rsidRPr="00E70587">
              <w:rPr>
                <w:rFonts w:ascii="Arial" w:hAnsi="Arial" w:cs="Arial"/>
                <w:sz w:val="20"/>
              </w:rPr>
              <w:t>1,018</w:t>
            </w:r>
            <w:r w:rsidRPr="00E70587">
              <w:rPr>
                <w:rFonts w:ascii="Arial" w:hAnsi="Arial" w:cs="Arial"/>
                <w:sz w:val="20"/>
              </w:rPr>
              <w:t xml:space="preserve"> </w:t>
            </w:r>
          </w:p>
        </w:tc>
        <w:tc>
          <w:tcPr>
            <w:tcW w:w="1074" w:type="dxa"/>
            <w:tcMar>
              <w:top w:w="28" w:type="dxa"/>
              <w:bottom w:w="28" w:type="dxa"/>
            </w:tcMar>
            <w:vAlign w:val="center"/>
          </w:tcPr>
          <w:p w14:paraId="1066B8C8"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260" w:type="dxa"/>
            <w:gridSpan w:val="2"/>
            <w:tcMar>
              <w:top w:w="28" w:type="dxa"/>
              <w:bottom w:w="28" w:type="dxa"/>
            </w:tcMar>
            <w:vAlign w:val="center"/>
          </w:tcPr>
          <w:p w14:paraId="4FCB90B8"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350" w:type="dxa"/>
            <w:tcMar>
              <w:top w:w="28" w:type="dxa"/>
              <w:bottom w:w="28" w:type="dxa"/>
            </w:tcMar>
            <w:vAlign w:val="center"/>
          </w:tcPr>
          <w:p w14:paraId="4F7BC84C"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B406CB" w:rsidRPr="00E70587">
              <w:rPr>
                <w:rFonts w:ascii="Arial" w:hAnsi="Arial" w:cs="Arial"/>
                <w:sz w:val="20"/>
              </w:rPr>
              <w:t>1,018</w:t>
            </w:r>
            <w:r w:rsidR="0086091A" w:rsidRPr="00E70587">
              <w:rPr>
                <w:rFonts w:ascii="Arial" w:hAnsi="Arial" w:cs="Arial"/>
                <w:sz w:val="20"/>
              </w:rPr>
              <w:t xml:space="preserve"> </w:t>
            </w:r>
          </w:p>
        </w:tc>
      </w:tr>
      <w:tr w:rsidR="0086091A" w:rsidRPr="00E70587" w14:paraId="5C263938" w14:textId="77777777" w:rsidTr="00987D4E">
        <w:tc>
          <w:tcPr>
            <w:tcW w:w="3150" w:type="dxa"/>
            <w:tcMar>
              <w:top w:w="28" w:type="dxa"/>
              <w:bottom w:w="28" w:type="dxa"/>
            </w:tcMar>
            <w:vAlign w:val="bottom"/>
          </w:tcPr>
          <w:p w14:paraId="0E7C0255"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Quoted debt securities</w:t>
            </w:r>
          </w:p>
        </w:tc>
        <w:tc>
          <w:tcPr>
            <w:tcW w:w="1710" w:type="dxa"/>
          </w:tcPr>
          <w:p w14:paraId="46723272"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086" w:type="dxa"/>
            <w:tcMar>
              <w:top w:w="28" w:type="dxa"/>
              <w:bottom w:w="28" w:type="dxa"/>
            </w:tcMar>
            <w:vAlign w:val="center"/>
          </w:tcPr>
          <w:p w14:paraId="260628C4"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074" w:type="dxa"/>
            <w:tcMar>
              <w:top w:w="28" w:type="dxa"/>
              <w:bottom w:w="28" w:type="dxa"/>
            </w:tcMar>
            <w:vAlign w:val="center"/>
          </w:tcPr>
          <w:p w14:paraId="5556A984"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260" w:type="dxa"/>
            <w:gridSpan w:val="2"/>
            <w:tcMar>
              <w:top w:w="28" w:type="dxa"/>
              <w:bottom w:w="28" w:type="dxa"/>
            </w:tcMar>
            <w:vAlign w:val="center"/>
          </w:tcPr>
          <w:p w14:paraId="78B1FD46"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sz w:val="20"/>
                <w:lang w:val="en-IN"/>
              </w:rPr>
            </w:pPr>
          </w:p>
        </w:tc>
        <w:tc>
          <w:tcPr>
            <w:tcW w:w="1350" w:type="dxa"/>
            <w:tcMar>
              <w:top w:w="28" w:type="dxa"/>
              <w:bottom w:w="28" w:type="dxa"/>
            </w:tcMar>
            <w:vAlign w:val="center"/>
          </w:tcPr>
          <w:p w14:paraId="5F4E5BD7"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sz w:val="20"/>
                <w:lang w:val="en-IN"/>
              </w:rPr>
            </w:pPr>
          </w:p>
        </w:tc>
      </w:tr>
      <w:tr w:rsidR="0086091A" w:rsidRPr="00E70587" w14:paraId="68126A57" w14:textId="77777777" w:rsidTr="00987D4E">
        <w:tc>
          <w:tcPr>
            <w:tcW w:w="3150" w:type="dxa"/>
            <w:tcMar>
              <w:top w:w="28" w:type="dxa"/>
              <w:bottom w:w="28" w:type="dxa"/>
            </w:tcMar>
            <w:vAlign w:val="bottom"/>
          </w:tcPr>
          <w:p w14:paraId="416E0BAF"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Corporate bonds</w:t>
            </w:r>
            <w:r w:rsidR="00440558" w:rsidRPr="00E70587">
              <w:rPr>
                <w:rFonts w:ascii="Arial" w:hAnsi="Arial" w:cs="Arial"/>
                <w:sz w:val="20"/>
                <w:lang w:val="en-IN"/>
              </w:rPr>
              <w:t>:</w:t>
            </w:r>
            <w:r w:rsidRPr="00E70587">
              <w:rPr>
                <w:rFonts w:ascii="Arial" w:hAnsi="Arial" w:cs="Arial"/>
                <w:sz w:val="20"/>
                <w:lang w:val="en-IN"/>
              </w:rPr>
              <w:t xml:space="preserve"> </w:t>
            </w:r>
            <w:r w:rsidR="00440558" w:rsidRPr="00E70587">
              <w:rPr>
                <w:rFonts w:ascii="Arial" w:hAnsi="Arial" w:cs="Arial"/>
                <w:sz w:val="20"/>
                <w:lang w:val="en-IN"/>
              </w:rPr>
              <w:t>C</w:t>
            </w:r>
            <w:r w:rsidRPr="00E70587">
              <w:rPr>
                <w:rFonts w:ascii="Arial" w:hAnsi="Arial" w:cs="Arial"/>
                <w:sz w:val="20"/>
                <w:lang w:val="en-IN"/>
              </w:rPr>
              <w:t>onsumer products sector</w:t>
            </w:r>
          </w:p>
        </w:tc>
        <w:tc>
          <w:tcPr>
            <w:tcW w:w="1710" w:type="dxa"/>
            <w:vAlign w:val="center"/>
          </w:tcPr>
          <w:p w14:paraId="35C31975" w14:textId="68CCA197" w:rsidR="0086091A" w:rsidRPr="00E70587" w:rsidRDefault="0086091A" w:rsidP="00987D4E">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5F2971" w:rsidRPr="00E70587">
              <w:rPr>
                <w:rFonts w:ascii="Arial" w:hAnsi="Arial" w:cs="Arial"/>
                <w:sz w:val="20"/>
                <w:lang w:val="en-IN"/>
              </w:rPr>
              <w:t>20</w:t>
            </w:r>
            <w:r w:rsidR="005F2971">
              <w:rPr>
                <w:rFonts w:ascii="Arial" w:hAnsi="Arial" w:cs="Arial"/>
                <w:sz w:val="20"/>
                <w:lang w:val="en-IN"/>
              </w:rPr>
              <w:t>21</w:t>
            </w:r>
          </w:p>
        </w:tc>
        <w:tc>
          <w:tcPr>
            <w:tcW w:w="1086" w:type="dxa"/>
            <w:tcMar>
              <w:top w:w="28" w:type="dxa"/>
              <w:bottom w:w="28" w:type="dxa"/>
            </w:tcMar>
            <w:vAlign w:val="center"/>
          </w:tcPr>
          <w:p w14:paraId="18B47207" w14:textId="77777777" w:rsidR="0086091A" w:rsidRPr="00E70587" w:rsidRDefault="00950163" w:rsidP="00987D4E">
            <w:pPr>
              <w:spacing w:line="280" w:lineRule="exact"/>
              <w:jc w:val="right"/>
              <w:rPr>
                <w:rFonts w:ascii="Arial" w:hAnsi="Arial" w:cs="Arial"/>
                <w:sz w:val="20"/>
              </w:rPr>
            </w:pPr>
            <w:r w:rsidRPr="00E70587">
              <w:rPr>
                <w:rFonts w:ascii="Arial" w:hAnsi="Arial" w:cs="Arial"/>
                <w:sz w:val="20"/>
              </w:rPr>
              <w:t xml:space="preserve"> </w:t>
            </w:r>
            <w:r w:rsidR="00B406CB" w:rsidRPr="00E70587">
              <w:rPr>
                <w:rFonts w:ascii="Arial" w:hAnsi="Arial" w:cs="Arial"/>
                <w:sz w:val="20"/>
              </w:rPr>
              <w:t>452</w:t>
            </w:r>
            <w:r w:rsidRPr="00E70587">
              <w:rPr>
                <w:rFonts w:ascii="Arial" w:hAnsi="Arial" w:cs="Arial"/>
                <w:sz w:val="20"/>
              </w:rPr>
              <w:t xml:space="preserve"> </w:t>
            </w:r>
          </w:p>
        </w:tc>
        <w:tc>
          <w:tcPr>
            <w:tcW w:w="1074" w:type="dxa"/>
            <w:tcMar>
              <w:top w:w="28" w:type="dxa"/>
              <w:bottom w:w="28" w:type="dxa"/>
            </w:tcMar>
            <w:vAlign w:val="center"/>
          </w:tcPr>
          <w:p w14:paraId="5D8725D2" w14:textId="77777777" w:rsidR="0086091A" w:rsidRPr="00E70587" w:rsidRDefault="00950163" w:rsidP="00987D4E">
            <w:pPr>
              <w:spacing w:line="280" w:lineRule="exact"/>
              <w:jc w:val="right"/>
              <w:rPr>
                <w:rFonts w:ascii="Arial" w:hAnsi="Arial" w:cs="Arial"/>
                <w:sz w:val="20"/>
              </w:rPr>
            </w:pPr>
            <w:r w:rsidRPr="00E70587">
              <w:rPr>
                <w:rFonts w:ascii="Arial" w:hAnsi="Arial" w:cs="Arial"/>
                <w:sz w:val="20"/>
              </w:rPr>
              <w:t xml:space="preserve"> </w:t>
            </w:r>
            <w:r w:rsidR="00B406CB" w:rsidRPr="00E70587">
              <w:rPr>
                <w:rFonts w:ascii="Arial" w:hAnsi="Arial" w:cs="Arial"/>
                <w:sz w:val="20"/>
              </w:rPr>
              <w:t>452</w:t>
            </w:r>
            <w:r w:rsidR="0086091A" w:rsidRPr="00E70587">
              <w:rPr>
                <w:rFonts w:ascii="Arial" w:hAnsi="Arial" w:cs="Arial"/>
                <w:sz w:val="20"/>
              </w:rPr>
              <w:t xml:space="preserve"> </w:t>
            </w:r>
          </w:p>
        </w:tc>
        <w:tc>
          <w:tcPr>
            <w:tcW w:w="1260" w:type="dxa"/>
            <w:gridSpan w:val="2"/>
            <w:tcMar>
              <w:top w:w="28" w:type="dxa"/>
              <w:bottom w:w="28" w:type="dxa"/>
            </w:tcMar>
            <w:vAlign w:val="center"/>
          </w:tcPr>
          <w:p w14:paraId="24C2DABC"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350" w:type="dxa"/>
            <w:tcMar>
              <w:top w:w="28" w:type="dxa"/>
              <w:bottom w:w="28" w:type="dxa"/>
            </w:tcMar>
            <w:vAlign w:val="center"/>
          </w:tcPr>
          <w:p w14:paraId="624E11EC"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r>
      <w:tr w:rsidR="0086091A" w:rsidRPr="00E70587" w14:paraId="78B2CD8A" w14:textId="77777777" w:rsidTr="00987D4E">
        <w:tc>
          <w:tcPr>
            <w:tcW w:w="3150" w:type="dxa"/>
            <w:tcMar>
              <w:top w:w="28" w:type="dxa"/>
              <w:bottom w:w="28" w:type="dxa"/>
            </w:tcMar>
            <w:vAlign w:val="bottom"/>
          </w:tcPr>
          <w:p w14:paraId="2586831E"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Corporate bonds</w:t>
            </w:r>
            <w:r w:rsidR="00440558" w:rsidRPr="00E70587">
              <w:rPr>
                <w:rFonts w:ascii="Arial" w:hAnsi="Arial" w:cs="Arial"/>
                <w:sz w:val="20"/>
                <w:lang w:val="en-IN"/>
              </w:rPr>
              <w:t>:</w:t>
            </w:r>
            <w:r w:rsidRPr="00E70587">
              <w:rPr>
                <w:rFonts w:ascii="Arial" w:hAnsi="Arial" w:cs="Arial"/>
                <w:sz w:val="20"/>
                <w:lang w:val="en-IN"/>
              </w:rPr>
              <w:t xml:space="preserve"> </w:t>
            </w:r>
            <w:r w:rsidR="00440558" w:rsidRPr="00E70587">
              <w:rPr>
                <w:rFonts w:ascii="Arial" w:hAnsi="Arial" w:cs="Arial"/>
                <w:sz w:val="20"/>
                <w:lang w:val="en-IN"/>
              </w:rPr>
              <w:t>T</w:t>
            </w:r>
            <w:r w:rsidRPr="00E70587">
              <w:rPr>
                <w:rFonts w:ascii="Arial" w:hAnsi="Arial" w:cs="Arial"/>
                <w:sz w:val="20"/>
                <w:lang w:val="en-IN"/>
              </w:rPr>
              <w:t>echnology sector</w:t>
            </w:r>
          </w:p>
        </w:tc>
        <w:tc>
          <w:tcPr>
            <w:tcW w:w="1710" w:type="dxa"/>
            <w:vAlign w:val="center"/>
          </w:tcPr>
          <w:p w14:paraId="3460E4E0" w14:textId="0D5FFF0A" w:rsidR="0086091A" w:rsidRPr="00E70587" w:rsidRDefault="0086091A" w:rsidP="00987D4E">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5F2971" w:rsidRPr="00E70587">
              <w:rPr>
                <w:rFonts w:ascii="Arial" w:hAnsi="Arial" w:cs="Arial"/>
                <w:sz w:val="20"/>
                <w:lang w:val="en-IN"/>
              </w:rPr>
              <w:t>20</w:t>
            </w:r>
            <w:r w:rsidR="005F2971">
              <w:rPr>
                <w:rFonts w:ascii="Arial" w:hAnsi="Arial" w:cs="Arial"/>
                <w:sz w:val="20"/>
                <w:lang w:val="en-IN"/>
              </w:rPr>
              <w:t>21</w:t>
            </w:r>
          </w:p>
        </w:tc>
        <w:tc>
          <w:tcPr>
            <w:tcW w:w="1086" w:type="dxa"/>
            <w:tcMar>
              <w:top w:w="28" w:type="dxa"/>
              <w:bottom w:w="28" w:type="dxa"/>
            </w:tcMar>
            <w:vAlign w:val="center"/>
          </w:tcPr>
          <w:p w14:paraId="04392A17" w14:textId="77777777" w:rsidR="0086091A" w:rsidRPr="00E70587" w:rsidRDefault="00950163" w:rsidP="00987D4E">
            <w:pPr>
              <w:spacing w:line="280" w:lineRule="exact"/>
              <w:jc w:val="right"/>
              <w:rPr>
                <w:rFonts w:ascii="Arial" w:hAnsi="Arial" w:cs="Arial"/>
                <w:sz w:val="20"/>
              </w:rPr>
            </w:pPr>
            <w:r w:rsidRPr="00E70587">
              <w:rPr>
                <w:rFonts w:ascii="Arial" w:hAnsi="Arial" w:cs="Arial"/>
                <w:sz w:val="20"/>
              </w:rPr>
              <w:t xml:space="preserve"> </w:t>
            </w:r>
            <w:r w:rsidR="00B406CB" w:rsidRPr="00E70587">
              <w:rPr>
                <w:rFonts w:ascii="Arial" w:hAnsi="Arial" w:cs="Arial"/>
                <w:sz w:val="20"/>
              </w:rPr>
              <w:t>650</w:t>
            </w:r>
            <w:r w:rsidRPr="00E70587">
              <w:rPr>
                <w:rFonts w:ascii="Arial" w:hAnsi="Arial" w:cs="Arial"/>
                <w:sz w:val="20"/>
              </w:rPr>
              <w:t xml:space="preserve"> </w:t>
            </w:r>
          </w:p>
        </w:tc>
        <w:tc>
          <w:tcPr>
            <w:tcW w:w="1074" w:type="dxa"/>
            <w:tcMar>
              <w:top w:w="28" w:type="dxa"/>
              <w:bottom w:w="28" w:type="dxa"/>
            </w:tcMar>
            <w:vAlign w:val="center"/>
          </w:tcPr>
          <w:p w14:paraId="20105720" w14:textId="77777777" w:rsidR="0086091A" w:rsidRPr="00E70587" w:rsidRDefault="00950163" w:rsidP="00987D4E">
            <w:pPr>
              <w:spacing w:line="280" w:lineRule="exact"/>
              <w:jc w:val="right"/>
              <w:rPr>
                <w:rFonts w:ascii="Arial" w:hAnsi="Arial" w:cs="Arial"/>
                <w:sz w:val="20"/>
              </w:rPr>
            </w:pPr>
            <w:r w:rsidRPr="00E70587">
              <w:rPr>
                <w:rFonts w:ascii="Arial" w:hAnsi="Arial" w:cs="Arial"/>
                <w:sz w:val="20"/>
              </w:rPr>
              <w:t xml:space="preserve"> </w:t>
            </w:r>
            <w:r w:rsidR="00B406CB" w:rsidRPr="00E70587">
              <w:rPr>
                <w:rFonts w:ascii="Arial" w:hAnsi="Arial" w:cs="Arial"/>
                <w:sz w:val="20"/>
              </w:rPr>
              <w:t>650</w:t>
            </w:r>
            <w:r w:rsidR="0086091A" w:rsidRPr="00E70587">
              <w:rPr>
                <w:rFonts w:ascii="Arial" w:hAnsi="Arial" w:cs="Arial"/>
                <w:sz w:val="20"/>
              </w:rPr>
              <w:t xml:space="preserve"> </w:t>
            </w:r>
          </w:p>
        </w:tc>
        <w:tc>
          <w:tcPr>
            <w:tcW w:w="1260" w:type="dxa"/>
            <w:gridSpan w:val="2"/>
            <w:tcMar>
              <w:top w:w="28" w:type="dxa"/>
              <w:bottom w:w="28" w:type="dxa"/>
            </w:tcMar>
            <w:vAlign w:val="center"/>
          </w:tcPr>
          <w:p w14:paraId="2DEB24E4"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350" w:type="dxa"/>
            <w:tcMar>
              <w:top w:w="28" w:type="dxa"/>
              <w:bottom w:w="28" w:type="dxa"/>
            </w:tcMar>
            <w:vAlign w:val="center"/>
          </w:tcPr>
          <w:p w14:paraId="30F3167F"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r>
      <w:tr w:rsidR="0086091A" w:rsidRPr="00E70587" w14:paraId="2F7E3910" w14:textId="77777777" w:rsidTr="00987D4E">
        <w:trPr>
          <w:gridAfter w:val="1"/>
          <w:wAfter w:w="1350" w:type="dxa"/>
        </w:trPr>
        <w:tc>
          <w:tcPr>
            <w:tcW w:w="8280" w:type="dxa"/>
            <w:gridSpan w:val="6"/>
            <w:tcMar>
              <w:top w:w="28" w:type="dxa"/>
              <w:bottom w:w="28" w:type="dxa"/>
            </w:tcMar>
            <w:vAlign w:val="bottom"/>
          </w:tcPr>
          <w:p w14:paraId="7E842B4E"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 xml:space="preserve">Revalued property, plant and equipment (Note </w:t>
            </w:r>
            <w:proofErr w:type="gramStart"/>
            <w:r w:rsidR="000D1D6E" w:rsidRPr="00E70587">
              <w:rPr>
                <w:rFonts w:ascii="Arial" w:hAnsi="Arial" w:cs="Arial"/>
                <w:b/>
                <w:sz w:val="20"/>
                <w:lang w:val="en-IN"/>
              </w:rPr>
              <w:t>3</w:t>
            </w:r>
            <w:r w:rsidRPr="00E70587">
              <w:rPr>
                <w:rFonts w:ascii="Arial" w:hAnsi="Arial" w:cs="Arial"/>
                <w:b/>
                <w:sz w:val="20"/>
                <w:lang w:val="en-IN"/>
              </w:rPr>
              <w:t>)*</w:t>
            </w:r>
            <w:proofErr w:type="gramEnd"/>
            <w:r w:rsidRPr="00E70587">
              <w:rPr>
                <w:rFonts w:ascii="Arial" w:hAnsi="Arial" w:cs="Arial"/>
                <w:b/>
                <w:sz w:val="20"/>
                <w:lang w:val="en-IN"/>
              </w:rPr>
              <w:t>:</w:t>
            </w:r>
          </w:p>
        </w:tc>
      </w:tr>
      <w:tr w:rsidR="0086091A" w:rsidRPr="00E70587" w14:paraId="1D8E64F4" w14:textId="77777777" w:rsidTr="00987D4E">
        <w:tc>
          <w:tcPr>
            <w:tcW w:w="3150" w:type="dxa"/>
            <w:tcMar>
              <w:top w:w="28" w:type="dxa"/>
              <w:bottom w:w="28" w:type="dxa"/>
            </w:tcMar>
            <w:vAlign w:val="bottom"/>
          </w:tcPr>
          <w:p w14:paraId="185FD9AE"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Office properties in India</w:t>
            </w:r>
          </w:p>
        </w:tc>
        <w:tc>
          <w:tcPr>
            <w:tcW w:w="1710" w:type="dxa"/>
            <w:vAlign w:val="bottom"/>
          </w:tcPr>
          <w:p w14:paraId="302EAAE6" w14:textId="36C7ECAA" w:rsidR="0086091A" w:rsidRPr="00E70587" w:rsidRDefault="00217FE8"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504D99" w:rsidRPr="00E70587">
              <w:rPr>
                <w:rFonts w:ascii="Arial" w:hAnsi="Arial" w:cs="Arial"/>
                <w:sz w:val="20"/>
                <w:lang w:val="en-IN"/>
              </w:rPr>
              <w:t>October</w:t>
            </w:r>
            <w:r w:rsidR="00987D4E" w:rsidRPr="00E70587">
              <w:rPr>
                <w:rFonts w:ascii="Arial" w:hAnsi="Arial" w:cs="Arial"/>
                <w:sz w:val="20"/>
                <w:lang w:val="en-IN"/>
              </w:rPr>
              <w:t xml:space="preserve"> </w:t>
            </w:r>
            <w:r w:rsidR="00465F1D" w:rsidRPr="00E70587">
              <w:rPr>
                <w:rFonts w:ascii="Arial" w:hAnsi="Arial" w:cs="Arial"/>
                <w:sz w:val="20"/>
                <w:lang w:val="en-IN"/>
              </w:rPr>
              <w:t>20</w:t>
            </w:r>
            <w:r w:rsidR="00465F1D">
              <w:rPr>
                <w:rFonts w:ascii="Arial" w:hAnsi="Arial" w:cs="Arial"/>
                <w:sz w:val="20"/>
                <w:lang w:val="en-IN"/>
              </w:rPr>
              <w:t>20</w:t>
            </w:r>
          </w:p>
        </w:tc>
        <w:tc>
          <w:tcPr>
            <w:tcW w:w="1086" w:type="dxa"/>
            <w:tcMar>
              <w:top w:w="28" w:type="dxa"/>
              <w:bottom w:w="28" w:type="dxa"/>
            </w:tcMar>
            <w:vAlign w:val="center"/>
          </w:tcPr>
          <w:p w14:paraId="095F065C"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 xml:space="preserve">19,402 </w:t>
            </w:r>
          </w:p>
        </w:tc>
        <w:tc>
          <w:tcPr>
            <w:tcW w:w="1164" w:type="dxa"/>
            <w:gridSpan w:val="2"/>
            <w:tcMar>
              <w:top w:w="28" w:type="dxa"/>
              <w:bottom w:w="28" w:type="dxa"/>
            </w:tcMar>
            <w:vAlign w:val="center"/>
          </w:tcPr>
          <w:p w14:paraId="1D83B1DE"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 -</w:t>
            </w:r>
          </w:p>
        </w:tc>
        <w:tc>
          <w:tcPr>
            <w:tcW w:w="1170" w:type="dxa"/>
            <w:tcMar>
              <w:top w:w="28" w:type="dxa"/>
              <w:bottom w:w="28" w:type="dxa"/>
            </w:tcMar>
            <w:vAlign w:val="center"/>
          </w:tcPr>
          <w:p w14:paraId="604B5F33"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 -</w:t>
            </w:r>
          </w:p>
        </w:tc>
        <w:tc>
          <w:tcPr>
            <w:tcW w:w="1350" w:type="dxa"/>
            <w:tcMar>
              <w:top w:w="28" w:type="dxa"/>
              <w:bottom w:w="28" w:type="dxa"/>
            </w:tcMar>
            <w:vAlign w:val="center"/>
          </w:tcPr>
          <w:p w14:paraId="4690014B"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 xml:space="preserve">19,402 </w:t>
            </w:r>
          </w:p>
        </w:tc>
      </w:tr>
      <w:tr w:rsidR="0086091A" w:rsidRPr="00E70587" w14:paraId="19B7C1FC" w14:textId="77777777" w:rsidTr="00FA1F28">
        <w:tc>
          <w:tcPr>
            <w:tcW w:w="3150" w:type="dxa"/>
            <w:tcMar>
              <w:top w:w="28" w:type="dxa"/>
              <w:bottom w:w="28" w:type="dxa"/>
            </w:tcMar>
            <w:vAlign w:val="bottom"/>
          </w:tcPr>
          <w:p w14:paraId="7AC39BC9" w14:textId="77777777" w:rsidR="0086091A" w:rsidRPr="00E70587" w:rsidRDefault="0086091A" w:rsidP="00FA1F28">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 xml:space="preserve">Discontinued operation (Note </w:t>
            </w:r>
            <w:r w:rsidR="00FA1F28" w:rsidRPr="00E70587">
              <w:rPr>
                <w:rFonts w:ascii="Arial" w:hAnsi="Arial" w:cs="Arial"/>
                <w:b/>
                <w:sz w:val="20"/>
                <w:lang w:val="en-IN"/>
              </w:rPr>
              <w:t>21</w:t>
            </w:r>
            <w:r w:rsidRPr="00E70587">
              <w:rPr>
                <w:rFonts w:ascii="Arial" w:hAnsi="Arial" w:cs="Arial"/>
                <w:b/>
                <w:sz w:val="20"/>
                <w:lang w:val="en-IN"/>
              </w:rPr>
              <w:t>)</w:t>
            </w:r>
          </w:p>
        </w:tc>
        <w:tc>
          <w:tcPr>
            <w:tcW w:w="1710" w:type="dxa"/>
            <w:vAlign w:val="center"/>
          </w:tcPr>
          <w:p w14:paraId="3D3C623C" w14:textId="2ECEFAEB" w:rsidR="0086091A" w:rsidRPr="00E70587" w:rsidRDefault="0086091A" w:rsidP="00FA1F28">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465F1D" w:rsidRPr="00E70587">
              <w:rPr>
                <w:rFonts w:ascii="Arial" w:hAnsi="Arial" w:cs="Arial"/>
                <w:sz w:val="20"/>
                <w:lang w:val="en-IN"/>
              </w:rPr>
              <w:t>20</w:t>
            </w:r>
            <w:r w:rsidR="00465F1D">
              <w:rPr>
                <w:rFonts w:ascii="Arial" w:hAnsi="Arial" w:cs="Arial"/>
                <w:sz w:val="20"/>
                <w:lang w:val="en-IN"/>
              </w:rPr>
              <w:t>21</w:t>
            </w:r>
          </w:p>
        </w:tc>
        <w:tc>
          <w:tcPr>
            <w:tcW w:w="1086" w:type="dxa"/>
            <w:tcMar>
              <w:top w:w="28" w:type="dxa"/>
              <w:bottom w:w="28" w:type="dxa"/>
            </w:tcMar>
            <w:vAlign w:val="center"/>
          </w:tcPr>
          <w:p w14:paraId="50916725" w14:textId="77777777" w:rsidR="0086091A" w:rsidRPr="00E70587" w:rsidRDefault="0086091A" w:rsidP="00FA1F28">
            <w:pPr>
              <w:spacing w:line="280" w:lineRule="exact"/>
              <w:jc w:val="right"/>
              <w:rPr>
                <w:rFonts w:ascii="Arial" w:hAnsi="Arial" w:cs="Arial"/>
                <w:sz w:val="20"/>
              </w:rPr>
            </w:pPr>
            <w:r w:rsidRPr="00E70587">
              <w:rPr>
                <w:rFonts w:ascii="Arial" w:hAnsi="Arial" w:cs="Arial"/>
                <w:sz w:val="20"/>
              </w:rPr>
              <w:t xml:space="preserve">4,952 </w:t>
            </w:r>
          </w:p>
        </w:tc>
        <w:tc>
          <w:tcPr>
            <w:tcW w:w="1164" w:type="dxa"/>
            <w:gridSpan w:val="2"/>
            <w:tcMar>
              <w:top w:w="28" w:type="dxa"/>
              <w:bottom w:w="28" w:type="dxa"/>
            </w:tcMar>
            <w:vAlign w:val="center"/>
          </w:tcPr>
          <w:p w14:paraId="752EDDFD" w14:textId="77777777" w:rsidR="0086091A" w:rsidRPr="00E70587" w:rsidRDefault="0086091A" w:rsidP="00FA1F28">
            <w:pPr>
              <w:spacing w:line="280" w:lineRule="exact"/>
              <w:jc w:val="right"/>
              <w:rPr>
                <w:rFonts w:ascii="Arial" w:hAnsi="Arial" w:cs="Arial"/>
                <w:sz w:val="20"/>
              </w:rPr>
            </w:pPr>
            <w:r w:rsidRPr="00E70587">
              <w:rPr>
                <w:rFonts w:ascii="Arial" w:hAnsi="Arial" w:cs="Arial"/>
                <w:sz w:val="20"/>
              </w:rPr>
              <w:t>-</w:t>
            </w:r>
          </w:p>
        </w:tc>
        <w:tc>
          <w:tcPr>
            <w:tcW w:w="1170" w:type="dxa"/>
            <w:tcMar>
              <w:top w:w="28" w:type="dxa"/>
              <w:bottom w:w="28" w:type="dxa"/>
            </w:tcMar>
            <w:vAlign w:val="center"/>
          </w:tcPr>
          <w:p w14:paraId="2207342A" w14:textId="77777777" w:rsidR="0086091A" w:rsidRPr="00E70587" w:rsidRDefault="0086091A" w:rsidP="00FA1F28">
            <w:pPr>
              <w:spacing w:line="280" w:lineRule="exact"/>
              <w:jc w:val="right"/>
              <w:rPr>
                <w:rFonts w:ascii="Arial" w:hAnsi="Arial" w:cs="Arial"/>
                <w:sz w:val="20"/>
              </w:rPr>
            </w:pPr>
            <w:r w:rsidRPr="00E70587">
              <w:rPr>
                <w:rFonts w:ascii="Arial" w:hAnsi="Arial" w:cs="Arial"/>
                <w:sz w:val="20"/>
              </w:rPr>
              <w:t>-</w:t>
            </w:r>
          </w:p>
        </w:tc>
        <w:tc>
          <w:tcPr>
            <w:tcW w:w="1350" w:type="dxa"/>
            <w:tcMar>
              <w:top w:w="28" w:type="dxa"/>
              <w:bottom w:w="28" w:type="dxa"/>
            </w:tcMar>
            <w:vAlign w:val="center"/>
          </w:tcPr>
          <w:p w14:paraId="0968EF7A" w14:textId="77777777" w:rsidR="0086091A" w:rsidRPr="00E70587" w:rsidRDefault="00950163" w:rsidP="00FA1F28">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 xml:space="preserve">4,952 </w:t>
            </w:r>
          </w:p>
        </w:tc>
      </w:tr>
      <w:tr w:rsidR="0086091A" w:rsidRPr="00E70587" w14:paraId="1D5C964B" w14:textId="77777777" w:rsidTr="00987D4E">
        <w:tc>
          <w:tcPr>
            <w:tcW w:w="3150" w:type="dxa"/>
            <w:tcMar>
              <w:top w:w="28" w:type="dxa"/>
              <w:bottom w:w="28" w:type="dxa"/>
            </w:tcMar>
            <w:vAlign w:val="bottom"/>
          </w:tcPr>
          <w:p w14:paraId="3999AFE6"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710" w:type="dxa"/>
            <w:vAlign w:val="bottom"/>
          </w:tcPr>
          <w:p w14:paraId="57FDCBBE"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086" w:type="dxa"/>
            <w:tcMar>
              <w:top w:w="28" w:type="dxa"/>
              <w:bottom w:w="28" w:type="dxa"/>
            </w:tcMar>
            <w:vAlign w:val="bottom"/>
          </w:tcPr>
          <w:p w14:paraId="3E7E12E9"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64" w:type="dxa"/>
            <w:gridSpan w:val="2"/>
            <w:tcMar>
              <w:top w:w="28" w:type="dxa"/>
              <w:bottom w:w="28" w:type="dxa"/>
            </w:tcMar>
            <w:vAlign w:val="bottom"/>
          </w:tcPr>
          <w:p w14:paraId="05A85B26"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70" w:type="dxa"/>
            <w:tcMar>
              <w:top w:w="28" w:type="dxa"/>
              <w:bottom w:w="28" w:type="dxa"/>
            </w:tcMar>
            <w:vAlign w:val="bottom"/>
          </w:tcPr>
          <w:p w14:paraId="26BD86DD"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350" w:type="dxa"/>
            <w:tcMar>
              <w:top w:w="28" w:type="dxa"/>
              <w:bottom w:w="28" w:type="dxa"/>
            </w:tcMar>
            <w:vAlign w:val="bottom"/>
          </w:tcPr>
          <w:p w14:paraId="4FEB9FC1"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86091A" w:rsidRPr="00E70587" w14:paraId="50264C75" w14:textId="77777777" w:rsidTr="00987D4E">
        <w:tc>
          <w:tcPr>
            <w:tcW w:w="8280" w:type="dxa"/>
            <w:gridSpan w:val="6"/>
            <w:tcMar>
              <w:top w:w="28" w:type="dxa"/>
              <w:bottom w:w="28" w:type="dxa"/>
            </w:tcMar>
            <w:vAlign w:val="bottom"/>
          </w:tcPr>
          <w:p w14:paraId="03FE734C" w14:textId="557CD5F2" w:rsidR="0086091A" w:rsidRPr="00E70587" w:rsidRDefault="0086091A" w:rsidP="001C1C23">
            <w:pPr>
              <w:pStyle w:val="Heading5"/>
              <w:spacing w:before="0" w:after="0" w:line="280" w:lineRule="exact"/>
              <w:rPr>
                <w:rFonts w:ascii="Arial" w:hAnsi="Arial" w:cs="Arial"/>
                <w:sz w:val="20"/>
                <w:szCs w:val="20"/>
              </w:rPr>
            </w:pPr>
            <w:r w:rsidRPr="00E70587">
              <w:rPr>
                <w:rFonts w:ascii="Arial" w:hAnsi="Arial" w:cs="Arial"/>
                <w:sz w:val="20"/>
                <w:szCs w:val="20"/>
              </w:rPr>
              <w:t xml:space="preserve">Assets for which fair values are disclosed (Note </w:t>
            </w:r>
            <w:r w:rsidR="003B4FAA" w:rsidRPr="00E70587">
              <w:rPr>
                <w:rFonts w:ascii="Arial" w:hAnsi="Arial" w:cs="Arial"/>
                <w:sz w:val="20"/>
                <w:szCs w:val="20"/>
              </w:rPr>
              <w:t>4</w:t>
            </w:r>
            <w:r w:rsidR="003B4FAA">
              <w:rPr>
                <w:rFonts w:ascii="Arial" w:hAnsi="Arial" w:cs="Arial"/>
                <w:sz w:val="20"/>
                <w:szCs w:val="20"/>
              </w:rPr>
              <w:t>7</w:t>
            </w:r>
            <w:r w:rsidRPr="00E70587">
              <w:rPr>
                <w:rFonts w:ascii="Arial" w:hAnsi="Arial" w:cs="Arial"/>
                <w:sz w:val="20"/>
                <w:szCs w:val="20"/>
              </w:rPr>
              <w:t>):</w:t>
            </w:r>
          </w:p>
        </w:tc>
        <w:tc>
          <w:tcPr>
            <w:tcW w:w="1350" w:type="dxa"/>
            <w:tcMar>
              <w:top w:w="28" w:type="dxa"/>
              <w:bottom w:w="28" w:type="dxa"/>
            </w:tcMar>
            <w:vAlign w:val="bottom"/>
          </w:tcPr>
          <w:p w14:paraId="5399D8FD"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86091A" w:rsidRPr="00E70587" w14:paraId="51EE4070" w14:textId="77777777" w:rsidTr="00987D4E">
        <w:tc>
          <w:tcPr>
            <w:tcW w:w="4860" w:type="dxa"/>
            <w:gridSpan w:val="2"/>
            <w:tcMar>
              <w:top w:w="28" w:type="dxa"/>
              <w:bottom w:w="28" w:type="dxa"/>
            </w:tcMar>
            <w:vAlign w:val="bottom"/>
          </w:tcPr>
          <w:p w14:paraId="68500994"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Investment properties (Note </w:t>
            </w:r>
            <w:r w:rsidR="000D1D6E" w:rsidRPr="00E70587">
              <w:rPr>
                <w:rFonts w:ascii="Arial" w:hAnsi="Arial" w:cs="Arial"/>
                <w:sz w:val="20"/>
                <w:lang w:val="en-IN"/>
              </w:rPr>
              <w:t>4</w:t>
            </w:r>
            <w:r w:rsidRPr="00E70587">
              <w:rPr>
                <w:rFonts w:ascii="Arial" w:hAnsi="Arial" w:cs="Arial"/>
                <w:sz w:val="20"/>
                <w:lang w:val="en-IN"/>
              </w:rPr>
              <w:t>):</w:t>
            </w:r>
          </w:p>
        </w:tc>
        <w:tc>
          <w:tcPr>
            <w:tcW w:w="1086" w:type="dxa"/>
            <w:tcMar>
              <w:top w:w="28" w:type="dxa"/>
              <w:bottom w:w="28" w:type="dxa"/>
            </w:tcMar>
            <w:vAlign w:val="bottom"/>
          </w:tcPr>
          <w:p w14:paraId="618C743D"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64" w:type="dxa"/>
            <w:gridSpan w:val="2"/>
            <w:tcMar>
              <w:top w:w="28" w:type="dxa"/>
              <w:bottom w:w="28" w:type="dxa"/>
            </w:tcMar>
          </w:tcPr>
          <w:p w14:paraId="64544391"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70" w:type="dxa"/>
            <w:tcMar>
              <w:top w:w="28" w:type="dxa"/>
              <w:bottom w:w="28" w:type="dxa"/>
            </w:tcMar>
          </w:tcPr>
          <w:p w14:paraId="0FB0F1BD"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350" w:type="dxa"/>
            <w:tcMar>
              <w:top w:w="28" w:type="dxa"/>
              <w:bottom w:w="28" w:type="dxa"/>
            </w:tcMar>
          </w:tcPr>
          <w:p w14:paraId="12368DE5"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86091A" w:rsidRPr="00E70587" w14:paraId="2946FFBD" w14:textId="77777777" w:rsidTr="00987D4E">
        <w:tc>
          <w:tcPr>
            <w:tcW w:w="3150" w:type="dxa"/>
            <w:tcMar>
              <w:top w:w="28" w:type="dxa"/>
              <w:bottom w:w="28" w:type="dxa"/>
            </w:tcMar>
            <w:vAlign w:val="bottom"/>
          </w:tcPr>
          <w:p w14:paraId="3C2AF602"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 Office properties </w:t>
            </w:r>
          </w:p>
        </w:tc>
        <w:tc>
          <w:tcPr>
            <w:tcW w:w="1710" w:type="dxa"/>
          </w:tcPr>
          <w:p w14:paraId="572C8517" w14:textId="3128972E"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465F1D" w:rsidRPr="00E70587">
              <w:rPr>
                <w:rFonts w:ascii="Arial" w:hAnsi="Arial" w:cs="Arial"/>
                <w:sz w:val="20"/>
                <w:lang w:val="en-IN"/>
              </w:rPr>
              <w:t>20</w:t>
            </w:r>
            <w:r w:rsidR="00465F1D">
              <w:rPr>
                <w:rFonts w:ascii="Arial" w:hAnsi="Arial" w:cs="Arial"/>
                <w:sz w:val="20"/>
                <w:lang w:val="en-IN"/>
              </w:rPr>
              <w:t>21</w:t>
            </w:r>
          </w:p>
        </w:tc>
        <w:tc>
          <w:tcPr>
            <w:tcW w:w="1086" w:type="dxa"/>
            <w:tcMar>
              <w:top w:w="28" w:type="dxa"/>
              <w:bottom w:w="28" w:type="dxa"/>
            </w:tcMar>
            <w:vAlign w:val="center"/>
          </w:tcPr>
          <w:p w14:paraId="61FA9F71"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8,546</w:t>
            </w:r>
            <w:r w:rsidRPr="00E70587">
              <w:rPr>
                <w:rFonts w:ascii="Arial" w:hAnsi="Arial" w:cs="Arial"/>
                <w:sz w:val="20"/>
              </w:rPr>
              <w:t xml:space="preserve"> </w:t>
            </w:r>
          </w:p>
        </w:tc>
        <w:tc>
          <w:tcPr>
            <w:tcW w:w="1164" w:type="dxa"/>
            <w:gridSpan w:val="2"/>
            <w:tcMar>
              <w:top w:w="28" w:type="dxa"/>
              <w:bottom w:w="28" w:type="dxa"/>
            </w:tcMar>
            <w:vAlign w:val="center"/>
          </w:tcPr>
          <w:p w14:paraId="66C394F4"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 -</w:t>
            </w:r>
          </w:p>
        </w:tc>
        <w:tc>
          <w:tcPr>
            <w:tcW w:w="1170" w:type="dxa"/>
            <w:tcMar>
              <w:top w:w="28" w:type="dxa"/>
              <w:bottom w:w="28" w:type="dxa"/>
            </w:tcMar>
            <w:vAlign w:val="center"/>
          </w:tcPr>
          <w:p w14:paraId="78364BD9"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 -</w:t>
            </w:r>
          </w:p>
        </w:tc>
        <w:tc>
          <w:tcPr>
            <w:tcW w:w="1350" w:type="dxa"/>
            <w:tcMar>
              <w:top w:w="28" w:type="dxa"/>
              <w:bottom w:w="28" w:type="dxa"/>
            </w:tcMar>
            <w:vAlign w:val="center"/>
          </w:tcPr>
          <w:p w14:paraId="5608C3A9"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 xml:space="preserve">8,546 </w:t>
            </w:r>
          </w:p>
        </w:tc>
      </w:tr>
      <w:tr w:rsidR="0086091A" w:rsidRPr="00E70587" w14:paraId="496582F1" w14:textId="77777777" w:rsidTr="00987D4E">
        <w:tc>
          <w:tcPr>
            <w:tcW w:w="3150" w:type="dxa"/>
            <w:tcMar>
              <w:top w:w="28" w:type="dxa"/>
              <w:bottom w:w="28" w:type="dxa"/>
            </w:tcMar>
            <w:vAlign w:val="bottom"/>
          </w:tcPr>
          <w:p w14:paraId="23CDCB3B"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 Retail properties </w:t>
            </w:r>
          </w:p>
        </w:tc>
        <w:tc>
          <w:tcPr>
            <w:tcW w:w="1710" w:type="dxa"/>
          </w:tcPr>
          <w:p w14:paraId="28FA5A8C" w14:textId="7D3C999F"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465F1D" w:rsidRPr="00E70587">
              <w:rPr>
                <w:rFonts w:ascii="Arial" w:hAnsi="Arial" w:cs="Arial"/>
                <w:sz w:val="20"/>
                <w:lang w:val="en-IN"/>
              </w:rPr>
              <w:t>20</w:t>
            </w:r>
            <w:r w:rsidR="00465F1D">
              <w:rPr>
                <w:rFonts w:ascii="Arial" w:hAnsi="Arial" w:cs="Arial"/>
                <w:sz w:val="20"/>
                <w:lang w:val="en-IN"/>
              </w:rPr>
              <w:t>21</w:t>
            </w:r>
          </w:p>
        </w:tc>
        <w:tc>
          <w:tcPr>
            <w:tcW w:w="1086" w:type="dxa"/>
            <w:tcMar>
              <w:top w:w="28" w:type="dxa"/>
              <w:bottom w:w="28" w:type="dxa"/>
            </w:tcMar>
            <w:vAlign w:val="center"/>
          </w:tcPr>
          <w:p w14:paraId="2770649C"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9,763</w:t>
            </w:r>
            <w:r w:rsidRPr="00E70587">
              <w:rPr>
                <w:rFonts w:ascii="Arial" w:hAnsi="Arial" w:cs="Arial"/>
                <w:sz w:val="20"/>
              </w:rPr>
              <w:t xml:space="preserve"> </w:t>
            </w:r>
          </w:p>
        </w:tc>
        <w:tc>
          <w:tcPr>
            <w:tcW w:w="1164" w:type="dxa"/>
            <w:gridSpan w:val="2"/>
            <w:tcMar>
              <w:top w:w="28" w:type="dxa"/>
              <w:bottom w:w="28" w:type="dxa"/>
            </w:tcMar>
            <w:vAlign w:val="center"/>
          </w:tcPr>
          <w:p w14:paraId="1DD06D8B"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 -</w:t>
            </w:r>
          </w:p>
        </w:tc>
        <w:tc>
          <w:tcPr>
            <w:tcW w:w="1170" w:type="dxa"/>
            <w:tcMar>
              <w:top w:w="28" w:type="dxa"/>
              <w:bottom w:w="28" w:type="dxa"/>
            </w:tcMar>
            <w:vAlign w:val="center"/>
          </w:tcPr>
          <w:p w14:paraId="6007422A"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 -</w:t>
            </w:r>
          </w:p>
        </w:tc>
        <w:tc>
          <w:tcPr>
            <w:tcW w:w="1350" w:type="dxa"/>
            <w:tcMar>
              <w:top w:w="28" w:type="dxa"/>
              <w:bottom w:w="28" w:type="dxa"/>
            </w:tcMar>
            <w:vAlign w:val="center"/>
          </w:tcPr>
          <w:p w14:paraId="118228D7"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 xml:space="preserve">9,763 </w:t>
            </w:r>
          </w:p>
        </w:tc>
      </w:tr>
      <w:tr w:rsidR="0086091A" w:rsidRPr="00E70587" w14:paraId="70FB1CDD" w14:textId="77777777" w:rsidTr="00987D4E">
        <w:tc>
          <w:tcPr>
            <w:tcW w:w="3150" w:type="dxa"/>
            <w:tcMar>
              <w:top w:w="28" w:type="dxa"/>
              <w:bottom w:w="28" w:type="dxa"/>
            </w:tcMar>
            <w:vAlign w:val="bottom"/>
          </w:tcPr>
          <w:p w14:paraId="565D324A"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Loan and receivables </w:t>
            </w:r>
          </w:p>
        </w:tc>
        <w:tc>
          <w:tcPr>
            <w:tcW w:w="1710" w:type="dxa"/>
            <w:vAlign w:val="bottom"/>
          </w:tcPr>
          <w:p w14:paraId="505F1973"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086" w:type="dxa"/>
            <w:tcMar>
              <w:top w:w="28" w:type="dxa"/>
              <w:bottom w:w="28" w:type="dxa"/>
            </w:tcMar>
            <w:vAlign w:val="bottom"/>
          </w:tcPr>
          <w:p w14:paraId="6B601F13"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64" w:type="dxa"/>
            <w:gridSpan w:val="2"/>
            <w:tcMar>
              <w:top w:w="28" w:type="dxa"/>
              <w:bottom w:w="28" w:type="dxa"/>
            </w:tcMar>
          </w:tcPr>
          <w:p w14:paraId="619514FC"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70" w:type="dxa"/>
            <w:tcMar>
              <w:top w:w="28" w:type="dxa"/>
              <w:bottom w:w="28" w:type="dxa"/>
            </w:tcMar>
          </w:tcPr>
          <w:p w14:paraId="2F52F5C5"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350" w:type="dxa"/>
            <w:tcMar>
              <w:top w:w="28" w:type="dxa"/>
              <w:bottom w:w="28" w:type="dxa"/>
            </w:tcMar>
            <w:vAlign w:val="bottom"/>
          </w:tcPr>
          <w:p w14:paraId="1CAB4176"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86091A" w:rsidRPr="00E70587" w14:paraId="641442B2" w14:textId="77777777" w:rsidTr="00987D4E">
        <w:tc>
          <w:tcPr>
            <w:tcW w:w="3150" w:type="dxa"/>
            <w:tcMar>
              <w:top w:w="28" w:type="dxa"/>
              <w:bottom w:w="28" w:type="dxa"/>
            </w:tcMar>
            <w:vAlign w:val="bottom"/>
          </w:tcPr>
          <w:p w14:paraId="6C8F31AF"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Loan notes (India)</w:t>
            </w:r>
          </w:p>
        </w:tc>
        <w:tc>
          <w:tcPr>
            <w:tcW w:w="1710" w:type="dxa"/>
            <w:vAlign w:val="bottom"/>
          </w:tcPr>
          <w:p w14:paraId="4C71F9E3" w14:textId="18DE67C5"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465F1D" w:rsidRPr="00E70587">
              <w:rPr>
                <w:rFonts w:ascii="Arial" w:hAnsi="Arial" w:cs="Arial"/>
                <w:sz w:val="20"/>
                <w:lang w:val="en-IN"/>
              </w:rPr>
              <w:t>20</w:t>
            </w:r>
            <w:r w:rsidR="00465F1D">
              <w:rPr>
                <w:rFonts w:ascii="Arial" w:hAnsi="Arial" w:cs="Arial"/>
                <w:sz w:val="20"/>
                <w:lang w:val="en-IN"/>
              </w:rPr>
              <w:t>21</w:t>
            </w:r>
          </w:p>
        </w:tc>
        <w:tc>
          <w:tcPr>
            <w:tcW w:w="1086" w:type="dxa"/>
            <w:tcMar>
              <w:top w:w="28" w:type="dxa"/>
              <w:bottom w:w="28" w:type="dxa"/>
            </w:tcMar>
            <w:vAlign w:val="center"/>
          </w:tcPr>
          <w:p w14:paraId="4B8C6849"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2,876</w:t>
            </w:r>
            <w:r w:rsidRPr="00E70587">
              <w:rPr>
                <w:rFonts w:ascii="Arial" w:hAnsi="Arial" w:cs="Arial"/>
                <w:sz w:val="20"/>
              </w:rPr>
              <w:t xml:space="preserve"> </w:t>
            </w:r>
          </w:p>
        </w:tc>
        <w:tc>
          <w:tcPr>
            <w:tcW w:w="1164" w:type="dxa"/>
            <w:gridSpan w:val="2"/>
            <w:tcMar>
              <w:top w:w="28" w:type="dxa"/>
              <w:bottom w:w="28" w:type="dxa"/>
            </w:tcMar>
            <w:vAlign w:val="center"/>
          </w:tcPr>
          <w:p w14:paraId="648984CB"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170" w:type="dxa"/>
            <w:tcMar>
              <w:top w:w="28" w:type="dxa"/>
              <w:bottom w:w="28" w:type="dxa"/>
            </w:tcMar>
            <w:vAlign w:val="center"/>
          </w:tcPr>
          <w:p w14:paraId="0AB85C81"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 xml:space="preserve">2,876 </w:t>
            </w:r>
          </w:p>
        </w:tc>
        <w:tc>
          <w:tcPr>
            <w:tcW w:w="1350" w:type="dxa"/>
            <w:tcMar>
              <w:top w:w="28" w:type="dxa"/>
              <w:bottom w:w="28" w:type="dxa"/>
            </w:tcMar>
            <w:vAlign w:val="center"/>
          </w:tcPr>
          <w:p w14:paraId="5DC184E6"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r>
      <w:tr w:rsidR="0086091A" w:rsidRPr="00E70587" w14:paraId="28F08FFB" w14:textId="77777777" w:rsidTr="00987D4E">
        <w:tc>
          <w:tcPr>
            <w:tcW w:w="3150" w:type="dxa"/>
            <w:tcMar>
              <w:top w:w="28" w:type="dxa"/>
              <w:bottom w:w="28" w:type="dxa"/>
            </w:tcMar>
            <w:vAlign w:val="bottom"/>
          </w:tcPr>
          <w:p w14:paraId="784F8A04"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Loan notes (US)</w:t>
            </w:r>
          </w:p>
        </w:tc>
        <w:tc>
          <w:tcPr>
            <w:tcW w:w="1710" w:type="dxa"/>
            <w:vAlign w:val="bottom"/>
          </w:tcPr>
          <w:p w14:paraId="1E6EB61D" w14:textId="273F9F8C"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465F1D" w:rsidRPr="00E70587">
              <w:rPr>
                <w:rFonts w:ascii="Arial" w:hAnsi="Arial" w:cs="Arial"/>
                <w:sz w:val="20"/>
                <w:lang w:val="en-IN"/>
              </w:rPr>
              <w:t>20</w:t>
            </w:r>
            <w:r w:rsidR="00465F1D">
              <w:rPr>
                <w:rFonts w:ascii="Arial" w:hAnsi="Arial" w:cs="Arial"/>
                <w:sz w:val="20"/>
                <w:lang w:val="en-IN"/>
              </w:rPr>
              <w:t>21</w:t>
            </w:r>
          </w:p>
        </w:tc>
        <w:tc>
          <w:tcPr>
            <w:tcW w:w="1086" w:type="dxa"/>
            <w:tcMar>
              <w:top w:w="28" w:type="dxa"/>
              <w:bottom w:w="28" w:type="dxa"/>
            </w:tcMar>
            <w:vAlign w:val="center"/>
          </w:tcPr>
          <w:p w14:paraId="184D375A"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3,870</w:t>
            </w:r>
            <w:r w:rsidRPr="00E70587">
              <w:rPr>
                <w:rFonts w:ascii="Arial" w:hAnsi="Arial" w:cs="Arial"/>
                <w:sz w:val="20"/>
              </w:rPr>
              <w:t xml:space="preserve"> </w:t>
            </w:r>
          </w:p>
        </w:tc>
        <w:tc>
          <w:tcPr>
            <w:tcW w:w="1164" w:type="dxa"/>
            <w:gridSpan w:val="2"/>
            <w:tcMar>
              <w:top w:w="28" w:type="dxa"/>
              <w:bottom w:w="28" w:type="dxa"/>
            </w:tcMar>
            <w:vAlign w:val="center"/>
          </w:tcPr>
          <w:p w14:paraId="65512FBD"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170" w:type="dxa"/>
            <w:tcMar>
              <w:top w:w="28" w:type="dxa"/>
              <w:bottom w:w="28" w:type="dxa"/>
            </w:tcMar>
            <w:vAlign w:val="center"/>
          </w:tcPr>
          <w:p w14:paraId="76A160C4"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 xml:space="preserve">3,870 </w:t>
            </w:r>
          </w:p>
        </w:tc>
        <w:tc>
          <w:tcPr>
            <w:tcW w:w="1350" w:type="dxa"/>
            <w:tcMar>
              <w:top w:w="28" w:type="dxa"/>
              <w:bottom w:w="28" w:type="dxa"/>
            </w:tcMar>
            <w:vAlign w:val="center"/>
          </w:tcPr>
          <w:p w14:paraId="280A29C1"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r>
      <w:tr w:rsidR="0086091A" w:rsidRPr="00E70587" w14:paraId="7A64531A" w14:textId="77777777" w:rsidTr="00987D4E">
        <w:tc>
          <w:tcPr>
            <w:tcW w:w="3150" w:type="dxa"/>
            <w:tcMar>
              <w:top w:w="28" w:type="dxa"/>
              <w:bottom w:w="28" w:type="dxa"/>
            </w:tcMar>
            <w:vAlign w:val="bottom"/>
          </w:tcPr>
          <w:p w14:paraId="2FD052DF"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Loan to an associate</w:t>
            </w:r>
          </w:p>
        </w:tc>
        <w:tc>
          <w:tcPr>
            <w:tcW w:w="1710" w:type="dxa"/>
          </w:tcPr>
          <w:p w14:paraId="660801D0" w14:textId="4ED8936D"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465F1D" w:rsidRPr="00E70587">
              <w:rPr>
                <w:rFonts w:ascii="Arial" w:hAnsi="Arial" w:cs="Arial"/>
                <w:sz w:val="20"/>
                <w:lang w:val="en-IN"/>
              </w:rPr>
              <w:t>20</w:t>
            </w:r>
            <w:r w:rsidR="00465F1D">
              <w:rPr>
                <w:rFonts w:ascii="Arial" w:hAnsi="Arial" w:cs="Arial"/>
                <w:sz w:val="20"/>
                <w:lang w:val="en-IN"/>
              </w:rPr>
              <w:t>21</w:t>
            </w:r>
          </w:p>
        </w:tc>
        <w:tc>
          <w:tcPr>
            <w:tcW w:w="1086" w:type="dxa"/>
            <w:tcMar>
              <w:top w:w="28" w:type="dxa"/>
              <w:bottom w:w="28" w:type="dxa"/>
            </w:tcMar>
            <w:vAlign w:val="center"/>
          </w:tcPr>
          <w:p w14:paraId="5C3A695E"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378</w:t>
            </w:r>
            <w:r w:rsidRPr="00E70587">
              <w:rPr>
                <w:rFonts w:ascii="Arial" w:hAnsi="Arial" w:cs="Arial"/>
                <w:sz w:val="20"/>
              </w:rPr>
              <w:t xml:space="preserve"> </w:t>
            </w:r>
          </w:p>
        </w:tc>
        <w:tc>
          <w:tcPr>
            <w:tcW w:w="1164" w:type="dxa"/>
            <w:gridSpan w:val="2"/>
            <w:tcMar>
              <w:top w:w="28" w:type="dxa"/>
              <w:bottom w:w="28" w:type="dxa"/>
            </w:tcMar>
            <w:vAlign w:val="center"/>
          </w:tcPr>
          <w:p w14:paraId="47E92F10"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170" w:type="dxa"/>
            <w:tcMar>
              <w:top w:w="28" w:type="dxa"/>
              <w:bottom w:w="28" w:type="dxa"/>
            </w:tcMar>
            <w:vAlign w:val="center"/>
          </w:tcPr>
          <w:p w14:paraId="57BF5293"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350" w:type="dxa"/>
            <w:tcMar>
              <w:top w:w="28" w:type="dxa"/>
              <w:bottom w:w="28" w:type="dxa"/>
            </w:tcMar>
            <w:vAlign w:val="center"/>
          </w:tcPr>
          <w:p w14:paraId="61CFC278"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 xml:space="preserve">378 </w:t>
            </w:r>
          </w:p>
        </w:tc>
      </w:tr>
      <w:tr w:rsidR="0086091A" w:rsidRPr="00E70587" w14:paraId="04352606" w14:textId="77777777" w:rsidTr="00987D4E">
        <w:tc>
          <w:tcPr>
            <w:tcW w:w="3150" w:type="dxa"/>
            <w:tcMar>
              <w:top w:w="28" w:type="dxa"/>
              <w:bottom w:w="28" w:type="dxa"/>
            </w:tcMar>
            <w:vAlign w:val="bottom"/>
          </w:tcPr>
          <w:p w14:paraId="75D500A8" w14:textId="659CA712"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Loan to directors</w:t>
            </w:r>
          </w:p>
        </w:tc>
        <w:tc>
          <w:tcPr>
            <w:tcW w:w="1710" w:type="dxa"/>
          </w:tcPr>
          <w:p w14:paraId="078722BF" w14:textId="45C23BA6"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465F1D" w:rsidRPr="00E70587">
              <w:rPr>
                <w:rFonts w:ascii="Arial" w:hAnsi="Arial" w:cs="Arial"/>
                <w:sz w:val="20"/>
                <w:lang w:val="en-IN"/>
              </w:rPr>
              <w:t>20</w:t>
            </w:r>
            <w:r w:rsidR="00465F1D">
              <w:rPr>
                <w:rFonts w:ascii="Arial" w:hAnsi="Arial" w:cs="Arial"/>
                <w:sz w:val="20"/>
                <w:lang w:val="en-IN"/>
              </w:rPr>
              <w:t>21</w:t>
            </w:r>
          </w:p>
        </w:tc>
        <w:tc>
          <w:tcPr>
            <w:tcW w:w="1086" w:type="dxa"/>
            <w:tcMar>
              <w:top w:w="28" w:type="dxa"/>
              <w:bottom w:w="28" w:type="dxa"/>
            </w:tcMar>
            <w:vAlign w:val="center"/>
          </w:tcPr>
          <w:p w14:paraId="664CBAA6"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25</w:t>
            </w:r>
            <w:r w:rsidRPr="00E70587">
              <w:rPr>
                <w:rFonts w:ascii="Arial" w:hAnsi="Arial" w:cs="Arial"/>
                <w:sz w:val="20"/>
              </w:rPr>
              <w:t xml:space="preserve"> </w:t>
            </w:r>
          </w:p>
        </w:tc>
        <w:tc>
          <w:tcPr>
            <w:tcW w:w="1164" w:type="dxa"/>
            <w:gridSpan w:val="2"/>
            <w:tcMar>
              <w:top w:w="28" w:type="dxa"/>
              <w:bottom w:w="28" w:type="dxa"/>
            </w:tcMar>
            <w:vAlign w:val="center"/>
          </w:tcPr>
          <w:p w14:paraId="28A1542A"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170" w:type="dxa"/>
            <w:tcMar>
              <w:top w:w="28" w:type="dxa"/>
              <w:bottom w:w="28" w:type="dxa"/>
            </w:tcMar>
            <w:vAlign w:val="center"/>
          </w:tcPr>
          <w:p w14:paraId="50268B46"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350" w:type="dxa"/>
            <w:tcMar>
              <w:top w:w="28" w:type="dxa"/>
              <w:bottom w:w="28" w:type="dxa"/>
            </w:tcMar>
            <w:vAlign w:val="center"/>
          </w:tcPr>
          <w:p w14:paraId="71B9E939"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 xml:space="preserve">25 </w:t>
            </w:r>
          </w:p>
        </w:tc>
      </w:tr>
    </w:tbl>
    <w:p w14:paraId="06006077" w14:textId="77777777" w:rsidR="008E6D0C" w:rsidRPr="00E70587" w:rsidRDefault="008E6D0C" w:rsidP="009901E1">
      <w:pPr>
        <w:pStyle w:val="Notesbodytext"/>
        <w:spacing w:after="0" w:line="280" w:lineRule="exact"/>
        <w:rPr>
          <w:rFonts w:ascii="Arial" w:hAnsi="Arial"/>
          <w:color w:val="auto"/>
          <w:sz w:val="20"/>
        </w:rPr>
      </w:pPr>
    </w:p>
    <w:tbl>
      <w:tblPr>
        <w:tblW w:w="9576" w:type="dxa"/>
        <w:tblLook w:val="0000" w:firstRow="0" w:lastRow="0" w:firstColumn="0" w:lastColumn="0" w:noHBand="0" w:noVBand="0"/>
      </w:tblPr>
      <w:tblGrid>
        <w:gridCol w:w="9576"/>
      </w:tblGrid>
      <w:tr w:rsidR="00F15C4A" w:rsidRPr="00E70587" w14:paraId="3D0CC36E" w14:textId="77777777" w:rsidTr="00834981">
        <w:tc>
          <w:tcPr>
            <w:tcW w:w="0" w:type="auto"/>
          </w:tcPr>
          <w:p w14:paraId="5781761E" w14:textId="424138CD" w:rsidR="00F15C4A" w:rsidRPr="00E70587" w:rsidRDefault="00F15C4A" w:rsidP="00E03D5A">
            <w:pPr>
              <w:pStyle w:val="Notesbodytext"/>
              <w:spacing w:after="0" w:line="280" w:lineRule="exact"/>
              <w:jc w:val="both"/>
              <w:rPr>
                <w:rFonts w:ascii="Arial" w:hAnsi="Arial"/>
                <w:color w:val="auto"/>
                <w:sz w:val="20"/>
              </w:rPr>
            </w:pPr>
            <w:r w:rsidRPr="00E70587">
              <w:rPr>
                <w:rFonts w:ascii="Arial" w:hAnsi="Arial"/>
                <w:color w:val="auto"/>
                <w:sz w:val="20"/>
              </w:rPr>
              <w:t xml:space="preserve">There have been no transfers between Level 1 and Level 2 during the </w:t>
            </w:r>
            <w:r w:rsidR="00823B6D" w:rsidRPr="00E70587">
              <w:rPr>
                <w:rFonts w:ascii="Arial" w:hAnsi="Arial"/>
                <w:sz w:val="20"/>
              </w:rPr>
              <w:t>year ended 31 March 20</w:t>
            </w:r>
            <w:r w:rsidR="00823B6D">
              <w:rPr>
                <w:rFonts w:ascii="Arial" w:hAnsi="Arial"/>
                <w:sz w:val="20"/>
              </w:rPr>
              <w:t>21</w:t>
            </w:r>
            <w:r w:rsidR="00823B6D" w:rsidRPr="00E70587">
              <w:rPr>
                <w:rFonts w:ascii="Arial" w:hAnsi="Arial"/>
                <w:color w:val="auto"/>
                <w:sz w:val="20"/>
              </w:rPr>
              <w:t>.</w:t>
            </w:r>
          </w:p>
          <w:p w14:paraId="1C9D4247" w14:textId="77777777" w:rsidR="00F15C4A" w:rsidRPr="00E70587" w:rsidRDefault="00F15C4A" w:rsidP="00E03D5A">
            <w:pPr>
              <w:pStyle w:val="Notesbodytext"/>
              <w:spacing w:after="0" w:line="280" w:lineRule="exact"/>
              <w:jc w:val="both"/>
              <w:rPr>
                <w:rFonts w:ascii="Arial" w:hAnsi="Arial"/>
                <w:color w:val="auto"/>
                <w:sz w:val="20"/>
              </w:rPr>
            </w:pPr>
          </w:p>
          <w:p w14:paraId="58046E6A" w14:textId="5B2CF40D" w:rsidR="00F15C4A" w:rsidRPr="00E70587" w:rsidRDefault="00F15C4A" w:rsidP="00A764DA">
            <w:pPr>
              <w:spacing w:line="280" w:lineRule="exact"/>
              <w:jc w:val="both"/>
              <w:rPr>
                <w:rFonts w:ascii="Arial" w:hAnsi="Arial" w:cs="Arial"/>
                <w:sz w:val="20"/>
              </w:rPr>
            </w:pPr>
            <w:r w:rsidRPr="00E70587">
              <w:rPr>
                <w:rFonts w:ascii="Arial" w:hAnsi="Arial" w:cs="Arial"/>
                <w:sz w:val="20"/>
              </w:rPr>
              <w:t xml:space="preserve">* Post transition to </w:t>
            </w:r>
            <w:r w:rsidR="00A764DA" w:rsidRPr="00E70587">
              <w:rPr>
                <w:rFonts w:ascii="Arial" w:hAnsi="Arial" w:cs="Arial"/>
                <w:sz w:val="20"/>
              </w:rPr>
              <w:t>Ind AS</w:t>
            </w:r>
            <w:r w:rsidRPr="00E70587">
              <w:rPr>
                <w:rFonts w:ascii="Arial" w:hAnsi="Arial" w:cs="Arial"/>
                <w:sz w:val="20"/>
              </w:rPr>
              <w:t>, revaluations of property, plant and equ</w:t>
            </w:r>
            <w:r w:rsidR="00E03D5A" w:rsidRPr="00E70587">
              <w:rPr>
                <w:rFonts w:ascii="Arial" w:hAnsi="Arial" w:cs="Arial"/>
                <w:sz w:val="20"/>
              </w:rPr>
              <w:t xml:space="preserve">ipment were recognised in Level </w:t>
            </w:r>
            <w:r w:rsidRPr="00E70587">
              <w:rPr>
                <w:rFonts w:ascii="Arial" w:hAnsi="Arial" w:cs="Arial"/>
                <w:sz w:val="20"/>
              </w:rPr>
              <w:t xml:space="preserve">3 for the first time. Refer to Note </w:t>
            </w:r>
            <w:r w:rsidR="002811F9">
              <w:rPr>
                <w:rFonts w:ascii="Arial" w:hAnsi="Arial" w:cs="Arial"/>
                <w:sz w:val="20"/>
              </w:rPr>
              <w:t>3</w:t>
            </w:r>
            <w:r w:rsidR="002811F9" w:rsidRPr="00E70587">
              <w:rPr>
                <w:rFonts w:ascii="Arial" w:hAnsi="Arial" w:cs="Arial"/>
                <w:sz w:val="20"/>
              </w:rPr>
              <w:t xml:space="preserve"> </w:t>
            </w:r>
            <w:r w:rsidRPr="00E70587">
              <w:rPr>
                <w:rFonts w:ascii="Arial" w:hAnsi="Arial" w:cs="Arial"/>
                <w:sz w:val="20"/>
              </w:rPr>
              <w:t>for more information.</w:t>
            </w:r>
          </w:p>
        </w:tc>
      </w:tr>
    </w:tbl>
    <w:p w14:paraId="2DB23485" w14:textId="77777777" w:rsidR="00C93B33" w:rsidRPr="00E70587" w:rsidRDefault="00C93B33" w:rsidP="009901E1">
      <w:pPr>
        <w:spacing w:line="280" w:lineRule="exact"/>
        <w:rPr>
          <w:rFonts w:ascii="Arial" w:hAnsi="Arial" w:cs="Arial"/>
          <w:b/>
          <w:sz w:val="20"/>
        </w:rPr>
      </w:pPr>
    </w:p>
    <w:tbl>
      <w:tblPr>
        <w:tblW w:w="9900" w:type="dxa"/>
        <w:tblLayout w:type="fixed"/>
        <w:tblLook w:val="01E0" w:firstRow="1" w:lastRow="1" w:firstColumn="1" w:lastColumn="1" w:noHBand="0" w:noVBand="0"/>
      </w:tblPr>
      <w:tblGrid>
        <w:gridCol w:w="3150"/>
        <w:gridCol w:w="1620"/>
        <w:gridCol w:w="90"/>
        <w:gridCol w:w="1080"/>
        <w:gridCol w:w="1170"/>
        <w:gridCol w:w="1350"/>
        <w:gridCol w:w="1428"/>
        <w:gridCol w:w="12"/>
      </w:tblGrid>
      <w:tr w:rsidR="00E03D5A" w:rsidRPr="00E70587" w14:paraId="0E14AD93" w14:textId="77777777" w:rsidTr="00987D4E">
        <w:trPr>
          <w:gridAfter w:val="1"/>
          <w:wAfter w:w="12" w:type="dxa"/>
          <w:tblHeader/>
        </w:trPr>
        <w:tc>
          <w:tcPr>
            <w:tcW w:w="9888" w:type="dxa"/>
            <w:gridSpan w:val="7"/>
            <w:shd w:val="clear" w:color="auto" w:fill="auto"/>
            <w:vAlign w:val="center"/>
          </w:tcPr>
          <w:p w14:paraId="289598D3" w14:textId="669B7FEC" w:rsidR="00E03D5A" w:rsidRPr="00E70587" w:rsidRDefault="00E03D5A" w:rsidP="00E03D5A">
            <w:pPr>
              <w:pStyle w:val="Tablecolumnheading"/>
              <w:spacing w:line="280" w:lineRule="exact"/>
              <w:jc w:val="both"/>
              <w:rPr>
                <w:rFonts w:ascii="Arial" w:hAnsi="Arial"/>
                <w:color w:val="auto"/>
                <w:sz w:val="20"/>
                <w:szCs w:val="20"/>
                <w:lang w:val="en-IN"/>
              </w:rPr>
            </w:pPr>
            <w:r w:rsidRPr="00E70587">
              <w:rPr>
                <w:rFonts w:ascii="Arial" w:hAnsi="Arial"/>
                <w:sz w:val="20"/>
                <w:lang w:val="en-IN"/>
              </w:rPr>
              <w:t xml:space="preserve">Quantitative disclosures fair value measurement hierarchy for liabilities as at 31 </w:t>
            </w:r>
            <w:r w:rsidR="00E1202D" w:rsidRPr="00E70587">
              <w:rPr>
                <w:rFonts w:ascii="Arial" w:hAnsi="Arial"/>
                <w:sz w:val="20"/>
                <w:lang w:val="en-IN"/>
              </w:rPr>
              <w:t xml:space="preserve">March </w:t>
            </w:r>
            <w:r w:rsidR="000F3FD7" w:rsidRPr="00E70587">
              <w:rPr>
                <w:rFonts w:ascii="Arial" w:hAnsi="Arial"/>
                <w:sz w:val="20"/>
                <w:lang w:val="en-IN"/>
              </w:rPr>
              <w:t>20</w:t>
            </w:r>
            <w:r w:rsidR="000F3FD7">
              <w:rPr>
                <w:rFonts w:ascii="Arial" w:hAnsi="Arial"/>
                <w:sz w:val="20"/>
                <w:lang w:val="en-IN"/>
              </w:rPr>
              <w:t>21</w:t>
            </w:r>
            <w:r w:rsidRPr="00E70587">
              <w:rPr>
                <w:rFonts w:ascii="Arial" w:hAnsi="Arial"/>
                <w:sz w:val="20"/>
                <w:lang w:val="en-IN"/>
              </w:rPr>
              <w:t>:</w:t>
            </w:r>
          </w:p>
        </w:tc>
      </w:tr>
      <w:tr w:rsidR="00E03D5A" w:rsidRPr="00E70587" w14:paraId="0E7A482E" w14:textId="77777777" w:rsidTr="00987D4E">
        <w:trPr>
          <w:gridAfter w:val="1"/>
          <w:wAfter w:w="12" w:type="dxa"/>
          <w:tblHeader/>
        </w:trPr>
        <w:tc>
          <w:tcPr>
            <w:tcW w:w="3150" w:type="dxa"/>
            <w:vMerge w:val="restart"/>
            <w:shd w:val="clear" w:color="auto" w:fill="auto"/>
            <w:vAlign w:val="center"/>
          </w:tcPr>
          <w:p w14:paraId="4A53887D" w14:textId="77777777" w:rsidR="00E03D5A" w:rsidRPr="00E70587" w:rsidRDefault="00E03D5A" w:rsidP="00E03D5A">
            <w:pPr>
              <w:pStyle w:val="tabletext"/>
              <w:overflowPunct w:val="0"/>
              <w:autoSpaceDE w:val="0"/>
              <w:autoSpaceDN w:val="0"/>
              <w:adjustRightInd w:val="0"/>
              <w:spacing w:line="280" w:lineRule="exact"/>
              <w:jc w:val="center"/>
              <w:textAlignment w:val="baseline"/>
              <w:rPr>
                <w:rFonts w:ascii="Arial" w:hAnsi="Arial" w:cs="Arial"/>
                <w:b/>
                <w:sz w:val="20"/>
                <w:lang w:val="en-IN"/>
              </w:rPr>
            </w:pPr>
          </w:p>
        </w:tc>
        <w:tc>
          <w:tcPr>
            <w:tcW w:w="1710" w:type="dxa"/>
            <w:gridSpan w:val="2"/>
            <w:vMerge w:val="restart"/>
            <w:shd w:val="clear" w:color="auto" w:fill="auto"/>
            <w:vAlign w:val="center"/>
          </w:tcPr>
          <w:p w14:paraId="01A80412" w14:textId="77777777" w:rsidR="00E03D5A" w:rsidRPr="00E70587" w:rsidRDefault="00E03D5A" w:rsidP="00E03D5A">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Date of valuation</w:t>
            </w:r>
          </w:p>
        </w:tc>
        <w:tc>
          <w:tcPr>
            <w:tcW w:w="5028" w:type="dxa"/>
            <w:gridSpan w:val="4"/>
            <w:shd w:val="clear" w:color="auto" w:fill="auto"/>
            <w:vAlign w:val="center"/>
          </w:tcPr>
          <w:p w14:paraId="25B0E628" w14:textId="77777777" w:rsidR="00E03D5A" w:rsidRPr="00E70587" w:rsidRDefault="00E03D5A" w:rsidP="00E03D5A">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Fair value measurement using</w:t>
            </w:r>
          </w:p>
        </w:tc>
      </w:tr>
      <w:tr w:rsidR="00E03D5A" w:rsidRPr="00E70587" w14:paraId="067FAFEB" w14:textId="77777777" w:rsidTr="00987D4E">
        <w:trPr>
          <w:gridAfter w:val="1"/>
          <w:wAfter w:w="12" w:type="dxa"/>
          <w:tblHeader/>
        </w:trPr>
        <w:tc>
          <w:tcPr>
            <w:tcW w:w="3150" w:type="dxa"/>
            <w:vMerge/>
            <w:shd w:val="clear" w:color="auto" w:fill="auto"/>
          </w:tcPr>
          <w:p w14:paraId="042FBBCF" w14:textId="77777777" w:rsidR="00E03D5A" w:rsidRPr="00E70587" w:rsidRDefault="00E03D5A" w:rsidP="009901E1">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710" w:type="dxa"/>
            <w:gridSpan w:val="2"/>
            <w:vMerge/>
            <w:shd w:val="clear" w:color="auto" w:fill="auto"/>
            <w:vAlign w:val="bottom"/>
          </w:tcPr>
          <w:p w14:paraId="36449AAD" w14:textId="77777777" w:rsidR="00E03D5A" w:rsidRPr="00E70587" w:rsidRDefault="00E03D5A" w:rsidP="009901E1">
            <w:pPr>
              <w:pStyle w:val="Tablecolumnheading"/>
              <w:spacing w:line="280" w:lineRule="exact"/>
              <w:jc w:val="center"/>
              <w:rPr>
                <w:rFonts w:ascii="Arial" w:hAnsi="Arial"/>
                <w:color w:val="auto"/>
                <w:sz w:val="20"/>
                <w:szCs w:val="20"/>
                <w:lang w:val="en-IN"/>
              </w:rPr>
            </w:pPr>
          </w:p>
        </w:tc>
        <w:tc>
          <w:tcPr>
            <w:tcW w:w="1080" w:type="dxa"/>
            <w:shd w:val="clear" w:color="auto" w:fill="auto"/>
            <w:vAlign w:val="bottom"/>
          </w:tcPr>
          <w:p w14:paraId="00EEAFF6" w14:textId="77777777" w:rsidR="00E03D5A" w:rsidRPr="00E70587" w:rsidRDefault="00E03D5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Total</w:t>
            </w:r>
          </w:p>
        </w:tc>
        <w:tc>
          <w:tcPr>
            <w:tcW w:w="1170" w:type="dxa"/>
            <w:shd w:val="clear" w:color="auto" w:fill="auto"/>
            <w:vAlign w:val="bottom"/>
          </w:tcPr>
          <w:p w14:paraId="5FE128B6" w14:textId="77777777" w:rsidR="00E03D5A" w:rsidRPr="00E70587" w:rsidRDefault="00E03D5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Quoted prices in active markets (Level 1)</w:t>
            </w:r>
          </w:p>
        </w:tc>
        <w:tc>
          <w:tcPr>
            <w:tcW w:w="1350" w:type="dxa"/>
            <w:shd w:val="clear" w:color="auto" w:fill="auto"/>
            <w:vAlign w:val="bottom"/>
          </w:tcPr>
          <w:p w14:paraId="5BE3BEBC" w14:textId="77777777" w:rsidR="00E03D5A" w:rsidRPr="00E70587" w:rsidRDefault="00E03D5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Significant observable inputs</w:t>
            </w:r>
          </w:p>
          <w:p w14:paraId="4B1917D3" w14:textId="77777777" w:rsidR="00E03D5A" w:rsidRPr="00E70587" w:rsidRDefault="00E03D5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(Level 2)</w:t>
            </w:r>
          </w:p>
        </w:tc>
        <w:tc>
          <w:tcPr>
            <w:tcW w:w="1428" w:type="dxa"/>
            <w:shd w:val="clear" w:color="auto" w:fill="auto"/>
            <w:vAlign w:val="bottom"/>
          </w:tcPr>
          <w:p w14:paraId="1CB3D837" w14:textId="77777777" w:rsidR="00E03D5A" w:rsidRPr="00E70587" w:rsidRDefault="00E03D5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Significant unobservable inputs</w:t>
            </w:r>
          </w:p>
          <w:p w14:paraId="3A7A724C" w14:textId="77777777" w:rsidR="00E03D5A" w:rsidRPr="00E70587" w:rsidRDefault="00E03D5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(Level 3)</w:t>
            </w:r>
          </w:p>
        </w:tc>
      </w:tr>
      <w:tr w:rsidR="00E03D5A" w:rsidRPr="00E70587" w14:paraId="1AC269E4" w14:textId="77777777" w:rsidTr="00987D4E">
        <w:trPr>
          <w:gridAfter w:val="1"/>
          <w:wAfter w:w="12" w:type="dxa"/>
          <w:tblHeader/>
        </w:trPr>
        <w:tc>
          <w:tcPr>
            <w:tcW w:w="3150" w:type="dxa"/>
            <w:vMerge/>
            <w:shd w:val="clear" w:color="auto" w:fill="auto"/>
            <w:tcMar>
              <w:top w:w="28" w:type="dxa"/>
              <w:bottom w:w="28" w:type="dxa"/>
            </w:tcMar>
            <w:vAlign w:val="bottom"/>
          </w:tcPr>
          <w:p w14:paraId="6B8C89D5" w14:textId="77777777" w:rsidR="00E03D5A" w:rsidRPr="00E70587" w:rsidRDefault="00E03D5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710" w:type="dxa"/>
            <w:gridSpan w:val="2"/>
            <w:vMerge/>
            <w:shd w:val="clear" w:color="auto" w:fill="auto"/>
            <w:vAlign w:val="bottom"/>
          </w:tcPr>
          <w:p w14:paraId="0990AAD1" w14:textId="77777777" w:rsidR="00E03D5A" w:rsidRPr="00E70587" w:rsidRDefault="00E03D5A" w:rsidP="009901E1">
            <w:pPr>
              <w:pStyle w:val="Tablecolumnheading"/>
              <w:spacing w:line="280" w:lineRule="exact"/>
              <w:jc w:val="left"/>
              <w:rPr>
                <w:rFonts w:ascii="Arial" w:hAnsi="Arial"/>
                <w:color w:val="auto"/>
                <w:sz w:val="20"/>
                <w:szCs w:val="20"/>
                <w:lang w:val="en-IN"/>
              </w:rPr>
            </w:pPr>
          </w:p>
        </w:tc>
        <w:tc>
          <w:tcPr>
            <w:tcW w:w="1080" w:type="dxa"/>
            <w:shd w:val="clear" w:color="auto" w:fill="auto"/>
            <w:tcMar>
              <w:top w:w="28" w:type="dxa"/>
              <w:bottom w:w="28" w:type="dxa"/>
            </w:tcMar>
            <w:vAlign w:val="bottom"/>
          </w:tcPr>
          <w:p w14:paraId="0DF5BFE9" w14:textId="77777777" w:rsidR="00E03D5A" w:rsidRPr="00E70587" w:rsidRDefault="00E03D5A" w:rsidP="00987D4E">
            <w:pPr>
              <w:pStyle w:val="Tablecolumnheading"/>
              <w:spacing w:line="280" w:lineRule="exact"/>
              <w:ind w:right="-46"/>
              <w:jc w:val="left"/>
              <w:rPr>
                <w:rFonts w:ascii="Arial" w:hAnsi="Arial"/>
                <w:color w:val="auto"/>
                <w:sz w:val="20"/>
                <w:szCs w:val="20"/>
                <w:lang w:val="en-IN"/>
              </w:rPr>
            </w:pPr>
            <w:r w:rsidRPr="00E70587">
              <w:rPr>
                <w:rFonts w:ascii="Arial" w:hAnsi="Arial"/>
                <w:color w:val="auto"/>
                <w:sz w:val="20"/>
                <w:szCs w:val="20"/>
                <w:lang w:val="en-IN"/>
              </w:rPr>
              <w:t>INR Lacs</w:t>
            </w:r>
          </w:p>
        </w:tc>
        <w:tc>
          <w:tcPr>
            <w:tcW w:w="1170" w:type="dxa"/>
            <w:shd w:val="clear" w:color="auto" w:fill="auto"/>
            <w:tcMar>
              <w:top w:w="28" w:type="dxa"/>
              <w:bottom w:w="28" w:type="dxa"/>
            </w:tcMar>
          </w:tcPr>
          <w:p w14:paraId="27D01906" w14:textId="77777777" w:rsidR="00E03D5A" w:rsidRPr="00E70587" w:rsidRDefault="00E03D5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350" w:type="dxa"/>
            <w:shd w:val="clear" w:color="auto" w:fill="auto"/>
            <w:tcMar>
              <w:top w:w="28" w:type="dxa"/>
              <w:bottom w:w="28" w:type="dxa"/>
            </w:tcMar>
          </w:tcPr>
          <w:p w14:paraId="755CCAAD" w14:textId="77777777" w:rsidR="00E03D5A" w:rsidRPr="00E70587" w:rsidRDefault="00E03D5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428" w:type="dxa"/>
            <w:shd w:val="clear" w:color="auto" w:fill="auto"/>
            <w:tcMar>
              <w:top w:w="28" w:type="dxa"/>
              <w:bottom w:w="28" w:type="dxa"/>
            </w:tcMar>
          </w:tcPr>
          <w:p w14:paraId="03D84457" w14:textId="77777777" w:rsidR="00E03D5A" w:rsidRPr="00E70587" w:rsidRDefault="00E03D5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86091A" w:rsidRPr="00E70587" w14:paraId="18D21479" w14:textId="77777777" w:rsidTr="00987D4E">
        <w:tc>
          <w:tcPr>
            <w:tcW w:w="4860" w:type="dxa"/>
            <w:gridSpan w:val="3"/>
            <w:shd w:val="clear" w:color="auto" w:fill="auto"/>
            <w:tcMar>
              <w:top w:w="28" w:type="dxa"/>
              <w:bottom w:w="28" w:type="dxa"/>
            </w:tcMar>
            <w:vAlign w:val="bottom"/>
          </w:tcPr>
          <w:p w14:paraId="2F6510B8" w14:textId="77777777" w:rsidR="0086091A" w:rsidRPr="00E70587" w:rsidRDefault="0086091A" w:rsidP="009901E1">
            <w:pPr>
              <w:pStyle w:val="Heading5"/>
              <w:spacing w:before="0" w:after="0" w:line="280" w:lineRule="exact"/>
              <w:rPr>
                <w:rFonts w:ascii="Arial" w:hAnsi="Arial" w:cs="Arial"/>
                <w:sz w:val="20"/>
                <w:szCs w:val="20"/>
              </w:rPr>
            </w:pPr>
            <w:r w:rsidRPr="00E70587">
              <w:rPr>
                <w:rFonts w:ascii="Arial" w:hAnsi="Arial" w:cs="Arial"/>
                <w:sz w:val="20"/>
                <w:szCs w:val="20"/>
              </w:rPr>
              <w:t>Liabilities measured at fair value:</w:t>
            </w:r>
          </w:p>
        </w:tc>
        <w:tc>
          <w:tcPr>
            <w:tcW w:w="1080" w:type="dxa"/>
            <w:shd w:val="clear" w:color="auto" w:fill="auto"/>
            <w:tcMar>
              <w:top w:w="28" w:type="dxa"/>
              <w:bottom w:w="28" w:type="dxa"/>
            </w:tcMar>
            <w:vAlign w:val="bottom"/>
          </w:tcPr>
          <w:p w14:paraId="533F21DC"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170" w:type="dxa"/>
            <w:shd w:val="clear" w:color="auto" w:fill="auto"/>
            <w:tcMar>
              <w:top w:w="28" w:type="dxa"/>
              <w:bottom w:w="28" w:type="dxa"/>
            </w:tcMar>
          </w:tcPr>
          <w:p w14:paraId="3802C58C"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350" w:type="dxa"/>
            <w:shd w:val="clear" w:color="auto" w:fill="auto"/>
            <w:tcMar>
              <w:top w:w="28" w:type="dxa"/>
              <w:bottom w:w="28" w:type="dxa"/>
            </w:tcMar>
          </w:tcPr>
          <w:p w14:paraId="5D61506B"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440" w:type="dxa"/>
            <w:gridSpan w:val="2"/>
            <w:shd w:val="clear" w:color="auto" w:fill="auto"/>
            <w:tcMar>
              <w:top w:w="28" w:type="dxa"/>
              <w:bottom w:w="28" w:type="dxa"/>
            </w:tcMar>
          </w:tcPr>
          <w:p w14:paraId="7956FA6D"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r>
      <w:tr w:rsidR="0086091A" w:rsidRPr="00E70587" w14:paraId="0A374DEA" w14:textId="77777777" w:rsidTr="00987D4E">
        <w:trPr>
          <w:gridAfter w:val="1"/>
          <w:wAfter w:w="12" w:type="dxa"/>
        </w:trPr>
        <w:tc>
          <w:tcPr>
            <w:tcW w:w="9888" w:type="dxa"/>
            <w:gridSpan w:val="7"/>
            <w:shd w:val="clear" w:color="auto" w:fill="auto"/>
            <w:tcMar>
              <w:top w:w="28" w:type="dxa"/>
              <w:bottom w:w="28" w:type="dxa"/>
            </w:tcMar>
            <w:vAlign w:val="bottom"/>
          </w:tcPr>
          <w:p w14:paraId="4E681696" w14:textId="76875B78"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Derivative financial liabilities (Note </w:t>
            </w:r>
            <w:r w:rsidR="00B83F60" w:rsidRPr="00E70587">
              <w:rPr>
                <w:rFonts w:ascii="Arial" w:hAnsi="Arial" w:cs="Arial"/>
                <w:b/>
                <w:sz w:val="20"/>
                <w:lang w:val="en-IN"/>
              </w:rPr>
              <w:t>4</w:t>
            </w:r>
            <w:r w:rsidR="00B83F60">
              <w:rPr>
                <w:rFonts w:ascii="Arial" w:hAnsi="Arial" w:cs="Arial"/>
                <w:b/>
                <w:sz w:val="20"/>
                <w:lang w:val="en-IN"/>
              </w:rPr>
              <w:t>7</w:t>
            </w:r>
            <w:r w:rsidRPr="00E70587">
              <w:rPr>
                <w:rFonts w:ascii="Arial" w:hAnsi="Arial" w:cs="Arial"/>
                <w:b/>
                <w:sz w:val="20"/>
                <w:lang w:val="en-IN"/>
              </w:rPr>
              <w:t>):</w:t>
            </w:r>
          </w:p>
        </w:tc>
      </w:tr>
      <w:tr w:rsidR="0086091A" w:rsidRPr="00E70587" w14:paraId="3DC54EEA" w14:textId="77777777" w:rsidTr="00987D4E">
        <w:trPr>
          <w:gridAfter w:val="1"/>
          <w:wAfter w:w="12" w:type="dxa"/>
        </w:trPr>
        <w:tc>
          <w:tcPr>
            <w:tcW w:w="3150" w:type="dxa"/>
            <w:shd w:val="clear" w:color="auto" w:fill="auto"/>
            <w:tcMar>
              <w:top w:w="28" w:type="dxa"/>
              <w:bottom w:w="28" w:type="dxa"/>
            </w:tcMar>
            <w:vAlign w:val="bottom"/>
          </w:tcPr>
          <w:p w14:paraId="06B4C02F" w14:textId="77777777" w:rsidR="0086091A" w:rsidRPr="00E70587" w:rsidRDefault="0086091A" w:rsidP="009901E1">
            <w:pPr>
              <w:pStyle w:val="tabletext"/>
              <w:overflowPunct w:val="0"/>
              <w:autoSpaceDE w:val="0"/>
              <w:autoSpaceDN w:val="0"/>
              <w:adjustRightInd w:val="0"/>
              <w:spacing w:line="280" w:lineRule="exact"/>
              <w:ind w:left="318"/>
              <w:textAlignment w:val="baseline"/>
              <w:rPr>
                <w:rFonts w:ascii="Arial" w:hAnsi="Arial" w:cs="Arial"/>
                <w:sz w:val="20"/>
                <w:lang w:val="en-IN"/>
              </w:rPr>
            </w:pPr>
            <w:r w:rsidRPr="00E70587">
              <w:rPr>
                <w:rFonts w:ascii="Arial" w:hAnsi="Arial" w:cs="Arial"/>
                <w:sz w:val="20"/>
                <w:lang w:val="en-IN"/>
              </w:rPr>
              <w:t xml:space="preserve">Interest rate swaps </w:t>
            </w:r>
          </w:p>
        </w:tc>
        <w:tc>
          <w:tcPr>
            <w:tcW w:w="1620" w:type="dxa"/>
            <w:shd w:val="clear" w:color="auto" w:fill="auto"/>
            <w:vAlign w:val="center"/>
          </w:tcPr>
          <w:p w14:paraId="5F3D8B10" w14:textId="41CD0986" w:rsidR="0086091A" w:rsidRPr="00E70587" w:rsidRDefault="0086091A" w:rsidP="00987D4E">
            <w:pPr>
              <w:pStyle w:val="tabletext"/>
              <w:overflowPunct w:val="0"/>
              <w:autoSpaceDE w:val="0"/>
              <w:autoSpaceDN w:val="0"/>
              <w:adjustRightInd w:val="0"/>
              <w:spacing w:line="280" w:lineRule="exact"/>
              <w:ind w:left="-52"/>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0F3FD7" w:rsidRPr="00E70587">
              <w:rPr>
                <w:rFonts w:ascii="Arial" w:hAnsi="Arial" w:cs="Arial"/>
                <w:sz w:val="20"/>
                <w:lang w:val="en-IN"/>
              </w:rPr>
              <w:t>20</w:t>
            </w:r>
            <w:r w:rsidR="000F3FD7">
              <w:rPr>
                <w:rFonts w:ascii="Arial" w:hAnsi="Arial" w:cs="Arial"/>
                <w:sz w:val="20"/>
                <w:lang w:val="en-IN"/>
              </w:rPr>
              <w:t>21</w:t>
            </w:r>
          </w:p>
        </w:tc>
        <w:tc>
          <w:tcPr>
            <w:tcW w:w="1170" w:type="dxa"/>
            <w:gridSpan w:val="2"/>
            <w:shd w:val="clear" w:color="auto" w:fill="auto"/>
            <w:tcMar>
              <w:top w:w="28" w:type="dxa"/>
              <w:bottom w:w="28" w:type="dxa"/>
            </w:tcMar>
            <w:vAlign w:val="center"/>
          </w:tcPr>
          <w:p w14:paraId="570CC34C"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 63 </w:t>
            </w:r>
          </w:p>
        </w:tc>
        <w:tc>
          <w:tcPr>
            <w:tcW w:w="1170" w:type="dxa"/>
            <w:shd w:val="clear" w:color="auto" w:fill="auto"/>
            <w:tcMar>
              <w:top w:w="28" w:type="dxa"/>
              <w:bottom w:w="28" w:type="dxa"/>
            </w:tcMar>
            <w:vAlign w:val="center"/>
          </w:tcPr>
          <w:p w14:paraId="1FAD1653"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350" w:type="dxa"/>
            <w:shd w:val="clear" w:color="auto" w:fill="auto"/>
            <w:tcMar>
              <w:top w:w="28" w:type="dxa"/>
              <w:bottom w:w="28" w:type="dxa"/>
            </w:tcMar>
            <w:vAlign w:val="center"/>
          </w:tcPr>
          <w:p w14:paraId="4E3E2E37"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63 </w:t>
            </w:r>
          </w:p>
        </w:tc>
        <w:tc>
          <w:tcPr>
            <w:tcW w:w="1428" w:type="dxa"/>
            <w:shd w:val="clear" w:color="auto" w:fill="auto"/>
            <w:tcMar>
              <w:top w:w="28" w:type="dxa"/>
              <w:bottom w:w="28" w:type="dxa"/>
            </w:tcMar>
            <w:vAlign w:val="center"/>
          </w:tcPr>
          <w:p w14:paraId="427FD96F"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r>
      <w:tr w:rsidR="0086091A" w:rsidRPr="00E70587" w14:paraId="58EE2890" w14:textId="77777777" w:rsidTr="00987D4E">
        <w:trPr>
          <w:gridAfter w:val="1"/>
          <w:wAfter w:w="12" w:type="dxa"/>
        </w:trPr>
        <w:tc>
          <w:tcPr>
            <w:tcW w:w="3150" w:type="dxa"/>
            <w:shd w:val="clear" w:color="auto" w:fill="auto"/>
            <w:tcMar>
              <w:top w:w="28" w:type="dxa"/>
              <w:bottom w:w="28" w:type="dxa"/>
            </w:tcMar>
            <w:vAlign w:val="bottom"/>
          </w:tcPr>
          <w:p w14:paraId="55714DCF" w14:textId="77777777" w:rsidR="0086091A" w:rsidRPr="00E70587" w:rsidRDefault="0086091A" w:rsidP="009901E1">
            <w:pPr>
              <w:pStyle w:val="tabletext"/>
              <w:overflowPunct w:val="0"/>
              <w:autoSpaceDE w:val="0"/>
              <w:autoSpaceDN w:val="0"/>
              <w:adjustRightInd w:val="0"/>
              <w:spacing w:line="280" w:lineRule="exact"/>
              <w:ind w:left="318"/>
              <w:textAlignment w:val="baseline"/>
              <w:rPr>
                <w:rFonts w:ascii="Arial" w:hAnsi="Arial" w:cs="Arial"/>
                <w:sz w:val="20"/>
                <w:lang w:val="en-IN"/>
              </w:rPr>
            </w:pPr>
            <w:r w:rsidRPr="00E70587">
              <w:rPr>
                <w:rFonts w:ascii="Arial" w:hAnsi="Arial" w:cs="Arial"/>
                <w:sz w:val="20"/>
                <w:lang w:val="en-IN"/>
              </w:rPr>
              <w:t xml:space="preserve">Foreign exchange forward contracts (GB pound sterling) </w:t>
            </w:r>
          </w:p>
        </w:tc>
        <w:tc>
          <w:tcPr>
            <w:tcW w:w="1620" w:type="dxa"/>
            <w:shd w:val="clear" w:color="auto" w:fill="auto"/>
            <w:vAlign w:val="center"/>
          </w:tcPr>
          <w:p w14:paraId="76C2E021" w14:textId="71F32820" w:rsidR="0086091A" w:rsidRPr="00E70587" w:rsidRDefault="0086091A" w:rsidP="00987D4E">
            <w:pPr>
              <w:pStyle w:val="tabletext"/>
              <w:overflowPunct w:val="0"/>
              <w:autoSpaceDE w:val="0"/>
              <w:autoSpaceDN w:val="0"/>
              <w:adjustRightInd w:val="0"/>
              <w:spacing w:line="280" w:lineRule="exact"/>
              <w:ind w:left="-52"/>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0F3FD7" w:rsidRPr="00E70587">
              <w:rPr>
                <w:rFonts w:ascii="Arial" w:hAnsi="Arial" w:cs="Arial"/>
                <w:sz w:val="20"/>
                <w:lang w:val="en-IN"/>
              </w:rPr>
              <w:t>20</w:t>
            </w:r>
            <w:r w:rsidR="000F3FD7">
              <w:rPr>
                <w:rFonts w:ascii="Arial" w:hAnsi="Arial" w:cs="Arial"/>
                <w:sz w:val="20"/>
                <w:lang w:val="en-IN"/>
              </w:rPr>
              <w:t>21</w:t>
            </w:r>
          </w:p>
        </w:tc>
        <w:tc>
          <w:tcPr>
            <w:tcW w:w="1170" w:type="dxa"/>
            <w:gridSpan w:val="2"/>
            <w:shd w:val="clear" w:color="auto" w:fill="auto"/>
            <w:tcMar>
              <w:top w:w="28" w:type="dxa"/>
              <w:bottom w:w="28" w:type="dxa"/>
            </w:tcMar>
            <w:vAlign w:val="center"/>
          </w:tcPr>
          <w:p w14:paraId="2D1D3B57"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 1,440 </w:t>
            </w:r>
          </w:p>
        </w:tc>
        <w:tc>
          <w:tcPr>
            <w:tcW w:w="1170" w:type="dxa"/>
            <w:shd w:val="clear" w:color="auto" w:fill="auto"/>
            <w:tcMar>
              <w:top w:w="28" w:type="dxa"/>
              <w:bottom w:w="28" w:type="dxa"/>
            </w:tcMar>
            <w:vAlign w:val="center"/>
          </w:tcPr>
          <w:p w14:paraId="557A3B11"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350" w:type="dxa"/>
            <w:shd w:val="clear" w:color="auto" w:fill="auto"/>
            <w:tcMar>
              <w:top w:w="28" w:type="dxa"/>
              <w:bottom w:w="28" w:type="dxa"/>
            </w:tcMar>
            <w:vAlign w:val="center"/>
          </w:tcPr>
          <w:p w14:paraId="4D38D96F"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1,440 </w:t>
            </w:r>
          </w:p>
        </w:tc>
        <w:tc>
          <w:tcPr>
            <w:tcW w:w="1428" w:type="dxa"/>
            <w:shd w:val="clear" w:color="auto" w:fill="auto"/>
            <w:tcMar>
              <w:top w:w="28" w:type="dxa"/>
              <w:bottom w:w="28" w:type="dxa"/>
            </w:tcMar>
            <w:vAlign w:val="center"/>
          </w:tcPr>
          <w:p w14:paraId="18FA647F"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r>
      <w:tr w:rsidR="0086091A" w:rsidRPr="00E70587" w14:paraId="332CD7AE" w14:textId="77777777" w:rsidTr="00987D4E">
        <w:trPr>
          <w:gridAfter w:val="1"/>
          <w:wAfter w:w="12" w:type="dxa"/>
        </w:trPr>
        <w:tc>
          <w:tcPr>
            <w:tcW w:w="3150" w:type="dxa"/>
            <w:shd w:val="clear" w:color="auto" w:fill="auto"/>
            <w:tcMar>
              <w:top w:w="28" w:type="dxa"/>
              <w:bottom w:w="28" w:type="dxa"/>
            </w:tcMar>
            <w:vAlign w:val="center"/>
          </w:tcPr>
          <w:p w14:paraId="439700A4" w14:textId="77777777" w:rsidR="0086091A" w:rsidRPr="00E70587" w:rsidRDefault="0086091A" w:rsidP="009901E1">
            <w:pPr>
              <w:pStyle w:val="tabletext"/>
              <w:overflowPunct w:val="0"/>
              <w:autoSpaceDE w:val="0"/>
              <w:autoSpaceDN w:val="0"/>
              <w:adjustRightInd w:val="0"/>
              <w:spacing w:line="280" w:lineRule="exact"/>
              <w:ind w:left="318"/>
              <w:textAlignment w:val="baseline"/>
              <w:rPr>
                <w:rFonts w:ascii="Arial" w:hAnsi="Arial" w:cs="Arial"/>
                <w:sz w:val="20"/>
                <w:lang w:val="en-IN"/>
              </w:rPr>
            </w:pPr>
            <w:r w:rsidRPr="00E70587">
              <w:rPr>
                <w:rFonts w:ascii="Arial" w:hAnsi="Arial" w:cs="Arial"/>
                <w:sz w:val="20"/>
                <w:lang w:val="en-IN"/>
              </w:rPr>
              <w:t>Embedded commodity derivatives (brass)</w:t>
            </w:r>
          </w:p>
        </w:tc>
        <w:tc>
          <w:tcPr>
            <w:tcW w:w="1620" w:type="dxa"/>
            <w:shd w:val="clear" w:color="auto" w:fill="auto"/>
            <w:vAlign w:val="center"/>
          </w:tcPr>
          <w:p w14:paraId="130075BD" w14:textId="18575AA6" w:rsidR="0086091A" w:rsidRPr="00E70587" w:rsidRDefault="0086091A" w:rsidP="00987D4E">
            <w:pPr>
              <w:pStyle w:val="tabletext"/>
              <w:overflowPunct w:val="0"/>
              <w:autoSpaceDE w:val="0"/>
              <w:autoSpaceDN w:val="0"/>
              <w:adjustRightInd w:val="0"/>
              <w:spacing w:line="280" w:lineRule="exact"/>
              <w:ind w:left="-52"/>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0F3FD7" w:rsidRPr="00E70587">
              <w:rPr>
                <w:rFonts w:ascii="Arial" w:hAnsi="Arial" w:cs="Arial"/>
                <w:sz w:val="20"/>
                <w:lang w:val="en-IN"/>
              </w:rPr>
              <w:t>20</w:t>
            </w:r>
            <w:r w:rsidR="000F3FD7">
              <w:rPr>
                <w:rFonts w:ascii="Arial" w:hAnsi="Arial" w:cs="Arial"/>
                <w:sz w:val="20"/>
                <w:lang w:val="en-IN"/>
              </w:rPr>
              <w:t>21</w:t>
            </w:r>
          </w:p>
        </w:tc>
        <w:tc>
          <w:tcPr>
            <w:tcW w:w="1170" w:type="dxa"/>
            <w:gridSpan w:val="2"/>
            <w:shd w:val="clear" w:color="auto" w:fill="auto"/>
            <w:tcMar>
              <w:top w:w="28" w:type="dxa"/>
              <w:bottom w:w="28" w:type="dxa"/>
            </w:tcMar>
            <w:vAlign w:val="center"/>
          </w:tcPr>
          <w:p w14:paraId="13B18531"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 1,080 </w:t>
            </w:r>
          </w:p>
        </w:tc>
        <w:tc>
          <w:tcPr>
            <w:tcW w:w="1170" w:type="dxa"/>
            <w:shd w:val="clear" w:color="auto" w:fill="auto"/>
            <w:tcMar>
              <w:top w:w="28" w:type="dxa"/>
              <w:bottom w:w="28" w:type="dxa"/>
            </w:tcMar>
            <w:vAlign w:val="center"/>
          </w:tcPr>
          <w:p w14:paraId="1C4F5EC0"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350" w:type="dxa"/>
            <w:shd w:val="clear" w:color="auto" w:fill="auto"/>
            <w:tcMar>
              <w:top w:w="28" w:type="dxa"/>
              <w:bottom w:w="28" w:type="dxa"/>
            </w:tcMar>
            <w:vAlign w:val="center"/>
          </w:tcPr>
          <w:p w14:paraId="2BF2BD33"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428" w:type="dxa"/>
            <w:shd w:val="clear" w:color="auto" w:fill="auto"/>
            <w:tcMar>
              <w:top w:w="28" w:type="dxa"/>
              <w:bottom w:w="28" w:type="dxa"/>
            </w:tcMar>
            <w:vAlign w:val="center"/>
          </w:tcPr>
          <w:p w14:paraId="1A511204"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1,080 </w:t>
            </w:r>
          </w:p>
        </w:tc>
      </w:tr>
      <w:tr w:rsidR="0086091A" w:rsidRPr="00E70587" w14:paraId="6D26A290" w14:textId="77777777" w:rsidTr="00987D4E">
        <w:trPr>
          <w:gridAfter w:val="1"/>
          <w:wAfter w:w="12" w:type="dxa"/>
        </w:trPr>
        <w:tc>
          <w:tcPr>
            <w:tcW w:w="3150" w:type="dxa"/>
            <w:shd w:val="clear" w:color="auto" w:fill="auto"/>
            <w:tcMar>
              <w:top w:w="28" w:type="dxa"/>
              <w:bottom w:w="28" w:type="dxa"/>
            </w:tcMar>
            <w:vAlign w:val="center"/>
          </w:tcPr>
          <w:p w14:paraId="5A5AF8D7" w14:textId="77777777" w:rsidR="0086091A" w:rsidRPr="00E70587" w:rsidRDefault="0086091A" w:rsidP="009901E1">
            <w:pPr>
              <w:pStyle w:val="tabletext"/>
              <w:overflowPunct w:val="0"/>
              <w:autoSpaceDE w:val="0"/>
              <w:autoSpaceDN w:val="0"/>
              <w:adjustRightInd w:val="0"/>
              <w:spacing w:line="280" w:lineRule="exact"/>
              <w:ind w:left="318"/>
              <w:textAlignment w:val="baseline"/>
              <w:rPr>
                <w:rFonts w:ascii="Arial" w:hAnsi="Arial" w:cs="Arial"/>
                <w:sz w:val="20"/>
                <w:lang w:val="en-IN"/>
              </w:rPr>
            </w:pPr>
            <w:r w:rsidRPr="00E70587">
              <w:rPr>
                <w:rFonts w:ascii="Arial" w:hAnsi="Arial" w:cs="Arial"/>
                <w:sz w:val="20"/>
                <w:lang w:val="en-IN"/>
              </w:rPr>
              <w:t>Embedded commodity derivatives (chrome)</w:t>
            </w:r>
          </w:p>
        </w:tc>
        <w:tc>
          <w:tcPr>
            <w:tcW w:w="1620" w:type="dxa"/>
            <w:shd w:val="clear" w:color="auto" w:fill="auto"/>
            <w:vAlign w:val="center"/>
          </w:tcPr>
          <w:p w14:paraId="6F0926A5" w14:textId="6A3D5211" w:rsidR="0086091A" w:rsidRPr="00E70587" w:rsidRDefault="0086091A" w:rsidP="00987D4E">
            <w:pPr>
              <w:pStyle w:val="tabletext"/>
              <w:overflowPunct w:val="0"/>
              <w:autoSpaceDE w:val="0"/>
              <w:autoSpaceDN w:val="0"/>
              <w:adjustRightInd w:val="0"/>
              <w:spacing w:line="280" w:lineRule="exact"/>
              <w:ind w:left="-52"/>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0F3FD7" w:rsidRPr="00E70587">
              <w:rPr>
                <w:rFonts w:ascii="Arial" w:hAnsi="Arial" w:cs="Arial"/>
                <w:sz w:val="20"/>
                <w:lang w:val="en-IN"/>
              </w:rPr>
              <w:t>20</w:t>
            </w:r>
            <w:r w:rsidR="000F3FD7">
              <w:rPr>
                <w:rFonts w:ascii="Arial" w:hAnsi="Arial" w:cs="Arial"/>
                <w:sz w:val="20"/>
                <w:lang w:val="en-IN"/>
              </w:rPr>
              <w:t>21</w:t>
            </w:r>
          </w:p>
        </w:tc>
        <w:tc>
          <w:tcPr>
            <w:tcW w:w="1170" w:type="dxa"/>
            <w:gridSpan w:val="2"/>
            <w:shd w:val="clear" w:color="auto" w:fill="auto"/>
            <w:tcMar>
              <w:top w:w="28" w:type="dxa"/>
              <w:bottom w:w="28" w:type="dxa"/>
            </w:tcMar>
            <w:vAlign w:val="center"/>
          </w:tcPr>
          <w:p w14:paraId="4D1C8047"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 328 </w:t>
            </w:r>
          </w:p>
        </w:tc>
        <w:tc>
          <w:tcPr>
            <w:tcW w:w="1170" w:type="dxa"/>
            <w:shd w:val="clear" w:color="auto" w:fill="auto"/>
            <w:tcMar>
              <w:top w:w="28" w:type="dxa"/>
              <w:bottom w:w="28" w:type="dxa"/>
            </w:tcMar>
            <w:vAlign w:val="center"/>
          </w:tcPr>
          <w:p w14:paraId="5971F2D7"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350" w:type="dxa"/>
            <w:shd w:val="clear" w:color="auto" w:fill="auto"/>
            <w:tcMar>
              <w:top w:w="28" w:type="dxa"/>
              <w:bottom w:w="28" w:type="dxa"/>
            </w:tcMar>
            <w:vAlign w:val="center"/>
          </w:tcPr>
          <w:p w14:paraId="037E1426"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428" w:type="dxa"/>
            <w:shd w:val="clear" w:color="auto" w:fill="auto"/>
            <w:tcMar>
              <w:top w:w="28" w:type="dxa"/>
              <w:bottom w:w="28" w:type="dxa"/>
            </w:tcMar>
            <w:vAlign w:val="center"/>
          </w:tcPr>
          <w:p w14:paraId="16D7BAD1"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328 </w:t>
            </w:r>
          </w:p>
        </w:tc>
      </w:tr>
      <w:tr w:rsidR="0086091A" w:rsidRPr="00E70587" w14:paraId="687A21AC" w14:textId="77777777" w:rsidTr="00987D4E">
        <w:trPr>
          <w:gridAfter w:val="1"/>
          <w:wAfter w:w="12" w:type="dxa"/>
        </w:trPr>
        <w:tc>
          <w:tcPr>
            <w:tcW w:w="3150" w:type="dxa"/>
            <w:shd w:val="clear" w:color="auto" w:fill="auto"/>
            <w:tcMar>
              <w:top w:w="28" w:type="dxa"/>
              <w:bottom w:w="28" w:type="dxa"/>
            </w:tcMar>
            <w:vAlign w:val="center"/>
          </w:tcPr>
          <w:p w14:paraId="7E3768D1" w14:textId="77777777" w:rsidR="0086091A" w:rsidRPr="00E70587" w:rsidRDefault="0086091A" w:rsidP="009901E1">
            <w:pPr>
              <w:pStyle w:val="tabletext"/>
              <w:overflowPunct w:val="0"/>
              <w:autoSpaceDE w:val="0"/>
              <w:autoSpaceDN w:val="0"/>
              <w:adjustRightInd w:val="0"/>
              <w:spacing w:line="280" w:lineRule="exact"/>
              <w:ind w:left="318"/>
              <w:textAlignment w:val="baseline"/>
              <w:rPr>
                <w:rFonts w:ascii="Arial" w:hAnsi="Arial" w:cs="Arial"/>
                <w:sz w:val="20"/>
                <w:lang w:val="en-IN"/>
              </w:rPr>
            </w:pPr>
            <w:r w:rsidRPr="00E70587">
              <w:rPr>
                <w:rFonts w:ascii="Arial" w:hAnsi="Arial" w:cs="Arial"/>
                <w:sz w:val="20"/>
                <w:lang w:val="en-IN"/>
              </w:rPr>
              <w:t>Foreign exchange forward contracts – US dollar</w:t>
            </w:r>
          </w:p>
        </w:tc>
        <w:tc>
          <w:tcPr>
            <w:tcW w:w="1620" w:type="dxa"/>
            <w:shd w:val="clear" w:color="auto" w:fill="auto"/>
            <w:vAlign w:val="center"/>
          </w:tcPr>
          <w:p w14:paraId="2EBD1988" w14:textId="4D82461E" w:rsidR="0086091A" w:rsidRPr="00E70587" w:rsidRDefault="0086091A" w:rsidP="00987D4E">
            <w:pPr>
              <w:pStyle w:val="tabletext"/>
              <w:overflowPunct w:val="0"/>
              <w:autoSpaceDE w:val="0"/>
              <w:autoSpaceDN w:val="0"/>
              <w:adjustRightInd w:val="0"/>
              <w:spacing w:line="280" w:lineRule="exact"/>
              <w:ind w:left="-52"/>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0F3FD7" w:rsidRPr="00E70587">
              <w:rPr>
                <w:rFonts w:ascii="Arial" w:hAnsi="Arial" w:cs="Arial"/>
                <w:sz w:val="20"/>
                <w:lang w:val="en-IN"/>
              </w:rPr>
              <w:t>20</w:t>
            </w:r>
            <w:r w:rsidR="000F3FD7">
              <w:rPr>
                <w:rFonts w:ascii="Arial" w:hAnsi="Arial" w:cs="Arial"/>
                <w:sz w:val="20"/>
                <w:lang w:val="en-IN"/>
              </w:rPr>
              <w:t>21</w:t>
            </w:r>
          </w:p>
        </w:tc>
        <w:tc>
          <w:tcPr>
            <w:tcW w:w="1170" w:type="dxa"/>
            <w:gridSpan w:val="2"/>
            <w:shd w:val="clear" w:color="auto" w:fill="auto"/>
            <w:tcMar>
              <w:top w:w="28" w:type="dxa"/>
              <w:bottom w:w="28" w:type="dxa"/>
            </w:tcMar>
            <w:vAlign w:val="center"/>
          </w:tcPr>
          <w:p w14:paraId="278936C5"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 162 </w:t>
            </w:r>
          </w:p>
        </w:tc>
        <w:tc>
          <w:tcPr>
            <w:tcW w:w="1170" w:type="dxa"/>
            <w:shd w:val="clear" w:color="auto" w:fill="auto"/>
            <w:tcMar>
              <w:top w:w="28" w:type="dxa"/>
              <w:bottom w:w="28" w:type="dxa"/>
            </w:tcMar>
            <w:vAlign w:val="center"/>
          </w:tcPr>
          <w:p w14:paraId="5606FE87"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350" w:type="dxa"/>
            <w:shd w:val="clear" w:color="auto" w:fill="auto"/>
            <w:tcMar>
              <w:top w:w="28" w:type="dxa"/>
              <w:bottom w:w="28" w:type="dxa"/>
            </w:tcMar>
            <w:vAlign w:val="center"/>
          </w:tcPr>
          <w:p w14:paraId="655F6E83"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162 </w:t>
            </w:r>
          </w:p>
        </w:tc>
        <w:tc>
          <w:tcPr>
            <w:tcW w:w="1428" w:type="dxa"/>
            <w:shd w:val="clear" w:color="auto" w:fill="auto"/>
            <w:tcMar>
              <w:top w:w="28" w:type="dxa"/>
              <w:bottom w:w="28" w:type="dxa"/>
            </w:tcMar>
            <w:vAlign w:val="center"/>
          </w:tcPr>
          <w:p w14:paraId="191F7FE5"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r>
      <w:tr w:rsidR="0086091A" w:rsidRPr="00E70587" w14:paraId="5013937A" w14:textId="77777777" w:rsidTr="00987D4E">
        <w:trPr>
          <w:gridAfter w:val="1"/>
          <w:wAfter w:w="12" w:type="dxa"/>
        </w:trPr>
        <w:tc>
          <w:tcPr>
            <w:tcW w:w="3150" w:type="dxa"/>
            <w:shd w:val="clear" w:color="auto" w:fill="auto"/>
            <w:tcMar>
              <w:top w:w="28" w:type="dxa"/>
              <w:bottom w:w="28" w:type="dxa"/>
            </w:tcMar>
            <w:vAlign w:val="center"/>
          </w:tcPr>
          <w:p w14:paraId="306AA724" w14:textId="77777777" w:rsidR="0086091A" w:rsidRPr="00E70587" w:rsidRDefault="0086091A" w:rsidP="009901E1">
            <w:pPr>
              <w:pStyle w:val="tabletext"/>
              <w:overflowPunct w:val="0"/>
              <w:autoSpaceDE w:val="0"/>
              <w:autoSpaceDN w:val="0"/>
              <w:adjustRightInd w:val="0"/>
              <w:spacing w:line="280" w:lineRule="exact"/>
              <w:ind w:left="318"/>
              <w:textAlignment w:val="baseline"/>
              <w:rPr>
                <w:rFonts w:ascii="Arial" w:hAnsi="Arial" w:cs="Arial"/>
                <w:sz w:val="20"/>
                <w:lang w:val="en-IN"/>
              </w:rPr>
            </w:pPr>
            <w:r w:rsidRPr="00E70587">
              <w:rPr>
                <w:rFonts w:ascii="Arial" w:hAnsi="Arial" w:cs="Arial"/>
                <w:sz w:val="20"/>
                <w:lang w:val="en-IN"/>
              </w:rPr>
              <w:t>Commodity derivative (copper)</w:t>
            </w:r>
          </w:p>
        </w:tc>
        <w:tc>
          <w:tcPr>
            <w:tcW w:w="1620" w:type="dxa"/>
            <w:shd w:val="clear" w:color="auto" w:fill="auto"/>
            <w:vAlign w:val="center"/>
          </w:tcPr>
          <w:p w14:paraId="069AD9E3" w14:textId="19C8D4FA" w:rsidR="0086091A" w:rsidRPr="00E70587" w:rsidRDefault="0086091A" w:rsidP="00987D4E">
            <w:pPr>
              <w:pStyle w:val="tabletext"/>
              <w:overflowPunct w:val="0"/>
              <w:autoSpaceDE w:val="0"/>
              <w:autoSpaceDN w:val="0"/>
              <w:adjustRightInd w:val="0"/>
              <w:spacing w:line="280" w:lineRule="exact"/>
              <w:ind w:left="-52"/>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0F3FD7" w:rsidRPr="00E70587">
              <w:rPr>
                <w:rFonts w:ascii="Arial" w:hAnsi="Arial" w:cs="Arial"/>
                <w:sz w:val="20"/>
                <w:lang w:val="en-IN"/>
              </w:rPr>
              <w:t>20</w:t>
            </w:r>
            <w:r w:rsidR="000F3FD7">
              <w:rPr>
                <w:rFonts w:ascii="Arial" w:hAnsi="Arial" w:cs="Arial"/>
                <w:sz w:val="20"/>
                <w:lang w:val="en-IN"/>
              </w:rPr>
              <w:t>21</w:t>
            </w:r>
          </w:p>
        </w:tc>
        <w:tc>
          <w:tcPr>
            <w:tcW w:w="1170" w:type="dxa"/>
            <w:gridSpan w:val="2"/>
            <w:shd w:val="clear" w:color="auto" w:fill="auto"/>
            <w:tcMar>
              <w:top w:w="28" w:type="dxa"/>
              <w:bottom w:w="28" w:type="dxa"/>
            </w:tcMar>
            <w:vAlign w:val="center"/>
          </w:tcPr>
          <w:p w14:paraId="7DA589B7"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 1,764 </w:t>
            </w:r>
          </w:p>
        </w:tc>
        <w:tc>
          <w:tcPr>
            <w:tcW w:w="1170" w:type="dxa"/>
            <w:shd w:val="clear" w:color="auto" w:fill="auto"/>
            <w:tcMar>
              <w:top w:w="28" w:type="dxa"/>
              <w:bottom w:w="28" w:type="dxa"/>
            </w:tcMar>
            <w:vAlign w:val="center"/>
          </w:tcPr>
          <w:p w14:paraId="52A130C8"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350" w:type="dxa"/>
            <w:shd w:val="clear" w:color="auto" w:fill="auto"/>
            <w:tcMar>
              <w:top w:w="28" w:type="dxa"/>
              <w:bottom w:w="28" w:type="dxa"/>
            </w:tcMar>
            <w:vAlign w:val="center"/>
          </w:tcPr>
          <w:p w14:paraId="0CD959E0"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1,764 </w:t>
            </w:r>
          </w:p>
        </w:tc>
        <w:tc>
          <w:tcPr>
            <w:tcW w:w="1428" w:type="dxa"/>
            <w:shd w:val="clear" w:color="auto" w:fill="auto"/>
            <w:tcMar>
              <w:top w:w="28" w:type="dxa"/>
              <w:bottom w:w="28" w:type="dxa"/>
            </w:tcMar>
            <w:vAlign w:val="center"/>
          </w:tcPr>
          <w:p w14:paraId="0959AB76"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r>
      <w:tr w:rsidR="0086091A" w:rsidRPr="00E70587" w14:paraId="178BD2E9" w14:textId="77777777" w:rsidTr="00987D4E">
        <w:trPr>
          <w:gridAfter w:val="1"/>
          <w:wAfter w:w="12" w:type="dxa"/>
        </w:trPr>
        <w:tc>
          <w:tcPr>
            <w:tcW w:w="3150" w:type="dxa"/>
            <w:shd w:val="clear" w:color="auto" w:fill="auto"/>
            <w:tcMar>
              <w:top w:w="28" w:type="dxa"/>
              <w:bottom w:w="28" w:type="dxa"/>
            </w:tcMar>
            <w:vAlign w:val="bottom"/>
          </w:tcPr>
          <w:p w14:paraId="1A0D7F59"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sz w:val="20"/>
                <w:lang w:val="en-IN"/>
              </w:rPr>
              <w:t>Contingent consideration liability (Note 36)</w:t>
            </w:r>
            <w:r w:rsidRPr="00E70587">
              <w:rPr>
                <w:rFonts w:ascii="Arial" w:hAnsi="Arial" w:cs="Arial"/>
                <w:b/>
                <w:sz w:val="20"/>
                <w:lang w:val="en-IN"/>
              </w:rPr>
              <w:t xml:space="preserve"> </w:t>
            </w:r>
          </w:p>
        </w:tc>
        <w:tc>
          <w:tcPr>
            <w:tcW w:w="1620" w:type="dxa"/>
            <w:shd w:val="clear" w:color="auto" w:fill="auto"/>
            <w:vAlign w:val="center"/>
          </w:tcPr>
          <w:p w14:paraId="12DB2C83" w14:textId="489F39C3" w:rsidR="0086091A" w:rsidRPr="00E70587" w:rsidRDefault="0086091A" w:rsidP="00987D4E">
            <w:pPr>
              <w:pStyle w:val="tabletext"/>
              <w:overflowPunct w:val="0"/>
              <w:autoSpaceDE w:val="0"/>
              <w:autoSpaceDN w:val="0"/>
              <w:adjustRightInd w:val="0"/>
              <w:spacing w:line="280" w:lineRule="exact"/>
              <w:ind w:left="-52"/>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0F3FD7" w:rsidRPr="00E70587">
              <w:rPr>
                <w:rFonts w:ascii="Arial" w:hAnsi="Arial" w:cs="Arial"/>
                <w:sz w:val="20"/>
                <w:lang w:val="en-IN"/>
              </w:rPr>
              <w:t>20</w:t>
            </w:r>
            <w:r w:rsidR="000F3FD7">
              <w:rPr>
                <w:rFonts w:ascii="Arial" w:hAnsi="Arial" w:cs="Arial"/>
                <w:sz w:val="20"/>
                <w:lang w:val="en-IN"/>
              </w:rPr>
              <w:t>21</w:t>
            </w:r>
          </w:p>
        </w:tc>
        <w:tc>
          <w:tcPr>
            <w:tcW w:w="1170" w:type="dxa"/>
            <w:gridSpan w:val="2"/>
            <w:shd w:val="clear" w:color="auto" w:fill="auto"/>
            <w:tcMar>
              <w:top w:w="28" w:type="dxa"/>
              <w:bottom w:w="28" w:type="dxa"/>
            </w:tcMar>
            <w:vAlign w:val="center"/>
          </w:tcPr>
          <w:p w14:paraId="7D475363" w14:textId="77777777" w:rsidR="0086091A" w:rsidRPr="00E70587" w:rsidRDefault="00950163" w:rsidP="00987D4E">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1930</w:t>
            </w:r>
          </w:p>
        </w:tc>
        <w:tc>
          <w:tcPr>
            <w:tcW w:w="1170" w:type="dxa"/>
            <w:shd w:val="clear" w:color="auto" w:fill="auto"/>
            <w:tcMar>
              <w:top w:w="28" w:type="dxa"/>
              <w:bottom w:w="28" w:type="dxa"/>
            </w:tcMar>
            <w:vAlign w:val="center"/>
          </w:tcPr>
          <w:p w14:paraId="3456E6D7"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350" w:type="dxa"/>
            <w:shd w:val="clear" w:color="auto" w:fill="auto"/>
            <w:tcMar>
              <w:top w:w="28" w:type="dxa"/>
              <w:bottom w:w="28" w:type="dxa"/>
            </w:tcMar>
            <w:vAlign w:val="center"/>
          </w:tcPr>
          <w:p w14:paraId="04E292E9"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428" w:type="dxa"/>
            <w:shd w:val="clear" w:color="auto" w:fill="auto"/>
            <w:tcMar>
              <w:top w:w="28" w:type="dxa"/>
              <w:bottom w:w="28" w:type="dxa"/>
            </w:tcMar>
            <w:vAlign w:val="center"/>
          </w:tcPr>
          <w:p w14:paraId="032AAF18"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1930</w:t>
            </w:r>
          </w:p>
        </w:tc>
      </w:tr>
      <w:tr w:rsidR="0086091A" w:rsidRPr="00E70587" w14:paraId="638E3CB3" w14:textId="77777777" w:rsidTr="00987D4E">
        <w:trPr>
          <w:gridAfter w:val="1"/>
          <w:wAfter w:w="12" w:type="dxa"/>
        </w:trPr>
        <w:tc>
          <w:tcPr>
            <w:tcW w:w="3150" w:type="dxa"/>
            <w:shd w:val="clear" w:color="auto" w:fill="auto"/>
            <w:tcMar>
              <w:top w:w="28" w:type="dxa"/>
              <w:bottom w:w="28" w:type="dxa"/>
            </w:tcMar>
            <w:vAlign w:val="bottom"/>
          </w:tcPr>
          <w:p w14:paraId="6CB662D0"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20" w:type="dxa"/>
            <w:shd w:val="clear" w:color="auto" w:fill="auto"/>
            <w:vAlign w:val="bottom"/>
          </w:tcPr>
          <w:p w14:paraId="2BF9A46C" w14:textId="77777777" w:rsidR="0086091A" w:rsidRPr="00E70587" w:rsidRDefault="0086091A" w:rsidP="009901E1">
            <w:pPr>
              <w:pStyle w:val="tabletext"/>
              <w:overflowPunct w:val="0"/>
              <w:autoSpaceDE w:val="0"/>
              <w:autoSpaceDN w:val="0"/>
              <w:adjustRightInd w:val="0"/>
              <w:spacing w:line="280" w:lineRule="exact"/>
              <w:ind w:left="-52" w:right="-74"/>
              <w:textAlignment w:val="baseline"/>
              <w:rPr>
                <w:rFonts w:ascii="Arial" w:hAnsi="Arial" w:cs="Arial"/>
                <w:sz w:val="20"/>
                <w:lang w:val="en-IN"/>
              </w:rPr>
            </w:pPr>
          </w:p>
        </w:tc>
        <w:tc>
          <w:tcPr>
            <w:tcW w:w="1170" w:type="dxa"/>
            <w:gridSpan w:val="2"/>
            <w:shd w:val="clear" w:color="auto" w:fill="auto"/>
            <w:tcMar>
              <w:top w:w="28" w:type="dxa"/>
              <w:bottom w:w="28" w:type="dxa"/>
            </w:tcMar>
            <w:vAlign w:val="center"/>
          </w:tcPr>
          <w:p w14:paraId="23259B94" w14:textId="77777777" w:rsidR="0086091A" w:rsidRPr="00E70587" w:rsidRDefault="0086091A" w:rsidP="009901E1">
            <w:pPr>
              <w:spacing w:line="280" w:lineRule="exact"/>
              <w:jc w:val="right"/>
              <w:rPr>
                <w:rFonts w:ascii="Arial" w:hAnsi="Arial" w:cs="Arial"/>
                <w:sz w:val="20"/>
              </w:rPr>
            </w:pPr>
          </w:p>
        </w:tc>
        <w:tc>
          <w:tcPr>
            <w:tcW w:w="1170" w:type="dxa"/>
            <w:shd w:val="clear" w:color="auto" w:fill="auto"/>
            <w:tcMar>
              <w:top w:w="28" w:type="dxa"/>
              <w:bottom w:w="28" w:type="dxa"/>
            </w:tcMar>
            <w:vAlign w:val="center"/>
          </w:tcPr>
          <w:p w14:paraId="74CE3628" w14:textId="77777777" w:rsidR="0086091A" w:rsidRPr="00E70587" w:rsidRDefault="0086091A" w:rsidP="009901E1">
            <w:pPr>
              <w:spacing w:line="280" w:lineRule="exact"/>
              <w:jc w:val="right"/>
              <w:rPr>
                <w:rFonts w:ascii="Arial" w:hAnsi="Arial" w:cs="Arial"/>
                <w:sz w:val="20"/>
              </w:rPr>
            </w:pPr>
          </w:p>
        </w:tc>
        <w:tc>
          <w:tcPr>
            <w:tcW w:w="1350" w:type="dxa"/>
            <w:shd w:val="clear" w:color="auto" w:fill="auto"/>
            <w:tcMar>
              <w:top w:w="28" w:type="dxa"/>
              <w:bottom w:w="28" w:type="dxa"/>
            </w:tcMar>
            <w:vAlign w:val="center"/>
          </w:tcPr>
          <w:p w14:paraId="2600A1FB" w14:textId="77777777" w:rsidR="0086091A" w:rsidRPr="00E70587" w:rsidRDefault="0086091A" w:rsidP="009901E1">
            <w:pPr>
              <w:spacing w:line="280" w:lineRule="exact"/>
              <w:jc w:val="right"/>
              <w:rPr>
                <w:rFonts w:ascii="Arial" w:hAnsi="Arial" w:cs="Arial"/>
                <w:sz w:val="20"/>
              </w:rPr>
            </w:pPr>
          </w:p>
        </w:tc>
        <w:tc>
          <w:tcPr>
            <w:tcW w:w="1428" w:type="dxa"/>
            <w:shd w:val="clear" w:color="auto" w:fill="auto"/>
            <w:tcMar>
              <w:top w:w="28" w:type="dxa"/>
              <w:bottom w:w="28" w:type="dxa"/>
            </w:tcMar>
            <w:vAlign w:val="center"/>
          </w:tcPr>
          <w:p w14:paraId="0152E0FF" w14:textId="77777777" w:rsidR="0086091A" w:rsidRPr="00E70587" w:rsidRDefault="0086091A" w:rsidP="009901E1">
            <w:pPr>
              <w:spacing w:line="280" w:lineRule="exact"/>
              <w:jc w:val="right"/>
              <w:rPr>
                <w:rFonts w:ascii="Arial" w:hAnsi="Arial" w:cs="Arial"/>
                <w:sz w:val="20"/>
              </w:rPr>
            </w:pPr>
          </w:p>
        </w:tc>
      </w:tr>
      <w:tr w:rsidR="0086091A" w:rsidRPr="00E70587" w14:paraId="171E0E16" w14:textId="77777777" w:rsidTr="00987D4E">
        <w:trPr>
          <w:gridAfter w:val="1"/>
          <w:wAfter w:w="12" w:type="dxa"/>
        </w:trPr>
        <w:tc>
          <w:tcPr>
            <w:tcW w:w="8460" w:type="dxa"/>
            <w:gridSpan w:val="6"/>
            <w:shd w:val="clear" w:color="auto" w:fill="auto"/>
            <w:tcMar>
              <w:top w:w="28" w:type="dxa"/>
              <w:bottom w:w="28" w:type="dxa"/>
            </w:tcMar>
            <w:vAlign w:val="bottom"/>
          </w:tcPr>
          <w:p w14:paraId="62BB835B" w14:textId="1F77B77F" w:rsidR="0086091A" w:rsidRPr="00E70587" w:rsidRDefault="0086091A" w:rsidP="009901E1">
            <w:pPr>
              <w:pStyle w:val="Heading5"/>
              <w:spacing w:before="0" w:after="0" w:line="280" w:lineRule="exact"/>
              <w:rPr>
                <w:rFonts w:ascii="Arial" w:hAnsi="Arial" w:cs="Arial"/>
                <w:sz w:val="20"/>
                <w:szCs w:val="20"/>
              </w:rPr>
            </w:pPr>
            <w:r w:rsidRPr="00E70587">
              <w:rPr>
                <w:rFonts w:ascii="Arial" w:hAnsi="Arial" w:cs="Arial"/>
                <w:sz w:val="20"/>
                <w:szCs w:val="20"/>
              </w:rPr>
              <w:t xml:space="preserve">Liabilities for which fair values are disclosed (Note </w:t>
            </w:r>
            <w:r w:rsidR="00B83F60" w:rsidRPr="00E70587">
              <w:rPr>
                <w:rFonts w:ascii="Arial" w:hAnsi="Arial" w:cs="Arial"/>
                <w:sz w:val="20"/>
                <w:szCs w:val="20"/>
              </w:rPr>
              <w:t>4</w:t>
            </w:r>
            <w:r w:rsidR="00B83F60">
              <w:rPr>
                <w:rFonts w:ascii="Arial" w:hAnsi="Arial" w:cs="Arial"/>
                <w:sz w:val="20"/>
                <w:szCs w:val="20"/>
              </w:rPr>
              <w:t>7</w:t>
            </w:r>
            <w:r w:rsidRPr="00E70587">
              <w:rPr>
                <w:rFonts w:ascii="Arial" w:hAnsi="Arial" w:cs="Arial"/>
                <w:sz w:val="20"/>
                <w:szCs w:val="20"/>
              </w:rPr>
              <w:t>):</w:t>
            </w:r>
          </w:p>
        </w:tc>
        <w:tc>
          <w:tcPr>
            <w:tcW w:w="1428" w:type="dxa"/>
            <w:shd w:val="clear" w:color="auto" w:fill="auto"/>
            <w:tcMar>
              <w:top w:w="28" w:type="dxa"/>
              <w:bottom w:w="28" w:type="dxa"/>
            </w:tcMar>
            <w:vAlign w:val="bottom"/>
          </w:tcPr>
          <w:p w14:paraId="4EAB27AE"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r>
      <w:tr w:rsidR="0086091A" w:rsidRPr="00E70587" w14:paraId="4A471CF9" w14:textId="77777777" w:rsidTr="00987D4E">
        <w:trPr>
          <w:gridAfter w:val="1"/>
          <w:wAfter w:w="12" w:type="dxa"/>
        </w:trPr>
        <w:tc>
          <w:tcPr>
            <w:tcW w:w="4770" w:type="dxa"/>
            <w:gridSpan w:val="2"/>
            <w:shd w:val="clear" w:color="auto" w:fill="auto"/>
            <w:tcMar>
              <w:top w:w="28" w:type="dxa"/>
              <w:bottom w:w="28" w:type="dxa"/>
            </w:tcMar>
            <w:vAlign w:val="bottom"/>
          </w:tcPr>
          <w:p w14:paraId="770F2D98" w14:textId="77777777" w:rsidR="0086091A" w:rsidRPr="00E70587" w:rsidRDefault="00BC09B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B</w:t>
            </w:r>
            <w:r w:rsidR="0086091A" w:rsidRPr="00E70587">
              <w:rPr>
                <w:rFonts w:ascii="Arial" w:hAnsi="Arial" w:cs="Arial"/>
                <w:sz w:val="20"/>
                <w:lang w:val="en-IN"/>
              </w:rPr>
              <w:t>orrowings</w:t>
            </w:r>
            <w:r w:rsidR="0086091A" w:rsidRPr="00E70587">
              <w:rPr>
                <w:rFonts w:ascii="Arial" w:hAnsi="Arial" w:cs="Arial"/>
                <w:b/>
                <w:sz w:val="20"/>
                <w:lang w:val="en-IN"/>
              </w:rPr>
              <w:t>:</w:t>
            </w:r>
          </w:p>
        </w:tc>
        <w:tc>
          <w:tcPr>
            <w:tcW w:w="1170" w:type="dxa"/>
            <w:gridSpan w:val="2"/>
            <w:shd w:val="clear" w:color="auto" w:fill="auto"/>
            <w:tcMar>
              <w:top w:w="28" w:type="dxa"/>
              <w:bottom w:w="28" w:type="dxa"/>
            </w:tcMar>
            <w:vAlign w:val="bottom"/>
          </w:tcPr>
          <w:p w14:paraId="1C5504A0"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170" w:type="dxa"/>
            <w:shd w:val="clear" w:color="auto" w:fill="auto"/>
            <w:tcMar>
              <w:top w:w="28" w:type="dxa"/>
              <w:bottom w:w="28" w:type="dxa"/>
            </w:tcMar>
          </w:tcPr>
          <w:p w14:paraId="049F30E4"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350" w:type="dxa"/>
            <w:shd w:val="clear" w:color="auto" w:fill="auto"/>
            <w:tcMar>
              <w:top w:w="28" w:type="dxa"/>
              <w:bottom w:w="28" w:type="dxa"/>
            </w:tcMar>
          </w:tcPr>
          <w:p w14:paraId="6A23483C"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428" w:type="dxa"/>
            <w:shd w:val="clear" w:color="auto" w:fill="auto"/>
            <w:tcMar>
              <w:top w:w="28" w:type="dxa"/>
              <w:bottom w:w="28" w:type="dxa"/>
            </w:tcMar>
            <w:vAlign w:val="bottom"/>
          </w:tcPr>
          <w:p w14:paraId="6697027B"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r>
      <w:tr w:rsidR="0086091A" w:rsidRPr="00E70587" w14:paraId="6C91D52E" w14:textId="77777777" w:rsidTr="00987D4E">
        <w:trPr>
          <w:gridAfter w:val="1"/>
          <w:wAfter w:w="12" w:type="dxa"/>
        </w:trPr>
        <w:tc>
          <w:tcPr>
            <w:tcW w:w="3150" w:type="dxa"/>
            <w:shd w:val="clear" w:color="auto" w:fill="auto"/>
            <w:tcMar>
              <w:top w:w="28" w:type="dxa"/>
              <w:bottom w:w="28" w:type="dxa"/>
            </w:tcMar>
            <w:vAlign w:val="bottom"/>
          </w:tcPr>
          <w:p w14:paraId="1F632359" w14:textId="77777777" w:rsidR="0086091A" w:rsidRPr="00E70587" w:rsidRDefault="0086091A" w:rsidP="009901E1">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Floating rate borrowings (India)</w:t>
            </w:r>
          </w:p>
        </w:tc>
        <w:tc>
          <w:tcPr>
            <w:tcW w:w="1620" w:type="dxa"/>
            <w:shd w:val="clear" w:color="auto" w:fill="auto"/>
            <w:vAlign w:val="center"/>
          </w:tcPr>
          <w:p w14:paraId="394FD065" w14:textId="4EC74BD1" w:rsidR="0086091A" w:rsidRPr="00E70587" w:rsidRDefault="0086091A" w:rsidP="00987D4E">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8E3611" w:rsidRPr="00E70587">
              <w:rPr>
                <w:rFonts w:ascii="Arial" w:hAnsi="Arial" w:cs="Arial"/>
                <w:sz w:val="20"/>
                <w:lang w:val="en-IN"/>
              </w:rPr>
              <w:t>20</w:t>
            </w:r>
            <w:r w:rsidR="008E3611">
              <w:rPr>
                <w:rFonts w:ascii="Arial" w:hAnsi="Arial" w:cs="Arial"/>
                <w:sz w:val="20"/>
                <w:lang w:val="en-IN"/>
              </w:rPr>
              <w:t>21</w:t>
            </w:r>
          </w:p>
        </w:tc>
        <w:tc>
          <w:tcPr>
            <w:tcW w:w="1170" w:type="dxa"/>
            <w:gridSpan w:val="2"/>
            <w:shd w:val="clear" w:color="auto" w:fill="auto"/>
            <w:tcMar>
              <w:top w:w="28" w:type="dxa"/>
              <w:bottom w:w="28" w:type="dxa"/>
            </w:tcMar>
            <w:vAlign w:val="center"/>
          </w:tcPr>
          <w:p w14:paraId="45FA7BF9"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 18,756 </w:t>
            </w:r>
          </w:p>
        </w:tc>
        <w:tc>
          <w:tcPr>
            <w:tcW w:w="1170" w:type="dxa"/>
            <w:shd w:val="clear" w:color="auto" w:fill="auto"/>
            <w:tcMar>
              <w:top w:w="28" w:type="dxa"/>
              <w:bottom w:w="28" w:type="dxa"/>
            </w:tcMar>
            <w:vAlign w:val="center"/>
          </w:tcPr>
          <w:p w14:paraId="3572CBA9"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350" w:type="dxa"/>
            <w:shd w:val="clear" w:color="auto" w:fill="auto"/>
            <w:tcMar>
              <w:top w:w="28" w:type="dxa"/>
              <w:bottom w:w="28" w:type="dxa"/>
            </w:tcMar>
            <w:vAlign w:val="center"/>
          </w:tcPr>
          <w:p w14:paraId="0FFBE1D2"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18,756 </w:t>
            </w:r>
          </w:p>
        </w:tc>
        <w:tc>
          <w:tcPr>
            <w:tcW w:w="1428" w:type="dxa"/>
            <w:shd w:val="clear" w:color="auto" w:fill="auto"/>
            <w:tcMar>
              <w:top w:w="28" w:type="dxa"/>
              <w:bottom w:w="28" w:type="dxa"/>
            </w:tcMar>
            <w:vAlign w:val="center"/>
          </w:tcPr>
          <w:p w14:paraId="4D12FD72"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r>
      <w:tr w:rsidR="0086091A" w:rsidRPr="00E70587" w14:paraId="10068ACD" w14:textId="77777777" w:rsidTr="00987D4E">
        <w:trPr>
          <w:gridAfter w:val="1"/>
          <w:wAfter w:w="12" w:type="dxa"/>
        </w:trPr>
        <w:tc>
          <w:tcPr>
            <w:tcW w:w="3150" w:type="dxa"/>
            <w:shd w:val="clear" w:color="auto" w:fill="auto"/>
            <w:tcMar>
              <w:top w:w="28" w:type="dxa"/>
              <w:bottom w:w="28" w:type="dxa"/>
            </w:tcMar>
            <w:vAlign w:val="bottom"/>
          </w:tcPr>
          <w:p w14:paraId="31AC2C97" w14:textId="77777777" w:rsidR="0086091A" w:rsidRPr="00E70587" w:rsidRDefault="0086091A" w:rsidP="009901E1">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Floating rate borrowings (US)</w:t>
            </w:r>
          </w:p>
        </w:tc>
        <w:tc>
          <w:tcPr>
            <w:tcW w:w="1620" w:type="dxa"/>
            <w:shd w:val="clear" w:color="auto" w:fill="auto"/>
            <w:vAlign w:val="center"/>
          </w:tcPr>
          <w:p w14:paraId="35375F78" w14:textId="4EB4721B" w:rsidR="0086091A" w:rsidRPr="00E70587" w:rsidRDefault="0086091A" w:rsidP="00987D4E">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8E3611" w:rsidRPr="00E70587">
              <w:rPr>
                <w:rFonts w:ascii="Arial" w:hAnsi="Arial" w:cs="Arial"/>
                <w:sz w:val="20"/>
                <w:lang w:val="en-IN"/>
              </w:rPr>
              <w:t>20</w:t>
            </w:r>
            <w:r w:rsidR="008E3611">
              <w:rPr>
                <w:rFonts w:ascii="Arial" w:hAnsi="Arial" w:cs="Arial"/>
                <w:sz w:val="20"/>
                <w:lang w:val="en-IN"/>
              </w:rPr>
              <w:t>21</w:t>
            </w:r>
          </w:p>
        </w:tc>
        <w:tc>
          <w:tcPr>
            <w:tcW w:w="1170" w:type="dxa"/>
            <w:gridSpan w:val="2"/>
            <w:shd w:val="clear" w:color="auto" w:fill="auto"/>
            <w:tcMar>
              <w:top w:w="28" w:type="dxa"/>
              <w:bottom w:w="28" w:type="dxa"/>
            </w:tcMar>
            <w:vAlign w:val="center"/>
          </w:tcPr>
          <w:p w14:paraId="2856446E"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 4,044 </w:t>
            </w:r>
          </w:p>
        </w:tc>
        <w:tc>
          <w:tcPr>
            <w:tcW w:w="1170" w:type="dxa"/>
            <w:shd w:val="clear" w:color="auto" w:fill="auto"/>
            <w:tcMar>
              <w:top w:w="28" w:type="dxa"/>
              <w:bottom w:w="28" w:type="dxa"/>
            </w:tcMar>
            <w:vAlign w:val="center"/>
          </w:tcPr>
          <w:p w14:paraId="108BEE87"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350" w:type="dxa"/>
            <w:shd w:val="clear" w:color="auto" w:fill="auto"/>
            <w:tcMar>
              <w:top w:w="28" w:type="dxa"/>
              <w:bottom w:w="28" w:type="dxa"/>
            </w:tcMar>
            <w:vAlign w:val="center"/>
          </w:tcPr>
          <w:p w14:paraId="634A7E38"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4,044 </w:t>
            </w:r>
          </w:p>
        </w:tc>
        <w:tc>
          <w:tcPr>
            <w:tcW w:w="1428" w:type="dxa"/>
            <w:shd w:val="clear" w:color="auto" w:fill="auto"/>
            <w:tcMar>
              <w:top w:w="28" w:type="dxa"/>
              <w:bottom w:w="28" w:type="dxa"/>
            </w:tcMar>
            <w:vAlign w:val="center"/>
          </w:tcPr>
          <w:p w14:paraId="3BD907A1"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r>
      <w:tr w:rsidR="0086091A" w:rsidRPr="00E70587" w14:paraId="3319388E" w14:textId="77777777" w:rsidTr="00987D4E">
        <w:trPr>
          <w:gridAfter w:val="1"/>
          <w:wAfter w:w="12" w:type="dxa"/>
        </w:trPr>
        <w:tc>
          <w:tcPr>
            <w:tcW w:w="3150" w:type="dxa"/>
            <w:shd w:val="clear" w:color="auto" w:fill="auto"/>
            <w:tcMar>
              <w:top w:w="28" w:type="dxa"/>
              <w:bottom w:w="28" w:type="dxa"/>
            </w:tcMar>
            <w:vAlign w:val="bottom"/>
          </w:tcPr>
          <w:p w14:paraId="66078FBF" w14:textId="77777777" w:rsidR="0086091A" w:rsidRPr="00E70587" w:rsidRDefault="0086091A" w:rsidP="009901E1">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Convertible preference shares</w:t>
            </w:r>
          </w:p>
        </w:tc>
        <w:tc>
          <w:tcPr>
            <w:tcW w:w="1620" w:type="dxa"/>
            <w:shd w:val="clear" w:color="auto" w:fill="auto"/>
            <w:vAlign w:val="center"/>
          </w:tcPr>
          <w:p w14:paraId="4B2271D8" w14:textId="7B8A6633" w:rsidR="0086091A" w:rsidRPr="00E70587" w:rsidRDefault="0086091A" w:rsidP="00987D4E">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8E3611" w:rsidRPr="00E70587">
              <w:rPr>
                <w:rFonts w:ascii="Arial" w:hAnsi="Arial" w:cs="Arial"/>
                <w:sz w:val="20"/>
                <w:lang w:val="en-IN"/>
              </w:rPr>
              <w:t>20</w:t>
            </w:r>
            <w:r w:rsidR="008E3611">
              <w:rPr>
                <w:rFonts w:ascii="Arial" w:hAnsi="Arial" w:cs="Arial"/>
                <w:sz w:val="20"/>
                <w:lang w:val="en-IN"/>
              </w:rPr>
              <w:t>21</w:t>
            </w:r>
          </w:p>
        </w:tc>
        <w:tc>
          <w:tcPr>
            <w:tcW w:w="1170" w:type="dxa"/>
            <w:gridSpan w:val="2"/>
            <w:shd w:val="clear" w:color="auto" w:fill="auto"/>
            <w:tcMar>
              <w:top w:w="28" w:type="dxa"/>
              <w:bottom w:w="28" w:type="dxa"/>
            </w:tcMar>
            <w:vAlign w:val="center"/>
          </w:tcPr>
          <w:p w14:paraId="0376550C"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 4,979 </w:t>
            </w:r>
          </w:p>
        </w:tc>
        <w:tc>
          <w:tcPr>
            <w:tcW w:w="1170" w:type="dxa"/>
            <w:shd w:val="clear" w:color="auto" w:fill="auto"/>
            <w:tcMar>
              <w:top w:w="28" w:type="dxa"/>
              <w:bottom w:w="28" w:type="dxa"/>
            </w:tcMar>
            <w:vAlign w:val="center"/>
          </w:tcPr>
          <w:p w14:paraId="6DA95E36"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350" w:type="dxa"/>
            <w:shd w:val="clear" w:color="auto" w:fill="auto"/>
            <w:tcMar>
              <w:top w:w="28" w:type="dxa"/>
              <w:bottom w:w="28" w:type="dxa"/>
            </w:tcMar>
            <w:vAlign w:val="center"/>
          </w:tcPr>
          <w:p w14:paraId="159027F1"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4,979 </w:t>
            </w:r>
          </w:p>
        </w:tc>
        <w:tc>
          <w:tcPr>
            <w:tcW w:w="1428" w:type="dxa"/>
            <w:shd w:val="clear" w:color="auto" w:fill="auto"/>
            <w:tcMar>
              <w:top w:w="28" w:type="dxa"/>
              <w:bottom w:w="28" w:type="dxa"/>
            </w:tcMar>
            <w:vAlign w:val="center"/>
          </w:tcPr>
          <w:p w14:paraId="565918CC"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r>
      <w:tr w:rsidR="0086091A" w:rsidRPr="00E70587" w14:paraId="536EDF31" w14:textId="77777777" w:rsidTr="00987D4E">
        <w:trPr>
          <w:gridAfter w:val="1"/>
          <w:wAfter w:w="12" w:type="dxa"/>
        </w:trPr>
        <w:tc>
          <w:tcPr>
            <w:tcW w:w="3150" w:type="dxa"/>
            <w:shd w:val="clear" w:color="auto" w:fill="auto"/>
            <w:tcMar>
              <w:top w:w="28" w:type="dxa"/>
              <w:bottom w:w="28" w:type="dxa"/>
            </w:tcMar>
            <w:vAlign w:val="bottom"/>
          </w:tcPr>
          <w:p w14:paraId="699B6F62" w14:textId="77777777" w:rsidR="0086091A" w:rsidRPr="00E70587" w:rsidRDefault="0086091A" w:rsidP="009901E1">
            <w:pPr>
              <w:pStyle w:val="tabletext"/>
              <w:overflowPunct w:val="0"/>
              <w:autoSpaceDE w:val="0"/>
              <w:autoSpaceDN w:val="0"/>
              <w:adjustRightInd w:val="0"/>
              <w:spacing w:line="280" w:lineRule="exact"/>
              <w:ind w:left="360"/>
              <w:textAlignment w:val="baseline"/>
              <w:rPr>
                <w:rFonts w:ascii="Arial" w:hAnsi="Arial" w:cs="Arial"/>
                <w:sz w:val="20"/>
                <w:lang w:val="en-IN"/>
              </w:rPr>
            </w:pPr>
            <w:r w:rsidRPr="00E70587">
              <w:rPr>
                <w:rFonts w:ascii="Arial" w:hAnsi="Arial" w:cs="Arial"/>
                <w:sz w:val="20"/>
                <w:lang w:val="en-IN"/>
              </w:rPr>
              <w:t>Fixed rate borrowing</w:t>
            </w:r>
          </w:p>
        </w:tc>
        <w:tc>
          <w:tcPr>
            <w:tcW w:w="1620" w:type="dxa"/>
            <w:shd w:val="clear" w:color="auto" w:fill="auto"/>
            <w:vAlign w:val="center"/>
          </w:tcPr>
          <w:p w14:paraId="0B0CED9A" w14:textId="077F9E0E" w:rsidR="0086091A" w:rsidRPr="00E70587" w:rsidRDefault="0086091A" w:rsidP="00987D4E">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8E3611" w:rsidRPr="00E70587">
              <w:rPr>
                <w:rFonts w:ascii="Arial" w:hAnsi="Arial" w:cs="Arial"/>
                <w:sz w:val="20"/>
                <w:lang w:val="en-IN"/>
              </w:rPr>
              <w:t>20</w:t>
            </w:r>
            <w:r w:rsidR="008E3611">
              <w:rPr>
                <w:rFonts w:ascii="Arial" w:hAnsi="Arial" w:cs="Arial"/>
                <w:sz w:val="20"/>
                <w:lang w:val="en-IN"/>
              </w:rPr>
              <w:t>21</w:t>
            </w:r>
          </w:p>
        </w:tc>
        <w:tc>
          <w:tcPr>
            <w:tcW w:w="1170" w:type="dxa"/>
            <w:gridSpan w:val="2"/>
            <w:shd w:val="clear" w:color="auto" w:fill="auto"/>
            <w:tcMar>
              <w:top w:w="28" w:type="dxa"/>
              <w:bottom w:w="28" w:type="dxa"/>
            </w:tcMar>
            <w:vAlign w:val="center"/>
          </w:tcPr>
          <w:p w14:paraId="0A03EF1C"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 11,378 </w:t>
            </w:r>
          </w:p>
        </w:tc>
        <w:tc>
          <w:tcPr>
            <w:tcW w:w="1170" w:type="dxa"/>
            <w:shd w:val="clear" w:color="auto" w:fill="auto"/>
            <w:tcMar>
              <w:top w:w="28" w:type="dxa"/>
              <w:bottom w:w="28" w:type="dxa"/>
            </w:tcMar>
            <w:vAlign w:val="center"/>
          </w:tcPr>
          <w:p w14:paraId="53F8C78F"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350" w:type="dxa"/>
            <w:shd w:val="clear" w:color="auto" w:fill="auto"/>
            <w:tcMar>
              <w:top w:w="28" w:type="dxa"/>
              <w:bottom w:w="28" w:type="dxa"/>
            </w:tcMar>
            <w:vAlign w:val="center"/>
          </w:tcPr>
          <w:p w14:paraId="0A0C903F"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11,378 </w:t>
            </w:r>
          </w:p>
        </w:tc>
        <w:tc>
          <w:tcPr>
            <w:tcW w:w="1428" w:type="dxa"/>
            <w:shd w:val="clear" w:color="auto" w:fill="auto"/>
            <w:tcMar>
              <w:top w:w="28" w:type="dxa"/>
              <w:bottom w:w="28" w:type="dxa"/>
            </w:tcMar>
            <w:vAlign w:val="center"/>
          </w:tcPr>
          <w:p w14:paraId="1F066574"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r>
      <w:tr w:rsidR="0086091A" w:rsidRPr="00E70587" w14:paraId="2A66C925" w14:textId="77777777" w:rsidTr="00987D4E">
        <w:trPr>
          <w:gridAfter w:val="1"/>
          <w:wAfter w:w="12" w:type="dxa"/>
        </w:trPr>
        <w:tc>
          <w:tcPr>
            <w:tcW w:w="3150" w:type="dxa"/>
            <w:shd w:val="clear" w:color="auto" w:fill="auto"/>
            <w:tcMar>
              <w:top w:w="28" w:type="dxa"/>
              <w:bottom w:w="28" w:type="dxa"/>
            </w:tcMar>
            <w:vAlign w:val="bottom"/>
          </w:tcPr>
          <w:p w14:paraId="5F7542A6" w14:textId="77777777" w:rsidR="0086091A" w:rsidRPr="00E70587" w:rsidRDefault="0086091A" w:rsidP="009901E1">
            <w:pPr>
              <w:pStyle w:val="Notesbodytext"/>
              <w:spacing w:after="0" w:line="280" w:lineRule="exact"/>
              <w:rPr>
                <w:rFonts w:ascii="Arial" w:hAnsi="Arial"/>
                <w:color w:val="auto"/>
                <w:sz w:val="20"/>
              </w:rPr>
            </w:pPr>
            <w:r w:rsidRPr="00E70587">
              <w:rPr>
                <w:rFonts w:ascii="Arial" w:hAnsi="Arial"/>
                <w:color w:val="auto"/>
                <w:sz w:val="20"/>
              </w:rPr>
              <w:t>Financial guarantees</w:t>
            </w:r>
          </w:p>
        </w:tc>
        <w:tc>
          <w:tcPr>
            <w:tcW w:w="1620" w:type="dxa"/>
            <w:shd w:val="clear" w:color="auto" w:fill="auto"/>
            <w:vAlign w:val="center"/>
          </w:tcPr>
          <w:p w14:paraId="308AD111" w14:textId="45DF2560" w:rsidR="0086091A" w:rsidRPr="00E70587" w:rsidRDefault="0086091A" w:rsidP="00987D4E">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E1202D" w:rsidRPr="00E70587">
              <w:rPr>
                <w:rFonts w:ascii="Arial" w:hAnsi="Arial" w:cs="Arial"/>
                <w:sz w:val="20"/>
                <w:lang w:val="en-IN"/>
              </w:rPr>
              <w:t xml:space="preserve">March </w:t>
            </w:r>
            <w:r w:rsidR="008E3611" w:rsidRPr="00E70587">
              <w:rPr>
                <w:rFonts w:ascii="Arial" w:hAnsi="Arial" w:cs="Arial"/>
                <w:sz w:val="20"/>
                <w:lang w:val="en-IN"/>
              </w:rPr>
              <w:t>20</w:t>
            </w:r>
            <w:r w:rsidR="008E3611">
              <w:rPr>
                <w:rFonts w:ascii="Arial" w:hAnsi="Arial" w:cs="Arial"/>
                <w:sz w:val="20"/>
                <w:lang w:val="en-IN"/>
              </w:rPr>
              <w:t>21</w:t>
            </w:r>
          </w:p>
        </w:tc>
        <w:tc>
          <w:tcPr>
            <w:tcW w:w="1170" w:type="dxa"/>
            <w:gridSpan w:val="2"/>
            <w:shd w:val="clear" w:color="auto" w:fill="auto"/>
            <w:tcMar>
              <w:top w:w="28" w:type="dxa"/>
              <w:bottom w:w="28" w:type="dxa"/>
            </w:tcMar>
            <w:vAlign w:val="center"/>
          </w:tcPr>
          <w:p w14:paraId="58834F31"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 149 </w:t>
            </w:r>
          </w:p>
        </w:tc>
        <w:tc>
          <w:tcPr>
            <w:tcW w:w="1170" w:type="dxa"/>
            <w:shd w:val="clear" w:color="auto" w:fill="auto"/>
            <w:tcMar>
              <w:top w:w="28" w:type="dxa"/>
              <w:bottom w:w="28" w:type="dxa"/>
            </w:tcMar>
            <w:vAlign w:val="center"/>
          </w:tcPr>
          <w:p w14:paraId="4081F8B9"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350" w:type="dxa"/>
            <w:shd w:val="clear" w:color="auto" w:fill="auto"/>
            <w:tcMar>
              <w:top w:w="28" w:type="dxa"/>
              <w:bottom w:w="28" w:type="dxa"/>
            </w:tcMar>
            <w:vAlign w:val="center"/>
          </w:tcPr>
          <w:p w14:paraId="552F9697"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w:t>
            </w:r>
          </w:p>
        </w:tc>
        <w:tc>
          <w:tcPr>
            <w:tcW w:w="1428" w:type="dxa"/>
            <w:shd w:val="clear" w:color="auto" w:fill="auto"/>
            <w:tcMar>
              <w:top w:w="28" w:type="dxa"/>
              <w:bottom w:w="28" w:type="dxa"/>
            </w:tcMar>
            <w:vAlign w:val="center"/>
          </w:tcPr>
          <w:p w14:paraId="1DB10057" w14:textId="77777777" w:rsidR="0086091A" w:rsidRPr="00E70587" w:rsidRDefault="0086091A" w:rsidP="00987D4E">
            <w:pPr>
              <w:spacing w:line="280" w:lineRule="exact"/>
              <w:jc w:val="right"/>
              <w:rPr>
                <w:rFonts w:ascii="Arial" w:hAnsi="Arial" w:cs="Arial"/>
                <w:sz w:val="20"/>
              </w:rPr>
            </w:pPr>
            <w:r w:rsidRPr="00E70587">
              <w:rPr>
                <w:rFonts w:ascii="Arial" w:hAnsi="Arial" w:cs="Arial"/>
                <w:sz w:val="20"/>
              </w:rPr>
              <w:t xml:space="preserve">149 </w:t>
            </w:r>
          </w:p>
        </w:tc>
      </w:tr>
    </w:tbl>
    <w:p w14:paraId="39625FA7" w14:textId="77777777" w:rsidR="00657499" w:rsidRPr="00E70587" w:rsidRDefault="00657499" w:rsidP="009901E1">
      <w:pPr>
        <w:pStyle w:val="Notesbodytext"/>
        <w:spacing w:after="0" w:line="280" w:lineRule="exact"/>
        <w:rPr>
          <w:rFonts w:ascii="Arial" w:hAnsi="Arial"/>
          <w:color w:val="auto"/>
          <w:sz w:val="20"/>
        </w:rPr>
      </w:pPr>
    </w:p>
    <w:p w14:paraId="500B1BC2" w14:textId="1CA9A6C0" w:rsidR="00F60936" w:rsidRPr="00E70587" w:rsidRDefault="00F60936" w:rsidP="009901E1">
      <w:pPr>
        <w:pStyle w:val="Notesbodytext"/>
        <w:spacing w:after="0" w:line="280" w:lineRule="exact"/>
        <w:rPr>
          <w:rFonts w:ascii="Arial" w:hAnsi="Arial"/>
          <w:color w:val="auto"/>
          <w:sz w:val="20"/>
        </w:rPr>
      </w:pPr>
      <w:r w:rsidRPr="00E70587">
        <w:rPr>
          <w:rFonts w:ascii="Arial" w:hAnsi="Arial"/>
          <w:color w:val="auto"/>
          <w:sz w:val="20"/>
        </w:rPr>
        <w:t xml:space="preserve">There have been no transfers between Level 1 and Level 2 during </w:t>
      </w:r>
      <w:r w:rsidR="00C13201" w:rsidRPr="00E70587">
        <w:rPr>
          <w:rFonts w:ascii="Arial" w:hAnsi="Arial"/>
          <w:sz w:val="20"/>
        </w:rPr>
        <w:t>the year ended 31 March 20</w:t>
      </w:r>
      <w:r w:rsidR="00C13201">
        <w:rPr>
          <w:rFonts w:ascii="Arial" w:hAnsi="Arial"/>
          <w:sz w:val="20"/>
        </w:rPr>
        <w:t>21</w:t>
      </w:r>
      <w:r w:rsidRPr="00E70587">
        <w:rPr>
          <w:rFonts w:ascii="Arial" w:hAnsi="Arial"/>
          <w:color w:val="auto"/>
          <w:sz w:val="20"/>
        </w:rPr>
        <w:t>.</w:t>
      </w:r>
    </w:p>
    <w:p w14:paraId="72EA8161" w14:textId="77777777" w:rsidR="00FA1F28" w:rsidRPr="00E70587" w:rsidRDefault="00FA1F28" w:rsidP="009901E1">
      <w:pPr>
        <w:pStyle w:val="Notesbodytext"/>
        <w:spacing w:after="0" w:line="280" w:lineRule="exact"/>
        <w:rPr>
          <w:rFonts w:ascii="Arial" w:hAnsi="Arial"/>
          <w:color w:val="auto"/>
          <w:sz w:val="20"/>
        </w:rPr>
      </w:pPr>
    </w:p>
    <w:p w14:paraId="2972682A" w14:textId="336EC32E" w:rsidR="00F60936" w:rsidRPr="00E70587" w:rsidRDefault="00F60936" w:rsidP="009901E1">
      <w:pPr>
        <w:spacing w:line="280" w:lineRule="exact"/>
        <w:rPr>
          <w:rFonts w:ascii="Arial" w:hAnsi="Arial" w:cs="Arial"/>
          <w:b/>
          <w:sz w:val="20"/>
        </w:rPr>
      </w:pPr>
      <w:r w:rsidRPr="00E70587">
        <w:rPr>
          <w:rFonts w:ascii="Arial" w:hAnsi="Arial" w:cs="Arial"/>
          <w:b/>
          <w:sz w:val="20"/>
        </w:rPr>
        <w:t xml:space="preserve">Quantitative disclosures fair value measurement hierarchy for assets as at 31 </w:t>
      </w:r>
      <w:r w:rsidR="008B730E" w:rsidRPr="00E70587">
        <w:rPr>
          <w:rFonts w:ascii="Arial" w:hAnsi="Arial" w:cs="Arial"/>
          <w:b/>
          <w:sz w:val="20"/>
        </w:rPr>
        <w:t xml:space="preserve">March </w:t>
      </w:r>
      <w:r w:rsidR="008E3611" w:rsidRPr="00E70587">
        <w:rPr>
          <w:rFonts w:ascii="Arial" w:hAnsi="Arial" w:cs="Arial"/>
          <w:b/>
          <w:sz w:val="20"/>
        </w:rPr>
        <w:t>20</w:t>
      </w:r>
      <w:r w:rsidR="008E3611">
        <w:rPr>
          <w:rFonts w:ascii="Arial" w:hAnsi="Arial" w:cs="Arial"/>
          <w:b/>
          <w:sz w:val="20"/>
        </w:rPr>
        <w:t>20</w:t>
      </w:r>
      <w:r w:rsidRPr="00E70587">
        <w:rPr>
          <w:rFonts w:ascii="Arial" w:hAnsi="Arial" w:cs="Arial"/>
          <w:b/>
          <w:sz w:val="20"/>
        </w:rPr>
        <w:t>:</w:t>
      </w:r>
    </w:p>
    <w:p w14:paraId="2512EBE6" w14:textId="77777777" w:rsidR="0055751D" w:rsidRPr="00E70587" w:rsidRDefault="0055751D" w:rsidP="009901E1">
      <w:pPr>
        <w:spacing w:line="280" w:lineRule="exact"/>
        <w:rPr>
          <w:rFonts w:ascii="Arial" w:hAnsi="Arial" w:cs="Arial"/>
          <w:b/>
          <w:sz w:val="20"/>
        </w:rPr>
      </w:pPr>
    </w:p>
    <w:tbl>
      <w:tblPr>
        <w:tblW w:w="9900" w:type="dxa"/>
        <w:tblLayout w:type="fixed"/>
        <w:tblLook w:val="01E0" w:firstRow="1" w:lastRow="1" w:firstColumn="1" w:lastColumn="1" w:noHBand="0" w:noVBand="0"/>
      </w:tblPr>
      <w:tblGrid>
        <w:gridCol w:w="3150"/>
        <w:gridCol w:w="1608"/>
        <w:gridCol w:w="18"/>
        <w:gridCol w:w="1174"/>
        <w:gridCol w:w="90"/>
        <w:gridCol w:w="1070"/>
        <w:gridCol w:w="90"/>
        <w:gridCol w:w="1260"/>
        <w:gridCol w:w="1440"/>
      </w:tblGrid>
      <w:tr w:rsidR="0086091A" w:rsidRPr="00E70587" w14:paraId="0F99A2A6" w14:textId="77777777" w:rsidTr="00987D4E">
        <w:trPr>
          <w:tblHeader/>
        </w:trPr>
        <w:tc>
          <w:tcPr>
            <w:tcW w:w="3150" w:type="dxa"/>
          </w:tcPr>
          <w:p w14:paraId="61F0ABD2"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626" w:type="dxa"/>
            <w:gridSpan w:val="2"/>
          </w:tcPr>
          <w:p w14:paraId="68FC8C40" w14:textId="77777777" w:rsidR="0086091A" w:rsidRPr="00E70587" w:rsidRDefault="0086091A" w:rsidP="001C1C23">
            <w:pPr>
              <w:pStyle w:val="Tablecolumnheading"/>
              <w:spacing w:line="280" w:lineRule="exact"/>
              <w:rPr>
                <w:rFonts w:ascii="Arial" w:hAnsi="Arial"/>
                <w:color w:val="auto"/>
                <w:sz w:val="20"/>
                <w:szCs w:val="20"/>
                <w:lang w:val="en-IN"/>
              </w:rPr>
            </w:pPr>
          </w:p>
        </w:tc>
        <w:tc>
          <w:tcPr>
            <w:tcW w:w="1174" w:type="dxa"/>
            <w:vAlign w:val="bottom"/>
          </w:tcPr>
          <w:p w14:paraId="3B9D61D8" w14:textId="77777777" w:rsidR="0086091A" w:rsidRPr="00E70587" w:rsidRDefault="0086091A" w:rsidP="001C1C23">
            <w:pPr>
              <w:pStyle w:val="Tablecolumnheading"/>
              <w:spacing w:line="280" w:lineRule="exact"/>
              <w:rPr>
                <w:rFonts w:ascii="Arial" w:hAnsi="Arial"/>
                <w:color w:val="auto"/>
                <w:sz w:val="20"/>
                <w:szCs w:val="20"/>
                <w:lang w:val="en-IN"/>
              </w:rPr>
            </w:pPr>
          </w:p>
        </w:tc>
        <w:tc>
          <w:tcPr>
            <w:tcW w:w="3950" w:type="dxa"/>
            <w:gridSpan w:val="5"/>
            <w:vAlign w:val="bottom"/>
          </w:tcPr>
          <w:p w14:paraId="1FBF7935" w14:textId="77777777" w:rsidR="0086091A" w:rsidRPr="00E70587" w:rsidRDefault="0086091A" w:rsidP="001C1C23">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Fair value measurement using</w:t>
            </w:r>
          </w:p>
        </w:tc>
      </w:tr>
      <w:tr w:rsidR="0086091A" w:rsidRPr="00E70587" w14:paraId="34DA798F" w14:textId="77777777" w:rsidTr="00987D4E">
        <w:trPr>
          <w:tblHeader/>
        </w:trPr>
        <w:tc>
          <w:tcPr>
            <w:tcW w:w="3150" w:type="dxa"/>
          </w:tcPr>
          <w:p w14:paraId="14017D38"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626" w:type="dxa"/>
            <w:gridSpan w:val="2"/>
            <w:vAlign w:val="bottom"/>
          </w:tcPr>
          <w:p w14:paraId="182D88B1" w14:textId="77777777" w:rsidR="0086091A" w:rsidRPr="00E70587" w:rsidRDefault="0086091A" w:rsidP="001C1C23">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Date of valuation</w:t>
            </w:r>
          </w:p>
        </w:tc>
        <w:tc>
          <w:tcPr>
            <w:tcW w:w="1174" w:type="dxa"/>
            <w:vAlign w:val="bottom"/>
          </w:tcPr>
          <w:p w14:paraId="25E19C62" w14:textId="77777777" w:rsidR="0086091A" w:rsidRPr="00E70587" w:rsidRDefault="0086091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Total</w:t>
            </w:r>
          </w:p>
        </w:tc>
        <w:tc>
          <w:tcPr>
            <w:tcW w:w="1160" w:type="dxa"/>
            <w:gridSpan w:val="2"/>
            <w:vAlign w:val="bottom"/>
          </w:tcPr>
          <w:p w14:paraId="5B392A46" w14:textId="77777777" w:rsidR="0086091A" w:rsidRPr="00E70587" w:rsidRDefault="0086091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Quoted prices in active markets (Level 1)</w:t>
            </w:r>
          </w:p>
        </w:tc>
        <w:tc>
          <w:tcPr>
            <w:tcW w:w="1350" w:type="dxa"/>
            <w:gridSpan w:val="2"/>
            <w:vAlign w:val="bottom"/>
          </w:tcPr>
          <w:p w14:paraId="3B17B4FE" w14:textId="77777777" w:rsidR="0086091A" w:rsidRPr="00E70587" w:rsidRDefault="0086091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Significant observable inputs</w:t>
            </w:r>
          </w:p>
          <w:p w14:paraId="17874DE4" w14:textId="77777777" w:rsidR="0086091A" w:rsidRPr="00E70587" w:rsidRDefault="0086091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(Level 2)</w:t>
            </w:r>
          </w:p>
        </w:tc>
        <w:tc>
          <w:tcPr>
            <w:tcW w:w="1440" w:type="dxa"/>
            <w:vAlign w:val="bottom"/>
          </w:tcPr>
          <w:p w14:paraId="3CC3E098" w14:textId="77777777" w:rsidR="0086091A" w:rsidRPr="00E70587" w:rsidRDefault="0086091A" w:rsidP="001C1C23">
            <w:pPr>
              <w:pStyle w:val="Tablecolumnheading"/>
              <w:spacing w:line="280" w:lineRule="exact"/>
              <w:ind w:right="-41"/>
              <w:rPr>
                <w:rFonts w:ascii="Arial" w:hAnsi="Arial"/>
                <w:color w:val="auto"/>
                <w:sz w:val="20"/>
                <w:szCs w:val="20"/>
                <w:lang w:val="en-IN"/>
              </w:rPr>
            </w:pPr>
            <w:r w:rsidRPr="00E70587">
              <w:rPr>
                <w:rFonts w:ascii="Arial" w:hAnsi="Arial"/>
                <w:color w:val="auto"/>
                <w:sz w:val="20"/>
                <w:szCs w:val="20"/>
                <w:lang w:val="en-IN"/>
              </w:rPr>
              <w:t>Significant unobservable inputs</w:t>
            </w:r>
          </w:p>
          <w:p w14:paraId="418C0CF9" w14:textId="77777777" w:rsidR="0086091A" w:rsidRPr="00E70587" w:rsidRDefault="0086091A" w:rsidP="001C1C23">
            <w:pPr>
              <w:pStyle w:val="Tablecolumnheading"/>
              <w:spacing w:line="280" w:lineRule="exact"/>
              <w:ind w:right="-41"/>
              <w:rPr>
                <w:rFonts w:ascii="Arial" w:hAnsi="Arial"/>
                <w:color w:val="auto"/>
                <w:sz w:val="20"/>
                <w:szCs w:val="20"/>
                <w:lang w:val="en-IN"/>
              </w:rPr>
            </w:pPr>
            <w:r w:rsidRPr="00E70587">
              <w:rPr>
                <w:rFonts w:ascii="Arial" w:hAnsi="Arial"/>
                <w:color w:val="auto"/>
                <w:sz w:val="20"/>
                <w:szCs w:val="20"/>
                <w:lang w:val="en-IN"/>
              </w:rPr>
              <w:t>(Level 3)</w:t>
            </w:r>
          </w:p>
        </w:tc>
      </w:tr>
      <w:tr w:rsidR="0086091A" w:rsidRPr="00E70587" w14:paraId="18E5D0B7" w14:textId="77777777" w:rsidTr="00987D4E">
        <w:trPr>
          <w:tblHeader/>
        </w:trPr>
        <w:tc>
          <w:tcPr>
            <w:tcW w:w="3150" w:type="dxa"/>
            <w:tcMar>
              <w:top w:w="28" w:type="dxa"/>
              <w:bottom w:w="28" w:type="dxa"/>
            </w:tcMar>
            <w:vAlign w:val="bottom"/>
          </w:tcPr>
          <w:p w14:paraId="3C763944"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p>
        </w:tc>
        <w:tc>
          <w:tcPr>
            <w:tcW w:w="1626" w:type="dxa"/>
            <w:gridSpan w:val="2"/>
            <w:vAlign w:val="bottom"/>
          </w:tcPr>
          <w:p w14:paraId="1E7FC923" w14:textId="77777777" w:rsidR="0086091A" w:rsidRPr="00E70587" w:rsidRDefault="0086091A" w:rsidP="001C1C23">
            <w:pPr>
              <w:pStyle w:val="Tablecolumnheading"/>
              <w:spacing w:line="280" w:lineRule="exact"/>
              <w:jc w:val="center"/>
              <w:rPr>
                <w:rFonts w:ascii="Arial" w:hAnsi="Arial"/>
                <w:color w:val="auto"/>
                <w:sz w:val="20"/>
                <w:szCs w:val="20"/>
                <w:lang w:val="en-IN"/>
              </w:rPr>
            </w:pPr>
          </w:p>
        </w:tc>
        <w:tc>
          <w:tcPr>
            <w:tcW w:w="1174" w:type="dxa"/>
            <w:tcMar>
              <w:top w:w="28" w:type="dxa"/>
              <w:bottom w:w="28" w:type="dxa"/>
            </w:tcMar>
            <w:vAlign w:val="bottom"/>
          </w:tcPr>
          <w:p w14:paraId="2753F89E" w14:textId="77777777" w:rsidR="0086091A" w:rsidRPr="00E70587" w:rsidRDefault="0086091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160" w:type="dxa"/>
            <w:gridSpan w:val="2"/>
            <w:tcMar>
              <w:top w:w="28" w:type="dxa"/>
              <w:bottom w:w="28" w:type="dxa"/>
            </w:tcMar>
          </w:tcPr>
          <w:p w14:paraId="5B758204" w14:textId="77777777" w:rsidR="0086091A" w:rsidRPr="00E70587" w:rsidRDefault="0086091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350" w:type="dxa"/>
            <w:gridSpan w:val="2"/>
            <w:tcMar>
              <w:top w:w="28" w:type="dxa"/>
              <w:bottom w:w="28" w:type="dxa"/>
            </w:tcMar>
          </w:tcPr>
          <w:p w14:paraId="4609AB45" w14:textId="77777777" w:rsidR="0086091A" w:rsidRPr="00E70587" w:rsidRDefault="0086091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440" w:type="dxa"/>
            <w:tcMar>
              <w:top w:w="28" w:type="dxa"/>
              <w:bottom w:w="28" w:type="dxa"/>
            </w:tcMar>
          </w:tcPr>
          <w:p w14:paraId="7BFC4B68" w14:textId="77777777" w:rsidR="0086091A" w:rsidRPr="00E70587" w:rsidRDefault="0086091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86091A" w:rsidRPr="00E70587" w14:paraId="776B51DC" w14:textId="77777777" w:rsidTr="00987D4E">
        <w:tc>
          <w:tcPr>
            <w:tcW w:w="4776" w:type="dxa"/>
            <w:gridSpan w:val="3"/>
            <w:tcMar>
              <w:top w:w="28" w:type="dxa"/>
              <w:bottom w:w="28" w:type="dxa"/>
            </w:tcMar>
            <w:vAlign w:val="bottom"/>
          </w:tcPr>
          <w:p w14:paraId="4384C0BE" w14:textId="77777777" w:rsidR="0086091A" w:rsidRPr="00E70587" w:rsidRDefault="0086091A" w:rsidP="001C1C23">
            <w:pPr>
              <w:pStyle w:val="Heading5"/>
              <w:spacing w:before="0" w:after="0" w:line="280" w:lineRule="exact"/>
              <w:rPr>
                <w:rFonts w:ascii="Arial" w:hAnsi="Arial" w:cs="Arial"/>
                <w:sz w:val="20"/>
                <w:szCs w:val="20"/>
              </w:rPr>
            </w:pPr>
            <w:r w:rsidRPr="00E70587">
              <w:rPr>
                <w:rFonts w:ascii="Arial" w:hAnsi="Arial" w:cs="Arial"/>
                <w:sz w:val="20"/>
                <w:szCs w:val="20"/>
              </w:rPr>
              <w:t>Assets measured at fair value:</w:t>
            </w:r>
          </w:p>
        </w:tc>
        <w:tc>
          <w:tcPr>
            <w:tcW w:w="1174" w:type="dxa"/>
            <w:tcMar>
              <w:top w:w="28" w:type="dxa"/>
              <w:bottom w:w="28" w:type="dxa"/>
            </w:tcMar>
            <w:vAlign w:val="bottom"/>
          </w:tcPr>
          <w:p w14:paraId="56E2FEB5"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60" w:type="dxa"/>
            <w:gridSpan w:val="2"/>
            <w:tcMar>
              <w:top w:w="28" w:type="dxa"/>
              <w:bottom w:w="28" w:type="dxa"/>
            </w:tcMar>
          </w:tcPr>
          <w:p w14:paraId="5D523CBF"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350" w:type="dxa"/>
            <w:gridSpan w:val="2"/>
            <w:tcMar>
              <w:top w:w="28" w:type="dxa"/>
              <w:bottom w:w="28" w:type="dxa"/>
            </w:tcMar>
          </w:tcPr>
          <w:p w14:paraId="36F140CE"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40" w:type="dxa"/>
            <w:tcMar>
              <w:top w:w="28" w:type="dxa"/>
              <w:bottom w:w="28" w:type="dxa"/>
            </w:tcMar>
          </w:tcPr>
          <w:p w14:paraId="604FFB5F"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86091A" w:rsidRPr="00E70587" w14:paraId="3B56865B" w14:textId="77777777" w:rsidTr="00987D4E">
        <w:tc>
          <w:tcPr>
            <w:tcW w:w="9900" w:type="dxa"/>
            <w:gridSpan w:val="9"/>
            <w:tcMar>
              <w:top w:w="28" w:type="dxa"/>
              <w:bottom w:w="28" w:type="dxa"/>
            </w:tcMar>
            <w:vAlign w:val="bottom"/>
          </w:tcPr>
          <w:p w14:paraId="6B3069C4" w14:textId="3B4294BA"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Derivative financial assets (Note </w:t>
            </w:r>
            <w:r w:rsidR="00B83F60" w:rsidRPr="00E70587">
              <w:rPr>
                <w:rFonts w:ascii="Arial" w:hAnsi="Arial" w:cs="Arial"/>
                <w:b/>
                <w:sz w:val="20"/>
                <w:lang w:val="en-IN"/>
              </w:rPr>
              <w:t>4</w:t>
            </w:r>
            <w:r w:rsidR="00B83F60">
              <w:rPr>
                <w:rFonts w:ascii="Arial" w:hAnsi="Arial" w:cs="Arial"/>
                <w:b/>
                <w:sz w:val="20"/>
                <w:lang w:val="en-IN"/>
              </w:rPr>
              <w:t>7</w:t>
            </w:r>
            <w:r w:rsidRPr="00E70587">
              <w:rPr>
                <w:rFonts w:ascii="Arial" w:hAnsi="Arial" w:cs="Arial"/>
                <w:b/>
                <w:sz w:val="20"/>
                <w:lang w:val="en-IN"/>
              </w:rPr>
              <w:t>):</w:t>
            </w:r>
          </w:p>
        </w:tc>
      </w:tr>
      <w:tr w:rsidR="0086091A" w:rsidRPr="00E70587" w14:paraId="5A2D611D" w14:textId="77777777" w:rsidTr="00987D4E">
        <w:tc>
          <w:tcPr>
            <w:tcW w:w="3150" w:type="dxa"/>
            <w:tcMar>
              <w:top w:w="28" w:type="dxa"/>
              <w:bottom w:w="28" w:type="dxa"/>
            </w:tcMar>
            <w:vAlign w:val="bottom"/>
          </w:tcPr>
          <w:p w14:paraId="016D182B" w14:textId="04507552"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Foreign exchange forward contracts </w:t>
            </w:r>
            <w:r w:rsidR="00674410">
              <w:rPr>
                <w:rFonts w:ascii="Arial" w:hAnsi="Arial" w:cs="Arial"/>
                <w:sz w:val="20"/>
                <w:lang w:val="en-IN"/>
              </w:rPr>
              <w:t xml:space="preserve">- </w:t>
            </w:r>
            <w:r w:rsidRPr="00E70587">
              <w:rPr>
                <w:rFonts w:ascii="Arial" w:hAnsi="Arial" w:cs="Arial"/>
                <w:sz w:val="20"/>
                <w:lang w:val="en-IN"/>
              </w:rPr>
              <w:t xml:space="preserve">US dollar </w:t>
            </w:r>
          </w:p>
        </w:tc>
        <w:tc>
          <w:tcPr>
            <w:tcW w:w="1626" w:type="dxa"/>
            <w:gridSpan w:val="2"/>
            <w:vAlign w:val="bottom"/>
          </w:tcPr>
          <w:p w14:paraId="5144EB8F" w14:textId="1DB184C9"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674410" w:rsidRPr="00E70587">
              <w:rPr>
                <w:rFonts w:ascii="Arial" w:hAnsi="Arial" w:cs="Arial"/>
                <w:sz w:val="20"/>
                <w:lang w:val="en-IN"/>
              </w:rPr>
              <w:t>20</w:t>
            </w:r>
            <w:r w:rsidR="00674410">
              <w:rPr>
                <w:rFonts w:ascii="Arial" w:hAnsi="Arial" w:cs="Arial"/>
                <w:sz w:val="20"/>
                <w:lang w:val="en-IN"/>
              </w:rPr>
              <w:t>20</w:t>
            </w:r>
          </w:p>
        </w:tc>
        <w:tc>
          <w:tcPr>
            <w:tcW w:w="1174" w:type="dxa"/>
            <w:tcMar>
              <w:top w:w="28" w:type="dxa"/>
              <w:bottom w:w="28" w:type="dxa"/>
            </w:tcMar>
            <w:vAlign w:val="center"/>
          </w:tcPr>
          <w:p w14:paraId="5C0DA0CB"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 180 </w:t>
            </w:r>
          </w:p>
        </w:tc>
        <w:tc>
          <w:tcPr>
            <w:tcW w:w="1250" w:type="dxa"/>
            <w:gridSpan w:val="3"/>
            <w:tcMar>
              <w:top w:w="28" w:type="dxa"/>
              <w:bottom w:w="28" w:type="dxa"/>
            </w:tcMar>
            <w:vAlign w:val="center"/>
          </w:tcPr>
          <w:p w14:paraId="11DE7ADE"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260" w:type="dxa"/>
            <w:tcMar>
              <w:top w:w="28" w:type="dxa"/>
              <w:bottom w:w="28" w:type="dxa"/>
            </w:tcMar>
            <w:vAlign w:val="center"/>
          </w:tcPr>
          <w:p w14:paraId="1F1C5870"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180 </w:t>
            </w:r>
          </w:p>
        </w:tc>
        <w:tc>
          <w:tcPr>
            <w:tcW w:w="1440" w:type="dxa"/>
            <w:tcMar>
              <w:top w:w="28" w:type="dxa"/>
              <w:bottom w:w="28" w:type="dxa"/>
            </w:tcMar>
            <w:vAlign w:val="center"/>
          </w:tcPr>
          <w:p w14:paraId="1D798699"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r>
      <w:tr w:rsidR="0086091A" w:rsidRPr="00E70587" w14:paraId="534F151A" w14:textId="77777777" w:rsidTr="00987D4E">
        <w:tc>
          <w:tcPr>
            <w:tcW w:w="3150" w:type="dxa"/>
            <w:tcMar>
              <w:top w:w="28" w:type="dxa"/>
              <w:bottom w:w="28" w:type="dxa"/>
            </w:tcMar>
            <w:vAlign w:val="bottom"/>
          </w:tcPr>
          <w:p w14:paraId="19F384F5" w14:textId="3E3FDD20"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Foreign exchange forward contracts </w:t>
            </w:r>
            <w:r w:rsidR="00674410">
              <w:rPr>
                <w:rFonts w:ascii="Arial" w:hAnsi="Arial" w:cs="Arial"/>
                <w:sz w:val="20"/>
                <w:lang w:val="en-IN"/>
              </w:rPr>
              <w:t xml:space="preserve">- </w:t>
            </w:r>
            <w:r w:rsidRPr="00E70587">
              <w:rPr>
                <w:rFonts w:ascii="Arial" w:hAnsi="Arial" w:cs="Arial"/>
                <w:sz w:val="20"/>
                <w:lang w:val="en-IN"/>
              </w:rPr>
              <w:t>GB pound sterling</w:t>
            </w:r>
          </w:p>
        </w:tc>
        <w:tc>
          <w:tcPr>
            <w:tcW w:w="1626" w:type="dxa"/>
            <w:gridSpan w:val="2"/>
            <w:vAlign w:val="bottom"/>
          </w:tcPr>
          <w:p w14:paraId="2E40624D" w14:textId="3312E0C1"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674410" w:rsidRPr="00E70587">
              <w:rPr>
                <w:rFonts w:ascii="Arial" w:hAnsi="Arial" w:cs="Arial"/>
                <w:sz w:val="20"/>
                <w:lang w:val="en-IN"/>
              </w:rPr>
              <w:t>20</w:t>
            </w:r>
            <w:r w:rsidR="00674410">
              <w:rPr>
                <w:rFonts w:ascii="Arial" w:hAnsi="Arial" w:cs="Arial"/>
                <w:sz w:val="20"/>
                <w:lang w:val="en-IN"/>
              </w:rPr>
              <w:t>20</w:t>
            </w:r>
          </w:p>
        </w:tc>
        <w:tc>
          <w:tcPr>
            <w:tcW w:w="1174" w:type="dxa"/>
            <w:tcMar>
              <w:top w:w="28" w:type="dxa"/>
              <w:bottom w:w="28" w:type="dxa"/>
            </w:tcMar>
            <w:vAlign w:val="center"/>
          </w:tcPr>
          <w:p w14:paraId="7707FFC2"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 95 </w:t>
            </w:r>
          </w:p>
        </w:tc>
        <w:tc>
          <w:tcPr>
            <w:tcW w:w="1250" w:type="dxa"/>
            <w:gridSpan w:val="3"/>
            <w:tcMar>
              <w:top w:w="28" w:type="dxa"/>
              <w:bottom w:w="28" w:type="dxa"/>
            </w:tcMar>
            <w:vAlign w:val="center"/>
          </w:tcPr>
          <w:p w14:paraId="08EBA2E0"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260" w:type="dxa"/>
            <w:tcMar>
              <w:top w:w="28" w:type="dxa"/>
              <w:bottom w:w="28" w:type="dxa"/>
            </w:tcMar>
            <w:vAlign w:val="center"/>
          </w:tcPr>
          <w:p w14:paraId="52D42658"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95 </w:t>
            </w:r>
          </w:p>
        </w:tc>
        <w:tc>
          <w:tcPr>
            <w:tcW w:w="1440" w:type="dxa"/>
            <w:tcMar>
              <w:top w:w="28" w:type="dxa"/>
              <w:bottom w:w="28" w:type="dxa"/>
            </w:tcMar>
            <w:vAlign w:val="center"/>
          </w:tcPr>
          <w:p w14:paraId="2FCFD5F0"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r>
      <w:tr w:rsidR="0086091A" w:rsidRPr="00E70587" w14:paraId="6C82BF77" w14:textId="77777777" w:rsidTr="00987D4E">
        <w:tc>
          <w:tcPr>
            <w:tcW w:w="8460" w:type="dxa"/>
            <w:gridSpan w:val="8"/>
            <w:tcMar>
              <w:top w:w="28" w:type="dxa"/>
              <w:bottom w:w="28" w:type="dxa"/>
            </w:tcMar>
            <w:vAlign w:val="center"/>
          </w:tcPr>
          <w:p w14:paraId="1BE97A23" w14:textId="76451491"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 xml:space="preserve">FVTOCI financial investments (Note </w:t>
            </w:r>
            <w:r w:rsidR="00B83F60" w:rsidRPr="00E70587">
              <w:rPr>
                <w:rFonts w:ascii="Arial" w:hAnsi="Arial" w:cs="Arial"/>
                <w:b/>
                <w:sz w:val="20"/>
                <w:lang w:val="en-IN"/>
              </w:rPr>
              <w:t>4</w:t>
            </w:r>
            <w:r w:rsidR="00B83F60">
              <w:rPr>
                <w:rFonts w:ascii="Arial" w:hAnsi="Arial" w:cs="Arial"/>
                <w:b/>
                <w:sz w:val="20"/>
                <w:lang w:val="en-IN"/>
              </w:rPr>
              <w:t>7</w:t>
            </w:r>
            <w:r w:rsidRPr="00E70587">
              <w:rPr>
                <w:rFonts w:ascii="Arial" w:hAnsi="Arial" w:cs="Arial"/>
                <w:b/>
                <w:sz w:val="20"/>
                <w:lang w:val="en-IN"/>
              </w:rPr>
              <w:t>):</w:t>
            </w:r>
          </w:p>
        </w:tc>
        <w:tc>
          <w:tcPr>
            <w:tcW w:w="1440" w:type="dxa"/>
            <w:tcMar>
              <w:top w:w="28" w:type="dxa"/>
              <w:bottom w:w="28" w:type="dxa"/>
            </w:tcMar>
          </w:tcPr>
          <w:p w14:paraId="66FF5592"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86091A" w:rsidRPr="00E70587" w14:paraId="1D5E719E" w14:textId="77777777" w:rsidTr="00987D4E">
        <w:tc>
          <w:tcPr>
            <w:tcW w:w="3150" w:type="dxa"/>
            <w:tcMar>
              <w:top w:w="28" w:type="dxa"/>
              <w:bottom w:w="28" w:type="dxa"/>
            </w:tcMar>
            <w:vAlign w:val="center"/>
          </w:tcPr>
          <w:p w14:paraId="6EF83AFA"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b/>
                <w:i/>
                <w:sz w:val="20"/>
                <w:lang w:val="en-IN"/>
              </w:rPr>
            </w:pPr>
            <w:r w:rsidRPr="00E70587">
              <w:rPr>
                <w:rFonts w:ascii="Arial" w:hAnsi="Arial" w:cs="Arial"/>
                <w:b/>
                <w:i/>
                <w:sz w:val="20"/>
                <w:lang w:val="en-IN"/>
              </w:rPr>
              <w:t>Quoted equity shares</w:t>
            </w:r>
          </w:p>
        </w:tc>
        <w:tc>
          <w:tcPr>
            <w:tcW w:w="1608" w:type="dxa"/>
          </w:tcPr>
          <w:p w14:paraId="43FB87AD"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i/>
                <w:sz w:val="20"/>
                <w:lang w:val="en-IN"/>
              </w:rPr>
            </w:pPr>
          </w:p>
        </w:tc>
        <w:tc>
          <w:tcPr>
            <w:tcW w:w="1192" w:type="dxa"/>
            <w:gridSpan w:val="2"/>
            <w:tcMar>
              <w:top w:w="28" w:type="dxa"/>
              <w:bottom w:w="28" w:type="dxa"/>
            </w:tcMar>
            <w:vAlign w:val="bottom"/>
          </w:tcPr>
          <w:p w14:paraId="2390BF42"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i/>
                <w:sz w:val="20"/>
                <w:lang w:val="en-IN"/>
              </w:rPr>
            </w:pPr>
          </w:p>
        </w:tc>
        <w:tc>
          <w:tcPr>
            <w:tcW w:w="1250" w:type="dxa"/>
            <w:gridSpan w:val="3"/>
            <w:tcMar>
              <w:top w:w="28" w:type="dxa"/>
              <w:bottom w:w="28" w:type="dxa"/>
            </w:tcMar>
            <w:vAlign w:val="bottom"/>
          </w:tcPr>
          <w:p w14:paraId="0305FE6D"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i/>
                <w:sz w:val="20"/>
                <w:lang w:val="en-IN"/>
              </w:rPr>
            </w:pPr>
          </w:p>
        </w:tc>
        <w:tc>
          <w:tcPr>
            <w:tcW w:w="1260" w:type="dxa"/>
            <w:tcMar>
              <w:top w:w="28" w:type="dxa"/>
              <w:bottom w:w="28" w:type="dxa"/>
            </w:tcMar>
            <w:vAlign w:val="bottom"/>
          </w:tcPr>
          <w:p w14:paraId="17FE5EF6"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i/>
                <w:sz w:val="20"/>
                <w:lang w:val="en-IN"/>
              </w:rPr>
            </w:pPr>
          </w:p>
        </w:tc>
        <w:tc>
          <w:tcPr>
            <w:tcW w:w="1440" w:type="dxa"/>
            <w:tcMar>
              <w:top w:w="28" w:type="dxa"/>
              <w:bottom w:w="28" w:type="dxa"/>
            </w:tcMar>
            <w:vAlign w:val="bottom"/>
          </w:tcPr>
          <w:p w14:paraId="148DC22A"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i/>
                <w:sz w:val="20"/>
                <w:lang w:val="en-IN"/>
              </w:rPr>
            </w:pPr>
          </w:p>
        </w:tc>
      </w:tr>
      <w:tr w:rsidR="0086091A" w:rsidRPr="00E70587" w14:paraId="0C6D3D57" w14:textId="77777777" w:rsidTr="00987D4E">
        <w:tc>
          <w:tcPr>
            <w:tcW w:w="3150" w:type="dxa"/>
            <w:tcMar>
              <w:top w:w="28" w:type="dxa"/>
              <w:bottom w:w="28" w:type="dxa"/>
            </w:tcMar>
            <w:vAlign w:val="center"/>
          </w:tcPr>
          <w:p w14:paraId="4B398241"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Power sector</w:t>
            </w:r>
          </w:p>
        </w:tc>
        <w:tc>
          <w:tcPr>
            <w:tcW w:w="1608" w:type="dxa"/>
          </w:tcPr>
          <w:p w14:paraId="7846D8DE" w14:textId="5332F151"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March</w:t>
            </w:r>
            <w:r w:rsidR="001C1C23" w:rsidRPr="00E70587">
              <w:rPr>
                <w:rFonts w:ascii="Arial" w:hAnsi="Arial" w:cs="Arial"/>
                <w:sz w:val="20"/>
                <w:lang w:val="en-IN"/>
              </w:rPr>
              <w:t xml:space="preserve"> </w:t>
            </w:r>
            <w:r w:rsidR="00674410" w:rsidRPr="00E70587">
              <w:rPr>
                <w:rFonts w:ascii="Arial" w:hAnsi="Arial" w:cs="Arial"/>
                <w:sz w:val="20"/>
                <w:lang w:val="en-IN"/>
              </w:rPr>
              <w:t>20</w:t>
            </w:r>
            <w:r w:rsidR="00674410">
              <w:rPr>
                <w:rFonts w:ascii="Arial" w:hAnsi="Arial" w:cs="Arial"/>
                <w:sz w:val="20"/>
                <w:lang w:val="en-IN"/>
              </w:rPr>
              <w:t>20</w:t>
            </w:r>
          </w:p>
        </w:tc>
        <w:tc>
          <w:tcPr>
            <w:tcW w:w="1192" w:type="dxa"/>
            <w:gridSpan w:val="2"/>
            <w:tcMar>
              <w:top w:w="28" w:type="dxa"/>
              <w:bottom w:w="28" w:type="dxa"/>
            </w:tcMar>
            <w:vAlign w:val="center"/>
          </w:tcPr>
          <w:p w14:paraId="50FAB402" w14:textId="77777777" w:rsidR="0086091A" w:rsidRPr="00E70587" w:rsidRDefault="006B4E9D" w:rsidP="001C1C23">
            <w:pPr>
              <w:spacing w:line="280" w:lineRule="exact"/>
              <w:jc w:val="right"/>
              <w:rPr>
                <w:rFonts w:ascii="Arial" w:hAnsi="Arial" w:cs="Arial"/>
                <w:sz w:val="20"/>
              </w:rPr>
            </w:pPr>
            <w:r w:rsidRPr="00E70587">
              <w:rPr>
                <w:rFonts w:ascii="Arial" w:hAnsi="Arial" w:cs="Arial"/>
                <w:sz w:val="20"/>
              </w:rPr>
              <w:t>175</w:t>
            </w:r>
          </w:p>
        </w:tc>
        <w:tc>
          <w:tcPr>
            <w:tcW w:w="1250" w:type="dxa"/>
            <w:gridSpan w:val="3"/>
            <w:tcMar>
              <w:top w:w="28" w:type="dxa"/>
              <w:bottom w:w="28" w:type="dxa"/>
            </w:tcMar>
            <w:vAlign w:val="center"/>
          </w:tcPr>
          <w:p w14:paraId="3CD89834" w14:textId="77777777" w:rsidR="0086091A" w:rsidRPr="00E70587" w:rsidRDefault="006B4E9D" w:rsidP="001C1C23">
            <w:pPr>
              <w:spacing w:line="280" w:lineRule="exact"/>
              <w:jc w:val="right"/>
              <w:rPr>
                <w:rFonts w:ascii="Arial" w:hAnsi="Arial" w:cs="Arial"/>
                <w:sz w:val="20"/>
              </w:rPr>
            </w:pPr>
            <w:r w:rsidRPr="00E70587">
              <w:rPr>
                <w:rFonts w:ascii="Arial" w:hAnsi="Arial" w:cs="Arial"/>
                <w:sz w:val="20"/>
              </w:rPr>
              <w:t>175</w:t>
            </w:r>
          </w:p>
        </w:tc>
        <w:tc>
          <w:tcPr>
            <w:tcW w:w="1260" w:type="dxa"/>
            <w:tcMar>
              <w:top w:w="28" w:type="dxa"/>
              <w:bottom w:w="28" w:type="dxa"/>
            </w:tcMar>
            <w:vAlign w:val="center"/>
          </w:tcPr>
          <w:p w14:paraId="5C53D6CF"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440" w:type="dxa"/>
            <w:tcMar>
              <w:top w:w="28" w:type="dxa"/>
              <w:bottom w:w="28" w:type="dxa"/>
            </w:tcMar>
            <w:vAlign w:val="center"/>
          </w:tcPr>
          <w:p w14:paraId="1764ADD3"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r>
      <w:tr w:rsidR="0086091A" w:rsidRPr="00E70587" w14:paraId="28950A6E" w14:textId="77777777" w:rsidTr="00987D4E">
        <w:tc>
          <w:tcPr>
            <w:tcW w:w="3150" w:type="dxa"/>
            <w:tcMar>
              <w:top w:w="28" w:type="dxa"/>
              <w:bottom w:w="28" w:type="dxa"/>
            </w:tcMar>
            <w:vAlign w:val="center"/>
          </w:tcPr>
          <w:p w14:paraId="55D6E33C"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Telecommunications sector</w:t>
            </w:r>
          </w:p>
        </w:tc>
        <w:tc>
          <w:tcPr>
            <w:tcW w:w="1608" w:type="dxa"/>
            <w:vAlign w:val="bottom"/>
          </w:tcPr>
          <w:p w14:paraId="2FD84A37" w14:textId="646086F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674410" w:rsidRPr="00E70587">
              <w:rPr>
                <w:rFonts w:ascii="Arial" w:hAnsi="Arial" w:cs="Arial"/>
                <w:sz w:val="20"/>
                <w:lang w:val="en-IN"/>
              </w:rPr>
              <w:t>20</w:t>
            </w:r>
            <w:r w:rsidR="00674410">
              <w:rPr>
                <w:rFonts w:ascii="Arial" w:hAnsi="Arial" w:cs="Arial"/>
                <w:sz w:val="20"/>
                <w:lang w:val="en-IN"/>
              </w:rPr>
              <w:t>20</w:t>
            </w:r>
          </w:p>
        </w:tc>
        <w:tc>
          <w:tcPr>
            <w:tcW w:w="1192" w:type="dxa"/>
            <w:gridSpan w:val="2"/>
            <w:tcMar>
              <w:top w:w="28" w:type="dxa"/>
              <w:bottom w:w="28" w:type="dxa"/>
            </w:tcMar>
            <w:vAlign w:val="center"/>
          </w:tcPr>
          <w:p w14:paraId="17A3FC85" w14:textId="77777777" w:rsidR="0086091A" w:rsidRPr="00E70587" w:rsidRDefault="006B4E9D" w:rsidP="001C1C23">
            <w:pPr>
              <w:spacing w:line="280" w:lineRule="exact"/>
              <w:jc w:val="right"/>
              <w:rPr>
                <w:rFonts w:ascii="Arial" w:hAnsi="Arial" w:cs="Arial"/>
                <w:sz w:val="20"/>
              </w:rPr>
            </w:pPr>
            <w:r w:rsidRPr="00E70587">
              <w:rPr>
                <w:rFonts w:ascii="Arial" w:hAnsi="Arial" w:cs="Arial"/>
                <w:sz w:val="20"/>
              </w:rPr>
              <w:t>365</w:t>
            </w:r>
          </w:p>
        </w:tc>
        <w:tc>
          <w:tcPr>
            <w:tcW w:w="1250" w:type="dxa"/>
            <w:gridSpan w:val="3"/>
            <w:tcMar>
              <w:top w:w="28" w:type="dxa"/>
              <w:bottom w:w="28" w:type="dxa"/>
            </w:tcMar>
            <w:vAlign w:val="center"/>
          </w:tcPr>
          <w:p w14:paraId="091B3A4F" w14:textId="77777777" w:rsidR="0086091A" w:rsidRPr="00E70587" w:rsidRDefault="006B4E9D" w:rsidP="001C1C23">
            <w:pPr>
              <w:spacing w:line="280" w:lineRule="exact"/>
              <w:jc w:val="right"/>
              <w:rPr>
                <w:rFonts w:ascii="Arial" w:hAnsi="Arial" w:cs="Arial"/>
                <w:sz w:val="20"/>
              </w:rPr>
            </w:pPr>
            <w:r w:rsidRPr="00E70587">
              <w:rPr>
                <w:rFonts w:ascii="Arial" w:hAnsi="Arial" w:cs="Arial"/>
                <w:sz w:val="20"/>
              </w:rPr>
              <w:t>365</w:t>
            </w:r>
          </w:p>
        </w:tc>
        <w:tc>
          <w:tcPr>
            <w:tcW w:w="1260" w:type="dxa"/>
            <w:tcMar>
              <w:top w:w="28" w:type="dxa"/>
              <w:bottom w:w="28" w:type="dxa"/>
            </w:tcMar>
            <w:vAlign w:val="center"/>
          </w:tcPr>
          <w:p w14:paraId="7498A0D1"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440" w:type="dxa"/>
            <w:tcMar>
              <w:top w:w="28" w:type="dxa"/>
              <w:bottom w:w="28" w:type="dxa"/>
            </w:tcMar>
            <w:vAlign w:val="center"/>
          </w:tcPr>
          <w:p w14:paraId="1E5E7401"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r>
      <w:tr w:rsidR="0086091A" w:rsidRPr="00E70587" w14:paraId="4BE8AB7E" w14:textId="77777777" w:rsidTr="00987D4E">
        <w:tc>
          <w:tcPr>
            <w:tcW w:w="3150" w:type="dxa"/>
            <w:tcMar>
              <w:top w:w="28" w:type="dxa"/>
              <w:bottom w:w="28" w:type="dxa"/>
            </w:tcMar>
            <w:vAlign w:val="center"/>
          </w:tcPr>
          <w:p w14:paraId="78BDDD0C"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b/>
                <w:i/>
                <w:sz w:val="20"/>
                <w:lang w:val="en-IN"/>
              </w:rPr>
            </w:pPr>
            <w:r w:rsidRPr="00E70587">
              <w:rPr>
                <w:rFonts w:ascii="Arial" w:hAnsi="Arial" w:cs="Arial"/>
                <w:b/>
                <w:i/>
                <w:sz w:val="20"/>
                <w:lang w:val="en-IN"/>
              </w:rPr>
              <w:t>Unquoted equity shares</w:t>
            </w:r>
          </w:p>
        </w:tc>
        <w:tc>
          <w:tcPr>
            <w:tcW w:w="1608" w:type="dxa"/>
            <w:vAlign w:val="bottom"/>
          </w:tcPr>
          <w:p w14:paraId="26D61351"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i/>
                <w:sz w:val="20"/>
                <w:lang w:val="en-IN"/>
              </w:rPr>
            </w:pPr>
          </w:p>
        </w:tc>
        <w:tc>
          <w:tcPr>
            <w:tcW w:w="1192" w:type="dxa"/>
            <w:gridSpan w:val="2"/>
            <w:tcMar>
              <w:top w:w="28" w:type="dxa"/>
              <w:bottom w:w="28" w:type="dxa"/>
            </w:tcMar>
            <w:vAlign w:val="bottom"/>
          </w:tcPr>
          <w:p w14:paraId="7DAFCAF0"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i/>
                <w:sz w:val="20"/>
                <w:lang w:val="en-IN"/>
              </w:rPr>
            </w:pPr>
          </w:p>
        </w:tc>
        <w:tc>
          <w:tcPr>
            <w:tcW w:w="1250" w:type="dxa"/>
            <w:gridSpan w:val="3"/>
            <w:tcMar>
              <w:top w:w="28" w:type="dxa"/>
              <w:bottom w:w="28" w:type="dxa"/>
            </w:tcMar>
            <w:vAlign w:val="bottom"/>
          </w:tcPr>
          <w:p w14:paraId="5C094216"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i/>
                <w:sz w:val="20"/>
                <w:lang w:val="en-IN"/>
              </w:rPr>
            </w:pPr>
          </w:p>
        </w:tc>
        <w:tc>
          <w:tcPr>
            <w:tcW w:w="1260" w:type="dxa"/>
            <w:tcMar>
              <w:top w:w="28" w:type="dxa"/>
              <w:bottom w:w="28" w:type="dxa"/>
            </w:tcMar>
            <w:vAlign w:val="bottom"/>
          </w:tcPr>
          <w:p w14:paraId="6A392B38"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i/>
                <w:sz w:val="20"/>
                <w:lang w:val="en-IN"/>
              </w:rPr>
            </w:pPr>
          </w:p>
        </w:tc>
        <w:tc>
          <w:tcPr>
            <w:tcW w:w="1440" w:type="dxa"/>
            <w:tcMar>
              <w:top w:w="28" w:type="dxa"/>
              <w:bottom w:w="28" w:type="dxa"/>
            </w:tcMar>
            <w:vAlign w:val="bottom"/>
          </w:tcPr>
          <w:p w14:paraId="2E3BEC65"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i/>
                <w:sz w:val="20"/>
                <w:lang w:val="en-IN"/>
              </w:rPr>
            </w:pPr>
          </w:p>
        </w:tc>
      </w:tr>
      <w:tr w:rsidR="0086091A" w:rsidRPr="00E70587" w14:paraId="6C51BFF1" w14:textId="77777777" w:rsidTr="00987D4E">
        <w:tc>
          <w:tcPr>
            <w:tcW w:w="3150" w:type="dxa"/>
            <w:tcMar>
              <w:top w:w="28" w:type="dxa"/>
              <w:bottom w:w="28" w:type="dxa"/>
            </w:tcMar>
            <w:vAlign w:val="center"/>
          </w:tcPr>
          <w:p w14:paraId="3807E195"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Power sector</w:t>
            </w:r>
          </w:p>
        </w:tc>
        <w:tc>
          <w:tcPr>
            <w:tcW w:w="1608" w:type="dxa"/>
            <w:vAlign w:val="bottom"/>
          </w:tcPr>
          <w:p w14:paraId="2165DEAF" w14:textId="6626AA10"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674410" w:rsidRPr="00E70587">
              <w:rPr>
                <w:rFonts w:ascii="Arial" w:hAnsi="Arial" w:cs="Arial"/>
                <w:sz w:val="20"/>
                <w:lang w:val="en-IN"/>
              </w:rPr>
              <w:t>20</w:t>
            </w:r>
            <w:r w:rsidR="00674410">
              <w:rPr>
                <w:rFonts w:ascii="Arial" w:hAnsi="Arial" w:cs="Arial"/>
                <w:sz w:val="20"/>
                <w:lang w:val="en-IN"/>
              </w:rPr>
              <w:t>20</w:t>
            </w:r>
          </w:p>
        </w:tc>
        <w:tc>
          <w:tcPr>
            <w:tcW w:w="1192" w:type="dxa"/>
            <w:gridSpan w:val="2"/>
            <w:tcMar>
              <w:top w:w="28" w:type="dxa"/>
              <w:bottom w:w="28" w:type="dxa"/>
            </w:tcMar>
            <w:vAlign w:val="center"/>
          </w:tcPr>
          <w:p w14:paraId="5C1C92F9" w14:textId="77777777" w:rsidR="0086091A" w:rsidRPr="00E70587" w:rsidRDefault="006B4E9D" w:rsidP="001C1C23">
            <w:pPr>
              <w:spacing w:line="280" w:lineRule="exact"/>
              <w:jc w:val="right"/>
              <w:rPr>
                <w:rFonts w:ascii="Arial" w:hAnsi="Arial" w:cs="Arial"/>
                <w:sz w:val="20"/>
              </w:rPr>
            </w:pPr>
            <w:r w:rsidRPr="00E70587">
              <w:rPr>
                <w:rFonts w:ascii="Arial" w:hAnsi="Arial" w:cs="Arial"/>
                <w:sz w:val="20"/>
              </w:rPr>
              <w:t>850</w:t>
            </w:r>
          </w:p>
        </w:tc>
        <w:tc>
          <w:tcPr>
            <w:tcW w:w="1250" w:type="dxa"/>
            <w:gridSpan w:val="3"/>
            <w:tcMar>
              <w:top w:w="28" w:type="dxa"/>
              <w:bottom w:w="28" w:type="dxa"/>
            </w:tcMar>
            <w:vAlign w:val="center"/>
          </w:tcPr>
          <w:p w14:paraId="4F3F4B86"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260" w:type="dxa"/>
            <w:tcMar>
              <w:top w:w="28" w:type="dxa"/>
              <w:bottom w:w="28" w:type="dxa"/>
            </w:tcMar>
            <w:vAlign w:val="center"/>
          </w:tcPr>
          <w:p w14:paraId="4A413131"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440" w:type="dxa"/>
            <w:tcMar>
              <w:top w:w="28" w:type="dxa"/>
              <w:bottom w:w="28" w:type="dxa"/>
            </w:tcMar>
            <w:vAlign w:val="center"/>
          </w:tcPr>
          <w:p w14:paraId="4208F2A7" w14:textId="77777777" w:rsidR="0086091A" w:rsidRPr="00E70587" w:rsidRDefault="006B4E9D" w:rsidP="001C1C23">
            <w:pPr>
              <w:spacing w:line="280" w:lineRule="exact"/>
              <w:jc w:val="right"/>
              <w:rPr>
                <w:rFonts w:ascii="Arial" w:hAnsi="Arial" w:cs="Arial"/>
                <w:sz w:val="20"/>
              </w:rPr>
            </w:pPr>
            <w:r w:rsidRPr="00E70587">
              <w:rPr>
                <w:rFonts w:ascii="Arial" w:hAnsi="Arial" w:cs="Arial"/>
                <w:sz w:val="20"/>
              </w:rPr>
              <w:t>850</w:t>
            </w:r>
          </w:p>
        </w:tc>
      </w:tr>
      <w:tr w:rsidR="0086091A" w:rsidRPr="00E70587" w14:paraId="7DE7F86E" w14:textId="77777777" w:rsidTr="00987D4E">
        <w:tc>
          <w:tcPr>
            <w:tcW w:w="3150" w:type="dxa"/>
            <w:tcMar>
              <w:top w:w="28" w:type="dxa"/>
              <w:bottom w:w="28" w:type="dxa"/>
            </w:tcMar>
            <w:vAlign w:val="center"/>
          </w:tcPr>
          <w:p w14:paraId="173D6123"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Electronics sector</w:t>
            </w:r>
          </w:p>
        </w:tc>
        <w:tc>
          <w:tcPr>
            <w:tcW w:w="1608" w:type="dxa"/>
            <w:vAlign w:val="bottom"/>
          </w:tcPr>
          <w:p w14:paraId="28C43470" w14:textId="74571D13"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674410" w:rsidRPr="00E70587">
              <w:rPr>
                <w:rFonts w:ascii="Arial" w:hAnsi="Arial" w:cs="Arial"/>
                <w:sz w:val="20"/>
                <w:lang w:val="en-IN"/>
              </w:rPr>
              <w:t>20</w:t>
            </w:r>
            <w:r w:rsidR="00674410">
              <w:rPr>
                <w:rFonts w:ascii="Arial" w:hAnsi="Arial" w:cs="Arial"/>
                <w:sz w:val="20"/>
                <w:lang w:val="en-IN"/>
              </w:rPr>
              <w:t>20</w:t>
            </w:r>
          </w:p>
        </w:tc>
        <w:tc>
          <w:tcPr>
            <w:tcW w:w="1192" w:type="dxa"/>
            <w:gridSpan w:val="2"/>
            <w:tcMar>
              <w:top w:w="28" w:type="dxa"/>
              <w:bottom w:w="28" w:type="dxa"/>
            </w:tcMar>
            <w:vAlign w:val="center"/>
          </w:tcPr>
          <w:p w14:paraId="0A1C736C" w14:textId="77777777" w:rsidR="0086091A" w:rsidRPr="00E70587" w:rsidRDefault="006B4E9D" w:rsidP="001C1C23">
            <w:pPr>
              <w:spacing w:line="280" w:lineRule="exact"/>
              <w:jc w:val="right"/>
              <w:rPr>
                <w:rFonts w:ascii="Arial" w:hAnsi="Arial" w:cs="Arial"/>
                <w:sz w:val="20"/>
              </w:rPr>
            </w:pPr>
            <w:r w:rsidRPr="00E70587">
              <w:rPr>
                <w:rFonts w:ascii="Arial" w:hAnsi="Arial" w:cs="Arial"/>
                <w:sz w:val="20"/>
              </w:rPr>
              <w:t>766</w:t>
            </w:r>
          </w:p>
        </w:tc>
        <w:tc>
          <w:tcPr>
            <w:tcW w:w="1250" w:type="dxa"/>
            <w:gridSpan w:val="3"/>
            <w:tcMar>
              <w:top w:w="28" w:type="dxa"/>
              <w:bottom w:w="28" w:type="dxa"/>
            </w:tcMar>
            <w:vAlign w:val="center"/>
          </w:tcPr>
          <w:p w14:paraId="0084BBB2"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260" w:type="dxa"/>
            <w:tcMar>
              <w:top w:w="28" w:type="dxa"/>
              <w:bottom w:w="28" w:type="dxa"/>
            </w:tcMar>
            <w:vAlign w:val="center"/>
          </w:tcPr>
          <w:p w14:paraId="7F215DBF"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440" w:type="dxa"/>
            <w:tcMar>
              <w:top w:w="28" w:type="dxa"/>
              <w:bottom w:w="28" w:type="dxa"/>
            </w:tcMar>
            <w:vAlign w:val="center"/>
          </w:tcPr>
          <w:p w14:paraId="3E167088" w14:textId="77777777" w:rsidR="0086091A" w:rsidRPr="00E70587" w:rsidRDefault="006B4E9D" w:rsidP="001C1C23">
            <w:pPr>
              <w:spacing w:line="280" w:lineRule="exact"/>
              <w:jc w:val="right"/>
              <w:rPr>
                <w:rFonts w:ascii="Arial" w:hAnsi="Arial" w:cs="Arial"/>
                <w:sz w:val="20"/>
              </w:rPr>
            </w:pPr>
            <w:r w:rsidRPr="00E70587">
              <w:rPr>
                <w:rFonts w:ascii="Arial" w:hAnsi="Arial" w:cs="Arial"/>
                <w:sz w:val="20"/>
              </w:rPr>
              <w:t>766</w:t>
            </w:r>
          </w:p>
        </w:tc>
      </w:tr>
      <w:tr w:rsidR="0086091A" w:rsidRPr="00E70587" w14:paraId="283AF356" w14:textId="77777777" w:rsidTr="00987D4E">
        <w:tc>
          <w:tcPr>
            <w:tcW w:w="3150" w:type="dxa"/>
            <w:tcMar>
              <w:top w:w="28" w:type="dxa"/>
              <w:bottom w:w="28" w:type="dxa"/>
            </w:tcMar>
            <w:vAlign w:val="bottom"/>
          </w:tcPr>
          <w:p w14:paraId="47328ACC"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b/>
                <w:i/>
                <w:sz w:val="20"/>
                <w:lang w:val="en-IN"/>
              </w:rPr>
            </w:pPr>
            <w:r w:rsidRPr="00E70587">
              <w:rPr>
                <w:rFonts w:ascii="Arial" w:hAnsi="Arial" w:cs="Arial"/>
                <w:b/>
                <w:i/>
                <w:sz w:val="20"/>
                <w:lang w:val="en-IN"/>
              </w:rPr>
              <w:t>Quoted debt securities</w:t>
            </w:r>
          </w:p>
        </w:tc>
        <w:tc>
          <w:tcPr>
            <w:tcW w:w="1608" w:type="dxa"/>
          </w:tcPr>
          <w:p w14:paraId="7903913E"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i/>
                <w:sz w:val="20"/>
                <w:lang w:val="en-IN"/>
              </w:rPr>
            </w:pPr>
          </w:p>
        </w:tc>
        <w:tc>
          <w:tcPr>
            <w:tcW w:w="1192" w:type="dxa"/>
            <w:gridSpan w:val="2"/>
            <w:tcMar>
              <w:top w:w="28" w:type="dxa"/>
              <w:bottom w:w="28" w:type="dxa"/>
            </w:tcMar>
            <w:vAlign w:val="center"/>
          </w:tcPr>
          <w:p w14:paraId="18E7EF43"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i/>
                <w:sz w:val="20"/>
                <w:lang w:val="en-IN"/>
              </w:rPr>
            </w:pPr>
          </w:p>
        </w:tc>
        <w:tc>
          <w:tcPr>
            <w:tcW w:w="1250" w:type="dxa"/>
            <w:gridSpan w:val="3"/>
            <w:tcMar>
              <w:top w:w="28" w:type="dxa"/>
              <w:bottom w:w="28" w:type="dxa"/>
            </w:tcMar>
            <w:vAlign w:val="center"/>
          </w:tcPr>
          <w:p w14:paraId="14D29B02"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i/>
                <w:sz w:val="20"/>
                <w:lang w:val="en-IN"/>
              </w:rPr>
            </w:pPr>
          </w:p>
        </w:tc>
        <w:tc>
          <w:tcPr>
            <w:tcW w:w="1260" w:type="dxa"/>
            <w:tcMar>
              <w:top w:w="28" w:type="dxa"/>
              <w:bottom w:w="28" w:type="dxa"/>
            </w:tcMar>
            <w:vAlign w:val="center"/>
          </w:tcPr>
          <w:p w14:paraId="6E916202"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i/>
                <w:sz w:val="20"/>
                <w:lang w:val="en-IN"/>
              </w:rPr>
            </w:pPr>
          </w:p>
        </w:tc>
        <w:tc>
          <w:tcPr>
            <w:tcW w:w="1440" w:type="dxa"/>
            <w:tcMar>
              <w:top w:w="28" w:type="dxa"/>
              <w:bottom w:w="28" w:type="dxa"/>
            </w:tcMar>
            <w:vAlign w:val="center"/>
          </w:tcPr>
          <w:p w14:paraId="5A69CF1A"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b/>
                <w:i/>
                <w:sz w:val="20"/>
                <w:lang w:val="en-IN"/>
              </w:rPr>
            </w:pPr>
          </w:p>
        </w:tc>
      </w:tr>
      <w:tr w:rsidR="0086091A" w:rsidRPr="00E70587" w14:paraId="2B13B479" w14:textId="77777777" w:rsidTr="00987D4E">
        <w:tc>
          <w:tcPr>
            <w:tcW w:w="3150" w:type="dxa"/>
            <w:tcMar>
              <w:top w:w="28" w:type="dxa"/>
              <w:bottom w:w="28" w:type="dxa"/>
            </w:tcMar>
            <w:vAlign w:val="center"/>
          </w:tcPr>
          <w:p w14:paraId="7895EA61"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Corporate bonds - consumer products sector</w:t>
            </w:r>
          </w:p>
        </w:tc>
        <w:tc>
          <w:tcPr>
            <w:tcW w:w="1608" w:type="dxa"/>
            <w:vAlign w:val="bottom"/>
          </w:tcPr>
          <w:p w14:paraId="2A4D77A9" w14:textId="4D034602"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674410" w:rsidRPr="00E70587">
              <w:rPr>
                <w:rFonts w:ascii="Arial" w:hAnsi="Arial" w:cs="Arial"/>
                <w:sz w:val="20"/>
                <w:lang w:val="en-IN"/>
              </w:rPr>
              <w:t>20</w:t>
            </w:r>
            <w:r w:rsidR="00674410">
              <w:rPr>
                <w:rFonts w:ascii="Arial" w:hAnsi="Arial" w:cs="Arial"/>
                <w:sz w:val="20"/>
                <w:lang w:val="en-IN"/>
              </w:rPr>
              <w:t>20</w:t>
            </w:r>
          </w:p>
        </w:tc>
        <w:tc>
          <w:tcPr>
            <w:tcW w:w="1192" w:type="dxa"/>
            <w:gridSpan w:val="2"/>
            <w:tcMar>
              <w:top w:w="28" w:type="dxa"/>
              <w:bottom w:w="28" w:type="dxa"/>
            </w:tcMar>
            <w:vAlign w:val="center"/>
          </w:tcPr>
          <w:p w14:paraId="78F461F0" w14:textId="77777777" w:rsidR="0086091A" w:rsidRPr="00E70587" w:rsidRDefault="006B4E9D" w:rsidP="001C1C23">
            <w:pPr>
              <w:spacing w:line="280" w:lineRule="exact"/>
              <w:jc w:val="right"/>
              <w:rPr>
                <w:rFonts w:ascii="Arial" w:hAnsi="Arial" w:cs="Arial"/>
                <w:sz w:val="20"/>
              </w:rPr>
            </w:pPr>
            <w:r w:rsidRPr="00E70587">
              <w:rPr>
                <w:rFonts w:ascii="Arial" w:hAnsi="Arial" w:cs="Arial"/>
                <w:sz w:val="20"/>
              </w:rPr>
              <w:t>430</w:t>
            </w:r>
          </w:p>
        </w:tc>
        <w:tc>
          <w:tcPr>
            <w:tcW w:w="1250" w:type="dxa"/>
            <w:gridSpan w:val="3"/>
            <w:tcMar>
              <w:top w:w="28" w:type="dxa"/>
              <w:bottom w:w="28" w:type="dxa"/>
            </w:tcMar>
            <w:vAlign w:val="center"/>
          </w:tcPr>
          <w:p w14:paraId="525E2255" w14:textId="77777777" w:rsidR="0086091A" w:rsidRPr="00E70587" w:rsidRDefault="006B4E9D" w:rsidP="001C1C23">
            <w:pPr>
              <w:spacing w:line="280" w:lineRule="exact"/>
              <w:jc w:val="right"/>
              <w:rPr>
                <w:rFonts w:ascii="Arial" w:hAnsi="Arial" w:cs="Arial"/>
                <w:sz w:val="20"/>
              </w:rPr>
            </w:pPr>
            <w:r w:rsidRPr="00E70587">
              <w:rPr>
                <w:rFonts w:ascii="Arial" w:hAnsi="Arial" w:cs="Arial"/>
                <w:sz w:val="20"/>
              </w:rPr>
              <w:t>430</w:t>
            </w:r>
          </w:p>
        </w:tc>
        <w:tc>
          <w:tcPr>
            <w:tcW w:w="1260" w:type="dxa"/>
            <w:tcMar>
              <w:top w:w="28" w:type="dxa"/>
              <w:bottom w:w="28" w:type="dxa"/>
            </w:tcMar>
            <w:vAlign w:val="center"/>
          </w:tcPr>
          <w:p w14:paraId="0057F152"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440" w:type="dxa"/>
            <w:tcMar>
              <w:top w:w="28" w:type="dxa"/>
              <w:bottom w:w="28" w:type="dxa"/>
            </w:tcMar>
            <w:vAlign w:val="center"/>
          </w:tcPr>
          <w:p w14:paraId="48D1937B"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r>
      <w:tr w:rsidR="0086091A" w:rsidRPr="00E70587" w14:paraId="58529FFA" w14:textId="77777777" w:rsidTr="00987D4E">
        <w:tc>
          <w:tcPr>
            <w:tcW w:w="3150" w:type="dxa"/>
            <w:tcMar>
              <w:top w:w="28" w:type="dxa"/>
              <w:bottom w:w="28" w:type="dxa"/>
            </w:tcMar>
            <w:vAlign w:val="center"/>
          </w:tcPr>
          <w:p w14:paraId="2DFF3F34"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Corporate bonds - technology sector</w:t>
            </w:r>
          </w:p>
        </w:tc>
        <w:tc>
          <w:tcPr>
            <w:tcW w:w="1608" w:type="dxa"/>
            <w:vAlign w:val="bottom"/>
          </w:tcPr>
          <w:p w14:paraId="34287F0A" w14:textId="11A187FB"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674410" w:rsidRPr="00E70587">
              <w:rPr>
                <w:rFonts w:ascii="Arial" w:hAnsi="Arial" w:cs="Arial"/>
                <w:sz w:val="20"/>
                <w:lang w:val="en-IN"/>
              </w:rPr>
              <w:t>20</w:t>
            </w:r>
            <w:r w:rsidR="00674410">
              <w:rPr>
                <w:rFonts w:ascii="Arial" w:hAnsi="Arial" w:cs="Arial"/>
                <w:sz w:val="20"/>
                <w:lang w:val="en-IN"/>
              </w:rPr>
              <w:t>20</w:t>
            </w:r>
          </w:p>
        </w:tc>
        <w:tc>
          <w:tcPr>
            <w:tcW w:w="1192" w:type="dxa"/>
            <w:gridSpan w:val="2"/>
            <w:tcMar>
              <w:top w:w="28" w:type="dxa"/>
              <w:bottom w:w="28" w:type="dxa"/>
            </w:tcMar>
            <w:vAlign w:val="center"/>
          </w:tcPr>
          <w:p w14:paraId="109E719C" w14:textId="77777777" w:rsidR="0086091A" w:rsidRPr="00E70587" w:rsidRDefault="006B4E9D" w:rsidP="001C1C23">
            <w:pPr>
              <w:spacing w:line="280" w:lineRule="exact"/>
              <w:jc w:val="right"/>
              <w:rPr>
                <w:rFonts w:ascii="Arial" w:hAnsi="Arial" w:cs="Arial"/>
                <w:sz w:val="20"/>
              </w:rPr>
            </w:pPr>
            <w:r w:rsidRPr="00E70587">
              <w:rPr>
                <w:rFonts w:ascii="Arial" w:hAnsi="Arial" w:cs="Arial"/>
                <w:sz w:val="20"/>
              </w:rPr>
              <w:t>650</w:t>
            </w:r>
          </w:p>
        </w:tc>
        <w:tc>
          <w:tcPr>
            <w:tcW w:w="1250" w:type="dxa"/>
            <w:gridSpan w:val="3"/>
            <w:tcMar>
              <w:top w:w="28" w:type="dxa"/>
              <w:bottom w:w="28" w:type="dxa"/>
            </w:tcMar>
            <w:vAlign w:val="center"/>
          </w:tcPr>
          <w:p w14:paraId="29793262" w14:textId="77777777" w:rsidR="0086091A" w:rsidRPr="00E70587" w:rsidRDefault="006B4E9D" w:rsidP="001C1C23">
            <w:pPr>
              <w:spacing w:line="280" w:lineRule="exact"/>
              <w:jc w:val="right"/>
              <w:rPr>
                <w:rFonts w:ascii="Arial" w:hAnsi="Arial" w:cs="Arial"/>
                <w:sz w:val="20"/>
              </w:rPr>
            </w:pPr>
            <w:r w:rsidRPr="00E70587">
              <w:rPr>
                <w:rFonts w:ascii="Arial" w:hAnsi="Arial" w:cs="Arial"/>
                <w:sz w:val="20"/>
              </w:rPr>
              <w:t>650</w:t>
            </w:r>
            <w:r w:rsidR="0086091A" w:rsidRPr="00E70587">
              <w:rPr>
                <w:rFonts w:ascii="Arial" w:hAnsi="Arial" w:cs="Arial"/>
                <w:sz w:val="20"/>
              </w:rPr>
              <w:t xml:space="preserve"> </w:t>
            </w:r>
          </w:p>
        </w:tc>
        <w:tc>
          <w:tcPr>
            <w:tcW w:w="1260" w:type="dxa"/>
            <w:tcMar>
              <w:top w:w="28" w:type="dxa"/>
              <w:bottom w:w="28" w:type="dxa"/>
            </w:tcMar>
            <w:vAlign w:val="center"/>
          </w:tcPr>
          <w:p w14:paraId="298EA2BC"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440" w:type="dxa"/>
            <w:tcMar>
              <w:top w:w="28" w:type="dxa"/>
              <w:bottom w:w="28" w:type="dxa"/>
            </w:tcMar>
            <w:vAlign w:val="center"/>
          </w:tcPr>
          <w:p w14:paraId="6005C490"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r>
      <w:tr w:rsidR="0086091A" w:rsidRPr="00E70587" w14:paraId="6DC73D09" w14:textId="77777777" w:rsidTr="00987D4E">
        <w:tc>
          <w:tcPr>
            <w:tcW w:w="3150" w:type="dxa"/>
            <w:tcMar>
              <w:top w:w="28" w:type="dxa"/>
              <w:bottom w:w="28" w:type="dxa"/>
            </w:tcMar>
            <w:vAlign w:val="bottom"/>
          </w:tcPr>
          <w:p w14:paraId="74D02796"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b/>
                <w:sz w:val="20"/>
                <w:lang w:val="en-IN"/>
              </w:rPr>
            </w:pPr>
          </w:p>
        </w:tc>
        <w:tc>
          <w:tcPr>
            <w:tcW w:w="1608" w:type="dxa"/>
            <w:vAlign w:val="bottom"/>
          </w:tcPr>
          <w:p w14:paraId="708BA9AA"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p>
        </w:tc>
        <w:tc>
          <w:tcPr>
            <w:tcW w:w="1192" w:type="dxa"/>
            <w:gridSpan w:val="2"/>
            <w:tcMar>
              <w:top w:w="28" w:type="dxa"/>
              <w:bottom w:w="28" w:type="dxa"/>
            </w:tcMar>
            <w:vAlign w:val="bottom"/>
          </w:tcPr>
          <w:p w14:paraId="38F8C87B"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p>
        </w:tc>
        <w:tc>
          <w:tcPr>
            <w:tcW w:w="1250" w:type="dxa"/>
            <w:gridSpan w:val="3"/>
            <w:tcMar>
              <w:top w:w="28" w:type="dxa"/>
              <w:bottom w:w="28" w:type="dxa"/>
            </w:tcMar>
            <w:vAlign w:val="bottom"/>
          </w:tcPr>
          <w:p w14:paraId="3B2FFBEA"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p>
        </w:tc>
        <w:tc>
          <w:tcPr>
            <w:tcW w:w="1260" w:type="dxa"/>
            <w:tcMar>
              <w:top w:w="28" w:type="dxa"/>
              <w:bottom w:w="28" w:type="dxa"/>
            </w:tcMar>
            <w:vAlign w:val="bottom"/>
          </w:tcPr>
          <w:p w14:paraId="3AE002B2"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p>
        </w:tc>
        <w:tc>
          <w:tcPr>
            <w:tcW w:w="1440" w:type="dxa"/>
            <w:tcMar>
              <w:top w:w="28" w:type="dxa"/>
              <w:bottom w:w="28" w:type="dxa"/>
            </w:tcMar>
            <w:vAlign w:val="bottom"/>
          </w:tcPr>
          <w:p w14:paraId="3ED43377"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p>
        </w:tc>
      </w:tr>
      <w:tr w:rsidR="0086091A" w:rsidRPr="00E70587" w14:paraId="38E15CAE" w14:textId="77777777" w:rsidTr="00987D4E">
        <w:tc>
          <w:tcPr>
            <w:tcW w:w="8460" w:type="dxa"/>
            <w:gridSpan w:val="8"/>
            <w:tcMar>
              <w:top w:w="28" w:type="dxa"/>
              <w:bottom w:w="28" w:type="dxa"/>
            </w:tcMar>
            <w:vAlign w:val="bottom"/>
          </w:tcPr>
          <w:p w14:paraId="0F7D7630"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Assets for which fair values are disclosed</w:t>
            </w:r>
          </w:p>
        </w:tc>
        <w:tc>
          <w:tcPr>
            <w:tcW w:w="1440" w:type="dxa"/>
            <w:tcMar>
              <w:top w:w="28" w:type="dxa"/>
              <w:bottom w:w="28" w:type="dxa"/>
            </w:tcMar>
            <w:vAlign w:val="bottom"/>
          </w:tcPr>
          <w:p w14:paraId="5B2BC2E9"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86091A" w:rsidRPr="00E70587" w14:paraId="32F6AA5D" w14:textId="77777777" w:rsidTr="00987D4E">
        <w:tc>
          <w:tcPr>
            <w:tcW w:w="4758" w:type="dxa"/>
            <w:gridSpan w:val="2"/>
            <w:tcMar>
              <w:top w:w="28" w:type="dxa"/>
              <w:bottom w:w="28" w:type="dxa"/>
            </w:tcMar>
            <w:vAlign w:val="bottom"/>
          </w:tcPr>
          <w:p w14:paraId="38AD589A"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Investment properties (Note </w:t>
            </w:r>
            <w:r w:rsidR="001C1C23" w:rsidRPr="00E70587">
              <w:rPr>
                <w:rFonts w:ascii="Arial" w:hAnsi="Arial" w:cs="Arial"/>
                <w:sz w:val="20"/>
                <w:lang w:val="en-IN"/>
              </w:rPr>
              <w:t>4</w:t>
            </w:r>
            <w:r w:rsidRPr="00E70587">
              <w:rPr>
                <w:rFonts w:ascii="Arial" w:hAnsi="Arial" w:cs="Arial"/>
                <w:sz w:val="20"/>
                <w:lang w:val="en-IN"/>
              </w:rPr>
              <w:t>):</w:t>
            </w:r>
          </w:p>
        </w:tc>
        <w:tc>
          <w:tcPr>
            <w:tcW w:w="1282" w:type="dxa"/>
            <w:gridSpan w:val="3"/>
            <w:tcMar>
              <w:top w:w="28" w:type="dxa"/>
              <w:bottom w:w="28" w:type="dxa"/>
            </w:tcMar>
            <w:vAlign w:val="bottom"/>
          </w:tcPr>
          <w:p w14:paraId="6D2CDA2B"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60" w:type="dxa"/>
            <w:gridSpan w:val="2"/>
            <w:tcMar>
              <w:top w:w="28" w:type="dxa"/>
              <w:bottom w:w="28" w:type="dxa"/>
            </w:tcMar>
          </w:tcPr>
          <w:p w14:paraId="6CBA95BC"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260" w:type="dxa"/>
            <w:tcMar>
              <w:top w:w="28" w:type="dxa"/>
              <w:bottom w:w="28" w:type="dxa"/>
            </w:tcMar>
          </w:tcPr>
          <w:p w14:paraId="4D0F3FB6"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40" w:type="dxa"/>
            <w:tcMar>
              <w:top w:w="28" w:type="dxa"/>
              <w:bottom w:w="28" w:type="dxa"/>
            </w:tcMar>
          </w:tcPr>
          <w:p w14:paraId="5D0C110B"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86091A" w:rsidRPr="00E70587" w14:paraId="2B7D1A80" w14:textId="77777777" w:rsidTr="00987D4E">
        <w:tc>
          <w:tcPr>
            <w:tcW w:w="3150" w:type="dxa"/>
            <w:tcMar>
              <w:top w:w="28" w:type="dxa"/>
              <w:bottom w:w="28" w:type="dxa"/>
            </w:tcMar>
            <w:vAlign w:val="bottom"/>
          </w:tcPr>
          <w:p w14:paraId="3BF283AF"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 Office properties </w:t>
            </w:r>
          </w:p>
        </w:tc>
        <w:tc>
          <w:tcPr>
            <w:tcW w:w="1608" w:type="dxa"/>
          </w:tcPr>
          <w:p w14:paraId="61B29881" w14:textId="7CEA6612"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674410" w:rsidRPr="00E70587">
              <w:rPr>
                <w:rFonts w:ascii="Arial" w:hAnsi="Arial" w:cs="Arial"/>
                <w:sz w:val="20"/>
                <w:lang w:val="en-IN"/>
              </w:rPr>
              <w:t>20</w:t>
            </w:r>
            <w:r w:rsidR="00674410">
              <w:rPr>
                <w:rFonts w:ascii="Arial" w:hAnsi="Arial" w:cs="Arial"/>
                <w:sz w:val="20"/>
                <w:lang w:val="en-IN"/>
              </w:rPr>
              <w:t>20</w:t>
            </w:r>
          </w:p>
        </w:tc>
        <w:tc>
          <w:tcPr>
            <w:tcW w:w="1282" w:type="dxa"/>
            <w:gridSpan w:val="3"/>
            <w:tcMar>
              <w:top w:w="28" w:type="dxa"/>
              <w:bottom w:w="28" w:type="dxa"/>
            </w:tcMar>
            <w:vAlign w:val="center"/>
          </w:tcPr>
          <w:p w14:paraId="1B917517"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7,321</w:t>
            </w:r>
            <w:r w:rsidRPr="00E70587">
              <w:rPr>
                <w:rFonts w:ascii="Arial" w:hAnsi="Arial" w:cs="Arial"/>
                <w:sz w:val="20"/>
              </w:rPr>
              <w:t xml:space="preserve"> </w:t>
            </w:r>
          </w:p>
        </w:tc>
        <w:tc>
          <w:tcPr>
            <w:tcW w:w="1160" w:type="dxa"/>
            <w:gridSpan w:val="2"/>
            <w:tcMar>
              <w:top w:w="28" w:type="dxa"/>
              <w:bottom w:w="28" w:type="dxa"/>
            </w:tcMar>
            <w:vAlign w:val="center"/>
          </w:tcPr>
          <w:p w14:paraId="3645C03C"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260" w:type="dxa"/>
            <w:tcMar>
              <w:top w:w="28" w:type="dxa"/>
              <w:bottom w:w="28" w:type="dxa"/>
            </w:tcMar>
            <w:vAlign w:val="center"/>
          </w:tcPr>
          <w:p w14:paraId="2CEC7F36"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440" w:type="dxa"/>
            <w:tcMar>
              <w:top w:w="28" w:type="dxa"/>
              <w:bottom w:w="28" w:type="dxa"/>
            </w:tcMar>
            <w:vAlign w:val="center"/>
          </w:tcPr>
          <w:p w14:paraId="07D9040D"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 xml:space="preserve">7,321 </w:t>
            </w:r>
          </w:p>
        </w:tc>
      </w:tr>
      <w:tr w:rsidR="0086091A" w:rsidRPr="00E70587" w14:paraId="7DA89BA6" w14:textId="77777777" w:rsidTr="00987D4E">
        <w:tc>
          <w:tcPr>
            <w:tcW w:w="3150" w:type="dxa"/>
            <w:tcMar>
              <w:top w:w="28" w:type="dxa"/>
              <w:bottom w:w="28" w:type="dxa"/>
            </w:tcMar>
            <w:vAlign w:val="bottom"/>
          </w:tcPr>
          <w:p w14:paraId="796E67AE"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 Retail properties </w:t>
            </w:r>
          </w:p>
        </w:tc>
        <w:tc>
          <w:tcPr>
            <w:tcW w:w="1608" w:type="dxa"/>
          </w:tcPr>
          <w:p w14:paraId="1B8C6D7B" w14:textId="475AC21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674410" w:rsidRPr="00E70587">
              <w:rPr>
                <w:rFonts w:ascii="Arial" w:hAnsi="Arial" w:cs="Arial"/>
                <w:sz w:val="20"/>
                <w:lang w:val="en-IN"/>
              </w:rPr>
              <w:t>20</w:t>
            </w:r>
            <w:r w:rsidR="00674410">
              <w:rPr>
                <w:rFonts w:ascii="Arial" w:hAnsi="Arial" w:cs="Arial"/>
                <w:sz w:val="20"/>
                <w:lang w:val="en-IN"/>
              </w:rPr>
              <w:t>20</w:t>
            </w:r>
          </w:p>
        </w:tc>
        <w:tc>
          <w:tcPr>
            <w:tcW w:w="1282" w:type="dxa"/>
            <w:gridSpan w:val="3"/>
            <w:tcMar>
              <w:top w:w="28" w:type="dxa"/>
              <w:bottom w:w="28" w:type="dxa"/>
            </w:tcMar>
            <w:vAlign w:val="center"/>
          </w:tcPr>
          <w:p w14:paraId="7550D77B"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8,480</w:t>
            </w:r>
            <w:r w:rsidRPr="00E70587">
              <w:rPr>
                <w:rFonts w:ascii="Arial" w:hAnsi="Arial" w:cs="Arial"/>
                <w:sz w:val="20"/>
              </w:rPr>
              <w:t xml:space="preserve"> </w:t>
            </w:r>
          </w:p>
        </w:tc>
        <w:tc>
          <w:tcPr>
            <w:tcW w:w="1160" w:type="dxa"/>
            <w:gridSpan w:val="2"/>
            <w:tcMar>
              <w:top w:w="28" w:type="dxa"/>
              <w:bottom w:w="28" w:type="dxa"/>
            </w:tcMar>
            <w:vAlign w:val="center"/>
          </w:tcPr>
          <w:p w14:paraId="396774AF"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260" w:type="dxa"/>
            <w:tcMar>
              <w:top w:w="28" w:type="dxa"/>
              <w:bottom w:w="28" w:type="dxa"/>
            </w:tcMar>
            <w:vAlign w:val="center"/>
          </w:tcPr>
          <w:p w14:paraId="50F41FBC"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440" w:type="dxa"/>
            <w:tcMar>
              <w:top w:w="28" w:type="dxa"/>
              <w:bottom w:w="28" w:type="dxa"/>
            </w:tcMar>
            <w:vAlign w:val="center"/>
          </w:tcPr>
          <w:p w14:paraId="4072580C"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 xml:space="preserve">8,480 </w:t>
            </w:r>
          </w:p>
        </w:tc>
      </w:tr>
      <w:tr w:rsidR="0086091A" w:rsidRPr="00E70587" w14:paraId="7E01ED33" w14:textId="77777777" w:rsidTr="00987D4E">
        <w:tc>
          <w:tcPr>
            <w:tcW w:w="3150" w:type="dxa"/>
            <w:tcMar>
              <w:top w:w="28" w:type="dxa"/>
              <w:bottom w:w="28" w:type="dxa"/>
            </w:tcMar>
            <w:vAlign w:val="bottom"/>
          </w:tcPr>
          <w:p w14:paraId="48682099"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Loan and receivables </w:t>
            </w:r>
          </w:p>
        </w:tc>
        <w:tc>
          <w:tcPr>
            <w:tcW w:w="1608" w:type="dxa"/>
            <w:vAlign w:val="bottom"/>
          </w:tcPr>
          <w:p w14:paraId="5DB759A2"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282" w:type="dxa"/>
            <w:gridSpan w:val="3"/>
            <w:tcMar>
              <w:top w:w="28" w:type="dxa"/>
              <w:bottom w:w="28" w:type="dxa"/>
            </w:tcMar>
            <w:vAlign w:val="bottom"/>
          </w:tcPr>
          <w:p w14:paraId="5DF683B3"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160" w:type="dxa"/>
            <w:gridSpan w:val="2"/>
            <w:tcMar>
              <w:top w:w="28" w:type="dxa"/>
              <w:bottom w:w="28" w:type="dxa"/>
            </w:tcMar>
          </w:tcPr>
          <w:p w14:paraId="552760CA"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260" w:type="dxa"/>
            <w:tcMar>
              <w:top w:w="28" w:type="dxa"/>
              <w:bottom w:w="28" w:type="dxa"/>
            </w:tcMar>
          </w:tcPr>
          <w:p w14:paraId="62B8FB66"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440" w:type="dxa"/>
            <w:tcMar>
              <w:top w:w="28" w:type="dxa"/>
              <w:bottom w:w="28" w:type="dxa"/>
            </w:tcMar>
            <w:vAlign w:val="bottom"/>
          </w:tcPr>
          <w:p w14:paraId="6D9165F9"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86091A" w:rsidRPr="00E70587" w14:paraId="553C3C5E" w14:textId="77777777" w:rsidTr="00987D4E">
        <w:tc>
          <w:tcPr>
            <w:tcW w:w="3150" w:type="dxa"/>
            <w:tcMar>
              <w:top w:w="28" w:type="dxa"/>
              <w:bottom w:w="28" w:type="dxa"/>
            </w:tcMar>
            <w:vAlign w:val="bottom"/>
          </w:tcPr>
          <w:p w14:paraId="2AF5C586"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Loan notes (India)</w:t>
            </w:r>
          </w:p>
        </w:tc>
        <w:tc>
          <w:tcPr>
            <w:tcW w:w="1608" w:type="dxa"/>
            <w:vAlign w:val="bottom"/>
          </w:tcPr>
          <w:p w14:paraId="31A7733B" w14:textId="7FD4C870"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674410" w:rsidRPr="00E70587">
              <w:rPr>
                <w:rFonts w:ascii="Arial" w:hAnsi="Arial" w:cs="Arial"/>
                <w:sz w:val="20"/>
                <w:lang w:val="en-IN"/>
              </w:rPr>
              <w:t>20</w:t>
            </w:r>
            <w:r w:rsidR="00674410">
              <w:rPr>
                <w:rFonts w:ascii="Arial" w:hAnsi="Arial" w:cs="Arial"/>
                <w:sz w:val="20"/>
                <w:lang w:val="en-IN"/>
              </w:rPr>
              <w:t>20</w:t>
            </w:r>
          </w:p>
        </w:tc>
        <w:tc>
          <w:tcPr>
            <w:tcW w:w="1282" w:type="dxa"/>
            <w:gridSpan w:val="3"/>
            <w:tcMar>
              <w:top w:w="28" w:type="dxa"/>
              <w:bottom w:w="28" w:type="dxa"/>
            </w:tcMar>
            <w:vAlign w:val="center"/>
          </w:tcPr>
          <w:p w14:paraId="7FFC7832"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3,251</w:t>
            </w:r>
            <w:r w:rsidRPr="00E70587">
              <w:rPr>
                <w:rFonts w:ascii="Arial" w:hAnsi="Arial" w:cs="Arial"/>
                <w:sz w:val="20"/>
              </w:rPr>
              <w:t xml:space="preserve"> </w:t>
            </w:r>
          </w:p>
        </w:tc>
        <w:tc>
          <w:tcPr>
            <w:tcW w:w="1160" w:type="dxa"/>
            <w:gridSpan w:val="2"/>
            <w:tcMar>
              <w:top w:w="28" w:type="dxa"/>
              <w:bottom w:w="28" w:type="dxa"/>
            </w:tcMar>
            <w:vAlign w:val="center"/>
          </w:tcPr>
          <w:p w14:paraId="139C073C"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260" w:type="dxa"/>
            <w:tcMar>
              <w:top w:w="28" w:type="dxa"/>
              <w:bottom w:w="28" w:type="dxa"/>
            </w:tcMar>
            <w:vAlign w:val="center"/>
          </w:tcPr>
          <w:p w14:paraId="63CE4004"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 xml:space="preserve">3,251 </w:t>
            </w:r>
          </w:p>
        </w:tc>
        <w:tc>
          <w:tcPr>
            <w:tcW w:w="1440" w:type="dxa"/>
            <w:tcMar>
              <w:top w:w="28" w:type="dxa"/>
              <w:bottom w:w="28" w:type="dxa"/>
            </w:tcMar>
            <w:vAlign w:val="center"/>
          </w:tcPr>
          <w:p w14:paraId="7A7AD4A2"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r>
      <w:tr w:rsidR="0086091A" w:rsidRPr="00E70587" w14:paraId="2FA43108" w14:textId="77777777" w:rsidTr="00987D4E">
        <w:tc>
          <w:tcPr>
            <w:tcW w:w="3150" w:type="dxa"/>
            <w:tcMar>
              <w:top w:w="28" w:type="dxa"/>
              <w:bottom w:w="28" w:type="dxa"/>
            </w:tcMar>
            <w:vAlign w:val="bottom"/>
          </w:tcPr>
          <w:p w14:paraId="02E4C32F" w14:textId="211A79F5"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Loan to directors</w:t>
            </w:r>
          </w:p>
        </w:tc>
        <w:tc>
          <w:tcPr>
            <w:tcW w:w="1608" w:type="dxa"/>
          </w:tcPr>
          <w:p w14:paraId="1D209E2B" w14:textId="0FC57CDB"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674410" w:rsidRPr="00E70587">
              <w:rPr>
                <w:rFonts w:ascii="Arial" w:hAnsi="Arial" w:cs="Arial"/>
                <w:sz w:val="20"/>
                <w:lang w:val="en-IN"/>
              </w:rPr>
              <w:t>20</w:t>
            </w:r>
            <w:r w:rsidR="00674410">
              <w:rPr>
                <w:rFonts w:ascii="Arial" w:hAnsi="Arial" w:cs="Arial"/>
                <w:sz w:val="20"/>
                <w:lang w:val="en-IN"/>
              </w:rPr>
              <w:t>20</w:t>
            </w:r>
          </w:p>
        </w:tc>
        <w:tc>
          <w:tcPr>
            <w:tcW w:w="1282" w:type="dxa"/>
            <w:gridSpan w:val="3"/>
            <w:tcMar>
              <w:top w:w="28" w:type="dxa"/>
              <w:bottom w:w="28" w:type="dxa"/>
            </w:tcMar>
            <w:vAlign w:val="center"/>
          </w:tcPr>
          <w:p w14:paraId="0760A507"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16</w:t>
            </w:r>
            <w:r w:rsidRPr="00E70587">
              <w:rPr>
                <w:rFonts w:ascii="Arial" w:hAnsi="Arial" w:cs="Arial"/>
                <w:sz w:val="20"/>
              </w:rPr>
              <w:t xml:space="preserve"> </w:t>
            </w:r>
          </w:p>
        </w:tc>
        <w:tc>
          <w:tcPr>
            <w:tcW w:w="1160" w:type="dxa"/>
            <w:gridSpan w:val="2"/>
            <w:tcMar>
              <w:top w:w="28" w:type="dxa"/>
              <w:bottom w:w="28" w:type="dxa"/>
            </w:tcMar>
            <w:vAlign w:val="center"/>
          </w:tcPr>
          <w:p w14:paraId="21A7BA03"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260" w:type="dxa"/>
            <w:tcMar>
              <w:top w:w="28" w:type="dxa"/>
              <w:bottom w:w="28" w:type="dxa"/>
            </w:tcMar>
            <w:vAlign w:val="center"/>
          </w:tcPr>
          <w:p w14:paraId="3A97CEF8"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440" w:type="dxa"/>
            <w:tcMar>
              <w:top w:w="28" w:type="dxa"/>
              <w:bottom w:w="28" w:type="dxa"/>
            </w:tcMar>
            <w:vAlign w:val="center"/>
          </w:tcPr>
          <w:p w14:paraId="6CEBDDAD" w14:textId="77777777" w:rsidR="0086091A" w:rsidRPr="00E70587" w:rsidRDefault="00950163" w:rsidP="001C1C23">
            <w:pPr>
              <w:spacing w:line="280" w:lineRule="exact"/>
              <w:jc w:val="right"/>
              <w:rPr>
                <w:rFonts w:ascii="Arial" w:hAnsi="Arial" w:cs="Arial"/>
                <w:sz w:val="20"/>
              </w:rPr>
            </w:pPr>
            <w:r w:rsidRPr="00E70587">
              <w:rPr>
                <w:rFonts w:ascii="Arial" w:hAnsi="Arial" w:cs="Arial"/>
                <w:sz w:val="20"/>
              </w:rPr>
              <w:t xml:space="preserve"> </w:t>
            </w:r>
            <w:r w:rsidR="0086091A" w:rsidRPr="00E70587">
              <w:rPr>
                <w:rFonts w:ascii="Arial" w:hAnsi="Arial" w:cs="Arial"/>
                <w:sz w:val="20"/>
              </w:rPr>
              <w:t xml:space="preserve">16 </w:t>
            </w:r>
          </w:p>
        </w:tc>
      </w:tr>
    </w:tbl>
    <w:p w14:paraId="48F9CB0F" w14:textId="77777777" w:rsidR="00F60936" w:rsidRPr="00E70587" w:rsidRDefault="00F60936" w:rsidP="009901E1">
      <w:pPr>
        <w:spacing w:line="280" w:lineRule="exact"/>
        <w:rPr>
          <w:rFonts w:ascii="Arial" w:hAnsi="Arial" w:cs="Arial"/>
          <w:b/>
          <w:sz w:val="20"/>
        </w:rPr>
      </w:pPr>
    </w:p>
    <w:p w14:paraId="31EFDF68" w14:textId="265390A9" w:rsidR="00F60936" w:rsidRPr="00E70587" w:rsidRDefault="00F60936" w:rsidP="009901E1">
      <w:pPr>
        <w:spacing w:line="280" w:lineRule="exact"/>
        <w:rPr>
          <w:rFonts w:ascii="Arial" w:hAnsi="Arial" w:cs="Arial"/>
          <w:sz w:val="20"/>
        </w:rPr>
      </w:pPr>
      <w:r w:rsidRPr="00E70587">
        <w:rPr>
          <w:rFonts w:ascii="Arial" w:hAnsi="Arial" w:cs="Arial"/>
          <w:sz w:val="20"/>
        </w:rPr>
        <w:t xml:space="preserve">There have been no transfers between Level 1 and Level 2 during the year ended 31 </w:t>
      </w:r>
      <w:r w:rsidR="008B730E" w:rsidRPr="00E70587">
        <w:rPr>
          <w:rFonts w:ascii="Arial" w:hAnsi="Arial" w:cs="Arial"/>
          <w:sz w:val="20"/>
        </w:rPr>
        <w:t xml:space="preserve">March </w:t>
      </w:r>
      <w:r w:rsidR="00674410" w:rsidRPr="00E70587">
        <w:rPr>
          <w:rFonts w:ascii="Arial" w:hAnsi="Arial" w:cs="Arial"/>
          <w:sz w:val="20"/>
        </w:rPr>
        <w:t>20</w:t>
      </w:r>
      <w:r w:rsidR="00674410">
        <w:rPr>
          <w:rFonts w:ascii="Arial" w:hAnsi="Arial" w:cs="Arial"/>
          <w:sz w:val="20"/>
        </w:rPr>
        <w:t>20</w:t>
      </w:r>
      <w:r w:rsidRPr="00E70587">
        <w:rPr>
          <w:rFonts w:ascii="Arial" w:hAnsi="Arial" w:cs="Arial"/>
          <w:sz w:val="20"/>
        </w:rPr>
        <w:t>.</w:t>
      </w:r>
    </w:p>
    <w:p w14:paraId="5A5A7444" w14:textId="77777777" w:rsidR="001C1C23" w:rsidRPr="00E70587" w:rsidRDefault="001C1C23" w:rsidP="009901E1">
      <w:pPr>
        <w:spacing w:line="280" w:lineRule="exact"/>
        <w:rPr>
          <w:rFonts w:ascii="Arial" w:hAnsi="Arial" w:cs="Arial"/>
          <w:sz w:val="20"/>
        </w:rPr>
      </w:pPr>
    </w:p>
    <w:p w14:paraId="24C12418" w14:textId="6EE17896" w:rsidR="0055751D" w:rsidRPr="00E70587" w:rsidRDefault="001C498F" w:rsidP="009901E1">
      <w:pPr>
        <w:spacing w:line="280" w:lineRule="exact"/>
        <w:rPr>
          <w:rFonts w:ascii="Arial" w:hAnsi="Arial" w:cs="Arial"/>
          <w:b/>
          <w:sz w:val="20"/>
        </w:rPr>
      </w:pPr>
      <w:r w:rsidRPr="00E70587">
        <w:rPr>
          <w:rFonts w:ascii="Arial" w:hAnsi="Arial" w:cs="Arial"/>
          <w:b/>
          <w:sz w:val="20"/>
        </w:rPr>
        <w:t xml:space="preserve">Quantitative disclosures fair value measurement hierarchy for liabilities as at 31 </w:t>
      </w:r>
      <w:r w:rsidR="008B730E" w:rsidRPr="00E70587">
        <w:rPr>
          <w:rFonts w:ascii="Arial" w:hAnsi="Arial" w:cs="Arial"/>
          <w:b/>
          <w:sz w:val="20"/>
        </w:rPr>
        <w:t xml:space="preserve">March </w:t>
      </w:r>
      <w:r w:rsidR="00C13201" w:rsidRPr="00E70587">
        <w:rPr>
          <w:rFonts w:ascii="Arial" w:hAnsi="Arial" w:cs="Arial"/>
          <w:b/>
          <w:sz w:val="20"/>
        </w:rPr>
        <w:t>20</w:t>
      </w:r>
      <w:r w:rsidR="00C13201">
        <w:rPr>
          <w:rFonts w:ascii="Arial" w:hAnsi="Arial" w:cs="Arial"/>
          <w:b/>
          <w:sz w:val="20"/>
        </w:rPr>
        <w:t>20</w:t>
      </w:r>
      <w:r w:rsidRPr="00E70587">
        <w:rPr>
          <w:rFonts w:ascii="Arial" w:hAnsi="Arial" w:cs="Arial"/>
          <w:b/>
          <w:sz w:val="20"/>
        </w:rPr>
        <w:t>:</w:t>
      </w:r>
    </w:p>
    <w:p w14:paraId="20927E78" w14:textId="77777777" w:rsidR="0018239F" w:rsidRPr="00E70587" w:rsidRDefault="0018239F" w:rsidP="009901E1">
      <w:pPr>
        <w:spacing w:line="280" w:lineRule="exact"/>
        <w:rPr>
          <w:rFonts w:ascii="Arial" w:hAnsi="Arial" w:cs="Arial"/>
          <w:sz w:val="20"/>
        </w:rPr>
      </w:pPr>
    </w:p>
    <w:tbl>
      <w:tblPr>
        <w:tblW w:w="9900" w:type="dxa"/>
        <w:tblLayout w:type="fixed"/>
        <w:tblLook w:val="01E0" w:firstRow="1" w:lastRow="1" w:firstColumn="1" w:lastColumn="1" w:noHBand="0" w:noVBand="0"/>
      </w:tblPr>
      <w:tblGrid>
        <w:gridCol w:w="3150"/>
        <w:gridCol w:w="1620"/>
        <w:gridCol w:w="1241"/>
        <w:gridCol w:w="1189"/>
        <w:gridCol w:w="1260"/>
        <w:gridCol w:w="1440"/>
      </w:tblGrid>
      <w:tr w:rsidR="001C1C23" w:rsidRPr="00E70587" w14:paraId="619CD697" w14:textId="77777777" w:rsidTr="00987D4E">
        <w:trPr>
          <w:tblHeader/>
        </w:trPr>
        <w:tc>
          <w:tcPr>
            <w:tcW w:w="4770" w:type="dxa"/>
            <w:gridSpan w:val="2"/>
          </w:tcPr>
          <w:p w14:paraId="2F0A7B97" w14:textId="77777777" w:rsidR="001C1C23" w:rsidRPr="00E70587" w:rsidRDefault="001C1C23" w:rsidP="001C1C23">
            <w:pPr>
              <w:pStyle w:val="Tablecolumnheading"/>
              <w:spacing w:line="280" w:lineRule="exact"/>
              <w:jc w:val="left"/>
              <w:rPr>
                <w:rFonts w:ascii="Arial" w:hAnsi="Arial"/>
                <w:color w:val="auto"/>
                <w:sz w:val="20"/>
                <w:szCs w:val="20"/>
                <w:lang w:val="en-IN"/>
              </w:rPr>
            </w:pPr>
          </w:p>
        </w:tc>
        <w:tc>
          <w:tcPr>
            <w:tcW w:w="1241" w:type="dxa"/>
            <w:vAlign w:val="bottom"/>
          </w:tcPr>
          <w:p w14:paraId="403419F6" w14:textId="77777777" w:rsidR="001C1C23" w:rsidRPr="00E70587" w:rsidRDefault="001C1C23" w:rsidP="001C1C23">
            <w:pPr>
              <w:pStyle w:val="Tablecolumnheading"/>
              <w:spacing w:line="280" w:lineRule="exact"/>
              <w:jc w:val="left"/>
              <w:rPr>
                <w:rFonts w:ascii="Arial" w:hAnsi="Arial"/>
                <w:color w:val="auto"/>
                <w:sz w:val="20"/>
                <w:szCs w:val="20"/>
                <w:lang w:val="en-IN"/>
              </w:rPr>
            </w:pPr>
          </w:p>
        </w:tc>
        <w:tc>
          <w:tcPr>
            <w:tcW w:w="3889" w:type="dxa"/>
            <w:gridSpan w:val="3"/>
            <w:vAlign w:val="bottom"/>
          </w:tcPr>
          <w:p w14:paraId="29D4BE7F" w14:textId="77777777" w:rsidR="001C1C23" w:rsidRPr="00E70587" w:rsidRDefault="001C1C23" w:rsidP="001C1C23">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Fair value measurement using</w:t>
            </w:r>
          </w:p>
        </w:tc>
      </w:tr>
      <w:tr w:rsidR="001C1C23" w:rsidRPr="00E70587" w14:paraId="0DCB2558" w14:textId="77777777" w:rsidTr="00987D4E">
        <w:trPr>
          <w:tblHeader/>
        </w:trPr>
        <w:tc>
          <w:tcPr>
            <w:tcW w:w="3150" w:type="dxa"/>
          </w:tcPr>
          <w:p w14:paraId="58E1517F" w14:textId="77777777" w:rsidR="001C1C23" w:rsidRPr="00E70587" w:rsidRDefault="001C1C23" w:rsidP="001C1C23">
            <w:pPr>
              <w:pStyle w:val="Tablecolumnheading"/>
              <w:spacing w:line="280" w:lineRule="exact"/>
              <w:rPr>
                <w:rFonts w:ascii="Arial" w:hAnsi="Arial"/>
                <w:color w:val="auto"/>
                <w:sz w:val="20"/>
                <w:szCs w:val="20"/>
                <w:lang w:val="en-IN"/>
              </w:rPr>
            </w:pPr>
          </w:p>
        </w:tc>
        <w:tc>
          <w:tcPr>
            <w:tcW w:w="1620" w:type="dxa"/>
            <w:vAlign w:val="bottom"/>
          </w:tcPr>
          <w:p w14:paraId="57004B87" w14:textId="77777777" w:rsidR="001C1C23" w:rsidRPr="00E70587" w:rsidRDefault="001C1C23" w:rsidP="001C1C23">
            <w:pPr>
              <w:pStyle w:val="Tablecolumnheading"/>
              <w:spacing w:line="280" w:lineRule="exact"/>
              <w:jc w:val="center"/>
              <w:rPr>
                <w:rFonts w:ascii="Arial" w:hAnsi="Arial"/>
                <w:color w:val="auto"/>
                <w:sz w:val="20"/>
                <w:szCs w:val="20"/>
                <w:lang w:val="en-IN"/>
              </w:rPr>
            </w:pPr>
            <w:r w:rsidRPr="00E70587">
              <w:rPr>
                <w:rFonts w:ascii="Arial" w:hAnsi="Arial"/>
                <w:color w:val="auto"/>
                <w:sz w:val="20"/>
                <w:szCs w:val="20"/>
                <w:lang w:val="en-IN"/>
              </w:rPr>
              <w:t>Date of valuation</w:t>
            </w:r>
          </w:p>
        </w:tc>
        <w:tc>
          <w:tcPr>
            <w:tcW w:w="1241" w:type="dxa"/>
            <w:vAlign w:val="bottom"/>
          </w:tcPr>
          <w:p w14:paraId="415E6471" w14:textId="77777777" w:rsidR="001C1C23" w:rsidRPr="00E70587" w:rsidRDefault="001C1C23"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Total</w:t>
            </w:r>
          </w:p>
        </w:tc>
        <w:tc>
          <w:tcPr>
            <w:tcW w:w="1189" w:type="dxa"/>
            <w:vAlign w:val="bottom"/>
          </w:tcPr>
          <w:p w14:paraId="5D401A31" w14:textId="77777777" w:rsidR="001C1C23" w:rsidRPr="00E70587" w:rsidRDefault="001C1C23"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Quoted prices in active markets (Level 1)</w:t>
            </w:r>
          </w:p>
        </w:tc>
        <w:tc>
          <w:tcPr>
            <w:tcW w:w="1260" w:type="dxa"/>
            <w:vAlign w:val="bottom"/>
          </w:tcPr>
          <w:p w14:paraId="7F39AD27" w14:textId="77777777" w:rsidR="001C1C23" w:rsidRPr="00E70587" w:rsidRDefault="001C1C23"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Significant observable inputs</w:t>
            </w:r>
          </w:p>
          <w:p w14:paraId="62B4ABD3" w14:textId="77777777" w:rsidR="001C1C23" w:rsidRPr="00E70587" w:rsidRDefault="001C1C23"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(Level 2)</w:t>
            </w:r>
          </w:p>
        </w:tc>
        <w:tc>
          <w:tcPr>
            <w:tcW w:w="1440" w:type="dxa"/>
            <w:vAlign w:val="bottom"/>
          </w:tcPr>
          <w:p w14:paraId="4830A4D4" w14:textId="77777777" w:rsidR="001C1C23" w:rsidRPr="00E70587" w:rsidRDefault="001C1C23"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Significant unobservable inputs</w:t>
            </w:r>
          </w:p>
          <w:p w14:paraId="0D30376E" w14:textId="77777777" w:rsidR="001C1C23" w:rsidRPr="00E70587" w:rsidRDefault="001C1C23"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(Level 3)</w:t>
            </w:r>
          </w:p>
        </w:tc>
      </w:tr>
      <w:tr w:rsidR="0086091A" w:rsidRPr="00E70587" w14:paraId="658949D2" w14:textId="77777777" w:rsidTr="00987D4E">
        <w:trPr>
          <w:tblHeader/>
        </w:trPr>
        <w:tc>
          <w:tcPr>
            <w:tcW w:w="3150" w:type="dxa"/>
            <w:tcMar>
              <w:top w:w="28" w:type="dxa"/>
              <w:bottom w:w="28" w:type="dxa"/>
            </w:tcMar>
            <w:vAlign w:val="bottom"/>
          </w:tcPr>
          <w:p w14:paraId="45646527" w14:textId="77777777" w:rsidR="0086091A" w:rsidRPr="00E70587" w:rsidRDefault="0086091A" w:rsidP="001C1C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620" w:type="dxa"/>
            <w:vAlign w:val="bottom"/>
          </w:tcPr>
          <w:p w14:paraId="37896E3F" w14:textId="77777777" w:rsidR="0086091A" w:rsidRPr="00E70587" w:rsidRDefault="0086091A" w:rsidP="001C1C23">
            <w:pPr>
              <w:pStyle w:val="Tablecolumnheading"/>
              <w:spacing w:line="280" w:lineRule="exact"/>
              <w:rPr>
                <w:rFonts w:ascii="Arial" w:hAnsi="Arial"/>
                <w:color w:val="auto"/>
                <w:sz w:val="20"/>
                <w:szCs w:val="20"/>
                <w:lang w:val="en-IN"/>
              </w:rPr>
            </w:pPr>
          </w:p>
        </w:tc>
        <w:tc>
          <w:tcPr>
            <w:tcW w:w="1241" w:type="dxa"/>
            <w:tcMar>
              <w:top w:w="28" w:type="dxa"/>
              <w:bottom w:w="28" w:type="dxa"/>
            </w:tcMar>
            <w:vAlign w:val="bottom"/>
          </w:tcPr>
          <w:p w14:paraId="2E574200" w14:textId="77777777" w:rsidR="0086091A" w:rsidRPr="00E70587" w:rsidRDefault="0086091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189" w:type="dxa"/>
            <w:tcMar>
              <w:top w:w="28" w:type="dxa"/>
              <w:bottom w:w="28" w:type="dxa"/>
            </w:tcMar>
            <w:vAlign w:val="bottom"/>
          </w:tcPr>
          <w:p w14:paraId="648BCF0B" w14:textId="77777777" w:rsidR="0086091A" w:rsidRPr="00E70587" w:rsidRDefault="0086091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260" w:type="dxa"/>
            <w:tcMar>
              <w:top w:w="28" w:type="dxa"/>
              <w:bottom w:w="28" w:type="dxa"/>
            </w:tcMar>
            <w:vAlign w:val="bottom"/>
          </w:tcPr>
          <w:p w14:paraId="6292B90D" w14:textId="77777777" w:rsidR="0086091A" w:rsidRPr="00E70587" w:rsidRDefault="0086091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440" w:type="dxa"/>
            <w:tcMar>
              <w:top w:w="28" w:type="dxa"/>
              <w:bottom w:w="28" w:type="dxa"/>
            </w:tcMar>
            <w:vAlign w:val="bottom"/>
          </w:tcPr>
          <w:p w14:paraId="31D222AE" w14:textId="77777777" w:rsidR="0086091A" w:rsidRPr="00E70587" w:rsidRDefault="0086091A" w:rsidP="001C1C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r>
      <w:tr w:rsidR="0086091A" w:rsidRPr="00E70587" w14:paraId="2FB64E3B" w14:textId="77777777" w:rsidTr="00987D4E">
        <w:tc>
          <w:tcPr>
            <w:tcW w:w="4770" w:type="dxa"/>
            <w:gridSpan w:val="2"/>
            <w:tcMar>
              <w:top w:w="28" w:type="dxa"/>
              <w:bottom w:w="28" w:type="dxa"/>
            </w:tcMar>
            <w:vAlign w:val="bottom"/>
          </w:tcPr>
          <w:p w14:paraId="5EE1EA9C" w14:textId="77777777" w:rsidR="0086091A" w:rsidRPr="00E70587" w:rsidRDefault="0086091A" w:rsidP="001C1C23">
            <w:pPr>
              <w:pStyle w:val="Heading5"/>
              <w:spacing w:before="0" w:after="0" w:line="280" w:lineRule="exact"/>
              <w:rPr>
                <w:rFonts w:ascii="Arial" w:hAnsi="Arial" w:cs="Arial"/>
                <w:sz w:val="20"/>
                <w:szCs w:val="20"/>
              </w:rPr>
            </w:pPr>
            <w:r w:rsidRPr="00E70587">
              <w:rPr>
                <w:rFonts w:ascii="Arial" w:hAnsi="Arial" w:cs="Arial"/>
                <w:sz w:val="20"/>
                <w:szCs w:val="20"/>
              </w:rPr>
              <w:t>Liabilities measured at fair value:</w:t>
            </w:r>
          </w:p>
        </w:tc>
        <w:tc>
          <w:tcPr>
            <w:tcW w:w="1241" w:type="dxa"/>
            <w:tcMar>
              <w:top w:w="28" w:type="dxa"/>
              <w:bottom w:w="28" w:type="dxa"/>
            </w:tcMar>
            <w:vAlign w:val="bottom"/>
          </w:tcPr>
          <w:p w14:paraId="1BF23D0A"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p>
        </w:tc>
        <w:tc>
          <w:tcPr>
            <w:tcW w:w="1189" w:type="dxa"/>
            <w:tcMar>
              <w:top w:w="28" w:type="dxa"/>
              <w:bottom w:w="28" w:type="dxa"/>
            </w:tcMar>
          </w:tcPr>
          <w:p w14:paraId="371C5E5B"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p>
        </w:tc>
        <w:tc>
          <w:tcPr>
            <w:tcW w:w="1260" w:type="dxa"/>
            <w:tcMar>
              <w:top w:w="28" w:type="dxa"/>
              <w:bottom w:w="28" w:type="dxa"/>
            </w:tcMar>
          </w:tcPr>
          <w:p w14:paraId="565CABF7"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p>
        </w:tc>
        <w:tc>
          <w:tcPr>
            <w:tcW w:w="1440" w:type="dxa"/>
            <w:tcMar>
              <w:top w:w="28" w:type="dxa"/>
              <w:bottom w:w="28" w:type="dxa"/>
            </w:tcMar>
          </w:tcPr>
          <w:p w14:paraId="3C3DF394"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p>
        </w:tc>
      </w:tr>
      <w:tr w:rsidR="0086091A" w:rsidRPr="00E70587" w14:paraId="6945A21E" w14:textId="77777777" w:rsidTr="00987D4E">
        <w:tc>
          <w:tcPr>
            <w:tcW w:w="9900" w:type="dxa"/>
            <w:gridSpan w:val="6"/>
            <w:tcMar>
              <w:top w:w="28" w:type="dxa"/>
              <w:bottom w:w="28" w:type="dxa"/>
            </w:tcMar>
            <w:vAlign w:val="bottom"/>
          </w:tcPr>
          <w:p w14:paraId="7FE402A0" w14:textId="5ADC007C"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lastRenderedPageBreak/>
              <w:t xml:space="preserve">Derivative financial liabilities (Note </w:t>
            </w:r>
            <w:r w:rsidR="00B83F60" w:rsidRPr="00E70587">
              <w:rPr>
                <w:rFonts w:ascii="Arial" w:hAnsi="Arial" w:cs="Arial"/>
                <w:b/>
                <w:sz w:val="20"/>
                <w:lang w:val="en-IN"/>
              </w:rPr>
              <w:t>4</w:t>
            </w:r>
            <w:r w:rsidR="00B83F60">
              <w:rPr>
                <w:rFonts w:ascii="Arial" w:hAnsi="Arial" w:cs="Arial"/>
                <w:b/>
                <w:sz w:val="20"/>
                <w:lang w:val="en-IN"/>
              </w:rPr>
              <w:t>7</w:t>
            </w:r>
            <w:r w:rsidRPr="00E70587">
              <w:rPr>
                <w:rFonts w:ascii="Arial" w:hAnsi="Arial" w:cs="Arial"/>
                <w:b/>
                <w:sz w:val="20"/>
                <w:lang w:val="en-IN"/>
              </w:rPr>
              <w:t>):</w:t>
            </w:r>
          </w:p>
        </w:tc>
      </w:tr>
      <w:tr w:rsidR="0086091A" w:rsidRPr="00E70587" w14:paraId="60B9102F" w14:textId="77777777" w:rsidTr="00987D4E">
        <w:tc>
          <w:tcPr>
            <w:tcW w:w="3150" w:type="dxa"/>
            <w:tcMar>
              <w:top w:w="28" w:type="dxa"/>
              <w:bottom w:w="28" w:type="dxa"/>
            </w:tcMar>
            <w:vAlign w:val="center"/>
          </w:tcPr>
          <w:p w14:paraId="2F694B9D"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Foreign exchange forward contracts – US dollar</w:t>
            </w:r>
          </w:p>
        </w:tc>
        <w:tc>
          <w:tcPr>
            <w:tcW w:w="1620" w:type="dxa"/>
            <w:vAlign w:val="center"/>
          </w:tcPr>
          <w:p w14:paraId="7586A365" w14:textId="450B87C3" w:rsidR="0086091A" w:rsidRPr="00E70587" w:rsidRDefault="0086091A" w:rsidP="001C1C23">
            <w:pPr>
              <w:pStyle w:val="tabletext"/>
              <w:overflowPunct w:val="0"/>
              <w:autoSpaceDE w:val="0"/>
              <w:autoSpaceDN w:val="0"/>
              <w:adjustRightInd w:val="0"/>
              <w:spacing w:line="280" w:lineRule="exact"/>
              <w:jc w:val="center"/>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823B6D" w:rsidRPr="00E70587">
              <w:rPr>
                <w:rFonts w:ascii="Arial" w:hAnsi="Arial" w:cs="Arial"/>
                <w:sz w:val="20"/>
                <w:lang w:val="en-IN"/>
              </w:rPr>
              <w:t>20</w:t>
            </w:r>
            <w:r w:rsidR="00823B6D">
              <w:rPr>
                <w:rFonts w:ascii="Arial" w:hAnsi="Arial" w:cs="Arial"/>
                <w:sz w:val="20"/>
                <w:lang w:val="en-IN"/>
              </w:rPr>
              <w:t>20</w:t>
            </w:r>
          </w:p>
        </w:tc>
        <w:tc>
          <w:tcPr>
            <w:tcW w:w="1241" w:type="dxa"/>
            <w:tcMar>
              <w:top w:w="28" w:type="dxa"/>
              <w:bottom w:w="28" w:type="dxa"/>
            </w:tcMar>
            <w:vAlign w:val="center"/>
          </w:tcPr>
          <w:p w14:paraId="49373FF8"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 457 </w:t>
            </w:r>
          </w:p>
        </w:tc>
        <w:tc>
          <w:tcPr>
            <w:tcW w:w="1189" w:type="dxa"/>
            <w:tcMar>
              <w:top w:w="28" w:type="dxa"/>
              <w:bottom w:w="28" w:type="dxa"/>
            </w:tcMar>
            <w:vAlign w:val="center"/>
          </w:tcPr>
          <w:p w14:paraId="679DE4AF"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260" w:type="dxa"/>
            <w:tcMar>
              <w:top w:w="28" w:type="dxa"/>
              <w:bottom w:w="28" w:type="dxa"/>
            </w:tcMar>
            <w:vAlign w:val="center"/>
          </w:tcPr>
          <w:p w14:paraId="2F5AF461"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457 </w:t>
            </w:r>
          </w:p>
        </w:tc>
        <w:tc>
          <w:tcPr>
            <w:tcW w:w="1440" w:type="dxa"/>
            <w:tcMar>
              <w:top w:w="28" w:type="dxa"/>
              <w:bottom w:w="28" w:type="dxa"/>
            </w:tcMar>
            <w:vAlign w:val="center"/>
          </w:tcPr>
          <w:p w14:paraId="4F5DE8CE"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r>
      <w:tr w:rsidR="0086091A" w:rsidRPr="00E70587" w14:paraId="06D19C52" w14:textId="77777777" w:rsidTr="00987D4E">
        <w:tc>
          <w:tcPr>
            <w:tcW w:w="8460" w:type="dxa"/>
            <w:gridSpan w:val="5"/>
            <w:tcMar>
              <w:top w:w="28" w:type="dxa"/>
              <w:bottom w:w="28" w:type="dxa"/>
            </w:tcMar>
            <w:vAlign w:val="bottom"/>
          </w:tcPr>
          <w:p w14:paraId="36AEC3C0" w14:textId="77777777" w:rsidR="0086091A" w:rsidRPr="00E70587" w:rsidRDefault="0086091A" w:rsidP="001C1C23">
            <w:pPr>
              <w:pStyle w:val="Heading5"/>
              <w:spacing w:before="0" w:after="0" w:line="280" w:lineRule="exact"/>
              <w:rPr>
                <w:rFonts w:ascii="Arial" w:hAnsi="Arial" w:cs="Arial"/>
                <w:sz w:val="20"/>
                <w:szCs w:val="20"/>
              </w:rPr>
            </w:pPr>
          </w:p>
          <w:p w14:paraId="69986D12" w14:textId="66642133" w:rsidR="0086091A" w:rsidRPr="00E70587" w:rsidRDefault="0086091A" w:rsidP="001C1C23">
            <w:pPr>
              <w:pStyle w:val="Heading5"/>
              <w:spacing w:before="0" w:after="0" w:line="280" w:lineRule="exact"/>
              <w:rPr>
                <w:rFonts w:ascii="Arial" w:hAnsi="Arial" w:cs="Arial"/>
                <w:sz w:val="20"/>
                <w:szCs w:val="20"/>
              </w:rPr>
            </w:pPr>
            <w:r w:rsidRPr="00E70587">
              <w:rPr>
                <w:rFonts w:ascii="Arial" w:hAnsi="Arial" w:cs="Arial"/>
                <w:sz w:val="20"/>
                <w:szCs w:val="20"/>
              </w:rPr>
              <w:t xml:space="preserve">Liabilities for which fair values are disclosed (Note </w:t>
            </w:r>
            <w:r w:rsidR="00B83F60" w:rsidRPr="00E70587">
              <w:rPr>
                <w:rFonts w:ascii="Arial" w:hAnsi="Arial" w:cs="Arial"/>
                <w:sz w:val="20"/>
                <w:szCs w:val="20"/>
              </w:rPr>
              <w:t>4</w:t>
            </w:r>
            <w:r w:rsidR="00B83F60">
              <w:rPr>
                <w:rFonts w:ascii="Arial" w:hAnsi="Arial" w:cs="Arial"/>
                <w:sz w:val="20"/>
                <w:szCs w:val="20"/>
              </w:rPr>
              <w:t>7</w:t>
            </w:r>
            <w:r w:rsidRPr="00E70587">
              <w:rPr>
                <w:rFonts w:ascii="Arial" w:hAnsi="Arial" w:cs="Arial"/>
                <w:sz w:val="20"/>
                <w:szCs w:val="20"/>
              </w:rPr>
              <w:t>):</w:t>
            </w:r>
          </w:p>
        </w:tc>
        <w:tc>
          <w:tcPr>
            <w:tcW w:w="1440" w:type="dxa"/>
            <w:tcMar>
              <w:top w:w="28" w:type="dxa"/>
              <w:bottom w:w="28" w:type="dxa"/>
            </w:tcMar>
            <w:vAlign w:val="bottom"/>
          </w:tcPr>
          <w:p w14:paraId="179D40F4"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p>
        </w:tc>
      </w:tr>
      <w:tr w:rsidR="0086091A" w:rsidRPr="00E70587" w14:paraId="6865C110" w14:textId="77777777" w:rsidTr="00987D4E">
        <w:tc>
          <w:tcPr>
            <w:tcW w:w="4770" w:type="dxa"/>
            <w:gridSpan w:val="2"/>
            <w:tcMar>
              <w:top w:w="28" w:type="dxa"/>
              <w:bottom w:w="28" w:type="dxa"/>
            </w:tcMar>
            <w:vAlign w:val="bottom"/>
          </w:tcPr>
          <w:p w14:paraId="3266BACD" w14:textId="77777777" w:rsidR="0086091A" w:rsidRPr="00E70587" w:rsidRDefault="00BC09B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B</w:t>
            </w:r>
            <w:r w:rsidR="0086091A" w:rsidRPr="00E70587">
              <w:rPr>
                <w:rFonts w:ascii="Arial" w:hAnsi="Arial" w:cs="Arial"/>
                <w:sz w:val="20"/>
                <w:lang w:val="en-IN"/>
              </w:rPr>
              <w:t>orrowings</w:t>
            </w:r>
            <w:r w:rsidR="0086091A" w:rsidRPr="00E70587">
              <w:rPr>
                <w:rFonts w:ascii="Arial" w:hAnsi="Arial" w:cs="Arial"/>
                <w:b/>
                <w:sz w:val="20"/>
                <w:lang w:val="en-IN"/>
              </w:rPr>
              <w:t>:</w:t>
            </w:r>
          </w:p>
        </w:tc>
        <w:tc>
          <w:tcPr>
            <w:tcW w:w="1241" w:type="dxa"/>
            <w:tcMar>
              <w:top w:w="28" w:type="dxa"/>
              <w:bottom w:w="28" w:type="dxa"/>
            </w:tcMar>
            <w:vAlign w:val="bottom"/>
          </w:tcPr>
          <w:p w14:paraId="2A19091D"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p>
        </w:tc>
        <w:tc>
          <w:tcPr>
            <w:tcW w:w="1189" w:type="dxa"/>
            <w:tcMar>
              <w:top w:w="28" w:type="dxa"/>
              <w:bottom w:w="28" w:type="dxa"/>
            </w:tcMar>
          </w:tcPr>
          <w:p w14:paraId="1D7F71AF"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p>
        </w:tc>
        <w:tc>
          <w:tcPr>
            <w:tcW w:w="1260" w:type="dxa"/>
            <w:tcMar>
              <w:top w:w="28" w:type="dxa"/>
              <w:bottom w:w="28" w:type="dxa"/>
            </w:tcMar>
          </w:tcPr>
          <w:p w14:paraId="3D38F960"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p>
        </w:tc>
        <w:tc>
          <w:tcPr>
            <w:tcW w:w="1440" w:type="dxa"/>
            <w:tcMar>
              <w:top w:w="28" w:type="dxa"/>
              <w:bottom w:w="28" w:type="dxa"/>
            </w:tcMar>
            <w:vAlign w:val="bottom"/>
          </w:tcPr>
          <w:p w14:paraId="4DC3B78F"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p>
        </w:tc>
      </w:tr>
      <w:tr w:rsidR="0086091A" w:rsidRPr="00E70587" w14:paraId="463DAB65" w14:textId="77777777" w:rsidTr="00987D4E">
        <w:tc>
          <w:tcPr>
            <w:tcW w:w="3150" w:type="dxa"/>
            <w:tcMar>
              <w:top w:w="28" w:type="dxa"/>
              <w:bottom w:w="28" w:type="dxa"/>
            </w:tcMar>
            <w:vAlign w:val="bottom"/>
          </w:tcPr>
          <w:p w14:paraId="431E521F"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Floating rate borrowings (India)</w:t>
            </w:r>
          </w:p>
        </w:tc>
        <w:tc>
          <w:tcPr>
            <w:tcW w:w="1620" w:type="dxa"/>
            <w:vAlign w:val="bottom"/>
          </w:tcPr>
          <w:p w14:paraId="7D415862" w14:textId="2A5A87CE"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823B6D" w:rsidRPr="00E70587">
              <w:rPr>
                <w:rFonts w:ascii="Arial" w:hAnsi="Arial" w:cs="Arial"/>
                <w:sz w:val="20"/>
                <w:lang w:val="en-IN"/>
              </w:rPr>
              <w:t>20</w:t>
            </w:r>
            <w:r w:rsidR="00823B6D">
              <w:rPr>
                <w:rFonts w:ascii="Arial" w:hAnsi="Arial" w:cs="Arial"/>
                <w:sz w:val="20"/>
                <w:lang w:val="en-IN"/>
              </w:rPr>
              <w:t>20</w:t>
            </w:r>
          </w:p>
        </w:tc>
        <w:tc>
          <w:tcPr>
            <w:tcW w:w="1241" w:type="dxa"/>
            <w:tcMar>
              <w:top w:w="28" w:type="dxa"/>
              <w:bottom w:w="28" w:type="dxa"/>
            </w:tcMar>
            <w:vAlign w:val="center"/>
          </w:tcPr>
          <w:p w14:paraId="4EE8A1BC"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18,661 </w:t>
            </w:r>
          </w:p>
        </w:tc>
        <w:tc>
          <w:tcPr>
            <w:tcW w:w="1189" w:type="dxa"/>
            <w:tcMar>
              <w:top w:w="28" w:type="dxa"/>
              <w:bottom w:w="28" w:type="dxa"/>
            </w:tcMar>
            <w:vAlign w:val="center"/>
          </w:tcPr>
          <w:p w14:paraId="4D918622"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260" w:type="dxa"/>
            <w:tcMar>
              <w:top w:w="28" w:type="dxa"/>
              <w:bottom w:w="28" w:type="dxa"/>
            </w:tcMar>
            <w:vAlign w:val="center"/>
          </w:tcPr>
          <w:p w14:paraId="62D3A236"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18,661 </w:t>
            </w:r>
          </w:p>
        </w:tc>
        <w:tc>
          <w:tcPr>
            <w:tcW w:w="1440" w:type="dxa"/>
            <w:tcMar>
              <w:top w:w="28" w:type="dxa"/>
              <w:bottom w:w="28" w:type="dxa"/>
            </w:tcMar>
            <w:vAlign w:val="center"/>
          </w:tcPr>
          <w:p w14:paraId="6C02E5FA"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r>
      <w:tr w:rsidR="0086091A" w:rsidRPr="00E70587" w14:paraId="4E9A3570" w14:textId="77777777" w:rsidTr="00987D4E">
        <w:tc>
          <w:tcPr>
            <w:tcW w:w="3150" w:type="dxa"/>
            <w:tcMar>
              <w:top w:w="28" w:type="dxa"/>
              <w:bottom w:w="28" w:type="dxa"/>
            </w:tcMar>
            <w:vAlign w:val="bottom"/>
          </w:tcPr>
          <w:p w14:paraId="46E51A08"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Floating rate borrowings (US)</w:t>
            </w:r>
          </w:p>
        </w:tc>
        <w:tc>
          <w:tcPr>
            <w:tcW w:w="1620" w:type="dxa"/>
            <w:vAlign w:val="bottom"/>
          </w:tcPr>
          <w:p w14:paraId="5E2484AA" w14:textId="6E18C15A"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823B6D" w:rsidRPr="00E70587">
              <w:rPr>
                <w:rFonts w:ascii="Arial" w:hAnsi="Arial" w:cs="Arial"/>
                <w:sz w:val="20"/>
                <w:lang w:val="en-IN"/>
              </w:rPr>
              <w:t>20</w:t>
            </w:r>
            <w:r w:rsidR="00823B6D">
              <w:rPr>
                <w:rFonts w:ascii="Arial" w:hAnsi="Arial" w:cs="Arial"/>
                <w:sz w:val="20"/>
                <w:lang w:val="en-IN"/>
              </w:rPr>
              <w:t>20</w:t>
            </w:r>
          </w:p>
        </w:tc>
        <w:tc>
          <w:tcPr>
            <w:tcW w:w="1241" w:type="dxa"/>
            <w:tcMar>
              <w:top w:w="28" w:type="dxa"/>
              <w:bottom w:w="28" w:type="dxa"/>
            </w:tcMar>
            <w:vAlign w:val="center"/>
          </w:tcPr>
          <w:p w14:paraId="3A024CD8"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 4,021 </w:t>
            </w:r>
          </w:p>
        </w:tc>
        <w:tc>
          <w:tcPr>
            <w:tcW w:w="1189" w:type="dxa"/>
            <w:tcMar>
              <w:top w:w="28" w:type="dxa"/>
              <w:bottom w:w="28" w:type="dxa"/>
            </w:tcMar>
            <w:vAlign w:val="center"/>
          </w:tcPr>
          <w:p w14:paraId="054AC134"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260" w:type="dxa"/>
            <w:tcMar>
              <w:top w:w="28" w:type="dxa"/>
              <w:bottom w:w="28" w:type="dxa"/>
            </w:tcMar>
            <w:vAlign w:val="center"/>
          </w:tcPr>
          <w:p w14:paraId="1FE2AD5A"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4,021 </w:t>
            </w:r>
          </w:p>
        </w:tc>
        <w:tc>
          <w:tcPr>
            <w:tcW w:w="1440" w:type="dxa"/>
            <w:tcMar>
              <w:top w:w="28" w:type="dxa"/>
              <w:bottom w:w="28" w:type="dxa"/>
            </w:tcMar>
            <w:vAlign w:val="center"/>
          </w:tcPr>
          <w:p w14:paraId="562117C8"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r>
      <w:tr w:rsidR="0086091A" w:rsidRPr="00E70587" w14:paraId="12365415" w14:textId="77777777" w:rsidTr="00987D4E">
        <w:tc>
          <w:tcPr>
            <w:tcW w:w="3150" w:type="dxa"/>
            <w:tcMar>
              <w:top w:w="28" w:type="dxa"/>
              <w:bottom w:w="28" w:type="dxa"/>
            </w:tcMar>
            <w:vAlign w:val="bottom"/>
          </w:tcPr>
          <w:p w14:paraId="0D00E51A"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Convertible preference shares</w:t>
            </w:r>
          </w:p>
        </w:tc>
        <w:tc>
          <w:tcPr>
            <w:tcW w:w="1620" w:type="dxa"/>
            <w:vAlign w:val="bottom"/>
          </w:tcPr>
          <w:p w14:paraId="7661E0FF" w14:textId="46BE798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823B6D" w:rsidRPr="00E70587">
              <w:rPr>
                <w:rFonts w:ascii="Arial" w:hAnsi="Arial" w:cs="Arial"/>
                <w:sz w:val="20"/>
                <w:lang w:val="en-IN"/>
              </w:rPr>
              <w:t>20</w:t>
            </w:r>
            <w:r w:rsidR="00823B6D">
              <w:rPr>
                <w:rFonts w:ascii="Arial" w:hAnsi="Arial" w:cs="Arial"/>
                <w:sz w:val="20"/>
                <w:lang w:val="en-IN"/>
              </w:rPr>
              <w:t>20</w:t>
            </w:r>
          </w:p>
        </w:tc>
        <w:tc>
          <w:tcPr>
            <w:tcW w:w="1241" w:type="dxa"/>
            <w:tcMar>
              <w:top w:w="28" w:type="dxa"/>
              <w:bottom w:w="28" w:type="dxa"/>
            </w:tcMar>
            <w:vAlign w:val="center"/>
          </w:tcPr>
          <w:p w14:paraId="24018C93"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 4,718 </w:t>
            </w:r>
          </w:p>
        </w:tc>
        <w:tc>
          <w:tcPr>
            <w:tcW w:w="1189" w:type="dxa"/>
            <w:tcMar>
              <w:top w:w="28" w:type="dxa"/>
              <w:bottom w:w="28" w:type="dxa"/>
            </w:tcMar>
            <w:vAlign w:val="center"/>
          </w:tcPr>
          <w:p w14:paraId="6A7AB9A4"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260" w:type="dxa"/>
            <w:tcMar>
              <w:top w:w="28" w:type="dxa"/>
              <w:bottom w:w="28" w:type="dxa"/>
            </w:tcMar>
            <w:vAlign w:val="center"/>
          </w:tcPr>
          <w:p w14:paraId="0130CB68"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4,718 </w:t>
            </w:r>
          </w:p>
        </w:tc>
        <w:tc>
          <w:tcPr>
            <w:tcW w:w="1440" w:type="dxa"/>
            <w:tcMar>
              <w:top w:w="28" w:type="dxa"/>
              <w:bottom w:w="28" w:type="dxa"/>
            </w:tcMar>
            <w:vAlign w:val="center"/>
          </w:tcPr>
          <w:p w14:paraId="47F80DCD"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r>
      <w:tr w:rsidR="0086091A" w:rsidRPr="00E70587" w14:paraId="6F32EA9A" w14:textId="77777777" w:rsidTr="00987D4E">
        <w:tc>
          <w:tcPr>
            <w:tcW w:w="3150" w:type="dxa"/>
            <w:tcMar>
              <w:top w:w="28" w:type="dxa"/>
              <w:bottom w:w="28" w:type="dxa"/>
            </w:tcMar>
            <w:vAlign w:val="bottom"/>
          </w:tcPr>
          <w:p w14:paraId="49446A11" w14:textId="77777777"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Fixed rate borrowing</w:t>
            </w:r>
          </w:p>
        </w:tc>
        <w:tc>
          <w:tcPr>
            <w:tcW w:w="1620" w:type="dxa"/>
            <w:vAlign w:val="bottom"/>
          </w:tcPr>
          <w:p w14:paraId="60A5F01B" w14:textId="1449162C"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823B6D" w:rsidRPr="00E70587">
              <w:rPr>
                <w:rFonts w:ascii="Arial" w:hAnsi="Arial" w:cs="Arial"/>
                <w:sz w:val="20"/>
                <w:lang w:val="en-IN"/>
              </w:rPr>
              <w:t>20</w:t>
            </w:r>
            <w:r w:rsidR="00823B6D">
              <w:rPr>
                <w:rFonts w:ascii="Arial" w:hAnsi="Arial" w:cs="Arial"/>
                <w:sz w:val="20"/>
                <w:lang w:val="en-IN"/>
              </w:rPr>
              <w:t>20</w:t>
            </w:r>
          </w:p>
        </w:tc>
        <w:tc>
          <w:tcPr>
            <w:tcW w:w="1241" w:type="dxa"/>
            <w:tcMar>
              <w:top w:w="28" w:type="dxa"/>
              <w:bottom w:w="28" w:type="dxa"/>
            </w:tcMar>
            <w:vAlign w:val="center"/>
          </w:tcPr>
          <w:p w14:paraId="58F92528"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16,099 </w:t>
            </w:r>
          </w:p>
        </w:tc>
        <w:tc>
          <w:tcPr>
            <w:tcW w:w="1189" w:type="dxa"/>
            <w:tcMar>
              <w:top w:w="28" w:type="dxa"/>
              <w:bottom w:w="28" w:type="dxa"/>
            </w:tcMar>
            <w:vAlign w:val="center"/>
          </w:tcPr>
          <w:p w14:paraId="69135834"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260" w:type="dxa"/>
            <w:tcMar>
              <w:top w:w="28" w:type="dxa"/>
              <w:bottom w:w="28" w:type="dxa"/>
            </w:tcMar>
            <w:vAlign w:val="center"/>
          </w:tcPr>
          <w:p w14:paraId="262BB994"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16,099 </w:t>
            </w:r>
          </w:p>
        </w:tc>
        <w:tc>
          <w:tcPr>
            <w:tcW w:w="1440" w:type="dxa"/>
            <w:tcMar>
              <w:top w:w="28" w:type="dxa"/>
              <w:bottom w:w="28" w:type="dxa"/>
            </w:tcMar>
            <w:vAlign w:val="center"/>
          </w:tcPr>
          <w:p w14:paraId="767B31D0"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r>
      <w:tr w:rsidR="0086091A" w:rsidRPr="00E70587" w14:paraId="3C269420" w14:textId="77777777" w:rsidTr="00987D4E">
        <w:tc>
          <w:tcPr>
            <w:tcW w:w="3150" w:type="dxa"/>
            <w:tcMar>
              <w:top w:w="28" w:type="dxa"/>
              <w:bottom w:w="28" w:type="dxa"/>
            </w:tcMar>
            <w:vAlign w:val="bottom"/>
          </w:tcPr>
          <w:p w14:paraId="0F5F0179" w14:textId="77777777" w:rsidR="0086091A" w:rsidRPr="00E70587" w:rsidRDefault="0086091A" w:rsidP="001C1C23">
            <w:pPr>
              <w:pStyle w:val="Notesbodytext"/>
              <w:spacing w:after="0" w:line="280" w:lineRule="exact"/>
              <w:rPr>
                <w:rFonts w:ascii="Arial" w:hAnsi="Arial"/>
                <w:color w:val="auto"/>
                <w:sz w:val="20"/>
              </w:rPr>
            </w:pPr>
            <w:r w:rsidRPr="00E70587">
              <w:rPr>
                <w:rFonts w:ascii="Arial" w:hAnsi="Arial"/>
                <w:color w:val="auto"/>
                <w:sz w:val="20"/>
              </w:rPr>
              <w:t>Financial guarantees</w:t>
            </w:r>
          </w:p>
        </w:tc>
        <w:tc>
          <w:tcPr>
            <w:tcW w:w="1620" w:type="dxa"/>
            <w:vAlign w:val="bottom"/>
          </w:tcPr>
          <w:p w14:paraId="4AC8253F" w14:textId="52E45F90" w:rsidR="0086091A" w:rsidRPr="00E70587" w:rsidRDefault="0086091A" w:rsidP="001C1C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31 </w:t>
            </w:r>
            <w:r w:rsidR="008B730E" w:rsidRPr="00E70587">
              <w:rPr>
                <w:rFonts w:ascii="Arial" w:hAnsi="Arial" w:cs="Arial"/>
                <w:sz w:val="20"/>
                <w:lang w:val="en-IN"/>
              </w:rPr>
              <w:t xml:space="preserve">March </w:t>
            </w:r>
            <w:r w:rsidR="00823B6D" w:rsidRPr="00E70587">
              <w:rPr>
                <w:rFonts w:ascii="Arial" w:hAnsi="Arial" w:cs="Arial"/>
                <w:sz w:val="20"/>
                <w:lang w:val="en-IN"/>
              </w:rPr>
              <w:t>20</w:t>
            </w:r>
            <w:r w:rsidR="00823B6D">
              <w:rPr>
                <w:rFonts w:ascii="Arial" w:hAnsi="Arial" w:cs="Arial"/>
                <w:sz w:val="20"/>
                <w:lang w:val="en-IN"/>
              </w:rPr>
              <w:t>20</w:t>
            </w:r>
          </w:p>
        </w:tc>
        <w:tc>
          <w:tcPr>
            <w:tcW w:w="1241" w:type="dxa"/>
            <w:tcMar>
              <w:top w:w="28" w:type="dxa"/>
              <w:bottom w:w="28" w:type="dxa"/>
            </w:tcMar>
            <w:vAlign w:val="center"/>
          </w:tcPr>
          <w:p w14:paraId="7B49B4C1"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 81 </w:t>
            </w:r>
          </w:p>
        </w:tc>
        <w:tc>
          <w:tcPr>
            <w:tcW w:w="1189" w:type="dxa"/>
            <w:tcMar>
              <w:top w:w="28" w:type="dxa"/>
              <w:bottom w:w="28" w:type="dxa"/>
            </w:tcMar>
            <w:vAlign w:val="center"/>
          </w:tcPr>
          <w:p w14:paraId="55A84C45"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260" w:type="dxa"/>
            <w:tcMar>
              <w:top w:w="28" w:type="dxa"/>
              <w:bottom w:w="28" w:type="dxa"/>
            </w:tcMar>
            <w:vAlign w:val="center"/>
          </w:tcPr>
          <w:p w14:paraId="3482CC28"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w:t>
            </w:r>
          </w:p>
        </w:tc>
        <w:tc>
          <w:tcPr>
            <w:tcW w:w="1440" w:type="dxa"/>
            <w:tcMar>
              <w:top w:w="28" w:type="dxa"/>
              <w:bottom w:w="28" w:type="dxa"/>
            </w:tcMar>
            <w:vAlign w:val="center"/>
          </w:tcPr>
          <w:p w14:paraId="18DEF340" w14:textId="77777777" w:rsidR="0086091A" w:rsidRPr="00E70587" w:rsidRDefault="0086091A" w:rsidP="001C1C23">
            <w:pPr>
              <w:spacing w:line="280" w:lineRule="exact"/>
              <w:jc w:val="right"/>
              <w:rPr>
                <w:rFonts w:ascii="Arial" w:hAnsi="Arial" w:cs="Arial"/>
                <w:sz w:val="20"/>
              </w:rPr>
            </w:pPr>
            <w:r w:rsidRPr="00E70587">
              <w:rPr>
                <w:rFonts w:ascii="Arial" w:hAnsi="Arial" w:cs="Arial"/>
                <w:sz w:val="20"/>
              </w:rPr>
              <w:t xml:space="preserve">81 </w:t>
            </w:r>
          </w:p>
        </w:tc>
      </w:tr>
    </w:tbl>
    <w:p w14:paraId="2F0D5A1B" w14:textId="77777777" w:rsidR="0055751D" w:rsidRPr="00E70587" w:rsidRDefault="0055751D" w:rsidP="009901E1">
      <w:pPr>
        <w:spacing w:line="280" w:lineRule="exact"/>
        <w:rPr>
          <w:rFonts w:ascii="Arial" w:hAnsi="Arial" w:cs="Arial"/>
          <w:b/>
          <w:sz w:val="20"/>
        </w:rPr>
      </w:pPr>
    </w:p>
    <w:p w14:paraId="2E46866A" w14:textId="1E32FF64" w:rsidR="00166342" w:rsidRPr="00E70587" w:rsidRDefault="00166342" w:rsidP="009901E1">
      <w:pPr>
        <w:spacing w:line="280" w:lineRule="exact"/>
        <w:rPr>
          <w:rFonts w:ascii="Arial" w:hAnsi="Arial" w:cs="Arial"/>
          <w:b/>
          <w:sz w:val="20"/>
        </w:rPr>
      </w:pPr>
      <w:r w:rsidRPr="00E70587">
        <w:rPr>
          <w:rFonts w:ascii="Arial" w:hAnsi="Arial" w:cs="Arial"/>
          <w:sz w:val="20"/>
        </w:rPr>
        <w:t xml:space="preserve">There have been no transfers between Level 1 and Level 2 during year ended 31 </w:t>
      </w:r>
      <w:r w:rsidR="008B730E" w:rsidRPr="00E70587">
        <w:rPr>
          <w:rFonts w:ascii="Arial" w:hAnsi="Arial" w:cs="Arial"/>
          <w:sz w:val="20"/>
        </w:rPr>
        <w:t xml:space="preserve">March </w:t>
      </w:r>
      <w:r w:rsidR="00823B6D" w:rsidRPr="00E70587">
        <w:rPr>
          <w:rFonts w:ascii="Arial" w:hAnsi="Arial" w:cs="Arial"/>
          <w:sz w:val="20"/>
        </w:rPr>
        <w:t>20</w:t>
      </w:r>
      <w:r w:rsidR="00823B6D">
        <w:rPr>
          <w:rFonts w:ascii="Arial" w:hAnsi="Arial" w:cs="Arial"/>
          <w:sz w:val="20"/>
        </w:rPr>
        <w:t>20</w:t>
      </w:r>
      <w:r w:rsidRPr="00E70587">
        <w:rPr>
          <w:rFonts w:ascii="Arial" w:hAnsi="Arial" w:cs="Arial"/>
          <w:sz w:val="20"/>
        </w:rPr>
        <w:t>.</w:t>
      </w:r>
    </w:p>
    <w:p w14:paraId="629F6AB8" w14:textId="6BA59114" w:rsidR="00E03D5A" w:rsidRDefault="00E03D5A" w:rsidP="00E03D5A">
      <w:pPr>
        <w:pStyle w:val="Notesbulletpoint"/>
        <w:numPr>
          <w:ilvl w:val="0"/>
          <w:numId w:val="0"/>
        </w:numPr>
        <w:spacing w:after="0" w:line="280" w:lineRule="exact"/>
        <w:jc w:val="both"/>
        <w:rPr>
          <w:rFonts w:ascii="Arial" w:hAnsi="Arial"/>
          <w:color w:val="auto"/>
          <w:sz w:val="20"/>
        </w:rPr>
      </w:pPr>
    </w:p>
    <w:p w14:paraId="74877C8C" w14:textId="77777777" w:rsidR="00EC45D6" w:rsidRPr="00EC45D6" w:rsidRDefault="00EC45D6" w:rsidP="00EC45D6">
      <w:pPr>
        <w:pStyle w:val="Notesbulletpoint"/>
        <w:numPr>
          <w:ilvl w:val="0"/>
          <w:numId w:val="0"/>
        </w:numPr>
        <w:shd w:val="clear" w:color="auto" w:fill="C1C1C1" w:themeFill="background1" w:themeFillTint="66"/>
        <w:spacing w:line="280" w:lineRule="exact"/>
        <w:ind w:left="360" w:hanging="360"/>
        <w:jc w:val="both"/>
        <w:rPr>
          <w:rFonts w:ascii="Arial" w:hAnsi="Arial"/>
          <w:b/>
          <w:bCs/>
          <w:color w:val="auto"/>
          <w:sz w:val="20"/>
        </w:rPr>
      </w:pPr>
      <w:r w:rsidRPr="00EC45D6">
        <w:rPr>
          <w:rFonts w:ascii="Arial" w:hAnsi="Arial"/>
          <w:b/>
          <w:bCs/>
          <w:color w:val="auto"/>
          <w:sz w:val="20"/>
        </w:rPr>
        <w:t xml:space="preserve">Author’s Note </w:t>
      </w:r>
    </w:p>
    <w:p w14:paraId="4187FF82" w14:textId="0A658AB8" w:rsidR="00EC45D6" w:rsidRPr="00EC45D6" w:rsidRDefault="00EC45D6" w:rsidP="00EC45D6">
      <w:pPr>
        <w:pStyle w:val="Notesbulletpoint"/>
        <w:numPr>
          <w:ilvl w:val="0"/>
          <w:numId w:val="0"/>
        </w:numPr>
        <w:shd w:val="clear" w:color="auto" w:fill="C1C1C1" w:themeFill="background1" w:themeFillTint="66"/>
        <w:spacing w:line="280" w:lineRule="exact"/>
        <w:ind w:left="360" w:hanging="360"/>
        <w:jc w:val="both"/>
        <w:rPr>
          <w:rFonts w:ascii="Arial" w:hAnsi="Arial"/>
          <w:color w:val="auto"/>
          <w:sz w:val="20"/>
        </w:rPr>
      </w:pPr>
      <w:r w:rsidRPr="00EC45D6">
        <w:rPr>
          <w:rFonts w:ascii="Arial" w:hAnsi="Arial"/>
          <w:color w:val="auto"/>
          <w:sz w:val="20"/>
        </w:rPr>
        <w:t xml:space="preserve"> </w:t>
      </w:r>
    </w:p>
    <w:p w14:paraId="1961F752" w14:textId="77777777" w:rsidR="00EC45D6" w:rsidRPr="00EC45D6" w:rsidRDefault="00EC45D6" w:rsidP="00EC45D6">
      <w:pPr>
        <w:pStyle w:val="Notesbulletpoint"/>
        <w:numPr>
          <w:ilvl w:val="0"/>
          <w:numId w:val="0"/>
        </w:numPr>
        <w:shd w:val="clear" w:color="auto" w:fill="C1C1C1" w:themeFill="background1" w:themeFillTint="66"/>
        <w:spacing w:line="280" w:lineRule="exact"/>
        <w:ind w:left="360" w:hanging="360"/>
        <w:jc w:val="both"/>
        <w:rPr>
          <w:rFonts w:ascii="Arial" w:hAnsi="Arial"/>
          <w:color w:val="auto"/>
          <w:sz w:val="20"/>
        </w:rPr>
      </w:pPr>
      <w:r w:rsidRPr="00EC45D6">
        <w:rPr>
          <w:rFonts w:ascii="Arial" w:hAnsi="Arial"/>
          <w:color w:val="auto"/>
          <w:sz w:val="20"/>
        </w:rPr>
        <w:t xml:space="preserve">Ind AS 113.94 requires appropriate determination of classes of assets and liabilities on the basis of: </w:t>
      </w:r>
    </w:p>
    <w:p w14:paraId="5E59B724" w14:textId="77777777" w:rsidR="00EC45D6" w:rsidRPr="00EC45D6" w:rsidRDefault="00EC45D6" w:rsidP="00EC45D6">
      <w:pPr>
        <w:pStyle w:val="Notesbulletpoint"/>
        <w:numPr>
          <w:ilvl w:val="0"/>
          <w:numId w:val="0"/>
        </w:numPr>
        <w:shd w:val="clear" w:color="auto" w:fill="C1C1C1" w:themeFill="background1" w:themeFillTint="66"/>
        <w:spacing w:line="280" w:lineRule="exact"/>
        <w:ind w:left="360" w:hanging="360"/>
        <w:jc w:val="both"/>
        <w:rPr>
          <w:rFonts w:ascii="Arial" w:hAnsi="Arial"/>
          <w:color w:val="auto"/>
          <w:sz w:val="20"/>
        </w:rPr>
      </w:pPr>
      <w:r w:rsidRPr="00EC45D6">
        <w:rPr>
          <w:rFonts w:ascii="Arial" w:hAnsi="Arial"/>
          <w:color w:val="auto"/>
          <w:sz w:val="20"/>
        </w:rPr>
        <w:t xml:space="preserve">• The nature, characteristics and risks of the asset or liability; and </w:t>
      </w:r>
    </w:p>
    <w:p w14:paraId="32D3BC51" w14:textId="77777777" w:rsidR="00EC45D6" w:rsidRPr="00EC45D6" w:rsidRDefault="00EC45D6" w:rsidP="00EC45D6">
      <w:pPr>
        <w:pStyle w:val="Notesbulletpoint"/>
        <w:numPr>
          <w:ilvl w:val="0"/>
          <w:numId w:val="0"/>
        </w:numPr>
        <w:shd w:val="clear" w:color="auto" w:fill="C1C1C1" w:themeFill="background1" w:themeFillTint="66"/>
        <w:spacing w:line="280" w:lineRule="exact"/>
        <w:ind w:left="360" w:hanging="360"/>
        <w:jc w:val="both"/>
        <w:rPr>
          <w:rFonts w:ascii="Arial" w:hAnsi="Arial"/>
          <w:color w:val="auto"/>
          <w:sz w:val="20"/>
        </w:rPr>
      </w:pPr>
      <w:r w:rsidRPr="00EC45D6">
        <w:rPr>
          <w:rFonts w:ascii="Arial" w:hAnsi="Arial"/>
          <w:color w:val="auto"/>
          <w:sz w:val="20"/>
        </w:rPr>
        <w:t xml:space="preserve">• The level of the fair value hierarchy within which the fair value measurement is categorised </w:t>
      </w:r>
    </w:p>
    <w:p w14:paraId="7FEC39E7" w14:textId="79009FA2" w:rsidR="00EC45D6" w:rsidRDefault="00EC45D6" w:rsidP="00EC45D6">
      <w:pPr>
        <w:pStyle w:val="Notesbulletpoint"/>
        <w:numPr>
          <w:ilvl w:val="0"/>
          <w:numId w:val="0"/>
        </w:numPr>
        <w:shd w:val="clear" w:color="auto" w:fill="C1C1C1" w:themeFill="background1" w:themeFillTint="66"/>
        <w:spacing w:line="280" w:lineRule="exact"/>
        <w:jc w:val="both"/>
        <w:rPr>
          <w:rFonts w:ascii="Arial" w:hAnsi="Arial"/>
          <w:color w:val="auto"/>
          <w:sz w:val="20"/>
        </w:rPr>
      </w:pPr>
      <w:r w:rsidRPr="00EC45D6">
        <w:rPr>
          <w:rFonts w:ascii="Arial" w:hAnsi="Arial"/>
          <w:color w:val="auto"/>
          <w:sz w:val="20"/>
        </w:rPr>
        <w:t xml:space="preserve">The Group has applied the factors and disclosed the quantitative information under Ind AS113 based on the classes of assets and liabilities determined as per Ind AS113.94. As judgement is required to determine the classes of properties, other criteria and aggregation levels for classes of assets may also be appropriate, provided they are based on the risk profile of the assets (e.g., the risk profile of properties in an emerging market may differ from that of properties in a mature market). </w:t>
      </w:r>
    </w:p>
    <w:p w14:paraId="27F8FC92" w14:textId="77777777" w:rsidR="00EC45D6" w:rsidRPr="00EC45D6" w:rsidRDefault="00EC45D6" w:rsidP="00EC45D6">
      <w:pPr>
        <w:pStyle w:val="Notesbulletpoint"/>
        <w:numPr>
          <w:ilvl w:val="0"/>
          <w:numId w:val="0"/>
        </w:numPr>
        <w:shd w:val="clear" w:color="auto" w:fill="C1C1C1" w:themeFill="background1" w:themeFillTint="66"/>
        <w:spacing w:line="280" w:lineRule="exact"/>
        <w:jc w:val="both"/>
        <w:rPr>
          <w:rFonts w:ascii="Arial" w:hAnsi="Arial"/>
          <w:color w:val="auto"/>
          <w:sz w:val="20"/>
        </w:rPr>
      </w:pPr>
    </w:p>
    <w:p w14:paraId="247641E4" w14:textId="15FE241D" w:rsidR="00EC45D6" w:rsidRDefault="00EC45D6" w:rsidP="00EC45D6">
      <w:pPr>
        <w:pStyle w:val="Notesbulletpoint"/>
        <w:numPr>
          <w:ilvl w:val="0"/>
          <w:numId w:val="0"/>
        </w:numPr>
        <w:shd w:val="clear" w:color="auto" w:fill="C1C1C1" w:themeFill="background1" w:themeFillTint="66"/>
        <w:spacing w:line="280" w:lineRule="exact"/>
        <w:jc w:val="both"/>
        <w:rPr>
          <w:rFonts w:ascii="Arial" w:hAnsi="Arial"/>
          <w:color w:val="auto"/>
          <w:sz w:val="20"/>
        </w:rPr>
      </w:pPr>
      <w:r w:rsidRPr="00EC45D6">
        <w:rPr>
          <w:rFonts w:ascii="Arial" w:hAnsi="Arial"/>
          <w:color w:val="auto"/>
          <w:sz w:val="20"/>
        </w:rPr>
        <w:t xml:space="preserve">Inputs used in a valuation technique may fall into different levels of the fair value hierarchy. However, for disclosure purposes, the fair value measurement must be categorised in its entirety (i.e., depending on the unit of account) within the hierarchy. That categorisation may not be so obvious when there are multiple inputs used. Ind AS113.73 clarifies that the hierarchy categorisation of a fair value measurement, in its entirety, is determined based on the lowest level input that is significant to the entire measurement. Assessing the significance of a particular input to the entire measurement requires judgement and consideration of factors specific to the asset or liability (or group of assets and/or liabilities) being measured and any adjustments made to the significant inputs in arriving at the fair value. These considerations have a follow-on impact on the disclosures of valuation techniques, processes and significant inputs and entities should tailor their disclosures to the specific facts and circumstances. </w:t>
      </w:r>
    </w:p>
    <w:p w14:paraId="51BC336B" w14:textId="77777777" w:rsidR="00EC45D6" w:rsidRPr="00EC45D6" w:rsidRDefault="00EC45D6" w:rsidP="00EC45D6">
      <w:pPr>
        <w:pStyle w:val="Notesbulletpoint"/>
        <w:numPr>
          <w:ilvl w:val="0"/>
          <w:numId w:val="0"/>
        </w:numPr>
        <w:shd w:val="clear" w:color="auto" w:fill="C1C1C1" w:themeFill="background1" w:themeFillTint="66"/>
        <w:spacing w:line="280" w:lineRule="exact"/>
        <w:jc w:val="both"/>
        <w:rPr>
          <w:rFonts w:ascii="Arial" w:hAnsi="Arial"/>
          <w:color w:val="auto"/>
          <w:sz w:val="20"/>
        </w:rPr>
      </w:pPr>
    </w:p>
    <w:p w14:paraId="49BBA02E" w14:textId="67CA7BC0" w:rsidR="00EC45D6" w:rsidRDefault="00EC45D6" w:rsidP="00EC45D6">
      <w:pPr>
        <w:pStyle w:val="Notesbulletpoint"/>
        <w:numPr>
          <w:ilvl w:val="0"/>
          <w:numId w:val="0"/>
        </w:numPr>
        <w:shd w:val="clear" w:color="auto" w:fill="C1C1C1" w:themeFill="background1" w:themeFillTint="66"/>
        <w:spacing w:after="0" w:line="280" w:lineRule="exact"/>
        <w:jc w:val="both"/>
        <w:rPr>
          <w:rFonts w:ascii="Arial" w:hAnsi="Arial"/>
          <w:color w:val="auto"/>
          <w:sz w:val="20"/>
        </w:rPr>
      </w:pPr>
      <w:r w:rsidRPr="00EC45D6">
        <w:rPr>
          <w:rFonts w:ascii="Arial" w:hAnsi="Arial"/>
          <w:color w:val="auto"/>
          <w:sz w:val="20"/>
        </w:rPr>
        <w:t>For assets and liabilities held at the end of the reporting period measured at fair value on a recurring basis, Ind AS 113.93(c) requires disclosure of the amounts of transfers between Level 1 and Level 2 of the hierarchy, the reasons for those transfers and the entity’s policy for determining when the transfers are deemed to have occurred. Transfers into each level must be disclosed and discussed separately from transfers out of each level.</w:t>
      </w:r>
    </w:p>
    <w:p w14:paraId="28F298E5" w14:textId="77777777" w:rsidR="00EC45D6" w:rsidRPr="00E70587" w:rsidRDefault="00EC45D6" w:rsidP="00E03D5A">
      <w:pPr>
        <w:pStyle w:val="Notesbulletpoint"/>
        <w:numPr>
          <w:ilvl w:val="0"/>
          <w:numId w:val="0"/>
        </w:numPr>
        <w:spacing w:after="0" w:line="280" w:lineRule="exact"/>
        <w:jc w:val="both"/>
        <w:rPr>
          <w:rFonts w:ascii="Arial" w:hAnsi="Arial"/>
          <w:color w:val="auto"/>
          <w:sz w:val="20"/>
        </w:rPr>
      </w:pPr>
    </w:p>
    <w:p w14:paraId="18CE095C" w14:textId="77777777" w:rsidR="00E03D5A" w:rsidRPr="00E70587" w:rsidRDefault="00E03D5A"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Financial risk management objectives and policies</w:t>
      </w:r>
    </w:p>
    <w:p w14:paraId="3349D335" w14:textId="77777777" w:rsidR="008E6D0C" w:rsidRPr="00E70587" w:rsidRDefault="008E6D0C" w:rsidP="009901E1">
      <w:pPr>
        <w:pStyle w:val="Notesbodytext"/>
        <w:spacing w:after="0" w:line="280" w:lineRule="exact"/>
        <w:rPr>
          <w:rFonts w:ascii="Arial" w:hAnsi="Arial"/>
          <w:color w:val="auto"/>
          <w:sz w:val="20"/>
        </w:rPr>
      </w:pPr>
    </w:p>
    <w:tbl>
      <w:tblPr>
        <w:tblW w:w="9576" w:type="dxa"/>
        <w:tblLook w:val="0000" w:firstRow="0" w:lastRow="0" w:firstColumn="0" w:lastColumn="0" w:noHBand="0" w:noVBand="0"/>
      </w:tblPr>
      <w:tblGrid>
        <w:gridCol w:w="9576"/>
      </w:tblGrid>
      <w:tr w:rsidR="0086091A" w:rsidRPr="00E70587" w14:paraId="43A66680" w14:textId="77777777" w:rsidTr="00E03D5A">
        <w:tc>
          <w:tcPr>
            <w:tcW w:w="0" w:type="auto"/>
          </w:tcPr>
          <w:p w14:paraId="3238685A" w14:textId="77777777" w:rsidR="0086091A" w:rsidRPr="00E70587" w:rsidRDefault="0086091A" w:rsidP="00E03D5A">
            <w:pPr>
              <w:pStyle w:val="Notesbodytext"/>
              <w:spacing w:after="0" w:line="280" w:lineRule="exact"/>
              <w:jc w:val="both"/>
              <w:rPr>
                <w:rFonts w:ascii="Arial" w:hAnsi="Arial"/>
                <w:color w:val="auto"/>
                <w:sz w:val="20"/>
              </w:rPr>
            </w:pPr>
            <w:r w:rsidRPr="00E70587">
              <w:rPr>
                <w:rFonts w:ascii="Arial" w:hAnsi="Arial"/>
                <w:color w:val="auto"/>
                <w:sz w:val="20"/>
              </w:rPr>
              <w:t xml:space="preserve">The Group’s principal financial liabilities, other than derivatives, comprise loans and borrowings, trade and other payables, and financial guarantee contracts. The main purpose of these financial liabilities is to finance the Group’s operations and to provide guarantees to support its operations. The Group’s principal financial assets include loans, trade and other receivables, and cash and </w:t>
            </w:r>
            <w:r w:rsidR="001110CD" w:rsidRPr="00E70587">
              <w:rPr>
                <w:rFonts w:ascii="Arial" w:hAnsi="Arial"/>
                <w:color w:val="auto"/>
                <w:sz w:val="20"/>
              </w:rPr>
              <w:t>cash equivalents</w:t>
            </w:r>
            <w:r w:rsidRPr="00E70587">
              <w:rPr>
                <w:rFonts w:ascii="Arial" w:hAnsi="Arial"/>
                <w:color w:val="auto"/>
                <w:sz w:val="20"/>
              </w:rPr>
              <w:t xml:space="preserve"> that derive directly from its operations. The Group also holds FVTOCI investments and enters into derivative transactions.</w:t>
            </w:r>
          </w:p>
          <w:p w14:paraId="39082534" w14:textId="77777777" w:rsidR="00E03D5A" w:rsidRPr="00E70587" w:rsidRDefault="00E03D5A" w:rsidP="00E03D5A">
            <w:pPr>
              <w:pStyle w:val="Notesbodytext"/>
              <w:spacing w:after="0" w:line="280" w:lineRule="exact"/>
              <w:jc w:val="both"/>
              <w:rPr>
                <w:rFonts w:ascii="Arial" w:hAnsi="Arial"/>
                <w:color w:val="auto"/>
                <w:sz w:val="20"/>
              </w:rPr>
            </w:pPr>
          </w:p>
          <w:p w14:paraId="088813EF" w14:textId="77777777" w:rsidR="0086091A" w:rsidRPr="00E70587" w:rsidRDefault="0086091A" w:rsidP="00E03D5A">
            <w:pPr>
              <w:spacing w:line="280" w:lineRule="exact"/>
              <w:jc w:val="both"/>
              <w:rPr>
                <w:rFonts w:ascii="Arial" w:hAnsi="Arial" w:cs="Arial"/>
                <w:sz w:val="20"/>
              </w:rPr>
            </w:pPr>
            <w:r w:rsidRPr="00E70587">
              <w:rPr>
                <w:rFonts w:ascii="Arial" w:hAnsi="Arial" w:cs="Arial"/>
                <w:sz w:val="20"/>
              </w:rPr>
              <w:t>The Group is exposed to market risk, credit risk and liquidity risk. The Group’s senior management oversees the management of these risks. The Group’s senior management is supported by a financial risk committee that advises on financial risks and the appropriate financial risk governance framework for the Group. The financial risk committee provides assurance to the Group’s senior management that the Group’s financial risk activities are governed by appropriate policies and procedures and that financial risks are identified, measured and managed in accordance with the Group’s policies and risk objectives. All derivative activities for risk management purposes are carried out by specialist teams that have the appropriate skills, experience and supervision. It is the Group’s policy that no trading in derivatives for speculative purposes may be undertaken. The Board of Directors reviews and agrees policies for managing each of these risks, which are summarised below.</w:t>
            </w:r>
          </w:p>
          <w:p w14:paraId="67717BB5" w14:textId="77777777" w:rsidR="0086091A" w:rsidRPr="00E70587" w:rsidRDefault="0086091A" w:rsidP="00E03D5A">
            <w:pPr>
              <w:spacing w:line="280" w:lineRule="exact"/>
              <w:jc w:val="both"/>
              <w:rPr>
                <w:rFonts w:ascii="Arial" w:hAnsi="Arial" w:cs="Arial"/>
                <w:b/>
                <w:sz w:val="20"/>
              </w:rPr>
            </w:pPr>
          </w:p>
          <w:p w14:paraId="07A3BE53" w14:textId="77777777" w:rsidR="0086091A" w:rsidRPr="00E70587" w:rsidRDefault="0086091A" w:rsidP="00561373">
            <w:pPr>
              <w:spacing w:line="280" w:lineRule="exact"/>
              <w:jc w:val="both"/>
              <w:rPr>
                <w:rFonts w:ascii="Arial" w:hAnsi="Arial" w:cs="Arial"/>
                <w:b/>
                <w:sz w:val="20"/>
              </w:rPr>
            </w:pPr>
            <w:r w:rsidRPr="00E70587">
              <w:rPr>
                <w:rFonts w:ascii="Arial" w:hAnsi="Arial" w:cs="Arial"/>
                <w:b/>
                <w:sz w:val="20"/>
              </w:rPr>
              <w:t>Market risk</w:t>
            </w:r>
          </w:p>
          <w:p w14:paraId="2FC93B63" w14:textId="77777777" w:rsidR="00E03D5A" w:rsidRPr="00E70587" w:rsidRDefault="00E03D5A" w:rsidP="00E03D5A">
            <w:pPr>
              <w:spacing w:line="280" w:lineRule="exact"/>
              <w:jc w:val="both"/>
              <w:rPr>
                <w:rFonts w:ascii="Arial" w:hAnsi="Arial" w:cs="Arial"/>
                <w:sz w:val="20"/>
              </w:rPr>
            </w:pPr>
          </w:p>
          <w:p w14:paraId="55F81882" w14:textId="77777777" w:rsidR="0086091A" w:rsidRPr="00E70587" w:rsidRDefault="0086091A" w:rsidP="00E03D5A">
            <w:pPr>
              <w:spacing w:line="280" w:lineRule="exact"/>
              <w:jc w:val="both"/>
              <w:rPr>
                <w:rFonts w:ascii="Arial" w:hAnsi="Arial" w:cs="Arial"/>
                <w:sz w:val="20"/>
              </w:rPr>
            </w:pPr>
            <w:r w:rsidRPr="00E70587">
              <w:rPr>
                <w:rFonts w:ascii="Arial" w:hAnsi="Arial" w:cs="Arial"/>
                <w:sz w:val="20"/>
              </w:rPr>
              <w:t>Market risk is the risk that the fair value of future cash flows of a financial instrument will fluctuate because of changes in market prices. Market risk comprises three types of risk: interest rate risk, currency risk and other price risk, such as equity price risk and commodity risk. Financial instruments affected by market risk include loans and borrowings, deposits, FVTOCI investments and derivative financial instruments.</w:t>
            </w:r>
          </w:p>
          <w:p w14:paraId="29D1215F" w14:textId="77777777" w:rsidR="0086091A" w:rsidRPr="00E70587" w:rsidRDefault="0086091A" w:rsidP="00E03D5A">
            <w:pPr>
              <w:spacing w:line="280" w:lineRule="exact"/>
              <w:jc w:val="both"/>
              <w:rPr>
                <w:rFonts w:ascii="Arial" w:hAnsi="Arial" w:cs="Arial"/>
                <w:sz w:val="20"/>
              </w:rPr>
            </w:pPr>
          </w:p>
          <w:p w14:paraId="56FA13CD" w14:textId="435AEFE3" w:rsidR="0086091A" w:rsidRPr="00E70587" w:rsidRDefault="0086091A" w:rsidP="00E03D5A">
            <w:pPr>
              <w:spacing w:line="280" w:lineRule="exact"/>
              <w:jc w:val="both"/>
              <w:rPr>
                <w:rFonts w:ascii="Arial" w:hAnsi="Arial" w:cs="Arial"/>
                <w:sz w:val="20"/>
              </w:rPr>
            </w:pPr>
            <w:r w:rsidRPr="00E70587">
              <w:rPr>
                <w:rFonts w:ascii="Arial" w:hAnsi="Arial" w:cs="Arial"/>
                <w:sz w:val="20"/>
              </w:rPr>
              <w:t xml:space="preserve">The sensitivity analyses in the following sections relate to the position as at 31 </w:t>
            </w:r>
            <w:r w:rsidR="00E1202D" w:rsidRPr="00E70587">
              <w:rPr>
                <w:rFonts w:ascii="Arial" w:hAnsi="Arial" w:cs="Arial"/>
                <w:sz w:val="20"/>
              </w:rPr>
              <w:t xml:space="preserve">March </w:t>
            </w:r>
            <w:r w:rsidR="00446854" w:rsidRPr="00E70587">
              <w:rPr>
                <w:rFonts w:ascii="Arial" w:hAnsi="Arial" w:cs="Arial"/>
                <w:sz w:val="20"/>
              </w:rPr>
              <w:t>20</w:t>
            </w:r>
            <w:r w:rsidR="00446854">
              <w:rPr>
                <w:rFonts w:ascii="Arial" w:hAnsi="Arial" w:cs="Arial"/>
                <w:sz w:val="20"/>
              </w:rPr>
              <w:t>21</w:t>
            </w:r>
            <w:r w:rsidR="00446854" w:rsidRPr="00E70587">
              <w:rPr>
                <w:rFonts w:ascii="Arial" w:hAnsi="Arial" w:cs="Arial"/>
                <w:sz w:val="20"/>
              </w:rPr>
              <w:t xml:space="preserve"> </w:t>
            </w:r>
            <w:r w:rsidRPr="00E70587">
              <w:rPr>
                <w:rFonts w:ascii="Arial" w:hAnsi="Arial" w:cs="Arial"/>
                <w:sz w:val="20"/>
              </w:rPr>
              <w:t xml:space="preserve">and 31 </w:t>
            </w:r>
            <w:r w:rsidR="008B730E" w:rsidRPr="00E70587">
              <w:rPr>
                <w:rFonts w:ascii="Arial" w:hAnsi="Arial" w:cs="Arial"/>
                <w:sz w:val="20"/>
              </w:rPr>
              <w:t xml:space="preserve">March </w:t>
            </w:r>
            <w:r w:rsidR="00446854" w:rsidRPr="00E70587">
              <w:rPr>
                <w:rFonts w:ascii="Arial" w:hAnsi="Arial" w:cs="Arial"/>
                <w:sz w:val="20"/>
              </w:rPr>
              <w:t>20</w:t>
            </w:r>
            <w:r w:rsidR="00446854">
              <w:rPr>
                <w:rFonts w:ascii="Arial" w:hAnsi="Arial" w:cs="Arial"/>
                <w:sz w:val="20"/>
              </w:rPr>
              <w:t>20</w:t>
            </w:r>
            <w:r w:rsidRPr="00E70587">
              <w:rPr>
                <w:rFonts w:ascii="Arial" w:hAnsi="Arial" w:cs="Arial"/>
                <w:sz w:val="20"/>
              </w:rPr>
              <w:t>.</w:t>
            </w:r>
          </w:p>
          <w:p w14:paraId="52D67497" w14:textId="77777777" w:rsidR="0086091A" w:rsidRPr="00E70587" w:rsidRDefault="0086091A" w:rsidP="00E03D5A">
            <w:pPr>
              <w:spacing w:line="280" w:lineRule="exact"/>
              <w:jc w:val="both"/>
              <w:rPr>
                <w:rFonts w:ascii="Arial" w:hAnsi="Arial" w:cs="Arial"/>
                <w:sz w:val="20"/>
              </w:rPr>
            </w:pPr>
          </w:p>
          <w:p w14:paraId="0843ABE3" w14:textId="12B1B8A6" w:rsidR="0086091A" w:rsidRPr="00E70587" w:rsidRDefault="0086091A" w:rsidP="00E03D5A">
            <w:pPr>
              <w:spacing w:line="280" w:lineRule="exact"/>
              <w:jc w:val="both"/>
              <w:rPr>
                <w:rFonts w:ascii="Arial" w:hAnsi="Arial" w:cs="Arial"/>
                <w:sz w:val="20"/>
              </w:rPr>
            </w:pPr>
            <w:r w:rsidRPr="00E70587">
              <w:rPr>
                <w:rFonts w:ascii="Arial" w:hAnsi="Arial" w:cs="Arial"/>
                <w:sz w:val="20"/>
              </w:rPr>
              <w:t xml:space="preserve">The sensitivity analyses have been prepared on the basis that the amount of net debt, the ratio of fixed to floating interest rates of the debt and derivatives and the proportion of financial instruments in foreign currencies are all constant and on the basis of hedge designations in place at 31 </w:t>
            </w:r>
            <w:r w:rsidR="00E1202D" w:rsidRPr="00E70587">
              <w:rPr>
                <w:rFonts w:ascii="Arial" w:hAnsi="Arial" w:cs="Arial"/>
                <w:sz w:val="20"/>
              </w:rPr>
              <w:t xml:space="preserve">March </w:t>
            </w:r>
            <w:r w:rsidR="00446854" w:rsidRPr="00E70587">
              <w:rPr>
                <w:rFonts w:ascii="Arial" w:hAnsi="Arial" w:cs="Arial"/>
                <w:sz w:val="20"/>
              </w:rPr>
              <w:t>20</w:t>
            </w:r>
            <w:r w:rsidR="00446854">
              <w:rPr>
                <w:rFonts w:ascii="Arial" w:hAnsi="Arial" w:cs="Arial"/>
                <w:sz w:val="20"/>
              </w:rPr>
              <w:t>21</w:t>
            </w:r>
            <w:r w:rsidRPr="00E70587">
              <w:rPr>
                <w:rFonts w:ascii="Arial" w:hAnsi="Arial" w:cs="Arial"/>
                <w:sz w:val="20"/>
              </w:rPr>
              <w:t>.</w:t>
            </w:r>
          </w:p>
          <w:p w14:paraId="2725CD94" w14:textId="77777777" w:rsidR="0086091A" w:rsidRPr="00E70587" w:rsidRDefault="0086091A" w:rsidP="00E03D5A">
            <w:pPr>
              <w:spacing w:line="280" w:lineRule="exact"/>
              <w:jc w:val="both"/>
              <w:rPr>
                <w:rFonts w:ascii="Arial" w:hAnsi="Arial" w:cs="Arial"/>
                <w:sz w:val="20"/>
              </w:rPr>
            </w:pPr>
          </w:p>
          <w:p w14:paraId="704C5D63" w14:textId="77777777" w:rsidR="0086091A" w:rsidRPr="00E70587" w:rsidRDefault="0086091A" w:rsidP="00E03D5A">
            <w:pPr>
              <w:spacing w:line="280" w:lineRule="exact"/>
              <w:jc w:val="both"/>
              <w:rPr>
                <w:rFonts w:ascii="Arial" w:hAnsi="Arial" w:cs="Arial"/>
                <w:sz w:val="20"/>
              </w:rPr>
            </w:pPr>
            <w:r w:rsidRPr="00E70587">
              <w:rPr>
                <w:rFonts w:ascii="Arial" w:hAnsi="Arial" w:cs="Arial"/>
                <w:sz w:val="20"/>
              </w:rPr>
              <w:t>The analyses exclude the impact of movements in market variables on: the carrying values of gratuity and other post-retirement obligations; provisions; and the non-financial assets and liabilities of foreign operations. The analysis for the contingent consideration liability is provided in Note 36.</w:t>
            </w:r>
          </w:p>
          <w:p w14:paraId="3CA788C4" w14:textId="77777777" w:rsidR="0086091A" w:rsidRPr="00E70587" w:rsidRDefault="0086091A" w:rsidP="00E03D5A">
            <w:pPr>
              <w:spacing w:line="280" w:lineRule="exact"/>
              <w:jc w:val="both"/>
              <w:rPr>
                <w:rFonts w:ascii="Arial" w:hAnsi="Arial" w:cs="Arial"/>
                <w:sz w:val="20"/>
              </w:rPr>
            </w:pPr>
          </w:p>
          <w:p w14:paraId="02368CF7" w14:textId="77777777" w:rsidR="0086091A" w:rsidRPr="00E70587" w:rsidRDefault="0086091A" w:rsidP="00E03D5A">
            <w:pPr>
              <w:spacing w:line="280" w:lineRule="exact"/>
              <w:jc w:val="both"/>
              <w:rPr>
                <w:rFonts w:ascii="Arial" w:hAnsi="Arial" w:cs="Arial"/>
                <w:sz w:val="20"/>
              </w:rPr>
            </w:pPr>
            <w:r w:rsidRPr="00E70587">
              <w:rPr>
                <w:rFonts w:ascii="Arial" w:hAnsi="Arial" w:cs="Arial"/>
                <w:sz w:val="20"/>
              </w:rPr>
              <w:t>The following assumptions have been made in calculating the sensitivity analyses:</w:t>
            </w:r>
          </w:p>
          <w:p w14:paraId="01CA9755" w14:textId="0C0EE38B" w:rsidR="0086091A" w:rsidRPr="00E70587" w:rsidRDefault="0086091A" w:rsidP="00F53123">
            <w:pPr>
              <w:pStyle w:val="ListParagraph"/>
              <w:numPr>
                <w:ilvl w:val="0"/>
                <w:numId w:val="9"/>
              </w:numPr>
              <w:overflowPunct/>
              <w:autoSpaceDE/>
              <w:autoSpaceDN/>
              <w:adjustRightInd/>
              <w:spacing w:before="120" w:line="280" w:lineRule="exact"/>
              <w:ind w:hanging="720"/>
              <w:contextualSpacing w:val="0"/>
              <w:jc w:val="both"/>
              <w:textAlignment w:val="auto"/>
              <w:rPr>
                <w:rFonts w:ascii="Arial" w:hAnsi="Arial" w:cs="Arial"/>
                <w:sz w:val="20"/>
              </w:rPr>
            </w:pPr>
            <w:r w:rsidRPr="00E70587">
              <w:rPr>
                <w:rFonts w:ascii="Arial" w:hAnsi="Arial" w:cs="Arial"/>
                <w:sz w:val="20"/>
              </w:rPr>
              <w:t xml:space="preserve">The sensitivity of the relevant profit or loss item is the effect of the assumed changes in respective market risks. This is based on the financial assets and financial liabilities held at 31 </w:t>
            </w:r>
            <w:r w:rsidR="00E1202D" w:rsidRPr="00E70587">
              <w:rPr>
                <w:rFonts w:ascii="Arial" w:hAnsi="Arial" w:cs="Arial"/>
                <w:sz w:val="20"/>
              </w:rPr>
              <w:t xml:space="preserve">March </w:t>
            </w:r>
            <w:r w:rsidR="00446854" w:rsidRPr="00E70587">
              <w:rPr>
                <w:rFonts w:ascii="Arial" w:hAnsi="Arial" w:cs="Arial"/>
                <w:sz w:val="20"/>
              </w:rPr>
              <w:t>20</w:t>
            </w:r>
            <w:r w:rsidR="00446854">
              <w:rPr>
                <w:rFonts w:ascii="Arial" w:hAnsi="Arial" w:cs="Arial"/>
                <w:sz w:val="20"/>
              </w:rPr>
              <w:t>21</w:t>
            </w:r>
            <w:r w:rsidR="00446854" w:rsidRPr="00E70587">
              <w:rPr>
                <w:rFonts w:ascii="Arial" w:hAnsi="Arial" w:cs="Arial"/>
                <w:sz w:val="20"/>
              </w:rPr>
              <w:t xml:space="preserve"> </w:t>
            </w:r>
            <w:r w:rsidRPr="00E70587">
              <w:rPr>
                <w:rFonts w:ascii="Arial" w:hAnsi="Arial" w:cs="Arial"/>
                <w:sz w:val="20"/>
              </w:rPr>
              <w:t xml:space="preserve">and 31 </w:t>
            </w:r>
            <w:r w:rsidR="008B730E" w:rsidRPr="00E70587">
              <w:rPr>
                <w:rFonts w:ascii="Arial" w:hAnsi="Arial" w:cs="Arial"/>
                <w:sz w:val="20"/>
              </w:rPr>
              <w:t xml:space="preserve">March </w:t>
            </w:r>
            <w:r w:rsidR="00446854" w:rsidRPr="00E70587">
              <w:rPr>
                <w:rFonts w:ascii="Arial" w:hAnsi="Arial" w:cs="Arial"/>
                <w:sz w:val="20"/>
              </w:rPr>
              <w:t>20</w:t>
            </w:r>
            <w:r w:rsidR="00446854">
              <w:rPr>
                <w:rFonts w:ascii="Arial" w:hAnsi="Arial" w:cs="Arial"/>
                <w:sz w:val="20"/>
              </w:rPr>
              <w:t>20</w:t>
            </w:r>
            <w:r w:rsidR="00446854" w:rsidRPr="00E70587">
              <w:rPr>
                <w:rFonts w:ascii="Arial" w:hAnsi="Arial" w:cs="Arial"/>
                <w:sz w:val="20"/>
              </w:rPr>
              <w:t xml:space="preserve"> </w:t>
            </w:r>
            <w:r w:rsidRPr="00E70587">
              <w:rPr>
                <w:rFonts w:ascii="Arial" w:hAnsi="Arial" w:cs="Arial"/>
                <w:sz w:val="20"/>
              </w:rPr>
              <w:t>including the effect of hedge accounting</w:t>
            </w:r>
          </w:p>
          <w:p w14:paraId="541C42D0" w14:textId="42B44800" w:rsidR="0086091A" w:rsidRPr="00E70587" w:rsidRDefault="0086091A" w:rsidP="00F53123">
            <w:pPr>
              <w:pStyle w:val="ListParagraph"/>
              <w:numPr>
                <w:ilvl w:val="0"/>
                <w:numId w:val="9"/>
              </w:numPr>
              <w:overflowPunct/>
              <w:autoSpaceDE/>
              <w:autoSpaceDN/>
              <w:adjustRightInd/>
              <w:spacing w:before="120" w:line="280" w:lineRule="exact"/>
              <w:ind w:hanging="720"/>
              <w:contextualSpacing w:val="0"/>
              <w:jc w:val="both"/>
              <w:textAlignment w:val="auto"/>
              <w:rPr>
                <w:rFonts w:ascii="Arial" w:hAnsi="Arial" w:cs="Arial"/>
                <w:sz w:val="20"/>
              </w:rPr>
            </w:pPr>
            <w:r w:rsidRPr="00E70587">
              <w:rPr>
                <w:rFonts w:ascii="Arial" w:hAnsi="Arial" w:cs="Arial"/>
                <w:sz w:val="20"/>
              </w:rPr>
              <w:t xml:space="preserve">The sensitivity of equity is calculated by considering the effect of any associated cash flow hedges and hedges of a net investment in a foreign subsidiary at 31 </w:t>
            </w:r>
            <w:r w:rsidR="00E1202D" w:rsidRPr="00E70587">
              <w:rPr>
                <w:rFonts w:ascii="Arial" w:hAnsi="Arial" w:cs="Arial"/>
                <w:sz w:val="20"/>
              </w:rPr>
              <w:t xml:space="preserve">March </w:t>
            </w:r>
            <w:r w:rsidR="00446854" w:rsidRPr="00E70587">
              <w:rPr>
                <w:rFonts w:ascii="Arial" w:hAnsi="Arial" w:cs="Arial"/>
                <w:sz w:val="20"/>
              </w:rPr>
              <w:t>20</w:t>
            </w:r>
            <w:r w:rsidR="00446854">
              <w:rPr>
                <w:rFonts w:ascii="Arial" w:hAnsi="Arial" w:cs="Arial"/>
                <w:sz w:val="20"/>
              </w:rPr>
              <w:t>21</w:t>
            </w:r>
            <w:r w:rsidR="00446854" w:rsidRPr="00E70587">
              <w:rPr>
                <w:rFonts w:ascii="Arial" w:hAnsi="Arial" w:cs="Arial"/>
                <w:sz w:val="20"/>
              </w:rPr>
              <w:t xml:space="preserve"> </w:t>
            </w:r>
            <w:r w:rsidRPr="00E70587">
              <w:rPr>
                <w:rFonts w:ascii="Arial" w:hAnsi="Arial" w:cs="Arial"/>
                <w:sz w:val="20"/>
              </w:rPr>
              <w:t>for the effects of the assumed changes of the underlying risk</w:t>
            </w:r>
          </w:p>
          <w:p w14:paraId="5B3C1978" w14:textId="77777777" w:rsidR="00E03D5A" w:rsidRPr="00E70587" w:rsidRDefault="00E03D5A" w:rsidP="00E03D5A">
            <w:pPr>
              <w:pStyle w:val="Heading4"/>
              <w:spacing w:before="0" w:after="0" w:line="280" w:lineRule="exact"/>
              <w:jc w:val="both"/>
              <w:rPr>
                <w:rFonts w:ascii="Arial" w:hAnsi="Arial" w:cs="Arial"/>
                <w:b w:val="0"/>
                <w:szCs w:val="20"/>
              </w:rPr>
            </w:pPr>
          </w:p>
          <w:p w14:paraId="2BAA0914" w14:textId="77777777" w:rsidR="0086091A" w:rsidRPr="00E70587" w:rsidRDefault="0086091A" w:rsidP="00561373">
            <w:pPr>
              <w:spacing w:line="280" w:lineRule="exact"/>
              <w:jc w:val="both"/>
              <w:rPr>
                <w:rFonts w:ascii="Arial" w:hAnsi="Arial" w:cs="Arial"/>
                <w:b/>
                <w:sz w:val="20"/>
              </w:rPr>
            </w:pPr>
            <w:r w:rsidRPr="00E70587">
              <w:rPr>
                <w:rFonts w:ascii="Arial" w:hAnsi="Arial" w:cs="Arial"/>
                <w:b/>
                <w:sz w:val="20"/>
              </w:rPr>
              <w:t>Interest rate risk</w:t>
            </w:r>
          </w:p>
          <w:p w14:paraId="352B211A" w14:textId="77777777" w:rsidR="00561373" w:rsidRPr="00E70587" w:rsidRDefault="00561373" w:rsidP="00E03D5A">
            <w:pPr>
              <w:pStyle w:val="Notesbodytext"/>
              <w:spacing w:after="0" w:line="280" w:lineRule="exact"/>
              <w:jc w:val="both"/>
              <w:rPr>
                <w:rFonts w:ascii="Arial" w:hAnsi="Arial"/>
                <w:color w:val="auto"/>
                <w:sz w:val="20"/>
              </w:rPr>
            </w:pPr>
          </w:p>
          <w:p w14:paraId="52A1BE4E" w14:textId="77777777" w:rsidR="0086091A" w:rsidRPr="00E70587" w:rsidRDefault="0086091A" w:rsidP="00E03D5A">
            <w:pPr>
              <w:pStyle w:val="Notesbodytext"/>
              <w:spacing w:after="0" w:line="280" w:lineRule="exact"/>
              <w:jc w:val="both"/>
              <w:rPr>
                <w:rFonts w:ascii="Arial" w:hAnsi="Arial"/>
                <w:color w:val="auto"/>
                <w:sz w:val="20"/>
              </w:rPr>
            </w:pPr>
            <w:r w:rsidRPr="00E70587">
              <w:rPr>
                <w:rFonts w:ascii="Arial" w:hAnsi="Arial"/>
                <w:color w:val="auto"/>
                <w:sz w:val="20"/>
              </w:rPr>
              <w:lastRenderedPageBreak/>
              <w:t>Interest rate risk is the risk that the fair value or future cash flows of a financial instrument will fluctuate because of changes in market interest rates. The Group’s exposure to the risk of changes in market interest rates relates primarily to the Group’s long-term debt obligations with floating interest rates.</w:t>
            </w:r>
          </w:p>
          <w:p w14:paraId="220EAAB4" w14:textId="77777777" w:rsidR="00561373" w:rsidRPr="00E70587" w:rsidRDefault="00561373" w:rsidP="00E03D5A">
            <w:pPr>
              <w:pStyle w:val="Notesbodytext"/>
              <w:spacing w:after="0" w:line="280" w:lineRule="exact"/>
              <w:jc w:val="both"/>
              <w:rPr>
                <w:rFonts w:ascii="Arial" w:hAnsi="Arial"/>
                <w:color w:val="auto"/>
                <w:sz w:val="20"/>
              </w:rPr>
            </w:pPr>
          </w:p>
          <w:p w14:paraId="27B7723D" w14:textId="07130EAC" w:rsidR="0086091A" w:rsidRPr="00E70587" w:rsidRDefault="0086091A" w:rsidP="00434B70">
            <w:pPr>
              <w:pStyle w:val="Notesbodytext"/>
              <w:spacing w:after="0" w:line="280" w:lineRule="exact"/>
              <w:jc w:val="both"/>
              <w:rPr>
                <w:rFonts w:ascii="Arial" w:hAnsi="Arial"/>
                <w:color w:val="auto"/>
                <w:sz w:val="20"/>
              </w:rPr>
            </w:pPr>
            <w:r w:rsidRPr="00E70587">
              <w:rPr>
                <w:rFonts w:ascii="Arial" w:hAnsi="Arial"/>
                <w:color w:val="auto"/>
                <w:sz w:val="20"/>
              </w:rPr>
              <w:t xml:space="preserve">The Group manages its interest rate risk by having a balanced portfolio of fixed and variable rate loans and borrowings. The Group’s policy is to keep between 40% and 60% of its borrowings at fixed rates of interest, excluding borrowings that relate to discontinued operations. To manage this, the Group enters into interest rate swaps, in which it agrees to exchange, at specified intervals, the difference between fixed and variable rate interest amounts calculated by reference to an agreed-upon notional principal amount. At 31 </w:t>
            </w:r>
            <w:r w:rsidR="00E1202D" w:rsidRPr="00E70587">
              <w:rPr>
                <w:rFonts w:ascii="Arial" w:hAnsi="Arial"/>
                <w:color w:val="auto"/>
                <w:sz w:val="20"/>
              </w:rPr>
              <w:t xml:space="preserve">March </w:t>
            </w:r>
            <w:r w:rsidR="00446854" w:rsidRPr="00E70587">
              <w:rPr>
                <w:rFonts w:ascii="Arial" w:hAnsi="Arial"/>
                <w:color w:val="auto"/>
                <w:sz w:val="20"/>
              </w:rPr>
              <w:t>20</w:t>
            </w:r>
            <w:r w:rsidR="00446854">
              <w:rPr>
                <w:rFonts w:ascii="Arial" w:hAnsi="Arial"/>
                <w:color w:val="auto"/>
                <w:sz w:val="20"/>
              </w:rPr>
              <w:t>21</w:t>
            </w:r>
            <w:r w:rsidRPr="00E70587">
              <w:rPr>
                <w:rFonts w:ascii="Arial" w:hAnsi="Arial"/>
                <w:color w:val="auto"/>
                <w:sz w:val="20"/>
              </w:rPr>
              <w:t xml:space="preserve">, after taking into account the effect of interest rate swaps, approximately 44% of the Group’s borrowings are at a fixed rate of interest (31 </w:t>
            </w:r>
            <w:r w:rsidR="008B730E" w:rsidRPr="00E70587">
              <w:rPr>
                <w:rFonts w:ascii="Arial" w:hAnsi="Arial"/>
                <w:color w:val="auto"/>
                <w:sz w:val="20"/>
              </w:rPr>
              <w:t xml:space="preserve">March </w:t>
            </w:r>
            <w:r w:rsidR="00446854" w:rsidRPr="00E70587">
              <w:rPr>
                <w:rFonts w:ascii="Arial" w:hAnsi="Arial"/>
                <w:color w:val="auto"/>
                <w:sz w:val="20"/>
              </w:rPr>
              <w:t>20</w:t>
            </w:r>
            <w:r w:rsidR="00446854">
              <w:rPr>
                <w:rFonts w:ascii="Arial" w:hAnsi="Arial"/>
                <w:color w:val="auto"/>
                <w:sz w:val="20"/>
              </w:rPr>
              <w:t>20</w:t>
            </w:r>
            <w:r w:rsidRPr="00E70587">
              <w:rPr>
                <w:rFonts w:ascii="Arial" w:hAnsi="Arial"/>
                <w:color w:val="auto"/>
                <w:sz w:val="20"/>
              </w:rPr>
              <w:t>: 51%,).</w:t>
            </w:r>
          </w:p>
        </w:tc>
      </w:tr>
      <w:tr w:rsidR="00B94EDC" w:rsidRPr="00E70587" w14:paraId="3ACD02E0" w14:textId="77777777" w:rsidTr="00E03D5A">
        <w:tc>
          <w:tcPr>
            <w:tcW w:w="0" w:type="auto"/>
          </w:tcPr>
          <w:p w14:paraId="61B71C42" w14:textId="77777777" w:rsidR="001C1C23" w:rsidRPr="00E70587" w:rsidRDefault="001C1C23" w:rsidP="00B94EDC">
            <w:pPr>
              <w:spacing w:line="280" w:lineRule="exact"/>
              <w:jc w:val="both"/>
              <w:rPr>
                <w:rFonts w:ascii="Arial" w:hAnsi="Arial" w:cs="Arial"/>
                <w:b/>
                <w:i/>
                <w:sz w:val="20"/>
              </w:rPr>
            </w:pPr>
          </w:p>
          <w:p w14:paraId="48C3EF0F" w14:textId="77777777" w:rsidR="00B94EDC" w:rsidRPr="00E70587" w:rsidRDefault="00B94EDC" w:rsidP="00B94EDC">
            <w:pPr>
              <w:spacing w:line="280" w:lineRule="exact"/>
              <w:jc w:val="both"/>
              <w:rPr>
                <w:rFonts w:ascii="Arial" w:hAnsi="Arial" w:cs="Arial"/>
                <w:b/>
                <w:i/>
                <w:sz w:val="20"/>
              </w:rPr>
            </w:pPr>
            <w:r w:rsidRPr="00E70587">
              <w:rPr>
                <w:rFonts w:ascii="Arial" w:hAnsi="Arial" w:cs="Arial"/>
                <w:b/>
                <w:i/>
                <w:sz w:val="20"/>
              </w:rPr>
              <w:t>Interest rate sensitivity</w:t>
            </w:r>
          </w:p>
          <w:p w14:paraId="1FB6FF8C" w14:textId="77777777" w:rsidR="00B94EDC" w:rsidRPr="00E70587" w:rsidRDefault="00B94EDC" w:rsidP="00B94EDC">
            <w:pPr>
              <w:pStyle w:val="Notesbodytext"/>
              <w:spacing w:after="0" w:line="280" w:lineRule="exact"/>
              <w:jc w:val="both"/>
              <w:rPr>
                <w:rFonts w:ascii="Arial" w:hAnsi="Arial"/>
                <w:color w:val="auto"/>
                <w:sz w:val="20"/>
              </w:rPr>
            </w:pPr>
          </w:p>
          <w:p w14:paraId="4A766351" w14:textId="77777777" w:rsidR="00B94EDC" w:rsidRPr="00E70587" w:rsidRDefault="00B94EDC" w:rsidP="00B94EDC">
            <w:pPr>
              <w:pStyle w:val="Notesbodytext"/>
              <w:spacing w:after="0" w:line="280" w:lineRule="exact"/>
              <w:jc w:val="both"/>
              <w:rPr>
                <w:rFonts w:ascii="Arial" w:hAnsi="Arial"/>
                <w:color w:val="auto"/>
                <w:sz w:val="20"/>
              </w:rPr>
            </w:pPr>
            <w:r w:rsidRPr="00E70587">
              <w:rPr>
                <w:rFonts w:ascii="Arial" w:hAnsi="Arial"/>
                <w:color w:val="auto"/>
                <w:sz w:val="20"/>
              </w:rPr>
              <w:t>The following table demonstrates the sensitivity to a reasonably possible change in interest rates on that portion of loans and borrowings affected, after the impact of hedge accounting. With all other variables held constant, the Group’s profit before tax is affected through the impact on floating rate borrowings, as follows:</w:t>
            </w:r>
          </w:p>
        </w:tc>
      </w:tr>
    </w:tbl>
    <w:p w14:paraId="65F42D28" w14:textId="77777777" w:rsidR="00731671" w:rsidRPr="00E70587" w:rsidRDefault="00731671" w:rsidP="009901E1">
      <w:pPr>
        <w:spacing w:line="280" w:lineRule="exact"/>
        <w:rPr>
          <w:rFonts w:ascii="Arial" w:hAnsi="Arial" w:cs="Arial"/>
          <w:sz w:val="20"/>
        </w:rPr>
      </w:pPr>
    </w:p>
    <w:tbl>
      <w:tblPr>
        <w:tblW w:w="9576" w:type="dxa"/>
        <w:tblLayout w:type="fixed"/>
        <w:tblLook w:val="01E0" w:firstRow="1" w:lastRow="1" w:firstColumn="1" w:lastColumn="1" w:noHBand="0" w:noVBand="0"/>
      </w:tblPr>
      <w:tblGrid>
        <w:gridCol w:w="5963"/>
        <w:gridCol w:w="1897"/>
        <w:gridCol w:w="1716"/>
      </w:tblGrid>
      <w:tr w:rsidR="0086091A" w:rsidRPr="00E70587" w14:paraId="4098FEB7" w14:textId="77777777" w:rsidTr="00561373">
        <w:tc>
          <w:tcPr>
            <w:tcW w:w="5963" w:type="dxa"/>
            <w:shd w:val="clear" w:color="auto" w:fill="auto"/>
          </w:tcPr>
          <w:p w14:paraId="637532F1" w14:textId="77777777" w:rsidR="0086091A" w:rsidRPr="00E70587" w:rsidRDefault="0086091A" w:rsidP="009901E1">
            <w:pPr>
              <w:pStyle w:val="000Normal"/>
              <w:spacing w:before="0" w:after="0" w:line="280" w:lineRule="exact"/>
              <w:jc w:val="left"/>
              <w:rPr>
                <w:rFonts w:ascii="Arial" w:hAnsi="Arial" w:cs="Arial"/>
                <w:sz w:val="20"/>
              </w:rPr>
            </w:pPr>
          </w:p>
        </w:tc>
        <w:tc>
          <w:tcPr>
            <w:tcW w:w="1897" w:type="dxa"/>
            <w:tcBorders>
              <w:bottom w:val="single" w:sz="4" w:space="0" w:color="auto"/>
            </w:tcBorders>
            <w:shd w:val="clear" w:color="auto" w:fill="auto"/>
            <w:tcMar>
              <w:left w:w="28" w:type="dxa"/>
            </w:tcMar>
          </w:tcPr>
          <w:p w14:paraId="22303878" w14:textId="77777777" w:rsidR="0086091A" w:rsidRPr="00E70587" w:rsidRDefault="0086091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Increase/decrease in basis points</w:t>
            </w:r>
          </w:p>
        </w:tc>
        <w:tc>
          <w:tcPr>
            <w:tcW w:w="1716" w:type="dxa"/>
            <w:tcBorders>
              <w:bottom w:val="single" w:sz="4" w:space="0" w:color="auto"/>
            </w:tcBorders>
            <w:shd w:val="clear" w:color="auto" w:fill="auto"/>
          </w:tcPr>
          <w:p w14:paraId="2EF3232B" w14:textId="77777777" w:rsidR="0086091A" w:rsidRPr="00E70587" w:rsidRDefault="0086091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Effect on profit before tax</w:t>
            </w:r>
          </w:p>
        </w:tc>
      </w:tr>
      <w:tr w:rsidR="0086091A" w:rsidRPr="00E70587" w14:paraId="3B92BA96" w14:textId="77777777" w:rsidTr="00561373">
        <w:tc>
          <w:tcPr>
            <w:tcW w:w="5963" w:type="dxa"/>
            <w:tcMar>
              <w:top w:w="28" w:type="dxa"/>
            </w:tcMar>
            <w:vAlign w:val="bottom"/>
          </w:tcPr>
          <w:p w14:paraId="48708101" w14:textId="01267E5B"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31 </w:t>
            </w:r>
            <w:r w:rsidR="00E1202D" w:rsidRPr="00E70587">
              <w:rPr>
                <w:rFonts w:ascii="Arial" w:hAnsi="Arial" w:cs="Arial"/>
                <w:b/>
                <w:sz w:val="20"/>
                <w:lang w:val="en-IN"/>
              </w:rPr>
              <w:t xml:space="preserve">March </w:t>
            </w:r>
            <w:r w:rsidR="00446854" w:rsidRPr="00E70587">
              <w:rPr>
                <w:rFonts w:ascii="Arial" w:hAnsi="Arial" w:cs="Arial"/>
                <w:b/>
                <w:sz w:val="20"/>
                <w:lang w:val="en-IN"/>
              </w:rPr>
              <w:t>20</w:t>
            </w:r>
            <w:r w:rsidR="00446854">
              <w:rPr>
                <w:rFonts w:ascii="Arial" w:hAnsi="Arial" w:cs="Arial"/>
                <w:b/>
                <w:sz w:val="20"/>
                <w:lang w:val="en-IN"/>
              </w:rPr>
              <w:t>21</w:t>
            </w:r>
          </w:p>
        </w:tc>
        <w:tc>
          <w:tcPr>
            <w:tcW w:w="1897" w:type="dxa"/>
            <w:tcMar>
              <w:top w:w="28" w:type="dxa"/>
            </w:tcMar>
            <w:vAlign w:val="bottom"/>
          </w:tcPr>
          <w:p w14:paraId="1F11EAFE" w14:textId="77777777" w:rsidR="0086091A" w:rsidRPr="00E70587" w:rsidRDefault="0086091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716" w:type="dxa"/>
            <w:tcMar>
              <w:top w:w="28" w:type="dxa"/>
            </w:tcMar>
            <w:vAlign w:val="bottom"/>
          </w:tcPr>
          <w:p w14:paraId="0D70CDC5"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INR Lacs</w:t>
            </w:r>
          </w:p>
        </w:tc>
      </w:tr>
      <w:tr w:rsidR="0086091A" w:rsidRPr="00E70587" w14:paraId="0B39FEBF" w14:textId="77777777" w:rsidTr="00561373">
        <w:tc>
          <w:tcPr>
            <w:tcW w:w="5963" w:type="dxa"/>
            <w:tcMar>
              <w:top w:w="28" w:type="dxa"/>
            </w:tcMar>
            <w:vAlign w:val="bottom"/>
          </w:tcPr>
          <w:p w14:paraId="070CD2EE"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INR</w:t>
            </w:r>
          </w:p>
        </w:tc>
        <w:tc>
          <w:tcPr>
            <w:tcW w:w="1897" w:type="dxa"/>
            <w:tcMar>
              <w:top w:w="28" w:type="dxa"/>
            </w:tcMar>
            <w:vAlign w:val="bottom"/>
          </w:tcPr>
          <w:p w14:paraId="12049E0D" w14:textId="77777777" w:rsidR="0086091A" w:rsidRPr="00E70587" w:rsidRDefault="0086091A" w:rsidP="009901E1">
            <w:pPr>
              <w:pStyle w:val="tabletext"/>
              <w:spacing w:line="280" w:lineRule="exact"/>
              <w:jc w:val="right"/>
              <w:rPr>
                <w:rFonts w:ascii="Arial" w:hAnsi="Arial" w:cs="Arial"/>
                <w:sz w:val="20"/>
                <w:lang w:val="en-IN"/>
              </w:rPr>
            </w:pPr>
            <w:r w:rsidRPr="00E70587">
              <w:rPr>
                <w:rFonts w:ascii="Arial" w:hAnsi="Arial" w:cs="Arial"/>
                <w:sz w:val="20"/>
                <w:lang w:val="en-IN"/>
              </w:rPr>
              <w:t>+50</w:t>
            </w:r>
          </w:p>
        </w:tc>
        <w:tc>
          <w:tcPr>
            <w:tcW w:w="1716" w:type="dxa"/>
            <w:tcMar>
              <w:top w:w="28" w:type="dxa"/>
              <w:right w:w="0" w:type="dxa"/>
            </w:tcMar>
            <w:vAlign w:val="bottom"/>
          </w:tcPr>
          <w:p w14:paraId="563004EE"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(86)</w:t>
            </w:r>
          </w:p>
        </w:tc>
      </w:tr>
      <w:tr w:rsidR="0086091A" w:rsidRPr="00E70587" w14:paraId="3FB75A4C" w14:textId="77777777" w:rsidTr="00561373">
        <w:tc>
          <w:tcPr>
            <w:tcW w:w="5963" w:type="dxa"/>
            <w:tcMar>
              <w:top w:w="28" w:type="dxa"/>
            </w:tcMar>
            <w:vAlign w:val="bottom"/>
          </w:tcPr>
          <w:p w14:paraId="4AEEA886"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US dollar</w:t>
            </w:r>
          </w:p>
        </w:tc>
        <w:tc>
          <w:tcPr>
            <w:tcW w:w="1897" w:type="dxa"/>
            <w:tcMar>
              <w:top w:w="28" w:type="dxa"/>
            </w:tcMar>
            <w:vAlign w:val="bottom"/>
          </w:tcPr>
          <w:p w14:paraId="40C3ECEE" w14:textId="77777777" w:rsidR="0086091A" w:rsidRPr="00E70587" w:rsidRDefault="0086091A" w:rsidP="009901E1">
            <w:pPr>
              <w:pStyle w:val="tabletext"/>
              <w:spacing w:line="280" w:lineRule="exact"/>
              <w:jc w:val="right"/>
              <w:rPr>
                <w:rFonts w:ascii="Arial" w:hAnsi="Arial" w:cs="Arial"/>
                <w:sz w:val="20"/>
                <w:lang w:val="en-IN"/>
              </w:rPr>
            </w:pPr>
            <w:r w:rsidRPr="00E70587">
              <w:rPr>
                <w:rFonts w:ascii="Arial" w:hAnsi="Arial" w:cs="Arial"/>
                <w:sz w:val="20"/>
                <w:lang w:val="en-IN"/>
              </w:rPr>
              <w:t>+60</w:t>
            </w:r>
          </w:p>
        </w:tc>
        <w:tc>
          <w:tcPr>
            <w:tcW w:w="1716" w:type="dxa"/>
            <w:tcMar>
              <w:top w:w="28" w:type="dxa"/>
              <w:right w:w="0" w:type="dxa"/>
            </w:tcMar>
            <w:vAlign w:val="bottom"/>
          </w:tcPr>
          <w:p w14:paraId="37652E8B"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(23)</w:t>
            </w:r>
          </w:p>
        </w:tc>
      </w:tr>
      <w:tr w:rsidR="0086091A" w:rsidRPr="00E70587" w14:paraId="3BFDF756" w14:textId="77777777" w:rsidTr="00561373">
        <w:tc>
          <w:tcPr>
            <w:tcW w:w="5963" w:type="dxa"/>
            <w:tcMar>
              <w:top w:w="28" w:type="dxa"/>
            </w:tcMar>
            <w:vAlign w:val="bottom"/>
          </w:tcPr>
          <w:p w14:paraId="780FDA3E"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897" w:type="dxa"/>
            <w:tcMar>
              <w:top w:w="28" w:type="dxa"/>
            </w:tcMar>
            <w:vAlign w:val="bottom"/>
          </w:tcPr>
          <w:p w14:paraId="1334650D" w14:textId="77777777" w:rsidR="0086091A" w:rsidRPr="00E70587" w:rsidRDefault="0086091A" w:rsidP="009901E1">
            <w:pPr>
              <w:pStyle w:val="tabletext"/>
              <w:spacing w:line="280" w:lineRule="exact"/>
              <w:jc w:val="right"/>
              <w:rPr>
                <w:rFonts w:ascii="Arial" w:hAnsi="Arial" w:cs="Arial"/>
                <w:sz w:val="20"/>
                <w:lang w:val="en-IN"/>
              </w:rPr>
            </w:pPr>
          </w:p>
        </w:tc>
        <w:tc>
          <w:tcPr>
            <w:tcW w:w="1716" w:type="dxa"/>
            <w:tcMar>
              <w:top w:w="28" w:type="dxa"/>
            </w:tcMar>
            <w:vAlign w:val="bottom"/>
          </w:tcPr>
          <w:p w14:paraId="5C15662F" w14:textId="77777777" w:rsidR="0086091A" w:rsidRPr="00E70587" w:rsidRDefault="0086091A" w:rsidP="009901E1">
            <w:pPr>
              <w:overflowPunct/>
              <w:spacing w:line="280" w:lineRule="exact"/>
              <w:jc w:val="right"/>
              <w:textAlignment w:val="auto"/>
              <w:rPr>
                <w:rFonts w:ascii="Arial" w:hAnsi="Arial" w:cs="Arial"/>
                <w:sz w:val="20"/>
                <w:lang w:eastAsia="en-GB"/>
              </w:rPr>
            </w:pPr>
          </w:p>
        </w:tc>
      </w:tr>
      <w:tr w:rsidR="0086091A" w:rsidRPr="00E70587" w14:paraId="10B56883" w14:textId="77777777" w:rsidTr="00561373">
        <w:tc>
          <w:tcPr>
            <w:tcW w:w="5963" w:type="dxa"/>
            <w:tcMar>
              <w:top w:w="28" w:type="dxa"/>
            </w:tcMar>
            <w:vAlign w:val="bottom"/>
          </w:tcPr>
          <w:p w14:paraId="1906650D"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INR</w:t>
            </w:r>
          </w:p>
        </w:tc>
        <w:tc>
          <w:tcPr>
            <w:tcW w:w="1897" w:type="dxa"/>
            <w:tcMar>
              <w:top w:w="28" w:type="dxa"/>
            </w:tcMar>
            <w:vAlign w:val="bottom"/>
          </w:tcPr>
          <w:p w14:paraId="255F7027" w14:textId="77777777" w:rsidR="0086091A" w:rsidRPr="00E70587" w:rsidRDefault="0086091A" w:rsidP="009901E1">
            <w:pPr>
              <w:pStyle w:val="tabletext"/>
              <w:spacing w:line="280" w:lineRule="exact"/>
              <w:jc w:val="right"/>
              <w:rPr>
                <w:rFonts w:ascii="Arial" w:hAnsi="Arial" w:cs="Arial"/>
                <w:sz w:val="20"/>
                <w:lang w:val="en-IN"/>
              </w:rPr>
            </w:pPr>
            <w:r w:rsidRPr="00E70587">
              <w:rPr>
                <w:rFonts w:ascii="Arial" w:hAnsi="Arial" w:cs="Arial"/>
                <w:sz w:val="20"/>
                <w:lang w:val="en-IN"/>
              </w:rPr>
              <w:t>-50</w:t>
            </w:r>
          </w:p>
        </w:tc>
        <w:tc>
          <w:tcPr>
            <w:tcW w:w="1716" w:type="dxa"/>
            <w:tcMar>
              <w:top w:w="28" w:type="dxa"/>
            </w:tcMar>
            <w:vAlign w:val="bottom"/>
          </w:tcPr>
          <w:p w14:paraId="595E4622"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59</w:t>
            </w:r>
          </w:p>
        </w:tc>
      </w:tr>
      <w:tr w:rsidR="0086091A" w:rsidRPr="00E70587" w14:paraId="5478EFA9" w14:textId="77777777" w:rsidTr="00561373">
        <w:tc>
          <w:tcPr>
            <w:tcW w:w="5963" w:type="dxa"/>
            <w:tcMar>
              <w:top w:w="28" w:type="dxa"/>
            </w:tcMar>
            <w:vAlign w:val="bottom"/>
          </w:tcPr>
          <w:p w14:paraId="1A771B1F"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US dollar</w:t>
            </w:r>
          </w:p>
        </w:tc>
        <w:tc>
          <w:tcPr>
            <w:tcW w:w="1897" w:type="dxa"/>
            <w:tcMar>
              <w:top w:w="28" w:type="dxa"/>
            </w:tcMar>
            <w:vAlign w:val="bottom"/>
          </w:tcPr>
          <w:p w14:paraId="66582A35" w14:textId="77777777" w:rsidR="0086091A" w:rsidRPr="00E70587" w:rsidRDefault="0086091A" w:rsidP="009901E1">
            <w:pPr>
              <w:pStyle w:val="tabletext"/>
              <w:spacing w:line="280" w:lineRule="exact"/>
              <w:jc w:val="right"/>
              <w:rPr>
                <w:rFonts w:ascii="Arial" w:hAnsi="Arial" w:cs="Arial"/>
                <w:sz w:val="20"/>
                <w:lang w:val="en-IN"/>
              </w:rPr>
            </w:pPr>
            <w:r w:rsidRPr="00E70587">
              <w:rPr>
                <w:rFonts w:ascii="Arial" w:hAnsi="Arial" w:cs="Arial"/>
                <w:sz w:val="20"/>
                <w:lang w:val="en-IN"/>
              </w:rPr>
              <w:t>-60</w:t>
            </w:r>
          </w:p>
        </w:tc>
        <w:tc>
          <w:tcPr>
            <w:tcW w:w="1716" w:type="dxa"/>
            <w:tcMar>
              <w:top w:w="28" w:type="dxa"/>
            </w:tcMar>
            <w:vAlign w:val="bottom"/>
          </w:tcPr>
          <w:p w14:paraId="5F582B10"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22</w:t>
            </w:r>
          </w:p>
        </w:tc>
      </w:tr>
      <w:tr w:rsidR="0086091A" w:rsidRPr="00E70587" w14:paraId="69963ECC" w14:textId="77777777" w:rsidTr="00561373">
        <w:tc>
          <w:tcPr>
            <w:tcW w:w="5963" w:type="dxa"/>
            <w:tcMar>
              <w:top w:w="28" w:type="dxa"/>
            </w:tcMar>
            <w:vAlign w:val="bottom"/>
          </w:tcPr>
          <w:p w14:paraId="3E8F00FC"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897" w:type="dxa"/>
            <w:tcMar>
              <w:top w:w="28" w:type="dxa"/>
            </w:tcMar>
            <w:vAlign w:val="bottom"/>
          </w:tcPr>
          <w:p w14:paraId="0F258E2E" w14:textId="77777777" w:rsidR="0086091A" w:rsidRPr="00E70587" w:rsidRDefault="0086091A" w:rsidP="009901E1">
            <w:pPr>
              <w:pStyle w:val="tabletext"/>
              <w:spacing w:line="280" w:lineRule="exact"/>
              <w:jc w:val="right"/>
              <w:rPr>
                <w:rFonts w:ascii="Arial" w:hAnsi="Arial" w:cs="Arial"/>
                <w:sz w:val="20"/>
                <w:lang w:val="en-IN"/>
              </w:rPr>
            </w:pPr>
          </w:p>
        </w:tc>
        <w:tc>
          <w:tcPr>
            <w:tcW w:w="1716" w:type="dxa"/>
            <w:tcMar>
              <w:top w:w="28" w:type="dxa"/>
            </w:tcMar>
            <w:vAlign w:val="bottom"/>
          </w:tcPr>
          <w:p w14:paraId="2ECC2AE4" w14:textId="77777777" w:rsidR="0086091A" w:rsidRPr="00E70587" w:rsidRDefault="0086091A" w:rsidP="009901E1">
            <w:pPr>
              <w:overflowPunct/>
              <w:spacing w:line="280" w:lineRule="exact"/>
              <w:jc w:val="right"/>
              <w:textAlignment w:val="auto"/>
              <w:rPr>
                <w:rFonts w:ascii="Arial" w:hAnsi="Arial" w:cs="Arial"/>
                <w:sz w:val="20"/>
                <w:lang w:eastAsia="en-GB"/>
              </w:rPr>
            </w:pPr>
          </w:p>
        </w:tc>
      </w:tr>
      <w:tr w:rsidR="0086091A" w:rsidRPr="00E70587" w14:paraId="455A778F" w14:textId="77777777" w:rsidTr="00561373">
        <w:tc>
          <w:tcPr>
            <w:tcW w:w="5963" w:type="dxa"/>
            <w:tcMar>
              <w:top w:w="28" w:type="dxa"/>
            </w:tcMar>
            <w:vAlign w:val="bottom"/>
          </w:tcPr>
          <w:p w14:paraId="43F40D5F" w14:textId="3CCA206E"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31 </w:t>
            </w:r>
            <w:r w:rsidR="008B730E" w:rsidRPr="00E70587">
              <w:rPr>
                <w:rFonts w:ascii="Arial" w:hAnsi="Arial" w:cs="Arial"/>
                <w:b/>
                <w:sz w:val="20"/>
                <w:lang w:val="en-IN"/>
              </w:rPr>
              <w:t xml:space="preserve">March </w:t>
            </w:r>
            <w:r w:rsidR="00446854" w:rsidRPr="00E70587">
              <w:rPr>
                <w:rFonts w:ascii="Arial" w:hAnsi="Arial" w:cs="Arial"/>
                <w:b/>
                <w:sz w:val="20"/>
                <w:lang w:val="en-IN"/>
              </w:rPr>
              <w:t>20</w:t>
            </w:r>
            <w:r w:rsidR="00446854">
              <w:rPr>
                <w:rFonts w:ascii="Arial" w:hAnsi="Arial" w:cs="Arial"/>
                <w:b/>
                <w:sz w:val="20"/>
                <w:lang w:val="en-IN"/>
              </w:rPr>
              <w:t>20</w:t>
            </w:r>
          </w:p>
        </w:tc>
        <w:tc>
          <w:tcPr>
            <w:tcW w:w="1897" w:type="dxa"/>
            <w:tcMar>
              <w:top w:w="28" w:type="dxa"/>
            </w:tcMar>
            <w:vAlign w:val="bottom"/>
          </w:tcPr>
          <w:p w14:paraId="04B1D99F" w14:textId="77777777" w:rsidR="0086091A" w:rsidRPr="00E70587" w:rsidRDefault="0086091A" w:rsidP="009901E1">
            <w:pPr>
              <w:pStyle w:val="tabletext"/>
              <w:spacing w:line="280" w:lineRule="exact"/>
              <w:jc w:val="right"/>
              <w:rPr>
                <w:rFonts w:ascii="Arial" w:hAnsi="Arial" w:cs="Arial"/>
                <w:sz w:val="20"/>
                <w:lang w:val="en-IN"/>
              </w:rPr>
            </w:pPr>
          </w:p>
        </w:tc>
        <w:tc>
          <w:tcPr>
            <w:tcW w:w="1716" w:type="dxa"/>
            <w:tcMar>
              <w:top w:w="28" w:type="dxa"/>
            </w:tcMar>
            <w:vAlign w:val="bottom"/>
          </w:tcPr>
          <w:p w14:paraId="35F64FA7" w14:textId="77777777" w:rsidR="0086091A" w:rsidRPr="00E70587" w:rsidRDefault="0086091A" w:rsidP="009901E1">
            <w:pPr>
              <w:overflowPunct/>
              <w:spacing w:line="280" w:lineRule="exact"/>
              <w:jc w:val="right"/>
              <w:textAlignment w:val="auto"/>
              <w:rPr>
                <w:rFonts w:ascii="Arial" w:hAnsi="Arial" w:cs="Arial"/>
                <w:sz w:val="20"/>
                <w:lang w:eastAsia="en-GB"/>
              </w:rPr>
            </w:pPr>
          </w:p>
        </w:tc>
      </w:tr>
      <w:tr w:rsidR="0086091A" w:rsidRPr="00E70587" w14:paraId="69863D31" w14:textId="77777777" w:rsidTr="00561373">
        <w:tc>
          <w:tcPr>
            <w:tcW w:w="5963" w:type="dxa"/>
            <w:tcMar>
              <w:top w:w="28" w:type="dxa"/>
            </w:tcMar>
            <w:vAlign w:val="bottom"/>
          </w:tcPr>
          <w:p w14:paraId="3AA98423"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INR</w:t>
            </w:r>
          </w:p>
        </w:tc>
        <w:tc>
          <w:tcPr>
            <w:tcW w:w="1897" w:type="dxa"/>
            <w:tcMar>
              <w:top w:w="28" w:type="dxa"/>
            </w:tcMar>
            <w:vAlign w:val="bottom"/>
          </w:tcPr>
          <w:p w14:paraId="143F0EBB" w14:textId="77777777" w:rsidR="0086091A" w:rsidRPr="00E70587" w:rsidRDefault="0086091A" w:rsidP="009901E1">
            <w:pPr>
              <w:pStyle w:val="tabletext"/>
              <w:spacing w:line="280" w:lineRule="exact"/>
              <w:jc w:val="right"/>
              <w:rPr>
                <w:rFonts w:ascii="Arial" w:hAnsi="Arial" w:cs="Arial"/>
                <w:sz w:val="20"/>
                <w:lang w:val="en-IN"/>
              </w:rPr>
            </w:pPr>
            <w:r w:rsidRPr="00E70587">
              <w:rPr>
                <w:rFonts w:ascii="Arial" w:hAnsi="Arial" w:cs="Arial"/>
                <w:sz w:val="20"/>
                <w:lang w:val="en-IN"/>
              </w:rPr>
              <w:t>+50</w:t>
            </w:r>
          </w:p>
        </w:tc>
        <w:tc>
          <w:tcPr>
            <w:tcW w:w="1716" w:type="dxa"/>
            <w:tcMar>
              <w:top w:w="28" w:type="dxa"/>
              <w:right w:w="0" w:type="dxa"/>
            </w:tcMar>
            <w:vAlign w:val="bottom"/>
          </w:tcPr>
          <w:p w14:paraId="5224D182"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(134)</w:t>
            </w:r>
          </w:p>
        </w:tc>
      </w:tr>
      <w:tr w:rsidR="0086091A" w:rsidRPr="00E70587" w14:paraId="7F4E66AA" w14:textId="77777777" w:rsidTr="00561373">
        <w:tc>
          <w:tcPr>
            <w:tcW w:w="5963" w:type="dxa"/>
            <w:tcMar>
              <w:top w:w="28" w:type="dxa"/>
            </w:tcMar>
            <w:vAlign w:val="bottom"/>
          </w:tcPr>
          <w:p w14:paraId="5DE68041"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US dollar</w:t>
            </w:r>
          </w:p>
        </w:tc>
        <w:tc>
          <w:tcPr>
            <w:tcW w:w="1897" w:type="dxa"/>
            <w:tcMar>
              <w:top w:w="28" w:type="dxa"/>
            </w:tcMar>
            <w:vAlign w:val="bottom"/>
          </w:tcPr>
          <w:p w14:paraId="6ED31653" w14:textId="77777777" w:rsidR="0086091A" w:rsidRPr="00E70587" w:rsidRDefault="0086091A" w:rsidP="009901E1">
            <w:pPr>
              <w:pStyle w:val="tabletext"/>
              <w:spacing w:line="280" w:lineRule="exact"/>
              <w:jc w:val="right"/>
              <w:rPr>
                <w:rFonts w:ascii="Arial" w:hAnsi="Arial" w:cs="Arial"/>
                <w:sz w:val="20"/>
                <w:lang w:val="en-IN"/>
              </w:rPr>
            </w:pPr>
            <w:r w:rsidRPr="00E70587">
              <w:rPr>
                <w:rFonts w:ascii="Arial" w:hAnsi="Arial" w:cs="Arial"/>
                <w:sz w:val="20"/>
                <w:lang w:val="en-IN"/>
              </w:rPr>
              <w:t>+15</w:t>
            </w:r>
          </w:p>
        </w:tc>
        <w:tc>
          <w:tcPr>
            <w:tcW w:w="1716" w:type="dxa"/>
            <w:tcMar>
              <w:top w:w="28" w:type="dxa"/>
            </w:tcMar>
            <w:vAlign w:val="bottom"/>
          </w:tcPr>
          <w:p w14:paraId="330C70C1"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86091A" w:rsidRPr="00E70587" w14:paraId="4DBBDB47" w14:textId="77777777" w:rsidTr="00561373">
        <w:tc>
          <w:tcPr>
            <w:tcW w:w="5963" w:type="dxa"/>
            <w:tcMar>
              <w:top w:w="28" w:type="dxa"/>
            </w:tcMar>
            <w:vAlign w:val="bottom"/>
          </w:tcPr>
          <w:p w14:paraId="7DC57DB1"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897" w:type="dxa"/>
            <w:tcMar>
              <w:top w:w="28" w:type="dxa"/>
            </w:tcMar>
            <w:vAlign w:val="bottom"/>
          </w:tcPr>
          <w:p w14:paraId="1C73EBE9" w14:textId="77777777" w:rsidR="0086091A" w:rsidRPr="00E70587" w:rsidRDefault="0086091A" w:rsidP="009901E1">
            <w:pPr>
              <w:pStyle w:val="tabletext"/>
              <w:spacing w:line="280" w:lineRule="exact"/>
              <w:jc w:val="right"/>
              <w:rPr>
                <w:rFonts w:ascii="Arial" w:hAnsi="Arial" w:cs="Arial"/>
                <w:sz w:val="20"/>
                <w:lang w:val="en-IN"/>
              </w:rPr>
            </w:pPr>
          </w:p>
        </w:tc>
        <w:tc>
          <w:tcPr>
            <w:tcW w:w="1716" w:type="dxa"/>
            <w:tcMar>
              <w:top w:w="28" w:type="dxa"/>
            </w:tcMar>
            <w:vAlign w:val="bottom"/>
          </w:tcPr>
          <w:p w14:paraId="262DFFD2" w14:textId="77777777" w:rsidR="0086091A" w:rsidRPr="00E70587" w:rsidRDefault="0086091A" w:rsidP="009901E1">
            <w:pPr>
              <w:overflowPunct/>
              <w:spacing w:line="280" w:lineRule="exact"/>
              <w:jc w:val="right"/>
              <w:textAlignment w:val="auto"/>
              <w:rPr>
                <w:rFonts w:ascii="Arial" w:hAnsi="Arial" w:cs="Arial"/>
                <w:sz w:val="20"/>
                <w:lang w:eastAsia="en-GB"/>
              </w:rPr>
            </w:pPr>
          </w:p>
        </w:tc>
      </w:tr>
      <w:tr w:rsidR="0086091A" w:rsidRPr="00E70587" w14:paraId="14457757" w14:textId="77777777" w:rsidTr="00561373">
        <w:tc>
          <w:tcPr>
            <w:tcW w:w="5963" w:type="dxa"/>
            <w:tcMar>
              <w:top w:w="28" w:type="dxa"/>
            </w:tcMar>
            <w:vAlign w:val="bottom"/>
          </w:tcPr>
          <w:p w14:paraId="3AD81147"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INR</w:t>
            </w:r>
          </w:p>
        </w:tc>
        <w:tc>
          <w:tcPr>
            <w:tcW w:w="1897" w:type="dxa"/>
            <w:tcMar>
              <w:top w:w="28" w:type="dxa"/>
            </w:tcMar>
            <w:vAlign w:val="bottom"/>
          </w:tcPr>
          <w:p w14:paraId="0E1BAC82" w14:textId="77777777" w:rsidR="0086091A" w:rsidRPr="00E70587" w:rsidRDefault="0086091A" w:rsidP="009901E1">
            <w:pPr>
              <w:pStyle w:val="tabletext"/>
              <w:spacing w:line="280" w:lineRule="exact"/>
              <w:jc w:val="right"/>
              <w:rPr>
                <w:rFonts w:ascii="Arial" w:hAnsi="Arial" w:cs="Arial"/>
                <w:sz w:val="20"/>
                <w:lang w:val="en-IN"/>
              </w:rPr>
            </w:pPr>
            <w:r w:rsidRPr="00E70587">
              <w:rPr>
                <w:rFonts w:ascii="Arial" w:hAnsi="Arial" w:cs="Arial"/>
                <w:sz w:val="20"/>
                <w:lang w:val="en-IN"/>
              </w:rPr>
              <w:t>-50</w:t>
            </w:r>
          </w:p>
        </w:tc>
        <w:tc>
          <w:tcPr>
            <w:tcW w:w="1716" w:type="dxa"/>
            <w:tcMar>
              <w:top w:w="28" w:type="dxa"/>
            </w:tcMar>
            <w:vAlign w:val="bottom"/>
          </w:tcPr>
          <w:p w14:paraId="56B5B74A"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112</w:t>
            </w:r>
          </w:p>
        </w:tc>
      </w:tr>
      <w:tr w:rsidR="0086091A" w:rsidRPr="00E70587" w14:paraId="4A5B15ED" w14:textId="77777777" w:rsidTr="00561373">
        <w:tc>
          <w:tcPr>
            <w:tcW w:w="5963" w:type="dxa"/>
            <w:tcMar>
              <w:top w:w="28" w:type="dxa"/>
            </w:tcMar>
            <w:vAlign w:val="bottom"/>
          </w:tcPr>
          <w:p w14:paraId="47FFF5D5"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US dollar</w:t>
            </w:r>
          </w:p>
        </w:tc>
        <w:tc>
          <w:tcPr>
            <w:tcW w:w="1897" w:type="dxa"/>
            <w:tcMar>
              <w:top w:w="28" w:type="dxa"/>
            </w:tcMar>
            <w:vAlign w:val="bottom"/>
          </w:tcPr>
          <w:p w14:paraId="4186D32E" w14:textId="77777777" w:rsidR="0086091A" w:rsidRPr="00E70587" w:rsidRDefault="0086091A" w:rsidP="009901E1">
            <w:pPr>
              <w:pStyle w:val="tabletext"/>
              <w:spacing w:line="280" w:lineRule="exact"/>
              <w:jc w:val="right"/>
              <w:rPr>
                <w:rFonts w:ascii="Arial" w:hAnsi="Arial" w:cs="Arial"/>
                <w:sz w:val="20"/>
                <w:lang w:val="en-IN"/>
              </w:rPr>
            </w:pPr>
            <w:r w:rsidRPr="00E70587">
              <w:rPr>
                <w:rFonts w:ascii="Arial" w:hAnsi="Arial" w:cs="Arial"/>
                <w:sz w:val="20"/>
                <w:lang w:val="en-IN"/>
              </w:rPr>
              <w:t>-15</w:t>
            </w:r>
          </w:p>
        </w:tc>
        <w:tc>
          <w:tcPr>
            <w:tcW w:w="1716" w:type="dxa"/>
            <w:tcMar>
              <w:top w:w="28" w:type="dxa"/>
            </w:tcMar>
            <w:vAlign w:val="bottom"/>
          </w:tcPr>
          <w:p w14:paraId="6C606DA4"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w:t>
            </w:r>
          </w:p>
        </w:tc>
      </w:tr>
      <w:tr w:rsidR="0086091A" w:rsidRPr="00E70587" w14:paraId="1FFA3BBA" w14:textId="77777777" w:rsidTr="00834981">
        <w:tblPrEx>
          <w:tblLook w:val="0000" w:firstRow="0" w:lastRow="0" w:firstColumn="0" w:lastColumn="0" w:noHBand="0" w:noVBand="0"/>
        </w:tblPrEx>
        <w:tc>
          <w:tcPr>
            <w:tcW w:w="9576" w:type="dxa"/>
            <w:gridSpan w:val="3"/>
          </w:tcPr>
          <w:p w14:paraId="23650DED" w14:textId="77777777" w:rsidR="00561373" w:rsidRPr="00E70587" w:rsidRDefault="00561373" w:rsidP="00561373">
            <w:pPr>
              <w:pStyle w:val="Notesbodytext"/>
              <w:spacing w:after="0" w:line="280" w:lineRule="exact"/>
              <w:jc w:val="both"/>
              <w:rPr>
                <w:rFonts w:ascii="Arial" w:hAnsi="Arial"/>
                <w:color w:val="auto"/>
                <w:sz w:val="20"/>
              </w:rPr>
            </w:pPr>
          </w:p>
          <w:p w14:paraId="76D3F4FE" w14:textId="77777777" w:rsidR="0086091A" w:rsidRPr="00E70587" w:rsidRDefault="0086091A" w:rsidP="00561373">
            <w:pPr>
              <w:pStyle w:val="Notesbodytext"/>
              <w:spacing w:after="0" w:line="280" w:lineRule="exact"/>
              <w:jc w:val="both"/>
              <w:rPr>
                <w:rFonts w:ascii="Arial" w:hAnsi="Arial"/>
                <w:color w:val="auto"/>
                <w:sz w:val="20"/>
              </w:rPr>
            </w:pPr>
            <w:r w:rsidRPr="00E70587">
              <w:rPr>
                <w:rFonts w:ascii="Arial" w:hAnsi="Arial"/>
                <w:color w:val="auto"/>
                <w:sz w:val="20"/>
              </w:rPr>
              <w:t>The assumed movement in basis points for the interest rate sensitivity analysis is based on the currently observable market environment, showing a significantly higher volatility than in prior years.</w:t>
            </w:r>
          </w:p>
          <w:p w14:paraId="3C6AA172" w14:textId="77777777" w:rsidR="00561373" w:rsidRPr="00E70587" w:rsidRDefault="00561373" w:rsidP="00561373">
            <w:pPr>
              <w:pStyle w:val="Notesbodytext"/>
              <w:spacing w:after="0" w:line="280" w:lineRule="exact"/>
              <w:jc w:val="both"/>
              <w:rPr>
                <w:rFonts w:ascii="Arial" w:hAnsi="Arial"/>
                <w:color w:val="auto"/>
                <w:sz w:val="20"/>
              </w:rPr>
            </w:pPr>
          </w:p>
          <w:p w14:paraId="61C05EEA" w14:textId="77777777" w:rsidR="0086091A" w:rsidRPr="00E70587" w:rsidRDefault="0086091A" w:rsidP="00561373">
            <w:pPr>
              <w:spacing w:line="280" w:lineRule="exact"/>
              <w:jc w:val="both"/>
              <w:rPr>
                <w:rFonts w:ascii="Arial" w:hAnsi="Arial" w:cs="Arial"/>
                <w:b/>
                <w:sz w:val="20"/>
              </w:rPr>
            </w:pPr>
            <w:r w:rsidRPr="00E70587">
              <w:rPr>
                <w:rFonts w:ascii="Arial" w:hAnsi="Arial" w:cs="Arial"/>
                <w:b/>
                <w:sz w:val="20"/>
              </w:rPr>
              <w:t>Foreign currency risk</w:t>
            </w:r>
          </w:p>
          <w:p w14:paraId="2C06224F" w14:textId="77777777" w:rsidR="00561373" w:rsidRPr="00E70587" w:rsidRDefault="00561373" w:rsidP="00561373">
            <w:pPr>
              <w:pStyle w:val="Notesbodytext"/>
              <w:spacing w:after="0" w:line="280" w:lineRule="exact"/>
              <w:jc w:val="both"/>
              <w:rPr>
                <w:rFonts w:ascii="Arial" w:hAnsi="Arial"/>
                <w:color w:val="auto"/>
                <w:sz w:val="20"/>
              </w:rPr>
            </w:pPr>
          </w:p>
          <w:p w14:paraId="025EE860" w14:textId="77777777" w:rsidR="0086091A" w:rsidRPr="00E70587" w:rsidRDefault="0086091A" w:rsidP="00561373">
            <w:pPr>
              <w:pStyle w:val="Notesbodytext"/>
              <w:spacing w:after="0" w:line="280" w:lineRule="exact"/>
              <w:jc w:val="both"/>
              <w:rPr>
                <w:rFonts w:ascii="Arial" w:hAnsi="Arial"/>
                <w:color w:val="auto"/>
                <w:sz w:val="20"/>
              </w:rPr>
            </w:pPr>
            <w:r w:rsidRPr="00E70587">
              <w:rPr>
                <w:rFonts w:ascii="Arial" w:hAnsi="Arial"/>
                <w:color w:val="auto"/>
                <w:sz w:val="20"/>
              </w:rPr>
              <w:t>Foreign currency risk is the risk that the fair value or future cash flows of an exposure will fluctuate because of changes in foreign exchange rates. The Group’s exposure to the risk of changes in foreign exchange rates relates primarily to the Group’s operating activities (when revenue or expense is denominated in a foreign currency) and the Group’s net investments in foreign subsidiaries.</w:t>
            </w:r>
          </w:p>
          <w:p w14:paraId="0E055CC8" w14:textId="77777777" w:rsidR="00561373" w:rsidRPr="00E70587" w:rsidRDefault="00561373" w:rsidP="00561373">
            <w:pPr>
              <w:pStyle w:val="Notesbodytext"/>
              <w:spacing w:after="0" w:line="280" w:lineRule="exact"/>
              <w:jc w:val="both"/>
              <w:rPr>
                <w:rFonts w:ascii="Arial" w:hAnsi="Arial"/>
                <w:color w:val="auto"/>
                <w:sz w:val="20"/>
              </w:rPr>
            </w:pPr>
          </w:p>
          <w:p w14:paraId="7EC51715" w14:textId="77777777" w:rsidR="0086091A" w:rsidRPr="00E70587" w:rsidRDefault="0086091A" w:rsidP="00561373">
            <w:pPr>
              <w:pStyle w:val="Notesbodytext"/>
              <w:spacing w:after="0" w:line="280" w:lineRule="exact"/>
              <w:jc w:val="both"/>
              <w:rPr>
                <w:rFonts w:ascii="Arial" w:hAnsi="Arial"/>
                <w:color w:val="auto"/>
                <w:sz w:val="20"/>
              </w:rPr>
            </w:pPr>
            <w:r w:rsidRPr="00E70587">
              <w:rPr>
                <w:rFonts w:ascii="Arial" w:hAnsi="Arial"/>
                <w:color w:val="auto"/>
                <w:sz w:val="20"/>
              </w:rPr>
              <w:t>The Group manages its foreign currency risk by hedging transactions that are expected to occur within a maximum 12-month period for hedges of forecasted sales and purchases and 24-month period for net investment hedges.</w:t>
            </w:r>
          </w:p>
          <w:p w14:paraId="6A137AD6" w14:textId="77777777" w:rsidR="00561373" w:rsidRPr="00E70587" w:rsidRDefault="00561373" w:rsidP="00561373">
            <w:pPr>
              <w:pStyle w:val="Notesbodytext"/>
              <w:spacing w:after="0" w:line="280" w:lineRule="exact"/>
              <w:jc w:val="both"/>
              <w:rPr>
                <w:rFonts w:ascii="Arial" w:hAnsi="Arial"/>
                <w:color w:val="auto"/>
                <w:sz w:val="20"/>
              </w:rPr>
            </w:pPr>
          </w:p>
          <w:p w14:paraId="085C477A" w14:textId="77777777" w:rsidR="0086091A" w:rsidRPr="00E70587" w:rsidRDefault="0086091A" w:rsidP="00561373">
            <w:pPr>
              <w:pStyle w:val="Notesbodytext"/>
              <w:spacing w:after="0" w:line="280" w:lineRule="exact"/>
              <w:jc w:val="both"/>
              <w:rPr>
                <w:rFonts w:ascii="Arial" w:hAnsi="Arial"/>
                <w:color w:val="auto"/>
                <w:sz w:val="20"/>
              </w:rPr>
            </w:pPr>
            <w:r w:rsidRPr="00E70587">
              <w:rPr>
                <w:rFonts w:ascii="Arial" w:hAnsi="Arial"/>
                <w:color w:val="auto"/>
                <w:sz w:val="20"/>
              </w:rPr>
              <w:t xml:space="preserve">When a derivative is entered into for the purpose of being a hedge, the Group negotiates the terms of those derivatives to match the terms of the hedged exposure. For hedges of forecast </w:t>
            </w:r>
            <w:proofErr w:type="gramStart"/>
            <w:r w:rsidRPr="00E70587">
              <w:rPr>
                <w:rFonts w:ascii="Arial" w:hAnsi="Arial"/>
                <w:color w:val="auto"/>
                <w:sz w:val="20"/>
              </w:rPr>
              <w:t>transactions</w:t>
            </w:r>
            <w:proofErr w:type="gramEnd"/>
            <w:r w:rsidRPr="00E70587">
              <w:rPr>
                <w:rFonts w:ascii="Arial" w:hAnsi="Arial"/>
                <w:color w:val="auto"/>
                <w:sz w:val="20"/>
              </w:rPr>
              <w:t xml:space="preserve"> the derivatives </w:t>
            </w:r>
            <w:r w:rsidRPr="00E70587">
              <w:rPr>
                <w:rFonts w:ascii="Arial" w:hAnsi="Arial"/>
                <w:color w:val="auto"/>
                <w:sz w:val="20"/>
              </w:rPr>
              <w:lastRenderedPageBreak/>
              <w:t>cover the period of exposure from the point the cash flows of the transactions are forecasted up to the point of settlement of the resulting receivable or payable that is denominated in the foreign currency.</w:t>
            </w:r>
          </w:p>
          <w:p w14:paraId="572EBDBB" w14:textId="77777777" w:rsidR="00561373" w:rsidRPr="00E70587" w:rsidRDefault="00561373" w:rsidP="00561373">
            <w:pPr>
              <w:pStyle w:val="Notesbodytext"/>
              <w:spacing w:after="0" w:line="280" w:lineRule="exact"/>
              <w:jc w:val="both"/>
              <w:rPr>
                <w:rFonts w:ascii="Arial" w:hAnsi="Arial"/>
                <w:color w:val="auto"/>
                <w:sz w:val="20"/>
              </w:rPr>
            </w:pPr>
          </w:p>
          <w:p w14:paraId="3731816E" w14:textId="77777777" w:rsidR="0086091A" w:rsidRPr="00E70587" w:rsidRDefault="0086091A" w:rsidP="00561373">
            <w:pPr>
              <w:pStyle w:val="Notesbodytext"/>
              <w:spacing w:after="0" w:line="280" w:lineRule="exact"/>
              <w:jc w:val="both"/>
              <w:rPr>
                <w:rFonts w:ascii="Arial" w:hAnsi="Arial"/>
                <w:color w:val="auto"/>
                <w:sz w:val="20"/>
              </w:rPr>
            </w:pPr>
            <w:r w:rsidRPr="00E70587">
              <w:rPr>
                <w:rFonts w:ascii="Arial" w:hAnsi="Arial"/>
                <w:color w:val="auto"/>
                <w:sz w:val="20"/>
              </w:rPr>
              <w:t>The Group hedges its exposure to fluctuations on the translation into INR of its foreign operations by holding net borrowings in foreign currencies and by using foreign currency swaps and forwards.</w:t>
            </w:r>
          </w:p>
          <w:p w14:paraId="013F3248" w14:textId="77777777" w:rsidR="00561373" w:rsidRPr="00E70587" w:rsidRDefault="00561373" w:rsidP="00561373">
            <w:pPr>
              <w:pStyle w:val="Notesbodytext"/>
              <w:spacing w:after="0" w:line="280" w:lineRule="exact"/>
              <w:jc w:val="both"/>
              <w:rPr>
                <w:rFonts w:ascii="Arial" w:hAnsi="Arial"/>
                <w:color w:val="auto"/>
                <w:sz w:val="20"/>
              </w:rPr>
            </w:pPr>
          </w:p>
          <w:p w14:paraId="7078950C" w14:textId="0A8DE909" w:rsidR="0086091A" w:rsidRPr="00E70587" w:rsidRDefault="0086091A" w:rsidP="00561373">
            <w:pPr>
              <w:pStyle w:val="Notesbodytext"/>
              <w:spacing w:after="0" w:line="280" w:lineRule="exact"/>
              <w:jc w:val="both"/>
              <w:rPr>
                <w:rFonts w:ascii="Arial" w:hAnsi="Arial"/>
                <w:color w:val="auto"/>
                <w:sz w:val="20"/>
              </w:rPr>
            </w:pPr>
            <w:r w:rsidRPr="00E70587">
              <w:rPr>
                <w:rFonts w:ascii="Arial" w:hAnsi="Arial"/>
                <w:color w:val="auto"/>
                <w:sz w:val="20"/>
              </w:rPr>
              <w:t xml:space="preserve">At 31 </w:t>
            </w:r>
            <w:r w:rsidR="00E1202D" w:rsidRPr="00E70587">
              <w:rPr>
                <w:rFonts w:ascii="Arial" w:hAnsi="Arial"/>
                <w:color w:val="auto"/>
                <w:sz w:val="20"/>
              </w:rPr>
              <w:t xml:space="preserve">March </w:t>
            </w:r>
            <w:r w:rsidR="00446854" w:rsidRPr="00E70587">
              <w:rPr>
                <w:rFonts w:ascii="Arial" w:hAnsi="Arial"/>
                <w:color w:val="auto"/>
                <w:sz w:val="20"/>
              </w:rPr>
              <w:t>20</w:t>
            </w:r>
            <w:r w:rsidR="00446854">
              <w:rPr>
                <w:rFonts w:ascii="Arial" w:hAnsi="Arial"/>
                <w:color w:val="auto"/>
                <w:sz w:val="20"/>
              </w:rPr>
              <w:t>21</w:t>
            </w:r>
            <w:r w:rsidRPr="00E70587">
              <w:rPr>
                <w:rFonts w:ascii="Arial" w:hAnsi="Arial"/>
                <w:color w:val="auto"/>
                <w:sz w:val="20"/>
              </w:rPr>
              <w:t xml:space="preserve">, the Group hedged 75% (31 </w:t>
            </w:r>
            <w:r w:rsidR="008B730E" w:rsidRPr="00E70587">
              <w:rPr>
                <w:rFonts w:ascii="Arial" w:hAnsi="Arial"/>
                <w:color w:val="auto"/>
                <w:sz w:val="20"/>
              </w:rPr>
              <w:t xml:space="preserve">March </w:t>
            </w:r>
            <w:r w:rsidR="00446854" w:rsidRPr="00E70587">
              <w:rPr>
                <w:rFonts w:ascii="Arial" w:hAnsi="Arial"/>
                <w:color w:val="auto"/>
                <w:sz w:val="20"/>
              </w:rPr>
              <w:t>20</w:t>
            </w:r>
            <w:r w:rsidR="00446854">
              <w:rPr>
                <w:rFonts w:ascii="Arial" w:hAnsi="Arial"/>
                <w:color w:val="auto"/>
                <w:sz w:val="20"/>
              </w:rPr>
              <w:t>20</w:t>
            </w:r>
            <w:r w:rsidRPr="00E70587">
              <w:rPr>
                <w:rFonts w:ascii="Arial" w:hAnsi="Arial"/>
                <w:color w:val="auto"/>
                <w:sz w:val="20"/>
              </w:rPr>
              <w:t>: 70%), for 9 and 12 months respectively, of its expected foreign currency sales. Those hedged sales were highly probable at the reporting date. This foreign currency risk is hedged by using foreign currency forward contracts</w:t>
            </w:r>
            <w:r w:rsidR="00561373" w:rsidRPr="00E70587">
              <w:rPr>
                <w:rFonts w:ascii="Arial" w:hAnsi="Arial"/>
                <w:color w:val="auto"/>
                <w:sz w:val="20"/>
              </w:rPr>
              <w:t>.</w:t>
            </w:r>
          </w:p>
          <w:p w14:paraId="5CFAE399" w14:textId="77777777" w:rsidR="00561373" w:rsidRPr="00E70587" w:rsidRDefault="00561373" w:rsidP="00561373">
            <w:pPr>
              <w:pStyle w:val="Notesbodytext"/>
              <w:spacing w:after="0" w:line="280" w:lineRule="exact"/>
              <w:jc w:val="both"/>
              <w:rPr>
                <w:rFonts w:ascii="Arial" w:hAnsi="Arial"/>
                <w:color w:val="auto"/>
                <w:sz w:val="20"/>
              </w:rPr>
            </w:pPr>
          </w:p>
        </w:tc>
      </w:tr>
      <w:tr w:rsidR="0086091A" w:rsidRPr="00E70587" w14:paraId="4803D20F" w14:textId="77777777" w:rsidTr="00834981">
        <w:tblPrEx>
          <w:tblLook w:val="0000" w:firstRow="0" w:lastRow="0" w:firstColumn="0" w:lastColumn="0" w:noHBand="0" w:noVBand="0"/>
        </w:tblPrEx>
        <w:tc>
          <w:tcPr>
            <w:tcW w:w="9576" w:type="dxa"/>
            <w:gridSpan w:val="3"/>
          </w:tcPr>
          <w:p w14:paraId="5DD20B8F" w14:textId="77777777" w:rsidR="0086091A" w:rsidRPr="00E70587" w:rsidRDefault="0086091A" w:rsidP="00561373">
            <w:pPr>
              <w:pStyle w:val="tabletext"/>
              <w:shd w:val="clear" w:color="auto" w:fill="E0E0E0" w:themeFill="background1" w:themeFillTint="33"/>
              <w:spacing w:line="280" w:lineRule="exact"/>
              <w:jc w:val="both"/>
              <w:rPr>
                <w:rFonts w:ascii="Arial" w:hAnsi="Arial" w:cs="Arial"/>
                <w:b/>
                <w:sz w:val="20"/>
                <w:lang w:val="en-IN"/>
              </w:rPr>
            </w:pPr>
            <w:r w:rsidRPr="00E70587">
              <w:rPr>
                <w:rFonts w:ascii="Arial" w:hAnsi="Arial" w:cs="Arial"/>
                <w:b/>
                <w:sz w:val="20"/>
                <w:lang w:val="en-IN"/>
              </w:rPr>
              <w:lastRenderedPageBreak/>
              <w:t>Authors’ note</w:t>
            </w:r>
          </w:p>
          <w:p w14:paraId="5E12679B" w14:textId="77777777" w:rsidR="00561373" w:rsidRPr="00E70587" w:rsidRDefault="00561373" w:rsidP="00561373">
            <w:pPr>
              <w:pStyle w:val="Notesbodytext"/>
              <w:shd w:val="clear" w:color="auto" w:fill="E0E0E0" w:themeFill="background1" w:themeFillTint="33"/>
              <w:spacing w:after="0" w:line="280" w:lineRule="exact"/>
              <w:jc w:val="both"/>
              <w:rPr>
                <w:rFonts w:ascii="Arial" w:hAnsi="Arial"/>
                <w:color w:val="auto"/>
                <w:sz w:val="20"/>
              </w:rPr>
            </w:pPr>
          </w:p>
          <w:p w14:paraId="031D8C6A" w14:textId="77777777" w:rsidR="0086091A" w:rsidRPr="00E70587" w:rsidRDefault="0086091A" w:rsidP="00561373">
            <w:pPr>
              <w:pStyle w:val="Notesbodytext"/>
              <w:shd w:val="clear" w:color="auto" w:fill="E0E0E0" w:themeFill="background1" w:themeFillTint="33"/>
              <w:spacing w:after="0" w:line="280" w:lineRule="exact"/>
              <w:jc w:val="both"/>
              <w:rPr>
                <w:rFonts w:ascii="Arial" w:hAnsi="Arial"/>
                <w:color w:val="auto"/>
                <w:sz w:val="20"/>
              </w:rPr>
            </w:pPr>
            <w:r w:rsidRPr="00E70587">
              <w:rPr>
                <w:rFonts w:ascii="Arial" w:hAnsi="Arial"/>
                <w:color w:val="auto"/>
                <w:sz w:val="20"/>
              </w:rPr>
              <w:t>For hedges of forecast transactions, useful information to help users understand the nature and extent of such risks may include:</w:t>
            </w:r>
          </w:p>
          <w:p w14:paraId="1FA06F97" w14:textId="77777777" w:rsidR="0086091A" w:rsidRPr="00E70587" w:rsidRDefault="0086091A" w:rsidP="00561373">
            <w:pPr>
              <w:pStyle w:val="Notesbulletpoint"/>
              <w:shd w:val="clear" w:color="auto" w:fill="E0E0E0" w:themeFill="background1" w:themeFillTint="33"/>
              <w:spacing w:before="120" w:after="0" w:line="280" w:lineRule="exact"/>
              <w:ind w:left="720" w:hanging="720"/>
              <w:jc w:val="both"/>
              <w:rPr>
                <w:rFonts w:ascii="Arial" w:hAnsi="Arial"/>
                <w:color w:val="auto"/>
                <w:sz w:val="20"/>
              </w:rPr>
            </w:pPr>
            <w:r w:rsidRPr="00E70587">
              <w:rPr>
                <w:rFonts w:ascii="Arial" w:hAnsi="Arial"/>
                <w:color w:val="auto"/>
                <w:sz w:val="20"/>
              </w:rPr>
              <w:t>Time bands in which the highly probable forecast transactions are grouped for risk management purposes.</w:t>
            </w:r>
          </w:p>
          <w:p w14:paraId="68E5A65B" w14:textId="77777777" w:rsidR="0086091A" w:rsidRPr="00E70587" w:rsidRDefault="0086091A" w:rsidP="00561373">
            <w:pPr>
              <w:pStyle w:val="Notesbulletpoint"/>
              <w:shd w:val="clear" w:color="auto" w:fill="E0E0E0" w:themeFill="background1" w:themeFillTint="33"/>
              <w:spacing w:before="120" w:after="0" w:line="280" w:lineRule="exact"/>
              <w:ind w:left="720" w:hanging="720"/>
              <w:jc w:val="both"/>
              <w:rPr>
                <w:rFonts w:ascii="Arial" w:hAnsi="Arial"/>
                <w:color w:val="auto"/>
                <w:sz w:val="20"/>
              </w:rPr>
            </w:pPr>
            <w:r w:rsidRPr="00E70587">
              <w:rPr>
                <w:rFonts w:ascii="Arial" w:hAnsi="Arial"/>
                <w:color w:val="auto"/>
                <w:sz w:val="20"/>
              </w:rPr>
              <w:t>The entity’s policies and processes for managing the risk (for example, how the cash flows of the hedging instruments and the hedged items may be aligned, like using foreign currency bank accounts to address differences in cash flow dates).</w:t>
            </w:r>
          </w:p>
          <w:p w14:paraId="4D2BF23C" w14:textId="77777777" w:rsidR="00561373" w:rsidRPr="00E70587" w:rsidRDefault="00561373" w:rsidP="00561373">
            <w:pPr>
              <w:shd w:val="clear" w:color="auto" w:fill="E0E0E0" w:themeFill="background1" w:themeFillTint="33"/>
              <w:spacing w:line="280" w:lineRule="exact"/>
              <w:jc w:val="both"/>
              <w:rPr>
                <w:rFonts w:ascii="Arial" w:hAnsi="Arial" w:cs="Arial"/>
                <w:sz w:val="20"/>
              </w:rPr>
            </w:pPr>
          </w:p>
          <w:p w14:paraId="29F8C755" w14:textId="77777777" w:rsidR="0086091A" w:rsidRPr="00E70587" w:rsidRDefault="0086091A" w:rsidP="00561373">
            <w:pPr>
              <w:shd w:val="clear" w:color="auto" w:fill="E0E0E0" w:themeFill="background1" w:themeFillTint="33"/>
              <w:spacing w:line="280" w:lineRule="exact"/>
              <w:jc w:val="both"/>
              <w:rPr>
                <w:rFonts w:ascii="Arial" w:hAnsi="Arial" w:cs="Arial"/>
                <w:sz w:val="20"/>
              </w:rPr>
            </w:pPr>
            <w:r w:rsidRPr="00E70587">
              <w:rPr>
                <w:rFonts w:ascii="Arial" w:hAnsi="Arial" w:cs="Arial"/>
                <w:sz w:val="20"/>
              </w:rPr>
              <w:t>Entities should tailor these disclosures to the specific facts and circumstances of the transactions.</w:t>
            </w:r>
          </w:p>
        </w:tc>
      </w:tr>
    </w:tbl>
    <w:p w14:paraId="559E5C8B" w14:textId="77777777" w:rsidR="005476B9" w:rsidRPr="00E70587" w:rsidRDefault="005476B9" w:rsidP="00950163">
      <w:pPr>
        <w:pStyle w:val="Tablecolumnheading"/>
        <w:spacing w:line="280" w:lineRule="exact"/>
        <w:jc w:val="left"/>
        <w:rPr>
          <w:rFonts w:ascii="Arial" w:hAnsi="Arial"/>
          <w:sz w:val="20"/>
          <w:szCs w:val="20"/>
          <w:lang w:val="en-IN"/>
        </w:rPr>
      </w:pPr>
    </w:p>
    <w:tbl>
      <w:tblPr>
        <w:tblW w:w="9576" w:type="dxa"/>
        <w:tblLook w:val="0000" w:firstRow="0" w:lastRow="0" w:firstColumn="0" w:lastColumn="0" w:noHBand="0" w:noVBand="0"/>
      </w:tblPr>
      <w:tblGrid>
        <w:gridCol w:w="9576"/>
      </w:tblGrid>
      <w:tr w:rsidR="0086091A" w:rsidRPr="00E70587" w14:paraId="6A4A6CE6" w14:textId="77777777" w:rsidTr="00834981">
        <w:tc>
          <w:tcPr>
            <w:tcW w:w="0" w:type="auto"/>
          </w:tcPr>
          <w:p w14:paraId="37512B32" w14:textId="77777777" w:rsidR="0086091A" w:rsidRPr="00E70587" w:rsidRDefault="0086091A" w:rsidP="00561373">
            <w:pPr>
              <w:spacing w:line="280" w:lineRule="exact"/>
              <w:jc w:val="both"/>
              <w:rPr>
                <w:rFonts w:ascii="Arial" w:hAnsi="Arial" w:cs="Arial"/>
                <w:b/>
                <w:sz w:val="20"/>
              </w:rPr>
            </w:pPr>
            <w:r w:rsidRPr="00E70587">
              <w:rPr>
                <w:rFonts w:ascii="Arial" w:hAnsi="Arial" w:cs="Arial"/>
                <w:b/>
                <w:sz w:val="20"/>
              </w:rPr>
              <w:t xml:space="preserve">Foreign currency sensitivity </w:t>
            </w:r>
          </w:p>
          <w:p w14:paraId="3FF2E9D1" w14:textId="77777777" w:rsidR="00561373" w:rsidRPr="00E70587" w:rsidRDefault="00561373" w:rsidP="00561373">
            <w:pPr>
              <w:spacing w:line="280" w:lineRule="exact"/>
              <w:jc w:val="both"/>
              <w:rPr>
                <w:rFonts w:ascii="Arial" w:hAnsi="Arial" w:cs="Arial"/>
                <w:sz w:val="20"/>
              </w:rPr>
            </w:pPr>
          </w:p>
          <w:p w14:paraId="6500C9CB" w14:textId="77777777" w:rsidR="0086091A" w:rsidRPr="00E70587" w:rsidRDefault="0086091A" w:rsidP="00561373">
            <w:pPr>
              <w:spacing w:line="280" w:lineRule="exact"/>
              <w:jc w:val="both"/>
              <w:rPr>
                <w:rFonts w:ascii="Arial" w:hAnsi="Arial" w:cs="Arial"/>
                <w:sz w:val="20"/>
              </w:rPr>
            </w:pPr>
            <w:r w:rsidRPr="00E70587">
              <w:rPr>
                <w:rFonts w:ascii="Arial" w:hAnsi="Arial" w:cs="Arial"/>
                <w:sz w:val="20"/>
              </w:rPr>
              <w:t>The following tables demonstrate the sensitivity to a reasonably possible change in USD and GBP exchange rates, with all other variables held constant. The impact on the Group’s profit before tax is due to changes in the fair value of monetary assets and liabilities including non-designated foreign currency derivatives and embedded derivatives. The impact on the Group’s pre-tax equity is due to changes in the fair value of forward exchange contracts designated as cash flow hedges and net investment hedges. The Group’s exposure to foreign currency changes for all other currencies is not material.</w:t>
            </w:r>
          </w:p>
        </w:tc>
      </w:tr>
    </w:tbl>
    <w:p w14:paraId="4440B2EF" w14:textId="77777777" w:rsidR="00561373" w:rsidRPr="00E70587" w:rsidRDefault="00561373" w:rsidP="00561373">
      <w:pPr>
        <w:spacing w:line="280" w:lineRule="exact"/>
        <w:jc w:val="both"/>
        <w:rPr>
          <w:rFonts w:ascii="Arial" w:hAnsi="Arial" w:cs="Arial"/>
          <w:sz w:val="20"/>
        </w:rPr>
      </w:pPr>
    </w:p>
    <w:tbl>
      <w:tblPr>
        <w:tblW w:w="9576" w:type="dxa"/>
        <w:tblLook w:val="01E0" w:firstRow="1" w:lastRow="1" w:firstColumn="1" w:lastColumn="1" w:noHBand="0" w:noVBand="0"/>
      </w:tblPr>
      <w:tblGrid>
        <w:gridCol w:w="4158"/>
        <w:gridCol w:w="1806"/>
        <w:gridCol w:w="1806"/>
        <w:gridCol w:w="1806"/>
      </w:tblGrid>
      <w:tr w:rsidR="0086091A" w:rsidRPr="00E70587" w14:paraId="6673C3D9" w14:textId="77777777" w:rsidTr="00561373">
        <w:trPr>
          <w:tblHeader/>
        </w:trPr>
        <w:tc>
          <w:tcPr>
            <w:tcW w:w="4158" w:type="dxa"/>
            <w:shd w:val="clear" w:color="auto" w:fill="auto"/>
            <w:vAlign w:val="center"/>
          </w:tcPr>
          <w:p w14:paraId="011D4C93" w14:textId="77777777" w:rsidR="0086091A" w:rsidRPr="00E70587" w:rsidRDefault="0086091A" w:rsidP="009901E1">
            <w:pPr>
              <w:pStyle w:val="Notesbodytext"/>
              <w:spacing w:after="0" w:line="280" w:lineRule="exact"/>
              <w:rPr>
                <w:rFonts w:ascii="Arial" w:hAnsi="Arial"/>
                <w:color w:val="auto"/>
                <w:sz w:val="20"/>
              </w:rPr>
            </w:pPr>
          </w:p>
        </w:tc>
        <w:tc>
          <w:tcPr>
            <w:tcW w:w="1806" w:type="dxa"/>
            <w:shd w:val="clear" w:color="auto" w:fill="auto"/>
            <w:vAlign w:val="bottom"/>
          </w:tcPr>
          <w:p w14:paraId="5C0F5D65" w14:textId="77777777" w:rsidR="0086091A" w:rsidRPr="00E70587" w:rsidRDefault="0086091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Change in </w:t>
            </w:r>
            <w:r w:rsidRPr="00E70587">
              <w:rPr>
                <w:rFonts w:ascii="Arial" w:hAnsi="Arial"/>
                <w:color w:val="auto"/>
                <w:sz w:val="20"/>
                <w:szCs w:val="20"/>
                <w:lang w:val="en-IN"/>
              </w:rPr>
              <w:br/>
              <w:t>USD rate</w:t>
            </w:r>
          </w:p>
        </w:tc>
        <w:tc>
          <w:tcPr>
            <w:tcW w:w="1806" w:type="dxa"/>
            <w:shd w:val="clear" w:color="auto" w:fill="auto"/>
            <w:vAlign w:val="bottom"/>
          </w:tcPr>
          <w:p w14:paraId="547EDC29" w14:textId="77777777" w:rsidR="0086091A" w:rsidRPr="00E70587" w:rsidRDefault="0086091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Effect on profit before tax</w:t>
            </w:r>
          </w:p>
        </w:tc>
        <w:tc>
          <w:tcPr>
            <w:tcW w:w="1806" w:type="dxa"/>
            <w:shd w:val="clear" w:color="auto" w:fill="auto"/>
            <w:vAlign w:val="bottom"/>
          </w:tcPr>
          <w:p w14:paraId="21D0E87D" w14:textId="77777777" w:rsidR="0086091A" w:rsidRPr="00E70587" w:rsidRDefault="0086091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Effect on pre-tax equity</w:t>
            </w:r>
          </w:p>
        </w:tc>
      </w:tr>
      <w:tr w:rsidR="0086091A" w:rsidRPr="00E70587" w14:paraId="12A2A845" w14:textId="77777777" w:rsidTr="00561373">
        <w:trPr>
          <w:tblHeader/>
        </w:trPr>
        <w:tc>
          <w:tcPr>
            <w:tcW w:w="4158" w:type="dxa"/>
            <w:shd w:val="clear" w:color="auto" w:fill="auto"/>
          </w:tcPr>
          <w:p w14:paraId="022D3DC4" w14:textId="77777777" w:rsidR="0086091A" w:rsidRPr="00E70587" w:rsidRDefault="0086091A" w:rsidP="009901E1">
            <w:pPr>
              <w:pStyle w:val="Notesbodytext"/>
              <w:spacing w:after="0" w:line="280" w:lineRule="exact"/>
              <w:rPr>
                <w:rFonts w:ascii="Arial" w:hAnsi="Arial"/>
                <w:color w:val="auto"/>
                <w:sz w:val="20"/>
              </w:rPr>
            </w:pPr>
          </w:p>
        </w:tc>
        <w:tc>
          <w:tcPr>
            <w:tcW w:w="1806" w:type="dxa"/>
            <w:shd w:val="clear" w:color="auto" w:fill="auto"/>
            <w:vAlign w:val="bottom"/>
          </w:tcPr>
          <w:p w14:paraId="1CA74B31" w14:textId="77777777" w:rsidR="0086091A" w:rsidRPr="00E70587" w:rsidRDefault="0086091A" w:rsidP="009901E1">
            <w:pPr>
              <w:pStyle w:val="Tablecolumnheading"/>
              <w:spacing w:line="280" w:lineRule="exact"/>
              <w:rPr>
                <w:rFonts w:ascii="Arial" w:hAnsi="Arial"/>
                <w:color w:val="auto"/>
                <w:sz w:val="20"/>
                <w:szCs w:val="20"/>
                <w:lang w:val="en-IN"/>
              </w:rPr>
            </w:pPr>
          </w:p>
        </w:tc>
        <w:tc>
          <w:tcPr>
            <w:tcW w:w="1806" w:type="dxa"/>
            <w:shd w:val="clear" w:color="auto" w:fill="auto"/>
            <w:vAlign w:val="bottom"/>
          </w:tcPr>
          <w:p w14:paraId="58FC591D" w14:textId="77777777" w:rsidR="0086091A" w:rsidRPr="00E70587" w:rsidRDefault="0086091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806" w:type="dxa"/>
            <w:shd w:val="clear" w:color="auto" w:fill="auto"/>
            <w:tcMar>
              <w:left w:w="57" w:type="dxa"/>
            </w:tcMar>
            <w:vAlign w:val="bottom"/>
          </w:tcPr>
          <w:p w14:paraId="63F394DC" w14:textId="77777777" w:rsidR="0086091A" w:rsidRPr="00E70587" w:rsidRDefault="0086091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r>
      <w:tr w:rsidR="0086091A" w:rsidRPr="00E70587" w14:paraId="2C133C5F" w14:textId="77777777" w:rsidTr="00561373">
        <w:tc>
          <w:tcPr>
            <w:tcW w:w="4158" w:type="dxa"/>
            <w:shd w:val="clear" w:color="auto" w:fill="auto"/>
            <w:vAlign w:val="bottom"/>
          </w:tcPr>
          <w:p w14:paraId="051E2B92" w14:textId="0131C202"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b/>
                <w:sz w:val="20"/>
                <w:lang w:val="en-IN" w:eastAsia="ru-RU"/>
              </w:rPr>
            </w:pPr>
            <w:r w:rsidRPr="00E70587">
              <w:rPr>
                <w:rFonts w:ascii="Arial" w:hAnsi="Arial" w:cs="Arial"/>
                <w:b/>
                <w:sz w:val="20"/>
                <w:lang w:val="en-IN" w:eastAsia="ru-RU"/>
              </w:rPr>
              <w:t xml:space="preserve">31 </w:t>
            </w:r>
            <w:r w:rsidR="00E1202D" w:rsidRPr="00E70587">
              <w:rPr>
                <w:rFonts w:ascii="Arial" w:hAnsi="Arial" w:cs="Arial"/>
                <w:b/>
                <w:sz w:val="20"/>
                <w:lang w:val="en-IN" w:eastAsia="ru-RU"/>
              </w:rPr>
              <w:t xml:space="preserve">March </w:t>
            </w:r>
            <w:r w:rsidR="003922AA" w:rsidRPr="00E70587">
              <w:rPr>
                <w:rFonts w:ascii="Arial" w:hAnsi="Arial" w:cs="Arial"/>
                <w:b/>
                <w:sz w:val="20"/>
                <w:lang w:val="en-IN" w:eastAsia="ru-RU"/>
              </w:rPr>
              <w:t>20</w:t>
            </w:r>
            <w:r w:rsidR="003922AA">
              <w:rPr>
                <w:rFonts w:ascii="Arial" w:hAnsi="Arial" w:cs="Arial"/>
                <w:b/>
                <w:sz w:val="20"/>
                <w:lang w:val="en-IN" w:eastAsia="ru-RU"/>
              </w:rPr>
              <w:t>21</w:t>
            </w:r>
          </w:p>
        </w:tc>
        <w:tc>
          <w:tcPr>
            <w:tcW w:w="1806" w:type="dxa"/>
            <w:shd w:val="clear" w:color="auto" w:fill="auto"/>
            <w:vAlign w:val="bottom"/>
          </w:tcPr>
          <w:p w14:paraId="717A44F8" w14:textId="77777777" w:rsidR="0086091A" w:rsidRPr="00E70587" w:rsidRDefault="0086091A" w:rsidP="009901E1">
            <w:pPr>
              <w:pStyle w:val="tabletext"/>
              <w:overflowPunct w:val="0"/>
              <w:autoSpaceDE w:val="0"/>
              <w:autoSpaceDN w:val="0"/>
              <w:adjustRightInd w:val="0"/>
              <w:spacing w:line="280" w:lineRule="exact"/>
              <w:jc w:val="right"/>
              <w:textAlignment w:val="baseline"/>
              <w:rPr>
                <w:rFonts w:ascii="Arial" w:hAnsi="Arial" w:cs="Arial"/>
                <w:sz w:val="20"/>
                <w:lang w:val="en-IN" w:eastAsia="ru-RU"/>
              </w:rPr>
            </w:pPr>
            <w:r w:rsidRPr="00E70587">
              <w:rPr>
                <w:rFonts w:ascii="Arial" w:hAnsi="Arial" w:cs="Arial"/>
                <w:sz w:val="20"/>
                <w:lang w:val="en-IN" w:eastAsia="ru-RU"/>
              </w:rPr>
              <w:t>+5%</w:t>
            </w:r>
          </w:p>
        </w:tc>
        <w:tc>
          <w:tcPr>
            <w:tcW w:w="1806" w:type="dxa"/>
            <w:shd w:val="clear" w:color="auto" w:fill="auto"/>
            <w:tcMar>
              <w:right w:w="28" w:type="dxa"/>
            </w:tcMar>
          </w:tcPr>
          <w:p w14:paraId="7AB4E27D"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(54)</w:t>
            </w:r>
          </w:p>
        </w:tc>
        <w:tc>
          <w:tcPr>
            <w:tcW w:w="1806" w:type="dxa"/>
            <w:shd w:val="clear" w:color="auto" w:fill="auto"/>
            <w:tcMar>
              <w:right w:w="28" w:type="dxa"/>
            </w:tcMar>
          </w:tcPr>
          <w:p w14:paraId="0861D41E"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(277)</w:t>
            </w:r>
          </w:p>
        </w:tc>
      </w:tr>
      <w:tr w:rsidR="0086091A" w:rsidRPr="00E70587" w14:paraId="2A8F1E4A" w14:textId="77777777" w:rsidTr="00561373">
        <w:tc>
          <w:tcPr>
            <w:tcW w:w="4158" w:type="dxa"/>
            <w:shd w:val="clear" w:color="auto" w:fill="auto"/>
            <w:vAlign w:val="bottom"/>
          </w:tcPr>
          <w:p w14:paraId="78FFC833"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b/>
                <w:sz w:val="20"/>
                <w:lang w:val="en-IN" w:eastAsia="ru-RU"/>
              </w:rPr>
            </w:pPr>
          </w:p>
        </w:tc>
        <w:tc>
          <w:tcPr>
            <w:tcW w:w="1806" w:type="dxa"/>
            <w:shd w:val="clear" w:color="auto" w:fill="auto"/>
            <w:vAlign w:val="bottom"/>
          </w:tcPr>
          <w:p w14:paraId="07B03581" w14:textId="77777777" w:rsidR="0086091A" w:rsidRPr="00E70587" w:rsidRDefault="0086091A" w:rsidP="009901E1">
            <w:pPr>
              <w:pStyle w:val="tabletext"/>
              <w:overflowPunct w:val="0"/>
              <w:autoSpaceDE w:val="0"/>
              <w:autoSpaceDN w:val="0"/>
              <w:adjustRightInd w:val="0"/>
              <w:spacing w:line="280" w:lineRule="exact"/>
              <w:jc w:val="right"/>
              <w:textAlignment w:val="baseline"/>
              <w:rPr>
                <w:rFonts w:ascii="Arial" w:hAnsi="Arial" w:cs="Arial"/>
                <w:sz w:val="20"/>
                <w:lang w:val="en-IN" w:eastAsia="ru-RU"/>
              </w:rPr>
            </w:pPr>
            <w:r w:rsidRPr="00E70587">
              <w:rPr>
                <w:rFonts w:ascii="Arial" w:hAnsi="Arial" w:cs="Arial"/>
                <w:sz w:val="20"/>
                <w:lang w:val="en-IN" w:eastAsia="ru-RU"/>
              </w:rPr>
              <w:t>-5%</w:t>
            </w:r>
          </w:p>
        </w:tc>
        <w:tc>
          <w:tcPr>
            <w:tcW w:w="1806" w:type="dxa"/>
            <w:shd w:val="clear" w:color="auto" w:fill="auto"/>
          </w:tcPr>
          <w:p w14:paraId="0E015BC6"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36</w:t>
            </w:r>
          </w:p>
        </w:tc>
        <w:tc>
          <w:tcPr>
            <w:tcW w:w="1806" w:type="dxa"/>
            <w:shd w:val="clear" w:color="auto" w:fill="auto"/>
          </w:tcPr>
          <w:p w14:paraId="652A8076"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310</w:t>
            </w:r>
          </w:p>
        </w:tc>
      </w:tr>
      <w:tr w:rsidR="0086091A" w:rsidRPr="00E70587" w14:paraId="213D35A1" w14:textId="77777777" w:rsidTr="00561373">
        <w:tc>
          <w:tcPr>
            <w:tcW w:w="4158" w:type="dxa"/>
            <w:shd w:val="clear" w:color="auto" w:fill="auto"/>
            <w:vAlign w:val="bottom"/>
          </w:tcPr>
          <w:p w14:paraId="4F89B42E"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b/>
                <w:sz w:val="20"/>
                <w:lang w:val="en-IN" w:eastAsia="ru-RU"/>
              </w:rPr>
            </w:pPr>
          </w:p>
        </w:tc>
        <w:tc>
          <w:tcPr>
            <w:tcW w:w="1806" w:type="dxa"/>
            <w:shd w:val="clear" w:color="auto" w:fill="auto"/>
            <w:vAlign w:val="bottom"/>
          </w:tcPr>
          <w:p w14:paraId="70D2247F" w14:textId="77777777" w:rsidR="0086091A" w:rsidRPr="00E70587" w:rsidRDefault="0086091A" w:rsidP="009901E1">
            <w:pPr>
              <w:pStyle w:val="tabletext"/>
              <w:overflowPunct w:val="0"/>
              <w:autoSpaceDE w:val="0"/>
              <w:autoSpaceDN w:val="0"/>
              <w:adjustRightInd w:val="0"/>
              <w:spacing w:line="280" w:lineRule="exact"/>
              <w:jc w:val="right"/>
              <w:textAlignment w:val="baseline"/>
              <w:rPr>
                <w:rFonts w:ascii="Arial" w:hAnsi="Arial" w:cs="Arial"/>
                <w:sz w:val="20"/>
                <w:lang w:val="en-IN" w:eastAsia="ru-RU"/>
              </w:rPr>
            </w:pPr>
          </w:p>
        </w:tc>
        <w:tc>
          <w:tcPr>
            <w:tcW w:w="1806" w:type="dxa"/>
            <w:shd w:val="clear" w:color="auto" w:fill="auto"/>
          </w:tcPr>
          <w:p w14:paraId="48CF0988" w14:textId="77777777" w:rsidR="0086091A" w:rsidRPr="00E70587" w:rsidRDefault="0086091A" w:rsidP="009901E1">
            <w:pPr>
              <w:overflowPunct/>
              <w:spacing w:line="280" w:lineRule="exact"/>
              <w:jc w:val="right"/>
              <w:textAlignment w:val="auto"/>
              <w:rPr>
                <w:rFonts w:ascii="Arial" w:hAnsi="Arial" w:cs="Arial"/>
                <w:sz w:val="20"/>
                <w:lang w:eastAsia="en-GB"/>
              </w:rPr>
            </w:pPr>
          </w:p>
        </w:tc>
        <w:tc>
          <w:tcPr>
            <w:tcW w:w="1806" w:type="dxa"/>
            <w:shd w:val="clear" w:color="auto" w:fill="auto"/>
          </w:tcPr>
          <w:p w14:paraId="49AD87BD" w14:textId="77777777" w:rsidR="0086091A" w:rsidRPr="00E70587" w:rsidRDefault="0086091A" w:rsidP="009901E1">
            <w:pPr>
              <w:overflowPunct/>
              <w:spacing w:line="280" w:lineRule="exact"/>
              <w:jc w:val="right"/>
              <w:textAlignment w:val="auto"/>
              <w:rPr>
                <w:rFonts w:ascii="Arial" w:hAnsi="Arial" w:cs="Arial"/>
                <w:sz w:val="20"/>
                <w:lang w:eastAsia="en-GB"/>
              </w:rPr>
            </w:pPr>
          </w:p>
        </w:tc>
      </w:tr>
      <w:tr w:rsidR="0086091A" w:rsidRPr="00E70587" w14:paraId="3ECDCDD8" w14:textId="77777777" w:rsidTr="00561373">
        <w:tc>
          <w:tcPr>
            <w:tcW w:w="4158" w:type="dxa"/>
            <w:shd w:val="clear" w:color="auto" w:fill="auto"/>
            <w:vAlign w:val="bottom"/>
          </w:tcPr>
          <w:p w14:paraId="443F1E68" w14:textId="6CEC81FE"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b/>
                <w:sz w:val="20"/>
                <w:lang w:val="en-IN" w:eastAsia="ru-RU"/>
              </w:rPr>
            </w:pPr>
            <w:r w:rsidRPr="00E70587">
              <w:rPr>
                <w:rFonts w:ascii="Arial" w:hAnsi="Arial" w:cs="Arial"/>
                <w:b/>
                <w:sz w:val="20"/>
                <w:lang w:val="en-IN" w:eastAsia="ru-RU"/>
              </w:rPr>
              <w:t xml:space="preserve">31 </w:t>
            </w:r>
            <w:r w:rsidR="008B730E" w:rsidRPr="00E70587">
              <w:rPr>
                <w:rFonts w:ascii="Arial" w:hAnsi="Arial" w:cs="Arial"/>
                <w:b/>
                <w:sz w:val="20"/>
                <w:lang w:val="en-IN" w:eastAsia="ru-RU"/>
              </w:rPr>
              <w:t xml:space="preserve">March </w:t>
            </w:r>
            <w:r w:rsidR="003922AA" w:rsidRPr="00E70587">
              <w:rPr>
                <w:rFonts w:ascii="Arial" w:hAnsi="Arial" w:cs="Arial"/>
                <w:b/>
                <w:sz w:val="20"/>
                <w:lang w:val="en-IN" w:eastAsia="ru-RU"/>
              </w:rPr>
              <w:t>20</w:t>
            </w:r>
            <w:r w:rsidR="003922AA">
              <w:rPr>
                <w:rFonts w:ascii="Arial" w:hAnsi="Arial" w:cs="Arial"/>
                <w:b/>
                <w:sz w:val="20"/>
                <w:lang w:val="en-IN" w:eastAsia="ru-RU"/>
              </w:rPr>
              <w:t>20</w:t>
            </w:r>
          </w:p>
        </w:tc>
        <w:tc>
          <w:tcPr>
            <w:tcW w:w="1806" w:type="dxa"/>
            <w:shd w:val="clear" w:color="auto" w:fill="auto"/>
            <w:vAlign w:val="bottom"/>
          </w:tcPr>
          <w:p w14:paraId="447E491B" w14:textId="77777777" w:rsidR="0086091A" w:rsidRPr="00E70587" w:rsidRDefault="0086091A" w:rsidP="009901E1">
            <w:pPr>
              <w:pStyle w:val="tabletext"/>
              <w:overflowPunct w:val="0"/>
              <w:autoSpaceDE w:val="0"/>
              <w:autoSpaceDN w:val="0"/>
              <w:adjustRightInd w:val="0"/>
              <w:spacing w:line="280" w:lineRule="exact"/>
              <w:jc w:val="right"/>
              <w:textAlignment w:val="baseline"/>
              <w:rPr>
                <w:rFonts w:ascii="Arial" w:hAnsi="Arial" w:cs="Arial"/>
                <w:sz w:val="20"/>
                <w:lang w:val="en-IN" w:eastAsia="ru-RU"/>
              </w:rPr>
            </w:pPr>
            <w:r w:rsidRPr="00E70587">
              <w:rPr>
                <w:rFonts w:ascii="Arial" w:hAnsi="Arial" w:cs="Arial"/>
                <w:sz w:val="20"/>
                <w:lang w:val="en-IN" w:eastAsia="ru-RU"/>
              </w:rPr>
              <w:t>+4%</w:t>
            </w:r>
          </w:p>
        </w:tc>
        <w:tc>
          <w:tcPr>
            <w:tcW w:w="1806" w:type="dxa"/>
            <w:shd w:val="clear" w:color="auto" w:fill="auto"/>
            <w:tcMar>
              <w:right w:w="28" w:type="dxa"/>
            </w:tcMar>
          </w:tcPr>
          <w:p w14:paraId="3BC77C08"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(72)</w:t>
            </w:r>
          </w:p>
        </w:tc>
        <w:tc>
          <w:tcPr>
            <w:tcW w:w="1806" w:type="dxa"/>
            <w:shd w:val="clear" w:color="auto" w:fill="auto"/>
            <w:tcMar>
              <w:right w:w="28" w:type="dxa"/>
            </w:tcMar>
          </w:tcPr>
          <w:p w14:paraId="6EEE15F8"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(263)</w:t>
            </w:r>
          </w:p>
        </w:tc>
      </w:tr>
      <w:tr w:rsidR="0086091A" w:rsidRPr="00E70587" w14:paraId="410AB48D" w14:textId="77777777" w:rsidTr="00561373">
        <w:tc>
          <w:tcPr>
            <w:tcW w:w="4158" w:type="dxa"/>
            <w:shd w:val="clear" w:color="auto" w:fill="auto"/>
            <w:vAlign w:val="bottom"/>
          </w:tcPr>
          <w:p w14:paraId="785EAFF5"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eastAsia="ru-RU"/>
              </w:rPr>
            </w:pPr>
          </w:p>
        </w:tc>
        <w:tc>
          <w:tcPr>
            <w:tcW w:w="1806" w:type="dxa"/>
            <w:shd w:val="clear" w:color="auto" w:fill="auto"/>
            <w:vAlign w:val="bottom"/>
          </w:tcPr>
          <w:p w14:paraId="639137B2" w14:textId="77777777" w:rsidR="0086091A" w:rsidRPr="00E70587" w:rsidRDefault="0086091A" w:rsidP="009901E1">
            <w:pPr>
              <w:pStyle w:val="tabletext"/>
              <w:overflowPunct w:val="0"/>
              <w:autoSpaceDE w:val="0"/>
              <w:autoSpaceDN w:val="0"/>
              <w:adjustRightInd w:val="0"/>
              <w:spacing w:line="280" w:lineRule="exact"/>
              <w:jc w:val="right"/>
              <w:textAlignment w:val="baseline"/>
              <w:rPr>
                <w:rFonts w:ascii="Arial" w:hAnsi="Arial" w:cs="Arial"/>
                <w:sz w:val="20"/>
                <w:lang w:val="en-IN" w:eastAsia="ru-RU"/>
              </w:rPr>
            </w:pPr>
            <w:r w:rsidRPr="00E70587">
              <w:rPr>
                <w:rFonts w:ascii="Arial" w:hAnsi="Arial" w:cs="Arial"/>
                <w:sz w:val="20"/>
                <w:lang w:val="en-IN" w:eastAsia="ru-RU"/>
              </w:rPr>
              <w:t>–4%</w:t>
            </w:r>
          </w:p>
        </w:tc>
        <w:tc>
          <w:tcPr>
            <w:tcW w:w="1806" w:type="dxa"/>
            <w:shd w:val="clear" w:color="auto" w:fill="auto"/>
          </w:tcPr>
          <w:p w14:paraId="5512A4DE"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72</w:t>
            </w:r>
          </w:p>
        </w:tc>
        <w:tc>
          <w:tcPr>
            <w:tcW w:w="1806" w:type="dxa"/>
            <w:shd w:val="clear" w:color="auto" w:fill="auto"/>
          </w:tcPr>
          <w:p w14:paraId="474BC67E"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284</w:t>
            </w:r>
          </w:p>
        </w:tc>
      </w:tr>
    </w:tbl>
    <w:p w14:paraId="52BD6AD3" w14:textId="77777777" w:rsidR="00731671" w:rsidRPr="00E70587" w:rsidRDefault="00731671" w:rsidP="009901E1">
      <w:pPr>
        <w:spacing w:line="280" w:lineRule="exact"/>
        <w:rPr>
          <w:rFonts w:ascii="Arial" w:hAnsi="Arial" w:cs="Arial"/>
          <w:sz w:val="20"/>
        </w:rPr>
      </w:pPr>
    </w:p>
    <w:tbl>
      <w:tblPr>
        <w:tblW w:w="9576" w:type="dxa"/>
        <w:tblLayout w:type="fixed"/>
        <w:tblLook w:val="01E0" w:firstRow="1" w:lastRow="1" w:firstColumn="1" w:lastColumn="1" w:noHBand="0" w:noVBand="0"/>
      </w:tblPr>
      <w:tblGrid>
        <w:gridCol w:w="4195"/>
        <w:gridCol w:w="1793"/>
        <w:gridCol w:w="1794"/>
        <w:gridCol w:w="1794"/>
      </w:tblGrid>
      <w:tr w:rsidR="0086091A" w:rsidRPr="00E70587" w14:paraId="1C169F00" w14:textId="77777777" w:rsidTr="00561373">
        <w:tc>
          <w:tcPr>
            <w:tcW w:w="4195" w:type="dxa"/>
            <w:shd w:val="clear" w:color="auto" w:fill="auto"/>
            <w:vAlign w:val="center"/>
          </w:tcPr>
          <w:p w14:paraId="47B8062E" w14:textId="77777777" w:rsidR="0086091A" w:rsidRPr="00E70587" w:rsidRDefault="0086091A" w:rsidP="009901E1">
            <w:pPr>
              <w:pStyle w:val="Notesbodytext"/>
              <w:spacing w:after="0" w:line="280" w:lineRule="exact"/>
              <w:rPr>
                <w:rFonts w:ascii="Arial" w:hAnsi="Arial"/>
                <w:color w:val="auto"/>
                <w:sz w:val="20"/>
              </w:rPr>
            </w:pPr>
          </w:p>
        </w:tc>
        <w:tc>
          <w:tcPr>
            <w:tcW w:w="1793" w:type="dxa"/>
            <w:tcBorders>
              <w:bottom w:val="single" w:sz="4" w:space="0" w:color="auto"/>
            </w:tcBorders>
            <w:shd w:val="clear" w:color="auto" w:fill="auto"/>
            <w:vAlign w:val="bottom"/>
          </w:tcPr>
          <w:p w14:paraId="79D1F144" w14:textId="77777777" w:rsidR="0086091A" w:rsidRPr="00E70587" w:rsidRDefault="0086091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 xml:space="preserve">Change in </w:t>
            </w:r>
            <w:r w:rsidRPr="00E70587">
              <w:rPr>
                <w:rFonts w:ascii="Arial" w:hAnsi="Arial"/>
                <w:color w:val="auto"/>
                <w:sz w:val="20"/>
                <w:szCs w:val="20"/>
                <w:lang w:val="en-IN"/>
              </w:rPr>
              <w:br/>
              <w:t>GBP rate</w:t>
            </w:r>
          </w:p>
        </w:tc>
        <w:tc>
          <w:tcPr>
            <w:tcW w:w="1794" w:type="dxa"/>
            <w:tcBorders>
              <w:bottom w:val="single" w:sz="4" w:space="0" w:color="auto"/>
            </w:tcBorders>
            <w:shd w:val="clear" w:color="auto" w:fill="auto"/>
            <w:vAlign w:val="bottom"/>
          </w:tcPr>
          <w:p w14:paraId="0621C6C0" w14:textId="77777777" w:rsidR="0086091A" w:rsidRPr="00E70587" w:rsidRDefault="0086091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Effect on profit before tax</w:t>
            </w:r>
          </w:p>
        </w:tc>
        <w:tc>
          <w:tcPr>
            <w:tcW w:w="1794" w:type="dxa"/>
            <w:tcBorders>
              <w:bottom w:val="single" w:sz="4" w:space="0" w:color="auto"/>
            </w:tcBorders>
            <w:shd w:val="clear" w:color="auto" w:fill="auto"/>
            <w:vAlign w:val="bottom"/>
          </w:tcPr>
          <w:p w14:paraId="58D26FC4" w14:textId="77777777" w:rsidR="0086091A" w:rsidRPr="00E70587" w:rsidRDefault="0086091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Effect on pre-tax equity</w:t>
            </w:r>
          </w:p>
        </w:tc>
      </w:tr>
      <w:tr w:rsidR="0086091A" w:rsidRPr="00E70587" w14:paraId="749DCE84" w14:textId="77777777" w:rsidTr="00561373">
        <w:tc>
          <w:tcPr>
            <w:tcW w:w="4195" w:type="dxa"/>
            <w:shd w:val="clear" w:color="auto" w:fill="auto"/>
          </w:tcPr>
          <w:p w14:paraId="2ADE92F3" w14:textId="77777777" w:rsidR="0086091A" w:rsidRPr="00E70587" w:rsidRDefault="0086091A" w:rsidP="009901E1">
            <w:pPr>
              <w:pStyle w:val="Notesbodytext"/>
              <w:spacing w:after="0" w:line="280" w:lineRule="exact"/>
              <w:rPr>
                <w:rFonts w:ascii="Arial" w:hAnsi="Arial"/>
                <w:color w:val="auto"/>
                <w:sz w:val="20"/>
              </w:rPr>
            </w:pPr>
          </w:p>
        </w:tc>
        <w:tc>
          <w:tcPr>
            <w:tcW w:w="1793" w:type="dxa"/>
            <w:tcBorders>
              <w:top w:val="single" w:sz="4" w:space="0" w:color="auto"/>
            </w:tcBorders>
            <w:shd w:val="clear" w:color="auto" w:fill="auto"/>
            <w:vAlign w:val="bottom"/>
          </w:tcPr>
          <w:p w14:paraId="37B846D9" w14:textId="77777777" w:rsidR="0086091A" w:rsidRPr="00E70587" w:rsidRDefault="0086091A" w:rsidP="009901E1">
            <w:pPr>
              <w:pStyle w:val="Tablecolumnheading"/>
              <w:spacing w:line="280" w:lineRule="exact"/>
              <w:rPr>
                <w:rFonts w:ascii="Arial" w:hAnsi="Arial"/>
                <w:color w:val="auto"/>
                <w:sz w:val="20"/>
                <w:szCs w:val="20"/>
                <w:lang w:val="en-IN"/>
              </w:rPr>
            </w:pPr>
          </w:p>
        </w:tc>
        <w:tc>
          <w:tcPr>
            <w:tcW w:w="1794" w:type="dxa"/>
            <w:tcBorders>
              <w:top w:val="single" w:sz="4" w:space="0" w:color="auto"/>
            </w:tcBorders>
            <w:shd w:val="clear" w:color="auto" w:fill="auto"/>
            <w:vAlign w:val="bottom"/>
          </w:tcPr>
          <w:p w14:paraId="3382D31E" w14:textId="77777777" w:rsidR="0086091A" w:rsidRPr="00E70587" w:rsidRDefault="0086091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794" w:type="dxa"/>
            <w:tcBorders>
              <w:top w:val="single" w:sz="4" w:space="0" w:color="auto"/>
            </w:tcBorders>
            <w:shd w:val="clear" w:color="auto" w:fill="auto"/>
            <w:tcMar>
              <w:left w:w="57" w:type="dxa"/>
            </w:tcMar>
            <w:vAlign w:val="bottom"/>
          </w:tcPr>
          <w:p w14:paraId="3CE9E909" w14:textId="77777777" w:rsidR="0086091A" w:rsidRPr="00E70587" w:rsidRDefault="0086091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r>
      <w:tr w:rsidR="0086091A" w:rsidRPr="00E70587" w14:paraId="10B0C350" w14:textId="77777777" w:rsidTr="00561373">
        <w:tc>
          <w:tcPr>
            <w:tcW w:w="4195" w:type="dxa"/>
            <w:shd w:val="clear" w:color="auto" w:fill="auto"/>
            <w:vAlign w:val="bottom"/>
          </w:tcPr>
          <w:p w14:paraId="65088C65" w14:textId="4843E11D"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b/>
                <w:sz w:val="20"/>
                <w:lang w:val="en-IN" w:eastAsia="ru-RU"/>
              </w:rPr>
            </w:pPr>
            <w:r w:rsidRPr="00E70587">
              <w:rPr>
                <w:rFonts w:ascii="Arial" w:hAnsi="Arial" w:cs="Arial"/>
                <w:b/>
                <w:sz w:val="20"/>
                <w:lang w:val="en-IN" w:eastAsia="ru-RU"/>
              </w:rPr>
              <w:t xml:space="preserve">31 </w:t>
            </w:r>
            <w:r w:rsidR="00E1202D" w:rsidRPr="00E70587">
              <w:rPr>
                <w:rFonts w:ascii="Arial" w:hAnsi="Arial" w:cs="Arial"/>
                <w:b/>
                <w:sz w:val="20"/>
                <w:lang w:val="en-IN" w:eastAsia="ru-RU"/>
              </w:rPr>
              <w:t xml:space="preserve">March </w:t>
            </w:r>
            <w:r w:rsidR="003922AA" w:rsidRPr="00E70587">
              <w:rPr>
                <w:rFonts w:ascii="Arial" w:hAnsi="Arial" w:cs="Arial"/>
                <w:b/>
                <w:sz w:val="20"/>
                <w:lang w:val="en-IN" w:eastAsia="ru-RU"/>
              </w:rPr>
              <w:t>20</w:t>
            </w:r>
            <w:r w:rsidR="003922AA">
              <w:rPr>
                <w:rFonts w:ascii="Arial" w:hAnsi="Arial" w:cs="Arial"/>
                <w:b/>
                <w:sz w:val="20"/>
                <w:lang w:val="en-IN" w:eastAsia="ru-RU"/>
              </w:rPr>
              <w:t>21</w:t>
            </w:r>
          </w:p>
        </w:tc>
        <w:tc>
          <w:tcPr>
            <w:tcW w:w="1793" w:type="dxa"/>
            <w:shd w:val="clear" w:color="auto" w:fill="auto"/>
            <w:vAlign w:val="bottom"/>
          </w:tcPr>
          <w:p w14:paraId="13FEF502" w14:textId="77777777" w:rsidR="0086091A" w:rsidRPr="00E70587" w:rsidRDefault="0086091A" w:rsidP="009901E1">
            <w:pPr>
              <w:pStyle w:val="tabletext"/>
              <w:overflowPunct w:val="0"/>
              <w:autoSpaceDE w:val="0"/>
              <w:autoSpaceDN w:val="0"/>
              <w:adjustRightInd w:val="0"/>
              <w:spacing w:line="280" w:lineRule="exact"/>
              <w:jc w:val="right"/>
              <w:textAlignment w:val="baseline"/>
              <w:rPr>
                <w:rFonts w:ascii="Arial" w:hAnsi="Arial" w:cs="Arial"/>
                <w:sz w:val="20"/>
                <w:lang w:val="en-IN" w:eastAsia="ru-RU"/>
              </w:rPr>
            </w:pPr>
            <w:r w:rsidRPr="00E70587">
              <w:rPr>
                <w:rFonts w:ascii="Arial" w:hAnsi="Arial" w:cs="Arial"/>
                <w:sz w:val="20"/>
                <w:lang w:val="en-IN" w:eastAsia="ru-RU"/>
              </w:rPr>
              <w:t>+5%</w:t>
            </w:r>
          </w:p>
        </w:tc>
        <w:tc>
          <w:tcPr>
            <w:tcW w:w="1794" w:type="dxa"/>
            <w:shd w:val="clear" w:color="auto" w:fill="auto"/>
            <w:tcMar>
              <w:right w:w="108" w:type="dxa"/>
            </w:tcMar>
          </w:tcPr>
          <w:p w14:paraId="3709F9EF"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47</w:t>
            </w:r>
          </w:p>
        </w:tc>
        <w:tc>
          <w:tcPr>
            <w:tcW w:w="1794" w:type="dxa"/>
            <w:shd w:val="clear" w:color="auto" w:fill="auto"/>
            <w:tcMar>
              <w:right w:w="108" w:type="dxa"/>
            </w:tcMar>
          </w:tcPr>
          <w:p w14:paraId="14C6261C"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184</w:t>
            </w:r>
          </w:p>
        </w:tc>
      </w:tr>
      <w:tr w:rsidR="0086091A" w:rsidRPr="00E70587" w14:paraId="7130CD21" w14:textId="77777777" w:rsidTr="00561373">
        <w:tc>
          <w:tcPr>
            <w:tcW w:w="4195" w:type="dxa"/>
            <w:shd w:val="clear" w:color="auto" w:fill="auto"/>
            <w:vAlign w:val="bottom"/>
          </w:tcPr>
          <w:p w14:paraId="68417DF2"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b/>
                <w:sz w:val="20"/>
                <w:lang w:val="en-IN" w:eastAsia="ru-RU"/>
              </w:rPr>
            </w:pPr>
          </w:p>
        </w:tc>
        <w:tc>
          <w:tcPr>
            <w:tcW w:w="1793" w:type="dxa"/>
            <w:shd w:val="clear" w:color="auto" w:fill="auto"/>
            <w:vAlign w:val="bottom"/>
          </w:tcPr>
          <w:p w14:paraId="33899B5C" w14:textId="77777777" w:rsidR="0086091A" w:rsidRPr="00E70587" w:rsidRDefault="0086091A" w:rsidP="009901E1">
            <w:pPr>
              <w:pStyle w:val="tabletext"/>
              <w:overflowPunct w:val="0"/>
              <w:autoSpaceDE w:val="0"/>
              <w:autoSpaceDN w:val="0"/>
              <w:adjustRightInd w:val="0"/>
              <w:spacing w:line="280" w:lineRule="exact"/>
              <w:jc w:val="right"/>
              <w:textAlignment w:val="baseline"/>
              <w:rPr>
                <w:rFonts w:ascii="Arial" w:hAnsi="Arial" w:cs="Arial"/>
                <w:sz w:val="20"/>
                <w:lang w:val="en-IN" w:eastAsia="ru-RU"/>
              </w:rPr>
            </w:pPr>
            <w:r w:rsidRPr="00E70587">
              <w:rPr>
                <w:rFonts w:ascii="Arial" w:hAnsi="Arial" w:cs="Arial"/>
                <w:sz w:val="20"/>
                <w:lang w:val="en-IN" w:eastAsia="ru-RU"/>
              </w:rPr>
              <w:t>-5%</w:t>
            </w:r>
          </w:p>
        </w:tc>
        <w:tc>
          <w:tcPr>
            <w:tcW w:w="1794" w:type="dxa"/>
            <w:shd w:val="clear" w:color="auto" w:fill="auto"/>
            <w:tcMar>
              <w:right w:w="28" w:type="dxa"/>
            </w:tcMar>
          </w:tcPr>
          <w:p w14:paraId="4119E839"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(27)</w:t>
            </w:r>
          </w:p>
        </w:tc>
        <w:tc>
          <w:tcPr>
            <w:tcW w:w="1794" w:type="dxa"/>
            <w:shd w:val="clear" w:color="auto" w:fill="auto"/>
            <w:tcMar>
              <w:right w:w="28" w:type="dxa"/>
            </w:tcMar>
          </w:tcPr>
          <w:p w14:paraId="19EE9758"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(203)</w:t>
            </w:r>
          </w:p>
        </w:tc>
      </w:tr>
      <w:tr w:rsidR="0086091A" w:rsidRPr="00E70587" w14:paraId="3A012073" w14:textId="77777777" w:rsidTr="00561373">
        <w:tc>
          <w:tcPr>
            <w:tcW w:w="4195" w:type="dxa"/>
            <w:shd w:val="clear" w:color="auto" w:fill="auto"/>
            <w:vAlign w:val="bottom"/>
          </w:tcPr>
          <w:p w14:paraId="783A53BC"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b/>
                <w:sz w:val="20"/>
                <w:lang w:val="en-IN" w:eastAsia="ru-RU"/>
              </w:rPr>
            </w:pPr>
          </w:p>
        </w:tc>
        <w:tc>
          <w:tcPr>
            <w:tcW w:w="1793" w:type="dxa"/>
            <w:shd w:val="clear" w:color="auto" w:fill="auto"/>
            <w:vAlign w:val="bottom"/>
          </w:tcPr>
          <w:p w14:paraId="70AB5119" w14:textId="77777777" w:rsidR="0086091A" w:rsidRPr="00E70587" w:rsidRDefault="0086091A" w:rsidP="009901E1">
            <w:pPr>
              <w:pStyle w:val="tabletext"/>
              <w:overflowPunct w:val="0"/>
              <w:autoSpaceDE w:val="0"/>
              <w:autoSpaceDN w:val="0"/>
              <w:adjustRightInd w:val="0"/>
              <w:spacing w:line="280" w:lineRule="exact"/>
              <w:jc w:val="right"/>
              <w:textAlignment w:val="baseline"/>
              <w:rPr>
                <w:rFonts w:ascii="Arial" w:hAnsi="Arial" w:cs="Arial"/>
                <w:sz w:val="20"/>
                <w:lang w:val="en-IN" w:eastAsia="ru-RU"/>
              </w:rPr>
            </w:pPr>
          </w:p>
        </w:tc>
        <w:tc>
          <w:tcPr>
            <w:tcW w:w="1794" w:type="dxa"/>
            <w:shd w:val="clear" w:color="auto" w:fill="auto"/>
          </w:tcPr>
          <w:p w14:paraId="77532B62" w14:textId="77777777" w:rsidR="0086091A" w:rsidRPr="00E70587" w:rsidRDefault="0086091A" w:rsidP="009901E1">
            <w:pPr>
              <w:overflowPunct/>
              <w:spacing w:line="280" w:lineRule="exact"/>
              <w:jc w:val="right"/>
              <w:textAlignment w:val="auto"/>
              <w:rPr>
                <w:rFonts w:ascii="Arial" w:hAnsi="Arial" w:cs="Arial"/>
                <w:sz w:val="20"/>
                <w:lang w:eastAsia="en-GB"/>
              </w:rPr>
            </w:pPr>
          </w:p>
        </w:tc>
        <w:tc>
          <w:tcPr>
            <w:tcW w:w="1794" w:type="dxa"/>
            <w:shd w:val="clear" w:color="auto" w:fill="auto"/>
          </w:tcPr>
          <w:p w14:paraId="4CB43FD1" w14:textId="77777777" w:rsidR="0086091A" w:rsidRPr="00E70587" w:rsidRDefault="0086091A" w:rsidP="009901E1">
            <w:pPr>
              <w:overflowPunct/>
              <w:spacing w:line="280" w:lineRule="exact"/>
              <w:jc w:val="right"/>
              <w:textAlignment w:val="auto"/>
              <w:rPr>
                <w:rFonts w:ascii="Arial" w:hAnsi="Arial" w:cs="Arial"/>
                <w:sz w:val="20"/>
                <w:lang w:eastAsia="en-GB"/>
              </w:rPr>
            </w:pPr>
          </w:p>
        </w:tc>
      </w:tr>
      <w:tr w:rsidR="0086091A" w:rsidRPr="00E70587" w14:paraId="62AC3E60" w14:textId="77777777" w:rsidTr="00561373">
        <w:tc>
          <w:tcPr>
            <w:tcW w:w="4195" w:type="dxa"/>
            <w:shd w:val="clear" w:color="auto" w:fill="auto"/>
            <w:vAlign w:val="bottom"/>
          </w:tcPr>
          <w:p w14:paraId="5846A85A" w14:textId="6F1FF3DE"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b/>
                <w:sz w:val="20"/>
                <w:lang w:val="en-IN" w:eastAsia="ru-RU"/>
              </w:rPr>
            </w:pPr>
            <w:r w:rsidRPr="00E70587">
              <w:rPr>
                <w:rFonts w:ascii="Arial" w:hAnsi="Arial" w:cs="Arial"/>
                <w:b/>
                <w:sz w:val="20"/>
                <w:lang w:val="en-IN" w:eastAsia="ru-RU"/>
              </w:rPr>
              <w:t xml:space="preserve">31 </w:t>
            </w:r>
            <w:r w:rsidR="008B730E" w:rsidRPr="00E70587">
              <w:rPr>
                <w:rFonts w:ascii="Arial" w:hAnsi="Arial" w:cs="Arial"/>
                <w:b/>
                <w:sz w:val="20"/>
                <w:lang w:val="en-IN" w:eastAsia="ru-RU"/>
              </w:rPr>
              <w:t xml:space="preserve">March </w:t>
            </w:r>
            <w:r w:rsidR="003922AA" w:rsidRPr="00E70587">
              <w:rPr>
                <w:rFonts w:ascii="Arial" w:hAnsi="Arial" w:cs="Arial"/>
                <w:b/>
                <w:sz w:val="20"/>
                <w:lang w:val="en-IN" w:eastAsia="ru-RU"/>
              </w:rPr>
              <w:t>20</w:t>
            </w:r>
            <w:r w:rsidR="003922AA">
              <w:rPr>
                <w:rFonts w:ascii="Arial" w:hAnsi="Arial" w:cs="Arial"/>
                <w:b/>
                <w:sz w:val="20"/>
                <w:lang w:val="en-IN" w:eastAsia="ru-RU"/>
              </w:rPr>
              <w:t>20</w:t>
            </w:r>
          </w:p>
        </w:tc>
        <w:tc>
          <w:tcPr>
            <w:tcW w:w="1793" w:type="dxa"/>
            <w:shd w:val="clear" w:color="auto" w:fill="auto"/>
            <w:vAlign w:val="bottom"/>
          </w:tcPr>
          <w:p w14:paraId="29B576F6" w14:textId="77777777" w:rsidR="0086091A" w:rsidRPr="00E70587" w:rsidRDefault="0086091A" w:rsidP="009901E1">
            <w:pPr>
              <w:pStyle w:val="tabletext"/>
              <w:overflowPunct w:val="0"/>
              <w:autoSpaceDE w:val="0"/>
              <w:autoSpaceDN w:val="0"/>
              <w:adjustRightInd w:val="0"/>
              <w:spacing w:line="280" w:lineRule="exact"/>
              <w:jc w:val="right"/>
              <w:textAlignment w:val="baseline"/>
              <w:rPr>
                <w:rFonts w:ascii="Arial" w:hAnsi="Arial" w:cs="Arial"/>
                <w:sz w:val="20"/>
                <w:lang w:val="en-IN" w:eastAsia="ru-RU"/>
              </w:rPr>
            </w:pPr>
            <w:r w:rsidRPr="00E70587">
              <w:rPr>
                <w:rFonts w:ascii="Arial" w:hAnsi="Arial" w:cs="Arial"/>
                <w:sz w:val="20"/>
                <w:lang w:val="en-IN" w:eastAsia="ru-RU"/>
              </w:rPr>
              <w:t>+4%</w:t>
            </w:r>
          </w:p>
        </w:tc>
        <w:tc>
          <w:tcPr>
            <w:tcW w:w="1794" w:type="dxa"/>
            <w:shd w:val="clear" w:color="auto" w:fill="auto"/>
            <w:tcMar>
              <w:right w:w="108" w:type="dxa"/>
            </w:tcMar>
          </w:tcPr>
          <w:p w14:paraId="31A19548"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56</w:t>
            </w:r>
          </w:p>
        </w:tc>
        <w:tc>
          <w:tcPr>
            <w:tcW w:w="1794" w:type="dxa"/>
            <w:shd w:val="clear" w:color="auto" w:fill="auto"/>
            <w:tcMar>
              <w:right w:w="108" w:type="dxa"/>
            </w:tcMar>
          </w:tcPr>
          <w:p w14:paraId="1EE8C3CC"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166</w:t>
            </w:r>
          </w:p>
        </w:tc>
      </w:tr>
      <w:tr w:rsidR="0086091A" w:rsidRPr="00E70587" w14:paraId="2BCC72AE" w14:textId="77777777" w:rsidTr="00561373">
        <w:tc>
          <w:tcPr>
            <w:tcW w:w="4195" w:type="dxa"/>
            <w:shd w:val="clear" w:color="auto" w:fill="auto"/>
            <w:vAlign w:val="bottom"/>
          </w:tcPr>
          <w:p w14:paraId="04E1DDD8"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eastAsia="ru-RU"/>
              </w:rPr>
            </w:pPr>
          </w:p>
        </w:tc>
        <w:tc>
          <w:tcPr>
            <w:tcW w:w="1793" w:type="dxa"/>
            <w:shd w:val="clear" w:color="auto" w:fill="auto"/>
            <w:vAlign w:val="bottom"/>
          </w:tcPr>
          <w:p w14:paraId="68084956" w14:textId="77777777" w:rsidR="0086091A" w:rsidRPr="00E70587" w:rsidRDefault="0086091A" w:rsidP="009901E1">
            <w:pPr>
              <w:pStyle w:val="tabletext"/>
              <w:overflowPunct w:val="0"/>
              <w:autoSpaceDE w:val="0"/>
              <w:autoSpaceDN w:val="0"/>
              <w:adjustRightInd w:val="0"/>
              <w:spacing w:line="280" w:lineRule="exact"/>
              <w:jc w:val="right"/>
              <w:textAlignment w:val="baseline"/>
              <w:rPr>
                <w:rFonts w:ascii="Arial" w:hAnsi="Arial" w:cs="Arial"/>
                <w:sz w:val="20"/>
                <w:lang w:val="en-IN" w:eastAsia="ru-RU"/>
              </w:rPr>
            </w:pPr>
            <w:r w:rsidRPr="00E70587">
              <w:rPr>
                <w:rFonts w:ascii="Arial" w:hAnsi="Arial" w:cs="Arial"/>
                <w:sz w:val="20"/>
                <w:lang w:val="en-IN" w:eastAsia="ru-RU"/>
              </w:rPr>
              <w:t>–4%</w:t>
            </w:r>
          </w:p>
        </w:tc>
        <w:tc>
          <w:tcPr>
            <w:tcW w:w="1794" w:type="dxa"/>
            <w:shd w:val="clear" w:color="auto" w:fill="auto"/>
            <w:tcMar>
              <w:right w:w="28" w:type="dxa"/>
            </w:tcMar>
          </w:tcPr>
          <w:p w14:paraId="20F245FB"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(50)</w:t>
            </w:r>
          </w:p>
        </w:tc>
        <w:tc>
          <w:tcPr>
            <w:tcW w:w="1794" w:type="dxa"/>
            <w:shd w:val="clear" w:color="auto" w:fill="auto"/>
            <w:tcMar>
              <w:right w:w="28" w:type="dxa"/>
            </w:tcMar>
          </w:tcPr>
          <w:p w14:paraId="09736A94" w14:textId="77777777" w:rsidR="0086091A" w:rsidRPr="00E70587" w:rsidRDefault="0086091A" w:rsidP="009901E1">
            <w:pPr>
              <w:overflowPunct/>
              <w:spacing w:line="280" w:lineRule="exact"/>
              <w:jc w:val="right"/>
              <w:textAlignment w:val="auto"/>
              <w:rPr>
                <w:rFonts w:ascii="Arial" w:hAnsi="Arial" w:cs="Arial"/>
                <w:sz w:val="20"/>
                <w:lang w:eastAsia="en-GB"/>
              </w:rPr>
            </w:pPr>
            <w:r w:rsidRPr="00E70587">
              <w:rPr>
                <w:rFonts w:ascii="Arial" w:hAnsi="Arial" w:cs="Arial"/>
                <w:sz w:val="20"/>
                <w:lang w:eastAsia="en-GB"/>
              </w:rPr>
              <w:t>(173)</w:t>
            </w:r>
          </w:p>
        </w:tc>
      </w:tr>
    </w:tbl>
    <w:p w14:paraId="5D58388D" w14:textId="77777777" w:rsidR="00ED4E67" w:rsidRPr="00E70587" w:rsidRDefault="00ED4E67" w:rsidP="009901E1">
      <w:pPr>
        <w:pStyle w:val="Notesbodytext"/>
        <w:spacing w:after="0" w:line="280" w:lineRule="exact"/>
        <w:rPr>
          <w:rFonts w:ascii="Arial" w:hAnsi="Arial"/>
          <w:color w:val="auto"/>
          <w:sz w:val="20"/>
        </w:rPr>
      </w:pPr>
    </w:p>
    <w:tbl>
      <w:tblPr>
        <w:tblW w:w="9576" w:type="dxa"/>
        <w:tblLook w:val="0000" w:firstRow="0" w:lastRow="0" w:firstColumn="0" w:lastColumn="0" w:noHBand="0" w:noVBand="0"/>
      </w:tblPr>
      <w:tblGrid>
        <w:gridCol w:w="3469"/>
        <w:gridCol w:w="2068"/>
        <w:gridCol w:w="2058"/>
        <w:gridCol w:w="1981"/>
      </w:tblGrid>
      <w:tr w:rsidR="0086091A" w:rsidRPr="00E70587" w14:paraId="2496E7E0" w14:textId="77777777" w:rsidTr="00834981">
        <w:tc>
          <w:tcPr>
            <w:tcW w:w="0" w:type="auto"/>
            <w:gridSpan w:val="4"/>
          </w:tcPr>
          <w:p w14:paraId="1C7E7408" w14:textId="77777777" w:rsidR="0086091A" w:rsidRPr="00E70587" w:rsidRDefault="0086091A" w:rsidP="00561373">
            <w:pPr>
              <w:pStyle w:val="Notesbodytext"/>
              <w:spacing w:after="0" w:line="280" w:lineRule="exact"/>
              <w:jc w:val="both"/>
              <w:rPr>
                <w:rFonts w:ascii="Arial" w:hAnsi="Arial"/>
                <w:color w:val="auto"/>
                <w:sz w:val="20"/>
              </w:rPr>
            </w:pPr>
            <w:r w:rsidRPr="00E70587">
              <w:rPr>
                <w:rFonts w:ascii="Arial" w:hAnsi="Arial"/>
                <w:color w:val="auto"/>
                <w:sz w:val="20"/>
              </w:rPr>
              <w:t xml:space="preserve">The movement in the pre-tax effect is a result of a change in the fair value of derivative financial instruments not designated in a hedge relationship and monetary assets and liabilities denominated in US dollars, where </w:t>
            </w:r>
            <w:r w:rsidRPr="00E70587">
              <w:rPr>
                <w:rFonts w:ascii="Arial" w:hAnsi="Arial"/>
                <w:color w:val="auto"/>
                <w:sz w:val="20"/>
              </w:rPr>
              <w:lastRenderedPageBreak/>
              <w:t>the functional currency of the entity is a currency other than US dollars. Although the derivatives have not been designated in a hedge relationship, they act as an economic hedge and will offset the underlying transactions when they occur.</w:t>
            </w:r>
          </w:p>
          <w:p w14:paraId="3A362595" w14:textId="77777777" w:rsidR="00561373" w:rsidRPr="00E70587" w:rsidRDefault="00561373" w:rsidP="00561373">
            <w:pPr>
              <w:pStyle w:val="Notesbodytext"/>
              <w:spacing w:after="0" w:line="280" w:lineRule="exact"/>
              <w:jc w:val="both"/>
              <w:rPr>
                <w:rFonts w:ascii="Arial" w:hAnsi="Arial"/>
                <w:color w:val="auto"/>
                <w:sz w:val="20"/>
              </w:rPr>
            </w:pPr>
          </w:p>
          <w:p w14:paraId="4A4C9454" w14:textId="77777777" w:rsidR="0086091A" w:rsidRPr="00E70587" w:rsidRDefault="0086091A" w:rsidP="00561373">
            <w:pPr>
              <w:pStyle w:val="Notesbodytext"/>
              <w:spacing w:after="0" w:line="280" w:lineRule="exact"/>
              <w:jc w:val="both"/>
              <w:rPr>
                <w:rFonts w:ascii="Arial" w:hAnsi="Arial"/>
                <w:color w:val="auto"/>
                <w:sz w:val="20"/>
              </w:rPr>
            </w:pPr>
            <w:r w:rsidRPr="00E70587">
              <w:rPr>
                <w:rFonts w:ascii="Arial" w:hAnsi="Arial"/>
                <w:color w:val="auto"/>
                <w:sz w:val="20"/>
              </w:rPr>
              <w:t>The movement in pre-tax equity arises from changes in US dollar borrowings (net of cash and cash equivalents) in the hedge of net investments in US operations and cash flow hedges. These movements will offset the translation of the US operations’ net assets into INR.</w:t>
            </w:r>
          </w:p>
          <w:p w14:paraId="76E33420" w14:textId="77777777" w:rsidR="00561373" w:rsidRPr="00E70587" w:rsidRDefault="00561373" w:rsidP="00561373">
            <w:pPr>
              <w:pStyle w:val="Notesbodytext"/>
              <w:spacing w:after="0" w:line="280" w:lineRule="exact"/>
              <w:jc w:val="both"/>
              <w:rPr>
                <w:rFonts w:ascii="Arial" w:hAnsi="Arial"/>
                <w:color w:val="auto"/>
                <w:sz w:val="20"/>
              </w:rPr>
            </w:pPr>
          </w:p>
          <w:p w14:paraId="0553B91F" w14:textId="77777777" w:rsidR="0086091A" w:rsidRPr="00E70587" w:rsidRDefault="0086091A" w:rsidP="00561373">
            <w:pPr>
              <w:spacing w:line="280" w:lineRule="exact"/>
              <w:jc w:val="both"/>
              <w:rPr>
                <w:rFonts w:ascii="Arial" w:hAnsi="Arial" w:cs="Arial"/>
                <w:b/>
                <w:sz w:val="20"/>
              </w:rPr>
            </w:pPr>
            <w:r w:rsidRPr="00E70587">
              <w:rPr>
                <w:rFonts w:ascii="Arial" w:hAnsi="Arial" w:cs="Arial"/>
                <w:b/>
                <w:sz w:val="20"/>
              </w:rPr>
              <w:t>Commodity price risk</w:t>
            </w:r>
          </w:p>
          <w:p w14:paraId="77F199B9" w14:textId="77777777" w:rsidR="00561373" w:rsidRPr="00E70587" w:rsidRDefault="00561373" w:rsidP="00561373">
            <w:pPr>
              <w:pStyle w:val="Notesbodytext"/>
              <w:spacing w:after="0" w:line="280" w:lineRule="exact"/>
              <w:jc w:val="both"/>
              <w:rPr>
                <w:rFonts w:ascii="Arial" w:hAnsi="Arial"/>
                <w:color w:val="auto"/>
                <w:sz w:val="20"/>
              </w:rPr>
            </w:pPr>
          </w:p>
          <w:p w14:paraId="0AA348A5" w14:textId="77777777" w:rsidR="0086091A" w:rsidRPr="00E70587" w:rsidRDefault="0086091A" w:rsidP="00561373">
            <w:pPr>
              <w:pStyle w:val="Notesbodytext"/>
              <w:spacing w:after="0" w:line="280" w:lineRule="exact"/>
              <w:jc w:val="both"/>
              <w:rPr>
                <w:rFonts w:ascii="Arial" w:hAnsi="Arial"/>
                <w:color w:val="auto"/>
                <w:sz w:val="20"/>
              </w:rPr>
            </w:pPr>
            <w:r w:rsidRPr="00E70587">
              <w:rPr>
                <w:rFonts w:ascii="Arial" w:hAnsi="Arial"/>
                <w:color w:val="auto"/>
                <w:sz w:val="20"/>
              </w:rPr>
              <w:t>The Group is affected by the price volatility of certain commodities. Its operating activities require the ongoing purchase and manufacture of electronic parts and therefore require a continuous supply of copper. Due to the significantly increased volatility of the price of the copper, the Group also entered into various purchase contracts for brass and chrome (for which there is an active market). The prices in these purchase contracts are link</w:t>
            </w:r>
            <w:r w:rsidR="00561373" w:rsidRPr="00E70587">
              <w:rPr>
                <w:rFonts w:ascii="Arial" w:hAnsi="Arial"/>
                <w:color w:val="auto"/>
                <w:sz w:val="20"/>
              </w:rPr>
              <w:t>ed to the price of electricity.</w:t>
            </w:r>
          </w:p>
          <w:p w14:paraId="35268DED" w14:textId="77777777" w:rsidR="00561373" w:rsidRPr="00E70587" w:rsidRDefault="00561373" w:rsidP="00561373">
            <w:pPr>
              <w:pStyle w:val="Notesbodytext"/>
              <w:spacing w:after="0" w:line="280" w:lineRule="exact"/>
              <w:jc w:val="both"/>
              <w:rPr>
                <w:rFonts w:ascii="Arial" w:hAnsi="Arial"/>
                <w:color w:val="auto"/>
                <w:sz w:val="20"/>
              </w:rPr>
            </w:pPr>
          </w:p>
          <w:p w14:paraId="231F887A" w14:textId="77777777" w:rsidR="0086091A" w:rsidRPr="00E70587" w:rsidRDefault="0086091A" w:rsidP="00561373">
            <w:pPr>
              <w:pStyle w:val="Notesbodytext"/>
              <w:spacing w:after="0" w:line="280" w:lineRule="exact"/>
              <w:jc w:val="both"/>
              <w:rPr>
                <w:rFonts w:ascii="Arial" w:hAnsi="Arial"/>
                <w:color w:val="auto"/>
                <w:sz w:val="20"/>
              </w:rPr>
            </w:pPr>
            <w:r w:rsidRPr="00E70587">
              <w:rPr>
                <w:rFonts w:ascii="Arial" w:hAnsi="Arial"/>
                <w:color w:val="auto"/>
                <w:sz w:val="20"/>
              </w:rPr>
              <w:t>The Group’s Board of Directors has developed and enacted a risk management strategy regarding commodity price risk and its mitigation.</w:t>
            </w:r>
          </w:p>
          <w:p w14:paraId="0BC37FD3" w14:textId="77777777" w:rsidR="00561373" w:rsidRPr="00E70587" w:rsidRDefault="00561373" w:rsidP="00561373">
            <w:pPr>
              <w:pStyle w:val="Notesbodytext"/>
              <w:spacing w:after="0" w:line="280" w:lineRule="exact"/>
              <w:jc w:val="both"/>
              <w:rPr>
                <w:rFonts w:ascii="Arial" w:hAnsi="Arial"/>
                <w:color w:val="auto"/>
                <w:sz w:val="20"/>
              </w:rPr>
            </w:pPr>
          </w:p>
          <w:p w14:paraId="660B6A69" w14:textId="77777777" w:rsidR="0086091A" w:rsidRPr="00E70587" w:rsidRDefault="0086091A" w:rsidP="00561373">
            <w:pPr>
              <w:pStyle w:val="Notesbodytext"/>
              <w:spacing w:after="0" w:line="280" w:lineRule="exact"/>
              <w:jc w:val="both"/>
              <w:rPr>
                <w:rFonts w:ascii="Arial" w:hAnsi="Arial"/>
                <w:color w:val="auto"/>
                <w:sz w:val="20"/>
              </w:rPr>
            </w:pPr>
            <w:r w:rsidRPr="00E70587">
              <w:rPr>
                <w:rFonts w:ascii="Arial" w:hAnsi="Arial"/>
                <w:color w:val="auto"/>
                <w:sz w:val="20"/>
              </w:rPr>
              <w:t>Based on a 12-month forecast of the required copper supply, the Group hedges the purchase price using forward commodity purchase contracts. The forecast is deemed to be highly probable.</w:t>
            </w:r>
          </w:p>
          <w:p w14:paraId="5EFE3727" w14:textId="77777777" w:rsidR="00561373" w:rsidRPr="00E70587" w:rsidRDefault="00561373" w:rsidP="00561373">
            <w:pPr>
              <w:spacing w:line="280" w:lineRule="exact"/>
              <w:jc w:val="both"/>
              <w:rPr>
                <w:rFonts w:ascii="Arial" w:hAnsi="Arial" w:cs="Arial"/>
                <w:sz w:val="20"/>
              </w:rPr>
            </w:pPr>
          </w:p>
          <w:p w14:paraId="5996BA6B" w14:textId="37DB7FCA" w:rsidR="0086091A" w:rsidRPr="00E70587" w:rsidRDefault="0086091A" w:rsidP="00561373">
            <w:pPr>
              <w:spacing w:line="280" w:lineRule="exact"/>
              <w:jc w:val="both"/>
              <w:rPr>
                <w:rFonts w:ascii="Arial" w:hAnsi="Arial" w:cs="Arial"/>
                <w:sz w:val="20"/>
              </w:rPr>
            </w:pPr>
            <w:r w:rsidRPr="00E70587">
              <w:rPr>
                <w:rFonts w:ascii="Arial" w:hAnsi="Arial" w:cs="Arial"/>
                <w:sz w:val="20"/>
              </w:rPr>
              <w:t xml:space="preserve">Forward contracts with a physical delivery that qualify for normal purchase, sale or usage and that are therefore not recognised as derivatives are disclosed in Note </w:t>
            </w:r>
            <w:r w:rsidR="00B83F60" w:rsidRPr="00E70587">
              <w:rPr>
                <w:rFonts w:ascii="Arial" w:hAnsi="Arial" w:cs="Arial"/>
                <w:sz w:val="20"/>
              </w:rPr>
              <w:t>4</w:t>
            </w:r>
            <w:r w:rsidR="00B83F60">
              <w:rPr>
                <w:rFonts w:ascii="Arial" w:hAnsi="Arial" w:cs="Arial"/>
                <w:sz w:val="20"/>
              </w:rPr>
              <w:t>6</w:t>
            </w:r>
            <w:r w:rsidRPr="00E70587">
              <w:rPr>
                <w:rFonts w:ascii="Arial" w:hAnsi="Arial" w:cs="Arial"/>
                <w:sz w:val="20"/>
              </w:rPr>
              <w:t>.</w:t>
            </w:r>
          </w:p>
          <w:p w14:paraId="067A8041" w14:textId="77777777" w:rsidR="0086091A" w:rsidRPr="00E70587" w:rsidRDefault="0086091A" w:rsidP="00561373">
            <w:pPr>
              <w:spacing w:line="280" w:lineRule="exact"/>
              <w:jc w:val="both"/>
              <w:rPr>
                <w:rFonts w:ascii="Arial" w:hAnsi="Arial" w:cs="Arial"/>
                <w:sz w:val="20"/>
              </w:rPr>
            </w:pPr>
          </w:p>
        </w:tc>
      </w:tr>
      <w:tr w:rsidR="0086091A" w:rsidRPr="00E70587" w14:paraId="61A7E916" w14:textId="77777777" w:rsidTr="00834981">
        <w:tc>
          <w:tcPr>
            <w:tcW w:w="0" w:type="auto"/>
            <w:gridSpan w:val="4"/>
          </w:tcPr>
          <w:p w14:paraId="4C4A40EF" w14:textId="77777777" w:rsidR="0086091A" w:rsidRPr="00E70587" w:rsidRDefault="0086091A" w:rsidP="00561373">
            <w:pPr>
              <w:spacing w:line="280" w:lineRule="exact"/>
              <w:jc w:val="both"/>
              <w:rPr>
                <w:rFonts w:ascii="Arial" w:hAnsi="Arial" w:cs="Arial"/>
                <w:b/>
                <w:sz w:val="20"/>
              </w:rPr>
            </w:pPr>
            <w:r w:rsidRPr="00E70587">
              <w:rPr>
                <w:rFonts w:ascii="Arial" w:hAnsi="Arial" w:cs="Arial"/>
                <w:b/>
                <w:sz w:val="20"/>
              </w:rPr>
              <w:lastRenderedPageBreak/>
              <w:t>Commodity price sensitivity</w:t>
            </w:r>
          </w:p>
          <w:p w14:paraId="57A9F261" w14:textId="77777777" w:rsidR="00561373" w:rsidRPr="00E70587" w:rsidRDefault="00561373" w:rsidP="00561373">
            <w:pPr>
              <w:spacing w:line="280" w:lineRule="exact"/>
              <w:ind w:hanging="18"/>
              <w:jc w:val="both"/>
              <w:rPr>
                <w:rFonts w:ascii="Arial" w:hAnsi="Arial" w:cs="Arial"/>
                <w:sz w:val="20"/>
              </w:rPr>
            </w:pPr>
          </w:p>
          <w:p w14:paraId="2DC4601C" w14:textId="77777777" w:rsidR="0086091A" w:rsidRPr="00E70587" w:rsidRDefault="0086091A" w:rsidP="00561373">
            <w:pPr>
              <w:spacing w:line="280" w:lineRule="exact"/>
              <w:ind w:hanging="18"/>
              <w:jc w:val="both"/>
              <w:rPr>
                <w:rFonts w:ascii="Arial" w:hAnsi="Arial" w:cs="Arial"/>
                <w:i/>
                <w:sz w:val="20"/>
              </w:rPr>
            </w:pPr>
            <w:r w:rsidRPr="00E70587">
              <w:rPr>
                <w:rFonts w:ascii="Arial" w:hAnsi="Arial" w:cs="Arial"/>
                <w:sz w:val="20"/>
              </w:rPr>
              <w:t xml:space="preserve">The following table shows the effect of price changes in copper net of hedge accounting impact. </w:t>
            </w:r>
          </w:p>
        </w:tc>
      </w:tr>
      <w:tr w:rsidR="0086091A" w:rsidRPr="00E70587" w14:paraId="3E5142A5" w14:textId="77777777" w:rsidTr="00561373">
        <w:tblPrEx>
          <w:tblLook w:val="01E0" w:firstRow="1" w:lastRow="1" w:firstColumn="1" w:lastColumn="1" w:noHBand="0" w:noVBand="0"/>
        </w:tblPrEx>
        <w:tc>
          <w:tcPr>
            <w:tcW w:w="3811" w:type="dxa"/>
            <w:shd w:val="clear" w:color="auto" w:fill="auto"/>
          </w:tcPr>
          <w:p w14:paraId="01A5E5CF" w14:textId="77777777" w:rsidR="0086091A" w:rsidRPr="00E70587" w:rsidRDefault="0086091A" w:rsidP="009901E1">
            <w:pPr>
              <w:pStyle w:val="000Normal"/>
              <w:spacing w:before="0" w:after="0" w:line="280" w:lineRule="exact"/>
              <w:rPr>
                <w:rFonts w:ascii="Arial" w:hAnsi="Arial" w:cs="Arial"/>
                <w:sz w:val="20"/>
              </w:rPr>
            </w:pPr>
          </w:p>
        </w:tc>
        <w:tc>
          <w:tcPr>
            <w:tcW w:w="1928" w:type="dxa"/>
            <w:tcBorders>
              <w:bottom w:val="single" w:sz="4" w:space="0" w:color="auto"/>
            </w:tcBorders>
            <w:shd w:val="clear" w:color="auto" w:fill="auto"/>
            <w:tcMar>
              <w:left w:w="28" w:type="dxa"/>
            </w:tcMar>
          </w:tcPr>
          <w:p w14:paraId="546DF07E" w14:textId="77777777" w:rsidR="0086091A" w:rsidRPr="00E70587" w:rsidRDefault="0086091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Change in year-end price</w:t>
            </w:r>
          </w:p>
        </w:tc>
        <w:tc>
          <w:tcPr>
            <w:tcW w:w="1960" w:type="dxa"/>
            <w:tcBorders>
              <w:bottom w:val="single" w:sz="4" w:space="0" w:color="auto"/>
            </w:tcBorders>
            <w:shd w:val="clear" w:color="auto" w:fill="auto"/>
          </w:tcPr>
          <w:p w14:paraId="18AFF7C1" w14:textId="77777777" w:rsidR="0086091A" w:rsidRPr="00E70587" w:rsidRDefault="0086091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Effect on profit before tax</w:t>
            </w:r>
          </w:p>
        </w:tc>
        <w:tc>
          <w:tcPr>
            <w:tcW w:w="1877" w:type="dxa"/>
            <w:tcBorders>
              <w:bottom w:val="single" w:sz="4" w:space="0" w:color="auto"/>
            </w:tcBorders>
            <w:shd w:val="clear" w:color="auto" w:fill="auto"/>
          </w:tcPr>
          <w:p w14:paraId="31C06E39" w14:textId="77777777" w:rsidR="0086091A" w:rsidRPr="00E70587" w:rsidRDefault="0086091A" w:rsidP="009901E1">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Effect on equity</w:t>
            </w:r>
          </w:p>
        </w:tc>
      </w:tr>
      <w:tr w:rsidR="0086091A" w:rsidRPr="00E70587" w14:paraId="2CE63976" w14:textId="77777777" w:rsidTr="00561373">
        <w:tblPrEx>
          <w:tblLook w:val="01E0" w:firstRow="1" w:lastRow="1" w:firstColumn="1" w:lastColumn="1" w:noHBand="0" w:noVBand="0"/>
        </w:tblPrEx>
        <w:tc>
          <w:tcPr>
            <w:tcW w:w="3811" w:type="dxa"/>
            <w:tcMar>
              <w:top w:w="28" w:type="dxa"/>
            </w:tcMar>
            <w:vAlign w:val="bottom"/>
          </w:tcPr>
          <w:p w14:paraId="4E7687C9" w14:textId="7AC230D6"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 xml:space="preserve">31 </w:t>
            </w:r>
            <w:r w:rsidR="00E1202D" w:rsidRPr="00E70587">
              <w:rPr>
                <w:rFonts w:ascii="Arial" w:hAnsi="Arial" w:cs="Arial"/>
                <w:b/>
                <w:sz w:val="20"/>
                <w:lang w:val="en-IN"/>
              </w:rPr>
              <w:t xml:space="preserve">March </w:t>
            </w:r>
            <w:r w:rsidR="003922AA" w:rsidRPr="00E70587">
              <w:rPr>
                <w:rFonts w:ascii="Arial" w:hAnsi="Arial" w:cs="Arial"/>
                <w:b/>
                <w:sz w:val="20"/>
                <w:lang w:val="en-IN"/>
              </w:rPr>
              <w:t>20</w:t>
            </w:r>
            <w:r w:rsidR="003922AA">
              <w:rPr>
                <w:rFonts w:ascii="Arial" w:hAnsi="Arial" w:cs="Arial"/>
                <w:b/>
                <w:sz w:val="20"/>
                <w:lang w:val="en-IN"/>
              </w:rPr>
              <w:t>21</w:t>
            </w:r>
          </w:p>
        </w:tc>
        <w:tc>
          <w:tcPr>
            <w:tcW w:w="1928" w:type="dxa"/>
            <w:tcMar>
              <w:top w:w="28" w:type="dxa"/>
            </w:tcMar>
            <w:vAlign w:val="bottom"/>
          </w:tcPr>
          <w:p w14:paraId="34440DAD" w14:textId="77777777" w:rsidR="0086091A" w:rsidRPr="00E70587" w:rsidRDefault="0086091A" w:rsidP="009901E1">
            <w:pPr>
              <w:pStyle w:val="Tablecolumnheading"/>
              <w:spacing w:line="280" w:lineRule="exact"/>
              <w:rPr>
                <w:rFonts w:ascii="Arial" w:hAnsi="Arial"/>
                <w:color w:val="auto"/>
                <w:sz w:val="20"/>
                <w:szCs w:val="20"/>
                <w:lang w:val="en-IN"/>
              </w:rPr>
            </w:pPr>
          </w:p>
        </w:tc>
        <w:tc>
          <w:tcPr>
            <w:tcW w:w="1960" w:type="dxa"/>
            <w:tcMar>
              <w:top w:w="28" w:type="dxa"/>
            </w:tcMar>
            <w:vAlign w:val="bottom"/>
          </w:tcPr>
          <w:p w14:paraId="31CD6FA7" w14:textId="77777777" w:rsidR="0086091A" w:rsidRPr="00E70587" w:rsidRDefault="0086091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877" w:type="dxa"/>
            <w:vAlign w:val="bottom"/>
          </w:tcPr>
          <w:p w14:paraId="31413049" w14:textId="77777777" w:rsidR="0086091A" w:rsidRPr="00E70587" w:rsidRDefault="0086091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r>
      <w:tr w:rsidR="0086091A" w:rsidRPr="00E70587" w14:paraId="2318694D" w14:textId="77777777" w:rsidTr="00561373">
        <w:tblPrEx>
          <w:tblLook w:val="01E0" w:firstRow="1" w:lastRow="1" w:firstColumn="1" w:lastColumn="1" w:noHBand="0" w:noVBand="0"/>
        </w:tblPrEx>
        <w:tc>
          <w:tcPr>
            <w:tcW w:w="3811" w:type="dxa"/>
            <w:tcMar>
              <w:top w:w="28" w:type="dxa"/>
            </w:tcMar>
            <w:vAlign w:val="bottom"/>
          </w:tcPr>
          <w:p w14:paraId="17372EA6"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Copper</w:t>
            </w:r>
          </w:p>
        </w:tc>
        <w:tc>
          <w:tcPr>
            <w:tcW w:w="1928" w:type="dxa"/>
            <w:tcMar>
              <w:top w:w="28" w:type="dxa"/>
            </w:tcMar>
            <w:vAlign w:val="bottom"/>
          </w:tcPr>
          <w:p w14:paraId="3B05546C" w14:textId="77777777" w:rsidR="0086091A" w:rsidRPr="00E70587" w:rsidRDefault="0086091A" w:rsidP="009901E1">
            <w:pPr>
              <w:pStyle w:val="tabletext"/>
              <w:spacing w:line="280" w:lineRule="exact"/>
              <w:jc w:val="right"/>
              <w:rPr>
                <w:rFonts w:ascii="Arial" w:hAnsi="Arial" w:cs="Arial"/>
                <w:sz w:val="20"/>
                <w:lang w:val="en-IN"/>
              </w:rPr>
            </w:pPr>
            <w:r w:rsidRPr="00E70587">
              <w:rPr>
                <w:rFonts w:ascii="Arial" w:hAnsi="Arial" w:cs="Arial"/>
                <w:sz w:val="20"/>
                <w:lang w:val="en-IN"/>
              </w:rPr>
              <w:t>+15%</w:t>
            </w:r>
          </w:p>
        </w:tc>
        <w:tc>
          <w:tcPr>
            <w:tcW w:w="1960" w:type="dxa"/>
            <w:tcMar>
              <w:top w:w="28" w:type="dxa"/>
              <w:right w:w="28" w:type="dxa"/>
            </w:tcMar>
            <w:vAlign w:val="bottom"/>
          </w:tcPr>
          <w:p w14:paraId="56847CF6" w14:textId="77777777" w:rsidR="0086091A" w:rsidRPr="00E70587" w:rsidRDefault="0086091A" w:rsidP="000E29A9">
            <w:pPr>
              <w:pStyle w:val="tabletext"/>
              <w:spacing w:line="280" w:lineRule="exact"/>
              <w:jc w:val="right"/>
              <w:rPr>
                <w:rFonts w:ascii="Arial" w:hAnsi="Arial" w:cs="Arial"/>
                <w:sz w:val="20"/>
                <w:lang w:val="en-IN"/>
              </w:rPr>
            </w:pPr>
            <w:r w:rsidRPr="00E70587">
              <w:rPr>
                <w:rFonts w:ascii="Arial" w:hAnsi="Arial" w:cs="Arial"/>
                <w:sz w:val="20"/>
                <w:lang w:val="en-IN"/>
              </w:rPr>
              <w:t>(220)</w:t>
            </w:r>
          </w:p>
        </w:tc>
        <w:tc>
          <w:tcPr>
            <w:tcW w:w="1877" w:type="dxa"/>
            <w:tcMar>
              <w:right w:w="28" w:type="dxa"/>
            </w:tcMar>
            <w:vAlign w:val="bottom"/>
          </w:tcPr>
          <w:p w14:paraId="33BADF61" w14:textId="77777777" w:rsidR="0086091A" w:rsidRPr="00E70587" w:rsidRDefault="0086091A" w:rsidP="000E29A9">
            <w:pPr>
              <w:pStyle w:val="tabletext"/>
              <w:spacing w:line="280" w:lineRule="exact"/>
              <w:jc w:val="right"/>
              <w:rPr>
                <w:rFonts w:ascii="Arial" w:hAnsi="Arial" w:cs="Arial"/>
                <w:sz w:val="20"/>
                <w:lang w:val="en-IN"/>
              </w:rPr>
            </w:pPr>
            <w:r w:rsidRPr="00E70587">
              <w:rPr>
                <w:rFonts w:ascii="Arial" w:hAnsi="Arial" w:cs="Arial"/>
                <w:sz w:val="20"/>
                <w:lang w:val="en-IN"/>
              </w:rPr>
              <w:t>(585)</w:t>
            </w:r>
          </w:p>
        </w:tc>
      </w:tr>
      <w:tr w:rsidR="0086091A" w:rsidRPr="00E70587" w14:paraId="64B1425E" w14:textId="77777777" w:rsidTr="00561373">
        <w:tblPrEx>
          <w:tblLook w:val="01E0" w:firstRow="1" w:lastRow="1" w:firstColumn="1" w:lastColumn="1" w:noHBand="0" w:noVBand="0"/>
        </w:tblPrEx>
        <w:tc>
          <w:tcPr>
            <w:tcW w:w="3811" w:type="dxa"/>
            <w:tcMar>
              <w:top w:w="28" w:type="dxa"/>
            </w:tcMar>
            <w:vAlign w:val="bottom"/>
          </w:tcPr>
          <w:p w14:paraId="7A8C7960"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928" w:type="dxa"/>
            <w:tcMar>
              <w:top w:w="28" w:type="dxa"/>
            </w:tcMar>
            <w:vAlign w:val="bottom"/>
          </w:tcPr>
          <w:p w14:paraId="7A193FDF" w14:textId="77777777" w:rsidR="0086091A" w:rsidRPr="00E70587" w:rsidRDefault="0086091A" w:rsidP="009901E1">
            <w:pPr>
              <w:pStyle w:val="tabletext"/>
              <w:spacing w:line="280" w:lineRule="exact"/>
              <w:jc w:val="right"/>
              <w:rPr>
                <w:rFonts w:ascii="Arial" w:hAnsi="Arial" w:cs="Arial"/>
                <w:sz w:val="20"/>
                <w:lang w:val="en-IN"/>
              </w:rPr>
            </w:pPr>
            <w:r w:rsidRPr="00E70587">
              <w:rPr>
                <w:rFonts w:ascii="Arial" w:hAnsi="Arial" w:cs="Arial"/>
                <w:sz w:val="20"/>
                <w:lang w:val="en-IN"/>
              </w:rPr>
              <w:t>-15%</w:t>
            </w:r>
          </w:p>
        </w:tc>
        <w:tc>
          <w:tcPr>
            <w:tcW w:w="1960" w:type="dxa"/>
            <w:tcMar>
              <w:top w:w="0" w:type="dxa"/>
              <w:right w:w="108" w:type="dxa"/>
            </w:tcMar>
            <w:vAlign w:val="bottom"/>
          </w:tcPr>
          <w:p w14:paraId="35B452B6" w14:textId="77777777" w:rsidR="0086091A" w:rsidRPr="00E70587" w:rsidRDefault="0086091A" w:rsidP="000E29A9">
            <w:pPr>
              <w:pStyle w:val="tabletext"/>
              <w:spacing w:line="280" w:lineRule="exact"/>
              <w:jc w:val="right"/>
              <w:rPr>
                <w:rFonts w:ascii="Arial" w:hAnsi="Arial" w:cs="Arial"/>
                <w:sz w:val="20"/>
                <w:lang w:val="en-IN"/>
              </w:rPr>
            </w:pPr>
            <w:r w:rsidRPr="00E70587">
              <w:rPr>
                <w:rFonts w:ascii="Arial" w:hAnsi="Arial" w:cs="Arial"/>
                <w:sz w:val="20"/>
                <w:lang w:val="en-IN"/>
              </w:rPr>
              <w:t>220</w:t>
            </w:r>
          </w:p>
        </w:tc>
        <w:tc>
          <w:tcPr>
            <w:tcW w:w="1877" w:type="dxa"/>
            <w:vAlign w:val="bottom"/>
          </w:tcPr>
          <w:p w14:paraId="61D5DDF7" w14:textId="77777777" w:rsidR="0086091A" w:rsidRPr="00E70587" w:rsidRDefault="0086091A" w:rsidP="000E29A9">
            <w:pPr>
              <w:pStyle w:val="tabletext"/>
              <w:spacing w:line="280" w:lineRule="exact"/>
              <w:jc w:val="right"/>
              <w:rPr>
                <w:rFonts w:ascii="Arial" w:hAnsi="Arial" w:cs="Arial"/>
                <w:sz w:val="20"/>
                <w:lang w:val="en-IN"/>
              </w:rPr>
            </w:pPr>
            <w:r w:rsidRPr="00E70587">
              <w:rPr>
                <w:rFonts w:ascii="Arial" w:hAnsi="Arial" w:cs="Arial"/>
                <w:sz w:val="20"/>
                <w:lang w:val="en-IN"/>
              </w:rPr>
              <w:t>585</w:t>
            </w:r>
          </w:p>
        </w:tc>
      </w:tr>
      <w:tr w:rsidR="0086091A" w:rsidRPr="00E70587" w14:paraId="631ED875" w14:textId="77777777" w:rsidTr="00561373">
        <w:tblPrEx>
          <w:tblLook w:val="01E0" w:firstRow="1" w:lastRow="1" w:firstColumn="1" w:lastColumn="1" w:noHBand="0" w:noVBand="0"/>
        </w:tblPrEx>
        <w:tc>
          <w:tcPr>
            <w:tcW w:w="3811" w:type="dxa"/>
            <w:tcMar>
              <w:top w:w="28" w:type="dxa"/>
            </w:tcMar>
            <w:vAlign w:val="bottom"/>
          </w:tcPr>
          <w:p w14:paraId="7F4BF0BA"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Brass</w:t>
            </w:r>
          </w:p>
        </w:tc>
        <w:tc>
          <w:tcPr>
            <w:tcW w:w="1928" w:type="dxa"/>
            <w:tcMar>
              <w:top w:w="28" w:type="dxa"/>
            </w:tcMar>
            <w:vAlign w:val="bottom"/>
          </w:tcPr>
          <w:p w14:paraId="1F5F14F2" w14:textId="77777777" w:rsidR="0086091A" w:rsidRPr="00E70587" w:rsidRDefault="0086091A" w:rsidP="009901E1">
            <w:pPr>
              <w:pStyle w:val="tabletext"/>
              <w:spacing w:line="280" w:lineRule="exact"/>
              <w:jc w:val="right"/>
              <w:rPr>
                <w:rFonts w:ascii="Arial" w:hAnsi="Arial" w:cs="Arial"/>
                <w:sz w:val="20"/>
                <w:lang w:val="en-IN"/>
              </w:rPr>
            </w:pPr>
            <w:r w:rsidRPr="00E70587">
              <w:rPr>
                <w:rFonts w:ascii="Arial" w:hAnsi="Arial" w:cs="Arial"/>
                <w:sz w:val="20"/>
                <w:lang w:val="en-IN"/>
              </w:rPr>
              <w:t>+4%</w:t>
            </w:r>
          </w:p>
        </w:tc>
        <w:tc>
          <w:tcPr>
            <w:tcW w:w="1960" w:type="dxa"/>
            <w:tcMar>
              <w:top w:w="0" w:type="dxa"/>
              <w:right w:w="108" w:type="dxa"/>
            </w:tcMar>
            <w:vAlign w:val="bottom"/>
          </w:tcPr>
          <w:p w14:paraId="1DB347AE" w14:textId="77777777" w:rsidR="0086091A" w:rsidRPr="00E70587" w:rsidRDefault="0086091A" w:rsidP="000E29A9">
            <w:pPr>
              <w:pStyle w:val="tabletext"/>
              <w:spacing w:line="280" w:lineRule="exact"/>
              <w:jc w:val="right"/>
              <w:rPr>
                <w:rFonts w:ascii="Arial" w:hAnsi="Arial" w:cs="Arial"/>
                <w:sz w:val="20"/>
                <w:lang w:val="en-IN"/>
              </w:rPr>
            </w:pPr>
            <w:r w:rsidRPr="00E70587">
              <w:rPr>
                <w:rFonts w:ascii="Arial" w:hAnsi="Arial" w:cs="Arial"/>
                <w:sz w:val="20"/>
                <w:lang w:val="en-IN"/>
              </w:rPr>
              <w:t>(8)</w:t>
            </w:r>
          </w:p>
        </w:tc>
        <w:tc>
          <w:tcPr>
            <w:tcW w:w="1877" w:type="dxa"/>
            <w:vAlign w:val="bottom"/>
          </w:tcPr>
          <w:p w14:paraId="01D1A7CB" w14:textId="77777777" w:rsidR="0086091A" w:rsidRPr="00E70587" w:rsidRDefault="0086091A" w:rsidP="000E29A9">
            <w:pPr>
              <w:pStyle w:val="tabletext"/>
              <w:spacing w:line="280" w:lineRule="exact"/>
              <w:jc w:val="right"/>
              <w:rPr>
                <w:rFonts w:ascii="Arial" w:hAnsi="Arial" w:cs="Arial"/>
                <w:sz w:val="20"/>
                <w:lang w:val="en-IN"/>
              </w:rPr>
            </w:pPr>
            <w:r w:rsidRPr="00E70587">
              <w:rPr>
                <w:rFonts w:ascii="Arial" w:hAnsi="Arial" w:cs="Arial"/>
                <w:sz w:val="20"/>
                <w:lang w:val="en-IN"/>
              </w:rPr>
              <w:t>(8)</w:t>
            </w:r>
          </w:p>
        </w:tc>
      </w:tr>
      <w:tr w:rsidR="0086091A" w:rsidRPr="00E70587" w14:paraId="5986DE3F" w14:textId="77777777" w:rsidTr="00561373">
        <w:tblPrEx>
          <w:tblLook w:val="01E0" w:firstRow="1" w:lastRow="1" w:firstColumn="1" w:lastColumn="1" w:noHBand="0" w:noVBand="0"/>
        </w:tblPrEx>
        <w:tc>
          <w:tcPr>
            <w:tcW w:w="3811" w:type="dxa"/>
            <w:tcMar>
              <w:top w:w="28" w:type="dxa"/>
            </w:tcMar>
            <w:vAlign w:val="bottom"/>
          </w:tcPr>
          <w:p w14:paraId="3162E5CF"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928" w:type="dxa"/>
            <w:tcMar>
              <w:top w:w="28" w:type="dxa"/>
            </w:tcMar>
            <w:vAlign w:val="bottom"/>
          </w:tcPr>
          <w:p w14:paraId="3A1716DB" w14:textId="77777777" w:rsidR="0086091A" w:rsidRPr="00E70587" w:rsidRDefault="0086091A" w:rsidP="009901E1">
            <w:pPr>
              <w:pStyle w:val="tabletext"/>
              <w:spacing w:line="280" w:lineRule="exact"/>
              <w:jc w:val="right"/>
              <w:rPr>
                <w:rFonts w:ascii="Arial" w:hAnsi="Arial" w:cs="Arial"/>
                <w:sz w:val="20"/>
                <w:lang w:val="en-IN"/>
              </w:rPr>
            </w:pPr>
            <w:r w:rsidRPr="00E70587">
              <w:rPr>
                <w:rFonts w:ascii="Arial" w:hAnsi="Arial" w:cs="Arial"/>
                <w:sz w:val="20"/>
                <w:lang w:val="en-IN"/>
              </w:rPr>
              <w:t>-4%</w:t>
            </w:r>
          </w:p>
        </w:tc>
        <w:tc>
          <w:tcPr>
            <w:tcW w:w="1960" w:type="dxa"/>
            <w:tcMar>
              <w:top w:w="0" w:type="dxa"/>
              <w:right w:w="108" w:type="dxa"/>
            </w:tcMar>
            <w:vAlign w:val="bottom"/>
          </w:tcPr>
          <w:p w14:paraId="22D4B58A" w14:textId="77777777" w:rsidR="0086091A" w:rsidRPr="00E70587" w:rsidRDefault="0086091A" w:rsidP="000E29A9">
            <w:pPr>
              <w:pStyle w:val="tabletext"/>
              <w:spacing w:line="280" w:lineRule="exact"/>
              <w:jc w:val="right"/>
              <w:rPr>
                <w:rFonts w:ascii="Arial" w:hAnsi="Arial" w:cs="Arial"/>
                <w:sz w:val="20"/>
                <w:lang w:val="en-IN"/>
              </w:rPr>
            </w:pPr>
            <w:r w:rsidRPr="00E70587">
              <w:rPr>
                <w:rFonts w:ascii="Arial" w:hAnsi="Arial" w:cs="Arial"/>
                <w:sz w:val="20"/>
                <w:lang w:val="en-IN"/>
              </w:rPr>
              <w:t>8</w:t>
            </w:r>
          </w:p>
        </w:tc>
        <w:tc>
          <w:tcPr>
            <w:tcW w:w="1877" w:type="dxa"/>
            <w:vAlign w:val="bottom"/>
          </w:tcPr>
          <w:p w14:paraId="55452AC6" w14:textId="77777777" w:rsidR="0086091A" w:rsidRPr="00E70587" w:rsidRDefault="0086091A" w:rsidP="000E29A9">
            <w:pPr>
              <w:pStyle w:val="tabletext"/>
              <w:spacing w:line="280" w:lineRule="exact"/>
              <w:jc w:val="right"/>
              <w:rPr>
                <w:rFonts w:ascii="Arial" w:hAnsi="Arial" w:cs="Arial"/>
                <w:sz w:val="20"/>
                <w:lang w:val="en-IN"/>
              </w:rPr>
            </w:pPr>
            <w:r w:rsidRPr="00E70587">
              <w:rPr>
                <w:rFonts w:ascii="Arial" w:hAnsi="Arial" w:cs="Arial"/>
                <w:sz w:val="20"/>
                <w:lang w:val="en-IN"/>
              </w:rPr>
              <w:t>8</w:t>
            </w:r>
          </w:p>
        </w:tc>
      </w:tr>
      <w:tr w:rsidR="0086091A" w:rsidRPr="00E70587" w14:paraId="5E93FA50" w14:textId="77777777" w:rsidTr="00561373">
        <w:tblPrEx>
          <w:tblLook w:val="01E0" w:firstRow="1" w:lastRow="1" w:firstColumn="1" w:lastColumn="1" w:noHBand="0" w:noVBand="0"/>
        </w:tblPrEx>
        <w:tc>
          <w:tcPr>
            <w:tcW w:w="3811" w:type="dxa"/>
            <w:tcMar>
              <w:top w:w="28" w:type="dxa"/>
            </w:tcMar>
            <w:vAlign w:val="bottom"/>
          </w:tcPr>
          <w:p w14:paraId="2608FB71"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Chrome</w:t>
            </w:r>
          </w:p>
        </w:tc>
        <w:tc>
          <w:tcPr>
            <w:tcW w:w="1928" w:type="dxa"/>
            <w:tcMar>
              <w:top w:w="28" w:type="dxa"/>
            </w:tcMar>
            <w:vAlign w:val="bottom"/>
          </w:tcPr>
          <w:p w14:paraId="41A2EEC0" w14:textId="77777777" w:rsidR="0086091A" w:rsidRPr="00E70587" w:rsidRDefault="0086091A" w:rsidP="009901E1">
            <w:pPr>
              <w:pStyle w:val="tabletext"/>
              <w:spacing w:line="280" w:lineRule="exact"/>
              <w:jc w:val="right"/>
              <w:rPr>
                <w:rFonts w:ascii="Arial" w:hAnsi="Arial" w:cs="Arial"/>
                <w:sz w:val="20"/>
                <w:lang w:val="en-IN"/>
              </w:rPr>
            </w:pPr>
            <w:r w:rsidRPr="00E70587">
              <w:rPr>
                <w:rFonts w:ascii="Arial" w:hAnsi="Arial" w:cs="Arial"/>
                <w:sz w:val="20"/>
                <w:lang w:val="en-IN"/>
              </w:rPr>
              <w:t>+2%</w:t>
            </w:r>
          </w:p>
        </w:tc>
        <w:tc>
          <w:tcPr>
            <w:tcW w:w="1960" w:type="dxa"/>
            <w:tcMar>
              <w:top w:w="0" w:type="dxa"/>
              <w:right w:w="108" w:type="dxa"/>
            </w:tcMar>
            <w:vAlign w:val="bottom"/>
          </w:tcPr>
          <w:p w14:paraId="22AE0748" w14:textId="77777777" w:rsidR="0086091A" w:rsidRPr="00E70587" w:rsidRDefault="0086091A" w:rsidP="000E29A9">
            <w:pPr>
              <w:pStyle w:val="tabletext"/>
              <w:spacing w:line="280" w:lineRule="exact"/>
              <w:jc w:val="right"/>
              <w:rPr>
                <w:rFonts w:ascii="Arial" w:hAnsi="Arial" w:cs="Arial"/>
                <w:sz w:val="20"/>
                <w:lang w:val="en-IN"/>
              </w:rPr>
            </w:pPr>
            <w:r w:rsidRPr="00E70587">
              <w:rPr>
                <w:rFonts w:ascii="Arial" w:hAnsi="Arial" w:cs="Arial"/>
                <w:sz w:val="20"/>
                <w:lang w:val="en-IN"/>
              </w:rPr>
              <w:t>(10)</w:t>
            </w:r>
          </w:p>
        </w:tc>
        <w:tc>
          <w:tcPr>
            <w:tcW w:w="1877" w:type="dxa"/>
            <w:vAlign w:val="bottom"/>
          </w:tcPr>
          <w:p w14:paraId="095A0C3B" w14:textId="77777777" w:rsidR="0086091A" w:rsidRPr="00E70587" w:rsidRDefault="0086091A" w:rsidP="000E29A9">
            <w:pPr>
              <w:pStyle w:val="tabletext"/>
              <w:spacing w:line="280" w:lineRule="exact"/>
              <w:jc w:val="right"/>
              <w:rPr>
                <w:rFonts w:ascii="Arial" w:hAnsi="Arial" w:cs="Arial"/>
                <w:sz w:val="20"/>
                <w:lang w:val="en-IN"/>
              </w:rPr>
            </w:pPr>
            <w:r w:rsidRPr="00E70587">
              <w:rPr>
                <w:rFonts w:ascii="Arial" w:hAnsi="Arial" w:cs="Arial"/>
                <w:sz w:val="20"/>
                <w:lang w:val="en-IN"/>
              </w:rPr>
              <w:t>(10)</w:t>
            </w:r>
          </w:p>
        </w:tc>
      </w:tr>
      <w:tr w:rsidR="0086091A" w:rsidRPr="00E70587" w14:paraId="64AF877A" w14:textId="77777777" w:rsidTr="00561373">
        <w:tblPrEx>
          <w:tblLook w:val="01E0" w:firstRow="1" w:lastRow="1" w:firstColumn="1" w:lastColumn="1" w:noHBand="0" w:noVBand="0"/>
        </w:tblPrEx>
        <w:tc>
          <w:tcPr>
            <w:tcW w:w="3811" w:type="dxa"/>
            <w:tcMar>
              <w:top w:w="28" w:type="dxa"/>
            </w:tcMar>
            <w:vAlign w:val="bottom"/>
          </w:tcPr>
          <w:p w14:paraId="6DF6C8D2"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928" w:type="dxa"/>
            <w:tcMar>
              <w:top w:w="28" w:type="dxa"/>
            </w:tcMar>
            <w:vAlign w:val="bottom"/>
          </w:tcPr>
          <w:p w14:paraId="2F830080" w14:textId="77777777" w:rsidR="0086091A" w:rsidRPr="00E70587" w:rsidRDefault="0086091A" w:rsidP="009901E1">
            <w:pPr>
              <w:pStyle w:val="tabletext"/>
              <w:spacing w:line="280" w:lineRule="exact"/>
              <w:jc w:val="right"/>
              <w:rPr>
                <w:rFonts w:ascii="Arial" w:hAnsi="Arial" w:cs="Arial"/>
                <w:sz w:val="20"/>
                <w:lang w:val="en-IN"/>
              </w:rPr>
            </w:pPr>
            <w:r w:rsidRPr="00E70587">
              <w:rPr>
                <w:rFonts w:ascii="Arial" w:hAnsi="Arial" w:cs="Arial"/>
                <w:sz w:val="20"/>
                <w:lang w:val="en-IN"/>
              </w:rPr>
              <w:t>-2%</w:t>
            </w:r>
          </w:p>
        </w:tc>
        <w:tc>
          <w:tcPr>
            <w:tcW w:w="1960" w:type="dxa"/>
            <w:tcMar>
              <w:top w:w="0" w:type="dxa"/>
              <w:right w:w="108" w:type="dxa"/>
            </w:tcMar>
            <w:vAlign w:val="bottom"/>
          </w:tcPr>
          <w:p w14:paraId="4FB6EAAB" w14:textId="77777777" w:rsidR="0086091A" w:rsidRPr="00E70587" w:rsidRDefault="0086091A" w:rsidP="000E29A9">
            <w:pPr>
              <w:pStyle w:val="tabletext"/>
              <w:spacing w:line="280" w:lineRule="exact"/>
              <w:jc w:val="right"/>
              <w:rPr>
                <w:rFonts w:ascii="Arial" w:hAnsi="Arial" w:cs="Arial"/>
                <w:sz w:val="20"/>
                <w:lang w:val="en-IN"/>
              </w:rPr>
            </w:pPr>
            <w:r w:rsidRPr="00E70587">
              <w:rPr>
                <w:rFonts w:ascii="Arial" w:hAnsi="Arial" w:cs="Arial"/>
                <w:sz w:val="20"/>
                <w:lang w:val="en-IN"/>
              </w:rPr>
              <w:t>10</w:t>
            </w:r>
          </w:p>
        </w:tc>
        <w:tc>
          <w:tcPr>
            <w:tcW w:w="1877" w:type="dxa"/>
            <w:vAlign w:val="bottom"/>
          </w:tcPr>
          <w:p w14:paraId="3755767E" w14:textId="77777777" w:rsidR="0086091A" w:rsidRPr="00E70587" w:rsidRDefault="0086091A" w:rsidP="000E29A9">
            <w:pPr>
              <w:pStyle w:val="tabletext"/>
              <w:spacing w:line="280" w:lineRule="exact"/>
              <w:jc w:val="right"/>
              <w:rPr>
                <w:rFonts w:ascii="Arial" w:hAnsi="Arial" w:cs="Arial"/>
                <w:sz w:val="20"/>
                <w:lang w:val="en-IN"/>
              </w:rPr>
            </w:pPr>
            <w:r w:rsidRPr="00E70587">
              <w:rPr>
                <w:rFonts w:ascii="Arial" w:hAnsi="Arial" w:cs="Arial"/>
                <w:sz w:val="20"/>
                <w:lang w:val="en-IN"/>
              </w:rPr>
              <w:t>10</w:t>
            </w:r>
          </w:p>
        </w:tc>
      </w:tr>
    </w:tbl>
    <w:p w14:paraId="3CED4D01" w14:textId="77777777" w:rsidR="00ED4E67" w:rsidRPr="00E70587" w:rsidRDefault="00ED4E67" w:rsidP="009901E1">
      <w:pPr>
        <w:spacing w:line="280" w:lineRule="exact"/>
        <w:rPr>
          <w:rFonts w:ascii="Arial" w:hAnsi="Arial" w:cs="Arial"/>
          <w:sz w:val="2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1"/>
      </w:tblGrid>
      <w:tr w:rsidR="0086091A" w:rsidRPr="00E70587" w14:paraId="1B48C722" w14:textId="77777777" w:rsidTr="00C41E23">
        <w:tc>
          <w:tcPr>
            <w:tcW w:w="0" w:type="auto"/>
            <w:tcBorders>
              <w:top w:val="nil"/>
              <w:left w:val="nil"/>
              <w:bottom w:val="nil"/>
              <w:right w:val="nil"/>
            </w:tcBorders>
          </w:tcPr>
          <w:p w14:paraId="76AFF89A" w14:textId="77777777" w:rsidR="0086091A" w:rsidRPr="00E70587" w:rsidRDefault="0086091A" w:rsidP="00561373">
            <w:pPr>
              <w:spacing w:line="280" w:lineRule="exact"/>
              <w:jc w:val="both"/>
              <w:rPr>
                <w:rFonts w:ascii="Arial" w:hAnsi="Arial" w:cs="Arial"/>
                <w:b/>
                <w:sz w:val="20"/>
              </w:rPr>
            </w:pPr>
            <w:r w:rsidRPr="00E70587">
              <w:rPr>
                <w:rFonts w:ascii="Arial" w:hAnsi="Arial" w:cs="Arial"/>
                <w:b/>
                <w:sz w:val="20"/>
              </w:rPr>
              <w:t>Equity price risk</w:t>
            </w:r>
          </w:p>
          <w:p w14:paraId="57E11299" w14:textId="77777777" w:rsidR="00561373" w:rsidRPr="00E70587" w:rsidRDefault="00561373" w:rsidP="00561373">
            <w:pPr>
              <w:spacing w:line="280" w:lineRule="exact"/>
              <w:ind w:hanging="18"/>
              <w:jc w:val="both"/>
              <w:rPr>
                <w:rFonts w:ascii="Arial" w:hAnsi="Arial" w:cs="Arial"/>
                <w:sz w:val="20"/>
              </w:rPr>
            </w:pPr>
          </w:p>
          <w:p w14:paraId="70934BB9" w14:textId="77777777" w:rsidR="0086091A" w:rsidRPr="00E70587" w:rsidRDefault="0086091A" w:rsidP="00561373">
            <w:pPr>
              <w:spacing w:line="280" w:lineRule="exact"/>
              <w:ind w:hanging="18"/>
              <w:jc w:val="both"/>
              <w:rPr>
                <w:rFonts w:ascii="Arial" w:hAnsi="Arial" w:cs="Arial"/>
                <w:sz w:val="20"/>
              </w:rPr>
            </w:pPr>
            <w:r w:rsidRPr="00E70587">
              <w:rPr>
                <w:rFonts w:ascii="Arial" w:hAnsi="Arial" w:cs="Arial"/>
                <w:sz w:val="20"/>
              </w:rPr>
              <w:t xml:space="preserve">The Group’s listed and </w:t>
            </w:r>
            <w:r w:rsidR="00561373" w:rsidRPr="00E70587">
              <w:rPr>
                <w:rFonts w:ascii="Arial" w:hAnsi="Arial" w:cs="Arial"/>
                <w:sz w:val="20"/>
              </w:rPr>
              <w:t xml:space="preserve">non-listed </w:t>
            </w:r>
            <w:r w:rsidRPr="00E70587">
              <w:rPr>
                <w:rFonts w:ascii="Arial" w:hAnsi="Arial" w:cs="Arial"/>
                <w:sz w:val="20"/>
              </w:rPr>
              <w:t>equity securities are susceptible to market price risk arising from uncertainties about future values of the investment securities. The Group manages the equity price risk through diversification and by placing limits on individual and total equity instruments. Reports on the equity portfolio are submitted to the Group’s senior management on a regular basis. The Group’s Board of Directors reviews and approves all equity investment decisions.</w:t>
            </w:r>
          </w:p>
          <w:p w14:paraId="5DCCF7BC" w14:textId="77777777" w:rsidR="0086091A" w:rsidRPr="00E70587" w:rsidRDefault="0086091A" w:rsidP="00561373">
            <w:pPr>
              <w:spacing w:line="280" w:lineRule="exact"/>
              <w:ind w:hanging="18"/>
              <w:jc w:val="both"/>
              <w:rPr>
                <w:rFonts w:ascii="Arial" w:hAnsi="Arial" w:cs="Arial"/>
                <w:sz w:val="20"/>
              </w:rPr>
            </w:pPr>
          </w:p>
        </w:tc>
      </w:tr>
      <w:tr w:rsidR="0086091A" w:rsidRPr="00E70587" w14:paraId="564B5EEC" w14:textId="77777777" w:rsidTr="00C41E23">
        <w:tc>
          <w:tcPr>
            <w:tcW w:w="0" w:type="auto"/>
            <w:tcBorders>
              <w:top w:val="nil"/>
              <w:left w:val="nil"/>
              <w:bottom w:val="nil"/>
              <w:right w:val="nil"/>
            </w:tcBorders>
          </w:tcPr>
          <w:p w14:paraId="520C230A" w14:textId="06D87463" w:rsidR="0086091A" w:rsidRPr="00E70587" w:rsidRDefault="0086091A" w:rsidP="00561373">
            <w:pPr>
              <w:spacing w:line="280" w:lineRule="exact"/>
              <w:ind w:hanging="18"/>
              <w:jc w:val="both"/>
              <w:rPr>
                <w:rFonts w:ascii="Arial" w:hAnsi="Arial" w:cs="Arial"/>
                <w:sz w:val="20"/>
              </w:rPr>
            </w:pPr>
            <w:r w:rsidRPr="00E70587">
              <w:rPr>
                <w:rFonts w:ascii="Arial" w:hAnsi="Arial" w:cs="Arial"/>
                <w:sz w:val="20"/>
              </w:rPr>
              <w:t>At the reporting date, the exposure to unlisted equity securities at fair value was INR 1</w:t>
            </w:r>
            <w:r w:rsidR="008436C1">
              <w:rPr>
                <w:rFonts w:ascii="Arial" w:hAnsi="Arial" w:cs="Arial"/>
                <w:sz w:val="20"/>
              </w:rPr>
              <w:t>,</w:t>
            </w:r>
            <w:r w:rsidRPr="00E70587">
              <w:rPr>
                <w:rFonts w:ascii="Arial" w:hAnsi="Arial" w:cs="Arial"/>
                <w:sz w:val="20"/>
              </w:rPr>
              <w:t>868</w:t>
            </w:r>
            <w:r w:rsidR="001C1C23" w:rsidRPr="00E70587">
              <w:rPr>
                <w:rFonts w:ascii="Arial" w:hAnsi="Arial" w:cs="Arial"/>
                <w:sz w:val="20"/>
              </w:rPr>
              <w:t xml:space="preserve"> lacs</w:t>
            </w:r>
            <w:r w:rsidRPr="00E70587">
              <w:rPr>
                <w:rFonts w:ascii="Arial" w:hAnsi="Arial" w:cs="Arial"/>
                <w:sz w:val="20"/>
              </w:rPr>
              <w:t xml:space="preserve">. Sensitivity analyses of these investments have been provided in Note </w:t>
            </w:r>
            <w:r w:rsidR="00B83F60" w:rsidRPr="00E70587">
              <w:rPr>
                <w:rFonts w:ascii="Arial" w:hAnsi="Arial" w:cs="Arial"/>
                <w:sz w:val="20"/>
              </w:rPr>
              <w:t>4</w:t>
            </w:r>
            <w:r w:rsidR="00B83F60">
              <w:rPr>
                <w:rFonts w:ascii="Arial" w:hAnsi="Arial" w:cs="Arial"/>
                <w:sz w:val="20"/>
              </w:rPr>
              <w:t>7</w:t>
            </w:r>
            <w:r w:rsidRPr="00E70587">
              <w:rPr>
                <w:rFonts w:ascii="Arial" w:hAnsi="Arial" w:cs="Arial"/>
                <w:sz w:val="20"/>
              </w:rPr>
              <w:t>.</w:t>
            </w:r>
          </w:p>
          <w:p w14:paraId="36A91F9C" w14:textId="77777777" w:rsidR="0086091A" w:rsidRPr="00E70587" w:rsidRDefault="0086091A" w:rsidP="00561373">
            <w:pPr>
              <w:spacing w:line="280" w:lineRule="exact"/>
              <w:ind w:hanging="18"/>
              <w:jc w:val="both"/>
              <w:rPr>
                <w:rFonts w:ascii="Arial" w:hAnsi="Arial" w:cs="Arial"/>
                <w:sz w:val="20"/>
              </w:rPr>
            </w:pPr>
          </w:p>
          <w:p w14:paraId="112E6982" w14:textId="77777777" w:rsidR="0086091A" w:rsidRPr="00E70587" w:rsidRDefault="0086091A" w:rsidP="00561373">
            <w:pPr>
              <w:spacing w:line="280" w:lineRule="exact"/>
              <w:ind w:hanging="18"/>
              <w:jc w:val="both"/>
              <w:rPr>
                <w:rFonts w:ascii="Arial" w:hAnsi="Arial" w:cs="Arial"/>
                <w:sz w:val="20"/>
              </w:rPr>
            </w:pPr>
            <w:r w:rsidRPr="00E70587">
              <w:rPr>
                <w:rFonts w:ascii="Arial" w:hAnsi="Arial" w:cs="Arial"/>
                <w:sz w:val="20"/>
              </w:rPr>
              <w:t>At the reporting date, the exposure to listed equity securities at fair value was INR 606</w:t>
            </w:r>
            <w:r w:rsidR="001C1C23" w:rsidRPr="00E70587">
              <w:rPr>
                <w:rFonts w:ascii="Arial" w:hAnsi="Arial" w:cs="Arial"/>
                <w:sz w:val="20"/>
              </w:rPr>
              <w:t xml:space="preserve"> lacs</w:t>
            </w:r>
            <w:r w:rsidRPr="00E70587">
              <w:rPr>
                <w:rFonts w:ascii="Arial" w:hAnsi="Arial" w:cs="Arial"/>
                <w:sz w:val="20"/>
              </w:rPr>
              <w:t>. A decrease of 10% on the NSE market index could have an impact of approximately INR 99</w:t>
            </w:r>
            <w:r w:rsidR="001C1C23" w:rsidRPr="00E70587">
              <w:rPr>
                <w:rFonts w:ascii="Arial" w:hAnsi="Arial" w:cs="Arial"/>
                <w:sz w:val="20"/>
              </w:rPr>
              <w:t xml:space="preserve"> lacs</w:t>
            </w:r>
            <w:r w:rsidR="001C1C23" w:rsidRPr="00E70587" w:rsidDel="001C1C23">
              <w:rPr>
                <w:rFonts w:ascii="Arial" w:hAnsi="Arial" w:cs="Arial"/>
                <w:sz w:val="20"/>
              </w:rPr>
              <w:t xml:space="preserve"> </w:t>
            </w:r>
            <w:r w:rsidRPr="00E70587">
              <w:rPr>
                <w:rFonts w:ascii="Arial" w:hAnsi="Arial" w:cs="Arial"/>
                <w:sz w:val="20"/>
              </w:rPr>
              <w:t xml:space="preserve">on the OCI or equity attributable to </w:t>
            </w:r>
            <w:r w:rsidRPr="00E70587">
              <w:rPr>
                <w:rFonts w:ascii="Arial" w:hAnsi="Arial" w:cs="Arial"/>
                <w:sz w:val="20"/>
              </w:rPr>
              <w:lastRenderedPageBreak/>
              <w:t>the Group. An increase of 10% in the value of the listed securities would also impact OCI and equity. These changes would not have an effect on profit or loss.</w:t>
            </w:r>
          </w:p>
          <w:p w14:paraId="3C925ECB" w14:textId="77777777" w:rsidR="0086091A" w:rsidRPr="00E70587" w:rsidRDefault="0086091A" w:rsidP="00C41E23">
            <w:pPr>
              <w:spacing w:line="280" w:lineRule="exact"/>
              <w:ind w:hanging="18"/>
              <w:jc w:val="both"/>
              <w:rPr>
                <w:rFonts w:ascii="Arial" w:hAnsi="Arial" w:cs="Arial"/>
                <w:sz w:val="20"/>
              </w:rPr>
            </w:pPr>
          </w:p>
        </w:tc>
      </w:tr>
      <w:tr w:rsidR="0086091A" w:rsidRPr="00E70587" w14:paraId="35772D21" w14:textId="77777777" w:rsidTr="00C41E23">
        <w:tc>
          <w:tcPr>
            <w:tcW w:w="0" w:type="auto"/>
            <w:tcBorders>
              <w:top w:val="nil"/>
              <w:left w:val="nil"/>
              <w:bottom w:val="nil"/>
              <w:right w:val="nil"/>
            </w:tcBorders>
          </w:tcPr>
          <w:p w14:paraId="24856106" w14:textId="77777777" w:rsidR="0086091A" w:rsidRPr="00E70587" w:rsidRDefault="0086091A" w:rsidP="00C41E23">
            <w:pPr>
              <w:spacing w:line="280" w:lineRule="exact"/>
              <w:jc w:val="both"/>
              <w:rPr>
                <w:rFonts w:ascii="Arial" w:hAnsi="Arial" w:cs="Arial"/>
                <w:b/>
                <w:sz w:val="20"/>
              </w:rPr>
            </w:pPr>
            <w:r w:rsidRPr="00E70587">
              <w:rPr>
                <w:rFonts w:ascii="Arial" w:hAnsi="Arial" w:cs="Arial"/>
                <w:b/>
                <w:sz w:val="20"/>
              </w:rPr>
              <w:lastRenderedPageBreak/>
              <w:t>Credit risk</w:t>
            </w:r>
          </w:p>
          <w:p w14:paraId="2BE7DC20" w14:textId="77777777" w:rsidR="00C41E23" w:rsidRPr="00E70587" w:rsidRDefault="00C41E23" w:rsidP="00C41E23">
            <w:pPr>
              <w:spacing w:line="280" w:lineRule="exact"/>
              <w:ind w:hanging="18"/>
              <w:jc w:val="both"/>
              <w:rPr>
                <w:rFonts w:ascii="Arial" w:hAnsi="Arial" w:cs="Arial"/>
                <w:sz w:val="20"/>
              </w:rPr>
            </w:pPr>
          </w:p>
          <w:p w14:paraId="78F49342" w14:textId="38F5AA25" w:rsidR="000700DF" w:rsidRPr="00E70587" w:rsidRDefault="0086091A" w:rsidP="000700DF">
            <w:pPr>
              <w:spacing w:line="280" w:lineRule="exact"/>
              <w:ind w:hanging="18"/>
              <w:jc w:val="both"/>
              <w:rPr>
                <w:rFonts w:ascii="Arial" w:hAnsi="Arial" w:cs="Arial"/>
                <w:sz w:val="20"/>
              </w:rPr>
            </w:pPr>
            <w:r w:rsidRPr="00E70587">
              <w:rPr>
                <w:rFonts w:ascii="Arial" w:hAnsi="Arial" w:cs="Arial"/>
                <w:sz w:val="20"/>
              </w:rPr>
              <w:t>Credit risk is the risk that a counterparty will not meet its obligations under a financial instrument or customer contract, leading to a financial loss. The Group is exposed to credit risk from its operating activities (primarily trade receivables) and from its financing activities, including deposits with banks and financial institutions, foreign exchange transactions and other financial instruments.</w:t>
            </w:r>
            <w:r w:rsidR="000700DF" w:rsidRPr="00E70587">
              <w:rPr>
                <w:rFonts w:ascii="Arial" w:hAnsi="Arial" w:cs="Arial"/>
                <w:sz w:val="20"/>
              </w:rPr>
              <w:t xml:space="preserve"> The Group only deals with parties which has good credit rating/ </w:t>
            </w:r>
            <w:r w:rsidR="00BA68C9" w:rsidRPr="00E70587">
              <w:rPr>
                <w:rFonts w:ascii="Arial" w:hAnsi="Arial" w:cs="Arial"/>
                <w:sz w:val="20"/>
              </w:rPr>
              <w:t>worthiness</w:t>
            </w:r>
            <w:r w:rsidR="000700DF" w:rsidRPr="00E70587">
              <w:rPr>
                <w:rFonts w:ascii="Arial" w:hAnsi="Arial" w:cs="Arial"/>
                <w:sz w:val="20"/>
              </w:rPr>
              <w:t xml:space="preserve"> given by external rating agencies or based on groups internal assessment.</w:t>
            </w:r>
          </w:p>
          <w:p w14:paraId="59C250CC" w14:textId="77777777" w:rsidR="000700DF" w:rsidRPr="00E70587" w:rsidRDefault="000700DF" w:rsidP="000700DF">
            <w:pPr>
              <w:spacing w:line="280" w:lineRule="exact"/>
              <w:ind w:hanging="18"/>
              <w:jc w:val="both"/>
              <w:rPr>
                <w:rFonts w:ascii="Arial" w:hAnsi="Arial" w:cs="Arial"/>
                <w:sz w:val="20"/>
              </w:rPr>
            </w:pPr>
          </w:p>
          <w:p w14:paraId="0EA28BD6" w14:textId="77777777" w:rsidR="000700DF" w:rsidRPr="00E70587" w:rsidRDefault="000700DF" w:rsidP="000700DF">
            <w:pPr>
              <w:spacing w:line="280" w:lineRule="exact"/>
              <w:ind w:hanging="18"/>
              <w:jc w:val="both"/>
              <w:rPr>
                <w:rFonts w:ascii="Arial" w:hAnsi="Arial" w:cs="Arial"/>
                <w:sz w:val="20"/>
              </w:rPr>
            </w:pPr>
            <w:r w:rsidRPr="00E70587">
              <w:rPr>
                <w:rFonts w:ascii="Arial" w:hAnsi="Arial" w:cs="Arial"/>
                <w:sz w:val="20"/>
              </w:rPr>
              <w:t xml:space="preserve">The Group has developed internal credit rating system/ credit worthiness assessment mechanism as well. As per the management procedure, each party is internally rated on the basis of their external ratings (wherever available), respective industry information / trends available, financial position of party and past transactions with the party. These parties are continuously evaluated after assigning internal grades. </w:t>
            </w:r>
          </w:p>
          <w:p w14:paraId="0CDB4F89" w14:textId="77777777" w:rsidR="000700DF" w:rsidRPr="00E70587" w:rsidRDefault="000700DF" w:rsidP="000700DF">
            <w:pPr>
              <w:spacing w:line="280" w:lineRule="exact"/>
              <w:ind w:hanging="18"/>
              <w:jc w:val="both"/>
              <w:rPr>
                <w:rFonts w:ascii="Arial" w:hAnsi="Arial" w:cs="Arial"/>
                <w:sz w:val="20"/>
              </w:rPr>
            </w:pPr>
          </w:p>
          <w:p w14:paraId="5486F67D" w14:textId="77777777" w:rsidR="000700DF" w:rsidRPr="00E70587" w:rsidRDefault="000700DF" w:rsidP="000700DF">
            <w:pPr>
              <w:spacing w:line="280" w:lineRule="exact"/>
              <w:ind w:hanging="18"/>
              <w:jc w:val="both"/>
              <w:rPr>
                <w:rFonts w:ascii="Arial" w:hAnsi="Arial" w:cs="Arial"/>
                <w:sz w:val="20"/>
              </w:rPr>
            </w:pPr>
            <w:r w:rsidRPr="00E70587">
              <w:rPr>
                <w:rFonts w:ascii="Arial" w:hAnsi="Arial" w:cs="Arial"/>
                <w:sz w:val="20"/>
              </w:rPr>
              <w:t xml:space="preserve">The Group has divided parties in three grades based on their performance. </w:t>
            </w:r>
          </w:p>
          <w:p w14:paraId="58AAEA55" w14:textId="77777777" w:rsidR="000700DF" w:rsidRPr="00E70587" w:rsidRDefault="000700DF" w:rsidP="000700DF">
            <w:pPr>
              <w:spacing w:line="280" w:lineRule="exact"/>
              <w:ind w:hanging="18"/>
              <w:jc w:val="both"/>
              <w:rPr>
                <w:rFonts w:ascii="Arial" w:hAnsi="Arial" w:cs="Arial"/>
                <w:sz w:val="20"/>
              </w:rPr>
            </w:pPr>
          </w:p>
          <w:p w14:paraId="2FEC9F50" w14:textId="77777777" w:rsidR="000700DF" w:rsidRPr="00E70587" w:rsidRDefault="000700DF" w:rsidP="000700DF">
            <w:pPr>
              <w:spacing w:line="280" w:lineRule="exact"/>
              <w:ind w:hanging="18"/>
              <w:jc w:val="both"/>
              <w:rPr>
                <w:rFonts w:ascii="Arial" w:hAnsi="Arial" w:cs="Arial"/>
                <w:sz w:val="20"/>
              </w:rPr>
            </w:pPr>
            <w:r w:rsidRPr="00E70587">
              <w:rPr>
                <w:rFonts w:ascii="Arial" w:hAnsi="Arial" w:cs="Arial"/>
                <w:sz w:val="20"/>
              </w:rPr>
              <w:t xml:space="preserve">Good: parties with a positive external rating (if available) and stable financial position with no past default is considered in this category. </w:t>
            </w:r>
          </w:p>
          <w:p w14:paraId="23A89123" w14:textId="77777777" w:rsidR="000700DF" w:rsidRPr="00E70587" w:rsidRDefault="000700DF" w:rsidP="000700DF">
            <w:pPr>
              <w:spacing w:line="280" w:lineRule="exact"/>
              <w:ind w:hanging="18"/>
              <w:jc w:val="both"/>
              <w:rPr>
                <w:rFonts w:ascii="Arial" w:hAnsi="Arial" w:cs="Arial"/>
                <w:sz w:val="20"/>
              </w:rPr>
            </w:pPr>
          </w:p>
          <w:p w14:paraId="14D4B3B9" w14:textId="77777777" w:rsidR="000700DF" w:rsidRPr="00E70587" w:rsidRDefault="000700DF" w:rsidP="000700DF">
            <w:pPr>
              <w:spacing w:line="280" w:lineRule="exact"/>
              <w:ind w:hanging="18"/>
              <w:jc w:val="both"/>
              <w:rPr>
                <w:rFonts w:ascii="Arial" w:hAnsi="Arial" w:cs="Arial"/>
                <w:sz w:val="20"/>
              </w:rPr>
            </w:pPr>
            <w:r w:rsidRPr="00E70587">
              <w:rPr>
                <w:rFonts w:ascii="Arial" w:hAnsi="Arial" w:cs="Arial"/>
                <w:sz w:val="20"/>
              </w:rPr>
              <w:t>Average: parties which have standard quality asset and financial position with negligible past default is considered in this category</w:t>
            </w:r>
          </w:p>
          <w:p w14:paraId="3EFF890A" w14:textId="77777777" w:rsidR="000700DF" w:rsidRPr="00E70587" w:rsidRDefault="000700DF" w:rsidP="000700DF">
            <w:pPr>
              <w:spacing w:line="280" w:lineRule="exact"/>
              <w:ind w:hanging="18"/>
              <w:jc w:val="both"/>
              <w:rPr>
                <w:rFonts w:ascii="Arial" w:hAnsi="Arial" w:cs="Arial"/>
                <w:sz w:val="20"/>
              </w:rPr>
            </w:pPr>
          </w:p>
          <w:p w14:paraId="6C390D63" w14:textId="77777777" w:rsidR="000700DF" w:rsidRPr="00E70587" w:rsidRDefault="000700DF" w:rsidP="000700DF">
            <w:pPr>
              <w:spacing w:line="280" w:lineRule="exact"/>
              <w:ind w:hanging="18"/>
              <w:jc w:val="both"/>
              <w:rPr>
                <w:rFonts w:ascii="Arial" w:hAnsi="Arial" w:cs="Arial"/>
                <w:sz w:val="20"/>
              </w:rPr>
            </w:pPr>
            <w:r w:rsidRPr="00E70587">
              <w:rPr>
                <w:rFonts w:ascii="Arial" w:hAnsi="Arial" w:cs="Arial"/>
                <w:sz w:val="20"/>
              </w:rPr>
              <w:t xml:space="preserve">Doubtful: parties where the company doesn’t have information on their financial position or has past trend of default are considered under this category. </w:t>
            </w:r>
          </w:p>
          <w:p w14:paraId="63C3771D" w14:textId="77777777" w:rsidR="000700DF" w:rsidRPr="00E70587" w:rsidRDefault="000700DF" w:rsidP="000700DF">
            <w:pPr>
              <w:spacing w:line="280" w:lineRule="exact"/>
              <w:ind w:hanging="18"/>
              <w:jc w:val="both"/>
              <w:rPr>
                <w:rFonts w:ascii="Arial" w:hAnsi="Arial" w:cs="Arial"/>
                <w:sz w:val="20"/>
              </w:rPr>
            </w:pPr>
          </w:p>
          <w:p w14:paraId="5CBD7FF4" w14:textId="438D1F6A" w:rsidR="000700DF" w:rsidRPr="00E70587" w:rsidRDefault="000700DF" w:rsidP="000700DF">
            <w:pPr>
              <w:spacing w:line="280" w:lineRule="exact"/>
              <w:ind w:hanging="18"/>
              <w:jc w:val="both"/>
              <w:rPr>
                <w:rFonts w:ascii="Arial" w:hAnsi="Arial" w:cs="Arial"/>
                <w:sz w:val="20"/>
              </w:rPr>
            </w:pPr>
            <w:r w:rsidRPr="00E70587">
              <w:rPr>
                <w:rFonts w:ascii="Arial" w:hAnsi="Arial" w:cs="Arial"/>
                <w:sz w:val="20"/>
              </w:rPr>
              <w:t xml:space="preserve">A counterparty whose payment is due more than 90 days after the due date is considered as a defaulted party. This is based on considering the market and economic forces in which the entities in the Group are operating. The Group write-off the amount if the credit risk of </w:t>
            </w:r>
            <w:r w:rsidR="002811F9" w:rsidRPr="00E70587">
              <w:rPr>
                <w:rFonts w:ascii="Arial" w:hAnsi="Arial" w:cs="Arial"/>
                <w:sz w:val="20"/>
              </w:rPr>
              <w:t>counterparty</w:t>
            </w:r>
            <w:r w:rsidRPr="00E70587">
              <w:rPr>
                <w:rFonts w:ascii="Arial" w:hAnsi="Arial" w:cs="Arial"/>
                <w:sz w:val="20"/>
              </w:rPr>
              <w:t xml:space="preserve"> increases significantly due to its poor financial position and failure to make payment beyond a period of 180 days from the due date. </w:t>
            </w:r>
          </w:p>
          <w:p w14:paraId="6CE2AD79" w14:textId="77777777" w:rsidR="000700DF" w:rsidRPr="00E70587" w:rsidRDefault="000700DF" w:rsidP="000700DF">
            <w:pPr>
              <w:spacing w:line="280" w:lineRule="exact"/>
              <w:ind w:hanging="18"/>
              <w:jc w:val="both"/>
              <w:rPr>
                <w:rFonts w:ascii="Arial" w:hAnsi="Arial" w:cs="Arial"/>
                <w:sz w:val="20"/>
              </w:rPr>
            </w:pPr>
          </w:p>
          <w:p w14:paraId="4F25E222" w14:textId="54AA5AB7" w:rsidR="000700DF" w:rsidRPr="00E70587" w:rsidRDefault="000700DF" w:rsidP="000700DF">
            <w:pPr>
              <w:spacing w:line="280" w:lineRule="exact"/>
              <w:ind w:hanging="18"/>
              <w:jc w:val="both"/>
              <w:rPr>
                <w:rFonts w:ascii="Arial" w:hAnsi="Arial" w:cs="Arial"/>
                <w:sz w:val="20"/>
              </w:rPr>
            </w:pPr>
            <w:r w:rsidRPr="00E70587">
              <w:rPr>
                <w:rFonts w:ascii="Arial" w:hAnsi="Arial" w:cs="Arial"/>
                <w:sz w:val="20"/>
              </w:rPr>
              <w:t xml:space="preserve">All the financial assets carried at amortized cost were into Good category except debt security carried at FVTOCI of INR 891 as at 31 March </w:t>
            </w:r>
            <w:r w:rsidR="008436C1" w:rsidRPr="00E70587">
              <w:rPr>
                <w:rFonts w:ascii="Arial" w:hAnsi="Arial" w:cs="Arial"/>
                <w:sz w:val="20"/>
              </w:rPr>
              <w:t>20</w:t>
            </w:r>
            <w:r w:rsidR="008436C1">
              <w:rPr>
                <w:rFonts w:ascii="Arial" w:hAnsi="Arial" w:cs="Arial"/>
                <w:sz w:val="20"/>
              </w:rPr>
              <w:t>21</w:t>
            </w:r>
            <w:r w:rsidR="008436C1" w:rsidRPr="00E70587">
              <w:rPr>
                <w:rFonts w:ascii="Arial" w:hAnsi="Arial" w:cs="Arial"/>
                <w:sz w:val="20"/>
              </w:rPr>
              <w:t xml:space="preserve"> </w:t>
            </w:r>
            <w:r w:rsidRPr="00E70587">
              <w:rPr>
                <w:rFonts w:ascii="Arial" w:hAnsi="Arial" w:cs="Arial"/>
                <w:sz w:val="20"/>
              </w:rPr>
              <w:t xml:space="preserve">(31 March </w:t>
            </w:r>
            <w:r w:rsidR="008436C1" w:rsidRPr="00E70587">
              <w:rPr>
                <w:rFonts w:ascii="Arial" w:hAnsi="Arial" w:cs="Arial"/>
                <w:sz w:val="20"/>
              </w:rPr>
              <w:t>20</w:t>
            </w:r>
            <w:r w:rsidR="008436C1">
              <w:rPr>
                <w:rFonts w:ascii="Arial" w:hAnsi="Arial" w:cs="Arial"/>
                <w:sz w:val="20"/>
              </w:rPr>
              <w:t>20</w:t>
            </w:r>
            <w:r w:rsidRPr="00E70587">
              <w:rPr>
                <w:rFonts w:ascii="Arial" w:hAnsi="Arial" w:cs="Arial"/>
                <w:sz w:val="20"/>
              </w:rPr>
              <w:t>: Nil) was under as average category and some portion of trade receivable was considered under doubtful category (refer note 9).</w:t>
            </w:r>
          </w:p>
          <w:p w14:paraId="7B6110D5" w14:textId="77777777" w:rsidR="000700DF" w:rsidRPr="00E70587" w:rsidRDefault="000700DF" w:rsidP="000700DF">
            <w:pPr>
              <w:spacing w:line="280" w:lineRule="exact"/>
              <w:ind w:hanging="18"/>
              <w:jc w:val="both"/>
              <w:rPr>
                <w:rFonts w:ascii="Arial" w:hAnsi="Arial" w:cs="Arial"/>
                <w:sz w:val="20"/>
              </w:rPr>
            </w:pPr>
          </w:p>
          <w:p w14:paraId="55CFBD74" w14:textId="77777777" w:rsidR="0086091A" w:rsidRPr="00E70587" w:rsidRDefault="000700DF" w:rsidP="000700DF">
            <w:pPr>
              <w:spacing w:line="280" w:lineRule="exact"/>
              <w:ind w:hanging="18"/>
              <w:jc w:val="both"/>
              <w:rPr>
                <w:rFonts w:ascii="Arial" w:hAnsi="Arial" w:cs="Arial"/>
                <w:sz w:val="20"/>
              </w:rPr>
            </w:pPr>
            <w:r w:rsidRPr="00E70587">
              <w:rPr>
                <w:rFonts w:ascii="Arial" w:hAnsi="Arial" w:cs="Arial"/>
                <w:sz w:val="20"/>
              </w:rPr>
              <w:t>The Group has not acquired any credit impaired asset. There was no modification in any financial assets.</w:t>
            </w:r>
          </w:p>
          <w:p w14:paraId="1DA3F192" w14:textId="77777777" w:rsidR="00C41E23" w:rsidRPr="00E70587" w:rsidRDefault="00C41E23" w:rsidP="00C41E23">
            <w:pPr>
              <w:spacing w:line="280" w:lineRule="exact"/>
              <w:ind w:hanging="18"/>
              <w:jc w:val="both"/>
              <w:rPr>
                <w:rFonts w:ascii="Arial" w:hAnsi="Arial" w:cs="Arial"/>
                <w:i/>
                <w:sz w:val="20"/>
              </w:rPr>
            </w:pPr>
          </w:p>
        </w:tc>
      </w:tr>
      <w:tr w:rsidR="0086091A" w:rsidRPr="00E70587" w14:paraId="7AE56EB4" w14:textId="77777777" w:rsidTr="00C41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380B2295" w14:textId="77777777" w:rsidR="0086091A" w:rsidRPr="00E70587" w:rsidRDefault="0086091A" w:rsidP="00C41E23">
            <w:pPr>
              <w:spacing w:line="280" w:lineRule="exact"/>
              <w:jc w:val="both"/>
              <w:rPr>
                <w:rFonts w:ascii="Arial" w:hAnsi="Arial" w:cs="Arial"/>
                <w:b/>
                <w:i/>
                <w:sz w:val="20"/>
              </w:rPr>
            </w:pPr>
            <w:r w:rsidRPr="00E70587">
              <w:rPr>
                <w:rFonts w:ascii="Arial" w:hAnsi="Arial" w:cs="Arial"/>
                <w:b/>
                <w:i/>
                <w:sz w:val="20"/>
              </w:rPr>
              <w:t>Trade receivables</w:t>
            </w:r>
            <w:r w:rsidR="00346AE8">
              <w:rPr>
                <w:rFonts w:ascii="Arial" w:hAnsi="Arial" w:cs="Arial"/>
                <w:b/>
                <w:i/>
                <w:sz w:val="20"/>
              </w:rPr>
              <w:t xml:space="preserve"> and contract assets</w:t>
            </w:r>
          </w:p>
          <w:p w14:paraId="1E3A6E92" w14:textId="77777777" w:rsidR="00C41E23" w:rsidRPr="00E70587" w:rsidRDefault="00C41E23" w:rsidP="00C41E23">
            <w:pPr>
              <w:pStyle w:val="Notesbodytext"/>
              <w:spacing w:after="0" w:line="280" w:lineRule="exact"/>
              <w:jc w:val="both"/>
              <w:rPr>
                <w:rFonts w:ascii="Arial" w:hAnsi="Arial"/>
                <w:color w:val="auto"/>
                <w:sz w:val="20"/>
              </w:rPr>
            </w:pPr>
          </w:p>
          <w:p w14:paraId="42B0929B" w14:textId="724E64E9" w:rsidR="0086091A" w:rsidRPr="00E70587" w:rsidRDefault="0086091A" w:rsidP="00C41E23">
            <w:pPr>
              <w:pStyle w:val="Notesbodytext"/>
              <w:spacing w:after="0" w:line="280" w:lineRule="exact"/>
              <w:jc w:val="both"/>
              <w:rPr>
                <w:rFonts w:ascii="Arial" w:hAnsi="Arial"/>
                <w:color w:val="auto"/>
                <w:sz w:val="20"/>
              </w:rPr>
            </w:pPr>
            <w:r w:rsidRPr="00E70587">
              <w:rPr>
                <w:rFonts w:ascii="Arial" w:hAnsi="Arial"/>
                <w:color w:val="auto"/>
                <w:sz w:val="20"/>
              </w:rPr>
              <w:t xml:space="preserve">Customer credit risk is managed by each business unit subject to the Group’s established policy, procedures and control relating to customer credit risk management. Credit quality of a customer is assessed based on an extensive credit rating scorecard and individual credit limits are defined in accordance with this assessment. Outstanding customer receivables are regularly monitored and any shipments to major customers are generally covered by letters of credit or other forms of credit insurance. At 31 </w:t>
            </w:r>
            <w:r w:rsidR="00E1202D" w:rsidRPr="00E70587">
              <w:rPr>
                <w:rFonts w:ascii="Arial" w:hAnsi="Arial"/>
                <w:color w:val="auto"/>
                <w:sz w:val="20"/>
              </w:rPr>
              <w:t xml:space="preserve">March </w:t>
            </w:r>
            <w:r w:rsidR="008436C1" w:rsidRPr="00E70587">
              <w:rPr>
                <w:rFonts w:ascii="Arial" w:hAnsi="Arial"/>
                <w:color w:val="auto"/>
                <w:sz w:val="20"/>
              </w:rPr>
              <w:t>20</w:t>
            </w:r>
            <w:r w:rsidR="008436C1">
              <w:rPr>
                <w:rFonts w:ascii="Arial" w:hAnsi="Arial"/>
                <w:color w:val="auto"/>
                <w:sz w:val="20"/>
              </w:rPr>
              <w:t>21</w:t>
            </w:r>
            <w:r w:rsidRPr="00E70587">
              <w:rPr>
                <w:rFonts w:ascii="Arial" w:hAnsi="Arial"/>
                <w:color w:val="auto"/>
                <w:sz w:val="20"/>
              </w:rPr>
              <w:t xml:space="preserve">, the Group had 55 customers (31 </w:t>
            </w:r>
            <w:r w:rsidR="008B730E" w:rsidRPr="00E70587">
              <w:rPr>
                <w:rFonts w:ascii="Arial" w:hAnsi="Arial"/>
                <w:color w:val="auto"/>
                <w:sz w:val="20"/>
              </w:rPr>
              <w:t xml:space="preserve">March </w:t>
            </w:r>
            <w:r w:rsidR="008436C1" w:rsidRPr="00E70587">
              <w:rPr>
                <w:rFonts w:ascii="Arial" w:hAnsi="Arial"/>
                <w:color w:val="auto"/>
                <w:sz w:val="20"/>
              </w:rPr>
              <w:t>20</w:t>
            </w:r>
            <w:r w:rsidR="008436C1">
              <w:rPr>
                <w:rFonts w:ascii="Arial" w:hAnsi="Arial"/>
                <w:color w:val="auto"/>
                <w:sz w:val="20"/>
              </w:rPr>
              <w:t>20</w:t>
            </w:r>
            <w:r w:rsidRPr="00E70587">
              <w:rPr>
                <w:rFonts w:ascii="Arial" w:hAnsi="Arial"/>
                <w:color w:val="auto"/>
                <w:sz w:val="20"/>
              </w:rPr>
              <w:t>: 65 customers,) that owed the Group more than INR 450</w:t>
            </w:r>
            <w:r w:rsidR="00657961" w:rsidRPr="00E70587">
              <w:rPr>
                <w:rFonts w:ascii="Arial" w:hAnsi="Arial"/>
                <w:color w:val="auto"/>
                <w:sz w:val="20"/>
              </w:rPr>
              <w:t xml:space="preserve"> lacs</w:t>
            </w:r>
            <w:r w:rsidRPr="00E70587">
              <w:rPr>
                <w:rFonts w:ascii="Arial" w:hAnsi="Arial"/>
                <w:color w:val="auto"/>
                <w:sz w:val="20"/>
              </w:rPr>
              <w:t xml:space="preserve"> each and accounted for approximately 71% (31 </w:t>
            </w:r>
            <w:r w:rsidR="008B730E" w:rsidRPr="00E70587">
              <w:rPr>
                <w:rFonts w:ascii="Arial" w:hAnsi="Arial"/>
                <w:color w:val="auto"/>
                <w:sz w:val="20"/>
              </w:rPr>
              <w:t xml:space="preserve">March </w:t>
            </w:r>
            <w:r w:rsidR="008436C1" w:rsidRPr="00E70587">
              <w:rPr>
                <w:rFonts w:ascii="Arial" w:hAnsi="Arial"/>
                <w:color w:val="auto"/>
                <w:sz w:val="20"/>
              </w:rPr>
              <w:t>20</w:t>
            </w:r>
            <w:r w:rsidR="008436C1">
              <w:rPr>
                <w:rFonts w:ascii="Arial" w:hAnsi="Arial"/>
                <w:color w:val="auto"/>
                <w:sz w:val="20"/>
              </w:rPr>
              <w:t>20</w:t>
            </w:r>
            <w:r w:rsidRPr="00E70587">
              <w:rPr>
                <w:rFonts w:ascii="Arial" w:hAnsi="Arial"/>
                <w:color w:val="auto"/>
                <w:sz w:val="20"/>
              </w:rPr>
              <w:t xml:space="preserve">: 76%) of all the receivables </w:t>
            </w:r>
            <w:r w:rsidR="00346AE8">
              <w:rPr>
                <w:rFonts w:ascii="Arial" w:hAnsi="Arial"/>
                <w:color w:val="auto"/>
                <w:sz w:val="20"/>
              </w:rPr>
              <w:t xml:space="preserve">and contract assets </w:t>
            </w:r>
            <w:r w:rsidRPr="00E70587">
              <w:rPr>
                <w:rFonts w:ascii="Arial" w:hAnsi="Arial"/>
                <w:color w:val="auto"/>
                <w:sz w:val="20"/>
              </w:rPr>
              <w:t xml:space="preserve">outstanding. There were five customers (31 </w:t>
            </w:r>
            <w:r w:rsidR="008B730E" w:rsidRPr="00E70587">
              <w:rPr>
                <w:rFonts w:ascii="Arial" w:hAnsi="Arial"/>
                <w:color w:val="auto"/>
                <w:sz w:val="20"/>
              </w:rPr>
              <w:t xml:space="preserve">March </w:t>
            </w:r>
            <w:r w:rsidR="008436C1" w:rsidRPr="00E70587">
              <w:rPr>
                <w:rFonts w:ascii="Arial" w:hAnsi="Arial"/>
                <w:color w:val="auto"/>
                <w:sz w:val="20"/>
              </w:rPr>
              <w:t>20</w:t>
            </w:r>
            <w:r w:rsidR="008436C1">
              <w:rPr>
                <w:rFonts w:ascii="Arial" w:hAnsi="Arial"/>
                <w:color w:val="auto"/>
                <w:sz w:val="20"/>
              </w:rPr>
              <w:t>20</w:t>
            </w:r>
            <w:r w:rsidRPr="00E70587">
              <w:rPr>
                <w:rFonts w:ascii="Arial" w:hAnsi="Arial"/>
                <w:color w:val="auto"/>
                <w:sz w:val="20"/>
              </w:rPr>
              <w:t xml:space="preserve">: seven customers,) with balances greater than INR </w:t>
            </w:r>
            <w:r w:rsidRPr="00E70587">
              <w:rPr>
                <w:rFonts w:ascii="Arial" w:hAnsi="Arial"/>
                <w:color w:val="auto"/>
                <w:sz w:val="20"/>
                <w:lang w:eastAsia="en-GB"/>
              </w:rPr>
              <w:t>1</w:t>
            </w:r>
            <w:r w:rsidR="004D306E">
              <w:rPr>
                <w:rFonts w:ascii="Arial" w:hAnsi="Arial"/>
                <w:color w:val="auto"/>
                <w:sz w:val="20"/>
                <w:lang w:eastAsia="en-GB"/>
              </w:rPr>
              <w:t>,</w:t>
            </w:r>
            <w:r w:rsidRPr="00E70587">
              <w:rPr>
                <w:rFonts w:ascii="Arial" w:hAnsi="Arial"/>
                <w:color w:val="auto"/>
                <w:sz w:val="20"/>
                <w:lang w:eastAsia="en-GB"/>
              </w:rPr>
              <w:t>800</w:t>
            </w:r>
            <w:r w:rsidR="00657961" w:rsidRPr="00E70587">
              <w:rPr>
                <w:rFonts w:ascii="Arial" w:hAnsi="Arial"/>
                <w:color w:val="auto"/>
                <w:sz w:val="20"/>
                <w:lang w:eastAsia="en-GB"/>
              </w:rPr>
              <w:t xml:space="preserve"> lacs</w:t>
            </w:r>
            <w:r w:rsidRPr="00E70587">
              <w:rPr>
                <w:rFonts w:ascii="Arial" w:hAnsi="Arial"/>
                <w:color w:val="auto"/>
                <w:sz w:val="20"/>
              </w:rPr>
              <w:t xml:space="preserve"> accounting for just over 17% (31 </w:t>
            </w:r>
            <w:r w:rsidR="008B730E" w:rsidRPr="00E70587">
              <w:rPr>
                <w:rFonts w:ascii="Arial" w:hAnsi="Arial"/>
                <w:color w:val="auto"/>
                <w:sz w:val="20"/>
              </w:rPr>
              <w:t xml:space="preserve">March </w:t>
            </w:r>
            <w:r w:rsidR="008436C1" w:rsidRPr="00E70587">
              <w:rPr>
                <w:rFonts w:ascii="Arial" w:hAnsi="Arial"/>
                <w:color w:val="auto"/>
                <w:sz w:val="20"/>
              </w:rPr>
              <w:t>20</w:t>
            </w:r>
            <w:r w:rsidR="008436C1">
              <w:rPr>
                <w:rFonts w:ascii="Arial" w:hAnsi="Arial"/>
                <w:color w:val="auto"/>
                <w:sz w:val="20"/>
              </w:rPr>
              <w:t>20</w:t>
            </w:r>
            <w:r w:rsidRPr="00E70587">
              <w:rPr>
                <w:rFonts w:ascii="Arial" w:hAnsi="Arial"/>
                <w:color w:val="auto"/>
                <w:sz w:val="20"/>
              </w:rPr>
              <w:t>: 19%) o</w:t>
            </w:r>
            <w:r w:rsidR="00C41E23" w:rsidRPr="00E70587">
              <w:rPr>
                <w:rFonts w:ascii="Arial" w:hAnsi="Arial"/>
                <w:color w:val="auto"/>
                <w:sz w:val="20"/>
              </w:rPr>
              <w:t>f the total amount receivable</w:t>
            </w:r>
            <w:r w:rsidR="00346AE8">
              <w:rPr>
                <w:rFonts w:ascii="Arial" w:hAnsi="Arial"/>
                <w:color w:val="auto"/>
                <w:sz w:val="20"/>
              </w:rPr>
              <w:t xml:space="preserve"> and contract assets</w:t>
            </w:r>
            <w:r w:rsidR="00C41E23" w:rsidRPr="00E70587">
              <w:rPr>
                <w:rFonts w:ascii="Arial" w:hAnsi="Arial"/>
                <w:color w:val="auto"/>
                <w:sz w:val="20"/>
              </w:rPr>
              <w:t>.</w:t>
            </w:r>
          </w:p>
          <w:p w14:paraId="0AF52DA9" w14:textId="77777777" w:rsidR="00C41E23" w:rsidRPr="00E70587" w:rsidRDefault="00C41E23" w:rsidP="00C41E23">
            <w:pPr>
              <w:pStyle w:val="Notesbodytext"/>
              <w:spacing w:after="0" w:line="280" w:lineRule="exact"/>
              <w:jc w:val="both"/>
              <w:rPr>
                <w:rFonts w:ascii="Arial" w:hAnsi="Arial"/>
                <w:b/>
                <w:color w:val="auto"/>
                <w:sz w:val="20"/>
              </w:rPr>
            </w:pPr>
          </w:p>
        </w:tc>
      </w:tr>
      <w:tr w:rsidR="0086091A" w:rsidRPr="00E70587" w14:paraId="0B1398CB" w14:textId="77777777" w:rsidTr="00C41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4ED4E614" w14:textId="77777777" w:rsidR="0086091A" w:rsidRPr="00E70587" w:rsidRDefault="0086091A" w:rsidP="00C41E23">
            <w:pPr>
              <w:pStyle w:val="IAStext"/>
              <w:spacing w:line="280" w:lineRule="exact"/>
              <w:jc w:val="both"/>
              <w:rPr>
                <w:rFonts w:ascii="Arial" w:hAnsi="Arial" w:cs="Arial"/>
                <w:i w:val="0"/>
                <w:sz w:val="20"/>
                <w:lang w:val="en-IN"/>
              </w:rPr>
            </w:pPr>
            <w:r w:rsidRPr="00E70587">
              <w:rPr>
                <w:rFonts w:ascii="Arial" w:hAnsi="Arial" w:cs="Arial"/>
                <w:i w:val="0"/>
                <w:sz w:val="20"/>
                <w:lang w:val="en-IN"/>
              </w:rPr>
              <w:lastRenderedPageBreak/>
              <w:t xml:space="preserve">An impairment analysis is performed at each reporting date on an individual basis for major clients. In addition, a large number of minor receivables are grouped into homogenous groups and assessed for impairment collectively. The calculation is based on exchange losses historical data. The maximum exposure to credit risk at the reporting date is the carrying value of each class of financial assets disclosed in Note </w:t>
            </w:r>
            <w:r w:rsidR="000D1D6E" w:rsidRPr="00E70587">
              <w:rPr>
                <w:rFonts w:ascii="Arial" w:hAnsi="Arial" w:cs="Arial"/>
                <w:i w:val="0"/>
                <w:sz w:val="20"/>
                <w:lang w:val="en-IN"/>
              </w:rPr>
              <w:t>9</w:t>
            </w:r>
            <w:r w:rsidRPr="00E70587">
              <w:rPr>
                <w:rFonts w:ascii="Arial" w:hAnsi="Arial" w:cs="Arial"/>
                <w:i w:val="0"/>
                <w:sz w:val="20"/>
                <w:lang w:val="en-IN"/>
              </w:rPr>
              <w:t>. The Group does not hold collateral as security. The Group evaluates the concentration of risk with respect to trade receivables as low, as its customers are located in several jurisdictions and industries and operate in largely independent markets.</w:t>
            </w:r>
          </w:p>
          <w:p w14:paraId="588B5C50" w14:textId="77777777" w:rsidR="000700DF" w:rsidRPr="00E70587" w:rsidRDefault="000700DF" w:rsidP="000700DF">
            <w:pPr>
              <w:rPr>
                <w:rFonts w:ascii="Arial" w:hAnsi="Arial"/>
              </w:rPr>
            </w:pPr>
          </w:p>
          <w:p w14:paraId="75615B1A" w14:textId="5386BE71" w:rsidR="000700DF" w:rsidRPr="00E70587" w:rsidRDefault="000700DF" w:rsidP="000700DF">
            <w:pPr>
              <w:spacing w:line="240" w:lineRule="atLeast"/>
              <w:rPr>
                <w:rFonts w:ascii="Arial" w:hAnsi="Arial"/>
                <w:szCs w:val="18"/>
              </w:rPr>
            </w:pPr>
            <w:r w:rsidRPr="00E70587">
              <w:rPr>
                <w:rFonts w:ascii="Arial" w:hAnsi="Arial"/>
                <w:szCs w:val="18"/>
              </w:rPr>
              <w:t xml:space="preserve">The Group has written off trade receivables amounting to INR 259 lacs during the year (31 March </w:t>
            </w:r>
            <w:r w:rsidR="008436C1" w:rsidRPr="00E70587">
              <w:rPr>
                <w:rFonts w:ascii="Arial" w:hAnsi="Arial"/>
                <w:szCs w:val="18"/>
              </w:rPr>
              <w:t>20</w:t>
            </w:r>
            <w:r w:rsidR="008436C1">
              <w:rPr>
                <w:rFonts w:ascii="Arial" w:hAnsi="Arial"/>
                <w:szCs w:val="18"/>
              </w:rPr>
              <w:t>20</w:t>
            </w:r>
            <w:r w:rsidRPr="00E70587">
              <w:rPr>
                <w:rFonts w:ascii="Arial" w:hAnsi="Arial"/>
                <w:szCs w:val="18"/>
              </w:rPr>
              <w:t>: INR 233 lacs,) as there was no reasonable expectations of recovery and were outstanding for more than 360 days from becoming due. These are however, still subject to enforcement activity.</w:t>
            </w:r>
          </w:p>
          <w:p w14:paraId="32F0DFD2" w14:textId="77777777" w:rsidR="000700DF" w:rsidRPr="00E70587" w:rsidRDefault="000700DF" w:rsidP="000700DF">
            <w:pPr>
              <w:spacing w:line="240" w:lineRule="atLeast"/>
              <w:rPr>
                <w:rFonts w:ascii="Arial" w:hAnsi="Arial"/>
                <w:szCs w:val="18"/>
              </w:rPr>
            </w:pPr>
          </w:p>
          <w:tbl>
            <w:tblPr>
              <w:tblW w:w="9885" w:type="dxa"/>
              <w:tblLook w:val="04A0" w:firstRow="1" w:lastRow="0" w:firstColumn="1" w:lastColumn="0" w:noHBand="0" w:noVBand="1"/>
            </w:tblPr>
            <w:tblGrid>
              <w:gridCol w:w="628"/>
              <w:gridCol w:w="1106"/>
              <w:gridCol w:w="1195"/>
              <w:gridCol w:w="1080"/>
              <w:gridCol w:w="954"/>
              <w:gridCol w:w="992"/>
              <w:gridCol w:w="1134"/>
              <w:gridCol w:w="851"/>
              <w:gridCol w:w="1039"/>
              <w:gridCol w:w="906"/>
            </w:tblGrid>
            <w:tr w:rsidR="00BD6C7A" w:rsidRPr="00E70587" w14:paraId="12341955" w14:textId="77777777" w:rsidTr="00BD6C7A">
              <w:trPr>
                <w:trHeight w:val="510"/>
              </w:trPr>
              <w:tc>
                <w:tcPr>
                  <w:tcW w:w="1734"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7510B7BC" w14:textId="77777777" w:rsidR="00BD6C7A" w:rsidRPr="00E70587" w:rsidRDefault="00BD6C7A" w:rsidP="000700DF">
                  <w:pPr>
                    <w:overflowPunct/>
                    <w:autoSpaceDE/>
                    <w:autoSpaceDN/>
                    <w:adjustRightInd/>
                    <w:spacing w:line="240" w:lineRule="auto"/>
                    <w:jc w:val="center"/>
                    <w:textAlignment w:val="auto"/>
                    <w:rPr>
                      <w:rFonts w:ascii="Arial" w:hAnsi="Arial" w:cs="Arial"/>
                      <w:b/>
                      <w:bCs/>
                      <w:color w:val="000000"/>
                      <w:sz w:val="20"/>
                      <w:lang w:eastAsia="en-IN"/>
                    </w:rPr>
                  </w:pPr>
                </w:p>
              </w:tc>
              <w:tc>
                <w:tcPr>
                  <w:tcW w:w="6206" w:type="dxa"/>
                  <w:gridSpan w:val="6"/>
                  <w:tcBorders>
                    <w:top w:val="single" w:sz="4" w:space="0" w:color="auto"/>
                    <w:left w:val="nil"/>
                    <w:bottom w:val="single" w:sz="4" w:space="0" w:color="auto"/>
                    <w:right w:val="double" w:sz="4" w:space="0" w:color="auto"/>
                  </w:tcBorders>
                  <w:shd w:val="clear" w:color="000000" w:fill="D9D9D9"/>
                  <w:vAlign w:val="center"/>
                </w:tcPr>
                <w:p w14:paraId="0612B7DD" w14:textId="6831F2DB" w:rsidR="00BD6C7A" w:rsidRPr="00E70587" w:rsidRDefault="00BD6C7A" w:rsidP="000700DF">
                  <w:pPr>
                    <w:overflowPunct/>
                    <w:autoSpaceDE/>
                    <w:autoSpaceDN/>
                    <w:adjustRightInd/>
                    <w:spacing w:line="240" w:lineRule="auto"/>
                    <w:jc w:val="center"/>
                    <w:textAlignment w:val="auto"/>
                    <w:rPr>
                      <w:rFonts w:ascii="Arial" w:hAnsi="Arial" w:cs="Arial"/>
                      <w:b/>
                      <w:bCs/>
                      <w:color w:val="000000"/>
                      <w:sz w:val="20"/>
                      <w:lang w:eastAsia="en-IN"/>
                    </w:rPr>
                  </w:pPr>
                  <w:r w:rsidRPr="00E70587">
                    <w:rPr>
                      <w:rFonts w:ascii="Arial" w:hAnsi="Arial" w:cs="Arial"/>
                      <w:b/>
                      <w:bCs/>
                      <w:color w:val="000000"/>
                      <w:sz w:val="20"/>
                      <w:lang w:eastAsia="en-IN"/>
                    </w:rPr>
                    <w:t>Trade receivable days past due</w:t>
                  </w:r>
                </w:p>
              </w:tc>
              <w:tc>
                <w:tcPr>
                  <w:tcW w:w="1039" w:type="dxa"/>
                  <w:tcBorders>
                    <w:top w:val="double" w:sz="4" w:space="0" w:color="auto"/>
                    <w:left w:val="double" w:sz="4" w:space="0" w:color="auto"/>
                    <w:bottom w:val="double" w:sz="4" w:space="0" w:color="auto"/>
                    <w:right w:val="double" w:sz="4" w:space="0" w:color="auto"/>
                  </w:tcBorders>
                  <w:shd w:val="clear" w:color="000000" w:fill="D9D9D9"/>
                </w:tcPr>
                <w:p w14:paraId="17243AB5" w14:textId="1EE9CCC0" w:rsidR="00BD6C7A" w:rsidRDefault="00BD6C7A" w:rsidP="00BD6C7A">
                  <w:pPr>
                    <w:overflowPunct/>
                    <w:autoSpaceDE/>
                    <w:autoSpaceDN/>
                    <w:adjustRightInd/>
                    <w:spacing w:line="240" w:lineRule="auto"/>
                    <w:jc w:val="center"/>
                    <w:textAlignment w:val="auto"/>
                    <w:rPr>
                      <w:rFonts w:ascii="Arial" w:hAnsi="Arial" w:cs="Arial"/>
                      <w:b/>
                      <w:bCs/>
                      <w:color w:val="000000"/>
                      <w:sz w:val="20"/>
                      <w:lang w:eastAsia="en-IN"/>
                    </w:rPr>
                  </w:pPr>
                  <w:r>
                    <w:rPr>
                      <w:rFonts w:ascii="Arial" w:hAnsi="Arial" w:cs="Arial"/>
                      <w:b/>
                      <w:bCs/>
                      <w:color w:val="000000"/>
                      <w:sz w:val="20"/>
                      <w:lang w:eastAsia="en-IN"/>
                    </w:rPr>
                    <w:t xml:space="preserve">Contract asset </w:t>
                  </w:r>
                </w:p>
              </w:tc>
              <w:tc>
                <w:tcPr>
                  <w:tcW w:w="906" w:type="dxa"/>
                  <w:tcBorders>
                    <w:top w:val="double" w:sz="4" w:space="0" w:color="auto"/>
                    <w:left w:val="double" w:sz="4" w:space="0" w:color="auto"/>
                    <w:bottom w:val="double" w:sz="4" w:space="0" w:color="auto"/>
                    <w:right w:val="double" w:sz="4" w:space="0" w:color="auto"/>
                  </w:tcBorders>
                  <w:shd w:val="clear" w:color="000000" w:fill="D9D9D9"/>
                  <w:vAlign w:val="center"/>
                </w:tcPr>
                <w:p w14:paraId="63ECE5AD" w14:textId="77777777" w:rsidR="00BD6C7A" w:rsidRPr="00E70587" w:rsidRDefault="00BD6C7A" w:rsidP="000700DF">
                  <w:pPr>
                    <w:overflowPunct/>
                    <w:autoSpaceDE/>
                    <w:autoSpaceDN/>
                    <w:adjustRightInd/>
                    <w:spacing w:line="240" w:lineRule="auto"/>
                    <w:jc w:val="center"/>
                    <w:textAlignment w:val="auto"/>
                    <w:rPr>
                      <w:rFonts w:ascii="Arial" w:hAnsi="Arial" w:cs="Arial"/>
                      <w:b/>
                      <w:bCs/>
                      <w:color w:val="000000"/>
                      <w:sz w:val="20"/>
                      <w:lang w:eastAsia="en-IN"/>
                    </w:rPr>
                  </w:pPr>
                </w:p>
              </w:tc>
            </w:tr>
            <w:tr w:rsidR="00BD6C7A" w:rsidRPr="00E70587" w14:paraId="3FA38391" w14:textId="77777777" w:rsidTr="00BD6C7A">
              <w:trPr>
                <w:trHeight w:val="510"/>
              </w:trPr>
              <w:tc>
                <w:tcPr>
                  <w:tcW w:w="173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DC73A01" w14:textId="7344E5E4" w:rsidR="004215B7" w:rsidRPr="00E70587" w:rsidRDefault="004215B7" w:rsidP="000700DF">
                  <w:pPr>
                    <w:overflowPunct/>
                    <w:autoSpaceDE/>
                    <w:autoSpaceDN/>
                    <w:adjustRightInd/>
                    <w:spacing w:line="240" w:lineRule="auto"/>
                    <w:jc w:val="center"/>
                    <w:textAlignment w:val="auto"/>
                    <w:rPr>
                      <w:rFonts w:ascii="Arial" w:hAnsi="Arial" w:cs="Arial"/>
                      <w:b/>
                      <w:bCs/>
                      <w:color w:val="000000"/>
                      <w:sz w:val="20"/>
                      <w:lang w:eastAsia="en-IN"/>
                    </w:rPr>
                  </w:pPr>
                </w:p>
              </w:tc>
              <w:tc>
                <w:tcPr>
                  <w:tcW w:w="1195" w:type="dxa"/>
                  <w:tcBorders>
                    <w:top w:val="single" w:sz="4" w:space="0" w:color="auto"/>
                    <w:left w:val="nil"/>
                    <w:bottom w:val="single" w:sz="4" w:space="0" w:color="auto"/>
                    <w:right w:val="single" w:sz="4" w:space="0" w:color="auto"/>
                  </w:tcBorders>
                  <w:shd w:val="clear" w:color="000000" w:fill="D9D9D9"/>
                  <w:vAlign w:val="center"/>
                  <w:hideMark/>
                </w:tcPr>
                <w:p w14:paraId="3F09137A" w14:textId="77777777" w:rsidR="004215B7" w:rsidRPr="00E70587" w:rsidRDefault="004215B7" w:rsidP="000700DF">
                  <w:pPr>
                    <w:overflowPunct/>
                    <w:autoSpaceDE/>
                    <w:autoSpaceDN/>
                    <w:adjustRightInd/>
                    <w:spacing w:line="240" w:lineRule="auto"/>
                    <w:jc w:val="center"/>
                    <w:textAlignment w:val="auto"/>
                    <w:rPr>
                      <w:rFonts w:ascii="Arial" w:hAnsi="Arial" w:cs="Arial"/>
                      <w:b/>
                      <w:bCs/>
                      <w:color w:val="000000"/>
                      <w:sz w:val="20"/>
                      <w:lang w:eastAsia="en-IN"/>
                    </w:rPr>
                  </w:pPr>
                  <w:r w:rsidRPr="00E70587">
                    <w:rPr>
                      <w:rFonts w:ascii="Arial" w:hAnsi="Arial" w:cs="Arial"/>
                      <w:b/>
                      <w:bCs/>
                      <w:color w:val="000000"/>
                      <w:sz w:val="20"/>
                      <w:lang w:eastAsia="en-IN"/>
                    </w:rPr>
                    <w:t>Current</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A3D045D" w14:textId="77777777" w:rsidR="004215B7" w:rsidRPr="00E70587" w:rsidRDefault="004215B7" w:rsidP="000700DF">
                  <w:pPr>
                    <w:overflowPunct/>
                    <w:autoSpaceDE/>
                    <w:autoSpaceDN/>
                    <w:adjustRightInd/>
                    <w:spacing w:line="240" w:lineRule="auto"/>
                    <w:jc w:val="center"/>
                    <w:textAlignment w:val="auto"/>
                    <w:rPr>
                      <w:rFonts w:ascii="Arial" w:hAnsi="Arial" w:cs="Arial"/>
                      <w:b/>
                      <w:bCs/>
                      <w:color w:val="000000"/>
                      <w:sz w:val="20"/>
                      <w:lang w:eastAsia="en-IN"/>
                    </w:rPr>
                  </w:pPr>
                  <w:r w:rsidRPr="00E70587">
                    <w:rPr>
                      <w:rFonts w:ascii="Arial" w:hAnsi="Arial" w:cs="Arial"/>
                      <w:b/>
                      <w:bCs/>
                      <w:color w:val="000000"/>
                      <w:sz w:val="20"/>
                      <w:lang w:eastAsia="en-IN"/>
                    </w:rPr>
                    <w:t>1-30 days past due</w:t>
                  </w:r>
                </w:p>
              </w:tc>
              <w:tc>
                <w:tcPr>
                  <w:tcW w:w="954" w:type="dxa"/>
                  <w:tcBorders>
                    <w:top w:val="single" w:sz="4" w:space="0" w:color="auto"/>
                    <w:left w:val="nil"/>
                    <w:bottom w:val="single" w:sz="4" w:space="0" w:color="auto"/>
                    <w:right w:val="single" w:sz="4" w:space="0" w:color="auto"/>
                  </w:tcBorders>
                  <w:shd w:val="clear" w:color="000000" w:fill="D9D9D9"/>
                  <w:vAlign w:val="center"/>
                  <w:hideMark/>
                </w:tcPr>
                <w:p w14:paraId="71DD43D7" w14:textId="77777777" w:rsidR="004215B7" w:rsidRPr="00E70587" w:rsidRDefault="004215B7" w:rsidP="000700DF">
                  <w:pPr>
                    <w:overflowPunct/>
                    <w:autoSpaceDE/>
                    <w:autoSpaceDN/>
                    <w:adjustRightInd/>
                    <w:spacing w:line="240" w:lineRule="auto"/>
                    <w:jc w:val="center"/>
                    <w:textAlignment w:val="auto"/>
                    <w:rPr>
                      <w:rFonts w:ascii="Arial" w:hAnsi="Arial" w:cs="Arial"/>
                      <w:b/>
                      <w:bCs/>
                      <w:color w:val="000000"/>
                      <w:sz w:val="20"/>
                      <w:lang w:eastAsia="en-IN"/>
                    </w:rPr>
                  </w:pPr>
                  <w:r w:rsidRPr="00E70587">
                    <w:rPr>
                      <w:rFonts w:ascii="Arial" w:hAnsi="Arial" w:cs="Arial"/>
                      <w:b/>
                      <w:bCs/>
                      <w:color w:val="000000"/>
                      <w:sz w:val="20"/>
                      <w:lang w:eastAsia="en-IN"/>
                    </w:rPr>
                    <w:t>31-60 days past due</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50808A10" w14:textId="77777777" w:rsidR="004215B7" w:rsidRPr="00E70587" w:rsidRDefault="004215B7" w:rsidP="000700DF">
                  <w:pPr>
                    <w:overflowPunct/>
                    <w:autoSpaceDE/>
                    <w:autoSpaceDN/>
                    <w:adjustRightInd/>
                    <w:spacing w:line="240" w:lineRule="auto"/>
                    <w:jc w:val="center"/>
                    <w:textAlignment w:val="auto"/>
                    <w:rPr>
                      <w:rFonts w:ascii="Arial" w:hAnsi="Arial" w:cs="Arial"/>
                      <w:b/>
                      <w:bCs/>
                      <w:color w:val="000000"/>
                      <w:sz w:val="20"/>
                      <w:lang w:eastAsia="en-IN"/>
                    </w:rPr>
                  </w:pPr>
                  <w:r w:rsidRPr="00E70587">
                    <w:rPr>
                      <w:rFonts w:ascii="Arial" w:hAnsi="Arial" w:cs="Arial"/>
                      <w:b/>
                      <w:bCs/>
                      <w:color w:val="000000"/>
                      <w:sz w:val="20"/>
                      <w:lang w:eastAsia="en-IN"/>
                    </w:rPr>
                    <w:t>61-90 days past due</w:t>
                  </w:r>
                </w:p>
              </w:tc>
              <w:tc>
                <w:tcPr>
                  <w:tcW w:w="1134" w:type="dxa"/>
                  <w:tcBorders>
                    <w:top w:val="single" w:sz="4" w:space="0" w:color="auto"/>
                    <w:left w:val="nil"/>
                    <w:bottom w:val="single" w:sz="4" w:space="0" w:color="auto"/>
                    <w:right w:val="double" w:sz="4" w:space="0" w:color="auto"/>
                  </w:tcBorders>
                  <w:shd w:val="clear" w:color="000000" w:fill="D9D9D9"/>
                  <w:vAlign w:val="center"/>
                  <w:hideMark/>
                </w:tcPr>
                <w:p w14:paraId="6E3D647F" w14:textId="77777777" w:rsidR="004215B7" w:rsidRPr="00E70587" w:rsidRDefault="004215B7" w:rsidP="000700DF">
                  <w:pPr>
                    <w:overflowPunct/>
                    <w:autoSpaceDE/>
                    <w:autoSpaceDN/>
                    <w:adjustRightInd/>
                    <w:spacing w:line="240" w:lineRule="auto"/>
                    <w:jc w:val="center"/>
                    <w:textAlignment w:val="auto"/>
                    <w:rPr>
                      <w:rFonts w:ascii="Arial" w:hAnsi="Arial" w:cs="Arial"/>
                      <w:b/>
                      <w:bCs/>
                      <w:color w:val="000000"/>
                      <w:sz w:val="20"/>
                      <w:lang w:eastAsia="en-IN"/>
                    </w:rPr>
                  </w:pPr>
                  <w:r w:rsidRPr="00E70587">
                    <w:rPr>
                      <w:rFonts w:ascii="Arial" w:hAnsi="Arial" w:cs="Arial"/>
                      <w:b/>
                      <w:bCs/>
                      <w:color w:val="000000"/>
                      <w:sz w:val="20"/>
                      <w:lang w:eastAsia="en-IN"/>
                    </w:rPr>
                    <w:t>91-360 days past due</w:t>
                  </w:r>
                </w:p>
              </w:tc>
              <w:tc>
                <w:tcPr>
                  <w:tcW w:w="851" w:type="dxa"/>
                  <w:tcBorders>
                    <w:top w:val="double" w:sz="4" w:space="0" w:color="auto"/>
                    <w:left w:val="double" w:sz="4" w:space="0" w:color="auto"/>
                    <w:bottom w:val="double" w:sz="4" w:space="0" w:color="auto"/>
                    <w:right w:val="double" w:sz="4" w:space="0" w:color="auto"/>
                  </w:tcBorders>
                  <w:shd w:val="clear" w:color="000000" w:fill="D9D9D9"/>
                  <w:vAlign w:val="center"/>
                  <w:hideMark/>
                </w:tcPr>
                <w:p w14:paraId="4445506D" w14:textId="77777777" w:rsidR="004215B7" w:rsidRPr="00E70587" w:rsidRDefault="004215B7" w:rsidP="000700DF">
                  <w:pPr>
                    <w:overflowPunct/>
                    <w:autoSpaceDE/>
                    <w:autoSpaceDN/>
                    <w:adjustRightInd/>
                    <w:spacing w:line="240" w:lineRule="auto"/>
                    <w:jc w:val="center"/>
                    <w:textAlignment w:val="auto"/>
                    <w:rPr>
                      <w:rFonts w:ascii="Arial" w:hAnsi="Arial" w:cs="Arial"/>
                      <w:b/>
                      <w:bCs/>
                      <w:color w:val="000000"/>
                      <w:sz w:val="20"/>
                      <w:lang w:eastAsia="en-IN"/>
                    </w:rPr>
                  </w:pPr>
                  <w:r w:rsidRPr="00E70587">
                    <w:rPr>
                      <w:rFonts w:ascii="Arial" w:hAnsi="Arial" w:cs="Arial"/>
                      <w:b/>
                      <w:bCs/>
                      <w:color w:val="000000"/>
                      <w:sz w:val="20"/>
                      <w:lang w:eastAsia="en-IN"/>
                    </w:rPr>
                    <w:t>More than 360 days past due</w:t>
                  </w:r>
                </w:p>
              </w:tc>
              <w:tc>
                <w:tcPr>
                  <w:tcW w:w="1039" w:type="dxa"/>
                  <w:tcBorders>
                    <w:top w:val="double" w:sz="4" w:space="0" w:color="auto"/>
                    <w:left w:val="double" w:sz="4" w:space="0" w:color="auto"/>
                    <w:bottom w:val="double" w:sz="4" w:space="0" w:color="auto"/>
                    <w:right w:val="double" w:sz="4" w:space="0" w:color="auto"/>
                  </w:tcBorders>
                  <w:shd w:val="clear" w:color="000000" w:fill="D9D9D9"/>
                </w:tcPr>
                <w:p w14:paraId="31AD6129" w14:textId="5F55D459" w:rsidR="004215B7" w:rsidRPr="00E70587" w:rsidRDefault="004215B7" w:rsidP="004215B7">
                  <w:pPr>
                    <w:overflowPunct/>
                    <w:autoSpaceDE/>
                    <w:autoSpaceDN/>
                    <w:adjustRightInd/>
                    <w:spacing w:line="240" w:lineRule="auto"/>
                    <w:jc w:val="center"/>
                    <w:textAlignment w:val="auto"/>
                    <w:rPr>
                      <w:rFonts w:ascii="Arial" w:hAnsi="Arial" w:cs="Arial"/>
                      <w:b/>
                      <w:bCs/>
                      <w:color w:val="000000"/>
                      <w:sz w:val="20"/>
                      <w:lang w:eastAsia="en-IN"/>
                    </w:rPr>
                  </w:pPr>
                  <w:r>
                    <w:rPr>
                      <w:rFonts w:ascii="Arial" w:hAnsi="Arial" w:cs="Arial"/>
                      <w:b/>
                      <w:bCs/>
                      <w:color w:val="000000"/>
                      <w:sz w:val="20"/>
                      <w:lang w:eastAsia="en-IN"/>
                    </w:rPr>
                    <w:t>Current</w:t>
                  </w:r>
                </w:p>
              </w:tc>
              <w:tc>
                <w:tcPr>
                  <w:tcW w:w="906" w:type="dxa"/>
                  <w:tcBorders>
                    <w:top w:val="double" w:sz="4" w:space="0" w:color="auto"/>
                    <w:left w:val="double" w:sz="4" w:space="0" w:color="auto"/>
                    <w:bottom w:val="double" w:sz="4" w:space="0" w:color="auto"/>
                    <w:right w:val="double" w:sz="4" w:space="0" w:color="auto"/>
                  </w:tcBorders>
                  <w:shd w:val="clear" w:color="000000" w:fill="D9D9D9"/>
                  <w:vAlign w:val="center"/>
                  <w:hideMark/>
                </w:tcPr>
                <w:p w14:paraId="322B3BD7" w14:textId="567DC2F7" w:rsidR="004215B7" w:rsidRPr="00E70587" w:rsidRDefault="004215B7" w:rsidP="000700DF">
                  <w:pPr>
                    <w:overflowPunct/>
                    <w:autoSpaceDE/>
                    <w:autoSpaceDN/>
                    <w:adjustRightInd/>
                    <w:spacing w:line="240" w:lineRule="auto"/>
                    <w:jc w:val="center"/>
                    <w:textAlignment w:val="auto"/>
                    <w:rPr>
                      <w:rFonts w:ascii="Arial" w:hAnsi="Arial" w:cs="Arial"/>
                      <w:b/>
                      <w:bCs/>
                      <w:color w:val="000000"/>
                      <w:sz w:val="20"/>
                      <w:lang w:eastAsia="en-IN"/>
                    </w:rPr>
                  </w:pPr>
                  <w:r w:rsidRPr="00E70587">
                    <w:rPr>
                      <w:rFonts w:ascii="Arial" w:hAnsi="Arial" w:cs="Arial"/>
                      <w:b/>
                      <w:bCs/>
                      <w:color w:val="000000"/>
                      <w:sz w:val="20"/>
                      <w:lang w:eastAsia="en-IN"/>
                    </w:rPr>
                    <w:t>Total</w:t>
                  </w:r>
                </w:p>
              </w:tc>
            </w:tr>
            <w:tr w:rsidR="00BD6C7A" w:rsidRPr="00E70587" w14:paraId="5E76EF7A" w14:textId="77777777" w:rsidTr="00BD6C7A">
              <w:trPr>
                <w:trHeight w:val="255"/>
              </w:trPr>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FB310E" w14:textId="77777777" w:rsidR="004215B7" w:rsidRPr="00E70587" w:rsidRDefault="004215B7" w:rsidP="000700DF">
                  <w:pPr>
                    <w:overflowPunct/>
                    <w:autoSpaceDE/>
                    <w:autoSpaceDN/>
                    <w:adjustRightInd/>
                    <w:spacing w:line="240" w:lineRule="auto"/>
                    <w:jc w:val="center"/>
                    <w:textAlignment w:val="auto"/>
                    <w:rPr>
                      <w:rFonts w:ascii="Arial" w:hAnsi="Arial" w:cs="Arial"/>
                      <w:color w:val="000000"/>
                      <w:sz w:val="20"/>
                      <w:lang w:eastAsia="en-IN"/>
                    </w:rPr>
                  </w:pPr>
                  <w:r w:rsidRPr="00E70587">
                    <w:rPr>
                      <w:rFonts w:ascii="Arial" w:hAnsi="Arial" w:cs="Arial"/>
                      <w:color w:val="000000"/>
                      <w:sz w:val="20"/>
                      <w:lang w:eastAsia="en-IN"/>
                    </w:rPr>
                    <w:t>ECL rate</w:t>
                  </w:r>
                </w:p>
              </w:tc>
              <w:tc>
                <w:tcPr>
                  <w:tcW w:w="1195" w:type="dxa"/>
                  <w:tcBorders>
                    <w:top w:val="nil"/>
                    <w:left w:val="nil"/>
                    <w:bottom w:val="single" w:sz="4" w:space="0" w:color="auto"/>
                    <w:right w:val="single" w:sz="4" w:space="0" w:color="auto"/>
                  </w:tcBorders>
                  <w:shd w:val="clear" w:color="auto" w:fill="auto"/>
                  <w:vAlign w:val="center"/>
                  <w:hideMark/>
                </w:tcPr>
                <w:p w14:paraId="0595EF0F"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0.10%</w:t>
                  </w:r>
                </w:p>
              </w:tc>
              <w:tc>
                <w:tcPr>
                  <w:tcW w:w="1080" w:type="dxa"/>
                  <w:tcBorders>
                    <w:top w:val="nil"/>
                    <w:left w:val="nil"/>
                    <w:bottom w:val="single" w:sz="4" w:space="0" w:color="auto"/>
                    <w:right w:val="single" w:sz="4" w:space="0" w:color="auto"/>
                  </w:tcBorders>
                  <w:shd w:val="clear" w:color="auto" w:fill="auto"/>
                  <w:vAlign w:val="center"/>
                  <w:hideMark/>
                </w:tcPr>
                <w:p w14:paraId="6400C76C"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1.60%</w:t>
                  </w:r>
                </w:p>
              </w:tc>
              <w:tc>
                <w:tcPr>
                  <w:tcW w:w="954" w:type="dxa"/>
                  <w:tcBorders>
                    <w:top w:val="nil"/>
                    <w:left w:val="nil"/>
                    <w:bottom w:val="single" w:sz="4" w:space="0" w:color="auto"/>
                    <w:right w:val="single" w:sz="4" w:space="0" w:color="auto"/>
                  </w:tcBorders>
                  <w:shd w:val="clear" w:color="auto" w:fill="auto"/>
                  <w:vAlign w:val="center"/>
                  <w:hideMark/>
                </w:tcPr>
                <w:p w14:paraId="0CEF6430"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3.60%</w:t>
                  </w:r>
                </w:p>
              </w:tc>
              <w:tc>
                <w:tcPr>
                  <w:tcW w:w="992" w:type="dxa"/>
                  <w:tcBorders>
                    <w:top w:val="nil"/>
                    <w:left w:val="nil"/>
                    <w:bottom w:val="single" w:sz="4" w:space="0" w:color="auto"/>
                    <w:right w:val="single" w:sz="4" w:space="0" w:color="auto"/>
                  </w:tcBorders>
                  <w:shd w:val="clear" w:color="auto" w:fill="auto"/>
                  <w:vAlign w:val="center"/>
                  <w:hideMark/>
                </w:tcPr>
                <w:p w14:paraId="56E332C5"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6.60%</w:t>
                  </w:r>
                </w:p>
              </w:tc>
              <w:tc>
                <w:tcPr>
                  <w:tcW w:w="1134" w:type="dxa"/>
                  <w:tcBorders>
                    <w:top w:val="nil"/>
                    <w:left w:val="nil"/>
                    <w:bottom w:val="single" w:sz="4" w:space="0" w:color="auto"/>
                    <w:right w:val="double" w:sz="4" w:space="0" w:color="auto"/>
                  </w:tcBorders>
                  <w:shd w:val="clear" w:color="auto" w:fill="auto"/>
                  <w:vAlign w:val="center"/>
                  <w:hideMark/>
                </w:tcPr>
                <w:p w14:paraId="651F8548"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10.60%</w:t>
                  </w: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5491392"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100%</w:t>
                  </w:r>
                </w:p>
              </w:tc>
              <w:tc>
                <w:tcPr>
                  <w:tcW w:w="1039" w:type="dxa"/>
                  <w:tcBorders>
                    <w:top w:val="double" w:sz="4" w:space="0" w:color="auto"/>
                    <w:left w:val="double" w:sz="4" w:space="0" w:color="auto"/>
                    <w:bottom w:val="double" w:sz="4" w:space="0" w:color="auto"/>
                    <w:right w:val="double" w:sz="4" w:space="0" w:color="auto"/>
                  </w:tcBorders>
                </w:tcPr>
                <w:p w14:paraId="23B80A83" w14:textId="0F9C1104"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Pr>
                      <w:rFonts w:ascii="Arial" w:hAnsi="Arial" w:cs="Arial"/>
                      <w:color w:val="000000"/>
                      <w:sz w:val="20"/>
                      <w:lang w:eastAsia="en-IN"/>
                    </w:rPr>
                    <w:t>0.10%</w:t>
                  </w:r>
                </w:p>
              </w:tc>
              <w:tc>
                <w:tcPr>
                  <w:tcW w:w="90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F80778B" w14:textId="63753D28"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w:t>
                  </w:r>
                </w:p>
              </w:tc>
            </w:tr>
            <w:tr w:rsidR="00BD6C7A" w:rsidRPr="00E70587" w14:paraId="56CE6685" w14:textId="77777777" w:rsidTr="00BD6C7A">
              <w:trPr>
                <w:trHeight w:val="1020"/>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14:paraId="13CE0F50" w14:textId="35344ACC" w:rsidR="004215B7" w:rsidRPr="00E70587" w:rsidRDefault="004215B7" w:rsidP="000700DF">
                  <w:pPr>
                    <w:overflowPunct/>
                    <w:autoSpaceDE/>
                    <w:autoSpaceDN/>
                    <w:adjustRightInd/>
                    <w:spacing w:line="240" w:lineRule="auto"/>
                    <w:jc w:val="center"/>
                    <w:textAlignment w:val="auto"/>
                    <w:rPr>
                      <w:rFonts w:ascii="Arial" w:hAnsi="Arial" w:cs="Arial"/>
                      <w:color w:val="000000"/>
                      <w:sz w:val="20"/>
                      <w:lang w:eastAsia="en-IN"/>
                    </w:rPr>
                  </w:pPr>
                  <w:r w:rsidRPr="00E70587">
                    <w:rPr>
                      <w:rFonts w:ascii="Arial" w:hAnsi="Arial" w:cs="Arial"/>
                      <w:color w:val="000000"/>
                      <w:sz w:val="20"/>
                      <w:lang w:eastAsia="en-IN"/>
                    </w:rPr>
                    <w:t>31-Mar-</w:t>
                  </w:r>
                  <w:r w:rsidR="00F90660">
                    <w:rPr>
                      <w:rFonts w:ascii="Arial" w:hAnsi="Arial" w:cs="Arial"/>
                      <w:color w:val="000000"/>
                      <w:sz w:val="20"/>
                      <w:lang w:eastAsia="en-IN"/>
                    </w:rPr>
                    <w:t>21</w:t>
                  </w:r>
                </w:p>
              </w:tc>
              <w:tc>
                <w:tcPr>
                  <w:tcW w:w="1106" w:type="dxa"/>
                  <w:tcBorders>
                    <w:top w:val="nil"/>
                    <w:left w:val="nil"/>
                    <w:bottom w:val="single" w:sz="4" w:space="0" w:color="auto"/>
                    <w:right w:val="single" w:sz="4" w:space="0" w:color="auto"/>
                  </w:tcBorders>
                  <w:shd w:val="clear" w:color="auto" w:fill="auto"/>
                  <w:vAlign w:val="center"/>
                  <w:hideMark/>
                </w:tcPr>
                <w:p w14:paraId="632E2A6E" w14:textId="77777777" w:rsidR="004215B7" w:rsidRPr="00E70587" w:rsidRDefault="004215B7" w:rsidP="000700DF">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Estimated total gross carrying amount at default</w:t>
                  </w:r>
                </w:p>
              </w:tc>
              <w:tc>
                <w:tcPr>
                  <w:tcW w:w="1195" w:type="dxa"/>
                  <w:tcBorders>
                    <w:top w:val="nil"/>
                    <w:left w:val="nil"/>
                    <w:bottom w:val="single" w:sz="4" w:space="0" w:color="auto"/>
                    <w:right w:val="single" w:sz="4" w:space="0" w:color="auto"/>
                  </w:tcBorders>
                  <w:shd w:val="clear" w:color="auto" w:fill="auto"/>
                  <w:vAlign w:val="center"/>
                  <w:hideMark/>
                </w:tcPr>
                <w:p w14:paraId="7D1EAAE7"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43,541 </w:t>
                  </w:r>
                </w:p>
              </w:tc>
              <w:tc>
                <w:tcPr>
                  <w:tcW w:w="1080" w:type="dxa"/>
                  <w:tcBorders>
                    <w:top w:val="nil"/>
                    <w:left w:val="nil"/>
                    <w:bottom w:val="single" w:sz="4" w:space="0" w:color="auto"/>
                    <w:right w:val="single" w:sz="4" w:space="0" w:color="auto"/>
                  </w:tcBorders>
                  <w:shd w:val="clear" w:color="auto" w:fill="auto"/>
                  <w:vAlign w:val="center"/>
                  <w:hideMark/>
                </w:tcPr>
                <w:p w14:paraId="1C8F642B"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790 </w:t>
                  </w:r>
                </w:p>
              </w:tc>
              <w:tc>
                <w:tcPr>
                  <w:tcW w:w="954" w:type="dxa"/>
                  <w:tcBorders>
                    <w:top w:val="nil"/>
                    <w:left w:val="nil"/>
                    <w:bottom w:val="single" w:sz="4" w:space="0" w:color="auto"/>
                    <w:right w:val="single" w:sz="4" w:space="0" w:color="auto"/>
                  </w:tcBorders>
                  <w:shd w:val="clear" w:color="auto" w:fill="auto"/>
                  <w:vAlign w:val="center"/>
                  <w:hideMark/>
                </w:tcPr>
                <w:p w14:paraId="44029006"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127 </w:t>
                  </w:r>
                </w:p>
              </w:tc>
              <w:tc>
                <w:tcPr>
                  <w:tcW w:w="992" w:type="dxa"/>
                  <w:tcBorders>
                    <w:top w:val="nil"/>
                    <w:left w:val="nil"/>
                    <w:bottom w:val="single" w:sz="4" w:space="0" w:color="auto"/>
                    <w:right w:val="single" w:sz="4" w:space="0" w:color="auto"/>
                  </w:tcBorders>
                  <w:shd w:val="clear" w:color="auto" w:fill="auto"/>
                  <w:vAlign w:val="center"/>
                  <w:hideMark/>
                </w:tcPr>
                <w:p w14:paraId="315C1E2E"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48 </w:t>
                  </w:r>
                </w:p>
              </w:tc>
              <w:tc>
                <w:tcPr>
                  <w:tcW w:w="1134" w:type="dxa"/>
                  <w:tcBorders>
                    <w:top w:val="nil"/>
                    <w:left w:val="nil"/>
                    <w:bottom w:val="single" w:sz="4" w:space="0" w:color="auto"/>
                    <w:right w:val="double" w:sz="4" w:space="0" w:color="auto"/>
                  </w:tcBorders>
                  <w:shd w:val="clear" w:color="auto" w:fill="auto"/>
                  <w:vAlign w:val="center"/>
                  <w:hideMark/>
                </w:tcPr>
                <w:p w14:paraId="35FEA90C"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26 </w:t>
                  </w: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5A7FF24"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259 </w:t>
                  </w:r>
                </w:p>
              </w:tc>
              <w:tc>
                <w:tcPr>
                  <w:tcW w:w="1039" w:type="dxa"/>
                  <w:tcBorders>
                    <w:top w:val="double" w:sz="4" w:space="0" w:color="auto"/>
                    <w:left w:val="double" w:sz="4" w:space="0" w:color="auto"/>
                    <w:bottom w:val="double" w:sz="4" w:space="0" w:color="auto"/>
                    <w:right w:val="double" w:sz="4" w:space="0" w:color="auto"/>
                  </w:tcBorders>
                </w:tcPr>
                <w:p w14:paraId="6C3937DC" w14:textId="77777777" w:rsidR="004215B7" w:rsidRPr="00BD6C7A" w:rsidRDefault="004215B7" w:rsidP="00BD6C7A">
                  <w:pPr>
                    <w:overflowPunct/>
                    <w:autoSpaceDE/>
                    <w:autoSpaceDN/>
                    <w:adjustRightInd/>
                    <w:spacing w:line="240" w:lineRule="auto"/>
                    <w:jc w:val="center"/>
                    <w:textAlignment w:val="auto"/>
                    <w:rPr>
                      <w:rFonts w:ascii="Arial" w:hAnsi="Arial" w:cs="Arial"/>
                      <w:bCs/>
                      <w:color w:val="000000"/>
                      <w:sz w:val="20"/>
                      <w:lang w:eastAsia="en-IN"/>
                    </w:rPr>
                  </w:pPr>
                </w:p>
                <w:p w14:paraId="6A20DD2B" w14:textId="77777777" w:rsidR="004215B7" w:rsidRPr="00BD6C7A" w:rsidRDefault="004215B7" w:rsidP="00BD6C7A">
                  <w:pPr>
                    <w:overflowPunct/>
                    <w:autoSpaceDE/>
                    <w:autoSpaceDN/>
                    <w:adjustRightInd/>
                    <w:spacing w:line="240" w:lineRule="auto"/>
                    <w:jc w:val="center"/>
                    <w:textAlignment w:val="auto"/>
                    <w:rPr>
                      <w:rFonts w:ascii="Arial" w:hAnsi="Arial" w:cs="Arial"/>
                      <w:bCs/>
                      <w:color w:val="000000"/>
                      <w:sz w:val="20"/>
                      <w:lang w:eastAsia="en-IN"/>
                    </w:rPr>
                  </w:pPr>
                </w:p>
                <w:p w14:paraId="28C03A20" w14:textId="58E20C36" w:rsidR="004215B7" w:rsidRPr="00BD6C7A" w:rsidRDefault="004215B7" w:rsidP="00BD6C7A">
                  <w:pPr>
                    <w:overflowPunct/>
                    <w:autoSpaceDE/>
                    <w:autoSpaceDN/>
                    <w:adjustRightInd/>
                    <w:spacing w:line="240" w:lineRule="auto"/>
                    <w:jc w:val="center"/>
                    <w:textAlignment w:val="auto"/>
                    <w:rPr>
                      <w:rFonts w:ascii="Arial" w:hAnsi="Arial" w:cs="Arial"/>
                      <w:bCs/>
                      <w:color w:val="000000"/>
                      <w:sz w:val="20"/>
                      <w:lang w:eastAsia="en-IN"/>
                    </w:rPr>
                  </w:pPr>
                  <w:r w:rsidRPr="00BD6C7A">
                    <w:rPr>
                      <w:rFonts w:ascii="Arial" w:hAnsi="Arial" w:cs="Arial"/>
                      <w:bCs/>
                      <w:color w:val="000000"/>
                      <w:sz w:val="20"/>
                      <w:lang w:eastAsia="en-IN"/>
                    </w:rPr>
                    <w:t>2,649</w:t>
                  </w:r>
                </w:p>
              </w:tc>
              <w:tc>
                <w:tcPr>
                  <w:tcW w:w="90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18F3AA06" w14:textId="32264E66" w:rsidR="004215B7" w:rsidRPr="00E70587" w:rsidRDefault="004215B7" w:rsidP="00657961">
                  <w:pPr>
                    <w:overflowPunct/>
                    <w:autoSpaceDE/>
                    <w:autoSpaceDN/>
                    <w:adjustRightInd/>
                    <w:spacing w:line="240" w:lineRule="auto"/>
                    <w:jc w:val="right"/>
                    <w:textAlignment w:val="auto"/>
                    <w:rPr>
                      <w:rFonts w:ascii="Arial" w:hAnsi="Arial" w:cs="Arial"/>
                      <w:color w:val="000000"/>
                      <w:sz w:val="20"/>
                      <w:lang w:eastAsia="en-IN"/>
                    </w:rPr>
                  </w:pPr>
                  <w:r>
                    <w:rPr>
                      <w:rFonts w:ascii="Arial" w:hAnsi="Arial" w:cs="Arial"/>
                      <w:color w:val="000000"/>
                      <w:sz w:val="20"/>
                      <w:lang w:eastAsia="en-IN"/>
                    </w:rPr>
                    <w:t>47,440</w:t>
                  </w:r>
                </w:p>
              </w:tc>
            </w:tr>
            <w:tr w:rsidR="00BD6C7A" w:rsidRPr="00E70587" w14:paraId="67BE5891" w14:textId="77777777" w:rsidTr="00BD6C7A">
              <w:trPr>
                <w:trHeight w:val="510"/>
              </w:trPr>
              <w:tc>
                <w:tcPr>
                  <w:tcW w:w="628" w:type="dxa"/>
                  <w:vMerge/>
                  <w:tcBorders>
                    <w:top w:val="nil"/>
                    <w:left w:val="single" w:sz="4" w:space="0" w:color="auto"/>
                    <w:bottom w:val="single" w:sz="4" w:space="0" w:color="auto"/>
                    <w:right w:val="single" w:sz="4" w:space="0" w:color="auto"/>
                  </w:tcBorders>
                  <w:vAlign w:val="center"/>
                  <w:hideMark/>
                </w:tcPr>
                <w:p w14:paraId="473FDAF3" w14:textId="77777777" w:rsidR="004215B7" w:rsidRPr="00E70587" w:rsidRDefault="004215B7" w:rsidP="000700DF">
                  <w:pPr>
                    <w:overflowPunct/>
                    <w:autoSpaceDE/>
                    <w:autoSpaceDN/>
                    <w:adjustRightInd/>
                    <w:spacing w:line="240" w:lineRule="auto"/>
                    <w:textAlignment w:val="auto"/>
                    <w:rPr>
                      <w:rFonts w:ascii="Arial" w:hAnsi="Arial" w:cs="Arial"/>
                      <w:color w:val="000000"/>
                      <w:sz w:val="20"/>
                      <w:lang w:eastAsia="en-IN"/>
                    </w:rPr>
                  </w:pPr>
                </w:p>
              </w:tc>
              <w:tc>
                <w:tcPr>
                  <w:tcW w:w="1106" w:type="dxa"/>
                  <w:tcBorders>
                    <w:top w:val="nil"/>
                    <w:left w:val="nil"/>
                    <w:bottom w:val="single" w:sz="4" w:space="0" w:color="auto"/>
                    <w:right w:val="single" w:sz="4" w:space="0" w:color="auto"/>
                  </w:tcBorders>
                  <w:shd w:val="clear" w:color="auto" w:fill="auto"/>
                  <w:vAlign w:val="center"/>
                  <w:hideMark/>
                </w:tcPr>
                <w:p w14:paraId="77BF85EC" w14:textId="77777777" w:rsidR="004215B7" w:rsidRPr="00E70587" w:rsidRDefault="004215B7" w:rsidP="000700DF">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ECL- simplified approach</w:t>
                  </w:r>
                </w:p>
              </w:tc>
              <w:tc>
                <w:tcPr>
                  <w:tcW w:w="1195" w:type="dxa"/>
                  <w:tcBorders>
                    <w:top w:val="nil"/>
                    <w:left w:val="nil"/>
                    <w:bottom w:val="single" w:sz="4" w:space="0" w:color="auto"/>
                    <w:right w:val="single" w:sz="4" w:space="0" w:color="auto"/>
                  </w:tcBorders>
                  <w:shd w:val="clear" w:color="auto" w:fill="auto"/>
                  <w:vAlign w:val="center"/>
                  <w:hideMark/>
                </w:tcPr>
                <w:p w14:paraId="0981B349" w14:textId="77777777" w:rsidR="004215B7" w:rsidRPr="00E70587" w:rsidRDefault="004215B7" w:rsidP="00CA3642">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(44)</w:t>
                  </w:r>
                </w:p>
              </w:tc>
              <w:tc>
                <w:tcPr>
                  <w:tcW w:w="1080" w:type="dxa"/>
                  <w:tcBorders>
                    <w:top w:val="nil"/>
                    <w:left w:val="nil"/>
                    <w:bottom w:val="single" w:sz="4" w:space="0" w:color="auto"/>
                    <w:right w:val="single" w:sz="4" w:space="0" w:color="auto"/>
                  </w:tcBorders>
                  <w:shd w:val="clear" w:color="auto" w:fill="auto"/>
                  <w:vAlign w:val="center"/>
                  <w:hideMark/>
                </w:tcPr>
                <w:p w14:paraId="4FC7B76F" w14:textId="77777777" w:rsidR="004215B7" w:rsidRPr="00E70587" w:rsidRDefault="004215B7" w:rsidP="00CA3642">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(13)</w:t>
                  </w:r>
                </w:p>
              </w:tc>
              <w:tc>
                <w:tcPr>
                  <w:tcW w:w="954" w:type="dxa"/>
                  <w:tcBorders>
                    <w:top w:val="nil"/>
                    <w:left w:val="nil"/>
                    <w:bottom w:val="single" w:sz="4" w:space="0" w:color="auto"/>
                    <w:right w:val="single" w:sz="4" w:space="0" w:color="auto"/>
                  </w:tcBorders>
                  <w:shd w:val="clear" w:color="auto" w:fill="auto"/>
                  <w:vAlign w:val="center"/>
                  <w:hideMark/>
                </w:tcPr>
                <w:p w14:paraId="3BD4F4D7" w14:textId="77777777" w:rsidR="004215B7" w:rsidRPr="00E70587" w:rsidRDefault="004215B7" w:rsidP="00CA3642">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(5)</w:t>
                  </w:r>
                </w:p>
              </w:tc>
              <w:tc>
                <w:tcPr>
                  <w:tcW w:w="992" w:type="dxa"/>
                  <w:tcBorders>
                    <w:top w:val="nil"/>
                    <w:left w:val="nil"/>
                    <w:bottom w:val="single" w:sz="4" w:space="0" w:color="auto"/>
                    <w:right w:val="single" w:sz="4" w:space="0" w:color="auto"/>
                  </w:tcBorders>
                  <w:shd w:val="clear" w:color="auto" w:fill="auto"/>
                  <w:vAlign w:val="center"/>
                  <w:hideMark/>
                </w:tcPr>
                <w:p w14:paraId="73C1BBF0" w14:textId="77777777" w:rsidR="004215B7" w:rsidRPr="00E70587" w:rsidRDefault="004215B7" w:rsidP="00CA3642">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(3)</w:t>
                  </w:r>
                </w:p>
              </w:tc>
              <w:tc>
                <w:tcPr>
                  <w:tcW w:w="1134" w:type="dxa"/>
                  <w:tcBorders>
                    <w:top w:val="nil"/>
                    <w:left w:val="nil"/>
                    <w:bottom w:val="single" w:sz="4" w:space="0" w:color="auto"/>
                    <w:right w:val="double" w:sz="4" w:space="0" w:color="auto"/>
                  </w:tcBorders>
                  <w:shd w:val="clear" w:color="auto" w:fill="auto"/>
                  <w:vAlign w:val="center"/>
                  <w:hideMark/>
                </w:tcPr>
                <w:p w14:paraId="6A53CC3D" w14:textId="77777777" w:rsidR="004215B7" w:rsidRPr="00E70587" w:rsidRDefault="004215B7" w:rsidP="00CA3642">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(3)</w:t>
                  </w: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2BCF2949" w14:textId="77777777" w:rsidR="004215B7" w:rsidRPr="00E70587" w:rsidRDefault="004215B7" w:rsidP="00CA3642">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(259)</w:t>
                  </w:r>
                </w:p>
              </w:tc>
              <w:tc>
                <w:tcPr>
                  <w:tcW w:w="1039" w:type="dxa"/>
                  <w:tcBorders>
                    <w:top w:val="double" w:sz="4" w:space="0" w:color="auto"/>
                    <w:left w:val="double" w:sz="4" w:space="0" w:color="auto"/>
                    <w:bottom w:val="double" w:sz="4" w:space="0" w:color="auto"/>
                    <w:right w:val="double" w:sz="4" w:space="0" w:color="auto"/>
                  </w:tcBorders>
                </w:tcPr>
                <w:p w14:paraId="4F098FF3" w14:textId="77777777" w:rsidR="004215B7" w:rsidRDefault="004215B7" w:rsidP="004215B7">
                  <w:pPr>
                    <w:overflowPunct/>
                    <w:autoSpaceDE/>
                    <w:autoSpaceDN/>
                    <w:adjustRightInd/>
                    <w:spacing w:line="240" w:lineRule="auto"/>
                    <w:jc w:val="right"/>
                    <w:textAlignment w:val="auto"/>
                    <w:rPr>
                      <w:rFonts w:ascii="Arial" w:hAnsi="Arial" w:cs="Arial"/>
                      <w:color w:val="000000"/>
                      <w:sz w:val="20"/>
                      <w:lang w:eastAsia="en-IN"/>
                    </w:rPr>
                  </w:pPr>
                </w:p>
                <w:p w14:paraId="3E214946" w14:textId="754B3248" w:rsidR="004215B7" w:rsidRPr="00E70587" w:rsidRDefault="004215B7" w:rsidP="004215B7">
                  <w:pPr>
                    <w:overflowPunct/>
                    <w:autoSpaceDE/>
                    <w:autoSpaceDN/>
                    <w:adjustRightInd/>
                    <w:spacing w:line="240" w:lineRule="auto"/>
                    <w:jc w:val="center"/>
                    <w:textAlignment w:val="auto"/>
                    <w:rPr>
                      <w:rFonts w:ascii="Arial" w:hAnsi="Arial" w:cs="Arial"/>
                      <w:color w:val="000000"/>
                      <w:sz w:val="20"/>
                      <w:lang w:eastAsia="en-IN"/>
                    </w:rPr>
                  </w:pPr>
                  <w:r>
                    <w:rPr>
                      <w:rFonts w:ascii="Arial" w:hAnsi="Arial" w:cs="Arial"/>
                      <w:color w:val="000000"/>
                      <w:sz w:val="20"/>
                      <w:lang w:eastAsia="en-IN"/>
                    </w:rPr>
                    <w:t>(3)</w:t>
                  </w:r>
                </w:p>
              </w:tc>
              <w:tc>
                <w:tcPr>
                  <w:tcW w:w="90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456FA94A" w14:textId="029A742D" w:rsidR="004215B7" w:rsidRPr="00E70587" w:rsidRDefault="004215B7" w:rsidP="00CA3642">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(3</w:t>
                  </w:r>
                  <w:r>
                    <w:rPr>
                      <w:rFonts w:ascii="Arial" w:hAnsi="Arial" w:cs="Arial"/>
                      <w:color w:val="000000"/>
                      <w:sz w:val="20"/>
                      <w:lang w:eastAsia="en-IN"/>
                    </w:rPr>
                    <w:t>30</w:t>
                  </w:r>
                  <w:r w:rsidRPr="00E70587">
                    <w:rPr>
                      <w:rFonts w:ascii="Arial" w:hAnsi="Arial" w:cs="Arial"/>
                      <w:color w:val="000000"/>
                      <w:sz w:val="20"/>
                      <w:lang w:eastAsia="en-IN"/>
                    </w:rPr>
                    <w:t xml:space="preserve">) </w:t>
                  </w:r>
                </w:p>
              </w:tc>
            </w:tr>
            <w:tr w:rsidR="00BD6C7A" w:rsidRPr="00E70587" w14:paraId="0B8A44F4" w14:textId="77777777" w:rsidTr="00BD6C7A">
              <w:trPr>
                <w:trHeight w:val="510"/>
              </w:trPr>
              <w:tc>
                <w:tcPr>
                  <w:tcW w:w="628" w:type="dxa"/>
                  <w:vMerge/>
                  <w:tcBorders>
                    <w:top w:val="nil"/>
                    <w:left w:val="single" w:sz="4" w:space="0" w:color="auto"/>
                    <w:bottom w:val="single" w:sz="4" w:space="0" w:color="auto"/>
                    <w:right w:val="single" w:sz="4" w:space="0" w:color="auto"/>
                  </w:tcBorders>
                  <w:vAlign w:val="center"/>
                  <w:hideMark/>
                </w:tcPr>
                <w:p w14:paraId="0C58A6F8" w14:textId="77777777" w:rsidR="004215B7" w:rsidRPr="00E70587" w:rsidRDefault="004215B7" w:rsidP="000700DF">
                  <w:pPr>
                    <w:overflowPunct/>
                    <w:autoSpaceDE/>
                    <w:autoSpaceDN/>
                    <w:adjustRightInd/>
                    <w:spacing w:line="240" w:lineRule="auto"/>
                    <w:textAlignment w:val="auto"/>
                    <w:rPr>
                      <w:rFonts w:ascii="Arial" w:hAnsi="Arial" w:cs="Arial"/>
                      <w:color w:val="000000"/>
                      <w:sz w:val="20"/>
                      <w:lang w:eastAsia="en-IN"/>
                    </w:rPr>
                  </w:pPr>
                </w:p>
              </w:tc>
              <w:tc>
                <w:tcPr>
                  <w:tcW w:w="1106" w:type="dxa"/>
                  <w:tcBorders>
                    <w:top w:val="nil"/>
                    <w:left w:val="nil"/>
                    <w:bottom w:val="single" w:sz="4" w:space="0" w:color="auto"/>
                    <w:right w:val="single" w:sz="4" w:space="0" w:color="auto"/>
                  </w:tcBorders>
                  <w:shd w:val="clear" w:color="auto" w:fill="auto"/>
                  <w:vAlign w:val="center"/>
                  <w:hideMark/>
                </w:tcPr>
                <w:p w14:paraId="400A27F9" w14:textId="77777777" w:rsidR="004215B7" w:rsidRPr="00E70587" w:rsidRDefault="004215B7" w:rsidP="000700DF">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Net carrying amount</w:t>
                  </w:r>
                </w:p>
              </w:tc>
              <w:tc>
                <w:tcPr>
                  <w:tcW w:w="1195" w:type="dxa"/>
                  <w:tcBorders>
                    <w:top w:val="nil"/>
                    <w:left w:val="nil"/>
                    <w:bottom w:val="single" w:sz="4" w:space="0" w:color="auto"/>
                    <w:right w:val="single" w:sz="4" w:space="0" w:color="auto"/>
                  </w:tcBorders>
                  <w:shd w:val="clear" w:color="auto" w:fill="auto"/>
                  <w:noWrap/>
                  <w:vAlign w:val="center"/>
                  <w:hideMark/>
                </w:tcPr>
                <w:p w14:paraId="60AC57EB" w14:textId="77777777" w:rsidR="004215B7" w:rsidRPr="00E70587" w:rsidRDefault="004215B7" w:rsidP="00DA476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43,497 </w:t>
                  </w:r>
                </w:p>
              </w:tc>
              <w:tc>
                <w:tcPr>
                  <w:tcW w:w="1080" w:type="dxa"/>
                  <w:tcBorders>
                    <w:top w:val="nil"/>
                    <w:left w:val="nil"/>
                    <w:bottom w:val="single" w:sz="4" w:space="0" w:color="auto"/>
                    <w:right w:val="single" w:sz="4" w:space="0" w:color="auto"/>
                  </w:tcBorders>
                  <w:shd w:val="clear" w:color="auto" w:fill="auto"/>
                  <w:noWrap/>
                  <w:vAlign w:val="center"/>
                  <w:hideMark/>
                </w:tcPr>
                <w:p w14:paraId="4EB5B1C1" w14:textId="77777777" w:rsidR="004215B7" w:rsidRPr="00E70587" w:rsidRDefault="004215B7" w:rsidP="00DA476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777 </w:t>
                  </w:r>
                </w:p>
              </w:tc>
              <w:tc>
                <w:tcPr>
                  <w:tcW w:w="954" w:type="dxa"/>
                  <w:tcBorders>
                    <w:top w:val="nil"/>
                    <w:left w:val="nil"/>
                    <w:bottom w:val="single" w:sz="4" w:space="0" w:color="auto"/>
                    <w:right w:val="single" w:sz="4" w:space="0" w:color="auto"/>
                  </w:tcBorders>
                  <w:shd w:val="clear" w:color="auto" w:fill="auto"/>
                  <w:noWrap/>
                  <w:vAlign w:val="center"/>
                  <w:hideMark/>
                </w:tcPr>
                <w:p w14:paraId="2B711BB8" w14:textId="77777777" w:rsidR="004215B7" w:rsidRPr="00E70587" w:rsidRDefault="004215B7" w:rsidP="00DA476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122 </w:t>
                  </w:r>
                </w:p>
              </w:tc>
              <w:tc>
                <w:tcPr>
                  <w:tcW w:w="992" w:type="dxa"/>
                  <w:tcBorders>
                    <w:top w:val="nil"/>
                    <w:left w:val="nil"/>
                    <w:bottom w:val="single" w:sz="4" w:space="0" w:color="auto"/>
                    <w:right w:val="single" w:sz="4" w:space="0" w:color="auto"/>
                  </w:tcBorders>
                  <w:shd w:val="clear" w:color="auto" w:fill="auto"/>
                  <w:noWrap/>
                  <w:vAlign w:val="center"/>
                  <w:hideMark/>
                </w:tcPr>
                <w:p w14:paraId="2D413D2F" w14:textId="77777777" w:rsidR="004215B7" w:rsidRPr="00E70587" w:rsidRDefault="004215B7" w:rsidP="00DA476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45 </w:t>
                  </w:r>
                </w:p>
              </w:tc>
              <w:tc>
                <w:tcPr>
                  <w:tcW w:w="1134" w:type="dxa"/>
                  <w:tcBorders>
                    <w:top w:val="nil"/>
                    <w:left w:val="nil"/>
                    <w:bottom w:val="single" w:sz="4" w:space="0" w:color="auto"/>
                    <w:right w:val="double" w:sz="4" w:space="0" w:color="auto"/>
                  </w:tcBorders>
                  <w:shd w:val="clear" w:color="auto" w:fill="auto"/>
                  <w:noWrap/>
                  <w:vAlign w:val="center"/>
                  <w:hideMark/>
                </w:tcPr>
                <w:p w14:paraId="3AD4F7A9" w14:textId="77777777" w:rsidR="004215B7" w:rsidRPr="00E70587" w:rsidRDefault="004215B7" w:rsidP="00DA476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23 </w:t>
                  </w:r>
                </w:p>
              </w:tc>
              <w:tc>
                <w:tcPr>
                  <w:tcW w:w="851"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72DE218" w14:textId="77777777" w:rsidR="004215B7" w:rsidRPr="00E70587" w:rsidRDefault="004215B7" w:rsidP="00DA476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 </w:t>
                  </w:r>
                </w:p>
              </w:tc>
              <w:tc>
                <w:tcPr>
                  <w:tcW w:w="1039" w:type="dxa"/>
                  <w:tcBorders>
                    <w:top w:val="double" w:sz="4" w:space="0" w:color="auto"/>
                    <w:left w:val="double" w:sz="4" w:space="0" w:color="auto"/>
                    <w:bottom w:val="double" w:sz="4" w:space="0" w:color="auto"/>
                    <w:right w:val="double" w:sz="4" w:space="0" w:color="auto"/>
                  </w:tcBorders>
                </w:tcPr>
                <w:p w14:paraId="1D3CBA23" w14:textId="77777777" w:rsidR="004215B7" w:rsidRDefault="004215B7" w:rsidP="004215B7">
                  <w:pPr>
                    <w:overflowPunct/>
                    <w:autoSpaceDE/>
                    <w:autoSpaceDN/>
                    <w:adjustRightInd/>
                    <w:spacing w:line="240" w:lineRule="auto"/>
                    <w:jc w:val="right"/>
                    <w:textAlignment w:val="auto"/>
                    <w:rPr>
                      <w:rFonts w:ascii="Arial" w:hAnsi="Arial" w:cs="Arial"/>
                      <w:color w:val="000000"/>
                      <w:sz w:val="20"/>
                      <w:lang w:eastAsia="en-IN"/>
                    </w:rPr>
                  </w:pPr>
                </w:p>
                <w:p w14:paraId="3C29CD3D" w14:textId="0A7ADC26" w:rsidR="004215B7" w:rsidRPr="00E70587" w:rsidRDefault="004215B7" w:rsidP="004215B7">
                  <w:pPr>
                    <w:overflowPunct/>
                    <w:autoSpaceDE/>
                    <w:autoSpaceDN/>
                    <w:adjustRightInd/>
                    <w:spacing w:line="240" w:lineRule="auto"/>
                    <w:jc w:val="center"/>
                    <w:textAlignment w:val="auto"/>
                    <w:rPr>
                      <w:rFonts w:ascii="Arial" w:hAnsi="Arial" w:cs="Arial"/>
                      <w:color w:val="000000"/>
                      <w:sz w:val="20"/>
                      <w:lang w:eastAsia="en-IN"/>
                    </w:rPr>
                  </w:pPr>
                  <w:r>
                    <w:rPr>
                      <w:rFonts w:ascii="Arial" w:hAnsi="Arial" w:cs="Arial"/>
                      <w:color w:val="000000"/>
                      <w:sz w:val="20"/>
                      <w:lang w:eastAsia="en-IN"/>
                    </w:rPr>
                    <w:t>2,646</w:t>
                  </w:r>
                </w:p>
              </w:tc>
              <w:tc>
                <w:tcPr>
                  <w:tcW w:w="90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6476213" w14:textId="7A67A302" w:rsidR="004215B7" w:rsidRPr="00E70587" w:rsidRDefault="004215B7" w:rsidP="00CA3642">
                  <w:pPr>
                    <w:overflowPunct/>
                    <w:autoSpaceDE/>
                    <w:autoSpaceDN/>
                    <w:adjustRightInd/>
                    <w:spacing w:line="240" w:lineRule="auto"/>
                    <w:jc w:val="right"/>
                    <w:textAlignment w:val="auto"/>
                    <w:rPr>
                      <w:rFonts w:ascii="Arial" w:hAnsi="Arial" w:cs="Arial"/>
                      <w:color w:val="000000"/>
                      <w:sz w:val="20"/>
                      <w:lang w:eastAsia="en-IN"/>
                    </w:rPr>
                  </w:pPr>
                  <w:r>
                    <w:rPr>
                      <w:rFonts w:ascii="Arial" w:hAnsi="Arial" w:cs="Arial"/>
                      <w:color w:val="000000"/>
                      <w:sz w:val="20"/>
                      <w:lang w:eastAsia="en-IN"/>
                    </w:rPr>
                    <w:t>47,110</w:t>
                  </w:r>
                </w:p>
              </w:tc>
            </w:tr>
            <w:tr w:rsidR="00BD6C7A" w:rsidRPr="00E70587" w14:paraId="0BD5A2EE" w14:textId="77777777" w:rsidTr="00BD6C7A">
              <w:trPr>
                <w:trHeight w:val="1020"/>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14:paraId="5283F425" w14:textId="74E57A90" w:rsidR="004215B7" w:rsidRPr="00E70587" w:rsidRDefault="004215B7" w:rsidP="000700DF">
                  <w:pPr>
                    <w:overflowPunct/>
                    <w:autoSpaceDE/>
                    <w:autoSpaceDN/>
                    <w:adjustRightInd/>
                    <w:spacing w:line="240" w:lineRule="auto"/>
                    <w:jc w:val="center"/>
                    <w:textAlignment w:val="auto"/>
                    <w:rPr>
                      <w:rFonts w:ascii="Arial" w:hAnsi="Arial" w:cs="Arial"/>
                      <w:color w:val="000000"/>
                      <w:sz w:val="20"/>
                      <w:lang w:eastAsia="en-IN"/>
                    </w:rPr>
                  </w:pPr>
                  <w:r w:rsidRPr="00E70587">
                    <w:rPr>
                      <w:rFonts w:ascii="Arial" w:hAnsi="Arial" w:cs="Arial"/>
                      <w:color w:val="000000"/>
                      <w:sz w:val="20"/>
                      <w:lang w:eastAsia="en-IN"/>
                    </w:rPr>
                    <w:t>31-Mar-</w:t>
                  </w:r>
                  <w:r w:rsidR="00F90660">
                    <w:rPr>
                      <w:rFonts w:ascii="Arial" w:hAnsi="Arial" w:cs="Arial"/>
                      <w:color w:val="000000"/>
                      <w:sz w:val="20"/>
                      <w:lang w:eastAsia="en-IN"/>
                    </w:rPr>
                    <w:t>20</w:t>
                  </w:r>
                </w:p>
              </w:tc>
              <w:tc>
                <w:tcPr>
                  <w:tcW w:w="1106" w:type="dxa"/>
                  <w:tcBorders>
                    <w:top w:val="nil"/>
                    <w:left w:val="nil"/>
                    <w:bottom w:val="single" w:sz="4" w:space="0" w:color="auto"/>
                    <w:right w:val="single" w:sz="4" w:space="0" w:color="auto"/>
                  </w:tcBorders>
                  <w:shd w:val="clear" w:color="auto" w:fill="auto"/>
                  <w:vAlign w:val="center"/>
                  <w:hideMark/>
                </w:tcPr>
                <w:p w14:paraId="2B3A0F6D" w14:textId="77777777" w:rsidR="004215B7" w:rsidRPr="00E70587" w:rsidRDefault="004215B7" w:rsidP="000700DF">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Estimated total gross carrying amount at default</w:t>
                  </w:r>
                </w:p>
              </w:tc>
              <w:tc>
                <w:tcPr>
                  <w:tcW w:w="1195" w:type="dxa"/>
                  <w:tcBorders>
                    <w:top w:val="nil"/>
                    <w:left w:val="nil"/>
                    <w:bottom w:val="single" w:sz="4" w:space="0" w:color="auto"/>
                    <w:right w:val="single" w:sz="4" w:space="0" w:color="auto"/>
                  </w:tcBorders>
                  <w:shd w:val="clear" w:color="auto" w:fill="auto"/>
                  <w:vAlign w:val="center"/>
                  <w:hideMark/>
                </w:tcPr>
                <w:p w14:paraId="6D6E9639"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37,402 </w:t>
                  </w:r>
                </w:p>
              </w:tc>
              <w:tc>
                <w:tcPr>
                  <w:tcW w:w="1080" w:type="dxa"/>
                  <w:tcBorders>
                    <w:top w:val="nil"/>
                    <w:left w:val="nil"/>
                    <w:bottom w:val="single" w:sz="4" w:space="0" w:color="auto"/>
                    <w:right w:val="single" w:sz="4" w:space="0" w:color="auto"/>
                  </w:tcBorders>
                  <w:shd w:val="clear" w:color="auto" w:fill="auto"/>
                  <w:vAlign w:val="center"/>
                  <w:hideMark/>
                </w:tcPr>
                <w:p w14:paraId="4685E970"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545 </w:t>
                  </w:r>
                </w:p>
              </w:tc>
              <w:tc>
                <w:tcPr>
                  <w:tcW w:w="954" w:type="dxa"/>
                  <w:tcBorders>
                    <w:top w:val="nil"/>
                    <w:left w:val="nil"/>
                    <w:bottom w:val="single" w:sz="4" w:space="0" w:color="auto"/>
                    <w:right w:val="single" w:sz="4" w:space="0" w:color="auto"/>
                  </w:tcBorders>
                  <w:shd w:val="clear" w:color="auto" w:fill="auto"/>
                  <w:vAlign w:val="center"/>
                  <w:hideMark/>
                </w:tcPr>
                <w:p w14:paraId="1A595AB6"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256 </w:t>
                  </w:r>
                </w:p>
              </w:tc>
              <w:tc>
                <w:tcPr>
                  <w:tcW w:w="992" w:type="dxa"/>
                  <w:tcBorders>
                    <w:top w:val="nil"/>
                    <w:left w:val="nil"/>
                    <w:bottom w:val="single" w:sz="4" w:space="0" w:color="auto"/>
                    <w:right w:val="single" w:sz="4" w:space="0" w:color="auto"/>
                  </w:tcBorders>
                  <w:shd w:val="clear" w:color="auto" w:fill="auto"/>
                  <w:vAlign w:val="center"/>
                  <w:hideMark/>
                </w:tcPr>
                <w:p w14:paraId="70F9B69B"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45 </w:t>
                  </w:r>
                </w:p>
              </w:tc>
              <w:tc>
                <w:tcPr>
                  <w:tcW w:w="1134" w:type="dxa"/>
                  <w:tcBorders>
                    <w:top w:val="nil"/>
                    <w:left w:val="nil"/>
                    <w:bottom w:val="single" w:sz="4" w:space="0" w:color="auto"/>
                    <w:right w:val="double" w:sz="4" w:space="0" w:color="auto"/>
                  </w:tcBorders>
                  <w:shd w:val="clear" w:color="auto" w:fill="auto"/>
                  <w:vAlign w:val="center"/>
                  <w:hideMark/>
                </w:tcPr>
                <w:p w14:paraId="36DF44E1"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45 </w:t>
                  </w: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2E624D39"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233 </w:t>
                  </w:r>
                </w:p>
              </w:tc>
              <w:tc>
                <w:tcPr>
                  <w:tcW w:w="1039" w:type="dxa"/>
                  <w:tcBorders>
                    <w:top w:val="double" w:sz="4" w:space="0" w:color="auto"/>
                    <w:left w:val="double" w:sz="4" w:space="0" w:color="auto"/>
                    <w:bottom w:val="double" w:sz="4" w:space="0" w:color="auto"/>
                    <w:right w:val="double" w:sz="4" w:space="0" w:color="auto"/>
                  </w:tcBorders>
                </w:tcPr>
                <w:p w14:paraId="46A77941" w14:textId="77777777" w:rsidR="004215B7" w:rsidRDefault="004215B7" w:rsidP="004215B7">
                  <w:pPr>
                    <w:overflowPunct/>
                    <w:autoSpaceDE/>
                    <w:autoSpaceDN/>
                    <w:adjustRightInd/>
                    <w:spacing w:line="240" w:lineRule="auto"/>
                    <w:jc w:val="right"/>
                    <w:textAlignment w:val="auto"/>
                    <w:rPr>
                      <w:rFonts w:ascii="Arial" w:hAnsi="Arial" w:cs="Arial"/>
                      <w:color w:val="000000"/>
                      <w:sz w:val="20"/>
                      <w:lang w:eastAsia="en-IN"/>
                    </w:rPr>
                  </w:pPr>
                </w:p>
                <w:p w14:paraId="5B465286" w14:textId="77777777" w:rsidR="004215B7" w:rsidRDefault="004215B7" w:rsidP="004215B7">
                  <w:pPr>
                    <w:overflowPunct/>
                    <w:autoSpaceDE/>
                    <w:autoSpaceDN/>
                    <w:adjustRightInd/>
                    <w:spacing w:line="240" w:lineRule="auto"/>
                    <w:jc w:val="right"/>
                    <w:textAlignment w:val="auto"/>
                    <w:rPr>
                      <w:rFonts w:ascii="Arial" w:hAnsi="Arial" w:cs="Arial"/>
                      <w:color w:val="000000"/>
                      <w:sz w:val="20"/>
                      <w:lang w:eastAsia="en-IN"/>
                    </w:rPr>
                  </w:pPr>
                </w:p>
                <w:p w14:paraId="40849CB5" w14:textId="7520212D" w:rsidR="004215B7" w:rsidRPr="00E70587" w:rsidRDefault="004215B7" w:rsidP="004215B7">
                  <w:pPr>
                    <w:overflowPunct/>
                    <w:autoSpaceDE/>
                    <w:autoSpaceDN/>
                    <w:adjustRightInd/>
                    <w:spacing w:line="240" w:lineRule="auto"/>
                    <w:jc w:val="center"/>
                    <w:textAlignment w:val="auto"/>
                    <w:rPr>
                      <w:rFonts w:ascii="Arial" w:hAnsi="Arial" w:cs="Arial"/>
                      <w:color w:val="000000"/>
                      <w:sz w:val="20"/>
                      <w:lang w:eastAsia="en-IN"/>
                    </w:rPr>
                  </w:pPr>
                  <w:r>
                    <w:rPr>
                      <w:rFonts w:ascii="Arial" w:hAnsi="Arial" w:cs="Arial"/>
                      <w:color w:val="000000"/>
                      <w:sz w:val="20"/>
                      <w:lang w:eastAsia="en-IN"/>
                    </w:rPr>
                    <w:t>2,789</w:t>
                  </w:r>
                </w:p>
              </w:tc>
              <w:tc>
                <w:tcPr>
                  <w:tcW w:w="90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C394340" w14:textId="229BDA61"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Pr>
                      <w:rFonts w:ascii="Arial" w:hAnsi="Arial" w:cs="Arial"/>
                      <w:color w:val="000000"/>
                      <w:sz w:val="20"/>
                      <w:lang w:eastAsia="en-IN"/>
                    </w:rPr>
                    <w:t>41,315</w:t>
                  </w:r>
                </w:p>
              </w:tc>
            </w:tr>
            <w:tr w:rsidR="00BD6C7A" w:rsidRPr="00E70587" w14:paraId="6F6BBE39" w14:textId="77777777" w:rsidTr="00BD6C7A">
              <w:trPr>
                <w:trHeight w:val="510"/>
              </w:trPr>
              <w:tc>
                <w:tcPr>
                  <w:tcW w:w="628" w:type="dxa"/>
                  <w:vMerge/>
                  <w:tcBorders>
                    <w:top w:val="nil"/>
                    <w:left w:val="single" w:sz="4" w:space="0" w:color="auto"/>
                    <w:bottom w:val="single" w:sz="4" w:space="0" w:color="auto"/>
                    <w:right w:val="single" w:sz="4" w:space="0" w:color="auto"/>
                  </w:tcBorders>
                  <w:vAlign w:val="center"/>
                  <w:hideMark/>
                </w:tcPr>
                <w:p w14:paraId="1DD82C2D" w14:textId="77777777" w:rsidR="004215B7" w:rsidRPr="00E70587" w:rsidRDefault="004215B7" w:rsidP="000700DF">
                  <w:pPr>
                    <w:overflowPunct/>
                    <w:autoSpaceDE/>
                    <w:autoSpaceDN/>
                    <w:adjustRightInd/>
                    <w:spacing w:line="240" w:lineRule="auto"/>
                    <w:textAlignment w:val="auto"/>
                    <w:rPr>
                      <w:rFonts w:ascii="Arial" w:hAnsi="Arial" w:cs="Arial"/>
                      <w:color w:val="000000"/>
                      <w:sz w:val="20"/>
                      <w:lang w:eastAsia="en-IN"/>
                    </w:rPr>
                  </w:pPr>
                </w:p>
              </w:tc>
              <w:tc>
                <w:tcPr>
                  <w:tcW w:w="1106" w:type="dxa"/>
                  <w:tcBorders>
                    <w:top w:val="nil"/>
                    <w:left w:val="nil"/>
                    <w:bottom w:val="single" w:sz="4" w:space="0" w:color="auto"/>
                    <w:right w:val="single" w:sz="4" w:space="0" w:color="auto"/>
                  </w:tcBorders>
                  <w:shd w:val="clear" w:color="auto" w:fill="auto"/>
                  <w:vAlign w:val="center"/>
                  <w:hideMark/>
                </w:tcPr>
                <w:p w14:paraId="0923782B" w14:textId="77777777" w:rsidR="004215B7" w:rsidRPr="00E70587" w:rsidRDefault="004215B7" w:rsidP="000700DF">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ECL- simplified approach</w:t>
                  </w:r>
                </w:p>
              </w:tc>
              <w:tc>
                <w:tcPr>
                  <w:tcW w:w="1195" w:type="dxa"/>
                  <w:tcBorders>
                    <w:top w:val="nil"/>
                    <w:left w:val="nil"/>
                    <w:bottom w:val="single" w:sz="4" w:space="0" w:color="auto"/>
                    <w:right w:val="single" w:sz="4" w:space="0" w:color="auto"/>
                  </w:tcBorders>
                  <w:shd w:val="clear" w:color="auto" w:fill="auto"/>
                  <w:vAlign w:val="center"/>
                  <w:hideMark/>
                </w:tcPr>
                <w:p w14:paraId="30C5B77A" w14:textId="77777777"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(31) </w:t>
                  </w:r>
                </w:p>
              </w:tc>
              <w:tc>
                <w:tcPr>
                  <w:tcW w:w="1080" w:type="dxa"/>
                  <w:tcBorders>
                    <w:top w:val="nil"/>
                    <w:left w:val="nil"/>
                    <w:bottom w:val="single" w:sz="4" w:space="0" w:color="auto"/>
                    <w:right w:val="single" w:sz="4" w:space="0" w:color="auto"/>
                  </w:tcBorders>
                  <w:shd w:val="clear" w:color="auto" w:fill="auto"/>
                  <w:vAlign w:val="center"/>
                  <w:hideMark/>
                </w:tcPr>
                <w:p w14:paraId="2C1CA374" w14:textId="77777777" w:rsidR="004215B7" w:rsidRPr="00E70587" w:rsidRDefault="004215B7" w:rsidP="00A23809">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(9)</w:t>
                  </w:r>
                </w:p>
              </w:tc>
              <w:tc>
                <w:tcPr>
                  <w:tcW w:w="954" w:type="dxa"/>
                  <w:tcBorders>
                    <w:top w:val="nil"/>
                    <w:left w:val="nil"/>
                    <w:bottom w:val="single" w:sz="4" w:space="0" w:color="auto"/>
                    <w:right w:val="single" w:sz="4" w:space="0" w:color="auto"/>
                  </w:tcBorders>
                  <w:shd w:val="clear" w:color="auto" w:fill="auto"/>
                  <w:vAlign w:val="center"/>
                  <w:hideMark/>
                </w:tcPr>
                <w:p w14:paraId="61B774B4" w14:textId="77777777" w:rsidR="004215B7" w:rsidRPr="00E70587" w:rsidRDefault="004215B7" w:rsidP="00A23809">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(9)</w:t>
                  </w:r>
                </w:p>
              </w:tc>
              <w:tc>
                <w:tcPr>
                  <w:tcW w:w="992" w:type="dxa"/>
                  <w:tcBorders>
                    <w:top w:val="nil"/>
                    <w:left w:val="nil"/>
                    <w:bottom w:val="single" w:sz="4" w:space="0" w:color="auto"/>
                    <w:right w:val="single" w:sz="4" w:space="0" w:color="auto"/>
                  </w:tcBorders>
                  <w:shd w:val="clear" w:color="auto" w:fill="auto"/>
                  <w:vAlign w:val="center"/>
                  <w:hideMark/>
                </w:tcPr>
                <w:p w14:paraId="5604F5E1" w14:textId="77777777" w:rsidR="004215B7" w:rsidRPr="00E70587" w:rsidRDefault="004215B7" w:rsidP="00A23809">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(3)</w:t>
                  </w:r>
                </w:p>
              </w:tc>
              <w:tc>
                <w:tcPr>
                  <w:tcW w:w="1134" w:type="dxa"/>
                  <w:tcBorders>
                    <w:top w:val="nil"/>
                    <w:left w:val="nil"/>
                    <w:bottom w:val="single" w:sz="4" w:space="0" w:color="auto"/>
                    <w:right w:val="double" w:sz="4" w:space="0" w:color="auto"/>
                  </w:tcBorders>
                  <w:shd w:val="clear" w:color="auto" w:fill="auto"/>
                  <w:vAlign w:val="center"/>
                  <w:hideMark/>
                </w:tcPr>
                <w:p w14:paraId="1759A670" w14:textId="77777777" w:rsidR="004215B7" w:rsidRPr="00E70587" w:rsidRDefault="004215B7" w:rsidP="00A23809">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(5)</w:t>
                  </w: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552C72A" w14:textId="77777777" w:rsidR="004215B7" w:rsidRPr="00E70587" w:rsidRDefault="004215B7" w:rsidP="00A23809">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(233)</w:t>
                  </w:r>
                </w:p>
              </w:tc>
              <w:tc>
                <w:tcPr>
                  <w:tcW w:w="1039" w:type="dxa"/>
                  <w:tcBorders>
                    <w:top w:val="double" w:sz="4" w:space="0" w:color="auto"/>
                    <w:left w:val="double" w:sz="4" w:space="0" w:color="auto"/>
                    <w:bottom w:val="double" w:sz="4" w:space="0" w:color="auto"/>
                    <w:right w:val="double" w:sz="4" w:space="0" w:color="auto"/>
                  </w:tcBorders>
                </w:tcPr>
                <w:p w14:paraId="565961D5" w14:textId="77777777" w:rsidR="004215B7" w:rsidRDefault="004215B7" w:rsidP="004215B7">
                  <w:pPr>
                    <w:overflowPunct/>
                    <w:autoSpaceDE/>
                    <w:autoSpaceDN/>
                    <w:adjustRightInd/>
                    <w:spacing w:line="240" w:lineRule="auto"/>
                    <w:jc w:val="right"/>
                    <w:textAlignment w:val="auto"/>
                    <w:rPr>
                      <w:rFonts w:ascii="Arial" w:hAnsi="Arial" w:cs="Arial"/>
                      <w:color w:val="000000"/>
                      <w:sz w:val="20"/>
                      <w:lang w:eastAsia="en-IN"/>
                    </w:rPr>
                  </w:pPr>
                </w:p>
                <w:p w14:paraId="5CAFB575" w14:textId="3BEAC6A5" w:rsidR="004215B7" w:rsidRPr="00E70587" w:rsidRDefault="004215B7" w:rsidP="004215B7">
                  <w:pPr>
                    <w:overflowPunct/>
                    <w:autoSpaceDE/>
                    <w:autoSpaceDN/>
                    <w:adjustRightInd/>
                    <w:spacing w:line="240" w:lineRule="auto"/>
                    <w:jc w:val="center"/>
                    <w:textAlignment w:val="auto"/>
                    <w:rPr>
                      <w:rFonts w:ascii="Arial" w:hAnsi="Arial" w:cs="Arial"/>
                      <w:color w:val="000000"/>
                      <w:sz w:val="20"/>
                      <w:lang w:eastAsia="en-IN"/>
                    </w:rPr>
                  </w:pPr>
                  <w:r>
                    <w:rPr>
                      <w:rFonts w:ascii="Arial" w:hAnsi="Arial" w:cs="Arial"/>
                      <w:color w:val="000000"/>
                      <w:sz w:val="20"/>
                      <w:lang w:eastAsia="en-IN"/>
                    </w:rPr>
                    <w:t>(3)</w:t>
                  </w:r>
                </w:p>
              </w:tc>
              <w:tc>
                <w:tcPr>
                  <w:tcW w:w="90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33AF841B" w14:textId="50157CA6" w:rsidR="004215B7" w:rsidRPr="00E70587" w:rsidRDefault="004215B7" w:rsidP="000700DF">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(29</w:t>
                  </w:r>
                  <w:r>
                    <w:rPr>
                      <w:rFonts w:ascii="Arial" w:hAnsi="Arial" w:cs="Arial"/>
                      <w:color w:val="000000"/>
                      <w:sz w:val="20"/>
                      <w:lang w:eastAsia="en-IN"/>
                    </w:rPr>
                    <w:t>3</w:t>
                  </w:r>
                  <w:r w:rsidRPr="00E70587">
                    <w:rPr>
                      <w:rFonts w:ascii="Arial" w:hAnsi="Arial" w:cs="Arial"/>
                      <w:color w:val="000000"/>
                      <w:sz w:val="20"/>
                      <w:lang w:eastAsia="en-IN"/>
                    </w:rPr>
                    <w:t xml:space="preserve">) </w:t>
                  </w:r>
                </w:p>
              </w:tc>
            </w:tr>
            <w:tr w:rsidR="00BD6C7A" w:rsidRPr="00E70587" w14:paraId="489EE1AD" w14:textId="77777777" w:rsidTr="00BD6C7A">
              <w:trPr>
                <w:trHeight w:val="510"/>
              </w:trPr>
              <w:tc>
                <w:tcPr>
                  <w:tcW w:w="628" w:type="dxa"/>
                  <w:vMerge/>
                  <w:tcBorders>
                    <w:top w:val="nil"/>
                    <w:left w:val="single" w:sz="4" w:space="0" w:color="auto"/>
                    <w:bottom w:val="single" w:sz="4" w:space="0" w:color="auto"/>
                    <w:right w:val="single" w:sz="4" w:space="0" w:color="auto"/>
                  </w:tcBorders>
                  <w:vAlign w:val="center"/>
                  <w:hideMark/>
                </w:tcPr>
                <w:p w14:paraId="136D7650" w14:textId="77777777" w:rsidR="004215B7" w:rsidRPr="00E70587" w:rsidRDefault="004215B7" w:rsidP="000700DF">
                  <w:pPr>
                    <w:overflowPunct/>
                    <w:autoSpaceDE/>
                    <w:autoSpaceDN/>
                    <w:adjustRightInd/>
                    <w:spacing w:line="240" w:lineRule="auto"/>
                    <w:textAlignment w:val="auto"/>
                    <w:rPr>
                      <w:rFonts w:ascii="Arial" w:hAnsi="Arial" w:cs="Arial"/>
                      <w:color w:val="000000"/>
                      <w:sz w:val="20"/>
                      <w:lang w:eastAsia="en-IN"/>
                    </w:rPr>
                  </w:pPr>
                </w:p>
              </w:tc>
              <w:tc>
                <w:tcPr>
                  <w:tcW w:w="1106" w:type="dxa"/>
                  <w:tcBorders>
                    <w:top w:val="nil"/>
                    <w:left w:val="nil"/>
                    <w:bottom w:val="single" w:sz="4" w:space="0" w:color="auto"/>
                    <w:right w:val="single" w:sz="4" w:space="0" w:color="auto"/>
                  </w:tcBorders>
                  <w:shd w:val="clear" w:color="auto" w:fill="auto"/>
                  <w:vAlign w:val="center"/>
                  <w:hideMark/>
                </w:tcPr>
                <w:p w14:paraId="69609A3A" w14:textId="77777777" w:rsidR="004215B7" w:rsidRPr="00E70587" w:rsidRDefault="004215B7" w:rsidP="000700DF">
                  <w:pPr>
                    <w:overflowPunct/>
                    <w:autoSpaceDE/>
                    <w:autoSpaceDN/>
                    <w:adjustRightInd/>
                    <w:spacing w:line="240" w:lineRule="auto"/>
                    <w:textAlignment w:val="auto"/>
                    <w:rPr>
                      <w:rFonts w:ascii="Arial" w:hAnsi="Arial" w:cs="Arial"/>
                      <w:color w:val="000000"/>
                      <w:sz w:val="20"/>
                      <w:lang w:eastAsia="en-IN"/>
                    </w:rPr>
                  </w:pPr>
                  <w:r w:rsidRPr="00E70587">
                    <w:rPr>
                      <w:rFonts w:ascii="Arial" w:hAnsi="Arial" w:cs="Arial"/>
                      <w:color w:val="000000"/>
                      <w:sz w:val="20"/>
                      <w:lang w:eastAsia="en-IN"/>
                    </w:rPr>
                    <w:t>Net carrying amount</w:t>
                  </w:r>
                </w:p>
              </w:tc>
              <w:tc>
                <w:tcPr>
                  <w:tcW w:w="1195" w:type="dxa"/>
                  <w:tcBorders>
                    <w:top w:val="nil"/>
                    <w:left w:val="nil"/>
                    <w:bottom w:val="single" w:sz="4" w:space="0" w:color="auto"/>
                    <w:right w:val="single" w:sz="4" w:space="0" w:color="auto"/>
                  </w:tcBorders>
                  <w:shd w:val="clear" w:color="auto" w:fill="auto"/>
                  <w:noWrap/>
                  <w:vAlign w:val="center"/>
                  <w:hideMark/>
                </w:tcPr>
                <w:p w14:paraId="3A0981A1" w14:textId="77777777" w:rsidR="004215B7" w:rsidRPr="00E70587" w:rsidRDefault="004215B7" w:rsidP="00DA476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37,371 </w:t>
                  </w:r>
                </w:p>
              </w:tc>
              <w:tc>
                <w:tcPr>
                  <w:tcW w:w="1080" w:type="dxa"/>
                  <w:tcBorders>
                    <w:top w:val="nil"/>
                    <w:left w:val="nil"/>
                    <w:bottom w:val="single" w:sz="4" w:space="0" w:color="auto"/>
                    <w:right w:val="single" w:sz="4" w:space="0" w:color="auto"/>
                  </w:tcBorders>
                  <w:shd w:val="clear" w:color="auto" w:fill="auto"/>
                  <w:noWrap/>
                  <w:vAlign w:val="center"/>
                  <w:hideMark/>
                </w:tcPr>
                <w:p w14:paraId="19BEE02C" w14:textId="77777777" w:rsidR="004215B7" w:rsidRPr="00E70587" w:rsidRDefault="004215B7" w:rsidP="00DA476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536 </w:t>
                  </w:r>
                </w:p>
              </w:tc>
              <w:tc>
                <w:tcPr>
                  <w:tcW w:w="954" w:type="dxa"/>
                  <w:tcBorders>
                    <w:top w:val="nil"/>
                    <w:left w:val="nil"/>
                    <w:bottom w:val="single" w:sz="4" w:space="0" w:color="auto"/>
                    <w:right w:val="single" w:sz="4" w:space="0" w:color="auto"/>
                  </w:tcBorders>
                  <w:shd w:val="clear" w:color="auto" w:fill="auto"/>
                  <w:noWrap/>
                  <w:vAlign w:val="center"/>
                  <w:hideMark/>
                </w:tcPr>
                <w:p w14:paraId="4AAAB3ED" w14:textId="77777777" w:rsidR="004215B7" w:rsidRPr="00E70587" w:rsidRDefault="004215B7" w:rsidP="00DA476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247 </w:t>
                  </w:r>
                </w:p>
              </w:tc>
              <w:tc>
                <w:tcPr>
                  <w:tcW w:w="992" w:type="dxa"/>
                  <w:tcBorders>
                    <w:top w:val="nil"/>
                    <w:left w:val="nil"/>
                    <w:bottom w:val="single" w:sz="4" w:space="0" w:color="auto"/>
                    <w:right w:val="single" w:sz="4" w:space="0" w:color="auto"/>
                  </w:tcBorders>
                  <w:shd w:val="clear" w:color="auto" w:fill="auto"/>
                  <w:noWrap/>
                  <w:vAlign w:val="center"/>
                  <w:hideMark/>
                </w:tcPr>
                <w:p w14:paraId="11C570EE" w14:textId="77777777" w:rsidR="004215B7" w:rsidRPr="00E70587" w:rsidRDefault="004215B7" w:rsidP="00DA476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42 </w:t>
                  </w:r>
                </w:p>
              </w:tc>
              <w:tc>
                <w:tcPr>
                  <w:tcW w:w="1134" w:type="dxa"/>
                  <w:tcBorders>
                    <w:top w:val="nil"/>
                    <w:left w:val="nil"/>
                    <w:bottom w:val="single" w:sz="4" w:space="0" w:color="auto"/>
                    <w:right w:val="double" w:sz="4" w:space="0" w:color="auto"/>
                  </w:tcBorders>
                  <w:shd w:val="clear" w:color="auto" w:fill="auto"/>
                  <w:noWrap/>
                  <w:vAlign w:val="center"/>
                  <w:hideMark/>
                </w:tcPr>
                <w:p w14:paraId="5E8A082A" w14:textId="77777777" w:rsidR="004215B7" w:rsidRPr="00E70587" w:rsidRDefault="004215B7" w:rsidP="00DA476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40 </w:t>
                  </w:r>
                </w:p>
              </w:tc>
              <w:tc>
                <w:tcPr>
                  <w:tcW w:w="851"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0682BD1" w14:textId="77777777" w:rsidR="004215B7" w:rsidRPr="00E70587" w:rsidRDefault="004215B7" w:rsidP="00DA476B">
                  <w:pPr>
                    <w:overflowPunct/>
                    <w:autoSpaceDE/>
                    <w:autoSpaceDN/>
                    <w:adjustRightInd/>
                    <w:spacing w:line="240" w:lineRule="auto"/>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 </w:t>
                  </w:r>
                </w:p>
              </w:tc>
              <w:tc>
                <w:tcPr>
                  <w:tcW w:w="1039" w:type="dxa"/>
                  <w:tcBorders>
                    <w:top w:val="double" w:sz="4" w:space="0" w:color="auto"/>
                    <w:left w:val="double" w:sz="4" w:space="0" w:color="auto"/>
                    <w:bottom w:val="double" w:sz="4" w:space="0" w:color="auto"/>
                    <w:right w:val="double" w:sz="4" w:space="0" w:color="auto"/>
                  </w:tcBorders>
                </w:tcPr>
                <w:p w14:paraId="0243B54F" w14:textId="77777777" w:rsidR="004215B7" w:rsidRDefault="004215B7" w:rsidP="004215B7">
                  <w:pPr>
                    <w:overflowPunct/>
                    <w:autoSpaceDE/>
                    <w:autoSpaceDN/>
                    <w:adjustRightInd/>
                    <w:spacing w:line="240" w:lineRule="auto"/>
                    <w:jc w:val="right"/>
                    <w:textAlignment w:val="auto"/>
                    <w:rPr>
                      <w:rFonts w:ascii="Arial" w:hAnsi="Arial" w:cs="Arial"/>
                      <w:color w:val="000000"/>
                      <w:sz w:val="20"/>
                      <w:lang w:eastAsia="en-IN"/>
                    </w:rPr>
                  </w:pPr>
                </w:p>
                <w:p w14:paraId="015CB79C" w14:textId="67537356" w:rsidR="004215B7" w:rsidRPr="00E70587" w:rsidRDefault="004215B7" w:rsidP="004215B7">
                  <w:pPr>
                    <w:overflowPunct/>
                    <w:autoSpaceDE/>
                    <w:autoSpaceDN/>
                    <w:adjustRightInd/>
                    <w:spacing w:line="240" w:lineRule="auto"/>
                    <w:jc w:val="center"/>
                    <w:textAlignment w:val="auto"/>
                    <w:rPr>
                      <w:rFonts w:ascii="Arial" w:hAnsi="Arial" w:cs="Arial"/>
                      <w:color w:val="000000"/>
                      <w:sz w:val="20"/>
                      <w:lang w:eastAsia="en-IN"/>
                    </w:rPr>
                  </w:pPr>
                  <w:r>
                    <w:rPr>
                      <w:rFonts w:ascii="Arial" w:hAnsi="Arial" w:cs="Arial"/>
                      <w:color w:val="000000"/>
                      <w:sz w:val="20"/>
                      <w:lang w:eastAsia="en-IN"/>
                    </w:rPr>
                    <w:t>2,785</w:t>
                  </w:r>
                </w:p>
              </w:tc>
              <w:tc>
                <w:tcPr>
                  <w:tcW w:w="90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765D4BA" w14:textId="56178538" w:rsidR="004215B7" w:rsidRPr="00E70587" w:rsidRDefault="004215B7" w:rsidP="00CA3642">
                  <w:pPr>
                    <w:overflowPunct/>
                    <w:autoSpaceDE/>
                    <w:autoSpaceDN/>
                    <w:adjustRightInd/>
                    <w:spacing w:line="240" w:lineRule="auto"/>
                    <w:jc w:val="right"/>
                    <w:textAlignment w:val="auto"/>
                    <w:rPr>
                      <w:rFonts w:ascii="Arial" w:hAnsi="Arial" w:cs="Arial"/>
                      <w:color w:val="000000"/>
                      <w:sz w:val="20"/>
                      <w:lang w:eastAsia="en-IN"/>
                    </w:rPr>
                  </w:pPr>
                  <w:r>
                    <w:rPr>
                      <w:rFonts w:ascii="Arial" w:hAnsi="Arial" w:cs="Arial"/>
                      <w:color w:val="000000"/>
                      <w:sz w:val="20"/>
                      <w:lang w:eastAsia="en-IN"/>
                    </w:rPr>
                    <w:t>41,02</w:t>
                  </w:r>
                  <w:r w:rsidR="009C5A8E">
                    <w:rPr>
                      <w:rFonts w:ascii="Arial" w:hAnsi="Arial" w:cs="Arial"/>
                      <w:color w:val="000000"/>
                      <w:sz w:val="20"/>
                      <w:lang w:eastAsia="en-IN"/>
                    </w:rPr>
                    <w:t>2</w:t>
                  </w:r>
                </w:p>
              </w:tc>
            </w:tr>
          </w:tbl>
          <w:p w14:paraId="1244783A" w14:textId="77777777" w:rsidR="000700DF" w:rsidRPr="00E70587" w:rsidRDefault="000700DF" w:rsidP="000700DF">
            <w:pPr>
              <w:rPr>
                <w:rFonts w:ascii="Arial" w:hAnsi="Arial"/>
              </w:rPr>
            </w:pPr>
          </w:p>
          <w:p w14:paraId="67C4FC65" w14:textId="77777777" w:rsidR="00C41E23" w:rsidRPr="00E70587" w:rsidRDefault="00C41E23" w:rsidP="00C41E23"/>
        </w:tc>
      </w:tr>
      <w:tr w:rsidR="0086091A" w:rsidRPr="00E70587" w14:paraId="02013350" w14:textId="77777777" w:rsidTr="00C41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9D95F05" w14:textId="77777777" w:rsidR="0086091A" w:rsidRPr="00E70587" w:rsidRDefault="0086091A" w:rsidP="00C41E23">
            <w:pPr>
              <w:spacing w:line="280" w:lineRule="exact"/>
              <w:jc w:val="both"/>
              <w:rPr>
                <w:rFonts w:ascii="Arial" w:hAnsi="Arial" w:cs="Arial"/>
                <w:b/>
                <w:i/>
                <w:sz w:val="20"/>
              </w:rPr>
            </w:pPr>
            <w:r w:rsidRPr="00E70587">
              <w:rPr>
                <w:rFonts w:ascii="Arial" w:hAnsi="Arial" w:cs="Arial"/>
                <w:b/>
                <w:i/>
                <w:sz w:val="20"/>
              </w:rPr>
              <w:t>Financial instruments and cash deposits</w:t>
            </w:r>
          </w:p>
          <w:p w14:paraId="731EE9ED" w14:textId="77777777" w:rsidR="00C41E23" w:rsidRPr="00E70587" w:rsidRDefault="00C41E23" w:rsidP="00C41E23">
            <w:pPr>
              <w:pStyle w:val="IAStext"/>
              <w:spacing w:line="280" w:lineRule="exact"/>
              <w:jc w:val="both"/>
              <w:rPr>
                <w:rFonts w:ascii="Arial" w:hAnsi="Arial" w:cs="Arial"/>
                <w:i w:val="0"/>
                <w:sz w:val="20"/>
                <w:lang w:val="en-IN"/>
              </w:rPr>
            </w:pPr>
          </w:p>
          <w:p w14:paraId="04012243" w14:textId="5F5EA2E3" w:rsidR="0086091A" w:rsidRPr="00E70587" w:rsidRDefault="0086091A" w:rsidP="00C41E23">
            <w:pPr>
              <w:pStyle w:val="IAStext"/>
              <w:spacing w:line="280" w:lineRule="exact"/>
              <w:jc w:val="both"/>
              <w:rPr>
                <w:rFonts w:ascii="Arial" w:hAnsi="Arial" w:cs="Arial"/>
                <w:i w:val="0"/>
                <w:sz w:val="20"/>
                <w:lang w:val="en-IN"/>
              </w:rPr>
            </w:pPr>
            <w:r w:rsidRPr="00E70587">
              <w:rPr>
                <w:rFonts w:ascii="Arial" w:hAnsi="Arial" w:cs="Arial"/>
                <w:i w:val="0"/>
                <w:sz w:val="20"/>
                <w:lang w:val="en-IN"/>
              </w:rPr>
              <w:t xml:space="preserve">Credit risk from balances with banks and financial institutions is managed by the Group’s treasury department in accordance with the Group’s policy. Investments of surplus funds are made only with approved counterparties and within credit limits assigned to each counterparty. Counterparty credit limits are reviewed by the Group’s Board of Directors on an annual </w:t>
            </w:r>
            <w:r w:rsidR="00BA68C9" w:rsidRPr="00E70587">
              <w:rPr>
                <w:rFonts w:ascii="Arial" w:hAnsi="Arial" w:cs="Arial"/>
                <w:i w:val="0"/>
                <w:sz w:val="20"/>
                <w:lang w:val="en-IN"/>
              </w:rPr>
              <w:t>basis and</w:t>
            </w:r>
            <w:r w:rsidRPr="00E70587">
              <w:rPr>
                <w:rFonts w:ascii="Arial" w:hAnsi="Arial" w:cs="Arial"/>
                <w:i w:val="0"/>
                <w:sz w:val="20"/>
                <w:lang w:val="en-IN"/>
              </w:rPr>
              <w:t xml:space="preserve"> may be updated throughout the year subject to approval of the Group’s Finance Committee. The limits are set to minimise the concentration of risks and therefore mitigate financial loss through counterparty’s pote</w:t>
            </w:r>
            <w:r w:rsidR="00C41E23" w:rsidRPr="00E70587">
              <w:rPr>
                <w:rFonts w:ascii="Arial" w:hAnsi="Arial" w:cs="Arial"/>
                <w:i w:val="0"/>
                <w:sz w:val="20"/>
                <w:lang w:val="en-IN"/>
              </w:rPr>
              <w:t>ntial failure to make payments.</w:t>
            </w:r>
          </w:p>
          <w:p w14:paraId="3A8C0CE0" w14:textId="77777777" w:rsidR="0086091A" w:rsidRPr="00E70587" w:rsidRDefault="0086091A" w:rsidP="00C41E23">
            <w:pPr>
              <w:pStyle w:val="IAStext"/>
              <w:spacing w:line="280" w:lineRule="exact"/>
              <w:jc w:val="both"/>
              <w:rPr>
                <w:rFonts w:ascii="Arial" w:hAnsi="Arial" w:cs="Arial"/>
                <w:i w:val="0"/>
                <w:sz w:val="20"/>
                <w:lang w:val="en-IN"/>
              </w:rPr>
            </w:pPr>
          </w:p>
          <w:p w14:paraId="29D6D17B" w14:textId="3B0DC3E9" w:rsidR="0086091A" w:rsidRPr="00E70587" w:rsidRDefault="0086091A" w:rsidP="00C41E23">
            <w:pPr>
              <w:pStyle w:val="IAStext"/>
              <w:spacing w:line="280" w:lineRule="exact"/>
              <w:jc w:val="both"/>
              <w:rPr>
                <w:rFonts w:ascii="Arial" w:hAnsi="Arial" w:cs="Arial"/>
                <w:i w:val="0"/>
                <w:sz w:val="20"/>
                <w:lang w:val="en-IN"/>
              </w:rPr>
            </w:pPr>
            <w:r w:rsidRPr="00E70587">
              <w:rPr>
                <w:rFonts w:ascii="Arial" w:hAnsi="Arial" w:cs="Arial"/>
                <w:i w:val="0"/>
                <w:sz w:val="20"/>
                <w:lang w:val="en-IN"/>
              </w:rPr>
              <w:t xml:space="preserve">The Group’s maximum exposure to credit risk for the components of the balance sheet at 31 </w:t>
            </w:r>
            <w:r w:rsidR="00E1202D" w:rsidRPr="00E70587">
              <w:rPr>
                <w:rFonts w:ascii="Arial" w:hAnsi="Arial" w:cs="Arial"/>
                <w:i w:val="0"/>
                <w:sz w:val="20"/>
                <w:lang w:val="en-IN"/>
              </w:rPr>
              <w:t xml:space="preserve">March </w:t>
            </w:r>
            <w:r w:rsidR="00BA68C9" w:rsidRPr="00E70587">
              <w:rPr>
                <w:rFonts w:ascii="Arial" w:hAnsi="Arial" w:cs="Arial"/>
                <w:i w:val="0"/>
                <w:sz w:val="20"/>
                <w:lang w:val="en-IN"/>
              </w:rPr>
              <w:t>20</w:t>
            </w:r>
            <w:r w:rsidR="00BA68C9">
              <w:rPr>
                <w:rFonts w:ascii="Arial" w:hAnsi="Arial" w:cs="Arial"/>
                <w:i w:val="0"/>
                <w:sz w:val="20"/>
                <w:lang w:val="en-IN"/>
              </w:rPr>
              <w:t>21</w:t>
            </w:r>
            <w:r w:rsidR="00BA68C9" w:rsidRPr="00E70587">
              <w:rPr>
                <w:rFonts w:ascii="Arial" w:hAnsi="Arial" w:cs="Arial"/>
                <w:i w:val="0"/>
                <w:sz w:val="20"/>
                <w:lang w:val="en-IN"/>
              </w:rPr>
              <w:t xml:space="preserve"> </w:t>
            </w:r>
            <w:r w:rsidRPr="00E70587">
              <w:rPr>
                <w:rFonts w:ascii="Arial" w:hAnsi="Arial" w:cs="Arial"/>
                <w:i w:val="0"/>
                <w:sz w:val="20"/>
                <w:lang w:val="en-IN"/>
              </w:rPr>
              <w:t xml:space="preserve">and 31 </w:t>
            </w:r>
            <w:r w:rsidR="008B730E" w:rsidRPr="00E70587">
              <w:rPr>
                <w:rFonts w:ascii="Arial" w:hAnsi="Arial" w:cs="Arial"/>
                <w:i w:val="0"/>
                <w:sz w:val="20"/>
                <w:lang w:val="en-IN"/>
              </w:rPr>
              <w:t xml:space="preserve">March </w:t>
            </w:r>
            <w:r w:rsidR="00BA68C9" w:rsidRPr="00E70587">
              <w:rPr>
                <w:rFonts w:ascii="Arial" w:hAnsi="Arial" w:cs="Arial"/>
                <w:i w:val="0"/>
                <w:sz w:val="20"/>
                <w:lang w:val="en-IN"/>
              </w:rPr>
              <w:t>20</w:t>
            </w:r>
            <w:r w:rsidR="00BA68C9">
              <w:rPr>
                <w:rFonts w:ascii="Arial" w:hAnsi="Arial" w:cs="Arial"/>
                <w:i w:val="0"/>
                <w:sz w:val="20"/>
                <w:lang w:val="en-IN"/>
              </w:rPr>
              <w:t>20</w:t>
            </w:r>
            <w:r w:rsidR="00BA68C9" w:rsidRPr="00E70587">
              <w:rPr>
                <w:rFonts w:ascii="Arial" w:hAnsi="Arial" w:cs="Arial"/>
                <w:i w:val="0"/>
                <w:sz w:val="20"/>
                <w:lang w:val="en-IN"/>
              </w:rPr>
              <w:t xml:space="preserve"> </w:t>
            </w:r>
            <w:r w:rsidRPr="00E70587">
              <w:rPr>
                <w:rFonts w:ascii="Arial" w:hAnsi="Arial" w:cs="Arial"/>
                <w:i w:val="0"/>
                <w:sz w:val="20"/>
                <w:lang w:val="en-IN"/>
              </w:rPr>
              <w:t xml:space="preserve">is the carrying amounts as illustrated in Note </w:t>
            </w:r>
            <w:r w:rsidR="000D1D6E" w:rsidRPr="00E70587">
              <w:rPr>
                <w:rFonts w:ascii="Arial" w:hAnsi="Arial" w:cs="Arial"/>
                <w:i w:val="0"/>
                <w:sz w:val="20"/>
                <w:lang w:val="en-IN"/>
              </w:rPr>
              <w:t xml:space="preserve">9 </w:t>
            </w:r>
            <w:r w:rsidRPr="00E70587">
              <w:rPr>
                <w:rFonts w:ascii="Arial" w:hAnsi="Arial" w:cs="Arial"/>
                <w:i w:val="0"/>
                <w:sz w:val="20"/>
                <w:lang w:val="en-IN"/>
              </w:rPr>
              <w:t xml:space="preserve">except for financial guarantees and derivative financial </w:t>
            </w:r>
            <w:r w:rsidRPr="00E70587">
              <w:rPr>
                <w:rFonts w:ascii="Arial" w:hAnsi="Arial" w:cs="Arial"/>
                <w:i w:val="0"/>
                <w:sz w:val="20"/>
                <w:lang w:val="en-IN"/>
              </w:rPr>
              <w:lastRenderedPageBreak/>
              <w:t>instruments. The Group’s maximum exposure relating to financial guarantees and financial derivative instruments is noted in</w:t>
            </w:r>
            <w:r w:rsidR="000D1D6E" w:rsidRPr="00E70587">
              <w:rPr>
                <w:rFonts w:ascii="Arial" w:hAnsi="Arial" w:cs="Arial"/>
                <w:i w:val="0"/>
                <w:sz w:val="20"/>
                <w:lang w:val="en-IN"/>
              </w:rPr>
              <w:t xml:space="preserve"> note </w:t>
            </w:r>
            <w:r w:rsidR="00B83F60" w:rsidRPr="00E70587">
              <w:rPr>
                <w:rFonts w:ascii="Arial" w:hAnsi="Arial" w:cs="Arial"/>
                <w:i w:val="0"/>
                <w:sz w:val="20"/>
                <w:lang w:val="en-IN"/>
              </w:rPr>
              <w:t>4</w:t>
            </w:r>
            <w:r w:rsidR="00B83F60">
              <w:rPr>
                <w:rFonts w:ascii="Arial" w:hAnsi="Arial" w:cs="Arial"/>
                <w:i w:val="0"/>
                <w:sz w:val="20"/>
                <w:lang w:val="en-IN"/>
              </w:rPr>
              <w:t>3</w:t>
            </w:r>
            <w:r w:rsidR="00B83F60" w:rsidRPr="00E70587">
              <w:rPr>
                <w:rFonts w:ascii="Arial" w:hAnsi="Arial" w:cs="Arial"/>
                <w:i w:val="0"/>
                <w:sz w:val="20"/>
                <w:lang w:val="en-IN"/>
              </w:rPr>
              <w:t xml:space="preserve"> </w:t>
            </w:r>
            <w:r w:rsidR="000D1D6E" w:rsidRPr="00E70587">
              <w:rPr>
                <w:rFonts w:ascii="Arial" w:hAnsi="Arial" w:cs="Arial"/>
                <w:i w:val="0"/>
                <w:sz w:val="20"/>
                <w:lang w:val="en-IN"/>
              </w:rPr>
              <w:t>and</w:t>
            </w:r>
            <w:r w:rsidRPr="00E70587">
              <w:rPr>
                <w:rFonts w:ascii="Arial" w:hAnsi="Arial" w:cs="Arial"/>
                <w:i w:val="0"/>
                <w:sz w:val="20"/>
                <w:lang w:val="en-IN"/>
              </w:rPr>
              <w:t xml:space="preserve"> the liquidity table below.</w:t>
            </w:r>
          </w:p>
          <w:p w14:paraId="312F28F0" w14:textId="77777777" w:rsidR="0086091A" w:rsidRPr="00E70587" w:rsidRDefault="0086091A" w:rsidP="00C41E23">
            <w:pPr>
              <w:pStyle w:val="IAStext"/>
              <w:spacing w:line="280" w:lineRule="exact"/>
              <w:jc w:val="both"/>
              <w:rPr>
                <w:rFonts w:ascii="Arial" w:hAnsi="Arial"/>
                <w:i w:val="0"/>
                <w:sz w:val="20"/>
                <w:lang w:val="en-IN"/>
              </w:rPr>
            </w:pPr>
          </w:p>
          <w:tbl>
            <w:tblPr>
              <w:tblW w:w="9606" w:type="dxa"/>
              <w:tblLook w:val="04A0" w:firstRow="1" w:lastRow="0" w:firstColumn="1" w:lastColumn="0" w:noHBand="0" w:noVBand="1"/>
            </w:tblPr>
            <w:tblGrid>
              <w:gridCol w:w="8262"/>
              <w:gridCol w:w="1344"/>
            </w:tblGrid>
            <w:tr w:rsidR="008F7571" w:rsidRPr="00E70587" w14:paraId="7D2E0373" w14:textId="77777777" w:rsidTr="00DA476B">
              <w:trPr>
                <w:trHeight w:val="306"/>
              </w:trPr>
              <w:tc>
                <w:tcPr>
                  <w:tcW w:w="9606" w:type="dxa"/>
                  <w:gridSpan w:val="2"/>
                  <w:tcBorders>
                    <w:top w:val="nil"/>
                    <w:left w:val="nil"/>
                    <w:bottom w:val="nil"/>
                    <w:right w:val="nil"/>
                  </w:tcBorders>
                  <w:shd w:val="clear" w:color="auto" w:fill="auto"/>
                  <w:vAlign w:val="center"/>
                  <w:hideMark/>
                </w:tcPr>
                <w:p w14:paraId="79423D13" w14:textId="77777777" w:rsidR="008F7571" w:rsidRPr="00E70587" w:rsidRDefault="008F7571" w:rsidP="008B6BC8">
                  <w:pPr>
                    <w:overflowPunct/>
                    <w:autoSpaceDE/>
                    <w:autoSpaceDN/>
                    <w:adjustRightInd/>
                    <w:spacing w:line="280" w:lineRule="exact"/>
                    <w:textAlignment w:val="auto"/>
                    <w:rPr>
                      <w:rFonts w:ascii="Arial" w:hAnsi="Arial" w:cs="Arial"/>
                      <w:b/>
                      <w:color w:val="000000"/>
                      <w:sz w:val="20"/>
                      <w:lang w:eastAsia="en-IN"/>
                    </w:rPr>
                  </w:pPr>
                  <w:r w:rsidRPr="00E70587">
                    <w:rPr>
                      <w:rFonts w:ascii="Arial" w:hAnsi="Arial" w:cs="Arial"/>
                      <w:b/>
                      <w:color w:val="000000"/>
                      <w:sz w:val="20"/>
                      <w:lang w:eastAsia="en-IN"/>
                    </w:rPr>
                    <w:t>Reconciliation of impairment allowance on investment in debt securities at fair value through OCI:</w:t>
                  </w:r>
                </w:p>
              </w:tc>
            </w:tr>
            <w:tr w:rsidR="008F7571" w:rsidRPr="00E70587" w14:paraId="63A04B89" w14:textId="77777777" w:rsidTr="00DA476B">
              <w:trPr>
                <w:trHeight w:val="288"/>
              </w:trPr>
              <w:tc>
                <w:tcPr>
                  <w:tcW w:w="8262" w:type="dxa"/>
                  <w:tcBorders>
                    <w:top w:val="nil"/>
                    <w:left w:val="nil"/>
                    <w:bottom w:val="nil"/>
                    <w:right w:val="nil"/>
                  </w:tcBorders>
                  <w:shd w:val="clear" w:color="auto" w:fill="auto"/>
                  <w:vAlign w:val="center"/>
                  <w:hideMark/>
                </w:tcPr>
                <w:p w14:paraId="6947553A" w14:textId="77777777" w:rsidR="008F7571" w:rsidRPr="00E70587" w:rsidRDefault="008F7571" w:rsidP="008B6BC8">
                  <w:pPr>
                    <w:overflowPunct/>
                    <w:autoSpaceDE/>
                    <w:autoSpaceDN/>
                    <w:adjustRightInd/>
                    <w:spacing w:line="280" w:lineRule="exact"/>
                    <w:textAlignment w:val="auto"/>
                    <w:rPr>
                      <w:rFonts w:ascii="Arial" w:hAnsi="Arial" w:cs="Arial"/>
                      <w:b/>
                      <w:color w:val="000000"/>
                      <w:sz w:val="20"/>
                      <w:lang w:eastAsia="en-IN"/>
                    </w:rPr>
                  </w:pPr>
                  <w:r w:rsidRPr="00E70587">
                    <w:rPr>
                      <w:rFonts w:ascii="Arial" w:hAnsi="Arial" w:cs="Arial"/>
                      <w:b/>
                      <w:color w:val="000000"/>
                      <w:sz w:val="20"/>
                      <w:lang w:eastAsia="en-IN"/>
                    </w:rPr>
                    <w:t>Impairment allowance measured as 12 months ECL</w:t>
                  </w:r>
                </w:p>
              </w:tc>
              <w:tc>
                <w:tcPr>
                  <w:tcW w:w="1344" w:type="dxa"/>
                  <w:tcBorders>
                    <w:top w:val="nil"/>
                    <w:left w:val="nil"/>
                    <w:bottom w:val="nil"/>
                    <w:right w:val="nil"/>
                  </w:tcBorders>
                  <w:shd w:val="clear" w:color="auto" w:fill="auto"/>
                  <w:vAlign w:val="center"/>
                  <w:hideMark/>
                </w:tcPr>
                <w:p w14:paraId="709D750C" w14:textId="77777777" w:rsidR="008F7571" w:rsidRPr="00E70587" w:rsidRDefault="008F7571" w:rsidP="008B6BC8">
                  <w:pPr>
                    <w:overflowPunct/>
                    <w:autoSpaceDE/>
                    <w:autoSpaceDN/>
                    <w:adjustRightInd/>
                    <w:spacing w:line="280" w:lineRule="exact"/>
                    <w:jc w:val="center"/>
                    <w:textAlignment w:val="auto"/>
                    <w:rPr>
                      <w:rFonts w:ascii="Arial" w:hAnsi="Arial" w:cs="Arial"/>
                      <w:b/>
                      <w:bCs/>
                      <w:color w:val="000000"/>
                      <w:sz w:val="20"/>
                      <w:lang w:eastAsia="en-IN"/>
                    </w:rPr>
                  </w:pPr>
                  <w:r w:rsidRPr="00E70587">
                    <w:rPr>
                      <w:rFonts w:ascii="Arial" w:hAnsi="Arial" w:cs="Arial"/>
                      <w:b/>
                      <w:bCs/>
                      <w:color w:val="000000"/>
                      <w:sz w:val="20"/>
                      <w:lang w:eastAsia="en-IN"/>
                    </w:rPr>
                    <w:t>INR lacs</w:t>
                  </w:r>
                </w:p>
              </w:tc>
            </w:tr>
            <w:tr w:rsidR="008F7571" w:rsidRPr="00E70587" w14:paraId="598AC9F0" w14:textId="77777777" w:rsidTr="00DA476B">
              <w:trPr>
                <w:trHeight w:val="288"/>
              </w:trPr>
              <w:tc>
                <w:tcPr>
                  <w:tcW w:w="8262" w:type="dxa"/>
                  <w:tcBorders>
                    <w:top w:val="nil"/>
                    <w:left w:val="nil"/>
                    <w:bottom w:val="nil"/>
                    <w:right w:val="nil"/>
                  </w:tcBorders>
                  <w:shd w:val="clear" w:color="auto" w:fill="auto"/>
                  <w:vAlign w:val="center"/>
                  <w:hideMark/>
                </w:tcPr>
                <w:p w14:paraId="177EC27B" w14:textId="1A219C76"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Impairm</w:t>
                  </w:r>
                  <w:r w:rsidR="008B6BC8" w:rsidRPr="00E70587">
                    <w:rPr>
                      <w:rFonts w:ascii="Arial" w:hAnsi="Arial" w:cs="Arial"/>
                      <w:bCs/>
                      <w:color w:val="000000"/>
                      <w:sz w:val="20"/>
                      <w:lang w:eastAsia="en-IN"/>
                    </w:rPr>
                    <w:t xml:space="preserve">ent allowance as on 1 April </w:t>
                  </w:r>
                  <w:r w:rsidR="00BA68C9" w:rsidRPr="00E70587">
                    <w:rPr>
                      <w:rFonts w:ascii="Arial" w:hAnsi="Arial" w:cs="Arial"/>
                      <w:bCs/>
                      <w:color w:val="000000"/>
                      <w:sz w:val="20"/>
                      <w:lang w:eastAsia="en-IN"/>
                    </w:rPr>
                    <w:t>201</w:t>
                  </w:r>
                  <w:r w:rsidR="00BA68C9">
                    <w:rPr>
                      <w:rFonts w:ascii="Arial" w:hAnsi="Arial" w:cs="Arial"/>
                      <w:bCs/>
                      <w:color w:val="000000"/>
                      <w:sz w:val="20"/>
                      <w:lang w:eastAsia="en-IN"/>
                    </w:rPr>
                    <w:t>9</w:t>
                  </w:r>
                </w:p>
              </w:tc>
              <w:tc>
                <w:tcPr>
                  <w:tcW w:w="1344" w:type="dxa"/>
                  <w:tcBorders>
                    <w:top w:val="nil"/>
                    <w:left w:val="nil"/>
                    <w:bottom w:val="nil"/>
                    <w:right w:val="nil"/>
                  </w:tcBorders>
                  <w:shd w:val="clear" w:color="auto" w:fill="auto"/>
                  <w:vAlign w:val="center"/>
                  <w:hideMark/>
                </w:tcPr>
                <w:p w14:paraId="74F797E3" w14:textId="77777777" w:rsidR="008F7571" w:rsidRPr="00E70587" w:rsidRDefault="008F7571" w:rsidP="008B6BC8">
                  <w:pPr>
                    <w:overflowPunct/>
                    <w:autoSpaceDE/>
                    <w:autoSpaceDN/>
                    <w:adjustRightInd/>
                    <w:spacing w:line="280" w:lineRule="exact"/>
                    <w:jc w:val="right"/>
                    <w:textAlignment w:val="auto"/>
                    <w:rPr>
                      <w:rFonts w:ascii="Arial" w:hAnsi="Arial" w:cs="Arial"/>
                      <w:color w:val="000000"/>
                      <w:sz w:val="20"/>
                      <w:lang w:eastAsia="en-IN"/>
                    </w:rPr>
                  </w:pPr>
                  <w:r w:rsidRPr="00E70587">
                    <w:rPr>
                      <w:rFonts w:ascii="Arial" w:hAnsi="Arial" w:cs="Arial"/>
                      <w:color w:val="000000"/>
                      <w:sz w:val="20"/>
                      <w:lang w:eastAsia="en-IN"/>
                    </w:rPr>
                    <w:t>-</w:t>
                  </w:r>
                </w:p>
              </w:tc>
            </w:tr>
            <w:tr w:rsidR="008F7571" w:rsidRPr="00E70587" w14:paraId="2465C108" w14:textId="77777777" w:rsidTr="00DA476B">
              <w:trPr>
                <w:trHeight w:val="288"/>
              </w:trPr>
              <w:tc>
                <w:tcPr>
                  <w:tcW w:w="8262" w:type="dxa"/>
                  <w:tcBorders>
                    <w:top w:val="nil"/>
                    <w:left w:val="nil"/>
                    <w:bottom w:val="nil"/>
                    <w:right w:val="nil"/>
                  </w:tcBorders>
                  <w:shd w:val="clear" w:color="auto" w:fill="auto"/>
                  <w:vAlign w:val="center"/>
                  <w:hideMark/>
                </w:tcPr>
                <w:p w14:paraId="3C71DA5F" w14:textId="77777777"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Movement in allowance due to</w:t>
                  </w:r>
                </w:p>
              </w:tc>
              <w:tc>
                <w:tcPr>
                  <w:tcW w:w="1344" w:type="dxa"/>
                  <w:tcBorders>
                    <w:top w:val="nil"/>
                    <w:left w:val="nil"/>
                    <w:bottom w:val="nil"/>
                    <w:right w:val="nil"/>
                  </w:tcBorders>
                  <w:shd w:val="clear" w:color="auto" w:fill="auto"/>
                  <w:vAlign w:val="center"/>
                  <w:hideMark/>
                </w:tcPr>
                <w:p w14:paraId="76D354B6" w14:textId="77777777" w:rsidR="008F7571" w:rsidRPr="00E70587" w:rsidRDefault="008F7571" w:rsidP="008B6BC8">
                  <w:pPr>
                    <w:overflowPunct/>
                    <w:autoSpaceDE/>
                    <w:autoSpaceDN/>
                    <w:adjustRightInd/>
                    <w:spacing w:line="280" w:lineRule="exact"/>
                    <w:textAlignment w:val="auto"/>
                    <w:rPr>
                      <w:rFonts w:ascii="Arial" w:hAnsi="Arial" w:cs="Arial"/>
                      <w:b/>
                      <w:bCs/>
                      <w:color w:val="000000"/>
                      <w:sz w:val="20"/>
                      <w:lang w:eastAsia="en-IN"/>
                    </w:rPr>
                  </w:pPr>
                </w:p>
              </w:tc>
            </w:tr>
            <w:tr w:rsidR="008F7571" w:rsidRPr="00E70587" w14:paraId="011FD01A" w14:textId="77777777" w:rsidTr="00DA476B">
              <w:trPr>
                <w:trHeight w:val="288"/>
              </w:trPr>
              <w:tc>
                <w:tcPr>
                  <w:tcW w:w="8262" w:type="dxa"/>
                  <w:tcBorders>
                    <w:top w:val="nil"/>
                    <w:left w:val="nil"/>
                    <w:bottom w:val="nil"/>
                    <w:right w:val="nil"/>
                  </w:tcBorders>
                  <w:shd w:val="clear" w:color="auto" w:fill="auto"/>
                  <w:vAlign w:val="center"/>
                  <w:hideMark/>
                </w:tcPr>
                <w:p w14:paraId="6EAB0D92" w14:textId="77777777"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 xml:space="preserve">Add/ (less): asset originated or purchased </w:t>
                  </w:r>
                </w:p>
              </w:tc>
              <w:tc>
                <w:tcPr>
                  <w:tcW w:w="1344" w:type="dxa"/>
                  <w:tcBorders>
                    <w:top w:val="nil"/>
                    <w:left w:val="nil"/>
                    <w:bottom w:val="nil"/>
                    <w:right w:val="nil"/>
                  </w:tcBorders>
                  <w:shd w:val="clear" w:color="auto" w:fill="auto"/>
                  <w:vAlign w:val="center"/>
                  <w:hideMark/>
                </w:tcPr>
                <w:p w14:paraId="333486B0" w14:textId="77777777" w:rsidR="008F7571" w:rsidRPr="00E70587" w:rsidRDefault="008F7571" w:rsidP="008B6BC8">
                  <w:pPr>
                    <w:overflowPunct/>
                    <w:autoSpaceDE/>
                    <w:autoSpaceDN/>
                    <w:adjustRightInd/>
                    <w:spacing w:line="280" w:lineRule="exact"/>
                    <w:jc w:val="right"/>
                    <w:textAlignment w:val="auto"/>
                    <w:rPr>
                      <w:rFonts w:ascii="Arial" w:hAnsi="Arial" w:cs="Arial"/>
                      <w:color w:val="000000"/>
                      <w:sz w:val="20"/>
                      <w:lang w:eastAsia="en-IN"/>
                    </w:rPr>
                  </w:pPr>
                  <w:r w:rsidRPr="00E70587">
                    <w:rPr>
                      <w:rFonts w:ascii="Arial" w:hAnsi="Arial" w:cs="Arial"/>
                      <w:color w:val="000000"/>
                      <w:sz w:val="20"/>
                      <w:lang w:eastAsia="en-IN"/>
                    </w:rPr>
                    <w:t>-</w:t>
                  </w:r>
                </w:p>
              </w:tc>
            </w:tr>
            <w:tr w:rsidR="008F7571" w:rsidRPr="00E70587" w14:paraId="13B245E1" w14:textId="77777777" w:rsidTr="00DA476B">
              <w:trPr>
                <w:trHeight w:val="288"/>
              </w:trPr>
              <w:tc>
                <w:tcPr>
                  <w:tcW w:w="8262" w:type="dxa"/>
                  <w:tcBorders>
                    <w:top w:val="nil"/>
                    <w:left w:val="nil"/>
                    <w:bottom w:val="nil"/>
                    <w:right w:val="nil"/>
                  </w:tcBorders>
                  <w:shd w:val="clear" w:color="auto" w:fill="auto"/>
                  <w:vAlign w:val="center"/>
                  <w:hideMark/>
                </w:tcPr>
                <w:p w14:paraId="3C7F37D5" w14:textId="77777777"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Add/ (less): modification of contractual cash flow that do not result in derecognition</w:t>
                  </w:r>
                </w:p>
              </w:tc>
              <w:tc>
                <w:tcPr>
                  <w:tcW w:w="1344" w:type="dxa"/>
                  <w:tcBorders>
                    <w:top w:val="nil"/>
                    <w:left w:val="nil"/>
                    <w:bottom w:val="nil"/>
                    <w:right w:val="nil"/>
                  </w:tcBorders>
                  <w:shd w:val="clear" w:color="auto" w:fill="auto"/>
                  <w:vAlign w:val="center"/>
                  <w:hideMark/>
                </w:tcPr>
                <w:p w14:paraId="778DBDAB" w14:textId="77777777" w:rsidR="008F7571" w:rsidRPr="00E70587" w:rsidRDefault="008F7571" w:rsidP="008B6BC8">
                  <w:pPr>
                    <w:overflowPunct/>
                    <w:autoSpaceDE/>
                    <w:autoSpaceDN/>
                    <w:adjustRightInd/>
                    <w:spacing w:line="280" w:lineRule="exact"/>
                    <w:jc w:val="right"/>
                    <w:textAlignment w:val="auto"/>
                    <w:rPr>
                      <w:rFonts w:ascii="Arial" w:hAnsi="Arial" w:cs="Arial"/>
                      <w:color w:val="000000"/>
                      <w:sz w:val="20"/>
                      <w:lang w:eastAsia="en-IN"/>
                    </w:rPr>
                  </w:pPr>
                  <w:r w:rsidRPr="00E70587">
                    <w:rPr>
                      <w:rFonts w:ascii="Arial" w:hAnsi="Arial" w:cs="Arial"/>
                      <w:color w:val="000000"/>
                      <w:sz w:val="20"/>
                      <w:lang w:eastAsia="en-IN"/>
                    </w:rPr>
                    <w:t>-</w:t>
                  </w:r>
                </w:p>
              </w:tc>
            </w:tr>
            <w:tr w:rsidR="008F7571" w:rsidRPr="00E70587" w14:paraId="2BEA82C9" w14:textId="77777777" w:rsidTr="00DA476B">
              <w:trPr>
                <w:trHeight w:val="288"/>
              </w:trPr>
              <w:tc>
                <w:tcPr>
                  <w:tcW w:w="8262" w:type="dxa"/>
                  <w:tcBorders>
                    <w:top w:val="nil"/>
                    <w:left w:val="nil"/>
                    <w:bottom w:val="nil"/>
                    <w:right w:val="nil"/>
                  </w:tcBorders>
                  <w:shd w:val="clear" w:color="auto" w:fill="auto"/>
                  <w:vAlign w:val="center"/>
                  <w:hideMark/>
                </w:tcPr>
                <w:p w14:paraId="392F8CD9" w14:textId="77777777"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Add/ (less): derecognition of financial asset</w:t>
                  </w:r>
                </w:p>
              </w:tc>
              <w:tc>
                <w:tcPr>
                  <w:tcW w:w="1344" w:type="dxa"/>
                  <w:tcBorders>
                    <w:top w:val="nil"/>
                    <w:left w:val="nil"/>
                    <w:bottom w:val="nil"/>
                    <w:right w:val="nil"/>
                  </w:tcBorders>
                  <w:shd w:val="clear" w:color="auto" w:fill="auto"/>
                  <w:vAlign w:val="center"/>
                  <w:hideMark/>
                </w:tcPr>
                <w:p w14:paraId="703B3EF0" w14:textId="77777777" w:rsidR="008F7571" w:rsidRPr="00E70587" w:rsidRDefault="008F7571" w:rsidP="008B6BC8">
                  <w:pPr>
                    <w:overflowPunct/>
                    <w:autoSpaceDE/>
                    <w:autoSpaceDN/>
                    <w:adjustRightInd/>
                    <w:spacing w:line="280" w:lineRule="exact"/>
                    <w:jc w:val="right"/>
                    <w:textAlignment w:val="auto"/>
                    <w:rPr>
                      <w:rFonts w:ascii="Arial" w:hAnsi="Arial" w:cs="Arial"/>
                      <w:color w:val="000000"/>
                      <w:sz w:val="20"/>
                      <w:lang w:eastAsia="en-IN"/>
                    </w:rPr>
                  </w:pPr>
                  <w:r w:rsidRPr="00E70587">
                    <w:rPr>
                      <w:rFonts w:ascii="Arial" w:hAnsi="Arial" w:cs="Arial"/>
                      <w:color w:val="000000"/>
                      <w:sz w:val="20"/>
                      <w:lang w:eastAsia="en-IN"/>
                    </w:rPr>
                    <w:t>-</w:t>
                  </w:r>
                </w:p>
              </w:tc>
            </w:tr>
            <w:tr w:rsidR="008F7571" w:rsidRPr="00E70587" w14:paraId="48E0C70B" w14:textId="77777777" w:rsidTr="00DA476B">
              <w:trPr>
                <w:trHeight w:val="288"/>
              </w:trPr>
              <w:tc>
                <w:tcPr>
                  <w:tcW w:w="8262" w:type="dxa"/>
                  <w:tcBorders>
                    <w:top w:val="nil"/>
                    <w:left w:val="nil"/>
                    <w:bottom w:val="nil"/>
                    <w:right w:val="nil"/>
                  </w:tcBorders>
                  <w:shd w:val="clear" w:color="auto" w:fill="auto"/>
                  <w:vAlign w:val="center"/>
                  <w:hideMark/>
                </w:tcPr>
                <w:p w14:paraId="5EA82DC3" w14:textId="77777777"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Add/ (less): write-offs</w:t>
                  </w:r>
                </w:p>
              </w:tc>
              <w:tc>
                <w:tcPr>
                  <w:tcW w:w="1344" w:type="dxa"/>
                  <w:tcBorders>
                    <w:top w:val="nil"/>
                    <w:left w:val="nil"/>
                    <w:bottom w:val="nil"/>
                    <w:right w:val="nil"/>
                  </w:tcBorders>
                  <w:shd w:val="clear" w:color="auto" w:fill="auto"/>
                  <w:vAlign w:val="center"/>
                  <w:hideMark/>
                </w:tcPr>
                <w:p w14:paraId="74F07C63" w14:textId="77777777" w:rsidR="008F7571" w:rsidRPr="00E70587" w:rsidRDefault="008F7571" w:rsidP="008B6BC8">
                  <w:pPr>
                    <w:overflowPunct/>
                    <w:autoSpaceDE/>
                    <w:autoSpaceDN/>
                    <w:adjustRightInd/>
                    <w:spacing w:line="280" w:lineRule="exact"/>
                    <w:jc w:val="right"/>
                    <w:textAlignment w:val="auto"/>
                    <w:rPr>
                      <w:rFonts w:ascii="Arial" w:hAnsi="Arial" w:cs="Arial"/>
                      <w:color w:val="000000"/>
                      <w:sz w:val="20"/>
                      <w:lang w:eastAsia="en-IN"/>
                    </w:rPr>
                  </w:pPr>
                  <w:r w:rsidRPr="00E70587">
                    <w:rPr>
                      <w:rFonts w:ascii="Arial" w:hAnsi="Arial" w:cs="Arial"/>
                      <w:color w:val="000000"/>
                      <w:sz w:val="20"/>
                      <w:lang w:eastAsia="en-IN"/>
                    </w:rPr>
                    <w:t>-</w:t>
                  </w:r>
                </w:p>
              </w:tc>
            </w:tr>
            <w:tr w:rsidR="008F7571" w:rsidRPr="00E70587" w14:paraId="25113EEE" w14:textId="77777777" w:rsidTr="00DA476B">
              <w:trPr>
                <w:trHeight w:val="288"/>
              </w:trPr>
              <w:tc>
                <w:tcPr>
                  <w:tcW w:w="8262" w:type="dxa"/>
                  <w:tcBorders>
                    <w:top w:val="nil"/>
                    <w:left w:val="nil"/>
                    <w:bottom w:val="nil"/>
                    <w:right w:val="nil"/>
                  </w:tcBorders>
                  <w:shd w:val="clear" w:color="auto" w:fill="auto"/>
                  <w:vAlign w:val="center"/>
                  <w:hideMark/>
                </w:tcPr>
                <w:p w14:paraId="7240CC2E" w14:textId="77777777"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Add/ (less): changes in measurement of loss allowance at an amount equal to 12-month or lifetime ECL</w:t>
                  </w:r>
                </w:p>
              </w:tc>
              <w:tc>
                <w:tcPr>
                  <w:tcW w:w="1344" w:type="dxa"/>
                  <w:tcBorders>
                    <w:top w:val="nil"/>
                    <w:left w:val="nil"/>
                    <w:bottom w:val="nil"/>
                    <w:right w:val="nil"/>
                  </w:tcBorders>
                  <w:shd w:val="clear" w:color="auto" w:fill="auto"/>
                  <w:vAlign w:val="center"/>
                  <w:hideMark/>
                </w:tcPr>
                <w:p w14:paraId="3AE60316" w14:textId="77777777" w:rsidR="008F7571" w:rsidRPr="00E70587" w:rsidRDefault="008F7571" w:rsidP="008B6BC8">
                  <w:pPr>
                    <w:overflowPunct/>
                    <w:autoSpaceDE/>
                    <w:autoSpaceDN/>
                    <w:adjustRightInd/>
                    <w:spacing w:line="280" w:lineRule="exact"/>
                    <w:jc w:val="right"/>
                    <w:textAlignment w:val="auto"/>
                    <w:rPr>
                      <w:rFonts w:ascii="Arial" w:hAnsi="Arial" w:cs="Arial"/>
                      <w:color w:val="000000"/>
                      <w:sz w:val="20"/>
                      <w:lang w:eastAsia="en-IN"/>
                    </w:rPr>
                  </w:pPr>
                  <w:r w:rsidRPr="00E70587">
                    <w:rPr>
                      <w:rFonts w:ascii="Arial" w:hAnsi="Arial" w:cs="Arial"/>
                      <w:color w:val="000000"/>
                      <w:sz w:val="20"/>
                      <w:lang w:eastAsia="en-IN"/>
                    </w:rPr>
                    <w:t>-</w:t>
                  </w:r>
                </w:p>
              </w:tc>
            </w:tr>
            <w:tr w:rsidR="008F7571" w:rsidRPr="00E70587" w14:paraId="02F19971" w14:textId="77777777" w:rsidTr="00DA476B">
              <w:trPr>
                <w:trHeight w:val="288"/>
              </w:trPr>
              <w:tc>
                <w:tcPr>
                  <w:tcW w:w="8262" w:type="dxa"/>
                  <w:tcBorders>
                    <w:top w:val="nil"/>
                    <w:left w:val="nil"/>
                    <w:bottom w:val="nil"/>
                    <w:right w:val="nil"/>
                  </w:tcBorders>
                  <w:shd w:val="clear" w:color="auto" w:fill="auto"/>
                  <w:vAlign w:val="center"/>
                  <w:hideMark/>
                </w:tcPr>
                <w:p w14:paraId="21A8056F" w14:textId="167C140A"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Impairm</w:t>
                  </w:r>
                  <w:r w:rsidR="008B6BC8" w:rsidRPr="00E70587">
                    <w:rPr>
                      <w:rFonts w:ascii="Arial" w:hAnsi="Arial" w:cs="Arial"/>
                      <w:bCs/>
                      <w:color w:val="000000"/>
                      <w:sz w:val="20"/>
                      <w:lang w:eastAsia="en-IN"/>
                    </w:rPr>
                    <w:t xml:space="preserve">ent allowance as on 1 April </w:t>
                  </w:r>
                  <w:r w:rsidR="00BA68C9" w:rsidRPr="00E70587">
                    <w:rPr>
                      <w:rFonts w:ascii="Arial" w:hAnsi="Arial" w:cs="Arial"/>
                      <w:bCs/>
                      <w:color w:val="000000"/>
                      <w:sz w:val="20"/>
                      <w:lang w:eastAsia="en-IN"/>
                    </w:rPr>
                    <w:t>20</w:t>
                  </w:r>
                  <w:r w:rsidR="00BA68C9">
                    <w:rPr>
                      <w:rFonts w:ascii="Arial" w:hAnsi="Arial" w:cs="Arial"/>
                      <w:bCs/>
                      <w:color w:val="000000"/>
                      <w:sz w:val="20"/>
                      <w:lang w:eastAsia="en-IN"/>
                    </w:rPr>
                    <w:t>20</w:t>
                  </w:r>
                </w:p>
              </w:tc>
              <w:tc>
                <w:tcPr>
                  <w:tcW w:w="1344" w:type="dxa"/>
                  <w:tcBorders>
                    <w:top w:val="nil"/>
                    <w:left w:val="nil"/>
                    <w:bottom w:val="nil"/>
                    <w:right w:val="nil"/>
                  </w:tcBorders>
                  <w:shd w:val="clear" w:color="auto" w:fill="auto"/>
                  <w:vAlign w:val="center"/>
                  <w:hideMark/>
                </w:tcPr>
                <w:p w14:paraId="45E5260D" w14:textId="77777777" w:rsidR="008F7571" w:rsidRPr="00E70587" w:rsidRDefault="008F7571" w:rsidP="008B6BC8">
                  <w:pPr>
                    <w:overflowPunct/>
                    <w:autoSpaceDE/>
                    <w:autoSpaceDN/>
                    <w:adjustRightInd/>
                    <w:spacing w:line="280" w:lineRule="exact"/>
                    <w:jc w:val="right"/>
                    <w:textAlignment w:val="auto"/>
                    <w:rPr>
                      <w:rFonts w:ascii="Arial" w:hAnsi="Arial" w:cs="Arial"/>
                      <w:color w:val="000000"/>
                      <w:sz w:val="20"/>
                      <w:lang w:eastAsia="en-IN"/>
                    </w:rPr>
                  </w:pPr>
                  <w:r w:rsidRPr="00E70587">
                    <w:rPr>
                      <w:rFonts w:ascii="Arial" w:hAnsi="Arial" w:cs="Arial"/>
                      <w:color w:val="000000"/>
                      <w:sz w:val="20"/>
                      <w:lang w:eastAsia="en-IN"/>
                    </w:rPr>
                    <w:t>-</w:t>
                  </w:r>
                </w:p>
              </w:tc>
            </w:tr>
            <w:tr w:rsidR="008F7571" w:rsidRPr="00E70587" w14:paraId="18DD245E" w14:textId="77777777" w:rsidTr="00DA476B">
              <w:trPr>
                <w:trHeight w:val="288"/>
              </w:trPr>
              <w:tc>
                <w:tcPr>
                  <w:tcW w:w="8262" w:type="dxa"/>
                  <w:tcBorders>
                    <w:top w:val="nil"/>
                    <w:left w:val="nil"/>
                    <w:bottom w:val="nil"/>
                    <w:right w:val="nil"/>
                  </w:tcBorders>
                  <w:shd w:val="clear" w:color="auto" w:fill="auto"/>
                  <w:vAlign w:val="center"/>
                  <w:hideMark/>
                </w:tcPr>
                <w:p w14:paraId="099839EE" w14:textId="77777777"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 xml:space="preserve"> Add/ (less): asset originated or purchased</w:t>
                  </w:r>
                </w:p>
              </w:tc>
              <w:tc>
                <w:tcPr>
                  <w:tcW w:w="1344" w:type="dxa"/>
                  <w:tcBorders>
                    <w:top w:val="nil"/>
                    <w:left w:val="nil"/>
                    <w:bottom w:val="nil"/>
                    <w:right w:val="nil"/>
                  </w:tcBorders>
                  <w:shd w:val="clear" w:color="auto" w:fill="auto"/>
                  <w:vAlign w:val="center"/>
                  <w:hideMark/>
                </w:tcPr>
                <w:p w14:paraId="2FF30394" w14:textId="77777777" w:rsidR="008F7571" w:rsidRPr="00E70587" w:rsidRDefault="008F7571" w:rsidP="008B6BC8">
                  <w:pPr>
                    <w:overflowPunct/>
                    <w:autoSpaceDE/>
                    <w:autoSpaceDN/>
                    <w:adjustRightInd/>
                    <w:spacing w:line="280" w:lineRule="exact"/>
                    <w:jc w:val="right"/>
                    <w:textAlignment w:val="auto"/>
                    <w:rPr>
                      <w:rFonts w:ascii="Arial" w:hAnsi="Arial" w:cs="Arial"/>
                      <w:color w:val="000000"/>
                      <w:sz w:val="20"/>
                      <w:lang w:eastAsia="en-IN"/>
                    </w:rPr>
                  </w:pPr>
                  <w:r w:rsidRPr="00E70587">
                    <w:rPr>
                      <w:rFonts w:ascii="Arial" w:hAnsi="Arial" w:cs="Arial"/>
                      <w:color w:val="000000"/>
                      <w:sz w:val="20"/>
                      <w:lang w:eastAsia="en-IN"/>
                    </w:rPr>
                    <w:t>-</w:t>
                  </w:r>
                </w:p>
              </w:tc>
            </w:tr>
            <w:tr w:rsidR="008F7571" w:rsidRPr="00E70587" w14:paraId="4B7C4F90" w14:textId="77777777" w:rsidTr="00DA476B">
              <w:trPr>
                <w:trHeight w:val="288"/>
              </w:trPr>
              <w:tc>
                <w:tcPr>
                  <w:tcW w:w="8262" w:type="dxa"/>
                  <w:tcBorders>
                    <w:top w:val="nil"/>
                    <w:left w:val="nil"/>
                    <w:bottom w:val="nil"/>
                    <w:right w:val="nil"/>
                  </w:tcBorders>
                  <w:shd w:val="clear" w:color="auto" w:fill="auto"/>
                  <w:vAlign w:val="center"/>
                  <w:hideMark/>
                </w:tcPr>
                <w:p w14:paraId="76C8EC0B" w14:textId="77777777"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Add/ (less): modification of contractual cash flow that do not result in derecognition</w:t>
                  </w:r>
                </w:p>
              </w:tc>
              <w:tc>
                <w:tcPr>
                  <w:tcW w:w="1344" w:type="dxa"/>
                  <w:tcBorders>
                    <w:top w:val="nil"/>
                    <w:left w:val="nil"/>
                    <w:bottom w:val="nil"/>
                    <w:right w:val="nil"/>
                  </w:tcBorders>
                  <w:shd w:val="clear" w:color="auto" w:fill="auto"/>
                  <w:vAlign w:val="center"/>
                  <w:hideMark/>
                </w:tcPr>
                <w:p w14:paraId="15146BE8" w14:textId="77777777" w:rsidR="008F7571" w:rsidRPr="00E70587" w:rsidRDefault="008F7571" w:rsidP="008B6BC8">
                  <w:pPr>
                    <w:overflowPunct/>
                    <w:autoSpaceDE/>
                    <w:autoSpaceDN/>
                    <w:adjustRightInd/>
                    <w:spacing w:line="280" w:lineRule="exact"/>
                    <w:jc w:val="right"/>
                    <w:textAlignment w:val="auto"/>
                    <w:rPr>
                      <w:rFonts w:ascii="Arial" w:hAnsi="Arial" w:cs="Arial"/>
                      <w:color w:val="000000"/>
                      <w:sz w:val="20"/>
                      <w:lang w:eastAsia="en-IN"/>
                    </w:rPr>
                  </w:pPr>
                  <w:r w:rsidRPr="00E70587">
                    <w:rPr>
                      <w:rFonts w:ascii="Arial" w:hAnsi="Arial" w:cs="Arial"/>
                      <w:color w:val="000000"/>
                      <w:sz w:val="20"/>
                      <w:lang w:eastAsia="en-IN"/>
                    </w:rPr>
                    <w:t>-</w:t>
                  </w:r>
                </w:p>
              </w:tc>
            </w:tr>
            <w:tr w:rsidR="008F7571" w:rsidRPr="00E70587" w14:paraId="50AA69FF" w14:textId="77777777" w:rsidTr="00DA476B">
              <w:trPr>
                <w:trHeight w:val="288"/>
              </w:trPr>
              <w:tc>
                <w:tcPr>
                  <w:tcW w:w="8262" w:type="dxa"/>
                  <w:tcBorders>
                    <w:top w:val="nil"/>
                    <w:left w:val="nil"/>
                    <w:bottom w:val="nil"/>
                    <w:right w:val="nil"/>
                  </w:tcBorders>
                  <w:shd w:val="clear" w:color="auto" w:fill="auto"/>
                  <w:vAlign w:val="center"/>
                  <w:hideMark/>
                </w:tcPr>
                <w:p w14:paraId="7B052E8F" w14:textId="77777777"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Add/ (less): derecognition of financial asset</w:t>
                  </w:r>
                </w:p>
              </w:tc>
              <w:tc>
                <w:tcPr>
                  <w:tcW w:w="1344" w:type="dxa"/>
                  <w:tcBorders>
                    <w:top w:val="nil"/>
                    <w:left w:val="nil"/>
                    <w:bottom w:val="nil"/>
                    <w:right w:val="nil"/>
                  </w:tcBorders>
                  <w:shd w:val="clear" w:color="auto" w:fill="auto"/>
                  <w:vAlign w:val="center"/>
                  <w:hideMark/>
                </w:tcPr>
                <w:p w14:paraId="10D82FB2" w14:textId="77777777" w:rsidR="008F7571" w:rsidRPr="00E70587" w:rsidRDefault="008F7571" w:rsidP="008B6BC8">
                  <w:pPr>
                    <w:overflowPunct/>
                    <w:autoSpaceDE/>
                    <w:autoSpaceDN/>
                    <w:adjustRightInd/>
                    <w:spacing w:line="280" w:lineRule="exact"/>
                    <w:jc w:val="right"/>
                    <w:textAlignment w:val="auto"/>
                    <w:rPr>
                      <w:rFonts w:ascii="Arial" w:hAnsi="Arial" w:cs="Arial"/>
                      <w:color w:val="000000"/>
                      <w:sz w:val="20"/>
                      <w:lang w:eastAsia="en-IN"/>
                    </w:rPr>
                  </w:pPr>
                  <w:r w:rsidRPr="00E70587">
                    <w:rPr>
                      <w:rFonts w:ascii="Arial" w:hAnsi="Arial" w:cs="Arial"/>
                      <w:color w:val="000000"/>
                      <w:sz w:val="20"/>
                      <w:lang w:eastAsia="en-IN"/>
                    </w:rPr>
                    <w:t>-</w:t>
                  </w:r>
                </w:p>
              </w:tc>
            </w:tr>
            <w:tr w:rsidR="008F7571" w:rsidRPr="00E70587" w14:paraId="17C36292" w14:textId="77777777" w:rsidTr="00DA476B">
              <w:trPr>
                <w:trHeight w:val="288"/>
              </w:trPr>
              <w:tc>
                <w:tcPr>
                  <w:tcW w:w="8262" w:type="dxa"/>
                  <w:tcBorders>
                    <w:top w:val="nil"/>
                    <w:left w:val="nil"/>
                    <w:bottom w:val="nil"/>
                    <w:right w:val="nil"/>
                  </w:tcBorders>
                  <w:shd w:val="clear" w:color="auto" w:fill="auto"/>
                  <w:vAlign w:val="center"/>
                  <w:hideMark/>
                </w:tcPr>
                <w:p w14:paraId="34B14D87" w14:textId="77777777"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Add/ (less): write-offs</w:t>
                  </w:r>
                </w:p>
              </w:tc>
              <w:tc>
                <w:tcPr>
                  <w:tcW w:w="1344" w:type="dxa"/>
                  <w:tcBorders>
                    <w:top w:val="nil"/>
                    <w:left w:val="nil"/>
                    <w:bottom w:val="nil"/>
                    <w:right w:val="nil"/>
                  </w:tcBorders>
                  <w:shd w:val="clear" w:color="auto" w:fill="auto"/>
                  <w:vAlign w:val="center"/>
                  <w:hideMark/>
                </w:tcPr>
                <w:p w14:paraId="10F8117B" w14:textId="77777777" w:rsidR="008F7571" w:rsidRPr="00E70587" w:rsidRDefault="008F7571" w:rsidP="008B6BC8">
                  <w:pPr>
                    <w:overflowPunct/>
                    <w:autoSpaceDE/>
                    <w:autoSpaceDN/>
                    <w:adjustRightInd/>
                    <w:spacing w:line="280" w:lineRule="exact"/>
                    <w:jc w:val="right"/>
                    <w:textAlignment w:val="auto"/>
                    <w:rPr>
                      <w:rFonts w:ascii="Arial" w:hAnsi="Arial" w:cs="Arial"/>
                      <w:color w:val="000000"/>
                      <w:sz w:val="20"/>
                      <w:lang w:eastAsia="en-IN"/>
                    </w:rPr>
                  </w:pPr>
                  <w:r w:rsidRPr="00E70587">
                    <w:rPr>
                      <w:rFonts w:ascii="Arial" w:hAnsi="Arial" w:cs="Arial"/>
                      <w:color w:val="000000"/>
                      <w:sz w:val="20"/>
                      <w:lang w:eastAsia="en-IN"/>
                    </w:rPr>
                    <w:t>10</w:t>
                  </w:r>
                </w:p>
              </w:tc>
            </w:tr>
            <w:tr w:rsidR="008F7571" w:rsidRPr="00E70587" w14:paraId="63D5F3EA" w14:textId="77777777" w:rsidTr="00DA476B">
              <w:trPr>
                <w:trHeight w:val="288"/>
              </w:trPr>
              <w:tc>
                <w:tcPr>
                  <w:tcW w:w="8262" w:type="dxa"/>
                  <w:tcBorders>
                    <w:top w:val="nil"/>
                    <w:left w:val="nil"/>
                    <w:bottom w:val="nil"/>
                    <w:right w:val="nil"/>
                  </w:tcBorders>
                  <w:shd w:val="clear" w:color="auto" w:fill="auto"/>
                  <w:vAlign w:val="center"/>
                  <w:hideMark/>
                </w:tcPr>
                <w:p w14:paraId="3DA92812" w14:textId="77777777"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Add/ (less): changes in measurement of loss allowance at an amount equal to 12-month or lifetime ECL</w:t>
                  </w:r>
                </w:p>
              </w:tc>
              <w:tc>
                <w:tcPr>
                  <w:tcW w:w="1344" w:type="dxa"/>
                  <w:tcBorders>
                    <w:top w:val="nil"/>
                    <w:left w:val="nil"/>
                    <w:bottom w:val="nil"/>
                    <w:right w:val="nil"/>
                  </w:tcBorders>
                  <w:shd w:val="clear" w:color="auto" w:fill="auto"/>
                  <w:vAlign w:val="center"/>
                  <w:hideMark/>
                </w:tcPr>
                <w:p w14:paraId="1D731AC0" w14:textId="77777777" w:rsidR="008F7571" w:rsidRPr="00E70587" w:rsidRDefault="008F7571" w:rsidP="008B6BC8">
                  <w:pPr>
                    <w:overflowPunct/>
                    <w:autoSpaceDE/>
                    <w:autoSpaceDN/>
                    <w:adjustRightInd/>
                    <w:spacing w:line="280" w:lineRule="exact"/>
                    <w:jc w:val="right"/>
                    <w:textAlignment w:val="auto"/>
                    <w:rPr>
                      <w:rFonts w:ascii="Arial" w:hAnsi="Arial" w:cs="Arial"/>
                      <w:color w:val="000000"/>
                      <w:sz w:val="20"/>
                      <w:lang w:eastAsia="en-IN"/>
                    </w:rPr>
                  </w:pPr>
                  <w:r w:rsidRPr="00E70587">
                    <w:rPr>
                      <w:rFonts w:ascii="Arial" w:hAnsi="Arial" w:cs="Arial"/>
                      <w:color w:val="000000"/>
                      <w:sz w:val="20"/>
                      <w:lang w:eastAsia="en-IN"/>
                    </w:rPr>
                    <w:t>-</w:t>
                  </w:r>
                </w:p>
              </w:tc>
            </w:tr>
            <w:tr w:rsidR="008F7571" w:rsidRPr="00E70587" w14:paraId="00827B42" w14:textId="77777777" w:rsidTr="00DA476B">
              <w:trPr>
                <w:trHeight w:val="288"/>
              </w:trPr>
              <w:tc>
                <w:tcPr>
                  <w:tcW w:w="8262" w:type="dxa"/>
                  <w:tcBorders>
                    <w:top w:val="nil"/>
                    <w:left w:val="nil"/>
                    <w:bottom w:val="nil"/>
                    <w:right w:val="nil"/>
                  </w:tcBorders>
                  <w:shd w:val="clear" w:color="auto" w:fill="auto"/>
                  <w:vAlign w:val="center"/>
                  <w:hideMark/>
                </w:tcPr>
                <w:p w14:paraId="21FB52BE" w14:textId="77777777" w:rsidR="008F7571" w:rsidRPr="00E70587" w:rsidRDefault="008F7571" w:rsidP="008B6BC8">
                  <w:pPr>
                    <w:overflowPunct/>
                    <w:autoSpaceDE/>
                    <w:autoSpaceDN/>
                    <w:adjustRightInd/>
                    <w:spacing w:line="280" w:lineRule="exact"/>
                    <w:textAlignment w:val="auto"/>
                    <w:rPr>
                      <w:rFonts w:ascii="Arial" w:hAnsi="Arial" w:cs="Arial"/>
                      <w:color w:val="000000"/>
                      <w:sz w:val="20"/>
                      <w:lang w:eastAsia="en-IN"/>
                    </w:rPr>
                  </w:pPr>
                  <w:r w:rsidRPr="00E70587">
                    <w:rPr>
                      <w:rFonts w:ascii="Arial" w:hAnsi="Arial" w:cs="Arial"/>
                      <w:color w:val="000000"/>
                      <w:sz w:val="20"/>
                      <w:lang w:eastAsia="en-IN"/>
                    </w:rPr>
                    <w:t>Change due to write off</w:t>
                  </w:r>
                </w:p>
              </w:tc>
              <w:tc>
                <w:tcPr>
                  <w:tcW w:w="1344" w:type="dxa"/>
                  <w:tcBorders>
                    <w:top w:val="nil"/>
                    <w:left w:val="nil"/>
                    <w:bottom w:val="single" w:sz="8" w:space="0" w:color="auto"/>
                    <w:right w:val="nil"/>
                  </w:tcBorders>
                  <w:shd w:val="clear" w:color="auto" w:fill="auto"/>
                  <w:vAlign w:val="center"/>
                  <w:hideMark/>
                </w:tcPr>
                <w:p w14:paraId="41A20ABB" w14:textId="77777777" w:rsidR="008F7571" w:rsidRPr="00E70587" w:rsidRDefault="008F7571" w:rsidP="008B6BC8">
                  <w:pPr>
                    <w:overflowPunct/>
                    <w:autoSpaceDE/>
                    <w:autoSpaceDN/>
                    <w:adjustRightInd/>
                    <w:spacing w:line="280" w:lineRule="exact"/>
                    <w:jc w:val="right"/>
                    <w:textAlignment w:val="auto"/>
                    <w:rPr>
                      <w:rFonts w:ascii="Arial" w:hAnsi="Arial" w:cs="Arial"/>
                      <w:color w:val="000000"/>
                      <w:sz w:val="20"/>
                      <w:lang w:eastAsia="en-IN"/>
                    </w:rPr>
                  </w:pPr>
                  <w:r w:rsidRPr="00E70587">
                    <w:rPr>
                      <w:rFonts w:ascii="Arial" w:hAnsi="Arial" w:cs="Arial"/>
                      <w:color w:val="000000"/>
                      <w:sz w:val="20"/>
                      <w:lang w:eastAsia="en-IN"/>
                    </w:rPr>
                    <w:t> </w:t>
                  </w:r>
                </w:p>
              </w:tc>
            </w:tr>
            <w:tr w:rsidR="008F7571" w:rsidRPr="00E70587" w14:paraId="6D5F3E53" w14:textId="77777777" w:rsidTr="00DA476B">
              <w:trPr>
                <w:trHeight w:val="288"/>
              </w:trPr>
              <w:tc>
                <w:tcPr>
                  <w:tcW w:w="8262" w:type="dxa"/>
                  <w:tcBorders>
                    <w:top w:val="nil"/>
                    <w:left w:val="nil"/>
                    <w:bottom w:val="nil"/>
                    <w:right w:val="nil"/>
                  </w:tcBorders>
                  <w:shd w:val="clear" w:color="auto" w:fill="auto"/>
                  <w:vAlign w:val="center"/>
                  <w:hideMark/>
                </w:tcPr>
                <w:p w14:paraId="28BF45DB" w14:textId="31198DD0"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Impairme</w:t>
                  </w:r>
                  <w:r w:rsidR="008B6BC8" w:rsidRPr="00E70587">
                    <w:rPr>
                      <w:rFonts w:ascii="Arial" w:hAnsi="Arial" w:cs="Arial"/>
                      <w:bCs/>
                      <w:color w:val="000000"/>
                      <w:sz w:val="20"/>
                      <w:lang w:eastAsia="en-IN"/>
                    </w:rPr>
                    <w:t xml:space="preserve">nt allowance as on 31 March </w:t>
                  </w:r>
                  <w:r w:rsidR="00BA68C9" w:rsidRPr="00E70587">
                    <w:rPr>
                      <w:rFonts w:ascii="Arial" w:hAnsi="Arial" w:cs="Arial"/>
                      <w:bCs/>
                      <w:color w:val="000000"/>
                      <w:sz w:val="20"/>
                      <w:lang w:eastAsia="en-IN"/>
                    </w:rPr>
                    <w:t>20</w:t>
                  </w:r>
                  <w:r w:rsidR="00BA68C9">
                    <w:rPr>
                      <w:rFonts w:ascii="Arial" w:hAnsi="Arial" w:cs="Arial"/>
                      <w:bCs/>
                      <w:color w:val="000000"/>
                      <w:sz w:val="20"/>
                      <w:lang w:eastAsia="en-IN"/>
                    </w:rPr>
                    <w:t>21</w:t>
                  </w:r>
                </w:p>
              </w:tc>
              <w:tc>
                <w:tcPr>
                  <w:tcW w:w="1344" w:type="dxa"/>
                  <w:tcBorders>
                    <w:top w:val="nil"/>
                    <w:left w:val="nil"/>
                    <w:bottom w:val="double" w:sz="6" w:space="0" w:color="auto"/>
                    <w:right w:val="nil"/>
                  </w:tcBorders>
                  <w:shd w:val="clear" w:color="auto" w:fill="auto"/>
                  <w:vAlign w:val="center"/>
                  <w:hideMark/>
                </w:tcPr>
                <w:p w14:paraId="4CE7A2D9" w14:textId="77777777" w:rsidR="008F7571" w:rsidRPr="00E70587" w:rsidRDefault="008F7571" w:rsidP="008B6BC8">
                  <w:pPr>
                    <w:overflowPunct/>
                    <w:autoSpaceDE/>
                    <w:autoSpaceDN/>
                    <w:adjustRightInd/>
                    <w:spacing w:line="280" w:lineRule="exact"/>
                    <w:jc w:val="right"/>
                    <w:textAlignment w:val="auto"/>
                    <w:rPr>
                      <w:rFonts w:ascii="Arial" w:hAnsi="Arial" w:cs="Arial"/>
                      <w:b/>
                      <w:bCs/>
                      <w:color w:val="000000"/>
                      <w:sz w:val="20"/>
                      <w:lang w:eastAsia="en-IN"/>
                    </w:rPr>
                  </w:pPr>
                  <w:r w:rsidRPr="00E70587">
                    <w:rPr>
                      <w:rFonts w:ascii="Arial" w:hAnsi="Arial" w:cs="Arial"/>
                      <w:b/>
                      <w:bCs/>
                      <w:color w:val="000000"/>
                      <w:sz w:val="20"/>
                      <w:lang w:eastAsia="en-IN"/>
                    </w:rPr>
                    <w:t>10</w:t>
                  </w:r>
                </w:p>
              </w:tc>
            </w:tr>
          </w:tbl>
          <w:p w14:paraId="79E6F66D" w14:textId="77777777" w:rsidR="008B6BC8" w:rsidRPr="00E70587" w:rsidRDefault="008B6BC8">
            <w:pPr>
              <w:rPr>
                <w:rFonts w:ascii="Arial" w:hAnsi="Arial"/>
              </w:rPr>
            </w:pPr>
          </w:p>
          <w:tbl>
            <w:tblPr>
              <w:tblW w:w="9606" w:type="dxa"/>
              <w:tblLook w:val="04A0" w:firstRow="1" w:lastRow="0" w:firstColumn="1" w:lastColumn="0" w:noHBand="0" w:noVBand="1"/>
            </w:tblPr>
            <w:tblGrid>
              <w:gridCol w:w="8262"/>
              <w:gridCol w:w="1344"/>
            </w:tblGrid>
            <w:tr w:rsidR="008F7571" w:rsidRPr="00E70587" w14:paraId="1338934B" w14:textId="77777777" w:rsidTr="00DA476B">
              <w:trPr>
                <w:trHeight w:val="288"/>
              </w:trPr>
              <w:tc>
                <w:tcPr>
                  <w:tcW w:w="9606" w:type="dxa"/>
                  <w:gridSpan w:val="2"/>
                  <w:tcBorders>
                    <w:top w:val="nil"/>
                    <w:left w:val="nil"/>
                    <w:bottom w:val="nil"/>
                    <w:right w:val="nil"/>
                  </w:tcBorders>
                  <w:shd w:val="clear" w:color="auto" w:fill="auto"/>
                  <w:vAlign w:val="center"/>
                  <w:hideMark/>
                </w:tcPr>
                <w:p w14:paraId="2C88B29A" w14:textId="3C6237A9" w:rsidR="008F7571" w:rsidRPr="00E70587" w:rsidRDefault="008F7571" w:rsidP="008B6BC8">
                  <w:pPr>
                    <w:overflowPunct/>
                    <w:autoSpaceDE/>
                    <w:autoSpaceDN/>
                    <w:adjustRightInd/>
                    <w:spacing w:line="280" w:lineRule="exact"/>
                    <w:textAlignment w:val="auto"/>
                    <w:rPr>
                      <w:rFonts w:ascii="Arial" w:hAnsi="Arial" w:cs="Arial"/>
                      <w:b/>
                      <w:bCs/>
                      <w:color w:val="000000"/>
                      <w:sz w:val="20"/>
                      <w:lang w:eastAsia="en-IN"/>
                    </w:rPr>
                  </w:pPr>
                  <w:r w:rsidRPr="00E70587">
                    <w:rPr>
                      <w:rFonts w:ascii="Arial" w:hAnsi="Arial" w:cs="Arial"/>
                      <w:b/>
                      <w:bCs/>
                      <w:color w:val="000000"/>
                      <w:sz w:val="20"/>
                      <w:lang w:eastAsia="en-IN"/>
                    </w:rPr>
                    <w:t>Reconciliation of impairment allowance on trade and other receivables</w:t>
                  </w:r>
                  <w:r w:rsidR="007F07B4">
                    <w:rPr>
                      <w:rFonts w:ascii="Arial" w:hAnsi="Arial" w:cs="Arial"/>
                      <w:b/>
                      <w:bCs/>
                      <w:color w:val="000000"/>
                      <w:sz w:val="20"/>
                      <w:lang w:eastAsia="en-IN"/>
                    </w:rPr>
                    <w:t xml:space="preserve"> and contract assets</w:t>
                  </w:r>
                  <w:r w:rsidRPr="00E70587">
                    <w:rPr>
                      <w:rFonts w:ascii="Arial" w:hAnsi="Arial" w:cs="Arial"/>
                      <w:b/>
                      <w:bCs/>
                      <w:color w:val="000000"/>
                      <w:sz w:val="20"/>
                      <w:lang w:eastAsia="en-IN"/>
                    </w:rPr>
                    <w:t>:</w:t>
                  </w:r>
                </w:p>
              </w:tc>
            </w:tr>
            <w:tr w:rsidR="008F7571" w:rsidRPr="00E70587" w14:paraId="2DA56E70" w14:textId="77777777" w:rsidTr="00DA476B">
              <w:trPr>
                <w:trHeight w:val="288"/>
              </w:trPr>
              <w:tc>
                <w:tcPr>
                  <w:tcW w:w="8262" w:type="dxa"/>
                  <w:tcBorders>
                    <w:top w:val="nil"/>
                    <w:left w:val="nil"/>
                    <w:bottom w:val="nil"/>
                    <w:right w:val="nil"/>
                  </w:tcBorders>
                  <w:shd w:val="clear" w:color="auto" w:fill="auto"/>
                  <w:vAlign w:val="center"/>
                  <w:hideMark/>
                </w:tcPr>
                <w:p w14:paraId="7C775373" w14:textId="77777777" w:rsidR="008F7571" w:rsidRPr="00E70587" w:rsidRDefault="008F7571" w:rsidP="008B6BC8">
                  <w:pPr>
                    <w:overflowPunct/>
                    <w:autoSpaceDE/>
                    <w:autoSpaceDN/>
                    <w:adjustRightInd/>
                    <w:spacing w:line="280" w:lineRule="exact"/>
                    <w:textAlignment w:val="auto"/>
                    <w:rPr>
                      <w:rFonts w:ascii="Arial" w:hAnsi="Arial" w:cs="Arial"/>
                      <w:b/>
                      <w:color w:val="000000"/>
                      <w:sz w:val="20"/>
                      <w:lang w:eastAsia="en-IN"/>
                    </w:rPr>
                  </w:pPr>
                  <w:r w:rsidRPr="00E70587">
                    <w:rPr>
                      <w:rFonts w:ascii="Arial" w:hAnsi="Arial" w:cs="Arial"/>
                      <w:b/>
                      <w:color w:val="000000"/>
                      <w:sz w:val="20"/>
                      <w:lang w:eastAsia="en-IN"/>
                    </w:rPr>
                    <w:t>Impairment allowance measured as per simplified approach</w:t>
                  </w:r>
                </w:p>
              </w:tc>
              <w:tc>
                <w:tcPr>
                  <w:tcW w:w="1344" w:type="dxa"/>
                  <w:tcBorders>
                    <w:top w:val="nil"/>
                    <w:left w:val="nil"/>
                    <w:bottom w:val="nil"/>
                    <w:right w:val="nil"/>
                  </w:tcBorders>
                  <w:shd w:val="clear" w:color="auto" w:fill="auto"/>
                  <w:vAlign w:val="center"/>
                  <w:hideMark/>
                </w:tcPr>
                <w:p w14:paraId="08C94D41" w14:textId="77777777" w:rsidR="008F7571" w:rsidRPr="00E70587" w:rsidRDefault="008F7571" w:rsidP="008B6BC8">
                  <w:pPr>
                    <w:overflowPunct/>
                    <w:autoSpaceDE/>
                    <w:autoSpaceDN/>
                    <w:adjustRightInd/>
                    <w:spacing w:line="280" w:lineRule="exact"/>
                    <w:jc w:val="center"/>
                    <w:textAlignment w:val="auto"/>
                    <w:rPr>
                      <w:rFonts w:ascii="Arial" w:hAnsi="Arial" w:cs="Arial"/>
                      <w:b/>
                      <w:bCs/>
                      <w:color w:val="000000"/>
                      <w:sz w:val="20"/>
                      <w:lang w:eastAsia="en-IN"/>
                    </w:rPr>
                  </w:pPr>
                  <w:r w:rsidRPr="00E70587">
                    <w:rPr>
                      <w:rFonts w:ascii="Arial" w:hAnsi="Arial" w:cs="Arial"/>
                      <w:b/>
                      <w:bCs/>
                      <w:color w:val="000000"/>
                      <w:sz w:val="20"/>
                      <w:lang w:eastAsia="en-IN"/>
                    </w:rPr>
                    <w:t>INR lacs</w:t>
                  </w:r>
                </w:p>
              </w:tc>
            </w:tr>
            <w:tr w:rsidR="008F7571" w:rsidRPr="00E70587" w14:paraId="398971CF" w14:textId="77777777" w:rsidTr="00DA476B">
              <w:trPr>
                <w:trHeight w:val="288"/>
              </w:trPr>
              <w:tc>
                <w:tcPr>
                  <w:tcW w:w="8262" w:type="dxa"/>
                  <w:tcBorders>
                    <w:top w:val="nil"/>
                    <w:left w:val="nil"/>
                    <w:bottom w:val="nil"/>
                    <w:right w:val="nil"/>
                  </w:tcBorders>
                  <w:shd w:val="clear" w:color="auto" w:fill="auto"/>
                  <w:vAlign w:val="center"/>
                  <w:hideMark/>
                </w:tcPr>
                <w:p w14:paraId="3E8A7E87" w14:textId="1EFE12BB"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Impairm</w:t>
                  </w:r>
                  <w:r w:rsidR="008B6BC8" w:rsidRPr="00E70587">
                    <w:rPr>
                      <w:rFonts w:ascii="Arial" w:hAnsi="Arial" w:cs="Arial"/>
                      <w:bCs/>
                      <w:color w:val="000000"/>
                      <w:sz w:val="20"/>
                      <w:lang w:eastAsia="en-IN"/>
                    </w:rPr>
                    <w:t xml:space="preserve">ent allowance as on 1 April </w:t>
                  </w:r>
                  <w:r w:rsidR="00BB0C89" w:rsidRPr="00E70587">
                    <w:rPr>
                      <w:rFonts w:ascii="Arial" w:hAnsi="Arial" w:cs="Arial"/>
                      <w:bCs/>
                      <w:color w:val="000000"/>
                      <w:sz w:val="20"/>
                      <w:lang w:eastAsia="en-IN"/>
                    </w:rPr>
                    <w:t>201</w:t>
                  </w:r>
                  <w:r w:rsidR="00BB0C89">
                    <w:rPr>
                      <w:rFonts w:ascii="Arial" w:hAnsi="Arial" w:cs="Arial"/>
                      <w:bCs/>
                      <w:color w:val="000000"/>
                      <w:sz w:val="20"/>
                      <w:lang w:eastAsia="en-IN"/>
                    </w:rPr>
                    <w:t>9</w:t>
                  </w:r>
                </w:p>
              </w:tc>
              <w:tc>
                <w:tcPr>
                  <w:tcW w:w="1344" w:type="dxa"/>
                  <w:tcBorders>
                    <w:top w:val="nil"/>
                    <w:left w:val="nil"/>
                    <w:bottom w:val="nil"/>
                    <w:right w:val="nil"/>
                  </w:tcBorders>
                  <w:shd w:val="clear" w:color="auto" w:fill="auto"/>
                  <w:vAlign w:val="center"/>
                  <w:hideMark/>
                </w:tcPr>
                <w:p w14:paraId="6224D197" w14:textId="77777777" w:rsidR="008F7571" w:rsidRPr="00E70587" w:rsidRDefault="008F7571" w:rsidP="008B6BC8">
                  <w:pPr>
                    <w:overflowPunct/>
                    <w:autoSpaceDE/>
                    <w:autoSpaceDN/>
                    <w:adjustRightInd/>
                    <w:spacing w:line="280" w:lineRule="exact"/>
                    <w:jc w:val="right"/>
                    <w:textAlignment w:val="auto"/>
                    <w:rPr>
                      <w:rFonts w:ascii="Arial" w:hAnsi="Arial" w:cs="Arial"/>
                      <w:b/>
                      <w:bCs/>
                      <w:color w:val="000000"/>
                      <w:sz w:val="20"/>
                      <w:lang w:eastAsia="en-IN"/>
                    </w:rPr>
                  </w:pPr>
                  <w:r w:rsidRPr="00E70587">
                    <w:rPr>
                      <w:rFonts w:ascii="Arial" w:hAnsi="Arial" w:cs="Arial"/>
                      <w:b/>
                      <w:bCs/>
                      <w:color w:val="000000"/>
                      <w:sz w:val="20"/>
                      <w:lang w:eastAsia="en-IN"/>
                    </w:rPr>
                    <w:t xml:space="preserve">281 </w:t>
                  </w:r>
                </w:p>
              </w:tc>
            </w:tr>
            <w:tr w:rsidR="008F7571" w:rsidRPr="00E70587" w14:paraId="5BD39D73" w14:textId="77777777" w:rsidTr="00DA476B">
              <w:trPr>
                <w:trHeight w:val="288"/>
              </w:trPr>
              <w:tc>
                <w:tcPr>
                  <w:tcW w:w="8262" w:type="dxa"/>
                  <w:tcBorders>
                    <w:top w:val="nil"/>
                    <w:left w:val="nil"/>
                    <w:bottom w:val="nil"/>
                    <w:right w:val="nil"/>
                  </w:tcBorders>
                  <w:shd w:val="clear" w:color="auto" w:fill="auto"/>
                  <w:vAlign w:val="center"/>
                  <w:hideMark/>
                </w:tcPr>
                <w:p w14:paraId="68DFF7E0" w14:textId="77777777"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Add/ (less): asset originated or acquired</w:t>
                  </w:r>
                </w:p>
              </w:tc>
              <w:tc>
                <w:tcPr>
                  <w:tcW w:w="1344" w:type="dxa"/>
                  <w:tcBorders>
                    <w:top w:val="nil"/>
                    <w:left w:val="nil"/>
                    <w:bottom w:val="single" w:sz="8" w:space="0" w:color="auto"/>
                    <w:right w:val="nil"/>
                  </w:tcBorders>
                  <w:shd w:val="clear" w:color="auto" w:fill="auto"/>
                  <w:vAlign w:val="center"/>
                  <w:hideMark/>
                </w:tcPr>
                <w:p w14:paraId="733538DE" w14:textId="14215C97" w:rsidR="008F7571" w:rsidRPr="00E70587" w:rsidRDefault="00BD6C7A" w:rsidP="008B6BC8">
                  <w:pPr>
                    <w:overflowPunct/>
                    <w:autoSpaceDE/>
                    <w:autoSpaceDN/>
                    <w:adjustRightInd/>
                    <w:spacing w:line="280" w:lineRule="exact"/>
                    <w:jc w:val="right"/>
                    <w:textAlignment w:val="auto"/>
                    <w:rPr>
                      <w:rFonts w:ascii="Arial" w:hAnsi="Arial" w:cs="Arial"/>
                      <w:color w:val="000000"/>
                      <w:sz w:val="20"/>
                      <w:lang w:eastAsia="en-IN"/>
                    </w:rPr>
                  </w:pPr>
                  <w:r>
                    <w:rPr>
                      <w:rFonts w:ascii="Arial" w:hAnsi="Arial" w:cs="Arial"/>
                      <w:color w:val="000000"/>
                      <w:sz w:val="20"/>
                      <w:lang w:eastAsia="en-IN"/>
                    </w:rPr>
                    <w:t>11</w:t>
                  </w:r>
                  <w:r w:rsidR="008F7571" w:rsidRPr="00E70587">
                    <w:rPr>
                      <w:rFonts w:ascii="Arial" w:hAnsi="Arial" w:cs="Arial"/>
                      <w:color w:val="000000"/>
                      <w:sz w:val="20"/>
                      <w:lang w:eastAsia="en-IN"/>
                    </w:rPr>
                    <w:t xml:space="preserve"> </w:t>
                  </w:r>
                </w:p>
              </w:tc>
            </w:tr>
            <w:tr w:rsidR="008F7571" w:rsidRPr="00E70587" w14:paraId="7C30875E" w14:textId="77777777" w:rsidTr="00DA476B">
              <w:trPr>
                <w:trHeight w:val="288"/>
              </w:trPr>
              <w:tc>
                <w:tcPr>
                  <w:tcW w:w="8262" w:type="dxa"/>
                  <w:tcBorders>
                    <w:top w:val="nil"/>
                    <w:left w:val="nil"/>
                    <w:bottom w:val="nil"/>
                    <w:right w:val="nil"/>
                  </w:tcBorders>
                  <w:shd w:val="clear" w:color="auto" w:fill="auto"/>
                  <w:vAlign w:val="center"/>
                  <w:hideMark/>
                </w:tcPr>
                <w:p w14:paraId="604C27E8" w14:textId="5EE9B95C"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Impairm</w:t>
                  </w:r>
                  <w:r w:rsidR="008B6BC8" w:rsidRPr="00E70587">
                    <w:rPr>
                      <w:rFonts w:ascii="Arial" w:hAnsi="Arial" w:cs="Arial"/>
                      <w:bCs/>
                      <w:color w:val="000000"/>
                      <w:sz w:val="20"/>
                      <w:lang w:eastAsia="en-IN"/>
                    </w:rPr>
                    <w:t xml:space="preserve">ent allowance as on 1 April </w:t>
                  </w:r>
                  <w:r w:rsidR="00BB0C89" w:rsidRPr="00E70587">
                    <w:rPr>
                      <w:rFonts w:ascii="Arial" w:hAnsi="Arial" w:cs="Arial"/>
                      <w:bCs/>
                      <w:color w:val="000000"/>
                      <w:sz w:val="20"/>
                      <w:lang w:eastAsia="en-IN"/>
                    </w:rPr>
                    <w:t>20</w:t>
                  </w:r>
                  <w:r w:rsidR="00BB0C89">
                    <w:rPr>
                      <w:rFonts w:ascii="Arial" w:hAnsi="Arial" w:cs="Arial"/>
                      <w:bCs/>
                      <w:color w:val="000000"/>
                      <w:sz w:val="20"/>
                      <w:lang w:eastAsia="en-IN"/>
                    </w:rPr>
                    <w:t>20</w:t>
                  </w:r>
                </w:p>
              </w:tc>
              <w:tc>
                <w:tcPr>
                  <w:tcW w:w="1344" w:type="dxa"/>
                  <w:tcBorders>
                    <w:top w:val="nil"/>
                    <w:left w:val="nil"/>
                    <w:bottom w:val="nil"/>
                    <w:right w:val="nil"/>
                  </w:tcBorders>
                  <w:shd w:val="clear" w:color="auto" w:fill="auto"/>
                  <w:vAlign w:val="center"/>
                  <w:hideMark/>
                </w:tcPr>
                <w:p w14:paraId="64A3D508" w14:textId="4778FA94" w:rsidR="008F7571" w:rsidRPr="00E70587" w:rsidRDefault="008F7571" w:rsidP="008B6BC8">
                  <w:pPr>
                    <w:overflowPunct/>
                    <w:autoSpaceDE/>
                    <w:autoSpaceDN/>
                    <w:adjustRightInd/>
                    <w:spacing w:line="280" w:lineRule="exact"/>
                    <w:jc w:val="right"/>
                    <w:textAlignment w:val="auto"/>
                    <w:rPr>
                      <w:rFonts w:ascii="Arial" w:hAnsi="Arial" w:cs="Arial"/>
                      <w:b/>
                      <w:bCs/>
                      <w:color w:val="000000"/>
                      <w:sz w:val="20"/>
                      <w:lang w:eastAsia="en-IN"/>
                    </w:rPr>
                  </w:pPr>
                  <w:r w:rsidRPr="00E70587">
                    <w:rPr>
                      <w:rFonts w:ascii="Arial" w:hAnsi="Arial" w:cs="Arial"/>
                      <w:b/>
                      <w:bCs/>
                      <w:color w:val="000000"/>
                      <w:sz w:val="20"/>
                      <w:lang w:eastAsia="en-IN"/>
                    </w:rPr>
                    <w:t>29</w:t>
                  </w:r>
                  <w:r w:rsidR="00BD6C7A">
                    <w:rPr>
                      <w:rFonts w:ascii="Arial" w:hAnsi="Arial" w:cs="Arial"/>
                      <w:b/>
                      <w:bCs/>
                      <w:color w:val="000000"/>
                      <w:sz w:val="20"/>
                      <w:lang w:eastAsia="en-IN"/>
                    </w:rPr>
                    <w:t>3</w:t>
                  </w:r>
                  <w:r w:rsidRPr="00E70587">
                    <w:rPr>
                      <w:rFonts w:ascii="Arial" w:hAnsi="Arial" w:cs="Arial"/>
                      <w:b/>
                      <w:bCs/>
                      <w:color w:val="000000"/>
                      <w:sz w:val="20"/>
                      <w:lang w:eastAsia="en-IN"/>
                    </w:rPr>
                    <w:t xml:space="preserve"> </w:t>
                  </w:r>
                </w:p>
              </w:tc>
            </w:tr>
            <w:tr w:rsidR="008F7571" w:rsidRPr="00E70587" w14:paraId="693CBDC0" w14:textId="77777777" w:rsidTr="00DA476B">
              <w:trPr>
                <w:trHeight w:val="288"/>
              </w:trPr>
              <w:tc>
                <w:tcPr>
                  <w:tcW w:w="8262" w:type="dxa"/>
                  <w:tcBorders>
                    <w:top w:val="nil"/>
                    <w:left w:val="nil"/>
                    <w:bottom w:val="nil"/>
                    <w:right w:val="nil"/>
                  </w:tcBorders>
                  <w:shd w:val="clear" w:color="auto" w:fill="auto"/>
                  <w:vAlign w:val="center"/>
                  <w:hideMark/>
                </w:tcPr>
                <w:p w14:paraId="6CC61DD4" w14:textId="77777777"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Add/ (less): asset originated or acquired</w:t>
                  </w:r>
                </w:p>
              </w:tc>
              <w:tc>
                <w:tcPr>
                  <w:tcW w:w="1344" w:type="dxa"/>
                  <w:tcBorders>
                    <w:top w:val="nil"/>
                    <w:left w:val="nil"/>
                    <w:bottom w:val="single" w:sz="8" w:space="0" w:color="auto"/>
                    <w:right w:val="nil"/>
                  </w:tcBorders>
                  <w:shd w:val="clear" w:color="auto" w:fill="auto"/>
                  <w:vAlign w:val="center"/>
                  <w:hideMark/>
                </w:tcPr>
                <w:p w14:paraId="07733173" w14:textId="0731D8C9" w:rsidR="008F7571" w:rsidRPr="00E70587" w:rsidRDefault="008F7571" w:rsidP="008B6BC8">
                  <w:pPr>
                    <w:overflowPunct/>
                    <w:autoSpaceDE/>
                    <w:autoSpaceDN/>
                    <w:adjustRightInd/>
                    <w:spacing w:line="280" w:lineRule="exact"/>
                    <w:jc w:val="right"/>
                    <w:textAlignment w:val="auto"/>
                    <w:rPr>
                      <w:rFonts w:ascii="Arial" w:hAnsi="Arial" w:cs="Arial"/>
                      <w:color w:val="000000"/>
                      <w:sz w:val="20"/>
                      <w:lang w:eastAsia="en-IN"/>
                    </w:rPr>
                  </w:pPr>
                  <w:r w:rsidRPr="00E70587">
                    <w:rPr>
                      <w:rFonts w:ascii="Arial" w:hAnsi="Arial" w:cs="Arial"/>
                      <w:color w:val="000000"/>
                      <w:sz w:val="20"/>
                      <w:lang w:eastAsia="en-IN"/>
                    </w:rPr>
                    <w:t xml:space="preserve"> 3</w:t>
                  </w:r>
                  <w:r w:rsidR="00BD6C7A">
                    <w:rPr>
                      <w:rFonts w:ascii="Arial" w:hAnsi="Arial" w:cs="Arial"/>
                      <w:color w:val="000000"/>
                      <w:sz w:val="20"/>
                      <w:lang w:eastAsia="en-IN"/>
                    </w:rPr>
                    <w:t>7</w:t>
                  </w:r>
                  <w:r w:rsidRPr="00E70587">
                    <w:rPr>
                      <w:rFonts w:ascii="Arial" w:hAnsi="Arial" w:cs="Arial"/>
                      <w:color w:val="000000"/>
                      <w:sz w:val="20"/>
                      <w:lang w:eastAsia="en-IN"/>
                    </w:rPr>
                    <w:t xml:space="preserve"> </w:t>
                  </w:r>
                </w:p>
              </w:tc>
            </w:tr>
            <w:tr w:rsidR="008F7571" w:rsidRPr="00E70587" w14:paraId="4EF8F4ED" w14:textId="77777777" w:rsidTr="00DA476B">
              <w:trPr>
                <w:trHeight w:val="288"/>
              </w:trPr>
              <w:tc>
                <w:tcPr>
                  <w:tcW w:w="8262" w:type="dxa"/>
                  <w:tcBorders>
                    <w:top w:val="nil"/>
                    <w:left w:val="nil"/>
                    <w:bottom w:val="nil"/>
                    <w:right w:val="nil"/>
                  </w:tcBorders>
                  <w:shd w:val="clear" w:color="auto" w:fill="auto"/>
                  <w:vAlign w:val="center"/>
                  <w:hideMark/>
                </w:tcPr>
                <w:p w14:paraId="5A4858B3" w14:textId="1E564268" w:rsidR="008F7571" w:rsidRPr="00E70587" w:rsidRDefault="008F7571" w:rsidP="008B6BC8">
                  <w:pPr>
                    <w:overflowPunct/>
                    <w:autoSpaceDE/>
                    <w:autoSpaceDN/>
                    <w:adjustRightInd/>
                    <w:spacing w:line="280" w:lineRule="exact"/>
                    <w:textAlignment w:val="auto"/>
                    <w:rPr>
                      <w:rFonts w:ascii="Arial" w:hAnsi="Arial" w:cs="Arial"/>
                      <w:bCs/>
                      <w:color w:val="000000"/>
                      <w:sz w:val="20"/>
                      <w:lang w:eastAsia="en-IN"/>
                    </w:rPr>
                  </w:pPr>
                  <w:r w:rsidRPr="00E70587">
                    <w:rPr>
                      <w:rFonts w:ascii="Arial" w:hAnsi="Arial" w:cs="Arial"/>
                      <w:bCs/>
                      <w:color w:val="000000"/>
                      <w:sz w:val="20"/>
                      <w:lang w:eastAsia="en-IN"/>
                    </w:rPr>
                    <w:t>Impairme</w:t>
                  </w:r>
                  <w:r w:rsidR="008B6BC8" w:rsidRPr="00E70587">
                    <w:rPr>
                      <w:rFonts w:ascii="Arial" w:hAnsi="Arial" w:cs="Arial"/>
                      <w:bCs/>
                      <w:color w:val="000000"/>
                      <w:sz w:val="20"/>
                      <w:lang w:eastAsia="en-IN"/>
                    </w:rPr>
                    <w:t xml:space="preserve">nt allowance as on 31 March </w:t>
                  </w:r>
                  <w:r w:rsidR="00BB0C89" w:rsidRPr="00E70587">
                    <w:rPr>
                      <w:rFonts w:ascii="Arial" w:hAnsi="Arial" w:cs="Arial"/>
                      <w:bCs/>
                      <w:color w:val="000000"/>
                      <w:sz w:val="20"/>
                      <w:lang w:eastAsia="en-IN"/>
                    </w:rPr>
                    <w:t>20</w:t>
                  </w:r>
                  <w:r w:rsidR="00BB0C89">
                    <w:rPr>
                      <w:rFonts w:ascii="Arial" w:hAnsi="Arial" w:cs="Arial"/>
                      <w:bCs/>
                      <w:color w:val="000000"/>
                      <w:sz w:val="20"/>
                      <w:lang w:eastAsia="en-IN"/>
                    </w:rPr>
                    <w:t>21</w:t>
                  </w:r>
                </w:p>
              </w:tc>
              <w:tc>
                <w:tcPr>
                  <w:tcW w:w="1344" w:type="dxa"/>
                  <w:tcBorders>
                    <w:top w:val="nil"/>
                    <w:left w:val="nil"/>
                    <w:bottom w:val="double" w:sz="6" w:space="0" w:color="auto"/>
                    <w:right w:val="nil"/>
                  </w:tcBorders>
                  <w:shd w:val="clear" w:color="auto" w:fill="auto"/>
                  <w:vAlign w:val="center"/>
                  <w:hideMark/>
                </w:tcPr>
                <w:p w14:paraId="247F9EB9" w14:textId="6E3E49C6" w:rsidR="008F7571" w:rsidRPr="00E70587" w:rsidRDefault="00DA476B" w:rsidP="00DA476B">
                  <w:pPr>
                    <w:overflowPunct/>
                    <w:autoSpaceDE/>
                    <w:autoSpaceDN/>
                    <w:adjustRightInd/>
                    <w:spacing w:line="280" w:lineRule="exact"/>
                    <w:jc w:val="right"/>
                    <w:textAlignment w:val="auto"/>
                    <w:rPr>
                      <w:rFonts w:ascii="Arial" w:hAnsi="Arial" w:cs="Arial"/>
                      <w:b/>
                      <w:bCs/>
                      <w:color w:val="000000"/>
                      <w:sz w:val="20"/>
                      <w:lang w:eastAsia="en-IN"/>
                    </w:rPr>
                  </w:pPr>
                  <w:r w:rsidRPr="00E70587">
                    <w:rPr>
                      <w:rFonts w:ascii="Arial" w:hAnsi="Arial" w:cs="Arial"/>
                      <w:b/>
                      <w:bCs/>
                      <w:color w:val="000000"/>
                      <w:sz w:val="20"/>
                      <w:lang w:eastAsia="en-IN"/>
                    </w:rPr>
                    <w:t>3</w:t>
                  </w:r>
                  <w:r w:rsidR="00BD6C7A">
                    <w:rPr>
                      <w:rFonts w:ascii="Arial" w:hAnsi="Arial" w:cs="Arial"/>
                      <w:b/>
                      <w:bCs/>
                      <w:color w:val="000000"/>
                      <w:sz w:val="20"/>
                      <w:lang w:eastAsia="en-IN"/>
                    </w:rPr>
                    <w:t>30</w:t>
                  </w:r>
                  <w:r w:rsidRPr="00E70587">
                    <w:rPr>
                      <w:rFonts w:ascii="Arial" w:hAnsi="Arial" w:cs="Arial"/>
                      <w:b/>
                      <w:bCs/>
                      <w:color w:val="000000"/>
                      <w:sz w:val="20"/>
                      <w:lang w:eastAsia="en-IN"/>
                    </w:rPr>
                    <w:t xml:space="preserve"> </w:t>
                  </w:r>
                </w:p>
              </w:tc>
            </w:tr>
          </w:tbl>
          <w:p w14:paraId="3FD8FA25" w14:textId="77777777" w:rsidR="008F7571" w:rsidRPr="00E70587" w:rsidRDefault="008F7571" w:rsidP="008F7571"/>
        </w:tc>
      </w:tr>
      <w:tr w:rsidR="0086091A" w:rsidRPr="00E70587" w14:paraId="0FB40B2D" w14:textId="77777777" w:rsidTr="00C41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1651DE2D" w14:textId="77777777" w:rsidR="00BD6C7A" w:rsidRDefault="00BD6C7A" w:rsidP="00C41E23">
            <w:pPr>
              <w:spacing w:line="280" w:lineRule="exact"/>
              <w:jc w:val="both"/>
              <w:rPr>
                <w:rFonts w:ascii="Arial" w:hAnsi="Arial" w:cs="Arial"/>
                <w:b/>
                <w:sz w:val="20"/>
              </w:rPr>
            </w:pPr>
          </w:p>
          <w:p w14:paraId="031A3DB0" w14:textId="77777777" w:rsidR="0086091A" w:rsidRPr="00E70587" w:rsidRDefault="0086091A" w:rsidP="00C41E23">
            <w:pPr>
              <w:spacing w:line="280" w:lineRule="exact"/>
              <w:jc w:val="both"/>
              <w:rPr>
                <w:rFonts w:ascii="Arial" w:hAnsi="Arial" w:cs="Arial"/>
                <w:b/>
                <w:sz w:val="20"/>
              </w:rPr>
            </w:pPr>
            <w:r w:rsidRPr="00E70587">
              <w:rPr>
                <w:rFonts w:ascii="Arial" w:hAnsi="Arial" w:cs="Arial"/>
                <w:b/>
                <w:sz w:val="20"/>
              </w:rPr>
              <w:t>Liquidity risk</w:t>
            </w:r>
          </w:p>
          <w:p w14:paraId="20BD3034" w14:textId="77777777" w:rsidR="00C41E23" w:rsidRPr="00E70587" w:rsidRDefault="00C41E23" w:rsidP="00C41E23">
            <w:pPr>
              <w:pStyle w:val="IAStext"/>
              <w:spacing w:line="280" w:lineRule="exact"/>
              <w:jc w:val="both"/>
              <w:rPr>
                <w:rFonts w:ascii="Arial" w:hAnsi="Arial" w:cs="Arial"/>
                <w:i w:val="0"/>
                <w:sz w:val="20"/>
                <w:lang w:val="en-IN"/>
              </w:rPr>
            </w:pPr>
          </w:p>
          <w:p w14:paraId="14EF0C43" w14:textId="77777777" w:rsidR="0086091A" w:rsidRPr="00E70587" w:rsidRDefault="0086091A" w:rsidP="00C41E23">
            <w:pPr>
              <w:pStyle w:val="IAStext"/>
              <w:spacing w:line="280" w:lineRule="exact"/>
              <w:jc w:val="both"/>
              <w:rPr>
                <w:rFonts w:ascii="Arial" w:hAnsi="Arial" w:cs="Arial"/>
                <w:i w:val="0"/>
                <w:sz w:val="20"/>
                <w:lang w:val="en-IN"/>
              </w:rPr>
            </w:pPr>
            <w:r w:rsidRPr="00E70587">
              <w:rPr>
                <w:rFonts w:ascii="Arial" w:hAnsi="Arial" w:cs="Arial"/>
                <w:i w:val="0"/>
                <w:sz w:val="20"/>
                <w:lang w:val="en-IN"/>
              </w:rPr>
              <w:t>The Group monitors its risk of a shortage of funds u</w:t>
            </w:r>
            <w:r w:rsidR="00C41E23" w:rsidRPr="00E70587">
              <w:rPr>
                <w:rFonts w:ascii="Arial" w:hAnsi="Arial" w:cs="Arial"/>
                <w:i w:val="0"/>
                <w:sz w:val="20"/>
                <w:lang w:val="en-IN"/>
              </w:rPr>
              <w:t>sing a liquidity planning tool.</w:t>
            </w:r>
          </w:p>
          <w:p w14:paraId="31B61C37" w14:textId="77777777" w:rsidR="0086091A" w:rsidRPr="00E70587" w:rsidRDefault="0086091A" w:rsidP="00C41E23">
            <w:pPr>
              <w:pStyle w:val="IAStext"/>
              <w:spacing w:line="280" w:lineRule="exact"/>
              <w:jc w:val="both"/>
              <w:rPr>
                <w:rFonts w:ascii="Arial" w:hAnsi="Arial" w:cs="Arial"/>
                <w:i w:val="0"/>
                <w:sz w:val="20"/>
                <w:lang w:val="en-IN"/>
              </w:rPr>
            </w:pPr>
          </w:p>
          <w:p w14:paraId="32653476" w14:textId="6A855E7F" w:rsidR="0086091A" w:rsidRPr="00E70587" w:rsidRDefault="0086091A" w:rsidP="00C41E23">
            <w:pPr>
              <w:pStyle w:val="IAStext"/>
              <w:spacing w:line="280" w:lineRule="exact"/>
              <w:jc w:val="both"/>
              <w:rPr>
                <w:rFonts w:ascii="Arial" w:hAnsi="Arial" w:cs="Arial"/>
                <w:i w:val="0"/>
                <w:sz w:val="20"/>
                <w:lang w:val="en-IN"/>
              </w:rPr>
            </w:pPr>
            <w:r w:rsidRPr="00E70587">
              <w:rPr>
                <w:rFonts w:ascii="Arial" w:hAnsi="Arial" w:cs="Arial"/>
                <w:i w:val="0"/>
                <w:sz w:val="20"/>
                <w:lang w:val="en-IN"/>
              </w:rPr>
              <w:t>The Group’s objective is to maintain a balance between continuity of funding and flexibility through the use of bank overdrafts, bank loans, debentures, preference shares</w:t>
            </w:r>
            <w:r w:rsidR="00162CF8">
              <w:rPr>
                <w:rFonts w:ascii="Arial" w:hAnsi="Arial" w:cs="Arial"/>
                <w:i w:val="0"/>
                <w:sz w:val="20"/>
                <w:lang w:val="en-IN"/>
              </w:rPr>
              <w:t xml:space="preserve"> and</w:t>
            </w:r>
            <w:r w:rsidR="00162CF8" w:rsidRPr="00E70587">
              <w:rPr>
                <w:rFonts w:ascii="Arial" w:hAnsi="Arial" w:cs="Arial"/>
                <w:i w:val="0"/>
                <w:sz w:val="20"/>
                <w:lang w:val="en-IN"/>
              </w:rPr>
              <w:t xml:space="preserve"> </w:t>
            </w:r>
            <w:r w:rsidRPr="00E70587">
              <w:rPr>
                <w:rFonts w:ascii="Arial" w:hAnsi="Arial" w:cs="Arial"/>
                <w:i w:val="0"/>
                <w:sz w:val="20"/>
                <w:lang w:val="en-IN"/>
              </w:rPr>
              <w:t>lease</w:t>
            </w:r>
            <w:r w:rsidR="00162CF8">
              <w:rPr>
                <w:rFonts w:ascii="Arial" w:hAnsi="Arial" w:cs="Arial"/>
                <w:i w:val="0"/>
                <w:sz w:val="20"/>
                <w:lang w:val="en-IN"/>
              </w:rPr>
              <w:t xml:space="preserve"> liabilities</w:t>
            </w:r>
            <w:r w:rsidRPr="00E70587">
              <w:rPr>
                <w:rFonts w:ascii="Arial" w:hAnsi="Arial" w:cs="Arial"/>
                <w:i w:val="0"/>
                <w:sz w:val="20"/>
                <w:lang w:val="en-IN"/>
              </w:rPr>
              <w:t xml:space="preserve">. The Group’s policy is that not more than 25% of borrowings should mature in the next 12-month period. Approximately 10% of the Group’s debt will mature in less than one year at 31 </w:t>
            </w:r>
            <w:r w:rsidR="00E1202D" w:rsidRPr="00E70587">
              <w:rPr>
                <w:rFonts w:ascii="Arial" w:hAnsi="Arial" w:cs="Arial"/>
                <w:i w:val="0"/>
                <w:sz w:val="20"/>
                <w:lang w:val="en-IN"/>
              </w:rPr>
              <w:t xml:space="preserve">March </w:t>
            </w:r>
            <w:r w:rsidR="00BB0C89" w:rsidRPr="00E70587">
              <w:rPr>
                <w:rFonts w:ascii="Arial" w:hAnsi="Arial" w:cs="Arial"/>
                <w:i w:val="0"/>
                <w:sz w:val="20"/>
                <w:lang w:val="en-IN"/>
              </w:rPr>
              <w:t>20</w:t>
            </w:r>
            <w:r w:rsidR="00BB0C89">
              <w:rPr>
                <w:rFonts w:ascii="Arial" w:hAnsi="Arial" w:cs="Arial"/>
                <w:i w:val="0"/>
                <w:sz w:val="20"/>
                <w:lang w:val="en-IN"/>
              </w:rPr>
              <w:t>21</w:t>
            </w:r>
            <w:r w:rsidR="00BB0C89" w:rsidRPr="00E70587">
              <w:rPr>
                <w:rFonts w:ascii="Arial" w:hAnsi="Arial" w:cs="Arial"/>
                <w:i w:val="0"/>
                <w:sz w:val="20"/>
                <w:lang w:val="en-IN"/>
              </w:rPr>
              <w:t xml:space="preserve"> </w:t>
            </w:r>
            <w:r w:rsidRPr="00E70587">
              <w:rPr>
                <w:rFonts w:ascii="Arial" w:hAnsi="Arial" w:cs="Arial"/>
                <w:i w:val="0"/>
                <w:sz w:val="20"/>
                <w:lang w:val="en-IN"/>
              </w:rPr>
              <w:t xml:space="preserve">(31 </w:t>
            </w:r>
            <w:r w:rsidR="008B730E" w:rsidRPr="00E70587">
              <w:rPr>
                <w:rFonts w:ascii="Arial" w:hAnsi="Arial" w:cs="Arial"/>
                <w:i w:val="0"/>
                <w:sz w:val="20"/>
                <w:lang w:val="en-IN"/>
              </w:rPr>
              <w:t xml:space="preserve">March </w:t>
            </w:r>
            <w:r w:rsidR="00BB0C89" w:rsidRPr="00E70587">
              <w:rPr>
                <w:rFonts w:ascii="Arial" w:hAnsi="Arial" w:cs="Arial"/>
                <w:i w:val="0"/>
                <w:sz w:val="20"/>
                <w:lang w:val="en-IN"/>
              </w:rPr>
              <w:t>20</w:t>
            </w:r>
            <w:r w:rsidR="00BB0C89">
              <w:rPr>
                <w:rFonts w:ascii="Arial" w:hAnsi="Arial" w:cs="Arial"/>
                <w:i w:val="0"/>
                <w:sz w:val="20"/>
                <w:lang w:val="en-IN"/>
              </w:rPr>
              <w:t>20</w:t>
            </w:r>
            <w:r w:rsidRPr="00E70587">
              <w:rPr>
                <w:rFonts w:ascii="Arial" w:hAnsi="Arial" w:cs="Arial"/>
                <w:i w:val="0"/>
                <w:sz w:val="20"/>
                <w:lang w:val="en-IN"/>
              </w:rPr>
              <w:t>:</w:t>
            </w:r>
            <w:r w:rsidR="00DA476B" w:rsidRPr="00E70587">
              <w:rPr>
                <w:rFonts w:ascii="Arial" w:hAnsi="Arial" w:cs="Arial"/>
                <w:i w:val="0"/>
                <w:sz w:val="20"/>
                <w:lang w:val="en-IN"/>
              </w:rPr>
              <w:t xml:space="preserve"> </w:t>
            </w:r>
            <w:r w:rsidRPr="00E70587">
              <w:rPr>
                <w:rFonts w:ascii="Arial" w:hAnsi="Arial" w:cs="Arial"/>
                <w:i w:val="0"/>
                <w:sz w:val="20"/>
                <w:lang w:val="en-IN"/>
              </w:rPr>
              <w:t>11%,) based on the carrying value of borrowings reflected in the financial statements. The Group assessed the concentration of risk with respect to refinancing its debt and concluded it to be low. The Group has access to a sufficient variety of sources of funding and debt maturing within 12 months can be rol</w:t>
            </w:r>
            <w:r w:rsidR="00C41E23" w:rsidRPr="00E70587">
              <w:rPr>
                <w:rFonts w:ascii="Arial" w:hAnsi="Arial" w:cs="Arial"/>
                <w:i w:val="0"/>
                <w:sz w:val="20"/>
                <w:lang w:val="en-IN"/>
              </w:rPr>
              <w:t>led over with existing lenders.</w:t>
            </w:r>
          </w:p>
          <w:p w14:paraId="6F9A5B78" w14:textId="77777777" w:rsidR="00C41E23" w:rsidRPr="00E70587" w:rsidRDefault="00C41E23" w:rsidP="00C41E23">
            <w:pPr>
              <w:pStyle w:val="Notesbodytext"/>
              <w:spacing w:after="0" w:line="280" w:lineRule="exact"/>
              <w:ind w:right="-80"/>
              <w:rPr>
                <w:rFonts w:ascii="Arial" w:hAnsi="Arial"/>
                <w:color w:val="auto"/>
                <w:sz w:val="20"/>
              </w:rPr>
            </w:pPr>
          </w:p>
        </w:tc>
      </w:tr>
      <w:tr w:rsidR="0086091A" w:rsidRPr="00E70587" w14:paraId="261E2BB6" w14:textId="77777777" w:rsidTr="00C41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91D6523" w14:textId="77777777" w:rsidR="0086091A" w:rsidRPr="00E70587" w:rsidRDefault="0086091A" w:rsidP="00C41E23">
            <w:pPr>
              <w:spacing w:line="280" w:lineRule="exact"/>
              <w:jc w:val="both"/>
              <w:rPr>
                <w:rFonts w:ascii="Arial" w:hAnsi="Arial" w:cs="Arial"/>
                <w:b/>
                <w:i/>
                <w:sz w:val="20"/>
              </w:rPr>
            </w:pPr>
            <w:r w:rsidRPr="00E70587">
              <w:rPr>
                <w:rFonts w:ascii="Arial" w:hAnsi="Arial" w:cs="Arial"/>
                <w:b/>
                <w:i/>
                <w:sz w:val="20"/>
              </w:rPr>
              <w:t>Excessive risk concentration</w:t>
            </w:r>
          </w:p>
          <w:p w14:paraId="47BDB480" w14:textId="77777777" w:rsidR="00C41E23" w:rsidRPr="00E70587" w:rsidRDefault="00C41E23" w:rsidP="00C41E23">
            <w:pPr>
              <w:pStyle w:val="IAStext"/>
              <w:spacing w:line="280" w:lineRule="exact"/>
              <w:jc w:val="both"/>
              <w:rPr>
                <w:rFonts w:ascii="Arial" w:hAnsi="Arial" w:cs="Arial"/>
                <w:i w:val="0"/>
                <w:sz w:val="20"/>
                <w:lang w:val="en-IN"/>
              </w:rPr>
            </w:pPr>
          </w:p>
          <w:p w14:paraId="53C26299" w14:textId="77777777" w:rsidR="0086091A" w:rsidRPr="00E70587" w:rsidRDefault="0086091A" w:rsidP="00C41E23">
            <w:pPr>
              <w:pStyle w:val="IAStext"/>
              <w:spacing w:line="280" w:lineRule="exact"/>
              <w:jc w:val="both"/>
              <w:rPr>
                <w:rFonts w:ascii="Arial" w:hAnsi="Arial" w:cs="Arial"/>
                <w:i w:val="0"/>
                <w:sz w:val="20"/>
                <w:lang w:val="en-IN"/>
              </w:rPr>
            </w:pPr>
            <w:r w:rsidRPr="00E70587">
              <w:rPr>
                <w:rFonts w:ascii="Arial" w:hAnsi="Arial" w:cs="Arial"/>
                <w:i w:val="0"/>
                <w:sz w:val="20"/>
                <w:lang w:val="en-IN"/>
              </w:rPr>
              <w:t>Concentrations arise when a number of counterparties are engaged in similar business activities, or activities in the same geographical region, or have economic features that would cause their ability to meet contractual obligations to be similarly affected by changes in economic, political or other conditions. Concentrations indicate the relative sensitivity of the Group’s performance to developments affecting a particular industry.</w:t>
            </w:r>
          </w:p>
          <w:p w14:paraId="634D6816" w14:textId="5B6702C6" w:rsidR="0086091A" w:rsidRDefault="0086091A" w:rsidP="00C41E23">
            <w:pPr>
              <w:pStyle w:val="IAStext"/>
              <w:spacing w:line="280" w:lineRule="exact"/>
              <w:jc w:val="both"/>
              <w:rPr>
                <w:rFonts w:ascii="Arial" w:hAnsi="Arial" w:cs="Arial"/>
                <w:i w:val="0"/>
                <w:sz w:val="20"/>
                <w:lang w:val="en-IN"/>
              </w:rPr>
            </w:pPr>
            <w:r w:rsidRPr="00E70587">
              <w:rPr>
                <w:rFonts w:ascii="Arial" w:hAnsi="Arial" w:cs="Arial"/>
                <w:i w:val="0"/>
                <w:sz w:val="20"/>
                <w:lang w:val="en-IN"/>
              </w:rPr>
              <w:lastRenderedPageBreak/>
              <w:t>In order to avoid excessive concentrations of risk, the Group’s policies and procedures include specific guidelines to focus on the maintenance of a diversified portfolio. Identified concentrations of credit risks are controlled and managed accordingly. Selective hedging is used within the Group to manage risk concentrations at both the relationship and industry levels</w:t>
            </w:r>
            <w:r w:rsidR="00052C0C">
              <w:rPr>
                <w:rFonts w:ascii="Arial" w:hAnsi="Arial" w:cs="Arial"/>
                <w:i w:val="0"/>
                <w:sz w:val="20"/>
                <w:lang w:val="en-IN"/>
              </w:rPr>
              <w:t>.</w:t>
            </w:r>
          </w:p>
          <w:p w14:paraId="19E24B29" w14:textId="6CD860FD" w:rsidR="00052C0C" w:rsidRDefault="00052C0C" w:rsidP="00052C0C"/>
          <w:p w14:paraId="109A8448" w14:textId="77777777" w:rsidR="00C0370C" w:rsidRDefault="00C0370C" w:rsidP="00052C0C">
            <w:pPr>
              <w:shd w:val="clear" w:color="auto" w:fill="C1C1C1" w:themeFill="background2" w:themeFillTint="66"/>
              <w:rPr>
                <w:rFonts w:ascii="Arial" w:hAnsi="Arial" w:cs="Arial"/>
                <w:b/>
                <w:bCs/>
                <w:sz w:val="20"/>
                <w:szCs w:val="22"/>
              </w:rPr>
            </w:pPr>
          </w:p>
          <w:p w14:paraId="43D3A1FC" w14:textId="07B39CFF" w:rsidR="00052C0C" w:rsidRPr="00052C0C" w:rsidRDefault="00052C0C" w:rsidP="00052C0C">
            <w:pPr>
              <w:shd w:val="clear" w:color="auto" w:fill="C1C1C1" w:themeFill="background2" w:themeFillTint="66"/>
              <w:rPr>
                <w:rFonts w:ascii="Arial" w:hAnsi="Arial" w:cs="Arial"/>
                <w:b/>
                <w:bCs/>
                <w:sz w:val="20"/>
                <w:szCs w:val="22"/>
              </w:rPr>
            </w:pPr>
            <w:r w:rsidRPr="00052C0C">
              <w:rPr>
                <w:rFonts w:ascii="Arial" w:hAnsi="Arial" w:cs="Arial"/>
                <w:b/>
                <w:bCs/>
                <w:sz w:val="20"/>
                <w:szCs w:val="22"/>
              </w:rPr>
              <w:t xml:space="preserve">Author’s Note </w:t>
            </w:r>
          </w:p>
          <w:p w14:paraId="610F6CE7" w14:textId="77777777" w:rsidR="00052C0C" w:rsidRPr="00052C0C" w:rsidRDefault="00052C0C" w:rsidP="00052C0C">
            <w:pPr>
              <w:shd w:val="clear" w:color="auto" w:fill="C1C1C1" w:themeFill="background2" w:themeFillTint="66"/>
              <w:rPr>
                <w:rFonts w:ascii="Arial" w:hAnsi="Arial" w:cs="Arial"/>
                <w:sz w:val="20"/>
                <w:szCs w:val="22"/>
              </w:rPr>
            </w:pPr>
          </w:p>
          <w:p w14:paraId="440DB1FC" w14:textId="002B65BD" w:rsidR="00052C0C" w:rsidRDefault="00052C0C" w:rsidP="00052C0C">
            <w:pPr>
              <w:shd w:val="clear" w:color="auto" w:fill="C1C1C1" w:themeFill="background2" w:themeFillTint="66"/>
              <w:rPr>
                <w:rFonts w:ascii="Arial" w:hAnsi="Arial" w:cs="Arial"/>
                <w:sz w:val="20"/>
                <w:szCs w:val="22"/>
              </w:rPr>
            </w:pPr>
            <w:r w:rsidRPr="00052C0C">
              <w:rPr>
                <w:rFonts w:ascii="Arial" w:hAnsi="Arial" w:cs="Arial"/>
                <w:sz w:val="20"/>
                <w:szCs w:val="22"/>
              </w:rPr>
              <w:t>The maturity analysis should include the remaining contractual maturities for derivative financial liabilities, for which contractual maturities are essential to an understanding of the timing of the cash flows.</w:t>
            </w:r>
          </w:p>
          <w:p w14:paraId="1BEAC659" w14:textId="77777777" w:rsidR="00C0370C" w:rsidRPr="00052C0C" w:rsidRDefault="00C0370C" w:rsidP="00052C0C">
            <w:pPr>
              <w:shd w:val="clear" w:color="auto" w:fill="C1C1C1" w:themeFill="background2" w:themeFillTint="66"/>
              <w:rPr>
                <w:rFonts w:ascii="Arial" w:hAnsi="Arial" w:cs="Arial"/>
                <w:sz w:val="20"/>
                <w:szCs w:val="22"/>
              </w:rPr>
            </w:pPr>
          </w:p>
          <w:p w14:paraId="2A38FDEE" w14:textId="02392423" w:rsidR="00052C0C" w:rsidRDefault="00052C0C" w:rsidP="00052C0C"/>
          <w:p w14:paraId="40EFFC64" w14:textId="77777777" w:rsidR="00052C0C" w:rsidRDefault="00052C0C" w:rsidP="00052C0C">
            <w:pPr>
              <w:shd w:val="clear" w:color="auto" w:fill="C1C1C1" w:themeFill="background2" w:themeFillTint="66"/>
              <w:rPr>
                <w:rFonts w:ascii="Arial" w:hAnsi="Arial" w:cs="Arial"/>
                <w:b/>
                <w:bCs/>
                <w:sz w:val="20"/>
                <w:szCs w:val="22"/>
              </w:rPr>
            </w:pPr>
          </w:p>
          <w:p w14:paraId="44345BA1" w14:textId="0B39BC0D" w:rsidR="00052C0C" w:rsidRDefault="00052C0C" w:rsidP="00052C0C">
            <w:pPr>
              <w:shd w:val="clear" w:color="auto" w:fill="C1C1C1" w:themeFill="background2" w:themeFillTint="66"/>
              <w:rPr>
                <w:rFonts w:ascii="Arial" w:hAnsi="Arial" w:cs="Arial"/>
                <w:b/>
                <w:bCs/>
                <w:sz w:val="20"/>
                <w:szCs w:val="22"/>
              </w:rPr>
            </w:pPr>
            <w:r w:rsidRPr="00052C0C">
              <w:rPr>
                <w:rFonts w:ascii="Arial" w:hAnsi="Arial" w:cs="Arial"/>
                <w:b/>
                <w:bCs/>
                <w:sz w:val="20"/>
                <w:szCs w:val="22"/>
              </w:rPr>
              <w:t xml:space="preserve">Covid-19 commentary </w:t>
            </w:r>
          </w:p>
          <w:p w14:paraId="28EFF30A" w14:textId="77777777" w:rsidR="00052C0C" w:rsidRPr="00052C0C" w:rsidRDefault="00052C0C" w:rsidP="00052C0C">
            <w:pPr>
              <w:shd w:val="clear" w:color="auto" w:fill="C1C1C1" w:themeFill="background2" w:themeFillTint="66"/>
              <w:rPr>
                <w:rFonts w:ascii="Arial" w:hAnsi="Arial" w:cs="Arial"/>
                <w:b/>
                <w:bCs/>
                <w:sz w:val="20"/>
                <w:szCs w:val="22"/>
              </w:rPr>
            </w:pPr>
          </w:p>
          <w:p w14:paraId="27AC0A87" w14:textId="77777777" w:rsidR="00052C0C" w:rsidRPr="00052C0C" w:rsidRDefault="00052C0C" w:rsidP="00052C0C">
            <w:pPr>
              <w:shd w:val="clear" w:color="auto" w:fill="C1C1C1" w:themeFill="background2" w:themeFillTint="66"/>
              <w:rPr>
                <w:rFonts w:ascii="Arial" w:hAnsi="Arial" w:cs="Arial"/>
                <w:sz w:val="20"/>
                <w:szCs w:val="22"/>
              </w:rPr>
            </w:pPr>
            <w:r w:rsidRPr="00052C0C">
              <w:rPr>
                <w:rFonts w:ascii="Arial" w:hAnsi="Arial" w:cs="Arial"/>
                <w:sz w:val="20"/>
                <w:szCs w:val="22"/>
              </w:rPr>
              <w:t xml:space="preserve">Entities with concentrations of risk may face greater risk of loss than other entities. IFRS 7.34(c) requires that </w:t>
            </w:r>
          </w:p>
          <w:p w14:paraId="4BEF942F" w14:textId="77777777" w:rsidR="00052C0C" w:rsidRPr="00052C0C" w:rsidRDefault="00052C0C" w:rsidP="00052C0C">
            <w:pPr>
              <w:shd w:val="clear" w:color="auto" w:fill="C1C1C1" w:themeFill="background2" w:themeFillTint="66"/>
              <w:rPr>
                <w:rFonts w:ascii="Arial" w:hAnsi="Arial" w:cs="Arial"/>
                <w:sz w:val="20"/>
                <w:szCs w:val="22"/>
              </w:rPr>
            </w:pPr>
            <w:r w:rsidRPr="00052C0C">
              <w:rPr>
                <w:rFonts w:ascii="Arial" w:hAnsi="Arial" w:cs="Arial"/>
                <w:sz w:val="20"/>
                <w:szCs w:val="22"/>
              </w:rPr>
              <w:t xml:space="preserve">concentration of risk should be disclosed if not otherwise apparent from other risk disclosures provided. </w:t>
            </w:r>
          </w:p>
          <w:p w14:paraId="0E1CAB1F" w14:textId="0743B7D1" w:rsidR="00052C0C" w:rsidRPr="00052C0C" w:rsidRDefault="00052C0C" w:rsidP="00052C0C">
            <w:pPr>
              <w:shd w:val="clear" w:color="auto" w:fill="C1C1C1" w:themeFill="background2" w:themeFillTint="66"/>
              <w:rPr>
                <w:rFonts w:ascii="Arial" w:hAnsi="Arial" w:cs="Arial"/>
                <w:sz w:val="20"/>
                <w:szCs w:val="22"/>
              </w:rPr>
            </w:pPr>
            <w:r w:rsidRPr="00052C0C">
              <w:rPr>
                <w:rFonts w:ascii="Arial" w:hAnsi="Arial" w:cs="Arial"/>
                <w:sz w:val="20"/>
                <w:szCs w:val="22"/>
              </w:rPr>
              <w:t xml:space="preserve"> </w:t>
            </w:r>
          </w:p>
          <w:p w14:paraId="7CDD8213" w14:textId="031B7FFE" w:rsidR="00052C0C" w:rsidRPr="00052C0C" w:rsidRDefault="00052C0C" w:rsidP="00052C0C">
            <w:pPr>
              <w:shd w:val="clear" w:color="auto" w:fill="C1C1C1" w:themeFill="background2" w:themeFillTint="66"/>
              <w:rPr>
                <w:rFonts w:ascii="Arial" w:hAnsi="Arial" w:cs="Arial"/>
                <w:sz w:val="20"/>
                <w:szCs w:val="22"/>
              </w:rPr>
            </w:pPr>
            <w:r w:rsidRPr="00052C0C">
              <w:rPr>
                <w:rFonts w:ascii="Arial" w:hAnsi="Arial" w:cs="Arial"/>
                <w:sz w:val="20"/>
                <w:szCs w:val="22"/>
              </w:rPr>
              <w:t xml:space="preserve">Therefore, entities should consider including the following information:  </w:t>
            </w:r>
          </w:p>
          <w:p w14:paraId="5109DFB5" w14:textId="77777777" w:rsidR="00052C0C" w:rsidRPr="00052C0C" w:rsidRDefault="00052C0C" w:rsidP="00052C0C">
            <w:pPr>
              <w:shd w:val="clear" w:color="auto" w:fill="C1C1C1" w:themeFill="background2" w:themeFillTint="66"/>
              <w:rPr>
                <w:rFonts w:ascii="Arial" w:hAnsi="Arial" w:cs="Arial"/>
                <w:sz w:val="20"/>
                <w:szCs w:val="22"/>
              </w:rPr>
            </w:pPr>
          </w:p>
          <w:p w14:paraId="58D40D7C" w14:textId="77777777" w:rsidR="00052C0C" w:rsidRPr="00052C0C" w:rsidRDefault="00052C0C" w:rsidP="00052C0C">
            <w:pPr>
              <w:shd w:val="clear" w:color="auto" w:fill="C1C1C1" w:themeFill="background2" w:themeFillTint="66"/>
              <w:rPr>
                <w:rFonts w:ascii="Arial" w:hAnsi="Arial" w:cs="Arial"/>
                <w:sz w:val="20"/>
                <w:szCs w:val="22"/>
              </w:rPr>
            </w:pPr>
            <w:r w:rsidRPr="00052C0C">
              <w:rPr>
                <w:rFonts w:ascii="Arial" w:hAnsi="Arial" w:cs="Arial"/>
                <w:sz w:val="20"/>
                <w:szCs w:val="22"/>
              </w:rPr>
              <w:t xml:space="preserve">• A description of how management determines concentrations of risk; </w:t>
            </w:r>
          </w:p>
          <w:p w14:paraId="4D2433EB" w14:textId="25488262" w:rsidR="00052C0C" w:rsidRPr="00052C0C" w:rsidRDefault="00052C0C" w:rsidP="00052C0C">
            <w:pPr>
              <w:shd w:val="clear" w:color="auto" w:fill="C1C1C1" w:themeFill="background2" w:themeFillTint="66"/>
              <w:rPr>
                <w:rFonts w:ascii="Arial" w:hAnsi="Arial" w:cs="Arial"/>
                <w:sz w:val="20"/>
                <w:szCs w:val="22"/>
              </w:rPr>
            </w:pPr>
            <w:r w:rsidRPr="00052C0C">
              <w:rPr>
                <w:rFonts w:ascii="Arial" w:hAnsi="Arial" w:cs="Arial"/>
                <w:sz w:val="20"/>
                <w:szCs w:val="22"/>
              </w:rPr>
              <w:t xml:space="preserve">• A description of the shared characteristic that identifies each concentration. For instance, the shared characteristic may refer to geographical distribution of counterparties by groups of countries, individual countries or regions within countries and/or by industry; and </w:t>
            </w:r>
          </w:p>
          <w:p w14:paraId="00E8AC12" w14:textId="219E3818" w:rsidR="00052C0C" w:rsidRPr="00052C0C" w:rsidRDefault="00052C0C" w:rsidP="00052C0C">
            <w:pPr>
              <w:shd w:val="clear" w:color="auto" w:fill="C1C1C1" w:themeFill="background2" w:themeFillTint="66"/>
              <w:rPr>
                <w:rFonts w:ascii="Arial" w:hAnsi="Arial" w:cs="Arial"/>
                <w:sz w:val="20"/>
                <w:szCs w:val="22"/>
              </w:rPr>
            </w:pPr>
            <w:r w:rsidRPr="00052C0C">
              <w:rPr>
                <w:rFonts w:ascii="Arial" w:hAnsi="Arial" w:cs="Arial"/>
                <w:sz w:val="20"/>
                <w:szCs w:val="22"/>
              </w:rPr>
              <w:t xml:space="preserve">• The amount of the risk exposure associated with all financial instruments sharing that characteristic. </w:t>
            </w:r>
          </w:p>
          <w:p w14:paraId="4DDABDBF" w14:textId="77777777" w:rsidR="00052C0C" w:rsidRPr="00052C0C" w:rsidRDefault="00052C0C" w:rsidP="00052C0C">
            <w:pPr>
              <w:shd w:val="clear" w:color="auto" w:fill="C1C1C1" w:themeFill="background2" w:themeFillTint="66"/>
              <w:spacing w:line="240" w:lineRule="auto"/>
              <w:rPr>
                <w:rFonts w:ascii="Arial" w:hAnsi="Arial" w:cs="Arial"/>
                <w:sz w:val="20"/>
                <w:szCs w:val="22"/>
              </w:rPr>
            </w:pPr>
          </w:p>
          <w:p w14:paraId="652C0883" w14:textId="749F1022" w:rsidR="00052C0C" w:rsidRDefault="00052C0C" w:rsidP="00052C0C">
            <w:pPr>
              <w:shd w:val="clear" w:color="auto" w:fill="C1C1C1" w:themeFill="background2" w:themeFillTint="66"/>
              <w:spacing w:line="240" w:lineRule="auto"/>
              <w:rPr>
                <w:rFonts w:ascii="Arial" w:hAnsi="Arial" w:cs="Arial"/>
                <w:sz w:val="20"/>
                <w:szCs w:val="22"/>
              </w:rPr>
            </w:pPr>
            <w:r w:rsidRPr="00052C0C">
              <w:rPr>
                <w:rFonts w:ascii="Arial" w:hAnsi="Arial" w:cs="Arial"/>
                <w:sz w:val="20"/>
                <w:szCs w:val="22"/>
              </w:rPr>
              <w:t xml:space="preserve">Entities that have identified concentrations of activities in areas or industries affected by the Covid-19 pandemic and have not previously disclosed the concentration because they did not believe that the </w:t>
            </w:r>
            <w:proofErr w:type="gramStart"/>
            <w:r w:rsidRPr="00052C0C">
              <w:rPr>
                <w:rFonts w:ascii="Arial" w:hAnsi="Arial" w:cs="Arial"/>
                <w:sz w:val="20"/>
                <w:szCs w:val="22"/>
              </w:rPr>
              <w:t>entity  was</w:t>
            </w:r>
            <w:proofErr w:type="gramEnd"/>
            <w:r w:rsidRPr="00052C0C">
              <w:rPr>
                <w:rFonts w:ascii="Arial" w:hAnsi="Arial" w:cs="Arial"/>
                <w:sz w:val="20"/>
                <w:szCs w:val="22"/>
              </w:rPr>
              <w:t xml:space="preserve"> vulnerable to the risk of a near-term severe impact, should now reconsider making such a disclosure.  Similarly, liquidity risk in the current economic environment is increased. Therefore, it is expected that the disclosures required under Ind AS 107 in this area will reflect any significant changes in the liquidity position as a result of the Covid-19 pandemic. Entities should be mindful that this disclosure is consistent with their assessment of the going concern assumption.</w:t>
            </w:r>
          </w:p>
          <w:p w14:paraId="6B2AD4A8" w14:textId="77777777" w:rsidR="00C0370C" w:rsidRPr="00052C0C" w:rsidRDefault="00C0370C" w:rsidP="00052C0C">
            <w:pPr>
              <w:shd w:val="clear" w:color="auto" w:fill="C1C1C1" w:themeFill="background2" w:themeFillTint="66"/>
              <w:spacing w:line="240" w:lineRule="auto"/>
              <w:rPr>
                <w:rFonts w:ascii="Arial" w:hAnsi="Arial" w:cs="Arial"/>
                <w:sz w:val="20"/>
                <w:szCs w:val="22"/>
              </w:rPr>
            </w:pPr>
          </w:p>
          <w:p w14:paraId="2B9F1266" w14:textId="77777777" w:rsidR="0086091A" w:rsidRPr="00E70587" w:rsidRDefault="0086091A" w:rsidP="00C41E23">
            <w:pPr>
              <w:pStyle w:val="IAStext"/>
              <w:spacing w:line="280" w:lineRule="exact"/>
              <w:jc w:val="both"/>
              <w:rPr>
                <w:rFonts w:ascii="Arial" w:hAnsi="Arial" w:cs="Arial"/>
                <w:i w:val="0"/>
                <w:sz w:val="20"/>
                <w:lang w:val="en-IN"/>
              </w:rPr>
            </w:pPr>
          </w:p>
          <w:p w14:paraId="109196F1" w14:textId="77777777" w:rsidR="0086091A" w:rsidRPr="00E70587" w:rsidRDefault="0086091A" w:rsidP="00C41E23">
            <w:pPr>
              <w:pStyle w:val="IAStext"/>
              <w:spacing w:line="280" w:lineRule="exact"/>
              <w:jc w:val="both"/>
              <w:rPr>
                <w:rFonts w:ascii="Arial" w:hAnsi="Arial" w:cs="Arial"/>
                <w:i w:val="0"/>
                <w:sz w:val="20"/>
                <w:lang w:val="en-IN"/>
              </w:rPr>
            </w:pPr>
            <w:r w:rsidRPr="00E70587">
              <w:rPr>
                <w:rFonts w:ascii="Arial" w:hAnsi="Arial" w:cs="Arial"/>
                <w:i w:val="0"/>
                <w:sz w:val="20"/>
                <w:lang w:val="en-IN"/>
              </w:rPr>
              <w:t>The table below summarises the maturity profile of the Group’s financial liabilities based on contractual undiscounted payments</w:t>
            </w:r>
          </w:p>
          <w:p w14:paraId="3C5864C2" w14:textId="77777777" w:rsidR="00B94EDC" w:rsidRPr="00E70587" w:rsidRDefault="00B94EDC" w:rsidP="00B94EDC">
            <w:pPr>
              <w:rPr>
                <w:rFonts w:ascii="Arial" w:hAnsi="Arial"/>
              </w:rPr>
            </w:pPr>
          </w:p>
        </w:tc>
      </w:tr>
    </w:tbl>
    <w:p w14:paraId="20B022D3" w14:textId="77777777" w:rsidR="00657499" w:rsidRDefault="00657499" w:rsidP="009901E1">
      <w:pPr>
        <w:pStyle w:val="Notesbodytext"/>
        <w:spacing w:after="0" w:line="280" w:lineRule="exact"/>
        <w:jc w:val="both"/>
        <w:rPr>
          <w:rFonts w:ascii="Arial" w:hAnsi="Arial"/>
          <w:b/>
          <w:color w:val="auto"/>
          <w:sz w:val="20"/>
        </w:rPr>
      </w:pPr>
    </w:p>
    <w:p w14:paraId="2034C30F" w14:textId="77777777" w:rsidR="00657499" w:rsidRDefault="00657499" w:rsidP="009901E1">
      <w:pPr>
        <w:pStyle w:val="Notesbodytext"/>
        <w:spacing w:after="0" w:line="280" w:lineRule="exact"/>
        <w:jc w:val="both"/>
        <w:rPr>
          <w:rFonts w:ascii="Arial" w:hAnsi="Arial"/>
          <w:b/>
          <w:color w:val="auto"/>
          <w:sz w:val="20"/>
        </w:rPr>
      </w:pPr>
    </w:p>
    <w:p w14:paraId="6E7FB8A9" w14:textId="1987170A" w:rsidR="00352ED6" w:rsidRPr="00D6235C" w:rsidRDefault="00C41E23" w:rsidP="009901E1">
      <w:pPr>
        <w:pStyle w:val="Notesbodytext"/>
        <w:spacing w:after="0" w:line="280" w:lineRule="exact"/>
        <w:jc w:val="both"/>
        <w:rPr>
          <w:rFonts w:ascii="Arial" w:hAnsi="Arial"/>
          <w:b/>
          <w:color w:val="auto"/>
          <w:sz w:val="20"/>
        </w:rPr>
      </w:pPr>
      <w:r w:rsidRPr="00D6235C">
        <w:rPr>
          <w:rFonts w:ascii="Arial" w:hAnsi="Arial"/>
          <w:b/>
          <w:color w:val="auto"/>
          <w:sz w:val="20"/>
        </w:rPr>
        <w:t xml:space="preserve">Year ended 31 </w:t>
      </w:r>
      <w:r w:rsidR="00E1202D" w:rsidRPr="00D6235C">
        <w:rPr>
          <w:rFonts w:ascii="Arial" w:hAnsi="Arial"/>
          <w:b/>
          <w:color w:val="auto"/>
          <w:sz w:val="20"/>
        </w:rPr>
        <w:t xml:space="preserve">March </w:t>
      </w:r>
      <w:r w:rsidR="004A0AEB" w:rsidRPr="00D6235C">
        <w:rPr>
          <w:rFonts w:ascii="Arial" w:hAnsi="Arial"/>
          <w:b/>
          <w:color w:val="auto"/>
          <w:sz w:val="20"/>
        </w:rPr>
        <w:t>2021</w:t>
      </w:r>
    </w:p>
    <w:p w14:paraId="34DC198A" w14:textId="77777777" w:rsidR="00C41E23" w:rsidRPr="00D6235C" w:rsidRDefault="00C41E23" w:rsidP="009901E1">
      <w:pPr>
        <w:pStyle w:val="Notesbodytext"/>
        <w:spacing w:after="0" w:line="280" w:lineRule="exact"/>
        <w:jc w:val="both"/>
        <w:rPr>
          <w:rFonts w:ascii="Arial" w:hAnsi="Arial"/>
          <w:color w:val="auto"/>
          <w:sz w:val="20"/>
        </w:rPr>
      </w:pPr>
    </w:p>
    <w:tbl>
      <w:tblPr>
        <w:tblW w:w="9576" w:type="dxa"/>
        <w:tblLayout w:type="fixed"/>
        <w:tblCellMar>
          <w:left w:w="72" w:type="dxa"/>
          <w:right w:w="72" w:type="dxa"/>
        </w:tblCellMar>
        <w:tblLook w:val="01E0" w:firstRow="1" w:lastRow="1" w:firstColumn="1" w:lastColumn="1" w:noHBand="0" w:noVBand="0"/>
      </w:tblPr>
      <w:tblGrid>
        <w:gridCol w:w="1880"/>
        <w:gridCol w:w="1282"/>
        <w:gridCol w:w="1283"/>
        <w:gridCol w:w="1283"/>
        <w:gridCol w:w="1282"/>
        <w:gridCol w:w="1283"/>
        <w:gridCol w:w="1283"/>
      </w:tblGrid>
      <w:tr w:rsidR="0086091A" w:rsidRPr="00D6235C" w14:paraId="57F3D207" w14:textId="77777777" w:rsidTr="00C41E23">
        <w:tc>
          <w:tcPr>
            <w:tcW w:w="1880" w:type="dxa"/>
            <w:tcMar>
              <w:left w:w="108" w:type="dxa"/>
            </w:tcMar>
            <w:vAlign w:val="bottom"/>
          </w:tcPr>
          <w:p w14:paraId="7ACC9D91" w14:textId="77777777" w:rsidR="0086091A" w:rsidRPr="00D6235C" w:rsidRDefault="0086091A" w:rsidP="009901E1">
            <w:pPr>
              <w:pStyle w:val="Tablecolumnheading"/>
              <w:spacing w:line="280" w:lineRule="exact"/>
              <w:jc w:val="left"/>
              <w:rPr>
                <w:rFonts w:ascii="Arial" w:hAnsi="Arial"/>
                <w:color w:val="auto"/>
                <w:sz w:val="20"/>
                <w:szCs w:val="20"/>
                <w:lang w:val="en-IN"/>
              </w:rPr>
            </w:pPr>
          </w:p>
        </w:tc>
        <w:tc>
          <w:tcPr>
            <w:tcW w:w="1282" w:type="dxa"/>
            <w:tcBorders>
              <w:bottom w:val="single" w:sz="4" w:space="0" w:color="auto"/>
            </w:tcBorders>
            <w:vAlign w:val="bottom"/>
          </w:tcPr>
          <w:p w14:paraId="16C5CD19" w14:textId="77777777" w:rsidR="0086091A" w:rsidRPr="00D6235C" w:rsidRDefault="0086091A" w:rsidP="00926CAF">
            <w:pPr>
              <w:pStyle w:val="Tablecolumnheading"/>
              <w:spacing w:line="280" w:lineRule="exact"/>
              <w:rPr>
                <w:rFonts w:ascii="Arial" w:hAnsi="Arial"/>
                <w:color w:val="auto"/>
                <w:sz w:val="20"/>
                <w:szCs w:val="20"/>
                <w:lang w:val="en-IN"/>
              </w:rPr>
            </w:pPr>
            <w:r w:rsidRPr="00D6235C">
              <w:rPr>
                <w:rFonts w:ascii="Arial" w:hAnsi="Arial"/>
                <w:color w:val="auto"/>
                <w:sz w:val="20"/>
                <w:szCs w:val="20"/>
                <w:lang w:val="en-IN"/>
              </w:rPr>
              <w:t>On demand</w:t>
            </w:r>
          </w:p>
        </w:tc>
        <w:tc>
          <w:tcPr>
            <w:tcW w:w="1283" w:type="dxa"/>
            <w:tcBorders>
              <w:bottom w:val="single" w:sz="4" w:space="0" w:color="auto"/>
            </w:tcBorders>
            <w:vAlign w:val="bottom"/>
          </w:tcPr>
          <w:p w14:paraId="3D59F0A7" w14:textId="77777777" w:rsidR="0086091A" w:rsidRPr="00D6235C" w:rsidRDefault="0086091A" w:rsidP="00926CAF">
            <w:pPr>
              <w:pStyle w:val="Tablecolumnheading"/>
              <w:spacing w:line="280" w:lineRule="exact"/>
              <w:rPr>
                <w:rFonts w:ascii="Arial" w:hAnsi="Arial"/>
                <w:color w:val="auto"/>
                <w:sz w:val="20"/>
                <w:szCs w:val="20"/>
                <w:lang w:val="en-IN"/>
              </w:rPr>
            </w:pPr>
            <w:r w:rsidRPr="00D6235C">
              <w:rPr>
                <w:rFonts w:ascii="Arial" w:hAnsi="Arial"/>
                <w:color w:val="auto"/>
                <w:sz w:val="20"/>
                <w:szCs w:val="20"/>
                <w:lang w:val="en-IN"/>
              </w:rPr>
              <w:t>Less than 3 months</w:t>
            </w:r>
          </w:p>
        </w:tc>
        <w:tc>
          <w:tcPr>
            <w:tcW w:w="1283" w:type="dxa"/>
            <w:tcBorders>
              <w:bottom w:val="single" w:sz="4" w:space="0" w:color="auto"/>
            </w:tcBorders>
            <w:vAlign w:val="bottom"/>
          </w:tcPr>
          <w:p w14:paraId="3E7215D4" w14:textId="77777777" w:rsidR="0086091A" w:rsidRPr="00D6235C" w:rsidRDefault="0086091A" w:rsidP="00926CAF">
            <w:pPr>
              <w:pStyle w:val="Tablecolumnheading"/>
              <w:spacing w:line="280" w:lineRule="exact"/>
              <w:rPr>
                <w:rFonts w:ascii="Arial" w:hAnsi="Arial"/>
                <w:color w:val="auto"/>
                <w:sz w:val="20"/>
                <w:szCs w:val="20"/>
                <w:lang w:val="en-IN"/>
              </w:rPr>
            </w:pPr>
            <w:r w:rsidRPr="00D6235C">
              <w:rPr>
                <w:rFonts w:ascii="Arial" w:hAnsi="Arial"/>
                <w:color w:val="auto"/>
                <w:sz w:val="20"/>
                <w:szCs w:val="20"/>
                <w:lang w:val="en-IN"/>
              </w:rPr>
              <w:t>3 to 12 months</w:t>
            </w:r>
          </w:p>
        </w:tc>
        <w:tc>
          <w:tcPr>
            <w:tcW w:w="1282" w:type="dxa"/>
            <w:tcBorders>
              <w:bottom w:val="single" w:sz="4" w:space="0" w:color="auto"/>
            </w:tcBorders>
            <w:vAlign w:val="bottom"/>
          </w:tcPr>
          <w:p w14:paraId="39BC33B8" w14:textId="77777777" w:rsidR="0086091A" w:rsidRPr="00D6235C" w:rsidRDefault="0086091A" w:rsidP="00926CAF">
            <w:pPr>
              <w:pStyle w:val="Tablecolumnheading"/>
              <w:spacing w:line="280" w:lineRule="exact"/>
              <w:rPr>
                <w:rFonts w:ascii="Arial" w:hAnsi="Arial"/>
                <w:color w:val="auto"/>
                <w:sz w:val="20"/>
                <w:szCs w:val="20"/>
                <w:lang w:val="en-IN"/>
              </w:rPr>
            </w:pPr>
            <w:r w:rsidRPr="00D6235C">
              <w:rPr>
                <w:rFonts w:ascii="Arial" w:hAnsi="Arial"/>
                <w:color w:val="auto"/>
                <w:sz w:val="20"/>
                <w:szCs w:val="20"/>
                <w:lang w:val="en-IN"/>
              </w:rPr>
              <w:t>1 to 5 years</w:t>
            </w:r>
          </w:p>
        </w:tc>
        <w:tc>
          <w:tcPr>
            <w:tcW w:w="1283" w:type="dxa"/>
            <w:tcBorders>
              <w:bottom w:val="single" w:sz="4" w:space="0" w:color="auto"/>
            </w:tcBorders>
            <w:vAlign w:val="bottom"/>
          </w:tcPr>
          <w:p w14:paraId="0418DB2F" w14:textId="77777777" w:rsidR="0086091A" w:rsidRPr="00D6235C" w:rsidRDefault="0086091A" w:rsidP="00926CAF">
            <w:pPr>
              <w:pStyle w:val="Tablecolumnheading"/>
              <w:spacing w:line="280" w:lineRule="exact"/>
              <w:rPr>
                <w:rFonts w:ascii="Arial" w:hAnsi="Arial"/>
                <w:color w:val="auto"/>
                <w:sz w:val="20"/>
                <w:szCs w:val="20"/>
                <w:lang w:val="en-IN"/>
              </w:rPr>
            </w:pPr>
            <w:r w:rsidRPr="00D6235C">
              <w:rPr>
                <w:rFonts w:ascii="Arial" w:hAnsi="Arial"/>
                <w:color w:val="auto"/>
                <w:sz w:val="20"/>
                <w:szCs w:val="20"/>
                <w:lang w:val="en-IN"/>
              </w:rPr>
              <w:t>&gt; 5 years</w:t>
            </w:r>
          </w:p>
        </w:tc>
        <w:tc>
          <w:tcPr>
            <w:tcW w:w="1283" w:type="dxa"/>
            <w:tcBorders>
              <w:bottom w:val="single" w:sz="4" w:space="0" w:color="auto"/>
            </w:tcBorders>
            <w:vAlign w:val="bottom"/>
          </w:tcPr>
          <w:p w14:paraId="489D5C89" w14:textId="77777777" w:rsidR="0086091A" w:rsidRPr="00D6235C" w:rsidRDefault="0086091A" w:rsidP="00926CAF">
            <w:pPr>
              <w:pStyle w:val="Tablecolumnheading"/>
              <w:spacing w:line="280" w:lineRule="exact"/>
              <w:ind w:left="-71"/>
              <w:rPr>
                <w:rFonts w:ascii="Arial" w:hAnsi="Arial"/>
                <w:color w:val="auto"/>
                <w:sz w:val="20"/>
                <w:szCs w:val="20"/>
                <w:lang w:val="en-IN"/>
              </w:rPr>
            </w:pPr>
            <w:r w:rsidRPr="00D6235C">
              <w:rPr>
                <w:rFonts w:ascii="Arial" w:hAnsi="Arial"/>
                <w:color w:val="auto"/>
                <w:sz w:val="20"/>
                <w:szCs w:val="20"/>
                <w:lang w:val="en-IN"/>
              </w:rPr>
              <w:t>Total</w:t>
            </w:r>
          </w:p>
        </w:tc>
      </w:tr>
      <w:tr w:rsidR="0086091A" w:rsidRPr="00D6235C" w14:paraId="707FA99A" w14:textId="77777777" w:rsidTr="00C41E23">
        <w:tc>
          <w:tcPr>
            <w:tcW w:w="1880" w:type="dxa"/>
          </w:tcPr>
          <w:p w14:paraId="3FCD43B7" w14:textId="77777777" w:rsidR="0086091A" w:rsidRPr="00D6235C" w:rsidRDefault="0086091A" w:rsidP="009901E1">
            <w:pPr>
              <w:pStyle w:val="Tablecolumnheading"/>
              <w:spacing w:line="280" w:lineRule="exact"/>
              <w:rPr>
                <w:rFonts w:ascii="Arial" w:hAnsi="Arial"/>
                <w:color w:val="auto"/>
                <w:sz w:val="20"/>
                <w:szCs w:val="20"/>
                <w:lang w:val="en-IN"/>
              </w:rPr>
            </w:pPr>
          </w:p>
        </w:tc>
        <w:tc>
          <w:tcPr>
            <w:tcW w:w="1282" w:type="dxa"/>
            <w:tcBorders>
              <w:top w:val="single" w:sz="4" w:space="0" w:color="auto"/>
            </w:tcBorders>
            <w:vAlign w:val="bottom"/>
          </w:tcPr>
          <w:p w14:paraId="40AB8FE8" w14:textId="77777777" w:rsidR="0086091A" w:rsidRPr="00D6235C" w:rsidRDefault="0086091A" w:rsidP="00926CAF">
            <w:pPr>
              <w:pStyle w:val="Tablecolumnheading"/>
              <w:spacing w:line="280" w:lineRule="exact"/>
              <w:rPr>
                <w:rFonts w:ascii="Arial" w:hAnsi="Arial"/>
                <w:color w:val="auto"/>
                <w:sz w:val="20"/>
                <w:szCs w:val="20"/>
                <w:lang w:val="en-IN"/>
              </w:rPr>
            </w:pPr>
            <w:r w:rsidRPr="00D6235C">
              <w:rPr>
                <w:rFonts w:ascii="Arial" w:hAnsi="Arial"/>
                <w:color w:val="auto"/>
                <w:sz w:val="20"/>
                <w:szCs w:val="20"/>
                <w:lang w:val="en-IN"/>
              </w:rPr>
              <w:t>INR Lacs</w:t>
            </w:r>
          </w:p>
        </w:tc>
        <w:tc>
          <w:tcPr>
            <w:tcW w:w="1283" w:type="dxa"/>
            <w:tcBorders>
              <w:top w:val="single" w:sz="4" w:space="0" w:color="auto"/>
            </w:tcBorders>
            <w:vAlign w:val="bottom"/>
          </w:tcPr>
          <w:p w14:paraId="10BC9B9D" w14:textId="77777777" w:rsidR="0086091A" w:rsidRPr="00D6235C" w:rsidRDefault="0086091A" w:rsidP="00926CAF">
            <w:pPr>
              <w:pStyle w:val="Tablecolumnheading"/>
              <w:spacing w:line="280" w:lineRule="exact"/>
              <w:rPr>
                <w:rFonts w:ascii="Arial" w:hAnsi="Arial"/>
                <w:color w:val="auto"/>
                <w:sz w:val="20"/>
                <w:szCs w:val="20"/>
                <w:lang w:val="en-IN"/>
              </w:rPr>
            </w:pPr>
            <w:r w:rsidRPr="00D6235C">
              <w:rPr>
                <w:rFonts w:ascii="Arial" w:hAnsi="Arial"/>
                <w:color w:val="auto"/>
                <w:sz w:val="20"/>
                <w:szCs w:val="20"/>
                <w:lang w:val="en-IN"/>
              </w:rPr>
              <w:t>INR Lacs</w:t>
            </w:r>
          </w:p>
        </w:tc>
        <w:tc>
          <w:tcPr>
            <w:tcW w:w="1283" w:type="dxa"/>
            <w:tcBorders>
              <w:top w:val="single" w:sz="4" w:space="0" w:color="auto"/>
            </w:tcBorders>
            <w:vAlign w:val="bottom"/>
          </w:tcPr>
          <w:p w14:paraId="2EAA91D4" w14:textId="77777777" w:rsidR="0086091A" w:rsidRPr="00D6235C" w:rsidRDefault="0086091A" w:rsidP="00926CAF">
            <w:pPr>
              <w:pStyle w:val="Tablecolumnheading"/>
              <w:spacing w:line="280" w:lineRule="exact"/>
              <w:rPr>
                <w:rFonts w:ascii="Arial" w:hAnsi="Arial"/>
                <w:color w:val="auto"/>
                <w:sz w:val="20"/>
                <w:szCs w:val="20"/>
                <w:lang w:val="en-IN"/>
              </w:rPr>
            </w:pPr>
            <w:r w:rsidRPr="00D6235C">
              <w:rPr>
                <w:rFonts w:ascii="Arial" w:hAnsi="Arial"/>
                <w:color w:val="auto"/>
                <w:sz w:val="20"/>
                <w:szCs w:val="20"/>
                <w:lang w:val="en-IN"/>
              </w:rPr>
              <w:t>INR Lacs</w:t>
            </w:r>
          </w:p>
        </w:tc>
        <w:tc>
          <w:tcPr>
            <w:tcW w:w="1282" w:type="dxa"/>
            <w:tcBorders>
              <w:top w:val="single" w:sz="4" w:space="0" w:color="auto"/>
            </w:tcBorders>
            <w:vAlign w:val="bottom"/>
          </w:tcPr>
          <w:p w14:paraId="60A949E8" w14:textId="77777777" w:rsidR="0086091A" w:rsidRPr="00D6235C" w:rsidRDefault="0086091A" w:rsidP="00926CAF">
            <w:pPr>
              <w:pStyle w:val="Tablecolumnheading"/>
              <w:spacing w:line="280" w:lineRule="exact"/>
              <w:rPr>
                <w:rFonts w:ascii="Arial" w:hAnsi="Arial"/>
                <w:color w:val="auto"/>
                <w:sz w:val="20"/>
                <w:szCs w:val="20"/>
                <w:lang w:val="en-IN"/>
              </w:rPr>
            </w:pPr>
            <w:r w:rsidRPr="00D6235C">
              <w:rPr>
                <w:rFonts w:ascii="Arial" w:hAnsi="Arial"/>
                <w:color w:val="auto"/>
                <w:sz w:val="20"/>
                <w:szCs w:val="20"/>
                <w:lang w:val="en-IN"/>
              </w:rPr>
              <w:t>INR Lacs</w:t>
            </w:r>
          </w:p>
        </w:tc>
        <w:tc>
          <w:tcPr>
            <w:tcW w:w="1283" w:type="dxa"/>
            <w:tcBorders>
              <w:top w:val="single" w:sz="4" w:space="0" w:color="auto"/>
            </w:tcBorders>
            <w:vAlign w:val="bottom"/>
          </w:tcPr>
          <w:p w14:paraId="59852597" w14:textId="77777777" w:rsidR="0086091A" w:rsidRPr="00D6235C" w:rsidRDefault="0086091A" w:rsidP="00926CAF">
            <w:pPr>
              <w:pStyle w:val="Tablecolumnheading"/>
              <w:spacing w:line="280" w:lineRule="exact"/>
              <w:rPr>
                <w:rFonts w:ascii="Arial" w:hAnsi="Arial"/>
                <w:color w:val="auto"/>
                <w:sz w:val="20"/>
                <w:szCs w:val="20"/>
                <w:lang w:val="en-IN"/>
              </w:rPr>
            </w:pPr>
            <w:r w:rsidRPr="00D6235C">
              <w:rPr>
                <w:rFonts w:ascii="Arial" w:hAnsi="Arial"/>
                <w:color w:val="auto"/>
                <w:sz w:val="20"/>
                <w:szCs w:val="20"/>
                <w:lang w:val="en-IN"/>
              </w:rPr>
              <w:t>INR Lacs</w:t>
            </w:r>
          </w:p>
        </w:tc>
        <w:tc>
          <w:tcPr>
            <w:tcW w:w="1283" w:type="dxa"/>
            <w:tcBorders>
              <w:top w:val="single" w:sz="4" w:space="0" w:color="auto"/>
            </w:tcBorders>
            <w:vAlign w:val="bottom"/>
          </w:tcPr>
          <w:p w14:paraId="640009AA" w14:textId="77777777" w:rsidR="0086091A" w:rsidRPr="00D6235C" w:rsidRDefault="0086091A" w:rsidP="00926CAF">
            <w:pPr>
              <w:pStyle w:val="Tablecolumnheading"/>
              <w:spacing w:line="280" w:lineRule="exact"/>
              <w:ind w:left="-71"/>
              <w:rPr>
                <w:rFonts w:ascii="Arial" w:hAnsi="Arial"/>
                <w:color w:val="auto"/>
                <w:sz w:val="20"/>
                <w:szCs w:val="20"/>
                <w:lang w:val="en-IN"/>
              </w:rPr>
            </w:pPr>
            <w:r w:rsidRPr="00D6235C">
              <w:rPr>
                <w:rFonts w:ascii="Arial" w:hAnsi="Arial"/>
                <w:color w:val="auto"/>
                <w:sz w:val="20"/>
                <w:szCs w:val="20"/>
                <w:lang w:val="en-IN"/>
              </w:rPr>
              <w:t>INR Lacs</w:t>
            </w:r>
          </w:p>
        </w:tc>
      </w:tr>
      <w:tr w:rsidR="0086091A" w:rsidRPr="00D6235C" w14:paraId="4FBA530E" w14:textId="77777777" w:rsidTr="00926CAF">
        <w:tc>
          <w:tcPr>
            <w:tcW w:w="1880" w:type="dxa"/>
            <w:tcMar>
              <w:left w:w="108" w:type="dxa"/>
              <w:right w:w="0" w:type="dxa"/>
            </w:tcMar>
            <w:vAlign w:val="center"/>
          </w:tcPr>
          <w:p w14:paraId="6C9A79E5" w14:textId="15E9DC93" w:rsidR="0086091A" w:rsidRPr="00D6235C" w:rsidRDefault="00BC09BA" w:rsidP="009901E1">
            <w:pPr>
              <w:pStyle w:val="tabletext"/>
              <w:overflowPunct w:val="0"/>
              <w:autoSpaceDE w:val="0"/>
              <w:autoSpaceDN w:val="0"/>
              <w:adjustRightInd w:val="0"/>
              <w:spacing w:line="280" w:lineRule="exact"/>
              <w:ind w:right="115"/>
              <w:textAlignment w:val="baseline"/>
              <w:rPr>
                <w:rFonts w:ascii="Arial" w:hAnsi="Arial" w:cs="Arial"/>
                <w:spacing w:val="-4"/>
                <w:sz w:val="20"/>
                <w:lang w:val="en-IN"/>
              </w:rPr>
            </w:pPr>
            <w:r w:rsidRPr="00D6235C">
              <w:rPr>
                <w:rFonts w:ascii="Arial" w:hAnsi="Arial" w:cs="Arial"/>
                <w:spacing w:val="-4"/>
                <w:sz w:val="20"/>
                <w:lang w:val="en-IN"/>
              </w:rPr>
              <w:t>B</w:t>
            </w:r>
            <w:r w:rsidR="0086091A" w:rsidRPr="00D6235C">
              <w:rPr>
                <w:rFonts w:ascii="Arial" w:hAnsi="Arial" w:cs="Arial"/>
                <w:spacing w:val="-4"/>
                <w:sz w:val="20"/>
                <w:lang w:val="en-IN"/>
              </w:rPr>
              <w:t xml:space="preserve">orrowings (other than </w:t>
            </w:r>
            <w:r w:rsidR="00D00EF7" w:rsidRPr="00D6235C">
              <w:rPr>
                <w:rFonts w:ascii="Arial" w:hAnsi="Arial" w:cs="Arial"/>
                <w:spacing w:val="-4"/>
                <w:sz w:val="20"/>
                <w:lang w:val="en-IN"/>
              </w:rPr>
              <w:t xml:space="preserve">lease liabilities &amp; </w:t>
            </w:r>
            <w:r w:rsidR="0086091A" w:rsidRPr="00D6235C">
              <w:rPr>
                <w:rFonts w:ascii="Arial" w:hAnsi="Arial" w:cs="Arial"/>
                <w:spacing w:val="-4"/>
                <w:sz w:val="20"/>
                <w:lang w:val="en-IN"/>
              </w:rPr>
              <w:t>convertible preference shares)</w:t>
            </w:r>
          </w:p>
        </w:tc>
        <w:tc>
          <w:tcPr>
            <w:tcW w:w="1282" w:type="dxa"/>
            <w:vAlign w:val="bottom"/>
          </w:tcPr>
          <w:p w14:paraId="7D433741" w14:textId="6E8B997F" w:rsidR="0086091A" w:rsidRPr="00D6235C" w:rsidRDefault="00F35F6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1,739</w:t>
            </w:r>
          </w:p>
        </w:tc>
        <w:tc>
          <w:tcPr>
            <w:tcW w:w="1283" w:type="dxa"/>
            <w:vAlign w:val="bottom"/>
          </w:tcPr>
          <w:p w14:paraId="16ABBC91" w14:textId="7C8C862F" w:rsidR="0086091A" w:rsidRPr="00D6235C" w:rsidRDefault="00F35F6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w:t>
            </w:r>
          </w:p>
        </w:tc>
        <w:tc>
          <w:tcPr>
            <w:tcW w:w="1283" w:type="dxa"/>
            <w:vAlign w:val="bottom"/>
          </w:tcPr>
          <w:p w14:paraId="556DB535" w14:textId="3604AC64" w:rsidR="0086091A" w:rsidRPr="00D6235C" w:rsidRDefault="00F35F6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2,560</w:t>
            </w:r>
          </w:p>
        </w:tc>
        <w:tc>
          <w:tcPr>
            <w:tcW w:w="1282" w:type="dxa"/>
            <w:vAlign w:val="bottom"/>
          </w:tcPr>
          <w:p w14:paraId="6CCD845F" w14:textId="6C5640C8" w:rsidR="0086091A" w:rsidRPr="00D6235C" w:rsidRDefault="00F35F6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18,997</w:t>
            </w:r>
          </w:p>
        </w:tc>
        <w:tc>
          <w:tcPr>
            <w:tcW w:w="1283" w:type="dxa"/>
            <w:vAlign w:val="bottom"/>
          </w:tcPr>
          <w:p w14:paraId="235C33B7" w14:textId="44002B4C" w:rsidR="0086091A" w:rsidRPr="00D6235C" w:rsidRDefault="00F35F6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14,400</w:t>
            </w:r>
          </w:p>
        </w:tc>
        <w:tc>
          <w:tcPr>
            <w:tcW w:w="1283" w:type="dxa"/>
            <w:vAlign w:val="bottom"/>
          </w:tcPr>
          <w:p w14:paraId="2338A90E" w14:textId="5589D927" w:rsidR="0086091A" w:rsidRPr="00D6235C" w:rsidRDefault="00F35F6A" w:rsidP="00926CAF">
            <w:pPr>
              <w:pStyle w:val="tabletext"/>
              <w:overflowPunct w:val="0"/>
              <w:autoSpaceDE w:val="0"/>
              <w:autoSpaceDN w:val="0"/>
              <w:adjustRightInd w:val="0"/>
              <w:spacing w:line="280" w:lineRule="exact"/>
              <w:ind w:left="-71"/>
              <w:jc w:val="right"/>
              <w:textAlignment w:val="baseline"/>
              <w:rPr>
                <w:rFonts w:ascii="Arial" w:hAnsi="Arial" w:cs="Arial"/>
                <w:sz w:val="20"/>
                <w:lang w:val="en-IN"/>
              </w:rPr>
            </w:pPr>
            <w:r w:rsidRPr="00D6235C">
              <w:rPr>
                <w:rFonts w:ascii="Arial" w:hAnsi="Arial" w:cs="Arial"/>
                <w:sz w:val="20"/>
                <w:lang w:val="en-IN"/>
              </w:rPr>
              <w:t>37,696</w:t>
            </w:r>
          </w:p>
        </w:tc>
      </w:tr>
      <w:tr w:rsidR="007D0717" w:rsidRPr="00D6235C" w14:paraId="13824997" w14:textId="77777777" w:rsidTr="00926CAF">
        <w:tc>
          <w:tcPr>
            <w:tcW w:w="1880" w:type="dxa"/>
            <w:tcMar>
              <w:left w:w="108" w:type="dxa"/>
              <w:right w:w="0" w:type="dxa"/>
            </w:tcMar>
            <w:vAlign w:val="center"/>
          </w:tcPr>
          <w:p w14:paraId="082A4FAD" w14:textId="1099BF95" w:rsidR="007D0717" w:rsidRPr="00D6235C" w:rsidRDefault="007D0717"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D6235C">
              <w:rPr>
                <w:rFonts w:ascii="Arial" w:hAnsi="Arial" w:cs="Arial"/>
                <w:sz w:val="20"/>
                <w:lang w:val="en-IN"/>
              </w:rPr>
              <w:t>Lease Liabilities</w:t>
            </w:r>
          </w:p>
        </w:tc>
        <w:tc>
          <w:tcPr>
            <w:tcW w:w="1282" w:type="dxa"/>
            <w:vAlign w:val="bottom"/>
          </w:tcPr>
          <w:p w14:paraId="5A3F4AB5" w14:textId="6C1214FE" w:rsidR="007D0717" w:rsidRPr="00D6235C" w:rsidRDefault="00F35F6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86</w:t>
            </w:r>
          </w:p>
        </w:tc>
        <w:tc>
          <w:tcPr>
            <w:tcW w:w="1283" w:type="dxa"/>
            <w:vAlign w:val="bottom"/>
          </w:tcPr>
          <w:p w14:paraId="4921D7B2" w14:textId="245873EB" w:rsidR="007D0717" w:rsidRPr="00D6235C" w:rsidRDefault="00F35F6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211</w:t>
            </w:r>
          </w:p>
        </w:tc>
        <w:tc>
          <w:tcPr>
            <w:tcW w:w="1283" w:type="dxa"/>
            <w:vAlign w:val="bottom"/>
          </w:tcPr>
          <w:p w14:paraId="325CAE9E" w14:textId="5343EE89" w:rsidR="007D0717" w:rsidRPr="00D6235C" w:rsidRDefault="00F35F6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522</w:t>
            </w:r>
          </w:p>
        </w:tc>
        <w:tc>
          <w:tcPr>
            <w:tcW w:w="1282" w:type="dxa"/>
            <w:vAlign w:val="bottom"/>
          </w:tcPr>
          <w:p w14:paraId="28A3ACE8" w14:textId="4AB223C9" w:rsidR="007D0717" w:rsidRPr="00D6235C" w:rsidRDefault="00F35F6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4,417</w:t>
            </w:r>
          </w:p>
        </w:tc>
        <w:tc>
          <w:tcPr>
            <w:tcW w:w="1283" w:type="dxa"/>
            <w:vAlign w:val="bottom"/>
          </w:tcPr>
          <w:p w14:paraId="2A2CFB07" w14:textId="0FC173F7" w:rsidR="007D0717" w:rsidRPr="00D6235C" w:rsidRDefault="00F35F6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2,651</w:t>
            </w:r>
          </w:p>
        </w:tc>
        <w:tc>
          <w:tcPr>
            <w:tcW w:w="1283" w:type="dxa"/>
            <w:vAlign w:val="bottom"/>
          </w:tcPr>
          <w:p w14:paraId="1AA6FE9B" w14:textId="30AA5794" w:rsidR="007D0717" w:rsidRPr="00D6235C" w:rsidRDefault="00F35F6A" w:rsidP="00926CAF">
            <w:pPr>
              <w:pStyle w:val="tabletext"/>
              <w:overflowPunct w:val="0"/>
              <w:autoSpaceDE w:val="0"/>
              <w:autoSpaceDN w:val="0"/>
              <w:adjustRightInd w:val="0"/>
              <w:spacing w:line="280" w:lineRule="exact"/>
              <w:ind w:left="-71"/>
              <w:jc w:val="right"/>
              <w:textAlignment w:val="baseline"/>
              <w:rPr>
                <w:rFonts w:ascii="Arial" w:hAnsi="Arial" w:cs="Arial"/>
                <w:sz w:val="20"/>
                <w:lang w:val="en-IN"/>
              </w:rPr>
            </w:pPr>
            <w:r w:rsidRPr="00D6235C">
              <w:rPr>
                <w:rFonts w:ascii="Arial" w:hAnsi="Arial" w:cs="Arial"/>
                <w:sz w:val="20"/>
                <w:lang w:val="en-IN"/>
              </w:rPr>
              <w:t>7,88</w:t>
            </w:r>
            <w:r w:rsidR="00CA6AFF">
              <w:rPr>
                <w:rFonts w:ascii="Arial" w:hAnsi="Arial" w:cs="Arial"/>
                <w:sz w:val="20"/>
                <w:lang w:val="en-IN"/>
              </w:rPr>
              <w:t>7</w:t>
            </w:r>
          </w:p>
        </w:tc>
      </w:tr>
      <w:tr w:rsidR="0086091A" w:rsidRPr="00D6235C" w14:paraId="613AAF9D" w14:textId="77777777" w:rsidTr="00926CAF">
        <w:tc>
          <w:tcPr>
            <w:tcW w:w="1880" w:type="dxa"/>
            <w:tcMar>
              <w:left w:w="108" w:type="dxa"/>
              <w:right w:w="0" w:type="dxa"/>
            </w:tcMar>
            <w:vAlign w:val="center"/>
          </w:tcPr>
          <w:p w14:paraId="3A11192D" w14:textId="77777777" w:rsidR="0086091A" w:rsidRPr="00D6235C"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D6235C">
              <w:rPr>
                <w:rFonts w:ascii="Arial" w:hAnsi="Arial" w:cs="Arial"/>
                <w:sz w:val="20"/>
                <w:lang w:val="en-IN"/>
              </w:rPr>
              <w:t>Convertible preference shares</w:t>
            </w:r>
          </w:p>
        </w:tc>
        <w:tc>
          <w:tcPr>
            <w:tcW w:w="1282" w:type="dxa"/>
            <w:vAlign w:val="bottom"/>
          </w:tcPr>
          <w:p w14:paraId="3CFFAC10" w14:textId="77777777" w:rsidR="0086091A" w:rsidRPr="00D6235C"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w:t>
            </w:r>
          </w:p>
        </w:tc>
        <w:tc>
          <w:tcPr>
            <w:tcW w:w="1283" w:type="dxa"/>
            <w:vAlign w:val="bottom"/>
          </w:tcPr>
          <w:p w14:paraId="3778BE0D" w14:textId="77777777" w:rsidR="0086091A" w:rsidRPr="00D6235C"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w:t>
            </w:r>
          </w:p>
        </w:tc>
        <w:tc>
          <w:tcPr>
            <w:tcW w:w="1283" w:type="dxa"/>
            <w:vAlign w:val="bottom"/>
          </w:tcPr>
          <w:p w14:paraId="2E1FC334" w14:textId="77777777" w:rsidR="0086091A" w:rsidRPr="00D6235C"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w:t>
            </w:r>
          </w:p>
        </w:tc>
        <w:tc>
          <w:tcPr>
            <w:tcW w:w="1282" w:type="dxa"/>
            <w:vAlign w:val="bottom"/>
          </w:tcPr>
          <w:p w14:paraId="13906A80" w14:textId="245C7F24" w:rsidR="0086091A" w:rsidRPr="00D6235C" w:rsidRDefault="00F35F6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1,217</w:t>
            </w:r>
          </w:p>
        </w:tc>
        <w:tc>
          <w:tcPr>
            <w:tcW w:w="1283" w:type="dxa"/>
            <w:vAlign w:val="bottom"/>
          </w:tcPr>
          <w:p w14:paraId="2652645A" w14:textId="0B8656FB" w:rsidR="0086091A" w:rsidRPr="00D6235C" w:rsidRDefault="00F35F6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4,183</w:t>
            </w:r>
          </w:p>
        </w:tc>
        <w:tc>
          <w:tcPr>
            <w:tcW w:w="1283" w:type="dxa"/>
            <w:vAlign w:val="bottom"/>
          </w:tcPr>
          <w:p w14:paraId="41E09ED9" w14:textId="3BC398ED" w:rsidR="0086091A" w:rsidRPr="00D6235C" w:rsidRDefault="00F35F6A" w:rsidP="00926CAF">
            <w:pPr>
              <w:pStyle w:val="tabletext"/>
              <w:overflowPunct w:val="0"/>
              <w:autoSpaceDE w:val="0"/>
              <w:autoSpaceDN w:val="0"/>
              <w:adjustRightInd w:val="0"/>
              <w:spacing w:line="280" w:lineRule="exact"/>
              <w:ind w:left="-71"/>
              <w:jc w:val="right"/>
              <w:textAlignment w:val="baseline"/>
              <w:rPr>
                <w:rFonts w:ascii="Arial" w:hAnsi="Arial" w:cs="Arial"/>
                <w:sz w:val="20"/>
                <w:lang w:val="en-IN"/>
              </w:rPr>
            </w:pPr>
            <w:r w:rsidRPr="00D6235C">
              <w:rPr>
                <w:rFonts w:ascii="Arial" w:hAnsi="Arial" w:cs="Arial"/>
                <w:sz w:val="20"/>
                <w:lang w:val="en-IN"/>
              </w:rPr>
              <w:t>5,400</w:t>
            </w:r>
          </w:p>
        </w:tc>
      </w:tr>
      <w:tr w:rsidR="0086091A" w:rsidRPr="00D6235C" w14:paraId="0E0BC14D" w14:textId="77777777" w:rsidTr="00926CAF">
        <w:tc>
          <w:tcPr>
            <w:tcW w:w="1880" w:type="dxa"/>
            <w:tcMar>
              <w:left w:w="108" w:type="dxa"/>
              <w:right w:w="0" w:type="dxa"/>
            </w:tcMar>
            <w:vAlign w:val="center"/>
          </w:tcPr>
          <w:p w14:paraId="23701080" w14:textId="77777777" w:rsidR="0086091A" w:rsidRPr="00D6235C"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D6235C">
              <w:rPr>
                <w:rFonts w:ascii="Arial" w:hAnsi="Arial" w:cs="Arial"/>
                <w:sz w:val="20"/>
                <w:lang w:val="en-IN"/>
              </w:rPr>
              <w:t>Contingent consideration</w:t>
            </w:r>
          </w:p>
        </w:tc>
        <w:tc>
          <w:tcPr>
            <w:tcW w:w="1282" w:type="dxa"/>
            <w:vAlign w:val="bottom"/>
          </w:tcPr>
          <w:p w14:paraId="1D35B8A6" w14:textId="77777777" w:rsidR="0086091A" w:rsidRPr="00D6235C"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w:t>
            </w:r>
          </w:p>
        </w:tc>
        <w:tc>
          <w:tcPr>
            <w:tcW w:w="1283" w:type="dxa"/>
            <w:vAlign w:val="bottom"/>
          </w:tcPr>
          <w:p w14:paraId="30F969FC" w14:textId="77777777" w:rsidR="0086091A" w:rsidRPr="00D6235C"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w:t>
            </w:r>
          </w:p>
        </w:tc>
        <w:tc>
          <w:tcPr>
            <w:tcW w:w="1283" w:type="dxa"/>
            <w:vAlign w:val="bottom"/>
          </w:tcPr>
          <w:p w14:paraId="6B63AC6E" w14:textId="6377FF96" w:rsidR="0086091A" w:rsidRPr="00D6235C" w:rsidRDefault="00F35F6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2</w:t>
            </w:r>
            <w:r w:rsidR="0086091A" w:rsidRPr="00D6235C">
              <w:rPr>
                <w:rFonts w:ascii="Arial" w:hAnsi="Arial" w:cs="Arial"/>
                <w:sz w:val="20"/>
                <w:lang w:val="en-IN"/>
              </w:rPr>
              <w:t>,</w:t>
            </w:r>
            <w:r w:rsidRPr="00D6235C">
              <w:rPr>
                <w:rFonts w:ascii="Arial" w:hAnsi="Arial" w:cs="Arial"/>
                <w:sz w:val="20"/>
                <w:lang w:val="en-IN"/>
              </w:rPr>
              <w:t>025</w:t>
            </w:r>
          </w:p>
        </w:tc>
        <w:tc>
          <w:tcPr>
            <w:tcW w:w="1282" w:type="dxa"/>
            <w:vAlign w:val="bottom"/>
          </w:tcPr>
          <w:p w14:paraId="69DAE787" w14:textId="77777777" w:rsidR="0086091A" w:rsidRPr="00D6235C" w:rsidRDefault="0086091A" w:rsidP="00926CAF">
            <w:pPr>
              <w:spacing w:line="280" w:lineRule="exact"/>
              <w:jc w:val="right"/>
              <w:rPr>
                <w:rFonts w:ascii="Arial" w:hAnsi="Arial" w:cs="Arial"/>
                <w:sz w:val="20"/>
              </w:rPr>
            </w:pPr>
            <w:r w:rsidRPr="00D6235C">
              <w:rPr>
                <w:rFonts w:ascii="Arial" w:hAnsi="Arial" w:cs="Arial"/>
                <w:sz w:val="20"/>
              </w:rPr>
              <w:t>—</w:t>
            </w:r>
          </w:p>
        </w:tc>
        <w:tc>
          <w:tcPr>
            <w:tcW w:w="1283" w:type="dxa"/>
            <w:vAlign w:val="bottom"/>
          </w:tcPr>
          <w:p w14:paraId="0DF111B8" w14:textId="77777777" w:rsidR="0086091A" w:rsidRPr="00D6235C" w:rsidRDefault="0086091A" w:rsidP="00926CAF">
            <w:pPr>
              <w:spacing w:line="280" w:lineRule="exact"/>
              <w:jc w:val="right"/>
              <w:rPr>
                <w:rFonts w:ascii="Arial" w:hAnsi="Arial" w:cs="Arial"/>
                <w:sz w:val="20"/>
              </w:rPr>
            </w:pPr>
            <w:r w:rsidRPr="00D6235C">
              <w:rPr>
                <w:rFonts w:ascii="Arial" w:hAnsi="Arial" w:cs="Arial"/>
                <w:sz w:val="20"/>
              </w:rPr>
              <w:t>—</w:t>
            </w:r>
          </w:p>
        </w:tc>
        <w:tc>
          <w:tcPr>
            <w:tcW w:w="1283" w:type="dxa"/>
            <w:vAlign w:val="bottom"/>
          </w:tcPr>
          <w:p w14:paraId="744173FE" w14:textId="2715073A" w:rsidR="0086091A" w:rsidRPr="00D6235C" w:rsidRDefault="00F35F6A" w:rsidP="00926CAF">
            <w:pPr>
              <w:pStyle w:val="tabletext"/>
              <w:overflowPunct w:val="0"/>
              <w:autoSpaceDE w:val="0"/>
              <w:autoSpaceDN w:val="0"/>
              <w:adjustRightInd w:val="0"/>
              <w:spacing w:line="280" w:lineRule="exact"/>
              <w:ind w:left="-71"/>
              <w:jc w:val="right"/>
              <w:textAlignment w:val="baseline"/>
              <w:rPr>
                <w:rFonts w:ascii="Arial" w:hAnsi="Arial" w:cs="Arial"/>
                <w:sz w:val="20"/>
                <w:lang w:val="en-IN"/>
              </w:rPr>
            </w:pPr>
            <w:r w:rsidRPr="00D6235C">
              <w:rPr>
                <w:rFonts w:ascii="Arial" w:hAnsi="Arial" w:cs="Arial"/>
                <w:sz w:val="20"/>
                <w:lang w:val="en-IN"/>
              </w:rPr>
              <w:t>2</w:t>
            </w:r>
            <w:r w:rsidR="0086091A" w:rsidRPr="00D6235C">
              <w:rPr>
                <w:rFonts w:ascii="Arial" w:hAnsi="Arial" w:cs="Arial"/>
                <w:sz w:val="20"/>
                <w:lang w:val="en-IN"/>
              </w:rPr>
              <w:t>,</w:t>
            </w:r>
            <w:r w:rsidRPr="00D6235C">
              <w:rPr>
                <w:rFonts w:ascii="Arial" w:hAnsi="Arial" w:cs="Arial"/>
                <w:sz w:val="20"/>
                <w:lang w:val="en-IN"/>
              </w:rPr>
              <w:t>025</w:t>
            </w:r>
          </w:p>
        </w:tc>
      </w:tr>
      <w:tr w:rsidR="0086091A" w:rsidRPr="00E70587" w14:paraId="7F0AB007" w14:textId="77777777" w:rsidTr="00926CAF">
        <w:tc>
          <w:tcPr>
            <w:tcW w:w="1880" w:type="dxa"/>
            <w:tcMar>
              <w:left w:w="108" w:type="dxa"/>
              <w:right w:w="0" w:type="dxa"/>
            </w:tcMar>
            <w:vAlign w:val="center"/>
          </w:tcPr>
          <w:p w14:paraId="31F6F4A2" w14:textId="77777777" w:rsidR="0086091A" w:rsidRPr="00D6235C"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D6235C">
              <w:rPr>
                <w:rFonts w:ascii="Arial" w:hAnsi="Arial" w:cs="Arial"/>
                <w:sz w:val="20"/>
                <w:lang w:val="en-IN"/>
              </w:rPr>
              <w:t>Trade and other payables</w:t>
            </w:r>
          </w:p>
        </w:tc>
        <w:tc>
          <w:tcPr>
            <w:tcW w:w="1282" w:type="dxa"/>
            <w:vAlign w:val="bottom"/>
          </w:tcPr>
          <w:p w14:paraId="6A13B661" w14:textId="2AE492E3" w:rsidR="0086091A" w:rsidRPr="00D6235C" w:rsidRDefault="00CA6AFF"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9</w:t>
            </w:r>
            <w:r w:rsidR="00CF048F">
              <w:rPr>
                <w:rFonts w:ascii="Arial" w:hAnsi="Arial" w:cs="Arial"/>
                <w:sz w:val="20"/>
                <w:lang w:val="en-IN"/>
              </w:rPr>
              <w:t>,215</w:t>
            </w:r>
          </w:p>
        </w:tc>
        <w:tc>
          <w:tcPr>
            <w:tcW w:w="1283" w:type="dxa"/>
            <w:vAlign w:val="bottom"/>
          </w:tcPr>
          <w:p w14:paraId="114884AD" w14:textId="1DE3CEC1" w:rsidR="0086091A" w:rsidRPr="00D6235C" w:rsidRDefault="00F35F6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22,585</w:t>
            </w:r>
          </w:p>
        </w:tc>
        <w:tc>
          <w:tcPr>
            <w:tcW w:w="1283" w:type="dxa"/>
            <w:vAlign w:val="bottom"/>
          </w:tcPr>
          <w:p w14:paraId="2616A7BB" w14:textId="477F961C" w:rsidR="0086091A" w:rsidRPr="00D6235C" w:rsidRDefault="00F35F6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1,444</w:t>
            </w:r>
          </w:p>
        </w:tc>
        <w:tc>
          <w:tcPr>
            <w:tcW w:w="1282" w:type="dxa"/>
            <w:vAlign w:val="bottom"/>
          </w:tcPr>
          <w:p w14:paraId="4E2D8454" w14:textId="77777777" w:rsidR="0086091A" w:rsidRPr="00D6235C"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w:t>
            </w:r>
          </w:p>
        </w:tc>
        <w:tc>
          <w:tcPr>
            <w:tcW w:w="1283" w:type="dxa"/>
            <w:vAlign w:val="bottom"/>
          </w:tcPr>
          <w:p w14:paraId="433A6AB9" w14:textId="77777777" w:rsidR="0086091A" w:rsidRPr="00D6235C"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D6235C">
              <w:rPr>
                <w:rFonts w:ascii="Arial" w:hAnsi="Arial" w:cs="Arial"/>
                <w:sz w:val="20"/>
                <w:lang w:val="en-IN"/>
              </w:rPr>
              <w:t>—</w:t>
            </w:r>
          </w:p>
        </w:tc>
        <w:tc>
          <w:tcPr>
            <w:tcW w:w="1283" w:type="dxa"/>
            <w:vAlign w:val="bottom"/>
          </w:tcPr>
          <w:p w14:paraId="331D1DBD" w14:textId="04AE7B67" w:rsidR="0086091A" w:rsidRPr="00E70587" w:rsidRDefault="00F35F6A" w:rsidP="00926CAF">
            <w:pPr>
              <w:pStyle w:val="tabletext"/>
              <w:overflowPunct w:val="0"/>
              <w:autoSpaceDE w:val="0"/>
              <w:autoSpaceDN w:val="0"/>
              <w:adjustRightInd w:val="0"/>
              <w:spacing w:line="280" w:lineRule="exact"/>
              <w:ind w:left="-71"/>
              <w:jc w:val="right"/>
              <w:textAlignment w:val="baseline"/>
              <w:rPr>
                <w:rFonts w:ascii="Arial" w:hAnsi="Arial" w:cs="Arial"/>
                <w:sz w:val="20"/>
                <w:lang w:val="en-IN"/>
              </w:rPr>
            </w:pPr>
            <w:r w:rsidRPr="00D6235C">
              <w:rPr>
                <w:rFonts w:ascii="Arial" w:hAnsi="Arial" w:cs="Arial"/>
                <w:sz w:val="20"/>
                <w:lang w:val="en-IN"/>
              </w:rPr>
              <w:t>3</w:t>
            </w:r>
            <w:r w:rsidR="00CA6AFF">
              <w:rPr>
                <w:rFonts w:ascii="Arial" w:hAnsi="Arial" w:cs="Arial"/>
                <w:sz w:val="20"/>
                <w:lang w:val="en-IN"/>
              </w:rPr>
              <w:t>3</w:t>
            </w:r>
            <w:r w:rsidRPr="00D6235C">
              <w:rPr>
                <w:rFonts w:ascii="Arial" w:hAnsi="Arial" w:cs="Arial"/>
                <w:sz w:val="20"/>
                <w:lang w:val="en-IN"/>
              </w:rPr>
              <w:t>,</w:t>
            </w:r>
            <w:r w:rsidR="00CA6AFF">
              <w:rPr>
                <w:rFonts w:ascii="Arial" w:hAnsi="Arial" w:cs="Arial"/>
                <w:sz w:val="20"/>
                <w:lang w:val="en-IN"/>
              </w:rPr>
              <w:t>2</w:t>
            </w:r>
            <w:r w:rsidRPr="00D6235C">
              <w:rPr>
                <w:rFonts w:ascii="Arial" w:hAnsi="Arial" w:cs="Arial"/>
                <w:sz w:val="20"/>
                <w:lang w:val="en-IN"/>
              </w:rPr>
              <w:t>44</w:t>
            </w:r>
          </w:p>
        </w:tc>
      </w:tr>
      <w:tr w:rsidR="0086091A" w:rsidRPr="00E70587" w:rsidDel="008D256F" w14:paraId="7F0222D6" w14:textId="77777777" w:rsidTr="00926CAF">
        <w:tc>
          <w:tcPr>
            <w:tcW w:w="1880" w:type="dxa"/>
            <w:tcMar>
              <w:left w:w="108" w:type="dxa"/>
              <w:right w:w="0" w:type="dxa"/>
            </w:tcMar>
            <w:vAlign w:val="center"/>
          </w:tcPr>
          <w:p w14:paraId="580FEA9D"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Financial guarantee contracts*</w:t>
            </w:r>
          </w:p>
        </w:tc>
        <w:tc>
          <w:tcPr>
            <w:tcW w:w="1282" w:type="dxa"/>
            <w:vAlign w:val="bottom"/>
          </w:tcPr>
          <w:p w14:paraId="75A85C6D" w14:textId="34C0DFFB" w:rsidR="0086091A" w:rsidRPr="00E70587" w:rsidRDefault="00D00EF7" w:rsidP="00926CAF">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Pr>
                <w:rFonts w:ascii="Arial" w:hAnsi="Arial" w:cs="Arial"/>
                <w:sz w:val="20"/>
                <w:lang w:val="en-IN"/>
              </w:rPr>
              <w:t>252</w:t>
            </w:r>
          </w:p>
        </w:tc>
        <w:tc>
          <w:tcPr>
            <w:tcW w:w="1283" w:type="dxa"/>
            <w:vAlign w:val="bottom"/>
          </w:tcPr>
          <w:p w14:paraId="56EEC82B" w14:textId="77777777" w:rsidR="0086091A" w:rsidRPr="00E70587" w:rsidRDefault="0086091A" w:rsidP="00926CAF">
            <w:pPr>
              <w:pStyle w:val="tabletext"/>
              <w:overflowPunct w:val="0"/>
              <w:autoSpaceDE w:val="0"/>
              <w:autoSpaceDN w:val="0"/>
              <w:adjustRightInd w:val="0"/>
              <w:spacing w:line="280" w:lineRule="exact"/>
              <w:ind w:left="57"/>
              <w:jc w:val="right"/>
              <w:textAlignment w:val="baseline"/>
              <w:rPr>
                <w:rFonts w:ascii="Arial" w:hAnsi="Arial" w:cs="Arial"/>
                <w:sz w:val="20"/>
                <w:lang w:val="en-IN"/>
              </w:rPr>
            </w:pPr>
            <w:r w:rsidRPr="00E70587">
              <w:rPr>
                <w:rFonts w:ascii="Arial" w:hAnsi="Arial" w:cs="Arial"/>
                <w:sz w:val="20"/>
                <w:lang w:val="en-IN"/>
              </w:rPr>
              <w:t>—</w:t>
            </w:r>
          </w:p>
        </w:tc>
        <w:tc>
          <w:tcPr>
            <w:tcW w:w="1283" w:type="dxa"/>
            <w:vAlign w:val="bottom"/>
          </w:tcPr>
          <w:p w14:paraId="2181FC27" w14:textId="77777777" w:rsidR="0086091A" w:rsidRPr="00E70587" w:rsidRDefault="0086091A" w:rsidP="00926CAF">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sidRPr="00E70587">
              <w:rPr>
                <w:rFonts w:ascii="Arial" w:hAnsi="Arial" w:cs="Arial"/>
                <w:sz w:val="20"/>
                <w:lang w:val="en-IN"/>
              </w:rPr>
              <w:t>—</w:t>
            </w:r>
          </w:p>
        </w:tc>
        <w:tc>
          <w:tcPr>
            <w:tcW w:w="1282" w:type="dxa"/>
            <w:vAlign w:val="bottom"/>
          </w:tcPr>
          <w:p w14:paraId="12B3388A" w14:textId="77777777" w:rsidR="0086091A" w:rsidRPr="00E70587" w:rsidRDefault="0086091A" w:rsidP="00926CAF">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sidRPr="00E70587">
              <w:rPr>
                <w:rFonts w:ascii="Arial" w:hAnsi="Arial" w:cs="Arial"/>
                <w:sz w:val="20"/>
                <w:lang w:val="en-IN"/>
              </w:rPr>
              <w:t>—</w:t>
            </w:r>
          </w:p>
        </w:tc>
        <w:tc>
          <w:tcPr>
            <w:tcW w:w="1283" w:type="dxa"/>
            <w:vAlign w:val="bottom"/>
          </w:tcPr>
          <w:p w14:paraId="008CCDD8" w14:textId="77777777" w:rsidR="0086091A" w:rsidRPr="00E70587" w:rsidRDefault="0086091A" w:rsidP="00926CAF">
            <w:pPr>
              <w:pStyle w:val="tabletext"/>
              <w:overflowPunct w:val="0"/>
              <w:autoSpaceDE w:val="0"/>
              <w:autoSpaceDN w:val="0"/>
              <w:adjustRightInd w:val="0"/>
              <w:spacing w:line="280" w:lineRule="exact"/>
              <w:ind w:left="57"/>
              <w:jc w:val="right"/>
              <w:textAlignment w:val="baseline"/>
              <w:rPr>
                <w:rFonts w:ascii="Arial" w:hAnsi="Arial" w:cs="Arial"/>
                <w:sz w:val="20"/>
                <w:lang w:val="en-IN"/>
              </w:rPr>
            </w:pPr>
            <w:r w:rsidRPr="00E70587">
              <w:rPr>
                <w:rFonts w:ascii="Arial" w:hAnsi="Arial" w:cs="Arial"/>
                <w:sz w:val="20"/>
                <w:lang w:val="en-IN"/>
              </w:rPr>
              <w:t>—</w:t>
            </w:r>
          </w:p>
        </w:tc>
        <w:tc>
          <w:tcPr>
            <w:tcW w:w="1283" w:type="dxa"/>
            <w:vAlign w:val="bottom"/>
          </w:tcPr>
          <w:p w14:paraId="34C1846D" w14:textId="665D778C" w:rsidR="0086091A" w:rsidRPr="00E70587" w:rsidDel="008D256F" w:rsidRDefault="00D00EF7" w:rsidP="00926CAF">
            <w:pPr>
              <w:pStyle w:val="tabletext"/>
              <w:overflowPunct w:val="0"/>
              <w:autoSpaceDE w:val="0"/>
              <w:autoSpaceDN w:val="0"/>
              <w:adjustRightInd w:val="0"/>
              <w:spacing w:line="280" w:lineRule="exact"/>
              <w:ind w:left="-71"/>
              <w:jc w:val="right"/>
              <w:textAlignment w:val="baseline"/>
              <w:rPr>
                <w:rFonts w:ascii="Arial" w:hAnsi="Arial" w:cs="Arial"/>
                <w:sz w:val="20"/>
                <w:lang w:val="en-IN"/>
              </w:rPr>
            </w:pPr>
            <w:r>
              <w:rPr>
                <w:rFonts w:ascii="Arial" w:hAnsi="Arial" w:cs="Arial"/>
                <w:sz w:val="20"/>
                <w:lang w:val="en-IN"/>
              </w:rPr>
              <w:t>252</w:t>
            </w:r>
          </w:p>
        </w:tc>
      </w:tr>
      <w:tr w:rsidR="0086091A" w:rsidRPr="00E70587" w14:paraId="3E0F5673" w14:textId="77777777" w:rsidTr="00926CAF">
        <w:tc>
          <w:tcPr>
            <w:tcW w:w="1880" w:type="dxa"/>
            <w:tcMar>
              <w:left w:w="108" w:type="dxa"/>
              <w:right w:w="0" w:type="dxa"/>
            </w:tcMar>
            <w:vAlign w:val="center"/>
          </w:tcPr>
          <w:p w14:paraId="0FFF5DE6"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lastRenderedPageBreak/>
              <w:t>Derivatives and embedded derivatives</w:t>
            </w:r>
          </w:p>
        </w:tc>
        <w:tc>
          <w:tcPr>
            <w:tcW w:w="1282" w:type="dxa"/>
            <w:vAlign w:val="bottom"/>
          </w:tcPr>
          <w:p w14:paraId="52C1FCDF" w14:textId="2AC02E1F" w:rsidR="0086091A" w:rsidRPr="00E70587" w:rsidRDefault="00CA5F58" w:rsidP="00926CAF">
            <w:pPr>
              <w:pStyle w:val="tabletext"/>
              <w:overflowPunct w:val="0"/>
              <w:autoSpaceDE w:val="0"/>
              <w:autoSpaceDN w:val="0"/>
              <w:adjustRightInd w:val="0"/>
              <w:spacing w:line="280" w:lineRule="exact"/>
              <w:ind w:left="113"/>
              <w:jc w:val="right"/>
              <w:textAlignment w:val="baseline"/>
              <w:rPr>
                <w:rFonts w:ascii="Arial" w:hAnsi="Arial" w:cs="Arial"/>
                <w:sz w:val="20"/>
                <w:lang w:val="en-IN"/>
              </w:rPr>
            </w:pPr>
            <w:r>
              <w:rPr>
                <w:rFonts w:ascii="Arial" w:hAnsi="Arial" w:cs="Arial"/>
                <w:sz w:val="20"/>
                <w:lang w:val="en-IN"/>
              </w:rPr>
              <w:t>3,546</w:t>
            </w:r>
            <w:r w:rsidR="0086091A" w:rsidRPr="00E70587">
              <w:rPr>
                <w:rFonts w:ascii="Arial" w:hAnsi="Arial" w:cs="Arial"/>
                <w:sz w:val="20"/>
                <w:lang w:val="en-IN"/>
              </w:rPr>
              <w:t xml:space="preserve"> </w:t>
            </w:r>
          </w:p>
        </w:tc>
        <w:tc>
          <w:tcPr>
            <w:tcW w:w="1283" w:type="dxa"/>
            <w:vAlign w:val="bottom"/>
          </w:tcPr>
          <w:p w14:paraId="770ED951" w14:textId="29B62332" w:rsidR="0086091A" w:rsidRPr="00E70587" w:rsidRDefault="00CA5F58" w:rsidP="00926CAF">
            <w:pPr>
              <w:pStyle w:val="tabletext"/>
              <w:overflowPunct w:val="0"/>
              <w:autoSpaceDE w:val="0"/>
              <w:autoSpaceDN w:val="0"/>
              <w:adjustRightInd w:val="0"/>
              <w:spacing w:line="280" w:lineRule="exact"/>
              <w:ind w:left="113"/>
              <w:jc w:val="right"/>
              <w:textAlignment w:val="baseline"/>
              <w:rPr>
                <w:rFonts w:ascii="Arial" w:hAnsi="Arial" w:cs="Arial"/>
                <w:sz w:val="20"/>
                <w:lang w:val="en-IN"/>
              </w:rPr>
            </w:pPr>
            <w:r>
              <w:rPr>
                <w:rFonts w:ascii="Arial" w:hAnsi="Arial" w:cs="Arial"/>
                <w:sz w:val="20"/>
                <w:lang w:val="en-IN"/>
              </w:rPr>
              <w:t>4,932</w:t>
            </w:r>
          </w:p>
        </w:tc>
        <w:tc>
          <w:tcPr>
            <w:tcW w:w="1283" w:type="dxa"/>
            <w:vAlign w:val="bottom"/>
          </w:tcPr>
          <w:p w14:paraId="0FB3DE42" w14:textId="4B70F707" w:rsidR="0086091A" w:rsidRPr="00E70587" w:rsidRDefault="00CA5F58" w:rsidP="00926CAF">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Pr>
                <w:rFonts w:ascii="Arial" w:hAnsi="Arial" w:cs="Arial"/>
                <w:sz w:val="20"/>
                <w:lang w:val="en-IN"/>
              </w:rPr>
              <w:t>704</w:t>
            </w:r>
          </w:p>
        </w:tc>
        <w:tc>
          <w:tcPr>
            <w:tcW w:w="1282" w:type="dxa"/>
            <w:vAlign w:val="bottom"/>
          </w:tcPr>
          <w:p w14:paraId="026237C3" w14:textId="47C1946B" w:rsidR="0086091A" w:rsidRPr="00E70587" w:rsidRDefault="00CA5F58" w:rsidP="00926CAF">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Pr>
                <w:rFonts w:ascii="Arial" w:hAnsi="Arial" w:cs="Arial"/>
                <w:sz w:val="20"/>
                <w:lang w:val="en-IN"/>
              </w:rPr>
              <w:t>2,144</w:t>
            </w:r>
          </w:p>
        </w:tc>
        <w:tc>
          <w:tcPr>
            <w:tcW w:w="1283" w:type="dxa"/>
            <w:vAlign w:val="bottom"/>
          </w:tcPr>
          <w:p w14:paraId="0D01E6A5" w14:textId="6867B4A5" w:rsidR="0086091A" w:rsidRPr="00E70587" w:rsidRDefault="00CA5F58" w:rsidP="00926CAF">
            <w:pPr>
              <w:pStyle w:val="tabletext"/>
              <w:overflowPunct w:val="0"/>
              <w:autoSpaceDE w:val="0"/>
              <w:autoSpaceDN w:val="0"/>
              <w:adjustRightInd w:val="0"/>
              <w:spacing w:line="280" w:lineRule="exact"/>
              <w:ind w:left="113"/>
              <w:jc w:val="right"/>
              <w:textAlignment w:val="baseline"/>
              <w:rPr>
                <w:rFonts w:ascii="Arial" w:hAnsi="Arial" w:cs="Arial"/>
                <w:sz w:val="20"/>
                <w:lang w:val="en-IN"/>
              </w:rPr>
            </w:pPr>
            <w:r>
              <w:rPr>
                <w:rFonts w:ascii="Arial" w:hAnsi="Arial" w:cs="Arial"/>
                <w:sz w:val="20"/>
                <w:lang w:val="en-IN"/>
              </w:rPr>
              <w:t>2,392</w:t>
            </w:r>
          </w:p>
        </w:tc>
        <w:tc>
          <w:tcPr>
            <w:tcW w:w="1283" w:type="dxa"/>
            <w:vAlign w:val="bottom"/>
          </w:tcPr>
          <w:p w14:paraId="1CFA0144" w14:textId="6D8A0DBB" w:rsidR="0086091A" w:rsidRPr="00E70587" w:rsidRDefault="00CA5F58" w:rsidP="00926CAF">
            <w:pPr>
              <w:pStyle w:val="tabletext"/>
              <w:overflowPunct w:val="0"/>
              <w:autoSpaceDE w:val="0"/>
              <w:autoSpaceDN w:val="0"/>
              <w:adjustRightInd w:val="0"/>
              <w:spacing w:line="280" w:lineRule="exact"/>
              <w:ind w:left="-15"/>
              <w:jc w:val="right"/>
              <w:textAlignment w:val="baseline"/>
              <w:rPr>
                <w:rFonts w:ascii="Arial" w:hAnsi="Arial" w:cs="Arial"/>
                <w:sz w:val="20"/>
                <w:lang w:val="en-IN"/>
              </w:rPr>
            </w:pPr>
            <w:r>
              <w:rPr>
                <w:rFonts w:ascii="Arial" w:hAnsi="Arial" w:cs="Arial"/>
                <w:sz w:val="20"/>
                <w:lang w:val="en-IN"/>
              </w:rPr>
              <w:t>13,718</w:t>
            </w:r>
          </w:p>
        </w:tc>
      </w:tr>
      <w:tr w:rsidR="0086091A" w:rsidRPr="00E70587" w14:paraId="18D5A3CC" w14:textId="77777777" w:rsidTr="00C41E23">
        <w:tc>
          <w:tcPr>
            <w:tcW w:w="1880" w:type="dxa"/>
            <w:vAlign w:val="center"/>
          </w:tcPr>
          <w:p w14:paraId="6D7452AD"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282" w:type="dxa"/>
            <w:vAlign w:val="bottom"/>
          </w:tcPr>
          <w:p w14:paraId="2294B7BA" w14:textId="2FE5F2F2" w:rsidR="0086091A" w:rsidRPr="00E70587" w:rsidRDefault="00EE7BC3" w:rsidP="00926CAF">
            <w:pPr>
              <w:pStyle w:val="tabletext"/>
              <w:overflowPunct w:val="0"/>
              <w:autoSpaceDE w:val="0"/>
              <w:autoSpaceDN w:val="0"/>
              <w:adjustRightInd w:val="0"/>
              <w:spacing w:line="280" w:lineRule="exact"/>
              <w:ind w:left="113"/>
              <w:jc w:val="right"/>
              <w:textAlignment w:val="baseline"/>
              <w:rPr>
                <w:rFonts w:ascii="Arial" w:hAnsi="Arial" w:cs="Arial"/>
                <w:b/>
                <w:sz w:val="20"/>
                <w:lang w:val="en-IN"/>
              </w:rPr>
            </w:pPr>
            <w:r>
              <w:rPr>
                <w:rFonts w:ascii="Arial" w:hAnsi="Arial" w:cs="Arial"/>
                <w:b/>
                <w:bCs/>
                <w:sz w:val="20"/>
                <w:lang w:val="en-IN"/>
              </w:rPr>
              <w:t>1</w:t>
            </w:r>
            <w:r w:rsidR="00CA6AFF">
              <w:rPr>
                <w:rFonts w:ascii="Arial" w:hAnsi="Arial" w:cs="Arial"/>
                <w:b/>
                <w:bCs/>
                <w:sz w:val="20"/>
                <w:lang w:val="en-IN"/>
              </w:rPr>
              <w:t>4</w:t>
            </w:r>
            <w:r w:rsidR="0086091A" w:rsidRPr="00E70587">
              <w:rPr>
                <w:rFonts w:ascii="Arial" w:hAnsi="Arial" w:cs="Arial"/>
                <w:b/>
                <w:bCs/>
                <w:sz w:val="20"/>
                <w:lang w:val="en-IN"/>
              </w:rPr>
              <w:t>,</w:t>
            </w:r>
            <w:r w:rsidR="00CA6AFF">
              <w:rPr>
                <w:rFonts w:ascii="Arial" w:hAnsi="Arial" w:cs="Arial"/>
                <w:b/>
                <w:bCs/>
                <w:sz w:val="20"/>
                <w:lang w:val="en-IN"/>
              </w:rPr>
              <w:t>838</w:t>
            </w:r>
          </w:p>
        </w:tc>
        <w:tc>
          <w:tcPr>
            <w:tcW w:w="1283" w:type="dxa"/>
            <w:vAlign w:val="bottom"/>
          </w:tcPr>
          <w:p w14:paraId="3E591E3B" w14:textId="23A5FDCA" w:rsidR="0086091A" w:rsidRPr="00E70587" w:rsidRDefault="00EE7BC3" w:rsidP="00926CAF">
            <w:pPr>
              <w:pStyle w:val="tabletext"/>
              <w:overflowPunct w:val="0"/>
              <w:autoSpaceDE w:val="0"/>
              <w:autoSpaceDN w:val="0"/>
              <w:adjustRightInd w:val="0"/>
              <w:spacing w:line="280" w:lineRule="exact"/>
              <w:ind w:left="113"/>
              <w:jc w:val="right"/>
              <w:textAlignment w:val="baseline"/>
              <w:rPr>
                <w:rFonts w:ascii="Arial" w:hAnsi="Arial" w:cs="Arial"/>
                <w:b/>
                <w:sz w:val="20"/>
                <w:lang w:val="en-IN"/>
              </w:rPr>
            </w:pPr>
            <w:r>
              <w:rPr>
                <w:rFonts w:ascii="Arial" w:hAnsi="Arial" w:cs="Arial"/>
                <w:b/>
                <w:bCs/>
                <w:sz w:val="20"/>
                <w:lang w:val="en-IN"/>
              </w:rPr>
              <w:t>27,72</w:t>
            </w:r>
            <w:r w:rsidR="00CA6AFF">
              <w:rPr>
                <w:rFonts w:ascii="Arial" w:hAnsi="Arial" w:cs="Arial"/>
                <w:b/>
                <w:bCs/>
                <w:sz w:val="20"/>
                <w:lang w:val="en-IN"/>
              </w:rPr>
              <w:t>8</w:t>
            </w:r>
          </w:p>
        </w:tc>
        <w:tc>
          <w:tcPr>
            <w:tcW w:w="1283" w:type="dxa"/>
            <w:vAlign w:val="bottom"/>
          </w:tcPr>
          <w:p w14:paraId="7BE99818" w14:textId="3205F9FD" w:rsidR="0086091A" w:rsidRPr="00E70587" w:rsidRDefault="00EE7BC3" w:rsidP="00926CAF">
            <w:pPr>
              <w:pStyle w:val="tabletext"/>
              <w:overflowPunct w:val="0"/>
              <w:autoSpaceDE w:val="0"/>
              <w:autoSpaceDN w:val="0"/>
              <w:adjustRightInd w:val="0"/>
              <w:spacing w:line="280" w:lineRule="exact"/>
              <w:ind w:left="170"/>
              <w:jc w:val="right"/>
              <w:textAlignment w:val="baseline"/>
              <w:rPr>
                <w:rFonts w:ascii="Arial" w:hAnsi="Arial" w:cs="Arial"/>
                <w:b/>
                <w:sz w:val="20"/>
                <w:lang w:val="en-IN"/>
              </w:rPr>
            </w:pPr>
            <w:r>
              <w:rPr>
                <w:rFonts w:ascii="Arial" w:hAnsi="Arial" w:cs="Arial"/>
                <w:b/>
                <w:bCs/>
                <w:sz w:val="20"/>
                <w:lang w:val="en-IN"/>
              </w:rPr>
              <w:t>7,25</w:t>
            </w:r>
            <w:r w:rsidR="00CA6AFF">
              <w:rPr>
                <w:rFonts w:ascii="Arial" w:hAnsi="Arial" w:cs="Arial"/>
                <w:b/>
                <w:bCs/>
                <w:sz w:val="20"/>
                <w:lang w:val="en-IN"/>
              </w:rPr>
              <w:t>5</w:t>
            </w:r>
          </w:p>
        </w:tc>
        <w:tc>
          <w:tcPr>
            <w:tcW w:w="1282" w:type="dxa"/>
            <w:vAlign w:val="bottom"/>
          </w:tcPr>
          <w:p w14:paraId="4B7CC8AE" w14:textId="2A541CF4" w:rsidR="0086091A" w:rsidRPr="00E70587" w:rsidRDefault="00EE7BC3" w:rsidP="00926CAF">
            <w:pPr>
              <w:pStyle w:val="tabletext"/>
              <w:overflowPunct w:val="0"/>
              <w:autoSpaceDE w:val="0"/>
              <w:autoSpaceDN w:val="0"/>
              <w:adjustRightInd w:val="0"/>
              <w:spacing w:line="280" w:lineRule="exact"/>
              <w:ind w:left="170"/>
              <w:jc w:val="right"/>
              <w:textAlignment w:val="baseline"/>
              <w:rPr>
                <w:rFonts w:ascii="Arial" w:hAnsi="Arial" w:cs="Arial"/>
                <w:b/>
                <w:sz w:val="20"/>
                <w:lang w:val="en-IN"/>
              </w:rPr>
            </w:pPr>
            <w:r>
              <w:rPr>
                <w:rFonts w:ascii="Arial" w:hAnsi="Arial" w:cs="Arial"/>
                <w:b/>
                <w:bCs/>
                <w:sz w:val="20"/>
                <w:lang w:val="en-IN"/>
              </w:rPr>
              <w:t>2</w:t>
            </w:r>
            <w:r w:rsidR="00CA6AFF">
              <w:rPr>
                <w:rFonts w:ascii="Arial" w:hAnsi="Arial" w:cs="Arial"/>
                <w:b/>
                <w:bCs/>
                <w:sz w:val="20"/>
                <w:lang w:val="en-IN"/>
              </w:rPr>
              <w:t>6,775</w:t>
            </w:r>
          </w:p>
        </w:tc>
        <w:tc>
          <w:tcPr>
            <w:tcW w:w="1283" w:type="dxa"/>
            <w:vAlign w:val="bottom"/>
          </w:tcPr>
          <w:p w14:paraId="0D2B8DB6" w14:textId="77E77F66" w:rsidR="0086091A" w:rsidRPr="00E70587" w:rsidRDefault="00EE7BC3" w:rsidP="00926CAF">
            <w:pPr>
              <w:pStyle w:val="tabletext"/>
              <w:overflowPunct w:val="0"/>
              <w:autoSpaceDE w:val="0"/>
              <w:autoSpaceDN w:val="0"/>
              <w:adjustRightInd w:val="0"/>
              <w:spacing w:line="280" w:lineRule="exact"/>
              <w:ind w:left="113"/>
              <w:jc w:val="right"/>
              <w:textAlignment w:val="baseline"/>
              <w:rPr>
                <w:rFonts w:ascii="Arial" w:hAnsi="Arial" w:cs="Arial"/>
                <w:b/>
                <w:sz w:val="20"/>
                <w:lang w:val="en-IN"/>
              </w:rPr>
            </w:pPr>
            <w:r>
              <w:rPr>
                <w:rFonts w:ascii="Arial" w:hAnsi="Arial" w:cs="Arial"/>
                <w:b/>
                <w:bCs/>
                <w:sz w:val="20"/>
                <w:lang w:val="en-IN"/>
              </w:rPr>
              <w:t>23,62</w:t>
            </w:r>
            <w:r w:rsidR="00CA6AFF">
              <w:rPr>
                <w:rFonts w:ascii="Arial" w:hAnsi="Arial" w:cs="Arial"/>
                <w:b/>
                <w:bCs/>
                <w:sz w:val="20"/>
                <w:lang w:val="en-IN"/>
              </w:rPr>
              <w:t>6</w:t>
            </w:r>
          </w:p>
        </w:tc>
        <w:tc>
          <w:tcPr>
            <w:tcW w:w="1283" w:type="dxa"/>
            <w:vAlign w:val="bottom"/>
          </w:tcPr>
          <w:p w14:paraId="5AE83211" w14:textId="74D01C45" w:rsidR="0086091A" w:rsidRPr="00E70587" w:rsidRDefault="00AD372C" w:rsidP="00926CAF">
            <w:pPr>
              <w:pStyle w:val="tabletext"/>
              <w:overflowPunct w:val="0"/>
              <w:autoSpaceDE w:val="0"/>
              <w:autoSpaceDN w:val="0"/>
              <w:adjustRightInd w:val="0"/>
              <w:spacing w:line="280" w:lineRule="exact"/>
              <w:ind w:left="-15"/>
              <w:jc w:val="right"/>
              <w:textAlignment w:val="baseline"/>
              <w:rPr>
                <w:rFonts w:ascii="Arial" w:hAnsi="Arial" w:cs="Arial"/>
                <w:b/>
                <w:sz w:val="20"/>
                <w:lang w:val="en-IN"/>
              </w:rPr>
            </w:pPr>
            <w:r>
              <w:rPr>
                <w:rFonts w:ascii="Arial" w:hAnsi="Arial" w:cs="Arial"/>
                <w:b/>
                <w:bCs/>
                <w:sz w:val="20"/>
                <w:lang w:val="en-IN"/>
              </w:rPr>
              <w:t>100</w:t>
            </w:r>
            <w:r w:rsidR="00EE7BC3">
              <w:rPr>
                <w:rFonts w:ascii="Arial" w:hAnsi="Arial" w:cs="Arial"/>
                <w:b/>
                <w:bCs/>
                <w:sz w:val="20"/>
                <w:lang w:val="en-IN"/>
              </w:rPr>
              <w:t>,</w:t>
            </w:r>
            <w:r>
              <w:rPr>
                <w:rFonts w:ascii="Arial" w:hAnsi="Arial" w:cs="Arial"/>
                <w:b/>
                <w:bCs/>
                <w:sz w:val="20"/>
                <w:lang w:val="en-IN"/>
              </w:rPr>
              <w:t>22</w:t>
            </w:r>
            <w:r w:rsidR="00EE7BC3">
              <w:rPr>
                <w:rFonts w:ascii="Arial" w:hAnsi="Arial" w:cs="Arial"/>
                <w:b/>
                <w:bCs/>
                <w:sz w:val="20"/>
                <w:lang w:val="en-IN"/>
              </w:rPr>
              <w:t>2</w:t>
            </w:r>
          </w:p>
        </w:tc>
      </w:tr>
      <w:tr w:rsidR="00C41E23" w:rsidRPr="00E70587" w14:paraId="74DAE135" w14:textId="77777777" w:rsidTr="00915156">
        <w:tc>
          <w:tcPr>
            <w:tcW w:w="9576" w:type="dxa"/>
            <w:gridSpan w:val="7"/>
            <w:tcMar>
              <w:left w:w="108" w:type="dxa"/>
            </w:tcMar>
            <w:vAlign w:val="bottom"/>
          </w:tcPr>
          <w:p w14:paraId="56F998FB" w14:textId="77777777" w:rsidR="00C41E23" w:rsidRPr="00E70587" w:rsidRDefault="00C41E23" w:rsidP="009901E1">
            <w:pPr>
              <w:pStyle w:val="Tablecolumnheading"/>
              <w:spacing w:line="280" w:lineRule="exact"/>
              <w:jc w:val="left"/>
              <w:rPr>
                <w:rFonts w:ascii="Arial" w:hAnsi="Arial"/>
                <w:color w:val="auto"/>
                <w:sz w:val="20"/>
                <w:szCs w:val="20"/>
                <w:lang w:val="en-IN"/>
              </w:rPr>
            </w:pPr>
          </w:p>
          <w:p w14:paraId="406EC726" w14:textId="6ED9854A" w:rsidR="00C41E23" w:rsidRPr="00E70587" w:rsidRDefault="00C41E23"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Year ended 31 </w:t>
            </w:r>
            <w:r w:rsidR="008B730E" w:rsidRPr="00E70587">
              <w:rPr>
                <w:rFonts w:ascii="Arial" w:hAnsi="Arial"/>
                <w:color w:val="auto"/>
                <w:sz w:val="20"/>
                <w:szCs w:val="20"/>
                <w:lang w:val="en-IN"/>
              </w:rPr>
              <w:t xml:space="preserve">March </w:t>
            </w:r>
            <w:r w:rsidR="004A0AEB" w:rsidRPr="00E70587">
              <w:rPr>
                <w:rFonts w:ascii="Arial" w:hAnsi="Arial"/>
                <w:color w:val="auto"/>
                <w:sz w:val="20"/>
                <w:szCs w:val="20"/>
                <w:lang w:val="en-IN"/>
              </w:rPr>
              <w:t>20</w:t>
            </w:r>
            <w:r w:rsidR="004A0AEB">
              <w:rPr>
                <w:rFonts w:ascii="Arial" w:hAnsi="Arial"/>
                <w:color w:val="auto"/>
                <w:sz w:val="20"/>
                <w:szCs w:val="20"/>
                <w:lang w:val="en-IN"/>
              </w:rPr>
              <w:t>20</w:t>
            </w:r>
          </w:p>
        </w:tc>
      </w:tr>
      <w:tr w:rsidR="00F54B53" w:rsidRPr="00E70587" w14:paraId="11662BB7" w14:textId="77777777" w:rsidTr="001510A2">
        <w:tc>
          <w:tcPr>
            <w:tcW w:w="1880" w:type="dxa"/>
            <w:tcMar>
              <w:left w:w="108" w:type="dxa"/>
            </w:tcMar>
            <w:vAlign w:val="bottom"/>
          </w:tcPr>
          <w:p w14:paraId="0BFE9762" w14:textId="77777777" w:rsidR="00F54B53" w:rsidRPr="00E70587" w:rsidRDefault="00F54B53" w:rsidP="001510A2">
            <w:pPr>
              <w:pStyle w:val="Tablecolumnheading"/>
              <w:spacing w:line="280" w:lineRule="exact"/>
              <w:jc w:val="left"/>
              <w:rPr>
                <w:rFonts w:ascii="Arial" w:hAnsi="Arial"/>
                <w:color w:val="auto"/>
                <w:sz w:val="20"/>
                <w:szCs w:val="20"/>
                <w:lang w:val="en-IN"/>
              </w:rPr>
            </w:pPr>
          </w:p>
        </w:tc>
        <w:tc>
          <w:tcPr>
            <w:tcW w:w="1282" w:type="dxa"/>
            <w:tcBorders>
              <w:bottom w:val="single" w:sz="4" w:space="0" w:color="auto"/>
            </w:tcBorders>
            <w:vAlign w:val="bottom"/>
          </w:tcPr>
          <w:p w14:paraId="41023815" w14:textId="77777777" w:rsidR="00F54B53" w:rsidRPr="00E70587" w:rsidRDefault="00F54B53" w:rsidP="00926CA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On demand</w:t>
            </w:r>
          </w:p>
        </w:tc>
        <w:tc>
          <w:tcPr>
            <w:tcW w:w="1283" w:type="dxa"/>
            <w:tcBorders>
              <w:bottom w:val="single" w:sz="4" w:space="0" w:color="auto"/>
            </w:tcBorders>
            <w:vAlign w:val="bottom"/>
          </w:tcPr>
          <w:p w14:paraId="0D2E6149" w14:textId="77777777" w:rsidR="00F54B53" w:rsidRPr="00E70587" w:rsidRDefault="00F54B53" w:rsidP="00926CA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Less than 3 months</w:t>
            </w:r>
          </w:p>
        </w:tc>
        <w:tc>
          <w:tcPr>
            <w:tcW w:w="1283" w:type="dxa"/>
            <w:tcBorders>
              <w:bottom w:val="single" w:sz="4" w:space="0" w:color="auto"/>
            </w:tcBorders>
            <w:vAlign w:val="bottom"/>
          </w:tcPr>
          <w:p w14:paraId="4756F753" w14:textId="77777777" w:rsidR="00F54B53" w:rsidRPr="00E70587" w:rsidRDefault="00F54B53" w:rsidP="00926CA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3 to 12 months</w:t>
            </w:r>
          </w:p>
        </w:tc>
        <w:tc>
          <w:tcPr>
            <w:tcW w:w="1282" w:type="dxa"/>
            <w:tcBorders>
              <w:bottom w:val="single" w:sz="4" w:space="0" w:color="auto"/>
            </w:tcBorders>
            <w:vAlign w:val="bottom"/>
          </w:tcPr>
          <w:p w14:paraId="6E5B01C4" w14:textId="77777777" w:rsidR="00F54B53" w:rsidRPr="00E70587" w:rsidRDefault="00F54B53" w:rsidP="00926CA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1 to 5 years</w:t>
            </w:r>
          </w:p>
        </w:tc>
        <w:tc>
          <w:tcPr>
            <w:tcW w:w="1283" w:type="dxa"/>
            <w:tcBorders>
              <w:bottom w:val="single" w:sz="4" w:space="0" w:color="auto"/>
            </w:tcBorders>
            <w:vAlign w:val="bottom"/>
          </w:tcPr>
          <w:p w14:paraId="345FBB82" w14:textId="77777777" w:rsidR="00F54B53" w:rsidRPr="00E70587" w:rsidRDefault="00F54B53" w:rsidP="00926CA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&gt; 5 years</w:t>
            </w:r>
          </w:p>
        </w:tc>
        <w:tc>
          <w:tcPr>
            <w:tcW w:w="1283" w:type="dxa"/>
            <w:tcBorders>
              <w:bottom w:val="single" w:sz="4" w:space="0" w:color="auto"/>
            </w:tcBorders>
            <w:vAlign w:val="bottom"/>
          </w:tcPr>
          <w:p w14:paraId="57A93514" w14:textId="77777777" w:rsidR="00F54B53" w:rsidRPr="00E70587" w:rsidRDefault="00F54B53" w:rsidP="00926CAF">
            <w:pPr>
              <w:pStyle w:val="Tablecolumnheading"/>
              <w:spacing w:line="280" w:lineRule="exact"/>
              <w:ind w:left="-71"/>
              <w:rPr>
                <w:rFonts w:ascii="Arial" w:hAnsi="Arial"/>
                <w:color w:val="auto"/>
                <w:sz w:val="20"/>
                <w:szCs w:val="20"/>
                <w:lang w:val="en-IN"/>
              </w:rPr>
            </w:pPr>
            <w:r w:rsidRPr="00E70587">
              <w:rPr>
                <w:rFonts w:ascii="Arial" w:hAnsi="Arial"/>
                <w:color w:val="auto"/>
                <w:sz w:val="20"/>
                <w:szCs w:val="20"/>
                <w:lang w:val="en-IN"/>
              </w:rPr>
              <w:t>Total</w:t>
            </w:r>
          </w:p>
        </w:tc>
      </w:tr>
      <w:tr w:rsidR="00F54B53" w:rsidRPr="00E70587" w14:paraId="3AF200E6" w14:textId="77777777" w:rsidTr="001510A2">
        <w:tc>
          <w:tcPr>
            <w:tcW w:w="1880" w:type="dxa"/>
          </w:tcPr>
          <w:p w14:paraId="17A7D117" w14:textId="77777777" w:rsidR="00F54B53" w:rsidRPr="00E70587" w:rsidRDefault="00F54B53" w:rsidP="001510A2">
            <w:pPr>
              <w:pStyle w:val="Tablecolumnheading"/>
              <w:spacing w:line="280" w:lineRule="exact"/>
              <w:rPr>
                <w:rFonts w:ascii="Arial" w:hAnsi="Arial"/>
                <w:color w:val="auto"/>
                <w:sz w:val="20"/>
                <w:szCs w:val="20"/>
                <w:lang w:val="en-IN"/>
              </w:rPr>
            </w:pPr>
          </w:p>
        </w:tc>
        <w:tc>
          <w:tcPr>
            <w:tcW w:w="1282" w:type="dxa"/>
            <w:tcBorders>
              <w:top w:val="single" w:sz="4" w:space="0" w:color="auto"/>
            </w:tcBorders>
            <w:vAlign w:val="bottom"/>
          </w:tcPr>
          <w:p w14:paraId="1C0D2F62" w14:textId="77777777" w:rsidR="00F54B53" w:rsidRPr="00E70587" w:rsidRDefault="00F54B53" w:rsidP="00926CA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283" w:type="dxa"/>
            <w:tcBorders>
              <w:top w:val="single" w:sz="4" w:space="0" w:color="auto"/>
            </w:tcBorders>
            <w:vAlign w:val="bottom"/>
          </w:tcPr>
          <w:p w14:paraId="40DF75C7" w14:textId="77777777" w:rsidR="00F54B53" w:rsidRPr="00E70587" w:rsidRDefault="00F54B53" w:rsidP="00926CA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283" w:type="dxa"/>
            <w:tcBorders>
              <w:top w:val="single" w:sz="4" w:space="0" w:color="auto"/>
            </w:tcBorders>
            <w:vAlign w:val="bottom"/>
          </w:tcPr>
          <w:p w14:paraId="57B62F74" w14:textId="77777777" w:rsidR="00F54B53" w:rsidRPr="00E70587" w:rsidRDefault="00F54B53" w:rsidP="00926CA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282" w:type="dxa"/>
            <w:tcBorders>
              <w:top w:val="single" w:sz="4" w:space="0" w:color="auto"/>
            </w:tcBorders>
            <w:vAlign w:val="bottom"/>
          </w:tcPr>
          <w:p w14:paraId="03475F05" w14:textId="77777777" w:rsidR="00F54B53" w:rsidRPr="00E70587" w:rsidRDefault="00F54B53" w:rsidP="00926CA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283" w:type="dxa"/>
            <w:tcBorders>
              <w:top w:val="single" w:sz="4" w:space="0" w:color="auto"/>
            </w:tcBorders>
            <w:vAlign w:val="bottom"/>
          </w:tcPr>
          <w:p w14:paraId="6414E92E" w14:textId="77777777" w:rsidR="00F54B53" w:rsidRPr="00E70587" w:rsidRDefault="00F54B53" w:rsidP="00926CA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283" w:type="dxa"/>
            <w:tcBorders>
              <w:top w:val="single" w:sz="4" w:space="0" w:color="auto"/>
            </w:tcBorders>
            <w:vAlign w:val="bottom"/>
          </w:tcPr>
          <w:p w14:paraId="1142638E" w14:textId="77777777" w:rsidR="00F54B53" w:rsidRPr="00E70587" w:rsidRDefault="00F54B53" w:rsidP="00926CAF">
            <w:pPr>
              <w:pStyle w:val="Tablecolumnheading"/>
              <w:spacing w:line="280" w:lineRule="exact"/>
              <w:ind w:left="-71"/>
              <w:rPr>
                <w:rFonts w:ascii="Arial" w:hAnsi="Arial"/>
                <w:color w:val="auto"/>
                <w:sz w:val="20"/>
                <w:szCs w:val="20"/>
                <w:lang w:val="en-IN"/>
              </w:rPr>
            </w:pPr>
            <w:r w:rsidRPr="00E70587">
              <w:rPr>
                <w:rFonts w:ascii="Arial" w:hAnsi="Arial"/>
                <w:color w:val="auto"/>
                <w:sz w:val="20"/>
                <w:szCs w:val="20"/>
                <w:lang w:val="en-IN"/>
              </w:rPr>
              <w:t>INR Lacs</w:t>
            </w:r>
          </w:p>
        </w:tc>
      </w:tr>
      <w:tr w:rsidR="0086091A" w:rsidRPr="00E70587" w14:paraId="6654CF07" w14:textId="77777777" w:rsidTr="00926CAF">
        <w:tc>
          <w:tcPr>
            <w:tcW w:w="1880" w:type="dxa"/>
            <w:tcMar>
              <w:left w:w="108" w:type="dxa"/>
              <w:right w:w="0" w:type="dxa"/>
            </w:tcMar>
            <w:vAlign w:val="center"/>
          </w:tcPr>
          <w:p w14:paraId="711947E0" w14:textId="659ABB75" w:rsidR="0086091A" w:rsidRPr="00E70587" w:rsidRDefault="00BC09BA" w:rsidP="009901E1">
            <w:pPr>
              <w:pStyle w:val="tabletext"/>
              <w:overflowPunct w:val="0"/>
              <w:autoSpaceDE w:val="0"/>
              <w:autoSpaceDN w:val="0"/>
              <w:adjustRightInd w:val="0"/>
              <w:spacing w:line="280" w:lineRule="exact"/>
              <w:ind w:right="117"/>
              <w:textAlignment w:val="baseline"/>
              <w:rPr>
                <w:rFonts w:ascii="Arial" w:hAnsi="Arial" w:cs="Arial"/>
                <w:spacing w:val="-3"/>
                <w:sz w:val="20"/>
                <w:lang w:val="en-IN"/>
              </w:rPr>
            </w:pPr>
            <w:r w:rsidRPr="00E70587">
              <w:rPr>
                <w:rFonts w:ascii="Arial" w:hAnsi="Arial" w:cs="Arial"/>
                <w:spacing w:val="-3"/>
                <w:sz w:val="20"/>
                <w:lang w:val="en-IN"/>
              </w:rPr>
              <w:t>B</w:t>
            </w:r>
            <w:r w:rsidR="0086091A" w:rsidRPr="00E70587">
              <w:rPr>
                <w:rFonts w:ascii="Arial" w:hAnsi="Arial" w:cs="Arial"/>
                <w:spacing w:val="-3"/>
                <w:sz w:val="20"/>
                <w:lang w:val="en-IN"/>
              </w:rPr>
              <w:t>orrowings (other than</w:t>
            </w:r>
            <w:r w:rsidR="00D00EF7">
              <w:rPr>
                <w:rFonts w:ascii="Arial" w:hAnsi="Arial" w:cs="Arial"/>
                <w:spacing w:val="-4"/>
                <w:sz w:val="20"/>
                <w:lang w:val="en-IN"/>
              </w:rPr>
              <w:t xml:space="preserve"> lease liabilities &amp;</w:t>
            </w:r>
            <w:r w:rsidR="0086091A" w:rsidRPr="00E70587">
              <w:rPr>
                <w:rFonts w:ascii="Arial" w:hAnsi="Arial" w:cs="Arial"/>
                <w:spacing w:val="-3"/>
                <w:sz w:val="20"/>
                <w:lang w:val="en-IN"/>
              </w:rPr>
              <w:t xml:space="preserve"> convertible preference shares)</w:t>
            </w:r>
          </w:p>
        </w:tc>
        <w:tc>
          <w:tcPr>
            <w:tcW w:w="1282" w:type="dxa"/>
            <w:vAlign w:val="bottom"/>
          </w:tcPr>
          <w:p w14:paraId="71E751C9" w14:textId="29DB5C66" w:rsidR="0086091A" w:rsidRPr="00E70587" w:rsidRDefault="00E91733"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4,770</w:t>
            </w:r>
          </w:p>
        </w:tc>
        <w:tc>
          <w:tcPr>
            <w:tcW w:w="1283" w:type="dxa"/>
            <w:vAlign w:val="bottom"/>
          </w:tcPr>
          <w:p w14:paraId="52397E22" w14:textId="5F7479EA" w:rsidR="0086091A" w:rsidRPr="00E70587" w:rsidRDefault="00F009B3"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c>
          <w:tcPr>
            <w:tcW w:w="1283" w:type="dxa"/>
            <w:vAlign w:val="bottom"/>
          </w:tcPr>
          <w:p w14:paraId="02A8D0C5" w14:textId="1275DD14" w:rsidR="0086091A" w:rsidRPr="00E70587" w:rsidRDefault="00E91733"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137</w:t>
            </w:r>
          </w:p>
        </w:tc>
        <w:tc>
          <w:tcPr>
            <w:tcW w:w="1282" w:type="dxa"/>
            <w:vAlign w:val="bottom"/>
          </w:tcPr>
          <w:p w14:paraId="215DD70E" w14:textId="4EAEFE4A" w:rsidR="0086091A" w:rsidRPr="00E70587" w:rsidRDefault="00E91733"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15,970</w:t>
            </w:r>
          </w:p>
        </w:tc>
        <w:tc>
          <w:tcPr>
            <w:tcW w:w="1283" w:type="dxa"/>
            <w:vAlign w:val="bottom"/>
          </w:tcPr>
          <w:p w14:paraId="2810047D" w14:textId="2A5E354D" w:rsidR="0086091A" w:rsidRPr="00E70587" w:rsidRDefault="00E91733"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20,880</w:t>
            </w:r>
          </w:p>
        </w:tc>
        <w:tc>
          <w:tcPr>
            <w:tcW w:w="1283" w:type="dxa"/>
            <w:vAlign w:val="bottom"/>
          </w:tcPr>
          <w:p w14:paraId="0988F612" w14:textId="7B2F8B55" w:rsidR="0086091A" w:rsidRPr="00E70587" w:rsidRDefault="00E91733"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41,75</w:t>
            </w:r>
            <w:r w:rsidR="00AD372C">
              <w:rPr>
                <w:rFonts w:ascii="Arial" w:hAnsi="Arial" w:cs="Arial"/>
                <w:sz w:val="20"/>
                <w:lang w:val="en-IN"/>
              </w:rPr>
              <w:t>7</w:t>
            </w:r>
          </w:p>
        </w:tc>
      </w:tr>
      <w:tr w:rsidR="00EE7BC3" w:rsidRPr="00E70587" w14:paraId="6C9A6EF0" w14:textId="77777777" w:rsidTr="00C5107E">
        <w:tc>
          <w:tcPr>
            <w:tcW w:w="1880" w:type="dxa"/>
            <w:tcMar>
              <w:left w:w="108" w:type="dxa"/>
              <w:right w:w="0" w:type="dxa"/>
            </w:tcMar>
            <w:vAlign w:val="center"/>
          </w:tcPr>
          <w:p w14:paraId="6D0DB54C" w14:textId="77777777" w:rsidR="00EE7BC3" w:rsidRPr="00E70587" w:rsidRDefault="00EE7BC3" w:rsidP="00C5107E">
            <w:pPr>
              <w:pStyle w:val="tabletext"/>
              <w:overflowPunct w:val="0"/>
              <w:autoSpaceDE w:val="0"/>
              <w:autoSpaceDN w:val="0"/>
              <w:adjustRightInd w:val="0"/>
              <w:spacing w:line="280" w:lineRule="exact"/>
              <w:textAlignment w:val="baseline"/>
              <w:rPr>
                <w:rFonts w:ascii="Arial" w:hAnsi="Arial" w:cs="Arial"/>
                <w:sz w:val="20"/>
                <w:lang w:val="en-IN"/>
              </w:rPr>
            </w:pPr>
            <w:r>
              <w:rPr>
                <w:rFonts w:ascii="Arial" w:hAnsi="Arial" w:cs="Arial"/>
                <w:sz w:val="20"/>
                <w:lang w:val="en-IN"/>
              </w:rPr>
              <w:t>Lease Liabilities</w:t>
            </w:r>
          </w:p>
        </w:tc>
        <w:tc>
          <w:tcPr>
            <w:tcW w:w="1282" w:type="dxa"/>
            <w:vAlign w:val="bottom"/>
          </w:tcPr>
          <w:p w14:paraId="41F128EF" w14:textId="494195DE" w:rsidR="00EE7BC3" w:rsidRPr="00E70587" w:rsidRDefault="00F009B3" w:rsidP="00C5107E">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58</w:t>
            </w:r>
          </w:p>
        </w:tc>
        <w:tc>
          <w:tcPr>
            <w:tcW w:w="1283" w:type="dxa"/>
            <w:vAlign w:val="bottom"/>
          </w:tcPr>
          <w:p w14:paraId="5BBC2A45" w14:textId="4515CAAA" w:rsidR="00EE7BC3" w:rsidRPr="00E70587" w:rsidRDefault="00F009B3" w:rsidP="00C5107E">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162</w:t>
            </w:r>
          </w:p>
        </w:tc>
        <w:tc>
          <w:tcPr>
            <w:tcW w:w="1283" w:type="dxa"/>
            <w:vAlign w:val="bottom"/>
          </w:tcPr>
          <w:p w14:paraId="5CAE83EA" w14:textId="3058B5AC" w:rsidR="00EE7BC3" w:rsidRPr="00E70587" w:rsidRDefault="00F009B3" w:rsidP="00C5107E">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533</w:t>
            </w:r>
          </w:p>
        </w:tc>
        <w:tc>
          <w:tcPr>
            <w:tcW w:w="1282" w:type="dxa"/>
            <w:vAlign w:val="bottom"/>
          </w:tcPr>
          <w:p w14:paraId="2E078299" w14:textId="73CAE4FB" w:rsidR="00EE7BC3" w:rsidRPr="00E70587" w:rsidRDefault="00F009B3" w:rsidP="00C5107E">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4,295</w:t>
            </w:r>
          </w:p>
        </w:tc>
        <w:tc>
          <w:tcPr>
            <w:tcW w:w="1283" w:type="dxa"/>
            <w:vAlign w:val="bottom"/>
          </w:tcPr>
          <w:p w14:paraId="7129F235" w14:textId="49F27407" w:rsidR="00EE7BC3" w:rsidRPr="00E70587" w:rsidRDefault="00F009B3" w:rsidP="00C5107E">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2,578</w:t>
            </w:r>
          </w:p>
        </w:tc>
        <w:tc>
          <w:tcPr>
            <w:tcW w:w="1283" w:type="dxa"/>
            <w:vAlign w:val="bottom"/>
          </w:tcPr>
          <w:p w14:paraId="713DD828" w14:textId="429C1155" w:rsidR="00EE7BC3" w:rsidRPr="00E70587" w:rsidRDefault="00F009B3" w:rsidP="00C5107E">
            <w:pPr>
              <w:pStyle w:val="tabletext"/>
              <w:overflowPunct w:val="0"/>
              <w:autoSpaceDE w:val="0"/>
              <w:autoSpaceDN w:val="0"/>
              <w:adjustRightInd w:val="0"/>
              <w:spacing w:line="280" w:lineRule="exact"/>
              <w:ind w:left="-71"/>
              <w:jc w:val="right"/>
              <w:textAlignment w:val="baseline"/>
              <w:rPr>
                <w:rFonts w:ascii="Arial" w:hAnsi="Arial" w:cs="Arial"/>
                <w:sz w:val="20"/>
                <w:lang w:val="en-IN"/>
              </w:rPr>
            </w:pPr>
            <w:r>
              <w:rPr>
                <w:rFonts w:ascii="Arial" w:hAnsi="Arial" w:cs="Arial"/>
                <w:sz w:val="20"/>
                <w:lang w:val="en-IN"/>
              </w:rPr>
              <w:t>7,62</w:t>
            </w:r>
            <w:r w:rsidR="00AD372C">
              <w:rPr>
                <w:rFonts w:ascii="Arial" w:hAnsi="Arial" w:cs="Arial"/>
                <w:sz w:val="20"/>
                <w:lang w:val="en-IN"/>
              </w:rPr>
              <w:t>6</w:t>
            </w:r>
          </w:p>
        </w:tc>
      </w:tr>
      <w:tr w:rsidR="0086091A" w:rsidRPr="00E70587" w14:paraId="5BBFC91C" w14:textId="77777777" w:rsidTr="00926CAF">
        <w:tc>
          <w:tcPr>
            <w:tcW w:w="1880" w:type="dxa"/>
            <w:tcMar>
              <w:left w:w="108" w:type="dxa"/>
              <w:right w:w="0" w:type="dxa"/>
            </w:tcMar>
            <w:vAlign w:val="center"/>
          </w:tcPr>
          <w:p w14:paraId="5E972C1D"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Convertible preference shares</w:t>
            </w:r>
          </w:p>
        </w:tc>
        <w:tc>
          <w:tcPr>
            <w:tcW w:w="1282" w:type="dxa"/>
            <w:vAlign w:val="bottom"/>
          </w:tcPr>
          <w:p w14:paraId="688435F1" w14:textId="77777777" w:rsidR="0086091A" w:rsidRPr="00E70587"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c>
          <w:tcPr>
            <w:tcW w:w="1283" w:type="dxa"/>
            <w:vAlign w:val="bottom"/>
          </w:tcPr>
          <w:p w14:paraId="33163D7C" w14:textId="77777777" w:rsidR="0086091A" w:rsidRPr="00E70587"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c>
          <w:tcPr>
            <w:tcW w:w="1283" w:type="dxa"/>
            <w:vAlign w:val="bottom"/>
          </w:tcPr>
          <w:p w14:paraId="77419D34" w14:textId="77777777" w:rsidR="0086091A" w:rsidRPr="00E70587"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c>
          <w:tcPr>
            <w:tcW w:w="1282" w:type="dxa"/>
            <w:vAlign w:val="bottom"/>
          </w:tcPr>
          <w:p w14:paraId="2B38C7F5" w14:textId="6A013D34" w:rsidR="0086091A" w:rsidRPr="00E70587" w:rsidRDefault="00AF0E3F"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1,123</w:t>
            </w:r>
          </w:p>
        </w:tc>
        <w:tc>
          <w:tcPr>
            <w:tcW w:w="1283" w:type="dxa"/>
            <w:vAlign w:val="bottom"/>
          </w:tcPr>
          <w:p w14:paraId="3C5BC36B" w14:textId="4C95E183" w:rsidR="0086091A" w:rsidRPr="00E70587" w:rsidRDefault="00AF0E3F"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4,277</w:t>
            </w:r>
          </w:p>
        </w:tc>
        <w:tc>
          <w:tcPr>
            <w:tcW w:w="1283" w:type="dxa"/>
            <w:vAlign w:val="bottom"/>
          </w:tcPr>
          <w:p w14:paraId="2764A94D" w14:textId="2CF92E77" w:rsidR="0086091A" w:rsidRPr="00E70587" w:rsidRDefault="00AF0E3F"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5,400</w:t>
            </w:r>
          </w:p>
        </w:tc>
      </w:tr>
      <w:tr w:rsidR="0086091A" w:rsidRPr="00E70587" w14:paraId="54DB266D" w14:textId="77777777" w:rsidTr="00926CAF">
        <w:tc>
          <w:tcPr>
            <w:tcW w:w="1880" w:type="dxa"/>
            <w:tcMar>
              <w:left w:w="108" w:type="dxa"/>
            </w:tcMar>
            <w:vAlign w:val="center"/>
          </w:tcPr>
          <w:p w14:paraId="679324B7"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Trade and other payables</w:t>
            </w:r>
          </w:p>
        </w:tc>
        <w:tc>
          <w:tcPr>
            <w:tcW w:w="1282" w:type="dxa"/>
            <w:vAlign w:val="bottom"/>
          </w:tcPr>
          <w:p w14:paraId="12F46FC1" w14:textId="19A80DC9" w:rsidR="0086091A" w:rsidRPr="00E70587" w:rsidRDefault="008A093D"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7</w:t>
            </w:r>
            <w:r w:rsidR="0086091A" w:rsidRPr="00E70587">
              <w:rPr>
                <w:rFonts w:ascii="Arial" w:hAnsi="Arial" w:cs="Arial"/>
                <w:sz w:val="20"/>
                <w:lang w:val="en-IN"/>
              </w:rPr>
              <w:t>,</w:t>
            </w:r>
            <w:r>
              <w:rPr>
                <w:rFonts w:ascii="Arial" w:hAnsi="Arial" w:cs="Arial"/>
                <w:sz w:val="20"/>
                <w:lang w:val="en-IN"/>
              </w:rPr>
              <w:t>778</w:t>
            </w:r>
          </w:p>
        </w:tc>
        <w:tc>
          <w:tcPr>
            <w:tcW w:w="1283" w:type="dxa"/>
            <w:vAlign w:val="bottom"/>
          </w:tcPr>
          <w:p w14:paraId="466FE879" w14:textId="5F259AC7" w:rsidR="0086091A" w:rsidRPr="00E70587" w:rsidRDefault="008A093D"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25,126</w:t>
            </w:r>
          </w:p>
        </w:tc>
        <w:tc>
          <w:tcPr>
            <w:tcW w:w="1283" w:type="dxa"/>
            <w:vAlign w:val="bottom"/>
          </w:tcPr>
          <w:p w14:paraId="4E364DFC" w14:textId="40AFBE6D" w:rsidR="0086091A" w:rsidRPr="00E70587" w:rsidRDefault="008A093D"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3,137</w:t>
            </w:r>
          </w:p>
        </w:tc>
        <w:tc>
          <w:tcPr>
            <w:tcW w:w="1282" w:type="dxa"/>
            <w:vAlign w:val="bottom"/>
          </w:tcPr>
          <w:p w14:paraId="145AA932" w14:textId="77777777" w:rsidR="0086091A" w:rsidRPr="00E70587"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c>
          <w:tcPr>
            <w:tcW w:w="1283" w:type="dxa"/>
            <w:vAlign w:val="bottom"/>
          </w:tcPr>
          <w:p w14:paraId="7519A52C" w14:textId="77777777" w:rsidR="0086091A" w:rsidRPr="00E70587"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c>
          <w:tcPr>
            <w:tcW w:w="1283" w:type="dxa"/>
            <w:vAlign w:val="bottom"/>
          </w:tcPr>
          <w:p w14:paraId="73E28A28" w14:textId="31293849" w:rsidR="0086091A" w:rsidRPr="00E70587" w:rsidRDefault="008A093D"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36,041</w:t>
            </w:r>
          </w:p>
        </w:tc>
      </w:tr>
      <w:tr w:rsidR="0086091A" w:rsidRPr="00E70587" w:rsidDel="008D256F" w14:paraId="363582AF" w14:textId="77777777" w:rsidTr="00926CAF">
        <w:tc>
          <w:tcPr>
            <w:tcW w:w="1880" w:type="dxa"/>
            <w:tcMar>
              <w:left w:w="108" w:type="dxa"/>
              <w:right w:w="0" w:type="dxa"/>
            </w:tcMar>
            <w:vAlign w:val="center"/>
          </w:tcPr>
          <w:p w14:paraId="3D680AB6"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Financial guarantee contracts*</w:t>
            </w:r>
          </w:p>
        </w:tc>
        <w:tc>
          <w:tcPr>
            <w:tcW w:w="1282" w:type="dxa"/>
            <w:vAlign w:val="bottom"/>
          </w:tcPr>
          <w:p w14:paraId="5B6FBECF" w14:textId="15611673" w:rsidR="0086091A" w:rsidRPr="00E70587" w:rsidRDefault="00AF0E3F" w:rsidP="00926CAF">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Pr>
                <w:rFonts w:ascii="Arial" w:hAnsi="Arial" w:cs="Arial"/>
                <w:sz w:val="20"/>
                <w:lang w:val="en-IN"/>
              </w:rPr>
              <w:t>1</w:t>
            </w:r>
            <w:r w:rsidRPr="00E70587">
              <w:rPr>
                <w:rFonts w:ascii="Arial" w:hAnsi="Arial" w:cs="Arial"/>
                <w:sz w:val="20"/>
                <w:lang w:val="en-IN"/>
              </w:rPr>
              <w:t>6</w:t>
            </w:r>
            <w:r>
              <w:rPr>
                <w:rFonts w:ascii="Arial" w:hAnsi="Arial" w:cs="Arial"/>
                <w:sz w:val="20"/>
                <w:lang w:val="en-IN"/>
              </w:rPr>
              <w:t>3</w:t>
            </w:r>
          </w:p>
        </w:tc>
        <w:tc>
          <w:tcPr>
            <w:tcW w:w="1283" w:type="dxa"/>
            <w:vAlign w:val="bottom"/>
          </w:tcPr>
          <w:p w14:paraId="68F7EB1B" w14:textId="77777777" w:rsidR="0086091A" w:rsidRPr="00E70587" w:rsidRDefault="0086091A" w:rsidP="00926CAF">
            <w:pPr>
              <w:pStyle w:val="tabletext"/>
              <w:overflowPunct w:val="0"/>
              <w:autoSpaceDE w:val="0"/>
              <w:autoSpaceDN w:val="0"/>
              <w:adjustRightInd w:val="0"/>
              <w:spacing w:line="280" w:lineRule="exact"/>
              <w:ind w:left="57"/>
              <w:jc w:val="right"/>
              <w:textAlignment w:val="baseline"/>
              <w:rPr>
                <w:rFonts w:ascii="Arial" w:hAnsi="Arial" w:cs="Arial"/>
                <w:sz w:val="20"/>
                <w:lang w:val="en-IN"/>
              </w:rPr>
            </w:pPr>
            <w:r w:rsidRPr="00E70587">
              <w:rPr>
                <w:rFonts w:ascii="Arial" w:hAnsi="Arial" w:cs="Arial"/>
                <w:sz w:val="20"/>
                <w:lang w:val="en-IN"/>
              </w:rPr>
              <w:t>—</w:t>
            </w:r>
          </w:p>
        </w:tc>
        <w:tc>
          <w:tcPr>
            <w:tcW w:w="1283" w:type="dxa"/>
            <w:vAlign w:val="bottom"/>
          </w:tcPr>
          <w:p w14:paraId="0A0357D5" w14:textId="77777777" w:rsidR="0086091A" w:rsidRPr="00E70587" w:rsidRDefault="0086091A" w:rsidP="00926CAF">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sidRPr="00E70587">
              <w:rPr>
                <w:rFonts w:ascii="Arial" w:hAnsi="Arial" w:cs="Arial"/>
                <w:sz w:val="20"/>
                <w:lang w:val="en-IN"/>
              </w:rPr>
              <w:t>—</w:t>
            </w:r>
          </w:p>
        </w:tc>
        <w:tc>
          <w:tcPr>
            <w:tcW w:w="1282" w:type="dxa"/>
            <w:vAlign w:val="bottom"/>
          </w:tcPr>
          <w:p w14:paraId="3D4D44DF" w14:textId="77777777" w:rsidR="0086091A" w:rsidRPr="00E70587" w:rsidRDefault="0086091A" w:rsidP="00926CAF">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sidRPr="00E70587">
              <w:rPr>
                <w:rFonts w:ascii="Arial" w:hAnsi="Arial" w:cs="Arial"/>
                <w:sz w:val="20"/>
                <w:lang w:val="en-IN"/>
              </w:rPr>
              <w:t>—</w:t>
            </w:r>
          </w:p>
        </w:tc>
        <w:tc>
          <w:tcPr>
            <w:tcW w:w="1283" w:type="dxa"/>
            <w:vAlign w:val="bottom"/>
          </w:tcPr>
          <w:p w14:paraId="5857E538" w14:textId="77777777" w:rsidR="0086091A" w:rsidRPr="00E70587" w:rsidRDefault="0086091A" w:rsidP="00926CAF">
            <w:pPr>
              <w:pStyle w:val="tabletext"/>
              <w:overflowPunct w:val="0"/>
              <w:autoSpaceDE w:val="0"/>
              <w:autoSpaceDN w:val="0"/>
              <w:adjustRightInd w:val="0"/>
              <w:spacing w:line="280" w:lineRule="exact"/>
              <w:ind w:left="57"/>
              <w:jc w:val="right"/>
              <w:textAlignment w:val="baseline"/>
              <w:rPr>
                <w:rFonts w:ascii="Arial" w:hAnsi="Arial" w:cs="Arial"/>
                <w:sz w:val="20"/>
                <w:lang w:val="en-IN"/>
              </w:rPr>
            </w:pPr>
            <w:r w:rsidRPr="00E70587">
              <w:rPr>
                <w:rFonts w:ascii="Arial" w:hAnsi="Arial" w:cs="Arial"/>
                <w:sz w:val="20"/>
                <w:lang w:val="en-IN"/>
              </w:rPr>
              <w:t>—</w:t>
            </w:r>
          </w:p>
        </w:tc>
        <w:tc>
          <w:tcPr>
            <w:tcW w:w="1283" w:type="dxa"/>
            <w:vAlign w:val="bottom"/>
          </w:tcPr>
          <w:p w14:paraId="3F0176C0" w14:textId="48A6E9A8" w:rsidR="0086091A" w:rsidRPr="00E70587" w:rsidDel="008D256F" w:rsidRDefault="00AF0E3F" w:rsidP="00926CAF">
            <w:pPr>
              <w:pStyle w:val="tabletext"/>
              <w:overflowPunct w:val="0"/>
              <w:autoSpaceDE w:val="0"/>
              <w:autoSpaceDN w:val="0"/>
              <w:adjustRightInd w:val="0"/>
              <w:spacing w:line="280" w:lineRule="exact"/>
              <w:ind w:left="64"/>
              <w:jc w:val="right"/>
              <w:textAlignment w:val="baseline"/>
              <w:rPr>
                <w:rFonts w:ascii="Arial" w:hAnsi="Arial" w:cs="Arial"/>
                <w:sz w:val="20"/>
                <w:lang w:val="en-IN"/>
              </w:rPr>
            </w:pPr>
            <w:r>
              <w:rPr>
                <w:rFonts w:ascii="Arial" w:hAnsi="Arial" w:cs="Arial"/>
                <w:sz w:val="20"/>
                <w:lang w:val="en-IN"/>
              </w:rPr>
              <w:t>163</w:t>
            </w:r>
          </w:p>
        </w:tc>
      </w:tr>
      <w:tr w:rsidR="0086091A" w:rsidRPr="00E70587" w14:paraId="12D232A5" w14:textId="77777777" w:rsidTr="00926CAF">
        <w:tc>
          <w:tcPr>
            <w:tcW w:w="1880" w:type="dxa"/>
            <w:tcMar>
              <w:left w:w="108" w:type="dxa"/>
            </w:tcMar>
            <w:vAlign w:val="center"/>
          </w:tcPr>
          <w:p w14:paraId="3DE352BC"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Derivatives and embedded derivatives</w:t>
            </w:r>
          </w:p>
        </w:tc>
        <w:tc>
          <w:tcPr>
            <w:tcW w:w="1282" w:type="dxa"/>
            <w:vAlign w:val="bottom"/>
          </w:tcPr>
          <w:p w14:paraId="54E9C3FF" w14:textId="465EAE7E" w:rsidR="0086091A" w:rsidRPr="00E70587" w:rsidRDefault="008A093D" w:rsidP="00926CAF">
            <w:pPr>
              <w:pStyle w:val="tabletext"/>
              <w:overflowPunct w:val="0"/>
              <w:autoSpaceDE w:val="0"/>
              <w:autoSpaceDN w:val="0"/>
              <w:adjustRightInd w:val="0"/>
              <w:spacing w:line="280" w:lineRule="exact"/>
              <w:ind w:left="113"/>
              <w:jc w:val="right"/>
              <w:textAlignment w:val="baseline"/>
              <w:rPr>
                <w:rFonts w:ascii="Arial" w:hAnsi="Arial" w:cs="Arial"/>
                <w:sz w:val="20"/>
                <w:lang w:val="en-IN"/>
              </w:rPr>
            </w:pPr>
            <w:r>
              <w:rPr>
                <w:rFonts w:ascii="Arial" w:hAnsi="Arial" w:cs="Arial"/>
                <w:sz w:val="20"/>
                <w:lang w:val="en-IN"/>
              </w:rPr>
              <w:t>988</w:t>
            </w:r>
          </w:p>
        </w:tc>
        <w:tc>
          <w:tcPr>
            <w:tcW w:w="1283" w:type="dxa"/>
            <w:vAlign w:val="bottom"/>
          </w:tcPr>
          <w:p w14:paraId="2710F557" w14:textId="3958F728" w:rsidR="0086091A" w:rsidRPr="00E70587" w:rsidRDefault="008A093D" w:rsidP="00926CAF">
            <w:pPr>
              <w:pStyle w:val="tabletext"/>
              <w:overflowPunct w:val="0"/>
              <w:autoSpaceDE w:val="0"/>
              <w:autoSpaceDN w:val="0"/>
              <w:adjustRightInd w:val="0"/>
              <w:spacing w:line="280" w:lineRule="exact"/>
              <w:ind w:left="113"/>
              <w:jc w:val="right"/>
              <w:textAlignment w:val="baseline"/>
              <w:rPr>
                <w:rFonts w:ascii="Arial" w:hAnsi="Arial" w:cs="Arial"/>
                <w:sz w:val="20"/>
                <w:lang w:val="en-IN"/>
              </w:rPr>
            </w:pPr>
            <w:r>
              <w:rPr>
                <w:rFonts w:ascii="Arial" w:hAnsi="Arial" w:cs="Arial"/>
                <w:sz w:val="20"/>
                <w:lang w:val="en-IN"/>
              </w:rPr>
              <w:t>2,259</w:t>
            </w:r>
          </w:p>
        </w:tc>
        <w:tc>
          <w:tcPr>
            <w:tcW w:w="1283" w:type="dxa"/>
            <w:vAlign w:val="bottom"/>
          </w:tcPr>
          <w:p w14:paraId="50A0CD11" w14:textId="77777777" w:rsidR="0086091A" w:rsidRPr="00E70587" w:rsidRDefault="0086091A" w:rsidP="00926CAF">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sidRPr="00E70587">
              <w:rPr>
                <w:rFonts w:ascii="Arial" w:hAnsi="Arial" w:cs="Arial"/>
                <w:sz w:val="20"/>
                <w:lang w:val="en-IN"/>
              </w:rPr>
              <w:t>—</w:t>
            </w:r>
          </w:p>
        </w:tc>
        <w:tc>
          <w:tcPr>
            <w:tcW w:w="1282" w:type="dxa"/>
            <w:vAlign w:val="bottom"/>
          </w:tcPr>
          <w:p w14:paraId="43E7E370" w14:textId="77777777" w:rsidR="0086091A" w:rsidRPr="00E70587" w:rsidRDefault="0086091A" w:rsidP="00926CAF">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sidRPr="00E70587">
              <w:rPr>
                <w:rFonts w:ascii="Arial" w:hAnsi="Arial" w:cs="Arial"/>
                <w:sz w:val="20"/>
                <w:lang w:val="en-IN"/>
              </w:rPr>
              <w:t>—</w:t>
            </w:r>
          </w:p>
        </w:tc>
        <w:tc>
          <w:tcPr>
            <w:tcW w:w="1283" w:type="dxa"/>
            <w:vAlign w:val="bottom"/>
          </w:tcPr>
          <w:p w14:paraId="320D067F" w14:textId="77777777" w:rsidR="0086091A" w:rsidRPr="00E70587" w:rsidRDefault="0086091A" w:rsidP="00926CAF">
            <w:pPr>
              <w:pStyle w:val="tabletext"/>
              <w:overflowPunct w:val="0"/>
              <w:autoSpaceDE w:val="0"/>
              <w:autoSpaceDN w:val="0"/>
              <w:adjustRightInd w:val="0"/>
              <w:spacing w:line="280" w:lineRule="exact"/>
              <w:ind w:left="113"/>
              <w:jc w:val="right"/>
              <w:textAlignment w:val="baseline"/>
              <w:rPr>
                <w:rFonts w:ascii="Arial" w:hAnsi="Arial" w:cs="Arial"/>
                <w:sz w:val="20"/>
                <w:lang w:val="en-IN"/>
              </w:rPr>
            </w:pPr>
            <w:r w:rsidRPr="00E70587">
              <w:rPr>
                <w:rFonts w:ascii="Arial" w:hAnsi="Arial" w:cs="Arial"/>
                <w:sz w:val="20"/>
                <w:lang w:val="en-IN"/>
              </w:rPr>
              <w:t>—</w:t>
            </w:r>
          </w:p>
        </w:tc>
        <w:tc>
          <w:tcPr>
            <w:tcW w:w="1283" w:type="dxa"/>
            <w:vAlign w:val="bottom"/>
          </w:tcPr>
          <w:p w14:paraId="38BF0290" w14:textId="250E9C24" w:rsidR="0086091A" w:rsidRPr="00E70587" w:rsidRDefault="008A093D"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3,247</w:t>
            </w:r>
          </w:p>
        </w:tc>
      </w:tr>
      <w:tr w:rsidR="0086091A" w:rsidRPr="00E70587" w14:paraId="74006C6E" w14:textId="77777777" w:rsidTr="00C41E23">
        <w:tc>
          <w:tcPr>
            <w:tcW w:w="1880" w:type="dxa"/>
            <w:vAlign w:val="center"/>
          </w:tcPr>
          <w:p w14:paraId="24ED9FBC"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282" w:type="dxa"/>
            <w:vAlign w:val="bottom"/>
          </w:tcPr>
          <w:p w14:paraId="4B15C730" w14:textId="6622CAAB" w:rsidR="0086091A" w:rsidRPr="00E70587" w:rsidRDefault="008A093D" w:rsidP="00926CAF">
            <w:pPr>
              <w:pStyle w:val="tabletext"/>
              <w:overflowPunct w:val="0"/>
              <w:autoSpaceDE w:val="0"/>
              <w:autoSpaceDN w:val="0"/>
              <w:adjustRightInd w:val="0"/>
              <w:spacing w:line="280" w:lineRule="exact"/>
              <w:ind w:left="113"/>
              <w:jc w:val="right"/>
              <w:textAlignment w:val="baseline"/>
              <w:rPr>
                <w:rFonts w:ascii="Arial" w:hAnsi="Arial" w:cs="Arial"/>
                <w:b/>
                <w:sz w:val="20"/>
                <w:lang w:val="en-IN"/>
              </w:rPr>
            </w:pPr>
            <w:r>
              <w:rPr>
                <w:rFonts w:ascii="Arial" w:hAnsi="Arial" w:cs="Arial"/>
                <w:b/>
                <w:bCs/>
                <w:sz w:val="20"/>
                <w:lang w:val="en-IN"/>
              </w:rPr>
              <w:t>13</w:t>
            </w:r>
            <w:r w:rsidR="0086091A" w:rsidRPr="00E70587">
              <w:rPr>
                <w:rFonts w:ascii="Arial" w:hAnsi="Arial" w:cs="Arial"/>
                <w:b/>
                <w:bCs/>
                <w:sz w:val="20"/>
                <w:lang w:val="en-IN"/>
              </w:rPr>
              <w:t>,</w:t>
            </w:r>
            <w:r>
              <w:rPr>
                <w:rFonts w:ascii="Arial" w:hAnsi="Arial" w:cs="Arial"/>
                <w:b/>
                <w:bCs/>
                <w:sz w:val="20"/>
                <w:lang w:val="en-IN"/>
              </w:rPr>
              <w:t>757</w:t>
            </w:r>
          </w:p>
        </w:tc>
        <w:tc>
          <w:tcPr>
            <w:tcW w:w="1283" w:type="dxa"/>
            <w:vAlign w:val="bottom"/>
          </w:tcPr>
          <w:p w14:paraId="1D8758C0" w14:textId="5FC5FC2D" w:rsidR="0086091A" w:rsidRPr="00E70587" w:rsidRDefault="008A093D" w:rsidP="00926CAF">
            <w:pPr>
              <w:pStyle w:val="tabletext"/>
              <w:overflowPunct w:val="0"/>
              <w:autoSpaceDE w:val="0"/>
              <w:autoSpaceDN w:val="0"/>
              <w:adjustRightInd w:val="0"/>
              <w:spacing w:line="280" w:lineRule="exact"/>
              <w:ind w:left="113"/>
              <w:jc w:val="right"/>
              <w:textAlignment w:val="baseline"/>
              <w:rPr>
                <w:rFonts w:ascii="Arial" w:hAnsi="Arial" w:cs="Arial"/>
                <w:b/>
                <w:sz w:val="20"/>
                <w:lang w:val="en-IN"/>
              </w:rPr>
            </w:pPr>
            <w:r>
              <w:rPr>
                <w:rFonts w:ascii="Arial" w:hAnsi="Arial" w:cs="Arial"/>
                <w:b/>
                <w:bCs/>
                <w:sz w:val="20"/>
                <w:lang w:val="en-IN"/>
              </w:rPr>
              <w:t>27,547</w:t>
            </w:r>
          </w:p>
        </w:tc>
        <w:tc>
          <w:tcPr>
            <w:tcW w:w="1283" w:type="dxa"/>
            <w:vAlign w:val="bottom"/>
          </w:tcPr>
          <w:p w14:paraId="6C648F32" w14:textId="4968466E" w:rsidR="0086091A" w:rsidRPr="00E70587" w:rsidRDefault="008A093D" w:rsidP="00926CAF">
            <w:pPr>
              <w:pStyle w:val="tabletext"/>
              <w:overflowPunct w:val="0"/>
              <w:autoSpaceDE w:val="0"/>
              <w:autoSpaceDN w:val="0"/>
              <w:adjustRightInd w:val="0"/>
              <w:spacing w:line="280" w:lineRule="exact"/>
              <w:ind w:left="170"/>
              <w:jc w:val="right"/>
              <w:textAlignment w:val="baseline"/>
              <w:rPr>
                <w:rFonts w:ascii="Arial" w:hAnsi="Arial" w:cs="Arial"/>
                <w:b/>
                <w:sz w:val="20"/>
                <w:lang w:val="en-IN"/>
              </w:rPr>
            </w:pPr>
            <w:r>
              <w:rPr>
                <w:rFonts w:ascii="Arial" w:hAnsi="Arial" w:cs="Arial"/>
                <w:b/>
                <w:bCs/>
                <w:sz w:val="20"/>
                <w:lang w:val="en-IN"/>
              </w:rPr>
              <w:t>3,807</w:t>
            </w:r>
          </w:p>
        </w:tc>
        <w:tc>
          <w:tcPr>
            <w:tcW w:w="1282" w:type="dxa"/>
            <w:vAlign w:val="bottom"/>
          </w:tcPr>
          <w:p w14:paraId="68D65C02" w14:textId="4062BC02" w:rsidR="0086091A" w:rsidRPr="00E70587" w:rsidRDefault="008A093D" w:rsidP="00926CAF">
            <w:pPr>
              <w:pStyle w:val="tabletext"/>
              <w:overflowPunct w:val="0"/>
              <w:autoSpaceDE w:val="0"/>
              <w:autoSpaceDN w:val="0"/>
              <w:adjustRightInd w:val="0"/>
              <w:spacing w:line="280" w:lineRule="exact"/>
              <w:ind w:left="170"/>
              <w:jc w:val="right"/>
              <w:textAlignment w:val="baseline"/>
              <w:rPr>
                <w:rFonts w:ascii="Arial" w:hAnsi="Arial" w:cs="Arial"/>
                <w:b/>
                <w:sz w:val="20"/>
                <w:lang w:val="en-IN"/>
              </w:rPr>
            </w:pPr>
            <w:r>
              <w:rPr>
                <w:rFonts w:ascii="Arial" w:hAnsi="Arial" w:cs="Arial"/>
                <w:b/>
                <w:bCs/>
                <w:sz w:val="20"/>
                <w:lang w:val="en-IN"/>
              </w:rPr>
              <w:t>21,</w:t>
            </w:r>
            <w:r w:rsidR="00AD372C">
              <w:rPr>
                <w:rFonts w:ascii="Arial" w:hAnsi="Arial" w:cs="Arial"/>
                <w:b/>
                <w:bCs/>
                <w:sz w:val="20"/>
                <w:lang w:val="en-IN"/>
              </w:rPr>
              <w:t>388</w:t>
            </w:r>
          </w:p>
        </w:tc>
        <w:tc>
          <w:tcPr>
            <w:tcW w:w="1283" w:type="dxa"/>
            <w:vAlign w:val="bottom"/>
          </w:tcPr>
          <w:p w14:paraId="0294B9D5" w14:textId="26D36E99" w:rsidR="0086091A" w:rsidRPr="00E70587" w:rsidRDefault="00DB4AE7" w:rsidP="00926CAF">
            <w:pPr>
              <w:pStyle w:val="tabletext"/>
              <w:overflowPunct w:val="0"/>
              <w:autoSpaceDE w:val="0"/>
              <w:autoSpaceDN w:val="0"/>
              <w:adjustRightInd w:val="0"/>
              <w:spacing w:line="280" w:lineRule="exact"/>
              <w:ind w:left="113"/>
              <w:jc w:val="right"/>
              <w:textAlignment w:val="baseline"/>
              <w:rPr>
                <w:rFonts w:ascii="Arial" w:hAnsi="Arial" w:cs="Arial"/>
                <w:b/>
                <w:sz w:val="20"/>
                <w:lang w:val="en-IN"/>
              </w:rPr>
            </w:pPr>
            <w:r>
              <w:rPr>
                <w:rFonts w:ascii="Arial" w:hAnsi="Arial" w:cs="Arial"/>
                <w:b/>
                <w:bCs/>
                <w:sz w:val="20"/>
                <w:lang w:val="en-IN"/>
              </w:rPr>
              <w:t>27,73</w:t>
            </w:r>
            <w:r w:rsidR="00AD372C">
              <w:rPr>
                <w:rFonts w:ascii="Arial" w:hAnsi="Arial" w:cs="Arial"/>
                <w:b/>
                <w:bCs/>
                <w:sz w:val="20"/>
                <w:lang w:val="en-IN"/>
              </w:rPr>
              <w:t>5</w:t>
            </w:r>
          </w:p>
        </w:tc>
        <w:tc>
          <w:tcPr>
            <w:tcW w:w="1283" w:type="dxa"/>
            <w:vAlign w:val="bottom"/>
          </w:tcPr>
          <w:p w14:paraId="1EA9D295" w14:textId="18469D34" w:rsidR="0086091A" w:rsidRPr="00E70587" w:rsidRDefault="00DB4AE7" w:rsidP="00926CAF">
            <w:pPr>
              <w:pStyle w:val="tabletext"/>
              <w:overflowPunct w:val="0"/>
              <w:autoSpaceDE w:val="0"/>
              <w:autoSpaceDN w:val="0"/>
              <w:adjustRightInd w:val="0"/>
              <w:spacing w:line="280" w:lineRule="exact"/>
              <w:ind w:left="-14"/>
              <w:jc w:val="right"/>
              <w:textAlignment w:val="baseline"/>
              <w:rPr>
                <w:rFonts w:ascii="Arial" w:hAnsi="Arial" w:cs="Arial"/>
                <w:b/>
                <w:sz w:val="20"/>
                <w:lang w:val="en-IN"/>
              </w:rPr>
            </w:pPr>
            <w:r>
              <w:rPr>
                <w:rFonts w:ascii="Arial" w:hAnsi="Arial" w:cs="Arial"/>
                <w:b/>
                <w:bCs/>
                <w:sz w:val="20"/>
                <w:lang w:val="en-IN"/>
              </w:rPr>
              <w:t>94,</w:t>
            </w:r>
            <w:r w:rsidR="00AD372C">
              <w:rPr>
                <w:rFonts w:ascii="Arial" w:hAnsi="Arial" w:cs="Arial"/>
                <w:b/>
                <w:bCs/>
                <w:sz w:val="20"/>
                <w:lang w:val="en-IN"/>
              </w:rPr>
              <w:t>234</w:t>
            </w:r>
          </w:p>
        </w:tc>
      </w:tr>
    </w:tbl>
    <w:p w14:paraId="4F4CA1AF" w14:textId="77777777" w:rsidR="000E29A9" w:rsidRPr="00E70587" w:rsidRDefault="000E29A9">
      <w:pPr>
        <w:rPr>
          <w:rFonts w:ascii="Arial" w:hAnsi="Arial"/>
        </w:rPr>
      </w:pPr>
    </w:p>
    <w:p w14:paraId="49E39BCD" w14:textId="77777777" w:rsidR="000E29A9" w:rsidRPr="00E70587" w:rsidRDefault="000E29A9">
      <w:pPr>
        <w:rPr>
          <w:rFonts w:ascii="Arial" w:hAnsi="Arial"/>
        </w:rPr>
      </w:pPr>
    </w:p>
    <w:tbl>
      <w:tblPr>
        <w:tblW w:w="9576" w:type="dxa"/>
        <w:tblLayout w:type="fixed"/>
        <w:tblLook w:val="0000" w:firstRow="0" w:lastRow="0" w:firstColumn="0" w:lastColumn="0" w:noHBand="0" w:noVBand="0"/>
      </w:tblPr>
      <w:tblGrid>
        <w:gridCol w:w="9576"/>
      </w:tblGrid>
      <w:tr w:rsidR="00C41E23" w:rsidRPr="00E70587" w14:paraId="71DA38EA" w14:textId="77777777" w:rsidTr="00C41E23">
        <w:tc>
          <w:tcPr>
            <w:tcW w:w="9576" w:type="dxa"/>
          </w:tcPr>
          <w:p w14:paraId="3BDCF086" w14:textId="77777777" w:rsidR="00C41E23" w:rsidRPr="00E70587" w:rsidRDefault="00C41E23" w:rsidP="00C41E23">
            <w:pPr>
              <w:spacing w:line="280" w:lineRule="exact"/>
              <w:jc w:val="both"/>
              <w:rPr>
                <w:rFonts w:ascii="Arial" w:hAnsi="Arial"/>
                <w:sz w:val="20"/>
              </w:rPr>
            </w:pPr>
          </w:p>
          <w:p w14:paraId="2604117C" w14:textId="77777777" w:rsidR="00C41E23" w:rsidRPr="00E70587" w:rsidRDefault="00C41E23" w:rsidP="00C41E23">
            <w:pPr>
              <w:spacing w:line="280" w:lineRule="exact"/>
              <w:jc w:val="both"/>
              <w:rPr>
                <w:rFonts w:ascii="Arial" w:hAnsi="Arial" w:cs="Arial"/>
                <w:sz w:val="20"/>
              </w:rPr>
            </w:pPr>
            <w:r w:rsidRPr="00E70587">
              <w:rPr>
                <w:rFonts w:ascii="Arial" w:hAnsi="Arial"/>
                <w:sz w:val="20"/>
              </w:rPr>
              <w:t>* Based on the maximum amount that can be called for under the financial guarantee contract.</w:t>
            </w:r>
          </w:p>
          <w:p w14:paraId="051F7C7F" w14:textId="77777777" w:rsidR="00C41E23" w:rsidRPr="00E70587" w:rsidRDefault="00C41E23" w:rsidP="00C41E23">
            <w:pPr>
              <w:spacing w:line="280" w:lineRule="exact"/>
              <w:jc w:val="both"/>
              <w:rPr>
                <w:rFonts w:ascii="Arial" w:hAnsi="Arial" w:cs="Arial"/>
                <w:sz w:val="20"/>
              </w:rPr>
            </w:pPr>
          </w:p>
          <w:p w14:paraId="23F7BB54" w14:textId="77777777" w:rsidR="00C41E23" w:rsidRPr="00E70587" w:rsidRDefault="00C41E23" w:rsidP="00C41E23">
            <w:pPr>
              <w:spacing w:line="280" w:lineRule="exact"/>
              <w:jc w:val="both"/>
              <w:rPr>
                <w:rFonts w:ascii="Arial" w:hAnsi="Arial" w:cs="Arial"/>
                <w:sz w:val="20"/>
              </w:rPr>
            </w:pPr>
            <w:r w:rsidRPr="00E70587">
              <w:rPr>
                <w:rFonts w:ascii="Arial" w:hAnsi="Arial" w:cs="Arial"/>
                <w:sz w:val="20"/>
              </w:rPr>
              <w:t>The disclosed financial derivative instruments in the above table are the gross undiscounted cash flows. However, those amounts may be settled gross or net. The following table shows the corresponding reconciliation of those amounts to their carrying amounts</w:t>
            </w:r>
          </w:p>
        </w:tc>
      </w:tr>
    </w:tbl>
    <w:p w14:paraId="5BC65A13" w14:textId="77777777" w:rsidR="00B56EFC" w:rsidRPr="00E70587" w:rsidRDefault="00B56EFC" w:rsidP="009901E1">
      <w:pPr>
        <w:spacing w:line="280" w:lineRule="exact"/>
        <w:rPr>
          <w:rFonts w:ascii="Arial" w:hAnsi="Arial" w:cs="Arial"/>
          <w:sz w:val="20"/>
        </w:rPr>
      </w:pPr>
    </w:p>
    <w:tbl>
      <w:tblPr>
        <w:tblW w:w="9614" w:type="dxa"/>
        <w:tblLayout w:type="fixed"/>
        <w:tblCellMar>
          <w:left w:w="72" w:type="dxa"/>
          <w:right w:w="72" w:type="dxa"/>
        </w:tblCellMar>
        <w:tblLook w:val="01E0" w:firstRow="1" w:lastRow="1" w:firstColumn="1" w:lastColumn="1" w:noHBand="0" w:noVBand="0"/>
      </w:tblPr>
      <w:tblGrid>
        <w:gridCol w:w="3126"/>
        <w:gridCol w:w="1079"/>
        <w:gridCol w:w="1080"/>
        <w:gridCol w:w="1074"/>
        <w:gridCol w:w="6"/>
        <w:gridCol w:w="1069"/>
        <w:gridCol w:w="10"/>
        <w:gridCol w:w="1064"/>
        <w:gridCol w:w="16"/>
        <w:gridCol w:w="1059"/>
        <w:gridCol w:w="31"/>
      </w:tblGrid>
      <w:tr w:rsidR="0086091A" w:rsidRPr="00E70587" w14:paraId="2C67430A" w14:textId="77777777" w:rsidTr="000574D5">
        <w:trPr>
          <w:gridAfter w:val="1"/>
          <w:wAfter w:w="31" w:type="dxa"/>
        </w:trPr>
        <w:tc>
          <w:tcPr>
            <w:tcW w:w="3126" w:type="dxa"/>
            <w:vAlign w:val="bottom"/>
          </w:tcPr>
          <w:p w14:paraId="637A687C" w14:textId="6809A184" w:rsidR="0086091A" w:rsidRPr="00E70587" w:rsidRDefault="0086091A" w:rsidP="00C41E23">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Year ended 31 </w:t>
            </w:r>
            <w:r w:rsidR="00E1202D" w:rsidRPr="00E70587">
              <w:rPr>
                <w:rFonts w:ascii="Arial" w:hAnsi="Arial"/>
                <w:color w:val="auto"/>
                <w:sz w:val="20"/>
                <w:szCs w:val="20"/>
                <w:lang w:val="en-IN"/>
              </w:rPr>
              <w:t xml:space="preserve">March </w:t>
            </w:r>
            <w:r w:rsidR="004A0AEB" w:rsidRPr="00E70587">
              <w:rPr>
                <w:rFonts w:ascii="Arial" w:hAnsi="Arial"/>
                <w:color w:val="auto"/>
                <w:sz w:val="20"/>
                <w:szCs w:val="20"/>
                <w:lang w:val="en-IN"/>
              </w:rPr>
              <w:t>20</w:t>
            </w:r>
            <w:r w:rsidR="004A0AEB">
              <w:rPr>
                <w:rFonts w:ascii="Arial" w:hAnsi="Arial"/>
                <w:color w:val="auto"/>
                <w:sz w:val="20"/>
                <w:szCs w:val="20"/>
                <w:lang w:val="en-IN"/>
              </w:rPr>
              <w:t>21</w:t>
            </w:r>
          </w:p>
        </w:tc>
        <w:tc>
          <w:tcPr>
            <w:tcW w:w="1079" w:type="dxa"/>
            <w:tcBorders>
              <w:bottom w:val="single" w:sz="4" w:space="0" w:color="auto"/>
            </w:tcBorders>
            <w:vAlign w:val="bottom"/>
          </w:tcPr>
          <w:p w14:paraId="6A07583A" w14:textId="77777777" w:rsidR="0086091A" w:rsidRPr="00E70587" w:rsidRDefault="0086091A" w:rsidP="00926CA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On demand</w:t>
            </w:r>
          </w:p>
        </w:tc>
        <w:tc>
          <w:tcPr>
            <w:tcW w:w="1080" w:type="dxa"/>
            <w:tcBorders>
              <w:bottom w:val="single" w:sz="4" w:space="0" w:color="auto"/>
            </w:tcBorders>
            <w:vAlign w:val="bottom"/>
          </w:tcPr>
          <w:p w14:paraId="36D09A96" w14:textId="77777777" w:rsidR="0086091A" w:rsidRPr="00E70587" w:rsidRDefault="0086091A" w:rsidP="00926CA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Less than 3 months</w:t>
            </w:r>
          </w:p>
        </w:tc>
        <w:tc>
          <w:tcPr>
            <w:tcW w:w="1074" w:type="dxa"/>
            <w:tcBorders>
              <w:bottom w:val="single" w:sz="4" w:space="0" w:color="auto"/>
            </w:tcBorders>
            <w:vAlign w:val="bottom"/>
          </w:tcPr>
          <w:p w14:paraId="7BC74D72" w14:textId="77777777" w:rsidR="0086091A" w:rsidRPr="00E70587" w:rsidRDefault="0086091A" w:rsidP="00926CA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3 to 12 months</w:t>
            </w:r>
          </w:p>
        </w:tc>
        <w:tc>
          <w:tcPr>
            <w:tcW w:w="1075" w:type="dxa"/>
            <w:gridSpan w:val="2"/>
            <w:tcBorders>
              <w:bottom w:val="single" w:sz="4" w:space="0" w:color="auto"/>
            </w:tcBorders>
            <w:vAlign w:val="bottom"/>
          </w:tcPr>
          <w:p w14:paraId="27F31044" w14:textId="77777777" w:rsidR="0086091A" w:rsidRPr="00E70587" w:rsidRDefault="0086091A" w:rsidP="00926CAF">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1 to 5 years</w:t>
            </w:r>
          </w:p>
        </w:tc>
        <w:tc>
          <w:tcPr>
            <w:tcW w:w="1074" w:type="dxa"/>
            <w:gridSpan w:val="2"/>
            <w:tcBorders>
              <w:bottom w:val="single" w:sz="4" w:space="0" w:color="auto"/>
            </w:tcBorders>
            <w:vAlign w:val="bottom"/>
          </w:tcPr>
          <w:p w14:paraId="32C3D24D" w14:textId="77777777" w:rsidR="0086091A" w:rsidRPr="00E70587" w:rsidRDefault="009E7E23" w:rsidP="009E7E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&gt;</w:t>
            </w:r>
            <w:r w:rsidR="0086091A" w:rsidRPr="00E70587">
              <w:rPr>
                <w:rFonts w:ascii="Arial" w:hAnsi="Arial"/>
                <w:color w:val="auto"/>
                <w:sz w:val="20"/>
                <w:szCs w:val="20"/>
                <w:lang w:val="en-IN"/>
              </w:rPr>
              <w:t xml:space="preserve"> 5 years</w:t>
            </w:r>
          </w:p>
        </w:tc>
        <w:tc>
          <w:tcPr>
            <w:tcW w:w="1075" w:type="dxa"/>
            <w:gridSpan w:val="2"/>
            <w:tcBorders>
              <w:bottom w:val="single" w:sz="4" w:space="0" w:color="auto"/>
            </w:tcBorders>
            <w:vAlign w:val="bottom"/>
          </w:tcPr>
          <w:p w14:paraId="1D67A665" w14:textId="77777777" w:rsidR="0086091A" w:rsidRPr="00E70587" w:rsidRDefault="0086091A" w:rsidP="00926CAF">
            <w:pPr>
              <w:pStyle w:val="Tablecolumnheading"/>
              <w:spacing w:line="280" w:lineRule="exact"/>
              <w:ind w:right="67"/>
              <w:rPr>
                <w:rFonts w:ascii="Arial" w:hAnsi="Arial"/>
                <w:color w:val="auto"/>
                <w:sz w:val="20"/>
                <w:szCs w:val="20"/>
                <w:lang w:val="en-IN"/>
              </w:rPr>
            </w:pPr>
            <w:r w:rsidRPr="00E70587">
              <w:rPr>
                <w:rFonts w:ascii="Arial" w:hAnsi="Arial"/>
                <w:color w:val="auto"/>
                <w:sz w:val="20"/>
                <w:szCs w:val="20"/>
                <w:lang w:val="en-IN"/>
              </w:rPr>
              <w:t>Total</w:t>
            </w:r>
          </w:p>
        </w:tc>
      </w:tr>
      <w:tr w:rsidR="0086091A" w:rsidRPr="00E70587" w14:paraId="5EE1A02C" w14:textId="77777777" w:rsidTr="000574D5">
        <w:trPr>
          <w:gridAfter w:val="1"/>
          <w:wAfter w:w="31" w:type="dxa"/>
        </w:trPr>
        <w:tc>
          <w:tcPr>
            <w:tcW w:w="3126" w:type="dxa"/>
          </w:tcPr>
          <w:p w14:paraId="1083A204" w14:textId="77777777" w:rsidR="0086091A" w:rsidRPr="00E70587" w:rsidRDefault="0086091A" w:rsidP="00C41E23">
            <w:pPr>
              <w:pStyle w:val="Tablecolumnheading"/>
              <w:spacing w:line="280" w:lineRule="exact"/>
              <w:rPr>
                <w:rFonts w:ascii="Arial" w:hAnsi="Arial"/>
                <w:color w:val="auto"/>
                <w:sz w:val="20"/>
                <w:szCs w:val="20"/>
                <w:lang w:val="en-IN"/>
              </w:rPr>
            </w:pPr>
          </w:p>
        </w:tc>
        <w:tc>
          <w:tcPr>
            <w:tcW w:w="1079" w:type="dxa"/>
            <w:tcBorders>
              <w:top w:val="single" w:sz="4" w:space="0" w:color="auto"/>
            </w:tcBorders>
            <w:vAlign w:val="bottom"/>
          </w:tcPr>
          <w:p w14:paraId="24EB1C97" w14:textId="77777777" w:rsidR="0086091A" w:rsidRPr="00E70587" w:rsidRDefault="0086091A" w:rsidP="00C41E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080" w:type="dxa"/>
            <w:tcBorders>
              <w:top w:val="single" w:sz="4" w:space="0" w:color="auto"/>
            </w:tcBorders>
            <w:vAlign w:val="bottom"/>
          </w:tcPr>
          <w:p w14:paraId="6AB49BFA" w14:textId="77777777" w:rsidR="0086091A" w:rsidRPr="00E70587" w:rsidRDefault="0086091A" w:rsidP="00C41E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074" w:type="dxa"/>
            <w:tcBorders>
              <w:top w:val="single" w:sz="4" w:space="0" w:color="auto"/>
            </w:tcBorders>
            <w:vAlign w:val="bottom"/>
          </w:tcPr>
          <w:p w14:paraId="2DD0BED5" w14:textId="77777777" w:rsidR="0086091A" w:rsidRPr="00E70587" w:rsidRDefault="0086091A" w:rsidP="00C41E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075" w:type="dxa"/>
            <w:gridSpan w:val="2"/>
            <w:tcBorders>
              <w:top w:val="single" w:sz="4" w:space="0" w:color="auto"/>
            </w:tcBorders>
            <w:vAlign w:val="bottom"/>
          </w:tcPr>
          <w:p w14:paraId="3C35B244" w14:textId="77777777" w:rsidR="0086091A" w:rsidRPr="00E70587" w:rsidRDefault="0086091A" w:rsidP="00C41E23">
            <w:pPr>
              <w:pStyle w:val="Tablecolumnheading"/>
              <w:spacing w:line="280" w:lineRule="exact"/>
              <w:rPr>
                <w:rFonts w:ascii="Arial" w:hAnsi="Arial"/>
                <w:color w:val="auto"/>
                <w:sz w:val="20"/>
                <w:szCs w:val="20"/>
                <w:lang w:val="en-IN"/>
              </w:rPr>
            </w:pPr>
            <w:r w:rsidRPr="00E70587">
              <w:rPr>
                <w:rFonts w:ascii="Arial" w:hAnsi="Arial"/>
                <w:color w:val="auto"/>
                <w:sz w:val="20"/>
                <w:szCs w:val="20"/>
                <w:lang w:val="en-IN"/>
              </w:rPr>
              <w:t>INR Lacs</w:t>
            </w:r>
          </w:p>
        </w:tc>
        <w:tc>
          <w:tcPr>
            <w:tcW w:w="1074" w:type="dxa"/>
            <w:gridSpan w:val="2"/>
            <w:tcBorders>
              <w:top w:val="single" w:sz="4" w:space="0" w:color="auto"/>
            </w:tcBorders>
            <w:vAlign w:val="bottom"/>
          </w:tcPr>
          <w:p w14:paraId="7304C014" w14:textId="77777777" w:rsidR="0086091A" w:rsidRPr="00E70587" w:rsidRDefault="0086091A" w:rsidP="00C41E23">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075" w:type="dxa"/>
            <w:gridSpan w:val="2"/>
            <w:tcBorders>
              <w:top w:val="single" w:sz="4" w:space="0" w:color="auto"/>
            </w:tcBorders>
            <w:vAlign w:val="bottom"/>
          </w:tcPr>
          <w:p w14:paraId="1849B641" w14:textId="77777777" w:rsidR="0086091A" w:rsidRPr="00E70587" w:rsidRDefault="0086091A" w:rsidP="00C41E23">
            <w:pPr>
              <w:pStyle w:val="Tablecolumnheading"/>
              <w:spacing w:line="280" w:lineRule="exact"/>
              <w:ind w:right="67"/>
              <w:rPr>
                <w:rFonts w:ascii="Arial" w:hAnsi="Arial"/>
                <w:color w:val="auto"/>
                <w:sz w:val="20"/>
                <w:szCs w:val="20"/>
                <w:lang w:val="en-IN"/>
              </w:rPr>
            </w:pPr>
            <w:r w:rsidRPr="00E70587">
              <w:rPr>
                <w:rFonts w:ascii="Arial" w:hAnsi="Arial"/>
                <w:color w:val="auto"/>
                <w:sz w:val="20"/>
                <w:szCs w:val="20"/>
                <w:lang w:val="en-IN"/>
              </w:rPr>
              <w:t>INR Lacs</w:t>
            </w:r>
          </w:p>
        </w:tc>
      </w:tr>
      <w:tr w:rsidR="0086091A" w:rsidRPr="00E70587" w14:paraId="255FB3BE" w14:textId="77777777" w:rsidTr="000574D5">
        <w:trPr>
          <w:gridAfter w:val="1"/>
          <w:wAfter w:w="31" w:type="dxa"/>
        </w:trPr>
        <w:tc>
          <w:tcPr>
            <w:tcW w:w="3126" w:type="dxa"/>
            <w:vAlign w:val="center"/>
          </w:tcPr>
          <w:p w14:paraId="10CA998B" w14:textId="77777777" w:rsidR="0086091A" w:rsidRPr="00E70587" w:rsidRDefault="0086091A" w:rsidP="00C41E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Inflows</w:t>
            </w:r>
          </w:p>
        </w:tc>
        <w:tc>
          <w:tcPr>
            <w:tcW w:w="1079" w:type="dxa"/>
            <w:vAlign w:val="bottom"/>
          </w:tcPr>
          <w:p w14:paraId="47713001" w14:textId="548625AF" w:rsidR="0086091A" w:rsidRPr="00E70587" w:rsidRDefault="006A0F2F" w:rsidP="00C41E23">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1,44</w:t>
            </w:r>
            <w:r w:rsidRPr="00E70587">
              <w:rPr>
                <w:rFonts w:ascii="Arial" w:hAnsi="Arial" w:cs="Arial"/>
                <w:sz w:val="20"/>
                <w:lang w:val="en-IN"/>
              </w:rPr>
              <w:t>0</w:t>
            </w:r>
          </w:p>
        </w:tc>
        <w:tc>
          <w:tcPr>
            <w:tcW w:w="1080" w:type="dxa"/>
            <w:vAlign w:val="bottom"/>
          </w:tcPr>
          <w:p w14:paraId="5C4B6D47" w14:textId="39609785" w:rsidR="0086091A" w:rsidRPr="00E70587" w:rsidRDefault="006A0F2F" w:rsidP="00C41E23">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1,800</w:t>
            </w:r>
          </w:p>
        </w:tc>
        <w:tc>
          <w:tcPr>
            <w:tcW w:w="1074" w:type="dxa"/>
            <w:vAlign w:val="bottom"/>
          </w:tcPr>
          <w:p w14:paraId="54AC319B" w14:textId="49A1A734" w:rsidR="0086091A" w:rsidRPr="00E70587" w:rsidRDefault="006A0F2F" w:rsidP="00C41E23">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450</w:t>
            </w:r>
          </w:p>
        </w:tc>
        <w:tc>
          <w:tcPr>
            <w:tcW w:w="1075" w:type="dxa"/>
            <w:gridSpan w:val="2"/>
            <w:vAlign w:val="bottom"/>
          </w:tcPr>
          <w:p w14:paraId="6CF7E7F7" w14:textId="59984038" w:rsidR="0086091A" w:rsidRPr="00E70587" w:rsidRDefault="006A0F2F"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1,260</w:t>
            </w:r>
          </w:p>
        </w:tc>
        <w:tc>
          <w:tcPr>
            <w:tcW w:w="1074" w:type="dxa"/>
            <w:gridSpan w:val="2"/>
            <w:vAlign w:val="bottom"/>
          </w:tcPr>
          <w:p w14:paraId="7D8AD4B4" w14:textId="40E48560" w:rsidR="0086091A" w:rsidRPr="00E70587" w:rsidRDefault="006A0F2F"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1,710</w:t>
            </w:r>
          </w:p>
        </w:tc>
        <w:tc>
          <w:tcPr>
            <w:tcW w:w="1075" w:type="dxa"/>
            <w:gridSpan w:val="2"/>
            <w:vAlign w:val="bottom"/>
          </w:tcPr>
          <w:p w14:paraId="520F05D6" w14:textId="19DD9655" w:rsidR="0086091A" w:rsidRPr="00E70587" w:rsidRDefault="006A0F2F" w:rsidP="00926CAF">
            <w:pPr>
              <w:pStyle w:val="tabletext"/>
              <w:overflowPunct w:val="0"/>
              <w:autoSpaceDE w:val="0"/>
              <w:autoSpaceDN w:val="0"/>
              <w:adjustRightInd w:val="0"/>
              <w:spacing w:line="280" w:lineRule="exact"/>
              <w:ind w:right="67"/>
              <w:jc w:val="right"/>
              <w:textAlignment w:val="baseline"/>
              <w:rPr>
                <w:rFonts w:ascii="Arial" w:hAnsi="Arial" w:cs="Arial"/>
                <w:sz w:val="20"/>
                <w:lang w:val="en-IN"/>
              </w:rPr>
            </w:pPr>
            <w:r>
              <w:rPr>
                <w:rFonts w:ascii="Arial" w:hAnsi="Arial" w:cs="Arial"/>
                <w:sz w:val="20"/>
                <w:lang w:val="en-IN"/>
              </w:rPr>
              <w:t>6,660</w:t>
            </w:r>
          </w:p>
        </w:tc>
      </w:tr>
      <w:tr w:rsidR="0086091A" w:rsidRPr="00E70587" w14:paraId="165929FE" w14:textId="77777777" w:rsidTr="000574D5">
        <w:trPr>
          <w:gridAfter w:val="1"/>
          <w:wAfter w:w="31" w:type="dxa"/>
        </w:trPr>
        <w:tc>
          <w:tcPr>
            <w:tcW w:w="3126" w:type="dxa"/>
            <w:vAlign w:val="center"/>
          </w:tcPr>
          <w:p w14:paraId="637F410F" w14:textId="77777777" w:rsidR="0086091A" w:rsidRPr="00E70587" w:rsidRDefault="0086091A" w:rsidP="00C41E23">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Outflows</w:t>
            </w:r>
          </w:p>
        </w:tc>
        <w:tc>
          <w:tcPr>
            <w:tcW w:w="1079" w:type="dxa"/>
            <w:tcMar>
              <w:left w:w="28" w:type="dxa"/>
              <w:right w:w="0" w:type="dxa"/>
            </w:tcMar>
            <w:vAlign w:val="bottom"/>
          </w:tcPr>
          <w:p w14:paraId="23EFCFC4" w14:textId="0E937DFD" w:rsidR="0086091A" w:rsidRPr="00E70587" w:rsidRDefault="0086091A" w:rsidP="00C41E23">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sidRPr="00E70587">
              <w:rPr>
                <w:rFonts w:ascii="Arial" w:hAnsi="Arial" w:cs="Arial"/>
                <w:sz w:val="20"/>
                <w:lang w:val="en-IN"/>
              </w:rPr>
              <w:t>(</w:t>
            </w:r>
            <w:r w:rsidR="006A0F2F">
              <w:rPr>
                <w:rFonts w:ascii="Arial" w:hAnsi="Arial" w:cs="Arial"/>
                <w:sz w:val="20"/>
                <w:lang w:val="en-IN"/>
              </w:rPr>
              <w:t>3</w:t>
            </w:r>
            <w:r w:rsidRPr="00E70587">
              <w:rPr>
                <w:rFonts w:ascii="Arial" w:hAnsi="Arial" w:cs="Arial"/>
                <w:sz w:val="20"/>
                <w:lang w:val="en-IN"/>
              </w:rPr>
              <w:t>,</w:t>
            </w:r>
            <w:r w:rsidR="006A0F2F">
              <w:rPr>
                <w:rFonts w:ascii="Arial" w:hAnsi="Arial" w:cs="Arial"/>
                <w:sz w:val="20"/>
                <w:lang w:val="en-IN"/>
              </w:rPr>
              <w:t>546</w:t>
            </w:r>
            <w:r w:rsidRPr="00E70587">
              <w:rPr>
                <w:rFonts w:ascii="Arial" w:hAnsi="Arial" w:cs="Arial"/>
                <w:sz w:val="20"/>
                <w:lang w:val="en-IN"/>
              </w:rPr>
              <w:t>)</w:t>
            </w:r>
          </w:p>
        </w:tc>
        <w:tc>
          <w:tcPr>
            <w:tcW w:w="1080" w:type="dxa"/>
            <w:tcMar>
              <w:left w:w="28" w:type="dxa"/>
              <w:right w:w="0" w:type="dxa"/>
            </w:tcMar>
            <w:vAlign w:val="bottom"/>
          </w:tcPr>
          <w:p w14:paraId="42025A96" w14:textId="16DA618A" w:rsidR="0086091A" w:rsidRPr="00E70587" w:rsidRDefault="0086091A" w:rsidP="00C41E23">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sidRPr="00E70587">
              <w:rPr>
                <w:rFonts w:ascii="Arial" w:hAnsi="Arial" w:cs="Arial"/>
                <w:sz w:val="20"/>
                <w:lang w:val="en-IN"/>
              </w:rPr>
              <w:t>(</w:t>
            </w:r>
            <w:r w:rsidR="006A0F2F">
              <w:rPr>
                <w:rFonts w:ascii="Arial" w:hAnsi="Arial" w:cs="Arial"/>
                <w:sz w:val="20"/>
                <w:lang w:val="en-IN"/>
              </w:rPr>
              <w:t>4</w:t>
            </w:r>
            <w:r w:rsidRPr="00E70587">
              <w:rPr>
                <w:rFonts w:ascii="Arial" w:hAnsi="Arial" w:cs="Arial"/>
                <w:sz w:val="20"/>
                <w:lang w:val="en-IN"/>
              </w:rPr>
              <w:t>,</w:t>
            </w:r>
            <w:r w:rsidR="006A0F2F">
              <w:rPr>
                <w:rFonts w:ascii="Arial" w:hAnsi="Arial" w:cs="Arial"/>
                <w:sz w:val="20"/>
                <w:lang w:val="en-IN"/>
              </w:rPr>
              <w:t>932</w:t>
            </w:r>
            <w:r w:rsidRPr="00E70587">
              <w:rPr>
                <w:rFonts w:ascii="Arial" w:hAnsi="Arial" w:cs="Arial"/>
                <w:sz w:val="20"/>
                <w:lang w:val="en-IN"/>
              </w:rPr>
              <w:t>)</w:t>
            </w:r>
          </w:p>
        </w:tc>
        <w:tc>
          <w:tcPr>
            <w:tcW w:w="1074" w:type="dxa"/>
            <w:tcMar>
              <w:left w:w="28" w:type="dxa"/>
              <w:right w:w="0" w:type="dxa"/>
            </w:tcMar>
            <w:vAlign w:val="bottom"/>
          </w:tcPr>
          <w:p w14:paraId="6F59F1CC" w14:textId="52DC99AA" w:rsidR="0086091A" w:rsidRPr="00E70587" w:rsidRDefault="0086091A" w:rsidP="00C41E23">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sidRPr="00E70587">
              <w:rPr>
                <w:rFonts w:ascii="Arial" w:hAnsi="Arial" w:cs="Arial"/>
                <w:sz w:val="20"/>
                <w:lang w:val="en-IN"/>
              </w:rPr>
              <w:t>(</w:t>
            </w:r>
            <w:r w:rsidR="006A0F2F">
              <w:rPr>
                <w:rFonts w:ascii="Arial" w:hAnsi="Arial" w:cs="Arial"/>
                <w:sz w:val="20"/>
                <w:lang w:val="en-IN"/>
              </w:rPr>
              <w:t>704</w:t>
            </w:r>
            <w:r w:rsidRPr="00E70587">
              <w:rPr>
                <w:rFonts w:ascii="Arial" w:hAnsi="Arial" w:cs="Arial"/>
                <w:sz w:val="20"/>
                <w:lang w:val="en-IN"/>
              </w:rPr>
              <w:t>)</w:t>
            </w:r>
          </w:p>
        </w:tc>
        <w:tc>
          <w:tcPr>
            <w:tcW w:w="1075" w:type="dxa"/>
            <w:gridSpan w:val="2"/>
            <w:tcMar>
              <w:left w:w="28" w:type="dxa"/>
              <w:right w:w="0" w:type="dxa"/>
            </w:tcMar>
            <w:vAlign w:val="bottom"/>
          </w:tcPr>
          <w:p w14:paraId="689E1FFC" w14:textId="3A62F493" w:rsidR="0086091A" w:rsidRPr="00E70587" w:rsidRDefault="0086091A" w:rsidP="00926CAF">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sidRPr="00E70587">
              <w:rPr>
                <w:rFonts w:ascii="Arial" w:hAnsi="Arial" w:cs="Arial"/>
                <w:sz w:val="20"/>
                <w:lang w:val="en-IN"/>
              </w:rPr>
              <w:t>(</w:t>
            </w:r>
            <w:r w:rsidR="006A0F2F">
              <w:rPr>
                <w:rFonts w:ascii="Arial" w:hAnsi="Arial" w:cs="Arial"/>
                <w:sz w:val="20"/>
                <w:lang w:val="en-IN"/>
              </w:rPr>
              <w:t>2</w:t>
            </w:r>
            <w:r w:rsidRPr="00E70587">
              <w:rPr>
                <w:rFonts w:ascii="Arial" w:hAnsi="Arial" w:cs="Arial"/>
                <w:sz w:val="20"/>
                <w:lang w:val="en-IN"/>
              </w:rPr>
              <w:t>,</w:t>
            </w:r>
            <w:r w:rsidR="006A0F2F">
              <w:rPr>
                <w:rFonts w:ascii="Arial" w:hAnsi="Arial" w:cs="Arial"/>
                <w:sz w:val="20"/>
                <w:lang w:val="en-IN"/>
              </w:rPr>
              <w:t>144</w:t>
            </w:r>
            <w:r w:rsidRPr="00E70587">
              <w:rPr>
                <w:rFonts w:ascii="Arial" w:hAnsi="Arial" w:cs="Arial"/>
                <w:sz w:val="20"/>
                <w:lang w:val="en-IN"/>
              </w:rPr>
              <w:t>)</w:t>
            </w:r>
          </w:p>
        </w:tc>
        <w:tc>
          <w:tcPr>
            <w:tcW w:w="1074" w:type="dxa"/>
            <w:gridSpan w:val="2"/>
            <w:tcMar>
              <w:left w:w="57" w:type="dxa"/>
              <w:right w:w="28" w:type="dxa"/>
            </w:tcMar>
            <w:vAlign w:val="bottom"/>
          </w:tcPr>
          <w:p w14:paraId="153DF093" w14:textId="164DE994" w:rsidR="0086091A" w:rsidRPr="00E70587" w:rsidRDefault="0086091A" w:rsidP="00926CAF">
            <w:pPr>
              <w:pStyle w:val="tabletext"/>
              <w:overflowPunct w:val="0"/>
              <w:autoSpaceDE w:val="0"/>
              <w:autoSpaceDN w:val="0"/>
              <w:adjustRightInd w:val="0"/>
              <w:spacing w:line="280" w:lineRule="exact"/>
              <w:ind w:left="170"/>
              <w:jc w:val="right"/>
              <w:textAlignment w:val="baseline"/>
              <w:rPr>
                <w:rFonts w:ascii="Arial" w:hAnsi="Arial" w:cs="Arial"/>
                <w:sz w:val="20"/>
                <w:lang w:val="en-IN"/>
              </w:rPr>
            </w:pPr>
            <w:r w:rsidRPr="00E70587">
              <w:rPr>
                <w:rFonts w:ascii="Arial" w:hAnsi="Arial" w:cs="Arial"/>
                <w:sz w:val="20"/>
                <w:lang w:val="en-IN"/>
              </w:rPr>
              <w:t>(</w:t>
            </w:r>
            <w:r w:rsidR="006A0F2F">
              <w:rPr>
                <w:rFonts w:ascii="Arial" w:hAnsi="Arial" w:cs="Arial"/>
                <w:sz w:val="20"/>
                <w:lang w:val="en-IN"/>
              </w:rPr>
              <w:t>2</w:t>
            </w:r>
            <w:r w:rsidRPr="00E70587">
              <w:rPr>
                <w:rFonts w:ascii="Arial" w:hAnsi="Arial" w:cs="Arial"/>
                <w:sz w:val="20"/>
                <w:lang w:val="en-IN"/>
              </w:rPr>
              <w:t>,</w:t>
            </w:r>
            <w:r w:rsidR="006A0F2F" w:rsidRPr="00E70587">
              <w:rPr>
                <w:rFonts w:ascii="Arial" w:hAnsi="Arial" w:cs="Arial"/>
                <w:sz w:val="20"/>
                <w:lang w:val="en-IN"/>
              </w:rPr>
              <w:t>3</w:t>
            </w:r>
            <w:r w:rsidR="006A0F2F">
              <w:rPr>
                <w:rFonts w:ascii="Arial" w:hAnsi="Arial" w:cs="Arial"/>
                <w:sz w:val="20"/>
                <w:lang w:val="en-IN"/>
              </w:rPr>
              <w:t>92</w:t>
            </w:r>
            <w:r w:rsidRPr="00E70587">
              <w:rPr>
                <w:rFonts w:ascii="Arial" w:hAnsi="Arial" w:cs="Arial"/>
                <w:sz w:val="20"/>
                <w:lang w:val="en-IN"/>
              </w:rPr>
              <w:t>)</w:t>
            </w:r>
          </w:p>
        </w:tc>
        <w:tc>
          <w:tcPr>
            <w:tcW w:w="1075" w:type="dxa"/>
            <w:gridSpan w:val="2"/>
            <w:tcMar>
              <w:left w:w="28" w:type="dxa"/>
              <w:right w:w="0" w:type="dxa"/>
            </w:tcMar>
            <w:vAlign w:val="bottom"/>
          </w:tcPr>
          <w:p w14:paraId="0442EBB5" w14:textId="033C16FE" w:rsidR="0086091A" w:rsidRPr="00E70587" w:rsidRDefault="0086091A" w:rsidP="00926CAF">
            <w:pPr>
              <w:pStyle w:val="tabletext"/>
              <w:overflowPunct w:val="0"/>
              <w:autoSpaceDE w:val="0"/>
              <w:autoSpaceDN w:val="0"/>
              <w:adjustRightInd w:val="0"/>
              <w:spacing w:line="280" w:lineRule="exact"/>
              <w:ind w:left="170" w:right="67"/>
              <w:jc w:val="right"/>
              <w:textAlignment w:val="baseline"/>
              <w:rPr>
                <w:rFonts w:ascii="Arial" w:hAnsi="Arial" w:cs="Arial"/>
                <w:sz w:val="20"/>
                <w:lang w:val="en-IN"/>
              </w:rPr>
            </w:pPr>
            <w:r w:rsidRPr="00E70587">
              <w:rPr>
                <w:rFonts w:ascii="Arial" w:hAnsi="Arial" w:cs="Arial"/>
                <w:sz w:val="20"/>
                <w:lang w:val="en-IN"/>
              </w:rPr>
              <w:t>(</w:t>
            </w:r>
            <w:r w:rsidR="006A0F2F">
              <w:rPr>
                <w:rFonts w:ascii="Arial" w:hAnsi="Arial" w:cs="Arial"/>
                <w:sz w:val="20"/>
                <w:lang w:val="en-IN"/>
              </w:rPr>
              <w:t>13</w:t>
            </w:r>
            <w:r w:rsidRPr="00E70587">
              <w:rPr>
                <w:rFonts w:ascii="Arial" w:hAnsi="Arial" w:cs="Arial"/>
                <w:sz w:val="20"/>
                <w:lang w:val="en-IN"/>
              </w:rPr>
              <w:t>,</w:t>
            </w:r>
            <w:r w:rsidR="006A0F2F">
              <w:rPr>
                <w:rFonts w:ascii="Arial" w:hAnsi="Arial" w:cs="Arial"/>
                <w:sz w:val="20"/>
                <w:lang w:val="en-IN"/>
              </w:rPr>
              <w:t>718</w:t>
            </w:r>
            <w:r w:rsidRPr="00E70587">
              <w:rPr>
                <w:rFonts w:ascii="Arial" w:hAnsi="Arial" w:cs="Arial"/>
                <w:sz w:val="20"/>
                <w:lang w:val="en-IN"/>
              </w:rPr>
              <w:t>)</w:t>
            </w:r>
          </w:p>
        </w:tc>
      </w:tr>
      <w:tr w:rsidR="0086091A" w:rsidRPr="00E70587" w14:paraId="31248E6E" w14:textId="77777777" w:rsidTr="000574D5">
        <w:trPr>
          <w:gridAfter w:val="1"/>
          <w:wAfter w:w="31" w:type="dxa"/>
        </w:trPr>
        <w:tc>
          <w:tcPr>
            <w:tcW w:w="3126" w:type="dxa"/>
            <w:vAlign w:val="center"/>
          </w:tcPr>
          <w:p w14:paraId="75ACA154" w14:textId="77777777" w:rsidR="0086091A" w:rsidRPr="00E70587" w:rsidRDefault="0086091A" w:rsidP="00C41E23">
            <w:pPr>
              <w:pStyle w:val="tabletext"/>
              <w:overflowPunct w:val="0"/>
              <w:autoSpaceDE w:val="0"/>
              <w:autoSpaceDN w:val="0"/>
              <w:adjustRightInd w:val="0"/>
              <w:spacing w:line="280" w:lineRule="exact"/>
              <w:ind w:left="212"/>
              <w:textAlignment w:val="baseline"/>
              <w:rPr>
                <w:rFonts w:ascii="Arial" w:hAnsi="Arial" w:cs="Arial"/>
                <w:sz w:val="20"/>
                <w:lang w:val="en-IN"/>
              </w:rPr>
            </w:pPr>
            <w:r w:rsidRPr="00E70587">
              <w:rPr>
                <w:rFonts w:ascii="Arial" w:hAnsi="Arial" w:cs="Arial"/>
                <w:sz w:val="20"/>
                <w:lang w:val="en-IN"/>
              </w:rPr>
              <w:t>Net</w:t>
            </w:r>
          </w:p>
        </w:tc>
        <w:tc>
          <w:tcPr>
            <w:tcW w:w="1079" w:type="dxa"/>
            <w:tcMar>
              <w:left w:w="28" w:type="dxa"/>
              <w:right w:w="0" w:type="dxa"/>
            </w:tcMar>
            <w:vAlign w:val="bottom"/>
          </w:tcPr>
          <w:p w14:paraId="7AB60C39" w14:textId="58843711" w:rsidR="0086091A" w:rsidRPr="00E70587" w:rsidRDefault="0086091A" w:rsidP="00C41E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r w:rsidR="006A0F2F">
              <w:rPr>
                <w:rFonts w:ascii="Arial" w:hAnsi="Arial" w:cs="Arial"/>
                <w:sz w:val="20"/>
                <w:lang w:val="en-IN"/>
              </w:rPr>
              <w:t>2</w:t>
            </w:r>
            <w:r w:rsidRPr="00E70587">
              <w:rPr>
                <w:rFonts w:ascii="Arial" w:hAnsi="Arial" w:cs="Arial"/>
                <w:sz w:val="20"/>
                <w:lang w:val="en-IN"/>
              </w:rPr>
              <w:t>,</w:t>
            </w:r>
            <w:r w:rsidR="006A0F2F">
              <w:rPr>
                <w:rFonts w:ascii="Arial" w:hAnsi="Arial" w:cs="Arial"/>
                <w:sz w:val="20"/>
                <w:lang w:val="en-IN"/>
              </w:rPr>
              <w:t>106</w:t>
            </w:r>
            <w:r w:rsidRPr="00E70587">
              <w:rPr>
                <w:rFonts w:ascii="Arial" w:hAnsi="Arial" w:cs="Arial"/>
                <w:sz w:val="20"/>
                <w:lang w:val="en-IN"/>
              </w:rPr>
              <w:t>)</w:t>
            </w:r>
          </w:p>
        </w:tc>
        <w:tc>
          <w:tcPr>
            <w:tcW w:w="1080" w:type="dxa"/>
            <w:tcMar>
              <w:left w:w="28" w:type="dxa"/>
              <w:right w:w="0" w:type="dxa"/>
            </w:tcMar>
            <w:vAlign w:val="bottom"/>
          </w:tcPr>
          <w:p w14:paraId="34FFD886" w14:textId="5F5E9AAC" w:rsidR="0086091A" w:rsidRPr="00E70587" w:rsidRDefault="0086091A" w:rsidP="00C41E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r w:rsidR="0010468E">
              <w:rPr>
                <w:rFonts w:ascii="Arial" w:hAnsi="Arial" w:cs="Arial"/>
                <w:sz w:val="20"/>
                <w:lang w:val="en-IN"/>
              </w:rPr>
              <w:t>3</w:t>
            </w:r>
            <w:r w:rsidRPr="00E70587">
              <w:rPr>
                <w:rFonts w:ascii="Arial" w:hAnsi="Arial" w:cs="Arial"/>
                <w:sz w:val="20"/>
                <w:lang w:val="en-IN"/>
              </w:rPr>
              <w:t>,</w:t>
            </w:r>
            <w:r w:rsidR="0010468E">
              <w:rPr>
                <w:rFonts w:ascii="Arial" w:hAnsi="Arial" w:cs="Arial"/>
                <w:sz w:val="20"/>
                <w:lang w:val="en-IN"/>
              </w:rPr>
              <w:t>132</w:t>
            </w:r>
            <w:r w:rsidRPr="00E70587">
              <w:rPr>
                <w:rFonts w:ascii="Arial" w:hAnsi="Arial" w:cs="Arial"/>
                <w:sz w:val="20"/>
                <w:lang w:val="en-IN"/>
              </w:rPr>
              <w:t>)</w:t>
            </w:r>
          </w:p>
        </w:tc>
        <w:tc>
          <w:tcPr>
            <w:tcW w:w="1074" w:type="dxa"/>
            <w:tcMar>
              <w:left w:w="28" w:type="dxa"/>
              <w:right w:w="0" w:type="dxa"/>
            </w:tcMar>
            <w:vAlign w:val="bottom"/>
          </w:tcPr>
          <w:p w14:paraId="56226339" w14:textId="4B60B1A5" w:rsidR="0086091A" w:rsidRPr="00E70587" w:rsidRDefault="0086091A" w:rsidP="00C41E23">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r w:rsidR="0010468E">
              <w:rPr>
                <w:rFonts w:ascii="Arial" w:hAnsi="Arial" w:cs="Arial"/>
                <w:sz w:val="20"/>
                <w:lang w:val="en-IN"/>
              </w:rPr>
              <w:t>254</w:t>
            </w:r>
            <w:r w:rsidRPr="00E70587">
              <w:rPr>
                <w:rFonts w:ascii="Arial" w:hAnsi="Arial" w:cs="Arial"/>
                <w:sz w:val="20"/>
                <w:lang w:val="en-IN"/>
              </w:rPr>
              <w:t>)</w:t>
            </w:r>
          </w:p>
        </w:tc>
        <w:tc>
          <w:tcPr>
            <w:tcW w:w="1075" w:type="dxa"/>
            <w:gridSpan w:val="2"/>
            <w:tcMar>
              <w:left w:w="28" w:type="dxa"/>
              <w:right w:w="0" w:type="dxa"/>
            </w:tcMar>
            <w:vAlign w:val="bottom"/>
          </w:tcPr>
          <w:p w14:paraId="004553AF" w14:textId="578BD5C4" w:rsidR="0086091A" w:rsidRPr="00E70587"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r w:rsidR="0010468E">
              <w:rPr>
                <w:rFonts w:ascii="Arial" w:hAnsi="Arial" w:cs="Arial"/>
                <w:sz w:val="20"/>
                <w:lang w:val="en-IN"/>
              </w:rPr>
              <w:t>884</w:t>
            </w:r>
            <w:r w:rsidRPr="00E70587">
              <w:rPr>
                <w:rFonts w:ascii="Arial" w:hAnsi="Arial" w:cs="Arial"/>
                <w:sz w:val="20"/>
                <w:lang w:val="en-IN"/>
              </w:rPr>
              <w:t>)</w:t>
            </w:r>
          </w:p>
        </w:tc>
        <w:tc>
          <w:tcPr>
            <w:tcW w:w="1074" w:type="dxa"/>
            <w:gridSpan w:val="2"/>
            <w:vAlign w:val="bottom"/>
          </w:tcPr>
          <w:p w14:paraId="7EA8091B" w14:textId="2A949D57" w:rsidR="0086091A" w:rsidRPr="00E70587"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r w:rsidR="0010468E">
              <w:rPr>
                <w:rFonts w:ascii="Arial" w:hAnsi="Arial" w:cs="Arial"/>
                <w:sz w:val="20"/>
                <w:lang w:val="en-IN"/>
              </w:rPr>
              <w:t>682</w:t>
            </w:r>
            <w:r w:rsidRPr="00E70587">
              <w:rPr>
                <w:rFonts w:ascii="Arial" w:hAnsi="Arial" w:cs="Arial"/>
                <w:sz w:val="20"/>
                <w:lang w:val="en-IN"/>
              </w:rPr>
              <w:t>)</w:t>
            </w:r>
          </w:p>
        </w:tc>
        <w:tc>
          <w:tcPr>
            <w:tcW w:w="1075" w:type="dxa"/>
            <w:gridSpan w:val="2"/>
            <w:tcMar>
              <w:left w:w="28" w:type="dxa"/>
              <w:right w:w="0" w:type="dxa"/>
            </w:tcMar>
            <w:vAlign w:val="bottom"/>
          </w:tcPr>
          <w:p w14:paraId="0F725B48" w14:textId="2264E3FB" w:rsidR="0086091A" w:rsidRPr="00E70587" w:rsidRDefault="0086091A" w:rsidP="00926CAF">
            <w:pPr>
              <w:pStyle w:val="tabletext"/>
              <w:overflowPunct w:val="0"/>
              <w:autoSpaceDE w:val="0"/>
              <w:autoSpaceDN w:val="0"/>
              <w:adjustRightInd w:val="0"/>
              <w:spacing w:line="280" w:lineRule="exact"/>
              <w:ind w:right="67"/>
              <w:jc w:val="right"/>
              <w:textAlignment w:val="baseline"/>
              <w:rPr>
                <w:rFonts w:ascii="Arial" w:hAnsi="Arial" w:cs="Arial"/>
                <w:sz w:val="20"/>
                <w:lang w:val="en-IN"/>
              </w:rPr>
            </w:pPr>
            <w:r w:rsidRPr="00E70587">
              <w:rPr>
                <w:rFonts w:ascii="Arial" w:hAnsi="Arial" w:cs="Arial"/>
                <w:sz w:val="20"/>
                <w:lang w:val="en-IN"/>
              </w:rPr>
              <w:t>(</w:t>
            </w:r>
            <w:r w:rsidR="0010468E">
              <w:rPr>
                <w:rFonts w:ascii="Arial" w:hAnsi="Arial" w:cs="Arial"/>
                <w:sz w:val="20"/>
                <w:lang w:val="en-IN"/>
              </w:rPr>
              <w:t>7,058</w:t>
            </w:r>
            <w:r w:rsidRPr="00E70587">
              <w:rPr>
                <w:rFonts w:ascii="Arial" w:hAnsi="Arial" w:cs="Arial"/>
                <w:sz w:val="20"/>
                <w:lang w:val="en-IN"/>
              </w:rPr>
              <w:t>)</w:t>
            </w:r>
          </w:p>
        </w:tc>
      </w:tr>
      <w:tr w:rsidR="00FB574A" w:rsidRPr="00E70587" w14:paraId="77B77174" w14:textId="77777777" w:rsidTr="000574D5">
        <w:trPr>
          <w:gridAfter w:val="1"/>
          <w:wAfter w:w="31" w:type="dxa"/>
        </w:trPr>
        <w:tc>
          <w:tcPr>
            <w:tcW w:w="3126" w:type="dxa"/>
            <w:vAlign w:val="center"/>
          </w:tcPr>
          <w:p w14:paraId="6278F16B" w14:textId="77777777" w:rsidR="00FB574A" w:rsidRPr="00E70587" w:rsidRDefault="00FB574A" w:rsidP="00FB574A">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Discounted at the applicable interbank rates</w:t>
            </w:r>
          </w:p>
        </w:tc>
        <w:tc>
          <w:tcPr>
            <w:tcW w:w="1079" w:type="dxa"/>
            <w:tcMar>
              <w:left w:w="28" w:type="dxa"/>
              <w:right w:w="0" w:type="dxa"/>
            </w:tcMar>
            <w:vAlign w:val="bottom"/>
          </w:tcPr>
          <w:p w14:paraId="54D27F72" w14:textId="138AD1B4" w:rsidR="00FB574A" w:rsidRPr="00E70587" w:rsidRDefault="00FB574A" w:rsidP="00FB574A">
            <w:pPr>
              <w:pStyle w:val="tabletext"/>
              <w:overflowPunct w:val="0"/>
              <w:autoSpaceDE w:val="0"/>
              <w:autoSpaceDN w:val="0"/>
              <w:adjustRightInd w:val="0"/>
              <w:spacing w:line="280" w:lineRule="exact"/>
              <w:ind w:left="163"/>
              <w:jc w:val="right"/>
              <w:textAlignment w:val="baseline"/>
              <w:rPr>
                <w:rFonts w:ascii="Arial" w:hAnsi="Arial" w:cs="Arial"/>
                <w:sz w:val="20"/>
                <w:lang w:val="en-IN"/>
              </w:rPr>
            </w:pPr>
            <w:r w:rsidRPr="00E70587">
              <w:rPr>
                <w:rFonts w:ascii="Arial" w:hAnsi="Arial" w:cs="Arial"/>
                <w:sz w:val="20"/>
                <w:lang w:val="en-IN"/>
              </w:rPr>
              <w:t>(</w:t>
            </w:r>
            <w:r>
              <w:rPr>
                <w:rFonts w:ascii="Arial" w:hAnsi="Arial" w:cs="Arial"/>
                <w:sz w:val="20"/>
                <w:lang w:val="en-IN"/>
              </w:rPr>
              <w:t>2</w:t>
            </w:r>
            <w:r w:rsidRPr="00E70587">
              <w:rPr>
                <w:rFonts w:ascii="Arial" w:hAnsi="Arial" w:cs="Arial"/>
                <w:sz w:val="20"/>
                <w:lang w:val="en-IN"/>
              </w:rPr>
              <w:t>,</w:t>
            </w:r>
            <w:r>
              <w:rPr>
                <w:rFonts w:ascii="Arial" w:hAnsi="Arial" w:cs="Arial"/>
                <w:sz w:val="20"/>
                <w:lang w:val="en-IN"/>
              </w:rPr>
              <w:t>106</w:t>
            </w:r>
            <w:r w:rsidRPr="00E70587">
              <w:rPr>
                <w:rFonts w:ascii="Arial" w:hAnsi="Arial" w:cs="Arial"/>
                <w:sz w:val="20"/>
                <w:lang w:val="en-IN"/>
              </w:rPr>
              <w:t>)</w:t>
            </w:r>
          </w:p>
        </w:tc>
        <w:tc>
          <w:tcPr>
            <w:tcW w:w="1080" w:type="dxa"/>
            <w:tcMar>
              <w:left w:w="28" w:type="dxa"/>
              <w:right w:w="0" w:type="dxa"/>
            </w:tcMar>
            <w:vAlign w:val="bottom"/>
          </w:tcPr>
          <w:p w14:paraId="2A700FA2" w14:textId="4F9B9EBC" w:rsidR="00FB574A" w:rsidRPr="00E70587" w:rsidRDefault="00FB574A" w:rsidP="00FB574A">
            <w:pPr>
              <w:pStyle w:val="tabletext"/>
              <w:overflowPunct w:val="0"/>
              <w:autoSpaceDE w:val="0"/>
              <w:autoSpaceDN w:val="0"/>
              <w:adjustRightInd w:val="0"/>
              <w:spacing w:line="280" w:lineRule="exact"/>
              <w:ind w:left="163"/>
              <w:jc w:val="right"/>
              <w:textAlignment w:val="baseline"/>
              <w:rPr>
                <w:rFonts w:ascii="Arial" w:hAnsi="Arial" w:cs="Arial"/>
                <w:sz w:val="20"/>
                <w:lang w:val="en-IN"/>
              </w:rPr>
            </w:pPr>
            <w:r w:rsidRPr="00E70587">
              <w:rPr>
                <w:rFonts w:ascii="Arial" w:hAnsi="Arial" w:cs="Arial"/>
                <w:sz w:val="20"/>
                <w:lang w:val="en-IN"/>
              </w:rPr>
              <w:t>(</w:t>
            </w:r>
            <w:r>
              <w:rPr>
                <w:rFonts w:ascii="Arial" w:hAnsi="Arial" w:cs="Arial"/>
                <w:sz w:val="20"/>
                <w:lang w:val="en-IN"/>
              </w:rPr>
              <w:t>3</w:t>
            </w:r>
            <w:r w:rsidRPr="00E70587">
              <w:rPr>
                <w:rFonts w:ascii="Arial" w:hAnsi="Arial" w:cs="Arial"/>
                <w:sz w:val="20"/>
                <w:lang w:val="en-IN"/>
              </w:rPr>
              <w:t>,</w:t>
            </w:r>
            <w:r>
              <w:rPr>
                <w:rFonts w:ascii="Arial" w:hAnsi="Arial" w:cs="Arial"/>
                <w:sz w:val="20"/>
                <w:lang w:val="en-IN"/>
              </w:rPr>
              <w:t>116</w:t>
            </w:r>
            <w:r w:rsidRPr="00E70587">
              <w:rPr>
                <w:rFonts w:ascii="Arial" w:hAnsi="Arial" w:cs="Arial"/>
                <w:sz w:val="20"/>
                <w:lang w:val="en-IN"/>
              </w:rPr>
              <w:t>)</w:t>
            </w:r>
          </w:p>
        </w:tc>
        <w:tc>
          <w:tcPr>
            <w:tcW w:w="1074" w:type="dxa"/>
            <w:tcMar>
              <w:left w:w="28" w:type="dxa"/>
              <w:right w:w="0" w:type="dxa"/>
            </w:tcMar>
            <w:vAlign w:val="bottom"/>
          </w:tcPr>
          <w:p w14:paraId="28147DD0" w14:textId="202582EB" w:rsidR="00FB574A" w:rsidRPr="00E70587" w:rsidRDefault="00FB574A" w:rsidP="00FB574A">
            <w:pPr>
              <w:pStyle w:val="tabletext"/>
              <w:overflowPunct w:val="0"/>
              <w:autoSpaceDE w:val="0"/>
              <w:autoSpaceDN w:val="0"/>
              <w:adjustRightInd w:val="0"/>
              <w:spacing w:line="280" w:lineRule="exact"/>
              <w:ind w:left="148"/>
              <w:jc w:val="right"/>
              <w:textAlignment w:val="baseline"/>
              <w:rPr>
                <w:rFonts w:ascii="Arial" w:hAnsi="Arial" w:cs="Arial"/>
                <w:sz w:val="20"/>
                <w:lang w:val="en-IN"/>
              </w:rPr>
            </w:pPr>
            <w:r w:rsidRPr="00E70587">
              <w:rPr>
                <w:rFonts w:ascii="Arial" w:hAnsi="Arial" w:cs="Arial"/>
                <w:sz w:val="20"/>
                <w:lang w:val="en-IN"/>
              </w:rPr>
              <w:t>(</w:t>
            </w:r>
            <w:r>
              <w:rPr>
                <w:rFonts w:ascii="Arial" w:hAnsi="Arial" w:cs="Arial"/>
                <w:sz w:val="20"/>
                <w:lang w:val="en-IN"/>
              </w:rPr>
              <w:t>250</w:t>
            </w:r>
            <w:r w:rsidRPr="00E70587">
              <w:rPr>
                <w:rFonts w:ascii="Arial" w:hAnsi="Arial" w:cs="Arial"/>
                <w:sz w:val="20"/>
                <w:lang w:val="en-IN"/>
              </w:rPr>
              <w:t>)</w:t>
            </w:r>
          </w:p>
        </w:tc>
        <w:tc>
          <w:tcPr>
            <w:tcW w:w="1075" w:type="dxa"/>
            <w:gridSpan w:val="2"/>
            <w:tcMar>
              <w:left w:w="28" w:type="dxa"/>
              <w:right w:w="0" w:type="dxa"/>
            </w:tcMar>
            <w:vAlign w:val="bottom"/>
          </w:tcPr>
          <w:p w14:paraId="352B64BD" w14:textId="5A1C2512" w:rsidR="00FB574A" w:rsidRPr="00E70587" w:rsidRDefault="00FB574A" w:rsidP="00FB574A">
            <w:pPr>
              <w:pStyle w:val="tabletext"/>
              <w:overflowPunct w:val="0"/>
              <w:autoSpaceDE w:val="0"/>
              <w:autoSpaceDN w:val="0"/>
              <w:adjustRightInd w:val="0"/>
              <w:spacing w:line="280" w:lineRule="exact"/>
              <w:ind w:left="129"/>
              <w:jc w:val="right"/>
              <w:textAlignment w:val="baseline"/>
              <w:rPr>
                <w:rFonts w:ascii="Arial" w:hAnsi="Arial" w:cs="Arial"/>
                <w:sz w:val="20"/>
                <w:lang w:val="en-IN"/>
              </w:rPr>
            </w:pPr>
            <w:r w:rsidRPr="00E70587">
              <w:rPr>
                <w:rFonts w:ascii="Arial" w:hAnsi="Arial" w:cs="Arial"/>
                <w:sz w:val="20"/>
                <w:lang w:val="en-IN"/>
              </w:rPr>
              <w:t>(</w:t>
            </w:r>
            <w:r>
              <w:rPr>
                <w:rFonts w:ascii="Arial" w:hAnsi="Arial" w:cs="Arial"/>
                <w:sz w:val="20"/>
                <w:lang w:val="en-IN"/>
              </w:rPr>
              <w:t>833</w:t>
            </w:r>
            <w:r w:rsidRPr="00E70587">
              <w:rPr>
                <w:rFonts w:ascii="Arial" w:hAnsi="Arial" w:cs="Arial"/>
                <w:sz w:val="20"/>
                <w:lang w:val="en-IN"/>
              </w:rPr>
              <w:t>)</w:t>
            </w:r>
          </w:p>
        </w:tc>
        <w:tc>
          <w:tcPr>
            <w:tcW w:w="1074" w:type="dxa"/>
            <w:gridSpan w:val="2"/>
            <w:vAlign w:val="bottom"/>
          </w:tcPr>
          <w:p w14:paraId="5CC467C5" w14:textId="04C70A1F" w:rsidR="00FB574A" w:rsidRPr="00E70587" w:rsidRDefault="00FB574A" w:rsidP="00FB574A">
            <w:pPr>
              <w:pStyle w:val="tabletext"/>
              <w:overflowPunct w:val="0"/>
              <w:autoSpaceDE w:val="0"/>
              <w:autoSpaceDN w:val="0"/>
              <w:adjustRightInd w:val="0"/>
              <w:spacing w:line="280" w:lineRule="exact"/>
              <w:ind w:left="49"/>
              <w:jc w:val="right"/>
              <w:textAlignment w:val="baseline"/>
              <w:rPr>
                <w:rFonts w:ascii="Arial" w:hAnsi="Arial" w:cs="Arial"/>
                <w:sz w:val="20"/>
                <w:lang w:val="en-IN"/>
              </w:rPr>
            </w:pPr>
            <w:r w:rsidRPr="00E70587">
              <w:rPr>
                <w:rFonts w:ascii="Arial" w:hAnsi="Arial" w:cs="Arial"/>
                <w:sz w:val="20"/>
                <w:lang w:val="en-IN"/>
              </w:rPr>
              <w:t>(</w:t>
            </w:r>
            <w:r>
              <w:rPr>
                <w:rFonts w:ascii="Arial" w:hAnsi="Arial" w:cs="Arial"/>
                <w:sz w:val="20"/>
                <w:lang w:val="en-IN"/>
              </w:rPr>
              <w:t>617</w:t>
            </w:r>
            <w:r w:rsidRPr="00E70587">
              <w:rPr>
                <w:rFonts w:ascii="Arial" w:hAnsi="Arial" w:cs="Arial"/>
                <w:sz w:val="20"/>
                <w:lang w:val="en-IN"/>
              </w:rPr>
              <w:t>)</w:t>
            </w:r>
          </w:p>
        </w:tc>
        <w:tc>
          <w:tcPr>
            <w:tcW w:w="1075" w:type="dxa"/>
            <w:gridSpan w:val="2"/>
            <w:tcMar>
              <w:left w:w="28" w:type="dxa"/>
              <w:right w:w="0" w:type="dxa"/>
            </w:tcMar>
            <w:vAlign w:val="bottom"/>
          </w:tcPr>
          <w:p w14:paraId="75CDEAD9" w14:textId="62DBEDEC" w:rsidR="00FB574A" w:rsidRPr="00E70587" w:rsidRDefault="00FB574A" w:rsidP="00FB574A">
            <w:pPr>
              <w:pStyle w:val="tabletext"/>
              <w:overflowPunct w:val="0"/>
              <w:autoSpaceDE w:val="0"/>
              <w:autoSpaceDN w:val="0"/>
              <w:adjustRightInd w:val="0"/>
              <w:spacing w:line="280" w:lineRule="exact"/>
              <w:ind w:left="178" w:right="67"/>
              <w:jc w:val="right"/>
              <w:textAlignment w:val="baseline"/>
              <w:rPr>
                <w:rFonts w:ascii="Arial" w:hAnsi="Arial" w:cs="Arial"/>
                <w:sz w:val="20"/>
                <w:lang w:val="en-IN"/>
              </w:rPr>
            </w:pPr>
            <w:r w:rsidRPr="00E70587">
              <w:rPr>
                <w:rFonts w:ascii="Arial" w:hAnsi="Arial" w:cs="Arial"/>
                <w:sz w:val="20"/>
                <w:lang w:val="en-IN"/>
              </w:rPr>
              <w:t>(</w:t>
            </w:r>
            <w:r>
              <w:rPr>
                <w:rFonts w:ascii="Arial" w:hAnsi="Arial" w:cs="Arial"/>
                <w:sz w:val="20"/>
                <w:lang w:val="en-IN"/>
              </w:rPr>
              <w:t>6,923</w:t>
            </w:r>
            <w:r w:rsidRPr="00E70587">
              <w:rPr>
                <w:rFonts w:ascii="Arial" w:hAnsi="Arial" w:cs="Arial"/>
                <w:sz w:val="20"/>
                <w:lang w:val="en-IN"/>
              </w:rPr>
              <w:t>)</w:t>
            </w:r>
          </w:p>
        </w:tc>
      </w:tr>
      <w:tr w:rsidR="0086091A" w:rsidRPr="00E70587" w14:paraId="461F4D72" w14:textId="77777777" w:rsidTr="000574D5">
        <w:tc>
          <w:tcPr>
            <w:tcW w:w="3126" w:type="dxa"/>
            <w:vAlign w:val="bottom"/>
          </w:tcPr>
          <w:p w14:paraId="53885B43" w14:textId="77777777" w:rsidR="00C41E23" w:rsidRPr="00E70587" w:rsidRDefault="00C41E23" w:rsidP="009901E1">
            <w:pPr>
              <w:pStyle w:val="Tablecolumnheading"/>
              <w:spacing w:line="280" w:lineRule="exact"/>
              <w:jc w:val="left"/>
              <w:rPr>
                <w:rFonts w:ascii="Arial" w:hAnsi="Arial"/>
                <w:color w:val="auto"/>
                <w:sz w:val="20"/>
                <w:szCs w:val="20"/>
                <w:lang w:val="en-IN"/>
              </w:rPr>
            </w:pPr>
          </w:p>
          <w:p w14:paraId="3121F760" w14:textId="2A436C73" w:rsidR="0086091A" w:rsidRPr="00E70587" w:rsidRDefault="0086091A"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 xml:space="preserve">Year ended 31 </w:t>
            </w:r>
            <w:r w:rsidR="008B730E" w:rsidRPr="00E70587">
              <w:rPr>
                <w:rFonts w:ascii="Arial" w:hAnsi="Arial"/>
                <w:color w:val="auto"/>
                <w:sz w:val="20"/>
                <w:szCs w:val="20"/>
                <w:lang w:val="en-IN"/>
              </w:rPr>
              <w:t xml:space="preserve">March </w:t>
            </w:r>
            <w:r w:rsidR="004A0AEB" w:rsidRPr="00E70587">
              <w:rPr>
                <w:rFonts w:ascii="Arial" w:hAnsi="Arial"/>
                <w:color w:val="auto"/>
                <w:sz w:val="20"/>
                <w:szCs w:val="20"/>
                <w:lang w:val="en-IN"/>
              </w:rPr>
              <w:t>20</w:t>
            </w:r>
            <w:r w:rsidR="004A0AEB">
              <w:rPr>
                <w:rFonts w:ascii="Arial" w:hAnsi="Arial"/>
                <w:color w:val="auto"/>
                <w:sz w:val="20"/>
                <w:szCs w:val="20"/>
                <w:lang w:val="en-IN"/>
              </w:rPr>
              <w:t>20</w:t>
            </w:r>
          </w:p>
        </w:tc>
        <w:tc>
          <w:tcPr>
            <w:tcW w:w="1079" w:type="dxa"/>
            <w:vAlign w:val="bottom"/>
          </w:tcPr>
          <w:p w14:paraId="7F1BF623" w14:textId="77777777" w:rsidR="0086091A" w:rsidRPr="00E70587" w:rsidRDefault="0086091A" w:rsidP="009901E1">
            <w:pPr>
              <w:pStyle w:val="Tablecolumnheading"/>
              <w:spacing w:line="280" w:lineRule="exact"/>
              <w:rPr>
                <w:rFonts w:ascii="Arial" w:hAnsi="Arial"/>
                <w:color w:val="auto"/>
                <w:sz w:val="20"/>
                <w:szCs w:val="20"/>
                <w:lang w:val="en-IN"/>
              </w:rPr>
            </w:pPr>
          </w:p>
        </w:tc>
        <w:tc>
          <w:tcPr>
            <w:tcW w:w="1080" w:type="dxa"/>
            <w:vAlign w:val="bottom"/>
          </w:tcPr>
          <w:p w14:paraId="6EBE9BDE" w14:textId="77777777" w:rsidR="0086091A" w:rsidRPr="00E70587" w:rsidRDefault="0086091A" w:rsidP="009901E1">
            <w:pPr>
              <w:pStyle w:val="Tablecolumnheading"/>
              <w:spacing w:line="280" w:lineRule="exact"/>
              <w:rPr>
                <w:rFonts w:ascii="Arial" w:hAnsi="Arial"/>
                <w:color w:val="auto"/>
                <w:sz w:val="20"/>
                <w:szCs w:val="20"/>
                <w:lang w:val="en-IN"/>
              </w:rPr>
            </w:pPr>
          </w:p>
        </w:tc>
        <w:tc>
          <w:tcPr>
            <w:tcW w:w="1080" w:type="dxa"/>
            <w:gridSpan w:val="2"/>
            <w:vAlign w:val="bottom"/>
          </w:tcPr>
          <w:p w14:paraId="216E76EE" w14:textId="77777777" w:rsidR="0086091A" w:rsidRPr="00E70587" w:rsidRDefault="0086091A" w:rsidP="00926CAF">
            <w:pPr>
              <w:pStyle w:val="Tablecolumnheading"/>
              <w:spacing w:line="280" w:lineRule="exact"/>
              <w:rPr>
                <w:rFonts w:ascii="Arial" w:hAnsi="Arial"/>
                <w:color w:val="auto"/>
                <w:sz w:val="20"/>
                <w:szCs w:val="20"/>
                <w:lang w:val="en-IN"/>
              </w:rPr>
            </w:pPr>
          </w:p>
        </w:tc>
        <w:tc>
          <w:tcPr>
            <w:tcW w:w="1079" w:type="dxa"/>
            <w:gridSpan w:val="2"/>
            <w:vAlign w:val="bottom"/>
          </w:tcPr>
          <w:p w14:paraId="25D555DD" w14:textId="77777777" w:rsidR="0086091A" w:rsidRPr="00E70587" w:rsidRDefault="0086091A" w:rsidP="00926CAF">
            <w:pPr>
              <w:pStyle w:val="Tablecolumnheading"/>
              <w:spacing w:line="280" w:lineRule="exact"/>
              <w:rPr>
                <w:rFonts w:ascii="Arial" w:hAnsi="Arial"/>
                <w:color w:val="auto"/>
                <w:sz w:val="20"/>
                <w:szCs w:val="20"/>
                <w:lang w:val="en-IN"/>
              </w:rPr>
            </w:pPr>
          </w:p>
        </w:tc>
        <w:tc>
          <w:tcPr>
            <w:tcW w:w="1080" w:type="dxa"/>
            <w:gridSpan w:val="2"/>
            <w:vAlign w:val="bottom"/>
          </w:tcPr>
          <w:p w14:paraId="044BCB1E" w14:textId="77777777" w:rsidR="0086091A" w:rsidRPr="00E70587" w:rsidRDefault="0086091A" w:rsidP="00926CAF">
            <w:pPr>
              <w:pStyle w:val="Tablecolumnheading"/>
              <w:spacing w:line="280" w:lineRule="exact"/>
              <w:rPr>
                <w:rFonts w:ascii="Arial" w:hAnsi="Arial"/>
                <w:color w:val="auto"/>
                <w:sz w:val="20"/>
                <w:szCs w:val="20"/>
                <w:lang w:val="en-IN"/>
              </w:rPr>
            </w:pPr>
          </w:p>
        </w:tc>
        <w:tc>
          <w:tcPr>
            <w:tcW w:w="1090" w:type="dxa"/>
            <w:gridSpan w:val="2"/>
            <w:vAlign w:val="bottom"/>
          </w:tcPr>
          <w:p w14:paraId="6ABBEA7A" w14:textId="77777777" w:rsidR="0086091A" w:rsidRPr="00E70587" w:rsidRDefault="0086091A" w:rsidP="009901E1">
            <w:pPr>
              <w:pStyle w:val="Tablecolumnheading"/>
              <w:spacing w:line="280" w:lineRule="exact"/>
              <w:rPr>
                <w:rFonts w:ascii="Arial" w:hAnsi="Arial"/>
                <w:color w:val="auto"/>
                <w:sz w:val="20"/>
                <w:szCs w:val="20"/>
                <w:lang w:val="en-IN"/>
              </w:rPr>
            </w:pPr>
          </w:p>
        </w:tc>
      </w:tr>
      <w:tr w:rsidR="0086091A" w:rsidRPr="00E70587" w14:paraId="3BDDC2EF" w14:textId="77777777" w:rsidTr="000574D5">
        <w:tc>
          <w:tcPr>
            <w:tcW w:w="3126" w:type="dxa"/>
            <w:vAlign w:val="center"/>
          </w:tcPr>
          <w:p w14:paraId="39EAE34F"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Inflows</w:t>
            </w:r>
          </w:p>
        </w:tc>
        <w:tc>
          <w:tcPr>
            <w:tcW w:w="1079" w:type="dxa"/>
            <w:vAlign w:val="bottom"/>
          </w:tcPr>
          <w:p w14:paraId="031F1FD3" w14:textId="77A438F6" w:rsidR="0086091A" w:rsidRPr="00E70587" w:rsidRDefault="00213E75"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Pr>
                <w:rFonts w:ascii="Arial" w:hAnsi="Arial" w:cs="Arial"/>
                <w:sz w:val="20"/>
                <w:lang w:val="en-IN"/>
              </w:rPr>
              <w:t>9</w:t>
            </w:r>
            <w:r w:rsidRPr="00E70587">
              <w:rPr>
                <w:rFonts w:ascii="Arial" w:hAnsi="Arial" w:cs="Arial"/>
                <w:sz w:val="20"/>
                <w:lang w:val="en-IN"/>
              </w:rPr>
              <w:t>00</w:t>
            </w:r>
          </w:p>
        </w:tc>
        <w:tc>
          <w:tcPr>
            <w:tcW w:w="1080" w:type="dxa"/>
            <w:vAlign w:val="bottom"/>
          </w:tcPr>
          <w:p w14:paraId="5C149820" w14:textId="722A369E" w:rsidR="0086091A" w:rsidRPr="00E70587" w:rsidRDefault="0086091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1,</w:t>
            </w:r>
            <w:r w:rsidR="00213E75">
              <w:rPr>
                <w:rFonts w:ascii="Arial" w:hAnsi="Arial" w:cs="Arial"/>
                <w:sz w:val="20"/>
                <w:lang w:val="en-IN"/>
              </w:rPr>
              <w:t>8</w:t>
            </w:r>
            <w:r w:rsidR="00213E75" w:rsidRPr="00E70587">
              <w:rPr>
                <w:rFonts w:ascii="Arial" w:hAnsi="Arial" w:cs="Arial"/>
                <w:sz w:val="20"/>
                <w:lang w:val="en-IN"/>
              </w:rPr>
              <w:t>00</w:t>
            </w:r>
          </w:p>
        </w:tc>
        <w:tc>
          <w:tcPr>
            <w:tcW w:w="1080" w:type="dxa"/>
            <w:gridSpan w:val="2"/>
            <w:vAlign w:val="bottom"/>
          </w:tcPr>
          <w:p w14:paraId="1D1CDF7E" w14:textId="77777777" w:rsidR="0086091A" w:rsidRPr="00E70587"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c>
          <w:tcPr>
            <w:tcW w:w="1079" w:type="dxa"/>
            <w:gridSpan w:val="2"/>
            <w:vAlign w:val="bottom"/>
          </w:tcPr>
          <w:p w14:paraId="77B6A369" w14:textId="77777777" w:rsidR="0086091A" w:rsidRPr="00E70587"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c>
          <w:tcPr>
            <w:tcW w:w="1080" w:type="dxa"/>
            <w:gridSpan w:val="2"/>
            <w:vAlign w:val="bottom"/>
          </w:tcPr>
          <w:p w14:paraId="34A7EDA7" w14:textId="77777777" w:rsidR="0086091A" w:rsidRPr="00E70587"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c>
          <w:tcPr>
            <w:tcW w:w="1090" w:type="dxa"/>
            <w:gridSpan w:val="2"/>
            <w:vAlign w:val="bottom"/>
          </w:tcPr>
          <w:p w14:paraId="2954F8E9" w14:textId="587E31F9" w:rsidR="0086091A" w:rsidRPr="00E70587" w:rsidRDefault="00213E75" w:rsidP="009901E1">
            <w:pPr>
              <w:pStyle w:val="tabletext"/>
              <w:overflowPunct w:val="0"/>
              <w:autoSpaceDE w:val="0"/>
              <w:autoSpaceDN w:val="0"/>
              <w:adjustRightInd w:val="0"/>
              <w:spacing w:line="280" w:lineRule="exact"/>
              <w:ind w:right="81"/>
              <w:jc w:val="right"/>
              <w:textAlignment w:val="baseline"/>
              <w:rPr>
                <w:rFonts w:ascii="Arial" w:hAnsi="Arial" w:cs="Arial"/>
                <w:sz w:val="20"/>
                <w:lang w:val="en-IN"/>
              </w:rPr>
            </w:pPr>
            <w:r>
              <w:rPr>
                <w:rFonts w:ascii="Arial" w:hAnsi="Arial" w:cs="Arial"/>
                <w:sz w:val="20"/>
                <w:lang w:val="en-IN"/>
              </w:rPr>
              <w:t>2,700</w:t>
            </w:r>
          </w:p>
        </w:tc>
      </w:tr>
      <w:tr w:rsidR="0086091A" w:rsidRPr="00E70587" w14:paraId="049195C2" w14:textId="77777777" w:rsidTr="000574D5">
        <w:tc>
          <w:tcPr>
            <w:tcW w:w="3126" w:type="dxa"/>
            <w:vAlign w:val="center"/>
          </w:tcPr>
          <w:p w14:paraId="458C1ED2" w14:textId="77777777" w:rsidR="0086091A" w:rsidRPr="00E70587" w:rsidRDefault="0086091A"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Outflows</w:t>
            </w:r>
          </w:p>
        </w:tc>
        <w:tc>
          <w:tcPr>
            <w:tcW w:w="1079" w:type="dxa"/>
            <w:tcMar>
              <w:right w:w="0" w:type="dxa"/>
            </w:tcMar>
            <w:vAlign w:val="center"/>
          </w:tcPr>
          <w:p w14:paraId="2B872985" w14:textId="7C5010EB" w:rsidR="0086091A" w:rsidRPr="00E70587" w:rsidRDefault="0086091A" w:rsidP="009901E1">
            <w:pPr>
              <w:pStyle w:val="tabletext"/>
              <w:overflowPunct w:val="0"/>
              <w:autoSpaceDE w:val="0"/>
              <w:autoSpaceDN w:val="0"/>
              <w:adjustRightInd w:val="0"/>
              <w:spacing w:line="280" w:lineRule="exact"/>
              <w:ind w:left="113"/>
              <w:jc w:val="right"/>
              <w:textAlignment w:val="baseline"/>
              <w:rPr>
                <w:rFonts w:ascii="Arial" w:hAnsi="Arial" w:cs="Arial"/>
                <w:sz w:val="20"/>
                <w:lang w:val="en-IN"/>
              </w:rPr>
            </w:pPr>
            <w:r w:rsidRPr="00E70587">
              <w:rPr>
                <w:rFonts w:ascii="Arial" w:hAnsi="Arial" w:cs="Arial"/>
                <w:sz w:val="20"/>
                <w:lang w:val="en-IN"/>
              </w:rPr>
              <w:t>(</w:t>
            </w:r>
            <w:r w:rsidR="00213E75">
              <w:rPr>
                <w:rFonts w:ascii="Arial" w:hAnsi="Arial" w:cs="Arial"/>
                <w:sz w:val="20"/>
                <w:lang w:val="en-IN"/>
              </w:rPr>
              <w:t>988</w:t>
            </w:r>
            <w:r w:rsidRPr="00E70587">
              <w:rPr>
                <w:rFonts w:ascii="Arial" w:hAnsi="Arial" w:cs="Arial"/>
                <w:sz w:val="20"/>
                <w:lang w:val="en-IN"/>
              </w:rPr>
              <w:t>)</w:t>
            </w:r>
          </w:p>
        </w:tc>
        <w:tc>
          <w:tcPr>
            <w:tcW w:w="1080" w:type="dxa"/>
            <w:tcMar>
              <w:right w:w="0" w:type="dxa"/>
            </w:tcMar>
            <w:vAlign w:val="center"/>
          </w:tcPr>
          <w:p w14:paraId="7B5094E0" w14:textId="49F64A27" w:rsidR="0086091A" w:rsidRPr="00E70587" w:rsidRDefault="0086091A" w:rsidP="009901E1">
            <w:pPr>
              <w:pStyle w:val="tabletext"/>
              <w:overflowPunct w:val="0"/>
              <w:autoSpaceDE w:val="0"/>
              <w:autoSpaceDN w:val="0"/>
              <w:adjustRightInd w:val="0"/>
              <w:spacing w:line="280" w:lineRule="exact"/>
              <w:ind w:left="113"/>
              <w:jc w:val="right"/>
              <w:textAlignment w:val="baseline"/>
              <w:rPr>
                <w:rFonts w:ascii="Arial" w:hAnsi="Arial" w:cs="Arial"/>
                <w:sz w:val="20"/>
                <w:lang w:val="en-IN"/>
              </w:rPr>
            </w:pPr>
            <w:r w:rsidRPr="00E70587">
              <w:rPr>
                <w:rFonts w:ascii="Arial" w:hAnsi="Arial" w:cs="Arial"/>
                <w:sz w:val="20"/>
                <w:lang w:val="en-IN"/>
              </w:rPr>
              <w:t>(</w:t>
            </w:r>
            <w:r w:rsidR="00213E75">
              <w:rPr>
                <w:rFonts w:ascii="Arial" w:hAnsi="Arial" w:cs="Arial"/>
                <w:sz w:val="20"/>
                <w:lang w:val="en-IN"/>
              </w:rPr>
              <w:t>2</w:t>
            </w:r>
            <w:r w:rsidRPr="00E70587">
              <w:rPr>
                <w:rFonts w:ascii="Arial" w:hAnsi="Arial" w:cs="Arial"/>
                <w:sz w:val="20"/>
                <w:lang w:val="en-IN"/>
              </w:rPr>
              <w:t>,</w:t>
            </w:r>
            <w:r w:rsidR="00213E75">
              <w:rPr>
                <w:rFonts w:ascii="Arial" w:hAnsi="Arial" w:cs="Arial"/>
                <w:sz w:val="20"/>
                <w:lang w:val="en-IN"/>
              </w:rPr>
              <w:t>257</w:t>
            </w:r>
            <w:r w:rsidRPr="00E70587">
              <w:rPr>
                <w:rFonts w:ascii="Arial" w:hAnsi="Arial" w:cs="Arial"/>
                <w:sz w:val="20"/>
                <w:lang w:val="en-IN"/>
              </w:rPr>
              <w:t>)</w:t>
            </w:r>
          </w:p>
        </w:tc>
        <w:tc>
          <w:tcPr>
            <w:tcW w:w="1080" w:type="dxa"/>
            <w:gridSpan w:val="2"/>
            <w:vAlign w:val="center"/>
          </w:tcPr>
          <w:p w14:paraId="5D6C531A" w14:textId="77777777" w:rsidR="0086091A" w:rsidRPr="00E70587" w:rsidRDefault="0086091A" w:rsidP="00926CAF">
            <w:pPr>
              <w:pStyle w:val="tabletext"/>
              <w:overflowPunct w:val="0"/>
              <w:autoSpaceDE w:val="0"/>
              <w:autoSpaceDN w:val="0"/>
              <w:adjustRightInd w:val="0"/>
              <w:spacing w:line="280" w:lineRule="exact"/>
              <w:ind w:left="14"/>
              <w:jc w:val="right"/>
              <w:textAlignment w:val="baseline"/>
              <w:rPr>
                <w:rFonts w:ascii="Arial" w:hAnsi="Arial" w:cs="Arial"/>
                <w:sz w:val="20"/>
                <w:lang w:val="en-IN"/>
              </w:rPr>
            </w:pPr>
            <w:r w:rsidRPr="00E70587">
              <w:rPr>
                <w:rFonts w:ascii="Arial" w:hAnsi="Arial" w:cs="Arial"/>
                <w:sz w:val="20"/>
                <w:lang w:val="en-IN"/>
              </w:rPr>
              <w:t>—</w:t>
            </w:r>
          </w:p>
        </w:tc>
        <w:tc>
          <w:tcPr>
            <w:tcW w:w="1079" w:type="dxa"/>
            <w:gridSpan w:val="2"/>
            <w:vAlign w:val="center"/>
          </w:tcPr>
          <w:p w14:paraId="1FBD04DB" w14:textId="77777777" w:rsidR="0086091A" w:rsidRPr="00E70587" w:rsidRDefault="0086091A" w:rsidP="00926CAF">
            <w:pPr>
              <w:pStyle w:val="tabletext"/>
              <w:overflowPunct w:val="0"/>
              <w:autoSpaceDE w:val="0"/>
              <w:autoSpaceDN w:val="0"/>
              <w:adjustRightInd w:val="0"/>
              <w:spacing w:line="280" w:lineRule="exact"/>
              <w:ind w:left="14"/>
              <w:jc w:val="right"/>
              <w:textAlignment w:val="baseline"/>
              <w:rPr>
                <w:rFonts w:ascii="Arial" w:hAnsi="Arial" w:cs="Arial"/>
                <w:sz w:val="20"/>
                <w:lang w:val="en-IN"/>
              </w:rPr>
            </w:pPr>
            <w:r w:rsidRPr="00E70587">
              <w:rPr>
                <w:rFonts w:ascii="Arial" w:hAnsi="Arial" w:cs="Arial"/>
                <w:sz w:val="20"/>
                <w:lang w:val="en-IN"/>
              </w:rPr>
              <w:t>—</w:t>
            </w:r>
          </w:p>
        </w:tc>
        <w:tc>
          <w:tcPr>
            <w:tcW w:w="1080" w:type="dxa"/>
            <w:gridSpan w:val="2"/>
            <w:vAlign w:val="center"/>
          </w:tcPr>
          <w:p w14:paraId="31701B6D" w14:textId="77777777" w:rsidR="0086091A" w:rsidRPr="00E70587" w:rsidRDefault="0086091A" w:rsidP="00926CAF">
            <w:pPr>
              <w:pStyle w:val="tabletext"/>
              <w:overflowPunct w:val="0"/>
              <w:autoSpaceDE w:val="0"/>
              <w:autoSpaceDN w:val="0"/>
              <w:adjustRightInd w:val="0"/>
              <w:spacing w:line="280" w:lineRule="exact"/>
              <w:ind w:left="14"/>
              <w:jc w:val="right"/>
              <w:textAlignment w:val="baseline"/>
              <w:rPr>
                <w:rFonts w:ascii="Arial" w:hAnsi="Arial" w:cs="Arial"/>
                <w:sz w:val="20"/>
                <w:lang w:val="en-IN"/>
              </w:rPr>
            </w:pPr>
            <w:r w:rsidRPr="00E70587">
              <w:rPr>
                <w:rFonts w:ascii="Arial" w:hAnsi="Arial" w:cs="Arial"/>
                <w:sz w:val="20"/>
                <w:lang w:val="en-IN"/>
              </w:rPr>
              <w:t>—</w:t>
            </w:r>
          </w:p>
        </w:tc>
        <w:tc>
          <w:tcPr>
            <w:tcW w:w="1090" w:type="dxa"/>
            <w:gridSpan w:val="2"/>
            <w:tcMar>
              <w:right w:w="0" w:type="dxa"/>
            </w:tcMar>
            <w:vAlign w:val="center"/>
          </w:tcPr>
          <w:p w14:paraId="34D90495" w14:textId="547C7FF1" w:rsidR="0086091A" w:rsidRPr="00E70587" w:rsidRDefault="0086091A" w:rsidP="009901E1">
            <w:pPr>
              <w:pStyle w:val="tabletext"/>
              <w:overflowPunct w:val="0"/>
              <w:autoSpaceDE w:val="0"/>
              <w:autoSpaceDN w:val="0"/>
              <w:adjustRightInd w:val="0"/>
              <w:spacing w:line="280" w:lineRule="exact"/>
              <w:ind w:left="14" w:right="81"/>
              <w:jc w:val="right"/>
              <w:textAlignment w:val="baseline"/>
              <w:rPr>
                <w:rFonts w:ascii="Arial" w:hAnsi="Arial" w:cs="Arial"/>
                <w:sz w:val="20"/>
                <w:lang w:val="en-IN"/>
              </w:rPr>
            </w:pPr>
            <w:r w:rsidRPr="00E70587">
              <w:rPr>
                <w:rFonts w:ascii="Arial" w:hAnsi="Arial" w:cs="Arial"/>
                <w:sz w:val="20"/>
                <w:lang w:val="en-IN"/>
              </w:rPr>
              <w:t>(</w:t>
            </w:r>
            <w:r w:rsidR="00213E75">
              <w:rPr>
                <w:rFonts w:ascii="Arial" w:hAnsi="Arial" w:cs="Arial"/>
                <w:sz w:val="20"/>
                <w:lang w:val="en-IN"/>
              </w:rPr>
              <w:t>3</w:t>
            </w:r>
            <w:r w:rsidRPr="00E70587">
              <w:rPr>
                <w:rFonts w:ascii="Arial" w:hAnsi="Arial" w:cs="Arial"/>
                <w:sz w:val="20"/>
                <w:lang w:val="en-IN"/>
              </w:rPr>
              <w:t>,</w:t>
            </w:r>
            <w:r w:rsidR="00213E75">
              <w:rPr>
                <w:rFonts w:ascii="Arial" w:hAnsi="Arial" w:cs="Arial"/>
                <w:sz w:val="20"/>
                <w:lang w:val="en-IN"/>
              </w:rPr>
              <w:t>245</w:t>
            </w:r>
            <w:r w:rsidRPr="00E70587">
              <w:rPr>
                <w:rFonts w:ascii="Arial" w:hAnsi="Arial" w:cs="Arial"/>
                <w:sz w:val="20"/>
                <w:lang w:val="en-IN"/>
              </w:rPr>
              <w:t>)</w:t>
            </w:r>
          </w:p>
        </w:tc>
      </w:tr>
      <w:tr w:rsidR="0086091A" w:rsidRPr="00E70587" w14:paraId="025C9BD1" w14:textId="77777777" w:rsidTr="000574D5">
        <w:tc>
          <w:tcPr>
            <w:tcW w:w="3126" w:type="dxa"/>
            <w:vAlign w:val="center"/>
          </w:tcPr>
          <w:p w14:paraId="602AEDD8" w14:textId="77777777" w:rsidR="0086091A" w:rsidRPr="00E70587" w:rsidRDefault="0086091A" w:rsidP="009901E1">
            <w:pPr>
              <w:pStyle w:val="tabletext"/>
              <w:overflowPunct w:val="0"/>
              <w:autoSpaceDE w:val="0"/>
              <w:autoSpaceDN w:val="0"/>
              <w:adjustRightInd w:val="0"/>
              <w:spacing w:line="280" w:lineRule="exact"/>
              <w:ind w:left="212"/>
              <w:textAlignment w:val="baseline"/>
              <w:rPr>
                <w:rFonts w:ascii="Arial" w:hAnsi="Arial" w:cs="Arial"/>
                <w:sz w:val="20"/>
                <w:lang w:val="en-IN"/>
              </w:rPr>
            </w:pPr>
            <w:r w:rsidRPr="00E70587">
              <w:rPr>
                <w:rFonts w:ascii="Arial" w:hAnsi="Arial" w:cs="Arial"/>
                <w:sz w:val="20"/>
                <w:lang w:val="en-IN"/>
              </w:rPr>
              <w:t>Net</w:t>
            </w:r>
          </w:p>
        </w:tc>
        <w:tc>
          <w:tcPr>
            <w:tcW w:w="1079" w:type="dxa"/>
            <w:tcMar>
              <w:right w:w="0" w:type="dxa"/>
            </w:tcMar>
            <w:vAlign w:val="center"/>
          </w:tcPr>
          <w:p w14:paraId="69F3646A" w14:textId="4745185E" w:rsidR="0086091A" w:rsidRPr="00E70587" w:rsidRDefault="0086091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r w:rsidR="00213E75">
              <w:rPr>
                <w:rFonts w:ascii="Arial" w:hAnsi="Arial" w:cs="Arial"/>
                <w:sz w:val="20"/>
                <w:lang w:val="en-IN"/>
              </w:rPr>
              <w:t>88</w:t>
            </w:r>
            <w:r w:rsidRPr="00E70587">
              <w:rPr>
                <w:rFonts w:ascii="Arial" w:hAnsi="Arial" w:cs="Arial"/>
                <w:sz w:val="20"/>
                <w:lang w:val="en-IN"/>
              </w:rPr>
              <w:t>)</w:t>
            </w:r>
          </w:p>
        </w:tc>
        <w:tc>
          <w:tcPr>
            <w:tcW w:w="1080" w:type="dxa"/>
            <w:tcMar>
              <w:right w:w="0" w:type="dxa"/>
            </w:tcMar>
            <w:vAlign w:val="center"/>
          </w:tcPr>
          <w:p w14:paraId="39601465" w14:textId="40C4A37E" w:rsidR="0086091A" w:rsidRPr="00E70587" w:rsidRDefault="0086091A" w:rsidP="009901E1">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r w:rsidR="00213E75">
              <w:rPr>
                <w:rFonts w:ascii="Arial" w:hAnsi="Arial" w:cs="Arial"/>
                <w:sz w:val="20"/>
                <w:lang w:val="en-IN"/>
              </w:rPr>
              <w:t>457</w:t>
            </w:r>
            <w:r w:rsidRPr="00E70587">
              <w:rPr>
                <w:rFonts w:ascii="Arial" w:hAnsi="Arial" w:cs="Arial"/>
                <w:sz w:val="20"/>
                <w:lang w:val="en-IN"/>
              </w:rPr>
              <w:t>)</w:t>
            </w:r>
          </w:p>
        </w:tc>
        <w:tc>
          <w:tcPr>
            <w:tcW w:w="1080" w:type="dxa"/>
            <w:gridSpan w:val="2"/>
            <w:vAlign w:val="center"/>
          </w:tcPr>
          <w:p w14:paraId="35FB3105" w14:textId="77777777" w:rsidR="0086091A" w:rsidRPr="00E70587"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c>
          <w:tcPr>
            <w:tcW w:w="1079" w:type="dxa"/>
            <w:gridSpan w:val="2"/>
            <w:vAlign w:val="center"/>
          </w:tcPr>
          <w:p w14:paraId="00946DDA" w14:textId="77777777" w:rsidR="0086091A" w:rsidRPr="00E70587"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c>
          <w:tcPr>
            <w:tcW w:w="1080" w:type="dxa"/>
            <w:gridSpan w:val="2"/>
            <w:vAlign w:val="center"/>
          </w:tcPr>
          <w:p w14:paraId="59470049" w14:textId="77777777" w:rsidR="0086091A" w:rsidRPr="00E70587" w:rsidRDefault="0086091A" w:rsidP="00926CAF">
            <w:pPr>
              <w:pStyle w:val="tabletext"/>
              <w:overflowPunct w:val="0"/>
              <w:autoSpaceDE w:val="0"/>
              <w:autoSpaceDN w:val="0"/>
              <w:adjustRightInd w:val="0"/>
              <w:spacing w:line="280" w:lineRule="exact"/>
              <w:jc w:val="right"/>
              <w:textAlignment w:val="baseline"/>
              <w:rPr>
                <w:rFonts w:ascii="Arial" w:hAnsi="Arial" w:cs="Arial"/>
                <w:sz w:val="20"/>
                <w:lang w:val="en-IN"/>
              </w:rPr>
            </w:pPr>
            <w:r w:rsidRPr="00E70587">
              <w:rPr>
                <w:rFonts w:ascii="Arial" w:hAnsi="Arial" w:cs="Arial"/>
                <w:sz w:val="20"/>
                <w:lang w:val="en-IN"/>
              </w:rPr>
              <w:t>—</w:t>
            </w:r>
          </w:p>
        </w:tc>
        <w:tc>
          <w:tcPr>
            <w:tcW w:w="1090" w:type="dxa"/>
            <w:gridSpan w:val="2"/>
            <w:tcMar>
              <w:right w:w="0" w:type="dxa"/>
            </w:tcMar>
            <w:vAlign w:val="center"/>
          </w:tcPr>
          <w:p w14:paraId="13E2E44A" w14:textId="52C0EE57" w:rsidR="0086091A" w:rsidRPr="00E70587" w:rsidRDefault="0086091A" w:rsidP="009901E1">
            <w:pPr>
              <w:pStyle w:val="tabletext"/>
              <w:overflowPunct w:val="0"/>
              <w:autoSpaceDE w:val="0"/>
              <w:autoSpaceDN w:val="0"/>
              <w:adjustRightInd w:val="0"/>
              <w:spacing w:line="280" w:lineRule="exact"/>
              <w:ind w:right="81"/>
              <w:jc w:val="right"/>
              <w:textAlignment w:val="baseline"/>
              <w:rPr>
                <w:rFonts w:ascii="Arial" w:hAnsi="Arial" w:cs="Arial"/>
                <w:sz w:val="20"/>
                <w:lang w:val="en-IN"/>
              </w:rPr>
            </w:pPr>
            <w:r w:rsidRPr="00E70587">
              <w:rPr>
                <w:rFonts w:ascii="Arial" w:hAnsi="Arial" w:cs="Arial"/>
                <w:sz w:val="20"/>
                <w:lang w:val="en-IN"/>
              </w:rPr>
              <w:t>(</w:t>
            </w:r>
            <w:r w:rsidR="00213E75">
              <w:rPr>
                <w:rFonts w:ascii="Arial" w:hAnsi="Arial" w:cs="Arial"/>
                <w:sz w:val="20"/>
                <w:lang w:val="en-IN"/>
              </w:rPr>
              <w:t>545</w:t>
            </w:r>
            <w:r w:rsidRPr="00E70587">
              <w:rPr>
                <w:rFonts w:ascii="Arial" w:hAnsi="Arial" w:cs="Arial"/>
                <w:sz w:val="20"/>
                <w:lang w:val="en-IN"/>
              </w:rPr>
              <w:t>)</w:t>
            </w:r>
          </w:p>
        </w:tc>
      </w:tr>
      <w:tr w:rsidR="00213E75" w:rsidRPr="00E70587" w14:paraId="582FB36F" w14:textId="77777777" w:rsidTr="00FF32A7">
        <w:tc>
          <w:tcPr>
            <w:tcW w:w="3126" w:type="dxa"/>
            <w:vAlign w:val="center"/>
          </w:tcPr>
          <w:p w14:paraId="35D2457E" w14:textId="77777777" w:rsidR="00213E75" w:rsidRPr="00E70587" w:rsidRDefault="00213E75" w:rsidP="00213E75">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Discounted at the applicable interbank rates</w:t>
            </w:r>
          </w:p>
        </w:tc>
        <w:tc>
          <w:tcPr>
            <w:tcW w:w="1079" w:type="dxa"/>
            <w:tcMar>
              <w:right w:w="0" w:type="dxa"/>
            </w:tcMar>
            <w:vAlign w:val="center"/>
          </w:tcPr>
          <w:p w14:paraId="5EC0BED4" w14:textId="4E846A14" w:rsidR="00213E75" w:rsidRPr="00E70587" w:rsidRDefault="00213E75" w:rsidP="00213E75">
            <w:pPr>
              <w:pStyle w:val="tabletext"/>
              <w:overflowPunct w:val="0"/>
              <w:autoSpaceDE w:val="0"/>
              <w:autoSpaceDN w:val="0"/>
              <w:adjustRightInd w:val="0"/>
              <w:spacing w:line="280" w:lineRule="exact"/>
              <w:ind w:left="107"/>
              <w:jc w:val="right"/>
              <w:textAlignment w:val="baseline"/>
              <w:rPr>
                <w:rFonts w:ascii="Arial" w:hAnsi="Arial" w:cs="Arial"/>
                <w:sz w:val="20"/>
                <w:lang w:val="en-IN"/>
              </w:rPr>
            </w:pPr>
            <w:r w:rsidRPr="00E70587">
              <w:rPr>
                <w:rFonts w:ascii="Arial" w:hAnsi="Arial" w:cs="Arial"/>
                <w:sz w:val="20"/>
                <w:lang w:val="en-IN"/>
              </w:rPr>
              <w:t>(</w:t>
            </w:r>
            <w:r>
              <w:rPr>
                <w:rFonts w:ascii="Arial" w:hAnsi="Arial" w:cs="Arial"/>
                <w:sz w:val="20"/>
                <w:lang w:val="en-IN"/>
              </w:rPr>
              <w:t>88</w:t>
            </w:r>
            <w:r w:rsidRPr="00E70587">
              <w:rPr>
                <w:rFonts w:ascii="Arial" w:hAnsi="Arial" w:cs="Arial"/>
                <w:sz w:val="20"/>
                <w:lang w:val="en-IN"/>
              </w:rPr>
              <w:t>)</w:t>
            </w:r>
          </w:p>
        </w:tc>
        <w:tc>
          <w:tcPr>
            <w:tcW w:w="1080" w:type="dxa"/>
            <w:tcMar>
              <w:right w:w="0" w:type="dxa"/>
            </w:tcMar>
            <w:vAlign w:val="center"/>
          </w:tcPr>
          <w:p w14:paraId="2365A382" w14:textId="48E65F60" w:rsidR="00213E75" w:rsidRPr="00E70587" w:rsidRDefault="00213E75" w:rsidP="00213E75">
            <w:pPr>
              <w:pStyle w:val="tabletext"/>
              <w:overflowPunct w:val="0"/>
              <w:autoSpaceDE w:val="0"/>
              <w:autoSpaceDN w:val="0"/>
              <w:adjustRightInd w:val="0"/>
              <w:spacing w:line="280" w:lineRule="exact"/>
              <w:ind w:left="107"/>
              <w:jc w:val="right"/>
              <w:textAlignment w:val="baseline"/>
              <w:rPr>
                <w:rFonts w:ascii="Arial" w:hAnsi="Arial" w:cs="Arial"/>
                <w:sz w:val="20"/>
                <w:lang w:val="en-IN"/>
              </w:rPr>
            </w:pPr>
            <w:r w:rsidRPr="00E70587">
              <w:rPr>
                <w:rFonts w:ascii="Arial" w:hAnsi="Arial" w:cs="Arial"/>
                <w:sz w:val="20"/>
                <w:lang w:val="en-IN"/>
              </w:rPr>
              <w:t>(</w:t>
            </w:r>
            <w:r>
              <w:rPr>
                <w:rFonts w:ascii="Arial" w:hAnsi="Arial" w:cs="Arial"/>
                <w:sz w:val="20"/>
                <w:lang w:val="en-IN"/>
              </w:rPr>
              <w:t>457</w:t>
            </w:r>
            <w:r w:rsidRPr="00E70587">
              <w:rPr>
                <w:rFonts w:ascii="Arial" w:hAnsi="Arial" w:cs="Arial"/>
                <w:sz w:val="20"/>
                <w:lang w:val="en-IN"/>
              </w:rPr>
              <w:t>)</w:t>
            </w:r>
          </w:p>
        </w:tc>
        <w:tc>
          <w:tcPr>
            <w:tcW w:w="1080" w:type="dxa"/>
            <w:gridSpan w:val="2"/>
            <w:vAlign w:val="center"/>
          </w:tcPr>
          <w:p w14:paraId="0D3E7990" w14:textId="48E5C51C" w:rsidR="00213E75" w:rsidRPr="00E70587" w:rsidRDefault="00213E75" w:rsidP="00213E75">
            <w:pPr>
              <w:pStyle w:val="tabletext"/>
              <w:overflowPunct w:val="0"/>
              <w:autoSpaceDE w:val="0"/>
              <w:autoSpaceDN w:val="0"/>
              <w:adjustRightInd w:val="0"/>
              <w:spacing w:line="280" w:lineRule="exact"/>
              <w:ind w:left="36"/>
              <w:jc w:val="right"/>
              <w:textAlignment w:val="baseline"/>
              <w:rPr>
                <w:rFonts w:ascii="Arial" w:hAnsi="Arial" w:cs="Arial"/>
                <w:sz w:val="20"/>
                <w:lang w:val="en-IN"/>
              </w:rPr>
            </w:pPr>
            <w:r w:rsidRPr="00E70587">
              <w:rPr>
                <w:rFonts w:ascii="Arial" w:hAnsi="Arial" w:cs="Arial"/>
                <w:sz w:val="20"/>
                <w:lang w:val="en-IN"/>
              </w:rPr>
              <w:t>—</w:t>
            </w:r>
          </w:p>
        </w:tc>
        <w:tc>
          <w:tcPr>
            <w:tcW w:w="1079" w:type="dxa"/>
            <w:gridSpan w:val="2"/>
            <w:vAlign w:val="center"/>
          </w:tcPr>
          <w:p w14:paraId="30CA39CB" w14:textId="31C797D8" w:rsidR="00213E75" w:rsidRPr="00E70587" w:rsidRDefault="00213E75" w:rsidP="00213E75">
            <w:pPr>
              <w:pStyle w:val="tabletext"/>
              <w:overflowPunct w:val="0"/>
              <w:autoSpaceDE w:val="0"/>
              <w:autoSpaceDN w:val="0"/>
              <w:adjustRightInd w:val="0"/>
              <w:spacing w:line="280" w:lineRule="exact"/>
              <w:ind w:left="36"/>
              <w:jc w:val="right"/>
              <w:textAlignment w:val="baseline"/>
              <w:rPr>
                <w:rFonts w:ascii="Arial" w:hAnsi="Arial" w:cs="Arial"/>
                <w:sz w:val="20"/>
                <w:lang w:val="en-IN"/>
              </w:rPr>
            </w:pPr>
            <w:r w:rsidRPr="00E70587">
              <w:rPr>
                <w:rFonts w:ascii="Arial" w:hAnsi="Arial" w:cs="Arial"/>
                <w:sz w:val="20"/>
                <w:lang w:val="en-IN"/>
              </w:rPr>
              <w:t>—</w:t>
            </w:r>
          </w:p>
        </w:tc>
        <w:tc>
          <w:tcPr>
            <w:tcW w:w="1080" w:type="dxa"/>
            <w:gridSpan w:val="2"/>
            <w:vAlign w:val="center"/>
          </w:tcPr>
          <w:p w14:paraId="5917E83A" w14:textId="5118F6AF" w:rsidR="00213E75" w:rsidRPr="00E70587" w:rsidRDefault="00213E75" w:rsidP="00213E75">
            <w:pPr>
              <w:pStyle w:val="tabletext"/>
              <w:overflowPunct w:val="0"/>
              <w:autoSpaceDE w:val="0"/>
              <w:autoSpaceDN w:val="0"/>
              <w:adjustRightInd w:val="0"/>
              <w:spacing w:line="280" w:lineRule="exact"/>
              <w:ind w:left="36"/>
              <w:jc w:val="right"/>
              <w:textAlignment w:val="baseline"/>
              <w:rPr>
                <w:rFonts w:ascii="Arial" w:hAnsi="Arial" w:cs="Arial"/>
                <w:sz w:val="20"/>
                <w:lang w:val="en-IN"/>
              </w:rPr>
            </w:pPr>
            <w:r w:rsidRPr="00E70587">
              <w:rPr>
                <w:rFonts w:ascii="Arial" w:hAnsi="Arial" w:cs="Arial"/>
                <w:sz w:val="20"/>
                <w:lang w:val="en-IN"/>
              </w:rPr>
              <w:t>—</w:t>
            </w:r>
          </w:p>
        </w:tc>
        <w:tc>
          <w:tcPr>
            <w:tcW w:w="1090" w:type="dxa"/>
            <w:gridSpan w:val="2"/>
            <w:tcMar>
              <w:right w:w="0" w:type="dxa"/>
            </w:tcMar>
            <w:vAlign w:val="center"/>
          </w:tcPr>
          <w:p w14:paraId="0534DDDA" w14:textId="45BC80C6" w:rsidR="00213E75" w:rsidRPr="00E70587" w:rsidRDefault="00213E75" w:rsidP="00213E75">
            <w:pPr>
              <w:pStyle w:val="tabletext"/>
              <w:overflowPunct w:val="0"/>
              <w:autoSpaceDE w:val="0"/>
              <w:autoSpaceDN w:val="0"/>
              <w:adjustRightInd w:val="0"/>
              <w:spacing w:line="280" w:lineRule="exact"/>
              <w:ind w:left="36" w:right="81"/>
              <w:jc w:val="right"/>
              <w:textAlignment w:val="baseline"/>
              <w:rPr>
                <w:rFonts w:ascii="Arial" w:hAnsi="Arial" w:cs="Arial"/>
                <w:sz w:val="20"/>
                <w:lang w:val="en-IN"/>
              </w:rPr>
            </w:pPr>
            <w:r w:rsidRPr="00E70587">
              <w:rPr>
                <w:rFonts w:ascii="Arial" w:hAnsi="Arial" w:cs="Arial"/>
                <w:sz w:val="20"/>
                <w:lang w:val="en-IN"/>
              </w:rPr>
              <w:t>(</w:t>
            </w:r>
            <w:r>
              <w:rPr>
                <w:rFonts w:ascii="Arial" w:hAnsi="Arial" w:cs="Arial"/>
                <w:sz w:val="20"/>
                <w:lang w:val="en-IN"/>
              </w:rPr>
              <w:t>545</w:t>
            </w:r>
            <w:r w:rsidRPr="00E70587">
              <w:rPr>
                <w:rFonts w:ascii="Arial" w:hAnsi="Arial" w:cs="Arial"/>
                <w:sz w:val="20"/>
                <w:lang w:val="en-IN"/>
              </w:rPr>
              <w:t>)</w:t>
            </w:r>
          </w:p>
        </w:tc>
      </w:tr>
      <w:tr w:rsidR="000574D5" w:rsidRPr="00E70587" w14:paraId="294145DB" w14:textId="77777777" w:rsidTr="000574D5">
        <w:tc>
          <w:tcPr>
            <w:tcW w:w="3126" w:type="dxa"/>
            <w:vAlign w:val="center"/>
          </w:tcPr>
          <w:p w14:paraId="39038EDA" w14:textId="77777777" w:rsidR="000574D5" w:rsidRPr="00E70587" w:rsidRDefault="000574D5"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079" w:type="dxa"/>
            <w:tcMar>
              <w:right w:w="0" w:type="dxa"/>
            </w:tcMar>
            <w:vAlign w:val="bottom"/>
          </w:tcPr>
          <w:p w14:paraId="588C1FC1" w14:textId="77777777" w:rsidR="000574D5" w:rsidRPr="00E70587" w:rsidRDefault="000574D5" w:rsidP="009901E1">
            <w:pPr>
              <w:pStyle w:val="tabletext"/>
              <w:overflowPunct w:val="0"/>
              <w:autoSpaceDE w:val="0"/>
              <w:autoSpaceDN w:val="0"/>
              <w:adjustRightInd w:val="0"/>
              <w:spacing w:line="280" w:lineRule="exact"/>
              <w:ind w:left="107"/>
              <w:jc w:val="right"/>
              <w:textAlignment w:val="baseline"/>
              <w:rPr>
                <w:rFonts w:ascii="Arial" w:hAnsi="Arial" w:cs="Arial"/>
                <w:sz w:val="20"/>
                <w:lang w:val="en-IN"/>
              </w:rPr>
            </w:pPr>
          </w:p>
        </w:tc>
        <w:tc>
          <w:tcPr>
            <w:tcW w:w="1080" w:type="dxa"/>
            <w:tcMar>
              <w:right w:w="0" w:type="dxa"/>
            </w:tcMar>
            <w:vAlign w:val="bottom"/>
          </w:tcPr>
          <w:p w14:paraId="12AB11CC" w14:textId="77777777" w:rsidR="000574D5" w:rsidRPr="00E70587" w:rsidRDefault="000574D5" w:rsidP="009901E1">
            <w:pPr>
              <w:pStyle w:val="tabletext"/>
              <w:overflowPunct w:val="0"/>
              <w:autoSpaceDE w:val="0"/>
              <w:autoSpaceDN w:val="0"/>
              <w:adjustRightInd w:val="0"/>
              <w:spacing w:line="280" w:lineRule="exact"/>
              <w:ind w:left="107"/>
              <w:jc w:val="right"/>
              <w:textAlignment w:val="baseline"/>
              <w:rPr>
                <w:rFonts w:ascii="Arial" w:hAnsi="Arial" w:cs="Arial"/>
                <w:sz w:val="20"/>
                <w:lang w:val="en-IN"/>
              </w:rPr>
            </w:pPr>
          </w:p>
        </w:tc>
        <w:tc>
          <w:tcPr>
            <w:tcW w:w="1080" w:type="dxa"/>
            <w:gridSpan w:val="2"/>
            <w:vAlign w:val="bottom"/>
          </w:tcPr>
          <w:p w14:paraId="47D67B0D" w14:textId="77777777" w:rsidR="000574D5" w:rsidRPr="00E70587" w:rsidRDefault="000574D5" w:rsidP="009901E1">
            <w:pPr>
              <w:pStyle w:val="tabletext"/>
              <w:overflowPunct w:val="0"/>
              <w:autoSpaceDE w:val="0"/>
              <w:autoSpaceDN w:val="0"/>
              <w:adjustRightInd w:val="0"/>
              <w:spacing w:line="280" w:lineRule="exact"/>
              <w:ind w:left="36"/>
              <w:jc w:val="right"/>
              <w:textAlignment w:val="baseline"/>
              <w:rPr>
                <w:rFonts w:ascii="Arial" w:hAnsi="Arial" w:cs="Arial"/>
                <w:sz w:val="20"/>
                <w:lang w:val="en-IN"/>
              </w:rPr>
            </w:pPr>
          </w:p>
        </w:tc>
        <w:tc>
          <w:tcPr>
            <w:tcW w:w="1079" w:type="dxa"/>
            <w:gridSpan w:val="2"/>
            <w:vAlign w:val="bottom"/>
          </w:tcPr>
          <w:p w14:paraId="0A3B878E" w14:textId="77777777" w:rsidR="000574D5" w:rsidRPr="00E70587" w:rsidRDefault="000574D5" w:rsidP="009901E1">
            <w:pPr>
              <w:pStyle w:val="tabletext"/>
              <w:overflowPunct w:val="0"/>
              <w:autoSpaceDE w:val="0"/>
              <w:autoSpaceDN w:val="0"/>
              <w:adjustRightInd w:val="0"/>
              <w:spacing w:line="280" w:lineRule="exact"/>
              <w:ind w:left="36"/>
              <w:jc w:val="right"/>
              <w:textAlignment w:val="baseline"/>
              <w:rPr>
                <w:rFonts w:ascii="Arial" w:hAnsi="Arial" w:cs="Arial"/>
                <w:sz w:val="20"/>
                <w:lang w:val="en-IN"/>
              </w:rPr>
            </w:pPr>
          </w:p>
        </w:tc>
        <w:tc>
          <w:tcPr>
            <w:tcW w:w="1080" w:type="dxa"/>
            <w:gridSpan w:val="2"/>
            <w:vAlign w:val="bottom"/>
          </w:tcPr>
          <w:p w14:paraId="28CC004B" w14:textId="77777777" w:rsidR="000574D5" w:rsidRPr="00E70587" w:rsidRDefault="000574D5" w:rsidP="009901E1">
            <w:pPr>
              <w:pStyle w:val="tabletext"/>
              <w:overflowPunct w:val="0"/>
              <w:autoSpaceDE w:val="0"/>
              <w:autoSpaceDN w:val="0"/>
              <w:adjustRightInd w:val="0"/>
              <w:spacing w:line="280" w:lineRule="exact"/>
              <w:ind w:left="36"/>
              <w:textAlignment w:val="baseline"/>
              <w:rPr>
                <w:rFonts w:ascii="Arial" w:hAnsi="Arial" w:cs="Arial"/>
                <w:sz w:val="20"/>
                <w:lang w:val="en-IN"/>
              </w:rPr>
            </w:pPr>
          </w:p>
        </w:tc>
        <w:tc>
          <w:tcPr>
            <w:tcW w:w="1090" w:type="dxa"/>
            <w:gridSpan w:val="2"/>
            <w:tcMar>
              <w:right w:w="0" w:type="dxa"/>
            </w:tcMar>
            <w:vAlign w:val="bottom"/>
          </w:tcPr>
          <w:p w14:paraId="35340F72" w14:textId="77777777" w:rsidR="000574D5" w:rsidRPr="00E70587" w:rsidRDefault="000574D5" w:rsidP="009901E1">
            <w:pPr>
              <w:pStyle w:val="tabletext"/>
              <w:overflowPunct w:val="0"/>
              <w:autoSpaceDE w:val="0"/>
              <w:autoSpaceDN w:val="0"/>
              <w:adjustRightInd w:val="0"/>
              <w:spacing w:line="280" w:lineRule="exact"/>
              <w:ind w:left="36" w:right="81"/>
              <w:jc w:val="right"/>
              <w:textAlignment w:val="baseline"/>
              <w:rPr>
                <w:rFonts w:ascii="Arial" w:hAnsi="Arial" w:cs="Arial"/>
                <w:sz w:val="20"/>
                <w:lang w:val="en-IN"/>
              </w:rPr>
            </w:pPr>
          </w:p>
        </w:tc>
      </w:tr>
    </w:tbl>
    <w:p w14:paraId="4821BA4D" w14:textId="77777777" w:rsidR="00DF5C15" w:rsidRPr="00E70587" w:rsidRDefault="00DF5C15" w:rsidP="009901E1">
      <w:pPr>
        <w:pStyle w:val="Notesbodytext"/>
        <w:spacing w:after="0" w:line="280" w:lineRule="exact"/>
        <w:jc w:val="both"/>
        <w:rPr>
          <w:rFonts w:ascii="Arial" w:hAnsi="Arial"/>
          <w:b/>
          <w:color w:val="auto"/>
          <w:sz w:val="20"/>
        </w:rPr>
      </w:pPr>
    </w:p>
    <w:tbl>
      <w:tblPr>
        <w:tblW w:w="9576" w:type="dxa"/>
        <w:tblLook w:val="0000" w:firstRow="0" w:lastRow="0" w:firstColumn="0" w:lastColumn="0" w:noHBand="0" w:noVBand="0"/>
      </w:tblPr>
      <w:tblGrid>
        <w:gridCol w:w="9576"/>
      </w:tblGrid>
      <w:tr w:rsidR="0086091A" w:rsidRPr="00E70587" w14:paraId="2CD499A4" w14:textId="77777777" w:rsidTr="00834981">
        <w:tc>
          <w:tcPr>
            <w:tcW w:w="0" w:type="auto"/>
          </w:tcPr>
          <w:p w14:paraId="50F4EA59" w14:textId="77777777" w:rsidR="0086091A" w:rsidRPr="00E70587" w:rsidRDefault="0086091A" w:rsidP="00FB79D5">
            <w:pPr>
              <w:spacing w:line="280" w:lineRule="exact"/>
              <w:jc w:val="both"/>
              <w:rPr>
                <w:rFonts w:ascii="Arial" w:hAnsi="Arial" w:cs="Arial"/>
                <w:b/>
                <w:bCs/>
                <w:iCs/>
                <w:sz w:val="20"/>
              </w:rPr>
            </w:pPr>
            <w:r w:rsidRPr="00E70587">
              <w:rPr>
                <w:rFonts w:ascii="Arial" w:hAnsi="Arial" w:cs="Arial"/>
                <w:b/>
                <w:sz w:val="20"/>
              </w:rPr>
              <w:t>Collateral</w:t>
            </w:r>
          </w:p>
          <w:p w14:paraId="5ECF3205" w14:textId="14A6A35F" w:rsidR="0086091A" w:rsidRPr="00E70587" w:rsidRDefault="0086091A" w:rsidP="00FB79D5">
            <w:pPr>
              <w:pStyle w:val="IAStext"/>
              <w:spacing w:line="280" w:lineRule="exact"/>
              <w:jc w:val="both"/>
              <w:rPr>
                <w:rFonts w:ascii="Arial" w:hAnsi="Arial" w:cs="Arial"/>
                <w:i w:val="0"/>
                <w:sz w:val="20"/>
                <w:lang w:val="en-IN"/>
              </w:rPr>
            </w:pPr>
            <w:r w:rsidRPr="00E70587">
              <w:rPr>
                <w:rFonts w:ascii="Arial" w:hAnsi="Arial" w:cs="Arial"/>
                <w:i w:val="0"/>
                <w:sz w:val="20"/>
                <w:lang w:val="en-IN"/>
              </w:rPr>
              <w:lastRenderedPageBreak/>
              <w:t xml:space="preserve">The Group has pledged part of its short-term deposits in order to fulfil the collateral requirements for the derivatives contracts. At 31 </w:t>
            </w:r>
            <w:r w:rsidR="00E1202D" w:rsidRPr="00E70587">
              <w:rPr>
                <w:rFonts w:ascii="Arial" w:hAnsi="Arial" w:cs="Arial"/>
                <w:i w:val="0"/>
                <w:sz w:val="20"/>
                <w:lang w:val="en-IN"/>
              </w:rPr>
              <w:t xml:space="preserve">March </w:t>
            </w:r>
            <w:r w:rsidR="004A0AEB" w:rsidRPr="00E70587">
              <w:rPr>
                <w:rFonts w:ascii="Arial" w:hAnsi="Arial" w:cs="Arial"/>
                <w:i w:val="0"/>
                <w:sz w:val="20"/>
                <w:lang w:val="en-IN"/>
              </w:rPr>
              <w:t>20</w:t>
            </w:r>
            <w:r w:rsidR="004A0AEB">
              <w:rPr>
                <w:rFonts w:ascii="Arial" w:hAnsi="Arial" w:cs="Arial"/>
                <w:i w:val="0"/>
                <w:sz w:val="20"/>
                <w:lang w:val="en-IN"/>
              </w:rPr>
              <w:t>21</w:t>
            </w:r>
            <w:r w:rsidRPr="00E70587">
              <w:rPr>
                <w:rFonts w:ascii="Arial" w:hAnsi="Arial" w:cs="Arial"/>
                <w:i w:val="0"/>
                <w:sz w:val="20"/>
                <w:lang w:val="en-IN"/>
              </w:rPr>
              <w:t xml:space="preserve">, 31 </w:t>
            </w:r>
            <w:r w:rsidR="008B730E" w:rsidRPr="00E70587">
              <w:rPr>
                <w:rFonts w:ascii="Arial" w:hAnsi="Arial" w:cs="Arial"/>
                <w:i w:val="0"/>
                <w:sz w:val="20"/>
                <w:lang w:val="en-IN"/>
              </w:rPr>
              <w:t xml:space="preserve">March </w:t>
            </w:r>
            <w:r w:rsidR="004A0AEB" w:rsidRPr="00E70587">
              <w:rPr>
                <w:rFonts w:ascii="Arial" w:hAnsi="Arial" w:cs="Arial"/>
                <w:i w:val="0"/>
                <w:sz w:val="20"/>
                <w:lang w:val="en-IN"/>
              </w:rPr>
              <w:t>20</w:t>
            </w:r>
            <w:r w:rsidR="004A0AEB">
              <w:rPr>
                <w:rFonts w:ascii="Arial" w:hAnsi="Arial" w:cs="Arial"/>
                <w:i w:val="0"/>
                <w:sz w:val="20"/>
                <w:lang w:val="en-IN"/>
              </w:rPr>
              <w:t>20</w:t>
            </w:r>
            <w:r w:rsidR="004A0AEB" w:rsidRPr="00E70587">
              <w:rPr>
                <w:rFonts w:ascii="Arial" w:hAnsi="Arial" w:cs="Arial"/>
                <w:i w:val="0"/>
                <w:sz w:val="20"/>
                <w:lang w:val="en-IN"/>
              </w:rPr>
              <w:t xml:space="preserve"> </w:t>
            </w:r>
            <w:r w:rsidRPr="00E70587">
              <w:rPr>
                <w:rFonts w:ascii="Arial" w:hAnsi="Arial" w:cs="Arial"/>
                <w:i w:val="0"/>
                <w:sz w:val="20"/>
                <w:lang w:val="en-IN"/>
              </w:rPr>
              <w:t>the fair values of the short-term deposits pledged were INR 9</w:t>
            </w:r>
            <w:r w:rsidR="00A764DA" w:rsidRPr="00E70587">
              <w:rPr>
                <w:rFonts w:ascii="Arial" w:hAnsi="Arial" w:cs="Arial"/>
                <w:i w:val="0"/>
                <w:sz w:val="20"/>
                <w:lang w:val="en-IN"/>
              </w:rPr>
              <w:t>,</w:t>
            </w:r>
            <w:r w:rsidRPr="00E70587">
              <w:rPr>
                <w:rFonts w:ascii="Arial" w:hAnsi="Arial" w:cs="Arial"/>
                <w:i w:val="0"/>
                <w:sz w:val="20"/>
                <w:lang w:val="en-IN"/>
              </w:rPr>
              <w:t>000</w:t>
            </w:r>
            <w:r w:rsidR="00666093" w:rsidRPr="00E70587">
              <w:rPr>
                <w:rFonts w:ascii="Arial" w:hAnsi="Arial" w:cs="Arial"/>
                <w:i w:val="0"/>
                <w:sz w:val="20"/>
                <w:lang w:val="en-IN"/>
              </w:rPr>
              <w:t>,</w:t>
            </w:r>
            <w:r w:rsidRPr="00E70587">
              <w:rPr>
                <w:rFonts w:ascii="Arial" w:hAnsi="Arial" w:cs="Arial"/>
                <w:i w:val="0"/>
                <w:sz w:val="20"/>
                <w:lang w:val="en-IN"/>
              </w:rPr>
              <w:t xml:space="preserve"> INR 3</w:t>
            </w:r>
            <w:r w:rsidR="00A764DA" w:rsidRPr="00E70587">
              <w:rPr>
                <w:rFonts w:ascii="Arial" w:hAnsi="Arial" w:cs="Arial"/>
                <w:i w:val="0"/>
                <w:sz w:val="20"/>
                <w:lang w:val="en-IN"/>
              </w:rPr>
              <w:t>,</w:t>
            </w:r>
            <w:r w:rsidRPr="00E70587">
              <w:rPr>
                <w:rFonts w:ascii="Arial" w:hAnsi="Arial" w:cs="Arial"/>
                <w:i w:val="0"/>
                <w:sz w:val="20"/>
                <w:lang w:val="en-IN"/>
              </w:rPr>
              <w:t>600</w:t>
            </w:r>
            <w:r w:rsidR="00666093" w:rsidRPr="00E70587">
              <w:rPr>
                <w:rFonts w:ascii="Arial" w:hAnsi="Arial" w:cs="Arial"/>
                <w:i w:val="0"/>
                <w:sz w:val="20"/>
                <w:lang w:val="en-IN"/>
              </w:rPr>
              <w:t xml:space="preserve"> </w:t>
            </w:r>
            <w:r w:rsidRPr="00E70587">
              <w:rPr>
                <w:rFonts w:ascii="Arial" w:hAnsi="Arial" w:cs="Arial"/>
                <w:i w:val="0"/>
                <w:sz w:val="20"/>
                <w:lang w:val="en-IN"/>
              </w:rPr>
              <w:t>respectively. The counterparties have an obligation to return the securities to the Group. The Group also holds deposit in respects of derivative contracts INR 1</w:t>
            </w:r>
            <w:r w:rsidR="00A764DA" w:rsidRPr="00E70587">
              <w:rPr>
                <w:rFonts w:ascii="Arial" w:hAnsi="Arial" w:cs="Arial"/>
                <w:i w:val="0"/>
                <w:sz w:val="20"/>
                <w:lang w:val="en-IN"/>
              </w:rPr>
              <w:t>,</w:t>
            </w:r>
            <w:r w:rsidRPr="00E70587">
              <w:rPr>
                <w:rFonts w:ascii="Arial" w:hAnsi="Arial" w:cs="Arial"/>
                <w:i w:val="0"/>
                <w:sz w:val="20"/>
                <w:lang w:val="en-IN"/>
              </w:rPr>
              <w:t xml:space="preserve">017 as at 31 </w:t>
            </w:r>
            <w:r w:rsidR="00E1202D" w:rsidRPr="00E70587">
              <w:rPr>
                <w:rFonts w:ascii="Arial" w:hAnsi="Arial" w:cs="Arial"/>
                <w:i w:val="0"/>
                <w:sz w:val="20"/>
                <w:lang w:val="en-IN"/>
              </w:rPr>
              <w:t xml:space="preserve">March </w:t>
            </w:r>
            <w:r w:rsidR="004A0AEB" w:rsidRPr="00E70587">
              <w:rPr>
                <w:rFonts w:ascii="Arial" w:hAnsi="Arial" w:cs="Arial"/>
                <w:i w:val="0"/>
                <w:sz w:val="20"/>
                <w:lang w:val="en-IN"/>
              </w:rPr>
              <w:t>20</w:t>
            </w:r>
            <w:r w:rsidR="004A0AEB">
              <w:rPr>
                <w:rFonts w:ascii="Arial" w:hAnsi="Arial" w:cs="Arial"/>
                <w:i w:val="0"/>
                <w:sz w:val="20"/>
                <w:lang w:val="en-IN"/>
              </w:rPr>
              <w:t>21</w:t>
            </w:r>
            <w:r w:rsidR="004A0AEB" w:rsidRPr="00E70587">
              <w:rPr>
                <w:rFonts w:ascii="Arial" w:hAnsi="Arial" w:cs="Arial"/>
                <w:i w:val="0"/>
                <w:sz w:val="20"/>
                <w:lang w:val="en-IN"/>
              </w:rPr>
              <w:t xml:space="preserve"> </w:t>
            </w:r>
            <w:r w:rsidRPr="00E70587">
              <w:rPr>
                <w:rFonts w:ascii="Arial" w:hAnsi="Arial" w:cs="Arial"/>
                <w:i w:val="0"/>
                <w:sz w:val="20"/>
                <w:lang w:val="en-IN"/>
              </w:rPr>
              <w:t xml:space="preserve">(31 </w:t>
            </w:r>
            <w:r w:rsidR="008B730E" w:rsidRPr="00E70587">
              <w:rPr>
                <w:rFonts w:ascii="Arial" w:hAnsi="Arial" w:cs="Arial"/>
                <w:i w:val="0"/>
                <w:sz w:val="20"/>
                <w:lang w:val="en-IN"/>
              </w:rPr>
              <w:t xml:space="preserve">March </w:t>
            </w:r>
            <w:r w:rsidR="004A0AEB" w:rsidRPr="00E70587">
              <w:rPr>
                <w:rFonts w:ascii="Arial" w:hAnsi="Arial" w:cs="Arial"/>
                <w:i w:val="0"/>
                <w:sz w:val="20"/>
                <w:lang w:val="en-IN"/>
              </w:rPr>
              <w:t>20</w:t>
            </w:r>
            <w:r w:rsidR="004A0AEB">
              <w:rPr>
                <w:rFonts w:ascii="Arial" w:hAnsi="Arial" w:cs="Arial"/>
                <w:i w:val="0"/>
                <w:sz w:val="20"/>
                <w:lang w:val="en-IN"/>
              </w:rPr>
              <w:t>20</w:t>
            </w:r>
            <w:r w:rsidRPr="00E70587">
              <w:rPr>
                <w:rFonts w:ascii="Arial" w:hAnsi="Arial" w:cs="Arial"/>
                <w:i w:val="0"/>
                <w:sz w:val="20"/>
                <w:lang w:val="en-IN"/>
              </w:rPr>
              <w:t>:</w:t>
            </w:r>
            <w:r w:rsidR="00F261EA">
              <w:rPr>
                <w:rFonts w:ascii="Arial" w:hAnsi="Arial" w:cs="Arial"/>
                <w:i w:val="0"/>
                <w:sz w:val="20"/>
                <w:lang w:val="en-IN"/>
              </w:rPr>
              <w:t xml:space="preserve"> </w:t>
            </w:r>
            <w:r w:rsidRPr="00E70587">
              <w:rPr>
                <w:rFonts w:ascii="Arial" w:hAnsi="Arial" w:cs="Arial"/>
                <w:i w:val="0"/>
                <w:sz w:val="20"/>
                <w:lang w:val="en-IN"/>
              </w:rPr>
              <w:t>INR 693). The Group has an obligation to repay the deposit to the counterparties upon settlement of the contracts. There are no other significant terms and conditions associa</w:t>
            </w:r>
            <w:r w:rsidR="00FB79D5" w:rsidRPr="00E70587">
              <w:rPr>
                <w:rFonts w:ascii="Arial" w:hAnsi="Arial" w:cs="Arial"/>
                <w:i w:val="0"/>
                <w:sz w:val="20"/>
                <w:lang w:val="en-IN"/>
              </w:rPr>
              <w:t>ted with the use of collateral.</w:t>
            </w:r>
          </w:p>
          <w:p w14:paraId="4DBED3EA" w14:textId="77777777" w:rsidR="00FB79D5" w:rsidRPr="00E70587" w:rsidRDefault="00FB79D5" w:rsidP="00FB79D5">
            <w:pPr>
              <w:rPr>
                <w:rFonts w:ascii="Arial" w:hAnsi="Arial"/>
              </w:rPr>
            </w:pPr>
          </w:p>
        </w:tc>
      </w:tr>
    </w:tbl>
    <w:p w14:paraId="7316F60D" w14:textId="77777777" w:rsidR="00C41E23" w:rsidRPr="00E70587" w:rsidRDefault="00C41E23" w:rsidP="00FB79D5">
      <w:pPr>
        <w:pStyle w:val="IAStext"/>
        <w:spacing w:line="280" w:lineRule="exact"/>
        <w:jc w:val="both"/>
        <w:rPr>
          <w:rFonts w:ascii="Arial" w:hAnsi="Arial" w:cs="Arial"/>
          <w:i w:val="0"/>
          <w:sz w:val="20"/>
          <w:lang w:val="en-IN"/>
        </w:rPr>
      </w:pPr>
    </w:p>
    <w:p w14:paraId="52EA49E2" w14:textId="77777777" w:rsidR="00FB79D5" w:rsidRPr="00E70587" w:rsidRDefault="00FB79D5"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t>Capital management</w:t>
      </w:r>
    </w:p>
    <w:p w14:paraId="01213201" w14:textId="77777777" w:rsidR="00FB79D5" w:rsidRPr="00E70587" w:rsidRDefault="00FB79D5" w:rsidP="00FB79D5">
      <w:pPr>
        <w:pStyle w:val="IAStext"/>
        <w:spacing w:line="280" w:lineRule="exact"/>
        <w:jc w:val="both"/>
        <w:rPr>
          <w:rFonts w:ascii="Arial" w:hAnsi="Arial" w:cs="Arial"/>
          <w:i w:val="0"/>
          <w:sz w:val="20"/>
          <w:lang w:val="en-IN"/>
        </w:rPr>
      </w:pPr>
    </w:p>
    <w:p w14:paraId="71880E1A" w14:textId="4A15F399" w:rsidR="00FB79D5" w:rsidRPr="00E70587" w:rsidRDefault="00FB79D5" w:rsidP="00FB79D5">
      <w:pPr>
        <w:pStyle w:val="IAStext"/>
        <w:spacing w:line="280" w:lineRule="exact"/>
        <w:jc w:val="both"/>
        <w:rPr>
          <w:rFonts w:ascii="Arial" w:hAnsi="Arial" w:cs="Arial"/>
          <w:i w:val="0"/>
          <w:sz w:val="20"/>
          <w:lang w:val="en-IN"/>
        </w:rPr>
      </w:pPr>
      <w:r w:rsidRPr="00E70587">
        <w:rPr>
          <w:rFonts w:ascii="Arial" w:hAnsi="Arial" w:cs="Arial"/>
          <w:i w:val="0"/>
          <w:sz w:val="20"/>
          <w:lang w:val="en-IN"/>
        </w:rPr>
        <w:t xml:space="preserve">For the purpose of the Group’s capital management, capital includes issued equity capital, convertible preference shares, </w:t>
      </w:r>
      <w:r w:rsidR="0049095E" w:rsidRPr="0049095E">
        <w:rPr>
          <w:rFonts w:ascii="Arial" w:hAnsi="Arial" w:cs="Arial"/>
          <w:i w:val="0"/>
          <w:sz w:val="20"/>
          <w:lang w:val="en-IN"/>
        </w:rPr>
        <w:t xml:space="preserve">securities </w:t>
      </w:r>
      <w:r w:rsidRPr="00E70587">
        <w:rPr>
          <w:rFonts w:ascii="Arial" w:hAnsi="Arial" w:cs="Arial"/>
          <w:i w:val="0"/>
          <w:sz w:val="20"/>
          <w:lang w:val="en-IN"/>
        </w:rPr>
        <w:t xml:space="preserve">premium and all other equity reserves attributable to the equity holders of the parent. </w:t>
      </w:r>
      <w:r w:rsidR="00EE29F0" w:rsidRPr="00E70587">
        <w:rPr>
          <w:rFonts w:ascii="Arial" w:hAnsi="Arial" w:cs="Arial"/>
          <w:i w:val="0"/>
          <w:sz w:val="20"/>
          <w:lang w:val="en-IN"/>
        </w:rPr>
        <w:t xml:space="preserve">Within net debt, the Group includes borrowings less cash and </w:t>
      </w:r>
      <w:r w:rsidR="00EE29F0" w:rsidRPr="00E70587">
        <w:rPr>
          <w:rFonts w:ascii="Arial" w:hAnsi="Arial"/>
          <w:i w:val="0"/>
          <w:sz w:val="20"/>
        </w:rPr>
        <w:t>cash equivalents</w:t>
      </w:r>
      <w:r w:rsidR="00EE29F0" w:rsidRPr="00E70587">
        <w:rPr>
          <w:rFonts w:ascii="Arial" w:hAnsi="Arial" w:cs="Arial"/>
          <w:i w:val="0"/>
          <w:sz w:val="20"/>
          <w:lang w:val="en-IN"/>
        </w:rPr>
        <w:t xml:space="preserve">, excluding those related to discontinued operations. Trade and other payables are also excluded from net debt. </w:t>
      </w:r>
      <w:r w:rsidRPr="00E70587">
        <w:rPr>
          <w:rFonts w:ascii="Arial" w:hAnsi="Arial" w:cs="Arial"/>
          <w:i w:val="0"/>
          <w:sz w:val="20"/>
          <w:lang w:val="en-IN"/>
        </w:rPr>
        <w:t>The primary objective of the Group’s capital management is to maximise the shareholder value.</w:t>
      </w:r>
    </w:p>
    <w:p w14:paraId="0B91EF10" w14:textId="77777777" w:rsidR="00FB79D5" w:rsidRPr="00E70587" w:rsidRDefault="00FB79D5" w:rsidP="00FB79D5">
      <w:pPr>
        <w:pStyle w:val="IAStext"/>
        <w:spacing w:line="280" w:lineRule="exact"/>
        <w:jc w:val="both"/>
        <w:rPr>
          <w:rFonts w:ascii="Arial" w:hAnsi="Arial" w:cs="Arial"/>
          <w:i w:val="0"/>
          <w:sz w:val="20"/>
          <w:lang w:val="en-IN"/>
        </w:rPr>
      </w:pPr>
    </w:p>
    <w:p w14:paraId="788D0250" w14:textId="77777777" w:rsidR="00FB79D5" w:rsidRPr="00E70587" w:rsidRDefault="00FB79D5" w:rsidP="00FB79D5">
      <w:pPr>
        <w:pStyle w:val="IAStext"/>
        <w:spacing w:line="280" w:lineRule="exact"/>
        <w:jc w:val="both"/>
        <w:rPr>
          <w:rFonts w:ascii="Arial" w:hAnsi="Arial" w:cs="Arial"/>
          <w:b/>
          <w:sz w:val="20"/>
          <w:lang w:val="en-IN"/>
        </w:rPr>
      </w:pPr>
      <w:r w:rsidRPr="00E70587">
        <w:rPr>
          <w:rFonts w:ascii="Arial" w:hAnsi="Arial" w:cs="Arial"/>
          <w:i w:val="0"/>
          <w:sz w:val="20"/>
          <w:lang w:val="en-IN"/>
        </w:rPr>
        <w:t xml:space="preserve">The Group manages its capital structure and makes adjustments in light of changes in economic conditions and the requirements of the financial covenants. To maintain or adjust the capital structure, the Group may adjust the dividend payment to shareholders, return capital to shareholders or issue new shares. The Group monitors capital using a gearing ratio, which is net debt divided by total capital plus net debt. The Group’s policy is to keep the gearing ratio between </w:t>
      </w:r>
      <w:r w:rsidR="0030320D" w:rsidRPr="00E70587">
        <w:rPr>
          <w:rFonts w:ascii="Arial" w:hAnsi="Arial" w:cs="Arial"/>
          <w:i w:val="0"/>
          <w:sz w:val="20"/>
          <w:lang w:val="en-IN"/>
        </w:rPr>
        <w:t>5</w:t>
      </w:r>
      <w:r w:rsidRPr="00E70587">
        <w:rPr>
          <w:rFonts w:ascii="Arial" w:hAnsi="Arial" w:cs="Arial"/>
          <w:i w:val="0"/>
          <w:sz w:val="20"/>
          <w:lang w:val="en-IN"/>
        </w:rPr>
        <w:t xml:space="preserve">% and </w:t>
      </w:r>
      <w:r w:rsidR="00A42C75" w:rsidRPr="00E70587">
        <w:rPr>
          <w:rFonts w:ascii="Arial" w:hAnsi="Arial" w:cs="Arial"/>
          <w:i w:val="0"/>
          <w:sz w:val="20"/>
          <w:lang w:val="en-IN"/>
        </w:rPr>
        <w:t>25</w:t>
      </w:r>
      <w:r w:rsidRPr="00E70587">
        <w:rPr>
          <w:rFonts w:ascii="Arial" w:hAnsi="Arial" w:cs="Arial"/>
          <w:i w:val="0"/>
          <w:sz w:val="20"/>
          <w:lang w:val="en-IN"/>
        </w:rPr>
        <w:t xml:space="preserve">%. </w:t>
      </w:r>
    </w:p>
    <w:p w14:paraId="549EBE88" w14:textId="77777777" w:rsidR="004F35E1" w:rsidRPr="00E70587" w:rsidRDefault="004F35E1" w:rsidP="00FB79D5">
      <w:pPr>
        <w:pStyle w:val="IAStext"/>
        <w:spacing w:line="280" w:lineRule="exact"/>
        <w:jc w:val="both"/>
        <w:rPr>
          <w:rFonts w:ascii="Arial" w:hAnsi="Arial" w:cs="Arial"/>
          <w:i w:val="0"/>
          <w:sz w:val="20"/>
          <w:lang w:val="en-IN"/>
        </w:rPr>
      </w:pPr>
    </w:p>
    <w:tbl>
      <w:tblPr>
        <w:tblW w:w="9462" w:type="dxa"/>
        <w:tblLayout w:type="fixed"/>
        <w:tblLook w:val="01E0" w:firstRow="1" w:lastRow="1" w:firstColumn="1" w:lastColumn="1" w:noHBand="0" w:noVBand="0"/>
      </w:tblPr>
      <w:tblGrid>
        <w:gridCol w:w="6237"/>
        <w:gridCol w:w="1687"/>
        <w:gridCol w:w="1538"/>
      </w:tblGrid>
      <w:tr w:rsidR="009A6759" w:rsidRPr="00E70587" w14:paraId="7F15E401" w14:textId="77777777" w:rsidTr="009A6759">
        <w:tc>
          <w:tcPr>
            <w:tcW w:w="6237" w:type="dxa"/>
            <w:shd w:val="clear" w:color="auto" w:fill="auto"/>
            <w:tcMar>
              <w:left w:w="108" w:type="dxa"/>
              <w:right w:w="108" w:type="dxa"/>
            </w:tcMar>
          </w:tcPr>
          <w:p w14:paraId="690050D4" w14:textId="77777777" w:rsidR="009A6759" w:rsidRPr="00E70587" w:rsidRDefault="009A6759" w:rsidP="009901E1">
            <w:pPr>
              <w:pStyle w:val="000Normal"/>
              <w:spacing w:before="0" w:after="0" w:line="280" w:lineRule="exact"/>
              <w:rPr>
                <w:rFonts w:ascii="Arial" w:hAnsi="Arial" w:cs="Arial"/>
                <w:sz w:val="20"/>
              </w:rPr>
            </w:pPr>
          </w:p>
        </w:tc>
        <w:tc>
          <w:tcPr>
            <w:tcW w:w="1687" w:type="dxa"/>
            <w:tcBorders>
              <w:bottom w:val="single" w:sz="4" w:space="0" w:color="auto"/>
            </w:tcBorders>
            <w:shd w:val="clear" w:color="auto" w:fill="auto"/>
            <w:tcMar>
              <w:left w:w="108" w:type="dxa"/>
              <w:right w:w="108" w:type="dxa"/>
            </w:tcMar>
            <w:vAlign w:val="bottom"/>
          </w:tcPr>
          <w:p w14:paraId="4C29C4A9" w14:textId="57D61E4B" w:rsidR="009A6759" w:rsidRPr="00E70587" w:rsidRDefault="009A6759" w:rsidP="009901E1">
            <w:pPr>
              <w:pStyle w:val="Tablecolumnheading"/>
              <w:spacing w:line="280" w:lineRule="exact"/>
              <w:ind w:right="72"/>
              <w:rPr>
                <w:rFonts w:ascii="Arial" w:hAnsi="Arial"/>
                <w:color w:val="auto"/>
                <w:sz w:val="20"/>
                <w:szCs w:val="20"/>
                <w:lang w:val="en-IN"/>
              </w:rPr>
            </w:pPr>
            <w:r w:rsidRPr="00E70587">
              <w:rPr>
                <w:rFonts w:ascii="Arial" w:hAnsi="Arial"/>
                <w:color w:val="auto"/>
                <w:sz w:val="20"/>
                <w:szCs w:val="20"/>
                <w:lang w:val="en-IN"/>
              </w:rPr>
              <w:t xml:space="preserve">31 March </w:t>
            </w:r>
            <w:r w:rsidR="00A83A95" w:rsidRPr="00E70587">
              <w:rPr>
                <w:rFonts w:ascii="Arial" w:hAnsi="Arial"/>
                <w:color w:val="auto"/>
                <w:sz w:val="20"/>
                <w:szCs w:val="20"/>
                <w:lang w:val="en-IN"/>
              </w:rPr>
              <w:t>20</w:t>
            </w:r>
            <w:r w:rsidR="00A83A95">
              <w:rPr>
                <w:rFonts w:ascii="Arial" w:hAnsi="Arial"/>
                <w:color w:val="auto"/>
                <w:sz w:val="20"/>
                <w:szCs w:val="20"/>
                <w:lang w:val="en-IN"/>
              </w:rPr>
              <w:t>21</w:t>
            </w:r>
          </w:p>
        </w:tc>
        <w:tc>
          <w:tcPr>
            <w:tcW w:w="1538" w:type="dxa"/>
            <w:tcBorders>
              <w:bottom w:val="single" w:sz="4" w:space="0" w:color="auto"/>
            </w:tcBorders>
            <w:shd w:val="clear" w:color="auto" w:fill="auto"/>
            <w:tcMar>
              <w:left w:w="108" w:type="dxa"/>
              <w:right w:w="108" w:type="dxa"/>
            </w:tcMar>
            <w:vAlign w:val="bottom"/>
          </w:tcPr>
          <w:p w14:paraId="796A5398" w14:textId="4C551895" w:rsidR="009A6759" w:rsidRPr="00E70587" w:rsidRDefault="009A6759" w:rsidP="009901E1">
            <w:pPr>
              <w:pStyle w:val="Tablecolumnheading"/>
              <w:spacing w:line="280" w:lineRule="exact"/>
              <w:ind w:right="-90"/>
              <w:rPr>
                <w:rFonts w:ascii="Arial" w:hAnsi="Arial"/>
                <w:color w:val="auto"/>
                <w:sz w:val="20"/>
                <w:szCs w:val="20"/>
                <w:lang w:val="en-IN"/>
              </w:rPr>
            </w:pPr>
            <w:r w:rsidRPr="00E70587">
              <w:rPr>
                <w:rFonts w:ascii="Arial" w:hAnsi="Arial"/>
                <w:color w:val="auto"/>
                <w:sz w:val="20"/>
                <w:szCs w:val="20"/>
                <w:lang w:val="en-IN"/>
              </w:rPr>
              <w:t xml:space="preserve">31 March </w:t>
            </w:r>
            <w:r w:rsidR="00A83A95" w:rsidRPr="00E70587">
              <w:rPr>
                <w:rFonts w:ascii="Arial" w:hAnsi="Arial"/>
                <w:color w:val="auto"/>
                <w:sz w:val="20"/>
                <w:szCs w:val="20"/>
                <w:lang w:val="en-IN"/>
              </w:rPr>
              <w:t>20</w:t>
            </w:r>
            <w:r w:rsidR="00A83A95">
              <w:rPr>
                <w:rFonts w:ascii="Arial" w:hAnsi="Arial"/>
                <w:color w:val="auto"/>
                <w:sz w:val="20"/>
                <w:szCs w:val="20"/>
                <w:lang w:val="en-IN"/>
              </w:rPr>
              <w:t>20</w:t>
            </w:r>
          </w:p>
        </w:tc>
      </w:tr>
      <w:tr w:rsidR="009A6759" w:rsidRPr="00E70587" w14:paraId="2C9AE29F" w14:textId="77777777" w:rsidTr="009A6759">
        <w:tc>
          <w:tcPr>
            <w:tcW w:w="6237" w:type="dxa"/>
            <w:tcMar>
              <w:left w:w="108" w:type="dxa"/>
              <w:right w:w="108" w:type="dxa"/>
            </w:tcMar>
          </w:tcPr>
          <w:p w14:paraId="05D8E8E3" w14:textId="77777777" w:rsidR="009A6759" w:rsidRPr="00E70587" w:rsidRDefault="009A6759" w:rsidP="009901E1">
            <w:pPr>
              <w:pStyle w:val="000Normal"/>
              <w:spacing w:before="0" w:after="0" w:line="280" w:lineRule="exact"/>
              <w:jc w:val="right"/>
              <w:rPr>
                <w:rFonts w:ascii="Arial" w:hAnsi="Arial" w:cs="Arial"/>
                <w:b/>
                <w:sz w:val="20"/>
              </w:rPr>
            </w:pPr>
          </w:p>
        </w:tc>
        <w:tc>
          <w:tcPr>
            <w:tcW w:w="1687" w:type="dxa"/>
            <w:tcBorders>
              <w:top w:val="single" w:sz="4" w:space="0" w:color="auto"/>
            </w:tcBorders>
            <w:tcMar>
              <w:left w:w="108" w:type="dxa"/>
              <w:right w:w="108" w:type="dxa"/>
            </w:tcMar>
          </w:tcPr>
          <w:p w14:paraId="6D6AFCF1" w14:textId="77777777" w:rsidR="009A6759" w:rsidRPr="00E70587" w:rsidRDefault="009A6759"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c>
          <w:tcPr>
            <w:tcW w:w="1538" w:type="dxa"/>
            <w:tcBorders>
              <w:top w:val="single" w:sz="4" w:space="0" w:color="auto"/>
            </w:tcBorders>
            <w:tcMar>
              <w:left w:w="108" w:type="dxa"/>
              <w:right w:w="108" w:type="dxa"/>
            </w:tcMar>
          </w:tcPr>
          <w:p w14:paraId="3C769765" w14:textId="77777777" w:rsidR="009A6759" w:rsidRPr="00E70587" w:rsidRDefault="009A6759" w:rsidP="009901E1">
            <w:pPr>
              <w:pStyle w:val="Tablecolumnheading"/>
              <w:spacing w:line="280" w:lineRule="exact"/>
              <w:jc w:val="left"/>
              <w:rPr>
                <w:rFonts w:ascii="Arial" w:hAnsi="Arial"/>
                <w:color w:val="auto"/>
                <w:sz w:val="20"/>
                <w:szCs w:val="20"/>
                <w:lang w:val="en-IN"/>
              </w:rPr>
            </w:pPr>
            <w:r w:rsidRPr="00E70587">
              <w:rPr>
                <w:rFonts w:ascii="Arial" w:hAnsi="Arial"/>
                <w:color w:val="auto"/>
                <w:sz w:val="20"/>
                <w:szCs w:val="20"/>
                <w:lang w:val="en-IN"/>
              </w:rPr>
              <w:t>INR Lacs</w:t>
            </w:r>
          </w:p>
        </w:tc>
      </w:tr>
      <w:tr w:rsidR="009A6759" w:rsidRPr="00E70587" w14:paraId="21727F58" w14:textId="77777777" w:rsidTr="009A6759">
        <w:tc>
          <w:tcPr>
            <w:tcW w:w="6237" w:type="dxa"/>
            <w:tcMar>
              <w:top w:w="28" w:type="dxa"/>
              <w:left w:w="108" w:type="dxa"/>
              <w:right w:w="108" w:type="dxa"/>
            </w:tcMar>
            <w:vAlign w:val="center"/>
          </w:tcPr>
          <w:p w14:paraId="4CF4BAF0" w14:textId="654285C1" w:rsidR="009A6759" w:rsidRPr="00E70587" w:rsidRDefault="009A6759" w:rsidP="000D1D6E">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Borrowings other than convertible preference shares (Note 14</w:t>
            </w:r>
            <w:r w:rsidR="00AC0DF8">
              <w:rPr>
                <w:rFonts w:ascii="Arial" w:hAnsi="Arial" w:cs="Arial"/>
                <w:sz w:val="20"/>
                <w:lang w:val="en-IN"/>
              </w:rPr>
              <w:t>, 42</w:t>
            </w:r>
            <w:r w:rsidRPr="00E70587">
              <w:rPr>
                <w:rFonts w:ascii="Arial" w:hAnsi="Arial" w:cs="Arial"/>
                <w:sz w:val="20"/>
                <w:lang w:val="en-IN"/>
              </w:rPr>
              <w:t>)</w:t>
            </w:r>
          </w:p>
        </w:tc>
        <w:tc>
          <w:tcPr>
            <w:tcW w:w="1687" w:type="dxa"/>
            <w:tcMar>
              <w:top w:w="28" w:type="dxa"/>
              <w:left w:w="108" w:type="dxa"/>
              <w:right w:w="108" w:type="dxa"/>
            </w:tcMar>
            <w:vAlign w:val="bottom"/>
          </w:tcPr>
          <w:p w14:paraId="63B46679" w14:textId="5BC44F05" w:rsidR="009A6759" w:rsidRPr="00E70587" w:rsidRDefault="00F24A2B" w:rsidP="00366523">
            <w:pPr>
              <w:spacing w:line="280" w:lineRule="exact"/>
              <w:jc w:val="right"/>
              <w:rPr>
                <w:rFonts w:ascii="Arial" w:hAnsi="Arial" w:cs="Arial"/>
                <w:sz w:val="20"/>
              </w:rPr>
            </w:pPr>
            <w:r>
              <w:rPr>
                <w:rFonts w:ascii="Arial" w:hAnsi="Arial" w:cs="Arial"/>
                <w:color w:val="000000"/>
                <w:sz w:val="20"/>
              </w:rPr>
              <w:t>43</w:t>
            </w:r>
            <w:r w:rsidR="009A6759" w:rsidRPr="00E70587">
              <w:rPr>
                <w:rFonts w:ascii="Arial" w:hAnsi="Arial" w:cs="Arial"/>
                <w:color w:val="000000"/>
                <w:sz w:val="20"/>
              </w:rPr>
              <w:t>,</w:t>
            </w:r>
            <w:r>
              <w:rPr>
                <w:rFonts w:ascii="Arial" w:hAnsi="Arial" w:cs="Arial"/>
                <w:color w:val="000000"/>
                <w:sz w:val="20"/>
              </w:rPr>
              <w:t>322</w:t>
            </w:r>
          </w:p>
        </w:tc>
        <w:tc>
          <w:tcPr>
            <w:tcW w:w="1538" w:type="dxa"/>
            <w:tcMar>
              <w:top w:w="28" w:type="dxa"/>
              <w:left w:w="108" w:type="dxa"/>
              <w:right w:w="108" w:type="dxa"/>
            </w:tcMar>
            <w:vAlign w:val="bottom"/>
          </w:tcPr>
          <w:p w14:paraId="1ACC0F45" w14:textId="61DF8814" w:rsidR="009A6759" w:rsidRPr="00E70587" w:rsidRDefault="00F24A2B" w:rsidP="00366523">
            <w:pPr>
              <w:spacing w:line="280" w:lineRule="exact"/>
              <w:jc w:val="right"/>
              <w:rPr>
                <w:rFonts w:ascii="Arial" w:hAnsi="Arial" w:cs="Arial"/>
                <w:sz w:val="20"/>
              </w:rPr>
            </w:pPr>
            <w:r>
              <w:rPr>
                <w:rFonts w:ascii="Arial" w:hAnsi="Arial" w:cs="Arial"/>
                <w:color w:val="000000"/>
                <w:sz w:val="20"/>
              </w:rPr>
              <w:t>43</w:t>
            </w:r>
            <w:r w:rsidR="009A6759" w:rsidRPr="00E70587">
              <w:rPr>
                <w:rFonts w:ascii="Arial" w:hAnsi="Arial" w:cs="Arial"/>
                <w:color w:val="000000"/>
                <w:sz w:val="20"/>
              </w:rPr>
              <w:t>,</w:t>
            </w:r>
            <w:r>
              <w:rPr>
                <w:rFonts w:ascii="Arial" w:hAnsi="Arial" w:cs="Arial"/>
                <w:color w:val="000000"/>
                <w:sz w:val="20"/>
              </w:rPr>
              <w:t>746</w:t>
            </w:r>
          </w:p>
        </w:tc>
      </w:tr>
      <w:tr w:rsidR="009A6759" w:rsidRPr="00E70587" w14:paraId="1D43EB09" w14:textId="77777777" w:rsidTr="009A6759">
        <w:tc>
          <w:tcPr>
            <w:tcW w:w="6237" w:type="dxa"/>
            <w:tcMar>
              <w:left w:w="108" w:type="dxa"/>
              <w:right w:w="108" w:type="dxa"/>
            </w:tcMar>
            <w:vAlign w:val="center"/>
          </w:tcPr>
          <w:p w14:paraId="408C0C10" w14:textId="77777777" w:rsidR="009A6759" w:rsidRPr="00E70587" w:rsidRDefault="009A6759" w:rsidP="000D1D6E">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 xml:space="preserve">Less: cash and </w:t>
            </w:r>
            <w:r w:rsidRPr="00E70587">
              <w:rPr>
                <w:rFonts w:ascii="Arial" w:hAnsi="Arial"/>
                <w:sz w:val="20"/>
              </w:rPr>
              <w:t>cash equivalents</w:t>
            </w:r>
            <w:r w:rsidRPr="00E70587">
              <w:rPr>
                <w:rFonts w:ascii="Arial" w:hAnsi="Arial" w:cs="Arial"/>
                <w:sz w:val="20"/>
                <w:lang w:val="en-IN"/>
              </w:rPr>
              <w:t xml:space="preserve"> (Note 10)</w:t>
            </w:r>
          </w:p>
        </w:tc>
        <w:tc>
          <w:tcPr>
            <w:tcW w:w="1687" w:type="dxa"/>
            <w:tcBorders>
              <w:bottom w:val="single" w:sz="4" w:space="0" w:color="auto"/>
            </w:tcBorders>
            <w:tcMar>
              <w:top w:w="28" w:type="dxa"/>
              <w:left w:w="108" w:type="dxa"/>
              <w:right w:w="0" w:type="dxa"/>
            </w:tcMar>
            <w:vAlign w:val="center"/>
          </w:tcPr>
          <w:p w14:paraId="57B7AB63" w14:textId="77777777" w:rsidR="009A6759" w:rsidRPr="00E70587" w:rsidRDefault="009A6759" w:rsidP="00366523">
            <w:pPr>
              <w:spacing w:line="280" w:lineRule="exact"/>
              <w:jc w:val="right"/>
              <w:rPr>
                <w:rFonts w:ascii="Arial" w:hAnsi="Arial" w:cs="Arial"/>
                <w:sz w:val="20"/>
              </w:rPr>
            </w:pPr>
            <w:r w:rsidRPr="00E70587">
              <w:rPr>
                <w:rFonts w:ascii="Arial" w:hAnsi="Arial" w:cs="Arial"/>
                <w:color w:val="000000"/>
                <w:sz w:val="20"/>
              </w:rPr>
              <w:t>(29,590)</w:t>
            </w:r>
          </w:p>
        </w:tc>
        <w:tc>
          <w:tcPr>
            <w:tcW w:w="1538" w:type="dxa"/>
            <w:tcBorders>
              <w:bottom w:val="single" w:sz="4" w:space="0" w:color="auto"/>
            </w:tcBorders>
            <w:tcMar>
              <w:left w:w="108" w:type="dxa"/>
              <w:right w:w="0" w:type="dxa"/>
            </w:tcMar>
            <w:vAlign w:val="center"/>
          </w:tcPr>
          <w:p w14:paraId="3C36CC2F" w14:textId="77777777" w:rsidR="009A6759" w:rsidRPr="00E70587" w:rsidRDefault="009A6759" w:rsidP="00366523">
            <w:pPr>
              <w:spacing w:line="280" w:lineRule="exact"/>
              <w:jc w:val="right"/>
              <w:rPr>
                <w:rFonts w:ascii="Arial" w:hAnsi="Arial" w:cs="Arial"/>
                <w:sz w:val="20"/>
              </w:rPr>
            </w:pPr>
            <w:r w:rsidRPr="00E70587">
              <w:rPr>
                <w:rFonts w:ascii="Arial" w:hAnsi="Arial" w:cs="Arial"/>
                <w:color w:val="000000"/>
                <w:sz w:val="20"/>
              </w:rPr>
              <w:t>(26,414)</w:t>
            </w:r>
          </w:p>
        </w:tc>
      </w:tr>
      <w:tr w:rsidR="009A6759" w:rsidRPr="00E70587" w14:paraId="54018BFD" w14:textId="77777777" w:rsidTr="009A6759">
        <w:tc>
          <w:tcPr>
            <w:tcW w:w="6237" w:type="dxa"/>
            <w:tcMar>
              <w:top w:w="28" w:type="dxa"/>
              <w:left w:w="108" w:type="dxa"/>
              <w:right w:w="108" w:type="dxa"/>
            </w:tcMar>
            <w:vAlign w:val="center"/>
          </w:tcPr>
          <w:p w14:paraId="519C8871" w14:textId="77777777" w:rsidR="009A6759" w:rsidRPr="00E70587" w:rsidRDefault="009A6759"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b/>
                <w:sz w:val="20"/>
                <w:lang w:val="en-IN"/>
              </w:rPr>
              <w:t>Net debt</w:t>
            </w:r>
          </w:p>
        </w:tc>
        <w:tc>
          <w:tcPr>
            <w:tcW w:w="1687" w:type="dxa"/>
            <w:tcBorders>
              <w:top w:val="single" w:sz="4" w:space="0" w:color="auto"/>
            </w:tcBorders>
            <w:tcMar>
              <w:top w:w="28" w:type="dxa"/>
              <w:left w:w="108" w:type="dxa"/>
              <w:right w:w="108" w:type="dxa"/>
            </w:tcMar>
            <w:vAlign w:val="center"/>
          </w:tcPr>
          <w:p w14:paraId="7D2B3E86" w14:textId="24EF1815" w:rsidR="009A6759" w:rsidRPr="00E70587" w:rsidRDefault="00F24A2B" w:rsidP="00366523">
            <w:pPr>
              <w:spacing w:line="280" w:lineRule="exact"/>
              <w:jc w:val="right"/>
              <w:rPr>
                <w:rFonts w:ascii="Arial" w:hAnsi="Arial" w:cs="Arial"/>
                <w:b/>
                <w:bCs/>
                <w:sz w:val="20"/>
              </w:rPr>
            </w:pPr>
            <w:r>
              <w:rPr>
                <w:rFonts w:ascii="Arial" w:hAnsi="Arial" w:cs="Arial"/>
                <w:b/>
                <w:bCs/>
                <w:color w:val="000000"/>
                <w:sz w:val="20"/>
              </w:rPr>
              <w:t>13</w:t>
            </w:r>
            <w:r w:rsidR="009E7E23" w:rsidRPr="00E70587">
              <w:rPr>
                <w:rFonts w:ascii="Arial" w:hAnsi="Arial" w:cs="Arial"/>
                <w:b/>
                <w:bCs/>
                <w:color w:val="000000"/>
                <w:sz w:val="20"/>
              </w:rPr>
              <w:t>,</w:t>
            </w:r>
            <w:r>
              <w:rPr>
                <w:rFonts w:ascii="Arial" w:hAnsi="Arial" w:cs="Arial"/>
                <w:b/>
                <w:bCs/>
                <w:color w:val="000000"/>
                <w:sz w:val="20"/>
              </w:rPr>
              <w:t>732</w:t>
            </w:r>
          </w:p>
        </w:tc>
        <w:tc>
          <w:tcPr>
            <w:tcW w:w="1538" w:type="dxa"/>
            <w:tcBorders>
              <w:top w:val="single" w:sz="4" w:space="0" w:color="auto"/>
            </w:tcBorders>
            <w:tcMar>
              <w:top w:w="28" w:type="dxa"/>
              <w:left w:w="108" w:type="dxa"/>
              <w:right w:w="108" w:type="dxa"/>
            </w:tcMar>
            <w:vAlign w:val="center"/>
          </w:tcPr>
          <w:p w14:paraId="7F0A94F6" w14:textId="38DBEF10" w:rsidR="009A6759" w:rsidRPr="00E70587" w:rsidRDefault="00F24A2B" w:rsidP="00366523">
            <w:pPr>
              <w:spacing w:line="280" w:lineRule="exact"/>
              <w:jc w:val="right"/>
              <w:rPr>
                <w:rFonts w:ascii="Arial" w:hAnsi="Arial" w:cs="Arial"/>
                <w:b/>
                <w:bCs/>
                <w:sz w:val="20"/>
              </w:rPr>
            </w:pPr>
            <w:r w:rsidRPr="00E70587">
              <w:rPr>
                <w:rFonts w:ascii="Arial" w:hAnsi="Arial" w:cs="Arial"/>
                <w:b/>
                <w:bCs/>
                <w:color w:val="000000"/>
                <w:sz w:val="20"/>
              </w:rPr>
              <w:t>1</w:t>
            </w:r>
            <w:r>
              <w:rPr>
                <w:rFonts w:ascii="Arial" w:hAnsi="Arial" w:cs="Arial"/>
                <w:b/>
                <w:bCs/>
                <w:color w:val="000000"/>
                <w:sz w:val="20"/>
              </w:rPr>
              <w:t>7</w:t>
            </w:r>
            <w:r w:rsidR="009A6759" w:rsidRPr="00E70587">
              <w:rPr>
                <w:rFonts w:ascii="Arial" w:hAnsi="Arial" w:cs="Arial"/>
                <w:b/>
                <w:bCs/>
                <w:color w:val="000000"/>
                <w:sz w:val="20"/>
              </w:rPr>
              <w:t>,</w:t>
            </w:r>
            <w:r>
              <w:rPr>
                <w:rFonts w:ascii="Arial" w:hAnsi="Arial" w:cs="Arial"/>
                <w:b/>
                <w:bCs/>
                <w:color w:val="000000"/>
                <w:sz w:val="20"/>
              </w:rPr>
              <w:t>332</w:t>
            </w:r>
          </w:p>
        </w:tc>
      </w:tr>
      <w:tr w:rsidR="009A6759" w:rsidRPr="00E70587" w14:paraId="1744FAD4" w14:textId="77777777" w:rsidTr="009A6759">
        <w:tc>
          <w:tcPr>
            <w:tcW w:w="6237" w:type="dxa"/>
            <w:tcMar>
              <w:top w:w="28" w:type="dxa"/>
              <w:left w:w="108" w:type="dxa"/>
              <w:right w:w="108" w:type="dxa"/>
            </w:tcMar>
            <w:vAlign w:val="center"/>
          </w:tcPr>
          <w:p w14:paraId="5A645508" w14:textId="77777777" w:rsidR="009A6759" w:rsidRPr="00E70587" w:rsidRDefault="009A6759" w:rsidP="009901E1">
            <w:pPr>
              <w:pStyle w:val="tabletext"/>
              <w:overflowPunct w:val="0"/>
              <w:autoSpaceDE w:val="0"/>
              <w:autoSpaceDN w:val="0"/>
              <w:adjustRightInd w:val="0"/>
              <w:spacing w:line="280" w:lineRule="exact"/>
              <w:textAlignment w:val="baseline"/>
              <w:rPr>
                <w:rFonts w:ascii="Arial" w:hAnsi="Arial" w:cs="Arial"/>
                <w:sz w:val="20"/>
                <w:lang w:val="en-IN"/>
              </w:rPr>
            </w:pPr>
          </w:p>
        </w:tc>
        <w:tc>
          <w:tcPr>
            <w:tcW w:w="1687" w:type="dxa"/>
            <w:tcMar>
              <w:top w:w="28" w:type="dxa"/>
              <w:left w:w="108" w:type="dxa"/>
              <w:right w:w="108" w:type="dxa"/>
            </w:tcMar>
            <w:vAlign w:val="center"/>
          </w:tcPr>
          <w:p w14:paraId="561EF1DE" w14:textId="77777777" w:rsidR="009A6759" w:rsidRPr="00E70587" w:rsidRDefault="009A6759" w:rsidP="00366523">
            <w:pPr>
              <w:pStyle w:val="tabletext"/>
              <w:overflowPunct w:val="0"/>
              <w:autoSpaceDE w:val="0"/>
              <w:autoSpaceDN w:val="0"/>
              <w:adjustRightInd w:val="0"/>
              <w:spacing w:line="280" w:lineRule="exact"/>
              <w:jc w:val="right"/>
              <w:textAlignment w:val="baseline"/>
              <w:rPr>
                <w:rFonts w:ascii="Arial" w:hAnsi="Arial" w:cs="Arial"/>
                <w:sz w:val="20"/>
                <w:lang w:val="en-IN"/>
              </w:rPr>
            </w:pPr>
          </w:p>
        </w:tc>
        <w:tc>
          <w:tcPr>
            <w:tcW w:w="1538" w:type="dxa"/>
            <w:tcMar>
              <w:top w:w="28" w:type="dxa"/>
              <w:left w:w="108" w:type="dxa"/>
              <w:right w:w="108" w:type="dxa"/>
            </w:tcMar>
            <w:vAlign w:val="center"/>
          </w:tcPr>
          <w:p w14:paraId="7C31A2F1" w14:textId="77777777" w:rsidR="009A6759" w:rsidRPr="00E70587" w:rsidRDefault="009A6759" w:rsidP="00366523">
            <w:pPr>
              <w:pStyle w:val="tabletext"/>
              <w:overflowPunct w:val="0"/>
              <w:autoSpaceDE w:val="0"/>
              <w:autoSpaceDN w:val="0"/>
              <w:adjustRightInd w:val="0"/>
              <w:spacing w:line="280" w:lineRule="exact"/>
              <w:jc w:val="right"/>
              <w:textAlignment w:val="baseline"/>
              <w:rPr>
                <w:rFonts w:ascii="Arial" w:hAnsi="Arial" w:cs="Arial"/>
                <w:sz w:val="20"/>
                <w:lang w:val="en-IN"/>
              </w:rPr>
            </w:pPr>
          </w:p>
        </w:tc>
      </w:tr>
      <w:tr w:rsidR="009A6759" w:rsidRPr="00E70587" w14:paraId="5FB3B864" w14:textId="77777777" w:rsidTr="009A6759">
        <w:tc>
          <w:tcPr>
            <w:tcW w:w="6237" w:type="dxa"/>
            <w:tcMar>
              <w:top w:w="28" w:type="dxa"/>
              <w:left w:w="108" w:type="dxa"/>
              <w:right w:w="108" w:type="dxa"/>
            </w:tcMar>
            <w:vAlign w:val="center"/>
          </w:tcPr>
          <w:p w14:paraId="4C57537B" w14:textId="77777777" w:rsidR="009A6759" w:rsidRPr="00E70587" w:rsidRDefault="009A6759" w:rsidP="000D1D6E">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Convertible preference shares (Note 14)</w:t>
            </w:r>
          </w:p>
        </w:tc>
        <w:tc>
          <w:tcPr>
            <w:tcW w:w="1687" w:type="dxa"/>
            <w:tcMar>
              <w:top w:w="28" w:type="dxa"/>
              <w:left w:w="108" w:type="dxa"/>
              <w:right w:w="108" w:type="dxa"/>
            </w:tcMar>
            <w:vAlign w:val="center"/>
          </w:tcPr>
          <w:p w14:paraId="4D2A85ED" w14:textId="77777777" w:rsidR="009A6759" w:rsidRPr="00E70587" w:rsidRDefault="009A6759" w:rsidP="00366523">
            <w:pPr>
              <w:spacing w:line="280" w:lineRule="exact"/>
              <w:jc w:val="right"/>
              <w:rPr>
                <w:rFonts w:ascii="Arial" w:hAnsi="Arial" w:cs="Arial"/>
                <w:sz w:val="20"/>
              </w:rPr>
            </w:pPr>
            <w:r w:rsidRPr="00E70587">
              <w:rPr>
                <w:rFonts w:ascii="Arial" w:hAnsi="Arial" w:cs="Arial"/>
                <w:color w:val="000000"/>
                <w:sz w:val="20"/>
              </w:rPr>
              <w:t>5,000</w:t>
            </w:r>
          </w:p>
        </w:tc>
        <w:tc>
          <w:tcPr>
            <w:tcW w:w="1538" w:type="dxa"/>
            <w:tcMar>
              <w:top w:w="28" w:type="dxa"/>
              <w:left w:w="108" w:type="dxa"/>
              <w:right w:w="108" w:type="dxa"/>
            </w:tcMar>
            <w:vAlign w:val="center"/>
          </w:tcPr>
          <w:p w14:paraId="7360B2AE" w14:textId="77777777" w:rsidR="009A6759" w:rsidRPr="00E70587" w:rsidRDefault="009A6759" w:rsidP="00366523">
            <w:pPr>
              <w:spacing w:line="280" w:lineRule="exact"/>
              <w:jc w:val="right"/>
              <w:rPr>
                <w:rFonts w:ascii="Arial" w:hAnsi="Arial" w:cs="Arial"/>
                <w:sz w:val="20"/>
              </w:rPr>
            </w:pPr>
            <w:r w:rsidRPr="00E70587">
              <w:rPr>
                <w:rFonts w:ascii="Arial" w:hAnsi="Arial" w:cs="Arial"/>
                <w:color w:val="000000"/>
                <w:sz w:val="20"/>
              </w:rPr>
              <w:t>4,759</w:t>
            </w:r>
          </w:p>
        </w:tc>
      </w:tr>
      <w:tr w:rsidR="009A6759" w:rsidRPr="00E70587" w14:paraId="296F3A84" w14:textId="77777777" w:rsidTr="009A6759">
        <w:tc>
          <w:tcPr>
            <w:tcW w:w="6237" w:type="dxa"/>
            <w:tcMar>
              <w:top w:w="28" w:type="dxa"/>
              <w:left w:w="108" w:type="dxa"/>
              <w:right w:w="108" w:type="dxa"/>
            </w:tcMar>
            <w:vAlign w:val="center"/>
          </w:tcPr>
          <w:p w14:paraId="0CB5C5D9" w14:textId="77777777" w:rsidR="009A6759" w:rsidRPr="00E70587" w:rsidRDefault="009A6759"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Equity</w:t>
            </w:r>
          </w:p>
        </w:tc>
        <w:tc>
          <w:tcPr>
            <w:tcW w:w="1687" w:type="dxa"/>
            <w:tcMar>
              <w:top w:w="28" w:type="dxa"/>
              <w:left w:w="108" w:type="dxa"/>
              <w:right w:w="108" w:type="dxa"/>
            </w:tcMar>
            <w:vAlign w:val="center"/>
          </w:tcPr>
          <w:p w14:paraId="3473D06D" w14:textId="65A9FCF7" w:rsidR="009A6759" w:rsidRPr="00E70587" w:rsidRDefault="009A6759" w:rsidP="00366523">
            <w:pPr>
              <w:spacing w:line="280" w:lineRule="exact"/>
              <w:jc w:val="right"/>
              <w:rPr>
                <w:rFonts w:ascii="Arial" w:hAnsi="Arial" w:cs="Arial"/>
                <w:sz w:val="20"/>
              </w:rPr>
            </w:pPr>
            <w:r w:rsidRPr="00E70587">
              <w:rPr>
                <w:rFonts w:ascii="Arial" w:hAnsi="Arial" w:cs="Arial"/>
                <w:color w:val="000000"/>
                <w:sz w:val="20"/>
              </w:rPr>
              <w:t>1,</w:t>
            </w:r>
            <w:r w:rsidR="004D306E" w:rsidRPr="00E70587">
              <w:rPr>
                <w:rFonts w:ascii="Arial" w:hAnsi="Arial" w:cs="Arial"/>
                <w:color w:val="000000"/>
                <w:sz w:val="20"/>
              </w:rPr>
              <w:t>1</w:t>
            </w:r>
            <w:r w:rsidR="004D306E">
              <w:rPr>
                <w:rFonts w:ascii="Arial" w:hAnsi="Arial" w:cs="Arial"/>
                <w:color w:val="000000"/>
                <w:sz w:val="20"/>
              </w:rPr>
              <w:t>2</w:t>
            </w:r>
            <w:r w:rsidRPr="00E70587">
              <w:rPr>
                <w:rFonts w:ascii="Arial" w:hAnsi="Arial" w:cs="Arial"/>
                <w:color w:val="000000"/>
                <w:sz w:val="20"/>
              </w:rPr>
              <w:t>,</w:t>
            </w:r>
            <w:r w:rsidR="007417F4">
              <w:rPr>
                <w:rFonts w:ascii="Arial" w:hAnsi="Arial" w:cs="Arial"/>
                <w:color w:val="000000"/>
                <w:sz w:val="20"/>
              </w:rPr>
              <w:t>364</w:t>
            </w:r>
          </w:p>
        </w:tc>
        <w:tc>
          <w:tcPr>
            <w:tcW w:w="1538" w:type="dxa"/>
            <w:tcMar>
              <w:top w:w="28" w:type="dxa"/>
              <w:left w:w="108" w:type="dxa"/>
              <w:right w:w="108" w:type="dxa"/>
            </w:tcMar>
            <w:vAlign w:val="center"/>
          </w:tcPr>
          <w:p w14:paraId="5A0FC115" w14:textId="4E559D51" w:rsidR="009A6759" w:rsidRPr="00E70587" w:rsidRDefault="00C60A2B" w:rsidP="00366523">
            <w:pPr>
              <w:spacing w:line="280" w:lineRule="exact"/>
              <w:jc w:val="right"/>
              <w:rPr>
                <w:rFonts w:ascii="Arial" w:hAnsi="Arial" w:cs="Arial"/>
                <w:sz w:val="20"/>
              </w:rPr>
            </w:pPr>
            <w:r w:rsidRPr="00E70587">
              <w:rPr>
                <w:rFonts w:ascii="Arial" w:hAnsi="Arial" w:cs="Arial"/>
                <w:color w:val="000000"/>
                <w:sz w:val="20"/>
              </w:rPr>
              <w:t>8</w:t>
            </w:r>
            <w:r>
              <w:rPr>
                <w:rFonts w:ascii="Arial" w:hAnsi="Arial" w:cs="Arial"/>
                <w:color w:val="000000"/>
                <w:sz w:val="20"/>
              </w:rPr>
              <w:t>4</w:t>
            </w:r>
            <w:r w:rsidR="009E7E23" w:rsidRPr="00E70587">
              <w:rPr>
                <w:rFonts w:ascii="Arial" w:hAnsi="Arial" w:cs="Arial"/>
                <w:color w:val="000000"/>
                <w:sz w:val="20"/>
              </w:rPr>
              <w:t>,</w:t>
            </w:r>
            <w:r>
              <w:rPr>
                <w:rFonts w:ascii="Arial" w:hAnsi="Arial" w:cs="Arial"/>
                <w:color w:val="000000"/>
                <w:sz w:val="20"/>
              </w:rPr>
              <w:t>833</w:t>
            </w:r>
          </w:p>
        </w:tc>
      </w:tr>
      <w:tr w:rsidR="009A6759" w:rsidRPr="00E70587" w14:paraId="15702FA3" w14:textId="77777777" w:rsidTr="009A6759">
        <w:tc>
          <w:tcPr>
            <w:tcW w:w="6237" w:type="dxa"/>
            <w:tcMar>
              <w:top w:w="28" w:type="dxa"/>
              <w:left w:w="108" w:type="dxa"/>
              <w:right w:w="108" w:type="dxa"/>
            </w:tcMar>
            <w:vAlign w:val="center"/>
          </w:tcPr>
          <w:p w14:paraId="2B24A568" w14:textId="77777777" w:rsidR="009A6759" w:rsidRPr="00E70587" w:rsidRDefault="009A6759"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Total capital</w:t>
            </w:r>
          </w:p>
        </w:tc>
        <w:tc>
          <w:tcPr>
            <w:tcW w:w="1687" w:type="dxa"/>
            <w:tcBorders>
              <w:bottom w:val="single" w:sz="4" w:space="0" w:color="auto"/>
            </w:tcBorders>
            <w:tcMar>
              <w:top w:w="28" w:type="dxa"/>
              <w:left w:w="108" w:type="dxa"/>
              <w:right w:w="108" w:type="dxa"/>
            </w:tcMar>
            <w:vAlign w:val="center"/>
          </w:tcPr>
          <w:p w14:paraId="37EA5D40" w14:textId="009C2538" w:rsidR="009A6759" w:rsidRPr="00E70587" w:rsidRDefault="009A6759" w:rsidP="00366523">
            <w:pPr>
              <w:spacing w:line="280" w:lineRule="exact"/>
              <w:jc w:val="right"/>
              <w:rPr>
                <w:rFonts w:ascii="Arial" w:hAnsi="Arial" w:cs="Arial"/>
                <w:sz w:val="20"/>
              </w:rPr>
            </w:pPr>
            <w:r w:rsidRPr="00E70587">
              <w:rPr>
                <w:rFonts w:ascii="Arial" w:hAnsi="Arial" w:cs="Arial"/>
                <w:color w:val="000000"/>
                <w:sz w:val="20"/>
              </w:rPr>
              <w:t>1,</w:t>
            </w:r>
            <w:r w:rsidR="004D306E" w:rsidRPr="00E70587">
              <w:rPr>
                <w:rFonts w:ascii="Arial" w:hAnsi="Arial" w:cs="Arial"/>
                <w:color w:val="000000"/>
                <w:sz w:val="20"/>
              </w:rPr>
              <w:t>1</w:t>
            </w:r>
            <w:r w:rsidR="004D306E">
              <w:rPr>
                <w:rFonts w:ascii="Arial" w:hAnsi="Arial" w:cs="Arial"/>
                <w:color w:val="000000"/>
                <w:sz w:val="20"/>
              </w:rPr>
              <w:t>7</w:t>
            </w:r>
            <w:r w:rsidR="009E7E23" w:rsidRPr="00E70587">
              <w:rPr>
                <w:rFonts w:ascii="Arial" w:hAnsi="Arial" w:cs="Arial"/>
                <w:color w:val="000000"/>
                <w:sz w:val="20"/>
              </w:rPr>
              <w:t>,</w:t>
            </w:r>
            <w:r w:rsidR="007417F4">
              <w:rPr>
                <w:rFonts w:ascii="Arial" w:hAnsi="Arial" w:cs="Arial"/>
                <w:color w:val="000000"/>
                <w:sz w:val="20"/>
              </w:rPr>
              <w:t>364</w:t>
            </w:r>
          </w:p>
        </w:tc>
        <w:tc>
          <w:tcPr>
            <w:tcW w:w="1538" w:type="dxa"/>
            <w:tcBorders>
              <w:bottom w:val="single" w:sz="4" w:space="0" w:color="auto"/>
            </w:tcBorders>
            <w:tcMar>
              <w:top w:w="28" w:type="dxa"/>
              <w:left w:w="108" w:type="dxa"/>
              <w:right w:w="108" w:type="dxa"/>
            </w:tcMar>
            <w:vAlign w:val="center"/>
          </w:tcPr>
          <w:p w14:paraId="35082B41" w14:textId="4E12F6E3" w:rsidR="009A6759" w:rsidRPr="00E70587" w:rsidRDefault="00AF53D3" w:rsidP="00366523">
            <w:pPr>
              <w:spacing w:line="280" w:lineRule="exact"/>
              <w:jc w:val="right"/>
              <w:rPr>
                <w:rFonts w:ascii="Arial" w:hAnsi="Arial" w:cs="Arial"/>
                <w:sz w:val="20"/>
              </w:rPr>
            </w:pPr>
            <w:r>
              <w:rPr>
                <w:rFonts w:ascii="Arial" w:hAnsi="Arial" w:cs="Arial"/>
                <w:color w:val="000000"/>
                <w:sz w:val="20"/>
              </w:rPr>
              <w:t>89</w:t>
            </w:r>
            <w:r w:rsidR="00B67AAE" w:rsidRPr="00E70587">
              <w:rPr>
                <w:rFonts w:ascii="Arial" w:hAnsi="Arial" w:cs="Arial"/>
                <w:color w:val="000000"/>
                <w:sz w:val="20"/>
              </w:rPr>
              <w:t>,</w:t>
            </w:r>
            <w:r>
              <w:rPr>
                <w:rFonts w:ascii="Arial" w:hAnsi="Arial" w:cs="Arial"/>
                <w:color w:val="000000"/>
                <w:sz w:val="20"/>
              </w:rPr>
              <w:t>592</w:t>
            </w:r>
          </w:p>
        </w:tc>
      </w:tr>
      <w:tr w:rsidR="009A6759" w:rsidRPr="00E70587" w14:paraId="542CE0D2" w14:textId="77777777" w:rsidTr="009A6759">
        <w:tc>
          <w:tcPr>
            <w:tcW w:w="6237" w:type="dxa"/>
            <w:tcMar>
              <w:top w:w="28" w:type="dxa"/>
              <w:left w:w="108" w:type="dxa"/>
              <w:right w:w="108" w:type="dxa"/>
            </w:tcMar>
            <w:vAlign w:val="center"/>
          </w:tcPr>
          <w:p w14:paraId="0BE03D96" w14:textId="77777777" w:rsidR="009A6759" w:rsidRPr="00E70587" w:rsidRDefault="009A6759" w:rsidP="009901E1">
            <w:pPr>
              <w:pStyle w:val="tabletext"/>
              <w:overflowPunct w:val="0"/>
              <w:autoSpaceDE w:val="0"/>
              <w:autoSpaceDN w:val="0"/>
              <w:adjustRightInd w:val="0"/>
              <w:spacing w:line="280" w:lineRule="exact"/>
              <w:textAlignment w:val="baseline"/>
              <w:rPr>
                <w:rFonts w:ascii="Arial" w:hAnsi="Arial" w:cs="Arial"/>
                <w:b/>
                <w:sz w:val="20"/>
                <w:lang w:val="en-IN"/>
              </w:rPr>
            </w:pPr>
            <w:r w:rsidRPr="00E70587">
              <w:rPr>
                <w:rFonts w:ascii="Arial" w:hAnsi="Arial" w:cs="Arial"/>
                <w:b/>
                <w:sz w:val="20"/>
                <w:lang w:val="en-IN"/>
              </w:rPr>
              <w:t>Capital and net debt</w:t>
            </w:r>
          </w:p>
        </w:tc>
        <w:tc>
          <w:tcPr>
            <w:tcW w:w="1687" w:type="dxa"/>
            <w:tcBorders>
              <w:top w:val="single" w:sz="4" w:space="0" w:color="auto"/>
              <w:bottom w:val="double" w:sz="4" w:space="0" w:color="auto"/>
            </w:tcBorders>
            <w:tcMar>
              <w:top w:w="28" w:type="dxa"/>
              <w:left w:w="108" w:type="dxa"/>
              <w:right w:w="108" w:type="dxa"/>
            </w:tcMar>
            <w:vAlign w:val="center"/>
          </w:tcPr>
          <w:p w14:paraId="34A74DE7" w14:textId="45A2D8DF" w:rsidR="009A6759" w:rsidRPr="00E70587" w:rsidRDefault="009A6759" w:rsidP="00366523">
            <w:pPr>
              <w:spacing w:line="280" w:lineRule="exact"/>
              <w:jc w:val="right"/>
              <w:rPr>
                <w:rFonts w:ascii="Arial" w:hAnsi="Arial" w:cs="Arial"/>
                <w:b/>
                <w:bCs/>
                <w:sz w:val="20"/>
              </w:rPr>
            </w:pPr>
            <w:r w:rsidRPr="00E70587">
              <w:rPr>
                <w:rFonts w:ascii="Arial" w:hAnsi="Arial" w:cs="Arial"/>
                <w:b/>
                <w:bCs/>
                <w:color w:val="000000"/>
                <w:sz w:val="20"/>
              </w:rPr>
              <w:t>1,</w:t>
            </w:r>
            <w:r w:rsidR="009E7E23" w:rsidRPr="00E70587">
              <w:rPr>
                <w:rFonts w:ascii="Arial" w:hAnsi="Arial" w:cs="Arial"/>
                <w:b/>
                <w:bCs/>
                <w:color w:val="000000"/>
                <w:sz w:val="20"/>
              </w:rPr>
              <w:t>3</w:t>
            </w:r>
            <w:r w:rsidR="00C603EE">
              <w:rPr>
                <w:rFonts w:ascii="Arial" w:hAnsi="Arial" w:cs="Arial"/>
                <w:b/>
                <w:bCs/>
                <w:color w:val="000000"/>
                <w:sz w:val="20"/>
              </w:rPr>
              <w:t>1</w:t>
            </w:r>
            <w:r w:rsidR="009E7E23" w:rsidRPr="00E70587">
              <w:rPr>
                <w:rFonts w:ascii="Arial" w:hAnsi="Arial" w:cs="Arial"/>
                <w:b/>
                <w:bCs/>
                <w:color w:val="000000"/>
                <w:sz w:val="20"/>
              </w:rPr>
              <w:t>,</w:t>
            </w:r>
            <w:r w:rsidR="007417F4">
              <w:rPr>
                <w:rFonts w:ascii="Arial" w:hAnsi="Arial" w:cs="Arial"/>
                <w:b/>
                <w:bCs/>
                <w:color w:val="000000"/>
                <w:sz w:val="20"/>
              </w:rPr>
              <w:t>096</w:t>
            </w:r>
          </w:p>
        </w:tc>
        <w:tc>
          <w:tcPr>
            <w:tcW w:w="1538" w:type="dxa"/>
            <w:tcBorders>
              <w:top w:val="single" w:sz="4" w:space="0" w:color="auto"/>
              <w:bottom w:val="double" w:sz="4" w:space="0" w:color="auto"/>
            </w:tcBorders>
            <w:tcMar>
              <w:top w:w="28" w:type="dxa"/>
              <w:left w:w="108" w:type="dxa"/>
              <w:right w:w="108" w:type="dxa"/>
            </w:tcMar>
            <w:vAlign w:val="center"/>
          </w:tcPr>
          <w:p w14:paraId="1164696B" w14:textId="29384162" w:rsidR="009A6759" w:rsidRPr="00E70587" w:rsidRDefault="009A6759" w:rsidP="00B67AAE">
            <w:pPr>
              <w:spacing w:line="280" w:lineRule="exact"/>
              <w:jc w:val="right"/>
              <w:rPr>
                <w:rFonts w:ascii="Arial" w:hAnsi="Arial" w:cs="Arial"/>
                <w:b/>
                <w:bCs/>
                <w:sz w:val="20"/>
              </w:rPr>
            </w:pPr>
            <w:r w:rsidRPr="00E70587">
              <w:rPr>
                <w:rFonts w:ascii="Arial" w:hAnsi="Arial" w:cs="Arial"/>
                <w:b/>
                <w:bCs/>
                <w:color w:val="000000"/>
                <w:sz w:val="20"/>
              </w:rPr>
              <w:t>1,</w:t>
            </w:r>
            <w:r w:rsidR="008F7B27" w:rsidRPr="00E70587">
              <w:rPr>
                <w:rFonts w:ascii="Arial" w:hAnsi="Arial" w:cs="Arial"/>
                <w:b/>
                <w:bCs/>
                <w:color w:val="000000"/>
                <w:sz w:val="20"/>
              </w:rPr>
              <w:t>0</w:t>
            </w:r>
            <w:r w:rsidR="00AF53D3">
              <w:rPr>
                <w:rFonts w:ascii="Arial" w:hAnsi="Arial" w:cs="Arial"/>
                <w:b/>
                <w:bCs/>
                <w:color w:val="000000"/>
                <w:sz w:val="20"/>
              </w:rPr>
              <w:t>6,924</w:t>
            </w:r>
          </w:p>
        </w:tc>
      </w:tr>
      <w:tr w:rsidR="009A6759" w:rsidRPr="00E70587" w14:paraId="68DD33C6" w14:textId="77777777" w:rsidTr="009A6759">
        <w:tc>
          <w:tcPr>
            <w:tcW w:w="6237" w:type="dxa"/>
            <w:tcMar>
              <w:top w:w="28" w:type="dxa"/>
              <w:left w:w="108" w:type="dxa"/>
              <w:right w:w="108" w:type="dxa"/>
            </w:tcMar>
            <w:vAlign w:val="center"/>
          </w:tcPr>
          <w:p w14:paraId="58B9C5E8" w14:textId="77777777" w:rsidR="009A6759" w:rsidRPr="00E70587" w:rsidRDefault="009A6759" w:rsidP="009901E1">
            <w:pPr>
              <w:pStyle w:val="tabletext"/>
              <w:overflowPunct w:val="0"/>
              <w:autoSpaceDE w:val="0"/>
              <w:autoSpaceDN w:val="0"/>
              <w:adjustRightInd w:val="0"/>
              <w:spacing w:line="280" w:lineRule="exact"/>
              <w:textAlignment w:val="baseline"/>
              <w:rPr>
                <w:rFonts w:ascii="Arial" w:hAnsi="Arial" w:cs="Arial"/>
                <w:sz w:val="20"/>
                <w:lang w:val="en-IN"/>
              </w:rPr>
            </w:pPr>
            <w:r w:rsidRPr="00E70587">
              <w:rPr>
                <w:rFonts w:ascii="Arial" w:hAnsi="Arial" w:cs="Arial"/>
                <w:sz w:val="20"/>
                <w:lang w:val="en-IN"/>
              </w:rPr>
              <w:t>Gearing ratio</w:t>
            </w:r>
          </w:p>
        </w:tc>
        <w:tc>
          <w:tcPr>
            <w:tcW w:w="1687" w:type="dxa"/>
            <w:tcBorders>
              <w:top w:val="double" w:sz="4" w:space="0" w:color="auto"/>
            </w:tcBorders>
            <w:tcMar>
              <w:top w:w="28" w:type="dxa"/>
              <w:left w:w="108" w:type="dxa"/>
              <w:right w:w="108" w:type="dxa"/>
            </w:tcMar>
            <w:vAlign w:val="center"/>
          </w:tcPr>
          <w:p w14:paraId="69EA4B84" w14:textId="6D353EE3" w:rsidR="009A6759" w:rsidRPr="00E70587" w:rsidRDefault="008F7B27" w:rsidP="00366523">
            <w:pPr>
              <w:spacing w:line="280" w:lineRule="exact"/>
              <w:jc w:val="right"/>
              <w:rPr>
                <w:rFonts w:ascii="Arial" w:hAnsi="Arial" w:cs="Arial"/>
                <w:sz w:val="20"/>
              </w:rPr>
            </w:pPr>
            <w:r>
              <w:rPr>
                <w:rFonts w:ascii="Arial" w:hAnsi="Arial" w:cs="Arial"/>
                <w:color w:val="000000"/>
                <w:sz w:val="20"/>
              </w:rPr>
              <w:t>10</w:t>
            </w:r>
            <w:r w:rsidR="009A6759" w:rsidRPr="00E70587">
              <w:rPr>
                <w:rFonts w:ascii="Arial" w:hAnsi="Arial" w:cs="Arial"/>
                <w:color w:val="000000"/>
                <w:sz w:val="20"/>
              </w:rPr>
              <w:t>.</w:t>
            </w:r>
            <w:r w:rsidR="00C603EE">
              <w:rPr>
                <w:rFonts w:ascii="Arial" w:hAnsi="Arial" w:cs="Arial"/>
                <w:color w:val="000000"/>
                <w:sz w:val="20"/>
              </w:rPr>
              <w:t>47</w:t>
            </w:r>
            <w:r w:rsidR="009A6759" w:rsidRPr="00E70587">
              <w:rPr>
                <w:rFonts w:ascii="Arial" w:hAnsi="Arial" w:cs="Arial"/>
                <w:color w:val="000000"/>
                <w:sz w:val="20"/>
              </w:rPr>
              <w:t>%</w:t>
            </w:r>
          </w:p>
        </w:tc>
        <w:tc>
          <w:tcPr>
            <w:tcW w:w="1538" w:type="dxa"/>
            <w:tcBorders>
              <w:top w:val="double" w:sz="4" w:space="0" w:color="auto"/>
            </w:tcBorders>
            <w:tcMar>
              <w:top w:w="28" w:type="dxa"/>
              <w:left w:w="108" w:type="dxa"/>
              <w:right w:w="108" w:type="dxa"/>
            </w:tcMar>
            <w:vAlign w:val="center"/>
          </w:tcPr>
          <w:p w14:paraId="5C5FF8EB" w14:textId="420DFA68" w:rsidR="009A6759" w:rsidRPr="00E70587" w:rsidRDefault="008F7B27" w:rsidP="00366523">
            <w:pPr>
              <w:spacing w:line="280" w:lineRule="exact"/>
              <w:jc w:val="right"/>
              <w:rPr>
                <w:rFonts w:ascii="Arial" w:hAnsi="Arial" w:cs="Arial"/>
                <w:sz w:val="20"/>
              </w:rPr>
            </w:pPr>
            <w:r w:rsidRPr="00E70587">
              <w:rPr>
                <w:rFonts w:ascii="Arial" w:hAnsi="Arial" w:cs="Arial"/>
                <w:color w:val="000000"/>
                <w:sz w:val="20"/>
              </w:rPr>
              <w:t>1</w:t>
            </w:r>
            <w:r>
              <w:rPr>
                <w:rFonts w:ascii="Arial" w:hAnsi="Arial" w:cs="Arial"/>
                <w:color w:val="000000"/>
                <w:sz w:val="20"/>
              </w:rPr>
              <w:t>6</w:t>
            </w:r>
            <w:r w:rsidR="009A6759" w:rsidRPr="00E70587">
              <w:rPr>
                <w:rFonts w:ascii="Arial" w:hAnsi="Arial" w:cs="Arial"/>
                <w:color w:val="000000"/>
                <w:sz w:val="20"/>
              </w:rPr>
              <w:t>.</w:t>
            </w:r>
            <w:r w:rsidR="00AF53D3">
              <w:rPr>
                <w:rFonts w:ascii="Arial" w:hAnsi="Arial" w:cs="Arial"/>
                <w:color w:val="000000"/>
                <w:sz w:val="20"/>
              </w:rPr>
              <w:t>21</w:t>
            </w:r>
            <w:r w:rsidR="009A6759" w:rsidRPr="00E70587">
              <w:rPr>
                <w:rFonts w:ascii="Arial" w:hAnsi="Arial" w:cs="Arial"/>
                <w:color w:val="000000"/>
                <w:sz w:val="20"/>
              </w:rPr>
              <w:t>%</w:t>
            </w:r>
          </w:p>
        </w:tc>
      </w:tr>
    </w:tbl>
    <w:p w14:paraId="09181C0F" w14:textId="77777777" w:rsidR="00DF5C15" w:rsidRPr="00E70587" w:rsidRDefault="00DF5C15" w:rsidP="00FB79D5">
      <w:pPr>
        <w:pStyle w:val="IAStext"/>
        <w:spacing w:line="280" w:lineRule="exact"/>
        <w:jc w:val="both"/>
        <w:rPr>
          <w:rFonts w:ascii="Arial" w:hAnsi="Arial" w:cs="Arial"/>
          <w:i w:val="0"/>
          <w:sz w:val="20"/>
          <w:lang w:val="en-IN"/>
        </w:rPr>
      </w:pPr>
    </w:p>
    <w:tbl>
      <w:tblPr>
        <w:tblW w:w="9576" w:type="dxa"/>
        <w:tblLook w:val="0000" w:firstRow="0" w:lastRow="0" w:firstColumn="0" w:lastColumn="0" w:noHBand="0" w:noVBand="0"/>
      </w:tblPr>
      <w:tblGrid>
        <w:gridCol w:w="9576"/>
      </w:tblGrid>
      <w:tr w:rsidR="0086091A" w:rsidRPr="00E70587" w14:paraId="44AD0E0F" w14:textId="77777777" w:rsidTr="00834981">
        <w:tc>
          <w:tcPr>
            <w:tcW w:w="0" w:type="auto"/>
          </w:tcPr>
          <w:p w14:paraId="7CF918DA" w14:textId="77777777" w:rsidR="0086091A" w:rsidRPr="00E70587" w:rsidRDefault="0086091A" w:rsidP="00FB79D5">
            <w:pPr>
              <w:pStyle w:val="IAStext"/>
              <w:spacing w:line="280" w:lineRule="exact"/>
              <w:jc w:val="both"/>
              <w:rPr>
                <w:rFonts w:ascii="Arial" w:hAnsi="Arial" w:cs="Arial"/>
                <w:i w:val="0"/>
                <w:sz w:val="20"/>
                <w:lang w:val="en-IN"/>
              </w:rPr>
            </w:pPr>
            <w:r w:rsidRPr="00E70587">
              <w:rPr>
                <w:rFonts w:ascii="Arial" w:hAnsi="Arial" w:cs="Arial"/>
                <w:i w:val="0"/>
                <w:sz w:val="20"/>
                <w:lang w:val="en-IN"/>
              </w:rPr>
              <w:t>In order to achieve this overall objective, the Group’s capital management, amongst other things, aims to ensure that it meets financial covenants attached to the borrowings that define capital structure requirements. Breaches in meeting the financial covenants would permit the bank to immediately call loans and borrowings. There have been no breaches in the financial covenants of any borrowing in the current period.</w:t>
            </w:r>
            <w:r w:rsidR="00950163" w:rsidRPr="00E70587">
              <w:rPr>
                <w:rFonts w:ascii="Arial" w:hAnsi="Arial" w:cs="Arial"/>
                <w:i w:val="0"/>
                <w:sz w:val="20"/>
                <w:lang w:val="en-IN"/>
              </w:rPr>
              <w:t xml:space="preserve"> </w:t>
            </w:r>
          </w:p>
          <w:p w14:paraId="7B3B663E" w14:textId="77777777" w:rsidR="0086091A" w:rsidRPr="00E70587" w:rsidRDefault="0086091A" w:rsidP="00FB79D5">
            <w:pPr>
              <w:pStyle w:val="IAStext"/>
              <w:spacing w:line="280" w:lineRule="exact"/>
              <w:jc w:val="both"/>
              <w:rPr>
                <w:rFonts w:ascii="Arial" w:hAnsi="Arial" w:cs="Arial"/>
                <w:i w:val="0"/>
                <w:sz w:val="20"/>
                <w:lang w:val="en-IN"/>
              </w:rPr>
            </w:pPr>
          </w:p>
          <w:p w14:paraId="30CE4CE3" w14:textId="535BED8B" w:rsidR="0086091A" w:rsidRPr="00E70587" w:rsidRDefault="0086091A" w:rsidP="00FB79D5">
            <w:pPr>
              <w:pStyle w:val="IAStext"/>
              <w:spacing w:line="280" w:lineRule="exact"/>
              <w:jc w:val="both"/>
              <w:rPr>
                <w:rFonts w:ascii="Arial" w:hAnsi="Arial" w:cs="Arial"/>
                <w:i w:val="0"/>
                <w:sz w:val="20"/>
                <w:lang w:val="en-IN"/>
              </w:rPr>
            </w:pPr>
            <w:r w:rsidRPr="00E70587">
              <w:rPr>
                <w:rFonts w:ascii="Arial" w:hAnsi="Arial" w:cs="Arial"/>
                <w:i w:val="0"/>
                <w:sz w:val="20"/>
                <w:lang w:val="en-IN"/>
              </w:rPr>
              <w:t>No changes were made in the objectives, policies or processes for managing capital during the years ended</w:t>
            </w:r>
            <w:r w:rsidR="0037503C" w:rsidRPr="00E70587">
              <w:rPr>
                <w:rFonts w:ascii="Arial" w:hAnsi="Arial" w:cs="Arial"/>
                <w:i w:val="0"/>
                <w:sz w:val="20"/>
                <w:lang w:val="en-IN"/>
              </w:rPr>
              <w:t xml:space="preserve"> </w:t>
            </w:r>
            <w:r w:rsidRPr="00E70587">
              <w:rPr>
                <w:rFonts w:ascii="Arial" w:hAnsi="Arial" w:cs="Arial"/>
                <w:i w:val="0"/>
                <w:sz w:val="20"/>
                <w:lang w:val="en-IN"/>
              </w:rPr>
              <w:t xml:space="preserve">31 </w:t>
            </w:r>
            <w:r w:rsidR="00E1202D" w:rsidRPr="00E70587">
              <w:rPr>
                <w:rFonts w:ascii="Arial" w:hAnsi="Arial" w:cs="Arial"/>
                <w:i w:val="0"/>
                <w:sz w:val="20"/>
                <w:lang w:val="en-IN"/>
              </w:rPr>
              <w:t xml:space="preserve">March </w:t>
            </w:r>
            <w:r w:rsidR="00A83A95" w:rsidRPr="00E70587">
              <w:rPr>
                <w:rFonts w:ascii="Arial" w:hAnsi="Arial" w:cs="Arial"/>
                <w:i w:val="0"/>
                <w:sz w:val="20"/>
                <w:lang w:val="en-IN"/>
              </w:rPr>
              <w:t>20</w:t>
            </w:r>
            <w:r w:rsidR="00A83A95">
              <w:rPr>
                <w:rFonts w:ascii="Arial" w:hAnsi="Arial" w:cs="Arial"/>
                <w:i w:val="0"/>
                <w:sz w:val="20"/>
                <w:lang w:val="en-IN"/>
              </w:rPr>
              <w:t>21</w:t>
            </w:r>
            <w:r w:rsidR="00A83A95" w:rsidRPr="00E70587">
              <w:rPr>
                <w:rFonts w:ascii="Arial" w:hAnsi="Arial" w:cs="Arial"/>
                <w:i w:val="0"/>
                <w:sz w:val="20"/>
                <w:lang w:val="en-IN"/>
              </w:rPr>
              <w:t xml:space="preserve"> </w:t>
            </w:r>
            <w:r w:rsidRPr="00E70587">
              <w:rPr>
                <w:rFonts w:ascii="Arial" w:hAnsi="Arial" w:cs="Arial"/>
                <w:i w:val="0"/>
                <w:sz w:val="20"/>
                <w:lang w:val="en-IN"/>
              </w:rPr>
              <w:t xml:space="preserve">and 31 </w:t>
            </w:r>
            <w:r w:rsidR="00BE3490" w:rsidRPr="00E70587">
              <w:rPr>
                <w:rFonts w:ascii="Arial" w:hAnsi="Arial" w:cs="Arial"/>
                <w:i w:val="0"/>
                <w:sz w:val="20"/>
                <w:lang w:val="en-IN"/>
              </w:rPr>
              <w:t xml:space="preserve">March </w:t>
            </w:r>
            <w:r w:rsidR="00A83A95" w:rsidRPr="00E70587">
              <w:rPr>
                <w:rFonts w:ascii="Arial" w:hAnsi="Arial" w:cs="Arial"/>
                <w:i w:val="0"/>
                <w:sz w:val="20"/>
                <w:lang w:val="en-IN"/>
              </w:rPr>
              <w:t>20</w:t>
            </w:r>
            <w:r w:rsidR="00A83A95">
              <w:rPr>
                <w:rFonts w:ascii="Arial" w:hAnsi="Arial" w:cs="Arial"/>
                <w:i w:val="0"/>
                <w:sz w:val="20"/>
                <w:lang w:val="en-IN"/>
              </w:rPr>
              <w:t>20</w:t>
            </w:r>
            <w:r w:rsidRPr="00E70587">
              <w:rPr>
                <w:rFonts w:ascii="Arial" w:hAnsi="Arial" w:cs="Arial"/>
                <w:i w:val="0"/>
                <w:sz w:val="20"/>
                <w:lang w:val="en-IN"/>
              </w:rPr>
              <w:t>.</w:t>
            </w:r>
          </w:p>
          <w:p w14:paraId="6C4B81F4" w14:textId="77777777" w:rsidR="0086091A" w:rsidRDefault="0086091A" w:rsidP="00FB79D5">
            <w:pPr>
              <w:pStyle w:val="IAStext"/>
              <w:spacing w:line="280" w:lineRule="exact"/>
              <w:jc w:val="both"/>
              <w:rPr>
                <w:rFonts w:ascii="Arial" w:hAnsi="Arial"/>
                <w:sz w:val="20"/>
                <w:lang w:val="en-IN"/>
              </w:rPr>
            </w:pPr>
          </w:p>
          <w:p w14:paraId="33F6026D" w14:textId="164D05CE" w:rsidR="00EC45D6" w:rsidRPr="00EC45D6" w:rsidRDefault="00EC45D6" w:rsidP="00EC45D6">
            <w:pPr>
              <w:shd w:val="clear" w:color="auto" w:fill="C1C1C1" w:themeFill="background1" w:themeFillTint="66"/>
              <w:rPr>
                <w:rFonts w:ascii="Arial" w:hAnsi="Arial" w:cs="Arial"/>
                <w:b/>
                <w:bCs/>
                <w:sz w:val="20"/>
                <w:szCs w:val="22"/>
              </w:rPr>
            </w:pPr>
            <w:r w:rsidRPr="00EC45D6">
              <w:rPr>
                <w:rFonts w:ascii="Arial" w:hAnsi="Arial" w:cs="Arial"/>
                <w:b/>
                <w:bCs/>
                <w:sz w:val="20"/>
                <w:szCs w:val="22"/>
              </w:rPr>
              <w:t>Author’s Note</w:t>
            </w:r>
          </w:p>
          <w:p w14:paraId="23E46D5B" w14:textId="77777777" w:rsidR="00EC45D6" w:rsidRPr="00EC45D6" w:rsidRDefault="00EC45D6" w:rsidP="00EC45D6">
            <w:pPr>
              <w:shd w:val="clear" w:color="auto" w:fill="C1C1C1" w:themeFill="background1" w:themeFillTint="66"/>
              <w:rPr>
                <w:rFonts w:ascii="Arial" w:hAnsi="Arial" w:cs="Arial"/>
                <w:sz w:val="20"/>
                <w:szCs w:val="22"/>
              </w:rPr>
            </w:pPr>
          </w:p>
          <w:p w14:paraId="7FC7DF2B" w14:textId="46F78319" w:rsidR="00EC45D6" w:rsidRDefault="00EC45D6" w:rsidP="00EC45D6">
            <w:pPr>
              <w:shd w:val="clear" w:color="auto" w:fill="C1C1C1" w:themeFill="background1" w:themeFillTint="66"/>
              <w:rPr>
                <w:rFonts w:ascii="Arial" w:hAnsi="Arial" w:cs="Arial"/>
                <w:sz w:val="20"/>
                <w:szCs w:val="22"/>
              </w:rPr>
            </w:pPr>
            <w:r w:rsidRPr="00EC45D6">
              <w:rPr>
                <w:rFonts w:ascii="Arial" w:hAnsi="Arial" w:cs="Arial"/>
                <w:sz w:val="20"/>
                <w:szCs w:val="22"/>
              </w:rPr>
              <w:t>Ind AS 1.134 and Ind AS 1.135 require entities to make qualitative and quantitative disclosures regarding their objectives policies and processes for managing capital. The Group has disclosed a gearing ratio as this is the measure it uses to monitor capital. The Group considers both capital and net debt as relevant components of funding and, hence, part of its capital management. However, other measures or a different type of gearing ratio may be more suitable for other entities.</w:t>
            </w:r>
          </w:p>
          <w:p w14:paraId="206D30E6" w14:textId="77777777" w:rsidR="00EC45D6" w:rsidRPr="00EC45D6" w:rsidRDefault="00EC45D6" w:rsidP="00EC45D6">
            <w:pPr>
              <w:shd w:val="clear" w:color="auto" w:fill="C1C1C1" w:themeFill="background1" w:themeFillTint="66"/>
              <w:rPr>
                <w:rFonts w:ascii="Arial" w:hAnsi="Arial" w:cs="Arial"/>
                <w:sz w:val="20"/>
                <w:szCs w:val="22"/>
              </w:rPr>
            </w:pPr>
          </w:p>
          <w:p w14:paraId="5BB4ED8F" w14:textId="17F9A0BA" w:rsidR="00EC45D6" w:rsidRDefault="00EC45D6" w:rsidP="00EC45D6">
            <w:pPr>
              <w:shd w:val="clear" w:color="auto" w:fill="C1C1C1" w:themeFill="background1" w:themeFillTint="66"/>
              <w:rPr>
                <w:rFonts w:ascii="Arial" w:hAnsi="Arial" w:cs="Arial"/>
                <w:sz w:val="20"/>
                <w:szCs w:val="22"/>
              </w:rPr>
            </w:pPr>
            <w:r w:rsidRPr="00EC45D6">
              <w:rPr>
                <w:rFonts w:ascii="Arial" w:hAnsi="Arial" w:cs="Arial"/>
                <w:sz w:val="20"/>
                <w:szCs w:val="22"/>
              </w:rPr>
              <w:lastRenderedPageBreak/>
              <w:t>Ind AS 107.18-19 requires disclosures in the event of a default or breaches as at the end of a reporting period and during the year. Although there are no explicit requirements addressing the opposite situation, the Group has disclosed the restriction on capital represented by financial covenants as it considers it relevant information to the users of the financial statements. The Group did not provide additional information on its debt covenants because the likelihood of the breach occurring is remote.</w:t>
            </w:r>
          </w:p>
          <w:p w14:paraId="5E97C9BF" w14:textId="77777777" w:rsidR="00EC45D6" w:rsidRPr="00EC45D6" w:rsidRDefault="00EC45D6" w:rsidP="00EC45D6">
            <w:pPr>
              <w:shd w:val="clear" w:color="auto" w:fill="C1C1C1" w:themeFill="background1" w:themeFillTint="66"/>
              <w:rPr>
                <w:rFonts w:ascii="Arial" w:hAnsi="Arial" w:cs="Arial"/>
                <w:sz w:val="20"/>
                <w:szCs w:val="22"/>
              </w:rPr>
            </w:pPr>
          </w:p>
          <w:p w14:paraId="75687DBF" w14:textId="27C56B5F" w:rsidR="00EC45D6" w:rsidRPr="00EC45D6" w:rsidRDefault="00EC45D6" w:rsidP="00EC45D6"/>
        </w:tc>
      </w:tr>
      <w:tr w:rsidR="00595CD0" w:rsidRPr="005F4334" w14:paraId="1C5F9474" w14:textId="77777777" w:rsidTr="005F4334">
        <w:tblPrEx>
          <w:tblCellMar>
            <w:left w:w="57" w:type="dxa"/>
            <w:right w:w="57" w:type="dxa"/>
          </w:tblCellMar>
        </w:tblPrEx>
        <w:tc>
          <w:tcPr>
            <w:tcW w:w="9450" w:type="dxa"/>
            <w:shd w:val="clear" w:color="auto" w:fill="auto"/>
          </w:tcPr>
          <w:p w14:paraId="015105FE" w14:textId="77777777" w:rsidR="00595CD0" w:rsidRPr="005F4334" w:rsidRDefault="00595CD0" w:rsidP="005F4334">
            <w:pPr>
              <w:pStyle w:val="ViralheadingL2"/>
              <w:keepNext w:val="0"/>
              <w:numPr>
                <w:ilvl w:val="0"/>
                <w:numId w:val="8"/>
              </w:numPr>
              <w:spacing w:before="0" w:after="0" w:line="280" w:lineRule="exact"/>
              <w:ind w:left="720" w:hanging="720"/>
              <w:rPr>
                <w:rFonts w:ascii="Arial" w:hAnsi="Arial" w:cs="Arial"/>
                <w:sz w:val="19"/>
                <w:szCs w:val="19"/>
              </w:rPr>
            </w:pPr>
            <w:bookmarkStart w:id="25" w:name="_Toc511413633"/>
            <w:r w:rsidRPr="005F4334">
              <w:rPr>
                <w:rFonts w:ascii="Arial" w:hAnsi="Arial" w:cs="Arial"/>
                <w:sz w:val="19"/>
                <w:szCs w:val="19"/>
              </w:rPr>
              <w:lastRenderedPageBreak/>
              <w:t>Events after the reporting period</w:t>
            </w:r>
            <w:bookmarkEnd w:id="25"/>
          </w:p>
        </w:tc>
      </w:tr>
      <w:tr w:rsidR="00595CD0" w:rsidRPr="005F4334" w14:paraId="2FD87B90" w14:textId="77777777" w:rsidTr="005F4334">
        <w:tblPrEx>
          <w:tblCellMar>
            <w:left w:w="57" w:type="dxa"/>
            <w:right w:w="57" w:type="dxa"/>
          </w:tblCellMar>
        </w:tblPrEx>
        <w:tc>
          <w:tcPr>
            <w:tcW w:w="9450" w:type="dxa"/>
            <w:shd w:val="clear" w:color="auto" w:fill="auto"/>
          </w:tcPr>
          <w:p w14:paraId="4B45D9FA" w14:textId="383FE308" w:rsidR="00595CD0" w:rsidRPr="005F4334" w:rsidRDefault="00595CD0" w:rsidP="001F5669">
            <w:pPr>
              <w:spacing w:line="240" w:lineRule="atLeast"/>
              <w:rPr>
                <w:rFonts w:ascii="Arial" w:hAnsi="Arial" w:cs="Arial"/>
                <w:sz w:val="19"/>
                <w:szCs w:val="19"/>
              </w:rPr>
            </w:pPr>
            <w:r w:rsidRPr="005F4334">
              <w:rPr>
                <w:rFonts w:ascii="Arial" w:hAnsi="Arial" w:cs="Arial"/>
                <w:sz w:val="19"/>
                <w:szCs w:val="19"/>
              </w:rPr>
              <w:t xml:space="preserve">On 15 May </w:t>
            </w:r>
            <w:r w:rsidR="00642FE1" w:rsidRPr="005F4334">
              <w:rPr>
                <w:rFonts w:ascii="Arial" w:hAnsi="Arial" w:cs="Arial"/>
                <w:sz w:val="19"/>
                <w:szCs w:val="19"/>
              </w:rPr>
              <w:t>20</w:t>
            </w:r>
            <w:r w:rsidR="00642FE1">
              <w:rPr>
                <w:rFonts w:ascii="Arial" w:hAnsi="Arial" w:cs="Arial"/>
                <w:sz w:val="19"/>
                <w:szCs w:val="19"/>
              </w:rPr>
              <w:t>21</w:t>
            </w:r>
            <w:r w:rsidRPr="005F4334">
              <w:rPr>
                <w:rFonts w:ascii="Arial" w:hAnsi="Arial" w:cs="Arial"/>
                <w:sz w:val="19"/>
                <w:szCs w:val="19"/>
              </w:rPr>
              <w:t>, a buildin</w:t>
            </w:r>
            <w:r w:rsidR="00C72ACE" w:rsidRPr="005F4334">
              <w:rPr>
                <w:rFonts w:ascii="Arial" w:hAnsi="Arial" w:cs="Arial"/>
                <w:sz w:val="19"/>
                <w:szCs w:val="19"/>
              </w:rPr>
              <w:t>g with a net book value of INR 4</w:t>
            </w:r>
            <w:r w:rsidRPr="005F4334">
              <w:rPr>
                <w:rFonts w:ascii="Arial" w:hAnsi="Arial" w:cs="Arial"/>
                <w:sz w:val="19"/>
                <w:szCs w:val="19"/>
              </w:rPr>
              <w:t>,018 lacs was severely damaged by flooding and inventories w</w:t>
            </w:r>
            <w:r w:rsidR="00C72ACE" w:rsidRPr="005F4334">
              <w:rPr>
                <w:rFonts w:ascii="Arial" w:hAnsi="Arial" w:cs="Arial"/>
                <w:sz w:val="19"/>
                <w:szCs w:val="19"/>
              </w:rPr>
              <w:t>ith a net book value of INR 2,06</w:t>
            </w:r>
            <w:r w:rsidRPr="005F4334">
              <w:rPr>
                <w:rFonts w:ascii="Arial" w:hAnsi="Arial" w:cs="Arial"/>
                <w:sz w:val="19"/>
                <w:szCs w:val="19"/>
              </w:rPr>
              <w:t>7 lacs were destroyed. It is expected that insurance proceeds will fall short of the costs of rebuilding and loss of inventories by INR 1,900 lacs.</w:t>
            </w:r>
          </w:p>
          <w:p w14:paraId="19CEDBF1" w14:textId="77777777" w:rsidR="001F5669" w:rsidRPr="005F4334" w:rsidRDefault="001F5669" w:rsidP="001F5669">
            <w:pPr>
              <w:spacing w:line="240" w:lineRule="atLeast"/>
              <w:rPr>
                <w:rFonts w:ascii="Arial" w:hAnsi="Arial" w:cs="Arial"/>
                <w:sz w:val="19"/>
                <w:szCs w:val="19"/>
              </w:rPr>
            </w:pPr>
          </w:p>
        </w:tc>
      </w:tr>
      <w:tr w:rsidR="00595CD0" w:rsidRPr="005F4334" w14:paraId="3BEB2030" w14:textId="77777777" w:rsidTr="005F4334">
        <w:tblPrEx>
          <w:tblCellMar>
            <w:left w:w="57" w:type="dxa"/>
            <w:right w:w="57" w:type="dxa"/>
          </w:tblCellMar>
        </w:tblPrEx>
        <w:tc>
          <w:tcPr>
            <w:tcW w:w="9450" w:type="dxa"/>
            <w:shd w:val="clear" w:color="auto" w:fill="auto"/>
          </w:tcPr>
          <w:p w14:paraId="5124216F" w14:textId="77777777" w:rsidR="00595CD0" w:rsidRDefault="00595CD0" w:rsidP="001F5669">
            <w:pPr>
              <w:spacing w:line="240" w:lineRule="atLeast"/>
              <w:rPr>
                <w:rFonts w:ascii="Arial" w:hAnsi="Arial" w:cs="Arial"/>
                <w:sz w:val="19"/>
                <w:szCs w:val="19"/>
              </w:rPr>
            </w:pPr>
            <w:r w:rsidRPr="005F4334">
              <w:rPr>
                <w:rFonts w:ascii="Arial" w:hAnsi="Arial" w:cs="Arial"/>
                <w:sz w:val="19"/>
                <w:szCs w:val="19"/>
              </w:rPr>
              <w:t>The board of directors have proposed dividend after the balance sheet date which are subject to approval by the shareholders at the annual general meeting. Refer note 13 for details.</w:t>
            </w:r>
          </w:p>
          <w:p w14:paraId="3C5828EF" w14:textId="77777777" w:rsidR="00170B16" w:rsidRDefault="00170B16" w:rsidP="001F5669">
            <w:pPr>
              <w:spacing w:line="240" w:lineRule="atLeast"/>
              <w:rPr>
                <w:rFonts w:ascii="Arial" w:hAnsi="Arial" w:cs="Arial"/>
                <w:sz w:val="19"/>
                <w:szCs w:val="19"/>
              </w:rPr>
            </w:pPr>
          </w:p>
          <w:p w14:paraId="624FBDAA" w14:textId="45541D26" w:rsidR="00170B16" w:rsidRPr="00083ED3" w:rsidRDefault="00170B16" w:rsidP="00083ED3">
            <w:pPr>
              <w:shd w:val="clear" w:color="auto" w:fill="C1C1C1" w:themeFill="background2" w:themeFillTint="66"/>
              <w:spacing w:line="240" w:lineRule="atLeast"/>
              <w:rPr>
                <w:rFonts w:ascii="Arial" w:hAnsi="Arial" w:cs="Arial"/>
                <w:b/>
                <w:bCs/>
                <w:sz w:val="20"/>
              </w:rPr>
            </w:pPr>
            <w:r w:rsidRPr="00083ED3">
              <w:rPr>
                <w:rFonts w:ascii="Arial" w:hAnsi="Arial" w:cs="Arial"/>
                <w:b/>
                <w:bCs/>
                <w:sz w:val="20"/>
              </w:rPr>
              <w:t xml:space="preserve">Covid-19 commentary </w:t>
            </w:r>
          </w:p>
          <w:p w14:paraId="46EF04C2" w14:textId="77777777" w:rsidR="00170B16" w:rsidRPr="00083ED3" w:rsidRDefault="00170B16" w:rsidP="00083ED3">
            <w:pPr>
              <w:shd w:val="clear" w:color="auto" w:fill="C1C1C1" w:themeFill="background2" w:themeFillTint="66"/>
              <w:spacing w:line="240" w:lineRule="atLeast"/>
              <w:rPr>
                <w:rFonts w:ascii="Arial" w:hAnsi="Arial" w:cs="Arial"/>
                <w:sz w:val="20"/>
              </w:rPr>
            </w:pPr>
          </w:p>
          <w:p w14:paraId="57F56DD5" w14:textId="638A4491" w:rsidR="00170B16" w:rsidRPr="00083ED3" w:rsidRDefault="00170B16" w:rsidP="00083ED3">
            <w:pPr>
              <w:shd w:val="clear" w:color="auto" w:fill="C1C1C1" w:themeFill="background2" w:themeFillTint="66"/>
              <w:spacing w:line="240" w:lineRule="atLeast"/>
              <w:rPr>
                <w:rFonts w:ascii="Arial" w:hAnsi="Arial" w:cs="Arial"/>
                <w:sz w:val="20"/>
              </w:rPr>
            </w:pPr>
            <w:r w:rsidRPr="00083ED3">
              <w:rPr>
                <w:rFonts w:ascii="Arial" w:hAnsi="Arial" w:cs="Arial"/>
                <w:sz w:val="20"/>
              </w:rPr>
              <w:t xml:space="preserve">As the Covid-19 pandemic evolves, governments are implementing additional measures to address the resulting public health issues and the economic impact. Entities need to assess if they are affected, or expect to be impacted, by developments and measures taken after the end of their reporting period. A critical judgement and evaluation management needs to make is whether and, if so, what these events provide of evidence of conditions that existed at the end of the reporting period for the entity’s activities or their assets and liabilities. </w:t>
            </w:r>
          </w:p>
          <w:p w14:paraId="4A755E9E" w14:textId="77777777" w:rsidR="00083ED3" w:rsidRPr="00083ED3" w:rsidRDefault="00083ED3" w:rsidP="00083ED3">
            <w:pPr>
              <w:shd w:val="clear" w:color="auto" w:fill="C1C1C1" w:themeFill="background2" w:themeFillTint="66"/>
              <w:spacing w:line="240" w:lineRule="atLeast"/>
              <w:rPr>
                <w:rFonts w:ascii="Arial" w:hAnsi="Arial" w:cs="Arial"/>
                <w:sz w:val="20"/>
              </w:rPr>
            </w:pPr>
          </w:p>
          <w:p w14:paraId="34FE8DCA" w14:textId="0ABDA61D" w:rsidR="00170B16" w:rsidRPr="00083ED3" w:rsidRDefault="00170B16" w:rsidP="00083ED3">
            <w:pPr>
              <w:shd w:val="clear" w:color="auto" w:fill="C1C1C1" w:themeFill="background2" w:themeFillTint="66"/>
              <w:spacing w:line="240" w:lineRule="atLeast"/>
              <w:rPr>
                <w:rFonts w:ascii="Arial" w:hAnsi="Arial" w:cs="Arial"/>
                <w:sz w:val="20"/>
              </w:rPr>
            </w:pPr>
            <w:r w:rsidRPr="00083ED3">
              <w:rPr>
                <w:rFonts w:ascii="Arial" w:hAnsi="Arial" w:cs="Arial"/>
                <w:sz w:val="20"/>
              </w:rPr>
              <w:t xml:space="preserve">If management concludes an event is a non-adjusting event, but the impact of it is material, the entity is required to disclose the nature of the event and an estimate of its financial effect unless it is impractical to do so. </w:t>
            </w:r>
          </w:p>
          <w:p w14:paraId="289A6AA6" w14:textId="77777777" w:rsidR="00083ED3" w:rsidRPr="00083ED3" w:rsidRDefault="00083ED3" w:rsidP="00083ED3">
            <w:pPr>
              <w:shd w:val="clear" w:color="auto" w:fill="C1C1C1" w:themeFill="background2" w:themeFillTint="66"/>
              <w:spacing w:line="240" w:lineRule="atLeast"/>
              <w:rPr>
                <w:rFonts w:ascii="Arial" w:hAnsi="Arial" w:cs="Arial"/>
                <w:sz w:val="20"/>
              </w:rPr>
            </w:pPr>
          </w:p>
          <w:p w14:paraId="24925ED1" w14:textId="77777777" w:rsidR="00170B16" w:rsidRPr="00083ED3" w:rsidRDefault="00170B16" w:rsidP="00083ED3">
            <w:pPr>
              <w:shd w:val="clear" w:color="auto" w:fill="C1C1C1" w:themeFill="background2" w:themeFillTint="66"/>
              <w:spacing w:line="240" w:lineRule="atLeast"/>
              <w:rPr>
                <w:rFonts w:ascii="Arial" w:hAnsi="Arial" w:cs="Arial"/>
                <w:sz w:val="20"/>
              </w:rPr>
            </w:pPr>
            <w:r w:rsidRPr="00083ED3">
              <w:rPr>
                <w:rFonts w:ascii="Arial" w:hAnsi="Arial" w:cs="Arial"/>
                <w:sz w:val="20"/>
              </w:rPr>
              <w:t xml:space="preserve">Areas that an entity should consider disclosing in its subsequent events note may include: </w:t>
            </w:r>
          </w:p>
          <w:p w14:paraId="1E4C4900" w14:textId="77777777" w:rsidR="00170B16" w:rsidRPr="00083ED3" w:rsidRDefault="00170B16" w:rsidP="00083ED3">
            <w:pPr>
              <w:shd w:val="clear" w:color="auto" w:fill="C1C1C1" w:themeFill="background2" w:themeFillTint="66"/>
              <w:spacing w:line="240" w:lineRule="atLeast"/>
              <w:rPr>
                <w:rFonts w:ascii="Arial" w:hAnsi="Arial" w:cs="Arial"/>
                <w:sz w:val="20"/>
              </w:rPr>
            </w:pPr>
            <w:r w:rsidRPr="00083ED3">
              <w:rPr>
                <w:rFonts w:ascii="Arial" w:hAnsi="Arial" w:cs="Arial"/>
                <w:sz w:val="20"/>
              </w:rPr>
              <w:t xml:space="preserve">• The measures taken to minimise the impact of the Covid-19 pandemic and to continue operations </w:t>
            </w:r>
          </w:p>
          <w:p w14:paraId="672C0E8E" w14:textId="541B6098" w:rsidR="00170B16" w:rsidRPr="00083ED3" w:rsidRDefault="00170B16" w:rsidP="00083ED3">
            <w:pPr>
              <w:shd w:val="clear" w:color="auto" w:fill="C1C1C1" w:themeFill="background2" w:themeFillTint="66"/>
              <w:spacing w:line="240" w:lineRule="atLeast"/>
              <w:rPr>
                <w:rFonts w:ascii="Arial" w:hAnsi="Arial" w:cs="Arial"/>
                <w:sz w:val="20"/>
              </w:rPr>
            </w:pPr>
            <w:r w:rsidRPr="00083ED3">
              <w:rPr>
                <w:rFonts w:ascii="Arial" w:hAnsi="Arial" w:cs="Arial"/>
                <w:sz w:val="20"/>
              </w:rPr>
              <w:t xml:space="preserve">• That the entity continues to monitor the Covid-19 pandemic situation and will take further action as necessary in response to the economic disruption </w:t>
            </w:r>
          </w:p>
          <w:p w14:paraId="04867D8B" w14:textId="09614066" w:rsidR="00170B16" w:rsidRPr="00083ED3" w:rsidRDefault="00170B16" w:rsidP="00083ED3">
            <w:pPr>
              <w:shd w:val="clear" w:color="auto" w:fill="C1C1C1" w:themeFill="background2" w:themeFillTint="66"/>
              <w:spacing w:line="240" w:lineRule="atLeast"/>
              <w:rPr>
                <w:rFonts w:ascii="Arial" w:hAnsi="Arial" w:cs="Arial"/>
                <w:sz w:val="20"/>
              </w:rPr>
            </w:pPr>
            <w:r w:rsidRPr="00083ED3">
              <w:rPr>
                <w:rFonts w:ascii="Arial" w:hAnsi="Arial" w:cs="Arial"/>
                <w:sz w:val="20"/>
              </w:rPr>
              <w:t xml:space="preserve">• Any issuance of debt or equity or refinancing undertaken after reporting. Entities should disclose any amendments or waivers of covenants agreed by lenders to accommodate Covid-19 related concerns </w:t>
            </w:r>
          </w:p>
          <w:p w14:paraId="0E0E7251" w14:textId="5DD08666" w:rsidR="00170B16" w:rsidRPr="00083ED3" w:rsidRDefault="00170B16" w:rsidP="00083ED3">
            <w:pPr>
              <w:shd w:val="clear" w:color="auto" w:fill="C1C1C1" w:themeFill="background2" w:themeFillTint="66"/>
              <w:spacing w:line="240" w:lineRule="atLeast"/>
              <w:rPr>
                <w:rFonts w:ascii="Arial" w:hAnsi="Arial" w:cs="Arial"/>
                <w:sz w:val="20"/>
              </w:rPr>
            </w:pPr>
            <w:r w:rsidRPr="00083ED3">
              <w:rPr>
                <w:rFonts w:ascii="Arial" w:hAnsi="Arial" w:cs="Arial"/>
                <w:sz w:val="20"/>
              </w:rPr>
              <w:t xml:space="preserve">• Organisational restructurings to reduce the impact of the Covid-19 pandemic and whether any disposals of business units have been decided </w:t>
            </w:r>
          </w:p>
          <w:p w14:paraId="67B68A58" w14:textId="09904EDE" w:rsidR="00170B16" w:rsidRPr="00083ED3" w:rsidRDefault="00170B16" w:rsidP="00083ED3">
            <w:pPr>
              <w:shd w:val="clear" w:color="auto" w:fill="C1C1C1" w:themeFill="background2" w:themeFillTint="66"/>
              <w:spacing w:line="240" w:lineRule="atLeast"/>
              <w:rPr>
                <w:rFonts w:ascii="Arial" w:hAnsi="Arial" w:cs="Arial"/>
                <w:sz w:val="20"/>
              </w:rPr>
            </w:pPr>
            <w:r w:rsidRPr="00083ED3">
              <w:rPr>
                <w:rFonts w:ascii="Arial" w:hAnsi="Arial" w:cs="Arial"/>
                <w:sz w:val="20"/>
              </w:rPr>
              <w:t xml:space="preserve">• The impact of the subsequent restrictions imposed by governments that caused disruption to businesses and economic activity and the expected effects on revenue and operations </w:t>
            </w:r>
          </w:p>
          <w:p w14:paraId="79763281" w14:textId="76905240" w:rsidR="00170B16" w:rsidRPr="00083ED3" w:rsidRDefault="00170B16" w:rsidP="00083ED3">
            <w:pPr>
              <w:shd w:val="clear" w:color="auto" w:fill="C1C1C1" w:themeFill="background2" w:themeFillTint="66"/>
              <w:spacing w:line="240" w:lineRule="atLeast"/>
              <w:rPr>
                <w:rFonts w:ascii="Arial" w:hAnsi="Arial" w:cs="Arial"/>
                <w:sz w:val="20"/>
              </w:rPr>
            </w:pPr>
            <w:r w:rsidRPr="00083ED3">
              <w:rPr>
                <w:rFonts w:ascii="Arial" w:hAnsi="Arial" w:cs="Arial"/>
                <w:sz w:val="20"/>
              </w:rPr>
              <w:t xml:space="preserve">• Any decisions made to suspend or alter dividends made after considering the inherent uncertainty surrounding the financial impact of the Covid-19 pandemic  </w:t>
            </w:r>
          </w:p>
          <w:p w14:paraId="1F091EB1" w14:textId="226AA62F" w:rsidR="00170B16" w:rsidRPr="005F4334" w:rsidRDefault="00170B16" w:rsidP="00083ED3">
            <w:pPr>
              <w:shd w:val="clear" w:color="auto" w:fill="C1C1C1" w:themeFill="background2" w:themeFillTint="66"/>
              <w:spacing w:line="240" w:lineRule="atLeast"/>
              <w:rPr>
                <w:rFonts w:ascii="Arial" w:hAnsi="Arial" w:cs="Arial"/>
                <w:sz w:val="19"/>
                <w:szCs w:val="19"/>
              </w:rPr>
            </w:pPr>
            <w:r w:rsidRPr="00083ED3">
              <w:rPr>
                <w:rFonts w:ascii="Arial" w:hAnsi="Arial" w:cs="Arial"/>
                <w:sz w:val="20"/>
              </w:rPr>
              <w:t>• Whether the Covid-19 outbreak may continue to cause disruption to economic activity and whether there could be further adverse impacts on revenue</w:t>
            </w:r>
          </w:p>
        </w:tc>
      </w:tr>
    </w:tbl>
    <w:p w14:paraId="782B9729" w14:textId="77777777" w:rsidR="005F4334" w:rsidRPr="005F4334" w:rsidRDefault="005F4334" w:rsidP="005F4334">
      <w:pPr>
        <w:pStyle w:val="ViralheadingL2"/>
        <w:keepNext w:val="0"/>
        <w:spacing w:before="0" w:after="0" w:line="280" w:lineRule="exact"/>
        <w:outlineLvl w:val="9"/>
        <w:rPr>
          <w:rFonts w:ascii="Arial" w:hAnsi="Arial" w:cs="Arial"/>
          <w:sz w:val="19"/>
          <w:szCs w:val="19"/>
        </w:rPr>
      </w:pPr>
    </w:p>
    <w:p w14:paraId="66860BDE" w14:textId="77777777" w:rsidR="005F4334" w:rsidRPr="00A533CE" w:rsidRDefault="005F4334" w:rsidP="005F4334">
      <w:pPr>
        <w:pStyle w:val="ViralheadingL2"/>
        <w:keepNext w:val="0"/>
        <w:numPr>
          <w:ilvl w:val="0"/>
          <w:numId w:val="8"/>
        </w:numPr>
        <w:spacing w:before="0" w:after="0" w:line="280" w:lineRule="exact"/>
        <w:ind w:left="720" w:hanging="720"/>
        <w:outlineLvl w:val="9"/>
        <w:rPr>
          <w:rFonts w:ascii="Arial" w:hAnsi="Arial" w:cs="Arial"/>
          <w:sz w:val="19"/>
          <w:szCs w:val="19"/>
        </w:rPr>
      </w:pPr>
      <w:r w:rsidRPr="00A533CE">
        <w:rPr>
          <w:rFonts w:ascii="Arial" w:hAnsi="Arial" w:cs="Arial"/>
          <w:sz w:val="19"/>
          <w:szCs w:val="19"/>
        </w:rPr>
        <w:t>Standards issued but not yet effective</w:t>
      </w:r>
    </w:p>
    <w:p w14:paraId="3F823F95" w14:textId="77777777" w:rsidR="005F4334" w:rsidRPr="005F4334" w:rsidRDefault="005F4334" w:rsidP="005F4334">
      <w:pPr>
        <w:pStyle w:val="ViralheadingL2"/>
        <w:keepNext w:val="0"/>
        <w:spacing w:before="0" w:after="0" w:line="280" w:lineRule="exact"/>
        <w:outlineLvl w:val="9"/>
        <w:rPr>
          <w:rFonts w:ascii="Arial" w:hAnsi="Arial" w:cs="Arial"/>
          <w:sz w:val="19"/>
          <w:szCs w:val="19"/>
        </w:rPr>
      </w:pPr>
    </w:p>
    <w:p w14:paraId="7DB2DE6B" w14:textId="77777777" w:rsidR="00631928" w:rsidRDefault="00631928" w:rsidP="00631928">
      <w:pPr>
        <w:spacing w:line="240" w:lineRule="auto"/>
        <w:rPr>
          <w:rFonts w:cs="EYInterstate-Light"/>
          <w:color w:val="000000"/>
          <w:sz w:val="20"/>
        </w:rPr>
      </w:pPr>
    </w:p>
    <w:p w14:paraId="3773F508" w14:textId="77777777" w:rsidR="00FA6295" w:rsidRPr="00083ED3" w:rsidRDefault="00FA6295" w:rsidP="00631928">
      <w:pPr>
        <w:spacing w:line="240" w:lineRule="auto"/>
        <w:rPr>
          <w:rFonts w:ascii="Arial" w:hAnsi="Arial" w:cs="Arial"/>
          <w:color w:val="000000"/>
          <w:sz w:val="20"/>
        </w:rPr>
      </w:pPr>
    </w:p>
    <w:p w14:paraId="33C04299" w14:textId="71803D6A" w:rsidR="00FA6295" w:rsidRPr="00083ED3" w:rsidRDefault="006D0FC0" w:rsidP="00083ED3">
      <w:pPr>
        <w:pBdr>
          <w:top w:val="single" w:sz="4" w:space="1" w:color="auto"/>
          <w:left w:val="single" w:sz="4" w:space="4" w:color="auto"/>
          <w:bottom w:val="single" w:sz="4" w:space="1" w:color="auto"/>
          <w:right w:val="single" w:sz="4" w:space="4" w:color="auto"/>
        </w:pBdr>
        <w:shd w:val="clear" w:color="auto" w:fill="C1C1C1" w:themeFill="background2" w:themeFillTint="66"/>
        <w:rPr>
          <w:rFonts w:ascii="Arial" w:hAnsi="Arial" w:cs="Arial"/>
          <w:b/>
          <w:sz w:val="20"/>
        </w:rPr>
      </w:pPr>
      <w:r w:rsidRPr="00083ED3">
        <w:rPr>
          <w:rFonts w:ascii="Arial" w:hAnsi="Arial" w:cs="Arial"/>
          <w:b/>
          <w:sz w:val="20"/>
        </w:rPr>
        <w:t>Authors’ note</w:t>
      </w:r>
    </w:p>
    <w:p w14:paraId="5FC0F0CF" w14:textId="77777777" w:rsidR="00083ED3" w:rsidRPr="00083ED3" w:rsidRDefault="00083ED3" w:rsidP="00083ED3">
      <w:pPr>
        <w:pBdr>
          <w:top w:val="single" w:sz="4" w:space="1" w:color="auto"/>
          <w:left w:val="single" w:sz="4" w:space="4" w:color="auto"/>
          <w:bottom w:val="single" w:sz="4" w:space="1" w:color="auto"/>
          <w:right w:val="single" w:sz="4" w:space="4" w:color="auto"/>
        </w:pBdr>
        <w:shd w:val="clear" w:color="auto" w:fill="C1C1C1" w:themeFill="background2" w:themeFillTint="66"/>
        <w:rPr>
          <w:rFonts w:ascii="Arial" w:hAnsi="Arial" w:cs="Arial"/>
          <w:b/>
          <w:sz w:val="20"/>
        </w:rPr>
      </w:pPr>
    </w:p>
    <w:p w14:paraId="463EB641" w14:textId="14D03AE1" w:rsidR="00595CD0" w:rsidRPr="00083ED3" w:rsidRDefault="00FA6295" w:rsidP="00083ED3">
      <w:pPr>
        <w:pStyle w:val="ViralheadingL2"/>
        <w:pBdr>
          <w:top w:val="single" w:sz="4" w:space="1" w:color="auto"/>
          <w:left w:val="single" w:sz="4" w:space="4" w:color="auto"/>
          <w:bottom w:val="single" w:sz="4" w:space="1" w:color="auto"/>
          <w:right w:val="single" w:sz="4" w:space="4" w:color="auto"/>
        </w:pBdr>
        <w:shd w:val="clear" w:color="auto" w:fill="C1C1C1" w:themeFill="background2" w:themeFillTint="66"/>
        <w:spacing w:before="0" w:after="0" w:line="280" w:lineRule="exact"/>
        <w:rPr>
          <w:rFonts w:ascii="Arial" w:hAnsi="Arial" w:cs="Arial"/>
          <w:b w:val="0"/>
          <w:sz w:val="20"/>
          <w:szCs w:val="20"/>
        </w:rPr>
        <w:sectPr w:rsidR="00595CD0" w:rsidRPr="00083ED3" w:rsidSect="00C41CC3">
          <w:headerReference w:type="default" r:id="rId32"/>
          <w:footerReference w:type="even" r:id="rId33"/>
          <w:headerReference w:type="first" r:id="rId34"/>
          <w:pgSz w:w="11909" w:h="16834" w:code="9"/>
          <w:pgMar w:top="864" w:right="1253" w:bottom="864" w:left="1296" w:header="432" w:footer="432" w:gutter="0"/>
          <w:cols w:space="720"/>
          <w:titlePg/>
          <w:docGrid w:linePitch="360"/>
        </w:sectPr>
      </w:pPr>
      <w:r w:rsidRPr="00083ED3">
        <w:rPr>
          <w:rFonts w:ascii="Arial" w:hAnsi="Arial" w:cs="Arial"/>
          <w:b w:val="0"/>
          <w:sz w:val="20"/>
          <w:szCs w:val="20"/>
        </w:rPr>
        <w:t xml:space="preserve">Ind AS 8.30 requires disclosure of standards that have been issued but are not yet effective. These disclosures are required to provide known or reasonably estimable information to enable users to assess the possible impact of the application of such IFRSs on an entity’s financial statements. The Group has listed all standards and interpretations that are not yet effective, primarily for the illustrative purpose of these financial statements. An alternative that entities may consider would be to only list and address those which are expected to have an impact on the Group’s financial position, performance, and/or disclosures.  </w:t>
      </w:r>
    </w:p>
    <w:p w14:paraId="5A26A83F" w14:textId="77777777" w:rsidR="00C82284" w:rsidRPr="00E70587" w:rsidRDefault="00686DF1" w:rsidP="00F53123">
      <w:pPr>
        <w:pStyle w:val="ViralheadingL2"/>
        <w:keepNext w:val="0"/>
        <w:numPr>
          <w:ilvl w:val="0"/>
          <w:numId w:val="8"/>
        </w:numPr>
        <w:spacing w:before="0" w:after="0" w:line="280" w:lineRule="exact"/>
        <w:ind w:left="720" w:hanging="720"/>
        <w:outlineLvl w:val="9"/>
        <w:rPr>
          <w:rFonts w:ascii="Arial" w:hAnsi="Arial" w:cs="Arial"/>
          <w:sz w:val="20"/>
          <w:szCs w:val="20"/>
        </w:rPr>
      </w:pPr>
      <w:r w:rsidRPr="00E70587">
        <w:rPr>
          <w:rFonts w:ascii="Arial" w:hAnsi="Arial" w:cs="Arial"/>
          <w:sz w:val="20"/>
          <w:szCs w:val="20"/>
        </w:rPr>
        <w:lastRenderedPageBreak/>
        <w:t xml:space="preserve">Statutory </w:t>
      </w:r>
      <w:r w:rsidR="00C82284" w:rsidRPr="00E70587">
        <w:rPr>
          <w:rFonts w:ascii="Arial" w:hAnsi="Arial" w:cs="Arial"/>
          <w:sz w:val="20"/>
          <w:szCs w:val="20"/>
        </w:rPr>
        <w:t xml:space="preserve">Group Information </w:t>
      </w:r>
    </w:p>
    <w:tbl>
      <w:tblPr>
        <w:tblW w:w="15110" w:type="dxa"/>
        <w:tblLayout w:type="fixed"/>
        <w:tblLook w:val="04A0" w:firstRow="1" w:lastRow="0" w:firstColumn="1" w:lastColumn="0" w:noHBand="0" w:noVBand="1"/>
      </w:tblPr>
      <w:tblGrid>
        <w:gridCol w:w="918"/>
        <w:gridCol w:w="2924"/>
        <w:gridCol w:w="12"/>
        <w:gridCol w:w="1626"/>
        <w:gridCol w:w="1260"/>
        <w:gridCol w:w="1710"/>
        <w:gridCol w:w="900"/>
        <w:gridCol w:w="2250"/>
        <w:gridCol w:w="720"/>
        <w:gridCol w:w="1800"/>
        <w:gridCol w:w="990"/>
      </w:tblGrid>
      <w:tr w:rsidR="00AD6D4C" w:rsidRPr="00E70587" w14:paraId="4B40E466" w14:textId="77777777" w:rsidTr="00755532">
        <w:trPr>
          <w:tblHeader/>
        </w:trPr>
        <w:tc>
          <w:tcPr>
            <w:tcW w:w="384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81151AE" w14:textId="77777777" w:rsidR="00AD6D4C" w:rsidRPr="00E70587" w:rsidRDefault="00AD6D4C" w:rsidP="009901E1">
            <w:pPr>
              <w:spacing w:line="280" w:lineRule="exact"/>
              <w:jc w:val="center"/>
              <w:rPr>
                <w:rFonts w:ascii="Arial" w:hAnsi="Arial" w:cs="Arial"/>
                <w:b/>
                <w:bCs/>
                <w:sz w:val="20"/>
                <w:lang w:eastAsia="en-IN"/>
              </w:rPr>
            </w:pPr>
            <w:r w:rsidRPr="00E70587">
              <w:rPr>
                <w:rFonts w:ascii="Arial" w:hAnsi="Arial" w:cs="Arial"/>
                <w:b/>
                <w:bCs/>
                <w:sz w:val="20"/>
                <w:lang w:eastAsia="en-IN"/>
              </w:rPr>
              <w:t>Name of the entity in the group</w:t>
            </w:r>
          </w:p>
        </w:tc>
        <w:tc>
          <w:tcPr>
            <w:tcW w:w="2898" w:type="dxa"/>
            <w:gridSpan w:val="3"/>
            <w:tcBorders>
              <w:top w:val="single" w:sz="8" w:space="0" w:color="auto"/>
              <w:left w:val="nil"/>
              <w:bottom w:val="single" w:sz="8" w:space="0" w:color="auto"/>
              <w:right w:val="single" w:sz="8" w:space="0" w:color="000000"/>
            </w:tcBorders>
            <w:shd w:val="clear" w:color="auto" w:fill="auto"/>
            <w:vAlign w:val="center"/>
            <w:hideMark/>
          </w:tcPr>
          <w:p w14:paraId="6B773D0D" w14:textId="77777777" w:rsidR="00AD6D4C" w:rsidRPr="00E70587" w:rsidRDefault="00AD6D4C" w:rsidP="009901E1">
            <w:pPr>
              <w:spacing w:line="280" w:lineRule="exact"/>
              <w:jc w:val="center"/>
              <w:rPr>
                <w:rFonts w:ascii="Arial" w:hAnsi="Arial" w:cs="Arial"/>
                <w:b/>
                <w:bCs/>
                <w:sz w:val="20"/>
                <w:lang w:eastAsia="en-IN"/>
              </w:rPr>
            </w:pPr>
            <w:r w:rsidRPr="00E70587">
              <w:rPr>
                <w:rFonts w:ascii="Arial" w:hAnsi="Arial" w:cs="Arial"/>
                <w:b/>
                <w:bCs/>
                <w:sz w:val="20"/>
                <w:lang w:eastAsia="en-IN"/>
              </w:rPr>
              <w:t>Net Assets, i.e., total assets minus total liabilities</w:t>
            </w:r>
          </w:p>
        </w:tc>
        <w:tc>
          <w:tcPr>
            <w:tcW w:w="2610" w:type="dxa"/>
            <w:gridSpan w:val="2"/>
            <w:tcBorders>
              <w:top w:val="single" w:sz="8" w:space="0" w:color="auto"/>
              <w:left w:val="nil"/>
              <w:bottom w:val="single" w:sz="8" w:space="0" w:color="auto"/>
              <w:right w:val="single" w:sz="8" w:space="0" w:color="000000"/>
            </w:tcBorders>
            <w:shd w:val="clear" w:color="auto" w:fill="auto"/>
            <w:vAlign w:val="center"/>
            <w:hideMark/>
          </w:tcPr>
          <w:p w14:paraId="586E0871" w14:textId="77777777" w:rsidR="00AD6D4C" w:rsidRPr="00E70587" w:rsidRDefault="00AD6D4C" w:rsidP="009901E1">
            <w:pPr>
              <w:spacing w:line="280" w:lineRule="exact"/>
              <w:jc w:val="center"/>
              <w:rPr>
                <w:rFonts w:ascii="Arial" w:hAnsi="Arial" w:cs="Arial"/>
                <w:b/>
                <w:bCs/>
                <w:sz w:val="20"/>
                <w:lang w:eastAsia="en-IN"/>
              </w:rPr>
            </w:pPr>
            <w:r w:rsidRPr="00E70587">
              <w:rPr>
                <w:rFonts w:ascii="Arial" w:hAnsi="Arial" w:cs="Arial"/>
                <w:b/>
                <w:bCs/>
                <w:sz w:val="20"/>
                <w:lang w:eastAsia="en-IN"/>
              </w:rPr>
              <w:t>Share in profit and loss</w:t>
            </w:r>
          </w:p>
        </w:tc>
        <w:tc>
          <w:tcPr>
            <w:tcW w:w="2970" w:type="dxa"/>
            <w:gridSpan w:val="2"/>
            <w:tcBorders>
              <w:top w:val="single" w:sz="8" w:space="0" w:color="auto"/>
              <w:left w:val="nil"/>
              <w:bottom w:val="single" w:sz="8" w:space="0" w:color="auto"/>
              <w:right w:val="single" w:sz="8" w:space="0" w:color="000000"/>
            </w:tcBorders>
            <w:shd w:val="clear" w:color="auto" w:fill="auto"/>
            <w:vAlign w:val="center"/>
            <w:hideMark/>
          </w:tcPr>
          <w:p w14:paraId="1046C679" w14:textId="77777777" w:rsidR="00AD6D4C" w:rsidRPr="00E70587" w:rsidRDefault="00AD6D4C" w:rsidP="009901E1">
            <w:pPr>
              <w:spacing w:line="280" w:lineRule="exact"/>
              <w:jc w:val="center"/>
              <w:rPr>
                <w:rFonts w:ascii="Arial" w:hAnsi="Arial" w:cs="Arial"/>
                <w:b/>
                <w:bCs/>
                <w:sz w:val="20"/>
                <w:lang w:eastAsia="en-IN"/>
              </w:rPr>
            </w:pPr>
            <w:r w:rsidRPr="00E70587">
              <w:rPr>
                <w:rFonts w:ascii="Arial" w:hAnsi="Arial" w:cs="Arial"/>
                <w:b/>
                <w:bCs/>
                <w:sz w:val="20"/>
                <w:lang w:eastAsia="en-IN"/>
              </w:rPr>
              <w:t>Share in other Comprehensive income</w:t>
            </w:r>
          </w:p>
        </w:tc>
        <w:tc>
          <w:tcPr>
            <w:tcW w:w="2790" w:type="dxa"/>
            <w:gridSpan w:val="2"/>
            <w:tcBorders>
              <w:top w:val="single" w:sz="8" w:space="0" w:color="auto"/>
              <w:left w:val="nil"/>
              <w:bottom w:val="single" w:sz="8" w:space="0" w:color="auto"/>
              <w:right w:val="single" w:sz="8" w:space="0" w:color="000000"/>
            </w:tcBorders>
            <w:shd w:val="clear" w:color="auto" w:fill="auto"/>
            <w:vAlign w:val="center"/>
            <w:hideMark/>
          </w:tcPr>
          <w:p w14:paraId="0638C742" w14:textId="77777777" w:rsidR="00AD6D4C" w:rsidRPr="00E70587" w:rsidRDefault="00AD6D4C" w:rsidP="009901E1">
            <w:pPr>
              <w:spacing w:line="280" w:lineRule="exact"/>
              <w:jc w:val="center"/>
              <w:rPr>
                <w:rFonts w:ascii="Arial" w:hAnsi="Arial" w:cs="Arial"/>
                <w:b/>
                <w:bCs/>
                <w:sz w:val="20"/>
                <w:lang w:eastAsia="en-IN"/>
              </w:rPr>
            </w:pPr>
            <w:r w:rsidRPr="00E70587">
              <w:rPr>
                <w:rFonts w:ascii="Arial" w:hAnsi="Arial" w:cs="Arial"/>
                <w:b/>
                <w:bCs/>
                <w:sz w:val="20"/>
                <w:lang w:eastAsia="en-IN"/>
              </w:rPr>
              <w:t>Share in total Comprehensive income</w:t>
            </w:r>
          </w:p>
        </w:tc>
      </w:tr>
      <w:tr w:rsidR="00AD6D4C" w:rsidRPr="00E70587" w14:paraId="2D4E3272" w14:textId="77777777" w:rsidTr="00755532">
        <w:trPr>
          <w:tblHeader/>
        </w:trPr>
        <w:tc>
          <w:tcPr>
            <w:tcW w:w="3842" w:type="dxa"/>
            <w:gridSpan w:val="2"/>
            <w:vMerge/>
            <w:tcBorders>
              <w:top w:val="single" w:sz="8" w:space="0" w:color="auto"/>
              <w:left w:val="single" w:sz="8" w:space="0" w:color="auto"/>
              <w:bottom w:val="single" w:sz="8" w:space="0" w:color="000000"/>
              <w:right w:val="single" w:sz="8" w:space="0" w:color="000000"/>
            </w:tcBorders>
            <w:vAlign w:val="center"/>
            <w:hideMark/>
          </w:tcPr>
          <w:p w14:paraId="13870A74" w14:textId="77777777" w:rsidR="00AD6D4C" w:rsidRPr="00E70587" w:rsidRDefault="00AD6D4C" w:rsidP="009901E1">
            <w:pPr>
              <w:spacing w:line="280" w:lineRule="exact"/>
              <w:rPr>
                <w:rFonts w:ascii="Arial" w:hAnsi="Arial" w:cs="Arial"/>
                <w:b/>
                <w:bCs/>
                <w:sz w:val="20"/>
                <w:lang w:eastAsia="en-IN"/>
              </w:rPr>
            </w:pPr>
          </w:p>
        </w:tc>
        <w:tc>
          <w:tcPr>
            <w:tcW w:w="1638" w:type="dxa"/>
            <w:gridSpan w:val="2"/>
            <w:tcBorders>
              <w:top w:val="nil"/>
              <w:left w:val="nil"/>
              <w:bottom w:val="single" w:sz="8" w:space="0" w:color="auto"/>
              <w:right w:val="single" w:sz="8" w:space="0" w:color="auto"/>
            </w:tcBorders>
            <w:shd w:val="clear" w:color="auto" w:fill="auto"/>
            <w:vAlign w:val="center"/>
            <w:hideMark/>
          </w:tcPr>
          <w:p w14:paraId="3EA8BF1C" w14:textId="77777777" w:rsidR="00AD6D4C" w:rsidRPr="00E70587" w:rsidRDefault="00AD6D4C" w:rsidP="009901E1">
            <w:pPr>
              <w:spacing w:line="280" w:lineRule="exact"/>
              <w:rPr>
                <w:rFonts w:ascii="Arial" w:hAnsi="Arial" w:cs="Arial"/>
                <w:b/>
                <w:bCs/>
                <w:sz w:val="20"/>
                <w:lang w:eastAsia="en-IN"/>
              </w:rPr>
            </w:pPr>
            <w:r w:rsidRPr="00E70587">
              <w:rPr>
                <w:rFonts w:ascii="Arial" w:hAnsi="Arial" w:cs="Arial"/>
                <w:b/>
                <w:bCs/>
                <w:sz w:val="20"/>
                <w:lang w:eastAsia="en-IN"/>
              </w:rPr>
              <w:t>As % of consolidated net assets</w:t>
            </w:r>
          </w:p>
        </w:tc>
        <w:tc>
          <w:tcPr>
            <w:tcW w:w="1260" w:type="dxa"/>
            <w:tcBorders>
              <w:top w:val="nil"/>
              <w:left w:val="nil"/>
              <w:bottom w:val="single" w:sz="8" w:space="0" w:color="auto"/>
              <w:right w:val="single" w:sz="8" w:space="0" w:color="auto"/>
            </w:tcBorders>
            <w:shd w:val="clear" w:color="auto" w:fill="auto"/>
            <w:noWrap/>
            <w:vAlign w:val="center"/>
            <w:hideMark/>
          </w:tcPr>
          <w:p w14:paraId="6AB86D23" w14:textId="77777777" w:rsidR="00AD6D4C" w:rsidRPr="00E70587" w:rsidRDefault="00AD6D4C" w:rsidP="009901E1">
            <w:pPr>
              <w:spacing w:line="280" w:lineRule="exact"/>
              <w:rPr>
                <w:rFonts w:ascii="Arial" w:hAnsi="Arial" w:cs="Arial"/>
                <w:b/>
                <w:bCs/>
                <w:sz w:val="20"/>
                <w:lang w:eastAsia="en-IN"/>
              </w:rPr>
            </w:pPr>
            <w:r w:rsidRPr="00E70587">
              <w:rPr>
                <w:rFonts w:ascii="Arial" w:hAnsi="Arial" w:cs="Arial"/>
                <w:b/>
                <w:bCs/>
                <w:sz w:val="20"/>
                <w:lang w:eastAsia="en-IN"/>
              </w:rPr>
              <w:t xml:space="preserve"> INR Lacs</w:t>
            </w:r>
          </w:p>
        </w:tc>
        <w:tc>
          <w:tcPr>
            <w:tcW w:w="1710" w:type="dxa"/>
            <w:tcBorders>
              <w:top w:val="nil"/>
              <w:left w:val="nil"/>
              <w:bottom w:val="single" w:sz="8" w:space="0" w:color="auto"/>
              <w:right w:val="single" w:sz="8" w:space="0" w:color="auto"/>
            </w:tcBorders>
            <w:shd w:val="clear" w:color="auto" w:fill="auto"/>
            <w:vAlign w:val="center"/>
            <w:hideMark/>
          </w:tcPr>
          <w:p w14:paraId="403FBAFF" w14:textId="77777777" w:rsidR="00AD6D4C" w:rsidRPr="00E70587" w:rsidRDefault="00AD6D4C" w:rsidP="009901E1">
            <w:pPr>
              <w:spacing w:line="280" w:lineRule="exact"/>
              <w:rPr>
                <w:rFonts w:ascii="Arial" w:hAnsi="Arial" w:cs="Arial"/>
                <w:b/>
                <w:bCs/>
                <w:sz w:val="20"/>
                <w:lang w:eastAsia="en-IN"/>
              </w:rPr>
            </w:pPr>
            <w:r w:rsidRPr="00E70587">
              <w:rPr>
                <w:rFonts w:ascii="Arial" w:hAnsi="Arial" w:cs="Arial"/>
                <w:b/>
                <w:bCs/>
                <w:sz w:val="20"/>
                <w:lang w:eastAsia="en-IN"/>
              </w:rPr>
              <w:t>As % of consolidated profit and loss</w:t>
            </w:r>
          </w:p>
        </w:tc>
        <w:tc>
          <w:tcPr>
            <w:tcW w:w="900" w:type="dxa"/>
            <w:tcBorders>
              <w:top w:val="nil"/>
              <w:left w:val="nil"/>
              <w:bottom w:val="single" w:sz="8" w:space="0" w:color="auto"/>
              <w:right w:val="single" w:sz="8" w:space="0" w:color="auto"/>
            </w:tcBorders>
            <w:shd w:val="clear" w:color="auto" w:fill="auto"/>
            <w:noWrap/>
            <w:vAlign w:val="center"/>
            <w:hideMark/>
          </w:tcPr>
          <w:p w14:paraId="67F595F6" w14:textId="77777777" w:rsidR="00AD6D4C" w:rsidRPr="00E70587" w:rsidRDefault="00AD6D4C" w:rsidP="009901E1">
            <w:pPr>
              <w:spacing w:line="280" w:lineRule="exact"/>
              <w:rPr>
                <w:rFonts w:ascii="Arial" w:hAnsi="Arial" w:cs="Arial"/>
                <w:b/>
                <w:bCs/>
                <w:sz w:val="20"/>
                <w:lang w:eastAsia="en-IN"/>
              </w:rPr>
            </w:pPr>
            <w:r w:rsidRPr="00E70587">
              <w:rPr>
                <w:rFonts w:ascii="Arial" w:hAnsi="Arial" w:cs="Arial"/>
                <w:b/>
                <w:bCs/>
                <w:sz w:val="20"/>
                <w:lang w:eastAsia="en-IN"/>
              </w:rPr>
              <w:t>INR Lacs</w:t>
            </w:r>
          </w:p>
        </w:tc>
        <w:tc>
          <w:tcPr>
            <w:tcW w:w="2250" w:type="dxa"/>
            <w:tcBorders>
              <w:top w:val="nil"/>
              <w:left w:val="nil"/>
              <w:bottom w:val="single" w:sz="8" w:space="0" w:color="auto"/>
              <w:right w:val="single" w:sz="8" w:space="0" w:color="auto"/>
            </w:tcBorders>
            <w:shd w:val="clear" w:color="auto" w:fill="auto"/>
            <w:vAlign w:val="center"/>
            <w:hideMark/>
          </w:tcPr>
          <w:p w14:paraId="5386E997" w14:textId="77777777" w:rsidR="00AD6D4C" w:rsidRPr="00E70587" w:rsidRDefault="00AD6D4C" w:rsidP="009901E1">
            <w:pPr>
              <w:spacing w:line="280" w:lineRule="exact"/>
              <w:rPr>
                <w:rFonts w:ascii="Arial" w:hAnsi="Arial" w:cs="Arial"/>
                <w:b/>
                <w:bCs/>
                <w:sz w:val="20"/>
                <w:lang w:eastAsia="en-IN"/>
              </w:rPr>
            </w:pPr>
            <w:r w:rsidRPr="00E70587">
              <w:rPr>
                <w:rFonts w:ascii="Arial" w:hAnsi="Arial" w:cs="Arial"/>
                <w:b/>
                <w:bCs/>
                <w:sz w:val="20"/>
                <w:lang w:eastAsia="en-IN"/>
              </w:rPr>
              <w:t>As % of consolidated other comprehensive income</w:t>
            </w:r>
          </w:p>
        </w:tc>
        <w:tc>
          <w:tcPr>
            <w:tcW w:w="720" w:type="dxa"/>
            <w:tcBorders>
              <w:top w:val="nil"/>
              <w:left w:val="nil"/>
              <w:bottom w:val="single" w:sz="8" w:space="0" w:color="auto"/>
              <w:right w:val="single" w:sz="8" w:space="0" w:color="auto"/>
            </w:tcBorders>
            <w:shd w:val="clear" w:color="auto" w:fill="auto"/>
            <w:noWrap/>
            <w:vAlign w:val="center"/>
            <w:hideMark/>
          </w:tcPr>
          <w:p w14:paraId="79BC1CEB" w14:textId="77777777" w:rsidR="00AD6D4C" w:rsidRPr="00E70587" w:rsidRDefault="00AD6D4C" w:rsidP="009901E1">
            <w:pPr>
              <w:spacing w:line="280" w:lineRule="exact"/>
              <w:rPr>
                <w:rFonts w:ascii="Arial" w:hAnsi="Arial" w:cs="Arial"/>
                <w:b/>
                <w:bCs/>
                <w:sz w:val="20"/>
                <w:lang w:eastAsia="en-IN"/>
              </w:rPr>
            </w:pPr>
            <w:r w:rsidRPr="00E70587">
              <w:rPr>
                <w:rFonts w:ascii="Arial" w:hAnsi="Arial" w:cs="Arial"/>
                <w:b/>
                <w:bCs/>
                <w:sz w:val="20"/>
                <w:lang w:eastAsia="en-IN"/>
              </w:rPr>
              <w:t>INR Lacs</w:t>
            </w:r>
          </w:p>
        </w:tc>
        <w:tc>
          <w:tcPr>
            <w:tcW w:w="1800" w:type="dxa"/>
            <w:tcBorders>
              <w:top w:val="nil"/>
              <w:left w:val="nil"/>
              <w:bottom w:val="single" w:sz="8" w:space="0" w:color="auto"/>
              <w:right w:val="single" w:sz="8" w:space="0" w:color="auto"/>
            </w:tcBorders>
            <w:shd w:val="clear" w:color="auto" w:fill="auto"/>
            <w:vAlign w:val="center"/>
            <w:hideMark/>
          </w:tcPr>
          <w:p w14:paraId="40AE661F" w14:textId="77777777" w:rsidR="00AD6D4C" w:rsidRPr="00E70587" w:rsidRDefault="00AD6D4C" w:rsidP="009901E1">
            <w:pPr>
              <w:spacing w:line="280" w:lineRule="exact"/>
              <w:rPr>
                <w:rFonts w:ascii="Arial" w:hAnsi="Arial" w:cs="Arial"/>
                <w:b/>
                <w:bCs/>
                <w:sz w:val="20"/>
                <w:lang w:eastAsia="en-IN"/>
              </w:rPr>
            </w:pPr>
            <w:r w:rsidRPr="00E70587">
              <w:rPr>
                <w:rFonts w:ascii="Arial" w:hAnsi="Arial" w:cs="Arial"/>
                <w:b/>
                <w:bCs/>
                <w:sz w:val="20"/>
                <w:lang w:eastAsia="en-IN"/>
              </w:rPr>
              <w:t>As % of total comprehensive income</w:t>
            </w:r>
          </w:p>
        </w:tc>
        <w:tc>
          <w:tcPr>
            <w:tcW w:w="990" w:type="dxa"/>
            <w:tcBorders>
              <w:top w:val="nil"/>
              <w:left w:val="nil"/>
              <w:bottom w:val="single" w:sz="8" w:space="0" w:color="auto"/>
              <w:right w:val="single" w:sz="8" w:space="0" w:color="auto"/>
            </w:tcBorders>
            <w:shd w:val="clear" w:color="auto" w:fill="auto"/>
            <w:noWrap/>
            <w:vAlign w:val="center"/>
            <w:hideMark/>
          </w:tcPr>
          <w:p w14:paraId="7D908BC0" w14:textId="77777777" w:rsidR="00AD6D4C" w:rsidRPr="00E70587" w:rsidRDefault="00AD6D4C" w:rsidP="009901E1">
            <w:pPr>
              <w:spacing w:line="280" w:lineRule="exact"/>
              <w:rPr>
                <w:rFonts w:ascii="Arial" w:hAnsi="Arial" w:cs="Arial"/>
                <w:b/>
                <w:bCs/>
                <w:sz w:val="20"/>
                <w:lang w:eastAsia="en-IN"/>
              </w:rPr>
            </w:pPr>
            <w:r w:rsidRPr="00E70587">
              <w:rPr>
                <w:rFonts w:ascii="Arial" w:hAnsi="Arial" w:cs="Arial"/>
                <w:b/>
                <w:bCs/>
                <w:sz w:val="20"/>
                <w:lang w:eastAsia="en-IN"/>
              </w:rPr>
              <w:t>INR Lacs</w:t>
            </w:r>
          </w:p>
        </w:tc>
      </w:tr>
      <w:tr w:rsidR="00AD6D4C" w:rsidRPr="00E70587" w14:paraId="10F8E8E9" w14:textId="77777777" w:rsidTr="00755532">
        <w:tc>
          <w:tcPr>
            <w:tcW w:w="918" w:type="dxa"/>
            <w:tcBorders>
              <w:top w:val="nil"/>
              <w:left w:val="single" w:sz="8" w:space="0" w:color="auto"/>
              <w:bottom w:val="nil"/>
              <w:right w:val="nil"/>
            </w:tcBorders>
            <w:shd w:val="clear" w:color="auto" w:fill="auto"/>
            <w:noWrap/>
            <w:vAlign w:val="center"/>
            <w:hideMark/>
          </w:tcPr>
          <w:p w14:paraId="2BF21642" w14:textId="77777777" w:rsidR="00AD6D4C" w:rsidRPr="00E70587" w:rsidRDefault="00AD6D4C" w:rsidP="009901E1">
            <w:pPr>
              <w:spacing w:line="280" w:lineRule="exact"/>
              <w:rPr>
                <w:rFonts w:ascii="Arial" w:hAnsi="Arial" w:cs="Arial"/>
                <w:b/>
                <w:bCs/>
                <w:sz w:val="20"/>
                <w:lang w:eastAsia="en-IN"/>
              </w:rPr>
            </w:pPr>
            <w:r w:rsidRPr="00E70587">
              <w:rPr>
                <w:rFonts w:ascii="Arial" w:hAnsi="Arial" w:cs="Arial"/>
                <w:b/>
                <w:bCs/>
                <w:sz w:val="20"/>
                <w:lang w:eastAsia="en-IN"/>
              </w:rPr>
              <w:t>Parent</w:t>
            </w:r>
          </w:p>
        </w:tc>
        <w:tc>
          <w:tcPr>
            <w:tcW w:w="2924" w:type="dxa"/>
            <w:tcBorders>
              <w:top w:val="nil"/>
              <w:left w:val="nil"/>
              <w:bottom w:val="nil"/>
              <w:right w:val="nil"/>
            </w:tcBorders>
            <w:shd w:val="clear" w:color="auto" w:fill="auto"/>
            <w:noWrap/>
            <w:vAlign w:val="bottom"/>
            <w:hideMark/>
          </w:tcPr>
          <w:p w14:paraId="014CA976" w14:textId="77777777" w:rsidR="00AD6D4C" w:rsidRPr="00E70587" w:rsidRDefault="00AD6D4C" w:rsidP="009901E1">
            <w:pPr>
              <w:spacing w:line="280" w:lineRule="exact"/>
              <w:rPr>
                <w:rFonts w:ascii="Arial" w:hAnsi="Arial" w:cs="Arial"/>
                <w:sz w:val="20"/>
                <w:lang w:eastAsia="en-IN"/>
              </w:rPr>
            </w:pPr>
          </w:p>
        </w:tc>
        <w:tc>
          <w:tcPr>
            <w:tcW w:w="1638" w:type="dxa"/>
            <w:gridSpan w:val="2"/>
            <w:tcBorders>
              <w:top w:val="nil"/>
              <w:left w:val="nil"/>
              <w:bottom w:val="nil"/>
              <w:right w:val="nil"/>
            </w:tcBorders>
            <w:shd w:val="clear" w:color="auto" w:fill="auto"/>
            <w:noWrap/>
            <w:vAlign w:val="center"/>
            <w:hideMark/>
          </w:tcPr>
          <w:p w14:paraId="750DD248" w14:textId="77777777" w:rsidR="00AD6D4C" w:rsidRPr="00E70587" w:rsidRDefault="00AD6D4C" w:rsidP="009901E1">
            <w:pPr>
              <w:spacing w:line="280" w:lineRule="exact"/>
              <w:jc w:val="right"/>
              <w:rPr>
                <w:rFonts w:ascii="Arial" w:hAnsi="Arial" w:cs="Arial"/>
                <w:sz w:val="20"/>
                <w:lang w:eastAsia="en-IN"/>
              </w:rPr>
            </w:pPr>
          </w:p>
        </w:tc>
        <w:tc>
          <w:tcPr>
            <w:tcW w:w="1260" w:type="dxa"/>
            <w:tcBorders>
              <w:top w:val="nil"/>
              <w:left w:val="nil"/>
              <w:bottom w:val="nil"/>
              <w:right w:val="nil"/>
            </w:tcBorders>
            <w:shd w:val="clear" w:color="auto" w:fill="auto"/>
            <w:noWrap/>
            <w:vAlign w:val="center"/>
            <w:hideMark/>
          </w:tcPr>
          <w:p w14:paraId="2E48F9C3" w14:textId="77777777" w:rsidR="00AD6D4C" w:rsidRPr="00E70587" w:rsidRDefault="00AD6D4C" w:rsidP="009901E1">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vAlign w:val="center"/>
            <w:hideMark/>
          </w:tcPr>
          <w:p w14:paraId="40A2788B" w14:textId="77777777" w:rsidR="00AD6D4C" w:rsidRPr="00E70587" w:rsidRDefault="00AD6D4C" w:rsidP="009901E1">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vAlign w:val="center"/>
            <w:hideMark/>
          </w:tcPr>
          <w:p w14:paraId="33F74A02" w14:textId="77777777" w:rsidR="00AD6D4C" w:rsidRPr="00E70587" w:rsidRDefault="00AD6D4C" w:rsidP="009901E1">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vAlign w:val="center"/>
            <w:hideMark/>
          </w:tcPr>
          <w:p w14:paraId="30DEFC94" w14:textId="77777777" w:rsidR="00AD6D4C" w:rsidRPr="00E70587" w:rsidRDefault="00AD6D4C" w:rsidP="009901E1">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vAlign w:val="center"/>
            <w:hideMark/>
          </w:tcPr>
          <w:p w14:paraId="758C8909" w14:textId="77777777" w:rsidR="00AD6D4C" w:rsidRPr="00E70587" w:rsidRDefault="00AD6D4C" w:rsidP="009901E1">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vAlign w:val="center"/>
            <w:hideMark/>
          </w:tcPr>
          <w:p w14:paraId="2B722538" w14:textId="77777777" w:rsidR="00AD6D4C" w:rsidRPr="00E70587" w:rsidRDefault="00AD6D4C" w:rsidP="009901E1">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center"/>
            <w:hideMark/>
          </w:tcPr>
          <w:p w14:paraId="550A8E10"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 </w:t>
            </w:r>
          </w:p>
        </w:tc>
      </w:tr>
      <w:tr w:rsidR="00AD6D4C" w:rsidRPr="00E70587" w14:paraId="672F18B1" w14:textId="77777777" w:rsidTr="00755532">
        <w:tc>
          <w:tcPr>
            <w:tcW w:w="918" w:type="dxa"/>
            <w:tcBorders>
              <w:top w:val="nil"/>
              <w:left w:val="single" w:sz="8" w:space="0" w:color="auto"/>
              <w:bottom w:val="nil"/>
              <w:right w:val="nil"/>
            </w:tcBorders>
            <w:shd w:val="clear" w:color="auto" w:fill="auto"/>
            <w:noWrap/>
          </w:tcPr>
          <w:p w14:paraId="380BF81B" w14:textId="77777777" w:rsidR="00AD6D4C" w:rsidRPr="00E70587" w:rsidRDefault="00AD6D4C" w:rsidP="009901E1">
            <w:pPr>
              <w:spacing w:line="280" w:lineRule="exact"/>
              <w:rPr>
                <w:rFonts w:ascii="Arial" w:hAnsi="Arial" w:cs="Arial"/>
                <w:b/>
                <w:bCs/>
                <w:sz w:val="20"/>
                <w:lang w:eastAsia="en-IN"/>
              </w:rPr>
            </w:pPr>
            <w:r w:rsidRPr="00E70587">
              <w:rPr>
                <w:rFonts w:ascii="Arial" w:hAnsi="Arial" w:cs="Arial"/>
                <w:sz w:val="20"/>
              </w:rPr>
              <w:t>1</w:t>
            </w:r>
          </w:p>
        </w:tc>
        <w:tc>
          <w:tcPr>
            <w:tcW w:w="2924" w:type="dxa"/>
            <w:tcBorders>
              <w:top w:val="nil"/>
              <w:left w:val="nil"/>
              <w:bottom w:val="nil"/>
              <w:right w:val="nil"/>
            </w:tcBorders>
            <w:shd w:val="clear" w:color="auto" w:fill="auto"/>
            <w:noWrap/>
          </w:tcPr>
          <w:p w14:paraId="3E39E5E5" w14:textId="77777777" w:rsidR="00AD6D4C" w:rsidRPr="00E70587" w:rsidRDefault="00AD6D4C" w:rsidP="00DC7DF7">
            <w:pPr>
              <w:spacing w:line="280" w:lineRule="exact"/>
              <w:rPr>
                <w:rFonts w:ascii="Arial" w:hAnsi="Arial" w:cs="Arial"/>
                <w:sz w:val="20"/>
                <w:lang w:eastAsia="en-IN"/>
              </w:rPr>
            </w:pPr>
            <w:r w:rsidRPr="00E70587">
              <w:rPr>
                <w:rFonts w:ascii="Arial" w:hAnsi="Arial" w:cs="Arial"/>
                <w:sz w:val="20"/>
              </w:rPr>
              <w:t>Illustration Limited</w:t>
            </w:r>
          </w:p>
        </w:tc>
        <w:tc>
          <w:tcPr>
            <w:tcW w:w="1638" w:type="dxa"/>
            <w:gridSpan w:val="2"/>
            <w:tcBorders>
              <w:top w:val="nil"/>
              <w:left w:val="nil"/>
              <w:bottom w:val="nil"/>
              <w:right w:val="nil"/>
            </w:tcBorders>
            <w:shd w:val="clear" w:color="auto" w:fill="auto"/>
            <w:noWrap/>
          </w:tcPr>
          <w:p w14:paraId="4E3563F9" w14:textId="77777777" w:rsidR="00AD6D4C" w:rsidRPr="00E70587" w:rsidRDefault="00AD6D4C" w:rsidP="009901E1">
            <w:pPr>
              <w:spacing w:line="280" w:lineRule="exact"/>
              <w:jc w:val="right"/>
              <w:rPr>
                <w:rFonts w:ascii="Arial" w:hAnsi="Arial" w:cs="Arial"/>
                <w:sz w:val="20"/>
                <w:lang w:eastAsia="en-IN"/>
              </w:rPr>
            </w:pPr>
          </w:p>
        </w:tc>
        <w:tc>
          <w:tcPr>
            <w:tcW w:w="1260" w:type="dxa"/>
            <w:tcBorders>
              <w:top w:val="nil"/>
              <w:left w:val="nil"/>
              <w:bottom w:val="nil"/>
              <w:right w:val="nil"/>
            </w:tcBorders>
            <w:shd w:val="clear" w:color="auto" w:fill="auto"/>
            <w:noWrap/>
          </w:tcPr>
          <w:p w14:paraId="714922DE" w14:textId="77777777" w:rsidR="00AD6D4C" w:rsidRPr="00E70587" w:rsidRDefault="00AD6D4C" w:rsidP="009901E1">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tcPr>
          <w:p w14:paraId="1DCB8F91" w14:textId="77777777" w:rsidR="00AD6D4C" w:rsidRPr="00E70587" w:rsidRDefault="00AD6D4C" w:rsidP="009901E1">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tcPr>
          <w:p w14:paraId="254F7D54" w14:textId="77777777" w:rsidR="00AD6D4C" w:rsidRPr="00E70587" w:rsidRDefault="00AD6D4C" w:rsidP="009901E1">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tcPr>
          <w:p w14:paraId="7587B636" w14:textId="77777777" w:rsidR="00AD6D4C" w:rsidRPr="00E70587" w:rsidRDefault="00AD6D4C" w:rsidP="009901E1">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tcPr>
          <w:p w14:paraId="72662662" w14:textId="77777777" w:rsidR="00AD6D4C" w:rsidRPr="00E70587" w:rsidRDefault="00AD6D4C" w:rsidP="009901E1">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tcPr>
          <w:p w14:paraId="53DB65AD" w14:textId="77777777" w:rsidR="00AD6D4C" w:rsidRPr="00E70587" w:rsidRDefault="00AD6D4C" w:rsidP="009901E1">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tcPr>
          <w:p w14:paraId="22D8833A" w14:textId="77777777" w:rsidR="00AD6D4C" w:rsidRPr="00E70587" w:rsidRDefault="00AD6D4C" w:rsidP="009901E1">
            <w:pPr>
              <w:spacing w:line="280" w:lineRule="exact"/>
              <w:jc w:val="right"/>
              <w:rPr>
                <w:rFonts w:ascii="Arial" w:hAnsi="Arial" w:cs="Arial"/>
                <w:sz w:val="20"/>
                <w:lang w:eastAsia="en-IN"/>
              </w:rPr>
            </w:pPr>
          </w:p>
        </w:tc>
      </w:tr>
      <w:tr w:rsidR="007028C9" w:rsidRPr="00E70587" w14:paraId="4F7F51BD" w14:textId="77777777" w:rsidTr="00755532">
        <w:tc>
          <w:tcPr>
            <w:tcW w:w="918" w:type="dxa"/>
            <w:tcBorders>
              <w:top w:val="nil"/>
              <w:left w:val="single" w:sz="8" w:space="0" w:color="auto"/>
              <w:bottom w:val="nil"/>
              <w:right w:val="nil"/>
            </w:tcBorders>
            <w:shd w:val="clear" w:color="auto" w:fill="auto"/>
            <w:noWrap/>
          </w:tcPr>
          <w:p w14:paraId="14D3293A" w14:textId="77777777" w:rsidR="007028C9" w:rsidRPr="00E70587" w:rsidRDefault="007028C9" w:rsidP="009901E1">
            <w:pPr>
              <w:spacing w:line="280" w:lineRule="exact"/>
              <w:rPr>
                <w:rFonts w:ascii="Arial" w:hAnsi="Arial" w:cs="Arial"/>
                <w:b/>
                <w:bCs/>
                <w:sz w:val="20"/>
                <w:lang w:eastAsia="en-IN"/>
              </w:rPr>
            </w:pPr>
          </w:p>
        </w:tc>
        <w:tc>
          <w:tcPr>
            <w:tcW w:w="2924" w:type="dxa"/>
            <w:tcBorders>
              <w:top w:val="nil"/>
              <w:left w:val="nil"/>
              <w:bottom w:val="nil"/>
              <w:right w:val="nil"/>
            </w:tcBorders>
            <w:shd w:val="clear" w:color="auto" w:fill="auto"/>
            <w:noWrap/>
          </w:tcPr>
          <w:p w14:paraId="03E15145" w14:textId="247754FF" w:rsidR="007028C9" w:rsidRPr="00E70587" w:rsidRDefault="007028C9" w:rsidP="009901E1">
            <w:pPr>
              <w:spacing w:line="280" w:lineRule="exact"/>
              <w:rPr>
                <w:rFonts w:ascii="Arial" w:hAnsi="Arial" w:cs="Arial"/>
                <w:sz w:val="20"/>
                <w:lang w:eastAsia="en-IN"/>
              </w:rPr>
            </w:pPr>
            <w:r w:rsidRPr="00E70587">
              <w:rPr>
                <w:rFonts w:ascii="Arial" w:hAnsi="Arial" w:cs="Arial"/>
                <w:sz w:val="20"/>
              </w:rPr>
              <w:t xml:space="preserve">Balance as at 31 </w:t>
            </w:r>
            <w:r w:rsidR="0010492C" w:rsidRPr="00E70587">
              <w:rPr>
                <w:rFonts w:ascii="Arial" w:hAnsi="Arial" w:cs="Arial"/>
                <w:sz w:val="20"/>
              </w:rPr>
              <w:t xml:space="preserve">March </w:t>
            </w:r>
            <w:r w:rsidR="00642FE1" w:rsidRPr="00E70587">
              <w:rPr>
                <w:rFonts w:ascii="Arial" w:hAnsi="Arial" w:cs="Arial"/>
                <w:sz w:val="20"/>
              </w:rPr>
              <w:t>20</w:t>
            </w:r>
            <w:r w:rsidR="00642FE1">
              <w:rPr>
                <w:rFonts w:ascii="Arial" w:hAnsi="Arial" w:cs="Arial"/>
                <w:sz w:val="20"/>
              </w:rPr>
              <w:t>21</w:t>
            </w:r>
          </w:p>
        </w:tc>
        <w:tc>
          <w:tcPr>
            <w:tcW w:w="1638" w:type="dxa"/>
            <w:gridSpan w:val="2"/>
            <w:tcBorders>
              <w:top w:val="nil"/>
              <w:left w:val="nil"/>
              <w:bottom w:val="nil"/>
              <w:right w:val="nil"/>
            </w:tcBorders>
            <w:shd w:val="clear" w:color="auto" w:fill="auto"/>
            <w:noWrap/>
          </w:tcPr>
          <w:p w14:paraId="75F76435" w14:textId="11047409" w:rsidR="007028C9" w:rsidRPr="00E70587" w:rsidRDefault="00AD372C" w:rsidP="009901E1">
            <w:pPr>
              <w:spacing w:line="280" w:lineRule="exact"/>
              <w:jc w:val="right"/>
              <w:rPr>
                <w:rFonts w:ascii="Arial" w:hAnsi="Arial" w:cs="Arial"/>
                <w:sz w:val="20"/>
                <w:lang w:eastAsia="en-IN"/>
              </w:rPr>
            </w:pPr>
            <w:r>
              <w:rPr>
                <w:rFonts w:ascii="Arial" w:hAnsi="Arial" w:cs="Arial"/>
                <w:sz w:val="20"/>
              </w:rPr>
              <w:t>60</w:t>
            </w:r>
            <w:r w:rsidR="007028C9" w:rsidRPr="00E70587">
              <w:rPr>
                <w:rFonts w:ascii="Arial" w:hAnsi="Arial" w:cs="Arial"/>
                <w:sz w:val="20"/>
              </w:rPr>
              <w:t>%</w:t>
            </w:r>
          </w:p>
        </w:tc>
        <w:tc>
          <w:tcPr>
            <w:tcW w:w="1260" w:type="dxa"/>
            <w:tcBorders>
              <w:top w:val="nil"/>
              <w:left w:val="nil"/>
              <w:bottom w:val="nil"/>
              <w:right w:val="nil"/>
            </w:tcBorders>
            <w:shd w:val="clear" w:color="auto" w:fill="auto"/>
            <w:noWrap/>
          </w:tcPr>
          <w:p w14:paraId="2ECC4289" w14:textId="37F81802"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 xml:space="preserve"> </w:t>
            </w:r>
            <w:r w:rsidR="00D76AF4" w:rsidRPr="00E70587">
              <w:rPr>
                <w:rFonts w:ascii="Arial" w:hAnsi="Arial" w:cs="Arial"/>
                <w:sz w:val="20"/>
              </w:rPr>
              <w:t>6</w:t>
            </w:r>
            <w:r w:rsidR="00D76AF4">
              <w:rPr>
                <w:rFonts w:ascii="Arial" w:hAnsi="Arial" w:cs="Arial"/>
                <w:sz w:val="20"/>
              </w:rPr>
              <w:t>7</w:t>
            </w:r>
            <w:r w:rsidRPr="00E70587">
              <w:rPr>
                <w:rFonts w:ascii="Arial" w:hAnsi="Arial" w:cs="Arial"/>
                <w:sz w:val="20"/>
              </w:rPr>
              <w:t>,</w:t>
            </w:r>
            <w:r w:rsidR="007417F4">
              <w:rPr>
                <w:rFonts w:ascii="Arial" w:hAnsi="Arial" w:cs="Arial"/>
                <w:sz w:val="20"/>
              </w:rPr>
              <w:t>0</w:t>
            </w:r>
            <w:r w:rsidR="00D76AF4">
              <w:rPr>
                <w:rFonts w:ascii="Arial" w:hAnsi="Arial" w:cs="Arial"/>
                <w:sz w:val="20"/>
              </w:rPr>
              <w:t>0</w:t>
            </w:r>
            <w:r w:rsidR="007417F4">
              <w:rPr>
                <w:rFonts w:ascii="Arial" w:hAnsi="Arial" w:cs="Arial"/>
                <w:sz w:val="20"/>
              </w:rPr>
              <w:t>3</w:t>
            </w:r>
            <w:r w:rsidR="0086569B" w:rsidRPr="00E70587">
              <w:rPr>
                <w:rFonts w:ascii="Arial" w:hAnsi="Arial" w:cs="Arial"/>
                <w:sz w:val="20"/>
              </w:rPr>
              <w:t xml:space="preserve"> </w:t>
            </w:r>
          </w:p>
        </w:tc>
        <w:tc>
          <w:tcPr>
            <w:tcW w:w="1710" w:type="dxa"/>
            <w:tcBorders>
              <w:top w:val="nil"/>
              <w:left w:val="nil"/>
              <w:bottom w:val="nil"/>
              <w:right w:val="nil"/>
            </w:tcBorders>
            <w:shd w:val="clear" w:color="auto" w:fill="auto"/>
            <w:noWrap/>
          </w:tcPr>
          <w:p w14:paraId="6D215038" w14:textId="43BDCA2F" w:rsidR="007028C9" w:rsidRPr="00E70587" w:rsidRDefault="002C10D5" w:rsidP="009901E1">
            <w:pPr>
              <w:spacing w:line="280" w:lineRule="exact"/>
              <w:jc w:val="right"/>
              <w:rPr>
                <w:rFonts w:ascii="Arial" w:hAnsi="Arial" w:cs="Arial"/>
                <w:sz w:val="20"/>
                <w:lang w:eastAsia="en-IN"/>
              </w:rPr>
            </w:pPr>
            <w:r w:rsidRPr="00E70587">
              <w:rPr>
                <w:rFonts w:ascii="Arial" w:hAnsi="Arial" w:cs="Arial"/>
                <w:sz w:val="20"/>
              </w:rPr>
              <w:t>4</w:t>
            </w:r>
            <w:r>
              <w:rPr>
                <w:rFonts w:ascii="Arial" w:hAnsi="Arial" w:cs="Arial"/>
                <w:sz w:val="20"/>
              </w:rPr>
              <w:t>7</w:t>
            </w:r>
            <w:r w:rsidR="007028C9" w:rsidRPr="00E70587">
              <w:rPr>
                <w:rFonts w:ascii="Arial" w:hAnsi="Arial" w:cs="Arial"/>
                <w:sz w:val="20"/>
              </w:rPr>
              <w:t>%</w:t>
            </w:r>
          </w:p>
        </w:tc>
        <w:tc>
          <w:tcPr>
            <w:tcW w:w="900" w:type="dxa"/>
            <w:tcBorders>
              <w:top w:val="nil"/>
              <w:left w:val="nil"/>
              <w:bottom w:val="nil"/>
              <w:right w:val="nil"/>
            </w:tcBorders>
            <w:shd w:val="clear" w:color="auto" w:fill="auto"/>
            <w:noWrap/>
          </w:tcPr>
          <w:p w14:paraId="320F5501" w14:textId="6B97D775"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 xml:space="preserve"> </w:t>
            </w:r>
            <w:r w:rsidR="002C10D5">
              <w:rPr>
                <w:rFonts w:ascii="Arial" w:hAnsi="Arial" w:cs="Arial"/>
                <w:sz w:val="20"/>
              </w:rPr>
              <w:t>6</w:t>
            </w:r>
            <w:r w:rsidRPr="00E70587">
              <w:rPr>
                <w:rFonts w:ascii="Arial" w:hAnsi="Arial" w:cs="Arial"/>
                <w:sz w:val="20"/>
              </w:rPr>
              <w:t>,</w:t>
            </w:r>
            <w:r w:rsidR="002C10D5">
              <w:rPr>
                <w:rFonts w:ascii="Arial" w:hAnsi="Arial" w:cs="Arial"/>
                <w:sz w:val="20"/>
              </w:rPr>
              <w:t>9</w:t>
            </w:r>
            <w:r w:rsidR="002C10D5" w:rsidRPr="00E70587">
              <w:rPr>
                <w:rFonts w:ascii="Arial" w:hAnsi="Arial" w:cs="Arial"/>
                <w:sz w:val="20"/>
              </w:rPr>
              <w:t>5</w:t>
            </w:r>
            <w:r w:rsidR="002C10D5">
              <w:rPr>
                <w:rFonts w:ascii="Arial" w:hAnsi="Arial" w:cs="Arial"/>
                <w:sz w:val="20"/>
              </w:rPr>
              <w:t>2</w:t>
            </w:r>
            <w:r w:rsidR="002C10D5" w:rsidRPr="00E70587">
              <w:rPr>
                <w:rFonts w:ascii="Arial" w:hAnsi="Arial" w:cs="Arial"/>
                <w:sz w:val="20"/>
              </w:rPr>
              <w:t xml:space="preserve"> </w:t>
            </w:r>
          </w:p>
        </w:tc>
        <w:tc>
          <w:tcPr>
            <w:tcW w:w="2250" w:type="dxa"/>
            <w:tcBorders>
              <w:top w:val="nil"/>
              <w:left w:val="nil"/>
              <w:bottom w:val="nil"/>
              <w:right w:val="nil"/>
            </w:tcBorders>
            <w:shd w:val="clear" w:color="auto" w:fill="auto"/>
            <w:noWrap/>
          </w:tcPr>
          <w:p w14:paraId="113CC721"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100%</w:t>
            </w:r>
          </w:p>
        </w:tc>
        <w:tc>
          <w:tcPr>
            <w:tcW w:w="720" w:type="dxa"/>
            <w:tcBorders>
              <w:top w:val="nil"/>
              <w:left w:val="nil"/>
              <w:bottom w:val="nil"/>
              <w:right w:val="nil"/>
            </w:tcBorders>
            <w:shd w:val="clear" w:color="auto" w:fill="auto"/>
            <w:noWrap/>
          </w:tcPr>
          <w:p w14:paraId="63B00691" w14:textId="3B31A548"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 xml:space="preserve"> </w:t>
            </w:r>
            <w:r w:rsidR="008029D5">
              <w:rPr>
                <w:rFonts w:ascii="Arial" w:hAnsi="Arial" w:cs="Arial"/>
                <w:sz w:val="20"/>
              </w:rPr>
              <w:t>21</w:t>
            </w:r>
            <w:r w:rsidR="009A67BB">
              <w:rPr>
                <w:rFonts w:ascii="Arial" w:hAnsi="Arial" w:cs="Arial"/>
                <w:sz w:val="20"/>
              </w:rPr>
              <w:t>2</w:t>
            </w:r>
            <w:r w:rsidR="009A67BB" w:rsidRPr="00E70587">
              <w:rPr>
                <w:rFonts w:ascii="Arial" w:hAnsi="Arial" w:cs="Arial"/>
                <w:sz w:val="20"/>
              </w:rPr>
              <w:t xml:space="preserve"> </w:t>
            </w:r>
          </w:p>
        </w:tc>
        <w:tc>
          <w:tcPr>
            <w:tcW w:w="1800" w:type="dxa"/>
            <w:tcBorders>
              <w:top w:val="nil"/>
              <w:left w:val="nil"/>
              <w:bottom w:val="nil"/>
              <w:right w:val="nil"/>
            </w:tcBorders>
            <w:shd w:val="clear" w:color="auto" w:fill="auto"/>
            <w:noWrap/>
          </w:tcPr>
          <w:p w14:paraId="72F8D0C0" w14:textId="7A9E85B5" w:rsidR="007028C9" w:rsidRPr="00E70587" w:rsidRDefault="004357E3" w:rsidP="009901E1">
            <w:pPr>
              <w:spacing w:line="280" w:lineRule="exact"/>
              <w:jc w:val="right"/>
              <w:rPr>
                <w:rFonts w:ascii="Arial" w:hAnsi="Arial" w:cs="Arial"/>
                <w:sz w:val="20"/>
                <w:lang w:eastAsia="en-IN"/>
              </w:rPr>
            </w:pPr>
            <w:r w:rsidRPr="00E70587">
              <w:rPr>
                <w:rFonts w:ascii="Arial" w:hAnsi="Arial" w:cs="Arial"/>
                <w:sz w:val="20"/>
              </w:rPr>
              <w:t>4</w:t>
            </w:r>
            <w:r>
              <w:rPr>
                <w:rFonts w:ascii="Arial" w:hAnsi="Arial" w:cs="Arial"/>
                <w:sz w:val="20"/>
              </w:rPr>
              <w:t>8</w:t>
            </w:r>
            <w:r w:rsidR="007028C9" w:rsidRPr="00E70587">
              <w:rPr>
                <w:rFonts w:ascii="Arial" w:hAnsi="Arial" w:cs="Arial"/>
                <w:sz w:val="20"/>
              </w:rPr>
              <w:t>%</w:t>
            </w:r>
          </w:p>
        </w:tc>
        <w:tc>
          <w:tcPr>
            <w:tcW w:w="990" w:type="dxa"/>
            <w:tcBorders>
              <w:top w:val="nil"/>
              <w:left w:val="nil"/>
              <w:bottom w:val="nil"/>
              <w:right w:val="single" w:sz="8" w:space="0" w:color="auto"/>
            </w:tcBorders>
            <w:shd w:val="clear" w:color="auto" w:fill="auto"/>
            <w:noWrap/>
          </w:tcPr>
          <w:p w14:paraId="4E6D3B0D" w14:textId="2E7C66B1"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 xml:space="preserve"> 7,</w:t>
            </w:r>
            <w:r w:rsidR="008029D5">
              <w:rPr>
                <w:rFonts w:ascii="Arial" w:hAnsi="Arial" w:cs="Arial"/>
                <w:sz w:val="20"/>
              </w:rPr>
              <w:t>16</w:t>
            </w:r>
            <w:r w:rsidR="00AD372C">
              <w:rPr>
                <w:rFonts w:ascii="Arial" w:hAnsi="Arial" w:cs="Arial"/>
                <w:sz w:val="20"/>
              </w:rPr>
              <w:t>6</w:t>
            </w:r>
            <w:r w:rsidR="008029D5" w:rsidRPr="00E70587">
              <w:rPr>
                <w:rFonts w:ascii="Arial" w:hAnsi="Arial" w:cs="Arial"/>
                <w:sz w:val="20"/>
              </w:rPr>
              <w:t xml:space="preserve"> </w:t>
            </w:r>
          </w:p>
        </w:tc>
      </w:tr>
      <w:tr w:rsidR="007028C9" w:rsidRPr="00E70587" w14:paraId="1FF5E53B" w14:textId="77777777" w:rsidTr="00755532">
        <w:tc>
          <w:tcPr>
            <w:tcW w:w="918" w:type="dxa"/>
            <w:tcBorders>
              <w:top w:val="nil"/>
              <w:left w:val="single" w:sz="8" w:space="0" w:color="auto"/>
              <w:bottom w:val="nil"/>
              <w:right w:val="nil"/>
            </w:tcBorders>
            <w:shd w:val="clear" w:color="auto" w:fill="auto"/>
            <w:noWrap/>
          </w:tcPr>
          <w:p w14:paraId="626FAEB4" w14:textId="77777777" w:rsidR="007028C9" w:rsidRPr="00E70587" w:rsidRDefault="007028C9" w:rsidP="009901E1">
            <w:pPr>
              <w:spacing w:line="280" w:lineRule="exact"/>
              <w:rPr>
                <w:rFonts w:ascii="Arial" w:hAnsi="Arial" w:cs="Arial"/>
                <w:b/>
                <w:bCs/>
                <w:sz w:val="20"/>
                <w:lang w:eastAsia="en-IN"/>
              </w:rPr>
            </w:pPr>
          </w:p>
        </w:tc>
        <w:tc>
          <w:tcPr>
            <w:tcW w:w="2924" w:type="dxa"/>
            <w:tcBorders>
              <w:top w:val="nil"/>
              <w:left w:val="nil"/>
              <w:bottom w:val="nil"/>
              <w:right w:val="nil"/>
            </w:tcBorders>
            <w:shd w:val="clear" w:color="auto" w:fill="auto"/>
            <w:noWrap/>
          </w:tcPr>
          <w:p w14:paraId="718E1092" w14:textId="757C6A8A" w:rsidR="007028C9" w:rsidRPr="00E70587" w:rsidRDefault="007028C9" w:rsidP="009901E1">
            <w:pPr>
              <w:spacing w:line="280" w:lineRule="exact"/>
              <w:rPr>
                <w:rFonts w:ascii="Arial" w:hAnsi="Arial" w:cs="Arial"/>
                <w:sz w:val="20"/>
                <w:lang w:eastAsia="en-IN"/>
              </w:rPr>
            </w:pPr>
            <w:r w:rsidRPr="00E70587">
              <w:rPr>
                <w:rFonts w:ascii="Arial" w:hAnsi="Arial" w:cs="Arial"/>
                <w:sz w:val="20"/>
              </w:rPr>
              <w:t xml:space="preserve">Balance as at 31 </w:t>
            </w:r>
            <w:r w:rsidR="008B730E" w:rsidRPr="00E70587">
              <w:rPr>
                <w:rFonts w:ascii="Arial" w:hAnsi="Arial" w:cs="Arial"/>
                <w:sz w:val="20"/>
              </w:rPr>
              <w:t xml:space="preserve">March </w:t>
            </w:r>
            <w:r w:rsidR="00642FE1" w:rsidRPr="00E70587">
              <w:rPr>
                <w:rFonts w:ascii="Arial" w:hAnsi="Arial" w:cs="Arial"/>
                <w:sz w:val="20"/>
              </w:rPr>
              <w:t>20</w:t>
            </w:r>
            <w:r w:rsidR="00642FE1">
              <w:rPr>
                <w:rFonts w:ascii="Arial" w:hAnsi="Arial" w:cs="Arial"/>
                <w:sz w:val="20"/>
              </w:rPr>
              <w:t>20</w:t>
            </w:r>
          </w:p>
        </w:tc>
        <w:tc>
          <w:tcPr>
            <w:tcW w:w="1638" w:type="dxa"/>
            <w:gridSpan w:val="2"/>
            <w:tcBorders>
              <w:top w:val="nil"/>
              <w:left w:val="nil"/>
              <w:bottom w:val="nil"/>
              <w:right w:val="nil"/>
            </w:tcBorders>
            <w:shd w:val="clear" w:color="auto" w:fill="auto"/>
            <w:noWrap/>
          </w:tcPr>
          <w:p w14:paraId="721EA16E" w14:textId="411032F5" w:rsidR="007028C9" w:rsidRPr="00E70587" w:rsidRDefault="00CA68BA" w:rsidP="009901E1">
            <w:pPr>
              <w:spacing w:line="280" w:lineRule="exact"/>
              <w:jc w:val="right"/>
              <w:rPr>
                <w:rFonts w:ascii="Arial" w:hAnsi="Arial" w:cs="Arial"/>
                <w:sz w:val="20"/>
                <w:lang w:eastAsia="en-IN"/>
              </w:rPr>
            </w:pPr>
            <w:r w:rsidRPr="00E70587">
              <w:rPr>
                <w:rFonts w:ascii="Arial" w:hAnsi="Arial" w:cs="Arial"/>
                <w:sz w:val="20"/>
              </w:rPr>
              <w:t>7</w:t>
            </w:r>
            <w:r>
              <w:rPr>
                <w:rFonts w:ascii="Arial" w:hAnsi="Arial" w:cs="Arial"/>
                <w:sz w:val="20"/>
              </w:rPr>
              <w:t>3</w:t>
            </w:r>
            <w:r w:rsidR="007028C9" w:rsidRPr="00E70587">
              <w:rPr>
                <w:rFonts w:ascii="Arial" w:hAnsi="Arial" w:cs="Arial"/>
                <w:sz w:val="20"/>
              </w:rPr>
              <w:t>%</w:t>
            </w:r>
          </w:p>
        </w:tc>
        <w:tc>
          <w:tcPr>
            <w:tcW w:w="1260" w:type="dxa"/>
            <w:tcBorders>
              <w:top w:val="nil"/>
              <w:left w:val="nil"/>
              <w:bottom w:val="nil"/>
              <w:right w:val="nil"/>
            </w:tcBorders>
            <w:shd w:val="clear" w:color="auto" w:fill="auto"/>
            <w:noWrap/>
          </w:tcPr>
          <w:p w14:paraId="1C23E47C" w14:textId="257FC08A"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 xml:space="preserve"> 62,</w:t>
            </w:r>
            <w:r w:rsidR="005B2F13">
              <w:rPr>
                <w:rFonts w:ascii="Arial" w:hAnsi="Arial" w:cs="Arial"/>
                <w:sz w:val="20"/>
              </w:rPr>
              <w:t>224</w:t>
            </w:r>
            <w:r w:rsidR="0086569B" w:rsidRPr="00E70587">
              <w:rPr>
                <w:rFonts w:ascii="Arial" w:hAnsi="Arial" w:cs="Arial"/>
                <w:sz w:val="20"/>
              </w:rPr>
              <w:t xml:space="preserve"> </w:t>
            </w:r>
          </w:p>
        </w:tc>
        <w:tc>
          <w:tcPr>
            <w:tcW w:w="1710" w:type="dxa"/>
            <w:tcBorders>
              <w:top w:val="nil"/>
              <w:left w:val="nil"/>
              <w:bottom w:val="nil"/>
              <w:right w:val="nil"/>
            </w:tcBorders>
            <w:shd w:val="clear" w:color="auto" w:fill="auto"/>
            <w:noWrap/>
          </w:tcPr>
          <w:p w14:paraId="280135B3" w14:textId="310A3850" w:rsidR="007028C9" w:rsidRPr="00E70587" w:rsidRDefault="00411FBC" w:rsidP="009901E1">
            <w:pPr>
              <w:spacing w:line="280" w:lineRule="exact"/>
              <w:jc w:val="right"/>
              <w:rPr>
                <w:rFonts w:ascii="Arial" w:hAnsi="Arial" w:cs="Arial"/>
                <w:sz w:val="20"/>
                <w:lang w:eastAsia="en-IN"/>
              </w:rPr>
            </w:pPr>
            <w:r>
              <w:rPr>
                <w:rFonts w:ascii="Arial" w:hAnsi="Arial" w:cs="Arial"/>
                <w:sz w:val="20"/>
              </w:rPr>
              <w:t>67</w:t>
            </w:r>
            <w:r w:rsidR="007028C9" w:rsidRPr="00E70587">
              <w:rPr>
                <w:rFonts w:ascii="Arial" w:hAnsi="Arial" w:cs="Arial"/>
                <w:sz w:val="20"/>
              </w:rPr>
              <w:t>%</w:t>
            </w:r>
          </w:p>
        </w:tc>
        <w:tc>
          <w:tcPr>
            <w:tcW w:w="900" w:type="dxa"/>
            <w:tcBorders>
              <w:top w:val="nil"/>
              <w:left w:val="nil"/>
              <w:bottom w:val="nil"/>
              <w:right w:val="nil"/>
            </w:tcBorders>
            <w:shd w:val="clear" w:color="auto" w:fill="auto"/>
            <w:noWrap/>
          </w:tcPr>
          <w:p w14:paraId="5175E6E6" w14:textId="7654713A"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 xml:space="preserve"> </w:t>
            </w:r>
            <w:r w:rsidR="00411FBC">
              <w:rPr>
                <w:rFonts w:ascii="Arial" w:hAnsi="Arial" w:cs="Arial"/>
                <w:sz w:val="20"/>
              </w:rPr>
              <w:t>6</w:t>
            </w:r>
            <w:r w:rsidRPr="00E70587">
              <w:rPr>
                <w:rFonts w:ascii="Arial" w:hAnsi="Arial" w:cs="Arial"/>
                <w:sz w:val="20"/>
              </w:rPr>
              <w:t>,</w:t>
            </w:r>
            <w:r w:rsidR="00411FBC">
              <w:rPr>
                <w:rFonts w:ascii="Arial" w:hAnsi="Arial" w:cs="Arial"/>
                <w:sz w:val="20"/>
              </w:rPr>
              <w:t>902</w:t>
            </w:r>
            <w:r w:rsidR="00411FBC" w:rsidRPr="00E70587">
              <w:rPr>
                <w:rFonts w:ascii="Arial" w:hAnsi="Arial" w:cs="Arial"/>
                <w:sz w:val="20"/>
              </w:rPr>
              <w:t xml:space="preserve"> </w:t>
            </w:r>
          </w:p>
        </w:tc>
        <w:tc>
          <w:tcPr>
            <w:tcW w:w="2250" w:type="dxa"/>
            <w:tcBorders>
              <w:top w:val="nil"/>
              <w:left w:val="nil"/>
              <w:bottom w:val="nil"/>
              <w:right w:val="nil"/>
            </w:tcBorders>
            <w:shd w:val="clear" w:color="auto" w:fill="auto"/>
            <w:noWrap/>
          </w:tcPr>
          <w:p w14:paraId="3327DB59"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100%</w:t>
            </w:r>
          </w:p>
        </w:tc>
        <w:tc>
          <w:tcPr>
            <w:tcW w:w="720" w:type="dxa"/>
            <w:tcBorders>
              <w:top w:val="nil"/>
              <w:left w:val="nil"/>
              <w:bottom w:val="nil"/>
              <w:right w:val="nil"/>
            </w:tcBorders>
            <w:shd w:val="clear" w:color="auto" w:fill="auto"/>
            <w:noWrap/>
          </w:tcPr>
          <w:p w14:paraId="1B16BE59" w14:textId="2088B116"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 xml:space="preserve"> -</w:t>
            </w:r>
            <w:r w:rsidR="009A67BB" w:rsidRPr="00E70587">
              <w:rPr>
                <w:rFonts w:ascii="Arial" w:hAnsi="Arial" w:cs="Arial"/>
                <w:sz w:val="20"/>
              </w:rPr>
              <w:t>65</w:t>
            </w:r>
            <w:r w:rsidR="009A67BB">
              <w:rPr>
                <w:rFonts w:ascii="Arial" w:hAnsi="Arial" w:cs="Arial"/>
                <w:sz w:val="20"/>
              </w:rPr>
              <w:t>6</w:t>
            </w:r>
            <w:r w:rsidR="009A67BB" w:rsidRPr="00E70587">
              <w:rPr>
                <w:rFonts w:ascii="Arial" w:hAnsi="Arial" w:cs="Arial"/>
                <w:sz w:val="20"/>
              </w:rPr>
              <w:t xml:space="preserve"> </w:t>
            </w:r>
          </w:p>
        </w:tc>
        <w:tc>
          <w:tcPr>
            <w:tcW w:w="1800" w:type="dxa"/>
            <w:tcBorders>
              <w:top w:val="nil"/>
              <w:left w:val="nil"/>
              <w:bottom w:val="nil"/>
              <w:right w:val="nil"/>
            </w:tcBorders>
            <w:shd w:val="clear" w:color="auto" w:fill="auto"/>
            <w:noWrap/>
          </w:tcPr>
          <w:p w14:paraId="52912E14" w14:textId="36FE6BF0" w:rsidR="007028C9" w:rsidRPr="00E70587" w:rsidRDefault="004357E3" w:rsidP="009901E1">
            <w:pPr>
              <w:spacing w:line="280" w:lineRule="exact"/>
              <w:jc w:val="right"/>
              <w:rPr>
                <w:rFonts w:ascii="Arial" w:hAnsi="Arial" w:cs="Arial"/>
                <w:sz w:val="20"/>
                <w:lang w:eastAsia="en-IN"/>
              </w:rPr>
            </w:pPr>
            <w:r w:rsidRPr="00E70587">
              <w:rPr>
                <w:rFonts w:ascii="Arial" w:hAnsi="Arial" w:cs="Arial"/>
                <w:sz w:val="20"/>
              </w:rPr>
              <w:t>6</w:t>
            </w:r>
            <w:r>
              <w:rPr>
                <w:rFonts w:ascii="Arial" w:hAnsi="Arial" w:cs="Arial"/>
                <w:sz w:val="20"/>
              </w:rPr>
              <w:t>5</w:t>
            </w:r>
            <w:r w:rsidR="007028C9" w:rsidRPr="00E70587">
              <w:rPr>
                <w:rFonts w:ascii="Arial" w:hAnsi="Arial" w:cs="Arial"/>
                <w:sz w:val="20"/>
              </w:rPr>
              <w:t>%</w:t>
            </w:r>
          </w:p>
        </w:tc>
        <w:tc>
          <w:tcPr>
            <w:tcW w:w="990" w:type="dxa"/>
            <w:tcBorders>
              <w:top w:val="nil"/>
              <w:left w:val="nil"/>
              <w:bottom w:val="nil"/>
              <w:right w:val="single" w:sz="8" w:space="0" w:color="auto"/>
            </w:tcBorders>
            <w:shd w:val="clear" w:color="auto" w:fill="auto"/>
            <w:noWrap/>
          </w:tcPr>
          <w:p w14:paraId="26A195A0" w14:textId="597FB2F3"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 xml:space="preserve"> </w:t>
            </w:r>
            <w:r w:rsidR="008D7E44">
              <w:rPr>
                <w:rFonts w:ascii="Arial" w:hAnsi="Arial" w:cs="Arial"/>
                <w:sz w:val="20"/>
              </w:rPr>
              <w:t>6,246</w:t>
            </w:r>
            <w:r w:rsidRPr="00E70587">
              <w:rPr>
                <w:rFonts w:ascii="Arial" w:hAnsi="Arial" w:cs="Arial"/>
                <w:sz w:val="20"/>
              </w:rPr>
              <w:t xml:space="preserve"> </w:t>
            </w:r>
          </w:p>
        </w:tc>
      </w:tr>
      <w:tr w:rsidR="00755532" w:rsidRPr="00E70587" w14:paraId="08847246" w14:textId="77777777" w:rsidTr="00755532">
        <w:tc>
          <w:tcPr>
            <w:tcW w:w="918" w:type="dxa"/>
            <w:tcBorders>
              <w:top w:val="nil"/>
              <w:left w:val="single" w:sz="8" w:space="0" w:color="auto"/>
              <w:bottom w:val="nil"/>
              <w:right w:val="nil"/>
            </w:tcBorders>
            <w:shd w:val="clear" w:color="auto" w:fill="auto"/>
            <w:noWrap/>
          </w:tcPr>
          <w:p w14:paraId="3767D490" w14:textId="77777777" w:rsidR="00755532" w:rsidRPr="00E70587" w:rsidRDefault="00755532" w:rsidP="009901E1">
            <w:pPr>
              <w:spacing w:line="280" w:lineRule="exact"/>
              <w:rPr>
                <w:rFonts w:ascii="Arial" w:hAnsi="Arial" w:cs="Arial"/>
                <w:b/>
                <w:bCs/>
                <w:sz w:val="20"/>
                <w:lang w:eastAsia="en-IN"/>
              </w:rPr>
            </w:pPr>
          </w:p>
        </w:tc>
        <w:tc>
          <w:tcPr>
            <w:tcW w:w="2924" w:type="dxa"/>
            <w:tcBorders>
              <w:top w:val="nil"/>
              <w:left w:val="nil"/>
              <w:bottom w:val="nil"/>
              <w:right w:val="nil"/>
            </w:tcBorders>
            <w:shd w:val="clear" w:color="auto" w:fill="auto"/>
            <w:noWrap/>
          </w:tcPr>
          <w:p w14:paraId="255260C5" w14:textId="77777777" w:rsidR="00755532" w:rsidRPr="00E70587" w:rsidRDefault="00755532" w:rsidP="009901E1">
            <w:pPr>
              <w:spacing w:line="280" w:lineRule="exact"/>
              <w:rPr>
                <w:rFonts w:ascii="Arial" w:hAnsi="Arial" w:cs="Arial"/>
                <w:sz w:val="20"/>
              </w:rPr>
            </w:pPr>
          </w:p>
        </w:tc>
        <w:tc>
          <w:tcPr>
            <w:tcW w:w="1638" w:type="dxa"/>
            <w:gridSpan w:val="2"/>
            <w:tcBorders>
              <w:top w:val="nil"/>
              <w:left w:val="nil"/>
              <w:bottom w:val="nil"/>
              <w:right w:val="nil"/>
            </w:tcBorders>
            <w:shd w:val="clear" w:color="auto" w:fill="auto"/>
            <w:noWrap/>
          </w:tcPr>
          <w:p w14:paraId="645731D7" w14:textId="77777777" w:rsidR="00755532" w:rsidRPr="00E70587" w:rsidRDefault="00755532" w:rsidP="009901E1">
            <w:pPr>
              <w:spacing w:line="280" w:lineRule="exact"/>
              <w:jc w:val="right"/>
              <w:rPr>
                <w:rFonts w:ascii="Arial" w:hAnsi="Arial" w:cs="Arial"/>
                <w:sz w:val="20"/>
              </w:rPr>
            </w:pPr>
          </w:p>
        </w:tc>
        <w:tc>
          <w:tcPr>
            <w:tcW w:w="1260" w:type="dxa"/>
            <w:tcBorders>
              <w:top w:val="nil"/>
              <w:left w:val="nil"/>
              <w:bottom w:val="nil"/>
              <w:right w:val="nil"/>
            </w:tcBorders>
            <w:shd w:val="clear" w:color="auto" w:fill="auto"/>
            <w:noWrap/>
          </w:tcPr>
          <w:p w14:paraId="002001DE" w14:textId="77777777" w:rsidR="00755532" w:rsidRPr="00E70587" w:rsidRDefault="00755532" w:rsidP="009901E1">
            <w:pPr>
              <w:spacing w:line="280" w:lineRule="exact"/>
              <w:jc w:val="right"/>
              <w:rPr>
                <w:rFonts w:ascii="Arial" w:hAnsi="Arial" w:cs="Arial"/>
                <w:sz w:val="20"/>
              </w:rPr>
            </w:pPr>
          </w:p>
        </w:tc>
        <w:tc>
          <w:tcPr>
            <w:tcW w:w="1710" w:type="dxa"/>
            <w:tcBorders>
              <w:top w:val="nil"/>
              <w:left w:val="nil"/>
              <w:bottom w:val="nil"/>
              <w:right w:val="nil"/>
            </w:tcBorders>
            <w:shd w:val="clear" w:color="auto" w:fill="auto"/>
            <w:noWrap/>
          </w:tcPr>
          <w:p w14:paraId="66F43F51" w14:textId="77777777" w:rsidR="00755532" w:rsidRPr="00E70587" w:rsidRDefault="00755532" w:rsidP="009901E1">
            <w:pPr>
              <w:spacing w:line="280" w:lineRule="exact"/>
              <w:jc w:val="right"/>
              <w:rPr>
                <w:rFonts w:ascii="Arial" w:hAnsi="Arial" w:cs="Arial"/>
                <w:sz w:val="20"/>
              </w:rPr>
            </w:pPr>
          </w:p>
        </w:tc>
        <w:tc>
          <w:tcPr>
            <w:tcW w:w="900" w:type="dxa"/>
            <w:tcBorders>
              <w:top w:val="nil"/>
              <w:left w:val="nil"/>
              <w:bottom w:val="nil"/>
              <w:right w:val="nil"/>
            </w:tcBorders>
            <w:shd w:val="clear" w:color="auto" w:fill="auto"/>
            <w:noWrap/>
          </w:tcPr>
          <w:p w14:paraId="432E03EF" w14:textId="77777777" w:rsidR="00755532" w:rsidRPr="00E70587" w:rsidRDefault="00755532" w:rsidP="009901E1">
            <w:pPr>
              <w:spacing w:line="280" w:lineRule="exact"/>
              <w:jc w:val="right"/>
              <w:rPr>
                <w:rFonts w:ascii="Arial" w:hAnsi="Arial" w:cs="Arial"/>
                <w:sz w:val="20"/>
              </w:rPr>
            </w:pPr>
          </w:p>
        </w:tc>
        <w:tc>
          <w:tcPr>
            <w:tcW w:w="2250" w:type="dxa"/>
            <w:tcBorders>
              <w:top w:val="nil"/>
              <w:left w:val="nil"/>
              <w:bottom w:val="nil"/>
              <w:right w:val="nil"/>
            </w:tcBorders>
            <w:shd w:val="clear" w:color="auto" w:fill="auto"/>
            <w:noWrap/>
          </w:tcPr>
          <w:p w14:paraId="5759B333" w14:textId="77777777" w:rsidR="00755532" w:rsidRPr="00E70587" w:rsidRDefault="00755532" w:rsidP="009901E1">
            <w:pPr>
              <w:spacing w:line="280" w:lineRule="exact"/>
              <w:jc w:val="right"/>
              <w:rPr>
                <w:rFonts w:ascii="Arial" w:hAnsi="Arial" w:cs="Arial"/>
                <w:sz w:val="20"/>
              </w:rPr>
            </w:pPr>
          </w:p>
        </w:tc>
        <w:tc>
          <w:tcPr>
            <w:tcW w:w="720" w:type="dxa"/>
            <w:tcBorders>
              <w:top w:val="nil"/>
              <w:left w:val="nil"/>
              <w:bottom w:val="nil"/>
              <w:right w:val="nil"/>
            </w:tcBorders>
            <w:shd w:val="clear" w:color="auto" w:fill="auto"/>
            <w:noWrap/>
          </w:tcPr>
          <w:p w14:paraId="273CA164" w14:textId="77777777" w:rsidR="00755532" w:rsidRPr="00E70587" w:rsidRDefault="00755532" w:rsidP="009901E1">
            <w:pPr>
              <w:spacing w:line="280" w:lineRule="exact"/>
              <w:jc w:val="right"/>
              <w:rPr>
                <w:rFonts w:ascii="Arial" w:hAnsi="Arial" w:cs="Arial"/>
                <w:sz w:val="20"/>
              </w:rPr>
            </w:pPr>
          </w:p>
        </w:tc>
        <w:tc>
          <w:tcPr>
            <w:tcW w:w="1800" w:type="dxa"/>
            <w:tcBorders>
              <w:top w:val="nil"/>
              <w:left w:val="nil"/>
              <w:bottom w:val="nil"/>
              <w:right w:val="nil"/>
            </w:tcBorders>
            <w:shd w:val="clear" w:color="auto" w:fill="auto"/>
            <w:noWrap/>
          </w:tcPr>
          <w:p w14:paraId="5C084873" w14:textId="77777777" w:rsidR="00755532" w:rsidRPr="00E70587" w:rsidRDefault="00755532" w:rsidP="009901E1">
            <w:pPr>
              <w:spacing w:line="280" w:lineRule="exact"/>
              <w:jc w:val="right"/>
              <w:rPr>
                <w:rFonts w:ascii="Arial" w:hAnsi="Arial" w:cs="Arial"/>
                <w:sz w:val="20"/>
              </w:rPr>
            </w:pPr>
          </w:p>
        </w:tc>
        <w:tc>
          <w:tcPr>
            <w:tcW w:w="990" w:type="dxa"/>
            <w:tcBorders>
              <w:top w:val="nil"/>
              <w:left w:val="nil"/>
              <w:bottom w:val="nil"/>
              <w:right w:val="single" w:sz="8" w:space="0" w:color="auto"/>
            </w:tcBorders>
            <w:shd w:val="clear" w:color="auto" w:fill="auto"/>
            <w:noWrap/>
          </w:tcPr>
          <w:p w14:paraId="44D05CC9" w14:textId="77777777" w:rsidR="00755532" w:rsidRPr="00E70587" w:rsidRDefault="00755532" w:rsidP="009901E1">
            <w:pPr>
              <w:spacing w:line="280" w:lineRule="exact"/>
              <w:jc w:val="right"/>
              <w:rPr>
                <w:rFonts w:ascii="Arial" w:hAnsi="Arial" w:cs="Arial"/>
                <w:sz w:val="20"/>
              </w:rPr>
            </w:pPr>
          </w:p>
        </w:tc>
      </w:tr>
      <w:tr w:rsidR="00AD6D4C" w:rsidRPr="00E70587" w14:paraId="4FBA75C2" w14:textId="77777777" w:rsidTr="00755532">
        <w:tc>
          <w:tcPr>
            <w:tcW w:w="3842" w:type="dxa"/>
            <w:gridSpan w:val="2"/>
            <w:tcBorders>
              <w:top w:val="nil"/>
              <w:left w:val="single" w:sz="8" w:space="0" w:color="auto"/>
              <w:bottom w:val="nil"/>
              <w:right w:val="nil"/>
            </w:tcBorders>
            <w:shd w:val="clear" w:color="auto" w:fill="auto"/>
            <w:noWrap/>
            <w:vAlign w:val="center"/>
            <w:hideMark/>
          </w:tcPr>
          <w:p w14:paraId="5C20A671" w14:textId="77777777" w:rsidR="00AD6D4C" w:rsidRPr="00E70587" w:rsidRDefault="00AD6D4C" w:rsidP="009901E1">
            <w:pPr>
              <w:spacing w:line="280" w:lineRule="exact"/>
              <w:rPr>
                <w:rFonts w:ascii="Arial" w:hAnsi="Arial" w:cs="Arial"/>
                <w:b/>
                <w:bCs/>
                <w:sz w:val="20"/>
                <w:lang w:eastAsia="en-IN"/>
              </w:rPr>
            </w:pPr>
            <w:r w:rsidRPr="00E70587">
              <w:rPr>
                <w:rFonts w:ascii="Arial" w:hAnsi="Arial" w:cs="Arial"/>
                <w:b/>
                <w:bCs/>
                <w:sz w:val="20"/>
                <w:lang w:eastAsia="en-IN"/>
              </w:rPr>
              <w:t>Subsidiaries</w:t>
            </w:r>
          </w:p>
        </w:tc>
        <w:tc>
          <w:tcPr>
            <w:tcW w:w="1638" w:type="dxa"/>
            <w:gridSpan w:val="2"/>
            <w:tcBorders>
              <w:top w:val="nil"/>
              <w:left w:val="nil"/>
              <w:bottom w:val="nil"/>
              <w:right w:val="nil"/>
            </w:tcBorders>
            <w:shd w:val="clear" w:color="auto" w:fill="auto"/>
            <w:noWrap/>
            <w:vAlign w:val="center"/>
            <w:hideMark/>
          </w:tcPr>
          <w:p w14:paraId="6B9E3409" w14:textId="77777777" w:rsidR="00AD6D4C" w:rsidRPr="00E70587" w:rsidRDefault="00AD6D4C" w:rsidP="009901E1">
            <w:pPr>
              <w:spacing w:line="280" w:lineRule="exact"/>
              <w:jc w:val="right"/>
              <w:rPr>
                <w:rFonts w:ascii="Arial" w:hAnsi="Arial" w:cs="Arial"/>
                <w:sz w:val="20"/>
                <w:lang w:eastAsia="en-IN"/>
              </w:rPr>
            </w:pPr>
          </w:p>
        </w:tc>
        <w:tc>
          <w:tcPr>
            <w:tcW w:w="1260" w:type="dxa"/>
            <w:tcBorders>
              <w:top w:val="nil"/>
              <w:left w:val="nil"/>
              <w:bottom w:val="nil"/>
              <w:right w:val="nil"/>
            </w:tcBorders>
            <w:shd w:val="clear" w:color="auto" w:fill="auto"/>
            <w:noWrap/>
            <w:vAlign w:val="center"/>
            <w:hideMark/>
          </w:tcPr>
          <w:p w14:paraId="2F3F2832" w14:textId="77777777" w:rsidR="00AD6D4C" w:rsidRPr="00E70587" w:rsidRDefault="00AD6D4C" w:rsidP="009901E1">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vAlign w:val="center"/>
            <w:hideMark/>
          </w:tcPr>
          <w:p w14:paraId="24F5C16F" w14:textId="77777777" w:rsidR="00AD6D4C" w:rsidRPr="00E70587" w:rsidRDefault="00AD6D4C" w:rsidP="009901E1">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vAlign w:val="center"/>
            <w:hideMark/>
          </w:tcPr>
          <w:p w14:paraId="030A8CCE" w14:textId="77777777" w:rsidR="00AD6D4C" w:rsidRPr="00E70587" w:rsidRDefault="00AD6D4C" w:rsidP="009901E1">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vAlign w:val="center"/>
            <w:hideMark/>
          </w:tcPr>
          <w:p w14:paraId="46C86745" w14:textId="77777777" w:rsidR="00AD6D4C" w:rsidRPr="00E70587" w:rsidRDefault="00AD6D4C" w:rsidP="009901E1">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vAlign w:val="center"/>
            <w:hideMark/>
          </w:tcPr>
          <w:p w14:paraId="112E90E6" w14:textId="77777777" w:rsidR="00AD6D4C" w:rsidRPr="00E70587" w:rsidRDefault="00AD6D4C" w:rsidP="009901E1">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vAlign w:val="center"/>
            <w:hideMark/>
          </w:tcPr>
          <w:p w14:paraId="42796EF8" w14:textId="77777777" w:rsidR="00AD6D4C" w:rsidRPr="00E70587" w:rsidRDefault="00AD6D4C" w:rsidP="009901E1">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center"/>
            <w:hideMark/>
          </w:tcPr>
          <w:p w14:paraId="47A2E866"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 </w:t>
            </w:r>
          </w:p>
        </w:tc>
      </w:tr>
      <w:tr w:rsidR="00AD6D4C" w:rsidRPr="00E70587" w14:paraId="5F664473" w14:textId="77777777" w:rsidTr="00755532">
        <w:tc>
          <w:tcPr>
            <w:tcW w:w="918" w:type="dxa"/>
            <w:tcBorders>
              <w:top w:val="nil"/>
              <w:left w:val="single" w:sz="8" w:space="0" w:color="auto"/>
              <w:bottom w:val="nil"/>
              <w:right w:val="nil"/>
            </w:tcBorders>
            <w:shd w:val="clear" w:color="auto" w:fill="auto"/>
            <w:noWrap/>
            <w:vAlign w:val="center"/>
            <w:hideMark/>
          </w:tcPr>
          <w:p w14:paraId="3F44721D" w14:textId="77777777" w:rsidR="00AD6D4C" w:rsidRPr="00E70587" w:rsidRDefault="00AD6D4C" w:rsidP="009901E1">
            <w:pPr>
              <w:spacing w:line="280" w:lineRule="exact"/>
              <w:rPr>
                <w:rFonts w:ascii="Arial" w:hAnsi="Arial" w:cs="Arial"/>
                <w:b/>
                <w:bCs/>
                <w:sz w:val="20"/>
                <w:lang w:eastAsia="en-IN"/>
              </w:rPr>
            </w:pPr>
            <w:r w:rsidRPr="00E70587">
              <w:rPr>
                <w:rFonts w:ascii="Arial" w:hAnsi="Arial" w:cs="Arial"/>
                <w:b/>
                <w:bCs/>
                <w:sz w:val="20"/>
                <w:lang w:eastAsia="en-IN"/>
              </w:rPr>
              <w:t>Indian</w:t>
            </w:r>
          </w:p>
        </w:tc>
        <w:tc>
          <w:tcPr>
            <w:tcW w:w="2924" w:type="dxa"/>
            <w:tcBorders>
              <w:top w:val="nil"/>
              <w:left w:val="nil"/>
              <w:bottom w:val="nil"/>
              <w:right w:val="nil"/>
            </w:tcBorders>
            <w:shd w:val="clear" w:color="auto" w:fill="auto"/>
            <w:noWrap/>
            <w:vAlign w:val="bottom"/>
            <w:hideMark/>
          </w:tcPr>
          <w:p w14:paraId="3FDA85D2" w14:textId="77777777" w:rsidR="00AD6D4C" w:rsidRPr="00E70587" w:rsidRDefault="00AD6D4C" w:rsidP="009901E1">
            <w:pPr>
              <w:spacing w:line="280" w:lineRule="exact"/>
              <w:rPr>
                <w:rFonts w:ascii="Arial" w:hAnsi="Arial" w:cs="Arial"/>
                <w:sz w:val="20"/>
                <w:lang w:eastAsia="en-IN"/>
              </w:rPr>
            </w:pPr>
          </w:p>
        </w:tc>
        <w:tc>
          <w:tcPr>
            <w:tcW w:w="1638" w:type="dxa"/>
            <w:gridSpan w:val="2"/>
            <w:tcBorders>
              <w:top w:val="nil"/>
              <w:left w:val="nil"/>
              <w:bottom w:val="nil"/>
              <w:right w:val="nil"/>
            </w:tcBorders>
            <w:shd w:val="clear" w:color="auto" w:fill="auto"/>
            <w:noWrap/>
            <w:vAlign w:val="center"/>
            <w:hideMark/>
          </w:tcPr>
          <w:p w14:paraId="3D4CA779" w14:textId="77777777" w:rsidR="00AD6D4C" w:rsidRPr="00E70587" w:rsidRDefault="00AD6D4C" w:rsidP="009901E1">
            <w:pPr>
              <w:spacing w:line="280" w:lineRule="exact"/>
              <w:jc w:val="right"/>
              <w:rPr>
                <w:rFonts w:ascii="Arial" w:hAnsi="Arial" w:cs="Arial"/>
                <w:sz w:val="20"/>
                <w:lang w:eastAsia="en-IN"/>
              </w:rPr>
            </w:pPr>
          </w:p>
        </w:tc>
        <w:tc>
          <w:tcPr>
            <w:tcW w:w="1260" w:type="dxa"/>
            <w:tcBorders>
              <w:top w:val="nil"/>
              <w:left w:val="nil"/>
              <w:bottom w:val="nil"/>
              <w:right w:val="nil"/>
            </w:tcBorders>
            <w:shd w:val="clear" w:color="auto" w:fill="auto"/>
            <w:noWrap/>
            <w:vAlign w:val="center"/>
            <w:hideMark/>
          </w:tcPr>
          <w:p w14:paraId="40C1B329" w14:textId="77777777" w:rsidR="00AD6D4C" w:rsidRPr="00E70587" w:rsidRDefault="00AD6D4C" w:rsidP="009901E1">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vAlign w:val="center"/>
            <w:hideMark/>
          </w:tcPr>
          <w:p w14:paraId="6202FC71" w14:textId="77777777" w:rsidR="00AD6D4C" w:rsidRPr="00E70587" w:rsidRDefault="00AD6D4C" w:rsidP="009901E1">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vAlign w:val="center"/>
            <w:hideMark/>
          </w:tcPr>
          <w:p w14:paraId="279B5F02" w14:textId="77777777" w:rsidR="00AD6D4C" w:rsidRPr="00E70587" w:rsidRDefault="00AD6D4C" w:rsidP="009901E1">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vAlign w:val="center"/>
            <w:hideMark/>
          </w:tcPr>
          <w:p w14:paraId="0E988F0B" w14:textId="77777777" w:rsidR="00AD6D4C" w:rsidRPr="00E70587" w:rsidRDefault="00AD6D4C" w:rsidP="009901E1">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vAlign w:val="center"/>
            <w:hideMark/>
          </w:tcPr>
          <w:p w14:paraId="0DB45F22" w14:textId="77777777" w:rsidR="00AD6D4C" w:rsidRPr="00E70587" w:rsidRDefault="00AD6D4C" w:rsidP="009901E1">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vAlign w:val="center"/>
            <w:hideMark/>
          </w:tcPr>
          <w:p w14:paraId="5BB24F6D" w14:textId="77777777" w:rsidR="00AD6D4C" w:rsidRPr="00E70587" w:rsidRDefault="00AD6D4C" w:rsidP="009901E1">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center"/>
            <w:hideMark/>
          </w:tcPr>
          <w:p w14:paraId="629DEBA7"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 </w:t>
            </w:r>
          </w:p>
        </w:tc>
      </w:tr>
      <w:tr w:rsidR="00AD6D4C" w:rsidRPr="00E70587" w14:paraId="79E0E3E0" w14:textId="77777777" w:rsidTr="00755532">
        <w:tc>
          <w:tcPr>
            <w:tcW w:w="918" w:type="dxa"/>
            <w:tcBorders>
              <w:top w:val="nil"/>
              <w:left w:val="single" w:sz="8" w:space="0" w:color="auto"/>
              <w:bottom w:val="nil"/>
              <w:right w:val="nil"/>
            </w:tcBorders>
            <w:shd w:val="clear" w:color="auto" w:fill="auto"/>
            <w:noWrap/>
            <w:vAlign w:val="center"/>
            <w:hideMark/>
          </w:tcPr>
          <w:p w14:paraId="715CE75C"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1</w:t>
            </w:r>
          </w:p>
        </w:tc>
        <w:tc>
          <w:tcPr>
            <w:tcW w:w="2924" w:type="dxa"/>
            <w:tcBorders>
              <w:top w:val="nil"/>
              <w:left w:val="nil"/>
              <w:bottom w:val="nil"/>
              <w:right w:val="nil"/>
            </w:tcBorders>
            <w:shd w:val="clear" w:color="auto" w:fill="auto"/>
            <w:noWrap/>
            <w:vAlign w:val="center"/>
            <w:hideMark/>
          </w:tcPr>
          <w:p w14:paraId="1424B0BB" w14:textId="77777777" w:rsidR="00AD6D4C" w:rsidRPr="00E70587" w:rsidRDefault="00AD6D4C" w:rsidP="009901E1">
            <w:pPr>
              <w:spacing w:line="280" w:lineRule="exact"/>
              <w:rPr>
                <w:rFonts w:ascii="Arial" w:hAnsi="Arial" w:cs="Arial"/>
                <w:sz w:val="20"/>
                <w:lang w:eastAsia="en-IN"/>
              </w:rPr>
            </w:pPr>
            <w:r w:rsidRPr="00E70587">
              <w:rPr>
                <w:rFonts w:ascii="Arial" w:hAnsi="Arial" w:cs="Arial"/>
                <w:sz w:val="20"/>
                <w:lang w:eastAsia="en-IN"/>
              </w:rPr>
              <w:t>Extinguishers Limited</w:t>
            </w:r>
          </w:p>
        </w:tc>
        <w:tc>
          <w:tcPr>
            <w:tcW w:w="1638" w:type="dxa"/>
            <w:gridSpan w:val="2"/>
            <w:tcBorders>
              <w:top w:val="nil"/>
              <w:left w:val="nil"/>
              <w:bottom w:val="nil"/>
              <w:right w:val="nil"/>
            </w:tcBorders>
            <w:shd w:val="clear" w:color="auto" w:fill="auto"/>
            <w:noWrap/>
            <w:vAlign w:val="center"/>
            <w:hideMark/>
          </w:tcPr>
          <w:p w14:paraId="5E9CB698" w14:textId="77777777" w:rsidR="00AD6D4C" w:rsidRPr="00E70587" w:rsidRDefault="00AD6D4C" w:rsidP="009901E1">
            <w:pPr>
              <w:spacing w:line="280" w:lineRule="exact"/>
              <w:jc w:val="right"/>
              <w:rPr>
                <w:rFonts w:ascii="Arial" w:hAnsi="Arial" w:cs="Arial"/>
                <w:sz w:val="20"/>
                <w:lang w:eastAsia="en-IN"/>
              </w:rPr>
            </w:pPr>
          </w:p>
        </w:tc>
        <w:tc>
          <w:tcPr>
            <w:tcW w:w="1260" w:type="dxa"/>
            <w:tcBorders>
              <w:top w:val="nil"/>
              <w:left w:val="nil"/>
              <w:bottom w:val="nil"/>
              <w:right w:val="nil"/>
            </w:tcBorders>
            <w:shd w:val="clear" w:color="auto" w:fill="auto"/>
            <w:noWrap/>
            <w:vAlign w:val="center"/>
            <w:hideMark/>
          </w:tcPr>
          <w:p w14:paraId="3D15DC0E" w14:textId="77777777" w:rsidR="00AD6D4C" w:rsidRPr="00E70587" w:rsidRDefault="00AD6D4C" w:rsidP="009901E1">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vAlign w:val="center"/>
            <w:hideMark/>
          </w:tcPr>
          <w:p w14:paraId="0AA7E213" w14:textId="77777777" w:rsidR="00AD6D4C" w:rsidRPr="00E70587" w:rsidRDefault="00AD6D4C" w:rsidP="009901E1">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vAlign w:val="center"/>
            <w:hideMark/>
          </w:tcPr>
          <w:p w14:paraId="6598B656" w14:textId="77777777" w:rsidR="00AD6D4C" w:rsidRPr="00E70587" w:rsidRDefault="00AD6D4C" w:rsidP="009901E1">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vAlign w:val="center"/>
            <w:hideMark/>
          </w:tcPr>
          <w:p w14:paraId="2E97ED5D" w14:textId="77777777" w:rsidR="00AD6D4C" w:rsidRPr="00E70587" w:rsidRDefault="00AD6D4C" w:rsidP="009901E1">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vAlign w:val="center"/>
            <w:hideMark/>
          </w:tcPr>
          <w:p w14:paraId="1579E6C0" w14:textId="77777777" w:rsidR="00AD6D4C" w:rsidRPr="00E70587" w:rsidRDefault="00AD6D4C" w:rsidP="009901E1">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vAlign w:val="center"/>
            <w:hideMark/>
          </w:tcPr>
          <w:p w14:paraId="0095FEB0" w14:textId="77777777" w:rsidR="00AD6D4C" w:rsidRPr="00E70587" w:rsidRDefault="00AD6D4C" w:rsidP="009901E1">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center"/>
            <w:hideMark/>
          </w:tcPr>
          <w:p w14:paraId="15585C7D"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 </w:t>
            </w:r>
          </w:p>
        </w:tc>
      </w:tr>
      <w:tr w:rsidR="00AD6D4C" w:rsidRPr="00E70587" w14:paraId="3E7501EA" w14:textId="77777777" w:rsidTr="00755532">
        <w:tc>
          <w:tcPr>
            <w:tcW w:w="918" w:type="dxa"/>
            <w:tcBorders>
              <w:top w:val="nil"/>
              <w:left w:val="single" w:sz="8" w:space="0" w:color="auto"/>
              <w:bottom w:val="nil"/>
              <w:right w:val="nil"/>
            </w:tcBorders>
            <w:shd w:val="clear" w:color="auto" w:fill="auto"/>
            <w:noWrap/>
            <w:vAlign w:val="center"/>
            <w:hideMark/>
          </w:tcPr>
          <w:p w14:paraId="4393041F"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24" w:type="dxa"/>
            <w:tcBorders>
              <w:top w:val="nil"/>
              <w:left w:val="nil"/>
              <w:bottom w:val="nil"/>
              <w:right w:val="nil"/>
            </w:tcBorders>
            <w:shd w:val="clear" w:color="auto" w:fill="auto"/>
            <w:noWrap/>
            <w:vAlign w:val="center"/>
            <w:hideMark/>
          </w:tcPr>
          <w:p w14:paraId="7A11DF2B" w14:textId="1300E92D" w:rsidR="00AD6D4C" w:rsidRPr="00E70587" w:rsidRDefault="00AD6D4C"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10492C"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21</w:t>
            </w:r>
          </w:p>
        </w:tc>
        <w:tc>
          <w:tcPr>
            <w:tcW w:w="1638" w:type="dxa"/>
            <w:gridSpan w:val="2"/>
            <w:tcBorders>
              <w:top w:val="nil"/>
              <w:left w:val="nil"/>
              <w:bottom w:val="nil"/>
              <w:right w:val="nil"/>
            </w:tcBorders>
            <w:shd w:val="clear" w:color="auto" w:fill="auto"/>
            <w:noWrap/>
            <w:hideMark/>
          </w:tcPr>
          <w:p w14:paraId="1AAB6085"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8%</w:t>
            </w:r>
          </w:p>
        </w:tc>
        <w:tc>
          <w:tcPr>
            <w:tcW w:w="1260" w:type="dxa"/>
            <w:tcBorders>
              <w:top w:val="nil"/>
              <w:left w:val="nil"/>
              <w:bottom w:val="nil"/>
              <w:right w:val="nil"/>
            </w:tcBorders>
            <w:shd w:val="clear" w:color="auto" w:fill="auto"/>
            <w:noWrap/>
            <w:hideMark/>
          </w:tcPr>
          <w:p w14:paraId="3BA2975F"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9,436</w:t>
            </w:r>
            <w:r w:rsidR="00950163" w:rsidRPr="00E70587">
              <w:rPr>
                <w:rFonts w:ascii="Arial" w:hAnsi="Arial" w:cs="Arial"/>
                <w:sz w:val="20"/>
              </w:rPr>
              <w:t xml:space="preserve"> </w:t>
            </w:r>
          </w:p>
        </w:tc>
        <w:tc>
          <w:tcPr>
            <w:tcW w:w="1710" w:type="dxa"/>
            <w:tcBorders>
              <w:top w:val="nil"/>
              <w:left w:val="nil"/>
              <w:bottom w:val="nil"/>
              <w:right w:val="nil"/>
            </w:tcBorders>
            <w:shd w:val="clear" w:color="auto" w:fill="auto"/>
            <w:noWrap/>
            <w:hideMark/>
          </w:tcPr>
          <w:p w14:paraId="6795F52C"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7%</w:t>
            </w:r>
          </w:p>
        </w:tc>
        <w:tc>
          <w:tcPr>
            <w:tcW w:w="900" w:type="dxa"/>
            <w:tcBorders>
              <w:top w:val="nil"/>
              <w:left w:val="nil"/>
              <w:bottom w:val="nil"/>
              <w:right w:val="nil"/>
            </w:tcBorders>
            <w:shd w:val="clear" w:color="auto" w:fill="auto"/>
            <w:noWrap/>
            <w:hideMark/>
          </w:tcPr>
          <w:p w14:paraId="7EEB74C5"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1,071</w:t>
            </w:r>
            <w:r w:rsidR="00950163" w:rsidRPr="00E70587">
              <w:rPr>
                <w:rFonts w:ascii="Arial" w:hAnsi="Arial" w:cs="Arial"/>
                <w:sz w:val="20"/>
              </w:rPr>
              <w:t xml:space="preserve"> </w:t>
            </w:r>
          </w:p>
        </w:tc>
        <w:tc>
          <w:tcPr>
            <w:tcW w:w="2250" w:type="dxa"/>
            <w:tcBorders>
              <w:top w:val="nil"/>
              <w:left w:val="nil"/>
              <w:bottom w:val="nil"/>
              <w:right w:val="nil"/>
            </w:tcBorders>
            <w:shd w:val="clear" w:color="auto" w:fill="auto"/>
            <w:noWrap/>
            <w:hideMark/>
          </w:tcPr>
          <w:p w14:paraId="29EB96F7"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4E0B3CB3"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c>
          <w:tcPr>
            <w:tcW w:w="1800" w:type="dxa"/>
            <w:tcBorders>
              <w:top w:val="nil"/>
              <w:left w:val="nil"/>
              <w:bottom w:val="nil"/>
              <w:right w:val="nil"/>
            </w:tcBorders>
            <w:shd w:val="clear" w:color="auto" w:fill="auto"/>
            <w:noWrap/>
            <w:hideMark/>
          </w:tcPr>
          <w:p w14:paraId="202476FF"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7%</w:t>
            </w:r>
          </w:p>
        </w:tc>
        <w:tc>
          <w:tcPr>
            <w:tcW w:w="990" w:type="dxa"/>
            <w:tcBorders>
              <w:top w:val="nil"/>
              <w:left w:val="nil"/>
              <w:bottom w:val="nil"/>
              <w:right w:val="single" w:sz="8" w:space="0" w:color="auto"/>
            </w:tcBorders>
            <w:shd w:val="clear" w:color="auto" w:fill="auto"/>
            <w:noWrap/>
            <w:hideMark/>
          </w:tcPr>
          <w:p w14:paraId="31F5D18E"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1,071</w:t>
            </w:r>
            <w:r w:rsidR="00950163" w:rsidRPr="00E70587">
              <w:rPr>
                <w:rFonts w:ascii="Arial" w:hAnsi="Arial" w:cs="Arial"/>
                <w:sz w:val="20"/>
              </w:rPr>
              <w:t xml:space="preserve"> </w:t>
            </w:r>
          </w:p>
        </w:tc>
      </w:tr>
      <w:tr w:rsidR="00AD6D4C" w:rsidRPr="00E70587" w14:paraId="4A1DB466" w14:textId="77777777" w:rsidTr="00755532">
        <w:tc>
          <w:tcPr>
            <w:tcW w:w="918" w:type="dxa"/>
            <w:tcBorders>
              <w:top w:val="nil"/>
              <w:left w:val="single" w:sz="8" w:space="0" w:color="auto"/>
              <w:bottom w:val="nil"/>
              <w:right w:val="nil"/>
            </w:tcBorders>
            <w:shd w:val="clear" w:color="auto" w:fill="auto"/>
            <w:noWrap/>
            <w:vAlign w:val="center"/>
            <w:hideMark/>
          </w:tcPr>
          <w:p w14:paraId="29D732DE"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24" w:type="dxa"/>
            <w:tcBorders>
              <w:top w:val="nil"/>
              <w:left w:val="nil"/>
              <w:bottom w:val="nil"/>
              <w:right w:val="nil"/>
            </w:tcBorders>
            <w:shd w:val="clear" w:color="auto" w:fill="auto"/>
            <w:noWrap/>
            <w:vAlign w:val="center"/>
            <w:hideMark/>
          </w:tcPr>
          <w:p w14:paraId="3FC745B7" w14:textId="24FE0F1C" w:rsidR="00AD6D4C" w:rsidRPr="00E70587" w:rsidRDefault="00AD6D4C"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8B730E"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20</w:t>
            </w:r>
          </w:p>
        </w:tc>
        <w:tc>
          <w:tcPr>
            <w:tcW w:w="1638" w:type="dxa"/>
            <w:gridSpan w:val="2"/>
            <w:tcBorders>
              <w:top w:val="nil"/>
              <w:left w:val="nil"/>
              <w:bottom w:val="nil"/>
              <w:right w:val="nil"/>
            </w:tcBorders>
            <w:shd w:val="clear" w:color="auto" w:fill="auto"/>
            <w:noWrap/>
            <w:hideMark/>
          </w:tcPr>
          <w:p w14:paraId="5ACA59DE"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0%</w:t>
            </w:r>
          </w:p>
        </w:tc>
        <w:tc>
          <w:tcPr>
            <w:tcW w:w="1260" w:type="dxa"/>
            <w:tcBorders>
              <w:top w:val="nil"/>
              <w:left w:val="nil"/>
              <w:bottom w:val="nil"/>
              <w:right w:val="nil"/>
            </w:tcBorders>
            <w:shd w:val="clear" w:color="auto" w:fill="auto"/>
            <w:noWrap/>
            <w:hideMark/>
          </w:tcPr>
          <w:p w14:paraId="1FE67211"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c>
          <w:tcPr>
            <w:tcW w:w="1710" w:type="dxa"/>
            <w:tcBorders>
              <w:top w:val="nil"/>
              <w:left w:val="nil"/>
              <w:bottom w:val="nil"/>
              <w:right w:val="nil"/>
            </w:tcBorders>
            <w:shd w:val="clear" w:color="auto" w:fill="auto"/>
            <w:noWrap/>
            <w:hideMark/>
          </w:tcPr>
          <w:p w14:paraId="66B2B68A"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0%</w:t>
            </w:r>
          </w:p>
        </w:tc>
        <w:tc>
          <w:tcPr>
            <w:tcW w:w="900" w:type="dxa"/>
            <w:tcBorders>
              <w:top w:val="nil"/>
              <w:left w:val="nil"/>
              <w:bottom w:val="nil"/>
              <w:right w:val="nil"/>
            </w:tcBorders>
            <w:shd w:val="clear" w:color="auto" w:fill="auto"/>
            <w:noWrap/>
            <w:hideMark/>
          </w:tcPr>
          <w:p w14:paraId="7111A718"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c>
          <w:tcPr>
            <w:tcW w:w="2250" w:type="dxa"/>
            <w:tcBorders>
              <w:top w:val="nil"/>
              <w:left w:val="nil"/>
              <w:bottom w:val="nil"/>
              <w:right w:val="nil"/>
            </w:tcBorders>
            <w:shd w:val="clear" w:color="auto" w:fill="auto"/>
            <w:noWrap/>
            <w:hideMark/>
          </w:tcPr>
          <w:p w14:paraId="4D443130"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4C1FE6D0"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c>
          <w:tcPr>
            <w:tcW w:w="1800" w:type="dxa"/>
            <w:tcBorders>
              <w:top w:val="nil"/>
              <w:left w:val="nil"/>
              <w:bottom w:val="nil"/>
              <w:right w:val="nil"/>
            </w:tcBorders>
            <w:shd w:val="clear" w:color="auto" w:fill="auto"/>
            <w:noWrap/>
            <w:hideMark/>
          </w:tcPr>
          <w:p w14:paraId="7EE6945F"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0%</w:t>
            </w:r>
          </w:p>
        </w:tc>
        <w:tc>
          <w:tcPr>
            <w:tcW w:w="990" w:type="dxa"/>
            <w:tcBorders>
              <w:top w:val="nil"/>
              <w:left w:val="nil"/>
              <w:bottom w:val="nil"/>
              <w:right w:val="single" w:sz="8" w:space="0" w:color="auto"/>
            </w:tcBorders>
            <w:shd w:val="clear" w:color="auto" w:fill="auto"/>
            <w:noWrap/>
            <w:hideMark/>
          </w:tcPr>
          <w:p w14:paraId="6ED70668"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r>
      <w:tr w:rsidR="00AD6D4C" w:rsidRPr="00E70587" w14:paraId="20332D63" w14:textId="77777777" w:rsidTr="00755532">
        <w:tc>
          <w:tcPr>
            <w:tcW w:w="918" w:type="dxa"/>
            <w:tcBorders>
              <w:top w:val="nil"/>
              <w:left w:val="single" w:sz="8" w:space="0" w:color="auto"/>
              <w:bottom w:val="nil"/>
              <w:right w:val="nil"/>
            </w:tcBorders>
            <w:shd w:val="clear" w:color="auto" w:fill="auto"/>
            <w:noWrap/>
            <w:vAlign w:val="center"/>
            <w:hideMark/>
          </w:tcPr>
          <w:p w14:paraId="709E8731"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2</w:t>
            </w:r>
          </w:p>
        </w:tc>
        <w:tc>
          <w:tcPr>
            <w:tcW w:w="2924" w:type="dxa"/>
            <w:tcBorders>
              <w:top w:val="nil"/>
              <w:left w:val="nil"/>
              <w:bottom w:val="nil"/>
              <w:right w:val="nil"/>
            </w:tcBorders>
            <w:shd w:val="clear" w:color="auto" w:fill="auto"/>
            <w:noWrap/>
            <w:vAlign w:val="center"/>
            <w:hideMark/>
          </w:tcPr>
          <w:p w14:paraId="0CB55059" w14:textId="77777777" w:rsidR="00AD6D4C" w:rsidRPr="00E70587" w:rsidRDefault="00AD6D4C" w:rsidP="009901E1">
            <w:pPr>
              <w:spacing w:line="280" w:lineRule="exact"/>
              <w:rPr>
                <w:rFonts w:ascii="Arial" w:hAnsi="Arial" w:cs="Arial"/>
                <w:sz w:val="20"/>
                <w:lang w:eastAsia="en-IN"/>
              </w:rPr>
            </w:pPr>
            <w:r w:rsidRPr="00E70587">
              <w:rPr>
                <w:rFonts w:ascii="Arial" w:hAnsi="Arial" w:cs="Arial"/>
                <w:sz w:val="20"/>
                <w:lang w:eastAsia="en-IN"/>
              </w:rPr>
              <w:t>Lightbulbs Limited</w:t>
            </w:r>
          </w:p>
        </w:tc>
        <w:tc>
          <w:tcPr>
            <w:tcW w:w="1638" w:type="dxa"/>
            <w:gridSpan w:val="2"/>
            <w:tcBorders>
              <w:top w:val="nil"/>
              <w:left w:val="nil"/>
              <w:bottom w:val="nil"/>
              <w:right w:val="nil"/>
            </w:tcBorders>
            <w:shd w:val="clear" w:color="auto" w:fill="auto"/>
            <w:noWrap/>
            <w:hideMark/>
          </w:tcPr>
          <w:p w14:paraId="22D82F64" w14:textId="77777777" w:rsidR="00AD6D4C" w:rsidRPr="00E70587" w:rsidRDefault="00AD6D4C" w:rsidP="009901E1">
            <w:pPr>
              <w:spacing w:line="280" w:lineRule="exact"/>
              <w:jc w:val="right"/>
              <w:rPr>
                <w:rFonts w:ascii="Arial" w:hAnsi="Arial" w:cs="Arial"/>
                <w:sz w:val="20"/>
                <w:lang w:eastAsia="en-IN"/>
              </w:rPr>
            </w:pPr>
          </w:p>
        </w:tc>
        <w:tc>
          <w:tcPr>
            <w:tcW w:w="1260" w:type="dxa"/>
            <w:tcBorders>
              <w:top w:val="nil"/>
              <w:left w:val="nil"/>
              <w:bottom w:val="nil"/>
              <w:right w:val="nil"/>
            </w:tcBorders>
            <w:shd w:val="clear" w:color="auto" w:fill="auto"/>
            <w:noWrap/>
            <w:hideMark/>
          </w:tcPr>
          <w:p w14:paraId="5A9EC6A0" w14:textId="77777777" w:rsidR="00AD6D4C" w:rsidRPr="00E70587" w:rsidRDefault="00AD6D4C" w:rsidP="009901E1">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hideMark/>
          </w:tcPr>
          <w:p w14:paraId="1836C3EA" w14:textId="77777777" w:rsidR="00AD6D4C" w:rsidRPr="00E70587" w:rsidRDefault="00AD6D4C" w:rsidP="009901E1">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hideMark/>
          </w:tcPr>
          <w:p w14:paraId="0806AF0B" w14:textId="77777777" w:rsidR="00AD6D4C" w:rsidRPr="00E70587" w:rsidRDefault="00AD6D4C" w:rsidP="009901E1">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hideMark/>
          </w:tcPr>
          <w:p w14:paraId="0375F3F8" w14:textId="77777777" w:rsidR="00AD6D4C" w:rsidRPr="00E70587" w:rsidRDefault="00AD6D4C" w:rsidP="009901E1">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hideMark/>
          </w:tcPr>
          <w:p w14:paraId="5F1D22B2" w14:textId="77777777" w:rsidR="00AD6D4C" w:rsidRPr="00E70587" w:rsidRDefault="00AD6D4C" w:rsidP="009901E1">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hideMark/>
          </w:tcPr>
          <w:p w14:paraId="7BC8E9F1" w14:textId="77777777" w:rsidR="00AD6D4C" w:rsidRPr="00E70587" w:rsidRDefault="00AD6D4C" w:rsidP="009901E1">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hideMark/>
          </w:tcPr>
          <w:p w14:paraId="65C3B63D" w14:textId="77777777" w:rsidR="00AD6D4C" w:rsidRPr="00E70587" w:rsidRDefault="00AD6D4C" w:rsidP="009901E1">
            <w:pPr>
              <w:spacing w:line="280" w:lineRule="exact"/>
              <w:jc w:val="right"/>
              <w:rPr>
                <w:rFonts w:ascii="Arial" w:hAnsi="Arial" w:cs="Arial"/>
                <w:sz w:val="20"/>
                <w:lang w:eastAsia="en-IN"/>
              </w:rPr>
            </w:pPr>
          </w:p>
        </w:tc>
      </w:tr>
      <w:tr w:rsidR="00AD6D4C" w:rsidRPr="00E70587" w14:paraId="2B113480" w14:textId="77777777" w:rsidTr="00755532">
        <w:tc>
          <w:tcPr>
            <w:tcW w:w="918" w:type="dxa"/>
            <w:tcBorders>
              <w:top w:val="nil"/>
              <w:left w:val="single" w:sz="8" w:space="0" w:color="auto"/>
              <w:bottom w:val="nil"/>
              <w:right w:val="nil"/>
            </w:tcBorders>
            <w:shd w:val="clear" w:color="auto" w:fill="auto"/>
            <w:noWrap/>
            <w:vAlign w:val="center"/>
            <w:hideMark/>
          </w:tcPr>
          <w:p w14:paraId="6660DFAB"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24" w:type="dxa"/>
            <w:tcBorders>
              <w:top w:val="nil"/>
              <w:left w:val="nil"/>
              <w:bottom w:val="nil"/>
              <w:right w:val="nil"/>
            </w:tcBorders>
            <w:shd w:val="clear" w:color="auto" w:fill="auto"/>
            <w:noWrap/>
            <w:vAlign w:val="center"/>
            <w:hideMark/>
          </w:tcPr>
          <w:p w14:paraId="2D717F82" w14:textId="41965BA5" w:rsidR="00AD6D4C" w:rsidRPr="00E70587" w:rsidRDefault="00AD6D4C"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10492C"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21</w:t>
            </w:r>
          </w:p>
        </w:tc>
        <w:tc>
          <w:tcPr>
            <w:tcW w:w="1638" w:type="dxa"/>
            <w:gridSpan w:val="2"/>
            <w:tcBorders>
              <w:top w:val="nil"/>
              <w:left w:val="nil"/>
              <w:bottom w:val="nil"/>
              <w:right w:val="nil"/>
            </w:tcBorders>
            <w:shd w:val="clear" w:color="auto" w:fill="auto"/>
            <w:noWrap/>
            <w:hideMark/>
          </w:tcPr>
          <w:p w14:paraId="763576A4"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3%</w:t>
            </w:r>
          </w:p>
        </w:tc>
        <w:tc>
          <w:tcPr>
            <w:tcW w:w="1260" w:type="dxa"/>
            <w:tcBorders>
              <w:top w:val="nil"/>
              <w:left w:val="nil"/>
              <w:bottom w:val="nil"/>
              <w:right w:val="nil"/>
            </w:tcBorders>
            <w:shd w:val="clear" w:color="auto" w:fill="auto"/>
            <w:noWrap/>
            <w:hideMark/>
          </w:tcPr>
          <w:p w14:paraId="7C15584D"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3,640</w:t>
            </w:r>
            <w:r w:rsidR="00950163" w:rsidRPr="00E70587">
              <w:rPr>
                <w:rFonts w:ascii="Arial" w:hAnsi="Arial" w:cs="Arial"/>
                <w:sz w:val="20"/>
              </w:rPr>
              <w:t xml:space="preserve"> </w:t>
            </w:r>
          </w:p>
        </w:tc>
        <w:tc>
          <w:tcPr>
            <w:tcW w:w="1710" w:type="dxa"/>
            <w:tcBorders>
              <w:top w:val="nil"/>
              <w:left w:val="nil"/>
              <w:bottom w:val="nil"/>
              <w:right w:val="nil"/>
            </w:tcBorders>
            <w:shd w:val="clear" w:color="auto" w:fill="auto"/>
            <w:noWrap/>
            <w:hideMark/>
          </w:tcPr>
          <w:p w14:paraId="59E9835F"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8%</w:t>
            </w:r>
          </w:p>
        </w:tc>
        <w:tc>
          <w:tcPr>
            <w:tcW w:w="900" w:type="dxa"/>
            <w:tcBorders>
              <w:top w:val="nil"/>
              <w:left w:val="nil"/>
              <w:bottom w:val="nil"/>
              <w:right w:val="nil"/>
            </w:tcBorders>
            <w:shd w:val="clear" w:color="auto" w:fill="auto"/>
            <w:noWrap/>
            <w:hideMark/>
          </w:tcPr>
          <w:p w14:paraId="6E61C806"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1,127</w:t>
            </w:r>
            <w:r w:rsidR="00950163" w:rsidRPr="00E70587">
              <w:rPr>
                <w:rFonts w:ascii="Arial" w:hAnsi="Arial" w:cs="Arial"/>
                <w:sz w:val="20"/>
              </w:rPr>
              <w:t xml:space="preserve"> </w:t>
            </w:r>
          </w:p>
        </w:tc>
        <w:tc>
          <w:tcPr>
            <w:tcW w:w="2250" w:type="dxa"/>
            <w:tcBorders>
              <w:top w:val="nil"/>
              <w:left w:val="nil"/>
              <w:bottom w:val="nil"/>
              <w:right w:val="nil"/>
            </w:tcBorders>
            <w:shd w:val="clear" w:color="auto" w:fill="auto"/>
            <w:noWrap/>
            <w:hideMark/>
          </w:tcPr>
          <w:p w14:paraId="38437954"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0F925BC4"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c>
          <w:tcPr>
            <w:tcW w:w="1800" w:type="dxa"/>
            <w:tcBorders>
              <w:top w:val="nil"/>
              <w:left w:val="nil"/>
              <w:bottom w:val="nil"/>
              <w:right w:val="nil"/>
            </w:tcBorders>
            <w:shd w:val="clear" w:color="auto" w:fill="auto"/>
            <w:noWrap/>
            <w:hideMark/>
          </w:tcPr>
          <w:p w14:paraId="7CD73648" w14:textId="4046A4CE" w:rsidR="00AD6D4C" w:rsidRPr="00E70587" w:rsidRDefault="004357E3" w:rsidP="009901E1">
            <w:pPr>
              <w:spacing w:line="280" w:lineRule="exact"/>
              <w:jc w:val="right"/>
              <w:rPr>
                <w:rFonts w:ascii="Arial" w:hAnsi="Arial" w:cs="Arial"/>
                <w:sz w:val="20"/>
                <w:lang w:eastAsia="en-IN"/>
              </w:rPr>
            </w:pPr>
            <w:r>
              <w:rPr>
                <w:rFonts w:ascii="Arial" w:hAnsi="Arial" w:cs="Arial"/>
                <w:sz w:val="20"/>
              </w:rPr>
              <w:t>8</w:t>
            </w:r>
            <w:r w:rsidR="00AD6D4C" w:rsidRPr="00E70587">
              <w:rPr>
                <w:rFonts w:ascii="Arial" w:hAnsi="Arial" w:cs="Arial"/>
                <w:sz w:val="20"/>
              </w:rPr>
              <w:t>%</w:t>
            </w:r>
          </w:p>
        </w:tc>
        <w:tc>
          <w:tcPr>
            <w:tcW w:w="990" w:type="dxa"/>
            <w:tcBorders>
              <w:top w:val="nil"/>
              <w:left w:val="nil"/>
              <w:bottom w:val="nil"/>
              <w:right w:val="single" w:sz="8" w:space="0" w:color="auto"/>
            </w:tcBorders>
            <w:shd w:val="clear" w:color="auto" w:fill="auto"/>
            <w:noWrap/>
            <w:hideMark/>
          </w:tcPr>
          <w:p w14:paraId="674A5E51"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1,127</w:t>
            </w:r>
            <w:r w:rsidR="00950163" w:rsidRPr="00E70587">
              <w:rPr>
                <w:rFonts w:ascii="Arial" w:hAnsi="Arial" w:cs="Arial"/>
                <w:sz w:val="20"/>
              </w:rPr>
              <w:t xml:space="preserve"> </w:t>
            </w:r>
          </w:p>
        </w:tc>
      </w:tr>
      <w:tr w:rsidR="00AD6D4C" w:rsidRPr="00E70587" w14:paraId="78B74726" w14:textId="77777777" w:rsidTr="00755532">
        <w:tc>
          <w:tcPr>
            <w:tcW w:w="918" w:type="dxa"/>
            <w:tcBorders>
              <w:top w:val="nil"/>
              <w:left w:val="single" w:sz="8" w:space="0" w:color="auto"/>
              <w:bottom w:val="nil"/>
              <w:right w:val="nil"/>
            </w:tcBorders>
            <w:shd w:val="clear" w:color="auto" w:fill="auto"/>
            <w:noWrap/>
            <w:vAlign w:val="center"/>
            <w:hideMark/>
          </w:tcPr>
          <w:p w14:paraId="4E17DBA1"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24" w:type="dxa"/>
            <w:tcBorders>
              <w:top w:val="nil"/>
              <w:left w:val="nil"/>
              <w:bottom w:val="nil"/>
              <w:right w:val="nil"/>
            </w:tcBorders>
            <w:shd w:val="clear" w:color="auto" w:fill="auto"/>
            <w:noWrap/>
            <w:vAlign w:val="center"/>
            <w:hideMark/>
          </w:tcPr>
          <w:p w14:paraId="0451941F" w14:textId="712D40D5" w:rsidR="00AD6D4C" w:rsidRPr="00E70587" w:rsidRDefault="00AD6D4C"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8B730E"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20</w:t>
            </w:r>
          </w:p>
        </w:tc>
        <w:tc>
          <w:tcPr>
            <w:tcW w:w="1638" w:type="dxa"/>
            <w:gridSpan w:val="2"/>
            <w:tcBorders>
              <w:top w:val="nil"/>
              <w:left w:val="nil"/>
              <w:bottom w:val="nil"/>
              <w:right w:val="nil"/>
            </w:tcBorders>
            <w:shd w:val="clear" w:color="auto" w:fill="auto"/>
            <w:noWrap/>
            <w:hideMark/>
          </w:tcPr>
          <w:p w14:paraId="48AC1A90"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3%</w:t>
            </w:r>
          </w:p>
        </w:tc>
        <w:tc>
          <w:tcPr>
            <w:tcW w:w="1260" w:type="dxa"/>
            <w:tcBorders>
              <w:top w:val="nil"/>
              <w:left w:val="nil"/>
              <w:bottom w:val="nil"/>
              <w:right w:val="nil"/>
            </w:tcBorders>
            <w:shd w:val="clear" w:color="auto" w:fill="auto"/>
            <w:noWrap/>
            <w:hideMark/>
          </w:tcPr>
          <w:p w14:paraId="0D83F416"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2,367</w:t>
            </w:r>
            <w:r w:rsidR="00950163" w:rsidRPr="00E70587">
              <w:rPr>
                <w:rFonts w:ascii="Arial" w:hAnsi="Arial" w:cs="Arial"/>
                <w:sz w:val="20"/>
              </w:rPr>
              <w:t xml:space="preserve"> </w:t>
            </w:r>
          </w:p>
        </w:tc>
        <w:tc>
          <w:tcPr>
            <w:tcW w:w="1710" w:type="dxa"/>
            <w:tcBorders>
              <w:top w:val="nil"/>
              <w:left w:val="nil"/>
              <w:bottom w:val="nil"/>
              <w:right w:val="nil"/>
            </w:tcBorders>
            <w:shd w:val="clear" w:color="auto" w:fill="auto"/>
            <w:noWrap/>
            <w:hideMark/>
          </w:tcPr>
          <w:p w14:paraId="1A37A771"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0%</w:t>
            </w:r>
          </w:p>
        </w:tc>
        <w:tc>
          <w:tcPr>
            <w:tcW w:w="900" w:type="dxa"/>
            <w:tcBorders>
              <w:top w:val="nil"/>
              <w:left w:val="nil"/>
              <w:bottom w:val="nil"/>
              <w:right w:val="nil"/>
            </w:tcBorders>
            <w:shd w:val="clear" w:color="auto" w:fill="auto"/>
            <w:noWrap/>
            <w:hideMark/>
          </w:tcPr>
          <w:p w14:paraId="641F5D69"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18</w:t>
            </w:r>
            <w:r w:rsidR="00950163" w:rsidRPr="00E70587">
              <w:rPr>
                <w:rFonts w:ascii="Arial" w:hAnsi="Arial" w:cs="Arial"/>
                <w:sz w:val="20"/>
              </w:rPr>
              <w:t xml:space="preserve"> </w:t>
            </w:r>
          </w:p>
        </w:tc>
        <w:tc>
          <w:tcPr>
            <w:tcW w:w="2250" w:type="dxa"/>
            <w:tcBorders>
              <w:top w:val="nil"/>
              <w:left w:val="nil"/>
              <w:bottom w:val="nil"/>
              <w:right w:val="nil"/>
            </w:tcBorders>
            <w:shd w:val="clear" w:color="auto" w:fill="auto"/>
            <w:noWrap/>
            <w:hideMark/>
          </w:tcPr>
          <w:p w14:paraId="224F6A4D"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5BADC7B0"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c>
          <w:tcPr>
            <w:tcW w:w="1800" w:type="dxa"/>
            <w:tcBorders>
              <w:top w:val="nil"/>
              <w:left w:val="nil"/>
              <w:bottom w:val="nil"/>
              <w:right w:val="nil"/>
            </w:tcBorders>
            <w:shd w:val="clear" w:color="auto" w:fill="auto"/>
            <w:noWrap/>
            <w:hideMark/>
          </w:tcPr>
          <w:p w14:paraId="34D2A239"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0%</w:t>
            </w:r>
          </w:p>
        </w:tc>
        <w:tc>
          <w:tcPr>
            <w:tcW w:w="990" w:type="dxa"/>
            <w:tcBorders>
              <w:top w:val="nil"/>
              <w:left w:val="nil"/>
              <w:bottom w:val="nil"/>
              <w:right w:val="single" w:sz="8" w:space="0" w:color="auto"/>
            </w:tcBorders>
            <w:shd w:val="clear" w:color="auto" w:fill="auto"/>
            <w:noWrap/>
            <w:hideMark/>
          </w:tcPr>
          <w:p w14:paraId="0FA64525"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18</w:t>
            </w:r>
            <w:r w:rsidR="00950163" w:rsidRPr="00E70587">
              <w:rPr>
                <w:rFonts w:ascii="Arial" w:hAnsi="Arial" w:cs="Arial"/>
                <w:sz w:val="20"/>
              </w:rPr>
              <w:t xml:space="preserve"> </w:t>
            </w:r>
          </w:p>
        </w:tc>
      </w:tr>
      <w:tr w:rsidR="00AD6D4C" w:rsidRPr="00E70587" w14:paraId="7DE783AB" w14:textId="77777777" w:rsidTr="00755532">
        <w:tc>
          <w:tcPr>
            <w:tcW w:w="918" w:type="dxa"/>
            <w:tcBorders>
              <w:top w:val="nil"/>
              <w:left w:val="single" w:sz="8" w:space="0" w:color="auto"/>
              <w:bottom w:val="nil"/>
              <w:right w:val="nil"/>
            </w:tcBorders>
            <w:shd w:val="clear" w:color="auto" w:fill="auto"/>
            <w:noWrap/>
            <w:vAlign w:val="center"/>
            <w:hideMark/>
          </w:tcPr>
          <w:p w14:paraId="2A316B2D"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3</w:t>
            </w:r>
          </w:p>
        </w:tc>
        <w:tc>
          <w:tcPr>
            <w:tcW w:w="2924" w:type="dxa"/>
            <w:tcBorders>
              <w:top w:val="nil"/>
              <w:left w:val="nil"/>
              <w:bottom w:val="nil"/>
              <w:right w:val="nil"/>
            </w:tcBorders>
            <w:shd w:val="clear" w:color="auto" w:fill="auto"/>
            <w:noWrap/>
            <w:vAlign w:val="center"/>
            <w:hideMark/>
          </w:tcPr>
          <w:p w14:paraId="44E96641" w14:textId="77777777" w:rsidR="00AD6D4C" w:rsidRPr="00E70587" w:rsidRDefault="00AD6D4C" w:rsidP="009901E1">
            <w:pPr>
              <w:spacing w:line="280" w:lineRule="exact"/>
              <w:rPr>
                <w:rFonts w:ascii="Arial" w:hAnsi="Arial" w:cs="Arial"/>
                <w:sz w:val="20"/>
                <w:lang w:eastAsia="en-IN"/>
              </w:rPr>
            </w:pPr>
            <w:r w:rsidRPr="00E70587">
              <w:rPr>
                <w:rFonts w:ascii="Arial" w:hAnsi="Arial" w:cs="Arial"/>
                <w:sz w:val="20"/>
                <w:lang w:eastAsia="en-IN"/>
              </w:rPr>
              <w:t>B Limited</w:t>
            </w:r>
          </w:p>
        </w:tc>
        <w:tc>
          <w:tcPr>
            <w:tcW w:w="1638" w:type="dxa"/>
            <w:gridSpan w:val="2"/>
            <w:tcBorders>
              <w:top w:val="nil"/>
              <w:left w:val="nil"/>
              <w:bottom w:val="nil"/>
              <w:right w:val="nil"/>
            </w:tcBorders>
            <w:shd w:val="clear" w:color="auto" w:fill="auto"/>
            <w:noWrap/>
            <w:hideMark/>
          </w:tcPr>
          <w:p w14:paraId="49049B56" w14:textId="77777777" w:rsidR="00AD6D4C" w:rsidRPr="00E70587" w:rsidRDefault="00AD6D4C" w:rsidP="009901E1">
            <w:pPr>
              <w:spacing w:line="280" w:lineRule="exact"/>
              <w:jc w:val="right"/>
              <w:rPr>
                <w:rFonts w:ascii="Arial" w:hAnsi="Arial" w:cs="Arial"/>
                <w:sz w:val="20"/>
                <w:lang w:eastAsia="en-IN"/>
              </w:rPr>
            </w:pPr>
          </w:p>
        </w:tc>
        <w:tc>
          <w:tcPr>
            <w:tcW w:w="1260" w:type="dxa"/>
            <w:tcBorders>
              <w:top w:val="nil"/>
              <w:left w:val="nil"/>
              <w:bottom w:val="nil"/>
              <w:right w:val="nil"/>
            </w:tcBorders>
            <w:shd w:val="clear" w:color="auto" w:fill="auto"/>
            <w:noWrap/>
            <w:hideMark/>
          </w:tcPr>
          <w:p w14:paraId="50C81645" w14:textId="77777777" w:rsidR="00AD6D4C" w:rsidRPr="00E70587" w:rsidRDefault="00AD6D4C" w:rsidP="009901E1">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hideMark/>
          </w:tcPr>
          <w:p w14:paraId="270B41B7" w14:textId="77777777" w:rsidR="00AD6D4C" w:rsidRPr="00E70587" w:rsidRDefault="00AD6D4C" w:rsidP="009901E1">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hideMark/>
          </w:tcPr>
          <w:p w14:paraId="75E4CB7D" w14:textId="77777777" w:rsidR="00AD6D4C" w:rsidRPr="00E70587" w:rsidRDefault="00AD6D4C" w:rsidP="009901E1">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hideMark/>
          </w:tcPr>
          <w:p w14:paraId="655F7B96" w14:textId="77777777" w:rsidR="00AD6D4C" w:rsidRPr="00E70587" w:rsidRDefault="00AD6D4C" w:rsidP="009901E1">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hideMark/>
          </w:tcPr>
          <w:p w14:paraId="1B150907" w14:textId="77777777" w:rsidR="00AD6D4C" w:rsidRPr="00E70587" w:rsidRDefault="00AD6D4C" w:rsidP="009901E1">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hideMark/>
          </w:tcPr>
          <w:p w14:paraId="11081BBA" w14:textId="77777777" w:rsidR="00AD6D4C" w:rsidRPr="00E70587" w:rsidRDefault="00AD6D4C" w:rsidP="009901E1">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hideMark/>
          </w:tcPr>
          <w:p w14:paraId="7F1C5B4D" w14:textId="77777777" w:rsidR="00AD6D4C" w:rsidRPr="00E70587" w:rsidRDefault="00AD6D4C" w:rsidP="009901E1">
            <w:pPr>
              <w:spacing w:line="280" w:lineRule="exact"/>
              <w:jc w:val="right"/>
              <w:rPr>
                <w:rFonts w:ascii="Arial" w:hAnsi="Arial" w:cs="Arial"/>
                <w:sz w:val="20"/>
                <w:lang w:eastAsia="en-IN"/>
              </w:rPr>
            </w:pPr>
          </w:p>
        </w:tc>
      </w:tr>
      <w:tr w:rsidR="00AD6D4C" w:rsidRPr="00E70587" w14:paraId="5F7F6046" w14:textId="77777777" w:rsidTr="00755532">
        <w:tc>
          <w:tcPr>
            <w:tcW w:w="918" w:type="dxa"/>
            <w:tcBorders>
              <w:top w:val="nil"/>
              <w:left w:val="single" w:sz="8" w:space="0" w:color="auto"/>
              <w:bottom w:val="nil"/>
              <w:right w:val="nil"/>
            </w:tcBorders>
            <w:shd w:val="clear" w:color="auto" w:fill="auto"/>
            <w:noWrap/>
            <w:vAlign w:val="center"/>
            <w:hideMark/>
          </w:tcPr>
          <w:p w14:paraId="35B32A23"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24" w:type="dxa"/>
            <w:tcBorders>
              <w:top w:val="nil"/>
              <w:left w:val="nil"/>
              <w:bottom w:val="nil"/>
              <w:right w:val="nil"/>
            </w:tcBorders>
            <w:shd w:val="clear" w:color="auto" w:fill="auto"/>
            <w:noWrap/>
            <w:vAlign w:val="center"/>
            <w:hideMark/>
          </w:tcPr>
          <w:p w14:paraId="356453A9" w14:textId="701D2EF3" w:rsidR="00AD6D4C" w:rsidRPr="00E70587" w:rsidRDefault="00AD6D4C"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10492C"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21</w:t>
            </w:r>
          </w:p>
        </w:tc>
        <w:tc>
          <w:tcPr>
            <w:tcW w:w="1638" w:type="dxa"/>
            <w:gridSpan w:val="2"/>
            <w:tcBorders>
              <w:top w:val="nil"/>
              <w:left w:val="nil"/>
              <w:bottom w:val="nil"/>
              <w:right w:val="nil"/>
            </w:tcBorders>
            <w:shd w:val="clear" w:color="auto" w:fill="auto"/>
            <w:noWrap/>
            <w:hideMark/>
          </w:tcPr>
          <w:p w14:paraId="64EA5727"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3%</w:t>
            </w:r>
          </w:p>
        </w:tc>
        <w:tc>
          <w:tcPr>
            <w:tcW w:w="1260" w:type="dxa"/>
            <w:tcBorders>
              <w:top w:val="nil"/>
              <w:left w:val="nil"/>
              <w:bottom w:val="nil"/>
              <w:right w:val="nil"/>
            </w:tcBorders>
            <w:shd w:val="clear" w:color="auto" w:fill="auto"/>
            <w:noWrap/>
            <w:hideMark/>
          </w:tcPr>
          <w:p w14:paraId="0D1E6E6E"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3,430</w:t>
            </w:r>
            <w:r w:rsidR="00950163" w:rsidRPr="00E70587">
              <w:rPr>
                <w:rFonts w:ascii="Arial" w:hAnsi="Arial" w:cs="Arial"/>
                <w:sz w:val="20"/>
              </w:rPr>
              <w:t xml:space="preserve"> </w:t>
            </w:r>
          </w:p>
        </w:tc>
        <w:tc>
          <w:tcPr>
            <w:tcW w:w="1710" w:type="dxa"/>
            <w:tcBorders>
              <w:top w:val="nil"/>
              <w:left w:val="nil"/>
              <w:bottom w:val="nil"/>
              <w:right w:val="nil"/>
            </w:tcBorders>
            <w:shd w:val="clear" w:color="auto" w:fill="auto"/>
            <w:noWrap/>
            <w:hideMark/>
          </w:tcPr>
          <w:p w14:paraId="637F1DB8"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-2%</w:t>
            </w:r>
          </w:p>
        </w:tc>
        <w:tc>
          <w:tcPr>
            <w:tcW w:w="900" w:type="dxa"/>
            <w:tcBorders>
              <w:top w:val="nil"/>
              <w:left w:val="nil"/>
              <w:bottom w:val="nil"/>
              <w:right w:val="nil"/>
            </w:tcBorders>
            <w:shd w:val="clear" w:color="auto" w:fill="auto"/>
            <w:noWrap/>
            <w:hideMark/>
          </w:tcPr>
          <w:p w14:paraId="1EA3F8AF"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(301)</w:t>
            </w:r>
            <w:r w:rsidR="00950163" w:rsidRPr="00E70587">
              <w:rPr>
                <w:rFonts w:ascii="Arial" w:hAnsi="Arial" w:cs="Arial"/>
                <w:sz w:val="20"/>
              </w:rPr>
              <w:t xml:space="preserve"> </w:t>
            </w:r>
          </w:p>
        </w:tc>
        <w:tc>
          <w:tcPr>
            <w:tcW w:w="2250" w:type="dxa"/>
            <w:tcBorders>
              <w:top w:val="nil"/>
              <w:left w:val="nil"/>
              <w:bottom w:val="nil"/>
              <w:right w:val="nil"/>
            </w:tcBorders>
            <w:shd w:val="clear" w:color="auto" w:fill="auto"/>
            <w:noWrap/>
            <w:hideMark/>
          </w:tcPr>
          <w:p w14:paraId="13880713"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648431E7"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c>
          <w:tcPr>
            <w:tcW w:w="1800" w:type="dxa"/>
            <w:tcBorders>
              <w:top w:val="nil"/>
              <w:left w:val="nil"/>
              <w:bottom w:val="nil"/>
              <w:right w:val="nil"/>
            </w:tcBorders>
            <w:shd w:val="clear" w:color="auto" w:fill="auto"/>
            <w:noWrap/>
            <w:hideMark/>
          </w:tcPr>
          <w:p w14:paraId="3E7B4821" w14:textId="2A9F1EFC"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4357E3">
              <w:rPr>
                <w:rFonts w:ascii="Arial" w:hAnsi="Arial" w:cs="Arial"/>
                <w:sz w:val="20"/>
              </w:rPr>
              <w:t>-2%</w:t>
            </w:r>
            <w:r w:rsidRPr="00E70587">
              <w:rPr>
                <w:rFonts w:ascii="Arial" w:hAnsi="Arial" w:cs="Arial"/>
                <w:sz w:val="20"/>
              </w:rPr>
              <w:t xml:space="preserve"> </w:t>
            </w:r>
          </w:p>
        </w:tc>
        <w:tc>
          <w:tcPr>
            <w:tcW w:w="990" w:type="dxa"/>
            <w:tcBorders>
              <w:top w:val="nil"/>
              <w:left w:val="nil"/>
              <w:bottom w:val="nil"/>
              <w:right w:val="single" w:sz="8" w:space="0" w:color="auto"/>
            </w:tcBorders>
            <w:shd w:val="clear" w:color="auto" w:fill="auto"/>
            <w:noWrap/>
            <w:hideMark/>
          </w:tcPr>
          <w:p w14:paraId="1A8AF255"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(301) </w:t>
            </w:r>
          </w:p>
        </w:tc>
      </w:tr>
      <w:tr w:rsidR="00AD6D4C" w:rsidRPr="00E70587" w14:paraId="7EC42BD1" w14:textId="77777777" w:rsidTr="00755532">
        <w:tc>
          <w:tcPr>
            <w:tcW w:w="918" w:type="dxa"/>
            <w:tcBorders>
              <w:top w:val="nil"/>
              <w:left w:val="single" w:sz="8" w:space="0" w:color="auto"/>
              <w:bottom w:val="nil"/>
              <w:right w:val="nil"/>
            </w:tcBorders>
            <w:shd w:val="clear" w:color="auto" w:fill="auto"/>
            <w:noWrap/>
            <w:vAlign w:val="center"/>
            <w:hideMark/>
          </w:tcPr>
          <w:p w14:paraId="349D3C84"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24" w:type="dxa"/>
            <w:tcBorders>
              <w:top w:val="nil"/>
              <w:left w:val="nil"/>
              <w:bottom w:val="nil"/>
              <w:right w:val="nil"/>
            </w:tcBorders>
            <w:shd w:val="clear" w:color="auto" w:fill="auto"/>
            <w:noWrap/>
            <w:vAlign w:val="center"/>
            <w:hideMark/>
          </w:tcPr>
          <w:p w14:paraId="0F275AB0" w14:textId="35746305" w:rsidR="00AD6D4C" w:rsidRPr="00E70587" w:rsidRDefault="00AD6D4C"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8B730E"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20</w:t>
            </w:r>
          </w:p>
        </w:tc>
        <w:tc>
          <w:tcPr>
            <w:tcW w:w="1638" w:type="dxa"/>
            <w:gridSpan w:val="2"/>
            <w:tcBorders>
              <w:top w:val="nil"/>
              <w:left w:val="nil"/>
              <w:bottom w:val="nil"/>
              <w:right w:val="nil"/>
            </w:tcBorders>
            <w:shd w:val="clear" w:color="auto" w:fill="auto"/>
            <w:noWrap/>
            <w:hideMark/>
          </w:tcPr>
          <w:p w14:paraId="73CED765"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5%</w:t>
            </w:r>
          </w:p>
        </w:tc>
        <w:tc>
          <w:tcPr>
            <w:tcW w:w="1260" w:type="dxa"/>
            <w:tcBorders>
              <w:top w:val="nil"/>
              <w:left w:val="nil"/>
              <w:bottom w:val="nil"/>
              <w:right w:val="nil"/>
            </w:tcBorders>
            <w:shd w:val="clear" w:color="auto" w:fill="auto"/>
            <w:noWrap/>
            <w:hideMark/>
          </w:tcPr>
          <w:p w14:paraId="612A2624"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3,974</w:t>
            </w:r>
            <w:r w:rsidR="00950163" w:rsidRPr="00E70587">
              <w:rPr>
                <w:rFonts w:ascii="Arial" w:hAnsi="Arial" w:cs="Arial"/>
                <w:sz w:val="20"/>
              </w:rPr>
              <w:t xml:space="preserve"> </w:t>
            </w:r>
          </w:p>
        </w:tc>
        <w:tc>
          <w:tcPr>
            <w:tcW w:w="1710" w:type="dxa"/>
            <w:tcBorders>
              <w:top w:val="nil"/>
              <w:left w:val="nil"/>
              <w:bottom w:val="nil"/>
              <w:right w:val="nil"/>
            </w:tcBorders>
            <w:shd w:val="clear" w:color="auto" w:fill="auto"/>
            <w:noWrap/>
            <w:hideMark/>
          </w:tcPr>
          <w:p w14:paraId="29061503"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-4%</w:t>
            </w:r>
          </w:p>
        </w:tc>
        <w:tc>
          <w:tcPr>
            <w:tcW w:w="900" w:type="dxa"/>
            <w:tcBorders>
              <w:top w:val="nil"/>
              <w:left w:val="nil"/>
              <w:bottom w:val="nil"/>
              <w:right w:val="nil"/>
            </w:tcBorders>
            <w:shd w:val="clear" w:color="auto" w:fill="auto"/>
            <w:noWrap/>
            <w:hideMark/>
          </w:tcPr>
          <w:p w14:paraId="6960D713"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(423) </w:t>
            </w:r>
          </w:p>
        </w:tc>
        <w:tc>
          <w:tcPr>
            <w:tcW w:w="2250" w:type="dxa"/>
            <w:tcBorders>
              <w:top w:val="nil"/>
              <w:left w:val="nil"/>
              <w:bottom w:val="nil"/>
              <w:right w:val="nil"/>
            </w:tcBorders>
            <w:shd w:val="clear" w:color="auto" w:fill="auto"/>
            <w:noWrap/>
            <w:hideMark/>
          </w:tcPr>
          <w:p w14:paraId="4327DC94"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6B45EA16"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c>
          <w:tcPr>
            <w:tcW w:w="1800" w:type="dxa"/>
            <w:tcBorders>
              <w:top w:val="nil"/>
              <w:left w:val="nil"/>
              <w:bottom w:val="nil"/>
              <w:right w:val="nil"/>
            </w:tcBorders>
            <w:shd w:val="clear" w:color="auto" w:fill="auto"/>
            <w:noWrap/>
            <w:hideMark/>
          </w:tcPr>
          <w:p w14:paraId="74324367" w14:textId="4D077681"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4357E3">
              <w:rPr>
                <w:rFonts w:ascii="Arial" w:hAnsi="Arial" w:cs="Arial"/>
                <w:sz w:val="20"/>
              </w:rPr>
              <w:t>-4%</w:t>
            </w:r>
            <w:r w:rsidRPr="00E70587">
              <w:rPr>
                <w:rFonts w:ascii="Arial" w:hAnsi="Arial" w:cs="Arial"/>
                <w:sz w:val="20"/>
              </w:rPr>
              <w:t xml:space="preserve"> </w:t>
            </w:r>
          </w:p>
        </w:tc>
        <w:tc>
          <w:tcPr>
            <w:tcW w:w="990" w:type="dxa"/>
            <w:tcBorders>
              <w:top w:val="nil"/>
              <w:left w:val="nil"/>
              <w:bottom w:val="nil"/>
              <w:right w:val="single" w:sz="8" w:space="0" w:color="auto"/>
            </w:tcBorders>
            <w:shd w:val="clear" w:color="auto" w:fill="auto"/>
            <w:noWrap/>
            <w:hideMark/>
          </w:tcPr>
          <w:p w14:paraId="4750B889"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(423) </w:t>
            </w:r>
          </w:p>
        </w:tc>
      </w:tr>
      <w:tr w:rsidR="00AD6D4C" w:rsidRPr="00E70587" w14:paraId="063137BB" w14:textId="77777777" w:rsidTr="00755532">
        <w:tc>
          <w:tcPr>
            <w:tcW w:w="918" w:type="dxa"/>
            <w:tcBorders>
              <w:top w:val="nil"/>
              <w:left w:val="single" w:sz="8" w:space="0" w:color="auto"/>
              <w:bottom w:val="nil"/>
              <w:right w:val="nil"/>
            </w:tcBorders>
            <w:shd w:val="clear" w:color="auto" w:fill="auto"/>
            <w:noWrap/>
            <w:vAlign w:val="center"/>
            <w:hideMark/>
          </w:tcPr>
          <w:p w14:paraId="46D1FF24"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4</w:t>
            </w:r>
          </w:p>
        </w:tc>
        <w:tc>
          <w:tcPr>
            <w:tcW w:w="2924" w:type="dxa"/>
            <w:tcBorders>
              <w:top w:val="nil"/>
              <w:left w:val="nil"/>
              <w:bottom w:val="nil"/>
              <w:right w:val="nil"/>
            </w:tcBorders>
            <w:shd w:val="clear" w:color="auto" w:fill="auto"/>
            <w:noWrap/>
            <w:vAlign w:val="center"/>
            <w:hideMark/>
          </w:tcPr>
          <w:p w14:paraId="0135D8A1" w14:textId="77777777" w:rsidR="00AD6D4C" w:rsidRPr="00E70587" w:rsidRDefault="00AD6D4C" w:rsidP="009901E1">
            <w:pPr>
              <w:spacing w:line="280" w:lineRule="exact"/>
              <w:rPr>
                <w:rFonts w:ascii="Arial" w:hAnsi="Arial" w:cs="Arial"/>
                <w:sz w:val="20"/>
                <w:lang w:eastAsia="en-IN"/>
              </w:rPr>
            </w:pPr>
            <w:r w:rsidRPr="00E70587">
              <w:rPr>
                <w:rFonts w:ascii="Arial" w:hAnsi="Arial" w:cs="Arial"/>
                <w:sz w:val="20"/>
                <w:lang w:eastAsia="en-IN"/>
              </w:rPr>
              <w:t>Fire Equipment Test Lab Limited</w:t>
            </w:r>
          </w:p>
        </w:tc>
        <w:tc>
          <w:tcPr>
            <w:tcW w:w="1638" w:type="dxa"/>
            <w:gridSpan w:val="2"/>
            <w:tcBorders>
              <w:top w:val="nil"/>
              <w:left w:val="nil"/>
              <w:bottom w:val="nil"/>
              <w:right w:val="nil"/>
            </w:tcBorders>
            <w:shd w:val="clear" w:color="auto" w:fill="auto"/>
            <w:noWrap/>
            <w:hideMark/>
          </w:tcPr>
          <w:p w14:paraId="09C45615" w14:textId="77777777" w:rsidR="00AD6D4C" w:rsidRPr="00E70587" w:rsidRDefault="00AD6D4C" w:rsidP="009901E1">
            <w:pPr>
              <w:spacing w:line="280" w:lineRule="exact"/>
              <w:jc w:val="right"/>
              <w:rPr>
                <w:rFonts w:ascii="Arial" w:hAnsi="Arial" w:cs="Arial"/>
                <w:sz w:val="20"/>
                <w:lang w:eastAsia="en-IN"/>
              </w:rPr>
            </w:pPr>
          </w:p>
        </w:tc>
        <w:tc>
          <w:tcPr>
            <w:tcW w:w="1260" w:type="dxa"/>
            <w:tcBorders>
              <w:top w:val="nil"/>
              <w:left w:val="nil"/>
              <w:bottom w:val="nil"/>
              <w:right w:val="nil"/>
            </w:tcBorders>
            <w:shd w:val="clear" w:color="auto" w:fill="auto"/>
            <w:noWrap/>
            <w:hideMark/>
          </w:tcPr>
          <w:p w14:paraId="4C2722F2" w14:textId="77777777" w:rsidR="00AD6D4C" w:rsidRPr="00E70587" w:rsidRDefault="00AD6D4C" w:rsidP="009901E1">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hideMark/>
          </w:tcPr>
          <w:p w14:paraId="14746F8D" w14:textId="77777777" w:rsidR="00AD6D4C" w:rsidRPr="00E70587" w:rsidRDefault="00AD6D4C" w:rsidP="009901E1">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hideMark/>
          </w:tcPr>
          <w:p w14:paraId="51E836E8" w14:textId="77777777" w:rsidR="00AD6D4C" w:rsidRPr="00E70587" w:rsidRDefault="00AD6D4C" w:rsidP="009901E1">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hideMark/>
          </w:tcPr>
          <w:p w14:paraId="548F5572" w14:textId="77777777" w:rsidR="00AD6D4C" w:rsidRPr="00E70587" w:rsidRDefault="00AD6D4C" w:rsidP="009901E1">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hideMark/>
          </w:tcPr>
          <w:p w14:paraId="19CDD739" w14:textId="77777777" w:rsidR="00AD6D4C" w:rsidRPr="00E70587" w:rsidRDefault="00AD6D4C" w:rsidP="009901E1">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hideMark/>
          </w:tcPr>
          <w:p w14:paraId="08C67343" w14:textId="77777777" w:rsidR="00AD6D4C" w:rsidRPr="00E70587" w:rsidRDefault="00AD6D4C" w:rsidP="009901E1">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hideMark/>
          </w:tcPr>
          <w:p w14:paraId="404084BE" w14:textId="77777777" w:rsidR="00AD6D4C" w:rsidRPr="00E70587" w:rsidRDefault="00AD6D4C" w:rsidP="009901E1">
            <w:pPr>
              <w:spacing w:line="280" w:lineRule="exact"/>
              <w:jc w:val="right"/>
              <w:rPr>
                <w:rFonts w:ascii="Arial" w:hAnsi="Arial" w:cs="Arial"/>
                <w:sz w:val="20"/>
                <w:lang w:eastAsia="en-IN"/>
              </w:rPr>
            </w:pPr>
          </w:p>
        </w:tc>
      </w:tr>
      <w:tr w:rsidR="00AD6D4C" w:rsidRPr="00E70587" w14:paraId="0BE4D594" w14:textId="77777777" w:rsidTr="00755532">
        <w:tc>
          <w:tcPr>
            <w:tcW w:w="918" w:type="dxa"/>
            <w:tcBorders>
              <w:top w:val="nil"/>
              <w:left w:val="single" w:sz="8" w:space="0" w:color="auto"/>
              <w:bottom w:val="nil"/>
              <w:right w:val="nil"/>
            </w:tcBorders>
            <w:shd w:val="clear" w:color="auto" w:fill="auto"/>
            <w:noWrap/>
            <w:vAlign w:val="center"/>
            <w:hideMark/>
          </w:tcPr>
          <w:p w14:paraId="2933B815"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24" w:type="dxa"/>
            <w:tcBorders>
              <w:top w:val="nil"/>
              <w:left w:val="nil"/>
              <w:bottom w:val="nil"/>
              <w:right w:val="nil"/>
            </w:tcBorders>
            <w:shd w:val="clear" w:color="auto" w:fill="auto"/>
            <w:noWrap/>
            <w:vAlign w:val="center"/>
            <w:hideMark/>
          </w:tcPr>
          <w:p w14:paraId="4029CB7B" w14:textId="325A1BD7" w:rsidR="00AD6D4C" w:rsidRPr="00E70587" w:rsidRDefault="00AD6D4C"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10492C"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21</w:t>
            </w:r>
          </w:p>
        </w:tc>
        <w:tc>
          <w:tcPr>
            <w:tcW w:w="1638" w:type="dxa"/>
            <w:gridSpan w:val="2"/>
            <w:tcBorders>
              <w:top w:val="nil"/>
              <w:left w:val="nil"/>
              <w:bottom w:val="nil"/>
              <w:right w:val="nil"/>
            </w:tcBorders>
            <w:shd w:val="clear" w:color="auto" w:fill="auto"/>
            <w:noWrap/>
            <w:hideMark/>
          </w:tcPr>
          <w:p w14:paraId="1E6FFCF6"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6%</w:t>
            </w:r>
          </w:p>
        </w:tc>
        <w:tc>
          <w:tcPr>
            <w:tcW w:w="1260" w:type="dxa"/>
            <w:tcBorders>
              <w:top w:val="nil"/>
              <w:left w:val="nil"/>
              <w:bottom w:val="nil"/>
              <w:right w:val="nil"/>
            </w:tcBorders>
            <w:shd w:val="clear" w:color="auto" w:fill="auto"/>
            <w:noWrap/>
            <w:hideMark/>
          </w:tcPr>
          <w:p w14:paraId="49482396"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6,942</w:t>
            </w:r>
            <w:r w:rsidR="00950163" w:rsidRPr="00E70587">
              <w:rPr>
                <w:rFonts w:ascii="Arial" w:hAnsi="Arial" w:cs="Arial"/>
                <w:sz w:val="20"/>
              </w:rPr>
              <w:t xml:space="preserve"> </w:t>
            </w:r>
          </w:p>
        </w:tc>
        <w:tc>
          <w:tcPr>
            <w:tcW w:w="1710" w:type="dxa"/>
            <w:tcBorders>
              <w:top w:val="nil"/>
              <w:left w:val="nil"/>
              <w:bottom w:val="nil"/>
              <w:right w:val="nil"/>
            </w:tcBorders>
            <w:shd w:val="clear" w:color="auto" w:fill="auto"/>
            <w:noWrap/>
            <w:hideMark/>
          </w:tcPr>
          <w:p w14:paraId="6F8A1080"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10%</w:t>
            </w:r>
          </w:p>
        </w:tc>
        <w:tc>
          <w:tcPr>
            <w:tcW w:w="900" w:type="dxa"/>
            <w:tcBorders>
              <w:top w:val="nil"/>
              <w:left w:val="nil"/>
              <w:bottom w:val="nil"/>
              <w:right w:val="nil"/>
            </w:tcBorders>
            <w:shd w:val="clear" w:color="auto" w:fill="auto"/>
            <w:noWrap/>
            <w:hideMark/>
          </w:tcPr>
          <w:p w14:paraId="1EA7E4A1"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1,542 </w:t>
            </w:r>
          </w:p>
        </w:tc>
        <w:tc>
          <w:tcPr>
            <w:tcW w:w="2250" w:type="dxa"/>
            <w:tcBorders>
              <w:top w:val="nil"/>
              <w:left w:val="nil"/>
              <w:bottom w:val="nil"/>
              <w:right w:val="nil"/>
            </w:tcBorders>
            <w:shd w:val="clear" w:color="auto" w:fill="auto"/>
            <w:noWrap/>
            <w:hideMark/>
          </w:tcPr>
          <w:p w14:paraId="29FABE25"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135D5A20"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c>
          <w:tcPr>
            <w:tcW w:w="1800" w:type="dxa"/>
            <w:tcBorders>
              <w:top w:val="nil"/>
              <w:left w:val="nil"/>
              <w:bottom w:val="nil"/>
              <w:right w:val="nil"/>
            </w:tcBorders>
            <w:shd w:val="clear" w:color="auto" w:fill="auto"/>
            <w:noWrap/>
            <w:hideMark/>
          </w:tcPr>
          <w:p w14:paraId="7F573871" w14:textId="45EACCF0"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4357E3">
              <w:rPr>
                <w:rFonts w:ascii="Arial" w:hAnsi="Arial" w:cs="Arial"/>
                <w:sz w:val="20"/>
              </w:rPr>
              <w:t>10%</w:t>
            </w:r>
            <w:r w:rsidR="004357E3" w:rsidRPr="00E70587">
              <w:rPr>
                <w:rFonts w:ascii="Arial" w:hAnsi="Arial" w:cs="Arial"/>
                <w:sz w:val="20"/>
              </w:rPr>
              <w:t xml:space="preserve"> </w:t>
            </w:r>
          </w:p>
        </w:tc>
        <w:tc>
          <w:tcPr>
            <w:tcW w:w="990" w:type="dxa"/>
            <w:tcBorders>
              <w:top w:val="nil"/>
              <w:left w:val="nil"/>
              <w:bottom w:val="nil"/>
              <w:right w:val="single" w:sz="8" w:space="0" w:color="auto"/>
            </w:tcBorders>
            <w:shd w:val="clear" w:color="auto" w:fill="auto"/>
            <w:noWrap/>
            <w:hideMark/>
          </w:tcPr>
          <w:p w14:paraId="501D3771"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1,542 </w:t>
            </w:r>
          </w:p>
        </w:tc>
      </w:tr>
      <w:tr w:rsidR="00AD6D4C" w:rsidRPr="00E70587" w14:paraId="0D27FEA3" w14:textId="77777777" w:rsidTr="00755532">
        <w:tc>
          <w:tcPr>
            <w:tcW w:w="918" w:type="dxa"/>
            <w:tcBorders>
              <w:top w:val="nil"/>
              <w:left w:val="single" w:sz="8" w:space="0" w:color="auto"/>
              <w:bottom w:val="nil"/>
              <w:right w:val="nil"/>
            </w:tcBorders>
            <w:shd w:val="clear" w:color="auto" w:fill="auto"/>
            <w:noWrap/>
            <w:vAlign w:val="center"/>
            <w:hideMark/>
          </w:tcPr>
          <w:p w14:paraId="64E234FA"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24" w:type="dxa"/>
            <w:tcBorders>
              <w:top w:val="nil"/>
              <w:left w:val="nil"/>
              <w:bottom w:val="nil"/>
              <w:right w:val="nil"/>
            </w:tcBorders>
            <w:shd w:val="clear" w:color="auto" w:fill="auto"/>
            <w:noWrap/>
            <w:vAlign w:val="center"/>
            <w:hideMark/>
          </w:tcPr>
          <w:p w14:paraId="55174D16" w14:textId="5BC4F81D" w:rsidR="00AD6D4C" w:rsidRPr="00E70587" w:rsidRDefault="00AD6D4C"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8B730E"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20</w:t>
            </w:r>
          </w:p>
        </w:tc>
        <w:tc>
          <w:tcPr>
            <w:tcW w:w="1638" w:type="dxa"/>
            <w:gridSpan w:val="2"/>
            <w:tcBorders>
              <w:top w:val="nil"/>
              <w:left w:val="nil"/>
              <w:bottom w:val="nil"/>
              <w:right w:val="nil"/>
            </w:tcBorders>
            <w:shd w:val="clear" w:color="auto" w:fill="auto"/>
            <w:noWrap/>
            <w:hideMark/>
          </w:tcPr>
          <w:p w14:paraId="79F51EE7"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0%</w:t>
            </w:r>
          </w:p>
        </w:tc>
        <w:tc>
          <w:tcPr>
            <w:tcW w:w="1260" w:type="dxa"/>
            <w:tcBorders>
              <w:top w:val="nil"/>
              <w:left w:val="nil"/>
              <w:bottom w:val="nil"/>
              <w:right w:val="nil"/>
            </w:tcBorders>
            <w:shd w:val="clear" w:color="auto" w:fill="auto"/>
            <w:noWrap/>
            <w:hideMark/>
          </w:tcPr>
          <w:p w14:paraId="4BAF82EC"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c>
          <w:tcPr>
            <w:tcW w:w="1710" w:type="dxa"/>
            <w:tcBorders>
              <w:top w:val="nil"/>
              <w:left w:val="nil"/>
              <w:bottom w:val="nil"/>
              <w:right w:val="nil"/>
            </w:tcBorders>
            <w:shd w:val="clear" w:color="auto" w:fill="auto"/>
            <w:noWrap/>
            <w:hideMark/>
          </w:tcPr>
          <w:p w14:paraId="273E6D14"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0%</w:t>
            </w:r>
          </w:p>
        </w:tc>
        <w:tc>
          <w:tcPr>
            <w:tcW w:w="900" w:type="dxa"/>
            <w:tcBorders>
              <w:top w:val="nil"/>
              <w:left w:val="nil"/>
              <w:bottom w:val="nil"/>
              <w:right w:val="nil"/>
            </w:tcBorders>
            <w:shd w:val="clear" w:color="auto" w:fill="auto"/>
            <w:noWrap/>
            <w:hideMark/>
          </w:tcPr>
          <w:p w14:paraId="20EB6DD6"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c>
          <w:tcPr>
            <w:tcW w:w="2250" w:type="dxa"/>
            <w:tcBorders>
              <w:top w:val="nil"/>
              <w:left w:val="nil"/>
              <w:bottom w:val="nil"/>
              <w:right w:val="nil"/>
            </w:tcBorders>
            <w:shd w:val="clear" w:color="auto" w:fill="auto"/>
            <w:noWrap/>
            <w:hideMark/>
          </w:tcPr>
          <w:p w14:paraId="02E16EDB"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1D667F4F"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c>
          <w:tcPr>
            <w:tcW w:w="1800" w:type="dxa"/>
            <w:tcBorders>
              <w:top w:val="nil"/>
              <w:left w:val="nil"/>
              <w:bottom w:val="nil"/>
              <w:right w:val="nil"/>
            </w:tcBorders>
            <w:shd w:val="clear" w:color="auto" w:fill="auto"/>
            <w:noWrap/>
            <w:hideMark/>
          </w:tcPr>
          <w:p w14:paraId="002EB294"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c>
          <w:tcPr>
            <w:tcW w:w="990" w:type="dxa"/>
            <w:tcBorders>
              <w:top w:val="nil"/>
              <w:left w:val="nil"/>
              <w:bottom w:val="nil"/>
              <w:right w:val="single" w:sz="8" w:space="0" w:color="auto"/>
            </w:tcBorders>
            <w:shd w:val="clear" w:color="auto" w:fill="auto"/>
            <w:noWrap/>
            <w:hideMark/>
          </w:tcPr>
          <w:p w14:paraId="1A8576B7"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r>
      <w:tr w:rsidR="00AD6D4C" w:rsidRPr="00E70587" w14:paraId="373086DD" w14:textId="77777777" w:rsidTr="00755532">
        <w:tc>
          <w:tcPr>
            <w:tcW w:w="918" w:type="dxa"/>
            <w:tcBorders>
              <w:top w:val="nil"/>
              <w:left w:val="single" w:sz="8" w:space="0" w:color="auto"/>
              <w:bottom w:val="nil"/>
              <w:right w:val="nil"/>
            </w:tcBorders>
            <w:shd w:val="clear" w:color="auto" w:fill="auto"/>
            <w:noWrap/>
            <w:vAlign w:val="center"/>
            <w:hideMark/>
          </w:tcPr>
          <w:p w14:paraId="52605EE1"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5</w:t>
            </w:r>
          </w:p>
        </w:tc>
        <w:tc>
          <w:tcPr>
            <w:tcW w:w="2924" w:type="dxa"/>
            <w:tcBorders>
              <w:top w:val="nil"/>
              <w:left w:val="nil"/>
              <w:bottom w:val="nil"/>
              <w:right w:val="nil"/>
            </w:tcBorders>
            <w:shd w:val="clear" w:color="auto" w:fill="auto"/>
            <w:noWrap/>
            <w:vAlign w:val="center"/>
            <w:hideMark/>
          </w:tcPr>
          <w:p w14:paraId="5624BB74" w14:textId="77777777" w:rsidR="00AD6D4C" w:rsidRPr="00E70587" w:rsidRDefault="00AD6D4C" w:rsidP="009901E1">
            <w:pPr>
              <w:spacing w:line="280" w:lineRule="exact"/>
              <w:rPr>
                <w:rFonts w:ascii="Arial" w:hAnsi="Arial" w:cs="Arial"/>
                <w:sz w:val="20"/>
                <w:lang w:eastAsia="en-IN"/>
              </w:rPr>
            </w:pPr>
            <w:r w:rsidRPr="00E70587">
              <w:rPr>
                <w:rFonts w:ascii="Arial" w:hAnsi="Arial" w:cs="Arial"/>
                <w:sz w:val="20"/>
                <w:lang w:eastAsia="en-IN"/>
              </w:rPr>
              <w:t>H Limited</w:t>
            </w:r>
          </w:p>
        </w:tc>
        <w:tc>
          <w:tcPr>
            <w:tcW w:w="1638" w:type="dxa"/>
            <w:gridSpan w:val="2"/>
            <w:tcBorders>
              <w:top w:val="nil"/>
              <w:left w:val="nil"/>
              <w:bottom w:val="nil"/>
              <w:right w:val="nil"/>
            </w:tcBorders>
            <w:shd w:val="clear" w:color="auto" w:fill="auto"/>
            <w:noWrap/>
            <w:hideMark/>
          </w:tcPr>
          <w:p w14:paraId="5A383BC3" w14:textId="77777777" w:rsidR="00AD6D4C" w:rsidRPr="00E70587" w:rsidRDefault="00AD6D4C" w:rsidP="009901E1">
            <w:pPr>
              <w:spacing w:line="280" w:lineRule="exact"/>
              <w:jc w:val="right"/>
              <w:rPr>
                <w:rFonts w:ascii="Arial" w:hAnsi="Arial" w:cs="Arial"/>
                <w:sz w:val="20"/>
                <w:lang w:eastAsia="en-IN"/>
              </w:rPr>
            </w:pPr>
          </w:p>
        </w:tc>
        <w:tc>
          <w:tcPr>
            <w:tcW w:w="1260" w:type="dxa"/>
            <w:tcBorders>
              <w:top w:val="nil"/>
              <w:left w:val="nil"/>
              <w:bottom w:val="nil"/>
              <w:right w:val="nil"/>
            </w:tcBorders>
            <w:shd w:val="clear" w:color="auto" w:fill="auto"/>
            <w:noWrap/>
            <w:hideMark/>
          </w:tcPr>
          <w:p w14:paraId="3A5993E3" w14:textId="77777777" w:rsidR="00AD6D4C" w:rsidRPr="00E70587" w:rsidRDefault="00AD6D4C" w:rsidP="009901E1">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hideMark/>
          </w:tcPr>
          <w:p w14:paraId="198B4276" w14:textId="77777777" w:rsidR="00AD6D4C" w:rsidRPr="00E70587" w:rsidRDefault="00AD6D4C" w:rsidP="009901E1">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hideMark/>
          </w:tcPr>
          <w:p w14:paraId="0E8157ED" w14:textId="77777777" w:rsidR="00AD6D4C" w:rsidRPr="00E70587" w:rsidRDefault="00AD6D4C" w:rsidP="009901E1">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hideMark/>
          </w:tcPr>
          <w:p w14:paraId="1316D546" w14:textId="77777777" w:rsidR="00AD6D4C" w:rsidRPr="00E70587" w:rsidRDefault="00AD6D4C" w:rsidP="009901E1">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hideMark/>
          </w:tcPr>
          <w:p w14:paraId="6E009E6A" w14:textId="77777777" w:rsidR="00AD6D4C" w:rsidRPr="00E70587" w:rsidRDefault="00AD6D4C" w:rsidP="009901E1">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hideMark/>
          </w:tcPr>
          <w:p w14:paraId="28CA4D5B" w14:textId="77777777" w:rsidR="00AD6D4C" w:rsidRPr="00E70587" w:rsidRDefault="00AD6D4C" w:rsidP="009901E1">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hideMark/>
          </w:tcPr>
          <w:p w14:paraId="740677D8" w14:textId="77777777" w:rsidR="00AD6D4C" w:rsidRPr="00E70587" w:rsidRDefault="00AD6D4C" w:rsidP="009901E1">
            <w:pPr>
              <w:spacing w:line="280" w:lineRule="exact"/>
              <w:jc w:val="right"/>
              <w:rPr>
                <w:rFonts w:ascii="Arial" w:hAnsi="Arial" w:cs="Arial"/>
                <w:sz w:val="20"/>
                <w:lang w:eastAsia="en-IN"/>
              </w:rPr>
            </w:pPr>
          </w:p>
        </w:tc>
      </w:tr>
      <w:tr w:rsidR="00AD6D4C" w:rsidRPr="00E70587" w14:paraId="2AB83F80" w14:textId="77777777" w:rsidTr="00755532">
        <w:tc>
          <w:tcPr>
            <w:tcW w:w="918" w:type="dxa"/>
            <w:tcBorders>
              <w:top w:val="nil"/>
              <w:left w:val="single" w:sz="8" w:space="0" w:color="auto"/>
              <w:bottom w:val="nil"/>
              <w:right w:val="nil"/>
            </w:tcBorders>
            <w:shd w:val="clear" w:color="auto" w:fill="auto"/>
            <w:noWrap/>
            <w:vAlign w:val="center"/>
            <w:hideMark/>
          </w:tcPr>
          <w:p w14:paraId="5BB2AD9E"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24" w:type="dxa"/>
            <w:tcBorders>
              <w:top w:val="nil"/>
              <w:left w:val="nil"/>
              <w:bottom w:val="nil"/>
              <w:right w:val="nil"/>
            </w:tcBorders>
            <w:shd w:val="clear" w:color="auto" w:fill="auto"/>
            <w:noWrap/>
            <w:vAlign w:val="center"/>
            <w:hideMark/>
          </w:tcPr>
          <w:p w14:paraId="70BB5E5D" w14:textId="2E6F6413" w:rsidR="00AD6D4C" w:rsidRPr="00E70587" w:rsidRDefault="00AD6D4C"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10492C"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21</w:t>
            </w:r>
          </w:p>
        </w:tc>
        <w:tc>
          <w:tcPr>
            <w:tcW w:w="1638" w:type="dxa"/>
            <w:gridSpan w:val="2"/>
            <w:tcBorders>
              <w:top w:val="nil"/>
              <w:left w:val="nil"/>
              <w:bottom w:val="nil"/>
              <w:right w:val="nil"/>
            </w:tcBorders>
            <w:shd w:val="clear" w:color="auto" w:fill="auto"/>
            <w:noWrap/>
            <w:hideMark/>
          </w:tcPr>
          <w:p w14:paraId="5F1FF910"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5%</w:t>
            </w:r>
          </w:p>
        </w:tc>
        <w:tc>
          <w:tcPr>
            <w:tcW w:w="1260" w:type="dxa"/>
            <w:tcBorders>
              <w:top w:val="nil"/>
              <w:left w:val="nil"/>
              <w:bottom w:val="nil"/>
              <w:right w:val="nil"/>
            </w:tcBorders>
            <w:shd w:val="clear" w:color="auto" w:fill="auto"/>
            <w:noWrap/>
            <w:hideMark/>
          </w:tcPr>
          <w:p w14:paraId="68A2CE93"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5,241</w:t>
            </w:r>
            <w:r w:rsidR="00950163" w:rsidRPr="00E70587">
              <w:rPr>
                <w:rFonts w:ascii="Arial" w:hAnsi="Arial" w:cs="Arial"/>
                <w:sz w:val="20"/>
              </w:rPr>
              <w:t xml:space="preserve"> </w:t>
            </w:r>
          </w:p>
        </w:tc>
        <w:tc>
          <w:tcPr>
            <w:tcW w:w="1710" w:type="dxa"/>
            <w:tcBorders>
              <w:top w:val="nil"/>
              <w:left w:val="nil"/>
              <w:bottom w:val="nil"/>
              <w:right w:val="nil"/>
            </w:tcBorders>
            <w:shd w:val="clear" w:color="auto" w:fill="auto"/>
            <w:noWrap/>
            <w:hideMark/>
          </w:tcPr>
          <w:p w14:paraId="48DBCF98"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7%</w:t>
            </w:r>
          </w:p>
        </w:tc>
        <w:tc>
          <w:tcPr>
            <w:tcW w:w="900" w:type="dxa"/>
            <w:tcBorders>
              <w:top w:val="nil"/>
              <w:left w:val="nil"/>
              <w:bottom w:val="nil"/>
              <w:right w:val="nil"/>
            </w:tcBorders>
            <w:shd w:val="clear" w:color="auto" w:fill="auto"/>
            <w:noWrap/>
            <w:hideMark/>
          </w:tcPr>
          <w:p w14:paraId="33B7CD2A"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980</w:t>
            </w:r>
            <w:r w:rsidR="00950163" w:rsidRPr="00E70587">
              <w:rPr>
                <w:rFonts w:ascii="Arial" w:hAnsi="Arial" w:cs="Arial"/>
                <w:sz w:val="20"/>
              </w:rPr>
              <w:t xml:space="preserve"> </w:t>
            </w:r>
          </w:p>
        </w:tc>
        <w:tc>
          <w:tcPr>
            <w:tcW w:w="2250" w:type="dxa"/>
            <w:tcBorders>
              <w:top w:val="nil"/>
              <w:left w:val="nil"/>
              <w:bottom w:val="nil"/>
              <w:right w:val="nil"/>
            </w:tcBorders>
            <w:shd w:val="clear" w:color="auto" w:fill="auto"/>
            <w:noWrap/>
            <w:hideMark/>
          </w:tcPr>
          <w:p w14:paraId="2D46A105"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099C11B7"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c>
          <w:tcPr>
            <w:tcW w:w="1800" w:type="dxa"/>
            <w:tcBorders>
              <w:top w:val="nil"/>
              <w:left w:val="nil"/>
              <w:bottom w:val="nil"/>
              <w:right w:val="nil"/>
            </w:tcBorders>
            <w:shd w:val="clear" w:color="auto" w:fill="auto"/>
            <w:noWrap/>
            <w:hideMark/>
          </w:tcPr>
          <w:p w14:paraId="4360453D" w14:textId="025F0A31"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w:t>
            </w:r>
            <w:r w:rsidR="004357E3">
              <w:rPr>
                <w:rFonts w:ascii="Arial" w:hAnsi="Arial" w:cs="Arial"/>
                <w:sz w:val="20"/>
              </w:rPr>
              <w:t>7%</w:t>
            </w:r>
            <w:r w:rsidR="004357E3" w:rsidRPr="00E70587">
              <w:rPr>
                <w:rFonts w:ascii="Arial" w:hAnsi="Arial" w:cs="Arial"/>
                <w:sz w:val="20"/>
              </w:rPr>
              <w:t xml:space="preserve"> </w:t>
            </w:r>
          </w:p>
        </w:tc>
        <w:tc>
          <w:tcPr>
            <w:tcW w:w="990" w:type="dxa"/>
            <w:tcBorders>
              <w:top w:val="nil"/>
              <w:left w:val="nil"/>
              <w:bottom w:val="nil"/>
              <w:right w:val="single" w:sz="8" w:space="0" w:color="auto"/>
            </w:tcBorders>
            <w:shd w:val="clear" w:color="auto" w:fill="auto"/>
            <w:noWrap/>
            <w:hideMark/>
          </w:tcPr>
          <w:p w14:paraId="5F4D11FF"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 xml:space="preserve"> 980</w:t>
            </w:r>
            <w:r w:rsidR="00950163" w:rsidRPr="00E70587">
              <w:rPr>
                <w:rFonts w:ascii="Arial" w:hAnsi="Arial" w:cs="Arial"/>
                <w:sz w:val="20"/>
              </w:rPr>
              <w:t xml:space="preserve"> </w:t>
            </w:r>
          </w:p>
        </w:tc>
      </w:tr>
      <w:tr w:rsidR="00AD6D4C" w:rsidRPr="00E70587" w14:paraId="7B09576B" w14:textId="77777777" w:rsidTr="00755532">
        <w:tc>
          <w:tcPr>
            <w:tcW w:w="918" w:type="dxa"/>
            <w:tcBorders>
              <w:top w:val="nil"/>
              <w:left w:val="single" w:sz="8" w:space="0" w:color="auto"/>
              <w:bottom w:val="nil"/>
              <w:right w:val="nil"/>
            </w:tcBorders>
            <w:shd w:val="clear" w:color="auto" w:fill="auto"/>
            <w:noWrap/>
            <w:vAlign w:val="bottom"/>
            <w:hideMark/>
          </w:tcPr>
          <w:p w14:paraId="7968DF7F" w14:textId="77777777" w:rsidR="00AD6D4C" w:rsidRPr="00E70587" w:rsidRDefault="00AD6D4C" w:rsidP="009901E1">
            <w:pPr>
              <w:spacing w:line="280" w:lineRule="exact"/>
              <w:rPr>
                <w:rFonts w:ascii="Arial" w:hAnsi="Arial" w:cs="Arial"/>
                <w:sz w:val="20"/>
                <w:lang w:eastAsia="en-IN"/>
              </w:rPr>
            </w:pPr>
            <w:r w:rsidRPr="00E70587">
              <w:rPr>
                <w:rFonts w:ascii="Arial" w:hAnsi="Arial" w:cs="Arial"/>
                <w:sz w:val="20"/>
                <w:lang w:eastAsia="en-IN"/>
              </w:rPr>
              <w:t> </w:t>
            </w:r>
          </w:p>
        </w:tc>
        <w:tc>
          <w:tcPr>
            <w:tcW w:w="2924" w:type="dxa"/>
            <w:tcBorders>
              <w:top w:val="nil"/>
              <w:left w:val="nil"/>
              <w:bottom w:val="nil"/>
              <w:right w:val="nil"/>
            </w:tcBorders>
            <w:shd w:val="clear" w:color="auto" w:fill="auto"/>
            <w:noWrap/>
            <w:vAlign w:val="center"/>
            <w:hideMark/>
          </w:tcPr>
          <w:p w14:paraId="47530EB6" w14:textId="1316B2C0" w:rsidR="00AD6D4C" w:rsidRPr="00E70587" w:rsidRDefault="00AD6D4C"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8B730E"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20</w:t>
            </w:r>
          </w:p>
        </w:tc>
        <w:tc>
          <w:tcPr>
            <w:tcW w:w="1638" w:type="dxa"/>
            <w:gridSpan w:val="2"/>
            <w:tcBorders>
              <w:top w:val="nil"/>
              <w:left w:val="nil"/>
              <w:bottom w:val="nil"/>
              <w:right w:val="nil"/>
            </w:tcBorders>
            <w:shd w:val="clear" w:color="auto" w:fill="auto"/>
            <w:noWrap/>
            <w:hideMark/>
          </w:tcPr>
          <w:p w14:paraId="58683475" w14:textId="77777777" w:rsidR="00AD6D4C" w:rsidRPr="00E70587" w:rsidRDefault="00AD6D4C" w:rsidP="009901E1">
            <w:pPr>
              <w:spacing w:line="280" w:lineRule="exact"/>
              <w:jc w:val="right"/>
              <w:rPr>
                <w:rFonts w:ascii="Arial" w:hAnsi="Arial" w:cs="Arial"/>
                <w:sz w:val="20"/>
                <w:lang w:eastAsia="en-IN"/>
              </w:rPr>
            </w:pPr>
            <w:r w:rsidRPr="00E70587">
              <w:rPr>
                <w:rFonts w:ascii="Arial" w:hAnsi="Arial" w:cs="Arial"/>
                <w:sz w:val="20"/>
              </w:rPr>
              <w:t>6%</w:t>
            </w:r>
          </w:p>
        </w:tc>
        <w:tc>
          <w:tcPr>
            <w:tcW w:w="1260" w:type="dxa"/>
            <w:tcBorders>
              <w:top w:val="nil"/>
              <w:left w:val="nil"/>
              <w:bottom w:val="nil"/>
              <w:right w:val="nil"/>
            </w:tcBorders>
            <w:shd w:val="clear" w:color="auto" w:fill="auto"/>
            <w:noWrap/>
            <w:hideMark/>
          </w:tcPr>
          <w:p w14:paraId="30B14C43" w14:textId="77777777" w:rsidR="00AD6D4C" w:rsidRPr="00E70587" w:rsidRDefault="00AD6D4C" w:rsidP="0022129E">
            <w:pPr>
              <w:spacing w:line="280" w:lineRule="exact"/>
              <w:jc w:val="right"/>
              <w:rPr>
                <w:rFonts w:ascii="Arial" w:hAnsi="Arial" w:cs="Arial"/>
                <w:sz w:val="20"/>
                <w:lang w:eastAsia="en-IN"/>
              </w:rPr>
            </w:pPr>
            <w:r w:rsidRPr="00E70587">
              <w:rPr>
                <w:rFonts w:ascii="Arial" w:hAnsi="Arial" w:cs="Arial"/>
                <w:sz w:val="20"/>
              </w:rPr>
              <w:t xml:space="preserve"> 4,953</w:t>
            </w:r>
            <w:r w:rsidR="00950163" w:rsidRPr="00E70587">
              <w:rPr>
                <w:rFonts w:ascii="Arial" w:hAnsi="Arial" w:cs="Arial"/>
                <w:sz w:val="20"/>
              </w:rPr>
              <w:t xml:space="preserve"> </w:t>
            </w:r>
          </w:p>
        </w:tc>
        <w:tc>
          <w:tcPr>
            <w:tcW w:w="1710" w:type="dxa"/>
            <w:tcBorders>
              <w:top w:val="nil"/>
              <w:left w:val="nil"/>
              <w:bottom w:val="nil"/>
              <w:right w:val="nil"/>
            </w:tcBorders>
            <w:shd w:val="clear" w:color="auto" w:fill="auto"/>
            <w:noWrap/>
            <w:hideMark/>
          </w:tcPr>
          <w:p w14:paraId="1CC7856D" w14:textId="68D42506" w:rsidR="00AD6D4C" w:rsidRPr="00E70587" w:rsidRDefault="003925B6" w:rsidP="0022129E">
            <w:pPr>
              <w:spacing w:line="280" w:lineRule="exact"/>
              <w:jc w:val="right"/>
              <w:rPr>
                <w:rFonts w:ascii="Arial" w:hAnsi="Arial" w:cs="Arial"/>
                <w:sz w:val="20"/>
                <w:lang w:eastAsia="en-IN"/>
              </w:rPr>
            </w:pPr>
            <w:r>
              <w:rPr>
                <w:rFonts w:ascii="Arial" w:hAnsi="Arial" w:cs="Arial"/>
                <w:sz w:val="20"/>
              </w:rPr>
              <w:t>8</w:t>
            </w:r>
            <w:r w:rsidR="00AD6D4C" w:rsidRPr="00E70587">
              <w:rPr>
                <w:rFonts w:ascii="Arial" w:hAnsi="Arial" w:cs="Arial"/>
                <w:sz w:val="20"/>
              </w:rPr>
              <w:t>%</w:t>
            </w:r>
          </w:p>
        </w:tc>
        <w:tc>
          <w:tcPr>
            <w:tcW w:w="900" w:type="dxa"/>
            <w:tcBorders>
              <w:top w:val="nil"/>
              <w:left w:val="nil"/>
              <w:bottom w:val="nil"/>
              <w:right w:val="nil"/>
            </w:tcBorders>
            <w:shd w:val="clear" w:color="auto" w:fill="auto"/>
            <w:noWrap/>
            <w:hideMark/>
          </w:tcPr>
          <w:p w14:paraId="2D566D55" w14:textId="77777777" w:rsidR="00AD6D4C" w:rsidRPr="00E70587" w:rsidRDefault="00AD6D4C" w:rsidP="0022129E">
            <w:pPr>
              <w:spacing w:line="280" w:lineRule="exact"/>
              <w:jc w:val="right"/>
              <w:rPr>
                <w:rFonts w:ascii="Arial" w:hAnsi="Arial" w:cs="Arial"/>
                <w:sz w:val="20"/>
                <w:lang w:eastAsia="en-IN"/>
              </w:rPr>
            </w:pPr>
            <w:r w:rsidRPr="00E70587">
              <w:rPr>
                <w:rFonts w:ascii="Arial" w:hAnsi="Arial" w:cs="Arial"/>
                <w:sz w:val="20"/>
              </w:rPr>
              <w:t xml:space="preserve"> 834</w:t>
            </w:r>
            <w:r w:rsidR="00950163" w:rsidRPr="00E70587">
              <w:rPr>
                <w:rFonts w:ascii="Arial" w:hAnsi="Arial" w:cs="Arial"/>
                <w:sz w:val="20"/>
              </w:rPr>
              <w:t xml:space="preserve"> </w:t>
            </w:r>
          </w:p>
        </w:tc>
        <w:tc>
          <w:tcPr>
            <w:tcW w:w="2250" w:type="dxa"/>
            <w:tcBorders>
              <w:top w:val="nil"/>
              <w:left w:val="nil"/>
              <w:bottom w:val="nil"/>
              <w:right w:val="nil"/>
            </w:tcBorders>
            <w:shd w:val="clear" w:color="auto" w:fill="auto"/>
            <w:noWrap/>
            <w:hideMark/>
          </w:tcPr>
          <w:p w14:paraId="67AD1B56" w14:textId="77777777" w:rsidR="00AD6D4C" w:rsidRPr="00E70587" w:rsidRDefault="00AD6D4C" w:rsidP="0022129E">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76FE9AB0" w14:textId="77777777" w:rsidR="00AD6D4C" w:rsidRPr="00E70587" w:rsidRDefault="00AD6D4C" w:rsidP="0022129E">
            <w:pPr>
              <w:spacing w:line="280" w:lineRule="exact"/>
              <w:jc w:val="right"/>
              <w:rPr>
                <w:rFonts w:ascii="Arial" w:hAnsi="Arial" w:cs="Arial"/>
                <w:sz w:val="20"/>
                <w:lang w:eastAsia="en-IN"/>
              </w:rPr>
            </w:pPr>
            <w:r w:rsidRPr="00E70587">
              <w:rPr>
                <w:rFonts w:ascii="Arial" w:hAnsi="Arial" w:cs="Arial"/>
                <w:sz w:val="20"/>
              </w:rPr>
              <w:t xml:space="preserve"> -</w:t>
            </w:r>
            <w:r w:rsidR="00950163" w:rsidRPr="00E70587">
              <w:rPr>
                <w:rFonts w:ascii="Arial" w:hAnsi="Arial" w:cs="Arial"/>
                <w:sz w:val="20"/>
              </w:rPr>
              <w:t xml:space="preserve"> </w:t>
            </w:r>
          </w:p>
        </w:tc>
        <w:tc>
          <w:tcPr>
            <w:tcW w:w="1800" w:type="dxa"/>
            <w:tcBorders>
              <w:top w:val="nil"/>
              <w:left w:val="nil"/>
              <w:bottom w:val="nil"/>
              <w:right w:val="nil"/>
            </w:tcBorders>
            <w:shd w:val="clear" w:color="auto" w:fill="auto"/>
            <w:noWrap/>
            <w:hideMark/>
          </w:tcPr>
          <w:p w14:paraId="20815A16" w14:textId="2D9D4DA5" w:rsidR="00AD6D4C" w:rsidRPr="00E70587" w:rsidRDefault="00AD6D4C" w:rsidP="0022129E">
            <w:pPr>
              <w:spacing w:line="280" w:lineRule="exact"/>
              <w:jc w:val="right"/>
              <w:rPr>
                <w:rFonts w:ascii="Arial" w:hAnsi="Arial" w:cs="Arial"/>
                <w:sz w:val="20"/>
                <w:lang w:eastAsia="en-IN"/>
              </w:rPr>
            </w:pPr>
            <w:r w:rsidRPr="00E70587">
              <w:rPr>
                <w:rFonts w:ascii="Arial" w:hAnsi="Arial" w:cs="Arial"/>
                <w:sz w:val="20"/>
              </w:rPr>
              <w:t xml:space="preserve"> </w:t>
            </w:r>
            <w:r w:rsidR="004357E3">
              <w:rPr>
                <w:rFonts w:ascii="Arial" w:hAnsi="Arial" w:cs="Arial"/>
                <w:sz w:val="20"/>
              </w:rPr>
              <w:t>9%</w:t>
            </w:r>
            <w:r w:rsidR="004357E3" w:rsidRPr="00E70587">
              <w:rPr>
                <w:rFonts w:ascii="Arial" w:hAnsi="Arial" w:cs="Arial"/>
                <w:sz w:val="20"/>
              </w:rPr>
              <w:t xml:space="preserve"> </w:t>
            </w:r>
          </w:p>
        </w:tc>
        <w:tc>
          <w:tcPr>
            <w:tcW w:w="990" w:type="dxa"/>
            <w:tcBorders>
              <w:top w:val="nil"/>
              <w:left w:val="nil"/>
              <w:bottom w:val="nil"/>
              <w:right w:val="single" w:sz="8" w:space="0" w:color="auto"/>
            </w:tcBorders>
            <w:shd w:val="clear" w:color="auto" w:fill="auto"/>
            <w:noWrap/>
            <w:hideMark/>
          </w:tcPr>
          <w:p w14:paraId="1D69B31E" w14:textId="77777777" w:rsidR="00AD6D4C" w:rsidRPr="00E70587" w:rsidRDefault="00AD6D4C" w:rsidP="0022129E">
            <w:pPr>
              <w:spacing w:line="280" w:lineRule="exact"/>
              <w:jc w:val="right"/>
              <w:rPr>
                <w:rFonts w:ascii="Arial" w:hAnsi="Arial" w:cs="Arial"/>
                <w:sz w:val="20"/>
                <w:lang w:eastAsia="en-IN"/>
              </w:rPr>
            </w:pPr>
            <w:r w:rsidRPr="00E70587">
              <w:rPr>
                <w:rFonts w:ascii="Arial" w:hAnsi="Arial" w:cs="Arial"/>
                <w:sz w:val="20"/>
              </w:rPr>
              <w:t xml:space="preserve"> 834</w:t>
            </w:r>
            <w:r w:rsidR="00950163" w:rsidRPr="00E70587">
              <w:rPr>
                <w:rFonts w:ascii="Arial" w:hAnsi="Arial" w:cs="Arial"/>
                <w:sz w:val="20"/>
              </w:rPr>
              <w:t xml:space="preserve"> </w:t>
            </w:r>
          </w:p>
        </w:tc>
      </w:tr>
      <w:tr w:rsidR="00AD6D4C" w:rsidRPr="00E70587" w14:paraId="2328AAEE" w14:textId="77777777" w:rsidTr="00755532">
        <w:tc>
          <w:tcPr>
            <w:tcW w:w="918" w:type="dxa"/>
            <w:tcBorders>
              <w:top w:val="nil"/>
              <w:left w:val="single" w:sz="8" w:space="0" w:color="auto"/>
              <w:bottom w:val="nil"/>
              <w:right w:val="nil"/>
            </w:tcBorders>
            <w:shd w:val="clear" w:color="auto" w:fill="auto"/>
            <w:noWrap/>
          </w:tcPr>
          <w:p w14:paraId="306B95B0" w14:textId="77777777" w:rsidR="00AD6D4C" w:rsidRPr="00E70587" w:rsidRDefault="00AD6D4C" w:rsidP="00755532">
            <w:pPr>
              <w:spacing w:line="280" w:lineRule="exact"/>
              <w:jc w:val="right"/>
              <w:rPr>
                <w:rFonts w:ascii="Arial" w:hAnsi="Arial" w:cs="Arial"/>
                <w:sz w:val="20"/>
                <w:lang w:eastAsia="en-IN"/>
              </w:rPr>
            </w:pPr>
            <w:r w:rsidRPr="00E70587">
              <w:rPr>
                <w:rFonts w:ascii="Arial" w:hAnsi="Arial" w:cs="Arial"/>
                <w:sz w:val="20"/>
              </w:rPr>
              <w:t>6</w:t>
            </w:r>
          </w:p>
        </w:tc>
        <w:tc>
          <w:tcPr>
            <w:tcW w:w="2924" w:type="dxa"/>
            <w:tcBorders>
              <w:top w:val="nil"/>
              <w:left w:val="nil"/>
              <w:bottom w:val="nil"/>
              <w:right w:val="nil"/>
            </w:tcBorders>
            <w:shd w:val="clear" w:color="auto" w:fill="auto"/>
            <w:noWrap/>
          </w:tcPr>
          <w:p w14:paraId="2A5A577B" w14:textId="77777777" w:rsidR="00AD6D4C" w:rsidRPr="00E70587" w:rsidRDefault="00AD6D4C" w:rsidP="009901E1">
            <w:pPr>
              <w:spacing w:line="280" w:lineRule="exact"/>
              <w:rPr>
                <w:rFonts w:ascii="Arial" w:hAnsi="Arial" w:cs="Arial"/>
                <w:sz w:val="20"/>
                <w:lang w:eastAsia="en-IN"/>
              </w:rPr>
            </w:pPr>
            <w:r w:rsidRPr="00E70587">
              <w:rPr>
                <w:rFonts w:ascii="Arial" w:hAnsi="Arial" w:cs="Arial"/>
                <w:sz w:val="20"/>
              </w:rPr>
              <w:t>Electronics Limited</w:t>
            </w:r>
          </w:p>
        </w:tc>
        <w:tc>
          <w:tcPr>
            <w:tcW w:w="1638" w:type="dxa"/>
            <w:gridSpan w:val="2"/>
            <w:tcBorders>
              <w:top w:val="nil"/>
              <w:left w:val="nil"/>
              <w:bottom w:val="nil"/>
              <w:right w:val="nil"/>
            </w:tcBorders>
            <w:shd w:val="clear" w:color="auto" w:fill="auto"/>
            <w:noWrap/>
          </w:tcPr>
          <w:p w14:paraId="66DADBA7" w14:textId="06B86D17" w:rsidR="00AD6D4C" w:rsidRPr="00E70587" w:rsidRDefault="00AD6D4C" w:rsidP="009901E1">
            <w:pPr>
              <w:spacing w:line="280" w:lineRule="exact"/>
              <w:jc w:val="right"/>
              <w:rPr>
                <w:rFonts w:ascii="Arial" w:hAnsi="Arial" w:cs="Arial"/>
                <w:sz w:val="20"/>
                <w:lang w:eastAsia="en-IN"/>
              </w:rPr>
            </w:pPr>
          </w:p>
        </w:tc>
        <w:tc>
          <w:tcPr>
            <w:tcW w:w="1260" w:type="dxa"/>
            <w:tcBorders>
              <w:top w:val="nil"/>
              <w:left w:val="nil"/>
              <w:bottom w:val="nil"/>
              <w:right w:val="nil"/>
            </w:tcBorders>
            <w:shd w:val="clear" w:color="auto" w:fill="auto"/>
            <w:noWrap/>
          </w:tcPr>
          <w:p w14:paraId="75298AEE" w14:textId="6C3DBD08" w:rsidR="00AD6D4C" w:rsidRPr="00E70587" w:rsidRDefault="00AD6D4C" w:rsidP="0022129E">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tcPr>
          <w:p w14:paraId="55C3B090" w14:textId="1789C628" w:rsidR="00AD6D4C" w:rsidRPr="00E70587" w:rsidRDefault="00AD6D4C" w:rsidP="0022129E">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tcPr>
          <w:p w14:paraId="4F5977ED" w14:textId="1B83B5E3" w:rsidR="00AD6D4C" w:rsidRPr="00E70587" w:rsidRDefault="00AD6D4C" w:rsidP="0022129E">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tcPr>
          <w:p w14:paraId="365AA35A" w14:textId="26E598A3" w:rsidR="00AD6D4C" w:rsidRPr="00E70587" w:rsidRDefault="00AD6D4C" w:rsidP="0022129E">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tcPr>
          <w:p w14:paraId="4E398EE2" w14:textId="717266D8" w:rsidR="00AD6D4C" w:rsidRPr="00E70587" w:rsidRDefault="00AD6D4C" w:rsidP="0022129E">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tcPr>
          <w:p w14:paraId="112B501E" w14:textId="4CE06614" w:rsidR="00AD6D4C" w:rsidRPr="00E70587" w:rsidRDefault="00AD6D4C" w:rsidP="0022129E">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tcPr>
          <w:p w14:paraId="45AD4479" w14:textId="57B8DF9C" w:rsidR="00AD6D4C" w:rsidRPr="00E70587" w:rsidRDefault="00AD6D4C" w:rsidP="0022129E">
            <w:pPr>
              <w:spacing w:line="280" w:lineRule="exact"/>
              <w:jc w:val="right"/>
              <w:rPr>
                <w:rFonts w:ascii="Arial" w:hAnsi="Arial" w:cs="Arial"/>
                <w:sz w:val="20"/>
                <w:lang w:eastAsia="en-IN"/>
              </w:rPr>
            </w:pPr>
          </w:p>
        </w:tc>
      </w:tr>
      <w:tr w:rsidR="007028C9" w:rsidRPr="00E70587" w14:paraId="742B3A85" w14:textId="77777777" w:rsidTr="00755532">
        <w:tc>
          <w:tcPr>
            <w:tcW w:w="918" w:type="dxa"/>
            <w:tcBorders>
              <w:top w:val="nil"/>
              <w:left w:val="single" w:sz="8" w:space="0" w:color="auto"/>
              <w:bottom w:val="nil"/>
              <w:right w:val="nil"/>
            </w:tcBorders>
            <w:shd w:val="clear" w:color="auto" w:fill="auto"/>
            <w:noWrap/>
          </w:tcPr>
          <w:p w14:paraId="6A321F2F" w14:textId="77777777" w:rsidR="007028C9" w:rsidRPr="00E70587" w:rsidRDefault="007028C9" w:rsidP="009901E1">
            <w:pPr>
              <w:spacing w:line="280" w:lineRule="exact"/>
              <w:rPr>
                <w:rFonts w:ascii="Arial" w:hAnsi="Arial" w:cs="Arial"/>
                <w:sz w:val="20"/>
                <w:lang w:eastAsia="en-IN"/>
              </w:rPr>
            </w:pPr>
          </w:p>
        </w:tc>
        <w:tc>
          <w:tcPr>
            <w:tcW w:w="2924" w:type="dxa"/>
            <w:tcBorders>
              <w:top w:val="nil"/>
              <w:left w:val="nil"/>
              <w:bottom w:val="nil"/>
              <w:right w:val="nil"/>
            </w:tcBorders>
            <w:shd w:val="clear" w:color="auto" w:fill="auto"/>
            <w:noWrap/>
          </w:tcPr>
          <w:p w14:paraId="1FE34D28" w14:textId="6A675569" w:rsidR="007028C9" w:rsidRPr="00E70587" w:rsidRDefault="007028C9" w:rsidP="009901E1">
            <w:pPr>
              <w:spacing w:line="280" w:lineRule="exact"/>
              <w:rPr>
                <w:rFonts w:ascii="Arial" w:hAnsi="Arial" w:cs="Arial"/>
                <w:sz w:val="20"/>
              </w:rPr>
            </w:pPr>
            <w:r w:rsidRPr="00E70587">
              <w:rPr>
                <w:rFonts w:ascii="Arial" w:hAnsi="Arial" w:cs="Arial"/>
                <w:sz w:val="20"/>
              </w:rPr>
              <w:t xml:space="preserve">Balance as at 31 </w:t>
            </w:r>
            <w:r w:rsidR="0010492C" w:rsidRPr="00E70587">
              <w:rPr>
                <w:rFonts w:ascii="Arial" w:hAnsi="Arial" w:cs="Arial"/>
                <w:sz w:val="20"/>
              </w:rPr>
              <w:t xml:space="preserve">March </w:t>
            </w:r>
            <w:r w:rsidR="00642FE1" w:rsidRPr="00E70587">
              <w:rPr>
                <w:rFonts w:ascii="Arial" w:hAnsi="Arial" w:cs="Arial"/>
                <w:sz w:val="20"/>
              </w:rPr>
              <w:t>20</w:t>
            </w:r>
            <w:r w:rsidR="00642FE1">
              <w:rPr>
                <w:rFonts w:ascii="Arial" w:hAnsi="Arial" w:cs="Arial"/>
                <w:sz w:val="20"/>
              </w:rPr>
              <w:t>21</w:t>
            </w:r>
          </w:p>
        </w:tc>
        <w:tc>
          <w:tcPr>
            <w:tcW w:w="1638" w:type="dxa"/>
            <w:gridSpan w:val="2"/>
            <w:tcBorders>
              <w:top w:val="nil"/>
              <w:left w:val="nil"/>
              <w:bottom w:val="nil"/>
              <w:right w:val="nil"/>
            </w:tcBorders>
            <w:shd w:val="clear" w:color="auto" w:fill="auto"/>
            <w:noWrap/>
          </w:tcPr>
          <w:p w14:paraId="6E13AD67" w14:textId="77777777" w:rsidR="007028C9" w:rsidRPr="00E70587" w:rsidRDefault="007028C9" w:rsidP="009901E1">
            <w:pPr>
              <w:spacing w:line="280" w:lineRule="exact"/>
              <w:jc w:val="right"/>
              <w:rPr>
                <w:rFonts w:ascii="Arial" w:hAnsi="Arial" w:cs="Arial"/>
                <w:sz w:val="20"/>
              </w:rPr>
            </w:pPr>
            <w:r w:rsidRPr="00E70587">
              <w:rPr>
                <w:rFonts w:ascii="Arial" w:hAnsi="Arial" w:cs="Arial"/>
                <w:sz w:val="20"/>
              </w:rPr>
              <w:t>1%</w:t>
            </w:r>
          </w:p>
        </w:tc>
        <w:tc>
          <w:tcPr>
            <w:tcW w:w="1260" w:type="dxa"/>
            <w:tcBorders>
              <w:top w:val="nil"/>
              <w:left w:val="nil"/>
              <w:bottom w:val="nil"/>
              <w:right w:val="nil"/>
            </w:tcBorders>
            <w:shd w:val="clear" w:color="auto" w:fill="auto"/>
            <w:noWrap/>
          </w:tcPr>
          <w:p w14:paraId="03F03944" w14:textId="77777777" w:rsidR="007028C9" w:rsidRPr="00E70587" w:rsidRDefault="007028C9" w:rsidP="0022129E">
            <w:pPr>
              <w:spacing w:line="280" w:lineRule="exact"/>
              <w:jc w:val="right"/>
              <w:rPr>
                <w:rFonts w:ascii="Arial" w:hAnsi="Arial" w:cs="Arial"/>
                <w:sz w:val="20"/>
              </w:rPr>
            </w:pPr>
            <w:r w:rsidRPr="00E70587">
              <w:rPr>
                <w:rFonts w:ascii="Arial" w:hAnsi="Arial" w:cs="Arial"/>
                <w:sz w:val="20"/>
              </w:rPr>
              <w:t xml:space="preserve"> 1,053 </w:t>
            </w:r>
          </w:p>
        </w:tc>
        <w:tc>
          <w:tcPr>
            <w:tcW w:w="1710" w:type="dxa"/>
            <w:tcBorders>
              <w:top w:val="nil"/>
              <w:left w:val="nil"/>
              <w:bottom w:val="nil"/>
              <w:right w:val="nil"/>
            </w:tcBorders>
            <w:shd w:val="clear" w:color="auto" w:fill="auto"/>
            <w:noWrap/>
          </w:tcPr>
          <w:p w14:paraId="31D18819" w14:textId="77777777" w:rsidR="007028C9" w:rsidRPr="00E70587" w:rsidRDefault="007028C9" w:rsidP="0022129E">
            <w:pPr>
              <w:spacing w:line="280" w:lineRule="exact"/>
              <w:jc w:val="right"/>
              <w:rPr>
                <w:rFonts w:ascii="Arial" w:hAnsi="Arial" w:cs="Arial"/>
                <w:sz w:val="20"/>
              </w:rPr>
            </w:pPr>
            <w:r w:rsidRPr="00E70587">
              <w:rPr>
                <w:rFonts w:ascii="Arial" w:hAnsi="Arial" w:cs="Arial"/>
                <w:sz w:val="20"/>
              </w:rPr>
              <w:t>3%</w:t>
            </w:r>
          </w:p>
        </w:tc>
        <w:tc>
          <w:tcPr>
            <w:tcW w:w="900" w:type="dxa"/>
            <w:tcBorders>
              <w:top w:val="nil"/>
              <w:left w:val="nil"/>
              <w:bottom w:val="nil"/>
              <w:right w:val="nil"/>
            </w:tcBorders>
            <w:shd w:val="clear" w:color="auto" w:fill="auto"/>
            <w:noWrap/>
          </w:tcPr>
          <w:p w14:paraId="4E5EE8DE" w14:textId="77777777" w:rsidR="007028C9" w:rsidRPr="00E70587" w:rsidRDefault="007028C9" w:rsidP="0022129E">
            <w:pPr>
              <w:spacing w:line="280" w:lineRule="exact"/>
              <w:jc w:val="right"/>
              <w:rPr>
                <w:rFonts w:ascii="Arial" w:hAnsi="Arial" w:cs="Arial"/>
                <w:sz w:val="20"/>
              </w:rPr>
            </w:pPr>
            <w:r w:rsidRPr="00E70587">
              <w:rPr>
                <w:rFonts w:ascii="Arial" w:hAnsi="Arial" w:cs="Arial"/>
                <w:sz w:val="20"/>
              </w:rPr>
              <w:t xml:space="preserve"> 403 </w:t>
            </w:r>
          </w:p>
        </w:tc>
        <w:tc>
          <w:tcPr>
            <w:tcW w:w="2250" w:type="dxa"/>
            <w:tcBorders>
              <w:top w:val="nil"/>
              <w:left w:val="nil"/>
              <w:bottom w:val="nil"/>
              <w:right w:val="nil"/>
            </w:tcBorders>
            <w:shd w:val="clear" w:color="auto" w:fill="auto"/>
            <w:noWrap/>
          </w:tcPr>
          <w:p w14:paraId="2A1878EC" w14:textId="77777777" w:rsidR="007028C9" w:rsidRPr="00E70587" w:rsidRDefault="007028C9" w:rsidP="0022129E">
            <w:pPr>
              <w:spacing w:line="280" w:lineRule="exact"/>
              <w:jc w:val="right"/>
              <w:rPr>
                <w:rFonts w:ascii="Arial" w:hAnsi="Arial" w:cs="Arial"/>
                <w:sz w:val="20"/>
              </w:rPr>
            </w:pPr>
            <w:r w:rsidRPr="00E70587">
              <w:rPr>
                <w:rFonts w:ascii="Arial" w:hAnsi="Arial" w:cs="Arial"/>
                <w:sz w:val="20"/>
              </w:rPr>
              <w:t>0%</w:t>
            </w:r>
          </w:p>
        </w:tc>
        <w:tc>
          <w:tcPr>
            <w:tcW w:w="720" w:type="dxa"/>
            <w:tcBorders>
              <w:top w:val="nil"/>
              <w:left w:val="nil"/>
              <w:bottom w:val="nil"/>
              <w:right w:val="nil"/>
            </w:tcBorders>
            <w:shd w:val="clear" w:color="auto" w:fill="auto"/>
            <w:noWrap/>
          </w:tcPr>
          <w:p w14:paraId="07E3BB46" w14:textId="77777777" w:rsidR="007028C9" w:rsidRPr="00E70587" w:rsidRDefault="007028C9" w:rsidP="0022129E">
            <w:pPr>
              <w:spacing w:line="280" w:lineRule="exact"/>
              <w:jc w:val="right"/>
              <w:rPr>
                <w:rFonts w:ascii="Arial" w:hAnsi="Arial" w:cs="Arial"/>
                <w:sz w:val="20"/>
              </w:rPr>
            </w:pPr>
            <w:r w:rsidRPr="00E70587">
              <w:rPr>
                <w:rFonts w:ascii="Arial" w:hAnsi="Arial" w:cs="Arial"/>
                <w:sz w:val="20"/>
              </w:rPr>
              <w:t xml:space="preserve"> -</w:t>
            </w:r>
          </w:p>
        </w:tc>
        <w:tc>
          <w:tcPr>
            <w:tcW w:w="1800" w:type="dxa"/>
            <w:tcBorders>
              <w:top w:val="nil"/>
              <w:left w:val="nil"/>
              <w:bottom w:val="nil"/>
              <w:right w:val="nil"/>
            </w:tcBorders>
            <w:shd w:val="clear" w:color="auto" w:fill="auto"/>
            <w:noWrap/>
          </w:tcPr>
          <w:p w14:paraId="46940F1F" w14:textId="19449302" w:rsidR="007028C9" w:rsidRPr="00E70587" w:rsidRDefault="007028C9" w:rsidP="0022129E">
            <w:pPr>
              <w:spacing w:line="280" w:lineRule="exact"/>
              <w:jc w:val="right"/>
              <w:rPr>
                <w:rFonts w:ascii="Arial" w:hAnsi="Arial" w:cs="Arial"/>
                <w:sz w:val="20"/>
              </w:rPr>
            </w:pPr>
            <w:r w:rsidRPr="00E70587">
              <w:rPr>
                <w:rFonts w:ascii="Arial" w:hAnsi="Arial" w:cs="Arial"/>
                <w:sz w:val="20"/>
              </w:rPr>
              <w:t xml:space="preserve"> </w:t>
            </w:r>
            <w:r w:rsidR="004357E3">
              <w:rPr>
                <w:rFonts w:ascii="Arial" w:hAnsi="Arial" w:cs="Arial"/>
                <w:sz w:val="20"/>
              </w:rPr>
              <w:t>3%</w:t>
            </w:r>
            <w:r w:rsidR="004357E3" w:rsidRPr="00E70587">
              <w:rPr>
                <w:rFonts w:ascii="Arial" w:hAnsi="Arial" w:cs="Arial"/>
                <w:sz w:val="20"/>
              </w:rPr>
              <w:t xml:space="preserve"> </w:t>
            </w:r>
          </w:p>
        </w:tc>
        <w:tc>
          <w:tcPr>
            <w:tcW w:w="990" w:type="dxa"/>
            <w:tcBorders>
              <w:top w:val="nil"/>
              <w:left w:val="nil"/>
              <w:bottom w:val="nil"/>
              <w:right w:val="single" w:sz="8" w:space="0" w:color="auto"/>
            </w:tcBorders>
            <w:shd w:val="clear" w:color="auto" w:fill="auto"/>
            <w:noWrap/>
          </w:tcPr>
          <w:p w14:paraId="3914F5EC" w14:textId="77777777" w:rsidR="007028C9" w:rsidRPr="00E70587" w:rsidRDefault="007028C9" w:rsidP="0022129E">
            <w:pPr>
              <w:spacing w:line="280" w:lineRule="exact"/>
              <w:jc w:val="right"/>
              <w:rPr>
                <w:rFonts w:ascii="Arial" w:hAnsi="Arial" w:cs="Arial"/>
                <w:sz w:val="20"/>
              </w:rPr>
            </w:pPr>
            <w:r w:rsidRPr="00E70587">
              <w:rPr>
                <w:rFonts w:ascii="Arial" w:hAnsi="Arial" w:cs="Arial"/>
                <w:sz w:val="20"/>
              </w:rPr>
              <w:t xml:space="preserve"> 403 </w:t>
            </w:r>
          </w:p>
        </w:tc>
      </w:tr>
      <w:tr w:rsidR="007028C9" w:rsidRPr="00E70587" w14:paraId="221A7BD9" w14:textId="77777777" w:rsidTr="00755532">
        <w:tc>
          <w:tcPr>
            <w:tcW w:w="918" w:type="dxa"/>
            <w:tcBorders>
              <w:top w:val="nil"/>
              <w:left w:val="single" w:sz="8" w:space="0" w:color="auto"/>
              <w:bottom w:val="nil"/>
              <w:right w:val="nil"/>
            </w:tcBorders>
            <w:shd w:val="clear" w:color="auto" w:fill="auto"/>
            <w:noWrap/>
          </w:tcPr>
          <w:p w14:paraId="3970EDB6" w14:textId="77777777" w:rsidR="007028C9" w:rsidRPr="00E70587" w:rsidRDefault="007028C9" w:rsidP="009901E1">
            <w:pPr>
              <w:spacing w:line="280" w:lineRule="exact"/>
              <w:rPr>
                <w:rFonts w:ascii="Arial" w:hAnsi="Arial" w:cs="Arial"/>
                <w:sz w:val="20"/>
                <w:lang w:eastAsia="en-IN"/>
              </w:rPr>
            </w:pPr>
          </w:p>
        </w:tc>
        <w:tc>
          <w:tcPr>
            <w:tcW w:w="2924" w:type="dxa"/>
            <w:tcBorders>
              <w:top w:val="nil"/>
              <w:left w:val="nil"/>
              <w:bottom w:val="nil"/>
              <w:right w:val="nil"/>
            </w:tcBorders>
            <w:shd w:val="clear" w:color="auto" w:fill="auto"/>
            <w:noWrap/>
          </w:tcPr>
          <w:p w14:paraId="3C5C4073" w14:textId="76C882D9" w:rsidR="007028C9" w:rsidRPr="00E70587" w:rsidRDefault="007028C9" w:rsidP="009901E1">
            <w:pPr>
              <w:spacing w:line="280" w:lineRule="exact"/>
              <w:rPr>
                <w:rFonts w:ascii="Arial" w:hAnsi="Arial" w:cs="Arial"/>
                <w:sz w:val="20"/>
              </w:rPr>
            </w:pPr>
            <w:r w:rsidRPr="00E70587">
              <w:rPr>
                <w:rFonts w:ascii="Arial" w:hAnsi="Arial" w:cs="Arial"/>
                <w:sz w:val="20"/>
              </w:rPr>
              <w:t xml:space="preserve">Balance as at 31 </w:t>
            </w:r>
            <w:r w:rsidR="008B730E" w:rsidRPr="00E70587">
              <w:rPr>
                <w:rFonts w:ascii="Arial" w:hAnsi="Arial" w:cs="Arial"/>
                <w:sz w:val="20"/>
              </w:rPr>
              <w:t xml:space="preserve">March </w:t>
            </w:r>
            <w:r w:rsidR="00642FE1" w:rsidRPr="00E70587">
              <w:rPr>
                <w:rFonts w:ascii="Arial" w:hAnsi="Arial" w:cs="Arial"/>
                <w:sz w:val="20"/>
              </w:rPr>
              <w:t>20</w:t>
            </w:r>
            <w:r w:rsidR="00642FE1">
              <w:rPr>
                <w:rFonts w:ascii="Arial" w:hAnsi="Arial" w:cs="Arial"/>
                <w:sz w:val="20"/>
              </w:rPr>
              <w:t>20</w:t>
            </w:r>
          </w:p>
        </w:tc>
        <w:tc>
          <w:tcPr>
            <w:tcW w:w="1638" w:type="dxa"/>
            <w:gridSpan w:val="2"/>
            <w:tcBorders>
              <w:top w:val="nil"/>
              <w:left w:val="nil"/>
              <w:bottom w:val="nil"/>
              <w:right w:val="nil"/>
            </w:tcBorders>
            <w:shd w:val="clear" w:color="auto" w:fill="auto"/>
            <w:noWrap/>
          </w:tcPr>
          <w:p w14:paraId="3A2153BE" w14:textId="77777777" w:rsidR="007028C9" w:rsidRPr="00E70587" w:rsidRDefault="007028C9" w:rsidP="009901E1">
            <w:pPr>
              <w:spacing w:line="280" w:lineRule="exact"/>
              <w:jc w:val="right"/>
              <w:rPr>
                <w:rFonts w:ascii="Arial" w:hAnsi="Arial" w:cs="Arial"/>
                <w:sz w:val="20"/>
              </w:rPr>
            </w:pPr>
            <w:r w:rsidRPr="00E70587">
              <w:rPr>
                <w:rFonts w:ascii="Arial" w:hAnsi="Arial" w:cs="Arial"/>
                <w:sz w:val="20"/>
              </w:rPr>
              <w:t>1%</w:t>
            </w:r>
          </w:p>
        </w:tc>
        <w:tc>
          <w:tcPr>
            <w:tcW w:w="1260" w:type="dxa"/>
            <w:tcBorders>
              <w:top w:val="nil"/>
              <w:left w:val="nil"/>
              <w:bottom w:val="nil"/>
              <w:right w:val="nil"/>
            </w:tcBorders>
            <w:shd w:val="clear" w:color="auto" w:fill="auto"/>
            <w:noWrap/>
          </w:tcPr>
          <w:p w14:paraId="2B96834E" w14:textId="77777777" w:rsidR="007028C9" w:rsidRPr="00E70587" w:rsidRDefault="007028C9" w:rsidP="0022129E">
            <w:pPr>
              <w:spacing w:line="280" w:lineRule="exact"/>
              <w:jc w:val="right"/>
              <w:rPr>
                <w:rFonts w:ascii="Arial" w:hAnsi="Arial" w:cs="Arial"/>
                <w:sz w:val="20"/>
              </w:rPr>
            </w:pPr>
            <w:r w:rsidRPr="00E70587">
              <w:rPr>
                <w:rFonts w:ascii="Arial" w:hAnsi="Arial" w:cs="Arial"/>
                <w:sz w:val="20"/>
              </w:rPr>
              <w:t xml:space="preserve"> 650 </w:t>
            </w:r>
          </w:p>
        </w:tc>
        <w:tc>
          <w:tcPr>
            <w:tcW w:w="1710" w:type="dxa"/>
            <w:tcBorders>
              <w:top w:val="nil"/>
              <w:left w:val="nil"/>
              <w:bottom w:val="nil"/>
              <w:right w:val="nil"/>
            </w:tcBorders>
            <w:shd w:val="clear" w:color="auto" w:fill="auto"/>
            <w:noWrap/>
          </w:tcPr>
          <w:p w14:paraId="483814A9" w14:textId="77777777" w:rsidR="007028C9" w:rsidRPr="00E70587" w:rsidRDefault="007028C9" w:rsidP="0022129E">
            <w:pPr>
              <w:spacing w:line="280" w:lineRule="exact"/>
              <w:jc w:val="right"/>
              <w:rPr>
                <w:rFonts w:ascii="Arial" w:hAnsi="Arial" w:cs="Arial"/>
                <w:sz w:val="20"/>
              </w:rPr>
            </w:pPr>
            <w:r w:rsidRPr="00E70587">
              <w:rPr>
                <w:rFonts w:ascii="Arial" w:hAnsi="Arial" w:cs="Arial"/>
                <w:sz w:val="20"/>
              </w:rPr>
              <w:t>3%</w:t>
            </w:r>
          </w:p>
        </w:tc>
        <w:tc>
          <w:tcPr>
            <w:tcW w:w="900" w:type="dxa"/>
            <w:tcBorders>
              <w:top w:val="nil"/>
              <w:left w:val="nil"/>
              <w:bottom w:val="nil"/>
              <w:right w:val="nil"/>
            </w:tcBorders>
            <w:shd w:val="clear" w:color="auto" w:fill="auto"/>
            <w:noWrap/>
          </w:tcPr>
          <w:p w14:paraId="2A7D829E" w14:textId="77777777" w:rsidR="007028C9" w:rsidRPr="00E70587" w:rsidRDefault="007028C9" w:rsidP="0022129E">
            <w:pPr>
              <w:spacing w:line="280" w:lineRule="exact"/>
              <w:jc w:val="right"/>
              <w:rPr>
                <w:rFonts w:ascii="Arial" w:hAnsi="Arial" w:cs="Arial"/>
                <w:sz w:val="20"/>
              </w:rPr>
            </w:pPr>
            <w:r w:rsidRPr="00E70587">
              <w:rPr>
                <w:rFonts w:ascii="Arial" w:hAnsi="Arial" w:cs="Arial"/>
                <w:sz w:val="20"/>
              </w:rPr>
              <w:t xml:space="preserve"> 320 </w:t>
            </w:r>
          </w:p>
        </w:tc>
        <w:tc>
          <w:tcPr>
            <w:tcW w:w="2250" w:type="dxa"/>
            <w:tcBorders>
              <w:top w:val="nil"/>
              <w:left w:val="nil"/>
              <w:bottom w:val="nil"/>
              <w:right w:val="nil"/>
            </w:tcBorders>
            <w:shd w:val="clear" w:color="auto" w:fill="auto"/>
            <w:noWrap/>
          </w:tcPr>
          <w:p w14:paraId="2C08BE77" w14:textId="77777777" w:rsidR="007028C9" w:rsidRPr="00E70587" w:rsidRDefault="007028C9" w:rsidP="0022129E">
            <w:pPr>
              <w:spacing w:line="280" w:lineRule="exact"/>
              <w:jc w:val="right"/>
              <w:rPr>
                <w:rFonts w:ascii="Arial" w:hAnsi="Arial" w:cs="Arial"/>
                <w:sz w:val="20"/>
              </w:rPr>
            </w:pPr>
            <w:r w:rsidRPr="00E70587">
              <w:rPr>
                <w:rFonts w:ascii="Arial" w:hAnsi="Arial" w:cs="Arial"/>
                <w:sz w:val="20"/>
              </w:rPr>
              <w:t>0%</w:t>
            </w:r>
          </w:p>
        </w:tc>
        <w:tc>
          <w:tcPr>
            <w:tcW w:w="720" w:type="dxa"/>
            <w:tcBorders>
              <w:top w:val="nil"/>
              <w:left w:val="nil"/>
              <w:bottom w:val="nil"/>
              <w:right w:val="nil"/>
            </w:tcBorders>
            <w:shd w:val="clear" w:color="auto" w:fill="auto"/>
            <w:noWrap/>
          </w:tcPr>
          <w:p w14:paraId="667FB79D" w14:textId="77777777" w:rsidR="007028C9" w:rsidRPr="00E70587" w:rsidRDefault="007028C9" w:rsidP="0022129E">
            <w:pPr>
              <w:spacing w:line="280" w:lineRule="exact"/>
              <w:jc w:val="right"/>
              <w:rPr>
                <w:rFonts w:ascii="Arial" w:hAnsi="Arial" w:cs="Arial"/>
                <w:sz w:val="20"/>
              </w:rPr>
            </w:pPr>
            <w:r w:rsidRPr="00E70587">
              <w:rPr>
                <w:rFonts w:ascii="Arial" w:hAnsi="Arial" w:cs="Arial"/>
                <w:sz w:val="20"/>
              </w:rPr>
              <w:t xml:space="preserve"> -</w:t>
            </w:r>
          </w:p>
        </w:tc>
        <w:tc>
          <w:tcPr>
            <w:tcW w:w="1800" w:type="dxa"/>
            <w:tcBorders>
              <w:top w:val="nil"/>
              <w:left w:val="nil"/>
              <w:bottom w:val="nil"/>
              <w:right w:val="nil"/>
            </w:tcBorders>
            <w:shd w:val="clear" w:color="auto" w:fill="auto"/>
            <w:noWrap/>
          </w:tcPr>
          <w:p w14:paraId="4CB400D0" w14:textId="77777777" w:rsidR="007028C9" w:rsidRPr="00E70587" w:rsidRDefault="007028C9" w:rsidP="0022129E">
            <w:pPr>
              <w:spacing w:line="280" w:lineRule="exact"/>
              <w:jc w:val="right"/>
              <w:rPr>
                <w:rFonts w:ascii="Arial" w:hAnsi="Arial" w:cs="Arial"/>
                <w:sz w:val="20"/>
              </w:rPr>
            </w:pPr>
            <w:r w:rsidRPr="00E70587">
              <w:rPr>
                <w:rFonts w:ascii="Arial" w:hAnsi="Arial" w:cs="Arial"/>
                <w:sz w:val="20"/>
              </w:rPr>
              <w:t>3%</w:t>
            </w:r>
          </w:p>
        </w:tc>
        <w:tc>
          <w:tcPr>
            <w:tcW w:w="990" w:type="dxa"/>
            <w:tcBorders>
              <w:top w:val="nil"/>
              <w:left w:val="nil"/>
              <w:bottom w:val="nil"/>
              <w:right w:val="single" w:sz="8" w:space="0" w:color="auto"/>
            </w:tcBorders>
            <w:shd w:val="clear" w:color="auto" w:fill="auto"/>
            <w:noWrap/>
          </w:tcPr>
          <w:p w14:paraId="3090124A" w14:textId="77777777" w:rsidR="007028C9" w:rsidRPr="00E70587" w:rsidRDefault="007028C9" w:rsidP="0022129E">
            <w:pPr>
              <w:spacing w:line="280" w:lineRule="exact"/>
              <w:jc w:val="right"/>
              <w:rPr>
                <w:rFonts w:ascii="Arial" w:hAnsi="Arial" w:cs="Arial"/>
                <w:sz w:val="20"/>
              </w:rPr>
            </w:pPr>
            <w:r w:rsidRPr="00E70587">
              <w:rPr>
                <w:rFonts w:ascii="Arial" w:hAnsi="Arial" w:cs="Arial"/>
                <w:sz w:val="20"/>
              </w:rPr>
              <w:t xml:space="preserve"> 320 </w:t>
            </w:r>
          </w:p>
        </w:tc>
      </w:tr>
      <w:tr w:rsidR="007028C9" w:rsidRPr="00E70587" w14:paraId="38C62E2D" w14:textId="77777777" w:rsidTr="00755532">
        <w:tc>
          <w:tcPr>
            <w:tcW w:w="918" w:type="dxa"/>
            <w:tcBorders>
              <w:top w:val="nil"/>
              <w:left w:val="single" w:sz="8" w:space="0" w:color="auto"/>
              <w:bottom w:val="nil"/>
              <w:right w:val="nil"/>
            </w:tcBorders>
            <w:shd w:val="clear" w:color="auto" w:fill="auto"/>
            <w:noWrap/>
            <w:vAlign w:val="bottom"/>
            <w:hideMark/>
          </w:tcPr>
          <w:p w14:paraId="6D0DFAF0" w14:textId="77777777" w:rsidR="00755532" w:rsidRPr="00E70587" w:rsidRDefault="00755532" w:rsidP="009901E1">
            <w:pPr>
              <w:spacing w:line="280" w:lineRule="exact"/>
              <w:rPr>
                <w:rFonts w:ascii="Arial" w:hAnsi="Arial" w:cs="Arial"/>
                <w:sz w:val="20"/>
                <w:lang w:eastAsia="en-IN"/>
              </w:rPr>
            </w:pPr>
          </w:p>
          <w:p w14:paraId="4C60B17D" w14:textId="77777777"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w:t>
            </w:r>
          </w:p>
        </w:tc>
        <w:tc>
          <w:tcPr>
            <w:tcW w:w="2924" w:type="dxa"/>
            <w:tcBorders>
              <w:top w:val="nil"/>
              <w:left w:val="nil"/>
              <w:bottom w:val="nil"/>
              <w:right w:val="nil"/>
            </w:tcBorders>
            <w:shd w:val="clear" w:color="auto" w:fill="auto"/>
            <w:noWrap/>
            <w:vAlign w:val="center"/>
            <w:hideMark/>
          </w:tcPr>
          <w:p w14:paraId="3485DC42" w14:textId="77777777" w:rsidR="007028C9" w:rsidRPr="00E70587" w:rsidRDefault="007028C9" w:rsidP="009901E1">
            <w:pPr>
              <w:spacing w:line="280" w:lineRule="exact"/>
              <w:rPr>
                <w:rFonts w:ascii="Arial" w:hAnsi="Arial" w:cs="Arial"/>
                <w:sz w:val="20"/>
                <w:lang w:eastAsia="en-IN"/>
              </w:rPr>
            </w:pPr>
          </w:p>
        </w:tc>
        <w:tc>
          <w:tcPr>
            <w:tcW w:w="1638" w:type="dxa"/>
            <w:gridSpan w:val="2"/>
            <w:tcBorders>
              <w:top w:val="nil"/>
              <w:left w:val="nil"/>
              <w:bottom w:val="nil"/>
              <w:right w:val="nil"/>
            </w:tcBorders>
            <w:shd w:val="clear" w:color="auto" w:fill="auto"/>
            <w:noWrap/>
            <w:vAlign w:val="bottom"/>
            <w:hideMark/>
          </w:tcPr>
          <w:p w14:paraId="0E5F8D45" w14:textId="77777777" w:rsidR="007028C9" w:rsidRPr="00E70587" w:rsidRDefault="007028C9" w:rsidP="009901E1">
            <w:pPr>
              <w:spacing w:line="280" w:lineRule="exact"/>
              <w:rPr>
                <w:rFonts w:ascii="Arial" w:hAnsi="Arial" w:cs="Arial"/>
                <w:sz w:val="20"/>
                <w:lang w:eastAsia="en-IN"/>
              </w:rPr>
            </w:pPr>
          </w:p>
        </w:tc>
        <w:tc>
          <w:tcPr>
            <w:tcW w:w="1260" w:type="dxa"/>
            <w:tcBorders>
              <w:top w:val="nil"/>
              <w:left w:val="nil"/>
              <w:bottom w:val="nil"/>
              <w:right w:val="nil"/>
            </w:tcBorders>
            <w:shd w:val="clear" w:color="auto" w:fill="auto"/>
            <w:noWrap/>
            <w:vAlign w:val="bottom"/>
            <w:hideMark/>
          </w:tcPr>
          <w:p w14:paraId="02BB59E0" w14:textId="77777777" w:rsidR="007028C9" w:rsidRPr="00E70587" w:rsidRDefault="007028C9" w:rsidP="0022129E">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vAlign w:val="bottom"/>
            <w:hideMark/>
          </w:tcPr>
          <w:p w14:paraId="687396A0" w14:textId="77777777" w:rsidR="007028C9" w:rsidRPr="00E70587" w:rsidRDefault="007028C9" w:rsidP="0022129E">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vAlign w:val="bottom"/>
            <w:hideMark/>
          </w:tcPr>
          <w:p w14:paraId="3566776E" w14:textId="77777777" w:rsidR="007028C9" w:rsidRPr="00E70587" w:rsidRDefault="007028C9" w:rsidP="0022129E">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vAlign w:val="bottom"/>
            <w:hideMark/>
          </w:tcPr>
          <w:p w14:paraId="370098BE" w14:textId="77777777" w:rsidR="007028C9" w:rsidRPr="00E70587" w:rsidRDefault="007028C9" w:rsidP="0022129E">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vAlign w:val="bottom"/>
            <w:hideMark/>
          </w:tcPr>
          <w:p w14:paraId="2CF08C70" w14:textId="77777777" w:rsidR="007028C9" w:rsidRPr="00E70587" w:rsidRDefault="007028C9" w:rsidP="0022129E">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vAlign w:val="bottom"/>
            <w:hideMark/>
          </w:tcPr>
          <w:p w14:paraId="23486F3E" w14:textId="77777777" w:rsidR="007028C9" w:rsidRPr="00E70587" w:rsidRDefault="007028C9" w:rsidP="0022129E">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bottom"/>
            <w:hideMark/>
          </w:tcPr>
          <w:p w14:paraId="2CE06D19"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lang w:eastAsia="en-IN"/>
              </w:rPr>
              <w:t> </w:t>
            </w:r>
          </w:p>
        </w:tc>
      </w:tr>
      <w:tr w:rsidR="007028C9" w:rsidRPr="00E70587" w14:paraId="77696653" w14:textId="77777777" w:rsidTr="00755532">
        <w:tc>
          <w:tcPr>
            <w:tcW w:w="3842" w:type="dxa"/>
            <w:gridSpan w:val="2"/>
            <w:tcBorders>
              <w:top w:val="nil"/>
              <w:left w:val="single" w:sz="8" w:space="0" w:color="auto"/>
              <w:bottom w:val="nil"/>
              <w:right w:val="nil"/>
            </w:tcBorders>
            <w:shd w:val="clear" w:color="auto" w:fill="auto"/>
            <w:noWrap/>
            <w:vAlign w:val="center"/>
            <w:hideMark/>
          </w:tcPr>
          <w:p w14:paraId="25E642E0" w14:textId="77777777" w:rsidR="007028C9" w:rsidRPr="00E70587" w:rsidRDefault="007028C9" w:rsidP="009901E1">
            <w:pPr>
              <w:spacing w:line="280" w:lineRule="exact"/>
              <w:rPr>
                <w:rFonts w:ascii="Arial" w:hAnsi="Arial" w:cs="Arial"/>
                <w:b/>
                <w:bCs/>
                <w:sz w:val="20"/>
                <w:lang w:eastAsia="en-IN"/>
              </w:rPr>
            </w:pPr>
            <w:r w:rsidRPr="00E70587">
              <w:rPr>
                <w:rFonts w:ascii="Arial" w:hAnsi="Arial" w:cs="Arial"/>
                <w:b/>
                <w:bCs/>
                <w:sz w:val="20"/>
                <w:lang w:eastAsia="en-IN"/>
              </w:rPr>
              <w:lastRenderedPageBreak/>
              <w:t>Foreign</w:t>
            </w:r>
          </w:p>
        </w:tc>
        <w:tc>
          <w:tcPr>
            <w:tcW w:w="1638" w:type="dxa"/>
            <w:gridSpan w:val="2"/>
            <w:tcBorders>
              <w:top w:val="nil"/>
              <w:left w:val="nil"/>
              <w:bottom w:val="nil"/>
              <w:right w:val="nil"/>
            </w:tcBorders>
            <w:shd w:val="clear" w:color="auto" w:fill="auto"/>
            <w:noWrap/>
            <w:vAlign w:val="bottom"/>
            <w:hideMark/>
          </w:tcPr>
          <w:p w14:paraId="0DA04CA4" w14:textId="77777777" w:rsidR="007028C9" w:rsidRPr="00E70587" w:rsidRDefault="007028C9" w:rsidP="009901E1">
            <w:pPr>
              <w:spacing w:line="280" w:lineRule="exact"/>
              <w:rPr>
                <w:rFonts w:ascii="Arial" w:hAnsi="Arial" w:cs="Arial"/>
                <w:sz w:val="20"/>
                <w:lang w:eastAsia="en-IN"/>
              </w:rPr>
            </w:pPr>
          </w:p>
        </w:tc>
        <w:tc>
          <w:tcPr>
            <w:tcW w:w="1260" w:type="dxa"/>
            <w:tcBorders>
              <w:top w:val="nil"/>
              <w:left w:val="nil"/>
              <w:bottom w:val="nil"/>
              <w:right w:val="nil"/>
            </w:tcBorders>
            <w:shd w:val="clear" w:color="auto" w:fill="auto"/>
            <w:noWrap/>
            <w:vAlign w:val="bottom"/>
            <w:hideMark/>
          </w:tcPr>
          <w:p w14:paraId="59A8EB12" w14:textId="77777777" w:rsidR="007028C9" w:rsidRPr="00E70587" w:rsidRDefault="007028C9" w:rsidP="0022129E">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vAlign w:val="bottom"/>
            <w:hideMark/>
          </w:tcPr>
          <w:p w14:paraId="404EF3EC" w14:textId="77777777" w:rsidR="007028C9" w:rsidRPr="00E70587" w:rsidRDefault="007028C9" w:rsidP="0022129E">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vAlign w:val="bottom"/>
            <w:hideMark/>
          </w:tcPr>
          <w:p w14:paraId="2FF06B2B" w14:textId="77777777" w:rsidR="007028C9" w:rsidRPr="00E70587" w:rsidRDefault="007028C9" w:rsidP="0022129E">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vAlign w:val="bottom"/>
            <w:hideMark/>
          </w:tcPr>
          <w:p w14:paraId="354C2092" w14:textId="77777777" w:rsidR="007028C9" w:rsidRPr="00E70587" w:rsidRDefault="007028C9" w:rsidP="0022129E">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vAlign w:val="bottom"/>
            <w:hideMark/>
          </w:tcPr>
          <w:p w14:paraId="448A539C" w14:textId="77777777" w:rsidR="007028C9" w:rsidRPr="00E70587" w:rsidRDefault="007028C9" w:rsidP="0022129E">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vAlign w:val="bottom"/>
            <w:hideMark/>
          </w:tcPr>
          <w:p w14:paraId="09B667F5" w14:textId="77777777" w:rsidR="007028C9" w:rsidRPr="00E70587" w:rsidRDefault="007028C9" w:rsidP="0022129E">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bottom"/>
            <w:hideMark/>
          </w:tcPr>
          <w:p w14:paraId="35BEE524"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lang w:eastAsia="en-IN"/>
              </w:rPr>
              <w:t> </w:t>
            </w:r>
          </w:p>
        </w:tc>
      </w:tr>
      <w:tr w:rsidR="007028C9" w:rsidRPr="00E70587" w14:paraId="50F55210" w14:textId="77777777" w:rsidTr="00755532">
        <w:tc>
          <w:tcPr>
            <w:tcW w:w="918" w:type="dxa"/>
            <w:tcBorders>
              <w:top w:val="nil"/>
              <w:left w:val="single" w:sz="8" w:space="0" w:color="auto"/>
              <w:bottom w:val="nil"/>
              <w:right w:val="nil"/>
            </w:tcBorders>
            <w:shd w:val="clear" w:color="auto" w:fill="auto"/>
            <w:noWrap/>
            <w:vAlign w:val="center"/>
            <w:hideMark/>
          </w:tcPr>
          <w:p w14:paraId="21876C99"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lang w:eastAsia="en-IN"/>
              </w:rPr>
              <w:t>1</w:t>
            </w:r>
          </w:p>
        </w:tc>
        <w:tc>
          <w:tcPr>
            <w:tcW w:w="2924" w:type="dxa"/>
            <w:tcBorders>
              <w:top w:val="nil"/>
              <w:left w:val="nil"/>
              <w:bottom w:val="nil"/>
              <w:right w:val="nil"/>
            </w:tcBorders>
            <w:shd w:val="clear" w:color="auto" w:fill="auto"/>
            <w:noWrap/>
            <w:vAlign w:val="center"/>
            <w:hideMark/>
          </w:tcPr>
          <w:p w14:paraId="635DF987" w14:textId="77777777"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Wireworks Inc.</w:t>
            </w:r>
          </w:p>
        </w:tc>
        <w:tc>
          <w:tcPr>
            <w:tcW w:w="1638" w:type="dxa"/>
            <w:gridSpan w:val="2"/>
            <w:tcBorders>
              <w:top w:val="nil"/>
              <w:left w:val="nil"/>
              <w:bottom w:val="nil"/>
              <w:right w:val="nil"/>
            </w:tcBorders>
            <w:shd w:val="clear" w:color="auto" w:fill="auto"/>
            <w:noWrap/>
            <w:vAlign w:val="bottom"/>
            <w:hideMark/>
          </w:tcPr>
          <w:p w14:paraId="273AA8FB" w14:textId="77777777" w:rsidR="007028C9" w:rsidRPr="00E70587" w:rsidRDefault="007028C9" w:rsidP="009901E1">
            <w:pPr>
              <w:spacing w:line="280" w:lineRule="exact"/>
              <w:rPr>
                <w:rFonts w:ascii="Arial" w:hAnsi="Arial" w:cs="Arial"/>
                <w:sz w:val="20"/>
                <w:lang w:eastAsia="en-IN"/>
              </w:rPr>
            </w:pPr>
          </w:p>
        </w:tc>
        <w:tc>
          <w:tcPr>
            <w:tcW w:w="1260" w:type="dxa"/>
            <w:tcBorders>
              <w:top w:val="nil"/>
              <w:left w:val="nil"/>
              <w:bottom w:val="nil"/>
              <w:right w:val="nil"/>
            </w:tcBorders>
            <w:shd w:val="clear" w:color="auto" w:fill="auto"/>
            <w:noWrap/>
            <w:vAlign w:val="bottom"/>
            <w:hideMark/>
          </w:tcPr>
          <w:p w14:paraId="10715F1B" w14:textId="77777777" w:rsidR="007028C9" w:rsidRPr="00E70587" w:rsidRDefault="007028C9" w:rsidP="0022129E">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vAlign w:val="bottom"/>
            <w:hideMark/>
          </w:tcPr>
          <w:p w14:paraId="685A51F1" w14:textId="77777777" w:rsidR="007028C9" w:rsidRPr="00E70587" w:rsidRDefault="007028C9" w:rsidP="0022129E">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vAlign w:val="bottom"/>
            <w:hideMark/>
          </w:tcPr>
          <w:p w14:paraId="6C068129" w14:textId="77777777" w:rsidR="007028C9" w:rsidRPr="00E70587" w:rsidRDefault="007028C9" w:rsidP="0022129E">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vAlign w:val="bottom"/>
            <w:hideMark/>
          </w:tcPr>
          <w:p w14:paraId="5095F057" w14:textId="77777777" w:rsidR="007028C9" w:rsidRPr="00E70587" w:rsidRDefault="007028C9" w:rsidP="0022129E">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vAlign w:val="bottom"/>
            <w:hideMark/>
          </w:tcPr>
          <w:p w14:paraId="2332098E" w14:textId="77777777" w:rsidR="007028C9" w:rsidRPr="00E70587" w:rsidRDefault="007028C9" w:rsidP="0022129E">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vAlign w:val="bottom"/>
            <w:hideMark/>
          </w:tcPr>
          <w:p w14:paraId="51A55F28" w14:textId="77777777" w:rsidR="007028C9" w:rsidRPr="00E70587" w:rsidRDefault="007028C9" w:rsidP="0022129E">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bottom"/>
            <w:hideMark/>
          </w:tcPr>
          <w:p w14:paraId="504061D0"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lang w:eastAsia="en-IN"/>
              </w:rPr>
              <w:t> </w:t>
            </w:r>
          </w:p>
        </w:tc>
      </w:tr>
      <w:tr w:rsidR="007028C9" w:rsidRPr="00E70587" w14:paraId="1256530D" w14:textId="77777777" w:rsidTr="00755532">
        <w:tc>
          <w:tcPr>
            <w:tcW w:w="918" w:type="dxa"/>
            <w:tcBorders>
              <w:top w:val="nil"/>
              <w:left w:val="single" w:sz="8" w:space="0" w:color="auto"/>
              <w:bottom w:val="nil"/>
              <w:right w:val="nil"/>
            </w:tcBorders>
            <w:shd w:val="clear" w:color="auto" w:fill="auto"/>
            <w:noWrap/>
            <w:vAlign w:val="center"/>
            <w:hideMark/>
          </w:tcPr>
          <w:p w14:paraId="6E5A000F"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24" w:type="dxa"/>
            <w:tcBorders>
              <w:top w:val="nil"/>
              <w:left w:val="nil"/>
              <w:bottom w:val="nil"/>
              <w:right w:val="nil"/>
            </w:tcBorders>
            <w:shd w:val="clear" w:color="auto" w:fill="auto"/>
            <w:noWrap/>
            <w:vAlign w:val="center"/>
            <w:hideMark/>
          </w:tcPr>
          <w:p w14:paraId="0DC12DE6" w14:textId="0550B7D8"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10492C"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21</w:t>
            </w:r>
          </w:p>
        </w:tc>
        <w:tc>
          <w:tcPr>
            <w:tcW w:w="1638" w:type="dxa"/>
            <w:gridSpan w:val="2"/>
            <w:tcBorders>
              <w:top w:val="nil"/>
              <w:left w:val="nil"/>
              <w:bottom w:val="nil"/>
              <w:right w:val="nil"/>
            </w:tcBorders>
            <w:shd w:val="clear" w:color="auto" w:fill="auto"/>
            <w:noWrap/>
            <w:hideMark/>
          </w:tcPr>
          <w:p w14:paraId="470A7A24"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1%</w:t>
            </w:r>
          </w:p>
        </w:tc>
        <w:tc>
          <w:tcPr>
            <w:tcW w:w="1260" w:type="dxa"/>
            <w:tcBorders>
              <w:top w:val="nil"/>
              <w:left w:val="nil"/>
              <w:bottom w:val="nil"/>
              <w:right w:val="nil"/>
            </w:tcBorders>
            <w:shd w:val="clear" w:color="auto" w:fill="auto"/>
            <w:noWrap/>
            <w:hideMark/>
          </w:tcPr>
          <w:p w14:paraId="77FC89A5"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1,562 </w:t>
            </w:r>
          </w:p>
        </w:tc>
        <w:tc>
          <w:tcPr>
            <w:tcW w:w="1710" w:type="dxa"/>
            <w:tcBorders>
              <w:top w:val="nil"/>
              <w:left w:val="nil"/>
              <w:bottom w:val="nil"/>
              <w:right w:val="nil"/>
            </w:tcBorders>
            <w:shd w:val="clear" w:color="auto" w:fill="auto"/>
            <w:noWrap/>
            <w:hideMark/>
          </w:tcPr>
          <w:p w14:paraId="2E398597"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1%</w:t>
            </w:r>
          </w:p>
        </w:tc>
        <w:tc>
          <w:tcPr>
            <w:tcW w:w="900" w:type="dxa"/>
            <w:tcBorders>
              <w:top w:val="nil"/>
              <w:left w:val="nil"/>
              <w:bottom w:val="nil"/>
              <w:right w:val="nil"/>
            </w:tcBorders>
            <w:shd w:val="clear" w:color="auto" w:fill="auto"/>
            <w:noWrap/>
            <w:hideMark/>
          </w:tcPr>
          <w:p w14:paraId="6FC6B510"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217 </w:t>
            </w:r>
          </w:p>
        </w:tc>
        <w:tc>
          <w:tcPr>
            <w:tcW w:w="2250" w:type="dxa"/>
            <w:tcBorders>
              <w:top w:val="nil"/>
              <w:left w:val="nil"/>
              <w:bottom w:val="nil"/>
              <w:right w:val="nil"/>
            </w:tcBorders>
            <w:shd w:val="clear" w:color="auto" w:fill="auto"/>
            <w:noWrap/>
            <w:hideMark/>
          </w:tcPr>
          <w:p w14:paraId="351D2465"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3A09FAA7"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 </w:t>
            </w:r>
          </w:p>
        </w:tc>
        <w:tc>
          <w:tcPr>
            <w:tcW w:w="1800" w:type="dxa"/>
            <w:tcBorders>
              <w:top w:val="nil"/>
              <w:left w:val="nil"/>
              <w:bottom w:val="nil"/>
              <w:right w:val="nil"/>
            </w:tcBorders>
            <w:shd w:val="clear" w:color="auto" w:fill="auto"/>
            <w:noWrap/>
            <w:hideMark/>
          </w:tcPr>
          <w:p w14:paraId="2BE1A8D8"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1%</w:t>
            </w:r>
          </w:p>
        </w:tc>
        <w:tc>
          <w:tcPr>
            <w:tcW w:w="990" w:type="dxa"/>
            <w:tcBorders>
              <w:top w:val="nil"/>
              <w:left w:val="nil"/>
              <w:bottom w:val="nil"/>
              <w:right w:val="single" w:sz="8" w:space="0" w:color="auto"/>
            </w:tcBorders>
            <w:shd w:val="clear" w:color="auto" w:fill="auto"/>
            <w:noWrap/>
            <w:hideMark/>
          </w:tcPr>
          <w:p w14:paraId="0B172796"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217 </w:t>
            </w:r>
          </w:p>
        </w:tc>
      </w:tr>
      <w:tr w:rsidR="007028C9" w:rsidRPr="00E70587" w14:paraId="305D0F56" w14:textId="77777777" w:rsidTr="00755532">
        <w:tc>
          <w:tcPr>
            <w:tcW w:w="918" w:type="dxa"/>
            <w:tcBorders>
              <w:top w:val="nil"/>
              <w:left w:val="single" w:sz="8" w:space="0" w:color="auto"/>
              <w:bottom w:val="nil"/>
              <w:right w:val="nil"/>
            </w:tcBorders>
            <w:shd w:val="clear" w:color="auto" w:fill="auto"/>
            <w:noWrap/>
            <w:vAlign w:val="center"/>
            <w:hideMark/>
          </w:tcPr>
          <w:p w14:paraId="14BCDDFC"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24" w:type="dxa"/>
            <w:tcBorders>
              <w:top w:val="nil"/>
              <w:left w:val="nil"/>
              <w:bottom w:val="nil"/>
              <w:right w:val="nil"/>
            </w:tcBorders>
            <w:shd w:val="clear" w:color="auto" w:fill="auto"/>
            <w:noWrap/>
            <w:vAlign w:val="center"/>
            <w:hideMark/>
          </w:tcPr>
          <w:p w14:paraId="2C9CD23B" w14:textId="04A99A6F"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8B730E"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20</w:t>
            </w:r>
          </w:p>
        </w:tc>
        <w:tc>
          <w:tcPr>
            <w:tcW w:w="1638" w:type="dxa"/>
            <w:gridSpan w:val="2"/>
            <w:tcBorders>
              <w:top w:val="nil"/>
              <w:left w:val="nil"/>
              <w:bottom w:val="nil"/>
              <w:right w:val="nil"/>
            </w:tcBorders>
            <w:shd w:val="clear" w:color="auto" w:fill="auto"/>
            <w:noWrap/>
            <w:hideMark/>
          </w:tcPr>
          <w:p w14:paraId="1739F86E"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1%</w:t>
            </w:r>
          </w:p>
        </w:tc>
        <w:tc>
          <w:tcPr>
            <w:tcW w:w="1260" w:type="dxa"/>
            <w:tcBorders>
              <w:top w:val="nil"/>
              <w:left w:val="nil"/>
              <w:bottom w:val="nil"/>
              <w:right w:val="nil"/>
            </w:tcBorders>
            <w:shd w:val="clear" w:color="auto" w:fill="auto"/>
            <w:noWrap/>
            <w:hideMark/>
          </w:tcPr>
          <w:p w14:paraId="25FC4305"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1,256 </w:t>
            </w:r>
          </w:p>
        </w:tc>
        <w:tc>
          <w:tcPr>
            <w:tcW w:w="1710" w:type="dxa"/>
            <w:tcBorders>
              <w:top w:val="nil"/>
              <w:left w:val="nil"/>
              <w:bottom w:val="nil"/>
              <w:right w:val="nil"/>
            </w:tcBorders>
            <w:shd w:val="clear" w:color="auto" w:fill="auto"/>
            <w:noWrap/>
            <w:hideMark/>
          </w:tcPr>
          <w:p w14:paraId="59A3CCFD"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2%</w:t>
            </w:r>
          </w:p>
        </w:tc>
        <w:tc>
          <w:tcPr>
            <w:tcW w:w="900" w:type="dxa"/>
            <w:tcBorders>
              <w:top w:val="nil"/>
              <w:left w:val="nil"/>
              <w:bottom w:val="nil"/>
              <w:right w:val="nil"/>
            </w:tcBorders>
            <w:shd w:val="clear" w:color="auto" w:fill="auto"/>
            <w:noWrap/>
            <w:hideMark/>
          </w:tcPr>
          <w:p w14:paraId="7BFBEC42"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174 </w:t>
            </w:r>
          </w:p>
        </w:tc>
        <w:tc>
          <w:tcPr>
            <w:tcW w:w="2250" w:type="dxa"/>
            <w:tcBorders>
              <w:top w:val="nil"/>
              <w:left w:val="nil"/>
              <w:bottom w:val="nil"/>
              <w:right w:val="nil"/>
            </w:tcBorders>
            <w:shd w:val="clear" w:color="auto" w:fill="auto"/>
            <w:noWrap/>
            <w:hideMark/>
          </w:tcPr>
          <w:p w14:paraId="0AA3A4D4"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42F70E71"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 </w:t>
            </w:r>
          </w:p>
        </w:tc>
        <w:tc>
          <w:tcPr>
            <w:tcW w:w="1800" w:type="dxa"/>
            <w:tcBorders>
              <w:top w:val="nil"/>
              <w:left w:val="nil"/>
              <w:bottom w:val="nil"/>
              <w:right w:val="nil"/>
            </w:tcBorders>
            <w:shd w:val="clear" w:color="auto" w:fill="auto"/>
            <w:noWrap/>
            <w:hideMark/>
          </w:tcPr>
          <w:p w14:paraId="1AF1CC16" w14:textId="79965A4E" w:rsidR="007028C9" w:rsidRPr="00E70587" w:rsidRDefault="004357E3" w:rsidP="0022129E">
            <w:pPr>
              <w:spacing w:line="280" w:lineRule="exact"/>
              <w:jc w:val="right"/>
              <w:rPr>
                <w:rFonts w:ascii="Arial" w:hAnsi="Arial" w:cs="Arial"/>
                <w:sz w:val="20"/>
                <w:lang w:eastAsia="en-IN"/>
              </w:rPr>
            </w:pPr>
            <w:r>
              <w:rPr>
                <w:rFonts w:ascii="Arial" w:hAnsi="Arial" w:cs="Arial"/>
                <w:sz w:val="20"/>
              </w:rPr>
              <w:t>2</w:t>
            </w:r>
            <w:r w:rsidR="007028C9" w:rsidRPr="00E70587">
              <w:rPr>
                <w:rFonts w:ascii="Arial" w:hAnsi="Arial" w:cs="Arial"/>
                <w:sz w:val="20"/>
              </w:rPr>
              <w:t>%</w:t>
            </w:r>
          </w:p>
        </w:tc>
        <w:tc>
          <w:tcPr>
            <w:tcW w:w="990" w:type="dxa"/>
            <w:tcBorders>
              <w:top w:val="nil"/>
              <w:left w:val="nil"/>
              <w:bottom w:val="nil"/>
              <w:right w:val="single" w:sz="8" w:space="0" w:color="auto"/>
            </w:tcBorders>
            <w:shd w:val="clear" w:color="auto" w:fill="auto"/>
            <w:noWrap/>
            <w:hideMark/>
          </w:tcPr>
          <w:p w14:paraId="492F22F6"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174 </w:t>
            </w:r>
          </w:p>
        </w:tc>
      </w:tr>
      <w:tr w:rsidR="007028C9" w:rsidRPr="00E70587" w14:paraId="1758BE15" w14:textId="77777777" w:rsidTr="00755532">
        <w:tc>
          <w:tcPr>
            <w:tcW w:w="918" w:type="dxa"/>
            <w:tcBorders>
              <w:top w:val="nil"/>
              <w:left w:val="single" w:sz="8" w:space="0" w:color="auto"/>
              <w:bottom w:val="nil"/>
              <w:right w:val="nil"/>
            </w:tcBorders>
            <w:shd w:val="clear" w:color="auto" w:fill="auto"/>
            <w:noWrap/>
            <w:vAlign w:val="center"/>
            <w:hideMark/>
          </w:tcPr>
          <w:p w14:paraId="7D221328"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lang w:eastAsia="en-IN"/>
              </w:rPr>
              <w:t>2</w:t>
            </w:r>
          </w:p>
        </w:tc>
        <w:tc>
          <w:tcPr>
            <w:tcW w:w="2924" w:type="dxa"/>
            <w:tcBorders>
              <w:top w:val="nil"/>
              <w:left w:val="nil"/>
              <w:bottom w:val="nil"/>
              <w:right w:val="nil"/>
            </w:tcBorders>
            <w:shd w:val="clear" w:color="auto" w:fill="auto"/>
            <w:noWrap/>
            <w:vAlign w:val="center"/>
            <w:hideMark/>
          </w:tcPr>
          <w:p w14:paraId="1F45D939" w14:textId="77777777"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Sprinklers Inc.</w:t>
            </w:r>
          </w:p>
        </w:tc>
        <w:tc>
          <w:tcPr>
            <w:tcW w:w="1638" w:type="dxa"/>
            <w:gridSpan w:val="2"/>
            <w:tcBorders>
              <w:top w:val="nil"/>
              <w:left w:val="nil"/>
              <w:bottom w:val="nil"/>
              <w:right w:val="nil"/>
            </w:tcBorders>
            <w:shd w:val="clear" w:color="auto" w:fill="auto"/>
            <w:noWrap/>
            <w:hideMark/>
          </w:tcPr>
          <w:p w14:paraId="55AB2491" w14:textId="77777777" w:rsidR="007028C9" w:rsidRPr="00E70587" w:rsidRDefault="007028C9" w:rsidP="009901E1">
            <w:pPr>
              <w:spacing w:line="280" w:lineRule="exact"/>
              <w:rPr>
                <w:rFonts w:ascii="Arial" w:hAnsi="Arial" w:cs="Arial"/>
                <w:sz w:val="20"/>
                <w:lang w:eastAsia="en-IN"/>
              </w:rPr>
            </w:pPr>
          </w:p>
        </w:tc>
        <w:tc>
          <w:tcPr>
            <w:tcW w:w="1260" w:type="dxa"/>
            <w:tcBorders>
              <w:top w:val="nil"/>
              <w:left w:val="nil"/>
              <w:bottom w:val="nil"/>
              <w:right w:val="nil"/>
            </w:tcBorders>
            <w:shd w:val="clear" w:color="auto" w:fill="auto"/>
            <w:noWrap/>
            <w:hideMark/>
          </w:tcPr>
          <w:p w14:paraId="21A6A5BF" w14:textId="77777777" w:rsidR="007028C9" w:rsidRPr="00E70587" w:rsidRDefault="007028C9" w:rsidP="0022129E">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hideMark/>
          </w:tcPr>
          <w:p w14:paraId="1131466A" w14:textId="77777777" w:rsidR="007028C9" w:rsidRPr="00E70587" w:rsidRDefault="007028C9" w:rsidP="0022129E">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hideMark/>
          </w:tcPr>
          <w:p w14:paraId="2A670290" w14:textId="77777777" w:rsidR="007028C9" w:rsidRPr="00E70587" w:rsidRDefault="007028C9" w:rsidP="0022129E">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hideMark/>
          </w:tcPr>
          <w:p w14:paraId="4CDA0EAD" w14:textId="77777777" w:rsidR="007028C9" w:rsidRPr="00E70587" w:rsidRDefault="007028C9" w:rsidP="0022129E">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hideMark/>
          </w:tcPr>
          <w:p w14:paraId="6471DDCF" w14:textId="77777777" w:rsidR="007028C9" w:rsidRPr="00E70587" w:rsidRDefault="007028C9" w:rsidP="0022129E">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hideMark/>
          </w:tcPr>
          <w:p w14:paraId="7F573BAA" w14:textId="77777777" w:rsidR="007028C9" w:rsidRPr="00E70587" w:rsidRDefault="007028C9" w:rsidP="0022129E">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hideMark/>
          </w:tcPr>
          <w:p w14:paraId="5098F76C" w14:textId="77777777" w:rsidR="007028C9" w:rsidRPr="00E70587" w:rsidRDefault="007028C9" w:rsidP="0022129E">
            <w:pPr>
              <w:spacing w:line="280" w:lineRule="exact"/>
              <w:jc w:val="right"/>
              <w:rPr>
                <w:rFonts w:ascii="Arial" w:hAnsi="Arial" w:cs="Arial"/>
                <w:sz w:val="20"/>
                <w:lang w:eastAsia="en-IN"/>
              </w:rPr>
            </w:pPr>
          </w:p>
        </w:tc>
      </w:tr>
      <w:tr w:rsidR="007028C9" w:rsidRPr="00E70587" w14:paraId="4B93F9B7" w14:textId="77777777" w:rsidTr="00755532">
        <w:tc>
          <w:tcPr>
            <w:tcW w:w="918" w:type="dxa"/>
            <w:tcBorders>
              <w:top w:val="nil"/>
              <w:left w:val="single" w:sz="8" w:space="0" w:color="auto"/>
              <w:bottom w:val="nil"/>
              <w:right w:val="nil"/>
            </w:tcBorders>
            <w:shd w:val="clear" w:color="auto" w:fill="auto"/>
            <w:noWrap/>
            <w:vAlign w:val="center"/>
            <w:hideMark/>
          </w:tcPr>
          <w:p w14:paraId="4280E8EC"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24" w:type="dxa"/>
            <w:tcBorders>
              <w:top w:val="nil"/>
              <w:left w:val="nil"/>
              <w:bottom w:val="nil"/>
              <w:right w:val="nil"/>
            </w:tcBorders>
            <w:shd w:val="clear" w:color="auto" w:fill="auto"/>
            <w:noWrap/>
            <w:vAlign w:val="center"/>
            <w:hideMark/>
          </w:tcPr>
          <w:p w14:paraId="66746F89" w14:textId="18135534"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10492C"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21</w:t>
            </w:r>
          </w:p>
        </w:tc>
        <w:tc>
          <w:tcPr>
            <w:tcW w:w="1638" w:type="dxa"/>
            <w:gridSpan w:val="2"/>
            <w:tcBorders>
              <w:top w:val="nil"/>
              <w:left w:val="nil"/>
              <w:bottom w:val="nil"/>
              <w:right w:val="nil"/>
            </w:tcBorders>
            <w:shd w:val="clear" w:color="auto" w:fill="auto"/>
            <w:noWrap/>
            <w:hideMark/>
          </w:tcPr>
          <w:p w14:paraId="1BE7D7C1"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4%</w:t>
            </w:r>
          </w:p>
        </w:tc>
        <w:tc>
          <w:tcPr>
            <w:tcW w:w="1260" w:type="dxa"/>
            <w:tcBorders>
              <w:top w:val="nil"/>
              <w:left w:val="nil"/>
              <w:bottom w:val="nil"/>
              <w:right w:val="nil"/>
            </w:tcBorders>
            <w:shd w:val="clear" w:color="auto" w:fill="auto"/>
            <w:noWrap/>
            <w:hideMark/>
          </w:tcPr>
          <w:p w14:paraId="284CB9B1"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3,982 </w:t>
            </w:r>
          </w:p>
        </w:tc>
        <w:tc>
          <w:tcPr>
            <w:tcW w:w="1710" w:type="dxa"/>
            <w:tcBorders>
              <w:top w:val="nil"/>
              <w:left w:val="nil"/>
              <w:bottom w:val="nil"/>
              <w:right w:val="nil"/>
            </w:tcBorders>
            <w:shd w:val="clear" w:color="auto" w:fill="auto"/>
            <w:noWrap/>
            <w:hideMark/>
          </w:tcPr>
          <w:p w14:paraId="227C8615"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7%</w:t>
            </w:r>
          </w:p>
        </w:tc>
        <w:tc>
          <w:tcPr>
            <w:tcW w:w="900" w:type="dxa"/>
            <w:tcBorders>
              <w:top w:val="nil"/>
              <w:left w:val="nil"/>
              <w:bottom w:val="nil"/>
              <w:right w:val="nil"/>
            </w:tcBorders>
            <w:shd w:val="clear" w:color="auto" w:fill="auto"/>
            <w:noWrap/>
            <w:hideMark/>
          </w:tcPr>
          <w:p w14:paraId="1E3091BF"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996 </w:t>
            </w:r>
          </w:p>
        </w:tc>
        <w:tc>
          <w:tcPr>
            <w:tcW w:w="2250" w:type="dxa"/>
            <w:tcBorders>
              <w:top w:val="nil"/>
              <w:left w:val="nil"/>
              <w:bottom w:val="nil"/>
              <w:right w:val="nil"/>
            </w:tcBorders>
            <w:shd w:val="clear" w:color="auto" w:fill="auto"/>
            <w:noWrap/>
            <w:hideMark/>
          </w:tcPr>
          <w:p w14:paraId="4854161E"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5CE14C8C"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 </w:t>
            </w:r>
          </w:p>
        </w:tc>
        <w:tc>
          <w:tcPr>
            <w:tcW w:w="1800" w:type="dxa"/>
            <w:tcBorders>
              <w:top w:val="nil"/>
              <w:left w:val="nil"/>
              <w:bottom w:val="nil"/>
              <w:right w:val="nil"/>
            </w:tcBorders>
            <w:shd w:val="clear" w:color="auto" w:fill="auto"/>
            <w:noWrap/>
            <w:hideMark/>
          </w:tcPr>
          <w:p w14:paraId="4A4273EC"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7%</w:t>
            </w:r>
          </w:p>
        </w:tc>
        <w:tc>
          <w:tcPr>
            <w:tcW w:w="990" w:type="dxa"/>
            <w:tcBorders>
              <w:top w:val="nil"/>
              <w:left w:val="nil"/>
              <w:bottom w:val="nil"/>
              <w:right w:val="single" w:sz="8" w:space="0" w:color="auto"/>
            </w:tcBorders>
            <w:shd w:val="clear" w:color="auto" w:fill="auto"/>
            <w:noWrap/>
            <w:hideMark/>
          </w:tcPr>
          <w:p w14:paraId="7265EF23"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996 </w:t>
            </w:r>
          </w:p>
        </w:tc>
      </w:tr>
      <w:tr w:rsidR="007028C9" w:rsidRPr="00E70587" w14:paraId="13EED1D7" w14:textId="77777777" w:rsidTr="00755532">
        <w:tc>
          <w:tcPr>
            <w:tcW w:w="918" w:type="dxa"/>
            <w:tcBorders>
              <w:top w:val="nil"/>
              <w:left w:val="single" w:sz="8" w:space="0" w:color="auto"/>
              <w:bottom w:val="nil"/>
              <w:right w:val="nil"/>
            </w:tcBorders>
            <w:shd w:val="clear" w:color="auto" w:fill="auto"/>
            <w:noWrap/>
            <w:vAlign w:val="center"/>
            <w:hideMark/>
          </w:tcPr>
          <w:p w14:paraId="06DFBFD2"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24" w:type="dxa"/>
            <w:tcBorders>
              <w:top w:val="nil"/>
              <w:left w:val="nil"/>
              <w:bottom w:val="nil"/>
              <w:right w:val="nil"/>
            </w:tcBorders>
            <w:shd w:val="clear" w:color="auto" w:fill="auto"/>
            <w:noWrap/>
            <w:vAlign w:val="center"/>
            <w:hideMark/>
          </w:tcPr>
          <w:p w14:paraId="50CE82B3" w14:textId="38B870E6"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8B730E"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20</w:t>
            </w:r>
          </w:p>
        </w:tc>
        <w:tc>
          <w:tcPr>
            <w:tcW w:w="1638" w:type="dxa"/>
            <w:gridSpan w:val="2"/>
            <w:tcBorders>
              <w:top w:val="nil"/>
              <w:left w:val="nil"/>
              <w:bottom w:val="nil"/>
              <w:right w:val="nil"/>
            </w:tcBorders>
            <w:shd w:val="clear" w:color="auto" w:fill="auto"/>
            <w:noWrap/>
            <w:hideMark/>
          </w:tcPr>
          <w:p w14:paraId="1D78FBB3"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4%</w:t>
            </w:r>
          </w:p>
        </w:tc>
        <w:tc>
          <w:tcPr>
            <w:tcW w:w="1260" w:type="dxa"/>
            <w:tcBorders>
              <w:top w:val="nil"/>
              <w:left w:val="nil"/>
              <w:bottom w:val="nil"/>
              <w:right w:val="nil"/>
            </w:tcBorders>
            <w:shd w:val="clear" w:color="auto" w:fill="auto"/>
            <w:noWrap/>
            <w:hideMark/>
          </w:tcPr>
          <w:p w14:paraId="455CC05E"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3,551 </w:t>
            </w:r>
          </w:p>
        </w:tc>
        <w:tc>
          <w:tcPr>
            <w:tcW w:w="1710" w:type="dxa"/>
            <w:tcBorders>
              <w:top w:val="nil"/>
              <w:left w:val="nil"/>
              <w:bottom w:val="nil"/>
              <w:right w:val="nil"/>
            </w:tcBorders>
            <w:shd w:val="clear" w:color="auto" w:fill="auto"/>
            <w:noWrap/>
            <w:hideMark/>
          </w:tcPr>
          <w:p w14:paraId="124CB4C9" w14:textId="16D00C90" w:rsidR="007028C9" w:rsidRPr="00E70587" w:rsidRDefault="003925B6" w:rsidP="0022129E">
            <w:pPr>
              <w:spacing w:line="280" w:lineRule="exact"/>
              <w:jc w:val="right"/>
              <w:rPr>
                <w:rFonts w:ascii="Arial" w:hAnsi="Arial" w:cs="Arial"/>
                <w:sz w:val="20"/>
                <w:lang w:eastAsia="en-IN"/>
              </w:rPr>
            </w:pPr>
            <w:r>
              <w:rPr>
                <w:rFonts w:ascii="Arial" w:hAnsi="Arial" w:cs="Arial"/>
                <w:sz w:val="20"/>
              </w:rPr>
              <w:t>9</w:t>
            </w:r>
            <w:r w:rsidR="007028C9" w:rsidRPr="00E70587">
              <w:rPr>
                <w:rFonts w:ascii="Arial" w:hAnsi="Arial" w:cs="Arial"/>
                <w:sz w:val="20"/>
              </w:rPr>
              <w:t>%</w:t>
            </w:r>
          </w:p>
        </w:tc>
        <w:tc>
          <w:tcPr>
            <w:tcW w:w="900" w:type="dxa"/>
            <w:tcBorders>
              <w:top w:val="nil"/>
              <w:left w:val="nil"/>
              <w:bottom w:val="nil"/>
              <w:right w:val="nil"/>
            </w:tcBorders>
            <w:shd w:val="clear" w:color="auto" w:fill="auto"/>
            <w:noWrap/>
            <w:hideMark/>
          </w:tcPr>
          <w:p w14:paraId="23C0464F"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888 </w:t>
            </w:r>
          </w:p>
        </w:tc>
        <w:tc>
          <w:tcPr>
            <w:tcW w:w="2250" w:type="dxa"/>
            <w:tcBorders>
              <w:top w:val="nil"/>
              <w:left w:val="nil"/>
              <w:bottom w:val="nil"/>
              <w:right w:val="nil"/>
            </w:tcBorders>
            <w:shd w:val="clear" w:color="auto" w:fill="auto"/>
            <w:noWrap/>
            <w:hideMark/>
          </w:tcPr>
          <w:p w14:paraId="2255FC86"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57C56084"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 </w:t>
            </w:r>
          </w:p>
        </w:tc>
        <w:tc>
          <w:tcPr>
            <w:tcW w:w="1800" w:type="dxa"/>
            <w:tcBorders>
              <w:top w:val="nil"/>
              <w:left w:val="nil"/>
              <w:bottom w:val="nil"/>
              <w:right w:val="nil"/>
            </w:tcBorders>
            <w:shd w:val="clear" w:color="auto" w:fill="auto"/>
            <w:noWrap/>
            <w:hideMark/>
          </w:tcPr>
          <w:p w14:paraId="4A149EDD" w14:textId="467E9E18" w:rsidR="007028C9" w:rsidRPr="00E70587" w:rsidRDefault="004357E3" w:rsidP="0022129E">
            <w:pPr>
              <w:spacing w:line="280" w:lineRule="exact"/>
              <w:jc w:val="right"/>
              <w:rPr>
                <w:rFonts w:ascii="Arial" w:hAnsi="Arial" w:cs="Arial"/>
                <w:sz w:val="20"/>
                <w:lang w:eastAsia="en-IN"/>
              </w:rPr>
            </w:pPr>
            <w:r>
              <w:rPr>
                <w:rFonts w:ascii="Arial" w:hAnsi="Arial" w:cs="Arial"/>
                <w:sz w:val="20"/>
              </w:rPr>
              <w:t>9</w:t>
            </w:r>
            <w:r w:rsidR="007028C9" w:rsidRPr="00E70587">
              <w:rPr>
                <w:rFonts w:ascii="Arial" w:hAnsi="Arial" w:cs="Arial"/>
                <w:sz w:val="20"/>
              </w:rPr>
              <w:t>%</w:t>
            </w:r>
          </w:p>
        </w:tc>
        <w:tc>
          <w:tcPr>
            <w:tcW w:w="990" w:type="dxa"/>
            <w:tcBorders>
              <w:top w:val="nil"/>
              <w:left w:val="nil"/>
              <w:bottom w:val="nil"/>
              <w:right w:val="single" w:sz="8" w:space="0" w:color="auto"/>
            </w:tcBorders>
            <w:shd w:val="clear" w:color="auto" w:fill="auto"/>
            <w:noWrap/>
            <w:hideMark/>
          </w:tcPr>
          <w:p w14:paraId="141F683E"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888 </w:t>
            </w:r>
          </w:p>
        </w:tc>
      </w:tr>
      <w:tr w:rsidR="007028C9" w:rsidRPr="00E70587" w14:paraId="16B69BBB" w14:textId="77777777" w:rsidTr="00755532">
        <w:tc>
          <w:tcPr>
            <w:tcW w:w="918" w:type="dxa"/>
            <w:tcBorders>
              <w:top w:val="nil"/>
              <w:left w:val="single" w:sz="8" w:space="0" w:color="auto"/>
              <w:bottom w:val="nil"/>
              <w:right w:val="nil"/>
            </w:tcBorders>
            <w:shd w:val="clear" w:color="auto" w:fill="auto"/>
            <w:noWrap/>
            <w:vAlign w:val="bottom"/>
            <w:hideMark/>
          </w:tcPr>
          <w:p w14:paraId="4BF4EB3D" w14:textId="77777777"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w:t>
            </w:r>
          </w:p>
        </w:tc>
        <w:tc>
          <w:tcPr>
            <w:tcW w:w="2924" w:type="dxa"/>
            <w:tcBorders>
              <w:top w:val="nil"/>
              <w:left w:val="nil"/>
              <w:bottom w:val="nil"/>
              <w:right w:val="nil"/>
            </w:tcBorders>
            <w:shd w:val="clear" w:color="auto" w:fill="auto"/>
            <w:noWrap/>
            <w:vAlign w:val="bottom"/>
            <w:hideMark/>
          </w:tcPr>
          <w:p w14:paraId="0DF15D9A" w14:textId="77777777" w:rsidR="007028C9" w:rsidRPr="00E70587" w:rsidRDefault="007028C9" w:rsidP="009901E1">
            <w:pPr>
              <w:spacing w:line="280" w:lineRule="exact"/>
              <w:rPr>
                <w:rFonts w:ascii="Arial" w:hAnsi="Arial" w:cs="Arial"/>
                <w:sz w:val="20"/>
                <w:lang w:eastAsia="en-IN"/>
              </w:rPr>
            </w:pPr>
          </w:p>
        </w:tc>
        <w:tc>
          <w:tcPr>
            <w:tcW w:w="1638" w:type="dxa"/>
            <w:gridSpan w:val="2"/>
            <w:tcBorders>
              <w:top w:val="nil"/>
              <w:left w:val="nil"/>
              <w:bottom w:val="nil"/>
              <w:right w:val="nil"/>
            </w:tcBorders>
            <w:shd w:val="clear" w:color="auto" w:fill="auto"/>
            <w:noWrap/>
            <w:vAlign w:val="bottom"/>
            <w:hideMark/>
          </w:tcPr>
          <w:p w14:paraId="7FA099A2" w14:textId="77777777" w:rsidR="007028C9" w:rsidRPr="00E70587" w:rsidRDefault="007028C9" w:rsidP="009901E1">
            <w:pPr>
              <w:spacing w:line="280" w:lineRule="exact"/>
              <w:rPr>
                <w:rFonts w:ascii="Arial" w:hAnsi="Arial" w:cs="Arial"/>
                <w:sz w:val="20"/>
                <w:lang w:eastAsia="en-IN"/>
              </w:rPr>
            </w:pPr>
          </w:p>
        </w:tc>
        <w:tc>
          <w:tcPr>
            <w:tcW w:w="1260" w:type="dxa"/>
            <w:tcBorders>
              <w:top w:val="nil"/>
              <w:left w:val="nil"/>
              <w:bottom w:val="nil"/>
              <w:right w:val="nil"/>
            </w:tcBorders>
            <w:shd w:val="clear" w:color="auto" w:fill="auto"/>
            <w:noWrap/>
            <w:vAlign w:val="bottom"/>
            <w:hideMark/>
          </w:tcPr>
          <w:p w14:paraId="4F32E100" w14:textId="77777777" w:rsidR="007028C9" w:rsidRPr="00E70587" w:rsidRDefault="007028C9" w:rsidP="0022129E">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vAlign w:val="bottom"/>
            <w:hideMark/>
          </w:tcPr>
          <w:p w14:paraId="6DEE8E4B" w14:textId="77777777" w:rsidR="007028C9" w:rsidRPr="00E70587" w:rsidRDefault="007028C9" w:rsidP="0022129E">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vAlign w:val="bottom"/>
            <w:hideMark/>
          </w:tcPr>
          <w:p w14:paraId="73D5D685" w14:textId="77777777" w:rsidR="007028C9" w:rsidRPr="00E70587" w:rsidRDefault="007028C9" w:rsidP="0022129E">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vAlign w:val="bottom"/>
            <w:hideMark/>
          </w:tcPr>
          <w:p w14:paraId="6D938F25" w14:textId="77777777" w:rsidR="007028C9" w:rsidRPr="00E70587" w:rsidRDefault="007028C9" w:rsidP="0022129E">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vAlign w:val="bottom"/>
            <w:hideMark/>
          </w:tcPr>
          <w:p w14:paraId="50E76EC2" w14:textId="77777777" w:rsidR="007028C9" w:rsidRPr="00E70587" w:rsidRDefault="007028C9" w:rsidP="0022129E">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vAlign w:val="bottom"/>
            <w:hideMark/>
          </w:tcPr>
          <w:p w14:paraId="5990ED1B" w14:textId="77777777" w:rsidR="007028C9" w:rsidRPr="00E70587" w:rsidRDefault="007028C9" w:rsidP="0022129E">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bottom"/>
            <w:hideMark/>
          </w:tcPr>
          <w:p w14:paraId="27E4FC7A"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lang w:eastAsia="en-IN"/>
              </w:rPr>
              <w:t> </w:t>
            </w:r>
          </w:p>
        </w:tc>
      </w:tr>
      <w:tr w:rsidR="007028C9" w:rsidRPr="00E70587" w14:paraId="01674A1B" w14:textId="77777777" w:rsidTr="00755532">
        <w:tc>
          <w:tcPr>
            <w:tcW w:w="5480" w:type="dxa"/>
            <w:gridSpan w:val="4"/>
            <w:tcBorders>
              <w:top w:val="nil"/>
              <w:left w:val="single" w:sz="8" w:space="0" w:color="auto"/>
              <w:bottom w:val="nil"/>
              <w:right w:val="nil"/>
            </w:tcBorders>
            <w:shd w:val="clear" w:color="auto" w:fill="auto"/>
            <w:noWrap/>
            <w:vAlign w:val="center"/>
            <w:hideMark/>
          </w:tcPr>
          <w:p w14:paraId="76810C61" w14:textId="77777777" w:rsidR="007028C9" w:rsidRPr="00E70587" w:rsidRDefault="007028C9" w:rsidP="009901E1">
            <w:pPr>
              <w:spacing w:line="280" w:lineRule="exact"/>
              <w:rPr>
                <w:rFonts w:ascii="Arial" w:hAnsi="Arial" w:cs="Arial"/>
                <w:b/>
                <w:bCs/>
                <w:sz w:val="20"/>
                <w:lang w:eastAsia="en-IN"/>
              </w:rPr>
            </w:pPr>
            <w:r w:rsidRPr="00E70587">
              <w:rPr>
                <w:rFonts w:ascii="Arial" w:hAnsi="Arial" w:cs="Arial"/>
                <w:b/>
                <w:bCs/>
                <w:sz w:val="20"/>
                <w:lang w:eastAsia="en-IN"/>
              </w:rPr>
              <w:t>Non-controlling interests in all subsidiaries</w:t>
            </w:r>
          </w:p>
        </w:tc>
        <w:tc>
          <w:tcPr>
            <w:tcW w:w="1260" w:type="dxa"/>
            <w:tcBorders>
              <w:top w:val="nil"/>
              <w:left w:val="nil"/>
              <w:bottom w:val="nil"/>
              <w:right w:val="nil"/>
            </w:tcBorders>
            <w:shd w:val="clear" w:color="auto" w:fill="auto"/>
            <w:noWrap/>
            <w:vAlign w:val="bottom"/>
            <w:hideMark/>
          </w:tcPr>
          <w:p w14:paraId="4FC4CEF6" w14:textId="77777777" w:rsidR="007028C9" w:rsidRPr="00E70587" w:rsidRDefault="007028C9" w:rsidP="0022129E">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vAlign w:val="bottom"/>
            <w:hideMark/>
          </w:tcPr>
          <w:p w14:paraId="4C449898" w14:textId="77777777" w:rsidR="007028C9" w:rsidRPr="00E70587" w:rsidRDefault="007028C9" w:rsidP="0022129E">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vAlign w:val="bottom"/>
            <w:hideMark/>
          </w:tcPr>
          <w:p w14:paraId="7E9EE844" w14:textId="77777777" w:rsidR="007028C9" w:rsidRPr="00E70587" w:rsidRDefault="007028C9" w:rsidP="0022129E">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vAlign w:val="bottom"/>
            <w:hideMark/>
          </w:tcPr>
          <w:p w14:paraId="31416BDE" w14:textId="77777777" w:rsidR="007028C9" w:rsidRPr="00E70587" w:rsidRDefault="007028C9" w:rsidP="0022129E">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vAlign w:val="bottom"/>
            <w:hideMark/>
          </w:tcPr>
          <w:p w14:paraId="35D40488" w14:textId="77777777" w:rsidR="007028C9" w:rsidRPr="00E70587" w:rsidRDefault="007028C9" w:rsidP="0022129E">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vAlign w:val="bottom"/>
            <w:hideMark/>
          </w:tcPr>
          <w:p w14:paraId="21BEA9ED" w14:textId="77777777" w:rsidR="007028C9" w:rsidRPr="00E70587" w:rsidRDefault="007028C9" w:rsidP="0022129E">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bottom"/>
            <w:hideMark/>
          </w:tcPr>
          <w:p w14:paraId="2A89BEBE"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lang w:eastAsia="en-IN"/>
              </w:rPr>
              <w:t> </w:t>
            </w:r>
          </w:p>
        </w:tc>
      </w:tr>
      <w:tr w:rsidR="007028C9" w:rsidRPr="00E70587" w14:paraId="2BD9A258" w14:textId="77777777" w:rsidTr="00755532">
        <w:tc>
          <w:tcPr>
            <w:tcW w:w="918" w:type="dxa"/>
            <w:tcBorders>
              <w:top w:val="nil"/>
              <w:left w:val="single" w:sz="8" w:space="0" w:color="auto"/>
              <w:bottom w:val="nil"/>
              <w:right w:val="nil"/>
            </w:tcBorders>
            <w:shd w:val="clear" w:color="auto" w:fill="auto"/>
            <w:noWrap/>
            <w:vAlign w:val="center"/>
            <w:hideMark/>
          </w:tcPr>
          <w:p w14:paraId="7292A16E" w14:textId="77777777" w:rsidR="007028C9" w:rsidRPr="00E70587" w:rsidRDefault="007028C9" w:rsidP="009901E1">
            <w:pPr>
              <w:spacing w:line="280" w:lineRule="exact"/>
              <w:rPr>
                <w:rFonts w:ascii="Arial" w:hAnsi="Arial" w:cs="Arial"/>
                <w:b/>
                <w:bCs/>
                <w:sz w:val="20"/>
                <w:lang w:eastAsia="en-IN"/>
              </w:rPr>
            </w:pPr>
            <w:r w:rsidRPr="00E70587">
              <w:rPr>
                <w:rFonts w:ascii="Arial" w:hAnsi="Arial" w:cs="Arial"/>
                <w:b/>
                <w:bCs/>
                <w:sz w:val="20"/>
                <w:lang w:eastAsia="en-IN"/>
              </w:rPr>
              <w:t> </w:t>
            </w:r>
          </w:p>
        </w:tc>
        <w:tc>
          <w:tcPr>
            <w:tcW w:w="2936" w:type="dxa"/>
            <w:gridSpan w:val="2"/>
            <w:tcBorders>
              <w:top w:val="nil"/>
              <w:left w:val="nil"/>
              <w:bottom w:val="nil"/>
              <w:right w:val="nil"/>
            </w:tcBorders>
            <w:shd w:val="clear" w:color="auto" w:fill="auto"/>
            <w:noWrap/>
            <w:vAlign w:val="center"/>
            <w:hideMark/>
          </w:tcPr>
          <w:p w14:paraId="7E47FEEE" w14:textId="0283D7E3"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10492C"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21</w:t>
            </w:r>
          </w:p>
        </w:tc>
        <w:tc>
          <w:tcPr>
            <w:tcW w:w="1626" w:type="dxa"/>
            <w:tcBorders>
              <w:top w:val="nil"/>
              <w:left w:val="nil"/>
              <w:bottom w:val="nil"/>
              <w:right w:val="nil"/>
            </w:tcBorders>
            <w:shd w:val="clear" w:color="auto" w:fill="auto"/>
            <w:noWrap/>
            <w:hideMark/>
          </w:tcPr>
          <w:p w14:paraId="2B0BF383"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4%</w:t>
            </w:r>
          </w:p>
        </w:tc>
        <w:tc>
          <w:tcPr>
            <w:tcW w:w="1260" w:type="dxa"/>
            <w:tcBorders>
              <w:top w:val="nil"/>
              <w:left w:val="nil"/>
              <w:bottom w:val="nil"/>
              <w:right w:val="nil"/>
            </w:tcBorders>
            <w:shd w:val="clear" w:color="auto" w:fill="auto"/>
            <w:noWrap/>
            <w:hideMark/>
          </w:tcPr>
          <w:p w14:paraId="0489B698" w14:textId="16FDD8CA"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4,</w:t>
            </w:r>
            <w:r w:rsidR="006D3082" w:rsidRPr="00E70587">
              <w:rPr>
                <w:rFonts w:ascii="Arial" w:hAnsi="Arial" w:cs="Arial"/>
                <w:sz w:val="20"/>
              </w:rPr>
              <w:t>3</w:t>
            </w:r>
            <w:r w:rsidR="006D3082">
              <w:rPr>
                <w:rFonts w:ascii="Arial" w:hAnsi="Arial" w:cs="Arial"/>
                <w:sz w:val="20"/>
              </w:rPr>
              <w:t>38</w:t>
            </w:r>
            <w:r w:rsidR="006D3082" w:rsidRPr="00E70587">
              <w:rPr>
                <w:rFonts w:ascii="Arial" w:hAnsi="Arial" w:cs="Arial"/>
                <w:sz w:val="20"/>
              </w:rPr>
              <w:t xml:space="preserve"> </w:t>
            </w:r>
          </w:p>
        </w:tc>
        <w:tc>
          <w:tcPr>
            <w:tcW w:w="1710" w:type="dxa"/>
            <w:tcBorders>
              <w:top w:val="nil"/>
              <w:left w:val="nil"/>
              <w:bottom w:val="nil"/>
              <w:right w:val="nil"/>
            </w:tcBorders>
            <w:shd w:val="clear" w:color="auto" w:fill="auto"/>
            <w:noWrap/>
            <w:hideMark/>
          </w:tcPr>
          <w:p w14:paraId="322E9C11" w14:textId="23726F24" w:rsidR="007028C9" w:rsidRPr="00E70587" w:rsidRDefault="003527AB" w:rsidP="0022129E">
            <w:pPr>
              <w:spacing w:line="280" w:lineRule="exact"/>
              <w:jc w:val="right"/>
              <w:rPr>
                <w:rFonts w:ascii="Arial" w:hAnsi="Arial" w:cs="Arial"/>
                <w:sz w:val="20"/>
                <w:lang w:eastAsia="en-IN"/>
              </w:rPr>
            </w:pPr>
            <w:r>
              <w:rPr>
                <w:rFonts w:ascii="Arial" w:hAnsi="Arial" w:cs="Arial"/>
                <w:sz w:val="20"/>
              </w:rPr>
              <w:t>4</w:t>
            </w:r>
            <w:r w:rsidR="007028C9" w:rsidRPr="00E70587">
              <w:rPr>
                <w:rFonts w:ascii="Arial" w:hAnsi="Arial" w:cs="Arial"/>
                <w:sz w:val="20"/>
              </w:rPr>
              <w:t>%</w:t>
            </w:r>
          </w:p>
        </w:tc>
        <w:tc>
          <w:tcPr>
            <w:tcW w:w="900" w:type="dxa"/>
            <w:tcBorders>
              <w:top w:val="nil"/>
              <w:left w:val="nil"/>
              <w:bottom w:val="nil"/>
              <w:right w:val="nil"/>
            </w:tcBorders>
            <w:shd w:val="clear" w:color="auto" w:fill="auto"/>
            <w:noWrap/>
            <w:hideMark/>
          </w:tcPr>
          <w:p w14:paraId="41261084" w14:textId="781E7391"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w:t>
            </w:r>
            <w:r w:rsidR="004A4309" w:rsidRPr="00E70587">
              <w:rPr>
                <w:rFonts w:ascii="Arial" w:hAnsi="Arial" w:cs="Arial"/>
                <w:sz w:val="20"/>
              </w:rPr>
              <w:t>5</w:t>
            </w:r>
            <w:r w:rsidR="004A4309">
              <w:rPr>
                <w:rFonts w:ascii="Arial" w:hAnsi="Arial" w:cs="Arial"/>
                <w:sz w:val="20"/>
              </w:rPr>
              <w:t>20</w:t>
            </w:r>
            <w:r w:rsidR="004A4309" w:rsidRPr="00E70587">
              <w:rPr>
                <w:rFonts w:ascii="Arial" w:hAnsi="Arial" w:cs="Arial"/>
                <w:sz w:val="20"/>
              </w:rPr>
              <w:t xml:space="preserve"> </w:t>
            </w:r>
          </w:p>
        </w:tc>
        <w:tc>
          <w:tcPr>
            <w:tcW w:w="2250" w:type="dxa"/>
            <w:tcBorders>
              <w:top w:val="nil"/>
              <w:left w:val="nil"/>
              <w:bottom w:val="nil"/>
              <w:right w:val="nil"/>
            </w:tcBorders>
            <w:shd w:val="clear" w:color="auto" w:fill="auto"/>
            <w:noWrap/>
            <w:hideMark/>
          </w:tcPr>
          <w:p w14:paraId="6C5477B6"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7F816033"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 </w:t>
            </w:r>
          </w:p>
        </w:tc>
        <w:tc>
          <w:tcPr>
            <w:tcW w:w="1800" w:type="dxa"/>
            <w:tcBorders>
              <w:top w:val="nil"/>
              <w:left w:val="nil"/>
              <w:bottom w:val="nil"/>
              <w:right w:val="nil"/>
            </w:tcBorders>
            <w:shd w:val="clear" w:color="auto" w:fill="auto"/>
            <w:noWrap/>
            <w:hideMark/>
          </w:tcPr>
          <w:p w14:paraId="215471B3"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3%</w:t>
            </w:r>
          </w:p>
        </w:tc>
        <w:tc>
          <w:tcPr>
            <w:tcW w:w="990" w:type="dxa"/>
            <w:tcBorders>
              <w:top w:val="nil"/>
              <w:left w:val="nil"/>
              <w:bottom w:val="nil"/>
              <w:right w:val="single" w:sz="8" w:space="0" w:color="auto"/>
            </w:tcBorders>
            <w:shd w:val="clear" w:color="auto" w:fill="auto"/>
            <w:noWrap/>
            <w:hideMark/>
          </w:tcPr>
          <w:p w14:paraId="3F9AAC88"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518 </w:t>
            </w:r>
          </w:p>
        </w:tc>
      </w:tr>
      <w:tr w:rsidR="007028C9" w:rsidRPr="00E70587" w14:paraId="3EB13B9F" w14:textId="77777777" w:rsidTr="00755532">
        <w:tc>
          <w:tcPr>
            <w:tcW w:w="918" w:type="dxa"/>
            <w:tcBorders>
              <w:top w:val="nil"/>
              <w:left w:val="single" w:sz="8" w:space="0" w:color="auto"/>
              <w:bottom w:val="nil"/>
              <w:right w:val="nil"/>
            </w:tcBorders>
            <w:shd w:val="clear" w:color="auto" w:fill="auto"/>
            <w:noWrap/>
            <w:vAlign w:val="center"/>
            <w:hideMark/>
          </w:tcPr>
          <w:p w14:paraId="5735C1A4" w14:textId="77777777" w:rsidR="007028C9" w:rsidRPr="00E70587" w:rsidRDefault="007028C9" w:rsidP="009901E1">
            <w:pPr>
              <w:spacing w:line="280" w:lineRule="exact"/>
              <w:rPr>
                <w:rFonts w:ascii="Arial" w:hAnsi="Arial" w:cs="Arial"/>
                <w:b/>
                <w:bCs/>
                <w:sz w:val="20"/>
                <w:lang w:eastAsia="en-IN"/>
              </w:rPr>
            </w:pPr>
            <w:r w:rsidRPr="00E70587">
              <w:rPr>
                <w:rFonts w:ascii="Arial" w:hAnsi="Arial" w:cs="Arial"/>
                <w:b/>
                <w:bCs/>
                <w:sz w:val="20"/>
                <w:lang w:eastAsia="en-IN"/>
              </w:rPr>
              <w:t> </w:t>
            </w:r>
          </w:p>
        </w:tc>
        <w:tc>
          <w:tcPr>
            <w:tcW w:w="2936" w:type="dxa"/>
            <w:gridSpan w:val="2"/>
            <w:tcBorders>
              <w:top w:val="nil"/>
              <w:left w:val="nil"/>
              <w:bottom w:val="nil"/>
              <w:right w:val="nil"/>
            </w:tcBorders>
            <w:shd w:val="clear" w:color="auto" w:fill="auto"/>
            <w:noWrap/>
            <w:vAlign w:val="center"/>
            <w:hideMark/>
          </w:tcPr>
          <w:p w14:paraId="445288D8" w14:textId="43448A6C"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8B730E"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20</w:t>
            </w:r>
          </w:p>
        </w:tc>
        <w:tc>
          <w:tcPr>
            <w:tcW w:w="1626" w:type="dxa"/>
            <w:tcBorders>
              <w:top w:val="nil"/>
              <w:left w:val="nil"/>
              <w:bottom w:val="nil"/>
              <w:right w:val="nil"/>
            </w:tcBorders>
            <w:shd w:val="clear" w:color="auto" w:fill="auto"/>
            <w:noWrap/>
            <w:hideMark/>
          </w:tcPr>
          <w:p w14:paraId="2D589F43"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2%</w:t>
            </w:r>
          </w:p>
        </w:tc>
        <w:tc>
          <w:tcPr>
            <w:tcW w:w="1260" w:type="dxa"/>
            <w:tcBorders>
              <w:top w:val="nil"/>
              <w:left w:val="nil"/>
              <w:bottom w:val="nil"/>
              <w:right w:val="nil"/>
            </w:tcBorders>
            <w:shd w:val="clear" w:color="auto" w:fill="auto"/>
            <w:noWrap/>
            <w:hideMark/>
          </w:tcPr>
          <w:p w14:paraId="3BE28A2F" w14:textId="377F17BE"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1,</w:t>
            </w:r>
            <w:r w:rsidR="006C5EC7" w:rsidRPr="00E70587">
              <w:rPr>
                <w:rFonts w:ascii="Arial" w:hAnsi="Arial" w:cs="Arial"/>
                <w:sz w:val="20"/>
              </w:rPr>
              <w:t>3</w:t>
            </w:r>
            <w:r w:rsidR="00AF53D3">
              <w:rPr>
                <w:rFonts w:ascii="Arial" w:hAnsi="Arial" w:cs="Arial"/>
                <w:sz w:val="20"/>
              </w:rPr>
              <w:t>29</w:t>
            </w:r>
            <w:r w:rsidR="006C5EC7" w:rsidRPr="00E70587">
              <w:rPr>
                <w:rFonts w:ascii="Arial" w:hAnsi="Arial" w:cs="Arial"/>
                <w:sz w:val="20"/>
              </w:rPr>
              <w:t xml:space="preserve"> </w:t>
            </w:r>
          </w:p>
        </w:tc>
        <w:tc>
          <w:tcPr>
            <w:tcW w:w="1710" w:type="dxa"/>
            <w:tcBorders>
              <w:top w:val="nil"/>
              <w:left w:val="nil"/>
              <w:bottom w:val="nil"/>
              <w:right w:val="nil"/>
            </w:tcBorders>
            <w:shd w:val="clear" w:color="auto" w:fill="auto"/>
            <w:noWrap/>
            <w:hideMark/>
          </w:tcPr>
          <w:p w14:paraId="7CDBF36E"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4%</w:t>
            </w:r>
          </w:p>
        </w:tc>
        <w:tc>
          <w:tcPr>
            <w:tcW w:w="900" w:type="dxa"/>
            <w:tcBorders>
              <w:top w:val="nil"/>
              <w:left w:val="nil"/>
              <w:bottom w:val="nil"/>
              <w:right w:val="nil"/>
            </w:tcBorders>
            <w:shd w:val="clear" w:color="auto" w:fill="auto"/>
            <w:noWrap/>
            <w:hideMark/>
          </w:tcPr>
          <w:p w14:paraId="1D16B24F"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430 </w:t>
            </w:r>
          </w:p>
        </w:tc>
        <w:tc>
          <w:tcPr>
            <w:tcW w:w="2250" w:type="dxa"/>
            <w:tcBorders>
              <w:top w:val="nil"/>
              <w:left w:val="nil"/>
              <w:bottom w:val="nil"/>
              <w:right w:val="nil"/>
            </w:tcBorders>
            <w:shd w:val="clear" w:color="auto" w:fill="auto"/>
            <w:noWrap/>
            <w:hideMark/>
          </w:tcPr>
          <w:p w14:paraId="0AC3312E"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7D427930"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 </w:t>
            </w:r>
          </w:p>
        </w:tc>
        <w:tc>
          <w:tcPr>
            <w:tcW w:w="1800" w:type="dxa"/>
            <w:tcBorders>
              <w:top w:val="nil"/>
              <w:left w:val="nil"/>
              <w:bottom w:val="nil"/>
              <w:right w:val="nil"/>
            </w:tcBorders>
            <w:shd w:val="clear" w:color="auto" w:fill="auto"/>
            <w:noWrap/>
            <w:hideMark/>
          </w:tcPr>
          <w:p w14:paraId="7A303193"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4%</w:t>
            </w:r>
          </w:p>
        </w:tc>
        <w:tc>
          <w:tcPr>
            <w:tcW w:w="990" w:type="dxa"/>
            <w:tcBorders>
              <w:top w:val="nil"/>
              <w:left w:val="nil"/>
              <w:bottom w:val="nil"/>
              <w:right w:val="single" w:sz="8" w:space="0" w:color="auto"/>
            </w:tcBorders>
            <w:shd w:val="clear" w:color="auto" w:fill="auto"/>
            <w:noWrap/>
            <w:hideMark/>
          </w:tcPr>
          <w:p w14:paraId="25EAE072"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430 </w:t>
            </w:r>
          </w:p>
        </w:tc>
      </w:tr>
      <w:tr w:rsidR="007028C9" w:rsidRPr="00E70587" w14:paraId="0A9CAADD" w14:textId="77777777" w:rsidTr="00755532">
        <w:tc>
          <w:tcPr>
            <w:tcW w:w="918" w:type="dxa"/>
            <w:tcBorders>
              <w:top w:val="nil"/>
              <w:left w:val="single" w:sz="8" w:space="0" w:color="auto"/>
              <w:bottom w:val="nil"/>
              <w:right w:val="nil"/>
            </w:tcBorders>
            <w:shd w:val="clear" w:color="auto" w:fill="auto"/>
            <w:noWrap/>
            <w:vAlign w:val="bottom"/>
            <w:hideMark/>
          </w:tcPr>
          <w:p w14:paraId="3049242B" w14:textId="77777777"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w:t>
            </w:r>
          </w:p>
        </w:tc>
        <w:tc>
          <w:tcPr>
            <w:tcW w:w="2936" w:type="dxa"/>
            <w:gridSpan w:val="2"/>
            <w:tcBorders>
              <w:top w:val="nil"/>
              <w:left w:val="nil"/>
              <w:bottom w:val="nil"/>
              <w:right w:val="nil"/>
            </w:tcBorders>
            <w:shd w:val="clear" w:color="auto" w:fill="auto"/>
            <w:noWrap/>
            <w:vAlign w:val="bottom"/>
            <w:hideMark/>
          </w:tcPr>
          <w:p w14:paraId="00FD648F" w14:textId="77777777" w:rsidR="007028C9" w:rsidRPr="00E70587" w:rsidRDefault="007028C9" w:rsidP="009901E1">
            <w:pPr>
              <w:spacing w:line="280" w:lineRule="exact"/>
              <w:rPr>
                <w:rFonts w:ascii="Arial" w:hAnsi="Arial" w:cs="Arial"/>
                <w:sz w:val="20"/>
                <w:lang w:eastAsia="en-IN"/>
              </w:rPr>
            </w:pPr>
          </w:p>
        </w:tc>
        <w:tc>
          <w:tcPr>
            <w:tcW w:w="1626" w:type="dxa"/>
            <w:tcBorders>
              <w:top w:val="nil"/>
              <w:left w:val="nil"/>
              <w:bottom w:val="nil"/>
              <w:right w:val="nil"/>
            </w:tcBorders>
            <w:shd w:val="clear" w:color="auto" w:fill="auto"/>
            <w:noWrap/>
            <w:vAlign w:val="bottom"/>
            <w:hideMark/>
          </w:tcPr>
          <w:p w14:paraId="14077ABF" w14:textId="77777777" w:rsidR="007028C9" w:rsidRPr="00E70587" w:rsidRDefault="007028C9" w:rsidP="009901E1">
            <w:pPr>
              <w:spacing w:line="280" w:lineRule="exact"/>
              <w:rPr>
                <w:rFonts w:ascii="Arial" w:hAnsi="Arial" w:cs="Arial"/>
                <w:sz w:val="20"/>
                <w:lang w:eastAsia="en-IN"/>
              </w:rPr>
            </w:pPr>
          </w:p>
        </w:tc>
        <w:tc>
          <w:tcPr>
            <w:tcW w:w="1260" w:type="dxa"/>
            <w:tcBorders>
              <w:top w:val="nil"/>
              <w:left w:val="nil"/>
              <w:bottom w:val="nil"/>
              <w:right w:val="nil"/>
            </w:tcBorders>
            <w:shd w:val="clear" w:color="auto" w:fill="auto"/>
            <w:noWrap/>
            <w:vAlign w:val="bottom"/>
            <w:hideMark/>
          </w:tcPr>
          <w:p w14:paraId="7DFCBF16" w14:textId="77777777" w:rsidR="007028C9" w:rsidRPr="00E70587" w:rsidRDefault="007028C9" w:rsidP="0022129E">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vAlign w:val="bottom"/>
            <w:hideMark/>
          </w:tcPr>
          <w:p w14:paraId="643BA231" w14:textId="77777777" w:rsidR="007028C9" w:rsidRPr="00E70587" w:rsidRDefault="007028C9" w:rsidP="0022129E">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vAlign w:val="bottom"/>
            <w:hideMark/>
          </w:tcPr>
          <w:p w14:paraId="5ECA294F" w14:textId="77777777" w:rsidR="007028C9" w:rsidRPr="00E70587" w:rsidRDefault="007028C9" w:rsidP="0022129E">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vAlign w:val="bottom"/>
            <w:hideMark/>
          </w:tcPr>
          <w:p w14:paraId="0C9FB10A" w14:textId="77777777" w:rsidR="007028C9" w:rsidRPr="00E70587" w:rsidRDefault="007028C9" w:rsidP="0022129E">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vAlign w:val="bottom"/>
            <w:hideMark/>
          </w:tcPr>
          <w:p w14:paraId="65579157" w14:textId="77777777" w:rsidR="007028C9" w:rsidRPr="00E70587" w:rsidRDefault="007028C9" w:rsidP="0022129E">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vAlign w:val="bottom"/>
            <w:hideMark/>
          </w:tcPr>
          <w:p w14:paraId="6B6FA619" w14:textId="77777777" w:rsidR="007028C9" w:rsidRPr="00E70587" w:rsidRDefault="007028C9" w:rsidP="0022129E">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bottom"/>
            <w:hideMark/>
          </w:tcPr>
          <w:p w14:paraId="3543F1B6"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lang w:eastAsia="en-IN"/>
              </w:rPr>
              <w:t> </w:t>
            </w:r>
          </w:p>
        </w:tc>
      </w:tr>
      <w:tr w:rsidR="007028C9" w:rsidRPr="00E70587" w14:paraId="79ED0E4D" w14:textId="77777777" w:rsidTr="00755532">
        <w:tc>
          <w:tcPr>
            <w:tcW w:w="3854" w:type="dxa"/>
            <w:gridSpan w:val="3"/>
            <w:tcBorders>
              <w:top w:val="nil"/>
              <w:left w:val="single" w:sz="8" w:space="0" w:color="auto"/>
              <w:bottom w:val="nil"/>
              <w:right w:val="nil"/>
            </w:tcBorders>
            <w:shd w:val="clear" w:color="auto" w:fill="auto"/>
            <w:noWrap/>
            <w:vAlign w:val="center"/>
            <w:hideMark/>
          </w:tcPr>
          <w:p w14:paraId="3753884C" w14:textId="77777777" w:rsidR="007028C9" w:rsidRPr="00E70587" w:rsidRDefault="007028C9" w:rsidP="009901E1">
            <w:pPr>
              <w:spacing w:line="280" w:lineRule="exact"/>
              <w:rPr>
                <w:rFonts w:ascii="Arial" w:hAnsi="Arial" w:cs="Arial"/>
                <w:b/>
                <w:bCs/>
                <w:sz w:val="20"/>
                <w:lang w:eastAsia="en-IN"/>
              </w:rPr>
            </w:pPr>
            <w:r w:rsidRPr="00E70587">
              <w:rPr>
                <w:rFonts w:ascii="Arial" w:hAnsi="Arial" w:cs="Arial"/>
                <w:b/>
                <w:bCs/>
                <w:sz w:val="20"/>
                <w:lang w:eastAsia="en-IN"/>
              </w:rPr>
              <w:t>Associates</w:t>
            </w:r>
          </w:p>
        </w:tc>
        <w:tc>
          <w:tcPr>
            <w:tcW w:w="1626" w:type="dxa"/>
            <w:tcBorders>
              <w:top w:val="nil"/>
              <w:left w:val="nil"/>
              <w:bottom w:val="nil"/>
              <w:right w:val="nil"/>
            </w:tcBorders>
            <w:shd w:val="clear" w:color="auto" w:fill="auto"/>
            <w:noWrap/>
            <w:vAlign w:val="bottom"/>
            <w:hideMark/>
          </w:tcPr>
          <w:p w14:paraId="1AA0A54D" w14:textId="77777777" w:rsidR="007028C9" w:rsidRPr="00E70587" w:rsidRDefault="007028C9" w:rsidP="009901E1">
            <w:pPr>
              <w:spacing w:line="280" w:lineRule="exact"/>
              <w:rPr>
                <w:rFonts w:ascii="Arial" w:hAnsi="Arial" w:cs="Arial"/>
                <w:sz w:val="20"/>
                <w:lang w:eastAsia="en-IN"/>
              </w:rPr>
            </w:pPr>
          </w:p>
        </w:tc>
        <w:tc>
          <w:tcPr>
            <w:tcW w:w="1260" w:type="dxa"/>
            <w:tcBorders>
              <w:top w:val="nil"/>
              <w:left w:val="nil"/>
              <w:bottom w:val="nil"/>
              <w:right w:val="nil"/>
            </w:tcBorders>
            <w:shd w:val="clear" w:color="auto" w:fill="auto"/>
            <w:noWrap/>
            <w:vAlign w:val="bottom"/>
            <w:hideMark/>
          </w:tcPr>
          <w:p w14:paraId="1FF23EB6" w14:textId="77777777" w:rsidR="007028C9" w:rsidRPr="00E70587" w:rsidRDefault="007028C9" w:rsidP="0022129E">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vAlign w:val="bottom"/>
            <w:hideMark/>
          </w:tcPr>
          <w:p w14:paraId="2B5C8763" w14:textId="77777777" w:rsidR="007028C9" w:rsidRPr="00E70587" w:rsidRDefault="007028C9" w:rsidP="0022129E">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vAlign w:val="bottom"/>
            <w:hideMark/>
          </w:tcPr>
          <w:p w14:paraId="17C2AE72" w14:textId="77777777" w:rsidR="007028C9" w:rsidRPr="00E70587" w:rsidRDefault="007028C9" w:rsidP="0022129E">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vAlign w:val="bottom"/>
            <w:hideMark/>
          </w:tcPr>
          <w:p w14:paraId="22AAF7D9" w14:textId="77777777" w:rsidR="007028C9" w:rsidRPr="00E70587" w:rsidRDefault="007028C9" w:rsidP="0022129E">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vAlign w:val="bottom"/>
            <w:hideMark/>
          </w:tcPr>
          <w:p w14:paraId="13F30EA9" w14:textId="77777777" w:rsidR="007028C9" w:rsidRPr="00E70587" w:rsidRDefault="007028C9" w:rsidP="0022129E">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vAlign w:val="bottom"/>
            <w:hideMark/>
          </w:tcPr>
          <w:p w14:paraId="6E86202A" w14:textId="77777777" w:rsidR="007028C9" w:rsidRPr="00E70587" w:rsidRDefault="007028C9" w:rsidP="0022129E">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bottom"/>
            <w:hideMark/>
          </w:tcPr>
          <w:p w14:paraId="2A8CE2FF"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lang w:eastAsia="en-IN"/>
              </w:rPr>
              <w:t> </w:t>
            </w:r>
          </w:p>
        </w:tc>
      </w:tr>
      <w:tr w:rsidR="007028C9" w:rsidRPr="00E70587" w14:paraId="740345E1" w14:textId="77777777" w:rsidTr="00755532">
        <w:tc>
          <w:tcPr>
            <w:tcW w:w="918" w:type="dxa"/>
            <w:tcBorders>
              <w:top w:val="nil"/>
              <w:left w:val="single" w:sz="8" w:space="0" w:color="auto"/>
              <w:bottom w:val="nil"/>
              <w:right w:val="nil"/>
            </w:tcBorders>
            <w:shd w:val="clear" w:color="auto" w:fill="auto"/>
            <w:noWrap/>
            <w:vAlign w:val="center"/>
            <w:hideMark/>
          </w:tcPr>
          <w:p w14:paraId="164A8C9F" w14:textId="77777777" w:rsidR="007028C9" w:rsidRPr="00E70587" w:rsidRDefault="007028C9" w:rsidP="009901E1">
            <w:pPr>
              <w:spacing w:line="280" w:lineRule="exact"/>
              <w:rPr>
                <w:rFonts w:ascii="Arial" w:hAnsi="Arial" w:cs="Arial"/>
                <w:b/>
                <w:bCs/>
                <w:sz w:val="20"/>
                <w:lang w:eastAsia="en-IN"/>
              </w:rPr>
            </w:pPr>
            <w:r w:rsidRPr="00E70587">
              <w:rPr>
                <w:rFonts w:ascii="Arial" w:hAnsi="Arial" w:cs="Arial"/>
                <w:b/>
                <w:bCs/>
                <w:sz w:val="20"/>
                <w:lang w:eastAsia="en-IN"/>
              </w:rPr>
              <w:t>Indian</w:t>
            </w:r>
          </w:p>
        </w:tc>
        <w:tc>
          <w:tcPr>
            <w:tcW w:w="2936" w:type="dxa"/>
            <w:gridSpan w:val="2"/>
            <w:tcBorders>
              <w:top w:val="nil"/>
              <w:left w:val="nil"/>
              <w:bottom w:val="nil"/>
              <w:right w:val="nil"/>
            </w:tcBorders>
            <w:shd w:val="clear" w:color="auto" w:fill="auto"/>
            <w:noWrap/>
            <w:vAlign w:val="bottom"/>
            <w:hideMark/>
          </w:tcPr>
          <w:p w14:paraId="450171EC" w14:textId="77777777" w:rsidR="007028C9" w:rsidRPr="00E70587" w:rsidRDefault="007028C9" w:rsidP="009901E1">
            <w:pPr>
              <w:spacing w:line="280" w:lineRule="exact"/>
              <w:rPr>
                <w:rFonts w:ascii="Arial" w:hAnsi="Arial" w:cs="Arial"/>
                <w:sz w:val="20"/>
                <w:lang w:eastAsia="en-IN"/>
              </w:rPr>
            </w:pPr>
          </w:p>
        </w:tc>
        <w:tc>
          <w:tcPr>
            <w:tcW w:w="1626" w:type="dxa"/>
            <w:tcBorders>
              <w:top w:val="nil"/>
              <w:left w:val="nil"/>
              <w:bottom w:val="nil"/>
              <w:right w:val="nil"/>
            </w:tcBorders>
            <w:shd w:val="clear" w:color="auto" w:fill="auto"/>
            <w:noWrap/>
            <w:vAlign w:val="bottom"/>
            <w:hideMark/>
          </w:tcPr>
          <w:p w14:paraId="637C537B" w14:textId="77777777" w:rsidR="007028C9" w:rsidRPr="00E70587" w:rsidRDefault="007028C9" w:rsidP="009901E1">
            <w:pPr>
              <w:spacing w:line="280" w:lineRule="exact"/>
              <w:rPr>
                <w:rFonts w:ascii="Arial" w:hAnsi="Arial" w:cs="Arial"/>
                <w:sz w:val="20"/>
                <w:lang w:eastAsia="en-IN"/>
              </w:rPr>
            </w:pPr>
          </w:p>
        </w:tc>
        <w:tc>
          <w:tcPr>
            <w:tcW w:w="1260" w:type="dxa"/>
            <w:tcBorders>
              <w:top w:val="nil"/>
              <w:left w:val="nil"/>
              <w:bottom w:val="nil"/>
              <w:right w:val="nil"/>
            </w:tcBorders>
            <w:shd w:val="clear" w:color="auto" w:fill="auto"/>
            <w:noWrap/>
            <w:vAlign w:val="bottom"/>
            <w:hideMark/>
          </w:tcPr>
          <w:p w14:paraId="339B9357" w14:textId="77777777" w:rsidR="007028C9" w:rsidRPr="00E70587" w:rsidRDefault="007028C9" w:rsidP="0022129E">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vAlign w:val="bottom"/>
            <w:hideMark/>
          </w:tcPr>
          <w:p w14:paraId="72703B88" w14:textId="77777777" w:rsidR="007028C9" w:rsidRPr="00E70587" w:rsidRDefault="007028C9" w:rsidP="0022129E">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vAlign w:val="bottom"/>
            <w:hideMark/>
          </w:tcPr>
          <w:p w14:paraId="56A8C2D2" w14:textId="77777777" w:rsidR="007028C9" w:rsidRPr="00E70587" w:rsidRDefault="007028C9" w:rsidP="0022129E">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vAlign w:val="bottom"/>
            <w:hideMark/>
          </w:tcPr>
          <w:p w14:paraId="2346DA37" w14:textId="77777777" w:rsidR="007028C9" w:rsidRPr="00E70587" w:rsidRDefault="007028C9" w:rsidP="0022129E">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vAlign w:val="bottom"/>
            <w:hideMark/>
          </w:tcPr>
          <w:p w14:paraId="702E4758" w14:textId="77777777" w:rsidR="007028C9" w:rsidRPr="00E70587" w:rsidRDefault="007028C9" w:rsidP="0022129E">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vAlign w:val="bottom"/>
            <w:hideMark/>
          </w:tcPr>
          <w:p w14:paraId="3A73F33B" w14:textId="77777777" w:rsidR="007028C9" w:rsidRPr="00E70587" w:rsidRDefault="007028C9" w:rsidP="0022129E">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bottom"/>
            <w:hideMark/>
          </w:tcPr>
          <w:p w14:paraId="0D46E671"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lang w:eastAsia="en-IN"/>
              </w:rPr>
              <w:t> </w:t>
            </w:r>
          </w:p>
        </w:tc>
      </w:tr>
      <w:tr w:rsidR="007028C9" w:rsidRPr="00E70587" w14:paraId="65D42754" w14:textId="77777777" w:rsidTr="00755532">
        <w:tc>
          <w:tcPr>
            <w:tcW w:w="918" w:type="dxa"/>
            <w:tcBorders>
              <w:top w:val="nil"/>
              <w:left w:val="single" w:sz="8" w:space="0" w:color="auto"/>
              <w:bottom w:val="nil"/>
              <w:right w:val="nil"/>
            </w:tcBorders>
            <w:shd w:val="clear" w:color="auto" w:fill="auto"/>
            <w:noWrap/>
            <w:vAlign w:val="center"/>
            <w:hideMark/>
          </w:tcPr>
          <w:p w14:paraId="3C9CB7DC"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lang w:eastAsia="en-IN"/>
              </w:rPr>
              <w:t>1</w:t>
            </w:r>
          </w:p>
        </w:tc>
        <w:tc>
          <w:tcPr>
            <w:tcW w:w="2936" w:type="dxa"/>
            <w:gridSpan w:val="2"/>
            <w:tcBorders>
              <w:top w:val="nil"/>
              <w:left w:val="nil"/>
              <w:bottom w:val="nil"/>
              <w:right w:val="nil"/>
            </w:tcBorders>
            <w:shd w:val="clear" w:color="auto" w:fill="auto"/>
            <w:noWrap/>
            <w:vAlign w:val="center"/>
            <w:hideMark/>
          </w:tcPr>
          <w:p w14:paraId="634634C8" w14:textId="77777777"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Power Works Limited</w:t>
            </w:r>
          </w:p>
        </w:tc>
        <w:tc>
          <w:tcPr>
            <w:tcW w:w="1626" w:type="dxa"/>
            <w:tcBorders>
              <w:top w:val="nil"/>
              <w:left w:val="nil"/>
              <w:bottom w:val="nil"/>
              <w:right w:val="nil"/>
            </w:tcBorders>
            <w:shd w:val="clear" w:color="auto" w:fill="auto"/>
            <w:noWrap/>
            <w:vAlign w:val="bottom"/>
            <w:hideMark/>
          </w:tcPr>
          <w:p w14:paraId="1763CFE6" w14:textId="77777777" w:rsidR="007028C9" w:rsidRPr="00E70587" w:rsidRDefault="007028C9" w:rsidP="009901E1">
            <w:pPr>
              <w:spacing w:line="280" w:lineRule="exact"/>
              <w:rPr>
                <w:rFonts w:ascii="Arial" w:hAnsi="Arial" w:cs="Arial"/>
                <w:sz w:val="20"/>
                <w:lang w:eastAsia="en-IN"/>
              </w:rPr>
            </w:pPr>
          </w:p>
        </w:tc>
        <w:tc>
          <w:tcPr>
            <w:tcW w:w="1260" w:type="dxa"/>
            <w:tcBorders>
              <w:top w:val="nil"/>
              <w:left w:val="nil"/>
              <w:bottom w:val="nil"/>
              <w:right w:val="nil"/>
            </w:tcBorders>
            <w:shd w:val="clear" w:color="auto" w:fill="auto"/>
            <w:noWrap/>
            <w:vAlign w:val="bottom"/>
            <w:hideMark/>
          </w:tcPr>
          <w:p w14:paraId="6B2B6BF7" w14:textId="77777777" w:rsidR="007028C9" w:rsidRPr="00E70587" w:rsidRDefault="007028C9" w:rsidP="0022129E">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vAlign w:val="bottom"/>
            <w:hideMark/>
          </w:tcPr>
          <w:p w14:paraId="7BD9D285" w14:textId="77777777" w:rsidR="007028C9" w:rsidRPr="00E70587" w:rsidRDefault="007028C9" w:rsidP="0022129E">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vAlign w:val="bottom"/>
            <w:hideMark/>
          </w:tcPr>
          <w:p w14:paraId="6E6E38D1" w14:textId="77777777" w:rsidR="007028C9" w:rsidRPr="00E70587" w:rsidRDefault="007028C9" w:rsidP="0022129E">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vAlign w:val="bottom"/>
            <w:hideMark/>
          </w:tcPr>
          <w:p w14:paraId="1586978C" w14:textId="77777777" w:rsidR="007028C9" w:rsidRPr="00E70587" w:rsidRDefault="007028C9" w:rsidP="0022129E">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vAlign w:val="bottom"/>
            <w:hideMark/>
          </w:tcPr>
          <w:p w14:paraId="6770A5CE" w14:textId="77777777" w:rsidR="007028C9" w:rsidRPr="00E70587" w:rsidRDefault="007028C9" w:rsidP="0022129E">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vAlign w:val="bottom"/>
            <w:hideMark/>
          </w:tcPr>
          <w:p w14:paraId="6795C8C5" w14:textId="77777777" w:rsidR="007028C9" w:rsidRPr="00E70587" w:rsidRDefault="007028C9" w:rsidP="0022129E">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bottom"/>
            <w:hideMark/>
          </w:tcPr>
          <w:p w14:paraId="78440DD9"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lang w:eastAsia="en-IN"/>
              </w:rPr>
              <w:t> </w:t>
            </w:r>
          </w:p>
        </w:tc>
      </w:tr>
      <w:tr w:rsidR="007028C9" w:rsidRPr="00E70587" w14:paraId="4CF49384" w14:textId="77777777" w:rsidTr="00755532">
        <w:tc>
          <w:tcPr>
            <w:tcW w:w="918" w:type="dxa"/>
            <w:tcBorders>
              <w:top w:val="nil"/>
              <w:left w:val="single" w:sz="8" w:space="0" w:color="auto"/>
              <w:bottom w:val="nil"/>
              <w:right w:val="nil"/>
            </w:tcBorders>
            <w:shd w:val="clear" w:color="auto" w:fill="auto"/>
            <w:noWrap/>
            <w:vAlign w:val="center"/>
            <w:hideMark/>
          </w:tcPr>
          <w:p w14:paraId="16F5B821"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36" w:type="dxa"/>
            <w:gridSpan w:val="2"/>
            <w:tcBorders>
              <w:top w:val="nil"/>
              <w:left w:val="nil"/>
              <w:bottom w:val="nil"/>
              <w:right w:val="nil"/>
            </w:tcBorders>
            <w:shd w:val="clear" w:color="auto" w:fill="auto"/>
            <w:noWrap/>
            <w:vAlign w:val="center"/>
            <w:hideMark/>
          </w:tcPr>
          <w:p w14:paraId="6BA59211" w14:textId="21BEAAF1"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10492C"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21</w:t>
            </w:r>
          </w:p>
        </w:tc>
        <w:tc>
          <w:tcPr>
            <w:tcW w:w="1626" w:type="dxa"/>
            <w:tcBorders>
              <w:top w:val="nil"/>
              <w:left w:val="nil"/>
              <w:bottom w:val="nil"/>
              <w:right w:val="nil"/>
            </w:tcBorders>
            <w:shd w:val="clear" w:color="auto" w:fill="auto"/>
            <w:noWrap/>
            <w:hideMark/>
          </w:tcPr>
          <w:p w14:paraId="49E18C56"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1%</w:t>
            </w:r>
          </w:p>
        </w:tc>
        <w:tc>
          <w:tcPr>
            <w:tcW w:w="1260" w:type="dxa"/>
            <w:tcBorders>
              <w:top w:val="nil"/>
              <w:left w:val="nil"/>
              <w:bottom w:val="nil"/>
              <w:right w:val="nil"/>
            </w:tcBorders>
            <w:shd w:val="clear" w:color="auto" w:fill="auto"/>
            <w:noWrap/>
            <w:hideMark/>
          </w:tcPr>
          <w:p w14:paraId="6CD1AA50"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1,375 </w:t>
            </w:r>
          </w:p>
        </w:tc>
        <w:tc>
          <w:tcPr>
            <w:tcW w:w="1710" w:type="dxa"/>
            <w:tcBorders>
              <w:top w:val="nil"/>
              <w:left w:val="nil"/>
              <w:bottom w:val="nil"/>
              <w:right w:val="nil"/>
            </w:tcBorders>
            <w:shd w:val="clear" w:color="auto" w:fill="auto"/>
            <w:noWrap/>
            <w:hideMark/>
          </w:tcPr>
          <w:p w14:paraId="427FAE8E"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1%</w:t>
            </w:r>
          </w:p>
        </w:tc>
        <w:tc>
          <w:tcPr>
            <w:tcW w:w="900" w:type="dxa"/>
            <w:tcBorders>
              <w:top w:val="nil"/>
              <w:left w:val="nil"/>
              <w:bottom w:val="nil"/>
              <w:right w:val="nil"/>
            </w:tcBorders>
            <w:shd w:val="clear" w:color="auto" w:fill="auto"/>
            <w:noWrap/>
            <w:hideMark/>
          </w:tcPr>
          <w:p w14:paraId="37586237"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149 </w:t>
            </w:r>
          </w:p>
        </w:tc>
        <w:tc>
          <w:tcPr>
            <w:tcW w:w="2250" w:type="dxa"/>
            <w:tcBorders>
              <w:top w:val="nil"/>
              <w:left w:val="nil"/>
              <w:bottom w:val="nil"/>
              <w:right w:val="nil"/>
            </w:tcBorders>
            <w:shd w:val="clear" w:color="auto" w:fill="auto"/>
            <w:noWrap/>
            <w:hideMark/>
          </w:tcPr>
          <w:p w14:paraId="54BCAFA5"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65AB3AB6"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 </w:t>
            </w:r>
          </w:p>
        </w:tc>
        <w:tc>
          <w:tcPr>
            <w:tcW w:w="1800" w:type="dxa"/>
            <w:tcBorders>
              <w:top w:val="nil"/>
              <w:left w:val="nil"/>
              <w:bottom w:val="nil"/>
              <w:right w:val="nil"/>
            </w:tcBorders>
            <w:shd w:val="clear" w:color="auto" w:fill="auto"/>
            <w:noWrap/>
            <w:hideMark/>
          </w:tcPr>
          <w:p w14:paraId="74F835ED"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1%</w:t>
            </w:r>
          </w:p>
        </w:tc>
        <w:tc>
          <w:tcPr>
            <w:tcW w:w="990" w:type="dxa"/>
            <w:tcBorders>
              <w:top w:val="nil"/>
              <w:left w:val="nil"/>
              <w:bottom w:val="nil"/>
              <w:right w:val="single" w:sz="8" w:space="0" w:color="auto"/>
            </w:tcBorders>
            <w:shd w:val="clear" w:color="auto" w:fill="auto"/>
            <w:noWrap/>
            <w:hideMark/>
          </w:tcPr>
          <w:p w14:paraId="7139AED2"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149 </w:t>
            </w:r>
          </w:p>
        </w:tc>
      </w:tr>
      <w:tr w:rsidR="007028C9" w:rsidRPr="00E70587" w14:paraId="5F2E3146" w14:textId="77777777" w:rsidTr="00755532">
        <w:tc>
          <w:tcPr>
            <w:tcW w:w="918" w:type="dxa"/>
            <w:tcBorders>
              <w:top w:val="nil"/>
              <w:left w:val="single" w:sz="8" w:space="0" w:color="auto"/>
              <w:bottom w:val="nil"/>
              <w:right w:val="nil"/>
            </w:tcBorders>
            <w:shd w:val="clear" w:color="auto" w:fill="auto"/>
            <w:noWrap/>
            <w:vAlign w:val="center"/>
            <w:hideMark/>
          </w:tcPr>
          <w:p w14:paraId="5DCC1813"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36" w:type="dxa"/>
            <w:gridSpan w:val="2"/>
            <w:tcBorders>
              <w:top w:val="nil"/>
              <w:left w:val="nil"/>
              <w:bottom w:val="nil"/>
              <w:right w:val="nil"/>
            </w:tcBorders>
            <w:shd w:val="clear" w:color="auto" w:fill="auto"/>
            <w:noWrap/>
            <w:vAlign w:val="center"/>
            <w:hideMark/>
          </w:tcPr>
          <w:p w14:paraId="79C48B08" w14:textId="2AB0AE01"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8B730E"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20</w:t>
            </w:r>
          </w:p>
        </w:tc>
        <w:tc>
          <w:tcPr>
            <w:tcW w:w="1626" w:type="dxa"/>
            <w:tcBorders>
              <w:top w:val="nil"/>
              <w:left w:val="nil"/>
              <w:bottom w:val="nil"/>
              <w:right w:val="nil"/>
            </w:tcBorders>
            <w:shd w:val="clear" w:color="auto" w:fill="auto"/>
            <w:noWrap/>
            <w:hideMark/>
          </w:tcPr>
          <w:p w14:paraId="0416B4F6"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rPr>
              <w:t>1%</w:t>
            </w:r>
          </w:p>
        </w:tc>
        <w:tc>
          <w:tcPr>
            <w:tcW w:w="1260" w:type="dxa"/>
            <w:tcBorders>
              <w:top w:val="nil"/>
              <w:left w:val="nil"/>
              <w:bottom w:val="nil"/>
              <w:right w:val="nil"/>
            </w:tcBorders>
            <w:shd w:val="clear" w:color="auto" w:fill="auto"/>
            <w:noWrap/>
            <w:hideMark/>
          </w:tcPr>
          <w:p w14:paraId="7628E900"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1,226 </w:t>
            </w:r>
          </w:p>
        </w:tc>
        <w:tc>
          <w:tcPr>
            <w:tcW w:w="1710" w:type="dxa"/>
            <w:tcBorders>
              <w:top w:val="nil"/>
              <w:left w:val="nil"/>
              <w:bottom w:val="nil"/>
              <w:right w:val="nil"/>
            </w:tcBorders>
            <w:shd w:val="clear" w:color="auto" w:fill="auto"/>
            <w:noWrap/>
            <w:hideMark/>
          </w:tcPr>
          <w:p w14:paraId="1A7FA894"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1%</w:t>
            </w:r>
          </w:p>
        </w:tc>
        <w:tc>
          <w:tcPr>
            <w:tcW w:w="900" w:type="dxa"/>
            <w:tcBorders>
              <w:top w:val="nil"/>
              <w:left w:val="nil"/>
              <w:bottom w:val="nil"/>
              <w:right w:val="nil"/>
            </w:tcBorders>
            <w:shd w:val="clear" w:color="auto" w:fill="auto"/>
            <w:noWrap/>
            <w:hideMark/>
          </w:tcPr>
          <w:p w14:paraId="2E72E7BF"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146 </w:t>
            </w:r>
          </w:p>
        </w:tc>
        <w:tc>
          <w:tcPr>
            <w:tcW w:w="2250" w:type="dxa"/>
            <w:tcBorders>
              <w:top w:val="nil"/>
              <w:left w:val="nil"/>
              <w:bottom w:val="nil"/>
              <w:right w:val="nil"/>
            </w:tcBorders>
            <w:shd w:val="clear" w:color="auto" w:fill="auto"/>
            <w:noWrap/>
            <w:hideMark/>
          </w:tcPr>
          <w:p w14:paraId="093143C9"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42022EBE"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 </w:t>
            </w:r>
          </w:p>
        </w:tc>
        <w:tc>
          <w:tcPr>
            <w:tcW w:w="1800" w:type="dxa"/>
            <w:tcBorders>
              <w:top w:val="nil"/>
              <w:left w:val="nil"/>
              <w:bottom w:val="nil"/>
              <w:right w:val="nil"/>
            </w:tcBorders>
            <w:shd w:val="clear" w:color="auto" w:fill="auto"/>
            <w:noWrap/>
            <w:hideMark/>
          </w:tcPr>
          <w:p w14:paraId="68C7F5C1" w14:textId="571016A8" w:rsidR="007028C9" w:rsidRPr="00E70587" w:rsidRDefault="004357E3" w:rsidP="0022129E">
            <w:pPr>
              <w:spacing w:line="280" w:lineRule="exact"/>
              <w:jc w:val="right"/>
              <w:rPr>
                <w:rFonts w:ascii="Arial" w:hAnsi="Arial" w:cs="Arial"/>
                <w:sz w:val="20"/>
                <w:lang w:eastAsia="en-IN"/>
              </w:rPr>
            </w:pPr>
            <w:r>
              <w:rPr>
                <w:rFonts w:ascii="Arial" w:hAnsi="Arial" w:cs="Arial"/>
                <w:sz w:val="20"/>
              </w:rPr>
              <w:t>2</w:t>
            </w:r>
            <w:r w:rsidR="007028C9" w:rsidRPr="00E70587">
              <w:rPr>
                <w:rFonts w:ascii="Arial" w:hAnsi="Arial" w:cs="Arial"/>
                <w:sz w:val="20"/>
              </w:rPr>
              <w:t>%</w:t>
            </w:r>
          </w:p>
        </w:tc>
        <w:tc>
          <w:tcPr>
            <w:tcW w:w="990" w:type="dxa"/>
            <w:tcBorders>
              <w:top w:val="nil"/>
              <w:left w:val="nil"/>
              <w:bottom w:val="nil"/>
              <w:right w:val="single" w:sz="8" w:space="0" w:color="auto"/>
            </w:tcBorders>
            <w:shd w:val="clear" w:color="auto" w:fill="auto"/>
            <w:noWrap/>
            <w:hideMark/>
          </w:tcPr>
          <w:p w14:paraId="5A2BD8EF"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146 </w:t>
            </w:r>
          </w:p>
        </w:tc>
      </w:tr>
      <w:tr w:rsidR="007028C9" w:rsidRPr="00E70587" w14:paraId="5E8784C9" w14:textId="77777777" w:rsidTr="00755532">
        <w:tc>
          <w:tcPr>
            <w:tcW w:w="918" w:type="dxa"/>
            <w:tcBorders>
              <w:top w:val="nil"/>
              <w:left w:val="single" w:sz="8" w:space="0" w:color="auto"/>
              <w:bottom w:val="nil"/>
              <w:right w:val="nil"/>
            </w:tcBorders>
            <w:shd w:val="clear" w:color="auto" w:fill="auto"/>
            <w:noWrap/>
            <w:vAlign w:val="bottom"/>
            <w:hideMark/>
          </w:tcPr>
          <w:p w14:paraId="0A252C37" w14:textId="77777777"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w:t>
            </w:r>
          </w:p>
        </w:tc>
        <w:tc>
          <w:tcPr>
            <w:tcW w:w="2936" w:type="dxa"/>
            <w:gridSpan w:val="2"/>
            <w:tcBorders>
              <w:top w:val="nil"/>
              <w:left w:val="nil"/>
              <w:bottom w:val="nil"/>
              <w:right w:val="nil"/>
            </w:tcBorders>
            <w:shd w:val="clear" w:color="auto" w:fill="auto"/>
            <w:noWrap/>
            <w:vAlign w:val="bottom"/>
            <w:hideMark/>
          </w:tcPr>
          <w:p w14:paraId="4F1DEF07" w14:textId="77777777" w:rsidR="007028C9" w:rsidRPr="00E70587" w:rsidRDefault="007028C9" w:rsidP="009901E1">
            <w:pPr>
              <w:spacing w:line="280" w:lineRule="exact"/>
              <w:rPr>
                <w:rFonts w:ascii="Arial" w:hAnsi="Arial" w:cs="Arial"/>
                <w:sz w:val="20"/>
                <w:lang w:eastAsia="en-IN"/>
              </w:rPr>
            </w:pPr>
          </w:p>
        </w:tc>
        <w:tc>
          <w:tcPr>
            <w:tcW w:w="1626" w:type="dxa"/>
            <w:tcBorders>
              <w:top w:val="nil"/>
              <w:left w:val="nil"/>
              <w:bottom w:val="nil"/>
              <w:right w:val="nil"/>
            </w:tcBorders>
            <w:shd w:val="clear" w:color="auto" w:fill="auto"/>
            <w:noWrap/>
            <w:vAlign w:val="bottom"/>
            <w:hideMark/>
          </w:tcPr>
          <w:p w14:paraId="4A67D076" w14:textId="77777777" w:rsidR="007028C9" w:rsidRPr="00E70587" w:rsidRDefault="007028C9" w:rsidP="009901E1">
            <w:pPr>
              <w:spacing w:line="280" w:lineRule="exact"/>
              <w:rPr>
                <w:rFonts w:ascii="Arial" w:hAnsi="Arial" w:cs="Arial"/>
                <w:sz w:val="20"/>
                <w:lang w:eastAsia="en-IN"/>
              </w:rPr>
            </w:pPr>
          </w:p>
        </w:tc>
        <w:tc>
          <w:tcPr>
            <w:tcW w:w="1260" w:type="dxa"/>
            <w:tcBorders>
              <w:top w:val="nil"/>
              <w:left w:val="nil"/>
              <w:bottom w:val="nil"/>
              <w:right w:val="nil"/>
            </w:tcBorders>
            <w:shd w:val="clear" w:color="auto" w:fill="auto"/>
            <w:noWrap/>
            <w:vAlign w:val="bottom"/>
            <w:hideMark/>
          </w:tcPr>
          <w:p w14:paraId="0BB50E72" w14:textId="77777777" w:rsidR="007028C9" w:rsidRPr="00E70587" w:rsidRDefault="007028C9" w:rsidP="009901E1">
            <w:pPr>
              <w:spacing w:line="280" w:lineRule="exact"/>
              <w:rPr>
                <w:rFonts w:ascii="Arial" w:hAnsi="Arial" w:cs="Arial"/>
                <w:sz w:val="20"/>
                <w:lang w:eastAsia="en-IN"/>
              </w:rPr>
            </w:pPr>
          </w:p>
        </w:tc>
        <w:tc>
          <w:tcPr>
            <w:tcW w:w="1710" w:type="dxa"/>
            <w:tcBorders>
              <w:top w:val="nil"/>
              <w:left w:val="nil"/>
              <w:bottom w:val="nil"/>
              <w:right w:val="nil"/>
            </w:tcBorders>
            <w:shd w:val="clear" w:color="auto" w:fill="auto"/>
            <w:noWrap/>
            <w:vAlign w:val="bottom"/>
            <w:hideMark/>
          </w:tcPr>
          <w:p w14:paraId="3BF7DB25" w14:textId="77777777" w:rsidR="007028C9" w:rsidRPr="00E70587" w:rsidRDefault="007028C9" w:rsidP="009901E1">
            <w:pPr>
              <w:spacing w:line="280" w:lineRule="exact"/>
              <w:rPr>
                <w:rFonts w:ascii="Arial" w:hAnsi="Arial" w:cs="Arial"/>
                <w:sz w:val="20"/>
                <w:lang w:eastAsia="en-IN"/>
              </w:rPr>
            </w:pPr>
          </w:p>
        </w:tc>
        <w:tc>
          <w:tcPr>
            <w:tcW w:w="900" w:type="dxa"/>
            <w:tcBorders>
              <w:top w:val="nil"/>
              <w:left w:val="nil"/>
              <w:bottom w:val="nil"/>
              <w:right w:val="nil"/>
            </w:tcBorders>
            <w:shd w:val="clear" w:color="auto" w:fill="auto"/>
            <w:noWrap/>
            <w:vAlign w:val="bottom"/>
            <w:hideMark/>
          </w:tcPr>
          <w:p w14:paraId="2E9EE8F8" w14:textId="77777777" w:rsidR="007028C9" w:rsidRPr="00E70587" w:rsidRDefault="007028C9" w:rsidP="009901E1">
            <w:pPr>
              <w:spacing w:line="280" w:lineRule="exact"/>
              <w:rPr>
                <w:rFonts w:ascii="Arial" w:hAnsi="Arial" w:cs="Arial"/>
                <w:sz w:val="20"/>
                <w:lang w:eastAsia="en-IN"/>
              </w:rPr>
            </w:pPr>
          </w:p>
        </w:tc>
        <w:tc>
          <w:tcPr>
            <w:tcW w:w="2250" w:type="dxa"/>
            <w:tcBorders>
              <w:top w:val="nil"/>
              <w:left w:val="nil"/>
              <w:bottom w:val="nil"/>
              <w:right w:val="nil"/>
            </w:tcBorders>
            <w:shd w:val="clear" w:color="auto" w:fill="auto"/>
            <w:noWrap/>
            <w:vAlign w:val="bottom"/>
            <w:hideMark/>
          </w:tcPr>
          <w:p w14:paraId="215C335C" w14:textId="77777777" w:rsidR="007028C9" w:rsidRPr="00E70587" w:rsidRDefault="007028C9" w:rsidP="009901E1">
            <w:pPr>
              <w:spacing w:line="280" w:lineRule="exact"/>
              <w:rPr>
                <w:rFonts w:ascii="Arial" w:hAnsi="Arial" w:cs="Arial"/>
                <w:sz w:val="20"/>
                <w:lang w:eastAsia="en-IN"/>
              </w:rPr>
            </w:pPr>
          </w:p>
        </w:tc>
        <w:tc>
          <w:tcPr>
            <w:tcW w:w="720" w:type="dxa"/>
            <w:tcBorders>
              <w:top w:val="nil"/>
              <w:left w:val="nil"/>
              <w:bottom w:val="nil"/>
              <w:right w:val="nil"/>
            </w:tcBorders>
            <w:shd w:val="clear" w:color="auto" w:fill="auto"/>
            <w:noWrap/>
            <w:vAlign w:val="bottom"/>
            <w:hideMark/>
          </w:tcPr>
          <w:p w14:paraId="692B0BEA" w14:textId="77777777" w:rsidR="007028C9" w:rsidRPr="00E70587" w:rsidRDefault="007028C9" w:rsidP="009901E1">
            <w:pPr>
              <w:spacing w:line="280" w:lineRule="exact"/>
              <w:rPr>
                <w:rFonts w:ascii="Arial" w:hAnsi="Arial" w:cs="Arial"/>
                <w:sz w:val="20"/>
                <w:lang w:eastAsia="en-IN"/>
              </w:rPr>
            </w:pPr>
          </w:p>
        </w:tc>
        <w:tc>
          <w:tcPr>
            <w:tcW w:w="1800" w:type="dxa"/>
            <w:tcBorders>
              <w:top w:val="nil"/>
              <w:left w:val="nil"/>
              <w:bottom w:val="nil"/>
              <w:right w:val="nil"/>
            </w:tcBorders>
            <w:shd w:val="clear" w:color="auto" w:fill="auto"/>
            <w:noWrap/>
            <w:vAlign w:val="bottom"/>
            <w:hideMark/>
          </w:tcPr>
          <w:p w14:paraId="3374F264" w14:textId="77777777" w:rsidR="007028C9" w:rsidRPr="00E70587" w:rsidRDefault="007028C9" w:rsidP="009901E1">
            <w:pPr>
              <w:spacing w:line="280" w:lineRule="exac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bottom"/>
            <w:hideMark/>
          </w:tcPr>
          <w:p w14:paraId="2883ACC3" w14:textId="77777777"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w:t>
            </w:r>
          </w:p>
        </w:tc>
      </w:tr>
      <w:tr w:rsidR="007028C9" w:rsidRPr="00E70587" w14:paraId="5CB042D9" w14:textId="77777777" w:rsidTr="00755532">
        <w:tc>
          <w:tcPr>
            <w:tcW w:w="9350" w:type="dxa"/>
            <w:gridSpan w:val="7"/>
            <w:tcBorders>
              <w:top w:val="nil"/>
              <w:left w:val="single" w:sz="8" w:space="0" w:color="auto"/>
              <w:bottom w:val="nil"/>
              <w:right w:val="nil"/>
            </w:tcBorders>
            <w:shd w:val="clear" w:color="auto" w:fill="auto"/>
            <w:noWrap/>
            <w:vAlign w:val="center"/>
            <w:hideMark/>
          </w:tcPr>
          <w:p w14:paraId="0FFE0BF5" w14:textId="77777777" w:rsidR="007028C9" w:rsidRPr="00E70587" w:rsidRDefault="007028C9" w:rsidP="009901E1">
            <w:pPr>
              <w:spacing w:line="280" w:lineRule="exact"/>
              <w:rPr>
                <w:rFonts w:ascii="Arial" w:hAnsi="Arial" w:cs="Arial"/>
                <w:b/>
                <w:bCs/>
                <w:sz w:val="20"/>
                <w:lang w:eastAsia="en-IN"/>
              </w:rPr>
            </w:pPr>
            <w:r w:rsidRPr="00E70587">
              <w:rPr>
                <w:rFonts w:ascii="Arial" w:hAnsi="Arial" w:cs="Arial"/>
                <w:b/>
                <w:bCs/>
                <w:sz w:val="20"/>
                <w:lang w:eastAsia="en-IN"/>
              </w:rPr>
              <w:t>Joint ventures (as per proportionate consolidation/investment as per the equity method)</w:t>
            </w:r>
          </w:p>
        </w:tc>
        <w:tc>
          <w:tcPr>
            <w:tcW w:w="2250" w:type="dxa"/>
            <w:tcBorders>
              <w:top w:val="nil"/>
              <w:left w:val="nil"/>
              <w:bottom w:val="nil"/>
              <w:right w:val="nil"/>
            </w:tcBorders>
            <w:shd w:val="clear" w:color="auto" w:fill="auto"/>
            <w:noWrap/>
            <w:vAlign w:val="bottom"/>
            <w:hideMark/>
          </w:tcPr>
          <w:p w14:paraId="201D6FED" w14:textId="77777777" w:rsidR="007028C9" w:rsidRPr="00E70587" w:rsidRDefault="007028C9" w:rsidP="009901E1">
            <w:pPr>
              <w:spacing w:line="280" w:lineRule="exact"/>
              <w:rPr>
                <w:rFonts w:ascii="Arial" w:hAnsi="Arial" w:cs="Arial"/>
                <w:sz w:val="20"/>
                <w:lang w:eastAsia="en-IN"/>
              </w:rPr>
            </w:pPr>
          </w:p>
        </w:tc>
        <w:tc>
          <w:tcPr>
            <w:tcW w:w="720" w:type="dxa"/>
            <w:tcBorders>
              <w:top w:val="nil"/>
              <w:left w:val="nil"/>
              <w:bottom w:val="nil"/>
              <w:right w:val="nil"/>
            </w:tcBorders>
            <w:shd w:val="clear" w:color="auto" w:fill="auto"/>
            <w:noWrap/>
            <w:vAlign w:val="bottom"/>
            <w:hideMark/>
          </w:tcPr>
          <w:p w14:paraId="245B9A3C" w14:textId="77777777" w:rsidR="007028C9" w:rsidRPr="00E70587" w:rsidRDefault="007028C9" w:rsidP="009901E1">
            <w:pPr>
              <w:spacing w:line="280" w:lineRule="exact"/>
              <w:rPr>
                <w:rFonts w:ascii="Arial" w:hAnsi="Arial" w:cs="Arial"/>
                <w:sz w:val="20"/>
                <w:lang w:eastAsia="en-IN"/>
              </w:rPr>
            </w:pPr>
          </w:p>
        </w:tc>
        <w:tc>
          <w:tcPr>
            <w:tcW w:w="1800" w:type="dxa"/>
            <w:tcBorders>
              <w:top w:val="nil"/>
              <w:left w:val="nil"/>
              <w:bottom w:val="nil"/>
              <w:right w:val="nil"/>
            </w:tcBorders>
            <w:shd w:val="clear" w:color="auto" w:fill="auto"/>
            <w:noWrap/>
            <w:vAlign w:val="bottom"/>
            <w:hideMark/>
          </w:tcPr>
          <w:p w14:paraId="6938C00B" w14:textId="77777777" w:rsidR="007028C9" w:rsidRPr="00E70587" w:rsidRDefault="007028C9" w:rsidP="009901E1">
            <w:pPr>
              <w:spacing w:line="280" w:lineRule="exac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bottom"/>
            <w:hideMark/>
          </w:tcPr>
          <w:p w14:paraId="412C5471" w14:textId="77777777"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w:t>
            </w:r>
          </w:p>
        </w:tc>
      </w:tr>
      <w:tr w:rsidR="007028C9" w:rsidRPr="00E70587" w14:paraId="40C77197" w14:textId="77777777" w:rsidTr="00755532">
        <w:tc>
          <w:tcPr>
            <w:tcW w:w="918" w:type="dxa"/>
            <w:tcBorders>
              <w:top w:val="nil"/>
              <w:left w:val="single" w:sz="8" w:space="0" w:color="auto"/>
              <w:bottom w:val="nil"/>
              <w:right w:val="nil"/>
            </w:tcBorders>
            <w:shd w:val="clear" w:color="auto" w:fill="auto"/>
            <w:noWrap/>
            <w:vAlign w:val="center"/>
            <w:hideMark/>
          </w:tcPr>
          <w:p w14:paraId="710169D4" w14:textId="77777777" w:rsidR="007028C9" w:rsidRPr="00E70587" w:rsidRDefault="007028C9" w:rsidP="009901E1">
            <w:pPr>
              <w:spacing w:line="280" w:lineRule="exact"/>
              <w:rPr>
                <w:rFonts w:ascii="Arial" w:hAnsi="Arial" w:cs="Arial"/>
                <w:b/>
                <w:bCs/>
                <w:sz w:val="20"/>
                <w:lang w:eastAsia="en-IN"/>
              </w:rPr>
            </w:pPr>
            <w:r w:rsidRPr="00E70587">
              <w:rPr>
                <w:rFonts w:ascii="Arial" w:hAnsi="Arial" w:cs="Arial"/>
                <w:b/>
                <w:bCs/>
                <w:sz w:val="20"/>
                <w:lang w:eastAsia="en-IN"/>
              </w:rPr>
              <w:t>Indian</w:t>
            </w:r>
          </w:p>
        </w:tc>
        <w:tc>
          <w:tcPr>
            <w:tcW w:w="2936" w:type="dxa"/>
            <w:gridSpan w:val="2"/>
            <w:tcBorders>
              <w:top w:val="nil"/>
              <w:left w:val="nil"/>
              <w:bottom w:val="nil"/>
              <w:right w:val="nil"/>
            </w:tcBorders>
            <w:shd w:val="clear" w:color="auto" w:fill="auto"/>
            <w:noWrap/>
            <w:vAlign w:val="bottom"/>
            <w:hideMark/>
          </w:tcPr>
          <w:p w14:paraId="5E45D28A" w14:textId="77777777" w:rsidR="007028C9" w:rsidRPr="00E70587" w:rsidRDefault="007028C9" w:rsidP="009901E1">
            <w:pPr>
              <w:spacing w:line="280" w:lineRule="exact"/>
              <w:rPr>
                <w:rFonts w:ascii="Arial" w:hAnsi="Arial" w:cs="Arial"/>
                <w:sz w:val="20"/>
                <w:lang w:eastAsia="en-IN"/>
              </w:rPr>
            </w:pPr>
          </w:p>
        </w:tc>
        <w:tc>
          <w:tcPr>
            <w:tcW w:w="1626" w:type="dxa"/>
            <w:tcBorders>
              <w:top w:val="nil"/>
              <w:left w:val="nil"/>
              <w:bottom w:val="nil"/>
              <w:right w:val="nil"/>
            </w:tcBorders>
            <w:shd w:val="clear" w:color="auto" w:fill="auto"/>
            <w:noWrap/>
            <w:vAlign w:val="bottom"/>
            <w:hideMark/>
          </w:tcPr>
          <w:p w14:paraId="37AAE0F5" w14:textId="77777777" w:rsidR="007028C9" w:rsidRPr="00E70587" w:rsidRDefault="007028C9" w:rsidP="009901E1">
            <w:pPr>
              <w:spacing w:line="280" w:lineRule="exact"/>
              <w:rPr>
                <w:rFonts w:ascii="Arial" w:hAnsi="Arial" w:cs="Arial"/>
                <w:sz w:val="20"/>
                <w:lang w:eastAsia="en-IN"/>
              </w:rPr>
            </w:pPr>
          </w:p>
        </w:tc>
        <w:tc>
          <w:tcPr>
            <w:tcW w:w="1260" w:type="dxa"/>
            <w:tcBorders>
              <w:top w:val="nil"/>
              <w:left w:val="nil"/>
              <w:bottom w:val="nil"/>
              <w:right w:val="nil"/>
            </w:tcBorders>
            <w:shd w:val="clear" w:color="auto" w:fill="auto"/>
            <w:noWrap/>
            <w:vAlign w:val="bottom"/>
            <w:hideMark/>
          </w:tcPr>
          <w:p w14:paraId="3184F544" w14:textId="77777777" w:rsidR="007028C9" w:rsidRPr="00E70587" w:rsidRDefault="007028C9" w:rsidP="009901E1">
            <w:pPr>
              <w:spacing w:line="280" w:lineRule="exact"/>
              <w:rPr>
                <w:rFonts w:ascii="Arial" w:hAnsi="Arial" w:cs="Arial"/>
                <w:sz w:val="20"/>
                <w:lang w:eastAsia="en-IN"/>
              </w:rPr>
            </w:pPr>
          </w:p>
        </w:tc>
        <w:tc>
          <w:tcPr>
            <w:tcW w:w="1710" w:type="dxa"/>
            <w:tcBorders>
              <w:top w:val="nil"/>
              <w:left w:val="nil"/>
              <w:bottom w:val="nil"/>
              <w:right w:val="nil"/>
            </w:tcBorders>
            <w:shd w:val="clear" w:color="auto" w:fill="auto"/>
            <w:noWrap/>
            <w:vAlign w:val="bottom"/>
            <w:hideMark/>
          </w:tcPr>
          <w:p w14:paraId="54C1F882" w14:textId="77777777" w:rsidR="007028C9" w:rsidRPr="00E70587" w:rsidRDefault="007028C9" w:rsidP="009901E1">
            <w:pPr>
              <w:spacing w:line="280" w:lineRule="exact"/>
              <w:rPr>
                <w:rFonts w:ascii="Arial" w:hAnsi="Arial" w:cs="Arial"/>
                <w:sz w:val="20"/>
                <w:lang w:eastAsia="en-IN"/>
              </w:rPr>
            </w:pPr>
          </w:p>
        </w:tc>
        <w:tc>
          <w:tcPr>
            <w:tcW w:w="900" w:type="dxa"/>
            <w:tcBorders>
              <w:top w:val="nil"/>
              <w:left w:val="nil"/>
              <w:bottom w:val="nil"/>
              <w:right w:val="nil"/>
            </w:tcBorders>
            <w:shd w:val="clear" w:color="auto" w:fill="auto"/>
            <w:noWrap/>
            <w:vAlign w:val="bottom"/>
            <w:hideMark/>
          </w:tcPr>
          <w:p w14:paraId="30678605" w14:textId="77777777" w:rsidR="007028C9" w:rsidRPr="00E70587" w:rsidRDefault="007028C9" w:rsidP="009901E1">
            <w:pPr>
              <w:spacing w:line="280" w:lineRule="exact"/>
              <w:rPr>
                <w:rFonts w:ascii="Arial" w:hAnsi="Arial" w:cs="Arial"/>
                <w:sz w:val="20"/>
                <w:lang w:eastAsia="en-IN"/>
              </w:rPr>
            </w:pPr>
          </w:p>
        </w:tc>
        <w:tc>
          <w:tcPr>
            <w:tcW w:w="2250" w:type="dxa"/>
            <w:tcBorders>
              <w:top w:val="nil"/>
              <w:left w:val="nil"/>
              <w:bottom w:val="nil"/>
              <w:right w:val="nil"/>
            </w:tcBorders>
            <w:shd w:val="clear" w:color="auto" w:fill="auto"/>
            <w:noWrap/>
            <w:vAlign w:val="bottom"/>
            <w:hideMark/>
          </w:tcPr>
          <w:p w14:paraId="0E8D2BC9" w14:textId="77777777" w:rsidR="007028C9" w:rsidRPr="00E70587" w:rsidRDefault="007028C9" w:rsidP="009901E1">
            <w:pPr>
              <w:spacing w:line="280" w:lineRule="exact"/>
              <w:rPr>
                <w:rFonts w:ascii="Arial" w:hAnsi="Arial" w:cs="Arial"/>
                <w:sz w:val="20"/>
                <w:lang w:eastAsia="en-IN"/>
              </w:rPr>
            </w:pPr>
          </w:p>
        </w:tc>
        <w:tc>
          <w:tcPr>
            <w:tcW w:w="720" w:type="dxa"/>
            <w:tcBorders>
              <w:top w:val="nil"/>
              <w:left w:val="nil"/>
              <w:bottom w:val="nil"/>
              <w:right w:val="nil"/>
            </w:tcBorders>
            <w:shd w:val="clear" w:color="auto" w:fill="auto"/>
            <w:noWrap/>
            <w:vAlign w:val="bottom"/>
            <w:hideMark/>
          </w:tcPr>
          <w:p w14:paraId="58D579D0" w14:textId="77777777" w:rsidR="007028C9" w:rsidRPr="00E70587" w:rsidRDefault="007028C9" w:rsidP="009901E1">
            <w:pPr>
              <w:spacing w:line="280" w:lineRule="exact"/>
              <w:rPr>
                <w:rFonts w:ascii="Arial" w:hAnsi="Arial" w:cs="Arial"/>
                <w:sz w:val="20"/>
                <w:lang w:eastAsia="en-IN"/>
              </w:rPr>
            </w:pPr>
          </w:p>
        </w:tc>
        <w:tc>
          <w:tcPr>
            <w:tcW w:w="1800" w:type="dxa"/>
            <w:tcBorders>
              <w:top w:val="nil"/>
              <w:left w:val="nil"/>
              <w:bottom w:val="nil"/>
              <w:right w:val="nil"/>
            </w:tcBorders>
            <w:shd w:val="clear" w:color="auto" w:fill="auto"/>
            <w:noWrap/>
            <w:vAlign w:val="bottom"/>
            <w:hideMark/>
          </w:tcPr>
          <w:p w14:paraId="10AEF875" w14:textId="77777777" w:rsidR="007028C9" w:rsidRPr="00E70587" w:rsidRDefault="007028C9" w:rsidP="009901E1">
            <w:pPr>
              <w:spacing w:line="280" w:lineRule="exac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bottom"/>
            <w:hideMark/>
          </w:tcPr>
          <w:p w14:paraId="237E5674" w14:textId="77777777"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w:t>
            </w:r>
          </w:p>
        </w:tc>
      </w:tr>
      <w:tr w:rsidR="007028C9" w:rsidRPr="00E70587" w14:paraId="6453D218" w14:textId="77777777" w:rsidTr="00755532">
        <w:tc>
          <w:tcPr>
            <w:tcW w:w="918" w:type="dxa"/>
            <w:tcBorders>
              <w:top w:val="nil"/>
              <w:left w:val="single" w:sz="8" w:space="0" w:color="auto"/>
              <w:bottom w:val="nil"/>
              <w:right w:val="nil"/>
            </w:tcBorders>
            <w:shd w:val="clear" w:color="auto" w:fill="auto"/>
            <w:noWrap/>
            <w:vAlign w:val="center"/>
            <w:hideMark/>
          </w:tcPr>
          <w:p w14:paraId="3E5D7257"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lang w:eastAsia="en-IN"/>
              </w:rPr>
              <w:t>1</w:t>
            </w:r>
          </w:p>
        </w:tc>
        <w:tc>
          <w:tcPr>
            <w:tcW w:w="2936" w:type="dxa"/>
            <w:gridSpan w:val="2"/>
            <w:tcBorders>
              <w:top w:val="nil"/>
              <w:left w:val="nil"/>
              <w:bottom w:val="nil"/>
              <w:right w:val="nil"/>
            </w:tcBorders>
            <w:shd w:val="clear" w:color="auto" w:fill="auto"/>
            <w:noWrap/>
            <w:vAlign w:val="center"/>
            <w:hideMark/>
          </w:tcPr>
          <w:p w14:paraId="21F84E32" w14:textId="77777777"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S Limited</w:t>
            </w:r>
          </w:p>
        </w:tc>
        <w:tc>
          <w:tcPr>
            <w:tcW w:w="1626" w:type="dxa"/>
            <w:tcBorders>
              <w:top w:val="nil"/>
              <w:left w:val="nil"/>
              <w:bottom w:val="nil"/>
              <w:right w:val="nil"/>
            </w:tcBorders>
            <w:shd w:val="clear" w:color="auto" w:fill="auto"/>
            <w:noWrap/>
            <w:vAlign w:val="bottom"/>
            <w:hideMark/>
          </w:tcPr>
          <w:p w14:paraId="4DDC9ECB" w14:textId="77777777" w:rsidR="007028C9" w:rsidRPr="00E70587" w:rsidRDefault="007028C9" w:rsidP="009901E1">
            <w:pPr>
              <w:spacing w:line="280" w:lineRule="exact"/>
              <w:rPr>
                <w:rFonts w:ascii="Arial" w:hAnsi="Arial" w:cs="Arial"/>
                <w:sz w:val="20"/>
                <w:lang w:eastAsia="en-IN"/>
              </w:rPr>
            </w:pPr>
          </w:p>
        </w:tc>
        <w:tc>
          <w:tcPr>
            <w:tcW w:w="1260" w:type="dxa"/>
            <w:tcBorders>
              <w:top w:val="nil"/>
              <w:left w:val="nil"/>
              <w:bottom w:val="nil"/>
              <w:right w:val="nil"/>
            </w:tcBorders>
            <w:shd w:val="clear" w:color="auto" w:fill="auto"/>
            <w:noWrap/>
            <w:vAlign w:val="bottom"/>
            <w:hideMark/>
          </w:tcPr>
          <w:p w14:paraId="23C4A84A" w14:textId="77777777" w:rsidR="007028C9" w:rsidRPr="00E70587" w:rsidRDefault="007028C9" w:rsidP="009901E1">
            <w:pPr>
              <w:spacing w:line="280" w:lineRule="exact"/>
              <w:rPr>
                <w:rFonts w:ascii="Arial" w:hAnsi="Arial" w:cs="Arial"/>
                <w:sz w:val="20"/>
                <w:lang w:eastAsia="en-IN"/>
              </w:rPr>
            </w:pPr>
          </w:p>
        </w:tc>
        <w:tc>
          <w:tcPr>
            <w:tcW w:w="1710" w:type="dxa"/>
            <w:tcBorders>
              <w:top w:val="nil"/>
              <w:left w:val="nil"/>
              <w:bottom w:val="nil"/>
              <w:right w:val="nil"/>
            </w:tcBorders>
            <w:shd w:val="clear" w:color="auto" w:fill="auto"/>
            <w:noWrap/>
            <w:vAlign w:val="bottom"/>
            <w:hideMark/>
          </w:tcPr>
          <w:p w14:paraId="4A78F0DB" w14:textId="77777777" w:rsidR="007028C9" w:rsidRPr="00E70587" w:rsidRDefault="007028C9" w:rsidP="009901E1">
            <w:pPr>
              <w:spacing w:line="280" w:lineRule="exact"/>
              <w:rPr>
                <w:rFonts w:ascii="Arial" w:hAnsi="Arial" w:cs="Arial"/>
                <w:sz w:val="20"/>
                <w:lang w:eastAsia="en-IN"/>
              </w:rPr>
            </w:pPr>
          </w:p>
        </w:tc>
        <w:tc>
          <w:tcPr>
            <w:tcW w:w="900" w:type="dxa"/>
            <w:tcBorders>
              <w:top w:val="nil"/>
              <w:left w:val="nil"/>
              <w:bottom w:val="nil"/>
              <w:right w:val="nil"/>
            </w:tcBorders>
            <w:shd w:val="clear" w:color="auto" w:fill="auto"/>
            <w:noWrap/>
            <w:vAlign w:val="bottom"/>
            <w:hideMark/>
          </w:tcPr>
          <w:p w14:paraId="1CBCD076" w14:textId="77777777" w:rsidR="007028C9" w:rsidRPr="00E70587" w:rsidRDefault="007028C9" w:rsidP="009901E1">
            <w:pPr>
              <w:spacing w:line="280" w:lineRule="exact"/>
              <w:rPr>
                <w:rFonts w:ascii="Arial" w:hAnsi="Arial" w:cs="Arial"/>
                <w:sz w:val="20"/>
                <w:lang w:eastAsia="en-IN"/>
              </w:rPr>
            </w:pPr>
          </w:p>
        </w:tc>
        <w:tc>
          <w:tcPr>
            <w:tcW w:w="2250" w:type="dxa"/>
            <w:tcBorders>
              <w:top w:val="nil"/>
              <w:left w:val="nil"/>
              <w:bottom w:val="nil"/>
              <w:right w:val="nil"/>
            </w:tcBorders>
            <w:shd w:val="clear" w:color="auto" w:fill="auto"/>
            <w:noWrap/>
            <w:vAlign w:val="bottom"/>
            <w:hideMark/>
          </w:tcPr>
          <w:p w14:paraId="1295FC9C" w14:textId="77777777" w:rsidR="007028C9" w:rsidRPr="00E70587" w:rsidRDefault="007028C9" w:rsidP="009901E1">
            <w:pPr>
              <w:spacing w:line="280" w:lineRule="exact"/>
              <w:rPr>
                <w:rFonts w:ascii="Arial" w:hAnsi="Arial" w:cs="Arial"/>
                <w:sz w:val="20"/>
                <w:lang w:eastAsia="en-IN"/>
              </w:rPr>
            </w:pPr>
          </w:p>
        </w:tc>
        <w:tc>
          <w:tcPr>
            <w:tcW w:w="720" w:type="dxa"/>
            <w:tcBorders>
              <w:top w:val="nil"/>
              <w:left w:val="nil"/>
              <w:bottom w:val="nil"/>
              <w:right w:val="nil"/>
            </w:tcBorders>
            <w:shd w:val="clear" w:color="auto" w:fill="auto"/>
            <w:noWrap/>
            <w:vAlign w:val="bottom"/>
            <w:hideMark/>
          </w:tcPr>
          <w:p w14:paraId="1F08B9ED" w14:textId="77777777" w:rsidR="007028C9" w:rsidRPr="00E70587" w:rsidRDefault="007028C9" w:rsidP="009901E1">
            <w:pPr>
              <w:spacing w:line="280" w:lineRule="exact"/>
              <w:rPr>
                <w:rFonts w:ascii="Arial" w:hAnsi="Arial" w:cs="Arial"/>
                <w:sz w:val="20"/>
                <w:lang w:eastAsia="en-IN"/>
              </w:rPr>
            </w:pPr>
          </w:p>
        </w:tc>
        <w:tc>
          <w:tcPr>
            <w:tcW w:w="1800" w:type="dxa"/>
            <w:tcBorders>
              <w:top w:val="nil"/>
              <w:left w:val="nil"/>
              <w:bottom w:val="nil"/>
              <w:right w:val="nil"/>
            </w:tcBorders>
            <w:shd w:val="clear" w:color="auto" w:fill="auto"/>
            <w:noWrap/>
            <w:vAlign w:val="bottom"/>
            <w:hideMark/>
          </w:tcPr>
          <w:p w14:paraId="2CD176FD" w14:textId="77777777" w:rsidR="007028C9" w:rsidRPr="00E70587" w:rsidRDefault="007028C9" w:rsidP="009901E1">
            <w:pPr>
              <w:spacing w:line="280" w:lineRule="exact"/>
              <w:rPr>
                <w:rFonts w:ascii="Arial" w:hAnsi="Arial" w:cs="Arial"/>
                <w:sz w:val="20"/>
                <w:lang w:eastAsia="en-IN"/>
              </w:rPr>
            </w:pPr>
          </w:p>
        </w:tc>
        <w:tc>
          <w:tcPr>
            <w:tcW w:w="990" w:type="dxa"/>
            <w:tcBorders>
              <w:top w:val="nil"/>
              <w:left w:val="nil"/>
              <w:bottom w:val="nil"/>
              <w:right w:val="single" w:sz="8" w:space="0" w:color="auto"/>
            </w:tcBorders>
            <w:shd w:val="clear" w:color="auto" w:fill="auto"/>
            <w:noWrap/>
            <w:vAlign w:val="bottom"/>
            <w:hideMark/>
          </w:tcPr>
          <w:p w14:paraId="7ACEA318" w14:textId="77777777"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w:t>
            </w:r>
          </w:p>
        </w:tc>
      </w:tr>
      <w:tr w:rsidR="007028C9" w:rsidRPr="00E70587" w14:paraId="4AF5C620" w14:textId="77777777" w:rsidTr="00755532">
        <w:tc>
          <w:tcPr>
            <w:tcW w:w="918" w:type="dxa"/>
            <w:tcBorders>
              <w:top w:val="nil"/>
              <w:left w:val="single" w:sz="8" w:space="0" w:color="auto"/>
              <w:bottom w:val="nil"/>
              <w:right w:val="nil"/>
            </w:tcBorders>
            <w:shd w:val="clear" w:color="auto" w:fill="auto"/>
            <w:noWrap/>
            <w:vAlign w:val="center"/>
            <w:hideMark/>
          </w:tcPr>
          <w:p w14:paraId="7EAFBEA7"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36" w:type="dxa"/>
            <w:gridSpan w:val="2"/>
            <w:tcBorders>
              <w:top w:val="nil"/>
              <w:left w:val="nil"/>
              <w:bottom w:val="nil"/>
              <w:right w:val="nil"/>
            </w:tcBorders>
            <w:shd w:val="clear" w:color="auto" w:fill="auto"/>
            <w:noWrap/>
            <w:vAlign w:val="center"/>
            <w:hideMark/>
          </w:tcPr>
          <w:p w14:paraId="37320800" w14:textId="1F421103"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10492C"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21</w:t>
            </w:r>
          </w:p>
        </w:tc>
        <w:tc>
          <w:tcPr>
            <w:tcW w:w="1626" w:type="dxa"/>
            <w:tcBorders>
              <w:top w:val="nil"/>
              <w:left w:val="nil"/>
              <w:bottom w:val="nil"/>
              <w:right w:val="nil"/>
            </w:tcBorders>
            <w:shd w:val="clear" w:color="auto" w:fill="auto"/>
            <w:noWrap/>
            <w:hideMark/>
          </w:tcPr>
          <w:p w14:paraId="1569C13E"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4%</w:t>
            </w:r>
          </w:p>
        </w:tc>
        <w:tc>
          <w:tcPr>
            <w:tcW w:w="1260" w:type="dxa"/>
            <w:tcBorders>
              <w:top w:val="nil"/>
              <w:left w:val="nil"/>
              <w:bottom w:val="nil"/>
              <w:right w:val="nil"/>
            </w:tcBorders>
            <w:shd w:val="clear" w:color="auto" w:fill="auto"/>
            <w:noWrap/>
            <w:hideMark/>
          </w:tcPr>
          <w:p w14:paraId="152727D1" w14:textId="44935BBC"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4,</w:t>
            </w:r>
            <w:r w:rsidR="0086569B" w:rsidRPr="00E70587">
              <w:rPr>
                <w:rFonts w:ascii="Arial" w:hAnsi="Arial" w:cs="Arial"/>
                <w:sz w:val="20"/>
              </w:rPr>
              <w:t>36</w:t>
            </w:r>
            <w:r w:rsidR="0086569B">
              <w:rPr>
                <w:rFonts w:ascii="Arial" w:hAnsi="Arial" w:cs="Arial"/>
                <w:sz w:val="20"/>
              </w:rPr>
              <w:t>2</w:t>
            </w:r>
            <w:r w:rsidR="0086569B" w:rsidRPr="00E70587">
              <w:rPr>
                <w:rFonts w:ascii="Arial" w:hAnsi="Arial" w:cs="Arial"/>
                <w:sz w:val="20"/>
              </w:rPr>
              <w:t xml:space="preserve"> </w:t>
            </w:r>
          </w:p>
        </w:tc>
        <w:tc>
          <w:tcPr>
            <w:tcW w:w="1710" w:type="dxa"/>
            <w:tcBorders>
              <w:top w:val="nil"/>
              <w:left w:val="nil"/>
              <w:bottom w:val="nil"/>
              <w:right w:val="nil"/>
            </w:tcBorders>
            <w:shd w:val="clear" w:color="auto" w:fill="auto"/>
            <w:noWrap/>
            <w:hideMark/>
          </w:tcPr>
          <w:p w14:paraId="1A2F2A8F"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7%</w:t>
            </w:r>
          </w:p>
        </w:tc>
        <w:tc>
          <w:tcPr>
            <w:tcW w:w="900" w:type="dxa"/>
            <w:tcBorders>
              <w:top w:val="nil"/>
              <w:left w:val="nil"/>
              <w:bottom w:val="nil"/>
              <w:right w:val="nil"/>
            </w:tcBorders>
            <w:shd w:val="clear" w:color="auto" w:fill="auto"/>
            <w:noWrap/>
            <w:hideMark/>
          </w:tcPr>
          <w:p w14:paraId="1E807B2E" w14:textId="64330540"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1,</w:t>
            </w:r>
            <w:r w:rsidR="004A4309" w:rsidRPr="00E70587">
              <w:rPr>
                <w:rFonts w:ascii="Arial" w:hAnsi="Arial" w:cs="Arial"/>
                <w:sz w:val="20"/>
              </w:rPr>
              <w:t>05</w:t>
            </w:r>
            <w:r w:rsidR="004A4309">
              <w:rPr>
                <w:rFonts w:ascii="Arial" w:hAnsi="Arial" w:cs="Arial"/>
                <w:sz w:val="20"/>
              </w:rPr>
              <w:t>9</w:t>
            </w:r>
            <w:r w:rsidR="004A4309" w:rsidRPr="00E70587">
              <w:rPr>
                <w:rFonts w:ascii="Arial" w:hAnsi="Arial" w:cs="Arial"/>
                <w:sz w:val="20"/>
              </w:rPr>
              <w:t xml:space="preserve"> </w:t>
            </w:r>
          </w:p>
        </w:tc>
        <w:tc>
          <w:tcPr>
            <w:tcW w:w="2250" w:type="dxa"/>
            <w:tcBorders>
              <w:top w:val="nil"/>
              <w:left w:val="nil"/>
              <w:bottom w:val="nil"/>
              <w:right w:val="nil"/>
            </w:tcBorders>
            <w:shd w:val="clear" w:color="auto" w:fill="auto"/>
            <w:noWrap/>
            <w:hideMark/>
          </w:tcPr>
          <w:p w14:paraId="42025546"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6E8E35CB"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 </w:t>
            </w:r>
          </w:p>
        </w:tc>
        <w:tc>
          <w:tcPr>
            <w:tcW w:w="1800" w:type="dxa"/>
            <w:tcBorders>
              <w:top w:val="nil"/>
              <w:left w:val="nil"/>
              <w:bottom w:val="nil"/>
              <w:right w:val="nil"/>
            </w:tcBorders>
            <w:shd w:val="clear" w:color="auto" w:fill="auto"/>
            <w:noWrap/>
            <w:hideMark/>
          </w:tcPr>
          <w:p w14:paraId="60B2A501"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7%</w:t>
            </w:r>
          </w:p>
        </w:tc>
        <w:tc>
          <w:tcPr>
            <w:tcW w:w="990" w:type="dxa"/>
            <w:tcBorders>
              <w:top w:val="nil"/>
              <w:left w:val="nil"/>
              <w:bottom w:val="nil"/>
              <w:right w:val="single" w:sz="8" w:space="0" w:color="auto"/>
            </w:tcBorders>
            <w:shd w:val="clear" w:color="auto" w:fill="auto"/>
            <w:noWrap/>
            <w:hideMark/>
          </w:tcPr>
          <w:p w14:paraId="407105BC" w14:textId="145D4CCF"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1,</w:t>
            </w:r>
            <w:r w:rsidR="00063B95" w:rsidRPr="00E70587">
              <w:rPr>
                <w:rFonts w:ascii="Arial" w:hAnsi="Arial" w:cs="Arial"/>
                <w:sz w:val="20"/>
              </w:rPr>
              <w:t>05</w:t>
            </w:r>
            <w:r w:rsidR="00063B95">
              <w:rPr>
                <w:rFonts w:ascii="Arial" w:hAnsi="Arial" w:cs="Arial"/>
                <w:sz w:val="20"/>
              </w:rPr>
              <w:t>9</w:t>
            </w:r>
            <w:r w:rsidR="00063B95" w:rsidRPr="00E70587">
              <w:rPr>
                <w:rFonts w:ascii="Arial" w:hAnsi="Arial" w:cs="Arial"/>
                <w:sz w:val="20"/>
              </w:rPr>
              <w:t xml:space="preserve"> </w:t>
            </w:r>
          </w:p>
        </w:tc>
      </w:tr>
      <w:tr w:rsidR="007028C9" w:rsidRPr="00E70587" w14:paraId="66695942" w14:textId="77777777" w:rsidTr="00755532">
        <w:tc>
          <w:tcPr>
            <w:tcW w:w="918" w:type="dxa"/>
            <w:tcBorders>
              <w:top w:val="nil"/>
              <w:left w:val="single" w:sz="8" w:space="0" w:color="auto"/>
              <w:bottom w:val="nil"/>
              <w:right w:val="nil"/>
            </w:tcBorders>
            <w:shd w:val="clear" w:color="auto" w:fill="auto"/>
            <w:noWrap/>
            <w:vAlign w:val="center"/>
            <w:hideMark/>
          </w:tcPr>
          <w:p w14:paraId="51BEA8BE" w14:textId="77777777" w:rsidR="007028C9" w:rsidRPr="00E70587" w:rsidRDefault="007028C9" w:rsidP="009901E1">
            <w:pPr>
              <w:spacing w:line="280" w:lineRule="exact"/>
              <w:jc w:val="right"/>
              <w:rPr>
                <w:rFonts w:ascii="Arial" w:hAnsi="Arial" w:cs="Arial"/>
                <w:sz w:val="20"/>
                <w:lang w:eastAsia="en-IN"/>
              </w:rPr>
            </w:pPr>
            <w:r w:rsidRPr="00E70587">
              <w:rPr>
                <w:rFonts w:ascii="Arial" w:hAnsi="Arial" w:cs="Arial"/>
                <w:sz w:val="20"/>
                <w:lang w:eastAsia="en-IN"/>
              </w:rPr>
              <w:t> </w:t>
            </w:r>
          </w:p>
        </w:tc>
        <w:tc>
          <w:tcPr>
            <w:tcW w:w="2936" w:type="dxa"/>
            <w:gridSpan w:val="2"/>
            <w:tcBorders>
              <w:top w:val="nil"/>
              <w:left w:val="nil"/>
              <w:bottom w:val="nil"/>
              <w:right w:val="nil"/>
            </w:tcBorders>
            <w:shd w:val="clear" w:color="auto" w:fill="auto"/>
            <w:noWrap/>
            <w:vAlign w:val="center"/>
            <w:hideMark/>
          </w:tcPr>
          <w:p w14:paraId="1A5C692D" w14:textId="5A584B88"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8B730E"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20</w:t>
            </w:r>
          </w:p>
        </w:tc>
        <w:tc>
          <w:tcPr>
            <w:tcW w:w="1626" w:type="dxa"/>
            <w:tcBorders>
              <w:top w:val="nil"/>
              <w:left w:val="nil"/>
              <w:bottom w:val="nil"/>
              <w:right w:val="nil"/>
            </w:tcBorders>
            <w:shd w:val="clear" w:color="auto" w:fill="auto"/>
            <w:noWrap/>
            <w:hideMark/>
          </w:tcPr>
          <w:p w14:paraId="663BA941"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4%</w:t>
            </w:r>
          </w:p>
        </w:tc>
        <w:tc>
          <w:tcPr>
            <w:tcW w:w="1260" w:type="dxa"/>
            <w:tcBorders>
              <w:top w:val="nil"/>
              <w:left w:val="nil"/>
              <w:bottom w:val="nil"/>
              <w:right w:val="nil"/>
            </w:tcBorders>
            <w:shd w:val="clear" w:color="auto" w:fill="auto"/>
            <w:noWrap/>
            <w:hideMark/>
          </w:tcPr>
          <w:p w14:paraId="19D90E83"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3,303 </w:t>
            </w:r>
          </w:p>
        </w:tc>
        <w:tc>
          <w:tcPr>
            <w:tcW w:w="1710" w:type="dxa"/>
            <w:tcBorders>
              <w:top w:val="nil"/>
              <w:left w:val="nil"/>
              <w:bottom w:val="nil"/>
              <w:right w:val="nil"/>
            </w:tcBorders>
            <w:shd w:val="clear" w:color="auto" w:fill="auto"/>
            <w:noWrap/>
            <w:hideMark/>
          </w:tcPr>
          <w:p w14:paraId="370E80A5" w14:textId="0856924D" w:rsidR="007028C9" w:rsidRPr="00E70587" w:rsidRDefault="003925B6" w:rsidP="0022129E">
            <w:pPr>
              <w:spacing w:line="280" w:lineRule="exact"/>
              <w:jc w:val="right"/>
              <w:rPr>
                <w:rFonts w:ascii="Arial" w:hAnsi="Arial" w:cs="Arial"/>
                <w:sz w:val="20"/>
                <w:lang w:eastAsia="en-IN"/>
              </w:rPr>
            </w:pPr>
            <w:r>
              <w:rPr>
                <w:rFonts w:ascii="Arial" w:hAnsi="Arial" w:cs="Arial"/>
                <w:sz w:val="20"/>
              </w:rPr>
              <w:t>10</w:t>
            </w:r>
            <w:r w:rsidR="007028C9" w:rsidRPr="00E70587">
              <w:rPr>
                <w:rFonts w:ascii="Arial" w:hAnsi="Arial" w:cs="Arial"/>
                <w:sz w:val="20"/>
              </w:rPr>
              <w:t>%</w:t>
            </w:r>
          </w:p>
        </w:tc>
        <w:tc>
          <w:tcPr>
            <w:tcW w:w="900" w:type="dxa"/>
            <w:tcBorders>
              <w:top w:val="nil"/>
              <w:left w:val="nil"/>
              <w:bottom w:val="nil"/>
              <w:right w:val="nil"/>
            </w:tcBorders>
            <w:shd w:val="clear" w:color="auto" w:fill="auto"/>
            <w:noWrap/>
            <w:hideMark/>
          </w:tcPr>
          <w:p w14:paraId="426A179A"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1,003 </w:t>
            </w:r>
          </w:p>
        </w:tc>
        <w:tc>
          <w:tcPr>
            <w:tcW w:w="2250" w:type="dxa"/>
            <w:tcBorders>
              <w:top w:val="nil"/>
              <w:left w:val="nil"/>
              <w:bottom w:val="nil"/>
              <w:right w:val="nil"/>
            </w:tcBorders>
            <w:shd w:val="clear" w:color="auto" w:fill="auto"/>
            <w:noWrap/>
            <w:hideMark/>
          </w:tcPr>
          <w:p w14:paraId="7B184ABB"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0%</w:t>
            </w:r>
          </w:p>
        </w:tc>
        <w:tc>
          <w:tcPr>
            <w:tcW w:w="720" w:type="dxa"/>
            <w:tcBorders>
              <w:top w:val="nil"/>
              <w:left w:val="nil"/>
              <w:bottom w:val="nil"/>
              <w:right w:val="nil"/>
            </w:tcBorders>
            <w:shd w:val="clear" w:color="auto" w:fill="auto"/>
            <w:noWrap/>
            <w:hideMark/>
          </w:tcPr>
          <w:p w14:paraId="6DF7D554"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 </w:t>
            </w:r>
          </w:p>
        </w:tc>
        <w:tc>
          <w:tcPr>
            <w:tcW w:w="1800" w:type="dxa"/>
            <w:tcBorders>
              <w:top w:val="nil"/>
              <w:left w:val="nil"/>
              <w:bottom w:val="nil"/>
              <w:right w:val="nil"/>
            </w:tcBorders>
            <w:shd w:val="clear" w:color="auto" w:fill="auto"/>
            <w:noWrap/>
            <w:hideMark/>
          </w:tcPr>
          <w:p w14:paraId="57BFD8D9" w14:textId="7C374B0B" w:rsidR="007028C9" w:rsidRPr="00E70587" w:rsidRDefault="004357E3" w:rsidP="0022129E">
            <w:pPr>
              <w:spacing w:line="280" w:lineRule="exact"/>
              <w:jc w:val="right"/>
              <w:rPr>
                <w:rFonts w:ascii="Arial" w:hAnsi="Arial" w:cs="Arial"/>
                <w:sz w:val="20"/>
                <w:lang w:eastAsia="en-IN"/>
              </w:rPr>
            </w:pPr>
            <w:r>
              <w:rPr>
                <w:rFonts w:ascii="Arial" w:hAnsi="Arial" w:cs="Arial"/>
                <w:sz w:val="20"/>
              </w:rPr>
              <w:t>10</w:t>
            </w:r>
            <w:r w:rsidR="007028C9" w:rsidRPr="00E70587">
              <w:rPr>
                <w:rFonts w:ascii="Arial" w:hAnsi="Arial" w:cs="Arial"/>
                <w:sz w:val="20"/>
              </w:rPr>
              <w:t>%</w:t>
            </w:r>
          </w:p>
        </w:tc>
        <w:tc>
          <w:tcPr>
            <w:tcW w:w="990" w:type="dxa"/>
            <w:tcBorders>
              <w:top w:val="nil"/>
              <w:left w:val="nil"/>
              <w:bottom w:val="nil"/>
              <w:right w:val="single" w:sz="8" w:space="0" w:color="auto"/>
            </w:tcBorders>
            <w:shd w:val="clear" w:color="auto" w:fill="auto"/>
            <w:noWrap/>
            <w:hideMark/>
          </w:tcPr>
          <w:p w14:paraId="75EED4DF"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1,003 </w:t>
            </w:r>
          </w:p>
        </w:tc>
      </w:tr>
      <w:tr w:rsidR="007028C9" w:rsidRPr="00E70587" w14:paraId="47DC63DF" w14:textId="77777777" w:rsidTr="00755532">
        <w:tc>
          <w:tcPr>
            <w:tcW w:w="918" w:type="dxa"/>
            <w:tcBorders>
              <w:top w:val="nil"/>
              <w:left w:val="single" w:sz="8" w:space="0" w:color="auto"/>
              <w:bottom w:val="nil"/>
              <w:right w:val="nil"/>
            </w:tcBorders>
            <w:shd w:val="clear" w:color="auto" w:fill="auto"/>
            <w:noWrap/>
            <w:vAlign w:val="bottom"/>
            <w:hideMark/>
          </w:tcPr>
          <w:p w14:paraId="729228B1" w14:textId="77777777"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w:t>
            </w:r>
          </w:p>
        </w:tc>
        <w:tc>
          <w:tcPr>
            <w:tcW w:w="2936" w:type="dxa"/>
            <w:gridSpan w:val="2"/>
            <w:tcBorders>
              <w:top w:val="nil"/>
              <w:left w:val="nil"/>
              <w:bottom w:val="nil"/>
              <w:right w:val="nil"/>
            </w:tcBorders>
            <w:shd w:val="clear" w:color="auto" w:fill="auto"/>
            <w:noWrap/>
            <w:vAlign w:val="bottom"/>
            <w:hideMark/>
          </w:tcPr>
          <w:p w14:paraId="6C3007D5" w14:textId="77777777" w:rsidR="007028C9" w:rsidRPr="00E70587" w:rsidRDefault="007028C9" w:rsidP="009901E1">
            <w:pPr>
              <w:spacing w:line="280" w:lineRule="exact"/>
              <w:rPr>
                <w:rFonts w:ascii="Arial" w:hAnsi="Arial" w:cs="Arial"/>
                <w:sz w:val="20"/>
                <w:lang w:eastAsia="en-IN"/>
              </w:rPr>
            </w:pPr>
          </w:p>
        </w:tc>
        <w:tc>
          <w:tcPr>
            <w:tcW w:w="1626" w:type="dxa"/>
            <w:tcBorders>
              <w:top w:val="nil"/>
              <w:left w:val="nil"/>
              <w:bottom w:val="nil"/>
              <w:right w:val="nil"/>
            </w:tcBorders>
            <w:shd w:val="clear" w:color="auto" w:fill="auto"/>
            <w:noWrap/>
            <w:hideMark/>
          </w:tcPr>
          <w:p w14:paraId="09A96833" w14:textId="77777777" w:rsidR="007028C9" w:rsidRPr="00E70587" w:rsidRDefault="007028C9" w:rsidP="0022129E">
            <w:pPr>
              <w:spacing w:line="280" w:lineRule="exact"/>
              <w:jc w:val="right"/>
              <w:rPr>
                <w:rFonts w:ascii="Arial" w:hAnsi="Arial" w:cs="Arial"/>
                <w:sz w:val="20"/>
                <w:lang w:eastAsia="en-IN"/>
              </w:rPr>
            </w:pPr>
          </w:p>
        </w:tc>
        <w:tc>
          <w:tcPr>
            <w:tcW w:w="1260" w:type="dxa"/>
            <w:tcBorders>
              <w:top w:val="nil"/>
              <w:left w:val="nil"/>
              <w:bottom w:val="nil"/>
              <w:right w:val="nil"/>
            </w:tcBorders>
            <w:shd w:val="clear" w:color="auto" w:fill="auto"/>
            <w:noWrap/>
            <w:hideMark/>
          </w:tcPr>
          <w:p w14:paraId="430F1CB5" w14:textId="77777777" w:rsidR="007028C9" w:rsidRPr="00E70587" w:rsidRDefault="007028C9" w:rsidP="0022129E">
            <w:pPr>
              <w:spacing w:line="280" w:lineRule="exact"/>
              <w:jc w:val="right"/>
              <w:rPr>
                <w:rFonts w:ascii="Arial" w:hAnsi="Arial" w:cs="Arial"/>
                <w:sz w:val="20"/>
                <w:lang w:eastAsia="en-IN"/>
              </w:rPr>
            </w:pPr>
          </w:p>
        </w:tc>
        <w:tc>
          <w:tcPr>
            <w:tcW w:w="1710" w:type="dxa"/>
            <w:tcBorders>
              <w:top w:val="nil"/>
              <w:left w:val="nil"/>
              <w:bottom w:val="nil"/>
              <w:right w:val="nil"/>
            </w:tcBorders>
            <w:shd w:val="clear" w:color="auto" w:fill="auto"/>
            <w:noWrap/>
            <w:hideMark/>
          </w:tcPr>
          <w:p w14:paraId="35CD1DBA" w14:textId="77777777" w:rsidR="007028C9" w:rsidRPr="00E70587" w:rsidRDefault="007028C9" w:rsidP="0022129E">
            <w:pPr>
              <w:spacing w:line="280" w:lineRule="exact"/>
              <w:jc w:val="right"/>
              <w:rPr>
                <w:rFonts w:ascii="Arial" w:hAnsi="Arial" w:cs="Arial"/>
                <w:sz w:val="20"/>
                <w:lang w:eastAsia="en-IN"/>
              </w:rPr>
            </w:pPr>
          </w:p>
        </w:tc>
        <w:tc>
          <w:tcPr>
            <w:tcW w:w="900" w:type="dxa"/>
            <w:tcBorders>
              <w:top w:val="nil"/>
              <w:left w:val="nil"/>
              <w:bottom w:val="nil"/>
              <w:right w:val="nil"/>
            </w:tcBorders>
            <w:shd w:val="clear" w:color="auto" w:fill="auto"/>
            <w:noWrap/>
            <w:hideMark/>
          </w:tcPr>
          <w:p w14:paraId="18FA3779" w14:textId="77777777" w:rsidR="007028C9" w:rsidRPr="00E70587" w:rsidRDefault="007028C9" w:rsidP="0022129E">
            <w:pPr>
              <w:spacing w:line="280" w:lineRule="exact"/>
              <w:jc w:val="right"/>
              <w:rPr>
                <w:rFonts w:ascii="Arial" w:hAnsi="Arial" w:cs="Arial"/>
                <w:sz w:val="20"/>
                <w:lang w:eastAsia="en-IN"/>
              </w:rPr>
            </w:pPr>
          </w:p>
        </w:tc>
        <w:tc>
          <w:tcPr>
            <w:tcW w:w="2250" w:type="dxa"/>
            <w:tcBorders>
              <w:top w:val="nil"/>
              <w:left w:val="nil"/>
              <w:bottom w:val="nil"/>
              <w:right w:val="nil"/>
            </w:tcBorders>
            <w:shd w:val="clear" w:color="auto" w:fill="auto"/>
            <w:noWrap/>
            <w:hideMark/>
          </w:tcPr>
          <w:p w14:paraId="522EDAB2" w14:textId="77777777" w:rsidR="007028C9" w:rsidRPr="00E70587" w:rsidRDefault="007028C9" w:rsidP="0022129E">
            <w:pPr>
              <w:spacing w:line="280" w:lineRule="exact"/>
              <w:jc w:val="right"/>
              <w:rPr>
                <w:rFonts w:ascii="Arial" w:hAnsi="Arial" w:cs="Arial"/>
                <w:sz w:val="20"/>
                <w:lang w:eastAsia="en-IN"/>
              </w:rPr>
            </w:pPr>
          </w:p>
        </w:tc>
        <w:tc>
          <w:tcPr>
            <w:tcW w:w="720" w:type="dxa"/>
            <w:tcBorders>
              <w:top w:val="nil"/>
              <w:left w:val="nil"/>
              <w:bottom w:val="nil"/>
              <w:right w:val="nil"/>
            </w:tcBorders>
            <w:shd w:val="clear" w:color="auto" w:fill="auto"/>
            <w:noWrap/>
            <w:hideMark/>
          </w:tcPr>
          <w:p w14:paraId="6A88D247" w14:textId="77777777" w:rsidR="007028C9" w:rsidRPr="00E70587" w:rsidRDefault="007028C9" w:rsidP="0022129E">
            <w:pPr>
              <w:spacing w:line="280" w:lineRule="exact"/>
              <w:jc w:val="right"/>
              <w:rPr>
                <w:rFonts w:ascii="Arial" w:hAnsi="Arial" w:cs="Arial"/>
                <w:sz w:val="20"/>
                <w:lang w:eastAsia="en-IN"/>
              </w:rPr>
            </w:pPr>
          </w:p>
        </w:tc>
        <w:tc>
          <w:tcPr>
            <w:tcW w:w="1800" w:type="dxa"/>
            <w:tcBorders>
              <w:top w:val="nil"/>
              <w:left w:val="nil"/>
              <w:bottom w:val="nil"/>
              <w:right w:val="nil"/>
            </w:tcBorders>
            <w:shd w:val="clear" w:color="auto" w:fill="auto"/>
            <w:noWrap/>
            <w:hideMark/>
          </w:tcPr>
          <w:p w14:paraId="1DF7D20D" w14:textId="77777777" w:rsidR="007028C9" w:rsidRPr="00E70587" w:rsidRDefault="007028C9" w:rsidP="0022129E">
            <w:pPr>
              <w:spacing w:line="280" w:lineRule="exact"/>
              <w:jc w:val="right"/>
              <w:rPr>
                <w:rFonts w:ascii="Arial" w:hAnsi="Arial" w:cs="Arial"/>
                <w:sz w:val="20"/>
                <w:lang w:eastAsia="en-IN"/>
              </w:rPr>
            </w:pPr>
          </w:p>
        </w:tc>
        <w:tc>
          <w:tcPr>
            <w:tcW w:w="990" w:type="dxa"/>
            <w:tcBorders>
              <w:top w:val="nil"/>
              <w:left w:val="nil"/>
              <w:bottom w:val="nil"/>
              <w:right w:val="single" w:sz="8" w:space="0" w:color="auto"/>
            </w:tcBorders>
            <w:shd w:val="clear" w:color="auto" w:fill="auto"/>
            <w:noWrap/>
            <w:hideMark/>
          </w:tcPr>
          <w:p w14:paraId="4741F18C" w14:textId="77777777" w:rsidR="007028C9" w:rsidRPr="00E70587" w:rsidRDefault="007028C9" w:rsidP="0022129E">
            <w:pPr>
              <w:spacing w:line="280" w:lineRule="exact"/>
              <w:jc w:val="right"/>
              <w:rPr>
                <w:rFonts w:ascii="Arial" w:hAnsi="Arial" w:cs="Arial"/>
                <w:sz w:val="20"/>
                <w:lang w:eastAsia="en-IN"/>
              </w:rPr>
            </w:pPr>
          </w:p>
        </w:tc>
      </w:tr>
      <w:tr w:rsidR="007028C9" w:rsidRPr="00E70587" w14:paraId="6DC34D04" w14:textId="77777777" w:rsidTr="00755532">
        <w:tc>
          <w:tcPr>
            <w:tcW w:w="918" w:type="dxa"/>
            <w:tcBorders>
              <w:top w:val="nil"/>
              <w:left w:val="single" w:sz="8" w:space="0" w:color="auto"/>
              <w:bottom w:val="nil"/>
              <w:right w:val="nil"/>
            </w:tcBorders>
            <w:shd w:val="clear" w:color="auto" w:fill="auto"/>
            <w:noWrap/>
            <w:vAlign w:val="center"/>
            <w:hideMark/>
          </w:tcPr>
          <w:p w14:paraId="6CF03DF2" w14:textId="77777777" w:rsidR="007028C9" w:rsidRPr="00E70587" w:rsidRDefault="007028C9" w:rsidP="009901E1">
            <w:pPr>
              <w:spacing w:line="280" w:lineRule="exact"/>
              <w:rPr>
                <w:rFonts w:ascii="Arial" w:hAnsi="Arial" w:cs="Arial"/>
                <w:b/>
                <w:bCs/>
                <w:sz w:val="20"/>
                <w:lang w:eastAsia="en-IN"/>
              </w:rPr>
            </w:pPr>
            <w:r w:rsidRPr="00E70587">
              <w:rPr>
                <w:rFonts w:ascii="Arial" w:hAnsi="Arial" w:cs="Arial"/>
                <w:b/>
                <w:bCs/>
                <w:sz w:val="20"/>
                <w:lang w:eastAsia="en-IN"/>
              </w:rPr>
              <w:t>Total</w:t>
            </w:r>
          </w:p>
        </w:tc>
        <w:tc>
          <w:tcPr>
            <w:tcW w:w="2936" w:type="dxa"/>
            <w:gridSpan w:val="2"/>
            <w:tcBorders>
              <w:top w:val="nil"/>
              <w:left w:val="nil"/>
              <w:bottom w:val="nil"/>
              <w:right w:val="nil"/>
            </w:tcBorders>
            <w:shd w:val="clear" w:color="auto" w:fill="auto"/>
            <w:noWrap/>
            <w:vAlign w:val="center"/>
            <w:hideMark/>
          </w:tcPr>
          <w:p w14:paraId="5785683F" w14:textId="7046D23D"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10492C"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21</w:t>
            </w:r>
          </w:p>
        </w:tc>
        <w:tc>
          <w:tcPr>
            <w:tcW w:w="1626" w:type="dxa"/>
            <w:tcBorders>
              <w:top w:val="nil"/>
              <w:left w:val="nil"/>
              <w:bottom w:val="nil"/>
              <w:right w:val="nil"/>
            </w:tcBorders>
            <w:shd w:val="clear" w:color="auto" w:fill="auto"/>
            <w:noWrap/>
            <w:hideMark/>
          </w:tcPr>
          <w:p w14:paraId="33FD1221"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100%</w:t>
            </w:r>
          </w:p>
        </w:tc>
        <w:tc>
          <w:tcPr>
            <w:tcW w:w="1260" w:type="dxa"/>
            <w:tcBorders>
              <w:top w:val="nil"/>
              <w:left w:val="nil"/>
              <w:bottom w:val="nil"/>
              <w:right w:val="nil"/>
            </w:tcBorders>
            <w:shd w:val="clear" w:color="auto" w:fill="auto"/>
            <w:noWrap/>
            <w:hideMark/>
          </w:tcPr>
          <w:p w14:paraId="0EAD3C48" w14:textId="59314265"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1,</w:t>
            </w:r>
            <w:r w:rsidR="00D76AF4" w:rsidRPr="00E70587">
              <w:rPr>
                <w:rFonts w:ascii="Arial" w:hAnsi="Arial" w:cs="Arial"/>
                <w:sz w:val="20"/>
              </w:rPr>
              <w:t>1</w:t>
            </w:r>
            <w:r w:rsidR="00D76AF4">
              <w:rPr>
                <w:rFonts w:ascii="Arial" w:hAnsi="Arial" w:cs="Arial"/>
                <w:sz w:val="20"/>
              </w:rPr>
              <w:t>2</w:t>
            </w:r>
            <w:r w:rsidRPr="00E70587">
              <w:rPr>
                <w:rFonts w:ascii="Arial" w:hAnsi="Arial" w:cs="Arial"/>
                <w:sz w:val="20"/>
              </w:rPr>
              <w:t>,</w:t>
            </w:r>
            <w:r w:rsidR="007417F4">
              <w:rPr>
                <w:rFonts w:ascii="Arial" w:hAnsi="Arial" w:cs="Arial"/>
                <w:sz w:val="20"/>
              </w:rPr>
              <w:t>364</w:t>
            </w:r>
            <w:r w:rsidR="00D17D2B" w:rsidRPr="00E70587">
              <w:rPr>
                <w:rFonts w:ascii="Arial" w:hAnsi="Arial" w:cs="Arial"/>
                <w:sz w:val="20"/>
              </w:rPr>
              <w:t xml:space="preserve"> </w:t>
            </w:r>
          </w:p>
        </w:tc>
        <w:tc>
          <w:tcPr>
            <w:tcW w:w="1710" w:type="dxa"/>
            <w:tcBorders>
              <w:top w:val="nil"/>
              <w:left w:val="nil"/>
              <w:bottom w:val="nil"/>
              <w:right w:val="nil"/>
            </w:tcBorders>
            <w:shd w:val="clear" w:color="auto" w:fill="auto"/>
            <w:noWrap/>
            <w:hideMark/>
          </w:tcPr>
          <w:p w14:paraId="26EE43CA"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100%</w:t>
            </w:r>
          </w:p>
        </w:tc>
        <w:tc>
          <w:tcPr>
            <w:tcW w:w="900" w:type="dxa"/>
            <w:tcBorders>
              <w:top w:val="nil"/>
              <w:left w:val="nil"/>
              <w:bottom w:val="nil"/>
              <w:right w:val="nil"/>
            </w:tcBorders>
            <w:shd w:val="clear" w:color="auto" w:fill="auto"/>
            <w:noWrap/>
            <w:hideMark/>
          </w:tcPr>
          <w:p w14:paraId="1DAB679D" w14:textId="51CCFDF3"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14,</w:t>
            </w:r>
            <w:r w:rsidR="002C10D5">
              <w:rPr>
                <w:rFonts w:ascii="Arial" w:hAnsi="Arial" w:cs="Arial"/>
                <w:sz w:val="20"/>
              </w:rPr>
              <w:t>7</w:t>
            </w:r>
            <w:r w:rsidR="004A4309" w:rsidRPr="00E70587">
              <w:rPr>
                <w:rFonts w:ascii="Arial" w:hAnsi="Arial" w:cs="Arial"/>
                <w:sz w:val="20"/>
              </w:rPr>
              <w:t>1</w:t>
            </w:r>
            <w:r w:rsidR="002C10D5">
              <w:rPr>
                <w:rFonts w:ascii="Arial" w:hAnsi="Arial" w:cs="Arial"/>
                <w:sz w:val="20"/>
              </w:rPr>
              <w:t>5</w:t>
            </w:r>
            <w:r w:rsidR="004A4309" w:rsidRPr="00E70587">
              <w:rPr>
                <w:rFonts w:ascii="Arial" w:hAnsi="Arial" w:cs="Arial"/>
                <w:sz w:val="20"/>
              </w:rPr>
              <w:t xml:space="preserve"> </w:t>
            </w:r>
          </w:p>
        </w:tc>
        <w:tc>
          <w:tcPr>
            <w:tcW w:w="2250" w:type="dxa"/>
            <w:tcBorders>
              <w:top w:val="nil"/>
              <w:left w:val="nil"/>
              <w:bottom w:val="nil"/>
              <w:right w:val="nil"/>
            </w:tcBorders>
            <w:shd w:val="clear" w:color="auto" w:fill="auto"/>
            <w:noWrap/>
            <w:hideMark/>
          </w:tcPr>
          <w:p w14:paraId="53B2B399"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100%</w:t>
            </w:r>
          </w:p>
        </w:tc>
        <w:tc>
          <w:tcPr>
            <w:tcW w:w="720" w:type="dxa"/>
            <w:tcBorders>
              <w:top w:val="nil"/>
              <w:left w:val="nil"/>
              <w:bottom w:val="nil"/>
              <w:right w:val="nil"/>
            </w:tcBorders>
            <w:shd w:val="clear" w:color="auto" w:fill="auto"/>
            <w:noWrap/>
            <w:hideMark/>
          </w:tcPr>
          <w:p w14:paraId="09A0CBF4" w14:textId="40372446"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w:t>
            </w:r>
            <w:r w:rsidR="008029D5">
              <w:rPr>
                <w:rFonts w:ascii="Arial" w:hAnsi="Arial" w:cs="Arial"/>
                <w:sz w:val="20"/>
              </w:rPr>
              <w:t>21</w:t>
            </w:r>
            <w:r w:rsidR="009A67BB">
              <w:rPr>
                <w:rFonts w:ascii="Arial" w:hAnsi="Arial" w:cs="Arial"/>
                <w:sz w:val="20"/>
              </w:rPr>
              <w:t>2</w:t>
            </w:r>
            <w:r w:rsidR="009A67BB" w:rsidRPr="00E70587">
              <w:rPr>
                <w:rFonts w:ascii="Arial" w:hAnsi="Arial" w:cs="Arial"/>
                <w:sz w:val="20"/>
              </w:rPr>
              <w:t xml:space="preserve"> </w:t>
            </w:r>
          </w:p>
        </w:tc>
        <w:tc>
          <w:tcPr>
            <w:tcW w:w="1800" w:type="dxa"/>
            <w:tcBorders>
              <w:top w:val="nil"/>
              <w:left w:val="nil"/>
              <w:bottom w:val="nil"/>
              <w:right w:val="nil"/>
            </w:tcBorders>
            <w:shd w:val="clear" w:color="auto" w:fill="auto"/>
            <w:noWrap/>
            <w:hideMark/>
          </w:tcPr>
          <w:p w14:paraId="78BCFB2C"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100%</w:t>
            </w:r>
          </w:p>
        </w:tc>
        <w:tc>
          <w:tcPr>
            <w:tcW w:w="990" w:type="dxa"/>
            <w:tcBorders>
              <w:top w:val="nil"/>
              <w:left w:val="nil"/>
              <w:bottom w:val="nil"/>
              <w:right w:val="single" w:sz="8" w:space="0" w:color="auto"/>
            </w:tcBorders>
            <w:shd w:val="clear" w:color="auto" w:fill="auto"/>
            <w:noWrap/>
            <w:hideMark/>
          </w:tcPr>
          <w:p w14:paraId="04FCB548" w14:textId="68635054"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1</w:t>
            </w:r>
            <w:r w:rsidR="008029D5">
              <w:rPr>
                <w:rFonts w:ascii="Arial" w:hAnsi="Arial" w:cs="Arial"/>
                <w:sz w:val="20"/>
              </w:rPr>
              <w:t>4,92</w:t>
            </w:r>
            <w:r w:rsidR="00AD372C">
              <w:rPr>
                <w:rFonts w:ascii="Arial" w:hAnsi="Arial" w:cs="Arial"/>
                <w:sz w:val="20"/>
              </w:rPr>
              <w:t>7</w:t>
            </w:r>
            <w:r w:rsidR="00063B95" w:rsidRPr="00E70587">
              <w:rPr>
                <w:rFonts w:ascii="Arial" w:hAnsi="Arial" w:cs="Arial"/>
                <w:sz w:val="20"/>
              </w:rPr>
              <w:t xml:space="preserve"> </w:t>
            </w:r>
          </w:p>
        </w:tc>
      </w:tr>
      <w:tr w:rsidR="007028C9" w:rsidRPr="00330EAA" w14:paraId="0DBA8557" w14:textId="77777777" w:rsidTr="00755532">
        <w:tc>
          <w:tcPr>
            <w:tcW w:w="918" w:type="dxa"/>
            <w:tcBorders>
              <w:top w:val="nil"/>
              <w:left w:val="single" w:sz="8" w:space="0" w:color="auto"/>
              <w:bottom w:val="single" w:sz="8" w:space="0" w:color="auto"/>
              <w:right w:val="nil"/>
            </w:tcBorders>
            <w:shd w:val="clear" w:color="auto" w:fill="auto"/>
            <w:noWrap/>
            <w:vAlign w:val="bottom"/>
            <w:hideMark/>
          </w:tcPr>
          <w:p w14:paraId="786E85B1" w14:textId="77777777"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w:t>
            </w:r>
          </w:p>
        </w:tc>
        <w:tc>
          <w:tcPr>
            <w:tcW w:w="2936" w:type="dxa"/>
            <w:gridSpan w:val="2"/>
            <w:tcBorders>
              <w:top w:val="nil"/>
              <w:left w:val="nil"/>
              <w:bottom w:val="single" w:sz="8" w:space="0" w:color="auto"/>
              <w:right w:val="nil"/>
            </w:tcBorders>
            <w:shd w:val="clear" w:color="auto" w:fill="auto"/>
            <w:noWrap/>
            <w:vAlign w:val="center"/>
            <w:hideMark/>
          </w:tcPr>
          <w:p w14:paraId="430BBF3A" w14:textId="450D9542" w:rsidR="007028C9" w:rsidRPr="00E70587" w:rsidRDefault="007028C9" w:rsidP="009901E1">
            <w:pPr>
              <w:spacing w:line="280" w:lineRule="exact"/>
              <w:rPr>
                <w:rFonts w:ascii="Arial" w:hAnsi="Arial" w:cs="Arial"/>
                <w:sz w:val="20"/>
                <w:lang w:eastAsia="en-IN"/>
              </w:rPr>
            </w:pPr>
            <w:r w:rsidRPr="00E70587">
              <w:rPr>
                <w:rFonts w:ascii="Arial" w:hAnsi="Arial" w:cs="Arial"/>
                <w:sz w:val="20"/>
                <w:lang w:eastAsia="en-IN"/>
              </w:rPr>
              <w:t xml:space="preserve">Balance as at 31 </w:t>
            </w:r>
            <w:r w:rsidR="008B730E" w:rsidRPr="00E70587">
              <w:rPr>
                <w:rFonts w:ascii="Arial" w:hAnsi="Arial" w:cs="Arial"/>
                <w:sz w:val="20"/>
                <w:lang w:eastAsia="en-IN"/>
              </w:rPr>
              <w:t xml:space="preserve">March </w:t>
            </w:r>
            <w:r w:rsidR="00642FE1" w:rsidRPr="00E70587">
              <w:rPr>
                <w:rFonts w:ascii="Arial" w:hAnsi="Arial" w:cs="Arial"/>
                <w:sz w:val="20"/>
                <w:lang w:eastAsia="en-IN"/>
              </w:rPr>
              <w:t>20</w:t>
            </w:r>
            <w:r w:rsidR="00642FE1">
              <w:rPr>
                <w:rFonts w:ascii="Arial" w:hAnsi="Arial" w:cs="Arial"/>
                <w:sz w:val="20"/>
                <w:lang w:eastAsia="en-IN"/>
              </w:rPr>
              <w:t>20</w:t>
            </w:r>
          </w:p>
        </w:tc>
        <w:tc>
          <w:tcPr>
            <w:tcW w:w="1626" w:type="dxa"/>
            <w:tcBorders>
              <w:top w:val="nil"/>
              <w:left w:val="nil"/>
              <w:bottom w:val="single" w:sz="8" w:space="0" w:color="auto"/>
              <w:right w:val="nil"/>
            </w:tcBorders>
            <w:shd w:val="clear" w:color="auto" w:fill="auto"/>
            <w:noWrap/>
            <w:hideMark/>
          </w:tcPr>
          <w:p w14:paraId="34B3EB83"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100%</w:t>
            </w:r>
          </w:p>
        </w:tc>
        <w:tc>
          <w:tcPr>
            <w:tcW w:w="1260" w:type="dxa"/>
            <w:tcBorders>
              <w:top w:val="nil"/>
              <w:left w:val="nil"/>
              <w:bottom w:val="single" w:sz="8" w:space="0" w:color="auto"/>
              <w:right w:val="nil"/>
            </w:tcBorders>
            <w:shd w:val="clear" w:color="auto" w:fill="auto"/>
            <w:noWrap/>
            <w:hideMark/>
          </w:tcPr>
          <w:p w14:paraId="755ED974" w14:textId="3523F0A6"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w:t>
            </w:r>
            <w:r w:rsidR="005B2F13">
              <w:rPr>
                <w:rFonts w:ascii="Arial" w:hAnsi="Arial" w:cs="Arial"/>
                <w:sz w:val="20"/>
              </w:rPr>
              <w:t>84,833</w:t>
            </w:r>
            <w:r w:rsidRPr="00E70587">
              <w:rPr>
                <w:rFonts w:ascii="Arial" w:hAnsi="Arial" w:cs="Arial"/>
                <w:sz w:val="20"/>
              </w:rPr>
              <w:t xml:space="preserve"> </w:t>
            </w:r>
          </w:p>
        </w:tc>
        <w:tc>
          <w:tcPr>
            <w:tcW w:w="1710" w:type="dxa"/>
            <w:tcBorders>
              <w:top w:val="nil"/>
              <w:left w:val="nil"/>
              <w:bottom w:val="single" w:sz="8" w:space="0" w:color="auto"/>
              <w:right w:val="nil"/>
            </w:tcBorders>
            <w:shd w:val="clear" w:color="auto" w:fill="auto"/>
            <w:noWrap/>
            <w:hideMark/>
          </w:tcPr>
          <w:p w14:paraId="52C92150"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100%</w:t>
            </w:r>
          </w:p>
        </w:tc>
        <w:tc>
          <w:tcPr>
            <w:tcW w:w="900" w:type="dxa"/>
            <w:tcBorders>
              <w:top w:val="nil"/>
              <w:left w:val="nil"/>
              <w:bottom w:val="single" w:sz="8" w:space="0" w:color="auto"/>
              <w:right w:val="nil"/>
            </w:tcBorders>
            <w:shd w:val="clear" w:color="auto" w:fill="auto"/>
            <w:noWrap/>
            <w:hideMark/>
          </w:tcPr>
          <w:p w14:paraId="090FE2BE" w14:textId="62E43DF3" w:rsidR="007028C9" w:rsidRPr="00E70587" w:rsidRDefault="00411FBC" w:rsidP="0022129E">
            <w:pPr>
              <w:spacing w:line="280" w:lineRule="exact"/>
              <w:jc w:val="right"/>
              <w:rPr>
                <w:rFonts w:ascii="Arial" w:hAnsi="Arial" w:cs="Arial"/>
                <w:sz w:val="20"/>
                <w:lang w:eastAsia="en-IN"/>
              </w:rPr>
            </w:pPr>
            <w:r w:rsidRPr="00E70587">
              <w:rPr>
                <w:rFonts w:ascii="Arial" w:hAnsi="Arial" w:cs="Arial"/>
                <w:sz w:val="20"/>
              </w:rPr>
              <w:t>1</w:t>
            </w:r>
            <w:r>
              <w:rPr>
                <w:rFonts w:ascii="Arial" w:hAnsi="Arial" w:cs="Arial"/>
                <w:sz w:val="20"/>
              </w:rPr>
              <w:t>0</w:t>
            </w:r>
            <w:r w:rsidR="007028C9" w:rsidRPr="00E70587">
              <w:rPr>
                <w:rFonts w:ascii="Arial" w:hAnsi="Arial" w:cs="Arial"/>
                <w:sz w:val="20"/>
              </w:rPr>
              <w:t>,</w:t>
            </w:r>
            <w:r>
              <w:rPr>
                <w:rFonts w:ascii="Arial" w:hAnsi="Arial" w:cs="Arial"/>
                <w:sz w:val="20"/>
              </w:rPr>
              <w:t>292</w:t>
            </w:r>
            <w:r w:rsidRPr="00E70587">
              <w:rPr>
                <w:rFonts w:ascii="Arial" w:hAnsi="Arial" w:cs="Arial"/>
                <w:sz w:val="20"/>
              </w:rPr>
              <w:t xml:space="preserve"> </w:t>
            </w:r>
          </w:p>
        </w:tc>
        <w:tc>
          <w:tcPr>
            <w:tcW w:w="2250" w:type="dxa"/>
            <w:tcBorders>
              <w:top w:val="nil"/>
              <w:left w:val="nil"/>
              <w:bottom w:val="single" w:sz="8" w:space="0" w:color="auto"/>
              <w:right w:val="nil"/>
            </w:tcBorders>
            <w:shd w:val="clear" w:color="auto" w:fill="auto"/>
            <w:noWrap/>
            <w:hideMark/>
          </w:tcPr>
          <w:p w14:paraId="417A3CFC"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100%</w:t>
            </w:r>
          </w:p>
        </w:tc>
        <w:tc>
          <w:tcPr>
            <w:tcW w:w="720" w:type="dxa"/>
            <w:tcBorders>
              <w:top w:val="nil"/>
              <w:left w:val="nil"/>
              <w:bottom w:val="single" w:sz="8" w:space="0" w:color="auto"/>
              <w:right w:val="nil"/>
            </w:tcBorders>
            <w:shd w:val="clear" w:color="auto" w:fill="auto"/>
            <w:noWrap/>
            <w:hideMark/>
          </w:tcPr>
          <w:p w14:paraId="09825E9A" w14:textId="69296DF0"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 xml:space="preserve"> -</w:t>
            </w:r>
            <w:r w:rsidR="009A67BB" w:rsidRPr="00E70587">
              <w:rPr>
                <w:rFonts w:ascii="Arial" w:hAnsi="Arial" w:cs="Arial"/>
                <w:sz w:val="20"/>
              </w:rPr>
              <w:t>65</w:t>
            </w:r>
            <w:r w:rsidR="009A67BB">
              <w:rPr>
                <w:rFonts w:ascii="Arial" w:hAnsi="Arial" w:cs="Arial"/>
                <w:sz w:val="20"/>
              </w:rPr>
              <w:t>6</w:t>
            </w:r>
            <w:r w:rsidR="009A67BB" w:rsidRPr="00E70587">
              <w:rPr>
                <w:rFonts w:ascii="Arial" w:hAnsi="Arial" w:cs="Arial"/>
                <w:sz w:val="20"/>
              </w:rPr>
              <w:t xml:space="preserve"> </w:t>
            </w:r>
          </w:p>
        </w:tc>
        <w:tc>
          <w:tcPr>
            <w:tcW w:w="1800" w:type="dxa"/>
            <w:tcBorders>
              <w:top w:val="nil"/>
              <w:left w:val="nil"/>
              <w:bottom w:val="single" w:sz="8" w:space="0" w:color="auto"/>
              <w:right w:val="nil"/>
            </w:tcBorders>
            <w:shd w:val="clear" w:color="auto" w:fill="auto"/>
            <w:noWrap/>
            <w:hideMark/>
          </w:tcPr>
          <w:p w14:paraId="6973DF42" w14:textId="77777777" w:rsidR="007028C9" w:rsidRPr="00E70587" w:rsidRDefault="007028C9" w:rsidP="0022129E">
            <w:pPr>
              <w:spacing w:line="280" w:lineRule="exact"/>
              <w:jc w:val="right"/>
              <w:rPr>
                <w:rFonts w:ascii="Arial" w:hAnsi="Arial" w:cs="Arial"/>
                <w:sz w:val="20"/>
                <w:lang w:eastAsia="en-IN"/>
              </w:rPr>
            </w:pPr>
            <w:r w:rsidRPr="00E70587">
              <w:rPr>
                <w:rFonts w:ascii="Arial" w:hAnsi="Arial" w:cs="Arial"/>
                <w:sz w:val="20"/>
              </w:rPr>
              <w:t>100%</w:t>
            </w:r>
          </w:p>
        </w:tc>
        <w:tc>
          <w:tcPr>
            <w:tcW w:w="990" w:type="dxa"/>
            <w:tcBorders>
              <w:top w:val="nil"/>
              <w:left w:val="nil"/>
              <w:bottom w:val="single" w:sz="8" w:space="0" w:color="auto"/>
              <w:right w:val="single" w:sz="8" w:space="0" w:color="auto"/>
            </w:tcBorders>
            <w:shd w:val="clear" w:color="auto" w:fill="auto"/>
            <w:noWrap/>
            <w:hideMark/>
          </w:tcPr>
          <w:p w14:paraId="1D48D25A" w14:textId="3D3D3F6B" w:rsidR="007028C9" w:rsidRPr="007028C9" w:rsidRDefault="008D7E44" w:rsidP="0022129E">
            <w:pPr>
              <w:spacing w:line="280" w:lineRule="exact"/>
              <w:jc w:val="right"/>
              <w:rPr>
                <w:rFonts w:ascii="Arial" w:hAnsi="Arial" w:cs="Arial"/>
                <w:sz w:val="20"/>
                <w:lang w:eastAsia="en-IN"/>
              </w:rPr>
            </w:pPr>
            <w:r>
              <w:rPr>
                <w:rFonts w:ascii="Arial" w:hAnsi="Arial" w:cs="Arial"/>
                <w:sz w:val="20"/>
              </w:rPr>
              <w:t>9</w:t>
            </w:r>
            <w:r w:rsidR="007028C9" w:rsidRPr="00E70587">
              <w:rPr>
                <w:rFonts w:ascii="Arial" w:hAnsi="Arial" w:cs="Arial"/>
                <w:sz w:val="20"/>
              </w:rPr>
              <w:t>,</w:t>
            </w:r>
            <w:r>
              <w:rPr>
                <w:rFonts w:ascii="Arial" w:hAnsi="Arial" w:cs="Arial"/>
                <w:sz w:val="20"/>
              </w:rPr>
              <w:t>636</w:t>
            </w:r>
            <w:r w:rsidRPr="007028C9">
              <w:rPr>
                <w:rFonts w:ascii="Arial" w:hAnsi="Arial" w:cs="Arial"/>
                <w:sz w:val="20"/>
              </w:rPr>
              <w:t xml:space="preserve"> </w:t>
            </w:r>
          </w:p>
        </w:tc>
      </w:tr>
    </w:tbl>
    <w:p w14:paraId="479A0863" w14:textId="77777777" w:rsidR="00C82284" w:rsidRPr="00B45EF0" w:rsidRDefault="00C82284" w:rsidP="009901E1">
      <w:pPr>
        <w:spacing w:line="280" w:lineRule="exact"/>
        <w:rPr>
          <w:rFonts w:ascii="Arial" w:hAnsi="Arial" w:cs="Arial"/>
          <w:sz w:val="20"/>
        </w:rPr>
      </w:pPr>
    </w:p>
    <w:sectPr w:rsidR="00C82284" w:rsidRPr="00B45EF0" w:rsidSect="00C41CC3">
      <w:pgSz w:w="16834" w:h="11909" w:orient="landscape" w:code="9"/>
      <w:pgMar w:top="864" w:right="1253" w:bottom="864" w:left="1296"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B88C7" w14:textId="77777777" w:rsidR="00AC7754" w:rsidRDefault="00AC7754">
      <w:r>
        <w:separator/>
      </w:r>
    </w:p>
    <w:p w14:paraId="1A5B3B9F" w14:textId="77777777" w:rsidR="00AC7754" w:rsidRDefault="00AC7754"/>
    <w:p w14:paraId="390B0A05" w14:textId="77777777" w:rsidR="00AC7754" w:rsidRDefault="00AC7754"/>
    <w:p w14:paraId="778C31B0" w14:textId="77777777" w:rsidR="00AC7754" w:rsidRDefault="00AC7754"/>
  </w:endnote>
  <w:endnote w:type="continuationSeparator" w:id="0">
    <w:p w14:paraId="3ABD6866" w14:textId="77777777" w:rsidR="00AC7754" w:rsidRDefault="00AC7754">
      <w:r>
        <w:continuationSeparator/>
      </w:r>
    </w:p>
    <w:p w14:paraId="0F5ADACA" w14:textId="77777777" w:rsidR="00AC7754" w:rsidRDefault="00AC7754"/>
    <w:p w14:paraId="2B8820AB" w14:textId="77777777" w:rsidR="00AC7754" w:rsidRDefault="00AC7754"/>
    <w:p w14:paraId="205A1D2F" w14:textId="77777777" w:rsidR="00AC7754" w:rsidRDefault="00AC7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YInterstate Light">
    <w:altName w:val="Calibri"/>
    <w:charset w:val="00"/>
    <w:family w:val="auto"/>
    <w:pitch w:val="variable"/>
    <w:sig w:usb0="A00002AF" w:usb1="5000206A" w:usb2="00000000" w:usb3="00000000" w:csb0="0000009F" w:csb1="00000000"/>
  </w:font>
  <w:font w:name="EYlogo">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YInterstate">
    <w:altName w:val="Calibri"/>
    <w:charset w:val="00"/>
    <w:family w:val="auto"/>
    <w:pitch w:val="variable"/>
    <w:sig w:usb0="800002AF" w:usb1="5000204A" w:usb2="00000000" w:usb3="00000000" w:csb0="0000009F" w:csb1="00000000"/>
  </w:font>
  <w:font w:name="TimesNewRomanPS">
    <w:panose1 w:val="00000000000000000000"/>
    <w:charset w:val="00"/>
    <w:family w:val="roman"/>
    <w:notTrueType/>
    <w:pitch w:val="variable"/>
    <w:sig w:usb0="00000003" w:usb1="00000000" w:usb2="00000000" w:usb3="00000000" w:csb0="00000001"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EY Gothic Cond DemiPS">
    <w:altName w:val="Arial"/>
    <w:panose1 w:val="00000000000000000000"/>
    <w:charset w:val="00"/>
    <w:family w:val="swiss"/>
    <w:notTrueType/>
    <w:pitch w:val="variable"/>
    <w:sig w:usb0="00000083" w:usb1="00000000" w:usb2="00000000" w:usb3="00000000" w:csb0="00000009" w:csb1="00000000"/>
  </w:font>
  <w:font w:name="EY Gothic Cond MedPS">
    <w:altName w:val="Arial"/>
    <w:panose1 w:val="00000000000000000000"/>
    <w:charset w:val="00"/>
    <w:family w:val="swiss"/>
    <w:notTrueType/>
    <w:pitch w:val="variable"/>
    <w:sig w:usb0="00000083" w:usb1="00000000" w:usb2="00000000" w:usb3="00000000" w:csb0="00000009" w:csb1="00000000"/>
  </w:font>
  <w:font w:name="EY Gothic Cond Demi">
    <w:charset w:val="00"/>
    <w:family w:val="auto"/>
    <w:pitch w:val="variable"/>
    <w:sig w:usb0="800000A7" w:usb1="00000040" w:usb2="00000000" w:usb3="00000000" w:csb0="00000009" w:csb1="00000000"/>
  </w:font>
  <w:font w:name="EY Gothic Cond Medium">
    <w:charset w:val="00"/>
    <w:family w:val="auto"/>
    <w:pitch w:val="variable"/>
    <w:sig w:usb0="800000A7" w:usb1="00000040" w:usb2="00000000" w:usb3="00000000" w:csb0="00000009" w:csb1="00000000"/>
  </w:font>
  <w:font w:name="Caslon540 BT">
    <w:altName w:val="Times New Roman"/>
    <w:charset w:val="00"/>
    <w:family w:val="roman"/>
    <w:pitch w:val="variable"/>
    <w:sig w:usb0="00000001" w:usb1="1000204A" w:usb2="00000000" w:usb3="00000000" w:csb0="00000011" w:csb1="00000000"/>
  </w:font>
  <w:font w:name="Univers LT 45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YInterstate-Light">
    <w:altName w:val="EYInterstate"/>
    <w:charset w:val="00"/>
    <w:family w:val="auto"/>
    <w:pitch w:val="variable"/>
    <w:sig w:usb0="80000003" w:usb1="00000000" w:usb2="00000000" w:usb3="00000000" w:csb0="00000001" w:csb1="00000000"/>
  </w:font>
  <w:font w:name="EYInterstate-LightItalic">
    <w:altName w:val="EYInterstate"/>
    <w:panose1 w:val="00000000000000000000"/>
    <w:charset w:val="00"/>
    <w:family w:val="swiss"/>
    <w:notTrueType/>
    <w:pitch w:val="default"/>
    <w:sig w:usb0="00000003" w:usb1="00000000" w:usb2="00000000" w:usb3="00000000" w:csb0="00000001" w:csb1="00000000"/>
  </w:font>
  <w:font w:name="EYInterstate Bold">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96AE" w14:textId="77777777" w:rsidR="00603FEE" w:rsidRPr="00C64691" w:rsidRDefault="00603FEE" w:rsidP="00C64691">
    <w:pPr>
      <w:pStyle w:val="Footer"/>
      <w:tabs>
        <w:tab w:val="clear" w:pos="4320"/>
        <w:tab w:val="clear" w:pos="8640"/>
        <w:tab w:val="center" w:pos="5387"/>
        <w:tab w:val="right" w:pos="9639"/>
        <w:tab w:val="right" w:pos="14742"/>
      </w:tabs>
      <w:spacing w:line="280" w:lineRule="exact"/>
      <w:jc w:val="center"/>
      <w:rPr>
        <w:rFonts w:ascii="Times New Roman" w:hAnsi="Times New Roman"/>
        <w:noProof/>
        <w:spacing w:val="0"/>
        <w:szCs w:val="16"/>
      </w:rPr>
    </w:pPr>
    <w:r w:rsidRPr="00C64691">
      <w:rPr>
        <w:rFonts w:ascii="Times New Roman" w:hAnsi="Times New Roman"/>
        <w:noProof/>
        <w:spacing w:val="0"/>
        <w:szCs w:val="16"/>
      </w:rPr>
      <w:fldChar w:fldCharType="begin"/>
    </w:r>
    <w:r w:rsidRPr="00C64691">
      <w:rPr>
        <w:rFonts w:ascii="Times New Roman" w:hAnsi="Times New Roman"/>
        <w:noProof/>
        <w:spacing w:val="0"/>
        <w:szCs w:val="16"/>
      </w:rPr>
      <w:instrText xml:space="preserve"> PAGE </w:instrText>
    </w:r>
    <w:r w:rsidRPr="00C64691">
      <w:rPr>
        <w:rFonts w:ascii="Times New Roman" w:hAnsi="Times New Roman"/>
        <w:noProof/>
        <w:spacing w:val="0"/>
        <w:szCs w:val="16"/>
      </w:rPr>
      <w:fldChar w:fldCharType="separate"/>
    </w:r>
    <w:r>
      <w:rPr>
        <w:rFonts w:ascii="Times New Roman" w:hAnsi="Times New Roman"/>
        <w:noProof/>
        <w:spacing w:val="0"/>
        <w:szCs w:val="16"/>
      </w:rPr>
      <w:t>2</w:t>
    </w:r>
    <w:r w:rsidRPr="00C64691">
      <w:rPr>
        <w:rFonts w:ascii="Times New Roman" w:hAnsi="Times New Roman"/>
        <w:noProof/>
        <w:spacing w:val="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9B1E" w14:textId="636C538D" w:rsidR="00603FEE" w:rsidRPr="00BF1205" w:rsidRDefault="00603FEE" w:rsidP="00E60302">
    <w:pPr>
      <w:pStyle w:val="Footer"/>
      <w:tabs>
        <w:tab w:val="clear" w:pos="4320"/>
        <w:tab w:val="clear" w:pos="8640"/>
        <w:tab w:val="center" w:pos="5387"/>
        <w:tab w:val="right" w:pos="10065"/>
      </w:tabs>
      <w:rPr>
        <w:rFonts w:cs="Arial"/>
        <w:spacing w:val="0"/>
        <w:sz w:val="14"/>
        <w:szCs w:val="16"/>
      </w:rPr>
    </w:pPr>
    <w:r>
      <w:rPr>
        <w:rFonts w:cs="Arial"/>
        <w:spacing w:val="0"/>
        <w:sz w:val="14"/>
        <w:szCs w:val="16"/>
      </w:rPr>
      <w:tab/>
    </w:r>
    <w:r w:rsidRPr="00BF4504">
      <w:rPr>
        <w:rFonts w:cs="Arial"/>
        <w:spacing w:val="0"/>
        <w:sz w:val="14"/>
        <w:szCs w:val="16"/>
      </w:rPr>
      <w:fldChar w:fldCharType="begin"/>
    </w:r>
    <w:r w:rsidRPr="00BF4504">
      <w:rPr>
        <w:rFonts w:cs="Arial"/>
        <w:spacing w:val="0"/>
        <w:sz w:val="14"/>
        <w:szCs w:val="16"/>
      </w:rPr>
      <w:instrText xml:space="preserve"> </w:instrText>
    </w:r>
    <w:r>
      <w:rPr>
        <w:rFonts w:cs="Arial"/>
        <w:spacing w:val="0"/>
        <w:sz w:val="14"/>
        <w:szCs w:val="16"/>
      </w:rPr>
      <w:instrText>PAGE</w:instrText>
    </w:r>
    <w:r w:rsidRPr="00BF4504">
      <w:rPr>
        <w:rFonts w:cs="Arial"/>
        <w:spacing w:val="0"/>
        <w:sz w:val="14"/>
        <w:szCs w:val="16"/>
      </w:rPr>
      <w:instrText xml:space="preserve"> </w:instrText>
    </w:r>
    <w:r w:rsidRPr="00BF4504">
      <w:rPr>
        <w:rFonts w:cs="Arial"/>
        <w:spacing w:val="0"/>
        <w:sz w:val="14"/>
        <w:szCs w:val="16"/>
      </w:rPr>
      <w:fldChar w:fldCharType="separate"/>
    </w:r>
    <w:r>
      <w:rPr>
        <w:rFonts w:cs="Arial"/>
        <w:noProof/>
        <w:spacing w:val="0"/>
        <w:sz w:val="14"/>
        <w:szCs w:val="16"/>
      </w:rPr>
      <w:t>2</w:t>
    </w:r>
    <w:r w:rsidRPr="00BF4504">
      <w:rPr>
        <w:rFonts w:cs="Arial"/>
        <w:spacing w:val="0"/>
        <w:sz w:val="14"/>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3B95D" w14:textId="59ADBD79" w:rsidR="00603FEE" w:rsidRPr="00C64691" w:rsidRDefault="00603FEE" w:rsidP="00C64691">
    <w:pPr>
      <w:pStyle w:val="Footer"/>
      <w:tabs>
        <w:tab w:val="clear" w:pos="4320"/>
        <w:tab w:val="clear" w:pos="8640"/>
        <w:tab w:val="center" w:pos="5387"/>
        <w:tab w:val="right" w:pos="9639"/>
        <w:tab w:val="right" w:pos="14742"/>
      </w:tabs>
      <w:spacing w:line="280" w:lineRule="exact"/>
      <w:jc w:val="center"/>
      <w:rPr>
        <w:rFonts w:ascii="Times New Roman" w:hAnsi="Times New Roman"/>
        <w:noProof/>
        <w:spacing w:val="0"/>
        <w:szCs w:val="16"/>
      </w:rPr>
    </w:pPr>
    <w:r w:rsidRPr="00C64691">
      <w:rPr>
        <w:rFonts w:ascii="Times New Roman" w:hAnsi="Times New Roman"/>
        <w:noProof/>
        <w:spacing w:val="0"/>
        <w:szCs w:val="16"/>
      </w:rPr>
      <w:fldChar w:fldCharType="begin"/>
    </w:r>
    <w:r w:rsidRPr="00C64691">
      <w:rPr>
        <w:rFonts w:ascii="Times New Roman" w:hAnsi="Times New Roman"/>
        <w:noProof/>
        <w:spacing w:val="0"/>
        <w:szCs w:val="16"/>
      </w:rPr>
      <w:instrText xml:space="preserve"> PAGE </w:instrText>
    </w:r>
    <w:r w:rsidRPr="00C64691">
      <w:rPr>
        <w:rFonts w:ascii="Times New Roman" w:hAnsi="Times New Roman"/>
        <w:noProof/>
        <w:spacing w:val="0"/>
        <w:szCs w:val="16"/>
      </w:rPr>
      <w:fldChar w:fldCharType="separate"/>
    </w:r>
    <w:r>
      <w:rPr>
        <w:rFonts w:ascii="Times New Roman" w:hAnsi="Times New Roman"/>
        <w:noProof/>
        <w:spacing w:val="0"/>
        <w:szCs w:val="16"/>
      </w:rPr>
      <w:t>13</w:t>
    </w:r>
    <w:r w:rsidRPr="00C64691">
      <w:rPr>
        <w:rFonts w:ascii="Times New Roman" w:hAnsi="Times New Roman"/>
        <w:noProof/>
        <w:spacing w:val="0"/>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CC84" w14:textId="77777777" w:rsidR="00603FEE" w:rsidRPr="00C64691" w:rsidRDefault="00603FEE" w:rsidP="00C64691">
    <w:pPr>
      <w:pStyle w:val="Footer"/>
      <w:tabs>
        <w:tab w:val="clear" w:pos="4320"/>
        <w:tab w:val="clear" w:pos="8640"/>
        <w:tab w:val="center" w:pos="5387"/>
        <w:tab w:val="right" w:pos="9639"/>
        <w:tab w:val="right" w:pos="14742"/>
      </w:tabs>
      <w:spacing w:line="280" w:lineRule="exact"/>
      <w:jc w:val="center"/>
      <w:rPr>
        <w:rFonts w:ascii="Times New Roman" w:hAnsi="Times New Roman"/>
        <w:noProof/>
        <w:spacing w:val="0"/>
        <w:szCs w:val="16"/>
      </w:rPr>
    </w:pPr>
    <w:r w:rsidRPr="00C64691">
      <w:rPr>
        <w:rFonts w:ascii="Times New Roman" w:hAnsi="Times New Roman"/>
        <w:noProof/>
        <w:spacing w:val="0"/>
        <w:szCs w:val="16"/>
      </w:rPr>
      <w:fldChar w:fldCharType="begin"/>
    </w:r>
    <w:r w:rsidRPr="00C64691">
      <w:rPr>
        <w:rFonts w:ascii="Times New Roman" w:hAnsi="Times New Roman"/>
        <w:noProof/>
        <w:spacing w:val="0"/>
        <w:szCs w:val="16"/>
      </w:rPr>
      <w:instrText xml:space="preserve"> PAGE </w:instrText>
    </w:r>
    <w:r w:rsidRPr="00C64691">
      <w:rPr>
        <w:rFonts w:ascii="Times New Roman" w:hAnsi="Times New Roman"/>
        <w:noProof/>
        <w:spacing w:val="0"/>
        <w:szCs w:val="16"/>
      </w:rPr>
      <w:fldChar w:fldCharType="separate"/>
    </w:r>
    <w:r>
      <w:rPr>
        <w:rFonts w:ascii="Times New Roman" w:hAnsi="Times New Roman"/>
        <w:noProof/>
        <w:spacing w:val="0"/>
        <w:szCs w:val="16"/>
      </w:rPr>
      <w:t>96</w:t>
    </w:r>
    <w:r w:rsidRPr="00C64691">
      <w:rPr>
        <w:rFonts w:ascii="Times New Roman" w:hAnsi="Times New Roman"/>
        <w:noProof/>
        <w:spacing w:val="0"/>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noProof/>
        <w:spacing w:val="0"/>
        <w:szCs w:val="16"/>
      </w:rPr>
      <w:id w:val="-1312709646"/>
      <w:docPartObj>
        <w:docPartGallery w:val="Page Numbers (Bottom of Page)"/>
        <w:docPartUnique/>
      </w:docPartObj>
    </w:sdtPr>
    <w:sdtEndPr/>
    <w:sdtContent>
      <w:p w14:paraId="7C3DC429" w14:textId="16D9176A" w:rsidR="00603FEE" w:rsidRPr="00C64691" w:rsidRDefault="00603FEE" w:rsidP="00C64691">
        <w:pPr>
          <w:pStyle w:val="Footer"/>
          <w:tabs>
            <w:tab w:val="clear" w:pos="4320"/>
            <w:tab w:val="clear" w:pos="8640"/>
            <w:tab w:val="center" w:pos="5387"/>
            <w:tab w:val="right" w:pos="9639"/>
            <w:tab w:val="right" w:pos="14742"/>
          </w:tabs>
          <w:spacing w:line="280" w:lineRule="exact"/>
          <w:jc w:val="center"/>
          <w:rPr>
            <w:rFonts w:ascii="Times New Roman" w:hAnsi="Times New Roman"/>
            <w:noProof/>
            <w:spacing w:val="0"/>
            <w:szCs w:val="16"/>
          </w:rPr>
        </w:pPr>
        <w:r w:rsidRPr="00C64691">
          <w:rPr>
            <w:rFonts w:ascii="Times New Roman" w:hAnsi="Times New Roman"/>
            <w:noProof/>
            <w:spacing w:val="0"/>
            <w:szCs w:val="16"/>
          </w:rPr>
          <w:fldChar w:fldCharType="begin"/>
        </w:r>
        <w:r w:rsidRPr="00C64691">
          <w:rPr>
            <w:rFonts w:ascii="Times New Roman" w:hAnsi="Times New Roman"/>
            <w:noProof/>
            <w:spacing w:val="0"/>
            <w:szCs w:val="16"/>
          </w:rPr>
          <w:instrText xml:space="preserve"> PAGE   \* MERGEFORMAT </w:instrText>
        </w:r>
        <w:r w:rsidRPr="00C64691">
          <w:rPr>
            <w:rFonts w:ascii="Times New Roman" w:hAnsi="Times New Roman"/>
            <w:noProof/>
            <w:spacing w:val="0"/>
            <w:szCs w:val="16"/>
          </w:rPr>
          <w:fldChar w:fldCharType="separate"/>
        </w:r>
        <w:r>
          <w:rPr>
            <w:rFonts w:ascii="Times New Roman" w:hAnsi="Times New Roman"/>
            <w:noProof/>
            <w:spacing w:val="0"/>
            <w:szCs w:val="16"/>
          </w:rPr>
          <w:t>88</w:t>
        </w:r>
        <w:r w:rsidRPr="00C64691">
          <w:rPr>
            <w:rFonts w:ascii="Times New Roman" w:hAnsi="Times New Roman"/>
            <w:noProof/>
            <w:spacing w:val="0"/>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2DD3" w14:textId="01181515" w:rsidR="00603FEE" w:rsidRPr="00C64691" w:rsidRDefault="00603FEE" w:rsidP="00C64691">
    <w:pPr>
      <w:pStyle w:val="Footer"/>
      <w:tabs>
        <w:tab w:val="clear" w:pos="4320"/>
        <w:tab w:val="clear" w:pos="8640"/>
        <w:tab w:val="center" w:pos="5387"/>
        <w:tab w:val="right" w:pos="9639"/>
        <w:tab w:val="right" w:pos="14742"/>
      </w:tabs>
      <w:spacing w:line="280" w:lineRule="exact"/>
      <w:jc w:val="center"/>
      <w:rPr>
        <w:rFonts w:ascii="Times New Roman" w:hAnsi="Times New Roman"/>
        <w:noProof/>
        <w:spacing w:val="0"/>
        <w:szCs w:val="16"/>
      </w:rPr>
    </w:pPr>
    <w:r w:rsidRPr="00C64691">
      <w:rPr>
        <w:rFonts w:ascii="Times New Roman" w:hAnsi="Times New Roman"/>
        <w:noProof/>
        <w:spacing w:val="0"/>
        <w:szCs w:val="16"/>
      </w:rPr>
      <w:fldChar w:fldCharType="begin"/>
    </w:r>
    <w:r w:rsidRPr="00C64691">
      <w:rPr>
        <w:rFonts w:ascii="Times New Roman" w:hAnsi="Times New Roman"/>
        <w:noProof/>
        <w:spacing w:val="0"/>
        <w:szCs w:val="16"/>
      </w:rPr>
      <w:instrText xml:space="preserve"> PAGE </w:instrText>
    </w:r>
    <w:r w:rsidRPr="00C64691">
      <w:rPr>
        <w:rFonts w:ascii="Times New Roman" w:hAnsi="Times New Roman"/>
        <w:noProof/>
        <w:spacing w:val="0"/>
        <w:szCs w:val="16"/>
      </w:rPr>
      <w:fldChar w:fldCharType="separate"/>
    </w:r>
    <w:r>
      <w:rPr>
        <w:rFonts w:ascii="Times New Roman" w:hAnsi="Times New Roman"/>
        <w:noProof/>
        <w:spacing w:val="0"/>
        <w:szCs w:val="16"/>
      </w:rPr>
      <w:t>169</w:t>
    </w:r>
    <w:r w:rsidRPr="00C64691">
      <w:rPr>
        <w:rFonts w:ascii="Times New Roman" w:hAnsi="Times New Roman"/>
        <w:noProof/>
        <w:spacing w:val="0"/>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8EB" w14:textId="77777777" w:rsidR="00603FEE" w:rsidRPr="00C64691" w:rsidRDefault="00603FEE" w:rsidP="00C64691">
    <w:pPr>
      <w:pStyle w:val="Footer"/>
      <w:tabs>
        <w:tab w:val="clear" w:pos="4320"/>
        <w:tab w:val="clear" w:pos="8640"/>
        <w:tab w:val="center" w:pos="5387"/>
        <w:tab w:val="right" w:pos="9639"/>
        <w:tab w:val="right" w:pos="14742"/>
      </w:tabs>
      <w:spacing w:line="280" w:lineRule="exact"/>
      <w:jc w:val="center"/>
      <w:rPr>
        <w:rFonts w:ascii="Times New Roman" w:hAnsi="Times New Roman"/>
        <w:noProof/>
        <w:spacing w:val="0"/>
        <w:szCs w:val="16"/>
      </w:rPr>
    </w:pPr>
    <w:r w:rsidRPr="00C64691">
      <w:rPr>
        <w:rFonts w:ascii="Times New Roman" w:hAnsi="Times New Roman"/>
        <w:noProof/>
        <w:spacing w:val="0"/>
        <w:szCs w:val="16"/>
      </w:rPr>
      <w:fldChar w:fldCharType="begin"/>
    </w:r>
    <w:r w:rsidRPr="00C64691">
      <w:rPr>
        <w:rFonts w:ascii="Times New Roman" w:hAnsi="Times New Roman"/>
        <w:noProof/>
        <w:spacing w:val="0"/>
        <w:szCs w:val="16"/>
      </w:rPr>
      <w:instrText xml:space="preserve"> PAGE </w:instrText>
    </w:r>
    <w:r w:rsidRPr="00C64691">
      <w:rPr>
        <w:rFonts w:ascii="Times New Roman" w:hAnsi="Times New Roman"/>
        <w:noProof/>
        <w:spacing w:val="0"/>
        <w:szCs w:val="16"/>
      </w:rPr>
      <w:fldChar w:fldCharType="separate"/>
    </w:r>
    <w:r>
      <w:rPr>
        <w:rFonts w:ascii="Times New Roman" w:hAnsi="Times New Roman"/>
        <w:noProof/>
        <w:spacing w:val="0"/>
        <w:szCs w:val="16"/>
      </w:rPr>
      <w:t>144</w:t>
    </w:r>
    <w:r w:rsidRPr="00C64691">
      <w:rPr>
        <w:rFonts w:ascii="Times New Roman" w:hAnsi="Times New Roman"/>
        <w:noProof/>
        <w:spacing w:val="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B7FC5" w14:textId="77777777" w:rsidR="00AC7754" w:rsidRDefault="00AC7754">
      <w:r>
        <w:separator/>
      </w:r>
    </w:p>
  </w:footnote>
  <w:footnote w:type="continuationSeparator" w:id="0">
    <w:p w14:paraId="56CF135F" w14:textId="77777777" w:rsidR="00AC7754" w:rsidRDefault="00AC7754">
      <w:r>
        <w:continuationSeparator/>
      </w:r>
    </w:p>
    <w:p w14:paraId="61270EBB" w14:textId="77777777" w:rsidR="00AC7754" w:rsidRDefault="00AC7754"/>
    <w:p w14:paraId="326D195D" w14:textId="77777777" w:rsidR="00AC7754" w:rsidRDefault="00AC7754"/>
    <w:p w14:paraId="1E72E12D" w14:textId="77777777" w:rsidR="00AC7754" w:rsidRDefault="00AC7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E745" w14:textId="77777777" w:rsidR="00603FEE" w:rsidRDefault="00603FEE" w:rsidP="00C64691">
    <w:pPr>
      <w:pStyle w:val="Header"/>
      <w:jc w:val="both"/>
      <w:rPr>
        <w:sz w:val="16"/>
        <w:szCs w:val="16"/>
      </w:rPr>
    </w:pPr>
  </w:p>
  <w:p w14:paraId="3B9925A6" w14:textId="77777777" w:rsidR="00603FEE" w:rsidRDefault="00603FEE" w:rsidP="00C64691">
    <w:pPr>
      <w:pStyle w:val="Header"/>
      <w:jc w:val="both"/>
      <w:rPr>
        <w:sz w:val="16"/>
        <w:szCs w:val="16"/>
      </w:rPr>
    </w:pPr>
  </w:p>
  <w:p w14:paraId="7D461423" w14:textId="77777777" w:rsidR="00603FEE" w:rsidRDefault="00603FEE" w:rsidP="00010466">
    <w:pPr>
      <w:pStyle w:val="Header"/>
      <w:spacing w:line="280" w:lineRule="exact"/>
      <w:jc w:val="both"/>
      <w:rPr>
        <w:rFonts w:ascii="Times New Roman" w:hAnsi="Times New Roman"/>
        <w:b/>
        <w:smallCaps w:val="0"/>
        <w:spacing w:val="0"/>
        <w:sz w:val="28"/>
        <w:szCs w:val="14"/>
      </w:rPr>
    </w:pPr>
    <w:r w:rsidRPr="00010466">
      <w:rPr>
        <w:rFonts w:ascii="Times New Roman" w:hAnsi="Times New Roman"/>
        <w:b/>
        <w:smallCaps w:val="0"/>
        <w:spacing w:val="0"/>
        <w:sz w:val="28"/>
        <w:szCs w:val="14"/>
      </w:rPr>
      <w:t>Illustration FTA (India) Limited</w:t>
    </w:r>
  </w:p>
  <w:p w14:paraId="047F83D2" w14:textId="77777777" w:rsidR="00603FEE" w:rsidRPr="00010466" w:rsidRDefault="00603FEE" w:rsidP="00AF7CA4">
    <w:pPr>
      <w:pStyle w:val="Header"/>
      <w:spacing w:line="280" w:lineRule="exact"/>
      <w:jc w:val="both"/>
      <w:rPr>
        <w:rFonts w:ascii="Times New Roman" w:hAnsi="Times New Roman"/>
        <w:b/>
        <w:smallCaps w:val="0"/>
        <w:spacing w:val="0"/>
        <w:sz w:val="28"/>
        <w:szCs w:val="14"/>
      </w:rPr>
    </w:pPr>
    <w:r w:rsidRPr="00617541">
      <w:rPr>
        <w:rFonts w:ascii="Times New Roman" w:hAnsi="Times New Roman"/>
        <w:b/>
        <w:smallCaps w:val="0"/>
        <w:spacing w:val="0"/>
        <w:sz w:val="28"/>
        <w:szCs w:val="14"/>
      </w:rPr>
      <w:t xml:space="preserve">Consolidated </w:t>
    </w:r>
    <w:r>
      <w:rPr>
        <w:rFonts w:ascii="Times New Roman" w:hAnsi="Times New Roman"/>
        <w:b/>
        <w:smallCaps w:val="0"/>
        <w:spacing w:val="0"/>
        <w:sz w:val="28"/>
        <w:szCs w:val="14"/>
      </w:rPr>
      <w:t xml:space="preserve">Financial statement for the year ended </w:t>
    </w:r>
    <w:r w:rsidRPr="00617541">
      <w:rPr>
        <w:rFonts w:ascii="Times New Roman" w:hAnsi="Times New Roman"/>
        <w:b/>
        <w:smallCaps w:val="0"/>
        <w:spacing w:val="0"/>
        <w:sz w:val="28"/>
        <w:szCs w:val="14"/>
      </w:rPr>
      <w:t xml:space="preserve">31 </w:t>
    </w:r>
    <w:r>
      <w:rPr>
        <w:rFonts w:ascii="Times New Roman" w:hAnsi="Times New Roman"/>
        <w:b/>
        <w:smallCaps w:val="0"/>
        <w:spacing w:val="0"/>
        <w:sz w:val="28"/>
        <w:szCs w:val="14"/>
      </w:rPr>
      <w:t>March 2019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CE3D" w14:textId="77777777" w:rsidR="00603FEE" w:rsidRPr="00C820CA" w:rsidRDefault="00603FEE" w:rsidP="00C820CA">
    <w:pPr>
      <w:pStyle w:val="Header"/>
      <w:spacing w:line="360" w:lineRule="exact"/>
      <w:jc w:val="both"/>
      <w:rPr>
        <w:rFonts w:ascii="Arial" w:hAnsi="Arial" w:cs="Arial"/>
        <w:b/>
        <w:smallCaps w:val="0"/>
        <w:spacing w:val="0"/>
        <w:sz w:val="28"/>
        <w:szCs w:val="14"/>
      </w:rPr>
    </w:pPr>
    <w:r w:rsidRPr="00C820CA">
      <w:rPr>
        <w:rFonts w:ascii="Arial" w:hAnsi="Arial" w:cs="Arial"/>
        <w:b/>
        <w:smallCaps w:val="0"/>
        <w:spacing w:val="0"/>
        <w:sz w:val="28"/>
        <w:szCs w:val="14"/>
      </w:rPr>
      <w:t>Illustration (India) Limited</w:t>
    </w:r>
  </w:p>
  <w:p w14:paraId="17CDD2E1" w14:textId="62AA85C1" w:rsidR="00603FEE" w:rsidRPr="00C820CA" w:rsidRDefault="00603FEE" w:rsidP="00C820CA">
    <w:pPr>
      <w:pStyle w:val="Heading10"/>
      <w:pBdr>
        <w:bottom w:val="single" w:sz="4" w:space="1" w:color="auto"/>
      </w:pBdr>
      <w:rPr>
        <w:rFonts w:ascii="Arial" w:hAnsi="Arial" w:cs="Arial"/>
        <w:color w:val="000000" w:themeColor="text1"/>
        <w:sz w:val="28"/>
      </w:rPr>
    </w:pPr>
    <w:r w:rsidRPr="00C820CA">
      <w:rPr>
        <w:rFonts w:ascii="Arial" w:hAnsi="Arial" w:cs="Arial"/>
        <w:color w:val="000000" w:themeColor="text1"/>
        <w:sz w:val="28"/>
      </w:rPr>
      <w:t xml:space="preserve">Consolidated Statement of Changes in Equity for the year ended 31 </w:t>
    </w:r>
    <w:r>
      <w:rPr>
        <w:rFonts w:ascii="Arial" w:hAnsi="Arial" w:cs="Arial"/>
        <w:color w:val="000000" w:themeColor="text1"/>
        <w:sz w:val="28"/>
      </w:rPr>
      <w:t>March 2021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57A01" w14:textId="77777777" w:rsidR="00603FEE" w:rsidRPr="00CA59D5" w:rsidRDefault="00603FEE" w:rsidP="00CA59D5">
    <w:pPr>
      <w:pStyle w:val="Header"/>
      <w:spacing w:line="360" w:lineRule="exact"/>
      <w:jc w:val="both"/>
      <w:rPr>
        <w:rFonts w:ascii="Arial" w:hAnsi="Arial" w:cs="Arial"/>
        <w:b/>
        <w:smallCaps w:val="0"/>
        <w:spacing w:val="0"/>
        <w:sz w:val="28"/>
        <w:szCs w:val="14"/>
      </w:rPr>
    </w:pPr>
    <w:r w:rsidRPr="00CA59D5">
      <w:rPr>
        <w:rFonts w:ascii="Arial" w:hAnsi="Arial" w:cs="Arial"/>
        <w:b/>
        <w:smallCaps w:val="0"/>
        <w:spacing w:val="0"/>
        <w:sz w:val="28"/>
        <w:szCs w:val="14"/>
      </w:rPr>
      <w:t>Illustration (India) Limited</w:t>
    </w:r>
  </w:p>
  <w:p w14:paraId="6C564F6D" w14:textId="744E9060" w:rsidR="00603FEE" w:rsidRPr="00CA59D5" w:rsidRDefault="00603FEE" w:rsidP="00CA59D5">
    <w:pPr>
      <w:pStyle w:val="Heading10"/>
      <w:pBdr>
        <w:bottom w:val="single" w:sz="4" w:space="1" w:color="auto"/>
      </w:pBdr>
      <w:rPr>
        <w:rFonts w:ascii="Arial" w:hAnsi="Arial" w:cs="Arial"/>
        <w:color w:val="000000" w:themeColor="text1"/>
        <w:sz w:val="28"/>
      </w:rPr>
    </w:pPr>
    <w:r w:rsidRPr="00CA59D5">
      <w:rPr>
        <w:rFonts w:ascii="Arial" w:hAnsi="Arial" w:cs="Arial"/>
        <w:color w:val="000000" w:themeColor="text1"/>
        <w:sz w:val="28"/>
      </w:rPr>
      <w:t xml:space="preserve">Consolidated Statement of Changes in Equity for the year ended 31 </w:t>
    </w:r>
    <w:r>
      <w:rPr>
        <w:rFonts w:ascii="Arial" w:hAnsi="Arial" w:cs="Arial"/>
        <w:color w:val="000000" w:themeColor="text1"/>
        <w:sz w:val="28"/>
      </w:rPr>
      <w:t>March 2021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7A064" w14:textId="77777777" w:rsidR="00603FEE" w:rsidRPr="00010466" w:rsidRDefault="00603FEE" w:rsidP="008C0178">
    <w:pPr>
      <w:pStyle w:val="Header"/>
      <w:spacing w:line="280" w:lineRule="exact"/>
      <w:jc w:val="both"/>
      <w:rPr>
        <w:rFonts w:ascii="Times New Roman" w:hAnsi="Times New Roman"/>
        <w:b/>
        <w:smallCaps w:val="0"/>
        <w:spacing w:val="0"/>
        <w:sz w:val="36"/>
      </w:rPr>
    </w:pPr>
    <w:r w:rsidRPr="00010466">
      <w:rPr>
        <w:rFonts w:ascii="Times New Roman" w:hAnsi="Times New Roman"/>
        <w:b/>
        <w:smallCaps w:val="0"/>
        <w:spacing w:val="0"/>
        <w:sz w:val="28"/>
        <w:szCs w:val="14"/>
      </w:rPr>
      <w:t>Illustration FTA (India) Limited</w:t>
    </w:r>
  </w:p>
  <w:p w14:paraId="2D80E3D0" w14:textId="77777777" w:rsidR="00603FEE" w:rsidRPr="008C0178" w:rsidRDefault="00603FEE" w:rsidP="008C0178">
    <w:pPr>
      <w:pStyle w:val="Heading10"/>
      <w:rPr>
        <w:rFonts w:ascii="Times New Roman" w:hAnsi="Times New Roman"/>
        <w:sz w:val="28"/>
      </w:rPr>
    </w:pPr>
    <w:r w:rsidRPr="008C0178">
      <w:rPr>
        <w:rFonts w:ascii="Times New Roman" w:hAnsi="Times New Roman"/>
        <w:sz w:val="28"/>
      </w:rPr>
      <w:t>Consolidated Statement of Cash Flows for the</w:t>
    </w:r>
    <w:r>
      <w:rPr>
        <w:rFonts w:ascii="Times New Roman" w:hAnsi="Times New Roman"/>
        <w:sz w:val="28"/>
      </w:rPr>
      <w:t xml:space="preserve"> </w:t>
    </w:r>
    <w:r w:rsidRPr="008C0178">
      <w:rPr>
        <w:rFonts w:ascii="Times New Roman" w:hAnsi="Times New Roman"/>
        <w:sz w:val="28"/>
      </w:rPr>
      <w:t xml:space="preserve">Year Ended 31 </w:t>
    </w:r>
    <w:r>
      <w:rPr>
        <w:rFonts w:ascii="Times New Roman" w:hAnsi="Times New Roman"/>
        <w:sz w:val="28"/>
      </w:rPr>
      <w:t>March 2019</w:t>
    </w:r>
  </w:p>
  <w:p w14:paraId="44B060FA" w14:textId="77777777" w:rsidR="00603FEE" w:rsidRPr="008C0178" w:rsidRDefault="00603FEE" w:rsidP="008C01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E0C3" w14:textId="77777777" w:rsidR="00603FEE" w:rsidRPr="0029221C" w:rsidRDefault="00603FEE" w:rsidP="0029221C">
    <w:pPr>
      <w:pStyle w:val="Header"/>
      <w:spacing w:line="360" w:lineRule="atLeast"/>
      <w:jc w:val="both"/>
      <w:rPr>
        <w:rFonts w:ascii="Arial" w:hAnsi="Arial" w:cs="Arial"/>
        <w:b/>
        <w:smallCaps w:val="0"/>
        <w:spacing w:val="0"/>
        <w:sz w:val="32"/>
      </w:rPr>
    </w:pPr>
    <w:r w:rsidRPr="0029221C">
      <w:rPr>
        <w:rFonts w:ascii="Arial" w:hAnsi="Arial" w:cs="Arial"/>
        <w:b/>
        <w:smallCaps w:val="0"/>
        <w:spacing w:val="0"/>
        <w:sz w:val="24"/>
        <w:szCs w:val="14"/>
      </w:rPr>
      <w:t>Illustration (India) Limited</w:t>
    </w:r>
  </w:p>
  <w:p w14:paraId="349A7766" w14:textId="050596FC" w:rsidR="00603FEE" w:rsidRPr="0029221C" w:rsidRDefault="00603FEE" w:rsidP="0029221C">
    <w:pPr>
      <w:pStyle w:val="Heading10"/>
      <w:pBdr>
        <w:bottom w:val="single" w:sz="4" w:space="1" w:color="auto"/>
      </w:pBdr>
      <w:spacing w:after="0" w:line="360" w:lineRule="atLeast"/>
      <w:rPr>
        <w:rFonts w:ascii="Arial" w:hAnsi="Arial" w:cs="Arial"/>
        <w:color w:val="000000" w:themeColor="text1"/>
        <w:sz w:val="24"/>
      </w:rPr>
    </w:pPr>
    <w:r w:rsidRPr="0029221C">
      <w:rPr>
        <w:rFonts w:ascii="Arial" w:hAnsi="Arial" w:cs="Arial"/>
        <w:color w:val="000000" w:themeColor="text1"/>
        <w:sz w:val="24"/>
      </w:rPr>
      <w:t xml:space="preserve">Consolidated Statement of Cash Flows for the year ended 31 </w:t>
    </w:r>
    <w:r>
      <w:rPr>
        <w:rFonts w:ascii="Arial" w:hAnsi="Arial" w:cs="Arial"/>
        <w:color w:val="000000" w:themeColor="text1"/>
        <w:sz w:val="24"/>
      </w:rPr>
      <w:t>March 2021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28" w:type="dxa"/>
      <w:tblLayout w:type="fixed"/>
      <w:tblLook w:val="01E0" w:firstRow="1" w:lastRow="1" w:firstColumn="1" w:lastColumn="1" w:noHBand="0" w:noVBand="0"/>
    </w:tblPr>
    <w:tblGrid>
      <w:gridCol w:w="9348"/>
      <w:gridCol w:w="1080"/>
    </w:tblGrid>
    <w:tr w:rsidR="00603FEE" w:rsidRPr="00E54FA3" w14:paraId="54E4F100" w14:textId="77777777" w:rsidTr="00151684">
      <w:trPr>
        <w:tblHeader/>
      </w:trPr>
      <w:tc>
        <w:tcPr>
          <w:tcW w:w="9348" w:type="dxa"/>
        </w:tcPr>
        <w:p w14:paraId="42E91C9A" w14:textId="77777777" w:rsidR="00603FEE" w:rsidRPr="00E54FA3" w:rsidRDefault="00603FEE" w:rsidP="00151684">
          <w:pPr>
            <w:pStyle w:val="Heading10"/>
            <w:rPr>
              <w:rFonts w:ascii="Times New Roman" w:hAnsi="Times New Roman" w:cs="Arial"/>
              <w:sz w:val="28"/>
            </w:rPr>
          </w:pPr>
          <w:r w:rsidRPr="00E54FA3">
            <w:rPr>
              <w:rFonts w:ascii="Times New Roman" w:hAnsi="Times New Roman" w:cs="Arial"/>
              <w:sz w:val="28"/>
            </w:rPr>
            <w:br w:type="page"/>
            <w:t>Notes to the consolidated financial statements</w:t>
          </w:r>
        </w:p>
      </w:tc>
      <w:tc>
        <w:tcPr>
          <w:tcW w:w="1080" w:type="dxa"/>
          <w:tcMar>
            <w:left w:w="57" w:type="dxa"/>
          </w:tcMar>
        </w:tcPr>
        <w:p w14:paraId="03FB25C7" w14:textId="77777777" w:rsidR="00603FEE" w:rsidRPr="00E54FA3" w:rsidRDefault="00603FEE" w:rsidP="00151684">
          <w:pPr>
            <w:pStyle w:val="IAStext"/>
            <w:overflowPunct w:val="0"/>
            <w:autoSpaceDE w:val="0"/>
            <w:autoSpaceDN w:val="0"/>
            <w:adjustRightInd w:val="0"/>
            <w:spacing w:after="120"/>
            <w:textAlignment w:val="baseline"/>
            <w:rPr>
              <w:rFonts w:ascii="Times New Roman" w:hAnsi="Times New Roman" w:cs="Arial"/>
              <w:b/>
              <w:color w:val="000000"/>
              <w:sz w:val="28"/>
            </w:rPr>
          </w:pPr>
        </w:p>
      </w:tc>
    </w:tr>
  </w:tbl>
  <w:p w14:paraId="6DFE5F32" w14:textId="77777777" w:rsidR="00603FEE" w:rsidRDefault="00603FE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D5D7" w14:textId="77777777" w:rsidR="00603FEE" w:rsidRPr="006433EC" w:rsidRDefault="00603FEE" w:rsidP="006433EC">
    <w:pPr>
      <w:pStyle w:val="Header"/>
      <w:spacing w:line="280" w:lineRule="exact"/>
      <w:rPr>
        <w:rFonts w:ascii="Times New Roman" w:hAnsi="Times New Roman"/>
        <w:b/>
        <w:smallCaps w:val="0"/>
        <w:spacing w:val="0"/>
        <w:sz w:val="28"/>
        <w:szCs w:val="14"/>
      </w:rPr>
    </w:pPr>
    <w:r w:rsidRPr="006433EC">
      <w:rPr>
        <w:rFonts w:ascii="Times New Roman" w:hAnsi="Times New Roman"/>
        <w:b/>
        <w:smallCaps w:val="0"/>
        <w:spacing w:val="0"/>
        <w:sz w:val="28"/>
        <w:szCs w:val="14"/>
      </w:rPr>
      <w:t>Illustration FTA (India) Limited</w:t>
    </w:r>
  </w:p>
  <w:p w14:paraId="434A411E" w14:textId="77777777" w:rsidR="00603FEE" w:rsidRPr="008C0178" w:rsidRDefault="00603FEE" w:rsidP="008C0178">
    <w:pPr>
      <w:pStyle w:val="Heading10"/>
      <w:rPr>
        <w:rFonts w:ascii="Times New Roman" w:hAnsi="Times New Roman"/>
        <w:sz w:val="28"/>
      </w:rPr>
    </w:pPr>
    <w:r w:rsidRPr="008C0178">
      <w:rPr>
        <w:rFonts w:ascii="Times New Roman" w:hAnsi="Times New Roman"/>
        <w:sz w:val="28"/>
      </w:rPr>
      <w:t>Notes to the consolidated financial statements</w:t>
    </w:r>
  </w:p>
  <w:p w14:paraId="12B0F598" w14:textId="77777777" w:rsidR="00603FEE" w:rsidRPr="001C5BFA" w:rsidRDefault="00603FEE" w:rsidP="00151684">
    <w:pPr>
      <w:pStyle w:val="Header"/>
      <w:spacing w:line="120" w:lineRule="exac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ABC8" w14:textId="77777777" w:rsidR="00603FEE" w:rsidRPr="00D87FDE" w:rsidRDefault="00603FEE" w:rsidP="00D87FDE">
    <w:pPr>
      <w:pStyle w:val="Header"/>
      <w:spacing w:line="360" w:lineRule="exact"/>
      <w:rPr>
        <w:rFonts w:ascii="Arial" w:hAnsi="Arial" w:cs="Arial"/>
        <w:b/>
        <w:smallCaps w:val="0"/>
        <w:spacing w:val="0"/>
        <w:sz w:val="24"/>
        <w:szCs w:val="26"/>
      </w:rPr>
    </w:pPr>
    <w:r w:rsidRPr="00D87FDE">
      <w:rPr>
        <w:rFonts w:ascii="Arial" w:hAnsi="Arial" w:cs="Arial"/>
        <w:b/>
        <w:smallCaps w:val="0"/>
        <w:spacing w:val="0"/>
        <w:sz w:val="24"/>
        <w:szCs w:val="26"/>
      </w:rPr>
      <w:t>Illustration (India) Limited</w:t>
    </w:r>
  </w:p>
  <w:p w14:paraId="123D0C53" w14:textId="427DE86F" w:rsidR="00603FEE" w:rsidRPr="00D87FDE" w:rsidRDefault="00603FEE" w:rsidP="00D87FDE">
    <w:pPr>
      <w:pStyle w:val="Heading10"/>
      <w:pBdr>
        <w:bottom w:val="single" w:sz="4" w:space="1" w:color="auto"/>
      </w:pBdr>
      <w:rPr>
        <w:rFonts w:ascii="Arial" w:hAnsi="Arial" w:cs="Arial"/>
        <w:color w:val="000000" w:themeColor="text1"/>
        <w:sz w:val="24"/>
        <w:szCs w:val="26"/>
      </w:rPr>
    </w:pPr>
    <w:r w:rsidRPr="00D87FDE">
      <w:rPr>
        <w:rFonts w:ascii="Arial" w:hAnsi="Arial" w:cs="Arial"/>
        <w:color w:val="000000" w:themeColor="text1"/>
        <w:sz w:val="24"/>
        <w:szCs w:val="26"/>
      </w:rPr>
      <w:t xml:space="preserve">Notes to the Consolidated Financial Statements for the year ended 31 </w:t>
    </w:r>
    <w:r>
      <w:rPr>
        <w:rFonts w:ascii="Arial" w:hAnsi="Arial" w:cs="Arial"/>
        <w:color w:val="000000" w:themeColor="text1"/>
        <w:sz w:val="24"/>
        <w:szCs w:val="26"/>
      </w:rPr>
      <w:t>March 2021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0173" w14:textId="77777777" w:rsidR="00603FEE" w:rsidRPr="006433EC" w:rsidRDefault="00603FEE" w:rsidP="00407E19">
    <w:pPr>
      <w:pStyle w:val="Header"/>
      <w:spacing w:line="280" w:lineRule="exact"/>
      <w:rPr>
        <w:rFonts w:ascii="Times New Roman" w:hAnsi="Times New Roman"/>
        <w:b/>
        <w:smallCaps w:val="0"/>
        <w:spacing w:val="0"/>
        <w:sz w:val="28"/>
        <w:szCs w:val="14"/>
      </w:rPr>
    </w:pPr>
    <w:r w:rsidRPr="006433EC">
      <w:rPr>
        <w:rFonts w:ascii="Times New Roman" w:hAnsi="Times New Roman"/>
        <w:b/>
        <w:smallCaps w:val="0"/>
        <w:spacing w:val="0"/>
        <w:sz w:val="28"/>
        <w:szCs w:val="14"/>
      </w:rPr>
      <w:t>Illustration FTA (India) Limited</w:t>
    </w:r>
  </w:p>
  <w:p w14:paraId="6A6E53AB" w14:textId="77777777" w:rsidR="00603FEE" w:rsidRPr="00407E19" w:rsidRDefault="00603FEE" w:rsidP="00407E19">
    <w:pPr>
      <w:pStyle w:val="Heading10"/>
      <w:rPr>
        <w:rFonts w:ascii="Times New Roman" w:hAnsi="Times New Roman"/>
        <w:sz w:val="28"/>
      </w:rPr>
    </w:pPr>
    <w:r w:rsidRPr="008C0178">
      <w:rPr>
        <w:rFonts w:ascii="Times New Roman" w:hAnsi="Times New Roman"/>
        <w:sz w:val="28"/>
      </w:rPr>
      <w:t>Notes to the co</w:t>
    </w:r>
    <w:r>
      <w:rPr>
        <w:rFonts w:ascii="Times New Roman" w:hAnsi="Times New Roman"/>
        <w:sz w:val="28"/>
      </w:rPr>
      <w:t>nsolidated financial statements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5C16" w14:textId="77777777" w:rsidR="00603FEE" w:rsidRPr="00C3108A" w:rsidRDefault="00603FEE" w:rsidP="00C3108A">
    <w:pPr>
      <w:pStyle w:val="Header"/>
      <w:spacing w:line="360" w:lineRule="exact"/>
      <w:rPr>
        <w:rFonts w:ascii="Arial" w:hAnsi="Arial" w:cs="Arial"/>
        <w:b/>
        <w:smallCaps w:val="0"/>
        <w:spacing w:val="0"/>
        <w:sz w:val="24"/>
        <w:szCs w:val="14"/>
      </w:rPr>
    </w:pPr>
    <w:r w:rsidRPr="00C3108A">
      <w:rPr>
        <w:rFonts w:ascii="Arial" w:hAnsi="Arial" w:cs="Arial"/>
        <w:b/>
        <w:smallCaps w:val="0"/>
        <w:spacing w:val="0"/>
        <w:sz w:val="24"/>
        <w:szCs w:val="14"/>
      </w:rPr>
      <w:t>Illustration (India) Limited</w:t>
    </w:r>
  </w:p>
  <w:p w14:paraId="41FD84F2" w14:textId="734ACE93" w:rsidR="00603FEE" w:rsidRPr="00C3108A" w:rsidRDefault="00603FEE" w:rsidP="00C3108A">
    <w:pPr>
      <w:pStyle w:val="Heading10"/>
      <w:pBdr>
        <w:bottom w:val="single" w:sz="4" w:space="1" w:color="auto"/>
      </w:pBdr>
      <w:rPr>
        <w:rFonts w:ascii="Arial" w:hAnsi="Arial" w:cs="Arial"/>
        <w:color w:val="auto"/>
        <w:sz w:val="24"/>
      </w:rPr>
    </w:pPr>
    <w:r w:rsidRPr="00C3108A">
      <w:rPr>
        <w:rFonts w:ascii="Arial" w:hAnsi="Arial" w:cs="Arial"/>
        <w:color w:val="auto"/>
        <w:sz w:val="24"/>
      </w:rPr>
      <w:t xml:space="preserve">Notes to the consolidated financial statements for the year ended 31 </w:t>
    </w:r>
    <w:r>
      <w:rPr>
        <w:rFonts w:ascii="Arial" w:hAnsi="Arial" w:cs="Arial"/>
        <w:color w:val="auto"/>
        <w:sz w:val="24"/>
      </w:rPr>
      <w:t>March 2021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5D20" w14:textId="77777777" w:rsidR="00603FEE" w:rsidRPr="00F252CD" w:rsidRDefault="00603FEE" w:rsidP="00F252CD">
    <w:pPr>
      <w:pStyle w:val="Header"/>
      <w:spacing w:line="360" w:lineRule="exact"/>
      <w:rPr>
        <w:rFonts w:ascii="Arial" w:hAnsi="Arial" w:cs="Arial"/>
        <w:b/>
        <w:smallCaps w:val="0"/>
        <w:spacing w:val="0"/>
        <w:sz w:val="28"/>
        <w:szCs w:val="14"/>
      </w:rPr>
    </w:pPr>
    <w:r w:rsidRPr="00F252CD">
      <w:rPr>
        <w:rFonts w:ascii="Arial" w:hAnsi="Arial" w:cs="Arial"/>
        <w:b/>
        <w:smallCaps w:val="0"/>
        <w:spacing w:val="0"/>
        <w:sz w:val="28"/>
        <w:szCs w:val="14"/>
      </w:rPr>
      <w:t>Illustration (India) Limited</w:t>
    </w:r>
  </w:p>
  <w:p w14:paraId="3B456F4A" w14:textId="17E3DEF5" w:rsidR="00603FEE" w:rsidRPr="00F252CD" w:rsidRDefault="00603FEE" w:rsidP="00F252CD">
    <w:pPr>
      <w:pStyle w:val="Heading10"/>
      <w:pBdr>
        <w:bottom w:val="single" w:sz="4" w:space="1" w:color="auto"/>
      </w:pBdr>
      <w:rPr>
        <w:rFonts w:ascii="Arial" w:hAnsi="Arial" w:cs="Arial"/>
        <w:color w:val="auto"/>
        <w:sz w:val="28"/>
      </w:rPr>
    </w:pPr>
    <w:r w:rsidRPr="00F252CD">
      <w:rPr>
        <w:rFonts w:ascii="Arial" w:hAnsi="Arial" w:cs="Arial"/>
        <w:color w:val="auto"/>
        <w:sz w:val="28"/>
      </w:rPr>
      <w:t>Notes to the consolidated financial statements</w:t>
    </w:r>
    <w:r>
      <w:rPr>
        <w:rFonts w:ascii="Arial" w:hAnsi="Arial" w:cs="Arial"/>
        <w:color w:val="auto"/>
        <w:sz w:val="28"/>
      </w:rPr>
      <w:t xml:space="preserve"> </w:t>
    </w:r>
    <w:r w:rsidRPr="00F252CD">
      <w:rPr>
        <w:rFonts w:ascii="Arial" w:hAnsi="Arial" w:cs="Arial"/>
        <w:color w:val="auto"/>
        <w:sz w:val="28"/>
      </w:rPr>
      <w:t xml:space="preserve">for the year ended 31 </w:t>
    </w:r>
    <w:r>
      <w:rPr>
        <w:rFonts w:ascii="Arial" w:hAnsi="Arial" w:cs="Arial"/>
        <w:color w:val="auto"/>
        <w:sz w:val="28"/>
      </w:rPr>
      <w:t xml:space="preserve">March </w:t>
    </w:r>
    <w:r w:rsidR="002811F9">
      <w:rPr>
        <w:rFonts w:ascii="Arial" w:hAnsi="Arial" w:cs="Arial"/>
        <w:color w:val="auto"/>
        <w:sz w:val="28"/>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ACF1" w14:textId="77777777" w:rsidR="00603FEE" w:rsidRPr="00163A0C" w:rsidRDefault="00603FEE" w:rsidP="00163A0C">
    <w:pPr>
      <w:pStyle w:val="Header"/>
      <w:spacing w:line="360" w:lineRule="exact"/>
      <w:jc w:val="both"/>
      <w:rPr>
        <w:rFonts w:ascii="Arial" w:hAnsi="Arial" w:cs="Arial"/>
        <w:b/>
        <w:smallCaps w:val="0"/>
        <w:spacing w:val="0"/>
        <w:sz w:val="28"/>
        <w:szCs w:val="14"/>
      </w:rPr>
    </w:pPr>
    <w:r w:rsidRPr="00163A0C">
      <w:rPr>
        <w:rFonts w:ascii="Arial" w:hAnsi="Arial" w:cs="Arial"/>
        <w:b/>
        <w:smallCaps w:val="0"/>
        <w:spacing w:val="0"/>
        <w:sz w:val="28"/>
        <w:szCs w:val="14"/>
      </w:rPr>
      <w:t>Illustration (India) Limited</w:t>
    </w:r>
  </w:p>
  <w:p w14:paraId="0C7D8E84" w14:textId="71B6B73F" w:rsidR="00603FEE" w:rsidRPr="00163A0C" w:rsidRDefault="00603FEE" w:rsidP="00163A0C">
    <w:pPr>
      <w:pStyle w:val="Header"/>
      <w:pBdr>
        <w:bottom w:val="single" w:sz="4" w:space="1" w:color="auto"/>
      </w:pBdr>
      <w:spacing w:line="360" w:lineRule="exact"/>
      <w:jc w:val="both"/>
      <w:rPr>
        <w:rFonts w:ascii="Arial" w:hAnsi="Arial" w:cs="Arial"/>
        <w:b/>
        <w:smallCaps w:val="0"/>
        <w:spacing w:val="0"/>
        <w:sz w:val="28"/>
        <w:szCs w:val="14"/>
      </w:rPr>
    </w:pPr>
    <w:r w:rsidRPr="00163A0C">
      <w:rPr>
        <w:rFonts w:ascii="Arial" w:hAnsi="Arial" w:cs="Arial"/>
        <w:b/>
        <w:smallCaps w:val="0"/>
        <w:spacing w:val="0"/>
        <w:sz w:val="28"/>
        <w:szCs w:val="14"/>
      </w:rPr>
      <w:t xml:space="preserve">Consolidated Financial Statements for the year ended 31 </w:t>
    </w:r>
    <w:r>
      <w:rPr>
        <w:rFonts w:ascii="Arial" w:hAnsi="Arial" w:cs="Arial"/>
        <w:b/>
        <w:smallCaps w:val="0"/>
        <w:spacing w:val="0"/>
        <w:sz w:val="28"/>
        <w:szCs w:val="14"/>
      </w:rPr>
      <w:t>March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CA4C" w14:textId="77777777" w:rsidR="00603FEE" w:rsidRPr="004C47AB" w:rsidRDefault="00603FEE" w:rsidP="004C47AB">
    <w:pPr>
      <w:pStyle w:val="Header"/>
      <w:spacing w:line="360" w:lineRule="exact"/>
      <w:jc w:val="both"/>
      <w:rPr>
        <w:rFonts w:ascii="Arial" w:hAnsi="Arial" w:cs="Arial"/>
        <w:b/>
        <w:smallCaps w:val="0"/>
        <w:spacing w:val="0"/>
        <w:sz w:val="28"/>
        <w:szCs w:val="14"/>
      </w:rPr>
    </w:pPr>
    <w:r w:rsidRPr="004C47AB">
      <w:rPr>
        <w:rFonts w:ascii="Arial" w:hAnsi="Arial" w:cs="Arial"/>
        <w:b/>
        <w:smallCaps w:val="0"/>
        <w:spacing w:val="0"/>
        <w:sz w:val="28"/>
        <w:szCs w:val="14"/>
      </w:rPr>
      <w:t>Illustration (India) Limited</w:t>
    </w:r>
  </w:p>
  <w:p w14:paraId="52E69628" w14:textId="09A0E1C1" w:rsidR="00603FEE" w:rsidRPr="004C47AB" w:rsidRDefault="00603FEE" w:rsidP="004C47AB">
    <w:pPr>
      <w:pStyle w:val="Header"/>
      <w:pBdr>
        <w:bottom w:val="single" w:sz="4" w:space="3" w:color="auto"/>
      </w:pBdr>
      <w:spacing w:line="360" w:lineRule="exact"/>
      <w:jc w:val="both"/>
      <w:rPr>
        <w:rFonts w:ascii="Arial" w:hAnsi="Arial" w:cs="Arial"/>
        <w:b/>
        <w:smallCaps w:val="0"/>
        <w:spacing w:val="0"/>
        <w:sz w:val="28"/>
        <w:szCs w:val="14"/>
      </w:rPr>
    </w:pPr>
    <w:r w:rsidRPr="004C47AB">
      <w:rPr>
        <w:rFonts w:ascii="Arial" w:hAnsi="Arial" w:cs="Arial"/>
        <w:b/>
        <w:smallCaps w:val="0"/>
        <w:spacing w:val="0"/>
        <w:sz w:val="28"/>
        <w:szCs w:val="14"/>
      </w:rPr>
      <w:t xml:space="preserve">Consolidated Financial Statements for the year ended 31 </w:t>
    </w:r>
    <w:r>
      <w:rPr>
        <w:rFonts w:ascii="Arial" w:hAnsi="Arial" w:cs="Arial"/>
        <w:b/>
        <w:smallCaps w:val="0"/>
        <w:spacing w:val="0"/>
        <w:sz w:val="28"/>
        <w:szCs w:val="14"/>
      </w:rPr>
      <w:t>March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15AB9" w14:textId="77777777" w:rsidR="00603FEE" w:rsidRDefault="00603FEE" w:rsidP="00C64691">
    <w:pPr>
      <w:pStyle w:val="Header"/>
      <w:jc w:val="both"/>
      <w:rPr>
        <w:sz w:val="16"/>
        <w:szCs w:val="16"/>
      </w:rPr>
    </w:pPr>
  </w:p>
  <w:p w14:paraId="581257C7" w14:textId="77777777" w:rsidR="00603FEE" w:rsidRDefault="00603FEE" w:rsidP="00C64691">
    <w:pPr>
      <w:pStyle w:val="Header"/>
      <w:jc w:val="both"/>
      <w:rPr>
        <w:sz w:val="16"/>
        <w:szCs w:val="16"/>
      </w:rPr>
    </w:pPr>
  </w:p>
  <w:p w14:paraId="52BE4EC6" w14:textId="77777777" w:rsidR="00603FEE" w:rsidRDefault="00603FEE" w:rsidP="00010466">
    <w:pPr>
      <w:pStyle w:val="Header"/>
      <w:spacing w:line="280" w:lineRule="exact"/>
      <w:jc w:val="both"/>
      <w:rPr>
        <w:rFonts w:ascii="Times New Roman" w:hAnsi="Times New Roman"/>
        <w:b/>
        <w:smallCaps w:val="0"/>
        <w:spacing w:val="0"/>
        <w:sz w:val="28"/>
        <w:szCs w:val="14"/>
      </w:rPr>
    </w:pPr>
    <w:r w:rsidRPr="00010466">
      <w:rPr>
        <w:rFonts w:ascii="Times New Roman" w:hAnsi="Times New Roman"/>
        <w:b/>
        <w:smallCaps w:val="0"/>
        <w:spacing w:val="0"/>
        <w:sz w:val="28"/>
        <w:szCs w:val="14"/>
      </w:rPr>
      <w:t>Illustration FTA (India) Limited</w:t>
    </w:r>
  </w:p>
  <w:p w14:paraId="69E0E7D4" w14:textId="77777777" w:rsidR="00603FEE" w:rsidRPr="00010466" w:rsidRDefault="00603FEE" w:rsidP="00AF7CA4">
    <w:pPr>
      <w:pStyle w:val="Header"/>
      <w:spacing w:line="280" w:lineRule="exact"/>
      <w:jc w:val="both"/>
      <w:rPr>
        <w:rFonts w:ascii="Times New Roman" w:hAnsi="Times New Roman"/>
        <w:b/>
        <w:smallCaps w:val="0"/>
        <w:spacing w:val="0"/>
        <w:sz w:val="28"/>
        <w:szCs w:val="14"/>
      </w:rPr>
    </w:pPr>
    <w:r w:rsidRPr="00617541">
      <w:rPr>
        <w:rFonts w:ascii="Times New Roman" w:hAnsi="Times New Roman"/>
        <w:b/>
        <w:smallCaps w:val="0"/>
        <w:spacing w:val="0"/>
        <w:sz w:val="28"/>
        <w:szCs w:val="14"/>
      </w:rPr>
      <w:t xml:space="preserve">Consolidated </w:t>
    </w:r>
    <w:r>
      <w:rPr>
        <w:rFonts w:ascii="Times New Roman" w:hAnsi="Times New Roman"/>
        <w:b/>
        <w:smallCaps w:val="0"/>
        <w:spacing w:val="0"/>
        <w:sz w:val="28"/>
        <w:szCs w:val="14"/>
      </w:rPr>
      <w:t xml:space="preserve">Balance Sheet as at </w:t>
    </w:r>
    <w:r w:rsidRPr="00617541">
      <w:rPr>
        <w:rFonts w:ascii="Times New Roman" w:hAnsi="Times New Roman"/>
        <w:b/>
        <w:smallCaps w:val="0"/>
        <w:spacing w:val="0"/>
        <w:sz w:val="28"/>
        <w:szCs w:val="14"/>
      </w:rPr>
      <w:t xml:space="preserve">31 </w:t>
    </w:r>
    <w:r>
      <w:rPr>
        <w:rFonts w:ascii="Times New Roman" w:hAnsi="Times New Roman"/>
        <w:b/>
        <w:smallCaps w:val="0"/>
        <w:spacing w:val="0"/>
        <w:sz w:val="28"/>
        <w:szCs w:val="14"/>
      </w:rPr>
      <w:t>March 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523F3" w14:textId="77777777" w:rsidR="00603FEE" w:rsidRPr="004C47AB" w:rsidRDefault="00603FEE" w:rsidP="004C47AB">
    <w:pPr>
      <w:pStyle w:val="Header"/>
      <w:spacing w:line="360" w:lineRule="exact"/>
      <w:jc w:val="both"/>
      <w:rPr>
        <w:rFonts w:ascii="Arial" w:hAnsi="Arial" w:cs="Arial"/>
        <w:b/>
        <w:smallCaps w:val="0"/>
        <w:spacing w:val="0"/>
        <w:sz w:val="28"/>
        <w:szCs w:val="14"/>
      </w:rPr>
    </w:pPr>
    <w:r w:rsidRPr="004C47AB">
      <w:rPr>
        <w:rFonts w:ascii="Arial" w:hAnsi="Arial" w:cs="Arial"/>
        <w:b/>
        <w:smallCaps w:val="0"/>
        <w:spacing w:val="0"/>
        <w:sz w:val="28"/>
        <w:szCs w:val="14"/>
      </w:rPr>
      <w:t>Illustration (India) Limited</w:t>
    </w:r>
  </w:p>
  <w:p w14:paraId="05A0DF3F" w14:textId="7C0151F2" w:rsidR="00603FEE" w:rsidRPr="004C47AB" w:rsidRDefault="00603FEE" w:rsidP="004C47AB">
    <w:pPr>
      <w:pStyle w:val="Header"/>
      <w:pBdr>
        <w:bottom w:val="single" w:sz="4" w:space="1" w:color="auto"/>
      </w:pBdr>
      <w:spacing w:line="360" w:lineRule="exact"/>
      <w:jc w:val="both"/>
      <w:rPr>
        <w:rFonts w:ascii="Arial" w:hAnsi="Arial" w:cs="Arial"/>
        <w:b/>
        <w:smallCaps w:val="0"/>
        <w:spacing w:val="0"/>
        <w:sz w:val="28"/>
        <w:szCs w:val="14"/>
      </w:rPr>
    </w:pPr>
    <w:r w:rsidRPr="004C47AB">
      <w:rPr>
        <w:rFonts w:ascii="Arial" w:hAnsi="Arial" w:cs="Arial"/>
        <w:b/>
        <w:smallCaps w:val="0"/>
        <w:spacing w:val="0"/>
        <w:sz w:val="28"/>
        <w:szCs w:val="14"/>
      </w:rPr>
      <w:t xml:space="preserve">Consolidated Balance Sheet as at 31 </w:t>
    </w:r>
    <w:r>
      <w:rPr>
        <w:rFonts w:ascii="Arial" w:hAnsi="Arial" w:cs="Arial"/>
        <w:b/>
        <w:smallCaps w:val="0"/>
        <w:spacing w:val="0"/>
        <w:sz w:val="28"/>
        <w:szCs w:val="14"/>
      </w:rPr>
      <w:t>March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FE1A" w14:textId="77777777" w:rsidR="00603FEE" w:rsidRDefault="00603FEE" w:rsidP="00C64691">
    <w:pPr>
      <w:pStyle w:val="Header"/>
      <w:jc w:val="both"/>
      <w:rPr>
        <w:sz w:val="16"/>
        <w:szCs w:val="16"/>
      </w:rPr>
    </w:pPr>
  </w:p>
  <w:p w14:paraId="4D5707C2" w14:textId="77777777" w:rsidR="00603FEE" w:rsidRDefault="00603FEE" w:rsidP="00C64691">
    <w:pPr>
      <w:pStyle w:val="Header"/>
      <w:jc w:val="both"/>
      <w:rPr>
        <w:sz w:val="16"/>
        <w:szCs w:val="16"/>
      </w:rPr>
    </w:pPr>
  </w:p>
  <w:p w14:paraId="1ED16EED" w14:textId="77777777" w:rsidR="00603FEE" w:rsidRDefault="00603FEE" w:rsidP="00010466">
    <w:pPr>
      <w:pStyle w:val="Header"/>
      <w:spacing w:line="280" w:lineRule="exact"/>
      <w:jc w:val="both"/>
      <w:rPr>
        <w:rFonts w:ascii="Times New Roman" w:hAnsi="Times New Roman"/>
        <w:b/>
        <w:smallCaps w:val="0"/>
        <w:spacing w:val="0"/>
        <w:sz w:val="28"/>
        <w:szCs w:val="14"/>
      </w:rPr>
    </w:pPr>
    <w:r w:rsidRPr="00010466">
      <w:rPr>
        <w:rFonts w:ascii="Times New Roman" w:hAnsi="Times New Roman"/>
        <w:b/>
        <w:smallCaps w:val="0"/>
        <w:spacing w:val="0"/>
        <w:sz w:val="28"/>
        <w:szCs w:val="14"/>
      </w:rPr>
      <w:t>Illustration FTA (India) Limited</w:t>
    </w:r>
  </w:p>
  <w:p w14:paraId="63993E95" w14:textId="77777777" w:rsidR="00603FEE" w:rsidRPr="00426CF6" w:rsidRDefault="00603FEE" w:rsidP="00942E37">
    <w:pPr>
      <w:pStyle w:val="Heading10"/>
      <w:rPr>
        <w:rFonts w:ascii="Times New Roman" w:hAnsi="Times New Roman"/>
        <w:color w:val="000000" w:themeColor="text1"/>
        <w:sz w:val="28"/>
      </w:rPr>
    </w:pPr>
    <w:r w:rsidRPr="00426CF6">
      <w:rPr>
        <w:rFonts w:ascii="Times New Roman" w:hAnsi="Times New Roman"/>
        <w:color w:val="000000" w:themeColor="text1"/>
        <w:sz w:val="28"/>
      </w:rPr>
      <w:t xml:space="preserve">Consolidated Statement of Profit and Loss for the year ended 31 </w:t>
    </w:r>
    <w:r>
      <w:rPr>
        <w:rFonts w:ascii="Times New Roman" w:hAnsi="Times New Roman"/>
        <w:color w:val="000000" w:themeColor="text1"/>
        <w:sz w:val="28"/>
      </w:rPr>
      <w:t>March 2019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C179" w14:textId="77777777" w:rsidR="00603FEE" w:rsidRPr="00DB16D3" w:rsidRDefault="00603FEE" w:rsidP="00DB16D3">
    <w:pPr>
      <w:pStyle w:val="Header"/>
      <w:spacing w:line="360" w:lineRule="exact"/>
      <w:jc w:val="both"/>
      <w:rPr>
        <w:rFonts w:ascii="Arial" w:hAnsi="Arial" w:cs="Arial"/>
        <w:b/>
        <w:smallCaps w:val="0"/>
        <w:spacing w:val="0"/>
        <w:sz w:val="24"/>
        <w:szCs w:val="14"/>
      </w:rPr>
    </w:pPr>
    <w:r w:rsidRPr="00DB16D3">
      <w:rPr>
        <w:rFonts w:ascii="Arial" w:hAnsi="Arial" w:cs="Arial"/>
        <w:b/>
        <w:smallCaps w:val="0"/>
        <w:spacing w:val="0"/>
        <w:sz w:val="24"/>
        <w:szCs w:val="14"/>
      </w:rPr>
      <w:t>Illustration (India) Limited</w:t>
    </w:r>
  </w:p>
  <w:p w14:paraId="549A1580" w14:textId="59B1B0E4" w:rsidR="00603FEE" w:rsidRPr="00DB16D3" w:rsidRDefault="00603FEE" w:rsidP="00DA72DB">
    <w:pPr>
      <w:pStyle w:val="Heading10"/>
      <w:pBdr>
        <w:bottom w:val="single" w:sz="4" w:space="1" w:color="auto"/>
      </w:pBdr>
      <w:rPr>
        <w:rFonts w:ascii="Arial" w:hAnsi="Arial" w:cs="Arial"/>
        <w:color w:val="000000" w:themeColor="text1"/>
        <w:sz w:val="24"/>
      </w:rPr>
    </w:pPr>
    <w:r w:rsidRPr="00841E38">
      <w:rPr>
        <w:rFonts w:ascii="Arial" w:hAnsi="Arial" w:cs="Arial"/>
        <w:color w:val="000000" w:themeColor="text1"/>
        <w:sz w:val="24"/>
      </w:rPr>
      <w:t xml:space="preserve">Consolidated Statement of Profit and Loss for the year ended 31 </w:t>
    </w:r>
    <w:r>
      <w:rPr>
        <w:rFonts w:ascii="Arial" w:hAnsi="Arial" w:cs="Arial"/>
        <w:color w:val="000000" w:themeColor="text1"/>
        <w:sz w:val="24"/>
      </w:rPr>
      <w:t>March 2021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6DDC" w14:textId="77777777" w:rsidR="00603FEE" w:rsidRPr="00DB16D3" w:rsidRDefault="00603FEE" w:rsidP="00FC56D0">
    <w:pPr>
      <w:pStyle w:val="Header"/>
      <w:spacing w:line="360" w:lineRule="exact"/>
      <w:jc w:val="both"/>
      <w:rPr>
        <w:rFonts w:ascii="Arial" w:hAnsi="Arial" w:cs="Arial"/>
        <w:b/>
        <w:smallCaps w:val="0"/>
        <w:spacing w:val="0"/>
        <w:sz w:val="24"/>
        <w:szCs w:val="14"/>
      </w:rPr>
    </w:pPr>
    <w:r w:rsidRPr="00DB16D3">
      <w:rPr>
        <w:rFonts w:ascii="Arial" w:hAnsi="Arial" w:cs="Arial"/>
        <w:b/>
        <w:smallCaps w:val="0"/>
        <w:spacing w:val="0"/>
        <w:sz w:val="24"/>
        <w:szCs w:val="14"/>
      </w:rPr>
      <w:t>Illustration (India) Limited</w:t>
    </w:r>
  </w:p>
  <w:p w14:paraId="4F954EAA" w14:textId="10DBFDF6" w:rsidR="00603FEE" w:rsidRPr="00DB16D3" w:rsidRDefault="00603FEE" w:rsidP="00860ED4">
    <w:pPr>
      <w:pStyle w:val="Heading10"/>
      <w:pBdr>
        <w:bottom w:val="single" w:sz="4" w:space="1" w:color="auto"/>
      </w:pBdr>
      <w:rPr>
        <w:rFonts w:ascii="Arial" w:hAnsi="Arial" w:cs="Arial"/>
        <w:b w:val="0"/>
        <w:smallCaps/>
        <w:sz w:val="24"/>
        <w:szCs w:val="14"/>
      </w:rPr>
    </w:pPr>
    <w:r w:rsidRPr="00DB16D3">
      <w:rPr>
        <w:rFonts w:ascii="Arial" w:hAnsi="Arial" w:cs="Arial"/>
        <w:b w:val="0"/>
        <w:smallCaps/>
        <w:sz w:val="24"/>
        <w:szCs w:val="14"/>
      </w:rPr>
      <w:t xml:space="preserve">Consolidated Statements of Profit and Loss for the year ended 31 </w:t>
    </w:r>
    <w:r>
      <w:rPr>
        <w:rFonts w:ascii="Arial" w:hAnsi="Arial" w:cs="Arial"/>
        <w:b w:val="0"/>
        <w:smallCaps/>
        <w:sz w:val="24"/>
        <w:szCs w:val="14"/>
      </w:rPr>
      <w:t>March 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F39FC" w14:textId="77777777" w:rsidR="00603FEE" w:rsidRDefault="00603FEE" w:rsidP="00C64691">
    <w:pPr>
      <w:pStyle w:val="Header"/>
      <w:jc w:val="both"/>
      <w:rPr>
        <w:sz w:val="16"/>
        <w:szCs w:val="16"/>
      </w:rPr>
    </w:pPr>
  </w:p>
  <w:p w14:paraId="6D702D5E" w14:textId="77777777" w:rsidR="00603FEE" w:rsidRDefault="00603FEE" w:rsidP="00C64691">
    <w:pPr>
      <w:pStyle w:val="Header"/>
      <w:jc w:val="both"/>
      <w:rPr>
        <w:sz w:val="16"/>
        <w:szCs w:val="16"/>
      </w:rPr>
    </w:pPr>
  </w:p>
  <w:p w14:paraId="03897187" w14:textId="77777777" w:rsidR="00603FEE" w:rsidRDefault="00603FEE" w:rsidP="00010466">
    <w:pPr>
      <w:pStyle w:val="Header"/>
      <w:spacing w:line="280" w:lineRule="exact"/>
      <w:jc w:val="both"/>
      <w:rPr>
        <w:rFonts w:ascii="Times New Roman" w:hAnsi="Times New Roman"/>
        <w:b/>
        <w:smallCaps w:val="0"/>
        <w:spacing w:val="0"/>
        <w:sz w:val="28"/>
        <w:szCs w:val="14"/>
      </w:rPr>
    </w:pPr>
    <w:r w:rsidRPr="00010466">
      <w:rPr>
        <w:rFonts w:ascii="Times New Roman" w:hAnsi="Times New Roman"/>
        <w:b/>
        <w:smallCaps w:val="0"/>
        <w:spacing w:val="0"/>
        <w:sz w:val="28"/>
        <w:szCs w:val="14"/>
      </w:rPr>
      <w:t>Illustration FTA (India) Limited</w:t>
    </w:r>
  </w:p>
  <w:p w14:paraId="4AD4FD9E" w14:textId="77777777" w:rsidR="00603FEE" w:rsidRPr="00D91EC3" w:rsidRDefault="00603FEE" w:rsidP="0093454D">
    <w:pPr>
      <w:pStyle w:val="Heading10"/>
      <w:rPr>
        <w:rFonts w:ascii="Times New Roman" w:hAnsi="Times New Roman"/>
        <w:sz w:val="28"/>
      </w:rPr>
    </w:pPr>
    <w:r w:rsidRPr="0093454D">
      <w:rPr>
        <w:rFonts w:ascii="Times New Roman" w:hAnsi="Times New Roman"/>
        <w:sz w:val="28"/>
      </w:rPr>
      <w:t xml:space="preserve">Consolidated statement of changes in equity for the year ended 31 </w:t>
    </w:r>
    <w:r>
      <w:rPr>
        <w:rFonts w:ascii="Times New Roman" w:hAnsi="Times New Roman"/>
        <w:sz w:val="28"/>
      </w:rPr>
      <w:t>March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CCB1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9002B"/>
    <w:multiLevelType w:val="hybridMultilevel"/>
    <w:tmpl w:val="1E2A9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986091"/>
    <w:multiLevelType w:val="hybridMultilevel"/>
    <w:tmpl w:val="DA64A746"/>
    <w:lvl w:ilvl="0" w:tplc="A5D4270A">
      <w:start w:val="1"/>
      <w:numFmt w:val="lowerLetter"/>
      <w:lvlText w:val="%1."/>
      <w:lvlJc w:val="left"/>
      <w:pPr>
        <w:ind w:left="720" w:hanging="360"/>
      </w:pPr>
      <w:rPr>
        <w:rFonts w:ascii="Arial" w:hAnsi="Arial" w:cs="Arial" w:hint="default"/>
        <w:b/>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8A3357"/>
    <w:multiLevelType w:val="hybridMultilevel"/>
    <w:tmpl w:val="06C87F42"/>
    <w:lvl w:ilvl="0" w:tplc="3DB22B6A">
      <w:start w:val="1"/>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71A1F4F"/>
    <w:multiLevelType w:val="hybridMultilevel"/>
    <w:tmpl w:val="AB8226FE"/>
    <w:lvl w:ilvl="0" w:tplc="2B50FAE0">
      <w:start w:val="1"/>
      <w:numFmt w:val="bullet"/>
      <w:lvlText w:val=""/>
      <w:lvlJc w:val="left"/>
      <w:pPr>
        <w:ind w:left="720" w:hanging="360"/>
      </w:pPr>
      <w:rPr>
        <w:rFonts w:ascii="Wingdings 3" w:hAnsi="Wingdings 3" w:hint="default"/>
        <w:color w:val="323232"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8F3055B"/>
    <w:multiLevelType w:val="hybridMultilevel"/>
    <w:tmpl w:val="41CC84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9791C10"/>
    <w:multiLevelType w:val="hybridMultilevel"/>
    <w:tmpl w:val="D09C891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A1D2B16"/>
    <w:multiLevelType w:val="hybridMultilevel"/>
    <w:tmpl w:val="4782C1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C5B4378"/>
    <w:multiLevelType w:val="hybridMultilevel"/>
    <w:tmpl w:val="0C78C0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13C1764D"/>
    <w:multiLevelType w:val="hybridMultilevel"/>
    <w:tmpl w:val="769CDDA8"/>
    <w:lvl w:ilvl="0" w:tplc="880CB9F2">
      <w:numFmt w:val="bullet"/>
      <w:lvlText w:val="•"/>
      <w:lvlJc w:val="left"/>
      <w:pPr>
        <w:ind w:left="720" w:hanging="360"/>
      </w:pPr>
      <w:rPr>
        <w:rFonts w:ascii="EYInterstate Light" w:eastAsia="Times New Roman" w:hAnsi="EYInterstate Light"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83D0A81"/>
    <w:multiLevelType w:val="hybridMultilevel"/>
    <w:tmpl w:val="6D4A3430"/>
    <w:lvl w:ilvl="0" w:tplc="136EEB8E">
      <w:start w:val="1"/>
      <w:numFmt w:val="lowerLetter"/>
      <w:lvlText w:val="(%1)"/>
      <w:lvlJc w:val="left"/>
      <w:pPr>
        <w:ind w:left="720" w:hanging="360"/>
      </w:pPr>
      <w:rPr>
        <w:rFonts w:hint="default"/>
        <w:color w:val="323232"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CC60100"/>
    <w:multiLevelType w:val="hybridMultilevel"/>
    <w:tmpl w:val="102A8E4C"/>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1DCC6331"/>
    <w:multiLevelType w:val="hybridMultilevel"/>
    <w:tmpl w:val="4BAED6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3BD416F"/>
    <w:multiLevelType w:val="hybridMultilevel"/>
    <w:tmpl w:val="D96EF390"/>
    <w:lvl w:ilvl="0" w:tplc="DF903A38">
      <w:start w:val="1"/>
      <w:numFmt w:val="lowerLetter"/>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6B93AFC"/>
    <w:multiLevelType w:val="hybridMultilevel"/>
    <w:tmpl w:val="307A0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90E3A88"/>
    <w:multiLevelType w:val="hybridMultilevel"/>
    <w:tmpl w:val="193671FC"/>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D704862">
      <w:start w:val="781"/>
      <w:numFmt w:val="bullet"/>
      <w:lvlText w:val="-"/>
      <w:lvlJc w:val="left"/>
      <w:pPr>
        <w:ind w:left="2160" w:hanging="360"/>
      </w:pPr>
      <w:rPr>
        <w:rFonts w:ascii="Arial" w:eastAsia="Times New Roman" w:hAnsi="Arial" w:cs="Aria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9734ACE"/>
    <w:multiLevelType w:val="hybridMultilevel"/>
    <w:tmpl w:val="EB024AD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2CBE2DB3"/>
    <w:multiLevelType w:val="hybridMultilevel"/>
    <w:tmpl w:val="D29664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11B1AFA"/>
    <w:multiLevelType w:val="hybridMultilevel"/>
    <w:tmpl w:val="4300D0CE"/>
    <w:lvl w:ilvl="0" w:tplc="A00C8DDE">
      <w:start w:val="1"/>
      <w:numFmt w:val="lowerLetter"/>
      <w:lvlText w:val="%1)"/>
      <w:lvlJc w:val="left"/>
      <w:pPr>
        <w:tabs>
          <w:tab w:val="num" w:pos="357"/>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706CBF"/>
    <w:multiLevelType w:val="hybridMultilevel"/>
    <w:tmpl w:val="4E8840D8"/>
    <w:lvl w:ilvl="0" w:tplc="2B50FAE0">
      <w:start w:val="1"/>
      <w:numFmt w:val="bullet"/>
      <w:lvlText w:val=""/>
      <w:lvlJc w:val="left"/>
      <w:pPr>
        <w:ind w:left="720" w:hanging="360"/>
      </w:pPr>
      <w:rPr>
        <w:rFonts w:ascii="Wingdings 3" w:hAnsi="Wingdings 3" w:hint="default"/>
        <w:color w:val="323232"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820703A"/>
    <w:multiLevelType w:val="multilevel"/>
    <w:tmpl w:val="0B18F55C"/>
    <w:lvl w:ilvl="0">
      <w:start w:val="12"/>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9A52E67"/>
    <w:multiLevelType w:val="hybridMultilevel"/>
    <w:tmpl w:val="3D72B1BE"/>
    <w:lvl w:ilvl="0" w:tplc="E95CFE6C">
      <w:start w:val="1"/>
      <w:numFmt w:val="lowerLetter"/>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3BE45D8E"/>
    <w:multiLevelType w:val="multilevel"/>
    <w:tmpl w:val="DC08D858"/>
    <w:lvl w:ilvl="0">
      <w:start w:val="1"/>
      <w:numFmt w:val="bullet"/>
      <w:pStyle w:val="Level1Bullets"/>
      <w:lvlText w:val="►"/>
      <w:lvlJc w:val="left"/>
      <w:pPr>
        <w:tabs>
          <w:tab w:val="num" w:pos="425"/>
        </w:tabs>
        <w:ind w:left="425" w:hanging="425"/>
      </w:pPr>
      <w:rPr>
        <w:rFonts w:ascii="Arial" w:hAnsi="Arial" w:hint="default"/>
        <w:color w:val="FFD200"/>
        <w:sz w:val="16"/>
        <w:szCs w:val="22"/>
      </w:rPr>
    </w:lvl>
    <w:lvl w:ilvl="1">
      <w:start w:val="1"/>
      <w:numFmt w:val="lowerLetter"/>
      <w:lvlText w:val="%2)"/>
      <w:lvlJc w:val="left"/>
      <w:pPr>
        <w:tabs>
          <w:tab w:val="num" w:pos="1134"/>
        </w:tabs>
        <w:ind w:left="1134" w:hanging="567"/>
      </w:pPr>
    </w:lvl>
    <w:lvl w:ilvl="2">
      <w:start w:val="1"/>
      <w:numFmt w:val="bullet"/>
      <w:lvlText w:val=""/>
      <w:lvlJc w:val="left"/>
      <w:pPr>
        <w:tabs>
          <w:tab w:val="num" w:pos="1701"/>
        </w:tabs>
        <w:ind w:left="1701" w:hanging="567"/>
      </w:pPr>
      <w:rPr>
        <w:rFonts w:ascii="EYlogo" w:hAnsi="EYlogo" w:hint="default"/>
        <w:sz w:val="15"/>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CA017FA"/>
    <w:multiLevelType w:val="multilevel"/>
    <w:tmpl w:val="38C8E28E"/>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24" w15:restartNumberingAfterBreak="0">
    <w:nsid w:val="415105E6"/>
    <w:multiLevelType w:val="hybridMultilevel"/>
    <w:tmpl w:val="1396C94C"/>
    <w:lvl w:ilvl="0" w:tplc="043E0B62">
      <w:start w:val="1"/>
      <w:numFmt w:val="bullet"/>
      <w:pStyle w:val="ViralChepterHeader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22A0E"/>
    <w:multiLevelType w:val="hybridMultilevel"/>
    <w:tmpl w:val="1B74948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9CD7DC0"/>
    <w:multiLevelType w:val="hybridMultilevel"/>
    <w:tmpl w:val="17C4068A"/>
    <w:lvl w:ilvl="0" w:tplc="08668C80">
      <w:start w:val="1"/>
      <w:numFmt w:val="bullet"/>
      <w:pStyle w:val="Bullet1"/>
      <w:lvlText w:val="•"/>
      <w:lvlJc w:val="left"/>
      <w:pPr>
        <w:ind w:left="360" w:hanging="360"/>
      </w:pPr>
      <w:rPr>
        <w:rFonts w:ascii="EYInterstate Light" w:hAnsi="EYInterstate Light" w:hint="default"/>
        <w:b w:val="0"/>
        <w:i w:val="0"/>
        <w:color w:val="646464"/>
        <w:sz w:val="20"/>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13F71"/>
    <w:multiLevelType w:val="hybridMultilevel"/>
    <w:tmpl w:val="1134595A"/>
    <w:lvl w:ilvl="0" w:tplc="136EEB8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CEF4304"/>
    <w:multiLevelType w:val="hybridMultilevel"/>
    <w:tmpl w:val="5C16439C"/>
    <w:lvl w:ilvl="0" w:tplc="40090019">
      <w:start w:val="1"/>
      <w:numFmt w:val="lowerLetter"/>
      <w:lvlText w:val="%1."/>
      <w:lvlJc w:val="left"/>
      <w:pPr>
        <w:ind w:left="612" w:hanging="360"/>
      </w:p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29" w15:restartNumberingAfterBreak="0">
    <w:nsid w:val="50F04DC3"/>
    <w:multiLevelType w:val="hybridMultilevel"/>
    <w:tmpl w:val="D728D174"/>
    <w:lvl w:ilvl="0" w:tplc="715899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FA2492"/>
    <w:multiLevelType w:val="hybridMultilevel"/>
    <w:tmpl w:val="64D227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39C58A0"/>
    <w:multiLevelType w:val="hybridMultilevel"/>
    <w:tmpl w:val="8AFA1768"/>
    <w:lvl w:ilvl="0" w:tplc="136EEB8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3A40CC4"/>
    <w:multiLevelType w:val="hybridMultilevel"/>
    <w:tmpl w:val="BBA0A378"/>
    <w:lvl w:ilvl="0" w:tplc="FCF4D54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4CF6232"/>
    <w:multiLevelType w:val="hybridMultilevel"/>
    <w:tmpl w:val="FA0AF2CC"/>
    <w:lvl w:ilvl="0" w:tplc="7038A600">
      <w:start w:val="1"/>
      <w:numFmt w:val="bullet"/>
      <w:pStyle w:val="Notesbulletpoint"/>
      <w:lvlText w:val=""/>
      <w:lvlJc w:val="left"/>
      <w:pPr>
        <w:ind w:left="360" w:hanging="360"/>
      </w:pPr>
      <w:rPr>
        <w:rFonts w:ascii="Wingdings 3" w:hAnsi="Wingdings 3" w:hint="default"/>
        <w:color w:val="808080"/>
        <w:sz w:val="12"/>
        <w:szCs w:val="22"/>
      </w:rPr>
    </w:lvl>
    <w:lvl w:ilvl="1" w:tplc="04090003">
      <w:start w:val="1"/>
      <w:numFmt w:val="bullet"/>
      <w:lvlText w:val="o"/>
      <w:lvlJc w:val="left"/>
      <w:pPr>
        <w:tabs>
          <w:tab w:val="num" w:pos="1440"/>
        </w:tabs>
        <w:ind w:left="1440" w:hanging="360"/>
      </w:pPr>
      <w:rPr>
        <w:rFonts w:ascii="Courier New" w:hAnsi="Courier New" w:cs="EYlog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Ylog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Ylog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C749B"/>
    <w:multiLevelType w:val="multilevel"/>
    <w:tmpl w:val="C92E96C4"/>
    <w:lvl w:ilvl="0">
      <w:start w:val="1"/>
      <w:numFmt w:val="lowerRoman"/>
      <w:lvlText w:val="(%1)"/>
      <w:lvlJc w:val="left"/>
      <w:pPr>
        <w:tabs>
          <w:tab w:val="num" w:pos="288"/>
        </w:tabs>
        <w:ind w:left="720" w:firstLine="0"/>
      </w:pPr>
      <w:rPr>
        <w:rFonts w:ascii="Tahoma" w:eastAsia="Tahoma" w:hAnsi="Tahoma" w:hint="default"/>
        <w:b/>
        <w:strike w:val="0"/>
        <w:color w:val="000000"/>
        <w:spacing w:val="-3"/>
        <w:w w:val="100"/>
        <w:sz w:val="17"/>
        <w:vertAlign w:val="baseline"/>
        <w:lang w:val="en-US"/>
      </w:rPr>
    </w:lvl>
    <w:lvl w:ilvl="1">
      <w:start w:val="1"/>
      <w:numFmt w:val="bullet"/>
      <w:lvlText w:val=""/>
      <w:lvlJc w:val="left"/>
      <w:pPr>
        <w:ind w:left="0" w:firstLine="0"/>
      </w:pPr>
      <w:rPr>
        <w:rFonts w:ascii="Symbol" w:hAnsi="Symbol"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A5A6993"/>
    <w:multiLevelType w:val="hybridMultilevel"/>
    <w:tmpl w:val="193C9304"/>
    <w:lvl w:ilvl="0" w:tplc="40090001">
      <w:start w:val="1"/>
      <w:numFmt w:val="bullet"/>
      <w:lvlText w:val=""/>
      <w:lvlJc w:val="left"/>
      <w:pPr>
        <w:ind w:left="360" w:hanging="360"/>
      </w:pPr>
      <w:rPr>
        <w:rFonts w:ascii="Symbol" w:hAnsi="Symbol" w:hint="default"/>
      </w:rPr>
    </w:lvl>
    <w:lvl w:ilvl="1" w:tplc="9D623326">
      <w:start w:val="3"/>
      <w:numFmt w:val="bullet"/>
      <w:lvlText w:val="•"/>
      <w:lvlJc w:val="left"/>
      <w:pPr>
        <w:ind w:left="1080" w:hanging="360"/>
      </w:pPr>
      <w:rPr>
        <w:rFonts w:ascii="Times New Roman" w:eastAsia="Times New Roman" w:hAnsi="Times New Roman" w:cs="Times New Roman"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5AAB19DF"/>
    <w:multiLevelType w:val="multilevel"/>
    <w:tmpl w:val="80DAAD6C"/>
    <w:lvl w:ilvl="0">
      <w:start w:val="1"/>
      <w:numFmt w:val="bullet"/>
      <w:lvlRestart w:val="0"/>
      <w:lvlText w:val=""/>
      <w:lvlJc w:val="left"/>
      <w:pPr>
        <w:tabs>
          <w:tab w:val="num" w:pos="425"/>
        </w:tabs>
        <w:ind w:left="425" w:hanging="425"/>
      </w:pPr>
      <w:rPr>
        <w:rFonts w:ascii="Wingdings 3" w:hAnsi="Wingdings 3" w:hint="default"/>
        <w:color w:val="7F7E82"/>
        <w:sz w:val="12"/>
        <w:szCs w:val="22"/>
      </w:rPr>
    </w:lvl>
    <w:lvl w:ilvl="1">
      <w:start w:val="1"/>
      <w:numFmt w:val="lowerLetter"/>
      <w:lvlText w:val="%2)"/>
      <w:lvlJc w:val="left"/>
      <w:pPr>
        <w:tabs>
          <w:tab w:val="num" w:pos="1134"/>
        </w:tabs>
        <w:ind w:left="1134" w:hanging="567"/>
      </w:pPr>
    </w:lvl>
    <w:lvl w:ilvl="2">
      <w:start w:val="1"/>
      <w:numFmt w:val="bullet"/>
      <w:lvlText w:val=""/>
      <w:lvlJc w:val="left"/>
      <w:pPr>
        <w:tabs>
          <w:tab w:val="num" w:pos="1701"/>
        </w:tabs>
        <w:ind w:left="1701" w:hanging="567"/>
      </w:pPr>
      <w:rPr>
        <w:rFonts w:ascii="EYlogo" w:hAnsi="EYlogo" w:hint="default"/>
        <w:sz w:val="15"/>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A57638"/>
    <w:multiLevelType w:val="hybridMultilevel"/>
    <w:tmpl w:val="DE7015CE"/>
    <w:lvl w:ilvl="0" w:tplc="A830A6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EA8192F"/>
    <w:multiLevelType w:val="hybridMultilevel"/>
    <w:tmpl w:val="0DD4DB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5F493957"/>
    <w:multiLevelType w:val="hybridMultilevel"/>
    <w:tmpl w:val="DF5435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14858BC"/>
    <w:multiLevelType w:val="hybridMultilevel"/>
    <w:tmpl w:val="933852EA"/>
    <w:lvl w:ilvl="0" w:tplc="40090001">
      <w:start w:val="1"/>
      <w:numFmt w:val="bullet"/>
      <w:lvlText w:val=""/>
      <w:lvlJc w:val="left"/>
      <w:pPr>
        <w:ind w:left="360" w:hanging="360"/>
      </w:pPr>
      <w:rPr>
        <w:rFonts w:ascii="Symbol" w:hAnsi="Symbol" w:hint="default"/>
      </w:rPr>
    </w:lvl>
    <w:lvl w:ilvl="1" w:tplc="2BE0B972">
      <w:numFmt w:val="bullet"/>
      <w:lvlText w:val="·"/>
      <w:lvlJc w:val="left"/>
      <w:pPr>
        <w:ind w:left="1080" w:hanging="360"/>
      </w:pPr>
      <w:rPr>
        <w:rFonts w:ascii="Times New Roman" w:eastAsia="Times New Roman" w:hAnsi="Times New Roman" w:cs="Times New Roman"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15:restartNumberingAfterBreak="0">
    <w:nsid w:val="6223226F"/>
    <w:multiLevelType w:val="hybridMultilevel"/>
    <w:tmpl w:val="67CA1EFC"/>
    <w:lvl w:ilvl="0" w:tplc="4DC6FED4">
      <w:start w:val="1"/>
      <w:numFmt w:val="bullet"/>
      <w:pStyle w:val="tablebullet"/>
      <w:lvlText w:val=""/>
      <w:lvlJc w:val="left"/>
      <w:pPr>
        <w:tabs>
          <w:tab w:val="num" w:pos="360"/>
        </w:tabs>
        <w:ind w:left="360" w:hanging="360"/>
      </w:pPr>
      <w:rPr>
        <w:rFonts w:ascii="Symbol" w:hAnsi="Symbol" w:hint="default"/>
        <w:color w:val="002261"/>
        <w:sz w:val="22"/>
      </w:rPr>
    </w:lvl>
    <w:lvl w:ilvl="1" w:tplc="9F1C8A3C" w:tentative="1">
      <w:start w:val="1"/>
      <w:numFmt w:val="bullet"/>
      <w:lvlText w:val="o"/>
      <w:lvlJc w:val="left"/>
      <w:pPr>
        <w:tabs>
          <w:tab w:val="num" w:pos="1440"/>
        </w:tabs>
        <w:ind w:left="1440" w:hanging="360"/>
      </w:pPr>
      <w:rPr>
        <w:rFonts w:ascii="Courier New" w:hAnsi="Courier New" w:cs="EYlogo" w:hint="default"/>
      </w:rPr>
    </w:lvl>
    <w:lvl w:ilvl="2" w:tplc="9B164A8E" w:tentative="1">
      <w:start w:val="1"/>
      <w:numFmt w:val="bullet"/>
      <w:lvlText w:val=""/>
      <w:lvlJc w:val="left"/>
      <w:pPr>
        <w:tabs>
          <w:tab w:val="num" w:pos="2160"/>
        </w:tabs>
        <w:ind w:left="2160" w:hanging="360"/>
      </w:pPr>
      <w:rPr>
        <w:rFonts w:ascii="Wingdings" w:hAnsi="Wingdings" w:hint="default"/>
      </w:rPr>
    </w:lvl>
    <w:lvl w:ilvl="3" w:tplc="B3600DC2" w:tentative="1">
      <w:start w:val="1"/>
      <w:numFmt w:val="bullet"/>
      <w:lvlText w:val=""/>
      <w:lvlJc w:val="left"/>
      <w:pPr>
        <w:tabs>
          <w:tab w:val="num" w:pos="2880"/>
        </w:tabs>
        <w:ind w:left="2880" w:hanging="360"/>
      </w:pPr>
      <w:rPr>
        <w:rFonts w:ascii="Symbol" w:hAnsi="Symbol" w:hint="default"/>
      </w:rPr>
    </w:lvl>
    <w:lvl w:ilvl="4" w:tplc="33F0CAD2" w:tentative="1">
      <w:start w:val="1"/>
      <w:numFmt w:val="bullet"/>
      <w:lvlText w:val="o"/>
      <w:lvlJc w:val="left"/>
      <w:pPr>
        <w:tabs>
          <w:tab w:val="num" w:pos="3600"/>
        </w:tabs>
        <w:ind w:left="3600" w:hanging="360"/>
      </w:pPr>
      <w:rPr>
        <w:rFonts w:ascii="Courier New" w:hAnsi="Courier New" w:cs="EYlogo" w:hint="default"/>
      </w:rPr>
    </w:lvl>
    <w:lvl w:ilvl="5" w:tplc="80CA26BE" w:tentative="1">
      <w:start w:val="1"/>
      <w:numFmt w:val="bullet"/>
      <w:lvlText w:val=""/>
      <w:lvlJc w:val="left"/>
      <w:pPr>
        <w:tabs>
          <w:tab w:val="num" w:pos="4320"/>
        </w:tabs>
        <w:ind w:left="4320" w:hanging="360"/>
      </w:pPr>
      <w:rPr>
        <w:rFonts w:ascii="Wingdings" w:hAnsi="Wingdings" w:hint="default"/>
      </w:rPr>
    </w:lvl>
    <w:lvl w:ilvl="6" w:tplc="ACB294F8" w:tentative="1">
      <w:start w:val="1"/>
      <w:numFmt w:val="bullet"/>
      <w:lvlText w:val=""/>
      <w:lvlJc w:val="left"/>
      <w:pPr>
        <w:tabs>
          <w:tab w:val="num" w:pos="5040"/>
        </w:tabs>
        <w:ind w:left="5040" w:hanging="360"/>
      </w:pPr>
      <w:rPr>
        <w:rFonts w:ascii="Symbol" w:hAnsi="Symbol" w:hint="default"/>
      </w:rPr>
    </w:lvl>
    <w:lvl w:ilvl="7" w:tplc="92205368" w:tentative="1">
      <w:start w:val="1"/>
      <w:numFmt w:val="bullet"/>
      <w:lvlText w:val="o"/>
      <w:lvlJc w:val="left"/>
      <w:pPr>
        <w:tabs>
          <w:tab w:val="num" w:pos="5760"/>
        </w:tabs>
        <w:ind w:left="5760" w:hanging="360"/>
      </w:pPr>
      <w:rPr>
        <w:rFonts w:ascii="Courier New" w:hAnsi="Courier New" w:cs="EYlogo" w:hint="default"/>
      </w:rPr>
    </w:lvl>
    <w:lvl w:ilvl="8" w:tplc="3790F06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0C5D09"/>
    <w:multiLevelType w:val="multilevel"/>
    <w:tmpl w:val="B746AD6A"/>
    <w:lvl w:ilvl="0">
      <w:start w:val="1"/>
      <w:numFmt w:val="upperLetter"/>
      <w:pStyle w:val="EYAppendix"/>
      <w:lvlText w:val="Appendix %1"/>
      <w:lvlJc w:val="left"/>
      <w:pPr>
        <w:tabs>
          <w:tab w:val="num" w:pos="4819"/>
        </w:tabs>
        <w:ind w:left="4819" w:hanging="2268"/>
      </w:pPr>
      <w:rPr>
        <w:rFonts w:hint="default"/>
      </w:rPr>
    </w:lvl>
    <w:lvl w:ilvl="1">
      <w:start w:val="1"/>
      <w:numFmt w:val="none"/>
      <w:lvlText w:val=""/>
      <w:lvlJc w:val="left"/>
      <w:pPr>
        <w:tabs>
          <w:tab w:val="num" w:pos="-30216"/>
        </w:tabs>
        <w:ind w:left="-30216" w:firstLine="32767"/>
      </w:pPr>
      <w:rPr>
        <w:rFonts w:hint="default"/>
        <w:b w:val="0"/>
        <w:i w:val="0"/>
        <w:color w:val="auto"/>
        <w:sz w:val="28"/>
        <w:szCs w:val="32"/>
      </w:rPr>
    </w:lvl>
    <w:lvl w:ilvl="2">
      <w:start w:val="1"/>
      <w:numFmt w:val="none"/>
      <w:lvlText w:val=""/>
      <w:lvlJc w:val="left"/>
      <w:pPr>
        <w:tabs>
          <w:tab w:val="num" w:pos="-30216"/>
        </w:tabs>
        <w:ind w:left="-30216" w:firstLine="32767"/>
      </w:pPr>
      <w:rPr>
        <w:rFonts w:hint="default"/>
        <w:b/>
        <w:color w:val="auto"/>
        <w:sz w:val="24"/>
        <w:szCs w:val="32"/>
      </w:rPr>
    </w:lvl>
    <w:lvl w:ilvl="3">
      <w:start w:val="1"/>
      <w:numFmt w:val="decimal"/>
      <w:lvlText w:val="%4%1"/>
      <w:lvlJc w:val="left"/>
      <w:pPr>
        <w:tabs>
          <w:tab w:val="num" w:pos="-30216"/>
        </w:tabs>
        <w:ind w:left="-30216" w:firstLine="32767"/>
      </w:pPr>
      <w:rPr>
        <w:rFonts w:hint="default"/>
        <w:b/>
        <w:color w:val="auto"/>
        <w:sz w:val="20"/>
        <w:szCs w:val="32"/>
      </w:rPr>
    </w:lvl>
    <w:lvl w:ilvl="4">
      <w:start w:val="1"/>
      <w:numFmt w:val="none"/>
      <w:lvlRestart w:val="0"/>
      <w:lvlText w:val=""/>
      <w:lvlJc w:val="left"/>
      <w:pPr>
        <w:tabs>
          <w:tab w:val="num" w:pos="2551"/>
        </w:tabs>
        <w:ind w:left="2551" w:firstLine="0"/>
      </w:pPr>
      <w:rPr>
        <w:rFonts w:hint="default"/>
        <w:b/>
        <w:i w:val="0"/>
        <w:color w:val="7F7E82"/>
        <w:sz w:val="40"/>
        <w:szCs w:val="20"/>
      </w:rPr>
    </w:lvl>
    <w:lvl w:ilvl="5">
      <w:start w:val="1"/>
      <w:numFmt w:val="none"/>
      <w:lvlRestart w:val="0"/>
      <w:lvlText w:val=""/>
      <w:lvlJc w:val="left"/>
      <w:pPr>
        <w:tabs>
          <w:tab w:val="num" w:pos="2551"/>
        </w:tabs>
        <w:ind w:left="2551" w:firstLine="0"/>
      </w:pPr>
      <w:rPr>
        <w:rFonts w:hint="default"/>
        <w:b/>
        <w:color w:val="4367C5"/>
        <w:sz w:val="32"/>
        <w:szCs w:val="32"/>
      </w:rPr>
    </w:lvl>
    <w:lvl w:ilvl="6">
      <w:start w:val="1"/>
      <w:numFmt w:val="none"/>
      <w:lvlRestart w:val="0"/>
      <w:lvlText w:val=""/>
      <w:lvlJc w:val="left"/>
      <w:pPr>
        <w:tabs>
          <w:tab w:val="num" w:pos="2551"/>
        </w:tabs>
        <w:ind w:left="2551" w:firstLine="0"/>
      </w:pPr>
      <w:rPr>
        <w:rFonts w:hint="default"/>
        <w:color w:val="4367C5"/>
        <w:sz w:val="32"/>
        <w:szCs w:val="32"/>
      </w:rPr>
    </w:lvl>
    <w:lvl w:ilvl="7">
      <w:start w:val="1"/>
      <w:numFmt w:val="none"/>
      <w:lvlRestart w:val="0"/>
      <w:lvlText w:val=""/>
      <w:lvlJc w:val="left"/>
      <w:pPr>
        <w:tabs>
          <w:tab w:val="num" w:pos="2551"/>
        </w:tabs>
        <w:ind w:left="2551" w:firstLine="0"/>
      </w:pPr>
      <w:rPr>
        <w:rFonts w:hint="default"/>
        <w:color w:val="4367C5"/>
      </w:rPr>
    </w:lvl>
    <w:lvl w:ilvl="8">
      <w:numFmt w:val="none"/>
      <w:lvlRestart w:val="0"/>
      <w:lvlText w:val=""/>
      <w:lvlJc w:val="left"/>
      <w:pPr>
        <w:tabs>
          <w:tab w:val="num" w:pos="2551"/>
        </w:tabs>
        <w:ind w:left="2551" w:firstLine="0"/>
      </w:pPr>
      <w:rPr>
        <w:rFonts w:hint="default"/>
        <w:color w:val="4367C5"/>
      </w:rPr>
    </w:lvl>
  </w:abstractNum>
  <w:abstractNum w:abstractNumId="43" w15:restartNumberingAfterBreak="0">
    <w:nsid w:val="65247076"/>
    <w:multiLevelType w:val="hybridMultilevel"/>
    <w:tmpl w:val="C4884490"/>
    <w:lvl w:ilvl="0" w:tplc="CD864330">
      <w:start w:val="1"/>
      <w:numFmt w:val="bullet"/>
      <w:pStyle w:val="BodyBullet"/>
      <w:lvlText w:val=""/>
      <w:lvlJc w:val="left"/>
      <w:pPr>
        <w:ind w:left="720" w:hanging="360"/>
      </w:pPr>
      <w:rPr>
        <w:rFonts w:ascii="Wingdings 3" w:hAnsi="Wingdings 3" w:hint="default"/>
        <w:color w:val="000000" w:themeColor="text1"/>
        <w:sz w:val="1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774C73"/>
    <w:multiLevelType w:val="hybridMultilevel"/>
    <w:tmpl w:val="28EA08B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69634E77"/>
    <w:multiLevelType w:val="hybridMultilevel"/>
    <w:tmpl w:val="D2EAD7D4"/>
    <w:lvl w:ilvl="0" w:tplc="2B50FAE0">
      <w:start w:val="1"/>
      <w:numFmt w:val="bullet"/>
      <w:lvlText w:val=""/>
      <w:lvlJc w:val="left"/>
      <w:pPr>
        <w:ind w:left="720" w:hanging="360"/>
      </w:pPr>
      <w:rPr>
        <w:rFonts w:ascii="Wingdings 3" w:hAnsi="Wingdings 3" w:hint="default"/>
        <w:color w:val="323232"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6FB23E31"/>
    <w:multiLevelType w:val="hybridMultilevel"/>
    <w:tmpl w:val="3CC235F8"/>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7" w15:restartNumberingAfterBreak="0">
    <w:nsid w:val="73734BEE"/>
    <w:multiLevelType w:val="multilevel"/>
    <w:tmpl w:val="47FAD844"/>
    <w:lvl w:ilvl="0">
      <w:start w:val="1"/>
      <w:numFmt w:val="decimal"/>
      <w:pStyle w:val="EYnumlevel1"/>
      <w:lvlText w:val="%1."/>
      <w:lvlJc w:val="left"/>
      <w:pPr>
        <w:ind w:left="567" w:hanging="567"/>
      </w:pPr>
      <w:rPr>
        <w:rFonts w:ascii="EYInterstate" w:hAnsi="EYInterstate" w:hint="default"/>
        <w:b/>
        <w:i w:val="0"/>
        <w:color w:val="595959" w:themeColor="text1" w:themeTint="A6"/>
        <w:sz w:val="24"/>
      </w:rPr>
    </w:lvl>
    <w:lvl w:ilvl="1">
      <w:start w:val="1"/>
      <w:numFmt w:val="decimal"/>
      <w:pStyle w:val="EYnumlevel2"/>
      <w:lvlText w:val="%1.%2"/>
      <w:lvlJc w:val="left"/>
      <w:pPr>
        <w:ind w:left="567" w:hanging="567"/>
      </w:pPr>
      <w:rPr>
        <w:rFonts w:ascii="EYInterstate" w:hAnsi="EYInterstate" w:hint="default"/>
        <w:b/>
        <w:i w:val="0"/>
        <w:color w:val="595959" w:themeColor="text1" w:themeTint="A6"/>
        <w:sz w:val="22"/>
      </w:rPr>
    </w:lvl>
    <w:lvl w:ilvl="2">
      <w:start w:val="1"/>
      <w:numFmt w:val="decimal"/>
      <w:pStyle w:val="EYnumlevel3"/>
      <w:lvlText w:val="%1.%2.%3"/>
      <w:lvlJc w:val="left"/>
      <w:pPr>
        <w:ind w:left="567" w:hanging="567"/>
      </w:pPr>
      <w:rPr>
        <w:rFonts w:ascii="EYInterstate" w:hAnsi="EYInterstate" w:hint="default"/>
        <w:b/>
        <w:i w:val="0"/>
        <w:color w:val="000000" w:themeColor="text1"/>
        <w:sz w:val="20"/>
      </w:rPr>
    </w:lvl>
    <w:lvl w:ilvl="3">
      <w:start w:val="1"/>
      <w:numFmt w:val="decimal"/>
      <w:pStyle w:val="EYnumlevel4"/>
      <w:lvlText w:val="%1.%2.%3.%4"/>
      <w:lvlJc w:val="left"/>
      <w:pPr>
        <w:ind w:left="567" w:hanging="567"/>
      </w:pPr>
      <w:rPr>
        <w:rFonts w:ascii="EYInterstate Light" w:hAnsi="EYInterstate Light" w:hint="default"/>
        <w:b/>
        <w:i/>
        <w:color w:val="000000" w:themeColor="text1"/>
        <w:sz w:val="18"/>
      </w:rPr>
    </w:lvl>
    <w:lvl w:ilvl="4">
      <w:start w:val="1"/>
      <w:numFmt w:val="decimal"/>
      <w:pStyle w:val="EYnumlevel5"/>
      <w:lvlText w:val="%1.%2.%3.%4.%5"/>
      <w:lvlJc w:val="left"/>
      <w:pPr>
        <w:ind w:left="1843" w:hanging="1843"/>
      </w:pPr>
      <w:rPr>
        <w:rFonts w:ascii="EYInterstate" w:hAnsi="EYInterstate" w:hint="default"/>
        <w:b w:val="0"/>
        <w:i w:val="0"/>
        <w:color w:val="808080"/>
        <w:sz w:val="18"/>
      </w:rPr>
    </w:lvl>
    <w:lvl w:ilvl="5">
      <w:start w:val="1"/>
      <w:numFmt w:val="decimal"/>
      <w:lvlText w:val="%1.%2.%3.%4.%5.%6"/>
      <w:lvlJc w:val="left"/>
      <w:pPr>
        <w:ind w:left="1843" w:hanging="1843"/>
      </w:pPr>
      <w:rPr>
        <w:rFonts w:ascii="EYInterstate Light" w:hAnsi="EYInterstate Light" w:hint="default"/>
        <w:b w:val="0"/>
        <w:i w:val="0"/>
        <w:color w:val="808080"/>
        <w:sz w:val="18"/>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760A2E05"/>
    <w:multiLevelType w:val="hybridMultilevel"/>
    <w:tmpl w:val="A8DC7242"/>
    <w:lvl w:ilvl="0" w:tplc="E91A239C">
      <w:start w:val="1"/>
      <w:numFmt w:val="bullet"/>
      <w:pStyle w:val="BodyBullets"/>
      <w:lvlText w:val=""/>
      <w:lvlJc w:val="left"/>
      <w:pPr>
        <w:ind w:left="720" w:hanging="360"/>
      </w:pPr>
      <w:rPr>
        <w:rFonts w:ascii="Wingdings 3" w:hAnsi="Wingdings 3" w:hint="default"/>
        <w:color w:val="323232"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1A14F6"/>
    <w:multiLevelType w:val="hybridMultilevel"/>
    <w:tmpl w:val="C494E904"/>
    <w:lvl w:ilvl="0" w:tplc="CC36E4A8">
      <w:start w:val="1"/>
      <w:numFmt w:val="decimal"/>
      <w:pStyle w:val="Heading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798F30D8"/>
    <w:multiLevelType w:val="multilevel"/>
    <w:tmpl w:val="2A9E5564"/>
    <w:name w:val="ParaNumbering"/>
    <w:styleLink w:val="ParaNumbering"/>
    <w:lvl w:ilvl="0">
      <w:start w:val="1"/>
      <w:numFmt w:val="decimal"/>
      <w:lvlRestart w:val="0"/>
      <w:pStyle w:val="EYHeading1"/>
      <w:lvlText w:val=""/>
      <w:lvlJc w:val="left"/>
      <w:pPr>
        <w:tabs>
          <w:tab w:val="num" w:pos="0"/>
        </w:tabs>
        <w:ind w:left="0" w:firstLine="0"/>
      </w:pPr>
      <w:rPr>
        <w:b/>
        <w:color w:val="7F7E82"/>
        <w:sz w:val="40"/>
      </w:rPr>
    </w:lvl>
    <w:lvl w:ilvl="1">
      <w:start w:val="1"/>
      <w:numFmt w:val="decimal"/>
      <w:pStyle w:val="EYbodytext"/>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1" w15:restartNumberingAfterBreak="0">
    <w:nsid w:val="7BEA0B16"/>
    <w:multiLevelType w:val="hybridMultilevel"/>
    <w:tmpl w:val="E9AADE1E"/>
    <w:lvl w:ilvl="0" w:tplc="4009000F">
      <w:start w:val="1"/>
      <w:numFmt w:val="decimal"/>
      <w:lvlText w:val="%1."/>
      <w:lvlJc w:val="left"/>
      <w:pPr>
        <w:ind w:left="936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7F7C0B08"/>
    <w:multiLevelType w:val="hybridMultilevel"/>
    <w:tmpl w:val="BF083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7FB937D2"/>
    <w:multiLevelType w:val="hybridMultilevel"/>
    <w:tmpl w:val="4CAAA4AC"/>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41"/>
  </w:num>
  <w:num w:numId="2">
    <w:abstractNumId w:val="36"/>
  </w:num>
  <w:num w:numId="3">
    <w:abstractNumId w:val="33"/>
  </w:num>
  <w:num w:numId="4">
    <w:abstractNumId w:val="18"/>
  </w:num>
  <w:num w:numId="5">
    <w:abstractNumId w:val="26"/>
  </w:num>
  <w:num w:numId="6">
    <w:abstractNumId w:val="0"/>
  </w:num>
  <w:num w:numId="7">
    <w:abstractNumId w:val="48"/>
  </w:num>
  <w:num w:numId="8">
    <w:abstractNumId w:val="51"/>
  </w:num>
  <w:num w:numId="9">
    <w:abstractNumId w:val="5"/>
  </w:num>
  <w:num w:numId="10">
    <w:abstractNumId w:val="17"/>
  </w:num>
  <w:num w:numId="11">
    <w:abstractNumId w:val="1"/>
  </w:num>
  <w:num w:numId="12">
    <w:abstractNumId w:val="8"/>
  </w:num>
  <w:num w:numId="13">
    <w:abstractNumId w:val="53"/>
  </w:num>
  <w:num w:numId="14">
    <w:abstractNumId w:val="40"/>
  </w:num>
  <w:num w:numId="15">
    <w:abstractNumId w:val="13"/>
  </w:num>
  <w:num w:numId="16">
    <w:abstractNumId w:val="21"/>
  </w:num>
  <w:num w:numId="17">
    <w:abstractNumId w:val="11"/>
  </w:num>
  <w:num w:numId="18">
    <w:abstractNumId w:val="15"/>
  </w:num>
  <w:num w:numId="19">
    <w:abstractNumId w:val="44"/>
  </w:num>
  <w:num w:numId="20">
    <w:abstractNumId w:val="25"/>
  </w:num>
  <w:num w:numId="21">
    <w:abstractNumId w:val="24"/>
  </w:num>
  <w:num w:numId="22">
    <w:abstractNumId w:val="43"/>
  </w:num>
  <w:num w:numId="23">
    <w:abstractNumId w:val="28"/>
  </w:num>
  <w:num w:numId="24">
    <w:abstractNumId w:val="16"/>
  </w:num>
  <w:num w:numId="25">
    <w:abstractNumId w:val="35"/>
  </w:num>
  <w:num w:numId="26">
    <w:abstractNumId w:val="27"/>
  </w:num>
  <w:num w:numId="27">
    <w:abstractNumId w:val="31"/>
  </w:num>
  <w:num w:numId="28">
    <w:abstractNumId w:val="19"/>
  </w:num>
  <w:num w:numId="29">
    <w:abstractNumId w:val="2"/>
  </w:num>
  <w:num w:numId="30">
    <w:abstractNumId w:val="4"/>
  </w:num>
  <w:num w:numId="31">
    <w:abstractNumId w:val="45"/>
  </w:num>
  <w:num w:numId="32">
    <w:abstractNumId w:val="22"/>
  </w:num>
  <w:num w:numId="33">
    <w:abstractNumId w:val="42"/>
  </w:num>
  <w:num w:numId="34">
    <w:abstractNumId w:val="10"/>
  </w:num>
  <w:num w:numId="35">
    <w:abstractNumId w:val="23"/>
  </w:num>
  <w:num w:numId="36">
    <w:abstractNumId w:val="34"/>
  </w:num>
  <w:num w:numId="37">
    <w:abstractNumId w:val="38"/>
  </w:num>
  <w:num w:numId="38">
    <w:abstractNumId w:val="52"/>
  </w:num>
  <w:num w:numId="39">
    <w:abstractNumId w:val="46"/>
  </w:num>
  <w:num w:numId="40">
    <w:abstractNumId w:val="37"/>
  </w:num>
  <w:num w:numId="41">
    <w:abstractNumId w:val="49"/>
    <w:lvlOverride w:ilvl="0">
      <w:lvl w:ilvl="0" w:tplc="CC36E4A8">
        <w:start w:val="1"/>
        <w:numFmt w:val="decimal"/>
        <w:pStyle w:val="Heading1"/>
        <w:lvlText w:val="%1."/>
        <w:lvlJc w:val="left"/>
        <w:pPr>
          <w:ind w:left="425" w:hanging="425"/>
        </w:pPr>
        <w:rPr>
          <w:rFonts w:hint="default"/>
        </w:rPr>
      </w:lvl>
    </w:lvlOverride>
    <w:lvlOverride w:ilvl="1">
      <w:lvl w:ilvl="1" w:tplc="40090019" w:tentative="1">
        <w:start w:val="1"/>
        <w:numFmt w:val="lowerLetter"/>
        <w:lvlText w:val="%2."/>
        <w:lvlJc w:val="left"/>
        <w:pPr>
          <w:ind w:left="1440" w:hanging="360"/>
        </w:pPr>
      </w:lvl>
    </w:lvlOverride>
    <w:lvlOverride w:ilvl="2">
      <w:lvl w:ilvl="2" w:tplc="4009001B" w:tentative="1">
        <w:start w:val="1"/>
        <w:numFmt w:val="lowerRoman"/>
        <w:lvlText w:val="%3."/>
        <w:lvlJc w:val="right"/>
        <w:pPr>
          <w:ind w:left="2160" w:hanging="180"/>
        </w:pPr>
      </w:lvl>
    </w:lvlOverride>
    <w:lvlOverride w:ilvl="3">
      <w:lvl w:ilvl="3" w:tplc="4009000F" w:tentative="1">
        <w:start w:val="1"/>
        <w:numFmt w:val="decimal"/>
        <w:lvlText w:val="%4."/>
        <w:lvlJc w:val="left"/>
        <w:pPr>
          <w:ind w:left="2880" w:hanging="360"/>
        </w:pPr>
      </w:lvl>
    </w:lvlOverride>
    <w:lvlOverride w:ilvl="4">
      <w:lvl w:ilvl="4" w:tplc="40090019" w:tentative="1">
        <w:start w:val="1"/>
        <w:numFmt w:val="lowerLetter"/>
        <w:lvlText w:val="%5."/>
        <w:lvlJc w:val="left"/>
        <w:pPr>
          <w:ind w:left="3600" w:hanging="360"/>
        </w:pPr>
      </w:lvl>
    </w:lvlOverride>
    <w:lvlOverride w:ilvl="5">
      <w:lvl w:ilvl="5" w:tplc="4009001B" w:tentative="1">
        <w:start w:val="1"/>
        <w:numFmt w:val="lowerRoman"/>
        <w:lvlText w:val="%6."/>
        <w:lvlJc w:val="right"/>
        <w:pPr>
          <w:ind w:left="4320" w:hanging="180"/>
        </w:pPr>
      </w:lvl>
    </w:lvlOverride>
    <w:lvlOverride w:ilvl="6">
      <w:lvl w:ilvl="6" w:tplc="4009000F" w:tentative="1">
        <w:start w:val="1"/>
        <w:numFmt w:val="decimal"/>
        <w:lvlText w:val="%7."/>
        <w:lvlJc w:val="left"/>
        <w:pPr>
          <w:ind w:left="5040" w:hanging="360"/>
        </w:pPr>
      </w:lvl>
    </w:lvlOverride>
    <w:lvlOverride w:ilvl="7">
      <w:lvl w:ilvl="7" w:tplc="40090019" w:tentative="1">
        <w:start w:val="1"/>
        <w:numFmt w:val="lowerLetter"/>
        <w:lvlText w:val="%8."/>
        <w:lvlJc w:val="left"/>
        <w:pPr>
          <w:ind w:left="5760" w:hanging="360"/>
        </w:pPr>
      </w:lvl>
    </w:lvlOverride>
    <w:lvlOverride w:ilvl="8">
      <w:lvl w:ilvl="8" w:tplc="4009001B" w:tentative="1">
        <w:start w:val="1"/>
        <w:numFmt w:val="lowerRoman"/>
        <w:lvlText w:val="%9."/>
        <w:lvlJc w:val="right"/>
        <w:pPr>
          <w:ind w:left="6480" w:hanging="180"/>
        </w:pPr>
      </w:lvl>
    </w:lvlOverride>
  </w:num>
  <w:num w:numId="42">
    <w:abstractNumId w:val="47"/>
  </w:num>
  <w:num w:numId="43">
    <w:abstractNumId w:val="20"/>
  </w:num>
  <w:num w:numId="44">
    <w:abstractNumId w:val="9"/>
  </w:num>
  <w:num w:numId="45">
    <w:abstractNumId w:val="50"/>
  </w:num>
  <w:num w:numId="46">
    <w:abstractNumId w:val="14"/>
  </w:num>
  <w:num w:numId="47">
    <w:abstractNumId w:val="12"/>
  </w:num>
  <w:num w:numId="48">
    <w:abstractNumId w:val="6"/>
  </w:num>
  <w:num w:numId="49">
    <w:abstractNumId w:val="39"/>
  </w:num>
  <w:num w:numId="50">
    <w:abstractNumId w:val="30"/>
  </w:num>
  <w:num w:numId="51">
    <w:abstractNumId w:val="32"/>
  </w:num>
  <w:num w:numId="52">
    <w:abstractNumId w:val="29"/>
  </w:num>
  <w:num w:numId="53">
    <w:abstractNumId w:val="3"/>
  </w:num>
  <w:num w:numId="54">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CH" w:vendorID="64" w:dllVersion="6" w:nlCheck="1" w:checkStyle="1"/>
  <w:activeWritingStyle w:appName="MSWord" w:lang="es-ES_tradnl" w:vendorID="64" w:dllVersion="6" w:nlCheck="1" w:checkStyle="1"/>
  <w:activeWritingStyle w:appName="MSWord" w:lang="en-ZA" w:vendorID="64" w:dllVersion="6" w:nlCheck="1" w:checkStyle="1"/>
  <w:activeWritingStyle w:appName="MSWord" w:lang="en-IN" w:vendorID="64" w:dllVersion="6" w:nlCheck="1" w:checkStyle="1"/>
  <w:activeWritingStyle w:appName="MSWord" w:lang="en-IN" w:vendorID="64" w:dllVersion="0" w:nlCheck="1" w:checkStyle="0"/>
  <w:activeWritingStyle w:appName="MSWord" w:lang="en-US" w:vendorID="64" w:dllVersion="0" w:nlCheck="1" w:checkStyle="0"/>
  <w:activeWritingStyle w:appName="MSWord" w:lang="en-GB" w:vendorID="64" w:dllVersion="0" w:nlCheck="1" w:checkStyle="0"/>
  <w:activeWritingStyle w:appName="MSWord" w:lang="en-IN"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425"/>
  <w:drawingGridHorizontalSpacing w:val="90"/>
  <w:drawingGridVerticalSpacing w:val="115"/>
  <w:displayHorizontalDrawingGridEvery w:val="2"/>
  <w:displayVerticalDrawingGridEvery w:val="0"/>
  <w:characterSpacingControl w:val="doNotCompress"/>
  <w:hdrShapeDefaults>
    <o:shapedefaults v:ext="edit" spidmax="2049" fillcolor="#d1d3d4" stroke="f">
      <v:fill color="#d1d3d4"/>
      <v:stroke on="f"/>
      <o:colormru v:ext="edit" colors="#ddd,#00295d,#e9b633,#dcdcdc,#d1d3d4"/>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B80"/>
    <w:rsid w:val="00000100"/>
    <w:rsid w:val="000001E8"/>
    <w:rsid w:val="000003D0"/>
    <w:rsid w:val="000006B4"/>
    <w:rsid w:val="00000848"/>
    <w:rsid w:val="000008CD"/>
    <w:rsid w:val="00000917"/>
    <w:rsid w:val="00000A08"/>
    <w:rsid w:val="00000A16"/>
    <w:rsid w:val="00000BA3"/>
    <w:rsid w:val="00000CA8"/>
    <w:rsid w:val="00000D15"/>
    <w:rsid w:val="00000F1E"/>
    <w:rsid w:val="0000104A"/>
    <w:rsid w:val="0000108F"/>
    <w:rsid w:val="000010AD"/>
    <w:rsid w:val="00001247"/>
    <w:rsid w:val="00001292"/>
    <w:rsid w:val="00001416"/>
    <w:rsid w:val="000015AF"/>
    <w:rsid w:val="00001709"/>
    <w:rsid w:val="00001A3B"/>
    <w:rsid w:val="00001BF4"/>
    <w:rsid w:val="00001C3E"/>
    <w:rsid w:val="00001F20"/>
    <w:rsid w:val="00001FB6"/>
    <w:rsid w:val="00002027"/>
    <w:rsid w:val="0000254F"/>
    <w:rsid w:val="000025B4"/>
    <w:rsid w:val="00002815"/>
    <w:rsid w:val="00002DCF"/>
    <w:rsid w:val="00002E6A"/>
    <w:rsid w:val="00002EE2"/>
    <w:rsid w:val="00003330"/>
    <w:rsid w:val="00003433"/>
    <w:rsid w:val="000034E8"/>
    <w:rsid w:val="0000370E"/>
    <w:rsid w:val="00003805"/>
    <w:rsid w:val="0000399C"/>
    <w:rsid w:val="00003D22"/>
    <w:rsid w:val="00003E13"/>
    <w:rsid w:val="0000418B"/>
    <w:rsid w:val="000041E7"/>
    <w:rsid w:val="00004883"/>
    <w:rsid w:val="0000552B"/>
    <w:rsid w:val="00005A38"/>
    <w:rsid w:val="00005A48"/>
    <w:rsid w:val="00005C8F"/>
    <w:rsid w:val="00005CA8"/>
    <w:rsid w:val="00005E7B"/>
    <w:rsid w:val="00005EFF"/>
    <w:rsid w:val="00005F94"/>
    <w:rsid w:val="000061BD"/>
    <w:rsid w:val="000062CE"/>
    <w:rsid w:val="000064FC"/>
    <w:rsid w:val="000065F6"/>
    <w:rsid w:val="000067E7"/>
    <w:rsid w:val="00006CDD"/>
    <w:rsid w:val="00006DDF"/>
    <w:rsid w:val="00006F76"/>
    <w:rsid w:val="00007279"/>
    <w:rsid w:val="000072CC"/>
    <w:rsid w:val="00007585"/>
    <w:rsid w:val="00007737"/>
    <w:rsid w:val="000078AA"/>
    <w:rsid w:val="000079ED"/>
    <w:rsid w:val="00007B65"/>
    <w:rsid w:val="00007E42"/>
    <w:rsid w:val="0001008C"/>
    <w:rsid w:val="00010095"/>
    <w:rsid w:val="00010466"/>
    <w:rsid w:val="00010563"/>
    <w:rsid w:val="00010674"/>
    <w:rsid w:val="00010B3B"/>
    <w:rsid w:val="00010B54"/>
    <w:rsid w:val="00010BB3"/>
    <w:rsid w:val="00010DF8"/>
    <w:rsid w:val="00010EE4"/>
    <w:rsid w:val="00010EF2"/>
    <w:rsid w:val="00011134"/>
    <w:rsid w:val="000116F5"/>
    <w:rsid w:val="00011937"/>
    <w:rsid w:val="00011A45"/>
    <w:rsid w:val="00012072"/>
    <w:rsid w:val="000121A8"/>
    <w:rsid w:val="00012322"/>
    <w:rsid w:val="00012689"/>
    <w:rsid w:val="00012757"/>
    <w:rsid w:val="00012843"/>
    <w:rsid w:val="00012845"/>
    <w:rsid w:val="00012A20"/>
    <w:rsid w:val="00012A42"/>
    <w:rsid w:val="00012C45"/>
    <w:rsid w:val="00012CCB"/>
    <w:rsid w:val="00013091"/>
    <w:rsid w:val="00013733"/>
    <w:rsid w:val="00013822"/>
    <w:rsid w:val="00013BD9"/>
    <w:rsid w:val="00013F39"/>
    <w:rsid w:val="0001417E"/>
    <w:rsid w:val="00014267"/>
    <w:rsid w:val="000142E4"/>
    <w:rsid w:val="000145E6"/>
    <w:rsid w:val="00014703"/>
    <w:rsid w:val="00014AA2"/>
    <w:rsid w:val="00014C5F"/>
    <w:rsid w:val="00015180"/>
    <w:rsid w:val="00015200"/>
    <w:rsid w:val="00015248"/>
    <w:rsid w:val="000154A9"/>
    <w:rsid w:val="000154E3"/>
    <w:rsid w:val="0001554C"/>
    <w:rsid w:val="00015585"/>
    <w:rsid w:val="00015687"/>
    <w:rsid w:val="000157F2"/>
    <w:rsid w:val="00015841"/>
    <w:rsid w:val="000158A4"/>
    <w:rsid w:val="00015F41"/>
    <w:rsid w:val="00016101"/>
    <w:rsid w:val="00016163"/>
    <w:rsid w:val="00016386"/>
    <w:rsid w:val="00016A7C"/>
    <w:rsid w:val="00016B52"/>
    <w:rsid w:val="00016CCE"/>
    <w:rsid w:val="00016CE7"/>
    <w:rsid w:val="00017320"/>
    <w:rsid w:val="00017335"/>
    <w:rsid w:val="0001736C"/>
    <w:rsid w:val="0001749A"/>
    <w:rsid w:val="00017573"/>
    <w:rsid w:val="000175E0"/>
    <w:rsid w:val="00017640"/>
    <w:rsid w:val="0001776E"/>
    <w:rsid w:val="00017976"/>
    <w:rsid w:val="00017CA6"/>
    <w:rsid w:val="00017CCE"/>
    <w:rsid w:val="00017EAE"/>
    <w:rsid w:val="0002015F"/>
    <w:rsid w:val="000201CB"/>
    <w:rsid w:val="000202BE"/>
    <w:rsid w:val="000203D7"/>
    <w:rsid w:val="00020786"/>
    <w:rsid w:val="00020D10"/>
    <w:rsid w:val="00020ECD"/>
    <w:rsid w:val="00020F80"/>
    <w:rsid w:val="00021892"/>
    <w:rsid w:val="00021C6B"/>
    <w:rsid w:val="00021DC9"/>
    <w:rsid w:val="00022035"/>
    <w:rsid w:val="00022101"/>
    <w:rsid w:val="00022193"/>
    <w:rsid w:val="000221EF"/>
    <w:rsid w:val="0002220D"/>
    <w:rsid w:val="00022724"/>
    <w:rsid w:val="00022A88"/>
    <w:rsid w:val="00022B51"/>
    <w:rsid w:val="00022BDB"/>
    <w:rsid w:val="00022F5B"/>
    <w:rsid w:val="000231C2"/>
    <w:rsid w:val="00023303"/>
    <w:rsid w:val="0002333A"/>
    <w:rsid w:val="000233CC"/>
    <w:rsid w:val="00023436"/>
    <w:rsid w:val="00023566"/>
    <w:rsid w:val="0002375E"/>
    <w:rsid w:val="00023811"/>
    <w:rsid w:val="0002383E"/>
    <w:rsid w:val="00023A56"/>
    <w:rsid w:val="00023B43"/>
    <w:rsid w:val="00023B56"/>
    <w:rsid w:val="00023C73"/>
    <w:rsid w:val="00023EEB"/>
    <w:rsid w:val="00023F2B"/>
    <w:rsid w:val="0002403B"/>
    <w:rsid w:val="00024053"/>
    <w:rsid w:val="00024054"/>
    <w:rsid w:val="000241ED"/>
    <w:rsid w:val="00024519"/>
    <w:rsid w:val="00024583"/>
    <w:rsid w:val="00024DAE"/>
    <w:rsid w:val="00024DC2"/>
    <w:rsid w:val="00024E65"/>
    <w:rsid w:val="000253A6"/>
    <w:rsid w:val="0002551E"/>
    <w:rsid w:val="0002557C"/>
    <w:rsid w:val="00025623"/>
    <w:rsid w:val="000256A9"/>
    <w:rsid w:val="00025A50"/>
    <w:rsid w:val="00025CC7"/>
    <w:rsid w:val="00026115"/>
    <w:rsid w:val="00026306"/>
    <w:rsid w:val="00026327"/>
    <w:rsid w:val="00026427"/>
    <w:rsid w:val="0002653B"/>
    <w:rsid w:val="00026634"/>
    <w:rsid w:val="0002670D"/>
    <w:rsid w:val="00026721"/>
    <w:rsid w:val="000269AD"/>
    <w:rsid w:val="000269FD"/>
    <w:rsid w:val="00026A24"/>
    <w:rsid w:val="00026B9E"/>
    <w:rsid w:val="00026CB4"/>
    <w:rsid w:val="0002713E"/>
    <w:rsid w:val="000271A9"/>
    <w:rsid w:val="00027465"/>
    <w:rsid w:val="00027813"/>
    <w:rsid w:val="00027954"/>
    <w:rsid w:val="00027A3C"/>
    <w:rsid w:val="00027A5B"/>
    <w:rsid w:val="00027C6D"/>
    <w:rsid w:val="00027D15"/>
    <w:rsid w:val="00027DA9"/>
    <w:rsid w:val="0003001D"/>
    <w:rsid w:val="0003009F"/>
    <w:rsid w:val="000300FA"/>
    <w:rsid w:val="000301E1"/>
    <w:rsid w:val="000303D8"/>
    <w:rsid w:val="00030558"/>
    <w:rsid w:val="000305ED"/>
    <w:rsid w:val="00030673"/>
    <w:rsid w:val="000307B5"/>
    <w:rsid w:val="000307D0"/>
    <w:rsid w:val="0003093F"/>
    <w:rsid w:val="000310A9"/>
    <w:rsid w:val="00031111"/>
    <w:rsid w:val="0003120D"/>
    <w:rsid w:val="0003121F"/>
    <w:rsid w:val="000312A4"/>
    <w:rsid w:val="0003135C"/>
    <w:rsid w:val="00031AB0"/>
    <w:rsid w:val="00031C1D"/>
    <w:rsid w:val="00031CD5"/>
    <w:rsid w:val="00031F50"/>
    <w:rsid w:val="0003211D"/>
    <w:rsid w:val="00032324"/>
    <w:rsid w:val="0003237F"/>
    <w:rsid w:val="00032574"/>
    <w:rsid w:val="00032593"/>
    <w:rsid w:val="0003277A"/>
    <w:rsid w:val="00032B2A"/>
    <w:rsid w:val="00032B36"/>
    <w:rsid w:val="00032FC8"/>
    <w:rsid w:val="00033016"/>
    <w:rsid w:val="000332B4"/>
    <w:rsid w:val="00033533"/>
    <w:rsid w:val="00033C28"/>
    <w:rsid w:val="00033C8E"/>
    <w:rsid w:val="00033D4E"/>
    <w:rsid w:val="00034019"/>
    <w:rsid w:val="000340BC"/>
    <w:rsid w:val="00034153"/>
    <w:rsid w:val="000341BC"/>
    <w:rsid w:val="0003435D"/>
    <w:rsid w:val="000343DD"/>
    <w:rsid w:val="000348D5"/>
    <w:rsid w:val="00034B85"/>
    <w:rsid w:val="00034D73"/>
    <w:rsid w:val="00034EA3"/>
    <w:rsid w:val="00035018"/>
    <w:rsid w:val="000352A3"/>
    <w:rsid w:val="00035346"/>
    <w:rsid w:val="0003547F"/>
    <w:rsid w:val="000358DC"/>
    <w:rsid w:val="00035B1F"/>
    <w:rsid w:val="00035EF7"/>
    <w:rsid w:val="00036007"/>
    <w:rsid w:val="0003655C"/>
    <w:rsid w:val="00036700"/>
    <w:rsid w:val="00036932"/>
    <w:rsid w:val="00036D9F"/>
    <w:rsid w:val="00036FFB"/>
    <w:rsid w:val="000370A9"/>
    <w:rsid w:val="000370CF"/>
    <w:rsid w:val="00037194"/>
    <w:rsid w:val="000373E3"/>
    <w:rsid w:val="00037449"/>
    <w:rsid w:val="00037612"/>
    <w:rsid w:val="00037788"/>
    <w:rsid w:val="0003783A"/>
    <w:rsid w:val="00037967"/>
    <w:rsid w:val="000379EE"/>
    <w:rsid w:val="00037C40"/>
    <w:rsid w:val="00037DCC"/>
    <w:rsid w:val="00037ECD"/>
    <w:rsid w:val="00040200"/>
    <w:rsid w:val="00040308"/>
    <w:rsid w:val="000403A9"/>
    <w:rsid w:val="0004040D"/>
    <w:rsid w:val="000406AA"/>
    <w:rsid w:val="0004071E"/>
    <w:rsid w:val="000407C9"/>
    <w:rsid w:val="00040A61"/>
    <w:rsid w:val="00040B9F"/>
    <w:rsid w:val="00040D3F"/>
    <w:rsid w:val="000411C9"/>
    <w:rsid w:val="00041306"/>
    <w:rsid w:val="0004147E"/>
    <w:rsid w:val="00041520"/>
    <w:rsid w:val="000416CE"/>
    <w:rsid w:val="00041A83"/>
    <w:rsid w:val="00041B7B"/>
    <w:rsid w:val="00041B84"/>
    <w:rsid w:val="00042257"/>
    <w:rsid w:val="000425D9"/>
    <w:rsid w:val="00042716"/>
    <w:rsid w:val="000428E9"/>
    <w:rsid w:val="00042D13"/>
    <w:rsid w:val="00042E11"/>
    <w:rsid w:val="000430A0"/>
    <w:rsid w:val="00043357"/>
    <w:rsid w:val="000433BB"/>
    <w:rsid w:val="000434B8"/>
    <w:rsid w:val="000434FF"/>
    <w:rsid w:val="0004395B"/>
    <w:rsid w:val="0004396B"/>
    <w:rsid w:val="0004397E"/>
    <w:rsid w:val="00043A20"/>
    <w:rsid w:val="00043D0F"/>
    <w:rsid w:val="000440B0"/>
    <w:rsid w:val="000441F6"/>
    <w:rsid w:val="00044254"/>
    <w:rsid w:val="000447B4"/>
    <w:rsid w:val="00044876"/>
    <w:rsid w:val="00044BB1"/>
    <w:rsid w:val="00044D72"/>
    <w:rsid w:val="00044DE9"/>
    <w:rsid w:val="00044ECD"/>
    <w:rsid w:val="00044F85"/>
    <w:rsid w:val="00045008"/>
    <w:rsid w:val="00045158"/>
    <w:rsid w:val="00045187"/>
    <w:rsid w:val="0004518A"/>
    <w:rsid w:val="0004522E"/>
    <w:rsid w:val="000452CA"/>
    <w:rsid w:val="000454DB"/>
    <w:rsid w:val="000458D3"/>
    <w:rsid w:val="00045B23"/>
    <w:rsid w:val="000460B3"/>
    <w:rsid w:val="00046DB8"/>
    <w:rsid w:val="00046E14"/>
    <w:rsid w:val="00046EB8"/>
    <w:rsid w:val="0004720F"/>
    <w:rsid w:val="00047500"/>
    <w:rsid w:val="000479C4"/>
    <w:rsid w:val="00047C5B"/>
    <w:rsid w:val="00047E38"/>
    <w:rsid w:val="00047E80"/>
    <w:rsid w:val="00050BCF"/>
    <w:rsid w:val="00050F1F"/>
    <w:rsid w:val="000514F6"/>
    <w:rsid w:val="0005173E"/>
    <w:rsid w:val="000518A2"/>
    <w:rsid w:val="00051A92"/>
    <w:rsid w:val="00051D84"/>
    <w:rsid w:val="000520F4"/>
    <w:rsid w:val="000522B8"/>
    <w:rsid w:val="000524EB"/>
    <w:rsid w:val="00052535"/>
    <w:rsid w:val="0005299D"/>
    <w:rsid w:val="00052A37"/>
    <w:rsid w:val="00052C0C"/>
    <w:rsid w:val="00052EBA"/>
    <w:rsid w:val="000530A4"/>
    <w:rsid w:val="000531E4"/>
    <w:rsid w:val="00053266"/>
    <w:rsid w:val="00053416"/>
    <w:rsid w:val="000534A6"/>
    <w:rsid w:val="000535EA"/>
    <w:rsid w:val="00053944"/>
    <w:rsid w:val="00053D36"/>
    <w:rsid w:val="00053D79"/>
    <w:rsid w:val="00053DC0"/>
    <w:rsid w:val="00054035"/>
    <w:rsid w:val="00054081"/>
    <w:rsid w:val="000540FA"/>
    <w:rsid w:val="0005483D"/>
    <w:rsid w:val="00054AAA"/>
    <w:rsid w:val="00054ACE"/>
    <w:rsid w:val="00054D3F"/>
    <w:rsid w:val="00054DBA"/>
    <w:rsid w:val="0005518A"/>
    <w:rsid w:val="000551CC"/>
    <w:rsid w:val="00055298"/>
    <w:rsid w:val="000559D8"/>
    <w:rsid w:val="00055AE6"/>
    <w:rsid w:val="00055D16"/>
    <w:rsid w:val="00055EEB"/>
    <w:rsid w:val="000562D6"/>
    <w:rsid w:val="00056322"/>
    <w:rsid w:val="00056831"/>
    <w:rsid w:val="00056A87"/>
    <w:rsid w:val="00056B46"/>
    <w:rsid w:val="00056BCB"/>
    <w:rsid w:val="00056BF0"/>
    <w:rsid w:val="00056CCD"/>
    <w:rsid w:val="00057206"/>
    <w:rsid w:val="000574D5"/>
    <w:rsid w:val="0005750E"/>
    <w:rsid w:val="000575A4"/>
    <w:rsid w:val="00057954"/>
    <w:rsid w:val="00057CE2"/>
    <w:rsid w:val="0006004D"/>
    <w:rsid w:val="00060468"/>
    <w:rsid w:val="000606D7"/>
    <w:rsid w:val="0006084C"/>
    <w:rsid w:val="00060CFC"/>
    <w:rsid w:val="00060F28"/>
    <w:rsid w:val="00060FB5"/>
    <w:rsid w:val="00061037"/>
    <w:rsid w:val="0006111F"/>
    <w:rsid w:val="00061136"/>
    <w:rsid w:val="00061371"/>
    <w:rsid w:val="00061478"/>
    <w:rsid w:val="0006155F"/>
    <w:rsid w:val="0006176F"/>
    <w:rsid w:val="0006179D"/>
    <w:rsid w:val="000617EE"/>
    <w:rsid w:val="00061949"/>
    <w:rsid w:val="00061B15"/>
    <w:rsid w:val="00061C14"/>
    <w:rsid w:val="00061C1A"/>
    <w:rsid w:val="00061F2B"/>
    <w:rsid w:val="00062000"/>
    <w:rsid w:val="000620A2"/>
    <w:rsid w:val="000620FD"/>
    <w:rsid w:val="00062172"/>
    <w:rsid w:val="00062457"/>
    <w:rsid w:val="00062754"/>
    <w:rsid w:val="000628E3"/>
    <w:rsid w:val="0006293A"/>
    <w:rsid w:val="00062A51"/>
    <w:rsid w:val="00062EED"/>
    <w:rsid w:val="00062FE3"/>
    <w:rsid w:val="00063153"/>
    <w:rsid w:val="00063746"/>
    <w:rsid w:val="0006395C"/>
    <w:rsid w:val="00063B18"/>
    <w:rsid w:val="00063B5E"/>
    <w:rsid w:val="00063B95"/>
    <w:rsid w:val="00063C7A"/>
    <w:rsid w:val="00063CD6"/>
    <w:rsid w:val="00063ECC"/>
    <w:rsid w:val="00063EDE"/>
    <w:rsid w:val="00063EE0"/>
    <w:rsid w:val="00064159"/>
    <w:rsid w:val="0006417A"/>
    <w:rsid w:val="0006448F"/>
    <w:rsid w:val="00064545"/>
    <w:rsid w:val="0006457D"/>
    <w:rsid w:val="000647FE"/>
    <w:rsid w:val="00064846"/>
    <w:rsid w:val="0006492F"/>
    <w:rsid w:val="000649AA"/>
    <w:rsid w:val="00064B59"/>
    <w:rsid w:val="00064CD1"/>
    <w:rsid w:val="00064F62"/>
    <w:rsid w:val="00064F9F"/>
    <w:rsid w:val="00065030"/>
    <w:rsid w:val="00065060"/>
    <w:rsid w:val="0006594F"/>
    <w:rsid w:val="00065A05"/>
    <w:rsid w:val="00065C5C"/>
    <w:rsid w:val="00065D42"/>
    <w:rsid w:val="00065E62"/>
    <w:rsid w:val="0006617E"/>
    <w:rsid w:val="00066181"/>
    <w:rsid w:val="00066615"/>
    <w:rsid w:val="000667CC"/>
    <w:rsid w:val="00066B0B"/>
    <w:rsid w:val="00066E18"/>
    <w:rsid w:val="000671C2"/>
    <w:rsid w:val="000671D0"/>
    <w:rsid w:val="000674BA"/>
    <w:rsid w:val="0006770D"/>
    <w:rsid w:val="00067D56"/>
    <w:rsid w:val="00067E37"/>
    <w:rsid w:val="00067EB1"/>
    <w:rsid w:val="00067EF2"/>
    <w:rsid w:val="00067EFB"/>
    <w:rsid w:val="00067F22"/>
    <w:rsid w:val="000700DF"/>
    <w:rsid w:val="00070200"/>
    <w:rsid w:val="000704B5"/>
    <w:rsid w:val="000704FB"/>
    <w:rsid w:val="000705BC"/>
    <w:rsid w:val="00070823"/>
    <w:rsid w:val="00070C0E"/>
    <w:rsid w:val="00070EEE"/>
    <w:rsid w:val="00070FB0"/>
    <w:rsid w:val="00071089"/>
    <w:rsid w:val="00071136"/>
    <w:rsid w:val="000712AB"/>
    <w:rsid w:val="000714F5"/>
    <w:rsid w:val="00071CE8"/>
    <w:rsid w:val="00071D02"/>
    <w:rsid w:val="00071E20"/>
    <w:rsid w:val="00071FBE"/>
    <w:rsid w:val="00072159"/>
    <w:rsid w:val="000722C3"/>
    <w:rsid w:val="000724D5"/>
    <w:rsid w:val="00072779"/>
    <w:rsid w:val="00072786"/>
    <w:rsid w:val="0007282B"/>
    <w:rsid w:val="000728E3"/>
    <w:rsid w:val="00072A62"/>
    <w:rsid w:val="00072D52"/>
    <w:rsid w:val="00072E42"/>
    <w:rsid w:val="00073018"/>
    <w:rsid w:val="00073043"/>
    <w:rsid w:val="000731D1"/>
    <w:rsid w:val="00073466"/>
    <w:rsid w:val="00073B26"/>
    <w:rsid w:val="00073C1B"/>
    <w:rsid w:val="00073D25"/>
    <w:rsid w:val="0007435E"/>
    <w:rsid w:val="00074602"/>
    <w:rsid w:val="0007464F"/>
    <w:rsid w:val="00074674"/>
    <w:rsid w:val="00074775"/>
    <w:rsid w:val="00074845"/>
    <w:rsid w:val="00074858"/>
    <w:rsid w:val="00074D9F"/>
    <w:rsid w:val="00074F1B"/>
    <w:rsid w:val="00074FFF"/>
    <w:rsid w:val="00075366"/>
    <w:rsid w:val="000755EF"/>
    <w:rsid w:val="000757B2"/>
    <w:rsid w:val="00075A1D"/>
    <w:rsid w:val="00075E78"/>
    <w:rsid w:val="00076420"/>
    <w:rsid w:val="00076536"/>
    <w:rsid w:val="00076539"/>
    <w:rsid w:val="00076963"/>
    <w:rsid w:val="00076976"/>
    <w:rsid w:val="00076A0F"/>
    <w:rsid w:val="00076C01"/>
    <w:rsid w:val="00076D99"/>
    <w:rsid w:val="00076DA5"/>
    <w:rsid w:val="00076F44"/>
    <w:rsid w:val="000772D5"/>
    <w:rsid w:val="0007735F"/>
    <w:rsid w:val="00077540"/>
    <w:rsid w:val="000775A8"/>
    <w:rsid w:val="00077AFA"/>
    <w:rsid w:val="00077DEC"/>
    <w:rsid w:val="00080093"/>
    <w:rsid w:val="000801EB"/>
    <w:rsid w:val="0008044B"/>
    <w:rsid w:val="00080662"/>
    <w:rsid w:val="000806B2"/>
    <w:rsid w:val="000806C6"/>
    <w:rsid w:val="00080707"/>
    <w:rsid w:val="000807C6"/>
    <w:rsid w:val="00081052"/>
    <w:rsid w:val="000811D0"/>
    <w:rsid w:val="000812D8"/>
    <w:rsid w:val="00081346"/>
    <w:rsid w:val="00081432"/>
    <w:rsid w:val="000814D2"/>
    <w:rsid w:val="00081575"/>
    <w:rsid w:val="0008169F"/>
    <w:rsid w:val="00081818"/>
    <w:rsid w:val="0008184A"/>
    <w:rsid w:val="00081B6F"/>
    <w:rsid w:val="00081BF8"/>
    <w:rsid w:val="00081C03"/>
    <w:rsid w:val="00081D22"/>
    <w:rsid w:val="00081D28"/>
    <w:rsid w:val="00081E7D"/>
    <w:rsid w:val="00082239"/>
    <w:rsid w:val="00082457"/>
    <w:rsid w:val="00082556"/>
    <w:rsid w:val="00082E56"/>
    <w:rsid w:val="0008327D"/>
    <w:rsid w:val="000834D5"/>
    <w:rsid w:val="00083A52"/>
    <w:rsid w:val="00083A80"/>
    <w:rsid w:val="00083B24"/>
    <w:rsid w:val="00083B55"/>
    <w:rsid w:val="00083B95"/>
    <w:rsid w:val="00083C3C"/>
    <w:rsid w:val="00083C8D"/>
    <w:rsid w:val="00083ED3"/>
    <w:rsid w:val="00083F2E"/>
    <w:rsid w:val="00084041"/>
    <w:rsid w:val="00084058"/>
    <w:rsid w:val="000844F5"/>
    <w:rsid w:val="00084580"/>
    <w:rsid w:val="0008490E"/>
    <w:rsid w:val="00084A3A"/>
    <w:rsid w:val="00084A57"/>
    <w:rsid w:val="00084C28"/>
    <w:rsid w:val="00084D04"/>
    <w:rsid w:val="000852A1"/>
    <w:rsid w:val="0008542E"/>
    <w:rsid w:val="00085604"/>
    <w:rsid w:val="00085CCA"/>
    <w:rsid w:val="00085CCB"/>
    <w:rsid w:val="00085F1F"/>
    <w:rsid w:val="00086074"/>
    <w:rsid w:val="000860C1"/>
    <w:rsid w:val="000864D6"/>
    <w:rsid w:val="0008675E"/>
    <w:rsid w:val="00086816"/>
    <w:rsid w:val="0008686D"/>
    <w:rsid w:val="00086894"/>
    <w:rsid w:val="00086AF5"/>
    <w:rsid w:val="00086B07"/>
    <w:rsid w:val="00086B58"/>
    <w:rsid w:val="00086B63"/>
    <w:rsid w:val="00086B76"/>
    <w:rsid w:val="00086EC1"/>
    <w:rsid w:val="00086F63"/>
    <w:rsid w:val="000870DA"/>
    <w:rsid w:val="00087395"/>
    <w:rsid w:val="00087705"/>
    <w:rsid w:val="00087739"/>
    <w:rsid w:val="00087749"/>
    <w:rsid w:val="0008796E"/>
    <w:rsid w:val="00090232"/>
    <w:rsid w:val="00090635"/>
    <w:rsid w:val="0009124D"/>
    <w:rsid w:val="000914F0"/>
    <w:rsid w:val="000917F6"/>
    <w:rsid w:val="00091AE6"/>
    <w:rsid w:val="00091C2E"/>
    <w:rsid w:val="00091DE5"/>
    <w:rsid w:val="0009207A"/>
    <w:rsid w:val="000922BD"/>
    <w:rsid w:val="0009234B"/>
    <w:rsid w:val="0009235D"/>
    <w:rsid w:val="000923A7"/>
    <w:rsid w:val="000927B7"/>
    <w:rsid w:val="00092890"/>
    <w:rsid w:val="00092B6D"/>
    <w:rsid w:val="00092FAC"/>
    <w:rsid w:val="000930F7"/>
    <w:rsid w:val="00093195"/>
    <w:rsid w:val="00093196"/>
    <w:rsid w:val="000932FA"/>
    <w:rsid w:val="0009353F"/>
    <w:rsid w:val="000935D0"/>
    <w:rsid w:val="00093651"/>
    <w:rsid w:val="0009380E"/>
    <w:rsid w:val="000938DA"/>
    <w:rsid w:val="00093F49"/>
    <w:rsid w:val="00093F9E"/>
    <w:rsid w:val="000940CC"/>
    <w:rsid w:val="0009456F"/>
    <w:rsid w:val="00094B21"/>
    <w:rsid w:val="00094BE3"/>
    <w:rsid w:val="00094CD6"/>
    <w:rsid w:val="00094EAE"/>
    <w:rsid w:val="00095184"/>
    <w:rsid w:val="000951F9"/>
    <w:rsid w:val="000952AC"/>
    <w:rsid w:val="00095355"/>
    <w:rsid w:val="0009550B"/>
    <w:rsid w:val="00096111"/>
    <w:rsid w:val="0009615D"/>
    <w:rsid w:val="00096268"/>
    <w:rsid w:val="00096286"/>
    <w:rsid w:val="00096420"/>
    <w:rsid w:val="0009654B"/>
    <w:rsid w:val="00096874"/>
    <w:rsid w:val="000968C8"/>
    <w:rsid w:val="000968FA"/>
    <w:rsid w:val="00096AAD"/>
    <w:rsid w:val="00096C42"/>
    <w:rsid w:val="00096D20"/>
    <w:rsid w:val="00096E42"/>
    <w:rsid w:val="00096EBE"/>
    <w:rsid w:val="00097258"/>
    <w:rsid w:val="00097469"/>
    <w:rsid w:val="0009748A"/>
    <w:rsid w:val="00097C28"/>
    <w:rsid w:val="00097D3D"/>
    <w:rsid w:val="00097F0A"/>
    <w:rsid w:val="000A0024"/>
    <w:rsid w:val="000A00EF"/>
    <w:rsid w:val="000A03AC"/>
    <w:rsid w:val="000A049E"/>
    <w:rsid w:val="000A0618"/>
    <w:rsid w:val="000A0675"/>
    <w:rsid w:val="000A0CD5"/>
    <w:rsid w:val="000A0F9E"/>
    <w:rsid w:val="000A11E2"/>
    <w:rsid w:val="000A1379"/>
    <w:rsid w:val="000A1555"/>
    <w:rsid w:val="000A1645"/>
    <w:rsid w:val="000A16A4"/>
    <w:rsid w:val="000A198A"/>
    <w:rsid w:val="000A1BF5"/>
    <w:rsid w:val="000A203D"/>
    <w:rsid w:val="000A225E"/>
    <w:rsid w:val="000A227F"/>
    <w:rsid w:val="000A22E6"/>
    <w:rsid w:val="000A2564"/>
    <w:rsid w:val="000A2676"/>
    <w:rsid w:val="000A2B67"/>
    <w:rsid w:val="000A2C02"/>
    <w:rsid w:val="000A2CC7"/>
    <w:rsid w:val="000A2E4E"/>
    <w:rsid w:val="000A2ED4"/>
    <w:rsid w:val="000A304F"/>
    <w:rsid w:val="000A30B5"/>
    <w:rsid w:val="000A326E"/>
    <w:rsid w:val="000A355B"/>
    <w:rsid w:val="000A35B1"/>
    <w:rsid w:val="000A3741"/>
    <w:rsid w:val="000A374D"/>
    <w:rsid w:val="000A38ED"/>
    <w:rsid w:val="000A3CB0"/>
    <w:rsid w:val="000A3F98"/>
    <w:rsid w:val="000A40F7"/>
    <w:rsid w:val="000A432A"/>
    <w:rsid w:val="000A438D"/>
    <w:rsid w:val="000A45A5"/>
    <w:rsid w:val="000A47A3"/>
    <w:rsid w:val="000A47C7"/>
    <w:rsid w:val="000A47CC"/>
    <w:rsid w:val="000A4854"/>
    <w:rsid w:val="000A4A33"/>
    <w:rsid w:val="000A4D1E"/>
    <w:rsid w:val="000A5352"/>
    <w:rsid w:val="000A55A3"/>
    <w:rsid w:val="000A575A"/>
    <w:rsid w:val="000A5945"/>
    <w:rsid w:val="000A5E22"/>
    <w:rsid w:val="000A5E64"/>
    <w:rsid w:val="000A643F"/>
    <w:rsid w:val="000A6467"/>
    <w:rsid w:val="000A6E76"/>
    <w:rsid w:val="000A6F3B"/>
    <w:rsid w:val="000A702C"/>
    <w:rsid w:val="000A70BE"/>
    <w:rsid w:val="000A795E"/>
    <w:rsid w:val="000A7DC3"/>
    <w:rsid w:val="000A7DF5"/>
    <w:rsid w:val="000B023D"/>
    <w:rsid w:val="000B03B1"/>
    <w:rsid w:val="000B060D"/>
    <w:rsid w:val="000B07E5"/>
    <w:rsid w:val="000B092C"/>
    <w:rsid w:val="000B0C14"/>
    <w:rsid w:val="000B0C87"/>
    <w:rsid w:val="000B0C90"/>
    <w:rsid w:val="000B0DD5"/>
    <w:rsid w:val="000B0E82"/>
    <w:rsid w:val="000B104A"/>
    <w:rsid w:val="000B124E"/>
    <w:rsid w:val="000B13E1"/>
    <w:rsid w:val="000B15E1"/>
    <w:rsid w:val="000B1649"/>
    <w:rsid w:val="000B1657"/>
    <w:rsid w:val="000B1681"/>
    <w:rsid w:val="000B1711"/>
    <w:rsid w:val="000B17D2"/>
    <w:rsid w:val="000B1951"/>
    <w:rsid w:val="000B1B06"/>
    <w:rsid w:val="000B1FD1"/>
    <w:rsid w:val="000B2069"/>
    <w:rsid w:val="000B20E3"/>
    <w:rsid w:val="000B20EF"/>
    <w:rsid w:val="000B22DB"/>
    <w:rsid w:val="000B24C2"/>
    <w:rsid w:val="000B2765"/>
    <w:rsid w:val="000B2E1E"/>
    <w:rsid w:val="000B2FBE"/>
    <w:rsid w:val="000B308C"/>
    <w:rsid w:val="000B3496"/>
    <w:rsid w:val="000B3A44"/>
    <w:rsid w:val="000B3B29"/>
    <w:rsid w:val="000B3C03"/>
    <w:rsid w:val="000B3C30"/>
    <w:rsid w:val="000B4022"/>
    <w:rsid w:val="000B4651"/>
    <w:rsid w:val="000B46AB"/>
    <w:rsid w:val="000B4DC8"/>
    <w:rsid w:val="000B4F2B"/>
    <w:rsid w:val="000B4FE7"/>
    <w:rsid w:val="000B50A0"/>
    <w:rsid w:val="000B5103"/>
    <w:rsid w:val="000B51A8"/>
    <w:rsid w:val="000B51B1"/>
    <w:rsid w:val="000B535A"/>
    <w:rsid w:val="000B5374"/>
    <w:rsid w:val="000B5435"/>
    <w:rsid w:val="000B5503"/>
    <w:rsid w:val="000B59EA"/>
    <w:rsid w:val="000B5B89"/>
    <w:rsid w:val="000B5C1B"/>
    <w:rsid w:val="000B5CBB"/>
    <w:rsid w:val="000B5E41"/>
    <w:rsid w:val="000B5E79"/>
    <w:rsid w:val="000B5EBC"/>
    <w:rsid w:val="000B5EEF"/>
    <w:rsid w:val="000B61E0"/>
    <w:rsid w:val="000B6244"/>
    <w:rsid w:val="000B63B1"/>
    <w:rsid w:val="000B6816"/>
    <w:rsid w:val="000B6B69"/>
    <w:rsid w:val="000B6D6C"/>
    <w:rsid w:val="000B6D77"/>
    <w:rsid w:val="000B6ED1"/>
    <w:rsid w:val="000B6FA4"/>
    <w:rsid w:val="000B74CF"/>
    <w:rsid w:val="000B7A36"/>
    <w:rsid w:val="000B7C92"/>
    <w:rsid w:val="000B7D48"/>
    <w:rsid w:val="000B7E05"/>
    <w:rsid w:val="000C0124"/>
    <w:rsid w:val="000C038A"/>
    <w:rsid w:val="000C0503"/>
    <w:rsid w:val="000C094D"/>
    <w:rsid w:val="000C09AB"/>
    <w:rsid w:val="000C0AC4"/>
    <w:rsid w:val="000C0B60"/>
    <w:rsid w:val="000C0C1A"/>
    <w:rsid w:val="000C0C46"/>
    <w:rsid w:val="000C0C60"/>
    <w:rsid w:val="000C0E33"/>
    <w:rsid w:val="000C0E6F"/>
    <w:rsid w:val="000C100A"/>
    <w:rsid w:val="000C10F8"/>
    <w:rsid w:val="000C1675"/>
    <w:rsid w:val="000C1796"/>
    <w:rsid w:val="000C19BB"/>
    <w:rsid w:val="000C1A28"/>
    <w:rsid w:val="000C1C6C"/>
    <w:rsid w:val="000C1CFB"/>
    <w:rsid w:val="000C1E11"/>
    <w:rsid w:val="000C1F0D"/>
    <w:rsid w:val="000C20DF"/>
    <w:rsid w:val="000C22EE"/>
    <w:rsid w:val="000C22F2"/>
    <w:rsid w:val="000C275E"/>
    <w:rsid w:val="000C276D"/>
    <w:rsid w:val="000C2C24"/>
    <w:rsid w:val="000C31C3"/>
    <w:rsid w:val="000C3275"/>
    <w:rsid w:val="000C32EC"/>
    <w:rsid w:val="000C3301"/>
    <w:rsid w:val="000C3540"/>
    <w:rsid w:val="000C3663"/>
    <w:rsid w:val="000C39BB"/>
    <w:rsid w:val="000C3C10"/>
    <w:rsid w:val="000C3C41"/>
    <w:rsid w:val="000C3CA1"/>
    <w:rsid w:val="000C4190"/>
    <w:rsid w:val="000C4364"/>
    <w:rsid w:val="000C450F"/>
    <w:rsid w:val="000C45E4"/>
    <w:rsid w:val="000C4755"/>
    <w:rsid w:val="000C48A7"/>
    <w:rsid w:val="000C4907"/>
    <w:rsid w:val="000C4A91"/>
    <w:rsid w:val="000C4C70"/>
    <w:rsid w:val="000C528E"/>
    <w:rsid w:val="000C5605"/>
    <w:rsid w:val="000C575B"/>
    <w:rsid w:val="000C589C"/>
    <w:rsid w:val="000C59B3"/>
    <w:rsid w:val="000C5EF7"/>
    <w:rsid w:val="000C5F26"/>
    <w:rsid w:val="000C62CE"/>
    <w:rsid w:val="000C6611"/>
    <w:rsid w:val="000C67ED"/>
    <w:rsid w:val="000C6D71"/>
    <w:rsid w:val="000C6E84"/>
    <w:rsid w:val="000C724C"/>
    <w:rsid w:val="000C72A6"/>
    <w:rsid w:val="000C750C"/>
    <w:rsid w:val="000C755F"/>
    <w:rsid w:val="000C770B"/>
    <w:rsid w:val="000C7BA7"/>
    <w:rsid w:val="000C7CEC"/>
    <w:rsid w:val="000C7DB8"/>
    <w:rsid w:val="000C7DF0"/>
    <w:rsid w:val="000D02D4"/>
    <w:rsid w:val="000D0468"/>
    <w:rsid w:val="000D06A5"/>
    <w:rsid w:val="000D07B7"/>
    <w:rsid w:val="000D092E"/>
    <w:rsid w:val="000D0A68"/>
    <w:rsid w:val="000D0AF4"/>
    <w:rsid w:val="000D0B64"/>
    <w:rsid w:val="000D0C85"/>
    <w:rsid w:val="000D0EBF"/>
    <w:rsid w:val="000D0F4C"/>
    <w:rsid w:val="000D10AD"/>
    <w:rsid w:val="000D1361"/>
    <w:rsid w:val="000D1511"/>
    <w:rsid w:val="000D15B4"/>
    <w:rsid w:val="000D16FF"/>
    <w:rsid w:val="000D1896"/>
    <w:rsid w:val="000D18D0"/>
    <w:rsid w:val="000D1AAC"/>
    <w:rsid w:val="000D1B2C"/>
    <w:rsid w:val="000D1D6E"/>
    <w:rsid w:val="000D1E66"/>
    <w:rsid w:val="000D24BF"/>
    <w:rsid w:val="000D250F"/>
    <w:rsid w:val="000D2963"/>
    <w:rsid w:val="000D2979"/>
    <w:rsid w:val="000D2A68"/>
    <w:rsid w:val="000D2A9F"/>
    <w:rsid w:val="000D2B0D"/>
    <w:rsid w:val="000D2E0D"/>
    <w:rsid w:val="000D2FF9"/>
    <w:rsid w:val="000D3B0C"/>
    <w:rsid w:val="000D3C4A"/>
    <w:rsid w:val="000D3DEC"/>
    <w:rsid w:val="000D3F80"/>
    <w:rsid w:val="000D42AE"/>
    <w:rsid w:val="000D441A"/>
    <w:rsid w:val="000D4791"/>
    <w:rsid w:val="000D5106"/>
    <w:rsid w:val="000D55F6"/>
    <w:rsid w:val="000D572B"/>
    <w:rsid w:val="000D5F70"/>
    <w:rsid w:val="000D612F"/>
    <w:rsid w:val="000D6137"/>
    <w:rsid w:val="000D6619"/>
    <w:rsid w:val="000D67BF"/>
    <w:rsid w:val="000D694E"/>
    <w:rsid w:val="000D6A24"/>
    <w:rsid w:val="000D6D03"/>
    <w:rsid w:val="000D6D35"/>
    <w:rsid w:val="000D71BA"/>
    <w:rsid w:val="000D71D5"/>
    <w:rsid w:val="000D7476"/>
    <w:rsid w:val="000D7496"/>
    <w:rsid w:val="000D76B3"/>
    <w:rsid w:val="000D77F9"/>
    <w:rsid w:val="000D7DC9"/>
    <w:rsid w:val="000D7FAF"/>
    <w:rsid w:val="000E0163"/>
    <w:rsid w:val="000E0539"/>
    <w:rsid w:val="000E089F"/>
    <w:rsid w:val="000E08E0"/>
    <w:rsid w:val="000E09FF"/>
    <w:rsid w:val="000E0AEB"/>
    <w:rsid w:val="000E16A5"/>
    <w:rsid w:val="000E183F"/>
    <w:rsid w:val="000E1855"/>
    <w:rsid w:val="000E1A07"/>
    <w:rsid w:val="000E1A64"/>
    <w:rsid w:val="000E1E70"/>
    <w:rsid w:val="000E1F70"/>
    <w:rsid w:val="000E1F8A"/>
    <w:rsid w:val="000E222E"/>
    <w:rsid w:val="000E2363"/>
    <w:rsid w:val="000E2634"/>
    <w:rsid w:val="000E2651"/>
    <w:rsid w:val="000E29A9"/>
    <w:rsid w:val="000E2DD9"/>
    <w:rsid w:val="000E2EDB"/>
    <w:rsid w:val="000E34A4"/>
    <w:rsid w:val="000E3637"/>
    <w:rsid w:val="000E36C1"/>
    <w:rsid w:val="000E370D"/>
    <w:rsid w:val="000E375D"/>
    <w:rsid w:val="000E39D7"/>
    <w:rsid w:val="000E3E33"/>
    <w:rsid w:val="000E3F28"/>
    <w:rsid w:val="000E415B"/>
    <w:rsid w:val="000E418C"/>
    <w:rsid w:val="000E41B2"/>
    <w:rsid w:val="000E423E"/>
    <w:rsid w:val="000E4423"/>
    <w:rsid w:val="000E4566"/>
    <w:rsid w:val="000E46C0"/>
    <w:rsid w:val="000E4721"/>
    <w:rsid w:val="000E4810"/>
    <w:rsid w:val="000E4B12"/>
    <w:rsid w:val="000E4D83"/>
    <w:rsid w:val="000E4DB3"/>
    <w:rsid w:val="000E4EB2"/>
    <w:rsid w:val="000E533E"/>
    <w:rsid w:val="000E53CD"/>
    <w:rsid w:val="000E53F9"/>
    <w:rsid w:val="000E540F"/>
    <w:rsid w:val="000E557B"/>
    <w:rsid w:val="000E5640"/>
    <w:rsid w:val="000E5EE4"/>
    <w:rsid w:val="000E5F02"/>
    <w:rsid w:val="000E60C8"/>
    <w:rsid w:val="000E6140"/>
    <w:rsid w:val="000E620C"/>
    <w:rsid w:val="000E680D"/>
    <w:rsid w:val="000E68BE"/>
    <w:rsid w:val="000E6A99"/>
    <w:rsid w:val="000E7435"/>
    <w:rsid w:val="000E7704"/>
    <w:rsid w:val="000E7707"/>
    <w:rsid w:val="000E7A7F"/>
    <w:rsid w:val="000E7DEE"/>
    <w:rsid w:val="000F0092"/>
    <w:rsid w:val="000F0138"/>
    <w:rsid w:val="000F0180"/>
    <w:rsid w:val="000F01C9"/>
    <w:rsid w:val="000F01E0"/>
    <w:rsid w:val="000F0303"/>
    <w:rsid w:val="000F0480"/>
    <w:rsid w:val="000F04C0"/>
    <w:rsid w:val="000F06DE"/>
    <w:rsid w:val="000F0793"/>
    <w:rsid w:val="000F087B"/>
    <w:rsid w:val="000F0A2B"/>
    <w:rsid w:val="000F0FDA"/>
    <w:rsid w:val="000F156A"/>
    <w:rsid w:val="000F1620"/>
    <w:rsid w:val="000F1655"/>
    <w:rsid w:val="000F1793"/>
    <w:rsid w:val="000F192B"/>
    <w:rsid w:val="000F21E4"/>
    <w:rsid w:val="000F223B"/>
    <w:rsid w:val="000F2395"/>
    <w:rsid w:val="000F23FA"/>
    <w:rsid w:val="000F26A0"/>
    <w:rsid w:val="000F287A"/>
    <w:rsid w:val="000F2D8E"/>
    <w:rsid w:val="000F2EE5"/>
    <w:rsid w:val="000F3252"/>
    <w:rsid w:val="000F3571"/>
    <w:rsid w:val="000F3760"/>
    <w:rsid w:val="000F37AD"/>
    <w:rsid w:val="000F38AC"/>
    <w:rsid w:val="000F38AD"/>
    <w:rsid w:val="000F391B"/>
    <w:rsid w:val="000F393F"/>
    <w:rsid w:val="000F3E75"/>
    <w:rsid w:val="000F3EF2"/>
    <w:rsid w:val="000F3FD7"/>
    <w:rsid w:val="000F40EB"/>
    <w:rsid w:val="000F412B"/>
    <w:rsid w:val="000F42D6"/>
    <w:rsid w:val="000F432C"/>
    <w:rsid w:val="000F4926"/>
    <w:rsid w:val="000F4A96"/>
    <w:rsid w:val="000F4B2B"/>
    <w:rsid w:val="000F4B72"/>
    <w:rsid w:val="000F4CC3"/>
    <w:rsid w:val="000F4D1D"/>
    <w:rsid w:val="000F4D91"/>
    <w:rsid w:val="000F4E64"/>
    <w:rsid w:val="000F4F73"/>
    <w:rsid w:val="000F503E"/>
    <w:rsid w:val="000F50DC"/>
    <w:rsid w:val="000F50ED"/>
    <w:rsid w:val="000F52B4"/>
    <w:rsid w:val="000F57E9"/>
    <w:rsid w:val="000F5FFA"/>
    <w:rsid w:val="000F6305"/>
    <w:rsid w:val="000F6431"/>
    <w:rsid w:val="000F69F6"/>
    <w:rsid w:val="000F6A87"/>
    <w:rsid w:val="000F6E21"/>
    <w:rsid w:val="000F6F5B"/>
    <w:rsid w:val="000F7448"/>
    <w:rsid w:val="000F75B2"/>
    <w:rsid w:val="000F75B9"/>
    <w:rsid w:val="000F78AE"/>
    <w:rsid w:val="000F7A17"/>
    <w:rsid w:val="000F7DFA"/>
    <w:rsid w:val="000F7EAE"/>
    <w:rsid w:val="000F7EB9"/>
    <w:rsid w:val="000F7FC2"/>
    <w:rsid w:val="001000D2"/>
    <w:rsid w:val="00100123"/>
    <w:rsid w:val="00100190"/>
    <w:rsid w:val="00100637"/>
    <w:rsid w:val="0010072A"/>
    <w:rsid w:val="00100BC1"/>
    <w:rsid w:val="00100C95"/>
    <w:rsid w:val="00100CFB"/>
    <w:rsid w:val="00101023"/>
    <w:rsid w:val="001010DA"/>
    <w:rsid w:val="0010117F"/>
    <w:rsid w:val="001013A3"/>
    <w:rsid w:val="001014C5"/>
    <w:rsid w:val="001016BB"/>
    <w:rsid w:val="001019C7"/>
    <w:rsid w:val="001019FB"/>
    <w:rsid w:val="00101E25"/>
    <w:rsid w:val="0010227D"/>
    <w:rsid w:val="0010236D"/>
    <w:rsid w:val="00102416"/>
    <w:rsid w:val="00102A1C"/>
    <w:rsid w:val="00102AE0"/>
    <w:rsid w:val="001031E5"/>
    <w:rsid w:val="0010324A"/>
    <w:rsid w:val="00103487"/>
    <w:rsid w:val="001035CF"/>
    <w:rsid w:val="001035DB"/>
    <w:rsid w:val="00103703"/>
    <w:rsid w:val="00103753"/>
    <w:rsid w:val="00103909"/>
    <w:rsid w:val="00103930"/>
    <w:rsid w:val="001039F1"/>
    <w:rsid w:val="001041B7"/>
    <w:rsid w:val="00104341"/>
    <w:rsid w:val="001043D3"/>
    <w:rsid w:val="00104686"/>
    <w:rsid w:val="0010468E"/>
    <w:rsid w:val="001046B9"/>
    <w:rsid w:val="001046D5"/>
    <w:rsid w:val="0010492C"/>
    <w:rsid w:val="00104DA4"/>
    <w:rsid w:val="00104E71"/>
    <w:rsid w:val="00104F35"/>
    <w:rsid w:val="00105202"/>
    <w:rsid w:val="001052CD"/>
    <w:rsid w:val="001054EA"/>
    <w:rsid w:val="001059A9"/>
    <w:rsid w:val="00105B43"/>
    <w:rsid w:val="00105EA1"/>
    <w:rsid w:val="00105F82"/>
    <w:rsid w:val="001061A4"/>
    <w:rsid w:val="001063B2"/>
    <w:rsid w:val="00106548"/>
    <w:rsid w:val="001065F0"/>
    <w:rsid w:val="00106691"/>
    <w:rsid w:val="00106BA7"/>
    <w:rsid w:val="00106BC4"/>
    <w:rsid w:val="00106C7D"/>
    <w:rsid w:val="0010717C"/>
    <w:rsid w:val="001072F8"/>
    <w:rsid w:val="001077C3"/>
    <w:rsid w:val="00107B6D"/>
    <w:rsid w:val="00107BA4"/>
    <w:rsid w:val="00107CC9"/>
    <w:rsid w:val="00107FDC"/>
    <w:rsid w:val="00110008"/>
    <w:rsid w:val="001101B4"/>
    <w:rsid w:val="00110364"/>
    <w:rsid w:val="0011037B"/>
    <w:rsid w:val="001103C4"/>
    <w:rsid w:val="00110894"/>
    <w:rsid w:val="00110B84"/>
    <w:rsid w:val="001110CD"/>
    <w:rsid w:val="00111210"/>
    <w:rsid w:val="00111257"/>
    <w:rsid w:val="001112B1"/>
    <w:rsid w:val="001115DC"/>
    <w:rsid w:val="0011161B"/>
    <w:rsid w:val="001116FF"/>
    <w:rsid w:val="001117A8"/>
    <w:rsid w:val="001118CE"/>
    <w:rsid w:val="00111D3C"/>
    <w:rsid w:val="00111D6D"/>
    <w:rsid w:val="00111D8C"/>
    <w:rsid w:val="00111F74"/>
    <w:rsid w:val="001120DC"/>
    <w:rsid w:val="001120F2"/>
    <w:rsid w:val="00112318"/>
    <w:rsid w:val="0011237D"/>
    <w:rsid w:val="001127B3"/>
    <w:rsid w:val="00112A1B"/>
    <w:rsid w:val="00112B99"/>
    <w:rsid w:val="00112D4F"/>
    <w:rsid w:val="00112F10"/>
    <w:rsid w:val="00112FAE"/>
    <w:rsid w:val="00113278"/>
    <w:rsid w:val="0011350D"/>
    <w:rsid w:val="00113797"/>
    <w:rsid w:val="00113B00"/>
    <w:rsid w:val="00113D2D"/>
    <w:rsid w:val="00113FBC"/>
    <w:rsid w:val="00113FC7"/>
    <w:rsid w:val="00114191"/>
    <w:rsid w:val="001142A8"/>
    <w:rsid w:val="001142FA"/>
    <w:rsid w:val="001145B5"/>
    <w:rsid w:val="001147F1"/>
    <w:rsid w:val="00114932"/>
    <w:rsid w:val="00114973"/>
    <w:rsid w:val="00114A12"/>
    <w:rsid w:val="00114A54"/>
    <w:rsid w:val="00114D06"/>
    <w:rsid w:val="00114DF1"/>
    <w:rsid w:val="00115008"/>
    <w:rsid w:val="0011503F"/>
    <w:rsid w:val="00115153"/>
    <w:rsid w:val="00115390"/>
    <w:rsid w:val="001153A7"/>
    <w:rsid w:val="001155C6"/>
    <w:rsid w:val="00115716"/>
    <w:rsid w:val="001158D3"/>
    <w:rsid w:val="00115A1D"/>
    <w:rsid w:val="00115A9D"/>
    <w:rsid w:val="00115C73"/>
    <w:rsid w:val="00115C84"/>
    <w:rsid w:val="00115D63"/>
    <w:rsid w:val="0011604B"/>
    <w:rsid w:val="001161EB"/>
    <w:rsid w:val="00116FB2"/>
    <w:rsid w:val="001170F4"/>
    <w:rsid w:val="00117159"/>
    <w:rsid w:val="00117322"/>
    <w:rsid w:val="001174B3"/>
    <w:rsid w:val="00117596"/>
    <w:rsid w:val="001176A1"/>
    <w:rsid w:val="0011771E"/>
    <w:rsid w:val="001177F5"/>
    <w:rsid w:val="00117B6A"/>
    <w:rsid w:val="00117C8C"/>
    <w:rsid w:val="001200ED"/>
    <w:rsid w:val="00120109"/>
    <w:rsid w:val="0012024C"/>
    <w:rsid w:val="00120284"/>
    <w:rsid w:val="001204BC"/>
    <w:rsid w:val="00120573"/>
    <w:rsid w:val="0012060D"/>
    <w:rsid w:val="001207D9"/>
    <w:rsid w:val="00120AE6"/>
    <w:rsid w:val="00120EB2"/>
    <w:rsid w:val="00120EBE"/>
    <w:rsid w:val="00121109"/>
    <w:rsid w:val="001211BA"/>
    <w:rsid w:val="001211EA"/>
    <w:rsid w:val="001212E0"/>
    <w:rsid w:val="001214FC"/>
    <w:rsid w:val="00121689"/>
    <w:rsid w:val="00121929"/>
    <w:rsid w:val="00121931"/>
    <w:rsid w:val="001219F4"/>
    <w:rsid w:val="00121B1F"/>
    <w:rsid w:val="00121E11"/>
    <w:rsid w:val="00122101"/>
    <w:rsid w:val="001222F8"/>
    <w:rsid w:val="00122692"/>
    <w:rsid w:val="001227B3"/>
    <w:rsid w:val="0012284F"/>
    <w:rsid w:val="00122A4B"/>
    <w:rsid w:val="00122C5E"/>
    <w:rsid w:val="00122CD5"/>
    <w:rsid w:val="00122D3D"/>
    <w:rsid w:val="00122E19"/>
    <w:rsid w:val="00122EFE"/>
    <w:rsid w:val="0012323B"/>
    <w:rsid w:val="00123361"/>
    <w:rsid w:val="0012338C"/>
    <w:rsid w:val="001234D1"/>
    <w:rsid w:val="001236C1"/>
    <w:rsid w:val="001238A3"/>
    <w:rsid w:val="0012395C"/>
    <w:rsid w:val="00123C69"/>
    <w:rsid w:val="00123DD5"/>
    <w:rsid w:val="00123EF7"/>
    <w:rsid w:val="00123F25"/>
    <w:rsid w:val="00123F88"/>
    <w:rsid w:val="00124197"/>
    <w:rsid w:val="001241B1"/>
    <w:rsid w:val="001244CF"/>
    <w:rsid w:val="00124827"/>
    <w:rsid w:val="00124A45"/>
    <w:rsid w:val="00124ABB"/>
    <w:rsid w:val="00124F82"/>
    <w:rsid w:val="00124FC7"/>
    <w:rsid w:val="00125843"/>
    <w:rsid w:val="00125BE0"/>
    <w:rsid w:val="00125BE3"/>
    <w:rsid w:val="00125CD7"/>
    <w:rsid w:val="00125E2D"/>
    <w:rsid w:val="001260A7"/>
    <w:rsid w:val="001260CB"/>
    <w:rsid w:val="001263E4"/>
    <w:rsid w:val="00126C6F"/>
    <w:rsid w:val="00127408"/>
    <w:rsid w:val="00127851"/>
    <w:rsid w:val="001278F5"/>
    <w:rsid w:val="00127904"/>
    <w:rsid w:val="0012796B"/>
    <w:rsid w:val="00127F80"/>
    <w:rsid w:val="00130172"/>
    <w:rsid w:val="0013023B"/>
    <w:rsid w:val="00130755"/>
    <w:rsid w:val="00130ADF"/>
    <w:rsid w:val="00130B7F"/>
    <w:rsid w:val="00130D4E"/>
    <w:rsid w:val="00130D95"/>
    <w:rsid w:val="00130F3C"/>
    <w:rsid w:val="00131124"/>
    <w:rsid w:val="00131319"/>
    <w:rsid w:val="00131404"/>
    <w:rsid w:val="00131670"/>
    <w:rsid w:val="00131C67"/>
    <w:rsid w:val="00131CF4"/>
    <w:rsid w:val="0013224B"/>
    <w:rsid w:val="001322D2"/>
    <w:rsid w:val="0013248A"/>
    <w:rsid w:val="00132512"/>
    <w:rsid w:val="0013258A"/>
    <w:rsid w:val="001325BA"/>
    <w:rsid w:val="0013264F"/>
    <w:rsid w:val="001326F7"/>
    <w:rsid w:val="00132832"/>
    <w:rsid w:val="00132BCF"/>
    <w:rsid w:val="00132D63"/>
    <w:rsid w:val="00132D64"/>
    <w:rsid w:val="00132DB7"/>
    <w:rsid w:val="00132E52"/>
    <w:rsid w:val="00133139"/>
    <w:rsid w:val="001335A6"/>
    <w:rsid w:val="00133697"/>
    <w:rsid w:val="001338AD"/>
    <w:rsid w:val="00133F6D"/>
    <w:rsid w:val="0013468C"/>
    <w:rsid w:val="00134806"/>
    <w:rsid w:val="00134890"/>
    <w:rsid w:val="00134A1C"/>
    <w:rsid w:val="00134D6E"/>
    <w:rsid w:val="00134DA6"/>
    <w:rsid w:val="00135694"/>
    <w:rsid w:val="00135781"/>
    <w:rsid w:val="00135CAB"/>
    <w:rsid w:val="00135E56"/>
    <w:rsid w:val="00136035"/>
    <w:rsid w:val="001361FC"/>
    <w:rsid w:val="00136498"/>
    <w:rsid w:val="00136884"/>
    <w:rsid w:val="0013689D"/>
    <w:rsid w:val="00136A08"/>
    <w:rsid w:val="00136B81"/>
    <w:rsid w:val="00136BD6"/>
    <w:rsid w:val="00136C00"/>
    <w:rsid w:val="00136CA1"/>
    <w:rsid w:val="00136E7B"/>
    <w:rsid w:val="00136F81"/>
    <w:rsid w:val="0013705A"/>
    <w:rsid w:val="001371CB"/>
    <w:rsid w:val="0013734E"/>
    <w:rsid w:val="00137442"/>
    <w:rsid w:val="001376FF"/>
    <w:rsid w:val="001377F4"/>
    <w:rsid w:val="00137933"/>
    <w:rsid w:val="00137971"/>
    <w:rsid w:val="00140100"/>
    <w:rsid w:val="00140154"/>
    <w:rsid w:val="001401D1"/>
    <w:rsid w:val="00140380"/>
    <w:rsid w:val="0014040D"/>
    <w:rsid w:val="001405AF"/>
    <w:rsid w:val="00140635"/>
    <w:rsid w:val="001408DA"/>
    <w:rsid w:val="0014093F"/>
    <w:rsid w:val="00140AD9"/>
    <w:rsid w:val="00140B3A"/>
    <w:rsid w:val="00140CED"/>
    <w:rsid w:val="00140EA4"/>
    <w:rsid w:val="00140FFC"/>
    <w:rsid w:val="001410C8"/>
    <w:rsid w:val="0014110E"/>
    <w:rsid w:val="001411F1"/>
    <w:rsid w:val="00141410"/>
    <w:rsid w:val="001414D1"/>
    <w:rsid w:val="0014151B"/>
    <w:rsid w:val="00141574"/>
    <w:rsid w:val="00141B0D"/>
    <w:rsid w:val="00141D35"/>
    <w:rsid w:val="00141E70"/>
    <w:rsid w:val="00141FD7"/>
    <w:rsid w:val="001421C4"/>
    <w:rsid w:val="001424E8"/>
    <w:rsid w:val="0014258C"/>
    <w:rsid w:val="00142634"/>
    <w:rsid w:val="00142686"/>
    <w:rsid w:val="00142798"/>
    <w:rsid w:val="00142A16"/>
    <w:rsid w:val="00142A54"/>
    <w:rsid w:val="00142A8C"/>
    <w:rsid w:val="00142B91"/>
    <w:rsid w:val="00143013"/>
    <w:rsid w:val="00143042"/>
    <w:rsid w:val="0014309A"/>
    <w:rsid w:val="00143176"/>
    <w:rsid w:val="00143277"/>
    <w:rsid w:val="001435B3"/>
    <w:rsid w:val="00144182"/>
    <w:rsid w:val="001442D2"/>
    <w:rsid w:val="0014434F"/>
    <w:rsid w:val="00144510"/>
    <w:rsid w:val="00144647"/>
    <w:rsid w:val="00144713"/>
    <w:rsid w:val="0014488D"/>
    <w:rsid w:val="00144C37"/>
    <w:rsid w:val="00144CA1"/>
    <w:rsid w:val="00144E34"/>
    <w:rsid w:val="00144E96"/>
    <w:rsid w:val="00144FC3"/>
    <w:rsid w:val="001450CD"/>
    <w:rsid w:val="00145371"/>
    <w:rsid w:val="001455AA"/>
    <w:rsid w:val="001456AB"/>
    <w:rsid w:val="0014596D"/>
    <w:rsid w:val="00145BEB"/>
    <w:rsid w:val="00145E0C"/>
    <w:rsid w:val="00145FE8"/>
    <w:rsid w:val="001460A4"/>
    <w:rsid w:val="001461D5"/>
    <w:rsid w:val="0014636F"/>
    <w:rsid w:val="0014640F"/>
    <w:rsid w:val="00146478"/>
    <w:rsid w:val="0014663A"/>
    <w:rsid w:val="00146684"/>
    <w:rsid w:val="0014669E"/>
    <w:rsid w:val="001467AD"/>
    <w:rsid w:val="001468A5"/>
    <w:rsid w:val="00146A1C"/>
    <w:rsid w:val="00146D66"/>
    <w:rsid w:val="00146FFC"/>
    <w:rsid w:val="0014725D"/>
    <w:rsid w:val="0014725E"/>
    <w:rsid w:val="0014769C"/>
    <w:rsid w:val="001477CA"/>
    <w:rsid w:val="00147935"/>
    <w:rsid w:val="00147957"/>
    <w:rsid w:val="00147A49"/>
    <w:rsid w:val="00147BDD"/>
    <w:rsid w:val="00150492"/>
    <w:rsid w:val="00150AEB"/>
    <w:rsid w:val="00150C02"/>
    <w:rsid w:val="001510A2"/>
    <w:rsid w:val="001510D3"/>
    <w:rsid w:val="001510DE"/>
    <w:rsid w:val="001512E0"/>
    <w:rsid w:val="00151352"/>
    <w:rsid w:val="00151602"/>
    <w:rsid w:val="00151684"/>
    <w:rsid w:val="0015187E"/>
    <w:rsid w:val="00151986"/>
    <w:rsid w:val="00151B9F"/>
    <w:rsid w:val="00151D0C"/>
    <w:rsid w:val="00151F8A"/>
    <w:rsid w:val="0015207D"/>
    <w:rsid w:val="001520AA"/>
    <w:rsid w:val="001523B9"/>
    <w:rsid w:val="0015275E"/>
    <w:rsid w:val="00152977"/>
    <w:rsid w:val="001529CB"/>
    <w:rsid w:val="00152BC4"/>
    <w:rsid w:val="001530A4"/>
    <w:rsid w:val="0015334D"/>
    <w:rsid w:val="00153401"/>
    <w:rsid w:val="0015344E"/>
    <w:rsid w:val="0015345F"/>
    <w:rsid w:val="001534D2"/>
    <w:rsid w:val="00153B2E"/>
    <w:rsid w:val="00153FD7"/>
    <w:rsid w:val="00154360"/>
    <w:rsid w:val="001547C1"/>
    <w:rsid w:val="00154950"/>
    <w:rsid w:val="00154B89"/>
    <w:rsid w:val="00154BBF"/>
    <w:rsid w:val="00154CB5"/>
    <w:rsid w:val="00154D4E"/>
    <w:rsid w:val="00154D9D"/>
    <w:rsid w:val="00155225"/>
    <w:rsid w:val="00155245"/>
    <w:rsid w:val="001553A1"/>
    <w:rsid w:val="00155456"/>
    <w:rsid w:val="001554CD"/>
    <w:rsid w:val="0015589D"/>
    <w:rsid w:val="00155A18"/>
    <w:rsid w:val="00155CAD"/>
    <w:rsid w:val="00155F3A"/>
    <w:rsid w:val="00156051"/>
    <w:rsid w:val="001560FF"/>
    <w:rsid w:val="0015613D"/>
    <w:rsid w:val="0015620A"/>
    <w:rsid w:val="00156248"/>
    <w:rsid w:val="00156358"/>
    <w:rsid w:val="00156532"/>
    <w:rsid w:val="00156695"/>
    <w:rsid w:val="00156734"/>
    <w:rsid w:val="001567A2"/>
    <w:rsid w:val="00156995"/>
    <w:rsid w:val="00156A10"/>
    <w:rsid w:val="00156B1F"/>
    <w:rsid w:val="00156CF3"/>
    <w:rsid w:val="00156D0C"/>
    <w:rsid w:val="00156D95"/>
    <w:rsid w:val="00157241"/>
    <w:rsid w:val="00157525"/>
    <w:rsid w:val="00157539"/>
    <w:rsid w:val="001576D4"/>
    <w:rsid w:val="00157711"/>
    <w:rsid w:val="001578D8"/>
    <w:rsid w:val="00157953"/>
    <w:rsid w:val="00157A05"/>
    <w:rsid w:val="00157A92"/>
    <w:rsid w:val="00157DC3"/>
    <w:rsid w:val="00157E6D"/>
    <w:rsid w:val="00157FEE"/>
    <w:rsid w:val="00160075"/>
    <w:rsid w:val="00160109"/>
    <w:rsid w:val="00160322"/>
    <w:rsid w:val="00160459"/>
    <w:rsid w:val="001605BF"/>
    <w:rsid w:val="001606C0"/>
    <w:rsid w:val="001606E5"/>
    <w:rsid w:val="00160855"/>
    <w:rsid w:val="00160A78"/>
    <w:rsid w:val="00160ACA"/>
    <w:rsid w:val="00160B93"/>
    <w:rsid w:val="00160E5C"/>
    <w:rsid w:val="00160F1D"/>
    <w:rsid w:val="00160F2D"/>
    <w:rsid w:val="00160F2E"/>
    <w:rsid w:val="001611B7"/>
    <w:rsid w:val="001612F5"/>
    <w:rsid w:val="001614D3"/>
    <w:rsid w:val="00161C41"/>
    <w:rsid w:val="00161CF1"/>
    <w:rsid w:val="00161E67"/>
    <w:rsid w:val="00162198"/>
    <w:rsid w:val="001628FC"/>
    <w:rsid w:val="00162A46"/>
    <w:rsid w:val="00162B62"/>
    <w:rsid w:val="00162C25"/>
    <w:rsid w:val="00162CF8"/>
    <w:rsid w:val="00162E60"/>
    <w:rsid w:val="001630BE"/>
    <w:rsid w:val="0016333D"/>
    <w:rsid w:val="0016374F"/>
    <w:rsid w:val="0016377F"/>
    <w:rsid w:val="001637D8"/>
    <w:rsid w:val="001638F8"/>
    <w:rsid w:val="00163A0C"/>
    <w:rsid w:val="00163AE4"/>
    <w:rsid w:val="00163F47"/>
    <w:rsid w:val="001642BF"/>
    <w:rsid w:val="001642CA"/>
    <w:rsid w:val="00164350"/>
    <w:rsid w:val="0016440F"/>
    <w:rsid w:val="00164460"/>
    <w:rsid w:val="001644A6"/>
    <w:rsid w:val="00164575"/>
    <w:rsid w:val="00164A6F"/>
    <w:rsid w:val="00164E12"/>
    <w:rsid w:val="00164F66"/>
    <w:rsid w:val="00164FCB"/>
    <w:rsid w:val="00164FE3"/>
    <w:rsid w:val="00165500"/>
    <w:rsid w:val="0016578A"/>
    <w:rsid w:val="00165878"/>
    <w:rsid w:val="00165E2E"/>
    <w:rsid w:val="00165E5E"/>
    <w:rsid w:val="00165F0B"/>
    <w:rsid w:val="001661D1"/>
    <w:rsid w:val="00166342"/>
    <w:rsid w:val="00166458"/>
    <w:rsid w:val="001664E6"/>
    <w:rsid w:val="00166816"/>
    <w:rsid w:val="00166B22"/>
    <w:rsid w:val="00166D1A"/>
    <w:rsid w:val="00166E69"/>
    <w:rsid w:val="0016720E"/>
    <w:rsid w:val="001674E8"/>
    <w:rsid w:val="00167585"/>
    <w:rsid w:val="001676A1"/>
    <w:rsid w:val="00167731"/>
    <w:rsid w:val="00167B24"/>
    <w:rsid w:val="00167CC0"/>
    <w:rsid w:val="00167E1B"/>
    <w:rsid w:val="00167F3D"/>
    <w:rsid w:val="001700E0"/>
    <w:rsid w:val="001700FB"/>
    <w:rsid w:val="00170117"/>
    <w:rsid w:val="0017026A"/>
    <w:rsid w:val="0017037E"/>
    <w:rsid w:val="001703E9"/>
    <w:rsid w:val="001706E4"/>
    <w:rsid w:val="0017092B"/>
    <w:rsid w:val="00170B16"/>
    <w:rsid w:val="00170D1A"/>
    <w:rsid w:val="00170E1A"/>
    <w:rsid w:val="00170E86"/>
    <w:rsid w:val="00170EB4"/>
    <w:rsid w:val="00170FD6"/>
    <w:rsid w:val="001710DA"/>
    <w:rsid w:val="00171330"/>
    <w:rsid w:val="001714F3"/>
    <w:rsid w:val="001715C6"/>
    <w:rsid w:val="0017162B"/>
    <w:rsid w:val="00171A5B"/>
    <w:rsid w:val="00171D06"/>
    <w:rsid w:val="00171FD0"/>
    <w:rsid w:val="0017236C"/>
    <w:rsid w:val="00172492"/>
    <w:rsid w:val="001724B6"/>
    <w:rsid w:val="00172966"/>
    <w:rsid w:val="00172C4B"/>
    <w:rsid w:val="00172D9F"/>
    <w:rsid w:val="0017306E"/>
    <w:rsid w:val="00173106"/>
    <w:rsid w:val="0017345E"/>
    <w:rsid w:val="0017364B"/>
    <w:rsid w:val="00173916"/>
    <w:rsid w:val="00173B83"/>
    <w:rsid w:val="00173D31"/>
    <w:rsid w:val="00173D50"/>
    <w:rsid w:val="00173EF4"/>
    <w:rsid w:val="00173F33"/>
    <w:rsid w:val="0017420A"/>
    <w:rsid w:val="00174509"/>
    <w:rsid w:val="001747D7"/>
    <w:rsid w:val="00174AC0"/>
    <w:rsid w:val="00174AD4"/>
    <w:rsid w:val="00174CB2"/>
    <w:rsid w:val="00174FDC"/>
    <w:rsid w:val="001751C4"/>
    <w:rsid w:val="001759B1"/>
    <w:rsid w:val="00175A59"/>
    <w:rsid w:val="00175B14"/>
    <w:rsid w:val="00176119"/>
    <w:rsid w:val="00176145"/>
    <w:rsid w:val="0017627B"/>
    <w:rsid w:val="00176542"/>
    <w:rsid w:val="001769A4"/>
    <w:rsid w:val="00176A5E"/>
    <w:rsid w:val="00176BB7"/>
    <w:rsid w:val="00176DB9"/>
    <w:rsid w:val="0017708C"/>
    <w:rsid w:val="001771DE"/>
    <w:rsid w:val="001774BC"/>
    <w:rsid w:val="001775EB"/>
    <w:rsid w:val="00177AF6"/>
    <w:rsid w:val="00177E13"/>
    <w:rsid w:val="00180356"/>
    <w:rsid w:val="0018059E"/>
    <w:rsid w:val="0018071D"/>
    <w:rsid w:val="00180772"/>
    <w:rsid w:val="0018087E"/>
    <w:rsid w:val="001808F8"/>
    <w:rsid w:val="00180956"/>
    <w:rsid w:val="001809E2"/>
    <w:rsid w:val="001811C1"/>
    <w:rsid w:val="001811F8"/>
    <w:rsid w:val="001813D5"/>
    <w:rsid w:val="00181574"/>
    <w:rsid w:val="001818D4"/>
    <w:rsid w:val="00181A91"/>
    <w:rsid w:val="00181C21"/>
    <w:rsid w:val="00181C35"/>
    <w:rsid w:val="001821FB"/>
    <w:rsid w:val="00182237"/>
    <w:rsid w:val="0018239F"/>
    <w:rsid w:val="001823BC"/>
    <w:rsid w:val="00182C39"/>
    <w:rsid w:val="00182E40"/>
    <w:rsid w:val="00182E80"/>
    <w:rsid w:val="00182EA3"/>
    <w:rsid w:val="00182EDF"/>
    <w:rsid w:val="0018313E"/>
    <w:rsid w:val="001832C2"/>
    <w:rsid w:val="00183329"/>
    <w:rsid w:val="00183798"/>
    <w:rsid w:val="001839E1"/>
    <w:rsid w:val="00183ACC"/>
    <w:rsid w:val="00183D33"/>
    <w:rsid w:val="001842E1"/>
    <w:rsid w:val="00184744"/>
    <w:rsid w:val="00184835"/>
    <w:rsid w:val="00184879"/>
    <w:rsid w:val="00184AEB"/>
    <w:rsid w:val="00184B99"/>
    <w:rsid w:val="00184EC3"/>
    <w:rsid w:val="00185046"/>
    <w:rsid w:val="00185166"/>
    <w:rsid w:val="001851AA"/>
    <w:rsid w:val="001851E1"/>
    <w:rsid w:val="00185220"/>
    <w:rsid w:val="0018522C"/>
    <w:rsid w:val="001854DE"/>
    <w:rsid w:val="0018560C"/>
    <w:rsid w:val="00185680"/>
    <w:rsid w:val="001858CE"/>
    <w:rsid w:val="00185974"/>
    <w:rsid w:val="00185BF0"/>
    <w:rsid w:val="00185BFF"/>
    <w:rsid w:val="00185D44"/>
    <w:rsid w:val="00185D46"/>
    <w:rsid w:val="00185D9B"/>
    <w:rsid w:val="00186398"/>
    <w:rsid w:val="00186662"/>
    <w:rsid w:val="00186981"/>
    <w:rsid w:val="00186CD8"/>
    <w:rsid w:val="00186DC7"/>
    <w:rsid w:val="00187089"/>
    <w:rsid w:val="00187264"/>
    <w:rsid w:val="00187269"/>
    <w:rsid w:val="0018739D"/>
    <w:rsid w:val="0018739F"/>
    <w:rsid w:val="001873D3"/>
    <w:rsid w:val="001875BA"/>
    <w:rsid w:val="00187685"/>
    <w:rsid w:val="00187850"/>
    <w:rsid w:val="00187AA5"/>
    <w:rsid w:val="00187E21"/>
    <w:rsid w:val="00187F1F"/>
    <w:rsid w:val="00187F3C"/>
    <w:rsid w:val="001900F3"/>
    <w:rsid w:val="0019095F"/>
    <w:rsid w:val="00190B20"/>
    <w:rsid w:val="00190BA0"/>
    <w:rsid w:val="00190D21"/>
    <w:rsid w:val="001910C6"/>
    <w:rsid w:val="001912EE"/>
    <w:rsid w:val="00191517"/>
    <w:rsid w:val="001915A5"/>
    <w:rsid w:val="0019160A"/>
    <w:rsid w:val="001917B4"/>
    <w:rsid w:val="00191A27"/>
    <w:rsid w:val="00191A9C"/>
    <w:rsid w:val="00191B18"/>
    <w:rsid w:val="00191B7F"/>
    <w:rsid w:val="00191BCD"/>
    <w:rsid w:val="00191C52"/>
    <w:rsid w:val="00191DDF"/>
    <w:rsid w:val="001924AE"/>
    <w:rsid w:val="00192544"/>
    <w:rsid w:val="00192546"/>
    <w:rsid w:val="00192954"/>
    <w:rsid w:val="00192D0E"/>
    <w:rsid w:val="00192DE6"/>
    <w:rsid w:val="00192F65"/>
    <w:rsid w:val="001932C9"/>
    <w:rsid w:val="00193456"/>
    <w:rsid w:val="0019353C"/>
    <w:rsid w:val="001936FD"/>
    <w:rsid w:val="001938A4"/>
    <w:rsid w:val="001940FC"/>
    <w:rsid w:val="0019441F"/>
    <w:rsid w:val="0019455B"/>
    <w:rsid w:val="00194778"/>
    <w:rsid w:val="00194BB2"/>
    <w:rsid w:val="00194F41"/>
    <w:rsid w:val="00194FFB"/>
    <w:rsid w:val="00195121"/>
    <w:rsid w:val="00195148"/>
    <w:rsid w:val="001955E0"/>
    <w:rsid w:val="0019576A"/>
    <w:rsid w:val="00195975"/>
    <w:rsid w:val="00195A1A"/>
    <w:rsid w:val="00195B51"/>
    <w:rsid w:val="00195E0C"/>
    <w:rsid w:val="00196020"/>
    <w:rsid w:val="0019606E"/>
    <w:rsid w:val="00196131"/>
    <w:rsid w:val="001962D5"/>
    <w:rsid w:val="0019632F"/>
    <w:rsid w:val="00196374"/>
    <w:rsid w:val="0019647A"/>
    <w:rsid w:val="001964EE"/>
    <w:rsid w:val="00196674"/>
    <w:rsid w:val="001967A0"/>
    <w:rsid w:val="0019686E"/>
    <w:rsid w:val="00196B61"/>
    <w:rsid w:val="00196DAB"/>
    <w:rsid w:val="0019707E"/>
    <w:rsid w:val="001971B1"/>
    <w:rsid w:val="0019736A"/>
    <w:rsid w:val="00197400"/>
    <w:rsid w:val="001976DB"/>
    <w:rsid w:val="00197711"/>
    <w:rsid w:val="00197727"/>
    <w:rsid w:val="0019786A"/>
    <w:rsid w:val="00197D11"/>
    <w:rsid w:val="00197D24"/>
    <w:rsid w:val="001A012F"/>
    <w:rsid w:val="001A0161"/>
    <w:rsid w:val="001A01AA"/>
    <w:rsid w:val="001A02E0"/>
    <w:rsid w:val="001A0791"/>
    <w:rsid w:val="001A0B61"/>
    <w:rsid w:val="001A0EA4"/>
    <w:rsid w:val="001A1336"/>
    <w:rsid w:val="001A14F0"/>
    <w:rsid w:val="001A18EA"/>
    <w:rsid w:val="001A1905"/>
    <w:rsid w:val="001A1B0A"/>
    <w:rsid w:val="001A1D88"/>
    <w:rsid w:val="001A1E4D"/>
    <w:rsid w:val="001A22FA"/>
    <w:rsid w:val="001A2489"/>
    <w:rsid w:val="001A27BF"/>
    <w:rsid w:val="001A2888"/>
    <w:rsid w:val="001A2935"/>
    <w:rsid w:val="001A2BB1"/>
    <w:rsid w:val="001A2C73"/>
    <w:rsid w:val="001A2DCD"/>
    <w:rsid w:val="001A2E3E"/>
    <w:rsid w:val="001A2F6D"/>
    <w:rsid w:val="001A3250"/>
    <w:rsid w:val="001A33E4"/>
    <w:rsid w:val="001A3460"/>
    <w:rsid w:val="001A34CD"/>
    <w:rsid w:val="001A363A"/>
    <w:rsid w:val="001A365A"/>
    <w:rsid w:val="001A38E1"/>
    <w:rsid w:val="001A3918"/>
    <w:rsid w:val="001A3C2E"/>
    <w:rsid w:val="001A3CE9"/>
    <w:rsid w:val="001A3E7B"/>
    <w:rsid w:val="001A3F26"/>
    <w:rsid w:val="001A47CB"/>
    <w:rsid w:val="001A486F"/>
    <w:rsid w:val="001A4987"/>
    <w:rsid w:val="001A4CDE"/>
    <w:rsid w:val="001A4FBE"/>
    <w:rsid w:val="001A509C"/>
    <w:rsid w:val="001A50FB"/>
    <w:rsid w:val="001A529A"/>
    <w:rsid w:val="001A5495"/>
    <w:rsid w:val="001A561F"/>
    <w:rsid w:val="001A56C8"/>
    <w:rsid w:val="001A5B66"/>
    <w:rsid w:val="001A5CBE"/>
    <w:rsid w:val="001A5D20"/>
    <w:rsid w:val="001A6014"/>
    <w:rsid w:val="001A60AC"/>
    <w:rsid w:val="001A60C8"/>
    <w:rsid w:val="001A6641"/>
    <w:rsid w:val="001A664C"/>
    <w:rsid w:val="001A66AF"/>
    <w:rsid w:val="001A6726"/>
    <w:rsid w:val="001A6DAA"/>
    <w:rsid w:val="001A71EF"/>
    <w:rsid w:val="001A727A"/>
    <w:rsid w:val="001A73DE"/>
    <w:rsid w:val="001A76AF"/>
    <w:rsid w:val="001A7B54"/>
    <w:rsid w:val="001A7CFC"/>
    <w:rsid w:val="001A7EDA"/>
    <w:rsid w:val="001B0025"/>
    <w:rsid w:val="001B00A5"/>
    <w:rsid w:val="001B02FA"/>
    <w:rsid w:val="001B099F"/>
    <w:rsid w:val="001B09F6"/>
    <w:rsid w:val="001B0A67"/>
    <w:rsid w:val="001B0AD3"/>
    <w:rsid w:val="001B0BAB"/>
    <w:rsid w:val="001B0BD0"/>
    <w:rsid w:val="001B0D5A"/>
    <w:rsid w:val="001B0F03"/>
    <w:rsid w:val="001B0F0D"/>
    <w:rsid w:val="001B11B9"/>
    <w:rsid w:val="001B1220"/>
    <w:rsid w:val="001B1227"/>
    <w:rsid w:val="001B14C0"/>
    <w:rsid w:val="001B1641"/>
    <w:rsid w:val="001B184A"/>
    <w:rsid w:val="001B1880"/>
    <w:rsid w:val="001B1990"/>
    <w:rsid w:val="001B1A75"/>
    <w:rsid w:val="001B1C2B"/>
    <w:rsid w:val="001B1E92"/>
    <w:rsid w:val="001B2106"/>
    <w:rsid w:val="001B22CF"/>
    <w:rsid w:val="001B245B"/>
    <w:rsid w:val="001B2659"/>
    <w:rsid w:val="001B268C"/>
    <w:rsid w:val="001B2880"/>
    <w:rsid w:val="001B2A5D"/>
    <w:rsid w:val="001B2C7E"/>
    <w:rsid w:val="001B304D"/>
    <w:rsid w:val="001B34E1"/>
    <w:rsid w:val="001B3567"/>
    <w:rsid w:val="001B3823"/>
    <w:rsid w:val="001B387E"/>
    <w:rsid w:val="001B3A78"/>
    <w:rsid w:val="001B3AB6"/>
    <w:rsid w:val="001B3BE3"/>
    <w:rsid w:val="001B3CF3"/>
    <w:rsid w:val="001B3D02"/>
    <w:rsid w:val="001B3D94"/>
    <w:rsid w:val="001B3E20"/>
    <w:rsid w:val="001B3EBC"/>
    <w:rsid w:val="001B447C"/>
    <w:rsid w:val="001B470C"/>
    <w:rsid w:val="001B47E7"/>
    <w:rsid w:val="001B497E"/>
    <w:rsid w:val="001B49B5"/>
    <w:rsid w:val="001B4C07"/>
    <w:rsid w:val="001B4D3D"/>
    <w:rsid w:val="001B4FC0"/>
    <w:rsid w:val="001B535A"/>
    <w:rsid w:val="001B5545"/>
    <w:rsid w:val="001B5684"/>
    <w:rsid w:val="001B59C3"/>
    <w:rsid w:val="001B5AD4"/>
    <w:rsid w:val="001B5B4A"/>
    <w:rsid w:val="001B5B5A"/>
    <w:rsid w:val="001B5D48"/>
    <w:rsid w:val="001B5D87"/>
    <w:rsid w:val="001B5E9C"/>
    <w:rsid w:val="001B5F3D"/>
    <w:rsid w:val="001B6174"/>
    <w:rsid w:val="001B644D"/>
    <w:rsid w:val="001B6450"/>
    <w:rsid w:val="001B6465"/>
    <w:rsid w:val="001B6663"/>
    <w:rsid w:val="001B666E"/>
    <w:rsid w:val="001B6993"/>
    <w:rsid w:val="001B6B5C"/>
    <w:rsid w:val="001B7099"/>
    <w:rsid w:val="001B70C4"/>
    <w:rsid w:val="001B71B5"/>
    <w:rsid w:val="001B7294"/>
    <w:rsid w:val="001B7696"/>
    <w:rsid w:val="001C0013"/>
    <w:rsid w:val="001C00E0"/>
    <w:rsid w:val="001C0110"/>
    <w:rsid w:val="001C0540"/>
    <w:rsid w:val="001C0596"/>
    <w:rsid w:val="001C09BA"/>
    <w:rsid w:val="001C0A58"/>
    <w:rsid w:val="001C0D06"/>
    <w:rsid w:val="001C0DA4"/>
    <w:rsid w:val="001C0E98"/>
    <w:rsid w:val="001C1191"/>
    <w:rsid w:val="001C1286"/>
    <w:rsid w:val="001C1417"/>
    <w:rsid w:val="001C145D"/>
    <w:rsid w:val="001C14EA"/>
    <w:rsid w:val="001C1685"/>
    <w:rsid w:val="001C191A"/>
    <w:rsid w:val="001C19BB"/>
    <w:rsid w:val="001C19ED"/>
    <w:rsid w:val="001C19F1"/>
    <w:rsid w:val="001C1C0F"/>
    <w:rsid w:val="001C1C23"/>
    <w:rsid w:val="001C1EFE"/>
    <w:rsid w:val="001C2131"/>
    <w:rsid w:val="001C217C"/>
    <w:rsid w:val="001C2180"/>
    <w:rsid w:val="001C244C"/>
    <w:rsid w:val="001C255E"/>
    <w:rsid w:val="001C276B"/>
    <w:rsid w:val="001C27FC"/>
    <w:rsid w:val="001C2B71"/>
    <w:rsid w:val="001C2D67"/>
    <w:rsid w:val="001C2D8E"/>
    <w:rsid w:val="001C2E81"/>
    <w:rsid w:val="001C303E"/>
    <w:rsid w:val="001C320F"/>
    <w:rsid w:val="001C346F"/>
    <w:rsid w:val="001C35FD"/>
    <w:rsid w:val="001C3830"/>
    <w:rsid w:val="001C3A23"/>
    <w:rsid w:val="001C3FD4"/>
    <w:rsid w:val="001C403F"/>
    <w:rsid w:val="001C4411"/>
    <w:rsid w:val="001C4797"/>
    <w:rsid w:val="001C498F"/>
    <w:rsid w:val="001C4C18"/>
    <w:rsid w:val="001C4EAB"/>
    <w:rsid w:val="001C4F89"/>
    <w:rsid w:val="001C5041"/>
    <w:rsid w:val="001C50EA"/>
    <w:rsid w:val="001C5395"/>
    <w:rsid w:val="001C5738"/>
    <w:rsid w:val="001C58D5"/>
    <w:rsid w:val="001C593D"/>
    <w:rsid w:val="001C5B9C"/>
    <w:rsid w:val="001C5C07"/>
    <w:rsid w:val="001C5FD0"/>
    <w:rsid w:val="001C605A"/>
    <w:rsid w:val="001C60F0"/>
    <w:rsid w:val="001C6124"/>
    <w:rsid w:val="001C6342"/>
    <w:rsid w:val="001C647B"/>
    <w:rsid w:val="001C6529"/>
    <w:rsid w:val="001C6642"/>
    <w:rsid w:val="001C6960"/>
    <w:rsid w:val="001C6AA7"/>
    <w:rsid w:val="001C6DC6"/>
    <w:rsid w:val="001C6EFA"/>
    <w:rsid w:val="001C6F42"/>
    <w:rsid w:val="001C727B"/>
    <w:rsid w:val="001C7286"/>
    <w:rsid w:val="001C72B3"/>
    <w:rsid w:val="001C72E3"/>
    <w:rsid w:val="001C742E"/>
    <w:rsid w:val="001C76CC"/>
    <w:rsid w:val="001C7706"/>
    <w:rsid w:val="001C7959"/>
    <w:rsid w:val="001C7B88"/>
    <w:rsid w:val="001D005A"/>
    <w:rsid w:val="001D0075"/>
    <w:rsid w:val="001D00DA"/>
    <w:rsid w:val="001D0202"/>
    <w:rsid w:val="001D022D"/>
    <w:rsid w:val="001D05EB"/>
    <w:rsid w:val="001D084D"/>
    <w:rsid w:val="001D0980"/>
    <w:rsid w:val="001D0BDC"/>
    <w:rsid w:val="001D0D5A"/>
    <w:rsid w:val="001D0E2B"/>
    <w:rsid w:val="001D0E6A"/>
    <w:rsid w:val="001D1269"/>
    <w:rsid w:val="001D12FF"/>
    <w:rsid w:val="001D15E0"/>
    <w:rsid w:val="001D1898"/>
    <w:rsid w:val="001D1984"/>
    <w:rsid w:val="001D1B47"/>
    <w:rsid w:val="001D1EBF"/>
    <w:rsid w:val="001D1FB6"/>
    <w:rsid w:val="001D23F2"/>
    <w:rsid w:val="001D25DC"/>
    <w:rsid w:val="001D2C4E"/>
    <w:rsid w:val="001D2C93"/>
    <w:rsid w:val="001D2D1C"/>
    <w:rsid w:val="001D2D2F"/>
    <w:rsid w:val="001D2D5E"/>
    <w:rsid w:val="001D300C"/>
    <w:rsid w:val="001D30FB"/>
    <w:rsid w:val="001D3111"/>
    <w:rsid w:val="001D31EB"/>
    <w:rsid w:val="001D32B5"/>
    <w:rsid w:val="001D3341"/>
    <w:rsid w:val="001D351E"/>
    <w:rsid w:val="001D354D"/>
    <w:rsid w:val="001D3934"/>
    <w:rsid w:val="001D3E38"/>
    <w:rsid w:val="001D3F3C"/>
    <w:rsid w:val="001D3F91"/>
    <w:rsid w:val="001D40C1"/>
    <w:rsid w:val="001D472A"/>
    <w:rsid w:val="001D48F7"/>
    <w:rsid w:val="001D4908"/>
    <w:rsid w:val="001D4A0E"/>
    <w:rsid w:val="001D4A94"/>
    <w:rsid w:val="001D4AB5"/>
    <w:rsid w:val="001D4D75"/>
    <w:rsid w:val="001D4E8D"/>
    <w:rsid w:val="001D5017"/>
    <w:rsid w:val="001D5074"/>
    <w:rsid w:val="001D5351"/>
    <w:rsid w:val="001D53BF"/>
    <w:rsid w:val="001D5578"/>
    <w:rsid w:val="001D5629"/>
    <w:rsid w:val="001D570E"/>
    <w:rsid w:val="001D5719"/>
    <w:rsid w:val="001D58FC"/>
    <w:rsid w:val="001D5B46"/>
    <w:rsid w:val="001D5DA5"/>
    <w:rsid w:val="001D5E16"/>
    <w:rsid w:val="001D5FC8"/>
    <w:rsid w:val="001D6539"/>
    <w:rsid w:val="001D66A1"/>
    <w:rsid w:val="001D688E"/>
    <w:rsid w:val="001D6A8B"/>
    <w:rsid w:val="001D6C92"/>
    <w:rsid w:val="001D6CAF"/>
    <w:rsid w:val="001D6F8C"/>
    <w:rsid w:val="001D75BC"/>
    <w:rsid w:val="001D7853"/>
    <w:rsid w:val="001D7DB2"/>
    <w:rsid w:val="001D7FC5"/>
    <w:rsid w:val="001E0199"/>
    <w:rsid w:val="001E0201"/>
    <w:rsid w:val="001E05C6"/>
    <w:rsid w:val="001E08E1"/>
    <w:rsid w:val="001E091D"/>
    <w:rsid w:val="001E0922"/>
    <w:rsid w:val="001E0BEA"/>
    <w:rsid w:val="001E0FAD"/>
    <w:rsid w:val="001E108B"/>
    <w:rsid w:val="001E143A"/>
    <w:rsid w:val="001E14B6"/>
    <w:rsid w:val="001E1620"/>
    <w:rsid w:val="001E1629"/>
    <w:rsid w:val="001E1A0D"/>
    <w:rsid w:val="001E1B9B"/>
    <w:rsid w:val="001E1DA4"/>
    <w:rsid w:val="001E1DB6"/>
    <w:rsid w:val="001E1E35"/>
    <w:rsid w:val="001E1FDA"/>
    <w:rsid w:val="001E2090"/>
    <w:rsid w:val="001E24B1"/>
    <w:rsid w:val="001E2612"/>
    <w:rsid w:val="001E2DF0"/>
    <w:rsid w:val="001E3613"/>
    <w:rsid w:val="001E3D88"/>
    <w:rsid w:val="001E3DE3"/>
    <w:rsid w:val="001E4077"/>
    <w:rsid w:val="001E4212"/>
    <w:rsid w:val="001E4415"/>
    <w:rsid w:val="001E4416"/>
    <w:rsid w:val="001E4735"/>
    <w:rsid w:val="001E47BC"/>
    <w:rsid w:val="001E47CD"/>
    <w:rsid w:val="001E49D6"/>
    <w:rsid w:val="001E4AD3"/>
    <w:rsid w:val="001E4CB7"/>
    <w:rsid w:val="001E4EE3"/>
    <w:rsid w:val="001E5020"/>
    <w:rsid w:val="001E538F"/>
    <w:rsid w:val="001E545C"/>
    <w:rsid w:val="001E54C8"/>
    <w:rsid w:val="001E555B"/>
    <w:rsid w:val="001E5641"/>
    <w:rsid w:val="001E5810"/>
    <w:rsid w:val="001E58EB"/>
    <w:rsid w:val="001E58FC"/>
    <w:rsid w:val="001E5ADB"/>
    <w:rsid w:val="001E5BFD"/>
    <w:rsid w:val="001E5EEF"/>
    <w:rsid w:val="001E5F61"/>
    <w:rsid w:val="001E63A9"/>
    <w:rsid w:val="001E64EC"/>
    <w:rsid w:val="001E66D8"/>
    <w:rsid w:val="001E676F"/>
    <w:rsid w:val="001E67C6"/>
    <w:rsid w:val="001E681E"/>
    <w:rsid w:val="001E6877"/>
    <w:rsid w:val="001E68E7"/>
    <w:rsid w:val="001E726C"/>
    <w:rsid w:val="001E7345"/>
    <w:rsid w:val="001E73CF"/>
    <w:rsid w:val="001E746F"/>
    <w:rsid w:val="001E762F"/>
    <w:rsid w:val="001E78BB"/>
    <w:rsid w:val="001E78DF"/>
    <w:rsid w:val="001E79A4"/>
    <w:rsid w:val="001E7D60"/>
    <w:rsid w:val="001E7F33"/>
    <w:rsid w:val="001F032A"/>
    <w:rsid w:val="001F0471"/>
    <w:rsid w:val="001F04ED"/>
    <w:rsid w:val="001F089E"/>
    <w:rsid w:val="001F0B05"/>
    <w:rsid w:val="001F0C0D"/>
    <w:rsid w:val="001F0DB3"/>
    <w:rsid w:val="001F0F9E"/>
    <w:rsid w:val="001F1147"/>
    <w:rsid w:val="001F12D1"/>
    <w:rsid w:val="001F1350"/>
    <w:rsid w:val="001F1546"/>
    <w:rsid w:val="001F23E7"/>
    <w:rsid w:val="001F24BA"/>
    <w:rsid w:val="001F2566"/>
    <w:rsid w:val="001F258E"/>
    <w:rsid w:val="001F2F62"/>
    <w:rsid w:val="001F30A5"/>
    <w:rsid w:val="001F3255"/>
    <w:rsid w:val="001F32A6"/>
    <w:rsid w:val="001F3488"/>
    <w:rsid w:val="001F34FD"/>
    <w:rsid w:val="001F3787"/>
    <w:rsid w:val="001F3992"/>
    <w:rsid w:val="001F3B1B"/>
    <w:rsid w:val="001F3D86"/>
    <w:rsid w:val="001F3E05"/>
    <w:rsid w:val="001F3FF1"/>
    <w:rsid w:val="001F4080"/>
    <w:rsid w:val="001F4264"/>
    <w:rsid w:val="001F42E6"/>
    <w:rsid w:val="001F43BD"/>
    <w:rsid w:val="001F44E7"/>
    <w:rsid w:val="001F49E9"/>
    <w:rsid w:val="001F4A96"/>
    <w:rsid w:val="001F4AC8"/>
    <w:rsid w:val="001F4B36"/>
    <w:rsid w:val="001F4D72"/>
    <w:rsid w:val="001F4E93"/>
    <w:rsid w:val="001F4F94"/>
    <w:rsid w:val="001F50D4"/>
    <w:rsid w:val="001F517E"/>
    <w:rsid w:val="001F521D"/>
    <w:rsid w:val="001F5282"/>
    <w:rsid w:val="001F5325"/>
    <w:rsid w:val="001F5550"/>
    <w:rsid w:val="001F55A9"/>
    <w:rsid w:val="001F5669"/>
    <w:rsid w:val="001F5958"/>
    <w:rsid w:val="001F5EE9"/>
    <w:rsid w:val="001F5F48"/>
    <w:rsid w:val="001F605F"/>
    <w:rsid w:val="001F609E"/>
    <w:rsid w:val="001F6127"/>
    <w:rsid w:val="001F636B"/>
    <w:rsid w:val="001F672F"/>
    <w:rsid w:val="001F67E4"/>
    <w:rsid w:val="001F6950"/>
    <w:rsid w:val="001F6A0A"/>
    <w:rsid w:val="001F6B85"/>
    <w:rsid w:val="001F6BE7"/>
    <w:rsid w:val="001F6E24"/>
    <w:rsid w:val="001F7084"/>
    <w:rsid w:val="001F71E0"/>
    <w:rsid w:val="001F722B"/>
    <w:rsid w:val="001F7438"/>
    <w:rsid w:val="001F7549"/>
    <w:rsid w:val="001F758B"/>
    <w:rsid w:val="001F7600"/>
    <w:rsid w:val="001F762A"/>
    <w:rsid w:val="001F7675"/>
    <w:rsid w:val="001F772C"/>
    <w:rsid w:val="001F7AEA"/>
    <w:rsid w:val="001F7B31"/>
    <w:rsid w:val="0020000A"/>
    <w:rsid w:val="00200091"/>
    <w:rsid w:val="002000F4"/>
    <w:rsid w:val="0020016A"/>
    <w:rsid w:val="002002D1"/>
    <w:rsid w:val="00200570"/>
    <w:rsid w:val="0020059F"/>
    <w:rsid w:val="002005EC"/>
    <w:rsid w:val="0020071A"/>
    <w:rsid w:val="0020081C"/>
    <w:rsid w:val="00200AE3"/>
    <w:rsid w:val="00200B1C"/>
    <w:rsid w:val="00200C9A"/>
    <w:rsid w:val="00200E42"/>
    <w:rsid w:val="00200F45"/>
    <w:rsid w:val="0020114B"/>
    <w:rsid w:val="00201219"/>
    <w:rsid w:val="00201484"/>
    <w:rsid w:val="002015BA"/>
    <w:rsid w:val="00201B2E"/>
    <w:rsid w:val="00201B8D"/>
    <w:rsid w:val="00201C95"/>
    <w:rsid w:val="00201DF3"/>
    <w:rsid w:val="00201F06"/>
    <w:rsid w:val="00202266"/>
    <w:rsid w:val="002022BC"/>
    <w:rsid w:val="002023A7"/>
    <w:rsid w:val="002023E8"/>
    <w:rsid w:val="0020269E"/>
    <w:rsid w:val="00202D4E"/>
    <w:rsid w:val="00202E11"/>
    <w:rsid w:val="00202EDE"/>
    <w:rsid w:val="00202F78"/>
    <w:rsid w:val="0020305E"/>
    <w:rsid w:val="002030FF"/>
    <w:rsid w:val="002036C4"/>
    <w:rsid w:val="00203CD4"/>
    <w:rsid w:val="00203E77"/>
    <w:rsid w:val="00203F4B"/>
    <w:rsid w:val="00204250"/>
    <w:rsid w:val="00204492"/>
    <w:rsid w:val="0020452C"/>
    <w:rsid w:val="002045D1"/>
    <w:rsid w:val="002049C2"/>
    <w:rsid w:val="00204B22"/>
    <w:rsid w:val="00204BEA"/>
    <w:rsid w:val="00204C88"/>
    <w:rsid w:val="0020509A"/>
    <w:rsid w:val="002050A1"/>
    <w:rsid w:val="0020517B"/>
    <w:rsid w:val="0020543E"/>
    <w:rsid w:val="002056A3"/>
    <w:rsid w:val="0020584C"/>
    <w:rsid w:val="00205DBC"/>
    <w:rsid w:val="00205E18"/>
    <w:rsid w:val="00205E92"/>
    <w:rsid w:val="00205F60"/>
    <w:rsid w:val="002060BD"/>
    <w:rsid w:val="0020621A"/>
    <w:rsid w:val="002062D6"/>
    <w:rsid w:val="00206699"/>
    <w:rsid w:val="00206B4F"/>
    <w:rsid w:val="00206D4E"/>
    <w:rsid w:val="00207116"/>
    <w:rsid w:val="0020743D"/>
    <w:rsid w:val="0020745E"/>
    <w:rsid w:val="00207743"/>
    <w:rsid w:val="00207980"/>
    <w:rsid w:val="00207CAA"/>
    <w:rsid w:val="00207FE0"/>
    <w:rsid w:val="00210BD8"/>
    <w:rsid w:val="00210D13"/>
    <w:rsid w:val="00210D58"/>
    <w:rsid w:val="00210D8E"/>
    <w:rsid w:val="00210D93"/>
    <w:rsid w:val="00210F3C"/>
    <w:rsid w:val="00211063"/>
    <w:rsid w:val="00211366"/>
    <w:rsid w:val="002114EE"/>
    <w:rsid w:val="00211DC6"/>
    <w:rsid w:val="002120E9"/>
    <w:rsid w:val="0021221C"/>
    <w:rsid w:val="0021222C"/>
    <w:rsid w:val="002123B4"/>
    <w:rsid w:val="0021240C"/>
    <w:rsid w:val="002124A2"/>
    <w:rsid w:val="00212646"/>
    <w:rsid w:val="002126ED"/>
    <w:rsid w:val="002128B0"/>
    <w:rsid w:val="0021297C"/>
    <w:rsid w:val="002129A8"/>
    <w:rsid w:val="0021305D"/>
    <w:rsid w:val="00213244"/>
    <w:rsid w:val="002136C9"/>
    <w:rsid w:val="0021375B"/>
    <w:rsid w:val="0021380C"/>
    <w:rsid w:val="0021393F"/>
    <w:rsid w:val="00213A2A"/>
    <w:rsid w:val="00213B1F"/>
    <w:rsid w:val="00213E75"/>
    <w:rsid w:val="00213ED9"/>
    <w:rsid w:val="0021479F"/>
    <w:rsid w:val="0021486D"/>
    <w:rsid w:val="00214B56"/>
    <w:rsid w:val="0021547F"/>
    <w:rsid w:val="0021551E"/>
    <w:rsid w:val="00215604"/>
    <w:rsid w:val="0021563D"/>
    <w:rsid w:val="00215C2C"/>
    <w:rsid w:val="00215E51"/>
    <w:rsid w:val="00215EFC"/>
    <w:rsid w:val="00215F8B"/>
    <w:rsid w:val="0021624F"/>
    <w:rsid w:val="002162B0"/>
    <w:rsid w:val="00216412"/>
    <w:rsid w:val="002166A6"/>
    <w:rsid w:val="00216799"/>
    <w:rsid w:val="00216F37"/>
    <w:rsid w:val="00216FF5"/>
    <w:rsid w:val="002171F9"/>
    <w:rsid w:val="00217542"/>
    <w:rsid w:val="00217760"/>
    <w:rsid w:val="002177B1"/>
    <w:rsid w:val="00217FD8"/>
    <w:rsid w:val="00217FE8"/>
    <w:rsid w:val="002205F5"/>
    <w:rsid w:val="00220865"/>
    <w:rsid w:val="002209D5"/>
    <w:rsid w:val="00220A91"/>
    <w:rsid w:val="00220B55"/>
    <w:rsid w:val="0022129A"/>
    <w:rsid w:val="0022129E"/>
    <w:rsid w:val="00221524"/>
    <w:rsid w:val="00221872"/>
    <w:rsid w:val="002218CE"/>
    <w:rsid w:val="0022192F"/>
    <w:rsid w:val="00221B58"/>
    <w:rsid w:val="00221DE0"/>
    <w:rsid w:val="00222060"/>
    <w:rsid w:val="0022228C"/>
    <w:rsid w:val="0022228E"/>
    <w:rsid w:val="0022238E"/>
    <w:rsid w:val="002229D0"/>
    <w:rsid w:val="00222AC8"/>
    <w:rsid w:val="00222D36"/>
    <w:rsid w:val="00222E37"/>
    <w:rsid w:val="002232D6"/>
    <w:rsid w:val="0022338C"/>
    <w:rsid w:val="0022348B"/>
    <w:rsid w:val="002238A0"/>
    <w:rsid w:val="002238DD"/>
    <w:rsid w:val="00223967"/>
    <w:rsid w:val="00223B6E"/>
    <w:rsid w:val="00223C34"/>
    <w:rsid w:val="00223E01"/>
    <w:rsid w:val="00223F0B"/>
    <w:rsid w:val="002243E0"/>
    <w:rsid w:val="002245A4"/>
    <w:rsid w:val="002245A6"/>
    <w:rsid w:val="0022471A"/>
    <w:rsid w:val="002247F0"/>
    <w:rsid w:val="00224A6B"/>
    <w:rsid w:val="00224FA3"/>
    <w:rsid w:val="0022514F"/>
    <w:rsid w:val="00225156"/>
    <w:rsid w:val="0022555C"/>
    <w:rsid w:val="00225760"/>
    <w:rsid w:val="00225765"/>
    <w:rsid w:val="00225863"/>
    <w:rsid w:val="00225B62"/>
    <w:rsid w:val="00225E15"/>
    <w:rsid w:val="00225FA8"/>
    <w:rsid w:val="0022617E"/>
    <w:rsid w:val="00226428"/>
    <w:rsid w:val="002265B4"/>
    <w:rsid w:val="002265CA"/>
    <w:rsid w:val="00226829"/>
    <w:rsid w:val="00226FDD"/>
    <w:rsid w:val="002270E9"/>
    <w:rsid w:val="002272A7"/>
    <w:rsid w:val="002272D2"/>
    <w:rsid w:val="00227575"/>
    <w:rsid w:val="00227593"/>
    <w:rsid w:val="0022787A"/>
    <w:rsid w:val="002279C4"/>
    <w:rsid w:val="00227DAE"/>
    <w:rsid w:val="00230BC1"/>
    <w:rsid w:val="00230EA7"/>
    <w:rsid w:val="002312BD"/>
    <w:rsid w:val="002317CE"/>
    <w:rsid w:val="00231A75"/>
    <w:rsid w:val="00231AFA"/>
    <w:rsid w:val="00231B62"/>
    <w:rsid w:val="00231CF8"/>
    <w:rsid w:val="00231D1B"/>
    <w:rsid w:val="00231EBF"/>
    <w:rsid w:val="00231FA7"/>
    <w:rsid w:val="0023229B"/>
    <w:rsid w:val="0023232E"/>
    <w:rsid w:val="002326AD"/>
    <w:rsid w:val="00232795"/>
    <w:rsid w:val="00232847"/>
    <w:rsid w:val="0023320B"/>
    <w:rsid w:val="00233231"/>
    <w:rsid w:val="002332A5"/>
    <w:rsid w:val="00233691"/>
    <w:rsid w:val="002336C6"/>
    <w:rsid w:val="002339CB"/>
    <w:rsid w:val="002339DF"/>
    <w:rsid w:val="002339F4"/>
    <w:rsid w:val="00233A10"/>
    <w:rsid w:val="00233AB9"/>
    <w:rsid w:val="00233D77"/>
    <w:rsid w:val="00233DB6"/>
    <w:rsid w:val="0023419C"/>
    <w:rsid w:val="0023445D"/>
    <w:rsid w:val="00234486"/>
    <w:rsid w:val="0023465A"/>
    <w:rsid w:val="00234665"/>
    <w:rsid w:val="002346FA"/>
    <w:rsid w:val="002347DC"/>
    <w:rsid w:val="0023480E"/>
    <w:rsid w:val="00234BD7"/>
    <w:rsid w:val="00234BE2"/>
    <w:rsid w:val="002350D1"/>
    <w:rsid w:val="002351F7"/>
    <w:rsid w:val="002353FF"/>
    <w:rsid w:val="00235522"/>
    <w:rsid w:val="0023558B"/>
    <w:rsid w:val="002355FB"/>
    <w:rsid w:val="00235743"/>
    <w:rsid w:val="002359AC"/>
    <w:rsid w:val="00235BD0"/>
    <w:rsid w:val="00235C32"/>
    <w:rsid w:val="00235D31"/>
    <w:rsid w:val="0023639B"/>
    <w:rsid w:val="0023645B"/>
    <w:rsid w:val="002367E5"/>
    <w:rsid w:val="00236A86"/>
    <w:rsid w:val="00236BCB"/>
    <w:rsid w:val="00236CC0"/>
    <w:rsid w:val="0023726C"/>
    <w:rsid w:val="002373D0"/>
    <w:rsid w:val="002376E5"/>
    <w:rsid w:val="00237707"/>
    <w:rsid w:val="002377BB"/>
    <w:rsid w:val="00237824"/>
    <w:rsid w:val="00237838"/>
    <w:rsid w:val="0023793D"/>
    <w:rsid w:val="0023797A"/>
    <w:rsid w:val="00237AF3"/>
    <w:rsid w:val="00237DD3"/>
    <w:rsid w:val="00237E06"/>
    <w:rsid w:val="00237E29"/>
    <w:rsid w:val="00237F27"/>
    <w:rsid w:val="002403CF"/>
    <w:rsid w:val="00240671"/>
    <w:rsid w:val="00240681"/>
    <w:rsid w:val="0024093A"/>
    <w:rsid w:val="00240AD5"/>
    <w:rsid w:val="00240CE9"/>
    <w:rsid w:val="00240E99"/>
    <w:rsid w:val="0024114C"/>
    <w:rsid w:val="002411AC"/>
    <w:rsid w:val="002412EB"/>
    <w:rsid w:val="0024137A"/>
    <w:rsid w:val="00241497"/>
    <w:rsid w:val="002419FA"/>
    <w:rsid w:val="00241D8E"/>
    <w:rsid w:val="00242155"/>
    <w:rsid w:val="00242571"/>
    <w:rsid w:val="002426A9"/>
    <w:rsid w:val="002426B7"/>
    <w:rsid w:val="002428A6"/>
    <w:rsid w:val="00242C4A"/>
    <w:rsid w:val="00242D6B"/>
    <w:rsid w:val="00242F13"/>
    <w:rsid w:val="002432B3"/>
    <w:rsid w:val="0024381B"/>
    <w:rsid w:val="00243C52"/>
    <w:rsid w:val="00243DD6"/>
    <w:rsid w:val="00243E0D"/>
    <w:rsid w:val="0024413B"/>
    <w:rsid w:val="002441B1"/>
    <w:rsid w:val="002442D8"/>
    <w:rsid w:val="002442DE"/>
    <w:rsid w:val="0024489C"/>
    <w:rsid w:val="00244922"/>
    <w:rsid w:val="00244A22"/>
    <w:rsid w:val="00244A81"/>
    <w:rsid w:val="00244DA1"/>
    <w:rsid w:val="00244E4F"/>
    <w:rsid w:val="00244EF6"/>
    <w:rsid w:val="00245185"/>
    <w:rsid w:val="0024518E"/>
    <w:rsid w:val="002451E4"/>
    <w:rsid w:val="002451F4"/>
    <w:rsid w:val="002452E7"/>
    <w:rsid w:val="00245A41"/>
    <w:rsid w:val="00245BEA"/>
    <w:rsid w:val="00245DEA"/>
    <w:rsid w:val="002460E9"/>
    <w:rsid w:val="002466DA"/>
    <w:rsid w:val="00246745"/>
    <w:rsid w:val="00246A09"/>
    <w:rsid w:val="00246B3E"/>
    <w:rsid w:val="00246D8B"/>
    <w:rsid w:val="00246E23"/>
    <w:rsid w:val="00246FE2"/>
    <w:rsid w:val="00247076"/>
    <w:rsid w:val="0024750B"/>
    <w:rsid w:val="002475E1"/>
    <w:rsid w:val="00247667"/>
    <w:rsid w:val="00247C08"/>
    <w:rsid w:val="00247DAB"/>
    <w:rsid w:val="00247ED3"/>
    <w:rsid w:val="00250097"/>
    <w:rsid w:val="00250296"/>
    <w:rsid w:val="0025036E"/>
    <w:rsid w:val="00250628"/>
    <w:rsid w:val="002507D1"/>
    <w:rsid w:val="00250B5F"/>
    <w:rsid w:val="00250FBB"/>
    <w:rsid w:val="00250FC0"/>
    <w:rsid w:val="002511F6"/>
    <w:rsid w:val="002512B7"/>
    <w:rsid w:val="00251300"/>
    <w:rsid w:val="002514C7"/>
    <w:rsid w:val="00251515"/>
    <w:rsid w:val="002519B4"/>
    <w:rsid w:val="00251ACD"/>
    <w:rsid w:val="00251AF9"/>
    <w:rsid w:val="00251BD0"/>
    <w:rsid w:val="00251C96"/>
    <w:rsid w:val="00252112"/>
    <w:rsid w:val="00252811"/>
    <w:rsid w:val="00252907"/>
    <w:rsid w:val="00252C32"/>
    <w:rsid w:val="00252C40"/>
    <w:rsid w:val="00253259"/>
    <w:rsid w:val="00253324"/>
    <w:rsid w:val="002533B7"/>
    <w:rsid w:val="002536AC"/>
    <w:rsid w:val="0025391B"/>
    <w:rsid w:val="00253C69"/>
    <w:rsid w:val="00253FF8"/>
    <w:rsid w:val="0025410B"/>
    <w:rsid w:val="002541C1"/>
    <w:rsid w:val="002543CC"/>
    <w:rsid w:val="0025475C"/>
    <w:rsid w:val="002549CF"/>
    <w:rsid w:val="00254B5C"/>
    <w:rsid w:val="00254C50"/>
    <w:rsid w:val="00254D34"/>
    <w:rsid w:val="00254DDE"/>
    <w:rsid w:val="00254F34"/>
    <w:rsid w:val="00255077"/>
    <w:rsid w:val="00255355"/>
    <w:rsid w:val="00255488"/>
    <w:rsid w:val="0025556F"/>
    <w:rsid w:val="002555E2"/>
    <w:rsid w:val="00255786"/>
    <w:rsid w:val="002559A2"/>
    <w:rsid w:val="00255ACE"/>
    <w:rsid w:val="00255BC1"/>
    <w:rsid w:val="00255BFC"/>
    <w:rsid w:val="00255C99"/>
    <w:rsid w:val="00255DF2"/>
    <w:rsid w:val="00255F9D"/>
    <w:rsid w:val="00256122"/>
    <w:rsid w:val="0025643A"/>
    <w:rsid w:val="002565F9"/>
    <w:rsid w:val="00256854"/>
    <w:rsid w:val="00256B18"/>
    <w:rsid w:val="00257175"/>
    <w:rsid w:val="00257317"/>
    <w:rsid w:val="0025750D"/>
    <w:rsid w:val="0025760E"/>
    <w:rsid w:val="00257792"/>
    <w:rsid w:val="00257AEF"/>
    <w:rsid w:val="00257C34"/>
    <w:rsid w:val="00257DB5"/>
    <w:rsid w:val="00257EF6"/>
    <w:rsid w:val="00260112"/>
    <w:rsid w:val="00260117"/>
    <w:rsid w:val="00260737"/>
    <w:rsid w:val="002608CD"/>
    <w:rsid w:val="00260966"/>
    <w:rsid w:val="00260ABE"/>
    <w:rsid w:val="00260FEE"/>
    <w:rsid w:val="002610C3"/>
    <w:rsid w:val="00261256"/>
    <w:rsid w:val="0026130B"/>
    <w:rsid w:val="00261492"/>
    <w:rsid w:val="002619B1"/>
    <w:rsid w:val="00261AF4"/>
    <w:rsid w:val="00261B2D"/>
    <w:rsid w:val="00261BC6"/>
    <w:rsid w:val="0026203B"/>
    <w:rsid w:val="0026226D"/>
    <w:rsid w:val="00262532"/>
    <w:rsid w:val="00262741"/>
    <w:rsid w:val="00262BA9"/>
    <w:rsid w:val="00262BEA"/>
    <w:rsid w:val="00262D6C"/>
    <w:rsid w:val="00262E4B"/>
    <w:rsid w:val="0026305E"/>
    <w:rsid w:val="00263176"/>
    <w:rsid w:val="0026324E"/>
    <w:rsid w:val="0026354D"/>
    <w:rsid w:val="0026359F"/>
    <w:rsid w:val="00263A87"/>
    <w:rsid w:val="00263AA7"/>
    <w:rsid w:val="00263EAB"/>
    <w:rsid w:val="0026410B"/>
    <w:rsid w:val="0026417E"/>
    <w:rsid w:val="0026424C"/>
    <w:rsid w:val="0026431E"/>
    <w:rsid w:val="0026437C"/>
    <w:rsid w:val="00264552"/>
    <w:rsid w:val="0026455A"/>
    <w:rsid w:val="00264B9F"/>
    <w:rsid w:val="00264C4D"/>
    <w:rsid w:val="00264DA1"/>
    <w:rsid w:val="00264EC6"/>
    <w:rsid w:val="002652A2"/>
    <w:rsid w:val="002655DD"/>
    <w:rsid w:val="00265616"/>
    <w:rsid w:val="00265AAC"/>
    <w:rsid w:val="00265EFE"/>
    <w:rsid w:val="00265FFD"/>
    <w:rsid w:val="002661AB"/>
    <w:rsid w:val="00266253"/>
    <w:rsid w:val="002662BC"/>
    <w:rsid w:val="002663DC"/>
    <w:rsid w:val="00266537"/>
    <w:rsid w:val="00266815"/>
    <w:rsid w:val="0026681D"/>
    <w:rsid w:val="0026684F"/>
    <w:rsid w:val="00266CFB"/>
    <w:rsid w:val="00267452"/>
    <w:rsid w:val="0026761D"/>
    <w:rsid w:val="00267A18"/>
    <w:rsid w:val="00267A4F"/>
    <w:rsid w:val="00267AD6"/>
    <w:rsid w:val="00267DFF"/>
    <w:rsid w:val="0027031D"/>
    <w:rsid w:val="0027044A"/>
    <w:rsid w:val="00270CFD"/>
    <w:rsid w:val="00270E3B"/>
    <w:rsid w:val="00270F43"/>
    <w:rsid w:val="0027100D"/>
    <w:rsid w:val="002710EE"/>
    <w:rsid w:val="00271268"/>
    <w:rsid w:val="0027133A"/>
    <w:rsid w:val="00271421"/>
    <w:rsid w:val="0027159D"/>
    <w:rsid w:val="002715D8"/>
    <w:rsid w:val="0027177A"/>
    <w:rsid w:val="002717B2"/>
    <w:rsid w:val="00271B4D"/>
    <w:rsid w:val="00271C3A"/>
    <w:rsid w:val="002721A8"/>
    <w:rsid w:val="002722AC"/>
    <w:rsid w:val="0027246C"/>
    <w:rsid w:val="00272567"/>
    <w:rsid w:val="002725AD"/>
    <w:rsid w:val="002726D1"/>
    <w:rsid w:val="00272715"/>
    <w:rsid w:val="00272830"/>
    <w:rsid w:val="002729FF"/>
    <w:rsid w:val="00272D1A"/>
    <w:rsid w:val="00273068"/>
    <w:rsid w:val="002730B2"/>
    <w:rsid w:val="002730C5"/>
    <w:rsid w:val="002735E0"/>
    <w:rsid w:val="0027395C"/>
    <w:rsid w:val="00273D5A"/>
    <w:rsid w:val="00273E78"/>
    <w:rsid w:val="00274467"/>
    <w:rsid w:val="0027498B"/>
    <w:rsid w:val="002749DC"/>
    <w:rsid w:val="00274A71"/>
    <w:rsid w:val="00274AB4"/>
    <w:rsid w:val="00274ACE"/>
    <w:rsid w:val="00274BD2"/>
    <w:rsid w:val="00274D54"/>
    <w:rsid w:val="00274DA6"/>
    <w:rsid w:val="00274F50"/>
    <w:rsid w:val="00274F5E"/>
    <w:rsid w:val="00275292"/>
    <w:rsid w:val="002754D9"/>
    <w:rsid w:val="002754FB"/>
    <w:rsid w:val="00275533"/>
    <w:rsid w:val="00275694"/>
    <w:rsid w:val="00275712"/>
    <w:rsid w:val="0027591E"/>
    <w:rsid w:val="0027599B"/>
    <w:rsid w:val="00275A16"/>
    <w:rsid w:val="00275BFB"/>
    <w:rsid w:val="00275C71"/>
    <w:rsid w:val="00275CCB"/>
    <w:rsid w:val="00276901"/>
    <w:rsid w:val="00276BEA"/>
    <w:rsid w:val="00276BF3"/>
    <w:rsid w:val="00276C0F"/>
    <w:rsid w:val="00276C4D"/>
    <w:rsid w:val="00276E7E"/>
    <w:rsid w:val="0027706C"/>
    <w:rsid w:val="002771CC"/>
    <w:rsid w:val="00277438"/>
    <w:rsid w:val="0027747F"/>
    <w:rsid w:val="0027775E"/>
    <w:rsid w:val="0027793E"/>
    <w:rsid w:val="00277C5D"/>
    <w:rsid w:val="002800FF"/>
    <w:rsid w:val="00280315"/>
    <w:rsid w:val="002803CC"/>
    <w:rsid w:val="00280645"/>
    <w:rsid w:val="00280798"/>
    <w:rsid w:val="00280C4E"/>
    <w:rsid w:val="00281090"/>
    <w:rsid w:val="0028114D"/>
    <w:rsid w:val="002811F9"/>
    <w:rsid w:val="00281207"/>
    <w:rsid w:val="00281344"/>
    <w:rsid w:val="00281345"/>
    <w:rsid w:val="002813C5"/>
    <w:rsid w:val="002814BE"/>
    <w:rsid w:val="00281616"/>
    <w:rsid w:val="00281951"/>
    <w:rsid w:val="00281BE7"/>
    <w:rsid w:val="00281D78"/>
    <w:rsid w:val="00282126"/>
    <w:rsid w:val="00282376"/>
    <w:rsid w:val="002824DC"/>
    <w:rsid w:val="002825AB"/>
    <w:rsid w:val="0028288F"/>
    <w:rsid w:val="00282ACC"/>
    <w:rsid w:val="00282EE2"/>
    <w:rsid w:val="00282FA3"/>
    <w:rsid w:val="002831C0"/>
    <w:rsid w:val="0028330D"/>
    <w:rsid w:val="002833FE"/>
    <w:rsid w:val="002835C1"/>
    <w:rsid w:val="00283679"/>
    <w:rsid w:val="00283882"/>
    <w:rsid w:val="00283BB8"/>
    <w:rsid w:val="00284086"/>
    <w:rsid w:val="00284225"/>
    <w:rsid w:val="00284332"/>
    <w:rsid w:val="002844F0"/>
    <w:rsid w:val="00284506"/>
    <w:rsid w:val="002846E2"/>
    <w:rsid w:val="0028477D"/>
    <w:rsid w:val="00284794"/>
    <w:rsid w:val="00284D7A"/>
    <w:rsid w:val="00284E5C"/>
    <w:rsid w:val="002850AE"/>
    <w:rsid w:val="002851A2"/>
    <w:rsid w:val="00285495"/>
    <w:rsid w:val="0028559E"/>
    <w:rsid w:val="00285CA0"/>
    <w:rsid w:val="002860D1"/>
    <w:rsid w:val="00286604"/>
    <w:rsid w:val="00286676"/>
    <w:rsid w:val="002867C3"/>
    <w:rsid w:val="002869AF"/>
    <w:rsid w:val="00286CE0"/>
    <w:rsid w:val="00286D88"/>
    <w:rsid w:val="00286EB2"/>
    <w:rsid w:val="00286F7B"/>
    <w:rsid w:val="0028733C"/>
    <w:rsid w:val="00287393"/>
    <w:rsid w:val="00287483"/>
    <w:rsid w:val="0028777D"/>
    <w:rsid w:val="002878C4"/>
    <w:rsid w:val="00287A7C"/>
    <w:rsid w:val="00287ABA"/>
    <w:rsid w:val="00287AD8"/>
    <w:rsid w:val="00287AF0"/>
    <w:rsid w:val="00287C9E"/>
    <w:rsid w:val="00287ED8"/>
    <w:rsid w:val="00287FCA"/>
    <w:rsid w:val="00290149"/>
    <w:rsid w:val="00290402"/>
    <w:rsid w:val="00290434"/>
    <w:rsid w:val="00290597"/>
    <w:rsid w:val="0029077B"/>
    <w:rsid w:val="002908A9"/>
    <w:rsid w:val="002908E2"/>
    <w:rsid w:val="002908ED"/>
    <w:rsid w:val="00290B03"/>
    <w:rsid w:val="00290D71"/>
    <w:rsid w:val="00290FF4"/>
    <w:rsid w:val="0029104A"/>
    <w:rsid w:val="002913A1"/>
    <w:rsid w:val="0029169E"/>
    <w:rsid w:val="00291787"/>
    <w:rsid w:val="0029185C"/>
    <w:rsid w:val="00291A53"/>
    <w:rsid w:val="00291F60"/>
    <w:rsid w:val="0029221C"/>
    <w:rsid w:val="00292228"/>
    <w:rsid w:val="0029246E"/>
    <w:rsid w:val="00292607"/>
    <w:rsid w:val="0029270D"/>
    <w:rsid w:val="0029281F"/>
    <w:rsid w:val="00292B78"/>
    <w:rsid w:val="00292E3D"/>
    <w:rsid w:val="00293158"/>
    <w:rsid w:val="00293318"/>
    <w:rsid w:val="002934CB"/>
    <w:rsid w:val="0029352F"/>
    <w:rsid w:val="00293AF8"/>
    <w:rsid w:val="00293C0E"/>
    <w:rsid w:val="00293E04"/>
    <w:rsid w:val="00293E6F"/>
    <w:rsid w:val="0029406B"/>
    <w:rsid w:val="00294187"/>
    <w:rsid w:val="002943B4"/>
    <w:rsid w:val="00294507"/>
    <w:rsid w:val="0029450B"/>
    <w:rsid w:val="002947BA"/>
    <w:rsid w:val="002948CC"/>
    <w:rsid w:val="002949F4"/>
    <w:rsid w:val="00294A68"/>
    <w:rsid w:val="00294A7B"/>
    <w:rsid w:val="00294AFC"/>
    <w:rsid w:val="002951C2"/>
    <w:rsid w:val="002952DE"/>
    <w:rsid w:val="00295325"/>
    <w:rsid w:val="00295393"/>
    <w:rsid w:val="00295743"/>
    <w:rsid w:val="002958E2"/>
    <w:rsid w:val="00295AA9"/>
    <w:rsid w:val="00295C60"/>
    <w:rsid w:val="00295E99"/>
    <w:rsid w:val="00296072"/>
    <w:rsid w:val="002960F9"/>
    <w:rsid w:val="00296281"/>
    <w:rsid w:val="00296A44"/>
    <w:rsid w:val="00296C42"/>
    <w:rsid w:val="00296C5E"/>
    <w:rsid w:val="00296D9B"/>
    <w:rsid w:val="00296F73"/>
    <w:rsid w:val="002970DA"/>
    <w:rsid w:val="00297576"/>
    <w:rsid w:val="00297624"/>
    <w:rsid w:val="0029799D"/>
    <w:rsid w:val="002A01E5"/>
    <w:rsid w:val="002A05F9"/>
    <w:rsid w:val="002A0A62"/>
    <w:rsid w:val="002A0F5C"/>
    <w:rsid w:val="002A0FD3"/>
    <w:rsid w:val="002A1367"/>
    <w:rsid w:val="002A138A"/>
    <w:rsid w:val="002A1424"/>
    <w:rsid w:val="002A14CD"/>
    <w:rsid w:val="002A174E"/>
    <w:rsid w:val="002A17E0"/>
    <w:rsid w:val="002A18F7"/>
    <w:rsid w:val="002A1DF8"/>
    <w:rsid w:val="002A1E50"/>
    <w:rsid w:val="002A2031"/>
    <w:rsid w:val="002A22ED"/>
    <w:rsid w:val="002A23D7"/>
    <w:rsid w:val="002A2451"/>
    <w:rsid w:val="002A253E"/>
    <w:rsid w:val="002A2DD9"/>
    <w:rsid w:val="002A31F9"/>
    <w:rsid w:val="002A358E"/>
    <w:rsid w:val="002A362F"/>
    <w:rsid w:val="002A395D"/>
    <w:rsid w:val="002A3A94"/>
    <w:rsid w:val="002A3AC2"/>
    <w:rsid w:val="002A3CB1"/>
    <w:rsid w:val="002A3D59"/>
    <w:rsid w:val="002A3DC4"/>
    <w:rsid w:val="002A3E74"/>
    <w:rsid w:val="002A4097"/>
    <w:rsid w:val="002A421B"/>
    <w:rsid w:val="002A4560"/>
    <w:rsid w:val="002A4635"/>
    <w:rsid w:val="002A46B7"/>
    <w:rsid w:val="002A486A"/>
    <w:rsid w:val="002A4A9E"/>
    <w:rsid w:val="002A4C88"/>
    <w:rsid w:val="002A4D60"/>
    <w:rsid w:val="002A4FC4"/>
    <w:rsid w:val="002A5077"/>
    <w:rsid w:val="002A50C3"/>
    <w:rsid w:val="002A5337"/>
    <w:rsid w:val="002A5502"/>
    <w:rsid w:val="002A5516"/>
    <w:rsid w:val="002A5580"/>
    <w:rsid w:val="002A5819"/>
    <w:rsid w:val="002A590C"/>
    <w:rsid w:val="002A5A5D"/>
    <w:rsid w:val="002A5AB8"/>
    <w:rsid w:val="002A5BB3"/>
    <w:rsid w:val="002A60A0"/>
    <w:rsid w:val="002A6674"/>
    <w:rsid w:val="002A68D6"/>
    <w:rsid w:val="002A6900"/>
    <w:rsid w:val="002A6D35"/>
    <w:rsid w:val="002A6FA7"/>
    <w:rsid w:val="002A71D6"/>
    <w:rsid w:val="002A72FD"/>
    <w:rsid w:val="002A757C"/>
    <w:rsid w:val="002A7709"/>
    <w:rsid w:val="002A781B"/>
    <w:rsid w:val="002A7A80"/>
    <w:rsid w:val="002A7B6B"/>
    <w:rsid w:val="002A7B92"/>
    <w:rsid w:val="002A7F22"/>
    <w:rsid w:val="002A7FC6"/>
    <w:rsid w:val="002A7FC8"/>
    <w:rsid w:val="002B0046"/>
    <w:rsid w:val="002B0095"/>
    <w:rsid w:val="002B0234"/>
    <w:rsid w:val="002B0269"/>
    <w:rsid w:val="002B03E7"/>
    <w:rsid w:val="002B040D"/>
    <w:rsid w:val="002B08CC"/>
    <w:rsid w:val="002B0CFC"/>
    <w:rsid w:val="002B138E"/>
    <w:rsid w:val="002B14C9"/>
    <w:rsid w:val="002B14D6"/>
    <w:rsid w:val="002B152E"/>
    <w:rsid w:val="002B166E"/>
    <w:rsid w:val="002B16DD"/>
    <w:rsid w:val="002B17DC"/>
    <w:rsid w:val="002B1A78"/>
    <w:rsid w:val="002B1AD4"/>
    <w:rsid w:val="002B1BB8"/>
    <w:rsid w:val="002B1BDC"/>
    <w:rsid w:val="002B1C6C"/>
    <w:rsid w:val="002B1FAE"/>
    <w:rsid w:val="002B20DA"/>
    <w:rsid w:val="002B24C1"/>
    <w:rsid w:val="002B27F4"/>
    <w:rsid w:val="002B2CA8"/>
    <w:rsid w:val="002B2EB5"/>
    <w:rsid w:val="002B2FC5"/>
    <w:rsid w:val="002B2FD5"/>
    <w:rsid w:val="002B312A"/>
    <w:rsid w:val="002B33B9"/>
    <w:rsid w:val="002B365E"/>
    <w:rsid w:val="002B366C"/>
    <w:rsid w:val="002B3956"/>
    <w:rsid w:val="002B3A04"/>
    <w:rsid w:val="002B3BF3"/>
    <w:rsid w:val="002B3D21"/>
    <w:rsid w:val="002B3D35"/>
    <w:rsid w:val="002B3DCD"/>
    <w:rsid w:val="002B4072"/>
    <w:rsid w:val="002B4089"/>
    <w:rsid w:val="002B4267"/>
    <w:rsid w:val="002B430A"/>
    <w:rsid w:val="002B4568"/>
    <w:rsid w:val="002B4876"/>
    <w:rsid w:val="002B4907"/>
    <w:rsid w:val="002B4956"/>
    <w:rsid w:val="002B49CD"/>
    <w:rsid w:val="002B4C6A"/>
    <w:rsid w:val="002B4F25"/>
    <w:rsid w:val="002B4F99"/>
    <w:rsid w:val="002B5160"/>
    <w:rsid w:val="002B53D9"/>
    <w:rsid w:val="002B5508"/>
    <w:rsid w:val="002B558C"/>
    <w:rsid w:val="002B55FB"/>
    <w:rsid w:val="002B56F4"/>
    <w:rsid w:val="002B5739"/>
    <w:rsid w:val="002B5769"/>
    <w:rsid w:val="002B579C"/>
    <w:rsid w:val="002B5A9B"/>
    <w:rsid w:val="002B5EE4"/>
    <w:rsid w:val="002B603D"/>
    <w:rsid w:val="002B62FD"/>
    <w:rsid w:val="002B63DE"/>
    <w:rsid w:val="002B64C9"/>
    <w:rsid w:val="002B6501"/>
    <w:rsid w:val="002B66C6"/>
    <w:rsid w:val="002B6752"/>
    <w:rsid w:val="002B67AE"/>
    <w:rsid w:val="002B6884"/>
    <w:rsid w:val="002B6943"/>
    <w:rsid w:val="002B6BAD"/>
    <w:rsid w:val="002B6E0A"/>
    <w:rsid w:val="002B6F1E"/>
    <w:rsid w:val="002B6F23"/>
    <w:rsid w:val="002B7094"/>
    <w:rsid w:val="002B70A5"/>
    <w:rsid w:val="002B7137"/>
    <w:rsid w:val="002B759B"/>
    <w:rsid w:val="002B76D0"/>
    <w:rsid w:val="002B793B"/>
    <w:rsid w:val="002B7A22"/>
    <w:rsid w:val="002B7B74"/>
    <w:rsid w:val="002C014D"/>
    <w:rsid w:val="002C088B"/>
    <w:rsid w:val="002C08CB"/>
    <w:rsid w:val="002C0B03"/>
    <w:rsid w:val="002C0E22"/>
    <w:rsid w:val="002C0EC9"/>
    <w:rsid w:val="002C10D5"/>
    <w:rsid w:val="002C1412"/>
    <w:rsid w:val="002C1493"/>
    <w:rsid w:val="002C1521"/>
    <w:rsid w:val="002C162A"/>
    <w:rsid w:val="002C1648"/>
    <w:rsid w:val="002C1A11"/>
    <w:rsid w:val="002C1BB2"/>
    <w:rsid w:val="002C1D37"/>
    <w:rsid w:val="002C1E93"/>
    <w:rsid w:val="002C1F71"/>
    <w:rsid w:val="002C2076"/>
    <w:rsid w:val="002C2847"/>
    <w:rsid w:val="002C293D"/>
    <w:rsid w:val="002C2A59"/>
    <w:rsid w:val="002C2D65"/>
    <w:rsid w:val="002C3239"/>
    <w:rsid w:val="002C331C"/>
    <w:rsid w:val="002C37BC"/>
    <w:rsid w:val="002C3B86"/>
    <w:rsid w:val="002C3F47"/>
    <w:rsid w:val="002C44C4"/>
    <w:rsid w:val="002C4AC4"/>
    <w:rsid w:val="002C4B31"/>
    <w:rsid w:val="002C4CC9"/>
    <w:rsid w:val="002C4ECE"/>
    <w:rsid w:val="002C4F1F"/>
    <w:rsid w:val="002C5639"/>
    <w:rsid w:val="002C5881"/>
    <w:rsid w:val="002C58DB"/>
    <w:rsid w:val="002C5BE6"/>
    <w:rsid w:val="002C5BFD"/>
    <w:rsid w:val="002C5C67"/>
    <w:rsid w:val="002C5CBF"/>
    <w:rsid w:val="002C5CF4"/>
    <w:rsid w:val="002C5FA2"/>
    <w:rsid w:val="002C61F3"/>
    <w:rsid w:val="002C6470"/>
    <w:rsid w:val="002C6547"/>
    <w:rsid w:val="002C65A4"/>
    <w:rsid w:val="002C65E2"/>
    <w:rsid w:val="002C6662"/>
    <w:rsid w:val="002C67FA"/>
    <w:rsid w:val="002C682A"/>
    <w:rsid w:val="002C697B"/>
    <w:rsid w:val="002C699A"/>
    <w:rsid w:val="002C6A93"/>
    <w:rsid w:val="002C6B86"/>
    <w:rsid w:val="002C705D"/>
    <w:rsid w:val="002C7183"/>
    <w:rsid w:val="002C75B8"/>
    <w:rsid w:val="002C76AC"/>
    <w:rsid w:val="002C77E9"/>
    <w:rsid w:val="002C78C7"/>
    <w:rsid w:val="002C78E5"/>
    <w:rsid w:val="002C78E8"/>
    <w:rsid w:val="002C78F7"/>
    <w:rsid w:val="002C7C59"/>
    <w:rsid w:val="002C7CBE"/>
    <w:rsid w:val="002D01F2"/>
    <w:rsid w:val="002D0416"/>
    <w:rsid w:val="002D0648"/>
    <w:rsid w:val="002D072A"/>
    <w:rsid w:val="002D0736"/>
    <w:rsid w:val="002D07FA"/>
    <w:rsid w:val="002D085D"/>
    <w:rsid w:val="002D08B8"/>
    <w:rsid w:val="002D09D5"/>
    <w:rsid w:val="002D0DAE"/>
    <w:rsid w:val="002D0E0A"/>
    <w:rsid w:val="002D0ED8"/>
    <w:rsid w:val="002D10D0"/>
    <w:rsid w:val="002D17DB"/>
    <w:rsid w:val="002D17EB"/>
    <w:rsid w:val="002D1D53"/>
    <w:rsid w:val="002D1DF8"/>
    <w:rsid w:val="002D1EB7"/>
    <w:rsid w:val="002D1FA6"/>
    <w:rsid w:val="002D1FEF"/>
    <w:rsid w:val="002D2297"/>
    <w:rsid w:val="002D2928"/>
    <w:rsid w:val="002D2929"/>
    <w:rsid w:val="002D2F35"/>
    <w:rsid w:val="002D3703"/>
    <w:rsid w:val="002D3828"/>
    <w:rsid w:val="002D38E3"/>
    <w:rsid w:val="002D39D2"/>
    <w:rsid w:val="002D3A2C"/>
    <w:rsid w:val="002D412B"/>
    <w:rsid w:val="002D42F0"/>
    <w:rsid w:val="002D47A9"/>
    <w:rsid w:val="002D4837"/>
    <w:rsid w:val="002D48FB"/>
    <w:rsid w:val="002D4BD9"/>
    <w:rsid w:val="002D4F4F"/>
    <w:rsid w:val="002D4F62"/>
    <w:rsid w:val="002D58BF"/>
    <w:rsid w:val="002D5929"/>
    <w:rsid w:val="002D5AF1"/>
    <w:rsid w:val="002D5BF1"/>
    <w:rsid w:val="002D5C54"/>
    <w:rsid w:val="002D5F08"/>
    <w:rsid w:val="002D5F37"/>
    <w:rsid w:val="002D609A"/>
    <w:rsid w:val="002D63A9"/>
    <w:rsid w:val="002D683D"/>
    <w:rsid w:val="002D6B1C"/>
    <w:rsid w:val="002D6B47"/>
    <w:rsid w:val="002D6E4F"/>
    <w:rsid w:val="002D7177"/>
    <w:rsid w:val="002D73B2"/>
    <w:rsid w:val="002D77D3"/>
    <w:rsid w:val="002D77E3"/>
    <w:rsid w:val="002D7857"/>
    <w:rsid w:val="002D7A09"/>
    <w:rsid w:val="002D7CF1"/>
    <w:rsid w:val="002D7CFA"/>
    <w:rsid w:val="002E0064"/>
    <w:rsid w:val="002E02B9"/>
    <w:rsid w:val="002E045E"/>
    <w:rsid w:val="002E0482"/>
    <w:rsid w:val="002E0640"/>
    <w:rsid w:val="002E0849"/>
    <w:rsid w:val="002E09EF"/>
    <w:rsid w:val="002E0B33"/>
    <w:rsid w:val="002E0C8E"/>
    <w:rsid w:val="002E0D2C"/>
    <w:rsid w:val="002E0FD3"/>
    <w:rsid w:val="002E1046"/>
    <w:rsid w:val="002E1061"/>
    <w:rsid w:val="002E10FF"/>
    <w:rsid w:val="002E1114"/>
    <w:rsid w:val="002E17C8"/>
    <w:rsid w:val="002E192B"/>
    <w:rsid w:val="002E1A71"/>
    <w:rsid w:val="002E1E59"/>
    <w:rsid w:val="002E1FBD"/>
    <w:rsid w:val="002E2203"/>
    <w:rsid w:val="002E2425"/>
    <w:rsid w:val="002E2519"/>
    <w:rsid w:val="002E26CF"/>
    <w:rsid w:val="002E28EF"/>
    <w:rsid w:val="002E2AB5"/>
    <w:rsid w:val="002E2DD1"/>
    <w:rsid w:val="002E30C8"/>
    <w:rsid w:val="002E33B2"/>
    <w:rsid w:val="002E3496"/>
    <w:rsid w:val="002E34D4"/>
    <w:rsid w:val="002E3601"/>
    <w:rsid w:val="002E39E9"/>
    <w:rsid w:val="002E3C28"/>
    <w:rsid w:val="002E3DEB"/>
    <w:rsid w:val="002E3E2B"/>
    <w:rsid w:val="002E3FD4"/>
    <w:rsid w:val="002E410C"/>
    <w:rsid w:val="002E4256"/>
    <w:rsid w:val="002E4527"/>
    <w:rsid w:val="002E4647"/>
    <w:rsid w:val="002E46C3"/>
    <w:rsid w:val="002E49DB"/>
    <w:rsid w:val="002E4A62"/>
    <w:rsid w:val="002E4C9E"/>
    <w:rsid w:val="002E4EA1"/>
    <w:rsid w:val="002E4EFD"/>
    <w:rsid w:val="002E4F6E"/>
    <w:rsid w:val="002E4FA3"/>
    <w:rsid w:val="002E51A3"/>
    <w:rsid w:val="002E52F9"/>
    <w:rsid w:val="002E57DF"/>
    <w:rsid w:val="002E5A10"/>
    <w:rsid w:val="002E5D38"/>
    <w:rsid w:val="002E5E95"/>
    <w:rsid w:val="002E5EC7"/>
    <w:rsid w:val="002E5EE6"/>
    <w:rsid w:val="002E606F"/>
    <w:rsid w:val="002E6337"/>
    <w:rsid w:val="002E6339"/>
    <w:rsid w:val="002E6386"/>
    <w:rsid w:val="002E66FE"/>
    <w:rsid w:val="002E683E"/>
    <w:rsid w:val="002E6CA5"/>
    <w:rsid w:val="002E6FE6"/>
    <w:rsid w:val="002E7056"/>
    <w:rsid w:val="002E7445"/>
    <w:rsid w:val="002E7496"/>
    <w:rsid w:val="002E7829"/>
    <w:rsid w:val="002E7887"/>
    <w:rsid w:val="002E7B6F"/>
    <w:rsid w:val="002E7CA7"/>
    <w:rsid w:val="002E7CD6"/>
    <w:rsid w:val="002F008B"/>
    <w:rsid w:val="002F0788"/>
    <w:rsid w:val="002F0A4F"/>
    <w:rsid w:val="002F0EB1"/>
    <w:rsid w:val="002F0F3C"/>
    <w:rsid w:val="002F12EA"/>
    <w:rsid w:val="002F14C7"/>
    <w:rsid w:val="002F15D3"/>
    <w:rsid w:val="002F15F1"/>
    <w:rsid w:val="002F1713"/>
    <w:rsid w:val="002F1790"/>
    <w:rsid w:val="002F188C"/>
    <w:rsid w:val="002F1A8A"/>
    <w:rsid w:val="002F1DBB"/>
    <w:rsid w:val="002F20A3"/>
    <w:rsid w:val="002F20E7"/>
    <w:rsid w:val="002F2210"/>
    <w:rsid w:val="002F23BF"/>
    <w:rsid w:val="002F268E"/>
    <w:rsid w:val="002F276B"/>
    <w:rsid w:val="002F2B8F"/>
    <w:rsid w:val="002F2E77"/>
    <w:rsid w:val="002F2F51"/>
    <w:rsid w:val="002F2F75"/>
    <w:rsid w:val="002F3131"/>
    <w:rsid w:val="002F32B7"/>
    <w:rsid w:val="002F3417"/>
    <w:rsid w:val="002F349E"/>
    <w:rsid w:val="002F34F3"/>
    <w:rsid w:val="002F3512"/>
    <w:rsid w:val="002F35AD"/>
    <w:rsid w:val="002F35D5"/>
    <w:rsid w:val="002F37B6"/>
    <w:rsid w:val="002F3A1F"/>
    <w:rsid w:val="002F3A33"/>
    <w:rsid w:val="002F3DFF"/>
    <w:rsid w:val="002F4061"/>
    <w:rsid w:val="002F40C6"/>
    <w:rsid w:val="002F40D6"/>
    <w:rsid w:val="002F4198"/>
    <w:rsid w:val="002F44AA"/>
    <w:rsid w:val="002F44C2"/>
    <w:rsid w:val="002F47B6"/>
    <w:rsid w:val="002F4877"/>
    <w:rsid w:val="002F4A1D"/>
    <w:rsid w:val="002F4EFE"/>
    <w:rsid w:val="002F4FBC"/>
    <w:rsid w:val="002F5135"/>
    <w:rsid w:val="002F51E4"/>
    <w:rsid w:val="002F51E6"/>
    <w:rsid w:val="002F52A6"/>
    <w:rsid w:val="002F54E7"/>
    <w:rsid w:val="002F55F4"/>
    <w:rsid w:val="002F585A"/>
    <w:rsid w:val="002F592C"/>
    <w:rsid w:val="002F5B7E"/>
    <w:rsid w:val="002F5F31"/>
    <w:rsid w:val="002F5F95"/>
    <w:rsid w:val="002F5FB0"/>
    <w:rsid w:val="002F5FEE"/>
    <w:rsid w:val="002F61B8"/>
    <w:rsid w:val="002F6996"/>
    <w:rsid w:val="002F6BD9"/>
    <w:rsid w:val="002F6C5E"/>
    <w:rsid w:val="002F6E9F"/>
    <w:rsid w:val="003002F5"/>
    <w:rsid w:val="00300426"/>
    <w:rsid w:val="003005AB"/>
    <w:rsid w:val="00300802"/>
    <w:rsid w:val="00300A8C"/>
    <w:rsid w:val="003011A2"/>
    <w:rsid w:val="003012CF"/>
    <w:rsid w:val="00301411"/>
    <w:rsid w:val="0030150D"/>
    <w:rsid w:val="00301CB7"/>
    <w:rsid w:val="00301E8A"/>
    <w:rsid w:val="00301F24"/>
    <w:rsid w:val="003020E6"/>
    <w:rsid w:val="003021ED"/>
    <w:rsid w:val="003022F7"/>
    <w:rsid w:val="00302445"/>
    <w:rsid w:val="00302485"/>
    <w:rsid w:val="003024BE"/>
    <w:rsid w:val="0030252B"/>
    <w:rsid w:val="003026CD"/>
    <w:rsid w:val="00302713"/>
    <w:rsid w:val="00302819"/>
    <w:rsid w:val="003028A6"/>
    <w:rsid w:val="00302F69"/>
    <w:rsid w:val="00302FE3"/>
    <w:rsid w:val="00303050"/>
    <w:rsid w:val="0030320D"/>
    <w:rsid w:val="003032F4"/>
    <w:rsid w:val="00303464"/>
    <w:rsid w:val="00303768"/>
    <w:rsid w:val="0030387B"/>
    <w:rsid w:val="0030391E"/>
    <w:rsid w:val="00303E3A"/>
    <w:rsid w:val="00303FB1"/>
    <w:rsid w:val="003040B3"/>
    <w:rsid w:val="00304193"/>
    <w:rsid w:val="003041FA"/>
    <w:rsid w:val="003043FE"/>
    <w:rsid w:val="00304493"/>
    <w:rsid w:val="00304542"/>
    <w:rsid w:val="00304546"/>
    <w:rsid w:val="00304A7B"/>
    <w:rsid w:val="00304BF6"/>
    <w:rsid w:val="0030526F"/>
    <w:rsid w:val="00305673"/>
    <w:rsid w:val="00305B84"/>
    <w:rsid w:val="00305C0C"/>
    <w:rsid w:val="00305D41"/>
    <w:rsid w:val="00305E61"/>
    <w:rsid w:val="003062C6"/>
    <w:rsid w:val="003062D4"/>
    <w:rsid w:val="00306359"/>
    <w:rsid w:val="003063E1"/>
    <w:rsid w:val="0030653F"/>
    <w:rsid w:val="003066F9"/>
    <w:rsid w:val="0030696D"/>
    <w:rsid w:val="00306AB6"/>
    <w:rsid w:val="00306D97"/>
    <w:rsid w:val="0030708E"/>
    <w:rsid w:val="0030731E"/>
    <w:rsid w:val="00307498"/>
    <w:rsid w:val="00307912"/>
    <w:rsid w:val="003079FF"/>
    <w:rsid w:val="00307CE6"/>
    <w:rsid w:val="00307CFC"/>
    <w:rsid w:val="00307D86"/>
    <w:rsid w:val="00307DC2"/>
    <w:rsid w:val="00307FDE"/>
    <w:rsid w:val="0031009D"/>
    <w:rsid w:val="0031035D"/>
    <w:rsid w:val="00310383"/>
    <w:rsid w:val="00310C9D"/>
    <w:rsid w:val="00310CBF"/>
    <w:rsid w:val="00310DB8"/>
    <w:rsid w:val="00310E4C"/>
    <w:rsid w:val="0031149A"/>
    <w:rsid w:val="003114C9"/>
    <w:rsid w:val="00311958"/>
    <w:rsid w:val="00311A20"/>
    <w:rsid w:val="00311AAE"/>
    <w:rsid w:val="00311B8B"/>
    <w:rsid w:val="00311BB0"/>
    <w:rsid w:val="00312125"/>
    <w:rsid w:val="00312794"/>
    <w:rsid w:val="0031280B"/>
    <w:rsid w:val="00312D94"/>
    <w:rsid w:val="00313004"/>
    <w:rsid w:val="003133AF"/>
    <w:rsid w:val="003134D2"/>
    <w:rsid w:val="00313785"/>
    <w:rsid w:val="00313835"/>
    <w:rsid w:val="003138D0"/>
    <w:rsid w:val="00313A16"/>
    <w:rsid w:val="00313BA4"/>
    <w:rsid w:val="00313DB8"/>
    <w:rsid w:val="00313E11"/>
    <w:rsid w:val="00314117"/>
    <w:rsid w:val="003143E8"/>
    <w:rsid w:val="00314435"/>
    <w:rsid w:val="00314534"/>
    <w:rsid w:val="0031479A"/>
    <w:rsid w:val="00314D87"/>
    <w:rsid w:val="00315083"/>
    <w:rsid w:val="003152BB"/>
    <w:rsid w:val="003153AF"/>
    <w:rsid w:val="003153DE"/>
    <w:rsid w:val="0031543F"/>
    <w:rsid w:val="003154D4"/>
    <w:rsid w:val="0031560C"/>
    <w:rsid w:val="00315610"/>
    <w:rsid w:val="00315945"/>
    <w:rsid w:val="00315977"/>
    <w:rsid w:val="00315A23"/>
    <w:rsid w:val="00315B1A"/>
    <w:rsid w:val="00315B1D"/>
    <w:rsid w:val="00315CA4"/>
    <w:rsid w:val="00315E96"/>
    <w:rsid w:val="00316002"/>
    <w:rsid w:val="0031608A"/>
    <w:rsid w:val="0031699D"/>
    <w:rsid w:val="00316BDD"/>
    <w:rsid w:val="00316D1A"/>
    <w:rsid w:val="00316E32"/>
    <w:rsid w:val="003173A8"/>
    <w:rsid w:val="00317652"/>
    <w:rsid w:val="00317914"/>
    <w:rsid w:val="00317928"/>
    <w:rsid w:val="00317A43"/>
    <w:rsid w:val="00317A81"/>
    <w:rsid w:val="00317AF6"/>
    <w:rsid w:val="00317CEF"/>
    <w:rsid w:val="00320043"/>
    <w:rsid w:val="00320183"/>
    <w:rsid w:val="0032025E"/>
    <w:rsid w:val="0032036B"/>
    <w:rsid w:val="0032051D"/>
    <w:rsid w:val="00320592"/>
    <w:rsid w:val="00320870"/>
    <w:rsid w:val="003209BD"/>
    <w:rsid w:val="003211A8"/>
    <w:rsid w:val="003213EB"/>
    <w:rsid w:val="003217CF"/>
    <w:rsid w:val="003217F4"/>
    <w:rsid w:val="00321896"/>
    <w:rsid w:val="00321E8C"/>
    <w:rsid w:val="00321EFD"/>
    <w:rsid w:val="00321F76"/>
    <w:rsid w:val="00322209"/>
    <w:rsid w:val="003224E8"/>
    <w:rsid w:val="00322587"/>
    <w:rsid w:val="003225D6"/>
    <w:rsid w:val="00322BF6"/>
    <w:rsid w:val="00322CC3"/>
    <w:rsid w:val="00322CE2"/>
    <w:rsid w:val="00322E09"/>
    <w:rsid w:val="00323176"/>
    <w:rsid w:val="003234D9"/>
    <w:rsid w:val="00323575"/>
    <w:rsid w:val="0032371C"/>
    <w:rsid w:val="0032386A"/>
    <w:rsid w:val="0032390A"/>
    <w:rsid w:val="00323F00"/>
    <w:rsid w:val="003241DA"/>
    <w:rsid w:val="00324319"/>
    <w:rsid w:val="00324326"/>
    <w:rsid w:val="00324626"/>
    <w:rsid w:val="00324C23"/>
    <w:rsid w:val="00324DBD"/>
    <w:rsid w:val="0032523B"/>
    <w:rsid w:val="003258AB"/>
    <w:rsid w:val="003258AC"/>
    <w:rsid w:val="00325AB3"/>
    <w:rsid w:val="00325B0F"/>
    <w:rsid w:val="00325C9A"/>
    <w:rsid w:val="00325DB3"/>
    <w:rsid w:val="00325E21"/>
    <w:rsid w:val="00325FB0"/>
    <w:rsid w:val="003260B8"/>
    <w:rsid w:val="0032613E"/>
    <w:rsid w:val="0032618E"/>
    <w:rsid w:val="00326253"/>
    <w:rsid w:val="00326442"/>
    <w:rsid w:val="003264B5"/>
    <w:rsid w:val="0032674D"/>
    <w:rsid w:val="00326E07"/>
    <w:rsid w:val="00326E30"/>
    <w:rsid w:val="00326F21"/>
    <w:rsid w:val="003274B0"/>
    <w:rsid w:val="00327642"/>
    <w:rsid w:val="00327667"/>
    <w:rsid w:val="003276AD"/>
    <w:rsid w:val="00327807"/>
    <w:rsid w:val="003278ED"/>
    <w:rsid w:val="00327948"/>
    <w:rsid w:val="0032795F"/>
    <w:rsid w:val="00327A83"/>
    <w:rsid w:val="00327CF2"/>
    <w:rsid w:val="00327E7B"/>
    <w:rsid w:val="003308A2"/>
    <w:rsid w:val="00330B42"/>
    <w:rsid w:val="00330EAA"/>
    <w:rsid w:val="00330F55"/>
    <w:rsid w:val="00330FBE"/>
    <w:rsid w:val="00330FCE"/>
    <w:rsid w:val="00331027"/>
    <w:rsid w:val="00331037"/>
    <w:rsid w:val="0033116A"/>
    <w:rsid w:val="00331188"/>
    <w:rsid w:val="00331442"/>
    <w:rsid w:val="0033169F"/>
    <w:rsid w:val="003318B9"/>
    <w:rsid w:val="00331C95"/>
    <w:rsid w:val="003320D8"/>
    <w:rsid w:val="0033227D"/>
    <w:rsid w:val="003323BE"/>
    <w:rsid w:val="0033276C"/>
    <w:rsid w:val="003327E2"/>
    <w:rsid w:val="00332F42"/>
    <w:rsid w:val="0033300C"/>
    <w:rsid w:val="0033397E"/>
    <w:rsid w:val="00333A4B"/>
    <w:rsid w:val="00333AC0"/>
    <w:rsid w:val="003341BB"/>
    <w:rsid w:val="003342D7"/>
    <w:rsid w:val="003343B5"/>
    <w:rsid w:val="003344FC"/>
    <w:rsid w:val="0033464F"/>
    <w:rsid w:val="003347A0"/>
    <w:rsid w:val="003347C7"/>
    <w:rsid w:val="003348AA"/>
    <w:rsid w:val="00334996"/>
    <w:rsid w:val="00334A16"/>
    <w:rsid w:val="00334A4C"/>
    <w:rsid w:val="00334AC4"/>
    <w:rsid w:val="00334B0C"/>
    <w:rsid w:val="00334B27"/>
    <w:rsid w:val="00334D06"/>
    <w:rsid w:val="00334FBD"/>
    <w:rsid w:val="003350E3"/>
    <w:rsid w:val="003351AA"/>
    <w:rsid w:val="00335353"/>
    <w:rsid w:val="00335910"/>
    <w:rsid w:val="00335A08"/>
    <w:rsid w:val="00336080"/>
    <w:rsid w:val="00336114"/>
    <w:rsid w:val="003362BA"/>
    <w:rsid w:val="00336C69"/>
    <w:rsid w:val="00336CED"/>
    <w:rsid w:val="00336D8D"/>
    <w:rsid w:val="00336DBB"/>
    <w:rsid w:val="00336E70"/>
    <w:rsid w:val="00336F0C"/>
    <w:rsid w:val="0033702C"/>
    <w:rsid w:val="003370C8"/>
    <w:rsid w:val="0033710F"/>
    <w:rsid w:val="003372B3"/>
    <w:rsid w:val="00337343"/>
    <w:rsid w:val="0033744F"/>
    <w:rsid w:val="00337621"/>
    <w:rsid w:val="00337978"/>
    <w:rsid w:val="003403E8"/>
    <w:rsid w:val="003406DD"/>
    <w:rsid w:val="00340AC0"/>
    <w:rsid w:val="00340D9F"/>
    <w:rsid w:val="00340E3F"/>
    <w:rsid w:val="00340FAA"/>
    <w:rsid w:val="003415BE"/>
    <w:rsid w:val="00341600"/>
    <w:rsid w:val="00341803"/>
    <w:rsid w:val="00342317"/>
    <w:rsid w:val="00342564"/>
    <w:rsid w:val="003427D8"/>
    <w:rsid w:val="00342830"/>
    <w:rsid w:val="00342D02"/>
    <w:rsid w:val="00342D7E"/>
    <w:rsid w:val="00342E81"/>
    <w:rsid w:val="00342E8B"/>
    <w:rsid w:val="00342FED"/>
    <w:rsid w:val="003430A3"/>
    <w:rsid w:val="00343503"/>
    <w:rsid w:val="0034352D"/>
    <w:rsid w:val="003438C0"/>
    <w:rsid w:val="00343968"/>
    <w:rsid w:val="003448D9"/>
    <w:rsid w:val="0034493F"/>
    <w:rsid w:val="00344942"/>
    <w:rsid w:val="00344D90"/>
    <w:rsid w:val="00344EBC"/>
    <w:rsid w:val="00344ED3"/>
    <w:rsid w:val="00344FB4"/>
    <w:rsid w:val="00345149"/>
    <w:rsid w:val="0034518F"/>
    <w:rsid w:val="003451AF"/>
    <w:rsid w:val="003451C9"/>
    <w:rsid w:val="0034546F"/>
    <w:rsid w:val="00345625"/>
    <w:rsid w:val="00345661"/>
    <w:rsid w:val="003456B4"/>
    <w:rsid w:val="003456FE"/>
    <w:rsid w:val="003458C2"/>
    <w:rsid w:val="00345A8D"/>
    <w:rsid w:val="00345C28"/>
    <w:rsid w:val="00345CCC"/>
    <w:rsid w:val="00345D64"/>
    <w:rsid w:val="00345DAA"/>
    <w:rsid w:val="00345DD9"/>
    <w:rsid w:val="00345EA9"/>
    <w:rsid w:val="00345FD3"/>
    <w:rsid w:val="00346425"/>
    <w:rsid w:val="003464EF"/>
    <w:rsid w:val="003464F8"/>
    <w:rsid w:val="003468BA"/>
    <w:rsid w:val="00346AE8"/>
    <w:rsid w:val="00346AF2"/>
    <w:rsid w:val="00346BF7"/>
    <w:rsid w:val="00346C92"/>
    <w:rsid w:val="00346DD3"/>
    <w:rsid w:val="00346E25"/>
    <w:rsid w:val="00346E8E"/>
    <w:rsid w:val="00346FEA"/>
    <w:rsid w:val="00347427"/>
    <w:rsid w:val="003474DA"/>
    <w:rsid w:val="00347685"/>
    <w:rsid w:val="003478D5"/>
    <w:rsid w:val="00347E06"/>
    <w:rsid w:val="00350129"/>
    <w:rsid w:val="003501EA"/>
    <w:rsid w:val="003504F8"/>
    <w:rsid w:val="003505B9"/>
    <w:rsid w:val="003505EC"/>
    <w:rsid w:val="00350607"/>
    <w:rsid w:val="00350668"/>
    <w:rsid w:val="0035081D"/>
    <w:rsid w:val="00350877"/>
    <w:rsid w:val="00350B93"/>
    <w:rsid w:val="00351783"/>
    <w:rsid w:val="0035187A"/>
    <w:rsid w:val="0035196D"/>
    <w:rsid w:val="00351A4C"/>
    <w:rsid w:val="00351ABD"/>
    <w:rsid w:val="00351E54"/>
    <w:rsid w:val="00351E7A"/>
    <w:rsid w:val="00351EC7"/>
    <w:rsid w:val="00351FB6"/>
    <w:rsid w:val="003521A0"/>
    <w:rsid w:val="0035243C"/>
    <w:rsid w:val="00352526"/>
    <w:rsid w:val="00352579"/>
    <w:rsid w:val="00352644"/>
    <w:rsid w:val="00352768"/>
    <w:rsid w:val="0035278D"/>
    <w:rsid w:val="003527AB"/>
    <w:rsid w:val="0035293D"/>
    <w:rsid w:val="00352BED"/>
    <w:rsid w:val="00352ED6"/>
    <w:rsid w:val="00353045"/>
    <w:rsid w:val="0035306C"/>
    <w:rsid w:val="00353099"/>
    <w:rsid w:val="00353158"/>
    <w:rsid w:val="00353261"/>
    <w:rsid w:val="00353270"/>
    <w:rsid w:val="003533A4"/>
    <w:rsid w:val="003534E8"/>
    <w:rsid w:val="003534EF"/>
    <w:rsid w:val="00353647"/>
    <w:rsid w:val="00353678"/>
    <w:rsid w:val="00353781"/>
    <w:rsid w:val="00353BFD"/>
    <w:rsid w:val="00354006"/>
    <w:rsid w:val="00354018"/>
    <w:rsid w:val="0035448B"/>
    <w:rsid w:val="003547FD"/>
    <w:rsid w:val="00354875"/>
    <w:rsid w:val="00354B43"/>
    <w:rsid w:val="00354BE6"/>
    <w:rsid w:val="00354D50"/>
    <w:rsid w:val="00355617"/>
    <w:rsid w:val="00355750"/>
    <w:rsid w:val="003557C9"/>
    <w:rsid w:val="00355EF0"/>
    <w:rsid w:val="0035625E"/>
    <w:rsid w:val="003562C8"/>
    <w:rsid w:val="00356C4D"/>
    <w:rsid w:val="003573A2"/>
    <w:rsid w:val="003574D0"/>
    <w:rsid w:val="003579CF"/>
    <w:rsid w:val="003579FC"/>
    <w:rsid w:val="00357A00"/>
    <w:rsid w:val="00357C67"/>
    <w:rsid w:val="00360236"/>
    <w:rsid w:val="0036025A"/>
    <w:rsid w:val="003602F5"/>
    <w:rsid w:val="00360725"/>
    <w:rsid w:val="00360BDD"/>
    <w:rsid w:val="00360C64"/>
    <w:rsid w:val="00360E5C"/>
    <w:rsid w:val="00360F20"/>
    <w:rsid w:val="003611A6"/>
    <w:rsid w:val="003611BD"/>
    <w:rsid w:val="0036130D"/>
    <w:rsid w:val="003613F8"/>
    <w:rsid w:val="00361478"/>
    <w:rsid w:val="0036155F"/>
    <w:rsid w:val="003616E5"/>
    <w:rsid w:val="00361744"/>
    <w:rsid w:val="0036191E"/>
    <w:rsid w:val="0036195F"/>
    <w:rsid w:val="00361E9F"/>
    <w:rsid w:val="003623BB"/>
    <w:rsid w:val="00362553"/>
    <w:rsid w:val="003625E9"/>
    <w:rsid w:val="00362750"/>
    <w:rsid w:val="003629A2"/>
    <w:rsid w:val="00362A5C"/>
    <w:rsid w:val="00362AB3"/>
    <w:rsid w:val="00362C49"/>
    <w:rsid w:val="00362DF0"/>
    <w:rsid w:val="00363112"/>
    <w:rsid w:val="00363279"/>
    <w:rsid w:val="00363614"/>
    <w:rsid w:val="0036380F"/>
    <w:rsid w:val="00363AAD"/>
    <w:rsid w:val="00363AC3"/>
    <w:rsid w:val="00363B2D"/>
    <w:rsid w:val="00363E50"/>
    <w:rsid w:val="00364883"/>
    <w:rsid w:val="00364F71"/>
    <w:rsid w:val="00364F85"/>
    <w:rsid w:val="00365123"/>
    <w:rsid w:val="003655DE"/>
    <w:rsid w:val="0036568D"/>
    <w:rsid w:val="00365C48"/>
    <w:rsid w:val="00365E08"/>
    <w:rsid w:val="00365E97"/>
    <w:rsid w:val="0036600F"/>
    <w:rsid w:val="00366231"/>
    <w:rsid w:val="00366523"/>
    <w:rsid w:val="00366623"/>
    <w:rsid w:val="0036671E"/>
    <w:rsid w:val="0036696F"/>
    <w:rsid w:val="0036699E"/>
    <w:rsid w:val="00366ABA"/>
    <w:rsid w:val="00366C6B"/>
    <w:rsid w:val="00366C91"/>
    <w:rsid w:val="00366CD9"/>
    <w:rsid w:val="00366CFC"/>
    <w:rsid w:val="00366E0A"/>
    <w:rsid w:val="00366ED7"/>
    <w:rsid w:val="00366EFF"/>
    <w:rsid w:val="00367689"/>
    <w:rsid w:val="0037042F"/>
    <w:rsid w:val="003704D0"/>
    <w:rsid w:val="00370501"/>
    <w:rsid w:val="00370781"/>
    <w:rsid w:val="00370934"/>
    <w:rsid w:val="00370BF0"/>
    <w:rsid w:val="00370C57"/>
    <w:rsid w:val="00370D29"/>
    <w:rsid w:val="003710DC"/>
    <w:rsid w:val="00371481"/>
    <w:rsid w:val="00371AA9"/>
    <w:rsid w:val="0037200E"/>
    <w:rsid w:val="003720E5"/>
    <w:rsid w:val="00372168"/>
    <w:rsid w:val="0037216E"/>
    <w:rsid w:val="00372201"/>
    <w:rsid w:val="0037223C"/>
    <w:rsid w:val="00372254"/>
    <w:rsid w:val="00372305"/>
    <w:rsid w:val="00372375"/>
    <w:rsid w:val="00372796"/>
    <w:rsid w:val="003727B5"/>
    <w:rsid w:val="003727E2"/>
    <w:rsid w:val="003728FE"/>
    <w:rsid w:val="00372951"/>
    <w:rsid w:val="00372A55"/>
    <w:rsid w:val="00372E5E"/>
    <w:rsid w:val="00372F23"/>
    <w:rsid w:val="00372F8D"/>
    <w:rsid w:val="0037314F"/>
    <w:rsid w:val="003731CF"/>
    <w:rsid w:val="00373320"/>
    <w:rsid w:val="00373581"/>
    <w:rsid w:val="0037386F"/>
    <w:rsid w:val="003738F9"/>
    <w:rsid w:val="003739C9"/>
    <w:rsid w:val="00373A00"/>
    <w:rsid w:val="00373C29"/>
    <w:rsid w:val="00373FE8"/>
    <w:rsid w:val="00374095"/>
    <w:rsid w:val="0037450D"/>
    <w:rsid w:val="00374518"/>
    <w:rsid w:val="0037453C"/>
    <w:rsid w:val="00374860"/>
    <w:rsid w:val="00374E32"/>
    <w:rsid w:val="00374FB7"/>
    <w:rsid w:val="00374FBE"/>
    <w:rsid w:val="0037503C"/>
    <w:rsid w:val="0037515D"/>
    <w:rsid w:val="0037533F"/>
    <w:rsid w:val="0037563A"/>
    <w:rsid w:val="00375666"/>
    <w:rsid w:val="00375D72"/>
    <w:rsid w:val="00375F96"/>
    <w:rsid w:val="003761B3"/>
    <w:rsid w:val="00376530"/>
    <w:rsid w:val="00376701"/>
    <w:rsid w:val="003767F6"/>
    <w:rsid w:val="00376ABD"/>
    <w:rsid w:val="00376BED"/>
    <w:rsid w:val="00376C03"/>
    <w:rsid w:val="00376C0F"/>
    <w:rsid w:val="00376E09"/>
    <w:rsid w:val="003770C7"/>
    <w:rsid w:val="00377129"/>
    <w:rsid w:val="003775D4"/>
    <w:rsid w:val="00377697"/>
    <w:rsid w:val="0037771C"/>
    <w:rsid w:val="003777FF"/>
    <w:rsid w:val="0037786C"/>
    <w:rsid w:val="0037795E"/>
    <w:rsid w:val="00377A07"/>
    <w:rsid w:val="00377FBD"/>
    <w:rsid w:val="003800B2"/>
    <w:rsid w:val="0038020D"/>
    <w:rsid w:val="003807BC"/>
    <w:rsid w:val="00380826"/>
    <w:rsid w:val="003809D0"/>
    <w:rsid w:val="00380A78"/>
    <w:rsid w:val="00380BC5"/>
    <w:rsid w:val="00380C69"/>
    <w:rsid w:val="0038104B"/>
    <w:rsid w:val="0038112C"/>
    <w:rsid w:val="00381451"/>
    <w:rsid w:val="003814B0"/>
    <w:rsid w:val="00381753"/>
    <w:rsid w:val="00381AED"/>
    <w:rsid w:val="00381EAC"/>
    <w:rsid w:val="0038211F"/>
    <w:rsid w:val="0038235C"/>
    <w:rsid w:val="0038238E"/>
    <w:rsid w:val="0038258C"/>
    <w:rsid w:val="00382ABD"/>
    <w:rsid w:val="00382B42"/>
    <w:rsid w:val="00382BCB"/>
    <w:rsid w:val="00382C9A"/>
    <w:rsid w:val="00382E0A"/>
    <w:rsid w:val="00382FEE"/>
    <w:rsid w:val="003832A1"/>
    <w:rsid w:val="003835C0"/>
    <w:rsid w:val="003835E7"/>
    <w:rsid w:val="0038365A"/>
    <w:rsid w:val="0038373B"/>
    <w:rsid w:val="00383764"/>
    <w:rsid w:val="00383E27"/>
    <w:rsid w:val="0038413A"/>
    <w:rsid w:val="0038417D"/>
    <w:rsid w:val="00384725"/>
    <w:rsid w:val="00384BCD"/>
    <w:rsid w:val="00384D05"/>
    <w:rsid w:val="00384D72"/>
    <w:rsid w:val="00384E91"/>
    <w:rsid w:val="0038519B"/>
    <w:rsid w:val="003856FE"/>
    <w:rsid w:val="003856FF"/>
    <w:rsid w:val="00385791"/>
    <w:rsid w:val="00385942"/>
    <w:rsid w:val="00385B54"/>
    <w:rsid w:val="00385BE8"/>
    <w:rsid w:val="00385CD8"/>
    <w:rsid w:val="00385DEE"/>
    <w:rsid w:val="00386231"/>
    <w:rsid w:val="00386353"/>
    <w:rsid w:val="00386472"/>
    <w:rsid w:val="003864D7"/>
    <w:rsid w:val="00386B7E"/>
    <w:rsid w:val="00386C63"/>
    <w:rsid w:val="00386DDC"/>
    <w:rsid w:val="0038727E"/>
    <w:rsid w:val="00387318"/>
    <w:rsid w:val="003873B9"/>
    <w:rsid w:val="003876A6"/>
    <w:rsid w:val="00387779"/>
    <w:rsid w:val="003877C9"/>
    <w:rsid w:val="00387859"/>
    <w:rsid w:val="00387974"/>
    <w:rsid w:val="00387BEB"/>
    <w:rsid w:val="00387F9F"/>
    <w:rsid w:val="003900BE"/>
    <w:rsid w:val="003902C2"/>
    <w:rsid w:val="00390375"/>
    <w:rsid w:val="0039058F"/>
    <w:rsid w:val="003906ED"/>
    <w:rsid w:val="003908E6"/>
    <w:rsid w:val="00390903"/>
    <w:rsid w:val="0039096E"/>
    <w:rsid w:val="00390E71"/>
    <w:rsid w:val="0039106A"/>
    <w:rsid w:val="00391073"/>
    <w:rsid w:val="003910F9"/>
    <w:rsid w:val="00391234"/>
    <w:rsid w:val="00391390"/>
    <w:rsid w:val="003913D8"/>
    <w:rsid w:val="0039141D"/>
    <w:rsid w:val="003918C5"/>
    <w:rsid w:val="00391A65"/>
    <w:rsid w:val="00391D2D"/>
    <w:rsid w:val="00391D8C"/>
    <w:rsid w:val="00391DF1"/>
    <w:rsid w:val="003922AA"/>
    <w:rsid w:val="00392504"/>
    <w:rsid w:val="00392538"/>
    <w:rsid w:val="003925B6"/>
    <w:rsid w:val="00392AB0"/>
    <w:rsid w:val="00392D1C"/>
    <w:rsid w:val="00392D93"/>
    <w:rsid w:val="00392F5E"/>
    <w:rsid w:val="00392FE2"/>
    <w:rsid w:val="003930EE"/>
    <w:rsid w:val="0039310C"/>
    <w:rsid w:val="0039310D"/>
    <w:rsid w:val="0039369E"/>
    <w:rsid w:val="00394082"/>
    <w:rsid w:val="00394123"/>
    <w:rsid w:val="00394212"/>
    <w:rsid w:val="00394322"/>
    <w:rsid w:val="0039439A"/>
    <w:rsid w:val="0039456E"/>
    <w:rsid w:val="00394657"/>
    <w:rsid w:val="003947E4"/>
    <w:rsid w:val="00394A94"/>
    <w:rsid w:val="00394EDE"/>
    <w:rsid w:val="00394EEC"/>
    <w:rsid w:val="003950B5"/>
    <w:rsid w:val="00395164"/>
    <w:rsid w:val="00395263"/>
    <w:rsid w:val="00395295"/>
    <w:rsid w:val="00395874"/>
    <w:rsid w:val="00395A77"/>
    <w:rsid w:val="00395FCD"/>
    <w:rsid w:val="00395FF0"/>
    <w:rsid w:val="00396145"/>
    <w:rsid w:val="00396344"/>
    <w:rsid w:val="003967CD"/>
    <w:rsid w:val="00396D8A"/>
    <w:rsid w:val="00397789"/>
    <w:rsid w:val="003978C3"/>
    <w:rsid w:val="00397A7D"/>
    <w:rsid w:val="00397D18"/>
    <w:rsid w:val="00397D77"/>
    <w:rsid w:val="00397E2F"/>
    <w:rsid w:val="00397F9A"/>
    <w:rsid w:val="003A0047"/>
    <w:rsid w:val="003A046F"/>
    <w:rsid w:val="003A07A8"/>
    <w:rsid w:val="003A082F"/>
    <w:rsid w:val="003A08E9"/>
    <w:rsid w:val="003A0CEF"/>
    <w:rsid w:val="003A1258"/>
    <w:rsid w:val="003A14C6"/>
    <w:rsid w:val="003A17E7"/>
    <w:rsid w:val="003A1A96"/>
    <w:rsid w:val="003A1B89"/>
    <w:rsid w:val="003A1FBC"/>
    <w:rsid w:val="003A20B4"/>
    <w:rsid w:val="003A21AF"/>
    <w:rsid w:val="003A21D2"/>
    <w:rsid w:val="003A2762"/>
    <w:rsid w:val="003A2970"/>
    <w:rsid w:val="003A2987"/>
    <w:rsid w:val="003A2C49"/>
    <w:rsid w:val="003A2CB9"/>
    <w:rsid w:val="003A2D3A"/>
    <w:rsid w:val="003A2D5B"/>
    <w:rsid w:val="003A2D81"/>
    <w:rsid w:val="003A2E65"/>
    <w:rsid w:val="003A35C3"/>
    <w:rsid w:val="003A3869"/>
    <w:rsid w:val="003A392D"/>
    <w:rsid w:val="003A3FA0"/>
    <w:rsid w:val="003A40D7"/>
    <w:rsid w:val="003A4253"/>
    <w:rsid w:val="003A4367"/>
    <w:rsid w:val="003A448A"/>
    <w:rsid w:val="003A45CF"/>
    <w:rsid w:val="003A47D6"/>
    <w:rsid w:val="003A4A89"/>
    <w:rsid w:val="003A4B83"/>
    <w:rsid w:val="003A4EB3"/>
    <w:rsid w:val="003A4F5F"/>
    <w:rsid w:val="003A5142"/>
    <w:rsid w:val="003A56DE"/>
    <w:rsid w:val="003A572D"/>
    <w:rsid w:val="003A5899"/>
    <w:rsid w:val="003A5A49"/>
    <w:rsid w:val="003A5B71"/>
    <w:rsid w:val="003A5D35"/>
    <w:rsid w:val="003A5E15"/>
    <w:rsid w:val="003A5E8D"/>
    <w:rsid w:val="003A60DA"/>
    <w:rsid w:val="003A63F2"/>
    <w:rsid w:val="003A6540"/>
    <w:rsid w:val="003A6671"/>
    <w:rsid w:val="003A68A6"/>
    <w:rsid w:val="003A6D61"/>
    <w:rsid w:val="003A6E91"/>
    <w:rsid w:val="003A7146"/>
    <w:rsid w:val="003A7441"/>
    <w:rsid w:val="003A747E"/>
    <w:rsid w:val="003A74B3"/>
    <w:rsid w:val="003A7834"/>
    <w:rsid w:val="003A78DA"/>
    <w:rsid w:val="003A7992"/>
    <w:rsid w:val="003A7B1F"/>
    <w:rsid w:val="003B0680"/>
    <w:rsid w:val="003B0800"/>
    <w:rsid w:val="003B0932"/>
    <w:rsid w:val="003B09D0"/>
    <w:rsid w:val="003B0AA1"/>
    <w:rsid w:val="003B0CB8"/>
    <w:rsid w:val="003B0CBC"/>
    <w:rsid w:val="003B0E30"/>
    <w:rsid w:val="003B1150"/>
    <w:rsid w:val="003B11D6"/>
    <w:rsid w:val="003B1303"/>
    <w:rsid w:val="003B1392"/>
    <w:rsid w:val="003B188B"/>
    <w:rsid w:val="003B1B67"/>
    <w:rsid w:val="003B1ECE"/>
    <w:rsid w:val="003B1F70"/>
    <w:rsid w:val="003B2086"/>
    <w:rsid w:val="003B22DB"/>
    <w:rsid w:val="003B2363"/>
    <w:rsid w:val="003B23A0"/>
    <w:rsid w:val="003B2400"/>
    <w:rsid w:val="003B2664"/>
    <w:rsid w:val="003B2670"/>
    <w:rsid w:val="003B26D7"/>
    <w:rsid w:val="003B2C0E"/>
    <w:rsid w:val="003B2C60"/>
    <w:rsid w:val="003B2C7D"/>
    <w:rsid w:val="003B2DCA"/>
    <w:rsid w:val="003B34BB"/>
    <w:rsid w:val="003B3836"/>
    <w:rsid w:val="003B3922"/>
    <w:rsid w:val="003B39F3"/>
    <w:rsid w:val="003B42A1"/>
    <w:rsid w:val="003B435A"/>
    <w:rsid w:val="003B4466"/>
    <w:rsid w:val="003B447F"/>
    <w:rsid w:val="003B4539"/>
    <w:rsid w:val="003B4627"/>
    <w:rsid w:val="003B487A"/>
    <w:rsid w:val="003B48D4"/>
    <w:rsid w:val="003B48F2"/>
    <w:rsid w:val="003B492A"/>
    <w:rsid w:val="003B4CD4"/>
    <w:rsid w:val="003B4D3F"/>
    <w:rsid w:val="003B4E56"/>
    <w:rsid w:val="003B4F0C"/>
    <w:rsid w:val="003B4FAA"/>
    <w:rsid w:val="003B52B4"/>
    <w:rsid w:val="003B5485"/>
    <w:rsid w:val="003B5488"/>
    <w:rsid w:val="003B5A6C"/>
    <w:rsid w:val="003B5A8A"/>
    <w:rsid w:val="003B5CAB"/>
    <w:rsid w:val="003B5DBF"/>
    <w:rsid w:val="003B5F1C"/>
    <w:rsid w:val="003B5F74"/>
    <w:rsid w:val="003B609D"/>
    <w:rsid w:val="003B60F6"/>
    <w:rsid w:val="003B61B5"/>
    <w:rsid w:val="003B6B04"/>
    <w:rsid w:val="003B6D5A"/>
    <w:rsid w:val="003B7066"/>
    <w:rsid w:val="003B70FD"/>
    <w:rsid w:val="003B7275"/>
    <w:rsid w:val="003B73BA"/>
    <w:rsid w:val="003B7446"/>
    <w:rsid w:val="003B76F1"/>
    <w:rsid w:val="003B7D34"/>
    <w:rsid w:val="003B7DEA"/>
    <w:rsid w:val="003B7F01"/>
    <w:rsid w:val="003B7FFD"/>
    <w:rsid w:val="003C00A2"/>
    <w:rsid w:val="003C037A"/>
    <w:rsid w:val="003C045D"/>
    <w:rsid w:val="003C0517"/>
    <w:rsid w:val="003C0623"/>
    <w:rsid w:val="003C0AD6"/>
    <w:rsid w:val="003C0CF9"/>
    <w:rsid w:val="003C0F8E"/>
    <w:rsid w:val="003C11F9"/>
    <w:rsid w:val="003C16F7"/>
    <w:rsid w:val="003C172A"/>
    <w:rsid w:val="003C17AD"/>
    <w:rsid w:val="003C1824"/>
    <w:rsid w:val="003C187C"/>
    <w:rsid w:val="003C1C8A"/>
    <w:rsid w:val="003C1C8F"/>
    <w:rsid w:val="003C1DCD"/>
    <w:rsid w:val="003C1EBB"/>
    <w:rsid w:val="003C2349"/>
    <w:rsid w:val="003C266E"/>
    <w:rsid w:val="003C2739"/>
    <w:rsid w:val="003C297C"/>
    <w:rsid w:val="003C3050"/>
    <w:rsid w:val="003C3126"/>
    <w:rsid w:val="003C3263"/>
    <w:rsid w:val="003C34EE"/>
    <w:rsid w:val="003C367B"/>
    <w:rsid w:val="003C367E"/>
    <w:rsid w:val="003C36AF"/>
    <w:rsid w:val="003C3780"/>
    <w:rsid w:val="003C37F8"/>
    <w:rsid w:val="003C37FB"/>
    <w:rsid w:val="003C3A43"/>
    <w:rsid w:val="003C3ADC"/>
    <w:rsid w:val="003C3AF8"/>
    <w:rsid w:val="003C3B2A"/>
    <w:rsid w:val="003C3B69"/>
    <w:rsid w:val="003C3D9E"/>
    <w:rsid w:val="003C3DF4"/>
    <w:rsid w:val="003C3F23"/>
    <w:rsid w:val="003C4276"/>
    <w:rsid w:val="003C463F"/>
    <w:rsid w:val="003C4651"/>
    <w:rsid w:val="003C47FE"/>
    <w:rsid w:val="003C4993"/>
    <w:rsid w:val="003C4BA9"/>
    <w:rsid w:val="003C4BC7"/>
    <w:rsid w:val="003C4E5F"/>
    <w:rsid w:val="003C512C"/>
    <w:rsid w:val="003C525F"/>
    <w:rsid w:val="003C53B0"/>
    <w:rsid w:val="003C5616"/>
    <w:rsid w:val="003C58B8"/>
    <w:rsid w:val="003C5E9D"/>
    <w:rsid w:val="003C5FC9"/>
    <w:rsid w:val="003C6068"/>
    <w:rsid w:val="003C60CC"/>
    <w:rsid w:val="003C6321"/>
    <w:rsid w:val="003C636C"/>
    <w:rsid w:val="003C64BC"/>
    <w:rsid w:val="003C64F4"/>
    <w:rsid w:val="003C66E6"/>
    <w:rsid w:val="003C6842"/>
    <w:rsid w:val="003C6872"/>
    <w:rsid w:val="003C68C1"/>
    <w:rsid w:val="003C695B"/>
    <w:rsid w:val="003C6DE2"/>
    <w:rsid w:val="003C6E07"/>
    <w:rsid w:val="003C6E3A"/>
    <w:rsid w:val="003C6E8B"/>
    <w:rsid w:val="003C7159"/>
    <w:rsid w:val="003C7403"/>
    <w:rsid w:val="003C786E"/>
    <w:rsid w:val="003C79FD"/>
    <w:rsid w:val="003C7C54"/>
    <w:rsid w:val="003C7CC2"/>
    <w:rsid w:val="003C7D37"/>
    <w:rsid w:val="003C7E66"/>
    <w:rsid w:val="003C7E96"/>
    <w:rsid w:val="003C7F40"/>
    <w:rsid w:val="003D0091"/>
    <w:rsid w:val="003D01A8"/>
    <w:rsid w:val="003D030D"/>
    <w:rsid w:val="003D0447"/>
    <w:rsid w:val="003D0589"/>
    <w:rsid w:val="003D05DC"/>
    <w:rsid w:val="003D07CF"/>
    <w:rsid w:val="003D0992"/>
    <w:rsid w:val="003D0C47"/>
    <w:rsid w:val="003D0E6E"/>
    <w:rsid w:val="003D0E88"/>
    <w:rsid w:val="003D1046"/>
    <w:rsid w:val="003D12A7"/>
    <w:rsid w:val="003D1411"/>
    <w:rsid w:val="003D1436"/>
    <w:rsid w:val="003D152E"/>
    <w:rsid w:val="003D15C0"/>
    <w:rsid w:val="003D17F2"/>
    <w:rsid w:val="003D1903"/>
    <w:rsid w:val="003D1AF7"/>
    <w:rsid w:val="003D1CB8"/>
    <w:rsid w:val="003D1E21"/>
    <w:rsid w:val="003D26B3"/>
    <w:rsid w:val="003D2B5D"/>
    <w:rsid w:val="003D2ED2"/>
    <w:rsid w:val="003D31C7"/>
    <w:rsid w:val="003D3426"/>
    <w:rsid w:val="003D35F6"/>
    <w:rsid w:val="003D37CE"/>
    <w:rsid w:val="003D3AFB"/>
    <w:rsid w:val="003D3C82"/>
    <w:rsid w:val="003D3F9A"/>
    <w:rsid w:val="003D4042"/>
    <w:rsid w:val="003D4079"/>
    <w:rsid w:val="003D40E1"/>
    <w:rsid w:val="003D437F"/>
    <w:rsid w:val="003D43DE"/>
    <w:rsid w:val="003D462B"/>
    <w:rsid w:val="003D4998"/>
    <w:rsid w:val="003D4BD8"/>
    <w:rsid w:val="003D4E35"/>
    <w:rsid w:val="003D4E49"/>
    <w:rsid w:val="003D4F90"/>
    <w:rsid w:val="003D50DF"/>
    <w:rsid w:val="003D5222"/>
    <w:rsid w:val="003D5308"/>
    <w:rsid w:val="003D5983"/>
    <w:rsid w:val="003D5B35"/>
    <w:rsid w:val="003D5B83"/>
    <w:rsid w:val="003D5B98"/>
    <w:rsid w:val="003D5C86"/>
    <w:rsid w:val="003D5CA4"/>
    <w:rsid w:val="003D5D21"/>
    <w:rsid w:val="003D5D66"/>
    <w:rsid w:val="003D5DB5"/>
    <w:rsid w:val="003D5F20"/>
    <w:rsid w:val="003D63D3"/>
    <w:rsid w:val="003D64B8"/>
    <w:rsid w:val="003D667B"/>
    <w:rsid w:val="003D69E6"/>
    <w:rsid w:val="003D6B1F"/>
    <w:rsid w:val="003D6B3F"/>
    <w:rsid w:val="003D6BB9"/>
    <w:rsid w:val="003D6D69"/>
    <w:rsid w:val="003D6F10"/>
    <w:rsid w:val="003D6F30"/>
    <w:rsid w:val="003D70C9"/>
    <w:rsid w:val="003D7217"/>
    <w:rsid w:val="003D72CA"/>
    <w:rsid w:val="003D749B"/>
    <w:rsid w:val="003D760D"/>
    <w:rsid w:val="003D7637"/>
    <w:rsid w:val="003D7B29"/>
    <w:rsid w:val="003D7C9D"/>
    <w:rsid w:val="003D7F78"/>
    <w:rsid w:val="003E0487"/>
    <w:rsid w:val="003E049E"/>
    <w:rsid w:val="003E0569"/>
    <w:rsid w:val="003E0A90"/>
    <w:rsid w:val="003E0AFC"/>
    <w:rsid w:val="003E0BA5"/>
    <w:rsid w:val="003E0E19"/>
    <w:rsid w:val="003E0E80"/>
    <w:rsid w:val="003E0F22"/>
    <w:rsid w:val="003E13BA"/>
    <w:rsid w:val="003E18C7"/>
    <w:rsid w:val="003E1A93"/>
    <w:rsid w:val="003E1C48"/>
    <w:rsid w:val="003E2038"/>
    <w:rsid w:val="003E2487"/>
    <w:rsid w:val="003E2AF4"/>
    <w:rsid w:val="003E2DDB"/>
    <w:rsid w:val="003E30D8"/>
    <w:rsid w:val="003E310D"/>
    <w:rsid w:val="003E31FB"/>
    <w:rsid w:val="003E321B"/>
    <w:rsid w:val="003E38AE"/>
    <w:rsid w:val="003E3AC7"/>
    <w:rsid w:val="003E3AF7"/>
    <w:rsid w:val="003E3D3F"/>
    <w:rsid w:val="003E3DFD"/>
    <w:rsid w:val="003E4226"/>
    <w:rsid w:val="003E461F"/>
    <w:rsid w:val="003E47C2"/>
    <w:rsid w:val="003E4AFE"/>
    <w:rsid w:val="003E4E2D"/>
    <w:rsid w:val="003E51D6"/>
    <w:rsid w:val="003E559C"/>
    <w:rsid w:val="003E5601"/>
    <w:rsid w:val="003E5801"/>
    <w:rsid w:val="003E5949"/>
    <w:rsid w:val="003E59AF"/>
    <w:rsid w:val="003E5BA7"/>
    <w:rsid w:val="003E5D93"/>
    <w:rsid w:val="003E5DAC"/>
    <w:rsid w:val="003E5E4D"/>
    <w:rsid w:val="003E6141"/>
    <w:rsid w:val="003E6363"/>
    <w:rsid w:val="003E6613"/>
    <w:rsid w:val="003E6779"/>
    <w:rsid w:val="003E6862"/>
    <w:rsid w:val="003E6974"/>
    <w:rsid w:val="003E6A44"/>
    <w:rsid w:val="003E6A87"/>
    <w:rsid w:val="003E6AA3"/>
    <w:rsid w:val="003E6CF6"/>
    <w:rsid w:val="003E70CE"/>
    <w:rsid w:val="003E70E2"/>
    <w:rsid w:val="003E7236"/>
    <w:rsid w:val="003E7740"/>
    <w:rsid w:val="003E7947"/>
    <w:rsid w:val="003E7CE9"/>
    <w:rsid w:val="003E7D03"/>
    <w:rsid w:val="003E7E43"/>
    <w:rsid w:val="003F006C"/>
    <w:rsid w:val="003F057E"/>
    <w:rsid w:val="003F0625"/>
    <w:rsid w:val="003F0DB1"/>
    <w:rsid w:val="003F1058"/>
    <w:rsid w:val="003F1159"/>
    <w:rsid w:val="003F127B"/>
    <w:rsid w:val="003F1483"/>
    <w:rsid w:val="003F1496"/>
    <w:rsid w:val="003F190F"/>
    <w:rsid w:val="003F1A30"/>
    <w:rsid w:val="003F1DAF"/>
    <w:rsid w:val="003F2145"/>
    <w:rsid w:val="003F2384"/>
    <w:rsid w:val="003F2401"/>
    <w:rsid w:val="003F2411"/>
    <w:rsid w:val="003F288F"/>
    <w:rsid w:val="003F29A8"/>
    <w:rsid w:val="003F2DA5"/>
    <w:rsid w:val="003F3171"/>
    <w:rsid w:val="003F3326"/>
    <w:rsid w:val="003F37A7"/>
    <w:rsid w:val="003F3C98"/>
    <w:rsid w:val="003F3CFF"/>
    <w:rsid w:val="003F3DB0"/>
    <w:rsid w:val="003F3F8C"/>
    <w:rsid w:val="003F3FAF"/>
    <w:rsid w:val="003F4183"/>
    <w:rsid w:val="003F41A4"/>
    <w:rsid w:val="003F4375"/>
    <w:rsid w:val="003F444F"/>
    <w:rsid w:val="003F45A7"/>
    <w:rsid w:val="003F4864"/>
    <w:rsid w:val="003F493A"/>
    <w:rsid w:val="003F4951"/>
    <w:rsid w:val="003F49D0"/>
    <w:rsid w:val="003F4AB3"/>
    <w:rsid w:val="003F4CBE"/>
    <w:rsid w:val="003F4F84"/>
    <w:rsid w:val="003F54FC"/>
    <w:rsid w:val="003F565F"/>
    <w:rsid w:val="003F56B9"/>
    <w:rsid w:val="003F57EC"/>
    <w:rsid w:val="003F5B02"/>
    <w:rsid w:val="003F5B23"/>
    <w:rsid w:val="003F5B5C"/>
    <w:rsid w:val="003F6130"/>
    <w:rsid w:val="003F61BF"/>
    <w:rsid w:val="003F643A"/>
    <w:rsid w:val="003F6464"/>
    <w:rsid w:val="003F656C"/>
    <w:rsid w:val="003F677D"/>
    <w:rsid w:val="003F67E3"/>
    <w:rsid w:val="003F6AB9"/>
    <w:rsid w:val="003F6AF6"/>
    <w:rsid w:val="003F6B52"/>
    <w:rsid w:val="003F6C44"/>
    <w:rsid w:val="003F6CD1"/>
    <w:rsid w:val="003F6CF7"/>
    <w:rsid w:val="003F6E13"/>
    <w:rsid w:val="003F705D"/>
    <w:rsid w:val="003F715E"/>
    <w:rsid w:val="003F7321"/>
    <w:rsid w:val="003F7349"/>
    <w:rsid w:val="003F73E8"/>
    <w:rsid w:val="003F77B0"/>
    <w:rsid w:val="003F786C"/>
    <w:rsid w:val="003F7A89"/>
    <w:rsid w:val="003F7A99"/>
    <w:rsid w:val="003F7B6D"/>
    <w:rsid w:val="003F7D6A"/>
    <w:rsid w:val="003F7FF2"/>
    <w:rsid w:val="00400485"/>
    <w:rsid w:val="00400A4B"/>
    <w:rsid w:val="00400A76"/>
    <w:rsid w:val="00400F8D"/>
    <w:rsid w:val="00401323"/>
    <w:rsid w:val="0040132B"/>
    <w:rsid w:val="00401770"/>
    <w:rsid w:val="00401813"/>
    <w:rsid w:val="00401910"/>
    <w:rsid w:val="00401927"/>
    <w:rsid w:val="00401AC4"/>
    <w:rsid w:val="00401EB8"/>
    <w:rsid w:val="0040201F"/>
    <w:rsid w:val="00402675"/>
    <w:rsid w:val="004027D6"/>
    <w:rsid w:val="004027FF"/>
    <w:rsid w:val="004028FE"/>
    <w:rsid w:val="00402AB4"/>
    <w:rsid w:val="00402BBF"/>
    <w:rsid w:val="00402CF8"/>
    <w:rsid w:val="00402D08"/>
    <w:rsid w:val="00402D42"/>
    <w:rsid w:val="00402F00"/>
    <w:rsid w:val="00402F7A"/>
    <w:rsid w:val="004030B2"/>
    <w:rsid w:val="004031C8"/>
    <w:rsid w:val="00403201"/>
    <w:rsid w:val="004033EF"/>
    <w:rsid w:val="00403CDB"/>
    <w:rsid w:val="00403ED9"/>
    <w:rsid w:val="0040401E"/>
    <w:rsid w:val="00404231"/>
    <w:rsid w:val="00404299"/>
    <w:rsid w:val="00404529"/>
    <w:rsid w:val="00404672"/>
    <w:rsid w:val="00404710"/>
    <w:rsid w:val="00404880"/>
    <w:rsid w:val="00404991"/>
    <w:rsid w:val="004049FD"/>
    <w:rsid w:val="00404BF3"/>
    <w:rsid w:val="0040502A"/>
    <w:rsid w:val="00405348"/>
    <w:rsid w:val="0040545C"/>
    <w:rsid w:val="0040565F"/>
    <w:rsid w:val="0040572F"/>
    <w:rsid w:val="0040579F"/>
    <w:rsid w:val="00405801"/>
    <w:rsid w:val="0040583B"/>
    <w:rsid w:val="004059E1"/>
    <w:rsid w:val="00405D1D"/>
    <w:rsid w:val="00405D84"/>
    <w:rsid w:val="0040638F"/>
    <w:rsid w:val="00406686"/>
    <w:rsid w:val="004068A8"/>
    <w:rsid w:val="00406C6B"/>
    <w:rsid w:val="00406E2C"/>
    <w:rsid w:val="00406E61"/>
    <w:rsid w:val="00406E93"/>
    <w:rsid w:val="00407377"/>
    <w:rsid w:val="004074C9"/>
    <w:rsid w:val="0040752E"/>
    <w:rsid w:val="0040762C"/>
    <w:rsid w:val="00407766"/>
    <w:rsid w:val="00407BB4"/>
    <w:rsid w:val="00407E19"/>
    <w:rsid w:val="00407FB7"/>
    <w:rsid w:val="00410149"/>
    <w:rsid w:val="00410429"/>
    <w:rsid w:val="0041078E"/>
    <w:rsid w:val="0041087B"/>
    <w:rsid w:val="004108CC"/>
    <w:rsid w:val="00410A74"/>
    <w:rsid w:val="00410BD4"/>
    <w:rsid w:val="00410FE8"/>
    <w:rsid w:val="004111F9"/>
    <w:rsid w:val="004113F2"/>
    <w:rsid w:val="004114BE"/>
    <w:rsid w:val="00411521"/>
    <w:rsid w:val="00411538"/>
    <w:rsid w:val="0041185E"/>
    <w:rsid w:val="00411993"/>
    <w:rsid w:val="00411A40"/>
    <w:rsid w:val="00411EFA"/>
    <w:rsid w:val="00411FBC"/>
    <w:rsid w:val="0041212F"/>
    <w:rsid w:val="004121B5"/>
    <w:rsid w:val="00412229"/>
    <w:rsid w:val="00412454"/>
    <w:rsid w:val="00412527"/>
    <w:rsid w:val="00412885"/>
    <w:rsid w:val="00412904"/>
    <w:rsid w:val="00412B40"/>
    <w:rsid w:val="00412BF3"/>
    <w:rsid w:val="00412C82"/>
    <w:rsid w:val="00412FA8"/>
    <w:rsid w:val="004130C7"/>
    <w:rsid w:val="004131E3"/>
    <w:rsid w:val="00413278"/>
    <w:rsid w:val="004134A2"/>
    <w:rsid w:val="00413604"/>
    <w:rsid w:val="0041364E"/>
    <w:rsid w:val="00413B46"/>
    <w:rsid w:val="00413C2D"/>
    <w:rsid w:val="00413D6E"/>
    <w:rsid w:val="004144C9"/>
    <w:rsid w:val="0041472E"/>
    <w:rsid w:val="0041492B"/>
    <w:rsid w:val="00414A8E"/>
    <w:rsid w:val="00414B37"/>
    <w:rsid w:val="00414F1D"/>
    <w:rsid w:val="00414F53"/>
    <w:rsid w:val="004150D3"/>
    <w:rsid w:val="004153D8"/>
    <w:rsid w:val="004156C9"/>
    <w:rsid w:val="0041580F"/>
    <w:rsid w:val="00415BCB"/>
    <w:rsid w:val="00415D3A"/>
    <w:rsid w:val="004164EF"/>
    <w:rsid w:val="00416B3D"/>
    <w:rsid w:val="00416DE4"/>
    <w:rsid w:val="0041705A"/>
    <w:rsid w:val="00417447"/>
    <w:rsid w:val="004174D6"/>
    <w:rsid w:val="00417502"/>
    <w:rsid w:val="0041751C"/>
    <w:rsid w:val="004178EB"/>
    <w:rsid w:val="00417935"/>
    <w:rsid w:val="00417F96"/>
    <w:rsid w:val="004200EA"/>
    <w:rsid w:val="0042015C"/>
    <w:rsid w:val="00420236"/>
    <w:rsid w:val="004202E3"/>
    <w:rsid w:val="00420341"/>
    <w:rsid w:val="00420887"/>
    <w:rsid w:val="004209C7"/>
    <w:rsid w:val="00420F5D"/>
    <w:rsid w:val="0042113B"/>
    <w:rsid w:val="004211B2"/>
    <w:rsid w:val="00421345"/>
    <w:rsid w:val="0042148C"/>
    <w:rsid w:val="004215B7"/>
    <w:rsid w:val="00421702"/>
    <w:rsid w:val="00421A42"/>
    <w:rsid w:val="00421B80"/>
    <w:rsid w:val="00421CCE"/>
    <w:rsid w:val="00421DAF"/>
    <w:rsid w:val="00421DB4"/>
    <w:rsid w:val="00421FE3"/>
    <w:rsid w:val="004221CA"/>
    <w:rsid w:val="00422489"/>
    <w:rsid w:val="004225FD"/>
    <w:rsid w:val="0042267D"/>
    <w:rsid w:val="004226D4"/>
    <w:rsid w:val="00422765"/>
    <w:rsid w:val="00422EB3"/>
    <w:rsid w:val="00422F46"/>
    <w:rsid w:val="0042303D"/>
    <w:rsid w:val="004230AE"/>
    <w:rsid w:val="004230BE"/>
    <w:rsid w:val="0042320B"/>
    <w:rsid w:val="00423A7D"/>
    <w:rsid w:val="00423B84"/>
    <w:rsid w:val="00423D03"/>
    <w:rsid w:val="00423D53"/>
    <w:rsid w:val="004240C0"/>
    <w:rsid w:val="0042426A"/>
    <w:rsid w:val="00424328"/>
    <w:rsid w:val="0042436C"/>
    <w:rsid w:val="00424469"/>
    <w:rsid w:val="004244DC"/>
    <w:rsid w:val="00424740"/>
    <w:rsid w:val="004248AA"/>
    <w:rsid w:val="004248F6"/>
    <w:rsid w:val="00424AC7"/>
    <w:rsid w:val="00424B18"/>
    <w:rsid w:val="00424C51"/>
    <w:rsid w:val="00424EB8"/>
    <w:rsid w:val="00425098"/>
    <w:rsid w:val="00425733"/>
    <w:rsid w:val="00425820"/>
    <w:rsid w:val="004258E2"/>
    <w:rsid w:val="00425F35"/>
    <w:rsid w:val="00425F4B"/>
    <w:rsid w:val="0042626D"/>
    <w:rsid w:val="0042631E"/>
    <w:rsid w:val="00426368"/>
    <w:rsid w:val="004267CE"/>
    <w:rsid w:val="0042686F"/>
    <w:rsid w:val="00426A98"/>
    <w:rsid w:val="00426CF6"/>
    <w:rsid w:val="00426E4D"/>
    <w:rsid w:val="0042763F"/>
    <w:rsid w:val="00427844"/>
    <w:rsid w:val="004279E0"/>
    <w:rsid w:val="00427B10"/>
    <w:rsid w:val="00427C89"/>
    <w:rsid w:val="00427E07"/>
    <w:rsid w:val="00427E35"/>
    <w:rsid w:val="0043007D"/>
    <w:rsid w:val="004302F1"/>
    <w:rsid w:val="004303DA"/>
    <w:rsid w:val="00430495"/>
    <w:rsid w:val="004304A7"/>
    <w:rsid w:val="004306ED"/>
    <w:rsid w:val="004308CF"/>
    <w:rsid w:val="0043096F"/>
    <w:rsid w:val="004309CC"/>
    <w:rsid w:val="00430C34"/>
    <w:rsid w:val="00430D88"/>
    <w:rsid w:val="00430E9C"/>
    <w:rsid w:val="00430F49"/>
    <w:rsid w:val="0043107C"/>
    <w:rsid w:val="00431219"/>
    <w:rsid w:val="0043165D"/>
    <w:rsid w:val="00431AEA"/>
    <w:rsid w:val="00431B59"/>
    <w:rsid w:val="00431BF1"/>
    <w:rsid w:val="00431C75"/>
    <w:rsid w:val="00431EDD"/>
    <w:rsid w:val="00431EF3"/>
    <w:rsid w:val="00431F5A"/>
    <w:rsid w:val="00432182"/>
    <w:rsid w:val="0043261C"/>
    <w:rsid w:val="0043285D"/>
    <w:rsid w:val="004328A2"/>
    <w:rsid w:val="00432BD7"/>
    <w:rsid w:val="00432D12"/>
    <w:rsid w:val="00432F2C"/>
    <w:rsid w:val="00432F81"/>
    <w:rsid w:val="004331A3"/>
    <w:rsid w:val="004332CE"/>
    <w:rsid w:val="0043355D"/>
    <w:rsid w:val="0043357B"/>
    <w:rsid w:val="004336CD"/>
    <w:rsid w:val="00433D7C"/>
    <w:rsid w:val="00433D91"/>
    <w:rsid w:val="00433DDE"/>
    <w:rsid w:val="00433E2D"/>
    <w:rsid w:val="00433E41"/>
    <w:rsid w:val="00433E91"/>
    <w:rsid w:val="00433EE8"/>
    <w:rsid w:val="00433FAD"/>
    <w:rsid w:val="0043452A"/>
    <w:rsid w:val="004345E1"/>
    <w:rsid w:val="004345EE"/>
    <w:rsid w:val="00434601"/>
    <w:rsid w:val="004347F8"/>
    <w:rsid w:val="00434875"/>
    <w:rsid w:val="00434924"/>
    <w:rsid w:val="00434A18"/>
    <w:rsid w:val="00434B70"/>
    <w:rsid w:val="00434B95"/>
    <w:rsid w:val="00434D81"/>
    <w:rsid w:val="0043500C"/>
    <w:rsid w:val="00435029"/>
    <w:rsid w:val="00435121"/>
    <w:rsid w:val="00435320"/>
    <w:rsid w:val="00435401"/>
    <w:rsid w:val="00435407"/>
    <w:rsid w:val="00435474"/>
    <w:rsid w:val="00435597"/>
    <w:rsid w:val="004356F5"/>
    <w:rsid w:val="004357E3"/>
    <w:rsid w:val="00435A50"/>
    <w:rsid w:val="00435CDC"/>
    <w:rsid w:val="00435EFB"/>
    <w:rsid w:val="0043618B"/>
    <w:rsid w:val="00436307"/>
    <w:rsid w:val="0043638E"/>
    <w:rsid w:val="0043658F"/>
    <w:rsid w:val="0043661C"/>
    <w:rsid w:val="0043670D"/>
    <w:rsid w:val="0043673D"/>
    <w:rsid w:val="0043674A"/>
    <w:rsid w:val="004368B6"/>
    <w:rsid w:val="0043690B"/>
    <w:rsid w:val="00436A51"/>
    <w:rsid w:val="00436BE9"/>
    <w:rsid w:val="00436C80"/>
    <w:rsid w:val="00436D06"/>
    <w:rsid w:val="00436E24"/>
    <w:rsid w:val="00436E51"/>
    <w:rsid w:val="00436F2F"/>
    <w:rsid w:val="004372CD"/>
    <w:rsid w:val="004378D2"/>
    <w:rsid w:val="00437AB2"/>
    <w:rsid w:val="00437B6B"/>
    <w:rsid w:val="00437C5F"/>
    <w:rsid w:val="00437CC6"/>
    <w:rsid w:val="00437D09"/>
    <w:rsid w:val="00437EF9"/>
    <w:rsid w:val="00437FB7"/>
    <w:rsid w:val="00440072"/>
    <w:rsid w:val="004404E4"/>
    <w:rsid w:val="00440558"/>
    <w:rsid w:val="004405D7"/>
    <w:rsid w:val="00440A8C"/>
    <w:rsid w:val="00440D61"/>
    <w:rsid w:val="00440EAA"/>
    <w:rsid w:val="0044186E"/>
    <w:rsid w:val="00441998"/>
    <w:rsid w:val="00441D01"/>
    <w:rsid w:val="004420C7"/>
    <w:rsid w:val="0044231E"/>
    <w:rsid w:val="004424C5"/>
    <w:rsid w:val="0044259E"/>
    <w:rsid w:val="00442790"/>
    <w:rsid w:val="00442B00"/>
    <w:rsid w:val="00442DB3"/>
    <w:rsid w:val="00442E05"/>
    <w:rsid w:val="00442E5E"/>
    <w:rsid w:val="00442E7F"/>
    <w:rsid w:val="00442ECA"/>
    <w:rsid w:val="00443641"/>
    <w:rsid w:val="00444167"/>
    <w:rsid w:val="004443E2"/>
    <w:rsid w:val="004447D5"/>
    <w:rsid w:val="0044487A"/>
    <w:rsid w:val="0044499B"/>
    <w:rsid w:val="00444DEC"/>
    <w:rsid w:val="00444E75"/>
    <w:rsid w:val="00444F02"/>
    <w:rsid w:val="00445217"/>
    <w:rsid w:val="00445661"/>
    <w:rsid w:val="0044578B"/>
    <w:rsid w:val="0044594A"/>
    <w:rsid w:val="004465DE"/>
    <w:rsid w:val="00446854"/>
    <w:rsid w:val="00446872"/>
    <w:rsid w:val="00446A52"/>
    <w:rsid w:val="00446AF6"/>
    <w:rsid w:val="00446B48"/>
    <w:rsid w:val="00446D3E"/>
    <w:rsid w:val="00446EDA"/>
    <w:rsid w:val="004471A8"/>
    <w:rsid w:val="0044730E"/>
    <w:rsid w:val="0044734C"/>
    <w:rsid w:val="004474B3"/>
    <w:rsid w:val="00447548"/>
    <w:rsid w:val="00447600"/>
    <w:rsid w:val="00447611"/>
    <w:rsid w:val="0044788A"/>
    <w:rsid w:val="00447EF8"/>
    <w:rsid w:val="00450110"/>
    <w:rsid w:val="00450192"/>
    <w:rsid w:val="00450227"/>
    <w:rsid w:val="004506C5"/>
    <w:rsid w:val="00450C2B"/>
    <w:rsid w:val="00450C55"/>
    <w:rsid w:val="00450DBA"/>
    <w:rsid w:val="00450E9E"/>
    <w:rsid w:val="00450EE9"/>
    <w:rsid w:val="00450FBA"/>
    <w:rsid w:val="0045114F"/>
    <w:rsid w:val="004515E3"/>
    <w:rsid w:val="00451958"/>
    <w:rsid w:val="00451994"/>
    <w:rsid w:val="00451B3E"/>
    <w:rsid w:val="00451C2C"/>
    <w:rsid w:val="00451D2A"/>
    <w:rsid w:val="00451FBC"/>
    <w:rsid w:val="004520F8"/>
    <w:rsid w:val="0045247C"/>
    <w:rsid w:val="0045253A"/>
    <w:rsid w:val="0045280A"/>
    <w:rsid w:val="004528FE"/>
    <w:rsid w:val="00452A17"/>
    <w:rsid w:val="00452BD3"/>
    <w:rsid w:val="00452DC1"/>
    <w:rsid w:val="00452DFB"/>
    <w:rsid w:val="00452F1E"/>
    <w:rsid w:val="004531D9"/>
    <w:rsid w:val="004533E0"/>
    <w:rsid w:val="0045372E"/>
    <w:rsid w:val="0045380D"/>
    <w:rsid w:val="00453E03"/>
    <w:rsid w:val="00453EF8"/>
    <w:rsid w:val="0045419D"/>
    <w:rsid w:val="0045440B"/>
    <w:rsid w:val="00454603"/>
    <w:rsid w:val="00454604"/>
    <w:rsid w:val="004546EF"/>
    <w:rsid w:val="004547FF"/>
    <w:rsid w:val="004548FB"/>
    <w:rsid w:val="004549F6"/>
    <w:rsid w:val="00454BDF"/>
    <w:rsid w:val="00455355"/>
    <w:rsid w:val="00455476"/>
    <w:rsid w:val="0045566C"/>
    <w:rsid w:val="004556AC"/>
    <w:rsid w:val="004558E7"/>
    <w:rsid w:val="004558F4"/>
    <w:rsid w:val="0045593B"/>
    <w:rsid w:val="004559F7"/>
    <w:rsid w:val="004563ED"/>
    <w:rsid w:val="00456476"/>
    <w:rsid w:val="00456482"/>
    <w:rsid w:val="004566B3"/>
    <w:rsid w:val="00456783"/>
    <w:rsid w:val="004568C6"/>
    <w:rsid w:val="00456A4B"/>
    <w:rsid w:val="00456AD7"/>
    <w:rsid w:val="00456C92"/>
    <w:rsid w:val="00456DEA"/>
    <w:rsid w:val="00456F68"/>
    <w:rsid w:val="004571A9"/>
    <w:rsid w:val="004571E9"/>
    <w:rsid w:val="00457518"/>
    <w:rsid w:val="004576F9"/>
    <w:rsid w:val="004578BE"/>
    <w:rsid w:val="00457AD9"/>
    <w:rsid w:val="00457C00"/>
    <w:rsid w:val="00457D9A"/>
    <w:rsid w:val="00457E56"/>
    <w:rsid w:val="0046024C"/>
    <w:rsid w:val="00460351"/>
    <w:rsid w:val="00460399"/>
    <w:rsid w:val="0046059F"/>
    <w:rsid w:val="004606AD"/>
    <w:rsid w:val="004606D7"/>
    <w:rsid w:val="004609D9"/>
    <w:rsid w:val="00460B16"/>
    <w:rsid w:val="00460C4F"/>
    <w:rsid w:val="00460DD7"/>
    <w:rsid w:val="00460FD5"/>
    <w:rsid w:val="0046112A"/>
    <w:rsid w:val="004612CD"/>
    <w:rsid w:val="004612D6"/>
    <w:rsid w:val="004613C0"/>
    <w:rsid w:val="00461499"/>
    <w:rsid w:val="00461518"/>
    <w:rsid w:val="004617A6"/>
    <w:rsid w:val="004619B1"/>
    <w:rsid w:val="00461A49"/>
    <w:rsid w:val="00461CDB"/>
    <w:rsid w:val="00461D39"/>
    <w:rsid w:val="00461D55"/>
    <w:rsid w:val="00461E75"/>
    <w:rsid w:val="00461F9B"/>
    <w:rsid w:val="00462004"/>
    <w:rsid w:val="004620DC"/>
    <w:rsid w:val="00462195"/>
    <w:rsid w:val="004621A7"/>
    <w:rsid w:val="00462349"/>
    <w:rsid w:val="00462519"/>
    <w:rsid w:val="004625D0"/>
    <w:rsid w:val="004626F6"/>
    <w:rsid w:val="00462A49"/>
    <w:rsid w:val="00462A95"/>
    <w:rsid w:val="00462B66"/>
    <w:rsid w:val="00462B9D"/>
    <w:rsid w:val="00462D68"/>
    <w:rsid w:val="00462FF0"/>
    <w:rsid w:val="004630D6"/>
    <w:rsid w:val="004631D7"/>
    <w:rsid w:val="00463241"/>
    <w:rsid w:val="004636BA"/>
    <w:rsid w:val="004636BC"/>
    <w:rsid w:val="00463BAD"/>
    <w:rsid w:val="00463CB5"/>
    <w:rsid w:val="00463D8F"/>
    <w:rsid w:val="00463DA3"/>
    <w:rsid w:val="00464053"/>
    <w:rsid w:val="00464100"/>
    <w:rsid w:val="0046415D"/>
    <w:rsid w:val="00464DA1"/>
    <w:rsid w:val="00465283"/>
    <w:rsid w:val="0046553A"/>
    <w:rsid w:val="004656A0"/>
    <w:rsid w:val="00465813"/>
    <w:rsid w:val="00465836"/>
    <w:rsid w:val="004658E3"/>
    <w:rsid w:val="0046591F"/>
    <w:rsid w:val="00465989"/>
    <w:rsid w:val="004659C5"/>
    <w:rsid w:val="00465D81"/>
    <w:rsid w:val="00465F1D"/>
    <w:rsid w:val="00466279"/>
    <w:rsid w:val="00466383"/>
    <w:rsid w:val="0046682B"/>
    <w:rsid w:val="00466BE5"/>
    <w:rsid w:val="00467254"/>
    <w:rsid w:val="004672D9"/>
    <w:rsid w:val="00467305"/>
    <w:rsid w:val="004673DE"/>
    <w:rsid w:val="004678B4"/>
    <w:rsid w:val="00467989"/>
    <w:rsid w:val="0046798A"/>
    <w:rsid w:val="00467AFE"/>
    <w:rsid w:val="00467D20"/>
    <w:rsid w:val="00467DDF"/>
    <w:rsid w:val="00467DE1"/>
    <w:rsid w:val="00467F7A"/>
    <w:rsid w:val="004701F0"/>
    <w:rsid w:val="004702B7"/>
    <w:rsid w:val="004704E6"/>
    <w:rsid w:val="00470542"/>
    <w:rsid w:val="00470651"/>
    <w:rsid w:val="004706FD"/>
    <w:rsid w:val="00470808"/>
    <w:rsid w:val="004708B8"/>
    <w:rsid w:val="00470B47"/>
    <w:rsid w:val="00471060"/>
    <w:rsid w:val="00471071"/>
    <w:rsid w:val="004710A8"/>
    <w:rsid w:val="0047118F"/>
    <w:rsid w:val="00471746"/>
    <w:rsid w:val="00471927"/>
    <w:rsid w:val="00471953"/>
    <w:rsid w:val="004719AF"/>
    <w:rsid w:val="00471ECB"/>
    <w:rsid w:val="00471F07"/>
    <w:rsid w:val="00471FA7"/>
    <w:rsid w:val="00472031"/>
    <w:rsid w:val="00472083"/>
    <w:rsid w:val="00472491"/>
    <w:rsid w:val="00472493"/>
    <w:rsid w:val="00472659"/>
    <w:rsid w:val="00472778"/>
    <w:rsid w:val="00472C98"/>
    <w:rsid w:val="00472CCE"/>
    <w:rsid w:val="00473507"/>
    <w:rsid w:val="004736E3"/>
    <w:rsid w:val="0047370A"/>
    <w:rsid w:val="00473763"/>
    <w:rsid w:val="004738F6"/>
    <w:rsid w:val="00473945"/>
    <w:rsid w:val="00473ABF"/>
    <w:rsid w:val="00473B80"/>
    <w:rsid w:val="00473BA2"/>
    <w:rsid w:val="00473E8D"/>
    <w:rsid w:val="00473F09"/>
    <w:rsid w:val="0047449E"/>
    <w:rsid w:val="00474557"/>
    <w:rsid w:val="004745DA"/>
    <w:rsid w:val="0047485C"/>
    <w:rsid w:val="00474919"/>
    <w:rsid w:val="004749E9"/>
    <w:rsid w:val="00474A44"/>
    <w:rsid w:val="00474D32"/>
    <w:rsid w:val="00474D3D"/>
    <w:rsid w:val="00474DD9"/>
    <w:rsid w:val="00474E53"/>
    <w:rsid w:val="00474ECA"/>
    <w:rsid w:val="00475516"/>
    <w:rsid w:val="0047556F"/>
    <w:rsid w:val="004755A0"/>
    <w:rsid w:val="004755B5"/>
    <w:rsid w:val="004756EA"/>
    <w:rsid w:val="00475819"/>
    <w:rsid w:val="00475828"/>
    <w:rsid w:val="004758C0"/>
    <w:rsid w:val="00475A40"/>
    <w:rsid w:val="00475B1F"/>
    <w:rsid w:val="00475B70"/>
    <w:rsid w:val="00475BAE"/>
    <w:rsid w:val="00475BDC"/>
    <w:rsid w:val="00475DD6"/>
    <w:rsid w:val="004762D7"/>
    <w:rsid w:val="004765A4"/>
    <w:rsid w:val="004765AC"/>
    <w:rsid w:val="004769C9"/>
    <w:rsid w:val="00476B19"/>
    <w:rsid w:val="00476B39"/>
    <w:rsid w:val="00476CBB"/>
    <w:rsid w:val="00476D3A"/>
    <w:rsid w:val="00476D47"/>
    <w:rsid w:val="004770F8"/>
    <w:rsid w:val="00477180"/>
    <w:rsid w:val="004771B7"/>
    <w:rsid w:val="00477332"/>
    <w:rsid w:val="00477723"/>
    <w:rsid w:val="00477AE9"/>
    <w:rsid w:val="00477B46"/>
    <w:rsid w:val="00477E7A"/>
    <w:rsid w:val="00477FD2"/>
    <w:rsid w:val="00480006"/>
    <w:rsid w:val="0048007D"/>
    <w:rsid w:val="004803B7"/>
    <w:rsid w:val="0048084F"/>
    <w:rsid w:val="00480BAA"/>
    <w:rsid w:val="00480BE5"/>
    <w:rsid w:val="00480C08"/>
    <w:rsid w:val="00480FD4"/>
    <w:rsid w:val="00481093"/>
    <w:rsid w:val="004811CB"/>
    <w:rsid w:val="00481341"/>
    <w:rsid w:val="004813CC"/>
    <w:rsid w:val="00481559"/>
    <w:rsid w:val="00481568"/>
    <w:rsid w:val="004816D9"/>
    <w:rsid w:val="00481CB5"/>
    <w:rsid w:val="00481D82"/>
    <w:rsid w:val="00482039"/>
    <w:rsid w:val="00482468"/>
    <w:rsid w:val="00482522"/>
    <w:rsid w:val="00482C3A"/>
    <w:rsid w:val="0048351D"/>
    <w:rsid w:val="004837BE"/>
    <w:rsid w:val="00483A09"/>
    <w:rsid w:val="00483B57"/>
    <w:rsid w:val="00483EEF"/>
    <w:rsid w:val="00484018"/>
    <w:rsid w:val="00484113"/>
    <w:rsid w:val="0048417C"/>
    <w:rsid w:val="0048426F"/>
    <w:rsid w:val="004842C4"/>
    <w:rsid w:val="00484338"/>
    <w:rsid w:val="0048447A"/>
    <w:rsid w:val="004844F2"/>
    <w:rsid w:val="004847BA"/>
    <w:rsid w:val="0048486E"/>
    <w:rsid w:val="004848B1"/>
    <w:rsid w:val="00484A0E"/>
    <w:rsid w:val="00484BC5"/>
    <w:rsid w:val="00484EFC"/>
    <w:rsid w:val="004853E3"/>
    <w:rsid w:val="0048558F"/>
    <w:rsid w:val="0048587E"/>
    <w:rsid w:val="00485AC4"/>
    <w:rsid w:val="00485B9A"/>
    <w:rsid w:val="00485EE3"/>
    <w:rsid w:val="004861B6"/>
    <w:rsid w:val="0048632A"/>
    <w:rsid w:val="0048642C"/>
    <w:rsid w:val="004866EC"/>
    <w:rsid w:val="00486A64"/>
    <w:rsid w:val="00486AC7"/>
    <w:rsid w:val="00486CAE"/>
    <w:rsid w:val="00486E09"/>
    <w:rsid w:val="00486E63"/>
    <w:rsid w:val="00486F6A"/>
    <w:rsid w:val="00486FE4"/>
    <w:rsid w:val="00487141"/>
    <w:rsid w:val="0048745A"/>
    <w:rsid w:val="00487651"/>
    <w:rsid w:val="0048766B"/>
    <w:rsid w:val="004877E2"/>
    <w:rsid w:val="00487834"/>
    <w:rsid w:val="00487A42"/>
    <w:rsid w:val="00487A62"/>
    <w:rsid w:val="00487A98"/>
    <w:rsid w:val="00487B33"/>
    <w:rsid w:val="00487B4F"/>
    <w:rsid w:val="00487D09"/>
    <w:rsid w:val="00487D42"/>
    <w:rsid w:val="00487EF3"/>
    <w:rsid w:val="004900A7"/>
    <w:rsid w:val="004902D2"/>
    <w:rsid w:val="0049034E"/>
    <w:rsid w:val="004904E2"/>
    <w:rsid w:val="0049058E"/>
    <w:rsid w:val="00490625"/>
    <w:rsid w:val="00490838"/>
    <w:rsid w:val="0049095E"/>
    <w:rsid w:val="004909DF"/>
    <w:rsid w:val="00490B15"/>
    <w:rsid w:val="00490F47"/>
    <w:rsid w:val="00490FA7"/>
    <w:rsid w:val="004913E4"/>
    <w:rsid w:val="0049164B"/>
    <w:rsid w:val="00491A28"/>
    <w:rsid w:val="00491BC5"/>
    <w:rsid w:val="00491DD2"/>
    <w:rsid w:val="00492090"/>
    <w:rsid w:val="00492257"/>
    <w:rsid w:val="004922CB"/>
    <w:rsid w:val="00492A4F"/>
    <w:rsid w:val="00492B00"/>
    <w:rsid w:val="00492C2E"/>
    <w:rsid w:val="00492C64"/>
    <w:rsid w:val="00492D50"/>
    <w:rsid w:val="00492F88"/>
    <w:rsid w:val="00492FCA"/>
    <w:rsid w:val="00492FFC"/>
    <w:rsid w:val="00493468"/>
    <w:rsid w:val="0049368D"/>
    <w:rsid w:val="0049393C"/>
    <w:rsid w:val="00493B80"/>
    <w:rsid w:val="00493CFA"/>
    <w:rsid w:val="00493F0F"/>
    <w:rsid w:val="00493F78"/>
    <w:rsid w:val="00494062"/>
    <w:rsid w:val="00494852"/>
    <w:rsid w:val="004948AF"/>
    <w:rsid w:val="004948CE"/>
    <w:rsid w:val="00494C6E"/>
    <w:rsid w:val="004951C8"/>
    <w:rsid w:val="0049521D"/>
    <w:rsid w:val="0049542F"/>
    <w:rsid w:val="0049551B"/>
    <w:rsid w:val="00495786"/>
    <w:rsid w:val="004957DD"/>
    <w:rsid w:val="00495C3A"/>
    <w:rsid w:val="00495CBD"/>
    <w:rsid w:val="00495D7E"/>
    <w:rsid w:val="00495FAC"/>
    <w:rsid w:val="00496007"/>
    <w:rsid w:val="00496232"/>
    <w:rsid w:val="00496321"/>
    <w:rsid w:val="00496439"/>
    <w:rsid w:val="0049656B"/>
    <w:rsid w:val="004969AF"/>
    <w:rsid w:val="00496ADC"/>
    <w:rsid w:val="00496BB2"/>
    <w:rsid w:val="00496BC2"/>
    <w:rsid w:val="00496D0E"/>
    <w:rsid w:val="00496D3C"/>
    <w:rsid w:val="00496FB5"/>
    <w:rsid w:val="004970E3"/>
    <w:rsid w:val="004975FE"/>
    <w:rsid w:val="004976AC"/>
    <w:rsid w:val="00497B8B"/>
    <w:rsid w:val="00497E9D"/>
    <w:rsid w:val="00497F25"/>
    <w:rsid w:val="00497FDA"/>
    <w:rsid w:val="004A03EA"/>
    <w:rsid w:val="004A0AD5"/>
    <w:rsid w:val="004A0AEB"/>
    <w:rsid w:val="004A1194"/>
    <w:rsid w:val="004A147D"/>
    <w:rsid w:val="004A15A9"/>
    <w:rsid w:val="004A1909"/>
    <w:rsid w:val="004A1930"/>
    <w:rsid w:val="004A1AEB"/>
    <w:rsid w:val="004A1E7D"/>
    <w:rsid w:val="004A233B"/>
    <w:rsid w:val="004A2789"/>
    <w:rsid w:val="004A28D0"/>
    <w:rsid w:val="004A298C"/>
    <w:rsid w:val="004A2B35"/>
    <w:rsid w:val="004A2C54"/>
    <w:rsid w:val="004A2D54"/>
    <w:rsid w:val="004A2EAD"/>
    <w:rsid w:val="004A2FC2"/>
    <w:rsid w:val="004A345D"/>
    <w:rsid w:val="004A384D"/>
    <w:rsid w:val="004A38F1"/>
    <w:rsid w:val="004A3C88"/>
    <w:rsid w:val="004A4301"/>
    <w:rsid w:val="004A4309"/>
    <w:rsid w:val="004A4392"/>
    <w:rsid w:val="004A4473"/>
    <w:rsid w:val="004A44FE"/>
    <w:rsid w:val="004A460E"/>
    <w:rsid w:val="004A48BF"/>
    <w:rsid w:val="004A48D8"/>
    <w:rsid w:val="004A4A1C"/>
    <w:rsid w:val="004A4B67"/>
    <w:rsid w:val="004A4DD8"/>
    <w:rsid w:val="004A4E08"/>
    <w:rsid w:val="004A4EC8"/>
    <w:rsid w:val="004A51AE"/>
    <w:rsid w:val="004A530A"/>
    <w:rsid w:val="004A5495"/>
    <w:rsid w:val="004A54A9"/>
    <w:rsid w:val="004A579D"/>
    <w:rsid w:val="004A5874"/>
    <w:rsid w:val="004A5A14"/>
    <w:rsid w:val="004A5B77"/>
    <w:rsid w:val="004A5DF3"/>
    <w:rsid w:val="004A6021"/>
    <w:rsid w:val="004A612A"/>
    <w:rsid w:val="004A6637"/>
    <w:rsid w:val="004A6A2A"/>
    <w:rsid w:val="004A6BF9"/>
    <w:rsid w:val="004A6C73"/>
    <w:rsid w:val="004A6FEE"/>
    <w:rsid w:val="004A700D"/>
    <w:rsid w:val="004A71BB"/>
    <w:rsid w:val="004A7370"/>
    <w:rsid w:val="004A73F7"/>
    <w:rsid w:val="004A7440"/>
    <w:rsid w:val="004A7760"/>
    <w:rsid w:val="004A79E3"/>
    <w:rsid w:val="004A7DF4"/>
    <w:rsid w:val="004B0130"/>
    <w:rsid w:val="004B0264"/>
    <w:rsid w:val="004B0327"/>
    <w:rsid w:val="004B0CBD"/>
    <w:rsid w:val="004B10DC"/>
    <w:rsid w:val="004B15E9"/>
    <w:rsid w:val="004B163D"/>
    <w:rsid w:val="004B1739"/>
    <w:rsid w:val="004B1910"/>
    <w:rsid w:val="004B1B28"/>
    <w:rsid w:val="004B1C25"/>
    <w:rsid w:val="004B1C30"/>
    <w:rsid w:val="004B2537"/>
    <w:rsid w:val="004B29D5"/>
    <w:rsid w:val="004B2C13"/>
    <w:rsid w:val="004B2D6C"/>
    <w:rsid w:val="004B2EBD"/>
    <w:rsid w:val="004B3123"/>
    <w:rsid w:val="004B3367"/>
    <w:rsid w:val="004B3382"/>
    <w:rsid w:val="004B3581"/>
    <w:rsid w:val="004B364D"/>
    <w:rsid w:val="004B3858"/>
    <w:rsid w:val="004B3B50"/>
    <w:rsid w:val="004B3BE9"/>
    <w:rsid w:val="004B3C20"/>
    <w:rsid w:val="004B3CDB"/>
    <w:rsid w:val="004B3DB3"/>
    <w:rsid w:val="004B413F"/>
    <w:rsid w:val="004B4199"/>
    <w:rsid w:val="004B433A"/>
    <w:rsid w:val="004B4440"/>
    <w:rsid w:val="004B4500"/>
    <w:rsid w:val="004B45B3"/>
    <w:rsid w:val="004B4B48"/>
    <w:rsid w:val="004B4B53"/>
    <w:rsid w:val="004B4C91"/>
    <w:rsid w:val="004B4E63"/>
    <w:rsid w:val="004B507C"/>
    <w:rsid w:val="004B5100"/>
    <w:rsid w:val="004B52FC"/>
    <w:rsid w:val="004B5332"/>
    <w:rsid w:val="004B56EF"/>
    <w:rsid w:val="004B56F2"/>
    <w:rsid w:val="004B5883"/>
    <w:rsid w:val="004B596D"/>
    <w:rsid w:val="004B5CAA"/>
    <w:rsid w:val="004B6451"/>
    <w:rsid w:val="004B65B7"/>
    <w:rsid w:val="004B68B7"/>
    <w:rsid w:val="004B6911"/>
    <w:rsid w:val="004B6BE0"/>
    <w:rsid w:val="004B6D32"/>
    <w:rsid w:val="004B6DA0"/>
    <w:rsid w:val="004B701E"/>
    <w:rsid w:val="004B7323"/>
    <w:rsid w:val="004B75C7"/>
    <w:rsid w:val="004B7631"/>
    <w:rsid w:val="004B76CA"/>
    <w:rsid w:val="004C00B7"/>
    <w:rsid w:val="004C0220"/>
    <w:rsid w:val="004C05A6"/>
    <w:rsid w:val="004C0645"/>
    <w:rsid w:val="004C0768"/>
    <w:rsid w:val="004C088F"/>
    <w:rsid w:val="004C0ABB"/>
    <w:rsid w:val="004C0B5D"/>
    <w:rsid w:val="004C0B9A"/>
    <w:rsid w:val="004C0F1C"/>
    <w:rsid w:val="004C0F34"/>
    <w:rsid w:val="004C13CB"/>
    <w:rsid w:val="004C1705"/>
    <w:rsid w:val="004C19C4"/>
    <w:rsid w:val="004C1C38"/>
    <w:rsid w:val="004C1D68"/>
    <w:rsid w:val="004C1EA6"/>
    <w:rsid w:val="004C23A9"/>
    <w:rsid w:val="004C29EF"/>
    <w:rsid w:val="004C2A42"/>
    <w:rsid w:val="004C2A61"/>
    <w:rsid w:val="004C2F2D"/>
    <w:rsid w:val="004C2FA1"/>
    <w:rsid w:val="004C2FF3"/>
    <w:rsid w:val="004C316F"/>
    <w:rsid w:val="004C33E1"/>
    <w:rsid w:val="004C35B1"/>
    <w:rsid w:val="004C396C"/>
    <w:rsid w:val="004C39BD"/>
    <w:rsid w:val="004C3D53"/>
    <w:rsid w:val="004C3F69"/>
    <w:rsid w:val="004C3F94"/>
    <w:rsid w:val="004C42CA"/>
    <w:rsid w:val="004C456D"/>
    <w:rsid w:val="004C47AB"/>
    <w:rsid w:val="004C47FA"/>
    <w:rsid w:val="004C49DD"/>
    <w:rsid w:val="004C4BDB"/>
    <w:rsid w:val="004C4C3E"/>
    <w:rsid w:val="004C4D5D"/>
    <w:rsid w:val="004C4F02"/>
    <w:rsid w:val="004C4FC8"/>
    <w:rsid w:val="004C50C0"/>
    <w:rsid w:val="004C5757"/>
    <w:rsid w:val="004C5B02"/>
    <w:rsid w:val="004C5BD7"/>
    <w:rsid w:val="004C60C2"/>
    <w:rsid w:val="004C6135"/>
    <w:rsid w:val="004C6289"/>
    <w:rsid w:val="004C6337"/>
    <w:rsid w:val="004C639E"/>
    <w:rsid w:val="004C64A8"/>
    <w:rsid w:val="004C66D3"/>
    <w:rsid w:val="004C6D39"/>
    <w:rsid w:val="004C73C6"/>
    <w:rsid w:val="004C7539"/>
    <w:rsid w:val="004C7641"/>
    <w:rsid w:val="004C7682"/>
    <w:rsid w:val="004C7846"/>
    <w:rsid w:val="004C78A4"/>
    <w:rsid w:val="004C7D0F"/>
    <w:rsid w:val="004D0184"/>
    <w:rsid w:val="004D02A0"/>
    <w:rsid w:val="004D04D3"/>
    <w:rsid w:val="004D0550"/>
    <w:rsid w:val="004D05C9"/>
    <w:rsid w:val="004D06E0"/>
    <w:rsid w:val="004D082B"/>
    <w:rsid w:val="004D0966"/>
    <w:rsid w:val="004D0B37"/>
    <w:rsid w:val="004D0FCB"/>
    <w:rsid w:val="004D1171"/>
    <w:rsid w:val="004D13BE"/>
    <w:rsid w:val="004D14B4"/>
    <w:rsid w:val="004D14D9"/>
    <w:rsid w:val="004D1566"/>
    <w:rsid w:val="004D15EB"/>
    <w:rsid w:val="004D17DA"/>
    <w:rsid w:val="004D17E9"/>
    <w:rsid w:val="004D1A2E"/>
    <w:rsid w:val="004D1C5D"/>
    <w:rsid w:val="004D1C8D"/>
    <w:rsid w:val="004D1ED6"/>
    <w:rsid w:val="004D240F"/>
    <w:rsid w:val="004D28C0"/>
    <w:rsid w:val="004D2946"/>
    <w:rsid w:val="004D2A45"/>
    <w:rsid w:val="004D2A79"/>
    <w:rsid w:val="004D2B67"/>
    <w:rsid w:val="004D2EFD"/>
    <w:rsid w:val="004D3045"/>
    <w:rsid w:val="004D306E"/>
    <w:rsid w:val="004D32C2"/>
    <w:rsid w:val="004D362D"/>
    <w:rsid w:val="004D3B4B"/>
    <w:rsid w:val="004D3BC0"/>
    <w:rsid w:val="004D41DB"/>
    <w:rsid w:val="004D425C"/>
    <w:rsid w:val="004D42B0"/>
    <w:rsid w:val="004D44D2"/>
    <w:rsid w:val="004D4606"/>
    <w:rsid w:val="004D4A09"/>
    <w:rsid w:val="004D4C00"/>
    <w:rsid w:val="004D4CA0"/>
    <w:rsid w:val="004D4F62"/>
    <w:rsid w:val="004D5055"/>
    <w:rsid w:val="004D508E"/>
    <w:rsid w:val="004D5229"/>
    <w:rsid w:val="004D53C6"/>
    <w:rsid w:val="004D56F7"/>
    <w:rsid w:val="004D5844"/>
    <w:rsid w:val="004D5916"/>
    <w:rsid w:val="004D5950"/>
    <w:rsid w:val="004D5954"/>
    <w:rsid w:val="004D5C6D"/>
    <w:rsid w:val="004D5CF7"/>
    <w:rsid w:val="004D5EBB"/>
    <w:rsid w:val="004D5EE9"/>
    <w:rsid w:val="004D6359"/>
    <w:rsid w:val="004D64D6"/>
    <w:rsid w:val="004D66A0"/>
    <w:rsid w:val="004D6712"/>
    <w:rsid w:val="004D6730"/>
    <w:rsid w:val="004D68FF"/>
    <w:rsid w:val="004D6982"/>
    <w:rsid w:val="004D69A2"/>
    <w:rsid w:val="004D69CC"/>
    <w:rsid w:val="004D6A4F"/>
    <w:rsid w:val="004D6B57"/>
    <w:rsid w:val="004D6C64"/>
    <w:rsid w:val="004D6CB4"/>
    <w:rsid w:val="004D6E46"/>
    <w:rsid w:val="004D721F"/>
    <w:rsid w:val="004D7316"/>
    <w:rsid w:val="004D752F"/>
    <w:rsid w:val="004D793C"/>
    <w:rsid w:val="004D7A18"/>
    <w:rsid w:val="004D7BDE"/>
    <w:rsid w:val="004D7EA9"/>
    <w:rsid w:val="004E0386"/>
    <w:rsid w:val="004E03A8"/>
    <w:rsid w:val="004E04F2"/>
    <w:rsid w:val="004E06A4"/>
    <w:rsid w:val="004E07F7"/>
    <w:rsid w:val="004E0864"/>
    <w:rsid w:val="004E08AE"/>
    <w:rsid w:val="004E0972"/>
    <w:rsid w:val="004E0D88"/>
    <w:rsid w:val="004E10FE"/>
    <w:rsid w:val="004E12AB"/>
    <w:rsid w:val="004E12C1"/>
    <w:rsid w:val="004E13E4"/>
    <w:rsid w:val="004E1468"/>
    <w:rsid w:val="004E14D0"/>
    <w:rsid w:val="004E1641"/>
    <w:rsid w:val="004E17A0"/>
    <w:rsid w:val="004E1BC7"/>
    <w:rsid w:val="004E1ECE"/>
    <w:rsid w:val="004E2325"/>
    <w:rsid w:val="004E24FE"/>
    <w:rsid w:val="004E2E44"/>
    <w:rsid w:val="004E3034"/>
    <w:rsid w:val="004E31D8"/>
    <w:rsid w:val="004E3418"/>
    <w:rsid w:val="004E34DC"/>
    <w:rsid w:val="004E382A"/>
    <w:rsid w:val="004E3BD4"/>
    <w:rsid w:val="004E3CA1"/>
    <w:rsid w:val="004E3CB3"/>
    <w:rsid w:val="004E3E02"/>
    <w:rsid w:val="004E40E4"/>
    <w:rsid w:val="004E4377"/>
    <w:rsid w:val="004E43ED"/>
    <w:rsid w:val="004E4503"/>
    <w:rsid w:val="004E451A"/>
    <w:rsid w:val="004E478D"/>
    <w:rsid w:val="004E4B14"/>
    <w:rsid w:val="004E4E47"/>
    <w:rsid w:val="004E4F11"/>
    <w:rsid w:val="004E5055"/>
    <w:rsid w:val="004E5362"/>
    <w:rsid w:val="004E54FF"/>
    <w:rsid w:val="004E55F3"/>
    <w:rsid w:val="004E5912"/>
    <w:rsid w:val="004E5A3A"/>
    <w:rsid w:val="004E5C8F"/>
    <w:rsid w:val="004E5D5A"/>
    <w:rsid w:val="004E5DFC"/>
    <w:rsid w:val="004E5F17"/>
    <w:rsid w:val="004E61FD"/>
    <w:rsid w:val="004E643B"/>
    <w:rsid w:val="004E653B"/>
    <w:rsid w:val="004E6580"/>
    <w:rsid w:val="004E675C"/>
    <w:rsid w:val="004E685D"/>
    <w:rsid w:val="004E6A1B"/>
    <w:rsid w:val="004E6B60"/>
    <w:rsid w:val="004E6D1C"/>
    <w:rsid w:val="004E6F98"/>
    <w:rsid w:val="004E70C2"/>
    <w:rsid w:val="004E70D2"/>
    <w:rsid w:val="004E7429"/>
    <w:rsid w:val="004E74EB"/>
    <w:rsid w:val="004E765A"/>
    <w:rsid w:val="004E7707"/>
    <w:rsid w:val="004E782D"/>
    <w:rsid w:val="004E7AB2"/>
    <w:rsid w:val="004E7C99"/>
    <w:rsid w:val="004E7CB3"/>
    <w:rsid w:val="004E7DAE"/>
    <w:rsid w:val="004E7F6C"/>
    <w:rsid w:val="004F03ED"/>
    <w:rsid w:val="004F04E0"/>
    <w:rsid w:val="004F0901"/>
    <w:rsid w:val="004F096C"/>
    <w:rsid w:val="004F09FC"/>
    <w:rsid w:val="004F0A20"/>
    <w:rsid w:val="004F0BA0"/>
    <w:rsid w:val="004F0C34"/>
    <w:rsid w:val="004F1052"/>
    <w:rsid w:val="004F1082"/>
    <w:rsid w:val="004F1545"/>
    <w:rsid w:val="004F17F0"/>
    <w:rsid w:val="004F1947"/>
    <w:rsid w:val="004F1AD5"/>
    <w:rsid w:val="004F247B"/>
    <w:rsid w:val="004F292C"/>
    <w:rsid w:val="004F2A07"/>
    <w:rsid w:val="004F2F80"/>
    <w:rsid w:val="004F3038"/>
    <w:rsid w:val="004F3186"/>
    <w:rsid w:val="004F318C"/>
    <w:rsid w:val="004F33A1"/>
    <w:rsid w:val="004F33DF"/>
    <w:rsid w:val="004F345B"/>
    <w:rsid w:val="004F35E1"/>
    <w:rsid w:val="004F362F"/>
    <w:rsid w:val="004F37FE"/>
    <w:rsid w:val="004F3C41"/>
    <w:rsid w:val="004F3DB6"/>
    <w:rsid w:val="004F4000"/>
    <w:rsid w:val="004F435C"/>
    <w:rsid w:val="004F44AD"/>
    <w:rsid w:val="004F45E5"/>
    <w:rsid w:val="004F4C0A"/>
    <w:rsid w:val="004F5063"/>
    <w:rsid w:val="004F52C7"/>
    <w:rsid w:val="004F56DC"/>
    <w:rsid w:val="004F59A3"/>
    <w:rsid w:val="004F5B24"/>
    <w:rsid w:val="004F5BF3"/>
    <w:rsid w:val="004F5C15"/>
    <w:rsid w:val="004F5D69"/>
    <w:rsid w:val="004F5E64"/>
    <w:rsid w:val="004F6369"/>
    <w:rsid w:val="004F6452"/>
    <w:rsid w:val="004F6A05"/>
    <w:rsid w:val="004F7369"/>
    <w:rsid w:val="004F7673"/>
    <w:rsid w:val="004F768B"/>
    <w:rsid w:val="004F794C"/>
    <w:rsid w:val="004F7A4E"/>
    <w:rsid w:val="004F7C80"/>
    <w:rsid w:val="004F7E6C"/>
    <w:rsid w:val="00500460"/>
    <w:rsid w:val="005004B3"/>
    <w:rsid w:val="0050060E"/>
    <w:rsid w:val="00500884"/>
    <w:rsid w:val="00501075"/>
    <w:rsid w:val="00501078"/>
    <w:rsid w:val="0050129A"/>
    <w:rsid w:val="00501418"/>
    <w:rsid w:val="00501771"/>
    <w:rsid w:val="00501964"/>
    <w:rsid w:val="0050199E"/>
    <w:rsid w:val="005019B6"/>
    <w:rsid w:val="00501AAD"/>
    <w:rsid w:val="00501BED"/>
    <w:rsid w:val="00501C98"/>
    <w:rsid w:val="00501D55"/>
    <w:rsid w:val="00501F15"/>
    <w:rsid w:val="00501F1C"/>
    <w:rsid w:val="005021A3"/>
    <w:rsid w:val="0050226B"/>
    <w:rsid w:val="005022A3"/>
    <w:rsid w:val="005023CC"/>
    <w:rsid w:val="00502906"/>
    <w:rsid w:val="00502BBE"/>
    <w:rsid w:val="00502D5B"/>
    <w:rsid w:val="0050303F"/>
    <w:rsid w:val="00503273"/>
    <w:rsid w:val="0050329D"/>
    <w:rsid w:val="0050329E"/>
    <w:rsid w:val="0050330D"/>
    <w:rsid w:val="00503437"/>
    <w:rsid w:val="005034C8"/>
    <w:rsid w:val="00503583"/>
    <w:rsid w:val="00503643"/>
    <w:rsid w:val="00503893"/>
    <w:rsid w:val="005038A7"/>
    <w:rsid w:val="005038D7"/>
    <w:rsid w:val="00503D95"/>
    <w:rsid w:val="00503EA8"/>
    <w:rsid w:val="00503FCB"/>
    <w:rsid w:val="00504039"/>
    <w:rsid w:val="005040BB"/>
    <w:rsid w:val="00504344"/>
    <w:rsid w:val="005044B0"/>
    <w:rsid w:val="0050456C"/>
    <w:rsid w:val="00504950"/>
    <w:rsid w:val="0050497F"/>
    <w:rsid w:val="00504D99"/>
    <w:rsid w:val="00505567"/>
    <w:rsid w:val="00505798"/>
    <w:rsid w:val="005057CE"/>
    <w:rsid w:val="00505928"/>
    <w:rsid w:val="005061C9"/>
    <w:rsid w:val="005064CD"/>
    <w:rsid w:val="005068C5"/>
    <w:rsid w:val="00506BA6"/>
    <w:rsid w:val="00506C82"/>
    <w:rsid w:val="00506CDB"/>
    <w:rsid w:val="00506E86"/>
    <w:rsid w:val="00507389"/>
    <w:rsid w:val="00507471"/>
    <w:rsid w:val="005074DB"/>
    <w:rsid w:val="00507E1B"/>
    <w:rsid w:val="00510085"/>
    <w:rsid w:val="005100E9"/>
    <w:rsid w:val="0051047A"/>
    <w:rsid w:val="0051067A"/>
    <w:rsid w:val="005106AF"/>
    <w:rsid w:val="00510CEB"/>
    <w:rsid w:val="00510DEF"/>
    <w:rsid w:val="00510E74"/>
    <w:rsid w:val="00510F51"/>
    <w:rsid w:val="00510F97"/>
    <w:rsid w:val="0051104A"/>
    <w:rsid w:val="0051105A"/>
    <w:rsid w:val="005111D3"/>
    <w:rsid w:val="00511384"/>
    <w:rsid w:val="005123DF"/>
    <w:rsid w:val="005124B1"/>
    <w:rsid w:val="00512605"/>
    <w:rsid w:val="00512732"/>
    <w:rsid w:val="005127DB"/>
    <w:rsid w:val="00512A3E"/>
    <w:rsid w:val="00512BE9"/>
    <w:rsid w:val="00512DD2"/>
    <w:rsid w:val="005133D5"/>
    <w:rsid w:val="00513917"/>
    <w:rsid w:val="00513B2D"/>
    <w:rsid w:val="00513B6B"/>
    <w:rsid w:val="00513CFB"/>
    <w:rsid w:val="00513D31"/>
    <w:rsid w:val="00514155"/>
    <w:rsid w:val="00514390"/>
    <w:rsid w:val="005148D6"/>
    <w:rsid w:val="00514931"/>
    <w:rsid w:val="00514A84"/>
    <w:rsid w:val="00514AEE"/>
    <w:rsid w:val="00514D31"/>
    <w:rsid w:val="00514DB1"/>
    <w:rsid w:val="00514E3B"/>
    <w:rsid w:val="00514E7B"/>
    <w:rsid w:val="00515068"/>
    <w:rsid w:val="005156A5"/>
    <w:rsid w:val="005156B7"/>
    <w:rsid w:val="00515824"/>
    <w:rsid w:val="00515BE3"/>
    <w:rsid w:val="00515CEE"/>
    <w:rsid w:val="00515DEA"/>
    <w:rsid w:val="00515E86"/>
    <w:rsid w:val="00515FCD"/>
    <w:rsid w:val="00516086"/>
    <w:rsid w:val="005163B0"/>
    <w:rsid w:val="0051675F"/>
    <w:rsid w:val="005169D0"/>
    <w:rsid w:val="00516EB9"/>
    <w:rsid w:val="00517125"/>
    <w:rsid w:val="005171DF"/>
    <w:rsid w:val="00517608"/>
    <w:rsid w:val="00517787"/>
    <w:rsid w:val="00517937"/>
    <w:rsid w:val="00517975"/>
    <w:rsid w:val="00517C14"/>
    <w:rsid w:val="00517C53"/>
    <w:rsid w:val="00517EE8"/>
    <w:rsid w:val="0052061B"/>
    <w:rsid w:val="00520717"/>
    <w:rsid w:val="005208A1"/>
    <w:rsid w:val="005208DD"/>
    <w:rsid w:val="00520BED"/>
    <w:rsid w:val="00520F7B"/>
    <w:rsid w:val="0052106D"/>
    <w:rsid w:val="005211EA"/>
    <w:rsid w:val="0052125E"/>
    <w:rsid w:val="00521444"/>
    <w:rsid w:val="005214B8"/>
    <w:rsid w:val="0052198D"/>
    <w:rsid w:val="00521C99"/>
    <w:rsid w:val="00521F0A"/>
    <w:rsid w:val="00521F3D"/>
    <w:rsid w:val="00522241"/>
    <w:rsid w:val="005222A2"/>
    <w:rsid w:val="0052279E"/>
    <w:rsid w:val="005227BE"/>
    <w:rsid w:val="005228E9"/>
    <w:rsid w:val="00522998"/>
    <w:rsid w:val="00522BA9"/>
    <w:rsid w:val="00522EB5"/>
    <w:rsid w:val="00522EBC"/>
    <w:rsid w:val="00522F79"/>
    <w:rsid w:val="00522FE7"/>
    <w:rsid w:val="00523290"/>
    <w:rsid w:val="005232C2"/>
    <w:rsid w:val="005235E5"/>
    <w:rsid w:val="00523819"/>
    <w:rsid w:val="00523A46"/>
    <w:rsid w:val="00523D0C"/>
    <w:rsid w:val="00523D35"/>
    <w:rsid w:val="00523DC1"/>
    <w:rsid w:val="00523F2B"/>
    <w:rsid w:val="00524338"/>
    <w:rsid w:val="005248E2"/>
    <w:rsid w:val="00524BB4"/>
    <w:rsid w:val="00524BC8"/>
    <w:rsid w:val="00524BE1"/>
    <w:rsid w:val="00524D2A"/>
    <w:rsid w:val="00524DB6"/>
    <w:rsid w:val="0052513D"/>
    <w:rsid w:val="005251AF"/>
    <w:rsid w:val="005251B1"/>
    <w:rsid w:val="00525248"/>
    <w:rsid w:val="00525361"/>
    <w:rsid w:val="005253E0"/>
    <w:rsid w:val="00525587"/>
    <w:rsid w:val="005255CC"/>
    <w:rsid w:val="00525873"/>
    <w:rsid w:val="0052590B"/>
    <w:rsid w:val="00525C07"/>
    <w:rsid w:val="00525DE6"/>
    <w:rsid w:val="00525F17"/>
    <w:rsid w:val="005260B2"/>
    <w:rsid w:val="005263E8"/>
    <w:rsid w:val="00526B35"/>
    <w:rsid w:val="00526BC2"/>
    <w:rsid w:val="00526BE0"/>
    <w:rsid w:val="00527265"/>
    <w:rsid w:val="00527308"/>
    <w:rsid w:val="0052765A"/>
    <w:rsid w:val="00527668"/>
    <w:rsid w:val="005279EF"/>
    <w:rsid w:val="00527AF8"/>
    <w:rsid w:val="00527CE2"/>
    <w:rsid w:val="005302CC"/>
    <w:rsid w:val="005303C1"/>
    <w:rsid w:val="005303D8"/>
    <w:rsid w:val="005303DD"/>
    <w:rsid w:val="0053051D"/>
    <w:rsid w:val="00530789"/>
    <w:rsid w:val="0053091E"/>
    <w:rsid w:val="0053097C"/>
    <w:rsid w:val="00530D42"/>
    <w:rsid w:val="0053124D"/>
    <w:rsid w:val="005317B6"/>
    <w:rsid w:val="00531BE8"/>
    <w:rsid w:val="00531DDB"/>
    <w:rsid w:val="0053215E"/>
    <w:rsid w:val="005324A9"/>
    <w:rsid w:val="00532988"/>
    <w:rsid w:val="00532B04"/>
    <w:rsid w:val="00532B2D"/>
    <w:rsid w:val="00532D4B"/>
    <w:rsid w:val="00532E37"/>
    <w:rsid w:val="00533DFF"/>
    <w:rsid w:val="00534226"/>
    <w:rsid w:val="00534454"/>
    <w:rsid w:val="0053452C"/>
    <w:rsid w:val="00534603"/>
    <w:rsid w:val="0053484E"/>
    <w:rsid w:val="005348EF"/>
    <w:rsid w:val="00534967"/>
    <w:rsid w:val="00534CB8"/>
    <w:rsid w:val="00534D46"/>
    <w:rsid w:val="00534EDA"/>
    <w:rsid w:val="00534FA8"/>
    <w:rsid w:val="005350E9"/>
    <w:rsid w:val="0053510E"/>
    <w:rsid w:val="005351C5"/>
    <w:rsid w:val="00535394"/>
    <w:rsid w:val="0053554B"/>
    <w:rsid w:val="0053557B"/>
    <w:rsid w:val="00535639"/>
    <w:rsid w:val="005356D1"/>
    <w:rsid w:val="005357A6"/>
    <w:rsid w:val="00535889"/>
    <w:rsid w:val="005359FE"/>
    <w:rsid w:val="00535A0E"/>
    <w:rsid w:val="00535C94"/>
    <w:rsid w:val="00536226"/>
    <w:rsid w:val="005364E5"/>
    <w:rsid w:val="0053667D"/>
    <w:rsid w:val="00536B46"/>
    <w:rsid w:val="00536CD2"/>
    <w:rsid w:val="00536EA5"/>
    <w:rsid w:val="00537461"/>
    <w:rsid w:val="00537693"/>
    <w:rsid w:val="005379CF"/>
    <w:rsid w:val="00537CC1"/>
    <w:rsid w:val="00537CDD"/>
    <w:rsid w:val="00537DFF"/>
    <w:rsid w:val="00540430"/>
    <w:rsid w:val="00540498"/>
    <w:rsid w:val="005406E9"/>
    <w:rsid w:val="005407D6"/>
    <w:rsid w:val="00540942"/>
    <w:rsid w:val="00540A87"/>
    <w:rsid w:val="00540DF6"/>
    <w:rsid w:val="00540E28"/>
    <w:rsid w:val="00540FF6"/>
    <w:rsid w:val="00541069"/>
    <w:rsid w:val="00541122"/>
    <w:rsid w:val="00541321"/>
    <w:rsid w:val="00541592"/>
    <w:rsid w:val="005416E8"/>
    <w:rsid w:val="00541918"/>
    <w:rsid w:val="00541941"/>
    <w:rsid w:val="00541C8A"/>
    <w:rsid w:val="00541F16"/>
    <w:rsid w:val="00541FFE"/>
    <w:rsid w:val="00542366"/>
    <w:rsid w:val="0054245E"/>
    <w:rsid w:val="00542552"/>
    <w:rsid w:val="005426CA"/>
    <w:rsid w:val="00542839"/>
    <w:rsid w:val="00542A5A"/>
    <w:rsid w:val="00542AE9"/>
    <w:rsid w:val="00542D4C"/>
    <w:rsid w:val="00543062"/>
    <w:rsid w:val="00543141"/>
    <w:rsid w:val="0054317E"/>
    <w:rsid w:val="005431FA"/>
    <w:rsid w:val="005432EB"/>
    <w:rsid w:val="00543301"/>
    <w:rsid w:val="00543371"/>
    <w:rsid w:val="00543769"/>
    <w:rsid w:val="00544118"/>
    <w:rsid w:val="0054416A"/>
    <w:rsid w:val="0054445C"/>
    <w:rsid w:val="005444DC"/>
    <w:rsid w:val="0054470D"/>
    <w:rsid w:val="005448BE"/>
    <w:rsid w:val="00544A97"/>
    <w:rsid w:val="00544B5A"/>
    <w:rsid w:val="00544CF7"/>
    <w:rsid w:val="005452CA"/>
    <w:rsid w:val="00545507"/>
    <w:rsid w:val="005455B8"/>
    <w:rsid w:val="00545DF5"/>
    <w:rsid w:val="00545F3B"/>
    <w:rsid w:val="005467AE"/>
    <w:rsid w:val="00546B4A"/>
    <w:rsid w:val="00546CB3"/>
    <w:rsid w:val="00546CC0"/>
    <w:rsid w:val="00546D4A"/>
    <w:rsid w:val="005470E6"/>
    <w:rsid w:val="005472EC"/>
    <w:rsid w:val="005476B9"/>
    <w:rsid w:val="005476E3"/>
    <w:rsid w:val="005477E4"/>
    <w:rsid w:val="005479D9"/>
    <w:rsid w:val="00547A1D"/>
    <w:rsid w:val="00547A2A"/>
    <w:rsid w:val="00547F6C"/>
    <w:rsid w:val="00550009"/>
    <w:rsid w:val="0055006C"/>
    <w:rsid w:val="005503F4"/>
    <w:rsid w:val="00550501"/>
    <w:rsid w:val="005505CD"/>
    <w:rsid w:val="0055070E"/>
    <w:rsid w:val="00550AE1"/>
    <w:rsid w:val="00550D34"/>
    <w:rsid w:val="00550D3C"/>
    <w:rsid w:val="00550DC2"/>
    <w:rsid w:val="00550ED5"/>
    <w:rsid w:val="005510BC"/>
    <w:rsid w:val="00551219"/>
    <w:rsid w:val="00551364"/>
    <w:rsid w:val="0055172E"/>
    <w:rsid w:val="00551AB6"/>
    <w:rsid w:val="00551B1E"/>
    <w:rsid w:val="00551BED"/>
    <w:rsid w:val="005520F9"/>
    <w:rsid w:val="005522E3"/>
    <w:rsid w:val="0055235D"/>
    <w:rsid w:val="00552C73"/>
    <w:rsid w:val="00552F0A"/>
    <w:rsid w:val="00553134"/>
    <w:rsid w:val="00553193"/>
    <w:rsid w:val="0055332D"/>
    <w:rsid w:val="0055349B"/>
    <w:rsid w:val="0055374A"/>
    <w:rsid w:val="00553998"/>
    <w:rsid w:val="00553BC6"/>
    <w:rsid w:val="00553D6C"/>
    <w:rsid w:val="005543AB"/>
    <w:rsid w:val="005544F2"/>
    <w:rsid w:val="0055462F"/>
    <w:rsid w:val="00554632"/>
    <w:rsid w:val="005546A6"/>
    <w:rsid w:val="005547D5"/>
    <w:rsid w:val="00554839"/>
    <w:rsid w:val="00554AFC"/>
    <w:rsid w:val="00554BBE"/>
    <w:rsid w:val="0055525C"/>
    <w:rsid w:val="005552C5"/>
    <w:rsid w:val="005555B3"/>
    <w:rsid w:val="00555B3E"/>
    <w:rsid w:val="00555BD4"/>
    <w:rsid w:val="00555E3D"/>
    <w:rsid w:val="00556539"/>
    <w:rsid w:val="00556587"/>
    <w:rsid w:val="005569CF"/>
    <w:rsid w:val="00556A29"/>
    <w:rsid w:val="00556A4C"/>
    <w:rsid w:val="00556AE6"/>
    <w:rsid w:val="00556BD7"/>
    <w:rsid w:val="00556EE0"/>
    <w:rsid w:val="00557122"/>
    <w:rsid w:val="005574B8"/>
    <w:rsid w:val="0055751D"/>
    <w:rsid w:val="005576FE"/>
    <w:rsid w:val="00557847"/>
    <w:rsid w:val="005579F9"/>
    <w:rsid w:val="00557A1F"/>
    <w:rsid w:val="00557B52"/>
    <w:rsid w:val="00557B71"/>
    <w:rsid w:val="00557C29"/>
    <w:rsid w:val="00557FF1"/>
    <w:rsid w:val="00560322"/>
    <w:rsid w:val="005604A2"/>
    <w:rsid w:val="005604F0"/>
    <w:rsid w:val="00560509"/>
    <w:rsid w:val="0056058F"/>
    <w:rsid w:val="00560C00"/>
    <w:rsid w:val="00560D94"/>
    <w:rsid w:val="00560E08"/>
    <w:rsid w:val="0056116B"/>
    <w:rsid w:val="00561373"/>
    <w:rsid w:val="00561381"/>
    <w:rsid w:val="00561764"/>
    <w:rsid w:val="005617A5"/>
    <w:rsid w:val="0056187A"/>
    <w:rsid w:val="005618A0"/>
    <w:rsid w:val="00561AD4"/>
    <w:rsid w:val="00561ED6"/>
    <w:rsid w:val="005622F5"/>
    <w:rsid w:val="00562325"/>
    <w:rsid w:val="0056236D"/>
    <w:rsid w:val="005625AB"/>
    <w:rsid w:val="00563318"/>
    <w:rsid w:val="005633AE"/>
    <w:rsid w:val="005637C8"/>
    <w:rsid w:val="005638BD"/>
    <w:rsid w:val="00563A7E"/>
    <w:rsid w:val="00563AB6"/>
    <w:rsid w:val="00563B42"/>
    <w:rsid w:val="00563CEB"/>
    <w:rsid w:val="00563D58"/>
    <w:rsid w:val="00563E39"/>
    <w:rsid w:val="00563ECA"/>
    <w:rsid w:val="0056423E"/>
    <w:rsid w:val="00564581"/>
    <w:rsid w:val="0056466D"/>
    <w:rsid w:val="00564773"/>
    <w:rsid w:val="00564980"/>
    <w:rsid w:val="00564B30"/>
    <w:rsid w:val="00564B5D"/>
    <w:rsid w:val="00564EEB"/>
    <w:rsid w:val="00564EFF"/>
    <w:rsid w:val="00565019"/>
    <w:rsid w:val="00565736"/>
    <w:rsid w:val="00565858"/>
    <w:rsid w:val="00565B8D"/>
    <w:rsid w:val="00565B99"/>
    <w:rsid w:val="00565BD4"/>
    <w:rsid w:val="00565BFD"/>
    <w:rsid w:val="00565C81"/>
    <w:rsid w:val="00566166"/>
    <w:rsid w:val="00566277"/>
    <w:rsid w:val="0056690C"/>
    <w:rsid w:val="00566D1F"/>
    <w:rsid w:val="00566D69"/>
    <w:rsid w:val="00566E78"/>
    <w:rsid w:val="00566E9C"/>
    <w:rsid w:val="00566EA1"/>
    <w:rsid w:val="00566FDD"/>
    <w:rsid w:val="00567156"/>
    <w:rsid w:val="00567BEA"/>
    <w:rsid w:val="005703AA"/>
    <w:rsid w:val="00570678"/>
    <w:rsid w:val="00570AB8"/>
    <w:rsid w:val="00570BAF"/>
    <w:rsid w:val="00570C5A"/>
    <w:rsid w:val="00570D92"/>
    <w:rsid w:val="00570E15"/>
    <w:rsid w:val="0057108D"/>
    <w:rsid w:val="005710FB"/>
    <w:rsid w:val="00571122"/>
    <w:rsid w:val="005711CB"/>
    <w:rsid w:val="0057125C"/>
    <w:rsid w:val="0057134E"/>
    <w:rsid w:val="00571402"/>
    <w:rsid w:val="0057162E"/>
    <w:rsid w:val="005719C5"/>
    <w:rsid w:val="00571A0D"/>
    <w:rsid w:val="00571B8B"/>
    <w:rsid w:val="00571B9A"/>
    <w:rsid w:val="00571CCD"/>
    <w:rsid w:val="0057258A"/>
    <w:rsid w:val="0057265A"/>
    <w:rsid w:val="005727D0"/>
    <w:rsid w:val="005729D1"/>
    <w:rsid w:val="00572AEE"/>
    <w:rsid w:val="00572C6C"/>
    <w:rsid w:val="00572D0D"/>
    <w:rsid w:val="0057304E"/>
    <w:rsid w:val="00573152"/>
    <w:rsid w:val="00573300"/>
    <w:rsid w:val="00573302"/>
    <w:rsid w:val="005733DE"/>
    <w:rsid w:val="0057358A"/>
    <w:rsid w:val="0057367B"/>
    <w:rsid w:val="005739C8"/>
    <w:rsid w:val="00573D30"/>
    <w:rsid w:val="00573D85"/>
    <w:rsid w:val="005740EF"/>
    <w:rsid w:val="0057417F"/>
    <w:rsid w:val="005742FB"/>
    <w:rsid w:val="00574330"/>
    <w:rsid w:val="0057478F"/>
    <w:rsid w:val="00574CF0"/>
    <w:rsid w:val="00574D03"/>
    <w:rsid w:val="00574D54"/>
    <w:rsid w:val="00574DE6"/>
    <w:rsid w:val="00574E50"/>
    <w:rsid w:val="005752C4"/>
    <w:rsid w:val="0057542D"/>
    <w:rsid w:val="005754A4"/>
    <w:rsid w:val="005754E3"/>
    <w:rsid w:val="00575A0E"/>
    <w:rsid w:val="00575BB1"/>
    <w:rsid w:val="00575E2C"/>
    <w:rsid w:val="005761B9"/>
    <w:rsid w:val="00576346"/>
    <w:rsid w:val="005766E5"/>
    <w:rsid w:val="00576850"/>
    <w:rsid w:val="005768BF"/>
    <w:rsid w:val="00576AD8"/>
    <w:rsid w:val="00576AFA"/>
    <w:rsid w:val="00576D2A"/>
    <w:rsid w:val="0057725D"/>
    <w:rsid w:val="0057726D"/>
    <w:rsid w:val="00577751"/>
    <w:rsid w:val="00577770"/>
    <w:rsid w:val="00577868"/>
    <w:rsid w:val="00577919"/>
    <w:rsid w:val="005779D5"/>
    <w:rsid w:val="00577ADA"/>
    <w:rsid w:val="00577C18"/>
    <w:rsid w:val="00577E36"/>
    <w:rsid w:val="00577E5B"/>
    <w:rsid w:val="00577EC5"/>
    <w:rsid w:val="0058027C"/>
    <w:rsid w:val="0058036A"/>
    <w:rsid w:val="0058054F"/>
    <w:rsid w:val="0058056D"/>
    <w:rsid w:val="00580672"/>
    <w:rsid w:val="00580F53"/>
    <w:rsid w:val="00581324"/>
    <w:rsid w:val="005816B9"/>
    <w:rsid w:val="00581B07"/>
    <w:rsid w:val="00581B3D"/>
    <w:rsid w:val="00581C69"/>
    <w:rsid w:val="00581D7C"/>
    <w:rsid w:val="00581D94"/>
    <w:rsid w:val="005821EB"/>
    <w:rsid w:val="005822DA"/>
    <w:rsid w:val="00582434"/>
    <w:rsid w:val="0058245B"/>
    <w:rsid w:val="00582544"/>
    <w:rsid w:val="00582A3E"/>
    <w:rsid w:val="00582C19"/>
    <w:rsid w:val="00582C92"/>
    <w:rsid w:val="00582CAA"/>
    <w:rsid w:val="00582DC4"/>
    <w:rsid w:val="00582E4F"/>
    <w:rsid w:val="0058300F"/>
    <w:rsid w:val="00583189"/>
    <w:rsid w:val="005833B9"/>
    <w:rsid w:val="0058371E"/>
    <w:rsid w:val="005837AE"/>
    <w:rsid w:val="0058382E"/>
    <w:rsid w:val="00583CEF"/>
    <w:rsid w:val="00584125"/>
    <w:rsid w:val="005842C2"/>
    <w:rsid w:val="005842DE"/>
    <w:rsid w:val="00584304"/>
    <w:rsid w:val="0058442C"/>
    <w:rsid w:val="00584433"/>
    <w:rsid w:val="00584443"/>
    <w:rsid w:val="005846BD"/>
    <w:rsid w:val="0058473C"/>
    <w:rsid w:val="00584AE7"/>
    <w:rsid w:val="00584AF1"/>
    <w:rsid w:val="00584B11"/>
    <w:rsid w:val="00584B2C"/>
    <w:rsid w:val="00584EC2"/>
    <w:rsid w:val="00585708"/>
    <w:rsid w:val="00585B39"/>
    <w:rsid w:val="00585B8E"/>
    <w:rsid w:val="00585C18"/>
    <w:rsid w:val="00585F14"/>
    <w:rsid w:val="005864CA"/>
    <w:rsid w:val="005866B7"/>
    <w:rsid w:val="00586872"/>
    <w:rsid w:val="0058693B"/>
    <w:rsid w:val="00586CB2"/>
    <w:rsid w:val="00586E13"/>
    <w:rsid w:val="00586E1D"/>
    <w:rsid w:val="00586E6E"/>
    <w:rsid w:val="00587089"/>
    <w:rsid w:val="005872F5"/>
    <w:rsid w:val="00587435"/>
    <w:rsid w:val="0058747C"/>
    <w:rsid w:val="00587553"/>
    <w:rsid w:val="00587BC7"/>
    <w:rsid w:val="00587D8E"/>
    <w:rsid w:val="005900A0"/>
    <w:rsid w:val="00590913"/>
    <w:rsid w:val="00590A29"/>
    <w:rsid w:val="00590A38"/>
    <w:rsid w:val="00590E3E"/>
    <w:rsid w:val="00590E47"/>
    <w:rsid w:val="00590EEB"/>
    <w:rsid w:val="0059111F"/>
    <w:rsid w:val="005914B4"/>
    <w:rsid w:val="005915D9"/>
    <w:rsid w:val="00591695"/>
    <w:rsid w:val="00591B28"/>
    <w:rsid w:val="00591B3F"/>
    <w:rsid w:val="00591C22"/>
    <w:rsid w:val="00591D40"/>
    <w:rsid w:val="00591D68"/>
    <w:rsid w:val="0059206C"/>
    <w:rsid w:val="005920EA"/>
    <w:rsid w:val="005920F2"/>
    <w:rsid w:val="005926AA"/>
    <w:rsid w:val="005926F9"/>
    <w:rsid w:val="0059295D"/>
    <w:rsid w:val="00592A45"/>
    <w:rsid w:val="00592A99"/>
    <w:rsid w:val="00592B0C"/>
    <w:rsid w:val="00592B66"/>
    <w:rsid w:val="00592BBF"/>
    <w:rsid w:val="00592F9C"/>
    <w:rsid w:val="00593250"/>
    <w:rsid w:val="00593339"/>
    <w:rsid w:val="005939D8"/>
    <w:rsid w:val="005939F1"/>
    <w:rsid w:val="00593A41"/>
    <w:rsid w:val="00593B63"/>
    <w:rsid w:val="00593B9A"/>
    <w:rsid w:val="00593CF8"/>
    <w:rsid w:val="00593DC5"/>
    <w:rsid w:val="00593DE2"/>
    <w:rsid w:val="00593F89"/>
    <w:rsid w:val="00594159"/>
    <w:rsid w:val="00594167"/>
    <w:rsid w:val="00594298"/>
    <w:rsid w:val="00594AC8"/>
    <w:rsid w:val="00594D3C"/>
    <w:rsid w:val="00594E71"/>
    <w:rsid w:val="0059517E"/>
    <w:rsid w:val="0059536F"/>
    <w:rsid w:val="005953A4"/>
    <w:rsid w:val="005954C8"/>
    <w:rsid w:val="005955D4"/>
    <w:rsid w:val="005957F1"/>
    <w:rsid w:val="00595882"/>
    <w:rsid w:val="00595A49"/>
    <w:rsid w:val="00595CD0"/>
    <w:rsid w:val="00595D09"/>
    <w:rsid w:val="00596014"/>
    <w:rsid w:val="005960F1"/>
    <w:rsid w:val="00596282"/>
    <w:rsid w:val="005964D9"/>
    <w:rsid w:val="00596825"/>
    <w:rsid w:val="0059696F"/>
    <w:rsid w:val="00596A9E"/>
    <w:rsid w:val="00597073"/>
    <w:rsid w:val="0059765D"/>
    <w:rsid w:val="005976C2"/>
    <w:rsid w:val="005979A3"/>
    <w:rsid w:val="005979BD"/>
    <w:rsid w:val="00597B92"/>
    <w:rsid w:val="00597ED4"/>
    <w:rsid w:val="00597FF6"/>
    <w:rsid w:val="005A0090"/>
    <w:rsid w:val="005A0224"/>
    <w:rsid w:val="005A02A2"/>
    <w:rsid w:val="005A02B0"/>
    <w:rsid w:val="005A0364"/>
    <w:rsid w:val="005A0452"/>
    <w:rsid w:val="005A065A"/>
    <w:rsid w:val="005A0D6B"/>
    <w:rsid w:val="005A0E9F"/>
    <w:rsid w:val="005A1050"/>
    <w:rsid w:val="005A1363"/>
    <w:rsid w:val="005A1685"/>
    <w:rsid w:val="005A1693"/>
    <w:rsid w:val="005A1740"/>
    <w:rsid w:val="005A181D"/>
    <w:rsid w:val="005A189A"/>
    <w:rsid w:val="005A18FC"/>
    <w:rsid w:val="005A1A7A"/>
    <w:rsid w:val="005A1AA5"/>
    <w:rsid w:val="005A1C07"/>
    <w:rsid w:val="005A2036"/>
    <w:rsid w:val="005A2097"/>
    <w:rsid w:val="005A2738"/>
    <w:rsid w:val="005A2867"/>
    <w:rsid w:val="005A2B38"/>
    <w:rsid w:val="005A2B76"/>
    <w:rsid w:val="005A2C47"/>
    <w:rsid w:val="005A2DAC"/>
    <w:rsid w:val="005A2EB6"/>
    <w:rsid w:val="005A308B"/>
    <w:rsid w:val="005A32FD"/>
    <w:rsid w:val="005A33AC"/>
    <w:rsid w:val="005A3432"/>
    <w:rsid w:val="005A35E6"/>
    <w:rsid w:val="005A3985"/>
    <w:rsid w:val="005A3A2D"/>
    <w:rsid w:val="005A3D05"/>
    <w:rsid w:val="005A3DFA"/>
    <w:rsid w:val="005A3E1F"/>
    <w:rsid w:val="005A3E3A"/>
    <w:rsid w:val="005A4785"/>
    <w:rsid w:val="005A480C"/>
    <w:rsid w:val="005A482B"/>
    <w:rsid w:val="005A4B40"/>
    <w:rsid w:val="005A4F04"/>
    <w:rsid w:val="005A4F60"/>
    <w:rsid w:val="005A4FC0"/>
    <w:rsid w:val="005A5183"/>
    <w:rsid w:val="005A51AE"/>
    <w:rsid w:val="005A5280"/>
    <w:rsid w:val="005A52CA"/>
    <w:rsid w:val="005A56A0"/>
    <w:rsid w:val="005A5790"/>
    <w:rsid w:val="005A57A6"/>
    <w:rsid w:val="005A589B"/>
    <w:rsid w:val="005A5B62"/>
    <w:rsid w:val="005A5BA8"/>
    <w:rsid w:val="005A5D4E"/>
    <w:rsid w:val="005A5E86"/>
    <w:rsid w:val="005A5FF6"/>
    <w:rsid w:val="005A631D"/>
    <w:rsid w:val="005A6332"/>
    <w:rsid w:val="005A641F"/>
    <w:rsid w:val="005A6436"/>
    <w:rsid w:val="005A65E7"/>
    <w:rsid w:val="005A661C"/>
    <w:rsid w:val="005A66E7"/>
    <w:rsid w:val="005A69BF"/>
    <w:rsid w:val="005A69C7"/>
    <w:rsid w:val="005A69F5"/>
    <w:rsid w:val="005A6CF6"/>
    <w:rsid w:val="005A6D8E"/>
    <w:rsid w:val="005A6F1F"/>
    <w:rsid w:val="005A6FB0"/>
    <w:rsid w:val="005A716B"/>
    <w:rsid w:val="005A7353"/>
    <w:rsid w:val="005A73A9"/>
    <w:rsid w:val="005A74FC"/>
    <w:rsid w:val="005A7704"/>
    <w:rsid w:val="005A7BDA"/>
    <w:rsid w:val="005B06E9"/>
    <w:rsid w:val="005B0735"/>
    <w:rsid w:val="005B07EC"/>
    <w:rsid w:val="005B088C"/>
    <w:rsid w:val="005B0AF8"/>
    <w:rsid w:val="005B0F5D"/>
    <w:rsid w:val="005B1347"/>
    <w:rsid w:val="005B194C"/>
    <w:rsid w:val="005B1FD6"/>
    <w:rsid w:val="005B215A"/>
    <w:rsid w:val="005B2188"/>
    <w:rsid w:val="005B23C8"/>
    <w:rsid w:val="005B2426"/>
    <w:rsid w:val="005B2441"/>
    <w:rsid w:val="005B2531"/>
    <w:rsid w:val="005B26C2"/>
    <w:rsid w:val="005B26FC"/>
    <w:rsid w:val="005B2CCA"/>
    <w:rsid w:val="005B2F13"/>
    <w:rsid w:val="005B317F"/>
    <w:rsid w:val="005B3255"/>
    <w:rsid w:val="005B3343"/>
    <w:rsid w:val="005B3545"/>
    <w:rsid w:val="005B3903"/>
    <w:rsid w:val="005B3C8C"/>
    <w:rsid w:val="005B3D4D"/>
    <w:rsid w:val="005B404E"/>
    <w:rsid w:val="005B4416"/>
    <w:rsid w:val="005B4584"/>
    <w:rsid w:val="005B4635"/>
    <w:rsid w:val="005B4722"/>
    <w:rsid w:val="005B489E"/>
    <w:rsid w:val="005B4EEF"/>
    <w:rsid w:val="005B4F59"/>
    <w:rsid w:val="005B51AD"/>
    <w:rsid w:val="005B51FF"/>
    <w:rsid w:val="005B5950"/>
    <w:rsid w:val="005B5A87"/>
    <w:rsid w:val="005B5CA8"/>
    <w:rsid w:val="005B5DAB"/>
    <w:rsid w:val="005B5E18"/>
    <w:rsid w:val="005B61F5"/>
    <w:rsid w:val="005B65B0"/>
    <w:rsid w:val="005B6656"/>
    <w:rsid w:val="005B6664"/>
    <w:rsid w:val="005B699B"/>
    <w:rsid w:val="005B6C67"/>
    <w:rsid w:val="005B70DB"/>
    <w:rsid w:val="005B73CB"/>
    <w:rsid w:val="005B7442"/>
    <w:rsid w:val="005B75D1"/>
    <w:rsid w:val="005B772C"/>
    <w:rsid w:val="005B7753"/>
    <w:rsid w:val="005B7925"/>
    <w:rsid w:val="005B7B78"/>
    <w:rsid w:val="005B7B80"/>
    <w:rsid w:val="005C0234"/>
    <w:rsid w:val="005C036F"/>
    <w:rsid w:val="005C048D"/>
    <w:rsid w:val="005C05A7"/>
    <w:rsid w:val="005C0783"/>
    <w:rsid w:val="005C0B89"/>
    <w:rsid w:val="005C0BBF"/>
    <w:rsid w:val="005C0CEC"/>
    <w:rsid w:val="005C112F"/>
    <w:rsid w:val="005C1393"/>
    <w:rsid w:val="005C14A7"/>
    <w:rsid w:val="005C154A"/>
    <w:rsid w:val="005C19E5"/>
    <w:rsid w:val="005C1AC8"/>
    <w:rsid w:val="005C1B92"/>
    <w:rsid w:val="005C1CC6"/>
    <w:rsid w:val="005C1D7D"/>
    <w:rsid w:val="005C2602"/>
    <w:rsid w:val="005C2ACD"/>
    <w:rsid w:val="005C2C2B"/>
    <w:rsid w:val="005C2E6B"/>
    <w:rsid w:val="005C371F"/>
    <w:rsid w:val="005C37A0"/>
    <w:rsid w:val="005C37DE"/>
    <w:rsid w:val="005C3E65"/>
    <w:rsid w:val="005C4169"/>
    <w:rsid w:val="005C45D9"/>
    <w:rsid w:val="005C47F1"/>
    <w:rsid w:val="005C4849"/>
    <w:rsid w:val="005C48B4"/>
    <w:rsid w:val="005C4A6A"/>
    <w:rsid w:val="005C4D1E"/>
    <w:rsid w:val="005C5030"/>
    <w:rsid w:val="005C511F"/>
    <w:rsid w:val="005C527C"/>
    <w:rsid w:val="005C52E5"/>
    <w:rsid w:val="005C552B"/>
    <w:rsid w:val="005C562A"/>
    <w:rsid w:val="005C5798"/>
    <w:rsid w:val="005C57C6"/>
    <w:rsid w:val="005C57D9"/>
    <w:rsid w:val="005C58A5"/>
    <w:rsid w:val="005C59CF"/>
    <w:rsid w:val="005C5CB0"/>
    <w:rsid w:val="005C6264"/>
    <w:rsid w:val="005C62F9"/>
    <w:rsid w:val="005C68A4"/>
    <w:rsid w:val="005C6A2F"/>
    <w:rsid w:val="005C6CBD"/>
    <w:rsid w:val="005C6CE8"/>
    <w:rsid w:val="005C6CEC"/>
    <w:rsid w:val="005C6D86"/>
    <w:rsid w:val="005C6E11"/>
    <w:rsid w:val="005C7027"/>
    <w:rsid w:val="005C709F"/>
    <w:rsid w:val="005C711F"/>
    <w:rsid w:val="005C7410"/>
    <w:rsid w:val="005C746E"/>
    <w:rsid w:val="005C74D6"/>
    <w:rsid w:val="005C75BA"/>
    <w:rsid w:val="005C7B06"/>
    <w:rsid w:val="005C7BB6"/>
    <w:rsid w:val="005C7BEE"/>
    <w:rsid w:val="005C7D69"/>
    <w:rsid w:val="005C7F01"/>
    <w:rsid w:val="005D04BC"/>
    <w:rsid w:val="005D05DD"/>
    <w:rsid w:val="005D08A0"/>
    <w:rsid w:val="005D0C1F"/>
    <w:rsid w:val="005D0C35"/>
    <w:rsid w:val="005D0E1D"/>
    <w:rsid w:val="005D1292"/>
    <w:rsid w:val="005D1298"/>
    <w:rsid w:val="005D133F"/>
    <w:rsid w:val="005D139A"/>
    <w:rsid w:val="005D1848"/>
    <w:rsid w:val="005D199C"/>
    <w:rsid w:val="005D1A8B"/>
    <w:rsid w:val="005D1BA6"/>
    <w:rsid w:val="005D20EF"/>
    <w:rsid w:val="005D20F0"/>
    <w:rsid w:val="005D21FC"/>
    <w:rsid w:val="005D22DF"/>
    <w:rsid w:val="005D22E8"/>
    <w:rsid w:val="005D25C3"/>
    <w:rsid w:val="005D25C9"/>
    <w:rsid w:val="005D2657"/>
    <w:rsid w:val="005D26E1"/>
    <w:rsid w:val="005D28C8"/>
    <w:rsid w:val="005D2AB3"/>
    <w:rsid w:val="005D2ADA"/>
    <w:rsid w:val="005D2B47"/>
    <w:rsid w:val="005D2E52"/>
    <w:rsid w:val="005D2EB2"/>
    <w:rsid w:val="005D3322"/>
    <w:rsid w:val="005D3500"/>
    <w:rsid w:val="005D379D"/>
    <w:rsid w:val="005D39F7"/>
    <w:rsid w:val="005D3AEB"/>
    <w:rsid w:val="005D3D6C"/>
    <w:rsid w:val="005D4140"/>
    <w:rsid w:val="005D4184"/>
    <w:rsid w:val="005D42C6"/>
    <w:rsid w:val="005D43B0"/>
    <w:rsid w:val="005D43F2"/>
    <w:rsid w:val="005D4B7A"/>
    <w:rsid w:val="005D4C2F"/>
    <w:rsid w:val="005D4E24"/>
    <w:rsid w:val="005D4F7A"/>
    <w:rsid w:val="005D51B0"/>
    <w:rsid w:val="005D52D9"/>
    <w:rsid w:val="005D5453"/>
    <w:rsid w:val="005D5456"/>
    <w:rsid w:val="005D55EA"/>
    <w:rsid w:val="005D59B4"/>
    <w:rsid w:val="005D5C4C"/>
    <w:rsid w:val="005D5C64"/>
    <w:rsid w:val="005D5F72"/>
    <w:rsid w:val="005D5FB9"/>
    <w:rsid w:val="005D6316"/>
    <w:rsid w:val="005D641B"/>
    <w:rsid w:val="005D6445"/>
    <w:rsid w:val="005D6BE1"/>
    <w:rsid w:val="005D6C85"/>
    <w:rsid w:val="005D6EA5"/>
    <w:rsid w:val="005D71B9"/>
    <w:rsid w:val="005D748E"/>
    <w:rsid w:val="005D7B30"/>
    <w:rsid w:val="005D7CFC"/>
    <w:rsid w:val="005D7ECC"/>
    <w:rsid w:val="005D7F9C"/>
    <w:rsid w:val="005E058B"/>
    <w:rsid w:val="005E0E22"/>
    <w:rsid w:val="005E0EFE"/>
    <w:rsid w:val="005E0F4B"/>
    <w:rsid w:val="005E0FC9"/>
    <w:rsid w:val="005E10B7"/>
    <w:rsid w:val="005E111B"/>
    <w:rsid w:val="005E1290"/>
    <w:rsid w:val="005E1312"/>
    <w:rsid w:val="005E1513"/>
    <w:rsid w:val="005E1AD6"/>
    <w:rsid w:val="005E1ED9"/>
    <w:rsid w:val="005E222C"/>
    <w:rsid w:val="005E2232"/>
    <w:rsid w:val="005E233F"/>
    <w:rsid w:val="005E23E0"/>
    <w:rsid w:val="005E26E8"/>
    <w:rsid w:val="005E2D14"/>
    <w:rsid w:val="005E3163"/>
    <w:rsid w:val="005E318C"/>
    <w:rsid w:val="005E318F"/>
    <w:rsid w:val="005E35F2"/>
    <w:rsid w:val="005E3623"/>
    <w:rsid w:val="005E3688"/>
    <w:rsid w:val="005E3968"/>
    <w:rsid w:val="005E3A29"/>
    <w:rsid w:val="005E3C3D"/>
    <w:rsid w:val="005E3CD8"/>
    <w:rsid w:val="005E3EE2"/>
    <w:rsid w:val="005E4200"/>
    <w:rsid w:val="005E428D"/>
    <w:rsid w:val="005E4497"/>
    <w:rsid w:val="005E470F"/>
    <w:rsid w:val="005E481E"/>
    <w:rsid w:val="005E482E"/>
    <w:rsid w:val="005E4C1A"/>
    <w:rsid w:val="005E4D18"/>
    <w:rsid w:val="005E4D7F"/>
    <w:rsid w:val="005E5178"/>
    <w:rsid w:val="005E5182"/>
    <w:rsid w:val="005E535E"/>
    <w:rsid w:val="005E5408"/>
    <w:rsid w:val="005E5578"/>
    <w:rsid w:val="005E55B3"/>
    <w:rsid w:val="005E55C3"/>
    <w:rsid w:val="005E5630"/>
    <w:rsid w:val="005E587C"/>
    <w:rsid w:val="005E5C21"/>
    <w:rsid w:val="005E5CE0"/>
    <w:rsid w:val="005E606A"/>
    <w:rsid w:val="005E6369"/>
    <w:rsid w:val="005E6387"/>
    <w:rsid w:val="005E6771"/>
    <w:rsid w:val="005E690D"/>
    <w:rsid w:val="005E6CDB"/>
    <w:rsid w:val="005E6D63"/>
    <w:rsid w:val="005E6F1D"/>
    <w:rsid w:val="005E732C"/>
    <w:rsid w:val="005E73AB"/>
    <w:rsid w:val="005E77F9"/>
    <w:rsid w:val="005E7F95"/>
    <w:rsid w:val="005F02FF"/>
    <w:rsid w:val="005F0303"/>
    <w:rsid w:val="005F033E"/>
    <w:rsid w:val="005F054D"/>
    <w:rsid w:val="005F06F1"/>
    <w:rsid w:val="005F0848"/>
    <w:rsid w:val="005F0B9F"/>
    <w:rsid w:val="005F0E6C"/>
    <w:rsid w:val="005F1150"/>
    <w:rsid w:val="005F1668"/>
    <w:rsid w:val="005F1960"/>
    <w:rsid w:val="005F1AAD"/>
    <w:rsid w:val="005F1C48"/>
    <w:rsid w:val="005F1CB1"/>
    <w:rsid w:val="005F1CE3"/>
    <w:rsid w:val="005F1DB9"/>
    <w:rsid w:val="005F1E8E"/>
    <w:rsid w:val="005F2186"/>
    <w:rsid w:val="005F2473"/>
    <w:rsid w:val="005F26A8"/>
    <w:rsid w:val="005F283E"/>
    <w:rsid w:val="005F2971"/>
    <w:rsid w:val="005F2FD6"/>
    <w:rsid w:val="005F3191"/>
    <w:rsid w:val="005F33DA"/>
    <w:rsid w:val="005F33DE"/>
    <w:rsid w:val="005F34E8"/>
    <w:rsid w:val="005F3545"/>
    <w:rsid w:val="005F3728"/>
    <w:rsid w:val="005F3932"/>
    <w:rsid w:val="005F3A39"/>
    <w:rsid w:val="005F3CAD"/>
    <w:rsid w:val="005F3D3B"/>
    <w:rsid w:val="005F3E75"/>
    <w:rsid w:val="005F3F0A"/>
    <w:rsid w:val="005F3F37"/>
    <w:rsid w:val="005F3FBD"/>
    <w:rsid w:val="005F4334"/>
    <w:rsid w:val="005F45F4"/>
    <w:rsid w:val="005F4616"/>
    <w:rsid w:val="005F4683"/>
    <w:rsid w:val="005F473D"/>
    <w:rsid w:val="005F49A2"/>
    <w:rsid w:val="005F4DFA"/>
    <w:rsid w:val="005F4FD6"/>
    <w:rsid w:val="005F5727"/>
    <w:rsid w:val="005F57AC"/>
    <w:rsid w:val="005F59AF"/>
    <w:rsid w:val="005F5EFE"/>
    <w:rsid w:val="005F5FF0"/>
    <w:rsid w:val="005F6419"/>
    <w:rsid w:val="005F6606"/>
    <w:rsid w:val="005F698E"/>
    <w:rsid w:val="005F6BC5"/>
    <w:rsid w:val="005F6BDB"/>
    <w:rsid w:val="005F6D92"/>
    <w:rsid w:val="005F6E20"/>
    <w:rsid w:val="005F6F6E"/>
    <w:rsid w:val="005F6FB9"/>
    <w:rsid w:val="005F71A9"/>
    <w:rsid w:val="005F71BB"/>
    <w:rsid w:val="005F74DC"/>
    <w:rsid w:val="005F773D"/>
    <w:rsid w:val="005F77C7"/>
    <w:rsid w:val="005F77E8"/>
    <w:rsid w:val="005F78C7"/>
    <w:rsid w:val="005F7952"/>
    <w:rsid w:val="005F7D4F"/>
    <w:rsid w:val="00600060"/>
    <w:rsid w:val="0060054B"/>
    <w:rsid w:val="006005A9"/>
    <w:rsid w:val="0060066E"/>
    <w:rsid w:val="00600E12"/>
    <w:rsid w:val="00600F9A"/>
    <w:rsid w:val="00601016"/>
    <w:rsid w:val="00601029"/>
    <w:rsid w:val="00601092"/>
    <w:rsid w:val="006013AE"/>
    <w:rsid w:val="0060143F"/>
    <w:rsid w:val="006019AB"/>
    <w:rsid w:val="00601ADF"/>
    <w:rsid w:val="00601B74"/>
    <w:rsid w:val="00601C75"/>
    <w:rsid w:val="00601E18"/>
    <w:rsid w:val="00601F7A"/>
    <w:rsid w:val="00601FBE"/>
    <w:rsid w:val="0060201E"/>
    <w:rsid w:val="00602114"/>
    <w:rsid w:val="006025D3"/>
    <w:rsid w:val="006027EF"/>
    <w:rsid w:val="006029DD"/>
    <w:rsid w:val="00602D54"/>
    <w:rsid w:val="00603128"/>
    <w:rsid w:val="00603136"/>
    <w:rsid w:val="0060315D"/>
    <w:rsid w:val="00603161"/>
    <w:rsid w:val="006032A3"/>
    <w:rsid w:val="006035FA"/>
    <w:rsid w:val="00603619"/>
    <w:rsid w:val="00603697"/>
    <w:rsid w:val="00603885"/>
    <w:rsid w:val="00603E2E"/>
    <w:rsid w:val="00603FEE"/>
    <w:rsid w:val="00604088"/>
    <w:rsid w:val="0060409F"/>
    <w:rsid w:val="006042E7"/>
    <w:rsid w:val="006043A1"/>
    <w:rsid w:val="006046C7"/>
    <w:rsid w:val="0060472C"/>
    <w:rsid w:val="00604817"/>
    <w:rsid w:val="006049D6"/>
    <w:rsid w:val="006049E8"/>
    <w:rsid w:val="00604ADE"/>
    <w:rsid w:val="00604B9A"/>
    <w:rsid w:val="00604D00"/>
    <w:rsid w:val="006050F2"/>
    <w:rsid w:val="006051B9"/>
    <w:rsid w:val="006052F4"/>
    <w:rsid w:val="006053DE"/>
    <w:rsid w:val="00605426"/>
    <w:rsid w:val="006055AE"/>
    <w:rsid w:val="006057AE"/>
    <w:rsid w:val="006058AF"/>
    <w:rsid w:val="0060592F"/>
    <w:rsid w:val="00605B85"/>
    <w:rsid w:val="006060D3"/>
    <w:rsid w:val="00606C17"/>
    <w:rsid w:val="00606E61"/>
    <w:rsid w:val="00607468"/>
    <w:rsid w:val="006075EF"/>
    <w:rsid w:val="00607644"/>
    <w:rsid w:val="0060778E"/>
    <w:rsid w:val="00607DFE"/>
    <w:rsid w:val="0061009D"/>
    <w:rsid w:val="00610140"/>
    <w:rsid w:val="0061054C"/>
    <w:rsid w:val="00610574"/>
    <w:rsid w:val="00610744"/>
    <w:rsid w:val="006107E0"/>
    <w:rsid w:val="00610970"/>
    <w:rsid w:val="00610D7E"/>
    <w:rsid w:val="00610E84"/>
    <w:rsid w:val="0061100F"/>
    <w:rsid w:val="00611380"/>
    <w:rsid w:val="006114BA"/>
    <w:rsid w:val="00611D27"/>
    <w:rsid w:val="00611DC3"/>
    <w:rsid w:val="00611F80"/>
    <w:rsid w:val="00612189"/>
    <w:rsid w:val="00612288"/>
    <w:rsid w:val="006122E5"/>
    <w:rsid w:val="006124D9"/>
    <w:rsid w:val="0061257D"/>
    <w:rsid w:val="006125BC"/>
    <w:rsid w:val="006125DE"/>
    <w:rsid w:val="00612A1E"/>
    <w:rsid w:val="00612AC1"/>
    <w:rsid w:val="00612F5B"/>
    <w:rsid w:val="00613562"/>
    <w:rsid w:val="00613662"/>
    <w:rsid w:val="0061388F"/>
    <w:rsid w:val="00613CE8"/>
    <w:rsid w:val="00613F46"/>
    <w:rsid w:val="0061404E"/>
    <w:rsid w:val="0061444D"/>
    <w:rsid w:val="0061454A"/>
    <w:rsid w:val="006145D6"/>
    <w:rsid w:val="006147CA"/>
    <w:rsid w:val="00614826"/>
    <w:rsid w:val="006149EB"/>
    <w:rsid w:val="00614E07"/>
    <w:rsid w:val="00614F49"/>
    <w:rsid w:val="006153A9"/>
    <w:rsid w:val="0061568D"/>
    <w:rsid w:val="0061576E"/>
    <w:rsid w:val="00615D1A"/>
    <w:rsid w:val="00615E5B"/>
    <w:rsid w:val="00615EE1"/>
    <w:rsid w:val="006160D1"/>
    <w:rsid w:val="0061633F"/>
    <w:rsid w:val="006164BE"/>
    <w:rsid w:val="006167A1"/>
    <w:rsid w:val="00616ABF"/>
    <w:rsid w:val="00616B60"/>
    <w:rsid w:val="00616CA4"/>
    <w:rsid w:val="00616E00"/>
    <w:rsid w:val="00616E84"/>
    <w:rsid w:val="00616F91"/>
    <w:rsid w:val="00616FED"/>
    <w:rsid w:val="00617520"/>
    <w:rsid w:val="00617541"/>
    <w:rsid w:val="006175EB"/>
    <w:rsid w:val="006178E6"/>
    <w:rsid w:val="006179B9"/>
    <w:rsid w:val="00617AC1"/>
    <w:rsid w:val="00617AD0"/>
    <w:rsid w:val="00617B37"/>
    <w:rsid w:val="00620109"/>
    <w:rsid w:val="0062040F"/>
    <w:rsid w:val="00620685"/>
    <w:rsid w:val="0062088E"/>
    <w:rsid w:val="00620C16"/>
    <w:rsid w:val="00620E37"/>
    <w:rsid w:val="00620F20"/>
    <w:rsid w:val="006211C3"/>
    <w:rsid w:val="0062178F"/>
    <w:rsid w:val="00621AA7"/>
    <w:rsid w:val="00622074"/>
    <w:rsid w:val="006223E0"/>
    <w:rsid w:val="006223E6"/>
    <w:rsid w:val="00622448"/>
    <w:rsid w:val="006229B7"/>
    <w:rsid w:val="00622B0A"/>
    <w:rsid w:val="00622D6E"/>
    <w:rsid w:val="006230A2"/>
    <w:rsid w:val="006232A1"/>
    <w:rsid w:val="00623371"/>
    <w:rsid w:val="006235A9"/>
    <w:rsid w:val="00623A22"/>
    <w:rsid w:val="00623B05"/>
    <w:rsid w:val="00623CED"/>
    <w:rsid w:val="00624033"/>
    <w:rsid w:val="0062439D"/>
    <w:rsid w:val="006243E5"/>
    <w:rsid w:val="006244D9"/>
    <w:rsid w:val="00624675"/>
    <w:rsid w:val="0062488B"/>
    <w:rsid w:val="00624B67"/>
    <w:rsid w:val="00624C9F"/>
    <w:rsid w:val="00624E7C"/>
    <w:rsid w:val="00624F8C"/>
    <w:rsid w:val="006251C8"/>
    <w:rsid w:val="00625234"/>
    <w:rsid w:val="0062523D"/>
    <w:rsid w:val="00625240"/>
    <w:rsid w:val="006252CF"/>
    <w:rsid w:val="0062542D"/>
    <w:rsid w:val="006256BB"/>
    <w:rsid w:val="006257A1"/>
    <w:rsid w:val="00625B4E"/>
    <w:rsid w:val="00625BFA"/>
    <w:rsid w:val="0062621E"/>
    <w:rsid w:val="006263FD"/>
    <w:rsid w:val="00626487"/>
    <w:rsid w:val="006265DD"/>
    <w:rsid w:val="0062689E"/>
    <w:rsid w:val="00626A56"/>
    <w:rsid w:val="00626B4C"/>
    <w:rsid w:val="00626E91"/>
    <w:rsid w:val="00627193"/>
    <w:rsid w:val="006271B4"/>
    <w:rsid w:val="006272DF"/>
    <w:rsid w:val="00627333"/>
    <w:rsid w:val="00627549"/>
    <w:rsid w:val="0062756B"/>
    <w:rsid w:val="00627624"/>
    <w:rsid w:val="0062765F"/>
    <w:rsid w:val="0062768D"/>
    <w:rsid w:val="006277A0"/>
    <w:rsid w:val="00630446"/>
    <w:rsid w:val="006306C3"/>
    <w:rsid w:val="0063080C"/>
    <w:rsid w:val="00630860"/>
    <w:rsid w:val="00630912"/>
    <w:rsid w:val="00631204"/>
    <w:rsid w:val="0063131C"/>
    <w:rsid w:val="00631611"/>
    <w:rsid w:val="00631788"/>
    <w:rsid w:val="00631928"/>
    <w:rsid w:val="00631B26"/>
    <w:rsid w:val="00631E38"/>
    <w:rsid w:val="00631F24"/>
    <w:rsid w:val="00631FD0"/>
    <w:rsid w:val="006321FB"/>
    <w:rsid w:val="00632392"/>
    <w:rsid w:val="00632465"/>
    <w:rsid w:val="00632496"/>
    <w:rsid w:val="0063262B"/>
    <w:rsid w:val="006326BF"/>
    <w:rsid w:val="00632787"/>
    <w:rsid w:val="00632E02"/>
    <w:rsid w:val="00632E9D"/>
    <w:rsid w:val="00633267"/>
    <w:rsid w:val="00633407"/>
    <w:rsid w:val="00633594"/>
    <w:rsid w:val="006336DF"/>
    <w:rsid w:val="0063378E"/>
    <w:rsid w:val="00633B23"/>
    <w:rsid w:val="00633F2B"/>
    <w:rsid w:val="00633F6C"/>
    <w:rsid w:val="0063405D"/>
    <w:rsid w:val="006343D8"/>
    <w:rsid w:val="00634AEB"/>
    <w:rsid w:val="00634B57"/>
    <w:rsid w:val="00634BBB"/>
    <w:rsid w:val="00634C9D"/>
    <w:rsid w:val="00634DEE"/>
    <w:rsid w:val="00634F1F"/>
    <w:rsid w:val="00635230"/>
    <w:rsid w:val="00635319"/>
    <w:rsid w:val="0063544A"/>
    <w:rsid w:val="00635858"/>
    <w:rsid w:val="00635B32"/>
    <w:rsid w:val="00635DF5"/>
    <w:rsid w:val="0063610B"/>
    <w:rsid w:val="006366F0"/>
    <w:rsid w:val="0063694C"/>
    <w:rsid w:val="00636ADF"/>
    <w:rsid w:val="00636C5A"/>
    <w:rsid w:val="00636E96"/>
    <w:rsid w:val="00636F39"/>
    <w:rsid w:val="0063701C"/>
    <w:rsid w:val="006370E4"/>
    <w:rsid w:val="006371E7"/>
    <w:rsid w:val="006373AE"/>
    <w:rsid w:val="0063744C"/>
    <w:rsid w:val="0063747B"/>
    <w:rsid w:val="00637821"/>
    <w:rsid w:val="00637B85"/>
    <w:rsid w:val="00637DF4"/>
    <w:rsid w:val="00637F90"/>
    <w:rsid w:val="006401E5"/>
    <w:rsid w:val="00640334"/>
    <w:rsid w:val="00640358"/>
    <w:rsid w:val="00640505"/>
    <w:rsid w:val="006406AD"/>
    <w:rsid w:val="006407B8"/>
    <w:rsid w:val="0064090E"/>
    <w:rsid w:val="0064093F"/>
    <w:rsid w:val="006409F2"/>
    <w:rsid w:val="00640A4E"/>
    <w:rsid w:val="00640C34"/>
    <w:rsid w:val="00640E0C"/>
    <w:rsid w:val="00640FD8"/>
    <w:rsid w:val="00640FFB"/>
    <w:rsid w:val="0064153C"/>
    <w:rsid w:val="00641917"/>
    <w:rsid w:val="00641AC6"/>
    <w:rsid w:val="00641B67"/>
    <w:rsid w:val="00641B77"/>
    <w:rsid w:val="00641CA9"/>
    <w:rsid w:val="006421FB"/>
    <w:rsid w:val="006425CB"/>
    <w:rsid w:val="006426FF"/>
    <w:rsid w:val="00642774"/>
    <w:rsid w:val="00642805"/>
    <w:rsid w:val="00642FE1"/>
    <w:rsid w:val="006432CF"/>
    <w:rsid w:val="006433B8"/>
    <w:rsid w:val="006433EC"/>
    <w:rsid w:val="00643453"/>
    <w:rsid w:val="00643462"/>
    <w:rsid w:val="006437D4"/>
    <w:rsid w:val="00643A31"/>
    <w:rsid w:val="00643AB4"/>
    <w:rsid w:val="00643C5D"/>
    <w:rsid w:val="006444FE"/>
    <w:rsid w:val="0064498E"/>
    <w:rsid w:val="00644A66"/>
    <w:rsid w:val="00644B53"/>
    <w:rsid w:val="0064516C"/>
    <w:rsid w:val="006456CC"/>
    <w:rsid w:val="00645813"/>
    <w:rsid w:val="006459EC"/>
    <w:rsid w:val="00645A9A"/>
    <w:rsid w:val="00645C07"/>
    <w:rsid w:val="00645D75"/>
    <w:rsid w:val="00645EF7"/>
    <w:rsid w:val="00645F4F"/>
    <w:rsid w:val="006462B0"/>
    <w:rsid w:val="006466D1"/>
    <w:rsid w:val="00646B46"/>
    <w:rsid w:val="00646C24"/>
    <w:rsid w:val="00646DD7"/>
    <w:rsid w:val="00646F2C"/>
    <w:rsid w:val="00647162"/>
    <w:rsid w:val="006471E5"/>
    <w:rsid w:val="0064723B"/>
    <w:rsid w:val="006472BF"/>
    <w:rsid w:val="0064735B"/>
    <w:rsid w:val="00647360"/>
    <w:rsid w:val="00647480"/>
    <w:rsid w:val="00647814"/>
    <w:rsid w:val="00647887"/>
    <w:rsid w:val="00647B3E"/>
    <w:rsid w:val="00647B6B"/>
    <w:rsid w:val="0065039E"/>
    <w:rsid w:val="00650733"/>
    <w:rsid w:val="00650AB2"/>
    <w:rsid w:val="00650C1E"/>
    <w:rsid w:val="00650D92"/>
    <w:rsid w:val="00650E58"/>
    <w:rsid w:val="00650E61"/>
    <w:rsid w:val="006511F9"/>
    <w:rsid w:val="0065121B"/>
    <w:rsid w:val="00651655"/>
    <w:rsid w:val="006519FF"/>
    <w:rsid w:val="00651B3C"/>
    <w:rsid w:val="00651CB6"/>
    <w:rsid w:val="00651CBE"/>
    <w:rsid w:val="00651ECF"/>
    <w:rsid w:val="00652183"/>
    <w:rsid w:val="006523AE"/>
    <w:rsid w:val="0065327D"/>
    <w:rsid w:val="006532F5"/>
    <w:rsid w:val="00653389"/>
    <w:rsid w:val="0065347E"/>
    <w:rsid w:val="006535F4"/>
    <w:rsid w:val="006536F8"/>
    <w:rsid w:val="0065372D"/>
    <w:rsid w:val="00653835"/>
    <w:rsid w:val="00653DE0"/>
    <w:rsid w:val="00653E5C"/>
    <w:rsid w:val="0065437F"/>
    <w:rsid w:val="006543A0"/>
    <w:rsid w:val="00654AC2"/>
    <w:rsid w:val="00654E33"/>
    <w:rsid w:val="0065505D"/>
    <w:rsid w:val="00655079"/>
    <w:rsid w:val="00655142"/>
    <w:rsid w:val="00655145"/>
    <w:rsid w:val="0065518F"/>
    <w:rsid w:val="00655207"/>
    <w:rsid w:val="00655797"/>
    <w:rsid w:val="00655B07"/>
    <w:rsid w:val="00655E15"/>
    <w:rsid w:val="00656822"/>
    <w:rsid w:val="0065696A"/>
    <w:rsid w:val="00656CA0"/>
    <w:rsid w:val="00656D98"/>
    <w:rsid w:val="00656E38"/>
    <w:rsid w:val="00656E93"/>
    <w:rsid w:val="00656EA3"/>
    <w:rsid w:val="00656FED"/>
    <w:rsid w:val="00657499"/>
    <w:rsid w:val="0065755A"/>
    <w:rsid w:val="00657729"/>
    <w:rsid w:val="00657869"/>
    <w:rsid w:val="00657961"/>
    <w:rsid w:val="00657C81"/>
    <w:rsid w:val="00657E19"/>
    <w:rsid w:val="0066006E"/>
    <w:rsid w:val="0066008D"/>
    <w:rsid w:val="006604ED"/>
    <w:rsid w:val="00660540"/>
    <w:rsid w:val="0066061A"/>
    <w:rsid w:val="0066066C"/>
    <w:rsid w:val="00660874"/>
    <w:rsid w:val="0066094C"/>
    <w:rsid w:val="00660A81"/>
    <w:rsid w:val="00660BCE"/>
    <w:rsid w:val="00660C64"/>
    <w:rsid w:val="00660CAC"/>
    <w:rsid w:val="00660D73"/>
    <w:rsid w:val="00660E95"/>
    <w:rsid w:val="00660EA5"/>
    <w:rsid w:val="00660ED0"/>
    <w:rsid w:val="006610AF"/>
    <w:rsid w:val="006611CB"/>
    <w:rsid w:val="006611DE"/>
    <w:rsid w:val="00661512"/>
    <w:rsid w:val="0066170B"/>
    <w:rsid w:val="006617C6"/>
    <w:rsid w:val="0066185F"/>
    <w:rsid w:val="006618BB"/>
    <w:rsid w:val="00661A3B"/>
    <w:rsid w:val="00661B36"/>
    <w:rsid w:val="006620B9"/>
    <w:rsid w:val="006624A0"/>
    <w:rsid w:val="006624AC"/>
    <w:rsid w:val="0066297D"/>
    <w:rsid w:val="00662A68"/>
    <w:rsid w:val="00662C0F"/>
    <w:rsid w:val="00662E2E"/>
    <w:rsid w:val="00662F13"/>
    <w:rsid w:val="00662F46"/>
    <w:rsid w:val="00662FE1"/>
    <w:rsid w:val="00663065"/>
    <w:rsid w:val="006632E7"/>
    <w:rsid w:val="00663371"/>
    <w:rsid w:val="006634F3"/>
    <w:rsid w:val="0066377D"/>
    <w:rsid w:val="0066385D"/>
    <w:rsid w:val="00663A1C"/>
    <w:rsid w:val="00664234"/>
    <w:rsid w:val="0066446E"/>
    <w:rsid w:val="00664584"/>
    <w:rsid w:val="006646D3"/>
    <w:rsid w:val="0066477B"/>
    <w:rsid w:val="0066481E"/>
    <w:rsid w:val="00664DDE"/>
    <w:rsid w:val="006653CA"/>
    <w:rsid w:val="0066554E"/>
    <w:rsid w:val="00665A18"/>
    <w:rsid w:val="00665AE3"/>
    <w:rsid w:val="00665B9D"/>
    <w:rsid w:val="00665D7C"/>
    <w:rsid w:val="00665FA3"/>
    <w:rsid w:val="00666093"/>
    <w:rsid w:val="0066652A"/>
    <w:rsid w:val="00666741"/>
    <w:rsid w:val="00666893"/>
    <w:rsid w:val="00666BAC"/>
    <w:rsid w:val="00666EE7"/>
    <w:rsid w:val="00666F07"/>
    <w:rsid w:val="0066706F"/>
    <w:rsid w:val="006670C1"/>
    <w:rsid w:val="006672AB"/>
    <w:rsid w:val="006672D2"/>
    <w:rsid w:val="006675D8"/>
    <w:rsid w:val="00667695"/>
    <w:rsid w:val="00667750"/>
    <w:rsid w:val="00667996"/>
    <w:rsid w:val="00667A11"/>
    <w:rsid w:val="00667A78"/>
    <w:rsid w:val="00667C7D"/>
    <w:rsid w:val="00667DE1"/>
    <w:rsid w:val="00667EE7"/>
    <w:rsid w:val="00667F52"/>
    <w:rsid w:val="00667FC8"/>
    <w:rsid w:val="006700D2"/>
    <w:rsid w:val="0067013D"/>
    <w:rsid w:val="006701B6"/>
    <w:rsid w:val="00670701"/>
    <w:rsid w:val="0067097D"/>
    <w:rsid w:val="00670B23"/>
    <w:rsid w:val="00670B35"/>
    <w:rsid w:val="00670D4E"/>
    <w:rsid w:val="00670DAB"/>
    <w:rsid w:val="00670E84"/>
    <w:rsid w:val="0067106D"/>
    <w:rsid w:val="0067122D"/>
    <w:rsid w:val="006712EB"/>
    <w:rsid w:val="00671501"/>
    <w:rsid w:val="00671579"/>
    <w:rsid w:val="006715BD"/>
    <w:rsid w:val="00671711"/>
    <w:rsid w:val="00671951"/>
    <w:rsid w:val="00671A71"/>
    <w:rsid w:val="00671C7C"/>
    <w:rsid w:val="00671DC3"/>
    <w:rsid w:val="00672004"/>
    <w:rsid w:val="0067289E"/>
    <w:rsid w:val="00672A9D"/>
    <w:rsid w:val="00672CC0"/>
    <w:rsid w:val="00672CCA"/>
    <w:rsid w:val="00672D18"/>
    <w:rsid w:val="00673028"/>
    <w:rsid w:val="00673308"/>
    <w:rsid w:val="006733F3"/>
    <w:rsid w:val="0067354F"/>
    <w:rsid w:val="006736CB"/>
    <w:rsid w:val="00673710"/>
    <w:rsid w:val="0067379F"/>
    <w:rsid w:val="006737E2"/>
    <w:rsid w:val="00673950"/>
    <w:rsid w:val="00673AC3"/>
    <w:rsid w:val="00673C50"/>
    <w:rsid w:val="00673E2B"/>
    <w:rsid w:val="00673E58"/>
    <w:rsid w:val="00673E7C"/>
    <w:rsid w:val="00673F6C"/>
    <w:rsid w:val="006740FA"/>
    <w:rsid w:val="006741A5"/>
    <w:rsid w:val="006743A4"/>
    <w:rsid w:val="00674410"/>
    <w:rsid w:val="00674551"/>
    <w:rsid w:val="006745DB"/>
    <w:rsid w:val="0067493E"/>
    <w:rsid w:val="00674CA6"/>
    <w:rsid w:val="006750FA"/>
    <w:rsid w:val="006752FB"/>
    <w:rsid w:val="00675710"/>
    <w:rsid w:val="00675A1D"/>
    <w:rsid w:val="00675AFB"/>
    <w:rsid w:val="00675CB2"/>
    <w:rsid w:val="00675DB3"/>
    <w:rsid w:val="00676059"/>
    <w:rsid w:val="00676107"/>
    <w:rsid w:val="00676248"/>
    <w:rsid w:val="00676631"/>
    <w:rsid w:val="006766E8"/>
    <w:rsid w:val="00676BC3"/>
    <w:rsid w:val="0067700D"/>
    <w:rsid w:val="006770E4"/>
    <w:rsid w:val="00677148"/>
    <w:rsid w:val="00677577"/>
    <w:rsid w:val="00677680"/>
    <w:rsid w:val="0067792E"/>
    <w:rsid w:val="006779E1"/>
    <w:rsid w:val="00677A5A"/>
    <w:rsid w:val="00677C35"/>
    <w:rsid w:val="00677DE2"/>
    <w:rsid w:val="00680344"/>
    <w:rsid w:val="00680394"/>
    <w:rsid w:val="006805BA"/>
    <w:rsid w:val="00680741"/>
    <w:rsid w:val="00680BA3"/>
    <w:rsid w:val="00680C12"/>
    <w:rsid w:val="00680D17"/>
    <w:rsid w:val="00680E8B"/>
    <w:rsid w:val="00680F31"/>
    <w:rsid w:val="00680FB5"/>
    <w:rsid w:val="006810BF"/>
    <w:rsid w:val="00681181"/>
    <w:rsid w:val="006811ED"/>
    <w:rsid w:val="00681472"/>
    <w:rsid w:val="006819BE"/>
    <w:rsid w:val="00681A00"/>
    <w:rsid w:val="00681A16"/>
    <w:rsid w:val="00681E82"/>
    <w:rsid w:val="006822FC"/>
    <w:rsid w:val="00682413"/>
    <w:rsid w:val="00682587"/>
    <w:rsid w:val="0068273E"/>
    <w:rsid w:val="006829D0"/>
    <w:rsid w:val="00682E26"/>
    <w:rsid w:val="00683045"/>
    <w:rsid w:val="00683053"/>
    <w:rsid w:val="00683270"/>
    <w:rsid w:val="00683301"/>
    <w:rsid w:val="00683611"/>
    <w:rsid w:val="00683723"/>
    <w:rsid w:val="00683733"/>
    <w:rsid w:val="006837CE"/>
    <w:rsid w:val="0068387F"/>
    <w:rsid w:val="00683D09"/>
    <w:rsid w:val="00683EE3"/>
    <w:rsid w:val="00683FC2"/>
    <w:rsid w:val="00684992"/>
    <w:rsid w:val="00684AAC"/>
    <w:rsid w:val="00684C18"/>
    <w:rsid w:val="00684CE9"/>
    <w:rsid w:val="00685168"/>
    <w:rsid w:val="0068519F"/>
    <w:rsid w:val="0068530E"/>
    <w:rsid w:val="0068547B"/>
    <w:rsid w:val="006854A9"/>
    <w:rsid w:val="00685624"/>
    <w:rsid w:val="006857D8"/>
    <w:rsid w:val="006859BB"/>
    <w:rsid w:val="00685BA2"/>
    <w:rsid w:val="00685C73"/>
    <w:rsid w:val="00685E9F"/>
    <w:rsid w:val="00685F7B"/>
    <w:rsid w:val="0068610B"/>
    <w:rsid w:val="00686126"/>
    <w:rsid w:val="0068612D"/>
    <w:rsid w:val="00686193"/>
    <w:rsid w:val="006862E7"/>
    <w:rsid w:val="00686317"/>
    <w:rsid w:val="00686728"/>
    <w:rsid w:val="006868AD"/>
    <w:rsid w:val="006868BB"/>
    <w:rsid w:val="00686ACF"/>
    <w:rsid w:val="00686B12"/>
    <w:rsid w:val="00686C68"/>
    <w:rsid w:val="00686DF1"/>
    <w:rsid w:val="00686E06"/>
    <w:rsid w:val="00686F39"/>
    <w:rsid w:val="006873D1"/>
    <w:rsid w:val="006876ED"/>
    <w:rsid w:val="00687D5D"/>
    <w:rsid w:val="0069004C"/>
    <w:rsid w:val="00690065"/>
    <w:rsid w:val="006901DC"/>
    <w:rsid w:val="00690241"/>
    <w:rsid w:val="006906A5"/>
    <w:rsid w:val="00690707"/>
    <w:rsid w:val="006907C3"/>
    <w:rsid w:val="006908C4"/>
    <w:rsid w:val="006909A0"/>
    <w:rsid w:val="006909A8"/>
    <w:rsid w:val="00690A1C"/>
    <w:rsid w:val="00690B84"/>
    <w:rsid w:val="00690BBC"/>
    <w:rsid w:val="00690EB2"/>
    <w:rsid w:val="006911D7"/>
    <w:rsid w:val="00691444"/>
    <w:rsid w:val="00691485"/>
    <w:rsid w:val="00691558"/>
    <w:rsid w:val="00691739"/>
    <w:rsid w:val="006917BA"/>
    <w:rsid w:val="006917CE"/>
    <w:rsid w:val="00691805"/>
    <w:rsid w:val="00691992"/>
    <w:rsid w:val="00691AEE"/>
    <w:rsid w:val="00691E89"/>
    <w:rsid w:val="00691F54"/>
    <w:rsid w:val="00691FA0"/>
    <w:rsid w:val="0069204A"/>
    <w:rsid w:val="0069228B"/>
    <w:rsid w:val="00692322"/>
    <w:rsid w:val="00692524"/>
    <w:rsid w:val="006926EE"/>
    <w:rsid w:val="006927E0"/>
    <w:rsid w:val="00692928"/>
    <w:rsid w:val="00692FB5"/>
    <w:rsid w:val="00693101"/>
    <w:rsid w:val="0069331C"/>
    <w:rsid w:val="00693359"/>
    <w:rsid w:val="0069341C"/>
    <w:rsid w:val="006935FB"/>
    <w:rsid w:val="0069374C"/>
    <w:rsid w:val="006939C8"/>
    <w:rsid w:val="006939FD"/>
    <w:rsid w:val="00693A4F"/>
    <w:rsid w:val="00693A83"/>
    <w:rsid w:val="00693B7C"/>
    <w:rsid w:val="00693BE6"/>
    <w:rsid w:val="00693C0C"/>
    <w:rsid w:val="00693C53"/>
    <w:rsid w:val="00693E64"/>
    <w:rsid w:val="00693F7F"/>
    <w:rsid w:val="00694070"/>
    <w:rsid w:val="006946E8"/>
    <w:rsid w:val="006948D3"/>
    <w:rsid w:val="0069498A"/>
    <w:rsid w:val="00695175"/>
    <w:rsid w:val="006954B7"/>
    <w:rsid w:val="0069573B"/>
    <w:rsid w:val="0069575C"/>
    <w:rsid w:val="006957C9"/>
    <w:rsid w:val="00695885"/>
    <w:rsid w:val="006958C2"/>
    <w:rsid w:val="00695952"/>
    <w:rsid w:val="00695A9D"/>
    <w:rsid w:val="00695C97"/>
    <w:rsid w:val="00695EDD"/>
    <w:rsid w:val="00695F8D"/>
    <w:rsid w:val="00695F92"/>
    <w:rsid w:val="00696073"/>
    <w:rsid w:val="00696236"/>
    <w:rsid w:val="006962E0"/>
    <w:rsid w:val="00696703"/>
    <w:rsid w:val="0069689F"/>
    <w:rsid w:val="00696987"/>
    <w:rsid w:val="00696AF7"/>
    <w:rsid w:val="00696C1A"/>
    <w:rsid w:val="00696C7C"/>
    <w:rsid w:val="00696D82"/>
    <w:rsid w:val="006971DE"/>
    <w:rsid w:val="00697391"/>
    <w:rsid w:val="00697723"/>
    <w:rsid w:val="0069782D"/>
    <w:rsid w:val="0069789A"/>
    <w:rsid w:val="006979FA"/>
    <w:rsid w:val="006A00BC"/>
    <w:rsid w:val="006A043F"/>
    <w:rsid w:val="006A08EA"/>
    <w:rsid w:val="006A0C1D"/>
    <w:rsid w:val="006A0D24"/>
    <w:rsid w:val="006A0D8C"/>
    <w:rsid w:val="006A0E20"/>
    <w:rsid w:val="006A0EE3"/>
    <w:rsid w:val="006A0F2F"/>
    <w:rsid w:val="006A10AA"/>
    <w:rsid w:val="006A12AE"/>
    <w:rsid w:val="006A1313"/>
    <w:rsid w:val="006A131F"/>
    <w:rsid w:val="006A1807"/>
    <w:rsid w:val="006A19B9"/>
    <w:rsid w:val="006A1C38"/>
    <w:rsid w:val="006A1F2C"/>
    <w:rsid w:val="006A2341"/>
    <w:rsid w:val="006A24FF"/>
    <w:rsid w:val="006A284D"/>
    <w:rsid w:val="006A2896"/>
    <w:rsid w:val="006A2B7B"/>
    <w:rsid w:val="006A2C70"/>
    <w:rsid w:val="006A2DDA"/>
    <w:rsid w:val="006A2F92"/>
    <w:rsid w:val="006A3151"/>
    <w:rsid w:val="006A32C3"/>
    <w:rsid w:val="006A3360"/>
    <w:rsid w:val="006A36E3"/>
    <w:rsid w:val="006A3798"/>
    <w:rsid w:val="006A3854"/>
    <w:rsid w:val="006A3C56"/>
    <w:rsid w:val="006A3C66"/>
    <w:rsid w:val="006A3F1B"/>
    <w:rsid w:val="006A410D"/>
    <w:rsid w:val="006A422B"/>
    <w:rsid w:val="006A42A7"/>
    <w:rsid w:val="006A43DA"/>
    <w:rsid w:val="006A4C84"/>
    <w:rsid w:val="006A4D18"/>
    <w:rsid w:val="006A4D9C"/>
    <w:rsid w:val="006A4D9E"/>
    <w:rsid w:val="006A5209"/>
    <w:rsid w:val="006A55B0"/>
    <w:rsid w:val="006A56AF"/>
    <w:rsid w:val="006A59C7"/>
    <w:rsid w:val="006A5A1C"/>
    <w:rsid w:val="006A6417"/>
    <w:rsid w:val="006A66AA"/>
    <w:rsid w:val="006A6A11"/>
    <w:rsid w:val="006A6C39"/>
    <w:rsid w:val="006A6CDE"/>
    <w:rsid w:val="006A6EBA"/>
    <w:rsid w:val="006A6F98"/>
    <w:rsid w:val="006A700B"/>
    <w:rsid w:val="006A72BA"/>
    <w:rsid w:val="006A72D5"/>
    <w:rsid w:val="006A73EF"/>
    <w:rsid w:val="006A74E9"/>
    <w:rsid w:val="006A76AD"/>
    <w:rsid w:val="006A778D"/>
    <w:rsid w:val="006A783D"/>
    <w:rsid w:val="006A7849"/>
    <w:rsid w:val="006A78E7"/>
    <w:rsid w:val="006A79C8"/>
    <w:rsid w:val="006A7A36"/>
    <w:rsid w:val="006A7B11"/>
    <w:rsid w:val="006A7BC1"/>
    <w:rsid w:val="006A7EAB"/>
    <w:rsid w:val="006A7F52"/>
    <w:rsid w:val="006B029E"/>
    <w:rsid w:val="006B05AC"/>
    <w:rsid w:val="006B071C"/>
    <w:rsid w:val="006B085C"/>
    <w:rsid w:val="006B0973"/>
    <w:rsid w:val="006B0B10"/>
    <w:rsid w:val="006B0DC5"/>
    <w:rsid w:val="006B1229"/>
    <w:rsid w:val="006B128B"/>
    <w:rsid w:val="006B18C3"/>
    <w:rsid w:val="006B191A"/>
    <w:rsid w:val="006B195F"/>
    <w:rsid w:val="006B1A78"/>
    <w:rsid w:val="006B1AFB"/>
    <w:rsid w:val="006B1FBA"/>
    <w:rsid w:val="006B22ED"/>
    <w:rsid w:val="006B22FF"/>
    <w:rsid w:val="006B2371"/>
    <w:rsid w:val="006B2403"/>
    <w:rsid w:val="006B25FF"/>
    <w:rsid w:val="006B289C"/>
    <w:rsid w:val="006B2BCE"/>
    <w:rsid w:val="006B2DF8"/>
    <w:rsid w:val="006B2EDD"/>
    <w:rsid w:val="006B2FD6"/>
    <w:rsid w:val="006B33A6"/>
    <w:rsid w:val="006B3547"/>
    <w:rsid w:val="006B35EB"/>
    <w:rsid w:val="006B36F0"/>
    <w:rsid w:val="006B3777"/>
    <w:rsid w:val="006B3A88"/>
    <w:rsid w:val="006B3D72"/>
    <w:rsid w:val="006B3F76"/>
    <w:rsid w:val="006B4389"/>
    <w:rsid w:val="006B43FC"/>
    <w:rsid w:val="006B44C2"/>
    <w:rsid w:val="006B45C0"/>
    <w:rsid w:val="006B4DCF"/>
    <w:rsid w:val="006B4E9D"/>
    <w:rsid w:val="006B56E5"/>
    <w:rsid w:val="006B587C"/>
    <w:rsid w:val="006B5D2C"/>
    <w:rsid w:val="006B5D64"/>
    <w:rsid w:val="006B5F9E"/>
    <w:rsid w:val="006B6405"/>
    <w:rsid w:val="006B644E"/>
    <w:rsid w:val="006B64DE"/>
    <w:rsid w:val="006B6A82"/>
    <w:rsid w:val="006B6B16"/>
    <w:rsid w:val="006B6B46"/>
    <w:rsid w:val="006B6CA2"/>
    <w:rsid w:val="006B6D86"/>
    <w:rsid w:val="006B6EBD"/>
    <w:rsid w:val="006B6F86"/>
    <w:rsid w:val="006B71EF"/>
    <w:rsid w:val="006B7507"/>
    <w:rsid w:val="006B752B"/>
    <w:rsid w:val="006B77D2"/>
    <w:rsid w:val="006B7916"/>
    <w:rsid w:val="006B794C"/>
    <w:rsid w:val="006B7962"/>
    <w:rsid w:val="006B7A4A"/>
    <w:rsid w:val="006B7C4D"/>
    <w:rsid w:val="006B7DEA"/>
    <w:rsid w:val="006B7F48"/>
    <w:rsid w:val="006C01DB"/>
    <w:rsid w:val="006C02ED"/>
    <w:rsid w:val="006C0342"/>
    <w:rsid w:val="006C0446"/>
    <w:rsid w:val="006C0493"/>
    <w:rsid w:val="006C0AC9"/>
    <w:rsid w:val="006C0BD0"/>
    <w:rsid w:val="006C101F"/>
    <w:rsid w:val="006C106C"/>
    <w:rsid w:val="006C1196"/>
    <w:rsid w:val="006C120F"/>
    <w:rsid w:val="006C134B"/>
    <w:rsid w:val="006C14A7"/>
    <w:rsid w:val="006C1697"/>
    <w:rsid w:val="006C1883"/>
    <w:rsid w:val="006C1AC5"/>
    <w:rsid w:val="006C1E03"/>
    <w:rsid w:val="006C1F82"/>
    <w:rsid w:val="006C25CC"/>
    <w:rsid w:val="006C2707"/>
    <w:rsid w:val="006C27B7"/>
    <w:rsid w:val="006C2CAA"/>
    <w:rsid w:val="006C2D05"/>
    <w:rsid w:val="006C2E84"/>
    <w:rsid w:val="006C30E9"/>
    <w:rsid w:val="006C33E2"/>
    <w:rsid w:val="006C345C"/>
    <w:rsid w:val="006C3526"/>
    <w:rsid w:val="006C3940"/>
    <w:rsid w:val="006C3B80"/>
    <w:rsid w:val="006C3BD8"/>
    <w:rsid w:val="006C3BF3"/>
    <w:rsid w:val="006C3CDE"/>
    <w:rsid w:val="006C3FE8"/>
    <w:rsid w:val="006C403F"/>
    <w:rsid w:val="006C4086"/>
    <w:rsid w:val="006C40F3"/>
    <w:rsid w:val="006C410B"/>
    <w:rsid w:val="006C4286"/>
    <w:rsid w:val="006C42F8"/>
    <w:rsid w:val="006C4551"/>
    <w:rsid w:val="006C484E"/>
    <w:rsid w:val="006C4A24"/>
    <w:rsid w:val="006C4ADD"/>
    <w:rsid w:val="006C4F0E"/>
    <w:rsid w:val="006C50EA"/>
    <w:rsid w:val="006C52E2"/>
    <w:rsid w:val="006C53E2"/>
    <w:rsid w:val="006C553C"/>
    <w:rsid w:val="006C57F3"/>
    <w:rsid w:val="006C5CC8"/>
    <w:rsid w:val="006C5EC7"/>
    <w:rsid w:val="006C63DD"/>
    <w:rsid w:val="006C64E9"/>
    <w:rsid w:val="006C6626"/>
    <w:rsid w:val="006C66C0"/>
    <w:rsid w:val="006C67A0"/>
    <w:rsid w:val="006C6807"/>
    <w:rsid w:val="006C6969"/>
    <w:rsid w:val="006C6B59"/>
    <w:rsid w:val="006C6E15"/>
    <w:rsid w:val="006C6E51"/>
    <w:rsid w:val="006C7095"/>
    <w:rsid w:val="006C71B7"/>
    <w:rsid w:val="006C7421"/>
    <w:rsid w:val="006C748F"/>
    <w:rsid w:val="006C7670"/>
    <w:rsid w:val="006C7B51"/>
    <w:rsid w:val="006C7B65"/>
    <w:rsid w:val="006C7DFC"/>
    <w:rsid w:val="006D01CD"/>
    <w:rsid w:val="006D0292"/>
    <w:rsid w:val="006D04EB"/>
    <w:rsid w:val="006D07E5"/>
    <w:rsid w:val="006D0C74"/>
    <w:rsid w:val="006D0CB4"/>
    <w:rsid w:val="006D0FC0"/>
    <w:rsid w:val="006D10DE"/>
    <w:rsid w:val="006D1100"/>
    <w:rsid w:val="006D128C"/>
    <w:rsid w:val="006D1292"/>
    <w:rsid w:val="006D1452"/>
    <w:rsid w:val="006D15F7"/>
    <w:rsid w:val="006D16BE"/>
    <w:rsid w:val="006D16EF"/>
    <w:rsid w:val="006D1927"/>
    <w:rsid w:val="006D1BB0"/>
    <w:rsid w:val="006D1D4B"/>
    <w:rsid w:val="006D1D55"/>
    <w:rsid w:val="006D1DBB"/>
    <w:rsid w:val="006D247F"/>
    <w:rsid w:val="006D2883"/>
    <w:rsid w:val="006D294A"/>
    <w:rsid w:val="006D2A68"/>
    <w:rsid w:val="006D2E66"/>
    <w:rsid w:val="006D3071"/>
    <w:rsid w:val="006D3082"/>
    <w:rsid w:val="006D30A4"/>
    <w:rsid w:val="006D30E1"/>
    <w:rsid w:val="006D3127"/>
    <w:rsid w:val="006D3150"/>
    <w:rsid w:val="006D316E"/>
    <w:rsid w:val="006D3342"/>
    <w:rsid w:val="006D3347"/>
    <w:rsid w:val="006D337B"/>
    <w:rsid w:val="006D35F4"/>
    <w:rsid w:val="006D3916"/>
    <w:rsid w:val="006D39B3"/>
    <w:rsid w:val="006D3E9A"/>
    <w:rsid w:val="006D41E9"/>
    <w:rsid w:val="006D43A0"/>
    <w:rsid w:val="006D449B"/>
    <w:rsid w:val="006D4807"/>
    <w:rsid w:val="006D4C58"/>
    <w:rsid w:val="006D5302"/>
    <w:rsid w:val="006D5633"/>
    <w:rsid w:val="006D5A19"/>
    <w:rsid w:val="006D5AD0"/>
    <w:rsid w:val="006D5BEC"/>
    <w:rsid w:val="006D5C28"/>
    <w:rsid w:val="006D5CA7"/>
    <w:rsid w:val="006D5DA0"/>
    <w:rsid w:val="006D5DED"/>
    <w:rsid w:val="006D6089"/>
    <w:rsid w:val="006D60C2"/>
    <w:rsid w:val="006D6114"/>
    <w:rsid w:val="006D61A2"/>
    <w:rsid w:val="006D61EE"/>
    <w:rsid w:val="006D6269"/>
    <w:rsid w:val="006D6525"/>
    <w:rsid w:val="006D664A"/>
    <w:rsid w:val="006D696D"/>
    <w:rsid w:val="006D6AB6"/>
    <w:rsid w:val="006D6AC2"/>
    <w:rsid w:val="006D6D71"/>
    <w:rsid w:val="006D6F49"/>
    <w:rsid w:val="006D7175"/>
    <w:rsid w:val="006D71FF"/>
    <w:rsid w:val="006D73D8"/>
    <w:rsid w:val="006D73E8"/>
    <w:rsid w:val="006D7ACE"/>
    <w:rsid w:val="006D7C75"/>
    <w:rsid w:val="006D7CB9"/>
    <w:rsid w:val="006D7E59"/>
    <w:rsid w:val="006D7FB0"/>
    <w:rsid w:val="006E0503"/>
    <w:rsid w:val="006E055A"/>
    <w:rsid w:val="006E0660"/>
    <w:rsid w:val="006E07CA"/>
    <w:rsid w:val="006E0F65"/>
    <w:rsid w:val="006E1075"/>
    <w:rsid w:val="006E10CD"/>
    <w:rsid w:val="006E12E4"/>
    <w:rsid w:val="006E1357"/>
    <w:rsid w:val="006E147D"/>
    <w:rsid w:val="006E14AA"/>
    <w:rsid w:val="006E15B5"/>
    <w:rsid w:val="006E1912"/>
    <w:rsid w:val="006E1978"/>
    <w:rsid w:val="006E19AF"/>
    <w:rsid w:val="006E19EA"/>
    <w:rsid w:val="006E1C30"/>
    <w:rsid w:val="006E1D8F"/>
    <w:rsid w:val="006E1F5E"/>
    <w:rsid w:val="006E1FCA"/>
    <w:rsid w:val="006E222B"/>
    <w:rsid w:val="006E294F"/>
    <w:rsid w:val="006E2ACD"/>
    <w:rsid w:val="006E2B2D"/>
    <w:rsid w:val="006E2D78"/>
    <w:rsid w:val="006E2F22"/>
    <w:rsid w:val="006E2FBB"/>
    <w:rsid w:val="006E2FDD"/>
    <w:rsid w:val="006E3260"/>
    <w:rsid w:val="006E32E3"/>
    <w:rsid w:val="006E3339"/>
    <w:rsid w:val="006E37D9"/>
    <w:rsid w:val="006E389E"/>
    <w:rsid w:val="006E3A89"/>
    <w:rsid w:val="006E3C48"/>
    <w:rsid w:val="006E3E5E"/>
    <w:rsid w:val="006E3E96"/>
    <w:rsid w:val="006E3FE1"/>
    <w:rsid w:val="006E41FC"/>
    <w:rsid w:val="006E42ED"/>
    <w:rsid w:val="006E432B"/>
    <w:rsid w:val="006E4699"/>
    <w:rsid w:val="006E4A15"/>
    <w:rsid w:val="006E4A59"/>
    <w:rsid w:val="006E4CA7"/>
    <w:rsid w:val="006E4F25"/>
    <w:rsid w:val="006E5019"/>
    <w:rsid w:val="006E5079"/>
    <w:rsid w:val="006E5220"/>
    <w:rsid w:val="006E53FF"/>
    <w:rsid w:val="006E550E"/>
    <w:rsid w:val="006E5553"/>
    <w:rsid w:val="006E572C"/>
    <w:rsid w:val="006E5961"/>
    <w:rsid w:val="006E59A1"/>
    <w:rsid w:val="006E5D98"/>
    <w:rsid w:val="006E606C"/>
    <w:rsid w:val="006E67D0"/>
    <w:rsid w:val="006E684B"/>
    <w:rsid w:val="006E6A7E"/>
    <w:rsid w:val="006E6C44"/>
    <w:rsid w:val="006E6C4B"/>
    <w:rsid w:val="006E6E25"/>
    <w:rsid w:val="006E6F8D"/>
    <w:rsid w:val="006E7037"/>
    <w:rsid w:val="006E7102"/>
    <w:rsid w:val="006E710D"/>
    <w:rsid w:val="006E732E"/>
    <w:rsid w:val="006E73CE"/>
    <w:rsid w:val="006E74F2"/>
    <w:rsid w:val="006E7570"/>
    <w:rsid w:val="006E7599"/>
    <w:rsid w:val="006E7660"/>
    <w:rsid w:val="006E770D"/>
    <w:rsid w:val="006E7D2B"/>
    <w:rsid w:val="006E7F29"/>
    <w:rsid w:val="006F00E5"/>
    <w:rsid w:val="006F011E"/>
    <w:rsid w:val="006F01E2"/>
    <w:rsid w:val="006F0228"/>
    <w:rsid w:val="006F0912"/>
    <w:rsid w:val="006F0C04"/>
    <w:rsid w:val="006F0C9A"/>
    <w:rsid w:val="006F0FE6"/>
    <w:rsid w:val="006F11A8"/>
    <w:rsid w:val="006F186E"/>
    <w:rsid w:val="006F1BAE"/>
    <w:rsid w:val="006F1BD9"/>
    <w:rsid w:val="006F1D90"/>
    <w:rsid w:val="006F1EFC"/>
    <w:rsid w:val="006F20A8"/>
    <w:rsid w:val="006F22E3"/>
    <w:rsid w:val="006F2356"/>
    <w:rsid w:val="006F24C1"/>
    <w:rsid w:val="006F2B54"/>
    <w:rsid w:val="006F2CEA"/>
    <w:rsid w:val="006F2F2C"/>
    <w:rsid w:val="006F2FE8"/>
    <w:rsid w:val="006F3051"/>
    <w:rsid w:val="006F307D"/>
    <w:rsid w:val="006F3341"/>
    <w:rsid w:val="006F33E0"/>
    <w:rsid w:val="006F3634"/>
    <w:rsid w:val="006F365F"/>
    <w:rsid w:val="006F3A86"/>
    <w:rsid w:val="006F3ABD"/>
    <w:rsid w:val="006F3C84"/>
    <w:rsid w:val="006F421F"/>
    <w:rsid w:val="006F42FB"/>
    <w:rsid w:val="006F4302"/>
    <w:rsid w:val="006F4786"/>
    <w:rsid w:val="006F4A09"/>
    <w:rsid w:val="006F4BF8"/>
    <w:rsid w:val="006F4FB6"/>
    <w:rsid w:val="006F5365"/>
    <w:rsid w:val="006F53DB"/>
    <w:rsid w:val="006F5423"/>
    <w:rsid w:val="006F5463"/>
    <w:rsid w:val="006F54EE"/>
    <w:rsid w:val="006F554B"/>
    <w:rsid w:val="006F5AE1"/>
    <w:rsid w:val="006F5C0F"/>
    <w:rsid w:val="006F5C4D"/>
    <w:rsid w:val="006F5E3E"/>
    <w:rsid w:val="006F5EB8"/>
    <w:rsid w:val="006F5FF8"/>
    <w:rsid w:val="006F61B5"/>
    <w:rsid w:val="006F657F"/>
    <w:rsid w:val="006F6812"/>
    <w:rsid w:val="006F694F"/>
    <w:rsid w:val="006F6C6F"/>
    <w:rsid w:val="006F6DD0"/>
    <w:rsid w:val="006F6E7D"/>
    <w:rsid w:val="006F6F9D"/>
    <w:rsid w:val="006F703A"/>
    <w:rsid w:val="006F7091"/>
    <w:rsid w:val="006F7234"/>
    <w:rsid w:val="006F7244"/>
    <w:rsid w:val="006F77CC"/>
    <w:rsid w:val="006F7848"/>
    <w:rsid w:val="006F785C"/>
    <w:rsid w:val="006F7BBB"/>
    <w:rsid w:val="006F7F83"/>
    <w:rsid w:val="007001B9"/>
    <w:rsid w:val="007004C7"/>
    <w:rsid w:val="00700564"/>
    <w:rsid w:val="0070085F"/>
    <w:rsid w:val="00700A54"/>
    <w:rsid w:val="00700A64"/>
    <w:rsid w:val="00700A6E"/>
    <w:rsid w:val="00700B49"/>
    <w:rsid w:val="0070126C"/>
    <w:rsid w:val="00701399"/>
    <w:rsid w:val="007014C4"/>
    <w:rsid w:val="00701738"/>
    <w:rsid w:val="00701BE9"/>
    <w:rsid w:val="0070287A"/>
    <w:rsid w:val="007028C9"/>
    <w:rsid w:val="007029AA"/>
    <w:rsid w:val="00702A6E"/>
    <w:rsid w:val="00702E07"/>
    <w:rsid w:val="00702F59"/>
    <w:rsid w:val="00703045"/>
    <w:rsid w:val="007032A9"/>
    <w:rsid w:val="0070359A"/>
    <w:rsid w:val="007035A5"/>
    <w:rsid w:val="007037F1"/>
    <w:rsid w:val="00703978"/>
    <w:rsid w:val="00703A15"/>
    <w:rsid w:val="00703A2F"/>
    <w:rsid w:val="00703A93"/>
    <w:rsid w:val="00703ACE"/>
    <w:rsid w:val="00703AD2"/>
    <w:rsid w:val="00704001"/>
    <w:rsid w:val="0070439D"/>
    <w:rsid w:val="0070461B"/>
    <w:rsid w:val="007046DB"/>
    <w:rsid w:val="00704A6F"/>
    <w:rsid w:val="00704AA5"/>
    <w:rsid w:val="00704B3D"/>
    <w:rsid w:val="00704BDB"/>
    <w:rsid w:val="00705011"/>
    <w:rsid w:val="0070507D"/>
    <w:rsid w:val="007050B8"/>
    <w:rsid w:val="00705272"/>
    <w:rsid w:val="0070534E"/>
    <w:rsid w:val="007055A1"/>
    <w:rsid w:val="00705763"/>
    <w:rsid w:val="00705A20"/>
    <w:rsid w:val="00705E47"/>
    <w:rsid w:val="0070601D"/>
    <w:rsid w:val="00706829"/>
    <w:rsid w:val="00706891"/>
    <w:rsid w:val="00706934"/>
    <w:rsid w:val="00706A2D"/>
    <w:rsid w:val="00706DD2"/>
    <w:rsid w:val="00706F3A"/>
    <w:rsid w:val="00706FCE"/>
    <w:rsid w:val="007072AA"/>
    <w:rsid w:val="00707373"/>
    <w:rsid w:val="007073C4"/>
    <w:rsid w:val="007075B9"/>
    <w:rsid w:val="00707607"/>
    <w:rsid w:val="00707755"/>
    <w:rsid w:val="00707930"/>
    <w:rsid w:val="00707BD4"/>
    <w:rsid w:val="00707CB8"/>
    <w:rsid w:val="00707E3F"/>
    <w:rsid w:val="00707E57"/>
    <w:rsid w:val="00707E59"/>
    <w:rsid w:val="00707EE4"/>
    <w:rsid w:val="00707F90"/>
    <w:rsid w:val="00710138"/>
    <w:rsid w:val="00710197"/>
    <w:rsid w:val="0071020B"/>
    <w:rsid w:val="0071080D"/>
    <w:rsid w:val="007108AB"/>
    <w:rsid w:val="00710A51"/>
    <w:rsid w:val="00710DBB"/>
    <w:rsid w:val="00710F68"/>
    <w:rsid w:val="007110C5"/>
    <w:rsid w:val="00711244"/>
    <w:rsid w:val="007113ED"/>
    <w:rsid w:val="00711580"/>
    <w:rsid w:val="007116AF"/>
    <w:rsid w:val="0071187E"/>
    <w:rsid w:val="0071194D"/>
    <w:rsid w:val="00711A3C"/>
    <w:rsid w:val="00711CDF"/>
    <w:rsid w:val="00711DEB"/>
    <w:rsid w:val="00711E95"/>
    <w:rsid w:val="00711F13"/>
    <w:rsid w:val="00712057"/>
    <w:rsid w:val="007125B2"/>
    <w:rsid w:val="0071263A"/>
    <w:rsid w:val="0071284A"/>
    <w:rsid w:val="0071299F"/>
    <w:rsid w:val="00712AA4"/>
    <w:rsid w:val="00712B60"/>
    <w:rsid w:val="00712F1F"/>
    <w:rsid w:val="0071328A"/>
    <w:rsid w:val="00713326"/>
    <w:rsid w:val="00713AAB"/>
    <w:rsid w:val="00713B34"/>
    <w:rsid w:val="00713D00"/>
    <w:rsid w:val="00713D98"/>
    <w:rsid w:val="00713E0B"/>
    <w:rsid w:val="00713FA3"/>
    <w:rsid w:val="00714000"/>
    <w:rsid w:val="00714583"/>
    <w:rsid w:val="00714584"/>
    <w:rsid w:val="00714595"/>
    <w:rsid w:val="0071487B"/>
    <w:rsid w:val="00714B6C"/>
    <w:rsid w:val="00714F65"/>
    <w:rsid w:val="00714F75"/>
    <w:rsid w:val="00715046"/>
    <w:rsid w:val="00715049"/>
    <w:rsid w:val="00715225"/>
    <w:rsid w:val="007154D5"/>
    <w:rsid w:val="00715D0C"/>
    <w:rsid w:val="00716041"/>
    <w:rsid w:val="00716324"/>
    <w:rsid w:val="00716525"/>
    <w:rsid w:val="0071683B"/>
    <w:rsid w:val="00716A1E"/>
    <w:rsid w:val="00716D61"/>
    <w:rsid w:val="00717701"/>
    <w:rsid w:val="00717BB9"/>
    <w:rsid w:val="00717DC9"/>
    <w:rsid w:val="007204F1"/>
    <w:rsid w:val="0072067B"/>
    <w:rsid w:val="00720776"/>
    <w:rsid w:val="00720B54"/>
    <w:rsid w:val="00720CCB"/>
    <w:rsid w:val="00720D31"/>
    <w:rsid w:val="00720D8A"/>
    <w:rsid w:val="00720D94"/>
    <w:rsid w:val="00721173"/>
    <w:rsid w:val="00721523"/>
    <w:rsid w:val="0072174D"/>
    <w:rsid w:val="00721EF4"/>
    <w:rsid w:val="007220A6"/>
    <w:rsid w:val="007220A8"/>
    <w:rsid w:val="00722468"/>
    <w:rsid w:val="007224A6"/>
    <w:rsid w:val="00722554"/>
    <w:rsid w:val="007229DA"/>
    <w:rsid w:val="00722FEE"/>
    <w:rsid w:val="00722FF5"/>
    <w:rsid w:val="00723345"/>
    <w:rsid w:val="007233B7"/>
    <w:rsid w:val="007234A8"/>
    <w:rsid w:val="00723636"/>
    <w:rsid w:val="00723641"/>
    <w:rsid w:val="0072390F"/>
    <w:rsid w:val="00723940"/>
    <w:rsid w:val="00723DCB"/>
    <w:rsid w:val="00723E04"/>
    <w:rsid w:val="00723F21"/>
    <w:rsid w:val="00724022"/>
    <w:rsid w:val="007242AA"/>
    <w:rsid w:val="0072438D"/>
    <w:rsid w:val="00724501"/>
    <w:rsid w:val="00724666"/>
    <w:rsid w:val="00724887"/>
    <w:rsid w:val="00724A6F"/>
    <w:rsid w:val="00724A92"/>
    <w:rsid w:val="00724AD6"/>
    <w:rsid w:val="00724D08"/>
    <w:rsid w:val="00724F6B"/>
    <w:rsid w:val="007250CD"/>
    <w:rsid w:val="007251AA"/>
    <w:rsid w:val="007251CF"/>
    <w:rsid w:val="0072590D"/>
    <w:rsid w:val="00725A91"/>
    <w:rsid w:val="00725C4C"/>
    <w:rsid w:val="00725F38"/>
    <w:rsid w:val="0072658F"/>
    <w:rsid w:val="00726719"/>
    <w:rsid w:val="00726780"/>
    <w:rsid w:val="00726A25"/>
    <w:rsid w:val="00726CD3"/>
    <w:rsid w:val="00726D41"/>
    <w:rsid w:val="00726EB0"/>
    <w:rsid w:val="00727033"/>
    <w:rsid w:val="00727128"/>
    <w:rsid w:val="00727267"/>
    <w:rsid w:val="0072740D"/>
    <w:rsid w:val="007274C9"/>
    <w:rsid w:val="007274CD"/>
    <w:rsid w:val="00727594"/>
    <w:rsid w:val="00727866"/>
    <w:rsid w:val="00727A08"/>
    <w:rsid w:val="00727A5B"/>
    <w:rsid w:val="00727ABC"/>
    <w:rsid w:val="00727D01"/>
    <w:rsid w:val="00727D60"/>
    <w:rsid w:val="00727D8E"/>
    <w:rsid w:val="00727F52"/>
    <w:rsid w:val="00727F9F"/>
    <w:rsid w:val="00730397"/>
    <w:rsid w:val="007309DC"/>
    <w:rsid w:val="00730C43"/>
    <w:rsid w:val="00730CFE"/>
    <w:rsid w:val="00730D39"/>
    <w:rsid w:val="00730E5B"/>
    <w:rsid w:val="00730ECE"/>
    <w:rsid w:val="00730F29"/>
    <w:rsid w:val="00730F44"/>
    <w:rsid w:val="007310BE"/>
    <w:rsid w:val="00731131"/>
    <w:rsid w:val="007311FA"/>
    <w:rsid w:val="00731205"/>
    <w:rsid w:val="007314F9"/>
    <w:rsid w:val="007315FE"/>
    <w:rsid w:val="00731666"/>
    <w:rsid w:val="00731671"/>
    <w:rsid w:val="00731D6A"/>
    <w:rsid w:val="00731F32"/>
    <w:rsid w:val="00731F70"/>
    <w:rsid w:val="007320D2"/>
    <w:rsid w:val="00732299"/>
    <w:rsid w:val="00732310"/>
    <w:rsid w:val="00732326"/>
    <w:rsid w:val="00732C6A"/>
    <w:rsid w:val="00732CC9"/>
    <w:rsid w:val="00732FF2"/>
    <w:rsid w:val="00733285"/>
    <w:rsid w:val="00733421"/>
    <w:rsid w:val="00733572"/>
    <w:rsid w:val="007335DC"/>
    <w:rsid w:val="007335F2"/>
    <w:rsid w:val="007336E2"/>
    <w:rsid w:val="00733786"/>
    <w:rsid w:val="007337AC"/>
    <w:rsid w:val="007338C3"/>
    <w:rsid w:val="00733945"/>
    <w:rsid w:val="00733AC8"/>
    <w:rsid w:val="00733B00"/>
    <w:rsid w:val="00733EE2"/>
    <w:rsid w:val="0073420A"/>
    <w:rsid w:val="00734260"/>
    <w:rsid w:val="007342C3"/>
    <w:rsid w:val="007342FB"/>
    <w:rsid w:val="00734314"/>
    <w:rsid w:val="00734350"/>
    <w:rsid w:val="0073446B"/>
    <w:rsid w:val="0073449A"/>
    <w:rsid w:val="007344BE"/>
    <w:rsid w:val="007348D4"/>
    <w:rsid w:val="00734987"/>
    <w:rsid w:val="00734B77"/>
    <w:rsid w:val="00734E00"/>
    <w:rsid w:val="00735026"/>
    <w:rsid w:val="007351BA"/>
    <w:rsid w:val="00735355"/>
    <w:rsid w:val="007356D2"/>
    <w:rsid w:val="00735B8E"/>
    <w:rsid w:val="00735C1C"/>
    <w:rsid w:val="00735D98"/>
    <w:rsid w:val="00735E9D"/>
    <w:rsid w:val="0073604D"/>
    <w:rsid w:val="007361A1"/>
    <w:rsid w:val="00736270"/>
    <w:rsid w:val="00736278"/>
    <w:rsid w:val="0073674A"/>
    <w:rsid w:val="00736AA3"/>
    <w:rsid w:val="00736DF6"/>
    <w:rsid w:val="00737004"/>
    <w:rsid w:val="00737358"/>
    <w:rsid w:val="00737390"/>
    <w:rsid w:val="0073747A"/>
    <w:rsid w:val="007378CD"/>
    <w:rsid w:val="007379B5"/>
    <w:rsid w:val="00737A85"/>
    <w:rsid w:val="00737EC2"/>
    <w:rsid w:val="007400A0"/>
    <w:rsid w:val="00740332"/>
    <w:rsid w:val="00740437"/>
    <w:rsid w:val="00740610"/>
    <w:rsid w:val="007407DB"/>
    <w:rsid w:val="00740950"/>
    <w:rsid w:val="00740A84"/>
    <w:rsid w:val="00740ADE"/>
    <w:rsid w:val="00740CF4"/>
    <w:rsid w:val="00740E33"/>
    <w:rsid w:val="00741153"/>
    <w:rsid w:val="00741343"/>
    <w:rsid w:val="007414DF"/>
    <w:rsid w:val="007417F4"/>
    <w:rsid w:val="00741A71"/>
    <w:rsid w:val="00741C77"/>
    <w:rsid w:val="00741E0F"/>
    <w:rsid w:val="00741E36"/>
    <w:rsid w:val="00741EC2"/>
    <w:rsid w:val="00741FC2"/>
    <w:rsid w:val="00742071"/>
    <w:rsid w:val="007420AC"/>
    <w:rsid w:val="007421CC"/>
    <w:rsid w:val="00742200"/>
    <w:rsid w:val="00742781"/>
    <w:rsid w:val="007427D5"/>
    <w:rsid w:val="00742A3D"/>
    <w:rsid w:val="00742B1E"/>
    <w:rsid w:val="00742C52"/>
    <w:rsid w:val="00743085"/>
    <w:rsid w:val="007431CB"/>
    <w:rsid w:val="007431D2"/>
    <w:rsid w:val="007433A7"/>
    <w:rsid w:val="007433BB"/>
    <w:rsid w:val="007434C1"/>
    <w:rsid w:val="0074356F"/>
    <w:rsid w:val="00743834"/>
    <w:rsid w:val="00743862"/>
    <w:rsid w:val="00743E5E"/>
    <w:rsid w:val="00743F64"/>
    <w:rsid w:val="00744446"/>
    <w:rsid w:val="007445D8"/>
    <w:rsid w:val="0074471A"/>
    <w:rsid w:val="007447A2"/>
    <w:rsid w:val="00744922"/>
    <w:rsid w:val="00744A12"/>
    <w:rsid w:val="00744A8E"/>
    <w:rsid w:val="00744CAF"/>
    <w:rsid w:val="00744CD2"/>
    <w:rsid w:val="00744D33"/>
    <w:rsid w:val="0074587E"/>
    <w:rsid w:val="00745998"/>
    <w:rsid w:val="00745A8E"/>
    <w:rsid w:val="00745AEF"/>
    <w:rsid w:val="00745C36"/>
    <w:rsid w:val="00745EF3"/>
    <w:rsid w:val="0074628D"/>
    <w:rsid w:val="0074640A"/>
    <w:rsid w:val="007465BE"/>
    <w:rsid w:val="007469AB"/>
    <w:rsid w:val="00746D5B"/>
    <w:rsid w:val="00746E78"/>
    <w:rsid w:val="00747137"/>
    <w:rsid w:val="00747366"/>
    <w:rsid w:val="0074747A"/>
    <w:rsid w:val="00747516"/>
    <w:rsid w:val="007475A5"/>
    <w:rsid w:val="00747AD9"/>
    <w:rsid w:val="00747D38"/>
    <w:rsid w:val="00747EBB"/>
    <w:rsid w:val="007501FC"/>
    <w:rsid w:val="007502BA"/>
    <w:rsid w:val="0075031E"/>
    <w:rsid w:val="00750352"/>
    <w:rsid w:val="0075036A"/>
    <w:rsid w:val="0075066B"/>
    <w:rsid w:val="00750739"/>
    <w:rsid w:val="00750780"/>
    <w:rsid w:val="007508B7"/>
    <w:rsid w:val="007508F9"/>
    <w:rsid w:val="00750C05"/>
    <w:rsid w:val="007512B6"/>
    <w:rsid w:val="00751361"/>
    <w:rsid w:val="0075160C"/>
    <w:rsid w:val="007518A0"/>
    <w:rsid w:val="0075196E"/>
    <w:rsid w:val="00751A31"/>
    <w:rsid w:val="00751AFB"/>
    <w:rsid w:val="00751B48"/>
    <w:rsid w:val="00751BCD"/>
    <w:rsid w:val="00751D93"/>
    <w:rsid w:val="00751E19"/>
    <w:rsid w:val="00751ED1"/>
    <w:rsid w:val="00751F1F"/>
    <w:rsid w:val="0075217D"/>
    <w:rsid w:val="007521E4"/>
    <w:rsid w:val="0075221D"/>
    <w:rsid w:val="007524CC"/>
    <w:rsid w:val="007525A8"/>
    <w:rsid w:val="00752682"/>
    <w:rsid w:val="00752842"/>
    <w:rsid w:val="00752C71"/>
    <w:rsid w:val="00752F5B"/>
    <w:rsid w:val="00753021"/>
    <w:rsid w:val="00753125"/>
    <w:rsid w:val="007531DF"/>
    <w:rsid w:val="0075330A"/>
    <w:rsid w:val="0075335D"/>
    <w:rsid w:val="0075337B"/>
    <w:rsid w:val="00753386"/>
    <w:rsid w:val="007533B7"/>
    <w:rsid w:val="007533BD"/>
    <w:rsid w:val="00753410"/>
    <w:rsid w:val="00753472"/>
    <w:rsid w:val="00753780"/>
    <w:rsid w:val="00753DF3"/>
    <w:rsid w:val="00754082"/>
    <w:rsid w:val="007540F5"/>
    <w:rsid w:val="007547F0"/>
    <w:rsid w:val="00754C4C"/>
    <w:rsid w:val="00754C9C"/>
    <w:rsid w:val="00754E91"/>
    <w:rsid w:val="00755532"/>
    <w:rsid w:val="007556F4"/>
    <w:rsid w:val="007558C0"/>
    <w:rsid w:val="007559B6"/>
    <w:rsid w:val="00755F27"/>
    <w:rsid w:val="00755F4E"/>
    <w:rsid w:val="00755F81"/>
    <w:rsid w:val="00756046"/>
    <w:rsid w:val="007562AE"/>
    <w:rsid w:val="00756330"/>
    <w:rsid w:val="00756498"/>
    <w:rsid w:val="00756860"/>
    <w:rsid w:val="00756938"/>
    <w:rsid w:val="00756B4A"/>
    <w:rsid w:val="00756C20"/>
    <w:rsid w:val="00756D00"/>
    <w:rsid w:val="00756D16"/>
    <w:rsid w:val="00756FFB"/>
    <w:rsid w:val="00757080"/>
    <w:rsid w:val="00757116"/>
    <w:rsid w:val="007573CE"/>
    <w:rsid w:val="0075779D"/>
    <w:rsid w:val="00757C4F"/>
    <w:rsid w:val="00757C66"/>
    <w:rsid w:val="00757F51"/>
    <w:rsid w:val="00760002"/>
    <w:rsid w:val="007601F7"/>
    <w:rsid w:val="0076043B"/>
    <w:rsid w:val="00760743"/>
    <w:rsid w:val="0076097A"/>
    <w:rsid w:val="00760ADC"/>
    <w:rsid w:val="00760B44"/>
    <w:rsid w:val="00760D5E"/>
    <w:rsid w:val="007614DB"/>
    <w:rsid w:val="00761B77"/>
    <w:rsid w:val="00761ED7"/>
    <w:rsid w:val="00762086"/>
    <w:rsid w:val="0076252D"/>
    <w:rsid w:val="00762585"/>
    <w:rsid w:val="007626D4"/>
    <w:rsid w:val="00762768"/>
    <w:rsid w:val="00762CCD"/>
    <w:rsid w:val="00762D0C"/>
    <w:rsid w:val="00762D58"/>
    <w:rsid w:val="00763054"/>
    <w:rsid w:val="0076317E"/>
    <w:rsid w:val="007633AF"/>
    <w:rsid w:val="00763B43"/>
    <w:rsid w:val="00763C3E"/>
    <w:rsid w:val="00763D69"/>
    <w:rsid w:val="00763E02"/>
    <w:rsid w:val="007642CD"/>
    <w:rsid w:val="0076436F"/>
    <w:rsid w:val="007644CD"/>
    <w:rsid w:val="007646AB"/>
    <w:rsid w:val="00764738"/>
    <w:rsid w:val="00764924"/>
    <w:rsid w:val="007653F0"/>
    <w:rsid w:val="0076567E"/>
    <w:rsid w:val="007656A5"/>
    <w:rsid w:val="00765727"/>
    <w:rsid w:val="0076578A"/>
    <w:rsid w:val="00765802"/>
    <w:rsid w:val="00765C31"/>
    <w:rsid w:val="00765CAD"/>
    <w:rsid w:val="00765D5C"/>
    <w:rsid w:val="007662AB"/>
    <w:rsid w:val="0076643F"/>
    <w:rsid w:val="00766484"/>
    <w:rsid w:val="0076655D"/>
    <w:rsid w:val="00766571"/>
    <w:rsid w:val="00766718"/>
    <w:rsid w:val="00766862"/>
    <w:rsid w:val="007668BF"/>
    <w:rsid w:val="00766C40"/>
    <w:rsid w:val="00766CC1"/>
    <w:rsid w:val="00767022"/>
    <w:rsid w:val="00767360"/>
    <w:rsid w:val="007673AC"/>
    <w:rsid w:val="00767439"/>
    <w:rsid w:val="00767C47"/>
    <w:rsid w:val="00767DB8"/>
    <w:rsid w:val="00770192"/>
    <w:rsid w:val="00770640"/>
    <w:rsid w:val="00770790"/>
    <w:rsid w:val="00770CD9"/>
    <w:rsid w:val="00770D54"/>
    <w:rsid w:val="00770F33"/>
    <w:rsid w:val="00770FFD"/>
    <w:rsid w:val="0077100C"/>
    <w:rsid w:val="007710AE"/>
    <w:rsid w:val="00771434"/>
    <w:rsid w:val="00771596"/>
    <w:rsid w:val="007715A9"/>
    <w:rsid w:val="00771687"/>
    <w:rsid w:val="0077193B"/>
    <w:rsid w:val="00771F37"/>
    <w:rsid w:val="00771F47"/>
    <w:rsid w:val="00771F4C"/>
    <w:rsid w:val="007721FA"/>
    <w:rsid w:val="0077220F"/>
    <w:rsid w:val="007723A2"/>
    <w:rsid w:val="007724BE"/>
    <w:rsid w:val="007724CA"/>
    <w:rsid w:val="00772935"/>
    <w:rsid w:val="0077295D"/>
    <w:rsid w:val="00772963"/>
    <w:rsid w:val="00772BD4"/>
    <w:rsid w:val="00772EB9"/>
    <w:rsid w:val="00772ED3"/>
    <w:rsid w:val="00772F69"/>
    <w:rsid w:val="0077365F"/>
    <w:rsid w:val="007736A6"/>
    <w:rsid w:val="007736E8"/>
    <w:rsid w:val="007737DC"/>
    <w:rsid w:val="00773AD3"/>
    <w:rsid w:val="00773B53"/>
    <w:rsid w:val="00773BE3"/>
    <w:rsid w:val="00773DAB"/>
    <w:rsid w:val="00773F54"/>
    <w:rsid w:val="00773F92"/>
    <w:rsid w:val="00774069"/>
    <w:rsid w:val="00774235"/>
    <w:rsid w:val="00774256"/>
    <w:rsid w:val="00774981"/>
    <w:rsid w:val="00774D8F"/>
    <w:rsid w:val="00775127"/>
    <w:rsid w:val="0077528C"/>
    <w:rsid w:val="00775495"/>
    <w:rsid w:val="007754CD"/>
    <w:rsid w:val="007754D3"/>
    <w:rsid w:val="00775667"/>
    <w:rsid w:val="00775686"/>
    <w:rsid w:val="00775741"/>
    <w:rsid w:val="00775AF9"/>
    <w:rsid w:val="00775DA2"/>
    <w:rsid w:val="00776070"/>
    <w:rsid w:val="007760CF"/>
    <w:rsid w:val="007762EF"/>
    <w:rsid w:val="0077660D"/>
    <w:rsid w:val="007766AA"/>
    <w:rsid w:val="007768D4"/>
    <w:rsid w:val="00776EAB"/>
    <w:rsid w:val="0077723C"/>
    <w:rsid w:val="0077726D"/>
    <w:rsid w:val="00777485"/>
    <w:rsid w:val="007776B5"/>
    <w:rsid w:val="007776E7"/>
    <w:rsid w:val="00777CBD"/>
    <w:rsid w:val="00777F99"/>
    <w:rsid w:val="00780005"/>
    <w:rsid w:val="00780097"/>
    <w:rsid w:val="00780365"/>
    <w:rsid w:val="007803B3"/>
    <w:rsid w:val="0078040A"/>
    <w:rsid w:val="0078048D"/>
    <w:rsid w:val="007805B1"/>
    <w:rsid w:val="00780705"/>
    <w:rsid w:val="00780764"/>
    <w:rsid w:val="00780E45"/>
    <w:rsid w:val="007811E8"/>
    <w:rsid w:val="00781276"/>
    <w:rsid w:val="00781489"/>
    <w:rsid w:val="007814F6"/>
    <w:rsid w:val="00781627"/>
    <w:rsid w:val="0078164F"/>
    <w:rsid w:val="007818A4"/>
    <w:rsid w:val="0078192F"/>
    <w:rsid w:val="007819FD"/>
    <w:rsid w:val="00781B21"/>
    <w:rsid w:val="00781D9B"/>
    <w:rsid w:val="00781DB0"/>
    <w:rsid w:val="00782099"/>
    <w:rsid w:val="007820ED"/>
    <w:rsid w:val="00782318"/>
    <w:rsid w:val="007825ED"/>
    <w:rsid w:val="00782693"/>
    <w:rsid w:val="007827EC"/>
    <w:rsid w:val="00782AB1"/>
    <w:rsid w:val="00782D5D"/>
    <w:rsid w:val="0078307A"/>
    <w:rsid w:val="00783351"/>
    <w:rsid w:val="007833D4"/>
    <w:rsid w:val="0078363E"/>
    <w:rsid w:val="007836FA"/>
    <w:rsid w:val="00783B5B"/>
    <w:rsid w:val="00783D03"/>
    <w:rsid w:val="00783D27"/>
    <w:rsid w:val="00783DB5"/>
    <w:rsid w:val="00783DF8"/>
    <w:rsid w:val="00783F7C"/>
    <w:rsid w:val="00784673"/>
    <w:rsid w:val="00784770"/>
    <w:rsid w:val="00784A5A"/>
    <w:rsid w:val="00784B8F"/>
    <w:rsid w:val="00784BDE"/>
    <w:rsid w:val="00784ECB"/>
    <w:rsid w:val="0078513C"/>
    <w:rsid w:val="00785155"/>
    <w:rsid w:val="007851D5"/>
    <w:rsid w:val="007852FB"/>
    <w:rsid w:val="00785321"/>
    <w:rsid w:val="007854F3"/>
    <w:rsid w:val="00785585"/>
    <w:rsid w:val="00785623"/>
    <w:rsid w:val="00785810"/>
    <w:rsid w:val="00785AF5"/>
    <w:rsid w:val="00785B32"/>
    <w:rsid w:val="00785CE5"/>
    <w:rsid w:val="007860B2"/>
    <w:rsid w:val="0078610B"/>
    <w:rsid w:val="007864D1"/>
    <w:rsid w:val="00786637"/>
    <w:rsid w:val="00786AB2"/>
    <w:rsid w:val="00786B08"/>
    <w:rsid w:val="00786FF0"/>
    <w:rsid w:val="00786FF4"/>
    <w:rsid w:val="007870AB"/>
    <w:rsid w:val="007870B6"/>
    <w:rsid w:val="00787126"/>
    <w:rsid w:val="00787127"/>
    <w:rsid w:val="0078747A"/>
    <w:rsid w:val="007874E4"/>
    <w:rsid w:val="00787529"/>
    <w:rsid w:val="0078773E"/>
    <w:rsid w:val="00787B3F"/>
    <w:rsid w:val="00787C0F"/>
    <w:rsid w:val="00787D76"/>
    <w:rsid w:val="00787D8F"/>
    <w:rsid w:val="007901E9"/>
    <w:rsid w:val="00790245"/>
    <w:rsid w:val="007906C7"/>
    <w:rsid w:val="00790823"/>
    <w:rsid w:val="007909B8"/>
    <w:rsid w:val="00790DAD"/>
    <w:rsid w:val="00790E72"/>
    <w:rsid w:val="00790F72"/>
    <w:rsid w:val="00791125"/>
    <w:rsid w:val="0079117F"/>
    <w:rsid w:val="0079120D"/>
    <w:rsid w:val="0079167F"/>
    <w:rsid w:val="00791698"/>
    <w:rsid w:val="00791754"/>
    <w:rsid w:val="00791BE1"/>
    <w:rsid w:val="007920AD"/>
    <w:rsid w:val="00792291"/>
    <w:rsid w:val="007927B6"/>
    <w:rsid w:val="007927C4"/>
    <w:rsid w:val="00792A70"/>
    <w:rsid w:val="00792B04"/>
    <w:rsid w:val="00792B7D"/>
    <w:rsid w:val="00792D56"/>
    <w:rsid w:val="00792E0E"/>
    <w:rsid w:val="00793186"/>
    <w:rsid w:val="00793187"/>
    <w:rsid w:val="007932DF"/>
    <w:rsid w:val="0079330A"/>
    <w:rsid w:val="00793369"/>
    <w:rsid w:val="007937C5"/>
    <w:rsid w:val="007938FB"/>
    <w:rsid w:val="00793935"/>
    <w:rsid w:val="0079398B"/>
    <w:rsid w:val="00793B7D"/>
    <w:rsid w:val="00794181"/>
    <w:rsid w:val="00794792"/>
    <w:rsid w:val="00794B6B"/>
    <w:rsid w:val="00794C57"/>
    <w:rsid w:val="00794D55"/>
    <w:rsid w:val="00794E6E"/>
    <w:rsid w:val="00795048"/>
    <w:rsid w:val="007950FB"/>
    <w:rsid w:val="00795181"/>
    <w:rsid w:val="007951BA"/>
    <w:rsid w:val="007954CF"/>
    <w:rsid w:val="00795720"/>
    <w:rsid w:val="007959F0"/>
    <w:rsid w:val="00795B6E"/>
    <w:rsid w:val="00795DE0"/>
    <w:rsid w:val="00795E0F"/>
    <w:rsid w:val="00795F10"/>
    <w:rsid w:val="00795FCD"/>
    <w:rsid w:val="00796452"/>
    <w:rsid w:val="007964B5"/>
    <w:rsid w:val="007964C8"/>
    <w:rsid w:val="00796607"/>
    <w:rsid w:val="00796708"/>
    <w:rsid w:val="007967C2"/>
    <w:rsid w:val="00796852"/>
    <w:rsid w:val="00796900"/>
    <w:rsid w:val="00796991"/>
    <w:rsid w:val="00796A8A"/>
    <w:rsid w:val="00796F00"/>
    <w:rsid w:val="0079734B"/>
    <w:rsid w:val="00797705"/>
    <w:rsid w:val="007978D8"/>
    <w:rsid w:val="00797AB6"/>
    <w:rsid w:val="007A00DF"/>
    <w:rsid w:val="007A022A"/>
    <w:rsid w:val="007A048C"/>
    <w:rsid w:val="007A08AE"/>
    <w:rsid w:val="007A094B"/>
    <w:rsid w:val="007A0978"/>
    <w:rsid w:val="007A0B77"/>
    <w:rsid w:val="007A0CA1"/>
    <w:rsid w:val="007A1072"/>
    <w:rsid w:val="007A1128"/>
    <w:rsid w:val="007A1510"/>
    <w:rsid w:val="007A1513"/>
    <w:rsid w:val="007A154F"/>
    <w:rsid w:val="007A1739"/>
    <w:rsid w:val="007A1C47"/>
    <w:rsid w:val="007A1CA8"/>
    <w:rsid w:val="007A1CF7"/>
    <w:rsid w:val="007A1D29"/>
    <w:rsid w:val="007A1DFD"/>
    <w:rsid w:val="007A2201"/>
    <w:rsid w:val="007A2360"/>
    <w:rsid w:val="007A25F6"/>
    <w:rsid w:val="007A2704"/>
    <w:rsid w:val="007A2747"/>
    <w:rsid w:val="007A27A1"/>
    <w:rsid w:val="007A2D6B"/>
    <w:rsid w:val="007A2DB0"/>
    <w:rsid w:val="007A2DFB"/>
    <w:rsid w:val="007A2E11"/>
    <w:rsid w:val="007A2FC5"/>
    <w:rsid w:val="007A2FD3"/>
    <w:rsid w:val="007A38BD"/>
    <w:rsid w:val="007A391E"/>
    <w:rsid w:val="007A396D"/>
    <w:rsid w:val="007A3B5A"/>
    <w:rsid w:val="007A3BDF"/>
    <w:rsid w:val="007A3D07"/>
    <w:rsid w:val="007A4074"/>
    <w:rsid w:val="007A4127"/>
    <w:rsid w:val="007A4157"/>
    <w:rsid w:val="007A445C"/>
    <w:rsid w:val="007A448B"/>
    <w:rsid w:val="007A45A9"/>
    <w:rsid w:val="007A46F3"/>
    <w:rsid w:val="007A4B3F"/>
    <w:rsid w:val="007A4C9F"/>
    <w:rsid w:val="007A4F8C"/>
    <w:rsid w:val="007A512B"/>
    <w:rsid w:val="007A5310"/>
    <w:rsid w:val="007A55A5"/>
    <w:rsid w:val="007A55FD"/>
    <w:rsid w:val="007A578A"/>
    <w:rsid w:val="007A5863"/>
    <w:rsid w:val="007A588B"/>
    <w:rsid w:val="007A5894"/>
    <w:rsid w:val="007A5A46"/>
    <w:rsid w:val="007A5B70"/>
    <w:rsid w:val="007A5B7E"/>
    <w:rsid w:val="007A5CCB"/>
    <w:rsid w:val="007A5D07"/>
    <w:rsid w:val="007A5D09"/>
    <w:rsid w:val="007A5D23"/>
    <w:rsid w:val="007A5E4F"/>
    <w:rsid w:val="007A5E9E"/>
    <w:rsid w:val="007A5F8E"/>
    <w:rsid w:val="007A6002"/>
    <w:rsid w:val="007A6733"/>
    <w:rsid w:val="007A68DF"/>
    <w:rsid w:val="007A6B25"/>
    <w:rsid w:val="007A6B70"/>
    <w:rsid w:val="007A6DC2"/>
    <w:rsid w:val="007A704C"/>
    <w:rsid w:val="007A7636"/>
    <w:rsid w:val="007A76E2"/>
    <w:rsid w:val="007A7906"/>
    <w:rsid w:val="007A7AC2"/>
    <w:rsid w:val="007A7B0D"/>
    <w:rsid w:val="007A7B5E"/>
    <w:rsid w:val="007A7CFB"/>
    <w:rsid w:val="007A7E54"/>
    <w:rsid w:val="007A7F28"/>
    <w:rsid w:val="007B0973"/>
    <w:rsid w:val="007B0D9A"/>
    <w:rsid w:val="007B11CE"/>
    <w:rsid w:val="007B1679"/>
    <w:rsid w:val="007B16B8"/>
    <w:rsid w:val="007B17F4"/>
    <w:rsid w:val="007B1846"/>
    <w:rsid w:val="007B18DA"/>
    <w:rsid w:val="007B1A31"/>
    <w:rsid w:val="007B1B4C"/>
    <w:rsid w:val="007B1B8B"/>
    <w:rsid w:val="007B1FD8"/>
    <w:rsid w:val="007B21A0"/>
    <w:rsid w:val="007B21CA"/>
    <w:rsid w:val="007B227F"/>
    <w:rsid w:val="007B26BA"/>
    <w:rsid w:val="007B2805"/>
    <w:rsid w:val="007B29F3"/>
    <w:rsid w:val="007B2AC6"/>
    <w:rsid w:val="007B2CF6"/>
    <w:rsid w:val="007B2ECA"/>
    <w:rsid w:val="007B30BB"/>
    <w:rsid w:val="007B30CC"/>
    <w:rsid w:val="007B31BC"/>
    <w:rsid w:val="007B3331"/>
    <w:rsid w:val="007B33E8"/>
    <w:rsid w:val="007B34E4"/>
    <w:rsid w:val="007B37AD"/>
    <w:rsid w:val="007B3AF6"/>
    <w:rsid w:val="007B3B51"/>
    <w:rsid w:val="007B3B90"/>
    <w:rsid w:val="007B3E42"/>
    <w:rsid w:val="007B3F1C"/>
    <w:rsid w:val="007B40C0"/>
    <w:rsid w:val="007B428E"/>
    <w:rsid w:val="007B435B"/>
    <w:rsid w:val="007B43A8"/>
    <w:rsid w:val="007B4575"/>
    <w:rsid w:val="007B461B"/>
    <w:rsid w:val="007B46A3"/>
    <w:rsid w:val="007B4899"/>
    <w:rsid w:val="007B4B29"/>
    <w:rsid w:val="007B4DEC"/>
    <w:rsid w:val="007B5161"/>
    <w:rsid w:val="007B51BB"/>
    <w:rsid w:val="007B53BB"/>
    <w:rsid w:val="007B54F9"/>
    <w:rsid w:val="007B5690"/>
    <w:rsid w:val="007B574D"/>
    <w:rsid w:val="007B5946"/>
    <w:rsid w:val="007B59C7"/>
    <w:rsid w:val="007B5A1B"/>
    <w:rsid w:val="007B5A21"/>
    <w:rsid w:val="007B5B51"/>
    <w:rsid w:val="007B5DD6"/>
    <w:rsid w:val="007B5E5A"/>
    <w:rsid w:val="007B5EA9"/>
    <w:rsid w:val="007B6319"/>
    <w:rsid w:val="007B650E"/>
    <w:rsid w:val="007B65EA"/>
    <w:rsid w:val="007B65F2"/>
    <w:rsid w:val="007B68B2"/>
    <w:rsid w:val="007B698A"/>
    <w:rsid w:val="007B6A84"/>
    <w:rsid w:val="007B6A8E"/>
    <w:rsid w:val="007B6B50"/>
    <w:rsid w:val="007B6D1A"/>
    <w:rsid w:val="007B7070"/>
    <w:rsid w:val="007B70D2"/>
    <w:rsid w:val="007B70FF"/>
    <w:rsid w:val="007B7177"/>
    <w:rsid w:val="007B71F6"/>
    <w:rsid w:val="007B776E"/>
    <w:rsid w:val="007B787E"/>
    <w:rsid w:val="007B7BCE"/>
    <w:rsid w:val="007B7C2B"/>
    <w:rsid w:val="007B7C3E"/>
    <w:rsid w:val="007B7C82"/>
    <w:rsid w:val="007B7E30"/>
    <w:rsid w:val="007B7F59"/>
    <w:rsid w:val="007B7F6A"/>
    <w:rsid w:val="007C037D"/>
    <w:rsid w:val="007C03DB"/>
    <w:rsid w:val="007C056B"/>
    <w:rsid w:val="007C05FF"/>
    <w:rsid w:val="007C0AB7"/>
    <w:rsid w:val="007C0DAC"/>
    <w:rsid w:val="007C0E52"/>
    <w:rsid w:val="007C0F05"/>
    <w:rsid w:val="007C0F6F"/>
    <w:rsid w:val="007C113F"/>
    <w:rsid w:val="007C1207"/>
    <w:rsid w:val="007C140C"/>
    <w:rsid w:val="007C153F"/>
    <w:rsid w:val="007C184F"/>
    <w:rsid w:val="007C1B2A"/>
    <w:rsid w:val="007C1D66"/>
    <w:rsid w:val="007C1E2E"/>
    <w:rsid w:val="007C1F34"/>
    <w:rsid w:val="007C1FDD"/>
    <w:rsid w:val="007C211C"/>
    <w:rsid w:val="007C24E5"/>
    <w:rsid w:val="007C263C"/>
    <w:rsid w:val="007C266C"/>
    <w:rsid w:val="007C27AA"/>
    <w:rsid w:val="007C29B3"/>
    <w:rsid w:val="007C2CC6"/>
    <w:rsid w:val="007C2D83"/>
    <w:rsid w:val="007C3067"/>
    <w:rsid w:val="007C3499"/>
    <w:rsid w:val="007C34B9"/>
    <w:rsid w:val="007C3644"/>
    <w:rsid w:val="007C38FE"/>
    <w:rsid w:val="007C3AE1"/>
    <w:rsid w:val="007C3C3C"/>
    <w:rsid w:val="007C3CB6"/>
    <w:rsid w:val="007C3E07"/>
    <w:rsid w:val="007C4121"/>
    <w:rsid w:val="007C44A9"/>
    <w:rsid w:val="007C44CB"/>
    <w:rsid w:val="007C457D"/>
    <w:rsid w:val="007C480F"/>
    <w:rsid w:val="007C48A6"/>
    <w:rsid w:val="007C50FD"/>
    <w:rsid w:val="007C514D"/>
    <w:rsid w:val="007C5171"/>
    <w:rsid w:val="007C5489"/>
    <w:rsid w:val="007C54E8"/>
    <w:rsid w:val="007C55D5"/>
    <w:rsid w:val="007C5737"/>
    <w:rsid w:val="007C5AAD"/>
    <w:rsid w:val="007C5ADA"/>
    <w:rsid w:val="007C5B76"/>
    <w:rsid w:val="007C5F45"/>
    <w:rsid w:val="007C6031"/>
    <w:rsid w:val="007C6079"/>
    <w:rsid w:val="007C63CD"/>
    <w:rsid w:val="007C63D5"/>
    <w:rsid w:val="007C6565"/>
    <w:rsid w:val="007C65CE"/>
    <w:rsid w:val="007C697B"/>
    <w:rsid w:val="007C6C02"/>
    <w:rsid w:val="007C6C86"/>
    <w:rsid w:val="007C7061"/>
    <w:rsid w:val="007C70D1"/>
    <w:rsid w:val="007C7136"/>
    <w:rsid w:val="007C71D4"/>
    <w:rsid w:val="007C74AF"/>
    <w:rsid w:val="007C77D9"/>
    <w:rsid w:val="007C784B"/>
    <w:rsid w:val="007C7AD1"/>
    <w:rsid w:val="007C7E58"/>
    <w:rsid w:val="007D0649"/>
    <w:rsid w:val="007D0717"/>
    <w:rsid w:val="007D08A0"/>
    <w:rsid w:val="007D08BC"/>
    <w:rsid w:val="007D0AEE"/>
    <w:rsid w:val="007D0EEF"/>
    <w:rsid w:val="007D1023"/>
    <w:rsid w:val="007D1445"/>
    <w:rsid w:val="007D195E"/>
    <w:rsid w:val="007D1962"/>
    <w:rsid w:val="007D1FBA"/>
    <w:rsid w:val="007D205E"/>
    <w:rsid w:val="007D2411"/>
    <w:rsid w:val="007D254F"/>
    <w:rsid w:val="007D25C2"/>
    <w:rsid w:val="007D2614"/>
    <w:rsid w:val="007D2693"/>
    <w:rsid w:val="007D287C"/>
    <w:rsid w:val="007D28CB"/>
    <w:rsid w:val="007D2EAD"/>
    <w:rsid w:val="007D2F39"/>
    <w:rsid w:val="007D312D"/>
    <w:rsid w:val="007D31AE"/>
    <w:rsid w:val="007D34E3"/>
    <w:rsid w:val="007D362D"/>
    <w:rsid w:val="007D3910"/>
    <w:rsid w:val="007D3926"/>
    <w:rsid w:val="007D3974"/>
    <w:rsid w:val="007D3ADD"/>
    <w:rsid w:val="007D3DD0"/>
    <w:rsid w:val="007D3F02"/>
    <w:rsid w:val="007D41E3"/>
    <w:rsid w:val="007D4325"/>
    <w:rsid w:val="007D4AAD"/>
    <w:rsid w:val="007D4F15"/>
    <w:rsid w:val="007D50BE"/>
    <w:rsid w:val="007D50FA"/>
    <w:rsid w:val="007D5329"/>
    <w:rsid w:val="007D53DC"/>
    <w:rsid w:val="007D54B6"/>
    <w:rsid w:val="007D5A91"/>
    <w:rsid w:val="007D5FA3"/>
    <w:rsid w:val="007D6428"/>
    <w:rsid w:val="007D64E5"/>
    <w:rsid w:val="007D65DF"/>
    <w:rsid w:val="007D6845"/>
    <w:rsid w:val="007D68CD"/>
    <w:rsid w:val="007D69D1"/>
    <w:rsid w:val="007D6A82"/>
    <w:rsid w:val="007D6DAF"/>
    <w:rsid w:val="007D6E99"/>
    <w:rsid w:val="007D6FF0"/>
    <w:rsid w:val="007D7103"/>
    <w:rsid w:val="007D73F5"/>
    <w:rsid w:val="007D7567"/>
    <w:rsid w:val="007D76C6"/>
    <w:rsid w:val="007D7786"/>
    <w:rsid w:val="007D7860"/>
    <w:rsid w:val="007D7944"/>
    <w:rsid w:val="007D7968"/>
    <w:rsid w:val="007D79CC"/>
    <w:rsid w:val="007D7E46"/>
    <w:rsid w:val="007D7EFB"/>
    <w:rsid w:val="007D7F24"/>
    <w:rsid w:val="007E031C"/>
    <w:rsid w:val="007E03C9"/>
    <w:rsid w:val="007E0418"/>
    <w:rsid w:val="007E0496"/>
    <w:rsid w:val="007E0894"/>
    <w:rsid w:val="007E0AD0"/>
    <w:rsid w:val="007E0BB7"/>
    <w:rsid w:val="007E0D3C"/>
    <w:rsid w:val="007E0DC9"/>
    <w:rsid w:val="007E1140"/>
    <w:rsid w:val="007E117E"/>
    <w:rsid w:val="007E119C"/>
    <w:rsid w:val="007E1210"/>
    <w:rsid w:val="007E14EF"/>
    <w:rsid w:val="007E15EF"/>
    <w:rsid w:val="007E1628"/>
    <w:rsid w:val="007E1670"/>
    <w:rsid w:val="007E1B42"/>
    <w:rsid w:val="007E2060"/>
    <w:rsid w:val="007E26FB"/>
    <w:rsid w:val="007E27CD"/>
    <w:rsid w:val="007E2828"/>
    <w:rsid w:val="007E2CBD"/>
    <w:rsid w:val="007E31CA"/>
    <w:rsid w:val="007E3385"/>
    <w:rsid w:val="007E3414"/>
    <w:rsid w:val="007E364A"/>
    <w:rsid w:val="007E38F9"/>
    <w:rsid w:val="007E3EB3"/>
    <w:rsid w:val="007E416C"/>
    <w:rsid w:val="007E46C7"/>
    <w:rsid w:val="007E476E"/>
    <w:rsid w:val="007E4904"/>
    <w:rsid w:val="007E4FFC"/>
    <w:rsid w:val="007E532E"/>
    <w:rsid w:val="007E537B"/>
    <w:rsid w:val="007E5469"/>
    <w:rsid w:val="007E5760"/>
    <w:rsid w:val="007E587A"/>
    <w:rsid w:val="007E5BA8"/>
    <w:rsid w:val="007E5BD9"/>
    <w:rsid w:val="007E5CD7"/>
    <w:rsid w:val="007E5EA5"/>
    <w:rsid w:val="007E6445"/>
    <w:rsid w:val="007E66C6"/>
    <w:rsid w:val="007E677B"/>
    <w:rsid w:val="007E6958"/>
    <w:rsid w:val="007E7729"/>
    <w:rsid w:val="007E77ED"/>
    <w:rsid w:val="007E791E"/>
    <w:rsid w:val="007E7BD7"/>
    <w:rsid w:val="007E7C30"/>
    <w:rsid w:val="007F00C9"/>
    <w:rsid w:val="007F07B4"/>
    <w:rsid w:val="007F07F5"/>
    <w:rsid w:val="007F0CB6"/>
    <w:rsid w:val="007F109F"/>
    <w:rsid w:val="007F1100"/>
    <w:rsid w:val="007F1205"/>
    <w:rsid w:val="007F120D"/>
    <w:rsid w:val="007F13FF"/>
    <w:rsid w:val="007F14D5"/>
    <w:rsid w:val="007F1591"/>
    <w:rsid w:val="007F1ABA"/>
    <w:rsid w:val="007F1BD9"/>
    <w:rsid w:val="007F1C28"/>
    <w:rsid w:val="007F1D33"/>
    <w:rsid w:val="007F216B"/>
    <w:rsid w:val="007F226F"/>
    <w:rsid w:val="007F22A2"/>
    <w:rsid w:val="007F22B4"/>
    <w:rsid w:val="007F23ED"/>
    <w:rsid w:val="007F2496"/>
    <w:rsid w:val="007F24AA"/>
    <w:rsid w:val="007F24C2"/>
    <w:rsid w:val="007F26AE"/>
    <w:rsid w:val="007F2781"/>
    <w:rsid w:val="007F2D44"/>
    <w:rsid w:val="007F3209"/>
    <w:rsid w:val="007F3317"/>
    <w:rsid w:val="007F33F4"/>
    <w:rsid w:val="007F3560"/>
    <w:rsid w:val="007F35C0"/>
    <w:rsid w:val="007F3A05"/>
    <w:rsid w:val="007F3A78"/>
    <w:rsid w:val="007F3AAC"/>
    <w:rsid w:val="007F3BB2"/>
    <w:rsid w:val="007F3C73"/>
    <w:rsid w:val="007F3FCB"/>
    <w:rsid w:val="007F3FFD"/>
    <w:rsid w:val="007F411E"/>
    <w:rsid w:val="007F42E8"/>
    <w:rsid w:val="007F44E1"/>
    <w:rsid w:val="007F48FA"/>
    <w:rsid w:val="007F4CE0"/>
    <w:rsid w:val="007F4CF0"/>
    <w:rsid w:val="007F4DDF"/>
    <w:rsid w:val="007F4E21"/>
    <w:rsid w:val="007F4F01"/>
    <w:rsid w:val="007F5328"/>
    <w:rsid w:val="007F560E"/>
    <w:rsid w:val="007F58B7"/>
    <w:rsid w:val="007F58D6"/>
    <w:rsid w:val="007F5DA7"/>
    <w:rsid w:val="007F5E55"/>
    <w:rsid w:val="007F5E93"/>
    <w:rsid w:val="007F5EAC"/>
    <w:rsid w:val="007F5EDA"/>
    <w:rsid w:val="007F5F05"/>
    <w:rsid w:val="007F5FB9"/>
    <w:rsid w:val="007F609F"/>
    <w:rsid w:val="007F6167"/>
    <w:rsid w:val="007F6255"/>
    <w:rsid w:val="007F6531"/>
    <w:rsid w:val="007F6566"/>
    <w:rsid w:val="007F695C"/>
    <w:rsid w:val="007F6B93"/>
    <w:rsid w:val="007F6F5E"/>
    <w:rsid w:val="007F738B"/>
    <w:rsid w:val="007F7779"/>
    <w:rsid w:val="007F7D44"/>
    <w:rsid w:val="008001B2"/>
    <w:rsid w:val="008005EE"/>
    <w:rsid w:val="00800657"/>
    <w:rsid w:val="008006B7"/>
    <w:rsid w:val="00800836"/>
    <w:rsid w:val="00800863"/>
    <w:rsid w:val="00800B93"/>
    <w:rsid w:val="00800C22"/>
    <w:rsid w:val="0080115F"/>
    <w:rsid w:val="00801A0D"/>
    <w:rsid w:val="00801AAC"/>
    <w:rsid w:val="00801B01"/>
    <w:rsid w:val="00801BD2"/>
    <w:rsid w:val="00801CA0"/>
    <w:rsid w:val="0080211D"/>
    <w:rsid w:val="0080240B"/>
    <w:rsid w:val="00802548"/>
    <w:rsid w:val="008025DC"/>
    <w:rsid w:val="0080265F"/>
    <w:rsid w:val="008027AC"/>
    <w:rsid w:val="0080297C"/>
    <w:rsid w:val="008029D5"/>
    <w:rsid w:val="00802A96"/>
    <w:rsid w:val="00802BFA"/>
    <w:rsid w:val="00802C05"/>
    <w:rsid w:val="00802D3D"/>
    <w:rsid w:val="00802DB2"/>
    <w:rsid w:val="00802E0A"/>
    <w:rsid w:val="00802F7D"/>
    <w:rsid w:val="00802FE4"/>
    <w:rsid w:val="0080301B"/>
    <w:rsid w:val="00803119"/>
    <w:rsid w:val="00803142"/>
    <w:rsid w:val="00803250"/>
    <w:rsid w:val="00803294"/>
    <w:rsid w:val="00803930"/>
    <w:rsid w:val="00803A12"/>
    <w:rsid w:val="00803F01"/>
    <w:rsid w:val="008041D1"/>
    <w:rsid w:val="0080461F"/>
    <w:rsid w:val="008046E8"/>
    <w:rsid w:val="008047B1"/>
    <w:rsid w:val="0080487A"/>
    <w:rsid w:val="00804C29"/>
    <w:rsid w:val="00804C4E"/>
    <w:rsid w:val="00804CDC"/>
    <w:rsid w:val="00804E4D"/>
    <w:rsid w:val="00804E74"/>
    <w:rsid w:val="0080529F"/>
    <w:rsid w:val="008055D9"/>
    <w:rsid w:val="00805ADB"/>
    <w:rsid w:val="00805F32"/>
    <w:rsid w:val="008061B9"/>
    <w:rsid w:val="00806278"/>
    <w:rsid w:val="00806509"/>
    <w:rsid w:val="0080658E"/>
    <w:rsid w:val="008069CE"/>
    <w:rsid w:val="00806C1A"/>
    <w:rsid w:val="00806C39"/>
    <w:rsid w:val="00806F9B"/>
    <w:rsid w:val="008078CF"/>
    <w:rsid w:val="00807B4D"/>
    <w:rsid w:val="00807D09"/>
    <w:rsid w:val="00810261"/>
    <w:rsid w:val="008104BF"/>
    <w:rsid w:val="00810606"/>
    <w:rsid w:val="00810665"/>
    <w:rsid w:val="0081080F"/>
    <w:rsid w:val="008108E0"/>
    <w:rsid w:val="00810D1D"/>
    <w:rsid w:val="00811114"/>
    <w:rsid w:val="0081117A"/>
    <w:rsid w:val="0081142A"/>
    <w:rsid w:val="008115A5"/>
    <w:rsid w:val="0081179F"/>
    <w:rsid w:val="008117C2"/>
    <w:rsid w:val="00811B35"/>
    <w:rsid w:val="00811B92"/>
    <w:rsid w:val="00811BAC"/>
    <w:rsid w:val="00811D90"/>
    <w:rsid w:val="00811D9D"/>
    <w:rsid w:val="00811E52"/>
    <w:rsid w:val="00811FAC"/>
    <w:rsid w:val="00812130"/>
    <w:rsid w:val="008122D0"/>
    <w:rsid w:val="00812425"/>
    <w:rsid w:val="00812475"/>
    <w:rsid w:val="00812661"/>
    <w:rsid w:val="00812699"/>
    <w:rsid w:val="00812B7A"/>
    <w:rsid w:val="00812FD5"/>
    <w:rsid w:val="00813004"/>
    <w:rsid w:val="0081315C"/>
    <w:rsid w:val="00813636"/>
    <w:rsid w:val="0081364D"/>
    <w:rsid w:val="00813748"/>
    <w:rsid w:val="00813947"/>
    <w:rsid w:val="00813950"/>
    <w:rsid w:val="00813A12"/>
    <w:rsid w:val="00813CFD"/>
    <w:rsid w:val="00813E11"/>
    <w:rsid w:val="00813E51"/>
    <w:rsid w:val="00813F51"/>
    <w:rsid w:val="0081418B"/>
    <w:rsid w:val="008142C4"/>
    <w:rsid w:val="008143D1"/>
    <w:rsid w:val="00814C39"/>
    <w:rsid w:val="00814D44"/>
    <w:rsid w:val="00814EBF"/>
    <w:rsid w:val="00815190"/>
    <w:rsid w:val="00815269"/>
    <w:rsid w:val="008158A3"/>
    <w:rsid w:val="00815CD6"/>
    <w:rsid w:val="00815FA1"/>
    <w:rsid w:val="0081618F"/>
    <w:rsid w:val="0081638B"/>
    <w:rsid w:val="00816427"/>
    <w:rsid w:val="0081646A"/>
    <w:rsid w:val="008164B7"/>
    <w:rsid w:val="00816714"/>
    <w:rsid w:val="00816729"/>
    <w:rsid w:val="0081682C"/>
    <w:rsid w:val="008169D6"/>
    <w:rsid w:val="00816A57"/>
    <w:rsid w:val="00816AAA"/>
    <w:rsid w:val="00816B19"/>
    <w:rsid w:val="008170AE"/>
    <w:rsid w:val="008170C0"/>
    <w:rsid w:val="008172CD"/>
    <w:rsid w:val="0081732E"/>
    <w:rsid w:val="00817741"/>
    <w:rsid w:val="00817941"/>
    <w:rsid w:val="00817B28"/>
    <w:rsid w:val="00817CA0"/>
    <w:rsid w:val="00817FDB"/>
    <w:rsid w:val="00820007"/>
    <w:rsid w:val="00820794"/>
    <w:rsid w:val="0082090F"/>
    <w:rsid w:val="008209A4"/>
    <w:rsid w:val="00820A68"/>
    <w:rsid w:val="00820BAD"/>
    <w:rsid w:val="00820C69"/>
    <w:rsid w:val="00820CB9"/>
    <w:rsid w:val="00820D19"/>
    <w:rsid w:val="00820E07"/>
    <w:rsid w:val="00820F51"/>
    <w:rsid w:val="0082101E"/>
    <w:rsid w:val="00821071"/>
    <w:rsid w:val="008210F8"/>
    <w:rsid w:val="0082125E"/>
    <w:rsid w:val="0082128B"/>
    <w:rsid w:val="00821364"/>
    <w:rsid w:val="008216D3"/>
    <w:rsid w:val="00821C88"/>
    <w:rsid w:val="00821CA7"/>
    <w:rsid w:val="00821D84"/>
    <w:rsid w:val="00821D8C"/>
    <w:rsid w:val="00821E2A"/>
    <w:rsid w:val="0082256B"/>
    <w:rsid w:val="0082256E"/>
    <w:rsid w:val="0082279C"/>
    <w:rsid w:val="008228B7"/>
    <w:rsid w:val="00822A12"/>
    <w:rsid w:val="00822B11"/>
    <w:rsid w:val="00822D8C"/>
    <w:rsid w:val="00822DF5"/>
    <w:rsid w:val="00822FD2"/>
    <w:rsid w:val="008235A4"/>
    <w:rsid w:val="008236B0"/>
    <w:rsid w:val="00823AA6"/>
    <w:rsid w:val="00823B6D"/>
    <w:rsid w:val="00823FCA"/>
    <w:rsid w:val="00824391"/>
    <w:rsid w:val="00824578"/>
    <w:rsid w:val="008245FF"/>
    <w:rsid w:val="00824753"/>
    <w:rsid w:val="008249E4"/>
    <w:rsid w:val="00824C4F"/>
    <w:rsid w:val="00825093"/>
    <w:rsid w:val="00825200"/>
    <w:rsid w:val="00825283"/>
    <w:rsid w:val="00825464"/>
    <w:rsid w:val="00825481"/>
    <w:rsid w:val="008256EB"/>
    <w:rsid w:val="0082596C"/>
    <w:rsid w:val="00825B43"/>
    <w:rsid w:val="00825DC5"/>
    <w:rsid w:val="00825FFB"/>
    <w:rsid w:val="00826082"/>
    <w:rsid w:val="0082620F"/>
    <w:rsid w:val="008262FE"/>
    <w:rsid w:val="0082649B"/>
    <w:rsid w:val="008267B4"/>
    <w:rsid w:val="00826928"/>
    <w:rsid w:val="00826B1F"/>
    <w:rsid w:val="00826E1F"/>
    <w:rsid w:val="0082758F"/>
    <w:rsid w:val="0082765A"/>
    <w:rsid w:val="0082774A"/>
    <w:rsid w:val="00827839"/>
    <w:rsid w:val="008278C6"/>
    <w:rsid w:val="0082798C"/>
    <w:rsid w:val="00827C6C"/>
    <w:rsid w:val="00827E79"/>
    <w:rsid w:val="00830147"/>
    <w:rsid w:val="00830622"/>
    <w:rsid w:val="00830692"/>
    <w:rsid w:val="0083069E"/>
    <w:rsid w:val="00830953"/>
    <w:rsid w:val="00830BC7"/>
    <w:rsid w:val="00830FF3"/>
    <w:rsid w:val="00831068"/>
    <w:rsid w:val="00831124"/>
    <w:rsid w:val="00831153"/>
    <w:rsid w:val="008314F1"/>
    <w:rsid w:val="00831840"/>
    <w:rsid w:val="00831940"/>
    <w:rsid w:val="00831C1F"/>
    <w:rsid w:val="00831D38"/>
    <w:rsid w:val="0083252C"/>
    <w:rsid w:val="0083296E"/>
    <w:rsid w:val="00832A49"/>
    <w:rsid w:val="00832B06"/>
    <w:rsid w:val="00832B72"/>
    <w:rsid w:val="00832BCE"/>
    <w:rsid w:val="00832D6C"/>
    <w:rsid w:val="008331A7"/>
    <w:rsid w:val="0083334D"/>
    <w:rsid w:val="00833582"/>
    <w:rsid w:val="00833659"/>
    <w:rsid w:val="008338B8"/>
    <w:rsid w:val="00833938"/>
    <w:rsid w:val="00833AF8"/>
    <w:rsid w:val="0083409D"/>
    <w:rsid w:val="0083447C"/>
    <w:rsid w:val="008346B2"/>
    <w:rsid w:val="0083496D"/>
    <w:rsid w:val="00834981"/>
    <w:rsid w:val="0083499D"/>
    <w:rsid w:val="00834B03"/>
    <w:rsid w:val="00834B54"/>
    <w:rsid w:val="00834DC9"/>
    <w:rsid w:val="00835064"/>
    <w:rsid w:val="008351DB"/>
    <w:rsid w:val="008354AD"/>
    <w:rsid w:val="00835561"/>
    <w:rsid w:val="00835656"/>
    <w:rsid w:val="00835B0A"/>
    <w:rsid w:val="00835CB6"/>
    <w:rsid w:val="00835CDA"/>
    <w:rsid w:val="00835F0D"/>
    <w:rsid w:val="0083670F"/>
    <w:rsid w:val="00836B7B"/>
    <w:rsid w:val="00836D78"/>
    <w:rsid w:val="00836F7A"/>
    <w:rsid w:val="00836FE1"/>
    <w:rsid w:val="00836FF0"/>
    <w:rsid w:val="0083732C"/>
    <w:rsid w:val="00837398"/>
    <w:rsid w:val="00837441"/>
    <w:rsid w:val="008377B7"/>
    <w:rsid w:val="008378D3"/>
    <w:rsid w:val="00837CE6"/>
    <w:rsid w:val="0084008B"/>
    <w:rsid w:val="008400C6"/>
    <w:rsid w:val="008402E6"/>
    <w:rsid w:val="00840321"/>
    <w:rsid w:val="00840574"/>
    <w:rsid w:val="00840AC5"/>
    <w:rsid w:val="00840B98"/>
    <w:rsid w:val="00840BB3"/>
    <w:rsid w:val="00840C3A"/>
    <w:rsid w:val="00840CF7"/>
    <w:rsid w:val="00840F32"/>
    <w:rsid w:val="008410BB"/>
    <w:rsid w:val="00841185"/>
    <w:rsid w:val="008411AA"/>
    <w:rsid w:val="008414D8"/>
    <w:rsid w:val="00841724"/>
    <w:rsid w:val="00841E38"/>
    <w:rsid w:val="008421EC"/>
    <w:rsid w:val="0084222F"/>
    <w:rsid w:val="00842270"/>
    <w:rsid w:val="008423D3"/>
    <w:rsid w:val="0084249C"/>
    <w:rsid w:val="008425B4"/>
    <w:rsid w:val="0084266C"/>
    <w:rsid w:val="00842845"/>
    <w:rsid w:val="00842CBD"/>
    <w:rsid w:val="00842D12"/>
    <w:rsid w:val="00842E5E"/>
    <w:rsid w:val="00843067"/>
    <w:rsid w:val="0084313B"/>
    <w:rsid w:val="008433F6"/>
    <w:rsid w:val="008436C1"/>
    <w:rsid w:val="008439B5"/>
    <w:rsid w:val="00843CE5"/>
    <w:rsid w:val="00843E47"/>
    <w:rsid w:val="00843EAB"/>
    <w:rsid w:val="00844665"/>
    <w:rsid w:val="008446BB"/>
    <w:rsid w:val="00844A29"/>
    <w:rsid w:val="00844AD4"/>
    <w:rsid w:val="00844F50"/>
    <w:rsid w:val="008450A9"/>
    <w:rsid w:val="0084516A"/>
    <w:rsid w:val="0084564A"/>
    <w:rsid w:val="008456BE"/>
    <w:rsid w:val="00845C34"/>
    <w:rsid w:val="00845E6F"/>
    <w:rsid w:val="00845F7D"/>
    <w:rsid w:val="00845FB2"/>
    <w:rsid w:val="0084643E"/>
    <w:rsid w:val="00846902"/>
    <w:rsid w:val="00846911"/>
    <w:rsid w:val="00846938"/>
    <w:rsid w:val="00846B9B"/>
    <w:rsid w:val="00846DA6"/>
    <w:rsid w:val="00846DEB"/>
    <w:rsid w:val="00846FA4"/>
    <w:rsid w:val="008471CE"/>
    <w:rsid w:val="00847204"/>
    <w:rsid w:val="00847335"/>
    <w:rsid w:val="00847422"/>
    <w:rsid w:val="008474CA"/>
    <w:rsid w:val="008474F9"/>
    <w:rsid w:val="00847A11"/>
    <w:rsid w:val="00847F05"/>
    <w:rsid w:val="0085007D"/>
    <w:rsid w:val="00850652"/>
    <w:rsid w:val="008507CD"/>
    <w:rsid w:val="00850BB8"/>
    <w:rsid w:val="008514C4"/>
    <w:rsid w:val="00851B48"/>
    <w:rsid w:val="00851B7A"/>
    <w:rsid w:val="00852049"/>
    <w:rsid w:val="00852440"/>
    <w:rsid w:val="0085244A"/>
    <w:rsid w:val="0085261F"/>
    <w:rsid w:val="00852739"/>
    <w:rsid w:val="008527AA"/>
    <w:rsid w:val="00852805"/>
    <w:rsid w:val="00852A19"/>
    <w:rsid w:val="00852AD7"/>
    <w:rsid w:val="00852B72"/>
    <w:rsid w:val="00852C1D"/>
    <w:rsid w:val="00852C85"/>
    <w:rsid w:val="008531D3"/>
    <w:rsid w:val="00853418"/>
    <w:rsid w:val="0085343B"/>
    <w:rsid w:val="008536E5"/>
    <w:rsid w:val="00853742"/>
    <w:rsid w:val="00853AB3"/>
    <w:rsid w:val="00853B41"/>
    <w:rsid w:val="00853B6E"/>
    <w:rsid w:val="00853C21"/>
    <w:rsid w:val="00853C92"/>
    <w:rsid w:val="00853D7F"/>
    <w:rsid w:val="0085405F"/>
    <w:rsid w:val="008540D3"/>
    <w:rsid w:val="008545D5"/>
    <w:rsid w:val="00854635"/>
    <w:rsid w:val="0085464A"/>
    <w:rsid w:val="008548E3"/>
    <w:rsid w:val="00854B70"/>
    <w:rsid w:val="00854C94"/>
    <w:rsid w:val="00854CE9"/>
    <w:rsid w:val="00854DBA"/>
    <w:rsid w:val="00854F72"/>
    <w:rsid w:val="00855187"/>
    <w:rsid w:val="00855287"/>
    <w:rsid w:val="008554ED"/>
    <w:rsid w:val="00855592"/>
    <w:rsid w:val="00855A91"/>
    <w:rsid w:val="00855D5D"/>
    <w:rsid w:val="00855F48"/>
    <w:rsid w:val="00855F60"/>
    <w:rsid w:val="00855F6A"/>
    <w:rsid w:val="00855FDC"/>
    <w:rsid w:val="008560F5"/>
    <w:rsid w:val="0085637D"/>
    <w:rsid w:val="008564B8"/>
    <w:rsid w:val="00856516"/>
    <w:rsid w:val="00856551"/>
    <w:rsid w:val="008565A2"/>
    <w:rsid w:val="00856A0E"/>
    <w:rsid w:val="00856A20"/>
    <w:rsid w:val="00856C47"/>
    <w:rsid w:val="00856E50"/>
    <w:rsid w:val="0085735D"/>
    <w:rsid w:val="00857390"/>
    <w:rsid w:val="00857709"/>
    <w:rsid w:val="00857763"/>
    <w:rsid w:val="008578FB"/>
    <w:rsid w:val="00857ABF"/>
    <w:rsid w:val="00857AC1"/>
    <w:rsid w:val="00857AE4"/>
    <w:rsid w:val="00857C14"/>
    <w:rsid w:val="00857E62"/>
    <w:rsid w:val="00860207"/>
    <w:rsid w:val="008603DF"/>
    <w:rsid w:val="008607E8"/>
    <w:rsid w:val="0086091A"/>
    <w:rsid w:val="00860940"/>
    <w:rsid w:val="00860AEE"/>
    <w:rsid w:val="00860D35"/>
    <w:rsid w:val="00860ED4"/>
    <w:rsid w:val="00860F07"/>
    <w:rsid w:val="008611AA"/>
    <w:rsid w:val="00861276"/>
    <w:rsid w:val="00861474"/>
    <w:rsid w:val="008615BF"/>
    <w:rsid w:val="008618E1"/>
    <w:rsid w:val="00861958"/>
    <w:rsid w:val="00861A4F"/>
    <w:rsid w:val="00861A60"/>
    <w:rsid w:val="00861C2B"/>
    <w:rsid w:val="008622DB"/>
    <w:rsid w:val="00862393"/>
    <w:rsid w:val="008623B5"/>
    <w:rsid w:val="008625F3"/>
    <w:rsid w:val="0086261E"/>
    <w:rsid w:val="0086281F"/>
    <w:rsid w:val="00862851"/>
    <w:rsid w:val="00862961"/>
    <w:rsid w:val="00862AEA"/>
    <w:rsid w:val="00862DFE"/>
    <w:rsid w:val="00863576"/>
    <w:rsid w:val="00863765"/>
    <w:rsid w:val="008637F6"/>
    <w:rsid w:val="00863D3C"/>
    <w:rsid w:val="00863D89"/>
    <w:rsid w:val="00863EA7"/>
    <w:rsid w:val="008640FC"/>
    <w:rsid w:val="00864218"/>
    <w:rsid w:val="008643B7"/>
    <w:rsid w:val="008643D0"/>
    <w:rsid w:val="00864689"/>
    <w:rsid w:val="008649E8"/>
    <w:rsid w:val="008649EE"/>
    <w:rsid w:val="00864C79"/>
    <w:rsid w:val="00864D25"/>
    <w:rsid w:val="00864D75"/>
    <w:rsid w:val="00864DA7"/>
    <w:rsid w:val="00864DE4"/>
    <w:rsid w:val="00864F22"/>
    <w:rsid w:val="008651A1"/>
    <w:rsid w:val="00865273"/>
    <w:rsid w:val="00865423"/>
    <w:rsid w:val="00865614"/>
    <w:rsid w:val="0086569B"/>
    <w:rsid w:val="00865966"/>
    <w:rsid w:val="008659B2"/>
    <w:rsid w:val="00865A7B"/>
    <w:rsid w:val="00865A86"/>
    <w:rsid w:val="00865ACE"/>
    <w:rsid w:val="00865F97"/>
    <w:rsid w:val="008660CB"/>
    <w:rsid w:val="008665A7"/>
    <w:rsid w:val="00866615"/>
    <w:rsid w:val="00866A83"/>
    <w:rsid w:val="00866A9C"/>
    <w:rsid w:val="00866C60"/>
    <w:rsid w:val="00866CEC"/>
    <w:rsid w:val="00866F6D"/>
    <w:rsid w:val="00867043"/>
    <w:rsid w:val="008670D8"/>
    <w:rsid w:val="00867321"/>
    <w:rsid w:val="00867541"/>
    <w:rsid w:val="008677F6"/>
    <w:rsid w:val="0086780E"/>
    <w:rsid w:val="00867983"/>
    <w:rsid w:val="00867CED"/>
    <w:rsid w:val="00870119"/>
    <w:rsid w:val="00870160"/>
    <w:rsid w:val="008701C9"/>
    <w:rsid w:val="008705DD"/>
    <w:rsid w:val="00870CBA"/>
    <w:rsid w:val="00870D52"/>
    <w:rsid w:val="00871159"/>
    <w:rsid w:val="008711A3"/>
    <w:rsid w:val="00871247"/>
    <w:rsid w:val="00871539"/>
    <w:rsid w:val="00871572"/>
    <w:rsid w:val="00871BB6"/>
    <w:rsid w:val="00871C00"/>
    <w:rsid w:val="00871D2D"/>
    <w:rsid w:val="008722C2"/>
    <w:rsid w:val="00872508"/>
    <w:rsid w:val="00872C0F"/>
    <w:rsid w:val="00872F4B"/>
    <w:rsid w:val="00872FF3"/>
    <w:rsid w:val="0087314D"/>
    <w:rsid w:val="0087334F"/>
    <w:rsid w:val="00873359"/>
    <w:rsid w:val="00873411"/>
    <w:rsid w:val="008734DC"/>
    <w:rsid w:val="00873502"/>
    <w:rsid w:val="0087383A"/>
    <w:rsid w:val="0087393C"/>
    <w:rsid w:val="008739EF"/>
    <w:rsid w:val="00873AFA"/>
    <w:rsid w:val="00873B6A"/>
    <w:rsid w:val="00873D88"/>
    <w:rsid w:val="00873F07"/>
    <w:rsid w:val="008741BB"/>
    <w:rsid w:val="008742B1"/>
    <w:rsid w:val="00874742"/>
    <w:rsid w:val="0087478D"/>
    <w:rsid w:val="00874820"/>
    <w:rsid w:val="008749C4"/>
    <w:rsid w:val="00874B04"/>
    <w:rsid w:val="00874B23"/>
    <w:rsid w:val="00874C9B"/>
    <w:rsid w:val="00874F29"/>
    <w:rsid w:val="0087530C"/>
    <w:rsid w:val="00875857"/>
    <w:rsid w:val="008759BE"/>
    <w:rsid w:val="00875B72"/>
    <w:rsid w:val="00875EBC"/>
    <w:rsid w:val="008765C6"/>
    <w:rsid w:val="008765D4"/>
    <w:rsid w:val="0087672F"/>
    <w:rsid w:val="00876A63"/>
    <w:rsid w:val="00876DAC"/>
    <w:rsid w:val="00876E72"/>
    <w:rsid w:val="00876F99"/>
    <w:rsid w:val="00877046"/>
    <w:rsid w:val="00877228"/>
    <w:rsid w:val="008772E0"/>
    <w:rsid w:val="00877415"/>
    <w:rsid w:val="008774EB"/>
    <w:rsid w:val="00877545"/>
    <w:rsid w:val="008775A3"/>
    <w:rsid w:val="00877654"/>
    <w:rsid w:val="008779D5"/>
    <w:rsid w:val="00877A38"/>
    <w:rsid w:val="00877B27"/>
    <w:rsid w:val="00877BA6"/>
    <w:rsid w:val="00877C6A"/>
    <w:rsid w:val="00877CEE"/>
    <w:rsid w:val="00877FBB"/>
    <w:rsid w:val="0088004C"/>
    <w:rsid w:val="008803EE"/>
    <w:rsid w:val="0088049D"/>
    <w:rsid w:val="008805C6"/>
    <w:rsid w:val="0088075C"/>
    <w:rsid w:val="00880DC0"/>
    <w:rsid w:val="00880FDC"/>
    <w:rsid w:val="00880FE7"/>
    <w:rsid w:val="008810C0"/>
    <w:rsid w:val="008810D3"/>
    <w:rsid w:val="00881118"/>
    <w:rsid w:val="00881280"/>
    <w:rsid w:val="00881311"/>
    <w:rsid w:val="00881402"/>
    <w:rsid w:val="008819FC"/>
    <w:rsid w:val="00881AF8"/>
    <w:rsid w:val="00881B85"/>
    <w:rsid w:val="00881CD3"/>
    <w:rsid w:val="00881D40"/>
    <w:rsid w:val="00881DF5"/>
    <w:rsid w:val="00882033"/>
    <w:rsid w:val="00882829"/>
    <w:rsid w:val="008828EC"/>
    <w:rsid w:val="00882A13"/>
    <w:rsid w:val="0088305D"/>
    <w:rsid w:val="008833FD"/>
    <w:rsid w:val="00883643"/>
    <w:rsid w:val="008839A1"/>
    <w:rsid w:val="008839C6"/>
    <w:rsid w:val="00883AA7"/>
    <w:rsid w:val="00883C7C"/>
    <w:rsid w:val="00883E45"/>
    <w:rsid w:val="00884003"/>
    <w:rsid w:val="00884244"/>
    <w:rsid w:val="00884257"/>
    <w:rsid w:val="008842B4"/>
    <w:rsid w:val="00884578"/>
    <w:rsid w:val="0088470D"/>
    <w:rsid w:val="00884B21"/>
    <w:rsid w:val="00884DFF"/>
    <w:rsid w:val="00885064"/>
    <w:rsid w:val="00885165"/>
    <w:rsid w:val="00885395"/>
    <w:rsid w:val="008853CC"/>
    <w:rsid w:val="0088580E"/>
    <w:rsid w:val="00885851"/>
    <w:rsid w:val="00885A1C"/>
    <w:rsid w:val="00885B44"/>
    <w:rsid w:val="008860E4"/>
    <w:rsid w:val="00886131"/>
    <w:rsid w:val="00886181"/>
    <w:rsid w:val="00886438"/>
    <w:rsid w:val="00886455"/>
    <w:rsid w:val="00886984"/>
    <w:rsid w:val="00886C5A"/>
    <w:rsid w:val="00886CEE"/>
    <w:rsid w:val="00886D17"/>
    <w:rsid w:val="00886D34"/>
    <w:rsid w:val="00886FDF"/>
    <w:rsid w:val="0088705E"/>
    <w:rsid w:val="008870DC"/>
    <w:rsid w:val="008874CD"/>
    <w:rsid w:val="008874D2"/>
    <w:rsid w:val="0088759A"/>
    <w:rsid w:val="00887823"/>
    <w:rsid w:val="008878F6"/>
    <w:rsid w:val="00887DD6"/>
    <w:rsid w:val="00887E76"/>
    <w:rsid w:val="00890214"/>
    <w:rsid w:val="00890407"/>
    <w:rsid w:val="0089062D"/>
    <w:rsid w:val="008906B6"/>
    <w:rsid w:val="0089078D"/>
    <w:rsid w:val="008911A7"/>
    <w:rsid w:val="00891755"/>
    <w:rsid w:val="00891784"/>
    <w:rsid w:val="00891AF9"/>
    <w:rsid w:val="00891B22"/>
    <w:rsid w:val="00891E9A"/>
    <w:rsid w:val="008922D8"/>
    <w:rsid w:val="00892473"/>
    <w:rsid w:val="0089280C"/>
    <w:rsid w:val="0089293D"/>
    <w:rsid w:val="00892942"/>
    <w:rsid w:val="008929A8"/>
    <w:rsid w:val="00892B69"/>
    <w:rsid w:val="00892B8B"/>
    <w:rsid w:val="00892BD8"/>
    <w:rsid w:val="00892F3D"/>
    <w:rsid w:val="008932B8"/>
    <w:rsid w:val="00893551"/>
    <w:rsid w:val="008935DC"/>
    <w:rsid w:val="008937EF"/>
    <w:rsid w:val="008938DA"/>
    <w:rsid w:val="00893AFC"/>
    <w:rsid w:val="00893CBE"/>
    <w:rsid w:val="00893EAF"/>
    <w:rsid w:val="00893F17"/>
    <w:rsid w:val="00894616"/>
    <w:rsid w:val="008949AA"/>
    <w:rsid w:val="00894BD3"/>
    <w:rsid w:val="00894C89"/>
    <w:rsid w:val="00894DD2"/>
    <w:rsid w:val="00895040"/>
    <w:rsid w:val="0089505C"/>
    <w:rsid w:val="008952F8"/>
    <w:rsid w:val="0089534A"/>
    <w:rsid w:val="00895411"/>
    <w:rsid w:val="0089551B"/>
    <w:rsid w:val="008956C6"/>
    <w:rsid w:val="008959AA"/>
    <w:rsid w:val="00895AB9"/>
    <w:rsid w:val="00895B32"/>
    <w:rsid w:val="00895BC1"/>
    <w:rsid w:val="00895D6C"/>
    <w:rsid w:val="00895E66"/>
    <w:rsid w:val="00895E74"/>
    <w:rsid w:val="00895F75"/>
    <w:rsid w:val="008963EB"/>
    <w:rsid w:val="0089646A"/>
    <w:rsid w:val="0089694B"/>
    <w:rsid w:val="00896AF7"/>
    <w:rsid w:val="00896C4A"/>
    <w:rsid w:val="00896EB8"/>
    <w:rsid w:val="00897154"/>
    <w:rsid w:val="0089723B"/>
    <w:rsid w:val="00897979"/>
    <w:rsid w:val="00897AD6"/>
    <w:rsid w:val="00897ADD"/>
    <w:rsid w:val="00897F13"/>
    <w:rsid w:val="008A01BD"/>
    <w:rsid w:val="008A0505"/>
    <w:rsid w:val="008A05E2"/>
    <w:rsid w:val="008A06EC"/>
    <w:rsid w:val="008A07F6"/>
    <w:rsid w:val="008A08DC"/>
    <w:rsid w:val="008A0908"/>
    <w:rsid w:val="008A093D"/>
    <w:rsid w:val="008A09BA"/>
    <w:rsid w:val="008A09C6"/>
    <w:rsid w:val="008A0D83"/>
    <w:rsid w:val="008A0F68"/>
    <w:rsid w:val="008A12BF"/>
    <w:rsid w:val="008A136B"/>
    <w:rsid w:val="008A1445"/>
    <w:rsid w:val="008A1448"/>
    <w:rsid w:val="008A18CF"/>
    <w:rsid w:val="008A18DE"/>
    <w:rsid w:val="008A19A2"/>
    <w:rsid w:val="008A1C9A"/>
    <w:rsid w:val="008A1FB3"/>
    <w:rsid w:val="008A200E"/>
    <w:rsid w:val="008A2278"/>
    <w:rsid w:val="008A2458"/>
    <w:rsid w:val="008A25AC"/>
    <w:rsid w:val="008A2624"/>
    <w:rsid w:val="008A271C"/>
    <w:rsid w:val="008A2861"/>
    <w:rsid w:val="008A28D2"/>
    <w:rsid w:val="008A291E"/>
    <w:rsid w:val="008A2AFB"/>
    <w:rsid w:val="008A2BA2"/>
    <w:rsid w:val="008A2FCB"/>
    <w:rsid w:val="008A30B0"/>
    <w:rsid w:val="008A315D"/>
    <w:rsid w:val="008A3184"/>
    <w:rsid w:val="008A368D"/>
    <w:rsid w:val="008A38C1"/>
    <w:rsid w:val="008A3A02"/>
    <w:rsid w:val="008A3BBD"/>
    <w:rsid w:val="008A3DF0"/>
    <w:rsid w:val="008A41F3"/>
    <w:rsid w:val="008A44FB"/>
    <w:rsid w:val="008A4638"/>
    <w:rsid w:val="008A4702"/>
    <w:rsid w:val="008A49DB"/>
    <w:rsid w:val="008A50FD"/>
    <w:rsid w:val="008A521B"/>
    <w:rsid w:val="008A529D"/>
    <w:rsid w:val="008A551C"/>
    <w:rsid w:val="008A5564"/>
    <w:rsid w:val="008A5650"/>
    <w:rsid w:val="008A5ABD"/>
    <w:rsid w:val="008A61C5"/>
    <w:rsid w:val="008A62C2"/>
    <w:rsid w:val="008A6A44"/>
    <w:rsid w:val="008A6B58"/>
    <w:rsid w:val="008A6F7F"/>
    <w:rsid w:val="008A6FDC"/>
    <w:rsid w:val="008A783D"/>
    <w:rsid w:val="008A7BB3"/>
    <w:rsid w:val="008A7BBE"/>
    <w:rsid w:val="008A7CBE"/>
    <w:rsid w:val="008A7E7A"/>
    <w:rsid w:val="008B044C"/>
    <w:rsid w:val="008B04EF"/>
    <w:rsid w:val="008B05D8"/>
    <w:rsid w:val="008B0605"/>
    <w:rsid w:val="008B0656"/>
    <w:rsid w:val="008B067F"/>
    <w:rsid w:val="008B07E1"/>
    <w:rsid w:val="008B08ED"/>
    <w:rsid w:val="008B0A17"/>
    <w:rsid w:val="008B0CC6"/>
    <w:rsid w:val="008B0D23"/>
    <w:rsid w:val="008B0D73"/>
    <w:rsid w:val="008B0DAE"/>
    <w:rsid w:val="008B104F"/>
    <w:rsid w:val="008B10C4"/>
    <w:rsid w:val="008B1412"/>
    <w:rsid w:val="008B16F0"/>
    <w:rsid w:val="008B175E"/>
    <w:rsid w:val="008B1900"/>
    <w:rsid w:val="008B1B17"/>
    <w:rsid w:val="008B2185"/>
    <w:rsid w:val="008B25F1"/>
    <w:rsid w:val="008B2A4A"/>
    <w:rsid w:val="008B2C4F"/>
    <w:rsid w:val="008B2DAE"/>
    <w:rsid w:val="008B2DFA"/>
    <w:rsid w:val="008B3004"/>
    <w:rsid w:val="008B31B4"/>
    <w:rsid w:val="008B3291"/>
    <w:rsid w:val="008B3529"/>
    <w:rsid w:val="008B3615"/>
    <w:rsid w:val="008B369A"/>
    <w:rsid w:val="008B382B"/>
    <w:rsid w:val="008B3B79"/>
    <w:rsid w:val="008B3D70"/>
    <w:rsid w:val="008B3EBB"/>
    <w:rsid w:val="008B465D"/>
    <w:rsid w:val="008B478C"/>
    <w:rsid w:val="008B4D6D"/>
    <w:rsid w:val="008B5341"/>
    <w:rsid w:val="008B53BB"/>
    <w:rsid w:val="008B53CD"/>
    <w:rsid w:val="008B5566"/>
    <w:rsid w:val="008B5641"/>
    <w:rsid w:val="008B5753"/>
    <w:rsid w:val="008B5A45"/>
    <w:rsid w:val="008B5CAE"/>
    <w:rsid w:val="008B5D27"/>
    <w:rsid w:val="008B5E28"/>
    <w:rsid w:val="008B5EB8"/>
    <w:rsid w:val="008B638C"/>
    <w:rsid w:val="008B6451"/>
    <w:rsid w:val="008B68C3"/>
    <w:rsid w:val="008B69DD"/>
    <w:rsid w:val="008B6BC8"/>
    <w:rsid w:val="008B6BE8"/>
    <w:rsid w:val="008B6E11"/>
    <w:rsid w:val="008B7020"/>
    <w:rsid w:val="008B71E6"/>
    <w:rsid w:val="008B730E"/>
    <w:rsid w:val="008B73F0"/>
    <w:rsid w:val="008B74A5"/>
    <w:rsid w:val="008B7588"/>
    <w:rsid w:val="008B7629"/>
    <w:rsid w:val="008B7857"/>
    <w:rsid w:val="008B7F9F"/>
    <w:rsid w:val="008C0178"/>
    <w:rsid w:val="008C0228"/>
    <w:rsid w:val="008C032C"/>
    <w:rsid w:val="008C03AA"/>
    <w:rsid w:val="008C0B5C"/>
    <w:rsid w:val="008C0C88"/>
    <w:rsid w:val="008C0D58"/>
    <w:rsid w:val="008C0E99"/>
    <w:rsid w:val="008C0F3A"/>
    <w:rsid w:val="008C1095"/>
    <w:rsid w:val="008C1191"/>
    <w:rsid w:val="008C11D7"/>
    <w:rsid w:val="008C1203"/>
    <w:rsid w:val="008C13B1"/>
    <w:rsid w:val="008C15D0"/>
    <w:rsid w:val="008C1852"/>
    <w:rsid w:val="008C1955"/>
    <w:rsid w:val="008C1B25"/>
    <w:rsid w:val="008C1B96"/>
    <w:rsid w:val="008C1B97"/>
    <w:rsid w:val="008C1D4C"/>
    <w:rsid w:val="008C1FB7"/>
    <w:rsid w:val="008C1FCB"/>
    <w:rsid w:val="008C20F4"/>
    <w:rsid w:val="008C21E2"/>
    <w:rsid w:val="008C21EB"/>
    <w:rsid w:val="008C2765"/>
    <w:rsid w:val="008C27E1"/>
    <w:rsid w:val="008C281F"/>
    <w:rsid w:val="008C283F"/>
    <w:rsid w:val="008C2877"/>
    <w:rsid w:val="008C28C1"/>
    <w:rsid w:val="008C2D7B"/>
    <w:rsid w:val="008C2DF4"/>
    <w:rsid w:val="008C3069"/>
    <w:rsid w:val="008C30C1"/>
    <w:rsid w:val="008C312E"/>
    <w:rsid w:val="008C318C"/>
    <w:rsid w:val="008C33C4"/>
    <w:rsid w:val="008C3B48"/>
    <w:rsid w:val="008C3C42"/>
    <w:rsid w:val="008C3C4D"/>
    <w:rsid w:val="008C3CED"/>
    <w:rsid w:val="008C3F67"/>
    <w:rsid w:val="008C40CD"/>
    <w:rsid w:val="008C4222"/>
    <w:rsid w:val="008C4297"/>
    <w:rsid w:val="008C448F"/>
    <w:rsid w:val="008C46EB"/>
    <w:rsid w:val="008C485A"/>
    <w:rsid w:val="008C48BD"/>
    <w:rsid w:val="008C4AB2"/>
    <w:rsid w:val="008C51A9"/>
    <w:rsid w:val="008C5E1D"/>
    <w:rsid w:val="008C601D"/>
    <w:rsid w:val="008C6A60"/>
    <w:rsid w:val="008C6CAC"/>
    <w:rsid w:val="008C6D44"/>
    <w:rsid w:val="008C6EAF"/>
    <w:rsid w:val="008C7238"/>
    <w:rsid w:val="008C7703"/>
    <w:rsid w:val="008C7888"/>
    <w:rsid w:val="008C79BE"/>
    <w:rsid w:val="008C7A03"/>
    <w:rsid w:val="008C7E47"/>
    <w:rsid w:val="008D012F"/>
    <w:rsid w:val="008D01A7"/>
    <w:rsid w:val="008D02B6"/>
    <w:rsid w:val="008D0568"/>
    <w:rsid w:val="008D0705"/>
    <w:rsid w:val="008D0963"/>
    <w:rsid w:val="008D0E4A"/>
    <w:rsid w:val="008D11A3"/>
    <w:rsid w:val="008D126E"/>
    <w:rsid w:val="008D12FA"/>
    <w:rsid w:val="008D1523"/>
    <w:rsid w:val="008D160C"/>
    <w:rsid w:val="008D163B"/>
    <w:rsid w:val="008D175A"/>
    <w:rsid w:val="008D181F"/>
    <w:rsid w:val="008D185B"/>
    <w:rsid w:val="008D195E"/>
    <w:rsid w:val="008D1A95"/>
    <w:rsid w:val="008D1A9C"/>
    <w:rsid w:val="008D1B1A"/>
    <w:rsid w:val="008D1B2B"/>
    <w:rsid w:val="008D1DF5"/>
    <w:rsid w:val="008D1EF0"/>
    <w:rsid w:val="008D256F"/>
    <w:rsid w:val="008D2647"/>
    <w:rsid w:val="008D288F"/>
    <w:rsid w:val="008D2982"/>
    <w:rsid w:val="008D2BBB"/>
    <w:rsid w:val="008D2DC6"/>
    <w:rsid w:val="008D2E27"/>
    <w:rsid w:val="008D2F57"/>
    <w:rsid w:val="008D2FC1"/>
    <w:rsid w:val="008D33F9"/>
    <w:rsid w:val="008D345D"/>
    <w:rsid w:val="008D36DF"/>
    <w:rsid w:val="008D3747"/>
    <w:rsid w:val="008D3AB0"/>
    <w:rsid w:val="008D3E57"/>
    <w:rsid w:val="008D4075"/>
    <w:rsid w:val="008D4553"/>
    <w:rsid w:val="008D4648"/>
    <w:rsid w:val="008D499E"/>
    <w:rsid w:val="008D4D17"/>
    <w:rsid w:val="008D4D50"/>
    <w:rsid w:val="008D4DB9"/>
    <w:rsid w:val="008D4EF4"/>
    <w:rsid w:val="008D4F99"/>
    <w:rsid w:val="008D5013"/>
    <w:rsid w:val="008D5272"/>
    <w:rsid w:val="008D52D6"/>
    <w:rsid w:val="008D5648"/>
    <w:rsid w:val="008D56E4"/>
    <w:rsid w:val="008D5764"/>
    <w:rsid w:val="008D57B9"/>
    <w:rsid w:val="008D5883"/>
    <w:rsid w:val="008D5ECF"/>
    <w:rsid w:val="008D5F3E"/>
    <w:rsid w:val="008D5FA2"/>
    <w:rsid w:val="008D60EA"/>
    <w:rsid w:val="008D6196"/>
    <w:rsid w:val="008D6450"/>
    <w:rsid w:val="008D64D5"/>
    <w:rsid w:val="008D6592"/>
    <w:rsid w:val="008D66B7"/>
    <w:rsid w:val="008D6C3D"/>
    <w:rsid w:val="008D6C89"/>
    <w:rsid w:val="008D6EFF"/>
    <w:rsid w:val="008D6FDA"/>
    <w:rsid w:val="008D7041"/>
    <w:rsid w:val="008D708D"/>
    <w:rsid w:val="008D7138"/>
    <w:rsid w:val="008D742A"/>
    <w:rsid w:val="008D7699"/>
    <w:rsid w:val="008D7B37"/>
    <w:rsid w:val="008D7CC5"/>
    <w:rsid w:val="008D7D4B"/>
    <w:rsid w:val="008D7E44"/>
    <w:rsid w:val="008E026F"/>
    <w:rsid w:val="008E02AB"/>
    <w:rsid w:val="008E030D"/>
    <w:rsid w:val="008E03D8"/>
    <w:rsid w:val="008E0572"/>
    <w:rsid w:val="008E0953"/>
    <w:rsid w:val="008E09D1"/>
    <w:rsid w:val="008E0B00"/>
    <w:rsid w:val="008E0B9E"/>
    <w:rsid w:val="008E0C71"/>
    <w:rsid w:val="008E0CC6"/>
    <w:rsid w:val="008E0DDA"/>
    <w:rsid w:val="008E0E81"/>
    <w:rsid w:val="008E0EBE"/>
    <w:rsid w:val="008E0FEC"/>
    <w:rsid w:val="008E112A"/>
    <w:rsid w:val="008E133E"/>
    <w:rsid w:val="008E14B6"/>
    <w:rsid w:val="008E152B"/>
    <w:rsid w:val="008E1678"/>
    <w:rsid w:val="008E170B"/>
    <w:rsid w:val="008E1824"/>
    <w:rsid w:val="008E18A9"/>
    <w:rsid w:val="008E1944"/>
    <w:rsid w:val="008E1BA9"/>
    <w:rsid w:val="008E1C2F"/>
    <w:rsid w:val="008E1C7C"/>
    <w:rsid w:val="008E236F"/>
    <w:rsid w:val="008E23FA"/>
    <w:rsid w:val="008E24BF"/>
    <w:rsid w:val="008E2AF2"/>
    <w:rsid w:val="008E2B97"/>
    <w:rsid w:val="008E326B"/>
    <w:rsid w:val="008E335A"/>
    <w:rsid w:val="008E33F5"/>
    <w:rsid w:val="008E3611"/>
    <w:rsid w:val="008E394F"/>
    <w:rsid w:val="008E3D90"/>
    <w:rsid w:val="008E3F96"/>
    <w:rsid w:val="008E4380"/>
    <w:rsid w:val="008E449D"/>
    <w:rsid w:val="008E4529"/>
    <w:rsid w:val="008E4539"/>
    <w:rsid w:val="008E46E4"/>
    <w:rsid w:val="008E4957"/>
    <w:rsid w:val="008E4967"/>
    <w:rsid w:val="008E4B66"/>
    <w:rsid w:val="008E4BDE"/>
    <w:rsid w:val="008E4F01"/>
    <w:rsid w:val="008E4F35"/>
    <w:rsid w:val="008E5104"/>
    <w:rsid w:val="008E513F"/>
    <w:rsid w:val="008E5623"/>
    <w:rsid w:val="008E572F"/>
    <w:rsid w:val="008E5DEC"/>
    <w:rsid w:val="008E5F3E"/>
    <w:rsid w:val="008E66F5"/>
    <w:rsid w:val="008E679F"/>
    <w:rsid w:val="008E6ADC"/>
    <w:rsid w:val="008E6BE3"/>
    <w:rsid w:val="008E6CE9"/>
    <w:rsid w:val="008E6D0C"/>
    <w:rsid w:val="008E6D83"/>
    <w:rsid w:val="008E7322"/>
    <w:rsid w:val="008E735B"/>
    <w:rsid w:val="008E78CA"/>
    <w:rsid w:val="008E7A9C"/>
    <w:rsid w:val="008E7ACD"/>
    <w:rsid w:val="008E7C42"/>
    <w:rsid w:val="008E7FB3"/>
    <w:rsid w:val="008F00AB"/>
    <w:rsid w:val="008F0129"/>
    <w:rsid w:val="008F0252"/>
    <w:rsid w:val="008F032B"/>
    <w:rsid w:val="008F03A3"/>
    <w:rsid w:val="008F04F7"/>
    <w:rsid w:val="008F0579"/>
    <w:rsid w:val="008F06C8"/>
    <w:rsid w:val="008F075A"/>
    <w:rsid w:val="008F07D4"/>
    <w:rsid w:val="008F07D7"/>
    <w:rsid w:val="008F0835"/>
    <w:rsid w:val="008F0A7D"/>
    <w:rsid w:val="008F0F4C"/>
    <w:rsid w:val="008F0FFD"/>
    <w:rsid w:val="008F1228"/>
    <w:rsid w:val="008F1313"/>
    <w:rsid w:val="008F1537"/>
    <w:rsid w:val="008F1939"/>
    <w:rsid w:val="008F1C38"/>
    <w:rsid w:val="008F1FAD"/>
    <w:rsid w:val="008F1FC1"/>
    <w:rsid w:val="008F200C"/>
    <w:rsid w:val="008F2625"/>
    <w:rsid w:val="008F2812"/>
    <w:rsid w:val="008F281E"/>
    <w:rsid w:val="008F29F0"/>
    <w:rsid w:val="008F2BF6"/>
    <w:rsid w:val="008F2CA7"/>
    <w:rsid w:val="008F2EC4"/>
    <w:rsid w:val="008F2F8B"/>
    <w:rsid w:val="008F3066"/>
    <w:rsid w:val="008F329F"/>
    <w:rsid w:val="008F339A"/>
    <w:rsid w:val="008F33B8"/>
    <w:rsid w:val="008F33BC"/>
    <w:rsid w:val="008F3410"/>
    <w:rsid w:val="008F348B"/>
    <w:rsid w:val="008F3587"/>
    <w:rsid w:val="008F3958"/>
    <w:rsid w:val="008F3A4D"/>
    <w:rsid w:val="008F3AD0"/>
    <w:rsid w:val="008F3B7C"/>
    <w:rsid w:val="008F3BDE"/>
    <w:rsid w:val="008F3C56"/>
    <w:rsid w:val="008F3CED"/>
    <w:rsid w:val="008F3DC9"/>
    <w:rsid w:val="008F3EB6"/>
    <w:rsid w:val="008F4546"/>
    <w:rsid w:val="008F4586"/>
    <w:rsid w:val="008F45EA"/>
    <w:rsid w:val="008F4CEA"/>
    <w:rsid w:val="008F4D1F"/>
    <w:rsid w:val="008F4F40"/>
    <w:rsid w:val="008F5200"/>
    <w:rsid w:val="008F54C4"/>
    <w:rsid w:val="008F5755"/>
    <w:rsid w:val="008F5CBA"/>
    <w:rsid w:val="008F5E3C"/>
    <w:rsid w:val="008F5EB9"/>
    <w:rsid w:val="008F6086"/>
    <w:rsid w:val="008F611C"/>
    <w:rsid w:val="008F654F"/>
    <w:rsid w:val="008F6A74"/>
    <w:rsid w:val="008F6DD5"/>
    <w:rsid w:val="008F6E58"/>
    <w:rsid w:val="008F703E"/>
    <w:rsid w:val="008F704E"/>
    <w:rsid w:val="008F713E"/>
    <w:rsid w:val="008F715F"/>
    <w:rsid w:val="008F7188"/>
    <w:rsid w:val="008F72E7"/>
    <w:rsid w:val="008F73F9"/>
    <w:rsid w:val="008F7571"/>
    <w:rsid w:val="008F762C"/>
    <w:rsid w:val="008F768A"/>
    <w:rsid w:val="008F76D2"/>
    <w:rsid w:val="008F76F0"/>
    <w:rsid w:val="008F792C"/>
    <w:rsid w:val="008F79FA"/>
    <w:rsid w:val="008F7A69"/>
    <w:rsid w:val="008F7B27"/>
    <w:rsid w:val="008F7BE4"/>
    <w:rsid w:val="008F7C8F"/>
    <w:rsid w:val="008F7D0A"/>
    <w:rsid w:val="008F7DC7"/>
    <w:rsid w:val="008F7E94"/>
    <w:rsid w:val="009002D2"/>
    <w:rsid w:val="00900334"/>
    <w:rsid w:val="009006AD"/>
    <w:rsid w:val="00900869"/>
    <w:rsid w:val="00900B72"/>
    <w:rsid w:val="00900C2B"/>
    <w:rsid w:val="009012B9"/>
    <w:rsid w:val="0090138F"/>
    <w:rsid w:val="00901670"/>
    <w:rsid w:val="009019C7"/>
    <w:rsid w:val="00901B4C"/>
    <w:rsid w:val="00901CCC"/>
    <w:rsid w:val="00901D69"/>
    <w:rsid w:val="00901DD1"/>
    <w:rsid w:val="00901F22"/>
    <w:rsid w:val="009023BD"/>
    <w:rsid w:val="009024B6"/>
    <w:rsid w:val="00902B04"/>
    <w:rsid w:val="00902E29"/>
    <w:rsid w:val="00902F6B"/>
    <w:rsid w:val="009032FB"/>
    <w:rsid w:val="00903977"/>
    <w:rsid w:val="00903ABA"/>
    <w:rsid w:val="00903BA9"/>
    <w:rsid w:val="00903ED3"/>
    <w:rsid w:val="00903F93"/>
    <w:rsid w:val="00904207"/>
    <w:rsid w:val="009042C3"/>
    <w:rsid w:val="009042CC"/>
    <w:rsid w:val="00904338"/>
    <w:rsid w:val="0090456A"/>
    <w:rsid w:val="00904603"/>
    <w:rsid w:val="009046D5"/>
    <w:rsid w:val="00904832"/>
    <w:rsid w:val="00904914"/>
    <w:rsid w:val="00904F65"/>
    <w:rsid w:val="009056AA"/>
    <w:rsid w:val="0090571E"/>
    <w:rsid w:val="00905B84"/>
    <w:rsid w:val="00905D6B"/>
    <w:rsid w:val="009060D9"/>
    <w:rsid w:val="009061D0"/>
    <w:rsid w:val="00906252"/>
    <w:rsid w:val="0090668D"/>
    <w:rsid w:val="00906B69"/>
    <w:rsid w:val="00906C11"/>
    <w:rsid w:val="00906D65"/>
    <w:rsid w:val="00906F66"/>
    <w:rsid w:val="00906FF6"/>
    <w:rsid w:val="00907170"/>
    <w:rsid w:val="009071C1"/>
    <w:rsid w:val="009074DB"/>
    <w:rsid w:val="0090787C"/>
    <w:rsid w:val="00907B63"/>
    <w:rsid w:val="00907D9B"/>
    <w:rsid w:val="00907E07"/>
    <w:rsid w:val="00907EAD"/>
    <w:rsid w:val="00910099"/>
    <w:rsid w:val="009100A3"/>
    <w:rsid w:val="009100C9"/>
    <w:rsid w:val="0091041F"/>
    <w:rsid w:val="009104B6"/>
    <w:rsid w:val="009107CF"/>
    <w:rsid w:val="0091089F"/>
    <w:rsid w:val="00910966"/>
    <w:rsid w:val="00910B5F"/>
    <w:rsid w:val="00910D49"/>
    <w:rsid w:val="009112FF"/>
    <w:rsid w:val="009114CE"/>
    <w:rsid w:val="0091151A"/>
    <w:rsid w:val="009115CA"/>
    <w:rsid w:val="0091180C"/>
    <w:rsid w:val="00911B51"/>
    <w:rsid w:val="00911B52"/>
    <w:rsid w:val="00911C54"/>
    <w:rsid w:val="00911F98"/>
    <w:rsid w:val="009121C1"/>
    <w:rsid w:val="009122B2"/>
    <w:rsid w:val="00912426"/>
    <w:rsid w:val="00912443"/>
    <w:rsid w:val="009126BB"/>
    <w:rsid w:val="009128D7"/>
    <w:rsid w:val="00912D5E"/>
    <w:rsid w:val="00912E7D"/>
    <w:rsid w:val="00912F87"/>
    <w:rsid w:val="009136D5"/>
    <w:rsid w:val="00913AAE"/>
    <w:rsid w:val="00913D01"/>
    <w:rsid w:val="00913D50"/>
    <w:rsid w:val="00913D91"/>
    <w:rsid w:val="00914093"/>
    <w:rsid w:val="0091427C"/>
    <w:rsid w:val="009144A7"/>
    <w:rsid w:val="0091460D"/>
    <w:rsid w:val="00914688"/>
    <w:rsid w:val="0091471B"/>
    <w:rsid w:val="00914763"/>
    <w:rsid w:val="00914D20"/>
    <w:rsid w:val="00914F2C"/>
    <w:rsid w:val="00915156"/>
    <w:rsid w:val="0091529F"/>
    <w:rsid w:val="00915536"/>
    <w:rsid w:val="00915735"/>
    <w:rsid w:val="00915B28"/>
    <w:rsid w:val="00915B77"/>
    <w:rsid w:val="00915B98"/>
    <w:rsid w:val="00915BEE"/>
    <w:rsid w:val="00915D15"/>
    <w:rsid w:val="00915E46"/>
    <w:rsid w:val="009161D7"/>
    <w:rsid w:val="0091622C"/>
    <w:rsid w:val="0091640A"/>
    <w:rsid w:val="00916477"/>
    <w:rsid w:val="009164AF"/>
    <w:rsid w:val="00916A1A"/>
    <w:rsid w:val="00916EE0"/>
    <w:rsid w:val="009170E3"/>
    <w:rsid w:val="009174AC"/>
    <w:rsid w:val="00917743"/>
    <w:rsid w:val="00917A82"/>
    <w:rsid w:val="00917D91"/>
    <w:rsid w:val="00917DAB"/>
    <w:rsid w:val="00917F93"/>
    <w:rsid w:val="00917FAD"/>
    <w:rsid w:val="009200CC"/>
    <w:rsid w:val="0092016C"/>
    <w:rsid w:val="009205E0"/>
    <w:rsid w:val="00920671"/>
    <w:rsid w:val="00920CC0"/>
    <w:rsid w:val="00920D62"/>
    <w:rsid w:val="00920D84"/>
    <w:rsid w:val="00920DCD"/>
    <w:rsid w:val="00920E57"/>
    <w:rsid w:val="00920E85"/>
    <w:rsid w:val="00921163"/>
    <w:rsid w:val="00921384"/>
    <w:rsid w:val="00921771"/>
    <w:rsid w:val="00921838"/>
    <w:rsid w:val="00921DDC"/>
    <w:rsid w:val="00921EB1"/>
    <w:rsid w:val="00921FEA"/>
    <w:rsid w:val="0092208F"/>
    <w:rsid w:val="00922160"/>
    <w:rsid w:val="009221B3"/>
    <w:rsid w:val="00922381"/>
    <w:rsid w:val="00922629"/>
    <w:rsid w:val="0092268D"/>
    <w:rsid w:val="00922847"/>
    <w:rsid w:val="0092299A"/>
    <w:rsid w:val="00922A4A"/>
    <w:rsid w:val="00922D3A"/>
    <w:rsid w:val="00922F4E"/>
    <w:rsid w:val="00922FAC"/>
    <w:rsid w:val="009233CF"/>
    <w:rsid w:val="009233ED"/>
    <w:rsid w:val="00923641"/>
    <w:rsid w:val="0092367E"/>
    <w:rsid w:val="0092431F"/>
    <w:rsid w:val="00924538"/>
    <w:rsid w:val="009246C1"/>
    <w:rsid w:val="00924A7A"/>
    <w:rsid w:val="00924AA3"/>
    <w:rsid w:val="00924EDD"/>
    <w:rsid w:val="00924FFC"/>
    <w:rsid w:val="0092510E"/>
    <w:rsid w:val="009254C5"/>
    <w:rsid w:val="009256A1"/>
    <w:rsid w:val="009258A9"/>
    <w:rsid w:val="00925D48"/>
    <w:rsid w:val="00925F65"/>
    <w:rsid w:val="0092609B"/>
    <w:rsid w:val="0092614C"/>
    <w:rsid w:val="009263D1"/>
    <w:rsid w:val="009263E7"/>
    <w:rsid w:val="009265BF"/>
    <w:rsid w:val="009265FB"/>
    <w:rsid w:val="009266A3"/>
    <w:rsid w:val="00926CAF"/>
    <w:rsid w:val="00926DF9"/>
    <w:rsid w:val="00927000"/>
    <w:rsid w:val="0092707D"/>
    <w:rsid w:val="009274FB"/>
    <w:rsid w:val="0092757A"/>
    <w:rsid w:val="009278F8"/>
    <w:rsid w:val="00927B05"/>
    <w:rsid w:val="00927C73"/>
    <w:rsid w:val="00927CC7"/>
    <w:rsid w:val="00927F14"/>
    <w:rsid w:val="00930122"/>
    <w:rsid w:val="0093069B"/>
    <w:rsid w:val="00930850"/>
    <w:rsid w:val="0093088E"/>
    <w:rsid w:val="00930B4B"/>
    <w:rsid w:val="00930B50"/>
    <w:rsid w:val="00930B5A"/>
    <w:rsid w:val="00931196"/>
    <w:rsid w:val="0093122A"/>
    <w:rsid w:val="009312BD"/>
    <w:rsid w:val="0093132A"/>
    <w:rsid w:val="00931454"/>
    <w:rsid w:val="00932095"/>
    <w:rsid w:val="00932275"/>
    <w:rsid w:val="009325B7"/>
    <w:rsid w:val="00932691"/>
    <w:rsid w:val="0093269A"/>
    <w:rsid w:val="00932A0D"/>
    <w:rsid w:val="00932B8E"/>
    <w:rsid w:val="00932BF4"/>
    <w:rsid w:val="00932D0F"/>
    <w:rsid w:val="00932DF5"/>
    <w:rsid w:val="0093316C"/>
    <w:rsid w:val="00933401"/>
    <w:rsid w:val="0093356E"/>
    <w:rsid w:val="009335A3"/>
    <w:rsid w:val="009338FF"/>
    <w:rsid w:val="00933952"/>
    <w:rsid w:val="00933A9A"/>
    <w:rsid w:val="00933B5F"/>
    <w:rsid w:val="00933BE4"/>
    <w:rsid w:val="00933F56"/>
    <w:rsid w:val="00933F8E"/>
    <w:rsid w:val="0093406A"/>
    <w:rsid w:val="0093454D"/>
    <w:rsid w:val="00934631"/>
    <w:rsid w:val="00934722"/>
    <w:rsid w:val="00934958"/>
    <w:rsid w:val="00934AE3"/>
    <w:rsid w:val="00934B05"/>
    <w:rsid w:val="009351B2"/>
    <w:rsid w:val="0093546E"/>
    <w:rsid w:val="0093557E"/>
    <w:rsid w:val="009355B5"/>
    <w:rsid w:val="00935705"/>
    <w:rsid w:val="009359A8"/>
    <w:rsid w:val="00935D09"/>
    <w:rsid w:val="009360E1"/>
    <w:rsid w:val="009364E4"/>
    <w:rsid w:val="009367E7"/>
    <w:rsid w:val="009368BE"/>
    <w:rsid w:val="009369FC"/>
    <w:rsid w:val="00936AEE"/>
    <w:rsid w:val="00936B17"/>
    <w:rsid w:val="00936FF9"/>
    <w:rsid w:val="009371FD"/>
    <w:rsid w:val="00937597"/>
    <w:rsid w:val="00937638"/>
    <w:rsid w:val="0093776E"/>
    <w:rsid w:val="00937824"/>
    <w:rsid w:val="00937A77"/>
    <w:rsid w:val="00940191"/>
    <w:rsid w:val="009409A4"/>
    <w:rsid w:val="00940B81"/>
    <w:rsid w:val="00940E78"/>
    <w:rsid w:val="00941494"/>
    <w:rsid w:val="00941632"/>
    <w:rsid w:val="00941930"/>
    <w:rsid w:val="00941C49"/>
    <w:rsid w:val="00941CCD"/>
    <w:rsid w:val="00941E4D"/>
    <w:rsid w:val="00942603"/>
    <w:rsid w:val="00942740"/>
    <w:rsid w:val="0094278D"/>
    <w:rsid w:val="00942805"/>
    <w:rsid w:val="00942847"/>
    <w:rsid w:val="0094286D"/>
    <w:rsid w:val="00942CE6"/>
    <w:rsid w:val="00942CEB"/>
    <w:rsid w:val="00942DEA"/>
    <w:rsid w:val="00942E37"/>
    <w:rsid w:val="009430C6"/>
    <w:rsid w:val="009433C5"/>
    <w:rsid w:val="009435C1"/>
    <w:rsid w:val="00943663"/>
    <w:rsid w:val="009436F1"/>
    <w:rsid w:val="009438DA"/>
    <w:rsid w:val="00943AD8"/>
    <w:rsid w:val="00943DCD"/>
    <w:rsid w:val="00943EDA"/>
    <w:rsid w:val="00943F39"/>
    <w:rsid w:val="00943F67"/>
    <w:rsid w:val="009440E7"/>
    <w:rsid w:val="00944268"/>
    <w:rsid w:val="00944426"/>
    <w:rsid w:val="0094474D"/>
    <w:rsid w:val="009447A9"/>
    <w:rsid w:val="0094483B"/>
    <w:rsid w:val="00944843"/>
    <w:rsid w:val="009449A1"/>
    <w:rsid w:val="009449DE"/>
    <w:rsid w:val="00945217"/>
    <w:rsid w:val="00945231"/>
    <w:rsid w:val="009454C1"/>
    <w:rsid w:val="00945753"/>
    <w:rsid w:val="00945807"/>
    <w:rsid w:val="00945C05"/>
    <w:rsid w:val="00945CA0"/>
    <w:rsid w:val="00945DDB"/>
    <w:rsid w:val="0094641C"/>
    <w:rsid w:val="009467A1"/>
    <w:rsid w:val="00946819"/>
    <w:rsid w:val="00946A91"/>
    <w:rsid w:val="00946C74"/>
    <w:rsid w:val="00946E5A"/>
    <w:rsid w:val="0094751D"/>
    <w:rsid w:val="00947751"/>
    <w:rsid w:val="009477AE"/>
    <w:rsid w:val="0094797D"/>
    <w:rsid w:val="00947A9C"/>
    <w:rsid w:val="00947BD3"/>
    <w:rsid w:val="00947D71"/>
    <w:rsid w:val="0095004F"/>
    <w:rsid w:val="009500F2"/>
    <w:rsid w:val="00950163"/>
    <w:rsid w:val="00950198"/>
    <w:rsid w:val="00950476"/>
    <w:rsid w:val="0095049A"/>
    <w:rsid w:val="009506F9"/>
    <w:rsid w:val="00950817"/>
    <w:rsid w:val="00950933"/>
    <w:rsid w:val="00950E4C"/>
    <w:rsid w:val="00950FAA"/>
    <w:rsid w:val="009511D4"/>
    <w:rsid w:val="0095162F"/>
    <w:rsid w:val="00951713"/>
    <w:rsid w:val="0095179C"/>
    <w:rsid w:val="0095183C"/>
    <w:rsid w:val="009519D3"/>
    <w:rsid w:val="00951D72"/>
    <w:rsid w:val="00952492"/>
    <w:rsid w:val="009525FE"/>
    <w:rsid w:val="009527C2"/>
    <w:rsid w:val="00952868"/>
    <w:rsid w:val="00952924"/>
    <w:rsid w:val="00952A7E"/>
    <w:rsid w:val="00952BEE"/>
    <w:rsid w:val="00952D53"/>
    <w:rsid w:val="00952D5E"/>
    <w:rsid w:val="00952DF5"/>
    <w:rsid w:val="00952F61"/>
    <w:rsid w:val="009530D8"/>
    <w:rsid w:val="009533DA"/>
    <w:rsid w:val="0095348F"/>
    <w:rsid w:val="00953502"/>
    <w:rsid w:val="0095368C"/>
    <w:rsid w:val="00953830"/>
    <w:rsid w:val="0095416E"/>
    <w:rsid w:val="009541FE"/>
    <w:rsid w:val="00954287"/>
    <w:rsid w:val="00954583"/>
    <w:rsid w:val="0095458A"/>
    <w:rsid w:val="00954A19"/>
    <w:rsid w:val="00954AE3"/>
    <w:rsid w:val="00954F82"/>
    <w:rsid w:val="00955180"/>
    <w:rsid w:val="00955411"/>
    <w:rsid w:val="009554DC"/>
    <w:rsid w:val="00955849"/>
    <w:rsid w:val="00955A0D"/>
    <w:rsid w:val="00955A7D"/>
    <w:rsid w:val="00955B0B"/>
    <w:rsid w:val="00955C51"/>
    <w:rsid w:val="00955CAA"/>
    <w:rsid w:val="00955DF1"/>
    <w:rsid w:val="009561D2"/>
    <w:rsid w:val="0095623D"/>
    <w:rsid w:val="009565FB"/>
    <w:rsid w:val="00956684"/>
    <w:rsid w:val="009566CE"/>
    <w:rsid w:val="00956B68"/>
    <w:rsid w:val="00956E02"/>
    <w:rsid w:val="0095701F"/>
    <w:rsid w:val="0095709A"/>
    <w:rsid w:val="009571E3"/>
    <w:rsid w:val="009573A1"/>
    <w:rsid w:val="0095769E"/>
    <w:rsid w:val="009577FA"/>
    <w:rsid w:val="00957848"/>
    <w:rsid w:val="00957A6D"/>
    <w:rsid w:val="00957BF3"/>
    <w:rsid w:val="00957C95"/>
    <w:rsid w:val="00957F20"/>
    <w:rsid w:val="009600DF"/>
    <w:rsid w:val="009602EE"/>
    <w:rsid w:val="009604EE"/>
    <w:rsid w:val="009608CC"/>
    <w:rsid w:val="009612AF"/>
    <w:rsid w:val="00961334"/>
    <w:rsid w:val="00961536"/>
    <w:rsid w:val="009615B3"/>
    <w:rsid w:val="0096181A"/>
    <w:rsid w:val="0096189E"/>
    <w:rsid w:val="009619CF"/>
    <w:rsid w:val="00961A67"/>
    <w:rsid w:val="00961B6D"/>
    <w:rsid w:val="00961D7A"/>
    <w:rsid w:val="00961F4E"/>
    <w:rsid w:val="00962192"/>
    <w:rsid w:val="0096231D"/>
    <w:rsid w:val="00962365"/>
    <w:rsid w:val="009624FF"/>
    <w:rsid w:val="0096270A"/>
    <w:rsid w:val="009627A0"/>
    <w:rsid w:val="00962FE4"/>
    <w:rsid w:val="009630AE"/>
    <w:rsid w:val="009637B4"/>
    <w:rsid w:val="00963885"/>
    <w:rsid w:val="00963A3D"/>
    <w:rsid w:val="00963D0E"/>
    <w:rsid w:val="0096417F"/>
    <w:rsid w:val="00964419"/>
    <w:rsid w:val="009644CC"/>
    <w:rsid w:val="0096473C"/>
    <w:rsid w:val="009647C2"/>
    <w:rsid w:val="009648CE"/>
    <w:rsid w:val="00964984"/>
    <w:rsid w:val="00964AA3"/>
    <w:rsid w:val="00964BD1"/>
    <w:rsid w:val="00964D2A"/>
    <w:rsid w:val="00964E7D"/>
    <w:rsid w:val="0096501A"/>
    <w:rsid w:val="0096502E"/>
    <w:rsid w:val="009651C0"/>
    <w:rsid w:val="009653EA"/>
    <w:rsid w:val="00965501"/>
    <w:rsid w:val="00965568"/>
    <w:rsid w:val="00965753"/>
    <w:rsid w:val="009657BA"/>
    <w:rsid w:val="00965830"/>
    <w:rsid w:val="00965C42"/>
    <w:rsid w:val="00965FA5"/>
    <w:rsid w:val="009660E2"/>
    <w:rsid w:val="0096624C"/>
    <w:rsid w:val="009662CD"/>
    <w:rsid w:val="0096648F"/>
    <w:rsid w:val="009665AD"/>
    <w:rsid w:val="00966866"/>
    <w:rsid w:val="00966B65"/>
    <w:rsid w:val="00966C5E"/>
    <w:rsid w:val="00966D72"/>
    <w:rsid w:val="00966FB4"/>
    <w:rsid w:val="00967005"/>
    <w:rsid w:val="00967086"/>
    <w:rsid w:val="00967653"/>
    <w:rsid w:val="00967785"/>
    <w:rsid w:val="00967989"/>
    <w:rsid w:val="00967A13"/>
    <w:rsid w:val="00967C5F"/>
    <w:rsid w:val="009700C5"/>
    <w:rsid w:val="00970147"/>
    <w:rsid w:val="0097051C"/>
    <w:rsid w:val="0097063B"/>
    <w:rsid w:val="009708E4"/>
    <w:rsid w:val="00970915"/>
    <w:rsid w:val="00970AF0"/>
    <w:rsid w:val="00970B66"/>
    <w:rsid w:val="00970B69"/>
    <w:rsid w:val="00970E3F"/>
    <w:rsid w:val="0097194B"/>
    <w:rsid w:val="00971C29"/>
    <w:rsid w:val="00971C3F"/>
    <w:rsid w:val="00971CCA"/>
    <w:rsid w:val="00971DF6"/>
    <w:rsid w:val="00972038"/>
    <w:rsid w:val="00972A6E"/>
    <w:rsid w:val="00972BE6"/>
    <w:rsid w:val="00973749"/>
    <w:rsid w:val="00973ED2"/>
    <w:rsid w:val="00973F95"/>
    <w:rsid w:val="00974027"/>
    <w:rsid w:val="00974592"/>
    <w:rsid w:val="0097468C"/>
    <w:rsid w:val="009747B2"/>
    <w:rsid w:val="009748DA"/>
    <w:rsid w:val="00974B6E"/>
    <w:rsid w:val="00974C9B"/>
    <w:rsid w:val="00974E96"/>
    <w:rsid w:val="00975162"/>
    <w:rsid w:val="009752E2"/>
    <w:rsid w:val="009753A4"/>
    <w:rsid w:val="009754D4"/>
    <w:rsid w:val="00975682"/>
    <w:rsid w:val="0097585B"/>
    <w:rsid w:val="00975940"/>
    <w:rsid w:val="00976007"/>
    <w:rsid w:val="0097604A"/>
    <w:rsid w:val="0097657A"/>
    <w:rsid w:val="009765AA"/>
    <w:rsid w:val="00976605"/>
    <w:rsid w:val="0097676C"/>
    <w:rsid w:val="00976917"/>
    <w:rsid w:val="00976A64"/>
    <w:rsid w:val="00976D67"/>
    <w:rsid w:val="00977377"/>
    <w:rsid w:val="00977619"/>
    <w:rsid w:val="00977954"/>
    <w:rsid w:val="0097795E"/>
    <w:rsid w:val="00977A93"/>
    <w:rsid w:val="00977C52"/>
    <w:rsid w:val="00977D73"/>
    <w:rsid w:val="0098017C"/>
    <w:rsid w:val="009801EE"/>
    <w:rsid w:val="00980307"/>
    <w:rsid w:val="0098041F"/>
    <w:rsid w:val="00980429"/>
    <w:rsid w:val="00980499"/>
    <w:rsid w:val="00980576"/>
    <w:rsid w:val="0098059F"/>
    <w:rsid w:val="009807B7"/>
    <w:rsid w:val="009808CE"/>
    <w:rsid w:val="009809E6"/>
    <w:rsid w:val="00980DBB"/>
    <w:rsid w:val="00980ED0"/>
    <w:rsid w:val="00980F20"/>
    <w:rsid w:val="00981142"/>
    <w:rsid w:val="009812AD"/>
    <w:rsid w:val="009812E7"/>
    <w:rsid w:val="009814E1"/>
    <w:rsid w:val="009817F7"/>
    <w:rsid w:val="00981967"/>
    <w:rsid w:val="0098198F"/>
    <w:rsid w:val="00981A56"/>
    <w:rsid w:val="00981BD3"/>
    <w:rsid w:val="00981CD9"/>
    <w:rsid w:val="00981DB3"/>
    <w:rsid w:val="00981F4D"/>
    <w:rsid w:val="00981F66"/>
    <w:rsid w:val="009823A7"/>
    <w:rsid w:val="009824F9"/>
    <w:rsid w:val="0098274F"/>
    <w:rsid w:val="009827CF"/>
    <w:rsid w:val="009827DF"/>
    <w:rsid w:val="00982879"/>
    <w:rsid w:val="00982896"/>
    <w:rsid w:val="00982A3D"/>
    <w:rsid w:val="00982BBA"/>
    <w:rsid w:val="00982E4D"/>
    <w:rsid w:val="00983071"/>
    <w:rsid w:val="00983248"/>
    <w:rsid w:val="009836D1"/>
    <w:rsid w:val="00983738"/>
    <w:rsid w:val="00983D32"/>
    <w:rsid w:val="009840C1"/>
    <w:rsid w:val="009842E9"/>
    <w:rsid w:val="009846C1"/>
    <w:rsid w:val="00984728"/>
    <w:rsid w:val="009849EE"/>
    <w:rsid w:val="00984AA1"/>
    <w:rsid w:val="0098507F"/>
    <w:rsid w:val="009851BF"/>
    <w:rsid w:val="00985202"/>
    <w:rsid w:val="00985493"/>
    <w:rsid w:val="00985620"/>
    <w:rsid w:val="00985C7C"/>
    <w:rsid w:val="00985DEE"/>
    <w:rsid w:val="009866C5"/>
    <w:rsid w:val="00986706"/>
    <w:rsid w:val="00986A21"/>
    <w:rsid w:val="00986BFD"/>
    <w:rsid w:val="00986F6E"/>
    <w:rsid w:val="00987267"/>
    <w:rsid w:val="009872A1"/>
    <w:rsid w:val="0098781C"/>
    <w:rsid w:val="00987858"/>
    <w:rsid w:val="009878CA"/>
    <w:rsid w:val="009879B7"/>
    <w:rsid w:val="00987D4E"/>
    <w:rsid w:val="009901E1"/>
    <w:rsid w:val="009903D5"/>
    <w:rsid w:val="009903E2"/>
    <w:rsid w:val="00990724"/>
    <w:rsid w:val="0099087B"/>
    <w:rsid w:val="009909C7"/>
    <w:rsid w:val="009909EE"/>
    <w:rsid w:val="00990A96"/>
    <w:rsid w:val="00990B24"/>
    <w:rsid w:val="00990E46"/>
    <w:rsid w:val="00990E53"/>
    <w:rsid w:val="009910B9"/>
    <w:rsid w:val="0099111F"/>
    <w:rsid w:val="0099116B"/>
    <w:rsid w:val="009911FF"/>
    <w:rsid w:val="009917B2"/>
    <w:rsid w:val="00991988"/>
    <w:rsid w:val="00991A61"/>
    <w:rsid w:val="00991FC7"/>
    <w:rsid w:val="0099210A"/>
    <w:rsid w:val="00992277"/>
    <w:rsid w:val="00992308"/>
    <w:rsid w:val="009926F8"/>
    <w:rsid w:val="00992D84"/>
    <w:rsid w:val="00992DAB"/>
    <w:rsid w:val="00992E2A"/>
    <w:rsid w:val="00992EEB"/>
    <w:rsid w:val="00992F68"/>
    <w:rsid w:val="00993202"/>
    <w:rsid w:val="009933EC"/>
    <w:rsid w:val="00993701"/>
    <w:rsid w:val="0099376C"/>
    <w:rsid w:val="00993ADD"/>
    <w:rsid w:val="00994092"/>
    <w:rsid w:val="00994158"/>
    <w:rsid w:val="009947D5"/>
    <w:rsid w:val="00994819"/>
    <w:rsid w:val="00994A52"/>
    <w:rsid w:val="00994FB2"/>
    <w:rsid w:val="0099503C"/>
    <w:rsid w:val="009952FD"/>
    <w:rsid w:val="0099552B"/>
    <w:rsid w:val="0099574A"/>
    <w:rsid w:val="00995754"/>
    <w:rsid w:val="00995823"/>
    <w:rsid w:val="00995BD4"/>
    <w:rsid w:val="00995BD5"/>
    <w:rsid w:val="00995CEE"/>
    <w:rsid w:val="00995E12"/>
    <w:rsid w:val="0099610A"/>
    <w:rsid w:val="00996177"/>
    <w:rsid w:val="00996382"/>
    <w:rsid w:val="00996398"/>
    <w:rsid w:val="0099652B"/>
    <w:rsid w:val="009966BE"/>
    <w:rsid w:val="009969AB"/>
    <w:rsid w:val="00996C13"/>
    <w:rsid w:val="00996C89"/>
    <w:rsid w:val="0099737E"/>
    <w:rsid w:val="0099745D"/>
    <w:rsid w:val="0099755D"/>
    <w:rsid w:val="00997637"/>
    <w:rsid w:val="009979D8"/>
    <w:rsid w:val="009A008C"/>
    <w:rsid w:val="009A0101"/>
    <w:rsid w:val="009A06EC"/>
    <w:rsid w:val="009A0730"/>
    <w:rsid w:val="009A0746"/>
    <w:rsid w:val="009A086C"/>
    <w:rsid w:val="009A0A7D"/>
    <w:rsid w:val="009A0AB5"/>
    <w:rsid w:val="009A0BC5"/>
    <w:rsid w:val="009A0D7D"/>
    <w:rsid w:val="009A10C3"/>
    <w:rsid w:val="009A1180"/>
    <w:rsid w:val="009A1290"/>
    <w:rsid w:val="009A13DD"/>
    <w:rsid w:val="009A13E4"/>
    <w:rsid w:val="009A1446"/>
    <w:rsid w:val="009A1720"/>
    <w:rsid w:val="009A182E"/>
    <w:rsid w:val="009A241F"/>
    <w:rsid w:val="009A25D0"/>
    <w:rsid w:val="009A2619"/>
    <w:rsid w:val="009A2642"/>
    <w:rsid w:val="009A27DF"/>
    <w:rsid w:val="009A2861"/>
    <w:rsid w:val="009A294D"/>
    <w:rsid w:val="009A2E18"/>
    <w:rsid w:val="009A2E62"/>
    <w:rsid w:val="009A2FCA"/>
    <w:rsid w:val="009A30DD"/>
    <w:rsid w:val="009A3189"/>
    <w:rsid w:val="009A34A9"/>
    <w:rsid w:val="009A37E4"/>
    <w:rsid w:val="009A3C4C"/>
    <w:rsid w:val="009A3C83"/>
    <w:rsid w:val="009A43E7"/>
    <w:rsid w:val="009A450B"/>
    <w:rsid w:val="009A4652"/>
    <w:rsid w:val="009A473F"/>
    <w:rsid w:val="009A4909"/>
    <w:rsid w:val="009A49D2"/>
    <w:rsid w:val="009A4ABB"/>
    <w:rsid w:val="009A4B96"/>
    <w:rsid w:val="009A4C02"/>
    <w:rsid w:val="009A5022"/>
    <w:rsid w:val="009A51D5"/>
    <w:rsid w:val="009A530B"/>
    <w:rsid w:val="009A542C"/>
    <w:rsid w:val="009A54B7"/>
    <w:rsid w:val="009A5731"/>
    <w:rsid w:val="009A5ACF"/>
    <w:rsid w:val="009A5B90"/>
    <w:rsid w:val="009A5BD4"/>
    <w:rsid w:val="009A5E2F"/>
    <w:rsid w:val="009A5EF4"/>
    <w:rsid w:val="009A629E"/>
    <w:rsid w:val="009A6315"/>
    <w:rsid w:val="009A6515"/>
    <w:rsid w:val="009A6545"/>
    <w:rsid w:val="009A6737"/>
    <w:rsid w:val="009A6759"/>
    <w:rsid w:val="009A67BB"/>
    <w:rsid w:val="009A68F3"/>
    <w:rsid w:val="009A6CE6"/>
    <w:rsid w:val="009A6D15"/>
    <w:rsid w:val="009A6F02"/>
    <w:rsid w:val="009A6FD3"/>
    <w:rsid w:val="009A7066"/>
    <w:rsid w:val="009A717D"/>
    <w:rsid w:val="009A7472"/>
    <w:rsid w:val="009A74B4"/>
    <w:rsid w:val="009A7512"/>
    <w:rsid w:val="009A7EE5"/>
    <w:rsid w:val="009A7FF6"/>
    <w:rsid w:val="009B0008"/>
    <w:rsid w:val="009B00B5"/>
    <w:rsid w:val="009B0127"/>
    <w:rsid w:val="009B02B3"/>
    <w:rsid w:val="009B02E3"/>
    <w:rsid w:val="009B030F"/>
    <w:rsid w:val="009B063E"/>
    <w:rsid w:val="009B063F"/>
    <w:rsid w:val="009B099C"/>
    <w:rsid w:val="009B0BCA"/>
    <w:rsid w:val="009B11F7"/>
    <w:rsid w:val="009B1214"/>
    <w:rsid w:val="009B1286"/>
    <w:rsid w:val="009B13E4"/>
    <w:rsid w:val="009B1455"/>
    <w:rsid w:val="009B1892"/>
    <w:rsid w:val="009B18E2"/>
    <w:rsid w:val="009B19B5"/>
    <w:rsid w:val="009B1C76"/>
    <w:rsid w:val="009B1E40"/>
    <w:rsid w:val="009B250B"/>
    <w:rsid w:val="009B2591"/>
    <w:rsid w:val="009B27F9"/>
    <w:rsid w:val="009B2D09"/>
    <w:rsid w:val="009B366D"/>
    <w:rsid w:val="009B3793"/>
    <w:rsid w:val="009B38C3"/>
    <w:rsid w:val="009B38DE"/>
    <w:rsid w:val="009B390E"/>
    <w:rsid w:val="009B393A"/>
    <w:rsid w:val="009B39B3"/>
    <w:rsid w:val="009B3C05"/>
    <w:rsid w:val="009B3D11"/>
    <w:rsid w:val="009B3D99"/>
    <w:rsid w:val="009B43F5"/>
    <w:rsid w:val="009B4575"/>
    <w:rsid w:val="009B47F3"/>
    <w:rsid w:val="009B4894"/>
    <w:rsid w:val="009B4C8A"/>
    <w:rsid w:val="009B4DBE"/>
    <w:rsid w:val="009B4FC3"/>
    <w:rsid w:val="009B518A"/>
    <w:rsid w:val="009B53C6"/>
    <w:rsid w:val="009B5568"/>
    <w:rsid w:val="009B5B32"/>
    <w:rsid w:val="009B5E0B"/>
    <w:rsid w:val="009B60FE"/>
    <w:rsid w:val="009B635D"/>
    <w:rsid w:val="009B6621"/>
    <w:rsid w:val="009B6627"/>
    <w:rsid w:val="009B68FE"/>
    <w:rsid w:val="009B6BD3"/>
    <w:rsid w:val="009B7143"/>
    <w:rsid w:val="009B799B"/>
    <w:rsid w:val="009B7D78"/>
    <w:rsid w:val="009C0610"/>
    <w:rsid w:val="009C0931"/>
    <w:rsid w:val="009C0A37"/>
    <w:rsid w:val="009C0D2D"/>
    <w:rsid w:val="009C0DFA"/>
    <w:rsid w:val="009C10BB"/>
    <w:rsid w:val="009C124D"/>
    <w:rsid w:val="009C13AC"/>
    <w:rsid w:val="009C1688"/>
    <w:rsid w:val="009C1F06"/>
    <w:rsid w:val="009C1F81"/>
    <w:rsid w:val="009C20DA"/>
    <w:rsid w:val="009C20F5"/>
    <w:rsid w:val="009C212D"/>
    <w:rsid w:val="009C22A2"/>
    <w:rsid w:val="009C2348"/>
    <w:rsid w:val="009C267A"/>
    <w:rsid w:val="009C2922"/>
    <w:rsid w:val="009C2A3B"/>
    <w:rsid w:val="009C2BE5"/>
    <w:rsid w:val="009C2C5D"/>
    <w:rsid w:val="009C2CCD"/>
    <w:rsid w:val="009C2DEB"/>
    <w:rsid w:val="009C2ED4"/>
    <w:rsid w:val="009C3086"/>
    <w:rsid w:val="009C313B"/>
    <w:rsid w:val="009C3358"/>
    <w:rsid w:val="009C3369"/>
    <w:rsid w:val="009C33CC"/>
    <w:rsid w:val="009C380D"/>
    <w:rsid w:val="009C38FE"/>
    <w:rsid w:val="009C3A58"/>
    <w:rsid w:val="009C3B50"/>
    <w:rsid w:val="009C3DC7"/>
    <w:rsid w:val="009C3F2B"/>
    <w:rsid w:val="009C432F"/>
    <w:rsid w:val="009C442D"/>
    <w:rsid w:val="009C46B9"/>
    <w:rsid w:val="009C4769"/>
    <w:rsid w:val="009C48E9"/>
    <w:rsid w:val="009C4B24"/>
    <w:rsid w:val="009C4CDB"/>
    <w:rsid w:val="009C500E"/>
    <w:rsid w:val="009C537F"/>
    <w:rsid w:val="009C5598"/>
    <w:rsid w:val="009C5A8E"/>
    <w:rsid w:val="009C5B8E"/>
    <w:rsid w:val="009C5D51"/>
    <w:rsid w:val="009C5FFF"/>
    <w:rsid w:val="009C619B"/>
    <w:rsid w:val="009C6204"/>
    <w:rsid w:val="009C646E"/>
    <w:rsid w:val="009C64C2"/>
    <w:rsid w:val="009C66F7"/>
    <w:rsid w:val="009C6854"/>
    <w:rsid w:val="009C6A0B"/>
    <w:rsid w:val="009C6B8C"/>
    <w:rsid w:val="009C6B9A"/>
    <w:rsid w:val="009C7099"/>
    <w:rsid w:val="009C732F"/>
    <w:rsid w:val="009C74EB"/>
    <w:rsid w:val="009C751B"/>
    <w:rsid w:val="009C76C4"/>
    <w:rsid w:val="009C76FB"/>
    <w:rsid w:val="009C795F"/>
    <w:rsid w:val="009C7C44"/>
    <w:rsid w:val="009C7D8A"/>
    <w:rsid w:val="009D02D0"/>
    <w:rsid w:val="009D0441"/>
    <w:rsid w:val="009D058D"/>
    <w:rsid w:val="009D08C2"/>
    <w:rsid w:val="009D0A07"/>
    <w:rsid w:val="009D0F65"/>
    <w:rsid w:val="009D16F0"/>
    <w:rsid w:val="009D18E3"/>
    <w:rsid w:val="009D1911"/>
    <w:rsid w:val="009D1B89"/>
    <w:rsid w:val="009D20BB"/>
    <w:rsid w:val="009D219E"/>
    <w:rsid w:val="009D236A"/>
    <w:rsid w:val="009D26A4"/>
    <w:rsid w:val="009D2714"/>
    <w:rsid w:val="009D27F3"/>
    <w:rsid w:val="009D2EB3"/>
    <w:rsid w:val="009D30CF"/>
    <w:rsid w:val="009D31DD"/>
    <w:rsid w:val="009D3692"/>
    <w:rsid w:val="009D36AA"/>
    <w:rsid w:val="009D3B2F"/>
    <w:rsid w:val="009D3BCD"/>
    <w:rsid w:val="009D3EE4"/>
    <w:rsid w:val="009D4234"/>
    <w:rsid w:val="009D4344"/>
    <w:rsid w:val="009D437B"/>
    <w:rsid w:val="009D4534"/>
    <w:rsid w:val="009D45CD"/>
    <w:rsid w:val="009D4B66"/>
    <w:rsid w:val="009D4BF0"/>
    <w:rsid w:val="009D4C48"/>
    <w:rsid w:val="009D4D63"/>
    <w:rsid w:val="009D55A3"/>
    <w:rsid w:val="009D5869"/>
    <w:rsid w:val="009D58B3"/>
    <w:rsid w:val="009D5B63"/>
    <w:rsid w:val="009D5B8F"/>
    <w:rsid w:val="009D5BB3"/>
    <w:rsid w:val="009D5BD4"/>
    <w:rsid w:val="009D5C7B"/>
    <w:rsid w:val="009D5D83"/>
    <w:rsid w:val="009D5E29"/>
    <w:rsid w:val="009D5EDB"/>
    <w:rsid w:val="009D5F8B"/>
    <w:rsid w:val="009D6211"/>
    <w:rsid w:val="009D6290"/>
    <w:rsid w:val="009D64A8"/>
    <w:rsid w:val="009D6748"/>
    <w:rsid w:val="009D67C5"/>
    <w:rsid w:val="009D681F"/>
    <w:rsid w:val="009D6F3F"/>
    <w:rsid w:val="009D6FC3"/>
    <w:rsid w:val="009D7514"/>
    <w:rsid w:val="009D7680"/>
    <w:rsid w:val="009D7962"/>
    <w:rsid w:val="009D79DD"/>
    <w:rsid w:val="009D7BFD"/>
    <w:rsid w:val="009D7C16"/>
    <w:rsid w:val="009E00EE"/>
    <w:rsid w:val="009E01B9"/>
    <w:rsid w:val="009E029C"/>
    <w:rsid w:val="009E0908"/>
    <w:rsid w:val="009E094A"/>
    <w:rsid w:val="009E0B79"/>
    <w:rsid w:val="009E0E66"/>
    <w:rsid w:val="009E1329"/>
    <w:rsid w:val="009E1428"/>
    <w:rsid w:val="009E2027"/>
    <w:rsid w:val="009E209F"/>
    <w:rsid w:val="009E2396"/>
    <w:rsid w:val="009E2678"/>
    <w:rsid w:val="009E2792"/>
    <w:rsid w:val="009E2795"/>
    <w:rsid w:val="009E27A4"/>
    <w:rsid w:val="009E2839"/>
    <w:rsid w:val="009E2A0E"/>
    <w:rsid w:val="009E2B03"/>
    <w:rsid w:val="009E2CFB"/>
    <w:rsid w:val="009E2D29"/>
    <w:rsid w:val="009E2DB3"/>
    <w:rsid w:val="009E311C"/>
    <w:rsid w:val="009E31D5"/>
    <w:rsid w:val="009E32FE"/>
    <w:rsid w:val="009E341A"/>
    <w:rsid w:val="009E3498"/>
    <w:rsid w:val="009E34A5"/>
    <w:rsid w:val="009E3786"/>
    <w:rsid w:val="009E389A"/>
    <w:rsid w:val="009E38C9"/>
    <w:rsid w:val="009E3B78"/>
    <w:rsid w:val="009E3ED5"/>
    <w:rsid w:val="009E4520"/>
    <w:rsid w:val="009E4B3E"/>
    <w:rsid w:val="009E4C03"/>
    <w:rsid w:val="009E4E70"/>
    <w:rsid w:val="009E54D1"/>
    <w:rsid w:val="009E58BA"/>
    <w:rsid w:val="009E5A46"/>
    <w:rsid w:val="009E5D29"/>
    <w:rsid w:val="009E5DD1"/>
    <w:rsid w:val="009E5DDC"/>
    <w:rsid w:val="009E5DEC"/>
    <w:rsid w:val="009E5E18"/>
    <w:rsid w:val="009E5F6F"/>
    <w:rsid w:val="009E6300"/>
    <w:rsid w:val="009E65D5"/>
    <w:rsid w:val="009E6658"/>
    <w:rsid w:val="009E6922"/>
    <w:rsid w:val="009E6AA9"/>
    <w:rsid w:val="009E6CF4"/>
    <w:rsid w:val="009E7077"/>
    <w:rsid w:val="009E7154"/>
    <w:rsid w:val="009E71B6"/>
    <w:rsid w:val="009E72C4"/>
    <w:rsid w:val="009E7311"/>
    <w:rsid w:val="009E73F9"/>
    <w:rsid w:val="009E7546"/>
    <w:rsid w:val="009E75A7"/>
    <w:rsid w:val="009E76A1"/>
    <w:rsid w:val="009E7807"/>
    <w:rsid w:val="009E7906"/>
    <w:rsid w:val="009E7BD4"/>
    <w:rsid w:val="009E7E23"/>
    <w:rsid w:val="009E7FDA"/>
    <w:rsid w:val="009F0070"/>
    <w:rsid w:val="009F026B"/>
    <w:rsid w:val="009F02F3"/>
    <w:rsid w:val="009F0533"/>
    <w:rsid w:val="009F0539"/>
    <w:rsid w:val="009F08AA"/>
    <w:rsid w:val="009F095E"/>
    <w:rsid w:val="009F0A1A"/>
    <w:rsid w:val="009F0AEE"/>
    <w:rsid w:val="009F0C00"/>
    <w:rsid w:val="009F0CBB"/>
    <w:rsid w:val="009F0D64"/>
    <w:rsid w:val="009F0D98"/>
    <w:rsid w:val="009F0E5E"/>
    <w:rsid w:val="009F0E73"/>
    <w:rsid w:val="009F0FCA"/>
    <w:rsid w:val="009F1084"/>
    <w:rsid w:val="009F1279"/>
    <w:rsid w:val="009F1744"/>
    <w:rsid w:val="009F1B2E"/>
    <w:rsid w:val="009F1BC7"/>
    <w:rsid w:val="009F1BE3"/>
    <w:rsid w:val="009F1BF4"/>
    <w:rsid w:val="009F1D67"/>
    <w:rsid w:val="009F1D9E"/>
    <w:rsid w:val="009F1F19"/>
    <w:rsid w:val="009F2417"/>
    <w:rsid w:val="009F2426"/>
    <w:rsid w:val="009F26F0"/>
    <w:rsid w:val="009F27EB"/>
    <w:rsid w:val="009F290B"/>
    <w:rsid w:val="009F2940"/>
    <w:rsid w:val="009F2946"/>
    <w:rsid w:val="009F2D4F"/>
    <w:rsid w:val="009F2FC0"/>
    <w:rsid w:val="009F30A8"/>
    <w:rsid w:val="009F31B9"/>
    <w:rsid w:val="009F31C1"/>
    <w:rsid w:val="009F3378"/>
    <w:rsid w:val="009F386B"/>
    <w:rsid w:val="009F397C"/>
    <w:rsid w:val="009F3A16"/>
    <w:rsid w:val="009F3ADF"/>
    <w:rsid w:val="009F3BF6"/>
    <w:rsid w:val="009F4103"/>
    <w:rsid w:val="009F41C9"/>
    <w:rsid w:val="009F42E9"/>
    <w:rsid w:val="009F4809"/>
    <w:rsid w:val="009F498C"/>
    <w:rsid w:val="009F4B63"/>
    <w:rsid w:val="009F4BBE"/>
    <w:rsid w:val="009F4CBC"/>
    <w:rsid w:val="009F4E32"/>
    <w:rsid w:val="009F4E94"/>
    <w:rsid w:val="009F5187"/>
    <w:rsid w:val="009F52D5"/>
    <w:rsid w:val="009F52D8"/>
    <w:rsid w:val="009F53F5"/>
    <w:rsid w:val="009F58A3"/>
    <w:rsid w:val="009F5CEC"/>
    <w:rsid w:val="009F5D23"/>
    <w:rsid w:val="009F5DDA"/>
    <w:rsid w:val="009F5E45"/>
    <w:rsid w:val="009F6283"/>
    <w:rsid w:val="009F62EB"/>
    <w:rsid w:val="009F6378"/>
    <w:rsid w:val="009F6381"/>
    <w:rsid w:val="009F6452"/>
    <w:rsid w:val="009F6669"/>
    <w:rsid w:val="009F6973"/>
    <w:rsid w:val="009F6A86"/>
    <w:rsid w:val="009F6C16"/>
    <w:rsid w:val="009F6CBF"/>
    <w:rsid w:val="009F6DE5"/>
    <w:rsid w:val="009F71C2"/>
    <w:rsid w:val="009F7933"/>
    <w:rsid w:val="009F7959"/>
    <w:rsid w:val="009F7B07"/>
    <w:rsid w:val="009F7BEF"/>
    <w:rsid w:val="009F7D24"/>
    <w:rsid w:val="009F7E72"/>
    <w:rsid w:val="00A0034D"/>
    <w:rsid w:val="00A00746"/>
    <w:rsid w:val="00A00844"/>
    <w:rsid w:val="00A00A2B"/>
    <w:rsid w:val="00A00D89"/>
    <w:rsid w:val="00A00F70"/>
    <w:rsid w:val="00A010B2"/>
    <w:rsid w:val="00A0118E"/>
    <w:rsid w:val="00A01229"/>
    <w:rsid w:val="00A014DB"/>
    <w:rsid w:val="00A01561"/>
    <w:rsid w:val="00A016D1"/>
    <w:rsid w:val="00A0176C"/>
    <w:rsid w:val="00A019F8"/>
    <w:rsid w:val="00A01CAD"/>
    <w:rsid w:val="00A01E1A"/>
    <w:rsid w:val="00A022D1"/>
    <w:rsid w:val="00A0236F"/>
    <w:rsid w:val="00A024FD"/>
    <w:rsid w:val="00A02636"/>
    <w:rsid w:val="00A028AB"/>
    <w:rsid w:val="00A028FC"/>
    <w:rsid w:val="00A02965"/>
    <w:rsid w:val="00A029E8"/>
    <w:rsid w:val="00A029EE"/>
    <w:rsid w:val="00A02DBF"/>
    <w:rsid w:val="00A03068"/>
    <w:rsid w:val="00A0343F"/>
    <w:rsid w:val="00A03454"/>
    <w:rsid w:val="00A034A1"/>
    <w:rsid w:val="00A036DE"/>
    <w:rsid w:val="00A037D5"/>
    <w:rsid w:val="00A037E8"/>
    <w:rsid w:val="00A03922"/>
    <w:rsid w:val="00A03BA4"/>
    <w:rsid w:val="00A03BF4"/>
    <w:rsid w:val="00A03C18"/>
    <w:rsid w:val="00A03DBA"/>
    <w:rsid w:val="00A0419B"/>
    <w:rsid w:val="00A04307"/>
    <w:rsid w:val="00A04359"/>
    <w:rsid w:val="00A04533"/>
    <w:rsid w:val="00A0490E"/>
    <w:rsid w:val="00A04A05"/>
    <w:rsid w:val="00A04AB0"/>
    <w:rsid w:val="00A05158"/>
    <w:rsid w:val="00A05335"/>
    <w:rsid w:val="00A053B4"/>
    <w:rsid w:val="00A054E2"/>
    <w:rsid w:val="00A05588"/>
    <w:rsid w:val="00A055EB"/>
    <w:rsid w:val="00A05861"/>
    <w:rsid w:val="00A058B6"/>
    <w:rsid w:val="00A05CFB"/>
    <w:rsid w:val="00A05DF4"/>
    <w:rsid w:val="00A05E96"/>
    <w:rsid w:val="00A06502"/>
    <w:rsid w:val="00A066E2"/>
    <w:rsid w:val="00A067E5"/>
    <w:rsid w:val="00A06925"/>
    <w:rsid w:val="00A06938"/>
    <w:rsid w:val="00A069D7"/>
    <w:rsid w:val="00A06A44"/>
    <w:rsid w:val="00A06DCB"/>
    <w:rsid w:val="00A06F3E"/>
    <w:rsid w:val="00A072DF"/>
    <w:rsid w:val="00A07FB0"/>
    <w:rsid w:val="00A07FB1"/>
    <w:rsid w:val="00A07FBB"/>
    <w:rsid w:val="00A10177"/>
    <w:rsid w:val="00A10492"/>
    <w:rsid w:val="00A10B35"/>
    <w:rsid w:val="00A10BD7"/>
    <w:rsid w:val="00A10DAD"/>
    <w:rsid w:val="00A1106D"/>
    <w:rsid w:val="00A111A1"/>
    <w:rsid w:val="00A112D8"/>
    <w:rsid w:val="00A11711"/>
    <w:rsid w:val="00A11CB9"/>
    <w:rsid w:val="00A11E5D"/>
    <w:rsid w:val="00A11F5F"/>
    <w:rsid w:val="00A12105"/>
    <w:rsid w:val="00A12177"/>
    <w:rsid w:val="00A12189"/>
    <w:rsid w:val="00A1227B"/>
    <w:rsid w:val="00A122A7"/>
    <w:rsid w:val="00A123F8"/>
    <w:rsid w:val="00A125C9"/>
    <w:rsid w:val="00A1265F"/>
    <w:rsid w:val="00A126F3"/>
    <w:rsid w:val="00A128DA"/>
    <w:rsid w:val="00A12A2B"/>
    <w:rsid w:val="00A12DE0"/>
    <w:rsid w:val="00A12F0C"/>
    <w:rsid w:val="00A13061"/>
    <w:rsid w:val="00A131D8"/>
    <w:rsid w:val="00A1331F"/>
    <w:rsid w:val="00A13443"/>
    <w:rsid w:val="00A13514"/>
    <w:rsid w:val="00A13590"/>
    <w:rsid w:val="00A1372A"/>
    <w:rsid w:val="00A137A3"/>
    <w:rsid w:val="00A137F8"/>
    <w:rsid w:val="00A1399B"/>
    <w:rsid w:val="00A13D09"/>
    <w:rsid w:val="00A13E38"/>
    <w:rsid w:val="00A13F3B"/>
    <w:rsid w:val="00A14049"/>
    <w:rsid w:val="00A140CB"/>
    <w:rsid w:val="00A14102"/>
    <w:rsid w:val="00A1417B"/>
    <w:rsid w:val="00A143CE"/>
    <w:rsid w:val="00A1480F"/>
    <w:rsid w:val="00A14A45"/>
    <w:rsid w:val="00A14B72"/>
    <w:rsid w:val="00A14BD4"/>
    <w:rsid w:val="00A15628"/>
    <w:rsid w:val="00A1574A"/>
    <w:rsid w:val="00A15C8C"/>
    <w:rsid w:val="00A15FC6"/>
    <w:rsid w:val="00A16202"/>
    <w:rsid w:val="00A16714"/>
    <w:rsid w:val="00A167E8"/>
    <w:rsid w:val="00A16AA9"/>
    <w:rsid w:val="00A16B6F"/>
    <w:rsid w:val="00A16CBA"/>
    <w:rsid w:val="00A1714F"/>
    <w:rsid w:val="00A171CD"/>
    <w:rsid w:val="00A172F8"/>
    <w:rsid w:val="00A17951"/>
    <w:rsid w:val="00A17AFC"/>
    <w:rsid w:val="00A17B6E"/>
    <w:rsid w:val="00A17C17"/>
    <w:rsid w:val="00A17EC3"/>
    <w:rsid w:val="00A20104"/>
    <w:rsid w:val="00A2030F"/>
    <w:rsid w:val="00A20365"/>
    <w:rsid w:val="00A205D9"/>
    <w:rsid w:val="00A205DF"/>
    <w:rsid w:val="00A2071D"/>
    <w:rsid w:val="00A20720"/>
    <w:rsid w:val="00A207A5"/>
    <w:rsid w:val="00A20872"/>
    <w:rsid w:val="00A209B3"/>
    <w:rsid w:val="00A209CF"/>
    <w:rsid w:val="00A20E81"/>
    <w:rsid w:val="00A20ED2"/>
    <w:rsid w:val="00A21285"/>
    <w:rsid w:val="00A212B3"/>
    <w:rsid w:val="00A2133B"/>
    <w:rsid w:val="00A21379"/>
    <w:rsid w:val="00A21634"/>
    <w:rsid w:val="00A2169D"/>
    <w:rsid w:val="00A2199F"/>
    <w:rsid w:val="00A21E74"/>
    <w:rsid w:val="00A22100"/>
    <w:rsid w:val="00A223A4"/>
    <w:rsid w:val="00A22410"/>
    <w:rsid w:val="00A2258E"/>
    <w:rsid w:val="00A22896"/>
    <w:rsid w:val="00A228CF"/>
    <w:rsid w:val="00A22C3C"/>
    <w:rsid w:val="00A23285"/>
    <w:rsid w:val="00A23553"/>
    <w:rsid w:val="00A236C6"/>
    <w:rsid w:val="00A23780"/>
    <w:rsid w:val="00A23809"/>
    <w:rsid w:val="00A23987"/>
    <w:rsid w:val="00A23AA8"/>
    <w:rsid w:val="00A23E63"/>
    <w:rsid w:val="00A23FBD"/>
    <w:rsid w:val="00A2400A"/>
    <w:rsid w:val="00A243BF"/>
    <w:rsid w:val="00A24493"/>
    <w:rsid w:val="00A24547"/>
    <w:rsid w:val="00A24713"/>
    <w:rsid w:val="00A249FF"/>
    <w:rsid w:val="00A24AC4"/>
    <w:rsid w:val="00A24B46"/>
    <w:rsid w:val="00A24DD7"/>
    <w:rsid w:val="00A24FD7"/>
    <w:rsid w:val="00A2502D"/>
    <w:rsid w:val="00A251B5"/>
    <w:rsid w:val="00A25B04"/>
    <w:rsid w:val="00A25C48"/>
    <w:rsid w:val="00A25CBE"/>
    <w:rsid w:val="00A261C8"/>
    <w:rsid w:val="00A262DC"/>
    <w:rsid w:val="00A263C0"/>
    <w:rsid w:val="00A26439"/>
    <w:rsid w:val="00A26441"/>
    <w:rsid w:val="00A2651B"/>
    <w:rsid w:val="00A26658"/>
    <w:rsid w:val="00A26739"/>
    <w:rsid w:val="00A2699A"/>
    <w:rsid w:val="00A26A36"/>
    <w:rsid w:val="00A26AD8"/>
    <w:rsid w:val="00A26E15"/>
    <w:rsid w:val="00A276EA"/>
    <w:rsid w:val="00A27926"/>
    <w:rsid w:val="00A279EF"/>
    <w:rsid w:val="00A27BF9"/>
    <w:rsid w:val="00A30054"/>
    <w:rsid w:val="00A300E9"/>
    <w:rsid w:val="00A303AB"/>
    <w:rsid w:val="00A304DB"/>
    <w:rsid w:val="00A305B1"/>
    <w:rsid w:val="00A30873"/>
    <w:rsid w:val="00A30AE7"/>
    <w:rsid w:val="00A30B81"/>
    <w:rsid w:val="00A30BBD"/>
    <w:rsid w:val="00A313AF"/>
    <w:rsid w:val="00A314D4"/>
    <w:rsid w:val="00A316A9"/>
    <w:rsid w:val="00A31862"/>
    <w:rsid w:val="00A31BA4"/>
    <w:rsid w:val="00A31C50"/>
    <w:rsid w:val="00A32103"/>
    <w:rsid w:val="00A32160"/>
    <w:rsid w:val="00A32277"/>
    <w:rsid w:val="00A322AC"/>
    <w:rsid w:val="00A3241C"/>
    <w:rsid w:val="00A3265E"/>
    <w:rsid w:val="00A326EA"/>
    <w:rsid w:val="00A32A66"/>
    <w:rsid w:val="00A32D9E"/>
    <w:rsid w:val="00A33087"/>
    <w:rsid w:val="00A3328C"/>
    <w:rsid w:val="00A33694"/>
    <w:rsid w:val="00A338E6"/>
    <w:rsid w:val="00A339A7"/>
    <w:rsid w:val="00A33B47"/>
    <w:rsid w:val="00A33BD0"/>
    <w:rsid w:val="00A33C9D"/>
    <w:rsid w:val="00A33EA8"/>
    <w:rsid w:val="00A34100"/>
    <w:rsid w:val="00A3420A"/>
    <w:rsid w:val="00A3447C"/>
    <w:rsid w:val="00A344E4"/>
    <w:rsid w:val="00A3450E"/>
    <w:rsid w:val="00A3459E"/>
    <w:rsid w:val="00A3467D"/>
    <w:rsid w:val="00A3489D"/>
    <w:rsid w:val="00A34945"/>
    <w:rsid w:val="00A34949"/>
    <w:rsid w:val="00A34A62"/>
    <w:rsid w:val="00A34AA4"/>
    <w:rsid w:val="00A35071"/>
    <w:rsid w:val="00A35132"/>
    <w:rsid w:val="00A352A4"/>
    <w:rsid w:val="00A352B6"/>
    <w:rsid w:val="00A352EF"/>
    <w:rsid w:val="00A356DB"/>
    <w:rsid w:val="00A359C2"/>
    <w:rsid w:val="00A360B7"/>
    <w:rsid w:val="00A36299"/>
    <w:rsid w:val="00A36407"/>
    <w:rsid w:val="00A3645B"/>
    <w:rsid w:val="00A36553"/>
    <w:rsid w:val="00A368E6"/>
    <w:rsid w:val="00A36A34"/>
    <w:rsid w:val="00A36C16"/>
    <w:rsid w:val="00A36D31"/>
    <w:rsid w:val="00A36D5D"/>
    <w:rsid w:val="00A36D8F"/>
    <w:rsid w:val="00A36FFD"/>
    <w:rsid w:val="00A37467"/>
    <w:rsid w:val="00A3752C"/>
    <w:rsid w:val="00A375B5"/>
    <w:rsid w:val="00A376EA"/>
    <w:rsid w:val="00A37A7A"/>
    <w:rsid w:val="00A37B9E"/>
    <w:rsid w:val="00A37CBC"/>
    <w:rsid w:val="00A37D62"/>
    <w:rsid w:val="00A37E21"/>
    <w:rsid w:val="00A37EB9"/>
    <w:rsid w:val="00A37FB8"/>
    <w:rsid w:val="00A40024"/>
    <w:rsid w:val="00A401AA"/>
    <w:rsid w:val="00A4023C"/>
    <w:rsid w:val="00A40267"/>
    <w:rsid w:val="00A404B0"/>
    <w:rsid w:val="00A4084B"/>
    <w:rsid w:val="00A40D87"/>
    <w:rsid w:val="00A40E51"/>
    <w:rsid w:val="00A41294"/>
    <w:rsid w:val="00A412C8"/>
    <w:rsid w:val="00A41862"/>
    <w:rsid w:val="00A41B40"/>
    <w:rsid w:val="00A42341"/>
    <w:rsid w:val="00A42426"/>
    <w:rsid w:val="00A42514"/>
    <w:rsid w:val="00A42538"/>
    <w:rsid w:val="00A42920"/>
    <w:rsid w:val="00A42978"/>
    <w:rsid w:val="00A42C75"/>
    <w:rsid w:val="00A42DB5"/>
    <w:rsid w:val="00A42E06"/>
    <w:rsid w:val="00A42FBA"/>
    <w:rsid w:val="00A43606"/>
    <w:rsid w:val="00A436A5"/>
    <w:rsid w:val="00A439B9"/>
    <w:rsid w:val="00A43A6B"/>
    <w:rsid w:val="00A43B25"/>
    <w:rsid w:val="00A43B43"/>
    <w:rsid w:val="00A4414C"/>
    <w:rsid w:val="00A44279"/>
    <w:rsid w:val="00A44673"/>
    <w:rsid w:val="00A446A2"/>
    <w:rsid w:val="00A44866"/>
    <w:rsid w:val="00A44B24"/>
    <w:rsid w:val="00A44CBB"/>
    <w:rsid w:val="00A45325"/>
    <w:rsid w:val="00A4533C"/>
    <w:rsid w:val="00A45A86"/>
    <w:rsid w:val="00A45A99"/>
    <w:rsid w:val="00A45AA4"/>
    <w:rsid w:val="00A45DAD"/>
    <w:rsid w:val="00A45E0B"/>
    <w:rsid w:val="00A45EBF"/>
    <w:rsid w:val="00A46065"/>
    <w:rsid w:val="00A46170"/>
    <w:rsid w:val="00A461F8"/>
    <w:rsid w:val="00A464E5"/>
    <w:rsid w:val="00A464F3"/>
    <w:rsid w:val="00A46640"/>
    <w:rsid w:val="00A47D02"/>
    <w:rsid w:val="00A5019B"/>
    <w:rsid w:val="00A50498"/>
    <w:rsid w:val="00A506D9"/>
    <w:rsid w:val="00A508A0"/>
    <w:rsid w:val="00A50914"/>
    <w:rsid w:val="00A50B49"/>
    <w:rsid w:val="00A50B52"/>
    <w:rsid w:val="00A50F23"/>
    <w:rsid w:val="00A51231"/>
    <w:rsid w:val="00A5131A"/>
    <w:rsid w:val="00A51624"/>
    <w:rsid w:val="00A5170C"/>
    <w:rsid w:val="00A51797"/>
    <w:rsid w:val="00A517EF"/>
    <w:rsid w:val="00A51A41"/>
    <w:rsid w:val="00A51FEB"/>
    <w:rsid w:val="00A521C1"/>
    <w:rsid w:val="00A52367"/>
    <w:rsid w:val="00A5252C"/>
    <w:rsid w:val="00A52574"/>
    <w:rsid w:val="00A5275A"/>
    <w:rsid w:val="00A52962"/>
    <w:rsid w:val="00A52C4E"/>
    <w:rsid w:val="00A532B2"/>
    <w:rsid w:val="00A53389"/>
    <w:rsid w:val="00A533CE"/>
    <w:rsid w:val="00A536F4"/>
    <w:rsid w:val="00A5383E"/>
    <w:rsid w:val="00A53D7A"/>
    <w:rsid w:val="00A5419D"/>
    <w:rsid w:val="00A54241"/>
    <w:rsid w:val="00A54318"/>
    <w:rsid w:val="00A543AC"/>
    <w:rsid w:val="00A54659"/>
    <w:rsid w:val="00A5476C"/>
    <w:rsid w:val="00A5484F"/>
    <w:rsid w:val="00A54968"/>
    <w:rsid w:val="00A54C41"/>
    <w:rsid w:val="00A54F0D"/>
    <w:rsid w:val="00A55268"/>
    <w:rsid w:val="00A558D1"/>
    <w:rsid w:val="00A558FA"/>
    <w:rsid w:val="00A55AC9"/>
    <w:rsid w:val="00A55EA0"/>
    <w:rsid w:val="00A56190"/>
    <w:rsid w:val="00A5664E"/>
    <w:rsid w:val="00A5688B"/>
    <w:rsid w:val="00A569DC"/>
    <w:rsid w:val="00A56C22"/>
    <w:rsid w:val="00A56CF6"/>
    <w:rsid w:val="00A57099"/>
    <w:rsid w:val="00A571ED"/>
    <w:rsid w:val="00A57506"/>
    <w:rsid w:val="00A57D58"/>
    <w:rsid w:val="00A57DA6"/>
    <w:rsid w:val="00A57F9C"/>
    <w:rsid w:val="00A57FD8"/>
    <w:rsid w:val="00A604DF"/>
    <w:rsid w:val="00A607E9"/>
    <w:rsid w:val="00A6092E"/>
    <w:rsid w:val="00A60EF0"/>
    <w:rsid w:val="00A60F1B"/>
    <w:rsid w:val="00A60F94"/>
    <w:rsid w:val="00A61101"/>
    <w:rsid w:val="00A6139F"/>
    <w:rsid w:val="00A61495"/>
    <w:rsid w:val="00A614F4"/>
    <w:rsid w:val="00A61709"/>
    <w:rsid w:val="00A6171C"/>
    <w:rsid w:val="00A6175A"/>
    <w:rsid w:val="00A61853"/>
    <w:rsid w:val="00A61924"/>
    <w:rsid w:val="00A61C88"/>
    <w:rsid w:val="00A61EE1"/>
    <w:rsid w:val="00A62248"/>
    <w:rsid w:val="00A62748"/>
    <w:rsid w:val="00A6278E"/>
    <w:rsid w:val="00A62807"/>
    <w:rsid w:val="00A62883"/>
    <w:rsid w:val="00A62DD8"/>
    <w:rsid w:val="00A62EBC"/>
    <w:rsid w:val="00A62F1F"/>
    <w:rsid w:val="00A635C1"/>
    <w:rsid w:val="00A635F3"/>
    <w:rsid w:val="00A635FD"/>
    <w:rsid w:val="00A6383F"/>
    <w:rsid w:val="00A63865"/>
    <w:rsid w:val="00A6389D"/>
    <w:rsid w:val="00A638C6"/>
    <w:rsid w:val="00A639CE"/>
    <w:rsid w:val="00A63C27"/>
    <w:rsid w:val="00A648A3"/>
    <w:rsid w:val="00A64A4B"/>
    <w:rsid w:val="00A64A99"/>
    <w:rsid w:val="00A64C86"/>
    <w:rsid w:val="00A64F40"/>
    <w:rsid w:val="00A65151"/>
    <w:rsid w:val="00A651C3"/>
    <w:rsid w:val="00A65368"/>
    <w:rsid w:val="00A653B1"/>
    <w:rsid w:val="00A658B3"/>
    <w:rsid w:val="00A65AD6"/>
    <w:rsid w:val="00A660C1"/>
    <w:rsid w:val="00A66622"/>
    <w:rsid w:val="00A667EB"/>
    <w:rsid w:val="00A66CCA"/>
    <w:rsid w:val="00A66D61"/>
    <w:rsid w:val="00A66DE3"/>
    <w:rsid w:val="00A66E2E"/>
    <w:rsid w:val="00A66F96"/>
    <w:rsid w:val="00A67160"/>
    <w:rsid w:val="00A67B0D"/>
    <w:rsid w:val="00A67B5F"/>
    <w:rsid w:val="00A67C25"/>
    <w:rsid w:val="00A67C68"/>
    <w:rsid w:val="00A67C98"/>
    <w:rsid w:val="00A67CBB"/>
    <w:rsid w:val="00A67E69"/>
    <w:rsid w:val="00A70182"/>
    <w:rsid w:val="00A701DE"/>
    <w:rsid w:val="00A70294"/>
    <w:rsid w:val="00A704E2"/>
    <w:rsid w:val="00A705C2"/>
    <w:rsid w:val="00A707D3"/>
    <w:rsid w:val="00A70A26"/>
    <w:rsid w:val="00A710FE"/>
    <w:rsid w:val="00A7119D"/>
    <w:rsid w:val="00A712B8"/>
    <w:rsid w:val="00A715A0"/>
    <w:rsid w:val="00A715A7"/>
    <w:rsid w:val="00A71662"/>
    <w:rsid w:val="00A716CE"/>
    <w:rsid w:val="00A71D15"/>
    <w:rsid w:val="00A72001"/>
    <w:rsid w:val="00A7200E"/>
    <w:rsid w:val="00A7234C"/>
    <w:rsid w:val="00A723B1"/>
    <w:rsid w:val="00A72421"/>
    <w:rsid w:val="00A72505"/>
    <w:rsid w:val="00A72555"/>
    <w:rsid w:val="00A726DE"/>
    <w:rsid w:val="00A727CC"/>
    <w:rsid w:val="00A727D9"/>
    <w:rsid w:val="00A72942"/>
    <w:rsid w:val="00A729F1"/>
    <w:rsid w:val="00A72B77"/>
    <w:rsid w:val="00A72D1D"/>
    <w:rsid w:val="00A72E01"/>
    <w:rsid w:val="00A72F40"/>
    <w:rsid w:val="00A73363"/>
    <w:rsid w:val="00A735AB"/>
    <w:rsid w:val="00A73898"/>
    <w:rsid w:val="00A73984"/>
    <w:rsid w:val="00A73C31"/>
    <w:rsid w:val="00A73CB4"/>
    <w:rsid w:val="00A742E1"/>
    <w:rsid w:val="00A74880"/>
    <w:rsid w:val="00A74983"/>
    <w:rsid w:val="00A74A3B"/>
    <w:rsid w:val="00A74B08"/>
    <w:rsid w:val="00A74B98"/>
    <w:rsid w:val="00A74C59"/>
    <w:rsid w:val="00A74D61"/>
    <w:rsid w:val="00A750BE"/>
    <w:rsid w:val="00A752BB"/>
    <w:rsid w:val="00A7531E"/>
    <w:rsid w:val="00A75330"/>
    <w:rsid w:val="00A7542F"/>
    <w:rsid w:val="00A7563D"/>
    <w:rsid w:val="00A7575B"/>
    <w:rsid w:val="00A75902"/>
    <w:rsid w:val="00A75A28"/>
    <w:rsid w:val="00A75C59"/>
    <w:rsid w:val="00A762E4"/>
    <w:rsid w:val="00A764DA"/>
    <w:rsid w:val="00A7664B"/>
    <w:rsid w:val="00A767E8"/>
    <w:rsid w:val="00A76918"/>
    <w:rsid w:val="00A769AF"/>
    <w:rsid w:val="00A769DA"/>
    <w:rsid w:val="00A769DE"/>
    <w:rsid w:val="00A76A9A"/>
    <w:rsid w:val="00A76DBF"/>
    <w:rsid w:val="00A76E08"/>
    <w:rsid w:val="00A76F20"/>
    <w:rsid w:val="00A771BC"/>
    <w:rsid w:val="00A7746D"/>
    <w:rsid w:val="00A776EF"/>
    <w:rsid w:val="00A777F8"/>
    <w:rsid w:val="00A77941"/>
    <w:rsid w:val="00A77965"/>
    <w:rsid w:val="00A77C7F"/>
    <w:rsid w:val="00A77CE8"/>
    <w:rsid w:val="00A77D19"/>
    <w:rsid w:val="00A77D9E"/>
    <w:rsid w:val="00A80098"/>
    <w:rsid w:val="00A800C9"/>
    <w:rsid w:val="00A801F3"/>
    <w:rsid w:val="00A80687"/>
    <w:rsid w:val="00A80703"/>
    <w:rsid w:val="00A8081F"/>
    <w:rsid w:val="00A80A63"/>
    <w:rsid w:val="00A80AE4"/>
    <w:rsid w:val="00A80BC7"/>
    <w:rsid w:val="00A80CF6"/>
    <w:rsid w:val="00A80EAF"/>
    <w:rsid w:val="00A80EBC"/>
    <w:rsid w:val="00A810B3"/>
    <w:rsid w:val="00A811A1"/>
    <w:rsid w:val="00A81366"/>
    <w:rsid w:val="00A81426"/>
    <w:rsid w:val="00A81509"/>
    <w:rsid w:val="00A815CF"/>
    <w:rsid w:val="00A81658"/>
    <w:rsid w:val="00A816EC"/>
    <w:rsid w:val="00A81787"/>
    <w:rsid w:val="00A81876"/>
    <w:rsid w:val="00A81ABD"/>
    <w:rsid w:val="00A81F3A"/>
    <w:rsid w:val="00A820B3"/>
    <w:rsid w:val="00A8218E"/>
    <w:rsid w:val="00A82286"/>
    <w:rsid w:val="00A82352"/>
    <w:rsid w:val="00A82581"/>
    <w:rsid w:val="00A825E1"/>
    <w:rsid w:val="00A8269F"/>
    <w:rsid w:val="00A828F8"/>
    <w:rsid w:val="00A82B9A"/>
    <w:rsid w:val="00A82E52"/>
    <w:rsid w:val="00A831C3"/>
    <w:rsid w:val="00A832A1"/>
    <w:rsid w:val="00A8379E"/>
    <w:rsid w:val="00A8389F"/>
    <w:rsid w:val="00A83A5B"/>
    <w:rsid w:val="00A83A95"/>
    <w:rsid w:val="00A83AC5"/>
    <w:rsid w:val="00A83C1A"/>
    <w:rsid w:val="00A83C23"/>
    <w:rsid w:val="00A83D55"/>
    <w:rsid w:val="00A83DAD"/>
    <w:rsid w:val="00A83F11"/>
    <w:rsid w:val="00A84444"/>
    <w:rsid w:val="00A84575"/>
    <w:rsid w:val="00A84594"/>
    <w:rsid w:val="00A84703"/>
    <w:rsid w:val="00A84704"/>
    <w:rsid w:val="00A84968"/>
    <w:rsid w:val="00A84B1D"/>
    <w:rsid w:val="00A84E7A"/>
    <w:rsid w:val="00A84ED7"/>
    <w:rsid w:val="00A84FAD"/>
    <w:rsid w:val="00A84FC0"/>
    <w:rsid w:val="00A852BD"/>
    <w:rsid w:val="00A852DA"/>
    <w:rsid w:val="00A852EC"/>
    <w:rsid w:val="00A85564"/>
    <w:rsid w:val="00A85583"/>
    <w:rsid w:val="00A8590D"/>
    <w:rsid w:val="00A85D90"/>
    <w:rsid w:val="00A85F33"/>
    <w:rsid w:val="00A8636D"/>
    <w:rsid w:val="00A86439"/>
    <w:rsid w:val="00A86450"/>
    <w:rsid w:val="00A86490"/>
    <w:rsid w:val="00A864EE"/>
    <w:rsid w:val="00A86C1B"/>
    <w:rsid w:val="00A86C87"/>
    <w:rsid w:val="00A86D7A"/>
    <w:rsid w:val="00A86E92"/>
    <w:rsid w:val="00A873F5"/>
    <w:rsid w:val="00A87581"/>
    <w:rsid w:val="00A87979"/>
    <w:rsid w:val="00A87B3F"/>
    <w:rsid w:val="00A87D62"/>
    <w:rsid w:val="00A87EC8"/>
    <w:rsid w:val="00A9012B"/>
    <w:rsid w:val="00A903E9"/>
    <w:rsid w:val="00A905C4"/>
    <w:rsid w:val="00A907EA"/>
    <w:rsid w:val="00A90858"/>
    <w:rsid w:val="00A90916"/>
    <w:rsid w:val="00A90919"/>
    <w:rsid w:val="00A909C5"/>
    <w:rsid w:val="00A90C05"/>
    <w:rsid w:val="00A90E50"/>
    <w:rsid w:val="00A910EE"/>
    <w:rsid w:val="00A9110A"/>
    <w:rsid w:val="00A91340"/>
    <w:rsid w:val="00A91526"/>
    <w:rsid w:val="00A9175B"/>
    <w:rsid w:val="00A9193A"/>
    <w:rsid w:val="00A91A95"/>
    <w:rsid w:val="00A91AD4"/>
    <w:rsid w:val="00A91B88"/>
    <w:rsid w:val="00A92723"/>
    <w:rsid w:val="00A92735"/>
    <w:rsid w:val="00A927A2"/>
    <w:rsid w:val="00A92D4B"/>
    <w:rsid w:val="00A92DDB"/>
    <w:rsid w:val="00A92E5A"/>
    <w:rsid w:val="00A930B8"/>
    <w:rsid w:val="00A931CD"/>
    <w:rsid w:val="00A93223"/>
    <w:rsid w:val="00A9362C"/>
    <w:rsid w:val="00A9365C"/>
    <w:rsid w:val="00A9379B"/>
    <w:rsid w:val="00A937E1"/>
    <w:rsid w:val="00A9395C"/>
    <w:rsid w:val="00A93AB9"/>
    <w:rsid w:val="00A93BB9"/>
    <w:rsid w:val="00A93ED0"/>
    <w:rsid w:val="00A93FB2"/>
    <w:rsid w:val="00A94332"/>
    <w:rsid w:val="00A94365"/>
    <w:rsid w:val="00A94445"/>
    <w:rsid w:val="00A94896"/>
    <w:rsid w:val="00A94B13"/>
    <w:rsid w:val="00A94BCD"/>
    <w:rsid w:val="00A9516F"/>
    <w:rsid w:val="00A9539B"/>
    <w:rsid w:val="00A95793"/>
    <w:rsid w:val="00A9593F"/>
    <w:rsid w:val="00A95BF9"/>
    <w:rsid w:val="00A95D0C"/>
    <w:rsid w:val="00A95D12"/>
    <w:rsid w:val="00A963EF"/>
    <w:rsid w:val="00A96428"/>
    <w:rsid w:val="00A9643E"/>
    <w:rsid w:val="00A96912"/>
    <w:rsid w:val="00A969CB"/>
    <w:rsid w:val="00A96BA9"/>
    <w:rsid w:val="00A96C68"/>
    <w:rsid w:val="00A96F2E"/>
    <w:rsid w:val="00A96F85"/>
    <w:rsid w:val="00A9700B"/>
    <w:rsid w:val="00A9714F"/>
    <w:rsid w:val="00A971EC"/>
    <w:rsid w:val="00A9731B"/>
    <w:rsid w:val="00A97549"/>
    <w:rsid w:val="00A9758D"/>
    <w:rsid w:val="00A979CA"/>
    <w:rsid w:val="00A97CFF"/>
    <w:rsid w:val="00A97EDC"/>
    <w:rsid w:val="00AA05C7"/>
    <w:rsid w:val="00AA079A"/>
    <w:rsid w:val="00AA0B84"/>
    <w:rsid w:val="00AA0DCB"/>
    <w:rsid w:val="00AA0FB7"/>
    <w:rsid w:val="00AA11B8"/>
    <w:rsid w:val="00AA1324"/>
    <w:rsid w:val="00AA141A"/>
    <w:rsid w:val="00AA198B"/>
    <w:rsid w:val="00AA1B44"/>
    <w:rsid w:val="00AA1BA3"/>
    <w:rsid w:val="00AA1BFF"/>
    <w:rsid w:val="00AA1CE2"/>
    <w:rsid w:val="00AA1F36"/>
    <w:rsid w:val="00AA2058"/>
    <w:rsid w:val="00AA21C4"/>
    <w:rsid w:val="00AA220E"/>
    <w:rsid w:val="00AA23FB"/>
    <w:rsid w:val="00AA2944"/>
    <w:rsid w:val="00AA295D"/>
    <w:rsid w:val="00AA29FB"/>
    <w:rsid w:val="00AA2A47"/>
    <w:rsid w:val="00AA2B4E"/>
    <w:rsid w:val="00AA2C89"/>
    <w:rsid w:val="00AA2D6D"/>
    <w:rsid w:val="00AA2FDE"/>
    <w:rsid w:val="00AA3593"/>
    <w:rsid w:val="00AA35A3"/>
    <w:rsid w:val="00AA36F2"/>
    <w:rsid w:val="00AA37B3"/>
    <w:rsid w:val="00AA37E2"/>
    <w:rsid w:val="00AA3884"/>
    <w:rsid w:val="00AA3997"/>
    <w:rsid w:val="00AA3A8F"/>
    <w:rsid w:val="00AA3D57"/>
    <w:rsid w:val="00AA3F0D"/>
    <w:rsid w:val="00AA3F1C"/>
    <w:rsid w:val="00AA41EA"/>
    <w:rsid w:val="00AA421B"/>
    <w:rsid w:val="00AA4545"/>
    <w:rsid w:val="00AA45DA"/>
    <w:rsid w:val="00AA469D"/>
    <w:rsid w:val="00AA47D2"/>
    <w:rsid w:val="00AA4901"/>
    <w:rsid w:val="00AA4C1B"/>
    <w:rsid w:val="00AA4D40"/>
    <w:rsid w:val="00AA4D76"/>
    <w:rsid w:val="00AA5377"/>
    <w:rsid w:val="00AA59D1"/>
    <w:rsid w:val="00AA5BAF"/>
    <w:rsid w:val="00AA5FCF"/>
    <w:rsid w:val="00AA6107"/>
    <w:rsid w:val="00AA61C1"/>
    <w:rsid w:val="00AA63CD"/>
    <w:rsid w:val="00AA6461"/>
    <w:rsid w:val="00AA6695"/>
    <w:rsid w:val="00AA6907"/>
    <w:rsid w:val="00AA6B23"/>
    <w:rsid w:val="00AA6C19"/>
    <w:rsid w:val="00AA6EA3"/>
    <w:rsid w:val="00AA7628"/>
    <w:rsid w:val="00AA7CF2"/>
    <w:rsid w:val="00AA7F2F"/>
    <w:rsid w:val="00AB0790"/>
    <w:rsid w:val="00AB09A9"/>
    <w:rsid w:val="00AB09EA"/>
    <w:rsid w:val="00AB0BE7"/>
    <w:rsid w:val="00AB0CA0"/>
    <w:rsid w:val="00AB0EDB"/>
    <w:rsid w:val="00AB1073"/>
    <w:rsid w:val="00AB10C2"/>
    <w:rsid w:val="00AB122B"/>
    <w:rsid w:val="00AB12C2"/>
    <w:rsid w:val="00AB13D6"/>
    <w:rsid w:val="00AB15B4"/>
    <w:rsid w:val="00AB16A3"/>
    <w:rsid w:val="00AB17C3"/>
    <w:rsid w:val="00AB180A"/>
    <w:rsid w:val="00AB18DF"/>
    <w:rsid w:val="00AB1961"/>
    <w:rsid w:val="00AB1ADF"/>
    <w:rsid w:val="00AB1AFD"/>
    <w:rsid w:val="00AB1E74"/>
    <w:rsid w:val="00AB226F"/>
    <w:rsid w:val="00AB22CA"/>
    <w:rsid w:val="00AB22F0"/>
    <w:rsid w:val="00AB2404"/>
    <w:rsid w:val="00AB2493"/>
    <w:rsid w:val="00AB2724"/>
    <w:rsid w:val="00AB291A"/>
    <w:rsid w:val="00AB291F"/>
    <w:rsid w:val="00AB2A33"/>
    <w:rsid w:val="00AB2A7D"/>
    <w:rsid w:val="00AB2D2A"/>
    <w:rsid w:val="00AB2E7C"/>
    <w:rsid w:val="00AB2F25"/>
    <w:rsid w:val="00AB2FA6"/>
    <w:rsid w:val="00AB31B4"/>
    <w:rsid w:val="00AB31D7"/>
    <w:rsid w:val="00AB33DC"/>
    <w:rsid w:val="00AB33EA"/>
    <w:rsid w:val="00AB3478"/>
    <w:rsid w:val="00AB34D8"/>
    <w:rsid w:val="00AB35FA"/>
    <w:rsid w:val="00AB374E"/>
    <w:rsid w:val="00AB37F3"/>
    <w:rsid w:val="00AB380A"/>
    <w:rsid w:val="00AB3927"/>
    <w:rsid w:val="00AB3E94"/>
    <w:rsid w:val="00AB40F7"/>
    <w:rsid w:val="00AB4124"/>
    <w:rsid w:val="00AB416E"/>
    <w:rsid w:val="00AB4250"/>
    <w:rsid w:val="00AB42F4"/>
    <w:rsid w:val="00AB44BA"/>
    <w:rsid w:val="00AB464A"/>
    <w:rsid w:val="00AB467E"/>
    <w:rsid w:val="00AB4739"/>
    <w:rsid w:val="00AB497A"/>
    <w:rsid w:val="00AB4A36"/>
    <w:rsid w:val="00AB4D5F"/>
    <w:rsid w:val="00AB50B6"/>
    <w:rsid w:val="00AB51E8"/>
    <w:rsid w:val="00AB576D"/>
    <w:rsid w:val="00AB65A4"/>
    <w:rsid w:val="00AB6873"/>
    <w:rsid w:val="00AB6D54"/>
    <w:rsid w:val="00AB6F56"/>
    <w:rsid w:val="00AB75EB"/>
    <w:rsid w:val="00AB7603"/>
    <w:rsid w:val="00AB78BE"/>
    <w:rsid w:val="00AB7B8E"/>
    <w:rsid w:val="00AB7BB6"/>
    <w:rsid w:val="00AB7DD3"/>
    <w:rsid w:val="00AB7EC6"/>
    <w:rsid w:val="00AB7EE5"/>
    <w:rsid w:val="00AC01AC"/>
    <w:rsid w:val="00AC02A1"/>
    <w:rsid w:val="00AC031E"/>
    <w:rsid w:val="00AC0480"/>
    <w:rsid w:val="00AC068D"/>
    <w:rsid w:val="00AC0716"/>
    <w:rsid w:val="00AC0C95"/>
    <w:rsid w:val="00AC0D5F"/>
    <w:rsid w:val="00AC0DF8"/>
    <w:rsid w:val="00AC10B0"/>
    <w:rsid w:val="00AC1296"/>
    <w:rsid w:val="00AC137C"/>
    <w:rsid w:val="00AC1407"/>
    <w:rsid w:val="00AC15A2"/>
    <w:rsid w:val="00AC168F"/>
    <w:rsid w:val="00AC18FC"/>
    <w:rsid w:val="00AC1A92"/>
    <w:rsid w:val="00AC1ACC"/>
    <w:rsid w:val="00AC1B00"/>
    <w:rsid w:val="00AC1B8C"/>
    <w:rsid w:val="00AC1E42"/>
    <w:rsid w:val="00AC20DD"/>
    <w:rsid w:val="00AC2214"/>
    <w:rsid w:val="00AC2333"/>
    <w:rsid w:val="00AC23D1"/>
    <w:rsid w:val="00AC24E8"/>
    <w:rsid w:val="00AC252B"/>
    <w:rsid w:val="00AC2702"/>
    <w:rsid w:val="00AC27CA"/>
    <w:rsid w:val="00AC28B9"/>
    <w:rsid w:val="00AC29A0"/>
    <w:rsid w:val="00AC2D43"/>
    <w:rsid w:val="00AC3113"/>
    <w:rsid w:val="00AC32E1"/>
    <w:rsid w:val="00AC335B"/>
    <w:rsid w:val="00AC3382"/>
    <w:rsid w:val="00AC33EF"/>
    <w:rsid w:val="00AC34A2"/>
    <w:rsid w:val="00AC351D"/>
    <w:rsid w:val="00AC3558"/>
    <w:rsid w:val="00AC3567"/>
    <w:rsid w:val="00AC3A53"/>
    <w:rsid w:val="00AC3A89"/>
    <w:rsid w:val="00AC41A3"/>
    <w:rsid w:val="00AC4214"/>
    <w:rsid w:val="00AC43F0"/>
    <w:rsid w:val="00AC4422"/>
    <w:rsid w:val="00AC483A"/>
    <w:rsid w:val="00AC4BA6"/>
    <w:rsid w:val="00AC4BFC"/>
    <w:rsid w:val="00AC4C1D"/>
    <w:rsid w:val="00AC4D16"/>
    <w:rsid w:val="00AC4EE6"/>
    <w:rsid w:val="00AC4F63"/>
    <w:rsid w:val="00AC5182"/>
    <w:rsid w:val="00AC539E"/>
    <w:rsid w:val="00AC54ED"/>
    <w:rsid w:val="00AC54F7"/>
    <w:rsid w:val="00AC5704"/>
    <w:rsid w:val="00AC5751"/>
    <w:rsid w:val="00AC5929"/>
    <w:rsid w:val="00AC5D5D"/>
    <w:rsid w:val="00AC612A"/>
    <w:rsid w:val="00AC6141"/>
    <w:rsid w:val="00AC63B2"/>
    <w:rsid w:val="00AC6447"/>
    <w:rsid w:val="00AC6516"/>
    <w:rsid w:val="00AC6CAE"/>
    <w:rsid w:val="00AC6D49"/>
    <w:rsid w:val="00AC7011"/>
    <w:rsid w:val="00AC7582"/>
    <w:rsid w:val="00AC75E5"/>
    <w:rsid w:val="00AC7706"/>
    <w:rsid w:val="00AC7754"/>
    <w:rsid w:val="00AC77D8"/>
    <w:rsid w:val="00AC7852"/>
    <w:rsid w:val="00AC7AC9"/>
    <w:rsid w:val="00AC7BEF"/>
    <w:rsid w:val="00AC7BF6"/>
    <w:rsid w:val="00AC7CC1"/>
    <w:rsid w:val="00AD0E0A"/>
    <w:rsid w:val="00AD0E75"/>
    <w:rsid w:val="00AD10D5"/>
    <w:rsid w:val="00AD13F2"/>
    <w:rsid w:val="00AD173C"/>
    <w:rsid w:val="00AD1825"/>
    <w:rsid w:val="00AD18F9"/>
    <w:rsid w:val="00AD1D33"/>
    <w:rsid w:val="00AD2171"/>
    <w:rsid w:val="00AD22FC"/>
    <w:rsid w:val="00AD2334"/>
    <w:rsid w:val="00AD2669"/>
    <w:rsid w:val="00AD277B"/>
    <w:rsid w:val="00AD281D"/>
    <w:rsid w:val="00AD291D"/>
    <w:rsid w:val="00AD2962"/>
    <w:rsid w:val="00AD29AC"/>
    <w:rsid w:val="00AD2B01"/>
    <w:rsid w:val="00AD2C28"/>
    <w:rsid w:val="00AD2C56"/>
    <w:rsid w:val="00AD2CAF"/>
    <w:rsid w:val="00AD2F3B"/>
    <w:rsid w:val="00AD2F50"/>
    <w:rsid w:val="00AD31C7"/>
    <w:rsid w:val="00AD3224"/>
    <w:rsid w:val="00AD3692"/>
    <w:rsid w:val="00AD372C"/>
    <w:rsid w:val="00AD3758"/>
    <w:rsid w:val="00AD38E6"/>
    <w:rsid w:val="00AD3D8D"/>
    <w:rsid w:val="00AD3FAE"/>
    <w:rsid w:val="00AD4431"/>
    <w:rsid w:val="00AD450D"/>
    <w:rsid w:val="00AD4565"/>
    <w:rsid w:val="00AD4958"/>
    <w:rsid w:val="00AD4C24"/>
    <w:rsid w:val="00AD4D00"/>
    <w:rsid w:val="00AD4E2A"/>
    <w:rsid w:val="00AD4FDB"/>
    <w:rsid w:val="00AD5626"/>
    <w:rsid w:val="00AD5807"/>
    <w:rsid w:val="00AD584A"/>
    <w:rsid w:val="00AD5DF2"/>
    <w:rsid w:val="00AD5EFF"/>
    <w:rsid w:val="00AD608D"/>
    <w:rsid w:val="00AD60CC"/>
    <w:rsid w:val="00AD62FA"/>
    <w:rsid w:val="00AD656D"/>
    <w:rsid w:val="00AD663B"/>
    <w:rsid w:val="00AD666B"/>
    <w:rsid w:val="00AD6949"/>
    <w:rsid w:val="00AD6AA2"/>
    <w:rsid w:val="00AD6D4C"/>
    <w:rsid w:val="00AD6ED9"/>
    <w:rsid w:val="00AD73F7"/>
    <w:rsid w:val="00AD755E"/>
    <w:rsid w:val="00AD763A"/>
    <w:rsid w:val="00AD76DC"/>
    <w:rsid w:val="00AD7A5E"/>
    <w:rsid w:val="00AD7D7F"/>
    <w:rsid w:val="00AD7DBA"/>
    <w:rsid w:val="00AD7EDA"/>
    <w:rsid w:val="00AE000B"/>
    <w:rsid w:val="00AE039A"/>
    <w:rsid w:val="00AE044E"/>
    <w:rsid w:val="00AE0469"/>
    <w:rsid w:val="00AE0649"/>
    <w:rsid w:val="00AE0740"/>
    <w:rsid w:val="00AE09A8"/>
    <w:rsid w:val="00AE0B20"/>
    <w:rsid w:val="00AE0B5C"/>
    <w:rsid w:val="00AE0D41"/>
    <w:rsid w:val="00AE0FC3"/>
    <w:rsid w:val="00AE10DD"/>
    <w:rsid w:val="00AE112F"/>
    <w:rsid w:val="00AE12AB"/>
    <w:rsid w:val="00AE1618"/>
    <w:rsid w:val="00AE1822"/>
    <w:rsid w:val="00AE1887"/>
    <w:rsid w:val="00AE18C9"/>
    <w:rsid w:val="00AE18EF"/>
    <w:rsid w:val="00AE1B3B"/>
    <w:rsid w:val="00AE1D2E"/>
    <w:rsid w:val="00AE1DB1"/>
    <w:rsid w:val="00AE20B5"/>
    <w:rsid w:val="00AE21DD"/>
    <w:rsid w:val="00AE21FC"/>
    <w:rsid w:val="00AE22C1"/>
    <w:rsid w:val="00AE2868"/>
    <w:rsid w:val="00AE28EC"/>
    <w:rsid w:val="00AE2A93"/>
    <w:rsid w:val="00AE2AC9"/>
    <w:rsid w:val="00AE2AFD"/>
    <w:rsid w:val="00AE2BBC"/>
    <w:rsid w:val="00AE2E22"/>
    <w:rsid w:val="00AE3366"/>
    <w:rsid w:val="00AE360A"/>
    <w:rsid w:val="00AE3656"/>
    <w:rsid w:val="00AE3C6D"/>
    <w:rsid w:val="00AE3D12"/>
    <w:rsid w:val="00AE3D7B"/>
    <w:rsid w:val="00AE3F46"/>
    <w:rsid w:val="00AE4033"/>
    <w:rsid w:val="00AE43CC"/>
    <w:rsid w:val="00AE480A"/>
    <w:rsid w:val="00AE4A3B"/>
    <w:rsid w:val="00AE4BA5"/>
    <w:rsid w:val="00AE4CD1"/>
    <w:rsid w:val="00AE4D32"/>
    <w:rsid w:val="00AE4E06"/>
    <w:rsid w:val="00AE4FA2"/>
    <w:rsid w:val="00AE4FA6"/>
    <w:rsid w:val="00AE50F2"/>
    <w:rsid w:val="00AE5111"/>
    <w:rsid w:val="00AE516B"/>
    <w:rsid w:val="00AE565E"/>
    <w:rsid w:val="00AE5877"/>
    <w:rsid w:val="00AE5DEF"/>
    <w:rsid w:val="00AE5E5C"/>
    <w:rsid w:val="00AE5F94"/>
    <w:rsid w:val="00AE5FD6"/>
    <w:rsid w:val="00AE6008"/>
    <w:rsid w:val="00AE6427"/>
    <w:rsid w:val="00AE6A0C"/>
    <w:rsid w:val="00AE6BC0"/>
    <w:rsid w:val="00AE6FED"/>
    <w:rsid w:val="00AE704E"/>
    <w:rsid w:val="00AE7298"/>
    <w:rsid w:val="00AE72BA"/>
    <w:rsid w:val="00AE746A"/>
    <w:rsid w:val="00AE755F"/>
    <w:rsid w:val="00AE7B4D"/>
    <w:rsid w:val="00AE7BD2"/>
    <w:rsid w:val="00AE7BE0"/>
    <w:rsid w:val="00AE7D6D"/>
    <w:rsid w:val="00AE7E0B"/>
    <w:rsid w:val="00AE7E5A"/>
    <w:rsid w:val="00AF009D"/>
    <w:rsid w:val="00AF01C3"/>
    <w:rsid w:val="00AF01F0"/>
    <w:rsid w:val="00AF047D"/>
    <w:rsid w:val="00AF04D9"/>
    <w:rsid w:val="00AF053E"/>
    <w:rsid w:val="00AF078D"/>
    <w:rsid w:val="00AF0791"/>
    <w:rsid w:val="00AF0A17"/>
    <w:rsid w:val="00AF0A19"/>
    <w:rsid w:val="00AF0AF7"/>
    <w:rsid w:val="00AF0C34"/>
    <w:rsid w:val="00AF0CF6"/>
    <w:rsid w:val="00AF0D1B"/>
    <w:rsid w:val="00AF0E3F"/>
    <w:rsid w:val="00AF0ECD"/>
    <w:rsid w:val="00AF12B5"/>
    <w:rsid w:val="00AF1403"/>
    <w:rsid w:val="00AF14FD"/>
    <w:rsid w:val="00AF15F0"/>
    <w:rsid w:val="00AF17A9"/>
    <w:rsid w:val="00AF1810"/>
    <w:rsid w:val="00AF1976"/>
    <w:rsid w:val="00AF1BC3"/>
    <w:rsid w:val="00AF1D13"/>
    <w:rsid w:val="00AF1DA2"/>
    <w:rsid w:val="00AF1DAB"/>
    <w:rsid w:val="00AF1E9A"/>
    <w:rsid w:val="00AF1FED"/>
    <w:rsid w:val="00AF213E"/>
    <w:rsid w:val="00AF2167"/>
    <w:rsid w:val="00AF21B7"/>
    <w:rsid w:val="00AF2571"/>
    <w:rsid w:val="00AF25F3"/>
    <w:rsid w:val="00AF260F"/>
    <w:rsid w:val="00AF292F"/>
    <w:rsid w:val="00AF29F1"/>
    <w:rsid w:val="00AF2CA5"/>
    <w:rsid w:val="00AF2CDE"/>
    <w:rsid w:val="00AF2DAA"/>
    <w:rsid w:val="00AF3034"/>
    <w:rsid w:val="00AF3292"/>
    <w:rsid w:val="00AF33D4"/>
    <w:rsid w:val="00AF3534"/>
    <w:rsid w:val="00AF373B"/>
    <w:rsid w:val="00AF39AB"/>
    <w:rsid w:val="00AF39BF"/>
    <w:rsid w:val="00AF39E9"/>
    <w:rsid w:val="00AF3AAC"/>
    <w:rsid w:val="00AF41E4"/>
    <w:rsid w:val="00AF4353"/>
    <w:rsid w:val="00AF4371"/>
    <w:rsid w:val="00AF446A"/>
    <w:rsid w:val="00AF4600"/>
    <w:rsid w:val="00AF466B"/>
    <w:rsid w:val="00AF4C5F"/>
    <w:rsid w:val="00AF4D25"/>
    <w:rsid w:val="00AF4E5E"/>
    <w:rsid w:val="00AF4FBA"/>
    <w:rsid w:val="00AF509B"/>
    <w:rsid w:val="00AF51F3"/>
    <w:rsid w:val="00AF53D3"/>
    <w:rsid w:val="00AF549A"/>
    <w:rsid w:val="00AF570D"/>
    <w:rsid w:val="00AF5806"/>
    <w:rsid w:val="00AF59C8"/>
    <w:rsid w:val="00AF5D07"/>
    <w:rsid w:val="00AF5DD0"/>
    <w:rsid w:val="00AF5E87"/>
    <w:rsid w:val="00AF60DC"/>
    <w:rsid w:val="00AF638F"/>
    <w:rsid w:val="00AF6431"/>
    <w:rsid w:val="00AF678C"/>
    <w:rsid w:val="00AF67DB"/>
    <w:rsid w:val="00AF67DE"/>
    <w:rsid w:val="00AF6967"/>
    <w:rsid w:val="00AF6BD6"/>
    <w:rsid w:val="00AF6F88"/>
    <w:rsid w:val="00AF748E"/>
    <w:rsid w:val="00AF7537"/>
    <w:rsid w:val="00AF7583"/>
    <w:rsid w:val="00AF7586"/>
    <w:rsid w:val="00AF787A"/>
    <w:rsid w:val="00AF79BF"/>
    <w:rsid w:val="00AF7C64"/>
    <w:rsid w:val="00AF7CA4"/>
    <w:rsid w:val="00AF7CB2"/>
    <w:rsid w:val="00AF7DA9"/>
    <w:rsid w:val="00AF7DC2"/>
    <w:rsid w:val="00B0019A"/>
    <w:rsid w:val="00B0044D"/>
    <w:rsid w:val="00B005D2"/>
    <w:rsid w:val="00B007BB"/>
    <w:rsid w:val="00B0088D"/>
    <w:rsid w:val="00B0097F"/>
    <w:rsid w:val="00B00A72"/>
    <w:rsid w:val="00B00AFF"/>
    <w:rsid w:val="00B00E88"/>
    <w:rsid w:val="00B00E95"/>
    <w:rsid w:val="00B00EBB"/>
    <w:rsid w:val="00B010BC"/>
    <w:rsid w:val="00B0123A"/>
    <w:rsid w:val="00B01533"/>
    <w:rsid w:val="00B015A8"/>
    <w:rsid w:val="00B019B0"/>
    <w:rsid w:val="00B01A88"/>
    <w:rsid w:val="00B01AFB"/>
    <w:rsid w:val="00B02070"/>
    <w:rsid w:val="00B021D9"/>
    <w:rsid w:val="00B025A7"/>
    <w:rsid w:val="00B02764"/>
    <w:rsid w:val="00B02F74"/>
    <w:rsid w:val="00B03255"/>
    <w:rsid w:val="00B033EF"/>
    <w:rsid w:val="00B0341B"/>
    <w:rsid w:val="00B036BC"/>
    <w:rsid w:val="00B03764"/>
    <w:rsid w:val="00B03A3E"/>
    <w:rsid w:val="00B03B2B"/>
    <w:rsid w:val="00B03B33"/>
    <w:rsid w:val="00B03E31"/>
    <w:rsid w:val="00B03F49"/>
    <w:rsid w:val="00B04092"/>
    <w:rsid w:val="00B0418F"/>
    <w:rsid w:val="00B0442A"/>
    <w:rsid w:val="00B04603"/>
    <w:rsid w:val="00B04624"/>
    <w:rsid w:val="00B046DD"/>
    <w:rsid w:val="00B04891"/>
    <w:rsid w:val="00B048F5"/>
    <w:rsid w:val="00B04A54"/>
    <w:rsid w:val="00B05236"/>
    <w:rsid w:val="00B052B6"/>
    <w:rsid w:val="00B0530B"/>
    <w:rsid w:val="00B053C4"/>
    <w:rsid w:val="00B053E8"/>
    <w:rsid w:val="00B05573"/>
    <w:rsid w:val="00B05632"/>
    <w:rsid w:val="00B056C9"/>
    <w:rsid w:val="00B057C0"/>
    <w:rsid w:val="00B058AD"/>
    <w:rsid w:val="00B058CC"/>
    <w:rsid w:val="00B05A5E"/>
    <w:rsid w:val="00B05EA0"/>
    <w:rsid w:val="00B05F71"/>
    <w:rsid w:val="00B05FEF"/>
    <w:rsid w:val="00B0601D"/>
    <w:rsid w:val="00B0606B"/>
    <w:rsid w:val="00B06145"/>
    <w:rsid w:val="00B062CD"/>
    <w:rsid w:val="00B06361"/>
    <w:rsid w:val="00B06472"/>
    <w:rsid w:val="00B0673F"/>
    <w:rsid w:val="00B06742"/>
    <w:rsid w:val="00B06B19"/>
    <w:rsid w:val="00B06ED8"/>
    <w:rsid w:val="00B06F32"/>
    <w:rsid w:val="00B06F36"/>
    <w:rsid w:val="00B07032"/>
    <w:rsid w:val="00B0709F"/>
    <w:rsid w:val="00B0714E"/>
    <w:rsid w:val="00B07165"/>
    <w:rsid w:val="00B076E5"/>
    <w:rsid w:val="00B07828"/>
    <w:rsid w:val="00B07A16"/>
    <w:rsid w:val="00B07AA8"/>
    <w:rsid w:val="00B07D24"/>
    <w:rsid w:val="00B07FAF"/>
    <w:rsid w:val="00B10176"/>
    <w:rsid w:val="00B104F2"/>
    <w:rsid w:val="00B1097B"/>
    <w:rsid w:val="00B109D0"/>
    <w:rsid w:val="00B10B90"/>
    <w:rsid w:val="00B10D2A"/>
    <w:rsid w:val="00B10D43"/>
    <w:rsid w:val="00B11003"/>
    <w:rsid w:val="00B11153"/>
    <w:rsid w:val="00B116A4"/>
    <w:rsid w:val="00B11864"/>
    <w:rsid w:val="00B11B0A"/>
    <w:rsid w:val="00B11C25"/>
    <w:rsid w:val="00B11C34"/>
    <w:rsid w:val="00B120C4"/>
    <w:rsid w:val="00B120F8"/>
    <w:rsid w:val="00B12394"/>
    <w:rsid w:val="00B127DA"/>
    <w:rsid w:val="00B12DBD"/>
    <w:rsid w:val="00B1330A"/>
    <w:rsid w:val="00B1331F"/>
    <w:rsid w:val="00B1347C"/>
    <w:rsid w:val="00B13805"/>
    <w:rsid w:val="00B1396F"/>
    <w:rsid w:val="00B13978"/>
    <w:rsid w:val="00B1397E"/>
    <w:rsid w:val="00B13986"/>
    <w:rsid w:val="00B13B8B"/>
    <w:rsid w:val="00B13E55"/>
    <w:rsid w:val="00B14144"/>
    <w:rsid w:val="00B143D7"/>
    <w:rsid w:val="00B143E9"/>
    <w:rsid w:val="00B149C8"/>
    <w:rsid w:val="00B149EF"/>
    <w:rsid w:val="00B14CC3"/>
    <w:rsid w:val="00B14D71"/>
    <w:rsid w:val="00B15430"/>
    <w:rsid w:val="00B15664"/>
    <w:rsid w:val="00B156C7"/>
    <w:rsid w:val="00B15719"/>
    <w:rsid w:val="00B15A6E"/>
    <w:rsid w:val="00B15F0B"/>
    <w:rsid w:val="00B15FD0"/>
    <w:rsid w:val="00B160A4"/>
    <w:rsid w:val="00B16293"/>
    <w:rsid w:val="00B16295"/>
    <w:rsid w:val="00B162EE"/>
    <w:rsid w:val="00B1652F"/>
    <w:rsid w:val="00B167E3"/>
    <w:rsid w:val="00B16C8B"/>
    <w:rsid w:val="00B16D88"/>
    <w:rsid w:val="00B16E07"/>
    <w:rsid w:val="00B17192"/>
    <w:rsid w:val="00B172DD"/>
    <w:rsid w:val="00B173AC"/>
    <w:rsid w:val="00B17446"/>
    <w:rsid w:val="00B174E4"/>
    <w:rsid w:val="00B176DE"/>
    <w:rsid w:val="00B176EC"/>
    <w:rsid w:val="00B17D9B"/>
    <w:rsid w:val="00B17FB0"/>
    <w:rsid w:val="00B200B0"/>
    <w:rsid w:val="00B201F4"/>
    <w:rsid w:val="00B2023C"/>
    <w:rsid w:val="00B202BD"/>
    <w:rsid w:val="00B20494"/>
    <w:rsid w:val="00B20766"/>
    <w:rsid w:val="00B20C74"/>
    <w:rsid w:val="00B20DC1"/>
    <w:rsid w:val="00B211C4"/>
    <w:rsid w:val="00B211E6"/>
    <w:rsid w:val="00B213C7"/>
    <w:rsid w:val="00B214D9"/>
    <w:rsid w:val="00B2178F"/>
    <w:rsid w:val="00B218DF"/>
    <w:rsid w:val="00B21A70"/>
    <w:rsid w:val="00B21A98"/>
    <w:rsid w:val="00B21E47"/>
    <w:rsid w:val="00B21E98"/>
    <w:rsid w:val="00B222D2"/>
    <w:rsid w:val="00B2257F"/>
    <w:rsid w:val="00B22754"/>
    <w:rsid w:val="00B22B10"/>
    <w:rsid w:val="00B22B4E"/>
    <w:rsid w:val="00B22C0E"/>
    <w:rsid w:val="00B22C11"/>
    <w:rsid w:val="00B22D3F"/>
    <w:rsid w:val="00B22DA3"/>
    <w:rsid w:val="00B23096"/>
    <w:rsid w:val="00B23471"/>
    <w:rsid w:val="00B2378A"/>
    <w:rsid w:val="00B23848"/>
    <w:rsid w:val="00B23901"/>
    <w:rsid w:val="00B24059"/>
    <w:rsid w:val="00B24450"/>
    <w:rsid w:val="00B246CF"/>
    <w:rsid w:val="00B246F6"/>
    <w:rsid w:val="00B24712"/>
    <w:rsid w:val="00B247D1"/>
    <w:rsid w:val="00B24A48"/>
    <w:rsid w:val="00B24F36"/>
    <w:rsid w:val="00B24FD1"/>
    <w:rsid w:val="00B251F9"/>
    <w:rsid w:val="00B25615"/>
    <w:rsid w:val="00B257C5"/>
    <w:rsid w:val="00B2594A"/>
    <w:rsid w:val="00B25A30"/>
    <w:rsid w:val="00B25ADD"/>
    <w:rsid w:val="00B25BBF"/>
    <w:rsid w:val="00B25C10"/>
    <w:rsid w:val="00B2610D"/>
    <w:rsid w:val="00B2618B"/>
    <w:rsid w:val="00B2667E"/>
    <w:rsid w:val="00B2675A"/>
    <w:rsid w:val="00B267B6"/>
    <w:rsid w:val="00B269F0"/>
    <w:rsid w:val="00B26AE7"/>
    <w:rsid w:val="00B26B79"/>
    <w:rsid w:val="00B26C9C"/>
    <w:rsid w:val="00B26D9C"/>
    <w:rsid w:val="00B271B7"/>
    <w:rsid w:val="00B271E7"/>
    <w:rsid w:val="00B27281"/>
    <w:rsid w:val="00B275CA"/>
    <w:rsid w:val="00B277CC"/>
    <w:rsid w:val="00B27935"/>
    <w:rsid w:val="00B27F50"/>
    <w:rsid w:val="00B3000B"/>
    <w:rsid w:val="00B3021C"/>
    <w:rsid w:val="00B309A5"/>
    <w:rsid w:val="00B30B39"/>
    <w:rsid w:val="00B30BBB"/>
    <w:rsid w:val="00B30CB3"/>
    <w:rsid w:val="00B30D95"/>
    <w:rsid w:val="00B30E85"/>
    <w:rsid w:val="00B31191"/>
    <w:rsid w:val="00B3125C"/>
    <w:rsid w:val="00B31685"/>
    <w:rsid w:val="00B316D8"/>
    <w:rsid w:val="00B31797"/>
    <w:rsid w:val="00B31A5D"/>
    <w:rsid w:val="00B31CBA"/>
    <w:rsid w:val="00B31CE8"/>
    <w:rsid w:val="00B31DD0"/>
    <w:rsid w:val="00B31EF7"/>
    <w:rsid w:val="00B31FDC"/>
    <w:rsid w:val="00B32020"/>
    <w:rsid w:val="00B3205B"/>
    <w:rsid w:val="00B320DA"/>
    <w:rsid w:val="00B32292"/>
    <w:rsid w:val="00B323A7"/>
    <w:rsid w:val="00B32508"/>
    <w:rsid w:val="00B3250F"/>
    <w:rsid w:val="00B328A6"/>
    <w:rsid w:val="00B32AAB"/>
    <w:rsid w:val="00B32B1F"/>
    <w:rsid w:val="00B32C9F"/>
    <w:rsid w:val="00B32DCB"/>
    <w:rsid w:val="00B33060"/>
    <w:rsid w:val="00B33330"/>
    <w:rsid w:val="00B333A3"/>
    <w:rsid w:val="00B333DC"/>
    <w:rsid w:val="00B334C3"/>
    <w:rsid w:val="00B3387A"/>
    <w:rsid w:val="00B33905"/>
    <w:rsid w:val="00B339CC"/>
    <w:rsid w:val="00B33BF6"/>
    <w:rsid w:val="00B33EEA"/>
    <w:rsid w:val="00B33F84"/>
    <w:rsid w:val="00B34073"/>
    <w:rsid w:val="00B34169"/>
    <w:rsid w:val="00B342EF"/>
    <w:rsid w:val="00B346DF"/>
    <w:rsid w:val="00B3490D"/>
    <w:rsid w:val="00B3492F"/>
    <w:rsid w:val="00B34AF7"/>
    <w:rsid w:val="00B34E04"/>
    <w:rsid w:val="00B35074"/>
    <w:rsid w:val="00B35258"/>
    <w:rsid w:val="00B3531D"/>
    <w:rsid w:val="00B355F8"/>
    <w:rsid w:val="00B3563E"/>
    <w:rsid w:val="00B35880"/>
    <w:rsid w:val="00B358FD"/>
    <w:rsid w:val="00B359D5"/>
    <w:rsid w:val="00B35C60"/>
    <w:rsid w:val="00B35C79"/>
    <w:rsid w:val="00B35CEE"/>
    <w:rsid w:val="00B35E0E"/>
    <w:rsid w:val="00B35E9A"/>
    <w:rsid w:val="00B35ED3"/>
    <w:rsid w:val="00B35FCF"/>
    <w:rsid w:val="00B36207"/>
    <w:rsid w:val="00B36572"/>
    <w:rsid w:val="00B366B1"/>
    <w:rsid w:val="00B36825"/>
    <w:rsid w:val="00B36ACC"/>
    <w:rsid w:val="00B36B82"/>
    <w:rsid w:val="00B372A3"/>
    <w:rsid w:val="00B37403"/>
    <w:rsid w:val="00B37716"/>
    <w:rsid w:val="00B377C8"/>
    <w:rsid w:val="00B379E5"/>
    <w:rsid w:val="00B37A4C"/>
    <w:rsid w:val="00B37B2A"/>
    <w:rsid w:val="00B37B87"/>
    <w:rsid w:val="00B37E1F"/>
    <w:rsid w:val="00B37F6B"/>
    <w:rsid w:val="00B400B6"/>
    <w:rsid w:val="00B406CB"/>
    <w:rsid w:val="00B4079C"/>
    <w:rsid w:val="00B408AD"/>
    <w:rsid w:val="00B409EC"/>
    <w:rsid w:val="00B40A97"/>
    <w:rsid w:val="00B40F0D"/>
    <w:rsid w:val="00B40FAC"/>
    <w:rsid w:val="00B41143"/>
    <w:rsid w:val="00B4126C"/>
    <w:rsid w:val="00B41295"/>
    <w:rsid w:val="00B4157E"/>
    <w:rsid w:val="00B41745"/>
    <w:rsid w:val="00B41917"/>
    <w:rsid w:val="00B41AF9"/>
    <w:rsid w:val="00B41CCE"/>
    <w:rsid w:val="00B41D27"/>
    <w:rsid w:val="00B41EFF"/>
    <w:rsid w:val="00B4205F"/>
    <w:rsid w:val="00B4228D"/>
    <w:rsid w:val="00B4242B"/>
    <w:rsid w:val="00B4249F"/>
    <w:rsid w:val="00B4255B"/>
    <w:rsid w:val="00B426B4"/>
    <w:rsid w:val="00B42962"/>
    <w:rsid w:val="00B42BEF"/>
    <w:rsid w:val="00B42C39"/>
    <w:rsid w:val="00B42CA0"/>
    <w:rsid w:val="00B42E90"/>
    <w:rsid w:val="00B42F96"/>
    <w:rsid w:val="00B4327C"/>
    <w:rsid w:val="00B43340"/>
    <w:rsid w:val="00B43367"/>
    <w:rsid w:val="00B43438"/>
    <w:rsid w:val="00B43785"/>
    <w:rsid w:val="00B43887"/>
    <w:rsid w:val="00B43F58"/>
    <w:rsid w:val="00B44032"/>
    <w:rsid w:val="00B44096"/>
    <w:rsid w:val="00B440B8"/>
    <w:rsid w:val="00B441C4"/>
    <w:rsid w:val="00B4462B"/>
    <w:rsid w:val="00B447A2"/>
    <w:rsid w:val="00B4481C"/>
    <w:rsid w:val="00B44954"/>
    <w:rsid w:val="00B44A0F"/>
    <w:rsid w:val="00B44E7C"/>
    <w:rsid w:val="00B44EA6"/>
    <w:rsid w:val="00B4516E"/>
    <w:rsid w:val="00B452E2"/>
    <w:rsid w:val="00B45548"/>
    <w:rsid w:val="00B45570"/>
    <w:rsid w:val="00B45889"/>
    <w:rsid w:val="00B45DC1"/>
    <w:rsid w:val="00B45E5C"/>
    <w:rsid w:val="00B45EF0"/>
    <w:rsid w:val="00B45FC7"/>
    <w:rsid w:val="00B4601D"/>
    <w:rsid w:val="00B460EE"/>
    <w:rsid w:val="00B463EF"/>
    <w:rsid w:val="00B4641D"/>
    <w:rsid w:val="00B46569"/>
    <w:rsid w:val="00B46628"/>
    <w:rsid w:val="00B46920"/>
    <w:rsid w:val="00B46B03"/>
    <w:rsid w:val="00B46B2B"/>
    <w:rsid w:val="00B46C2B"/>
    <w:rsid w:val="00B46C9E"/>
    <w:rsid w:val="00B46CA8"/>
    <w:rsid w:val="00B46DAB"/>
    <w:rsid w:val="00B46DC7"/>
    <w:rsid w:val="00B46F67"/>
    <w:rsid w:val="00B4710A"/>
    <w:rsid w:val="00B47422"/>
    <w:rsid w:val="00B47439"/>
    <w:rsid w:val="00B4748E"/>
    <w:rsid w:val="00B474E8"/>
    <w:rsid w:val="00B475AB"/>
    <w:rsid w:val="00B4777B"/>
    <w:rsid w:val="00B477B2"/>
    <w:rsid w:val="00B4792C"/>
    <w:rsid w:val="00B47AD8"/>
    <w:rsid w:val="00B47C18"/>
    <w:rsid w:val="00B47CAC"/>
    <w:rsid w:val="00B47F5E"/>
    <w:rsid w:val="00B47FD2"/>
    <w:rsid w:val="00B502AD"/>
    <w:rsid w:val="00B50323"/>
    <w:rsid w:val="00B50391"/>
    <w:rsid w:val="00B5043C"/>
    <w:rsid w:val="00B5061E"/>
    <w:rsid w:val="00B509BA"/>
    <w:rsid w:val="00B509ED"/>
    <w:rsid w:val="00B50C04"/>
    <w:rsid w:val="00B50DDF"/>
    <w:rsid w:val="00B50F21"/>
    <w:rsid w:val="00B5103B"/>
    <w:rsid w:val="00B51060"/>
    <w:rsid w:val="00B511DA"/>
    <w:rsid w:val="00B51233"/>
    <w:rsid w:val="00B51489"/>
    <w:rsid w:val="00B514F4"/>
    <w:rsid w:val="00B51582"/>
    <w:rsid w:val="00B51718"/>
    <w:rsid w:val="00B51845"/>
    <w:rsid w:val="00B51A55"/>
    <w:rsid w:val="00B51B7B"/>
    <w:rsid w:val="00B51FBA"/>
    <w:rsid w:val="00B522FF"/>
    <w:rsid w:val="00B5241F"/>
    <w:rsid w:val="00B52432"/>
    <w:rsid w:val="00B5254F"/>
    <w:rsid w:val="00B527E3"/>
    <w:rsid w:val="00B52967"/>
    <w:rsid w:val="00B52BE7"/>
    <w:rsid w:val="00B52EFA"/>
    <w:rsid w:val="00B5310F"/>
    <w:rsid w:val="00B53194"/>
    <w:rsid w:val="00B531F5"/>
    <w:rsid w:val="00B532C5"/>
    <w:rsid w:val="00B53755"/>
    <w:rsid w:val="00B53B98"/>
    <w:rsid w:val="00B53D0F"/>
    <w:rsid w:val="00B53D50"/>
    <w:rsid w:val="00B53F6B"/>
    <w:rsid w:val="00B542C6"/>
    <w:rsid w:val="00B5462B"/>
    <w:rsid w:val="00B54935"/>
    <w:rsid w:val="00B54A70"/>
    <w:rsid w:val="00B54F1A"/>
    <w:rsid w:val="00B55313"/>
    <w:rsid w:val="00B553F6"/>
    <w:rsid w:val="00B554AD"/>
    <w:rsid w:val="00B5563D"/>
    <w:rsid w:val="00B5573A"/>
    <w:rsid w:val="00B557DB"/>
    <w:rsid w:val="00B559E1"/>
    <w:rsid w:val="00B5615F"/>
    <w:rsid w:val="00B56164"/>
    <w:rsid w:val="00B562FC"/>
    <w:rsid w:val="00B564B5"/>
    <w:rsid w:val="00B564FA"/>
    <w:rsid w:val="00B565F1"/>
    <w:rsid w:val="00B56D24"/>
    <w:rsid w:val="00B56EFC"/>
    <w:rsid w:val="00B571B5"/>
    <w:rsid w:val="00B57407"/>
    <w:rsid w:val="00B574E0"/>
    <w:rsid w:val="00B5758D"/>
    <w:rsid w:val="00B577DF"/>
    <w:rsid w:val="00B57EF3"/>
    <w:rsid w:val="00B60198"/>
    <w:rsid w:val="00B60565"/>
    <w:rsid w:val="00B60888"/>
    <w:rsid w:val="00B60AC6"/>
    <w:rsid w:val="00B60AE9"/>
    <w:rsid w:val="00B60E7C"/>
    <w:rsid w:val="00B60F4F"/>
    <w:rsid w:val="00B614A7"/>
    <w:rsid w:val="00B614BB"/>
    <w:rsid w:val="00B6169B"/>
    <w:rsid w:val="00B6184A"/>
    <w:rsid w:val="00B61850"/>
    <w:rsid w:val="00B618C3"/>
    <w:rsid w:val="00B61A24"/>
    <w:rsid w:val="00B61E01"/>
    <w:rsid w:val="00B61FB3"/>
    <w:rsid w:val="00B6201C"/>
    <w:rsid w:val="00B6226C"/>
    <w:rsid w:val="00B628AC"/>
    <w:rsid w:val="00B62BFD"/>
    <w:rsid w:val="00B62DAF"/>
    <w:rsid w:val="00B63149"/>
    <w:rsid w:val="00B63545"/>
    <w:rsid w:val="00B635AF"/>
    <w:rsid w:val="00B638AA"/>
    <w:rsid w:val="00B63BD0"/>
    <w:rsid w:val="00B63BEE"/>
    <w:rsid w:val="00B63C39"/>
    <w:rsid w:val="00B63F3E"/>
    <w:rsid w:val="00B642FE"/>
    <w:rsid w:val="00B64391"/>
    <w:rsid w:val="00B64420"/>
    <w:rsid w:val="00B64433"/>
    <w:rsid w:val="00B6466E"/>
    <w:rsid w:val="00B6495E"/>
    <w:rsid w:val="00B649D2"/>
    <w:rsid w:val="00B64CF5"/>
    <w:rsid w:val="00B64D44"/>
    <w:rsid w:val="00B64F67"/>
    <w:rsid w:val="00B65229"/>
    <w:rsid w:val="00B65999"/>
    <w:rsid w:val="00B65B73"/>
    <w:rsid w:val="00B65D06"/>
    <w:rsid w:val="00B65DEA"/>
    <w:rsid w:val="00B65F4B"/>
    <w:rsid w:val="00B65F61"/>
    <w:rsid w:val="00B66090"/>
    <w:rsid w:val="00B66680"/>
    <w:rsid w:val="00B667DA"/>
    <w:rsid w:val="00B668DE"/>
    <w:rsid w:val="00B66AF4"/>
    <w:rsid w:val="00B66D28"/>
    <w:rsid w:val="00B66E55"/>
    <w:rsid w:val="00B671F5"/>
    <w:rsid w:val="00B67349"/>
    <w:rsid w:val="00B67356"/>
    <w:rsid w:val="00B67403"/>
    <w:rsid w:val="00B67517"/>
    <w:rsid w:val="00B67768"/>
    <w:rsid w:val="00B678DC"/>
    <w:rsid w:val="00B6792D"/>
    <w:rsid w:val="00B67AAE"/>
    <w:rsid w:val="00B67E19"/>
    <w:rsid w:val="00B67FE5"/>
    <w:rsid w:val="00B67FEB"/>
    <w:rsid w:val="00B70146"/>
    <w:rsid w:val="00B702D4"/>
    <w:rsid w:val="00B703AA"/>
    <w:rsid w:val="00B7048A"/>
    <w:rsid w:val="00B7050B"/>
    <w:rsid w:val="00B709D0"/>
    <w:rsid w:val="00B70BB9"/>
    <w:rsid w:val="00B70E91"/>
    <w:rsid w:val="00B71696"/>
    <w:rsid w:val="00B71965"/>
    <w:rsid w:val="00B719BC"/>
    <w:rsid w:val="00B71C1C"/>
    <w:rsid w:val="00B71D40"/>
    <w:rsid w:val="00B71F3D"/>
    <w:rsid w:val="00B72521"/>
    <w:rsid w:val="00B7263C"/>
    <w:rsid w:val="00B7277F"/>
    <w:rsid w:val="00B72C29"/>
    <w:rsid w:val="00B72C99"/>
    <w:rsid w:val="00B72D5D"/>
    <w:rsid w:val="00B72D9C"/>
    <w:rsid w:val="00B72FEA"/>
    <w:rsid w:val="00B72FED"/>
    <w:rsid w:val="00B730D2"/>
    <w:rsid w:val="00B7344F"/>
    <w:rsid w:val="00B7356D"/>
    <w:rsid w:val="00B736BB"/>
    <w:rsid w:val="00B73A48"/>
    <w:rsid w:val="00B73B70"/>
    <w:rsid w:val="00B73BC8"/>
    <w:rsid w:val="00B73CD7"/>
    <w:rsid w:val="00B73E09"/>
    <w:rsid w:val="00B7408E"/>
    <w:rsid w:val="00B74296"/>
    <w:rsid w:val="00B7430B"/>
    <w:rsid w:val="00B743AB"/>
    <w:rsid w:val="00B744FD"/>
    <w:rsid w:val="00B74809"/>
    <w:rsid w:val="00B74D88"/>
    <w:rsid w:val="00B74FEB"/>
    <w:rsid w:val="00B75146"/>
    <w:rsid w:val="00B754B3"/>
    <w:rsid w:val="00B7596D"/>
    <w:rsid w:val="00B75A1D"/>
    <w:rsid w:val="00B75F82"/>
    <w:rsid w:val="00B7618C"/>
    <w:rsid w:val="00B7658C"/>
    <w:rsid w:val="00B7661B"/>
    <w:rsid w:val="00B766F3"/>
    <w:rsid w:val="00B768D7"/>
    <w:rsid w:val="00B76BEC"/>
    <w:rsid w:val="00B76CE3"/>
    <w:rsid w:val="00B76CF6"/>
    <w:rsid w:val="00B76D9B"/>
    <w:rsid w:val="00B776DE"/>
    <w:rsid w:val="00B77A64"/>
    <w:rsid w:val="00B77BEF"/>
    <w:rsid w:val="00B77C9B"/>
    <w:rsid w:val="00B77D17"/>
    <w:rsid w:val="00B77EFF"/>
    <w:rsid w:val="00B8008F"/>
    <w:rsid w:val="00B80224"/>
    <w:rsid w:val="00B80B58"/>
    <w:rsid w:val="00B80D69"/>
    <w:rsid w:val="00B80F2C"/>
    <w:rsid w:val="00B80FF0"/>
    <w:rsid w:val="00B8105D"/>
    <w:rsid w:val="00B8135F"/>
    <w:rsid w:val="00B81537"/>
    <w:rsid w:val="00B815E2"/>
    <w:rsid w:val="00B81746"/>
    <w:rsid w:val="00B817D2"/>
    <w:rsid w:val="00B819D3"/>
    <w:rsid w:val="00B819D6"/>
    <w:rsid w:val="00B819E8"/>
    <w:rsid w:val="00B81A4F"/>
    <w:rsid w:val="00B81D75"/>
    <w:rsid w:val="00B81EEC"/>
    <w:rsid w:val="00B81F16"/>
    <w:rsid w:val="00B82588"/>
    <w:rsid w:val="00B82793"/>
    <w:rsid w:val="00B8287B"/>
    <w:rsid w:val="00B82A33"/>
    <w:rsid w:val="00B82B5E"/>
    <w:rsid w:val="00B82F96"/>
    <w:rsid w:val="00B82FAE"/>
    <w:rsid w:val="00B83201"/>
    <w:rsid w:val="00B832E0"/>
    <w:rsid w:val="00B83362"/>
    <w:rsid w:val="00B833B7"/>
    <w:rsid w:val="00B83674"/>
    <w:rsid w:val="00B83886"/>
    <w:rsid w:val="00B8389B"/>
    <w:rsid w:val="00B83914"/>
    <w:rsid w:val="00B83A3D"/>
    <w:rsid w:val="00B83A9D"/>
    <w:rsid w:val="00B83DE7"/>
    <w:rsid w:val="00B83E4B"/>
    <w:rsid w:val="00B83E5D"/>
    <w:rsid w:val="00B83F60"/>
    <w:rsid w:val="00B8415B"/>
    <w:rsid w:val="00B841A1"/>
    <w:rsid w:val="00B84297"/>
    <w:rsid w:val="00B842F4"/>
    <w:rsid w:val="00B8485F"/>
    <w:rsid w:val="00B84883"/>
    <w:rsid w:val="00B84B84"/>
    <w:rsid w:val="00B84C5D"/>
    <w:rsid w:val="00B84CD1"/>
    <w:rsid w:val="00B84E43"/>
    <w:rsid w:val="00B84EB9"/>
    <w:rsid w:val="00B850EA"/>
    <w:rsid w:val="00B851BF"/>
    <w:rsid w:val="00B85244"/>
    <w:rsid w:val="00B85471"/>
    <w:rsid w:val="00B85848"/>
    <w:rsid w:val="00B858EF"/>
    <w:rsid w:val="00B859A6"/>
    <w:rsid w:val="00B859EF"/>
    <w:rsid w:val="00B85A45"/>
    <w:rsid w:val="00B86250"/>
    <w:rsid w:val="00B86837"/>
    <w:rsid w:val="00B86956"/>
    <w:rsid w:val="00B86B94"/>
    <w:rsid w:val="00B86C1C"/>
    <w:rsid w:val="00B86F26"/>
    <w:rsid w:val="00B871BC"/>
    <w:rsid w:val="00B871E4"/>
    <w:rsid w:val="00B872F4"/>
    <w:rsid w:val="00B8797D"/>
    <w:rsid w:val="00B87D32"/>
    <w:rsid w:val="00B90217"/>
    <w:rsid w:val="00B9047B"/>
    <w:rsid w:val="00B9051B"/>
    <w:rsid w:val="00B908C0"/>
    <w:rsid w:val="00B908F9"/>
    <w:rsid w:val="00B90B07"/>
    <w:rsid w:val="00B90D36"/>
    <w:rsid w:val="00B90D3F"/>
    <w:rsid w:val="00B90F3D"/>
    <w:rsid w:val="00B91146"/>
    <w:rsid w:val="00B91724"/>
    <w:rsid w:val="00B91A17"/>
    <w:rsid w:val="00B9246E"/>
    <w:rsid w:val="00B924C7"/>
    <w:rsid w:val="00B925F3"/>
    <w:rsid w:val="00B926B2"/>
    <w:rsid w:val="00B92856"/>
    <w:rsid w:val="00B9287D"/>
    <w:rsid w:val="00B928BC"/>
    <w:rsid w:val="00B929A8"/>
    <w:rsid w:val="00B929D1"/>
    <w:rsid w:val="00B92DB4"/>
    <w:rsid w:val="00B93168"/>
    <w:rsid w:val="00B9388F"/>
    <w:rsid w:val="00B93903"/>
    <w:rsid w:val="00B9391C"/>
    <w:rsid w:val="00B9392A"/>
    <w:rsid w:val="00B93A73"/>
    <w:rsid w:val="00B94028"/>
    <w:rsid w:val="00B9413E"/>
    <w:rsid w:val="00B941D3"/>
    <w:rsid w:val="00B94217"/>
    <w:rsid w:val="00B94301"/>
    <w:rsid w:val="00B9459C"/>
    <w:rsid w:val="00B9460C"/>
    <w:rsid w:val="00B9472D"/>
    <w:rsid w:val="00B94CED"/>
    <w:rsid w:val="00B94CFB"/>
    <w:rsid w:val="00B94D1B"/>
    <w:rsid w:val="00B94EDC"/>
    <w:rsid w:val="00B95534"/>
    <w:rsid w:val="00B95539"/>
    <w:rsid w:val="00B95645"/>
    <w:rsid w:val="00B961F1"/>
    <w:rsid w:val="00B96252"/>
    <w:rsid w:val="00B963FD"/>
    <w:rsid w:val="00B968B0"/>
    <w:rsid w:val="00B969CF"/>
    <w:rsid w:val="00B96DA3"/>
    <w:rsid w:val="00B96EB6"/>
    <w:rsid w:val="00B971D0"/>
    <w:rsid w:val="00B972C5"/>
    <w:rsid w:val="00B97853"/>
    <w:rsid w:val="00B9786F"/>
    <w:rsid w:val="00B97D75"/>
    <w:rsid w:val="00B97F13"/>
    <w:rsid w:val="00BA00AE"/>
    <w:rsid w:val="00BA00F3"/>
    <w:rsid w:val="00BA014F"/>
    <w:rsid w:val="00BA01C7"/>
    <w:rsid w:val="00BA021E"/>
    <w:rsid w:val="00BA0590"/>
    <w:rsid w:val="00BA0995"/>
    <w:rsid w:val="00BA0AA5"/>
    <w:rsid w:val="00BA0AAD"/>
    <w:rsid w:val="00BA0C09"/>
    <w:rsid w:val="00BA0CEF"/>
    <w:rsid w:val="00BA100F"/>
    <w:rsid w:val="00BA1029"/>
    <w:rsid w:val="00BA11CD"/>
    <w:rsid w:val="00BA15CC"/>
    <w:rsid w:val="00BA1762"/>
    <w:rsid w:val="00BA1AAE"/>
    <w:rsid w:val="00BA1ADD"/>
    <w:rsid w:val="00BA1CC5"/>
    <w:rsid w:val="00BA1D07"/>
    <w:rsid w:val="00BA213B"/>
    <w:rsid w:val="00BA2160"/>
    <w:rsid w:val="00BA2259"/>
    <w:rsid w:val="00BA242B"/>
    <w:rsid w:val="00BA2486"/>
    <w:rsid w:val="00BA25F0"/>
    <w:rsid w:val="00BA28E4"/>
    <w:rsid w:val="00BA2B51"/>
    <w:rsid w:val="00BA2EF1"/>
    <w:rsid w:val="00BA2F13"/>
    <w:rsid w:val="00BA306B"/>
    <w:rsid w:val="00BA3153"/>
    <w:rsid w:val="00BA3223"/>
    <w:rsid w:val="00BA34E7"/>
    <w:rsid w:val="00BA364D"/>
    <w:rsid w:val="00BA372C"/>
    <w:rsid w:val="00BA3A8D"/>
    <w:rsid w:val="00BA3E86"/>
    <w:rsid w:val="00BA4070"/>
    <w:rsid w:val="00BA4148"/>
    <w:rsid w:val="00BA414E"/>
    <w:rsid w:val="00BA48E9"/>
    <w:rsid w:val="00BA4A35"/>
    <w:rsid w:val="00BA4D2E"/>
    <w:rsid w:val="00BA4D90"/>
    <w:rsid w:val="00BA4DC1"/>
    <w:rsid w:val="00BA5140"/>
    <w:rsid w:val="00BA5301"/>
    <w:rsid w:val="00BA55E8"/>
    <w:rsid w:val="00BA5AAF"/>
    <w:rsid w:val="00BA5C56"/>
    <w:rsid w:val="00BA5CF2"/>
    <w:rsid w:val="00BA5DE6"/>
    <w:rsid w:val="00BA6630"/>
    <w:rsid w:val="00BA6850"/>
    <w:rsid w:val="00BA68C9"/>
    <w:rsid w:val="00BA690C"/>
    <w:rsid w:val="00BA6970"/>
    <w:rsid w:val="00BA6AEF"/>
    <w:rsid w:val="00BA6B89"/>
    <w:rsid w:val="00BA6D05"/>
    <w:rsid w:val="00BA6D4E"/>
    <w:rsid w:val="00BA6FD8"/>
    <w:rsid w:val="00BA7224"/>
    <w:rsid w:val="00BA746C"/>
    <w:rsid w:val="00BA77A1"/>
    <w:rsid w:val="00BA78D4"/>
    <w:rsid w:val="00BA7A6D"/>
    <w:rsid w:val="00BA7AC8"/>
    <w:rsid w:val="00BA7B18"/>
    <w:rsid w:val="00BA7DFF"/>
    <w:rsid w:val="00BA7E92"/>
    <w:rsid w:val="00BB01A7"/>
    <w:rsid w:val="00BB02C6"/>
    <w:rsid w:val="00BB04BA"/>
    <w:rsid w:val="00BB09B9"/>
    <w:rsid w:val="00BB0C36"/>
    <w:rsid w:val="00BB0C89"/>
    <w:rsid w:val="00BB1029"/>
    <w:rsid w:val="00BB1247"/>
    <w:rsid w:val="00BB14E5"/>
    <w:rsid w:val="00BB17A2"/>
    <w:rsid w:val="00BB184B"/>
    <w:rsid w:val="00BB1911"/>
    <w:rsid w:val="00BB1A18"/>
    <w:rsid w:val="00BB1C90"/>
    <w:rsid w:val="00BB1C97"/>
    <w:rsid w:val="00BB1E4C"/>
    <w:rsid w:val="00BB259E"/>
    <w:rsid w:val="00BB25F2"/>
    <w:rsid w:val="00BB26BB"/>
    <w:rsid w:val="00BB29EA"/>
    <w:rsid w:val="00BB2A87"/>
    <w:rsid w:val="00BB2B5E"/>
    <w:rsid w:val="00BB2BAC"/>
    <w:rsid w:val="00BB3145"/>
    <w:rsid w:val="00BB3430"/>
    <w:rsid w:val="00BB375E"/>
    <w:rsid w:val="00BB3948"/>
    <w:rsid w:val="00BB3CF6"/>
    <w:rsid w:val="00BB3F9A"/>
    <w:rsid w:val="00BB4142"/>
    <w:rsid w:val="00BB4357"/>
    <w:rsid w:val="00BB483D"/>
    <w:rsid w:val="00BB4B50"/>
    <w:rsid w:val="00BB4BC9"/>
    <w:rsid w:val="00BB4C0D"/>
    <w:rsid w:val="00BB4E48"/>
    <w:rsid w:val="00BB4FD7"/>
    <w:rsid w:val="00BB4FF0"/>
    <w:rsid w:val="00BB5211"/>
    <w:rsid w:val="00BB54CD"/>
    <w:rsid w:val="00BB558A"/>
    <w:rsid w:val="00BB57B4"/>
    <w:rsid w:val="00BB5B08"/>
    <w:rsid w:val="00BB5D7F"/>
    <w:rsid w:val="00BB5F5D"/>
    <w:rsid w:val="00BB5FAB"/>
    <w:rsid w:val="00BB6300"/>
    <w:rsid w:val="00BB669C"/>
    <w:rsid w:val="00BB6775"/>
    <w:rsid w:val="00BB6870"/>
    <w:rsid w:val="00BB68D7"/>
    <w:rsid w:val="00BB6B09"/>
    <w:rsid w:val="00BB6CDE"/>
    <w:rsid w:val="00BB6E55"/>
    <w:rsid w:val="00BB6EC2"/>
    <w:rsid w:val="00BB72B7"/>
    <w:rsid w:val="00BB7829"/>
    <w:rsid w:val="00BB78E2"/>
    <w:rsid w:val="00BB7912"/>
    <w:rsid w:val="00BB7EE8"/>
    <w:rsid w:val="00BB7F39"/>
    <w:rsid w:val="00BB7FB8"/>
    <w:rsid w:val="00BC00FD"/>
    <w:rsid w:val="00BC04D9"/>
    <w:rsid w:val="00BC074F"/>
    <w:rsid w:val="00BC09BA"/>
    <w:rsid w:val="00BC0B46"/>
    <w:rsid w:val="00BC0D5D"/>
    <w:rsid w:val="00BC0E68"/>
    <w:rsid w:val="00BC1111"/>
    <w:rsid w:val="00BC1749"/>
    <w:rsid w:val="00BC1890"/>
    <w:rsid w:val="00BC1900"/>
    <w:rsid w:val="00BC19C9"/>
    <w:rsid w:val="00BC1C4F"/>
    <w:rsid w:val="00BC1C55"/>
    <w:rsid w:val="00BC1CF9"/>
    <w:rsid w:val="00BC1F3E"/>
    <w:rsid w:val="00BC2368"/>
    <w:rsid w:val="00BC25D7"/>
    <w:rsid w:val="00BC2672"/>
    <w:rsid w:val="00BC28F4"/>
    <w:rsid w:val="00BC2B85"/>
    <w:rsid w:val="00BC2CEE"/>
    <w:rsid w:val="00BC30EE"/>
    <w:rsid w:val="00BC31A1"/>
    <w:rsid w:val="00BC3285"/>
    <w:rsid w:val="00BC355E"/>
    <w:rsid w:val="00BC39C5"/>
    <w:rsid w:val="00BC3A45"/>
    <w:rsid w:val="00BC3A82"/>
    <w:rsid w:val="00BC3B18"/>
    <w:rsid w:val="00BC400A"/>
    <w:rsid w:val="00BC402A"/>
    <w:rsid w:val="00BC4463"/>
    <w:rsid w:val="00BC49D8"/>
    <w:rsid w:val="00BC5026"/>
    <w:rsid w:val="00BC5029"/>
    <w:rsid w:val="00BC52BC"/>
    <w:rsid w:val="00BC5372"/>
    <w:rsid w:val="00BC53E8"/>
    <w:rsid w:val="00BC5587"/>
    <w:rsid w:val="00BC578C"/>
    <w:rsid w:val="00BC5D75"/>
    <w:rsid w:val="00BC5F91"/>
    <w:rsid w:val="00BC61CF"/>
    <w:rsid w:val="00BC6479"/>
    <w:rsid w:val="00BC647A"/>
    <w:rsid w:val="00BC685E"/>
    <w:rsid w:val="00BC6969"/>
    <w:rsid w:val="00BC6A9A"/>
    <w:rsid w:val="00BC6ACF"/>
    <w:rsid w:val="00BC6B18"/>
    <w:rsid w:val="00BC6C5B"/>
    <w:rsid w:val="00BC6D7C"/>
    <w:rsid w:val="00BC7473"/>
    <w:rsid w:val="00BC7628"/>
    <w:rsid w:val="00BC7851"/>
    <w:rsid w:val="00BC7CC1"/>
    <w:rsid w:val="00BC7CD2"/>
    <w:rsid w:val="00BC7F11"/>
    <w:rsid w:val="00BC7F69"/>
    <w:rsid w:val="00BD02F3"/>
    <w:rsid w:val="00BD0328"/>
    <w:rsid w:val="00BD0429"/>
    <w:rsid w:val="00BD08F6"/>
    <w:rsid w:val="00BD090A"/>
    <w:rsid w:val="00BD0EA8"/>
    <w:rsid w:val="00BD0F90"/>
    <w:rsid w:val="00BD128A"/>
    <w:rsid w:val="00BD13E6"/>
    <w:rsid w:val="00BD1511"/>
    <w:rsid w:val="00BD1517"/>
    <w:rsid w:val="00BD15CD"/>
    <w:rsid w:val="00BD1888"/>
    <w:rsid w:val="00BD193F"/>
    <w:rsid w:val="00BD1941"/>
    <w:rsid w:val="00BD1B0D"/>
    <w:rsid w:val="00BD1BFF"/>
    <w:rsid w:val="00BD1CC6"/>
    <w:rsid w:val="00BD2144"/>
    <w:rsid w:val="00BD21E9"/>
    <w:rsid w:val="00BD22D4"/>
    <w:rsid w:val="00BD2427"/>
    <w:rsid w:val="00BD2514"/>
    <w:rsid w:val="00BD2571"/>
    <w:rsid w:val="00BD26C3"/>
    <w:rsid w:val="00BD27AB"/>
    <w:rsid w:val="00BD2B75"/>
    <w:rsid w:val="00BD2E99"/>
    <w:rsid w:val="00BD33A5"/>
    <w:rsid w:val="00BD3473"/>
    <w:rsid w:val="00BD358F"/>
    <w:rsid w:val="00BD39CA"/>
    <w:rsid w:val="00BD3C87"/>
    <w:rsid w:val="00BD3D32"/>
    <w:rsid w:val="00BD3FCF"/>
    <w:rsid w:val="00BD4008"/>
    <w:rsid w:val="00BD4168"/>
    <w:rsid w:val="00BD4230"/>
    <w:rsid w:val="00BD4236"/>
    <w:rsid w:val="00BD433B"/>
    <w:rsid w:val="00BD4830"/>
    <w:rsid w:val="00BD4BCE"/>
    <w:rsid w:val="00BD4F02"/>
    <w:rsid w:val="00BD5032"/>
    <w:rsid w:val="00BD538F"/>
    <w:rsid w:val="00BD57CD"/>
    <w:rsid w:val="00BD5A36"/>
    <w:rsid w:val="00BD5A8A"/>
    <w:rsid w:val="00BD5A9B"/>
    <w:rsid w:val="00BD5D94"/>
    <w:rsid w:val="00BD5DF8"/>
    <w:rsid w:val="00BD609C"/>
    <w:rsid w:val="00BD64AA"/>
    <w:rsid w:val="00BD68D4"/>
    <w:rsid w:val="00BD697B"/>
    <w:rsid w:val="00BD6BD9"/>
    <w:rsid w:val="00BD6C7A"/>
    <w:rsid w:val="00BD70C3"/>
    <w:rsid w:val="00BD7130"/>
    <w:rsid w:val="00BD7570"/>
    <w:rsid w:val="00BD7DD2"/>
    <w:rsid w:val="00BD7F97"/>
    <w:rsid w:val="00BE0033"/>
    <w:rsid w:val="00BE0148"/>
    <w:rsid w:val="00BE015C"/>
    <w:rsid w:val="00BE03A0"/>
    <w:rsid w:val="00BE048F"/>
    <w:rsid w:val="00BE05C7"/>
    <w:rsid w:val="00BE0644"/>
    <w:rsid w:val="00BE0663"/>
    <w:rsid w:val="00BE0828"/>
    <w:rsid w:val="00BE0892"/>
    <w:rsid w:val="00BE099C"/>
    <w:rsid w:val="00BE0AF0"/>
    <w:rsid w:val="00BE0C1D"/>
    <w:rsid w:val="00BE0D8F"/>
    <w:rsid w:val="00BE0F9D"/>
    <w:rsid w:val="00BE10CC"/>
    <w:rsid w:val="00BE12FF"/>
    <w:rsid w:val="00BE1752"/>
    <w:rsid w:val="00BE190D"/>
    <w:rsid w:val="00BE19A3"/>
    <w:rsid w:val="00BE1CE6"/>
    <w:rsid w:val="00BE2075"/>
    <w:rsid w:val="00BE272C"/>
    <w:rsid w:val="00BE2BA5"/>
    <w:rsid w:val="00BE2CA2"/>
    <w:rsid w:val="00BE2D3A"/>
    <w:rsid w:val="00BE2DAC"/>
    <w:rsid w:val="00BE2DD1"/>
    <w:rsid w:val="00BE348B"/>
    <w:rsid w:val="00BE3490"/>
    <w:rsid w:val="00BE35DA"/>
    <w:rsid w:val="00BE369C"/>
    <w:rsid w:val="00BE381C"/>
    <w:rsid w:val="00BE39D3"/>
    <w:rsid w:val="00BE3A81"/>
    <w:rsid w:val="00BE3BE0"/>
    <w:rsid w:val="00BE3ED4"/>
    <w:rsid w:val="00BE3F4B"/>
    <w:rsid w:val="00BE400F"/>
    <w:rsid w:val="00BE44AD"/>
    <w:rsid w:val="00BE48B5"/>
    <w:rsid w:val="00BE4E37"/>
    <w:rsid w:val="00BE4E99"/>
    <w:rsid w:val="00BE4FE1"/>
    <w:rsid w:val="00BE512C"/>
    <w:rsid w:val="00BE51A8"/>
    <w:rsid w:val="00BE53B8"/>
    <w:rsid w:val="00BE554E"/>
    <w:rsid w:val="00BE5696"/>
    <w:rsid w:val="00BE5985"/>
    <w:rsid w:val="00BE5A7C"/>
    <w:rsid w:val="00BE5CF8"/>
    <w:rsid w:val="00BE60BC"/>
    <w:rsid w:val="00BE623D"/>
    <w:rsid w:val="00BE6A19"/>
    <w:rsid w:val="00BE6AE0"/>
    <w:rsid w:val="00BE6D9B"/>
    <w:rsid w:val="00BE6FE3"/>
    <w:rsid w:val="00BE71C6"/>
    <w:rsid w:val="00BE7CD4"/>
    <w:rsid w:val="00BF009E"/>
    <w:rsid w:val="00BF00D4"/>
    <w:rsid w:val="00BF0278"/>
    <w:rsid w:val="00BF059C"/>
    <w:rsid w:val="00BF079B"/>
    <w:rsid w:val="00BF0A5B"/>
    <w:rsid w:val="00BF0C1C"/>
    <w:rsid w:val="00BF0CC6"/>
    <w:rsid w:val="00BF0D9F"/>
    <w:rsid w:val="00BF112D"/>
    <w:rsid w:val="00BF11D1"/>
    <w:rsid w:val="00BF1205"/>
    <w:rsid w:val="00BF1391"/>
    <w:rsid w:val="00BF1842"/>
    <w:rsid w:val="00BF1898"/>
    <w:rsid w:val="00BF1A4E"/>
    <w:rsid w:val="00BF1BD1"/>
    <w:rsid w:val="00BF1D5D"/>
    <w:rsid w:val="00BF20C5"/>
    <w:rsid w:val="00BF217D"/>
    <w:rsid w:val="00BF228A"/>
    <w:rsid w:val="00BF283A"/>
    <w:rsid w:val="00BF2BB2"/>
    <w:rsid w:val="00BF2EA9"/>
    <w:rsid w:val="00BF2F31"/>
    <w:rsid w:val="00BF30D0"/>
    <w:rsid w:val="00BF35C5"/>
    <w:rsid w:val="00BF3778"/>
    <w:rsid w:val="00BF3812"/>
    <w:rsid w:val="00BF3C5A"/>
    <w:rsid w:val="00BF3D15"/>
    <w:rsid w:val="00BF3D6D"/>
    <w:rsid w:val="00BF4046"/>
    <w:rsid w:val="00BF42B5"/>
    <w:rsid w:val="00BF43F5"/>
    <w:rsid w:val="00BF4551"/>
    <w:rsid w:val="00BF45B8"/>
    <w:rsid w:val="00BF462B"/>
    <w:rsid w:val="00BF481A"/>
    <w:rsid w:val="00BF48DF"/>
    <w:rsid w:val="00BF4DEA"/>
    <w:rsid w:val="00BF584E"/>
    <w:rsid w:val="00BF5950"/>
    <w:rsid w:val="00BF59B4"/>
    <w:rsid w:val="00BF5A31"/>
    <w:rsid w:val="00BF5D0B"/>
    <w:rsid w:val="00BF5DC6"/>
    <w:rsid w:val="00BF5FC1"/>
    <w:rsid w:val="00BF61B8"/>
    <w:rsid w:val="00BF680F"/>
    <w:rsid w:val="00BF6BFC"/>
    <w:rsid w:val="00BF6DD0"/>
    <w:rsid w:val="00BF6DD8"/>
    <w:rsid w:val="00BF6DF3"/>
    <w:rsid w:val="00BF7052"/>
    <w:rsid w:val="00BF7116"/>
    <w:rsid w:val="00BF7149"/>
    <w:rsid w:val="00BF7165"/>
    <w:rsid w:val="00BF7180"/>
    <w:rsid w:val="00BF71E4"/>
    <w:rsid w:val="00BF7253"/>
    <w:rsid w:val="00BF72CF"/>
    <w:rsid w:val="00BF7584"/>
    <w:rsid w:val="00BF76F9"/>
    <w:rsid w:val="00BF78FD"/>
    <w:rsid w:val="00BF7AAF"/>
    <w:rsid w:val="00BF7B39"/>
    <w:rsid w:val="00BF7DA5"/>
    <w:rsid w:val="00BF7EA8"/>
    <w:rsid w:val="00C00078"/>
    <w:rsid w:val="00C00307"/>
    <w:rsid w:val="00C00376"/>
    <w:rsid w:val="00C00422"/>
    <w:rsid w:val="00C006F5"/>
    <w:rsid w:val="00C00ADC"/>
    <w:rsid w:val="00C00C2D"/>
    <w:rsid w:val="00C00D28"/>
    <w:rsid w:val="00C0174B"/>
    <w:rsid w:val="00C01C95"/>
    <w:rsid w:val="00C01E6E"/>
    <w:rsid w:val="00C01F8F"/>
    <w:rsid w:val="00C020C4"/>
    <w:rsid w:val="00C0245B"/>
    <w:rsid w:val="00C02C0F"/>
    <w:rsid w:val="00C02D22"/>
    <w:rsid w:val="00C02E9D"/>
    <w:rsid w:val="00C02F60"/>
    <w:rsid w:val="00C031D7"/>
    <w:rsid w:val="00C033A3"/>
    <w:rsid w:val="00C033B6"/>
    <w:rsid w:val="00C0343E"/>
    <w:rsid w:val="00C03493"/>
    <w:rsid w:val="00C0370C"/>
    <w:rsid w:val="00C037F5"/>
    <w:rsid w:val="00C04433"/>
    <w:rsid w:val="00C04566"/>
    <w:rsid w:val="00C046D8"/>
    <w:rsid w:val="00C0478A"/>
    <w:rsid w:val="00C04A3E"/>
    <w:rsid w:val="00C04B5D"/>
    <w:rsid w:val="00C04D50"/>
    <w:rsid w:val="00C0516D"/>
    <w:rsid w:val="00C052E5"/>
    <w:rsid w:val="00C05456"/>
    <w:rsid w:val="00C055EB"/>
    <w:rsid w:val="00C05A51"/>
    <w:rsid w:val="00C05BC3"/>
    <w:rsid w:val="00C05BEB"/>
    <w:rsid w:val="00C05F63"/>
    <w:rsid w:val="00C05FCA"/>
    <w:rsid w:val="00C06216"/>
    <w:rsid w:val="00C06675"/>
    <w:rsid w:val="00C067BC"/>
    <w:rsid w:val="00C06B76"/>
    <w:rsid w:val="00C06C63"/>
    <w:rsid w:val="00C06E81"/>
    <w:rsid w:val="00C06EC8"/>
    <w:rsid w:val="00C07212"/>
    <w:rsid w:val="00C072D9"/>
    <w:rsid w:val="00C0741B"/>
    <w:rsid w:val="00C075A2"/>
    <w:rsid w:val="00C0769E"/>
    <w:rsid w:val="00C076C5"/>
    <w:rsid w:val="00C07771"/>
    <w:rsid w:val="00C07C18"/>
    <w:rsid w:val="00C07DDA"/>
    <w:rsid w:val="00C101DA"/>
    <w:rsid w:val="00C1063F"/>
    <w:rsid w:val="00C107DF"/>
    <w:rsid w:val="00C1082D"/>
    <w:rsid w:val="00C10868"/>
    <w:rsid w:val="00C10D15"/>
    <w:rsid w:val="00C10D43"/>
    <w:rsid w:val="00C10DA1"/>
    <w:rsid w:val="00C10E7E"/>
    <w:rsid w:val="00C1100A"/>
    <w:rsid w:val="00C110A3"/>
    <w:rsid w:val="00C111A6"/>
    <w:rsid w:val="00C111BF"/>
    <w:rsid w:val="00C11333"/>
    <w:rsid w:val="00C1145D"/>
    <w:rsid w:val="00C11489"/>
    <w:rsid w:val="00C114E8"/>
    <w:rsid w:val="00C11737"/>
    <w:rsid w:val="00C117EC"/>
    <w:rsid w:val="00C1190A"/>
    <w:rsid w:val="00C11C7B"/>
    <w:rsid w:val="00C11E21"/>
    <w:rsid w:val="00C11F1B"/>
    <w:rsid w:val="00C11FDE"/>
    <w:rsid w:val="00C11FF1"/>
    <w:rsid w:val="00C121E9"/>
    <w:rsid w:val="00C1265A"/>
    <w:rsid w:val="00C12B99"/>
    <w:rsid w:val="00C12EE7"/>
    <w:rsid w:val="00C1300D"/>
    <w:rsid w:val="00C13201"/>
    <w:rsid w:val="00C13215"/>
    <w:rsid w:val="00C132D2"/>
    <w:rsid w:val="00C1334B"/>
    <w:rsid w:val="00C1354D"/>
    <w:rsid w:val="00C1378F"/>
    <w:rsid w:val="00C1391F"/>
    <w:rsid w:val="00C139A0"/>
    <w:rsid w:val="00C13A1D"/>
    <w:rsid w:val="00C13CAA"/>
    <w:rsid w:val="00C13DF5"/>
    <w:rsid w:val="00C14043"/>
    <w:rsid w:val="00C14094"/>
    <w:rsid w:val="00C14A13"/>
    <w:rsid w:val="00C14A71"/>
    <w:rsid w:val="00C14E72"/>
    <w:rsid w:val="00C150FA"/>
    <w:rsid w:val="00C1535B"/>
    <w:rsid w:val="00C15A87"/>
    <w:rsid w:val="00C15CBC"/>
    <w:rsid w:val="00C15D60"/>
    <w:rsid w:val="00C15E3D"/>
    <w:rsid w:val="00C15EE0"/>
    <w:rsid w:val="00C160A0"/>
    <w:rsid w:val="00C1642E"/>
    <w:rsid w:val="00C164CD"/>
    <w:rsid w:val="00C16E0F"/>
    <w:rsid w:val="00C16FC7"/>
    <w:rsid w:val="00C1714A"/>
    <w:rsid w:val="00C17215"/>
    <w:rsid w:val="00C174B1"/>
    <w:rsid w:val="00C17501"/>
    <w:rsid w:val="00C175E4"/>
    <w:rsid w:val="00C176C9"/>
    <w:rsid w:val="00C17753"/>
    <w:rsid w:val="00C17B7B"/>
    <w:rsid w:val="00C17F05"/>
    <w:rsid w:val="00C20103"/>
    <w:rsid w:val="00C201DD"/>
    <w:rsid w:val="00C207E2"/>
    <w:rsid w:val="00C20BA8"/>
    <w:rsid w:val="00C20DAB"/>
    <w:rsid w:val="00C2147E"/>
    <w:rsid w:val="00C214C8"/>
    <w:rsid w:val="00C219FD"/>
    <w:rsid w:val="00C21A07"/>
    <w:rsid w:val="00C21A78"/>
    <w:rsid w:val="00C21F64"/>
    <w:rsid w:val="00C22087"/>
    <w:rsid w:val="00C221E4"/>
    <w:rsid w:val="00C223AE"/>
    <w:rsid w:val="00C22676"/>
    <w:rsid w:val="00C22739"/>
    <w:rsid w:val="00C229F1"/>
    <w:rsid w:val="00C22B8C"/>
    <w:rsid w:val="00C22D16"/>
    <w:rsid w:val="00C22D47"/>
    <w:rsid w:val="00C23089"/>
    <w:rsid w:val="00C23109"/>
    <w:rsid w:val="00C23347"/>
    <w:rsid w:val="00C239A5"/>
    <w:rsid w:val="00C23C10"/>
    <w:rsid w:val="00C23E24"/>
    <w:rsid w:val="00C24142"/>
    <w:rsid w:val="00C24191"/>
    <w:rsid w:val="00C2419F"/>
    <w:rsid w:val="00C241AD"/>
    <w:rsid w:val="00C24256"/>
    <w:rsid w:val="00C2426E"/>
    <w:rsid w:val="00C24543"/>
    <w:rsid w:val="00C24914"/>
    <w:rsid w:val="00C24EC4"/>
    <w:rsid w:val="00C250B3"/>
    <w:rsid w:val="00C25162"/>
    <w:rsid w:val="00C25246"/>
    <w:rsid w:val="00C252D4"/>
    <w:rsid w:val="00C25564"/>
    <w:rsid w:val="00C25666"/>
    <w:rsid w:val="00C25C3A"/>
    <w:rsid w:val="00C25DB6"/>
    <w:rsid w:val="00C26306"/>
    <w:rsid w:val="00C26363"/>
    <w:rsid w:val="00C2682B"/>
    <w:rsid w:val="00C2699A"/>
    <w:rsid w:val="00C2702A"/>
    <w:rsid w:val="00C279E9"/>
    <w:rsid w:val="00C27ABE"/>
    <w:rsid w:val="00C27C54"/>
    <w:rsid w:val="00C27D34"/>
    <w:rsid w:val="00C27FF7"/>
    <w:rsid w:val="00C30AC2"/>
    <w:rsid w:val="00C30C43"/>
    <w:rsid w:val="00C30E40"/>
    <w:rsid w:val="00C3108A"/>
    <w:rsid w:val="00C31412"/>
    <w:rsid w:val="00C314AD"/>
    <w:rsid w:val="00C316C8"/>
    <w:rsid w:val="00C31CEE"/>
    <w:rsid w:val="00C31F07"/>
    <w:rsid w:val="00C32449"/>
    <w:rsid w:val="00C327C7"/>
    <w:rsid w:val="00C32818"/>
    <w:rsid w:val="00C328D0"/>
    <w:rsid w:val="00C3291D"/>
    <w:rsid w:val="00C32B1E"/>
    <w:rsid w:val="00C32B6B"/>
    <w:rsid w:val="00C32BBC"/>
    <w:rsid w:val="00C32CA3"/>
    <w:rsid w:val="00C32E22"/>
    <w:rsid w:val="00C32E84"/>
    <w:rsid w:val="00C33071"/>
    <w:rsid w:val="00C33501"/>
    <w:rsid w:val="00C33706"/>
    <w:rsid w:val="00C33B5B"/>
    <w:rsid w:val="00C33BB4"/>
    <w:rsid w:val="00C33BE9"/>
    <w:rsid w:val="00C33C19"/>
    <w:rsid w:val="00C33C3D"/>
    <w:rsid w:val="00C33C88"/>
    <w:rsid w:val="00C33D45"/>
    <w:rsid w:val="00C33D5B"/>
    <w:rsid w:val="00C34C7E"/>
    <w:rsid w:val="00C34DD2"/>
    <w:rsid w:val="00C35211"/>
    <w:rsid w:val="00C357CC"/>
    <w:rsid w:val="00C35811"/>
    <w:rsid w:val="00C35894"/>
    <w:rsid w:val="00C358AC"/>
    <w:rsid w:val="00C358FF"/>
    <w:rsid w:val="00C35937"/>
    <w:rsid w:val="00C35983"/>
    <w:rsid w:val="00C35E43"/>
    <w:rsid w:val="00C362AE"/>
    <w:rsid w:val="00C3650D"/>
    <w:rsid w:val="00C369AC"/>
    <w:rsid w:val="00C36CB4"/>
    <w:rsid w:val="00C36E29"/>
    <w:rsid w:val="00C36FE8"/>
    <w:rsid w:val="00C37065"/>
    <w:rsid w:val="00C370B5"/>
    <w:rsid w:val="00C371CF"/>
    <w:rsid w:val="00C37236"/>
    <w:rsid w:val="00C372AF"/>
    <w:rsid w:val="00C37405"/>
    <w:rsid w:val="00C378F2"/>
    <w:rsid w:val="00C37B1D"/>
    <w:rsid w:val="00C37BC7"/>
    <w:rsid w:val="00C37E93"/>
    <w:rsid w:val="00C37EF5"/>
    <w:rsid w:val="00C37FA7"/>
    <w:rsid w:val="00C40338"/>
    <w:rsid w:val="00C407FD"/>
    <w:rsid w:val="00C408AA"/>
    <w:rsid w:val="00C40B12"/>
    <w:rsid w:val="00C40BB3"/>
    <w:rsid w:val="00C40FFB"/>
    <w:rsid w:val="00C41063"/>
    <w:rsid w:val="00C4178A"/>
    <w:rsid w:val="00C417BB"/>
    <w:rsid w:val="00C41947"/>
    <w:rsid w:val="00C41BF8"/>
    <w:rsid w:val="00C41C1F"/>
    <w:rsid w:val="00C41C84"/>
    <w:rsid w:val="00C41CC3"/>
    <w:rsid w:val="00C41E23"/>
    <w:rsid w:val="00C42A83"/>
    <w:rsid w:val="00C42DC7"/>
    <w:rsid w:val="00C42DEB"/>
    <w:rsid w:val="00C42EBB"/>
    <w:rsid w:val="00C43014"/>
    <w:rsid w:val="00C4308F"/>
    <w:rsid w:val="00C430B7"/>
    <w:rsid w:val="00C43102"/>
    <w:rsid w:val="00C43328"/>
    <w:rsid w:val="00C43607"/>
    <w:rsid w:val="00C436D1"/>
    <w:rsid w:val="00C4371D"/>
    <w:rsid w:val="00C43DD5"/>
    <w:rsid w:val="00C43E55"/>
    <w:rsid w:val="00C43E96"/>
    <w:rsid w:val="00C43ED3"/>
    <w:rsid w:val="00C4429F"/>
    <w:rsid w:val="00C44471"/>
    <w:rsid w:val="00C447B1"/>
    <w:rsid w:val="00C447DB"/>
    <w:rsid w:val="00C44A68"/>
    <w:rsid w:val="00C44F4F"/>
    <w:rsid w:val="00C44FB5"/>
    <w:rsid w:val="00C453F3"/>
    <w:rsid w:val="00C45611"/>
    <w:rsid w:val="00C45746"/>
    <w:rsid w:val="00C45ABE"/>
    <w:rsid w:val="00C45AF0"/>
    <w:rsid w:val="00C45BB6"/>
    <w:rsid w:val="00C45C03"/>
    <w:rsid w:val="00C45C61"/>
    <w:rsid w:val="00C45FB0"/>
    <w:rsid w:val="00C46238"/>
    <w:rsid w:val="00C4634E"/>
    <w:rsid w:val="00C46509"/>
    <w:rsid w:val="00C46A4F"/>
    <w:rsid w:val="00C46BCF"/>
    <w:rsid w:val="00C46E12"/>
    <w:rsid w:val="00C47044"/>
    <w:rsid w:val="00C471E0"/>
    <w:rsid w:val="00C47416"/>
    <w:rsid w:val="00C476DB"/>
    <w:rsid w:val="00C477B6"/>
    <w:rsid w:val="00C47800"/>
    <w:rsid w:val="00C47968"/>
    <w:rsid w:val="00C47A09"/>
    <w:rsid w:val="00C5011D"/>
    <w:rsid w:val="00C503C2"/>
    <w:rsid w:val="00C504F1"/>
    <w:rsid w:val="00C50A19"/>
    <w:rsid w:val="00C50ED3"/>
    <w:rsid w:val="00C51062"/>
    <w:rsid w:val="00C5107E"/>
    <w:rsid w:val="00C51429"/>
    <w:rsid w:val="00C5163A"/>
    <w:rsid w:val="00C51B02"/>
    <w:rsid w:val="00C51BB2"/>
    <w:rsid w:val="00C51E5C"/>
    <w:rsid w:val="00C51E87"/>
    <w:rsid w:val="00C51FC8"/>
    <w:rsid w:val="00C52175"/>
    <w:rsid w:val="00C52432"/>
    <w:rsid w:val="00C525A4"/>
    <w:rsid w:val="00C5261E"/>
    <w:rsid w:val="00C52700"/>
    <w:rsid w:val="00C52970"/>
    <w:rsid w:val="00C52975"/>
    <w:rsid w:val="00C52A4A"/>
    <w:rsid w:val="00C52C93"/>
    <w:rsid w:val="00C5312E"/>
    <w:rsid w:val="00C53135"/>
    <w:rsid w:val="00C53312"/>
    <w:rsid w:val="00C5336A"/>
    <w:rsid w:val="00C53396"/>
    <w:rsid w:val="00C53587"/>
    <w:rsid w:val="00C536E9"/>
    <w:rsid w:val="00C53A31"/>
    <w:rsid w:val="00C53BB3"/>
    <w:rsid w:val="00C53CA1"/>
    <w:rsid w:val="00C543DA"/>
    <w:rsid w:val="00C54553"/>
    <w:rsid w:val="00C5457A"/>
    <w:rsid w:val="00C54666"/>
    <w:rsid w:val="00C5483B"/>
    <w:rsid w:val="00C548AD"/>
    <w:rsid w:val="00C54BE4"/>
    <w:rsid w:val="00C54CDD"/>
    <w:rsid w:val="00C54CF4"/>
    <w:rsid w:val="00C54E16"/>
    <w:rsid w:val="00C55260"/>
    <w:rsid w:val="00C55549"/>
    <w:rsid w:val="00C555D4"/>
    <w:rsid w:val="00C555F5"/>
    <w:rsid w:val="00C55821"/>
    <w:rsid w:val="00C55B89"/>
    <w:rsid w:val="00C55CBF"/>
    <w:rsid w:val="00C55CD9"/>
    <w:rsid w:val="00C55FAA"/>
    <w:rsid w:val="00C55FAF"/>
    <w:rsid w:val="00C5606B"/>
    <w:rsid w:val="00C5611A"/>
    <w:rsid w:val="00C561C2"/>
    <w:rsid w:val="00C5636F"/>
    <w:rsid w:val="00C5649F"/>
    <w:rsid w:val="00C56600"/>
    <w:rsid w:val="00C566B2"/>
    <w:rsid w:val="00C566E6"/>
    <w:rsid w:val="00C56C07"/>
    <w:rsid w:val="00C5703A"/>
    <w:rsid w:val="00C57044"/>
    <w:rsid w:val="00C570E7"/>
    <w:rsid w:val="00C570F8"/>
    <w:rsid w:val="00C57179"/>
    <w:rsid w:val="00C57265"/>
    <w:rsid w:val="00C57379"/>
    <w:rsid w:val="00C5740B"/>
    <w:rsid w:val="00C574D3"/>
    <w:rsid w:val="00C575CF"/>
    <w:rsid w:val="00C575EE"/>
    <w:rsid w:val="00C577F1"/>
    <w:rsid w:val="00C57A34"/>
    <w:rsid w:val="00C57A88"/>
    <w:rsid w:val="00C57DC6"/>
    <w:rsid w:val="00C57DCC"/>
    <w:rsid w:val="00C57F0E"/>
    <w:rsid w:val="00C6025A"/>
    <w:rsid w:val="00C603EE"/>
    <w:rsid w:val="00C60489"/>
    <w:rsid w:val="00C60565"/>
    <w:rsid w:val="00C60619"/>
    <w:rsid w:val="00C6064C"/>
    <w:rsid w:val="00C60A2B"/>
    <w:rsid w:val="00C60C17"/>
    <w:rsid w:val="00C60C1E"/>
    <w:rsid w:val="00C60F0D"/>
    <w:rsid w:val="00C6157E"/>
    <w:rsid w:val="00C618CB"/>
    <w:rsid w:val="00C61ABF"/>
    <w:rsid w:val="00C622B6"/>
    <w:rsid w:val="00C622D3"/>
    <w:rsid w:val="00C623A8"/>
    <w:rsid w:val="00C6248C"/>
    <w:rsid w:val="00C6260F"/>
    <w:rsid w:val="00C6264F"/>
    <w:rsid w:val="00C62DC3"/>
    <w:rsid w:val="00C62ECE"/>
    <w:rsid w:val="00C62FBB"/>
    <w:rsid w:val="00C6320F"/>
    <w:rsid w:val="00C63367"/>
    <w:rsid w:val="00C6336E"/>
    <w:rsid w:val="00C636B2"/>
    <w:rsid w:val="00C63740"/>
    <w:rsid w:val="00C63868"/>
    <w:rsid w:val="00C638D3"/>
    <w:rsid w:val="00C63BC8"/>
    <w:rsid w:val="00C63C23"/>
    <w:rsid w:val="00C63C5E"/>
    <w:rsid w:val="00C63EA7"/>
    <w:rsid w:val="00C63FCB"/>
    <w:rsid w:val="00C640FB"/>
    <w:rsid w:val="00C643B5"/>
    <w:rsid w:val="00C6444F"/>
    <w:rsid w:val="00C6447E"/>
    <w:rsid w:val="00C64691"/>
    <w:rsid w:val="00C646C7"/>
    <w:rsid w:val="00C6478E"/>
    <w:rsid w:val="00C647ED"/>
    <w:rsid w:val="00C64A03"/>
    <w:rsid w:val="00C64C76"/>
    <w:rsid w:val="00C64DD3"/>
    <w:rsid w:val="00C64F6B"/>
    <w:rsid w:val="00C65181"/>
    <w:rsid w:val="00C651E0"/>
    <w:rsid w:val="00C657BD"/>
    <w:rsid w:val="00C65941"/>
    <w:rsid w:val="00C65BD8"/>
    <w:rsid w:val="00C65E0E"/>
    <w:rsid w:val="00C65E10"/>
    <w:rsid w:val="00C66375"/>
    <w:rsid w:val="00C66505"/>
    <w:rsid w:val="00C6651D"/>
    <w:rsid w:val="00C665EB"/>
    <w:rsid w:val="00C6667C"/>
    <w:rsid w:val="00C666A5"/>
    <w:rsid w:val="00C6688A"/>
    <w:rsid w:val="00C668DD"/>
    <w:rsid w:val="00C66984"/>
    <w:rsid w:val="00C669E5"/>
    <w:rsid w:val="00C66A52"/>
    <w:rsid w:val="00C66B37"/>
    <w:rsid w:val="00C66F9A"/>
    <w:rsid w:val="00C67ADA"/>
    <w:rsid w:val="00C67DA9"/>
    <w:rsid w:val="00C67FD1"/>
    <w:rsid w:val="00C701B1"/>
    <w:rsid w:val="00C7078C"/>
    <w:rsid w:val="00C7078D"/>
    <w:rsid w:val="00C708DC"/>
    <w:rsid w:val="00C7093D"/>
    <w:rsid w:val="00C70AEB"/>
    <w:rsid w:val="00C70D65"/>
    <w:rsid w:val="00C70E65"/>
    <w:rsid w:val="00C70ED5"/>
    <w:rsid w:val="00C7103F"/>
    <w:rsid w:val="00C71257"/>
    <w:rsid w:val="00C71316"/>
    <w:rsid w:val="00C71497"/>
    <w:rsid w:val="00C717A8"/>
    <w:rsid w:val="00C71B17"/>
    <w:rsid w:val="00C72689"/>
    <w:rsid w:val="00C728DF"/>
    <w:rsid w:val="00C72950"/>
    <w:rsid w:val="00C72ACE"/>
    <w:rsid w:val="00C72B10"/>
    <w:rsid w:val="00C72B85"/>
    <w:rsid w:val="00C72CDD"/>
    <w:rsid w:val="00C72E72"/>
    <w:rsid w:val="00C72F21"/>
    <w:rsid w:val="00C731A7"/>
    <w:rsid w:val="00C7329E"/>
    <w:rsid w:val="00C73526"/>
    <w:rsid w:val="00C736AD"/>
    <w:rsid w:val="00C738B4"/>
    <w:rsid w:val="00C73C50"/>
    <w:rsid w:val="00C73E5A"/>
    <w:rsid w:val="00C74122"/>
    <w:rsid w:val="00C7437D"/>
    <w:rsid w:val="00C743E8"/>
    <w:rsid w:val="00C74604"/>
    <w:rsid w:val="00C74740"/>
    <w:rsid w:val="00C74B9A"/>
    <w:rsid w:val="00C74FAC"/>
    <w:rsid w:val="00C7503A"/>
    <w:rsid w:val="00C754A6"/>
    <w:rsid w:val="00C755DB"/>
    <w:rsid w:val="00C7595A"/>
    <w:rsid w:val="00C75A48"/>
    <w:rsid w:val="00C75A4E"/>
    <w:rsid w:val="00C75B06"/>
    <w:rsid w:val="00C75E02"/>
    <w:rsid w:val="00C760BB"/>
    <w:rsid w:val="00C761A6"/>
    <w:rsid w:val="00C7676D"/>
    <w:rsid w:val="00C767C5"/>
    <w:rsid w:val="00C76C1D"/>
    <w:rsid w:val="00C76C6A"/>
    <w:rsid w:val="00C76CDA"/>
    <w:rsid w:val="00C76E18"/>
    <w:rsid w:val="00C7724B"/>
    <w:rsid w:val="00C7732B"/>
    <w:rsid w:val="00C77391"/>
    <w:rsid w:val="00C77AE9"/>
    <w:rsid w:val="00C77C68"/>
    <w:rsid w:val="00C8017D"/>
    <w:rsid w:val="00C803F6"/>
    <w:rsid w:val="00C804FE"/>
    <w:rsid w:val="00C805FC"/>
    <w:rsid w:val="00C80839"/>
    <w:rsid w:val="00C8091F"/>
    <w:rsid w:val="00C80B8F"/>
    <w:rsid w:val="00C80E23"/>
    <w:rsid w:val="00C80F84"/>
    <w:rsid w:val="00C8109C"/>
    <w:rsid w:val="00C811DF"/>
    <w:rsid w:val="00C812E1"/>
    <w:rsid w:val="00C817B2"/>
    <w:rsid w:val="00C819D0"/>
    <w:rsid w:val="00C81B05"/>
    <w:rsid w:val="00C81EDA"/>
    <w:rsid w:val="00C8208D"/>
    <w:rsid w:val="00C820CA"/>
    <w:rsid w:val="00C8214C"/>
    <w:rsid w:val="00C82212"/>
    <w:rsid w:val="00C82284"/>
    <w:rsid w:val="00C82466"/>
    <w:rsid w:val="00C825B9"/>
    <w:rsid w:val="00C82727"/>
    <w:rsid w:val="00C82803"/>
    <w:rsid w:val="00C82B2E"/>
    <w:rsid w:val="00C82D4D"/>
    <w:rsid w:val="00C82DDF"/>
    <w:rsid w:val="00C82EC7"/>
    <w:rsid w:val="00C83025"/>
    <w:rsid w:val="00C83256"/>
    <w:rsid w:val="00C834BB"/>
    <w:rsid w:val="00C834D2"/>
    <w:rsid w:val="00C8361C"/>
    <w:rsid w:val="00C8368F"/>
    <w:rsid w:val="00C83708"/>
    <w:rsid w:val="00C83869"/>
    <w:rsid w:val="00C8396B"/>
    <w:rsid w:val="00C83A47"/>
    <w:rsid w:val="00C84254"/>
    <w:rsid w:val="00C844E2"/>
    <w:rsid w:val="00C8480E"/>
    <w:rsid w:val="00C84BEC"/>
    <w:rsid w:val="00C8502F"/>
    <w:rsid w:val="00C854BF"/>
    <w:rsid w:val="00C8557B"/>
    <w:rsid w:val="00C85EDD"/>
    <w:rsid w:val="00C85F24"/>
    <w:rsid w:val="00C8607F"/>
    <w:rsid w:val="00C8633C"/>
    <w:rsid w:val="00C864FA"/>
    <w:rsid w:val="00C865A0"/>
    <w:rsid w:val="00C86C69"/>
    <w:rsid w:val="00C86D41"/>
    <w:rsid w:val="00C86DE9"/>
    <w:rsid w:val="00C870DA"/>
    <w:rsid w:val="00C870E4"/>
    <w:rsid w:val="00C87270"/>
    <w:rsid w:val="00C87301"/>
    <w:rsid w:val="00C87958"/>
    <w:rsid w:val="00C87E33"/>
    <w:rsid w:val="00C87E82"/>
    <w:rsid w:val="00C87FAC"/>
    <w:rsid w:val="00C87FBE"/>
    <w:rsid w:val="00C90320"/>
    <w:rsid w:val="00C90385"/>
    <w:rsid w:val="00C903CA"/>
    <w:rsid w:val="00C9044C"/>
    <w:rsid w:val="00C90AB7"/>
    <w:rsid w:val="00C90AC8"/>
    <w:rsid w:val="00C90D14"/>
    <w:rsid w:val="00C90FCA"/>
    <w:rsid w:val="00C91340"/>
    <w:rsid w:val="00C91462"/>
    <w:rsid w:val="00C9153B"/>
    <w:rsid w:val="00C91B0A"/>
    <w:rsid w:val="00C91B66"/>
    <w:rsid w:val="00C91EE2"/>
    <w:rsid w:val="00C91F57"/>
    <w:rsid w:val="00C920EC"/>
    <w:rsid w:val="00C92101"/>
    <w:rsid w:val="00C922A9"/>
    <w:rsid w:val="00C922CC"/>
    <w:rsid w:val="00C9240B"/>
    <w:rsid w:val="00C925E1"/>
    <w:rsid w:val="00C92616"/>
    <w:rsid w:val="00C92876"/>
    <w:rsid w:val="00C92903"/>
    <w:rsid w:val="00C92A62"/>
    <w:rsid w:val="00C92AEB"/>
    <w:rsid w:val="00C92CCB"/>
    <w:rsid w:val="00C92EC3"/>
    <w:rsid w:val="00C92ED5"/>
    <w:rsid w:val="00C932AA"/>
    <w:rsid w:val="00C9350F"/>
    <w:rsid w:val="00C9377F"/>
    <w:rsid w:val="00C937ED"/>
    <w:rsid w:val="00C939F8"/>
    <w:rsid w:val="00C93B2D"/>
    <w:rsid w:val="00C93B33"/>
    <w:rsid w:val="00C93B9B"/>
    <w:rsid w:val="00C93DAF"/>
    <w:rsid w:val="00C93E69"/>
    <w:rsid w:val="00C942AD"/>
    <w:rsid w:val="00C94429"/>
    <w:rsid w:val="00C947BD"/>
    <w:rsid w:val="00C9481D"/>
    <w:rsid w:val="00C94F3F"/>
    <w:rsid w:val="00C95090"/>
    <w:rsid w:val="00C95578"/>
    <w:rsid w:val="00C955C3"/>
    <w:rsid w:val="00C955C9"/>
    <w:rsid w:val="00C9562E"/>
    <w:rsid w:val="00C956FB"/>
    <w:rsid w:val="00C9579B"/>
    <w:rsid w:val="00C9584A"/>
    <w:rsid w:val="00C95E66"/>
    <w:rsid w:val="00C95FA3"/>
    <w:rsid w:val="00C95FB6"/>
    <w:rsid w:val="00C96499"/>
    <w:rsid w:val="00C964F4"/>
    <w:rsid w:val="00C969AB"/>
    <w:rsid w:val="00C96A4D"/>
    <w:rsid w:val="00C96B28"/>
    <w:rsid w:val="00C96FC4"/>
    <w:rsid w:val="00C97002"/>
    <w:rsid w:val="00C9785F"/>
    <w:rsid w:val="00C9789D"/>
    <w:rsid w:val="00C97C23"/>
    <w:rsid w:val="00C97E0E"/>
    <w:rsid w:val="00C97F68"/>
    <w:rsid w:val="00CA0116"/>
    <w:rsid w:val="00CA058F"/>
    <w:rsid w:val="00CA07CD"/>
    <w:rsid w:val="00CA0A6C"/>
    <w:rsid w:val="00CA0AB8"/>
    <w:rsid w:val="00CA0CA3"/>
    <w:rsid w:val="00CA0CAE"/>
    <w:rsid w:val="00CA0EB4"/>
    <w:rsid w:val="00CA0FDB"/>
    <w:rsid w:val="00CA1066"/>
    <w:rsid w:val="00CA1091"/>
    <w:rsid w:val="00CA10D3"/>
    <w:rsid w:val="00CA1217"/>
    <w:rsid w:val="00CA12BE"/>
    <w:rsid w:val="00CA16D5"/>
    <w:rsid w:val="00CA1775"/>
    <w:rsid w:val="00CA1A52"/>
    <w:rsid w:val="00CA1CCF"/>
    <w:rsid w:val="00CA28DC"/>
    <w:rsid w:val="00CA2930"/>
    <w:rsid w:val="00CA295D"/>
    <w:rsid w:val="00CA2A89"/>
    <w:rsid w:val="00CA2E9D"/>
    <w:rsid w:val="00CA2F4E"/>
    <w:rsid w:val="00CA2F4F"/>
    <w:rsid w:val="00CA2FFA"/>
    <w:rsid w:val="00CA3276"/>
    <w:rsid w:val="00CA33AB"/>
    <w:rsid w:val="00CA33DB"/>
    <w:rsid w:val="00CA33DC"/>
    <w:rsid w:val="00CA33FC"/>
    <w:rsid w:val="00CA3642"/>
    <w:rsid w:val="00CA3675"/>
    <w:rsid w:val="00CA36E4"/>
    <w:rsid w:val="00CA3740"/>
    <w:rsid w:val="00CA3859"/>
    <w:rsid w:val="00CA3899"/>
    <w:rsid w:val="00CA3F2C"/>
    <w:rsid w:val="00CA3FD9"/>
    <w:rsid w:val="00CA4039"/>
    <w:rsid w:val="00CA40C8"/>
    <w:rsid w:val="00CA4215"/>
    <w:rsid w:val="00CA444D"/>
    <w:rsid w:val="00CA4547"/>
    <w:rsid w:val="00CA4762"/>
    <w:rsid w:val="00CA4D3C"/>
    <w:rsid w:val="00CA4D8B"/>
    <w:rsid w:val="00CA4DA7"/>
    <w:rsid w:val="00CA4FEF"/>
    <w:rsid w:val="00CA4FF5"/>
    <w:rsid w:val="00CA4FF6"/>
    <w:rsid w:val="00CA51C3"/>
    <w:rsid w:val="00CA5245"/>
    <w:rsid w:val="00CA53C1"/>
    <w:rsid w:val="00CA5656"/>
    <w:rsid w:val="00CA568A"/>
    <w:rsid w:val="00CA5913"/>
    <w:rsid w:val="00CA5962"/>
    <w:rsid w:val="00CA59D5"/>
    <w:rsid w:val="00CA5DCA"/>
    <w:rsid w:val="00CA5F58"/>
    <w:rsid w:val="00CA5F99"/>
    <w:rsid w:val="00CA6128"/>
    <w:rsid w:val="00CA6265"/>
    <w:rsid w:val="00CA6380"/>
    <w:rsid w:val="00CA63D6"/>
    <w:rsid w:val="00CA641A"/>
    <w:rsid w:val="00CA6658"/>
    <w:rsid w:val="00CA674D"/>
    <w:rsid w:val="00CA68BA"/>
    <w:rsid w:val="00CA68D7"/>
    <w:rsid w:val="00CA68E7"/>
    <w:rsid w:val="00CA6AFF"/>
    <w:rsid w:val="00CA6BD7"/>
    <w:rsid w:val="00CA6F94"/>
    <w:rsid w:val="00CA7049"/>
    <w:rsid w:val="00CA7540"/>
    <w:rsid w:val="00CA7558"/>
    <w:rsid w:val="00CA76CB"/>
    <w:rsid w:val="00CA76FD"/>
    <w:rsid w:val="00CA7F3E"/>
    <w:rsid w:val="00CA7FB2"/>
    <w:rsid w:val="00CB004C"/>
    <w:rsid w:val="00CB0087"/>
    <w:rsid w:val="00CB008E"/>
    <w:rsid w:val="00CB0145"/>
    <w:rsid w:val="00CB020A"/>
    <w:rsid w:val="00CB038E"/>
    <w:rsid w:val="00CB048F"/>
    <w:rsid w:val="00CB04EB"/>
    <w:rsid w:val="00CB0726"/>
    <w:rsid w:val="00CB08AC"/>
    <w:rsid w:val="00CB09DB"/>
    <w:rsid w:val="00CB0AC5"/>
    <w:rsid w:val="00CB0BCF"/>
    <w:rsid w:val="00CB0C9D"/>
    <w:rsid w:val="00CB0DD5"/>
    <w:rsid w:val="00CB11EE"/>
    <w:rsid w:val="00CB1339"/>
    <w:rsid w:val="00CB16AF"/>
    <w:rsid w:val="00CB1833"/>
    <w:rsid w:val="00CB1A38"/>
    <w:rsid w:val="00CB1B8E"/>
    <w:rsid w:val="00CB234A"/>
    <w:rsid w:val="00CB238D"/>
    <w:rsid w:val="00CB257B"/>
    <w:rsid w:val="00CB2692"/>
    <w:rsid w:val="00CB27C3"/>
    <w:rsid w:val="00CB2810"/>
    <w:rsid w:val="00CB2A0B"/>
    <w:rsid w:val="00CB2A50"/>
    <w:rsid w:val="00CB2B91"/>
    <w:rsid w:val="00CB2ED8"/>
    <w:rsid w:val="00CB2EDC"/>
    <w:rsid w:val="00CB31C4"/>
    <w:rsid w:val="00CB32A5"/>
    <w:rsid w:val="00CB32E2"/>
    <w:rsid w:val="00CB33D7"/>
    <w:rsid w:val="00CB37CC"/>
    <w:rsid w:val="00CB3851"/>
    <w:rsid w:val="00CB3959"/>
    <w:rsid w:val="00CB3CAB"/>
    <w:rsid w:val="00CB40ED"/>
    <w:rsid w:val="00CB41C7"/>
    <w:rsid w:val="00CB4349"/>
    <w:rsid w:val="00CB4627"/>
    <w:rsid w:val="00CB485F"/>
    <w:rsid w:val="00CB49BC"/>
    <w:rsid w:val="00CB4CB5"/>
    <w:rsid w:val="00CB5118"/>
    <w:rsid w:val="00CB5275"/>
    <w:rsid w:val="00CB56C7"/>
    <w:rsid w:val="00CB5771"/>
    <w:rsid w:val="00CB57D4"/>
    <w:rsid w:val="00CB588E"/>
    <w:rsid w:val="00CB5997"/>
    <w:rsid w:val="00CB5C22"/>
    <w:rsid w:val="00CB5C64"/>
    <w:rsid w:val="00CB5CC5"/>
    <w:rsid w:val="00CB6286"/>
    <w:rsid w:val="00CB637B"/>
    <w:rsid w:val="00CB640A"/>
    <w:rsid w:val="00CB66F5"/>
    <w:rsid w:val="00CB6816"/>
    <w:rsid w:val="00CB692F"/>
    <w:rsid w:val="00CB69AE"/>
    <w:rsid w:val="00CB6E0A"/>
    <w:rsid w:val="00CB6E53"/>
    <w:rsid w:val="00CB6F2D"/>
    <w:rsid w:val="00CB6F82"/>
    <w:rsid w:val="00CB7153"/>
    <w:rsid w:val="00CB71FC"/>
    <w:rsid w:val="00CB7249"/>
    <w:rsid w:val="00CB73FB"/>
    <w:rsid w:val="00CB751A"/>
    <w:rsid w:val="00CB753C"/>
    <w:rsid w:val="00CB7600"/>
    <w:rsid w:val="00CB762D"/>
    <w:rsid w:val="00CB77B3"/>
    <w:rsid w:val="00CB7A4E"/>
    <w:rsid w:val="00CB7B62"/>
    <w:rsid w:val="00CB7D1F"/>
    <w:rsid w:val="00CC06AE"/>
    <w:rsid w:val="00CC06C8"/>
    <w:rsid w:val="00CC0AA6"/>
    <w:rsid w:val="00CC0BDD"/>
    <w:rsid w:val="00CC0CB6"/>
    <w:rsid w:val="00CC0DC3"/>
    <w:rsid w:val="00CC0DF3"/>
    <w:rsid w:val="00CC0EA9"/>
    <w:rsid w:val="00CC0ECD"/>
    <w:rsid w:val="00CC0F51"/>
    <w:rsid w:val="00CC0F55"/>
    <w:rsid w:val="00CC0FD1"/>
    <w:rsid w:val="00CC0FF7"/>
    <w:rsid w:val="00CC1153"/>
    <w:rsid w:val="00CC14FF"/>
    <w:rsid w:val="00CC15FA"/>
    <w:rsid w:val="00CC1658"/>
    <w:rsid w:val="00CC1892"/>
    <w:rsid w:val="00CC18E7"/>
    <w:rsid w:val="00CC1A38"/>
    <w:rsid w:val="00CC1BA8"/>
    <w:rsid w:val="00CC1C5A"/>
    <w:rsid w:val="00CC1DBF"/>
    <w:rsid w:val="00CC24C8"/>
    <w:rsid w:val="00CC278E"/>
    <w:rsid w:val="00CC286A"/>
    <w:rsid w:val="00CC2A3F"/>
    <w:rsid w:val="00CC2B34"/>
    <w:rsid w:val="00CC2B9F"/>
    <w:rsid w:val="00CC2E87"/>
    <w:rsid w:val="00CC326A"/>
    <w:rsid w:val="00CC37B9"/>
    <w:rsid w:val="00CC3B30"/>
    <w:rsid w:val="00CC3C0D"/>
    <w:rsid w:val="00CC4472"/>
    <w:rsid w:val="00CC44A0"/>
    <w:rsid w:val="00CC48E7"/>
    <w:rsid w:val="00CC4A83"/>
    <w:rsid w:val="00CC4F41"/>
    <w:rsid w:val="00CC5035"/>
    <w:rsid w:val="00CC5162"/>
    <w:rsid w:val="00CC5633"/>
    <w:rsid w:val="00CC56B0"/>
    <w:rsid w:val="00CC56EA"/>
    <w:rsid w:val="00CC5A0F"/>
    <w:rsid w:val="00CC5B24"/>
    <w:rsid w:val="00CC610D"/>
    <w:rsid w:val="00CC619B"/>
    <w:rsid w:val="00CC62F8"/>
    <w:rsid w:val="00CC6446"/>
    <w:rsid w:val="00CC6465"/>
    <w:rsid w:val="00CC6494"/>
    <w:rsid w:val="00CC6521"/>
    <w:rsid w:val="00CC65AD"/>
    <w:rsid w:val="00CC675D"/>
    <w:rsid w:val="00CC692A"/>
    <w:rsid w:val="00CC6A77"/>
    <w:rsid w:val="00CC6E31"/>
    <w:rsid w:val="00CC6F1E"/>
    <w:rsid w:val="00CC7036"/>
    <w:rsid w:val="00CC7213"/>
    <w:rsid w:val="00CC73DE"/>
    <w:rsid w:val="00CC7657"/>
    <w:rsid w:val="00CC784E"/>
    <w:rsid w:val="00CC78B5"/>
    <w:rsid w:val="00CC79B7"/>
    <w:rsid w:val="00CC7C88"/>
    <w:rsid w:val="00CD01FE"/>
    <w:rsid w:val="00CD0381"/>
    <w:rsid w:val="00CD044D"/>
    <w:rsid w:val="00CD0483"/>
    <w:rsid w:val="00CD0494"/>
    <w:rsid w:val="00CD0840"/>
    <w:rsid w:val="00CD0998"/>
    <w:rsid w:val="00CD0BEA"/>
    <w:rsid w:val="00CD0D3D"/>
    <w:rsid w:val="00CD0FE5"/>
    <w:rsid w:val="00CD0FF8"/>
    <w:rsid w:val="00CD11A2"/>
    <w:rsid w:val="00CD13BC"/>
    <w:rsid w:val="00CD1491"/>
    <w:rsid w:val="00CD14AD"/>
    <w:rsid w:val="00CD15B7"/>
    <w:rsid w:val="00CD1A93"/>
    <w:rsid w:val="00CD1BF9"/>
    <w:rsid w:val="00CD1F10"/>
    <w:rsid w:val="00CD20C5"/>
    <w:rsid w:val="00CD21BB"/>
    <w:rsid w:val="00CD24B4"/>
    <w:rsid w:val="00CD257E"/>
    <w:rsid w:val="00CD266E"/>
    <w:rsid w:val="00CD269F"/>
    <w:rsid w:val="00CD2ACF"/>
    <w:rsid w:val="00CD2B99"/>
    <w:rsid w:val="00CD311A"/>
    <w:rsid w:val="00CD3314"/>
    <w:rsid w:val="00CD3545"/>
    <w:rsid w:val="00CD3843"/>
    <w:rsid w:val="00CD3859"/>
    <w:rsid w:val="00CD3A03"/>
    <w:rsid w:val="00CD3A8C"/>
    <w:rsid w:val="00CD3CDA"/>
    <w:rsid w:val="00CD3D8B"/>
    <w:rsid w:val="00CD3EA1"/>
    <w:rsid w:val="00CD40A4"/>
    <w:rsid w:val="00CD40D7"/>
    <w:rsid w:val="00CD41A0"/>
    <w:rsid w:val="00CD437C"/>
    <w:rsid w:val="00CD443D"/>
    <w:rsid w:val="00CD4840"/>
    <w:rsid w:val="00CD489C"/>
    <w:rsid w:val="00CD4973"/>
    <w:rsid w:val="00CD4AD9"/>
    <w:rsid w:val="00CD4C26"/>
    <w:rsid w:val="00CD4E52"/>
    <w:rsid w:val="00CD4EA0"/>
    <w:rsid w:val="00CD5053"/>
    <w:rsid w:val="00CD50FB"/>
    <w:rsid w:val="00CD5112"/>
    <w:rsid w:val="00CD5159"/>
    <w:rsid w:val="00CD52E5"/>
    <w:rsid w:val="00CD56B0"/>
    <w:rsid w:val="00CD57BC"/>
    <w:rsid w:val="00CD57CD"/>
    <w:rsid w:val="00CD592E"/>
    <w:rsid w:val="00CD5E27"/>
    <w:rsid w:val="00CD62AC"/>
    <w:rsid w:val="00CD65C2"/>
    <w:rsid w:val="00CD665A"/>
    <w:rsid w:val="00CD668B"/>
    <w:rsid w:val="00CD690B"/>
    <w:rsid w:val="00CD697D"/>
    <w:rsid w:val="00CD6A56"/>
    <w:rsid w:val="00CD6AD3"/>
    <w:rsid w:val="00CD6C0D"/>
    <w:rsid w:val="00CD6F72"/>
    <w:rsid w:val="00CD703C"/>
    <w:rsid w:val="00CD70CB"/>
    <w:rsid w:val="00CD7626"/>
    <w:rsid w:val="00CD7B93"/>
    <w:rsid w:val="00CD7E76"/>
    <w:rsid w:val="00CD7F7F"/>
    <w:rsid w:val="00CD7FD6"/>
    <w:rsid w:val="00CE00EA"/>
    <w:rsid w:val="00CE0261"/>
    <w:rsid w:val="00CE0450"/>
    <w:rsid w:val="00CE0743"/>
    <w:rsid w:val="00CE0792"/>
    <w:rsid w:val="00CE0B28"/>
    <w:rsid w:val="00CE0B2E"/>
    <w:rsid w:val="00CE1007"/>
    <w:rsid w:val="00CE1038"/>
    <w:rsid w:val="00CE11C4"/>
    <w:rsid w:val="00CE12CD"/>
    <w:rsid w:val="00CE1307"/>
    <w:rsid w:val="00CE1357"/>
    <w:rsid w:val="00CE136D"/>
    <w:rsid w:val="00CE14BC"/>
    <w:rsid w:val="00CE1707"/>
    <w:rsid w:val="00CE187F"/>
    <w:rsid w:val="00CE2190"/>
    <w:rsid w:val="00CE2444"/>
    <w:rsid w:val="00CE2658"/>
    <w:rsid w:val="00CE26A3"/>
    <w:rsid w:val="00CE26CF"/>
    <w:rsid w:val="00CE26DD"/>
    <w:rsid w:val="00CE2914"/>
    <w:rsid w:val="00CE2A78"/>
    <w:rsid w:val="00CE2BF3"/>
    <w:rsid w:val="00CE2DB1"/>
    <w:rsid w:val="00CE30B1"/>
    <w:rsid w:val="00CE30C6"/>
    <w:rsid w:val="00CE337A"/>
    <w:rsid w:val="00CE37C2"/>
    <w:rsid w:val="00CE3ADF"/>
    <w:rsid w:val="00CE3BE6"/>
    <w:rsid w:val="00CE3BF6"/>
    <w:rsid w:val="00CE3D78"/>
    <w:rsid w:val="00CE3F62"/>
    <w:rsid w:val="00CE40D6"/>
    <w:rsid w:val="00CE468B"/>
    <w:rsid w:val="00CE51CD"/>
    <w:rsid w:val="00CE5314"/>
    <w:rsid w:val="00CE5355"/>
    <w:rsid w:val="00CE53FD"/>
    <w:rsid w:val="00CE5521"/>
    <w:rsid w:val="00CE5709"/>
    <w:rsid w:val="00CE5750"/>
    <w:rsid w:val="00CE5C57"/>
    <w:rsid w:val="00CE5C58"/>
    <w:rsid w:val="00CE5DEC"/>
    <w:rsid w:val="00CE605F"/>
    <w:rsid w:val="00CE6270"/>
    <w:rsid w:val="00CE6350"/>
    <w:rsid w:val="00CE638C"/>
    <w:rsid w:val="00CE64AC"/>
    <w:rsid w:val="00CE66DE"/>
    <w:rsid w:val="00CE6836"/>
    <w:rsid w:val="00CE6971"/>
    <w:rsid w:val="00CE6B8B"/>
    <w:rsid w:val="00CE6B8C"/>
    <w:rsid w:val="00CE704C"/>
    <w:rsid w:val="00CE72B0"/>
    <w:rsid w:val="00CE74F6"/>
    <w:rsid w:val="00CE77B5"/>
    <w:rsid w:val="00CE7852"/>
    <w:rsid w:val="00CE78A0"/>
    <w:rsid w:val="00CE78C4"/>
    <w:rsid w:val="00CE7A3A"/>
    <w:rsid w:val="00CE7B47"/>
    <w:rsid w:val="00CE7B89"/>
    <w:rsid w:val="00CE7C67"/>
    <w:rsid w:val="00CF03D2"/>
    <w:rsid w:val="00CF048F"/>
    <w:rsid w:val="00CF0646"/>
    <w:rsid w:val="00CF0C7F"/>
    <w:rsid w:val="00CF10E4"/>
    <w:rsid w:val="00CF14FC"/>
    <w:rsid w:val="00CF1642"/>
    <w:rsid w:val="00CF164D"/>
    <w:rsid w:val="00CF1E04"/>
    <w:rsid w:val="00CF208B"/>
    <w:rsid w:val="00CF21AB"/>
    <w:rsid w:val="00CF21AC"/>
    <w:rsid w:val="00CF2705"/>
    <w:rsid w:val="00CF28D9"/>
    <w:rsid w:val="00CF2BAA"/>
    <w:rsid w:val="00CF2C2F"/>
    <w:rsid w:val="00CF2D45"/>
    <w:rsid w:val="00CF2F10"/>
    <w:rsid w:val="00CF3045"/>
    <w:rsid w:val="00CF34BF"/>
    <w:rsid w:val="00CF3695"/>
    <w:rsid w:val="00CF3829"/>
    <w:rsid w:val="00CF3E68"/>
    <w:rsid w:val="00CF4054"/>
    <w:rsid w:val="00CF44C3"/>
    <w:rsid w:val="00CF49C0"/>
    <w:rsid w:val="00CF4A85"/>
    <w:rsid w:val="00CF4DA3"/>
    <w:rsid w:val="00CF53E2"/>
    <w:rsid w:val="00CF5494"/>
    <w:rsid w:val="00CF55E3"/>
    <w:rsid w:val="00CF5662"/>
    <w:rsid w:val="00CF5738"/>
    <w:rsid w:val="00CF5CB2"/>
    <w:rsid w:val="00CF5EBF"/>
    <w:rsid w:val="00CF623C"/>
    <w:rsid w:val="00CF6476"/>
    <w:rsid w:val="00CF662F"/>
    <w:rsid w:val="00CF67C2"/>
    <w:rsid w:val="00CF6880"/>
    <w:rsid w:val="00CF6950"/>
    <w:rsid w:val="00CF6AA4"/>
    <w:rsid w:val="00CF6B0C"/>
    <w:rsid w:val="00CF6FFD"/>
    <w:rsid w:val="00CF7178"/>
    <w:rsid w:val="00CF726D"/>
    <w:rsid w:val="00CF72F3"/>
    <w:rsid w:val="00CF739D"/>
    <w:rsid w:val="00CF7433"/>
    <w:rsid w:val="00CF76D0"/>
    <w:rsid w:val="00CF7837"/>
    <w:rsid w:val="00CF795B"/>
    <w:rsid w:val="00CF7E68"/>
    <w:rsid w:val="00D001BE"/>
    <w:rsid w:val="00D00232"/>
    <w:rsid w:val="00D004F6"/>
    <w:rsid w:val="00D00578"/>
    <w:rsid w:val="00D00676"/>
    <w:rsid w:val="00D0086D"/>
    <w:rsid w:val="00D00A4A"/>
    <w:rsid w:val="00D00B0E"/>
    <w:rsid w:val="00D00B88"/>
    <w:rsid w:val="00D00D3E"/>
    <w:rsid w:val="00D00D6E"/>
    <w:rsid w:val="00D00EF7"/>
    <w:rsid w:val="00D00F69"/>
    <w:rsid w:val="00D01416"/>
    <w:rsid w:val="00D01963"/>
    <w:rsid w:val="00D01A0C"/>
    <w:rsid w:val="00D01CA5"/>
    <w:rsid w:val="00D01CE7"/>
    <w:rsid w:val="00D01DF3"/>
    <w:rsid w:val="00D01E33"/>
    <w:rsid w:val="00D01E4D"/>
    <w:rsid w:val="00D01F15"/>
    <w:rsid w:val="00D020E0"/>
    <w:rsid w:val="00D025C0"/>
    <w:rsid w:val="00D0260A"/>
    <w:rsid w:val="00D02886"/>
    <w:rsid w:val="00D02D5A"/>
    <w:rsid w:val="00D02D67"/>
    <w:rsid w:val="00D02DD7"/>
    <w:rsid w:val="00D03058"/>
    <w:rsid w:val="00D0309F"/>
    <w:rsid w:val="00D03256"/>
    <w:rsid w:val="00D03B74"/>
    <w:rsid w:val="00D03B96"/>
    <w:rsid w:val="00D03C20"/>
    <w:rsid w:val="00D03DFE"/>
    <w:rsid w:val="00D03EE4"/>
    <w:rsid w:val="00D03F7E"/>
    <w:rsid w:val="00D04175"/>
    <w:rsid w:val="00D04656"/>
    <w:rsid w:val="00D04743"/>
    <w:rsid w:val="00D048AA"/>
    <w:rsid w:val="00D0492D"/>
    <w:rsid w:val="00D04B4F"/>
    <w:rsid w:val="00D04E85"/>
    <w:rsid w:val="00D05243"/>
    <w:rsid w:val="00D0532D"/>
    <w:rsid w:val="00D056B7"/>
    <w:rsid w:val="00D05824"/>
    <w:rsid w:val="00D05AA6"/>
    <w:rsid w:val="00D05B80"/>
    <w:rsid w:val="00D05C4D"/>
    <w:rsid w:val="00D06181"/>
    <w:rsid w:val="00D0620D"/>
    <w:rsid w:val="00D063CD"/>
    <w:rsid w:val="00D06404"/>
    <w:rsid w:val="00D06428"/>
    <w:rsid w:val="00D06692"/>
    <w:rsid w:val="00D06717"/>
    <w:rsid w:val="00D069E9"/>
    <w:rsid w:val="00D06DA8"/>
    <w:rsid w:val="00D06E19"/>
    <w:rsid w:val="00D06F82"/>
    <w:rsid w:val="00D071E8"/>
    <w:rsid w:val="00D07241"/>
    <w:rsid w:val="00D07250"/>
    <w:rsid w:val="00D072D5"/>
    <w:rsid w:val="00D0746A"/>
    <w:rsid w:val="00D07509"/>
    <w:rsid w:val="00D07670"/>
    <w:rsid w:val="00D07B4C"/>
    <w:rsid w:val="00D07BA2"/>
    <w:rsid w:val="00D07CB5"/>
    <w:rsid w:val="00D07CE3"/>
    <w:rsid w:val="00D07CEB"/>
    <w:rsid w:val="00D07E56"/>
    <w:rsid w:val="00D07EF5"/>
    <w:rsid w:val="00D1023A"/>
    <w:rsid w:val="00D10643"/>
    <w:rsid w:val="00D10809"/>
    <w:rsid w:val="00D109EA"/>
    <w:rsid w:val="00D10AC4"/>
    <w:rsid w:val="00D10AE6"/>
    <w:rsid w:val="00D10B13"/>
    <w:rsid w:val="00D10DFB"/>
    <w:rsid w:val="00D10E39"/>
    <w:rsid w:val="00D111FA"/>
    <w:rsid w:val="00D11314"/>
    <w:rsid w:val="00D1141B"/>
    <w:rsid w:val="00D1148C"/>
    <w:rsid w:val="00D115C5"/>
    <w:rsid w:val="00D11A45"/>
    <w:rsid w:val="00D11D6D"/>
    <w:rsid w:val="00D11DBC"/>
    <w:rsid w:val="00D1200A"/>
    <w:rsid w:val="00D121C8"/>
    <w:rsid w:val="00D12337"/>
    <w:rsid w:val="00D1243E"/>
    <w:rsid w:val="00D1256D"/>
    <w:rsid w:val="00D125A0"/>
    <w:rsid w:val="00D12917"/>
    <w:rsid w:val="00D129BA"/>
    <w:rsid w:val="00D12CB8"/>
    <w:rsid w:val="00D12EBA"/>
    <w:rsid w:val="00D1342C"/>
    <w:rsid w:val="00D134AA"/>
    <w:rsid w:val="00D13524"/>
    <w:rsid w:val="00D13574"/>
    <w:rsid w:val="00D1369E"/>
    <w:rsid w:val="00D137FD"/>
    <w:rsid w:val="00D13E56"/>
    <w:rsid w:val="00D13E9F"/>
    <w:rsid w:val="00D141E1"/>
    <w:rsid w:val="00D1446C"/>
    <w:rsid w:val="00D144B4"/>
    <w:rsid w:val="00D144FE"/>
    <w:rsid w:val="00D14661"/>
    <w:rsid w:val="00D14714"/>
    <w:rsid w:val="00D148B0"/>
    <w:rsid w:val="00D14E66"/>
    <w:rsid w:val="00D14F4E"/>
    <w:rsid w:val="00D15301"/>
    <w:rsid w:val="00D15373"/>
    <w:rsid w:val="00D1546C"/>
    <w:rsid w:val="00D15559"/>
    <w:rsid w:val="00D156B3"/>
    <w:rsid w:val="00D15A4D"/>
    <w:rsid w:val="00D15C5B"/>
    <w:rsid w:val="00D15D6C"/>
    <w:rsid w:val="00D15E0B"/>
    <w:rsid w:val="00D161E2"/>
    <w:rsid w:val="00D161E9"/>
    <w:rsid w:val="00D161FF"/>
    <w:rsid w:val="00D16374"/>
    <w:rsid w:val="00D163C5"/>
    <w:rsid w:val="00D16700"/>
    <w:rsid w:val="00D16799"/>
    <w:rsid w:val="00D1680D"/>
    <w:rsid w:val="00D16C6C"/>
    <w:rsid w:val="00D16CE7"/>
    <w:rsid w:val="00D16DD5"/>
    <w:rsid w:val="00D16FA4"/>
    <w:rsid w:val="00D170B3"/>
    <w:rsid w:val="00D177E9"/>
    <w:rsid w:val="00D17D2B"/>
    <w:rsid w:val="00D17D9A"/>
    <w:rsid w:val="00D20062"/>
    <w:rsid w:val="00D201BA"/>
    <w:rsid w:val="00D203AA"/>
    <w:rsid w:val="00D2040A"/>
    <w:rsid w:val="00D204AC"/>
    <w:rsid w:val="00D20577"/>
    <w:rsid w:val="00D20595"/>
    <w:rsid w:val="00D20630"/>
    <w:rsid w:val="00D20787"/>
    <w:rsid w:val="00D20A0D"/>
    <w:rsid w:val="00D20C7C"/>
    <w:rsid w:val="00D21038"/>
    <w:rsid w:val="00D21452"/>
    <w:rsid w:val="00D2161C"/>
    <w:rsid w:val="00D21647"/>
    <w:rsid w:val="00D21749"/>
    <w:rsid w:val="00D2195E"/>
    <w:rsid w:val="00D21B5A"/>
    <w:rsid w:val="00D21F9A"/>
    <w:rsid w:val="00D220BC"/>
    <w:rsid w:val="00D222F9"/>
    <w:rsid w:val="00D22311"/>
    <w:rsid w:val="00D2232B"/>
    <w:rsid w:val="00D226F3"/>
    <w:rsid w:val="00D226F5"/>
    <w:rsid w:val="00D22B04"/>
    <w:rsid w:val="00D22B82"/>
    <w:rsid w:val="00D23448"/>
    <w:rsid w:val="00D23503"/>
    <w:rsid w:val="00D23C85"/>
    <w:rsid w:val="00D23E07"/>
    <w:rsid w:val="00D23F04"/>
    <w:rsid w:val="00D2414E"/>
    <w:rsid w:val="00D241A5"/>
    <w:rsid w:val="00D2439F"/>
    <w:rsid w:val="00D243EB"/>
    <w:rsid w:val="00D24725"/>
    <w:rsid w:val="00D24802"/>
    <w:rsid w:val="00D24B9F"/>
    <w:rsid w:val="00D24EED"/>
    <w:rsid w:val="00D24F32"/>
    <w:rsid w:val="00D24F72"/>
    <w:rsid w:val="00D25211"/>
    <w:rsid w:val="00D253C5"/>
    <w:rsid w:val="00D25625"/>
    <w:rsid w:val="00D25861"/>
    <w:rsid w:val="00D25CBB"/>
    <w:rsid w:val="00D25E4A"/>
    <w:rsid w:val="00D25EB1"/>
    <w:rsid w:val="00D25FA5"/>
    <w:rsid w:val="00D26076"/>
    <w:rsid w:val="00D26129"/>
    <w:rsid w:val="00D26253"/>
    <w:rsid w:val="00D266AB"/>
    <w:rsid w:val="00D26B10"/>
    <w:rsid w:val="00D26D14"/>
    <w:rsid w:val="00D26F14"/>
    <w:rsid w:val="00D2713D"/>
    <w:rsid w:val="00D274A8"/>
    <w:rsid w:val="00D274F3"/>
    <w:rsid w:val="00D276A8"/>
    <w:rsid w:val="00D277A8"/>
    <w:rsid w:val="00D27821"/>
    <w:rsid w:val="00D2790A"/>
    <w:rsid w:val="00D27917"/>
    <w:rsid w:val="00D27BA2"/>
    <w:rsid w:val="00D27C7C"/>
    <w:rsid w:val="00D27D27"/>
    <w:rsid w:val="00D27E86"/>
    <w:rsid w:val="00D27F45"/>
    <w:rsid w:val="00D3019B"/>
    <w:rsid w:val="00D3025E"/>
    <w:rsid w:val="00D30677"/>
    <w:rsid w:val="00D30A79"/>
    <w:rsid w:val="00D30B20"/>
    <w:rsid w:val="00D30B90"/>
    <w:rsid w:val="00D30D6A"/>
    <w:rsid w:val="00D30F2E"/>
    <w:rsid w:val="00D30F88"/>
    <w:rsid w:val="00D3122F"/>
    <w:rsid w:val="00D31278"/>
    <w:rsid w:val="00D315C2"/>
    <w:rsid w:val="00D316D4"/>
    <w:rsid w:val="00D31D02"/>
    <w:rsid w:val="00D31D10"/>
    <w:rsid w:val="00D31F69"/>
    <w:rsid w:val="00D32151"/>
    <w:rsid w:val="00D321B0"/>
    <w:rsid w:val="00D3240B"/>
    <w:rsid w:val="00D32807"/>
    <w:rsid w:val="00D32905"/>
    <w:rsid w:val="00D329C8"/>
    <w:rsid w:val="00D32AE5"/>
    <w:rsid w:val="00D32C07"/>
    <w:rsid w:val="00D32CCA"/>
    <w:rsid w:val="00D32DD8"/>
    <w:rsid w:val="00D32DFA"/>
    <w:rsid w:val="00D32E3E"/>
    <w:rsid w:val="00D3318F"/>
    <w:rsid w:val="00D331BD"/>
    <w:rsid w:val="00D331F3"/>
    <w:rsid w:val="00D33500"/>
    <w:rsid w:val="00D33998"/>
    <w:rsid w:val="00D33DED"/>
    <w:rsid w:val="00D3413D"/>
    <w:rsid w:val="00D34242"/>
    <w:rsid w:val="00D342EB"/>
    <w:rsid w:val="00D34493"/>
    <w:rsid w:val="00D34508"/>
    <w:rsid w:val="00D3459E"/>
    <w:rsid w:val="00D347A4"/>
    <w:rsid w:val="00D34EA9"/>
    <w:rsid w:val="00D35109"/>
    <w:rsid w:val="00D3511B"/>
    <w:rsid w:val="00D3531F"/>
    <w:rsid w:val="00D356D8"/>
    <w:rsid w:val="00D35B1E"/>
    <w:rsid w:val="00D35EC9"/>
    <w:rsid w:val="00D362D7"/>
    <w:rsid w:val="00D36349"/>
    <w:rsid w:val="00D363F6"/>
    <w:rsid w:val="00D365E3"/>
    <w:rsid w:val="00D36934"/>
    <w:rsid w:val="00D36C30"/>
    <w:rsid w:val="00D36C43"/>
    <w:rsid w:val="00D36D4C"/>
    <w:rsid w:val="00D36D9F"/>
    <w:rsid w:val="00D36DBB"/>
    <w:rsid w:val="00D3762D"/>
    <w:rsid w:val="00D37C81"/>
    <w:rsid w:val="00D37DE7"/>
    <w:rsid w:val="00D37DEB"/>
    <w:rsid w:val="00D37FE2"/>
    <w:rsid w:val="00D4006E"/>
    <w:rsid w:val="00D40087"/>
    <w:rsid w:val="00D403B9"/>
    <w:rsid w:val="00D403BF"/>
    <w:rsid w:val="00D40631"/>
    <w:rsid w:val="00D409B1"/>
    <w:rsid w:val="00D40A2A"/>
    <w:rsid w:val="00D40A8D"/>
    <w:rsid w:val="00D40AB1"/>
    <w:rsid w:val="00D40ABD"/>
    <w:rsid w:val="00D40ABE"/>
    <w:rsid w:val="00D40BA8"/>
    <w:rsid w:val="00D40BF8"/>
    <w:rsid w:val="00D40D2A"/>
    <w:rsid w:val="00D40FF7"/>
    <w:rsid w:val="00D412A5"/>
    <w:rsid w:val="00D412D8"/>
    <w:rsid w:val="00D41425"/>
    <w:rsid w:val="00D418ED"/>
    <w:rsid w:val="00D419C5"/>
    <w:rsid w:val="00D41ADC"/>
    <w:rsid w:val="00D41E02"/>
    <w:rsid w:val="00D41E57"/>
    <w:rsid w:val="00D42348"/>
    <w:rsid w:val="00D426EE"/>
    <w:rsid w:val="00D4270D"/>
    <w:rsid w:val="00D42C8D"/>
    <w:rsid w:val="00D42CFE"/>
    <w:rsid w:val="00D42E89"/>
    <w:rsid w:val="00D42F36"/>
    <w:rsid w:val="00D43091"/>
    <w:rsid w:val="00D43323"/>
    <w:rsid w:val="00D434A6"/>
    <w:rsid w:val="00D437D5"/>
    <w:rsid w:val="00D438F0"/>
    <w:rsid w:val="00D43BBB"/>
    <w:rsid w:val="00D43E54"/>
    <w:rsid w:val="00D4406F"/>
    <w:rsid w:val="00D44408"/>
    <w:rsid w:val="00D44507"/>
    <w:rsid w:val="00D447BD"/>
    <w:rsid w:val="00D448A1"/>
    <w:rsid w:val="00D4541B"/>
    <w:rsid w:val="00D45439"/>
    <w:rsid w:val="00D454A1"/>
    <w:rsid w:val="00D45508"/>
    <w:rsid w:val="00D459DD"/>
    <w:rsid w:val="00D45E12"/>
    <w:rsid w:val="00D46471"/>
    <w:rsid w:val="00D46539"/>
    <w:rsid w:val="00D4680A"/>
    <w:rsid w:val="00D46896"/>
    <w:rsid w:val="00D46957"/>
    <w:rsid w:val="00D46ACC"/>
    <w:rsid w:val="00D47073"/>
    <w:rsid w:val="00D4752C"/>
    <w:rsid w:val="00D476B5"/>
    <w:rsid w:val="00D47B62"/>
    <w:rsid w:val="00D47C19"/>
    <w:rsid w:val="00D47C5A"/>
    <w:rsid w:val="00D50314"/>
    <w:rsid w:val="00D50689"/>
    <w:rsid w:val="00D50743"/>
    <w:rsid w:val="00D508A7"/>
    <w:rsid w:val="00D50BF4"/>
    <w:rsid w:val="00D50E36"/>
    <w:rsid w:val="00D51261"/>
    <w:rsid w:val="00D5134A"/>
    <w:rsid w:val="00D51366"/>
    <w:rsid w:val="00D514B0"/>
    <w:rsid w:val="00D51578"/>
    <w:rsid w:val="00D51AA7"/>
    <w:rsid w:val="00D51CB8"/>
    <w:rsid w:val="00D51CC1"/>
    <w:rsid w:val="00D51CE1"/>
    <w:rsid w:val="00D51D60"/>
    <w:rsid w:val="00D520DC"/>
    <w:rsid w:val="00D52279"/>
    <w:rsid w:val="00D527D4"/>
    <w:rsid w:val="00D5280C"/>
    <w:rsid w:val="00D52983"/>
    <w:rsid w:val="00D529CB"/>
    <w:rsid w:val="00D52A7B"/>
    <w:rsid w:val="00D52EE8"/>
    <w:rsid w:val="00D52F4B"/>
    <w:rsid w:val="00D52FFC"/>
    <w:rsid w:val="00D53134"/>
    <w:rsid w:val="00D53226"/>
    <w:rsid w:val="00D53448"/>
    <w:rsid w:val="00D534FC"/>
    <w:rsid w:val="00D537EA"/>
    <w:rsid w:val="00D53859"/>
    <w:rsid w:val="00D53FEA"/>
    <w:rsid w:val="00D5432F"/>
    <w:rsid w:val="00D5468D"/>
    <w:rsid w:val="00D54792"/>
    <w:rsid w:val="00D54A1A"/>
    <w:rsid w:val="00D54BC4"/>
    <w:rsid w:val="00D54C9F"/>
    <w:rsid w:val="00D54DE5"/>
    <w:rsid w:val="00D54F38"/>
    <w:rsid w:val="00D55604"/>
    <w:rsid w:val="00D5579D"/>
    <w:rsid w:val="00D55837"/>
    <w:rsid w:val="00D55AEB"/>
    <w:rsid w:val="00D55CD5"/>
    <w:rsid w:val="00D55D9C"/>
    <w:rsid w:val="00D55E80"/>
    <w:rsid w:val="00D55EEE"/>
    <w:rsid w:val="00D55F9E"/>
    <w:rsid w:val="00D5609E"/>
    <w:rsid w:val="00D5629B"/>
    <w:rsid w:val="00D56433"/>
    <w:rsid w:val="00D56883"/>
    <w:rsid w:val="00D56A8F"/>
    <w:rsid w:val="00D56F7E"/>
    <w:rsid w:val="00D5704B"/>
    <w:rsid w:val="00D57062"/>
    <w:rsid w:val="00D5783C"/>
    <w:rsid w:val="00D57846"/>
    <w:rsid w:val="00D57A49"/>
    <w:rsid w:val="00D57C17"/>
    <w:rsid w:val="00D57CC7"/>
    <w:rsid w:val="00D57D35"/>
    <w:rsid w:val="00D57ED6"/>
    <w:rsid w:val="00D57F1F"/>
    <w:rsid w:val="00D60169"/>
    <w:rsid w:val="00D602FB"/>
    <w:rsid w:val="00D604F5"/>
    <w:rsid w:val="00D60527"/>
    <w:rsid w:val="00D607ED"/>
    <w:rsid w:val="00D60924"/>
    <w:rsid w:val="00D60979"/>
    <w:rsid w:val="00D60AE7"/>
    <w:rsid w:val="00D61773"/>
    <w:rsid w:val="00D61962"/>
    <w:rsid w:val="00D61C7F"/>
    <w:rsid w:val="00D62275"/>
    <w:rsid w:val="00D6235C"/>
    <w:rsid w:val="00D623E2"/>
    <w:rsid w:val="00D624B7"/>
    <w:rsid w:val="00D624C1"/>
    <w:rsid w:val="00D62649"/>
    <w:rsid w:val="00D6279C"/>
    <w:rsid w:val="00D62B17"/>
    <w:rsid w:val="00D62BC5"/>
    <w:rsid w:val="00D62C51"/>
    <w:rsid w:val="00D62D8A"/>
    <w:rsid w:val="00D63059"/>
    <w:rsid w:val="00D6310D"/>
    <w:rsid w:val="00D63291"/>
    <w:rsid w:val="00D632BA"/>
    <w:rsid w:val="00D63361"/>
    <w:rsid w:val="00D63777"/>
    <w:rsid w:val="00D637EE"/>
    <w:rsid w:val="00D63C1B"/>
    <w:rsid w:val="00D63EA5"/>
    <w:rsid w:val="00D64519"/>
    <w:rsid w:val="00D646B4"/>
    <w:rsid w:val="00D6472E"/>
    <w:rsid w:val="00D64908"/>
    <w:rsid w:val="00D649FA"/>
    <w:rsid w:val="00D64D1C"/>
    <w:rsid w:val="00D64D8B"/>
    <w:rsid w:val="00D64DC4"/>
    <w:rsid w:val="00D6517C"/>
    <w:rsid w:val="00D6556E"/>
    <w:rsid w:val="00D656AD"/>
    <w:rsid w:val="00D6577D"/>
    <w:rsid w:val="00D657FB"/>
    <w:rsid w:val="00D65817"/>
    <w:rsid w:val="00D65823"/>
    <w:rsid w:val="00D6586C"/>
    <w:rsid w:val="00D658E7"/>
    <w:rsid w:val="00D66095"/>
    <w:rsid w:val="00D66270"/>
    <w:rsid w:val="00D66714"/>
    <w:rsid w:val="00D66757"/>
    <w:rsid w:val="00D66C2F"/>
    <w:rsid w:val="00D6740F"/>
    <w:rsid w:val="00D675B5"/>
    <w:rsid w:val="00D678B6"/>
    <w:rsid w:val="00D679FE"/>
    <w:rsid w:val="00D700D9"/>
    <w:rsid w:val="00D70378"/>
    <w:rsid w:val="00D70685"/>
    <w:rsid w:val="00D70934"/>
    <w:rsid w:val="00D70CEC"/>
    <w:rsid w:val="00D7108D"/>
    <w:rsid w:val="00D71156"/>
    <w:rsid w:val="00D7172E"/>
    <w:rsid w:val="00D71CB5"/>
    <w:rsid w:val="00D71D70"/>
    <w:rsid w:val="00D72092"/>
    <w:rsid w:val="00D7250E"/>
    <w:rsid w:val="00D72727"/>
    <w:rsid w:val="00D72738"/>
    <w:rsid w:val="00D72978"/>
    <w:rsid w:val="00D73041"/>
    <w:rsid w:val="00D732D7"/>
    <w:rsid w:val="00D73A8A"/>
    <w:rsid w:val="00D73C71"/>
    <w:rsid w:val="00D73CDC"/>
    <w:rsid w:val="00D74381"/>
    <w:rsid w:val="00D74B8F"/>
    <w:rsid w:val="00D74CA3"/>
    <w:rsid w:val="00D74D7F"/>
    <w:rsid w:val="00D74DB7"/>
    <w:rsid w:val="00D74F7B"/>
    <w:rsid w:val="00D750DE"/>
    <w:rsid w:val="00D752E3"/>
    <w:rsid w:val="00D75607"/>
    <w:rsid w:val="00D758A5"/>
    <w:rsid w:val="00D75976"/>
    <w:rsid w:val="00D759DA"/>
    <w:rsid w:val="00D75F0F"/>
    <w:rsid w:val="00D75F83"/>
    <w:rsid w:val="00D7669B"/>
    <w:rsid w:val="00D767D4"/>
    <w:rsid w:val="00D768D8"/>
    <w:rsid w:val="00D76AF4"/>
    <w:rsid w:val="00D76BBD"/>
    <w:rsid w:val="00D7704B"/>
    <w:rsid w:val="00D77187"/>
    <w:rsid w:val="00D771D5"/>
    <w:rsid w:val="00D7783C"/>
    <w:rsid w:val="00D77C70"/>
    <w:rsid w:val="00D77F9B"/>
    <w:rsid w:val="00D800A8"/>
    <w:rsid w:val="00D80277"/>
    <w:rsid w:val="00D802A2"/>
    <w:rsid w:val="00D80AB9"/>
    <w:rsid w:val="00D80D54"/>
    <w:rsid w:val="00D80F8E"/>
    <w:rsid w:val="00D811DE"/>
    <w:rsid w:val="00D811F1"/>
    <w:rsid w:val="00D812B3"/>
    <w:rsid w:val="00D81378"/>
    <w:rsid w:val="00D81379"/>
    <w:rsid w:val="00D81517"/>
    <w:rsid w:val="00D81A21"/>
    <w:rsid w:val="00D81B1B"/>
    <w:rsid w:val="00D81B35"/>
    <w:rsid w:val="00D8208D"/>
    <w:rsid w:val="00D821EE"/>
    <w:rsid w:val="00D8247A"/>
    <w:rsid w:val="00D82625"/>
    <w:rsid w:val="00D8267A"/>
    <w:rsid w:val="00D828B9"/>
    <w:rsid w:val="00D82CE1"/>
    <w:rsid w:val="00D83172"/>
    <w:rsid w:val="00D83473"/>
    <w:rsid w:val="00D83774"/>
    <w:rsid w:val="00D83800"/>
    <w:rsid w:val="00D8388E"/>
    <w:rsid w:val="00D83B4E"/>
    <w:rsid w:val="00D841D8"/>
    <w:rsid w:val="00D84389"/>
    <w:rsid w:val="00D847F2"/>
    <w:rsid w:val="00D84CD6"/>
    <w:rsid w:val="00D8503B"/>
    <w:rsid w:val="00D8509F"/>
    <w:rsid w:val="00D85323"/>
    <w:rsid w:val="00D859C3"/>
    <w:rsid w:val="00D859F8"/>
    <w:rsid w:val="00D85B5E"/>
    <w:rsid w:val="00D85C45"/>
    <w:rsid w:val="00D85F98"/>
    <w:rsid w:val="00D861DF"/>
    <w:rsid w:val="00D8636D"/>
    <w:rsid w:val="00D863AA"/>
    <w:rsid w:val="00D8648A"/>
    <w:rsid w:val="00D864C8"/>
    <w:rsid w:val="00D864CB"/>
    <w:rsid w:val="00D86E98"/>
    <w:rsid w:val="00D86EC1"/>
    <w:rsid w:val="00D86EE8"/>
    <w:rsid w:val="00D86EF1"/>
    <w:rsid w:val="00D871EB"/>
    <w:rsid w:val="00D872C4"/>
    <w:rsid w:val="00D8741A"/>
    <w:rsid w:val="00D87904"/>
    <w:rsid w:val="00D87AF4"/>
    <w:rsid w:val="00D87D5A"/>
    <w:rsid w:val="00D87FDE"/>
    <w:rsid w:val="00D9002C"/>
    <w:rsid w:val="00D900FE"/>
    <w:rsid w:val="00D90407"/>
    <w:rsid w:val="00D9077A"/>
    <w:rsid w:val="00D9083E"/>
    <w:rsid w:val="00D90AD8"/>
    <w:rsid w:val="00D910A6"/>
    <w:rsid w:val="00D9114E"/>
    <w:rsid w:val="00D9168D"/>
    <w:rsid w:val="00D91A5D"/>
    <w:rsid w:val="00D91B8C"/>
    <w:rsid w:val="00D91D92"/>
    <w:rsid w:val="00D91EC3"/>
    <w:rsid w:val="00D91FB3"/>
    <w:rsid w:val="00D92300"/>
    <w:rsid w:val="00D9257B"/>
    <w:rsid w:val="00D9265A"/>
    <w:rsid w:val="00D9291F"/>
    <w:rsid w:val="00D92A43"/>
    <w:rsid w:val="00D92A97"/>
    <w:rsid w:val="00D92BE8"/>
    <w:rsid w:val="00D930C5"/>
    <w:rsid w:val="00D93134"/>
    <w:rsid w:val="00D936D7"/>
    <w:rsid w:val="00D939F0"/>
    <w:rsid w:val="00D93A23"/>
    <w:rsid w:val="00D93A8A"/>
    <w:rsid w:val="00D93AE1"/>
    <w:rsid w:val="00D93B71"/>
    <w:rsid w:val="00D93CC2"/>
    <w:rsid w:val="00D93CC9"/>
    <w:rsid w:val="00D93E02"/>
    <w:rsid w:val="00D941C0"/>
    <w:rsid w:val="00D941C7"/>
    <w:rsid w:val="00D9472A"/>
    <w:rsid w:val="00D9498B"/>
    <w:rsid w:val="00D949CA"/>
    <w:rsid w:val="00D94E00"/>
    <w:rsid w:val="00D950DD"/>
    <w:rsid w:val="00D9510F"/>
    <w:rsid w:val="00D95251"/>
    <w:rsid w:val="00D952CA"/>
    <w:rsid w:val="00D95560"/>
    <w:rsid w:val="00D95762"/>
    <w:rsid w:val="00D9578B"/>
    <w:rsid w:val="00D957AF"/>
    <w:rsid w:val="00D958DF"/>
    <w:rsid w:val="00D96099"/>
    <w:rsid w:val="00D96166"/>
    <w:rsid w:val="00D96182"/>
    <w:rsid w:val="00D964F7"/>
    <w:rsid w:val="00D96595"/>
    <w:rsid w:val="00D96887"/>
    <w:rsid w:val="00D96B42"/>
    <w:rsid w:val="00D96B7D"/>
    <w:rsid w:val="00D96BBF"/>
    <w:rsid w:val="00D96EC4"/>
    <w:rsid w:val="00D97021"/>
    <w:rsid w:val="00D970F5"/>
    <w:rsid w:val="00D97228"/>
    <w:rsid w:val="00D9751E"/>
    <w:rsid w:val="00D9764D"/>
    <w:rsid w:val="00D97794"/>
    <w:rsid w:val="00D97C00"/>
    <w:rsid w:val="00D97E46"/>
    <w:rsid w:val="00DA01A7"/>
    <w:rsid w:val="00DA0231"/>
    <w:rsid w:val="00DA03CE"/>
    <w:rsid w:val="00DA0463"/>
    <w:rsid w:val="00DA0644"/>
    <w:rsid w:val="00DA0699"/>
    <w:rsid w:val="00DA06C5"/>
    <w:rsid w:val="00DA0736"/>
    <w:rsid w:val="00DA0834"/>
    <w:rsid w:val="00DA0BC1"/>
    <w:rsid w:val="00DA0C83"/>
    <w:rsid w:val="00DA1024"/>
    <w:rsid w:val="00DA16D9"/>
    <w:rsid w:val="00DA172C"/>
    <w:rsid w:val="00DA1766"/>
    <w:rsid w:val="00DA1833"/>
    <w:rsid w:val="00DA19A4"/>
    <w:rsid w:val="00DA1E5B"/>
    <w:rsid w:val="00DA1E97"/>
    <w:rsid w:val="00DA1F42"/>
    <w:rsid w:val="00DA21E6"/>
    <w:rsid w:val="00DA2665"/>
    <w:rsid w:val="00DA270F"/>
    <w:rsid w:val="00DA27D7"/>
    <w:rsid w:val="00DA285A"/>
    <w:rsid w:val="00DA28FD"/>
    <w:rsid w:val="00DA29C0"/>
    <w:rsid w:val="00DA2A0F"/>
    <w:rsid w:val="00DA2D4D"/>
    <w:rsid w:val="00DA305D"/>
    <w:rsid w:val="00DA30DC"/>
    <w:rsid w:val="00DA3180"/>
    <w:rsid w:val="00DA3211"/>
    <w:rsid w:val="00DA33D4"/>
    <w:rsid w:val="00DA3458"/>
    <w:rsid w:val="00DA36EF"/>
    <w:rsid w:val="00DA3742"/>
    <w:rsid w:val="00DA38B0"/>
    <w:rsid w:val="00DA3B46"/>
    <w:rsid w:val="00DA4018"/>
    <w:rsid w:val="00DA403A"/>
    <w:rsid w:val="00DA42AD"/>
    <w:rsid w:val="00DA42DA"/>
    <w:rsid w:val="00DA476B"/>
    <w:rsid w:val="00DA4784"/>
    <w:rsid w:val="00DA4866"/>
    <w:rsid w:val="00DA4880"/>
    <w:rsid w:val="00DA4F0F"/>
    <w:rsid w:val="00DA51C3"/>
    <w:rsid w:val="00DA5252"/>
    <w:rsid w:val="00DA5253"/>
    <w:rsid w:val="00DA53E0"/>
    <w:rsid w:val="00DA56AA"/>
    <w:rsid w:val="00DA578B"/>
    <w:rsid w:val="00DA5939"/>
    <w:rsid w:val="00DA5E18"/>
    <w:rsid w:val="00DA5FA1"/>
    <w:rsid w:val="00DA600F"/>
    <w:rsid w:val="00DA6416"/>
    <w:rsid w:val="00DA641E"/>
    <w:rsid w:val="00DA656A"/>
    <w:rsid w:val="00DA6C10"/>
    <w:rsid w:val="00DA6D2E"/>
    <w:rsid w:val="00DA6F72"/>
    <w:rsid w:val="00DA70AC"/>
    <w:rsid w:val="00DA70BB"/>
    <w:rsid w:val="00DA7195"/>
    <w:rsid w:val="00DA72DB"/>
    <w:rsid w:val="00DA7407"/>
    <w:rsid w:val="00DA7634"/>
    <w:rsid w:val="00DA7FE8"/>
    <w:rsid w:val="00DB027D"/>
    <w:rsid w:val="00DB0424"/>
    <w:rsid w:val="00DB047B"/>
    <w:rsid w:val="00DB06EF"/>
    <w:rsid w:val="00DB0758"/>
    <w:rsid w:val="00DB0A8E"/>
    <w:rsid w:val="00DB1163"/>
    <w:rsid w:val="00DB159A"/>
    <w:rsid w:val="00DB16D3"/>
    <w:rsid w:val="00DB18E5"/>
    <w:rsid w:val="00DB19E0"/>
    <w:rsid w:val="00DB1A0A"/>
    <w:rsid w:val="00DB1CB6"/>
    <w:rsid w:val="00DB1E8A"/>
    <w:rsid w:val="00DB2151"/>
    <w:rsid w:val="00DB2938"/>
    <w:rsid w:val="00DB2FF5"/>
    <w:rsid w:val="00DB35EE"/>
    <w:rsid w:val="00DB383D"/>
    <w:rsid w:val="00DB3978"/>
    <w:rsid w:val="00DB3BBA"/>
    <w:rsid w:val="00DB3C61"/>
    <w:rsid w:val="00DB3EB7"/>
    <w:rsid w:val="00DB3FAB"/>
    <w:rsid w:val="00DB42B0"/>
    <w:rsid w:val="00DB4370"/>
    <w:rsid w:val="00DB44A3"/>
    <w:rsid w:val="00DB454A"/>
    <w:rsid w:val="00DB4638"/>
    <w:rsid w:val="00DB4664"/>
    <w:rsid w:val="00DB4A42"/>
    <w:rsid w:val="00DB4AE7"/>
    <w:rsid w:val="00DB4C27"/>
    <w:rsid w:val="00DB4C71"/>
    <w:rsid w:val="00DB4EE9"/>
    <w:rsid w:val="00DB506C"/>
    <w:rsid w:val="00DB54E9"/>
    <w:rsid w:val="00DB56A4"/>
    <w:rsid w:val="00DB581C"/>
    <w:rsid w:val="00DB5995"/>
    <w:rsid w:val="00DB5BE7"/>
    <w:rsid w:val="00DB5D63"/>
    <w:rsid w:val="00DB5E55"/>
    <w:rsid w:val="00DB5F17"/>
    <w:rsid w:val="00DB5FB8"/>
    <w:rsid w:val="00DB6060"/>
    <w:rsid w:val="00DB6295"/>
    <w:rsid w:val="00DB634E"/>
    <w:rsid w:val="00DB6652"/>
    <w:rsid w:val="00DB6A12"/>
    <w:rsid w:val="00DB7161"/>
    <w:rsid w:val="00DB722C"/>
    <w:rsid w:val="00DB73E2"/>
    <w:rsid w:val="00DB7644"/>
    <w:rsid w:val="00DB76E7"/>
    <w:rsid w:val="00DB776A"/>
    <w:rsid w:val="00DB7837"/>
    <w:rsid w:val="00DB7B1F"/>
    <w:rsid w:val="00DB7B9D"/>
    <w:rsid w:val="00DB7BBF"/>
    <w:rsid w:val="00DB7C6E"/>
    <w:rsid w:val="00DB7DA9"/>
    <w:rsid w:val="00DC01C2"/>
    <w:rsid w:val="00DC02B6"/>
    <w:rsid w:val="00DC06D9"/>
    <w:rsid w:val="00DC08F3"/>
    <w:rsid w:val="00DC0F9D"/>
    <w:rsid w:val="00DC1037"/>
    <w:rsid w:val="00DC115D"/>
    <w:rsid w:val="00DC14A1"/>
    <w:rsid w:val="00DC14DC"/>
    <w:rsid w:val="00DC1593"/>
    <w:rsid w:val="00DC1774"/>
    <w:rsid w:val="00DC1A15"/>
    <w:rsid w:val="00DC1A8A"/>
    <w:rsid w:val="00DC1CAF"/>
    <w:rsid w:val="00DC2260"/>
    <w:rsid w:val="00DC25E3"/>
    <w:rsid w:val="00DC2629"/>
    <w:rsid w:val="00DC2644"/>
    <w:rsid w:val="00DC26CC"/>
    <w:rsid w:val="00DC2847"/>
    <w:rsid w:val="00DC2ACB"/>
    <w:rsid w:val="00DC2C40"/>
    <w:rsid w:val="00DC2E38"/>
    <w:rsid w:val="00DC2EBA"/>
    <w:rsid w:val="00DC349B"/>
    <w:rsid w:val="00DC34E4"/>
    <w:rsid w:val="00DC3ABB"/>
    <w:rsid w:val="00DC3DCB"/>
    <w:rsid w:val="00DC3EC4"/>
    <w:rsid w:val="00DC4146"/>
    <w:rsid w:val="00DC41D3"/>
    <w:rsid w:val="00DC43AC"/>
    <w:rsid w:val="00DC45F3"/>
    <w:rsid w:val="00DC4BB5"/>
    <w:rsid w:val="00DC4CB4"/>
    <w:rsid w:val="00DC4D43"/>
    <w:rsid w:val="00DC4F40"/>
    <w:rsid w:val="00DC4FEF"/>
    <w:rsid w:val="00DC50EC"/>
    <w:rsid w:val="00DC5114"/>
    <w:rsid w:val="00DC51EA"/>
    <w:rsid w:val="00DC5343"/>
    <w:rsid w:val="00DC54F0"/>
    <w:rsid w:val="00DC5E8C"/>
    <w:rsid w:val="00DC6074"/>
    <w:rsid w:val="00DC643C"/>
    <w:rsid w:val="00DC64D6"/>
    <w:rsid w:val="00DC6997"/>
    <w:rsid w:val="00DC6BB5"/>
    <w:rsid w:val="00DC6D10"/>
    <w:rsid w:val="00DC7033"/>
    <w:rsid w:val="00DC710E"/>
    <w:rsid w:val="00DC73E1"/>
    <w:rsid w:val="00DC7550"/>
    <w:rsid w:val="00DC79C5"/>
    <w:rsid w:val="00DC7CF4"/>
    <w:rsid w:val="00DC7D64"/>
    <w:rsid w:val="00DC7DF7"/>
    <w:rsid w:val="00DC7FEA"/>
    <w:rsid w:val="00DD0859"/>
    <w:rsid w:val="00DD09D0"/>
    <w:rsid w:val="00DD09F5"/>
    <w:rsid w:val="00DD0FF8"/>
    <w:rsid w:val="00DD1B16"/>
    <w:rsid w:val="00DD1D62"/>
    <w:rsid w:val="00DD2523"/>
    <w:rsid w:val="00DD25E7"/>
    <w:rsid w:val="00DD2A43"/>
    <w:rsid w:val="00DD2CD8"/>
    <w:rsid w:val="00DD2CE7"/>
    <w:rsid w:val="00DD30BD"/>
    <w:rsid w:val="00DD30D9"/>
    <w:rsid w:val="00DD357B"/>
    <w:rsid w:val="00DD38E6"/>
    <w:rsid w:val="00DD3948"/>
    <w:rsid w:val="00DD39F9"/>
    <w:rsid w:val="00DD3B9E"/>
    <w:rsid w:val="00DD3D98"/>
    <w:rsid w:val="00DD3DC8"/>
    <w:rsid w:val="00DD3E0B"/>
    <w:rsid w:val="00DD3E8A"/>
    <w:rsid w:val="00DD3F6D"/>
    <w:rsid w:val="00DD422F"/>
    <w:rsid w:val="00DD4375"/>
    <w:rsid w:val="00DD46B3"/>
    <w:rsid w:val="00DD46E9"/>
    <w:rsid w:val="00DD474B"/>
    <w:rsid w:val="00DD4776"/>
    <w:rsid w:val="00DD4E67"/>
    <w:rsid w:val="00DD52EA"/>
    <w:rsid w:val="00DD5462"/>
    <w:rsid w:val="00DD553B"/>
    <w:rsid w:val="00DD55E1"/>
    <w:rsid w:val="00DD5892"/>
    <w:rsid w:val="00DD5AEC"/>
    <w:rsid w:val="00DD5AF7"/>
    <w:rsid w:val="00DD5DCF"/>
    <w:rsid w:val="00DD5E82"/>
    <w:rsid w:val="00DD6057"/>
    <w:rsid w:val="00DD64DA"/>
    <w:rsid w:val="00DD653E"/>
    <w:rsid w:val="00DD683A"/>
    <w:rsid w:val="00DD6943"/>
    <w:rsid w:val="00DD69B3"/>
    <w:rsid w:val="00DD69B7"/>
    <w:rsid w:val="00DD6CC9"/>
    <w:rsid w:val="00DD6D91"/>
    <w:rsid w:val="00DD6DF2"/>
    <w:rsid w:val="00DD7044"/>
    <w:rsid w:val="00DD70AD"/>
    <w:rsid w:val="00DD7172"/>
    <w:rsid w:val="00DD741D"/>
    <w:rsid w:val="00DD7492"/>
    <w:rsid w:val="00DD758E"/>
    <w:rsid w:val="00DD7A67"/>
    <w:rsid w:val="00DD7ECA"/>
    <w:rsid w:val="00DD7F93"/>
    <w:rsid w:val="00DD7FD4"/>
    <w:rsid w:val="00DD7FD7"/>
    <w:rsid w:val="00DE0011"/>
    <w:rsid w:val="00DE043B"/>
    <w:rsid w:val="00DE06D2"/>
    <w:rsid w:val="00DE0AA8"/>
    <w:rsid w:val="00DE0CDF"/>
    <w:rsid w:val="00DE0F89"/>
    <w:rsid w:val="00DE1031"/>
    <w:rsid w:val="00DE10CD"/>
    <w:rsid w:val="00DE1433"/>
    <w:rsid w:val="00DE15C8"/>
    <w:rsid w:val="00DE1693"/>
    <w:rsid w:val="00DE16B8"/>
    <w:rsid w:val="00DE188F"/>
    <w:rsid w:val="00DE1898"/>
    <w:rsid w:val="00DE18DD"/>
    <w:rsid w:val="00DE1A15"/>
    <w:rsid w:val="00DE1B72"/>
    <w:rsid w:val="00DE2374"/>
    <w:rsid w:val="00DE255D"/>
    <w:rsid w:val="00DE25C5"/>
    <w:rsid w:val="00DE25CF"/>
    <w:rsid w:val="00DE299A"/>
    <w:rsid w:val="00DE2A19"/>
    <w:rsid w:val="00DE2DF6"/>
    <w:rsid w:val="00DE31D8"/>
    <w:rsid w:val="00DE32B0"/>
    <w:rsid w:val="00DE335B"/>
    <w:rsid w:val="00DE3377"/>
    <w:rsid w:val="00DE339C"/>
    <w:rsid w:val="00DE3514"/>
    <w:rsid w:val="00DE3635"/>
    <w:rsid w:val="00DE3962"/>
    <w:rsid w:val="00DE3B56"/>
    <w:rsid w:val="00DE3B6E"/>
    <w:rsid w:val="00DE3BE4"/>
    <w:rsid w:val="00DE3C59"/>
    <w:rsid w:val="00DE3CF0"/>
    <w:rsid w:val="00DE3D78"/>
    <w:rsid w:val="00DE3F0D"/>
    <w:rsid w:val="00DE40E5"/>
    <w:rsid w:val="00DE4840"/>
    <w:rsid w:val="00DE4B01"/>
    <w:rsid w:val="00DE4CF1"/>
    <w:rsid w:val="00DE4DE2"/>
    <w:rsid w:val="00DE504F"/>
    <w:rsid w:val="00DE50CB"/>
    <w:rsid w:val="00DE51D6"/>
    <w:rsid w:val="00DE55AE"/>
    <w:rsid w:val="00DE5760"/>
    <w:rsid w:val="00DE579D"/>
    <w:rsid w:val="00DE597F"/>
    <w:rsid w:val="00DE5BFE"/>
    <w:rsid w:val="00DE5D23"/>
    <w:rsid w:val="00DE5D3E"/>
    <w:rsid w:val="00DE5DD2"/>
    <w:rsid w:val="00DE5E8C"/>
    <w:rsid w:val="00DE6063"/>
    <w:rsid w:val="00DE651F"/>
    <w:rsid w:val="00DE67F9"/>
    <w:rsid w:val="00DE6B31"/>
    <w:rsid w:val="00DE6B7F"/>
    <w:rsid w:val="00DE6BD6"/>
    <w:rsid w:val="00DE71A3"/>
    <w:rsid w:val="00DE7247"/>
    <w:rsid w:val="00DE760F"/>
    <w:rsid w:val="00DE7731"/>
    <w:rsid w:val="00DE77A4"/>
    <w:rsid w:val="00DE78C6"/>
    <w:rsid w:val="00DE79B3"/>
    <w:rsid w:val="00DF0033"/>
    <w:rsid w:val="00DF0062"/>
    <w:rsid w:val="00DF0346"/>
    <w:rsid w:val="00DF07BD"/>
    <w:rsid w:val="00DF07BE"/>
    <w:rsid w:val="00DF0872"/>
    <w:rsid w:val="00DF08C4"/>
    <w:rsid w:val="00DF08F6"/>
    <w:rsid w:val="00DF0B31"/>
    <w:rsid w:val="00DF12F9"/>
    <w:rsid w:val="00DF14BA"/>
    <w:rsid w:val="00DF1831"/>
    <w:rsid w:val="00DF194E"/>
    <w:rsid w:val="00DF19DC"/>
    <w:rsid w:val="00DF1A68"/>
    <w:rsid w:val="00DF1BB6"/>
    <w:rsid w:val="00DF2027"/>
    <w:rsid w:val="00DF20EA"/>
    <w:rsid w:val="00DF2127"/>
    <w:rsid w:val="00DF240E"/>
    <w:rsid w:val="00DF2540"/>
    <w:rsid w:val="00DF2557"/>
    <w:rsid w:val="00DF2611"/>
    <w:rsid w:val="00DF2854"/>
    <w:rsid w:val="00DF2ABF"/>
    <w:rsid w:val="00DF2BB5"/>
    <w:rsid w:val="00DF2F88"/>
    <w:rsid w:val="00DF2FC6"/>
    <w:rsid w:val="00DF3369"/>
    <w:rsid w:val="00DF353E"/>
    <w:rsid w:val="00DF3AEC"/>
    <w:rsid w:val="00DF3EFD"/>
    <w:rsid w:val="00DF422D"/>
    <w:rsid w:val="00DF467F"/>
    <w:rsid w:val="00DF4712"/>
    <w:rsid w:val="00DF4725"/>
    <w:rsid w:val="00DF4FC5"/>
    <w:rsid w:val="00DF525A"/>
    <w:rsid w:val="00DF5509"/>
    <w:rsid w:val="00DF5590"/>
    <w:rsid w:val="00DF57F0"/>
    <w:rsid w:val="00DF597B"/>
    <w:rsid w:val="00DF5A95"/>
    <w:rsid w:val="00DF5B7F"/>
    <w:rsid w:val="00DF5C02"/>
    <w:rsid w:val="00DF5C15"/>
    <w:rsid w:val="00DF6135"/>
    <w:rsid w:val="00DF65A5"/>
    <w:rsid w:val="00DF674C"/>
    <w:rsid w:val="00DF6819"/>
    <w:rsid w:val="00DF6B25"/>
    <w:rsid w:val="00DF6D14"/>
    <w:rsid w:val="00DF6D62"/>
    <w:rsid w:val="00DF6D7C"/>
    <w:rsid w:val="00DF74BD"/>
    <w:rsid w:val="00DF74EF"/>
    <w:rsid w:val="00DF7858"/>
    <w:rsid w:val="00DF7965"/>
    <w:rsid w:val="00DF7985"/>
    <w:rsid w:val="00DF7D46"/>
    <w:rsid w:val="00DF7D48"/>
    <w:rsid w:val="00E0027D"/>
    <w:rsid w:val="00E0043E"/>
    <w:rsid w:val="00E00447"/>
    <w:rsid w:val="00E0047F"/>
    <w:rsid w:val="00E008EC"/>
    <w:rsid w:val="00E00C9B"/>
    <w:rsid w:val="00E00DB6"/>
    <w:rsid w:val="00E00E54"/>
    <w:rsid w:val="00E0133A"/>
    <w:rsid w:val="00E01385"/>
    <w:rsid w:val="00E015EE"/>
    <w:rsid w:val="00E019B7"/>
    <w:rsid w:val="00E01A0D"/>
    <w:rsid w:val="00E01C5D"/>
    <w:rsid w:val="00E01C62"/>
    <w:rsid w:val="00E01DC8"/>
    <w:rsid w:val="00E01FC1"/>
    <w:rsid w:val="00E0209A"/>
    <w:rsid w:val="00E021C9"/>
    <w:rsid w:val="00E022DE"/>
    <w:rsid w:val="00E0254A"/>
    <w:rsid w:val="00E028D0"/>
    <w:rsid w:val="00E02CA4"/>
    <w:rsid w:val="00E0317A"/>
    <w:rsid w:val="00E03409"/>
    <w:rsid w:val="00E03584"/>
    <w:rsid w:val="00E0394B"/>
    <w:rsid w:val="00E03C8F"/>
    <w:rsid w:val="00E03D3F"/>
    <w:rsid w:val="00E03D5A"/>
    <w:rsid w:val="00E03D66"/>
    <w:rsid w:val="00E03D94"/>
    <w:rsid w:val="00E03FA0"/>
    <w:rsid w:val="00E040E8"/>
    <w:rsid w:val="00E04118"/>
    <w:rsid w:val="00E042A9"/>
    <w:rsid w:val="00E0434F"/>
    <w:rsid w:val="00E0462B"/>
    <w:rsid w:val="00E046A6"/>
    <w:rsid w:val="00E04712"/>
    <w:rsid w:val="00E04A51"/>
    <w:rsid w:val="00E04AB1"/>
    <w:rsid w:val="00E0500C"/>
    <w:rsid w:val="00E05150"/>
    <w:rsid w:val="00E05566"/>
    <w:rsid w:val="00E05646"/>
    <w:rsid w:val="00E0565C"/>
    <w:rsid w:val="00E05861"/>
    <w:rsid w:val="00E05976"/>
    <w:rsid w:val="00E05CA1"/>
    <w:rsid w:val="00E06034"/>
    <w:rsid w:val="00E060C7"/>
    <w:rsid w:val="00E06130"/>
    <w:rsid w:val="00E061A6"/>
    <w:rsid w:val="00E0624F"/>
    <w:rsid w:val="00E06388"/>
    <w:rsid w:val="00E06671"/>
    <w:rsid w:val="00E06833"/>
    <w:rsid w:val="00E06A69"/>
    <w:rsid w:val="00E06B04"/>
    <w:rsid w:val="00E06B4E"/>
    <w:rsid w:val="00E070B2"/>
    <w:rsid w:val="00E0715A"/>
    <w:rsid w:val="00E07292"/>
    <w:rsid w:val="00E072A0"/>
    <w:rsid w:val="00E07A10"/>
    <w:rsid w:val="00E07AAC"/>
    <w:rsid w:val="00E07DB2"/>
    <w:rsid w:val="00E07E12"/>
    <w:rsid w:val="00E10033"/>
    <w:rsid w:val="00E1009E"/>
    <w:rsid w:val="00E1012A"/>
    <w:rsid w:val="00E10743"/>
    <w:rsid w:val="00E10C7B"/>
    <w:rsid w:val="00E10E65"/>
    <w:rsid w:val="00E10F25"/>
    <w:rsid w:val="00E11230"/>
    <w:rsid w:val="00E1126B"/>
    <w:rsid w:val="00E112BC"/>
    <w:rsid w:val="00E1135A"/>
    <w:rsid w:val="00E11522"/>
    <w:rsid w:val="00E11543"/>
    <w:rsid w:val="00E1162C"/>
    <w:rsid w:val="00E11BD2"/>
    <w:rsid w:val="00E11C02"/>
    <w:rsid w:val="00E11DDC"/>
    <w:rsid w:val="00E11E48"/>
    <w:rsid w:val="00E11ED1"/>
    <w:rsid w:val="00E1202D"/>
    <w:rsid w:val="00E12034"/>
    <w:rsid w:val="00E122CA"/>
    <w:rsid w:val="00E12792"/>
    <w:rsid w:val="00E127C0"/>
    <w:rsid w:val="00E12859"/>
    <w:rsid w:val="00E12980"/>
    <w:rsid w:val="00E1307A"/>
    <w:rsid w:val="00E13134"/>
    <w:rsid w:val="00E1316A"/>
    <w:rsid w:val="00E131C1"/>
    <w:rsid w:val="00E131DE"/>
    <w:rsid w:val="00E133B9"/>
    <w:rsid w:val="00E134F0"/>
    <w:rsid w:val="00E135EB"/>
    <w:rsid w:val="00E13961"/>
    <w:rsid w:val="00E144BF"/>
    <w:rsid w:val="00E146BE"/>
    <w:rsid w:val="00E1481E"/>
    <w:rsid w:val="00E14832"/>
    <w:rsid w:val="00E14860"/>
    <w:rsid w:val="00E149E8"/>
    <w:rsid w:val="00E14A96"/>
    <w:rsid w:val="00E14A98"/>
    <w:rsid w:val="00E14B57"/>
    <w:rsid w:val="00E14B74"/>
    <w:rsid w:val="00E14DA1"/>
    <w:rsid w:val="00E151A8"/>
    <w:rsid w:val="00E15203"/>
    <w:rsid w:val="00E154DF"/>
    <w:rsid w:val="00E1582C"/>
    <w:rsid w:val="00E1589E"/>
    <w:rsid w:val="00E1598D"/>
    <w:rsid w:val="00E15B97"/>
    <w:rsid w:val="00E15BBC"/>
    <w:rsid w:val="00E15C9A"/>
    <w:rsid w:val="00E15D20"/>
    <w:rsid w:val="00E160D9"/>
    <w:rsid w:val="00E1614F"/>
    <w:rsid w:val="00E16193"/>
    <w:rsid w:val="00E161FC"/>
    <w:rsid w:val="00E162F1"/>
    <w:rsid w:val="00E1641F"/>
    <w:rsid w:val="00E164D6"/>
    <w:rsid w:val="00E1651D"/>
    <w:rsid w:val="00E16775"/>
    <w:rsid w:val="00E16825"/>
    <w:rsid w:val="00E16899"/>
    <w:rsid w:val="00E16986"/>
    <w:rsid w:val="00E16A75"/>
    <w:rsid w:val="00E16BF0"/>
    <w:rsid w:val="00E16E8C"/>
    <w:rsid w:val="00E17643"/>
    <w:rsid w:val="00E176BB"/>
    <w:rsid w:val="00E17707"/>
    <w:rsid w:val="00E17720"/>
    <w:rsid w:val="00E177C4"/>
    <w:rsid w:val="00E179BE"/>
    <w:rsid w:val="00E17A6C"/>
    <w:rsid w:val="00E17E94"/>
    <w:rsid w:val="00E2046D"/>
    <w:rsid w:val="00E20517"/>
    <w:rsid w:val="00E205F1"/>
    <w:rsid w:val="00E20844"/>
    <w:rsid w:val="00E20983"/>
    <w:rsid w:val="00E20A94"/>
    <w:rsid w:val="00E20AD2"/>
    <w:rsid w:val="00E20B0E"/>
    <w:rsid w:val="00E20D32"/>
    <w:rsid w:val="00E21039"/>
    <w:rsid w:val="00E210A4"/>
    <w:rsid w:val="00E2148A"/>
    <w:rsid w:val="00E2189B"/>
    <w:rsid w:val="00E218FF"/>
    <w:rsid w:val="00E21B5D"/>
    <w:rsid w:val="00E21F5D"/>
    <w:rsid w:val="00E2228C"/>
    <w:rsid w:val="00E22542"/>
    <w:rsid w:val="00E22552"/>
    <w:rsid w:val="00E226D7"/>
    <w:rsid w:val="00E22717"/>
    <w:rsid w:val="00E22BF1"/>
    <w:rsid w:val="00E23000"/>
    <w:rsid w:val="00E23885"/>
    <w:rsid w:val="00E23986"/>
    <w:rsid w:val="00E23F2E"/>
    <w:rsid w:val="00E24349"/>
    <w:rsid w:val="00E24A62"/>
    <w:rsid w:val="00E24B99"/>
    <w:rsid w:val="00E24E34"/>
    <w:rsid w:val="00E25002"/>
    <w:rsid w:val="00E25018"/>
    <w:rsid w:val="00E251CD"/>
    <w:rsid w:val="00E2533D"/>
    <w:rsid w:val="00E2535C"/>
    <w:rsid w:val="00E253AC"/>
    <w:rsid w:val="00E2546B"/>
    <w:rsid w:val="00E255FF"/>
    <w:rsid w:val="00E257B3"/>
    <w:rsid w:val="00E2595D"/>
    <w:rsid w:val="00E25C21"/>
    <w:rsid w:val="00E25E96"/>
    <w:rsid w:val="00E26402"/>
    <w:rsid w:val="00E26736"/>
    <w:rsid w:val="00E267C9"/>
    <w:rsid w:val="00E269DB"/>
    <w:rsid w:val="00E26D94"/>
    <w:rsid w:val="00E26FE4"/>
    <w:rsid w:val="00E27054"/>
    <w:rsid w:val="00E27137"/>
    <w:rsid w:val="00E271CC"/>
    <w:rsid w:val="00E2728E"/>
    <w:rsid w:val="00E27419"/>
    <w:rsid w:val="00E275A8"/>
    <w:rsid w:val="00E27676"/>
    <w:rsid w:val="00E27693"/>
    <w:rsid w:val="00E276E0"/>
    <w:rsid w:val="00E277F7"/>
    <w:rsid w:val="00E27832"/>
    <w:rsid w:val="00E27892"/>
    <w:rsid w:val="00E2795A"/>
    <w:rsid w:val="00E2798E"/>
    <w:rsid w:val="00E27D17"/>
    <w:rsid w:val="00E27EEE"/>
    <w:rsid w:val="00E30053"/>
    <w:rsid w:val="00E30236"/>
    <w:rsid w:val="00E3040B"/>
    <w:rsid w:val="00E30513"/>
    <w:rsid w:val="00E30836"/>
    <w:rsid w:val="00E30F21"/>
    <w:rsid w:val="00E310D7"/>
    <w:rsid w:val="00E3184C"/>
    <w:rsid w:val="00E318D5"/>
    <w:rsid w:val="00E31942"/>
    <w:rsid w:val="00E31AAF"/>
    <w:rsid w:val="00E31D29"/>
    <w:rsid w:val="00E31E94"/>
    <w:rsid w:val="00E3252B"/>
    <w:rsid w:val="00E32664"/>
    <w:rsid w:val="00E3271E"/>
    <w:rsid w:val="00E327A9"/>
    <w:rsid w:val="00E32808"/>
    <w:rsid w:val="00E328DB"/>
    <w:rsid w:val="00E32B5F"/>
    <w:rsid w:val="00E32B66"/>
    <w:rsid w:val="00E32E61"/>
    <w:rsid w:val="00E330F3"/>
    <w:rsid w:val="00E33855"/>
    <w:rsid w:val="00E338EA"/>
    <w:rsid w:val="00E33B96"/>
    <w:rsid w:val="00E33C23"/>
    <w:rsid w:val="00E33F55"/>
    <w:rsid w:val="00E341A3"/>
    <w:rsid w:val="00E342BB"/>
    <w:rsid w:val="00E3443A"/>
    <w:rsid w:val="00E345B7"/>
    <w:rsid w:val="00E34A5D"/>
    <w:rsid w:val="00E34A8E"/>
    <w:rsid w:val="00E34BCA"/>
    <w:rsid w:val="00E34C67"/>
    <w:rsid w:val="00E34E8B"/>
    <w:rsid w:val="00E34FBE"/>
    <w:rsid w:val="00E35327"/>
    <w:rsid w:val="00E353D9"/>
    <w:rsid w:val="00E353EC"/>
    <w:rsid w:val="00E35B8E"/>
    <w:rsid w:val="00E35E71"/>
    <w:rsid w:val="00E35F77"/>
    <w:rsid w:val="00E35FD7"/>
    <w:rsid w:val="00E36248"/>
    <w:rsid w:val="00E36422"/>
    <w:rsid w:val="00E36446"/>
    <w:rsid w:val="00E36542"/>
    <w:rsid w:val="00E368AF"/>
    <w:rsid w:val="00E36C66"/>
    <w:rsid w:val="00E374F7"/>
    <w:rsid w:val="00E37AAF"/>
    <w:rsid w:val="00E37CD0"/>
    <w:rsid w:val="00E37D12"/>
    <w:rsid w:val="00E37F96"/>
    <w:rsid w:val="00E37FEB"/>
    <w:rsid w:val="00E40046"/>
    <w:rsid w:val="00E401EE"/>
    <w:rsid w:val="00E40336"/>
    <w:rsid w:val="00E40373"/>
    <w:rsid w:val="00E403F1"/>
    <w:rsid w:val="00E4057F"/>
    <w:rsid w:val="00E40611"/>
    <w:rsid w:val="00E40811"/>
    <w:rsid w:val="00E409F7"/>
    <w:rsid w:val="00E40DEB"/>
    <w:rsid w:val="00E40E3D"/>
    <w:rsid w:val="00E41880"/>
    <w:rsid w:val="00E419B2"/>
    <w:rsid w:val="00E41AE4"/>
    <w:rsid w:val="00E41C70"/>
    <w:rsid w:val="00E42238"/>
    <w:rsid w:val="00E4229C"/>
    <w:rsid w:val="00E42380"/>
    <w:rsid w:val="00E425EB"/>
    <w:rsid w:val="00E426AB"/>
    <w:rsid w:val="00E42CB9"/>
    <w:rsid w:val="00E42F51"/>
    <w:rsid w:val="00E43041"/>
    <w:rsid w:val="00E431C8"/>
    <w:rsid w:val="00E43263"/>
    <w:rsid w:val="00E4361C"/>
    <w:rsid w:val="00E4363B"/>
    <w:rsid w:val="00E436F5"/>
    <w:rsid w:val="00E437D4"/>
    <w:rsid w:val="00E43A1B"/>
    <w:rsid w:val="00E43A65"/>
    <w:rsid w:val="00E43D8C"/>
    <w:rsid w:val="00E43DEB"/>
    <w:rsid w:val="00E4421C"/>
    <w:rsid w:val="00E44D22"/>
    <w:rsid w:val="00E44DF7"/>
    <w:rsid w:val="00E44EFB"/>
    <w:rsid w:val="00E45064"/>
    <w:rsid w:val="00E4533F"/>
    <w:rsid w:val="00E45742"/>
    <w:rsid w:val="00E45866"/>
    <w:rsid w:val="00E459C7"/>
    <w:rsid w:val="00E45AD3"/>
    <w:rsid w:val="00E460A9"/>
    <w:rsid w:val="00E4624B"/>
    <w:rsid w:val="00E4655A"/>
    <w:rsid w:val="00E4656B"/>
    <w:rsid w:val="00E4659A"/>
    <w:rsid w:val="00E466DD"/>
    <w:rsid w:val="00E4671E"/>
    <w:rsid w:val="00E467BC"/>
    <w:rsid w:val="00E467D2"/>
    <w:rsid w:val="00E46AEA"/>
    <w:rsid w:val="00E46B0D"/>
    <w:rsid w:val="00E46C0F"/>
    <w:rsid w:val="00E46DF3"/>
    <w:rsid w:val="00E46F21"/>
    <w:rsid w:val="00E46F92"/>
    <w:rsid w:val="00E46FB3"/>
    <w:rsid w:val="00E4748A"/>
    <w:rsid w:val="00E47605"/>
    <w:rsid w:val="00E4785B"/>
    <w:rsid w:val="00E47888"/>
    <w:rsid w:val="00E47D1C"/>
    <w:rsid w:val="00E47E31"/>
    <w:rsid w:val="00E50017"/>
    <w:rsid w:val="00E5001C"/>
    <w:rsid w:val="00E5024C"/>
    <w:rsid w:val="00E50300"/>
    <w:rsid w:val="00E50520"/>
    <w:rsid w:val="00E50625"/>
    <w:rsid w:val="00E5074A"/>
    <w:rsid w:val="00E50902"/>
    <w:rsid w:val="00E50B5C"/>
    <w:rsid w:val="00E50E52"/>
    <w:rsid w:val="00E50F4C"/>
    <w:rsid w:val="00E510E9"/>
    <w:rsid w:val="00E512C8"/>
    <w:rsid w:val="00E51446"/>
    <w:rsid w:val="00E5166F"/>
    <w:rsid w:val="00E51774"/>
    <w:rsid w:val="00E51956"/>
    <w:rsid w:val="00E519E3"/>
    <w:rsid w:val="00E51D41"/>
    <w:rsid w:val="00E51E9E"/>
    <w:rsid w:val="00E52038"/>
    <w:rsid w:val="00E520E0"/>
    <w:rsid w:val="00E525D2"/>
    <w:rsid w:val="00E526D3"/>
    <w:rsid w:val="00E52895"/>
    <w:rsid w:val="00E5294D"/>
    <w:rsid w:val="00E52A47"/>
    <w:rsid w:val="00E52C54"/>
    <w:rsid w:val="00E52C5F"/>
    <w:rsid w:val="00E530C3"/>
    <w:rsid w:val="00E531BB"/>
    <w:rsid w:val="00E53293"/>
    <w:rsid w:val="00E5359F"/>
    <w:rsid w:val="00E53831"/>
    <w:rsid w:val="00E53A98"/>
    <w:rsid w:val="00E53ADB"/>
    <w:rsid w:val="00E53B1B"/>
    <w:rsid w:val="00E53B61"/>
    <w:rsid w:val="00E53DCD"/>
    <w:rsid w:val="00E53FB9"/>
    <w:rsid w:val="00E543EC"/>
    <w:rsid w:val="00E54697"/>
    <w:rsid w:val="00E547F4"/>
    <w:rsid w:val="00E54840"/>
    <w:rsid w:val="00E54A00"/>
    <w:rsid w:val="00E54A8D"/>
    <w:rsid w:val="00E54BDC"/>
    <w:rsid w:val="00E54F3E"/>
    <w:rsid w:val="00E54FA3"/>
    <w:rsid w:val="00E552DA"/>
    <w:rsid w:val="00E553AA"/>
    <w:rsid w:val="00E555CB"/>
    <w:rsid w:val="00E555E2"/>
    <w:rsid w:val="00E559DB"/>
    <w:rsid w:val="00E55D9B"/>
    <w:rsid w:val="00E56288"/>
    <w:rsid w:val="00E5634C"/>
    <w:rsid w:val="00E563FE"/>
    <w:rsid w:val="00E564A7"/>
    <w:rsid w:val="00E565F5"/>
    <w:rsid w:val="00E5677C"/>
    <w:rsid w:val="00E5691D"/>
    <w:rsid w:val="00E56B32"/>
    <w:rsid w:val="00E56CD0"/>
    <w:rsid w:val="00E56CD9"/>
    <w:rsid w:val="00E57102"/>
    <w:rsid w:val="00E574A8"/>
    <w:rsid w:val="00E57849"/>
    <w:rsid w:val="00E57C9E"/>
    <w:rsid w:val="00E60099"/>
    <w:rsid w:val="00E60302"/>
    <w:rsid w:val="00E60403"/>
    <w:rsid w:val="00E60479"/>
    <w:rsid w:val="00E6063B"/>
    <w:rsid w:val="00E60F75"/>
    <w:rsid w:val="00E6131A"/>
    <w:rsid w:val="00E614D7"/>
    <w:rsid w:val="00E615A0"/>
    <w:rsid w:val="00E61689"/>
    <w:rsid w:val="00E616C3"/>
    <w:rsid w:val="00E616D5"/>
    <w:rsid w:val="00E6187D"/>
    <w:rsid w:val="00E61A1F"/>
    <w:rsid w:val="00E61A37"/>
    <w:rsid w:val="00E61FC8"/>
    <w:rsid w:val="00E62058"/>
    <w:rsid w:val="00E62182"/>
    <w:rsid w:val="00E62283"/>
    <w:rsid w:val="00E6250D"/>
    <w:rsid w:val="00E626F1"/>
    <w:rsid w:val="00E62785"/>
    <w:rsid w:val="00E6285F"/>
    <w:rsid w:val="00E62A18"/>
    <w:rsid w:val="00E62ADA"/>
    <w:rsid w:val="00E62BB7"/>
    <w:rsid w:val="00E63279"/>
    <w:rsid w:val="00E6358D"/>
    <w:rsid w:val="00E635B0"/>
    <w:rsid w:val="00E6365F"/>
    <w:rsid w:val="00E6366C"/>
    <w:rsid w:val="00E63987"/>
    <w:rsid w:val="00E6399B"/>
    <w:rsid w:val="00E63B18"/>
    <w:rsid w:val="00E63BBB"/>
    <w:rsid w:val="00E63D6F"/>
    <w:rsid w:val="00E63E11"/>
    <w:rsid w:val="00E63EC2"/>
    <w:rsid w:val="00E64108"/>
    <w:rsid w:val="00E643EF"/>
    <w:rsid w:val="00E64675"/>
    <w:rsid w:val="00E648BC"/>
    <w:rsid w:val="00E64B7D"/>
    <w:rsid w:val="00E64BAB"/>
    <w:rsid w:val="00E64CDA"/>
    <w:rsid w:val="00E64E69"/>
    <w:rsid w:val="00E64FA1"/>
    <w:rsid w:val="00E65098"/>
    <w:rsid w:val="00E651C9"/>
    <w:rsid w:val="00E6588A"/>
    <w:rsid w:val="00E658A4"/>
    <w:rsid w:val="00E659E4"/>
    <w:rsid w:val="00E65C79"/>
    <w:rsid w:val="00E65E2F"/>
    <w:rsid w:val="00E660BB"/>
    <w:rsid w:val="00E66317"/>
    <w:rsid w:val="00E6647F"/>
    <w:rsid w:val="00E6656B"/>
    <w:rsid w:val="00E66844"/>
    <w:rsid w:val="00E6697C"/>
    <w:rsid w:val="00E66A0A"/>
    <w:rsid w:val="00E66A1E"/>
    <w:rsid w:val="00E66C80"/>
    <w:rsid w:val="00E66E3B"/>
    <w:rsid w:val="00E66FE0"/>
    <w:rsid w:val="00E67018"/>
    <w:rsid w:val="00E6701E"/>
    <w:rsid w:val="00E679A7"/>
    <w:rsid w:val="00E67AAE"/>
    <w:rsid w:val="00E67F58"/>
    <w:rsid w:val="00E67FEE"/>
    <w:rsid w:val="00E70031"/>
    <w:rsid w:val="00E704A0"/>
    <w:rsid w:val="00E70587"/>
    <w:rsid w:val="00E706D9"/>
    <w:rsid w:val="00E7072F"/>
    <w:rsid w:val="00E709EC"/>
    <w:rsid w:val="00E70BDC"/>
    <w:rsid w:val="00E70D2C"/>
    <w:rsid w:val="00E70DD0"/>
    <w:rsid w:val="00E70E01"/>
    <w:rsid w:val="00E70EC0"/>
    <w:rsid w:val="00E716C4"/>
    <w:rsid w:val="00E71AB4"/>
    <w:rsid w:val="00E71D78"/>
    <w:rsid w:val="00E71EDF"/>
    <w:rsid w:val="00E71FAD"/>
    <w:rsid w:val="00E71FF3"/>
    <w:rsid w:val="00E72053"/>
    <w:rsid w:val="00E72279"/>
    <w:rsid w:val="00E727B5"/>
    <w:rsid w:val="00E72DCE"/>
    <w:rsid w:val="00E72F01"/>
    <w:rsid w:val="00E72F5E"/>
    <w:rsid w:val="00E7300F"/>
    <w:rsid w:val="00E7304F"/>
    <w:rsid w:val="00E730D7"/>
    <w:rsid w:val="00E73551"/>
    <w:rsid w:val="00E73832"/>
    <w:rsid w:val="00E73F80"/>
    <w:rsid w:val="00E741E7"/>
    <w:rsid w:val="00E744A4"/>
    <w:rsid w:val="00E745DC"/>
    <w:rsid w:val="00E74605"/>
    <w:rsid w:val="00E7463C"/>
    <w:rsid w:val="00E74705"/>
    <w:rsid w:val="00E7490D"/>
    <w:rsid w:val="00E74936"/>
    <w:rsid w:val="00E74938"/>
    <w:rsid w:val="00E74CF7"/>
    <w:rsid w:val="00E74D06"/>
    <w:rsid w:val="00E74F0E"/>
    <w:rsid w:val="00E75143"/>
    <w:rsid w:val="00E75363"/>
    <w:rsid w:val="00E75519"/>
    <w:rsid w:val="00E7570C"/>
    <w:rsid w:val="00E75744"/>
    <w:rsid w:val="00E759F4"/>
    <w:rsid w:val="00E75A3D"/>
    <w:rsid w:val="00E75B07"/>
    <w:rsid w:val="00E75C6F"/>
    <w:rsid w:val="00E75CEC"/>
    <w:rsid w:val="00E75CFC"/>
    <w:rsid w:val="00E75DC0"/>
    <w:rsid w:val="00E75E1F"/>
    <w:rsid w:val="00E75F06"/>
    <w:rsid w:val="00E76068"/>
    <w:rsid w:val="00E7630E"/>
    <w:rsid w:val="00E766E2"/>
    <w:rsid w:val="00E76711"/>
    <w:rsid w:val="00E767F6"/>
    <w:rsid w:val="00E76C00"/>
    <w:rsid w:val="00E76F0B"/>
    <w:rsid w:val="00E76FB3"/>
    <w:rsid w:val="00E77128"/>
    <w:rsid w:val="00E776D5"/>
    <w:rsid w:val="00E77910"/>
    <w:rsid w:val="00E77C0A"/>
    <w:rsid w:val="00E80946"/>
    <w:rsid w:val="00E809D3"/>
    <w:rsid w:val="00E80F10"/>
    <w:rsid w:val="00E8116F"/>
    <w:rsid w:val="00E81218"/>
    <w:rsid w:val="00E81357"/>
    <w:rsid w:val="00E81386"/>
    <w:rsid w:val="00E813E9"/>
    <w:rsid w:val="00E814AC"/>
    <w:rsid w:val="00E81533"/>
    <w:rsid w:val="00E815A8"/>
    <w:rsid w:val="00E81BFA"/>
    <w:rsid w:val="00E81CB7"/>
    <w:rsid w:val="00E81CCB"/>
    <w:rsid w:val="00E81CD0"/>
    <w:rsid w:val="00E81DA8"/>
    <w:rsid w:val="00E81E95"/>
    <w:rsid w:val="00E81F38"/>
    <w:rsid w:val="00E82003"/>
    <w:rsid w:val="00E82082"/>
    <w:rsid w:val="00E820F8"/>
    <w:rsid w:val="00E820FB"/>
    <w:rsid w:val="00E823B6"/>
    <w:rsid w:val="00E8263F"/>
    <w:rsid w:val="00E829C1"/>
    <w:rsid w:val="00E82C76"/>
    <w:rsid w:val="00E8310A"/>
    <w:rsid w:val="00E83184"/>
    <w:rsid w:val="00E8321C"/>
    <w:rsid w:val="00E83566"/>
    <w:rsid w:val="00E8367A"/>
    <w:rsid w:val="00E83692"/>
    <w:rsid w:val="00E83698"/>
    <w:rsid w:val="00E83705"/>
    <w:rsid w:val="00E83AB5"/>
    <w:rsid w:val="00E8409F"/>
    <w:rsid w:val="00E84429"/>
    <w:rsid w:val="00E8464A"/>
    <w:rsid w:val="00E8471D"/>
    <w:rsid w:val="00E847A2"/>
    <w:rsid w:val="00E84939"/>
    <w:rsid w:val="00E84981"/>
    <w:rsid w:val="00E84CC1"/>
    <w:rsid w:val="00E84CE6"/>
    <w:rsid w:val="00E850AE"/>
    <w:rsid w:val="00E8518E"/>
    <w:rsid w:val="00E8537D"/>
    <w:rsid w:val="00E85AC1"/>
    <w:rsid w:val="00E85C25"/>
    <w:rsid w:val="00E85E42"/>
    <w:rsid w:val="00E860E4"/>
    <w:rsid w:val="00E860E9"/>
    <w:rsid w:val="00E86260"/>
    <w:rsid w:val="00E862F2"/>
    <w:rsid w:val="00E867B4"/>
    <w:rsid w:val="00E8698A"/>
    <w:rsid w:val="00E86C3E"/>
    <w:rsid w:val="00E86E18"/>
    <w:rsid w:val="00E8704A"/>
    <w:rsid w:val="00E8731B"/>
    <w:rsid w:val="00E87642"/>
    <w:rsid w:val="00E878F2"/>
    <w:rsid w:val="00E87D98"/>
    <w:rsid w:val="00E87DD6"/>
    <w:rsid w:val="00E87F37"/>
    <w:rsid w:val="00E87F5E"/>
    <w:rsid w:val="00E90037"/>
    <w:rsid w:val="00E9016B"/>
    <w:rsid w:val="00E907D1"/>
    <w:rsid w:val="00E90855"/>
    <w:rsid w:val="00E90919"/>
    <w:rsid w:val="00E90B24"/>
    <w:rsid w:val="00E90CC0"/>
    <w:rsid w:val="00E90F81"/>
    <w:rsid w:val="00E91125"/>
    <w:rsid w:val="00E911E1"/>
    <w:rsid w:val="00E91733"/>
    <w:rsid w:val="00E91860"/>
    <w:rsid w:val="00E91A67"/>
    <w:rsid w:val="00E91ECB"/>
    <w:rsid w:val="00E91FB4"/>
    <w:rsid w:val="00E91FBA"/>
    <w:rsid w:val="00E92080"/>
    <w:rsid w:val="00E9208F"/>
    <w:rsid w:val="00E923FD"/>
    <w:rsid w:val="00E9250A"/>
    <w:rsid w:val="00E92C5C"/>
    <w:rsid w:val="00E92C5D"/>
    <w:rsid w:val="00E93109"/>
    <w:rsid w:val="00E93446"/>
    <w:rsid w:val="00E9347E"/>
    <w:rsid w:val="00E93553"/>
    <w:rsid w:val="00E9374F"/>
    <w:rsid w:val="00E939E4"/>
    <w:rsid w:val="00E93BCB"/>
    <w:rsid w:val="00E93D9D"/>
    <w:rsid w:val="00E93E06"/>
    <w:rsid w:val="00E94067"/>
    <w:rsid w:val="00E9407D"/>
    <w:rsid w:val="00E9454A"/>
    <w:rsid w:val="00E94573"/>
    <w:rsid w:val="00E94675"/>
    <w:rsid w:val="00E948A8"/>
    <w:rsid w:val="00E94BF4"/>
    <w:rsid w:val="00E94C51"/>
    <w:rsid w:val="00E94F1E"/>
    <w:rsid w:val="00E94F3A"/>
    <w:rsid w:val="00E94FA5"/>
    <w:rsid w:val="00E9519C"/>
    <w:rsid w:val="00E95738"/>
    <w:rsid w:val="00E957CF"/>
    <w:rsid w:val="00E95B41"/>
    <w:rsid w:val="00E95BE5"/>
    <w:rsid w:val="00E95D9C"/>
    <w:rsid w:val="00E96119"/>
    <w:rsid w:val="00E962D1"/>
    <w:rsid w:val="00E965C3"/>
    <w:rsid w:val="00E96767"/>
    <w:rsid w:val="00E96A12"/>
    <w:rsid w:val="00E96C2E"/>
    <w:rsid w:val="00E96CD7"/>
    <w:rsid w:val="00E97077"/>
    <w:rsid w:val="00E9710D"/>
    <w:rsid w:val="00E97222"/>
    <w:rsid w:val="00E974AC"/>
    <w:rsid w:val="00E97626"/>
    <w:rsid w:val="00E976B2"/>
    <w:rsid w:val="00E97708"/>
    <w:rsid w:val="00E97C91"/>
    <w:rsid w:val="00EA0272"/>
    <w:rsid w:val="00EA0503"/>
    <w:rsid w:val="00EA0874"/>
    <w:rsid w:val="00EA09B7"/>
    <w:rsid w:val="00EA12D3"/>
    <w:rsid w:val="00EA13E6"/>
    <w:rsid w:val="00EA1649"/>
    <w:rsid w:val="00EA17D5"/>
    <w:rsid w:val="00EA1986"/>
    <w:rsid w:val="00EA1ADC"/>
    <w:rsid w:val="00EA1E1F"/>
    <w:rsid w:val="00EA1FFE"/>
    <w:rsid w:val="00EA2064"/>
    <w:rsid w:val="00EA22F4"/>
    <w:rsid w:val="00EA2446"/>
    <w:rsid w:val="00EA26FB"/>
    <w:rsid w:val="00EA28A9"/>
    <w:rsid w:val="00EA2A32"/>
    <w:rsid w:val="00EA2A3A"/>
    <w:rsid w:val="00EA2BE8"/>
    <w:rsid w:val="00EA2D66"/>
    <w:rsid w:val="00EA2DA0"/>
    <w:rsid w:val="00EA2ED8"/>
    <w:rsid w:val="00EA3216"/>
    <w:rsid w:val="00EA3436"/>
    <w:rsid w:val="00EA3676"/>
    <w:rsid w:val="00EA376D"/>
    <w:rsid w:val="00EA37C1"/>
    <w:rsid w:val="00EA389C"/>
    <w:rsid w:val="00EA3A36"/>
    <w:rsid w:val="00EA3EDC"/>
    <w:rsid w:val="00EA3FAE"/>
    <w:rsid w:val="00EA40A8"/>
    <w:rsid w:val="00EA40F1"/>
    <w:rsid w:val="00EA42CE"/>
    <w:rsid w:val="00EA4443"/>
    <w:rsid w:val="00EA4450"/>
    <w:rsid w:val="00EA46B4"/>
    <w:rsid w:val="00EA47A8"/>
    <w:rsid w:val="00EA4876"/>
    <w:rsid w:val="00EA4A86"/>
    <w:rsid w:val="00EA4C1B"/>
    <w:rsid w:val="00EA4D67"/>
    <w:rsid w:val="00EA4E05"/>
    <w:rsid w:val="00EA5028"/>
    <w:rsid w:val="00EA5444"/>
    <w:rsid w:val="00EA54A6"/>
    <w:rsid w:val="00EA5617"/>
    <w:rsid w:val="00EA5A37"/>
    <w:rsid w:val="00EA5B1C"/>
    <w:rsid w:val="00EA61FE"/>
    <w:rsid w:val="00EA6324"/>
    <w:rsid w:val="00EA694B"/>
    <w:rsid w:val="00EA6C60"/>
    <w:rsid w:val="00EA6EE0"/>
    <w:rsid w:val="00EA701D"/>
    <w:rsid w:val="00EA706E"/>
    <w:rsid w:val="00EA7143"/>
    <w:rsid w:val="00EA7208"/>
    <w:rsid w:val="00EA73E4"/>
    <w:rsid w:val="00EA757A"/>
    <w:rsid w:val="00EA784A"/>
    <w:rsid w:val="00EA79B2"/>
    <w:rsid w:val="00EA7D4E"/>
    <w:rsid w:val="00EA7E20"/>
    <w:rsid w:val="00EA7E29"/>
    <w:rsid w:val="00EB03FC"/>
    <w:rsid w:val="00EB043C"/>
    <w:rsid w:val="00EB0B63"/>
    <w:rsid w:val="00EB0B6B"/>
    <w:rsid w:val="00EB143D"/>
    <w:rsid w:val="00EB1806"/>
    <w:rsid w:val="00EB1ABA"/>
    <w:rsid w:val="00EB1C77"/>
    <w:rsid w:val="00EB1D8C"/>
    <w:rsid w:val="00EB20D7"/>
    <w:rsid w:val="00EB2219"/>
    <w:rsid w:val="00EB24F8"/>
    <w:rsid w:val="00EB25D8"/>
    <w:rsid w:val="00EB268F"/>
    <w:rsid w:val="00EB273E"/>
    <w:rsid w:val="00EB276D"/>
    <w:rsid w:val="00EB27EB"/>
    <w:rsid w:val="00EB292F"/>
    <w:rsid w:val="00EB2ACF"/>
    <w:rsid w:val="00EB2AFB"/>
    <w:rsid w:val="00EB2BCE"/>
    <w:rsid w:val="00EB2C9E"/>
    <w:rsid w:val="00EB2D7A"/>
    <w:rsid w:val="00EB31EB"/>
    <w:rsid w:val="00EB350B"/>
    <w:rsid w:val="00EB3727"/>
    <w:rsid w:val="00EB38FF"/>
    <w:rsid w:val="00EB3E71"/>
    <w:rsid w:val="00EB3E9F"/>
    <w:rsid w:val="00EB4033"/>
    <w:rsid w:val="00EB4189"/>
    <w:rsid w:val="00EB418F"/>
    <w:rsid w:val="00EB41D6"/>
    <w:rsid w:val="00EB428B"/>
    <w:rsid w:val="00EB42CC"/>
    <w:rsid w:val="00EB43C2"/>
    <w:rsid w:val="00EB43E5"/>
    <w:rsid w:val="00EB481C"/>
    <w:rsid w:val="00EB4D0E"/>
    <w:rsid w:val="00EB4E3C"/>
    <w:rsid w:val="00EB5447"/>
    <w:rsid w:val="00EB57F1"/>
    <w:rsid w:val="00EB57FC"/>
    <w:rsid w:val="00EB5969"/>
    <w:rsid w:val="00EB5A57"/>
    <w:rsid w:val="00EB5ACD"/>
    <w:rsid w:val="00EB5D5D"/>
    <w:rsid w:val="00EB5EA5"/>
    <w:rsid w:val="00EB6083"/>
    <w:rsid w:val="00EB65E7"/>
    <w:rsid w:val="00EB66EE"/>
    <w:rsid w:val="00EB6802"/>
    <w:rsid w:val="00EB6A7A"/>
    <w:rsid w:val="00EB6B25"/>
    <w:rsid w:val="00EB6CBF"/>
    <w:rsid w:val="00EB6D28"/>
    <w:rsid w:val="00EB6DB5"/>
    <w:rsid w:val="00EB6E11"/>
    <w:rsid w:val="00EB6F1C"/>
    <w:rsid w:val="00EB6F22"/>
    <w:rsid w:val="00EB6F34"/>
    <w:rsid w:val="00EB6FA2"/>
    <w:rsid w:val="00EB721F"/>
    <w:rsid w:val="00EB741B"/>
    <w:rsid w:val="00EB7451"/>
    <w:rsid w:val="00EB77D4"/>
    <w:rsid w:val="00EB77E6"/>
    <w:rsid w:val="00EB7B5D"/>
    <w:rsid w:val="00EB7E53"/>
    <w:rsid w:val="00EB7FCA"/>
    <w:rsid w:val="00EC031B"/>
    <w:rsid w:val="00EC038B"/>
    <w:rsid w:val="00EC080B"/>
    <w:rsid w:val="00EC0840"/>
    <w:rsid w:val="00EC0C9F"/>
    <w:rsid w:val="00EC0CE0"/>
    <w:rsid w:val="00EC0D05"/>
    <w:rsid w:val="00EC0DA3"/>
    <w:rsid w:val="00EC0DE6"/>
    <w:rsid w:val="00EC0EE0"/>
    <w:rsid w:val="00EC0FB9"/>
    <w:rsid w:val="00EC1060"/>
    <w:rsid w:val="00EC1086"/>
    <w:rsid w:val="00EC118A"/>
    <w:rsid w:val="00EC15F4"/>
    <w:rsid w:val="00EC17A2"/>
    <w:rsid w:val="00EC1982"/>
    <w:rsid w:val="00EC203A"/>
    <w:rsid w:val="00EC2930"/>
    <w:rsid w:val="00EC2B87"/>
    <w:rsid w:val="00EC2CDE"/>
    <w:rsid w:val="00EC35EA"/>
    <w:rsid w:val="00EC3712"/>
    <w:rsid w:val="00EC381D"/>
    <w:rsid w:val="00EC39AE"/>
    <w:rsid w:val="00EC3A55"/>
    <w:rsid w:val="00EC3F30"/>
    <w:rsid w:val="00EC3F48"/>
    <w:rsid w:val="00EC44D6"/>
    <w:rsid w:val="00EC45D6"/>
    <w:rsid w:val="00EC47AC"/>
    <w:rsid w:val="00EC488D"/>
    <w:rsid w:val="00EC4910"/>
    <w:rsid w:val="00EC492B"/>
    <w:rsid w:val="00EC53AD"/>
    <w:rsid w:val="00EC55B8"/>
    <w:rsid w:val="00EC564B"/>
    <w:rsid w:val="00EC5879"/>
    <w:rsid w:val="00EC5A14"/>
    <w:rsid w:val="00EC5B5E"/>
    <w:rsid w:val="00EC5B6F"/>
    <w:rsid w:val="00EC5BE6"/>
    <w:rsid w:val="00EC5CA2"/>
    <w:rsid w:val="00EC5E33"/>
    <w:rsid w:val="00EC6459"/>
    <w:rsid w:val="00EC6872"/>
    <w:rsid w:val="00EC6905"/>
    <w:rsid w:val="00EC6BAA"/>
    <w:rsid w:val="00EC6DE6"/>
    <w:rsid w:val="00EC6E6E"/>
    <w:rsid w:val="00EC6F23"/>
    <w:rsid w:val="00EC6FBD"/>
    <w:rsid w:val="00EC70FF"/>
    <w:rsid w:val="00EC7149"/>
    <w:rsid w:val="00EC737F"/>
    <w:rsid w:val="00EC75D6"/>
    <w:rsid w:val="00EC76D7"/>
    <w:rsid w:val="00EC7817"/>
    <w:rsid w:val="00EC7B0F"/>
    <w:rsid w:val="00EC7B9F"/>
    <w:rsid w:val="00EC7CF8"/>
    <w:rsid w:val="00EC7D17"/>
    <w:rsid w:val="00EC7F56"/>
    <w:rsid w:val="00ED0323"/>
    <w:rsid w:val="00ED03B0"/>
    <w:rsid w:val="00ED05C1"/>
    <w:rsid w:val="00ED0786"/>
    <w:rsid w:val="00ED08E4"/>
    <w:rsid w:val="00ED0979"/>
    <w:rsid w:val="00ED0A5E"/>
    <w:rsid w:val="00ED101C"/>
    <w:rsid w:val="00ED12B3"/>
    <w:rsid w:val="00ED1377"/>
    <w:rsid w:val="00ED14FB"/>
    <w:rsid w:val="00ED15CC"/>
    <w:rsid w:val="00ED1790"/>
    <w:rsid w:val="00ED18F0"/>
    <w:rsid w:val="00ED1B4F"/>
    <w:rsid w:val="00ED1BE3"/>
    <w:rsid w:val="00ED1C93"/>
    <w:rsid w:val="00ED21BD"/>
    <w:rsid w:val="00ED22F6"/>
    <w:rsid w:val="00ED22FE"/>
    <w:rsid w:val="00ED2780"/>
    <w:rsid w:val="00ED2853"/>
    <w:rsid w:val="00ED29A8"/>
    <w:rsid w:val="00ED2B64"/>
    <w:rsid w:val="00ED2E6E"/>
    <w:rsid w:val="00ED31EA"/>
    <w:rsid w:val="00ED3313"/>
    <w:rsid w:val="00ED3679"/>
    <w:rsid w:val="00ED37BB"/>
    <w:rsid w:val="00ED394A"/>
    <w:rsid w:val="00ED3AC5"/>
    <w:rsid w:val="00ED3D0C"/>
    <w:rsid w:val="00ED40DD"/>
    <w:rsid w:val="00ED410D"/>
    <w:rsid w:val="00ED4207"/>
    <w:rsid w:val="00ED431F"/>
    <w:rsid w:val="00ED44F2"/>
    <w:rsid w:val="00ED4621"/>
    <w:rsid w:val="00ED475A"/>
    <w:rsid w:val="00ED4919"/>
    <w:rsid w:val="00ED4C29"/>
    <w:rsid w:val="00ED4CAA"/>
    <w:rsid w:val="00ED4D20"/>
    <w:rsid w:val="00ED4E67"/>
    <w:rsid w:val="00ED5210"/>
    <w:rsid w:val="00ED5299"/>
    <w:rsid w:val="00ED5886"/>
    <w:rsid w:val="00ED588A"/>
    <w:rsid w:val="00ED59A7"/>
    <w:rsid w:val="00ED59CB"/>
    <w:rsid w:val="00ED59DF"/>
    <w:rsid w:val="00ED5B62"/>
    <w:rsid w:val="00ED5B9C"/>
    <w:rsid w:val="00ED5C33"/>
    <w:rsid w:val="00ED5D07"/>
    <w:rsid w:val="00ED5D5C"/>
    <w:rsid w:val="00ED5F2A"/>
    <w:rsid w:val="00ED6094"/>
    <w:rsid w:val="00ED6101"/>
    <w:rsid w:val="00ED62D9"/>
    <w:rsid w:val="00ED632C"/>
    <w:rsid w:val="00ED639D"/>
    <w:rsid w:val="00ED67F1"/>
    <w:rsid w:val="00ED6805"/>
    <w:rsid w:val="00ED6825"/>
    <w:rsid w:val="00ED68B0"/>
    <w:rsid w:val="00ED698E"/>
    <w:rsid w:val="00ED6CCA"/>
    <w:rsid w:val="00ED6D14"/>
    <w:rsid w:val="00ED6D6D"/>
    <w:rsid w:val="00ED7078"/>
    <w:rsid w:val="00ED7179"/>
    <w:rsid w:val="00ED7476"/>
    <w:rsid w:val="00ED7878"/>
    <w:rsid w:val="00ED78D1"/>
    <w:rsid w:val="00ED7A73"/>
    <w:rsid w:val="00ED7E5E"/>
    <w:rsid w:val="00ED7FA7"/>
    <w:rsid w:val="00EE004F"/>
    <w:rsid w:val="00EE0080"/>
    <w:rsid w:val="00EE0494"/>
    <w:rsid w:val="00EE050F"/>
    <w:rsid w:val="00EE075F"/>
    <w:rsid w:val="00EE07DA"/>
    <w:rsid w:val="00EE1082"/>
    <w:rsid w:val="00EE14E0"/>
    <w:rsid w:val="00EE1F9A"/>
    <w:rsid w:val="00EE208B"/>
    <w:rsid w:val="00EE21B5"/>
    <w:rsid w:val="00EE242B"/>
    <w:rsid w:val="00EE254A"/>
    <w:rsid w:val="00EE26EE"/>
    <w:rsid w:val="00EE2758"/>
    <w:rsid w:val="00EE29F0"/>
    <w:rsid w:val="00EE2C3C"/>
    <w:rsid w:val="00EE2EE1"/>
    <w:rsid w:val="00EE2F12"/>
    <w:rsid w:val="00EE3209"/>
    <w:rsid w:val="00EE3236"/>
    <w:rsid w:val="00EE326D"/>
    <w:rsid w:val="00EE337C"/>
    <w:rsid w:val="00EE3393"/>
    <w:rsid w:val="00EE35CC"/>
    <w:rsid w:val="00EE3667"/>
    <w:rsid w:val="00EE3E9D"/>
    <w:rsid w:val="00EE4119"/>
    <w:rsid w:val="00EE42DD"/>
    <w:rsid w:val="00EE44A7"/>
    <w:rsid w:val="00EE45A2"/>
    <w:rsid w:val="00EE45C1"/>
    <w:rsid w:val="00EE487F"/>
    <w:rsid w:val="00EE4BF0"/>
    <w:rsid w:val="00EE4C1C"/>
    <w:rsid w:val="00EE4ECF"/>
    <w:rsid w:val="00EE4FD0"/>
    <w:rsid w:val="00EE5195"/>
    <w:rsid w:val="00EE51A4"/>
    <w:rsid w:val="00EE5368"/>
    <w:rsid w:val="00EE5C73"/>
    <w:rsid w:val="00EE6067"/>
    <w:rsid w:val="00EE6367"/>
    <w:rsid w:val="00EE64A7"/>
    <w:rsid w:val="00EE64DB"/>
    <w:rsid w:val="00EE662B"/>
    <w:rsid w:val="00EE6777"/>
    <w:rsid w:val="00EE6932"/>
    <w:rsid w:val="00EE6E0F"/>
    <w:rsid w:val="00EE6EDA"/>
    <w:rsid w:val="00EE74A7"/>
    <w:rsid w:val="00EE7AB1"/>
    <w:rsid w:val="00EE7B74"/>
    <w:rsid w:val="00EE7BC3"/>
    <w:rsid w:val="00EE7E97"/>
    <w:rsid w:val="00EF006D"/>
    <w:rsid w:val="00EF0309"/>
    <w:rsid w:val="00EF032B"/>
    <w:rsid w:val="00EF0453"/>
    <w:rsid w:val="00EF07B2"/>
    <w:rsid w:val="00EF0A12"/>
    <w:rsid w:val="00EF0AE4"/>
    <w:rsid w:val="00EF0BC4"/>
    <w:rsid w:val="00EF0C5D"/>
    <w:rsid w:val="00EF11C6"/>
    <w:rsid w:val="00EF14BC"/>
    <w:rsid w:val="00EF179D"/>
    <w:rsid w:val="00EF202D"/>
    <w:rsid w:val="00EF241D"/>
    <w:rsid w:val="00EF26D8"/>
    <w:rsid w:val="00EF2706"/>
    <w:rsid w:val="00EF282F"/>
    <w:rsid w:val="00EF2831"/>
    <w:rsid w:val="00EF2DE9"/>
    <w:rsid w:val="00EF2EBD"/>
    <w:rsid w:val="00EF2F42"/>
    <w:rsid w:val="00EF3709"/>
    <w:rsid w:val="00EF3762"/>
    <w:rsid w:val="00EF37C2"/>
    <w:rsid w:val="00EF37D5"/>
    <w:rsid w:val="00EF3848"/>
    <w:rsid w:val="00EF3A1C"/>
    <w:rsid w:val="00EF3BA6"/>
    <w:rsid w:val="00EF3CA5"/>
    <w:rsid w:val="00EF3CD1"/>
    <w:rsid w:val="00EF3EF6"/>
    <w:rsid w:val="00EF3F27"/>
    <w:rsid w:val="00EF4037"/>
    <w:rsid w:val="00EF408C"/>
    <w:rsid w:val="00EF417E"/>
    <w:rsid w:val="00EF41ED"/>
    <w:rsid w:val="00EF4295"/>
    <w:rsid w:val="00EF4486"/>
    <w:rsid w:val="00EF4AA5"/>
    <w:rsid w:val="00EF4B33"/>
    <w:rsid w:val="00EF4BBC"/>
    <w:rsid w:val="00EF4BF5"/>
    <w:rsid w:val="00EF4C1B"/>
    <w:rsid w:val="00EF4C3A"/>
    <w:rsid w:val="00EF4D10"/>
    <w:rsid w:val="00EF4DC4"/>
    <w:rsid w:val="00EF4E4B"/>
    <w:rsid w:val="00EF4F5F"/>
    <w:rsid w:val="00EF53ED"/>
    <w:rsid w:val="00EF58BB"/>
    <w:rsid w:val="00EF6027"/>
    <w:rsid w:val="00EF6146"/>
    <w:rsid w:val="00EF62A2"/>
    <w:rsid w:val="00EF62BD"/>
    <w:rsid w:val="00EF646A"/>
    <w:rsid w:val="00EF651D"/>
    <w:rsid w:val="00EF6639"/>
    <w:rsid w:val="00EF66DA"/>
    <w:rsid w:val="00EF6957"/>
    <w:rsid w:val="00EF6D16"/>
    <w:rsid w:val="00EF6F47"/>
    <w:rsid w:val="00EF724C"/>
    <w:rsid w:val="00EF7BFE"/>
    <w:rsid w:val="00EF7C4A"/>
    <w:rsid w:val="00EF7C94"/>
    <w:rsid w:val="00EF7D0C"/>
    <w:rsid w:val="00EF7F11"/>
    <w:rsid w:val="00F00010"/>
    <w:rsid w:val="00F00070"/>
    <w:rsid w:val="00F00172"/>
    <w:rsid w:val="00F003A5"/>
    <w:rsid w:val="00F00769"/>
    <w:rsid w:val="00F0083F"/>
    <w:rsid w:val="00F00851"/>
    <w:rsid w:val="00F009B3"/>
    <w:rsid w:val="00F00B0F"/>
    <w:rsid w:val="00F00B28"/>
    <w:rsid w:val="00F00C75"/>
    <w:rsid w:val="00F00CD9"/>
    <w:rsid w:val="00F00EB1"/>
    <w:rsid w:val="00F00F05"/>
    <w:rsid w:val="00F00FD2"/>
    <w:rsid w:val="00F00FEF"/>
    <w:rsid w:val="00F01096"/>
    <w:rsid w:val="00F010DC"/>
    <w:rsid w:val="00F01119"/>
    <w:rsid w:val="00F01409"/>
    <w:rsid w:val="00F014BA"/>
    <w:rsid w:val="00F01713"/>
    <w:rsid w:val="00F0171B"/>
    <w:rsid w:val="00F01A43"/>
    <w:rsid w:val="00F01B3F"/>
    <w:rsid w:val="00F01B7F"/>
    <w:rsid w:val="00F01C3C"/>
    <w:rsid w:val="00F01D23"/>
    <w:rsid w:val="00F0218B"/>
    <w:rsid w:val="00F02245"/>
    <w:rsid w:val="00F023E1"/>
    <w:rsid w:val="00F025FA"/>
    <w:rsid w:val="00F02909"/>
    <w:rsid w:val="00F029C1"/>
    <w:rsid w:val="00F03169"/>
    <w:rsid w:val="00F03210"/>
    <w:rsid w:val="00F03393"/>
    <w:rsid w:val="00F0358D"/>
    <w:rsid w:val="00F03634"/>
    <w:rsid w:val="00F03821"/>
    <w:rsid w:val="00F03C71"/>
    <w:rsid w:val="00F03D10"/>
    <w:rsid w:val="00F03D1F"/>
    <w:rsid w:val="00F03D40"/>
    <w:rsid w:val="00F04226"/>
    <w:rsid w:val="00F04311"/>
    <w:rsid w:val="00F045B9"/>
    <w:rsid w:val="00F046DB"/>
    <w:rsid w:val="00F047DA"/>
    <w:rsid w:val="00F04BF6"/>
    <w:rsid w:val="00F04C1A"/>
    <w:rsid w:val="00F04D51"/>
    <w:rsid w:val="00F054E7"/>
    <w:rsid w:val="00F0557B"/>
    <w:rsid w:val="00F0596A"/>
    <w:rsid w:val="00F063D5"/>
    <w:rsid w:val="00F063DF"/>
    <w:rsid w:val="00F06430"/>
    <w:rsid w:val="00F064DC"/>
    <w:rsid w:val="00F0666F"/>
    <w:rsid w:val="00F06775"/>
    <w:rsid w:val="00F067ED"/>
    <w:rsid w:val="00F069D4"/>
    <w:rsid w:val="00F06ACD"/>
    <w:rsid w:val="00F06C9F"/>
    <w:rsid w:val="00F06FCC"/>
    <w:rsid w:val="00F0745B"/>
    <w:rsid w:val="00F07510"/>
    <w:rsid w:val="00F0773B"/>
    <w:rsid w:val="00F07C30"/>
    <w:rsid w:val="00F07E98"/>
    <w:rsid w:val="00F07EFF"/>
    <w:rsid w:val="00F1011B"/>
    <w:rsid w:val="00F107AC"/>
    <w:rsid w:val="00F10A82"/>
    <w:rsid w:val="00F10D51"/>
    <w:rsid w:val="00F10DEF"/>
    <w:rsid w:val="00F10EB9"/>
    <w:rsid w:val="00F11028"/>
    <w:rsid w:val="00F11063"/>
    <w:rsid w:val="00F11366"/>
    <w:rsid w:val="00F113B7"/>
    <w:rsid w:val="00F114DE"/>
    <w:rsid w:val="00F11A39"/>
    <w:rsid w:val="00F11F04"/>
    <w:rsid w:val="00F120C4"/>
    <w:rsid w:val="00F121C6"/>
    <w:rsid w:val="00F12AB5"/>
    <w:rsid w:val="00F12E5E"/>
    <w:rsid w:val="00F12E81"/>
    <w:rsid w:val="00F12E96"/>
    <w:rsid w:val="00F12F70"/>
    <w:rsid w:val="00F13056"/>
    <w:rsid w:val="00F1314C"/>
    <w:rsid w:val="00F13223"/>
    <w:rsid w:val="00F1334B"/>
    <w:rsid w:val="00F1368C"/>
    <w:rsid w:val="00F1380E"/>
    <w:rsid w:val="00F1394F"/>
    <w:rsid w:val="00F13AE6"/>
    <w:rsid w:val="00F13EA2"/>
    <w:rsid w:val="00F13EE5"/>
    <w:rsid w:val="00F1418B"/>
    <w:rsid w:val="00F141E7"/>
    <w:rsid w:val="00F14463"/>
    <w:rsid w:val="00F144E5"/>
    <w:rsid w:val="00F1454D"/>
    <w:rsid w:val="00F145D4"/>
    <w:rsid w:val="00F14852"/>
    <w:rsid w:val="00F14AB2"/>
    <w:rsid w:val="00F14D5A"/>
    <w:rsid w:val="00F14D9F"/>
    <w:rsid w:val="00F14DD7"/>
    <w:rsid w:val="00F14DDF"/>
    <w:rsid w:val="00F14DFF"/>
    <w:rsid w:val="00F15201"/>
    <w:rsid w:val="00F156C7"/>
    <w:rsid w:val="00F15C4A"/>
    <w:rsid w:val="00F15F44"/>
    <w:rsid w:val="00F15FEA"/>
    <w:rsid w:val="00F16133"/>
    <w:rsid w:val="00F16454"/>
    <w:rsid w:val="00F16571"/>
    <w:rsid w:val="00F165E3"/>
    <w:rsid w:val="00F167D6"/>
    <w:rsid w:val="00F168CA"/>
    <w:rsid w:val="00F16917"/>
    <w:rsid w:val="00F16D97"/>
    <w:rsid w:val="00F16EA2"/>
    <w:rsid w:val="00F17118"/>
    <w:rsid w:val="00F1722C"/>
    <w:rsid w:val="00F1735E"/>
    <w:rsid w:val="00F17C86"/>
    <w:rsid w:val="00F17CE4"/>
    <w:rsid w:val="00F17EE2"/>
    <w:rsid w:val="00F17EF0"/>
    <w:rsid w:val="00F20086"/>
    <w:rsid w:val="00F203C1"/>
    <w:rsid w:val="00F2046A"/>
    <w:rsid w:val="00F204E0"/>
    <w:rsid w:val="00F2060C"/>
    <w:rsid w:val="00F20A86"/>
    <w:rsid w:val="00F20B3B"/>
    <w:rsid w:val="00F20D28"/>
    <w:rsid w:val="00F20D49"/>
    <w:rsid w:val="00F20E5F"/>
    <w:rsid w:val="00F210DD"/>
    <w:rsid w:val="00F21B13"/>
    <w:rsid w:val="00F21BE5"/>
    <w:rsid w:val="00F21BFE"/>
    <w:rsid w:val="00F21F50"/>
    <w:rsid w:val="00F2251E"/>
    <w:rsid w:val="00F22563"/>
    <w:rsid w:val="00F226F1"/>
    <w:rsid w:val="00F229C1"/>
    <w:rsid w:val="00F22C9C"/>
    <w:rsid w:val="00F22CC5"/>
    <w:rsid w:val="00F22F4A"/>
    <w:rsid w:val="00F23059"/>
    <w:rsid w:val="00F2312A"/>
    <w:rsid w:val="00F2341A"/>
    <w:rsid w:val="00F235D0"/>
    <w:rsid w:val="00F23C65"/>
    <w:rsid w:val="00F23D15"/>
    <w:rsid w:val="00F247B7"/>
    <w:rsid w:val="00F24A2B"/>
    <w:rsid w:val="00F24B8D"/>
    <w:rsid w:val="00F24E67"/>
    <w:rsid w:val="00F24FCC"/>
    <w:rsid w:val="00F252CD"/>
    <w:rsid w:val="00F25304"/>
    <w:rsid w:val="00F25345"/>
    <w:rsid w:val="00F25460"/>
    <w:rsid w:val="00F255B1"/>
    <w:rsid w:val="00F25739"/>
    <w:rsid w:val="00F2596D"/>
    <w:rsid w:val="00F261EA"/>
    <w:rsid w:val="00F26382"/>
    <w:rsid w:val="00F2642D"/>
    <w:rsid w:val="00F26431"/>
    <w:rsid w:val="00F264C7"/>
    <w:rsid w:val="00F26864"/>
    <w:rsid w:val="00F26A80"/>
    <w:rsid w:val="00F26B79"/>
    <w:rsid w:val="00F26CED"/>
    <w:rsid w:val="00F270C1"/>
    <w:rsid w:val="00F2717E"/>
    <w:rsid w:val="00F27256"/>
    <w:rsid w:val="00F2729B"/>
    <w:rsid w:val="00F27305"/>
    <w:rsid w:val="00F274B6"/>
    <w:rsid w:val="00F2750D"/>
    <w:rsid w:val="00F27520"/>
    <w:rsid w:val="00F27528"/>
    <w:rsid w:val="00F27B8C"/>
    <w:rsid w:val="00F27C45"/>
    <w:rsid w:val="00F27CAE"/>
    <w:rsid w:val="00F27CB9"/>
    <w:rsid w:val="00F27E28"/>
    <w:rsid w:val="00F27ECD"/>
    <w:rsid w:val="00F27F33"/>
    <w:rsid w:val="00F27FE6"/>
    <w:rsid w:val="00F30496"/>
    <w:rsid w:val="00F304B1"/>
    <w:rsid w:val="00F3058C"/>
    <w:rsid w:val="00F3067C"/>
    <w:rsid w:val="00F30CC2"/>
    <w:rsid w:val="00F30E79"/>
    <w:rsid w:val="00F30F4A"/>
    <w:rsid w:val="00F31216"/>
    <w:rsid w:val="00F31352"/>
    <w:rsid w:val="00F31501"/>
    <w:rsid w:val="00F31850"/>
    <w:rsid w:val="00F31B9E"/>
    <w:rsid w:val="00F31E6B"/>
    <w:rsid w:val="00F31EEF"/>
    <w:rsid w:val="00F31F0B"/>
    <w:rsid w:val="00F31FD7"/>
    <w:rsid w:val="00F321C2"/>
    <w:rsid w:val="00F3229B"/>
    <w:rsid w:val="00F32315"/>
    <w:rsid w:val="00F3263B"/>
    <w:rsid w:val="00F32734"/>
    <w:rsid w:val="00F32951"/>
    <w:rsid w:val="00F32B1C"/>
    <w:rsid w:val="00F32BDD"/>
    <w:rsid w:val="00F32C34"/>
    <w:rsid w:val="00F32C86"/>
    <w:rsid w:val="00F32CB9"/>
    <w:rsid w:val="00F32DD5"/>
    <w:rsid w:val="00F32F34"/>
    <w:rsid w:val="00F33079"/>
    <w:rsid w:val="00F332BB"/>
    <w:rsid w:val="00F339D0"/>
    <w:rsid w:val="00F33B19"/>
    <w:rsid w:val="00F33D6D"/>
    <w:rsid w:val="00F33D7D"/>
    <w:rsid w:val="00F33F44"/>
    <w:rsid w:val="00F341FA"/>
    <w:rsid w:val="00F34478"/>
    <w:rsid w:val="00F34734"/>
    <w:rsid w:val="00F349E1"/>
    <w:rsid w:val="00F34AA8"/>
    <w:rsid w:val="00F34AD6"/>
    <w:rsid w:val="00F34BCA"/>
    <w:rsid w:val="00F34C31"/>
    <w:rsid w:val="00F34C5F"/>
    <w:rsid w:val="00F3527D"/>
    <w:rsid w:val="00F353A1"/>
    <w:rsid w:val="00F35442"/>
    <w:rsid w:val="00F354E4"/>
    <w:rsid w:val="00F35646"/>
    <w:rsid w:val="00F3570D"/>
    <w:rsid w:val="00F35721"/>
    <w:rsid w:val="00F358BB"/>
    <w:rsid w:val="00F3595F"/>
    <w:rsid w:val="00F359E8"/>
    <w:rsid w:val="00F35BB9"/>
    <w:rsid w:val="00F35C55"/>
    <w:rsid w:val="00F35DC2"/>
    <w:rsid w:val="00F35F6A"/>
    <w:rsid w:val="00F360F9"/>
    <w:rsid w:val="00F36268"/>
    <w:rsid w:val="00F36393"/>
    <w:rsid w:val="00F365EA"/>
    <w:rsid w:val="00F36C84"/>
    <w:rsid w:val="00F36E2A"/>
    <w:rsid w:val="00F371A6"/>
    <w:rsid w:val="00F373C8"/>
    <w:rsid w:val="00F373D5"/>
    <w:rsid w:val="00F3749E"/>
    <w:rsid w:val="00F375C7"/>
    <w:rsid w:val="00F3784A"/>
    <w:rsid w:val="00F37913"/>
    <w:rsid w:val="00F3795E"/>
    <w:rsid w:val="00F37A90"/>
    <w:rsid w:val="00F37B3C"/>
    <w:rsid w:val="00F37B47"/>
    <w:rsid w:val="00F37D5D"/>
    <w:rsid w:val="00F400AE"/>
    <w:rsid w:val="00F400CE"/>
    <w:rsid w:val="00F4037E"/>
    <w:rsid w:val="00F40514"/>
    <w:rsid w:val="00F40598"/>
    <w:rsid w:val="00F407E2"/>
    <w:rsid w:val="00F407E5"/>
    <w:rsid w:val="00F407EB"/>
    <w:rsid w:val="00F40B50"/>
    <w:rsid w:val="00F40F89"/>
    <w:rsid w:val="00F41160"/>
    <w:rsid w:val="00F411ED"/>
    <w:rsid w:val="00F4174A"/>
    <w:rsid w:val="00F417CD"/>
    <w:rsid w:val="00F41912"/>
    <w:rsid w:val="00F41AEF"/>
    <w:rsid w:val="00F41B7D"/>
    <w:rsid w:val="00F41BB4"/>
    <w:rsid w:val="00F41C5C"/>
    <w:rsid w:val="00F41C94"/>
    <w:rsid w:val="00F41D4F"/>
    <w:rsid w:val="00F41DFF"/>
    <w:rsid w:val="00F41E2C"/>
    <w:rsid w:val="00F41F5B"/>
    <w:rsid w:val="00F422E3"/>
    <w:rsid w:val="00F42893"/>
    <w:rsid w:val="00F428E9"/>
    <w:rsid w:val="00F429A2"/>
    <w:rsid w:val="00F43034"/>
    <w:rsid w:val="00F4330B"/>
    <w:rsid w:val="00F43339"/>
    <w:rsid w:val="00F433DF"/>
    <w:rsid w:val="00F433EC"/>
    <w:rsid w:val="00F4349F"/>
    <w:rsid w:val="00F4372D"/>
    <w:rsid w:val="00F43762"/>
    <w:rsid w:val="00F43770"/>
    <w:rsid w:val="00F438F2"/>
    <w:rsid w:val="00F439A7"/>
    <w:rsid w:val="00F43A28"/>
    <w:rsid w:val="00F43A55"/>
    <w:rsid w:val="00F43C77"/>
    <w:rsid w:val="00F43CC0"/>
    <w:rsid w:val="00F43F02"/>
    <w:rsid w:val="00F4431A"/>
    <w:rsid w:val="00F44629"/>
    <w:rsid w:val="00F44BCB"/>
    <w:rsid w:val="00F44D73"/>
    <w:rsid w:val="00F44E08"/>
    <w:rsid w:val="00F44E52"/>
    <w:rsid w:val="00F44F65"/>
    <w:rsid w:val="00F450EB"/>
    <w:rsid w:val="00F458A2"/>
    <w:rsid w:val="00F45C88"/>
    <w:rsid w:val="00F45DA7"/>
    <w:rsid w:val="00F45DEE"/>
    <w:rsid w:val="00F45DFC"/>
    <w:rsid w:val="00F45E4E"/>
    <w:rsid w:val="00F4602A"/>
    <w:rsid w:val="00F4606E"/>
    <w:rsid w:val="00F4609E"/>
    <w:rsid w:val="00F4666A"/>
    <w:rsid w:val="00F468EB"/>
    <w:rsid w:val="00F46B93"/>
    <w:rsid w:val="00F473EE"/>
    <w:rsid w:val="00F4746C"/>
    <w:rsid w:val="00F47675"/>
    <w:rsid w:val="00F477CB"/>
    <w:rsid w:val="00F47881"/>
    <w:rsid w:val="00F47BC0"/>
    <w:rsid w:val="00F47C42"/>
    <w:rsid w:val="00F47D1D"/>
    <w:rsid w:val="00F47E53"/>
    <w:rsid w:val="00F47F00"/>
    <w:rsid w:val="00F47F46"/>
    <w:rsid w:val="00F501DF"/>
    <w:rsid w:val="00F508A0"/>
    <w:rsid w:val="00F50B95"/>
    <w:rsid w:val="00F50CD7"/>
    <w:rsid w:val="00F50DD5"/>
    <w:rsid w:val="00F50E3F"/>
    <w:rsid w:val="00F50E82"/>
    <w:rsid w:val="00F50F11"/>
    <w:rsid w:val="00F50F27"/>
    <w:rsid w:val="00F510F0"/>
    <w:rsid w:val="00F51102"/>
    <w:rsid w:val="00F51271"/>
    <w:rsid w:val="00F5133A"/>
    <w:rsid w:val="00F5156A"/>
    <w:rsid w:val="00F515C3"/>
    <w:rsid w:val="00F51DB4"/>
    <w:rsid w:val="00F51DE4"/>
    <w:rsid w:val="00F520CF"/>
    <w:rsid w:val="00F523B6"/>
    <w:rsid w:val="00F52549"/>
    <w:rsid w:val="00F52580"/>
    <w:rsid w:val="00F526A0"/>
    <w:rsid w:val="00F52702"/>
    <w:rsid w:val="00F52705"/>
    <w:rsid w:val="00F529B2"/>
    <w:rsid w:val="00F52E77"/>
    <w:rsid w:val="00F53123"/>
    <w:rsid w:val="00F53331"/>
    <w:rsid w:val="00F533C5"/>
    <w:rsid w:val="00F53583"/>
    <w:rsid w:val="00F535BA"/>
    <w:rsid w:val="00F5387C"/>
    <w:rsid w:val="00F53953"/>
    <w:rsid w:val="00F53965"/>
    <w:rsid w:val="00F53DD6"/>
    <w:rsid w:val="00F53E80"/>
    <w:rsid w:val="00F53FE2"/>
    <w:rsid w:val="00F5434E"/>
    <w:rsid w:val="00F54B0A"/>
    <w:rsid w:val="00F54B53"/>
    <w:rsid w:val="00F54B92"/>
    <w:rsid w:val="00F54CA7"/>
    <w:rsid w:val="00F55044"/>
    <w:rsid w:val="00F55170"/>
    <w:rsid w:val="00F5538A"/>
    <w:rsid w:val="00F554BE"/>
    <w:rsid w:val="00F554C1"/>
    <w:rsid w:val="00F555FC"/>
    <w:rsid w:val="00F5567E"/>
    <w:rsid w:val="00F55711"/>
    <w:rsid w:val="00F5574E"/>
    <w:rsid w:val="00F55C72"/>
    <w:rsid w:val="00F55EA7"/>
    <w:rsid w:val="00F55EB6"/>
    <w:rsid w:val="00F568FE"/>
    <w:rsid w:val="00F569CC"/>
    <w:rsid w:val="00F56B16"/>
    <w:rsid w:val="00F57230"/>
    <w:rsid w:val="00F57265"/>
    <w:rsid w:val="00F5735F"/>
    <w:rsid w:val="00F5758D"/>
    <w:rsid w:val="00F575E0"/>
    <w:rsid w:val="00F579F2"/>
    <w:rsid w:val="00F57F58"/>
    <w:rsid w:val="00F57FC4"/>
    <w:rsid w:val="00F57FF3"/>
    <w:rsid w:val="00F60316"/>
    <w:rsid w:val="00F603FA"/>
    <w:rsid w:val="00F6060C"/>
    <w:rsid w:val="00F6062D"/>
    <w:rsid w:val="00F607AC"/>
    <w:rsid w:val="00F60936"/>
    <w:rsid w:val="00F609E9"/>
    <w:rsid w:val="00F609F3"/>
    <w:rsid w:val="00F60CE3"/>
    <w:rsid w:val="00F60D5B"/>
    <w:rsid w:val="00F60EE3"/>
    <w:rsid w:val="00F61022"/>
    <w:rsid w:val="00F61117"/>
    <w:rsid w:val="00F615DD"/>
    <w:rsid w:val="00F61AFD"/>
    <w:rsid w:val="00F61DA1"/>
    <w:rsid w:val="00F61EDA"/>
    <w:rsid w:val="00F620C8"/>
    <w:rsid w:val="00F6223D"/>
    <w:rsid w:val="00F6230B"/>
    <w:rsid w:val="00F6260E"/>
    <w:rsid w:val="00F6274C"/>
    <w:rsid w:val="00F627EB"/>
    <w:rsid w:val="00F628F8"/>
    <w:rsid w:val="00F62A8F"/>
    <w:rsid w:val="00F62E15"/>
    <w:rsid w:val="00F62FBB"/>
    <w:rsid w:val="00F633EE"/>
    <w:rsid w:val="00F634C6"/>
    <w:rsid w:val="00F6361D"/>
    <w:rsid w:val="00F636DD"/>
    <w:rsid w:val="00F63945"/>
    <w:rsid w:val="00F63A6E"/>
    <w:rsid w:val="00F63CFA"/>
    <w:rsid w:val="00F64440"/>
    <w:rsid w:val="00F6445A"/>
    <w:rsid w:val="00F6446C"/>
    <w:rsid w:val="00F6477E"/>
    <w:rsid w:val="00F649B5"/>
    <w:rsid w:val="00F64D63"/>
    <w:rsid w:val="00F64D75"/>
    <w:rsid w:val="00F64E3D"/>
    <w:rsid w:val="00F64EF6"/>
    <w:rsid w:val="00F64F5E"/>
    <w:rsid w:val="00F653E3"/>
    <w:rsid w:val="00F6561B"/>
    <w:rsid w:val="00F65674"/>
    <w:rsid w:val="00F65753"/>
    <w:rsid w:val="00F65898"/>
    <w:rsid w:val="00F65B5C"/>
    <w:rsid w:val="00F65BA1"/>
    <w:rsid w:val="00F65BC6"/>
    <w:rsid w:val="00F65C83"/>
    <w:rsid w:val="00F65F26"/>
    <w:rsid w:val="00F6647A"/>
    <w:rsid w:val="00F664F1"/>
    <w:rsid w:val="00F6651F"/>
    <w:rsid w:val="00F665D9"/>
    <w:rsid w:val="00F66886"/>
    <w:rsid w:val="00F668A3"/>
    <w:rsid w:val="00F66ADE"/>
    <w:rsid w:val="00F66CC2"/>
    <w:rsid w:val="00F66DFC"/>
    <w:rsid w:val="00F6714E"/>
    <w:rsid w:val="00F671D0"/>
    <w:rsid w:val="00F67524"/>
    <w:rsid w:val="00F6767A"/>
    <w:rsid w:val="00F67748"/>
    <w:rsid w:val="00F6780D"/>
    <w:rsid w:val="00F679FC"/>
    <w:rsid w:val="00F67A40"/>
    <w:rsid w:val="00F67B44"/>
    <w:rsid w:val="00F67C3B"/>
    <w:rsid w:val="00F67CDD"/>
    <w:rsid w:val="00F67DEB"/>
    <w:rsid w:val="00F67EF5"/>
    <w:rsid w:val="00F701F8"/>
    <w:rsid w:val="00F70466"/>
    <w:rsid w:val="00F7088B"/>
    <w:rsid w:val="00F70893"/>
    <w:rsid w:val="00F70B06"/>
    <w:rsid w:val="00F70CB8"/>
    <w:rsid w:val="00F71261"/>
    <w:rsid w:val="00F71722"/>
    <w:rsid w:val="00F717CB"/>
    <w:rsid w:val="00F717EE"/>
    <w:rsid w:val="00F71CF5"/>
    <w:rsid w:val="00F72091"/>
    <w:rsid w:val="00F7241A"/>
    <w:rsid w:val="00F7249A"/>
    <w:rsid w:val="00F72687"/>
    <w:rsid w:val="00F72952"/>
    <w:rsid w:val="00F72EAC"/>
    <w:rsid w:val="00F72F64"/>
    <w:rsid w:val="00F73010"/>
    <w:rsid w:val="00F73038"/>
    <w:rsid w:val="00F73195"/>
    <w:rsid w:val="00F73480"/>
    <w:rsid w:val="00F7355D"/>
    <w:rsid w:val="00F7360E"/>
    <w:rsid w:val="00F7378D"/>
    <w:rsid w:val="00F738F6"/>
    <w:rsid w:val="00F739D5"/>
    <w:rsid w:val="00F73B8F"/>
    <w:rsid w:val="00F73C35"/>
    <w:rsid w:val="00F73C58"/>
    <w:rsid w:val="00F73D9B"/>
    <w:rsid w:val="00F73DC6"/>
    <w:rsid w:val="00F73EB8"/>
    <w:rsid w:val="00F74252"/>
    <w:rsid w:val="00F742AA"/>
    <w:rsid w:val="00F7431B"/>
    <w:rsid w:val="00F74574"/>
    <w:rsid w:val="00F74582"/>
    <w:rsid w:val="00F748C8"/>
    <w:rsid w:val="00F74B97"/>
    <w:rsid w:val="00F74D01"/>
    <w:rsid w:val="00F74D37"/>
    <w:rsid w:val="00F74D76"/>
    <w:rsid w:val="00F74F74"/>
    <w:rsid w:val="00F753CE"/>
    <w:rsid w:val="00F753EC"/>
    <w:rsid w:val="00F7554A"/>
    <w:rsid w:val="00F7597C"/>
    <w:rsid w:val="00F759CA"/>
    <w:rsid w:val="00F75A79"/>
    <w:rsid w:val="00F75B20"/>
    <w:rsid w:val="00F75C29"/>
    <w:rsid w:val="00F7629E"/>
    <w:rsid w:val="00F762A9"/>
    <w:rsid w:val="00F7661A"/>
    <w:rsid w:val="00F7666F"/>
    <w:rsid w:val="00F76A33"/>
    <w:rsid w:val="00F76C43"/>
    <w:rsid w:val="00F76E2D"/>
    <w:rsid w:val="00F76E4B"/>
    <w:rsid w:val="00F7707D"/>
    <w:rsid w:val="00F772F6"/>
    <w:rsid w:val="00F77555"/>
    <w:rsid w:val="00F775FA"/>
    <w:rsid w:val="00F7787D"/>
    <w:rsid w:val="00F77ADE"/>
    <w:rsid w:val="00F77B45"/>
    <w:rsid w:val="00F77CCC"/>
    <w:rsid w:val="00F77D67"/>
    <w:rsid w:val="00F77FB7"/>
    <w:rsid w:val="00F77FF7"/>
    <w:rsid w:val="00F800FB"/>
    <w:rsid w:val="00F80149"/>
    <w:rsid w:val="00F8014F"/>
    <w:rsid w:val="00F802EB"/>
    <w:rsid w:val="00F804A4"/>
    <w:rsid w:val="00F80537"/>
    <w:rsid w:val="00F80687"/>
    <w:rsid w:val="00F808E1"/>
    <w:rsid w:val="00F80E33"/>
    <w:rsid w:val="00F812EF"/>
    <w:rsid w:val="00F81A39"/>
    <w:rsid w:val="00F81BAA"/>
    <w:rsid w:val="00F81BF6"/>
    <w:rsid w:val="00F81E39"/>
    <w:rsid w:val="00F81F47"/>
    <w:rsid w:val="00F82270"/>
    <w:rsid w:val="00F822E9"/>
    <w:rsid w:val="00F82355"/>
    <w:rsid w:val="00F82357"/>
    <w:rsid w:val="00F8290E"/>
    <w:rsid w:val="00F82AF8"/>
    <w:rsid w:val="00F82B6F"/>
    <w:rsid w:val="00F82D32"/>
    <w:rsid w:val="00F82FBC"/>
    <w:rsid w:val="00F8311C"/>
    <w:rsid w:val="00F83583"/>
    <w:rsid w:val="00F83681"/>
    <w:rsid w:val="00F83759"/>
    <w:rsid w:val="00F83A8F"/>
    <w:rsid w:val="00F83DAD"/>
    <w:rsid w:val="00F83DEF"/>
    <w:rsid w:val="00F83E25"/>
    <w:rsid w:val="00F83F14"/>
    <w:rsid w:val="00F83FD5"/>
    <w:rsid w:val="00F84008"/>
    <w:rsid w:val="00F8412E"/>
    <w:rsid w:val="00F844EA"/>
    <w:rsid w:val="00F845A4"/>
    <w:rsid w:val="00F8466A"/>
    <w:rsid w:val="00F84694"/>
    <w:rsid w:val="00F84724"/>
    <w:rsid w:val="00F847B6"/>
    <w:rsid w:val="00F847D7"/>
    <w:rsid w:val="00F848AD"/>
    <w:rsid w:val="00F8491D"/>
    <w:rsid w:val="00F84EB2"/>
    <w:rsid w:val="00F850DA"/>
    <w:rsid w:val="00F85273"/>
    <w:rsid w:val="00F852AB"/>
    <w:rsid w:val="00F852B2"/>
    <w:rsid w:val="00F854AC"/>
    <w:rsid w:val="00F854EC"/>
    <w:rsid w:val="00F85515"/>
    <w:rsid w:val="00F856D5"/>
    <w:rsid w:val="00F856E6"/>
    <w:rsid w:val="00F85962"/>
    <w:rsid w:val="00F85B80"/>
    <w:rsid w:val="00F85FBB"/>
    <w:rsid w:val="00F860BC"/>
    <w:rsid w:val="00F86194"/>
    <w:rsid w:val="00F86217"/>
    <w:rsid w:val="00F86744"/>
    <w:rsid w:val="00F86972"/>
    <w:rsid w:val="00F869CA"/>
    <w:rsid w:val="00F86C5A"/>
    <w:rsid w:val="00F86D7D"/>
    <w:rsid w:val="00F8711D"/>
    <w:rsid w:val="00F87214"/>
    <w:rsid w:val="00F87349"/>
    <w:rsid w:val="00F8751E"/>
    <w:rsid w:val="00F876B7"/>
    <w:rsid w:val="00F87EA0"/>
    <w:rsid w:val="00F90099"/>
    <w:rsid w:val="00F90550"/>
    <w:rsid w:val="00F90660"/>
    <w:rsid w:val="00F907C0"/>
    <w:rsid w:val="00F90B76"/>
    <w:rsid w:val="00F90BE7"/>
    <w:rsid w:val="00F91123"/>
    <w:rsid w:val="00F9172F"/>
    <w:rsid w:val="00F9184E"/>
    <w:rsid w:val="00F919E1"/>
    <w:rsid w:val="00F91A98"/>
    <w:rsid w:val="00F91CB1"/>
    <w:rsid w:val="00F91E8F"/>
    <w:rsid w:val="00F91FD1"/>
    <w:rsid w:val="00F9224F"/>
    <w:rsid w:val="00F923BC"/>
    <w:rsid w:val="00F92406"/>
    <w:rsid w:val="00F9241E"/>
    <w:rsid w:val="00F926A1"/>
    <w:rsid w:val="00F9279D"/>
    <w:rsid w:val="00F92894"/>
    <w:rsid w:val="00F92A88"/>
    <w:rsid w:val="00F92BFB"/>
    <w:rsid w:val="00F92E7F"/>
    <w:rsid w:val="00F93040"/>
    <w:rsid w:val="00F932C9"/>
    <w:rsid w:val="00F93481"/>
    <w:rsid w:val="00F93617"/>
    <w:rsid w:val="00F9365B"/>
    <w:rsid w:val="00F9380E"/>
    <w:rsid w:val="00F93AA3"/>
    <w:rsid w:val="00F93B1C"/>
    <w:rsid w:val="00F93D2D"/>
    <w:rsid w:val="00F93DAA"/>
    <w:rsid w:val="00F93F42"/>
    <w:rsid w:val="00F93FCB"/>
    <w:rsid w:val="00F940F0"/>
    <w:rsid w:val="00F940FA"/>
    <w:rsid w:val="00F9411D"/>
    <w:rsid w:val="00F941AD"/>
    <w:rsid w:val="00F94448"/>
    <w:rsid w:val="00F94586"/>
    <w:rsid w:val="00F946E2"/>
    <w:rsid w:val="00F947A6"/>
    <w:rsid w:val="00F94B15"/>
    <w:rsid w:val="00F95054"/>
    <w:rsid w:val="00F95117"/>
    <w:rsid w:val="00F9525A"/>
    <w:rsid w:val="00F95476"/>
    <w:rsid w:val="00F95493"/>
    <w:rsid w:val="00F95677"/>
    <w:rsid w:val="00F95817"/>
    <w:rsid w:val="00F95941"/>
    <w:rsid w:val="00F95B27"/>
    <w:rsid w:val="00F95C85"/>
    <w:rsid w:val="00F96264"/>
    <w:rsid w:val="00F962CD"/>
    <w:rsid w:val="00F962EE"/>
    <w:rsid w:val="00F9665C"/>
    <w:rsid w:val="00F96855"/>
    <w:rsid w:val="00F968BF"/>
    <w:rsid w:val="00F96A1C"/>
    <w:rsid w:val="00F96A6B"/>
    <w:rsid w:val="00F96D3D"/>
    <w:rsid w:val="00F9702C"/>
    <w:rsid w:val="00F971DC"/>
    <w:rsid w:val="00F97550"/>
    <w:rsid w:val="00F977AC"/>
    <w:rsid w:val="00F977C6"/>
    <w:rsid w:val="00F979D8"/>
    <w:rsid w:val="00F97A69"/>
    <w:rsid w:val="00F97D26"/>
    <w:rsid w:val="00F97DB8"/>
    <w:rsid w:val="00FA011E"/>
    <w:rsid w:val="00FA019E"/>
    <w:rsid w:val="00FA0498"/>
    <w:rsid w:val="00FA0605"/>
    <w:rsid w:val="00FA0679"/>
    <w:rsid w:val="00FA0691"/>
    <w:rsid w:val="00FA071F"/>
    <w:rsid w:val="00FA082B"/>
    <w:rsid w:val="00FA0927"/>
    <w:rsid w:val="00FA0D58"/>
    <w:rsid w:val="00FA0F4A"/>
    <w:rsid w:val="00FA0F7E"/>
    <w:rsid w:val="00FA0F98"/>
    <w:rsid w:val="00FA1214"/>
    <w:rsid w:val="00FA145E"/>
    <w:rsid w:val="00FA16B3"/>
    <w:rsid w:val="00FA1D2E"/>
    <w:rsid w:val="00FA1F28"/>
    <w:rsid w:val="00FA210B"/>
    <w:rsid w:val="00FA23D7"/>
    <w:rsid w:val="00FA255E"/>
    <w:rsid w:val="00FA26AF"/>
    <w:rsid w:val="00FA2BA0"/>
    <w:rsid w:val="00FA2D01"/>
    <w:rsid w:val="00FA2D85"/>
    <w:rsid w:val="00FA2EDC"/>
    <w:rsid w:val="00FA3190"/>
    <w:rsid w:val="00FA354B"/>
    <w:rsid w:val="00FA36CF"/>
    <w:rsid w:val="00FA376A"/>
    <w:rsid w:val="00FA3999"/>
    <w:rsid w:val="00FA39C2"/>
    <w:rsid w:val="00FA3C8A"/>
    <w:rsid w:val="00FA3C99"/>
    <w:rsid w:val="00FA3CD3"/>
    <w:rsid w:val="00FA3EC4"/>
    <w:rsid w:val="00FA3F7F"/>
    <w:rsid w:val="00FA40EB"/>
    <w:rsid w:val="00FA4131"/>
    <w:rsid w:val="00FA41BA"/>
    <w:rsid w:val="00FA5440"/>
    <w:rsid w:val="00FA54FA"/>
    <w:rsid w:val="00FA554F"/>
    <w:rsid w:val="00FA5971"/>
    <w:rsid w:val="00FA603D"/>
    <w:rsid w:val="00FA6295"/>
    <w:rsid w:val="00FA638E"/>
    <w:rsid w:val="00FA658C"/>
    <w:rsid w:val="00FA6674"/>
    <w:rsid w:val="00FA6836"/>
    <w:rsid w:val="00FA695B"/>
    <w:rsid w:val="00FA69AD"/>
    <w:rsid w:val="00FA6AF0"/>
    <w:rsid w:val="00FA6BA6"/>
    <w:rsid w:val="00FA6E5A"/>
    <w:rsid w:val="00FA711D"/>
    <w:rsid w:val="00FA72E7"/>
    <w:rsid w:val="00FA73CB"/>
    <w:rsid w:val="00FA7688"/>
    <w:rsid w:val="00FA775C"/>
    <w:rsid w:val="00FA77E2"/>
    <w:rsid w:val="00FA7981"/>
    <w:rsid w:val="00FA7AFE"/>
    <w:rsid w:val="00FA7B32"/>
    <w:rsid w:val="00FA7BC8"/>
    <w:rsid w:val="00FA7D4B"/>
    <w:rsid w:val="00FB024F"/>
    <w:rsid w:val="00FB0385"/>
    <w:rsid w:val="00FB0420"/>
    <w:rsid w:val="00FB0696"/>
    <w:rsid w:val="00FB08B5"/>
    <w:rsid w:val="00FB0C73"/>
    <w:rsid w:val="00FB0EE2"/>
    <w:rsid w:val="00FB0FD0"/>
    <w:rsid w:val="00FB12B2"/>
    <w:rsid w:val="00FB1542"/>
    <w:rsid w:val="00FB1673"/>
    <w:rsid w:val="00FB182C"/>
    <w:rsid w:val="00FB1CE6"/>
    <w:rsid w:val="00FB1E2C"/>
    <w:rsid w:val="00FB2467"/>
    <w:rsid w:val="00FB265D"/>
    <w:rsid w:val="00FB2C9F"/>
    <w:rsid w:val="00FB306D"/>
    <w:rsid w:val="00FB32C3"/>
    <w:rsid w:val="00FB3345"/>
    <w:rsid w:val="00FB3422"/>
    <w:rsid w:val="00FB34DA"/>
    <w:rsid w:val="00FB374B"/>
    <w:rsid w:val="00FB379C"/>
    <w:rsid w:val="00FB38E6"/>
    <w:rsid w:val="00FB3987"/>
    <w:rsid w:val="00FB3BF3"/>
    <w:rsid w:val="00FB4309"/>
    <w:rsid w:val="00FB4352"/>
    <w:rsid w:val="00FB4640"/>
    <w:rsid w:val="00FB47A4"/>
    <w:rsid w:val="00FB494A"/>
    <w:rsid w:val="00FB4989"/>
    <w:rsid w:val="00FB4B32"/>
    <w:rsid w:val="00FB4ED9"/>
    <w:rsid w:val="00FB4F0E"/>
    <w:rsid w:val="00FB509B"/>
    <w:rsid w:val="00FB55E1"/>
    <w:rsid w:val="00FB572D"/>
    <w:rsid w:val="00FB573F"/>
    <w:rsid w:val="00FB574A"/>
    <w:rsid w:val="00FB59D0"/>
    <w:rsid w:val="00FB5A12"/>
    <w:rsid w:val="00FB5A92"/>
    <w:rsid w:val="00FB5B33"/>
    <w:rsid w:val="00FB5B45"/>
    <w:rsid w:val="00FB5B53"/>
    <w:rsid w:val="00FB5C20"/>
    <w:rsid w:val="00FB5D68"/>
    <w:rsid w:val="00FB5F1A"/>
    <w:rsid w:val="00FB61CF"/>
    <w:rsid w:val="00FB6363"/>
    <w:rsid w:val="00FB63E6"/>
    <w:rsid w:val="00FB655B"/>
    <w:rsid w:val="00FB6603"/>
    <w:rsid w:val="00FB66C3"/>
    <w:rsid w:val="00FB6718"/>
    <w:rsid w:val="00FB6729"/>
    <w:rsid w:val="00FB68B8"/>
    <w:rsid w:val="00FB6AAE"/>
    <w:rsid w:val="00FB6ACC"/>
    <w:rsid w:val="00FB6E8C"/>
    <w:rsid w:val="00FB6F9A"/>
    <w:rsid w:val="00FB710F"/>
    <w:rsid w:val="00FB71AE"/>
    <w:rsid w:val="00FB753A"/>
    <w:rsid w:val="00FB75FA"/>
    <w:rsid w:val="00FB76D3"/>
    <w:rsid w:val="00FB783F"/>
    <w:rsid w:val="00FB790F"/>
    <w:rsid w:val="00FB7942"/>
    <w:rsid w:val="00FB79D5"/>
    <w:rsid w:val="00FB7DE9"/>
    <w:rsid w:val="00FC0317"/>
    <w:rsid w:val="00FC043E"/>
    <w:rsid w:val="00FC057B"/>
    <w:rsid w:val="00FC08D3"/>
    <w:rsid w:val="00FC0923"/>
    <w:rsid w:val="00FC09E9"/>
    <w:rsid w:val="00FC0AD3"/>
    <w:rsid w:val="00FC0D24"/>
    <w:rsid w:val="00FC0ECF"/>
    <w:rsid w:val="00FC1255"/>
    <w:rsid w:val="00FC1342"/>
    <w:rsid w:val="00FC13A8"/>
    <w:rsid w:val="00FC1414"/>
    <w:rsid w:val="00FC1615"/>
    <w:rsid w:val="00FC1651"/>
    <w:rsid w:val="00FC1794"/>
    <w:rsid w:val="00FC1AF2"/>
    <w:rsid w:val="00FC2711"/>
    <w:rsid w:val="00FC284C"/>
    <w:rsid w:val="00FC2C6E"/>
    <w:rsid w:val="00FC2D2A"/>
    <w:rsid w:val="00FC2D31"/>
    <w:rsid w:val="00FC2DD8"/>
    <w:rsid w:val="00FC2EF8"/>
    <w:rsid w:val="00FC2F30"/>
    <w:rsid w:val="00FC3186"/>
    <w:rsid w:val="00FC3F86"/>
    <w:rsid w:val="00FC41F0"/>
    <w:rsid w:val="00FC42FC"/>
    <w:rsid w:val="00FC4731"/>
    <w:rsid w:val="00FC4F4F"/>
    <w:rsid w:val="00FC505A"/>
    <w:rsid w:val="00FC50A5"/>
    <w:rsid w:val="00FC56D0"/>
    <w:rsid w:val="00FC5774"/>
    <w:rsid w:val="00FC5795"/>
    <w:rsid w:val="00FC59A4"/>
    <w:rsid w:val="00FC5A8D"/>
    <w:rsid w:val="00FC5B16"/>
    <w:rsid w:val="00FC5B5E"/>
    <w:rsid w:val="00FC5BFE"/>
    <w:rsid w:val="00FC5D96"/>
    <w:rsid w:val="00FC5E7F"/>
    <w:rsid w:val="00FC6420"/>
    <w:rsid w:val="00FC66D0"/>
    <w:rsid w:val="00FC671F"/>
    <w:rsid w:val="00FC6842"/>
    <w:rsid w:val="00FC68D6"/>
    <w:rsid w:val="00FC6D54"/>
    <w:rsid w:val="00FC73BF"/>
    <w:rsid w:val="00FC77A5"/>
    <w:rsid w:val="00FC7ADC"/>
    <w:rsid w:val="00FC7C51"/>
    <w:rsid w:val="00FC7F6B"/>
    <w:rsid w:val="00FC7FB0"/>
    <w:rsid w:val="00FD0199"/>
    <w:rsid w:val="00FD01AA"/>
    <w:rsid w:val="00FD032B"/>
    <w:rsid w:val="00FD03EF"/>
    <w:rsid w:val="00FD07AE"/>
    <w:rsid w:val="00FD0A3C"/>
    <w:rsid w:val="00FD0A51"/>
    <w:rsid w:val="00FD0A75"/>
    <w:rsid w:val="00FD0A7D"/>
    <w:rsid w:val="00FD0AAB"/>
    <w:rsid w:val="00FD0BC4"/>
    <w:rsid w:val="00FD0D7B"/>
    <w:rsid w:val="00FD0ED7"/>
    <w:rsid w:val="00FD0FAB"/>
    <w:rsid w:val="00FD1149"/>
    <w:rsid w:val="00FD12C5"/>
    <w:rsid w:val="00FD12C6"/>
    <w:rsid w:val="00FD13FA"/>
    <w:rsid w:val="00FD157F"/>
    <w:rsid w:val="00FD179C"/>
    <w:rsid w:val="00FD18D3"/>
    <w:rsid w:val="00FD196F"/>
    <w:rsid w:val="00FD1DC9"/>
    <w:rsid w:val="00FD1F51"/>
    <w:rsid w:val="00FD21C1"/>
    <w:rsid w:val="00FD220B"/>
    <w:rsid w:val="00FD2282"/>
    <w:rsid w:val="00FD2294"/>
    <w:rsid w:val="00FD2301"/>
    <w:rsid w:val="00FD259D"/>
    <w:rsid w:val="00FD271E"/>
    <w:rsid w:val="00FD28C5"/>
    <w:rsid w:val="00FD2D3F"/>
    <w:rsid w:val="00FD2DE8"/>
    <w:rsid w:val="00FD318A"/>
    <w:rsid w:val="00FD3A93"/>
    <w:rsid w:val="00FD3D51"/>
    <w:rsid w:val="00FD3D65"/>
    <w:rsid w:val="00FD3DA3"/>
    <w:rsid w:val="00FD3E21"/>
    <w:rsid w:val="00FD3E60"/>
    <w:rsid w:val="00FD436A"/>
    <w:rsid w:val="00FD440E"/>
    <w:rsid w:val="00FD4502"/>
    <w:rsid w:val="00FD49D9"/>
    <w:rsid w:val="00FD4A90"/>
    <w:rsid w:val="00FD4D08"/>
    <w:rsid w:val="00FD4E9B"/>
    <w:rsid w:val="00FD4E9F"/>
    <w:rsid w:val="00FD4F6D"/>
    <w:rsid w:val="00FD50B3"/>
    <w:rsid w:val="00FD54E1"/>
    <w:rsid w:val="00FD585A"/>
    <w:rsid w:val="00FD5A10"/>
    <w:rsid w:val="00FD5B6C"/>
    <w:rsid w:val="00FD5BA8"/>
    <w:rsid w:val="00FD5DEF"/>
    <w:rsid w:val="00FD6231"/>
    <w:rsid w:val="00FD62E5"/>
    <w:rsid w:val="00FD64DD"/>
    <w:rsid w:val="00FD68CB"/>
    <w:rsid w:val="00FD69AE"/>
    <w:rsid w:val="00FD6A49"/>
    <w:rsid w:val="00FD6A4F"/>
    <w:rsid w:val="00FD6D19"/>
    <w:rsid w:val="00FD72A7"/>
    <w:rsid w:val="00FD72C1"/>
    <w:rsid w:val="00FD7313"/>
    <w:rsid w:val="00FD7904"/>
    <w:rsid w:val="00FD7AA1"/>
    <w:rsid w:val="00FD7C33"/>
    <w:rsid w:val="00FD7DD6"/>
    <w:rsid w:val="00FD7E9C"/>
    <w:rsid w:val="00FE005E"/>
    <w:rsid w:val="00FE01BA"/>
    <w:rsid w:val="00FE046D"/>
    <w:rsid w:val="00FE0D07"/>
    <w:rsid w:val="00FE0D19"/>
    <w:rsid w:val="00FE0E0F"/>
    <w:rsid w:val="00FE0E64"/>
    <w:rsid w:val="00FE1945"/>
    <w:rsid w:val="00FE19F4"/>
    <w:rsid w:val="00FE2405"/>
    <w:rsid w:val="00FE243A"/>
    <w:rsid w:val="00FE277F"/>
    <w:rsid w:val="00FE28DB"/>
    <w:rsid w:val="00FE28F6"/>
    <w:rsid w:val="00FE2B36"/>
    <w:rsid w:val="00FE2D54"/>
    <w:rsid w:val="00FE2EDB"/>
    <w:rsid w:val="00FE2FD6"/>
    <w:rsid w:val="00FE3241"/>
    <w:rsid w:val="00FE3433"/>
    <w:rsid w:val="00FE3567"/>
    <w:rsid w:val="00FE39D7"/>
    <w:rsid w:val="00FE3C52"/>
    <w:rsid w:val="00FE3E6F"/>
    <w:rsid w:val="00FE3E82"/>
    <w:rsid w:val="00FE40B9"/>
    <w:rsid w:val="00FE4247"/>
    <w:rsid w:val="00FE449C"/>
    <w:rsid w:val="00FE44E8"/>
    <w:rsid w:val="00FE492C"/>
    <w:rsid w:val="00FE4DFF"/>
    <w:rsid w:val="00FE5584"/>
    <w:rsid w:val="00FE5599"/>
    <w:rsid w:val="00FE5985"/>
    <w:rsid w:val="00FE5AF2"/>
    <w:rsid w:val="00FE5B8F"/>
    <w:rsid w:val="00FE5BF0"/>
    <w:rsid w:val="00FE5D30"/>
    <w:rsid w:val="00FE5DEF"/>
    <w:rsid w:val="00FE5E2F"/>
    <w:rsid w:val="00FE5FF1"/>
    <w:rsid w:val="00FE6137"/>
    <w:rsid w:val="00FE61C1"/>
    <w:rsid w:val="00FE61CE"/>
    <w:rsid w:val="00FE61D8"/>
    <w:rsid w:val="00FE666F"/>
    <w:rsid w:val="00FE6819"/>
    <w:rsid w:val="00FE6A76"/>
    <w:rsid w:val="00FE6BD1"/>
    <w:rsid w:val="00FE6C09"/>
    <w:rsid w:val="00FE700C"/>
    <w:rsid w:val="00FE707C"/>
    <w:rsid w:val="00FE714C"/>
    <w:rsid w:val="00FE796A"/>
    <w:rsid w:val="00FE7CC2"/>
    <w:rsid w:val="00FE7F3A"/>
    <w:rsid w:val="00FE7FC7"/>
    <w:rsid w:val="00FF007B"/>
    <w:rsid w:val="00FF0913"/>
    <w:rsid w:val="00FF0E7F"/>
    <w:rsid w:val="00FF139D"/>
    <w:rsid w:val="00FF141C"/>
    <w:rsid w:val="00FF15E7"/>
    <w:rsid w:val="00FF1600"/>
    <w:rsid w:val="00FF1751"/>
    <w:rsid w:val="00FF1F9E"/>
    <w:rsid w:val="00FF20A1"/>
    <w:rsid w:val="00FF20C9"/>
    <w:rsid w:val="00FF20ED"/>
    <w:rsid w:val="00FF2777"/>
    <w:rsid w:val="00FF28D1"/>
    <w:rsid w:val="00FF2BE3"/>
    <w:rsid w:val="00FF2D0E"/>
    <w:rsid w:val="00FF2F91"/>
    <w:rsid w:val="00FF31A4"/>
    <w:rsid w:val="00FF31C3"/>
    <w:rsid w:val="00FF32A7"/>
    <w:rsid w:val="00FF3808"/>
    <w:rsid w:val="00FF3A2B"/>
    <w:rsid w:val="00FF3BF2"/>
    <w:rsid w:val="00FF3C00"/>
    <w:rsid w:val="00FF3F40"/>
    <w:rsid w:val="00FF44DA"/>
    <w:rsid w:val="00FF4AC2"/>
    <w:rsid w:val="00FF5266"/>
    <w:rsid w:val="00FF52C7"/>
    <w:rsid w:val="00FF5380"/>
    <w:rsid w:val="00FF56FA"/>
    <w:rsid w:val="00FF58D8"/>
    <w:rsid w:val="00FF5A3C"/>
    <w:rsid w:val="00FF5AC3"/>
    <w:rsid w:val="00FF5C02"/>
    <w:rsid w:val="00FF5E55"/>
    <w:rsid w:val="00FF6041"/>
    <w:rsid w:val="00FF63EE"/>
    <w:rsid w:val="00FF6540"/>
    <w:rsid w:val="00FF6948"/>
    <w:rsid w:val="00FF699E"/>
    <w:rsid w:val="00FF69A2"/>
    <w:rsid w:val="00FF6A09"/>
    <w:rsid w:val="00FF6AF6"/>
    <w:rsid w:val="00FF6B7D"/>
    <w:rsid w:val="00FF6F67"/>
    <w:rsid w:val="00FF721C"/>
    <w:rsid w:val="00FF7309"/>
    <w:rsid w:val="00FF7383"/>
    <w:rsid w:val="00FF74B7"/>
    <w:rsid w:val="00FF76C8"/>
    <w:rsid w:val="00FF794B"/>
    <w:rsid w:val="00FF7CC8"/>
    <w:rsid w:val="00FF7DA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1d3d4" stroke="f">
      <v:fill color="#d1d3d4"/>
      <v:stroke on="f"/>
      <o:colormru v:ext="edit" colors="#ddd,#00295d,#e9b633,#dcdcdc,#d1d3d4"/>
    </o:shapedefaults>
    <o:shapelayout v:ext="edit">
      <o:idmap v:ext="edit" data="1"/>
    </o:shapelayout>
  </w:shapeDefaults>
  <w:decimalSymbol w:val="."/>
  <w:listSeparator w:val=","/>
  <w14:docId w14:val="22097D26"/>
  <w15:docId w15:val="{6D20E924-787A-4DFD-ABFE-2B19E6FB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73C"/>
    <w:pPr>
      <w:overflowPunct w:val="0"/>
      <w:autoSpaceDE w:val="0"/>
      <w:autoSpaceDN w:val="0"/>
      <w:adjustRightInd w:val="0"/>
      <w:spacing w:line="220" w:lineRule="exact"/>
      <w:textAlignment w:val="baseline"/>
    </w:pPr>
    <w:rPr>
      <w:rFonts w:ascii="EYInterstate Light" w:hAnsi="EYInterstate Light"/>
      <w:sz w:val="18"/>
      <w:lang w:val="en-IN" w:eastAsia="en-US"/>
    </w:rPr>
  </w:style>
  <w:style w:type="paragraph" w:styleId="Heading10">
    <w:name w:val="heading 1"/>
    <w:next w:val="Normal"/>
    <w:link w:val="Heading1Char"/>
    <w:qFormat/>
    <w:rsid w:val="00FB5D68"/>
    <w:pPr>
      <w:overflowPunct w:val="0"/>
      <w:autoSpaceDE w:val="0"/>
      <w:autoSpaceDN w:val="0"/>
      <w:adjustRightInd w:val="0"/>
      <w:spacing w:after="240" w:line="360" w:lineRule="exact"/>
      <w:textAlignment w:val="baseline"/>
      <w:outlineLvl w:val="0"/>
    </w:pPr>
    <w:rPr>
      <w:rFonts w:ascii="EYInterstate" w:hAnsi="EYInterstate"/>
      <w:b/>
      <w:color w:val="808080"/>
      <w:kern w:val="28"/>
      <w:sz w:val="32"/>
      <w:lang w:eastAsia="en-US"/>
    </w:rPr>
  </w:style>
  <w:style w:type="paragraph" w:styleId="Heading2">
    <w:name w:val="heading 2"/>
    <w:basedOn w:val="Normal"/>
    <w:next w:val="Normal"/>
    <w:link w:val="Heading2Char"/>
    <w:qFormat/>
    <w:rsid w:val="00F64A69"/>
    <w:pPr>
      <w:keepNext/>
      <w:spacing w:before="120" w:after="120" w:line="280" w:lineRule="exact"/>
      <w:outlineLvl w:val="1"/>
    </w:pPr>
    <w:rPr>
      <w:rFonts w:ascii="EYInterstate" w:hAnsi="EYInterstate"/>
      <w:b/>
      <w:sz w:val="28"/>
    </w:rPr>
  </w:style>
  <w:style w:type="paragraph" w:styleId="Heading3">
    <w:name w:val="heading 3"/>
    <w:basedOn w:val="Normal"/>
    <w:next w:val="Normal"/>
    <w:link w:val="Heading3Char"/>
    <w:qFormat/>
    <w:rsid w:val="00460DD7"/>
    <w:pPr>
      <w:keepNext/>
      <w:spacing w:before="240" w:after="60"/>
      <w:outlineLvl w:val="2"/>
    </w:pPr>
    <w:rPr>
      <w:rFonts w:ascii="EYInterstate" w:hAnsi="EYInterstate" w:cs="Arial"/>
      <w:b/>
      <w:bCs/>
      <w:sz w:val="24"/>
      <w:szCs w:val="26"/>
    </w:rPr>
  </w:style>
  <w:style w:type="paragraph" w:styleId="Heading4">
    <w:name w:val="heading 4"/>
    <w:basedOn w:val="Normal"/>
    <w:next w:val="Normal"/>
    <w:link w:val="Heading4Char"/>
    <w:qFormat/>
    <w:rsid w:val="0010411B"/>
    <w:pPr>
      <w:keepNext/>
      <w:spacing w:before="40" w:after="40"/>
      <w:outlineLvl w:val="3"/>
    </w:pPr>
    <w:rPr>
      <w:rFonts w:ascii="EYInterstate" w:hAnsi="EYInterstate"/>
      <w:b/>
      <w:bCs/>
      <w:sz w:val="20"/>
      <w:szCs w:val="28"/>
    </w:rPr>
  </w:style>
  <w:style w:type="paragraph" w:styleId="Heading5">
    <w:name w:val="heading 5"/>
    <w:basedOn w:val="Normal"/>
    <w:next w:val="Normal"/>
    <w:link w:val="Heading5Char"/>
    <w:qFormat/>
    <w:rsid w:val="001C210A"/>
    <w:pPr>
      <w:spacing w:before="40" w:after="40"/>
      <w:outlineLvl w:val="4"/>
    </w:pPr>
    <w:rPr>
      <w:rFonts w:ascii="EYInterstate" w:hAnsi="EYInterstate"/>
      <w:b/>
      <w:bCs/>
      <w:iCs/>
      <w:szCs w:val="26"/>
    </w:rPr>
  </w:style>
  <w:style w:type="paragraph" w:styleId="Heading6">
    <w:name w:val="heading 6"/>
    <w:basedOn w:val="Normal"/>
    <w:next w:val="Normal"/>
    <w:link w:val="Heading6Char"/>
    <w:qFormat/>
    <w:rsid w:val="004C2A42"/>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4C2A42"/>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4A69"/>
    <w:rPr>
      <w:rFonts w:ascii="EYInterstate" w:hAnsi="EYInterstate"/>
      <w:b/>
      <w:sz w:val="28"/>
      <w:lang w:val="en-GB" w:eastAsia="en-US" w:bidi="ar-SA"/>
    </w:rPr>
  </w:style>
  <w:style w:type="character" w:customStyle="1" w:styleId="Heading4Char">
    <w:name w:val="Heading 4 Char"/>
    <w:basedOn w:val="DefaultParagraphFont"/>
    <w:link w:val="Heading4"/>
    <w:rsid w:val="0010411B"/>
    <w:rPr>
      <w:rFonts w:ascii="EYInterstate" w:hAnsi="EYInterstate"/>
      <w:b/>
      <w:bCs/>
      <w:szCs w:val="28"/>
      <w:lang w:val="en-GB" w:eastAsia="en-US" w:bidi="ar-SA"/>
    </w:rPr>
  </w:style>
  <w:style w:type="paragraph" w:styleId="Header">
    <w:name w:val="header"/>
    <w:basedOn w:val="Normal"/>
    <w:link w:val="HeaderChar"/>
    <w:rsid w:val="00AB15B4"/>
    <w:pPr>
      <w:tabs>
        <w:tab w:val="center" w:pos="4320"/>
        <w:tab w:val="right" w:pos="8640"/>
      </w:tabs>
    </w:pPr>
    <w:rPr>
      <w:smallCaps/>
      <w:spacing w:val="40"/>
    </w:rPr>
  </w:style>
  <w:style w:type="paragraph" w:styleId="Footer">
    <w:name w:val="footer"/>
    <w:basedOn w:val="Normal"/>
    <w:link w:val="FooterChar"/>
    <w:uiPriority w:val="99"/>
    <w:rsid w:val="00AB15B4"/>
    <w:pPr>
      <w:tabs>
        <w:tab w:val="center" w:pos="4320"/>
        <w:tab w:val="right" w:pos="8640"/>
      </w:tabs>
    </w:pPr>
    <w:rPr>
      <w:smallCaps/>
      <w:spacing w:val="40"/>
    </w:rPr>
  </w:style>
  <w:style w:type="character" w:styleId="PageNumber">
    <w:name w:val="page number"/>
    <w:basedOn w:val="DefaultParagraphFont"/>
    <w:semiHidden/>
    <w:rsid w:val="00E62C7D"/>
    <w:rPr>
      <w:rFonts w:ascii="Times New Roman" w:hAnsi="Times New Roman"/>
      <w:dstrike w:val="0"/>
      <w:color w:val="auto"/>
      <w:spacing w:val="0"/>
      <w:sz w:val="18"/>
      <w:szCs w:val="18"/>
      <w:vertAlign w:val="baseline"/>
    </w:rPr>
  </w:style>
  <w:style w:type="character" w:styleId="SubtleReference">
    <w:name w:val="Subtle Reference"/>
    <w:basedOn w:val="DefaultParagraphFont"/>
    <w:uiPriority w:val="31"/>
    <w:qFormat/>
    <w:rsid w:val="00C42DC7"/>
    <w:rPr>
      <w:smallCaps/>
      <w:color w:val="646464" w:themeColor="accent2"/>
      <w:u w:val="single"/>
    </w:rPr>
  </w:style>
  <w:style w:type="character" w:styleId="Hyperlink">
    <w:name w:val="Hyperlink"/>
    <w:basedOn w:val="DefaultParagraphFont"/>
    <w:uiPriority w:val="99"/>
    <w:rsid w:val="00C941CF"/>
    <w:rPr>
      <w:color w:val="0000FF"/>
      <w:u w:val="single"/>
    </w:rPr>
  </w:style>
  <w:style w:type="paragraph" w:customStyle="1" w:styleId="Notesitalicheading">
    <w:name w:val="Notes italic heading"/>
    <w:basedOn w:val="Notesbodytext"/>
    <w:link w:val="NotesitalicheadingChar"/>
    <w:rsid w:val="002E0B33"/>
    <w:pPr>
      <w:spacing w:after="0"/>
    </w:pPr>
    <w:rPr>
      <w:b/>
      <w:i/>
    </w:rPr>
  </w:style>
  <w:style w:type="paragraph" w:customStyle="1" w:styleId="Notesbodytext">
    <w:name w:val="Notes body text"/>
    <w:basedOn w:val="BodyText1"/>
    <w:link w:val="NotesbodytextChar"/>
    <w:rsid w:val="007B20EA"/>
  </w:style>
  <w:style w:type="paragraph" w:customStyle="1" w:styleId="BodyText1">
    <w:name w:val="Body Text1"/>
    <w:basedOn w:val="body"/>
    <w:link w:val="BodytextChar"/>
    <w:rsid w:val="00FA6D27"/>
    <w:rPr>
      <w:rFonts w:ascii="EYInterstate Light" w:hAnsi="EYInterstate Light" w:cs="Arial"/>
    </w:rPr>
  </w:style>
  <w:style w:type="paragraph" w:customStyle="1" w:styleId="body">
    <w:name w:val="body"/>
    <w:basedOn w:val="Normal"/>
    <w:link w:val="bodyChar"/>
    <w:semiHidden/>
    <w:rsid w:val="00B15141"/>
    <w:pPr>
      <w:spacing w:after="120" w:line="240" w:lineRule="exact"/>
    </w:pPr>
    <w:rPr>
      <w:rFonts w:ascii="TimesNewRomanPS" w:hAnsi="TimesNewRomanPS"/>
      <w:color w:val="000000"/>
    </w:rPr>
  </w:style>
  <w:style w:type="character" w:customStyle="1" w:styleId="bodyChar">
    <w:name w:val="body Char"/>
    <w:basedOn w:val="DefaultParagraphFont"/>
    <w:link w:val="body"/>
    <w:rsid w:val="004978BD"/>
    <w:rPr>
      <w:rFonts w:ascii="TimesNewRomanPS" w:hAnsi="TimesNewRomanPS"/>
      <w:color w:val="000000"/>
      <w:lang w:val="en-GB" w:eastAsia="en-US" w:bidi="ar-SA"/>
    </w:rPr>
  </w:style>
  <w:style w:type="character" w:customStyle="1" w:styleId="BodytextChar">
    <w:name w:val="Body text Char"/>
    <w:basedOn w:val="bodyChar"/>
    <w:link w:val="BodyText1"/>
    <w:rsid w:val="00FA6D27"/>
    <w:rPr>
      <w:rFonts w:ascii="EYInterstate Light" w:hAnsi="EYInterstate Light" w:cs="Arial"/>
      <w:color w:val="000000"/>
      <w:sz w:val="18"/>
      <w:lang w:val="en-GB" w:eastAsia="en-US" w:bidi="ar-SA"/>
    </w:rPr>
  </w:style>
  <w:style w:type="character" w:customStyle="1" w:styleId="NotesbodytextChar">
    <w:name w:val="Notes body text Char"/>
    <w:basedOn w:val="BodytextChar"/>
    <w:link w:val="Notesbodytext"/>
    <w:rsid w:val="007B20EA"/>
    <w:rPr>
      <w:rFonts w:ascii="EYInterstate Light" w:hAnsi="EYInterstate Light" w:cs="Arial"/>
      <w:color w:val="000000"/>
      <w:sz w:val="18"/>
      <w:lang w:val="en-GB" w:eastAsia="en-US" w:bidi="ar-SA"/>
    </w:rPr>
  </w:style>
  <w:style w:type="character" w:customStyle="1" w:styleId="NotesitalicheadingChar">
    <w:name w:val="Notes italic heading Char"/>
    <w:basedOn w:val="NotesbodytextChar"/>
    <w:link w:val="Notesitalicheading"/>
    <w:rsid w:val="002E0B33"/>
    <w:rPr>
      <w:rFonts w:ascii="EYInterstate Light" w:hAnsi="EYInterstate Light" w:cs="Arial"/>
      <w:b/>
      <w:i/>
      <w:color w:val="000000"/>
      <w:sz w:val="18"/>
      <w:lang w:val="en-GB" w:eastAsia="en-US" w:bidi="ar-SA"/>
    </w:rPr>
  </w:style>
  <w:style w:type="table" w:styleId="TableGrid">
    <w:name w:val="Table Grid"/>
    <w:aliases w:val="CV table"/>
    <w:basedOn w:val="TableNormal"/>
    <w:uiPriority w:val="59"/>
    <w:rsid w:val="005572D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subhdChar">
    <w:name w:val="italsubhd Char"/>
    <w:basedOn w:val="DefaultParagraphFont"/>
    <w:link w:val="italsubhd"/>
    <w:rsid w:val="00B330AC"/>
    <w:rPr>
      <w:rFonts w:ascii="EY Gothic Comp BookPS" w:hAnsi="EY Gothic Comp BookPS"/>
      <w:i/>
      <w:iCs/>
      <w:noProof/>
      <w:color w:val="000000"/>
      <w:lang w:val="en-GB" w:eastAsia="en-US" w:bidi="ar-SA"/>
    </w:rPr>
  </w:style>
  <w:style w:type="paragraph" w:customStyle="1" w:styleId="italsubhd">
    <w:name w:val="italsubhd"/>
    <w:basedOn w:val="Normal"/>
    <w:link w:val="italsubhdChar"/>
    <w:semiHidden/>
    <w:rsid w:val="00B330AC"/>
    <w:pPr>
      <w:tabs>
        <w:tab w:val="right" w:leader="dot" w:pos="9739"/>
      </w:tabs>
      <w:spacing w:before="60" w:line="240" w:lineRule="exact"/>
    </w:pPr>
    <w:rPr>
      <w:rFonts w:ascii="EY Gothic Comp BookPS" w:hAnsi="EY Gothic Comp BookPS"/>
      <w:i/>
      <w:iCs/>
      <w:noProof/>
      <w:color w:val="000000"/>
    </w:rPr>
  </w:style>
  <w:style w:type="character" w:customStyle="1" w:styleId="tabletxteygChar">
    <w:name w:val="tabletxt eyg Char"/>
    <w:basedOn w:val="DefaultParagraphFont"/>
    <w:link w:val="tabletxteyg"/>
    <w:rsid w:val="006B32FB"/>
    <w:rPr>
      <w:rFonts w:ascii="EY Gothic Comp BookPS" w:hAnsi="EY Gothic Comp BookPS"/>
      <w:color w:val="000000"/>
      <w:lang w:val="en-GB" w:eastAsia="en-US" w:bidi="ar-SA"/>
    </w:rPr>
  </w:style>
  <w:style w:type="paragraph" w:customStyle="1" w:styleId="tabletxteyg">
    <w:name w:val="tabletxt eyg"/>
    <w:basedOn w:val="Normal"/>
    <w:link w:val="tabletxteygChar"/>
    <w:semiHidden/>
    <w:rsid w:val="006B32FB"/>
    <w:pPr>
      <w:tabs>
        <w:tab w:val="right" w:leader="dot" w:pos="9739"/>
      </w:tabs>
      <w:spacing w:before="20" w:after="40" w:line="240" w:lineRule="exact"/>
    </w:pPr>
    <w:rPr>
      <w:rFonts w:ascii="EY Gothic Comp BookPS" w:hAnsi="EY Gothic Comp BookPS"/>
      <w:color w:val="000000"/>
    </w:rPr>
  </w:style>
  <w:style w:type="paragraph" w:styleId="BodyText">
    <w:name w:val="Body Text"/>
    <w:basedOn w:val="Normal"/>
    <w:link w:val="BodyTextChar0"/>
    <w:semiHidden/>
    <w:rsid w:val="00472AA6"/>
    <w:pPr>
      <w:spacing w:after="120"/>
    </w:pPr>
    <w:rPr>
      <w:rFonts w:ascii="Garamond" w:hAnsi="Garamond"/>
    </w:rPr>
  </w:style>
  <w:style w:type="paragraph" w:customStyle="1" w:styleId="tablenotes">
    <w:name w:val="tablenotes"/>
    <w:basedOn w:val="tabletxtns"/>
    <w:semiHidden/>
    <w:rsid w:val="007A28F6"/>
    <w:pPr>
      <w:tabs>
        <w:tab w:val="right" w:pos="439"/>
      </w:tabs>
    </w:pPr>
  </w:style>
  <w:style w:type="paragraph" w:customStyle="1" w:styleId="tabletxtns">
    <w:name w:val="tabletxtns"/>
    <w:basedOn w:val="Normal"/>
    <w:link w:val="tabletxtnsChar"/>
    <w:semiHidden/>
    <w:rsid w:val="00FF41F8"/>
    <w:pPr>
      <w:spacing w:before="20" w:line="200" w:lineRule="exact"/>
    </w:pPr>
    <w:rPr>
      <w:rFonts w:ascii="EY Gothic Comp BookPS" w:hAnsi="EY Gothic Comp BookPS"/>
      <w:color w:val="000000"/>
    </w:rPr>
  </w:style>
  <w:style w:type="character" w:customStyle="1" w:styleId="tabletxtnsChar">
    <w:name w:val="tabletxtns Char"/>
    <w:basedOn w:val="DefaultParagraphFont"/>
    <w:link w:val="tabletxtns"/>
    <w:rsid w:val="00FF41F8"/>
    <w:rPr>
      <w:rFonts w:ascii="EY Gothic Comp BookPS" w:hAnsi="EY Gothic Comp BookPS"/>
      <w:color w:val="000000"/>
      <w:lang w:val="en-GB" w:eastAsia="en-US" w:bidi="ar-SA"/>
    </w:rPr>
  </w:style>
  <w:style w:type="paragraph" w:customStyle="1" w:styleId="471HeaderEven3">
    <w:name w:val="471 Header Even 3"/>
    <w:basedOn w:val="Normal"/>
    <w:semiHidden/>
    <w:rsid w:val="00BB6814"/>
    <w:rPr>
      <w:rFonts w:ascii="Garamond" w:hAnsi="Garamond"/>
      <w:b/>
      <w:sz w:val="24"/>
    </w:rPr>
  </w:style>
  <w:style w:type="paragraph" w:styleId="FootnoteText">
    <w:name w:val="footnote text"/>
    <w:basedOn w:val="Normal"/>
    <w:link w:val="FootnoteTextChar"/>
    <w:semiHidden/>
    <w:rsid w:val="00617527"/>
  </w:style>
  <w:style w:type="character" w:styleId="FootnoteReference">
    <w:name w:val="footnote reference"/>
    <w:basedOn w:val="DefaultParagraphFont"/>
    <w:uiPriority w:val="99"/>
    <w:semiHidden/>
    <w:rsid w:val="00617527"/>
    <w:rPr>
      <w:vertAlign w:val="superscript"/>
    </w:rPr>
  </w:style>
  <w:style w:type="paragraph" w:styleId="TOC5">
    <w:name w:val="toc 5"/>
    <w:basedOn w:val="Normal"/>
    <w:next w:val="Normal"/>
    <w:rsid w:val="00940000"/>
    <w:pPr>
      <w:ind w:left="800"/>
    </w:pPr>
  </w:style>
  <w:style w:type="paragraph" w:styleId="TOC9">
    <w:name w:val="toc 9"/>
    <w:basedOn w:val="Normal"/>
    <w:next w:val="Normal"/>
    <w:rsid w:val="00940000"/>
    <w:pPr>
      <w:ind w:left="1600"/>
    </w:pPr>
  </w:style>
  <w:style w:type="paragraph" w:styleId="EnvelopeAddress">
    <w:name w:val="envelope address"/>
    <w:basedOn w:val="Normal"/>
    <w:semiHidden/>
    <w:rsid w:val="004A424B"/>
    <w:pPr>
      <w:framePr w:w="7920" w:h="1980" w:hRule="exact" w:hSpace="180" w:wrap="auto" w:hAnchor="page" w:xAlign="center" w:yAlign="bottom"/>
      <w:ind w:left="2880"/>
    </w:pPr>
    <w:rPr>
      <w:rFonts w:ascii="Arial" w:hAnsi="Arial" w:cs="Arial"/>
      <w:sz w:val="24"/>
      <w:szCs w:val="24"/>
    </w:rPr>
  </w:style>
  <w:style w:type="paragraph" w:styleId="TOC7">
    <w:name w:val="toc 7"/>
    <w:basedOn w:val="Normal"/>
    <w:next w:val="Normal"/>
    <w:rsid w:val="00C33AF7"/>
    <w:pPr>
      <w:ind w:left="1200"/>
    </w:pPr>
  </w:style>
  <w:style w:type="paragraph" w:customStyle="1" w:styleId="450HeaderOdd">
    <w:name w:val="450 Header Odd"/>
    <w:basedOn w:val="Normal"/>
    <w:semiHidden/>
    <w:rsid w:val="00D81F9E"/>
    <w:pPr>
      <w:pBdr>
        <w:bottom w:val="single" w:sz="4" w:space="1" w:color="auto"/>
      </w:pBdr>
      <w:tabs>
        <w:tab w:val="center" w:pos="4253"/>
        <w:tab w:val="right" w:pos="8505"/>
      </w:tabs>
      <w:spacing w:after="40"/>
      <w:jc w:val="both"/>
    </w:pPr>
    <w:rPr>
      <w:rFonts w:ascii="Garamond" w:hAnsi="Garamond"/>
    </w:rPr>
  </w:style>
  <w:style w:type="paragraph" w:styleId="HTMLAddress">
    <w:name w:val="HTML Address"/>
    <w:basedOn w:val="Normal"/>
    <w:link w:val="HTMLAddressChar"/>
    <w:semiHidden/>
    <w:rsid w:val="00FD749E"/>
    <w:rPr>
      <w:rFonts w:ascii="Garamond" w:hAnsi="Garamond"/>
      <w:i/>
      <w:iCs/>
    </w:rPr>
  </w:style>
  <w:style w:type="paragraph" w:styleId="TOC1">
    <w:name w:val="toc 1"/>
    <w:basedOn w:val="BodyText1"/>
    <w:next w:val="BodyText"/>
    <w:autoRedefine/>
    <w:qFormat/>
    <w:rsid w:val="00B81A6A"/>
    <w:pPr>
      <w:tabs>
        <w:tab w:val="right" w:leader="dot" w:pos="9720"/>
      </w:tabs>
      <w:spacing w:before="60" w:after="60"/>
    </w:pPr>
    <w:rPr>
      <w:bCs/>
      <w:iCs/>
      <w:noProof/>
    </w:rPr>
  </w:style>
  <w:style w:type="paragraph" w:styleId="TOC2">
    <w:name w:val="toc 2"/>
    <w:basedOn w:val="Normal"/>
    <w:next w:val="Normal"/>
    <w:autoRedefine/>
    <w:uiPriority w:val="39"/>
    <w:qFormat/>
    <w:rsid w:val="001B2521"/>
    <w:pPr>
      <w:tabs>
        <w:tab w:val="right" w:leader="dot" w:pos="9739"/>
      </w:tabs>
      <w:spacing w:before="60"/>
      <w:ind w:left="634" w:hanging="432"/>
    </w:pPr>
    <w:rPr>
      <w:rFonts w:ascii="TimesNewRomanPS" w:hAnsi="TimesNewRomanPS"/>
      <w:bCs/>
      <w:noProof/>
      <w:sz w:val="22"/>
      <w:szCs w:val="22"/>
    </w:rPr>
  </w:style>
  <w:style w:type="paragraph" w:styleId="TOC3">
    <w:name w:val="toc 3"/>
    <w:basedOn w:val="Normal"/>
    <w:next w:val="Normal"/>
    <w:autoRedefine/>
    <w:qFormat/>
    <w:rsid w:val="008710BA"/>
    <w:pPr>
      <w:ind w:left="400"/>
    </w:pPr>
  </w:style>
  <w:style w:type="paragraph" w:styleId="TOC4">
    <w:name w:val="toc 4"/>
    <w:basedOn w:val="Normal"/>
    <w:next w:val="Normal"/>
    <w:autoRedefine/>
    <w:rsid w:val="008710BA"/>
    <w:pPr>
      <w:ind w:left="600"/>
    </w:pPr>
  </w:style>
  <w:style w:type="paragraph" w:styleId="TOC6">
    <w:name w:val="toc 6"/>
    <w:basedOn w:val="Normal"/>
    <w:next w:val="Normal"/>
    <w:autoRedefine/>
    <w:rsid w:val="008710BA"/>
    <w:pPr>
      <w:ind w:left="1000"/>
    </w:pPr>
  </w:style>
  <w:style w:type="paragraph" w:styleId="TOC8">
    <w:name w:val="toc 8"/>
    <w:basedOn w:val="Normal"/>
    <w:next w:val="Normal"/>
    <w:autoRedefine/>
    <w:rsid w:val="008710BA"/>
    <w:pPr>
      <w:ind w:left="1400"/>
    </w:pPr>
  </w:style>
  <w:style w:type="character" w:styleId="FollowedHyperlink">
    <w:name w:val="FollowedHyperlink"/>
    <w:basedOn w:val="DefaultParagraphFont"/>
    <w:uiPriority w:val="99"/>
    <w:semiHidden/>
    <w:rsid w:val="00ED707E"/>
    <w:rPr>
      <w:color w:val="606420"/>
      <w:u w:val="single"/>
    </w:rPr>
  </w:style>
  <w:style w:type="paragraph" w:customStyle="1" w:styleId="mainheading">
    <w:name w:val="main heading"/>
    <w:basedOn w:val="Normal"/>
    <w:link w:val="mainheadingChar"/>
    <w:semiHidden/>
    <w:rsid w:val="00B15141"/>
    <w:pPr>
      <w:spacing w:before="240" w:after="120" w:line="440" w:lineRule="exact"/>
    </w:pPr>
    <w:rPr>
      <w:rFonts w:ascii="EY Gothic Cond DemiPS" w:hAnsi="EY Gothic Cond DemiPS"/>
      <w:caps/>
      <w:color w:val="000080"/>
      <w:sz w:val="40"/>
      <w:szCs w:val="40"/>
    </w:rPr>
  </w:style>
  <w:style w:type="character" w:customStyle="1" w:styleId="mainheadingChar">
    <w:name w:val="main heading Char"/>
    <w:basedOn w:val="DefaultParagraphFont"/>
    <w:link w:val="mainheading"/>
    <w:rsid w:val="00C90DAC"/>
    <w:rPr>
      <w:rFonts w:ascii="EY Gothic Cond DemiPS" w:hAnsi="EY Gothic Cond DemiPS"/>
      <w:caps/>
      <w:color w:val="000080"/>
      <w:sz w:val="40"/>
      <w:szCs w:val="40"/>
      <w:lang w:val="en-GB" w:eastAsia="en-US" w:bidi="ar-SA"/>
    </w:rPr>
  </w:style>
  <w:style w:type="paragraph" w:customStyle="1" w:styleId="heading">
    <w:name w:val="heading"/>
    <w:basedOn w:val="Heading2"/>
    <w:link w:val="headingChar"/>
    <w:semiHidden/>
    <w:rsid w:val="00D53690"/>
    <w:pPr>
      <w:keepNext w:val="0"/>
    </w:pPr>
    <w:rPr>
      <w:rFonts w:ascii="EY Gothic Cond MedPS" w:hAnsi="EY Gothic Cond MedPS"/>
    </w:rPr>
  </w:style>
  <w:style w:type="character" w:customStyle="1" w:styleId="headingChar">
    <w:name w:val="heading Char"/>
    <w:basedOn w:val="Heading2Char"/>
    <w:link w:val="heading"/>
    <w:rsid w:val="00D53690"/>
    <w:rPr>
      <w:rFonts w:ascii="EY Gothic Cond MedPS" w:hAnsi="EY Gothic Cond MedPS"/>
      <w:b/>
      <w:sz w:val="28"/>
      <w:lang w:val="en-GB" w:eastAsia="en-US" w:bidi="ar-SA"/>
    </w:rPr>
  </w:style>
  <w:style w:type="paragraph" w:customStyle="1" w:styleId="Chart">
    <w:name w:val="Chart"/>
    <w:basedOn w:val="Normal"/>
    <w:semiHidden/>
    <w:rsid w:val="00893F93"/>
    <w:pPr>
      <w:spacing w:line="240" w:lineRule="atLeast"/>
    </w:pPr>
    <w:rPr>
      <w:rFonts w:ascii="TimesNewRomanPS" w:hAnsi="TimesNewRomanPS"/>
      <w:color w:val="000000"/>
    </w:rPr>
  </w:style>
  <w:style w:type="paragraph" w:customStyle="1" w:styleId="whitesubhdital">
    <w:name w:val="white subhd ital"/>
    <w:basedOn w:val="italsubhd"/>
    <w:semiHidden/>
    <w:rsid w:val="004978BD"/>
    <w:rPr>
      <w:color w:val="FFFFFF"/>
    </w:rPr>
  </w:style>
  <w:style w:type="paragraph" w:customStyle="1" w:styleId="fsheader">
    <w:name w:val="fs header"/>
    <w:basedOn w:val="Normal"/>
    <w:semiHidden/>
    <w:rsid w:val="006330A2"/>
    <w:rPr>
      <w:rFonts w:ascii="EY Gothic Cond DemiPS" w:hAnsi="EY Gothic Cond DemiPS"/>
      <w:caps/>
      <w:color w:val="000080"/>
      <w:sz w:val="28"/>
    </w:rPr>
  </w:style>
  <w:style w:type="paragraph" w:customStyle="1" w:styleId="fssubhead">
    <w:name w:val="fs subhead"/>
    <w:basedOn w:val="Normal"/>
    <w:semiHidden/>
    <w:rsid w:val="00D81F9E"/>
    <w:pPr>
      <w:spacing w:after="120"/>
    </w:pPr>
    <w:rPr>
      <w:rFonts w:ascii="TimesNewRomanPS" w:hAnsi="TimesNewRomanPS"/>
      <w:b/>
      <w:sz w:val="24"/>
      <w:szCs w:val="24"/>
    </w:rPr>
  </w:style>
  <w:style w:type="character" w:customStyle="1" w:styleId="tabletextChar">
    <w:name w:val="table text Char"/>
    <w:basedOn w:val="DefaultParagraphFont"/>
    <w:link w:val="tabletext"/>
    <w:rsid w:val="00D40976"/>
    <w:rPr>
      <w:rFonts w:ascii="EYInterstate Light" w:hAnsi="EYInterstate Light"/>
      <w:sz w:val="18"/>
      <w:lang w:val="en-GB" w:eastAsia="en-US" w:bidi="ar-SA"/>
    </w:rPr>
  </w:style>
  <w:style w:type="paragraph" w:customStyle="1" w:styleId="tabletext">
    <w:name w:val="table text"/>
    <w:link w:val="tabletextChar"/>
    <w:qFormat/>
    <w:rsid w:val="00D40976"/>
    <w:pPr>
      <w:spacing w:line="220" w:lineRule="exact"/>
    </w:pPr>
    <w:rPr>
      <w:rFonts w:ascii="EYInterstate Light" w:hAnsi="EYInterstate Light"/>
      <w:sz w:val="18"/>
      <w:lang w:eastAsia="en-US"/>
    </w:rPr>
  </w:style>
  <w:style w:type="paragraph" w:customStyle="1" w:styleId="dheader">
    <w:name w:val="#d header"/>
    <w:basedOn w:val="Normal"/>
    <w:link w:val="dheaderChar"/>
    <w:semiHidden/>
    <w:rsid w:val="006E3F4C"/>
    <w:pPr>
      <w:keepNext/>
      <w:spacing w:before="120" w:after="60" w:line="240" w:lineRule="exact"/>
      <w:ind w:left="360" w:hanging="360"/>
      <w:outlineLvl w:val="1"/>
    </w:pPr>
    <w:rPr>
      <w:rFonts w:ascii="EY Gothic Cond DemiPS" w:hAnsi="EY Gothic Cond DemiPS"/>
      <w:color w:val="000080"/>
      <w:sz w:val="22"/>
      <w:szCs w:val="22"/>
    </w:rPr>
  </w:style>
  <w:style w:type="character" w:customStyle="1" w:styleId="dheaderChar">
    <w:name w:val="#d header Char"/>
    <w:basedOn w:val="DefaultParagraphFont"/>
    <w:link w:val="dheader"/>
    <w:rsid w:val="005C3E29"/>
    <w:rPr>
      <w:rFonts w:ascii="EY Gothic Cond DemiPS" w:hAnsi="EY Gothic Cond DemiPS"/>
      <w:color w:val="000080"/>
      <w:sz w:val="22"/>
      <w:szCs w:val="22"/>
      <w:lang w:val="en-GB" w:eastAsia="en-US" w:bidi="ar-SA"/>
    </w:rPr>
  </w:style>
  <w:style w:type="paragraph" w:customStyle="1" w:styleId="index">
    <w:name w:val="index"/>
    <w:basedOn w:val="Normal"/>
    <w:semiHidden/>
    <w:rsid w:val="00B15141"/>
    <w:pPr>
      <w:spacing w:before="20"/>
      <w:ind w:right="-110"/>
    </w:pPr>
    <w:rPr>
      <w:rFonts w:ascii="EY Gothic Comp BookPS" w:hAnsi="EY Gothic Comp BookPS"/>
      <w:i/>
      <w:color w:val="000000"/>
      <w:sz w:val="16"/>
      <w:szCs w:val="14"/>
      <w:lang w:val="fr-FR"/>
    </w:rPr>
  </w:style>
  <w:style w:type="paragraph" w:customStyle="1" w:styleId="tabletxthd">
    <w:name w:val="tabletxthd"/>
    <w:basedOn w:val="Normal"/>
    <w:link w:val="tabletxthdChar"/>
    <w:semiHidden/>
    <w:rsid w:val="0059527D"/>
    <w:pPr>
      <w:spacing w:before="20" w:line="200" w:lineRule="exact"/>
    </w:pPr>
    <w:rPr>
      <w:rFonts w:ascii="EY Gothic Comp BookPS" w:hAnsi="EY Gothic Comp BookPS"/>
      <w:b/>
      <w:bCs/>
      <w:noProof/>
      <w:color w:val="000000"/>
    </w:rPr>
  </w:style>
  <w:style w:type="character" w:customStyle="1" w:styleId="tabletxthdChar">
    <w:name w:val="tabletxthd Char"/>
    <w:basedOn w:val="DefaultParagraphFont"/>
    <w:link w:val="tabletxthd"/>
    <w:rsid w:val="00C27C6A"/>
    <w:rPr>
      <w:rFonts w:ascii="EY Gothic Comp BookPS" w:hAnsi="EY Gothic Comp BookPS"/>
      <w:b/>
      <w:bCs/>
      <w:noProof/>
      <w:color w:val="000000"/>
      <w:lang w:val="en-GB" w:eastAsia="en-US" w:bidi="ar-SA"/>
    </w:rPr>
  </w:style>
  <w:style w:type="paragraph" w:customStyle="1" w:styleId="heading20">
    <w:name w:val="heading2"/>
    <w:basedOn w:val="heading"/>
    <w:semiHidden/>
    <w:rsid w:val="00D53690"/>
    <w:rPr>
      <w:b w:val="0"/>
      <w:bCs/>
      <w:sz w:val="22"/>
      <w:szCs w:val="22"/>
    </w:rPr>
  </w:style>
  <w:style w:type="paragraph" w:customStyle="1" w:styleId="Commentarytext">
    <w:name w:val="Commentary text"/>
    <w:basedOn w:val="Normal"/>
    <w:link w:val="CommentarytextChar"/>
    <w:semiHidden/>
    <w:rsid w:val="00E45A8D"/>
    <w:pPr>
      <w:pBdr>
        <w:bottom w:val="single" w:sz="12" w:space="8" w:color="000080"/>
      </w:pBdr>
      <w:shd w:val="clear" w:color="auto" w:fill="E0E0E0"/>
      <w:spacing w:after="120" w:line="240" w:lineRule="exact"/>
    </w:pPr>
    <w:rPr>
      <w:rFonts w:ascii="TimesNewRomanPS" w:hAnsi="TimesNewRomanPS"/>
      <w:color w:val="000080"/>
    </w:rPr>
  </w:style>
  <w:style w:type="character" w:customStyle="1" w:styleId="CommentarytextChar">
    <w:name w:val="Commentary text Char"/>
    <w:basedOn w:val="DefaultParagraphFont"/>
    <w:link w:val="Commentarytext"/>
    <w:rsid w:val="00E45A8D"/>
    <w:rPr>
      <w:rFonts w:ascii="TimesNewRomanPS" w:hAnsi="TimesNewRomanPS"/>
      <w:color w:val="000080"/>
      <w:lang w:val="en-GB" w:eastAsia="en-US" w:bidi="ar-SA"/>
    </w:rPr>
  </w:style>
  <w:style w:type="paragraph" w:customStyle="1" w:styleId="Commentarytitle">
    <w:name w:val="Commentary title"/>
    <w:basedOn w:val="Normal"/>
    <w:next w:val="Commentarytext"/>
    <w:link w:val="CommentarytitleChar"/>
    <w:semiHidden/>
    <w:rsid w:val="00E45A8D"/>
    <w:pPr>
      <w:pBdr>
        <w:top w:val="single" w:sz="12" w:space="7" w:color="000080"/>
      </w:pBdr>
      <w:shd w:val="clear" w:color="auto" w:fill="E0E0E0"/>
      <w:spacing w:before="240"/>
      <w:outlineLvl w:val="1"/>
    </w:pPr>
    <w:rPr>
      <w:rFonts w:ascii="EY Gothic Cond MedPS" w:hAnsi="EY Gothic Cond MedPS"/>
      <w:i/>
      <w:color w:val="000080"/>
      <w:sz w:val="24"/>
    </w:rPr>
  </w:style>
  <w:style w:type="character" w:customStyle="1" w:styleId="CommentarytitleChar">
    <w:name w:val="Commentary title Char"/>
    <w:basedOn w:val="DefaultParagraphFont"/>
    <w:link w:val="Commentarytitle"/>
    <w:rsid w:val="00E45A8D"/>
    <w:rPr>
      <w:rFonts w:ascii="EY Gothic Cond MedPS" w:hAnsi="EY Gothic Cond MedPS"/>
      <w:i/>
      <w:color w:val="000080"/>
      <w:sz w:val="24"/>
      <w:lang w:val="en-GB" w:eastAsia="en-US" w:bidi="ar-SA"/>
    </w:rPr>
  </w:style>
  <w:style w:type="paragraph" w:styleId="BalloonText">
    <w:name w:val="Balloon Text"/>
    <w:basedOn w:val="Normal"/>
    <w:link w:val="BalloonTextChar"/>
    <w:semiHidden/>
    <w:rsid w:val="00F81B20"/>
    <w:rPr>
      <w:rFonts w:ascii="Tahoma" w:hAnsi="Tahoma" w:cs="Tahoma"/>
      <w:sz w:val="16"/>
      <w:szCs w:val="16"/>
    </w:rPr>
  </w:style>
  <w:style w:type="paragraph" w:customStyle="1" w:styleId="tabletxtblue">
    <w:name w:val="tabletxt blue"/>
    <w:basedOn w:val="tabletxtbluetotal"/>
    <w:link w:val="tabletxtblueChar"/>
    <w:semiHidden/>
    <w:rsid w:val="001F05E2"/>
    <w:pPr>
      <w:pBdr>
        <w:bottom w:val="none" w:sz="0" w:space="0" w:color="auto"/>
      </w:pBdr>
      <w:tabs>
        <w:tab w:val="clear" w:pos="782"/>
      </w:tabs>
      <w:spacing w:before="80"/>
    </w:pPr>
  </w:style>
  <w:style w:type="paragraph" w:customStyle="1" w:styleId="tabletxtbluetotal">
    <w:name w:val="tabletxt blue total"/>
    <w:basedOn w:val="Normal"/>
    <w:link w:val="tabletxtbluetotalChar"/>
    <w:semiHidden/>
    <w:rsid w:val="00183F5F"/>
    <w:pPr>
      <w:pBdr>
        <w:bottom w:val="double" w:sz="4" w:space="1" w:color="000080"/>
      </w:pBdr>
      <w:tabs>
        <w:tab w:val="decimal" w:pos="782"/>
      </w:tabs>
      <w:spacing w:before="40" w:after="40" w:line="200" w:lineRule="exact"/>
    </w:pPr>
    <w:rPr>
      <w:rFonts w:ascii="EY Gothic Comp BookPS" w:hAnsi="EY Gothic Comp BookPS"/>
      <w:b/>
      <w:color w:val="000080"/>
    </w:rPr>
  </w:style>
  <w:style w:type="character" w:customStyle="1" w:styleId="tabletxtbluetotalChar">
    <w:name w:val="tabletxt blue total Char"/>
    <w:basedOn w:val="DefaultParagraphFont"/>
    <w:link w:val="tabletxtbluetotal"/>
    <w:rsid w:val="00633429"/>
    <w:rPr>
      <w:rFonts w:ascii="EY Gothic Comp BookPS" w:hAnsi="EY Gothic Comp BookPS"/>
      <w:b/>
      <w:color w:val="000080"/>
      <w:lang w:val="en-GB" w:eastAsia="en-US" w:bidi="ar-SA"/>
    </w:rPr>
  </w:style>
  <w:style w:type="character" w:customStyle="1" w:styleId="tabletxtblueChar">
    <w:name w:val="tabletxt blue Char"/>
    <w:basedOn w:val="tabletxtbluetotalChar"/>
    <w:link w:val="tabletxtblue"/>
    <w:rsid w:val="001F05E2"/>
    <w:rPr>
      <w:rFonts w:ascii="EY Gothic Comp BookPS" w:hAnsi="EY Gothic Comp BookPS"/>
      <w:b/>
      <w:color w:val="000080"/>
      <w:lang w:val="en-GB" w:eastAsia="en-US" w:bidi="ar-SA"/>
    </w:rPr>
  </w:style>
  <w:style w:type="paragraph" w:customStyle="1" w:styleId="TabletextIASnumbersfirst">
    <w:name w:val="Table text_IAS numbers_first"/>
    <w:basedOn w:val="Normal"/>
    <w:link w:val="TabletextIASnumbersfirstChar"/>
    <w:semiHidden/>
    <w:rsid w:val="0044487F"/>
    <w:pPr>
      <w:spacing w:before="120" w:after="60"/>
      <w:ind w:left="144"/>
    </w:pPr>
    <w:rPr>
      <w:rFonts w:ascii="EY Gothic Comp BookPS" w:hAnsi="EY Gothic Comp BookPS"/>
      <w:i/>
      <w:sz w:val="16"/>
      <w:szCs w:val="14"/>
      <w:lang w:val="fr-FR"/>
    </w:rPr>
  </w:style>
  <w:style w:type="character" w:customStyle="1" w:styleId="TabletextIASnumbersfirstChar">
    <w:name w:val="Table text_IAS numbers_first Char"/>
    <w:basedOn w:val="DefaultParagraphFont"/>
    <w:link w:val="TabletextIASnumbersfirst"/>
    <w:rsid w:val="0044487F"/>
    <w:rPr>
      <w:rFonts w:ascii="EY Gothic Comp BookPS" w:hAnsi="EY Gothic Comp BookPS"/>
      <w:i/>
      <w:sz w:val="16"/>
      <w:szCs w:val="14"/>
      <w:lang w:val="fr-FR" w:eastAsia="en-US" w:bidi="ar-SA"/>
    </w:rPr>
  </w:style>
  <w:style w:type="paragraph" w:customStyle="1" w:styleId="tablebullet">
    <w:name w:val="tablebullet"/>
    <w:basedOn w:val="Normal"/>
    <w:semiHidden/>
    <w:rsid w:val="00D23FB6"/>
    <w:pPr>
      <w:numPr>
        <w:numId w:val="1"/>
      </w:numPr>
      <w:spacing w:before="20" w:line="200" w:lineRule="exact"/>
      <w:ind w:right="950"/>
    </w:pPr>
    <w:rPr>
      <w:rFonts w:ascii="EY Gothic Comp BookPS" w:hAnsi="EY Gothic Comp BookPS"/>
    </w:rPr>
  </w:style>
  <w:style w:type="paragraph" w:customStyle="1" w:styleId="COVERFLAG">
    <w:name w:val="COVER FLAG"/>
    <w:basedOn w:val="Normal"/>
    <w:semiHidden/>
    <w:rsid w:val="00FB3785"/>
    <w:pPr>
      <w:spacing w:line="280" w:lineRule="exact"/>
    </w:pPr>
    <w:rPr>
      <w:smallCaps/>
      <w:color w:val="FFFFFF"/>
      <w:spacing w:val="30"/>
      <w:sz w:val="26"/>
    </w:rPr>
  </w:style>
  <w:style w:type="paragraph" w:customStyle="1" w:styleId="COVERTITLE">
    <w:name w:val="COVER TITLE"/>
    <w:basedOn w:val="Normal"/>
    <w:semiHidden/>
    <w:rsid w:val="00137595"/>
    <w:pPr>
      <w:spacing w:after="180" w:line="960" w:lineRule="exact"/>
    </w:pPr>
    <w:rPr>
      <w:rFonts w:ascii="EY Gothic Cond Demi" w:hAnsi="EY Gothic Cond Demi"/>
      <w:color w:val="FFFFFF"/>
      <w:sz w:val="100"/>
      <w:szCs w:val="100"/>
    </w:rPr>
  </w:style>
  <w:style w:type="paragraph" w:customStyle="1" w:styleId="COVERSUBTITLE">
    <w:name w:val="COVER SUBTITLE"/>
    <w:basedOn w:val="Normal"/>
    <w:semiHidden/>
    <w:rsid w:val="00137595"/>
    <w:pPr>
      <w:spacing w:line="600" w:lineRule="exact"/>
    </w:pPr>
    <w:rPr>
      <w:rFonts w:ascii="EY Gothic Cond Medium" w:hAnsi="EY Gothic Cond Medium"/>
      <w:color w:val="FFFFFF"/>
      <w:sz w:val="56"/>
      <w:szCs w:val="56"/>
    </w:rPr>
  </w:style>
  <w:style w:type="paragraph" w:customStyle="1" w:styleId="COVERSUBSERVICELINE">
    <w:name w:val="COVER SUB SERVICE LINE"/>
    <w:basedOn w:val="COVERFLAG"/>
    <w:semiHidden/>
    <w:rsid w:val="00FB3785"/>
    <w:rPr>
      <w:color w:val="000000"/>
    </w:rPr>
  </w:style>
  <w:style w:type="paragraph" w:customStyle="1" w:styleId="tabletxthdital">
    <w:name w:val="tabletxt hdital"/>
    <w:basedOn w:val="Normal"/>
    <w:semiHidden/>
    <w:rsid w:val="0053706D"/>
    <w:pPr>
      <w:tabs>
        <w:tab w:val="decimal" w:pos="782"/>
      </w:tabs>
      <w:spacing w:before="20" w:line="200" w:lineRule="exact"/>
    </w:pPr>
    <w:rPr>
      <w:rFonts w:ascii="EY Gothic Comp BookPS" w:hAnsi="EY Gothic Comp BookPS"/>
      <w:i/>
    </w:rPr>
  </w:style>
  <w:style w:type="paragraph" w:customStyle="1" w:styleId="tabletxtsubtotal">
    <w:name w:val="tabletxt subtotal"/>
    <w:basedOn w:val="Normal"/>
    <w:semiHidden/>
    <w:rsid w:val="00183F5F"/>
    <w:pPr>
      <w:pBdr>
        <w:bottom w:val="single" w:sz="4" w:space="1" w:color="auto"/>
      </w:pBdr>
      <w:tabs>
        <w:tab w:val="decimal" w:pos="782"/>
      </w:tabs>
      <w:spacing w:line="200" w:lineRule="exact"/>
    </w:pPr>
    <w:rPr>
      <w:rFonts w:ascii="EY Gothic Comp BookPS" w:hAnsi="EY Gothic Comp BookPS"/>
    </w:rPr>
  </w:style>
  <w:style w:type="paragraph" w:customStyle="1" w:styleId="tabletxts">
    <w:name w:val="tabletxt #s"/>
    <w:basedOn w:val="Normal"/>
    <w:link w:val="tabletxtsChar"/>
    <w:semiHidden/>
    <w:rsid w:val="0059527D"/>
    <w:pPr>
      <w:tabs>
        <w:tab w:val="decimal" w:pos="778"/>
      </w:tabs>
      <w:spacing w:before="20" w:line="200" w:lineRule="exact"/>
    </w:pPr>
    <w:rPr>
      <w:rFonts w:ascii="EY Gothic Comp BookPS" w:hAnsi="EY Gothic Comp BookPS"/>
      <w:noProof/>
      <w:color w:val="000000"/>
    </w:rPr>
  </w:style>
  <w:style w:type="character" w:customStyle="1" w:styleId="tabletxtsChar">
    <w:name w:val="tabletxt #s Char"/>
    <w:basedOn w:val="DefaultParagraphFont"/>
    <w:link w:val="tabletxts"/>
    <w:rsid w:val="00771ADA"/>
    <w:rPr>
      <w:rFonts w:ascii="EY Gothic Comp BookPS" w:hAnsi="EY Gothic Comp BookPS"/>
      <w:noProof/>
      <w:color w:val="000000"/>
      <w:lang w:val="en-GB" w:eastAsia="en-US" w:bidi="ar-SA"/>
    </w:rPr>
  </w:style>
  <w:style w:type="paragraph" w:customStyle="1" w:styleId="whitetablehd">
    <w:name w:val="white tablehd"/>
    <w:basedOn w:val="whitesubhdital"/>
    <w:semiHidden/>
    <w:rsid w:val="0059527D"/>
    <w:pPr>
      <w:spacing w:before="20" w:line="200" w:lineRule="exact"/>
    </w:pPr>
    <w:rPr>
      <w:i w:val="0"/>
      <w:iCs w:val="0"/>
    </w:rPr>
  </w:style>
  <w:style w:type="paragraph" w:customStyle="1" w:styleId="tabletxtwhitetotal">
    <w:name w:val="tabletxt white total"/>
    <w:basedOn w:val="tabletxtbluetotal"/>
    <w:semiHidden/>
    <w:rsid w:val="00874A3E"/>
    <w:pPr>
      <w:pBdr>
        <w:bottom w:val="double" w:sz="4" w:space="1" w:color="FFFFFF"/>
      </w:pBdr>
      <w:tabs>
        <w:tab w:val="clear" w:pos="782"/>
        <w:tab w:val="decimal" w:pos="503"/>
      </w:tabs>
    </w:pPr>
    <w:rPr>
      <w:b w:val="0"/>
      <w:bCs/>
      <w:color w:val="FFFFFF"/>
    </w:rPr>
  </w:style>
  <w:style w:type="paragraph" w:customStyle="1" w:styleId="whitetabletxts">
    <w:name w:val="white tabletxt #s"/>
    <w:basedOn w:val="tabletxts"/>
    <w:semiHidden/>
    <w:rsid w:val="00A12682"/>
    <w:pPr>
      <w:tabs>
        <w:tab w:val="clear" w:pos="778"/>
        <w:tab w:val="decimal" w:pos="504"/>
      </w:tabs>
    </w:pPr>
    <w:rPr>
      <w:color w:val="FFFFFF"/>
    </w:rPr>
  </w:style>
  <w:style w:type="paragraph" w:customStyle="1" w:styleId="tabletxtin">
    <w:name w:val="tabletxtin"/>
    <w:basedOn w:val="tabletxtns"/>
    <w:link w:val="tabletxtinChar"/>
    <w:semiHidden/>
    <w:rsid w:val="00A12682"/>
    <w:pPr>
      <w:ind w:left="197" w:hanging="197"/>
    </w:pPr>
  </w:style>
  <w:style w:type="character" w:customStyle="1" w:styleId="tabletxtinChar">
    <w:name w:val="tabletxtin Char"/>
    <w:basedOn w:val="tabletxtnsChar"/>
    <w:link w:val="tabletxtin"/>
    <w:rsid w:val="00F4571E"/>
    <w:rPr>
      <w:rFonts w:ascii="EY Gothic Comp BookPS" w:hAnsi="EY Gothic Comp BookPS"/>
      <w:color w:val="000000"/>
      <w:lang w:val="en-GB" w:eastAsia="en-US" w:bidi="ar-SA"/>
    </w:rPr>
  </w:style>
  <w:style w:type="paragraph" w:customStyle="1" w:styleId="tabletxtssm">
    <w:name w:val="tabletxt #s sm"/>
    <w:basedOn w:val="tabletxts"/>
    <w:link w:val="tabletxtssmChar"/>
    <w:semiHidden/>
    <w:rsid w:val="00A12682"/>
    <w:pPr>
      <w:tabs>
        <w:tab w:val="clear" w:pos="778"/>
        <w:tab w:val="decimal" w:pos="504"/>
      </w:tabs>
    </w:pPr>
  </w:style>
  <w:style w:type="character" w:customStyle="1" w:styleId="tabletxtssmChar">
    <w:name w:val="tabletxt #s sm Char"/>
    <w:basedOn w:val="tabletxtsChar"/>
    <w:link w:val="tabletxtssm"/>
    <w:rsid w:val="00771ADA"/>
    <w:rPr>
      <w:rFonts w:ascii="EY Gothic Comp BookPS" w:hAnsi="EY Gothic Comp BookPS"/>
      <w:noProof/>
      <w:color w:val="000000"/>
      <w:lang w:val="en-GB" w:eastAsia="en-US" w:bidi="ar-SA"/>
    </w:rPr>
  </w:style>
  <w:style w:type="paragraph" w:customStyle="1" w:styleId="tabletxtsubtotalsm">
    <w:name w:val="tabletxt subtotal sm"/>
    <w:basedOn w:val="tabletxtsubtotal"/>
    <w:semiHidden/>
    <w:rsid w:val="00A12682"/>
    <w:pPr>
      <w:tabs>
        <w:tab w:val="clear" w:pos="782"/>
        <w:tab w:val="decimal" w:pos="504"/>
      </w:tabs>
    </w:pPr>
  </w:style>
  <w:style w:type="paragraph" w:customStyle="1" w:styleId="tabletxtin2">
    <w:name w:val="tabletxtin2"/>
    <w:basedOn w:val="tabletxtin"/>
    <w:link w:val="tabletxtin2Char"/>
    <w:semiHidden/>
    <w:rsid w:val="00050646"/>
    <w:pPr>
      <w:ind w:left="353"/>
    </w:pPr>
  </w:style>
  <w:style w:type="character" w:customStyle="1" w:styleId="tabletxtin2Char">
    <w:name w:val="tabletxtin2 Char"/>
    <w:basedOn w:val="tabletxtinChar"/>
    <w:link w:val="tabletxtin2"/>
    <w:rsid w:val="00F4571E"/>
    <w:rPr>
      <w:rFonts w:ascii="EY Gothic Comp BookPS" w:hAnsi="EY Gothic Comp BookPS"/>
      <w:color w:val="000000"/>
      <w:lang w:val="en-GB" w:eastAsia="en-US" w:bidi="ar-SA"/>
    </w:rPr>
  </w:style>
  <w:style w:type="paragraph" w:customStyle="1" w:styleId="smspace">
    <w:name w:val="smspace"/>
    <w:basedOn w:val="Chart"/>
    <w:semiHidden/>
    <w:rsid w:val="00BF097C"/>
    <w:pPr>
      <w:spacing w:line="120" w:lineRule="atLeast"/>
    </w:pPr>
    <w:rPr>
      <w:sz w:val="8"/>
      <w:szCs w:val="8"/>
    </w:rPr>
  </w:style>
  <w:style w:type="paragraph" w:customStyle="1" w:styleId="bluesubhead">
    <w:name w:val="blue subhead"/>
    <w:basedOn w:val="Normal"/>
    <w:semiHidden/>
    <w:rsid w:val="0092338A"/>
    <w:pPr>
      <w:spacing w:line="240" w:lineRule="exact"/>
    </w:pPr>
    <w:rPr>
      <w:rFonts w:ascii="EY Gothic Comp BookPS" w:hAnsi="EY Gothic Comp BookPS"/>
      <w:b/>
      <w:color w:val="000080"/>
    </w:rPr>
  </w:style>
  <w:style w:type="paragraph" w:customStyle="1" w:styleId="tabletxts9">
    <w:name w:val="tabletxt #s 9"/>
    <w:basedOn w:val="tabletxtssm"/>
    <w:link w:val="tabletxts9Char"/>
    <w:semiHidden/>
    <w:rsid w:val="00C27C6A"/>
    <w:pPr>
      <w:tabs>
        <w:tab w:val="clear" w:pos="504"/>
        <w:tab w:val="decimal" w:pos="691"/>
      </w:tabs>
    </w:pPr>
    <w:rPr>
      <w:szCs w:val="18"/>
    </w:rPr>
  </w:style>
  <w:style w:type="character" w:customStyle="1" w:styleId="tabletxts9Char">
    <w:name w:val="tabletxt #s 9 Char"/>
    <w:basedOn w:val="tabletxtssmChar"/>
    <w:link w:val="tabletxts9"/>
    <w:rsid w:val="00771ADA"/>
    <w:rPr>
      <w:rFonts w:ascii="EY Gothic Comp BookPS" w:hAnsi="EY Gothic Comp BookPS"/>
      <w:noProof/>
      <w:color w:val="000000"/>
      <w:sz w:val="18"/>
      <w:szCs w:val="18"/>
      <w:lang w:val="en-GB" w:eastAsia="en-US" w:bidi="ar-SA"/>
    </w:rPr>
  </w:style>
  <w:style w:type="paragraph" w:customStyle="1" w:styleId="tabletxtns9">
    <w:name w:val="tabletxtns 9"/>
    <w:basedOn w:val="tabletxtns"/>
    <w:semiHidden/>
    <w:rsid w:val="00C27C6A"/>
    <w:pPr>
      <w:spacing w:before="0" w:line="180" w:lineRule="exact"/>
      <w:ind w:left="173" w:hanging="173"/>
    </w:pPr>
    <w:rPr>
      <w:bCs/>
      <w:szCs w:val="18"/>
    </w:rPr>
  </w:style>
  <w:style w:type="paragraph" w:customStyle="1" w:styleId="tabletxthdital9">
    <w:name w:val="tabletxt hdital 9"/>
    <w:basedOn w:val="tabletxthdital"/>
    <w:semiHidden/>
    <w:rsid w:val="00C42586"/>
    <w:pPr>
      <w:tabs>
        <w:tab w:val="clear" w:pos="782"/>
      </w:tabs>
      <w:spacing w:line="180" w:lineRule="exact"/>
      <w:jc w:val="center"/>
    </w:pPr>
    <w:rPr>
      <w:szCs w:val="18"/>
    </w:rPr>
  </w:style>
  <w:style w:type="paragraph" w:customStyle="1" w:styleId="tabletxtsubtotal9">
    <w:name w:val="tabletxt subtotal 9"/>
    <w:basedOn w:val="tabletxtsubtotalsm"/>
    <w:semiHidden/>
    <w:rsid w:val="00C42586"/>
    <w:pPr>
      <w:tabs>
        <w:tab w:val="clear" w:pos="504"/>
        <w:tab w:val="decimal" w:pos="691"/>
      </w:tabs>
      <w:spacing w:line="180" w:lineRule="exact"/>
    </w:pPr>
    <w:rPr>
      <w:szCs w:val="18"/>
    </w:rPr>
  </w:style>
  <w:style w:type="paragraph" w:customStyle="1" w:styleId="tabletxtbluetotal9">
    <w:name w:val="tabletxt blue total 9"/>
    <w:basedOn w:val="tabletxtbluetotal"/>
    <w:semiHidden/>
    <w:rsid w:val="00C42586"/>
    <w:pPr>
      <w:tabs>
        <w:tab w:val="clear" w:pos="782"/>
        <w:tab w:val="decimal" w:pos="690"/>
      </w:tabs>
      <w:spacing w:line="180" w:lineRule="exact"/>
    </w:pPr>
    <w:rPr>
      <w:szCs w:val="18"/>
    </w:rPr>
  </w:style>
  <w:style w:type="paragraph" w:customStyle="1" w:styleId="tabletxthd9">
    <w:name w:val="tabletxthd 9"/>
    <w:basedOn w:val="tabletxthd"/>
    <w:link w:val="tabletxthd9Char"/>
    <w:semiHidden/>
    <w:rsid w:val="00C27C6A"/>
    <w:pPr>
      <w:spacing w:line="180" w:lineRule="exact"/>
    </w:pPr>
    <w:rPr>
      <w:szCs w:val="18"/>
    </w:rPr>
  </w:style>
  <w:style w:type="character" w:customStyle="1" w:styleId="tabletxthd9Char">
    <w:name w:val="tabletxthd 9 Char"/>
    <w:basedOn w:val="tabletxthdChar"/>
    <w:link w:val="tabletxthd9"/>
    <w:rsid w:val="00C27C6A"/>
    <w:rPr>
      <w:rFonts w:ascii="EY Gothic Comp BookPS" w:hAnsi="EY Gothic Comp BookPS"/>
      <w:b/>
      <w:bCs/>
      <w:noProof/>
      <w:color w:val="000000"/>
      <w:sz w:val="18"/>
      <w:szCs w:val="18"/>
      <w:lang w:val="en-GB" w:eastAsia="en-US" w:bidi="ar-SA"/>
    </w:rPr>
  </w:style>
  <w:style w:type="paragraph" w:customStyle="1" w:styleId="dsubhd">
    <w:name w:val="#d subhd"/>
    <w:basedOn w:val="tabletxthd"/>
    <w:semiHidden/>
    <w:rsid w:val="000E3CBD"/>
    <w:pPr>
      <w:ind w:left="360" w:hanging="360"/>
    </w:pPr>
  </w:style>
  <w:style w:type="paragraph" w:customStyle="1" w:styleId="tabletxteyg2af">
    <w:name w:val="tabletxt eyg 2af"/>
    <w:basedOn w:val="tabletxteyg"/>
    <w:semiHidden/>
    <w:rsid w:val="00212B7A"/>
  </w:style>
  <w:style w:type="paragraph" w:customStyle="1" w:styleId="tabletxtsubtotallg">
    <w:name w:val="tabletxt subtotal lg"/>
    <w:basedOn w:val="tabletxtsubtotal"/>
    <w:semiHidden/>
    <w:rsid w:val="00A643BC"/>
    <w:pPr>
      <w:tabs>
        <w:tab w:val="clear" w:pos="782"/>
        <w:tab w:val="decimal" w:pos="1094"/>
      </w:tabs>
    </w:pPr>
  </w:style>
  <w:style w:type="paragraph" w:customStyle="1" w:styleId="indextocref">
    <w:name w:val="index tocref"/>
    <w:basedOn w:val="TOC1"/>
    <w:semiHidden/>
    <w:rsid w:val="00506C30"/>
    <w:pPr>
      <w:tabs>
        <w:tab w:val="right" w:leader="dot" w:pos="2700"/>
      </w:tabs>
      <w:spacing w:line="200" w:lineRule="atLeast"/>
    </w:pPr>
    <w:rPr>
      <w:szCs w:val="18"/>
    </w:rPr>
  </w:style>
  <w:style w:type="paragraph" w:customStyle="1" w:styleId="indexhd">
    <w:name w:val="index hd"/>
    <w:basedOn w:val="heading"/>
    <w:semiHidden/>
    <w:rsid w:val="00827BB5"/>
    <w:pPr>
      <w:spacing w:before="60"/>
      <w:jc w:val="center"/>
      <w:outlineLvl w:val="9"/>
    </w:pPr>
  </w:style>
  <w:style w:type="paragraph" w:customStyle="1" w:styleId="tocstyle">
    <w:name w:val="tocstyle"/>
    <w:basedOn w:val="heading"/>
    <w:link w:val="tocstyleChar"/>
    <w:semiHidden/>
    <w:rsid w:val="004D6B27"/>
    <w:pPr>
      <w:tabs>
        <w:tab w:val="right" w:leader="dot" w:pos="9720"/>
      </w:tabs>
      <w:ind w:left="360" w:hanging="360"/>
    </w:pPr>
    <w:rPr>
      <w:b w:val="0"/>
      <w:bCs/>
      <w:i/>
      <w:iCs/>
      <w:noProof/>
    </w:rPr>
  </w:style>
  <w:style w:type="character" w:customStyle="1" w:styleId="tocstyleChar">
    <w:name w:val="tocstyle Char"/>
    <w:basedOn w:val="headingChar"/>
    <w:link w:val="tocstyle"/>
    <w:rsid w:val="004D6B27"/>
    <w:rPr>
      <w:rFonts w:ascii="EY Gothic Cond MedPS" w:hAnsi="EY Gothic Cond MedPS"/>
      <w:b/>
      <w:bCs/>
      <w:iCs/>
      <w:noProof/>
      <w:sz w:val="28"/>
      <w:lang w:val="en-GB" w:eastAsia="en-US" w:bidi="ar-SA"/>
    </w:rPr>
  </w:style>
  <w:style w:type="paragraph" w:customStyle="1" w:styleId="tocstyle2">
    <w:name w:val="tocstyle2"/>
    <w:basedOn w:val="tocstyle"/>
    <w:semiHidden/>
    <w:rsid w:val="0014727A"/>
    <w:pPr>
      <w:spacing w:before="40" w:after="40"/>
      <w:ind w:left="907" w:hanging="547"/>
    </w:pPr>
  </w:style>
  <w:style w:type="paragraph" w:customStyle="1" w:styleId="NotestabletextIASnumbers">
    <w:name w:val="Notes table text_IAS numbers"/>
    <w:basedOn w:val="Normal"/>
    <w:link w:val="NotestabletextIASnumbersChar"/>
    <w:semiHidden/>
    <w:rsid w:val="0044487F"/>
    <w:pPr>
      <w:spacing w:before="20"/>
      <w:ind w:right="-110"/>
    </w:pPr>
    <w:rPr>
      <w:rFonts w:ascii="EY Gothic Comp BookPS" w:hAnsi="EY Gothic Comp BookPS"/>
      <w:i/>
      <w:color w:val="000000"/>
      <w:sz w:val="16"/>
      <w:szCs w:val="14"/>
      <w:lang w:val="fr-FR"/>
    </w:rPr>
  </w:style>
  <w:style w:type="character" w:customStyle="1" w:styleId="NotestabletextIASnumbersChar">
    <w:name w:val="Notes table text_IAS numbers Char"/>
    <w:basedOn w:val="DefaultParagraphFont"/>
    <w:link w:val="NotestabletextIASnumbers"/>
    <w:rsid w:val="0044487F"/>
    <w:rPr>
      <w:rFonts w:ascii="EY Gothic Comp BookPS" w:hAnsi="EY Gothic Comp BookPS"/>
      <w:i/>
      <w:color w:val="000000"/>
      <w:sz w:val="16"/>
      <w:szCs w:val="14"/>
      <w:lang w:val="fr-FR" w:eastAsia="en-US" w:bidi="ar-SA"/>
    </w:rPr>
  </w:style>
  <w:style w:type="paragraph" w:customStyle="1" w:styleId="Continuedtext">
    <w:name w:val="Continued text"/>
    <w:basedOn w:val="Normal"/>
    <w:link w:val="ContinuedtextChar"/>
    <w:semiHidden/>
    <w:rsid w:val="0044487F"/>
    <w:pPr>
      <w:keepNext/>
      <w:spacing w:before="120" w:after="60" w:line="240" w:lineRule="exact"/>
      <w:ind w:left="360" w:hanging="360"/>
    </w:pPr>
    <w:rPr>
      <w:rFonts w:ascii="EY Gothic Comp BookPS" w:hAnsi="EY Gothic Comp BookPS"/>
      <w:color w:val="000000"/>
    </w:rPr>
  </w:style>
  <w:style w:type="character" w:customStyle="1" w:styleId="ContinuedtextChar">
    <w:name w:val="Continued text Char"/>
    <w:basedOn w:val="DefaultParagraphFont"/>
    <w:link w:val="Continuedtext"/>
    <w:rsid w:val="0044487F"/>
    <w:rPr>
      <w:rFonts w:ascii="EY Gothic Comp BookPS" w:hAnsi="EY Gothic Comp BookPS"/>
      <w:color w:val="000000"/>
      <w:lang w:val="en-GB" w:eastAsia="en-US" w:bidi="ar-SA"/>
    </w:rPr>
  </w:style>
  <w:style w:type="paragraph" w:customStyle="1" w:styleId="000Normal">
    <w:name w:val="000 Normal"/>
    <w:basedOn w:val="Normal"/>
    <w:link w:val="000NormalChar"/>
    <w:semiHidden/>
    <w:rsid w:val="00DB173F"/>
    <w:pPr>
      <w:spacing w:before="60" w:after="40"/>
      <w:jc w:val="both"/>
    </w:pPr>
    <w:rPr>
      <w:rFonts w:ascii="Garamond" w:hAnsi="Garamond"/>
    </w:rPr>
  </w:style>
  <w:style w:type="character" w:customStyle="1" w:styleId="000NormalChar">
    <w:name w:val="000 Normal Char"/>
    <w:basedOn w:val="DefaultParagraphFont"/>
    <w:link w:val="000Normal"/>
    <w:rsid w:val="00814E90"/>
    <w:rPr>
      <w:rFonts w:ascii="Garamond" w:hAnsi="Garamond"/>
      <w:sz w:val="18"/>
      <w:lang w:val="en-GB" w:eastAsia="en-US" w:bidi="ar-SA"/>
    </w:rPr>
  </w:style>
  <w:style w:type="paragraph" w:styleId="Index2">
    <w:name w:val="index 2"/>
    <w:basedOn w:val="Normal"/>
    <w:next w:val="Normal"/>
    <w:autoRedefine/>
    <w:semiHidden/>
    <w:rsid w:val="00500938"/>
    <w:pPr>
      <w:ind w:left="400" w:hanging="200"/>
    </w:pPr>
    <w:rPr>
      <w:szCs w:val="18"/>
    </w:rPr>
  </w:style>
  <w:style w:type="paragraph" w:styleId="Index1">
    <w:name w:val="index 1"/>
    <w:basedOn w:val="Normal"/>
    <w:next w:val="Normal"/>
    <w:autoRedefine/>
    <w:semiHidden/>
    <w:rsid w:val="00500938"/>
    <w:pPr>
      <w:ind w:left="200" w:hanging="200"/>
    </w:pPr>
    <w:rPr>
      <w:szCs w:val="18"/>
    </w:rPr>
  </w:style>
  <w:style w:type="paragraph" w:styleId="Index3">
    <w:name w:val="index 3"/>
    <w:basedOn w:val="Normal"/>
    <w:next w:val="Normal"/>
    <w:autoRedefine/>
    <w:semiHidden/>
    <w:rsid w:val="00500938"/>
    <w:pPr>
      <w:ind w:left="600" w:hanging="200"/>
    </w:pPr>
    <w:rPr>
      <w:szCs w:val="18"/>
    </w:rPr>
  </w:style>
  <w:style w:type="paragraph" w:styleId="Index4">
    <w:name w:val="index 4"/>
    <w:basedOn w:val="Normal"/>
    <w:next w:val="Normal"/>
    <w:autoRedefine/>
    <w:semiHidden/>
    <w:rsid w:val="00500938"/>
    <w:pPr>
      <w:ind w:left="800" w:hanging="200"/>
    </w:pPr>
    <w:rPr>
      <w:szCs w:val="18"/>
    </w:rPr>
  </w:style>
  <w:style w:type="paragraph" w:styleId="Index5">
    <w:name w:val="index 5"/>
    <w:basedOn w:val="Normal"/>
    <w:next w:val="Normal"/>
    <w:autoRedefine/>
    <w:semiHidden/>
    <w:rsid w:val="00500938"/>
    <w:pPr>
      <w:ind w:left="1000" w:hanging="200"/>
    </w:pPr>
    <w:rPr>
      <w:szCs w:val="18"/>
    </w:rPr>
  </w:style>
  <w:style w:type="paragraph" w:styleId="Index6">
    <w:name w:val="index 6"/>
    <w:basedOn w:val="Normal"/>
    <w:next w:val="Normal"/>
    <w:autoRedefine/>
    <w:semiHidden/>
    <w:rsid w:val="00500938"/>
    <w:pPr>
      <w:ind w:left="1200" w:hanging="200"/>
    </w:pPr>
    <w:rPr>
      <w:szCs w:val="18"/>
    </w:rPr>
  </w:style>
  <w:style w:type="paragraph" w:styleId="Index7">
    <w:name w:val="index 7"/>
    <w:basedOn w:val="Normal"/>
    <w:next w:val="Normal"/>
    <w:autoRedefine/>
    <w:semiHidden/>
    <w:rsid w:val="00500938"/>
    <w:pPr>
      <w:ind w:left="1400" w:hanging="200"/>
    </w:pPr>
    <w:rPr>
      <w:szCs w:val="18"/>
    </w:rPr>
  </w:style>
  <w:style w:type="paragraph" w:styleId="Index8">
    <w:name w:val="index 8"/>
    <w:basedOn w:val="Normal"/>
    <w:next w:val="Normal"/>
    <w:autoRedefine/>
    <w:semiHidden/>
    <w:rsid w:val="00500938"/>
    <w:pPr>
      <w:ind w:left="1600" w:hanging="200"/>
    </w:pPr>
    <w:rPr>
      <w:szCs w:val="18"/>
    </w:rPr>
  </w:style>
  <w:style w:type="paragraph" w:styleId="Index9">
    <w:name w:val="index 9"/>
    <w:basedOn w:val="Normal"/>
    <w:next w:val="Normal"/>
    <w:autoRedefine/>
    <w:semiHidden/>
    <w:rsid w:val="00500938"/>
    <w:pPr>
      <w:ind w:left="1800" w:hanging="200"/>
    </w:pPr>
    <w:rPr>
      <w:szCs w:val="18"/>
    </w:rPr>
  </w:style>
  <w:style w:type="paragraph" w:styleId="IndexHeading">
    <w:name w:val="index heading"/>
    <w:basedOn w:val="Normal"/>
    <w:next w:val="Index1"/>
    <w:semiHidden/>
    <w:rsid w:val="00500938"/>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Indextext">
    <w:name w:val="Index text"/>
    <w:basedOn w:val="TOC1"/>
    <w:semiHidden/>
    <w:rsid w:val="004B4414"/>
    <w:pPr>
      <w:spacing w:before="40" w:after="40"/>
    </w:pPr>
  </w:style>
  <w:style w:type="paragraph" w:customStyle="1" w:styleId="Indexheaders">
    <w:name w:val="Index headers"/>
    <w:basedOn w:val="Indextext"/>
    <w:semiHidden/>
    <w:rsid w:val="004B4414"/>
    <w:pPr>
      <w:pBdr>
        <w:top w:val="single" w:sz="8" w:space="1" w:color="000080"/>
        <w:bottom w:val="single" w:sz="8" w:space="1" w:color="000080"/>
      </w:pBdr>
      <w:spacing w:line="280" w:lineRule="exact"/>
      <w:jc w:val="center"/>
    </w:pPr>
    <w:rPr>
      <w:rFonts w:ascii="EY Gothic Cond MedPS" w:hAnsi="EY Gothic Cond MedPS"/>
      <w:color w:val="000080"/>
      <w:sz w:val="24"/>
      <w:szCs w:val="24"/>
    </w:rPr>
  </w:style>
  <w:style w:type="paragraph" w:customStyle="1" w:styleId="Spacingcell">
    <w:name w:val="Spacing cell"/>
    <w:basedOn w:val="Indextext"/>
    <w:semiHidden/>
    <w:rsid w:val="00B7337B"/>
    <w:pPr>
      <w:spacing w:before="0" w:after="0" w:line="100" w:lineRule="exact"/>
    </w:pPr>
    <w:rPr>
      <w:sz w:val="10"/>
      <w:szCs w:val="10"/>
    </w:rPr>
  </w:style>
  <w:style w:type="paragraph" w:customStyle="1" w:styleId="220Tablejustified">
    <w:name w:val="220 Table justified"/>
    <w:basedOn w:val="Normal"/>
    <w:semiHidden/>
    <w:rsid w:val="0099019B"/>
    <w:pPr>
      <w:spacing w:before="20" w:line="200" w:lineRule="exact"/>
      <w:jc w:val="both"/>
    </w:pPr>
    <w:rPr>
      <w:rFonts w:ascii="Garamond" w:hAnsi="Garamond"/>
    </w:rPr>
  </w:style>
  <w:style w:type="paragraph" w:customStyle="1" w:styleId="StylebodyCondensedby01pt">
    <w:name w:val="Style body + Condensed by  0.1 pt"/>
    <w:basedOn w:val="body"/>
    <w:link w:val="StylebodyCondensedby01ptChar"/>
    <w:semiHidden/>
    <w:rsid w:val="00EA634F"/>
  </w:style>
  <w:style w:type="character" w:customStyle="1" w:styleId="StylebodyCondensedby01ptChar">
    <w:name w:val="Style body + Condensed by  0.1 pt Char"/>
    <w:basedOn w:val="bodyChar"/>
    <w:link w:val="StylebodyCondensedby01pt"/>
    <w:rsid w:val="00EA634F"/>
    <w:rPr>
      <w:rFonts w:ascii="TimesNewRomanPS" w:hAnsi="TimesNewRomanPS"/>
      <w:color w:val="000000"/>
      <w:lang w:val="en-GB" w:eastAsia="en-US" w:bidi="ar-SA"/>
    </w:rPr>
  </w:style>
  <w:style w:type="paragraph" w:customStyle="1" w:styleId="Styleindent3After6pt">
    <w:name w:val="Style indent3 + After:  6 pt"/>
    <w:basedOn w:val="Normal"/>
    <w:semiHidden/>
    <w:rsid w:val="00A44A53"/>
    <w:pPr>
      <w:spacing w:after="120"/>
    </w:pPr>
  </w:style>
  <w:style w:type="paragraph" w:customStyle="1" w:styleId="Tableheading1">
    <w:name w:val="Table heading 1"/>
    <w:basedOn w:val="Heading10"/>
    <w:autoRedefine/>
    <w:rsid w:val="00DD21B6"/>
    <w:pPr>
      <w:spacing w:after="0"/>
    </w:pPr>
  </w:style>
  <w:style w:type="paragraph" w:customStyle="1" w:styleId="IAStext">
    <w:name w:val="IAS text"/>
    <w:next w:val="Normal"/>
    <w:link w:val="IAStextChar"/>
    <w:rsid w:val="0064353F"/>
    <w:pPr>
      <w:spacing w:line="180" w:lineRule="exact"/>
    </w:pPr>
    <w:rPr>
      <w:rFonts w:ascii="EYInterstate Light" w:hAnsi="EYInterstate Light"/>
      <w:i/>
      <w:sz w:val="13"/>
      <w:lang w:eastAsia="en-US"/>
    </w:rPr>
  </w:style>
  <w:style w:type="character" w:customStyle="1" w:styleId="IAStextChar">
    <w:name w:val="IAS text Char"/>
    <w:basedOn w:val="tabletextChar"/>
    <w:link w:val="IAStext"/>
    <w:rsid w:val="0064353F"/>
    <w:rPr>
      <w:rFonts w:ascii="EYInterstate Light" w:hAnsi="EYInterstate Light"/>
      <w:i/>
      <w:sz w:val="13"/>
      <w:lang w:val="en-GB" w:eastAsia="en-US" w:bidi="ar-SA"/>
    </w:rPr>
  </w:style>
  <w:style w:type="paragraph" w:customStyle="1" w:styleId="Commentarybody">
    <w:name w:val="Commentary body"/>
    <w:link w:val="CommentarybodyChar"/>
    <w:rsid w:val="00AB328F"/>
    <w:pPr>
      <w:spacing w:after="60" w:line="220" w:lineRule="exact"/>
      <w:ind w:right="454"/>
    </w:pPr>
    <w:rPr>
      <w:rFonts w:ascii="EYInterstate Light" w:hAnsi="EYInterstate Light" w:cs="Arial"/>
      <w:color w:val="000000"/>
      <w:sz w:val="16"/>
      <w:lang w:eastAsia="en-US"/>
    </w:rPr>
  </w:style>
  <w:style w:type="character" w:customStyle="1" w:styleId="CommentarybodyChar">
    <w:name w:val="Commentary body Char"/>
    <w:basedOn w:val="BodytextChar"/>
    <w:link w:val="Commentarybody"/>
    <w:rsid w:val="00AB328F"/>
    <w:rPr>
      <w:rFonts w:ascii="EYInterstate Light" w:hAnsi="EYInterstate Light" w:cs="Arial"/>
      <w:color w:val="000000"/>
      <w:sz w:val="16"/>
      <w:lang w:val="en-GB" w:eastAsia="en-US" w:bidi="ar-SA"/>
    </w:rPr>
  </w:style>
  <w:style w:type="character" w:styleId="EndnoteReference">
    <w:name w:val="endnote reference"/>
    <w:basedOn w:val="DefaultParagraphFont"/>
    <w:semiHidden/>
    <w:rsid w:val="003041EE"/>
    <w:rPr>
      <w:position w:val="10"/>
      <w:sz w:val="12"/>
    </w:rPr>
  </w:style>
  <w:style w:type="paragraph" w:styleId="EndnoteText">
    <w:name w:val="endnote text"/>
    <w:basedOn w:val="000Normal"/>
    <w:link w:val="EndnoteTextChar"/>
    <w:semiHidden/>
    <w:rsid w:val="003041EE"/>
    <w:pPr>
      <w:tabs>
        <w:tab w:val="right" w:pos="284"/>
      </w:tabs>
      <w:spacing w:before="0" w:after="0" w:line="200" w:lineRule="exact"/>
      <w:ind w:left="357" w:hanging="357"/>
    </w:pPr>
    <w:rPr>
      <w:rFonts w:ascii="Caslon540 BT" w:hAnsi="Caslon540 BT"/>
    </w:rPr>
  </w:style>
  <w:style w:type="character" w:customStyle="1" w:styleId="EndnoteTextChar">
    <w:name w:val="Endnote Text Char"/>
    <w:basedOn w:val="000NormalChar"/>
    <w:link w:val="EndnoteText"/>
    <w:rsid w:val="003041EE"/>
    <w:rPr>
      <w:rFonts w:ascii="Caslon540 BT" w:hAnsi="Caslon540 BT"/>
      <w:sz w:val="18"/>
      <w:lang w:val="en-GB" w:eastAsia="en-US" w:bidi="ar-SA"/>
    </w:rPr>
  </w:style>
  <w:style w:type="paragraph" w:styleId="CommentText">
    <w:name w:val="annotation text"/>
    <w:basedOn w:val="Normal"/>
    <w:link w:val="CommentTextChar"/>
    <w:uiPriority w:val="99"/>
    <w:rsid w:val="00330FE4"/>
    <w:rPr>
      <w:rFonts w:ascii="Times New Roman" w:hAnsi="Times New Roman"/>
      <w:sz w:val="20"/>
      <w:lang w:val="en-US"/>
    </w:rPr>
  </w:style>
  <w:style w:type="paragraph" w:customStyle="1" w:styleId="Indexlistheading">
    <w:name w:val="Index list heading"/>
    <w:basedOn w:val="Notesitalicheading"/>
    <w:rsid w:val="001103BF"/>
    <w:pPr>
      <w:tabs>
        <w:tab w:val="right" w:pos="2694"/>
      </w:tabs>
      <w:spacing w:after="60"/>
    </w:pPr>
    <w:rPr>
      <w:rFonts w:ascii="EYInterstate" w:hAnsi="EYInterstate"/>
      <w:i w:val="0"/>
      <w:szCs w:val="16"/>
    </w:rPr>
  </w:style>
  <w:style w:type="paragraph" w:customStyle="1" w:styleId="Default">
    <w:name w:val="Default"/>
    <w:rsid w:val="00A73EC5"/>
    <w:pPr>
      <w:autoSpaceDE w:val="0"/>
      <w:autoSpaceDN w:val="0"/>
      <w:adjustRightInd w:val="0"/>
    </w:pPr>
    <w:rPr>
      <w:rFonts w:ascii="Univers LT 45 Light" w:hAnsi="Univers LT 45 Light" w:cs="Univers LT 45 Light"/>
      <w:color w:val="000000"/>
      <w:sz w:val="24"/>
      <w:szCs w:val="24"/>
      <w:lang w:val="ru-RU" w:eastAsia="ru-RU"/>
    </w:rPr>
  </w:style>
  <w:style w:type="paragraph" w:customStyle="1" w:styleId="Indexlist">
    <w:name w:val="Index list"/>
    <w:basedOn w:val="Notesbodytext"/>
    <w:rsid w:val="00037DC9"/>
    <w:pPr>
      <w:spacing w:after="0"/>
    </w:pPr>
  </w:style>
  <w:style w:type="paragraph" w:customStyle="1" w:styleId="Appendixtabletext">
    <w:name w:val="Appendix table text"/>
    <w:basedOn w:val="tabletext"/>
    <w:rsid w:val="00AA6285"/>
    <w:pPr>
      <w:spacing w:before="60" w:line="140" w:lineRule="exact"/>
      <w:jc w:val="right"/>
    </w:pPr>
    <w:rPr>
      <w:sz w:val="13"/>
    </w:rPr>
  </w:style>
  <w:style w:type="character" w:styleId="CommentReference">
    <w:name w:val="annotation reference"/>
    <w:basedOn w:val="DefaultParagraphFont"/>
    <w:uiPriority w:val="99"/>
    <w:rsid w:val="007169B5"/>
    <w:rPr>
      <w:sz w:val="16"/>
      <w:szCs w:val="16"/>
    </w:rPr>
  </w:style>
  <w:style w:type="paragraph" w:customStyle="1" w:styleId="Tablecolumnheading">
    <w:name w:val="Table column heading"/>
    <w:next w:val="tabletext"/>
    <w:rsid w:val="00D40976"/>
    <w:pPr>
      <w:overflowPunct w:val="0"/>
      <w:autoSpaceDE w:val="0"/>
      <w:autoSpaceDN w:val="0"/>
      <w:adjustRightInd w:val="0"/>
      <w:spacing w:line="220" w:lineRule="exact"/>
      <w:jc w:val="right"/>
      <w:textAlignment w:val="baseline"/>
    </w:pPr>
    <w:rPr>
      <w:rFonts w:ascii="EYInterstate" w:hAnsi="EYInterstate" w:cs="Arial"/>
      <w:b/>
      <w:color w:val="000000"/>
      <w:sz w:val="18"/>
      <w:szCs w:val="18"/>
      <w:lang w:eastAsia="en-US"/>
    </w:rPr>
  </w:style>
  <w:style w:type="paragraph" w:customStyle="1" w:styleId="Tableheading2">
    <w:name w:val="Table heading 2"/>
    <w:rsid w:val="00637EC6"/>
    <w:rPr>
      <w:rFonts w:ascii="EYInterstate" w:hAnsi="EYInterstate" w:cs="Arial"/>
      <w:b/>
      <w:bCs/>
      <w:noProof/>
      <w:sz w:val="22"/>
      <w:szCs w:val="26"/>
      <w:lang w:eastAsia="en-US"/>
    </w:rPr>
  </w:style>
  <w:style w:type="paragraph" w:customStyle="1" w:styleId="Notesbulletpoint">
    <w:name w:val="Notes bullet point"/>
    <w:basedOn w:val="Notesbodytext"/>
    <w:link w:val="NotesbulletpointChar"/>
    <w:rsid w:val="00FB5D68"/>
    <w:pPr>
      <w:numPr>
        <w:numId w:val="3"/>
      </w:numPr>
      <w:spacing w:after="60"/>
    </w:pPr>
  </w:style>
  <w:style w:type="character" w:customStyle="1" w:styleId="NotesbulletpointChar">
    <w:name w:val="Notes bullet point Char"/>
    <w:basedOn w:val="DefaultParagraphFont"/>
    <w:link w:val="Notesbulletpoint"/>
    <w:rsid w:val="00FB5D68"/>
    <w:rPr>
      <w:rFonts w:ascii="EYInterstate Light" w:hAnsi="EYInterstate Light" w:cs="Arial"/>
      <w:color w:val="000000"/>
      <w:sz w:val="18"/>
      <w:lang w:val="en-IN" w:eastAsia="en-US"/>
    </w:rPr>
  </w:style>
  <w:style w:type="paragraph" w:customStyle="1" w:styleId="tablebullet0">
    <w:name w:val="table bullet"/>
    <w:basedOn w:val="Normal"/>
    <w:rsid w:val="00717D2F"/>
    <w:pPr>
      <w:tabs>
        <w:tab w:val="num" w:pos="1088"/>
      </w:tabs>
      <w:ind w:left="1088" w:hanging="425"/>
    </w:pPr>
  </w:style>
  <w:style w:type="paragraph" w:styleId="CommentSubject">
    <w:name w:val="annotation subject"/>
    <w:basedOn w:val="CommentText"/>
    <w:next w:val="CommentText"/>
    <w:link w:val="CommentSubjectChar"/>
    <w:semiHidden/>
    <w:rsid w:val="002023A7"/>
    <w:rPr>
      <w:rFonts w:ascii="EYInterstate Light" w:hAnsi="EYInterstate Light"/>
      <w:b/>
      <w:bCs/>
      <w:lang w:val="en-GB"/>
    </w:rPr>
  </w:style>
  <w:style w:type="paragraph" w:styleId="Caption">
    <w:name w:val="caption"/>
    <w:basedOn w:val="Normal"/>
    <w:next w:val="Normal"/>
    <w:qFormat/>
    <w:rsid w:val="004C2A42"/>
    <w:rPr>
      <w:b/>
      <w:bCs/>
      <w:sz w:val="20"/>
    </w:rPr>
  </w:style>
  <w:style w:type="paragraph" w:customStyle="1" w:styleId="Commentaryheading">
    <w:name w:val="Commentary heading"/>
    <w:basedOn w:val="Heading4"/>
    <w:rsid w:val="00A32103"/>
    <w:pPr>
      <w:spacing w:before="120" w:after="0"/>
      <w:ind w:left="680" w:hanging="680"/>
    </w:pPr>
  </w:style>
  <w:style w:type="paragraph" w:styleId="Revision">
    <w:name w:val="Revision"/>
    <w:hidden/>
    <w:uiPriority w:val="99"/>
    <w:semiHidden/>
    <w:rsid w:val="00B64420"/>
    <w:rPr>
      <w:rFonts w:ascii="EYInterstate Light" w:hAnsi="EYInterstate Light"/>
      <w:sz w:val="18"/>
      <w:lang w:eastAsia="en-US"/>
    </w:rPr>
  </w:style>
  <w:style w:type="character" w:customStyle="1" w:styleId="Heading4Char1">
    <w:name w:val="Heading 4 Char1"/>
    <w:basedOn w:val="DefaultParagraphFont"/>
    <w:rsid w:val="00441998"/>
    <w:rPr>
      <w:rFonts w:ascii="EYInterstate" w:hAnsi="EYInterstate"/>
      <w:b/>
      <w:bCs/>
      <w:szCs w:val="28"/>
      <w:lang w:val="en-GB" w:eastAsia="en-US" w:bidi="ar-SA"/>
    </w:rPr>
  </w:style>
  <w:style w:type="paragraph" w:styleId="DocumentMap">
    <w:name w:val="Document Map"/>
    <w:basedOn w:val="Normal"/>
    <w:link w:val="DocumentMapChar"/>
    <w:rsid w:val="00B3021C"/>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B3021C"/>
    <w:rPr>
      <w:rFonts w:ascii="Tahoma" w:hAnsi="Tahoma" w:cs="Tahoma"/>
      <w:sz w:val="16"/>
      <w:szCs w:val="16"/>
      <w:lang w:eastAsia="en-US"/>
    </w:rPr>
  </w:style>
  <w:style w:type="character" w:customStyle="1" w:styleId="Heading5Char">
    <w:name w:val="Heading 5 Char"/>
    <w:basedOn w:val="DefaultParagraphFont"/>
    <w:link w:val="Heading5"/>
    <w:rsid w:val="00ED101C"/>
    <w:rPr>
      <w:rFonts w:ascii="EYInterstate" w:hAnsi="EYInterstate"/>
      <w:b/>
      <w:bCs/>
      <w:iCs/>
      <w:sz w:val="18"/>
      <w:szCs w:val="26"/>
      <w:lang w:eastAsia="en-US"/>
    </w:rPr>
  </w:style>
  <w:style w:type="character" w:customStyle="1" w:styleId="Heading1Char">
    <w:name w:val="Heading 1 Char"/>
    <w:basedOn w:val="DefaultParagraphFont"/>
    <w:link w:val="Heading10"/>
    <w:rsid w:val="007F44E1"/>
    <w:rPr>
      <w:rFonts w:ascii="EYInterstate" w:hAnsi="EYInterstate"/>
      <w:b/>
      <w:color w:val="808080"/>
      <w:kern w:val="28"/>
      <w:sz w:val="32"/>
      <w:lang w:eastAsia="en-US"/>
    </w:rPr>
  </w:style>
  <w:style w:type="character" w:customStyle="1" w:styleId="Heading3Char">
    <w:name w:val="Heading 3 Char"/>
    <w:basedOn w:val="DefaultParagraphFont"/>
    <w:link w:val="Heading3"/>
    <w:rsid w:val="007F44E1"/>
    <w:rPr>
      <w:rFonts w:ascii="EYInterstate" w:hAnsi="EYInterstate" w:cs="Arial"/>
      <w:b/>
      <w:bCs/>
      <w:sz w:val="24"/>
      <w:szCs w:val="26"/>
      <w:lang w:eastAsia="en-US"/>
    </w:rPr>
  </w:style>
  <w:style w:type="character" w:customStyle="1" w:styleId="Heading6Char">
    <w:name w:val="Heading 6 Char"/>
    <w:basedOn w:val="DefaultParagraphFont"/>
    <w:link w:val="Heading6"/>
    <w:rsid w:val="007F44E1"/>
    <w:rPr>
      <w:b/>
      <w:bCs/>
      <w:sz w:val="22"/>
      <w:szCs w:val="22"/>
      <w:lang w:eastAsia="en-US"/>
    </w:rPr>
  </w:style>
  <w:style w:type="character" w:customStyle="1" w:styleId="Heading7Char">
    <w:name w:val="Heading 7 Char"/>
    <w:basedOn w:val="DefaultParagraphFont"/>
    <w:link w:val="Heading7"/>
    <w:rsid w:val="007F44E1"/>
    <w:rPr>
      <w:sz w:val="24"/>
      <w:szCs w:val="24"/>
      <w:lang w:eastAsia="en-US"/>
    </w:rPr>
  </w:style>
  <w:style w:type="character" w:customStyle="1" w:styleId="HeaderChar">
    <w:name w:val="Header Char"/>
    <w:basedOn w:val="DefaultParagraphFont"/>
    <w:link w:val="Header"/>
    <w:rsid w:val="007F44E1"/>
    <w:rPr>
      <w:rFonts w:ascii="EYInterstate Light" w:hAnsi="EYInterstate Light"/>
      <w:smallCaps/>
      <w:spacing w:val="40"/>
      <w:sz w:val="18"/>
      <w:lang w:eastAsia="en-US"/>
    </w:rPr>
  </w:style>
  <w:style w:type="character" w:customStyle="1" w:styleId="FooterChar">
    <w:name w:val="Footer Char"/>
    <w:basedOn w:val="DefaultParagraphFont"/>
    <w:link w:val="Footer"/>
    <w:uiPriority w:val="99"/>
    <w:rsid w:val="007F44E1"/>
    <w:rPr>
      <w:rFonts w:ascii="EYInterstate Light" w:hAnsi="EYInterstate Light"/>
      <w:smallCaps/>
      <w:spacing w:val="40"/>
      <w:sz w:val="18"/>
      <w:lang w:eastAsia="en-US"/>
    </w:rPr>
  </w:style>
  <w:style w:type="character" w:customStyle="1" w:styleId="BodyTextChar0">
    <w:name w:val="Body Text Char"/>
    <w:basedOn w:val="DefaultParagraphFont"/>
    <w:link w:val="BodyText"/>
    <w:semiHidden/>
    <w:rsid w:val="007F44E1"/>
    <w:rPr>
      <w:rFonts w:ascii="Garamond" w:hAnsi="Garamond"/>
      <w:sz w:val="18"/>
      <w:lang w:eastAsia="en-US"/>
    </w:rPr>
  </w:style>
  <w:style w:type="character" w:customStyle="1" w:styleId="FootnoteTextChar">
    <w:name w:val="Footnote Text Char"/>
    <w:basedOn w:val="DefaultParagraphFont"/>
    <w:link w:val="FootnoteText"/>
    <w:semiHidden/>
    <w:rsid w:val="007F44E1"/>
    <w:rPr>
      <w:rFonts w:ascii="EYInterstate Light" w:hAnsi="EYInterstate Light"/>
      <w:sz w:val="18"/>
      <w:lang w:eastAsia="en-US"/>
    </w:rPr>
  </w:style>
  <w:style w:type="character" w:customStyle="1" w:styleId="HTMLAddressChar">
    <w:name w:val="HTML Address Char"/>
    <w:basedOn w:val="DefaultParagraphFont"/>
    <w:link w:val="HTMLAddress"/>
    <w:semiHidden/>
    <w:rsid w:val="007F44E1"/>
    <w:rPr>
      <w:rFonts w:ascii="Garamond" w:hAnsi="Garamond"/>
      <w:i/>
      <w:iCs/>
      <w:sz w:val="18"/>
      <w:lang w:eastAsia="en-US"/>
    </w:rPr>
  </w:style>
  <w:style w:type="character" w:customStyle="1" w:styleId="BalloonTextChar">
    <w:name w:val="Balloon Text Char"/>
    <w:basedOn w:val="DefaultParagraphFont"/>
    <w:link w:val="BalloonText"/>
    <w:semiHidden/>
    <w:rsid w:val="007F44E1"/>
    <w:rPr>
      <w:rFonts w:ascii="Tahoma" w:hAnsi="Tahoma" w:cs="Tahoma"/>
      <w:sz w:val="16"/>
      <w:szCs w:val="16"/>
      <w:lang w:eastAsia="en-US"/>
    </w:rPr>
  </w:style>
  <w:style w:type="character" w:customStyle="1" w:styleId="CommentTextChar">
    <w:name w:val="Comment Text Char"/>
    <w:basedOn w:val="DefaultParagraphFont"/>
    <w:link w:val="CommentText"/>
    <w:uiPriority w:val="99"/>
    <w:rsid w:val="007F44E1"/>
    <w:rPr>
      <w:lang w:val="en-US" w:eastAsia="en-US"/>
    </w:rPr>
  </w:style>
  <w:style w:type="character" w:customStyle="1" w:styleId="CommentSubjectChar">
    <w:name w:val="Comment Subject Char"/>
    <w:basedOn w:val="CommentTextChar"/>
    <w:link w:val="CommentSubject"/>
    <w:semiHidden/>
    <w:rsid w:val="007F44E1"/>
    <w:rPr>
      <w:rFonts w:ascii="EYInterstate Light" w:hAnsi="EYInterstate Light"/>
      <w:b/>
      <w:bCs/>
      <w:lang w:val="en-US" w:eastAsia="en-US"/>
    </w:rPr>
  </w:style>
  <w:style w:type="paragraph" w:styleId="ListParagraph">
    <w:name w:val="List Paragraph"/>
    <w:basedOn w:val="Normal"/>
    <w:uiPriority w:val="34"/>
    <w:qFormat/>
    <w:rsid w:val="008E5623"/>
    <w:pPr>
      <w:ind w:left="720"/>
      <w:contextualSpacing/>
    </w:pPr>
  </w:style>
  <w:style w:type="paragraph" w:customStyle="1" w:styleId="Body0">
    <w:name w:val="Body"/>
    <w:basedOn w:val="BodyText1"/>
    <w:link w:val="BodyChar0"/>
    <w:qFormat/>
    <w:rsid w:val="00290FF4"/>
  </w:style>
  <w:style w:type="paragraph" w:customStyle="1" w:styleId="Greybox">
    <w:name w:val="Grey box"/>
    <w:basedOn w:val="Notesbodytext"/>
    <w:link w:val="GreyboxChar"/>
    <w:qFormat/>
    <w:rsid w:val="00C22739"/>
    <w:pPr>
      <w:shd w:val="clear" w:color="auto" w:fill="4A4A4A" w:themeFill="background1" w:themeFillShade="BF"/>
      <w:spacing w:after="0"/>
    </w:pPr>
  </w:style>
  <w:style w:type="character" w:customStyle="1" w:styleId="BodyChar0">
    <w:name w:val="Body Char"/>
    <w:basedOn w:val="BodytextChar"/>
    <w:link w:val="Body0"/>
    <w:rsid w:val="00290FF4"/>
    <w:rPr>
      <w:rFonts w:ascii="EYInterstate Light" w:hAnsi="EYInterstate Light" w:cs="Arial"/>
      <w:color w:val="000000"/>
      <w:sz w:val="18"/>
      <w:lang w:val="en-GB" w:eastAsia="en-US" w:bidi="ar-SA"/>
    </w:rPr>
  </w:style>
  <w:style w:type="character" w:customStyle="1" w:styleId="GreyboxChar">
    <w:name w:val="Grey box Char"/>
    <w:basedOn w:val="NotesbodytextChar"/>
    <w:link w:val="Greybox"/>
    <w:rsid w:val="00C22739"/>
    <w:rPr>
      <w:rFonts w:ascii="EYInterstate Light" w:hAnsi="EYInterstate Light" w:cs="Arial"/>
      <w:color w:val="000000"/>
      <w:sz w:val="18"/>
      <w:shd w:val="clear" w:color="auto" w:fill="4A4A4A" w:themeFill="background1" w:themeFillShade="BF"/>
      <w:lang w:val="en-GB" w:eastAsia="en-US" w:bidi="ar-SA"/>
    </w:rPr>
  </w:style>
  <w:style w:type="character" w:styleId="Emphasis">
    <w:name w:val="Emphasis"/>
    <w:basedOn w:val="DefaultParagraphFont"/>
    <w:uiPriority w:val="20"/>
    <w:qFormat/>
    <w:rsid w:val="00DF7858"/>
    <w:rPr>
      <w:i/>
      <w:iCs/>
    </w:rPr>
  </w:style>
  <w:style w:type="paragraph" w:styleId="NormalWeb">
    <w:name w:val="Normal (Web)"/>
    <w:basedOn w:val="Normal"/>
    <w:uiPriority w:val="99"/>
    <w:unhideWhenUsed/>
    <w:rsid w:val="0020059F"/>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GB"/>
    </w:rPr>
  </w:style>
  <w:style w:type="paragraph" w:customStyle="1" w:styleId="ps-000-normal">
    <w:name w:val="ps-000-normal"/>
    <w:basedOn w:val="Normal"/>
    <w:rsid w:val="00C82803"/>
    <w:pPr>
      <w:overflowPunct/>
      <w:autoSpaceDE/>
      <w:autoSpaceDN/>
      <w:adjustRightInd/>
      <w:spacing w:before="100" w:after="100" w:line="240" w:lineRule="auto"/>
      <w:textAlignment w:val="auto"/>
    </w:pPr>
    <w:rPr>
      <w:rFonts w:ascii="Verdana" w:hAnsi="Verdana"/>
      <w:color w:val="000000"/>
      <w:sz w:val="20"/>
      <w:lang w:eastAsia="en-GB"/>
    </w:rPr>
  </w:style>
  <w:style w:type="paragraph" w:customStyle="1" w:styleId="Bullet1">
    <w:name w:val="Bullet 1"/>
    <w:qFormat/>
    <w:rsid w:val="00611380"/>
    <w:pPr>
      <w:numPr>
        <w:numId w:val="5"/>
      </w:numPr>
      <w:suppressAutoHyphens/>
      <w:autoSpaceDE w:val="0"/>
      <w:autoSpaceDN w:val="0"/>
      <w:adjustRightInd w:val="0"/>
      <w:spacing w:after="120" w:line="260" w:lineRule="exact"/>
      <w:textAlignment w:val="center"/>
    </w:pPr>
    <w:rPr>
      <w:rFonts w:ascii="EYInterstate Light" w:eastAsiaTheme="minorEastAsia" w:hAnsi="EYInterstate Light" w:cs="EYInterstate Light"/>
      <w:color w:val="000000"/>
      <w:spacing w:val="-3"/>
      <w:sz w:val="18"/>
      <w:lang w:val="en-US" w:eastAsia="en-US"/>
    </w:rPr>
  </w:style>
  <w:style w:type="paragraph" w:styleId="ListBullet">
    <w:name w:val="List Bullet"/>
    <w:basedOn w:val="Normal"/>
    <w:rsid w:val="00630860"/>
    <w:pPr>
      <w:numPr>
        <w:numId w:val="6"/>
      </w:numPr>
      <w:contextualSpacing/>
    </w:pPr>
  </w:style>
  <w:style w:type="paragraph" w:customStyle="1" w:styleId="ps-021-bullet-a">
    <w:name w:val="ps-021-bullet-a"/>
    <w:basedOn w:val="Normal"/>
    <w:rsid w:val="00E74CF7"/>
    <w:pPr>
      <w:overflowPunct/>
      <w:autoSpaceDE/>
      <w:autoSpaceDN/>
      <w:adjustRightInd/>
      <w:spacing w:after="120" w:line="240" w:lineRule="auto"/>
      <w:ind w:left="1400" w:hanging="640"/>
      <w:textAlignment w:val="auto"/>
    </w:pPr>
    <w:rPr>
      <w:rFonts w:ascii="Verdana" w:hAnsi="Verdana"/>
      <w:color w:val="000000"/>
      <w:sz w:val="20"/>
      <w:lang w:eastAsia="en-GB"/>
    </w:rPr>
  </w:style>
  <w:style w:type="paragraph" w:customStyle="1" w:styleId="ps-020-bullet-1000">
    <w:name w:val="ps-020-bullet-1000"/>
    <w:basedOn w:val="Normal"/>
    <w:rsid w:val="00E74CF7"/>
    <w:pPr>
      <w:overflowPunct/>
      <w:autoSpaceDE/>
      <w:autoSpaceDN/>
      <w:adjustRightInd/>
      <w:spacing w:after="120" w:line="240" w:lineRule="auto"/>
      <w:ind w:left="900" w:hanging="880"/>
      <w:textAlignment w:val="auto"/>
    </w:pPr>
    <w:rPr>
      <w:rFonts w:ascii="Verdana" w:hAnsi="Verdana"/>
      <w:color w:val="000000"/>
      <w:sz w:val="20"/>
      <w:lang w:eastAsia="en-GB"/>
    </w:rPr>
  </w:style>
  <w:style w:type="paragraph" w:customStyle="1" w:styleId="ps-022-bullet-ii">
    <w:name w:val="ps-022-bullet-ii"/>
    <w:basedOn w:val="Normal"/>
    <w:rsid w:val="00E74CF7"/>
    <w:pPr>
      <w:overflowPunct/>
      <w:autoSpaceDE/>
      <w:autoSpaceDN/>
      <w:adjustRightInd/>
      <w:spacing w:after="120" w:line="240" w:lineRule="auto"/>
      <w:ind w:left="1980" w:hanging="620"/>
      <w:textAlignment w:val="auto"/>
    </w:pPr>
    <w:rPr>
      <w:rFonts w:ascii="Verdana" w:hAnsi="Verdana"/>
      <w:color w:val="000000"/>
      <w:sz w:val="20"/>
      <w:lang w:eastAsia="en-GB"/>
    </w:rPr>
  </w:style>
  <w:style w:type="paragraph" w:customStyle="1" w:styleId="ps-022-bullet-iii">
    <w:name w:val="ps-022-bullet-iii"/>
    <w:basedOn w:val="Normal"/>
    <w:rsid w:val="00E74CF7"/>
    <w:pPr>
      <w:overflowPunct/>
      <w:autoSpaceDE/>
      <w:autoSpaceDN/>
      <w:adjustRightInd/>
      <w:spacing w:after="120" w:line="240" w:lineRule="auto"/>
      <w:ind w:left="2020" w:hanging="660"/>
      <w:textAlignment w:val="auto"/>
    </w:pPr>
    <w:rPr>
      <w:rFonts w:ascii="Verdana" w:hAnsi="Verdana"/>
      <w:color w:val="000000"/>
      <w:sz w:val="20"/>
      <w:lang w:eastAsia="en-GB"/>
    </w:rPr>
  </w:style>
  <w:style w:type="paragraph" w:customStyle="1" w:styleId="ps-022-bullet-i">
    <w:name w:val="ps-022-bullet-i"/>
    <w:basedOn w:val="Normal"/>
    <w:rsid w:val="00E74CF7"/>
    <w:pPr>
      <w:overflowPunct/>
      <w:autoSpaceDE/>
      <w:autoSpaceDN/>
      <w:adjustRightInd/>
      <w:spacing w:after="120" w:line="240" w:lineRule="auto"/>
      <w:ind w:left="1980" w:hanging="600"/>
      <w:textAlignment w:val="auto"/>
    </w:pPr>
    <w:rPr>
      <w:rFonts w:ascii="Verdana" w:hAnsi="Verdana"/>
      <w:color w:val="000000"/>
      <w:sz w:val="20"/>
      <w:lang w:eastAsia="en-GB"/>
    </w:rPr>
  </w:style>
  <w:style w:type="paragraph" w:customStyle="1" w:styleId="ps-020-bullet-bold-10">
    <w:name w:val="ps-020-bullet-bold-10"/>
    <w:basedOn w:val="Normal"/>
    <w:rsid w:val="0057726D"/>
    <w:pPr>
      <w:overflowPunct/>
      <w:autoSpaceDE/>
      <w:autoSpaceDN/>
      <w:adjustRightInd/>
      <w:spacing w:after="120" w:line="240" w:lineRule="auto"/>
      <w:ind w:left="660" w:hanging="620"/>
      <w:textAlignment w:val="auto"/>
    </w:pPr>
    <w:rPr>
      <w:rFonts w:ascii="Verdana" w:hAnsi="Verdana"/>
      <w:b/>
      <w:bCs/>
      <w:color w:val="000000"/>
      <w:sz w:val="20"/>
      <w:lang w:eastAsia="en-GB"/>
    </w:rPr>
  </w:style>
  <w:style w:type="paragraph" w:customStyle="1" w:styleId="BodyBullets">
    <w:name w:val="Body Bullets"/>
    <w:basedOn w:val="BodyText1"/>
    <w:qFormat/>
    <w:rsid w:val="00D3318F"/>
    <w:pPr>
      <w:numPr>
        <w:numId w:val="7"/>
      </w:numPr>
    </w:pPr>
  </w:style>
  <w:style w:type="paragraph" w:customStyle="1" w:styleId="Para1">
    <w:name w:val="Para 1"/>
    <w:basedOn w:val="Normal"/>
    <w:link w:val="Para1Char"/>
    <w:qFormat/>
    <w:rsid w:val="00890214"/>
    <w:pPr>
      <w:overflowPunct/>
      <w:autoSpaceDE/>
      <w:autoSpaceDN/>
      <w:adjustRightInd/>
      <w:spacing w:line="280" w:lineRule="exact"/>
      <w:textAlignment w:val="auto"/>
    </w:pPr>
    <w:rPr>
      <w:rFonts w:eastAsiaTheme="minorHAnsi" w:cstheme="minorBidi"/>
      <w:sz w:val="20"/>
      <w:lang w:val="en-US"/>
    </w:rPr>
  </w:style>
  <w:style w:type="character" w:customStyle="1" w:styleId="Para1Char">
    <w:name w:val="Para 1 Char"/>
    <w:basedOn w:val="DefaultParagraphFont"/>
    <w:link w:val="Para1"/>
    <w:rsid w:val="00890214"/>
    <w:rPr>
      <w:rFonts w:ascii="EYInterstate Light" w:eastAsiaTheme="minorHAnsi" w:hAnsi="EYInterstate Light" w:cstheme="minorBidi"/>
      <w:lang w:val="en-US" w:eastAsia="en-US"/>
    </w:rPr>
  </w:style>
  <w:style w:type="paragraph" w:customStyle="1" w:styleId="ViralheadingL2">
    <w:name w:val="Viral heading L2"/>
    <w:basedOn w:val="Heading4"/>
    <w:link w:val="ViralheadingL2Char"/>
    <w:qFormat/>
    <w:rsid w:val="003341BB"/>
    <w:rPr>
      <w:rFonts w:ascii="Times New Roman" w:hAnsi="Times New Roman"/>
      <w:sz w:val="22"/>
    </w:rPr>
  </w:style>
  <w:style w:type="character" w:customStyle="1" w:styleId="ViralheadingL2Char">
    <w:name w:val="Viral heading L2 Char"/>
    <w:basedOn w:val="Heading4Char"/>
    <w:link w:val="ViralheadingL2"/>
    <w:rsid w:val="003341BB"/>
    <w:rPr>
      <w:rFonts w:ascii="EYInterstate" w:hAnsi="EYInterstate"/>
      <w:b/>
      <w:bCs/>
      <w:sz w:val="22"/>
      <w:szCs w:val="28"/>
      <w:lang w:val="en-GB" w:eastAsia="en-US" w:bidi="ar-SA"/>
    </w:rPr>
  </w:style>
  <w:style w:type="table" w:customStyle="1" w:styleId="TableGrid1">
    <w:name w:val="Table Grid1"/>
    <w:basedOn w:val="TableNormal"/>
    <w:next w:val="TableGrid"/>
    <w:uiPriority w:val="39"/>
    <w:rsid w:val="00BF7DA5"/>
    <w:pPr>
      <w:jc w:val="both"/>
    </w:pPr>
    <w:rPr>
      <w:bCs/>
      <w:iCs/>
      <w:color w:val="000000"/>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F7DA5"/>
    <w:pPr>
      <w:jc w:val="both"/>
    </w:pPr>
    <w:rPr>
      <w:bCs/>
      <w:iCs/>
      <w:color w:val="000000"/>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alChepterHeader1">
    <w:name w:val="Viral Chepter Header 1"/>
    <w:basedOn w:val="Normal"/>
    <w:autoRedefine/>
    <w:rsid w:val="00083A52"/>
    <w:pPr>
      <w:numPr>
        <w:numId w:val="21"/>
      </w:numPr>
      <w:tabs>
        <w:tab w:val="left" w:pos="2010"/>
      </w:tabs>
      <w:overflowPunct/>
      <w:autoSpaceDE/>
      <w:autoSpaceDN/>
      <w:adjustRightInd/>
      <w:spacing w:before="240" w:after="100" w:afterAutospacing="1" w:line="240" w:lineRule="auto"/>
      <w:jc w:val="both"/>
      <w:textAlignment w:val="auto"/>
    </w:pPr>
    <w:rPr>
      <w:rFonts w:ascii="Book Antiqua" w:hAnsi="Book Antiqua" w:cs="Arial"/>
      <w:b/>
      <w:i/>
      <w:sz w:val="20"/>
      <w:lang w:val="en-US"/>
    </w:rPr>
  </w:style>
  <w:style w:type="paragraph" w:customStyle="1" w:styleId="000">
    <w:name w:val="000"/>
    <w:aliases w:val="standaard"/>
    <w:basedOn w:val="Normal"/>
    <w:rsid w:val="00FA554F"/>
    <w:pPr>
      <w:spacing w:line="260" w:lineRule="atLeast"/>
    </w:pPr>
    <w:rPr>
      <w:sz w:val="22"/>
      <w:lang w:val="nl-NL"/>
    </w:rPr>
  </w:style>
  <w:style w:type="paragraph" w:styleId="TOCHeading">
    <w:name w:val="TOC Heading"/>
    <w:basedOn w:val="Heading10"/>
    <w:next w:val="Normal"/>
    <w:uiPriority w:val="39"/>
    <w:semiHidden/>
    <w:unhideWhenUsed/>
    <w:qFormat/>
    <w:rsid w:val="00FA554F"/>
    <w:pPr>
      <w:keepNext/>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BF9D00" w:themeColor="accent1" w:themeShade="BF"/>
      <w:kern w:val="0"/>
      <w:sz w:val="28"/>
      <w:szCs w:val="28"/>
      <w:lang w:val="en-US"/>
    </w:rPr>
  </w:style>
  <w:style w:type="paragraph" w:customStyle="1" w:styleId="ps-020-bullet-1">
    <w:name w:val="ps-020-bullet-1"/>
    <w:basedOn w:val="Normal"/>
    <w:rsid w:val="00FA554F"/>
    <w:pPr>
      <w:overflowPunct/>
      <w:autoSpaceDE/>
      <w:autoSpaceDN/>
      <w:adjustRightInd/>
      <w:spacing w:after="120" w:line="240" w:lineRule="auto"/>
      <w:ind w:left="620" w:hanging="520"/>
      <w:textAlignment w:val="auto"/>
    </w:pPr>
    <w:rPr>
      <w:rFonts w:ascii="Verdana" w:hAnsi="Verdana"/>
      <w:color w:val="000000"/>
      <w:sz w:val="20"/>
      <w:lang w:eastAsia="en-GB"/>
    </w:rPr>
  </w:style>
  <w:style w:type="paragraph" w:customStyle="1" w:styleId="Bodycopy">
    <w:name w:val="Body copy"/>
    <w:basedOn w:val="Normal"/>
    <w:rsid w:val="00FA554F"/>
    <w:pPr>
      <w:widowControl w:val="0"/>
      <w:suppressAutoHyphens/>
      <w:overflowPunct/>
      <w:spacing w:after="115" w:line="240" w:lineRule="atLeast"/>
      <w:textAlignment w:val="center"/>
    </w:pPr>
    <w:rPr>
      <w:rFonts w:ascii="EYInterstate-Light" w:hAnsi="EYInterstate-Light"/>
      <w:color w:val="000000"/>
      <w:spacing w:val="-2"/>
      <w:lang w:val="en-US" w:eastAsia="en-CA"/>
    </w:rPr>
  </w:style>
  <w:style w:type="character" w:customStyle="1" w:styleId="bodyitalics">
    <w:name w:val="body italics"/>
    <w:rsid w:val="00FA554F"/>
    <w:rPr>
      <w:rFonts w:ascii="EYInterstate-LightItalic" w:hAnsi="EYInterstate-LightItalic"/>
      <w:i/>
      <w:spacing w:val="-2"/>
      <w:sz w:val="18"/>
    </w:rPr>
  </w:style>
  <w:style w:type="paragraph" w:customStyle="1" w:styleId="Heading4A">
    <w:name w:val="Heading 4A"/>
    <w:next w:val="Notesbodytext"/>
    <w:qFormat/>
    <w:rsid w:val="00FA554F"/>
    <w:pPr>
      <w:spacing w:line="300" w:lineRule="exact"/>
    </w:pPr>
    <w:rPr>
      <w:rFonts w:ascii="EYInterstate Bold" w:hAnsi="EYInterstate Bold"/>
      <w:b/>
      <w:bCs/>
      <w:sz w:val="19"/>
      <w:szCs w:val="28"/>
      <w:lang w:eastAsia="en-US"/>
    </w:rPr>
  </w:style>
  <w:style w:type="paragraph" w:customStyle="1" w:styleId="ps-020-bullet-10">
    <w:name w:val="ps-020-bullet-10"/>
    <w:basedOn w:val="Normal"/>
    <w:rsid w:val="00FA554F"/>
    <w:pPr>
      <w:overflowPunct/>
      <w:autoSpaceDE/>
      <w:autoSpaceDN/>
      <w:adjustRightInd/>
      <w:spacing w:after="120" w:line="240" w:lineRule="auto"/>
      <w:ind w:left="660" w:hanging="620"/>
      <w:textAlignment w:val="auto"/>
    </w:pPr>
    <w:rPr>
      <w:rFonts w:ascii="Verdana" w:hAnsi="Verdana"/>
      <w:color w:val="000000"/>
      <w:sz w:val="20"/>
      <w:lang w:eastAsia="en-GB"/>
    </w:rPr>
  </w:style>
  <w:style w:type="paragraph" w:customStyle="1" w:styleId="ps-020-bullet-100">
    <w:name w:val="ps-020-bullet-100"/>
    <w:basedOn w:val="Normal"/>
    <w:rsid w:val="00FA554F"/>
    <w:pPr>
      <w:overflowPunct/>
      <w:autoSpaceDE/>
      <w:autoSpaceDN/>
      <w:adjustRightInd/>
      <w:spacing w:after="120" w:line="240" w:lineRule="auto"/>
      <w:ind w:left="760" w:hanging="740"/>
      <w:textAlignment w:val="auto"/>
    </w:pPr>
    <w:rPr>
      <w:rFonts w:ascii="Verdana" w:hAnsi="Verdana"/>
      <w:color w:val="000000"/>
      <w:sz w:val="20"/>
      <w:lang w:eastAsia="en-GB"/>
    </w:rPr>
  </w:style>
  <w:style w:type="paragraph" w:customStyle="1" w:styleId="BodyBullet">
    <w:name w:val="Body Bullet"/>
    <w:basedOn w:val="BodyText1"/>
    <w:link w:val="BodyBulletChar"/>
    <w:qFormat/>
    <w:rsid w:val="00FA554F"/>
    <w:pPr>
      <w:numPr>
        <w:numId w:val="22"/>
      </w:numPr>
      <w:ind w:left="392"/>
    </w:pPr>
  </w:style>
  <w:style w:type="character" w:customStyle="1" w:styleId="BodyBulletChar">
    <w:name w:val="Body Bullet Char"/>
    <w:basedOn w:val="BodytextChar"/>
    <w:link w:val="BodyBullet"/>
    <w:rsid w:val="00FA554F"/>
    <w:rPr>
      <w:rFonts w:ascii="EYInterstate Light" w:hAnsi="EYInterstate Light" w:cs="Arial"/>
      <w:color w:val="000000"/>
      <w:sz w:val="18"/>
      <w:lang w:val="en-IN" w:eastAsia="en-US" w:bidi="ar-SA"/>
    </w:rPr>
  </w:style>
  <w:style w:type="paragraph" w:customStyle="1" w:styleId="VBTitle1">
    <w:name w:val="VB Title 1"/>
    <w:basedOn w:val="Normal"/>
    <w:link w:val="VBTitle1Char"/>
    <w:qFormat/>
    <w:rsid w:val="00F26A80"/>
    <w:pPr>
      <w:spacing w:before="2000" w:after="600" w:line="800" w:lineRule="exact"/>
    </w:pPr>
    <w:rPr>
      <w:rFonts w:ascii="EYInterstate" w:hAnsi="EYInterstate" w:cs="Arial"/>
      <w:b/>
      <w:sz w:val="54"/>
      <w:szCs w:val="56"/>
    </w:rPr>
  </w:style>
  <w:style w:type="paragraph" w:customStyle="1" w:styleId="VBTitle2">
    <w:name w:val="VB Title 2"/>
    <w:basedOn w:val="Normal"/>
    <w:link w:val="VBTitle2Char"/>
    <w:qFormat/>
    <w:rsid w:val="00F26A80"/>
    <w:pPr>
      <w:spacing w:after="840" w:line="600" w:lineRule="exact"/>
    </w:pPr>
    <w:rPr>
      <w:rFonts w:ascii="EYInterstate" w:hAnsi="EYInterstate" w:cs="Arial"/>
      <w:b/>
      <w:sz w:val="48"/>
      <w:szCs w:val="48"/>
    </w:rPr>
  </w:style>
  <w:style w:type="character" w:customStyle="1" w:styleId="VBTitle1Char">
    <w:name w:val="VB Title 1 Char"/>
    <w:basedOn w:val="DefaultParagraphFont"/>
    <w:link w:val="VBTitle1"/>
    <w:rsid w:val="00F26A80"/>
    <w:rPr>
      <w:rFonts w:ascii="EYInterstate" w:hAnsi="EYInterstate" w:cs="Arial"/>
      <w:b/>
      <w:sz w:val="54"/>
      <w:szCs w:val="56"/>
      <w:lang w:eastAsia="en-US"/>
    </w:rPr>
  </w:style>
  <w:style w:type="paragraph" w:customStyle="1" w:styleId="VBTiltle3">
    <w:name w:val="VB Tiltle 3"/>
    <w:basedOn w:val="000Normal"/>
    <w:link w:val="VBTiltle3Char"/>
    <w:qFormat/>
    <w:rsid w:val="00F26A80"/>
    <w:pPr>
      <w:spacing w:before="0" w:after="0" w:line="360" w:lineRule="exact"/>
      <w:jc w:val="left"/>
    </w:pPr>
    <w:rPr>
      <w:rFonts w:ascii="EYInterstate" w:hAnsi="EYInterstate" w:cs="Arial"/>
      <w:sz w:val="32"/>
      <w:szCs w:val="32"/>
    </w:rPr>
  </w:style>
  <w:style w:type="character" w:customStyle="1" w:styleId="VBTitle2Char">
    <w:name w:val="VB Title 2 Char"/>
    <w:basedOn w:val="DefaultParagraphFont"/>
    <w:link w:val="VBTitle2"/>
    <w:rsid w:val="00F26A80"/>
    <w:rPr>
      <w:rFonts w:ascii="EYInterstate" w:hAnsi="EYInterstate" w:cs="Arial"/>
      <w:b/>
      <w:sz w:val="48"/>
      <w:szCs w:val="48"/>
      <w:lang w:eastAsia="en-US"/>
    </w:rPr>
  </w:style>
  <w:style w:type="character" w:customStyle="1" w:styleId="VBTiltle3Char">
    <w:name w:val="VB Tiltle 3 Char"/>
    <w:basedOn w:val="DefaultParagraphFont"/>
    <w:link w:val="VBTiltle3"/>
    <w:rsid w:val="00F26A80"/>
    <w:rPr>
      <w:rFonts w:ascii="EYInterstate" w:hAnsi="EYInterstate" w:cs="Arial"/>
      <w:sz w:val="32"/>
      <w:szCs w:val="32"/>
      <w:lang w:eastAsia="en-US"/>
    </w:rPr>
  </w:style>
  <w:style w:type="paragraph" w:customStyle="1" w:styleId="Level1Bullets">
    <w:name w:val="Level1_Bullets"/>
    <w:basedOn w:val="Normal"/>
    <w:rsid w:val="00657E19"/>
    <w:pPr>
      <w:numPr>
        <w:numId w:val="32"/>
      </w:numPr>
      <w:overflowPunct/>
      <w:autoSpaceDE/>
      <w:autoSpaceDN/>
      <w:adjustRightInd/>
      <w:spacing w:after="60" w:line="240" w:lineRule="auto"/>
      <w:textAlignment w:val="auto"/>
    </w:pPr>
    <w:rPr>
      <w:color w:val="000000"/>
      <w:szCs w:val="24"/>
      <w:lang w:val="en-US"/>
    </w:rPr>
  </w:style>
  <w:style w:type="paragraph" w:customStyle="1" w:styleId="EYAppendix">
    <w:name w:val="EY Appendix"/>
    <w:basedOn w:val="Normal"/>
    <w:next w:val="Normal"/>
    <w:rsid w:val="00F90099"/>
    <w:pPr>
      <w:numPr>
        <w:numId w:val="33"/>
      </w:numPr>
      <w:overflowPunct/>
      <w:autoSpaceDE/>
      <w:autoSpaceDN/>
      <w:adjustRightInd/>
      <w:spacing w:after="360" w:line="240" w:lineRule="auto"/>
      <w:textAlignment w:val="auto"/>
      <w:outlineLvl w:val="0"/>
    </w:pPr>
    <w:rPr>
      <w:b/>
      <w:color w:val="7F7E82"/>
      <w:kern w:val="12"/>
      <w:sz w:val="32"/>
      <w:szCs w:val="24"/>
      <w:lang w:val="en-GB"/>
    </w:rPr>
  </w:style>
  <w:style w:type="paragraph" w:customStyle="1" w:styleId="EYNumber">
    <w:name w:val="EY Number"/>
    <w:basedOn w:val="Normal"/>
    <w:rsid w:val="00AE5F94"/>
    <w:pPr>
      <w:numPr>
        <w:numId w:val="35"/>
      </w:numPr>
      <w:tabs>
        <w:tab w:val="clear" w:pos="425"/>
        <w:tab w:val="num" w:pos="360"/>
      </w:tabs>
      <w:overflowPunct/>
      <w:autoSpaceDE/>
      <w:autoSpaceDN/>
      <w:adjustRightInd/>
      <w:spacing w:line="240" w:lineRule="auto"/>
      <w:ind w:left="0" w:firstLine="0"/>
      <w:textAlignment w:val="auto"/>
      <w:outlineLvl w:val="0"/>
    </w:pPr>
    <w:rPr>
      <w:kern w:val="12"/>
      <w:szCs w:val="24"/>
      <w:lang w:val="en-GB"/>
    </w:rPr>
  </w:style>
  <w:style w:type="paragraph" w:customStyle="1" w:styleId="EYLetter">
    <w:name w:val="EY Letter"/>
    <w:basedOn w:val="EYNumber"/>
    <w:rsid w:val="00AE5F94"/>
    <w:pPr>
      <w:numPr>
        <w:ilvl w:val="1"/>
      </w:numPr>
      <w:tabs>
        <w:tab w:val="clear" w:pos="851"/>
        <w:tab w:val="num" w:pos="360"/>
      </w:tabs>
    </w:pPr>
  </w:style>
  <w:style w:type="paragraph" w:customStyle="1" w:styleId="EYRoman">
    <w:name w:val="EY Roman"/>
    <w:basedOn w:val="EYNumber"/>
    <w:rsid w:val="00AE5F94"/>
    <w:pPr>
      <w:numPr>
        <w:ilvl w:val="2"/>
      </w:numPr>
      <w:tabs>
        <w:tab w:val="clear" w:pos="1276"/>
        <w:tab w:val="num" w:pos="360"/>
      </w:tabs>
    </w:pPr>
  </w:style>
  <w:style w:type="table" w:styleId="PlainTable1">
    <w:name w:val="Plain Table 1"/>
    <w:basedOn w:val="TableNormal"/>
    <w:uiPriority w:val="41"/>
    <w:rsid w:val="00063B18"/>
    <w:rPr>
      <w:lang w:val="en-IN" w:eastAsia="en-IN"/>
    </w:rPr>
    <w:tblPr>
      <w:tblStyleRowBandSize w:val="1"/>
      <w:tblStyleColBandSize w:val="1"/>
      <w:tblBorders>
        <w:top w:val="single" w:sz="4" w:space="0" w:color="4A4A4A" w:themeColor="background1" w:themeShade="BF"/>
        <w:left w:val="single" w:sz="4" w:space="0" w:color="4A4A4A" w:themeColor="background1" w:themeShade="BF"/>
        <w:bottom w:val="single" w:sz="4" w:space="0" w:color="4A4A4A" w:themeColor="background1" w:themeShade="BF"/>
        <w:right w:val="single" w:sz="4" w:space="0" w:color="4A4A4A" w:themeColor="background1" w:themeShade="BF"/>
        <w:insideH w:val="single" w:sz="4" w:space="0" w:color="4A4A4A" w:themeColor="background1" w:themeShade="BF"/>
        <w:insideV w:val="single" w:sz="4" w:space="0" w:color="4A4A4A" w:themeColor="background1" w:themeShade="BF"/>
      </w:tblBorders>
    </w:tblPr>
    <w:tblStylePr w:type="firstRow">
      <w:rPr>
        <w:b/>
        <w:bCs/>
      </w:rPr>
    </w:tblStylePr>
    <w:tblStylePr w:type="lastRow">
      <w:rPr>
        <w:b/>
        <w:bCs/>
      </w:rPr>
      <w:tblPr/>
      <w:tcPr>
        <w:tcBorders>
          <w:top w:val="double" w:sz="4" w:space="0" w:color="4A4A4A" w:themeColor="background1" w:themeShade="BF"/>
        </w:tcBorders>
      </w:tcPr>
    </w:tblStylePr>
    <w:tblStylePr w:type="firstCol">
      <w:rPr>
        <w:b/>
        <w:bCs/>
      </w:rPr>
    </w:tblStylePr>
    <w:tblStylePr w:type="lastCol">
      <w:rPr>
        <w:b/>
        <w:bCs/>
      </w:rPr>
    </w:tblStylePr>
    <w:tblStylePr w:type="band1Vert">
      <w:tblPr/>
      <w:tcPr>
        <w:shd w:val="clear" w:color="auto" w:fill="5E5E5E" w:themeFill="background1" w:themeFillShade="F2"/>
      </w:tcPr>
    </w:tblStylePr>
    <w:tblStylePr w:type="band1Horz">
      <w:tblPr/>
      <w:tcPr>
        <w:shd w:val="clear" w:color="auto" w:fill="5E5E5E" w:themeFill="background1" w:themeFillShade="F2"/>
      </w:tcPr>
    </w:tblStylePr>
  </w:style>
  <w:style w:type="paragraph" w:customStyle="1" w:styleId="Heading1">
    <w:name w:val="Heading_1"/>
    <w:basedOn w:val="Normal"/>
    <w:qFormat/>
    <w:rsid w:val="00595CD0"/>
    <w:pPr>
      <w:numPr>
        <w:numId w:val="41"/>
      </w:numPr>
      <w:tabs>
        <w:tab w:val="left" w:pos="425"/>
      </w:tabs>
      <w:overflowPunct/>
      <w:autoSpaceDE/>
      <w:autoSpaceDN/>
      <w:snapToGrid w:val="0"/>
      <w:spacing w:before="120" w:after="120" w:line="280" w:lineRule="atLeast"/>
      <w:textAlignment w:val="auto"/>
    </w:pPr>
    <w:rPr>
      <w:rFonts w:ascii="EYInterstate" w:hAnsi="EYInterstate" w:cs="Arial"/>
      <w:b/>
      <w:color w:val="646464"/>
      <w:sz w:val="24"/>
      <w:lang w:eastAsia="en-GB"/>
    </w:rPr>
  </w:style>
  <w:style w:type="paragraph" w:customStyle="1" w:styleId="TableParagraph">
    <w:name w:val="Table Paragraph"/>
    <w:basedOn w:val="Normal"/>
    <w:uiPriority w:val="1"/>
    <w:rsid w:val="00D403B9"/>
    <w:pPr>
      <w:overflowPunct/>
      <w:autoSpaceDE/>
      <w:autoSpaceDN/>
      <w:adjustRightInd/>
      <w:spacing w:line="240" w:lineRule="auto"/>
      <w:textAlignment w:val="auto"/>
    </w:pPr>
    <w:rPr>
      <w:rFonts w:ascii="Georgia" w:eastAsiaTheme="minorHAnsi" w:hAnsi="Georgia"/>
      <w:sz w:val="22"/>
      <w:szCs w:val="22"/>
    </w:rPr>
  </w:style>
  <w:style w:type="paragraph" w:customStyle="1" w:styleId="EYnumlevel1">
    <w:name w:val="EY_num level 1"/>
    <w:basedOn w:val="Normal"/>
    <w:rsid w:val="00D403B9"/>
    <w:pPr>
      <w:numPr>
        <w:numId w:val="42"/>
      </w:numPr>
      <w:overflowPunct/>
      <w:autoSpaceDE/>
      <w:autoSpaceDN/>
      <w:adjustRightInd/>
      <w:spacing w:after="120" w:line="240" w:lineRule="auto"/>
      <w:textAlignment w:val="auto"/>
    </w:pPr>
    <w:rPr>
      <w:rFonts w:ascii="EYInterstate" w:hAnsi="EYInterstate"/>
      <w:b/>
      <w:color w:val="595959" w:themeColor="text1" w:themeTint="A6"/>
      <w:sz w:val="24"/>
      <w:szCs w:val="24"/>
      <w:lang w:val="en-US"/>
    </w:rPr>
  </w:style>
  <w:style w:type="paragraph" w:customStyle="1" w:styleId="EYnumlevel2">
    <w:name w:val="EY_num level 2"/>
    <w:basedOn w:val="Normal"/>
    <w:rsid w:val="00D403B9"/>
    <w:pPr>
      <w:numPr>
        <w:ilvl w:val="1"/>
        <w:numId w:val="42"/>
      </w:numPr>
      <w:overflowPunct/>
      <w:autoSpaceDE/>
      <w:autoSpaceDN/>
      <w:adjustRightInd/>
      <w:spacing w:before="120" w:after="120" w:line="240" w:lineRule="auto"/>
      <w:textAlignment w:val="auto"/>
    </w:pPr>
    <w:rPr>
      <w:rFonts w:ascii="EYInterstate" w:hAnsi="EYInterstate"/>
      <w:b/>
      <w:color w:val="595959" w:themeColor="text1" w:themeTint="A6"/>
      <w:sz w:val="22"/>
      <w:szCs w:val="24"/>
      <w:lang w:val="en-US"/>
    </w:rPr>
  </w:style>
  <w:style w:type="paragraph" w:customStyle="1" w:styleId="EYnumlevel3">
    <w:name w:val="EY_num level 3"/>
    <w:basedOn w:val="Normal"/>
    <w:rsid w:val="00D403B9"/>
    <w:pPr>
      <w:numPr>
        <w:ilvl w:val="2"/>
        <w:numId w:val="42"/>
      </w:numPr>
      <w:overflowPunct/>
      <w:autoSpaceDE/>
      <w:autoSpaceDN/>
      <w:adjustRightInd/>
      <w:spacing w:before="120" w:after="120" w:line="240" w:lineRule="auto"/>
      <w:textAlignment w:val="auto"/>
    </w:pPr>
    <w:rPr>
      <w:rFonts w:ascii="EYInterstate" w:hAnsi="EYInterstate"/>
      <w:b/>
      <w:color w:val="000000" w:themeColor="text1"/>
      <w:sz w:val="20"/>
      <w:szCs w:val="24"/>
      <w:lang w:val="en-US"/>
    </w:rPr>
  </w:style>
  <w:style w:type="paragraph" w:customStyle="1" w:styleId="EYnumlevel4">
    <w:name w:val="EY_num level 4"/>
    <w:basedOn w:val="Normal"/>
    <w:rsid w:val="00D403B9"/>
    <w:pPr>
      <w:numPr>
        <w:ilvl w:val="3"/>
        <w:numId w:val="42"/>
      </w:numPr>
      <w:overflowPunct/>
      <w:autoSpaceDE/>
      <w:autoSpaceDN/>
      <w:adjustRightInd/>
      <w:spacing w:after="120" w:line="240" w:lineRule="auto"/>
      <w:textAlignment w:val="auto"/>
    </w:pPr>
    <w:rPr>
      <w:b/>
      <w:i/>
      <w:color w:val="000000" w:themeColor="text1"/>
      <w:szCs w:val="24"/>
      <w:lang w:val="en-US" w:eastAsia="zh-CN"/>
    </w:rPr>
  </w:style>
  <w:style w:type="paragraph" w:customStyle="1" w:styleId="EYnumlevel5">
    <w:name w:val="EY_num level 5"/>
    <w:basedOn w:val="Normal"/>
    <w:rsid w:val="00D403B9"/>
    <w:pPr>
      <w:numPr>
        <w:ilvl w:val="4"/>
        <w:numId w:val="42"/>
      </w:numPr>
      <w:overflowPunct/>
      <w:autoSpaceDE/>
      <w:autoSpaceDN/>
      <w:adjustRightInd/>
      <w:spacing w:after="120" w:line="240" w:lineRule="auto"/>
      <w:textAlignment w:val="auto"/>
    </w:pPr>
    <w:rPr>
      <w:color w:val="000000"/>
      <w:szCs w:val="24"/>
      <w:lang w:val="en-US"/>
    </w:rPr>
  </w:style>
  <w:style w:type="paragraph" w:customStyle="1" w:styleId="EYBodytextwithparaspace">
    <w:name w:val="EY Body text (with para space)"/>
    <w:basedOn w:val="Normal"/>
    <w:rsid w:val="006535F4"/>
    <w:pPr>
      <w:numPr>
        <w:ilvl w:val="4"/>
        <w:numId w:val="45"/>
      </w:numPr>
      <w:overflowPunct/>
      <w:autoSpaceDE/>
      <w:autoSpaceDN/>
      <w:adjustRightInd/>
      <w:spacing w:after="240" w:line="240" w:lineRule="auto"/>
      <w:textAlignment w:val="auto"/>
      <w:outlineLvl w:val="0"/>
    </w:pPr>
    <w:rPr>
      <w:kern w:val="12"/>
      <w:sz w:val="20"/>
      <w:szCs w:val="24"/>
      <w:lang w:val="en-GB"/>
    </w:rPr>
  </w:style>
  <w:style w:type="paragraph" w:customStyle="1" w:styleId="EYbodytext">
    <w:name w:val="EY_body text"/>
    <w:basedOn w:val="Normal"/>
    <w:link w:val="EYbodytextChar"/>
    <w:rsid w:val="006535F4"/>
    <w:pPr>
      <w:keepNext/>
      <w:numPr>
        <w:ilvl w:val="1"/>
        <w:numId w:val="45"/>
      </w:numPr>
      <w:overflowPunct/>
      <w:autoSpaceDE/>
      <w:autoSpaceDN/>
      <w:adjustRightInd/>
      <w:spacing w:after="120" w:line="240" w:lineRule="atLeast"/>
      <w:textAlignment w:val="auto"/>
      <w:outlineLvl w:val="0"/>
    </w:pPr>
    <w:rPr>
      <w:kern w:val="12"/>
      <w:szCs w:val="24"/>
      <w:lang w:val="en-GB"/>
    </w:rPr>
  </w:style>
  <w:style w:type="paragraph" w:customStyle="1" w:styleId="EYHeading1">
    <w:name w:val="EY Heading 1"/>
    <w:basedOn w:val="Normal"/>
    <w:next w:val="EYBodytextwithparaspace"/>
    <w:rsid w:val="006535F4"/>
    <w:pPr>
      <w:numPr>
        <w:numId w:val="45"/>
      </w:numPr>
      <w:overflowPunct/>
      <w:autoSpaceDE/>
      <w:autoSpaceDN/>
      <w:adjustRightInd/>
      <w:spacing w:after="360" w:line="240" w:lineRule="auto"/>
      <w:textAlignment w:val="auto"/>
      <w:outlineLvl w:val="0"/>
    </w:pPr>
    <w:rPr>
      <w:rFonts w:ascii="EYInterstate" w:hAnsi="EYInterstate"/>
      <w:color w:val="646464"/>
      <w:kern w:val="12"/>
      <w:sz w:val="40"/>
      <w:szCs w:val="24"/>
      <w:lang w:val="en-GB"/>
    </w:rPr>
  </w:style>
  <w:style w:type="numbering" w:customStyle="1" w:styleId="ParaNumbering">
    <w:name w:val="ParaNumbering"/>
    <w:basedOn w:val="NoList"/>
    <w:rsid w:val="006535F4"/>
    <w:pPr>
      <w:numPr>
        <w:numId w:val="45"/>
      </w:numPr>
    </w:pPr>
  </w:style>
  <w:style w:type="character" w:customStyle="1" w:styleId="EYbodytextChar">
    <w:name w:val="EY_body text Char"/>
    <w:link w:val="EYbodytext"/>
    <w:rsid w:val="006535F4"/>
    <w:rPr>
      <w:rFonts w:ascii="EYInterstate Light" w:hAnsi="EYInterstate Light"/>
      <w:kern w:val="12"/>
      <w:sz w:val="18"/>
      <w:szCs w:val="24"/>
      <w:lang w:eastAsia="en-US"/>
    </w:rPr>
  </w:style>
  <w:style w:type="character" w:styleId="UnresolvedMention">
    <w:name w:val="Unresolved Mention"/>
    <w:basedOn w:val="DefaultParagraphFont"/>
    <w:uiPriority w:val="99"/>
    <w:semiHidden/>
    <w:unhideWhenUsed/>
    <w:rsid w:val="00984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250">
      <w:bodyDiv w:val="1"/>
      <w:marLeft w:val="0"/>
      <w:marRight w:val="0"/>
      <w:marTop w:val="0"/>
      <w:marBottom w:val="0"/>
      <w:divBdr>
        <w:top w:val="none" w:sz="0" w:space="0" w:color="auto"/>
        <w:left w:val="none" w:sz="0" w:space="0" w:color="auto"/>
        <w:bottom w:val="none" w:sz="0" w:space="0" w:color="auto"/>
        <w:right w:val="none" w:sz="0" w:space="0" w:color="auto"/>
      </w:divBdr>
    </w:div>
    <w:div w:id="10112077">
      <w:bodyDiv w:val="1"/>
      <w:marLeft w:val="0"/>
      <w:marRight w:val="0"/>
      <w:marTop w:val="0"/>
      <w:marBottom w:val="0"/>
      <w:divBdr>
        <w:top w:val="none" w:sz="0" w:space="0" w:color="auto"/>
        <w:left w:val="none" w:sz="0" w:space="0" w:color="auto"/>
        <w:bottom w:val="none" w:sz="0" w:space="0" w:color="auto"/>
        <w:right w:val="none" w:sz="0" w:space="0" w:color="auto"/>
      </w:divBdr>
    </w:div>
    <w:div w:id="10842110">
      <w:bodyDiv w:val="1"/>
      <w:marLeft w:val="0"/>
      <w:marRight w:val="0"/>
      <w:marTop w:val="0"/>
      <w:marBottom w:val="0"/>
      <w:divBdr>
        <w:top w:val="none" w:sz="0" w:space="0" w:color="auto"/>
        <w:left w:val="none" w:sz="0" w:space="0" w:color="auto"/>
        <w:bottom w:val="none" w:sz="0" w:space="0" w:color="auto"/>
        <w:right w:val="none" w:sz="0" w:space="0" w:color="auto"/>
      </w:divBdr>
    </w:div>
    <w:div w:id="16125611">
      <w:bodyDiv w:val="1"/>
      <w:marLeft w:val="0"/>
      <w:marRight w:val="0"/>
      <w:marTop w:val="0"/>
      <w:marBottom w:val="0"/>
      <w:divBdr>
        <w:top w:val="none" w:sz="0" w:space="0" w:color="auto"/>
        <w:left w:val="none" w:sz="0" w:space="0" w:color="auto"/>
        <w:bottom w:val="none" w:sz="0" w:space="0" w:color="auto"/>
        <w:right w:val="none" w:sz="0" w:space="0" w:color="auto"/>
      </w:divBdr>
    </w:div>
    <w:div w:id="22445754">
      <w:bodyDiv w:val="1"/>
      <w:marLeft w:val="0"/>
      <w:marRight w:val="0"/>
      <w:marTop w:val="0"/>
      <w:marBottom w:val="0"/>
      <w:divBdr>
        <w:top w:val="none" w:sz="0" w:space="0" w:color="auto"/>
        <w:left w:val="none" w:sz="0" w:space="0" w:color="auto"/>
        <w:bottom w:val="none" w:sz="0" w:space="0" w:color="auto"/>
        <w:right w:val="none" w:sz="0" w:space="0" w:color="auto"/>
      </w:divBdr>
    </w:div>
    <w:div w:id="32116427">
      <w:bodyDiv w:val="1"/>
      <w:marLeft w:val="0"/>
      <w:marRight w:val="0"/>
      <w:marTop w:val="0"/>
      <w:marBottom w:val="0"/>
      <w:divBdr>
        <w:top w:val="none" w:sz="0" w:space="0" w:color="auto"/>
        <w:left w:val="none" w:sz="0" w:space="0" w:color="auto"/>
        <w:bottom w:val="none" w:sz="0" w:space="0" w:color="auto"/>
        <w:right w:val="none" w:sz="0" w:space="0" w:color="auto"/>
      </w:divBdr>
    </w:div>
    <w:div w:id="41104528">
      <w:bodyDiv w:val="1"/>
      <w:marLeft w:val="0"/>
      <w:marRight w:val="0"/>
      <w:marTop w:val="0"/>
      <w:marBottom w:val="0"/>
      <w:divBdr>
        <w:top w:val="none" w:sz="0" w:space="0" w:color="auto"/>
        <w:left w:val="none" w:sz="0" w:space="0" w:color="auto"/>
        <w:bottom w:val="none" w:sz="0" w:space="0" w:color="auto"/>
        <w:right w:val="none" w:sz="0" w:space="0" w:color="auto"/>
      </w:divBdr>
    </w:div>
    <w:div w:id="50076731">
      <w:bodyDiv w:val="1"/>
      <w:marLeft w:val="0"/>
      <w:marRight w:val="0"/>
      <w:marTop w:val="0"/>
      <w:marBottom w:val="0"/>
      <w:divBdr>
        <w:top w:val="none" w:sz="0" w:space="0" w:color="auto"/>
        <w:left w:val="none" w:sz="0" w:space="0" w:color="auto"/>
        <w:bottom w:val="none" w:sz="0" w:space="0" w:color="auto"/>
        <w:right w:val="none" w:sz="0" w:space="0" w:color="auto"/>
      </w:divBdr>
    </w:div>
    <w:div w:id="52436685">
      <w:bodyDiv w:val="1"/>
      <w:marLeft w:val="0"/>
      <w:marRight w:val="0"/>
      <w:marTop w:val="0"/>
      <w:marBottom w:val="0"/>
      <w:divBdr>
        <w:top w:val="none" w:sz="0" w:space="0" w:color="auto"/>
        <w:left w:val="none" w:sz="0" w:space="0" w:color="auto"/>
        <w:bottom w:val="none" w:sz="0" w:space="0" w:color="auto"/>
        <w:right w:val="none" w:sz="0" w:space="0" w:color="auto"/>
      </w:divBdr>
    </w:div>
    <w:div w:id="61753716">
      <w:bodyDiv w:val="1"/>
      <w:marLeft w:val="0"/>
      <w:marRight w:val="0"/>
      <w:marTop w:val="0"/>
      <w:marBottom w:val="0"/>
      <w:divBdr>
        <w:top w:val="none" w:sz="0" w:space="0" w:color="auto"/>
        <w:left w:val="none" w:sz="0" w:space="0" w:color="auto"/>
        <w:bottom w:val="none" w:sz="0" w:space="0" w:color="auto"/>
        <w:right w:val="none" w:sz="0" w:space="0" w:color="auto"/>
      </w:divBdr>
    </w:div>
    <w:div w:id="61754810">
      <w:bodyDiv w:val="1"/>
      <w:marLeft w:val="0"/>
      <w:marRight w:val="0"/>
      <w:marTop w:val="0"/>
      <w:marBottom w:val="0"/>
      <w:divBdr>
        <w:top w:val="none" w:sz="0" w:space="0" w:color="auto"/>
        <w:left w:val="none" w:sz="0" w:space="0" w:color="auto"/>
        <w:bottom w:val="none" w:sz="0" w:space="0" w:color="auto"/>
        <w:right w:val="none" w:sz="0" w:space="0" w:color="auto"/>
      </w:divBdr>
    </w:div>
    <w:div w:id="61755471">
      <w:bodyDiv w:val="1"/>
      <w:marLeft w:val="0"/>
      <w:marRight w:val="0"/>
      <w:marTop w:val="0"/>
      <w:marBottom w:val="0"/>
      <w:divBdr>
        <w:top w:val="none" w:sz="0" w:space="0" w:color="auto"/>
        <w:left w:val="none" w:sz="0" w:space="0" w:color="auto"/>
        <w:bottom w:val="none" w:sz="0" w:space="0" w:color="auto"/>
        <w:right w:val="none" w:sz="0" w:space="0" w:color="auto"/>
      </w:divBdr>
    </w:div>
    <w:div w:id="66726560">
      <w:bodyDiv w:val="1"/>
      <w:marLeft w:val="0"/>
      <w:marRight w:val="0"/>
      <w:marTop w:val="0"/>
      <w:marBottom w:val="0"/>
      <w:divBdr>
        <w:top w:val="none" w:sz="0" w:space="0" w:color="auto"/>
        <w:left w:val="none" w:sz="0" w:space="0" w:color="auto"/>
        <w:bottom w:val="none" w:sz="0" w:space="0" w:color="auto"/>
        <w:right w:val="none" w:sz="0" w:space="0" w:color="auto"/>
      </w:divBdr>
    </w:div>
    <w:div w:id="70082501">
      <w:bodyDiv w:val="1"/>
      <w:marLeft w:val="0"/>
      <w:marRight w:val="0"/>
      <w:marTop w:val="0"/>
      <w:marBottom w:val="0"/>
      <w:divBdr>
        <w:top w:val="none" w:sz="0" w:space="0" w:color="auto"/>
        <w:left w:val="none" w:sz="0" w:space="0" w:color="auto"/>
        <w:bottom w:val="none" w:sz="0" w:space="0" w:color="auto"/>
        <w:right w:val="none" w:sz="0" w:space="0" w:color="auto"/>
      </w:divBdr>
    </w:div>
    <w:div w:id="75368387">
      <w:bodyDiv w:val="1"/>
      <w:marLeft w:val="0"/>
      <w:marRight w:val="0"/>
      <w:marTop w:val="0"/>
      <w:marBottom w:val="0"/>
      <w:divBdr>
        <w:top w:val="none" w:sz="0" w:space="0" w:color="auto"/>
        <w:left w:val="none" w:sz="0" w:space="0" w:color="auto"/>
        <w:bottom w:val="none" w:sz="0" w:space="0" w:color="auto"/>
        <w:right w:val="none" w:sz="0" w:space="0" w:color="auto"/>
      </w:divBdr>
    </w:div>
    <w:div w:id="80764837">
      <w:bodyDiv w:val="1"/>
      <w:marLeft w:val="0"/>
      <w:marRight w:val="0"/>
      <w:marTop w:val="0"/>
      <w:marBottom w:val="0"/>
      <w:divBdr>
        <w:top w:val="none" w:sz="0" w:space="0" w:color="auto"/>
        <w:left w:val="none" w:sz="0" w:space="0" w:color="auto"/>
        <w:bottom w:val="none" w:sz="0" w:space="0" w:color="auto"/>
        <w:right w:val="none" w:sz="0" w:space="0" w:color="auto"/>
      </w:divBdr>
    </w:div>
    <w:div w:id="83112317">
      <w:bodyDiv w:val="1"/>
      <w:marLeft w:val="0"/>
      <w:marRight w:val="0"/>
      <w:marTop w:val="0"/>
      <w:marBottom w:val="0"/>
      <w:divBdr>
        <w:top w:val="none" w:sz="0" w:space="0" w:color="auto"/>
        <w:left w:val="none" w:sz="0" w:space="0" w:color="auto"/>
        <w:bottom w:val="none" w:sz="0" w:space="0" w:color="auto"/>
        <w:right w:val="none" w:sz="0" w:space="0" w:color="auto"/>
      </w:divBdr>
    </w:div>
    <w:div w:id="83960353">
      <w:bodyDiv w:val="1"/>
      <w:marLeft w:val="0"/>
      <w:marRight w:val="0"/>
      <w:marTop w:val="0"/>
      <w:marBottom w:val="0"/>
      <w:divBdr>
        <w:top w:val="none" w:sz="0" w:space="0" w:color="auto"/>
        <w:left w:val="none" w:sz="0" w:space="0" w:color="auto"/>
        <w:bottom w:val="none" w:sz="0" w:space="0" w:color="auto"/>
        <w:right w:val="none" w:sz="0" w:space="0" w:color="auto"/>
      </w:divBdr>
    </w:div>
    <w:div w:id="89544743">
      <w:bodyDiv w:val="1"/>
      <w:marLeft w:val="0"/>
      <w:marRight w:val="0"/>
      <w:marTop w:val="0"/>
      <w:marBottom w:val="0"/>
      <w:divBdr>
        <w:top w:val="none" w:sz="0" w:space="0" w:color="auto"/>
        <w:left w:val="none" w:sz="0" w:space="0" w:color="auto"/>
        <w:bottom w:val="none" w:sz="0" w:space="0" w:color="auto"/>
        <w:right w:val="none" w:sz="0" w:space="0" w:color="auto"/>
      </w:divBdr>
    </w:div>
    <w:div w:id="93093882">
      <w:bodyDiv w:val="1"/>
      <w:marLeft w:val="0"/>
      <w:marRight w:val="0"/>
      <w:marTop w:val="0"/>
      <w:marBottom w:val="0"/>
      <w:divBdr>
        <w:top w:val="none" w:sz="0" w:space="0" w:color="auto"/>
        <w:left w:val="none" w:sz="0" w:space="0" w:color="auto"/>
        <w:bottom w:val="none" w:sz="0" w:space="0" w:color="auto"/>
        <w:right w:val="none" w:sz="0" w:space="0" w:color="auto"/>
      </w:divBdr>
    </w:div>
    <w:div w:id="95563654">
      <w:bodyDiv w:val="1"/>
      <w:marLeft w:val="0"/>
      <w:marRight w:val="0"/>
      <w:marTop w:val="0"/>
      <w:marBottom w:val="0"/>
      <w:divBdr>
        <w:top w:val="none" w:sz="0" w:space="0" w:color="auto"/>
        <w:left w:val="none" w:sz="0" w:space="0" w:color="auto"/>
        <w:bottom w:val="none" w:sz="0" w:space="0" w:color="auto"/>
        <w:right w:val="none" w:sz="0" w:space="0" w:color="auto"/>
      </w:divBdr>
    </w:div>
    <w:div w:id="101270712">
      <w:bodyDiv w:val="1"/>
      <w:marLeft w:val="0"/>
      <w:marRight w:val="0"/>
      <w:marTop w:val="0"/>
      <w:marBottom w:val="0"/>
      <w:divBdr>
        <w:top w:val="none" w:sz="0" w:space="0" w:color="auto"/>
        <w:left w:val="none" w:sz="0" w:space="0" w:color="auto"/>
        <w:bottom w:val="none" w:sz="0" w:space="0" w:color="auto"/>
        <w:right w:val="none" w:sz="0" w:space="0" w:color="auto"/>
      </w:divBdr>
    </w:div>
    <w:div w:id="112215817">
      <w:bodyDiv w:val="1"/>
      <w:marLeft w:val="0"/>
      <w:marRight w:val="0"/>
      <w:marTop w:val="0"/>
      <w:marBottom w:val="0"/>
      <w:divBdr>
        <w:top w:val="none" w:sz="0" w:space="0" w:color="auto"/>
        <w:left w:val="none" w:sz="0" w:space="0" w:color="auto"/>
        <w:bottom w:val="none" w:sz="0" w:space="0" w:color="auto"/>
        <w:right w:val="none" w:sz="0" w:space="0" w:color="auto"/>
      </w:divBdr>
    </w:div>
    <w:div w:id="115375191">
      <w:bodyDiv w:val="1"/>
      <w:marLeft w:val="0"/>
      <w:marRight w:val="0"/>
      <w:marTop w:val="0"/>
      <w:marBottom w:val="0"/>
      <w:divBdr>
        <w:top w:val="none" w:sz="0" w:space="0" w:color="auto"/>
        <w:left w:val="none" w:sz="0" w:space="0" w:color="auto"/>
        <w:bottom w:val="none" w:sz="0" w:space="0" w:color="auto"/>
        <w:right w:val="none" w:sz="0" w:space="0" w:color="auto"/>
      </w:divBdr>
    </w:div>
    <w:div w:id="121651505">
      <w:bodyDiv w:val="1"/>
      <w:marLeft w:val="0"/>
      <w:marRight w:val="0"/>
      <w:marTop w:val="0"/>
      <w:marBottom w:val="0"/>
      <w:divBdr>
        <w:top w:val="none" w:sz="0" w:space="0" w:color="auto"/>
        <w:left w:val="none" w:sz="0" w:space="0" w:color="auto"/>
        <w:bottom w:val="none" w:sz="0" w:space="0" w:color="auto"/>
        <w:right w:val="none" w:sz="0" w:space="0" w:color="auto"/>
      </w:divBdr>
    </w:div>
    <w:div w:id="126165982">
      <w:bodyDiv w:val="1"/>
      <w:marLeft w:val="0"/>
      <w:marRight w:val="0"/>
      <w:marTop w:val="0"/>
      <w:marBottom w:val="0"/>
      <w:divBdr>
        <w:top w:val="none" w:sz="0" w:space="0" w:color="auto"/>
        <w:left w:val="none" w:sz="0" w:space="0" w:color="auto"/>
        <w:bottom w:val="none" w:sz="0" w:space="0" w:color="auto"/>
        <w:right w:val="none" w:sz="0" w:space="0" w:color="auto"/>
      </w:divBdr>
    </w:div>
    <w:div w:id="126626844">
      <w:bodyDiv w:val="1"/>
      <w:marLeft w:val="0"/>
      <w:marRight w:val="0"/>
      <w:marTop w:val="0"/>
      <w:marBottom w:val="0"/>
      <w:divBdr>
        <w:top w:val="none" w:sz="0" w:space="0" w:color="auto"/>
        <w:left w:val="none" w:sz="0" w:space="0" w:color="auto"/>
        <w:bottom w:val="none" w:sz="0" w:space="0" w:color="auto"/>
        <w:right w:val="none" w:sz="0" w:space="0" w:color="auto"/>
      </w:divBdr>
    </w:div>
    <w:div w:id="129061571">
      <w:bodyDiv w:val="1"/>
      <w:marLeft w:val="0"/>
      <w:marRight w:val="0"/>
      <w:marTop w:val="0"/>
      <w:marBottom w:val="0"/>
      <w:divBdr>
        <w:top w:val="none" w:sz="0" w:space="0" w:color="auto"/>
        <w:left w:val="none" w:sz="0" w:space="0" w:color="auto"/>
        <w:bottom w:val="none" w:sz="0" w:space="0" w:color="auto"/>
        <w:right w:val="none" w:sz="0" w:space="0" w:color="auto"/>
      </w:divBdr>
    </w:div>
    <w:div w:id="148249697">
      <w:bodyDiv w:val="1"/>
      <w:marLeft w:val="0"/>
      <w:marRight w:val="0"/>
      <w:marTop w:val="0"/>
      <w:marBottom w:val="0"/>
      <w:divBdr>
        <w:top w:val="none" w:sz="0" w:space="0" w:color="auto"/>
        <w:left w:val="none" w:sz="0" w:space="0" w:color="auto"/>
        <w:bottom w:val="none" w:sz="0" w:space="0" w:color="auto"/>
        <w:right w:val="none" w:sz="0" w:space="0" w:color="auto"/>
      </w:divBdr>
    </w:div>
    <w:div w:id="149449003">
      <w:bodyDiv w:val="1"/>
      <w:marLeft w:val="0"/>
      <w:marRight w:val="0"/>
      <w:marTop w:val="0"/>
      <w:marBottom w:val="0"/>
      <w:divBdr>
        <w:top w:val="none" w:sz="0" w:space="0" w:color="auto"/>
        <w:left w:val="none" w:sz="0" w:space="0" w:color="auto"/>
        <w:bottom w:val="none" w:sz="0" w:space="0" w:color="auto"/>
        <w:right w:val="none" w:sz="0" w:space="0" w:color="auto"/>
      </w:divBdr>
    </w:div>
    <w:div w:id="152837012">
      <w:bodyDiv w:val="1"/>
      <w:marLeft w:val="0"/>
      <w:marRight w:val="0"/>
      <w:marTop w:val="0"/>
      <w:marBottom w:val="0"/>
      <w:divBdr>
        <w:top w:val="none" w:sz="0" w:space="0" w:color="auto"/>
        <w:left w:val="none" w:sz="0" w:space="0" w:color="auto"/>
        <w:bottom w:val="none" w:sz="0" w:space="0" w:color="auto"/>
        <w:right w:val="none" w:sz="0" w:space="0" w:color="auto"/>
      </w:divBdr>
    </w:div>
    <w:div w:id="153567164">
      <w:bodyDiv w:val="1"/>
      <w:marLeft w:val="0"/>
      <w:marRight w:val="0"/>
      <w:marTop w:val="0"/>
      <w:marBottom w:val="0"/>
      <w:divBdr>
        <w:top w:val="none" w:sz="0" w:space="0" w:color="auto"/>
        <w:left w:val="none" w:sz="0" w:space="0" w:color="auto"/>
        <w:bottom w:val="none" w:sz="0" w:space="0" w:color="auto"/>
        <w:right w:val="none" w:sz="0" w:space="0" w:color="auto"/>
      </w:divBdr>
    </w:div>
    <w:div w:id="153883544">
      <w:bodyDiv w:val="1"/>
      <w:marLeft w:val="0"/>
      <w:marRight w:val="0"/>
      <w:marTop w:val="0"/>
      <w:marBottom w:val="0"/>
      <w:divBdr>
        <w:top w:val="none" w:sz="0" w:space="0" w:color="auto"/>
        <w:left w:val="none" w:sz="0" w:space="0" w:color="auto"/>
        <w:bottom w:val="none" w:sz="0" w:space="0" w:color="auto"/>
        <w:right w:val="none" w:sz="0" w:space="0" w:color="auto"/>
      </w:divBdr>
    </w:div>
    <w:div w:id="157352949">
      <w:bodyDiv w:val="1"/>
      <w:marLeft w:val="0"/>
      <w:marRight w:val="0"/>
      <w:marTop w:val="0"/>
      <w:marBottom w:val="0"/>
      <w:divBdr>
        <w:top w:val="none" w:sz="0" w:space="0" w:color="auto"/>
        <w:left w:val="none" w:sz="0" w:space="0" w:color="auto"/>
        <w:bottom w:val="none" w:sz="0" w:space="0" w:color="auto"/>
        <w:right w:val="none" w:sz="0" w:space="0" w:color="auto"/>
      </w:divBdr>
      <w:divsChild>
        <w:div w:id="747311886">
          <w:marLeft w:val="0"/>
          <w:marRight w:val="0"/>
          <w:marTop w:val="0"/>
          <w:marBottom w:val="0"/>
          <w:divBdr>
            <w:top w:val="none" w:sz="0" w:space="0" w:color="auto"/>
            <w:left w:val="none" w:sz="0" w:space="0" w:color="auto"/>
            <w:bottom w:val="none" w:sz="0" w:space="0" w:color="auto"/>
            <w:right w:val="none" w:sz="0" w:space="0" w:color="auto"/>
          </w:divBdr>
        </w:div>
      </w:divsChild>
    </w:div>
    <w:div w:id="158546050">
      <w:bodyDiv w:val="1"/>
      <w:marLeft w:val="0"/>
      <w:marRight w:val="0"/>
      <w:marTop w:val="0"/>
      <w:marBottom w:val="0"/>
      <w:divBdr>
        <w:top w:val="none" w:sz="0" w:space="0" w:color="auto"/>
        <w:left w:val="none" w:sz="0" w:space="0" w:color="auto"/>
        <w:bottom w:val="none" w:sz="0" w:space="0" w:color="auto"/>
        <w:right w:val="none" w:sz="0" w:space="0" w:color="auto"/>
      </w:divBdr>
    </w:div>
    <w:div w:id="160052684">
      <w:bodyDiv w:val="1"/>
      <w:marLeft w:val="0"/>
      <w:marRight w:val="0"/>
      <w:marTop w:val="0"/>
      <w:marBottom w:val="0"/>
      <w:divBdr>
        <w:top w:val="none" w:sz="0" w:space="0" w:color="auto"/>
        <w:left w:val="none" w:sz="0" w:space="0" w:color="auto"/>
        <w:bottom w:val="none" w:sz="0" w:space="0" w:color="auto"/>
        <w:right w:val="none" w:sz="0" w:space="0" w:color="auto"/>
      </w:divBdr>
    </w:div>
    <w:div w:id="160199702">
      <w:bodyDiv w:val="1"/>
      <w:marLeft w:val="0"/>
      <w:marRight w:val="0"/>
      <w:marTop w:val="0"/>
      <w:marBottom w:val="0"/>
      <w:divBdr>
        <w:top w:val="none" w:sz="0" w:space="0" w:color="auto"/>
        <w:left w:val="none" w:sz="0" w:space="0" w:color="auto"/>
        <w:bottom w:val="none" w:sz="0" w:space="0" w:color="auto"/>
        <w:right w:val="none" w:sz="0" w:space="0" w:color="auto"/>
      </w:divBdr>
    </w:div>
    <w:div w:id="168374903">
      <w:bodyDiv w:val="1"/>
      <w:marLeft w:val="0"/>
      <w:marRight w:val="0"/>
      <w:marTop w:val="0"/>
      <w:marBottom w:val="0"/>
      <w:divBdr>
        <w:top w:val="none" w:sz="0" w:space="0" w:color="auto"/>
        <w:left w:val="none" w:sz="0" w:space="0" w:color="auto"/>
        <w:bottom w:val="none" w:sz="0" w:space="0" w:color="auto"/>
        <w:right w:val="none" w:sz="0" w:space="0" w:color="auto"/>
      </w:divBdr>
    </w:div>
    <w:div w:id="174347357">
      <w:bodyDiv w:val="1"/>
      <w:marLeft w:val="0"/>
      <w:marRight w:val="0"/>
      <w:marTop w:val="0"/>
      <w:marBottom w:val="0"/>
      <w:divBdr>
        <w:top w:val="none" w:sz="0" w:space="0" w:color="auto"/>
        <w:left w:val="none" w:sz="0" w:space="0" w:color="auto"/>
        <w:bottom w:val="none" w:sz="0" w:space="0" w:color="auto"/>
        <w:right w:val="none" w:sz="0" w:space="0" w:color="auto"/>
      </w:divBdr>
    </w:div>
    <w:div w:id="175005967">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3446961">
      <w:bodyDiv w:val="1"/>
      <w:marLeft w:val="0"/>
      <w:marRight w:val="0"/>
      <w:marTop w:val="0"/>
      <w:marBottom w:val="0"/>
      <w:divBdr>
        <w:top w:val="none" w:sz="0" w:space="0" w:color="auto"/>
        <w:left w:val="none" w:sz="0" w:space="0" w:color="auto"/>
        <w:bottom w:val="none" w:sz="0" w:space="0" w:color="auto"/>
        <w:right w:val="none" w:sz="0" w:space="0" w:color="auto"/>
      </w:divBdr>
    </w:div>
    <w:div w:id="188685619">
      <w:bodyDiv w:val="1"/>
      <w:marLeft w:val="0"/>
      <w:marRight w:val="0"/>
      <w:marTop w:val="0"/>
      <w:marBottom w:val="0"/>
      <w:divBdr>
        <w:top w:val="none" w:sz="0" w:space="0" w:color="auto"/>
        <w:left w:val="none" w:sz="0" w:space="0" w:color="auto"/>
        <w:bottom w:val="none" w:sz="0" w:space="0" w:color="auto"/>
        <w:right w:val="none" w:sz="0" w:space="0" w:color="auto"/>
      </w:divBdr>
    </w:div>
    <w:div w:id="198669462">
      <w:bodyDiv w:val="1"/>
      <w:marLeft w:val="0"/>
      <w:marRight w:val="0"/>
      <w:marTop w:val="0"/>
      <w:marBottom w:val="0"/>
      <w:divBdr>
        <w:top w:val="none" w:sz="0" w:space="0" w:color="auto"/>
        <w:left w:val="none" w:sz="0" w:space="0" w:color="auto"/>
        <w:bottom w:val="none" w:sz="0" w:space="0" w:color="auto"/>
        <w:right w:val="none" w:sz="0" w:space="0" w:color="auto"/>
      </w:divBdr>
      <w:divsChild>
        <w:div w:id="1942643519">
          <w:marLeft w:val="274"/>
          <w:marRight w:val="0"/>
          <w:marTop w:val="0"/>
          <w:marBottom w:val="120"/>
          <w:divBdr>
            <w:top w:val="none" w:sz="0" w:space="0" w:color="auto"/>
            <w:left w:val="none" w:sz="0" w:space="0" w:color="auto"/>
            <w:bottom w:val="none" w:sz="0" w:space="0" w:color="auto"/>
            <w:right w:val="none" w:sz="0" w:space="0" w:color="auto"/>
          </w:divBdr>
        </w:div>
      </w:divsChild>
    </w:div>
    <w:div w:id="200172002">
      <w:bodyDiv w:val="1"/>
      <w:marLeft w:val="0"/>
      <w:marRight w:val="0"/>
      <w:marTop w:val="0"/>
      <w:marBottom w:val="0"/>
      <w:divBdr>
        <w:top w:val="none" w:sz="0" w:space="0" w:color="auto"/>
        <w:left w:val="none" w:sz="0" w:space="0" w:color="auto"/>
        <w:bottom w:val="none" w:sz="0" w:space="0" w:color="auto"/>
        <w:right w:val="none" w:sz="0" w:space="0" w:color="auto"/>
      </w:divBdr>
    </w:div>
    <w:div w:id="200291231">
      <w:bodyDiv w:val="1"/>
      <w:marLeft w:val="0"/>
      <w:marRight w:val="0"/>
      <w:marTop w:val="0"/>
      <w:marBottom w:val="0"/>
      <w:divBdr>
        <w:top w:val="none" w:sz="0" w:space="0" w:color="auto"/>
        <w:left w:val="none" w:sz="0" w:space="0" w:color="auto"/>
        <w:bottom w:val="none" w:sz="0" w:space="0" w:color="auto"/>
        <w:right w:val="none" w:sz="0" w:space="0" w:color="auto"/>
      </w:divBdr>
    </w:div>
    <w:div w:id="206259136">
      <w:bodyDiv w:val="1"/>
      <w:marLeft w:val="0"/>
      <w:marRight w:val="0"/>
      <w:marTop w:val="0"/>
      <w:marBottom w:val="0"/>
      <w:divBdr>
        <w:top w:val="none" w:sz="0" w:space="0" w:color="auto"/>
        <w:left w:val="none" w:sz="0" w:space="0" w:color="auto"/>
        <w:bottom w:val="none" w:sz="0" w:space="0" w:color="auto"/>
        <w:right w:val="none" w:sz="0" w:space="0" w:color="auto"/>
      </w:divBdr>
    </w:div>
    <w:div w:id="218513368">
      <w:bodyDiv w:val="1"/>
      <w:marLeft w:val="0"/>
      <w:marRight w:val="0"/>
      <w:marTop w:val="0"/>
      <w:marBottom w:val="0"/>
      <w:divBdr>
        <w:top w:val="none" w:sz="0" w:space="0" w:color="auto"/>
        <w:left w:val="none" w:sz="0" w:space="0" w:color="auto"/>
        <w:bottom w:val="none" w:sz="0" w:space="0" w:color="auto"/>
        <w:right w:val="none" w:sz="0" w:space="0" w:color="auto"/>
      </w:divBdr>
    </w:div>
    <w:div w:id="229509700">
      <w:bodyDiv w:val="1"/>
      <w:marLeft w:val="0"/>
      <w:marRight w:val="0"/>
      <w:marTop w:val="0"/>
      <w:marBottom w:val="0"/>
      <w:divBdr>
        <w:top w:val="none" w:sz="0" w:space="0" w:color="auto"/>
        <w:left w:val="none" w:sz="0" w:space="0" w:color="auto"/>
        <w:bottom w:val="none" w:sz="0" w:space="0" w:color="auto"/>
        <w:right w:val="none" w:sz="0" w:space="0" w:color="auto"/>
      </w:divBdr>
    </w:div>
    <w:div w:id="238946676">
      <w:bodyDiv w:val="1"/>
      <w:marLeft w:val="0"/>
      <w:marRight w:val="0"/>
      <w:marTop w:val="0"/>
      <w:marBottom w:val="0"/>
      <w:divBdr>
        <w:top w:val="none" w:sz="0" w:space="0" w:color="auto"/>
        <w:left w:val="none" w:sz="0" w:space="0" w:color="auto"/>
        <w:bottom w:val="none" w:sz="0" w:space="0" w:color="auto"/>
        <w:right w:val="none" w:sz="0" w:space="0" w:color="auto"/>
      </w:divBdr>
    </w:div>
    <w:div w:id="242951622">
      <w:bodyDiv w:val="1"/>
      <w:marLeft w:val="0"/>
      <w:marRight w:val="0"/>
      <w:marTop w:val="0"/>
      <w:marBottom w:val="0"/>
      <w:divBdr>
        <w:top w:val="none" w:sz="0" w:space="0" w:color="auto"/>
        <w:left w:val="none" w:sz="0" w:space="0" w:color="auto"/>
        <w:bottom w:val="none" w:sz="0" w:space="0" w:color="auto"/>
        <w:right w:val="none" w:sz="0" w:space="0" w:color="auto"/>
      </w:divBdr>
    </w:div>
    <w:div w:id="243144654">
      <w:bodyDiv w:val="1"/>
      <w:marLeft w:val="0"/>
      <w:marRight w:val="0"/>
      <w:marTop w:val="0"/>
      <w:marBottom w:val="0"/>
      <w:divBdr>
        <w:top w:val="none" w:sz="0" w:space="0" w:color="auto"/>
        <w:left w:val="none" w:sz="0" w:space="0" w:color="auto"/>
        <w:bottom w:val="none" w:sz="0" w:space="0" w:color="auto"/>
        <w:right w:val="none" w:sz="0" w:space="0" w:color="auto"/>
      </w:divBdr>
    </w:div>
    <w:div w:id="244002372">
      <w:bodyDiv w:val="1"/>
      <w:marLeft w:val="0"/>
      <w:marRight w:val="0"/>
      <w:marTop w:val="0"/>
      <w:marBottom w:val="0"/>
      <w:divBdr>
        <w:top w:val="none" w:sz="0" w:space="0" w:color="auto"/>
        <w:left w:val="none" w:sz="0" w:space="0" w:color="auto"/>
        <w:bottom w:val="none" w:sz="0" w:space="0" w:color="auto"/>
        <w:right w:val="none" w:sz="0" w:space="0" w:color="auto"/>
      </w:divBdr>
    </w:div>
    <w:div w:id="245698505">
      <w:bodyDiv w:val="1"/>
      <w:marLeft w:val="0"/>
      <w:marRight w:val="0"/>
      <w:marTop w:val="0"/>
      <w:marBottom w:val="0"/>
      <w:divBdr>
        <w:top w:val="none" w:sz="0" w:space="0" w:color="auto"/>
        <w:left w:val="none" w:sz="0" w:space="0" w:color="auto"/>
        <w:bottom w:val="none" w:sz="0" w:space="0" w:color="auto"/>
        <w:right w:val="none" w:sz="0" w:space="0" w:color="auto"/>
      </w:divBdr>
    </w:div>
    <w:div w:id="261186662">
      <w:bodyDiv w:val="1"/>
      <w:marLeft w:val="0"/>
      <w:marRight w:val="0"/>
      <w:marTop w:val="0"/>
      <w:marBottom w:val="0"/>
      <w:divBdr>
        <w:top w:val="none" w:sz="0" w:space="0" w:color="auto"/>
        <w:left w:val="none" w:sz="0" w:space="0" w:color="auto"/>
        <w:bottom w:val="none" w:sz="0" w:space="0" w:color="auto"/>
        <w:right w:val="none" w:sz="0" w:space="0" w:color="auto"/>
      </w:divBdr>
    </w:div>
    <w:div w:id="274944034">
      <w:bodyDiv w:val="1"/>
      <w:marLeft w:val="0"/>
      <w:marRight w:val="0"/>
      <w:marTop w:val="0"/>
      <w:marBottom w:val="0"/>
      <w:divBdr>
        <w:top w:val="none" w:sz="0" w:space="0" w:color="auto"/>
        <w:left w:val="none" w:sz="0" w:space="0" w:color="auto"/>
        <w:bottom w:val="none" w:sz="0" w:space="0" w:color="auto"/>
        <w:right w:val="none" w:sz="0" w:space="0" w:color="auto"/>
      </w:divBdr>
    </w:div>
    <w:div w:id="286812911">
      <w:bodyDiv w:val="1"/>
      <w:marLeft w:val="0"/>
      <w:marRight w:val="0"/>
      <w:marTop w:val="0"/>
      <w:marBottom w:val="0"/>
      <w:divBdr>
        <w:top w:val="none" w:sz="0" w:space="0" w:color="auto"/>
        <w:left w:val="none" w:sz="0" w:space="0" w:color="auto"/>
        <w:bottom w:val="none" w:sz="0" w:space="0" w:color="auto"/>
        <w:right w:val="none" w:sz="0" w:space="0" w:color="auto"/>
      </w:divBdr>
    </w:div>
    <w:div w:id="290016933">
      <w:bodyDiv w:val="1"/>
      <w:marLeft w:val="0"/>
      <w:marRight w:val="0"/>
      <w:marTop w:val="0"/>
      <w:marBottom w:val="0"/>
      <w:divBdr>
        <w:top w:val="none" w:sz="0" w:space="0" w:color="auto"/>
        <w:left w:val="none" w:sz="0" w:space="0" w:color="auto"/>
        <w:bottom w:val="none" w:sz="0" w:space="0" w:color="auto"/>
        <w:right w:val="none" w:sz="0" w:space="0" w:color="auto"/>
      </w:divBdr>
    </w:div>
    <w:div w:id="299461406">
      <w:bodyDiv w:val="1"/>
      <w:marLeft w:val="0"/>
      <w:marRight w:val="0"/>
      <w:marTop w:val="0"/>
      <w:marBottom w:val="0"/>
      <w:divBdr>
        <w:top w:val="none" w:sz="0" w:space="0" w:color="auto"/>
        <w:left w:val="none" w:sz="0" w:space="0" w:color="auto"/>
        <w:bottom w:val="none" w:sz="0" w:space="0" w:color="auto"/>
        <w:right w:val="none" w:sz="0" w:space="0" w:color="auto"/>
      </w:divBdr>
    </w:div>
    <w:div w:id="301621548">
      <w:bodyDiv w:val="1"/>
      <w:marLeft w:val="0"/>
      <w:marRight w:val="0"/>
      <w:marTop w:val="0"/>
      <w:marBottom w:val="0"/>
      <w:divBdr>
        <w:top w:val="none" w:sz="0" w:space="0" w:color="auto"/>
        <w:left w:val="none" w:sz="0" w:space="0" w:color="auto"/>
        <w:bottom w:val="none" w:sz="0" w:space="0" w:color="auto"/>
        <w:right w:val="none" w:sz="0" w:space="0" w:color="auto"/>
      </w:divBdr>
    </w:div>
    <w:div w:id="306130056">
      <w:bodyDiv w:val="1"/>
      <w:marLeft w:val="0"/>
      <w:marRight w:val="0"/>
      <w:marTop w:val="0"/>
      <w:marBottom w:val="0"/>
      <w:divBdr>
        <w:top w:val="none" w:sz="0" w:space="0" w:color="auto"/>
        <w:left w:val="none" w:sz="0" w:space="0" w:color="auto"/>
        <w:bottom w:val="none" w:sz="0" w:space="0" w:color="auto"/>
        <w:right w:val="none" w:sz="0" w:space="0" w:color="auto"/>
      </w:divBdr>
    </w:div>
    <w:div w:id="306253259">
      <w:bodyDiv w:val="1"/>
      <w:marLeft w:val="0"/>
      <w:marRight w:val="0"/>
      <w:marTop w:val="0"/>
      <w:marBottom w:val="0"/>
      <w:divBdr>
        <w:top w:val="none" w:sz="0" w:space="0" w:color="auto"/>
        <w:left w:val="none" w:sz="0" w:space="0" w:color="auto"/>
        <w:bottom w:val="none" w:sz="0" w:space="0" w:color="auto"/>
        <w:right w:val="none" w:sz="0" w:space="0" w:color="auto"/>
      </w:divBdr>
    </w:div>
    <w:div w:id="308826416">
      <w:bodyDiv w:val="1"/>
      <w:marLeft w:val="0"/>
      <w:marRight w:val="0"/>
      <w:marTop w:val="0"/>
      <w:marBottom w:val="0"/>
      <w:divBdr>
        <w:top w:val="none" w:sz="0" w:space="0" w:color="auto"/>
        <w:left w:val="none" w:sz="0" w:space="0" w:color="auto"/>
        <w:bottom w:val="none" w:sz="0" w:space="0" w:color="auto"/>
        <w:right w:val="none" w:sz="0" w:space="0" w:color="auto"/>
      </w:divBdr>
    </w:div>
    <w:div w:id="308874372">
      <w:bodyDiv w:val="1"/>
      <w:marLeft w:val="0"/>
      <w:marRight w:val="0"/>
      <w:marTop w:val="0"/>
      <w:marBottom w:val="0"/>
      <w:divBdr>
        <w:top w:val="none" w:sz="0" w:space="0" w:color="auto"/>
        <w:left w:val="none" w:sz="0" w:space="0" w:color="auto"/>
        <w:bottom w:val="none" w:sz="0" w:space="0" w:color="auto"/>
        <w:right w:val="none" w:sz="0" w:space="0" w:color="auto"/>
      </w:divBdr>
    </w:div>
    <w:div w:id="321008579">
      <w:bodyDiv w:val="1"/>
      <w:marLeft w:val="0"/>
      <w:marRight w:val="0"/>
      <w:marTop w:val="0"/>
      <w:marBottom w:val="0"/>
      <w:divBdr>
        <w:top w:val="none" w:sz="0" w:space="0" w:color="auto"/>
        <w:left w:val="none" w:sz="0" w:space="0" w:color="auto"/>
        <w:bottom w:val="none" w:sz="0" w:space="0" w:color="auto"/>
        <w:right w:val="none" w:sz="0" w:space="0" w:color="auto"/>
      </w:divBdr>
    </w:div>
    <w:div w:id="324207578">
      <w:bodyDiv w:val="1"/>
      <w:marLeft w:val="0"/>
      <w:marRight w:val="0"/>
      <w:marTop w:val="0"/>
      <w:marBottom w:val="0"/>
      <w:divBdr>
        <w:top w:val="none" w:sz="0" w:space="0" w:color="auto"/>
        <w:left w:val="none" w:sz="0" w:space="0" w:color="auto"/>
        <w:bottom w:val="none" w:sz="0" w:space="0" w:color="auto"/>
        <w:right w:val="none" w:sz="0" w:space="0" w:color="auto"/>
      </w:divBdr>
    </w:div>
    <w:div w:id="327831403">
      <w:bodyDiv w:val="1"/>
      <w:marLeft w:val="0"/>
      <w:marRight w:val="0"/>
      <w:marTop w:val="0"/>
      <w:marBottom w:val="0"/>
      <w:divBdr>
        <w:top w:val="none" w:sz="0" w:space="0" w:color="auto"/>
        <w:left w:val="none" w:sz="0" w:space="0" w:color="auto"/>
        <w:bottom w:val="none" w:sz="0" w:space="0" w:color="auto"/>
        <w:right w:val="none" w:sz="0" w:space="0" w:color="auto"/>
      </w:divBdr>
    </w:div>
    <w:div w:id="332607455">
      <w:bodyDiv w:val="1"/>
      <w:marLeft w:val="0"/>
      <w:marRight w:val="0"/>
      <w:marTop w:val="0"/>
      <w:marBottom w:val="0"/>
      <w:divBdr>
        <w:top w:val="none" w:sz="0" w:space="0" w:color="auto"/>
        <w:left w:val="none" w:sz="0" w:space="0" w:color="auto"/>
        <w:bottom w:val="none" w:sz="0" w:space="0" w:color="auto"/>
        <w:right w:val="none" w:sz="0" w:space="0" w:color="auto"/>
      </w:divBdr>
    </w:div>
    <w:div w:id="336152907">
      <w:bodyDiv w:val="1"/>
      <w:marLeft w:val="0"/>
      <w:marRight w:val="0"/>
      <w:marTop w:val="0"/>
      <w:marBottom w:val="0"/>
      <w:divBdr>
        <w:top w:val="none" w:sz="0" w:space="0" w:color="auto"/>
        <w:left w:val="none" w:sz="0" w:space="0" w:color="auto"/>
        <w:bottom w:val="none" w:sz="0" w:space="0" w:color="auto"/>
        <w:right w:val="none" w:sz="0" w:space="0" w:color="auto"/>
      </w:divBdr>
    </w:div>
    <w:div w:id="337201248">
      <w:bodyDiv w:val="1"/>
      <w:marLeft w:val="0"/>
      <w:marRight w:val="0"/>
      <w:marTop w:val="0"/>
      <w:marBottom w:val="0"/>
      <w:divBdr>
        <w:top w:val="none" w:sz="0" w:space="0" w:color="auto"/>
        <w:left w:val="none" w:sz="0" w:space="0" w:color="auto"/>
        <w:bottom w:val="none" w:sz="0" w:space="0" w:color="auto"/>
        <w:right w:val="none" w:sz="0" w:space="0" w:color="auto"/>
      </w:divBdr>
    </w:div>
    <w:div w:id="343441167">
      <w:bodyDiv w:val="1"/>
      <w:marLeft w:val="0"/>
      <w:marRight w:val="0"/>
      <w:marTop w:val="0"/>
      <w:marBottom w:val="0"/>
      <w:divBdr>
        <w:top w:val="none" w:sz="0" w:space="0" w:color="auto"/>
        <w:left w:val="none" w:sz="0" w:space="0" w:color="auto"/>
        <w:bottom w:val="none" w:sz="0" w:space="0" w:color="auto"/>
        <w:right w:val="none" w:sz="0" w:space="0" w:color="auto"/>
      </w:divBdr>
    </w:div>
    <w:div w:id="349142440">
      <w:bodyDiv w:val="1"/>
      <w:marLeft w:val="0"/>
      <w:marRight w:val="0"/>
      <w:marTop w:val="0"/>
      <w:marBottom w:val="0"/>
      <w:divBdr>
        <w:top w:val="none" w:sz="0" w:space="0" w:color="auto"/>
        <w:left w:val="none" w:sz="0" w:space="0" w:color="auto"/>
        <w:bottom w:val="none" w:sz="0" w:space="0" w:color="auto"/>
        <w:right w:val="none" w:sz="0" w:space="0" w:color="auto"/>
      </w:divBdr>
    </w:div>
    <w:div w:id="351732521">
      <w:bodyDiv w:val="1"/>
      <w:marLeft w:val="0"/>
      <w:marRight w:val="0"/>
      <w:marTop w:val="0"/>
      <w:marBottom w:val="0"/>
      <w:divBdr>
        <w:top w:val="none" w:sz="0" w:space="0" w:color="auto"/>
        <w:left w:val="none" w:sz="0" w:space="0" w:color="auto"/>
        <w:bottom w:val="none" w:sz="0" w:space="0" w:color="auto"/>
        <w:right w:val="none" w:sz="0" w:space="0" w:color="auto"/>
      </w:divBdr>
    </w:div>
    <w:div w:id="352533457">
      <w:bodyDiv w:val="1"/>
      <w:marLeft w:val="0"/>
      <w:marRight w:val="0"/>
      <w:marTop w:val="0"/>
      <w:marBottom w:val="0"/>
      <w:divBdr>
        <w:top w:val="none" w:sz="0" w:space="0" w:color="auto"/>
        <w:left w:val="none" w:sz="0" w:space="0" w:color="auto"/>
        <w:bottom w:val="none" w:sz="0" w:space="0" w:color="auto"/>
        <w:right w:val="none" w:sz="0" w:space="0" w:color="auto"/>
      </w:divBdr>
    </w:div>
    <w:div w:id="356270951">
      <w:bodyDiv w:val="1"/>
      <w:marLeft w:val="0"/>
      <w:marRight w:val="0"/>
      <w:marTop w:val="0"/>
      <w:marBottom w:val="0"/>
      <w:divBdr>
        <w:top w:val="none" w:sz="0" w:space="0" w:color="auto"/>
        <w:left w:val="none" w:sz="0" w:space="0" w:color="auto"/>
        <w:bottom w:val="none" w:sz="0" w:space="0" w:color="auto"/>
        <w:right w:val="none" w:sz="0" w:space="0" w:color="auto"/>
      </w:divBdr>
    </w:div>
    <w:div w:id="364256178">
      <w:bodyDiv w:val="1"/>
      <w:marLeft w:val="0"/>
      <w:marRight w:val="0"/>
      <w:marTop w:val="0"/>
      <w:marBottom w:val="0"/>
      <w:divBdr>
        <w:top w:val="none" w:sz="0" w:space="0" w:color="auto"/>
        <w:left w:val="none" w:sz="0" w:space="0" w:color="auto"/>
        <w:bottom w:val="none" w:sz="0" w:space="0" w:color="auto"/>
        <w:right w:val="none" w:sz="0" w:space="0" w:color="auto"/>
      </w:divBdr>
    </w:div>
    <w:div w:id="372314237">
      <w:bodyDiv w:val="1"/>
      <w:marLeft w:val="0"/>
      <w:marRight w:val="0"/>
      <w:marTop w:val="0"/>
      <w:marBottom w:val="0"/>
      <w:divBdr>
        <w:top w:val="none" w:sz="0" w:space="0" w:color="auto"/>
        <w:left w:val="none" w:sz="0" w:space="0" w:color="auto"/>
        <w:bottom w:val="none" w:sz="0" w:space="0" w:color="auto"/>
        <w:right w:val="none" w:sz="0" w:space="0" w:color="auto"/>
      </w:divBdr>
    </w:div>
    <w:div w:id="375131080">
      <w:bodyDiv w:val="1"/>
      <w:marLeft w:val="0"/>
      <w:marRight w:val="0"/>
      <w:marTop w:val="0"/>
      <w:marBottom w:val="0"/>
      <w:divBdr>
        <w:top w:val="none" w:sz="0" w:space="0" w:color="auto"/>
        <w:left w:val="none" w:sz="0" w:space="0" w:color="auto"/>
        <w:bottom w:val="none" w:sz="0" w:space="0" w:color="auto"/>
        <w:right w:val="none" w:sz="0" w:space="0" w:color="auto"/>
      </w:divBdr>
    </w:div>
    <w:div w:id="377045689">
      <w:bodyDiv w:val="1"/>
      <w:marLeft w:val="0"/>
      <w:marRight w:val="0"/>
      <w:marTop w:val="0"/>
      <w:marBottom w:val="0"/>
      <w:divBdr>
        <w:top w:val="none" w:sz="0" w:space="0" w:color="auto"/>
        <w:left w:val="none" w:sz="0" w:space="0" w:color="auto"/>
        <w:bottom w:val="none" w:sz="0" w:space="0" w:color="auto"/>
        <w:right w:val="none" w:sz="0" w:space="0" w:color="auto"/>
      </w:divBdr>
    </w:div>
    <w:div w:id="377360993">
      <w:bodyDiv w:val="1"/>
      <w:marLeft w:val="0"/>
      <w:marRight w:val="0"/>
      <w:marTop w:val="0"/>
      <w:marBottom w:val="0"/>
      <w:divBdr>
        <w:top w:val="none" w:sz="0" w:space="0" w:color="auto"/>
        <w:left w:val="none" w:sz="0" w:space="0" w:color="auto"/>
        <w:bottom w:val="none" w:sz="0" w:space="0" w:color="auto"/>
        <w:right w:val="none" w:sz="0" w:space="0" w:color="auto"/>
      </w:divBdr>
    </w:div>
    <w:div w:id="379789159">
      <w:bodyDiv w:val="1"/>
      <w:marLeft w:val="0"/>
      <w:marRight w:val="0"/>
      <w:marTop w:val="0"/>
      <w:marBottom w:val="0"/>
      <w:divBdr>
        <w:top w:val="none" w:sz="0" w:space="0" w:color="auto"/>
        <w:left w:val="none" w:sz="0" w:space="0" w:color="auto"/>
        <w:bottom w:val="none" w:sz="0" w:space="0" w:color="auto"/>
        <w:right w:val="none" w:sz="0" w:space="0" w:color="auto"/>
      </w:divBdr>
    </w:div>
    <w:div w:id="379941230">
      <w:bodyDiv w:val="1"/>
      <w:marLeft w:val="0"/>
      <w:marRight w:val="0"/>
      <w:marTop w:val="0"/>
      <w:marBottom w:val="0"/>
      <w:divBdr>
        <w:top w:val="none" w:sz="0" w:space="0" w:color="auto"/>
        <w:left w:val="none" w:sz="0" w:space="0" w:color="auto"/>
        <w:bottom w:val="none" w:sz="0" w:space="0" w:color="auto"/>
        <w:right w:val="none" w:sz="0" w:space="0" w:color="auto"/>
      </w:divBdr>
    </w:div>
    <w:div w:id="382876384">
      <w:bodyDiv w:val="1"/>
      <w:marLeft w:val="0"/>
      <w:marRight w:val="0"/>
      <w:marTop w:val="0"/>
      <w:marBottom w:val="0"/>
      <w:divBdr>
        <w:top w:val="none" w:sz="0" w:space="0" w:color="auto"/>
        <w:left w:val="none" w:sz="0" w:space="0" w:color="auto"/>
        <w:bottom w:val="none" w:sz="0" w:space="0" w:color="auto"/>
        <w:right w:val="none" w:sz="0" w:space="0" w:color="auto"/>
      </w:divBdr>
    </w:div>
    <w:div w:id="382943602">
      <w:bodyDiv w:val="1"/>
      <w:marLeft w:val="0"/>
      <w:marRight w:val="0"/>
      <w:marTop w:val="0"/>
      <w:marBottom w:val="0"/>
      <w:divBdr>
        <w:top w:val="none" w:sz="0" w:space="0" w:color="auto"/>
        <w:left w:val="none" w:sz="0" w:space="0" w:color="auto"/>
        <w:bottom w:val="none" w:sz="0" w:space="0" w:color="auto"/>
        <w:right w:val="none" w:sz="0" w:space="0" w:color="auto"/>
      </w:divBdr>
    </w:div>
    <w:div w:id="385955508">
      <w:bodyDiv w:val="1"/>
      <w:marLeft w:val="0"/>
      <w:marRight w:val="0"/>
      <w:marTop w:val="0"/>
      <w:marBottom w:val="0"/>
      <w:divBdr>
        <w:top w:val="none" w:sz="0" w:space="0" w:color="auto"/>
        <w:left w:val="none" w:sz="0" w:space="0" w:color="auto"/>
        <w:bottom w:val="none" w:sz="0" w:space="0" w:color="auto"/>
        <w:right w:val="none" w:sz="0" w:space="0" w:color="auto"/>
      </w:divBdr>
    </w:div>
    <w:div w:id="390470739">
      <w:bodyDiv w:val="1"/>
      <w:marLeft w:val="0"/>
      <w:marRight w:val="0"/>
      <w:marTop w:val="0"/>
      <w:marBottom w:val="0"/>
      <w:divBdr>
        <w:top w:val="none" w:sz="0" w:space="0" w:color="auto"/>
        <w:left w:val="none" w:sz="0" w:space="0" w:color="auto"/>
        <w:bottom w:val="none" w:sz="0" w:space="0" w:color="auto"/>
        <w:right w:val="none" w:sz="0" w:space="0" w:color="auto"/>
      </w:divBdr>
    </w:div>
    <w:div w:id="391200430">
      <w:bodyDiv w:val="1"/>
      <w:marLeft w:val="0"/>
      <w:marRight w:val="0"/>
      <w:marTop w:val="0"/>
      <w:marBottom w:val="0"/>
      <w:divBdr>
        <w:top w:val="none" w:sz="0" w:space="0" w:color="auto"/>
        <w:left w:val="none" w:sz="0" w:space="0" w:color="auto"/>
        <w:bottom w:val="none" w:sz="0" w:space="0" w:color="auto"/>
        <w:right w:val="none" w:sz="0" w:space="0" w:color="auto"/>
      </w:divBdr>
    </w:div>
    <w:div w:id="405341334">
      <w:bodyDiv w:val="1"/>
      <w:marLeft w:val="0"/>
      <w:marRight w:val="0"/>
      <w:marTop w:val="0"/>
      <w:marBottom w:val="0"/>
      <w:divBdr>
        <w:top w:val="none" w:sz="0" w:space="0" w:color="auto"/>
        <w:left w:val="none" w:sz="0" w:space="0" w:color="auto"/>
        <w:bottom w:val="none" w:sz="0" w:space="0" w:color="auto"/>
        <w:right w:val="none" w:sz="0" w:space="0" w:color="auto"/>
      </w:divBdr>
    </w:div>
    <w:div w:id="411439839">
      <w:bodyDiv w:val="1"/>
      <w:marLeft w:val="0"/>
      <w:marRight w:val="0"/>
      <w:marTop w:val="0"/>
      <w:marBottom w:val="0"/>
      <w:divBdr>
        <w:top w:val="none" w:sz="0" w:space="0" w:color="auto"/>
        <w:left w:val="none" w:sz="0" w:space="0" w:color="auto"/>
        <w:bottom w:val="none" w:sz="0" w:space="0" w:color="auto"/>
        <w:right w:val="none" w:sz="0" w:space="0" w:color="auto"/>
      </w:divBdr>
    </w:div>
    <w:div w:id="412053060">
      <w:bodyDiv w:val="1"/>
      <w:marLeft w:val="0"/>
      <w:marRight w:val="0"/>
      <w:marTop w:val="0"/>
      <w:marBottom w:val="0"/>
      <w:divBdr>
        <w:top w:val="none" w:sz="0" w:space="0" w:color="auto"/>
        <w:left w:val="none" w:sz="0" w:space="0" w:color="auto"/>
        <w:bottom w:val="none" w:sz="0" w:space="0" w:color="auto"/>
        <w:right w:val="none" w:sz="0" w:space="0" w:color="auto"/>
      </w:divBdr>
    </w:div>
    <w:div w:id="418450685">
      <w:bodyDiv w:val="1"/>
      <w:marLeft w:val="0"/>
      <w:marRight w:val="0"/>
      <w:marTop w:val="0"/>
      <w:marBottom w:val="0"/>
      <w:divBdr>
        <w:top w:val="none" w:sz="0" w:space="0" w:color="auto"/>
        <w:left w:val="none" w:sz="0" w:space="0" w:color="auto"/>
        <w:bottom w:val="none" w:sz="0" w:space="0" w:color="auto"/>
        <w:right w:val="none" w:sz="0" w:space="0" w:color="auto"/>
      </w:divBdr>
    </w:div>
    <w:div w:id="422729511">
      <w:bodyDiv w:val="1"/>
      <w:marLeft w:val="0"/>
      <w:marRight w:val="0"/>
      <w:marTop w:val="0"/>
      <w:marBottom w:val="0"/>
      <w:divBdr>
        <w:top w:val="none" w:sz="0" w:space="0" w:color="auto"/>
        <w:left w:val="none" w:sz="0" w:space="0" w:color="auto"/>
        <w:bottom w:val="none" w:sz="0" w:space="0" w:color="auto"/>
        <w:right w:val="none" w:sz="0" w:space="0" w:color="auto"/>
      </w:divBdr>
    </w:div>
    <w:div w:id="426343696">
      <w:bodyDiv w:val="1"/>
      <w:marLeft w:val="0"/>
      <w:marRight w:val="0"/>
      <w:marTop w:val="0"/>
      <w:marBottom w:val="0"/>
      <w:divBdr>
        <w:top w:val="none" w:sz="0" w:space="0" w:color="auto"/>
        <w:left w:val="none" w:sz="0" w:space="0" w:color="auto"/>
        <w:bottom w:val="none" w:sz="0" w:space="0" w:color="auto"/>
        <w:right w:val="none" w:sz="0" w:space="0" w:color="auto"/>
      </w:divBdr>
    </w:div>
    <w:div w:id="428283886">
      <w:bodyDiv w:val="1"/>
      <w:marLeft w:val="0"/>
      <w:marRight w:val="0"/>
      <w:marTop w:val="0"/>
      <w:marBottom w:val="0"/>
      <w:divBdr>
        <w:top w:val="none" w:sz="0" w:space="0" w:color="auto"/>
        <w:left w:val="none" w:sz="0" w:space="0" w:color="auto"/>
        <w:bottom w:val="none" w:sz="0" w:space="0" w:color="auto"/>
        <w:right w:val="none" w:sz="0" w:space="0" w:color="auto"/>
      </w:divBdr>
    </w:div>
    <w:div w:id="429205425">
      <w:bodyDiv w:val="1"/>
      <w:marLeft w:val="0"/>
      <w:marRight w:val="0"/>
      <w:marTop w:val="0"/>
      <w:marBottom w:val="0"/>
      <w:divBdr>
        <w:top w:val="none" w:sz="0" w:space="0" w:color="auto"/>
        <w:left w:val="none" w:sz="0" w:space="0" w:color="auto"/>
        <w:bottom w:val="none" w:sz="0" w:space="0" w:color="auto"/>
        <w:right w:val="none" w:sz="0" w:space="0" w:color="auto"/>
      </w:divBdr>
    </w:div>
    <w:div w:id="432362590">
      <w:bodyDiv w:val="1"/>
      <w:marLeft w:val="0"/>
      <w:marRight w:val="0"/>
      <w:marTop w:val="0"/>
      <w:marBottom w:val="0"/>
      <w:divBdr>
        <w:top w:val="none" w:sz="0" w:space="0" w:color="auto"/>
        <w:left w:val="none" w:sz="0" w:space="0" w:color="auto"/>
        <w:bottom w:val="none" w:sz="0" w:space="0" w:color="auto"/>
        <w:right w:val="none" w:sz="0" w:space="0" w:color="auto"/>
      </w:divBdr>
    </w:div>
    <w:div w:id="455104674">
      <w:bodyDiv w:val="1"/>
      <w:marLeft w:val="0"/>
      <w:marRight w:val="0"/>
      <w:marTop w:val="0"/>
      <w:marBottom w:val="0"/>
      <w:divBdr>
        <w:top w:val="none" w:sz="0" w:space="0" w:color="auto"/>
        <w:left w:val="none" w:sz="0" w:space="0" w:color="auto"/>
        <w:bottom w:val="none" w:sz="0" w:space="0" w:color="auto"/>
        <w:right w:val="none" w:sz="0" w:space="0" w:color="auto"/>
      </w:divBdr>
    </w:div>
    <w:div w:id="456073800">
      <w:bodyDiv w:val="1"/>
      <w:marLeft w:val="0"/>
      <w:marRight w:val="0"/>
      <w:marTop w:val="0"/>
      <w:marBottom w:val="0"/>
      <w:divBdr>
        <w:top w:val="none" w:sz="0" w:space="0" w:color="auto"/>
        <w:left w:val="none" w:sz="0" w:space="0" w:color="auto"/>
        <w:bottom w:val="none" w:sz="0" w:space="0" w:color="auto"/>
        <w:right w:val="none" w:sz="0" w:space="0" w:color="auto"/>
      </w:divBdr>
    </w:div>
    <w:div w:id="458230124">
      <w:bodyDiv w:val="1"/>
      <w:marLeft w:val="0"/>
      <w:marRight w:val="0"/>
      <w:marTop w:val="0"/>
      <w:marBottom w:val="0"/>
      <w:divBdr>
        <w:top w:val="none" w:sz="0" w:space="0" w:color="auto"/>
        <w:left w:val="none" w:sz="0" w:space="0" w:color="auto"/>
        <w:bottom w:val="none" w:sz="0" w:space="0" w:color="auto"/>
        <w:right w:val="none" w:sz="0" w:space="0" w:color="auto"/>
      </w:divBdr>
    </w:div>
    <w:div w:id="459809751">
      <w:bodyDiv w:val="1"/>
      <w:marLeft w:val="0"/>
      <w:marRight w:val="0"/>
      <w:marTop w:val="0"/>
      <w:marBottom w:val="0"/>
      <w:divBdr>
        <w:top w:val="none" w:sz="0" w:space="0" w:color="auto"/>
        <w:left w:val="none" w:sz="0" w:space="0" w:color="auto"/>
        <w:bottom w:val="none" w:sz="0" w:space="0" w:color="auto"/>
        <w:right w:val="none" w:sz="0" w:space="0" w:color="auto"/>
      </w:divBdr>
    </w:div>
    <w:div w:id="461650647">
      <w:bodyDiv w:val="1"/>
      <w:marLeft w:val="0"/>
      <w:marRight w:val="0"/>
      <w:marTop w:val="0"/>
      <w:marBottom w:val="0"/>
      <w:divBdr>
        <w:top w:val="none" w:sz="0" w:space="0" w:color="auto"/>
        <w:left w:val="none" w:sz="0" w:space="0" w:color="auto"/>
        <w:bottom w:val="none" w:sz="0" w:space="0" w:color="auto"/>
        <w:right w:val="none" w:sz="0" w:space="0" w:color="auto"/>
      </w:divBdr>
    </w:div>
    <w:div w:id="465508341">
      <w:bodyDiv w:val="1"/>
      <w:marLeft w:val="0"/>
      <w:marRight w:val="0"/>
      <w:marTop w:val="0"/>
      <w:marBottom w:val="0"/>
      <w:divBdr>
        <w:top w:val="none" w:sz="0" w:space="0" w:color="auto"/>
        <w:left w:val="none" w:sz="0" w:space="0" w:color="auto"/>
        <w:bottom w:val="none" w:sz="0" w:space="0" w:color="auto"/>
        <w:right w:val="none" w:sz="0" w:space="0" w:color="auto"/>
      </w:divBdr>
    </w:div>
    <w:div w:id="473718166">
      <w:bodyDiv w:val="1"/>
      <w:marLeft w:val="0"/>
      <w:marRight w:val="0"/>
      <w:marTop w:val="0"/>
      <w:marBottom w:val="0"/>
      <w:divBdr>
        <w:top w:val="none" w:sz="0" w:space="0" w:color="auto"/>
        <w:left w:val="none" w:sz="0" w:space="0" w:color="auto"/>
        <w:bottom w:val="none" w:sz="0" w:space="0" w:color="auto"/>
        <w:right w:val="none" w:sz="0" w:space="0" w:color="auto"/>
      </w:divBdr>
    </w:div>
    <w:div w:id="474300949">
      <w:bodyDiv w:val="1"/>
      <w:marLeft w:val="0"/>
      <w:marRight w:val="0"/>
      <w:marTop w:val="0"/>
      <w:marBottom w:val="0"/>
      <w:divBdr>
        <w:top w:val="none" w:sz="0" w:space="0" w:color="auto"/>
        <w:left w:val="none" w:sz="0" w:space="0" w:color="auto"/>
        <w:bottom w:val="none" w:sz="0" w:space="0" w:color="auto"/>
        <w:right w:val="none" w:sz="0" w:space="0" w:color="auto"/>
      </w:divBdr>
      <w:divsChild>
        <w:div w:id="67194819">
          <w:marLeft w:val="562"/>
          <w:marRight w:val="0"/>
          <w:marTop w:val="240"/>
          <w:marBottom w:val="0"/>
          <w:divBdr>
            <w:top w:val="none" w:sz="0" w:space="0" w:color="auto"/>
            <w:left w:val="none" w:sz="0" w:space="0" w:color="auto"/>
            <w:bottom w:val="none" w:sz="0" w:space="0" w:color="auto"/>
            <w:right w:val="none" w:sz="0" w:space="0" w:color="auto"/>
          </w:divBdr>
        </w:div>
      </w:divsChild>
    </w:div>
    <w:div w:id="477381838">
      <w:bodyDiv w:val="1"/>
      <w:marLeft w:val="0"/>
      <w:marRight w:val="0"/>
      <w:marTop w:val="0"/>
      <w:marBottom w:val="0"/>
      <w:divBdr>
        <w:top w:val="none" w:sz="0" w:space="0" w:color="auto"/>
        <w:left w:val="none" w:sz="0" w:space="0" w:color="auto"/>
        <w:bottom w:val="none" w:sz="0" w:space="0" w:color="auto"/>
        <w:right w:val="none" w:sz="0" w:space="0" w:color="auto"/>
      </w:divBdr>
    </w:div>
    <w:div w:id="478887774">
      <w:bodyDiv w:val="1"/>
      <w:marLeft w:val="0"/>
      <w:marRight w:val="0"/>
      <w:marTop w:val="0"/>
      <w:marBottom w:val="0"/>
      <w:divBdr>
        <w:top w:val="none" w:sz="0" w:space="0" w:color="auto"/>
        <w:left w:val="none" w:sz="0" w:space="0" w:color="auto"/>
        <w:bottom w:val="none" w:sz="0" w:space="0" w:color="auto"/>
        <w:right w:val="none" w:sz="0" w:space="0" w:color="auto"/>
      </w:divBdr>
    </w:div>
    <w:div w:id="480731578">
      <w:bodyDiv w:val="1"/>
      <w:marLeft w:val="0"/>
      <w:marRight w:val="0"/>
      <w:marTop w:val="0"/>
      <w:marBottom w:val="0"/>
      <w:divBdr>
        <w:top w:val="none" w:sz="0" w:space="0" w:color="auto"/>
        <w:left w:val="none" w:sz="0" w:space="0" w:color="auto"/>
        <w:bottom w:val="none" w:sz="0" w:space="0" w:color="auto"/>
        <w:right w:val="none" w:sz="0" w:space="0" w:color="auto"/>
      </w:divBdr>
    </w:div>
    <w:div w:id="482695673">
      <w:bodyDiv w:val="1"/>
      <w:marLeft w:val="0"/>
      <w:marRight w:val="0"/>
      <w:marTop w:val="0"/>
      <w:marBottom w:val="0"/>
      <w:divBdr>
        <w:top w:val="none" w:sz="0" w:space="0" w:color="auto"/>
        <w:left w:val="none" w:sz="0" w:space="0" w:color="auto"/>
        <w:bottom w:val="none" w:sz="0" w:space="0" w:color="auto"/>
        <w:right w:val="none" w:sz="0" w:space="0" w:color="auto"/>
      </w:divBdr>
    </w:div>
    <w:div w:id="489323322">
      <w:bodyDiv w:val="1"/>
      <w:marLeft w:val="0"/>
      <w:marRight w:val="0"/>
      <w:marTop w:val="0"/>
      <w:marBottom w:val="0"/>
      <w:divBdr>
        <w:top w:val="none" w:sz="0" w:space="0" w:color="auto"/>
        <w:left w:val="none" w:sz="0" w:space="0" w:color="auto"/>
        <w:bottom w:val="none" w:sz="0" w:space="0" w:color="auto"/>
        <w:right w:val="none" w:sz="0" w:space="0" w:color="auto"/>
      </w:divBdr>
    </w:div>
    <w:div w:id="496578774">
      <w:bodyDiv w:val="1"/>
      <w:marLeft w:val="0"/>
      <w:marRight w:val="0"/>
      <w:marTop w:val="0"/>
      <w:marBottom w:val="0"/>
      <w:divBdr>
        <w:top w:val="none" w:sz="0" w:space="0" w:color="auto"/>
        <w:left w:val="none" w:sz="0" w:space="0" w:color="auto"/>
        <w:bottom w:val="none" w:sz="0" w:space="0" w:color="auto"/>
        <w:right w:val="none" w:sz="0" w:space="0" w:color="auto"/>
      </w:divBdr>
      <w:divsChild>
        <w:div w:id="1578130743">
          <w:marLeft w:val="0"/>
          <w:marRight w:val="0"/>
          <w:marTop w:val="0"/>
          <w:marBottom w:val="0"/>
          <w:divBdr>
            <w:top w:val="none" w:sz="0" w:space="0" w:color="auto"/>
            <w:left w:val="none" w:sz="0" w:space="0" w:color="auto"/>
            <w:bottom w:val="none" w:sz="0" w:space="0" w:color="auto"/>
            <w:right w:val="none" w:sz="0" w:space="0" w:color="auto"/>
          </w:divBdr>
          <w:divsChild>
            <w:div w:id="216822878">
              <w:marLeft w:val="0"/>
              <w:marRight w:val="0"/>
              <w:marTop w:val="0"/>
              <w:marBottom w:val="0"/>
              <w:divBdr>
                <w:top w:val="none" w:sz="0" w:space="0" w:color="auto"/>
                <w:left w:val="none" w:sz="0" w:space="0" w:color="auto"/>
                <w:bottom w:val="none" w:sz="0" w:space="0" w:color="auto"/>
                <w:right w:val="none" w:sz="0" w:space="0" w:color="auto"/>
              </w:divBdr>
              <w:divsChild>
                <w:div w:id="661009225">
                  <w:marLeft w:val="0"/>
                  <w:marRight w:val="0"/>
                  <w:marTop w:val="0"/>
                  <w:marBottom w:val="0"/>
                  <w:divBdr>
                    <w:top w:val="none" w:sz="0" w:space="0" w:color="auto"/>
                    <w:left w:val="none" w:sz="0" w:space="0" w:color="auto"/>
                    <w:bottom w:val="none" w:sz="0" w:space="0" w:color="auto"/>
                    <w:right w:val="none" w:sz="0" w:space="0" w:color="auto"/>
                  </w:divBdr>
                </w:div>
                <w:div w:id="920260625">
                  <w:marLeft w:val="0"/>
                  <w:marRight w:val="0"/>
                  <w:marTop w:val="0"/>
                  <w:marBottom w:val="0"/>
                  <w:divBdr>
                    <w:top w:val="none" w:sz="0" w:space="0" w:color="auto"/>
                    <w:left w:val="none" w:sz="0" w:space="0" w:color="auto"/>
                    <w:bottom w:val="none" w:sz="0" w:space="0" w:color="auto"/>
                    <w:right w:val="none" w:sz="0" w:space="0" w:color="auto"/>
                  </w:divBdr>
                </w:div>
                <w:div w:id="1769234849">
                  <w:marLeft w:val="0"/>
                  <w:marRight w:val="0"/>
                  <w:marTop w:val="0"/>
                  <w:marBottom w:val="0"/>
                  <w:divBdr>
                    <w:top w:val="none" w:sz="0" w:space="0" w:color="auto"/>
                    <w:left w:val="none" w:sz="0" w:space="0" w:color="auto"/>
                    <w:bottom w:val="none" w:sz="0" w:space="0" w:color="auto"/>
                    <w:right w:val="none" w:sz="0" w:space="0" w:color="auto"/>
                  </w:divBdr>
                </w:div>
                <w:div w:id="1874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4396">
      <w:bodyDiv w:val="1"/>
      <w:marLeft w:val="0"/>
      <w:marRight w:val="0"/>
      <w:marTop w:val="0"/>
      <w:marBottom w:val="0"/>
      <w:divBdr>
        <w:top w:val="none" w:sz="0" w:space="0" w:color="auto"/>
        <w:left w:val="none" w:sz="0" w:space="0" w:color="auto"/>
        <w:bottom w:val="none" w:sz="0" w:space="0" w:color="auto"/>
        <w:right w:val="none" w:sz="0" w:space="0" w:color="auto"/>
      </w:divBdr>
    </w:div>
    <w:div w:id="504824119">
      <w:bodyDiv w:val="1"/>
      <w:marLeft w:val="0"/>
      <w:marRight w:val="0"/>
      <w:marTop w:val="0"/>
      <w:marBottom w:val="0"/>
      <w:divBdr>
        <w:top w:val="none" w:sz="0" w:space="0" w:color="auto"/>
        <w:left w:val="none" w:sz="0" w:space="0" w:color="auto"/>
        <w:bottom w:val="none" w:sz="0" w:space="0" w:color="auto"/>
        <w:right w:val="none" w:sz="0" w:space="0" w:color="auto"/>
      </w:divBdr>
    </w:div>
    <w:div w:id="505098719">
      <w:bodyDiv w:val="1"/>
      <w:marLeft w:val="0"/>
      <w:marRight w:val="0"/>
      <w:marTop w:val="0"/>
      <w:marBottom w:val="0"/>
      <w:divBdr>
        <w:top w:val="none" w:sz="0" w:space="0" w:color="auto"/>
        <w:left w:val="none" w:sz="0" w:space="0" w:color="auto"/>
        <w:bottom w:val="none" w:sz="0" w:space="0" w:color="auto"/>
        <w:right w:val="none" w:sz="0" w:space="0" w:color="auto"/>
      </w:divBdr>
    </w:div>
    <w:div w:id="505901683">
      <w:bodyDiv w:val="1"/>
      <w:marLeft w:val="0"/>
      <w:marRight w:val="0"/>
      <w:marTop w:val="0"/>
      <w:marBottom w:val="0"/>
      <w:divBdr>
        <w:top w:val="none" w:sz="0" w:space="0" w:color="auto"/>
        <w:left w:val="none" w:sz="0" w:space="0" w:color="auto"/>
        <w:bottom w:val="none" w:sz="0" w:space="0" w:color="auto"/>
        <w:right w:val="none" w:sz="0" w:space="0" w:color="auto"/>
      </w:divBdr>
    </w:div>
    <w:div w:id="512257991">
      <w:bodyDiv w:val="1"/>
      <w:marLeft w:val="0"/>
      <w:marRight w:val="0"/>
      <w:marTop w:val="0"/>
      <w:marBottom w:val="0"/>
      <w:divBdr>
        <w:top w:val="none" w:sz="0" w:space="0" w:color="auto"/>
        <w:left w:val="none" w:sz="0" w:space="0" w:color="auto"/>
        <w:bottom w:val="none" w:sz="0" w:space="0" w:color="auto"/>
        <w:right w:val="none" w:sz="0" w:space="0" w:color="auto"/>
      </w:divBdr>
    </w:div>
    <w:div w:id="515074936">
      <w:bodyDiv w:val="1"/>
      <w:marLeft w:val="0"/>
      <w:marRight w:val="0"/>
      <w:marTop w:val="0"/>
      <w:marBottom w:val="0"/>
      <w:divBdr>
        <w:top w:val="none" w:sz="0" w:space="0" w:color="auto"/>
        <w:left w:val="none" w:sz="0" w:space="0" w:color="auto"/>
        <w:bottom w:val="none" w:sz="0" w:space="0" w:color="auto"/>
        <w:right w:val="none" w:sz="0" w:space="0" w:color="auto"/>
      </w:divBdr>
    </w:div>
    <w:div w:id="516236880">
      <w:bodyDiv w:val="1"/>
      <w:marLeft w:val="0"/>
      <w:marRight w:val="0"/>
      <w:marTop w:val="0"/>
      <w:marBottom w:val="0"/>
      <w:divBdr>
        <w:top w:val="none" w:sz="0" w:space="0" w:color="auto"/>
        <w:left w:val="none" w:sz="0" w:space="0" w:color="auto"/>
        <w:bottom w:val="none" w:sz="0" w:space="0" w:color="auto"/>
        <w:right w:val="none" w:sz="0" w:space="0" w:color="auto"/>
      </w:divBdr>
    </w:div>
    <w:div w:id="517426480">
      <w:bodyDiv w:val="1"/>
      <w:marLeft w:val="0"/>
      <w:marRight w:val="0"/>
      <w:marTop w:val="0"/>
      <w:marBottom w:val="0"/>
      <w:divBdr>
        <w:top w:val="none" w:sz="0" w:space="0" w:color="auto"/>
        <w:left w:val="none" w:sz="0" w:space="0" w:color="auto"/>
        <w:bottom w:val="none" w:sz="0" w:space="0" w:color="auto"/>
        <w:right w:val="none" w:sz="0" w:space="0" w:color="auto"/>
      </w:divBdr>
    </w:div>
    <w:div w:id="531725917">
      <w:bodyDiv w:val="1"/>
      <w:marLeft w:val="0"/>
      <w:marRight w:val="0"/>
      <w:marTop w:val="0"/>
      <w:marBottom w:val="0"/>
      <w:divBdr>
        <w:top w:val="none" w:sz="0" w:space="0" w:color="auto"/>
        <w:left w:val="none" w:sz="0" w:space="0" w:color="auto"/>
        <w:bottom w:val="none" w:sz="0" w:space="0" w:color="auto"/>
        <w:right w:val="none" w:sz="0" w:space="0" w:color="auto"/>
      </w:divBdr>
    </w:div>
    <w:div w:id="535852864">
      <w:bodyDiv w:val="1"/>
      <w:marLeft w:val="0"/>
      <w:marRight w:val="0"/>
      <w:marTop w:val="0"/>
      <w:marBottom w:val="0"/>
      <w:divBdr>
        <w:top w:val="none" w:sz="0" w:space="0" w:color="auto"/>
        <w:left w:val="none" w:sz="0" w:space="0" w:color="auto"/>
        <w:bottom w:val="none" w:sz="0" w:space="0" w:color="auto"/>
        <w:right w:val="none" w:sz="0" w:space="0" w:color="auto"/>
      </w:divBdr>
    </w:div>
    <w:div w:id="540820651">
      <w:bodyDiv w:val="1"/>
      <w:marLeft w:val="0"/>
      <w:marRight w:val="0"/>
      <w:marTop w:val="0"/>
      <w:marBottom w:val="0"/>
      <w:divBdr>
        <w:top w:val="none" w:sz="0" w:space="0" w:color="auto"/>
        <w:left w:val="none" w:sz="0" w:space="0" w:color="auto"/>
        <w:bottom w:val="none" w:sz="0" w:space="0" w:color="auto"/>
        <w:right w:val="none" w:sz="0" w:space="0" w:color="auto"/>
      </w:divBdr>
    </w:div>
    <w:div w:id="545801412">
      <w:bodyDiv w:val="1"/>
      <w:marLeft w:val="0"/>
      <w:marRight w:val="0"/>
      <w:marTop w:val="0"/>
      <w:marBottom w:val="0"/>
      <w:divBdr>
        <w:top w:val="none" w:sz="0" w:space="0" w:color="auto"/>
        <w:left w:val="none" w:sz="0" w:space="0" w:color="auto"/>
        <w:bottom w:val="none" w:sz="0" w:space="0" w:color="auto"/>
        <w:right w:val="none" w:sz="0" w:space="0" w:color="auto"/>
      </w:divBdr>
    </w:div>
    <w:div w:id="553197821">
      <w:bodyDiv w:val="1"/>
      <w:marLeft w:val="0"/>
      <w:marRight w:val="0"/>
      <w:marTop w:val="0"/>
      <w:marBottom w:val="0"/>
      <w:divBdr>
        <w:top w:val="none" w:sz="0" w:space="0" w:color="auto"/>
        <w:left w:val="none" w:sz="0" w:space="0" w:color="auto"/>
        <w:bottom w:val="none" w:sz="0" w:space="0" w:color="auto"/>
        <w:right w:val="none" w:sz="0" w:space="0" w:color="auto"/>
      </w:divBdr>
    </w:div>
    <w:div w:id="570044772">
      <w:bodyDiv w:val="1"/>
      <w:marLeft w:val="0"/>
      <w:marRight w:val="0"/>
      <w:marTop w:val="0"/>
      <w:marBottom w:val="0"/>
      <w:divBdr>
        <w:top w:val="none" w:sz="0" w:space="0" w:color="auto"/>
        <w:left w:val="none" w:sz="0" w:space="0" w:color="auto"/>
        <w:bottom w:val="none" w:sz="0" w:space="0" w:color="auto"/>
        <w:right w:val="none" w:sz="0" w:space="0" w:color="auto"/>
      </w:divBdr>
      <w:divsChild>
        <w:div w:id="1081175809">
          <w:marLeft w:val="562"/>
          <w:marRight w:val="0"/>
          <w:marTop w:val="240"/>
          <w:marBottom w:val="0"/>
          <w:divBdr>
            <w:top w:val="none" w:sz="0" w:space="0" w:color="auto"/>
            <w:left w:val="none" w:sz="0" w:space="0" w:color="auto"/>
            <w:bottom w:val="none" w:sz="0" w:space="0" w:color="auto"/>
            <w:right w:val="none" w:sz="0" w:space="0" w:color="auto"/>
          </w:divBdr>
        </w:div>
      </w:divsChild>
    </w:div>
    <w:div w:id="572667110">
      <w:bodyDiv w:val="1"/>
      <w:marLeft w:val="0"/>
      <w:marRight w:val="0"/>
      <w:marTop w:val="0"/>
      <w:marBottom w:val="0"/>
      <w:divBdr>
        <w:top w:val="none" w:sz="0" w:space="0" w:color="auto"/>
        <w:left w:val="none" w:sz="0" w:space="0" w:color="auto"/>
        <w:bottom w:val="none" w:sz="0" w:space="0" w:color="auto"/>
        <w:right w:val="none" w:sz="0" w:space="0" w:color="auto"/>
      </w:divBdr>
    </w:div>
    <w:div w:id="572930360">
      <w:bodyDiv w:val="1"/>
      <w:marLeft w:val="0"/>
      <w:marRight w:val="0"/>
      <w:marTop w:val="0"/>
      <w:marBottom w:val="0"/>
      <w:divBdr>
        <w:top w:val="none" w:sz="0" w:space="0" w:color="auto"/>
        <w:left w:val="none" w:sz="0" w:space="0" w:color="auto"/>
        <w:bottom w:val="none" w:sz="0" w:space="0" w:color="auto"/>
        <w:right w:val="none" w:sz="0" w:space="0" w:color="auto"/>
      </w:divBdr>
    </w:div>
    <w:div w:id="574166554">
      <w:bodyDiv w:val="1"/>
      <w:marLeft w:val="0"/>
      <w:marRight w:val="0"/>
      <w:marTop w:val="0"/>
      <w:marBottom w:val="0"/>
      <w:divBdr>
        <w:top w:val="none" w:sz="0" w:space="0" w:color="auto"/>
        <w:left w:val="none" w:sz="0" w:space="0" w:color="auto"/>
        <w:bottom w:val="none" w:sz="0" w:space="0" w:color="auto"/>
        <w:right w:val="none" w:sz="0" w:space="0" w:color="auto"/>
      </w:divBdr>
    </w:div>
    <w:div w:id="578295491">
      <w:bodyDiv w:val="1"/>
      <w:marLeft w:val="0"/>
      <w:marRight w:val="0"/>
      <w:marTop w:val="0"/>
      <w:marBottom w:val="0"/>
      <w:divBdr>
        <w:top w:val="none" w:sz="0" w:space="0" w:color="auto"/>
        <w:left w:val="none" w:sz="0" w:space="0" w:color="auto"/>
        <w:bottom w:val="none" w:sz="0" w:space="0" w:color="auto"/>
        <w:right w:val="none" w:sz="0" w:space="0" w:color="auto"/>
      </w:divBdr>
    </w:div>
    <w:div w:id="580020397">
      <w:bodyDiv w:val="1"/>
      <w:marLeft w:val="0"/>
      <w:marRight w:val="0"/>
      <w:marTop w:val="0"/>
      <w:marBottom w:val="0"/>
      <w:divBdr>
        <w:top w:val="none" w:sz="0" w:space="0" w:color="auto"/>
        <w:left w:val="none" w:sz="0" w:space="0" w:color="auto"/>
        <w:bottom w:val="none" w:sz="0" w:space="0" w:color="auto"/>
        <w:right w:val="none" w:sz="0" w:space="0" w:color="auto"/>
      </w:divBdr>
    </w:div>
    <w:div w:id="582419167">
      <w:bodyDiv w:val="1"/>
      <w:marLeft w:val="0"/>
      <w:marRight w:val="0"/>
      <w:marTop w:val="0"/>
      <w:marBottom w:val="0"/>
      <w:divBdr>
        <w:top w:val="none" w:sz="0" w:space="0" w:color="auto"/>
        <w:left w:val="none" w:sz="0" w:space="0" w:color="auto"/>
        <w:bottom w:val="none" w:sz="0" w:space="0" w:color="auto"/>
        <w:right w:val="none" w:sz="0" w:space="0" w:color="auto"/>
      </w:divBdr>
    </w:div>
    <w:div w:id="586351652">
      <w:bodyDiv w:val="1"/>
      <w:marLeft w:val="0"/>
      <w:marRight w:val="0"/>
      <w:marTop w:val="0"/>
      <w:marBottom w:val="0"/>
      <w:divBdr>
        <w:top w:val="none" w:sz="0" w:space="0" w:color="auto"/>
        <w:left w:val="none" w:sz="0" w:space="0" w:color="auto"/>
        <w:bottom w:val="none" w:sz="0" w:space="0" w:color="auto"/>
        <w:right w:val="none" w:sz="0" w:space="0" w:color="auto"/>
      </w:divBdr>
    </w:div>
    <w:div w:id="587739593">
      <w:bodyDiv w:val="1"/>
      <w:marLeft w:val="0"/>
      <w:marRight w:val="0"/>
      <w:marTop w:val="0"/>
      <w:marBottom w:val="0"/>
      <w:divBdr>
        <w:top w:val="none" w:sz="0" w:space="0" w:color="auto"/>
        <w:left w:val="none" w:sz="0" w:space="0" w:color="auto"/>
        <w:bottom w:val="none" w:sz="0" w:space="0" w:color="auto"/>
        <w:right w:val="none" w:sz="0" w:space="0" w:color="auto"/>
      </w:divBdr>
      <w:divsChild>
        <w:div w:id="1313174006">
          <w:marLeft w:val="562"/>
          <w:marRight w:val="0"/>
          <w:marTop w:val="240"/>
          <w:marBottom w:val="0"/>
          <w:divBdr>
            <w:top w:val="none" w:sz="0" w:space="0" w:color="auto"/>
            <w:left w:val="none" w:sz="0" w:space="0" w:color="auto"/>
            <w:bottom w:val="none" w:sz="0" w:space="0" w:color="auto"/>
            <w:right w:val="none" w:sz="0" w:space="0" w:color="auto"/>
          </w:divBdr>
        </w:div>
      </w:divsChild>
    </w:div>
    <w:div w:id="594751798">
      <w:bodyDiv w:val="1"/>
      <w:marLeft w:val="0"/>
      <w:marRight w:val="0"/>
      <w:marTop w:val="0"/>
      <w:marBottom w:val="0"/>
      <w:divBdr>
        <w:top w:val="none" w:sz="0" w:space="0" w:color="auto"/>
        <w:left w:val="none" w:sz="0" w:space="0" w:color="auto"/>
        <w:bottom w:val="none" w:sz="0" w:space="0" w:color="auto"/>
        <w:right w:val="none" w:sz="0" w:space="0" w:color="auto"/>
      </w:divBdr>
    </w:div>
    <w:div w:id="614140956">
      <w:bodyDiv w:val="1"/>
      <w:marLeft w:val="0"/>
      <w:marRight w:val="0"/>
      <w:marTop w:val="0"/>
      <w:marBottom w:val="0"/>
      <w:divBdr>
        <w:top w:val="none" w:sz="0" w:space="0" w:color="auto"/>
        <w:left w:val="none" w:sz="0" w:space="0" w:color="auto"/>
        <w:bottom w:val="none" w:sz="0" w:space="0" w:color="auto"/>
        <w:right w:val="none" w:sz="0" w:space="0" w:color="auto"/>
      </w:divBdr>
    </w:div>
    <w:div w:id="614487877">
      <w:bodyDiv w:val="1"/>
      <w:marLeft w:val="0"/>
      <w:marRight w:val="0"/>
      <w:marTop w:val="0"/>
      <w:marBottom w:val="0"/>
      <w:divBdr>
        <w:top w:val="none" w:sz="0" w:space="0" w:color="auto"/>
        <w:left w:val="none" w:sz="0" w:space="0" w:color="auto"/>
        <w:bottom w:val="none" w:sz="0" w:space="0" w:color="auto"/>
        <w:right w:val="none" w:sz="0" w:space="0" w:color="auto"/>
      </w:divBdr>
    </w:div>
    <w:div w:id="617302162">
      <w:bodyDiv w:val="1"/>
      <w:marLeft w:val="0"/>
      <w:marRight w:val="0"/>
      <w:marTop w:val="0"/>
      <w:marBottom w:val="0"/>
      <w:divBdr>
        <w:top w:val="none" w:sz="0" w:space="0" w:color="auto"/>
        <w:left w:val="none" w:sz="0" w:space="0" w:color="auto"/>
        <w:bottom w:val="none" w:sz="0" w:space="0" w:color="auto"/>
        <w:right w:val="none" w:sz="0" w:space="0" w:color="auto"/>
      </w:divBdr>
      <w:divsChild>
        <w:div w:id="1593901444">
          <w:marLeft w:val="0"/>
          <w:marRight w:val="0"/>
          <w:marTop w:val="0"/>
          <w:marBottom w:val="0"/>
          <w:divBdr>
            <w:top w:val="none" w:sz="0" w:space="0" w:color="auto"/>
            <w:left w:val="none" w:sz="0" w:space="0" w:color="auto"/>
            <w:bottom w:val="none" w:sz="0" w:space="0" w:color="auto"/>
            <w:right w:val="none" w:sz="0" w:space="0" w:color="auto"/>
          </w:divBdr>
          <w:divsChild>
            <w:div w:id="358355655">
              <w:marLeft w:val="0"/>
              <w:marRight w:val="0"/>
              <w:marTop w:val="0"/>
              <w:marBottom w:val="0"/>
              <w:divBdr>
                <w:top w:val="none" w:sz="0" w:space="0" w:color="auto"/>
                <w:left w:val="none" w:sz="0" w:space="0" w:color="auto"/>
                <w:bottom w:val="none" w:sz="0" w:space="0" w:color="auto"/>
                <w:right w:val="none" w:sz="0" w:space="0" w:color="auto"/>
              </w:divBdr>
              <w:divsChild>
                <w:div w:id="2026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903">
      <w:bodyDiv w:val="1"/>
      <w:marLeft w:val="0"/>
      <w:marRight w:val="0"/>
      <w:marTop w:val="0"/>
      <w:marBottom w:val="0"/>
      <w:divBdr>
        <w:top w:val="none" w:sz="0" w:space="0" w:color="auto"/>
        <w:left w:val="none" w:sz="0" w:space="0" w:color="auto"/>
        <w:bottom w:val="none" w:sz="0" w:space="0" w:color="auto"/>
        <w:right w:val="none" w:sz="0" w:space="0" w:color="auto"/>
      </w:divBdr>
    </w:div>
    <w:div w:id="639304783">
      <w:bodyDiv w:val="1"/>
      <w:marLeft w:val="0"/>
      <w:marRight w:val="0"/>
      <w:marTop w:val="0"/>
      <w:marBottom w:val="0"/>
      <w:divBdr>
        <w:top w:val="none" w:sz="0" w:space="0" w:color="auto"/>
        <w:left w:val="none" w:sz="0" w:space="0" w:color="auto"/>
        <w:bottom w:val="none" w:sz="0" w:space="0" w:color="auto"/>
        <w:right w:val="none" w:sz="0" w:space="0" w:color="auto"/>
      </w:divBdr>
    </w:div>
    <w:div w:id="640187623">
      <w:bodyDiv w:val="1"/>
      <w:marLeft w:val="0"/>
      <w:marRight w:val="0"/>
      <w:marTop w:val="0"/>
      <w:marBottom w:val="0"/>
      <w:divBdr>
        <w:top w:val="none" w:sz="0" w:space="0" w:color="auto"/>
        <w:left w:val="none" w:sz="0" w:space="0" w:color="auto"/>
        <w:bottom w:val="none" w:sz="0" w:space="0" w:color="auto"/>
        <w:right w:val="none" w:sz="0" w:space="0" w:color="auto"/>
      </w:divBdr>
    </w:div>
    <w:div w:id="641233267">
      <w:bodyDiv w:val="1"/>
      <w:marLeft w:val="0"/>
      <w:marRight w:val="0"/>
      <w:marTop w:val="0"/>
      <w:marBottom w:val="0"/>
      <w:divBdr>
        <w:top w:val="none" w:sz="0" w:space="0" w:color="auto"/>
        <w:left w:val="none" w:sz="0" w:space="0" w:color="auto"/>
        <w:bottom w:val="none" w:sz="0" w:space="0" w:color="auto"/>
        <w:right w:val="none" w:sz="0" w:space="0" w:color="auto"/>
      </w:divBdr>
    </w:div>
    <w:div w:id="643047671">
      <w:bodyDiv w:val="1"/>
      <w:marLeft w:val="0"/>
      <w:marRight w:val="0"/>
      <w:marTop w:val="100"/>
      <w:marBottom w:val="100"/>
      <w:divBdr>
        <w:top w:val="none" w:sz="0" w:space="0" w:color="auto"/>
        <w:left w:val="none" w:sz="0" w:space="0" w:color="auto"/>
        <w:bottom w:val="none" w:sz="0" w:space="0" w:color="auto"/>
        <w:right w:val="none" w:sz="0" w:space="0" w:color="auto"/>
      </w:divBdr>
      <w:divsChild>
        <w:div w:id="19300403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45816665">
      <w:bodyDiv w:val="1"/>
      <w:marLeft w:val="0"/>
      <w:marRight w:val="0"/>
      <w:marTop w:val="0"/>
      <w:marBottom w:val="0"/>
      <w:divBdr>
        <w:top w:val="none" w:sz="0" w:space="0" w:color="auto"/>
        <w:left w:val="none" w:sz="0" w:space="0" w:color="auto"/>
        <w:bottom w:val="none" w:sz="0" w:space="0" w:color="auto"/>
        <w:right w:val="none" w:sz="0" w:space="0" w:color="auto"/>
      </w:divBdr>
    </w:div>
    <w:div w:id="649793455">
      <w:bodyDiv w:val="1"/>
      <w:marLeft w:val="0"/>
      <w:marRight w:val="0"/>
      <w:marTop w:val="0"/>
      <w:marBottom w:val="0"/>
      <w:divBdr>
        <w:top w:val="none" w:sz="0" w:space="0" w:color="auto"/>
        <w:left w:val="none" w:sz="0" w:space="0" w:color="auto"/>
        <w:bottom w:val="none" w:sz="0" w:space="0" w:color="auto"/>
        <w:right w:val="none" w:sz="0" w:space="0" w:color="auto"/>
      </w:divBdr>
    </w:div>
    <w:div w:id="653950574">
      <w:bodyDiv w:val="1"/>
      <w:marLeft w:val="0"/>
      <w:marRight w:val="0"/>
      <w:marTop w:val="0"/>
      <w:marBottom w:val="0"/>
      <w:divBdr>
        <w:top w:val="none" w:sz="0" w:space="0" w:color="auto"/>
        <w:left w:val="none" w:sz="0" w:space="0" w:color="auto"/>
        <w:bottom w:val="none" w:sz="0" w:space="0" w:color="auto"/>
        <w:right w:val="none" w:sz="0" w:space="0" w:color="auto"/>
      </w:divBdr>
    </w:div>
    <w:div w:id="656693661">
      <w:bodyDiv w:val="1"/>
      <w:marLeft w:val="0"/>
      <w:marRight w:val="0"/>
      <w:marTop w:val="0"/>
      <w:marBottom w:val="0"/>
      <w:divBdr>
        <w:top w:val="none" w:sz="0" w:space="0" w:color="auto"/>
        <w:left w:val="none" w:sz="0" w:space="0" w:color="auto"/>
        <w:bottom w:val="none" w:sz="0" w:space="0" w:color="auto"/>
        <w:right w:val="none" w:sz="0" w:space="0" w:color="auto"/>
      </w:divBdr>
    </w:div>
    <w:div w:id="657415943">
      <w:bodyDiv w:val="1"/>
      <w:marLeft w:val="0"/>
      <w:marRight w:val="0"/>
      <w:marTop w:val="0"/>
      <w:marBottom w:val="0"/>
      <w:divBdr>
        <w:top w:val="none" w:sz="0" w:space="0" w:color="auto"/>
        <w:left w:val="none" w:sz="0" w:space="0" w:color="auto"/>
        <w:bottom w:val="none" w:sz="0" w:space="0" w:color="auto"/>
        <w:right w:val="none" w:sz="0" w:space="0" w:color="auto"/>
      </w:divBdr>
    </w:div>
    <w:div w:id="663318195">
      <w:bodyDiv w:val="1"/>
      <w:marLeft w:val="0"/>
      <w:marRight w:val="0"/>
      <w:marTop w:val="0"/>
      <w:marBottom w:val="0"/>
      <w:divBdr>
        <w:top w:val="none" w:sz="0" w:space="0" w:color="auto"/>
        <w:left w:val="none" w:sz="0" w:space="0" w:color="auto"/>
        <w:bottom w:val="none" w:sz="0" w:space="0" w:color="auto"/>
        <w:right w:val="none" w:sz="0" w:space="0" w:color="auto"/>
      </w:divBdr>
    </w:div>
    <w:div w:id="683869293">
      <w:bodyDiv w:val="1"/>
      <w:marLeft w:val="0"/>
      <w:marRight w:val="0"/>
      <w:marTop w:val="0"/>
      <w:marBottom w:val="0"/>
      <w:divBdr>
        <w:top w:val="none" w:sz="0" w:space="0" w:color="auto"/>
        <w:left w:val="none" w:sz="0" w:space="0" w:color="auto"/>
        <w:bottom w:val="none" w:sz="0" w:space="0" w:color="auto"/>
        <w:right w:val="none" w:sz="0" w:space="0" w:color="auto"/>
      </w:divBdr>
    </w:div>
    <w:div w:id="685325013">
      <w:bodyDiv w:val="1"/>
      <w:marLeft w:val="0"/>
      <w:marRight w:val="0"/>
      <w:marTop w:val="0"/>
      <w:marBottom w:val="0"/>
      <w:divBdr>
        <w:top w:val="none" w:sz="0" w:space="0" w:color="auto"/>
        <w:left w:val="none" w:sz="0" w:space="0" w:color="auto"/>
        <w:bottom w:val="none" w:sz="0" w:space="0" w:color="auto"/>
        <w:right w:val="none" w:sz="0" w:space="0" w:color="auto"/>
      </w:divBdr>
    </w:div>
    <w:div w:id="690034588">
      <w:bodyDiv w:val="1"/>
      <w:marLeft w:val="0"/>
      <w:marRight w:val="0"/>
      <w:marTop w:val="0"/>
      <w:marBottom w:val="0"/>
      <w:divBdr>
        <w:top w:val="none" w:sz="0" w:space="0" w:color="auto"/>
        <w:left w:val="none" w:sz="0" w:space="0" w:color="auto"/>
        <w:bottom w:val="none" w:sz="0" w:space="0" w:color="auto"/>
        <w:right w:val="none" w:sz="0" w:space="0" w:color="auto"/>
      </w:divBdr>
    </w:div>
    <w:div w:id="690181229">
      <w:bodyDiv w:val="1"/>
      <w:marLeft w:val="0"/>
      <w:marRight w:val="0"/>
      <w:marTop w:val="0"/>
      <w:marBottom w:val="0"/>
      <w:divBdr>
        <w:top w:val="none" w:sz="0" w:space="0" w:color="auto"/>
        <w:left w:val="none" w:sz="0" w:space="0" w:color="auto"/>
        <w:bottom w:val="none" w:sz="0" w:space="0" w:color="auto"/>
        <w:right w:val="none" w:sz="0" w:space="0" w:color="auto"/>
      </w:divBdr>
    </w:div>
    <w:div w:id="691612970">
      <w:bodyDiv w:val="1"/>
      <w:marLeft w:val="0"/>
      <w:marRight w:val="0"/>
      <w:marTop w:val="0"/>
      <w:marBottom w:val="0"/>
      <w:divBdr>
        <w:top w:val="none" w:sz="0" w:space="0" w:color="auto"/>
        <w:left w:val="none" w:sz="0" w:space="0" w:color="auto"/>
        <w:bottom w:val="none" w:sz="0" w:space="0" w:color="auto"/>
        <w:right w:val="none" w:sz="0" w:space="0" w:color="auto"/>
      </w:divBdr>
    </w:div>
    <w:div w:id="696585511">
      <w:bodyDiv w:val="1"/>
      <w:marLeft w:val="0"/>
      <w:marRight w:val="0"/>
      <w:marTop w:val="0"/>
      <w:marBottom w:val="0"/>
      <w:divBdr>
        <w:top w:val="none" w:sz="0" w:space="0" w:color="auto"/>
        <w:left w:val="none" w:sz="0" w:space="0" w:color="auto"/>
        <w:bottom w:val="none" w:sz="0" w:space="0" w:color="auto"/>
        <w:right w:val="none" w:sz="0" w:space="0" w:color="auto"/>
      </w:divBdr>
    </w:div>
    <w:div w:id="699234753">
      <w:bodyDiv w:val="1"/>
      <w:marLeft w:val="0"/>
      <w:marRight w:val="0"/>
      <w:marTop w:val="0"/>
      <w:marBottom w:val="0"/>
      <w:divBdr>
        <w:top w:val="none" w:sz="0" w:space="0" w:color="auto"/>
        <w:left w:val="none" w:sz="0" w:space="0" w:color="auto"/>
        <w:bottom w:val="none" w:sz="0" w:space="0" w:color="auto"/>
        <w:right w:val="none" w:sz="0" w:space="0" w:color="auto"/>
      </w:divBdr>
    </w:div>
    <w:div w:id="702100429">
      <w:bodyDiv w:val="1"/>
      <w:marLeft w:val="0"/>
      <w:marRight w:val="0"/>
      <w:marTop w:val="0"/>
      <w:marBottom w:val="0"/>
      <w:divBdr>
        <w:top w:val="none" w:sz="0" w:space="0" w:color="auto"/>
        <w:left w:val="none" w:sz="0" w:space="0" w:color="auto"/>
        <w:bottom w:val="none" w:sz="0" w:space="0" w:color="auto"/>
        <w:right w:val="none" w:sz="0" w:space="0" w:color="auto"/>
      </w:divBdr>
    </w:div>
    <w:div w:id="712076953">
      <w:bodyDiv w:val="1"/>
      <w:marLeft w:val="0"/>
      <w:marRight w:val="0"/>
      <w:marTop w:val="0"/>
      <w:marBottom w:val="0"/>
      <w:divBdr>
        <w:top w:val="none" w:sz="0" w:space="0" w:color="auto"/>
        <w:left w:val="none" w:sz="0" w:space="0" w:color="auto"/>
        <w:bottom w:val="none" w:sz="0" w:space="0" w:color="auto"/>
        <w:right w:val="none" w:sz="0" w:space="0" w:color="auto"/>
      </w:divBdr>
    </w:div>
    <w:div w:id="712582268">
      <w:bodyDiv w:val="1"/>
      <w:marLeft w:val="0"/>
      <w:marRight w:val="0"/>
      <w:marTop w:val="0"/>
      <w:marBottom w:val="0"/>
      <w:divBdr>
        <w:top w:val="none" w:sz="0" w:space="0" w:color="auto"/>
        <w:left w:val="none" w:sz="0" w:space="0" w:color="auto"/>
        <w:bottom w:val="none" w:sz="0" w:space="0" w:color="auto"/>
        <w:right w:val="none" w:sz="0" w:space="0" w:color="auto"/>
      </w:divBdr>
    </w:div>
    <w:div w:id="713238676">
      <w:bodyDiv w:val="1"/>
      <w:marLeft w:val="0"/>
      <w:marRight w:val="0"/>
      <w:marTop w:val="0"/>
      <w:marBottom w:val="0"/>
      <w:divBdr>
        <w:top w:val="none" w:sz="0" w:space="0" w:color="auto"/>
        <w:left w:val="none" w:sz="0" w:space="0" w:color="auto"/>
        <w:bottom w:val="none" w:sz="0" w:space="0" w:color="auto"/>
        <w:right w:val="none" w:sz="0" w:space="0" w:color="auto"/>
      </w:divBdr>
    </w:div>
    <w:div w:id="714238414">
      <w:bodyDiv w:val="1"/>
      <w:marLeft w:val="0"/>
      <w:marRight w:val="0"/>
      <w:marTop w:val="0"/>
      <w:marBottom w:val="0"/>
      <w:divBdr>
        <w:top w:val="none" w:sz="0" w:space="0" w:color="auto"/>
        <w:left w:val="none" w:sz="0" w:space="0" w:color="auto"/>
        <w:bottom w:val="none" w:sz="0" w:space="0" w:color="auto"/>
        <w:right w:val="none" w:sz="0" w:space="0" w:color="auto"/>
      </w:divBdr>
    </w:div>
    <w:div w:id="714356978">
      <w:bodyDiv w:val="1"/>
      <w:marLeft w:val="0"/>
      <w:marRight w:val="0"/>
      <w:marTop w:val="0"/>
      <w:marBottom w:val="0"/>
      <w:divBdr>
        <w:top w:val="none" w:sz="0" w:space="0" w:color="auto"/>
        <w:left w:val="none" w:sz="0" w:space="0" w:color="auto"/>
        <w:bottom w:val="none" w:sz="0" w:space="0" w:color="auto"/>
        <w:right w:val="none" w:sz="0" w:space="0" w:color="auto"/>
      </w:divBdr>
    </w:div>
    <w:div w:id="722556704">
      <w:bodyDiv w:val="1"/>
      <w:marLeft w:val="0"/>
      <w:marRight w:val="0"/>
      <w:marTop w:val="0"/>
      <w:marBottom w:val="0"/>
      <w:divBdr>
        <w:top w:val="none" w:sz="0" w:space="0" w:color="auto"/>
        <w:left w:val="none" w:sz="0" w:space="0" w:color="auto"/>
        <w:bottom w:val="none" w:sz="0" w:space="0" w:color="auto"/>
        <w:right w:val="none" w:sz="0" w:space="0" w:color="auto"/>
      </w:divBdr>
    </w:div>
    <w:div w:id="723601301">
      <w:bodyDiv w:val="1"/>
      <w:marLeft w:val="0"/>
      <w:marRight w:val="0"/>
      <w:marTop w:val="0"/>
      <w:marBottom w:val="0"/>
      <w:divBdr>
        <w:top w:val="none" w:sz="0" w:space="0" w:color="auto"/>
        <w:left w:val="none" w:sz="0" w:space="0" w:color="auto"/>
        <w:bottom w:val="none" w:sz="0" w:space="0" w:color="auto"/>
        <w:right w:val="none" w:sz="0" w:space="0" w:color="auto"/>
      </w:divBdr>
    </w:div>
    <w:div w:id="738017809">
      <w:bodyDiv w:val="1"/>
      <w:marLeft w:val="0"/>
      <w:marRight w:val="0"/>
      <w:marTop w:val="0"/>
      <w:marBottom w:val="0"/>
      <w:divBdr>
        <w:top w:val="none" w:sz="0" w:space="0" w:color="auto"/>
        <w:left w:val="none" w:sz="0" w:space="0" w:color="auto"/>
        <w:bottom w:val="none" w:sz="0" w:space="0" w:color="auto"/>
        <w:right w:val="none" w:sz="0" w:space="0" w:color="auto"/>
      </w:divBdr>
    </w:div>
    <w:div w:id="741299598">
      <w:bodyDiv w:val="1"/>
      <w:marLeft w:val="0"/>
      <w:marRight w:val="0"/>
      <w:marTop w:val="0"/>
      <w:marBottom w:val="0"/>
      <w:divBdr>
        <w:top w:val="none" w:sz="0" w:space="0" w:color="auto"/>
        <w:left w:val="none" w:sz="0" w:space="0" w:color="auto"/>
        <w:bottom w:val="none" w:sz="0" w:space="0" w:color="auto"/>
        <w:right w:val="none" w:sz="0" w:space="0" w:color="auto"/>
      </w:divBdr>
    </w:div>
    <w:div w:id="756370671">
      <w:bodyDiv w:val="1"/>
      <w:marLeft w:val="0"/>
      <w:marRight w:val="0"/>
      <w:marTop w:val="0"/>
      <w:marBottom w:val="0"/>
      <w:divBdr>
        <w:top w:val="none" w:sz="0" w:space="0" w:color="auto"/>
        <w:left w:val="none" w:sz="0" w:space="0" w:color="auto"/>
        <w:bottom w:val="none" w:sz="0" w:space="0" w:color="auto"/>
        <w:right w:val="none" w:sz="0" w:space="0" w:color="auto"/>
      </w:divBdr>
    </w:div>
    <w:div w:id="758327456">
      <w:bodyDiv w:val="1"/>
      <w:marLeft w:val="0"/>
      <w:marRight w:val="0"/>
      <w:marTop w:val="0"/>
      <w:marBottom w:val="0"/>
      <w:divBdr>
        <w:top w:val="none" w:sz="0" w:space="0" w:color="auto"/>
        <w:left w:val="none" w:sz="0" w:space="0" w:color="auto"/>
        <w:bottom w:val="none" w:sz="0" w:space="0" w:color="auto"/>
        <w:right w:val="none" w:sz="0" w:space="0" w:color="auto"/>
      </w:divBdr>
    </w:div>
    <w:div w:id="762605851">
      <w:bodyDiv w:val="1"/>
      <w:marLeft w:val="0"/>
      <w:marRight w:val="0"/>
      <w:marTop w:val="0"/>
      <w:marBottom w:val="0"/>
      <w:divBdr>
        <w:top w:val="none" w:sz="0" w:space="0" w:color="auto"/>
        <w:left w:val="none" w:sz="0" w:space="0" w:color="auto"/>
        <w:bottom w:val="none" w:sz="0" w:space="0" w:color="auto"/>
        <w:right w:val="none" w:sz="0" w:space="0" w:color="auto"/>
      </w:divBdr>
    </w:div>
    <w:div w:id="765544391">
      <w:bodyDiv w:val="1"/>
      <w:marLeft w:val="0"/>
      <w:marRight w:val="0"/>
      <w:marTop w:val="0"/>
      <w:marBottom w:val="0"/>
      <w:divBdr>
        <w:top w:val="none" w:sz="0" w:space="0" w:color="auto"/>
        <w:left w:val="none" w:sz="0" w:space="0" w:color="auto"/>
        <w:bottom w:val="none" w:sz="0" w:space="0" w:color="auto"/>
        <w:right w:val="none" w:sz="0" w:space="0" w:color="auto"/>
      </w:divBdr>
    </w:div>
    <w:div w:id="774328055">
      <w:bodyDiv w:val="1"/>
      <w:marLeft w:val="0"/>
      <w:marRight w:val="0"/>
      <w:marTop w:val="0"/>
      <w:marBottom w:val="0"/>
      <w:divBdr>
        <w:top w:val="none" w:sz="0" w:space="0" w:color="auto"/>
        <w:left w:val="none" w:sz="0" w:space="0" w:color="auto"/>
        <w:bottom w:val="none" w:sz="0" w:space="0" w:color="auto"/>
        <w:right w:val="none" w:sz="0" w:space="0" w:color="auto"/>
      </w:divBdr>
    </w:div>
    <w:div w:id="774906079">
      <w:bodyDiv w:val="1"/>
      <w:marLeft w:val="0"/>
      <w:marRight w:val="0"/>
      <w:marTop w:val="0"/>
      <w:marBottom w:val="0"/>
      <w:divBdr>
        <w:top w:val="none" w:sz="0" w:space="0" w:color="auto"/>
        <w:left w:val="none" w:sz="0" w:space="0" w:color="auto"/>
        <w:bottom w:val="none" w:sz="0" w:space="0" w:color="auto"/>
        <w:right w:val="none" w:sz="0" w:space="0" w:color="auto"/>
      </w:divBdr>
    </w:div>
    <w:div w:id="776146360">
      <w:bodyDiv w:val="1"/>
      <w:marLeft w:val="0"/>
      <w:marRight w:val="0"/>
      <w:marTop w:val="0"/>
      <w:marBottom w:val="0"/>
      <w:divBdr>
        <w:top w:val="none" w:sz="0" w:space="0" w:color="auto"/>
        <w:left w:val="none" w:sz="0" w:space="0" w:color="auto"/>
        <w:bottom w:val="none" w:sz="0" w:space="0" w:color="auto"/>
        <w:right w:val="none" w:sz="0" w:space="0" w:color="auto"/>
      </w:divBdr>
    </w:div>
    <w:div w:id="780762173">
      <w:bodyDiv w:val="1"/>
      <w:marLeft w:val="0"/>
      <w:marRight w:val="0"/>
      <w:marTop w:val="0"/>
      <w:marBottom w:val="0"/>
      <w:divBdr>
        <w:top w:val="none" w:sz="0" w:space="0" w:color="auto"/>
        <w:left w:val="none" w:sz="0" w:space="0" w:color="auto"/>
        <w:bottom w:val="none" w:sz="0" w:space="0" w:color="auto"/>
        <w:right w:val="none" w:sz="0" w:space="0" w:color="auto"/>
      </w:divBdr>
    </w:div>
    <w:div w:id="781002261">
      <w:bodyDiv w:val="1"/>
      <w:marLeft w:val="0"/>
      <w:marRight w:val="0"/>
      <w:marTop w:val="0"/>
      <w:marBottom w:val="0"/>
      <w:divBdr>
        <w:top w:val="none" w:sz="0" w:space="0" w:color="auto"/>
        <w:left w:val="none" w:sz="0" w:space="0" w:color="auto"/>
        <w:bottom w:val="none" w:sz="0" w:space="0" w:color="auto"/>
        <w:right w:val="none" w:sz="0" w:space="0" w:color="auto"/>
      </w:divBdr>
    </w:div>
    <w:div w:id="781848699">
      <w:bodyDiv w:val="1"/>
      <w:marLeft w:val="0"/>
      <w:marRight w:val="0"/>
      <w:marTop w:val="0"/>
      <w:marBottom w:val="0"/>
      <w:divBdr>
        <w:top w:val="none" w:sz="0" w:space="0" w:color="auto"/>
        <w:left w:val="none" w:sz="0" w:space="0" w:color="auto"/>
        <w:bottom w:val="none" w:sz="0" w:space="0" w:color="auto"/>
        <w:right w:val="none" w:sz="0" w:space="0" w:color="auto"/>
      </w:divBdr>
    </w:div>
    <w:div w:id="782499986">
      <w:bodyDiv w:val="1"/>
      <w:marLeft w:val="0"/>
      <w:marRight w:val="0"/>
      <w:marTop w:val="0"/>
      <w:marBottom w:val="0"/>
      <w:divBdr>
        <w:top w:val="none" w:sz="0" w:space="0" w:color="auto"/>
        <w:left w:val="none" w:sz="0" w:space="0" w:color="auto"/>
        <w:bottom w:val="none" w:sz="0" w:space="0" w:color="auto"/>
        <w:right w:val="none" w:sz="0" w:space="0" w:color="auto"/>
      </w:divBdr>
    </w:div>
    <w:div w:id="782531846">
      <w:bodyDiv w:val="1"/>
      <w:marLeft w:val="0"/>
      <w:marRight w:val="0"/>
      <w:marTop w:val="0"/>
      <w:marBottom w:val="0"/>
      <w:divBdr>
        <w:top w:val="none" w:sz="0" w:space="0" w:color="auto"/>
        <w:left w:val="none" w:sz="0" w:space="0" w:color="auto"/>
        <w:bottom w:val="none" w:sz="0" w:space="0" w:color="auto"/>
        <w:right w:val="none" w:sz="0" w:space="0" w:color="auto"/>
      </w:divBdr>
    </w:div>
    <w:div w:id="786201174">
      <w:bodyDiv w:val="1"/>
      <w:marLeft w:val="0"/>
      <w:marRight w:val="0"/>
      <w:marTop w:val="0"/>
      <w:marBottom w:val="0"/>
      <w:divBdr>
        <w:top w:val="none" w:sz="0" w:space="0" w:color="auto"/>
        <w:left w:val="none" w:sz="0" w:space="0" w:color="auto"/>
        <w:bottom w:val="none" w:sz="0" w:space="0" w:color="auto"/>
        <w:right w:val="none" w:sz="0" w:space="0" w:color="auto"/>
      </w:divBdr>
    </w:div>
    <w:div w:id="796341442">
      <w:bodyDiv w:val="1"/>
      <w:marLeft w:val="0"/>
      <w:marRight w:val="0"/>
      <w:marTop w:val="0"/>
      <w:marBottom w:val="0"/>
      <w:divBdr>
        <w:top w:val="none" w:sz="0" w:space="0" w:color="auto"/>
        <w:left w:val="none" w:sz="0" w:space="0" w:color="auto"/>
        <w:bottom w:val="none" w:sz="0" w:space="0" w:color="auto"/>
        <w:right w:val="none" w:sz="0" w:space="0" w:color="auto"/>
      </w:divBdr>
    </w:div>
    <w:div w:id="808980810">
      <w:bodyDiv w:val="1"/>
      <w:marLeft w:val="0"/>
      <w:marRight w:val="0"/>
      <w:marTop w:val="0"/>
      <w:marBottom w:val="0"/>
      <w:divBdr>
        <w:top w:val="none" w:sz="0" w:space="0" w:color="auto"/>
        <w:left w:val="none" w:sz="0" w:space="0" w:color="auto"/>
        <w:bottom w:val="none" w:sz="0" w:space="0" w:color="auto"/>
        <w:right w:val="none" w:sz="0" w:space="0" w:color="auto"/>
      </w:divBdr>
    </w:div>
    <w:div w:id="814879829">
      <w:bodyDiv w:val="1"/>
      <w:marLeft w:val="0"/>
      <w:marRight w:val="0"/>
      <w:marTop w:val="0"/>
      <w:marBottom w:val="0"/>
      <w:divBdr>
        <w:top w:val="none" w:sz="0" w:space="0" w:color="auto"/>
        <w:left w:val="none" w:sz="0" w:space="0" w:color="auto"/>
        <w:bottom w:val="none" w:sz="0" w:space="0" w:color="auto"/>
        <w:right w:val="none" w:sz="0" w:space="0" w:color="auto"/>
      </w:divBdr>
    </w:div>
    <w:div w:id="817112981">
      <w:bodyDiv w:val="1"/>
      <w:marLeft w:val="0"/>
      <w:marRight w:val="0"/>
      <w:marTop w:val="0"/>
      <w:marBottom w:val="0"/>
      <w:divBdr>
        <w:top w:val="none" w:sz="0" w:space="0" w:color="auto"/>
        <w:left w:val="none" w:sz="0" w:space="0" w:color="auto"/>
        <w:bottom w:val="none" w:sz="0" w:space="0" w:color="auto"/>
        <w:right w:val="none" w:sz="0" w:space="0" w:color="auto"/>
      </w:divBdr>
    </w:div>
    <w:div w:id="822623916">
      <w:bodyDiv w:val="1"/>
      <w:marLeft w:val="0"/>
      <w:marRight w:val="0"/>
      <w:marTop w:val="0"/>
      <w:marBottom w:val="0"/>
      <w:divBdr>
        <w:top w:val="none" w:sz="0" w:space="0" w:color="auto"/>
        <w:left w:val="none" w:sz="0" w:space="0" w:color="auto"/>
        <w:bottom w:val="none" w:sz="0" w:space="0" w:color="auto"/>
        <w:right w:val="none" w:sz="0" w:space="0" w:color="auto"/>
      </w:divBdr>
    </w:div>
    <w:div w:id="830678716">
      <w:bodyDiv w:val="1"/>
      <w:marLeft w:val="0"/>
      <w:marRight w:val="0"/>
      <w:marTop w:val="0"/>
      <w:marBottom w:val="0"/>
      <w:divBdr>
        <w:top w:val="none" w:sz="0" w:space="0" w:color="auto"/>
        <w:left w:val="none" w:sz="0" w:space="0" w:color="auto"/>
        <w:bottom w:val="none" w:sz="0" w:space="0" w:color="auto"/>
        <w:right w:val="none" w:sz="0" w:space="0" w:color="auto"/>
      </w:divBdr>
    </w:div>
    <w:div w:id="835536376">
      <w:bodyDiv w:val="1"/>
      <w:marLeft w:val="0"/>
      <w:marRight w:val="0"/>
      <w:marTop w:val="0"/>
      <w:marBottom w:val="0"/>
      <w:divBdr>
        <w:top w:val="none" w:sz="0" w:space="0" w:color="auto"/>
        <w:left w:val="none" w:sz="0" w:space="0" w:color="auto"/>
        <w:bottom w:val="none" w:sz="0" w:space="0" w:color="auto"/>
        <w:right w:val="none" w:sz="0" w:space="0" w:color="auto"/>
      </w:divBdr>
    </w:div>
    <w:div w:id="842597238">
      <w:bodyDiv w:val="1"/>
      <w:marLeft w:val="0"/>
      <w:marRight w:val="0"/>
      <w:marTop w:val="0"/>
      <w:marBottom w:val="0"/>
      <w:divBdr>
        <w:top w:val="none" w:sz="0" w:space="0" w:color="auto"/>
        <w:left w:val="none" w:sz="0" w:space="0" w:color="auto"/>
        <w:bottom w:val="none" w:sz="0" w:space="0" w:color="auto"/>
        <w:right w:val="none" w:sz="0" w:space="0" w:color="auto"/>
      </w:divBdr>
      <w:divsChild>
        <w:div w:id="1353071878">
          <w:marLeft w:val="0"/>
          <w:marRight w:val="0"/>
          <w:marTop w:val="0"/>
          <w:marBottom w:val="0"/>
          <w:divBdr>
            <w:top w:val="none" w:sz="0" w:space="0" w:color="auto"/>
            <w:left w:val="none" w:sz="0" w:space="0" w:color="auto"/>
            <w:bottom w:val="none" w:sz="0" w:space="0" w:color="auto"/>
            <w:right w:val="none" w:sz="0" w:space="0" w:color="auto"/>
          </w:divBdr>
          <w:divsChild>
            <w:div w:id="2136293513">
              <w:marLeft w:val="0"/>
              <w:marRight w:val="0"/>
              <w:marTop w:val="0"/>
              <w:marBottom w:val="0"/>
              <w:divBdr>
                <w:top w:val="none" w:sz="0" w:space="0" w:color="auto"/>
                <w:left w:val="none" w:sz="0" w:space="0" w:color="auto"/>
                <w:bottom w:val="none" w:sz="0" w:space="0" w:color="auto"/>
                <w:right w:val="none" w:sz="0" w:space="0" w:color="auto"/>
              </w:divBdr>
              <w:divsChild>
                <w:div w:id="9453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7202">
      <w:bodyDiv w:val="1"/>
      <w:marLeft w:val="0"/>
      <w:marRight w:val="0"/>
      <w:marTop w:val="0"/>
      <w:marBottom w:val="0"/>
      <w:divBdr>
        <w:top w:val="none" w:sz="0" w:space="0" w:color="auto"/>
        <w:left w:val="none" w:sz="0" w:space="0" w:color="auto"/>
        <w:bottom w:val="none" w:sz="0" w:space="0" w:color="auto"/>
        <w:right w:val="none" w:sz="0" w:space="0" w:color="auto"/>
      </w:divBdr>
    </w:div>
    <w:div w:id="859927835">
      <w:bodyDiv w:val="1"/>
      <w:marLeft w:val="0"/>
      <w:marRight w:val="0"/>
      <w:marTop w:val="0"/>
      <w:marBottom w:val="0"/>
      <w:divBdr>
        <w:top w:val="none" w:sz="0" w:space="0" w:color="auto"/>
        <w:left w:val="none" w:sz="0" w:space="0" w:color="auto"/>
        <w:bottom w:val="none" w:sz="0" w:space="0" w:color="auto"/>
        <w:right w:val="none" w:sz="0" w:space="0" w:color="auto"/>
      </w:divBdr>
    </w:div>
    <w:div w:id="860624751">
      <w:bodyDiv w:val="1"/>
      <w:marLeft w:val="0"/>
      <w:marRight w:val="0"/>
      <w:marTop w:val="0"/>
      <w:marBottom w:val="0"/>
      <w:divBdr>
        <w:top w:val="none" w:sz="0" w:space="0" w:color="auto"/>
        <w:left w:val="none" w:sz="0" w:space="0" w:color="auto"/>
        <w:bottom w:val="none" w:sz="0" w:space="0" w:color="auto"/>
        <w:right w:val="none" w:sz="0" w:space="0" w:color="auto"/>
      </w:divBdr>
    </w:div>
    <w:div w:id="867838824">
      <w:bodyDiv w:val="1"/>
      <w:marLeft w:val="0"/>
      <w:marRight w:val="0"/>
      <w:marTop w:val="0"/>
      <w:marBottom w:val="0"/>
      <w:divBdr>
        <w:top w:val="none" w:sz="0" w:space="0" w:color="auto"/>
        <w:left w:val="none" w:sz="0" w:space="0" w:color="auto"/>
        <w:bottom w:val="none" w:sz="0" w:space="0" w:color="auto"/>
        <w:right w:val="none" w:sz="0" w:space="0" w:color="auto"/>
      </w:divBdr>
    </w:div>
    <w:div w:id="875386788">
      <w:bodyDiv w:val="1"/>
      <w:marLeft w:val="0"/>
      <w:marRight w:val="0"/>
      <w:marTop w:val="0"/>
      <w:marBottom w:val="0"/>
      <w:divBdr>
        <w:top w:val="none" w:sz="0" w:space="0" w:color="auto"/>
        <w:left w:val="none" w:sz="0" w:space="0" w:color="auto"/>
        <w:bottom w:val="none" w:sz="0" w:space="0" w:color="auto"/>
        <w:right w:val="none" w:sz="0" w:space="0" w:color="auto"/>
      </w:divBdr>
    </w:div>
    <w:div w:id="879975297">
      <w:bodyDiv w:val="1"/>
      <w:marLeft w:val="0"/>
      <w:marRight w:val="0"/>
      <w:marTop w:val="0"/>
      <w:marBottom w:val="0"/>
      <w:divBdr>
        <w:top w:val="none" w:sz="0" w:space="0" w:color="auto"/>
        <w:left w:val="none" w:sz="0" w:space="0" w:color="auto"/>
        <w:bottom w:val="none" w:sz="0" w:space="0" w:color="auto"/>
        <w:right w:val="none" w:sz="0" w:space="0" w:color="auto"/>
      </w:divBdr>
    </w:div>
    <w:div w:id="885261461">
      <w:bodyDiv w:val="1"/>
      <w:marLeft w:val="0"/>
      <w:marRight w:val="0"/>
      <w:marTop w:val="0"/>
      <w:marBottom w:val="0"/>
      <w:divBdr>
        <w:top w:val="none" w:sz="0" w:space="0" w:color="auto"/>
        <w:left w:val="none" w:sz="0" w:space="0" w:color="auto"/>
        <w:bottom w:val="none" w:sz="0" w:space="0" w:color="auto"/>
        <w:right w:val="none" w:sz="0" w:space="0" w:color="auto"/>
      </w:divBdr>
    </w:div>
    <w:div w:id="885917217">
      <w:bodyDiv w:val="1"/>
      <w:marLeft w:val="0"/>
      <w:marRight w:val="0"/>
      <w:marTop w:val="0"/>
      <w:marBottom w:val="0"/>
      <w:divBdr>
        <w:top w:val="none" w:sz="0" w:space="0" w:color="auto"/>
        <w:left w:val="none" w:sz="0" w:space="0" w:color="auto"/>
        <w:bottom w:val="none" w:sz="0" w:space="0" w:color="auto"/>
        <w:right w:val="none" w:sz="0" w:space="0" w:color="auto"/>
      </w:divBdr>
    </w:div>
    <w:div w:id="889653148">
      <w:bodyDiv w:val="1"/>
      <w:marLeft w:val="0"/>
      <w:marRight w:val="0"/>
      <w:marTop w:val="0"/>
      <w:marBottom w:val="0"/>
      <w:divBdr>
        <w:top w:val="none" w:sz="0" w:space="0" w:color="auto"/>
        <w:left w:val="none" w:sz="0" w:space="0" w:color="auto"/>
        <w:bottom w:val="none" w:sz="0" w:space="0" w:color="auto"/>
        <w:right w:val="none" w:sz="0" w:space="0" w:color="auto"/>
      </w:divBdr>
    </w:div>
    <w:div w:id="893347068">
      <w:bodyDiv w:val="1"/>
      <w:marLeft w:val="0"/>
      <w:marRight w:val="0"/>
      <w:marTop w:val="0"/>
      <w:marBottom w:val="0"/>
      <w:divBdr>
        <w:top w:val="none" w:sz="0" w:space="0" w:color="auto"/>
        <w:left w:val="none" w:sz="0" w:space="0" w:color="auto"/>
        <w:bottom w:val="none" w:sz="0" w:space="0" w:color="auto"/>
        <w:right w:val="none" w:sz="0" w:space="0" w:color="auto"/>
      </w:divBdr>
    </w:div>
    <w:div w:id="897207484">
      <w:bodyDiv w:val="1"/>
      <w:marLeft w:val="0"/>
      <w:marRight w:val="0"/>
      <w:marTop w:val="0"/>
      <w:marBottom w:val="0"/>
      <w:divBdr>
        <w:top w:val="none" w:sz="0" w:space="0" w:color="auto"/>
        <w:left w:val="none" w:sz="0" w:space="0" w:color="auto"/>
        <w:bottom w:val="none" w:sz="0" w:space="0" w:color="auto"/>
        <w:right w:val="none" w:sz="0" w:space="0" w:color="auto"/>
      </w:divBdr>
    </w:div>
    <w:div w:id="899095817">
      <w:bodyDiv w:val="1"/>
      <w:marLeft w:val="0"/>
      <w:marRight w:val="0"/>
      <w:marTop w:val="0"/>
      <w:marBottom w:val="0"/>
      <w:divBdr>
        <w:top w:val="none" w:sz="0" w:space="0" w:color="auto"/>
        <w:left w:val="none" w:sz="0" w:space="0" w:color="auto"/>
        <w:bottom w:val="none" w:sz="0" w:space="0" w:color="auto"/>
        <w:right w:val="none" w:sz="0" w:space="0" w:color="auto"/>
      </w:divBdr>
    </w:div>
    <w:div w:id="906766233">
      <w:bodyDiv w:val="1"/>
      <w:marLeft w:val="0"/>
      <w:marRight w:val="0"/>
      <w:marTop w:val="0"/>
      <w:marBottom w:val="0"/>
      <w:divBdr>
        <w:top w:val="none" w:sz="0" w:space="0" w:color="auto"/>
        <w:left w:val="none" w:sz="0" w:space="0" w:color="auto"/>
        <w:bottom w:val="none" w:sz="0" w:space="0" w:color="auto"/>
        <w:right w:val="none" w:sz="0" w:space="0" w:color="auto"/>
      </w:divBdr>
    </w:div>
    <w:div w:id="909852600">
      <w:bodyDiv w:val="1"/>
      <w:marLeft w:val="0"/>
      <w:marRight w:val="0"/>
      <w:marTop w:val="0"/>
      <w:marBottom w:val="0"/>
      <w:divBdr>
        <w:top w:val="none" w:sz="0" w:space="0" w:color="auto"/>
        <w:left w:val="none" w:sz="0" w:space="0" w:color="auto"/>
        <w:bottom w:val="none" w:sz="0" w:space="0" w:color="auto"/>
        <w:right w:val="none" w:sz="0" w:space="0" w:color="auto"/>
      </w:divBdr>
    </w:div>
    <w:div w:id="923878783">
      <w:bodyDiv w:val="1"/>
      <w:marLeft w:val="0"/>
      <w:marRight w:val="0"/>
      <w:marTop w:val="0"/>
      <w:marBottom w:val="0"/>
      <w:divBdr>
        <w:top w:val="none" w:sz="0" w:space="0" w:color="auto"/>
        <w:left w:val="none" w:sz="0" w:space="0" w:color="auto"/>
        <w:bottom w:val="none" w:sz="0" w:space="0" w:color="auto"/>
        <w:right w:val="none" w:sz="0" w:space="0" w:color="auto"/>
      </w:divBdr>
    </w:div>
    <w:div w:id="930695827">
      <w:bodyDiv w:val="1"/>
      <w:marLeft w:val="0"/>
      <w:marRight w:val="0"/>
      <w:marTop w:val="0"/>
      <w:marBottom w:val="0"/>
      <w:divBdr>
        <w:top w:val="none" w:sz="0" w:space="0" w:color="auto"/>
        <w:left w:val="none" w:sz="0" w:space="0" w:color="auto"/>
        <w:bottom w:val="none" w:sz="0" w:space="0" w:color="auto"/>
        <w:right w:val="none" w:sz="0" w:space="0" w:color="auto"/>
      </w:divBdr>
    </w:div>
    <w:div w:id="935477071">
      <w:bodyDiv w:val="1"/>
      <w:marLeft w:val="0"/>
      <w:marRight w:val="0"/>
      <w:marTop w:val="0"/>
      <w:marBottom w:val="0"/>
      <w:divBdr>
        <w:top w:val="none" w:sz="0" w:space="0" w:color="auto"/>
        <w:left w:val="none" w:sz="0" w:space="0" w:color="auto"/>
        <w:bottom w:val="none" w:sz="0" w:space="0" w:color="auto"/>
        <w:right w:val="none" w:sz="0" w:space="0" w:color="auto"/>
      </w:divBdr>
    </w:div>
    <w:div w:id="937061125">
      <w:bodyDiv w:val="1"/>
      <w:marLeft w:val="0"/>
      <w:marRight w:val="0"/>
      <w:marTop w:val="0"/>
      <w:marBottom w:val="0"/>
      <w:divBdr>
        <w:top w:val="none" w:sz="0" w:space="0" w:color="auto"/>
        <w:left w:val="none" w:sz="0" w:space="0" w:color="auto"/>
        <w:bottom w:val="none" w:sz="0" w:space="0" w:color="auto"/>
        <w:right w:val="none" w:sz="0" w:space="0" w:color="auto"/>
      </w:divBdr>
    </w:div>
    <w:div w:id="937761233">
      <w:bodyDiv w:val="1"/>
      <w:marLeft w:val="0"/>
      <w:marRight w:val="0"/>
      <w:marTop w:val="0"/>
      <w:marBottom w:val="0"/>
      <w:divBdr>
        <w:top w:val="none" w:sz="0" w:space="0" w:color="auto"/>
        <w:left w:val="none" w:sz="0" w:space="0" w:color="auto"/>
        <w:bottom w:val="none" w:sz="0" w:space="0" w:color="auto"/>
        <w:right w:val="none" w:sz="0" w:space="0" w:color="auto"/>
      </w:divBdr>
    </w:div>
    <w:div w:id="942305159">
      <w:bodyDiv w:val="1"/>
      <w:marLeft w:val="0"/>
      <w:marRight w:val="0"/>
      <w:marTop w:val="0"/>
      <w:marBottom w:val="0"/>
      <w:divBdr>
        <w:top w:val="none" w:sz="0" w:space="0" w:color="auto"/>
        <w:left w:val="none" w:sz="0" w:space="0" w:color="auto"/>
        <w:bottom w:val="none" w:sz="0" w:space="0" w:color="auto"/>
        <w:right w:val="none" w:sz="0" w:space="0" w:color="auto"/>
      </w:divBdr>
    </w:div>
    <w:div w:id="943612540">
      <w:bodyDiv w:val="1"/>
      <w:marLeft w:val="0"/>
      <w:marRight w:val="0"/>
      <w:marTop w:val="0"/>
      <w:marBottom w:val="0"/>
      <w:divBdr>
        <w:top w:val="none" w:sz="0" w:space="0" w:color="auto"/>
        <w:left w:val="none" w:sz="0" w:space="0" w:color="auto"/>
        <w:bottom w:val="none" w:sz="0" w:space="0" w:color="auto"/>
        <w:right w:val="none" w:sz="0" w:space="0" w:color="auto"/>
      </w:divBdr>
    </w:div>
    <w:div w:id="959144933">
      <w:bodyDiv w:val="1"/>
      <w:marLeft w:val="0"/>
      <w:marRight w:val="0"/>
      <w:marTop w:val="0"/>
      <w:marBottom w:val="0"/>
      <w:divBdr>
        <w:top w:val="none" w:sz="0" w:space="0" w:color="auto"/>
        <w:left w:val="none" w:sz="0" w:space="0" w:color="auto"/>
        <w:bottom w:val="none" w:sz="0" w:space="0" w:color="auto"/>
        <w:right w:val="none" w:sz="0" w:space="0" w:color="auto"/>
      </w:divBdr>
    </w:div>
    <w:div w:id="959797915">
      <w:bodyDiv w:val="1"/>
      <w:marLeft w:val="0"/>
      <w:marRight w:val="0"/>
      <w:marTop w:val="0"/>
      <w:marBottom w:val="0"/>
      <w:divBdr>
        <w:top w:val="none" w:sz="0" w:space="0" w:color="auto"/>
        <w:left w:val="none" w:sz="0" w:space="0" w:color="auto"/>
        <w:bottom w:val="none" w:sz="0" w:space="0" w:color="auto"/>
        <w:right w:val="none" w:sz="0" w:space="0" w:color="auto"/>
      </w:divBdr>
    </w:div>
    <w:div w:id="970672599">
      <w:bodyDiv w:val="1"/>
      <w:marLeft w:val="0"/>
      <w:marRight w:val="0"/>
      <w:marTop w:val="0"/>
      <w:marBottom w:val="0"/>
      <w:divBdr>
        <w:top w:val="none" w:sz="0" w:space="0" w:color="auto"/>
        <w:left w:val="none" w:sz="0" w:space="0" w:color="auto"/>
        <w:bottom w:val="none" w:sz="0" w:space="0" w:color="auto"/>
        <w:right w:val="none" w:sz="0" w:space="0" w:color="auto"/>
      </w:divBdr>
    </w:div>
    <w:div w:id="976567765">
      <w:bodyDiv w:val="1"/>
      <w:marLeft w:val="0"/>
      <w:marRight w:val="0"/>
      <w:marTop w:val="0"/>
      <w:marBottom w:val="0"/>
      <w:divBdr>
        <w:top w:val="none" w:sz="0" w:space="0" w:color="auto"/>
        <w:left w:val="none" w:sz="0" w:space="0" w:color="auto"/>
        <w:bottom w:val="none" w:sz="0" w:space="0" w:color="auto"/>
        <w:right w:val="none" w:sz="0" w:space="0" w:color="auto"/>
      </w:divBdr>
    </w:div>
    <w:div w:id="977029007">
      <w:bodyDiv w:val="1"/>
      <w:marLeft w:val="0"/>
      <w:marRight w:val="0"/>
      <w:marTop w:val="0"/>
      <w:marBottom w:val="0"/>
      <w:divBdr>
        <w:top w:val="none" w:sz="0" w:space="0" w:color="auto"/>
        <w:left w:val="none" w:sz="0" w:space="0" w:color="auto"/>
        <w:bottom w:val="none" w:sz="0" w:space="0" w:color="auto"/>
        <w:right w:val="none" w:sz="0" w:space="0" w:color="auto"/>
      </w:divBdr>
      <w:divsChild>
        <w:div w:id="634915378">
          <w:marLeft w:val="274"/>
          <w:marRight w:val="0"/>
          <w:marTop w:val="0"/>
          <w:marBottom w:val="120"/>
          <w:divBdr>
            <w:top w:val="none" w:sz="0" w:space="0" w:color="auto"/>
            <w:left w:val="none" w:sz="0" w:space="0" w:color="auto"/>
            <w:bottom w:val="none" w:sz="0" w:space="0" w:color="auto"/>
            <w:right w:val="none" w:sz="0" w:space="0" w:color="auto"/>
          </w:divBdr>
        </w:div>
      </w:divsChild>
    </w:div>
    <w:div w:id="982345567">
      <w:bodyDiv w:val="1"/>
      <w:marLeft w:val="0"/>
      <w:marRight w:val="0"/>
      <w:marTop w:val="0"/>
      <w:marBottom w:val="0"/>
      <w:divBdr>
        <w:top w:val="none" w:sz="0" w:space="0" w:color="auto"/>
        <w:left w:val="none" w:sz="0" w:space="0" w:color="auto"/>
        <w:bottom w:val="none" w:sz="0" w:space="0" w:color="auto"/>
        <w:right w:val="none" w:sz="0" w:space="0" w:color="auto"/>
      </w:divBdr>
      <w:divsChild>
        <w:div w:id="1090808194">
          <w:marLeft w:val="274"/>
          <w:marRight w:val="0"/>
          <w:marTop w:val="0"/>
          <w:marBottom w:val="120"/>
          <w:divBdr>
            <w:top w:val="none" w:sz="0" w:space="0" w:color="auto"/>
            <w:left w:val="none" w:sz="0" w:space="0" w:color="auto"/>
            <w:bottom w:val="none" w:sz="0" w:space="0" w:color="auto"/>
            <w:right w:val="none" w:sz="0" w:space="0" w:color="auto"/>
          </w:divBdr>
        </w:div>
      </w:divsChild>
    </w:div>
    <w:div w:id="988754052">
      <w:bodyDiv w:val="1"/>
      <w:marLeft w:val="0"/>
      <w:marRight w:val="0"/>
      <w:marTop w:val="0"/>
      <w:marBottom w:val="0"/>
      <w:divBdr>
        <w:top w:val="none" w:sz="0" w:space="0" w:color="auto"/>
        <w:left w:val="none" w:sz="0" w:space="0" w:color="auto"/>
        <w:bottom w:val="none" w:sz="0" w:space="0" w:color="auto"/>
        <w:right w:val="none" w:sz="0" w:space="0" w:color="auto"/>
      </w:divBdr>
    </w:div>
    <w:div w:id="989362697">
      <w:bodyDiv w:val="1"/>
      <w:marLeft w:val="0"/>
      <w:marRight w:val="0"/>
      <w:marTop w:val="0"/>
      <w:marBottom w:val="0"/>
      <w:divBdr>
        <w:top w:val="none" w:sz="0" w:space="0" w:color="auto"/>
        <w:left w:val="none" w:sz="0" w:space="0" w:color="auto"/>
        <w:bottom w:val="none" w:sz="0" w:space="0" w:color="auto"/>
        <w:right w:val="none" w:sz="0" w:space="0" w:color="auto"/>
      </w:divBdr>
    </w:div>
    <w:div w:id="994993278">
      <w:bodyDiv w:val="1"/>
      <w:marLeft w:val="0"/>
      <w:marRight w:val="0"/>
      <w:marTop w:val="0"/>
      <w:marBottom w:val="0"/>
      <w:divBdr>
        <w:top w:val="none" w:sz="0" w:space="0" w:color="auto"/>
        <w:left w:val="none" w:sz="0" w:space="0" w:color="auto"/>
        <w:bottom w:val="none" w:sz="0" w:space="0" w:color="auto"/>
        <w:right w:val="none" w:sz="0" w:space="0" w:color="auto"/>
      </w:divBdr>
    </w:div>
    <w:div w:id="997002445">
      <w:bodyDiv w:val="1"/>
      <w:marLeft w:val="0"/>
      <w:marRight w:val="0"/>
      <w:marTop w:val="0"/>
      <w:marBottom w:val="0"/>
      <w:divBdr>
        <w:top w:val="none" w:sz="0" w:space="0" w:color="auto"/>
        <w:left w:val="none" w:sz="0" w:space="0" w:color="auto"/>
        <w:bottom w:val="none" w:sz="0" w:space="0" w:color="auto"/>
        <w:right w:val="none" w:sz="0" w:space="0" w:color="auto"/>
      </w:divBdr>
    </w:div>
    <w:div w:id="999693483">
      <w:bodyDiv w:val="1"/>
      <w:marLeft w:val="0"/>
      <w:marRight w:val="0"/>
      <w:marTop w:val="0"/>
      <w:marBottom w:val="0"/>
      <w:divBdr>
        <w:top w:val="none" w:sz="0" w:space="0" w:color="auto"/>
        <w:left w:val="none" w:sz="0" w:space="0" w:color="auto"/>
        <w:bottom w:val="none" w:sz="0" w:space="0" w:color="auto"/>
        <w:right w:val="none" w:sz="0" w:space="0" w:color="auto"/>
      </w:divBdr>
    </w:div>
    <w:div w:id="1006174628">
      <w:bodyDiv w:val="1"/>
      <w:marLeft w:val="0"/>
      <w:marRight w:val="0"/>
      <w:marTop w:val="0"/>
      <w:marBottom w:val="0"/>
      <w:divBdr>
        <w:top w:val="none" w:sz="0" w:space="0" w:color="auto"/>
        <w:left w:val="none" w:sz="0" w:space="0" w:color="auto"/>
        <w:bottom w:val="none" w:sz="0" w:space="0" w:color="auto"/>
        <w:right w:val="none" w:sz="0" w:space="0" w:color="auto"/>
      </w:divBdr>
    </w:div>
    <w:div w:id="1006403283">
      <w:bodyDiv w:val="1"/>
      <w:marLeft w:val="0"/>
      <w:marRight w:val="0"/>
      <w:marTop w:val="0"/>
      <w:marBottom w:val="0"/>
      <w:divBdr>
        <w:top w:val="none" w:sz="0" w:space="0" w:color="auto"/>
        <w:left w:val="none" w:sz="0" w:space="0" w:color="auto"/>
        <w:bottom w:val="none" w:sz="0" w:space="0" w:color="auto"/>
        <w:right w:val="none" w:sz="0" w:space="0" w:color="auto"/>
      </w:divBdr>
    </w:div>
    <w:div w:id="1023626412">
      <w:bodyDiv w:val="1"/>
      <w:marLeft w:val="0"/>
      <w:marRight w:val="0"/>
      <w:marTop w:val="0"/>
      <w:marBottom w:val="0"/>
      <w:divBdr>
        <w:top w:val="none" w:sz="0" w:space="0" w:color="auto"/>
        <w:left w:val="none" w:sz="0" w:space="0" w:color="auto"/>
        <w:bottom w:val="none" w:sz="0" w:space="0" w:color="auto"/>
        <w:right w:val="none" w:sz="0" w:space="0" w:color="auto"/>
      </w:divBdr>
    </w:div>
    <w:div w:id="1024282685">
      <w:bodyDiv w:val="1"/>
      <w:marLeft w:val="0"/>
      <w:marRight w:val="0"/>
      <w:marTop w:val="0"/>
      <w:marBottom w:val="0"/>
      <w:divBdr>
        <w:top w:val="none" w:sz="0" w:space="0" w:color="auto"/>
        <w:left w:val="none" w:sz="0" w:space="0" w:color="auto"/>
        <w:bottom w:val="none" w:sz="0" w:space="0" w:color="auto"/>
        <w:right w:val="none" w:sz="0" w:space="0" w:color="auto"/>
      </w:divBdr>
    </w:div>
    <w:div w:id="1024600633">
      <w:bodyDiv w:val="1"/>
      <w:marLeft w:val="0"/>
      <w:marRight w:val="0"/>
      <w:marTop w:val="0"/>
      <w:marBottom w:val="0"/>
      <w:divBdr>
        <w:top w:val="none" w:sz="0" w:space="0" w:color="auto"/>
        <w:left w:val="none" w:sz="0" w:space="0" w:color="auto"/>
        <w:bottom w:val="none" w:sz="0" w:space="0" w:color="auto"/>
        <w:right w:val="none" w:sz="0" w:space="0" w:color="auto"/>
      </w:divBdr>
    </w:div>
    <w:div w:id="1027952675">
      <w:bodyDiv w:val="1"/>
      <w:marLeft w:val="0"/>
      <w:marRight w:val="0"/>
      <w:marTop w:val="0"/>
      <w:marBottom w:val="0"/>
      <w:divBdr>
        <w:top w:val="none" w:sz="0" w:space="0" w:color="auto"/>
        <w:left w:val="none" w:sz="0" w:space="0" w:color="auto"/>
        <w:bottom w:val="none" w:sz="0" w:space="0" w:color="auto"/>
        <w:right w:val="none" w:sz="0" w:space="0" w:color="auto"/>
      </w:divBdr>
    </w:div>
    <w:div w:id="1030104567">
      <w:bodyDiv w:val="1"/>
      <w:marLeft w:val="0"/>
      <w:marRight w:val="0"/>
      <w:marTop w:val="0"/>
      <w:marBottom w:val="0"/>
      <w:divBdr>
        <w:top w:val="none" w:sz="0" w:space="0" w:color="auto"/>
        <w:left w:val="none" w:sz="0" w:space="0" w:color="auto"/>
        <w:bottom w:val="none" w:sz="0" w:space="0" w:color="auto"/>
        <w:right w:val="none" w:sz="0" w:space="0" w:color="auto"/>
      </w:divBdr>
    </w:div>
    <w:div w:id="1034041972">
      <w:bodyDiv w:val="1"/>
      <w:marLeft w:val="0"/>
      <w:marRight w:val="0"/>
      <w:marTop w:val="0"/>
      <w:marBottom w:val="0"/>
      <w:divBdr>
        <w:top w:val="none" w:sz="0" w:space="0" w:color="auto"/>
        <w:left w:val="none" w:sz="0" w:space="0" w:color="auto"/>
        <w:bottom w:val="none" w:sz="0" w:space="0" w:color="auto"/>
        <w:right w:val="none" w:sz="0" w:space="0" w:color="auto"/>
      </w:divBdr>
    </w:div>
    <w:div w:id="1037389299">
      <w:bodyDiv w:val="1"/>
      <w:marLeft w:val="0"/>
      <w:marRight w:val="0"/>
      <w:marTop w:val="0"/>
      <w:marBottom w:val="0"/>
      <w:divBdr>
        <w:top w:val="none" w:sz="0" w:space="0" w:color="auto"/>
        <w:left w:val="none" w:sz="0" w:space="0" w:color="auto"/>
        <w:bottom w:val="none" w:sz="0" w:space="0" w:color="auto"/>
        <w:right w:val="none" w:sz="0" w:space="0" w:color="auto"/>
      </w:divBdr>
    </w:div>
    <w:div w:id="1038169230">
      <w:bodyDiv w:val="1"/>
      <w:marLeft w:val="0"/>
      <w:marRight w:val="0"/>
      <w:marTop w:val="0"/>
      <w:marBottom w:val="0"/>
      <w:divBdr>
        <w:top w:val="none" w:sz="0" w:space="0" w:color="auto"/>
        <w:left w:val="none" w:sz="0" w:space="0" w:color="auto"/>
        <w:bottom w:val="none" w:sz="0" w:space="0" w:color="auto"/>
        <w:right w:val="none" w:sz="0" w:space="0" w:color="auto"/>
      </w:divBdr>
    </w:div>
    <w:div w:id="1041781646">
      <w:bodyDiv w:val="1"/>
      <w:marLeft w:val="0"/>
      <w:marRight w:val="0"/>
      <w:marTop w:val="0"/>
      <w:marBottom w:val="0"/>
      <w:divBdr>
        <w:top w:val="none" w:sz="0" w:space="0" w:color="auto"/>
        <w:left w:val="none" w:sz="0" w:space="0" w:color="auto"/>
        <w:bottom w:val="none" w:sz="0" w:space="0" w:color="auto"/>
        <w:right w:val="none" w:sz="0" w:space="0" w:color="auto"/>
      </w:divBdr>
    </w:div>
    <w:div w:id="1046372835">
      <w:bodyDiv w:val="1"/>
      <w:marLeft w:val="0"/>
      <w:marRight w:val="0"/>
      <w:marTop w:val="0"/>
      <w:marBottom w:val="0"/>
      <w:divBdr>
        <w:top w:val="none" w:sz="0" w:space="0" w:color="auto"/>
        <w:left w:val="none" w:sz="0" w:space="0" w:color="auto"/>
        <w:bottom w:val="none" w:sz="0" w:space="0" w:color="auto"/>
        <w:right w:val="none" w:sz="0" w:space="0" w:color="auto"/>
      </w:divBdr>
    </w:div>
    <w:div w:id="1058936353">
      <w:bodyDiv w:val="1"/>
      <w:marLeft w:val="0"/>
      <w:marRight w:val="0"/>
      <w:marTop w:val="0"/>
      <w:marBottom w:val="0"/>
      <w:divBdr>
        <w:top w:val="none" w:sz="0" w:space="0" w:color="auto"/>
        <w:left w:val="none" w:sz="0" w:space="0" w:color="auto"/>
        <w:bottom w:val="none" w:sz="0" w:space="0" w:color="auto"/>
        <w:right w:val="none" w:sz="0" w:space="0" w:color="auto"/>
      </w:divBdr>
    </w:div>
    <w:div w:id="1059590630">
      <w:bodyDiv w:val="1"/>
      <w:marLeft w:val="0"/>
      <w:marRight w:val="0"/>
      <w:marTop w:val="0"/>
      <w:marBottom w:val="0"/>
      <w:divBdr>
        <w:top w:val="none" w:sz="0" w:space="0" w:color="auto"/>
        <w:left w:val="none" w:sz="0" w:space="0" w:color="auto"/>
        <w:bottom w:val="none" w:sz="0" w:space="0" w:color="auto"/>
        <w:right w:val="none" w:sz="0" w:space="0" w:color="auto"/>
      </w:divBdr>
    </w:div>
    <w:div w:id="1059666976">
      <w:bodyDiv w:val="1"/>
      <w:marLeft w:val="0"/>
      <w:marRight w:val="0"/>
      <w:marTop w:val="0"/>
      <w:marBottom w:val="0"/>
      <w:divBdr>
        <w:top w:val="none" w:sz="0" w:space="0" w:color="auto"/>
        <w:left w:val="none" w:sz="0" w:space="0" w:color="auto"/>
        <w:bottom w:val="none" w:sz="0" w:space="0" w:color="auto"/>
        <w:right w:val="none" w:sz="0" w:space="0" w:color="auto"/>
      </w:divBdr>
    </w:div>
    <w:div w:id="1064332658">
      <w:bodyDiv w:val="1"/>
      <w:marLeft w:val="0"/>
      <w:marRight w:val="0"/>
      <w:marTop w:val="0"/>
      <w:marBottom w:val="0"/>
      <w:divBdr>
        <w:top w:val="none" w:sz="0" w:space="0" w:color="auto"/>
        <w:left w:val="none" w:sz="0" w:space="0" w:color="auto"/>
        <w:bottom w:val="none" w:sz="0" w:space="0" w:color="auto"/>
        <w:right w:val="none" w:sz="0" w:space="0" w:color="auto"/>
      </w:divBdr>
    </w:div>
    <w:div w:id="1066294505">
      <w:bodyDiv w:val="1"/>
      <w:marLeft w:val="0"/>
      <w:marRight w:val="0"/>
      <w:marTop w:val="0"/>
      <w:marBottom w:val="0"/>
      <w:divBdr>
        <w:top w:val="none" w:sz="0" w:space="0" w:color="auto"/>
        <w:left w:val="none" w:sz="0" w:space="0" w:color="auto"/>
        <w:bottom w:val="none" w:sz="0" w:space="0" w:color="auto"/>
        <w:right w:val="none" w:sz="0" w:space="0" w:color="auto"/>
      </w:divBdr>
    </w:div>
    <w:div w:id="1068304685">
      <w:bodyDiv w:val="1"/>
      <w:marLeft w:val="0"/>
      <w:marRight w:val="0"/>
      <w:marTop w:val="0"/>
      <w:marBottom w:val="0"/>
      <w:divBdr>
        <w:top w:val="none" w:sz="0" w:space="0" w:color="auto"/>
        <w:left w:val="none" w:sz="0" w:space="0" w:color="auto"/>
        <w:bottom w:val="none" w:sz="0" w:space="0" w:color="auto"/>
        <w:right w:val="none" w:sz="0" w:space="0" w:color="auto"/>
      </w:divBdr>
    </w:div>
    <w:div w:id="1069036960">
      <w:bodyDiv w:val="1"/>
      <w:marLeft w:val="0"/>
      <w:marRight w:val="0"/>
      <w:marTop w:val="0"/>
      <w:marBottom w:val="0"/>
      <w:divBdr>
        <w:top w:val="none" w:sz="0" w:space="0" w:color="auto"/>
        <w:left w:val="none" w:sz="0" w:space="0" w:color="auto"/>
        <w:bottom w:val="none" w:sz="0" w:space="0" w:color="auto"/>
        <w:right w:val="none" w:sz="0" w:space="0" w:color="auto"/>
      </w:divBdr>
    </w:div>
    <w:div w:id="1090471424">
      <w:bodyDiv w:val="1"/>
      <w:marLeft w:val="0"/>
      <w:marRight w:val="0"/>
      <w:marTop w:val="0"/>
      <w:marBottom w:val="0"/>
      <w:divBdr>
        <w:top w:val="none" w:sz="0" w:space="0" w:color="auto"/>
        <w:left w:val="none" w:sz="0" w:space="0" w:color="auto"/>
        <w:bottom w:val="none" w:sz="0" w:space="0" w:color="auto"/>
        <w:right w:val="none" w:sz="0" w:space="0" w:color="auto"/>
      </w:divBdr>
    </w:div>
    <w:div w:id="1096560531">
      <w:bodyDiv w:val="1"/>
      <w:marLeft w:val="0"/>
      <w:marRight w:val="0"/>
      <w:marTop w:val="0"/>
      <w:marBottom w:val="0"/>
      <w:divBdr>
        <w:top w:val="none" w:sz="0" w:space="0" w:color="auto"/>
        <w:left w:val="none" w:sz="0" w:space="0" w:color="auto"/>
        <w:bottom w:val="none" w:sz="0" w:space="0" w:color="auto"/>
        <w:right w:val="none" w:sz="0" w:space="0" w:color="auto"/>
      </w:divBdr>
    </w:div>
    <w:div w:id="1104182918">
      <w:bodyDiv w:val="1"/>
      <w:marLeft w:val="0"/>
      <w:marRight w:val="0"/>
      <w:marTop w:val="0"/>
      <w:marBottom w:val="0"/>
      <w:divBdr>
        <w:top w:val="none" w:sz="0" w:space="0" w:color="auto"/>
        <w:left w:val="none" w:sz="0" w:space="0" w:color="auto"/>
        <w:bottom w:val="none" w:sz="0" w:space="0" w:color="auto"/>
        <w:right w:val="none" w:sz="0" w:space="0" w:color="auto"/>
      </w:divBdr>
    </w:div>
    <w:div w:id="1106849349">
      <w:bodyDiv w:val="1"/>
      <w:marLeft w:val="0"/>
      <w:marRight w:val="0"/>
      <w:marTop w:val="0"/>
      <w:marBottom w:val="0"/>
      <w:divBdr>
        <w:top w:val="none" w:sz="0" w:space="0" w:color="auto"/>
        <w:left w:val="none" w:sz="0" w:space="0" w:color="auto"/>
        <w:bottom w:val="none" w:sz="0" w:space="0" w:color="auto"/>
        <w:right w:val="none" w:sz="0" w:space="0" w:color="auto"/>
      </w:divBdr>
    </w:div>
    <w:div w:id="1108699050">
      <w:bodyDiv w:val="1"/>
      <w:marLeft w:val="0"/>
      <w:marRight w:val="0"/>
      <w:marTop w:val="0"/>
      <w:marBottom w:val="0"/>
      <w:divBdr>
        <w:top w:val="none" w:sz="0" w:space="0" w:color="auto"/>
        <w:left w:val="none" w:sz="0" w:space="0" w:color="auto"/>
        <w:bottom w:val="none" w:sz="0" w:space="0" w:color="auto"/>
        <w:right w:val="none" w:sz="0" w:space="0" w:color="auto"/>
      </w:divBdr>
    </w:div>
    <w:div w:id="1109279721">
      <w:bodyDiv w:val="1"/>
      <w:marLeft w:val="0"/>
      <w:marRight w:val="0"/>
      <w:marTop w:val="0"/>
      <w:marBottom w:val="0"/>
      <w:divBdr>
        <w:top w:val="none" w:sz="0" w:space="0" w:color="auto"/>
        <w:left w:val="none" w:sz="0" w:space="0" w:color="auto"/>
        <w:bottom w:val="none" w:sz="0" w:space="0" w:color="auto"/>
        <w:right w:val="none" w:sz="0" w:space="0" w:color="auto"/>
      </w:divBdr>
    </w:div>
    <w:div w:id="1113474752">
      <w:bodyDiv w:val="1"/>
      <w:marLeft w:val="0"/>
      <w:marRight w:val="0"/>
      <w:marTop w:val="0"/>
      <w:marBottom w:val="0"/>
      <w:divBdr>
        <w:top w:val="none" w:sz="0" w:space="0" w:color="auto"/>
        <w:left w:val="none" w:sz="0" w:space="0" w:color="auto"/>
        <w:bottom w:val="none" w:sz="0" w:space="0" w:color="auto"/>
        <w:right w:val="none" w:sz="0" w:space="0" w:color="auto"/>
      </w:divBdr>
    </w:div>
    <w:div w:id="1114862044">
      <w:bodyDiv w:val="1"/>
      <w:marLeft w:val="0"/>
      <w:marRight w:val="0"/>
      <w:marTop w:val="0"/>
      <w:marBottom w:val="0"/>
      <w:divBdr>
        <w:top w:val="none" w:sz="0" w:space="0" w:color="auto"/>
        <w:left w:val="none" w:sz="0" w:space="0" w:color="auto"/>
        <w:bottom w:val="none" w:sz="0" w:space="0" w:color="auto"/>
        <w:right w:val="none" w:sz="0" w:space="0" w:color="auto"/>
      </w:divBdr>
    </w:div>
    <w:div w:id="1117994053">
      <w:bodyDiv w:val="1"/>
      <w:marLeft w:val="0"/>
      <w:marRight w:val="0"/>
      <w:marTop w:val="0"/>
      <w:marBottom w:val="0"/>
      <w:divBdr>
        <w:top w:val="none" w:sz="0" w:space="0" w:color="auto"/>
        <w:left w:val="none" w:sz="0" w:space="0" w:color="auto"/>
        <w:bottom w:val="none" w:sz="0" w:space="0" w:color="auto"/>
        <w:right w:val="none" w:sz="0" w:space="0" w:color="auto"/>
      </w:divBdr>
    </w:div>
    <w:div w:id="1119374283">
      <w:bodyDiv w:val="1"/>
      <w:marLeft w:val="0"/>
      <w:marRight w:val="0"/>
      <w:marTop w:val="0"/>
      <w:marBottom w:val="0"/>
      <w:divBdr>
        <w:top w:val="none" w:sz="0" w:space="0" w:color="auto"/>
        <w:left w:val="none" w:sz="0" w:space="0" w:color="auto"/>
        <w:bottom w:val="none" w:sz="0" w:space="0" w:color="auto"/>
        <w:right w:val="none" w:sz="0" w:space="0" w:color="auto"/>
      </w:divBdr>
    </w:div>
    <w:div w:id="1119568713">
      <w:bodyDiv w:val="1"/>
      <w:marLeft w:val="0"/>
      <w:marRight w:val="0"/>
      <w:marTop w:val="0"/>
      <w:marBottom w:val="0"/>
      <w:divBdr>
        <w:top w:val="none" w:sz="0" w:space="0" w:color="auto"/>
        <w:left w:val="none" w:sz="0" w:space="0" w:color="auto"/>
        <w:bottom w:val="none" w:sz="0" w:space="0" w:color="auto"/>
        <w:right w:val="none" w:sz="0" w:space="0" w:color="auto"/>
      </w:divBdr>
    </w:div>
    <w:div w:id="1131558873">
      <w:bodyDiv w:val="1"/>
      <w:marLeft w:val="0"/>
      <w:marRight w:val="0"/>
      <w:marTop w:val="0"/>
      <w:marBottom w:val="0"/>
      <w:divBdr>
        <w:top w:val="none" w:sz="0" w:space="0" w:color="auto"/>
        <w:left w:val="none" w:sz="0" w:space="0" w:color="auto"/>
        <w:bottom w:val="none" w:sz="0" w:space="0" w:color="auto"/>
        <w:right w:val="none" w:sz="0" w:space="0" w:color="auto"/>
      </w:divBdr>
    </w:div>
    <w:div w:id="1137525720">
      <w:bodyDiv w:val="1"/>
      <w:marLeft w:val="0"/>
      <w:marRight w:val="0"/>
      <w:marTop w:val="0"/>
      <w:marBottom w:val="0"/>
      <w:divBdr>
        <w:top w:val="none" w:sz="0" w:space="0" w:color="auto"/>
        <w:left w:val="none" w:sz="0" w:space="0" w:color="auto"/>
        <w:bottom w:val="none" w:sz="0" w:space="0" w:color="auto"/>
        <w:right w:val="none" w:sz="0" w:space="0" w:color="auto"/>
      </w:divBdr>
    </w:div>
    <w:div w:id="1138304192">
      <w:bodyDiv w:val="1"/>
      <w:marLeft w:val="0"/>
      <w:marRight w:val="0"/>
      <w:marTop w:val="0"/>
      <w:marBottom w:val="0"/>
      <w:divBdr>
        <w:top w:val="none" w:sz="0" w:space="0" w:color="auto"/>
        <w:left w:val="none" w:sz="0" w:space="0" w:color="auto"/>
        <w:bottom w:val="none" w:sz="0" w:space="0" w:color="auto"/>
        <w:right w:val="none" w:sz="0" w:space="0" w:color="auto"/>
      </w:divBdr>
    </w:div>
    <w:div w:id="1138838734">
      <w:bodyDiv w:val="1"/>
      <w:marLeft w:val="0"/>
      <w:marRight w:val="0"/>
      <w:marTop w:val="0"/>
      <w:marBottom w:val="0"/>
      <w:divBdr>
        <w:top w:val="none" w:sz="0" w:space="0" w:color="auto"/>
        <w:left w:val="none" w:sz="0" w:space="0" w:color="auto"/>
        <w:bottom w:val="none" w:sz="0" w:space="0" w:color="auto"/>
        <w:right w:val="none" w:sz="0" w:space="0" w:color="auto"/>
      </w:divBdr>
    </w:div>
    <w:div w:id="1146360277">
      <w:bodyDiv w:val="1"/>
      <w:marLeft w:val="0"/>
      <w:marRight w:val="0"/>
      <w:marTop w:val="0"/>
      <w:marBottom w:val="0"/>
      <w:divBdr>
        <w:top w:val="none" w:sz="0" w:space="0" w:color="auto"/>
        <w:left w:val="none" w:sz="0" w:space="0" w:color="auto"/>
        <w:bottom w:val="none" w:sz="0" w:space="0" w:color="auto"/>
        <w:right w:val="none" w:sz="0" w:space="0" w:color="auto"/>
      </w:divBdr>
    </w:div>
    <w:div w:id="1148131771">
      <w:bodyDiv w:val="1"/>
      <w:marLeft w:val="0"/>
      <w:marRight w:val="0"/>
      <w:marTop w:val="0"/>
      <w:marBottom w:val="0"/>
      <w:divBdr>
        <w:top w:val="none" w:sz="0" w:space="0" w:color="auto"/>
        <w:left w:val="none" w:sz="0" w:space="0" w:color="auto"/>
        <w:bottom w:val="none" w:sz="0" w:space="0" w:color="auto"/>
        <w:right w:val="none" w:sz="0" w:space="0" w:color="auto"/>
      </w:divBdr>
    </w:div>
    <w:div w:id="1153452471">
      <w:bodyDiv w:val="1"/>
      <w:marLeft w:val="0"/>
      <w:marRight w:val="0"/>
      <w:marTop w:val="0"/>
      <w:marBottom w:val="0"/>
      <w:divBdr>
        <w:top w:val="none" w:sz="0" w:space="0" w:color="auto"/>
        <w:left w:val="none" w:sz="0" w:space="0" w:color="auto"/>
        <w:bottom w:val="none" w:sz="0" w:space="0" w:color="auto"/>
        <w:right w:val="none" w:sz="0" w:space="0" w:color="auto"/>
      </w:divBdr>
    </w:div>
    <w:div w:id="1155300672">
      <w:bodyDiv w:val="1"/>
      <w:marLeft w:val="0"/>
      <w:marRight w:val="0"/>
      <w:marTop w:val="0"/>
      <w:marBottom w:val="0"/>
      <w:divBdr>
        <w:top w:val="none" w:sz="0" w:space="0" w:color="auto"/>
        <w:left w:val="none" w:sz="0" w:space="0" w:color="auto"/>
        <w:bottom w:val="none" w:sz="0" w:space="0" w:color="auto"/>
        <w:right w:val="none" w:sz="0" w:space="0" w:color="auto"/>
      </w:divBdr>
    </w:div>
    <w:div w:id="1169634114">
      <w:bodyDiv w:val="1"/>
      <w:marLeft w:val="0"/>
      <w:marRight w:val="0"/>
      <w:marTop w:val="0"/>
      <w:marBottom w:val="0"/>
      <w:divBdr>
        <w:top w:val="none" w:sz="0" w:space="0" w:color="auto"/>
        <w:left w:val="none" w:sz="0" w:space="0" w:color="auto"/>
        <w:bottom w:val="none" w:sz="0" w:space="0" w:color="auto"/>
        <w:right w:val="none" w:sz="0" w:space="0" w:color="auto"/>
      </w:divBdr>
    </w:div>
    <w:div w:id="1190559343">
      <w:bodyDiv w:val="1"/>
      <w:marLeft w:val="0"/>
      <w:marRight w:val="0"/>
      <w:marTop w:val="0"/>
      <w:marBottom w:val="0"/>
      <w:divBdr>
        <w:top w:val="none" w:sz="0" w:space="0" w:color="auto"/>
        <w:left w:val="none" w:sz="0" w:space="0" w:color="auto"/>
        <w:bottom w:val="none" w:sz="0" w:space="0" w:color="auto"/>
        <w:right w:val="none" w:sz="0" w:space="0" w:color="auto"/>
      </w:divBdr>
    </w:div>
    <w:div w:id="1191454632">
      <w:bodyDiv w:val="1"/>
      <w:marLeft w:val="0"/>
      <w:marRight w:val="0"/>
      <w:marTop w:val="0"/>
      <w:marBottom w:val="0"/>
      <w:divBdr>
        <w:top w:val="none" w:sz="0" w:space="0" w:color="auto"/>
        <w:left w:val="none" w:sz="0" w:space="0" w:color="auto"/>
        <w:bottom w:val="none" w:sz="0" w:space="0" w:color="auto"/>
        <w:right w:val="none" w:sz="0" w:space="0" w:color="auto"/>
      </w:divBdr>
    </w:div>
    <w:div w:id="1193693081">
      <w:bodyDiv w:val="1"/>
      <w:marLeft w:val="0"/>
      <w:marRight w:val="0"/>
      <w:marTop w:val="0"/>
      <w:marBottom w:val="0"/>
      <w:divBdr>
        <w:top w:val="none" w:sz="0" w:space="0" w:color="auto"/>
        <w:left w:val="none" w:sz="0" w:space="0" w:color="auto"/>
        <w:bottom w:val="none" w:sz="0" w:space="0" w:color="auto"/>
        <w:right w:val="none" w:sz="0" w:space="0" w:color="auto"/>
      </w:divBdr>
    </w:div>
    <w:div w:id="1201240161">
      <w:bodyDiv w:val="1"/>
      <w:marLeft w:val="0"/>
      <w:marRight w:val="0"/>
      <w:marTop w:val="0"/>
      <w:marBottom w:val="0"/>
      <w:divBdr>
        <w:top w:val="none" w:sz="0" w:space="0" w:color="auto"/>
        <w:left w:val="none" w:sz="0" w:space="0" w:color="auto"/>
        <w:bottom w:val="none" w:sz="0" w:space="0" w:color="auto"/>
        <w:right w:val="none" w:sz="0" w:space="0" w:color="auto"/>
      </w:divBdr>
    </w:div>
    <w:div w:id="1203592854">
      <w:bodyDiv w:val="1"/>
      <w:marLeft w:val="0"/>
      <w:marRight w:val="0"/>
      <w:marTop w:val="0"/>
      <w:marBottom w:val="0"/>
      <w:divBdr>
        <w:top w:val="none" w:sz="0" w:space="0" w:color="auto"/>
        <w:left w:val="none" w:sz="0" w:space="0" w:color="auto"/>
        <w:bottom w:val="none" w:sz="0" w:space="0" w:color="auto"/>
        <w:right w:val="none" w:sz="0" w:space="0" w:color="auto"/>
      </w:divBdr>
    </w:div>
    <w:div w:id="1205216315">
      <w:bodyDiv w:val="1"/>
      <w:marLeft w:val="0"/>
      <w:marRight w:val="0"/>
      <w:marTop w:val="0"/>
      <w:marBottom w:val="0"/>
      <w:divBdr>
        <w:top w:val="none" w:sz="0" w:space="0" w:color="auto"/>
        <w:left w:val="none" w:sz="0" w:space="0" w:color="auto"/>
        <w:bottom w:val="none" w:sz="0" w:space="0" w:color="auto"/>
        <w:right w:val="none" w:sz="0" w:space="0" w:color="auto"/>
      </w:divBdr>
    </w:div>
    <w:div w:id="1207638498">
      <w:bodyDiv w:val="1"/>
      <w:marLeft w:val="0"/>
      <w:marRight w:val="0"/>
      <w:marTop w:val="0"/>
      <w:marBottom w:val="0"/>
      <w:divBdr>
        <w:top w:val="none" w:sz="0" w:space="0" w:color="auto"/>
        <w:left w:val="none" w:sz="0" w:space="0" w:color="auto"/>
        <w:bottom w:val="none" w:sz="0" w:space="0" w:color="auto"/>
        <w:right w:val="none" w:sz="0" w:space="0" w:color="auto"/>
      </w:divBdr>
      <w:divsChild>
        <w:div w:id="1016083188">
          <w:marLeft w:val="0"/>
          <w:marRight w:val="0"/>
          <w:marTop w:val="0"/>
          <w:marBottom w:val="0"/>
          <w:divBdr>
            <w:top w:val="none" w:sz="0" w:space="0" w:color="auto"/>
            <w:left w:val="none" w:sz="0" w:space="0" w:color="auto"/>
            <w:bottom w:val="none" w:sz="0" w:space="0" w:color="auto"/>
            <w:right w:val="none" w:sz="0" w:space="0" w:color="auto"/>
          </w:divBdr>
          <w:divsChild>
            <w:div w:id="1349284456">
              <w:marLeft w:val="0"/>
              <w:marRight w:val="0"/>
              <w:marTop w:val="0"/>
              <w:marBottom w:val="0"/>
              <w:divBdr>
                <w:top w:val="none" w:sz="0" w:space="0" w:color="auto"/>
                <w:left w:val="none" w:sz="0" w:space="0" w:color="auto"/>
                <w:bottom w:val="none" w:sz="0" w:space="0" w:color="auto"/>
                <w:right w:val="none" w:sz="0" w:space="0" w:color="auto"/>
              </w:divBdr>
              <w:divsChild>
                <w:div w:id="6884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73">
      <w:bodyDiv w:val="1"/>
      <w:marLeft w:val="0"/>
      <w:marRight w:val="0"/>
      <w:marTop w:val="0"/>
      <w:marBottom w:val="0"/>
      <w:divBdr>
        <w:top w:val="none" w:sz="0" w:space="0" w:color="auto"/>
        <w:left w:val="none" w:sz="0" w:space="0" w:color="auto"/>
        <w:bottom w:val="none" w:sz="0" w:space="0" w:color="auto"/>
        <w:right w:val="none" w:sz="0" w:space="0" w:color="auto"/>
      </w:divBdr>
    </w:div>
    <w:div w:id="1221985891">
      <w:bodyDiv w:val="1"/>
      <w:marLeft w:val="0"/>
      <w:marRight w:val="0"/>
      <w:marTop w:val="0"/>
      <w:marBottom w:val="0"/>
      <w:divBdr>
        <w:top w:val="none" w:sz="0" w:space="0" w:color="auto"/>
        <w:left w:val="none" w:sz="0" w:space="0" w:color="auto"/>
        <w:bottom w:val="none" w:sz="0" w:space="0" w:color="auto"/>
        <w:right w:val="none" w:sz="0" w:space="0" w:color="auto"/>
      </w:divBdr>
    </w:div>
    <w:div w:id="1226258180">
      <w:bodyDiv w:val="1"/>
      <w:marLeft w:val="0"/>
      <w:marRight w:val="0"/>
      <w:marTop w:val="0"/>
      <w:marBottom w:val="0"/>
      <w:divBdr>
        <w:top w:val="none" w:sz="0" w:space="0" w:color="auto"/>
        <w:left w:val="none" w:sz="0" w:space="0" w:color="auto"/>
        <w:bottom w:val="none" w:sz="0" w:space="0" w:color="auto"/>
        <w:right w:val="none" w:sz="0" w:space="0" w:color="auto"/>
      </w:divBdr>
    </w:div>
    <w:div w:id="1227377889">
      <w:bodyDiv w:val="1"/>
      <w:marLeft w:val="0"/>
      <w:marRight w:val="0"/>
      <w:marTop w:val="0"/>
      <w:marBottom w:val="0"/>
      <w:divBdr>
        <w:top w:val="none" w:sz="0" w:space="0" w:color="auto"/>
        <w:left w:val="none" w:sz="0" w:space="0" w:color="auto"/>
        <w:bottom w:val="none" w:sz="0" w:space="0" w:color="auto"/>
        <w:right w:val="none" w:sz="0" w:space="0" w:color="auto"/>
      </w:divBdr>
    </w:div>
    <w:div w:id="1230261965">
      <w:bodyDiv w:val="1"/>
      <w:marLeft w:val="0"/>
      <w:marRight w:val="0"/>
      <w:marTop w:val="0"/>
      <w:marBottom w:val="0"/>
      <w:divBdr>
        <w:top w:val="none" w:sz="0" w:space="0" w:color="auto"/>
        <w:left w:val="none" w:sz="0" w:space="0" w:color="auto"/>
        <w:bottom w:val="none" w:sz="0" w:space="0" w:color="auto"/>
        <w:right w:val="none" w:sz="0" w:space="0" w:color="auto"/>
      </w:divBdr>
    </w:div>
    <w:div w:id="1233347795">
      <w:bodyDiv w:val="1"/>
      <w:marLeft w:val="0"/>
      <w:marRight w:val="0"/>
      <w:marTop w:val="0"/>
      <w:marBottom w:val="0"/>
      <w:divBdr>
        <w:top w:val="none" w:sz="0" w:space="0" w:color="auto"/>
        <w:left w:val="none" w:sz="0" w:space="0" w:color="auto"/>
        <w:bottom w:val="none" w:sz="0" w:space="0" w:color="auto"/>
        <w:right w:val="none" w:sz="0" w:space="0" w:color="auto"/>
      </w:divBdr>
    </w:div>
    <w:div w:id="1236820284">
      <w:bodyDiv w:val="1"/>
      <w:marLeft w:val="0"/>
      <w:marRight w:val="0"/>
      <w:marTop w:val="0"/>
      <w:marBottom w:val="0"/>
      <w:divBdr>
        <w:top w:val="none" w:sz="0" w:space="0" w:color="auto"/>
        <w:left w:val="none" w:sz="0" w:space="0" w:color="auto"/>
        <w:bottom w:val="none" w:sz="0" w:space="0" w:color="auto"/>
        <w:right w:val="none" w:sz="0" w:space="0" w:color="auto"/>
      </w:divBdr>
    </w:div>
    <w:div w:id="1239828645">
      <w:bodyDiv w:val="1"/>
      <w:marLeft w:val="0"/>
      <w:marRight w:val="0"/>
      <w:marTop w:val="0"/>
      <w:marBottom w:val="0"/>
      <w:divBdr>
        <w:top w:val="none" w:sz="0" w:space="0" w:color="auto"/>
        <w:left w:val="none" w:sz="0" w:space="0" w:color="auto"/>
        <w:bottom w:val="none" w:sz="0" w:space="0" w:color="auto"/>
        <w:right w:val="none" w:sz="0" w:space="0" w:color="auto"/>
      </w:divBdr>
    </w:div>
    <w:div w:id="1247617617">
      <w:bodyDiv w:val="1"/>
      <w:marLeft w:val="0"/>
      <w:marRight w:val="0"/>
      <w:marTop w:val="0"/>
      <w:marBottom w:val="0"/>
      <w:divBdr>
        <w:top w:val="none" w:sz="0" w:space="0" w:color="auto"/>
        <w:left w:val="none" w:sz="0" w:space="0" w:color="auto"/>
        <w:bottom w:val="none" w:sz="0" w:space="0" w:color="auto"/>
        <w:right w:val="none" w:sz="0" w:space="0" w:color="auto"/>
      </w:divBdr>
    </w:div>
    <w:div w:id="1247686275">
      <w:bodyDiv w:val="1"/>
      <w:marLeft w:val="0"/>
      <w:marRight w:val="0"/>
      <w:marTop w:val="0"/>
      <w:marBottom w:val="0"/>
      <w:divBdr>
        <w:top w:val="none" w:sz="0" w:space="0" w:color="auto"/>
        <w:left w:val="none" w:sz="0" w:space="0" w:color="auto"/>
        <w:bottom w:val="none" w:sz="0" w:space="0" w:color="auto"/>
        <w:right w:val="none" w:sz="0" w:space="0" w:color="auto"/>
      </w:divBdr>
    </w:div>
    <w:div w:id="1255895163">
      <w:bodyDiv w:val="1"/>
      <w:marLeft w:val="0"/>
      <w:marRight w:val="0"/>
      <w:marTop w:val="0"/>
      <w:marBottom w:val="0"/>
      <w:divBdr>
        <w:top w:val="none" w:sz="0" w:space="0" w:color="auto"/>
        <w:left w:val="none" w:sz="0" w:space="0" w:color="auto"/>
        <w:bottom w:val="none" w:sz="0" w:space="0" w:color="auto"/>
        <w:right w:val="none" w:sz="0" w:space="0" w:color="auto"/>
      </w:divBdr>
    </w:div>
    <w:div w:id="1262101266">
      <w:bodyDiv w:val="1"/>
      <w:marLeft w:val="0"/>
      <w:marRight w:val="0"/>
      <w:marTop w:val="0"/>
      <w:marBottom w:val="0"/>
      <w:divBdr>
        <w:top w:val="none" w:sz="0" w:space="0" w:color="auto"/>
        <w:left w:val="none" w:sz="0" w:space="0" w:color="auto"/>
        <w:bottom w:val="none" w:sz="0" w:space="0" w:color="auto"/>
        <w:right w:val="none" w:sz="0" w:space="0" w:color="auto"/>
      </w:divBdr>
    </w:div>
    <w:div w:id="1264338484">
      <w:bodyDiv w:val="1"/>
      <w:marLeft w:val="0"/>
      <w:marRight w:val="0"/>
      <w:marTop w:val="0"/>
      <w:marBottom w:val="0"/>
      <w:divBdr>
        <w:top w:val="none" w:sz="0" w:space="0" w:color="auto"/>
        <w:left w:val="none" w:sz="0" w:space="0" w:color="auto"/>
        <w:bottom w:val="none" w:sz="0" w:space="0" w:color="auto"/>
        <w:right w:val="none" w:sz="0" w:space="0" w:color="auto"/>
      </w:divBdr>
    </w:div>
    <w:div w:id="1271663353">
      <w:bodyDiv w:val="1"/>
      <w:marLeft w:val="0"/>
      <w:marRight w:val="0"/>
      <w:marTop w:val="0"/>
      <w:marBottom w:val="0"/>
      <w:divBdr>
        <w:top w:val="none" w:sz="0" w:space="0" w:color="auto"/>
        <w:left w:val="none" w:sz="0" w:space="0" w:color="auto"/>
        <w:bottom w:val="none" w:sz="0" w:space="0" w:color="auto"/>
        <w:right w:val="none" w:sz="0" w:space="0" w:color="auto"/>
      </w:divBdr>
    </w:div>
    <w:div w:id="1279069115">
      <w:bodyDiv w:val="1"/>
      <w:marLeft w:val="0"/>
      <w:marRight w:val="0"/>
      <w:marTop w:val="0"/>
      <w:marBottom w:val="0"/>
      <w:divBdr>
        <w:top w:val="none" w:sz="0" w:space="0" w:color="auto"/>
        <w:left w:val="none" w:sz="0" w:space="0" w:color="auto"/>
        <w:bottom w:val="none" w:sz="0" w:space="0" w:color="auto"/>
        <w:right w:val="none" w:sz="0" w:space="0" w:color="auto"/>
      </w:divBdr>
    </w:div>
    <w:div w:id="1279949801">
      <w:bodyDiv w:val="1"/>
      <w:marLeft w:val="0"/>
      <w:marRight w:val="0"/>
      <w:marTop w:val="0"/>
      <w:marBottom w:val="0"/>
      <w:divBdr>
        <w:top w:val="none" w:sz="0" w:space="0" w:color="auto"/>
        <w:left w:val="none" w:sz="0" w:space="0" w:color="auto"/>
        <w:bottom w:val="none" w:sz="0" w:space="0" w:color="auto"/>
        <w:right w:val="none" w:sz="0" w:space="0" w:color="auto"/>
      </w:divBdr>
    </w:div>
    <w:div w:id="1291936300">
      <w:bodyDiv w:val="1"/>
      <w:marLeft w:val="0"/>
      <w:marRight w:val="0"/>
      <w:marTop w:val="0"/>
      <w:marBottom w:val="0"/>
      <w:divBdr>
        <w:top w:val="none" w:sz="0" w:space="0" w:color="auto"/>
        <w:left w:val="none" w:sz="0" w:space="0" w:color="auto"/>
        <w:bottom w:val="none" w:sz="0" w:space="0" w:color="auto"/>
        <w:right w:val="none" w:sz="0" w:space="0" w:color="auto"/>
      </w:divBdr>
    </w:div>
    <w:div w:id="1301108920">
      <w:bodyDiv w:val="1"/>
      <w:marLeft w:val="0"/>
      <w:marRight w:val="0"/>
      <w:marTop w:val="0"/>
      <w:marBottom w:val="0"/>
      <w:divBdr>
        <w:top w:val="none" w:sz="0" w:space="0" w:color="auto"/>
        <w:left w:val="none" w:sz="0" w:space="0" w:color="auto"/>
        <w:bottom w:val="none" w:sz="0" w:space="0" w:color="auto"/>
        <w:right w:val="none" w:sz="0" w:space="0" w:color="auto"/>
      </w:divBdr>
    </w:div>
    <w:div w:id="1311791146">
      <w:bodyDiv w:val="1"/>
      <w:marLeft w:val="0"/>
      <w:marRight w:val="0"/>
      <w:marTop w:val="0"/>
      <w:marBottom w:val="0"/>
      <w:divBdr>
        <w:top w:val="none" w:sz="0" w:space="0" w:color="auto"/>
        <w:left w:val="none" w:sz="0" w:space="0" w:color="auto"/>
        <w:bottom w:val="none" w:sz="0" w:space="0" w:color="auto"/>
        <w:right w:val="none" w:sz="0" w:space="0" w:color="auto"/>
      </w:divBdr>
    </w:div>
    <w:div w:id="1311902725">
      <w:bodyDiv w:val="1"/>
      <w:marLeft w:val="0"/>
      <w:marRight w:val="0"/>
      <w:marTop w:val="0"/>
      <w:marBottom w:val="0"/>
      <w:divBdr>
        <w:top w:val="none" w:sz="0" w:space="0" w:color="auto"/>
        <w:left w:val="none" w:sz="0" w:space="0" w:color="auto"/>
        <w:bottom w:val="none" w:sz="0" w:space="0" w:color="auto"/>
        <w:right w:val="none" w:sz="0" w:space="0" w:color="auto"/>
      </w:divBdr>
    </w:div>
    <w:div w:id="1313751545">
      <w:bodyDiv w:val="1"/>
      <w:marLeft w:val="0"/>
      <w:marRight w:val="0"/>
      <w:marTop w:val="0"/>
      <w:marBottom w:val="0"/>
      <w:divBdr>
        <w:top w:val="none" w:sz="0" w:space="0" w:color="auto"/>
        <w:left w:val="none" w:sz="0" w:space="0" w:color="auto"/>
        <w:bottom w:val="none" w:sz="0" w:space="0" w:color="auto"/>
        <w:right w:val="none" w:sz="0" w:space="0" w:color="auto"/>
      </w:divBdr>
    </w:div>
    <w:div w:id="1321957701">
      <w:bodyDiv w:val="1"/>
      <w:marLeft w:val="0"/>
      <w:marRight w:val="0"/>
      <w:marTop w:val="0"/>
      <w:marBottom w:val="0"/>
      <w:divBdr>
        <w:top w:val="none" w:sz="0" w:space="0" w:color="auto"/>
        <w:left w:val="none" w:sz="0" w:space="0" w:color="auto"/>
        <w:bottom w:val="none" w:sz="0" w:space="0" w:color="auto"/>
        <w:right w:val="none" w:sz="0" w:space="0" w:color="auto"/>
      </w:divBdr>
    </w:div>
    <w:div w:id="1324504093">
      <w:bodyDiv w:val="1"/>
      <w:marLeft w:val="0"/>
      <w:marRight w:val="0"/>
      <w:marTop w:val="0"/>
      <w:marBottom w:val="0"/>
      <w:divBdr>
        <w:top w:val="none" w:sz="0" w:space="0" w:color="auto"/>
        <w:left w:val="none" w:sz="0" w:space="0" w:color="auto"/>
        <w:bottom w:val="none" w:sz="0" w:space="0" w:color="auto"/>
        <w:right w:val="none" w:sz="0" w:space="0" w:color="auto"/>
      </w:divBdr>
    </w:div>
    <w:div w:id="1328946164">
      <w:bodyDiv w:val="1"/>
      <w:marLeft w:val="0"/>
      <w:marRight w:val="0"/>
      <w:marTop w:val="0"/>
      <w:marBottom w:val="0"/>
      <w:divBdr>
        <w:top w:val="none" w:sz="0" w:space="0" w:color="auto"/>
        <w:left w:val="none" w:sz="0" w:space="0" w:color="auto"/>
        <w:bottom w:val="none" w:sz="0" w:space="0" w:color="auto"/>
        <w:right w:val="none" w:sz="0" w:space="0" w:color="auto"/>
      </w:divBdr>
    </w:div>
    <w:div w:id="1335841348">
      <w:bodyDiv w:val="1"/>
      <w:marLeft w:val="0"/>
      <w:marRight w:val="0"/>
      <w:marTop w:val="0"/>
      <w:marBottom w:val="0"/>
      <w:divBdr>
        <w:top w:val="none" w:sz="0" w:space="0" w:color="auto"/>
        <w:left w:val="none" w:sz="0" w:space="0" w:color="auto"/>
        <w:bottom w:val="none" w:sz="0" w:space="0" w:color="auto"/>
        <w:right w:val="none" w:sz="0" w:space="0" w:color="auto"/>
      </w:divBdr>
    </w:div>
    <w:div w:id="1353069389">
      <w:bodyDiv w:val="1"/>
      <w:marLeft w:val="0"/>
      <w:marRight w:val="0"/>
      <w:marTop w:val="0"/>
      <w:marBottom w:val="0"/>
      <w:divBdr>
        <w:top w:val="none" w:sz="0" w:space="0" w:color="auto"/>
        <w:left w:val="none" w:sz="0" w:space="0" w:color="auto"/>
        <w:bottom w:val="none" w:sz="0" w:space="0" w:color="auto"/>
        <w:right w:val="none" w:sz="0" w:space="0" w:color="auto"/>
      </w:divBdr>
    </w:div>
    <w:div w:id="1355156575">
      <w:bodyDiv w:val="1"/>
      <w:marLeft w:val="0"/>
      <w:marRight w:val="0"/>
      <w:marTop w:val="0"/>
      <w:marBottom w:val="0"/>
      <w:divBdr>
        <w:top w:val="none" w:sz="0" w:space="0" w:color="auto"/>
        <w:left w:val="none" w:sz="0" w:space="0" w:color="auto"/>
        <w:bottom w:val="none" w:sz="0" w:space="0" w:color="auto"/>
        <w:right w:val="none" w:sz="0" w:space="0" w:color="auto"/>
      </w:divBdr>
    </w:div>
    <w:div w:id="1380744819">
      <w:bodyDiv w:val="1"/>
      <w:marLeft w:val="0"/>
      <w:marRight w:val="0"/>
      <w:marTop w:val="0"/>
      <w:marBottom w:val="0"/>
      <w:divBdr>
        <w:top w:val="none" w:sz="0" w:space="0" w:color="auto"/>
        <w:left w:val="none" w:sz="0" w:space="0" w:color="auto"/>
        <w:bottom w:val="none" w:sz="0" w:space="0" w:color="auto"/>
        <w:right w:val="none" w:sz="0" w:space="0" w:color="auto"/>
      </w:divBdr>
    </w:div>
    <w:div w:id="1388720014">
      <w:bodyDiv w:val="1"/>
      <w:marLeft w:val="0"/>
      <w:marRight w:val="0"/>
      <w:marTop w:val="0"/>
      <w:marBottom w:val="0"/>
      <w:divBdr>
        <w:top w:val="none" w:sz="0" w:space="0" w:color="auto"/>
        <w:left w:val="none" w:sz="0" w:space="0" w:color="auto"/>
        <w:bottom w:val="none" w:sz="0" w:space="0" w:color="auto"/>
        <w:right w:val="none" w:sz="0" w:space="0" w:color="auto"/>
      </w:divBdr>
    </w:div>
    <w:div w:id="1395469680">
      <w:bodyDiv w:val="1"/>
      <w:marLeft w:val="0"/>
      <w:marRight w:val="0"/>
      <w:marTop w:val="0"/>
      <w:marBottom w:val="0"/>
      <w:divBdr>
        <w:top w:val="none" w:sz="0" w:space="0" w:color="auto"/>
        <w:left w:val="none" w:sz="0" w:space="0" w:color="auto"/>
        <w:bottom w:val="none" w:sz="0" w:space="0" w:color="auto"/>
        <w:right w:val="none" w:sz="0" w:space="0" w:color="auto"/>
      </w:divBdr>
    </w:div>
    <w:div w:id="1396853402">
      <w:bodyDiv w:val="1"/>
      <w:marLeft w:val="0"/>
      <w:marRight w:val="0"/>
      <w:marTop w:val="0"/>
      <w:marBottom w:val="0"/>
      <w:divBdr>
        <w:top w:val="none" w:sz="0" w:space="0" w:color="auto"/>
        <w:left w:val="none" w:sz="0" w:space="0" w:color="auto"/>
        <w:bottom w:val="none" w:sz="0" w:space="0" w:color="auto"/>
        <w:right w:val="none" w:sz="0" w:space="0" w:color="auto"/>
      </w:divBdr>
    </w:div>
    <w:div w:id="1397126205">
      <w:bodyDiv w:val="1"/>
      <w:marLeft w:val="0"/>
      <w:marRight w:val="0"/>
      <w:marTop w:val="0"/>
      <w:marBottom w:val="0"/>
      <w:divBdr>
        <w:top w:val="none" w:sz="0" w:space="0" w:color="auto"/>
        <w:left w:val="none" w:sz="0" w:space="0" w:color="auto"/>
        <w:bottom w:val="none" w:sz="0" w:space="0" w:color="auto"/>
        <w:right w:val="none" w:sz="0" w:space="0" w:color="auto"/>
      </w:divBdr>
    </w:div>
    <w:div w:id="1397707910">
      <w:bodyDiv w:val="1"/>
      <w:marLeft w:val="0"/>
      <w:marRight w:val="0"/>
      <w:marTop w:val="0"/>
      <w:marBottom w:val="0"/>
      <w:divBdr>
        <w:top w:val="none" w:sz="0" w:space="0" w:color="auto"/>
        <w:left w:val="none" w:sz="0" w:space="0" w:color="auto"/>
        <w:bottom w:val="none" w:sz="0" w:space="0" w:color="auto"/>
        <w:right w:val="none" w:sz="0" w:space="0" w:color="auto"/>
      </w:divBdr>
    </w:div>
    <w:div w:id="1404840085">
      <w:bodyDiv w:val="1"/>
      <w:marLeft w:val="0"/>
      <w:marRight w:val="0"/>
      <w:marTop w:val="0"/>
      <w:marBottom w:val="0"/>
      <w:divBdr>
        <w:top w:val="none" w:sz="0" w:space="0" w:color="auto"/>
        <w:left w:val="none" w:sz="0" w:space="0" w:color="auto"/>
        <w:bottom w:val="none" w:sz="0" w:space="0" w:color="auto"/>
        <w:right w:val="none" w:sz="0" w:space="0" w:color="auto"/>
      </w:divBdr>
    </w:div>
    <w:div w:id="1415277590">
      <w:bodyDiv w:val="1"/>
      <w:marLeft w:val="0"/>
      <w:marRight w:val="0"/>
      <w:marTop w:val="0"/>
      <w:marBottom w:val="0"/>
      <w:divBdr>
        <w:top w:val="none" w:sz="0" w:space="0" w:color="auto"/>
        <w:left w:val="none" w:sz="0" w:space="0" w:color="auto"/>
        <w:bottom w:val="none" w:sz="0" w:space="0" w:color="auto"/>
        <w:right w:val="none" w:sz="0" w:space="0" w:color="auto"/>
      </w:divBdr>
    </w:div>
    <w:div w:id="1416824124">
      <w:bodyDiv w:val="1"/>
      <w:marLeft w:val="0"/>
      <w:marRight w:val="0"/>
      <w:marTop w:val="0"/>
      <w:marBottom w:val="0"/>
      <w:divBdr>
        <w:top w:val="none" w:sz="0" w:space="0" w:color="auto"/>
        <w:left w:val="none" w:sz="0" w:space="0" w:color="auto"/>
        <w:bottom w:val="none" w:sz="0" w:space="0" w:color="auto"/>
        <w:right w:val="none" w:sz="0" w:space="0" w:color="auto"/>
      </w:divBdr>
    </w:div>
    <w:div w:id="1420978607">
      <w:bodyDiv w:val="1"/>
      <w:marLeft w:val="0"/>
      <w:marRight w:val="0"/>
      <w:marTop w:val="0"/>
      <w:marBottom w:val="0"/>
      <w:divBdr>
        <w:top w:val="none" w:sz="0" w:space="0" w:color="auto"/>
        <w:left w:val="none" w:sz="0" w:space="0" w:color="auto"/>
        <w:bottom w:val="none" w:sz="0" w:space="0" w:color="auto"/>
        <w:right w:val="none" w:sz="0" w:space="0" w:color="auto"/>
      </w:divBdr>
    </w:div>
    <w:div w:id="1421216510">
      <w:bodyDiv w:val="1"/>
      <w:marLeft w:val="0"/>
      <w:marRight w:val="0"/>
      <w:marTop w:val="0"/>
      <w:marBottom w:val="0"/>
      <w:divBdr>
        <w:top w:val="none" w:sz="0" w:space="0" w:color="auto"/>
        <w:left w:val="none" w:sz="0" w:space="0" w:color="auto"/>
        <w:bottom w:val="none" w:sz="0" w:space="0" w:color="auto"/>
        <w:right w:val="none" w:sz="0" w:space="0" w:color="auto"/>
      </w:divBdr>
    </w:div>
    <w:div w:id="1422026518">
      <w:bodyDiv w:val="1"/>
      <w:marLeft w:val="0"/>
      <w:marRight w:val="0"/>
      <w:marTop w:val="0"/>
      <w:marBottom w:val="0"/>
      <w:divBdr>
        <w:top w:val="none" w:sz="0" w:space="0" w:color="auto"/>
        <w:left w:val="none" w:sz="0" w:space="0" w:color="auto"/>
        <w:bottom w:val="none" w:sz="0" w:space="0" w:color="auto"/>
        <w:right w:val="none" w:sz="0" w:space="0" w:color="auto"/>
      </w:divBdr>
    </w:div>
    <w:div w:id="1424913281">
      <w:bodyDiv w:val="1"/>
      <w:marLeft w:val="0"/>
      <w:marRight w:val="0"/>
      <w:marTop w:val="0"/>
      <w:marBottom w:val="0"/>
      <w:divBdr>
        <w:top w:val="none" w:sz="0" w:space="0" w:color="auto"/>
        <w:left w:val="none" w:sz="0" w:space="0" w:color="auto"/>
        <w:bottom w:val="none" w:sz="0" w:space="0" w:color="auto"/>
        <w:right w:val="none" w:sz="0" w:space="0" w:color="auto"/>
      </w:divBdr>
    </w:div>
    <w:div w:id="1425954109">
      <w:bodyDiv w:val="1"/>
      <w:marLeft w:val="0"/>
      <w:marRight w:val="0"/>
      <w:marTop w:val="0"/>
      <w:marBottom w:val="0"/>
      <w:divBdr>
        <w:top w:val="none" w:sz="0" w:space="0" w:color="auto"/>
        <w:left w:val="none" w:sz="0" w:space="0" w:color="auto"/>
        <w:bottom w:val="none" w:sz="0" w:space="0" w:color="auto"/>
        <w:right w:val="none" w:sz="0" w:space="0" w:color="auto"/>
      </w:divBdr>
    </w:div>
    <w:div w:id="1436250890">
      <w:bodyDiv w:val="1"/>
      <w:marLeft w:val="0"/>
      <w:marRight w:val="0"/>
      <w:marTop w:val="0"/>
      <w:marBottom w:val="0"/>
      <w:divBdr>
        <w:top w:val="none" w:sz="0" w:space="0" w:color="auto"/>
        <w:left w:val="none" w:sz="0" w:space="0" w:color="auto"/>
        <w:bottom w:val="none" w:sz="0" w:space="0" w:color="auto"/>
        <w:right w:val="none" w:sz="0" w:space="0" w:color="auto"/>
      </w:divBdr>
    </w:div>
    <w:div w:id="1440250986">
      <w:bodyDiv w:val="1"/>
      <w:marLeft w:val="0"/>
      <w:marRight w:val="0"/>
      <w:marTop w:val="0"/>
      <w:marBottom w:val="0"/>
      <w:divBdr>
        <w:top w:val="none" w:sz="0" w:space="0" w:color="auto"/>
        <w:left w:val="none" w:sz="0" w:space="0" w:color="auto"/>
        <w:bottom w:val="none" w:sz="0" w:space="0" w:color="auto"/>
        <w:right w:val="none" w:sz="0" w:space="0" w:color="auto"/>
      </w:divBdr>
    </w:div>
    <w:div w:id="1442993937">
      <w:bodyDiv w:val="1"/>
      <w:marLeft w:val="0"/>
      <w:marRight w:val="0"/>
      <w:marTop w:val="0"/>
      <w:marBottom w:val="0"/>
      <w:divBdr>
        <w:top w:val="none" w:sz="0" w:space="0" w:color="auto"/>
        <w:left w:val="none" w:sz="0" w:space="0" w:color="auto"/>
        <w:bottom w:val="none" w:sz="0" w:space="0" w:color="auto"/>
        <w:right w:val="none" w:sz="0" w:space="0" w:color="auto"/>
      </w:divBdr>
    </w:div>
    <w:div w:id="1443261144">
      <w:bodyDiv w:val="1"/>
      <w:marLeft w:val="0"/>
      <w:marRight w:val="0"/>
      <w:marTop w:val="0"/>
      <w:marBottom w:val="0"/>
      <w:divBdr>
        <w:top w:val="none" w:sz="0" w:space="0" w:color="auto"/>
        <w:left w:val="none" w:sz="0" w:space="0" w:color="auto"/>
        <w:bottom w:val="none" w:sz="0" w:space="0" w:color="auto"/>
        <w:right w:val="none" w:sz="0" w:space="0" w:color="auto"/>
      </w:divBdr>
    </w:div>
    <w:div w:id="1450127403">
      <w:bodyDiv w:val="1"/>
      <w:marLeft w:val="0"/>
      <w:marRight w:val="0"/>
      <w:marTop w:val="0"/>
      <w:marBottom w:val="0"/>
      <w:divBdr>
        <w:top w:val="none" w:sz="0" w:space="0" w:color="auto"/>
        <w:left w:val="none" w:sz="0" w:space="0" w:color="auto"/>
        <w:bottom w:val="none" w:sz="0" w:space="0" w:color="auto"/>
        <w:right w:val="none" w:sz="0" w:space="0" w:color="auto"/>
      </w:divBdr>
    </w:div>
    <w:div w:id="1453478023">
      <w:bodyDiv w:val="1"/>
      <w:marLeft w:val="0"/>
      <w:marRight w:val="0"/>
      <w:marTop w:val="0"/>
      <w:marBottom w:val="0"/>
      <w:divBdr>
        <w:top w:val="none" w:sz="0" w:space="0" w:color="auto"/>
        <w:left w:val="none" w:sz="0" w:space="0" w:color="auto"/>
        <w:bottom w:val="none" w:sz="0" w:space="0" w:color="auto"/>
        <w:right w:val="none" w:sz="0" w:space="0" w:color="auto"/>
      </w:divBdr>
    </w:div>
    <w:div w:id="1460682266">
      <w:bodyDiv w:val="1"/>
      <w:marLeft w:val="0"/>
      <w:marRight w:val="0"/>
      <w:marTop w:val="0"/>
      <w:marBottom w:val="0"/>
      <w:divBdr>
        <w:top w:val="none" w:sz="0" w:space="0" w:color="auto"/>
        <w:left w:val="none" w:sz="0" w:space="0" w:color="auto"/>
        <w:bottom w:val="none" w:sz="0" w:space="0" w:color="auto"/>
        <w:right w:val="none" w:sz="0" w:space="0" w:color="auto"/>
      </w:divBdr>
    </w:div>
    <w:div w:id="1461071596">
      <w:bodyDiv w:val="1"/>
      <w:marLeft w:val="0"/>
      <w:marRight w:val="0"/>
      <w:marTop w:val="0"/>
      <w:marBottom w:val="0"/>
      <w:divBdr>
        <w:top w:val="none" w:sz="0" w:space="0" w:color="auto"/>
        <w:left w:val="none" w:sz="0" w:space="0" w:color="auto"/>
        <w:bottom w:val="none" w:sz="0" w:space="0" w:color="auto"/>
        <w:right w:val="none" w:sz="0" w:space="0" w:color="auto"/>
      </w:divBdr>
    </w:div>
    <w:div w:id="1465541791">
      <w:bodyDiv w:val="1"/>
      <w:marLeft w:val="0"/>
      <w:marRight w:val="0"/>
      <w:marTop w:val="0"/>
      <w:marBottom w:val="0"/>
      <w:divBdr>
        <w:top w:val="none" w:sz="0" w:space="0" w:color="auto"/>
        <w:left w:val="none" w:sz="0" w:space="0" w:color="auto"/>
        <w:bottom w:val="none" w:sz="0" w:space="0" w:color="auto"/>
        <w:right w:val="none" w:sz="0" w:space="0" w:color="auto"/>
      </w:divBdr>
    </w:div>
    <w:div w:id="1473476593">
      <w:bodyDiv w:val="1"/>
      <w:marLeft w:val="0"/>
      <w:marRight w:val="0"/>
      <w:marTop w:val="0"/>
      <w:marBottom w:val="0"/>
      <w:divBdr>
        <w:top w:val="none" w:sz="0" w:space="0" w:color="auto"/>
        <w:left w:val="none" w:sz="0" w:space="0" w:color="auto"/>
        <w:bottom w:val="none" w:sz="0" w:space="0" w:color="auto"/>
        <w:right w:val="none" w:sz="0" w:space="0" w:color="auto"/>
      </w:divBdr>
    </w:div>
    <w:div w:id="1473675138">
      <w:bodyDiv w:val="1"/>
      <w:marLeft w:val="0"/>
      <w:marRight w:val="0"/>
      <w:marTop w:val="0"/>
      <w:marBottom w:val="0"/>
      <w:divBdr>
        <w:top w:val="none" w:sz="0" w:space="0" w:color="auto"/>
        <w:left w:val="none" w:sz="0" w:space="0" w:color="auto"/>
        <w:bottom w:val="none" w:sz="0" w:space="0" w:color="auto"/>
        <w:right w:val="none" w:sz="0" w:space="0" w:color="auto"/>
      </w:divBdr>
    </w:div>
    <w:div w:id="1473718246">
      <w:bodyDiv w:val="1"/>
      <w:marLeft w:val="0"/>
      <w:marRight w:val="0"/>
      <w:marTop w:val="0"/>
      <w:marBottom w:val="0"/>
      <w:divBdr>
        <w:top w:val="none" w:sz="0" w:space="0" w:color="auto"/>
        <w:left w:val="none" w:sz="0" w:space="0" w:color="auto"/>
        <w:bottom w:val="none" w:sz="0" w:space="0" w:color="auto"/>
        <w:right w:val="none" w:sz="0" w:space="0" w:color="auto"/>
      </w:divBdr>
    </w:div>
    <w:div w:id="1473987310">
      <w:bodyDiv w:val="1"/>
      <w:marLeft w:val="0"/>
      <w:marRight w:val="0"/>
      <w:marTop w:val="0"/>
      <w:marBottom w:val="0"/>
      <w:divBdr>
        <w:top w:val="none" w:sz="0" w:space="0" w:color="auto"/>
        <w:left w:val="none" w:sz="0" w:space="0" w:color="auto"/>
        <w:bottom w:val="none" w:sz="0" w:space="0" w:color="auto"/>
        <w:right w:val="none" w:sz="0" w:space="0" w:color="auto"/>
      </w:divBdr>
    </w:div>
    <w:div w:id="1477457174">
      <w:bodyDiv w:val="1"/>
      <w:marLeft w:val="0"/>
      <w:marRight w:val="0"/>
      <w:marTop w:val="0"/>
      <w:marBottom w:val="0"/>
      <w:divBdr>
        <w:top w:val="none" w:sz="0" w:space="0" w:color="auto"/>
        <w:left w:val="none" w:sz="0" w:space="0" w:color="auto"/>
        <w:bottom w:val="none" w:sz="0" w:space="0" w:color="auto"/>
        <w:right w:val="none" w:sz="0" w:space="0" w:color="auto"/>
      </w:divBdr>
    </w:div>
    <w:div w:id="1486580521">
      <w:bodyDiv w:val="1"/>
      <w:marLeft w:val="0"/>
      <w:marRight w:val="0"/>
      <w:marTop w:val="0"/>
      <w:marBottom w:val="0"/>
      <w:divBdr>
        <w:top w:val="none" w:sz="0" w:space="0" w:color="auto"/>
        <w:left w:val="none" w:sz="0" w:space="0" w:color="auto"/>
        <w:bottom w:val="none" w:sz="0" w:space="0" w:color="auto"/>
        <w:right w:val="none" w:sz="0" w:space="0" w:color="auto"/>
      </w:divBdr>
    </w:div>
    <w:div w:id="1487473590">
      <w:bodyDiv w:val="1"/>
      <w:marLeft w:val="0"/>
      <w:marRight w:val="0"/>
      <w:marTop w:val="0"/>
      <w:marBottom w:val="0"/>
      <w:divBdr>
        <w:top w:val="none" w:sz="0" w:space="0" w:color="auto"/>
        <w:left w:val="none" w:sz="0" w:space="0" w:color="auto"/>
        <w:bottom w:val="none" w:sz="0" w:space="0" w:color="auto"/>
        <w:right w:val="none" w:sz="0" w:space="0" w:color="auto"/>
      </w:divBdr>
    </w:div>
    <w:div w:id="1494905830">
      <w:bodyDiv w:val="1"/>
      <w:marLeft w:val="0"/>
      <w:marRight w:val="0"/>
      <w:marTop w:val="0"/>
      <w:marBottom w:val="0"/>
      <w:divBdr>
        <w:top w:val="none" w:sz="0" w:space="0" w:color="auto"/>
        <w:left w:val="none" w:sz="0" w:space="0" w:color="auto"/>
        <w:bottom w:val="none" w:sz="0" w:space="0" w:color="auto"/>
        <w:right w:val="none" w:sz="0" w:space="0" w:color="auto"/>
      </w:divBdr>
    </w:div>
    <w:div w:id="1504470280">
      <w:bodyDiv w:val="1"/>
      <w:marLeft w:val="0"/>
      <w:marRight w:val="0"/>
      <w:marTop w:val="0"/>
      <w:marBottom w:val="0"/>
      <w:divBdr>
        <w:top w:val="none" w:sz="0" w:space="0" w:color="auto"/>
        <w:left w:val="none" w:sz="0" w:space="0" w:color="auto"/>
        <w:bottom w:val="none" w:sz="0" w:space="0" w:color="auto"/>
        <w:right w:val="none" w:sz="0" w:space="0" w:color="auto"/>
      </w:divBdr>
    </w:div>
    <w:div w:id="1507550258">
      <w:bodyDiv w:val="1"/>
      <w:marLeft w:val="0"/>
      <w:marRight w:val="0"/>
      <w:marTop w:val="0"/>
      <w:marBottom w:val="0"/>
      <w:divBdr>
        <w:top w:val="none" w:sz="0" w:space="0" w:color="auto"/>
        <w:left w:val="none" w:sz="0" w:space="0" w:color="auto"/>
        <w:bottom w:val="none" w:sz="0" w:space="0" w:color="auto"/>
        <w:right w:val="none" w:sz="0" w:space="0" w:color="auto"/>
      </w:divBdr>
    </w:div>
    <w:div w:id="1511947405">
      <w:bodyDiv w:val="1"/>
      <w:marLeft w:val="0"/>
      <w:marRight w:val="0"/>
      <w:marTop w:val="0"/>
      <w:marBottom w:val="0"/>
      <w:divBdr>
        <w:top w:val="none" w:sz="0" w:space="0" w:color="auto"/>
        <w:left w:val="none" w:sz="0" w:space="0" w:color="auto"/>
        <w:bottom w:val="none" w:sz="0" w:space="0" w:color="auto"/>
        <w:right w:val="none" w:sz="0" w:space="0" w:color="auto"/>
      </w:divBdr>
    </w:div>
    <w:div w:id="1520271350">
      <w:bodyDiv w:val="1"/>
      <w:marLeft w:val="0"/>
      <w:marRight w:val="0"/>
      <w:marTop w:val="0"/>
      <w:marBottom w:val="0"/>
      <w:divBdr>
        <w:top w:val="none" w:sz="0" w:space="0" w:color="auto"/>
        <w:left w:val="none" w:sz="0" w:space="0" w:color="auto"/>
        <w:bottom w:val="none" w:sz="0" w:space="0" w:color="auto"/>
        <w:right w:val="none" w:sz="0" w:space="0" w:color="auto"/>
      </w:divBdr>
    </w:div>
    <w:div w:id="1522014719">
      <w:bodyDiv w:val="1"/>
      <w:marLeft w:val="0"/>
      <w:marRight w:val="0"/>
      <w:marTop w:val="0"/>
      <w:marBottom w:val="0"/>
      <w:divBdr>
        <w:top w:val="none" w:sz="0" w:space="0" w:color="auto"/>
        <w:left w:val="none" w:sz="0" w:space="0" w:color="auto"/>
        <w:bottom w:val="none" w:sz="0" w:space="0" w:color="auto"/>
        <w:right w:val="none" w:sz="0" w:space="0" w:color="auto"/>
      </w:divBdr>
    </w:div>
    <w:div w:id="1537808878">
      <w:bodyDiv w:val="1"/>
      <w:marLeft w:val="0"/>
      <w:marRight w:val="0"/>
      <w:marTop w:val="0"/>
      <w:marBottom w:val="0"/>
      <w:divBdr>
        <w:top w:val="none" w:sz="0" w:space="0" w:color="auto"/>
        <w:left w:val="none" w:sz="0" w:space="0" w:color="auto"/>
        <w:bottom w:val="none" w:sz="0" w:space="0" w:color="auto"/>
        <w:right w:val="none" w:sz="0" w:space="0" w:color="auto"/>
      </w:divBdr>
    </w:div>
    <w:div w:id="1538812686">
      <w:bodyDiv w:val="1"/>
      <w:marLeft w:val="0"/>
      <w:marRight w:val="0"/>
      <w:marTop w:val="0"/>
      <w:marBottom w:val="0"/>
      <w:divBdr>
        <w:top w:val="none" w:sz="0" w:space="0" w:color="auto"/>
        <w:left w:val="none" w:sz="0" w:space="0" w:color="auto"/>
        <w:bottom w:val="none" w:sz="0" w:space="0" w:color="auto"/>
        <w:right w:val="none" w:sz="0" w:space="0" w:color="auto"/>
      </w:divBdr>
    </w:div>
    <w:div w:id="1540627187">
      <w:bodyDiv w:val="1"/>
      <w:marLeft w:val="0"/>
      <w:marRight w:val="0"/>
      <w:marTop w:val="0"/>
      <w:marBottom w:val="0"/>
      <w:divBdr>
        <w:top w:val="none" w:sz="0" w:space="0" w:color="auto"/>
        <w:left w:val="none" w:sz="0" w:space="0" w:color="auto"/>
        <w:bottom w:val="none" w:sz="0" w:space="0" w:color="auto"/>
        <w:right w:val="none" w:sz="0" w:space="0" w:color="auto"/>
      </w:divBdr>
    </w:div>
    <w:div w:id="1547452757">
      <w:bodyDiv w:val="1"/>
      <w:marLeft w:val="0"/>
      <w:marRight w:val="0"/>
      <w:marTop w:val="0"/>
      <w:marBottom w:val="0"/>
      <w:divBdr>
        <w:top w:val="none" w:sz="0" w:space="0" w:color="auto"/>
        <w:left w:val="none" w:sz="0" w:space="0" w:color="auto"/>
        <w:bottom w:val="none" w:sz="0" w:space="0" w:color="auto"/>
        <w:right w:val="none" w:sz="0" w:space="0" w:color="auto"/>
      </w:divBdr>
    </w:div>
    <w:div w:id="1548879480">
      <w:bodyDiv w:val="1"/>
      <w:marLeft w:val="0"/>
      <w:marRight w:val="0"/>
      <w:marTop w:val="0"/>
      <w:marBottom w:val="0"/>
      <w:divBdr>
        <w:top w:val="none" w:sz="0" w:space="0" w:color="auto"/>
        <w:left w:val="none" w:sz="0" w:space="0" w:color="auto"/>
        <w:bottom w:val="none" w:sz="0" w:space="0" w:color="auto"/>
        <w:right w:val="none" w:sz="0" w:space="0" w:color="auto"/>
      </w:divBdr>
    </w:div>
    <w:div w:id="1549801762">
      <w:bodyDiv w:val="1"/>
      <w:marLeft w:val="0"/>
      <w:marRight w:val="0"/>
      <w:marTop w:val="0"/>
      <w:marBottom w:val="0"/>
      <w:divBdr>
        <w:top w:val="none" w:sz="0" w:space="0" w:color="auto"/>
        <w:left w:val="none" w:sz="0" w:space="0" w:color="auto"/>
        <w:bottom w:val="none" w:sz="0" w:space="0" w:color="auto"/>
        <w:right w:val="none" w:sz="0" w:space="0" w:color="auto"/>
      </w:divBdr>
    </w:div>
    <w:div w:id="1551726855">
      <w:bodyDiv w:val="1"/>
      <w:marLeft w:val="0"/>
      <w:marRight w:val="0"/>
      <w:marTop w:val="0"/>
      <w:marBottom w:val="0"/>
      <w:divBdr>
        <w:top w:val="none" w:sz="0" w:space="0" w:color="auto"/>
        <w:left w:val="none" w:sz="0" w:space="0" w:color="auto"/>
        <w:bottom w:val="none" w:sz="0" w:space="0" w:color="auto"/>
        <w:right w:val="none" w:sz="0" w:space="0" w:color="auto"/>
      </w:divBdr>
    </w:div>
    <w:div w:id="1551960632">
      <w:bodyDiv w:val="1"/>
      <w:marLeft w:val="0"/>
      <w:marRight w:val="0"/>
      <w:marTop w:val="0"/>
      <w:marBottom w:val="0"/>
      <w:divBdr>
        <w:top w:val="none" w:sz="0" w:space="0" w:color="auto"/>
        <w:left w:val="none" w:sz="0" w:space="0" w:color="auto"/>
        <w:bottom w:val="none" w:sz="0" w:space="0" w:color="auto"/>
        <w:right w:val="none" w:sz="0" w:space="0" w:color="auto"/>
      </w:divBdr>
      <w:divsChild>
        <w:div w:id="1046104648">
          <w:marLeft w:val="0"/>
          <w:marRight w:val="0"/>
          <w:marTop w:val="0"/>
          <w:marBottom w:val="0"/>
          <w:divBdr>
            <w:top w:val="none" w:sz="0" w:space="0" w:color="auto"/>
            <w:left w:val="none" w:sz="0" w:space="0" w:color="auto"/>
            <w:bottom w:val="none" w:sz="0" w:space="0" w:color="auto"/>
            <w:right w:val="none" w:sz="0" w:space="0" w:color="auto"/>
          </w:divBdr>
          <w:divsChild>
            <w:div w:id="1817337784">
              <w:marLeft w:val="0"/>
              <w:marRight w:val="0"/>
              <w:marTop w:val="0"/>
              <w:marBottom w:val="0"/>
              <w:divBdr>
                <w:top w:val="none" w:sz="0" w:space="0" w:color="auto"/>
                <w:left w:val="none" w:sz="0" w:space="0" w:color="auto"/>
                <w:bottom w:val="none" w:sz="0" w:space="0" w:color="auto"/>
                <w:right w:val="none" w:sz="0" w:space="0" w:color="auto"/>
              </w:divBdr>
              <w:divsChild>
                <w:div w:id="17365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22843">
      <w:bodyDiv w:val="1"/>
      <w:marLeft w:val="0"/>
      <w:marRight w:val="0"/>
      <w:marTop w:val="0"/>
      <w:marBottom w:val="0"/>
      <w:divBdr>
        <w:top w:val="none" w:sz="0" w:space="0" w:color="auto"/>
        <w:left w:val="none" w:sz="0" w:space="0" w:color="auto"/>
        <w:bottom w:val="none" w:sz="0" w:space="0" w:color="auto"/>
        <w:right w:val="none" w:sz="0" w:space="0" w:color="auto"/>
      </w:divBdr>
    </w:div>
    <w:div w:id="1570774946">
      <w:bodyDiv w:val="1"/>
      <w:marLeft w:val="0"/>
      <w:marRight w:val="0"/>
      <w:marTop w:val="0"/>
      <w:marBottom w:val="0"/>
      <w:divBdr>
        <w:top w:val="none" w:sz="0" w:space="0" w:color="auto"/>
        <w:left w:val="none" w:sz="0" w:space="0" w:color="auto"/>
        <w:bottom w:val="none" w:sz="0" w:space="0" w:color="auto"/>
        <w:right w:val="none" w:sz="0" w:space="0" w:color="auto"/>
      </w:divBdr>
    </w:div>
    <w:div w:id="1573274800">
      <w:bodyDiv w:val="1"/>
      <w:marLeft w:val="0"/>
      <w:marRight w:val="0"/>
      <w:marTop w:val="0"/>
      <w:marBottom w:val="0"/>
      <w:divBdr>
        <w:top w:val="none" w:sz="0" w:space="0" w:color="auto"/>
        <w:left w:val="none" w:sz="0" w:space="0" w:color="auto"/>
        <w:bottom w:val="none" w:sz="0" w:space="0" w:color="auto"/>
        <w:right w:val="none" w:sz="0" w:space="0" w:color="auto"/>
      </w:divBdr>
    </w:div>
    <w:div w:id="1578856722">
      <w:bodyDiv w:val="1"/>
      <w:marLeft w:val="0"/>
      <w:marRight w:val="0"/>
      <w:marTop w:val="0"/>
      <w:marBottom w:val="0"/>
      <w:divBdr>
        <w:top w:val="none" w:sz="0" w:space="0" w:color="auto"/>
        <w:left w:val="none" w:sz="0" w:space="0" w:color="auto"/>
        <w:bottom w:val="none" w:sz="0" w:space="0" w:color="auto"/>
        <w:right w:val="none" w:sz="0" w:space="0" w:color="auto"/>
      </w:divBdr>
    </w:div>
    <w:div w:id="1578903825">
      <w:bodyDiv w:val="1"/>
      <w:marLeft w:val="0"/>
      <w:marRight w:val="0"/>
      <w:marTop w:val="0"/>
      <w:marBottom w:val="0"/>
      <w:divBdr>
        <w:top w:val="none" w:sz="0" w:space="0" w:color="auto"/>
        <w:left w:val="none" w:sz="0" w:space="0" w:color="auto"/>
        <w:bottom w:val="none" w:sz="0" w:space="0" w:color="auto"/>
        <w:right w:val="none" w:sz="0" w:space="0" w:color="auto"/>
      </w:divBdr>
    </w:div>
    <w:div w:id="1581062310">
      <w:bodyDiv w:val="1"/>
      <w:marLeft w:val="0"/>
      <w:marRight w:val="0"/>
      <w:marTop w:val="0"/>
      <w:marBottom w:val="0"/>
      <w:divBdr>
        <w:top w:val="none" w:sz="0" w:space="0" w:color="auto"/>
        <w:left w:val="none" w:sz="0" w:space="0" w:color="auto"/>
        <w:bottom w:val="none" w:sz="0" w:space="0" w:color="auto"/>
        <w:right w:val="none" w:sz="0" w:space="0" w:color="auto"/>
      </w:divBdr>
    </w:div>
    <w:div w:id="1582526750">
      <w:bodyDiv w:val="1"/>
      <w:marLeft w:val="0"/>
      <w:marRight w:val="0"/>
      <w:marTop w:val="0"/>
      <w:marBottom w:val="0"/>
      <w:divBdr>
        <w:top w:val="none" w:sz="0" w:space="0" w:color="auto"/>
        <w:left w:val="none" w:sz="0" w:space="0" w:color="auto"/>
        <w:bottom w:val="none" w:sz="0" w:space="0" w:color="auto"/>
        <w:right w:val="none" w:sz="0" w:space="0" w:color="auto"/>
      </w:divBdr>
    </w:div>
    <w:div w:id="1584757029">
      <w:bodyDiv w:val="1"/>
      <w:marLeft w:val="0"/>
      <w:marRight w:val="0"/>
      <w:marTop w:val="0"/>
      <w:marBottom w:val="0"/>
      <w:divBdr>
        <w:top w:val="none" w:sz="0" w:space="0" w:color="auto"/>
        <w:left w:val="none" w:sz="0" w:space="0" w:color="auto"/>
        <w:bottom w:val="none" w:sz="0" w:space="0" w:color="auto"/>
        <w:right w:val="none" w:sz="0" w:space="0" w:color="auto"/>
      </w:divBdr>
    </w:div>
    <w:div w:id="1586649665">
      <w:bodyDiv w:val="1"/>
      <w:marLeft w:val="0"/>
      <w:marRight w:val="0"/>
      <w:marTop w:val="0"/>
      <w:marBottom w:val="0"/>
      <w:divBdr>
        <w:top w:val="none" w:sz="0" w:space="0" w:color="auto"/>
        <w:left w:val="none" w:sz="0" w:space="0" w:color="auto"/>
        <w:bottom w:val="none" w:sz="0" w:space="0" w:color="auto"/>
        <w:right w:val="none" w:sz="0" w:space="0" w:color="auto"/>
      </w:divBdr>
    </w:div>
    <w:div w:id="1588465491">
      <w:bodyDiv w:val="1"/>
      <w:marLeft w:val="0"/>
      <w:marRight w:val="0"/>
      <w:marTop w:val="0"/>
      <w:marBottom w:val="0"/>
      <w:divBdr>
        <w:top w:val="none" w:sz="0" w:space="0" w:color="auto"/>
        <w:left w:val="none" w:sz="0" w:space="0" w:color="auto"/>
        <w:bottom w:val="none" w:sz="0" w:space="0" w:color="auto"/>
        <w:right w:val="none" w:sz="0" w:space="0" w:color="auto"/>
      </w:divBdr>
    </w:div>
    <w:div w:id="1591083378">
      <w:bodyDiv w:val="1"/>
      <w:marLeft w:val="0"/>
      <w:marRight w:val="0"/>
      <w:marTop w:val="0"/>
      <w:marBottom w:val="0"/>
      <w:divBdr>
        <w:top w:val="none" w:sz="0" w:space="0" w:color="auto"/>
        <w:left w:val="none" w:sz="0" w:space="0" w:color="auto"/>
        <w:bottom w:val="none" w:sz="0" w:space="0" w:color="auto"/>
        <w:right w:val="none" w:sz="0" w:space="0" w:color="auto"/>
      </w:divBdr>
    </w:div>
    <w:div w:id="1597860623">
      <w:bodyDiv w:val="1"/>
      <w:marLeft w:val="0"/>
      <w:marRight w:val="0"/>
      <w:marTop w:val="0"/>
      <w:marBottom w:val="0"/>
      <w:divBdr>
        <w:top w:val="none" w:sz="0" w:space="0" w:color="auto"/>
        <w:left w:val="none" w:sz="0" w:space="0" w:color="auto"/>
        <w:bottom w:val="none" w:sz="0" w:space="0" w:color="auto"/>
        <w:right w:val="none" w:sz="0" w:space="0" w:color="auto"/>
      </w:divBdr>
    </w:div>
    <w:div w:id="1602567747">
      <w:bodyDiv w:val="1"/>
      <w:marLeft w:val="0"/>
      <w:marRight w:val="0"/>
      <w:marTop w:val="0"/>
      <w:marBottom w:val="0"/>
      <w:divBdr>
        <w:top w:val="none" w:sz="0" w:space="0" w:color="auto"/>
        <w:left w:val="none" w:sz="0" w:space="0" w:color="auto"/>
        <w:bottom w:val="none" w:sz="0" w:space="0" w:color="auto"/>
        <w:right w:val="none" w:sz="0" w:space="0" w:color="auto"/>
      </w:divBdr>
      <w:divsChild>
        <w:div w:id="937056878">
          <w:marLeft w:val="288"/>
          <w:marRight w:val="0"/>
          <w:marTop w:val="0"/>
          <w:marBottom w:val="0"/>
          <w:divBdr>
            <w:top w:val="none" w:sz="0" w:space="0" w:color="auto"/>
            <w:left w:val="none" w:sz="0" w:space="0" w:color="auto"/>
            <w:bottom w:val="none" w:sz="0" w:space="0" w:color="auto"/>
            <w:right w:val="none" w:sz="0" w:space="0" w:color="auto"/>
          </w:divBdr>
        </w:div>
        <w:div w:id="1437630335">
          <w:marLeft w:val="288"/>
          <w:marRight w:val="0"/>
          <w:marTop w:val="0"/>
          <w:marBottom w:val="0"/>
          <w:divBdr>
            <w:top w:val="none" w:sz="0" w:space="0" w:color="auto"/>
            <w:left w:val="none" w:sz="0" w:space="0" w:color="auto"/>
            <w:bottom w:val="none" w:sz="0" w:space="0" w:color="auto"/>
            <w:right w:val="none" w:sz="0" w:space="0" w:color="auto"/>
          </w:divBdr>
        </w:div>
      </w:divsChild>
    </w:div>
    <w:div w:id="1610354336">
      <w:bodyDiv w:val="1"/>
      <w:marLeft w:val="0"/>
      <w:marRight w:val="0"/>
      <w:marTop w:val="0"/>
      <w:marBottom w:val="0"/>
      <w:divBdr>
        <w:top w:val="none" w:sz="0" w:space="0" w:color="auto"/>
        <w:left w:val="none" w:sz="0" w:space="0" w:color="auto"/>
        <w:bottom w:val="none" w:sz="0" w:space="0" w:color="auto"/>
        <w:right w:val="none" w:sz="0" w:space="0" w:color="auto"/>
      </w:divBdr>
    </w:div>
    <w:div w:id="1620647362">
      <w:bodyDiv w:val="1"/>
      <w:marLeft w:val="0"/>
      <w:marRight w:val="0"/>
      <w:marTop w:val="0"/>
      <w:marBottom w:val="0"/>
      <w:divBdr>
        <w:top w:val="none" w:sz="0" w:space="0" w:color="auto"/>
        <w:left w:val="none" w:sz="0" w:space="0" w:color="auto"/>
        <w:bottom w:val="none" w:sz="0" w:space="0" w:color="auto"/>
        <w:right w:val="none" w:sz="0" w:space="0" w:color="auto"/>
      </w:divBdr>
    </w:div>
    <w:div w:id="1626083579">
      <w:bodyDiv w:val="1"/>
      <w:marLeft w:val="0"/>
      <w:marRight w:val="0"/>
      <w:marTop w:val="0"/>
      <w:marBottom w:val="0"/>
      <w:divBdr>
        <w:top w:val="none" w:sz="0" w:space="0" w:color="auto"/>
        <w:left w:val="none" w:sz="0" w:space="0" w:color="auto"/>
        <w:bottom w:val="none" w:sz="0" w:space="0" w:color="auto"/>
        <w:right w:val="none" w:sz="0" w:space="0" w:color="auto"/>
      </w:divBdr>
    </w:div>
    <w:div w:id="1627808215">
      <w:bodyDiv w:val="1"/>
      <w:marLeft w:val="0"/>
      <w:marRight w:val="0"/>
      <w:marTop w:val="0"/>
      <w:marBottom w:val="0"/>
      <w:divBdr>
        <w:top w:val="none" w:sz="0" w:space="0" w:color="auto"/>
        <w:left w:val="none" w:sz="0" w:space="0" w:color="auto"/>
        <w:bottom w:val="none" w:sz="0" w:space="0" w:color="auto"/>
        <w:right w:val="none" w:sz="0" w:space="0" w:color="auto"/>
      </w:divBdr>
    </w:div>
    <w:div w:id="1631545132">
      <w:bodyDiv w:val="1"/>
      <w:marLeft w:val="0"/>
      <w:marRight w:val="0"/>
      <w:marTop w:val="0"/>
      <w:marBottom w:val="0"/>
      <w:divBdr>
        <w:top w:val="none" w:sz="0" w:space="0" w:color="auto"/>
        <w:left w:val="none" w:sz="0" w:space="0" w:color="auto"/>
        <w:bottom w:val="none" w:sz="0" w:space="0" w:color="auto"/>
        <w:right w:val="none" w:sz="0" w:space="0" w:color="auto"/>
      </w:divBdr>
    </w:div>
    <w:div w:id="1635216580">
      <w:bodyDiv w:val="1"/>
      <w:marLeft w:val="0"/>
      <w:marRight w:val="0"/>
      <w:marTop w:val="0"/>
      <w:marBottom w:val="0"/>
      <w:divBdr>
        <w:top w:val="none" w:sz="0" w:space="0" w:color="auto"/>
        <w:left w:val="none" w:sz="0" w:space="0" w:color="auto"/>
        <w:bottom w:val="none" w:sz="0" w:space="0" w:color="auto"/>
        <w:right w:val="none" w:sz="0" w:space="0" w:color="auto"/>
      </w:divBdr>
    </w:div>
    <w:div w:id="1638143824">
      <w:bodyDiv w:val="1"/>
      <w:marLeft w:val="0"/>
      <w:marRight w:val="0"/>
      <w:marTop w:val="0"/>
      <w:marBottom w:val="0"/>
      <w:divBdr>
        <w:top w:val="none" w:sz="0" w:space="0" w:color="auto"/>
        <w:left w:val="none" w:sz="0" w:space="0" w:color="auto"/>
        <w:bottom w:val="none" w:sz="0" w:space="0" w:color="auto"/>
        <w:right w:val="none" w:sz="0" w:space="0" w:color="auto"/>
      </w:divBdr>
    </w:div>
    <w:div w:id="1648633793">
      <w:bodyDiv w:val="1"/>
      <w:marLeft w:val="0"/>
      <w:marRight w:val="0"/>
      <w:marTop w:val="0"/>
      <w:marBottom w:val="0"/>
      <w:divBdr>
        <w:top w:val="none" w:sz="0" w:space="0" w:color="auto"/>
        <w:left w:val="none" w:sz="0" w:space="0" w:color="auto"/>
        <w:bottom w:val="none" w:sz="0" w:space="0" w:color="auto"/>
        <w:right w:val="none" w:sz="0" w:space="0" w:color="auto"/>
      </w:divBdr>
    </w:div>
    <w:div w:id="1652099985">
      <w:bodyDiv w:val="1"/>
      <w:marLeft w:val="0"/>
      <w:marRight w:val="0"/>
      <w:marTop w:val="0"/>
      <w:marBottom w:val="0"/>
      <w:divBdr>
        <w:top w:val="none" w:sz="0" w:space="0" w:color="auto"/>
        <w:left w:val="none" w:sz="0" w:space="0" w:color="auto"/>
        <w:bottom w:val="none" w:sz="0" w:space="0" w:color="auto"/>
        <w:right w:val="none" w:sz="0" w:space="0" w:color="auto"/>
      </w:divBdr>
    </w:div>
    <w:div w:id="1658605299">
      <w:bodyDiv w:val="1"/>
      <w:marLeft w:val="0"/>
      <w:marRight w:val="0"/>
      <w:marTop w:val="0"/>
      <w:marBottom w:val="0"/>
      <w:divBdr>
        <w:top w:val="none" w:sz="0" w:space="0" w:color="auto"/>
        <w:left w:val="none" w:sz="0" w:space="0" w:color="auto"/>
        <w:bottom w:val="none" w:sz="0" w:space="0" w:color="auto"/>
        <w:right w:val="none" w:sz="0" w:space="0" w:color="auto"/>
      </w:divBdr>
    </w:div>
    <w:div w:id="1662613766">
      <w:bodyDiv w:val="1"/>
      <w:marLeft w:val="0"/>
      <w:marRight w:val="0"/>
      <w:marTop w:val="0"/>
      <w:marBottom w:val="0"/>
      <w:divBdr>
        <w:top w:val="none" w:sz="0" w:space="0" w:color="auto"/>
        <w:left w:val="none" w:sz="0" w:space="0" w:color="auto"/>
        <w:bottom w:val="none" w:sz="0" w:space="0" w:color="auto"/>
        <w:right w:val="none" w:sz="0" w:space="0" w:color="auto"/>
      </w:divBdr>
    </w:div>
    <w:div w:id="1663657087">
      <w:bodyDiv w:val="1"/>
      <w:marLeft w:val="0"/>
      <w:marRight w:val="0"/>
      <w:marTop w:val="0"/>
      <w:marBottom w:val="0"/>
      <w:divBdr>
        <w:top w:val="none" w:sz="0" w:space="0" w:color="auto"/>
        <w:left w:val="none" w:sz="0" w:space="0" w:color="auto"/>
        <w:bottom w:val="none" w:sz="0" w:space="0" w:color="auto"/>
        <w:right w:val="none" w:sz="0" w:space="0" w:color="auto"/>
      </w:divBdr>
    </w:div>
    <w:div w:id="1672945522">
      <w:bodyDiv w:val="1"/>
      <w:marLeft w:val="0"/>
      <w:marRight w:val="0"/>
      <w:marTop w:val="0"/>
      <w:marBottom w:val="0"/>
      <w:divBdr>
        <w:top w:val="none" w:sz="0" w:space="0" w:color="auto"/>
        <w:left w:val="none" w:sz="0" w:space="0" w:color="auto"/>
        <w:bottom w:val="none" w:sz="0" w:space="0" w:color="auto"/>
        <w:right w:val="none" w:sz="0" w:space="0" w:color="auto"/>
      </w:divBdr>
    </w:div>
    <w:div w:id="1676150187">
      <w:bodyDiv w:val="1"/>
      <w:marLeft w:val="0"/>
      <w:marRight w:val="0"/>
      <w:marTop w:val="0"/>
      <w:marBottom w:val="0"/>
      <w:divBdr>
        <w:top w:val="none" w:sz="0" w:space="0" w:color="auto"/>
        <w:left w:val="none" w:sz="0" w:space="0" w:color="auto"/>
        <w:bottom w:val="none" w:sz="0" w:space="0" w:color="auto"/>
        <w:right w:val="none" w:sz="0" w:space="0" w:color="auto"/>
      </w:divBdr>
    </w:div>
    <w:div w:id="1680737518">
      <w:bodyDiv w:val="1"/>
      <w:marLeft w:val="0"/>
      <w:marRight w:val="0"/>
      <w:marTop w:val="0"/>
      <w:marBottom w:val="0"/>
      <w:divBdr>
        <w:top w:val="none" w:sz="0" w:space="0" w:color="auto"/>
        <w:left w:val="none" w:sz="0" w:space="0" w:color="auto"/>
        <w:bottom w:val="none" w:sz="0" w:space="0" w:color="auto"/>
        <w:right w:val="none" w:sz="0" w:space="0" w:color="auto"/>
      </w:divBdr>
    </w:div>
    <w:div w:id="1682122644">
      <w:bodyDiv w:val="1"/>
      <w:marLeft w:val="0"/>
      <w:marRight w:val="0"/>
      <w:marTop w:val="0"/>
      <w:marBottom w:val="0"/>
      <w:divBdr>
        <w:top w:val="none" w:sz="0" w:space="0" w:color="auto"/>
        <w:left w:val="none" w:sz="0" w:space="0" w:color="auto"/>
        <w:bottom w:val="none" w:sz="0" w:space="0" w:color="auto"/>
        <w:right w:val="none" w:sz="0" w:space="0" w:color="auto"/>
      </w:divBdr>
    </w:div>
    <w:div w:id="1687167683">
      <w:bodyDiv w:val="1"/>
      <w:marLeft w:val="0"/>
      <w:marRight w:val="0"/>
      <w:marTop w:val="0"/>
      <w:marBottom w:val="0"/>
      <w:divBdr>
        <w:top w:val="none" w:sz="0" w:space="0" w:color="auto"/>
        <w:left w:val="none" w:sz="0" w:space="0" w:color="auto"/>
        <w:bottom w:val="none" w:sz="0" w:space="0" w:color="auto"/>
        <w:right w:val="none" w:sz="0" w:space="0" w:color="auto"/>
      </w:divBdr>
    </w:div>
    <w:div w:id="1691253131">
      <w:bodyDiv w:val="1"/>
      <w:marLeft w:val="0"/>
      <w:marRight w:val="0"/>
      <w:marTop w:val="0"/>
      <w:marBottom w:val="0"/>
      <w:divBdr>
        <w:top w:val="none" w:sz="0" w:space="0" w:color="auto"/>
        <w:left w:val="none" w:sz="0" w:space="0" w:color="auto"/>
        <w:bottom w:val="none" w:sz="0" w:space="0" w:color="auto"/>
        <w:right w:val="none" w:sz="0" w:space="0" w:color="auto"/>
      </w:divBdr>
    </w:div>
    <w:div w:id="1692533032">
      <w:bodyDiv w:val="1"/>
      <w:marLeft w:val="0"/>
      <w:marRight w:val="0"/>
      <w:marTop w:val="0"/>
      <w:marBottom w:val="0"/>
      <w:divBdr>
        <w:top w:val="none" w:sz="0" w:space="0" w:color="auto"/>
        <w:left w:val="none" w:sz="0" w:space="0" w:color="auto"/>
        <w:bottom w:val="none" w:sz="0" w:space="0" w:color="auto"/>
        <w:right w:val="none" w:sz="0" w:space="0" w:color="auto"/>
      </w:divBdr>
    </w:div>
    <w:div w:id="1698500270">
      <w:bodyDiv w:val="1"/>
      <w:marLeft w:val="0"/>
      <w:marRight w:val="0"/>
      <w:marTop w:val="0"/>
      <w:marBottom w:val="0"/>
      <w:divBdr>
        <w:top w:val="none" w:sz="0" w:space="0" w:color="auto"/>
        <w:left w:val="none" w:sz="0" w:space="0" w:color="auto"/>
        <w:bottom w:val="none" w:sz="0" w:space="0" w:color="auto"/>
        <w:right w:val="none" w:sz="0" w:space="0" w:color="auto"/>
      </w:divBdr>
    </w:div>
    <w:div w:id="1701122203">
      <w:bodyDiv w:val="1"/>
      <w:marLeft w:val="0"/>
      <w:marRight w:val="0"/>
      <w:marTop w:val="0"/>
      <w:marBottom w:val="0"/>
      <w:divBdr>
        <w:top w:val="none" w:sz="0" w:space="0" w:color="auto"/>
        <w:left w:val="none" w:sz="0" w:space="0" w:color="auto"/>
        <w:bottom w:val="none" w:sz="0" w:space="0" w:color="auto"/>
        <w:right w:val="none" w:sz="0" w:space="0" w:color="auto"/>
      </w:divBdr>
    </w:div>
    <w:div w:id="1706130164">
      <w:bodyDiv w:val="1"/>
      <w:marLeft w:val="0"/>
      <w:marRight w:val="0"/>
      <w:marTop w:val="0"/>
      <w:marBottom w:val="0"/>
      <w:divBdr>
        <w:top w:val="none" w:sz="0" w:space="0" w:color="auto"/>
        <w:left w:val="none" w:sz="0" w:space="0" w:color="auto"/>
        <w:bottom w:val="none" w:sz="0" w:space="0" w:color="auto"/>
        <w:right w:val="none" w:sz="0" w:space="0" w:color="auto"/>
      </w:divBdr>
    </w:div>
    <w:div w:id="1711414380">
      <w:bodyDiv w:val="1"/>
      <w:marLeft w:val="0"/>
      <w:marRight w:val="0"/>
      <w:marTop w:val="0"/>
      <w:marBottom w:val="0"/>
      <w:divBdr>
        <w:top w:val="none" w:sz="0" w:space="0" w:color="auto"/>
        <w:left w:val="none" w:sz="0" w:space="0" w:color="auto"/>
        <w:bottom w:val="none" w:sz="0" w:space="0" w:color="auto"/>
        <w:right w:val="none" w:sz="0" w:space="0" w:color="auto"/>
      </w:divBdr>
    </w:div>
    <w:div w:id="1717923799">
      <w:bodyDiv w:val="1"/>
      <w:marLeft w:val="0"/>
      <w:marRight w:val="0"/>
      <w:marTop w:val="0"/>
      <w:marBottom w:val="0"/>
      <w:divBdr>
        <w:top w:val="none" w:sz="0" w:space="0" w:color="auto"/>
        <w:left w:val="none" w:sz="0" w:space="0" w:color="auto"/>
        <w:bottom w:val="none" w:sz="0" w:space="0" w:color="auto"/>
        <w:right w:val="none" w:sz="0" w:space="0" w:color="auto"/>
      </w:divBdr>
    </w:div>
    <w:div w:id="1727410380">
      <w:bodyDiv w:val="1"/>
      <w:marLeft w:val="0"/>
      <w:marRight w:val="0"/>
      <w:marTop w:val="0"/>
      <w:marBottom w:val="0"/>
      <w:divBdr>
        <w:top w:val="none" w:sz="0" w:space="0" w:color="auto"/>
        <w:left w:val="none" w:sz="0" w:space="0" w:color="auto"/>
        <w:bottom w:val="none" w:sz="0" w:space="0" w:color="auto"/>
        <w:right w:val="none" w:sz="0" w:space="0" w:color="auto"/>
      </w:divBdr>
    </w:div>
    <w:div w:id="1728410577">
      <w:bodyDiv w:val="1"/>
      <w:marLeft w:val="0"/>
      <w:marRight w:val="0"/>
      <w:marTop w:val="0"/>
      <w:marBottom w:val="0"/>
      <w:divBdr>
        <w:top w:val="none" w:sz="0" w:space="0" w:color="auto"/>
        <w:left w:val="none" w:sz="0" w:space="0" w:color="auto"/>
        <w:bottom w:val="none" w:sz="0" w:space="0" w:color="auto"/>
        <w:right w:val="none" w:sz="0" w:space="0" w:color="auto"/>
      </w:divBdr>
    </w:div>
    <w:div w:id="1738287485">
      <w:bodyDiv w:val="1"/>
      <w:marLeft w:val="0"/>
      <w:marRight w:val="0"/>
      <w:marTop w:val="0"/>
      <w:marBottom w:val="0"/>
      <w:divBdr>
        <w:top w:val="none" w:sz="0" w:space="0" w:color="auto"/>
        <w:left w:val="none" w:sz="0" w:space="0" w:color="auto"/>
        <w:bottom w:val="none" w:sz="0" w:space="0" w:color="auto"/>
        <w:right w:val="none" w:sz="0" w:space="0" w:color="auto"/>
      </w:divBdr>
    </w:div>
    <w:div w:id="1740247227">
      <w:bodyDiv w:val="1"/>
      <w:marLeft w:val="0"/>
      <w:marRight w:val="0"/>
      <w:marTop w:val="0"/>
      <w:marBottom w:val="0"/>
      <w:divBdr>
        <w:top w:val="none" w:sz="0" w:space="0" w:color="auto"/>
        <w:left w:val="none" w:sz="0" w:space="0" w:color="auto"/>
        <w:bottom w:val="none" w:sz="0" w:space="0" w:color="auto"/>
        <w:right w:val="none" w:sz="0" w:space="0" w:color="auto"/>
      </w:divBdr>
    </w:div>
    <w:div w:id="1744839100">
      <w:bodyDiv w:val="1"/>
      <w:marLeft w:val="0"/>
      <w:marRight w:val="0"/>
      <w:marTop w:val="0"/>
      <w:marBottom w:val="0"/>
      <w:divBdr>
        <w:top w:val="none" w:sz="0" w:space="0" w:color="auto"/>
        <w:left w:val="none" w:sz="0" w:space="0" w:color="auto"/>
        <w:bottom w:val="none" w:sz="0" w:space="0" w:color="auto"/>
        <w:right w:val="none" w:sz="0" w:space="0" w:color="auto"/>
      </w:divBdr>
    </w:div>
    <w:div w:id="1753047720">
      <w:bodyDiv w:val="1"/>
      <w:marLeft w:val="0"/>
      <w:marRight w:val="0"/>
      <w:marTop w:val="0"/>
      <w:marBottom w:val="0"/>
      <w:divBdr>
        <w:top w:val="none" w:sz="0" w:space="0" w:color="auto"/>
        <w:left w:val="none" w:sz="0" w:space="0" w:color="auto"/>
        <w:bottom w:val="none" w:sz="0" w:space="0" w:color="auto"/>
        <w:right w:val="none" w:sz="0" w:space="0" w:color="auto"/>
      </w:divBdr>
    </w:div>
    <w:div w:id="1768695311">
      <w:bodyDiv w:val="1"/>
      <w:marLeft w:val="0"/>
      <w:marRight w:val="0"/>
      <w:marTop w:val="0"/>
      <w:marBottom w:val="0"/>
      <w:divBdr>
        <w:top w:val="none" w:sz="0" w:space="0" w:color="auto"/>
        <w:left w:val="none" w:sz="0" w:space="0" w:color="auto"/>
        <w:bottom w:val="none" w:sz="0" w:space="0" w:color="auto"/>
        <w:right w:val="none" w:sz="0" w:space="0" w:color="auto"/>
      </w:divBdr>
    </w:div>
    <w:div w:id="1772505929">
      <w:bodyDiv w:val="1"/>
      <w:marLeft w:val="0"/>
      <w:marRight w:val="0"/>
      <w:marTop w:val="0"/>
      <w:marBottom w:val="0"/>
      <w:divBdr>
        <w:top w:val="none" w:sz="0" w:space="0" w:color="auto"/>
        <w:left w:val="none" w:sz="0" w:space="0" w:color="auto"/>
        <w:bottom w:val="none" w:sz="0" w:space="0" w:color="auto"/>
        <w:right w:val="none" w:sz="0" w:space="0" w:color="auto"/>
      </w:divBdr>
    </w:div>
    <w:div w:id="1776829465">
      <w:bodyDiv w:val="1"/>
      <w:marLeft w:val="0"/>
      <w:marRight w:val="0"/>
      <w:marTop w:val="0"/>
      <w:marBottom w:val="0"/>
      <w:divBdr>
        <w:top w:val="none" w:sz="0" w:space="0" w:color="auto"/>
        <w:left w:val="none" w:sz="0" w:space="0" w:color="auto"/>
        <w:bottom w:val="none" w:sz="0" w:space="0" w:color="auto"/>
        <w:right w:val="none" w:sz="0" w:space="0" w:color="auto"/>
      </w:divBdr>
    </w:div>
    <w:div w:id="1779060882">
      <w:bodyDiv w:val="1"/>
      <w:marLeft w:val="0"/>
      <w:marRight w:val="0"/>
      <w:marTop w:val="0"/>
      <w:marBottom w:val="0"/>
      <w:divBdr>
        <w:top w:val="none" w:sz="0" w:space="0" w:color="auto"/>
        <w:left w:val="none" w:sz="0" w:space="0" w:color="auto"/>
        <w:bottom w:val="none" w:sz="0" w:space="0" w:color="auto"/>
        <w:right w:val="none" w:sz="0" w:space="0" w:color="auto"/>
      </w:divBdr>
    </w:div>
    <w:div w:id="1782214596">
      <w:bodyDiv w:val="1"/>
      <w:marLeft w:val="0"/>
      <w:marRight w:val="0"/>
      <w:marTop w:val="0"/>
      <w:marBottom w:val="0"/>
      <w:divBdr>
        <w:top w:val="none" w:sz="0" w:space="0" w:color="auto"/>
        <w:left w:val="none" w:sz="0" w:space="0" w:color="auto"/>
        <w:bottom w:val="none" w:sz="0" w:space="0" w:color="auto"/>
        <w:right w:val="none" w:sz="0" w:space="0" w:color="auto"/>
      </w:divBdr>
    </w:div>
    <w:div w:id="1782336496">
      <w:bodyDiv w:val="1"/>
      <w:marLeft w:val="0"/>
      <w:marRight w:val="0"/>
      <w:marTop w:val="0"/>
      <w:marBottom w:val="0"/>
      <w:divBdr>
        <w:top w:val="none" w:sz="0" w:space="0" w:color="auto"/>
        <w:left w:val="none" w:sz="0" w:space="0" w:color="auto"/>
        <w:bottom w:val="none" w:sz="0" w:space="0" w:color="auto"/>
        <w:right w:val="none" w:sz="0" w:space="0" w:color="auto"/>
      </w:divBdr>
    </w:div>
    <w:div w:id="1783500838">
      <w:bodyDiv w:val="1"/>
      <w:marLeft w:val="0"/>
      <w:marRight w:val="0"/>
      <w:marTop w:val="0"/>
      <w:marBottom w:val="0"/>
      <w:divBdr>
        <w:top w:val="none" w:sz="0" w:space="0" w:color="auto"/>
        <w:left w:val="none" w:sz="0" w:space="0" w:color="auto"/>
        <w:bottom w:val="none" w:sz="0" w:space="0" w:color="auto"/>
        <w:right w:val="none" w:sz="0" w:space="0" w:color="auto"/>
      </w:divBdr>
    </w:div>
    <w:div w:id="1784232331">
      <w:bodyDiv w:val="1"/>
      <w:marLeft w:val="0"/>
      <w:marRight w:val="0"/>
      <w:marTop w:val="0"/>
      <w:marBottom w:val="0"/>
      <w:divBdr>
        <w:top w:val="none" w:sz="0" w:space="0" w:color="auto"/>
        <w:left w:val="none" w:sz="0" w:space="0" w:color="auto"/>
        <w:bottom w:val="none" w:sz="0" w:space="0" w:color="auto"/>
        <w:right w:val="none" w:sz="0" w:space="0" w:color="auto"/>
      </w:divBdr>
    </w:div>
    <w:div w:id="1786001595">
      <w:bodyDiv w:val="1"/>
      <w:marLeft w:val="0"/>
      <w:marRight w:val="0"/>
      <w:marTop w:val="0"/>
      <w:marBottom w:val="0"/>
      <w:divBdr>
        <w:top w:val="none" w:sz="0" w:space="0" w:color="auto"/>
        <w:left w:val="none" w:sz="0" w:space="0" w:color="auto"/>
        <w:bottom w:val="none" w:sz="0" w:space="0" w:color="auto"/>
        <w:right w:val="none" w:sz="0" w:space="0" w:color="auto"/>
      </w:divBdr>
    </w:div>
    <w:div w:id="1799907809">
      <w:bodyDiv w:val="1"/>
      <w:marLeft w:val="0"/>
      <w:marRight w:val="0"/>
      <w:marTop w:val="0"/>
      <w:marBottom w:val="0"/>
      <w:divBdr>
        <w:top w:val="none" w:sz="0" w:space="0" w:color="auto"/>
        <w:left w:val="none" w:sz="0" w:space="0" w:color="auto"/>
        <w:bottom w:val="none" w:sz="0" w:space="0" w:color="auto"/>
        <w:right w:val="none" w:sz="0" w:space="0" w:color="auto"/>
      </w:divBdr>
    </w:div>
    <w:div w:id="1815102794">
      <w:bodyDiv w:val="1"/>
      <w:marLeft w:val="0"/>
      <w:marRight w:val="0"/>
      <w:marTop w:val="0"/>
      <w:marBottom w:val="0"/>
      <w:divBdr>
        <w:top w:val="none" w:sz="0" w:space="0" w:color="auto"/>
        <w:left w:val="none" w:sz="0" w:space="0" w:color="auto"/>
        <w:bottom w:val="none" w:sz="0" w:space="0" w:color="auto"/>
        <w:right w:val="none" w:sz="0" w:space="0" w:color="auto"/>
      </w:divBdr>
    </w:div>
    <w:div w:id="1828479104">
      <w:bodyDiv w:val="1"/>
      <w:marLeft w:val="0"/>
      <w:marRight w:val="0"/>
      <w:marTop w:val="0"/>
      <w:marBottom w:val="0"/>
      <w:divBdr>
        <w:top w:val="none" w:sz="0" w:space="0" w:color="auto"/>
        <w:left w:val="none" w:sz="0" w:space="0" w:color="auto"/>
        <w:bottom w:val="none" w:sz="0" w:space="0" w:color="auto"/>
        <w:right w:val="none" w:sz="0" w:space="0" w:color="auto"/>
      </w:divBdr>
    </w:div>
    <w:div w:id="1829978623">
      <w:bodyDiv w:val="1"/>
      <w:marLeft w:val="0"/>
      <w:marRight w:val="0"/>
      <w:marTop w:val="0"/>
      <w:marBottom w:val="0"/>
      <w:divBdr>
        <w:top w:val="none" w:sz="0" w:space="0" w:color="auto"/>
        <w:left w:val="none" w:sz="0" w:space="0" w:color="auto"/>
        <w:bottom w:val="none" w:sz="0" w:space="0" w:color="auto"/>
        <w:right w:val="none" w:sz="0" w:space="0" w:color="auto"/>
      </w:divBdr>
    </w:div>
    <w:div w:id="1830246617">
      <w:bodyDiv w:val="1"/>
      <w:marLeft w:val="0"/>
      <w:marRight w:val="0"/>
      <w:marTop w:val="0"/>
      <w:marBottom w:val="0"/>
      <w:divBdr>
        <w:top w:val="none" w:sz="0" w:space="0" w:color="auto"/>
        <w:left w:val="none" w:sz="0" w:space="0" w:color="auto"/>
        <w:bottom w:val="none" w:sz="0" w:space="0" w:color="auto"/>
        <w:right w:val="none" w:sz="0" w:space="0" w:color="auto"/>
      </w:divBdr>
    </w:div>
    <w:div w:id="1835222820">
      <w:bodyDiv w:val="1"/>
      <w:marLeft w:val="0"/>
      <w:marRight w:val="0"/>
      <w:marTop w:val="0"/>
      <w:marBottom w:val="0"/>
      <w:divBdr>
        <w:top w:val="none" w:sz="0" w:space="0" w:color="auto"/>
        <w:left w:val="none" w:sz="0" w:space="0" w:color="auto"/>
        <w:bottom w:val="none" w:sz="0" w:space="0" w:color="auto"/>
        <w:right w:val="none" w:sz="0" w:space="0" w:color="auto"/>
      </w:divBdr>
    </w:div>
    <w:div w:id="1843473273">
      <w:bodyDiv w:val="1"/>
      <w:marLeft w:val="0"/>
      <w:marRight w:val="0"/>
      <w:marTop w:val="0"/>
      <w:marBottom w:val="0"/>
      <w:divBdr>
        <w:top w:val="none" w:sz="0" w:space="0" w:color="auto"/>
        <w:left w:val="none" w:sz="0" w:space="0" w:color="auto"/>
        <w:bottom w:val="none" w:sz="0" w:space="0" w:color="auto"/>
        <w:right w:val="none" w:sz="0" w:space="0" w:color="auto"/>
      </w:divBdr>
    </w:div>
    <w:div w:id="1861509077">
      <w:bodyDiv w:val="1"/>
      <w:marLeft w:val="0"/>
      <w:marRight w:val="0"/>
      <w:marTop w:val="0"/>
      <w:marBottom w:val="0"/>
      <w:divBdr>
        <w:top w:val="none" w:sz="0" w:space="0" w:color="auto"/>
        <w:left w:val="none" w:sz="0" w:space="0" w:color="auto"/>
        <w:bottom w:val="none" w:sz="0" w:space="0" w:color="auto"/>
        <w:right w:val="none" w:sz="0" w:space="0" w:color="auto"/>
      </w:divBdr>
    </w:div>
    <w:div w:id="1864131891">
      <w:bodyDiv w:val="1"/>
      <w:marLeft w:val="0"/>
      <w:marRight w:val="0"/>
      <w:marTop w:val="0"/>
      <w:marBottom w:val="0"/>
      <w:divBdr>
        <w:top w:val="none" w:sz="0" w:space="0" w:color="auto"/>
        <w:left w:val="none" w:sz="0" w:space="0" w:color="auto"/>
        <w:bottom w:val="none" w:sz="0" w:space="0" w:color="auto"/>
        <w:right w:val="none" w:sz="0" w:space="0" w:color="auto"/>
      </w:divBdr>
    </w:div>
    <w:div w:id="1864980907">
      <w:bodyDiv w:val="1"/>
      <w:marLeft w:val="0"/>
      <w:marRight w:val="0"/>
      <w:marTop w:val="0"/>
      <w:marBottom w:val="0"/>
      <w:divBdr>
        <w:top w:val="none" w:sz="0" w:space="0" w:color="auto"/>
        <w:left w:val="none" w:sz="0" w:space="0" w:color="auto"/>
        <w:bottom w:val="none" w:sz="0" w:space="0" w:color="auto"/>
        <w:right w:val="none" w:sz="0" w:space="0" w:color="auto"/>
      </w:divBdr>
    </w:div>
    <w:div w:id="1866598653">
      <w:bodyDiv w:val="1"/>
      <w:marLeft w:val="0"/>
      <w:marRight w:val="0"/>
      <w:marTop w:val="0"/>
      <w:marBottom w:val="0"/>
      <w:divBdr>
        <w:top w:val="none" w:sz="0" w:space="0" w:color="auto"/>
        <w:left w:val="none" w:sz="0" w:space="0" w:color="auto"/>
        <w:bottom w:val="none" w:sz="0" w:space="0" w:color="auto"/>
        <w:right w:val="none" w:sz="0" w:space="0" w:color="auto"/>
      </w:divBdr>
    </w:div>
    <w:div w:id="1881624049">
      <w:bodyDiv w:val="1"/>
      <w:marLeft w:val="0"/>
      <w:marRight w:val="0"/>
      <w:marTop w:val="0"/>
      <w:marBottom w:val="0"/>
      <w:divBdr>
        <w:top w:val="none" w:sz="0" w:space="0" w:color="auto"/>
        <w:left w:val="none" w:sz="0" w:space="0" w:color="auto"/>
        <w:bottom w:val="none" w:sz="0" w:space="0" w:color="auto"/>
        <w:right w:val="none" w:sz="0" w:space="0" w:color="auto"/>
      </w:divBdr>
    </w:div>
    <w:div w:id="1887638136">
      <w:bodyDiv w:val="1"/>
      <w:marLeft w:val="0"/>
      <w:marRight w:val="0"/>
      <w:marTop w:val="0"/>
      <w:marBottom w:val="0"/>
      <w:divBdr>
        <w:top w:val="none" w:sz="0" w:space="0" w:color="auto"/>
        <w:left w:val="none" w:sz="0" w:space="0" w:color="auto"/>
        <w:bottom w:val="none" w:sz="0" w:space="0" w:color="auto"/>
        <w:right w:val="none" w:sz="0" w:space="0" w:color="auto"/>
      </w:divBdr>
    </w:div>
    <w:div w:id="1889143221">
      <w:bodyDiv w:val="1"/>
      <w:marLeft w:val="0"/>
      <w:marRight w:val="0"/>
      <w:marTop w:val="0"/>
      <w:marBottom w:val="0"/>
      <w:divBdr>
        <w:top w:val="none" w:sz="0" w:space="0" w:color="auto"/>
        <w:left w:val="none" w:sz="0" w:space="0" w:color="auto"/>
        <w:bottom w:val="none" w:sz="0" w:space="0" w:color="auto"/>
        <w:right w:val="none" w:sz="0" w:space="0" w:color="auto"/>
      </w:divBdr>
    </w:div>
    <w:div w:id="1892645355">
      <w:bodyDiv w:val="1"/>
      <w:marLeft w:val="0"/>
      <w:marRight w:val="0"/>
      <w:marTop w:val="0"/>
      <w:marBottom w:val="0"/>
      <w:divBdr>
        <w:top w:val="none" w:sz="0" w:space="0" w:color="auto"/>
        <w:left w:val="none" w:sz="0" w:space="0" w:color="auto"/>
        <w:bottom w:val="none" w:sz="0" w:space="0" w:color="auto"/>
        <w:right w:val="none" w:sz="0" w:space="0" w:color="auto"/>
      </w:divBdr>
    </w:div>
    <w:div w:id="1893811395">
      <w:bodyDiv w:val="1"/>
      <w:marLeft w:val="0"/>
      <w:marRight w:val="0"/>
      <w:marTop w:val="0"/>
      <w:marBottom w:val="0"/>
      <w:divBdr>
        <w:top w:val="none" w:sz="0" w:space="0" w:color="auto"/>
        <w:left w:val="none" w:sz="0" w:space="0" w:color="auto"/>
        <w:bottom w:val="none" w:sz="0" w:space="0" w:color="auto"/>
        <w:right w:val="none" w:sz="0" w:space="0" w:color="auto"/>
      </w:divBdr>
    </w:div>
    <w:div w:id="1905987194">
      <w:bodyDiv w:val="1"/>
      <w:marLeft w:val="0"/>
      <w:marRight w:val="0"/>
      <w:marTop w:val="0"/>
      <w:marBottom w:val="0"/>
      <w:divBdr>
        <w:top w:val="none" w:sz="0" w:space="0" w:color="auto"/>
        <w:left w:val="none" w:sz="0" w:space="0" w:color="auto"/>
        <w:bottom w:val="none" w:sz="0" w:space="0" w:color="auto"/>
        <w:right w:val="none" w:sz="0" w:space="0" w:color="auto"/>
      </w:divBdr>
    </w:div>
    <w:div w:id="1917010265">
      <w:bodyDiv w:val="1"/>
      <w:marLeft w:val="0"/>
      <w:marRight w:val="0"/>
      <w:marTop w:val="0"/>
      <w:marBottom w:val="0"/>
      <w:divBdr>
        <w:top w:val="none" w:sz="0" w:space="0" w:color="auto"/>
        <w:left w:val="none" w:sz="0" w:space="0" w:color="auto"/>
        <w:bottom w:val="none" w:sz="0" w:space="0" w:color="auto"/>
        <w:right w:val="none" w:sz="0" w:space="0" w:color="auto"/>
      </w:divBdr>
    </w:div>
    <w:div w:id="1921134638">
      <w:bodyDiv w:val="1"/>
      <w:marLeft w:val="0"/>
      <w:marRight w:val="0"/>
      <w:marTop w:val="0"/>
      <w:marBottom w:val="0"/>
      <w:divBdr>
        <w:top w:val="none" w:sz="0" w:space="0" w:color="auto"/>
        <w:left w:val="none" w:sz="0" w:space="0" w:color="auto"/>
        <w:bottom w:val="none" w:sz="0" w:space="0" w:color="auto"/>
        <w:right w:val="none" w:sz="0" w:space="0" w:color="auto"/>
      </w:divBdr>
    </w:div>
    <w:div w:id="1922643773">
      <w:bodyDiv w:val="1"/>
      <w:marLeft w:val="0"/>
      <w:marRight w:val="0"/>
      <w:marTop w:val="0"/>
      <w:marBottom w:val="0"/>
      <w:divBdr>
        <w:top w:val="none" w:sz="0" w:space="0" w:color="auto"/>
        <w:left w:val="none" w:sz="0" w:space="0" w:color="auto"/>
        <w:bottom w:val="none" w:sz="0" w:space="0" w:color="auto"/>
        <w:right w:val="none" w:sz="0" w:space="0" w:color="auto"/>
      </w:divBdr>
    </w:div>
    <w:div w:id="1932346178">
      <w:bodyDiv w:val="1"/>
      <w:marLeft w:val="0"/>
      <w:marRight w:val="0"/>
      <w:marTop w:val="0"/>
      <w:marBottom w:val="0"/>
      <w:divBdr>
        <w:top w:val="none" w:sz="0" w:space="0" w:color="auto"/>
        <w:left w:val="none" w:sz="0" w:space="0" w:color="auto"/>
        <w:bottom w:val="none" w:sz="0" w:space="0" w:color="auto"/>
        <w:right w:val="none" w:sz="0" w:space="0" w:color="auto"/>
      </w:divBdr>
    </w:div>
    <w:div w:id="1933393119">
      <w:bodyDiv w:val="1"/>
      <w:marLeft w:val="0"/>
      <w:marRight w:val="0"/>
      <w:marTop w:val="0"/>
      <w:marBottom w:val="0"/>
      <w:divBdr>
        <w:top w:val="none" w:sz="0" w:space="0" w:color="auto"/>
        <w:left w:val="none" w:sz="0" w:space="0" w:color="auto"/>
        <w:bottom w:val="none" w:sz="0" w:space="0" w:color="auto"/>
        <w:right w:val="none" w:sz="0" w:space="0" w:color="auto"/>
      </w:divBdr>
    </w:div>
    <w:div w:id="1936134648">
      <w:bodyDiv w:val="1"/>
      <w:marLeft w:val="0"/>
      <w:marRight w:val="0"/>
      <w:marTop w:val="0"/>
      <w:marBottom w:val="0"/>
      <w:divBdr>
        <w:top w:val="none" w:sz="0" w:space="0" w:color="auto"/>
        <w:left w:val="none" w:sz="0" w:space="0" w:color="auto"/>
        <w:bottom w:val="none" w:sz="0" w:space="0" w:color="auto"/>
        <w:right w:val="none" w:sz="0" w:space="0" w:color="auto"/>
      </w:divBdr>
    </w:div>
    <w:div w:id="1936553227">
      <w:bodyDiv w:val="1"/>
      <w:marLeft w:val="0"/>
      <w:marRight w:val="0"/>
      <w:marTop w:val="0"/>
      <w:marBottom w:val="0"/>
      <w:divBdr>
        <w:top w:val="none" w:sz="0" w:space="0" w:color="auto"/>
        <w:left w:val="none" w:sz="0" w:space="0" w:color="auto"/>
        <w:bottom w:val="none" w:sz="0" w:space="0" w:color="auto"/>
        <w:right w:val="none" w:sz="0" w:space="0" w:color="auto"/>
      </w:divBdr>
    </w:div>
    <w:div w:id="1939216542">
      <w:bodyDiv w:val="1"/>
      <w:marLeft w:val="0"/>
      <w:marRight w:val="0"/>
      <w:marTop w:val="0"/>
      <w:marBottom w:val="0"/>
      <w:divBdr>
        <w:top w:val="none" w:sz="0" w:space="0" w:color="auto"/>
        <w:left w:val="none" w:sz="0" w:space="0" w:color="auto"/>
        <w:bottom w:val="none" w:sz="0" w:space="0" w:color="auto"/>
        <w:right w:val="none" w:sz="0" w:space="0" w:color="auto"/>
      </w:divBdr>
    </w:div>
    <w:div w:id="1946493637">
      <w:bodyDiv w:val="1"/>
      <w:marLeft w:val="0"/>
      <w:marRight w:val="0"/>
      <w:marTop w:val="0"/>
      <w:marBottom w:val="0"/>
      <w:divBdr>
        <w:top w:val="none" w:sz="0" w:space="0" w:color="auto"/>
        <w:left w:val="none" w:sz="0" w:space="0" w:color="auto"/>
        <w:bottom w:val="none" w:sz="0" w:space="0" w:color="auto"/>
        <w:right w:val="none" w:sz="0" w:space="0" w:color="auto"/>
      </w:divBdr>
    </w:div>
    <w:div w:id="1955555859">
      <w:bodyDiv w:val="1"/>
      <w:marLeft w:val="0"/>
      <w:marRight w:val="0"/>
      <w:marTop w:val="0"/>
      <w:marBottom w:val="0"/>
      <w:divBdr>
        <w:top w:val="none" w:sz="0" w:space="0" w:color="auto"/>
        <w:left w:val="none" w:sz="0" w:space="0" w:color="auto"/>
        <w:bottom w:val="none" w:sz="0" w:space="0" w:color="auto"/>
        <w:right w:val="none" w:sz="0" w:space="0" w:color="auto"/>
      </w:divBdr>
    </w:div>
    <w:div w:id="1960186315">
      <w:bodyDiv w:val="1"/>
      <w:marLeft w:val="0"/>
      <w:marRight w:val="0"/>
      <w:marTop w:val="0"/>
      <w:marBottom w:val="0"/>
      <w:divBdr>
        <w:top w:val="none" w:sz="0" w:space="0" w:color="auto"/>
        <w:left w:val="none" w:sz="0" w:space="0" w:color="auto"/>
        <w:bottom w:val="none" w:sz="0" w:space="0" w:color="auto"/>
        <w:right w:val="none" w:sz="0" w:space="0" w:color="auto"/>
      </w:divBdr>
    </w:div>
    <w:div w:id="1972242999">
      <w:bodyDiv w:val="1"/>
      <w:marLeft w:val="0"/>
      <w:marRight w:val="0"/>
      <w:marTop w:val="0"/>
      <w:marBottom w:val="0"/>
      <w:divBdr>
        <w:top w:val="none" w:sz="0" w:space="0" w:color="auto"/>
        <w:left w:val="none" w:sz="0" w:space="0" w:color="auto"/>
        <w:bottom w:val="none" w:sz="0" w:space="0" w:color="auto"/>
        <w:right w:val="none" w:sz="0" w:space="0" w:color="auto"/>
      </w:divBdr>
    </w:div>
    <w:div w:id="1979800481">
      <w:bodyDiv w:val="1"/>
      <w:marLeft w:val="0"/>
      <w:marRight w:val="0"/>
      <w:marTop w:val="0"/>
      <w:marBottom w:val="0"/>
      <w:divBdr>
        <w:top w:val="none" w:sz="0" w:space="0" w:color="auto"/>
        <w:left w:val="none" w:sz="0" w:space="0" w:color="auto"/>
        <w:bottom w:val="none" w:sz="0" w:space="0" w:color="auto"/>
        <w:right w:val="none" w:sz="0" w:space="0" w:color="auto"/>
      </w:divBdr>
    </w:div>
    <w:div w:id="1983269016">
      <w:bodyDiv w:val="1"/>
      <w:marLeft w:val="0"/>
      <w:marRight w:val="0"/>
      <w:marTop w:val="0"/>
      <w:marBottom w:val="0"/>
      <w:divBdr>
        <w:top w:val="none" w:sz="0" w:space="0" w:color="auto"/>
        <w:left w:val="none" w:sz="0" w:space="0" w:color="auto"/>
        <w:bottom w:val="none" w:sz="0" w:space="0" w:color="auto"/>
        <w:right w:val="none" w:sz="0" w:space="0" w:color="auto"/>
      </w:divBdr>
    </w:div>
    <w:div w:id="1991057172">
      <w:bodyDiv w:val="1"/>
      <w:marLeft w:val="0"/>
      <w:marRight w:val="0"/>
      <w:marTop w:val="0"/>
      <w:marBottom w:val="0"/>
      <w:divBdr>
        <w:top w:val="none" w:sz="0" w:space="0" w:color="auto"/>
        <w:left w:val="none" w:sz="0" w:space="0" w:color="auto"/>
        <w:bottom w:val="none" w:sz="0" w:space="0" w:color="auto"/>
        <w:right w:val="none" w:sz="0" w:space="0" w:color="auto"/>
      </w:divBdr>
    </w:div>
    <w:div w:id="1992325273">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03045947">
      <w:bodyDiv w:val="1"/>
      <w:marLeft w:val="0"/>
      <w:marRight w:val="0"/>
      <w:marTop w:val="0"/>
      <w:marBottom w:val="0"/>
      <w:divBdr>
        <w:top w:val="none" w:sz="0" w:space="0" w:color="auto"/>
        <w:left w:val="none" w:sz="0" w:space="0" w:color="auto"/>
        <w:bottom w:val="none" w:sz="0" w:space="0" w:color="auto"/>
        <w:right w:val="none" w:sz="0" w:space="0" w:color="auto"/>
      </w:divBdr>
    </w:div>
    <w:div w:id="2004427103">
      <w:bodyDiv w:val="1"/>
      <w:marLeft w:val="0"/>
      <w:marRight w:val="0"/>
      <w:marTop w:val="0"/>
      <w:marBottom w:val="0"/>
      <w:divBdr>
        <w:top w:val="none" w:sz="0" w:space="0" w:color="auto"/>
        <w:left w:val="none" w:sz="0" w:space="0" w:color="auto"/>
        <w:bottom w:val="none" w:sz="0" w:space="0" w:color="auto"/>
        <w:right w:val="none" w:sz="0" w:space="0" w:color="auto"/>
      </w:divBdr>
    </w:div>
    <w:div w:id="2006398278">
      <w:bodyDiv w:val="1"/>
      <w:marLeft w:val="0"/>
      <w:marRight w:val="0"/>
      <w:marTop w:val="0"/>
      <w:marBottom w:val="0"/>
      <w:divBdr>
        <w:top w:val="none" w:sz="0" w:space="0" w:color="auto"/>
        <w:left w:val="none" w:sz="0" w:space="0" w:color="auto"/>
        <w:bottom w:val="none" w:sz="0" w:space="0" w:color="auto"/>
        <w:right w:val="none" w:sz="0" w:space="0" w:color="auto"/>
      </w:divBdr>
    </w:div>
    <w:div w:id="2024280507">
      <w:bodyDiv w:val="1"/>
      <w:marLeft w:val="0"/>
      <w:marRight w:val="0"/>
      <w:marTop w:val="0"/>
      <w:marBottom w:val="0"/>
      <w:divBdr>
        <w:top w:val="none" w:sz="0" w:space="0" w:color="auto"/>
        <w:left w:val="none" w:sz="0" w:space="0" w:color="auto"/>
        <w:bottom w:val="none" w:sz="0" w:space="0" w:color="auto"/>
        <w:right w:val="none" w:sz="0" w:space="0" w:color="auto"/>
      </w:divBdr>
    </w:div>
    <w:div w:id="2026052782">
      <w:bodyDiv w:val="1"/>
      <w:marLeft w:val="0"/>
      <w:marRight w:val="0"/>
      <w:marTop w:val="0"/>
      <w:marBottom w:val="0"/>
      <w:divBdr>
        <w:top w:val="none" w:sz="0" w:space="0" w:color="auto"/>
        <w:left w:val="none" w:sz="0" w:space="0" w:color="auto"/>
        <w:bottom w:val="none" w:sz="0" w:space="0" w:color="auto"/>
        <w:right w:val="none" w:sz="0" w:space="0" w:color="auto"/>
      </w:divBdr>
    </w:div>
    <w:div w:id="2028561835">
      <w:bodyDiv w:val="1"/>
      <w:marLeft w:val="0"/>
      <w:marRight w:val="0"/>
      <w:marTop w:val="0"/>
      <w:marBottom w:val="0"/>
      <w:divBdr>
        <w:top w:val="none" w:sz="0" w:space="0" w:color="auto"/>
        <w:left w:val="none" w:sz="0" w:space="0" w:color="auto"/>
        <w:bottom w:val="none" w:sz="0" w:space="0" w:color="auto"/>
        <w:right w:val="none" w:sz="0" w:space="0" w:color="auto"/>
      </w:divBdr>
      <w:divsChild>
        <w:div w:id="1518301919">
          <w:marLeft w:val="562"/>
          <w:marRight w:val="0"/>
          <w:marTop w:val="240"/>
          <w:marBottom w:val="0"/>
          <w:divBdr>
            <w:top w:val="none" w:sz="0" w:space="0" w:color="auto"/>
            <w:left w:val="none" w:sz="0" w:space="0" w:color="auto"/>
            <w:bottom w:val="none" w:sz="0" w:space="0" w:color="auto"/>
            <w:right w:val="none" w:sz="0" w:space="0" w:color="auto"/>
          </w:divBdr>
        </w:div>
      </w:divsChild>
    </w:div>
    <w:div w:id="2037192740">
      <w:bodyDiv w:val="1"/>
      <w:marLeft w:val="0"/>
      <w:marRight w:val="0"/>
      <w:marTop w:val="0"/>
      <w:marBottom w:val="0"/>
      <w:divBdr>
        <w:top w:val="none" w:sz="0" w:space="0" w:color="auto"/>
        <w:left w:val="none" w:sz="0" w:space="0" w:color="auto"/>
        <w:bottom w:val="none" w:sz="0" w:space="0" w:color="auto"/>
        <w:right w:val="none" w:sz="0" w:space="0" w:color="auto"/>
      </w:divBdr>
    </w:div>
    <w:div w:id="2043092548">
      <w:bodyDiv w:val="1"/>
      <w:marLeft w:val="0"/>
      <w:marRight w:val="0"/>
      <w:marTop w:val="0"/>
      <w:marBottom w:val="0"/>
      <w:divBdr>
        <w:top w:val="none" w:sz="0" w:space="0" w:color="auto"/>
        <w:left w:val="none" w:sz="0" w:space="0" w:color="auto"/>
        <w:bottom w:val="none" w:sz="0" w:space="0" w:color="auto"/>
        <w:right w:val="none" w:sz="0" w:space="0" w:color="auto"/>
      </w:divBdr>
    </w:div>
    <w:div w:id="2046513691">
      <w:bodyDiv w:val="1"/>
      <w:marLeft w:val="0"/>
      <w:marRight w:val="0"/>
      <w:marTop w:val="0"/>
      <w:marBottom w:val="0"/>
      <w:divBdr>
        <w:top w:val="none" w:sz="0" w:space="0" w:color="auto"/>
        <w:left w:val="none" w:sz="0" w:space="0" w:color="auto"/>
        <w:bottom w:val="none" w:sz="0" w:space="0" w:color="auto"/>
        <w:right w:val="none" w:sz="0" w:space="0" w:color="auto"/>
      </w:divBdr>
    </w:div>
    <w:div w:id="2051684913">
      <w:bodyDiv w:val="1"/>
      <w:marLeft w:val="0"/>
      <w:marRight w:val="0"/>
      <w:marTop w:val="0"/>
      <w:marBottom w:val="0"/>
      <w:divBdr>
        <w:top w:val="none" w:sz="0" w:space="0" w:color="auto"/>
        <w:left w:val="none" w:sz="0" w:space="0" w:color="auto"/>
        <w:bottom w:val="none" w:sz="0" w:space="0" w:color="auto"/>
        <w:right w:val="none" w:sz="0" w:space="0" w:color="auto"/>
      </w:divBdr>
    </w:div>
    <w:div w:id="2055428054">
      <w:bodyDiv w:val="1"/>
      <w:marLeft w:val="0"/>
      <w:marRight w:val="0"/>
      <w:marTop w:val="0"/>
      <w:marBottom w:val="0"/>
      <w:divBdr>
        <w:top w:val="none" w:sz="0" w:space="0" w:color="auto"/>
        <w:left w:val="none" w:sz="0" w:space="0" w:color="auto"/>
        <w:bottom w:val="none" w:sz="0" w:space="0" w:color="auto"/>
        <w:right w:val="none" w:sz="0" w:space="0" w:color="auto"/>
      </w:divBdr>
    </w:div>
    <w:div w:id="2056155634">
      <w:bodyDiv w:val="1"/>
      <w:marLeft w:val="0"/>
      <w:marRight w:val="0"/>
      <w:marTop w:val="0"/>
      <w:marBottom w:val="0"/>
      <w:divBdr>
        <w:top w:val="none" w:sz="0" w:space="0" w:color="auto"/>
        <w:left w:val="none" w:sz="0" w:space="0" w:color="auto"/>
        <w:bottom w:val="none" w:sz="0" w:space="0" w:color="auto"/>
        <w:right w:val="none" w:sz="0" w:space="0" w:color="auto"/>
      </w:divBdr>
    </w:div>
    <w:div w:id="2060473070">
      <w:bodyDiv w:val="1"/>
      <w:marLeft w:val="0"/>
      <w:marRight w:val="0"/>
      <w:marTop w:val="0"/>
      <w:marBottom w:val="0"/>
      <w:divBdr>
        <w:top w:val="none" w:sz="0" w:space="0" w:color="auto"/>
        <w:left w:val="none" w:sz="0" w:space="0" w:color="auto"/>
        <w:bottom w:val="none" w:sz="0" w:space="0" w:color="auto"/>
        <w:right w:val="none" w:sz="0" w:space="0" w:color="auto"/>
      </w:divBdr>
    </w:div>
    <w:div w:id="2063555592">
      <w:bodyDiv w:val="1"/>
      <w:marLeft w:val="0"/>
      <w:marRight w:val="0"/>
      <w:marTop w:val="0"/>
      <w:marBottom w:val="0"/>
      <w:divBdr>
        <w:top w:val="none" w:sz="0" w:space="0" w:color="auto"/>
        <w:left w:val="none" w:sz="0" w:space="0" w:color="auto"/>
        <w:bottom w:val="none" w:sz="0" w:space="0" w:color="auto"/>
        <w:right w:val="none" w:sz="0" w:space="0" w:color="auto"/>
      </w:divBdr>
    </w:div>
    <w:div w:id="2071341181">
      <w:bodyDiv w:val="1"/>
      <w:marLeft w:val="0"/>
      <w:marRight w:val="0"/>
      <w:marTop w:val="0"/>
      <w:marBottom w:val="0"/>
      <w:divBdr>
        <w:top w:val="none" w:sz="0" w:space="0" w:color="auto"/>
        <w:left w:val="none" w:sz="0" w:space="0" w:color="auto"/>
        <w:bottom w:val="none" w:sz="0" w:space="0" w:color="auto"/>
        <w:right w:val="none" w:sz="0" w:space="0" w:color="auto"/>
      </w:divBdr>
    </w:div>
    <w:div w:id="2085641328">
      <w:bodyDiv w:val="1"/>
      <w:marLeft w:val="0"/>
      <w:marRight w:val="0"/>
      <w:marTop w:val="0"/>
      <w:marBottom w:val="0"/>
      <w:divBdr>
        <w:top w:val="none" w:sz="0" w:space="0" w:color="auto"/>
        <w:left w:val="none" w:sz="0" w:space="0" w:color="auto"/>
        <w:bottom w:val="none" w:sz="0" w:space="0" w:color="auto"/>
        <w:right w:val="none" w:sz="0" w:space="0" w:color="auto"/>
      </w:divBdr>
    </w:div>
    <w:div w:id="2095738001">
      <w:bodyDiv w:val="1"/>
      <w:marLeft w:val="0"/>
      <w:marRight w:val="0"/>
      <w:marTop w:val="0"/>
      <w:marBottom w:val="0"/>
      <w:divBdr>
        <w:top w:val="none" w:sz="0" w:space="0" w:color="auto"/>
        <w:left w:val="none" w:sz="0" w:space="0" w:color="auto"/>
        <w:bottom w:val="none" w:sz="0" w:space="0" w:color="auto"/>
        <w:right w:val="none" w:sz="0" w:space="0" w:color="auto"/>
      </w:divBdr>
    </w:div>
    <w:div w:id="2108693904">
      <w:bodyDiv w:val="1"/>
      <w:marLeft w:val="0"/>
      <w:marRight w:val="0"/>
      <w:marTop w:val="0"/>
      <w:marBottom w:val="0"/>
      <w:divBdr>
        <w:top w:val="none" w:sz="0" w:space="0" w:color="auto"/>
        <w:left w:val="none" w:sz="0" w:space="0" w:color="auto"/>
        <w:bottom w:val="none" w:sz="0" w:space="0" w:color="auto"/>
        <w:right w:val="none" w:sz="0" w:space="0" w:color="auto"/>
      </w:divBdr>
    </w:div>
    <w:div w:id="2109306174">
      <w:bodyDiv w:val="1"/>
      <w:marLeft w:val="0"/>
      <w:marRight w:val="0"/>
      <w:marTop w:val="0"/>
      <w:marBottom w:val="0"/>
      <w:divBdr>
        <w:top w:val="none" w:sz="0" w:space="0" w:color="auto"/>
        <w:left w:val="none" w:sz="0" w:space="0" w:color="auto"/>
        <w:bottom w:val="none" w:sz="0" w:space="0" w:color="auto"/>
        <w:right w:val="none" w:sz="0" w:space="0" w:color="auto"/>
      </w:divBdr>
    </w:div>
    <w:div w:id="2110200432">
      <w:bodyDiv w:val="1"/>
      <w:marLeft w:val="0"/>
      <w:marRight w:val="0"/>
      <w:marTop w:val="0"/>
      <w:marBottom w:val="0"/>
      <w:divBdr>
        <w:top w:val="none" w:sz="0" w:space="0" w:color="auto"/>
        <w:left w:val="none" w:sz="0" w:space="0" w:color="auto"/>
        <w:bottom w:val="none" w:sz="0" w:space="0" w:color="auto"/>
        <w:right w:val="none" w:sz="0" w:space="0" w:color="auto"/>
      </w:divBdr>
    </w:div>
    <w:div w:id="2123069260">
      <w:bodyDiv w:val="1"/>
      <w:marLeft w:val="0"/>
      <w:marRight w:val="0"/>
      <w:marTop w:val="0"/>
      <w:marBottom w:val="0"/>
      <w:divBdr>
        <w:top w:val="none" w:sz="0" w:space="0" w:color="auto"/>
        <w:left w:val="none" w:sz="0" w:space="0" w:color="auto"/>
        <w:bottom w:val="none" w:sz="0" w:space="0" w:color="auto"/>
        <w:right w:val="none" w:sz="0" w:space="0" w:color="auto"/>
      </w:divBdr>
    </w:div>
    <w:div w:id="2143229324">
      <w:bodyDiv w:val="1"/>
      <w:marLeft w:val="0"/>
      <w:marRight w:val="0"/>
      <w:marTop w:val="0"/>
      <w:marBottom w:val="0"/>
      <w:divBdr>
        <w:top w:val="none" w:sz="0" w:space="0" w:color="auto"/>
        <w:left w:val="none" w:sz="0" w:space="0" w:color="auto"/>
        <w:bottom w:val="none" w:sz="0" w:space="0" w:color="auto"/>
        <w:right w:val="none" w:sz="0" w:space="0" w:color="auto"/>
      </w:divBdr>
      <w:divsChild>
        <w:div w:id="1358392234">
          <w:marLeft w:val="0"/>
          <w:marRight w:val="0"/>
          <w:marTop w:val="0"/>
          <w:marBottom w:val="0"/>
          <w:divBdr>
            <w:top w:val="none" w:sz="0" w:space="0" w:color="auto"/>
            <w:left w:val="none" w:sz="0" w:space="0" w:color="auto"/>
            <w:bottom w:val="none" w:sz="0" w:space="0" w:color="auto"/>
            <w:right w:val="none" w:sz="0" w:space="0" w:color="auto"/>
          </w:divBdr>
          <w:divsChild>
            <w:div w:id="448864614">
              <w:marLeft w:val="0"/>
              <w:marRight w:val="0"/>
              <w:marTop w:val="0"/>
              <w:marBottom w:val="0"/>
              <w:divBdr>
                <w:top w:val="none" w:sz="0" w:space="0" w:color="auto"/>
                <w:left w:val="none" w:sz="0" w:space="0" w:color="auto"/>
                <w:bottom w:val="none" w:sz="0" w:space="0" w:color="auto"/>
                <w:right w:val="none" w:sz="0" w:space="0" w:color="auto"/>
              </w:divBdr>
              <w:divsChild>
                <w:div w:id="18347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header" Target="header10.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EY Onscreen (White)">
      <a:dk1>
        <a:srgbClr val="000000"/>
      </a:dk1>
      <a:lt1>
        <a:srgbClr val="646464"/>
      </a:lt1>
      <a:dk2>
        <a:srgbClr val="FFFFFF"/>
      </a:dk2>
      <a:lt2>
        <a:srgbClr val="646464"/>
      </a:lt2>
      <a:accent1>
        <a:srgbClr val="FFD200"/>
      </a:accent1>
      <a:accent2>
        <a:srgbClr val="646464"/>
      </a:accent2>
      <a:accent3>
        <a:srgbClr val="808080"/>
      </a:accent3>
      <a:accent4>
        <a:srgbClr val="C0C0C0"/>
      </a:accent4>
      <a:accent5>
        <a:srgbClr val="FFE87F"/>
      </a:accent5>
      <a:accent6>
        <a:srgbClr val="2C973E"/>
      </a:accent6>
      <a:hlink>
        <a:srgbClr val="80808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A2ED-14C9-4616-8895-D863A4192758}">
  <ds:schemaRefs>
    <ds:schemaRef ds:uri="http://schemas.openxmlformats.org/officeDocument/2006/bibliography"/>
  </ds:schemaRefs>
</ds:datastoreItem>
</file>

<file path=customXml/itemProps2.xml><?xml version="1.0" encoding="utf-8"?>
<ds:datastoreItem xmlns:ds="http://schemas.openxmlformats.org/officeDocument/2006/customXml" ds:itemID="{1E6FAEF8-C22E-4AEE-BC48-1DD72616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185</Pages>
  <Words>71869</Words>
  <Characters>409655</Characters>
  <Application>Microsoft Office Word</Application>
  <DocSecurity>0</DocSecurity>
  <Lines>3413</Lines>
  <Paragraphs>961</Paragraphs>
  <ScaleCrop>false</ScaleCrop>
  <HeadingPairs>
    <vt:vector size="2" baseType="variant">
      <vt:variant>
        <vt:lpstr>Title</vt:lpstr>
      </vt:variant>
      <vt:variant>
        <vt:i4>1</vt:i4>
      </vt:variant>
    </vt:vector>
  </HeadingPairs>
  <TitlesOfParts>
    <vt:vector size="1" baseType="lpstr">
      <vt:lpstr/>
    </vt:vector>
  </TitlesOfParts>
  <Company>Ernst &amp; Young, LLP</Company>
  <LinksUpToDate>false</LinksUpToDate>
  <CharactersWithSpaces>480563</CharactersWithSpaces>
  <SharedDoc>false</SharedDoc>
  <HLinks>
    <vt:vector size="90" baseType="variant">
      <vt:variant>
        <vt:i4>4980817</vt:i4>
      </vt:variant>
      <vt:variant>
        <vt:i4>45</vt:i4>
      </vt:variant>
      <vt:variant>
        <vt:i4>0</vt:i4>
      </vt:variant>
      <vt:variant>
        <vt:i4>5</vt:i4>
      </vt:variant>
      <vt:variant>
        <vt:lpwstr>http://www.iasb.org/xbrl</vt:lpwstr>
      </vt:variant>
      <vt:variant>
        <vt:lpwstr/>
      </vt:variant>
      <vt:variant>
        <vt:i4>5374038</vt:i4>
      </vt:variant>
      <vt:variant>
        <vt:i4>42</vt:i4>
      </vt:variant>
      <vt:variant>
        <vt:i4>0</vt:i4>
      </vt:variant>
      <vt:variant>
        <vt:i4>5</vt:i4>
      </vt:variant>
      <vt:variant>
        <vt:lpwstr>http://www.xbrl.org/</vt:lpwstr>
      </vt:variant>
      <vt:variant>
        <vt:lpwstr/>
      </vt:variant>
      <vt:variant>
        <vt:i4>3014701</vt:i4>
      </vt:variant>
      <vt:variant>
        <vt:i4>39</vt:i4>
      </vt:variant>
      <vt:variant>
        <vt:i4>0</vt:i4>
      </vt:variant>
      <vt:variant>
        <vt:i4>5</vt:i4>
      </vt:variant>
      <vt:variant>
        <vt:lpwstr>http://www.ey.com/xbrl</vt:lpwstr>
      </vt:variant>
      <vt:variant>
        <vt:lpwstr/>
      </vt:variant>
      <vt:variant>
        <vt:i4>8126585</vt:i4>
      </vt:variant>
      <vt:variant>
        <vt:i4>36</vt:i4>
      </vt:variant>
      <vt:variant>
        <vt:i4>0</vt:i4>
      </vt:variant>
      <vt:variant>
        <vt:i4>5</vt:i4>
      </vt:variant>
      <vt:variant>
        <vt:lpwstr>http://www.iasb.org/About+Us/About+the+IASC+Foundation/About+XBRL/About+XQRT/About+XQRT.htm</vt:lpwstr>
      </vt:variant>
      <vt:variant>
        <vt:lpwstr/>
      </vt:variant>
      <vt:variant>
        <vt:i4>1703967</vt:i4>
      </vt:variant>
      <vt:variant>
        <vt:i4>33</vt:i4>
      </vt:variant>
      <vt:variant>
        <vt:i4>0</vt:i4>
      </vt:variant>
      <vt:variant>
        <vt:i4>5</vt:i4>
      </vt:variant>
      <vt:variant>
        <vt:lpwstr>http://www.iasb.org/About+Us/About+the+IASC+Foundation/About+XBRL/About+XAC/About+XAC.htm</vt:lpwstr>
      </vt:variant>
      <vt:variant>
        <vt:lpwstr/>
      </vt:variant>
      <vt:variant>
        <vt:i4>3145771</vt:i4>
      </vt:variant>
      <vt:variant>
        <vt:i4>30</vt:i4>
      </vt:variant>
      <vt:variant>
        <vt:i4>0</vt:i4>
      </vt:variant>
      <vt:variant>
        <vt:i4>5</vt:i4>
      </vt:variant>
      <vt:variant>
        <vt:lpwstr>C:\Documents and Settings\WINDOWS\TEMP\notesE1EF34\www.iasb.org\xbrl</vt:lpwstr>
      </vt:variant>
      <vt:variant>
        <vt:lpwstr/>
      </vt:variant>
      <vt:variant>
        <vt:i4>6815864</vt:i4>
      </vt:variant>
      <vt:variant>
        <vt:i4>27</vt:i4>
      </vt:variant>
      <vt:variant>
        <vt:i4>0</vt:i4>
      </vt:variant>
      <vt:variant>
        <vt:i4>5</vt:i4>
      </vt:variant>
      <vt:variant>
        <vt:lpwstr>http://www.sec.gov/spotlight/xbrl.shtml</vt:lpwstr>
      </vt:variant>
      <vt:variant>
        <vt:lpwstr/>
      </vt:variant>
      <vt:variant>
        <vt:i4>6160398</vt:i4>
      </vt:variant>
      <vt:variant>
        <vt:i4>21</vt:i4>
      </vt:variant>
      <vt:variant>
        <vt:i4>0</vt:i4>
      </vt:variant>
      <vt:variant>
        <vt:i4>5</vt:i4>
      </vt:variant>
      <vt:variant>
        <vt:lpwstr>http://www.ey.com/xbrl/goodgroup</vt:lpwstr>
      </vt:variant>
      <vt:variant>
        <vt:lpwstr/>
      </vt:variant>
      <vt:variant>
        <vt:i4>65576</vt:i4>
      </vt:variant>
      <vt:variant>
        <vt:i4>18</vt:i4>
      </vt:variant>
      <vt:variant>
        <vt:i4>0</vt:i4>
      </vt:variant>
      <vt:variant>
        <vt:i4>5</vt:i4>
      </vt:variant>
      <vt:variant>
        <vt:lpwstr/>
      </vt:variant>
      <vt:variant>
        <vt:lpwstr>_6._Income_tax</vt:lpwstr>
      </vt:variant>
      <vt:variant>
        <vt:i4>65576</vt:i4>
      </vt:variant>
      <vt:variant>
        <vt:i4>15</vt:i4>
      </vt:variant>
      <vt:variant>
        <vt:i4>0</vt:i4>
      </vt:variant>
      <vt:variant>
        <vt:i4>5</vt:i4>
      </vt:variant>
      <vt:variant>
        <vt:lpwstr/>
      </vt:variant>
      <vt:variant>
        <vt:lpwstr>_6._Income_tax</vt:lpwstr>
      </vt:variant>
      <vt:variant>
        <vt:i4>65576</vt:i4>
      </vt:variant>
      <vt:variant>
        <vt:i4>12</vt:i4>
      </vt:variant>
      <vt:variant>
        <vt:i4>0</vt:i4>
      </vt:variant>
      <vt:variant>
        <vt:i4>5</vt:i4>
      </vt:variant>
      <vt:variant>
        <vt:lpwstr/>
      </vt:variant>
      <vt:variant>
        <vt:lpwstr>_6._Income_tax</vt:lpwstr>
      </vt:variant>
      <vt:variant>
        <vt:i4>65576</vt:i4>
      </vt:variant>
      <vt:variant>
        <vt:i4>9</vt:i4>
      </vt:variant>
      <vt:variant>
        <vt:i4>0</vt:i4>
      </vt:variant>
      <vt:variant>
        <vt:i4>5</vt:i4>
      </vt:variant>
      <vt:variant>
        <vt:lpwstr/>
      </vt:variant>
      <vt:variant>
        <vt:lpwstr>_6._Income_tax</vt:lpwstr>
      </vt:variant>
      <vt:variant>
        <vt:i4>65576</vt:i4>
      </vt:variant>
      <vt:variant>
        <vt:i4>6</vt:i4>
      </vt:variant>
      <vt:variant>
        <vt:i4>0</vt:i4>
      </vt:variant>
      <vt:variant>
        <vt:i4>5</vt:i4>
      </vt:variant>
      <vt:variant>
        <vt:lpwstr/>
      </vt:variant>
      <vt:variant>
        <vt:lpwstr>_6._Income_tax</vt:lpwstr>
      </vt:variant>
      <vt:variant>
        <vt:i4>65576</vt:i4>
      </vt:variant>
      <vt:variant>
        <vt:i4>3</vt:i4>
      </vt:variant>
      <vt:variant>
        <vt:i4>0</vt:i4>
      </vt:variant>
      <vt:variant>
        <vt:i4>5</vt:i4>
      </vt:variant>
      <vt:variant>
        <vt:lpwstr/>
      </vt:variant>
      <vt:variant>
        <vt:lpwstr>_6._Income_tax</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B</dc:creator>
  <cp:keywords/>
  <dc:description/>
  <cp:lastModifiedBy>sbcindia9@gmail.com</cp:lastModifiedBy>
  <cp:revision>105</cp:revision>
  <cp:lastPrinted>2018-07-31T10:48:00Z</cp:lastPrinted>
  <dcterms:created xsi:type="dcterms:W3CDTF">2020-11-17T04:53:00Z</dcterms:created>
  <dcterms:modified xsi:type="dcterms:W3CDTF">2021-01-18T07:16:00Z</dcterms:modified>
</cp:coreProperties>
</file>